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ink/ink1.xml" ContentType="application/inkml+xml"/>
  <Override PartName="/word/ink/ink2.xml" ContentType="application/inkml+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10.xml" ContentType="application/vnd.openxmlformats-officedocument.wordprocessingml.foot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D8E2E" w14:textId="77777777" w:rsidR="00340D87" w:rsidRPr="003D1614" w:rsidRDefault="00340D87" w:rsidP="00340D87">
      <w:pPr>
        <w:jc w:val="center"/>
        <w:rPr>
          <w:rFonts w:ascii="Arial" w:eastAsia="Times New Roman" w:hAnsi="Arial" w:cs="Arial"/>
          <w:b/>
          <w:color w:val="000000" w:themeColor="text1"/>
          <w:sz w:val="32"/>
          <w:szCs w:val="32"/>
        </w:rPr>
      </w:pPr>
    </w:p>
    <w:p w14:paraId="5D87CC87" w14:textId="77777777" w:rsidR="00340D87" w:rsidRPr="003D1614" w:rsidRDefault="00340D87" w:rsidP="00340D87">
      <w:pPr>
        <w:jc w:val="center"/>
        <w:rPr>
          <w:rFonts w:ascii="Arial" w:eastAsia="Times New Roman" w:hAnsi="Arial" w:cs="Arial"/>
          <w:b/>
          <w:color w:val="000000" w:themeColor="text1"/>
          <w:sz w:val="32"/>
          <w:szCs w:val="32"/>
        </w:rPr>
      </w:pPr>
    </w:p>
    <w:p w14:paraId="48B30E3E" w14:textId="77777777" w:rsidR="00340D87" w:rsidRPr="003D1614" w:rsidRDefault="00340D87" w:rsidP="00340D87">
      <w:pPr>
        <w:jc w:val="center"/>
        <w:rPr>
          <w:rFonts w:ascii="Arial" w:eastAsia="Times New Roman" w:hAnsi="Arial" w:cs="Arial"/>
          <w:b/>
          <w:color w:val="000000" w:themeColor="text1"/>
          <w:sz w:val="32"/>
          <w:szCs w:val="32"/>
        </w:rPr>
      </w:pPr>
    </w:p>
    <w:p w14:paraId="7286BDAC" w14:textId="77777777" w:rsidR="00340D87" w:rsidRPr="003D1614" w:rsidRDefault="00340D87" w:rsidP="00340D87">
      <w:pPr>
        <w:jc w:val="center"/>
        <w:rPr>
          <w:rFonts w:ascii="Arial" w:eastAsia="Times New Roman" w:hAnsi="Arial" w:cs="Arial"/>
          <w:b/>
          <w:color w:val="000000" w:themeColor="text1"/>
          <w:sz w:val="32"/>
          <w:szCs w:val="32"/>
        </w:rPr>
      </w:pPr>
    </w:p>
    <w:p w14:paraId="1EEF478D" w14:textId="77777777" w:rsidR="00340D87" w:rsidRPr="003D1614" w:rsidRDefault="00340D87" w:rsidP="00340D87">
      <w:pPr>
        <w:jc w:val="center"/>
        <w:rPr>
          <w:rFonts w:ascii="Arial" w:eastAsia="Times New Roman" w:hAnsi="Arial" w:cs="Arial"/>
          <w:b/>
          <w:color w:val="000000" w:themeColor="text1"/>
          <w:sz w:val="32"/>
          <w:szCs w:val="32"/>
        </w:rPr>
      </w:pPr>
    </w:p>
    <w:p w14:paraId="67A07746" w14:textId="77777777" w:rsidR="00340D87" w:rsidRPr="003D1614" w:rsidRDefault="00340D87" w:rsidP="00340D87">
      <w:pPr>
        <w:jc w:val="center"/>
        <w:rPr>
          <w:rFonts w:ascii="Arial" w:eastAsia="Times New Roman" w:hAnsi="Arial" w:cs="Arial"/>
          <w:b/>
          <w:color w:val="000000" w:themeColor="text1"/>
          <w:sz w:val="32"/>
          <w:szCs w:val="32"/>
        </w:rPr>
      </w:pPr>
    </w:p>
    <w:p w14:paraId="0950FBDA" w14:textId="77777777" w:rsidR="00340D87" w:rsidRPr="003D1614" w:rsidRDefault="00340D87" w:rsidP="00340D87">
      <w:pPr>
        <w:jc w:val="center"/>
        <w:rPr>
          <w:rFonts w:ascii="Arial" w:eastAsia="Times New Roman" w:hAnsi="Arial" w:cs="Arial"/>
          <w:b/>
          <w:color w:val="000000" w:themeColor="text1"/>
          <w:sz w:val="32"/>
          <w:szCs w:val="32"/>
        </w:rPr>
      </w:pPr>
    </w:p>
    <w:p w14:paraId="155472D7" w14:textId="77777777" w:rsidR="00340D87" w:rsidRPr="003D1614" w:rsidRDefault="00340D87" w:rsidP="00340D87">
      <w:pPr>
        <w:jc w:val="center"/>
        <w:rPr>
          <w:rFonts w:ascii="Arial" w:eastAsia="Times New Roman" w:hAnsi="Arial" w:cs="Arial"/>
          <w:b/>
          <w:color w:val="000000" w:themeColor="text1"/>
          <w:sz w:val="32"/>
          <w:szCs w:val="32"/>
        </w:rPr>
      </w:pPr>
    </w:p>
    <w:p w14:paraId="4D046453" w14:textId="77777777" w:rsidR="00340D87" w:rsidRPr="003D1614" w:rsidRDefault="00340D87" w:rsidP="00340D87">
      <w:pPr>
        <w:jc w:val="center"/>
        <w:rPr>
          <w:rFonts w:ascii="Arial" w:eastAsia="Times New Roman" w:hAnsi="Arial" w:cs="Arial"/>
          <w:b/>
          <w:color w:val="000000" w:themeColor="text1"/>
          <w:sz w:val="32"/>
          <w:szCs w:val="32"/>
        </w:rPr>
      </w:pPr>
    </w:p>
    <w:p w14:paraId="09E303E4" w14:textId="77777777" w:rsidR="00340D87" w:rsidRPr="003D1614" w:rsidRDefault="00340D87" w:rsidP="00340D87">
      <w:pPr>
        <w:jc w:val="center"/>
        <w:rPr>
          <w:rFonts w:ascii="Arial" w:eastAsia="Times New Roman" w:hAnsi="Arial" w:cs="Arial"/>
          <w:b/>
          <w:color w:val="000000" w:themeColor="text1"/>
          <w:sz w:val="32"/>
          <w:szCs w:val="32"/>
        </w:rPr>
      </w:pPr>
    </w:p>
    <w:p w14:paraId="674389A7" w14:textId="330B2E47" w:rsidR="00AD2D70" w:rsidRDefault="00AD2D70" w:rsidP="00340D87">
      <w:pPr>
        <w:jc w:val="center"/>
        <w:rPr>
          <w:rFonts w:ascii="Arial" w:eastAsia="Times New Roman" w:hAnsi="Arial" w:cs="Arial"/>
          <w:b/>
          <w:color w:val="000000" w:themeColor="text1"/>
          <w:sz w:val="32"/>
          <w:szCs w:val="32"/>
        </w:rPr>
      </w:pPr>
    </w:p>
    <w:p w14:paraId="4EFB307C" w14:textId="36112C94" w:rsidR="00AD2D70" w:rsidRDefault="00AD2D70" w:rsidP="00AD2D70">
      <w:pPr>
        <w:tabs>
          <w:tab w:val="left" w:pos="1485"/>
        </w:tabs>
        <w:rPr>
          <w:rFonts w:ascii="Arial" w:eastAsia="Times New Roman" w:hAnsi="Arial" w:cs="Arial"/>
          <w:b/>
          <w:color w:val="000000" w:themeColor="text1"/>
          <w:sz w:val="32"/>
          <w:szCs w:val="32"/>
        </w:rPr>
      </w:pPr>
      <w:r>
        <w:rPr>
          <w:rFonts w:ascii="Arial" w:eastAsia="Times New Roman" w:hAnsi="Arial" w:cs="Arial"/>
          <w:b/>
          <w:color w:val="000000" w:themeColor="text1"/>
          <w:sz w:val="32"/>
          <w:szCs w:val="32"/>
        </w:rPr>
        <w:tab/>
      </w:r>
    </w:p>
    <w:p w14:paraId="4BE808ED" w14:textId="1FAB39CD" w:rsidR="00AD2D70" w:rsidRDefault="00AD2D70" w:rsidP="00AD2D70">
      <w:pPr>
        <w:tabs>
          <w:tab w:val="left" w:pos="1485"/>
        </w:tabs>
        <w:rPr>
          <w:rFonts w:ascii="Arial" w:eastAsia="Times New Roman" w:hAnsi="Arial" w:cs="Arial"/>
          <w:b/>
          <w:color w:val="000000" w:themeColor="text1"/>
          <w:sz w:val="32"/>
          <w:szCs w:val="32"/>
        </w:rPr>
      </w:pPr>
    </w:p>
    <w:p w14:paraId="06D52ED0" w14:textId="77777777" w:rsidR="00AD2D70" w:rsidRPr="003D1614" w:rsidRDefault="00AD2D70" w:rsidP="00AD2D70">
      <w:pPr>
        <w:tabs>
          <w:tab w:val="left" w:pos="1485"/>
        </w:tabs>
        <w:rPr>
          <w:rFonts w:ascii="Arial" w:eastAsia="Times New Roman" w:hAnsi="Arial" w:cs="Arial"/>
          <w:b/>
          <w:color w:val="000000" w:themeColor="text1"/>
          <w:sz w:val="32"/>
          <w:szCs w:val="32"/>
        </w:rPr>
      </w:pPr>
    </w:p>
    <w:p w14:paraId="4210AEE6" w14:textId="77777777" w:rsidR="00340D87" w:rsidRPr="003D1614" w:rsidRDefault="00340D87" w:rsidP="00340D87">
      <w:pPr>
        <w:jc w:val="center"/>
        <w:rPr>
          <w:rFonts w:ascii="Arial" w:eastAsia="Times New Roman" w:hAnsi="Arial" w:cs="Arial"/>
          <w:b/>
          <w:color w:val="000000" w:themeColor="text1"/>
          <w:sz w:val="32"/>
          <w:szCs w:val="32"/>
        </w:rPr>
      </w:pPr>
    </w:p>
    <w:p w14:paraId="3E3431A2" w14:textId="77777777" w:rsidR="00340D87" w:rsidRPr="003D1614" w:rsidRDefault="00340D87" w:rsidP="00340D87">
      <w:pPr>
        <w:ind w:right="284"/>
        <w:rPr>
          <w:rFonts w:ascii="Arial" w:eastAsia="Times New Roman" w:hAnsi="Arial" w:cs="Arial"/>
          <w:b/>
          <w:color w:val="000000" w:themeColor="text1"/>
          <w:sz w:val="28"/>
          <w:szCs w:val="28"/>
        </w:rPr>
      </w:pPr>
      <w:r w:rsidRPr="003D1614">
        <w:rPr>
          <w:rFonts w:ascii="Arial" w:eastAsia="Times New Roman" w:hAnsi="Arial" w:cs="Arial"/>
          <w:b/>
          <w:color w:val="000000" w:themeColor="text1"/>
          <w:sz w:val="28"/>
          <w:szCs w:val="28"/>
        </w:rPr>
        <w:t>HRVATSKA BANKA ZA OBNOVU I RAZVITAK</w:t>
      </w:r>
    </w:p>
    <w:p w14:paraId="7360F328" w14:textId="77777777" w:rsidR="00340D87" w:rsidRPr="003D1614" w:rsidRDefault="00340D87" w:rsidP="00340D87">
      <w:pPr>
        <w:rPr>
          <w:rFonts w:ascii="Arial" w:eastAsia="Times New Roman" w:hAnsi="Arial" w:cs="Arial"/>
          <w:b/>
          <w:color w:val="000000" w:themeColor="text1"/>
          <w:sz w:val="32"/>
          <w:szCs w:val="32"/>
        </w:rPr>
      </w:pPr>
    </w:p>
    <w:p w14:paraId="695D4788" w14:textId="77777777" w:rsidR="00340D87" w:rsidRPr="003D1614" w:rsidRDefault="00340D87" w:rsidP="00340D87">
      <w:pPr>
        <w:rPr>
          <w:rFonts w:ascii="Arial" w:eastAsia="Times New Roman" w:hAnsi="Arial" w:cs="Arial"/>
          <w:b/>
          <w:color w:val="000000" w:themeColor="text1"/>
          <w:sz w:val="28"/>
          <w:szCs w:val="28"/>
        </w:rPr>
      </w:pPr>
      <w:r w:rsidRPr="003D1614">
        <w:rPr>
          <w:rFonts w:ascii="Arial" w:eastAsia="Times New Roman" w:hAnsi="Arial" w:cs="Arial"/>
          <w:b/>
          <w:color w:val="000000" w:themeColor="text1"/>
          <w:sz w:val="28"/>
          <w:szCs w:val="28"/>
        </w:rPr>
        <w:t>Nerevidirani skraćeni odvojeni i konsolidirani financijski izvještaji</w:t>
      </w:r>
    </w:p>
    <w:p w14:paraId="3A8E0BF1" w14:textId="5AE3AC44" w:rsidR="00340D87" w:rsidRPr="003D1614" w:rsidRDefault="00340D87" w:rsidP="00340D87">
      <w:pPr>
        <w:rPr>
          <w:rFonts w:ascii="Arial" w:hAnsi="Arial" w:cs="Arial"/>
          <w:color w:val="000000" w:themeColor="text1"/>
          <w:sz w:val="28"/>
          <w:szCs w:val="28"/>
        </w:rPr>
      </w:pPr>
      <w:r w:rsidRPr="003D1614">
        <w:rPr>
          <w:rFonts w:ascii="Arial" w:eastAsia="Times New Roman" w:hAnsi="Arial" w:cs="Arial"/>
          <w:b/>
          <w:color w:val="000000" w:themeColor="text1"/>
          <w:sz w:val="28"/>
          <w:szCs w:val="28"/>
        </w:rPr>
        <w:t>za razdoblje od 1.1. do 31.3.202</w:t>
      </w:r>
      <w:r w:rsidR="00D81A81">
        <w:rPr>
          <w:rFonts w:ascii="Arial" w:eastAsia="Times New Roman" w:hAnsi="Arial" w:cs="Arial"/>
          <w:b/>
          <w:color w:val="000000" w:themeColor="text1"/>
          <w:sz w:val="28"/>
          <w:szCs w:val="28"/>
        </w:rPr>
        <w:t>4</w:t>
      </w:r>
      <w:r w:rsidRPr="003D1614">
        <w:rPr>
          <w:rFonts w:ascii="Arial" w:eastAsia="Times New Roman" w:hAnsi="Arial" w:cs="Arial"/>
          <w:b/>
          <w:color w:val="000000" w:themeColor="text1"/>
          <w:sz w:val="28"/>
          <w:szCs w:val="28"/>
        </w:rPr>
        <w:t>.</w:t>
      </w:r>
    </w:p>
    <w:p w14:paraId="4EA9D7A4" w14:textId="77777777" w:rsidR="00D101AE" w:rsidRPr="003D1614" w:rsidRDefault="00D101AE">
      <w:pPr>
        <w:rPr>
          <w:rFonts w:ascii="Arial" w:hAnsi="Arial" w:cs="Arial"/>
          <w:sz w:val="20"/>
          <w:szCs w:val="20"/>
        </w:rPr>
      </w:pPr>
    </w:p>
    <w:p w14:paraId="3E4ECFEF" w14:textId="77777777" w:rsidR="00753D23" w:rsidRPr="003D1614" w:rsidRDefault="00753D23" w:rsidP="00753D23">
      <w:pPr>
        <w:jc w:val="center"/>
        <w:rPr>
          <w:rFonts w:ascii="Arial" w:hAnsi="Arial" w:cs="Arial"/>
          <w:color w:val="000000" w:themeColor="text1"/>
          <w:sz w:val="20"/>
          <w:szCs w:val="20"/>
        </w:rPr>
      </w:pPr>
    </w:p>
    <w:p w14:paraId="404DB9BB" w14:textId="77777777" w:rsidR="00753D23" w:rsidRPr="003D1614" w:rsidRDefault="00753D23" w:rsidP="00753D23">
      <w:pPr>
        <w:jc w:val="center"/>
        <w:rPr>
          <w:rFonts w:ascii="Arial" w:hAnsi="Arial" w:cs="Arial"/>
          <w:color w:val="000000" w:themeColor="text1"/>
          <w:sz w:val="20"/>
          <w:szCs w:val="20"/>
        </w:rPr>
      </w:pPr>
    </w:p>
    <w:p w14:paraId="71FD677A" w14:textId="77777777" w:rsidR="00753D23" w:rsidRPr="003D1614" w:rsidRDefault="00753D23" w:rsidP="00753D23">
      <w:pPr>
        <w:jc w:val="center"/>
        <w:rPr>
          <w:rFonts w:ascii="Arial" w:hAnsi="Arial" w:cs="Arial"/>
          <w:color w:val="000000" w:themeColor="text1"/>
          <w:sz w:val="20"/>
          <w:szCs w:val="20"/>
        </w:rPr>
      </w:pPr>
    </w:p>
    <w:p w14:paraId="0418A80B" w14:textId="77777777" w:rsidR="00753D23" w:rsidRPr="003D1614" w:rsidRDefault="00753D23" w:rsidP="00753D23">
      <w:pPr>
        <w:jc w:val="center"/>
        <w:rPr>
          <w:rFonts w:ascii="Arial" w:hAnsi="Arial" w:cs="Arial"/>
          <w:color w:val="000000" w:themeColor="text1"/>
          <w:sz w:val="20"/>
          <w:szCs w:val="20"/>
        </w:rPr>
      </w:pPr>
    </w:p>
    <w:p w14:paraId="55568076" w14:textId="77777777" w:rsidR="00753D23" w:rsidRPr="003D1614" w:rsidRDefault="00753D23" w:rsidP="00753D23">
      <w:pPr>
        <w:jc w:val="center"/>
        <w:rPr>
          <w:rFonts w:ascii="Arial" w:hAnsi="Arial" w:cs="Arial"/>
          <w:color w:val="000000" w:themeColor="text1"/>
          <w:sz w:val="20"/>
          <w:szCs w:val="20"/>
        </w:rPr>
      </w:pPr>
    </w:p>
    <w:p w14:paraId="5E12D44F" w14:textId="77777777" w:rsidR="00753D23" w:rsidRPr="003D1614" w:rsidRDefault="00753D23" w:rsidP="00753D23">
      <w:pPr>
        <w:jc w:val="center"/>
        <w:rPr>
          <w:rFonts w:ascii="Arial" w:hAnsi="Arial" w:cs="Arial"/>
          <w:color w:val="000000" w:themeColor="text1"/>
          <w:sz w:val="20"/>
          <w:szCs w:val="20"/>
        </w:rPr>
      </w:pPr>
    </w:p>
    <w:p w14:paraId="0D719934" w14:textId="77777777" w:rsidR="00753D23" w:rsidRPr="003D1614" w:rsidRDefault="00753D23" w:rsidP="00753D23">
      <w:pPr>
        <w:jc w:val="center"/>
        <w:rPr>
          <w:rFonts w:ascii="Arial" w:hAnsi="Arial" w:cs="Arial"/>
          <w:color w:val="000000" w:themeColor="text1"/>
          <w:sz w:val="20"/>
          <w:szCs w:val="20"/>
        </w:rPr>
      </w:pPr>
    </w:p>
    <w:p w14:paraId="106F42ED" w14:textId="77777777" w:rsidR="00753D23" w:rsidRPr="003D1614" w:rsidRDefault="00753D23" w:rsidP="00753D23">
      <w:pPr>
        <w:jc w:val="center"/>
        <w:rPr>
          <w:rFonts w:ascii="Arial" w:hAnsi="Arial" w:cs="Arial"/>
          <w:color w:val="000000" w:themeColor="text1"/>
          <w:sz w:val="20"/>
          <w:szCs w:val="20"/>
        </w:rPr>
      </w:pPr>
    </w:p>
    <w:p w14:paraId="6D80DF17" w14:textId="77777777" w:rsidR="00753D23" w:rsidRPr="003D1614" w:rsidRDefault="00753D23" w:rsidP="00753D23">
      <w:pPr>
        <w:jc w:val="center"/>
        <w:rPr>
          <w:rFonts w:ascii="Arial" w:hAnsi="Arial" w:cs="Arial"/>
          <w:color w:val="000000" w:themeColor="text1"/>
          <w:sz w:val="20"/>
          <w:szCs w:val="20"/>
        </w:rPr>
      </w:pPr>
    </w:p>
    <w:p w14:paraId="5C2DF67F" w14:textId="77777777" w:rsidR="00753D23" w:rsidRPr="003D1614" w:rsidRDefault="00753D23" w:rsidP="00753D23">
      <w:pPr>
        <w:jc w:val="center"/>
        <w:rPr>
          <w:rFonts w:ascii="Arial" w:hAnsi="Arial" w:cs="Arial"/>
          <w:color w:val="000000" w:themeColor="text1"/>
          <w:sz w:val="20"/>
          <w:szCs w:val="20"/>
        </w:rPr>
      </w:pPr>
    </w:p>
    <w:p w14:paraId="090F54F0" w14:textId="77777777" w:rsidR="00753D23" w:rsidRPr="003D1614" w:rsidRDefault="00753D23" w:rsidP="00753D23">
      <w:pPr>
        <w:jc w:val="center"/>
        <w:rPr>
          <w:rFonts w:ascii="Arial" w:hAnsi="Arial" w:cs="Arial"/>
          <w:color w:val="000000" w:themeColor="text1"/>
          <w:sz w:val="20"/>
          <w:szCs w:val="20"/>
        </w:rPr>
      </w:pPr>
    </w:p>
    <w:p w14:paraId="4E22ECAE" w14:textId="77777777" w:rsidR="00753D23" w:rsidRPr="003D1614" w:rsidRDefault="00753D23" w:rsidP="00753D23">
      <w:pPr>
        <w:jc w:val="center"/>
        <w:rPr>
          <w:rFonts w:ascii="Arial" w:hAnsi="Arial" w:cs="Arial"/>
          <w:color w:val="000000" w:themeColor="text1"/>
          <w:sz w:val="20"/>
          <w:szCs w:val="20"/>
        </w:rPr>
      </w:pPr>
    </w:p>
    <w:p w14:paraId="76F3B347" w14:textId="77777777" w:rsidR="00753D23" w:rsidRPr="003D1614" w:rsidRDefault="00753D23" w:rsidP="00753D23">
      <w:pPr>
        <w:jc w:val="center"/>
        <w:rPr>
          <w:rFonts w:ascii="Arial" w:hAnsi="Arial" w:cs="Arial"/>
          <w:color w:val="000000" w:themeColor="text1"/>
          <w:sz w:val="20"/>
          <w:szCs w:val="20"/>
        </w:rPr>
      </w:pPr>
    </w:p>
    <w:p w14:paraId="50494387" w14:textId="77777777" w:rsidR="00753D23" w:rsidRPr="003D1614" w:rsidRDefault="00753D23" w:rsidP="00753D23">
      <w:pPr>
        <w:jc w:val="center"/>
        <w:rPr>
          <w:rFonts w:ascii="Arial" w:hAnsi="Arial" w:cs="Arial"/>
          <w:color w:val="000000" w:themeColor="text1"/>
          <w:sz w:val="20"/>
          <w:szCs w:val="20"/>
        </w:rPr>
      </w:pPr>
    </w:p>
    <w:p w14:paraId="7BCB92E9" w14:textId="77777777" w:rsidR="00753D23" w:rsidRPr="003D1614" w:rsidRDefault="00753D23" w:rsidP="00753D23">
      <w:pPr>
        <w:jc w:val="center"/>
        <w:rPr>
          <w:rFonts w:ascii="Arial" w:hAnsi="Arial" w:cs="Arial"/>
          <w:color w:val="000000" w:themeColor="text1"/>
          <w:sz w:val="20"/>
          <w:szCs w:val="20"/>
        </w:rPr>
      </w:pPr>
    </w:p>
    <w:p w14:paraId="00A3E09B" w14:textId="77777777" w:rsidR="00753D23" w:rsidRPr="003D1614" w:rsidRDefault="00753D23" w:rsidP="00753D23">
      <w:pPr>
        <w:jc w:val="center"/>
        <w:rPr>
          <w:rFonts w:ascii="Arial" w:hAnsi="Arial" w:cs="Arial"/>
          <w:color w:val="000000" w:themeColor="text1"/>
          <w:sz w:val="20"/>
          <w:szCs w:val="20"/>
        </w:rPr>
      </w:pPr>
    </w:p>
    <w:p w14:paraId="6803DA1D" w14:textId="77777777" w:rsidR="00753D23" w:rsidRPr="003D1614" w:rsidRDefault="00753D23" w:rsidP="00753D23">
      <w:pPr>
        <w:jc w:val="center"/>
        <w:rPr>
          <w:rFonts w:ascii="Arial" w:hAnsi="Arial" w:cs="Arial"/>
          <w:color w:val="000000" w:themeColor="text1"/>
          <w:sz w:val="20"/>
          <w:szCs w:val="20"/>
        </w:rPr>
      </w:pPr>
    </w:p>
    <w:p w14:paraId="2C183AE3" w14:textId="77777777" w:rsidR="00753D23" w:rsidRPr="003D1614" w:rsidRDefault="00753D23" w:rsidP="00753D23">
      <w:pPr>
        <w:jc w:val="center"/>
        <w:rPr>
          <w:rFonts w:ascii="Arial" w:hAnsi="Arial" w:cs="Arial"/>
          <w:color w:val="000000" w:themeColor="text1"/>
          <w:sz w:val="20"/>
          <w:szCs w:val="20"/>
        </w:rPr>
      </w:pPr>
    </w:p>
    <w:p w14:paraId="36414526" w14:textId="77777777" w:rsidR="00753D23" w:rsidRPr="003D1614" w:rsidRDefault="00753D23" w:rsidP="00753D23">
      <w:pPr>
        <w:jc w:val="center"/>
        <w:rPr>
          <w:rFonts w:ascii="Arial" w:hAnsi="Arial" w:cs="Arial"/>
          <w:color w:val="000000" w:themeColor="text1"/>
          <w:sz w:val="20"/>
          <w:szCs w:val="20"/>
        </w:rPr>
      </w:pPr>
    </w:p>
    <w:p w14:paraId="750D7F1C" w14:textId="77777777" w:rsidR="00753D23" w:rsidRPr="003D1614" w:rsidRDefault="00753D23" w:rsidP="00753D23">
      <w:pPr>
        <w:jc w:val="center"/>
        <w:rPr>
          <w:rFonts w:ascii="Arial" w:hAnsi="Arial" w:cs="Arial"/>
          <w:color w:val="000000" w:themeColor="text1"/>
          <w:sz w:val="20"/>
          <w:szCs w:val="20"/>
        </w:rPr>
      </w:pPr>
    </w:p>
    <w:p w14:paraId="1E6412AE" w14:textId="77777777" w:rsidR="00753D23" w:rsidRPr="003D1614" w:rsidRDefault="00753D23" w:rsidP="00753D23">
      <w:pPr>
        <w:jc w:val="center"/>
        <w:rPr>
          <w:rFonts w:ascii="Arial" w:hAnsi="Arial" w:cs="Arial"/>
          <w:color w:val="000000" w:themeColor="text1"/>
          <w:sz w:val="20"/>
          <w:szCs w:val="20"/>
        </w:rPr>
      </w:pPr>
    </w:p>
    <w:p w14:paraId="10AD2350" w14:textId="77777777" w:rsidR="00753D23" w:rsidRPr="003D1614" w:rsidRDefault="00753D23" w:rsidP="00AD2D70">
      <w:pPr>
        <w:rPr>
          <w:rFonts w:ascii="Arial" w:hAnsi="Arial" w:cs="Arial"/>
          <w:color w:val="000000" w:themeColor="text1"/>
          <w:sz w:val="20"/>
          <w:szCs w:val="20"/>
        </w:rPr>
      </w:pPr>
    </w:p>
    <w:p w14:paraId="2337DF5F" w14:textId="77777777" w:rsidR="00753D23" w:rsidRPr="003D1614" w:rsidRDefault="00753D23" w:rsidP="00753D23">
      <w:pPr>
        <w:jc w:val="center"/>
        <w:rPr>
          <w:rFonts w:ascii="Arial" w:hAnsi="Arial" w:cs="Arial"/>
          <w:color w:val="000000" w:themeColor="text1"/>
          <w:sz w:val="20"/>
          <w:szCs w:val="20"/>
        </w:rPr>
      </w:pPr>
    </w:p>
    <w:p w14:paraId="3B5B410E" w14:textId="77777777" w:rsidR="00753D23" w:rsidRPr="003D1614" w:rsidRDefault="00753D23" w:rsidP="00753D23">
      <w:pPr>
        <w:jc w:val="center"/>
        <w:rPr>
          <w:rFonts w:ascii="Arial" w:hAnsi="Arial" w:cs="Arial"/>
          <w:color w:val="000000" w:themeColor="text1"/>
          <w:sz w:val="20"/>
          <w:szCs w:val="20"/>
        </w:rPr>
      </w:pPr>
    </w:p>
    <w:p w14:paraId="217D99A4" w14:textId="77777777" w:rsidR="00753D23" w:rsidRPr="003D1614" w:rsidRDefault="00753D23" w:rsidP="00753D23">
      <w:pPr>
        <w:jc w:val="center"/>
        <w:rPr>
          <w:rFonts w:ascii="Arial" w:hAnsi="Arial" w:cs="Arial"/>
          <w:color w:val="000000" w:themeColor="text1"/>
          <w:sz w:val="20"/>
          <w:szCs w:val="20"/>
        </w:rPr>
      </w:pPr>
    </w:p>
    <w:p w14:paraId="2F1FDAF4" w14:textId="77777777" w:rsidR="00753D23" w:rsidRPr="003D1614" w:rsidRDefault="00753D23" w:rsidP="00753D23">
      <w:pPr>
        <w:jc w:val="center"/>
        <w:rPr>
          <w:rFonts w:ascii="Arial" w:hAnsi="Arial" w:cs="Arial"/>
          <w:color w:val="000000" w:themeColor="text1"/>
          <w:sz w:val="20"/>
          <w:szCs w:val="20"/>
        </w:rPr>
      </w:pPr>
    </w:p>
    <w:p w14:paraId="7B24D377" w14:textId="77777777" w:rsidR="00753D23" w:rsidRPr="003D1614" w:rsidRDefault="00753D23" w:rsidP="00753D23">
      <w:pPr>
        <w:jc w:val="center"/>
        <w:rPr>
          <w:rFonts w:ascii="Arial" w:hAnsi="Arial" w:cs="Arial"/>
          <w:color w:val="000000" w:themeColor="text1"/>
          <w:sz w:val="20"/>
          <w:szCs w:val="20"/>
        </w:rPr>
      </w:pPr>
    </w:p>
    <w:p w14:paraId="550A06CC" w14:textId="77777777" w:rsidR="00753D23" w:rsidRPr="003D1614" w:rsidRDefault="00753D23" w:rsidP="00753D23">
      <w:pPr>
        <w:jc w:val="center"/>
        <w:rPr>
          <w:rFonts w:ascii="Arial" w:hAnsi="Arial" w:cs="Arial"/>
          <w:color w:val="000000" w:themeColor="text1"/>
          <w:sz w:val="20"/>
          <w:szCs w:val="20"/>
        </w:rPr>
      </w:pPr>
    </w:p>
    <w:p w14:paraId="0FBE811E" w14:textId="77777777" w:rsidR="00753D23" w:rsidRPr="003D1614" w:rsidRDefault="00753D23" w:rsidP="00753D23">
      <w:pPr>
        <w:jc w:val="center"/>
        <w:rPr>
          <w:rFonts w:ascii="Arial" w:hAnsi="Arial" w:cs="Arial"/>
          <w:color w:val="000000" w:themeColor="text1"/>
          <w:sz w:val="20"/>
          <w:szCs w:val="20"/>
        </w:rPr>
      </w:pPr>
    </w:p>
    <w:p w14:paraId="11DE1F67" w14:textId="2EE022C0" w:rsidR="00753D23" w:rsidRPr="003D1614" w:rsidRDefault="00753D23" w:rsidP="00753D23">
      <w:pPr>
        <w:jc w:val="center"/>
        <w:rPr>
          <w:rFonts w:ascii="Arial" w:hAnsi="Arial" w:cs="Arial"/>
          <w:color w:val="000000" w:themeColor="text1"/>
          <w:sz w:val="20"/>
          <w:szCs w:val="20"/>
        </w:rPr>
        <w:sectPr w:rsidR="00753D23" w:rsidRPr="003D1614" w:rsidSect="00A56428">
          <w:pgSz w:w="11906" w:h="16838" w:code="9"/>
          <w:pgMar w:top="1418" w:right="1418" w:bottom="1418" w:left="1418" w:header="709" w:footer="709" w:gutter="0"/>
          <w:cols w:space="708"/>
          <w:docGrid w:linePitch="360"/>
        </w:sectPr>
      </w:pPr>
      <w:r w:rsidRPr="003D1614">
        <w:rPr>
          <w:rFonts w:ascii="Arial" w:hAnsi="Arial" w:cs="Arial"/>
          <w:color w:val="000000" w:themeColor="text1"/>
          <w:sz w:val="20"/>
          <w:szCs w:val="20"/>
        </w:rPr>
        <w:t>Zagreb</w:t>
      </w:r>
      <w:r w:rsidRPr="00CD6162">
        <w:rPr>
          <w:rFonts w:ascii="Arial" w:hAnsi="Arial" w:cs="Arial"/>
          <w:color w:val="000000" w:themeColor="text1"/>
          <w:sz w:val="20"/>
          <w:szCs w:val="20"/>
        </w:rPr>
        <w:t>, s</w:t>
      </w:r>
      <w:r w:rsidR="00981E39" w:rsidRPr="00CD6162">
        <w:rPr>
          <w:rFonts w:ascii="Arial" w:hAnsi="Arial" w:cs="Arial"/>
          <w:color w:val="000000" w:themeColor="text1"/>
          <w:sz w:val="20"/>
          <w:szCs w:val="20"/>
        </w:rPr>
        <w:t xml:space="preserve">vibanj </w:t>
      </w:r>
      <w:r w:rsidRPr="00CD6162">
        <w:rPr>
          <w:rFonts w:ascii="Arial" w:hAnsi="Arial" w:cs="Arial"/>
          <w:color w:val="000000" w:themeColor="text1"/>
          <w:sz w:val="20"/>
          <w:szCs w:val="20"/>
        </w:rPr>
        <w:t>202</w:t>
      </w:r>
      <w:r w:rsidR="00D81A81">
        <w:rPr>
          <w:rFonts w:ascii="Arial" w:hAnsi="Arial" w:cs="Arial"/>
          <w:color w:val="000000" w:themeColor="text1"/>
          <w:sz w:val="20"/>
          <w:szCs w:val="20"/>
        </w:rPr>
        <w:t>4</w:t>
      </w:r>
      <w:r w:rsidRPr="003D1614">
        <w:rPr>
          <w:rFonts w:ascii="Arial" w:hAnsi="Arial" w:cs="Arial"/>
          <w:color w:val="000000" w:themeColor="text1"/>
          <w:sz w:val="20"/>
          <w:szCs w:val="20"/>
        </w:rPr>
        <w:t>. godine</w:t>
      </w:r>
    </w:p>
    <w:p w14:paraId="67835596" w14:textId="77777777" w:rsidR="00340D87" w:rsidRPr="003D1614" w:rsidRDefault="00340D87">
      <w:pPr>
        <w:rPr>
          <w:rFonts w:ascii="Arial" w:hAnsi="Arial" w:cs="Arial"/>
          <w:sz w:val="20"/>
          <w:szCs w:val="20"/>
        </w:rPr>
      </w:pPr>
    </w:p>
    <w:p w14:paraId="7EA166D5" w14:textId="77777777" w:rsidR="00937272" w:rsidRPr="003D1614" w:rsidRDefault="00937272" w:rsidP="00937272">
      <w:pPr>
        <w:jc w:val="center"/>
        <w:rPr>
          <w:rFonts w:ascii="Arial" w:hAnsi="Arial" w:cs="Arial"/>
          <w:color w:val="000000" w:themeColor="text1"/>
        </w:rPr>
      </w:pPr>
    </w:p>
    <w:p w14:paraId="10F2E461" w14:textId="77777777" w:rsidR="00937272" w:rsidRPr="003D1614" w:rsidRDefault="00937272" w:rsidP="00937272">
      <w:pPr>
        <w:jc w:val="center"/>
        <w:rPr>
          <w:rFonts w:ascii="Arial" w:hAnsi="Arial" w:cs="Arial"/>
          <w:color w:val="000000" w:themeColor="text1"/>
        </w:rPr>
      </w:pPr>
    </w:p>
    <w:tbl>
      <w:tblPr>
        <w:tblW w:w="9487" w:type="dxa"/>
        <w:tblInd w:w="-132" w:type="dxa"/>
        <w:tblLook w:val="01E0" w:firstRow="1" w:lastRow="1" w:firstColumn="1" w:lastColumn="1" w:noHBand="0" w:noVBand="0"/>
      </w:tblPr>
      <w:tblGrid>
        <w:gridCol w:w="8429"/>
        <w:gridCol w:w="1058"/>
      </w:tblGrid>
      <w:tr w:rsidR="00937272" w:rsidRPr="003D1614" w14:paraId="0A5ADA22" w14:textId="77777777" w:rsidTr="00964790">
        <w:tc>
          <w:tcPr>
            <w:tcW w:w="8429" w:type="dxa"/>
            <w:vAlign w:val="bottom"/>
          </w:tcPr>
          <w:p w14:paraId="51301F66" w14:textId="77777777" w:rsidR="00937272" w:rsidRPr="003D1614" w:rsidRDefault="00937272" w:rsidP="00964790">
            <w:pPr>
              <w:spacing w:after="160" w:line="259" w:lineRule="auto"/>
              <w:rPr>
                <w:rFonts w:ascii="Arial" w:hAnsi="Arial" w:cs="Arial"/>
                <w:color w:val="000000" w:themeColor="text1"/>
                <w:sz w:val="20"/>
                <w:szCs w:val="20"/>
              </w:rPr>
            </w:pPr>
          </w:p>
        </w:tc>
        <w:tc>
          <w:tcPr>
            <w:tcW w:w="1058" w:type="dxa"/>
            <w:vAlign w:val="bottom"/>
          </w:tcPr>
          <w:p w14:paraId="3E3174CE" w14:textId="77777777" w:rsidR="00937272" w:rsidRPr="003D1614" w:rsidRDefault="00937272" w:rsidP="00964790">
            <w:pPr>
              <w:spacing w:before="120"/>
              <w:jc w:val="right"/>
              <w:rPr>
                <w:rFonts w:ascii="Arial" w:hAnsi="Arial" w:cs="Arial"/>
                <w:color w:val="000000" w:themeColor="text1"/>
                <w:sz w:val="20"/>
                <w:szCs w:val="20"/>
              </w:rPr>
            </w:pPr>
            <w:r w:rsidRPr="003D1614">
              <w:rPr>
                <w:rFonts w:ascii="Arial" w:hAnsi="Arial" w:cs="Arial"/>
                <w:color w:val="000000" w:themeColor="text1"/>
                <w:sz w:val="20"/>
                <w:szCs w:val="20"/>
              </w:rPr>
              <w:t>Stranica</w:t>
            </w:r>
          </w:p>
        </w:tc>
      </w:tr>
      <w:tr w:rsidR="00937272" w:rsidRPr="003D1614" w14:paraId="14CF0C17" w14:textId="77777777" w:rsidTr="00964790">
        <w:tc>
          <w:tcPr>
            <w:tcW w:w="8429" w:type="dxa"/>
            <w:vAlign w:val="bottom"/>
          </w:tcPr>
          <w:p w14:paraId="5A6EEEEA" w14:textId="77777777" w:rsidR="00937272" w:rsidRPr="003D1614" w:rsidRDefault="00937272" w:rsidP="00964790">
            <w:pPr>
              <w:spacing w:after="160" w:line="259" w:lineRule="auto"/>
              <w:rPr>
                <w:rFonts w:ascii="Arial" w:hAnsi="Arial" w:cs="Arial"/>
                <w:color w:val="000000" w:themeColor="text1"/>
                <w:sz w:val="20"/>
                <w:szCs w:val="20"/>
              </w:rPr>
            </w:pPr>
          </w:p>
        </w:tc>
        <w:tc>
          <w:tcPr>
            <w:tcW w:w="1058" w:type="dxa"/>
            <w:vAlign w:val="bottom"/>
          </w:tcPr>
          <w:p w14:paraId="6CD0796C"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07AB73AC" w14:textId="77777777" w:rsidTr="00964790">
        <w:tc>
          <w:tcPr>
            <w:tcW w:w="8429" w:type="dxa"/>
            <w:vAlign w:val="bottom"/>
          </w:tcPr>
          <w:p w14:paraId="660F788A"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Odgovornosti Uprave i Nadzornog odbora za pripremu i prihvaćanje skraćenih odvojenih i konsolidiranih financijskih izvještaja</w:t>
            </w:r>
          </w:p>
        </w:tc>
        <w:tc>
          <w:tcPr>
            <w:tcW w:w="1058" w:type="dxa"/>
            <w:vAlign w:val="bottom"/>
          </w:tcPr>
          <w:p w14:paraId="7A902A15" w14:textId="1487C7A9"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3</w:t>
            </w:r>
          </w:p>
        </w:tc>
      </w:tr>
      <w:tr w:rsidR="00937272" w:rsidRPr="003D1614" w14:paraId="6D9394B0" w14:textId="77777777" w:rsidTr="00964790">
        <w:tc>
          <w:tcPr>
            <w:tcW w:w="8429" w:type="dxa"/>
            <w:vAlign w:val="bottom"/>
          </w:tcPr>
          <w:p w14:paraId="578153B1"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17748EB6"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1CD0D71A" w14:textId="77777777" w:rsidTr="00964790">
        <w:trPr>
          <w:trHeight w:val="281"/>
        </w:trPr>
        <w:tc>
          <w:tcPr>
            <w:tcW w:w="8429" w:type="dxa"/>
            <w:vAlign w:val="bottom"/>
          </w:tcPr>
          <w:p w14:paraId="51BC0318"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Skraćeni konsolidirani financijski izvještaji Grupe:</w:t>
            </w:r>
          </w:p>
        </w:tc>
        <w:tc>
          <w:tcPr>
            <w:tcW w:w="1058" w:type="dxa"/>
            <w:vAlign w:val="bottom"/>
          </w:tcPr>
          <w:p w14:paraId="34CFA3EF" w14:textId="38035C36"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4</w:t>
            </w:r>
          </w:p>
        </w:tc>
      </w:tr>
      <w:tr w:rsidR="00937272" w:rsidRPr="003D1614" w14:paraId="3CA44755" w14:textId="77777777" w:rsidTr="00964790">
        <w:tc>
          <w:tcPr>
            <w:tcW w:w="8429" w:type="dxa"/>
            <w:vAlign w:val="bottom"/>
          </w:tcPr>
          <w:p w14:paraId="12D8BAAB"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Račun dobiti i gubitka</w:t>
            </w:r>
          </w:p>
        </w:tc>
        <w:tc>
          <w:tcPr>
            <w:tcW w:w="1058" w:type="dxa"/>
            <w:vAlign w:val="bottom"/>
          </w:tcPr>
          <w:p w14:paraId="1F7DEAC5" w14:textId="73F557D5"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4</w:t>
            </w:r>
          </w:p>
        </w:tc>
      </w:tr>
      <w:tr w:rsidR="00937272" w:rsidRPr="003D1614" w14:paraId="1E775C12" w14:textId="77777777" w:rsidTr="00964790">
        <w:tc>
          <w:tcPr>
            <w:tcW w:w="8429" w:type="dxa"/>
            <w:vAlign w:val="bottom"/>
          </w:tcPr>
          <w:p w14:paraId="05515176"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1BAEDD95"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51D7D5A6" w14:textId="77777777" w:rsidTr="00964790">
        <w:tc>
          <w:tcPr>
            <w:tcW w:w="8429" w:type="dxa"/>
            <w:vAlign w:val="bottom"/>
          </w:tcPr>
          <w:p w14:paraId="6413E831"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dobiti i gubitku te ostaloj sveobuhvatnoj dobiti</w:t>
            </w:r>
          </w:p>
        </w:tc>
        <w:tc>
          <w:tcPr>
            <w:tcW w:w="1058" w:type="dxa"/>
            <w:vAlign w:val="bottom"/>
          </w:tcPr>
          <w:p w14:paraId="6ABF8ED8" w14:textId="26378CE1"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5</w:t>
            </w:r>
          </w:p>
        </w:tc>
      </w:tr>
      <w:tr w:rsidR="00937272" w:rsidRPr="003D1614" w14:paraId="0AE5AF05" w14:textId="77777777" w:rsidTr="00964790">
        <w:tc>
          <w:tcPr>
            <w:tcW w:w="8429" w:type="dxa"/>
            <w:vAlign w:val="bottom"/>
          </w:tcPr>
          <w:p w14:paraId="602C31B2"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1A7B6530"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4282ED19" w14:textId="77777777" w:rsidTr="00964790">
        <w:tc>
          <w:tcPr>
            <w:tcW w:w="8429" w:type="dxa"/>
            <w:vAlign w:val="bottom"/>
          </w:tcPr>
          <w:p w14:paraId="2877F85B"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financijskom položaju</w:t>
            </w:r>
          </w:p>
        </w:tc>
        <w:tc>
          <w:tcPr>
            <w:tcW w:w="1058" w:type="dxa"/>
            <w:shd w:val="clear" w:color="auto" w:fill="auto"/>
            <w:vAlign w:val="bottom"/>
          </w:tcPr>
          <w:p w14:paraId="1D7F94FA" w14:textId="3C244903"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6</w:t>
            </w:r>
          </w:p>
        </w:tc>
      </w:tr>
      <w:tr w:rsidR="00937272" w:rsidRPr="003D1614" w14:paraId="30C63FD7" w14:textId="77777777" w:rsidTr="00964790">
        <w:tc>
          <w:tcPr>
            <w:tcW w:w="8429" w:type="dxa"/>
            <w:vAlign w:val="bottom"/>
          </w:tcPr>
          <w:p w14:paraId="33CEAD5A" w14:textId="77777777" w:rsidR="00937272" w:rsidRPr="003D1614" w:rsidRDefault="00937272" w:rsidP="00964790">
            <w:pPr>
              <w:spacing w:before="120"/>
              <w:rPr>
                <w:rFonts w:ascii="Arial" w:hAnsi="Arial" w:cs="Arial"/>
                <w:color w:val="000000" w:themeColor="text1"/>
                <w:sz w:val="20"/>
                <w:szCs w:val="20"/>
              </w:rPr>
            </w:pPr>
          </w:p>
        </w:tc>
        <w:tc>
          <w:tcPr>
            <w:tcW w:w="1058" w:type="dxa"/>
            <w:shd w:val="clear" w:color="auto" w:fill="auto"/>
            <w:vAlign w:val="bottom"/>
          </w:tcPr>
          <w:p w14:paraId="1ADD244C"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386A0B32" w14:textId="77777777" w:rsidTr="00964790">
        <w:tc>
          <w:tcPr>
            <w:tcW w:w="8429" w:type="dxa"/>
            <w:vAlign w:val="bottom"/>
          </w:tcPr>
          <w:p w14:paraId="408BF8D7"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novčanim tokovima</w:t>
            </w:r>
          </w:p>
        </w:tc>
        <w:tc>
          <w:tcPr>
            <w:tcW w:w="1058" w:type="dxa"/>
            <w:shd w:val="clear" w:color="auto" w:fill="auto"/>
            <w:vAlign w:val="bottom"/>
          </w:tcPr>
          <w:p w14:paraId="54D632DC" w14:textId="5711D78C"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7</w:t>
            </w:r>
          </w:p>
        </w:tc>
      </w:tr>
      <w:tr w:rsidR="00937272" w:rsidRPr="003D1614" w14:paraId="0A11082F" w14:textId="77777777" w:rsidTr="00964790">
        <w:tc>
          <w:tcPr>
            <w:tcW w:w="8429" w:type="dxa"/>
            <w:vAlign w:val="bottom"/>
          </w:tcPr>
          <w:p w14:paraId="573C5EDF" w14:textId="77777777" w:rsidR="00937272" w:rsidRPr="003D1614" w:rsidRDefault="00937272" w:rsidP="00964790">
            <w:pPr>
              <w:spacing w:before="120"/>
              <w:rPr>
                <w:rFonts w:ascii="Arial" w:hAnsi="Arial" w:cs="Arial"/>
                <w:color w:val="000000" w:themeColor="text1"/>
                <w:sz w:val="20"/>
                <w:szCs w:val="20"/>
              </w:rPr>
            </w:pPr>
          </w:p>
        </w:tc>
        <w:tc>
          <w:tcPr>
            <w:tcW w:w="1058" w:type="dxa"/>
            <w:shd w:val="clear" w:color="auto" w:fill="auto"/>
            <w:vAlign w:val="bottom"/>
          </w:tcPr>
          <w:p w14:paraId="42106575"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05BCAE1C" w14:textId="77777777" w:rsidTr="00964790">
        <w:tc>
          <w:tcPr>
            <w:tcW w:w="8429" w:type="dxa"/>
            <w:vAlign w:val="bottom"/>
          </w:tcPr>
          <w:p w14:paraId="4A739BE9"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promjenama na kapitalu i rezervama</w:t>
            </w:r>
          </w:p>
        </w:tc>
        <w:tc>
          <w:tcPr>
            <w:tcW w:w="1058" w:type="dxa"/>
            <w:shd w:val="clear" w:color="auto" w:fill="auto"/>
            <w:vAlign w:val="bottom"/>
          </w:tcPr>
          <w:p w14:paraId="50311342" w14:textId="6286FF6E"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8</w:t>
            </w:r>
          </w:p>
        </w:tc>
      </w:tr>
      <w:tr w:rsidR="00937272" w:rsidRPr="003D1614" w14:paraId="10D994D4" w14:textId="77777777" w:rsidTr="00964790">
        <w:tc>
          <w:tcPr>
            <w:tcW w:w="8429" w:type="dxa"/>
            <w:vAlign w:val="bottom"/>
          </w:tcPr>
          <w:p w14:paraId="32702790" w14:textId="77777777" w:rsidR="00937272" w:rsidRPr="003D1614" w:rsidRDefault="00937272" w:rsidP="00964790">
            <w:pPr>
              <w:spacing w:before="120"/>
              <w:rPr>
                <w:rFonts w:ascii="Arial" w:hAnsi="Arial" w:cs="Arial"/>
                <w:color w:val="000000" w:themeColor="text1"/>
                <w:sz w:val="20"/>
                <w:szCs w:val="20"/>
              </w:rPr>
            </w:pPr>
          </w:p>
        </w:tc>
        <w:tc>
          <w:tcPr>
            <w:tcW w:w="1058" w:type="dxa"/>
            <w:shd w:val="clear" w:color="auto" w:fill="auto"/>
            <w:vAlign w:val="bottom"/>
          </w:tcPr>
          <w:p w14:paraId="13AA8C6B"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4BCB03CF" w14:textId="77777777" w:rsidTr="00964790">
        <w:tc>
          <w:tcPr>
            <w:tcW w:w="8429" w:type="dxa"/>
            <w:vAlign w:val="bottom"/>
          </w:tcPr>
          <w:p w14:paraId="062F4616"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Skraćeni odvojeni financijski izvještaji Banke:</w:t>
            </w:r>
          </w:p>
        </w:tc>
        <w:tc>
          <w:tcPr>
            <w:tcW w:w="1058" w:type="dxa"/>
            <w:shd w:val="clear" w:color="auto" w:fill="auto"/>
            <w:vAlign w:val="bottom"/>
          </w:tcPr>
          <w:p w14:paraId="5EA06EE4" w14:textId="70021C8A"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9</w:t>
            </w:r>
          </w:p>
        </w:tc>
      </w:tr>
      <w:tr w:rsidR="00937272" w:rsidRPr="003D1614" w14:paraId="1648F1AE" w14:textId="77777777" w:rsidTr="00964790">
        <w:tc>
          <w:tcPr>
            <w:tcW w:w="8429" w:type="dxa"/>
            <w:vAlign w:val="bottom"/>
          </w:tcPr>
          <w:p w14:paraId="465DF404"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Račun dobiti i gubitka</w:t>
            </w:r>
          </w:p>
        </w:tc>
        <w:tc>
          <w:tcPr>
            <w:tcW w:w="1058" w:type="dxa"/>
            <w:shd w:val="clear" w:color="auto" w:fill="auto"/>
            <w:vAlign w:val="bottom"/>
          </w:tcPr>
          <w:p w14:paraId="1D6712CD" w14:textId="1C0DC475"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9</w:t>
            </w:r>
          </w:p>
        </w:tc>
      </w:tr>
      <w:tr w:rsidR="00937272" w:rsidRPr="003D1614" w14:paraId="250B05CA" w14:textId="77777777" w:rsidTr="00964790">
        <w:tc>
          <w:tcPr>
            <w:tcW w:w="8429" w:type="dxa"/>
            <w:vAlign w:val="bottom"/>
          </w:tcPr>
          <w:p w14:paraId="076C6453"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64517BE6"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2468B42D" w14:textId="77777777" w:rsidTr="00964790">
        <w:tc>
          <w:tcPr>
            <w:tcW w:w="8429" w:type="dxa"/>
            <w:vAlign w:val="bottom"/>
          </w:tcPr>
          <w:p w14:paraId="32E9EB0E"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dobiti i gubitku te ostaloj sveobuhvatnoj dobiti</w:t>
            </w:r>
          </w:p>
        </w:tc>
        <w:tc>
          <w:tcPr>
            <w:tcW w:w="1058" w:type="dxa"/>
            <w:vAlign w:val="bottom"/>
          </w:tcPr>
          <w:p w14:paraId="52EB354D" w14:textId="62C29031"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10</w:t>
            </w:r>
          </w:p>
        </w:tc>
      </w:tr>
      <w:tr w:rsidR="00937272" w:rsidRPr="003D1614" w14:paraId="08872D3C" w14:textId="77777777" w:rsidTr="00964790">
        <w:tc>
          <w:tcPr>
            <w:tcW w:w="8429" w:type="dxa"/>
            <w:vAlign w:val="bottom"/>
          </w:tcPr>
          <w:p w14:paraId="5FD4D6B9"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033E4FC7"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33141C82" w14:textId="77777777" w:rsidTr="00964790">
        <w:tc>
          <w:tcPr>
            <w:tcW w:w="8429" w:type="dxa"/>
            <w:vAlign w:val="bottom"/>
          </w:tcPr>
          <w:p w14:paraId="44DF0328"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financijskom položaju</w:t>
            </w:r>
          </w:p>
        </w:tc>
        <w:tc>
          <w:tcPr>
            <w:tcW w:w="1058" w:type="dxa"/>
            <w:vAlign w:val="bottom"/>
          </w:tcPr>
          <w:p w14:paraId="3A88F462" w14:textId="3BA72312"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11</w:t>
            </w:r>
          </w:p>
        </w:tc>
      </w:tr>
      <w:tr w:rsidR="00937272" w:rsidRPr="003D1614" w14:paraId="6FD698FB" w14:textId="77777777" w:rsidTr="00964790">
        <w:tc>
          <w:tcPr>
            <w:tcW w:w="8429" w:type="dxa"/>
            <w:vAlign w:val="bottom"/>
          </w:tcPr>
          <w:p w14:paraId="259676F4"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185E2C4F"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0D1D853F" w14:textId="77777777" w:rsidTr="00964790">
        <w:tc>
          <w:tcPr>
            <w:tcW w:w="8429" w:type="dxa"/>
            <w:vAlign w:val="bottom"/>
          </w:tcPr>
          <w:p w14:paraId="16B7BD90"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novčanim tokovima</w:t>
            </w:r>
          </w:p>
        </w:tc>
        <w:tc>
          <w:tcPr>
            <w:tcW w:w="1058" w:type="dxa"/>
            <w:vAlign w:val="bottom"/>
          </w:tcPr>
          <w:p w14:paraId="21EFF1D7" w14:textId="145EABA6"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12</w:t>
            </w:r>
          </w:p>
        </w:tc>
      </w:tr>
      <w:tr w:rsidR="00937272" w:rsidRPr="003D1614" w14:paraId="2A24F0C8" w14:textId="77777777" w:rsidTr="00964790">
        <w:tc>
          <w:tcPr>
            <w:tcW w:w="8429" w:type="dxa"/>
            <w:vAlign w:val="bottom"/>
          </w:tcPr>
          <w:p w14:paraId="408D87F2"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10A52263" w14:textId="77777777" w:rsidR="00937272" w:rsidRPr="003D1614" w:rsidRDefault="00937272" w:rsidP="00964790">
            <w:pPr>
              <w:spacing w:before="120"/>
              <w:jc w:val="right"/>
              <w:rPr>
                <w:rFonts w:ascii="Arial" w:hAnsi="Arial" w:cs="Arial"/>
                <w:color w:val="000000" w:themeColor="text1"/>
                <w:sz w:val="20"/>
                <w:szCs w:val="20"/>
              </w:rPr>
            </w:pPr>
          </w:p>
        </w:tc>
      </w:tr>
      <w:tr w:rsidR="00937272" w:rsidRPr="003D1614" w14:paraId="07C8B8E7" w14:textId="77777777" w:rsidTr="00964790">
        <w:tc>
          <w:tcPr>
            <w:tcW w:w="8429" w:type="dxa"/>
            <w:vAlign w:val="bottom"/>
          </w:tcPr>
          <w:p w14:paraId="6635E0B3" w14:textId="77777777" w:rsidR="00937272" w:rsidRPr="003D1614" w:rsidRDefault="00937272" w:rsidP="00964790">
            <w:pPr>
              <w:spacing w:before="120"/>
              <w:rPr>
                <w:rFonts w:ascii="Arial" w:hAnsi="Arial" w:cs="Arial"/>
                <w:color w:val="000000" w:themeColor="text1"/>
                <w:sz w:val="20"/>
                <w:szCs w:val="20"/>
              </w:rPr>
            </w:pPr>
            <w:r w:rsidRPr="003D1614">
              <w:rPr>
                <w:rFonts w:ascii="Arial" w:hAnsi="Arial" w:cs="Arial"/>
                <w:color w:val="000000" w:themeColor="text1"/>
                <w:sz w:val="20"/>
                <w:szCs w:val="20"/>
              </w:rPr>
              <w:t>Izvještaj o promjenama na kapitalu i rezervama</w:t>
            </w:r>
          </w:p>
        </w:tc>
        <w:tc>
          <w:tcPr>
            <w:tcW w:w="1058" w:type="dxa"/>
            <w:vAlign w:val="bottom"/>
          </w:tcPr>
          <w:p w14:paraId="3BFA2E23" w14:textId="054FFC26"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13</w:t>
            </w:r>
          </w:p>
        </w:tc>
      </w:tr>
      <w:tr w:rsidR="00937272" w:rsidRPr="003D1614" w14:paraId="0C5BA9C7" w14:textId="77777777" w:rsidTr="00964790">
        <w:tc>
          <w:tcPr>
            <w:tcW w:w="8429" w:type="dxa"/>
            <w:vAlign w:val="bottom"/>
          </w:tcPr>
          <w:p w14:paraId="3A6A34A2" w14:textId="77777777" w:rsidR="00937272" w:rsidRPr="003D1614" w:rsidRDefault="00937272" w:rsidP="00964790">
            <w:pPr>
              <w:spacing w:before="120"/>
              <w:rPr>
                <w:rFonts w:ascii="Arial" w:hAnsi="Arial" w:cs="Arial"/>
                <w:color w:val="000000" w:themeColor="text1"/>
                <w:sz w:val="20"/>
                <w:szCs w:val="20"/>
              </w:rPr>
            </w:pPr>
          </w:p>
        </w:tc>
        <w:tc>
          <w:tcPr>
            <w:tcW w:w="1058" w:type="dxa"/>
            <w:vAlign w:val="bottom"/>
          </w:tcPr>
          <w:p w14:paraId="177205F8" w14:textId="77777777" w:rsidR="00937272" w:rsidRPr="003D1614" w:rsidRDefault="00937272" w:rsidP="00964790">
            <w:pPr>
              <w:spacing w:before="120"/>
              <w:jc w:val="right"/>
              <w:rPr>
                <w:rFonts w:ascii="Arial" w:hAnsi="Arial" w:cs="Arial"/>
                <w:color w:val="000000" w:themeColor="text1"/>
                <w:sz w:val="20"/>
                <w:szCs w:val="20"/>
                <w:highlight w:val="yellow"/>
              </w:rPr>
            </w:pPr>
          </w:p>
        </w:tc>
      </w:tr>
      <w:tr w:rsidR="00937272" w:rsidRPr="003D1614" w14:paraId="1B9BA77A" w14:textId="77777777" w:rsidTr="00964790">
        <w:tc>
          <w:tcPr>
            <w:tcW w:w="8429" w:type="dxa"/>
            <w:vAlign w:val="bottom"/>
          </w:tcPr>
          <w:p w14:paraId="338CF0FD" w14:textId="77777777" w:rsidR="00937272" w:rsidRPr="003D1614" w:rsidRDefault="00937272" w:rsidP="00964790">
            <w:pPr>
              <w:pStyle w:val="PH"/>
              <w:spacing w:line="320" w:lineRule="exact"/>
              <w:rPr>
                <w:rFonts w:cs="Arial"/>
                <w:color w:val="000000" w:themeColor="text1"/>
                <w:sz w:val="20"/>
                <w:lang w:val="hr-HR"/>
              </w:rPr>
            </w:pPr>
            <w:r w:rsidRPr="003D1614">
              <w:rPr>
                <w:rFonts w:cs="Arial"/>
                <w:color w:val="000000" w:themeColor="text1"/>
                <w:sz w:val="20"/>
                <w:lang w:val="hr-HR"/>
              </w:rPr>
              <w:t xml:space="preserve">Bilješke uz skraćene financijske izvještaje koje obuhvaćaju važne računovodstvene politike i druga objašnjenja </w:t>
            </w:r>
          </w:p>
        </w:tc>
        <w:tc>
          <w:tcPr>
            <w:tcW w:w="1058" w:type="dxa"/>
            <w:shd w:val="clear" w:color="auto" w:fill="auto"/>
            <w:vAlign w:val="bottom"/>
          </w:tcPr>
          <w:p w14:paraId="4105EE81" w14:textId="277D9F96"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14-116</w:t>
            </w:r>
          </w:p>
        </w:tc>
      </w:tr>
      <w:tr w:rsidR="00937272" w:rsidRPr="003D1614" w14:paraId="2347AA9F" w14:textId="77777777" w:rsidTr="00964790">
        <w:trPr>
          <w:trHeight w:val="482"/>
        </w:trPr>
        <w:tc>
          <w:tcPr>
            <w:tcW w:w="8429" w:type="dxa"/>
            <w:vAlign w:val="bottom"/>
          </w:tcPr>
          <w:p w14:paraId="3D74BA47" w14:textId="77777777" w:rsidR="00937272" w:rsidRPr="003D1614" w:rsidRDefault="00937272" w:rsidP="00964790">
            <w:pPr>
              <w:pStyle w:val="PH"/>
              <w:spacing w:line="320" w:lineRule="exact"/>
              <w:rPr>
                <w:rFonts w:cs="Arial"/>
                <w:color w:val="000000" w:themeColor="text1"/>
                <w:sz w:val="20"/>
                <w:lang w:val="hr-HR"/>
              </w:rPr>
            </w:pPr>
            <w:r w:rsidRPr="003D1614">
              <w:rPr>
                <w:rFonts w:cs="Arial"/>
                <w:color w:val="000000" w:themeColor="text1"/>
                <w:sz w:val="20"/>
                <w:lang w:val="hr-HR"/>
              </w:rPr>
              <w:t>Dodatak – Financijsko poslovanje Grupe HKO</w:t>
            </w:r>
          </w:p>
        </w:tc>
        <w:tc>
          <w:tcPr>
            <w:tcW w:w="1058" w:type="dxa"/>
            <w:shd w:val="clear" w:color="auto" w:fill="auto"/>
            <w:vAlign w:val="bottom"/>
          </w:tcPr>
          <w:p w14:paraId="421B1028" w14:textId="221391A8" w:rsidR="00937272" w:rsidRPr="003D1614" w:rsidRDefault="003D1614" w:rsidP="00964790">
            <w:pPr>
              <w:spacing w:before="120"/>
              <w:jc w:val="right"/>
              <w:rPr>
                <w:rFonts w:ascii="Arial" w:hAnsi="Arial" w:cs="Arial"/>
                <w:color w:val="000000" w:themeColor="text1"/>
                <w:sz w:val="20"/>
                <w:szCs w:val="20"/>
              </w:rPr>
            </w:pPr>
            <w:r>
              <w:rPr>
                <w:rFonts w:ascii="Arial" w:hAnsi="Arial" w:cs="Arial"/>
                <w:color w:val="000000" w:themeColor="text1"/>
                <w:sz w:val="20"/>
                <w:szCs w:val="20"/>
              </w:rPr>
              <w:t>117-120</w:t>
            </w:r>
          </w:p>
        </w:tc>
      </w:tr>
    </w:tbl>
    <w:p w14:paraId="0F69524F" w14:textId="77777777" w:rsidR="00937272" w:rsidRPr="003D1614" w:rsidRDefault="00937272" w:rsidP="00937272">
      <w:pPr>
        <w:rPr>
          <w:rFonts w:ascii="Arial" w:hAnsi="Arial" w:cs="Arial"/>
          <w:color w:val="000000" w:themeColor="text1"/>
        </w:rPr>
      </w:pPr>
    </w:p>
    <w:p w14:paraId="40441826" w14:textId="77777777" w:rsidR="00937272" w:rsidRPr="003D1614" w:rsidRDefault="00937272" w:rsidP="00937272">
      <w:pPr>
        <w:rPr>
          <w:rFonts w:ascii="Arial" w:hAnsi="Arial" w:cs="Arial"/>
          <w:sz w:val="20"/>
          <w:szCs w:val="20"/>
        </w:rPr>
      </w:pPr>
    </w:p>
    <w:p w14:paraId="720AD33D" w14:textId="77777777" w:rsidR="00AE5D99" w:rsidRPr="003D1614" w:rsidRDefault="00AE5D99" w:rsidP="00937272">
      <w:pPr>
        <w:rPr>
          <w:rFonts w:ascii="Arial" w:hAnsi="Arial" w:cs="Arial"/>
          <w:sz w:val="20"/>
          <w:szCs w:val="20"/>
        </w:rPr>
        <w:sectPr w:rsidR="00AE5D99" w:rsidRPr="003D1614" w:rsidSect="004973A5">
          <w:headerReference w:type="default" r:id="rId8"/>
          <w:footerReference w:type="default" r:id="rId9"/>
          <w:pgSz w:w="11906" w:h="16838"/>
          <w:pgMar w:top="1417" w:right="1417" w:bottom="1417" w:left="1417" w:header="708" w:footer="708" w:gutter="0"/>
          <w:pgNumType w:start="2"/>
          <w:cols w:space="708"/>
          <w:docGrid w:linePitch="360"/>
        </w:sectPr>
      </w:pPr>
    </w:p>
    <w:p w14:paraId="539C0F28" w14:textId="77777777" w:rsidR="00937272" w:rsidRPr="003D1614" w:rsidRDefault="00937272" w:rsidP="00937272">
      <w:pPr>
        <w:rPr>
          <w:rFonts w:ascii="Arial" w:hAnsi="Arial" w:cs="Arial"/>
          <w:sz w:val="20"/>
          <w:szCs w:val="20"/>
        </w:rPr>
      </w:pPr>
    </w:p>
    <w:p w14:paraId="1A4C4EDA" w14:textId="77777777" w:rsidR="008513CA" w:rsidRPr="003D1614" w:rsidRDefault="008513CA" w:rsidP="008513CA">
      <w:pPr>
        <w:numPr>
          <w:ilvl w:val="12"/>
          <w:numId w:val="0"/>
        </w:num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s>
        <w:jc w:val="both"/>
        <w:rPr>
          <w:rFonts w:ascii="Arial" w:hAnsi="Arial" w:cs="Arial"/>
          <w:color w:val="000000" w:themeColor="text1"/>
          <w:lang w:eastAsia="hr-HR"/>
        </w:rPr>
      </w:pPr>
    </w:p>
    <w:p w14:paraId="7C79BC3C" w14:textId="608C2708" w:rsidR="008513CA" w:rsidRPr="003D1614" w:rsidRDefault="008513CA" w:rsidP="008513CA">
      <w:pPr>
        <w:numPr>
          <w:ilvl w:val="12"/>
          <w:numId w:val="0"/>
        </w:numPr>
        <w:jc w:val="both"/>
        <w:rPr>
          <w:rFonts w:ascii="Arial" w:hAnsi="Arial" w:cs="Arial"/>
          <w:color w:val="000000" w:themeColor="text1"/>
          <w:sz w:val="20"/>
          <w:szCs w:val="20"/>
        </w:rPr>
      </w:pPr>
      <w:r w:rsidRPr="003D1614">
        <w:rPr>
          <w:rFonts w:ascii="Arial" w:hAnsi="Arial" w:cs="Arial"/>
          <w:color w:val="000000" w:themeColor="text1"/>
          <w:sz w:val="20"/>
          <w:szCs w:val="20"/>
        </w:rPr>
        <w:t xml:space="preserve">Potvrđujemo da su, prema našem najboljem saznanju, skraćeni odvojeni financijski izvještaji Hrvatske banke za obnovu i razvitak („Banka“ ili „HBOR“) i skraćeni konsolidirani financijski izvještaji Grupe Hrvatska banka za obnovu i razvitak („Grupa“) prikazani na stranicama od </w:t>
      </w:r>
      <w:r w:rsidR="00054F7B">
        <w:rPr>
          <w:rFonts w:ascii="Arial" w:hAnsi="Arial" w:cs="Arial"/>
          <w:color w:val="000000" w:themeColor="text1"/>
          <w:sz w:val="20"/>
          <w:szCs w:val="20"/>
        </w:rPr>
        <w:t>4</w:t>
      </w:r>
      <w:r w:rsidRPr="003D1614">
        <w:rPr>
          <w:rFonts w:ascii="Arial" w:hAnsi="Arial" w:cs="Arial"/>
          <w:color w:val="000000" w:themeColor="text1"/>
          <w:sz w:val="20"/>
          <w:szCs w:val="20"/>
        </w:rPr>
        <w:t xml:space="preserve"> do </w:t>
      </w:r>
      <w:r w:rsidR="008774B9" w:rsidRPr="005D1219">
        <w:rPr>
          <w:rFonts w:ascii="Arial" w:hAnsi="Arial" w:cs="Arial"/>
          <w:color w:val="000000" w:themeColor="text1"/>
          <w:sz w:val="20"/>
          <w:szCs w:val="20"/>
        </w:rPr>
        <w:t>120</w:t>
      </w:r>
      <w:r w:rsidRPr="003D1614">
        <w:rPr>
          <w:rFonts w:ascii="Arial" w:hAnsi="Arial" w:cs="Arial"/>
          <w:color w:val="000000" w:themeColor="text1"/>
          <w:sz w:val="20"/>
          <w:szCs w:val="20"/>
        </w:rPr>
        <w:t xml:space="preserve"> sastavljeni uz primjenu Međunarodnog računovodstvenog standarda 34: ‘’Financijsko izvještavanje za razdoblja tijekom godine“ primjenjivim za sastavljanje financijskih izvještaja za razdoblja tijekom godine te da daju fer prikaz imovine, obveza, financijskog položaja, financijskog rezultata i novčanih tokova za izvještajno razdoblje.</w:t>
      </w:r>
    </w:p>
    <w:p w14:paraId="65374F18" w14:textId="77777777" w:rsidR="008513CA" w:rsidRPr="003D1614" w:rsidRDefault="008513CA" w:rsidP="008513CA">
      <w:pPr>
        <w:numPr>
          <w:ilvl w:val="12"/>
          <w:numId w:val="0"/>
        </w:numPr>
        <w:jc w:val="both"/>
        <w:rPr>
          <w:rFonts w:ascii="Arial" w:hAnsi="Arial" w:cs="Arial"/>
          <w:color w:val="000000" w:themeColor="text1"/>
          <w:sz w:val="20"/>
          <w:szCs w:val="20"/>
        </w:rPr>
      </w:pPr>
    </w:p>
    <w:p w14:paraId="15E22AF5" w14:textId="77777777" w:rsidR="008513CA" w:rsidRPr="003D1614" w:rsidRDefault="008513CA" w:rsidP="008513CA">
      <w:pPr>
        <w:numPr>
          <w:ilvl w:val="12"/>
          <w:numId w:val="0"/>
        </w:numPr>
        <w:jc w:val="both"/>
        <w:rPr>
          <w:rFonts w:ascii="Arial" w:hAnsi="Arial" w:cs="Arial"/>
          <w:color w:val="000000" w:themeColor="text1"/>
          <w:sz w:val="20"/>
          <w:szCs w:val="20"/>
        </w:rPr>
      </w:pPr>
      <w:r w:rsidRPr="003D1614">
        <w:rPr>
          <w:rFonts w:ascii="Arial" w:hAnsi="Arial" w:cs="Arial"/>
          <w:color w:val="000000" w:themeColor="text1"/>
          <w:sz w:val="20"/>
          <w:szCs w:val="20"/>
        </w:rPr>
        <w:t>Uprava ima opću odgovornost za poduzimanje koraka koji su joj u razumnoj mjeri dostupni kako bi joj omogućili očuvanje imovine Banke i Grupe te sprečavanje i otkrivanje prijevara i ostalih nepravilnosti.</w:t>
      </w:r>
    </w:p>
    <w:p w14:paraId="2096A750" w14:textId="77777777" w:rsidR="008513CA" w:rsidRPr="003D1614" w:rsidRDefault="008513CA" w:rsidP="008513CA">
      <w:pPr>
        <w:numPr>
          <w:ilvl w:val="12"/>
          <w:numId w:val="0"/>
        </w:numPr>
        <w:jc w:val="both"/>
        <w:rPr>
          <w:rFonts w:ascii="Arial" w:hAnsi="Arial" w:cs="Arial"/>
          <w:color w:val="000000" w:themeColor="text1"/>
          <w:sz w:val="20"/>
          <w:szCs w:val="20"/>
        </w:rPr>
      </w:pPr>
    </w:p>
    <w:p w14:paraId="4E9D6547" w14:textId="77777777" w:rsidR="008513CA" w:rsidRPr="003D1614" w:rsidRDefault="008513CA" w:rsidP="008513CA">
      <w:pPr>
        <w:numPr>
          <w:ilvl w:val="12"/>
          <w:numId w:val="0"/>
        </w:numPr>
        <w:jc w:val="both"/>
        <w:rPr>
          <w:rFonts w:ascii="Arial" w:hAnsi="Arial" w:cs="Arial"/>
          <w:color w:val="000000" w:themeColor="text1"/>
          <w:sz w:val="20"/>
          <w:szCs w:val="20"/>
        </w:rPr>
      </w:pPr>
      <w:r w:rsidRPr="003D1614">
        <w:rPr>
          <w:rFonts w:ascii="Arial" w:hAnsi="Arial" w:cs="Arial"/>
          <w:color w:val="000000" w:themeColor="text1"/>
          <w:sz w:val="20"/>
          <w:szCs w:val="20"/>
        </w:rPr>
        <w:t>Uprava je odgovorna za odabir prikladnih računovodstvenih politika koje su u skladu s važećim računovodstvenim standardima i za njihovu dosljednu primjenu; donošenje razumnih i razboritih prosudbi i procjena; te pripremanje financijskih izvještaja temeljem principa neograničenosti vremena poslovanja, osim ako je pretpostavka da će Banka i Grupa nastaviti s poslovanjem neprimjerena.</w:t>
      </w:r>
    </w:p>
    <w:p w14:paraId="07433DFF" w14:textId="77777777" w:rsidR="008513CA" w:rsidRPr="003D1614" w:rsidRDefault="008513CA" w:rsidP="008513CA">
      <w:pPr>
        <w:numPr>
          <w:ilvl w:val="12"/>
          <w:numId w:val="0"/>
        </w:numPr>
        <w:jc w:val="both"/>
        <w:rPr>
          <w:rFonts w:ascii="Arial" w:hAnsi="Arial" w:cs="Arial"/>
          <w:color w:val="000000" w:themeColor="text1"/>
          <w:sz w:val="20"/>
          <w:szCs w:val="20"/>
        </w:rPr>
      </w:pPr>
    </w:p>
    <w:p w14:paraId="39AE1403" w14:textId="77777777" w:rsidR="008513CA" w:rsidRPr="003D1614" w:rsidRDefault="008513CA" w:rsidP="008513CA">
      <w:pPr>
        <w:numPr>
          <w:ilvl w:val="12"/>
          <w:numId w:val="0"/>
        </w:numPr>
        <w:jc w:val="both"/>
        <w:rPr>
          <w:rFonts w:ascii="Arial" w:hAnsi="Arial" w:cs="Arial"/>
          <w:color w:val="000000" w:themeColor="text1"/>
          <w:sz w:val="20"/>
          <w:szCs w:val="20"/>
        </w:rPr>
      </w:pPr>
      <w:r w:rsidRPr="003D1614">
        <w:rPr>
          <w:rFonts w:ascii="Arial" w:hAnsi="Arial" w:cs="Arial"/>
          <w:color w:val="000000" w:themeColor="text1"/>
          <w:sz w:val="20"/>
          <w:szCs w:val="20"/>
        </w:rPr>
        <w:t>Uprava je dužna podnijeti na usuglašavanje Nadzornom odboru skraćene financijske izvještaje koji uključuju odvojene i konsolidirane financijske izvještaje. Ukoliko se Nadzorni odbor suglasi sa skraćenim financijskim izvješćem time su ih utvrdili Uprava i Nadzorni odbor Banke.</w:t>
      </w:r>
    </w:p>
    <w:p w14:paraId="66428FA7" w14:textId="77777777" w:rsidR="008513CA" w:rsidRPr="003D1614" w:rsidRDefault="008513CA" w:rsidP="008513CA">
      <w:pPr>
        <w:jc w:val="both"/>
        <w:rPr>
          <w:rFonts w:ascii="Arial" w:hAnsi="Arial" w:cs="Arial"/>
          <w:color w:val="000000" w:themeColor="text1"/>
          <w:sz w:val="20"/>
          <w:szCs w:val="20"/>
        </w:rPr>
      </w:pPr>
    </w:p>
    <w:p w14:paraId="228DEE55" w14:textId="45BD2069" w:rsidR="008513CA" w:rsidRPr="003D1614" w:rsidRDefault="008513CA" w:rsidP="008513CA">
      <w:pPr>
        <w:jc w:val="both"/>
        <w:rPr>
          <w:rFonts w:ascii="Arial" w:hAnsi="Arial" w:cs="Arial"/>
          <w:color w:val="000000" w:themeColor="text1"/>
          <w:sz w:val="20"/>
          <w:szCs w:val="20"/>
        </w:rPr>
      </w:pPr>
      <w:r w:rsidRPr="003D1614">
        <w:rPr>
          <w:rFonts w:ascii="Arial" w:hAnsi="Arial" w:cs="Arial"/>
          <w:color w:val="000000" w:themeColor="text1"/>
          <w:sz w:val="20"/>
          <w:szCs w:val="20"/>
        </w:rPr>
        <w:t xml:space="preserve">Skraćeni odvojeni i konsolidirani financijski izvještaji na stranicama </w:t>
      </w:r>
      <w:r w:rsidR="00054F7B">
        <w:rPr>
          <w:rFonts w:ascii="Arial" w:hAnsi="Arial" w:cs="Arial"/>
          <w:color w:val="000000" w:themeColor="text1"/>
          <w:sz w:val="20"/>
          <w:szCs w:val="20"/>
        </w:rPr>
        <w:t>4</w:t>
      </w:r>
      <w:r w:rsidRPr="008774B9">
        <w:rPr>
          <w:rFonts w:ascii="Arial" w:hAnsi="Arial" w:cs="Arial"/>
          <w:color w:val="000000" w:themeColor="text1"/>
          <w:sz w:val="20"/>
          <w:szCs w:val="20"/>
        </w:rPr>
        <w:t xml:space="preserve"> do </w:t>
      </w:r>
      <w:r w:rsidR="008774B9" w:rsidRPr="005D1219">
        <w:rPr>
          <w:rFonts w:ascii="Arial" w:hAnsi="Arial" w:cs="Arial"/>
          <w:color w:val="000000" w:themeColor="text1"/>
          <w:sz w:val="20"/>
          <w:szCs w:val="20"/>
        </w:rPr>
        <w:t>120</w:t>
      </w:r>
      <w:r w:rsidRPr="003D1614">
        <w:rPr>
          <w:rFonts w:ascii="Arial" w:hAnsi="Arial" w:cs="Arial"/>
          <w:color w:val="000000" w:themeColor="text1"/>
          <w:sz w:val="20"/>
          <w:szCs w:val="20"/>
        </w:rPr>
        <w:t xml:space="preserve"> odobreni su od strane </w:t>
      </w:r>
      <w:r w:rsidRPr="00B43E41">
        <w:rPr>
          <w:rFonts w:ascii="Arial" w:hAnsi="Arial" w:cs="Arial"/>
          <w:color w:val="000000" w:themeColor="text1"/>
          <w:sz w:val="20"/>
          <w:szCs w:val="20"/>
        </w:rPr>
        <w:t xml:space="preserve">Uprave </w:t>
      </w:r>
      <w:r w:rsidR="008774B9" w:rsidRPr="005D1219">
        <w:rPr>
          <w:rFonts w:ascii="Arial" w:hAnsi="Arial" w:cs="Arial"/>
          <w:color w:val="000000" w:themeColor="text1"/>
          <w:sz w:val="20"/>
          <w:szCs w:val="20"/>
        </w:rPr>
        <w:t>2</w:t>
      </w:r>
      <w:r w:rsidR="00BA313C" w:rsidRPr="005D1219">
        <w:rPr>
          <w:rFonts w:ascii="Arial" w:hAnsi="Arial" w:cs="Arial"/>
          <w:color w:val="000000" w:themeColor="text1"/>
          <w:sz w:val="20"/>
          <w:szCs w:val="20"/>
        </w:rPr>
        <w:t>3</w:t>
      </w:r>
      <w:r w:rsidRPr="005D1219">
        <w:rPr>
          <w:rFonts w:ascii="Arial" w:hAnsi="Arial" w:cs="Arial"/>
          <w:color w:val="000000" w:themeColor="text1"/>
          <w:sz w:val="20"/>
          <w:szCs w:val="20"/>
        </w:rPr>
        <w:t>.</w:t>
      </w:r>
      <w:r w:rsidRPr="00B43E41">
        <w:rPr>
          <w:rFonts w:ascii="Arial" w:hAnsi="Arial" w:cs="Arial"/>
          <w:color w:val="000000" w:themeColor="text1"/>
          <w:sz w:val="20"/>
          <w:szCs w:val="20"/>
        </w:rPr>
        <w:t xml:space="preserve"> svibnja</w:t>
      </w:r>
      <w:r w:rsidRPr="003D1614">
        <w:rPr>
          <w:rFonts w:ascii="Arial" w:hAnsi="Arial" w:cs="Arial"/>
          <w:color w:val="000000" w:themeColor="text1"/>
          <w:sz w:val="20"/>
          <w:szCs w:val="20"/>
        </w:rPr>
        <w:t xml:space="preserve"> 202</w:t>
      </w:r>
      <w:r w:rsidR="00EC427B">
        <w:rPr>
          <w:rFonts w:ascii="Arial" w:hAnsi="Arial" w:cs="Arial"/>
          <w:color w:val="000000" w:themeColor="text1"/>
          <w:sz w:val="20"/>
          <w:szCs w:val="20"/>
        </w:rPr>
        <w:t>4</w:t>
      </w:r>
      <w:r w:rsidRPr="003D1614">
        <w:rPr>
          <w:rFonts w:ascii="Arial" w:hAnsi="Arial" w:cs="Arial"/>
          <w:color w:val="000000" w:themeColor="text1"/>
          <w:sz w:val="20"/>
          <w:szCs w:val="20"/>
        </w:rPr>
        <w:t xml:space="preserve">. što je potvrđeno potpisima u nastavku. </w:t>
      </w:r>
    </w:p>
    <w:p w14:paraId="39FD059A" w14:textId="77777777" w:rsidR="008513CA" w:rsidRPr="003D1614" w:rsidRDefault="008513CA" w:rsidP="008513CA">
      <w:pPr>
        <w:jc w:val="both"/>
        <w:rPr>
          <w:rFonts w:ascii="Arial" w:hAnsi="Arial" w:cs="Arial"/>
          <w:color w:val="000000" w:themeColor="text1"/>
          <w:sz w:val="20"/>
          <w:szCs w:val="20"/>
        </w:rPr>
      </w:pPr>
    </w:p>
    <w:p w14:paraId="3ACCACCD" w14:textId="77777777" w:rsidR="008513CA" w:rsidRPr="003D1614" w:rsidRDefault="008513CA" w:rsidP="008513CA">
      <w:pPr>
        <w:jc w:val="both"/>
        <w:rPr>
          <w:rFonts w:ascii="Arial" w:hAnsi="Arial" w:cs="Arial"/>
          <w:color w:val="000000" w:themeColor="text1"/>
          <w:sz w:val="20"/>
          <w:szCs w:val="20"/>
        </w:rPr>
      </w:pPr>
    </w:p>
    <w:p w14:paraId="590E15BA" w14:textId="77777777" w:rsidR="008513CA" w:rsidRPr="003D1614" w:rsidRDefault="008513CA" w:rsidP="008513CA">
      <w:pPr>
        <w:pStyle w:val="BodyText"/>
        <w:rPr>
          <w:rFonts w:ascii="Arial" w:hAnsi="Arial" w:cs="Arial"/>
          <w:b/>
          <w:color w:val="000000" w:themeColor="text1"/>
          <w:sz w:val="20"/>
          <w:szCs w:val="20"/>
          <w:highlight w:val="yellow"/>
        </w:rPr>
      </w:pPr>
      <w:r w:rsidRPr="003D1614">
        <w:rPr>
          <w:rFonts w:ascii="Arial" w:hAnsi="Arial" w:cs="Arial"/>
          <w:color w:val="000000" w:themeColor="text1"/>
          <w:sz w:val="20"/>
          <w:szCs w:val="20"/>
        </w:rPr>
        <w:t>U ime i za Hrvatsku banku za obnovu i razvitak:</w:t>
      </w:r>
    </w:p>
    <w:p w14:paraId="247854BB"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3757607A"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618EEAE1"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6C9A2F7B"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1646698B"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2EAED942"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tbl>
      <w:tblPr>
        <w:tblW w:w="6379" w:type="dxa"/>
        <w:tblLook w:val="04A0" w:firstRow="1" w:lastRow="0" w:firstColumn="1" w:lastColumn="0" w:noHBand="0" w:noVBand="1"/>
      </w:tblPr>
      <w:tblGrid>
        <w:gridCol w:w="3402"/>
        <w:gridCol w:w="2977"/>
      </w:tblGrid>
      <w:tr w:rsidR="00E4078F" w:rsidRPr="003D1614" w14:paraId="23E9158C" w14:textId="77777777" w:rsidTr="00964790">
        <w:trPr>
          <w:trHeight w:hRule="exact" w:val="284"/>
        </w:trPr>
        <w:tc>
          <w:tcPr>
            <w:tcW w:w="3402" w:type="dxa"/>
          </w:tcPr>
          <w:p w14:paraId="2E1CFA4B"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______________________</w:t>
            </w:r>
          </w:p>
        </w:tc>
        <w:tc>
          <w:tcPr>
            <w:tcW w:w="2977" w:type="dxa"/>
          </w:tcPr>
          <w:p w14:paraId="28BADE26" w14:textId="77777777" w:rsidR="00E4078F" w:rsidRPr="003D1614" w:rsidRDefault="00E4078F" w:rsidP="00E4078F">
            <w:pPr>
              <w:suppressAutoHyphens/>
              <w:autoSpaceDN w:val="0"/>
              <w:rPr>
                <w:rFonts w:ascii="Arial" w:eastAsia="Times New Roman" w:hAnsi="Arial" w:cs="Arial"/>
                <w:color w:val="000000" w:themeColor="text1"/>
                <w:sz w:val="20"/>
                <w:szCs w:val="20"/>
              </w:rPr>
            </w:pPr>
          </w:p>
        </w:tc>
        <w:bookmarkStart w:id="0" w:name="_Hlk506894968"/>
      </w:tr>
      <w:tr w:rsidR="00E4078F" w:rsidRPr="003D1614" w14:paraId="0AB99FCA" w14:textId="77777777" w:rsidTr="00964790">
        <w:trPr>
          <w:trHeight w:val="269"/>
        </w:trPr>
        <w:tc>
          <w:tcPr>
            <w:tcW w:w="3402" w:type="dxa"/>
            <w:vAlign w:val="bottom"/>
          </w:tcPr>
          <w:p w14:paraId="3FEC691C"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Marin Pranjić</w:t>
            </w:r>
          </w:p>
        </w:tc>
        <w:tc>
          <w:tcPr>
            <w:tcW w:w="2977" w:type="dxa"/>
          </w:tcPr>
          <w:p w14:paraId="6B893B6C"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p>
        </w:tc>
      </w:tr>
      <w:tr w:rsidR="00E4078F" w:rsidRPr="003D1614" w14:paraId="0F88E155" w14:textId="77777777" w:rsidTr="00964790">
        <w:trPr>
          <w:trHeight w:hRule="exact" w:val="145"/>
        </w:trPr>
        <w:tc>
          <w:tcPr>
            <w:tcW w:w="3402" w:type="dxa"/>
          </w:tcPr>
          <w:p w14:paraId="0E33BE1C"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p>
        </w:tc>
        <w:tc>
          <w:tcPr>
            <w:tcW w:w="2977" w:type="dxa"/>
          </w:tcPr>
          <w:p w14:paraId="7210F4B6"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p>
        </w:tc>
      </w:tr>
      <w:tr w:rsidR="00E4078F" w:rsidRPr="003D1614" w14:paraId="7700B0C2" w14:textId="77777777" w:rsidTr="00964790">
        <w:trPr>
          <w:trHeight w:val="421"/>
        </w:trPr>
        <w:tc>
          <w:tcPr>
            <w:tcW w:w="3402" w:type="dxa"/>
          </w:tcPr>
          <w:p w14:paraId="11392D0F" w14:textId="3AF1BA45" w:rsidR="00E4078F" w:rsidRPr="003D1614" w:rsidRDefault="00E4078F" w:rsidP="00E4078F">
            <w:pPr>
              <w:suppressAutoHyphens/>
              <w:autoSpaceDN w:val="0"/>
              <w:jc w:val="center"/>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Direktor Sektora</w:t>
            </w:r>
            <w:r w:rsidR="00EC427B">
              <w:rPr>
                <w:rFonts w:ascii="Arial" w:eastAsia="Times New Roman" w:hAnsi="Arial" w:cs="Arial"/>
                <w:b/>
                <w:color w:val="000000" w:themeColor="text1"/>
                <w:sz w:val="20"/>
                <w:szCs w:val="20"/>
              </w:rPr>
              <w:t xml:space="preserve"> financija i</w:t>
            </w:r>
            <w:r w:rsidRPr="003D1614">
              <w:rPr>
                <w:rFonts w:ascii="Arial" w:eastAsia="Times New Roman" w:hAnsi="Arial" w:cs="Arial"/>
                <w:b/>
                <w:color w:val="000000" w:themeColor="text1"/>
                <w:sz w:val="20"/>
                <w:szCs w:val="20"/>
              </w:rPr>
              <w:t xml:space="preserve"> računovodstva</w:t>
            </w:r>
          </w:p>
        </w:tc>
        <w:tc>
          <w:tcPr>
            <w:tcW w:w="2977" w:type="dxa"/>
          </w:tcPr>
          <w:p w14:paraId="59824E3F" w14:textId="77777777" w:rsidR="00E4078F" w:rsidRPr="003D1614" w:rsidRDefault="00E4078F" w:rsidP="00E4078F">
            <w:pPr>
              <w:suppressAutoHyphens/>
              <w:autoSpaceDN w:val="0"/>
              <w:jc w:val="center"/>
              <w:rPr>
                <w:rFonts w:ascii="Arial" w:eastAsia="Times New Roman" w:hAnsi="Arial" w:cs="Arial"/>
                <w:b/>
                <w:color w:val="000000" w:themeColor="text1"/>
                <w:sz w:val="20"/>
                <w:szCs w:val="20"/>
              </w:rPr>
            </w:pPr>
          </w:p>
        </w:tc>
      </w:tr>
      <w:bookmarkEnd w:id="0"/>
    </w:tbl>
    <w:p w14:paraId="7089F590"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779E9583"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46FDFDD6"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27CABDFA"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297F855F"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p w14:paraId="19DABAB4" w14:textId="77777777" w:rsidR="00E4078F" w:rsidRPr="003D1614" w:rsidRDefault="00E4078F" w:rsidP="00E4078F">
      <w:pPr>
        <w:keepNext/>
        <w:suppressAutoHyphens/>
        <w:autoSpaceDN w:val="0"/>
        <w:jc w:val="both"/>
        <w:outlineLvl w:val="0"/>
        <w:rPr>
          <w:rFonts w:ascii="Arial" w:eastAsia="Times New Roman" w:hAnsi="Arial" w:cs="Arial"/>
          <w:bCs/>
          <w:color w:val="000000" w:themeColor="text1"/>
          <w:sz w:val="20"/>
          <w:szCs w:val="20"/>
        </w:rPr>
      </w:pPr>
    </w:p>
    <w:tbl>
      <w:tblPr>
        <w:tblW w:w="9354" w:type="dxa"/>
        <w:tblLook w:val="04A0" w:firstRow="1" w:lastRow="0" w:firstColumn="1" w:lastColumn="0" w:noHBand="0" w:noVBand="1"/>
      </w:tblPr>
      <w:tblGrid>
        <w:gridCol w:w="3118"/>
        <w:gridCol w:w="3118"/>
        <w:gridCol w:w="3118"/>
      </w:tblGrid>
      <w:tr w:rsidR="00E4078F" w:rsidRPr="003D1614" w14:paraId="3EA43799" w14:textId="77777777" w:rsidTr="00964790">
        <w:trPr>
          <w:trHeight w:hRule="exact" w:val="284"/>
        </w:trPr>
        <w:tc>
          <w:tcPr>
            <w:tcW w:w="3118" w:type="dxa"/>
          </w:tcPr>
          <w:p w14:paraId="77394575"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______________________</w:t>
            </w:r>
          </w:p>
        </w:tc>
        <w:tc>
          <w:tcPr>
            <w:tcW w:w="3118" w:type="dxa"/>
          </w:tcPr>
          <w:p w14:paraId="6B2A90F0"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______________________</w:t>
            </w:r>
          </w:p>
        </w:tc>
        <w:tc>
          <w:tcPr>
            <w:tcW w:w="3118" w:type="dxa"/>
          </w:tcPr>
          <w:p w14:paraId="5B0735B5"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______________________</w:t>
            </w:r>
          </w:p>
        </w:tc>
      </w:tr>
      <w:tr w:rsidR="00E4078F" w:rsidRPr="003D1614" w14:paraId="2DD9A608" w14:textId="77777777" w:rsidTr="00964790">
        <w:trPr>
          <w:trHeight w:val="269"/>
        </w:trPr>
        <w:tc>
          <w:tcPr>
            <w:tcW w:w="3118" w:type="dxa"/>
            <w:vAlign w:val="bottom"/>
          </w:tcPr>
          <w:p w14:paraId="3CF5B010"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Josip Pavković</w:t>
            </w:r>
          </w:p>
        </w:tc>
        <w:tc>
          <w:tcPr>
            <w:tcW w:w="3118" w:type="dxa"/>
            <w:vAlign w:val="bottom"/>
          </w:tcPr>
          <w:p w14:paraId="38703A98"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mr. sc. Alan Herjavec</w:t>
            </w:r>
          </w:p>
        </w:tc>
        <w:tc>
          <w:tcPr>
            <w:tcW w:w="3118" w:type="dxa"/>
            <w:vAlign w:val="bottom"/>
          </w:tcPr>
          <w:p w14:paraId="44849875"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mr. sc. Hrvoje Čuvalo</w:t>
            </w:r>
          </w:p>
        </w:tc>
      </w:tr>
      <w:tr w:rsidR="00E4078F" w:rsidRPr="003D1614" w14:paraId="5D17F61A" w14:textId="77777777" w:rsidTr="00964790">
        <w:trPr>
          <w:trHeight w:hRule="exact" w:val="145"/>
        </w:trPr>
        <w:tc>
          <w:tcPr>
            <w:tcW w:w="3118" w:type="dxa"/>
          </w:tcPr>
          <w:p w14:paraId="11C35F78"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p>
        </w:tc>
        <w:tc>
          <w:tcPr>
            <w:tcW w:w="3118" w:type="dxa"/>
          </w:tcPr>
          <w:p w14:paraId="0F323AEA"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p>
        </w:tc>
        <w:tc>
          <w:tcPr>
            <w:tcW w:w="3118" w:type="dxa"/>
          </w:tcPr>
          <w:p w14:paraId="150ADEF4" w14:textId="77777777" w:rsidR="00E4078F" w:rsidRPr="003D1614" w:rsidRDefault="00E4078F" w:rsidP="00E4078F">
            <w:pPr>
              <w:suppressAutoHyphens/>
              <w:autoSpaceDN w:val="0"/>
              <w:jc w:val="center"/>
              <w:rPr>
                <w:rFonts w:ascii="Arial" w:eastAsia="Times New Roman" w:hAnsi="Arial" w:cs="Arial"/>
                <w:color w:val="000000" w:themeColor="text1"/>
                <w:sz w:val="20"/>
                <w:szCs w:val="20"/>
              </w:rPr>
            </w:pPr>
          </w:p>
        </w:tc>
      </w:tr>
      <w:tr w:rsidR="00E4078F" w:rsidRPr="003D1614" w14:paraId="0755FE1B" w14:textId="77777777" w:rsidTr="00964790">
        <w:trPr>
          <w:trHeight w:val="421"/>
        </w:trPr>
        <w:tc>
          <w:tcPr>
            <w:tcW w:w="3118" w:type="dxa"/>
          </w:tcPr>
          <w:p w14:paraId="7B493DE0" w14:textId="77777777" w:rsidR="00E4078F" w:rsidRPr="003D1614" w:rsidRDefault="00E4078F" w:rsidP="00E4078F">
            <w:pPr>
              <w:suppressAutoHyphens/>
              <w:autoSpaceDN w:val="0"/>
              <w:jc w:val="center"/>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Član Uprave</w:t>
            </w:r>
          </w:p>
        </w:tc>
        <w:tc>
          <w:tcPr>
            <w:tcW w:w="3118" w:type="dxa"/>
          </w:tcPr>
          <w:p w14:paraId="43D7B2EF" w14:textId="77777777" w:rsidR="00E4078F" w:rsidRPr="003D1614" w:rsidRDefault="00E4078F" w:rsidP="00E4078F">
            <w:pPr>
              <w:suppressAutoHyphens/>
              <w:autoSpaceDN w:val="0"/>
              <w:jc w:val="center"/>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Član Uprave</w:t>
            </w:r>
          </w:p>
        </w:tc>
        <w:tc>
          <w:tcPr>
            <w:tcW w:w="3118" w:type="dxa"/>
          </w:tcPr>
          <w:p w14:paraId="44F85EB4" w14:textId="77777777" w:rsidR="00E4078F" w:rsidRPr="003D1614" w:rsidRDefault="00E4078F" w:rsidP="00E4078F">
            <w:pPr>
              <w:suppressAutoHyphens/>
              <w:autoSpaceDN w:val="0"/>
              <w:jc w:val="center"/>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Predsjednik Uprave</w:t>
            </w:r>
          </w:p>
        </w:tc>
      </w:tr>
    </w:tbl>
    <w:p w14:paraId="0901F5B4" w14:textId="77777777" w:rsidR="00E4078F" w:rsidRPr="003D1614" w:rsidRDefault="00E4078F" w:rsidP="008C368A">
      <w:pPr>
        <w:keepNext/>
        <w:suppressAutoHyphens/>
        <w:autoSpaceDN w:val="0"/>
        <w:jc w:val="both"/>
        <w:outlineLvl w:val="0"/>
        <w:rPr>
          <w:rFonts w:ascii="Arial" w:eastAsia="Times New Roman" w:hAnsi="Arial" w:cs="Arial"/>
          <w:bCs/>
          <w:color w:val="000000" w:themeColor="text1"/>
          <w:sz w:val="20"/>
          <w:szCs w:val="20"/>
        </w:rPr>
      </w:pPr>
    </w:p>
    <w:p w14:paraId="762BB335" w14:textId="77777777" w:rsidR="008C368A" w:rsidRPr="003D1614" w:rsidRDefault="008C368A" w:rsidP="008C368A">
      <w:pPr>
        <w:keepNext/>
        <w:suppressAutoHyphens/>
        <w:autoSpaceDN w:val="0"/>
        <w:jc w:val="both"/>
        <w:outlineLvl w:val="0"/>
        <w:rPr>
          <w:rFonts w:ascii="Arial" w:eastAsia="Times New Roman" w:hAnsi="Arial" w:cs="Arial"/>
          <w:bCs/>
          <w:color w:val="000000" w:themeColor="text1"/>
          <w:sz w:val="20"/>
          <w:szCs w:val="20"/>
        </w:rPr>
      </w:pPr>
    </w:p>
    <w:p w14:paraId="30F534BC" w14:textId="77777777" w:rsidR="008C368A" w:rsidRPr="003D1614" w:rsidRDefault="008C368A" w:rsidP="008C368A">
      <w:pPr>
        <w:keepNext/>
        <w:suppressAutoHyphens/>
        <w:autoSpaceDN w:val="0"/>
        <w:jc w:val="both"/>
        <w:outlineLvl w:val="0"/>
        <w:rPr>
          <w:rFonts w:ascii="Arial" w:eastAsia="Times New Roman" w:hAnsi="Arial" w:cs="Arial"/>
          <w:bCs/>
          <w:color w:val="000000" w:themeColor="text1"/>
          <w:sz w:val="20"/>
          <w:szCs w:val="20"/>
        </w:rPr>
      </w:pPr>
    </w:p>
    <w:p w14:paraId="4CF71227" w14:textId="130E12B4" w:rsidR="00937272" w:rsidRPr="003D1614" w:rsidRDefault="00937272" w:rsidP="008C368A">
      <w:pPr>
        <w:keepNext/>
        <w:suppressAutoHyphens/>
        <w:autoSpaceDN w:val="0"/>
        <w:jc w:val="both"/>
        <w:outlineLvl w:val="0"/>
        <w:rPr>
          <w:rFonts w:ascii="Arial" w:eastAsia="Times New Roman" w:hAnsi="Arial" w:cs="Arial"/>
          <w:bCs/>
          <w:color w:val="000000" w:themeColor="text1"/>
          <w:sz w:val="20"/>
          <w:szCs w:val="20"/>
        </w:rPr>
      </w:pPr>
    </w:p>
    <w:p w14:paraId="0C3F2639" w14:textId="039142BA" w:rsidR="00D44CD3" w:rsidRPr="003D1614" w:rsidRDefault="008C368A" w:rsidP="008C368A">
      <w:pPr>
        <w:keepNext/>
        <w:suppressAutoHyphens/>
        <w:autoSpaceDN w:val="0"/>
        <w:jc w:val="both"/>
        <w:outlineLvl w:val="0"/>
        <w:rPr>
          <w:rFonts w:ascii="Arial" w:hAnsi="Arial" w:cs="Arial"/>
          <w:color w:val="000000" w:themeColor="text1"/>
          <w:sz w:val="20"/>
          <w:szCs w:val="20"/>
        </w:rPr>
        <w:sectPr w:rsidR="00D44CD3" w:rsidRPr="003D1614">
          <w:headerReference w:type="default" r:id="rId10"/>
          <w:pgSz w:w="11906" w:h="16838"/>
          <w:pgMar w:top="1417" w:right="1417" w:bottom="1417" w:left="1417" w:header="708" w:footer="708" w:gutter="0"/>
          <w:cols w:space="708"/>
          <w:docGrid w:linePitch="360"/>
        </w:sectPr>
      </w:pPr>
      <w:r w:rsidRPr="003D1614">
        <w:rPr>
          <w:rFonts w:ascii="Arial" w:hAnsi="Arial" w:cs="Arial"/>
          <w:color w:val="000000" w:themeColor="text1"/>
          <w:sz w:val="20"/>
          <w:szCs w:val="20"/>
        </w:rPr>
        <w:t xml:space="preserve">U Zagrebu </w:t>
      </w:r>
      <w:r w:rsidR="00BA313C" w:rsidRPr="00B43E41">
        <w:rPr>
          <w:rFonts w:ascii="Arial" w:hAnsi="Arial" w:cs="Arial"/>
          <w:color w:val="000000" w:themeColor="text1"/>
          <w:sz w:val="20"/>
          <w:szCs w:val="20"/>
        </w:rPr>
        <w:t>23</w:t>
      </w:r>
      <w:r w:rsidRPr="00B43E41">
        <w:rPr>
          <w:rFonts w:ascii="Arial" w:hAnsi="Arial" w:cs="Arial"/>
          <w:color w:val="000000" w:themeColor="text1"/>
          <w:sz w:val="20"/>
          <w:szCs w:val="20"/>
        </w:rPr>
        <w:t>.</w:t>
      </w:r>
      <w:r w:rsidRPr="003D1614">
        <w:rPr>
          <w:rFonts w:ascii="Arial" w:hAnsi="Arial" w:cs="Arial"/>
          <w:color w:val="000000" w:themeColor="text1"/>
          <w:sz w:val="20"/>
          <w:szCs w:val="20"/>
        </w:rPr>
        <w:t xml:space="preserve"> svibnja 202</w:t>
      </w:r>
      <w:r w:rsidR="00EC427B">
        <w:rPr>
          <w:rFonts w:ascii="Arial" w:hAnsi="Arial" w:cs="Arial"/>
          <w:color w:val="000000" w:themeColor="text1"/>
          <w:sz w:val="20"/>
          <w:szCs w:val="20"/>
        </w:rPr>
        <w:t>4</w:t>
      </w:r>
      <w:r w:rsidRPr="003D1614">
        <w:rPr>
          <w:rFonts w:ascii="Arial" w:hAnsi="Arial" w:cs="Arial"/>
          <w:color w:val="000000" w:themeColor="text1"/>
          <w:sz w:val="20"/>
          <w:szCs w:val="20"/>
        </w:rPr>
        <w:t>.</w:t>
      </w:r>
    </w:p>
    <w:p w14:paraId="3F751A06" w14:textId="340EF17B" w:rsidR="008C368A" w:rsidRPr="003D1614" w:rsidRDefault="008C368A" w:rsidP="008C368A">
      <w:pPr>
        <w:keepNext/>
        <w:suppressAutoHyphens/>
        <w:autoSpaceDN w:val="0"/>
        <w:jc w:val="both"/>
        <w:outlineLvl w:val="0"/>
        <w:rPr>
          <w:rFonts w:ascii="Arial" w:eastAsia="Times New Roman" w:hAnsi="Arial" w:cs="Arial"/>
          <w:bCs/>
          <w:color w:val="000000" w:themeColor="text1"/>
          <w:sz w:val="20"/>
          <w:szCs w:val="20"/>
        </w:rPr>
      </w:pPr>
    </w:p>
    <w:p w14:paraId="3277F9F0" w14:textId="77777777" w:rsidR="00A42D0C" w:rsidRPr="003D1614" w:rsidRDefault="00A42D0C" w:rsidP="008C368A">
      <w:pPr>
        <w:keepNext/>
        <w:suppressAutoHyphens/>
        <w:autoSpaceDN w:val="0"/>
        <w:jc w:val="both"/>
        <w:outlineLvl w:val="0"/>
        <w:rPr>
          <w:rFonts w:ascii="Arial" w:eastAsia="Times New Roman" w:hAnsi="Arial" w:cs="Arial"/>
          <w:bCs/>
          <w:color w:val="000000" w:themeColor="text1"/>
          <w:sz w:val="20"/>
          <w:szCs w:val="20"/>
        </w:rPr>
      </w:pPr>
    </w:p>
    <w:tbl>
      <w:tblPr>
        <w:tblpPr w:leftFromText="180" w:rightFromText="180" w:vertAnchor="text" w:horzAnchor="margin" w:tblpY="69"/>
        <w:tblW w:w="5000" w:type="pct"/>
        <w:tblCellMar>
          <w:left w:w="119" w:type="dxa"/>
          <w:right w:w="119" w:type="dxa"/>
        </w:tblCellMar>
        <w:tblLook w:val="0000" w:firstRow="0" w:lastRow="0" w:firstColumn="0" w:lastColumn="0" w:noHBand="0" w:noVBand="0"/>
      </w:tblPr>
      <w:tblGrid>
        <w:gridCol w:w="4507"/>
        <w:gridCol w:w="1029"/>
        <w:gridCol w:w="1767"/>
        <w:gridCol w:w="1769"/>
      </w:tblGrid>
      <w:tr w:rsidR="00A42D0C" w:rsidRPr="005D4EA5" w14:paraId="4DAE1B2A" w14:textId="77777777" w:rsidTr="00531D68">
        <w:trPr>
          <w:trHeight w:val="269"/>
        </w:trPr>
        <w:tc>
          <w:tcPr>
            <w:tcW w:w="2484" w:type="pct"/>
            <w:vAlign w:val="bottom"/>
          </w:tcPr>
          <w:p w14:paraId="3282B11C" w14:textId="77777777" w:rsidR="00A42D0C" w:rsidRPr="005D4EA5" w:rsidRDefault="00A42D0C" w:rsidP="00242B62">
            <w:pPr>
              <w:tabs>
                <w:tab w:val="right" w:pos="1202"/>
              </w:tabs>
              <w:suppressAutoHyphens/>
              <w:autoSpaceDN w:val="0"/>
              <w:spacing w:line="301" w:lineRule="exact"/>
              <w:outlineLvl w:val="0"/>
              <w:rPr>
                <w:rFonts w:ascii="Arial" w:eastAsia="Times New Roman" w:hAnsi="Arial" w:cs="Arial"/>
                <w:b/>
                <w:bCs/>
                <w:color w:val="000000" w:themeColor="text1"/>
                <w:sz w:val="20"/>
                <w:szCs w:val="20"/>
              </w:rPr>
            </w:pPr>
          </w:p>
        </w:tc>
        <w:tc>
          <w:tcPr>
            <w:tcW w:w="567" w:type="pct"/>
            <w:vAlign w:val="bottom"/>
          </w:tcPr>
          <w:p w14:paraId="5AD15111" w14:textId="77777777" w:rsidR="00A42D0C" w:rsidRPr="005D4EA5" w:rsidRDefault="00A42D0C" w:rsidP="00242B62">
            <w:pPr>
              <w:tabs>
                <w:tab w:val="right" w:pos="1202"/>
              </w:tabs>
              <w:suppressAutoHyphens/>
              <w:autoSpaceDN w:val="0"/>
              <w:spacing w:line="301" w:lineRule="exact"/>
              <w:ind w:left="-15" w:firstLine="15"/>
              <w:jc w:val="center"/>
              <w:outlineLvl w:val="0"/>
              <w:rPr>
                <w:rFonts w:ascii="Arial" w:eastAsia="Times New Roman" w:hAnsi="Arial" w:cs="Arial"/>
                <w:b/>
                <w:bCs/>
                <w:color w:val="000000" w:themeColor="text1"/>
                <w:sz w:val="20"/>
                <w:szCs w:val="20"/>
              </w:rPr>
            </w:pPr>
            <w:bookmarkStart w:id="1" w:name="_Toc67326568"/>
            <w:r w:rsidRPr="005D4EA5">
              <w:rPr>
                <w:rFonts w:ascii="Arial" w:eastAsia="Times New Roman" w:hAnsi="Arial" w:cs="Arial"/>
                <w:b/>
                <w:bCs/>
                <w:color w:val="000000" w:themeColor="text1"/>
                <w:spacing w:val="-1"/>
                <w:sz w:val="20"/>
                <w:szCs w:val="20"/>
              </w:rPr>
              <w:t>Bilješka</w:t>
            </w:r>
            <w:bookmarkEnd w:id="1"/>
          </w:p>
        </w:tc>
        <w:tc>
          <w:tcPr>
            <w:tcW w:w="974" w:type="pct"/>
            <w:vAlign w:val="bottom"/>
          </w:tcPr>
          <w:p w14:paraId="2B1FE779" w14:textId="0308BAEC" w:rsidR="00A42D0C" w:rsidRPr="005D4EA5" w:rsidRDefault="0071434F" w:rsidP="00242B62">
            <w:pPr>
              <w:suppressAutoHyphens/>
              <w:autoSpaceDN w:val="0"/>
              <w:spacing w:line="301"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2024.</w:t>
            </w:r>
          </w:p>
        </w:tc>
        <w:tc>
          <w:tcPr>
            <w:tcW w:w="975" w:type="pct"/>
            <w:vAlign w:val="bottom"/>
          </w:tcPr>
          <w:p w14:paraId="01FFCED3" w14:textId="660EFA7C" w:rsidR="00A42D0C" w:rsidRPr="005D4EA5" w:rsidRDefault="0071434F" w:rsidP="00242B62">
            <w:pPr>
              <w:suppressAutoHyphens/>
              <w:autoSpaceDN w:val="0"/>
              <w:spacing w:line="301" w:lineRule="exact"/>
              <w:jc w:val="right"/>
              <w:outlineLvl w:val="0"/>
              <w:rPr>
                <w:rFonts w:ascii="Arial" w:eastAsia="Times New Roman" w:hAnsi="Arial" w:cs="Arial"/>
                <w:b/>
                <w:bCs/>
                <w:color w:val="000000" w:themeColor="text1"/>
                <w:sz w:val="20"/>
                <w:szCs w:val="20"/>
              </w:rPr>
            </w:pPr>
            <w:bookmarkStart w:id="2" w:name="_Toc67326569"/>
            <w:r w:rsidRPr="005D4EA5">
              <w:rPr>
                <w:rFonts w:ascii="Arial" w:eastAsia="Times New Roman" w:hAnsi="Arial" w:cs="Arial"/>
                <w:b/>
                <w:bCs/>
                <w:color w:val="000000" w:themeColor="text1"/>
                <w:sz w:val="20"/>
                <w:szCs w:val="20"/>
              </w:rPr>
              <w:t>2023.</w:t>
            </w:r>
            <w:bookmarkEnd w:id="2"/>
          </w:p>
        </w:tc>
      </w:tr>
      <w:tr w:rsidR="00A42D0C" w:rsidRPr="005D4EA5" w14:paraId="5BEC0EBB" w14:textId="77777777" w:rsidTr="00531D68">
        <w:trPr>
          <w:trHeight w:val="269"/>
        </w:trPr>
        <w:tc>
          <w:tcPr>
            <w:tcW w:w="2484" w:type="pct"/>
            <w:vAlign w:val="bottom"/>
          </w:tcPr>
          <w:p w14:paraId="2B55020A" w14:textId="77777777" w:rsidR="00A42D0C" w:rsidRPr="005D4EA5" w:rsidRDefault="00A42D0C" w:rsidP="00242B62">
            <w:pPr>
              <w:tabs>
                <w:tab w:val="right" w:pos="1202"/>
              </w:tabs>
              <w:suppressAutoHyphens/>
              <w:autoSpaceDN w:val="0"/>
              <w:spacing w:line="301" w:lineRule="exact"/>
              <w:outlineLvl w:val="0"/>
              <w:rPr>
                <w:rFonts w:ascii="Arial" w:eastAsia="Times New Roman" w:hAnsi="Arial" w:cs="Arial"/>
                <w:b/>
                <w:bCs/>
                <w:color w:val="000000" w:themeColor="text1"/>
                <w:sz w:val="20"/>
                <w:szCs w:val="20"/>
              </w:rPr>
            </w:pPr>
          </w:p>
        </w:tc>
        <w:tc>
          <w:tcPr>
            <w:tcW w:w="567" w:type="pct"/>
            <w:vAlign w:val="bottom"/>
          </w:tcPr>
          <w:p w14:paraId="773BF3B3" w14:textId="77777777" w:rsidR="00A42D0C" w:rsidRPr="005D4EA5" w:rsidRDefault="00A42D0C" w:rsidP="00242B62">
            <w:pPr>
              <w:tabs>
                <w:tab w:val="right" w:pos="1202"/>
              </w:tabs>
              <w:suppressAutoHyphens/>
              <w:autoSpaceDN w:val="0"/>
              <w:spacing w:line="301" w:lineRule="exact"/>
              <w:jc w:val="center"/>
              <w:outlineLvl w:val="0"/>
              <w:rPr>
                <w:rFonts w:ascii="Arial" w:eastAsia="Times New Roman" w:hAnsi="Arial" w:cs="Arial"/>
                <w:b/>
                <w:bCs/>
                <w:color w:val="000000" w:themeColor="text1"/>
                <w:spacing w:val="-1"/>
                <w:sz w:val="20"/>
                <w:szCs w:val="20"/>
              </w:rPr>
            </w:pPr>
          </w:p>
        </w:tc>
        <w:tc>
          <w:tcPr>
            <w:tcW w:w="974" w:type="pct"/>
            <w:vAlign w:val="bottom"/>
          </w:tcPr>
          <w:p w14:paraId="52011176" w14:textId="2E3B5781" w:rsidR="00A42D0C" w:rsidRPr="005D4EA5" w:rsidRDefault="00A42D0C" w:rsidP="00242B62">
            <w:pPr>
              <w:suppressAutoHyphens/>
              <w:autoSpaceDN w:val="0"/>
              <w:spacing w:line="301" w:lineRule="exact"/>
              <w:jc w:val="right"/>
              <w:outlineLvl w:val="0"/>
              <w:rPr>
                <w:rFonts w:ascii="Arial" w:eastAsia="Times New Roman" w:hAnsi="Arial" w:cs="Arial"/>
                <w:b/>
                <w:bCs/>
                <w:color w:val="000000" w:themeColor="text1"/>
                <w:sz w:val="20"/>
                <w:szCs w:val="20"/>
              </w:rPr>
            </w:pPr>
            <w:bookmarkStart w:id="3" w:name="_Toc67326571"/>
            <w:r w:rsidRPr="005D4EA5">
              <w:rPr>
                <w:rFonts w:ascii="Arial" w:eastAsia="Times New Roman" w:hAnsi="Arial" w:cs="Arial"/>
                <w:b/>
                <w:bCs/>
                <w:color w:val="000000" w:themeColor="text1"/>
                <w:sz w:val="20"/>
                <w:szCs w:val="20"/>
              </w:rPr>
              <w:t xml:space="preserve">000 </w:t>
            </w:r>
            <w:bookmarkEnd w:id="3"/>
            <w:r w:rsidR="00A76701" w:rsidRPr="005D4EA5">
              <w:rPr>
                <w:rFonts w:ascii="Arial" w:eastAsia="Times New Roman" w:hAnsi="Arial" w:cs="Arial"/>
                <w:b/>
                <w:bCs/>
                <w:color w:val="000000" w:themeColor="text1"/>
                <w:sz w:val="20"/>
                <w:szCs w:val="20"/>
              </w:rPr>
              <w:t>eura</w:t>
            </w:r>
          </w:p>
        </w:tc>
        <w:tc>
          <w:tcPr>
            <w:tcW w:w="975" w:type="pct"/>
            <w:vAlign w:val="bottom"/>
          </w:tcPr>
          <w:p w14:paraId="0E07CA64" w14:textId="60E52057" w:rsidR="00A42D0C" w:rsidRPr="005D4EA5" w:rsidRDefault="00A76701" w:rsidP="00242B62">
            <w:pPr>
              <w:suppressAutoHyphens/>
              <w:autoSpaceDN w:val="0"/>
              <w:spacing w:line="301" w:lineRule="exact"/>
              <w:jc w:val="right"/>
              <w:outlineLvl w:val="0"/>
              <w:rPr>
                <w:rFonts w:ascii="Arial" w:eastAsia="Times New Roman" w:hAnsi="Arial" w:cs="Arial"/>
                <w:b/>
                <w:bCs/>
                <w:color w:val="000000" w:themeColor="text1"/>
                <w:sz w:val="20"/>
                <w:szCs w:val="20"/>
              </w:rPr>
            </w:pPr>
            <w:r w:rsidRPr="005D4EA5">
              <w:rPr>
                <w:rFonts w:ascii="Arial" w:eastAsia="Times New Roman" w:hAnsi="Arial" w:cs="Arial"/>
                <w:b/>
                <w:bCs/>
                <w:color w:val="000000" w:themeColor="text1"/>
                <w:sz w:val="20"/>
                <w:szCs w:val="20"/>
              </w:rPr>
              <w:t>000 eura</w:t>
            </w:r>
          </w:p>
        </w:tc>
      </w:tr>
      <w:tr w:rsidR="00A42D0C" w:rsidRPr="005D4EA5" w14:paraId="23A1E16D" w14:textId="77777777" w:rsidTr="00531D68">
        <w:trPr>
          <w:trHeight w:hRule="exact" w:val="117"/>
        </w:trPr>
        <w:tc>
          <w:tcPr>
            <w:tcW w:w="2484" w:type="pct"/>
            <w:vAlign w:val="bottom"/>
          </w:tcPr>
          <w:p w14:paraId="09FE02D0" w14:textId="77777777" w:rsidR="00A42D0C" w:rsidRPr="005D4EA5" w:rsidRDefault="00A42D0C" w:rsidP="00242B62">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567" w:type="pct"/>
            <w:vAlign w:val="bottom"/>
          </w:tcPr>
          <w:p w14:paraId="70BEA819" w14:textId="77777777" w:rsidR="00A42D0C" w:rsidRPr="005D4EA5" w:rsidRDefault="00A42D0C" w:rsidP="00242B62">
            <w:pPr>
              <w:tabs>
                <w:tab w:val="right" w:pos="1202"/>
              </w:tabs>
              <w:suppressAutoHyphens/>
              <w:autoSpaceDN w:val="0"/>
              <w:spacing w:line="301" w:lineRule="exact"/>
              <w:jc w:val="center"/>
              <w:outlineLvl w:val="0"/>
              <w:rPr>
                <w:rFonts w:ascii="Arial" w:eastAsia="Times New Roman" w:hAnsi="Arial" w:cs="Arial"/>
                <w:b/>
                <w:color w:val="000000" w:themeColor="text1"/>
                <w:spacing w:val="-1"/>
                <w:sz w:val="20"/>
                <w:szCs w:val="20"/>
              </w:rPr>
            </w:pPr>
          </w:p>
        </w:tc>
        <w:tc>
          <w:tcPr>
            <w:tcW w:w="974" w:type="pct"/>
            <w:vAlign w:val="bottom"/>
          </w:tcPr>
          <w:p w14:paraId="5D43AC4F" w14:textId="77777777" w:rsidR="00A42D0C" w:rsidRPr="005D4EA5" w:rsidRDefault="00A42D0C" w:rsidP="00242B62">
            <w:pPr>
              <w:suppressAutoHyphens/>
              <w:autoSpaceDN w:val="0"/>
              <w:spacing w:line="301" w:lineRule="exact"/>
              <w:jc w:val="right"/>
              <w:outlineLvl w:val="0"/>
              <w:rPr>
                <w:rFonts w:ascii="Arial" w:eastAsia="Times New Roman" w:hAnsi="Arial" w:cs="Arial"/>
                <w:b/>
                <w:color w:val="000000" w:themeColor="text1"/>
                <w:sz w:val="20"/>
                <w:szCs w:val="20"/>
              </w:rPr>
            </w:pPr>
          </w:p>
        </w:tc>
        <w:tc>
          <w:tcPr>
            <w:tcW w:w="975" w:type="pct"/>
            <w:vAlign w:val="bottom"/>
          </w:tcPr>
          <w:p w14:paraId="08363BD4" w14:textId="77777777" w:rsidR="00A42D0C" w:rsidRPr="005D4EA5" w:rsidRDefault="00A42D0C" w:rsidP="00242B62">
            <w:pPr>
              <w:suppressAutoHyphens/>
              <w:autoSpaceDN w:val="0"/>
              <w:spacing w:line="301" w:lineRule="exact"/>
              <w:jc w:val="right"/>
              <w:outlineLvl w:val="0"/>
              <w:rPr>
                <w:rFonts w:ascii="Arial" w:eastAsia="Times New Roman" w:hAnsi="Arial" w:cs="Arial"/>
                <w:b/>
                <w:color w:val="000000" w:themeColor="text1"/>
                <w:sz w:val="20"/>
                <w:szCs w:val="20"/>
              </w:rPr>
            </w:pPr>
          </w:p>
        </w:tc>
      </w:tr>
      <w:tr w:rsidR="00C21138" w:rsidRPr="005D4EA5" w14:paraId="2D88A13C" w14:textId="77777777" w:rsidTr="005D1219">
        <w:trPr>
          <w:trHeight w:val="538"/>
        </w:trPr>
        <w:tc>
          <w:tcPr>
            <w:tcW w:w="2484" w:type="pct"/>
            <w:vAlign w:val="bottom"/>
          </w:tcPr>
          <w:p w14:paraId="1451C8EC" w14:textId="77777777" w:rsidR="00C21138" w:rsidRPr="005D4EA5" w:rsidRDefault="00C21138" w:rsidP="00C21138">
            <w:pPr>
              <w:tabs>
                <w:tab w:val="right" w:pos="1202"/>
              </w:tabs>
              <w:suppressAutoHyphens/>
              <w:autoSpaceDN w:val="0"/>
              <w:spacing w:line="301" w:lineRule="exact"/>
              <w:outlineLvl w:val="0"/>
              <w:rPr>
                <w:rFonts w:ascii="Arial" w:eastAsia="Times New Roman" w:hAnsi="Arial" w:cs="Arial"/>
                <w:bCs/>
                <w:color w:val="000000" w:themeColor="text1"/>
                <w:sz w:val="20"/>
                <w:szCs w:val="20"/>
              </w:rPr>
            </w:pPr>
            <w:bookmarkStart w:id="4" w:name="_Toc67326573"/>
            <w:r w:rsidRPr="005D4EA5">
              <w:rPr>
                <w:rFonts w:ascii="Arial" w:eastAsia="Times New Roman" w:hAnsi="Arial" w:cs="Arial"/>
                <w:bCs/>
                <w:color w:val="000000" w:themeColor="text1"/>
                <w:spacing w:val="-2"/>
                <w:sz w:val="20"/>
                <w:szCs w:val="20"/>
              </w:rPr>
              <w:t>Prihodi od kamata izračunati metodom efektivne kamatne stope</w:t>
            </w:r>
            <w:bookmarkEnd w:id="4"/>
          </w:p>
        </w:tc>
        <w:tc>
          <w:tcPr>
            <w:tcW w:w="567" w:type="pct"/>
            <w:vAlign w:val="bottom"/>
          </w:tcPr>
          <w:p w14:paraId="2095D3A9" w14:textId="77777777" w:rsidR="00C21138" w:rsidRPr="00140901" w:rsidRDefault="00C21138" w:rsidP="00C21138">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bookmarkStart w:id="5" w:name="_Toc67326574"/>
            <w:r w:rsidRPr="00140901">
              <w:rPr>
                <w:rFonts w:ascii="Arial" w:eastAsia="Times New Roman" w:hAnsi="Arial" w:cs="Arial"/>
                <w:bCs/>
                <w:color w:val="000000" w:themeColor="text1"/>
                <w:sz w:val="20"/>
                <w:szCs w:val="20"/>
              </w:rPr>
              <w:t>5</w:t>
            </w:r>
            <w:bookmarkEnd w:id="5"/>
          </w:p>
        </w:tc>
        <w:tc>
          <w:tcPr>
            <w:tcW w:w="974" w:type="pct"/>
            <w:tcBorders>
              <w:top w:val="nil"/>
              <w:left w:val="nil"/>
              <w:bottom w:val="nil"/>
              <w:right w:val="nil"/>
            </w:tcBorders>
            <w:shd w:val="clear" w:color="auto" w:fill="auto"/>
            <w:vAlign w:val="bottom"/>
          </w:tcPr>
          <w:p w14:paraId="2EE5D0A3" w14:textId="31E30CCE" w:rsidR="00C21138" w:rsidRPr="007136B1" w:rsidRDefault="00C21138" w:rsidP="00C21138">
            <w:pPr>
              <w:suppressAutoHyphens/>
              <w:autoSpaceDN w:val="0"/>
              <w:spacing w:line="301" w:lineRule="exact"/>
              <w:jc w:val="right"/>
              <w:outlineLvl w:val="0"/>
              <w:rPr>
                <w:rFonts w:ascii="Arial" w:eastAsia="Times New Roman" w:hAnsi="Arial" w:cs="Arial"/>
                <w:color w:val="000000" w:themeColor="text1"/>
                <w:sz w:val="20"/>
                <w:szCs w:val="20"/>
              </w:rPr>
            </w:pPr>
            <w:r w:rsidRPr="005D1219">
              <w:rPr>
                <w:rFonts w:ascii="Arial" w:hAnsi="Arial" w:cs="Arial"/>
                <w:color w:val="000000"/>
                <w:sz w:val="20"/>
                <w:szCs w:val="20"/>
              </w:rPr>
              <w:t xml:space="preserve">               27.072 </w:t>
            </w:r>
          </w:p>
        </w:tc>
        <w:tc>
          <w:tcPr>
            <w:tcW w:w="975" w:type="pct"/>
            <w:tcBorders>
              <w:top w:val="nil"/>
              <w:left w:val="nil"/>
              <w:right w:val="nil"/>
            </w:tcBorders>
            <w:shd w:val="clear" w:color="auto" w:fill="auto"/>
            <w:vAlign w:val="bottom"/>
          </w:tcPr>
          <w:p w14:paraId="4181D9AD" w14:textId="6175DCE2" w:rsidR="00C21138" w:rsidRPr="007136B1" w:rsidRDefault="00C21138" w:rsidP="00C21138">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7136B1">
              <w:rPr>
                <w:rFonts w:ascii="Arial" w:hAnsi="Arial" w:cs="Arial"/>
                <w:sz w:val="20"/>
                <w:szCs w:val="20"/>
              </w:rPr>
              <w:t>21.074</w:t>
            </w:r>
          </w:p>
        </w:tc>
      </w:tr>
      <w:tr w:rsidR="00C21138" w:rsidRPr="005D4EA5" w14:paraId="3526A860" w14:textId="77777777" w:rsidTr="005D1219">
        <w:trPr>
          <w:trHeight w:val="525"/>
        </w:trPr>
        <w:tc>
          <w:tcPr>
            <w:tcW w:w="2484" w:type="pct"/>
            <w:vAlign w:val="bottom"/>
          </w:tcPr>
          <w:p w14:paraId="7DBC0405" w14:textId="244C6E85" w:rsidR="00C21138" w:rsidRPr="001C4EDF" w:rsidRDefault="00C21138" w:rsidP="005D1219">
            <w:pPr>
              <w:spacing w:line="301" w:lineRule="exact"/>
              <w:rPr>
                <w:rFonts w:ascii="Arial" w:hAnsi="Arial" w:cs="Arial"/>
                <w:sz w:val="20"/>
                <w:szCs w:val="20"/>
              </w:rPr>
            </w:pPr>
            <w:r>
              <w:rPr>
                <w:rFonts w:ascii="Arial" w:hAnsi="Arial" w:cs="Arial"/>
                <w:sz w:val="20"/>
                <w:szCs w:val="20"/>
              </w:rPr>
              <w:t>Prihod od ukidanja razgraničenja subvencije na teret poslovanja HBOR-a</w:t>
            </w:r>
          </w:p>
        </w:tc>
        <w:tc>
          <w:tcPr>
            <w:tcW w:w="567" w:type="pct"/>
            <w:vAlign w:val="bottom"/>
          </w:tcPr>
          <w:p w14:paraId="30F324BC" w14:textId="77777777" w:rsidR="00C21138" w:rsidRPr="00140901" w:rsidRDefault="00C21138" w:rsidP="00C21138">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p>
        </w:tc>
        <w:tc>
          <w:tcPr>
            <w:tcW w:w="974" w:type="pct"/>
            <w:tcBorders>
              <w:top w:val="nil"/>
              <w:left w:val="nil"/>
              <w:bottom w:val="nil"/>
              <w:right w:val="nil"/>
            </w:tcBorders>
            <w:shd w:val="clear" w:color="auto" w:fill="auto"/>
            <w:vAlign w:val="bottom"/>
          </w:tcPr>
          <w:p w14:paraId="7AD50FF1" w14:textId="10165F6E" w:rsidR="00C21138" w:rsidRPr="007136B1" w:rsidRDefault="00C21138" w:rsidP="00C21138">
            <w:pPr>
              <w:suppressAutoHyphens/>
              <w:autoSpaceDN w:val="0"/>
              <w:spacing w:line="301" w:lineRule="exact"/>
              <w:jc w:val="right"/>
              <w:outlineLvl w:val="0"/>
              <w:rPr>
                <w:rFonts w:ascii="Arial" w:eastAsia="Times New Roman" w:hAnsi="Arial" w:cs="Arial"/>
                <w:color w:val="000000" w:themeColor="text1"/>
                <w:sz w:val="20"/>
                <w:szCs w:val="20"/>
              </w:rPr>
            </w:pPr>
            <w:r w:rsidRPr="005D1219">
              <w:rPr>
                <w:rFonts w:ascii="Arial" w:hAnsi="Arial" w:cs="Arial"/>
                <w:color w:val="000000"/>
                <w:sz w:val="20"/>
                <w:szCs w:val="20"/>
              </w:rPr>
              <w:t xml:space="preserve">                       139 </w:t>
            </w:r>
          </w:p>
        </w:tc>
        <w:tc>
          <w:tcPr>
            <w:tcW w:w="975" w:type="pct"/>
            <w:tcBorders>
              <w:top w:val="nil"/>
              <w:left w:val="nil"/>
              <w:right w:val="nil"/>
            </w:tcBorders>
            <w:shd w:val="clear" w:color="auto" w:fill="auto"/>
            <w:vAlign w:val="bottom"/>
          </w:tcPr>
          <w:p w14:paraId="5AD193F9" w14:textId="57A44D1C" w:rsidR="00C21138" w:rsidRPr="007136B1" w:rsidRDefault="007136B1" w:rsidP="00C21138">
            <w:pPr>
              <w:suppressAutoHyphens/>
              <w:autoSpaceDN w:val="0"/>
              <w:spacing w:line="301" w:lineRule="exact"/>
              <w:jc w:val="right"/>
              <w:outlineLvl w:val="0"/>
              <w:rPr>
                <w:rFonts w:ascii="Arial" w:hAnsi="Arial" w:cs="Arial"/>
                <w:sz w:val="20"/>
                <w:szCs w:val="20"/>
              </w:rPr>
            </w:pPr>
            <w:r>
              <w:rPr>
                <w:rFonts w:ascii="Arial" w:hAnsi="Arial" w:cs="Arial"/>
                <w:sz w:val="20"/>
                <w:szCs w:val="20"/>
              </w:rPr>
              <w:t>-</w:t>
            </w:r>
          </w:p>
        </w:tc>
      </w:tr>
      <w:tr w:rsidR="00C21138" w:rsidRPr="005D4EA5" w14:paraId="349F180F" w14:textId="77777777" w:rsidTr="005D1219">
        <w:trPr>
          <w:trHeight w:val="336"/>
        </w:trPr>
        <w:tc>
          <w:tcPr>
            <w:tcW w:w="2484" w:type="pct"/>
            <w:vAlign w:val="bottom"/>
          </w:tcPr>
          <w:p w14:paraId="6D9E3709" w14:textId="77777777" w:rsidR="00C21138" w:rsidRPr="005D4EA5" w:rsidRDefault="00C21138" w:rsidP="005D1219">
            <w:pPr>
              <w:tabs>
                <w:tab w:val="right" w:pos="1202"/>
              </w:tabs>
              <w:suppressAutoHyphens/>
              <w:autoSpaceDN w:val="0"/>
              <w:outlineLvl w:val="0"/>
              <w:rPr>
                <w:rFonts w:ascii="Arial" w:eastAsia="Times New Roman" w:hAnsi="Arial" w:cs="Arial"/>
                <w:bCs/>
                <w:color w:val="000000" w:themeColor="text1"/>
                <w:spacing w:val="-2"/>
                <w:sz w:val="20"/>
                <w:szCs w:val="20"/>
              </w:rPr>
            </w:pPr>
            <w:bookmarkStart w:id="6" w:name="_Toc67326577"/>
            <w:r w:rsidRPr="005D4EA5">
              <w:rPr>
                <w:rFonts w:ascii="Arial" w:eastAsia="Times New Roman" w:hAnsi="Arial" w:cs="Arial"/>
                <w:bCs/>
                <w:color w:val="000000" w:themeColor="text1"/>
                <w:spacing w:val="-2"/>
                <w:sz w:val="20"/>
                <w:szCs w:val="20"/>
              </w:rPr>
              <w:t>Rashodi od kamata</w:t>
            </w:r>
            <w:bookmarkEnd w:id="6"/>
          </w:p>
        </w:tc>
        <w:tc>
          <w:tcPr>
            <w:tcW w:w="567" w:type="pct"/>
            <w:vAlign w:val="bottom"/>
          </w:tcPr>
          <w:p w14:paraId="69B255F8" w14:textId="77777777" w:rsidR="00C21138" w:rsidRPr="00140901" w:rsidRDefault="00C21138" w:rsidP="005D1219">
            <w:pPr>
              <w:tabs>
                <w:tab w:val="right" w:pos="1202"/>
              </w:tabs>
              <w:suppressAutoHyphens/>
              <w:autoSpaceDN w:val="0"/>
              <w:jc w:val="center"/>
              <w:outlineLvl w:val="0"/>
              <w:rPr>
                <w:rFonts w:ascii="Arial" w:eastAsia="Times New Roman" w:hAnsi="Arial" w:cs="Arial"/>
                <w:bCs/>
                <w:color w:val="000000" w:themeColor="text1"/>
                <w:spacing w:val="-2"/>
                <w:sz w:val="20"/>
                <w:szCs w:val="20"/>
              </w:rPr>
            </w:pPr>
            <w:bookmarkStart w:id="7" w:name="_Toc67326578"/>
            <w:r w:rsidRPr="00140901">
              <w:rPr>
                <w:rFonts w:ascii="Arial" w:eastAsia="Times New Roman" w:hAnsi="Arial" w:cs="Arial"/>
                <w:bCs/>
                <w:color w:val="000000" w:themeColor="text1"/>
                <w:spacing w:val="-2"/>
                <w:sz w:val="20"/>
                <w:szCs w:val="20"/>
              </w:rPr>
              <w:t>6</w:t>
            </w:r>
            <w:bookmarkEnd w:id="7"/>
          </w:p>
        </w:tc>
        <w:tc>
          <w:tcPr>
            <w:tcW w:w="974" w:type="pct"/>
            <w:tcBorders>
              <w:top w:val="nil"/>
              <w:left w:val="nil"/>
              <w:bottom w:val="nil"/>
              <w:right w:val="nil"/>
            </w:tcBorders>
            <w:shd w:val="clear" w:color="auto" w:fill="auto"/>
            <w:vAlign w:val="bottom"/>
          </w:tcPr>
          <w:p w14:paraId="7998F51D" w14:textId="139E6CFB" w:rsidR="00C21138" w:rsidRPr="007136B1" w:rsidRDefault="00837344" w:rsidP="005D1219">
            <w:pPr>
              <w:suppressAutoHyphens/>
              <w:autoSpaceDN w:val="0"/>
              <w:jc w:val="right"/>
              <w:outlineLvl w:val="0"/>
              <w:rPr>
                <w:rFonts w:ascii="Arial" w:eastAsia="Times New Roman" w:hAnsi="Arial" w:cs="Arial"/>
                <w:color w:val="000000" w:themeColor="text1"/>
                <w:sz w:val="20"/>
                <w:szCs w:val="20"/>
              </w:rPr>
            </w:pPr>
            <w:r>
              <w:rPr>
                <w:rFonts w:ascii="Arial" w:hAnsi="Arial" w:cs="Arial"/>
                <w:color w:val="000000"/>
                <w:sz w:val="20"/>
                <w:szCs w:val="20"/>
              </w:rPr>
              <w:t xml:space="preserve"> </w:t>
            </w:r>
            <w:r w:rsidR="00C21138" w:rsidRPr="005D1219">
              <w:rPr>
                <w:rFonts w:ascii="Arial" w:hAnsi="Arial" w:cs="Arial"/>
                <w:color w:val="000000"/>
                <w:sz w:val="20"/>
                <w:szCs w:val="20"/>
              </w:rPr>
              <w:t xml:space="preserve">            (10.076)</w:t>
            </w:r>
          </w:p>
        </w:tc>
        <w:tc>
          <w:tcPr>
            <w:tcW w:w="975" w:type="pct"/>
            <w:tcBorders>
              <w:top w:val="nil"/>
              <w:left w:val="nil"/>
              <w:right w:val="nil"/>
            </w:tcBorders>
            <w:shd w:val="clear" w:color="auto" w:fill="auto"/>
            <w:vAlign w:val="bottom"/>
          </w:tcPr>
          <w:p w14:paraId="7C005A8F" w14:textId="1B53F7AB" w:rsidR="00C21138" w:rsidRPr="007136B1" w:rsidRDefault="00C21138" w:rsidP="005D1219">
            <w:pPr>
              <w:suppressAutoHyphens/>
              <w:autoSpaceDN w:val="0"/>
              <w:jc w:val="right"/>
              <w:outlineLvl w:val="0"/>
              <w:rPr>
                <w:rFonts w:ascii="Arial" w:eastAsia="Times New Roman" w:hAnsi="Arial" w:cs="Arial"/>
                <w:bCs/>
                <w:color w:val="000000" w:themeColor="text1"/>
                <w:spacing w:val="-2"/>
                <w:sz w:val="20"/>
                <w:szCs w:val="20"/>
              </w:rPr>
            </w:pPr>
            <w:r w:rsidRPr="007136B1">
              <w:rPr>
                <w:rFonts w:ascii="Arial" w:hAnsi="Arial" w:cs="Arial"/>
                <w:sz w:val="20"/>
                <w:szCs w:val="20"/>
              </w:rPr>
              <w:t>(5.776)</w:t>
            </w:r>
          </w:p>
        </w:tc>
      </w:tr>
      <w:tr w:rsidR="00C21138" w:rsidRPr="005D4EA5" w14:paraId="2D47FA96" w14:textId="77777777" w:rsidTr="005D1219">
        <w:trPr>
          <w:trHeight w:val="302"/>
        </w:trPr>
        <w:tc>
          <w:tcPr>
            <w:tcW w:w="2484" w:type="pct"/>
            <w:vAlign w:val="bottom"/>
          </w:tcPr>
          <w:p w14:paraId="566AD7E2" w14:textId="77777777" w:rsidR="00C21138" w:rsidRPr="005D4EA5" w:rsidRDefault="00C21138" w:rsidP="00C21138">
            <w:pPr>
              <w:tabs>
                <w:tab w:val="right" w:pos="1202"/>
              </w:tabs>
              <w:suppressAutoHyphens/>
              <w:autoSpaceDN w:val="0"/>
              <w:spacing w:line="340" w:lineRule="exact"/>
              <w:outlineLvl w:val="0"/>
              <w:rPr>
                <w:rFonts w:ascii="Arial" w:eastAsia="Times New Roman" w:hAnsi="Arial" w:cs="Arial"/>
                <w:b/>
                <w:bCs/>
                <w:color w:val="000000" w:themeColor="text1"/>
                <w:sz w:val="20"/>
                <w:szCs w:val="20"/>
                <w:vertAlign w:val="superscript"/>
              </w:rPr>
            </w:pPr>
            <w:bookmarkStart w:id="8" w:name="_Toc67326581"/>
            <w:r w:rsidRPr="005D4EA5">
              <w:rPr>
                <w:rFonts w:ascii="Arial" w:eastAsia="Times New Roman" w:hAnsi="Arial" w:cs="Arial"/>
                <w:b/>
                <w:bCs/>
                <w:color w:val="000000" w:themeColor="text1"/>
                <w:sz w:val="20"/>
                <w:szCs w:val="20"/>
              </w:rPr>
              <w:t>Neto prihod od kamata</w:t>
            </w:r>
            <w:bookmarkEnd w:id="8"/>
          </w:p>
        </w:tc>
        <w:tc>
          <w:tcPr>
            <w:tcW w:w="567" w:type="pct"/>
            <w:vAlign w:val="bottom"/>
          </w:tcPr>
          <w:p w14:paraId="5BE8CA2C" w14:textId="77777777" w:rsidR="00C21138" w:rsidRPr="00140901" w:rsidRDefault="00C21138" w:rsidP="00C21138">
            <w:pPr>
              <w:tabs>
                <w:tab w:val="right" w:pos="1202"/>
              </w:tabs>
              <w:suppressAutoHyphens/>
              <w:autoSpaceDN w:val="0"/>
              <w:spacing w:line="340" w:lineRule="exact"/>
              <w:jc w:val="center"/>
              <w:outlineLvl w:val="0"/>
              <w:rPr>
                <w:rFonts w:ascii="Arial" w:eastAsia="Times New Roman" w:hAnsi="Arial" w:cs="Arial"/>
                <w:b/>
                <w:bCs/>
                <w:color w:val="000000" w:themeColor="text1"/>
                <w:sz w:val="20"/>
                <w:szCs w:val="20"/>
              </w:rPr>
            </w:pPr>
          </w:p>
        </w:tc>
        <w:tc>
          <w:tcPr>
            <w:tcW w:w="974" w:type="pct"/>
            <w:tcBorders>
              <w:top w:val="single" w:sz="4" w:space="0" w:color="auto"/>
              <w:bottom w:val="single" w:sz="12" w:space="0" w:color="auto"/>
            </w:tcBorders>
            <w:vAlign w:val="bottom"/>
          </w:tcPr>
          <w:p w14:paraId="0CA0E85B" w14:textId="2E4E07EA" w:rsidR="00C21138" w:rsidRPr="007136B1" w:rsidRDefault="00C21138" w:rsidP="00C21138">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7136B1">
              <w:rPr>
                <w:rFonts w:ascii="Arial" w:eastAsia="Times New Roman" w:hAnsi="Arial" w:cs="Arial"/>
                <w:b/>
                <w:bCs/>
                <w:color w:val="000000" w:themeColor="text1"/>
                <w:sz w:val="20"/>
                <w:szCs w:val="20"/>
              </w:rPr>
              <w:t>17.135</w:t>
            </w:r>
          </w:p>
        </w:tc>
        <w:tc>
          <w:tcPr>
            <w:tcW w:w="975" w:type="pct"/>
            <w:tcBorders>
              <w:top w:val="single" w:sz="4" w:space="0" w:color="auto"/>
              <w:bottom w:val="single" w:sz="12" w:space="0" w:color="auto"/>
            </w:tcBorders>
            <w:vAlign w:val="bottom"/>
          </w:tcPr>
          <w:p w14:paraId="13FEB3E4" w14:textId="657B8BCD" w:rsidR="00C21138" w:rsidRPr="007136B1" w:rsidRDefault="00C21138" w:rsidP="00C21138">
            <w:pPr>
              <w:suppressAutoHyphens/>
              <w:autoSpaceDN w:val="0"/>
              <w:spacing w:line="340" w:lineRule="exact"/>
              <w:jc w:val="right"/>
              <w:outlineLvl w:val="0"/>
              <w:rPr>
                <w:rFonts w:ascii="Arial" w:eastAsia="Times New Roman" w:hAnsi="Arial" w:cs="Arial"/>
                <w:b/>
                <w:bCs/>
                <w:color w:val="000000" w:themeColor="text1"/>
                <w:spacing w:val="-2"/>
                <w:sz w:val="20"/>
                <w:szCs w:val="20"/>
              </w:rPr>
            </w:pPr>
            <w:r w:rsidRPr="007136B1">
              <w:rPr>
                <w:rFonts w:ascii="Arial" w:hAnsi="Arial" w:cs="Arial"/>
                <w:b/>
                <w:bCs/>
                <w:sz w:val="20"/>
                <w:szCs w:val="20"/>
              </w:rPr>
              <w:t>15.298</w:t>
            </w:r>
          </w:p>
        </w:tc>
      </w:tr>
      <w:tr w:rsidR="00C21138" w:rsidRPr="005D4EA5" w14:paraId="0FC6BFA6" w14:textId="77777777" w:rsidTr="005D1219">
        <w:trPr>
          <w:trHeight w:val="269"/>
        </w:trPr>
        <w:tc>
          <w:tcPr>
            <w:tcW w:w="2484" w:type="pct"/>
            <w:vAlign w:val="bottom"/>
          </w:tcPr>
          <w:p w14:paraId="3D650E48" w14:textId="77777777" w:rsidR="00C21138" w:rsidRPr="005D4EA5" w:rsidRDefault="00C21138" w:rsidP="00C21138">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p>
        </w:tc>
        <w:tc>
          <w:tcPr>
            <w:tcW w:w="567" w:type="pct"/>
            <w:vAlign w:val="bottom"/>
          </w:tcPr>
          <w:p w14:paraId="68E1A610" w14:textId="77777777" w:rsidR="00C21138" w:rsidRPr="00140901" w:rsidRDefault="00C21138" w:rsidP="00C21138">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p>
        </w:tc>
        <w:tc>
          <w:tcPr>
            <w:tcW w:w="974" w:type="pct"/>
            <w:vAlign w:val="bottom"/>
          </w:tcPr>
          <w:p w14:paraId="33AC9FB6" w14:textId="77777777" w:rsidR="00C21138" w:rsidRPr="007136B1" w:rsidRDefault="00C21138" w:rsidP="00C21138">
            <w:pPr>
              <w:suppressAutoHyphens/>
              <w:autoSpaceDN w:val="0"/>
              <w:spacing w:line="301" w:lineRule="exact"/>
              <w:jc w:val="right"/>
              <w:outlineLvl w:val="0"/>
              <w:rPr>
                <w:rFonts w:ascii="Arial" w:eastAsia="Times New Roman" w:hAnsi="Arial" w:cs="Arial"/>
                <w:color w:val="000000" w:themeColor="text1"/>
                <w:sz w:val="20"/>
                <w:szCs w:val="20"/>
              </w:rPr>
            </w:pPr>
          </w:p>
        </w:tc>
        <w:tc>
          <w:tcPr>
            <w:tcW w:w="975" w:type="pct"/>
            <w:vAlign w:val="bottom"/>
          </w:tcPr>
          <w:p w14:paraId="0077D22D" w14:textId="77777777" w:rsidR="00C21138" w:rsidRPr="007136B1" w:rsidRDefault="00C21138" w:rsidP="00C21138">
            <w:pPr>
              <w:suppressAutoHyphens/>
              <w:autoSpaceDN w:val="0"/>
              <w:spacing w:line="301" w:lineRule="exact"/>
              <w:jc w:val="right"/>
              <w:outlineLvl w:val="0"/>
              <w:rPr>
                <w:rFonts w:ascii="Arial" w:eastAsia="Times New Roman" w:hAnsi="Arial" w:cs="Arial"/>
                <w:bCs/>
                <w:color w:val="000000" w:themeColor="text1"/>
                <w:spacing w:val="-2"/>
                <w:sz w:val="20"/>
                <w:szCs w:val="20"/>
              </w:rPr>
            </w:pPr>
          </w:p>
        </w:tc>
      </w:tr>
      <w:tr w:rsidR="00C21138" w:rsidRPr="005D4EA5" w14:paraId="162F01C1" w14:textId="77777777" w:rsidTr="005D1219">
        <w:trPr>
          <w:trHeight w:val="269"/>
        </w:trPr>
        <w:tc>
          <w:tcPr>
            <w:tcW w:w="2484" w:type="pct"/>
            <w:vAlign w:val="bottom"/>
          </w:tcPr>
          <w:p w14:paraId="56B2F8BB" w14:textId="77777777" w:rsidR="00C21138" w:rsidRPr="005D4EA5" w:rsidRDefault="00C21138" w:rsidP="00C21138">
            <w:pPr>
              <w:tabs>
                <w:tab w:val="right" w:pos="1202"/>
              </w:tabs>
              <w:suppressAutoHyphens/>
              <w:autoSpaceDN w:val="0"/>
              <w:spacing w:line="301" w:lineRule="exact"/>
              <w:outlineLvl w:val="0"/>
              <w:rPr>
                <w:rFonts w:ascii="Arial" w:eastAsia="Times New Roman" w:hAnsi="Arial" w:cs="Arial"/>
                <w:bCs/>
                <w:color w:val="000000" w:themeColor="text1"/>
                <w:sz w:val="20"/>
                <w:szCs w:val="20"/>
              </w:rPr>
            </w:pPr>
            <w:bookmarkStart w:id="9" w:name="_Toc67326584"/>
            <w:r w:rsidRPr="005D4EA5">
              <w:rPr>
                <w:rFonts w:ascii="Arial" w:eastAsia="Times New Roman" w:hAnsi="Arial" w:cs="Arial"/>
                <w:bCs/>
                <w:color w:val="000000" w:themeColor="text1"/>
                <w:spacing w:val="-2"/>
                <w:sz w:val="20"/>
                <w:szCs w:val="20"/>
              </w:rPr>
              <w:t>Prihodi od naknada i provizija</w:t>
            </w:r>
            <w:bookmarkEnd w:id="9"/>
          </w:p>
        </w:tc>
        <w:tc>
          <w:tcPr>
            <w:tcW w:w="567" w:type="pct"/>
            <w:vAlign w:val="bottom"/>
          </w:tcPr>
          <w:p w14:paraId="2AFCF078" w14:textId="77777777" w:rsidR="00C21138" w:rsidRPr="00140901" w:rsidRDefault="00C21138" w:rsidP="00C21138">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p>
        </w:tc>
        <w:tc>
          <w:tcPr>
            <w:tcW w:w="974" w:type="pct"/>
            <w:vAlign w:val="bottom"/>
          </w:tcPr>
          <w:p w14:paraId="44A1F52C" w14:textId="654BA2CE" w:rsidR="00C21138" w:rsidRPr="007136B1" w:rsidRDefault="00C21138" w:rsidP="00C21138">
            <w:pPr>
              <w:suppressAutoHyphens/>
              <w:autoSpaceDN w:val="0"/>
              <w:spacing w:line="301" w:lineRule="exact"/>
              <w:jc w:val="right"/>
              <w:outlineLvl w:val="0"/>
              <w:rPr>
                <w:rFonts w:ascii="Arial" w:eastAsia="Times New Roman" w:hAnsi="Arial" w:cs="Arial"/>
                <w:color w:val="000000" w:themeColor="text1"/>
                <w:sz w:val="20"/>
                <w:szCs w:val="20"/>
              </w:rPr>
            </w:pPr>
            <w:r w:rsidRPr="007136B1">
              <w:rPr>
                <w:rFonts w:ascii="Arial" w:eastAsia="Times New Roman" w:hAnsi="Arial" w:cs="Arial"/>
                <w:color w:val="000000" w:themeColor="text1"/>
                <w:sz w:val="20"/>
                <w:szCs w:val="20"/>
              </w:rPr>
              <w:t>489</w:t>
            </w:r>
          </w:p>
        </w:tc>
        <w:tc>
          <w:tcPr>
            <w:tcW w:w="975" w:type="pct"/>
            <w:vAlign w:val="bottom"/>
          </w:tcPr>
          <w:p w14:paraId="14478110" w14:textId="00FC9300" w:rsidR="00C21138" w:rsidRPr="007136B1" w:rsidRDefault="00C21138" w:rsidP="00C21138">
            <w:pPr>
              <w:suppressAutoHyphens/>
              <w:autoSpaceDN w:val="0"/>
              <w:jc w:val="right"/>
              <w:rPr>
                <w:rFonts w:ascii="Arial" w:eastAsia="Arial Unicode MS" w:hAnsi="Arial" w:cs="Arial"/>
                <w:color w:val="000000" w:themeColor="text1"/>
                <w:sz w:val="20"/>
                <w:szCs w:val="20"/>
              </w:rPr>
            </w:pPr>
            <w:r w:rsidRPr="007136B1">
              <w:rPr>
                <w:rFonts w:ascii="Arial" w:hAnsi="Arial" w:cs="Arial"/>
                <w:sz w:val="20"/>
                <w:szCs w:val="20"/>
              </w:rPr>
              <w:t>1.719</w:t>
            </w:r>
          </w:p>
        </w:tc>
      </w:tr>
      <w:tr w:rsidR="00C21138" w:rsidRPr="005D4EA5" w14:paraId="591E4C32" w14:textId="77777777" w:rsidTr="005D1219">
        <w:trPr>
          <w:trHeight w:val="337"/>
        </w:trPr>
        <w:tc>
          <w:tcPr>
            <w:tcW w:w="2484" w:type="pct"/>
            <w:vAlign w:val="bottom"/>
          </w:tcPr>
          <w:p w14:paraId="246312C5" w14:textId="77777777" w:rsidR="00C21138" w:rsidRPr="005D4EA5" w:rsidRDefault="00C21138" w:rsidP="00C21138">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0" w:name="_Toc67326587"/>
            <w:r w:rsidRPr="005D4EA5">
              <w:rPr>
                <w:rFonts w:ascii="Arial" w:eastAsia="Times New Roman" w:hAnsi="Arial" w:cs="Arial"/>
                <w:bCs/>
                <w:color w:val="000000" w:themeColor="text1"/>
                <w:spacing w:val="-2"/>
                <w:sz w:val="20"/>
                <w:szCs w:val="20"/>
              </w:rPr>
              <w:t>Rashodi od naknada i provizija</w:t>
            </w:r>
            <w:bookmarkEnd w:id="10"/>
          </w:p>
        </w:tc>
        <w:tc>
          <w:tcPr>
            <w:tcW w:w="567" w:type="pct"/>
            <w:vAlign w:val="bottom"/>
          </w:tcPr>
          <w:p w14:paraId="07D3D840" w14:textId="77777777" w:rsidR="00C21138" w:rsidRPr="00140901" w:rsidRDefault="00C21138" w:rsidP="00C21138">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p>
        </w:tc>
        <w:tc>
          <w:tcPr>
            <w:tcW w:w="974" w:type="pct"/>
            <w:vAlign w:val="bottom"/>
          </w:tcPr>
          <w:p w14:paraId="651BCA11" w14:textId="5F698C84" w:rsidR="00C21138" w:rsidRPr="007136B1" w:rsidRDefault="00C21138" w:rsidP="00C21138">
            <w:pPr>
              <w:suppressAutoHyphens/>
              <w:autoSpaceDN w:val="0"/>
              <w:spacing w:line="301" w:lineRule="exact"/>
              <w:jc w:val="right"/>
              <w:outlineLvl w:val="0"/>
              <w:rPr>
                <w:rFonts w:ascii="Arial" w:eastAsia="Times New Roman" w:hAnsi="Arial" w:cs="Arial"/>
                <w:color w:val="000000" w:themeColor="text1"/>
                <w:sz w:val="20"/>
                <w:szCs w:val="20"/>
              </w:rPr>
            </w:pPr>
            <w:r w:rsidRPr="007136B1">
              <w:rPr>
                <w:rFonts w:ascii="Arial" w:eastAsia="Times New Roman" w:hAnsi="Arial" w:cs="Arial"/>
                <w:color w:val="000000" w:themeColor="text1"/>
                <w:sz w:val="20"/>
                <w:szCs w:val="20"/>
              </w:rPr>
              <w:t>(219)</w:t>
            </w:r>
          </w:p>
        </w:tc>
        <w:tc>
          <w:tcPr>
            <w:tcW w:w="975" w:type="pct"/>
            <w:vAlign w:val="bottom"/>
          </w:tcPr>
          <w:p w14:paraId="7623DE91" w14:textId="3DABA5EA" w:rsidR="00C21138" w:rsidRPr="007136B1" w:rsidRDefault="00C21138" w:rsidP="00C21138">
            <w:pPr>
              <w:suppressAutoHyphens/>
              <w:autoSpaceDN w:val="0"/>
              <w:jc w:val="right"/>
              <w:rPr>
                <w:rFonts w:ascii="Arial" w:eastAsia="Arial Unicode MS" w:hAnsi="Arial" w:cs="Arial"/>
                <w:color w:val="000000" w:themeColor="text1"/>
                <w:sz w:val="20"/>
                <w:szCs w:val="20"/>
              </w:rPr>
            </w:pPr>
            <w:r w:rsidRPr="007136B1">
              <w:rPr>
                <w:rFonts w:ascii="Arial" w:hAnsi="Arial" w:cs="Arial"/>
                <w:sz w:val="20"/>
                <w:szCs w:val="20"/>
              </w:rPr>
              <w:t>(241)</w:t>
            </w:r>
          </w:p>
        </w:tc>
      </w:tr>
      <w:tr w:rsidR="00C21138" w:rsidRPr="005D4EA5" w14:paraId="7C7C6A46" w14:textId="77777777" w:rsidTr="005D1219">
        <w:trPr>
          <w:trHeight w:val="302"/>
        </w:trPr>
        <w:tc>
          <w:tcPr>
            <w:tcW w:w="2484" w:type="pct"/>
            <w:vAlign w:val="bottom"/>
          </w:tcPr>
          <w:p w14:paraId="7A5E0D2D" w14:textId="77777777" w:rsidR="00C21138" w:rsidRPr="005D4EA5" w:rsidRDefault="00C21138" w:rsidP="00C21138">
            <w:pPr>
              <w:tabs>
                <w:tab w:val="right" w:pos="1202"/>
              </w:tabs>
              <w:suppressAutoHyphens/>
              <w:autoSpaceDN w:val="0"/>
              <w:spacing w:line="340" w:lineRule="exact"/>
              <w:outlineLvl w:val="0"/>
              <w:rPr>
                <w:rFonts w:ascii="Arial" w:eastAsia="Times New Roman" w:hAnsi="Arial" w:cs="Arial"/>
                <w:b/>
                <w:bCs/>
                <w:color w:val="000000" w:themeColor="text1"/>
                <w:sz w:val="20"/>
                <w:szCs w:val="20"/>
                <w:vertAlign w:val="superscript"/>
              </w:rPr>
            </w:pPr>
            <w:bookmarkStart w:id="11" w:name="_Toc67326590"/>
            <w:r w:rsidRPr="005D4EA5">
              <w:rPr>
                <w:rFonts w:ascii="Arial" w:eastAsia="Times New Roman" w:hAnsi="Arial" w:cs="Arial"/>
                <w:b/>
                <w:bCs/>
                <w:color w:val="000000" w:themeColor="text1"/>
                <w:sz w:val="20"/>
                <w:szCs w:val="20"/>
              </w:rPr>
              <w:t>Neto prihod od naknada i provizija</w:t>
            </w:r>
            <w:bookmarkEnd w:id="11"/>
          </w:p>
        </w:tc>
        <w:tc>
          <w:tcPr>
            <w:tcW w:w="567" w:type="pct"/>
            <w:vAlign w:val="bottom"/>
          </w:tcPr>
          <w:p w14:paraId="052C7096" w14:textId="77777777" w:rsidR="00C21138" w:rsidRPr="00140901" w:rsidRDefault="00C21138" w:rsidP="00C21138">
            <w:pPr>
              <w:tabs>
                <w:tab w:val="right" w:pos="1202"/>
              </w:tabs>
              <w:suppressAutoHyphens/>
              <w:autoSpaceDN w:val="0"/>
              <w:spacing w:line="340" w:lineRule="exact"/>
              <w:jc w:val="center"/>
              <w:outlineLvl w:val="0"/>
              <w:rPr>
                <w:rFonts w:ascii="Arial" w:eastAsia="Times New Roman" w:hAnsi="Arial" w:cs="Arial"/>
                <w:b/>
                <w:bCs/>
                <w:color w:val="000000" w:themeColor="text1"/>
                <w:sz w:val="20"/>
                <w:szCs w:val="20"/>
              </w:rPr>
            </w:pPr>
          </w:p>
        </w:tc>
        <w:tc>
          <w:tcPr>
            <w:tcW w:w="974" w:type="pct"/>
            <w:tcBorders>
              <w:top w:val="single" w:sz="2" w:space="0" w:color="auto"/>
              <w:bottom w:val="single" w:sz="12" w:space="0" w:color="auto"/>
            </w:tcBorders>
            <w:vAlign w:val="bottom"/>
          </w:tcPr>
          <w:p w14:paraId="14E7DA13" w14:textId="4DA114D2" w:rsidR="00C21138" w:rsidRPr="007136B1" w:rsidRDefault="00C21138" w:rsidP="00C21138">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7136B1">
              <w:rPr>
                <w:rFonts w:ascii="Arial" w:eastAsia="Times New Roman" w:hAnsi="Arial" w:cs="Arial"/>
                <w:b/>
                <w:bCs/>
                <w:color w:val="000000" w:themeColor="text1"/>
                <w:sz w:val="20"/>
                <w:szCs w:val="20"/>
              </w:rPr>
              <w:t>270</w:t>
            </w:r>
          </w:p>
        </w:tc>
        <w:tc>
          <w:tcPr>
            <w:tcW w:w="975" w:type="pct"/>
            <w:tcBorders>
              <w:top w:val="single" w:sz="2" w:space="0" w:color="auto"/>
              <w:bottom w:val="single" w:sz="12" w:space="0" w:color="auto"/>
            </w:tcBorders>
            <w:vAlign w:val="bottom"/>
          </w:tcPr>
          <w:p w14:paraId="1DA5CB7E" w14:textId="594B5577" w:rsidR="00C21138" w:rsidRPr="007136B1" w:rsidRDefault="00C21138" w:rsidP="00C21138">
            <w:pPr>
              <w:suppressAutoHyphens/>
              <w:autoSpaceDN w:val="0"/>
              <w:spacing w:line="340" w:lineRule="exact"/>
              <w:jc w:val="right"/>
              <w:outlineLvl w:val="0"/>
              <w:rPr>
                <w:rFonts w:ascii="Arial" w:eastAsia="Times New Roman" w:hAnsi="Arial" w:cs="Arial"/>
                <w:b/>
                <w:bCs/>
                <w:color w:val="000000" w:themeColor="text1"/>
                <w:spacing w:val="-2"/>
                <w:sz w:val="20"/>
                <w:szCs w:val="20"/>
              </w:rPr>
            </w:pPr>
            <w:r w:rsidRPr="007136B1">
              <w:rPr>
                <w:rFonts w:ascii="Arial" w:hAnsi="Arial" w:cs="Arial"/>
                <w:b/>
                <w:bCs/>
                <w:sz w:val="20"/>
                <w:szCs w:val="20"/>
              </w:rPr>
              <w:t>1.478</w:t>
            </w:r>
          </w:p>
        </w:tc>
      </w:tr>
      <w:tr w:rsidR="00C21138" w:rsidRPr="005D4EA5" w14:paraId="1345CAC0" w14:textId="77777777" w:rsidTr="005D1219">
        <w:trPr>
          <w:trHeight w:hRule="exact" w:val="353"/>
        </w:trPr>
        <w:tc>
          <w:tcPr>
            <w:tcW w:w="2484" w:type="pct"/>
            <w:vAlign w:val="bottom"/>
          </w:tcPr>
          <w:p w14:paraId="4C0606E6" w14:textId="77777777" w:rsidR="00C21138" w:rsidRPr="005D4EA5" w:rsidRDefault="00C21138" w:rsidP="00C21138">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567" w:type="pct"/>
            <w:vAlign w:val="bottom"/>
          </w:tcPr>
          <w:p w14:paraId="1E438EFB" w14:textId="77777777" w:rsidR="00C21138" w:rsidRPr="00140901" w:rsidRDefault="00C21138" w:rsidP="00C21138">
            <w:pPr>
              <w:tabs>
                <w:tab w:val="right" w:pos="1202"/>
              </w:tabs>
              <w:suppressAutoHyphens/>
              <w:autoSpaceDN w:val="0"/>
              <w:spacing w:line="301" w:lineRule="exact"/>
              <w:jc w:val="center"/>
              <w:outlineLvl w:val="0"/>
              <w:rPr>
                <w:rFonts w:ascii="Arial" w:eastAsia="Times New Roman" w:hAnsi="Arial" w:cs="Arial"/>
                <w:color w:val="000000" w:themeColor="text1"/>
                <w:sz w:val="20"/>
                <w:szCs w:val="20"/>
              </w:rPr>
            </w:pPr>
          </w:p>
        </w:tc>
        <w:tc>
          <w:tcPr>
            <w:tcW w:w="974" w:type="pct"/>
            <w:tcBorders>
              <w:top w:val="single" w:sz="12" w:space="0" w:color="auto"/>
            </w:tcBorders>
            <w:vAlign w:val="bottom"/>
          </w:tcPr>
          <w:p w14:paraId="20D0FC77" w14:textId="77777777" w:rsidR="00C21138" w:rsidRPr="007136B1" w:rsidRDefault="00C21138" w:rsidP="00C21138">
            <w:pPr>
              <w:suppressAutoHyphens/>
              <w:autoSpaceDN w:val="0"/>
              <w:spacing w:line="301" w:lineRule="exact"/>
              <w:jc w:val="right"/>
              <w:outlineLvl w:val="0"/>
              <w:rPr>
                <w:rFonts w:ascii="Arial" w:eastAsia="Times New Roman" w:hAnsi="Arial" w:cs="Arial"/>
                <w:color w:val="000000" w:themeColor="text1"/>
                <w:sz w:val="20"/>
                <w:szCs w:val="20"/>
              </w:rPr>
            </w:pPr>
          </w:p>
        </w:tc>
        <w:tc>
          <w:tcPr>
            <w:tcW w:w="975" w:type="pct"/>
            <w:tcBorders>
              <w:top w:val="single" w:sz="12" w:space="0" w:color="auto"/>
            </w:tcBorders>
            <w:vAlign w:val="bottom"/>
          </w:tcPr>
          <w:p w14:paraId="0C722D70" w14:textId="77777777" w:rsidR="00C21138" w:rsidRPr="007136B1" w:rsidRDefault="00C21138" w:rsidP="00C21138">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r>
      <w:tr w:rsidR="00C21138" w:rsidRPr="005D4EA5" w14:paraId="171FBBAE" w14:textId="77777777" w:rsidTr="005D1219">
        <w:trPr>
          <w:trHeight w:val="368"/>
        </w:trPr>
        <w:tc>
          <w:tcPr>
            <w:tcW w:w="2484" w:type="pct"/>
            <w:vAlign w:val="bottom"/>
          </w:tcPr>
          <w:p w14:paraId="777FEFE7" w14:textId="77777777" w:rsidR="00C21138" w:rsidRPr="005D4EA5" w:rsidRDefault="00C21138" w:rsidP="00C21138">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12" w:name="_Toc67326593"/>
            <w:r w:rsidRPr="005D4EA5">
              <w:rPr>
                <w:rFonts w:ascii="Arial" w:eastAsia="Times New Roman" w:hAnsi="Arial" w:cs="Arial"/>
                <w:color w:val="000000" w:themeColor="text1"/>
                <w:sz w:val="20"/>
                <w:szCs w:val="20"/>
              </w:rPr>
              <w:t>Neto prihodi/(rashodi) od financijskih aktivnosti</w:t>
            </w:r>
            <w:bookmarkEnd w:id="12"/>
            <w:r w:rsidRPr="005D4EA5">
              <w:rPr>
                <w:rFonts w:ascii="Arial" w:eastAsia="Times New Roman" w:hAnsi="Arial" w:cs="Arial"/>
                <w:color w:val="000000" w:themeColor="text1"/>
                <w:sz w:val="20"/>
                <w:szCs w:val="20"/>
              </w:rPr>
              <w:t xml:space="preserve"> </w:t>
            </w:r>
          </w:p>
        </w:tc>
        <w:tc>
          <w:tcPr>
            <w:tcW w:w="567" w:type="pct"/>
            <w:vAlign w:val="bottom"/>
          </w:tcPr>
          <w:p w14:paraId="02236E0D" w14:textId="77777777" w:rsidR="00C21138" w:rsidRPr="00140901" w:rsidRDefault="00C21138" w:rsidP="00C21138">
            <w:pPr>
              <w:tabs>
                <w:tab w:val="right" w:pos="1202"/>
              </w:tabs>
              <w:suppressAutoHyphens/>
              <w:autoSpaceDN w:val="0"/>
              <w:spacing w:line="301" w:lineRule="exact"/>
              <w:jc w:val="center"/>
              <w:outlineLvl w:val="0"/>
              <w:rPr>
                <w:rFonts w:ascii="Arial" w:eastAsia="Times New Roman" w:hAnsi="Arial" w:cs="Arial"/>
                <w:color w:val="000000" w:themeColor="text1"/>
                <w:sz w:val="20"/>
                <w:szCs w:val="20"/>
              </w:rPr>
            </w:pPr>
          </w:p>
        </w:tc>
        <w:tc>
          <w:tcPr>
            <w:tcW w:w="974" w:type="pct"/>
            <w:vAlign w:val="bottom"/>
          </w:tcPr>
          <w:p w14:paraId="2441A963" w14:textId="6CEFAA37" w:rsidR="00C21138" w:rsidRPr="007136B1" w:rsidRDefault="00056FBD" w:rsidP="00C21138">
            <w:pPr>
              <w:suppressAutoHyphens/>
              <w:autoSpaceDN w:val="0"/>
              <w:spacing w:line="301" w:lineRule="exact"/>
              <w:jc w:val="right"/>
              <w:outlineLvl w:val="0"/>
              <w:rPr>
                <w:rFonts w:ascii="Arial" w:eastAsia="Times New Roman" w:hAnsi="Arial" w:cs="Arial"/>
                <w:color w:val="000000" w:themeColor="text1"/>
                <w:sz w:val="20"/>
                <w:szCs w:val="20"/>
              </w:rPr>
            </w:pPr>
            <w:r w:rsidRPr="007136B1">
              <w:rPr>
                <w:rFonts w:ascii="Arial" w:eastAsia="Times New Roman" w:hAnsi="Arial" w:cs="Arial"/>
                <w:color w:val="000000" w:themeColor="text1"/>
                <w:sz w:val="20"/>
                <w:szCs w:val="20"/>
              </w:rPr>
              <w:t>41</w:t>
            </w:r>
          </w:p>
        </w:tc>
        <w:tc>
          <w:tcPr>
            <w:tcW w:w="975" w:type="pct"/>
            <w:vAlign w:val="bottom"/>
          </w:tcPr>
          <w:p w14:paraId="060C0B72" w14:textId="77D3F5D2" w:rsidR="00C21138" w:rsidRPr="007136B1" w:rsidRDefault="00C21138" w:rsidP="00C21138">
            <w:pPr>
              <w:tabs>
                <w:tab w:val="right" w:pos="1202"/>
              </w:tabs>
              <w:suppressAutoHyphens/>
              <w:autoSpaceDN w:val="0"/>
              <w:spacing w:line="301" w:lineRule="exact"/>
              <w:jc w:val="right"/>
              <w:outlineLvl w:val="0"/>
              <w:rPr>
                <w:rFonts w:ascii="Arial" w:eastAsia="Times New Roman" w:hAnsi="Arial" w:cs="Arial"/>
                <w:bCs/>
                <w:color w:val="000000" w:themeColor="text1"/>
                <w:spacing w:val="-2"/>
                <w:sz w:val="20"/>
                <w:szCs w:val="20"/>
              </w:rPr>
            </w:pPr>
            <w:r w:rsidRPr="007136B1">
              <w:rPr>
                <w:rFonts w:ascii="Arial" w:hAnsi="Arial" w:cs="Arial"/>
                <w:sz w:val="20"/>
                <w:szCs w:val="20"/>
              </w:rPr>
              <w:t>2.467</w:t>
            </w:r>
          </w:p>
        </w:tc>
      </w:tr>
      <w:tr w:rsidR="00C21138" w:rsidRPr="005D4EA5" w14:paraId="446ED955" w14:textId="77777777" w:rsidTr="005D1219">
        <w:trPr>
          <w:trHeight w:val="302"/>
        </w:trPr>
        <w:tc>
          <w:tcPr>
            <w:tcW w:w="2484" w:type="pct"/>
            <w:vAlign w:val="bottom"/>
          </w:tcPr>
          <w:p w14:paraId="376FBC95" w14:textId="77777777" w:rsidR="00C21138" w:rsidRPr="005D4EA5" w:rsidRDefault="00C21138" w:rsidP="00C21138">
            <w:pPr>
              <w:tabs>
                <w:tab w:val="right" w:pos="1202"/>
              </w:tabs>
              <w:suppressAutoHyphens/>
              <w:autoSpaceDN w:val="0"/>
              <w:spacing w:line="340" w:lineRule="exact"/>
              <w:outlineLvl w:val="0"/>
              <w:rPr>
                <w:rFonts w:ascii="Arial" w:eastAsia="Times New Roman" w:hAnsi="Arial" w:cs="Arial"/>
                <w:color w:val="000000" w:themeColor="text1"/>
                <w:sz w:val="20"/>
                <w:szCs w:val="20"/>
              </w:rPr>
            </w:pPr>
            <w:bookmarkStart w:id="13" w:name="_Toc67326597"/>
            <w:r w:rsidRPr="005D4EA5">
              <w:rPr>
                <w:rFonts w:ascii="Arial" w:eastAsia="Times New Roman" w:hAnsi="Arial" w:cs="Arial"/>
                <w:color w:val="000000" w:themeColor="text1"/>
                <w:sz w:val="20"/>
                <w:szCs w:val="20"/>
              </w:rPr>
              <w:t>Ostali prihodi</w:t>
            </w:r>
            <w:bookmarkEnd w:id="13"/>
          </w:p>
        </w:tc>
        <w:tc>
          <w:tcPr>
            <w:tcW w:w="567" w:type="pct"/>
            <w:vAlign w:val="bottom"/>
          </w:tcPr>
          <w:p w14:paraId="54A266B6" w14:textId="77777777" w:rsidR="00C21138" w:rsidRPr="00140901" w:rsidRDefault="00C21138" w:rsidP="00C21138">
            <w:pPr>
              <w:tabs>
                <w:tab w:val="right" w:pos="1202"/>
              </w:tabs>
              <w:suppressAutoHyphens/>
              <w:autoSpaceDN w:val="0"/>
              <w:spacing w:line="340" w:lineRule="exact"/>
              <w:jc w:val="center"/>
              <w:outlineLvl w:val="0"/>
              <w:rPr>
                <w:rFonts w:ascii="Arial" w:eastAsia="Times New Roman" w:hAnsi="Arial" w:cs="Arial"/>
                <w:b/>
                <w:bCs/>
                <w:color w:val="000000" w:themeColor="text1"/>
                <w:sz w:val="20"/>
                <w:szCs w:val="20"/>
              </w:rPr>
            </w:pPr>
          </w:p>
        </w:tc>
        <w:tc>
          <w:tcPr>
            <w:tcW w:w="974" w:type="pct"/>
            <w:vAlign w:val="bottom"/>
          </w:tcPr>
          <w:p w14:paraId="754B3200" w14:textId="4A00D7A3" w:rsidR="00C21138" w:rsidRPr="007136B1" w:rsidRDefault="007136B1" w:rsidP="00C21138">
            <w:pPr>
              <w:suppressAutoHyphens/>
              <w:autoSpaceDN w:val="0"/>
              <w:spacing w:line="301" w:lineRule="exact"/>
              <w:jc w:val="right"/>
              <w:outlineLvl w:val="0"/>
              <w:rPr>
                <w:rFonts w:ascii="Arial" w:eastAsia="Times New Roman" w:hAnsi="Arial" w:cs="Arial"/>
                <w:color w:val="000000" w:themeColor="text1"/>
                <w:sz w:val="20"/>
                <w:szCs w:val="20"/>
              </w:rPr>
            </w:pPr>
            <w:r w:rsidRPr="007136B1">
              <w:rPr>
                <w:rFonts w:ascii="Arial" w:eastAsia="Times New Roman" w:hAnsi="Arial" w:cs="Arial"/>
                <w:color w:val="000000" w:themeColor="text1"/>
                <w:sz w:val="20"/>
                <w:szCs w:val="20"/>
              </w:rPr>
              <w:t>1.978</w:t>
            </w:r>
          </w:p>
        </w:tc>
        <w:tc>
          <w:tcPr>
            <w:tcW w:w="975" w:type="pct"/>
            <w:vAlign w:val="bottom"/>
          </w:tcPr>
          <w:p w14:paraId="60CA1AB1" w14:textId="71F3369E" w:rsidR="00C21138" w:rsidRPr="007136B1" w:rsidRDefault="00C21138" w:rsidP="00C21138">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7136B1">
              <w:rPr>
                <w:rFonts w:ascii="Arial" w:hAnsi="Arial" w:cs="Arial"/>
                <w:sz w:val="20"/>
                <w:szCs w:val="20"/>
              </w:rPr>
              <w:t>1.057</w:t>
            </w:r>
          </w:p>
        </w:tc>
      </w:tr>
      <w:tr w:rsidR="00C21138" w:rsidRPr="005D4EA5" w14:paraId="275E713E" w14:textId="77777777" w:rsidTr="005D1219">
        <w:trPr>
          <w:trHeight w:val="314"/>
        </w:trPr>
        <w:tc>
          <w:tcPr>
            <w:tcW w:w="2484" w:type="pct"/>
            <w:vAlign w:val="bottom"/>
          </w:tcPr>
          <w:p w14:paraId="6B947455" w14:textId="77777777" w:rsidR="00C21138" w:rsidRPr="005D4EA5" w:rsidRDefault="00C21138" w:rsidP="00C21138">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567" w:type="pct"/>
            <w:vAlign w:val="bottom"/>
          </w:tcPr>
          <w:p w14:paraId="393FD4A5" w14:textId="77777777" w:rsidR="00C21138" w:rsidRPr="00140901" w:rsidRDefault="00C21138" w:rsidP="00C21138">
            <w:pPr>
              <w:tabs>
                <w:tab w:val="right" w:pos="1202"/>
              </w:tabs>
              <w:suppressAutoHyphens/>
              <w:autoSpaceDN w:val="0"/>
              <w:spacing w:line="340" w:lineRule="exact"/>
              <w:jc w:val="center"/>
              <w:outlineLvl w:val="0"/>
              <w:rPr>
                <w:rFonts w:ascii="Arial" w:eastAsia="Times New Roman" w:hAnsi="Arial" w:cs="Arial"/>
                <w:b/>
                <w:bCs/>
                <w:color w:val="000000" w:themeColor="text1"/>
                <w:sz w:val="20"/>
                <w:szCs w:val="20"/>
              </w:rPr>
            </w:pPr>
          </w:p>
        </w:tc>
        <w:tc>
          <w:tcPr>
            <w:tcW w:w="974" w:type="pct"/>
            <w:tcBorders>
              <w:top w:val="single" w:sz="2" w:space="0" w:color="auto"/>
              <w:bottom w:val="single" w:sz="12" w:space="0" w:color="auto"/>
            </w:tcBorders>
            <w:vAlign w:val="bottom"/>
          </w:tcPr>
          <w:p w14:paraId="60CD89D8" w14:textId="281DDCD0" w:rsidR="00C21138" w:rsidRPr="007136B1" w:rsidRDefault="007136B1" w:rsidP="00C21138">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7136B1">
              <w:rPr>
                <w:rFonts w:ascii="Arial" w:eastAsia="Times New Roman" w:hAnsi="Arial" w:cs="Arial"/>
                <w:b/>
                <w:bCs/>
                <w:color w:val="000000" w:themeColor="text1"/>
                <w:sz w:val="20"/>
                <w:szCs w:val="20"/>
              </w:rPr>
              <w:t>19.424</w:t>
            </w:r>
          </w:p>
        </w:tc>
        <w:tc>
          <w:tcPr>
            <w:tcW w:w="975" w:type="pct"/>
            <w:tcBorders>
              <w:top w:val="single" w:sz="2" w:space="0" w:color="auto"/>
              <w:bottom w:val="single" w:sz="12" w:space="0" w:color="auto"/>
            </w:tcBorders>
            <w:vAlign w:val="bottom"/>
          </w:tcPr>
          <w:p w14:paraId="482DFD62" w14:textId="36A26B2D" w:rsidR="00C21138" w:rsidRPr="007136B1" w:rsidRDefault="00C21138" w:rsidP="00C21138">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7136B1">
              <w:rPr>
                <w:rFonts w:ascii="Arial" w:hAnsi="Arial" w:cs="Arial"/>
                <w:b/>
                <w:bCs/>
                <w:sz w:val="20"/>
                <w:szCs w:val="20"/>
              </w:rPr>
              <w:t>20.300</w:t>
            </w:r>
          </w:p>
        </w:tc>
      </w:tr>
      <w:tr w:rsidR="00C21138" w:rsidRPr="005D4EA5" w14:paraId="0D871F02" w14:textId="77777777" w:rsidTr="00531D68">
        <w:trPr>
          <w:trHeight w:val="269"/>
        </w:trPr>
        <w:tc>
          <w:tcPr>
            <w:tcW w:w="2484" w:type="pct"/>
            <w:vAlign w:val="bottom"/>
          </w:tcPr>
          <w:p w14:paraId="6D2B2CCA" w14:textId="77777777" w:rsidR="00C21138" w:rsidRPr="005D4EA5" w:rsidRDefault="00C21138" w:rsidP="00C21138">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p>
        </w:tc>
        <w:tc>
          <w:tcPr>
            <w:tcW w:w="567" w:type="pct"/>
            <w:vAlign w:val="bottom"/>
          </w:tcPr>
          <w:p w14:paraId="2C623659" w14:textId="77777777" w:rsidR="00C21138" w:rsidRPr="00140901" w:rsidRDefault="00C21138" w:rsidP="00C21138">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p>
        </w:tc>
        <w:tc>
          <w:tcPr>
            <w:tcW w:w="974" w:type="pct"/>
            <w:vAlign w:val="bottom"/>
          </w:tcPr>
          <w:p w14:paraId="4ECBBCA3" w14:textId="77777777" w:rsidR="00C21138" w:rsidRPr="005D4EA5" w:rsidRDefault="00C21138" w:rsidP="00C21138">
            <w:pPr>
              <w:suppressAutoHyphens/>
              <w:autoSpaceDN w:val="0"/>
              <w:spacing w:line="301" w:lineRule="exact"/>
              <w:jc w:val="right"/>
              <w:outlineLvl w:val="0"/>
              <w:rPr>
                <w:rFonts w:ascii="Arial" w:eastAsia="Times New Roman" w:hAnsi="Arial" w:cs="Arial"/>
                <w:color w:val="000000" w:themeColor="text1"/>
                <w:sz w:val="20"/>
                <w:szCs w:val="20"/>
              </w:rPr>
            </w:pPr>
          </w:p>
        </w:tc>
        <w:tc>
          <w:tcPr>
            <w:tcW w:w="975" w:type="pct"/>
            <w:vAlign w:val="bottom"/>
          </w:tcPr>
          <w:p w14:paraId="79109DEA" w14:textId="77777777" w:rsidR="00C21138" w:rsidRPr="005D4EA5" w:rsidRDefault="00C21138" w:rsidP="00C21138">
            <w:pPr>
              <w:suppressAutoHyphens/>
              <w:autoSpaceDN w:val="0"/>
              <w:spacing w:line="301" w:lineRule="exact"/>
              <w:jc w:val="right"/>
              <w:outlineLvl w:val="0"/>
              <w:rPr>
                <w:rFonts w:ascii="Arial" w:eastAsia="Times New Roman" w:hAnsi="Arial" w:cs="Arial"/>
                <w:bCs/>
                <w:color w:val="000000" w:themeColor="text1"/>
                <w:spacing w:val="-2"/>
                <w:sz w:val="20"/>
                <w:szCs w:val="20"/>
              </w:rPr>
            </w:pPr>
          </w:p>
        </w:tc>
      </w:tr>
      <w:tr w:rsidR="00C3673A" w:rsidRPr="005D4EA5" w14:paraId="41947261" w14:textId="77777777" w:rsidTr="005D1219">
        <w:trPr>
          <w:trHeight w:val="124"/>
        </w:trPr>
        <w:tc>
          <w:tcPr>
            <w:tcW w:w="2484" w:type="pct"/>
            <w:vAlign w:val="bottom"/>
          </w:tcPr>
          <w:p w14:paraId="13BD5317" w14:textId="77777777" w:rsidR="00C3673A" w:rsidRPr="005D4EA5" w:rsidRDefault="00C3673A" w:rsidP="00C3673A">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4" w:name="_Toc67326602"/>
            <w:r w:rsidRPr="005D4EA5">
              <w:rPr>
                <w:rFonts w:ascii="Arial" w:eastAsia="Times New Roman" w:hAnsi="Arial" w:cs="Arial"/>
                <w:bCs/>
                <w:color w:val="000000" w:themeColor="text1"/>
                <w:spacing w:val="-2"/>
                <w:sz w:val="20"/>
                <w:szCs w:val="20"/>
              </w:rPr>
              <w:t>Troškovi osoblja</w:t>
            </w:r>
            <w:bookmarkEnd w:id="14"/>
          </w:p>
        </w:tc>
        <w:tc>
          <w:tcPr>
            <w:tcW w:w="567" w:type="pct"/>
            <w:vAlign w:val="bottom"/>
          </w:tcPr>
          <w:p w14:paraId="61295825" w14:textId="77777777" w:rsidR="00C3673A" w:rsidRPr="00140901" w:rsidRDefault="00C3673A" w:rsidP="00C3673A">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5" w:name="_Toc67326603"/>
            <w:r w:rsidRPr="00140901">
              <w:rPr>
                <w:rFonts w:ascii="Arial" w:eastAsia="Times New Roman" w:hAnsi="Arial" w:cs="Arial"/>
                <w:bCs/>
                <w:color w:val="000000" w:themeColor="text1"/>
                <w:spacing w:val="-2"/>
                <w:sz w:val="20"/>
                <w:szCs w:val="20"/>
              </w:rPr>
              <w:t>7 a)</w:t>
            </w:r>
            <w:bookmarkEnd w:id="15"/>
          </w:p>
        </w:tc>
        <w:tc>
          <w:tcPr>
            <w:tcW w:w="974" w:type="pct"/>
            <w:tcBorders>
              <w:top w:val="nil"/>
              <w:left w:val="nil"/>
              <w:bottom w:val="nil"/>
              <w:right w:val="nil"/>
            </w:tcBorders>
            <w:shd w:val="clear" w:color="auto" w:fill="auto"/>
            <w:vAlign w:val="bottom"/>
          </w:tcPr>
          <w:p w14:paraId="0A276587" w14:textId="5A64B91E" w:rsidR="00C3673A" w:rsidRPr="001C6A70" w:rsidRDefault="00C3673A" w:rsidP="00C3673A">
            <w:pPr>
              <w:suppressAutoHyphens/>
              <w:autoSpaceDN w:val="0"/>
              <w:spacing w:line="301" w:lineRule="exact"/>
              <w:jc w:val="right"/>
              <w:outlineLvl w:val="0"/>
              <w:rPr>
                <w:rFonts w:ascii="Arial" w:eastAsia="Times New Roman" w:hAnsi="Arial" w:cs="Arial"/>
                <w:color w:val="000000" w:themeColor="text1"/>
                <w:sz w:val="20"/>
                <w:szCs w:val="20"/>
              </w:rPr>
            </w:pPr>
            <w:r w:rsidRPr="005D1219">
              <w:rPr>
                <w:rFonts w:ascii="Arial" w:hAnsi="Arial" w:cs="Arial"/>
                <w:color w:val="000000"/>
                <w:sz w:val="20"/>
                <w:szCs w:val="20"/>
              </w:rPr>
              <w:t xml:space="preserve">               (4.260)</w:t>
            </w:r>
          </w:p>
        </w:tc>
        <w:tc>
          <w:tcPr>
            <w:tcW w:w="975" w:type="pct"/>
            <w:tcBorders>
              <w:top w:val="nil"/>
              <w:left w:val="nil"/>
              <w:right w:val="nil"/>
            </w:tcBorders>
            <w:shd w:val="clear" w:color="auto" w:fill="auto"/>
            <w:vAlign w:val="bottom"/>
          </w:tcPr>
          <w:p w14:paraId="246E969B" w14:textId="7EBFCD2A" w:rsidR="00C3673A" w:rsidRPr="005D4EA5" w:rsidRDefault="00C3673A" w:rsidP="00C3673A">
            <w:pPr>
              <w:suppressAutoHyphens/>
              <w:autoSpaceDN w:val="0"/>
              <w:spacing w:line="301" w:lineRule="exact"/>
              <w:jc w:val="right"/>
              <w:outlineLvl w:val="0"/>
              <w:rPr>
                <w:rFonts w:ascii="Arial" w:eastAsia="Times New Roman" w:hAnsi="Arial" w:cs="Arial"/>
                <w:bCs/>
                <w:color w:val="000000" w:themeColor="text1"/>
                <w:spacing w:val="-2"/>
                <w:sz w:val="20"/>
                <w:szCs w:val="20"/>
              </w:rPr>
            </w:pPr>
            <w:r>
              <w:rPr>
                <w:rFonts w:ascii="Arial" w:eastAsia="Times New Roman" w:hAnsi="Arial" w:cs="Arial"/>
                <w:color w:val="000000" w:themeColor="text1"/>
                <w:sz w:val="20"/>
                <w:szCs w:val="20"/>
              </w:rPr>
              <w:t>(</w:t>
            </w:r>
            <w:r w:rsidRPr="00984BC2">
              <w:rPr>
                <w:rFonts w:ascii="Arial" w:eastAsia="Times New Roman" w:hAnsi="Arial" w:cs="Arial"/>
                <w:color w:val="000000" w:themeColor="text1"/>
                <w:sz w:val="20"/>
                <w:szCs w:val="20"/>
              </w:rPr>
              <w:t>3.695</w:t>
            </w:r>
            <w:r>
              <w:rPr>
                <w:rFonts w:ascii="Arial" w:eastAsia="Times New Roman" w:hAnsi="Arial" w:cs="Arial"/>
                <w:color w:val="000000" w:themeColor="text1"/>
                <w:sz w:val="20"/>
                <w:szCs w:val="20"/>
              </w:rPr>
              <w:t>)</w:t>
            </w:r>
          </w:p>
        </w:tc>
      </w:tr>
      <w:tr w:rsidR="00C3673A" w:rsidRPr="005D4EA5" w14:paraId="2FF6C3BF" w14:textId="77777777" w:rsidTr="005D1219">
        <w:trPr>
          <w:trHeight w:val="255"/>
        </w:trPr>
        <w:tc>
          <w:tcPr>
            <w:tcW w:w="2484" w:type="pct"/>
            <w:vAlign w:val="bottom"/>
          </w:tcPr>
          <w:p w14:paraId="76F4C44F" w14:textId="77777777" w:rsidR="00C3673A" w:rsidRPr="005D4EA5" w:rsidRDefault="00C3673A" w:rsidP="00C3673A">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6" w:name="_Toc67326606"/>
            <w:r w:rsidRPr="005D4EA5">
              <w:rPr>
                <w:rFonts w:ascii="Arial" w:eastAsia="Times New Roman" w:hAnsi="Arial" w:cs="Arial"/>
                <w:bCs/>
                <w:color w:val="000000" w:themeColor="text1"/>
                <w:spacing w:val="-2"/>
                <w:sz w:val="20"/>
                <w:szCs w:val="20"/>
              </w:rPr>
              <w:t>Amortizacija</w:t>
            </w:r>
            <w:bookmarkEnd w:id="16"/>
          </w:p>
        </w:tc>
        <w:tc>
          <w:tcPr>
            <w:tcW w:w="567" w:type="pct"/>
            <w:vAlign w:val="bottom"/>
          </w:tcPr>
          <w:p w14:paraId="271BF912" w14:textId="77777777" w:rsidR="00C3673A" w:rsidRPr="00140901" w:rsidRDefault="00C3673A" w:rsidP="00C3673A">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7" w:name="_Toc67326607"/>
            <w:r w:rsidRPr="00140901">
              <w:rPr>
                <w:rFonts w:ascii="Arial" w:eastAsia="Times New Roman" w:hAnsi="Arial" w:cs="Arial"/>
                <w:bCs/>
                <w:color w:val="000000" w:themeColor="text1"/>
                <w:spacing w:val="-2"/>
                <w:sz w:val="20"/>
                <w:szCs w:val="20"/>
              </w:rPr>
              <w:t>7 b)</w:t>
            </w:r>
            <w:bookmarkEnd w:id="17"/>
          </w:p>
        </w:tc>
        <w:tc>
          <w:tcPr>
            <w:tcW w:w="974" w:type="pct"/>
            <w:tcBorders>
              <w:top w:val="nil"/>
              <w:left w:val="nil"/>
              <w:bottom w:val="nil"/>
              <w:right w:val="nil"/>
            </w:tcBorders>
            <w:shd w:val="clear" w:color="auto" w:fill="auto"/>
            <w:vAlign w:val="bottom"/>
          </w:tcPr>
          <w:p w14:paraId="772EF071" w14:textId="2F3C1150" w:rsidR="00C3673A" w:rsidRPr="001C6A70" w:rsidRDefault="00C3673A" w:rsidP="00C3673A">
            <w:pPr>
              <w:suppressAutoHyphens/>
              <w:autoSpaceDN w:val="0"/>
              <w:spacing w:line="301" w:lineRule="exact"/>
              <w:jc w:val="right"/>
              <w:outlineLvl w:val="0"/>
              <w:rPr>
                <w:rFonts w:ascii="Arial" w:eastAsia="Times New Roman" w:hAnsi="Arial" w:cs="Arial"/>
                <w:color w:val="000000" w:themeColor="text1"/>
                <w:sz w:val="20"/>
                <w:szCs w:val="20"/>
              </w:rPr>
            </w:pPr>
            <w:r w:rsidRPr="005D1219">
              <w:rPr>
                <w:rFonts w:ascii="Arial" w:hAnsi="Arial" w:cs="Arial"/>
                <w:color w:val="000000"/>
                <w:sz w:val="20"/>
                <w:szCs w:val="20"/>
              </w:rPr>
              <w:t xml:space="preserve">                   (505)</w:t>
            </w:r>
          </w:p>
        </w:tc>
        <w:tc>
          <w:tcPr>
            <w:tcW w:w="975" w:type="pct"/>
            <w:tcBorders>
              <w:top w:val="nil"/>
              <w:left w:val="nil"/>
              <w:right w:val="nil"/>
            </w:tcBorders>
            <w:shd w:val="clear" w:color="auto" w:fill="auto"/>
            <w:vAlign w:val="bottom"/>
          </w:tcPr>
          <w:p w14:paraId="5ECB1523" w14:textId="5FB81A19" w:rsidR="00C3673A" w:rsidRPr="005D4EA5" w:rsidDel="008A118B" w:rsidRDefault="00C3673A" w:rsidP="00C3673A">
            <w:pPr>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r w:rsidRPr="00984BC2">
              <w:rPr>
                <w:rFonts w:ascii="Arial" w:eastAsia="Times New Roman" w:hAnsi="Arial" w:cs="Arial"/>
                <w:color w:val="000000" w:themeColor="text1"/>
                <w:sz w:val="20"/>
                <w:szCs w:val="20"/>
              </w:rPr>
              <w:t>344</w:t>
            </w:r>
            <w:r>
              <w:rPr>
                <w:rFonts w:ascii="Arial" w:eastAsia="Times New Roman" w:hAnsi="Arial" w:cs="Arial"/>
                <w:color w:val="000000" w:themeColor="text1"/>
                <w:sz w:val="20"/>
                <w:szCs w:val="20"/>
              </w:rPr>
              <w:t>)</w:t>
            </w:r>
          </w:p>
        </w:tc>
      </w:tr>
      <w:tr w:rsidR="00C3673A" w:rsidRPr="005D4EA5" w14:paraId="17E190BF" w14:textId="77777777" w:rsidTr="005D1219">
        <w:trPr>
          <w:trHeight w:val="255"/>
        </w:trPr>
        <w:tc>
          <w:tcPr>
            <w:tcW w:w="2484" w:type="pct"/>
            <w:vAlign w:val="bottom"/>
          </w:tcPr>
          <w:p w14:paraId="28C03CAC" w14:textId="77777777" w:rsidR="00C3673A" w:rsidRPr="005D4EA5" w:rsidRDefault="00C3673A" w:rsidP="00C3673A">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8" w:name="_Toc67326610"/>
            <w:r w:rsidRPr="005D4EA5">
              <w:rPr>
                <w:rFonts w:ascii="Arial" w:eastAsia="Times New Roman" w:hAnsi="Arial" w:cs="Arial"/>
                <w:bCs/>
                <w:color w:val="000000" w:themeColor="text1"/>
                <w:spacing w:val="-2"/>
                <w:sz w:val="20"/>
                <w:szCs w:val="20"/>
              </w:rPr>
              <w:t>Ostali troškovi</w:t>
            </w:r>
            <w:bookmarkEnd w:id="18"/>
          </w:p>
        </w:tc>
        <w:tc>
          <w:tcPr>
            <w:tcW w:w="567" w:type="pct"/>
            <w:vAlign w:val="bottom"/>
          </w:tcPr>
          <w:p w14:paraId="71E4547E" w14:textId="77777777" w:rsidR="00C3673A" w:rsidRPr="00140901" w:rsidRDefault="00C3673A" w:rsidP="00C3673A">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9" w:name="_Toc67326611"/>
            <w:r w:rsidRPr="00140901">
              <w:rPr>
                <w:rFonts w:ascii="Arial" w:eastAsia="Times New Roman" w:hAnsi="Arial" w:cs="Arial"/>
                <w:bCs/>
                <w:color w:val="000000" w:themeColor="text1"/>
                <w:spacing w:val="-2"/>
                <w:sz w:val="20"/>
                <w:szCs w:val="20"/>
              </w:rPr>
              <w:t>7 c)</w:t>
            </w:r>
            <w:bookmarkEnd w:id="19"/>
          </w:p>
        </w:tc>
        <w:tc>
          <w:tcPr>
            <w:tcW w:w="974" w:type="pct"/>
            <w:tcBorders>
              <w:top w:val="nil"/>
              <w:left w:val="nil"/>
              <w:bottom w:val="nil"/>
              <w:right w:val="nil"/>
            </w:tcBorders>
            <w:shd w:val="clear" w:color="auto" w:fill="auto"/>
            <w:vAlign w:val="bottom"/>
          </w:tcPr>
          <w:p w14:paraId="5F8A66F3" w14:textId="5C8EA75C" w:rsidR="00C3673A" w:rsidRPr="001C6A70" w:rsidRDefault="00C3673A" w:rsidP="00C3673A">
            <w:pPr>
              <w:suppressAutoHyphens/>
              <w:autoSpaceDN w:val="0"/>
              <w:spacing w:line="301" w:lineRule="exact"/>
              <w:jc w:val="right"/>
              <w:outlineLvl w:val="0"/>
              <w:rPr>
                <w:rFonts w:ascii="Arial" w:eastAsia="Times New Roman" w:hAnsi="Arial" w:cs="Arial"/>
                <w:color w:val="000000" w:themeColor="text1"/>
                <w:sz w:val="20"/>
                <w:szCs w:val="20"/>
              </w:rPr>
            </w:pPr>
            <w:r w:rsidRPr="005D1219">
              <w:rPr>
                <w:rFonts w:ascii="Arial" w:hAnsi="Arial" w:cs="Arial"/>
                <w:color w:val="000000"/>
                <w:sz w:val="20"/>
                <w:szCs w:val="20"/>
              </w:rPr>
              <w:t xml:space="preserve">                (2.748)</w:t>
            </w:r>
          </w:p>
        </w:tc>
        <w:tc>
          <w:tcPr>
            <w:tcW w:w="975" w:type="pct"/>
            <w:tcBorders>
              <w:top w:val="nil"/>
              <w:left w:val="nil"/>
              <w:right w:val="nil"/>
            </w:tcBorders>
            <w:shd w:val="clear" w:color="auto" w:fill="auto"/>
            <w:vAlign w:val="bottom"/>
          </w:tcPr>
          <w:p w14:paraId="5B9C57CF" w14:textId="6303C92F" w:rsidR="00C3673A" w:rsidRPr="005D4EA5" w:rsidDel="008A118B" w:rsidRDefault="00C3673A" w:rsidP="00C3673A">
            <w:pPr>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w:t>
            </w:r>
            <w:r w:rsidRPr="00984BC2">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24</w:t>
            </w:r>
            <w:r w:rsidRPr="00984BC2">
              <w:rPr>
                <w:rFonts w:ascii="Arial" w:eastAsia="Times New Roman" w:hAnsi="Arial" w:cs="Arial"/>
                <w:color w:val="000000" w:themeColor="text1"/>
                <w:sz w:val="20"/>
                <w:szCs w:val="20"/>
              </w:rPr>
              <w:t>4</w:t>
            </w:r>
            <w:r>
              <w:rPr>
                <w:rFonts w:ascii="Arial" w:eastAsia="Times New Roman" w:hAnsi="Arial" w:cs="Arial"/>
                <w:color w:val="000000" w:themeColor="text1"/>
                <w:sz w:val="20"/>
                <w:szCs w:val="20"/>
              </w:rPr>
              <w:t>)</w:t>
            </w:r>
          </w:p>
        </w:tc>
      </w:tr>
      <w:tr w:rsidR="00C3673A" w:rsidRPr="005D4EA5" w14:paraId="3A81E168" w14:textId="77777777" w:rsidTr="00531D68">
        <w:trPr>
          <w:trHeight w:val="255"/>
        </w:trPr>
        <w:tc>
          <w:tcPr>
            <w:tcW w:w="2484" w:type="pct"/>
            <w:vAlign w:val="bottom"/>
          </w:tcPr>
          <w:p w14:paraId="323F6FFF" w14:textId="01324D2A" w:rsidR="00C3673A" w:rsidRPr="00164AC2" w:rsidRDefault="00C3673A" w:rsidP="00C3673A">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r w:rsidRPr="00164AC2">
              <w:rPr>
                <w:rFonts w:ascii="Arial" w:hAnsi="Arial" w:cs="Arial"/>
                <w:bCs/>
                <w:color w:val="000000" w:themeColor="text1"/>
                <w:spacing w:val="-2"/>
                <w:sz w:val="20"/>
              </w:rPr>
              <w:t>Trošak subvencije na teret poslovanja HBOR-a</w:t>
            </w:r>
          </w:p>
        </w:tc>
        <w:tc>
          <w:tcPr>
            <w:tcW w:w="567" w:type="pct"/>
            <w:vAlign w:val="bottom"/>
          </w:tcPr>
          <w:p w14:paraId="46B85949" w14:textId="77777777" w:rsidR="00C3673A" w:rsidRPr="00140901" w:rsidRDefault="00C3673A" w:rsidP="00C3673A">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p>
        </w:tc>
        <w:tc>
          <w:tcPr>
            <w:tcW w:w="974" w:type="pct"/>
            <w:tcBorders>
              <w:top w:val="nil"/>
              <w:left w:val="nil"/>
              <w:right w:val="nil"/>
            </w:tcBorders>
            <w:shd w:val="clear" w:color="auto" w:fill="auto"/>
            <w:vAlign w:val="bottom"/>
          </w:tcPr>
          <w:p w14:paraId="29462295" w14:textId="1BA181F3" w:rsidR="00C3673A" w:rsidRPr="001C6A70" w:rsidRDefault="00602DA9" w:rsidP="00C3673A">
            <w:pPr>
              <w:suppressAutoHyphens/>
              <w:autoSpaceDN w:val="0"/>
              <w:spacing w:line="301" w:lineRule="exact"/>
              <w:jc w:val="right"/>
              <w:outlineLvl w:val="0"/>
              <w:rPr>
                <w:rFonts w:ascii="Arial" w:eastAsia="Times New Roman" w:hAnsi="Arial" w:cs="Arial"/>
                <w:color w:val="000000" w:themeColor="text1"/>
                <w:sz w:val="20"/>
                <w:szCs w:val="20"/>
              </w:rPr>
            </w:pPr>
            <w:r w:rsidRPr="001C6A70">
              <w:rPr>
                <w:rFonts w:ascii="Arial" w:eastAsia="Times New Roman" w:hAnsi="Arial" w:cs="Arial"/>
                <w:color w:val="000000" w:themeColor="text1"/>
                <w:sz w:val="20"/>
                <w:szCs w:val="20"/>
              </w:rPr>
              <w:t>(264)</w:t>
            </w:r>
          </w:p>
        </w:tc>
        <w:tc>
          <w:tcPr>
            <w:tcW w:w="975" w:type="pct"/>
            <w:tcBorders>
              <w:top w:val="nil"/>
              <w:left w:val="nil"/>
              <w:right w:val="nil"/>
            </w:tcBorders>
            <w:shd w:val="clear" w:color="auto" w:fill="auto"/>
            <w:vAlign w:val="bottom"/>
          </w:tcPr>
          <w:p w14:paraId="02A97889" w14:textId="536C8C45" w:rsidR="00C3673A" w:rsidRDefault="00C3673A" w:rsidP="00C3673A">
            <w:pPr>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r>
      <w:tr w:rsidR="00C3673A" w:rsidRPr="005D4EA5" w14:paraId="3C8E78EA" w14:textId="77777777" w:rsidTr="00FE103D">
        <w:trPr>
          <w:trHeight w:val="392"/>
        </w:trPr>
        <w:tc>
          <w:tcPr>
            <w:tcW w:w="2484" w:type="pct"/>
            <w:vAlign w:val="bottom"/>
          </w:tcPr>
          <w:p w14:paraId="437A9C1E" w14:textId="67687C11" w:rsidR="00C3673A" w:rsidRPr="005D4EA5" w:rsidRDefault="00C3673A" w:rsidP="00C3673A">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20" w:name="_Toc67326614"/>
            <w:r w:rsidRPr="005D4EA5">
              <w:rPr>
                <w:rFonts w:ascii="Arial" w:eastAsia="Times New Roman" w:hAnsi="Arial" w:cs="Arial"/>
                <w:bCs/>
                <w:color w:val="000000" w:themeColor="text1"/>
                <w:spacing w:val="-2"/>
                <w:sz w:val="20"/>
                <w:szCs w:val="20"/>
              </w:rPr>
              <w:t>Dobitak od umanjenja vrijednosti i rezerviranja</w:t>
            </w:r>
            <w:bookmarkEnd w:id="20"/>
          </w:p>
        </w:tc>
        <w:tc>
          <w:tcPr>
            <w:tcW w:w="567" w:type="pct"/>
            <w:vAlign w:val="bottom"/>
          </w:tcPr>
          <w:p w14:paraId="51C41598" w14:textId="77777777" w:rsidR="00C3673A" w:rsidRPr="00140901" w:rsidRDefault="00C3673A" w:rsidP="00C3673A">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r w:rsidRPr="00140901">
              <w:rPr>
                <w:rFonts w:ascii="Arial" w:eastAsia="Times New Roman" w:hAnsi="Arial" w:cs="Arial"/>
                <w:bCs/>
                <w:color w:val="000000" w:themeColor="text1"/>
                <w:spacing w:val="-2"/>
                <w:sz w:val="20"/>
                <w:szCs w:val="20"/>
              </w:rPr>
              <w:t>8</w:t>
            </w:r>
          </w:p>
        </w:tc>
        <w:tc>
          <w:tcPr>
            <w:tcW w:w="974" w:type="pct"/>
            <w:tcBorders>
              <w:top w:val="nil"/>
              <w:left w:val="nil"/>
              <w:right w:val="nil"/>
            </w:tcBorders>
            <w:shd w:val="clear" w:color="auto" w:fill="auto"/>
            <w:vAlign w:val="bottom"/>
          </w:tcPr>
          <w:p w14:paraId="6A7D5B3B" w14:textId="44414B23" w:rsidR="00C3673A" w:rsidRPr="001C6A70" w:rsidRDefault="00602DA9" w:rsidP="00C3673A">
            <w:pPr>
              <w:suppressAutoHyphens/>
              <w:autoSpaceDN w:val="0"/>
              <w:spacing w:line="301" w:lineRule="exact"/>
              <w:jc w:val="right"/>
              <w:outlineLvl w:val="0"/>
              <w:rPr>
                <w:rFonts w:ascii="Arial" w:eastAsia="Times New Roman" w:hAnsi="Arial" w:cs="Arial"/>
                <w:color w:val="000000" w:themeColor="text1"/>
                <w:sz w:val="20"/>
                <w:szCs w:val="20"/>
              </w:rPr>
            </w:pPr>
            <w:r w:rsidRPr="001C6A70">
              <w:rPr>
                <w:rFonts w:ascii="Arial" w:eastAsia="Times New Roman" w:hAnsi="Arial" w:cs="Arial"/>
                <w:color w:val="000000" w:themeColor="text1"/>
                <w:sz w:val="20"/>
                <w:szCs w:val="20"/>
              </w:rPr>
              <w:t>5.943</w:t>
            </w:r>
          </w:p>
        </w:tc>
        <w:tc>
          <w:tcPr>
            <w:tcW w:w="975" w:type="pct"/>
            <w:tcBorders>
              <w:top w:val="nil"/>
              <w:left w:val="nil"/>
              <w:right w:val="nil"/>
            </w:tcBorders>
            <w:shd w:val="clear" w:color="auto" w:fill="auto"/>
            <w:vAlign w:val="bottom"/>
          </w:tcPr>
          <w:p w14:paraId="6621DFAA" w14:textId="68F54145" w:rsidR="00C3673A" w:rsidRPr="005D4EA5" w:rsidRDefault="00C3673A" w:rsidP="00C3673A">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5D4EA5">
              <w:rPr>
                <w:rFonts w:ascii="Arial" w:hAnsi="Arial" w:cs="Arial"/>
                <w:sz w:val="20"/>
                <w:szCs w:val="20"/>
              </w:rPr>
              <w:t>4.646</w:t>
            </w:r>
          </w:p>
        </w:tc>
      </w:tr>
      <w:tr w:rsidR="00C3673A" w:rsidRPr="005D4EA5" w14:paraId="30AC2FCD" w14:textId="77777777" w:rsidTr="00FE103D">
        <w:trPr>
          <w:trHeight w:val="314"/>
        </w:trPr>
        <w:tc>
          <w:tcPr>
            <w:tcW w:w="2484" w:type="pct"/>
            <w:vAlign w:val="bottom"/>
          </w:tcPr>
          <w:p w14:paraId="40C18206" w14:textId="77777777" w:rsidR="00C3673A" w:rsidRPr="005D4EA5" w:rsidRDefault="00C3673A" w:rsidP="00C3673A">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bookmarkStart w:id="21" w:name="_Toc67326618"/>
            <w:r w:rsidRPr="005D4EA5">
              <w:rPr>
                <w:rFonts w:ascii="Arial" w:eastAsia="Times New Roman" w:hAnsi="Arial" w:cs="Arial"/>
                <w:b/>
                <w:bCs/>
                <w:color w:val="000000" w:themeColor="text1"/>
                <w:sz w:val="20"/>
                <w:szCs w:val="20"/>
              </w:rPr>
              <w:t>Dobit prije oporezivanja</w:t>
            </w:r>
            <w:bookmarkEnd w:id="21"/>
          </w:p>
        </w:tc>
        <w:tc>
          <w:tcPr>
            <w:tcW w:w="567" w:type="pct"/>
            <w:vAlign w:val="bottom"/>
          </w:tcPr>
          <w:p w14:paraId="5AA5F1ED" w14:textId="77777777" w:rsidR="00C3673A" w:rsidRPr="005D4EA5" w:rsidRDefault="00C3673A" w:rsidP="00C3673A">
            <w:pPr>
              <w:tabs>
                <w:tab w:val="right" w:pos="1202"/>
              </w:tabs>
              <w:suppressAutoHyphens/>
              <w:autoSpaceDN w:val="0"/>
              <w:spacing w:line="340" w:lineRule="exact"/>
              <w:jc w:val="center"/>
              <w:outlineLvl w:val="0"/>
              <w:rPr>
                <w:rFonts w:ascii="Arial" w:eastAsia="Times New Roman" w:hAnsi="Arial" w:cs="Arial"/>
                <w:b/>
                <w:bCs/>
                <w:color w:val="000000" w:themeColor="text1"/>
                <w:sz w:val="20"/>
                <w:szCs w:val="20"/>
                <w:highlight w:val="yellow"/>
              </w:rPr>
            </w:pPr>
          </w:p>
        </w:tc>
        <w:tc>
          <w:tcPr>
            <w:tcW w:w="974" w:type="pct"/>
            <w:tcBorders>
              <w:top w:val="single" w:sz="2" w:space="0" w:color="auto"/>
              <w:bottom w:val="single" w:sz="12" w:space="0" w:color="auto"/>
            </w:tcBorders>
            <w:vAlign w:val="bottom"/>
          </w:tcPr>
          <w:p w14:paraId="2B3EF175" w14:textId="534DF49E" w:rsidR="00C3673A" w:rsidRPr="001C6A70" w:rsidRDefault="00602DA9" w:rsidP="00C3673A">
            <w:pPr>
              <w:suppressAutoHyphens/>
              <w:autoSpaceDN w:val="0"/>
              <w:spacing w:line="301" w:lineRule="exact"/>
              <w:jc w:val="right"/>
              <w:outlineLvl w:val="0"/>
              <w:rPr>
                <w:rFonts w:ascii="Arial" w:eastAsia="Times New Roman" w:hAnsi="Arial" w:cs="Arial"/>
                <w:b/>
                <w:bCs/>
                <w:color w:val="000000" w:themeColor="text1"/>
                <w:sz w:val="20"/>
                <w:szCs w:val="20"/>
              </w:rPr>
            </w:pPr>
            <w:r w:rsidRPr="001C6A70">
              <w:rPr>
                <w:rFonts w:ascii="Arial" w:eastAsia="Times New Roman" w:hAnsi="Arial" w:cs="Arial"/>
                <w:b/>
                <w:bCs/>
                <w:color w:val="000000" w:themeColor="text1"/>
                <w:sz w:val="20"/>
                <w:szCs w:val="20"/>
              </w:rPr>
              <w:t>17.590</w:t>
            </w:r>
          </w:p>
        </w:tc>
        <w:tc>
          <w:tcPr>
            <w:tcW w:w="975" w:type="pct"/>
            <w:tcBorders>
              <w:top w:val="single" w:sz="2" w:space="0" w:color="auto"/>
              <w:bottom w:val="single" w:sz="12" w:space="0" w:color="auto"/>
            </w:tcBorders>
            <w:vAlign w:val="bottom"/>
          </w:tcPr>
          <w:p w14:paraId="28C1DF9C" w14:textId="5CC4A964" w:rsidR="00C3673A" w:rsidRPr="00795DD8" w:rsidRDefault="00C3673A" w:rsidP="00C3673A">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795DD8">
              <w:rPr>
                <w:rFonts w:ascii="Arial" w:hAnsi="Arial" w:cs="Arial"/>
                <w:b/>
                <w:bCs/>
                <w:sz w:val="20"/>
                <w:szCs w:val="20"/>
              </w:rPr>
              <w:t>18.663</w:t>
            </w:r>
          </w:p>
        </w:tc>
      </w:tr>
      <w:tr w:rsidR="00C3673A" w:rsidRPr="005D4EA5" w14:paraId="3AED4767" w14:textId="77777777" w:rsidTr="00531D68">
        <w:trPr>
          <w:trHeight w:val="397"/>
        </w:trPr>
        <w:tc>
          <w:tcPr>
            <w:tcW w:w="2484" w:type="pct"/>
            <w:vAlign w:val="bottom"/>
          </w:tcPr>
          <w:p w14:paraId="58B293ED" w14:textId="77777777" w:rsidR="00C3673A" w:rsidRPr="005D4EA5" w:rsidRDefault="00C3673A" w:rsidP="00C3673A">
            <w:pPr>
              <w:tabs>
                <w:tab w:val="right" w:pos="1202"/>
              </w:tabs>
              <w:suppressAutoHyphens/>
              <w:autoSpaceDN w:val="0"/>
              <w:spacing w:line="340" w:lineRule="exact"/>
              <w:outlineLvl w:val="0"/>
              <w:rPr>
                <w:rFonts w:ascii="Arial" w:eastAsia="Times New Roman" w:hAnsi="Arial" w:cs="Arial"/>
                <w:color w:val="000000" w:themeColor="text1"/>
                <w:sz w:val="20"/>
                <w:szCs w:val="20"/>
              </w:rPr>
            </w:pPr>
            <w:bookmarkStart w:id="22" w:name="_Toc67326621"/>
            <w:r w:rsidRPr="005D4EA5">
              <w:rPr>
                <w:rFonts w:ascii="Arial" w:eastAsia="Times New Roman" w:hAnsi="Arial" w:cs="Arial"/>
                <w:color w:val="000000" w:themeColor="text1"/>
                <w:sz w:val="20"/>
                <w:szCs w:val="20"/>
              </w:rPr>
              <w:t>Porez na dobit</w:t>
            </w:r>
            <w:bookmarkEnd w:id="22"/>
          </w:p>
        </w:tc>
        <w:tc>
          <w:tcPr>
            <w:tcW w:w="567" w:type="pct"/>
            <w:vAlign w:val="bottom"/>
          </w:tcPr>
          <w:p w14:paraId="55E1DDBD" w14:textId="77777777" w:rsidR="00C3673A" w:rsidRPr="005D4EA5" w:rsidRDefault="00C3673A" w:rsidP="00C3673A">
            <w:pPr>
              <w:tabs>
                <w:tab w:val="right" w:pos="1202"/>
              </w:tabs>
              <w:suppressAutoHyphens/>
              <w:autoSpaceDN w:val="0"/>
              <w:spacing w:line="340" w:lineRule="exact"/>
              <w:jc w:val="center"/>
              <w:outlineLvl w:val="0"/>
              <w:rPr>
                <w:rFonts w:ascii="Arial" w:eastAsia="Times New Roman" w:hAnsi="Arial" w:cs="Arial"/>
                <w:color w:val="000000" w:themeColor="text1"/>
                <w:sz w:val="20"/>
                <w:szCs w:val="20"/>
                <w:highlight w:val="yellow"/>
              </w:rPr>
            </w:pPr>
          </w:p>
        </w:tc>
        <w:tc>
          <w:tcPr>
            <w:tcW w:w="974" w:type="pct"/>
            <w:vAlign w:val="bottom"/>
          </w:tcPr>
          <w:p w14:paraId="5504720D" w14:textId="360436C2" w:rsidR="00C3673A" w:rsidRPr="001C6A70" w:rsidRDefault="00602DA9" w:rsidP="00C3673A">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sidRPr="001C6A70">
              <w:rPr>
                <w:rFonts w:ascii="Arial" w:eastAsia="Times New Roman" w:hAnsi="Arial" w:cs="Arial"/>
                <w:color w:val="000000" w:themeColor="text1"/>
                <w:sz w:val="20"/>
                <w:szCs w:val="20"/>
              </w:rPr>
              <w:t>-</w:t>
            </w:r>
          </w:p>
        </w:tc>
        <w:tc>
          <w:tcPr>
            <w:tcW w:w="975" w:type="pct"/>
            <w:vAlign w:val="bottom"/>
          </w:tcPr>
          <w:p w14:paraId="2698471F" w14:textId="48F5D3E6" w:rsidR="00C3673A" w:rsidRPr="005D4EA5" w:rsidRDefault="00602DA9" w:rsidP="00C3673A">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r>
      <w:tr w:rsidR="00C3673A" w:rsidRPr="005D4EA5" w14:paraId="76BF3E71" w14:textId="77777777" w:rsidTr="00531D68">
        <w:trPr>
          <w:trHeight w:val="302"/>
        </w:trPr>
        <w:tc>
          <w:tcPr>
            <w:tcW w:w="2484" w:type="pct"/>
            <w:vAlign w:val="bottom"/>
          </w:tcPr>
          <w:p w14:paraId="3BD91DC6" w14:textId="77777777" w:rsidR="00C3673A" w:rsidRPr="005D4EA5" w:rsidRDefault="00C3673A" w:rsidP="00C3673A">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bookmarkStart w:id="23" w:name="_Toc67326625"/>
            <w:r w:rsidRPr="005D4EA5">
              <w:rPr>
                <w:rFonts w:ascii="Arial" w:eastAsia="Times New Roman" w:hAnsi="Arial" w:cs="Arial"/>
                <w:b/>
                <w:bCs/>
                <w:color w:val="000000" w:themeColor="text1"/>
                <w:sz w:val="20"/>
                <w:szCs w:val="20"/>
              </w:rPr>
              <w:t>Dobit tekuće</w:t>
            </w:r>
            <w:bookmarkEnd w:id="23"/>
            <w:r w:rsidRPr="005D4EA5">
              <w:rPr>
                <w:rFonts w:ascii="Arial" w:eastAsia="Times New Roman" w:hAnsi="Arial" w:cs="Arial"/>
                <w:b/>
                <w:bCs/>
                <w:color w:val="000000" w:themeColor="text1"/>
                <w:sz w:val="20"/>
                <w:szCs w:val="20"/>
              </w:rPr>
              <w:t>g razdoblja</w:t>
            </w:r>
          </w:p>
        </w:tc>
        <w:tc>
          <w:tcPr>
            <w:tcW w:w="567" w:type="pct"/>
            <w:vAlign w:val="bottom"/>
          </w:tcPr>
          <w:p w14:paraId="1358093A" w14:textId="77777777" w:rsidR="00C3673A" w:rsidRPr="005D4EA5" w:rsidRDefault="00C3673A" w:rsidP="00C3673A">
            <w:pPr>
              <w:tabs>
                <w:tab w:val="right" w:pos="1202"/>
              </w:tabs>
              <w:suppressAutoHyphens/>
              <w:autoSpaceDN w:val="0"/>
              <w:spacing w:line="340" w:lineRule="exact"/>
              <w:jc w:val="center"/>
              <w:outlineLvl w:val="0"/>
              <w:rPr>
                <w:rFonts w:ascii="Arial" w:eastAsia="Times New Roman" w:hAnsi="Arial" w:cs="Arial"/>
                <w:b/>
                <w:bCs/>
                <w:color w:val="000000" w:themeColor="text1"/>
                <w:sz w:val="20"/>
                <w:szCs w:val="20"/>
              </w:rPr>
            </w:pPr>
          </w:p>
        </w:tc>
        <w:tc>
          <w:tcPr>
            <w:tcW w:w="974" w:type="pct"/>
            <w:tcBorders>
              <w:top w:val="single" w:sz="2" w:space="0" w:color="auto"/>
              <w:bottom w:val="single" w:sz="12" w:space="0" w:color="auto"/>
            </w:tcBorders>
            <w:vAlign w:val="bottom"/>
          </w:tcPr>
          <w:p w14:paraId="3366B6CF" w14:textId="7C6325BB" w:rsidR="00C3673A" w:rsidRPr="001C6A70" w:rsidRDefault="001C6A70" w:rsidP="00C3673A">
            <w:pPr>
              <w:tabs>
                <w:tab w:val="right" w:pos="1202"/>
              </w:tabs>
              <w:suppressAutoHyphens/>
              <w:autoSpaceDN w:val="0"/>
              <w:spacing w:line="340" w:lineRule="exact"/>
              <w:jc w:val="right"/>
              <w:outlineLvl w:val="0"/>
              <w:rPr>
                <w:rFonts w:ascii="Arial" w:eastAsia="Times New Roman" w:hAnsi="Arial" w:cs="Arial"/>
                <w:b/>
                <w:color w:val="000000" w:themeColor="text1"/>
                <w:sz w:val="20"/>
                <w:szCs w:val="20"/>
              </w:rPr>
            </w:pPr>
            <w:r w:rsidRPr="001C6A70">
              <w:rPr>
                <w:rFonts w:ascii="Arial" w:eastAsia="Times New Roman" w:hAnsi="Arial" w:cs="Arial"/>
                <w:b/>
                <w:color w:val="000000" w:themeColor="text1"/>
                <w:sz w:val="20"/>
                <w:szCs w:val="20"/>
              </w:rPr>
              <w:t>17.590</w:t>
            </w:r>
          </w:p>
        </w:tc>
        <w:tc>
          <w:tcPr>
            <w:tcW w:w="975" w:type="pct"/>
            <w:tcBorders>
              <w:top w:val="single" w:sz="2" w:space="0" w:color="auto"/>
              <w:bottom w:val="single" w:sz="12" w:space="0" w:color="auto"/>
            </w:tcBorders>
            <w:vAlign w:val="bottom"/>
          </w:tcPr>
          <w:p w14:paraId="067FFAA5" w14:textId="3640F9DA" w:rsidR="00C3673A" w:rsidRPr="005D4EA5" w:rsidRDefault="00C3673A" w:rsidP="00C3673A">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5D4EA5">
              <w:rPr>
                <w:rFonts w:ascii="Arial" w:eastAsia="Times New Roman" w:hAnsi="Arial" w:cs="Arial"/>
                <w:b/>
                <w:color w:val="000000" w:themeColor="text1"/>
                <w:sz w:val="20"/>
                <w:szCs w:val="20"/>
              </w:rPr>
              <w:t>18.663</w:t>
            </w:r>
          </w:p>
        </w:tc>
      </w:tr>
      <w:tr w:rsidR="00C3673A" w:rsidRPr="005D4EA5" w14:paraId="5AD1297B" w14:textId="77777777" w:rsidTr="00531D68">
        <w:trPr>
          <w:trHeight w:val="61"/>
        </w:trPr>
        <w:tc>
          <w:tcPr>
            <w:tcW w:w="2484" w:type="pct"/>
            <w:vAlign w:val="bottom"/>
          </w:tcPr>
          <w:p w14:paraId="21CB5F3A" w14:textId="77777777" w:rsidR="00C3673A" w:rsidRPr="005D4EA5" w:rsidRDefault="00C3673A" w:rsidP="00C3673A">
            <w:pPr>
              <w:keepNext/>
              <w:keepLines/>
              <w:tabs>
                <w:tab w:val="left" w:pos="1202"/>
              </w:tabs>
              <w:suppressAutoHyphens/>
              <w:autoSpaceDN w:val="0"/>
              <w:spacing w:line="100" w:lineRule="exact"/>
              <w:rPr>
                <w:rFonts w:ascii="Arial" w:eastAsia="Times New Roman" w:hAnsi="Arial" w:cs="Arial"/>
                <w:b/>
                <w:color w:val="000000" w:themeColor="text1"/>
                <w:position w:val="4"/>
                <w:sz w:val="20"/>
                <w:szCs w:val="20"/>
                <w:u w:val="thick"/>
              </w:rPr>
            </w:pPr>
          </w:p>
        </w:tc>
        <w:tc>
          <w:tcPr>
            <w:tcW w:w="567" w:type="pct"/>
            <w:vAlign w:val="bottom"/>
          </w:tcPr>
          <w:p w14:paraId="1210F663" w14:textId="77777777" w:rsidR="00C3673A" w:rsidRPr="005D4EA5" w:rsidRDefault="00C3673A" w:rsidP="00C3673A">
            <w:pPr>
              <w:keepNext/>
              <w:keepLines/>
              <w:tabs>
                <w:tab w:val="left" w:pos="1202"/>
              </w:tabs>
              <w:suppressAutoHyphens/>
              <w:autoSpaceDN w:val="0"/>
              <w:spacing w:line="100" w:lineRule="exact"/>
              <w:jc w:val="center"/>
              <w:rPr>
                <w:rFonts w:ascii="Arial" w:eastAsia="Times New Roman" w:hAnsi="Arial" w:cs="Arial"/>
                <w:b/>
                <w:color w:val="000000" w:themeColor="text1"/>
                <w:position w:val="4"/>
                <w:sz w:val="20"/>
                <w:szCs w:val="20"/>
                <w:u w:val="thick"/>
              </w:rPr>
            </w:pPr>
          </w:p>
        </w:tc>
        <w:tc>
          <w:tcPr>
            <w:tcW w:w="974" w:type="pct"/>
            <w:tcBorders>
              <w:top w:val="single" w:sz="12" w:space="0" w:color="auto"/>
            </w:tcBorders>
            <w:vAlign w:val="bottom"/>
          </w:tcPr>
          <w:p w14:paraId="2FC8DDED" w14:textId="77777777" w:rsidR="00C3673A" w:rsidRPr="001C6A70" w:rsidRDefault="00C3673A" w:rsidP="00C3673A">
            <w:pPr>
              <w:suppressAutoHyphens/>
              <w:autoSpaceDN w:val="0"/>
              <w:spacing w:line="301" w:lineRule="exact"/>
              <w:jc w:val="right"/>
              <w:outlineLvl w:val="0"/>
              <w:rPr>
                <w:rFonts w:ascii="Arial" w:eastAsia="Times New Roman" w:hAnsi="Arial" w:cs="Arial"/>
                <w:color w:val="000000" w:themeColor="text1"/>
                <w:sz w:val="20"/>
                <w:szCs w:val="20"/>
              </w:rPr>
            </w:pPr>
          </w:p>
        </w:tc>
        <w:tc>
          <w:tcPr>
            <w:tcW w:w="975" w:type="pct"/>
            <w:tcBorders>
              <w:top w:val="single" w:sz="12" w:space="0" w:color="auto"/>
            </w:tcBorders>
            <w:vAlign w:val="bottom"/>
          </w:tcPr>
          <w:p w14:paraId="47F69C26" w14:textId="77777777" w:rsidR="00C3673A" w:rsidRPr="005D4EA5" w:rsidRDefault="00C3673A" w:rsidP="00C3673A">
            <w:pPr>
              <w:keepNext/>
              <w:keepLines/>
              <w:suppressAutoHyphens/>
              <w:autoSpaceDN w:val="0"/>
              <w:spacing w:line="100" w:lineRule="exact"/>
              <w:jc w:val="right"/>
              <w:rPr>
                <w:rFonts w:ascii="Arial" w:eastAsia="Times New Roman" w:hAnsi="Arial" w:cs="Arial"/>
                <w:b/>
                <w:color w:val="000000" w:themeColor="text1"/>
                <w:position w:val="4"/>
                <w:sz w:val="20"/>
                <w:szCs w:val="20"/>
                <w:u w:val="thick"/>
              </w:rPr>
            </w:pPr>
          </w:p>
        </w:tc>
      </w:tr>
      <w:tr w:rsidR="00C3673A" w:rsidRPr="005D4EA5" w14:paraId="59931F50" w14:textId="77777777" w:rsidTr="00531D68">
        <w:trPr>
          <w:trHeight w:val="61"/>
        </w:trPr>
        <w:tc>
          <w:tcPr>
            <w:tcW w:w="2484" w:type="pct"/>
            <w:vAlign w:val="bottom"/>
          </w:tcPr>
          <w:p w14:paraId="25313F0F" w14:textId="77777777" w:rsidR="00C3673A" w:rsidRPr="005D4EA5" w:rsidRDefault="00C3673A" w:rsidP="00C3673A">
            <w:pPr>
              <w:keepNext/>
              <w:keepLines/>
              <w:tabs>
                <w:tab w:val="left" w:pos="1202"/>
              </w:tabs>
              <w:suppressAutoHyphens/>
              <w:autoSpaceDN w:val="0"/>
              <w:spacing w:line="240" w:lineRule="exact"/>
              <w:rPr>
                <w:rFonts w:ascii="Arial" w:eastAsia="Times New Roman" w:hAnsi="Arial" w:cs="Arial"/>
                <w:b/>
                <w:color w:val="000000" w:themeColor="text1"/>
                <w:position w:val="4"/>
                <w:sz w:val="20"/>
                <w:szCs w:val="20"/>
                <w:u w:val="thick"/>
              </w:rPr>
            </w:pPr>
          </w:p>
        </w:tc>
        <w:tc>
          <w:tcPr>
            <w:tcW w:w="567" w:type="pct"/>
            <w:vAlign w:val="bottom"/>
          </w:tcPr>
          <w:p w14:paraId="6D4CE116" w14:textId="77777777" w:rsidR="00C3673A" w:rsidRPr="005D4EA5" w:rsidRDefault="00C3673A" w:rsidP="00C3673A">
            <w:pPr>
              <w:keepNext/>
              <w:keepLines/>
              <w:tabs>
                <w:tab w:val="left" w:pos="1202"/>
              </w:tabs>
              <w:suppressAutoHyphens/>
              <w:autoSpaceDN w:val="0"/>
              <w:spacing w:line="240" w:lineRule="exact"/>
              <w:jc w:val="center"/>
              <w:rPr>
                <w:rFonts w:ascii="Arial" w:eastAsia="Times New Roman" w:hAnsi="Arial" w:cs="Arial"/>
                <w:b/>
                <w:color w:val="000000" w:themeColor="text1"/>
                <w:position w:val="4"/>
                <w:sz w:val="20"/>
                <w:szCs w:val="20"/>
                <w:u w:val="thick"/>
              </w:rPr>
            </w:pPr>
          </w:p>
        </w:tc>
        <w:tc>
          <w:tcPr>
            <w:tcW w:w="974" w:type="pct"/>
            <w:vAlign w:val="bottom"/>
          </w:tcPr>
          <w:p w14:paraId="39640380" w14:textId="77777777" w:rsidR="00C3673A" w:rsidRPr="001C6A70" w:rsidRDefault="00C3673A" w:rsidP="00C3673A">
            <w:pPr>
              <w:suppressAutoHyphens/>
              <w:autoSpaceDN w:val="0"/>
              <w:spacing w:line="301" w:lineRule="exact"/>
              <w:jc w:val="right"/>
              <w:outlineLvl w:val="0"/>
              <w:rPr>
                <w:rFonts w:ascii="Arial" w:eastAsia="Times New Roman" w:hAnsi="Arial" w:cs="Arial"/>
                <w:color w:val="000000" w:themeColor="text1"/>
                <w:sz w:val="20"/>
                <w:szCs w:val="20"/>
              </w:rPr>
            </w:pPr>
          </w:p>
        </w:tc>
        <w:tc>
          <w:tcPr>
            <w:tcW w:w="975" w:type="pct"/>
            <w:vAlign w:val="bottom"/>
          </w:tcPr>
          <w:p w14:paraId="4CE71EBD" w14:textId="77777777" w:rsidR="00C3673A" w:rsidRPr="005D4EA5" w:rsidRDefault="00C3673A" w:rsidP="00C3673A">
            <w:pPr>
              <w:keepNext/>
              <w:keepLines/>
              <w:suppressAutoHyphens/>
              <w:autoSpaceDN w:val="0"/>
              <w:spacing w:line="240" w:lineRule="exact"/>
              <w:jc w:val="right"/>
              <w:rPr>
                <w:rFonts w:ascii="Arial" w:eastAsia="Times New Roman" w:hAnsi="Arial" w:cs="Arial"/>
                <w:b/>
                <w:color w:val="000000" w:themeColor="text1"/>
                <w:position w:val="4"/>
                <w:sz w:val="20"/>
                <w:szCs w:val="20"/>
                <w:u w:val="thick"/>
              </w:rPr>
            </w:pPr>
          </w:p>
        </w:tc>
      </w:tr>
      <w:tr w:rsidR="00C3673A" w:rsidRPr="005D4EA5" w14:paraId="3B68C6A8" w14:textId="77777777" w:rsidTr="00531D68">
        <w:trPr>
          <w:trHeight w:val="61"/>
        </w:trPr>
        <w:tc>
          <w:tcPr>
            <w:tcW w:w="2484" w:type="pct"/>
            <w:vAlign w:val="bottom"/>
          </w:tcPr>
          <w:p w14:paraId="7C25140E" w14:textId="77777777" w:rsidR="00C3673A" w:rsidRPr="005D4EA5" w:rsidRDefault="00C3673A" w:rsidP="00C3673A">
            <w:pPr>
              <w:keepNext/>
              <w:keepLines/>
              <w:tabs>
                <w:tab w:val="left" w:pos="1202"/>
              </w:tabs>
              <w:suppressAutoHyphens/>
              <w:autoSpaceDN w:val="0"/>
              <w:spacing w:line="301" w:lineRule="exact"/>
              <w:rPr>
                <w:rFonts w:ascii="Arial" w:eastAsia="Times New Roman" w:hAnsi="Arial" w:cs="Arial"/>
                <w:b/>
                <w:color w:val="000000" w:themeColor="text1"/>
                <w:position w:val="4"/>
                <w:sz w:val="20"/>
                <w:szCs w:val="20"/>
              </w:rPr>
            </w:pPr>
            <w:r w:rsidRPr="005D4EA5">
              <w:rPr>
                <w:rFonts w:ascii="Arial" w:eastAsia="Times New Roman" w:hAnsi="Arial" w:cs="Arial"/>
                <w:b/>
                <w:color w:val="000000" w:themeColor="text1"/>
                <w:position w:val="4"/>
                <w:sz w:val="20"/>
                <w:szCs w:val="20"/>
              </w:rPr>
              <w:t>Dobit za raspodjelu:</w:t>
            </w:r>
          </w:p>
        </w:tc>
        <w:tc>
          <w:tcPr>
            <w:tcW w:w="567" w:type="pct"/>
            <w:vAlign w:val="bottom"/>
          </w:tcPr>
          <w:p w14:paraId="357F4EAE" w14:textId="77777777" w:rsidR="00C3673A" w:rsidRPr="005D4EA5" w:rsidRDefault="00C3673A" w:rsidP="00C3673A">
            <w:pPr>
              <w:keepNext/>
              <w:keepLines/>
              <w:tabs>
                <w:tab w:val="left" w:pos="1202"/>
              </w:tabs>
              <w:suppressAutoHyphens/>
              <w:autoSpaceDN w:val="0"/>
              <w:spacing w:line="301" w:lineRule="exact"/>
              <w:jc w:val="center"/>
              <w:rPr>
                <w:rFonts w:ascii="Arial" w:eastAsia="Times New Roman" w:hAnsi="Arial" w:cs="Arial"/>
                <w:b/>
                <w:color w:val="000000" w:themeColor="text1"/>
                <w:position w:val="4"/>
                <w:sz w:val="20"/>
                <w:szCs w:val="20"/>
                <w:u w:val="thick"/>
              </w:rPr>
            </w:pPr>
          </w:p>
        </w:tc>
        <w:tc>
          <w:tcPr>
            <w:tcW w:w="974" w:type="pct"/>
            <w:vAlign w:val="bottom"/>
          </w:tcPr>
          <w:p w14:paraId="6FFA2AC5" w14:textId="77777777" w:rsidR="00C3673A" w:rsidRPr="001C6A70" w:rsidRDefault="00C3673A" w:rsidP="00C3673A">
            <w:pPr>
              <w:suppressAutoHyphens/>
              <w:autoSpaceDN w:val="0"/>
              <w:spacing w:line="301" w:lineRule="exact"/>
              <w:jc w:val="right"/>
              <w:outlineLvl w:val="0"/>
              <w:rPr>
                <w:rFonts w:ascii="Arial" w:eastAsia="Times New Roman" w:hAnsi="Arial" w:cs="Arial"/>
                <w:color w:val="000000" w:themeColor="text1"/>
                <w:sz w:val="20"/>
                <w:szCs w:val="20"/>
              </w:rPr>
            </w:pPr>
          </w:p>
        </w:tc>
        <w:tc>
          <w:tcPr>
            <w:tcW w:w="975" w:type="pct"/>
            <w:vAlign w:val="bottom"/>
          </w:tcPr>
          <w:p w14:paraId="6B47C54B" w14:textId="77777777" w:rsidR="00C3673A" w:rsidRPr="005D4EA5" w:rsidRDefault="00C3673A" w:rsidP="00C3673A">
            <w:pPr>
              <w:keepNext/>
              <w:keepLines/>
              <w:suppressAutoHyphens/>
              <w:autoSpaceDN w:val="0"/>
              <w:spacing w:line="301" w:lineRule="exact"/>
              <w:jc w:val="right"/>
              <w:rPr>
                <w:rFonts w:ascii="Arial" w:eastAsia="Times New Roman" w:hAnsi="Arial" w:cs="Arial"/>
                <w:b/>
                <w:color w:val="000000" w:themeColor="text1"/>
                <w:position w:val="4"/>
                <w:sz w:val="20"/>
                <w:szCs w:val="20"/>
                <w:u w:val="thick"/>
              </w:rPr>
            </w:pPr>
          </w:p>
        </w:tc>
      </w:tr>
      <w:tr w:rsidR="00C3673A" w:rsidRPr="005D4EA5" w14:paraId="773F3291" w14:textId="77777777" w:rsidTr="00531D68">
        <w:trPr>
          <w:trHeight w:val="61"/>
        </w:trPr>
        <w:tc>
          <w:tcPr>
            <w:tcW w:w="2484" w:type="pct"/>
            <w:vAlign w:val="bottom"/>
          </w:tcPr>
          <w:p w14:paraId="3D99F0F9" w14:textId="77777777" w:rsidR="00C3673A" w:rsidRPr="005D4EA5" w:rsidRDefault="00C3673A" w:rsidP="00C3673A">
            <w:pPr>
              <w:keepNext/>
              <w:keepLines/>
              <w:tabs>
                <w:tab w:val="left" w:pos="1202"/>
              </w:tabs>
              <w:suppressAutoHyphens/>
              <w:autoSpaceDN w:val="0"/>
              <w:spacing w:line="301" w:lineRule="exact"/>
              <w:rPr>
                <w:rFonts w:ascii="Arial" w:eastAsia="Times New Roman" w:hAnsi="Arial" w:cs="Arial"/>
                <w:b/>
                <w:color w:val="000000" w:themeColor="text1"/>
                <w:position w:val="4"/>
                <w:sz w:val="20"/>
                <w:szCs w:val="20"/>
              </w:rPr>
            </w:pPr>
            <w:r w:rsidRPr="005D4EA5">
              <w:rPr>
                <w:rFonts w:ascii="Arial" w:eastAsia="Times New Roman" w:hAnsi="Arial" w:cs="Arial"/>
                <w:b/>
                <w:color w:val="000000" w:themeColor="text1"/>
                <w:position w:val="4"/>
                <w:sz w:val="20"/>
                <w:szCs w:val="20"/>
              </w:rPr>
              <w:t>Vlasniku društva</w:t>
            </w:r>
          </w:p>
        </w:tc>
        <w:tc>
          <w:tcPr>
            <w:tcW w:w="567" w:type="pct"/>
            <w:vAlign w:val="bottom"/>
          </w:tcPr>
          <w:p w14:paraId="55BE6768" w14:textId="77777777" w:rsidR="00C3673A" w:rsidRPr="005D4EA5" w:rsidRDefault="00C3673A" w:rsidP="00C3673A">
            <w:pPr>
              <w:keepNext/>
              <w:keepLines/>
              <w:tabs>
                <w:tab w:val="left" w:pos="1202"/>
              </w:tabs>
              <w:suppressAutoHyphens/>
              <w:autoSpaceDN w:val="0"/>
              <w:spacing w:line="301" w:lineRule="exact"/>
              <w:jc w:val="center"/>
              <w:rPr>
                <w:rFonts w:ascii="Arial" w:eastAsia="Times New Roman" w:hAnsi="Arial" w:cs="Arial"/>
                <w:b/>
                <w:color w:val="000000" w:themeColor="text1"/>
                <w:position w:val="4"/>
                <w:sz w:val="20"/>
                <w:szCs w:val="20"/>
                <w:u w:val="thick"/>
              </w:rPr>
            </w:pPr>
          </w:p>
        </w:tc>
        <w:tc>
          <w:tcPr>
            <w:tcW w:w="974" w:type="pct"/>
            <w:tcBorders>
              <w:bottom w:val="single" w:sz="12" w:space="0" w:color="auto"/>
            </w:tcBorders>
            <w:vAlign w:val="bottom"/>
          </w:tcPr>
          <w:p w14:paraId="0491F0A7" w14:textId="599AD48C" w:rsidR="00C3673A" w:rsidRPr="001C6A70" w:rsidRDefault="001C6A70" w:rsidP="00C3673A">
            <w:pPr>
              <w:keepNext/>
              <w:keepLines/>
              <w:suppressAutoHyphens/>
              <w:autoSpaceDN w:val="0"/>
              <w:spacing w:line="301" w:lineRule="exact"/>
              <w:jc w:val="right"/>
              <w:rPr>
                <w:rFonts w:ascii="Arial" w:eastAsia="Times New Roman" w:hAnsi="Arial" w:cs="Arial"/>
                <w:b/>
                <w:color w:val="000000" w:themeColor="text1"/>
                <w:position w:val="4"/>
                <w:sz w:val="20"/>
                <w:szCs w:val="20"/>
              </w:rPr>
            </w:pPr>
            <w:r w:rsidRPr="001C6A70">
              <w:rPr>
                <w:rFonts w:ascii="Arial" w:eastAsia="Times New Roman" w:hAnsi="Arial" w:cs="Arial"/>
                <w:b/>
                <w:color w:val="000000" w:themeColor="text1"/>
                <w:position w:val="4"/>
                <w:sz w:val="20"/>
                <w:szCs w:val="20"/>
              </w:rPr>
              <w:t>17.590</w:t>
            </w:r>
          </w:p>
        </w:tc>
        <w:tc>
          <w:tcPr>
            <w:tcW w:w="975" w:type="pct"/>
            <w:tcBorders>
              <w:bottom w:val="single" w:sz="12" w:space="0" w:color="auto"/>
            </w:tcBorders>
            <w:vAlign w:val="bottom"/>
          </w:tcPr>
          <w:p w14:paraId="6DC9F169" w14:textId="126211A3" w:rsidR="00C3673A" w:rsidRPr="005D4EA5" w:rsidRDefault="00C3673A" w:rsidP="00C3673A">
            <w:pPr>
              <w:keepNext/>
              <w:keepLines/>
              <w:suppressAutoHyphens/>
              <w:autoSpaceDN w:val="0"/>
              <w:spacing w:line="301" w:lineRule="exact"/>
              <w:jc w:val="right"/>
              <w:rPr>
                <w:rFonts w:ascii="Arial" w:eastAsia="Times New Roman" w:hAnsi="Arial" w:cs="Arial"/>
                <w:b/>
                <w:color w:val="000000" w:themeColor="text1"/>
                <w:sz w:val="20"/>
                <w:szCs w:val="20"/>
              </w:rPr>
            </w:pPr>
            <w:r w:rsidRPr="005D4EA5">
              <w:rPr>
                <w:rFonts w:ascii="Arial" w:eastAsia="Times New Roman" w:hAnsi="Arial" w:cs="Arial"/>
                <w:b/>
                <w:color w:val="000000" w:themeColor="text1"/>
                <w:position w:val="4"/>
                <w:sz w:val="20"/>
                <w:szCs w:val="20"/>
              </w:rPr>
              <w:t>18.663</w:t>
            </w:r>
          </w:p>
        </w:tc>
      </w:tr>
    </w:tbl>
    <w:p w14:paraId="3AC38434" w14:textId="77777777" w:rsidR="008206D7" w:rsidRPr="003D1614" w:rsidRDefault="008206D7" w:rsidP="008C368A">
      <w:pPr>
        <w:keepNext/>
        <w:suppressAutoHyphens/>
        <w:autoSpaceDN w:val="0"/>
        <w:jc w:val="both"/>
        <w:outlineLvl w:val="0"/>
        <w:rPr>
          <w:rFonts w:ascii="Arial" w:eastAsia="Times New Roman" w:hAnsi="Arial" w:cs="Arial"/>
          <w:bCs/>
          <w:color w:val="000000" w:themeColor="text1"/>
          <w:sz w:val="20"/>
          <w:szCs w:val="20"/>
        </w:rPr>
      </w:pPr>
    </w:p>
    <w:p w14:paraId="5F94B950" w14:textId="77777777" w:rsidR="00A42D0C" w:rsidRPr="003D1614" w:rsidRDefault="00A42D0C" w:rsidP="008C368A">
      <w:pPr>
        <w:keepNext/>
        <w:suppressAutoHyphens/>
        <w:autoSpaceDN w:val="0"/>
        <w:jc w:val="both"/>
        <w:outlineLvl w:val="0"/>
        <w:rPr>
          <w:rFonts w:ascii="Arial" w:eastAsia="Times New Roman" w:hAnsi="Arial" w:cs="Arial"/>
          <w:bCs/>
          <w:color w:val="000000" w:themeColor="text1"/>
          <w:sz w:val="20"/>
          <w:szCs w:val="20"/>
        </w:rPr>
      </w:pPr>
    </w:p>
    <w:p w14:paraId="3E0E2CF6" w14:textId="77777777" w:rsidR="00A42D0C" w:rsidRPr="003D1614" w:rsidRDefault="00A42D0C" w:rsidP="008C368A">
      <w:pPr>
        <w:keepNext/>
        <w:suppressAutoHyphens/>
        <w:autoSpaceDN w:val="0"/>
        <w:jc w:val="both"/>
        <w:outlineLvl w:val="0"/>
        <w:rPr>
          <w:rFonts w:ascii="Arial" w:eastAsia="Times New Roman" w:hAnsi="Arial" w:cs="Arial"/>
          <w:bCs/>
          <w:color w:val="000000" w:themeColor="text1"/>
          <w:sz w:val="20"/>
          <w:szCs w:val="20"/>
        </w:rPr>
      </w:pPr>
    </w:p>
    <w:p w14:paraId="7881606A" w14:textId="77777777" w:rsidR="00FA4D34" w:rsidRPr="003D1614" w:rsidRDefault="00FA4D34" w:rsidP="008C368A">
      <w:pPr>
        <w:keepNext/>
        <w:suppressAutoHyphens/>
        <w:autoSpaceDN w:val="0"/>
        <w:jc w:val="both"/>
        <w:outlineLvl w:val="0"/>
        <w:rPr>
          <w:rFonts w:ascii="Arial" w:eastAsia="Times New Roman" w:hAnsi="Arial" w:cs="Arial"/>
          <w:bCs/>
          <w:color w:val="000000" w:themeColor="text1"/>
          <w:sz w:val="20"/>
          <w:szCs w:val="20"/>
        </w:rPr>
      </w:pPr>
    </w:p>
    <w:p w14:paraId="3830FC4E" w14:textId="77777777" w:rsidR="00FA4D34" w:rsidRPr="003D1614" w:rsidRDefault="00FA4D34" w:rsidP="008C368A">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Priložene računovodstvene politike i bilješke sastavni su dio ovih financijskih izvještaja.</w:t>
      </w:r>
    </w:p>
    <w:p w14:paraId="64D8EF86" w14:textId="77777777" w:rsidR="005B7EA3" w:rsidRPr="003D1614" w:rsidRDefault="005B7EA3" w:rsidP="008C368A">
      <w:pPr>
        <w:keepNext/>
        <w:suppressAutoHyphens/>
        <w:autoSpaceDN w:val="0"/>
        <w:jc w:val="both"/>
        <w:outlineLvl w:val="0"/>
        <w:rPr>
          <w:rFonts w:ascii="Arial" w:eastAsia="Times New Roman" w:hAnsi="Arial" w:cs="Arial"/>
          <w:bCs/>
          <w:color w:val="000000" w:themeColor="text1"/>
          <w:sz w:val="20"/>
          <w:szCs w:val="20"/>
        </w:rPr>
      </w:pPr>
    </w:p>
    <w:p w14:paraId="3BA18BE1" w14:textId="4A4C1BF2" w:rsidR="005B7EA3" w:rsidRPr="003D1614" w:rsidRDefault="005B7EA3" w:rsidP="008C368A">
      <w:pPr>
        <w:keepNext/>
        <w:suppressAutoHyphens/>
        <w:autoSpaceDN w:val="0"/>
        <w:jc w:val="both"/>
        <w:outlineLvl w:val="0"/>
        <w:rPr>
          <w:rFonts w:ascii="Arial" w:eastAsia="Times New Roman" w:hAnsi="Arial" w:cs="Arial"/>
          <w:bCs/>
          <w:color w:val="000000" w:themeColor="text1"/>
        </w:rPr>
        <w:sectPr w:rsidR="005B7EA3" w:rsidRPr="003D1614">
          <w:headerReference w:type="default" r:id="rId11"/>
          <w:pgSz w:w="11906" w:h="16838"/>
          <w:pgMar w:top="1417" w:right="1417" w:bottom="1417" w:left="1417" w:header="708" w:footer="708" w:gutter="0"/>
          <w:cols w:space="708"/>
          <w:docGrid w:linePitch="360"/>
        </w:sectPr>
      </w:pPr>
    </w:p>
    <w:p w14:paraId="72929A88" w14:textId="77777777" w:rsidR="008206D7" w:rsidRPr="003D1614" w:rsidRDefault="008206D7" w:rsidP="008C368A">
      <w:pPr>
        <w:keepNext/>
        <w:suppressAutoHyphens/>
        <w:autoSpaceDN w:val="0"/>
        <w:jc w:val="both"/>
        <w:outlineLvl w:val="0"/>
        <w:rPr>
          <w:rFonts w:ascii="Arial" w:eastAsia="Times New Roman" w:hAnsi="Arial" w:cs="Arial"/>
          <w:bCs/>
          <w:color w:val="000000" w:themeColor="text1"/>
          <w:sz w:val="20"/>
          <w:szCs w:val="20"/>
        </w:rPr>
      </w:pPr>
    </w:p>
    <w:p w14:paraId="6A396D41" w14:textId="77777777" w:rsidR="00A42D0C" w:rsidRPr="003D1614" w:rsidRDefault="00A42D0C" w:rsidP="008C368A">
      <w:pPr>
        <w:keepNext/>
        <w:suppressAutoHyphens/>
        <w:autoSpaceDN w:val="0"/>
        <w:jc w:val="both"/>
        <w:outlineLvl w:val="0"/>
        <w:rPr>
          <w:rFonts w:ascii="Arial" w:eastAsia="Times New Roman" w:hAnsi="Arial" w:cs="Arial"/>
          <w:bCs/>
          <w:color w:val="000000" w:themeColor="text1"/>
          <w:sz w:val="20"/>
          <w:szCs w:val="20"/>
        </w:rPr>
      </w:pPr>
    </w:p>
    <w:p w14:paraId="41BEFE12" w14:textId="77777777" w:rsidR="00806E49" w:rsidRPr="003D1614" w:rsidRDefault="00806E49" w:rsidP="008C368A">
      <w:pPr>
        <w:keepNext/>
        <w:suppressAutoHyphens/>
        <w:autoSpaceDN w:val="0"/>
        <w:jc w:val="both"/>
        <w:outlineLvl w:val="0"/>
        <w:rPr>
          <w:rFonts w:ascii="Arial" w:eastAsia="Times New Roman" w:hAnsi="Arial" w:cs="Arial"/>
          <w:bCs/>
          <w:color w:val="000000" w:themeColor="text1"/>
          <w:sz w:val="20"/>
          <w:szCs w:val="20"/>
        </w:rPr>
      </w:pPr>
    </w:p>
    <w:tbl>
      <w:tblPr>
        <w:tblpPr w:leftFromText="180" w:rightFromText="180" w:vertAnchor="text" w:horzAnchor="margin" w:tblpYSpec="inside"/>
        <w:tblW w:w="5049" w:type="pct"/>
        <w:tblLayout w:type="fixed"/>
        <w:tblCellMar>
          <w:left w:w="119" w:type="dxa"/>
          <w:right w:w="119" w:type="dxa"/>
        </w:tblCellMar>
        <w:tblLook w:val="0000" w:firstRow="0" w:lastRow="0" w:firstColumn="0" w:lastColumn="0" w:noHBand="0" w:noVBand="0"/>
      </w:tblPr>
      <w:tblGrid>
        <w:gridCol w:w="6099"/>
        <w:gridCol w:w="1532"/>
        <w:gridCol w:w="1530"/>
      </w:tblGrid>
      <w:tr w:rsidR="00806E49" w:rsidRPr="00AC0C9E" w14:paraId="7BA96C60" w14:textId="77777777" w:rsidTr="005A078E">
        <w:trPr>
          <w:trHeight w:val="369"/>
        </w:trPr>
        <w:tc>
          <w:tcPr>
            <w:tcW w:w="3329" w:type="pct"/>
            <w:vAlign w:val="bottom"/>
          </w:tcPr>
          <w:p w14:paraId="5D229A63" w14:textId="77777777" w:rsidR="00806E49" w:rsidRPr="00AC0C9E" w:rsidRDefault="00806E49" w:rsidP="00806E49">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836" w:type="pct"/>
            <w:vAlign w:val="bottom"/>
          </w:tcPr>
          <w:p w14:paraId="1389B896" w14:textId="78445DA9" w:rsidR="00806E49" w:rsidRPr="00AC0C9E" w:rsidRDefault="00806E49" w:rsidP="00806E49">
            <w:pPr>
              <w:spacing w:line="301" w:lineRule="exact"/>
              <w:jc w:val="right"/>
              <w:outlineLvl w:val="0"/>
              <w:rPr>
                <w:rFonts w:ascii="Arial" w:eastAsia="Times New Roman" w:hAnsi="Arial" w:cs="Arial"/>
                <w:b/>
                <w:bCs/>
                <w:color w:val="000000" w:themeColor="text1"/>
                <w:sz w:val="20"/>
                <w:szCs w:val="20"/>
              </w:rPr>
            </w:pPr>
            <w:r w:rsidRPr="00AC0C9E">
              <w:rPr>
                <w:rFonts w:ascii="Arial" w:eastAsia="Times New Roman" w:hAnsi="Arial" w:cs="Arial"/>
                <w:b/>
                <w:bCs/>
                <w:color w:val="000000" w:themeColor="text1"/>
                <w:sz w:val="20"/>
                <w:szCs w:val="20"/>
              </w:rPr>
              <w:t>202</w:t>
            </w:r>
            <w:r w:rsidR="00164AC2">
              <w:rPr>
                <w:rFonts w:ascii="Arial" w:eastAsia="Times New Roman" w:hAnsi="Arial" w:cs="Arial"/>
                <w:b/>
                <w:bCs/>
                <w:color w:val="000000" w:themeColor="text1"/>
                <w:sz w:val="20"/>
                <w:szCs w:val="20"/>
              </w:rPr>
              <w:t>4</w:t>
            </w:r>
            <w:r w:rsidRPr="00AC0C9E">
              <w:rPr>
                <w:rFonts w:ascii="Arial" w:eastAsia="Times New Roman" w:hAnsi="Arial" w:cs="Arial"/>
                <w:b/>
                <w:bCs/>
                <w:color w:val="000000" w:themeColor="text1"/>
                <w:sz w:val="20"/>
                <w:szCs w:val="20"/>
              </w:rPr>
              <w:t>.</w:t>
            </w:r>
          </w:p>
        </w:tc>
        <w:tc>
          <w:tcPr>
            <w:tcW w:w="835" w:type="pct"/>
            <w:vAlign w:val="bottom"/>
          </w:tcPr>
          <w:p w14:paraId="257B0632" w14:textId="6F5686BE" w:rsidR="00806E49" w:rsidRPr="00AC0C9E" w:rsidRDefault="00806E49" w:rsidP="00806E49">
            <w:pPr>
              <w:spacing w:line="301" w:lineRule="exact"/>
              <w:jc w:val="right"/>
              <w:outlineLvl w:val="0"/>
              <w:rPr>
                <w:rFonts w:ascii="Arial" w:eastAsia="Times New Roman" w:hAnsi="Arial" w:cs="Arial"/>
                <w:b/>
                <w:bCs/>
                <w:color w:val="000000" w:themeColor="text1"/>
                <w:sz w:val="20"/>
                <w:szCs w:val="20"/>
              </w:rPr>
            </w:pPr>
            <w:r w:rsidRPr="00AC0C9E">
              <w:rPr>
                <w:rFonts w:ascii="Arial" w:eastAsia="Times New Roman" w:hAnsi="Arial" w:cs="Arial"/>
                <w:b/>
                <w:bCs/>
                <w:color w:val="000000" w:themeColor="text1"/>
                <w:sz w:val="20"/>
                <w:szCs w:val="20"/>
              </w:rPr>
              <w:t>202</w:t>
            </w:r>
            <w:r w:rsidR="00164AC2">
              <w:rPr>
                <w:rFonts w:ascii="Arial" w:eastAsia="Times New Roman" w:hAnsi="Arial" w:cs="Arial"/>
                <w:b/>
                <w:bCs/>
                <w:color w:val="000000" w:themeColor="text1"/>
                <w:sz w:val="20"/>
                <w:szCs w:val="20"/>
              </w:rPr>
              <w:t>3</w:t>
            </w:r>
            <w:r w:rsidRPr="00AC0C9E">
              <w:rPr>
                <w:rFonts w:ascii="Arial" w:eastAsia="Times New Roman" w:hAnsi="Arial" w:cs="Arial"/>
                <w:b/>
                <w:bCs/>
                <w:color w:val="000000" w:themeColor="text1"/>
                <w:sz w:val="20"/>
                <w:szCs w:val="20"/>
              </w:rPr>
              <w:t>.</w:t>
            </w:r>
          </w:p>
        </w:tc>
      </w:tr>
      <w:tr w:rsidR="00806E49" w:rsidRPr="00AC0C9E" w14:paraId="48656451" w14:textId="77777777" w:rsidTr="005A078E">
        <w:trPr>
          <w:trHeight w:hRule="exact" w:val="320"/>
        </w:trPr>
        <w:tc>
          <w:tcPr>
            <w:tcW w:w="3329" w:type="pct"/>
            <w:vAlign w:val="bottom"/>
          </w:tcPr>
          <w:p w14:paraId="2DAF9244" w14:textId="77777777" w:rsidR="00806E49" w:rsidRPr="00AC0C9E" w:rsidRDefault="00806E49" w:rsidP="00806E49">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836" w:type="pct"/>
            <w:vAlign w:val="bottom"/>
          </w:tcPr>
          <w:p w14:paraId="438B0A0D" w14:textId="454CA743" w:rsidR="00806E49" w:rsidRPr="00AC0C9E" w:rsidRDefault="00A76701" w:rsidP="00806E49">
            <w:pPr>
              <w:spacing w:line="301" w:lineRule="exact"/>
              <w:jc w:val="right"/>
              <w:outlineLvl w:val="0"/>
              <w:rPr>
                <w:rFonts w:ascii="Arial" w:eastAsia="Times New Roman" w:hAnsi="Arial" w:cs="Arial"/>
                <w:b/>
                <w:bCs/>
                <w:color w:val="000000" w:themeColor="text1"/>
                <w:sz w:val="20"/>
                <w:szCs w:val="20"/>
              </w:rPr>
            </w:pPr>
            <w:r w:rsidRPr="00AC0C9E">
              <w:rPr>
                <w:rFonts w:ascii="Arial" w:eastAsia="Times New Roman" w:hAnsi="Arial" w:cs="Arial"/>
                <w:b/>
                <w:bCs/>
                <w:color w:val="000000" w:themeColor="text1"/>
                <w:sz w:val="20"/>
                <w:szCs w:val="20"/>
              </w:rPr>
              <w:t>000 eura</w:t>
            </w:r>
          </w:p>
        </w:tc>
        <w:tc>
          <w:tcPr>
            <w:tcW w:w="835" w:type="pct"/>
            <w:vAlign w:val="bottom"/>
          </w:tcPr>
          <w:p w14:paraId="480D7C46" w14:textId="2428F05D" w:rsidR="00806E49" w:rsidRPr="00AC0C9E" w:rsidRDefault="00A76701" w:rsidP="00806E49">
            <w:pPr>
              <w:spacing w:line="301" w:lineRule="exact"/>
              <w:jc w:val="right"/>
              <w:outlineLvl w:val="0"/>
              <w:rPr>
                <w:rFonts w:ascii="Arial" w:eastAsia="Times New Roman" w:hAnsi="Arial" w:cs="Arial"/>
                <w:b/>
                <w:bCs/>
                <w:color w:val="000000" w:themeColor="text1"/>
                <w:sz w:val="20"/>
                <w:szCs w:val="20"/>
              </w:rPr>
            </w:pPr>
            <w:r w:rsidRPr="00AC0C9E">
              <w:rPr>
                <w:rFonts w:ascii="Arial" w:eastAsia="Times New Roman" w:hAnsi="Arial" w:cs="Arial"/>
                <w:b/>
                <w:bCs/>
                <w:color w:val="000000" w:themeColor="text1"/>
                <w:sz w:val="20"/>
                <w:szCs w:val="20"/>
              </w:rPr>
              <w:t>000 eura</w:t>
            </w:r>
          </w:p>
        </w:tc>
      </w:tr>
      <w:tr w:rsidR="00806E49" w:rsidRPr="00AC0C9E" w14:paraId="65F9C424" w14:textId="77777777" w:rsidTr="005A078E">
        <w:trPr>
          <w:trHeight w:hRule="exact" w:val="165"/>
        </w:trPr>
        <w:tc>
          <w:tcPr>
            <w:tcW w:w="3329" w:type="pct"/>
            <w:vAlign w:val="bottom"/>
          </w:tcPr>
          <w:p w14:paraId="74C65DED" w14:textId="77777777" w:rsidR="00806E49" w:rsidRPr="00AC0C9E" w:rsidRDefault="00806E49" w:rsidP="00806E49">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836" w:type="pct"/>
            <w:vAlign w:val="bottom"/>
          </w:tcPr>
          <w:p w14:paraId="790E3984" w14:textId="77777777" w:rsidR="00806E49" w:rsidRPr="00AC0C9E" w:rsidRDefault="00806E49" w:rsidP="00806E49">
            <w:pPr>
              <w:spacing w:line="301" w:lineRule="exact"/>
              <w:jc w:val="right"/>
              <w:outlineLvl w:val="0"/>
              <w:rPr>
                <w:rFonts w:ascii="Arial" w:eastAsia="Times New Roman" w:hAnsi="Arial" w:cs="Arial"/>
                <w:b/>
                <w:bCs/>
                <w:color w:val="000000" w:themeColor="text1"/>
                <w:sz w:val="20"/>
                <w:szCs w:val="20"/>
              </w:rPr>
            </w:pPr>
          </w:p>
        </w:tc>
        <w:tc>
          <w:tcPr>
            <w:tcW w:w="835" w:type="pct"/>
            <w:vAlign w:val="bottom"/>
          </w:tcPr>
          <w:p w14:paraId="31C176DD" w14:textId="77777777" w:rsidR="00806E49" w:rsidRPr="00AC0C9E" w:rsidRDefault="00806E49" w:rsidP="00806E49">
            <w:pPr>
              <w:spacing w:line="301" w:lineRule="exact"/>
              <w:jc w:val="right"/>
              <w:outlineLvl w:val="0"/>
              <w:rPr>
                <w:rFonts w:ascii="Arial" w:eastAsia="Times New Roman" w:hAnsi="Arial" w:cs="Arial"/>
                <w:b/>
                <w:bCs/>
                <w:color w:val="000000" w:themeColor="text1"/>
                <w:sz w:val="20"/>
                <w:szCs w:val="20"/>
              </w:rPr>
            </w:pPr>
          </w:p>
        </w:tc>
      </w:tr>
      <w:tr w:rsidR="00164AC2" w:rsidRPr="00AC0C9E" w14:paraId="03A91645" w14:textId="77777777" w:rsidTr="005A078E">
        <w:trPr>
          <w:trHeight w:val="318"/>
        </w:trPr>
        <w:tc>
          <w:tcPr>
            <w:tcW w:w="3329" w:type="pct"/>
            <w:vAlign w:val="bottom"/>
          </w:tcPr>
          <w:p w14:paraId="39E67A56" w14:textId="77777777" w:rsidR="00164AC2" w:rsidRPr="00AC0C9E" w:rsidRDefault="00164AC2" w:rsidP="00164AC2">
            <w:pPr>
              <w:tabs>
                <w:tab w:val="right" w:pos="1202"/>
              </w:tabs>
              <w:spacing w:line="340" w:lineRule="exact"/>
              <w:outlineLvl w:val="0"/>
              <w:rPr>
                <w:rFonts w:ascii="Arial" w:eastAsia="Times New Roman" w:hAnsi="Arial" w:cs="Arial"/>
                <w:b/>
                <w:bCs/>
                <w:color w:val="000000" w:themeColor="text1"/>
                <w:sz w:val="20"/>
                <w:szCs w:val="20"/>
              </w:rPr>
            </w:pPr>
            <w:r w:rsidRPr="00AC0C9E">
              <w:rPr>
                <w:rFonts w:ascii="Arial" w:eastAsia="Times New Roman" w:hAnsi="Arial" w:cs="Arial"/>
                <w:b/>
                <w:bCs/>
                <w:color w:val="000000" w:themeColor="text1"/>
                <w:sz w:val="20"/>
                <w:szCs w:val="20"/>
              </w:rPr>
              <w:t>Dobit tekućeg razdoblja</w:t>
            </w:r>
          </w:p>
        </w:tc>
        <w:tc>
          <w:tcPr>
            <w:tcW w:w="836" w:type="pct"/>
            <w:tcBorders>
              <w:bottom w:val="single" w:sz="12" w:space="0" w:color="auto"/>
            </w:tcBorders>
            <w:vAlign w:val="bottom"/>
          </w:tcPr>
          <w:p w14:paraId="59F0063D" w14:textId="785F530A" w:rsidR="00164AC2" w:rsidRPr="00AC0C9E" w:rsidRDefault="009066C8" w:rsidP="00164AC2">
            <w:pPr>
              <w:tabs>
                <w:tab w:val="right" w:pos="1202"/>
              </w:tabs>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17.590</w:t>
            </w:r>
          </w:p>
        </w:tc>
        <w:tc>
          <w:tcPr>
            <w:tcW w:w="835" w:type="pct"/>
            <w:tcBorders>
              <w:bottom w:val="single" w:sz="12" w:space="0" w:color="auto"/>
            </w:tcBorders>
            <w:vAlign w:val="bottom"/>
          </w:tcPr>
          <w:p w14:paraId="682C398F" w14:textId="2536A989" w:rsidR="00164AC2" w:rsidRPr="00AC0C9E" w:rsidRDefault="00164AC2" w:rsidP="00164AC2">
            <w:pPr>
              <w:tabs>
                <w:tab w:val="right" w:pos="1202"/>
              </w:tabs>
              <w:spacing w:line="340" w:lineRule="exact"/>
              <w:jc w:val="right"/>
              <w:outlineLvl w:val="0"/>
              <w:rPr>
                <w:rFonts w:ascii="Arial" w:eastAsia="Times New Roman" w:hAnsi="Arial" w:cs="Arial"/>
                <w:b/>
                <w:bCs/>
                <w:color w:val="000000" w:themeColor="text1"/>
                <w:sz w:val="20"/>
                <w:szCs w:val="20"/>
              </w:rPr>
            </w:pPr>
            <w:r w:rsidRPr="00AC0C9E">
              <w:rPr>
                <w:rFonts w:ascii="Arial" w:eastAsia="Times New Roman" w:hAnsi="Arial" w:cs="Arial"/>
                <w:b/>
                <w:bCs/>
                <w:color w:val="000000" w:themeColor="text1"/>
                <w:sz w:val="20"/>
                <w:szCs w:val="20"/>
              </w:rPr>
              <w:t>18.663</w:t>
            </w:r>
          </w:p>
        </w:tc>
      </w:tr>
      <w:tr w:rsidR="00164AC2" w:rsidRPr="00AC0C9E" w14:paraId="043762BB" w14:textId="77777777" w:rsidTr="005A078E">
        <w:trPr>
          <w:trHeight w:val="308"/>
        </w:trPr>
        <w:tc>
          <w:tcPr>
            <w:tcW w:w="3329" w:type="pct"/>
            <w:vAlign w:val="bottom"/>
          </w:tcPr>
          <w:p w14:paraId="1D8F3034" w14:textId="77777777" w:rsidR="00164AC2" w:rsidRPr="00AC0C9E" w:rsidRDefault="00164AC2" w:rsidP="00164AC2">
            <w:pPr>
              <w:tabs>
                <w:tab w:val="right" w:pos="1202"/>
              </w:tabs>
              <w:spacing w:line="280" w:lineRule="exact"/>
              <w:outlineLvl w:val="0"/>
              <w:rPr>
                <w:rFonts w:ascii="Arial" w:hAnsi="Arial" w:cs="Arial"/>
                <w:b/>
                <w:bCs/>
                <w:color w:val="000000" w:themeColor="text1"/>
                <w:sz w:val="20"/>
                <w:szCs w:val="20"/>
              </w:rPr>
            </w:pPr>
            <w:r w:rsidRPr="00AC0C9E">
              <w:rPr>
                <w:rFonts w:ascii="Arial" w:hAnsi="Arial" w:cs="Arial"/>
                <w:b/>
                <w:bCs/>
                <w:color w:val="000000" w:themeColor="text1"/>
                <w:sz w:val="20"/>
                <w:szCs w:val="20"/>
              </w:rPr>
              <w:t>Ostala sveobuhvatna dobit</w:t>
            </w:r>
          </w:p>
        </w:tc>
        <w:tc>
          <w:tcPr>
            <w:tcW w:w="836" w:type="pct"/>
            <w:vAlign w:val="bottom"/>
          </w:tcPr>
          <w:p w14:paraId="19390C7D" w14:textId="77777777" w:rsidR="00164AC2" w:rsidRPr="00AC0C9E" w:rsidRDefault="00164AC2" w:rsidP="00164AC2">
            <w:pPr>
              <w:tabs>
                <w:tab w:val="right" w:pos="1202"/>
              </w:tabs>
              <w:spacing w:line="340" w:lineRule="exact"/>
              <w:jc w:val="right"/>
              <w:outlineLvl w:val="0"/>
              <w:rPr>
                <w:rFonts w:ascii="Arial" w:eastAsia="Times New Roman" w:hAnsi="Arial" w:cs="Arial"/>
                <w:b/>
                <w:bCs/>
                <w:color w:val="000000" w:themeColor="text1"/>
                <w:sz w:val="20"/>
                <w:szCs w:val="20"/>
              </w:rPr>
            </w:pPr>
          </w:p>
        </w:tc>
        <w:tc>
          <w:tcPr>
            <w:tcW w:w="835" w:type="pct"/>
            <w:vAlign w:val="bottom"/>
          </w:tcPr>
          <w:p w14:paraId="3CA0E9D5" w14:textId="77777777" w:rsidR="00164AC2" w:rsidRPr="00AC0C9E" w:rsidRDefault="00164AC2" w:rsidP="00164AC2">
            <w:pPr>
              <w:tabs>
                <w:tab w:val="right" w:pos="1202"/>
              </w:tabs>
              <w:spacing w:line="340" w:lineRule="exact"/>
              <w:jc w:val="right"/>
              <w:outlineLvl w:val="0"/>
              <w:rPr>
                <w:rFonts w:ascii="Arial" w:eastAsia="Times New Roman" w:hAnsi="Arial" w:cs="Arial"/>
                <w:b/>
                <w:bCs/>
                <w:color w:val="000000" w:themeColor="text1"/>
                <w:sz w:val="20"/>
                <w:szCs w:val="20"/>
              </w:rPr>
            </w:pPr>
          </w:p>
        </w:tc>
      </w:tr>
      <w:tr w:rsidR="00164AC2" w:rsidRPr="00AC0C9E" w14:paraId="07B20DDD" w14:textId="77777777" w:rsidTr="005A078E">
        <w:trPr>
          <w:trHeight w:val="324"/>
        </w:trPr>
        <w:tc>
          <w:tcPr>
            <w:tcW w:w="3329" w:type="pct"/>
            <w:vAlign w:val="bottom"/>
          </w:tcPr>
          <w:p w14:paraId="18C84835" w14:textId="77777777" w:rsidR="00164AC2" w:rsidRPr="00AC0C9E" w:rsidRDefault="00164AC2" w:rsidP="00164AC2">
            <w:pPr>
              <w:tabs>
                <w:tab w:val="right" w:pos="1202"/>
              </w:tabs>
              <w:spacing w:line="340" w:lineRule="exact"/>
              <w:outlineLvl w:val="0"/>
              <w:rPr>
                <w:rFonts w:ascii="Arial" w:eastAsia="Times New Roman" w:hAnsi="Arial" w:cs="Arial"/>
                <w:b/>
                <w:bCs/>
                <w:color w:val="000000" w:themeColor="text1"/>
                <w:sz w:val="20"/>
                <w:szCs w:val="20"/>
              </w:rPr>
            </w:pPr>
            <w:r w:rsidRPr="00AC0C9E">
              <w:rPr>
                <w:rFonts w:ascii="Arial" w:eastAsia="Times New Roman" w:hAnsi="Arial" w:cs="Arial"/>
                <w:b/>
                <w:bCs/>
                <w:color w:val="000000" w:themeColor="text1"/>
                <w:sz w:val="20"/>
                <w:szCs w:val="20"/>
              </w:rPr>
              <w:t>Stavke koje se kasnije mogu uračunati u dobit ili gubitak:</w:t>
            </w:r>
          </w:p>
        </w:tc>
        <w:tc>
          <w:tcPr>
            <w:tcW w:w="836" w:type="pct"/>
            <w:vAlign w:val="bottom"/>
          </w:tcPr>
          <w:p w14:paraId="5686D844" w14:textId="77777777" w:rsidR="00164AC2" w:rsidRPr="00AC0C9E" w:rsidRDefault="00164AC2" w:rsidP="00164AC2">
            <w:pPr>
              <w:tabs>
                <w:tab w:val="right" w:pos="1202"/>
              </w:tabs>
              <w:spacing w:line="340" w:lineRule="exact"/>
              <w:jc w:val="right"/>
              <w:outlineLvl w:val="0"/>
              <w:rPr>
                <w:rFonts w:ascii="Arial" w:eastAsia="Times New Roman" w:hAnsi="Arial" w:cs="Arial"/>
                <w:b/>
                <w:bCs/>
                <w:color w:val="000000" w:themeColor="text1"/>
                <w:sz w:val="20"/>
                <w:szCs w:val="20"/>
              </w:rPr>
            </w:pPr>
          </w:p>
        </w:tc>
        <w:tc>
          <w:tcPr>
            <w:tcW w:w="835" w:type="pct"/>
            <w:vAlign w:val="bottom"/>
          </w:tcPr>
          <w:p w14:paraId="0E239FB1" w14:textId="77777777" w:rsidR="00164AC2" w:rsidRPr="00AC0C9E" w:rsidRDefault="00164AC2" w:rsidP="00164AC2">
            <w:pPr>
              <w:tabs>
                <w:tab w:val="right" w:pos="1202"/>
              </w:tabs>
              <w:spacing w:line="340" w:lineRule="exact"/>
              <w:jc w:val="right"/>
              <w:outlineLvl w:val="0"/>
              <w:rPr>
                <w:rFonts w:ascii="Arial" w:eastAsia="Times New Roman" w:hAnsi="Arial" w:cs="Arial"/>
                <w:b/>
                <w:bCs/>
                <w:color w:val="000000" w:themeColor="text1"/>
                <w:sz w:val="20"/>
                <w:szCs w:val="20"/>
              </w:rPr>
            </w:pPr>
          </w:p>
        </w:tc>
      </w:tr>
      <w:tr w:rsidR="00164AC2" w:rsidRPr="00AC0C9E" w14:paraId="10F78E4C" w14:textId="77777777" w:rsidTr="00AC0C9E">
        <w:trPr>
          <w:trHeight w:hRule="exact" w:val="625"/>
        </w:trPr>
        <w:tc>
          <w:tcPr>
            <w:tcW w:w="3329" w:type="pct"/>
            <w:vAlign w:val="bottom"/>
          </w:tcPr>
          <w:p w14:paraId="54CA927A" w14:textId="77777777" w:rsidR="00164AC2" w:rsidRPr="00AC0C9E" w:rsidRDefault="00164AC2" w:rsidP="00164AC2">
            <w:pPr>
              <w:tabs>
                <w:tab w:val="right" w:pos="1202"/>
              </w:tabs>
              <w:spacing w:line="340" w:lineRule="exact"/>
              <w:outlineLvl w:val="0"/>
              <w:rPr>
                <w:rFonts w:ascii="Arial" w:eastAsia="Times New Roman" w:hAnsi="Arial" w:cs="Arial"/>
                <w:bCs/>
                <w:color w:val="000000" w:themeColor="text1"/>
                <w:sz w:val="20"/>
                <w:szCs w:val="20"/>
              </w:rPr>
            </w:pPr>
            <w:r w:rsidRPr="00AC0C9E">
              <w:rPr>
                <w:rFonts w:ascii="Arial" w:eastAsia="Times New Roman" w:hAnsi="Arial" w:cs="Arial"/>
                <w:bCs/>
                <w:color w:val="000000" w:themeColor="text1"/>
                <w:sz w:val="20"/>
                <w:szCs w:val="20"/>
              </w:rPr>
              <w:t>Neto promjene financijske imovine po fer vrijednosti kroz ostalu sveobuhvatnu dobit</w:t>
            </w:r>
          </w:p>
        </w:tc>
        <w:tc>
          <w:tcPr>
            <w:tcW w:w="836" w:type="pct"/>
            <w:tcBorders>
              <w:top w:val="nil"/>
              <w:left w:val="nil"/>
              <w:bottom w:val="nil"/>
              <w:right w:val="nil"/>
            </w:tcBorders>
            <w:shd w:val="clear" w:color="auto" w:fill="auto"/>
            <w:vAlign w:val="bottom"/>
          </w:tcPr>
          <w:p w14:paraId="7A623F30" w14:textId="69C599DC" w:rsidR="00164AC2" w:rsidRPr="00AC0C9E" w:rsidRDefault="009066C8" w:rsidP="00164AC2">
            <w:pPr>
              <w:tabs>
                <w:tab w:val="right" w:pos="1202"/>
              </w:tabs>
              <w:spacing w:line="3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(568)</w:t>
            </w:r>
          </w:p>
        </w:tc>
        <w:tc>
          <w:tcPr>
            <w:tcW w:w="835" w:type="pct"/>
            <w:tcBorders>
              <w:top w:val="nil"/>
              <w:left w:val="nil"/>
              <w:bottom w:val="nil"/>
              <w:right w:val="nil"/>
            </w:tcBorders>
            <w:shd w:val="clear" w:color="auto" w:fill="auto"/>
            <w:vAlign w:val="bottom"/>
          </w:tcPr>
          <w:p w14:paraId="261F11B8" w14:textId="13126F17" w:rsidR="00164AC2" w:rsidRPr="00AC0C9E" w:rsidRDefault="00164AC2" w:rsidP="00164AC2">
            <w:pPr>
              <w:tabs>
                <w:tab w:val="right" w:pos="1202"/>
              </w:tabs>
              <w:spacing w:line="340" w:lineRule="exact"/>
              <w:jc w:val="right"/>
              <w:outlineLvl w:val="0"/>
              <w:rPr>
                <w:rFonts w:ascii="Arial" w:eastAsia="Times New Roman" w:hAnsi="Arial" w:cs="Arial"/>
                <w:color w:val="000000" w:themeColor="text1"/>
                <w:sz w:val="20"/>
                <w:szCs w:val="20"/>
              </w:rPr>
            </w:pPr>
            <w:r w:rsidRPr="00AC0C9E">
              <w:rPr>
                <w:rFonts w:ascii="Arial" w:hAnsi="Arial" w:cs="Arial"/>
                <w:sz w:val="20"/>
                <w:szCs w:val="20"/>
              </w:rPr>
              <w:t xml:space="preserve"> (1.378)</w:t>
            </w:r>
          </w:p>
        </w:tc>
      </w:tr>
      <w:tr w:rsidR="00164AC2" w:rsidRPr="00AC0C9E" w14:paraId="1F2E4F7C" w14:textId="77777777" w:rsidTr="00AC0C9E">
        <w:trPr>
          <w:trHeight w:hRule="exact" w:val="452"/>
        </w:trPr>
        <w:tc>
          <w:tcPr>
            <w:tcW w:w="3329" w:type="pct"/>
            <w:vAlign w:val="bottom"/>
          </w:tcPr>
          <w:p w14:paraId="041AB3E8" w14:textId="77777777" w:rsidR="00164AC2" w:rsidRPr="00AC0C9E" w:rsidRDefault="00164AC2" w:rsidP="00164AC2">
            <w:pPr>
              <w:tabs>
                <w:tab w:val="right" w:pos="1202"/>
              </w:tabs>
              <w:spacing w:line="340" w:lineRule="exact"/>
              <w:outlineLvl w:val="0"/>
              <w:rPr>
                <w:rFonts w:ascii="Arial" w:eastAsia="Times New Roman" w:hAnsi="Arial" w:cs="Arial"/>
                <w:bCs/>
                <w:color w:val="000000" w:themeColor="text1"/>
                <w:sz w:val="20"/>
                <w:szCs w:val="20"/>
              </w:rPr>
            </w:pPr>
            <w:r w:rsidRPr="00AC0C9E">
              <w:rPr>
                <w:rFonts w:ascii="Arial" w:eastAsia="Times New Roman" w:hAnsi="Arial" w:cs="Arial"/>
                <w:bCs/>
                <w:color w:val="000000" w:themeColor="text1"/>
                <w:sz w:val="20"/>
                <w:szCs w:val="20"/>
              </w:rPr>
              <w:t>Neto tečajne razlike po vlasničkim vrijednosnim papirima</w:t>
            </w:r>
          </w:p>
        </w:tc>
        <w:tc>
          <w:tcPr>
            <w:tcW w:w="836" w:type="pct"/>
            <w:tcBorders>
              <w:top w:val="nil"/>
              <w:left w:val="nil"/>
              <w:bottom w:val="nil"/>
              <w:right w:val="nil"/>
            </w:tcBorders>
            <w:shd w:val="clear" w:color="auto" w:fill="auto"/>
            <w:vAlign w:val="bottom"/>
          </w:tcPr>
          <w:p w14:paraId="0F748AE6" w14:textId="226DFB95" w:rsidR="00164AC2" w:rsidRPr="00AC0C9E" w:rsidRDefault="009066C8" w:rsidP="00164AC2">
            <w:pPr>
              <w:tabs>
                <w:tab w:val="right" w:pos="1202"/>
              </w:tabs>
              <w:spacing w:line="3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835" w:type="pct"/>
            <w:tcBorders>
              <w:top w:val="nil"/>
              <w:left w:val="nil"/>
              <w:bottom w:val="nil"/>
              <w:right w:val="nil"/>
            </w:tcBorders>
            <w:shd w:val="clear" w:color="auto" w:fill="auto"/>
            <w:vAlign w:val="bottom"/>
          </w:tcPr>
          <w:p w14:paraId="05015534" w14:textId="3D4D4588" w:rsidR="00164AC2" w:rsidRPr="00AC0C9E" w:rsidRDefault="00164AC2" w:rsidP="00164AC2">
            <w:pPr>
              <w:tabs>
                <w:tab w:val="right" w:pos="1202"/>
              </w:tabs>
              <w:spacing w:line="340" w:lineRule="exact"/>
              <w:jc w:val="right"/>
              <w:outlineLvl w:val="0"/>
              <w:rPr>
                <w:rFonts w:ascii="Arial" w:eastAsia="Times New Roman" w:hAnsi="Arial" w:cs="Arial"/>
                <w:color w:val="000000" w:themeColor="text1"/>
                <w:sz w:val="20"/>
                <w:szCs w:val="20"/>
              </w:rPr>
            </w:pPr>
            <w:r w:rsidRPr="00AC0C9E">
              <w:rPr>
                <w:rFonts w:ascii="Arial" w:hAnsi="Arial" w:cs="Arial"/>
                <w:sz w:val="20"/>
                <w:szCs w:val="20"/>
              </w:rPr>
              <w:t xml:space="preserve"> - </w:t>
            </w:r>
          </w:p>
        </w:tc>
      </w:tr>
      <w:tr w:rsidR="00164AC2" w:rsidRPr="00AC0C9E" w14:paraId="2B1CA237" w14:textId="77777777" w:rsidTr="00AC0C9E">
        <w:trPr>
          <w:trHeight w:val="318"/>
        </w:trPr>
        <w:tc>
          <w:tcPr>
            <w:tcW w:w="3329" w:type="pct"/>
            <w:vAlign w:val="bottom"/>
          </w:tcPr>
          <w:p w14:paraId="4EAC063D" w14:textId="77777777" w:rsidR="00164AC2" w:rsidRPr="00AC0C9E" w:rsidRDefault="00164AC2" w:rsidP="00164AC2">
            <w:pPr>
              <w:tabs>
                <w:tab w:val="right" w:pos="1202"/>
              </w:tabs>
              <w:spacing w:line="340" w:lineRule="exact"/>
              <w:outlineLvl w:val="0"/>
              <w:rPr>
                <w:rFonts w:ascii="Arial" w:eastAsia="Times New Roman" w:hAnsi="Arial" w:cs="Arial"/>
                <w:bCs/>
                <w:color w:val="000000" w:themeColor="text1"/>
                <w:sz w:val="20"/>
                <w:szCs w:val="20"/>
              </w:rPr>
            </w:pPr>
            <w:r w:rsidRPr="00AC0C9E">
              <w:rPr>
                <w:rFonts w:ascii="Arial" w:eastAsia="Times New Roman" w:hAnsi="Arial" w:cs="Arial"/>
                <w:bCs/>
                <w:color w:val="000000" w:themeColor="text1"/>
                <w:sz w:val="20"/>
                <w:szCs w:val="20"/>
              </w:rPr>
              <w:t>Odgođeni porez – ostala sveobuhvatna dobit</w:t>
            </w:r>
          </w:p>
        </w:tc>
        <w:tc>
          <w:tcPr>
            <w:tcW w:w="836" w:type="pct"/>
            <w:tcBorders>
              <w:bottom w:val="single" w:sz="2" w:space="0" w:color="auto"/>
            </w:tcBorders>
            <w:vAlign w:val="bottom"/>
          </w:tcPr>
          <w:p w14:paraId="387822DC" w14:textId="0EA8C6AA" w:rsidR="00164AC2" w:rsidRPr="00AC0C9E" w:rsidRDefault="009066C8" w:rsidP="00164AC2">
            <w:pPr>
              <w:tabs>
                <w:tab w:val="right" w:pos="1202"/>
              </w:tabs>
              <w:spacing w:line="3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w:t>
            </w:r>
          </w:p>
        </w:tc>
        <w:tc>
          <w:tcPr>
            <w:tcW w:w="835" w:type="pct"/>
            <w:tcBorders>
              <w:bottom w:val="single" w:sz="2" w:space="0" w:color="auto"/>
            </w:tcBorders>
            <w:vAlign w:val="bottom"/>
          </w:tcPr>
          <w:p w14:paraId="73DE1D72" w14:textId="0E169818" w:rsidR="00164AC2" w:rsidRPr="00AC0C9E" w:rsidRDefault="00164AC2" w:rsidP="00164AC2">
            <w:pPr>
              <w:tabs>
                <w:tab w:val="right" w:pos="1202"/>
              </w:tabs>
              <w:spacing w:line="340" w:lineRule="exact"/>
              <w:jc w:val="right"/>
              <w:outlineLvl w:val="0"/>
              <w:rPr>
                <w:rFonts w:ascii="Arial" w:eastAsia="Times New Roman" w:hAnsi="Arial" w:cs="Arial"/>
                <w:color w:val="000000" w:themeColor="text1"/>
                <w:sz w:val="20"/>
                <w:szCs w:val="20"/>
              </w:rPr>
            </w:pPr>
            <w:r w:rsidRPr="00AC0C9E">
              <w:rPr>
                <w:rFonts w:ascii="Arial" w:hAnsi="Arial" w:cs="Arial"/>
                <w:sz w:val="20"/>
                <w:szCs w:val="20"/>
              </w:rPr>
              <w:t xml:space="preserve"> 10 </w:t>
            </w:r>
          </w:p>
        </w:tc>
      </w:tr>
      <w:tr w:rsidR="00164AC2" w:rsidRPr="00AC0C9E" w14:paraId="0AB811AF" w14:textId="77777777" w:rsidTr="00AC0C9E">
        <w:trPr>
          <w:trHeight w:hRule="exact" w:val="567"/>
        </w:trPr>
        <w:tc>
          <w:tcPr>
            <w:tcW w:w="3329" w:type="pct"/>
            <w:vAlign w:val="bottom"/>
          </w:tcPr>
          <w:p w14:paraId="0487DEF1" w14:textId="77777777" w:rsidR="00164AC2" w:rsidRPr="00AC0C9E" w:rsidRDefault="00164AC2" w:rsidP="00164AC2">
            <w:pPr>
              <w:tabs>
                <w:tab w:val="right" w:pos="1202"/>
              </w:tabs>
              <w:outlineLvl w:val="0"/>
              <w:rPr>
                <w:rFonts w:ascii="Arial" w:hAnsi="Arial" w:cs="Arial"/>
                <w:bCs/>
                <w:color w:val="000000" w:themeColor="text1"/>
                <w:sz w:val="20"/>
                <w:szCs w:val="20"/>
              </w:rPr>
            </w:pPr>
            <w:r w:rsidRPr="00AC0C9E">
              <w:rPr>
                <w:rFonts w:ascii="Arial" w:hAnsi="Arial" w:cs="Arial"/>
                <w:b/>
                <w:bCs/>
                <w:color w:val="000000" w:themeColor="text1"/>
                <w:sz w:val="20"/>
                <w:szCs w:val="20"/>
              </w:rPr>
              <w:t>Ukupno stavke koje se kasnije mogu uračunati u dobit ili gubitak</w:t>
            </w:r>
          </w:p>
        </w:tc>
        <w:tc>
          <w:tcPr>
            <w:tcW w:w="836" w:type="pct"/>
            <w:tcBorders>
              <w:top w:val="single" w:sz="2" w:space="0" w:color="auto"/>
              <w:bottom w:val="single" w:sz="4" w:space="0" w:color="auto"/>
            </w:tcBorders>
            <w:vAlign w:val="bottom"/>
          </w:tcPr>
          <w:p w14:paraId="6B80778C" w14:textId="2B36CF3D" w:rsidR="00164AC2" w:rsidRPr="00247298" w:rsidRDefault="009066C8" w:rsidP="00164AC2">
            <w:pPr>
              <w:tabs>
                <w:tab w:val="right" w:pos="1202"/>
              </w:tabs>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(562)</w:t>
            </w:r>
          </w:p>
        </w:tc>
        <w:tc>
          <w:tcPr>
            <w:tcW w:w="835" w:type="pct"/>
            <w:tcBorders>
              <w:top w:val="single" w:sz="2" w:space="0" w:color="auto"/>
              <w:bottom w:val="single" w:sz="4" w:space="0" w:color="auto"/>
            </w:tcBorders>
            <w:vAlign w:val="bottom"/>
          </w:tcPr>
          <w:p w14:paraId="3A77384F" w14:textId="04C99AF9" w:rsidR="00164AC2" w:rsidRPr="00247298" w:rsidRDefault="00164AC2" w:rsidP="00164AC2">
            <w:pPr>
              <w:tabs>
                <w:tab w:val="right" w:pos="1202"/>
              </w:tabs>
              <w:spacing w:line="340" w:lineRule="exact"/>
              <w:jc w:val="right"/>
              <w:outlineLvl w:val="0"/>
              <w:rPr>
                <w:rFonts w:ascii="Arial" w:eastAsia="Times New Roman" w:hAnsi="Arial" w:cs="Arial"/>
                <w:b/>
                <w:bCs/>
                <w:color w:val="000000" w:themeColor="text1"/>
                <w:sz w:val="20"/>
                <w:szCs w:val="20"/>
              </w:rPr>
            </w:pPr>
            <w:r w:rsidRPr="00247298">
              <w:rPr>
                <w:rFonts w:ascii="Arial" w:hAnsi="Arial" w:cs="Arial"/>
                <w:b/>
                <w:bCs/>
                <w:sz w:val="20"/>
                <w:szCs w:val="20"/>
              </w:rPr>
              <w:t xml:space="preserve"> (1.368)</w:t>
            </w:r>
          </w:p>
        </w:tc>
      </w:tr>
      <w:tr w:rsidR="00164AC2" w:rsidRPr="00AC0C9E" w14:paraId="3D3C168D" w14:textId="77777777" w:rsidTr="00AC0C9E">
        <w:trPr>
          <w:trHeight w:hRule="exact" w:val="310"/>
        </w:trPr>
        <w:tc>
          <w:tcPr>
            <w:tcW w:w="3329" w:type="pct"/>
            <w:vAlign w:val="bottom"/>
          </w:tcPr>
          <w:p w14:paraId="48891759" w14:textId="77777777" w:rsidR="00164AC2" w:rsidRPr="00AC0C9E" w:rsidRDefault="00164AC2" w:rsidP="00164AC2">
            <w:pPr>
              <w:tabs>
                <w:tab w:val="right" w:pos="1202"/>
              </w:tabs>
              <w:outlineLvl w:val="0"/>
              <w:rPr>
                <w:rFonts w:ascii="Arial" w:hAnsi="Arial" w:cs="Arial"/>
                <w:b/>
                <w:bCs/>
                <w:color w:val="000000" w:themeColor="text1"/>
                <w:sz w:val="20"/>
                <w:szCs w:val="20"/>
              </w:rPr>
            </w:pPr>
            <w:r w:rsidRPr="00AC0C9E">
              <w:rPr>
                <w:rFonts w:ascii="Arial" w:hAnsi="Arial" w:cs="Arial"/>
                <w:b/>
                <w:bCs/>
                <w:color w:val="000000" w:themeColor="text1"/>
                <w:sz w:val="20"/>
                <w:szCs w:val="20"/>
              </w:rPr>
              <w:t>Ostala sveobuhvatna dobit nakon oporezivanja</w:t>
            </w:r>
          </w:p>
        </w:tc>
        <w:tc>
          <w:tcPr>
            <w:tcW w:w="836" w:type="pct"/>
            <w:tcBorders>
              <w:bottom w:val="single" w:sz="4" w:space="0" w:color="auto"/>
            </w:tcBorders>
            <w:vAlign w:val="bottom"/>
          </w:tcPr>
          <w:p w14:paraId="4E519091" w14:textId="2441492B" w:rsidR="00164AC2" w:rsidRPr="00247298" w:rsidRDefault="00701B01" w:rsidP="00164AC2">
            <w:pPr>
              <w:tabs>
                <w:tab w:val="right" w:pos="1202"/>
              </w:tabs>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(562)</w:t>
            </w:r>
          </w:p>
        </w:tc>
        <w:tc>
          <w:tcPr>
            <w:tcW w:w="835" w:type="pct"/>
            <w:tcBorders>
              <w:bottom w:val="single" w:sz="4" w:space="0" w:color="auto"/>
            </w:tcBorders>
            <w:vAlign w:val="bottom"/>
          </w:tcPr>
          <w:p w14:paraId="2A23DF59" w14:textId="6808E0A6" w:rsidR="00164AC2" w:rsidRPr="00247298" w:rsidRDefault="00164AC2" w:rsidP="00164AC2">
            <w:pPr>
              <w:tabs>
                <w:tab w:val="right" w:pos="1202"/>
              </w:tabs>
              <w:spacing w:line="340" w:lineRule="exact"/>
              <w:jc w:val="right"/>
              <w:outlineLvl w:val="0"/>
              <w:rPr>
                <w:rFonts w:ascii="Arial" w:eastAsia="Times New Roman" w:hAnsi="Arial" w:cs="Arial"/>
                <w:b/>
                <w:bCs/>
                <w:color w:val="000000" w:themeColor="text1"/>
                <w:sz w:val="20"/>
                <w:szCs w:val="20"/>
              </w:rPr>
            </w:pPr>
            <w:r w:rsidRPr="00247298">
              <w:rPr>
                <w:rFonts w:ascii="Arial" w:hAnsi="Arial" w:cs="Arial"/>
                <w:b/>
                <w:bCs/>
                <w:sz w:val="20"/>
                <w:szCs w:val="20"/>
              </w:rPr>
              <w:t xml:space="preserve"> (1.368)</w:t>
            </w:r>
          </w:p>
        </w:tc>
      </w:tr>
      <w:tr w:rsidR="00164AC2" w:rsidRPr="00AC0C9E" w14:paraId="7FC12C52" w14:textId="77777777" w:rsidTr="00AC0C9E">
        <w:trPr>
          <w:trHeight w:val="308"/>
        </w:trPr>
        <w:tc>
          <w:tcPr>
            <w:tcW w:w="3329" w:type="pct"/>
            <w:vAlign w:val="bottom"/>
          </w:tcPr>
          <w:p w14:paraId="2EFBCE7B" w14:textId="77777777" w:rsidR="00164AC2" w:rsidRPr="00AC0C9E" w:rsidRDefault="00164AC2" w:rsidP="00164AC2">
            <w:pPr>
              <w:tabs>
                <w:tab w:val="right" w:pos="1202"/>
              </w:tabs>
              <w:spacing w:line="340" w:lineRule="exact"/>
              <w:outlineLvl w:val="0"/>
              <w:rPr>
                <w:rFonts w:ascii="Arial" w:eastAsia="Times New Roman" w:hAnsi="Arial" w:cs="Arial"/>
                <w:b/>
                <w:bCs/>
                <w:color w:val="000000" w:themeColor="text1"/>
                <w:sz w:val="20"/>
                <w:szCs w:val="20"/>
              </w:rPr>
            </w:pPr>
            <w:r w:rsidRPr="00AC0C9E">
              <w:rPr>
                <w:rFonts w:ascii="Arial" w:eastAsia="Times New Roman" w:hAnsi="Arial" w:cs="Arial"/>
                <w:b/>
                <w:bCs/>
                <w:color w:val="000000" w:themeColor="text1"/>
                <w:sz w:val="20"/>
                <w:szCs w:val="20"/>
              </w:rPr>
              <w:t>Ukupna sveobuhvatna dobit nakon oporezivanja</w:t>
            </w:r>
          </w:p>
        </w:tc>
        <w:tc>
          <w:tcPr>
            <w:tcW w:w="836" w:type="pct"/>
            <w:tcBorders>
              <w:bottom w:val="single" w:sz="12" w:space="0" w:color="auto"/>
            </w:tcBorders>
            <w:vAlign w:val="bottom"/>
          </w:tcPr>
          <w:p w14:paraId="0D2D0C8B" w14:textId="27B806F4" w:rsidR="00164AC2" w:rsidRPr="00247298" w:rsidRDefault="00701B01" w:rsidP="00164AC2">
            <w:pPr>
              <w:tabs>
                <w:tab w:val="right" w:pos="1202"/>
              </w:tabs>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17.028</w:t>
            </w:r>
          </w:p>
        </w:tc>
        <w:tc>
          <w:tcPr>
            <w:tcW w:w="835" w:type="pct"/>
            <w:tcBorders>
              <w:bottom w:val="single" w:sz="12" w:space="0" w:color="auto"/>
            </w:tcBorders>
            <w:vAlign w:val="bottom"/>
          </w:tcPr>
          <w:p w14:paraId="1446EB65" w14:textId="7152A5BA" w:rsidR="00164AC2" w:rsidRPr="00247298" w:rsidRDefault="00164AC2" w:rsidP="00164AC2">
            <w:pPr>
              <w:tabs>
                <w:tab w:val="right" w:pos="1202"/>
              </w:tabs>
              <w:spacing w:line="340" w:lineRule="exact"/>
              <w:jc w:val="right"/>
              <w:outlineLvl w:val="0"/>
              <w:rPr>
                <w:rFonts w:ascii="Arial" w:eastAsia="Times New Roman" w:hAnsi="Arial" w:cs="Arial"/>
                <w:b/>
                <w:bCs/>
                <w:color w:val="000000" w:themeColor="text1"/>
                <w:sz w:val="20"/>
                <w:szCs w:val="20"/>
              </w:rPr>
            </w:pPr>
            <w:r w:rsidRPr="00247298">
              <w:rPr>
                <w:rFonts w:ascii="Arial" w:hAnsi="Arial" w:cs="Arial"/>
                <w:b/>
                <w:bCs/>
                <w:sz w:val="20"/>
                <w:szCs w:val="20"/>
              </w:rPr>
              <w:t xml:space="preserve"> 17.295 </w:t>
            </w:r>
          </w:p>
        </w:tc>
      </w:tr>
      <w:tr w:rsidR="00164AC2" w:rsidRPr="00AC0C9E" w14:paraId="5E31BE69" w14:textId="77777777" w:rsidTr="00AC0C9E">
        <w:trPr>
          <w:trHeight w:val="275"/>
        </w:trPr>
        <w:tc>
          <w:tcPr>
            <w:tcW w:w="3329" w:type="pct"/>
            <w:vAlign w:val="bottom"/>
          </w:tcPr>
          <w:p w14:paraId="30CE538E" w14:textId="77777777" w:rsidR="00164AC2" w:rsidRPr="00AC0C9E" w:rsidRDefault="00164AC2" w:rsidP="00164AC2">
            <w:pPr>
              <w:tabs>
                <w:tab w:val="right" w:pos="1202"/>
              </w:tabs>
              <w:spacing w:line="301" w:lineRule="exact"/>
              <w:outlineLvl w:val="0"/>
              <w:rPr>
                <w:rFonts w:ascii="Arial" w:eastAsia="Times New Roman" w:hAnsi="Arial" w:cs="Arial"/>
                <w:b/>
                <w:bCs/>
                <w:color w:val="000000" w:themeColor="text1"/>
                <w:sz w:val="20"/>
                <w:szCs w:val="20"/>
              </w:rPr>
            </w:pPr>
            <w:r w:rsidRPr="00AC0C9E">
              <w:rPr>
                <w:rFonts w:ascii="Arial" w:eastAsia="Times New Roman" w:hAnsi="Arial" w:cs="Arial"/>
                <w:b/>
                <w:bCs/>
                <w:color w:val="000000" w:themeColor="text1"/>
                <w:sz w:val="20"/>
                <w:szCs w:val="20"/>
              </w:rPr>
              <w:t>Ukupna sveobuhvatna dobit:</w:t>
            </w:r>
          </w:p>
        </w:tc>
        <w:tc>
          <w:tcPr>
            <w:tcW w:w="836" w:type="pct"/>
            <w:vAlign w:val="bottom"/>
          </w:tcPr>
          <w:p w14:paraId="76683B89" w14:textId="77777777" w:rsidR="00164AC2" w:rsidRPr="00247298" w:rsidRDefault="00164AC2" w:rsidP="00164AC2">
            <w:pPr>
              <w:keepNext/>
              <w:keepLines/>
              <w:spacing w:line="301" w:lineRule="exact"/>
              <w:jc w:val="right"/>
              <w:rPr>
                <w:rFonts w:ascii="Arial" w:eastAsia="Times New Roman" w:hAnsi="Arial" w:cs="Arial"/>
                <w:b/>
                <w:bCs/>
                <w:color w:val="000000" w:themeColor="text1"/>
                <w:position w:val="4"/>
                <w:sz w:val="20"/>
                <w:szCs w:val="20"/>
              </w:rPr>
            </w:pPr>
          </w:p>
        </w:tc>
        <w:tc>
          <w:tcPr>
            <w:tcW w:w="835" w:type="pct"/>
            <w:vAlign w:val="bottom"/>
          </w:tcPr>
          <w:p w14:paraId="17C0E584" w14:textId="77777777" w:rsidR="00164AC2" w:rsidRPr="00247298" w:rsidRDefault="00164AC2" w:rsidP="00164AC2">
            <w:pPr>
              <w:keepNext/>
              <w:keepLines/>
              <w:spacing w:line="301" w:lineRule="exact"/>
              <w:jc w:val="right"/>
              <w:rPr>
                <w:rFonts w:ascii="Arial" w:eastAsia="Times New Roman" w:hAnsi="Arial" w:cs="Arial"/>
                <w:b/>
                <w:bCs/>
                <w:color w:val="000000" w:themeColor="text1"/>
                <w:position w:val="4"/>
                <w:sz w:val="20"/>
                <w:szCs w:val="20"/>
              </w:rPr>
            </w:pPr>
          </w:p>
        </w:tc>
      </w:tr>
      <w:tr w:rsidR="00164AC2" w:rsidRPr="00AC0C9E" w14:paraId="4ECC3F10" w14:textId="77777777" w:rsidTr="00AC0C9E">
        <w:trPr>
          <w:trHeight w:val="285"/>
        </w:trPr>
        <w:tc>
          <w:tcPr>
            <w:tcW w:w="3329" w:type="pct"/>
            <w:vAlign w:val="bottom"/>
          </w:tcPr>
          <w:p w14:paraId="3562AA98" w14:textId="77777777" w:rsidR="00164AC2" w:rsidRPr="00AC0C9E" w:rsidRDefault="00164AC2" w:rsidP="00164AC2">
            <w:pPr>
              <w:tabs>
                <w:tab w:val="right" w:pos="1202"/>
              </w:tabs>
              <w:spacing w:line="301" w:lineRule="exact"/>
              <w:outlineLvl w:val="0"/>
              <w:rPr>
                <w:rFonts w:ascii="Arial" w:eastAsia="Times New Roman" w:hAnsi="Arial" w:cs="Arial"/>
                <w:b/>
                <w:bCs/>
                <w:color w:val="000000" w:themeColor="text1"/>
                <w:sz w:val="20"/>
                <w:szCs w:val="20"/>
              </w:rPr>
            </w:pPr>
            <w:r w:rsidRPr="00AC0C9E">
              <w:rPr>
                <w:rFonts w:ascii="Arial" w:eastAsia="Times New Roman" w:hAnsi="Arial" w:cs="Arial"/>
                <w:b/>
                <w:bCs/>
                <w:color w:val="000000" w:themeColor="text1"/>
                <w:sz w:val="20"/>
                <w:szCs w:val="20"/>
              </w:rPr>
              <w:t>Vlasniku društva</w:t>
            </w:r>
          </w:p>
        </w:tc>
        <w:tc>
          <w:tcPr>
            <w:tcW w:w="836" w:type="pct"/>
            <w:tcBorders>
              <w:bottom w:val="single" w:sz="12" w:space="0" w:color="auto"/>
            </w:tcBorders>
            <w:vAlign w:val="bottom"/>
          </w:tcPr>
          <w:p w14:paraId="25376B01" w14:textId="219420BA" w:rsidR="00164AC2" w:rsidRPr="00247298" w:rsidRDefault="00701B01" w:rsidP="00164AC2">
            <w:pPr>
              <w:tabs>
                <w:tab w:val="right" w:pos="1202"/>
              </w:tabs>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17.028</w:t>
            </w:r>
          </w:p>
        </w:tc>
        <w:tc>
          <w:tcPr>
            <w:tcW w:w="835" w:type="pct"/>
            <w:tcBorders>
              <w:bottom w:val="single" w:sz="12" w:space="0" w:color="auto"/>
            </w:tcBorders>
            <w:vAlign w:val="bottom"/>
          </w:tcPr>
          <w:p w14:paraId="5A10BA69" w14:textId="2098E749" w:rsidR="00164AC2" w:rsidRPr="00247298" w:rsidRDefault="00164AC2" w:rsidP="00164AC2">
            <w:pPr>
              <w:tabs>
                <w:tab w:val="right" w:pos="1202"/>
              </w:tabs>
              <w:spacing w:line="340" w:lineRule="exact"/>
              <w:jc w:val="right"/>
              <w:outlineLvl w:val="0"/>
              <w:rPr>
                <w:rFonts w:ascii="Arial" w:eastAsia="Times New Roman" w:hAnsi="Arial" w:cs="Arial"/>
                <w:b/>
                <w:bCs/>
                <w:color w:val="000000" w:themeColor="text1"/>
                <w:sz w:val="20"/>
                <w:szCs w:val="20"/>
              </w:rPr>
            </w:pPr>
            <w:r w:rsidRPr="00247298">
              <w:rPr>
                <w:rFonts w:ascii="Arial" w:hAnsi="Arial" w:cs="Arial"/>
                <w:b/>
                <w:bCs/>
                <w:sz w:val="20"/>
                <w:szCs w:val="20"/>
              </w:rPr>
              <w:t xml:space="preserve"> 17.295 </w:t>
            </w:r>
          </w:p>
        </w:tc>
      </w:tr>
    </w:tbl>
    <w:p w14:paraId="5FBFD386" w14:textId="77777777" w:rsidR="00806E49" w:rsidRPr="003D1614" w:rsidRDefault="00806E49" w:rsidP="008C368A">
      <w:pPr>
        <w:keepNext/>
        <w:suppressAutoHyphens/>
        <w:autoSpaceDN w:val="0"/>
        <w:jc w:val="both"/>
        <w:outlineLvl w:val="0"/>
        <w:rPr>
          <w:rFonts w:ascii="Arial" w:eastAsia="Times New Roman" w:hAnsi="Arial" w:cs="Arial"/>
          <w:bCs/>
          <w:color w:val="000000" w:themeColor="text1"/>
          <w:sz w:val="20"/>
          <w:szCs w:val="20"/>
        </w:rPr>
      </w:pPr>
    </w:p>
    <w:p w14:paraId="77A28EC6" w14:textId="77777777" w:rsidR="00E37F31" w:rsidRPr="003D1614" w:rsidRDefault="00E37F31" w:rsidP="008C368A">
      <w:pPr>
        <w:keepNext/>
        <w:suppressAutoHyphens/>
        <w:autoSpaceDN w:val="0"/>
        <w:jc w:val="both"/>
        <w:outlineLvl w:val="0"/>
        <w:rPr>
          <w:rFonts w:ascii="Arial" w:eastAsia="Times New Roman" w:hAnsi="Arial" w:cs="Arial"/>
          <w:bCs/>
          <w:color w:val="000000" w:themeColor="text1"/>
          <w:sz w:val="20"/>
          <w:szCs w:val="20"/>
        </w:rPr>
      </w:pPr>
    </w:p>
    <w:p w14:paraId="0A8076B1" w14:textId="7D561F57" w:rsidR="00E37F31" w:rsidRPr="003D1614" w:rsidRDefault="00E37F31" w:rsidP="008C368A">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Priložene računovodstvene politike i bilješke sastavni su dio ovih financijskih izvještaja.</w:t>
      </w:r>
    </w:p>
    <w:p w14:paraId="29312497" w14:textId="77777777" w:rsidR="00E37F31" w:rsidRPr="003D1614" w:rsidRDefault="00E37F31" w:rsidP="008C368A">
      <w:pPr>
        <w:keepNext/>
        <w:suppressAutoHyphens/>
        <w:autoSpaceDN w:val="0"/>
        <w:jc w:val="both"/>
        <w:outlineLvl w:val="0"/>
        <w:rPr>
          <w:rFonts w:ascii="Arial" w:eastAsia="Times New Roman" w:hAnsi="Arial" w:cs="Arial"/>
          <w:color w:val="000000" w:themeColor="text1"/>
          <w:sz w:val="20"/>
          <w:szCs w:val="20"/>
        </w:rPr>
      </w:pPr>
    </w:p>
    <w:p w14:paraId="30152DB7" w14:textId="77777777" w:rsidR="00E37F31" w:rsidRPr="003D1614" w:rsidRDefault="00E37F31" w:rsidP="008C368A">
      <w:pPr>
        <w:keepNext/>
        <w:suppressAutoHyphens/>
        <w:autoSpaceDN w:val="0"/>
        <w:jc w:val="both"/>
        <w:outlineLvl w:val="0"/>
        <w:rPr>
          <w:rFonts w:ascii="Arial" w:eastAsia="Times New Roman" w:hAnsi="Arial" w:cs="Arial"/>
          <w:bCs/>
          <w:color w:val="000000" w:themeColor="text1"/>
          <w:sz w:val="20"/>
          <w:szCs w:val="20"/>
        </w:rPr>
        <w:sectPr w:rsidR="00E37F31" w:rsidRPr="003D1614">
          <w:headerReference w:type="default" r:id="rId12"/>
          <w:pgSz w:w="11906" w:h="16838"/>
          <w:pgMar w:top="1417" w:right="1417" w:bottom="1417" w:left="1417" w:header="708" w:footer="708" w:gutter="0"/>
          <w:cols w:space="708"/>
          <w:docGrid w:linePitch="360"/>
        </w:sectPr>
      </w:pPr>
    </w:p>
    <w:p w14:paraId="0331FF20" w14:textId="77777777" w:rsidR="00E37F31" w:rsidRPr="003D1614" w:rsidRDefault="00E37F31" w:rsidP="008C368A">
      <w:pPr>
        <w:keepNext/>
        <w:suppressAutoHyphens/>
        <w:autoSpaceDN w:val="0"/>
        <w:jc w:val="both"/>
        <w:outlineLvl w:val="0"/>
        <w:rPr>
          <w:rFonts w:ascii="Arial" w:eastAsia="Times New Roman" w:hAnsi="Arial" w:cs="Arial"/>
          <w:bCs/>
          <w:color w:val="000000" w:themeColor="text1"/>
          <w:sz w:val="20"/>
          <w:szCs w:val="20"/>
        </w:rPr>
      </w:pPr>
    </w:p>
    <w:tbl>
      <w:tblPr>
        <w:tblpPr w:leftFromText="181" w:rightFromText="181" w:vertAnchor="text" w:horzAnchor="margin" w:tblpY="392"/>
        <w:tblW w:w="9214" w:type="dxa"/>
        <w:tblLayout w:type="fixed"/>
        <w:tblLook w:val="0000" w:firstRow="0" w:lastRow="0" w:firstColumn="0" w:lastColumn="0" w:noHBand="0" w:noVBand="0"/>
      </w:tblPr>
      <w:tblGrid>
        <w:gridCol w:w="5529"/>
        <w:gridCol w:w="992"/>
        <w:gridCol w:w="1346"/>
        <w:gridCol w:w="1347"/>
      </w:tblGrid>
      <w:tr w:rsidR="007214E2" w:rsidRPr="00C8129F" w14:paraId="0C28C6BB" w14:textId="77777777" w:rsidTr="00465E49">
        <w:trPr>
          <w:trHeight w:val="230"/>
        </w:trPr>
        <w:tc>
          <w:tcPr>
            <w:tcW w:w="5529" w:type="dxa"/>
            <w:vAlign w:val="bottom"/>
          </w:tcPr>
          <w:p w14:paraId="401A7605" w14:textId="77777777" w:rsidR="007214E2" w:rsidRPr="00C8129F" w:rsidRDefault="007214E2" w:rsidP="00964790">
            <w:pPr>
              <w:rPr>
                <w:rFonts w:ascii="Arial" w:hAnsi="Arial" w:cs="Arial"/>
                <w:color w:val="000000" w:themeColor="text1"/>
                <w:sz w:val="20"/>
                <w:szCs w:val="20"/>
              </w:rPr>
            </w:pPr>
          </w:p>
          <w:p w14:paraId="522E6692" w14:textId="77777777" w:rsidR="007214E2" w:rsidRPr="00C8129F" w:rsidRDefault="007214E2" w:rsidP="00964790">
            <w:pPr>
              <w:rPr>
                <w:rFonts w:ascii="Arial" w:hAnsi="Arial" w:cs="Arial"/>
                <w:color w:val="000000" w:themeColor="text1"/>
                <w:sz w:val="20"/>
                <w:szCs w:val="20"/>
              </w:rPr>
            </w:pPr>
          </w:p>
        </w:tc>
        <w:tc>
          <w:tcPr>
            <w:tcW w:w="992" w:type="dxa"/>
            <w:vAlign w:val="bottom"/>
          </w:tcPr>
          <w:p w14:paraId="5921D730" w14:textId="77777777" w:rsidR="007214E2" w:rsidRPr="00C8129F" w:rsidRDefault="007214E2" w:rsidP="00964790">
            <w:pPr>
              <w:jc w:val="center"/>
              <w:rPr>
                <w:rFonts w:ascii="Arial" w:hAnsi="Arial" w:cs="Arial"/>
                <w:b/>
                <w:color w:val="000000" w:themeColor="text1"/>
                <w:sz w:val="20"/>
                <w:szCs w:val="20"/>
              </w:rPr>
            </w:pPr>
          </w:p>
        </w:tc>
        <w:tc>
          <w:tcPr>
            <w:tcW w:w="1346" w:type="dxa"/>
            <w:vAlign w:val="bottom"/>
          </w:tcPr>
          <w:p w14:paraId="024938B7" w14:textId="145677D5" w:rsidR="007214E2" w:rsidRPr="00C8129F" w:rsidRDefault="007214E2" w:rsidP="00964790">
            <w:pPr>
              <w:jc w:val="right"/>
              <w:rPr>
                <w:rFonts w:ascii="Arial" w:hAnsi="Arial" w:cs="Arial"/>
                <w:b/>
                <w:color w:val="000000" w:themeColor="text1"/>
                <w:sz w:val="20"/>
                <w:szCs w:val="20"/>
              </w:rPr>
            </w:pPr>
            <w:r w:rsidRPr="00C8129F">
              <w:rPr>
                <w:rFonts w:ascii="Arial" w:hAnsi="Arial" w:cs="Arial"/>
                <w:b/>
                <w:color w:val="000000" w:themeColor="text1"/>
                <w:sz w:val="20"/>
                <w:szCs w:val="20"/>
              </w:rPr>
              <w:t>31.3.202</w:t>
            </w:r>
            <w:r w:rsidR="00164AC2">
              <w:rPr>
                <w:rFonts w:ascii="Arial" w:hAnsi="Arial" w:cs="Arial"/>
                <w:b/>
                <w:color w:val="000000" w:themeColor="text1"/>
                <w:sz w:val="20"/>
                <w:szCs w:val="20"/>
              </w:rPr>
              <w:t>4</w:t>
            </w:r>
            <w:r w:rsidRPr="00C8129F">
              <w:rPr>
                <w:rFonts w:ascii="Arial" w:hAnsi="Arial" w:cs="Arial"/>
                <w:b/>
                <w:color w:val="000000" w:themeColor="text1"/>
                <w:sz w:val="20"/>
                <w:szCs w:val="20"/>
              </w:rPr>
              <w:t>.</w:t>
            </w:r>
          </w:p>
        </w:tc>
        <w:tc>
          <w:tcPr>
            <w:tcW w:w="1347" w:type="dxa"/>
            <w:vAlign w:val="bottom"/>
          </w:tcPr>
          <w:p w14:paraId="4E1163A6" w14:textId="334A3910" w:rsidR="007214E2" w:rsidRPr="00C8129F" w:rsidRDefault="007214E2" w:rsidP="00964790">
            <w:pPr>
              <w:jc w:val="right"/>
              <w:rPr>
                <w:rFonts w:ascii="Arial" w:hAnsi="Arial" w:cs="Arial"/>
                <w:b/>
                <w:color w:val="000000" w:themeColor="text1"/>
                <w:sz w:val="20"/>
                <w:szCs w:val="20"/>
              </w:rPr>
            </w:pPr>
            <w:r w:rsidRPr="00C8129F">
              <w:rPr>
                <w:rFonts w:ascii="Arial" w:hAnsi="Arial" w:cs="Arial"/>
                <w:b/>
                <w:color w:val="000000" w:themeColor="text1"/>
                <w:sz w:val="20"/>
                <w:szCs w:val="20"/>
              </w:rPr>
              <w:t>31.12.202</w:t>
            </w:r>
            <w:r w:rsidR="00164AC2">
              <w:rPr>
                <w:rFonts w:ascii="Arial" w:hAnsi="Arial" w:cs="Arial"/>
                <w:b/>
                <w:color w:val="000000" w:themeColor="text1"/>
                <w:sz w:val="20"/>
                <w:szCs w:val="20"/>
              </w:rPr>
              <w:t>3</w:t>
            </w:r>
            <w:r w:rsidRPr="00C8129F">
              <w:rPr>
                <w:rFonts w:ascii="Arial" w:hAnsi="Arial" w:cs="Arial"/>
                <w:b/>
                <w:color w:val="000000" w:themeColor="text1"/>
                <w:sz w:val="20"/>
                <w:szCs w:val="20"/>
              </w:rPr>
              <w:t>.</w:t>
            </w:r>
          </w:p>
        </w:tc>
      </w:tr>
      <w:tr w:rsidR="007214E2" w:rsidRPr="00C8129F" w14:paraId="3332AB99" w14:textId="77777777" w:rsidTr="00465E49">
        <w:trPr>
          <w:trHeight w:val="202"/>
        </w:trPr>
        <w:tc>
          <w:tcPr>
            <w:tcW w:w="5529" w:type="dxa"/>
            <w:vAlign w:val="bottom"/>
          </w:tcPr>
          <w:p w14:paraId="135C9BE0" w14:textId="77777777" w:rsidR="007214E2" w:rsidRPr="00C8129F" w:rsidRDefault="007214E2" w:rsidP="00964790">
            <w:pPr>
              <w:rPr>
                <w:rFonts w:ascii="Arial" w:hAnsi="Arial" w:cs="Arial"/>
                <w:color w:val="000000" w:themeColor="text1"/>
                <w:sz w:val="20"/>
                <w:szCs w:val="20"/>
              </w:rPr>
            </w:pPr>
          </w:p>
        </w:tc>
        <w:tc>
          <w:tcPr>
            <w:tcW w:w="992" w:type="dxa"/>
            <w:vAlign w:val="bottom"/>
          </w:tcPr>
          <w:p w14:paraId="62D48CBB" w14:textId="77777777" w:rsidR="007214E2" w:rsidRPr="00C8129F" w:rsidRDefault="007214E2" w:rsidP="00964790">
            <w:pPr>
              <w:jc w:val="center"/>
              <w:rPr>
                <w:rFonts w:ascii="Arial" w:hAnsi="Arial" w:cs="Arial"/>
                <w:b/>
                <w:color w:val="000000" w:themeColor="text1"/>
                <w:sz w:val="20"/>
                <w:szCs w:val="20"/>
              </w:rPr>
            </w:pPr>
            <w:r w:rsidRPr="00C8129F">
              <w:rPr>
                <w:rFonts w:ascii="Arial" w:hAnsi="Arial" w:cs="Arial"/>
                <w:b/>
                <w:color w:val="000000" w:themeColor="text1"/>
                <w:sz w:val="20"/>
                <w:szCs w:val="20"/>
              </w:rPr>
              <w:t>Bilješka</w:t>
            </w:r>
          </w:p>
        </w:tc>
        <w:tc>
          <w:tcPr>
            <w:tcW w:w="1346" w:type="dxa"/>
            <w:vAlign w:val="bottom"/>
          </w:tcPr>
          <w:p w14:paraId="0F27D028" w14:textId="31CE2E71" w:rsidR="007214E2" w:rsidRPr="00C8129F" w:rsidRDefault="00A76701" w:rsidP="00964790">
            <w:pPr>
              <w:jc w:val="right"/>
              <w:rPr>
                <w:rFonts w:ascii="Arial" w:hAnsi="Arial" w:cs="Arial"/>
                <w:b/>
                <w:color w:val="000000" w:themeColor="text1"/>
                <w:sz w:val="20"/>
                <w:szCs w:val="20"/>
              </w:rPr>
            </w:pPr>
            <w:r w:rsidRPr="00C8129F">
              <w:rPr>
                <w:rFonts w:ascii="Arial" w:hAnsi="Arial" w:cs="Arial"/>
                <w:b/>
                <w:color w:val="000000" w:themeColor="text1"/>
                <w:sz w:val="20"/>
                <w:szCs w:val="20"/>
              </w:rPr>
              <w:t>000 eura</w:t>
            </w:r>
          </w:p>
        </w:tc>
        <w:tc>
          <w:tcPr>
            <w:tcW w:w="1347" w:type="dxa"/>
            <w:vAlign w:val="bottom"/>
          </w:tcPr>
          <w:p w14:paraId="0569496E" w14:textId="32333DFC" w:rsidR="007214E2" w:rsidRPr="00C8129F" w:rsidRDefault="00A76701" w:rsidP="00964790">
            <w:pPr>
              <w:jc w:val="right"/>
              <w:rPr>
                <w:rFonts w:ascii="Arial" w:hAnsi="Arial" w:cs="Arial"/>
                <w:b/>
                <w:color w:val="000000" w:themeColor="text1"/>
                <w:sz w:val="20"/>
                <w:szCs w:val="20"/>
              </w:rPr>
            </w:pPr>
            <w:r w:rsidRPr="00C8129F">
              <w:rPr>
                <w:rFonts w:ascii="Arial" w:hAnsi="Arial" w:cs="Arial"/>
                <w:b/>
                <w:color w:val="000000" w:themeColor="text1"/>
                <w:sz w:val="20"/>
                <w:szCs w:val="20"/>
              </w:rPr>
              <w:t>000 eura</w:t>
            </w:r>
          </w:p>
        </w:tc>
      </w:tr>
      <w:tr w:rsidR="007214E2" w:rsidRPr="00C8129F" w14:paraId="34D22979" w14:textId="77777777" w:rsidTr="00465E49">
        <w:trPr>
          <w:trHeight w:val="303"/>
        </w:trPr>
        <w:tc>
          <w:tcPr>
            <w:tcW w:w="5529" w:type="dxa"/>
            <w:vAlign w:val="bottom"/>
          </w:tcPr>
          <w:p w14:paraId="39EDCD9F" w14:textId="2810F7E3" w:rsidR="007214E2" w:rsidRPr="00C8129F" w:rsidRDefault="007214E2" w:rsidP="00964790">
            <w:pPr>
              <w:pStyle w:val="TT"/>
              <w:rPr>
                <w:rFonts w:cs="Arial"/>
                <w:b/>
                <w:bCs/>
                <w:color w:val="000000" w:themeColor="text1"/>
                <w:sz w:val="20"/>
                <w:lang w:val="hr-HR"/>
              </w:rPr>
            </w:pPr>
            <w:bookmarkStart w:id="24" w:name="_Toc67326670"/>
            <w:r w:rsidRPr="00C8129F">
              <w:rPr>
                <w:rFonts w:cs="Arial"/>
                <w:b/>
                <w:bCs/>
                <w:color w:val="000000" w:themeColor="text1"/>
                <w:sz w:val="20"/>
                <w:lang w:val="hr-HR"/>
              </w:rPr>
              <w:t>Imovina</w:t>
            </w:r>
            <w:bookmarkEnd w:id="24"/>
            <w:r w:rsidRPr="00C8129F">
              <w:rPr>
                <w:rFonts w:cs="Arial"/>
                <w:b/>
                <w:bCs/>
                <w:color w:val="000000" w:themeColor="text1"/>
                <w:sz w:val="20"/>
                <w:lang w:val="hr-HR"/>
              </w:rPr>
              <w:t xml:space="preserve"> </w:t>
            </w:r>
          </w:p>
        </w:tc>
        <w:tc>
          <w:tcPr>
            <w:tcW w:w="992" w:type="dxa"/>
            <w:vAlign w:val="bottom"/>
          </w:tcPr>
          <w:p w14:paraId="72F619B6" w14:textId="77777777" w:rsidR="007214E2" w:rsidRPr="00C8129F" w:rsidRDefault="007214E2" w:rsidP="00964790">
            <w:pPr>
              <w:pStyle w:val="TT"/>
              <w:rPr>
                <w:rFonts w:cs="Arial"/>
                <w:b/>
                <w:bCs/>
                <w:color w:val="000000" w:themeColor="text1"/>
                <w:sz w:val="20"/>
                <w:lang w:val="hr-HR"/>
              </w:rPr>
            </w:pPr>
          </w:p>
        </w:tc>
        <w:tc>
          <w:tcPr>
            <w:tcW w:w="1346" w:type="dxa"/>
            <w:vAlign w:val="bottom"/>
          </w:tcPr>
          <w:p w14:paraId="664549DC" w14:textId="77777777" w:rsidR="007214E2" w:rsidRPr="00C8129F" w:rsidRDefault="007214E2" w:rsidP="00964790">
            <w:pPr>
              <w:pStyle w:val="TT"/>
              <w:rPr>
                <w:rFonts w:cs="Arial"/>
                <w:b/>
                <w:bCs/>
                <w:color w:val="000000" w:themeColor="text1"/>
                <w:sz w:val="20"/>
                <w:lang w:val="hr-HR"/>
              </w:rPr>
            </w:pPr>
          </w:p>
        </w:tc>
        <w:tc>
          <w:tcPr>
            <w:tcW w:w="1347" w:type="dxa"/>
            <w:vAlign w:val="bottom"/>
          </w:tcPr>
          <w:p w14:paraId="0B2F68BF" w14:textId="77777777" w:rsidR="007214E2" w:rsidRPr="00C8129F" w:rsidRDefault="007214E2" w:rsidP="00964790">
            <w:pPr>
              <w:pStyle w:val="TT"/>
              <w:rPr>
                <w:rFonts w:cs="Arial"/>
                <w:b/>
                <w:bCs/>
                <w:color w:val="000000" w:themeColor="text1"/>
                <w:sz w:val="20"/>
                <w:lang w:val="hr-HR"/>
              </w:rPr>
            </w:pPr>
          </w:p>
        </w:tc>
      </w:tr>
      <w:tr w:rsidR="00095931" w:rsidRPr="00C8129F" w14:paraId="14B4165C" w14:textId="77777777" w:rsidTr="005D1219">
        <w:trPr>
          <w:trHeight w:val="303"/>
        </w:trPr>
        <w:tc>
          <w:tcPr>
            <w:tcW w:w="5529" w:type="dxa"/>
            <w:vAlign w:val="bottom"/>
          </w:tcPr>
          <w:p w14:paraId="7D8DE8BC" w14:textId="1ECB6934" w:rsidR="00095931" w:rsidRPr="00C8129F" w:rsidRDefault="00095931" w:rsidP="00095931">
            <w:pPr>
              <w:pStyle w:val="TT"/>
              <w:rPr>
                <w:rFonts w:cs="Arial"/>
                <w:color w:val="000000" w:themeColor="text1"/>
                <w:sz w:val="20"/>
                <w:lang w:val="hr-HR"/>
              </w:rPr>
            </w:pPr>
            <w:bookmarkStart w:id="25" w:name="_Toc67326671"/>
            <w:r w:rsidRPr="00C8129F">
              <w:rPr>
                <w:rFonts w:cs="Arial"/>
                <w:color w:val="000000" w:themeColor="text1"/>
                <w:sz w:val="20"/>
                <w:lang w:val="hr-HR"/>
              </w:rPr>
              <w:t>Novčana sredstva i računi kod banaka</w:t>
            </w:r>
            <w:bookmarkEnd w:id="25"/>
          </w:p>
        </w:tc>
        <w:tc>
          <w:tcPr>
            <w:tcW w:w="992" w:type="dxa"/>
            <w:vAlign w:val="bottom"/>
          </w:tcPr>
          <w:p w14:paraId="48267613" w14:textId="77777777" w:rsidR="00095931" w:rsidRPr="00140901" w:rsidRDefault="00095931" w:rsidP="00095931">
            <w:pPr>
              <w:pStyle w:val="TT"/>
              <w:jc w:val="center"/>
              <w:rPr>
                <w:rFonts w:cs="Arial"/>
                <w:color w:val="000000" w:themeColor="text1"/>
                <w:sz w:val="20"/>
                <w:lang w:val="hr-HR"/>
              </w:rPr>
            </w:pPr>
            <w:r w:rsidRPr="00140901">
              <w:rPr>
                <w:rFonts w:cs="Arial"/>
                <w:snapToGrid w:val="0"/>
                <w:color w:val="000000" w:themeColor="text1"/>
                <w:sz w:val="20"/>
                <w:lang w:val="hr-HR"/>
              </w:rPr>
              <w:t>9</w:t>
            </w:r>
          </w:p>
        </w:tc>
        <w:tc>
          <w:tcPr>
            <w:tcW w:w="1346" w:type="dxa"/>
            <w:tcBorders>
              <w:top w:val="nil"/>
              <w:left w:val="nil"/>
              <w:bottom w:val="nil"/>
              <w:right w:val="nil"/>
            </w:tcBorders>
            <w:shd w:val="clear" w:color="auto" w:fill="auto"/>
            <w:vAlign w:val="center"/>
          </w:tcPr>
          <w:p w14:paraId="068C8176" w14:textId="773942F9" w:rsidR="00095931" w:rsidRPr="00B57C31" w:rsidRDefault="00095931" w:rsidP="00095931">
            <w:pPr>
              <w:pStyle w:val="TT"/>
              <w:jc w:val="right"/>
              <w:rPr>
                <w:rFonts w:cs="Arial"/>
                <w:color w:val="000000" w:themeColor="text1"/>
                <w:sz w:val="20"/>
                <w:lang w:val="hr-HR"/>
              </w:rPr>
            </w:pPr>
            <w:r w:rsidRPr="005D1219">
              <w:rPr>
                <w:rFonts w:cs="Arial"/>
                <w:color w:val="000000"/>
                <w:sz w:val="20"/>
              </w:rPr>
              <w:t>77.372</w:t>
            </w:r>
          </w:p>
        </w:tc>
        <w:tc>
          <w:tcPr>
            <w:tcW w:w="1347" w:type="dxa"/>
            <w:tcBorders>
              <w:top w:val="nil"/>
              <w:left w:val="nil"/>
              <w:bottom w:val="nil"/>
              <w:right w:val="nil"/>
            </w:tcBorders>
            <w:shd w:val="clear" w:color="auto" w:fill="auto"/>
            <w:vAlign w:val="bottom"/>
          </w:tcPr>
          <w:p w14:paraId="574F3514" w14:textId="126436E2" w:rsidR="00095931" w:rsidRPr="00C8129F" w:rsidRDefault="00095931" w:rsidP="00095931">
            <w:pPr>
              <w:pStyle w:val="TT"/>
              <w:jc w:val="right"/>
              <w:rPr>
                <w:rFonts w:cs="Arial"/>
                <w:snapToGrid w:val="0"/>
                <w:color w:val="000000" w:themeColor="text1"/>
                <w:sz w:val="20"/>
                <w:lang w:val="hr-HR"/>
              </w:rPr>
            </w:pPr>
            <w:r w:rsidRPr="00F959D0">
              <w:rPr>
                <w:sz w:val="20"/>
              </w:rPr>
              <w:t>42.133</w:t>
            </w:r>
          </w:p>
        </w:tc>
      </w:tr>
      <w:tr w:rsidR="00095931" w:rsidRPr="00C8129F" w14:paraId="40A4E2AE" w14:textId="77777777" w:rsidTr="005D1219">
        <w:trPr>
          <w:trHeight w:val="303"/>
        </w:trPr>
        <w:tc>
          <w:tcPr>
            <w:tcW w:w="5529" w:type="dxa"/>
            <w:vAlign w:val="bottom"/>
          </w:tcPr>
          <w:p w14:paraId="5BCA95F2" w14:textId="6B30F18F" w:rsidR="00095931" w:rsidRPr="00C8129F" w:rsidRDefault="00095931" w:rsidP="00095931">
            <w:pPr>
              <w:pStyle w:val="TT"/>
              <w:rPr>
                <w:rFonts w:cs="Arial"/>
                <w:color w:val="000000" w:themeColor="text1"/>
                <w:sz w:val="20"/>
                <w:lang w:val="hr-HR"/>
              </w:rPr>
            </w:pPr>
            <w:bookmarkStart w:id="26" w:name="_Toc67326675"/>
            <w:r w:rsidRPr="00C8129F">
              <w:rPr>
                <w:rFonts w:cs="Arial"/>
                <w:color w:val="000000" w:themeColor="text1"/>
                <w:sz w:val="20"/>
                <w:lang w:val="hr-HR"/>
              </w:rPr>
              <w:t>Depoziti kod drugih banaka</w:t>
            </w:r>
            <w:bookmarkEnd w:id="26"/>
          </w:p>
        </w:tc>
        <w:tc>
          <w:tcPr>
            <w:tcW w:w="992" w:type="dxa"/>
            <w:vAlign w:val="bottom"/>
          </w:tcPr>
          <w:p w14:paraId="05E74C8B" w14:textId="77777777" w:rsidR="00095931" w:rsidRPr="00140901" w:rsidRDefault="00095931" w:rsidP="00095931">
            <w:pPr>
              <w:pStyle w:val="TT"/>
              <w:jc w:val="center"/>
              <w:rPr>
                <w:rFonts w:cs="Arial"/>
                <w:snapToGrid w:val="0"/>
                <w:color w:val="000000" w:themeColor="text1"/>
                <w:sz w:val="20"/>
                <w:lang w:val="hr-HR"/>
              </w:rPr>
            </w:pPr>
            <w:bookmarkStart w:id="27" w:name="_Toc67326676"/>
            <w:r w:rsidRPr="00140901">
              <w:rPr>
                <w:rFonts w:cs="Arial"/>
                <w:snapToGrid w:val="0"/>
                <w:color w:val="000000" w:themeColor="text1"/>
                <w:sz w:val="20"/>
                <w:lang w:val="hr-HR"/>
              </w:rPr>
              <w:t>1</w:t>
            </w:r>
            <w:bookmarkEnd w:id="27"/>
            <w:r w:rsidRPr="00140901">
              <w:rPr>
                <w:rFonts w:cs="Arial"/>
                <w:snapToGrid w:val="0"/>
                <w:color w:val="000000" w:themeColor="text1"/>
                <w:sz w:val="20"/>
                <w:lang w:val="hr-HR"/>
              </w:rPr>
              <w:t>0</w:t>
            </w:r>
          </w:p>
        </w:tc>
        <w:tc>
          <w:tcPr>
            <w:tcW w:w="1346" w:type="dxa"/>
            <w:tcBorders>
              <w:top w:val="nil"/>
              <w:left w:val="nil"/>
              <w:bottom w:val="nil"/>
              <w:right w:val="nil"/>
            </w:tcBorders>
            <w:shd w:val="clear" w:color="auto" w:fill="auto"/>
            <w:vAlign w:val="center"/>
          </w:tcPr>
          <w:p w14:paraId="15702BFE" w14:textId="6ACB3CCC" w:rsidR="00095931" w:rsidRPr="00B57C31" w:rsidRDefault="00095931" w:rsidP="00095931">
            <w:pPr>
              <w:pStyle w:val="TT"/>
              <w:jc w:val="right"/>
              <w:rPr>
                <w:rFonts w:cs="Arial"/>
                <w:color w:val="000000" w:themeColor="text1"/>
                <w:sz w:val="20"/>
                <w:lang w:val="hr-HR"/>
              </w:rPr>
            </w:pPr>
            <w:r w:rsidRPr="005D1219">
              <w:rPr>
                <w:rFonts w:cs="Arial"/>
                <w:color w:val="000000"/>
                <w:sz w:val="20"/>
              </w:rPr>
              <w:t>129.200</w:t>
            </w:r>
          </w:p>
        </w:tc>
        <w:tc>
          <w:tcPr>
            <w:tcW w:w="1347" w:type="dxa"/>
            <w:tcBorders>
              <w:top w:val="nil"/>
              <w:left w:val="nil"/>
              <w:bottom w:val="nil"/>
              <w:right w:val="nil"/>
            </w:tcBorders>
            <w:shd w:val="clear" w:color="auto" w:fill="auto"/>
            <w:vAlign w:val="bottom"/>
          </w:tcPr>
          <w:p w14:paraId="0B546B4B" w14:textId="299A3366" w:rsidR="00095931" w:rsidRPr="00C8129F" w:rsidRDefault="00095931" w:rsidP="00095931">
            <w:pPr>
              <w:pStyle w:val="TT"/>
              <w:jc w:val="right"/>
              <w:rPr>
                <w:rFonts w:cs="Arial"/>
                <w:snapToGrid w:val="0"/>
                <w:color w:val="000000" w:themeColor="text1"/>
                <w:sz w:val="20"/>
                <w:lang w:val="hr-HR"/>
              </w:rPr>
            </w:pPr>
            <w:r w:rsidRPr="00F959D0">
              <w:rPr>
                <w:sz w:val="20"/>
              </w:rPr>
              <w:t>71.761</w:t>
            </w:r>
          </w:p>
        </w:tc>
      </w:tr>
      <w:tr w:rsidR="00095931" w:rsidRPr="00C8129F" w14:paraId="744A3E9A" w14:textId="77777777" w:rsidTr="005D1219">
        <w:trPr>
          <w:trHeight w:val="291"/>
        </w:trPr>
        <w:tc>
          <w:tcPr>
            <w:tcW w:w="5529" w:type="dxa"/>
            <w:vAlign w:val="bottom"/>
          </w:tcPr>
          <w:p w14:paraId="1098FD2A" w14:textId="6273F9DC" w:rsidR="00095931" w:rsidRPr="00C8129F" w:rsidRDefault="00095931" w:rsidP="00095931">
            <w:pPr>
              <w:pStyle w:val="TT"/>
              <w:rPr>
                <w:rFonts w:cs="Arial"/>
                <w:color w:val="000000" w:themeColor="text1"/>
                <w:sz w:val="20"/>
                <w:lang w:val="hr-HR"/>
              </w:rPr>
            </w:pPr>
            <w:bookmarkStart w:id="28" w:name="_Toc67326679"/>
            <w:r w:rsidRPr="00C8129F">
              <w:rPr>
                <w:rFonts w:cs="Arial"/>
                <w:color w:val="000000" w:themeColor="text1"/>
                <w:sz w:val="20"/>
                <w:lang w:val="hr-HR"/>
              </w:rPr>
              <w:t>Krediti financijskim institucijama</w:t>
            </w:r>
            <w:bookmarkEnd w:id="28"/>
          </w:p>
        </w:tc>
        <w:tc>
          <w:tcPr>
            <w:tcW w:w="992" w:type="dxa"/>
            <w:vAlign w:val="bottom"/>
          </w:tcPr>
          <w:p w14:paraId="5834E077" w14:textId="77777777" w:rsidR="00095931" w:rsidRPr="00140901" w:rsidRDefault="00095931" w:rsidP="00095931">
            <w:pPr>
              <w:pStyle w:val="TT"/>
              <w:jc w:val="center"/>
              <w:rPr>
                <w:rFonts w:cs="Arial"/>
                <w:snapToGrid w:val="0"/>
                <w:color w:val="000000" w:themeColor="text1"/>
                <w:sz w:val="20"/>
                <w:lang w:val="hr-HR"/>
              </w:rPr>
            </w:pPr>
            <w:bookmarkStart w:id="29" w:name="_Toc67326680"/>
            <w:r w:rsidRPr="00140901">
              <w:rPr>
                <w:rFonts w:cs="Arial"/>
                <w:snapToGrid w:val="0"/>
                <w:color w:val="000000" w:themeColor="text1"/>
                <w:sz w:val="20"/>
                <w:lang w:val="hr-HR"/>
              </w:rPr>
              <w:t>1</w:t>
            </w:r>
            <w:bookmarkEnd w:id="29"/>
            <w:r w:rsidRPr="00140901">
              <w:rPr>
                <w:rFonts w:cs="Arial"/>
                <w:snapToGrid w:val="0"/>
                <w:color w:val="000000" w:themeColor="text1"/>
                <w:sz w:val="20"/>
                <w:lang w:val="hr-HR"/>
              </w:rPr>
              <w:t>1</w:t>
            </w:r>
          </w:p>
        </w:tc>
        <w:tc>
          <w:tcPr>
            <w:tcW w:w="1346" w:type="dxa"/>
            <w:tcBorders>
              <w:top w:val="nil"/>
              <w:left w:val="nil"/>
              <w:bottom w:val="nil"/>
              <w:right w:val="nil"/>
            </w:tcBorders>
            <w:shd w:val="clear" w:color="auto" w:fill="auto"/>
            <w:vAlign w:val="center"/>
          </w:tcPr>
          <w:p w14:paraId="7F941583" w14:textId="11E83F25" w:rsidR="00095931" w:rsidRPr="00B57C31" w:rsidRDefault="00095931" w:rsidP="00095931">
            <w:pPr>
              <w:pStyle w:val="TT"/>
              <w:jc w:val="right"/>
              <w:rPr>
                <w:rFonts w:cs="Arial"/>
                <w:color w:val="000000" w:themeColor="text1"/>
                <w:sz w:val="20"/>
                <w:lang w:val="hr-HR"/>
              </w:rPr>
            </w:pPr>
            <w:r w:rsidRPr="005D1219">
              <w:rPr>
                <w:rFonts w:cs="Arial"/>
                <w:color w:val="000000"/>
                <w:sz w:val="20"/>
              </w:rPr>
              <w:t>1.138.066</w:t>
            </w:r>
          </w:p>
        </w:tc>
        <w:tc>
          <w:tcPr>
            <w:tcW w:w="1347" w:type="dxa"/>
            <w:tcBorders>
              <w:top w:val="nil"/>
              <w:left w:val="nil"/>
              <w:bottom w:val="nil"/>
              <w:right w:val="nil"/>
            </w:tcBorders>
            <w:shd w:val="clear" w:color="auto" w:fill="auto"/>
            <w:vAlign w:val="bottom"/>
          </w:tcPr>
          <w:p w14:paraId="6F0A2C16" w14:textId="1BB2ABD8" w:rsidR="00095931" w:rsidRPr="00C8129F" w:rsidRDefault="00095931" w:rsidP="00095931">
            <w:pPr>
              <w:pStyle w:val="TT"/>
              <w:jc w:val="right"/>
              <w:rPr>
                <w:rFonts w:cs="Arial"/>
                <w:snapToGrid w:val="0"/>
                <w:color w:val="000000" w:themeColor="text1"/>
                <w:sz w:val="20"/>
                <w:lang w:val="hr-HR"/>
              </w:rPr>
            </w:pPr>
            <w:r w:rsidRPr="00F959D0">
              <w:rPr>
                <w:sz w:val="20"/>
              </w:rPr>
              <w:t>1.248.881</w:t>
            </w:r>
          </w:p>
        </w:tc>
      </w:tr>
      <w:tr w:rsidR="00095931" w:rsidRPr="00C8129F" w14:paraId="2DED36D8" w14:textId="77777777" w:rsidTr="005D1219">
        <w:trPr>
          <w:trHeight w:val="303"/>
        </w:trPr>
        <w:tc>
          <w:tcPr>
            <w:tcW w:w="5529" w:type="dxa"/>
            <w:vAlign w:val="bottom"/>
          </w:tcPr>
          <w:p w14:paraId="5F508877" w14:textId="405B0337" w:rsidR="00095931" w:rsidRPr="00C8129F" w:rsidRDefault="00095931" w:rsidP="00095931">
            <w:pPr>
              <w:pStyle w:val="TT"/>
              <w:rPr>
                <w:rFonts w:cs="Arial"/>
                <w:color w:val="000000" w:themeColor="text1"/>
                <w:sz w:val="20"/>
                <w:lang w:val="hr-HR"/>
              </w:rPr>
            </w:pPr>
            <w:bookmarkStart w:id="30" w:name="_Toc67326683"/>
            <w:r w:rsidRPr="00C8129F">
              <w:rPr>
                <w:rFonts w:cs="Arial"/>
                <w:color w:val="000000" w:themeColor="text1"/>
                <w:sz w:val="20"/>
                <w:lang w:val="hr-HR"/>
              </w:rPr>
              <w:t>Krediti ostalim korisnicima</w:t>
            </w:r>
            <w:bookmarkEnd w:id="30"/>
          </w:p>
        </w:tc>
        <w:tc>
          <w:tcPr>
            <w:tcW w:w="992" w:type="dxa"/>
            <w:vAlign w:val="bottom"/>
          </w:tcPr>
          <w:p w14:paraId="2F901413" w14:textId="77777777" w:rsidR="00095931" w:rsidRPr="00140901" w:rsidRDefault="00095931" w:rsidP="00095931">
            <w:pPr>
              <w:pStyle w:val="TT"/>
              <w:jc w:val="center"/>
              <w:rPr>
                <w:rFonts w:cs="Arial"/>
                <w:snapToGrid w:val="0"/>
                <w:color w:val="000000" w:themeColor="text1"/>
                <w:sz w:val="20"/>
                <w:lang w:val="hr-HR"/>
              </w:rPr>
            </w:pPr>
            <w:bookmarkStart w:id="31" w:name="_Toc67326684"/>
            <w:r w:rsidRPr="00140901">
              <w:rPr>
                <w:rFonts w:cs="Arial"/>
                <w:snapToGrid w:val="0"/>
                <w:color w:val="000000" w:themeColor="text1"/>
                <w:sz w:val="20"/>
                <w:lang w:val="hr-HR"/>
              </w:rPr>
              <w:t>1</w:t>
            </w:r>
            <w:bookmarkEnd w:id="31"/>
            <w:r w:rsidRPr="00140901">
              <w:rPr>
                <w:rFonts w:cs="Arial"/>
                <w:snapToGrid w:val="0"/>
                <w:color w:val="000000" w:themeColor="text1"/>
                <w:sz w:val="20"/>
                <w:lang w:val="hr-HR"/>
              </w:rPr>
              <w:t>2</w:t>
            </w:r>
          </w:p>
        </w:tc>
        <w:tc>
          <w:tcPr>
            <w:tcW w:w="1346" w:type="dxa"/>
            <w:tcBorders>
              <w:top w:val="nil"/>
              <w:left w:val="nil"/>
              <w:bottom w:val="nil"/>
              <w:right w:val="nil"/>
            </w:tcBorders>
            <w:shd w:val="clear" w:color="auto" w:fill="auto"/>
            <w:vAlign w:val="center"/>
          </w:tcPr>
          <w:p w14:paraId="455EE462" w14:textId="15CB2A9D" w:rsidR="00095931" w:rsidRPr="00B57C31" w:rsidRDefault="00095931" w:rsidP="00095931">
            <w:pPr>
              <w:pStyle w:val="TT"/>
              <w:jc w:val="right"/>
              <w:rPr>
                <w:rFonts w:cs="Arial"/>
                <w:color w:val="000000" w:themeColor="text1"/>
                <w:sz w:val="20"/>
                <w:lang w:val="hr-HR"/>
              </w:rPr>
            </w:pPr>
            <w:r w:rsidRPr="005D1219">
              <w:rPr>
                <w:rFonts w:cs="Arial"/>
                <w:color w:val="000000"/>
                <w:sz w:val="20"/>
              </w:rPr>
              <w:t>2.337.844</w:t>
            </w:r>
          </w:p>
        </w:tc>
        <w:tc>
          <w:tcPr>
            <w:tcW w:w="1347" w:type="dxa"/>
            <w:tcBorders>
              <w:top w:val="nil"/>
              <w:left w:val="nil"/>
              <w:bottom w:val="nil"/>
              <w:right w:val="nil"/>
            </w:tcBorders>
            <w:shd w:val="clear" w:color="auto" w:fill="auto"/>
            <w:vAlign w:val="bottom"/>
          </w:tcPr>
          <w:p w14:paraId="646C6861" w14:textId="30774481" w:rsidR="00095931" w:rsidRPr="00C8129F" w:rsidRDefault="00095931" w:rsidP="00095931">
            <w:pPr>
              <w:pStyle w:val="TT"/>
              <w:jc w:val="right"/>
              <w:rPr>
                <w:rFonts w:cs="Arial"/>
                <w:color w:val="000000" w:themeColor="text1"/>
                <w:spacing w:val="-2"/>
                <w:sz w:val="20"/>
                <w:lang w:val="hr-HR"/>
              </w:rPr>
            </w:pPr>
            <w:r w:rsidRPr="00F959D0">
              <w:rPr>
                <w:sz w:val="20"/>
              </w:rPr>
              <w:t>2.351.196</w:t>
            </w:r>
          </w:p>
        </w:tc>
      </w:tr>
      <w:tr w:rsidR="00095931" w:rsidRPr="00C8129F" w14:paraId="52067600" w14:textId="77777777" w:rsidTr="00465E49">
        <w:trPr>
          <w:trHeight w:val="227"/>
        </w:trPr>
        <w:tc>
          <w:tcPr>
            <w:tcW w:w="5529" w:type="dxa"/>
            <w:vAlign w:val="bottom"/>
          </w:tcPr>
          <w:p w14:paraId="005DBBA3" w14:textId="44F853F8" w:rsidR="00095931" w:rsidRPr="00C8129F" w:rsidRDefault="00095931" w:rsidP="00095931">
            <w:pPr>
              <w:pStyle w:val="TT"/>
              <w:rPr>
                <w:rFonts w:cs="Arial"/>
                <w:color w:val="000000" w:themeColor="text1"/>
                <w:sz w:val="20"/>
                <w:lang w:val="hr-HR"/>
              </w:rPr>
            </w:pPr>
            <w:bookmarkStart w:id="32" w:name="_Toc67326687"/>
            <w:r w:rsidRPr="00C8129F">
              <w:rPr>
                <w:rFonts w:cs="Arial"/>
                <w:color w:val="000000" w:themeColor="text1"/>
                <w:sz w:val="20"/>
                <w:lang w:val="hr-HR"/>
              </w:rPr>
              <w:t>Financijska imovina po fer vrijednosti kroz dobit ili gubitak</w:t>
            </w:r>
            <w:bookmarkEnd w:id="32"/>
          </w:p>
        </w:tc>
        <w:tc>
          <w:tcPr>
            <w:tcW w:w="992" w:type="dxa"/>
            <w:vAlign w:val="bottom"/>
          </w:tcPr>
          <w:p w14:paraId="26F4146A" w14:textId="77777777" w:rsidR="00095931" w:rsidRPr="00140901" w:rsidRDefault="00095931" w:rsidP="00095931">
            <w:pPr>
              <w:pStyle w:val="TT"/>
              <w:jc w:val="center"/>
              <w:rPr>
                <w:rFonts w:cs="Arial"/>
                <w:snapToGrid w:val="0"/>
                <w:color w:val="000000" w:themeColor="text1"/>
                <w:sz w:val="20"/>
                <w:lang w:val="hr-HR"/>
              </w:rPr>
            </w:pPr>
            <w:bookmarkStart w:id="33" w:name="_Toc67326688"/>
            <w:r w:rsidRPr="00140901">
              <w:rPr>
                <w:rFonts w:cs="Arial"/>
                <w:snapToGrid w:val="0"/>
                <w:color w:val="000000" w:themeColor="text1"/>
                <w:sz w:val="20"/>
                <w:lang w:val="hr-HR"/>
              </w:rPr>
              <w:t>1</w:t>
            </w:r>
            <w:bookmarkEnd w:id="33"/>
            <w:r w:rsidRPr="00140901">
              <w:rPr>
                <w:rFonts w:cs="Arial"/>
                <w:snapToGrid w:val="0"/>
                <w:color w:val="000000" w:themeColor="text1"/>
                <w:sz w:val="20"/>
                <w:lang w:val="hr-HR"/>
              </w:rPr>
              <w:t>3</w:t>
            </w:r>
          </w:p>
        </w:tc>
        <w:tc>
          <w:tcPr>
            <w:tcW w:w="1346" w:type="dxa"/>
            <w:tcBorders>
              <w:top w:val="nil"/>
              <w:left w:val="nil"/>
              <w:bottom w:val="nil"/>
              <w:right w:val="nil"/>
            </w:tcBorders>
            <w:shd w:val="clear" w:color="auto" w:fill="auto"/>
            <w:vAlign w:val="bottom"/>
          </w:tcPr>
          <w:p w14:paraId="7CBFE2D3" w14:textId="2E2E770B" w:rsidR="00095931" w:rsidRPr="00B57C31" w:rsidRDefault="00095931" w:rsidP="00095931">
            <w:pPr>
              <w:pStyle w:val="TT"/>
              <w:jc w:val="right"/>
              <w:rPr>
                <w:rFonts w:cs="Arial"/>
                <w:color w:val="000000" w:themeColor="text1"/>
                <w:sz w:val="20"/>
                <w:lang w:val="hr-HR"/>
              </w:rPr>
            </w:pPr>
            <w:r w:rsidRPr="005D1219">
              <w:rPr>
                <w:rFonts w:cs="Arial"/>
                <w:color w:val="000000"/>
                <w:sz w:val="20"/>
              </w:rPr>
              <w:t>53.772</w:t>
            </w:r>
          </w:p>
        </w:tc>
        <w:tc>
          <w:tcPr>
            <w:tcW w:w="1347" w:type="dxa"/>
            <w:tcBorders>
              <w:top w:val="nil"/>
              <w:left w:val="nil"/>
              <w:bottom w:val="nil"/>
              <w:right w:val="nil"/>
            </w:tcBorders>
            <w:shd w:val="clear" w:color="auto" w:fill="auto"/>
            <w:vAlign w:val="bottom"/>
          </w:tcPr>
          <w:p w14:paraId="686DA958" w14:textId="6A8BC3D4" w:rsidR="00095931" w:rsidRPr="00C8129F" w:rsidRDefault="00095931" w:rsidP="00095931">
            <w:pPr>
              <w:pStyle w:val="TT"/>
              <w:jc w:val="right"/>
              <w:rPr>
                <w:rFonts w:cs="Arial"/>
                <w:snapToGrid w:val="0"/>
                <w:color w:val="000000" w:themeColor="text1"/>
                <w:sz w:val="20"/>
                <w:lang w:val="hr-HR"/>
              </w:rPr>
            </w:pPr>
            <w:r w:rsidRPr="00F959D0">
              <w:rPr>
                <w:sz w:val="20"/>
              </w:rPr>
              <w:t>52.922</w:t>
            </w:r>
          </w:p>
        </w:tc>
      </w:tr>
      <w:tr w:rsidR="00095931" w:rsidRPr="00C8129F" w14:paraId="0CBBA5AA" w14:textId="77777777" w:rsidTr="00465E49">
        <w:trPr>
          <w:trHeight w:val="606"/>
        </w:trPr>
        <w:tc>
          <w:tcPr>
            <w:tcW w:w="5529" w:type="dxa"/>
            <w:vAlign w:val="bottom"/>
          </w:tcPr>
          <w:p w14:paraId="5CE9C074" w14:textId="08890B15" w:rsidR="00095931" w:rsidRPr="00C8129F" w:rsidRDefault="00095931" w:rsidP="00095931">
            <w:pPr>
              <w:pStyle w:val="TT"/>
              <w:rPr>
                <w:rFonts w:cs="Arial"/>
                <w:color w:val="000000" w:themeColor="text1"/>
                <w:sz w:val="20"/>
                <w:lang w:val="hr-HR"/>
              </w:rPr>
            </w:pPr>
            <w:bookmarkStart w:id="34" w:name="_Toc67326691"/>
            <w:r w:rsidRPr="00C8129F">
              <w:rPr>
                <w:rFonts w:cs="Arial"/>
                <w:color w:val="000000" w:themeColor="text1"/>
                <w:sz w:val="20"/>
                <w:lang w:val="hr-HR"/>
              </w:rPr>
              <w:t>Financijska imovina po fer vrijednosti kroz ostalu sveobuhvatnu dobit</w:t>
            </w:r>
            <w:bookmarkEnd w:id="34"/>
          </w:p>
        </w:tc>
        <w:tc>
          <w:tcPr>
            <w:tcW w:w="992" w:type="dxa"/>
            <w:vAlign w:val="bottom"/>
          </w:tcPr>
          <w:p w14:paraId="0E8915E8" w14:textId="77777777" w:rsidR="00095931" w:rsidRPr="00140901" w:rsidRDefault="00095931" w:rsidP="00095931">
            <w:pPr>
              <w:pStyle w:val="TT"/>
              <w:jc w:val="center"/>
              <w:rPr>
                <w:rFonts w:cs="Arial"/>
                <w:snapToGrid w:val="0"/>
                <w:color w:val="000000" w:themeColor="text1"/>
                <w:sz w:val="20"/>
                <w:lang w:val="hr-HR"/>
              </w:rPr>
            </w:pPr>
            <w:bookmarkStart w:id="35" w:name="_Toc67326692"/>
            <w:r w:rsidRPr="00140901">
              <w:rPr>
                <w:rFonts w:cs="Arial"/>
                <w:snapToGrid w:val="0"/>
                <w:color w:val="000000" w:themeColor="text1"/>
                <w:sz w:val="20"/>
                <w:lang w:val="hr-HR"/>
              </w:rPr>
              <w:t>1</w:t>
            </w:r>
            <w:bookmarkEnd w:id="35"/>
            <w:r w:rsidRPr="00140901">
              <w:rPr>
                <w:rFonts w:cs="Arial"/>
                <w:snapToGrid w:val="0"/>
                <w:color w:val="000000" w:themeColor="text1"/>
                <w:sz w:val="20"/>
                <w:lang w:val="hr-HR"/>
              </w:rPr>
              <w:t>4</w:t>
            </w:r>
          </w:p>
        </w:tc>
        <w:tc>
          <w:tcPr>
            <w:tcW w:w="1346" w:type="dxa"/>
            <w:tcBorders>
              <w:top w:val="nil"/>
              <w:left w:val="nil"/>
              <w:bottom w:val="nil"/>
              <w:right w:val="nil"/>
            </w:tcBorders>
            <w:shd w:val="clear" w:color="auto" w:fill="auto"/>
            <w:vAlign w:val="bottom"/>
          </w:tcPr>
          <w:p w14:paraId="3C1A311C" w14:textId="4799A8B4" w:rsidR="00095931" w:rsidRPr="00B57C31" w:rsidRDefault="00095931" w:rsidP="00095931">
            <w:pPr>
              <w:pStyle w:val="TT"/>
              <w:jc w:val="right"/>
              <w:rPr>
                <w:rFonts w:cs="Arial"/>
                <w:color w:val="000000" w:themeColor="text1"/>
                <w:sz w:val="20"/>
                <w:lang w:val="hr-HR"/>
              </w:rPr>
            </w:pPr>
            <w:r w:rsidRPr="005D1219">
              <w:rPr>
                <w:rFonts w:cs="Arial"/>
                <w:color w:val="000000"/>
                <w:sz w:val="20"/>
              </w:rPr>
              <w:t>245.890</w:t>
            </w:r>
          </w:p>
        </w:tc>
        <w:tc>
          <w:tcPr>
            <w:tcW w:w="1347" w:type="dxa"/>
            <w:tcBorders>
              <w:top w:val="nil"/>
              <w:left w:val="nil"/>
              <w:bottom w:val="nil"/>
              <w:right w:val="nil"/>
            </w:tcBorders>
            <w:shd w:val="clear" w:color="auto" w:fill="auto"/>
            <w:vAlign w:val="bottom"/>
          </w:tcPr>
          <w:p w14:paraId="53DAD21E" w14:textId="0EE49A59" w:rsidR="00095931" w:rsidRPr="00C8129F" w:rsidRDefault="00095931" w:rsidP="00095931">
            <w:pPr>
              <w:pStyle w:val="TT"/>
              <w:jc w:val="right"/>
              <w:rPr>
                <w:rFonts w:cs="Arial"/>
                <w:color w:val="000000" w:themeColor="text1"/>
                <w:sz w:val="20"/>
                <w:lang w:val="hr-HR"/>
              </w:rPr>
            </w:pPr>
            <w:r w:rsidRPr="00F959D0">
              <w:rPr>
                <w:sz w:val="20"/>
              </w:rPr>
              <w:t>235.199</w:t>
            </w:r>
          </w:p>
        </w:tc>
      </w:tr>
      <w:tr w:rsidR="00E30482" w:rsidRPr="00C8129F" w14:paraId="139E9B55" w14:textId="77777777" w:rsidTr="005D1219">
        <w:trPr>
          <w:trHeight w:val="303"/>
        </w:trPr>
        <w:tc>
          <w:tcPr>
            <w:tcW w:w="5529" w:type="dxa"/>
            <w:vAlign w:val="bottom"/>
          </w:tcPr>
          <w:p w14:paraId="15CF194B" w14:textId="303427B4" w:rsidR="00E30482" w:rsidRPr="00C8129F" w:rsidRDefault="00E30482" w:rsidP="00E30482">
            <w:pPr>
              <w:pStyle w:val="TT"/>
              <w:rPr>
                <w:rFonts w:cs="Arial"/>
                <w:color w:val="000000" w:themeColor="text1"/>
                <w:sz w:val="20"/>
                <w:lang w:val="hr-HR"/>
              </w:rPr>
            </w:pPr>
            <w:bookmarkStart w:id="36" w:name="_Toc67326703"/>
            <w:r w:rsidRPr="00C8129F">
              <w:rPr>
                <w:rFonts w:cs="Arial"/>
                <w:color w:val="000000" w:themeColor="text1"/>
                <w:sz w:val="20"/>
                <w:lang w:val="hr-HR"/>
              </w:rPr>
              <w:t>Nekretnine, postrojenja i oprema i nematerijalna imovina</w:t>
            </w:r>
            <w:bookmarkEnd w:id="36"/>
          </w:p>
        </w:tc>
        <w:tc>
          <w:tcPr>
            <w:tcW w:w="992" w:type="dxa"/>
            <w:vAlign w:val="bottom"/>
          </w:tcPr>
          <w:p w14:paraId="4509FE01" w14:textId="77777777" w:rsidR="00E30482" w:rsidRPr="00140901" w:rsidRDefault="00E30482" w:rsidP="00E30482">
            <w:pPr>
              <w:pStyle w:val="TT"/>
              <w:rPr>
                <w:rFonts w:cs="Arial"/>
                <w:snapToGrid w:val="0"/>
                <w:color w:val="000000" w:themeColor="text1"/>
                <w:sz w:val="20"/>
                <w:lang w:val="hr-HR"/>
              </w:rPr>
            </w:pPr>
          </w:p>
        </w:tc>
        <w:tc>
          <w:tcPr>
            <w:tcW w:w="1346" w:type="dxa"/>
            <w:tcBorders>
              <w:top w:val="nil"/>
              <w:left w:val="nil"/>
              <w:bottom w:val="nil"/>
              <w:right w:val="nil"/>
            </w:tcBorders>
            <w:shd w:val="clear" w:color="auto" w:fill="auto"/>
            <w:vAlign w:val="center"/>
          </w:tcPr>
          <w:p w14:paraId="2B624933" w14:textId="18EF0B4D" w:rsidR="00E30482" w:rsidRPr="00B57C31" w:rsidRDefault="00E30482" w:rsidP="00E30482">
            <w:pPr>
              <w:pStyle w:val="TT"/>
              <w:jc w:val="right"/>
              <w:rPr>
                <w:rFonts w:cs="Arial"/>
                <w:color w:val="000000" w:themeColor="text1"/>
                <w:sz w:val="20"/>
                <w:lang w:val="hr-HR"/>
              </w:rPr>
            </w:pPr>
            <w:r w:rsidRPr="005D1219">
              <w:rPr>
                <w:rFonts w:cs="Arial"/>
                <w:color w:val="000000"/>
                <w:sz w:val="20"/>
              </w:rPr>
              <w:t>4.955</w:t>
            </w:r>
          </w:p>
        </w:tc>
        <w:tc>
          <w:tcPr>
            <w:tcW w:w="1347" w:type="dxa"/>
            <w:tcBorders>
              <w:top w:val="nil"/>
              <w:left w:val="nil"/>
              <w:bottom w:val="nil"/>
              <w:right w:val="nil"/>
            </w:tcBorders>
            <w:shd w:val="clear" w:color="auto" w:fill="auto"/>
            <w:vAlign w:val="bottom"/>
          </w:tcPr>
          <w:p w14:paraId="749F0563" w14:textId="7302053F" w:rsidR="00E30482" w:rsidRPr="00C8129F" w:rsidRDefault="00E30482" w:rsidP="00E30482">
            <w:pPr>
              <w:pStyle w:val="TT"/>
              <w:jc w:val="right"/>
              <w:rPr>
                <w:rFonts w:cs="Arial"/>
                <w:snapToGrid w:val="0"/>
                <w:color w:val="000000" w:themeColor="text1"/>
                <w:sz w:val="20"/>
                <w:lang w:val="hr-HR"/>
              </w:rPr>
            </w:pPr>
            <w:r w:rsidRPr="00F959D0">
              <w:rPr>
                <w:sz w:val="20"/>
              </w:rPr>
              <w:t>4.868</w:t>
            </w:r>
          </w:p>
        </w:tc>
      </w:tr>
      <w:tr w:rsidR="00E30482" w:rsidRPr="00C8129F" w14:paraId="6BBDD7F6" w14:textId="77777777" w:rsidTr="005D1219">
        <w:trPr>
          <w:trHeight w:val="303"/>
        </w:trPr>
        <w:tc>
          <w:tcPr>
            <w:tcW w:w="5529" w:type="dxa"/>
            <w:vAlign w:val="bottom"/>
          </w:tcPr>
          <w:p w14:paraId="46B9C2CD" w14:textId="09881A2B" w:rsidR="00E30482" w:rsidRPr="00C8129F" w:rsidRDefault="00E30482" w:rsidP="00E30482">
            <w:pPr>
              <w:pStyle w:val="TT"/>
              <w:rPr>
                <w:rFonts w:cs="Arial"/>
                <w:color w:val="000000" w:themeColor="text1"/>
                <w:sz w:val="20"/>
                <w:lang w:val="hr-HR"/>
              </w:rPr>
            </w:pPr>
            <w:bookmarkStart w:id="37" w:name="_Toc67326707"/>
            <w:r w:rsidRPr="00C8129F">
              <w:rPr>
                <w:rFonts w:cs="Arial"/>
                <w:color w:val="000000" w:themeColor="text1"/>
                <w:sz w:val="20"/>
                <w:lang w:val="hr-HR"/>
              </w:rPr>
              <w:t>Preuzeta imovina</w:t>
            </w:r>
            <w:bookmarkEnd w:id="37"/>
          </w:p>
        </w:tc>
        <w:tc>
          <w:tcPr>
            <w:tcW w:w="992" w:type="dxa"/>
            <w:vAlign w:val="bottom"/>
          </w:tcPr>
          <w:p w14:paraId="5F7311C8" w14:textId="77777777" w:rsidR="00E30482" w:rsidRPr="00140901" w:rsidRDefault="00E30482" w:rsidP="00E30482">
            <w:pPr>
              <w:pStyle w:val="TT"/>
              <w:jc w:val="center"/>
              <w:rPr>
                <w:rFonts w:cs="Arial"/>
                <w:snapToGrid w:val="0"/>
                <w:color w:val="000000" w:themeColor="text1"/>
                <w:sz w:val="20"/>
                <w:lang w:val="hr-HR"/>
              </w:rPr>
            </w:pPr>
            <w:r w:rsidRPr="00140901">
              <w:rPr>
                <w:rFonts w:cs="Arial"/>
                <w:snapToGrid w:val="0"/>
                <w:color w:val="000000" w:themeColor="text1"/>
                <w:sz w:val="20"/>
                <w:lang w:val="hr-HR"/>
              </w:rPr>
              <w:t>15</w:t>
            </w:r>
          </w:p>
        </w:tc>
        <w:tc>
          <w:tcPr>
            <w:tcW w:w="1346" w:type="dxa"/>
            <w:tcBorders>
              <w:top w:val="nil"/>
              <w:left w:val="nil"/>
              <w:bottom w:val="nil"/>
              <w:right w:val="nil"/>
            </w:tcBorders>
            <w:shd w:val="clear" w:color="auto" w:fill="auto"/>
            <w:vAlign w:val="center"/>
          </w:tcPr>
          <w:p w14:paraId="5C7E014B" w14:textId="259148F7" w:rsidR="00E30482" w:rsidRPr="00B57C31" w:rsidRDefault="00E30482" w:rsidP="00E30482">
            <w:pPr>
              <w:pStyle w:val="TT"/>
              <w:jc w:val="right"/>
              <w:rPr>
                <w:rFonts w:cs="Arial"/>
                <w:color w:val="000000" w:themeColor="text1"/>
                <w:sz w:val="20"/>
                <w:lang w:val="hr-HR"/>
              </w:rPr>
            </w:pPr>
            <w:r w:rsidRPr="005D1219">
              <w:rPr>
                <w:rFonts w:cs="Arial"/>
                <w:color w:val="000000"/>
                <w:sz w:val="20"/>
              </w:rPr>
              <w:t>2.141</w:t>
            </w:r>
          </w:p>
        </w:tc>
        <w:tc>
          <w:tcPr>
            <w:tcW w:w="1347" w:type="dxa"/>
            <w:tcBorders>
              <w:top w:val="nil"/>
              <w:left w:val="nil"/>
              <w:bottom w:val="nil"/>
              <w:right w:val="nil"/>
            </w:tcBorders>
            <w:shd w:val="clear" w:color="auto" w:fill="auto"/>
            <w:vAlign w:val="bottom"/>
          </w:tcPr>
          <w:p w14:paraId="690479B4" w14:textId="2F903594" w:rsidR="00E30482" w:rsidRPr="00C8129F" w:rsidRDefault="00E30482" w:rsidP="00E30482">
            <w:pPr>
              <w:pStyle w:val="TT"/>
              <w:jc w:val="right"/>
              <w:rPr>
                <w:rFonts w:cs="Arial"/>
                <w:snapToGrid w:val="0"/>
                <w:color w:val="000000" w:themeColor="text1"/>
                <w:sz w:val="20"/>
                <w:lang w:val="hr-HR"/>
              </w:rPr>
            </w:pPr>
            <w:r w:rsidRPr="00F959D0">
              <w:rPr>
                <w:sz w:val="20"/>
              </w:rPr>
              <w:t>2.291</w:t>
            </w:r>
          </w:p>
        </w:tc>
      </w:tr>
      <w:tr w:rsidR="00E30482" w:rsidRPr="00C8129F" w14:paraId="605CF3DE" w14:textId="77777777" w:rsidTr="005D1219">
        <w:trPr>
          <w:trHeight w:val="303"/>
        </w:trPr>
        <w:tc>
          <w:tcPr>
            <w:tcW w:w="5529" w:type="dxa"/>
            <w:vAlign w:val="bottom"/>
          </w:tcPr>
          <w:p w14:paraId="6D12F5F2" w14:textId="183F9367" w:rsidR="00E30482" w:rsidRPr="00C8129F" w:rsidRDefault="00E30482" w:rsidP="00E30482">
            <w:pPr>
              <w:pStyle w:val="TT"/>
              <w:rPr>
                <w:rFonts w:cs="Arial"/>
                <w:color w:val="000000" w:themeColor="text1"/>
                <w:sz w:val="20"/>
                <w:lang w:val="hr-HR"/>
              </w:rPr>
            </w:pPr>
            <w:bookmarkStart w:id="38" w:name="_Toc67326711"/>
            <w:r w:rsidRPr="00C8129F">
              <w:rPr>
                <w:rFonts w:cs="Arial"/>
                <w:color w:val="000000" w:themeColor="text1"/>
                <w:sz w:val="20"/>
                <w:lang w:val="hr-HR"/>
              </w:rPr>
              <w:t>Ostala imovina</w:t>
            </w:r>
            <w:bookmarkEnd w:id="38"/>
          </w:p>
        </w:tc>
        <w:tc>
          <w:tcPr>
            <w:tcW w:w="992" w:type="dxa"/>
            <w:vAlign w:val="bottom"/>
          </w:tcPr>
          <w:p w14:paraId="0B722F3E" w14:textId="77777777" w:rsidR="00E30482" w:rsidRPr="00140901" w:rsidRDefault="00E30482" w:rsidP="00E30482">
            <w:pPr>
              <w:pStyle w:val="TT"/>
              <w:jc w:val="center"/>
              <w:rPr>
                <w:rFonts w:cs="Arial"/>
                <w:snapToGrid w:val="0"/>
                <w:color w:val="000000" w:themeColor="text1"/>
                <w:sz w:val="20"/>
                <w:lang w:val="hr-HR"/>
              </w:rPr>
            </w:pPr>
            <w:r w:rsidRPr="00140901">
              <w:rPr>
                <w:rFonts w:cs="Arial"/>
                <w:snapToGrid w:val="0"/>
                <w:color w:val="000000" w:themeColor="text1"/>
                <w:sz w:val="20"/>
                <w:lang w:val="hr-HR"/>
              </w:rPr>
              <w:t>16</w:t>
            </w:r>
          </w:p>
        </w:tc>
        <w:tc>
          <w:tcPr>
            <w:tcW w:w="1346" w:type="dxa"/>
            <w:tcBorders>
              <w:top w:val="nil"/>
              <w:left w:val="nil"/>
              <w:bottom w:val="nil"/>
              <w:right w:val="nil"/>
            </w:tcBorders>
            <w:shd w:val="clear" w:color="auto" w:fill="auto"/>
            <w:vAlign w:val="center"/>
          </w:tcPr>
          <w:p w14:paraId="368B0769" w14:textId="51A8E3DA" w:rsidR="00E30482" w:rsidRPr="00B57C31" w:rsidRDefault="00E30482" w:rsidP="00E30482">
            <w:pPr>
              <w:pStyle w:val="TT"/>
              <w:jc w:val="right"/>
              <w:rPr>
                <w:rFonts w:cs="Arial"/>
                <w:color w:val="000000" w:themeColor="text1"/>
                <w:sz w:val="20"/>
                <w:lang w:val="hr-HR"/>
              </w:rPr>
            </w:pPr>
            <w:r w:rsidRPr="005D1219">
              <w:rPr>
                <w:rFonts w:cs="Arial"/>
                <w:color w:val="000000"/>
                <w:sz w:val="20"/>
              </w:rPr>
              <w:t>8.265</w:t>
            </w:r>
          </w:p>
        </w:tc>
        <w:tc>
          <w:tcPr>
            <w:tcW w:w="1347" w:type="dxa"/>
            <w:tcBorders>
              <w:top w:val="nil"/>
              <w:left w:val="nil"/>
              <w:bottom w:val="nil"/>
              <w:right w:val="nil"/>
            </w:tcBorders>
            <w:shd w:val="clear" w:color="auto" w:fill="auto"/>
            <w:vAlign w:val="bottom"/>
          </w:tcPr>
          <w:p w14:paraId="0EA80F3B" w14:textId="4A6433A0" w:rsidR="00E30482" w:rsidRPr="00C8129F" w:rsidRDefault="00E30482" w:rsidP="00E30482">
            <w:pPr>
              <w:pStyle w:val="TT"/>
              <w:jc w:val="right"/>
              <w:rPr>
                <w:rFonts w:cs="Arial"/>
                <w:snapToGrid w:val="0"/>
                <w:color w:val="000000" w:themeColor="text1"/>
                <w:sz w:val="20"/>
                <w:lang w:val="hr-HR"/>
              </w:rPr>
            </w:pPr>
            <w:r w:rsidRPr="00F959D0">
              <w:rPr>
                <w:sz w:val="20"/>
              </w:rPr>
              <w:t>12.28</w:t>
            </w:r>
            <w:r>
              <w:rPr>
                <w:sz w:val="20"/>
              </w:rPr>
              <w:t>5</w:t>
            </w:r>
          </w:p>
        </w:tc>
      </w:tr>
      <w:tr w:rsidR="00E30482" w:rsidRPr="00C8129F" w14:paraId="35C6DBFE" w14:textId="77777777" w:rsidTr="00465E49">
        <w:trPr>
          <w:trHeight w:val="380"/>
        </w:trPr>
        <w:tc>
          <w:tcPr>
            <w:tcW w:w="5529" w:type="dxa"/>
            <w:vAlign w:val="bottom"/>
          </w:tcPr>
          <w:p w14:paraId="690476A5" w14:textId="4C3666FD" w:rsidR="00E30482" w:rsidRPr="00C8129F" w:rsidRDefault="00E30482" w:rsidP="00E30482">
            <w:pPr>
              <w:pStyle w:val="Tot"/>
              <w:rPr>
                <w:rFonts w:cs="Arial"/>
                <w:b/>
                <w:bCs/>
                <w:color w:val="000000" w:themeColor="text1"/>
                <w:sz w:val="20"/>
                <w:lang w:val="hr-HR"/>
              </w:rPr>
            </w:pPr>
            <w:bookmarkStart w:id="39" w:name="_Toc67326715"/>
            <w:r w:rsidRPr="00C8129F">
              <w:rPr>
                <w:rFonts w:cs="Arial"/>
                <w:b/>
                <w:bCs/>
                <w:color w:val="000000" w:themeColor="text1"/>
                <w:sz w:val="20"/>
                <w:lang w:val="hr-HR"/>
              </w:rPr>
              <w:t>Ukupna imovina</w:t>
            </w:r>
            <w:bookmarkEnd w:id="39"/>
          </w:p>
        </w:tc>
        <w:tc>
          <w:tcPr>
            <w:tcW w:w="992" w:type="dxa"/>
            <w:vAlign w:val="bottom"/>
          </w:tcPr>
          <w:p w14:paraId="6B488077" w14:textId="77777777" w:rsidR="00E30482" w:rsidRPr="00140901" w:rsidRDefault="00E30482" w:rsidP="00E30482">
            <w:pPr>
              <w:pStyle w:val="TT"/>
              <w:jc w:val="center"/>
              <w:rPr>
                <w:rFonts w:cs="Arial"/>
                <w:snapToGrid w:val="0"/>
                <w:color w:val="000000" w:themeColor="text1"/>
                <w:sz w:val="20"/>
                <w:lang w:val="hr-HR"/>
              </w:rPr>
            </w:pPr>
          </w:p>
        </w:tc>
        <w:tc>
          <w:tcPr>
            <w:tcW w:w="1346" w:type="dxa"/>
            <w:tcBorders>
              <w:top w:val="single" w:sz="2" w:space="0" w:color="auto"/>
              <w:bottom w:val="single" w:sz="12" w:space="0" w:color="auto"/>
            </w:tcBorders>
            <w:vAlign w:val="bottom"/>
          </w:tcPr>
          <w:p w14:paraId="57753DFB" w14:textId="3667696B" w:rsidR="00E30482" w:rsidRPr="00B57C31" w:rsidRDefault="00E30482" w:rsidP="00E30482">
            <w:pPr>
              <w:pStyle w:val="Tot"/>
              <w:jc w:val="right"/>
              <w:rPr>
                <w:rFonts w:cs="Arial"/>
                <w:b/>
                <w:bCs/>
                <w:color w:val="000000" w:themeColor="text1"/>
                <w:sz w:val="20"/>
                <w:lang w:val="hr-HR"/>
              </w:rPr>
            </w:pPr>
            <w:r w:rsidRPr="00B57C31">
              <w:rPr>
                <w:rFonts w:cs="Arial"/>
                <w:b/>
                <w:bCs/>
                <w:color w:val="000000" w:themeColor="text1"/>
                <w:sz w:val="20"/>
                <w:lang w:val="hr-HR"/>
              </w:rPr>
              <w:t>3.997.505</w:t>
            </w:r>
          </w:p>
        </w:tc>
        <w:tc>
          <w:tcPr>
            <w:tcW w:w="1347" w:type="dxa"/>
            <w:tcBorders>
              <w:top w:val="single" w:sz="2" w:space="0" w:color="auto"/>
              <w:bottom w:val="single" w:sz="12" w:space="0" w:color="auto"/>
            </w:tcBorders>
            <w:vAlign w:val="bottom"/>
          </w:tcPr>
          <w:p w14:paraId="47D79DA0" w14:textId="011D5832" w:rsidR="00E30482" w:rsidRPr="00C8129F" w:rsidRDefault="00E30482" w:rsidP="00E30482">
            <w:pPr>
              <w:pStyle w:val="Tot"/>
              <w:jc w:val="right"/>
              <w:rPr>
                <w:rFonts w:cs="Arial"/>
                <w:b/>
                <w:bCs/>
                <w:color w:val="000000" w:themeColor="text1"/>
                <w:sz w:val="20"/>
                <w:lang w:val="hr-HR"/>
              </w:rPr>
            </w:pPr>
            <w:r w:rsidRPr="00D16DD5">
              <w:rPr>
                <w:rFonts w:cs="Arial"/>
                <w:b/>
                <w:bCs/>
                <w:color w:val="000000" w:themeColor="text1"/>
                <w:sz w:val="20"/>
                <w:lang w:val="hr-HR"/>
              </w:rPr>
              <w:t>4.021.53</w:t>
            </w:r>
            <w:r>
              <w:rPr>
                <w:rFonts w:cs="Arial"/>
                <w:b/>
                <w:bCs/>
                <w:color w:val="000000" w:themeColor="text1"/>
                <w:sz w:val="20"/>
                <w:lang w:val="hr-HR"/>
              </w:rPr>
              <w:t>6</w:t>
            </w:r>
          </w:p>
        </w:tc>
      </w:tr>
      <w:tr w:rsidR="00E30482" w:rsidRPr="00C8129F" w14:paraId="6A6F63C2" w14:textId="77777777" w:rsidTr="00465E49">
        <w:trPr>
          <w:trHeight w:val="291"/>
        </w:trPr>
        <w:tc>
          <w:tcPr>
            <w:tcW w:w="5529" w:type="dxa"/>
            <w:vAlign w:val="bottom"/>
          </w:tcPr>
          <w:p w14:paraId="28F26316" w14:textId="55440D20" w:rsidR="00E30482" w:rsidRPr="00C8129F" w:rsidRDefault="00E30482" w:rsidP="00E30482">
            <w:pPr>
              <w:pStyle w:val="TT"/>
              <w:rPr>
                <w:rFonts w:cs="Arial"/>
                <w:b/>
                <w:bCs/>
                <w:color w:val="000000" w:themeColor="text1"/>
                <w:sz w:val="20"/>
                <w:lang w:val="hr-HR"/>
              </w:rPr>
            </w:pPr>
            <w:bookmarkStart w:id="40" w:name="_Toc67326718"/>
            <w:r w:rsidRPr="00C8129F">
              <w:rPr>
                <w:rFonts w:cs="Arial"/>
                <w:b/>
                <w:bCs/>
                <w:color w:val="000000" w:themeColor="text1"/>
                <w:sz w:val="20"/>
                <w:lang w:val="hr-HR"/>
              </w:rPr>
              <w:t>Obveze</w:t>
            </w:r>
            <w:bookmarkEnd w:id="40"/>
          </w:p>
        </w:tc>
        <w:tc>
          <w:tcPr>
            <w:tcW w:w="992" w:type="dxa"/>
            <w:vAlign w:val="bottom"/>
          </w:tcPr>
          <w:p w14:paraId="75D0053A" w14:textId="77777777" w:rsidR="00E30482" w:rsidRPr="00140901" w:rsidRDefault="00E30482" w:rsidP="00E30482">
            <w:pPr>
              <w:pStyle w:val="TT"/>
              <w:jc w:val="center"/>
              <w:rPr>
                <w:rFonts w:cs="Arial"/>
                <w:snapToGrid w:val="0"/>
                <w:color w:val="000000" w:themeColor="text1"/>
                <w:sz w:val="20"/>
                <w:lang w:val="hr-HR"/>
              </w:rPr>
            </w:pPr>
          </w:p>
        </w:tc>
        <w:tc>
          <w:tcPr>
            <w:tcW w:w="1346" w:type="dxa"/>
            <w:vAlign w:val="bottom"/>
          </w:tcPr>
          <w:p w14:paraId="486571CA" w14:textId="77777777" w:rsidR="00E30482" w:rsidRPr="00B57C31" w:rsidRDefault="00E30482" w:rsidP="00E30482">
            <w:pPr>
              <w:pStyle w:val="TT"/>
              <w:jc w:val="right"/>
              <w:rPr>
                <w:rFonts w:cs="Arial"/>
                <w:b/>
                <w:bCs/>
                <w:color w:val="000000" w:themeColor="text1"/>
                <w:sz w:val="20"/>
                <w:lang w:val="hr-HR"/>
              </w:rPr>
            </w:pPr>
          </w:p>
        </w:tc>
        <w:tc>
          <w:tcPr>
            <w:tcW w:w="1347" w:type="dxa"/>
            <w:vAlign w:val="bottom"/>
          </w:tcPr>
          <w:p w14:paraId="76CB25A0" w14:textId="77777777" w:rsidR="00E30482" w:rsidRPr="00C8129F" w:rsidRDefault="00E30482" w:rsidP="00E30482">
            <w:pPr>
              <w:pStyle w:val="TT"/>
              <w:jc w:val="right"/>
              <w:rPr>
                <w:rFonts w:cs="Arial"/>
                <w:b/>
                <w:bCs/>
                <w:color w:val="000000" w:themeColor="text1"/>
                <w:sz w:val="20"/>
                <w:lang w:val="hr-HR"/>
              </w:rPr>
            </w:pPr>
          </w:p>
        </w:tc>
      </w:tr>
      <w:tr w:rsidR="00BC475D" w:rsidRPr="00C8129F" w14:paraId="7D554AF4" w14:textId="77777777" w:rsidTr="005D1219">
        <w:trPr>
          <w:trHeight w:val="303"/>
        </w:trPr>
        <w:tc>
          <w:tcPr>
            <w:tcW w:w="5529" w:type="dxa"/>
            <w:vAlign w:val="bottom"/>
          </w:tcPr>
          <w:p w14:paraId="4E52F466" w14:textId="42EDC4B3" w:rsidR="00BC475D" w:rsidRPr="00C8129F" w:rsidRDefault="00BC475D" w:rsidP="00BC475D">
            <w:pPr>
              <w:pStyle w:val="TT"/>
              <w:rPr>
                <w:rFonts w:cs="Arial"/>
                <w:color w:val="000000" w:themeColor="text1"/>
                <w:sz w:val="20"/>
                <w:lang w:val="hr-HR"/>
              </w:rPr>
            </w:pPr>
            <w:bookmarkStart w:id="41" w:name="_Toc67326719"/>
            <w:r w:rsidRPr="00C8129F">
              <w:rPr>
                <w:rFonts w:cs="Arial"/>
                <w:color w:val="000000" w:themeColor="text1"/>
                <w:sz w:val="20"/>
                <w:lang w:val="hr-HR"/>
              </w:rPr>
              <w:t>Obveze po depozitima</w:t>
            </w:r>
            <w:bookmarkEnd w:id="41"/>
          </w:p>
        </w:tc>
        <w:tc>
          <w:tcPr>
            <w:tcW w:w="992" w:type="dxa"/>
            <w:vAlign w:val="bottom"/>
          </w:tcPr>
          <w:p w14:paraId="5F76CE9C" w14:textId="77777777" w:rsidR="00BC475D" w:rsidRPr="00140901" w:rsidRDefault="00BC475D" w:rsidP="00BC475D">
            <w:pPr>
              <w:pStyle w:val="TT"/>
              <w:jc w:val="center"/>
              <w:rPr>
                <w:rFonts w:cs="Arial"/>
                <w:snapToGrid w:val="0"/>
                <w:color w:val="000000" w:themeColor="text1"/>
                <w:sz w:val="20"/>
                <w:lang w:val="hr-HR"/>
              </w:rPr>
            </w:pPr>
            <w:r w:rsidRPr="00140901">
              <w:rPr>
                <w:rFonts w:cs="Arial"/>
                <w:snapToGrid w:val="0"/>
                <w:color w:val="000000" w:themeColor="text1"/>
                <w:sz w:val="20"/>
                <w:lang w:val="hr-HR"/>
              </w:rPr>
              <w:t>17</w:t>
            </w:r>
          </w:p>
        </w:tc>
        <w:tc>
          <w:tcPr>
            <w:tcW w:w="1346" w:type="dxa"/>
            <w:tcBorders>
              <w:top w:val="nil"/>
              <w:left w:val="nil"/>
              <w:bottom w:val="nil"/>
              <w:right w:val="nil"/>
            </w:tcBorders>
            <w:shd w:val="clear" w:color="auto" w:fill="auto"/>
            <w:vAlign w:val="center"/>
          </w:tcPr>
          <w:p w14:paraId="6BE1238A" w14:textId="09AC30DD" w:rsidR="00BC475D" w:rsidRPr="00B57C31" w:rsidRDefault="00BC475D" w:rsidP="00BC475D">
            <w:pPr>
              <w:pStyle w:val="TT"/>
              <w:jc w:val="right"/>
              <w:rPr>
                <w:rFonts w:cs="Arial"/>
                <w:color w:val="000000" w:themeColor="text1"/>
                <w:sz w:val="20"/>
                <w:lang w:val="hr-HR"/>
              </w:rPr>
            </w:pPr>
            <w:r w:rsidRPr="005D1219">
              <w:rPr>
                <w:rFonts w:cs="Arial"/>
                <w:color w:val="000000"/>
                <w:sz w:val="20"/>
              </w:rPr>
              <w:t>178.509</w:t>
            </w:r>
          </w:p>
        </w:tc>
        <w:tc>
          <w:tcPr>
            <w:tcW w:w="1347" w:type="dxa"/>
            <w:tcBorders>
              <w:top w:val="nil"/>
              <w:left w:val="nil"/>
              <w:bottom w:val="nil"/>
              <w:right w:val="nil"/>
            </w:tcBorders>
            <w:shd w:val="clear" w:color="auto" w:fill="auto"/>
            <w:vAlign w:val="bottom"/>
          </w:tcPr>
          <w:p w14:paraId="371D626A" w14:textId="387F83E9" w:rsidR="00BC475D" w:rsidRPr="00C8129F" w:rsidRDefault="00BC475D" w:rsidP="00BC475D">
            <w:pPr>
              <w:pStyle w:val="TT"/>
              <w:jc w:val="right"/>
              <w:rPr>
                <w:rFonts w:cs="Arial"/>
                <w:color w:val="000000" w:themeColor="text1"/>
                <w:sz w:val="20"/>
                <w:lang w:val="hr-HR"/>
              </w:rPr>
            </w:pPr>
            <w:r w:rsidRPr="00F959D0">
              <w:rPr>
                <w:sz w:val="20"/>
              </w:rPr>
              <w:t>194.876</w:t>
            </w:r>
          </w:p>
        </w:tc>
      </w:tr>
      <w:tr w:rsidR="00BC475D" w:rsidRPr="00C8129F" w14:paraId="642AE7C4" w14:textId="77777777" w:rsidTr="005D1219">
        <w:trPr>
          <w:trHeight w:val="303"/>
        </w:trPr>
        <w:tc>
          <w:tcPr>
            <w:tcW w:w="5529" w:type="dxa"/>
            <w:vAlign w:val="bottom"/>
          </w:tcPr>
          <w:p w14:paraId="4C2979A9" w14:textId="5A6F7C82" w:rsidR="00BC475D" w:rsidRPr="00C8129F" w:rsidRDefault="00BC475D" w:rsidP="00BC475D">
            <w:pPr>
              <w:pStyle w:val="TT"/>
              <w:rPr>
                <w:rFonts w:cs="Arial"/>
                <w:color w:val="000000" w:themeColor="text1"/>
                <w:sz w:val="20"/>
                <w:lang w:val="hr-HR"/>
              </w:rPr>
            </w:pPr>
            <w:bookmarkStart w:id="42" w:name="_Toc67326723"/>
            <w:r w:rsidRPr="00C8129F">
              <w:rPr>
                <w:rFonts w:cs="Arial"/>
                <w:color w:val="000000" w:themeColor="text1"/>
                <w:sz w:val="20"/>
                <w:lang w:val="hr-HR"/>
              </w:rPr>
              <w:t>Obveze po kreditima</w:t>
            </w:r>
            <w:bookmarkEnd w:id="42"/>
          </w:p>
        </w:tc>
        <w:tc>
          <w:tcPr>
            <w:tcW w:w="992" w:type="dxa"/>
            <w:vAlign w:val="bottom"/>
          </w:tcPr>
          <w:p w14:paraId="6E2D2E85" w14:textId="77777777" w:rsidR="00BC475D" w:rsidRPr="00140901" w:rsidRDefault="00BC475D" w:rsidP="00BC475D">
            <w:pPr>
              <w:pStyle w:val="TT"/>
              <w:jc w:val="center"/>
              <w:rPr>
                <w:rFonts w:cs="Arial"/>
                <w:snapToGrid w:val="0"/>
                <w:color w:val="000000" w:themeColor="text1"/>
                <w:sz w:val="20"/>
                <w:lang w:val="hr-HR"/>
              </w:rPr>
            </w:pPr>
            <w:r w:rsidRPr="00140901">
              <w:rPr>
                <w:rFonts w:cs="Arial"/>
                <w:snapToGrid w:val="0"/>
                <w:color w:val="000000" w:themeColor="text1"/>
                <w:sz w:val="20"/>
                <w:lang w:val="hr-HR"/>
              </w:rPr>
              <w:t>18</w:t>
            </w:r>
          </w:p>
        </w:tc>
        <w:tc>
          <w:tcPr>
            <w:tcW w:w="1346" w:type="dxa"/>
            <w:tcBorders>
              <w:top w:val="nil"/>
              <w:left w:val="nil"/>
              <w:bottom w:val="nil"/>
              <w:right w:val="nil"/>
            </w:tcBorders>
            <w:shd w:val="clear" w:color="auto" w:fill="auto"/>
            <w:vAlign w:val="center"/>
          </w:tcPr>
          <w:p w14:paraId="565E9442" w14:textId="2DDB5458" w:rsidR="00BC475D" w:rsidRPr="00B57C31" w:rsidRDefault="00BC475D" w:rsidP="00BC475D">
            <w:pPr>
              <w:pStyle w:val="TT"/>
              <w:jc w:val="right"/>
              <w:rPr>
                <w:rFonts w:cs="Arial"/>
                <w:color w:val="000000" w:themeColor="text1"/>
                <w:sz w:val="20"/>
                <w:lang w:val="hr-HR"/>
              </w:rPr>
            </w:pPr>
            <w:r w:rsidRPr="005D1219">
              <w:rPr>
                <w:rFonts w:cs="Arial"/>
                <w:color w:val="000000"/>
                <w:sz w:val="20"/>
              </w:rPr>
              <w:t>2.229.329</w:t>
            </w:r>
          </w:p>
        </w:tc>
        <w:tc>
          <w:tcPr>
            <w:tcW w:w="1347" w:type="dxa"/>
            <w:tcBorders>
              <w:top w:val="nil"/>
              <w:left w:val="nil"/>
              <w:bottom w:val="nil"/>
              <w:right w:val="nil"/>
            </w:tcBorders>
            <w:shd w:val="clear" w:color="auto" w:fill="auto"/>
            <w:vAlign w:val="bottom"/>
          </w:tcPr>
          <w:p w14:paraId="056A9035" w14:textId="0EF4526C" w:rsidR="00BC475D" w:rsidRPr="00C8129F" w:rsidRDefault="00BC475D" w:rsidP="00BC475D">
            <w:pPr>
              <w:pStyle w:val="TT"/>
              <w:jc w:val="right"/>
              <w:rPr>
                <w:rFonts w:cs="Arial"/>
                <w:color w:val="000000" w:themeColor="text1"/>
                <w:sz w:val="20"/>
                <w:lang w:val="hr-HR"/>
              </w:rPr>
            </w:pPr>
            <w:r w:rsidRPr="00F959D0">
              <w:rPr>
                <w:sz w:val="20"/>
              </w:rPr>
              <w:t>2.251.176</w:t>
            </w:r>
          </w:p>
        </w:tc>
      </w:tr>
      <w:tr w:rsidR="00BC475D" w:rsidRPr="00C8129F" w14:paraId="09DB8330" w14:textId="77777777" w:rsidTr="005D1219">
        <w:trPr>
          <w:trHeight w:val="303"/>
        </w:trPr>
        <w:tc>
          <w:tcPr>
            <w:tcW w:w="5529" w:type="dxa"/>
            <w:vAlign w:val="bottom"/>
          </w:tcPr>
          <w:p w14:paraId="5D0A31FA" w14:textId="563E19DA" w:rsidR="00BC475D" w:rsidRPr="00C8129F" w:rsidRDefault="00BC475D" w:rsidP="00BC475D">
            <w:pPr>
              <w:pStyle w:val="TT"/>
              <w:rPr>
                <w:rFonts w:cs="Arial"/>
                <w:color w:val="000000" w:themeColor="text1"/>
                <w:sz w:val="20"/>
                <w:lang w:val="hr-HR"/>
              </w:rPr>
            </w:pPr>
            <w:bookmarkStart w:id="43" w:name="_Toc67326731"/>
            <w:r w:rsidRPr="00C8129F">
              <w:rPr>
                <w:rFonts w:cs="Arial"/>
                <w:color w:val="000000" w:themeColor="text1"/>
                <w:sz w:val="20"/>
                <w:lang w:val="hr-HR"/>
              </w:rPr>
              <w:t>Rezerviranja za garancije, preuzete i ostale obveze</w:t>
            </w:r>
            <w:bookmarkEnd w:id="43"/>
          </w:p>
        </w:tc>
        <w:tc>
          <w:tcPr>
            <w:tcW w:w="992" w:type="dxa"/>
            <w:vAlign w:val="bottom"/>
          </w:tcPr>
          <w:p w14:paraId="6B2C339C" w14:textId="77777777" w:rsidR="00BC475D" w:rsidRPr="00140901" w:rsidRDefault="00BC475D" w:rsidP="00BC475D">
            <w:pPr>
              <w:pStyle w:val="TT"/>
              <w:jc w:val="center"/>
              <w:rPr>
                <w:rFonts w:cs="Arial"/>
                <w:snapToGrid w:val="0"/>
                <w:color w:val="000000" w:themeColor="text1"/>
                <w:sz w:val="20"/>
                <w:lang w:val="hr-HR"/>
              </w:rPr>
            </w:pPr>
            <w:r w:rsidRPr="00140901">
              <w:rPr>
                <w:rFonts w:cs="Arial"/>
                <w:snapToGrid w:val="0"/>
                <w:color w:val="000000" w:themeColor="text1"/>
                <w:sz w:val="20"/>
                <w:lang w:val="hr-HR"/>
              </w:rPr>
              <w:t>19</w:t>
            </w:r>
          </w:p>
        </w:tc>
        <w:tc>
          <w:tcPr>
            <w:tcW w:w="1346" w:type="dxa"/>
            <w:tcBorders>
              <w:top w:val="nil"/>
              <w:left w:val="nil"/>
              <w:bottom w:val="nil"/>
              <w:right w:val="nil"/>
            </w:tcBorders>
            <w:shd w:val="clear" w:color="auto" w:fill="auto"/>
            <w:vAlign w:val="center"/>
          </w:tcPr>
          <w:p w14:paraId="19C4E82D" w14:textId="523F8770" w:rsidR="00BC475D" w:rsidRPr="00B57C31" w:rsidDel="00D96056" w:rsidRDefault="00BC475D" w:rsidP="00BC475D">
            <w:pPr>
              <w:pStyle w:val="TT"/>
              <w:jc w:val="right"/>
              <w:rPr>
                <w:rFonts w:cs="Arial"/>
                <w:color w:val="000000" w:themeColor="text1"/>
                <w:sz w:val="20"/>
                <w:lang w:val="hr-HR"/>
              </w:rPr>
            </w:pPr>
            <w:r w:rsidRPr="005D1219">
              <w:rPr>
                <w:rFonts w:cs="Arial"/>
                <w:color w:val="000000"/>
                <w:sz w:val="20"/>
              </w:rPr>
              <w:t>21.833</w:t>
            </w:r>
          </w:p>
        </w:tc>
        <w:tc>
          <w:tcPr>
            <w:tcW w:w="1347" w:type="dxa"/>
            <w:tcBorders>
              <w:top w:val="nil"/>
              <w:left w:val="nil"/>
              <w:bottom w:val="nil"/>
              <w:right w:val="nil"/>
            </w:tcBorders>
            <w:shd w:val="clear" w:color="auto" w:fill="auto"/>
            <w:vAlign w:val="bottom"/>
          </w:tcPr>
          <w:p w14:paraId="320BCD9B" w14:textId="4E0AA55E" w:rsidR="00BC475D" w:rsidRPr="00C8129F" w:rsidRDefault="00BC475D" w:rsidP="00BC475D">
            <w:pPr>
              <w:pStyle w:val="TT"/>
              <w:jc w:val="right"/>
              <w:rPr>
                <w:rFonts w:cs="Arial"/>
                <w:color w:val="000000" w:themeColor="text1"/>
                <w:sz w:val="20"/>
                <w:lang w:val="hr-HR"/>
              </w:rPr>
            </w:pPr>
            <w:r w:rsidRPr="00F959D0">
              <w:rPr>
                <w:sz w:val="20"/>
              </w:rPr>
              <w:t>24.382</w:t>
            </w:r>
          </w:p>
        </w:tc>
      </w:tr>
      <w:tr w:rsidR="00BC475D" w:rsidRPr="00C8129F" w14:paraId="31FBA693" w14:textId="77777777" w:rsidTr="005D1219">
        <w:trPr>
          <w:trHeight w:val="303"/>
        </w:trPr>
        <w:tc>
          <w:tcPr>
            <w:tcW w:w="5529" w:type="dxa"/>
            <w:vAlign w:val="bottom"/>
          </w:tcPr>
          <w:p w14:paraId="45446DAD" w14:textId="066CB5AC" w:rsidR="00BC475D" w:rsidRPr="00C8129F" w:rsidRDefault="00BC475D" w:rsidP="00BC475D">
            <w:pPr>
              <w:pStyle w:val="TT"/>
              <w:rPr>
                <w:rFonts w:cs="Arial"/>
                <w:color w:val="000000" w:themeColor="text1"/>
                <w:sz w:val="20"/>
                <w:lang w:val="hr-HR"/>
              </w:rPr>
            </w:pPr>
            <w:bookmarkStart w:id="44" w:name="_Toc67326735"/>
            <w:r w:rsidRPr="00C8129F">
              <w:rPr>
                <w:rFonts w:cs="Arial"/>
                <w:color w:val="000000" w:themeColor="text1"/>
                <w:sz w:val="20"/>
                <w:lang w:val="hr-HR"/>
              </w:rPr>
              <w:t>Ostale obveze</w:t>
            </w:r>
            <w:bookmarkEnd w:id="44"/>
          </w:p>
        </w:tc>
        <w:tc>
          <w:tcPr>
            <w:tcW w:w="992" w:type="dxa"/>
            <w:vAlign w:val="bottom"/>
          </w:tcPr>
          <w:p w14:paraId="6D306A40" w14:textId="77777777" w:rsidR="00BC475D" w:rsidRPr="00140901" w:rsidRDefault="00BC475D" w:rsidP="00BC475D">
            <w:pPr>
              <w:pStyle w:val="TT"/>
              <w:jc w:val="center"/>
              <w:rPr>
                <w:rFonts w:cs="Arial"/>
                <w:snapToGrid w:val="0"/>
                <w:color w:val="000000" w:themeColor="text1"/>
                <w:sz w:val="20"/>
                <w:lang w:val="hr-HR"/>
              </w:rPr>
            </w:pPr>
            <w:bookmarkStart w:id="45" w:name="_Toc67326736"/>
            <w:r w:rsidRPr="00140901">
              <w:rPr>
                <w:rFonts w:cs="Arial"/>
                <w:snapToGrid w:val="0"/>
                <w:color w:val="000000" w:themeColor="text1"/>
                <w:sz w:val="20"/>
                <w:lang w:val="hr-HR"/>
              </w:rPr>
              <w:t>2</w:t>
            </w:r>
            <w:bookmarkEnd w:id="45"/>
            <w:r w:rsidRPr="00140901">
              <w:rPr>
                <w:rFonts w:cs="Arial"/>
                <w:snapToGrid w:val="0"/>
                <w:color w:val="000000" w:themeColor="text1"/>
                <w:sz w:val="20"/>
                <w:lang w:val="hr-HR"/>
              </w:rPr>
              <w:t>0</w:t>
            </w:r>
          </w:p>
        </w:tc>
        <w:tc>
          <w:tcPr>
            <w:tcW w:w="1346" w:type="dxa"/>
            <w:tcBorders>
              <w:top w:val="nil"/>
              <w:left w:val="nil"/>
              <w:bottom w:val="nil"/>
              <w:right w:val="nil"/>
            </w:tcBorders>
            <w:shd w:val="clear" w:color="auto" w:fill="auto"/>
            <w:vAlign w:val="center"/>
          </w:tcPr>
          <w:p w14:paraId="7569025F" w14:textId="6A3BBADD" w:rsidR="00BC475D" w:rsidRPr="00B57C31" w:rsidRDefault="00BC475D" w:rsidP="00BC475D">
            <w:pPr>
              <w:pStyle w:val="TT"/>
              <w:jc w:val="right"/>
              <w:rPr>
                <w:rFonts w:cs="Arial"/>
                <w:color w:val="000000" w:themeColor="text1"/>
                <w:sz w:val="20"/>
                <w:lang w:val="hr-HR"/>
              </w:rPr>
            </w:pPr>
            <w:r w:rsidRPr="005D1219">
              <w:rPr>
                <w:rFonts w:cs="Arial"/>
                <w:sz w:val="20"/>
              </w:rPr>
              <w:t>92.911</w:t>
            </w:r>
          </w:p>
        </w:tc>
        <w:tc>
          <w:tcPr>
            <w:tcW w:w="1347" w:type="dxa"/>
            <w:tcBorders>
              <w:top w:val="nil"/>
              <w:left w:val="nil"/>
              <w:bottom w:val="single" w:sz="4" w:space="0" w:color="auto"/>
              <w:right w:val="nil"/>
            </w:tcBorders>
            <w:shd w:val="clear" w:color="auto" w:fill="auto"/>
            <w:vAlign w:val="bottom"/>
          </w:tcPr>
          <w:p w14:paraId="588CF0B8" w14:textId="0976E077" w:rsidR="00BC475D" w:rsidRPr="00C8129F" w:rsidRDefault="00BC475D" w:rsidP="00BC475D">
            <w:pPr>
              <w:pStyle w:val="TT"/>
              <w:jc w:val="right"/>
              <w:rPr>
                <w:rFonts w:cs="Arial"/>
                <w:color w:val="000000" w:themeColor="text1"/>
                <w:sz w:val="20"/>
                <w:lang w:val="hr-HR"/>
              </w:rPr>
            </w:pPr>
            <w:r w:rsidRPr="00F959D0">
              <w:rPr>
                <w:sz w:val="20"/>
              </w:rPr>
              <w:t>93.22</w:t>
            </w:r>
            <w:r>
              <w:rPr>
                <w:sz w:val="20"/>
              </w:rPr>
              <w:t>3</w:t>
            </w:r>
          </w:p>
        </w:tc>
      </w:tr>
      <w:tr w:rsidR="00BC475D" w:rsidRPr="00C8129F" w14:paraId="2D0906BE" w14:textId="77777777" w:rsidTr="00465E49">
        <w:trPr>
          <w:trHeight w:val="341"/>
        </w:trPr>
        <w:tc>
          <w:tcPr>
            <w:tcW w:w="5529" w:type="dxa"/>
            <w:vAlign w:val="bottom"/>
          </w:tcPr>
          <w:p w14:paraId="1E32262D" w14:textId="4EC71E84" w:rsidR="00BC475D" w:rsidRPr="00C8129F" w:rsidRDefault="00BC475D" w:rsidP="00BC475D">
            <w:pPr>
              <w:pStyle w:val="Tot"/>
              <w:rPr>
                <w:rFonts w:cs="Arial"/>
                <w:b/>
                <w:bCs/>
                <w:color w:val="000000" w:themeColor="text1"/>
                <w:sz w:val="20"/>
                <w:lang w:val="hr-HR"/>
              </w:rPr>
            </w:pPr>
            <w:bookmarkStart w:id="46" w:name="_Toc67326739"/>
            <w:r w:rsidRPr="00C8129F">
              <w:rPr>
                <w:rFonts w:cs="Arial"/>
                <w:b/>
                <w:bCs/>
                <w:color w:val="000000" w:themeColor="text1"/>
                <w:sz w:val="20"/>
                <w:lang w:val="hr-HR"/>
              </w:rPr>
              <w:t>Ukupne obveze</w:t>
            </w:r>
            <w:bookmarkEnd w:id="46"/>
          </w:p>
        </w:tc>
        <w:tc>
          <w:tcPr>
            <w:tcW w:w="992" w:type="dxa"/>
            <w:vAlign w:val="bottom"/>
          </w:tcPr>
          <w:p w14:paraId="04EF5ED9" w14:textId="77777777" w:rsidR="00BC475D" w:rsidRPr="00C8129F" w:rsidRDefault="00BC475D" w:rsidP="00BC475D">
            <w:pPr>
              <w:pStyle w:val="TT"/>
              <w:jc w:val="center"/>
              <w:rPr>
                <w:rFonts w:cs="Arial"/>
                <w:snapToGrid w:val="0"/>
                <w:color w:val="000000" w:themeColor="text1"/>
                <w:sz w:val="20"/>
                <w:highlight w:val="yellow"/>
                <w:lang w:val="hr-HR"/>
              </w:rPr>
            </w:pPr>
          </w:p>
        </w:tc>
        <w:tc>
          <w:tcPr>
            <w:tcW w:w="1346" w:type="dxa"/>
            <w:tcBorders>
              <w:top w:val="single" w:sz="4" w:space="0" w:color="auto"/>
              <w:left w:val="nil"/>
              <w:bottom w:val="single" w:sz="12" w:space="0" w:color="auto"/>
              <w:right w:val="nil"/>
            </w:tcBorders>
            <w:shd w:val="clear" w:color="auto" w:fill="auto"/>
            <w:vAlign w:val="bottom"/>
          </w:tcPr>
          <w:p w14:paraId="6E165DC8" w14:textId="70C93E08" w:rsidR="00BC475D" w:rsidRPr="00B57C31" w:rsidRDefault="00BC475D" w:rsidP="00BC475D">
            <w:pPr>
              <w:pStyle w:val="Tot"/>
              <w:jc w:val="right"/>
              <w:rPr>
                <w:rFonts w:cs="Arial"/>
                <w:b/>
                <w:bCs/>
                <w:color w:val="000000" w:themeColor="text1"/>
                <w:sz w:val="20"/>
                <w:lang w:val="hr-HR"/>
              </w:rPr>
            </w:pPr>
            <w:r w:rsidRPr="00B57C31">
              <w:rPr>
                <w:rFonts w:cs="Arial"/>
                <w:b/>
                <w:bCs/>
                <w:color w:val="000000" w:themeColor="text1"/>
                <w:sz w:val="20"/>
                <w:lang w:val="hr-HR"/>
              </w:rPr>
              <w:t>2.522.582</w:t>
            </w:r>
          </w:p>
        </w:tc>
        <w:tc>
          <w:tcPr>
            <w:tcW w:w="1347" w:type="dxa"/>
            <w:tcBorders>
              <w:top w:val="single" w:sz="4" w:space="0" w:color="auto"/>
              <w:left w:val="nil"/>
              <w:bottom w:val="single" w:sz="12" w:space="0" w:color="auto"/>
              <w:right w:val="nil"/>
            </w:tcBorders>
            <w:shd w:val="clear" w:color="auto" w:fill="auto"/>
            <w:vAlign w:val="bottom"/>
          </w:tcPr>
          <w:p w14:paraId="6B18AF46" w14:textId="308DFC7D" w:rsidR="00BC475D" w:rsidRPr="00C8129F" w:rsidRDefault="00BC475D" w:rsidP="00BC475D">
            <w:pPr>
              <w:pStyle w:val="Tot"/>
              <w:jc w:val="right"/>
              <w:rPr>
                <w:rFonts w:cs="Arial"/>
                <w:b/>
                <w:bCs/>
                <w:color w:val="000000" w:themeColor="text1"/>
                <w:sz w:val="20"/>
                <w:lang w:val="hr-HR"/>
              </w:rPr>
            </w:pPr>
            <w:r w:rsidRPr="00D16DD5">
              <w:rPr>
                <w:rFonts w:cs="Arial"/>
                <w:b/>
                <w:bCs/>
                <w:color w:val="000000" w:themeColor="text1"/>
                <w:sz w:val="20"/>
                <w:lang w:val="hr-HR"/>
              </w:rPr>
              <w:t>2.563.65</w:t>
            </w:r>
            <w:r>
              <w:rPr>
                <w:rFonts w:cs="Arial"/>
                <w:b/>
                <w:bCs/>
                <w:color w:val="000000" w:themeColor="text1"/>
                <w:sz w:val="20"/>
                <w:lang w:val="hr-HR"/>
              </w:rPr>
              <w:t>7</w:t>
            </w:r>
          </w:p>
        </w:tc>
      </w:tr>
      <w:tr w:rsidR="00BC475D" w:rsidRPr="00C8129F" w14:paraId="58F9AAB3" w14:textId="77777777" w:rsidTr="00465E49">
        <w:trPr>
          <w:trHeight w:val="303"/>
        </w:trPr>
        <w:tc>
          <w:tcPr>
            <w:tcW w:w="5529" w:type="dxa"/>
            <w:vAlign w:val="bottom"/>
          </w:tcPr>
          <w:p w14:paraId="4E5479AB" w14:textId="1EFA5E33" w:rsidR="00BC475D" w:rsidRPr="00C8129F" w:rsidRDefault="00BC475D" w:rsidP="00BC475D">
            <w:pPr>
              <w:pStyle w:val="TT"/>
              <w:rPr>
                <w:rFonts w:cs="Arial"/>
                <w:b/>
                <w:bCs/>
                <w:color w:val="000000" w:themeColor="text1"/>
                <w:sz w:val="20"/>
                <w:lang w:val="hr-HR"/>
              </w:rPr>
            </w:pPr>
            <w:bookmarkStart w:id="47" w:name="_Toc67326742"/>
            <w:r w:rsidRPr="00C8129F">
              <w:rPr>
                <w:rFonts w:cs="Arial"/>
                <w:b/>
                <w:bCs/>
                <w:color w:val="000000" w:themeColor="text1"/>
                <w:sz w:val="20"/>
                <w:lang w:val="hr-HR"/>
              </w:rPr>
              <w:t>Kapital i rezerve</w:t>
            </w:r>
            <w:bookmarkEnd w:id="47"/>
          </w:p>
        </w:tc>
        <w:tc>
          <w:tcPr>
            <w:tcW w:w="992" w:type="dxa"/>
            <w:vAlign w:val="bottom"/>
          </w:tcPr>
          <w:p w14:paraId="19CC7C60" w14:textId="77777777" w:rsidR="00BC475D" w:rsidRPr="00C8129F" w:rsidRDefault="00BC475D" w:rsidP="00BC475D">
            <w:pPr>
              <w:pStyle w:val="TT"/>
              <w:jc w:val="center"/>
              <w:rPr>
                <w:rFonts w:cs="Arial"/>
                <w:snapToGrid w:val="0"/>
                <w:color w:val="000000" w:themeColor="text1"/>
                <w:sz w:val="20"/>
                <w:highlight w:val="yellow"/>
                <w:lang w:val="hr-HR"/>
              </w:rPr>
            </w:pPr>
          </w:p>
        </w:tc>
        <w:tc>
          <w:tcPr>
            <w:tcW w:w="1346" w:type="dxa"/>
            <w:tcBorders>
              <w:top w:val="single" w:sz="12" w:space="0" w:color="auto"/>
            </w:tcBorders>
            <w:vAlign w:val="bottom"/>
          </w:tcPr>
          <w:p w14:paraId="54CC2DE4" w14:textId="77777777" w:rsidR="00BC475D" w:rsidRPr="00B57C31" w:rsidRDefault="00BC475D" w:rsidP="00BC475D">
            <w:pPr>
              <w:pStyle w:val="TT"/>
              <w:jc w:val="right"/>
              <w:rPr>
                <w:rFonts w:cs="Arial"/>
                <w:b/>
                <w:bCs/>
                <w:color w:val="000000" w:themeColor="text1"/>
                <w:sz w:val="20"/>
                <w:lang w:val="hr-HR"/>
              </w:rPr>
            </w:pPr>
          </w:p>
        </w:tc>
        <w:tc>
          <w:tcPr>
            <w:tcW w:w="1347" w:type="dxa"/>
            <w:tcBorders>
              <w:top w:val="single" w:sz="12" w:space="0" w:color="auto"/>
            </w:tcBorders>
            <w:vAlign w:val="bottom"/>
          </w:tcPr>
          <w:p w14:paraId="38095474" w14:textId="77777777" w:rsidR="00BC475D" w:rsidRPr="00C8129F" w:rsidRDefault="00BC475D" w:rsidP="00BC475D">
            <w:pPr>
              <w:pStyle w:val="TT"/>
              <w:jc w:val="right"/>
              <w:rPr>
                <w:rFonts w:cs="Arial"/>
                <w:b/>
                <w:bCs/>
                <w:color w:val="000000" w:themeColor="text1"/>
                <w:sz w:val="20"/>
                <w:lang w:val="hr-HR"/>
              </w:rPr>
            </w:pPr>
          </w:p>
        </w:tc>
      </w:tr>
      <w:tr w:rsidR="00BC475D" w:rsidRPr="00C8129F" w14:paraId="79FD34D6" w14:textId="77777777" w:rsidTr="005D1219">
        <w:trPr>
          <w:trHeight w:val="303"/>
        </w:trPr>
        <w:tc>
          <w:tcPr>
            <w:tcW w:w="5529" w:type="dxa"/>
            <w:vAlign w:val="bottom"/>
          </w:tcPr>
          <w:p w14:paraId="7D167695" w14:textId="292511F4" w:rsidR="00BC475D" w:rsidRPr="00C8129F" w:rsidRDefault="00BC475D" w:rsidP="00BC475D">
            <w:pPr>
              <w:pStyle w:val="TT"/>
              <w:rPr>
                <w:rFonts w:cs="Arial"/>
                <w:color w:val="000000" w:themeColor="text1"/>
                <w:sz w:val="20"/>
                <w:lang w:val="hr-HR"/>
              </w:rPr>
            </w:pPr>
            <w:bookmarkStart w:id="48" w:name="_Toc67326743"/>
            <w:r w:rsidRPr="00C8129F">
              <w:rPr>
                <w:rFonts w:cs="Arial"/>
                <w:color w:val="000000" w:themeColor="text1"/>
                <w:sz w:val="20"/>
                <w:lang w:val="hr-HR"/>
              </w:rPr>
              <w:t>Osnivački kapital</w:t>
            </w:r>
            <w:bookmarkEnd w:id="48"/>
          </w:p>
        </w:tc>
        <w:tc>
          <w:tcPr>
            <w:tcW w:w="992" w:type="dxa"/>
            <w:vAlign w:val="bottom"/>
          </w:tcPr>
          <w:p w14:paraId="61D01EFF" w14:textId="6B5E7F2E" w:rsidR="00BC475D" w:rsidRPr="00C8129F" w:rsidRDefault="00BC475D" w:rsidP="00BC475D">
            <w:pPr>
              <w:pStyle w:val="TT"/>
              <w:jc w:val="center"/>
              <w:rPr>
                <w:rFonts w:cs="Arial"/>
                <w:snapToGrid w:val="0"/>
                <w:color w:val="000000" w:themeColor="text1"/>
                <w:sz w:val="20"/>
                <w:highlight w:val="yellow"/>
                <w:lang w:val="hr-HR"/>
              </w:rPr>
            </w:pPr>
          </w:p>
        </w:tc>
        <w:tc>
          <w:tcPr>
            <w:tcW w:w="1346" w:type="dxa"/>
            <w:tcBorders>
              <w:top w:val="nil"/>
              <w:left w:val="nil"/>
              <w:bottom w:val="nil"/>
              <w:right w:val="nil"/>
            </w:tcBorders>
            <w:shd w:val="clear" w:color="auto" w:fill="auto"/>
            <w:vAlign w:val="center"/>
          </w:tcPr>
          <w:p w14:paraId="084219FF" w14:textId="1B415285" w:rsidR="00BC475D" w:rsidRPr="00B57C31" w:rsidRDefault="00BC475D" w:rsidP="00BC475D">
            <w:pPr>
              <w:pStyle w:val="TT"/>
              <w:jc w:val="right"/>
              <w:rPr>
                <w:rFonts w:cs="Arial"/>
                <w:color w:val="000000" w:themeColor="text1"/>
                <w:sz w:val="20"/>
                <w:lang w:val="hr-HR"/>
              </w:rPr>
            </w:pPr>
            <w:r w:rsidRPr="005D1219">
              <w:rPr>
                <w:rFonts w:cs="Arial"/>
                <w:color w:val="000000"/>
                <w:sz w:val="20"/>
              </w:rPr>
              <w:t>958.905</w:t>
            </w:r>
          </w:p>
        </w:tc>
        <w:tc>
          <w:tcPr>
            <w:tcW w:w="1347" w:type="dxa"/>
            <w:tcBorders>
              <w:top w:val="nil"/>
              <w:left w:val="nil"/>
              <w:bottom w:val="nil"/>
              <w:right w:val="nil"/>
            </w:tcBorders>
            <w:shd w:val="clear" w:color="auto" w:fill="auto"/>
          </w:tcPr>
          <w:p w14:paraId="6AEBFAB0" w14:textId="36A6C322" w:rsidR="00BC475D" w:rsidRPr="00C8129F" w:rsidRDefault="00BC475D" w:rsidP="00BC475D">
            <w:pPr>
              <w:pStyle w:val="TT"/>
              <w:jc w:val="right"/>
              <w:rPr>
                <w:rFonts w:cs="Arial"/>
                <w:color w:val="000000" w:themeColor="text1"/>
                <w:sz w:val="20"/>
                <w:lang w:val="hr-HR"/>
              </w:rPr>
            </w:pPr>
            <w:r w:rsidRPr="00F959D0">
              <w:rPr>
                <w:sz w:val="20"/>
              </w:rPr>
              <w:t>958.889</w:t>
            </w:r>
          </w:p>
        </w:tc>
      </w:tr>
      <w:tr w:rsidR="00BC475D" w:rsidRPr="00C8129F" w14:paraId="31CED8D6" w14:textId="77777777" w:rsidTr="005D1219">
        <w:trPr>
          <w:trHeight w:val="303"/>
        </w:trPr>
        <w:tc>
          <w:tcPr>
            <w:tcW w:w="5529" w:type="dxa"/>
            <w:vAlign w:val="bottom"/>
          </w:tcPr>
          <w:p w14:paraId="01E0DC2C" w14:textId="1B61E143" w:rsidR="00BC475D" w:rsidRPr="00C8129F" w:rsidRDefault="00BC475D" w:rsidP="00BC475D">
            <w:pPr>
              <w:pStyle w:val="TT"/>
              <w:rPr>
                <w:rFonts w:cs="Arial"/>
                <w:color w:val="000000" w:themeColor="text1"/>
                <w:sz w:val="20"/>
                <w:lang w:val="hr-HR"/>
              </w:rPr>
            </w:pPr>
            <w:bookmarkStart w:id="49" w:name="_Toc67326747"/>
            <w:r w:rsidRPr="00C8129F">
              <w:rPr>
                <w:rFonts w:cs="Arial"/>
                <w:color w:val="000000" w:themeColor="text1"/>
                <w:sz w:val="20"/>
                <w:lang w:val="hr-HR"/>
              </w:rPr>
              <w:t>Zadržana dobit i rezerve</w:t>
            </w:r>
            <w:bookmarkEnd w:id="49"/>
          </w:p>
        </w:tc>
        <w:tc>
          <w:tcPr>
            <w:tcW w:w="992" w:type="dxa"/>
            <w:vAlign w:val="bottom"/>
          </w:tcPr>
          <w:p w14:paraId="2A6B4327" w14:textId="77777777" w:rsidR="00BC475D" w:rsidRPr="00C8129F" w:rsidRDefault="00BC475D" w:rsidP="00BC475D">
            <w:pPr>
              <w:pStyle w:val="TT"/>
              <w:jc w:val="center"/>
              <w:rPr>
                <w:rFonts w:cs="Arial"/>
                <w:snapToGrid w:val="0"/>
                <w:color w:val="000000" w:themeColor="text1"/>
                <w:sz w:val="20"/>
                <w:highlight w:val="yellow"/>
                <w:lang w:val="hr-HR"/>
              </w:rPr>
            </w:pPr>
          </w:p>
        </w:tc>
        <w:tc>
          <w:tcPr>
            <w:tcW w:w="1346" w:type="dxa"/>
            <w:tcBorders>
              <w:top w:val="nil"/>
              <w:left w:val="nil"/>
              <w:bottom w:val="nil"/>
              <w:right w:val="nil"/>
            </w:tcBorders>
            <w:shd w:val="clear" w:color="auto" w:fill="auto"/>
            <w:vAlign w:val="center"/>
          </w:tcPr>
          <w:p w14:paraId="6FFBE75D" w14:textId="340782F2" w:rsidR="00BC475D" w:rsidRPr="00B57C31" w:rsidRDefault="00BC475D" w:rsidP="00BC475D">
            <w:pPr>
              <w:pStyle w:val="TT"/>
              <w:jc w:val="right"/>
              <w:rPr>
                <w:rFonts w:cs="Arial"/>
                <w:color w:val="000000" w:themeColor="text1"/>
                <w:sz w:val="20"/>
                <w:lang w:val="hr-HR"/>
              </w:rPr>
            </w:pPr>
            <w:r w:rsidRPr="005D1219">
              <w:rPr>
                <w:rFonts w:cs="Arial"/>
                <w:color w:val="000000"/>
                <w:sz w:val="20"/>
              </w:rPr>
              <w:t>498.929</w:t>
            </w:r>
          </w:p>
        </w:tc>
        <w:tc>
          <w:tcPr>
            <w:tcW w:w="1347" w:type="dxa"/>
            <w:tcBorders>
              <w:top w:val="nil"/>
              <w:left w:val="nil"/>
              <w:bottom w:val="nil"/>
              <w:right w:val="nil"/>
            </w:tcBorders>
            <w:shd w:val="clear" w:color="auto" w:fill="auto"/>
          </w:tcPr>
          <w:p w14:paraId="2DE7D478" w14:textId="3698C572" w:rsidR="00BC475D" w:rsidRPr="00C8129F" w:rsidRDefault="00BC475D" w:rsidP="00BC475D">
            <w:pPr>
              <w:pStyle w:val="TT"/>
              <w:jc w:val="right"/>
              <w:rPr>
                <w:rFonts w:cs="Arial"/>
                <w:color w:val="000000" w:themeColor="text1"/>
                <w:sz w:val="20"/>
                <w:lang w:val="hr-HR"/>
              </w:rPr>
            </w:pPr>
            <w:r w:rsidRPr="00F959D0">
              <w:rPr>
                <w:sz w:val="20"/>
              </w:rPr>
              <w:t>468.9</w:t>
            </w:r>
            <w:r>
              <w:rPr>
                <w:sz w:val="20"/>
              </w:rPr>
              <w:t>60</w:t>
            </w:r>
          </w:p>
        </w:tc>
      </w:tr>
      <w:tr w:rsidR="00BC475D" w:rsidRPr="00C8129F" w14:paraId="16C8AD85" w14:textId="77777777" w:rsidTr="005D1219">
        <w:trPr>
          <w:trHeight w:val="303"/>
        </w:trPr>
        <w:tc>
          <w:tcPr>
            <w:tcW w:w="5529" w:type="dxa"/>
            <w:vAlign w:val="bottom"/>
          </w:tcPr>
          <w:p w14:paraId="67614A07" w14:textId="5D012AA4" w:rsidR="00BC475D" w:rsidRPr="00C8129F" w:rsidRDefault="00BC475D" w:rsidP="00BC475D">
            <w:pPr>
              <w:pStyle w:val="TT"/>
              <w:rPr>
                <w:rFonts w:cs="Arial"/>
                <w:color w:val="000000" w:themeColor="text1"/>
                <w:sz w:val="20"/>
                <w:lang w:val="hr-HR"/>
              </w:rPr>
            </w:pPr>
            <w:bookmarkStart w:id="50" w:name="_Toc67326750"/>
            <w:r w:rsidRPr="00C8129F">
              <w:rPr>
                <w:rFonts w:cs="Arial"/>
                <w:color w:val="000000" w:themeColor="text1"/>
                <w:sz w:val="20"/>
                <w:lang w:val="hr-HR"/>
              </w:rPr>
              <w:t>Ostale rezerve</w:t>
            </w:r>
            <w:bookmarkEnd w:id="50"/>
          </w:p>
        </w:tc>
        <w:tc>
          <w:tcPr>
            <w:tcW w:w="992" w:type="dxa"/>
            <w:vAlign w:val="bottom"/>
          </w:tcPr>
          <w:p w14:paraId="1A61E8E7" w14:textId="77777777" w:rsidR="00BC475D" w:rsidRPr="00C8129F" w:rsidRDefault="00BC475D" w:rsidP="00BC475D">
            <w:pPr>
              <w:pStyle w:val="TT"/>
              <w:jc w:val="center"/>
              <w:rPr>
                <w:rFonts w:cs="Arial"/>
                <w:snapToGrid w:val="0"/>
                <w:color w:val="000000" w:themeColor="text1"/>
                <w:sz w:val="20"/>
                <w:highlight w:val="yellow"/>
                <w:lang w:val="hr-HR"/>
              </w:rPr>
            </w:pPr>
          </w:p>
        </w:tc>
        <w:tc>
          <w:tcPr>
            <w:tcW w:w="1346" w:type="dxa"/>
            <w:tcBorders>
              <w:top w:val="nil"/>
              <w:left w:val="nil"/>
              <w:bottom w:val="nil"/>
              <w:right w:val="nil"/>
            </w:tcBorders>
            <w:shd w:val="clear" w:color="auto" w:fill="auto"/>
            <w:vAlign w:val="center"/>
          </w:tcPr>
          <w:p w14:paraId="3930B126" w14:textId="601B4CC3" w:rsidR="00BC475D" w:rsidRPr="00B57C31" w:rsidRDefault="00B57C31" w:rsidP="00BC475D">
            <w:pPr>
              <w:pStyle w:val="TT"/>
              <w:jc w:val="right"/>
              <w:rPr>
                <w:rFonts w:cs="Arial"/>
                <w:color w:val="000000" w:themeColor="text1"/>
                <w:sz w:val="20"/>
                <w:lang w:val="hr-HR"/>
              </w:rPr>
            </w:pPr>
            <w:r>
              <w:rPr>
                <w:rFonts w:cs="Arial"/>
                <w:sz w:val="20"/>
              </w:rPr>
              <w:t>(</w:t>
            </w:r>
            <w:r w:rsidR="00BC475D" w:rsidRPr="005D1219">
              <w:rPr>
                <w:rFonts w:cs="Arial"/>
                <w:sz w:val="20"/>
              </w:rPr>
              <w:t>2.139</w:t>
            </w:r>
            <w:r>
              <w:rPr>
                <w:rFonts w:cs="Arial"/>
                <w:sz w:val="20"/>
              </w:rPr>
              <w:t>)</w:t>
            </w:r>
          </w:p>
        </w:tc>
        <w:tc>
          <w:tcPr>
            <w:tcW w:w="1347" w:type="dxa"/>
            <w:tcBorders>
              <w:top w:val="nil"/>
              <w:left w:val="nil"/>
              <w:bottom w:val="nil"/>
              <w:right w:val="nil"/>
            </w:tcBorders>
            <w:shd w:val="clear" w:color="auto" w:fill="auto"/>
          </w:tcPr>
          <w:p w14:paraId="1C08C05F" w14:textId="1DDB74F1" w:rsidR="00BC475D" w:rsidRPr="00C8129F" w:rsidRDefault="00BC475D" w:rsidP="00BC475D">
            <w:pPr>
              <w:pStyle w:val="TT"/>
              <w:jc w:val="right"/>
              <w:rPr>
                <w:rFonts w:cs="Arial"/>
                <w:color w:val="000000" w:themeColor="text1"/>
                <w:sz w:val="20"/>
                <w:lang w:val="hr-HR"/>
              </w:rPr>
            </w:pPr>
            <w:r>
              <w:rPr>
                <w:sz w:val="20"/>
              </w:rPr>
              <w:t>(</w:t>
            </w:r>
            <w:r w:rsidRPr="00F959D0">
              <w:rPr>
                <w:sz w:val="20"/>
              </w:rPr>
              <w:t>1.555</w:t>
            </w:r>
            <w:r>
              <w:rPr>
                <w:sz w:val="20"/>
              </w:rPr>
              <w:t>)</w:t>
            </w:r>
          </w:p>
        </w:tc>
      </w:tr>
      <w:tr w:rsidR="00BC475D" w:rsidRPr="00C8129F" w14:paraId="5C2EEE2F" w14:textId="77777777" w:rsidTr="005D1219">
        <w:trPr>
          <w:trHeight w:val="291"/>
        </w:trPr>
        <w:tc>
          <w:tcPr>
            <w:tcW w:w="5529" w:type="dxa"/>
            <w:vAlign w:val="bottom"/>
          </w:tcPr>
          <w:p w14:paraId="2BB572DA" w14:textId="5A80BE50" w:rsidR="00BC475D" w:rsidRPr="00C8129F" w:rsidRDefault="00BC475D" w:rsidP="00BC475D">
            <w:pPr>
              <w:pStyle w:val="TT"/>
              <w:rPr>
                <w:rFonts w:cs="Arial"/>
                <w:color w:val="000000" w:themeColor="text1"/>
                <w:sz w:val="20"/>
                <w:lang w:val="hr-HR"/>
              </w:rPr>
            </w:pPr>
            <w:bookmarkStart w:id="51" w:name="_Toc67326753"/>
            <w:r w:rsidRPr="00C8129F">
              <w:rPr>
                <w:rFonts w:cs="Arial"/>
                <w:color w:val="000000" w:themeColor="text1"/>
                <w:sz w:val="20"/>
                <w:lang w:val="hr-HR"/>
              </w:rPr>
              <w:t>Dobit tekućeg razdoblja</w:t>
            </w:r>
            <w:bookmarkEnd w:id="51"/>
          </w:p>
        </w:tc>
        <w:tc>
          <w:tcPr>
            <w:tcW w:w="992" w:type="dxa"/>
            <w:vAlign w:val="bottom"/>
          </w:tcPr>
          <w:p w14:paraId="6B03DD20" w14:textId="77777777" w:rsidR="00BC475D" w:rsidRPr="00C8129F" w:rsidRDefault="00BC475D" w:rsidP="00BC475D">
            <w:pPr>
              <w:pStyle w:val="TT"/>
              <w:jc w:val="center"/>
              <w:rPr>
                <w:rFonts w:cs="Arial"/>
                <w:snapToGrid w:val="0"/>
                <w:color w:val="000000" w:themeColor="text1"/>
                <w:sz w:val="20"/>
                <w:highlight w:val="yellow"/>
                <w:lang w:val="hr-HR"/>
              </w:rPr>
            </w:pPr>
          </w:p>
        </w:tc>
        <w:tc>
          <w:tcPr>
            <w:tcW w:w="1346" w:type="dxa"/>
            <w:tcBorders>
              <w:top w:val="nil"/>
              <w:left w:val="nil"/>
              <w:bottom w:val="nil"/>
              <w:right w:val="nil"/>
            </w:tcBorders>
            <w:shd w:val="clear" w:color="auto" w:fill="auto"/>
            <w:vAlign w:val="center"/>
          </w:tcPr>
          <w:p w14:paraId="0E46FCDB" w14:textId="28AFDE7A" w:rsidR="00BC475D" w:rsidRPr="00B57C31" w:rsidRDefault="00BC475D" w:rsidP="00BC475D">
            <w:pPr>
              <w:pStyle w:val="TT"/>
              <w:jc w:val="right"/>
              <w:rPr>
                <w:rFonts w:cs="Arial"/>
                <w:color w:val="000000" w:themeColor="text1"/>
                <w:sz w:val="20"/>
                <w:lang w:val="hr-HR"/>
              </w:rPr>
            </w:pPr>
            <w:r w:rsidRPr="005D1219">
              <w:rPr>
                <w:rFonts w:cs="Arial"/>
                <w:sz w:val="20"/>
              </w:rPr>
              <w:t>17.590</w:t>
            </w:r>
          </w:p>
        </w:tc>
        <w:tc>
          <w:tcPr>
            <w:tcW w:w="1347" w:type="dxa"/>
            <w:tcBorders>
              <w:top w:val="nil"/>
              <w:left w:val="nil"/>
              <w:bottom w:val="nil"/>
              <w:right w:val="nil"/>
            </w:tcBorders>
            <w:shd w:val="clear" w:color="auto" w:fill="auto"/>
          </w:tcPr>
          <w:p w14:paraId="545F0425" w14:textId="072202D1" w:rsidR="00BC475D" w:rsidRPr="00C8129F" w:rsidRDefault="00BC475D" w:rsidP="00BC475D">
            <w:pPr>
              <w:pStyle w:val="TT"/>
              <w:jc w:val="right"/>
              <w:rPr>
                <w:rFonts w:cs="Arial"/>
                <w:color w:val="000000" w:themeColor="text1"/>
                <w:sz w:val="20"/>
                <w:lang w:val="hr-HR"/>
              </w:rPr>
            </w:pPr>
            <w:r w:rsidRPr="00F959D0">
              <w:rPr>
                <w:sz w:val="20"/>
              </w:rPr>
              <w:t>29.947</w:t>
            </w:r>
          </w:p>
        </w:tc>
      </w:tr>
      <w:tr w:rsidR="00BC475D" w:rsidRPr="00C8129F" w14:paraId="7AAEF305" w14:textId="77777777" w:rsidTr="005D1219">
        <w:trPr>
          <w:trHeight w:val="291"/>
        </w:trPr>
        <w:tc>
          <w:tcPr>
            <w:tcW w:w="5529" w:type="dxa"/>
            <w:vAlign w:val="bottom"/>
          </w:tcPr>
          <w:p w14:paraId="0F746CC0" w14:textId="053891E3" w:rsidR="00BC475D" w:rsidRPr="00C8129F" w:rsidRDefault="00BC475D" w:rsidP="00BC475D">
            <w:pPr>
              <w:pStyle w:val="TT"/>
              <w:rPr>
                <w:rFonts w:cs="Arial"/>
                <w:color w:val="000000" w:themeColor="text1"/>
                <w:sz w:val="20"/>
                <w:lang w:val="hr-HR"/>
              </w:rPr>
            </w:pPr>
            <w:bookmarkStart w:id="52" w:name="_Toc67326756"/>
            <w:r w:rsidRPr="00C8129F">
              <w:rPr>
                <w:rFonts w:cs="Arial"/>
                <w:color w:val="000000" w:themeColor="text1"/>
                <w:sz w:val="20"/>
                <w:lang w:val="hr-HR"/>
              </w:rPr>
              <w:t>Garantni fond</w:t>
            </w:r>
            <w:bookmarkEnd w:id="52"/>
          </w:p>
        </w:tc>
        <w:tc>
          <w:tcPr>
            <w:tcW w:w="992" w:type="dxa"/>
            <w:vAlign w:val="bottom"/>
          </w:tcPr>
          <w:p w14:paraId="007CB5E8" w14:textId="77777777" w:rsidR="00BC475D" w:rsidRPr="00C8129F" w:rsidRDefault="00BC475D" w:rsidP="00BC475D">
            <w:pPr>
              <w:pStyle w:val="TT"/>
              <w:jc w:val="center"/>
              <w:rPr>
                <w:rFonts w:cs="Arial"/>
                <w:snapToGrid w:val="0"/>
                <w:color w:val="000000" w:themeColor="text1"/>
                <w:sz w:val="20"/>
                <w:highlight w:val="yellow"/>
                <w:lang w:val="hr-HR"/>
              </w:rPr>
            </w:pPr>
          </w:p>
        </w:tc>
        <w:tc>
          <w:tcPr>
            <w:tcW w:w="1346" w:type="dxa"/>
            <w:tcBorders>
              <w:top w:val="nil"/>
              <w:left w:val="nil"/>
              <w:bottom w:val="single" w:sz="4" w:space="0" w:color="auto"/>
              <w:right w:val="nil"/>
            </w:tcBorders>
            <w:shd w:val="clear" w:color="auto" w:fill="auto"/>
            <w:vAlign w:val="center"/>
          </w:tcPr>
          <w:p w14:paraId="4B5B2294" w14:textId="7DF6BD37" w:rsidR="00BC475D" w:rsidRPr="00B57C31" w:rsidRDefault="00BC475D" w:rsidP="00BC475D">
            <w:pPr>
              <w:pStyle w:val="TT"/>
              <w:jc w:val="right"/>
              <w:rPr>
                <w:rFonts w:cs="Arial"/>
                <w:color w:val="000000" w:themeColor="text1"/>
                <w:sz w:val="20"/>
                <w:lang w:val="hr-HR"/>
              </w:rPr>
            </w:pPr>
            <w:r w:rsidRPr="005D1219">
              <w:rPr>
                <w:rFonts w:cs="Arial"/>
                <w:color w:val="000000"/>
                <w:sz w:val="20"/>
              </w:rPr>
              <w:t>1.638</w:t>
            </w:r>
          </w:p>
        </w:tc>
        <w:tc>
          <w:tcPr>
            <w:tcW w:w="1347" w:type="dxa"/>
            <w:tcBorders>
              <w:top w:val="nil"/>
              <w:left w:val="nil"/>
              <w:bottom w:val="single" w:sz="4" w:space="0" w:color="auto"/>
              <w:right w:val="nil"/>
            </w:tcBorders>
            <w:shd w:val="clear" w:color="auto" w:fill="auto"/>
          </w:tcPr>
          <w:p w14:paraId="024A626F" w14:textId="3ED2C76B" w:rsidR="00BC475D" w:rsidRPr="00C8129F" w:rsidRDefault="00BC475D" w:rsidP="00BC475D">
            <w:pPr>
              <w:pStyle w:val="TT"/>
              <w:jc w:val="right"/>
              <w:rPr>
                <w:rFonts w:cs="Arial"/>
                <w:color w:val="000000" w:themeColor="text1"/>
                <w:sz w:val="20"/>
                <w:lang w:val="hr-HR"/>
              </w:rPr>
            </w:pPr>
            <w:r w:rsidRPr="00F959D0">
              <w:rPr>
                <w:sz w:val="20"/>
              </w:rPr>
              <w:t>1.638</w:t>
            </w:r>
          </w:p>
        </w:tc>
      </w:tr>
      <w:tr w:rsidR="00BC475D" w:rsidRPr="00C8129F" w14:paraId="1171ED05" w14:textId="77777777" w:rsidTr="00E83F47">
        <w:trPr>
          <w:trHeight w:val="328"/>
        </w:trPr>
        <w:tc>
          <w:tcPr>
            <w:tcW w:w="5529" w:type="dxa"/>
            <w:vAlign w:val="bottom"/>
          </w:tcPr>
          <w:p w14:paraId="24ADF796" w14:textId="07920500" w:rsidR="00BC475D" w:rsidRPr="00C8129F" w:rsidRDefault="00BC475D" w:rsidP="00BC475D">
            <w:pPr>
              <w:pStyle w:val="Tot"/>
              <w:rPr>
                <w:rFonts w:cs="Arial"/>
                <w:b/>
                <w:bCs/>
                <w:color w:val="000000" w:themeColor="text1"/>
                <w:sz w:val="20"/>
                <w:lang w:val="hr-HR"/>
              </w:rPr>
            </w:pPr>
            <w:bookmarkStart w:id="53" w:name="_Toc67326760"/>
            <w:r w:rsidRPr="00C8129F">
              <w:rPr>
                <w:rFonts w:cs="Arial"/>
                <w:b/>
                <w:bCs/>
                <w:color w:val="000000" w:themeColor="text1"/>
                <w:sz w:val="20"/>
                <w:lang w:val="hr-HR"/>
              </w:rPr>
              <w:t>Ukupni kapital i rezerve</w:t>
            </w:r>
            <w:bookmarkEnd w:id="53"/>
          </w:p>
        </w:tc>
        <w:tc>
          <w:tcPr>
            <w:tcW w:w="992" w:type="dxa"/>
            <w:vAlign w:val="bottom"/>
          </w:tcPr>
          <w:p w14:paraId="41000E22" w14:textId="77777777" w:rsidR="00BC475D" w:rsidRPr="00C8129F" w:rsidRDefault="00BC475D" w:rsidP="00BC475D">
            <w:pPr>
              <w:pStyle w:val="Tot"/>
              <w:jc w:val="center"/>
              <w:rPr>
                <w:rFonts w:cs="Arial"/>
                <w:b/>
                <w:bCs/>
                <w:color w:val="000000" w:themeColor="text1"/>
                <w:sz w:val="20"/>
                <w:highlight w:val="yellow"/>
                <w:lang w:val="hr-HR"/>
              </w:rPr>
            </w:pPr>
          </w:p>
        </w:tc>
        <w:tc>
          <w:tcPr>
            <w:tcW w:w="1346" w:type="dxa"/>
            <w:tcBorders>
              <w:top w:val="single" w:sz="4" w:space="0" w:color="auto"/>
              <w:left w:val="nil"/>
              <w:bottom w:val="single" w:sz="12" w:space="0" w:color="auto"/>
              <w:right w:val="nil"/>
            </w:tcBorders>
            <w:shd w:val="clear" w:color="auto" w:fill="auto"/>
            <w:vAlign w:val="bottom"/>
          </w:tcPr>
          <w:p w14:paraId="3A2B039F" w14:textId="376DEC8D" w:rsidR="00BC475D" w:rsidRPr="00B57C31" w:rsidRDefault="00256838" w:rsidP="00BC475D">
            <w:pPr>
              <w:pStyle w:val="Tot"/>
              <w:jc w:val="right"/>
              <w:rPr>
                <w:rFonts w:cs="Arial"/>
                <w:b/>
                <w:bCs/>
                <w:color w:val="000000" w:themeColor="text1"/>
                <w:sz w:val="20"/>
                <w:lang w:val="hr-HR"/>
              </w:rPr>
            </w:pPr>
            <w:r w:rsidRPr="00B57C31">
              <w:rPr>
                <w:rFonts w:cs="Arial"/>
                <w:b/>
                <w:bCs/>
                <w:color w:val="000000" w:themeColor="text1"/>
                <w:sz w:val="20"/>
                <w:lang w:val="hr-HR"/>
              </w:rPr>
              <w:t>1.474.923</w:t>
            </w:r>
          </w:p>
        </w:tc>
        <w:tc>
          <w:tcPr>
            <w:tcW w:w="1347" w:type="dxa"/>
            <w:tcBorders>
              <w:top w:val="single" w:sz="4" w:space="0" w:color="auto"/>
              <w:left w:val="nil"/>
              <w:bottom w:val="single" w:sz="12" w:space="0" w:color="auto"/>
              <w:right w:val="nil"/>
            </w:tcBorders>
            <w:shd w:val="clear" w:color="auto" w:fill="auto"/>
            <w:vAlign w:val="bottom"/>
          </w:tcPr>
          <w:p w14:paraId="1F36B95D" w14:textId="37393641" w:rsidR="00BC475D" w:rsidRPr="00C8129F" w:rsidRDefault="00BC475D" w:rsidP="00BC475D">
            <w:pPr>
              <w:pStyle w:val="Tot"/>
              <w:jc w:val="right"/>
              <w:rPr>
                <w:rFonts w:cs="Arial"/>
                <w:b/>
                <w:bCs/>
                <w:color w:val="000000" w:themeColor="text1"/>
                <w:sz w:val="20"/>
                <w:lang w:val="hr-HR"/>
              </w:rPr>
            </w:pPr>
            <w:r w:rsidRPr="00D16DD5">
              <w:rPr>
                <w:rFonts w:cs="Arial"/>
                <w:b/>
                <w:bCs/>
                <w:color w:val="000000" w:themeColor="text1"/>
                <w:sz w:val="20"/>
                <w:lang w:val="hr-HR"/>
              </w:rPr>
              <w:t>1.457.87</w:t>
            </w:r>
            <w:r>
              <w:rPr>
                <w:rFonts w:cs="Arial"/>
                <w:b/>
                <w:bCs/>
                <w:color w:val="000000" w:themeColor="text1"/>
                <w:sz w:val="20"/>
                <w:lang w:val="hr-HR"/>
              </w:rPr>
              <w:t>9</w:t>
            </w:r>
          </w:p>
        </w:tc>
      </w:tr>
      <w:tr w:rsidR="00B57C31" w:rsidRPr="00C8129F" w14:paraId="75C2C41D" w14:textId="77777777" w:rsidTr="005D1219">
        <w:trPr>
          <w:trHeight w:val="402"/>
        </w:trPr>
        <w:tc>
          <w:tcPr>
            <w:tcW w:w="5529" w:type="dxa"/>
            <w:vAlign w:val="bottom"/>
          </w:tcPr>
          <w:p w14:paraId="5A9E9030" w14:textId="0E13EBAA" w:rsidR="00B57C31" w:rsidRPr="00C8129F" w:rsidRDefault="00B57C31" w:rsidP="00B57C31">
            <w:pPr>
              <w:pStyle w:val="Tot"/>
              <w:rPr>
                <w:rFonts w:cs="Arial"/>
                <w:b/>
                <w:bCs/>
                <w:color w:val="000000" w:themeColor="text1"/>
                <w:sz w:val="20"/>
                <w:lang w:val="hr-HR"/>
              </w:rPr>
            </w:pPr>
            <w:bookmarkStart w:id="54" w:name="_Toc67326763"/>
            <w:r w:rsidRPr="00C8129F">
              <w:rPr>
                <w:rFonts w:cs="Arial"/>
                <w:b/>
                <w:bCs/>
                <w:color w:val="000000" w:themeColor="text1"/>
                <w:sz w:val="20"/>
                <w:lang w:val="hr-HR"/>
              </w:rPr>
              <w:t>Ukupne obveze i kapital i rezerve</w:t>
            </w:r>
            <w:bookmarkEnd w:id="54"/>
          </w:p>
        </w:tc>
        <w:tc>
          <w:tcPr>
            <w:tcW w:w="992" w:type="dxa"/>
            <w:vAlign w:val="bottom"/>
          </w:tcPr>
          <w:p w14:paraId="100E6432" w14:textId="77777777" w:rsidR="00B57C31" w:rsidRPr="00C8129F" w:rsidRDefault="00B57C31" w:rsidP="00B57C31">
            <w:pPr>
              <w:pStyle w:val="Tot"/>
              <w:jc w:val="center"/>
              <w:rPr>
                <w:rFonts w:cs="Arial"/>
                <w:b/>
                <w:bCs/>
                <w:color w:val="000000" w:themeColor="text1"/>
                <w:sz w:val="20"/>
                <w:highlight w:val="yellow"/>
                <w:lang w:val="hr-HR"/>
              </w:rPr>
            </w:pPr>
          </w:p>
        </w:tc>
        <w:tc>
          <w:tcPr>
            <w:tcW w:w="1346" w:type="dxa"/>
            <w:tcBorders>
              <w:top w:val="single" w:sz="2" w:space="0" w:color="auto"/>
              <w:bottom w:val="single" w:sz="12" w:space="0" w:color="auto"/>
            </w:tcBorders>
            <w:vAlign w:val="bottom"/>
          </w:tcPr>
          <w:p w14:paraId="13269514" w14:textId="79B2FC45" w:rsidR="00B57C31" w:rsidRPr="00B57C31" w:rsidRDefault="00B57C31" w:rsidP="00B57C31">
            <w:pPr>
              <w:pStyle w:val="Tot"/>
              <w:jc w:val="right"/>
              <w:rPr>
                <w:rFonts w:cs="Arial"/>
                <w:b/>
                <w:bCs/>
                <w:color w:val="000000" w:themeColor="text1"/>
                <w:sz w:val="20"/>
                <w:lang w:val="hr-HR"/>
              </w:rPr>
            </w:pPr>
            <w:r w:rsidRPr="00B57C31">
              <w:rPr>
                <w:rFonts w:cs="Arial"/>
                <w:b/>
                <w:bCs/>
                <w:color w:val="000000" w:themeColor="text1"/>
                <w:sz w:val="20"/>
                <w:lang w:val="hr-HR"/>
              </w:rPr>
              <w:t>3.997.505</w:t>
            </w:r>
          </w:p>
        </w:tc>
        <w:tc>
          <w:tcPr>
            <w:tcW w:w="1347" w:type="dxa"/>
            <w:tcBorders>
              <w:top w:val="single" w:sz="12" w:space="0" w:color="auto"/>
              <w:left w:val="nil"/>
              <w:bottom w:val="single" w:sz="12" w:space="0" w:color="auto"/>
              <w:right w:val="nil"/>
            </w:tcBorders>
            <w:shd w:val="clear" w:color="auto" w:fill="auto"/>
            <w:vAlign w:val="bottom"/>
          </w:tcPr>
          <w:p w14:paraId="4A31DB9C" w14:textId="28E3220C" w:rsidR="00B57C31" w:rsidRPr="00C8129F" w:rsidRDefault="00B57C31" w:rsidP="00B57C31">
            <w:pPr>
              <w:pStyle w:val="Tot"/>
              <w:jc w:val="right"/>
              <w:rPr>
                <w:rFonts w:cs="Arial"/>
                <w:b/>
                <w:bCs/>
                <w:color w:val="000000" w:themeColor="text1"/>
                <w:sz w:val="20"/>
                <w:lang w:val="hr-HR"/>
              </w:rPr>
            </w:pPr>
            <w:r w:rsidRPr="00D16DD5">
              <w:rPr>
                <w:rFonts w:cs="Arial"/>
                <w:b/>
                <w:bCs/>
                <w:color w:val="000000" w:themeColor="text1"/>
                <w:sz w:val="20"/>
                <w:lang w:val="hr-HR"/>
              </w:rPr>
              <w:t>4.021.53</w:t>
            </w:r>
            <w:r>
              <w:rPr>
                <w:rFonts w:cs="Arial"/>
                <w:b/>
                <w:bCs/>
                <w:color w:val="000000" w:themeColor="text1"/>
                <w:sz w:val="20"/>
                <w:lang w:val="hr-HR"/>
              </w:rPr>
              <w:t>6</w:t>
            </w:r>
          </w:p>
        </w:tc>
      </w:tr>
    </w:tbl>
    <w:p w14:paraId="543F86CB" w14:textId="77777777" w:rsidR="000A0E43" w:rsidRPr="003D1614" w:rsidRDefault="000A0E43" w:rsidP="008C368A">
      <w:pPr>
        <w:keepNext/>
        <w:suppressAutoHyphens/>
        <w:autoSpaceDN w:val="0"/>
        <w:jc w:val="both"/>
        <w:outlineLvl w:val="0"/>
        <w:rPr>
          <w:rFonts w:ascii="Arial" w:eastAsia="Times New Roman" w:hAnsi="Arial" w:cs="Arial"/>
          <w:bCs/>
          <w:color w:val="000000" w:themeColor="text1"/>
          <w:sz w:val="20"/>
          <w:szCs w:val="20"/>
        </w:rPr>
      </w:pPr>
    </w:p>
    <w:p w14:paraId="2104E5A3" w14:textId="77777777" w:rsidR="007214E2" w:rsidRPr="003D1614" w:rsidRDefault="007214E2" w:rsidP="008C368A">
      <w:pPr>
        <w:keepNext/>
        <w:suppressAutoHyphens/>
        <w:autoSpaceDN w:val="0"/>
        <w:jc w:val="both"/>
        <w:outlineLvl w:val="0"/>
        <w:rPr>
          <w:rFonts w:ascii="Arial" w:eastAsia="Times New Roman" w:hAnsi="Arial" w:cs="Arial"/>
          <w:bCs/>
          <w:color w:val="000000" w:themeColor="text1"/>
          <w:sz w:val="20"/>
          <w:szCs w:val="20"/>
        </w:rPr>
      </w:pPr>
    </w:p>
    <w:p w14:paraId="614517BD" w14:textId="77777777" w:rsidR="002B23C7" w:rsidRPr="003D1614" w:rsidRDefault="002B23C7" w:rsidP="008C368A">
      <w:pPr>
        <w:keepNext/>
        <w:suppressAutoHyphens/>
        <w:autoSpaceDN w:val="0"/>
        <w:jc w:val="both"/>
        <w:outlineLvl w:val="0"/>
        <w:rPr>
          <w:rFonts w:ascii="Arial" w:eastAsia="Times New Roman" w:hAnsi="Arial" w:cs="Arial"/>
          <w:bCs/>
          <w:color w:val="000000" w:themeColor="text1"/>
          <w:sz w:val="20"/>
          <w:szCs w:val="20"/>
        </w:rPr>
      </w:pPr>
    </w:p>
    <w:p w14:paraId="23F03BF8" w14:textId="77777777" w:rsidR="002B23C7" w:rsidRPr="003D1614" w:rsidRDefault="002B23C7" w:rsidP="008C368A">
      <w:pPr>
        <w:keepNext/>
        <w:suppressAutoHyphens/>
        <w:autoSpaceDN w:val="0"/>
        <w:jc w:val="both"/>
        <w:outlineLvl w:val="0"/>
        <w:rPr>
          <w:rFonts w:ascii="Arial" w:eastAsia="Times New Roman" w:hAnsi="Arial" w:cs="Arial"/>
          <w:bCs/>
          <w:color w:val="000000" w:themeColor="text1"/>
          <w:sz w:val="20"/>
          <w:szCs w:val="20"/>
        </w:rPr>
      </w:pPr>
    </w:p>
    <w:p w14:paraId="7FB63B1B" w14:textId="77777777" w:rsidR="002B23C7" w:rsidRPr="003D1614" w:rsidRDefault="002B23C7" w:rsidP="008C368A">
      <w:pPr>
        <w:keepNext/>
        <w:suppressAutoHyphens/>
        <w:autoSpaceDN w:val="0"/>
        <w:jc w:val="both"/>
        <w:outlineLvl w:val="0"/>
        <w:rPr>
          <w:rFonts w:ascii="Arial" w:eastAsia="Times New Roman" w:hAnsi="Arial" w:cs="Arial"/>
          <w:bCs/>
          <w:color w:val="000000" w:themeColor="text1"/>
          <w:sz w:val="20"/>
          <w:szCs w:val="20"/>
        </w:rPr>
      </w:pPr>
    </w:p>
    <w:p w14:paraId="2D020BED" w14:textId="77777777" w:rsidR="002B23C7" w:rsidRPr="003D1614" w:rsidRDefault="002B23C7" w:rsidP="002B23C7">
      <w:pPr>
        <w:keepNext/>
        <w:suppressAutoHyphens/>
        <w:autoSpaceDN w:val="0"/>
        <w:jc w:val="both"/>
        <w:outlineLvl w:val="0"/>
        <w:rPr>
          <w:rFonts w:ascii="Arial" w:eastAsia="Times New Roman" w:hAnsi="Arial" w:cs="Arial"/>
          <w:bCs/>
          <w:color w:val="000000" w:themeColor="text1"/>
          <w:sz w:val="20"/>
          <w:szCs w:val="20"/>
        </w:rPr>
      </w:pPr>
    </w:p>
    <w:p w14:paraId="4D64CB5B" w14:textId="42905F69" w:rsidR="002B23C7" w:rsidRPr="003D1614" w:rsidRDefault="002B23C7" w:rsidP="002B23C7">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Priložene računovodstvene politike i bilješke sastavni su dio ovih financijskih izvještaja.</w:t>
      </w:r>
    </w:p>
    <w:p w14:paraId="7E5081E2" w14:textId="77777777" w:rsidR="002B23C7" w:rsidRPr="003D1614" w:rsidRDefault="002B23C7" w:rsidP="002B23C7">
      <w:pPr>
        <w:keepNext/>
        <w:suppressAutoHyphens/>
        <w:autoSpaceDN w:val="0"/>
        <w:jc w:val="both"/>
        <w:outlineLvl w:val="0"/>
        <w:rPr>
          <w:rFonts w:ascii="Arial" w:eastAsia="Times New Roman" w:hAnsi="Arial" w:cs="Arial"/>
          <w:bCs/>
          <w:color w:val="000000" w:themeColor="text1"/>
          <w:sz w:val="20"/>
          <w:szCs w:val="20"/>
        </w:rPr>
        <w:sectPr w:rsidR="002B23C7" w:rsidRPr="003D1614">
          <w:headerReference w:type="default" r:id="rId13"/>
          <w:pgSz w:w="11906" w:h="16838"/>
          <w:pgMar w:top="1417" w:right="1417" w:bottom="1417" w:left="1417" w:header="708" w:footer="708" w:gutter="0"/>
          <w:cols w:space="708"/>
          <w:docGrid w:linePitch="360"/>
        </w:sectPr>
      </w:pPr>
    </w:p>
    <w:p w14:paraId="3240E2FB" w14:textId="77777777" w:rsidR="002B23C7" w:rsidRPr="003D1614" w:rsidRDefault="002B23C7" w:rsidP="002B23C7">
      <w:pPr>
        <w:keepNext/>
        <w:suppressAutoHyphens/>
        <w:autoSpaceDN w:val="0"/>
        <w:jc w:val="both"/>
        <w:outlineLvl w:val="0"/>
        <w:rPr>
          <w:rFonts w:ascii="Arial" w:eastAsia="Times New Roman" w:hAnsi="Arial" w:cs="Arial"/>
          <w:bCs/>
          <w:color w:val="000000" w:themeColor="text1"/>
          <w:sz w:val="20"/>
          <w:szCs w:val="20"/>
        </w:rPr>
      </w:pPr>
    </w:p>
    <w:p w14:paraId="5736D66A" w14:textId="77777777" w:rsidR="007214E2" w:rsidRPr="003D1614" w:rsidRDefault="007214E2" w:rsidP="008C368A">
      <w:pPr>
        <w:keepNext/>
        <w:suppressAutoHyphens/>
        <w:autoSpaceDN w:val="0"/>
        <w:jc w:val="both"/>
        <w:outlineLvl w:val="0"/>
        <w:rPr>
          <w:rFonts w:ascii="Arial" w:eastAsia="Times New Roman" w:hAnsi="Arial" w:cs="Arial"/>
          <w:bCs/>
          <w:color w:val="000000" w:themeColor="text1"/>
          <w:sz w:val="20"/>
          <w:szCs w:val="20"/>
        </w:rPr>
      </w:pPr>
    </w:p>
    <w:tbl>
      <w:tblPr>
        <w:tblW w:w="10019" w:type="dxa"/>
        <w:tblInd w:w="-284" w:type="dxa"/>
        <w:tblLayout w:type="fixed"/>
        <w:tblCellMar>
          <w:left w:w="119" w:type="dxa"/>
          <w:right w:w="119" w:type="dxa"/>
        </w:tblCellMar>
        <w:tblLook w:val="0000" w:firstRow="0" w:lastRow="0" w:firstColumn="0" w:lastColumn="0" w:noHBand="0" w:noVBand="0"/>
      </w:tblPr>
      <w:tblGrid>
        <w:gridCol w:w="7515"/>
        <w:gridCol w:w="1252"/>
        <w:gridCol w:w="1252"/>
      </w:tblGrid>
      <w:tr w:rsidR="00DC6A7C" w:rsidRPr="008F09B7" w14:paraId="1BCDB934" w14:textId="77777777" w:rsidTr="008F09B7">
        <w:trPr>
          <w:trHeight w:val="173"/>
        </w:trPr>
        <w:tc>
          <w:tcPr>
            <w:tcW w:w="7515" w:type="dxa"/>
            <w:vAlign w:val="bottom"/>
          </w:tcPr>
          <w:p w14:paraId="7144EB2D" w14:textId="77777777" w:rsidR="00DC6A7C" w:rsidRPr="008F09B7" w:rsidRDefault="00DC6A7C" w:rsidP="00DC6A7C">
            <w:pPr>
              <w:keepLines/>
              <w:tabs>
                <w:tab w:val="right" w:pos="1202"/>
              </w:tabs>
              <w:suppressAutoHyphens/>
              <w:autoSpaceDN w:val="0"/>
              <w:spacing w:line="210" w:lineRule="exact"/>
              <w:jc w:val="center"/>
              <w:outlineLvl w:val="0"/>
              <w:rPr>
                <w:rFonts w:ascii="Arial" w:eastAsia="Times New Roman" w:hAnsi="Arial" w:cs="Arial"/>
                <w:b/>
                <w:color w:val="000000" w:themeColor="text1"/>
                <w:sz w:val="18"/>
                <w:szCs w:val="18"/>
              </w:rPr>
            </w:pPr>
            <w:r w:rsidRPr="008F09B7">
              <w:rPr>
                <w:rFonts w:ascii="Arial" w:eastAsia="Times New Roman" w:hAnsi="Arial" w:cs="Arial"/>
                <w:b/>
                <w:color w:val="000000" w:themeColor="text1"/>
                <w:sz w:val="18"/>
                <w:szCs w:val="18"/>
              </w:rPr>
              <w:t xml:space="preserve">                                                                                                                                            </w:t>
            </w:r>
            <w:bookmarkStart w:id="55" w:name="_Toc67326766"/>
          </w:p>
          <w:p w14:paraId="7BFF0C8A" w14:textId="77777777" w:rsidR="00DC6A7C" w:rsidRPr="008F09B7" w:rsidRDefault="00DC6A7C" w:rsidP="00DC6A7C">
            <w:pPr>
              <w:keepLines/>
              <w:tabs>
                <w:tab w:val="right" w:pos="1202"/>
              </w:tabs>
              <w:suppressAutoHyphens/>
              <w:autoSpaceDN w:val="0"/>
              <w:spacing w:line="210" w:lineRule="exact"/>
              <w:jc w:val="center"/>
              <w:outlineLvl w:val="0"/>
              <w:rPr>
                <w:rFonts w:ascii="Arial" w:eastAsia="Times New Roman" w:hAnsi="Arial" w:cs="Arial"/>
                <w:b/>
                <w:color w:val="000000" w:themeColor="text1"/>
                <w:sz w:val="18"/>
                <w:szCs w:val="18"/>
              </w:rPr>
            </w:pPr>
            <w:r w:rsidRPr="008F09B7">
              <w:rPr>
                <w:rFonts w:ascii="Arial" w:eastAsia="Times New Roman" w:hAnsi="Arial" w:cs="Arial"/>
                <w:b/>
                <w:color w:val="000000" w:themeColor="text1"/>
                <w:sz w:val="18"/>
                <w:szCs w:val="18"/>
              </w:rPr>
              <w:t xml:space="preserve">                                                                                                                            Bilješka</w:t>
            </w:r>
            <w:bookmarkEnd w:id="55"/>
          </w:p>
        </w:tc>
        <w:tc>
          <w:tcPr>
            <w:tcW w:w="1252" w:type="dxa"/>
            <w:vAlign w:val="bottom"/>
          </w:tcPr>
          <w:p w14:paraId="0290F941" w14:textId="40F821D1" w:rsidR="00DC6A7C" w:rsidRPr="008F09B7" w:rsidRDefault="00DC6A7C"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r w:rsidRPr="008F09B7">
              <w:rPr>
                <w:rFonts w:ascii="Arial" w:eastAsia="Times New Roman" w:hAnsi="Arial" w:cs="Arial"/>
                <w:b/>
                <w:bCs/>
                <w:color w:val="000000" w:themeColor="text1"/>
                <w:sz w:val="18"/>
                <w:szCs w:val="18"/>
              </w:rPr>
              <w:t>202</w:t>
            </w:r>
            <w:r w:rsidR="00AC2082">
              <w:rPr>
                <w:rFonts w:ascii="Arial" w:eastAsia="Times New Roman" w:hAnsi="Arial" w:cs="Arial"/>
                <w:b/>
                <w:bCs/>
                <w:color w:val="000000" w:themeColor="text1"/>
                <w:sz w:val="18"/>
                <w:szCs w:val="18"/>
              </w:rPr>
              <w:t>4</w:t>
            </w:r>
            <w:r w:rsidRPr="008F09B7">
              <w:rPr>
                <w:rFonts w:ascii="Arial" w:eastAsia="Times New Roman" w:hAnsi="Arial" w:cs="Arial"/>
                <w:b/>
                <w:bCs/>
                <w:color w:val="000000" w:themeColor="text1"/>
                <w:sz w:val="18"/>
                <w:szCs w:val="18"/>
              </w:rPr>
              <w:t>.</w:t>
            </w:r>
          </w:p>
        </w:tc>
        <w:tc>
          <w:tcPr>
            <w:tcW w:w="1252" w:type="dxa"/>
            <w:vAlign w:val="bottom"/>
          </w:tcPr>
          <w:p w14:paraId="0EB6F47B" w14:textId="5A81BBFA" w:rsidR="00DC6A7C" w:rsidRPr="008F09B7" w:rsidRDefault="00DC6A7C"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bookmarkStart w:id="56" w:name="_Toc67326767"/>
            <w:bookmarkStart w:id="57" w:name="_Toc67326768"/>
            <w:r w:rsidRPr="008F09B7">
              <w:rPr>
                <w:rFonts w:ascii="Arial" w:eastAsia="Times New Roman" w:hAnsi="Arial" w:cs="Arial"/>
                <w:b/>
                <w:bCs/>
                <w:color w:val="000000" w:themeColor="text1"/>
                <w:sz w:val="18"/>
                <w:szCs w:val="18"/>
              </w:rPr>
              <w:t>202</w:t>
            </w:r>
            <w:r w:rsidR="00AC2082">
              <w:rPr>
                <w:rFonts w:ascii="Arial" w:eastAsia="Times New Roman" w:hAnsi="Arial" w:cs="Arial"/>
                <w:b/>
                <w:bCs/>
                <w:color w:val="000000" w:themeColor="text1"/>
                <w:sz w:val="18"/>
                <w:szCs w:val="18"/>
              </w:rPr>
              <w:t>3</w:t>
            </w:r>
            <w:r w:rsidRPr="008F09B7">
              <w:rPr>
                <w:rFonts w:ascii="Arial" w:eastAsia="Times New Roman" w:hAnsi="Arial" w:cs="Arial"/>
                <w:b/>
                <w:bCs/>
                <w:color w:val="000000" w:themeColor="text1"/>
                <w:sz w:val="18"/>
                <w:szCs w:val="18"/>
              </w:rPr>
              <w:t>.</w:t>
            </w:r>
            <w:bookmarkEnd w:id="56"/>
            <w:bookmarkEnd w:id="57"/>
          </w:p>
        </w:tc>
      </w:tr>
      <w:tr w:rsidR="00DC6A7C" w:rsidRPr="008F09B7" w14:paraId="49803895" w14:textId="77777777" w:rsidTr="008F09B7">
        <w:trPr>
          <w:trHeight w:val="176"/>
        </w:trPr>
        <w:tc>
          <w:tcPr>
            <w:tcW w:w="7515" w:type="dxa"/>
            <w:vAlign w:val="bottom"/>
          </w:tcPr>
          <w:p w14:paraId="3E46B1F1" w14:textId="77777777" w:rsidR="00DC6A7C" w:rsidRPr="008F09B7" w:rsidRDefault="00DC6A7C" w:rsidP="00DC6A7C">
            <w:pPr>
              <w:keepLines/>
              <w:tabs>
                <w:tab w:val="right" w:pos="1202"/>
              </w:tabs>
              <w:suppressAutoHyphens/>
              <w:autoSpaceDN w:val="0"/>
              <w:spacing w:line="210" w:lineRule="exact"/>
              <w:outlineLvl w:val="0"/>
              <w:rPr>
                <w:rFonts w:ascii="Arial" w:eastAsia="Times New Roman" w:hAnsi="Arial" w:cs="Arial"/>
                <w:b/>
                <w:color w:val="000000" w:themeColor="text1"/>
                <w:sz w:val="18"/>
                <w:szCs w:val="18"/>
              </w:rPr>
            </w:pPr>
            <w:r w:rsidRPr="008F09B7">
              <w:rPr>
                <w:rFonts w:ascii="Arial" w:eastAsia="Times New Roman" w:hAnsi="Arial" w:cs="Arial"/>
                <w:b/>
                <w:color w:val="000000" w:themeColor="text1"/>
                <w:sz w:val="18"/>
                <w:szCs w:val="18"/>
              </w:rPr>
              <w:t xml:space="preserve">                                                                                                                                     </w:t>
            </w:r>
          </w:p>
        </w:tc>
        <w:tc>
          <w:tcPr>
            <w:tcW w:w="1252" w:type="dxa"/>
            <w:vAlign w:val="bottom"/>
          </w:tcPr>
          <w:p w14:paraId="39255147" w14:textId="7F76234E" w:rsidR="00DC6A7C" w:rsidRPr="008F09B7" w:rsidRDefault="00A76701"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r w:rsidRPr="008F09B7">
              <w:rPr>
                <w:rFonts w:ascii="Arial" w:eastAsia="Times New Roman" w:hAnsi="Arial" w:cs="Arial"/>
                <w:b/>
                <w:bCs/>
                <w:color w:val="000000" w:themeColor="text1"/>
                <w:sz w:val="18"/>
                <w:szCs w:val="18"/>
              </w:rPr>
              <w:t>000 eura</w:t>
            </w:r>
          </w:p>
        </w:tc>
        <w:tc>
          <w:tcPr>
            <w:tcW w:w="1252" w:type="dxa"/>
            <w:vAlign w:val="bottom"/>
          </w:tcPr>
          <w:p w14:paraId="67ABEBC1" w14:textId="4202DA0A" w:rsidR="00DC6A7C" w:rsidRPr="008F09B7" w:rsidRDefault="00A76701" w:rsidP="00DC6A7C">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r w:rsidRPr="008F09B7">
              <w:rPr>
                <w:rFonts w:ascii="Arial" w:eastAsia="Times New Roman" w:hAnsi="Arial" w:cs="Arial"/>
                <w:b/>
                <w:bCs/>
                <w:color w:val="000000" w:themeColor="text1"/>
                <w:sz w:val="18"/>
                <w:szCs w:val="18"/>
              </w:rPr>
              <w:t>000 eura</w:t>
            </w:r>
          </w:p>
        </w:tc>
      </w:tr>
      <w:tr w:rsidR="00DC6A7C" w:rsidRPr="008F09B7" w14:paraId="71ED1093" w14:textId="77777777" w:rsidTr="008F09B7">
        <w:tc>
          <w:tcPr>
            <w:tcW w:w="7515" w:type="dxa"/>
            <w:vAlign w:val="bottom"/>
          </w:tcPr>
          <w:p w14:paraId="5707946E" w14:textId="77777777" w:rsidR="00DC6A7C" w:rsidRPr="008F09B7" w:rsidRDefault="00DC6A7C" w:rsidP="00DC6A7C">
            <w:pPr>
              <w:keepLines/>
              <w:tabs>
                <w:tab w:val="right" w:pos="1202"/>
              </w:tabs>
              <w:suppressAutoHyphens/>
              <w:autoSpaceDN w:val="0"/>
              <w:spacing w:line="210" w:lineRule="exact"/>
              <w:outlineLvl w:val="0"/>
              <w:rPr>
                <w:rFonts w:ascii="Arial" w:eastAsia="Times New Roman" w:hAnsi="Arial" w:cs="Arial"/>
                <w:b/>
                <w:bCs/>
                <w:color w:val="000000" w:themeColor="text1"/>
                <w:spacing w:val="-3"/>
                <w:sz w:val="18"/>
                <w:szCs w:val="18"/>
              </w:rPr>
            </w:pPr>
            <w:bookmarkStart w:id="58" w:name="_Toc67326771"/>
            <w:r w:rsidRPr="008F09B7">
              <w:rPr>
                <w:rFonts w:ascii="Arial" w:eastAsia="Times New Roman" w:hAnsi="Arial" w:cs="Arial"/>
                <w:b/>
                <w:bCs/>
                <w:color w:val="000000" w:themeColor="text1"/>
                <w:sz w:val="18"/>
                <w:szCs w:val="18"/>
              </w:rPr>
              <w:t>Poslovne aktivnosti</w:t>
            </w:r>
            <w:bookmarkEnd w:id="58"/>
          </w:p>
        </w:tc>
        <w:tc>
          <w:tcPr>
            <w:tcW w:w="1252" w:type="dxa"/>
            <w:vAlign w:val="bottom"/>
          </w:tcPr>
          <w:p w14:paraId="58D613CE" w14:textId="77777777" w:rsidR="00DC6A7C" w:rsidRPr="008F09B7" w:rsidRDefault="00DC6A7C" w:rsidP="00DC6A7C">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p>
        </w:tc>
        <w:tc>
          <w:tcPr>
            <w:tcW w:w="1252" w:type="dxa"/>
            <w:vAlign w:val="bottom"/>
          </w:tcPr>
          <w:p w14:paraId="27C2A97E" w14:textId="77777777" w:rsidR="00DC6A7C" w:rsidRPr="008F09B7" w:rsidRDefault="00DC6A7C" w:rsidP="00DC6A7C">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p>
        </w:tc>
      </w:tr>
      <w:tr w:rsidR="00AC2082" w:rsidRPr="008F09B7" w14:paraId="1AB710E9" w14:textId="77777777" w:rsidTr="008F09B7">
        <w:tc>
          <w:tcPr>
            <w:tcW w:w="7515" w:type="dxa"/>
            <w:vAlign w:val="bottom"/>
          </w:tcPr>
          <w:p w14:paraId="2EA1D462" w14:textId="77777777" w:rsidR="00AC2082" w:rsidRPr="008F09B7" w:rsidRDefault="00AC2082" w:rsidP="00AC2082">
            <w:pPr>
              <w:keepLines/>
              <w:tabs>
                <w:tab w:val="right" w:pos="1202"/>
              </w:tabs>
              <w:suppressAutoHyphens/>
              <w:autoSpaceDN w:val="0"/>
              <w:spacing w:line="210" w:lineRule="exact"/>
              <w:outlineLvl w:val="0"/>
              <w:rPr>
                <w:rFonts w:ascii="Arial" w:eastAsia="Times New Roman" w:hAnsi="Arial" w:cs="Arial"/>
                <w:color w:val="000000" w:themeColor="text1"/>
                <w:spacing w:val="-3"/>
                <w:sz w:val="18"/>
                <w:szCs w:val="18"/>
              </w:rPr>
            </w:pPr>
            <w:bookmarkStart w:id="59" w:name="_Toc67326772"/>
            <w:r w:rsidRPr="008F09B7">
              <w:rPr>
                <w:rFonts w:ascii="Arial" w:eastAsia="Times New Roman" w:hAnsi="Arial" w:cs="Arial"/>
                <w:color w:val="000000" w:themeColor="text1"/>
                <w:sz w:val="18"/>
                <w:szCs w:val="18"/>
              </w:rPr>
              <w:t>Dobit prije oporezivanja</w:t>
            </w:r>
            <w:bookmarkEnd w:id="59"/>
          </w:p>
        </w:tc>
        <w:tc>
          <w:tcPr>
            <w:tcW w:w="1252" w:type="dxa"/>
            <w:vAlign w:val="bottom"/>
          </w:tcPr>
          <w:p w14:paraId="115D8C8B" w14:textId="40F73F09" w:rsidR="00AC2082" w:rsidRPr="008F09B7" w:rsidRDefault="008F063A" w:rsidP="00AC2082">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17.590</w:t>
            </w:r>
          </w:p>
        </w:tc>
        <w:tc>
          <w:tcPr>
            <w:tcW w:w="1252" w:type="dxa"/>
            <w:vAlign w:val="bottom"/>
          </w:tcPr>
          <w:p w14:paraId="4CE57B46" w14:textId="3BE66209" w:rsidR="00AC2082" w:rsidRPr="008F09B7" w:rsidRDefault="00AC2082" w:rsidP="00AC2082">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sidRPr="008F09B7">
              <w:rPr>
                <w:rFonts w:ascii="Arial" w:eastAsia="Times New Roman" w:hAnsi="Arial" w:cs="Arial"/>
                <w:color w:val="000000" w:themeColor="text1"/>
                <w:sz w:val="18"/>
                <w:szCs w:val="18"/>
              </w:rPr>
              <w:t>18.663</w:t>
            </w:r>
          </w:p>
        </w:tc>
      </w:tr>
      <w:tr w:rsidR="00AC2082" w:rsidRPr="008F09B7" w14:paraId="23A0864D" w14:textId="77777777" w:rsidTr="008F09B7">
        <w:tc>
          <w:tcPr>
            <w:tcW w:w="7515" w:type="dxa"/>
            <w:vAlign w:val="bottom"/>
          </w:tcPr>
          <w:p w14:paraId="7C10845F" w14:textId="77777777" w:rsidR="00AC2082" w:rsidRPr="008F09B7" w:rsidRDefault="00AC2082" w:rsidP="00AC2082">
            <w:pPr>
              <w:keepLines/>
              <w:tabs>
                <w:tab w:val="right" w:pos="1202"/>
              </w:tabs>
              <w:suppressAutoHyphens/>
              <w:autoSpaceDN w:val="0"/>
              <w:spacing w:line="210" w:lineRule="exact"/>
              <w:outlineLvl w:val="0"/>
              <w:rPr>
                <w:rFonts w:ascii="Arial" w:eastAsia="Times New Roman" w:hAnsi="Arial" w:cs="Arial"/>
                <w:i/>
                <w:color w:val="000000" w:themeColor="text1"/>
                <w:sz w:val="18"/>
                <w:szCs w:val="18"/>
              </w:rPr>
            </w:pPr>
            <w:bookmarkStart w:id="60" w:name="_Toc67326775"/>
            <w:r w:rsidRPr="008F09B7">
              <w:rPr>
                <w:rFonts w:ascii="Arial" w:eastAsia="Times New Roman" w:hAnsi="Arial" w:cs="Arial"/>
                <w:i/>
                <w:color w:val="000000" w:themeColor="text1"/>
                <w:sz w:val="18"/>
                <w:szCs w:val="18"/>
              </w:rPr>
              <w:t>Usklađenje na neto novčana sredstva ostvarena i uporabljena za poslovne aktivnosti:</w:t>
            </w:r>
            <w:bookmarkEnd w:id="60"/>
          </w:p>
        </w:tc>
        <w:tc>
          <w:tcPr>
            <w:tcW w:w="1252" w:type="dxa"/>
            <w:vAlign w:val="bottom"/>
          </w:tcPr>
          <w:p w14:paraId="20B32687" w14:textId="77777777" w:rsidR="00AC2082" w:rsidRPr="008F09B7" w:rsidRDefault="00AC2082" w:rsidP="00AC2082">
            <w:pPr>
              <w:keepLines/>
              <w:tabs>
                <w:tab w:val="right" w:pos="1202"/>
              </w:tabs>
              <w:suppressAutoHyphens/>
              <w:autoSpaceDN w:val="0"/>
              <w:spacing w:line="210" w:lineRule="exact"/>
              <w:jc w:val="right"/>
              <w:outlineLvl w:val="0"/>
              <w:rPr>
                <w:rFonts w:ascii="Arial" w:eastAsia="Times New Roman" w:hAnsi="Arial" w:cs="Arial"/>
                <w:i/>
                <w:color w:val="000000" w:themeColor="text1"/>
                <w:sz w:val="18"/>
                <w:szCs w:val="18"/>
              </w:rPr>
            </w:pPr>
          </w:p>
        </w:tc>
        <w:tc>
          <w:tcPr>
            <w:tcW w:w="1252" w:type="dxa"/>
            <w:vAlign w:val="bottom"/>
          </w:tcPr>
          <w:p w14:paraId="13D9BFD2" w14:textId="77777777" w:rsidR="00AC2082" w:rsidRPr="008F09B7" w:rsidRDefault="00AC2082" w:rsidP="00AC2082">
            <w:pPr>
              <w:keepLines/>
              <w:tabs>
                <w:tab w:val="right" w:pos="1202"/>
              </w:tabs>
              <w:suppressAutoHyphens/>
              <w:autoSpaceDN w:val="0"/>
              <w:spacing w:line="210" w:lineRule="exact"/>
              <w:jc w:val="right"/>
              <w:outlineLvl w:val="0"/>
              <w:rPr>
                <w:rFonts w:ascii="Arial" w:eastAsia="Times New Roman" w:hAnsi="Arial" w:cs="Arial"/>
                <w:i/>
                <w:color w:val="000000" w:themeColor="text1"/>
                <w:sz w:val="18"/>
                <w:szCs w:val="18"/>
              </w:rPr>
            </w:pPr>
          </w:p>
        </w:tc>
      </w:tr>
      <w:tr w:rsidR="00AC2082" w:rsidRPr="008F09B7" w14:paraId="7D5AA803" w14:textId="77777777" w:rsidTr="008F09B7">
        <w:tc>
          <w:tcPr>
            <w:tcW w:w="7515" w:type="dxa"/>
            <w:vAlign w:val="bottom"/>
          </w:tcPr>
          <w:p w14:paraId="604CF57D" w14:textId="77777777" w:rsidR="00AC2082" w:rsidRPr="008F09B7" w:rsidRDefault="00AC2082" w:rsidP="00AC2082">
            <w:pPr>
              <w:keepLines/>
              <w:tabs>
                <w:tab w:val="right" w:pos="1202"/>
              </w:tabs>
              <w:suppressAutoHyphens/>
              <w:autoSpaceDN w:val="0"/>
              <w:spacing w:line="210" w:lineRule="exact"/>
              <w:outlineLvl w:val="0"/>
              <w:rPr>
                <w:rFonts w:ascii="Arial" w:eastAsia="Times New Roman" w:hAnsi="Arial" w:cs="Arial"/>
                <w:color w:val="000000" w:themeColor="text1"/>
                <w:spacing w:val="-3"/>
                <w:sz w:val="18"/>
                <w:szCs w:val="18"/>
              </w:rPr>
            </w:pPr>
            <w:bookmarkStart w:id="61" w:name="_Toc67326776"/>
            <w:bookmarkStart w:id="62" w:name="_Hlk35010472"/>
            <w:r w:rsidRPr="008F09B7">
              <w:rPr>
                <w:rFonts w:ascii="Arial" w:eastAsia="Times New Roman" w:hAnsi="Arial" w:cs="Arial"/>
                <w:color w:val="000000" w:themeColor="text1"/>
                <w:sz w:val="18"/>
                <w:szCs w:val="18"/>
              </w:rPr>
              <w:t>Amortizacija</w:t>
            </w:r>
            <w:bookmarkEnd w:id="61"/>
          </w:p>
        </w:tc>
        <w:tc>
          <w:tcPr>
            <w:tcW w:w="1252" w:type="dxa"/>
            <w:tcBorders>
              <w:top w:val="nil"/>
              <w:left w:val="nil"/>
              <w:bottom w:val="nil"/>
              <w:right w:val="nil"/>
            </w:tcBorders>
            <w:shd w:val="clear" w:color="auto" w:fill="auto"/>
            <w:vAlign w:val="bottom"/>
          </w:tcPr>
          <w:p w14:paraId="03729B20" w14:textId="44B1821B" w:rsidR="00AC2082" w:rsidRPr="008F09B7" w:rsidRDefault="008F063A" w:rsidP="00AC2082">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505</w:t>
            </w:r>
          </w:p>
        </w:tc>
        <w:tc>
          <w:tcPr>
            <w:tcW w:w="1252" w:type="dxa"/>
            <w:tcBorders>
              <w:top w:val="nil"/>
              <w:left w:val="nil"/>
              <w:bottom w:val="nil"/>
              <w:right w:val="nil"/>
            </w:tcBorders>
            <w:shd w:val="clear" w:color="auto" w:fill="auto"/>
            <w:vAlign w:val="bottom"/>
          </w:tcPr>
          <w:p w14:paraId="5EB5BE84" w14:textId="104BC0D3" w:rsidR="00AC2082" w:rsidRPr="008F09B7" w:rsidRDefault="00AC2082" w:rsidP="00AC2082">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sidRPr="008F09B7">
              <w:rPr>
                <w:rFonts w:ascii="Arial" w:eastAsia="Times New Roman" w:hAnsi="Arial" w:cs="Arial"/>
                <w:color w:val="000000" w:themeColor="text1"/>
                <w:sz w:val="18"/>
                <w:szCs w:val="18"/>
              </w:rPr>
              <w:t>344</w:t>
            </w:r>
          </w:p>
        </w:tc>
      </w:tr>
      <w:tr w:rsidR="00AC2082" w:rsidRPr="008F09B7" w14:paraId="59E2E86D" w14:textId="77777777" w:rsidTr="008F09B7">
        <w:tc>
          <w:tcPr>
            <w:tcW w:w="7515" w:type="dxa"/>
            <w:vAlign w:val="bottom"/>
          </w:tcPr>
          <w:p w14:paraId="19EC8808" w14:textId="77777777" w:rsidR="00AC2082" w:rsidRPr="008F09B7" w:rsidRDefault="00AC2082" w:rsidP="00AC2082">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63" w:name="_Toc67326779"/>
            <w:r w:rsidRPr="008F09B7">
              <w:rPr>
                <w:rFonts w:ascii="Arial" w:eastAsia="Times New Roman" w:hAnsi="Arial" w:cs="Arial"/>
                <w:color w:val="000000" w:themeColor="text1"/>
                <w:sz w:val="18"/>
                <w:szCs w:val="18"/>
              </w:rPr>
              <w:t>Porez na dobit</w:t>
            </w:r>
            <w:bookmarkEnd w:id="63"/>
          </w:p>
        </w:tc>
        <w:tc>
          <w:tcPr>
            <w:tcW w:w="1252" w:type="dxa"/>
            <w:tcBorders>
              <w:top w:val="nil"/>
              <w:left w:val="nil"/>
              <w:bottom w:val="nil"/>
              <w:right w:val="nil"/>
            </w:tcBorders>
            <w:shd w:val="clear" w:color="auto" w:fill="auto"/>
            <w:vAlign w:val="bottom"/>
          </w:tcPr>
          <w:p w14:paraId="222B6802" w14:textId="4E7C2AD6" w:rsidR="00AC2082" w:rsidRPr="008F09B7" w:rsidRDefault="00AC2082" w:rsidP="00AC2082">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p>
        </w:tc>
        <w:tc>
          <w:tcPr>
            <w:tcW w:w="1252" w:type="dxa"/>
            <w:tcBorders>
              <w:top w:val="nil"/>
              <w:left w:val="nil"/>
              <w:right w:val="nil"/>
            </w:tcBorders>
            <w:shd w:val="clear" w:color="auto" w:fill="auto"/>
            <w:vAlign w:val="bottom"/>
          </w:tcPr>
          <w:p w14:paraId="7641EB0A" w14:textId="6500103F" w:rsidR="00AC2082" w:rsidRPr="008F09B7" w:rsidRDefault="00AC2082" w:rsidP="00AC2082">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p>
        </w:tc>
      </w:tr>
      <w:tr w:rsidR="00AC2082" w:rsidRPr="008F09B7" w14:paraId="73B214A8" w14:textId="77777777" w:rsidTr="008F09B7">
        <w:tc>
          <w:tcPr>
            <w:tcW w:w="7515" w:type="dxa"/>
            <w:vAlign w:val="bottom"/>
          </w:tcPr>
          <w:p w14:paraId="70FB78EF" w14:textId="4487C387" w:rsidR="00AC2082" w:rsidRPr="008F09B7" w:rsidRDefault="00AC2082" w:rsidP="00AC2082">
            <w:pPr>
              <w:tabs>
                <w:tab w:val="right" w:pos="1202"/>
              </w:tabs>
              <w:suppressAutoHyphens/>
              <w:autoSpaceDN w:val="0"/>
              <w:spacing w:line="210" w:lineRule="exact"/>
              <w:outlineLvl w:val="0"/>
              <w:rPr>
                <w:rFonts w:ascii="Arial" w:eastAsia="Times New Roman" w:hAnsi="Arial" w:cs="Arial"/>
                <w:bCs/>
                <w:color w:val="000000" w:themeColor="text1"/>
                <w:spacing w:val="-2"/>
                <w:sz w:val="18"/>
                <w:szCs w:val="18"/>
              </w:rPr>
            </w:pPr>
            <w:bookmarkStart w:id="64" w:name="_Toc67326782"/>
            <w:bookmarkEnd w:id="62"/>
            <w:r w:rsidRPr="008F09B7">
              <w:rPr>
                <w:rFonts w:ascii="Arial" w:eastAsia="Times New Roman" w:hAnsi="Arial" w:cs="Arial"/>
                <w:bCs/>
                <w:color w:val="000000" w:themeColor="text1"/>
                <w:spacing w:val="-2"/>
                <w:sz w:val="18"/>
                <w:szCs w:val="18"/>
              </w:rPr>
              <w:t>Dobitak od umanjenja vrijednosti i rezerviranja</w:t>
            </w:r>
            <w:bookmarkEnd w:id="64"/>
          </w:p>
        </w:tc>
        <w:tc>
          <w:tcPr>
            <w:tcW w:w="1252" w:type="dxa"/>
            <w:tcBorders>
              <w:top w:val="nil"/>
              <w:left w:val="nil"/>
              <w:bottom w:val="nil"/>
            </w:tcBorders>
            <w:shd w:val="clear" w:color="auto" w:fill="auto"/>
            <w:vAlign w:val="bottom"/>
          </w:tcPr>
          <w:p w14:paraId="7A5B52C5" w14:textId="65982753" w:rsidR="00AC2082" w:rsidRPr="008F09B7" w:rsidRDefault="006026D7" w:rsidP="00AC2082">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(5.942)</w:t>
            </w:r>
          </w:p>
        </w:tc>
        <w:tc>
          <w:tcPr>
            <w:tcW w:w="1252" w:type="dxa"/>
            <w:shd w:val="clear" w:color="auto" w:fill="auto"/>
            <w:vAlign w:val="bottom"/>
          </w:tcPr>
          <w:p w14:paraId="1C8349C7" w14:textId="4531120E" w:rsidR="00AC2082" w:rsidRPr="008F09B7" w:rsidRDefault="00AC2082" w:rsidP="00AC2082">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sidRPr="008F09B7">
              <w:rPr>
                <w:rFonts w:ascii="Arial" w:hAnsi="Arial" w:cs="Arial"/>
                <w:sz w:val="18"/>
                <w:szCs w:val="18"/>
              </w:rPr>
              <w:t>(4.646)</w:t>
            </w:r>
          </w:p>
        </w:tc>
      </w:tr>
      <w:tr w:rsidR="00AC2082" w:rsidRPr="008F09B7" w14:paraId="31A03D05" w14:textId="77777777" w:rsidTr="008F09B7">
        <w:tc>
          <w:tcPr>
            <w:tcW w:w="7515" w:type="dxa"/>
            <w:vAlign w:val="bottom"/>
          </w:tcPr>
          <w:p w14:paraId="11CF682C" w14:textId="77777777" w:rsidR="00AC2082" w:rsidRPr="008F09B7" w:rsidRDefault="00AC2082" w:rsidP="00AC2082">
            <w:pPr>
              <w:keepLines/>
              <w:tabs>
                <w:tab w:val="right" w:pos="1202"/>
              </w:tabs>
              <w:suppressAutoHyphens/>
              <w:autoSpaceDN w:val="0"/>
              <w:spacing w:line="210" w:lineRule="exact"/>
              <w:outlineLvl w:val="0"/>
              <w:rPr>
                <w:rFonts w:ascii="Arial" w:eastAsia="Times New Roman" w:hAnsi="Arial" w:cs="Arial"/>
                <w:iCs/>
                <w:color w:val="000000" w:themeColor="text1"/>
                <w:sz w:val="18"/>
                <w:szCs w:val="18"/>
              </w:rPr>
            </w:pPr>
            <w:bookmarkStart w:id="65" w:name="_Toc67326785"/>
            <w:r w:rsidRPr="008F09B7">
              <w:rPr>
                <w:rFonts w:ascii="Arial" w:eastAsia="Times New Roman" w:hAnsi="Arial" w:cs="Arial"/>
                <w:iCs/>
                <w:color w:val="000000" w:themeColor="text1"/>
                <w:sz w:val="18"/>
                <w:szCs w:val="18"/>
              </w:rPr>
              <w:t>Obračunane kamate</w:t>
            </w:r>
            <w:bookmarkEnd w:id="65"/>
            <w:r w:rsidRPr="008F09B7">
              <w:rPr>
                <w:rFonts w:ascii="Arial" w:eastAsia="Times New Roman" w:hAnsi="Arial" w:cs="Arial"/>
                <w:iCs/>
                <w:color w:val="000000" w:themeColor="text1"/>
                <w:sz w:val="18"/>
                <w:szCs w:val="18"/>
              </w:rPr>
              <w:t xml:space="preserve"> </w:t>
            </w:r>
          </w:p>
        </w:tc>
        <w:tc>
          <w:tcPr>
            <w:tcW w:w="1252" w:type="dxa"/>
            <w:tcBorders>
              <w:top w:val="nil"/>
              <w:left w:val="nil"/>
              <w:bottom w:val="nil"/>
            </w:tcBorders>
            <w:shd w:val="clear" w:color="auto" w:fill="auto"/>
            <w:vAlign w:val="bottom"/>
          </w:tcPr>
          <w:p w14:paraId="5CDC0C44" w14:textId="5960DE88" w:rsidR="00AC2082" w:rsidRPr="008F09B7" w:rsidRDefault="006026D7" w:rsidP="00AC2082">
            <w:pPr>
              <w:keepLines/>
              <w:suppressAutoHyphens/>
              <w:autoSpaceDN w:val="0"/>
              <w:spacing w:line="21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1.457</w:t>
            </w:r>
          </w:p>
        </w:tc>
        <w:tc>
          <w:tcPr>
            <w:tcW w:w="1252" w:type="dxa"/>
            <w:tcBorders>
              <w:top w:val="nil"/>
            </w:tcBorders>
            <w:shd w:val="clear" w:color="auto" w:fill="auto"/>
            <w:vAlign w:val="bottom"/>
          </w:tcPr>
          <w:p w14:paraId="00CF73F5" w14:textId="068E6DCB" w:rsidR="00AC2082" w:rsidRPr="008F09B7" w:rsidRDefault="00AC2082" w:rsidP="00AC2082">
            <w:pPr>
              <w:keepLines/>
              <w:suppressAutoHyphens/>
              <w:autoSpaceDN w:val="0"/>
              <w:spacing w:line="210" w:lineRule="exact"/>
              <w:jc w:val="right"/>
              <w:rPr>
                <w:rFonts w:ascii="Arial" w:eastAsia="Times New Roman" w:hAnsi="Arial" w:cs="Arial"/>
                <w:iCs/>
                <w:color w:val="000000" w:themeColor="text1"/>
                <w:sz w:val="18"/>
                <w:szCs w:val="18"/>
              </w:rPr>
            </w:pPr>
            <w:r w:rsidRPr="008F09B7">
              <w:rPr>
                <w:rFonts w:ascii="Arial" w:hAnsi="Arial" w:cs="Arial"/>
                <w:sz w:val="18"/>
                <w:szCs w:val="18"/>
              </w:rPr>
              <w:t>3.397</w:t>
            </w:r>
          </w:p>
        </w:tc>
      </w:tr>
      <w:tr w:rsidR="00AC2082" w:rsidRPr="008F09B7" w14:paraId="28E38DF7" w14:textId="77777777" w:rsidTr="008F09B7">
        <w:tc>
          <w:tcPr>
            <w:tcW w:w="7515" w:type="dxa"/>
            <w:vAlign w:val="bottom"/>
          </w:tcPr>
          <w:p w14:paraId="6B51B970" w14:textId="77777777" w:rsidR="00AC2082" w:rsidRPr="008F09B7" w:rsidRDefault="00AC2082" w:rsidP="00AC2082">
            <w:pPr>
              <w:keepLines/>
              <w:tabs>
                <w:tab w:val="right" w:pos="1202"/>
              </w:tabs>
              <w:suppressAutoHyphens/>
              <w:autoSpaceDN w:val="0"/>
              <w:spacing w:line="210" w:lineRule="exact"/>
              <w:outlineLvl w:val="0"/>
              <w:rPr>
                <w:rFonts w:ascii="Arial" w:eastAsia="Times New Roman" w:hAnsi="Arial" w:cs="Arial"/>
                <w:i/>
                <w:iCs/>
                <w:color w:val="000000" w:themeColor="text1"/>
                <w:sz w:val="18"/>
                <w:szCs w:val="18"/>
              </w:rPr>
            </w:pPr>
            <w:bookmarkStart w:id="66" w:name="_Toc67326786"/>
            <w:r w:rsidRPr="008F09B7">
              <w:rPr>
                <w:rFonts w:ascii="Arial" w:eastAsia="Times New Roman" w:hAnsi="Arial" w:cs="Arial"/>
                <w:iCs/>
                <w:color w:val="000000" w:themeColor="text1"/>
                <w:sz w:val="18"/>
                <w:szCs w:val="18"/>
              </w:rPr>
              <w:t>Odgođene naknade</w:t>
            </w:r>
            <w:bookmarkEnd w:id="66"/>
          </w:p>
        </w:tc>
        <w:tc>
          <w:tcPr>
            <w:tcW w:w="1252" w:type="dxa"/>
            <w:tcBorders>
              <w:top w:val="nil"/>
              <w:left w:val="nil"/>
              <w:bottom w:val="nil"/>
            </w:tcBorders>
            <w:shd w:val="clear" w:color="auto" w:fill="auto"/>
            <w:vAlign w:val="bottom"/>
          </w:tcPr>
          <w:p w14:paraId="3943F41D" w14:textId="51AD7FC3" w:rsidR="00AC2082" w:rsidRPr="008F09B7" w:rsidRDefault="006026D7" w:rsidP="00AC2082">
            <w:pPr>
              <w:keepLines/>
              <w:suppressAutoHyphens/>
              <w:autoSpaceDN w:val="0"/>
              <w:spacing w:line="21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1.808</w:t>
            </w:r>
          </w:p>
        </w:tc>
        <w:tc>
          <w:tcPr>
            <w:tcW w:w="1252" w:type="dxa"/>
            <w:tcBorders>
              <w:top w:val="nil"/>
            </w:tcBorders>
            <w:shd w:val="clear" w:color="auto" w:fill="auto"/>
            <w:vAlign w:val="bottom"/>
          </w:tcPr>
          <w:p w14:paraId="7EF8C67C" w14:textId="2116BBE5" w:rsidR="00AC2082" w:rsidRPr="008F09B7" w:rsidRDefault="00AC2082" w:rsidP="00AC2082">
            <w:pPr>
              <w:keepLines/>
              <w:suppressAutoHyphens/>
              <w:autoSpaceDN w:val="0"/>
              <w:spacing w:line="210" w:lineRule="exact"/>
              <w:jc w:val="right"/>
              <w:rPr>
                <w:rFonts w:ascii="Arial" w:eastAsia="Times New Roman" w:hAnsi="Arial" w:cs="Arial"/>
                <w:color w:val="000000" w:themeColor="text1"/>
                <w:sz w:val="18"/>
                <w:szCs w:val="18"/>
              </w:rPr>
            </w:pPr>
            <w:r w:rsidRPr="008F09B7">
              <w:rPr>
                <w:rFonts w:ascii="Arial" w:hAnsi="Arial" w:cs="Arial"/>
                <w:sz w:val="18"/>
                <w:szCs w:val="18"/>
              </w:rPr>
              <w:t>(580)</w:t>
            </w:r>
          </w:p>
        </w:tc>
      </w:tr>
      <w:tr w:rsidR="00AC2082" w:rsidRPr="008F09B7" w14:paraId="4E52241F" w14:textId="77777777" w:rsidTr="008F09B7">
        <w:tc>
          <w:tcPr>
            <w:tcW w:w="7515" w:type="dxa"/>
            <w:vAlign w:val="bottom"/>
          </w:tcPr>
          <w:p w14:paraId="3CCA0D94" w14:textId="28F79E1B" w:rsidR="00AC2082" w:rsidRPr="008F09B7" w:rsidRDefault="00AC2082" w:rsidP="00AC2082">
            <w:pPr>
              <w:keepLines/>
              <w:tabs>
                <w:tab w:val="right" w:pos="1202"/>
              </w:tabs>
              <w:suppressAutoHyphens/>
              <w:autoSpaceDN w:val="0"/>
              <w:spacing w:line="210" w:lineRule="exact"/>
              <w:outlineLvl w:val="0"/>
              <w:rPr>
                <w:rFonts w:ascii="Arial" w:eastAsia="Times New Roman" w:hAnsi="Arial" w:cs="Arial"/>
                <w:iCs/>
                <w:color w:val="000000" w:themeColor="text1"/>
                <w:sz w:val="18"/>
                <w:szCs w:val="18"/>
              </w:rPr>
            </w:pPr>
            <w:bookmarkStart w:id="67" w:name="_Toc67326787"/>
            <w:r w:rsidRPr="008F09B7">
              <w:rPr>
                <w:rFonts w:ascii="Arial" w:eastAsia="Times New Roman" w:hAnsi="Arial" w:cs="Arial"/>
                <w:iCs/>
                <w:color w:val="000000" w:themeColor="text1"/>
                <w:sz w:val="18"/>
                <w:szCs w:val="18"/>
              </w:rPr>
              <w:t xml:space="preserve">Neto </w:t>
            </w:r>
            <w:r w:rsidRPr="007C112B">
              <w:rPr>
                <w:rFonts w:ascii="Arial" w:eastAsia="Times New Roman" w:hAnsi="Arial" w:cs="Arial"/>
                <w:iCs/>
                <w:color w:val="000000" w:themeColor="text1"/>
                <w:sz w:val="18"/>
                <w:szCs w:val="18"/>
              </w:rPr>
              <w:t>(gubitak) od trgovanja</w:t>
            </w:r>
            <w:r w:rsidRPr="008F09B7">
              <w:rPr>
                <w:rFonts w:ascii="Arial" w:eastAsia="Times New Roman" w:hAnsi="Arial" w:cs="Arial"/>
                <w:iCs/>
                <w:color w:val="000000" w:themeColor="text1"/>
                <w:sz w:val="18"/>
                <w:szCs w:val="18"/>
              </w:rPr>
              <w:t xml:space="preserve"> derivativnim financijskim instrumentima</w:t>
            </w:r>
            <w:bookmarkEnd w:id="67"/>
          </w:p>
        </w:tc>
        <w:tc>
          <w:tcPr>
            <w:tcW w:w="1252" w:type="dxa"/>
            <w:vAlign w:val="bottom"/>
          </w:tcPr>
          <w:p w14:paraId="2E77C03B" w14:textId="446E03E7" w:rsidR="00AC2082" w:rsidRPr="008F09B7" w:rsidRDefault="006026D7" w:rsidP="00AC2082">
            <w:pPr>
              <w:keepLines/>
              <w:suppressAutoHyphens/>
              <w:autoSpaceDN w:val="0"/>
              <w:spacing w:line="21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(37)</w:t>
            </w:r>
          </w:p>
        </w:tc>
        <w:tc>
          <w:tcPr>
            <w:tcW w:w="1252" w:type="dxa"/>
            <w:vAlign w:val="bottom"/>
          </w:tcPr>
          <w:p w14:paraId="43166CA1" w14:textId="00330E0C" w:rsidR="00AC2082" w:rsidRPr="008F09B7" w:rsidRDefault="00AC2082" w:rsidP="00AC2082">
            <w:pPr>
              <w:keepLines/>
              <w:suppressAutoHyphens/>
              <w:autoSpaceDN w:val="0"/>
              <w:spacing w:line="210" w:lineRule="exact"/>
              <w:jc w:val="right"/>
              <w:rPr>
                <w:rFonts w:ascii="Arial" w:eastAsia="Times New Roman" w:hAnsi="Arial" w:cs="Arial"/>
                <w:color w:val="000000" w:themeColor="text1"/>
                <w:sz w:val="18"/>
                <w:szCs w:val="18"/>
              </w:rPr>
            </w:pPr>
            <w:r w:rsidRPr="008F09B7">
              <w:rPr>
                <w:rFonts w:ascii="Arial" w:hAnsi="Arial" w:cs="Arial"/>
                <w:sz w:val="18"/>
                <w:szCs w:val="18"/>
              </w:rPr>
              <w:t>(290)</w:t>
            </w:r>
          </w:p>
        </w:tc>
      </w:tr>
      <w:tr w:rsidR="00AC2082" w:rsidRPr="008F09B7" w14:paraId="2F22069D" w14:textId="77777777" w:rsidTr="008F09B7">
        <w:tc>
          <w:tcPr>
            <w:tcW w:w="7515" w:type="dxa"/>
            <w:vAlign w:val="bottom"/>
          </w:tcPr>
          <w:p w14:paraId="4040859D" w14:textId="77777777" w:rsidR="00AC2082" w:rsidRPr="008F09B7" w:rsidRDefault="00AC2082" w:rsidP="00AC2082">
            <w:pPr>
              <w:keepLines/>
              <w:tabs>
                <w:tab w:val="right" w:pos="1202"/>
              </w:tabs>
              <w:suppressAutoHyphens/>
              <w:autoSpaceDN w:val="0"/>
              <w:spacing w:line="210" w:lineRule="exact"/>
              <w:outlineLvl w:val="0"/>
              <w:rPr>
                <w:rFonts w:ascii="Arial" w:eastAsia="Times New Roman" w:hAnsi="Arial" w:cs="Arial"/>
                <w:iCs/>
                <w:color w:val="000000" w:themeColor="text1"/>
                <w:sz w:val="18"/>
                <w:szCs w:val="18"/>
              </w:rPr>
            </w:pPr>
            <w:bookmarkStart w:id="68" w:name="_Toc67326788"/>
            <w:r w:rsidRPr="008F09B7">
              <w:rPr>
                <w:rFonts w:ascii="Arial" w:eastAsia="Times New Roman" w:hAnsi="Arial" w:cs="Arial"/>
                <w:iCs/>
                <w:color w:val="000000" w:themeColor="text1"/>
                <w:sz w:val="18"/>
                <w:szCs w:val="18"/>
              </w:rPr>
              <w:t>Ostale promjene po imovini po fer vrijednosti</w:t>
            </w:r>
            <w:bookmarkEnd w:id="68"/>
          </w:p>
        </w:tc>
        <w:tc>
          <w:tcPr>
            <w:tcW w:w="1252" w:type="dxa"/>
            <w:vAlign w:val="bottom"/>
          </w:tcPr>
          <w:p w14:paraId="0652B566" w14:textId="7BCFA022" w:rsidR="00AC2082" w:rsidRPr="008F09B7" w:rsidRDefault="00DD315E" w:rsidP="00AC2082">
            <w:pPr>
              <w:keepLines/>
              <w:suppressAutoHyphens/>
              <w:autoSpaceDN w:val="0"/>
              <w:spacing w:line="21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421</w:t>
            </w:r>
          </w:p>
        </w:tc>
        <w:tc>
          <w:tcPr>
            <w:tcW w:w="1252" w:type="dxa"/>
            <w:vAlign w:val="bottom"/>
          </w:tcPr>
          <w:p w14:paraId="2E05C9F8" w14:textId="41AE8B45" w:rsidR="00AC2082" w:rsidRPr="008F09B7" w:rsidRDefault="00AC2082" w:rsidP="00AC2082">
            <w:pPr>
              <w:keepLines/>
              <w:suppressAutoHyphens/>
              <w:autoSpaceDN w:val="0"/>
              <w:spacing w:line="210" w:lineRule="exact"/>
              <w:jc w:val="right"/>
              <w:rPr>
                <w:rFonts w:ascii="Arial" w:eastAsia="Times New Roman" w:hAnsi="Arial" w:cs="Arial"/>
                <w:color w:val="000000" w:themeColor="text1"/>
                <w:sz w:val="18"/>
                <w:szCs w:val="18"/>
              </w:rPr>
            </w:pPr>
            <w:r w:rsidRPr="008F09B7">
              <w:rPr>
                <w:rFonts w:ascii="Arial" w:hAnsi="Arial" w:cs="Arial"/>
                <w:sz w:val="18"/>
                <w:szCs w:val="18"/>
              </w:rPr>
              <w:t>45</w:t>
            </w:r>
            <w:r>
              <w:rPr>
                <w:rFonts w:ascii="Arial" w:hAnsi="Arial" w:cs="Arial"/>
                <w:sz w:val="18"/>
                <w:szCs w:val="18"/>
              </w:rPr>
              <w:t>5</w:t>
            </w:r>
          </w:p>
        </w:tc>
      </w:tr>
      <w:tr w:rsidR="00AC2082" w:rsidRPr="008F09B7" w14:paraId="7C9BAE74" w14:textId="77777777" w:rsidTr="008F09B7">
        <w:tc>
          <w:tcPr>
            <w:tcW w:w="7515" w:type="dxa"/>
            <w:vAlign w:val="bottom"/>
          </w:tcPr>
          <w:p w14:paraId="47646E81" w14:textId="77777777" w:rsidR="00AC2082" w:rsidRPr="008F09B7" w:rsidRDefault="00AC2082" w:rsidP="00AC2082">
            <w:pPr>
              <w:keepLines/>
              <w:tabs>
                <w:tab w:val="right" w:pos="1202"/>
              </w:tabs>
              <w:suppressAutoHyphens/>
              <w:autoSpaceDN w:val="0"/>
              <w:spacing w:line="210" w:lineRule="exact"/>
              <w:outlineLvl w:val="0"/>
              <w:rPr>
                <w:rFonts w:ascii="Arial" w:eastAsia="Times New Roman" w:hAnsi="Arial" w:cs="Arial"/>
                <w:i/>
                <w:iCs/>
                <w:color w:val="000000" w:themeColor="text1"/>
                <w:sz w:val="18"/>
                <w:szCs w:val="18"/>
              </w:rPr>
            </w:pPr>
            <w:bookmarkStart w:id="69" w:name="_Toc67326789"/>
            <w:r w:rsidRPr="008F09B7">
              <w:rPr>
                <w:rFonts w:ascii="Arial" w:eastAsia="Times New Roman" w:hAnsi="Arial" w:cs="Arial"/>
                <w:i/>
                <w:iCs/>
                <w:color w:val="000000" w:themeColor="text1"/>
                <w:sz w:val="18"/>
                <w:szCs w:val="18"/>
              </w:rPr>
              <w:t>Dobitak/(gubitak) iz poslovnih aktivnosti prije promjena radnog kapitala</w:t>
            </w:r>
            <w:bookmarkEnd w:id="69"/>
          </w:p>
        </w:tc>
        <w:tc>
          <w:tcPr>
            <w:tcW w:w="1252" w:type="dxa"/>
            <w:vAlign w:val="bottom"/>
          </w:tcPr>
          <w:p w14:paraId="72F030EA" w14:textId="72F9765E" w:rsidR="00AC2082" w:rsidRPr="008F09B7" w:rsidRDefault="00DD315E" w:rsidP="00AC2082">
            <w:pPr>
              <w:keepLines/>
              <w:suppressAutoHyphens/>
              <w:autoSpaceDN w:val="0"/>
              <w:spacing w:line="210" w:lineRule="exact"/>
              <w:jc w:val="right"/>
              <w:rPr>
                <w:rFonts w:ascii="Arial" w:eastAsia="Times New Roman" w:hAnsi="Arial" w:cs="Arial"/>
                <w:i/>
                <w:iCs/>
                <w:color w:val="000000" w:themeColor="text1"/>
                <w:sz w:val="18"/>
                <w:szCs w:val="18"/>
              </w:rPr>
            </w:pPr>
            <w:r>
              <w:rPr>
                <w:rFonts w:ascii="Arial" w:eastAsia="Times New Roman" w:hAnsi="Arial" w:cs="Arial"/>
                <w:i/>
                <w:iCs/>
                <w:color w:val="000000" w:themeColor="text1"/>
                <w:sz w:val="18"/>
                <w:szCs w:val="18"/>
              </w:rPr>
              <w:t>15.802</w:t>
            </w:r>
          </w:p>
        </w:tc>
        <w:tc>
          <w:tcPr>
            <w:tcW w:w="1252" w:type="dxa"/>
            <w:vAlign w:val="bottom"/>
          </w:tcPr>
          <w:p w14:paraId="039169FD" w14:textId="6021B6A6" w:rsidR="00AC2082" w:rsidRPr="008F09B7" w:rsidRDefault="00AC2082" w:rsidP="00AC2082">
            <w:pPr>
              <w:keepLines/>
              <w:suppressAutoHyphens/>
              <w:autoSpaceDN w:val="0"/>
              <w:spacing w:line="210" w:lineRule="exact"/>
              <w:jc w:val="right"/>
              <w:rPr>
                <w:rFonts w:ascii="Arial" w:eastAsia="Times New Roman" w:hAnsi="Arial" w:cs="Arial"/>
                <w:i/>
                <w:color w:val="000000" w:themeColor="text1"/>
                <w:sz w:val="18"/>
                <w:szCs w:val="18"/>
              </w:rPr>
            </w:pPr>
            <w:r w:rsidRPr="008F09B7">
              <w:rPr>
                <w:rFonts w:ascii="Arial" w:eastAsia="Times New Roman" w:hAnsi="Arial" w:cs="Arial"/>
                <w:i/>
                <w:iCs/>
                <w:color w:val="000000" w:themeColor="text1"/>
                <w:sz w:val="18"/>
                <w:szCs w:val="18"/>
              </w:rPr>
              <w:t>17.34</w:t>
            </w:r>
            <w:r>
              <w:rPr>
                <w:rFonts w:ascii="Arial" w:eastAsia="Times New Roman" w:hAnsi="Arial" w:cs="Arial"/>
                <w:i/>
                <w:iCs/>
                <w:color w:val="000000" w:themeColor="text1"/>
                <w:sz w:val="18"/>
                <w:szCs w:val="18"/>
              </w:rPr>
              <w:t>3</w:t>
            </w:r>
          </w:p>
        </w:tc>
      </w:tr>
      <w:tr w:rsidR="00AC2082" w:rsidRPr="008F09B7" w14:paraId="6976EE3D" w14:textId="77777777" w:rsidTr="008F09B7">
        <w:tc>
          <w:tcPr>
            <w:tcW w:w="7515" w:type="dxa"/>
            <w:vAlign w:val="bottom"/>
          </w:tcPr>
          <w:p w14:paraId="7B808409" w14:textId="77777777" w:rsidR="00AC2082" w:rsidRPr="008F09B7" w:rsidRDefault="00AC2082" w:rsidP="00AC2082">
            <w:pPr>
              <w:keepLines/>
              <w:tabs>
                <w:tab w:val="right" w:pos="1202"/>
              </w:tabs>
              <w:suppressAutoHyphens/>
              <w:autoSpaceDN w:val="0"/>
              <w:spacing w:line="210" w:lineRule="exact"/>
              <w:outlineLvl w:val="0"/>
              <w:rPr>
                <w:rFonts w:ascii="Arial" w:eastAsia="Times New Roman" w:hAnsi="Arial" w:cs="Arial"/>
                <w:i/>
                <w:iCs/>
                <w:color w:val="000000" w:themeColor="text1"/>
                <w:sz w:val="18"/>
                <w:szCs w:val="18"/>
              </w:rPr>
            </w:pPr>
            <w:bookmarkStart w:id="70" w:name="_Toc67326790"/>
            <w:r w:rsidRPr="008F09B7">
              <w:rPr>
                <w:rFonts w:ascii="Arial" w:eastAsia="Times New Roman" w:hAnsi="Arial" w:cs="Arial"/>
                <w:i/>
                <w:iCs/>
                <w:color w:val="000000" w:themeColor="text1"/>
                <w:sz w:val="18"/>
                <w:szCs w:val="18"/>
              </w:rPr>
              <w:t>Promjene u poslovnim sredstvima i izvorima:</w:t>
            </w:r>
            <w:bookmarkEnd w:id="70"/>
          </w:p>
        </w:tc>
        <w:tc>
          <w:tcPr>
            <w:tcW w:w="1252" w:type="dxa"/>
            <w:vAlign w:val="bottom"/>
          </w:tcPr>
          <w:p w14:paraId="0C563CB1" w14:textId="77777777" w:rsidR="00AC2082" w:rsidRPr="008F09B7" w:rsidRDefault="00AC2082" w:rsidP="00AC2082">
            <w:pPr>
              <w:keepLines/>
              <w:suppressAutoHyphens/>
              <w:autoSpaceDN w:val="0"/>
              <w:spacing w:line="210" w:lineRule="exact"/>
              <w:jc w:val="right"/>
              <w:rPr>
                <w:rFonts w:ascii="Arial" w:eastAsia="Times New Roman" w:hAnsi="Arial" w:cs="Arial"/>
                <w:i/>
                <w:color w:val="000000" w:themeColor="text1"/>
                <w:sz w:val="18"/>
                <w:szCs w:val="18"/>
              </w:rPr>
            </w:pPr>
          </w:p>
        </w:tc>
        <w:tc>
          <w:tcPr>
            <w:tcW w:w="1252" w:type="dxa"/>
            <w:vAlign w:val="bottom"/>
          </w:tcPr>
          <w:p w14:paraId="636309AC" w14:textId="77777777" w:rsidR="00AC2082" w:rsidRPr="008F09B7" w:rsidRDefault="00AC2082" w:rsidP="00AC2082">
            <w:pPr>
              <w:keepLines/>
              <w:suppressAutoHyphens/>
              <w:autoSpaceDN w:val="0"/>
              <w:spacing w:line="210" w:lineRule="exact"/>
              <w:jc w:val="right"/>
              <w:rPr>
                <w:rFonts w:ascii="Arial" w:eastAsia="Times New Roman" w:hAnsi="Arial" w:cs="Arial"/>
                <w:i/>
                <w:color w:val="000000" w:themeColor="text1"/>
                <w:sz w:val="18"/>
                <w:szCs w:val="18"/>
              </w:rPr>
            </w:pPr>
          </w:p>
        </w:tc>
      </w:tr>
      <w:tr w:rsidR="00AC2082" w:rsidRPr="008F09B7" w14:paraId="414E095F" w14:textId="77777777" w:rsidTr="008F09B7">
        <w:trPr>
          <w:trHeight w:val="143"/>
        </w:trPr>
        <w:tc>
          <w:tcPr>
            <w:tcW w:w="7515" w:type="dxa"/>
            <w:vAlign w:val="bottom"/>
          </w:tcPr>
          <w:p w14:paraId="129E8370" w14:textId="77777777" w:rsidR="00AC2082" w:rsidRPr="008F09B7" w:rsidRDefault="00AC2082" w:rsidP="00AC2082">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71" w:name="_Toc67326791"/>
            <w:r w:rsidRPr="008F09B7">
              <w:rPr>
                <w:rFonts w:ascii="Arial" w:eastAsia="Times New Roman" w:hAnsi="Arial" w:cs="Arial"/>
                <w:color w:val="000000" w:themeColor="text1"/>
                <w:sz w:val="18"/>
                <w:szCs w:val="18"/>
              </w:rPr>
              <w:t xml:space="preserve">Neto </w:t>
            </w:r>
            <w:r w:rsidRPr="00B62411">
              <w:rPr>
                <w:rFonts w:ascii="Arial" w:eastAsia="Times New Roman" w:hAnsi="Arial" w:cs="Arial"/>
                <w:color w:val="000000" w:themeColor="text1"/>
                <w:sz w:val="18"/>
                <w:szCs w:val="18"/>
              </w:rPr>
              <w:t>(povećanje) depozita</w:t>
            </w:r>
            <w:r w:rsidRPr="008F09B7">
              <w:rPr>
                <w:rFonts w:ascii="Arial" w:eastAsia="Times New Roman" w:hAnsi="Arial" w:cs="Arial"/>
                <w:color w:val="000000" w:themeColor="text1"/>
                <w:sz w:val="18"/>
                <w:szCs w:val="18"/>
              </w:rPr>
              <w:t xml:space="preserve"> kod drugih banaka, prije rezerviranja za očekivane gubitke</w:t>
            </w:r>
            <w:bookmarkEnd w:id="71"/>
          </w:p>
        </w:tc>
        <w:tc>
          <w:tcPr>
            <w:tcW w:w="1252" w:type="dxa"/>
            <w:tcBorders>
              <w:top w:val="nil"/>
              <w:left w:val="nil"/>
              <w:bottom w:val="nil"/>
              <w:right w:val="nil"/>
            </w:tcBorders>
            <w:shd w:val="clear" w:color="auto" w:fill="auto"/>
            <w:vAlign w:val="bottom"/>
          </w:tcPr>
          <w:p w14:paraId="66251B07" w14:textId="02BC9733" w:rsidR="00AC2082" w:rsidRPr="008F09B7" w:rsidRDefault="00DD315E" w:rsidP="00AC2082">
            <w:pPr>
              <w:keepLines/>
              <w:suppressAutoHyphens/>
              <w:autoSpaceDN w:val="0"/>
              <w:spacing w:line="21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(57.393)</w:t>
            </w:r>
          </w:p>
        </w:tc>
        <w:tc>
          <w:tcPr>
            <w:tcW w:w="1252" w:type="dxa"/>
            <w:tcBorders>
              <w:top w:val="nil"/>
              <w:left w:val="nil"/>
              <w:bottom w:val="nil"/>
              <w:right w:val="nil"/>
            </w:tcBorders>
            <w:shd w:val="clear" w:color="auto" w:fill="auto"/>
            <w:vAlign w:val="bottom"/>
          </w:tcPr>
          <w:p w14:paraId="388AD65A" w14:textId="0868EBB4" w:rsidR="00AC2082" w:rsidRPr="008F09B7" w:rsidRDefault="00AC2082" w:rsidP="00AC2082">
            <w:pPr>
              <w:keepLines/>
              <w:suppressAutoHyphens/>
              <w:autoSpaceDN w:val="0"/>
              <w:spacing w:line="210" w:lineRule="exact"/>
              <w:jc w:val="right"/>
              <w:rPr>
                <w:rFonts w:ascii="Arial" w:eastAsia="Times New Roman" w:hAnsi="Arial" w:cs="Arial"/>
                <w:color w:val="000000" w:themeColor="text1"/>
                <w:spacing w:val="-3"/>
                <w:sz w:val="18"/>
                <w:szCs w:val="18"/>
              </w:rPr>
            </w:pPr>
            <w:r w:rsidRPr="008F09B7">
              <w:rPr>
                <w:rFonts w:ascii="Arial" w:hAnsi="Arial" w:cs="Arial"/>
                <w:sz w:val="18"/>
                <w:szCs w:val="18"/>
              </w:rPr>
              <w:t>(85.027)</w:t>
            </w:r>
          </w:p>
        </w:tc>
      </w:tr>
      <w:tr w:rsidR="00AC2082" w:rsidRPr="008F09B7" w14:paraId="2D58D791" w14:textId="77777777" w:rsidTr="008F09B7">
        <w:tc>
          <w:tcPr>
            <w:tcW w:w="7515" w:type="dxa"/>
            <w:vAlign w:val="bottom"/>
          </w:tcPr>
          <w:p w14:paraId="69CA50B5" w14:textId="381344F4" w:rsidR="00AC2082" w:rsidRPr="008F09B7" w:rsidRDefault="00AC2082" w:rsidP="00AC2082">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72" w:name="_Toc67326792"/>
            <w:r w:rsidRPr="008F09B7">
              <w:rPr>
                <w:rFonts w:ascii="Arial" w:eastAsia="Times New Roman" w:hAnsi="Arial" w:cs="Arial"/>
                <w:color w:val="000000" w:themeColor="text1"/>
                <w:sz w:val="18"/>
                <w:szCs w:val="18"/>
              </w:rPr>
              <w:t xml:space="preserve">Neto </w:t>
            </w:r>
            <w:r w:rsidR="00A96B06">
              <w:rPr>
                <w:rFonts w:ascii="Arial" w:eastAsia="Times New Roman" w:hAnsi="Arial" w:cs="Arial"/>
                <w:color w:val="000000" w:themeColor="text1"/>
                <w:sz w:val="18"/>
                <w:szCs w:val="18"/>
              </w:rPr>
              <w:t>smanjenje/</w:t>
            </w:r>
            <w:r>
              <w:rPr>
                <w:rFonts w:ascii="Arial" w:eastAsia="Times New Roman" w:hAnsi="Arial" w:cs="Arial"/>
                <w:color w:val="000000" w:themeColor="text1"/>
                <w:sz w:val="18"/>
                <w:szCs w:val="18"/>
              </w:rPr>
              <w:t>(</w:t>
            </w:r>
            <w:r w:rsidRPr="00B62411">
              <w:rPr>
                <w:rFonts w:ascii="Arial" w:eastAsia="Times New Roman" w:hAnsi="Arial" w:cs="Arial"/>
                <w:color w:val="000000" w:themeColor="text1"/>
                <w:sz w:val="18"/>
                <w:szCs w:val="18"/>
              </w:rPr>
              <w:t>povećanje) kredita</w:t>
            </w:r>
            <w:r w:rsidRPr="008F09B7">
              <w:rPr>
                <w:rFonts w:ascii="Arial" w:eastAsia="Times New Roman" w:hAnsi="Arial" w:cs="Arial"/>
                <w:color w:val="000000" w:themeColor="text1"/>
                <w:sz w:val="18"/>
                <w:szCs w:val="18"/>
              </w:rPr>
              <w:t xml:space="preserve"> financijskim institucijama, prije rezerviranja za očekivane gubitke</w:t>
            </w:r>
            <w:bookmarkEnd w:id="72"/>
          </w:p>
        </w:tc>
        <w:tc>
          <w:tcPr>
            <w:tcW w:w="1252" w:type="dxa"/>
            <w:tcBorders>
              <w:top w:val="nil"/>
              <w:left w:val="nil"/>
              <w:bottom w:val="nil"/>
              <w:right w:val="nil"/>
            </w:tcBorders>
            <w:shd w:val="clear" w:color="auto" w:fill="auto"/>
            <w:vAlign w:val="bottom"/>
          </w:tcPr>
          <w:p w14:paraId="11872FBC" w14:textId="0A49292F" w:rsidR="00AC2082" w:rsidRPr="008F09B7" w:rsidRDefault="00C478C7" w:rsidP="00AC2082">
            <w:pPr>
              <w:keepLines/>
              <w:suppressAutoHyphens/>
              <w:autoSpaceDN w:val="0"/>
              <w:spacing w:line="21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110.781</w:t>
            </w:r>
          </w:p>
        </w:tc>
        <w:tc>
          <w:tcPr>
            <w:tcW w:w="1252" w:type="dxa"/>
            <w:tcBorders>
              <w:top w:val="nil"/>
              <w:left w:val="nil"/>
              <w:bottom w:val="nil"/>
              <w:right w:val="nil"/>
            </w:tcBorders>
            <w:shd w:val="clear" w:color="auto" w:fill="auto"/>
            <w:vAlign w:val="bottom"/>
          </w:tcPr>
          <w:p w14:paraId="0A3EFC11" w14:textId="3C27135C" w:rsidR="00AC2082" w:rsidRPr="008F09B7" w:rsidRDefault="00AC2082" w:rsidP="00AC2082">
            <w:pPr>
              <w:keepLines/>
              <w:suppressAutoHyphens/>
              <w:autoSpaceDN w:val="0"/>
              <w:spacing w:line="210" w:lineRule="exact"/>
              <w:jc w:val="right"/>
              <w:rPr>
                <w:rFonts w:ascii="Arial" w:eastAsia="Times New Roman" w:hAnsi="Arial" w:cs="Arial"/>
                <w:color w:val="000000" w:themeColor="text1"/>
                <w:spacing w:val="-3"/>
                <w:sz w:val="18"/>
                <w:szCs w:val="18"/>
              </w:rPr>
            </w:pPr>
            <w:r w:rsidRPr="008F09B7">
              <w:rPr>
                <w:rFonts w:ascii="Arial" w:hAnsi="Arial" w:cs="Arial"/>
                <w:sz w:val="18"/>
                <w:szCs w:val="18"/>
              </w:rPr>
              <w:t>(61.211)</w:t>
            </w:r>
          </w:p>
        </w:tc>
      </w:tr>
      <w:tr w:rsidR="00AC2082" w:rsidRPr="008F09B7" w14:paraId="6E0886B5" w14:textId="77777777" w:rsidTr="008F09B7">
        <w:tc>
          <w:tcPr>
            <w:tcW w:w="7515" w:type="dxa"/>
            <w:vAlign w:val="bottom"/>
          </w:tcPr>
          <w:p w14:paraId="4452A2C7" w14:textId="1F3354E7" w:rsidR="00AC2082" w:rsidRPr="008F09B7" w:rsidRDefault="00AC2082" w:rsidP="00AC2082">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73" w:name="_Toc67326793"/>
            <w:r w:rsidRPr="008F09B7">
              <w:rPr>
                <w:rFonts w:ascii="Arial" w:eastAsia="Times New Roman" w:hAnsi="Arial" w:cs="Arial"/>
                <w:color w:val="000000" w:themeColor="text1"/>
                <w:sz w:val="18"/>
                <w:szCs w:val="18"/>
              </w:rPr>
              <w:t xml:space="preserve">Neto </w:t>
            </w:r>
            <w:r w:rsidR="00A6541C">
              <w:rPr>
                <w:rFonts w:ascii="Arial" w:eastAsia="Times New Roman" w:hAnsi="Arial" w:cs="Arial"/>
                <w:color w:val="000000" w:themeColor="text1"/>
                <w:sz w:val="18"/>
                <w:szCs w:val="18"/>
              </w:rPr>
              <w:t>smanjenje/</w:t>
            </w:r>
            <w:r w:rsidRPr="00B62411">
              <w:rPr>
                <w:rFonts w:ascii="Arial" w:eastAsia="Times New Roman" w:hAnsi="Arial" w:cs="Arial"/>
                <w:color w:val="000000" w:themeColor="text1"/>
                <w:sz w:val="18"/>
                <w:szCs w:val="18"/>
              </w:rPr>
              <w:t>(povećanje) kredita ostalim korisnicima, prije rezerviranja za očekivane gubitke</w:t>
            </w:r>
            <w:bookmarkEnd w:id="73"/>
          </w:p>
        </w:tc>
        <w:tc>
          <w:tcPr>
            <w:tcW w:w="1252" w:type="dxa"/>
            <w:tcBorders>
              <w:top w:val="nil"/>
              <w:left w:val="nil"/>
              <w:bottom w:val="nil"/>
              <w:right w:val="nil"/>
            </w:tcBorders>
            <w:shd w:val="clear" w:color="auto" w:fill="auto"/>
            <w:vAlign w:val="bottom"/>
          </w:tcPr>
          <w:p w14:paraId="313B829D" w14:textId="35E21CB2" w:rsidR="00AC2082" w:rsidRPr="008F09B7" w:rsidRDefault="00F24602" w:rsidP="00AC2082">
            <w:pPr>
              <w:keepLines/>
              <w:suppressAutoHyphens/>
              <w:autoSpaceDN w:val="0"/>
              <w:spacing w:line="21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17.902</w:t>
            </w:r>
          </w:p>
        </w:tc>
        <w:tc>
          <w:tcPr>
            <w:tcW w:w="1252" w:type="dxa"/>
            <w:tcBorders>
              <w:top w:val="nil"/>
              <w:left w:val="nil"/>
              <w:bottom w:val="nil"/>
              <w:right w:val="nil"/>
            </w:tcBorders>
            <w:shd w:val="clear" w:color="auto" w:fill="auto"/>
            <w:vAlign w:val="bottom"/>
          </w:tcPr>
          <w:p w14:paraId="530E7E1A" w14:textId="421E8863" w:rsidR="00AC2082" w:rsidRPr="008F09B7" w:rsidRDefault="00AC2082" w:rsidP="00AC2082">
            <w:pPr>
              <w:keepLines/>
              <w:suppressAutoHyphens/>
              <w:autoSpaceDN w:val="0"/>
              <w:spacing w:line="210" w:lineRule="exact"/>
              <w:jc w:val="right"/>
              <w:rPr>
                <w:rFonts w:ascii="Arial" w:eastAsia="Times New Roman" w:hAnsi="Arial" w:cs="Arial"/>
                <w:color w:val="000000" w:themeColor="text1"/>
                <w:sz w:val="18"/>
                <w:szCs w:val="18"/>
              </w:rPr>
            </w:pPr>
            <w:r w:rsidRPr="008F09B7">
              <w:rPr>
                <w:rFonts w:ascii="Arial" w:hAnsi="Arial" w:cs="Arial"/>
                <w:sz w:val="18"/>
                <w:szCs w:val="18"/>
              </w:rPr>
              <w:t>(53.709)</w:t>
            </w:r>
          </w:p>
        </w:tc>
      </w:tr>
      <w:tr w:rsidR="00AC2082" w:rsidRPr="008F09B7" w14:paraId="74BFE432" w14:textId="77777777" w:rsidTr="008F09B7">
        <w:tc>
          <w:tcPr>
            <w:tcW w:w="7515" w:type="dxa"/>
            <w:vAlign w:val="bottom"/>
          </w:tcPr>
          <w:p w14:paraId="5824B0BC" w14:textId="5573B9B1" w:rsidR="00AC2082" w:rsidRPr="00B557C9" w:rsidRDefault="00AC2082" w:rsidP="00AC2082">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74" w:name="_Toc67326795"/>
            <w:r w:rsidRPr="00B557C9">
              <w:rPr>
                <w:rFonts w:ascii="Arial" w:eastAsia="Times New Roman" w:hAnsi="Arial" w:cs="Arial"/>
                <w:color w:val="000000" w:themeColor="text1"/>
                <w:sz w:val="18"/>
                <w:szCs w:val="18"/>
              </w:rPr>
              <w:t xml:space="preserve">Neto </w:t>
            </w:r>
            <w:r w:rsidR="007F3CBD">
              <w:rPr>
                <w:rFonts w:ascii="Arial" w:eastAsia="Times New Roman" w:hAnsi="Arial" w:cs="Arial"/>
                <w:color w:val="000000" w:themeColor="text1"/>
                <w:sz w:val="18"/>
                <w:szCs w:val="18"/>
              </w:rPr>
              <w:t>smanjenje/</w:t>
            </w:r>
            <w:r w:rsidRPr="00B557C9">
              <w:rPr>
                <w:rFonts w:ascii="Arial" w:eastAsia="Times New Roman" w:hAnsi="Arial" w:cs="Arial"/>
                <w:color w:val="000000" w:themeColor="text1"/>
                <w:sz w:val="18"/>
                <w:szCs w:val="18"/>
              </w:rPr>
              <w:t>(povećanje) preuzete imovine</w:t>
            </w:r>
            <w:bookmarkEnd w:id="74"/>
            <w:r w:rsidRPr="00B557C9">
              <w:rPr>
                <w:rFonts w:ascii="Arial" w:eastAsia="Times New Roman" w:hAnsi="Arial" w:cs="Arial"/>
                <w:color w:val="000000" w:themeColor="text1"/>
                <w:sz w:val="18"/>
                <w:szCs w:val="18"/>
              </w:rPr>
              <w:t xml:space="preserve"> </w:t>
            </w:r>
          </w:p>
        </w:tc>
        <w:tc>
          <w:tcPr>
            <w:tcW w:w="1252" w:type="dxa"/>
            <w:vAlign w:val="bottom"/>
          </w:tcPr>
          <w:p w14:paraId="129CF431" w14:textId="0F02DF72" w:rsidR="00AC2082" w:rsidRPr="008F09B7" w:rsidRDefault="007F3CBD" w:rsidP="00AC2082">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150</w:t>
            </w:r>
          </w:p>
        </w:tc>
        <w:tc>
          <w:tcPr>
            <w:tcW w:w="1252" w:type="dxa"/>
            <w:vAlign w:val="bottom"/>
          </w:tcPr>
          <w:p w14:paraId="2A50B1C0" w14:textId="2863213F" w:rsidR="00AC2082" w:rsidRPr="008F09B7" w:rsidRDefault="00AC2082" w:rsidP="00AC2082">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sidRPr="008F09B7">
              <w:rPr>
                <w:rFonts w:ascii="Arial" w:hAnsi="Arial" w:cs="Arial"/>
                <w:sz w:val="18"/>
                <w:szCs w:val="18"/>
              </w:rPr>
              <w:t>(74)</w:t>
            </w:r>
          </w:p>
        </w:tc>
      </w:tr>
      <w:tr w:rsidR="00AC2082" w:rsidRPr="008F09B7" w14:paraId="25C3DCF8" w14:textId="77777777" w:rsidTr="008F09B7">
        <w:tc>
          <w:tcPr>
            <w:tcW w:w="7515" w:type="dxa"/>
            <w:vAlign w:val="bottom"/>
          </w:tcPr>
          <w:p w14:paraId="00A23D04" w14:textId="105A2B54" w:rsidR="00AC2082" w:rsidRPr="00B557C9" w:rsidRDefault="00AC2082" w:rsidP="00AC2082">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75" w:name="_Toc67326798"/>
            <w:r w:rsidRPr="00B557C9">
              <w:rPr>
                <w:rFonts w:ascii="Arial" w:eastAsia="Times New Roman" w:hAnsi="Arial" w:cs="Arial"/>
                <w:color w:val="000000" w:themeColor="text1"/>
                <w:sz w:val="18"/>
                <w:szCs w:val="18"/>
              </w:rPr>
              <w:t xml:space="preserve">Neto </w:t>
            </w:r>
            <w:r w:rsidR="007F3CBD">
              <w:rPr>
                <w:rFonts w:ascii="Arial" w:eastAsia="Times New Roman" w:hAnsi="Arial" w:cs="Arial"/>
                <w:color w:val="000000" w:themeColor="text1"/>
                <w:sz w:val="18"/>
                <w:szCs w:val="18"/>
              </w:rPr>
              <w:t>smanjenje/</w:t>
            </w:r>
            <w:r w:rsidRPr="00B557C9">
              <w:rPr>
                <w:rFonts w:ascii="Arial" w:eastAsia="Times New Roman" w:hAnsi="Arial" w:cs="Arial"/>
                <w:color w:val="000000" w:themeColor="text1"/>
                <w:sz w:val="18"/>
                <w:szCs w:val="18"/>
              </w:rPr>
              <w:t>(povećanje) ostale imovine, prije rezerviranja za očekivane gubitke</w:t>
            </w:r>
            <w:bookmarkEnd w:id="75"/>
          </w:p>
        </w:tc>
        <w:tc>
          <w:tcPr>
            <w:tcW w:w="1252" w:type="dxa"/>
            <w:tcBorders>
              <w:top w:val="nil"/>
              <w:left w:val="nil"/>
              <w:bottom w:val="nil"/>
              <w:right w:val="nil"/>
            </w:tcBorders>
            <w:shd w:val="clear" w:color="auto" w:fill="auto"/>
            <w:vAlign w:val="bottom"/>
          </w:tcPr>
          <w:p w14:paraId="6B0B76D3" w14:textId="42BE6D0D" w:rsidR="00AC2082" w:rsidRPr="008F09B7" w:rsidRDefault="007F3CBD" w:rsidP="00AC2082">
            <w:pPr>
              <w:keepLines/>
              <w:suppressAutoHyphens/>
              <w:autoSpaceDN w:val="0"/>
              <w:spacing w:line="21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3.887</w:t>
            </w:r>
          </w:p>
        </w:tc>
        <w:tc>
          <w:tcPr>
            <w:tcW w:w="1252" w:type="dxa"/>
            <w:tcBorders>
              <w:top w:val="nil"/>
              <w:left w:val="nil"/>
              <w:bottom w:val="nil"/>
              <w:right w:val="nil"/>
            </w:tcBorders>
            <w:shd w:val="clear" w:color="auto" w:fill="auto"/>
            <w:vAlign w:val="bottom"/>
          </w:tcPr>
          <w:p w14:paraId="31DA7B95" w14:textId="7DFF3B36" w:rsidR="00AC2082" w:rsidRPr="008F09B7" w:rsidRDefault="00AC2082" w:rsidP="00AC2082">
            <w:pPr>
              <w:keepLines/>
              <w:suppressAutoHyphens/>
              <w:autoSpaceDN w:val="0"/>
              <w:spacing w:line="210" w:lineRule="exact"/>
              <w:jc w:val="right"/>
              <w:rPr>
                <w:rFonts w:ascii="Arial" w:eastAsia="Times New Roman" w:hAnsi="Arial" w:cs="Arial"/>
                <w:color w:val="000000" w:themeColor="text1"/>
                <w:sz w:val="18"/>
                <w:szCs w:val="18"/>
              </w:rPr>
            </w:pPr>
            <w:r w:rsidRPr="008F09B7">
              <w:rPr>
                <w:rFonts w:ascii="Arial" w:hAnsi="Arial" w:cs="Arial"/>
                <w:sz w:val="18"/>
                <w:szCs w:val="18"/>
              </w:rPr>
              <w:t>(1.324)</w:t>
            </w:r>
          </w:p>
        </w:tc>
      </w:tr>
      <w:tr w:rsidR="00AC2082" w:rsidRPr="008F09B7" w14:paraId="1E237D2B" w14:textId="77777777" w:rsidTr="008F09B7">
        <w:tc>
          <w:tcPr>
            <w:tcW w:w="7515" w:type="dxa"/>
            <w:vAlign w:val="bottom"/>
          </w:tcPr>
          <w:p w14:paraId="6600E7C3" w14:textId="50139C79" w:rsidR="00AC2082" w:rsidRPr="008F09B7" w:rsidRDefault="00AC2082" w:rsidP="00AC2082">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76" w:name="_Toc67326799"/>
            <w:r w:rsidRPr="00C84B57">
              <w:rPr>
                <w:rFonts w:ascii="Arial" w:eastAsia="Times New Roman" w:hAnsi="Arial" w:cs="Arial"/>
                <w:color w:val="000000" w:themeColor="text1"/>
                <w:sz w:val="18"/>
                <w:szCs w:val="18"/>
              </w:rPr>
              <w:t>Neto (smanjenje) depozita</w:t>
            </w:r>
            <w:r w:rsidRPr="008F09B7">
              <w:rPr>
                <w:rFonts w:ascii="Arial" w:eastAsia="Times New Roman" w:hAnsi="Arial" w:cs="Arial"/>
                <w:color w:val="000000" w:themeColor="text1"/>
                <w:sz w:val="18"/>
                <w:szCs w:val="18"/>
              </w:rPr>
              <w:t xml:space="preserve"> banaka i trgovačkih društava</w:t>
            </w:r>
            <w:bookmarkEnd w:id="76"/>
          </w:p>
        </w:tc>
        <w:tc>
          <w:tcPr>
            <w:tcW w:w="1252" w:type="dxa"/>
            <w:vAlign w:val="bottom"/>
          </w:tcPr>
          <w:p w14:paraId="4BC82398" w14:textId="2B50F8D9" w:rsidR="00AC2082" w:rsidRPr="008F09B7" w:rsidRDefault="00A53569" w:rsidP="00AC2082">
            <w:pPr>
              <w:keepLines/>
              <w:suppressAutoHyphens/>
              <w:autoSpaceDN w:val="0"/>
              <w:spacing w:line="21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(16.347)</w:t>
            </w:r>
          </w:p>
        </w:tc>
        <w:tc>
          <w:tcPr>
            <w:tcW w:w="1252" w:type="dxa"/>
            <w:vAlign w:val="bottom"/>
          </w:tcPr>
          <w:p w14:paraId="580A4C71" w14:textId="438F71D7" w:rsidR="00AC2082" w:rsidRPr="008F09B7" w:rsidRDefault="00AC2082" w:rsidP="00AC2082">
            <w:pPr>
              <w:keepLines/>
              <w:suppressAutoHyphens/>
              <w:autoSpaceDN w:val="0"/>
              <w:spacing w:line="210" w:lineRule="exact"/>
              <w:jc w:val="right"/>
              <w:rPr>
                <w:rFonts w:ascii="Arial" w:eastAsia="Times New Roman" w:hAnsi="Arial" w:cs="Arial"/>
                <w:color w:val="000000" w:themeColor="text1"/>
                <w:sz w:val="18"/>
                <w:szCs w:val="18"/>
              </w:rPr>
            </w:pPr>
            <w:r w:rsidRPr="008F09B7">
              <w:rPr>
                <w:rFonts w:ascii="Arial" w:hAnsi="Arial" w:cs="Arial"/>
                <w:sz w:val="18"/>
                <w:szCs w:val="18"/>
              </w:rPr>
              <w:t>(31.482)</w:t>
            </w:r>
          </w:p>
        </w:tc>
      </w:tr>
      <w:tr w:rsidR="00AC2082" w:rsidRPr="008F09B7" w14:paraId="4AE1FC65" w14:textId="77777777" w:rsidTr="008F09B7">
        <w:tc>
          <w:tcPr>
            <w:tcW w:w="7515" w:type="dxa"/>
            <w:vAlign w:val="bottom"/>
          </w:tcPr>
          <w:p w14:paraId="5285A699" w14:textId="357D3A8C" w:rsidR="00AC2082" w:rsidRPr="008F09B7" w:rsidRDefault="00AC2082" w:rsidP="00AC2082">
            <w:pPr>
              <w:keepLines/>
              <w:tabs>
                <w:tab w:val="right" w:pos="1202"/>
              </w:tabs>
              <w:suppressAutoHyphens/>
              <w:autoSpaceDN w:val="0"/>
              <w:spacing w:line="210" w:lineRule="exact"/>
              <w:outlineLvl w:val="0"/>
              <w:rPr>
                <w:rFonts w:ascii="Arial" w:eastAsia="Times New Roman" w:hAnsi="Arial" w:cs="Arial"/>
                <w:color w:val="000000" w:themeColor="text1"/>
                <w:spacing w:val="-2"/>
                <w:sz w:val="18"/>
                <w:szCs w:val="18"/>
              </w:rPr>
            </w:pPr>
            <w:bookmarkStart w:id="77" w:name="_Toc67326800"/>
            <w:r w:rsidRPr="008F09B7">
              <w:rPr>
                <w:rFonts w:ascii="Arial" w:eastAsia="Times New Roman" w:hAnsi="Arial" w:cs="Arial"/>
                <w:color w:val="000000" w:themeColor="text1"/>
                <w:spacing w:val="-2"/>
                <w:sz w:val="18"/>
                <w:szCs w:val="18"/>
              </w:rPr>
              <w:t xml:space="preserve">Neto </w:t>
            </w:r>
            <w:r>
              <w:rPr>
                <w:rFonts w:ascii="Arial" w:eastAsia="Times New Roman" w:hAnsi="Arial" w:cs="Arial"/>
                <w:color w:val="000000" w:themeColor="text1"/>
                <w:spacing w:val="-2"/>
                <w:sz w:val="18"/>
                <w:szCs w:val="18"/>
              </w:rPr>
              <w:t>(smanjenje)</w:t>
            </w:r>
            <w:r w:rsidRPr="008F09B7">
              <w:rPr>
                <w:rFonts w:ascii="Arial" w:eastAsia="Times New Roman" w:hAnsi="Arial" w:cs="Arial"/>
                <w:color w:val="000000" w:themeColor="text1"/>
                <w:spacing w:val="-2"/>
                <w:sz w:val="18"/>
                <w:szCs w:val="18"/>
              </w:rPr>
              <w:t xml:space="preserve"> ostalih obveza, prije rezerviranja</w:t>
            </w:r>
            <w:bookmarkEnd w:id="77"/>
          </w:p>
        </w:tc>
        <w:tc>
          <w:tcPr>
            <w:tcW w:w="1252" w:type="dxa"/>
            <w:tcBorders>
              <w:top w:val="nil"/>
              <w:left w:val="nil"/>
              <w:bottom w:val="nil"/>
              <w:right w:val="nil"/>
            </w:tcBorders>
            <w:shd w:val="clear" w:color="auto" w:fill="auto"/>
            <w:vAlign w:val="bottom"/>
          </w:tcPr>
          <w:p w14:paraId="6C551C76" w14:textId="55D140EE" w:rsidR="00AC2082" w:rsidRPr="008F09B7" w:rsidRDefault="00A53569" w:rsidP="00AC2082">
            <w:pPr>
              <w:keepLines/>
              <w:suppressAutoHyphens/>
              <w:autoSpaceDN w:val="0"/>
              <w:spacing w:line="21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(313)</w:t>
            </w:r>
          </w:p>
        </w:tc>
        <w:tc>
          <w:tcPr>
            <w:tcW w:w="1252" w:type="dxa"/>
            <w:tcBorders>
              <w:top w:val="nil"/>
              <w:left w:val="nil"/>
              <w:bottom w:val="nil"/>
              <w:right w:val="nil"/>
            </w:tcBorders>
            <w:shd w:val="clear" w:color="auto" w:fill="auto"/>
            <w:vAlign w:val="bottom"/>
          </w:tcPr>
          <w:p w14:paraId="1831D5C1" w14:textId="710F1C3F" w:rsidR="00AC2082" w:rsidRPr="008F09B7" w:rsidRDefault="00AC2082" w:rsidP="00AC2082">
            <w:pPr>
              <w:keepLines/>
              <w:suppressAutoHyphens/>
              <w:autoSpaceDN w:val="0"/>
              <w:spacing w:line="210" w:lineRule="exact"/>
              <w:jc w:val="right"/>
              <w:rPr>
                <w:rFonts w:ascii="Arial" w:eastAsia="Times New Roman" w:hAnsi="Arial" w:cs="Arial"/>
                <w:color w:val="000000" w:themeColor="text1"/>
                <w:sz w:val="18"/>
                <w:szCs w:val="18"/>
              </w:rPr>
            </w:pPr>
            <w:r w:rsidRPr="008F09B7">
              <w:rPr>
                <w:rFonts w:ascii="Arial" w:hAnsi="Arial" w:cs="Arial"/>
                <w:sz w:val="18"/>
                <w:szCs w:val="18"/>
              </w:rPr>
              <w:t>(2.773)</w:t>
            </w:r>
          </w:p>
        </w:tc>
      </w:tr>
      <w:tr w:rsidR="00AC2082" w:rsidRPr="008F09B7" w14:paraId="44446E50" w14:textId="77777777" w:rsidTr="008F09B7">
        <w:trPr>
          <w:trHeight w:val="228"/>
        </w:trPr>
        <w:tc>
          <w:tcPr>
            <w:tcW w:w="7515" w:type="dxa"/>
            <w:vAlign w:val="bottom"/>
          </w:tcPr>
          <w:p w14:paraId="5A9C79C5" w14:textId="45784F4E" w:rsidR="00AC2082" w:rsidRPr="008F09B7" w:rsidRDefault="00AC2082" w:rsidP="00AC2082">
            <w:pPr>
              <w:keepLines/>
              <w:tabs>
                <w:tab w:val="right" w:pos="1202"/>
              </w:tabs>
              <w:suppressAutoHyphens/>
              <w:autoSpaceDN w:val="0"/>
              <w:spacing w:line="220" w:lineRule="exact"/>
              <w:outlineLvl w:val="0"/>
              <w:rPr>
                <w:rFonts w:ascii="Arial" w:eastAsia="Times New Roman" w:hAnsi="Arial" w:cs="Arial"/>
                <w:b/>
                <w:bCs/>
                <w:color w:val="000000" w:themeColor="text1"/>
                <w:sz w:val="18"/>
                <w:szCs w:val="18"/>
              </w:rPr>
            </w:pPr>
            <w:bookmarkStart w:id="78" w:name="_Toc67326801"/>
            <w:r w:rsidRPr="008F09B7">
              <w:rPr>
                <w:rFonts w:ascii="Arial" w:eastAsia="Times New Roman" w:hAnsi="Arial" w:cs="Arial"/>
                <w:b/>
                <w:bCs/>
                <w:color w:val="000000" w:themeColor="text1"/>
                <w:sz w:val="18"/>
                <w:szCs w:val="18"/>
              </w:rPr>
              <w:t xml:space="preserve">Neto novčana </w:t>
            </w:r>
            <w:r w:rsidRPr="00534C35">
              <w:rPr>
                <w:rFonts w:ascii="Arial" w:eastAsia="Times New Roman" w:hAnsi="Arial" w:cs="Arial"/>
                <w:b/>
                <w:bCs/>
                <w:color w:val="000000" w:themeColor="text1"/>
                <w:sz w:val="18"/>
                <w:szCs w:val="18"/>
              </w:rPr>
              <w:t xml:space="preserve">sredstva </w:t>
            </w:r>
            <w:r w:rsidR="005011C4">
              <w:rPr>
                <w:rFonts w:ascii="Arial" w:eastAsia="Times New Roman" w:hAnsi="Arial" w:cs="Arial"/>
                <w:b/>
                <w:bCs/>
                <w:color w:val="000000" w:themeColor="text1"/>
                <w:sz w:val="18"/>
                <w:szCs w:val="18"/>
              </w:rPr>
              <w:t>ostvarena/</w:t>
            </w:r>
            <w:r w:rsidRPr="00534C35">
              <w:rPr>
                <w:rFonts w:ascii="Arial" w:eastAsia="Times New Roman" w:hAnsi="Arial" w:cs="Arial"/>
                <w:b/>
                <w:bCs/>
                <w:color w:val="000000" w:themeColor="text1"/>
                <w:sz w:val="18"/>
                <w:szCs w:val="18"/>
              </w:rPr>
              <w:t>(uporabljena) u</w:t>
            </w:r>
            <w:r w:rsidRPr="008F09B7">
              <w:rPr>
                <w:rFonts w:ascii="Arial" w:eastAsia="Times New Roman" w:hAnsi="Arial" w:cs="Arial"/>
                <w:b/>
                <w:bCs/>
                <w:color w:val="000000" w:themeColor="text1"/>
                <w:sz w:val="18"/>
                <w:szCs w:val="18"/>
              </w:rPr>
              <w:t xml:space="preserve"> poslovnim aktivnostima</w:t>
            </w:r>
            <w:bookmarkEnd w:id="78"/>
            <w:r w:rsidRPr="008F09B7">
              <w:rPr>
                <w:rFonts w:ascii="Arial" w:eastAsia="Times New Roman" w:hAnsi="Arial" w:cs="Arial"/>
                <w:b/>
                <w:bCs/>
                <w:color w:val="000000" w:themeColor="text1"/>
                <w:sz w:val="18"/>
                <w:szCs w:val="18"/>
              </w:rPr>
              <w:t xml:space="preserve"> </w:t>
            </w:r>
          </w:p>
        </w:tc>
        <w:tc>
          <w:tcPr>
            <w:tcW w:w="1252" w:type="dxa"/>
            <w:tcBorders>
              <w:top w:val="single" w:sz="4" w:space="0" w:color="auto"/>
              <w:left w:val="nil"/>
              <w:bottom w:val="single" w:sz="8" w:space="0" w:color="auto"/>
              <w:right w:val="nil"/>
            </w:tcBorders>
            <w:shd w:val="clear" w:color="auto" w:fill="auto"/>
            <w:vAlign w:val="bottom"/>
          </w:tcPr>
          <w:p w14:paraId="3FF8548E" w14:textId="659005C8" w:rsidR="00AC2082" w:rsidRPr="008F09B7" w:rsidRDefault="00A53569" w:rsidP="00AC2082">
            <w:pPr>
              <w:suppressAutoHyphens/>
              <w:autoSpaceDN w:val="0"/>
              <w:spacing w:line="220" w:lineRule="exact"/>
              <w:jc w:val="right"/>
              <w:outlineLvl w:val="0"/>
              <w:rPr>
                <w:rFonts w:ascii="Arial" w:eastAsia="Times New Roman" w:hAnsi="Arial" w:cs="Arial"/>
                <w:b/>
                <w:bCs/>
                <w:color w:val="000000" w:themeColor="text1"/>
                <w:spacing w:val="-2"/>
                <w:sz w:val="18"/>
                <w:szCs w:val="18"/>
              </w:rPr>
            </w:pPr>
            <w:r>
              <w:rPr>
                <w:rFonts w:ascii="Arial" w:eastAsia="Times New Roman" w:hAnsi="Arial" w:cs="Arial"/>
                <w:b/>
                <w:bCs/>
                <w:color w:val="000000" w:themeColor="text1"/>
                <w:spacing w:val="-2"/>
                <w:sz w:val="18"/>
                <w:szCs w:val="18"/>
              </w:rPr>
              <w:t>74.469</w:t>
            </w:r>
          </w:p>
        </w:tc>
        <w:tc>
          <w:tcPr>
            <w:tcW w:w="1252" w:type="dxa"/>
            <w:tcBorders>
              <w:top w:val="single" w:sz="4" w:space="0" w:color="auto"/>
              <w:left w:val="nil"/>
              <w:bottom w:val="single" w:sz="8" w:space="0" w:color="auto"/>
              <w:right w:val="nil"/>
            </w:tcBorders>
            <w:shd w:val="clear" w:color="auto" w:fill="auto"/>
            <w:vAlign w:val="bottom"/>
          </w:tcPr>
          <w:p w14:paraId="34D0AB32" w14:textId="6BBB803D" w:rsidR="00AC2082" w:rsidRPr="008F09B7" w:rsidRDefault="00AC2082" w:rsidP="00AC2082">
            <w:pPr>
              <w:suppressAutoHyphens/>
              <w:autoSpaceDN w:val="0"/>
              <w:spacing w:line="220" w:lineRule="exact"/>
              <w:jc w:val="right"/>
              <w:outlineLvl w:val="0"/>
              <w:rPr>
                <w:rFonts w:ascii="Arial" w:eastAsia="Times New Roman" w:hAnsi="Arial" w:cs="Arial"/>
                <w:b/>
                <w:bCs/>
                <w:color w:val="000000" w:themeColor="text1"/>
                <w:spacing w:val="-2"/>
                <w:sz w:val="18"/>
                <w:szCs w:val="18"/>
              </w:rPr>
            </w:pPr>
            <w:r w:rsidRPr="008F09B7">
              <w:rPr>
                <w:rFonts w:ascii="Arial" w:hAnsi="Arial" w:cs="Arial"/>
                <w:b/>
                <w:bCs/>
                <w:sz w:val="18"/>
                <w:szCs w:val="18"/>
              </w:rPr>
              <w:t>(218.257)</w:t>
            </w:r>
          </w:p>
        </w:tc>
      </w:tr>
      <w:tr w:rsidR="00AC2082" w:rsidRPr="008F09B7" w14:paraId="5FD946B6" w14:textId="77777777" w:rsidTr="008F09B7">
        <w:tc>
          <w:tcPr>
            <w:tcW w:w="7515" w:type="dxa"/>
            <w:vAlign w:val="bottom"/>
          </w:tcPr>
          <w:p w14:paraId="1048C20A" w14:textId="77777777" w:rsidR="00AC2082" w:rsidRPr="008F09B7" w:rsidRDefault="00AC2082" w:rsidP="00AC2082">
            <w:pPr>
              <w:keepLines/>
              <w:tabs>
                <w:tab w:val="right" w:pos="1202"/>
              </w:tabs>
              <w:suppressAutoHyphens/>
              <w:autoSpaceDN w:val="0"/>
              <w:spacing w:line="210" w:lineRule="exact"/>
              <w:outlineLvl w:val="0"/>
              <w:rPr>
                <w:rFonts w:ascii="Arial" w:eastAsia="Times New Roman" w:hAnsi="Arial" w:cs="Arial"/>
                <w:b/>
                <w:bCs/>
                <w:color w:val="000000" w:themeColor="text1"/>
                <w:sz w:val="18"/>
                <w:szCs w:val="18"/>
              </w:rPr>
            </w:pPr>
          </w:p>
        </w:tc>
        <w:tc>
          <w:tcPr>
            <w:tcW w:w="1252" w:type="dxa"/>
            <w:tcBorders>
              <w:top w:val="single" w:sz="12" w:space="0" w:color="auto"/>
            </w:tcBorders>
            <w:vAlign w:val="bottom"/>
          </w:tcPr>
          <w:p w14:paraId="5248BE57" w14:textId="77777777" w:rsidR="00AC2082" w:rsidRPr="008F09B7" w:rsidRDefault="00AC2082" w:rsidP="00AC2082">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c>
          <w:tcPr>
            <w:tcW w:w="1252" w:type="dxa"/>
            <w:tcBorders>
              <w:top w:val="single" w:sz="12" w:space="0" w:color="auto"/>
            </w:tcBorders>
            <w:vAlign w:val="bottom"/>
          </w:tcPr>
          <w:p w14:paraId="4BBAFF19" w14:textId="77777777" w:rsidR="00AC2082" w:rsidRPr="008F09B7" w:rsidRDefault="00AC2082" w:rsidP="00AC2082">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r>
      <w:tr w:rsidR="00AC2082" w:rsidRPr="008F09B7" w14:paraId="15C35382" w14:textId="77777777" w:rsidTr="008F09B7">
        <w:tc>
          <w:tcPr>
            <w:tcW w:w="7515" w:type="dxa"/>
            <w:vAlign w:val="bottom"/>
          </w:tcPr>
          <w:p w14:paraId="2D7A8BC9" w14:textId="77777777" w:rsidR="00AC2082" w:rsidRPr="008F09B7" w:rsidRDefault="00AC2082" w:rsidP="00AC2082">
            <w:pPr>
              <w:keepLines/>
              <w:tabs>
                <w:tab w:val="right" w:pos="1202"/>
              </w:tabs>
              <w:suppressAutoHyphens/>
              <w:autoSpaceDN w:val="0"/>
              <w:spacing w:line="210" w:lineRule="exact"/>
              <w:outlineLvl w:val="0"/>
              <w:rPr>
                <w:rFonts w:ascii="Arial" w:eastAsia="Times New Roman" w:hAnsi="Arial" w:cs="Arial"/>
                <w:b/>
                <w:bCs/>
                <w:color w:val="000000" w:themeColor="text1"/>
                <w:sz w:val="18"/>
                <w:szCs w:val="18"/>
              </w:rPr>
            </w:pPr>
            <w:bookmarkStart w:id="79" w:name="_Toc67326802"/>
            <w:proofErr w:type="spellStart"/>
            <w:r w:rsidRPr="008F09B7">
              <w:rPr>
                <w:rFonts w:ascii="Arial" w:eastAsia="Times New Roman" w:hAnsi="Arial" w:cs="Arial"/>
                <w:b/>
                <w:bCs/>
                <w:color w:val="000000" w:themeColor="text1"/>
                <w:sz w:val="18"/>
                <w:szCs w:val="18"/>
              </w:rPr>
              <w:t>Ulagateljske</w:t>
            </w:r>
            <w:proofErr w:type="spellEnd"/>
            <w:r w:rsidRPr="008F09B7">
              <w:rPr>
                <w:rFonts w:ascii="Arial" w:eastAsia="Times New Roman" w:hAnsi="Arial" w:cs="Arial"/>
                <w:b/>
                <w:bCs/>
                <w:color w:val="000000" w:themeColor="text1"/>
                <w:sz w:val="18"/>
                <w:szCs w:val="18"/>
              </w:rPr>
              <w:t xml:space="preserve"> aktivnosti</w:t>
            </w:r>
            <w:bookmarkEnd w:id="79"/>
          </w:p>
        </w:tc>
        <w:tc>
          <w:tcPr>
            <w:tcW w:w="1252" w:type="dxa"/>
            <w:vAlign w:val="bottom"/>
          </w:tcPr>
          <w:p w14:paraId="5151656D" w14:textId="77777777" w:rsidR="00AC2082" w:rsidRPr="008F09B7" w:rsidRDefault="00AC2082" w:rsidP="00AC2082">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c>
          <w:tcPr>
            <w:tcW w:w="1252" w:type="dxa"/>
            <w:vAlign w:val="bottom"/>
          </w:tcPr>
          <w:p w14:paraId="3AACE469" w14:textId="77777777" w:rsidR="00AC2082" w:rsidRPr="008F09B7" w:rsidRDefault="00AC2082" w:rsidP="00AC2082">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r>
      <w:tr w:rsidR="00AC2082" w:rsidRPr="008F09B7" w14:paraId="1D85E246" w14:textId="77777777" w:rsidTr="008F09B7">
        <w:tc>
          <w:tcPr>
            <w:tcW w:w="7515" w:type="dxa"/>
            <w:vAlign w:val="bottom"/>
          </w:tcPr>
          <w:p w14:paraId="01676105" w14:textId="77777777" w:rsidR="00AC2082" w:rsidRPr="008F09B7" w:rsidRDefault="00AC2082" w:rsidP="00AC2082">
            <w:pPr>
              <w:keepLines/>
              <w:tabs>
                <w:tab w:val="right" w:pos="1202"/>
              </w:tabs>
              <w:suppressAutoHyphens/>
              <w:autoSpaceDN w:val="0"/>
              <w:spacing w:line="210" w:lineRule="exact"/>
              <w:outlineLvl w:val="0"/>
              <w:rPr>
                <w:rFonts w:ascii="Arial" w:eastAsia="Times New Roman" w:hAnsi="Arial" w:cs="Arial"/>
                <w:bCs/>
                <w:color w:val="000000" w:themeColor="text1"/>
                <w:sz w:val="18"/>
                <w:szCs w:val="18"/>
              </w:rPr>
            </w:pPr>
            <w:bookmarkStart w:id="80" w:name="_Toc67326803"/>
            <w:r w:rsidRPr="008F09B7">
              <w:rPr>
                <w:rFonts w:ascii="Arial" w:eastAsia="Times New Roman" w:hAnsi="Arial" w:cs="Arial"/>
                <w:bCs/>
                <w:color w:val="000000" w:themeColor="text1"/>
                <w:sz w:val="18"/>
                <w:szCs w:val="18"/>
              </w:rPr>
              <w:t>Kupovina financijske imovine po fer vrijednosti kroz dobiti ili gubitak</w:t>
            </w:r>
            <w:bookmarkEnd w:id="80"/>
          </w:p>
        </w:tc>
        <w:tc>
          <w:tcPr>
            <w:tcW w:w="1252" w:type="dxa"/>
            <w:vAlign w:val="bottom"/>
          </w:tcPr>
          <w:p w14:paraId="7601B888" w14:textId="00A739A1" w:rsidR="00AC2082" w:rsidRPr="008F09B7" w:rsidRDefault="00AA792C" w:rsidP="00AC2082">
            <w:pPr>
              <w:keepLines/>
              <w:tabs>
                <w:tab w:val="right" w:pos="1202"/>
              </w:tabs>
              <w:suppressAutoHyphens/>
              <w:autoSpaceDN w:val="0"/>
              <w:spacing w:line="210" w:lineRule="exact"/>
              <w:jc w:val="right"/>
              <w:outlineLvl w:val="0"/>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(81)</w:t>
            </w:r>
          </w:p>
        </w:tc>
        <w:tc>
          <w:tcPr>
            <w:tcW w:w="1252" w:type="dxa"/>
            <w:vAlign w:val="bottom"/>
          </w:tcPr>
          <w:p w14:paraId="3B1130B2" w14:textId="2C6E1DBE" w:rsidR="00AC2082" w:rsidRPr="008F09B7" w:rsidRDefault="00AC2082" w:rsidP="00AC2082">
            <w:pPr>
              <w:keepLines/>
              <w:tabs>
                <w:tab w:val="right" w:pos="1202"/>
              </w:tabs>
              <w:suppressAutoHyphens/>
              <w:autoSpaceDN w:val="0"/>
              <w:spacing w:line="210" w:lineRule="exact"/>
              <w:jc w:val="right"/>
              <w:outlineLvl w:val="0"/>
              <w:rPr>
                <w:rFonts w:ascii="Arial" w:eastAsia="Times New Roman" w:hAnsi="Arial" w:cs="Arial"/>
                <w:bCs/>
                <w:color w:val="000000" w:themeColor="text1"/>
                <w:sz w:val="18"/>
                <w:szCs w:val="18"/>
              </w:rPr>
            </w:pPr>
            <w:r w:rsidRPr="008F09B7">
              <w:rPr>
                <w:rFonts w:ascii="Arial" w:hAnsi="Arial" w:cs="Arial"/>
                <w:sz w:val="18"/>
                <w:szCs w:val="18"/>
              </w:rPr>
              <w:t>(762)</w:t>
            </w:r>
          </w:p>
        </w:tc>
      </w:tr>
      <w:tr w:rsidR="00AC2082" w:rsidRPr="008F09B7" w14:paraId="2726464B" w14:textId="77777777" w:rsidTr="008F09B7">
        <w:tc>
          <w:tcPr>
            <w:tcW w:w="7515" w:type="dxa"/>
            <w:vAlign w:val="bottom"/>
          </w:tcPr>
          <w:p w14:paraId="043B55B2" w14:textId="77777777" w:rsidR="00AC2082" w:rsidRPr="008F09B7" w:rsidRDefault="00AC2082" w:rsidP="00AC2082">
            <w:pPr>
              <w:keepLines/>
              <w:tabs>
                <w:tab w:val="right" w:pos="1202"/>
              </w:tabs>
              <w:suppressAutoHyphens/>
              <w:autoSpaceDN w:val="0"/>
              <w:spacing w:line="210" w:lineRule="exact"/>
              <w:outlineLvl w:val="0"/>
              <w:rPr>
                <w:rFonts w:ascii="Arial" w:eastAsia="Times New Roman" w:hAnsi="Arial" w:cs="Arial"/>
                <w:color w:val="000000" w:themeColor="text1"/>
                <w:spacing w:val="-2"/>
                <w:sz w:val="18"/>
                <w:szCs w:val="18"/>
              </w:rPr>
            </w:pPr>
            <w:bookmarkStart w:id="81" w:name="_Toc67326809"/>
            <w:r w:rsidRPr="008F09B7">
              <w:rPr>
                <w:rFonts w:ascii="Arial" w:eastAsia="Times New Roman" w:hAnsi="Arial" w:cs="Arial"/>
                <w:color w:val="000000" w:themeColor="text1"/>
                <w:sz w:val="18"/>
                <w:szCs w:val="18"/>
              </w:rPr>
              <w:t>Kupovina financijske imovine po fer vrijednosti kroz ostalu sveobuhvatnu dobit</w:t>
            </w:r>
            <w:bookmarkEnd w:id="81"/>
          </w:p>
        </w:tc>
        <w:tc>
          <w:tcPr>
            <w:tcW w:w="1252" w:type="dxa"/>
            <w:vAlign w:val="bottom"/>
          </w:tcPr>
          <w:p w14:paraId="73534123" w14:textId="75EDDB28" w:rsidR="00AC2082" w:rsidRPr="008F09B7" w:rsidRDefault="00AA792C" w:rsidP="00AC2082">
            <w:pPr>
              <w:keepLines/>
              <w:tabs>
                <w:tab w:val="right" w:pos="1202"/>
              </w:tabs>
              <w:suppressAutoHyphens/>
              <w:autoSpaceDN w:val="0"/>
              <w:spacing w:line="210" w:lineRule="exact"/>
              <w:jc w:val="right"/>
              <w:outlineLvl w:val="0"/>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(25.235)</w:t>
            </w:r>
          </w:p>
        </w:tc>
        <w:tc>
          <w:tcPr>
            <w:tcW w:w="1252" w:type="dxa"/>
            <w:vAlign w:val="bottom"/>
          </w:tcPr>
          <w:p w14:paraId="5BF6D3C0" w14:textId="69605FCE" w:rsidR="00AC2082" w:rsidRPr="008F09B7" w:rsidRDefault="00AC2082" w:rsidP="00AC2082">
            <w:pPr>
              <w:keepLines/>
              <w:tabs>
                <w:tab w:val="right" w:pos="1202"/>
              </w:tabs>
              <w:suppressAutoHyphens/>
              <w:autoSpaceDN w:val="0"/>
              <w:spacing w:line="210" w:lineRule="exact"/>
              <w:jc w:val="right"/>
              <w:outlineLvl w:val="0"/>
              <w:rPr>
                <w:rFonts w:ascii="Arial" w:eastAsia="Times New Roman" w:hAnsi="Arial" w:cs="Arial"/>
                <w:color w:val="000000" w:themeColor="text1"/>
                <w:spacing w:val="-2"/>
                <w:sz w:val="18"/>
                <w:szCs w:val="18"/>
              </w:rPr>
            </w:pPr>
            <w:r w:rsidRPr="008F09B7">
              <w:rPr>
                <w:rFonts w:ascii="Arial" w:hAnsi="Arial" w:cs="Arial"/>
                <w:sz w:val="18"/>
                <w:szCs w:val="18"/>
              </w:rPr>
              <w:t>(56.952)</w:t>
            </w:r>
          </w:p>
        </w:tc>
      </w:tr>
      <w:tr w:rsidR="00AC2082" w:rsidRPr="008F09B7" w14:paraId="28D76A81" w14:textId="77777777" w:rsidTr="008F09B7">
        <w:tc>
          <w:tcPr>
            <w:tcW w:w="7515" w:type="dxa"/>
            <w:vAlign w:val="bottom"/>
          </w:tcPr>
          <w:p w14:paraId="0263610C" w14:textId="77777777" w:rsidR="00AC2082" w:rsidRPr="008F09B7" w:rsidRDefault="00AC2082" w:rsidP="00AC2082">
            <w:pPr>
              <w:keepLines/>
              <w:tabs>
                <w:tab w:val="right" w:pos="1202"/>
              </w:tabs>
              <w:suppressAutoHyphens/>
              <w:autoSpaceDN w:val="0"/>
              <w:spacing w:line="210" w:lineRule="exact"/>
              <w:outlineLvl w:val="0"/>
              <w:rPr>
                <w:rFonts w:ascii="Arial" w:eastAsia="Times New Roman" w:hAnsi="Arial" w:cs="Arial"/>
                <w:color w:val="000000" w:themeColor="text1"/>
                <w:sz w:val="18"/>
                <w:szCs w:val="18"/>
              </w:rPr>
            </w:pPr>
            <w:bookmarkStart w:id="82" w:name="_Toc67326812"/>
            <w:r w:rsidRPr="008F09B7">
              <w:rPr>
                <w:rFonts w:ascii="Arial" w:eastAsia="Times New Roman" w:hAnsi="Arial" w:cs="Arial"/>
                <w:color w:val="000000" w:themeColor="text1"/>
                <w:sz w:val="18"/>
                <w:szCs w:val="18"/>
              </w:rPr>
              <w:t>Prodaja financijske imovine po fer vrijednosti kroz ostalu sveobuhvatnu dobit</w:t>
            </w:r>
            <w:bookmarkEnd w:id="82"/>
          </w:p>
        </w:tc>
        <w:tc>
          <w:tcPr>
            <w:tcW w:w="1252" w:type="dxa"/>
            <w:vAlign w:val="bottom"/>
          </w:tcPr>
          <w:p w14:paraId="398ECCDF" w14:textId="4F34A6E0" w:rsidR="00AC2082" w:rsidRPr="008F09B7" w:rsidRDefault="00AE401B" w:rsidP="00AC2082">
            <w:pPr>
              <w:keepLines/>
              <w:tabs>
                <w:tab w:val="right" w:pos="1202"/>
              </w:tabs>
              <w:suppressAutoHyphens/>
              <w:autoSpaceDN w:val="0"/>
              <w:spacing w:line="210" w:lineRule="exact"/>
              <w:jc w:val="right"/>
              <w:outlineLvl w:val="0"/>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12.005</w:t>
            </w:r>
          </w:p>
        </w:tc>
        <w:tc>
          <w:tcPr>
            <w:tcW w:w="1252" w:type="dxa"/>
            <w:vAlign w:val="bottom"/>
          </w:tcPr>
          <w:p w14:paraId="365653BE" w14:textId="3148462B" w:rsidR="00AC2082" w:rsidRPr="008F09B7" w:rsidRDefault="00AC2082" w:rsidP="00AC2082">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sidRPr="008F09B7">
              <w:rPr>
                <w:rFonts w:ascii="Arial" w:hAnsi="Arial" w:cs="Arial"/>
                <w:sz w:val="18"/>
                <w:szCs w:val="18"/>
              </w:rPr>
              <w:t>70.343</w:t>
            </w:r>
          </w:p>
        </w:tc>
      </w:tr>
      <w:tr w:rsidR="00AC2082" w:rsidRPr="008F09B7" w14:paraId="79EEEA64" w14:textId="77777777" w:rsidTr="008F09B7">
        <w:tc>
          <w:tcPr>
            <w:tcW w:w="7515" w:type="dxa"/>
            <w:shd w:val="clear" w:color="auto" w:fill="auto"/>
            <w:vAlign w:val="bottom"/>
          </w:tcPr>
          <w:p w14:paraId="2FEC5021" w14:textId="77777777" w:rsidR="00AC2082" w:rsidRPr="008F09B7" w:rsidRDefault="00AC2082" w:rsidP="00AC2082">
            <w:pPr>
              <w:keepLines/>
              <w:tabs>
                <w:tab w:val="right" w:pos="1202"/>
              </w:tabs>
              <w:suppressAutoHyphens/>
              <w:autoSpaceDN w:val="0"/>
              <w:spacing w:line="210" w:lineRule="exact"/>
              <w:outlineLvl w:val="0"/>
              <w:rPr>
                <w:rFonts w:ascii="Arial" w:eastAsia="Times New Roman" w:hAnsi="Arial" w:cs="Arial"/>
                <w:color w:val="000000" w:themeColor="text1"/>
                <w:spacing w:val="-2"/>
                <w:sz w:val="18"/>
                <w:szCs w:val="18"/>
              </w:rPr>
            </w:pPr>
            <w:bookmarkStart w:id="83" w:name="_Toc67326821"/>
            <w:r w:rsidRPr="008F09B7">
              <w:rPr>
                <w:rFonts w:ascii="Arial" w:eastAsia="Times New Roman" w:hAnsi="Arial" w:cs="Arial"/>
                <w:color w:val="000000" w:themeColor="text1"/>
                <w:spacing w:val="-2"/>
                <w:sz w:val="18"/>
                <w:szCs w:val="18"/>
              </w:rPr>
              <w:t>Neto nabava nekretnina, postrojenja i opreme i nematerijalne imovine</w:t>
            </w:r>
            <w:bookmarkEnd w:id="83"/>
          </w:p>
        </w:tc>
        <w:tc>
          <w:tcPr>
            <w:tcW w:w="1252" w:type="dxa"/>
            <w:tcBorders>
              <w:bottom w:val="single" w:sz="4" w:space="0" w:color="auto"/>
            </w:tcBorders>
            <w:vAlign w:val="bottom"/>
          </w:tcPr>
          <w:p w14:paraId="17CAC73A" w14:textId="4809AC9E" w:rsidR="00AC2082" w:rsidRPr="008F09B7" w:rsidRDefault="00AE401B" w:rsidP="00AC2082">
            <w:pPr>
              <w:keepLines/>
              <w:suppressAutoHyphens/>
              <w:autoSpaceDN w:val="0"/>
              <w:spacing w:line="210" w:lineRule="exact"/>
              <w:jc w:val="right"/>
              <w:rPr>
                <w:rFonts w:ascii="Arial" w:eastAsia="Times New Roman" w:hAnsi="Arial" w:cs="Arial"/>
                <w:color w:val="000000" w:themeColor="text1"/>
                <w:spacing w:val="-2"/>
                <w:sz w:val="18"/>
                <w:szCs w:val="18"/>
              </w:rPr>
            </w:pPr>
            <w:r>
              <w:rPr>
                <w:rFonts w:ascii="Arial" w:eastAsia="Times New Roman" w:hAnsi="Arial" w:cs="Arial"/>
                <w:color w:val="000000" w:themeColor="text1"/>
                <w:spacing w:val="-2"/>
                <w:sz w:val="18"/>
                <w:szCs w:val="18"/>
              </w:rPr>
              <w:t>(706)</w:t>
            </w:r>
          </w:p>
        </w:tc>
        <w:tc>
          <w:tcPr>
            <w:tcW w:w="1252" w:type="dxa"/>
            <w:tcBorders>
              <w:bottom w:val="single" w:sz="4" w:space="0" w:color="auto"/>
            </w:tcBorders>
            <w:vAlign w:val="bottom"/>
          </w:tcPr>
          <w:p w14:paraId="5949A940" w14:textId="3CB89B6A" w:rsidR="00AC2082" w:rsidRPr="008F09B7" w:rsidRDefault="00AC2082" w:rsidP="00AC2082">
            <w:pPr>
              <w:keepLines/>
              <w:suppressAutoHyphens/>
              <w:autoSpaceDN w:val="0"/>
              <w:spacing w:line="210" w:lineRule="exact"/>
              <w:jc w:val="right"/>
              <w:rPr>
                <w:rFonts w:ascii="Arial" w:eastAsia="Times New Roman" w:hAnsi="Arial" w:cs="Arial"/>
                <w:color w:val="000000" w:themeColor="text1"/>
                <w:spacing w:val="-2"/>
                <w:sz w:val="18"/>
                <w:szCs w:val="18"/>
              </w:rPr>
            </w:pPr>
            <w:r w:rsidRPr="008F09B7">
              <w:rPr>
                <w:rFonts w:ascii="Arial" w:eastAsia="Times New Roman" w:hAnsi="Arial" w:cs="Arial"/>
                <w:color w:val="000000" w:themeColor="text1"/>
                <w:spacing w:val="-2"/>
                <w:sz w:val="18"/>
                <w:szCs w:val="18"/>
              </w:rPr>
              <w:t>(172)</w:t>
            </w:r>
          </w:p>
        </w:tc>
      </w:tr>
      <w:tr w:rsidR="00AC2082" w:rsidRPr="008F09B7" w14:paraId="2D5EBF5D" w14:textId="77777777" w:rsidTr="008F09B7">
        <w:trPr>
          <w:trHeight w:val="235"/>
        </w:trPr>
        <w:tc>
          <w:tcPr>
            <w:tcW w:w="7515" w:type="dxa"/>
            <w:vAlign w:val="bottom"/>
          </w:tcPr>
          <w:p w14:paraId="5DA2FEFB" w14:textId="17D3C0F5" w:rsidR="00AC2082" w:rsidRPr="008F09B7" w:rsidRDefault="00AC2082" w:rsidP="00AC2082">
            <w:pPr>
              <w:keepLines/>
              <w:tabs>
                <w:tab w:val="right" w:pos="1202"/>
              </w:tabs>
              <w:suppressAutoHyphens/>
              <w:autoSpaceDN w:val="0"/>
              <w:spacing w:line="220" w:lineRule="exact"/>
              <w:outlineLvl w:val="0"/>
              <w:rPr>
                <w:rFonts w:ascii="Arial" w:eastAsia="Times New Roman" w:hAnsi="Arial" w:cs="Arial"/>
                <w:b/>
                <w:bCs/>
                <w:color w:val="000000" w:themeColor="text1"/>
                <w:sz w:val="18"/>
                <w:szCs w:val="18"/>
              </w:rPr>
            </w:pPr>
            <w:bookmarkStart w:id="84" w:name="_Toc67326822"/>
            <w:r w:rsidRPr="008F09B7">
              <w:rPr>
                <w:rFonts w:ascii="Arial" w:eastAsia="Times New Roman" w:hAnsi="Arial" w:cs="Arial"/>
                <w:b/>
                <w:bCs/>
                <w:color w:val="000000" w:themeColor="text1"/>
                <w:sz w:val="18"/>
                <w:szCs w:val="18"/>
              </w:rPr>
              <w:t xml:space="preserve">Neto novčana sredstva </w:t>
            </w:r>
            <w:r w:rsidR="005011C4">
              <w:rPr>
                <w:rFonts w:ascii="Arial" w:eastAsia="Times New Roman" w:hAnsi="Arial" w:cs="Arial"/>
                <w:b/>
                <w:bCs/>
                <w:color w:val="000000" w:themeColor="text1"/>
                <w:sz w:val="18"/>
                <w:szCs w:val="18"/>
              </w:rPr>
              <w:t>(uporabljena)/</w:t>
            </w:r>
            <w:r w:rsidRPr="00534C35">
              <w:rPr>
                <w:rFonts w:ascii="Arial" w:eastAsia="Times New Roman" w:hAnsi="Arial" w:cs="Arial"/>
                <w:b/>
                <w:bCs/>
                <w:color w:val="000000" w:themeColor="text1"/>
                <w:sz w:val="18"/>
                <w:szCs w:val="18"/>
              </w:rPr>
              <w:t>ostvarena</w:t>
            </w:r>
            <w:r w:rsidRPr="008F09B7">
              <w:rPr>
                <w:rFonts w:ascii="Arial" w:eastAsia="Times New Roman" w:hAnsi="Arial" w:cs="Arial"/>
                <w:b/>
                <w:bCs/>
                <w:color w:val="000000" w:themeColor="text1"/>
                <w:sz w:val="18"/>
                <w:szCs w:val="18"/>
              </w:rPr>
              <w:t xml:space="preserve"> u </w:t>
            </w:r>
            <w:proofErr w:type="spellStart"/>
            <w:r w:rsidRPr="008F09B7">
              <w:rPr>
                <w:rFonts w:ascii="Arial" w:eastAsia="Times New Roman" w:hAnsi="Arial" w:cs="Arial"/>
                <w:b/>
                <w:bCs/>
                <w:color w:val="000000" w:themeColor="text1"/>
                <w:sz w:val="18"/>
                <w:szCs w:val="18"/>
              </w:rPr>
              <w:t>ulagateljskim</w:t>
            </w:r>
            <w:proofErr w:type="spellEnd"/>
            <w:r w:rsidRPr="008F09B7">
              <w:rPr>
                <w:rFonts w:ascii="Arial" w:eastAsia="Times New Roman" w:hAnsi="Arial" w:cs="Arial"/>
                <w:b/>
                <w:bCs/>
                <w:color w:val="000000" w:themeColor="text1"/>
                <w:sz w:val="18"/>
                <w:szCs w:val="18"/>
              </w:rPr>
              <w:t xml:space="preserve"> aktivnostima</w:t>
            </w:r>
            <w:bookmarkEnd w:id="84"/>
          </w:p>
        </w:tc>
        <w:tc>
          <w:tcPr>
            <w:tcW w:w="1252" w:type="dxa"/>
            <w:tcBorders>
              <w:top w:val="single" w:sz="4" w:space="0" w:color="auto"/>
              <w:bottom w:val="single" w:sz="12" w:space="0" w:color="auto"/>
            </w:tcBorders>
            <w:vAlign w:val="bottom"/>
          </w:tcPr>
          <w:p w14:paraId="511CB860" w14:textId="52780767" w:rsidR="00AC2082" w:rsidRPr="008F09B7" w:rsidRDefault="00AE401B" w:rsidP="00AC2082">
            <w:pPr>
              <w:suppressAutoHyphens/>
              <w:autoSpaceDN w:val="0"/>
              <w:spacing w:line="220" w:lineRule="exact"/>
              <w:jc w:val="right"/>
              <w:outlineLvl w:val="0"/>
              <w:rPr>
                <w:rFonts w:ascii="Arial" w:eastAsia="Times New Roman" w:hAnsi="Arial" w:cs="Arial"/>
                <w:b/>
                <w:bCs/>
                <w:color w:val="000000" w:themeColor="text1"/>
                <w:spacing w:val="-2"/>
                <w:sz w:val="18"/>
                <w:szCs w:val="18"/>
              </w:rPr>
            </w:pPr>
            <w:r>
              <w:rPr>
                <w:rFonts w:ascii="Arial" w:eastAsia="Times New Roman" w:hAnsi="Arial" w:cs="Arial"/>
                <w:b/>
                <w:bCs/>
                <w:color w:val="000000" w:themeColor="text1"/>
                <w:spacing w:val="-2"/>
                <w:sz w:val="18"/>
                <w:szCs w:val="18"/>
              </w:rPr>
              <w:t>(14.017)</w:t>
            </w:r>
          </w:p>
        </w:tc>
        <w:tc>
          <w:tcPr>
            <w:tcW w:w="1252" w:type="dxa"/>
            <w:tcBorders>
              <w:top w:val="single" w:sz="4" w:space="0" w:color="auto"/>
              <w:bottom w:val="single" w:sz="12" w:space="0" w:color="auto"/>
            </w:tcBorders>
            <w:vAlign w:val="bottom"/>
          </w:tcPr>
          <w:p w14:paraId="55DA28DE" w14:textId="112F0967" w:rsidR="00AC2082" w:rsidRPr="008F09B7" w:rsidRDefault="00AC2082" w:rsidP="00AC2082">
            <w:pPr>
              <w:suppressAutoHyphens/>
              <w:autoSpaceDN w:val="0"/>
              <w:spacing w:line="220" w:lineRule="exact"/>
              <w:jc w:val="right"/>
              <w:outlineLvl w:val="0"/>
              <w:rPr>
                <w:rFonts w:ascii="Arial" w:eastAsia="Times New Roman" w:hAnsi="Arial" w:cs="Arial"/>
                <w:b/>
                <w:bCs/>
                <w:color w:val="000000" w:themeColor="text1"/>
                <w:spacing w:val="-2"/>
                <w:sz w:val="18"/>
                <w:szCs w:val="18"/>
              </w:rPr>
            </w:pPr>
            <w:r w:rsidRPr="008F09B7">
              <w:rPr>
                <w:rFonts w:ascii="Arial" w:eastAsia="Times New Roman" w:hAnsi="Arial" w:cs="Arial"/>
                <w:b/>
                <w:bCs/>
                <w:color w:val="000000" w:themeColor="text1"/>
                <w:spacing w:val="-2"/>
                <w:sz w:val="18"/>
                <w:szCs w:val="18"/>
              </w:rPr>
              <w:t>12.457</w:t>
            </w:r>
          </w:p>
        </w:tc>
      </w:tr>
      <w:tr w:rsidR="00AC2082" w:rsidRPr="008F09B7" w14:paraId="1E4DD442" w14:textId="77777777" w:rsidTr="008F09B7">
        <w:tc>
          <w:tcPr>
            <w:tcW w:w="7515" w:type="dxa"/>
            <w:vAlign w:val="bottom"/>
          </w:tcPr>
          <w:p w14:paraId="26E03026" w14:textId="77777777" w:rsidR="00AC2082" w:rsidRPr="008F09B7" w:rsidRDefault="00AC2082" w:rsidP="00AC2082">
            <w:pPr>
              <w:keepLines/>
              <w:tabs>
                <w:tab w:val="right" w:pos="1202"/>
              </w:tabs>
              <w:suppressAutoHyphens/>
              <w:autoSpaceDN w:val="0"/>
              <w:spacing w:line="210" w:lineRule="exact"/>
              <w:outlineLvl w:val="0"/>
              <w:rPr>
                <w:rFonts w:ascii="Arial" w:eastAsia="Times New Roman" w:hAnsi="Arial" w:cs="Arial"/>
                <w:b/>
                <w:bCs/>
                <w:color w:val="000000" w:themeColor="text1"/>
                <w:sz w:val="18"/>
                <w:szCs w:val="18"/>
              </w:rPr>
            </w:pPr>
          </w:p>
        </w:tc>
        <w:tc>
          <w:tcPr>
            <w:tcW w:w="1252" w:type="dxa"/>
            <w:tcBorders>
              <w:top w:val="single" w:sz="12" w:space="0" w:color="auto"/>
            </w:tcBorders>
            <w:vAlign w:val="bottom"/>
          </w:tcPr>
          <w:p w14:paraId="01A3E1B9" w14:textId="77777777" w:rsidR="00AC2082" w:rsidRPr="008F09B7" w:rsidRDefault="00AC2082" w:rsidP="00AC2082">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c>
          <w:tcPr>
            <w:tcW w:w="1252" w:type="dxa"/>
            <w:tcBorders>
              <w:top w:val="single" w:sz="12" w:space="0" w:color="auto"/>
            </w:tcBorders>
            <w:vAlign w:val="bottom"/>
          </w:tcPr>
          <w:p w14:paraId="0717275D" w14:textId="77777777" w:rsidR="00AC2082" w:rsidRPr="008F09B7" w:rsidRDefault="00AC2082" w:rsidP="00AC2082">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r>
      <w:tr w:rsidR="00AC2082" w:rsidRPr="008F09B7" w14:paraId="2A3C0D01" w14:textId="77777777" w:rsidTr="008F09B7">
        <w:tc>
          <w:tcPr>
            <w:tcW w:w="7515" w:type="dxa"/>
            <w:vAlign w:val="bottom"/>
          </w:tcPr>
          <w:p w14:paraId="2AD4B32B" w14:textId="77777777" w:rsidR="00AC2082" w:rsidRPr="008F09B7" w:rsidRDefault="00AC2082" w:rsidP="00AC2082">
            <w:pPr>
              <w:keepLines/>
              <w:tabs>
                <w:tab w:val="right" w:pos="1202"/>
              </w:tabs>
              <w:suppressAutoHyphens/>
              <w:autoSpaceDN w:val="0"/>
              <w:spacing w:line="210" w:lineRule="exact"/>
              <w:outlineLvl w:val="0"/>
              <w:rPr>
                <w:rFonts w:ascii="Arial" w:eastAsia="Times New Roman" w:hAnsi="Arial" w:cs="Arial"/>
                <w:b/>
                <w:bCs/>
                <w:color w:val="000000" w:themeColor="text1"/>
                <w:spacing w:val="-3"/>
                <w:sz w:val="18"/>
                <w:szCs w:val="18"/>
              </w:rPr>
            </w:pPr>
            <w:bookmarkStart w:id="85" w:name="_Toc67326823"/>
            <w:r w:rsidRPr="008F09B7">
              <w:rPr>
                <w:rFonts w:ascii="Arial" w:eastAsia="Times New Roman" w:hAnsi="Arial" w:cs="Arial"/>
                <w:b/>
                <w:bCs/>
                <w:color w:val="000000" w:themeColor="text1"/>
                <w:sz w:val="18"/>
                <w:szCs w:val="18"/>
              </w:rPr>
              <w:t>Financijske aktivnosti</w:t>
            </w:r>
            <w:bookmarkEnd w:id="85"/>
          </w:p>
        </w:tc>
        <w:tc>
          <w:tcPr>
            <w:tcW w:w="1252" w:type="dxa"/>
            <w:vAlign w:val="bottom"/>
          </w:tcPr>
          <w:p w14:paraId="3CEA49E2" w14:textId="77777777" w:rsidR="00AC2082" w:rsidRPr="008F09B7" w:rsidRDefault="00AC2082" w:rsidP="00AC2082">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c>
          <w:tcPr>
            <w:tcW w:w="1252" w:type="dxa"/>
            <w:vAlign w:val="bottom"/>
          </w:tcPr>
          <w:p w14:paraId="0321295A" w14:textId="77777777" w:rsidR="00AC2082" w:rsidRPr="008F09B7" w:rsidRDefault="00AC2082" w:rsidP="00AC2082">
            <w:pPr>
              <w:keepLines/>
              <w:tabs>
                <w:tab w:val="right" w:pos="1202"/>
              </w:tabs>
              <w:suppressAutoHyphens/>
              <w:autoSpaceDN w:val="0"/>
              <w:spacing w:line="210" w:lineRule="exact"/>
              <w:jc w:val="right"/>
              <w:outlineLvl w:val="0"/>
              <w:rPr>
                <w:rFonts w:ascii="Arial" w:eastAsia="Times New Roman" w:hAnsi="Arial" w:cs="Arial"/>
                <w:b/>
                <w:bCs/>
                <w:color w:val="000000" w:themeColor="text1"/>
                <w:sz w:val="18"/>
                <w:szCs w:val="18"/>
              </w:rPr>
            </w:pPr>
          </w:p>
        </w:tc>
      </w:tr>
      <w:tr w:rsidR="00AC2082" w:rsidRPr="008F09B7" w14:paraId="0F5B94D6" w14:textId="77777777" w:rsidTr="005D1219">
        <w:tc>
          <w:tcPr>
            <w:tcW w:w="7515" w:type="dxa"/>
            <w:vAlign w:val="bottom"/>
          </w:tcPr>
          <w:p w14:paraId="5CCBB8C1" w14:textId="77777777" w:rsidR="00AC2082" w:rsidRPr="008F09B7" w:rsidRDefault="00AC2082" w:rsidP="00AC2082">
            <w:pPr>
              <w:keepLines/>
              <w:tabs>
                <w:tab w:val="right" w:pos="1202"/>
              </w:tabs>
              <w:suppressAutoHyphens/>
              <w:autoSpaceDN w:val="0"/>
              <w:spacing w:line="210" w:lineRule="exact"/>
              <w:outlineLvl w:val="0"/>
              <w:rPr>
                <w:rFonts w:ascii="Arial" w:eastAsia="Times New Roman" w:hAnsi="Arial" w:cs="Arial"/>
                <w:color w:val="000000" w:themeColor="text1"/>
                <w:spacing w:val="-3"/>
                <w:sz w:val="18"/>
                <w:szCs w:val="18"/>
              </w:rPr>
            </w:pPr>
            <w:bookmarkStart w:id="86" w:name="_Toc67326824"/>
            <w:r w:rsidRPr="008F09B7">
              <w:rPr>
                <w:rFonts w:ascii="Arial" w:eastAsia="Times New Roman" w:hAnsi="Arial" w:cs="Arial"/>
                <w:color w:val="000000" w:themeColor="text1"/>
                <w:spacing w:val="-3"/>
                <w:sz w:val="18"/>
                <w:szCs w:val="18"/>
              </w:rPr>
              <w:t>Povećanje osnivačkog kapitala</w:t>
            </w:r>
            <w:bookmarkEnd w:id="86"/>
          </w:p>
        </w:tc>
        <w:tc>
          <w:tcPr>
            <w:tcW w:w="1252" w:type="dxa"/>
            <w:tcBorders>
              <w:top w:val="nil"/>
              <w:left w:val="nil"/>
              <w:right w:val="nil"/>
            </w:tcBorders>
            <w:shd w:val="clear" w:color="auto" w:fill="auto"/>
            <w:vAlign w:val="bottom"/>
          </w:tcPr>
          <w:p w14:paraId="0E7BA958" w14:textId="312011DF" w:rsidR="00AC2082" w:rsidRPr="00CE4C44" w:rsidRDefault="00AE401B" w:rsidP="00AC2082">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252" w:type="dxa"/>
            <w:tcBorders>
              <w:top w:val="nil"/>
              <w:left w:val="nil"/>
              <w:bottom w:val="nil"/>
              <w:right w:val="nil"/>
            </w:tcBorders>
            <w:shd w:val="clear" w:color="auto" w:fill="auto"/>
            <w:vAlign w:val="bottom"/>
          </w:tcPr>
          <w:p w14:paraId="391C57A8" w14:textId="1C2800B9" w:rsidR="00AC2082" w:rsidRPr="00CE4C44" w:rsidRDefault="00AC2082" w:rsidP="00AC2082">
            <w:pPr>
              <w:keepLines/>
              <w:tabs>
                <w:tab w:val="right" w:pos="1202"/>
              </w:tabs>
              <w:suppressAutoHyphens/>
              <w:autoSpaceDN w:val="0"/>
              <w:spacing w:line="210" w:lineRule="exact"/>
              <w:jc w:val="right"/>
              <w:outlineLvl w:val="0"/>
              <w:rPr>
                <w:rFonts w:ascii="Arial" w:eastAsia="Times New Roman" w:hAnsi="Arial" w:cs="Arial"/>
                <w:color w:val="000000" w:themeColor="text1"/>
                <w:spacing w:val="-2"/>
                <w:sz w:val="18"/>
                <w:szCs w:val="18"/>
              </w:rPr>
            </w:pPr>
            <w:r w:rsidRPr="00CE4C44">
              <w:rPr>
                <w:rFonts w:ascii="Arial" w:eastAsia="Times New Roman" w:hAnsi="Arial" w:cs="Arial"/>
                <w:color w:val="000000" w:themeColor="text1"/>
                <w:sz w:val="18"/>
                <w:szCs w:val="18"/>
              </w:rPr>
              <w:t>-</w:t>
            </w:r>
          </w:p>
        </w:tc>
      </w:tr>
      <w:tr w:rsidR="005011C4" w:rsidRPr="008F09B7" w14:paraId="1A51CC8E" w14:textId="77777777" w:rsidTr="005D1219">
        <w:tc>
          <w:tcPr>
            <w:tcW w:w="7515" w:type="dxa"/>
            <w:vAlign w:val="bottom"/>
          </w:tcPr>
          <w:p w14:paraId="47699030" w14:textId="77777777" w:rsidR="005011C4" w:rsidRPr="008F09B7" w:rsidRDefault="005011C4" w:rsidP="005011C4">
            <w:pPr>
              <w:keepLines/>
              <w:tabs>
                <w:tab w:val="right" w:pos="1202"/>
              </w:tabs>
              <w:suppressAutoHyphens/>
              <w:autoSpaceDN w:val="0"/>
              <w:spacing w:line="210" w:lineRule="exact"/>
              <w:outlineLvl w:val="0"/>
              <w:rPr>
                <w:rFonts w:ascii="Arial" w:eastAsia="Times New Roman" w:hAnsi="Arial" w:cs="Arial"/>
                <w:color w:val="000000" w:themeColor="text1"/>
                <w:spacing w:val="-3"/>
                <w:sz w:val="18"/>
                <w:szCs w:val="18"/>
              </w:rPr>
            </w:pPr>
            <w:bookmarkStart w:id="87" w:name="_Toc67326827"/>
            <w:r w:rsidRPr="008F09B7">
              <w:rPr>
                <w:rFonts w:ascii="Arial" w:eastAsia="Times New Roman" w:hAnsi="Arial" w:cs="Arial"/>
                <w:color w:val="000000" w:themeColor="text1"/>
                <w:spacing w:val="-3"/>
                <w:sz w:val="18"/>
                <w:szCs w:val="18"/>
              </w:rPr>
              <w:t>Povećanje obveza po kreditima povlačenjem sredstava kredita</w:t>
            </w:r>
            <w:bookmarkEnd w:id="87"/>
          </w:p>
        </w:tc>
        <w:tc>
          <w:tcPr>
            <w:tcW w:w="1252" w:type="dxa"/>
            <w:tcBorders>
              <w:left w:val="nil"/>
            </w:tcBorders>
            <w:shd w:val="clear" w:color="auto" w:fill="auto"/>
            <w:vAlign w:val="bottom"/>
          </w:tcPr>
          <w:p w14:paraId="37CD4EFD" w14:textId="2B60294F" w:rsidR="005011C4" w:rsidRPr="005011C4" w:rsidRDefault="005011C4" w:rsidP="005011C4">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sidRPr="005D1219">
              <w:rPr>
                <w:rFonts w:ascii="Arial" w:hAnsi="Arial" w:cs="Arial"/>
                <w:sz w:val="18"/>
                <w:szCs w:val="18"/>
              </w:rPr>
              <w:t>196.931</w:t>
            </w:r>
          </w:p>
        </w:tc>
        <w:tc>
          <w:tcPr>
            <w:tcW w:w="1252" w:type="dxa"/>
            <w:tcBorders>
              <w:top w:val="nil"/>
              <w:left w:val="nil"/>
              <w:bottom w:val="nil"/>
              <w:right w:val="nil"/>
            </w:tcBorders>
            <w:shd w:val="clear" w:color="auto" w:fill="auto"/>
          </w:tcPr>
          <w:p w14:paraId="5A5C19AC" w14:textId="45B0674A" w:rsidR="005011C4" w:rsidRPr="00CE4C44" w:rsidRDefault="005011C4" w:rsidP="005011C4">
            <w:pPr>
              <w:keepLines/>
              <w:tabs>
                <w:tab w:val="right" w:pos="1202"/>
              </w:tabs>
              <w:suppressAutoHyphens/>
              <w:autoSpaceDN w:val="0"/>
              <w:spacing w:line="210" w:lineRule="exact"/>
              <w:jc w:val="right"/>
              <w:outlineLvl w:val="0"/>
              <w:rPr>
                <w:rFonts w:ascii="Arial" w:eastAsia="Times New Roman" w:hAnsi="Arial" w:cs="Arial"/>
                <w:color w:val="000000" w:themeColor="text1"/>
                <w:spacing w:val="-2"/>
                <w:sz w:val="18"/>
                <w:szCs w:val="18"/>
              </w:rPr>
            </w:pPr>
            <w:r w:rsidRPr="00CE4C44">
              <w:rPr>
                <w:rFonts w:ascii="Arial" w:hAnsi="Arial" w:cs="Arial"/>
                <w:sz w:val="18"/>
                <w:szCs w:val="18"/>
              </w:rPr>
              <w:t>125.000</w:t>
            </w:r>
          </w:p>
        </w:tc>
      </w:tr>
      <w:tr w:rsidR="005011C4" w:rsidRPr="008F09B7" w14:paraId="1FA288DA" w14:textId="77777777" w:rsidTr="005D1219">
        <w:tc>
          <w:tcPr>
            <w:tcW w:w="7515" w:type="dxa"/>
            <w:vAlign w:val="bottom"/>
          </w:tcPr>
          <w:p w14:paraId="4F211ABC" w14:textId="77777777" w:rsidR="005011C4" w:rsidRPr="008F09B7" w:rsidRDefault="005011C4" w:rsidP="005011C4">
            <w:pPr>
              <w:keepLines/>
              <w:tabs>
                <w:tab w:val="right" w:pos="1202"/>
              </w:tabs>
              <w:suppressAutoHyphens/>
              <w:autoSpaceDN w:val="0"/>
              <w:spacing w:line="210" w:lineRule="exact"/>
              <w:outlineLvl w:val="0"/>
              <w:rPr>
                <w:rFonts w:ascii="Arial" w:eastAsia="Times New Roman" w:hAnsi="Arial" w:cs="Arial"/>
                <w:color w:val="000000" w:themeColor="text1"/>
                <w:spacing w:val="-3"/>
                <w:sz w:val="18"/>
                <w:szCs w:val="18"/>
              </w:rPr>
            </w:pPr>
            <w:bookmarkStart w:id="88" w:name="_Toc67326830"/>
            <w:r w:rsidRPr="008F09B7">
              <w:rPr>
                <w:rFonts w:ascii="Arial" w:eastAsia="Times New Roman" w:hAnsi="Arial" w:cs="Arial"/>
                <w:color w:val="000000" w:themeColor="text1"/>
                <w:spacing w:val="-3"/>
                <w:sz w:val="18"/>
                <w:szCs w:val="18"/>
              </w:rPr>
              <w:t>Smanjenje obveza po kreditima otplatom glavnice kredita</w:t>
            </w:r>
            <w:bookmarkEnd w:id="88"/>
          </w:p>
        </w:tc>
        <w:tc>
          <w:tcPr>
            <w:tcW w:w="1252" w:type="dxa"/>
            <w:tcBorders>
              <w:top w:val="nil"/>
              <w:left w:val="nil"/>
            </w:tcBorders>
            <w:shd w:val="clear" w:color="auto" w:fill="auto"/>
            <w:vAlign w:val="bottom"/>
          </w:tcPr>
          <w:p w14:paraId="440B6C26" w14:textId="26CF6C3F" w:rsidR="005011C4" w:rsidRPr="005011C4" w:rsidRDefault="00A1045A" w:rsidP="005011C4">
            <w:pPr>
              <w:keepLines/>
              <w:tabs>
                <w:tab w:val="right" w:pos="1202"/>
              </w:tabs>
              <w:suppressAutoHyphens/>
              <w:autoSpaceDN w:val="0"/>
              <w:spacing w:line="210" w:lineRule="exact"/>
              <w:jc w:val="right"/>
              <w:outlineLvl w:val="0"/>
              <w:rPr>
                <w:rFonts w:ascii="Arial" w:eastAsia="Times New Roman" w:hAnsi="Arial" w:cs="Arial"/>
                <w:color w:val="000000" w:themeColor="text1"/>
                <w:sz w:val="18"/>
                <w:szCs w:val="18"/>
              </w:rPr>
            </w:pPr>
            <w:r>
              <w:rPr>
                <w:rFonts w:ascii="Arial" w:hAnsi="Arial" w:cs="Arial"/>
                <w:sz w:val="18"/>
                <w:szCs w:val="18"/>
              </w:rPr>
              <w:t>(</w:t>
            </w:r>
            <w:r w:rsidR="005011C4" w:rsidRPr="005D1219">
              <w:rPr>
                <w:rFonts w:ascii="Arial" w:hAnsi="Arial" w:cs="Arial"/>
                <w:sz w:val="18"/>
                <w:szCs w:val="18"/>
              </w:rPr>
              <w:t>222.033</w:t>
            </w:r>
            <w:r>
              <w:rPr>
                <w:rFonts w:ascii="Arial" w:hAnsi="Arial" w:cs="Arial"/>
                <w:sz w:val="18"/>
                <w:szCs w:val="18"/>
              </w:rPr>
              <w:t>)</w:t>
            </w:r>
          </w:p>
        </w:tc>
        <w:tc>
          <w:tcPr>
            <w:tcW w:w="1252" w:type="dxa"/>
            <w:tcBorders>
              <w:top w:val="nil"/>
              <w:left w:val="nil"/>
              <w:right w:val="nil"/>
            </w:tcBorders>
            <w:shd w:val="clear" w:color="auto" w:fill="auto"/>
          </w:tcPr>
          <w:p w14:paraId="0540BD15" w14:textId="1B77508F" w:rsidR="005011C4" w:rsidRPr="00CE4C44" w:rsidRDefault="005011C4" w:rsidP="005011C4">
            <w:pPr>
              <w:keepLines/>
              <w:tabs>
                <w:tab w:val="right" w:pos="1202"/>
              </w:tabs>
              <w:suppressAutoHyphens/>
              <w:autoSpaceDN w:val="0"/>
              <w:spacing w:line="210" w:lineRule="exact"/>
              <w:jc w:val="right"/>
              <w:outlineLvl w:val="0"/>
              <w:rPr>
                <w:rFonts w:ascii="Arial" w:eastAsia="Times New Roman" w:hAnsi="Arial" w:cs="Arial"/>
                <w:color w:val="000000" w:themeColor="text1"/>
                <w:spacing w:val="-2"/>
                <w:sz w:val="18"/>
                <w:szCs w:val="18"/>
              </w:rPr>
            </w:pPr>
            <w:r w:rsidRPr="00CE4C44">
              <w:rPr>
                <w:rFonts w:ascii="Arial" w:hAnsi="Arial" w:cs="Arial"/>
                <w:sz w:val="18"/>
                <w:szCs w:val="18"/>
              </w:rPr>
              <w:t>(112.148)</w:t>
            </w:r>
          </w:p>
        </w:tc>
      </w:tr>
      <w:tr w:rsidR="005011C4" w:rsidRPr="008F09B7" w14:paraId="03C51AF4" w14:textId="77777777" w:rsidTr="005D1219">
        <w:tc>
          <w:tcPr>
            <w:tcW w:w="7515" w:type="dxa"/>
            <w:vAlign w:val="bottom"/>
          </w:tcPr>
          <w:p w14:paraId="3968CBD8" w14:textId="77777777" w:rsidR="005011C4" w:rsidRPr="008F09B7" w:rsidRDefault="005011C4" w:rsidP="005011C4">
            <w:pPr>
              <w:keepLines/>
              <w:tabs>
                <w:tab w:val="right" w:pos="1202"/>
              </w:tabs>
              <w:suppressAutoHyphens/>
              <w:autoSpaceDN w:val="0"/>
              <w:spacing w:line="210" w:lineRule="exact"/>
              <w:outlineLvl w:val="0"/>
              <w:rPr>
                <w:rFonts w:ascii="Arial" w:eastAsia="Times New Roman" w:hAnsi="Arial" w:cs="Arial"/>
                <w:color w:val="000000" w:themeColor="text1"/>
                <w:spacing w:val="-3"/>
                <w:sz w:val="18"/>
                <w:szCs w:val="18"/>
              </w:rPr>
            </w:pPr>
            <w:bookmarkStart w:id="89" w:name="_Toc67326834"/>
            <w:r w:rsidRPr="008F09B7">
              <w:rPr>
                <w:rFonts w:ascii="Arial" w:eastAsia="Times New Roman" w:hAnsi="Arial" w:cs="Arial"/>
                <w:color w:val="000000" w:themeColor="text1"/>
                <w:spacing w:val="-3"/>
                <w:sz w:val="18"/>
                <w:szCs w:val="18"/>
              </w:rPr>
              <w:t>Ostalo</w:t>
            </w:r>
            <w:bookmarkEnd w:id="89"/>
          </w:p>
        </w:tc>
        <w:tc>
          <w:tcPr>
            <w:tcW w:w="1252" w:type="dxa"/>
            <w:tcBorders>
              <w:bottom w:val="single" w:sz="4" w:space="0" w:color="auto"/>
            </w:tcBorders>
            <w:vAlign w:val="bottom"/>
          </w:tcPr>
          <w:p w14:paraId="0460DD3D" w14:textId="6DA0243A" w:rsidR="005011C4" w:rsidRPr="008F09B7" w:rsidRDefault="005011C4" w:rsidP="005011C4">
            <w:pPr>
              <w:keepLines/>
              <w:suppressAutoHyphens/>
              <w:autoSpaceDN w:val="0"/>
              <w:spacing w:line="21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(424)</w:t>
            </w:r>
          </w:p>
        </w:tc>
        <w:tc>
          <w:tcPr>
            <w:tcW w:w="1252" w:type="dxa"/>
            <w:tcBorders>
              <w:bottom w:val="single" w:sz="4" w:space="0" w:color="auto"/>
            </w:tcBorders>
            <w:vAlign w:val="bottom"/>
          </w:tcPr>
          <w:p w14:paraId="13141061" w14:textId="4B5A4D26" w:rsidR="005011C4" w:rsidRPr="008F09B7" w:rsidRDefault="005011C4" w:rsidP="005011C4">
            <w:pPr>
              <w:keepLines/>
              <w:suppressAutoHyphens/>
              <w:autoSpaceDN w:val="0"/>
              <w:spacing w:line="210" w:lineRule="exact"/>
              <w:jc w:val="right"/>
              <w:rPr>
                <w:rFonts w:ascii="Arial" w:eastAsia="Times New Roman" w:hAnsi="Arial" w:cs="Arial"/>
                <w:color w:val="000000" w:themeColor="text1"/>
                <w:sz w:val="18"/>
                <w:szCs w:val="18"/>
              </w:rPr>
            </w:pPr>
            <w:r w:rsidRPr="008F09B7">
              <w:rPr>
                <w:rFonts w:ascii="Arial" w:eastAsia="Times New Roman" w:hAnsi="Arial" w:cs="Arial"/>
                <w:color w:val="000000" w:themeColor="text1"/>
                <w:sz w:val="18"/>
                <w:szCs w:val="18"/>
              </w:rPr>
              <w:t>1.270</w:t>
            </w:r>
          </w:p>
        </w:tc>
      </w:tr>
      <w:tr w:rsidR="005011C4" w:rsidRPr="008F09B7" w14:paraId="02112937" w14:textId="77777777" w:rsidTr="008F09B7">
        <w:tc>
          <w:tcPr>
            <w:tcW w:w="7515" w:type="dxa"/>
            <w:vAlign w:val="bottom"/>
          </w:tcPr>
          <w:p w14:paraId="3BA7C195" w14:textId="6FAE642B" w:rsidR="005011C4" w:rsidRPr="008F09B7" w:rsidRDefault="005011C4" w:rsidP="005011C4">
            <w:pPr>
              <w:keepLines/>
              <w:tabs>
                <w:tab w:val="right" w:pos="1202"/>
              </w:tabs>
              <w:suppressAutoHyphens/>
              <w:autoSpaceDN w:val="0"/>
              <w:spacing w:line="220" w:lineRule="exact"/>
              <w:outlineLvl w:val="0"/>
              <w:rPr>
                <w:rFonts w:ascii="Arial" w:eastAsia="Times New Roman" w:hAnsi="Arial" w:cs="Arial"/>
                <w:b/>
                <w:bCs/>
                <w:color w:val="000000" w:themeColor="text1"/>
                <w:spacing w:val="-3"/>
                <w:sz w:val="18"/>
                <w:szCs w:val="18"/>
              </w:rPr>
            </w:pPr>
            <w:bookmarkStart w:id="90" w:name="_Toc67326835"/>
            <w:r w:rsidRPr="008F09B7">
              <w:rPr>
                <w:rFonts w:ascii="Arial" w:eastAsia="Times New Roman" w:hAnsi="Arial" w:cs="Arial"/>
                <w:b/>
                <w:bCs/>
                <w:color w:val="000000" w:themeColor="text1"/>
                <w:sz w:val="18"/>
                <w:szCs w:val="18"/>
              </w:rPr>
              <w:t xml:space="preserve">Neto novčana </w:t>
            </w:r>
            <w:r w:rsidRPr="00534C35">
              <w:rPr>
                <w:rFonts w:ascii="Arial" w:eastAsia="Times New Roman" w:hAnsi="Arial" w:cs="Arial"/>
                <w:b/>
                <w:bCs/>
                <w:color w:val="000000" w:themeColor="text1"/>
                <w:sz w:val="18"/>
                <w:szCs w:val="18"/>
              </w:rPr>
              <w:t xml:space="preserve">sredstva </w:t>
            </w:r>
            <w:r w:rsidR="00115D73">
              <w:rPr>
                <w:rFonts w:ascii="Arial" w:eastAsia="Times New Roman" w:hAnsi="Arial" w:cs="Arial"/>
                <w:b/>
                <w:bCs/>
                <w:color w:val="000000" w:themeColor="text1"/>
                <w:sz w:val="18"/>
                <w:szCs w:val="18"/>
              </w:rPr>
              <w:t>(uporabljena)/</w:t>
            </w:r>
            <w:r w:rsidRPr="00534C35">
              <w:rPr>
                <w:rFonts w:ascii="Arial" w:eastAsia="Times New Roman" w:hAnsi="Arial" w:cs="Arial"/>
                <w:b/>
                <w:bCs/>
                <w:color w:val="000000" w:themeColor="text1"/>
                <w:sz w:val="18"/>
                <w:szCs w:val="18"/>
              </w:rPr>
              <w:t>ostvarena u financijskim</w:t>
            </w:r>
            <w:r w:rsidRPr="008F09B7">
              <w:rPr>
                <w:rFonts w:ascii="Arial" w:eastAsia="Times New Roman" w:hAnsi="Arial" w:cs="Arial"/>
                <w:b/>
                <w:bCs/>
                <w:color w:val="000000" w:themeColor="text1"/>
                <w:sz w:val="18"/>
                <w:szCs w:val="18"/>
              </w:rPr>
              <w:t xml:space="preserve"> aktivnostima</w:t>
            </w:r>
            <w:bookmarkEnd w:id="90"/>
            <w:r w:rsidRPr="008F09B7">
              <w:rPr>
                <w:rFonts w:ascii="Arial" w:eastAsia="Times New Roman" w:hAnsi="Arial" w:cs="Arial"/>
                <w:b/>
                <w:bCs/>
                <w:color w:val="000000" w:themeColor="text1"/>
                <w:sz w:val="18"/>
                <w:szCs w:val="18"/>
              </w:rPr>
              <w:t xml:space="preserve"> </w:t>
            </w:r>
          </w:p>
        </w:tc>
        <w:tc>
          <w:tcPr>
            <w:tcW w:w="1252" w:type="dxa"/>
            <w:tcBorders>
              <w:top w:val="single" w:sz="4" w:space="0" w:color="auto"/>
              <w:bottom w:val="single" w:sz="12" w:space="0" w:color="auto"/>
            </w:tcBorders>
            <w:vAlign w:val="bottom"/>
          </w:tcPr>
          <w:p w14:paraId="2DBA3AC9" w14:textId="6C91B1B0" w:rsidR="005011C4" w:rsidRPr="008F09B7" w:rsidRDefault="00EC24B6" w:rsidP="005011C4">
            <w:pPr>
              <w:suppressAutoHyphens/>
              <w:autoSpaceDN w:val="0"/>
              <w:spacing w:line="22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r w:rsidR="005011C4">
              <w:rPr>
                <w:rFonts w:ascii="Arial" w:eastAsia="Times New Roman" w:hAnsi="Arial" w:cs="Arial"/>
                <w:b/>
                <w:bCs/>
                <w:color w:val="000000" w:themeColor="text1"/>
                <w:sz w:val="18"/>
                <w:szCs w:val="18"/>
              </w:rPr>
              <w:t>25.526</w:t>
            </w:r>
            <w:r>
              <w:rPr>
                <w:rFonts w:ascii="Arial" w:eastAsia="Times New Roman" w:hAnsi="Arial" w:cs="Arial"/>
                <w:b/>
                <w:bCs/>
                <w:color w:val="000000" w:themeColor="text1"/>
                <w:sz w:val="18"/>
                <w:szCs w:val="18"/>
              </w:rPr>
              <w:t>)</w:t>
            </w:r>
          </w:p>
        </w:tc>
        <w:tc>
          <w:tcPr>
            <w:tcW w:w="1252" w:type="dxa"/>
            <w:tcBorders>
              <w:top w:val="single" w:sz="4" w:space="0" w:color="auto"/>
              <w:bottom w:val="single" w:sz="12" w:space="0" w:color="auto"/>
            </w:tcBorders>
            <w:vAlign w:val="bottom"/>
          </w:tcPr>
          <w:p w14:paraId="5C6DF9B3" w14:textId="624E846B" w:rsidR="005011C4" w:rsidRPr="008F09B7" w:rsidRDefault="005011C4" w:rsidP="005011C4">
            <w:pPr>
              <w:suppressAutoHyphens/>
              <w:autoSpaceDN w:val="0"/>
              <w:spacing w:line="220" w:lineRule="exact"/>
              <w:jc w:val="right"/>
              <w:outlineLvl w:val="0"/>
              <w:rPr>
                <w:rFonts w:ascii="Arial" w:eastAsia="Times New Roman" w:hAnsi="Arial" w:cs="Arial"/>
                <w:b/>
                <w:bCs/>
                <w:color w:val="000000" w:themeColor="text1"/>
                <w:sz w:val="18"/>
                <w:szCs w:val="18"/>
              </w:rPr>
            </w:pPr>
            <w:r w:rsidRPr="008F09B7">
              <w:rPr>
                <w:rFonts w:ascii="Arial" w:eastAsia="Times New Roman" w:hAnsi="Arial" w:cs="Arial"/>
                <w:b/>
                <w:bCs/>
                <w:color w:val="000000" w:themeColor="text1"/>
                <w:sz w:val="18"/>
                <w:szCs w:val="18"/>
              </w:rPr>
              <w:t>14.122</w:t>
            </w:r>
          </w:p>
        </w:tc>
      </w:tr>
      <w:tr w:rsidR="005011C4" w:rsidRPr="008F09B7" w14:paraId="3CB63179" w14:textId="77777777" w:rsidTr="008F09B7">
        <w:tc>
          <w:tcPr>
            <w:tcW w:w="7515" w:type="dxa"/>
            <w:vAlign w:val="bottom"/>
          </w:tcPr>
          <w:p w14:paraId="6766C6A5" w14:textId="77777777" w:rsidR="005011C4" w:rsidRPr="008F09B7" w:rsidRDefault="005011C4" w:rsidP="005011C4">
            <w:pPr>
              <w:keepLines/>
              <w:tabs>
                <w:tab w:val="right" w:pos="1202"/>
              </w:tabs>
              <w:suppressAutoHyphens/>
              <w:autoSpaceDN w:val="0"/>
              <w:spacing w:line="220" w:lineRule="exact"/>
              <w:outlineLvl w:val="0"/>
              <w:rPr>
                <w:rFonts w:ascii="Arial" w:eastAsia="Times New Roman" w:hAnsi="Arial" w:cs="Arial"/>
                <w:b/>
                <w:bCs/>
                <w:color w:val="000000" w:themeColor="text1"/>
                <w:sz w:val="18"/>
                <w:szCs w:val="18"/>
              </w:rPr>
            </w:pPr>
          </w:p>
        </w:tc>
        <w:tc>
          <w:tcPr>
            <w:tcW w:w="1252" w:type="dxa"/>
            <w:tcBorders>
              <w:top w:val="single" w:sz="12" w:space="0" w:color="auto"/>
            </w:tcBorders>
            <w:vAlign w:val="bottom"/>
          </w:tcPr>
          <w:p w14:paraId="6CDF9377" w14:textId="77777777" w:rsidR="005011C4" w:rsidRPr="008F09B7" w:rsidRDefault="005011C4" w:rsidP="005011C4">
            <w:pPr>
              <w:suppressAutoHyphens/>
              <w:autoSpaceDN w:val="0"/>
              <w:spacing w:line="220" w:lineRule="exact"/>
              <w:jc w:val="right"/>
              <w:outlineLvl w:val="0"/>
              <w:rPr>
                <w:rFonts w:ascii="Arial" w:eastAsia="Times New Roman" w:hAnsi="Arial" w:cs="Arial"/>
                <w:b/>
                <w:bCs/>
                <w:color w:val="000000" w:themeColor="text1"/>
                <w:sz w:val="18"/>
                <w:szCs w:val="18"/>
                <w:highlight w:val="yellow"/>
              </w:rPr>
            </w:pPr>
          </w:p>
        </w:tc>
        <w:tc>
          <w:tcPr>
            <w:tcW w:w="1252" w:type="dxa"/>
            <w:tcBorders>
              <w:top w:val="single" w:sz="12" w:space="0" w:color="auto"/>
            </w:tcBorders>
            <w:vAlign w:val="bottom"/>
          </w:tcPr>
          <w:p w14:paraId="58291FCF" w14:textId="77777777" w:rsidR="005011C4" w:rsidRPr="008F09B7" w:rsidRDefault="005011C4" w:rsidP="005011C4">
            <w:pPr>
              <w:suppressAutoHyphens/>
              <w:autoSpaceDN w:val="0"/>
              <w:spacing w:line="220" w:lineRule="exact"/>
              <w:jc w:val="right"/>
              <w:outlineLvl w:val="0"/>
              <w:rPr>
                <w:rFonts w:ascii="Arial" w:eastAsia="Times New Roman" w:hAnsi="Arial" w:cs="Arial"/>
                <w:b/>
                <w:bCs/>
                <w:color w:val="000000" w:themeColor="text1"/>
                <w:sz w:val="18"/>
                <w:szCs w:val="18"/>
              </w:rPr>
            </w:pPr>
          </w:p>
        </w:tc>
      </w:tr>
      <w:tr w:rsidR="005011C4" w:rsidRPr="008F09B7" w14:paraId="04656CE1" w14:textId="77777777" w:rsidTr="008F09B7">
        <w:tc>
          <w:tcPr>
            <w:tcW w:w="7515" w:type="dxa"/>
            <w:vAlign w:val="bottom"/>
          </w:tcPr>
          <w:p w14:paraId="3494D0AA" w14:textId="77777777" w:rsidR="005011C4" w:rsidRPr="008F09B7" w:rsidRDefault="005011C4" w:rsidP="005011C4">
            <w:pPr>
              <w:keepLines/>
              <w:tabs>
                <w:tab w:val="right" w:pos="1202"/>
              </w:tabs>
              <w:suppressAutoHyphens/>
              <w:autoSpaceDN w:val="0"/>
              <w:spacing w:line="220" w:lineRule="exact"/>
              <w:outlineLvl w:val="0"/>
              <w:rPr>
                <w:rFonts w:ascii="Arial" w:eastAsia="Times New Roman" w:hAnsi="Arial" w:cs="Arial"/>
                <w:b/>
                <w:bCs/>
                <w:color w:val="000000" w:themeColor="text1"/>
                <w:sz w:val="18"/>
                <w:szCs w:val="18"/>
              </w:rPr>
            </w:pPr>
            <w:bookmarkStart w:id="91" w:name="_Toc67326836"/>
            <w:r w:rsidRPr="008F09B7">
              <w:rPr>
                <w:rFonts w:ascii="Arial" w:eastAsia="Times New Roman" w:hAnsi="Arial" w:cs="Arial"/>
                <w:b/>
                <w:bCs/>
                <w:color w:val="000000" w:themeColor="text1"/>
                <w:sz w:val="18"/>
                <w:szCs w:val="18"/>
              </w:rPr>
              <w:t>Učinci promjene tečajeva na novac i novčane ekvivalente</w:t>
            </w:r>
            <w:bookmarkEnd w:id="91"/>
          </w:p>
        </w:tc>
        <w:tc>
          <w:tcPr>
            <w:tcW w:w="1252" w:type="dxa"/>
            <w:vAlign w:val="bottom"/>
          </w:tcPr>
          <w:p w14:paraId="4C15DE34" w14:textId="77777777" w:rsidR="005011C4" w:rsidRPr="008F09B7" w:rsidRDefault="005011C4" w:rsidP="005011C4">
            <w:pPr>
              <w:suppressAutoHyphens/>
              <w:autoSpaceDN w:val="0"/>
              <w:spacing w:line="220" w:lineRule="exact"/>
              <w:jc w:val="right"/>
              <w:outlineLvl w:val="0"/>
              <w:rPr>
                <w:rFonts w:ascii="Arial" w:eastAsia="Times New Roman" w:hAnsi="Arial" w:cs="Arial"/>
                <w:b/>
                <w:bCs/>
                <w:color w:val="000000" w:themeColor="text1"/>
                <w:sz w:val="18"/>
                <w:szCs w:val="18"/>
                <w:highlight w:val="yellow"/>
              </w:rPr>
            </w:pPr>
          </w:p>
        </w:tc>
        <w:tc>
          <w:tcPr>
            <w:tcW w:w="1252" w:type="dxa"/>
            <w:vAlign w:val="bottom"/>
          </w:tcPr>
          <w:p w14:paraId="7DFA3F90" w14:textId="77777777" w:rsidR="005011C4" w:rsidRPr="008F09B7" w:rsidRDefault="005011C4" w:rsidP="005011C4">
            <w:pPr>
              <w:suppressAutoHyphens/>
              <w:autoSpaceDN w:val="0"/>
              <w:spacing w:line="220" w:lineRule="exact"/>
              <w:jc w:val="right"/>
              <w:outlineLvl w:val="0"/>
              <w:rPr>
                <w:rFonts w:ascii="Arial" w:eastAsia="Times New Roman" w:hAnsi="Arial" w:cs="Arial"/>
                <w:b/>
                <w:bCs/>
                <w:color w:val="000000" w:themeColor="text1"/>
                <w:sz w:val="18"/>
                <w:szCs w:val="18"/>
              </w:rPr>
            </w:pPr>
          </w:p>
        </w:tc>
      </w:tr>
      <w:tr w:rsidR="005011C4" w:rsidRPr="008F09B7" w14:paraId="72D5D744" w14:textId="77777777" w:rsidTr="008F09B7">
        <w:tc>
          <w:tcPr>
            <w:tcW w:w="7515" w:type="dxa"/>
            <w:vAlign w:val="bottom"/>
          </w:tcPr>
          <w:p w14:paraId="420EA710" w14:textId="77777777" w:rsidR="005011C4" w:rsidRPr="008F09B7" w:rsidRDefault="005011C4" w:rsidP="005011C4">
            <w:pPr>
              <w:keepLines/>
              <w:tabs>
                <w:tab w:val="right" w:pos="1202"/>
              </w:tabs>
              <w:suppressAutoHyphens/>
              <w:autoSpaceDN w:val="0"/>
              <w:spacing w:line="220" w:lineRule="exact"/>
              <w:outlineLvl w:val="0"/>
              <w:rPr>
                <w:rFonts w:ascii="Arial" w:eastAsia="Times New Roman" w:hAnsi="Arial" w:cs="Arial"/>
                <w:bCs/>
                <w:color w:val="000000" w:themeColor="text1"/>
                <w:sz w:val="18"/>
                <w:szCs w:val="18"/>
              </w:rPr>
            </w:pPr>
            <w:bookmarkStart w:id="92" w:name="_Toc67326837"/>
            <w:r w:rsidRPr="008F09B7">
              <w:rPr>
                <w:rFonts w:ascii="Arial" w:eastAsia="Times New Roman" w:hAnsi="Arial" w:cs="Arial"/>
                <w:bCs/>
                <w:color w:val="000000" w:themeColor="text1"/>
                <w:sz w:val="18"/>
                <w:szCs w:val="18"/>
              </w:rPr>
              <w:t>Neto tečajne razlike</w:t>
            </w:r>
            <w:bookmarkEnd w:id="92"/>
          </w:p>
        </w:tc>
        <w:tc>
          <w:tcPr>
            <w:tcW w:w="1252" w:type="dxa"/>
            <w:tcBorders>
              <w:bottom w:val="single" w:sz="4" w:space="0" w:color="auto"/>
            </w:tcBorders>
            <w:vAlign w:val="bottom"/>
          </w:tcPr>
          <w:p w14:paraId="472BFAE9" w14:textId="4D034F1D" w:rsidR="005011C4" w:rsidRPr="008F09B7" w:rsidRDefault="005011C4" w:rsidP="005011C4">
            <w:pPr>
              <w:suppressAutoHyphens/>
              <w:autoSpaceDN w:val="0"/>
              <w:spacing w:line="220" w:lineRule="exact"/>
              <w:jc w:val="right"/>
              <w:outlineLvl w:val="0"/>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439</w:t>
            </w:r>
          </w:p>
        </w:tc>
        <w:tc>
          <w:tcPr>
            <w:tcW w:w="1252" w:type="dxa"/>
            <w:tcBorders>
              <w:bottom w:val="single" w:sz="4" w:space="0" w:color="auto"/>
            </w:tcBorders>
            <w:vAlign w:val="bottom"/>
          </w:tcPr>
          <w:p w14:paraId="7D459E46" w14:textId="7A914965" w:rsidR="005011C4" w:rsidRPr="008F09B7" w:rsidRDefault="005011C4" w:rsidP="005011C4">
            <w:pPr>
              <w:suppressAutoHyphens/>
              <w:autoSpaceDN w:val="0"/>
              <w:spacing w:line="220" w:lineRule="exact"/>
              <w:jc w:val="right"/>
              <w:outlineLvl w:val="0"/>
              <w:rPr>
                <w:rFonts w:ascii="Arial" w:eastAsia="Times New Roman" w:hAnsi="Arial" w:cs="Arial"/>
                <w:bCs/>
                <w:color w:val="000000" w:themeColor="text1"/>
                <w:sz w:val="18"/>
                <w:szCs w:val="18"/>
              </w:rPr>
            </w:pPr>
            <w:r w:rsidRPr="008F09B7">
              <w:rPr>
                <w:rFonts w:ascii="Arial" w:hAnsi="Arial" w:cs="Arial"/>
                <w:sz w:val="18"/>
                <w:szCs w:val="18"/>
              </w:rPr>
              <w:t>(521)</w:t>
            </w:r>
          </w:p>
        </w:tc>
      </w:tr>
      <w:tr w:rsidR="005011C4" w:rsidRPr="008F09B7" w14:paraId="13FD8E5F" w14:textId="77777777" w:rsidTr="008F09B7">
        <w:tc>
          <w:tcPr>
            <w:tcW w:w="7515" w:type="dxa"/>
            <w:vAlign w:val="bottom"/>
          </w:tcPr>
          <w:p w14:paraId="10B04504" w14:textId="77777777" w:rsidR="005011C4" w:rsidRPr="008F09B7" w:rsidRDefault="005011C4" w:rsidP="005011C4">
            <w:pPr>
              <w:keepLines/>
              <w:tabs>
                <w:tab w:val="right" w:pos="1202"/>
              </w:tabs>
              <w:suppressAutoHyphens/>
              <w:autoSpaceDN w:val="0"/>
              <w:spacing w:line="210" w:lineRule="exact"/>
              <w:outlineLvl w:val="0"/>
              <w:rPr>
                <w:rFonts w:ascii="Arial" w:eastAsia="Times New Roman" w:hAnsi="Arial" w:cs="Arial"/>
                <w:b/>
                <w:color w:val="000000" w:themeColor="text1"/>
                <w:spacing w:val="-3"/>
                <w:sz w:val="18"/>
                <w:szCs w:val="18"/>
              </w:rPr>
            </w:pPr>
            <w:bookmarkStart w:id="93" w:name="_Toc67326838"/>
            <w:r w:rsidRPr="008F09B7">
              <w:rPr>
                <w:rFonts w:ascii="Arial" w:eastAsia="Times New Roman" w:hAnsi="Arial" w:cs="Arial"/>
                <w:b/>
                <w:color w:val="000000" w:themeColor="text1"/>
                <w:spacing w:val="-3"/>
                <w:sz w:val="18"/>
                <w:szCs w:val="18"/>
              </w:rPr>
              <w:t>Neto učinak</w:t>
            </w:r>
            <w:bookmarkEnd w:id="93"/>
          </w:p>
        </w:tc>
        <w:tc>
          <w:tcPr>
            <w:tcW w:w="1252" w:type="dxa"/>
            <w:tcBorders>
              <w:top w:val="single" w:sz="4" w:space="0" w:color="auto"/>
              <w:bottom w:val="single" w:sz="12" w:space="0" w:color="auto"/>
            </w:tcBorders>
            <w:vAlign w:val="bottom"/>
          </w:tcPr>
          <w:p w14:paraId="555460ED" w14:textId="4945F46D" w:rsidR="005011C4" w:rsidRPr="008F09B7" w:rsidRDefault="005011C4" w:rsidP="005011C4">
            <w:pPr>
              <w:suppressAutoHyphens/>
              <w:autoSpaceDN w:val="0"/>
              <w:spacing w:line="22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439</w:t>
            </w:r>
          </w:p>
        </w:tc>
        <w:tc>
          <w:tcPr>
            <w:tcW w:w="1252" w:type="dxa"/>
            <w:tcBorders>
              <w:top w:val="single" w:sz="4" w:space="0" w:color="auto"/>
              <w:bottom w:val="single" w:sz="12" w:space="0" w:color="auto"/>
            </w:tcBorders>
            <w:vAlign w:val="bottom"/>
          </w:tcPr>
          <w:p w14:paraId="21173FF6" w14:textId="32B9947D" w:rsidR="005011C4" w:rsidRPr="008F09B7" w:rsidRDefault="005011C4" w:rsidP="005011C4">
            <w:pPr>
              <w:suppressAutoHyphens/>
              <w:autoSpaceDN w:val="0"/>
              <w:spacing w:line="220" w:lineRule="exact"/>
              <w:jc w:val="right"/>
              <w:outlineLvl w:val="0"/>
              <w:rPr>
                <w:rFonts w:ascii="Arial" w:eastAsia="Times New Roman" w:hAnsi="Arial" w:cs="Arial"/>
                <w:b/>
                <w:bCs/>
                <w:color w:val="000000" w:themeColor="text1"/>
                <w:sz w:val="18"/>
                <w:szCs w:val="18"/>
              </w:rPr>
            </w:pPr>
            <w:r w:rsidRPr="008F09B7">
              <w:rPr>
                <w:rFonts w:ascii="Arial" w:hAnsi="Arial" w:cs="Arial"/>
                <w:b/>
                <w:bCs/>
                <w:sz w:val="18"/>
                <w:szCs w:val="18"/>
              </w:rPr>
              <w:t>(521)</w:t>
            </w:r>
          </w:p>
        </w:tc>
      </w:tr>
      <w:tr w:rsidR="005011C4" w:rsidRPr="008F09B7" w14:paraId="3D45A621" w14:textId="77777777" w:rsidTr="008F09B7">
        <w:trPr>
          <w:trHeight w:val="122"/>
        </w:trPr>
        <w:tc>
          <w:tcPr>
            <w:tcW w:w="7515" w:type="dxa"/>
            <w:vAlign w:val="bottom"/>
          </w:tcPr>
          <w:p w14:paraId="014B895D" w14:textId="77777777" w:rsidR="005011C4" w:rsidRPr="008F09B7" w:rsidRDefault="005011C4" w:rsidP="005011C4">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p>
        </w:tc>
        <w:tc>
          <w:tcPr>
            <w:tcW w:w="1252" w:type="dxa"/>
            <w:tcBorders>
              <w:top w:val="single" w:sz="12" w:space="0" w:color="auto"/>
            </w:tcBorders>
            <w:vAlign w:val="bottom"/>
          </w:tcPr>
          <w:p w14:paraId="49E166C3" w14:textId="77777777" w:rsidR="005011C4" w:rsidRPr="008F09B7" w:rsidRDefault="005011C4" w:rsidP="005011C4">
            <w:pPr>
              <w:keepLines/>
              <w:suppressAutoHyphens/>
              <w:autoSpaceDN w:val="0"/>
              <w:jc w:val="right"/>
              <w:rPr>
                <w:rFonts w:ascii="Arial" w:eastAsia="Times New Roman" w:hAnsi="Arial" w:cs="Arial"/>
                <w:color w:val="000000" w:themeColor="text1"/>
                <w:spacing w:val="-2"/>
                <w:sz w:val="18"/>
                <w:szCs w:val="18"/>
              </w:rPr>
            </w:pPr>
          </w:p>
        </w:tc>
        <w:tc>
          <w:tcPr>
            <w:tcW w:w="1252" w:type="dxa"/>
            <w:tcBorders>
              <w:top w:val="single" w:sz="12" w:space="0" w:color="auto"/>
            </w:tcBorders>
            <w:vAlign w:val="bottom"/>
          </w:tcPr>
          <w:p w14:paraId="67302699" w14:textId="77777777" w:rsidR="005011C4" w:rsidRPr="008F09B7" w:rsidRDefault="005011C4" w:rsidP="005011C4">
            <w:pPr>
              <w:keepLines/>
              <w:suppressAutoHyphens/>
              <w:autoSpaceDN w:val="0"/>
              <w:jc w:val="right"/>
              <w:rPr>
                <w:rFonts w:ascii="Arial" w:eastAsia="Times New Roman" w:hAnsi="Arial" w:cs="Arial"/>
                <w:color w:val="000000" w:themeColor="text1"/>
                <w:spacing w:val="-2"/>
                <w:sz w:val="18"/>
                <w:szCs w:val="18"/>
              </w:rPr>
            </w:pPr>
          </w:p>
        </w:tc>
      </w:tr>
      <w:tr w:rsidR="005011C4" w:rsidRPr="008F09B7" w14:paraId="6EDD5B3A" w14:textId="77777777" w:rsidTr="008F09B7">
        <w:trPr>
          <w:trHeight w:val="122"/>
        </w:trPr>
        <w:tc>
          <w:tcPr>
            <w:tcW w:w="7515" w:type="dxa"/>
            <w:vAlign w:val="bottom"/>
          </w:tcPr>
          <w:p w14:paraId="34032511" w14:textId="21CF41DC" w:rsidR="005011C4" w:rsidRPr="00534C35" w:rsidRDefault="005011C4" w:rsidP="005011C4">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bookmarkStart w:id="94" w:name="_Toc67326839"/>
            <w:r w:rsidRPr="00534C35">
              <w:rPr>
                <w:rFonts w:ascii="Arial" w:eastAsia="Times New Roman" w:hAnsi="Arial" w:cs="Arial"/>
                <w:color w:val="000000" w:themeColor="text1"/>
                <w:sz w:val="18"/>
                <w:szCs w:val="18"/>
              </w:rPr>
              <w:t xml:space="preserve">Neto </w:t>
            </w:r>
            <w:r>
              <w:rPr>
                <w:rFonts w:ascii="Arial" w:eastAsia="Times New Roman" w:hAnsi="Arial" w:cs="Arial"/>
                <w:color w:val="000000" w:themeColor="text1"/>
                <w:sz w:val="18"/>
                <w:szCs w:val="18"/>
              </w:rPr>
              <w:t>povećanje/</w:t>
            </w:r>
            <w:r w:rsidRPr="00534C35">
              <w:rPr>
                <w:rFonts w:ascii="Arial" w:eastAsia="Times New Roman" w:hAnsi="Arial" w:cs="Arial"/>
                <w:color w:val="000000" w:themeColor="text1"/>
                <w:sz w:val="18"/>
                <w:szCs w:val="18"/>
              </w:rPr>
              <w:t>(smanjenje) novca i novčanih ekvivalenata</w:t>
            </w:r>
            <w:bookmarkEnd w:id="94"/>
          </w:p>
        </w:tc>
        <w:tc>
          <w:tcPr>
            <w:tcW w:w="1252" w:type="dxa"/>
            <w:vAlign w:val="bottom"/>
          </w:tcPr>
          <w:p w14:paraId="77B1D849" w14:textId="293B61DA" w:rsidR="005011C4" w:rsidRPr="008F09B7" w:rsidRDefault="005011C4" w:rsidP="005011C4">
            <w:pPr>
              <w:keepLines/>
              <w:suppressAutoHyphens/>
              <w:autoSpaceDN w:val="0"/>
              <w:jc w:val="right"/>
              <w:rPr>
                <w:rFonts w:ascii="Arial" w:eastAsia="Times New Roman" w:hAnsi="Arial" w:cs="Arial"/>
                <w:color w:val="000000" w:themeColor="text1"/>
                <w:spacing w:val="-2"/>
                <w:sz w:val="18"/>
                <w:szCs w:val="18"/>
              </w:rPr>
            </w:pPr>
            <w:r>
              <w:rPr>
                <w:rFonts w:ascii="Arial" w:eastAsia="Times New Roman" w:hAnsi="Arial" w:cs="Arial"/>
                <w:color w:val="000000" w:themeColor="text1"/>
                <w:spacing w:val="-2"/>
                <w:sz w:val="18"/>
                <w:szCs w:val="18"/>
              </w:rPr>
              <w:t>35</w:t>
            </w:r>
            <w:r w:rsidR="00754721">
              <w:rPr>
                <w:rFonts w:ascii="Arial" w:eastAsia="Times New Roman" w:hAnsi="Arial" w:cs="Arial"/>
                <w:color w:val="000000" w:themeColor="text1"/>
                <w:spacing w:val="-2"/>
                <w:sz w:val="18"/>
                <w:szCs w:val="18"/>
              </w:rPr>
              <w:t>.365</w:t>
            </w:r>
          </w:p>
        </w:tc>
        <w:tc>
          <w:tcPr>
            <w:tcW w:w="1252" w:type="dxa"/>
            <w:vAlign w:val="bottom"/>
          </w:tcPr>
          <w:p w14:paraId="7CC363EC" w14:textId="5F4C892F" w:rsidR="005011C4" w:rsidRPr="008F09B7" w:rsidRDefault="005011C4" w:rsidP="005011C4">
            <w:pPr>
              <w:keepLines/>
              <w:suppressAutoHyphens/>
              <w:autoSpaceDN w:val="0"/>
              <w:jc w:val="right"/>
              <w:rPr>
                <w:rFonts w:ascii="Arial" w:eastAsia="Times New Roman" w:hAnsi="Arial" w:cs="Arial"/>
                <w:color w:val="000000" w:themeColor="text1"/>
                <w:spacing w:val="-2"/>
                <w:sz w:val="18"/>
                <w:szCs w:val="18"/>
              </w:rPr>
            </w:pPr>
            <w:r w:rsidRPr="008F09B7">
              <w:rPr>
                <w:rFonts w:ascii="Arial" w:eastAsia="Times New Roman" w:hAnsi="Arial" w:cs="Arial"/>
                <w:color w:val="000000" w:themeColor="text1"/>
                <w:spacing w:val="-2"/>
                <w:sz w:val="18"/>
                <w:szCs w:val="18"/>
              </w:rPr>
              <w:t>(192.199)</w:t>
            </w:r>
          </w:p>
        </w:tc>
      </w:tr>
      <w:tr w:rsidR="005011C4" w:rsidRPr="008F09B7" w14:paraId="648C9BB9" w14:textId="77777777" w:rsidTr="008F09B7">
        <w:trPr>
          <w:trHeight w:val="122"/>
        </w:trPr>
        <w:tc>
          <w:tcPr>
            <w:tcW w:w="7515" w:type="dxa"/>
            <w:vAlign w:val="bottom"/>
          </w:tcPr>
          <w:p w14:paraId="3D01C212" w14:textId="77777777" w:rsidR="005011C4" w:rsidRPr="00534C35" w:rsidRDefault="005011C4" w:rsidP="005011C4">
            <w:pPr>
              <w:keepLines/>
              <w:tabs>
                <w:tab w:val="right" w:pos="1202"/>
              </w:tabs>
              <w:suppressAutoHyphens/>
              <w:autoSpaceDN w:val="0"/>
              <w:spacing w:line="140" w:lineRule="exact"/>
              <w:outlineLvl w:val="0"/>
              <w:rPr>
                <w:rFonts w:ascii="Arial" w:eastAsia="Times New Roman" w:hAnsi="Arial" w:cs="Arial"/>
                <w:color w:val="000000" w:themeColor="text1"/>
                <w:sz w:val="18"/>
                <w:szCs w:val="18"/>
              </w:rPr>
            </w:pPr>
          </w:p>
        </w:tc>
        <w:tc>
          <w:tcPr>
            <w:tcW w:w="1252" w:type="dxa"/>
            <w:vAlign w:val="bottom"/>
          </w:tcPr>
          <w:p w14:paraId="077F0C14" w14:textId="77777777" w:rsidR="005011C4" w:rsidRPr="008F09B7" w:rsidRDefault="005011C4" w:rsidP="005011C4">
            <w:pPr>
              <w:keepLines/>
              <w:suppressAutoHyphens/>
              <w:autoSpaceDN w:val="0"/>
              <w:spacing w:line="140" w:lineRule="exact"/>
              <w:jc w:val="right"/>
              <w:rPr>
                <w:rFonts w:ascii="Arial" w:eastAsia="Times New Roman" w:hAnsi="Arial" w:cs="Arial"/>
                <w:color w:val="000000" w:themeColor="text1"/>
                <w:spacing w:val="-2"/>
                <w:sz w:val="18"/>
                <w:szCs w:val="18"/>
              </w:rPr>
            </w:pPr>
          </w:p>
        </w:tc>
        <w:tc>
          <w:tcPr>
            <w:tcW w:w="1252" w:type="dxa"/>
            <w:vAlign w:val="bottom"/>
          </w:tcPr>
          <w:p w14:paraId="2FFEFF15" w14:textId="77777777" w:rsidR="005011C4" w:rsidRPr="008F09B7" w:rsidRDefault="005011C4" w:rsidP="005011C4">
            <w:pPr>
              <w:keepLines/>
              <w:suppressAutoHyphens/>
              <w:autoSpaceDN w:val="0"/>
              <w:spacing w:line="140" w:lineRule="exact"/>
              <w:jc w:val="right"/>
              <w:rPr>
                <w:rFonts w:ascii="Arial" w:eastAsia="Times New Roman" w:hAnsi="Arial" w:cs="Arial"/>
                <w:color w:val="000000" w:themeColor="text1"/>
                <w:spacing w:val="-2"/>
                <w:sz w:val="18"/>
                <w:szCs w:val="18"/>
              </w:rPr>
            </w:pPr>
          </w:p>
        </w:tc>
      </w:tr>
      <w:tr w:rsidR="005011C4" w:rsidRPr="008F09B7" w14:paraId="42F78EEC" w14:textId="77777777" w:rsidTr="008F09B7">
        <w:trPr>
          <w:trHeight w:val="122"/>
        </w:trPr>
        <w:tc>
          <w:tcPr>
            <w:tcW w:w="7515" w:type="dxa"/>
            <w:vAlign w:val="bottom"/>
          </w:tcPr>
          <w:p w14:paraId="013EF2E9" w14:textId="77777777" w:rsidR="005011C4" w:rsidRPr="00534C35" w:rsidRDefault="005011C4" w:rsidP="005011C4">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bookmarkStart w:id="95" w:name="_Toc67326840"/>
            <w:r w:rsidRPr="00534C35">
              <w:rPr>
                <w:rFonts w:ascii="Arial" w:eastAsia="Times New Roman" w:hAnsi="Arial" w:cs="Arial"/>
                <w:color w:val="000000" w:themeColor="text1"/>
                <w:sz w:val="18"/>
                <w:szCs w:val="18"/>
              </w:rPr>
              <w:t>Novac i novčani ekvivalenti stanje na dan 1. siječnja, prije umanjenja vrijednosti</w:t>
            </w:r>
            <w:bookmarkEnd w:id="95"/>
            <w:r w:rsidRPr="00534C35">
              <w:rPr>
                <w:rFonts w:ascii="Arial" w:eastAsia="Times New Roman" w:hAnsi="Arial" w:cs="Arial"/>
                <w:color w:val="000000" w:themeColor="text1"/>
                <w:sz w:val="18"/>
                <w:szCs w:val="18"/>
              </w:rPr>
              <w:t xml:space="preserve"> </w:t>
            </w:r>
          </w:p>
        </w:tc>
        <w:tc>
          <w:tcPr>
            <w:tcW w:w="1252" w:type="dxa"/>
            <w:vAlign w:val="bottom"/>
          </w:tcPr>
          <w:p w14:paraId="66F97AEE" w14:textId="394D24B2" w:rsidR="005011C4" w:rsidRPr="008F09B7" w:rsidRDefault="00754721" w:rsidP="005011C4">
            <w:pPr>
              <w:keepLines/>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42.292</w:t>
            </w:r>
          </w:p>
        </w:tc>
        <w:tc>
          <w:tcPr>
            <w:tcW w:w="1252" w:type="dxa"/>
            <w:vAlign w:val="bottom"/>
          </w:tcPr>
          <w:p w14:paraId="0BEDF5B3" w14:textId="1637C963" w:rsidR="005011C4" w:rsidRPr="008F09B7" w:rsidRDefault="005011C4" w:rsidP="005011C4">
            <w:pPr>
              <w:keepLines/>
              <w:suppressAutoHyphens/>
              <w:autoSpaceDN w:val="0"/>
              <w:jc w:val="right"/>
              <w:rPr>
                <w:rFonts w:ascii="Arial" w:eastAsia="Times New Roman" w:hAnsi="Arial" w:cs="Arial"/>
                <w:color w:val="000000" w:themeColor="text1"/>
                <w:spacing w:val="-2"/>
                <w:sz w:val="18"/>
                <w:szCs w:val="18"/>
              </w:rPr>
            </w:pPr>
            <w:r w:rsidRPr="008F09B7">
              <w:rPr>
                <w:rFonts w:ascii="Arial" w:eastAsia="Times New Roman" w:hAnsi="Arial" w:cs="Arial"/>
                <w:color w:val="000000" w:themeColor="text1"/>
                <w:sz w:val="18"/>
                <w:szCs w:val="18"/>
              </w:rPr>
              <w:t>229.342</w:t>
            </w:r>
          </w:p>
        </w:tc>
      </w:tr>
      <w:tr w:rsidR="005011C4" w:rsidRPr="008F09B7" w14:paraId="3CC21F9F" w14:textId="77777777" w:rsidTr="008F09B7">
        <w:trPr>
          <w:trHeight w:val="122"/>
        </w:trPr>
        <w:tc>
          <w:tcPr>
            <w:tcW w:w="7515" w:type="dxa"/>
            <w:vAlign w:val="bottom"/>
          </w:tcPr>
          <w:p w14:paraId="2E32C4BC" w14:textId="281B95E5" w:rsidR="005011C4" w:rsidRPr="00534C35" w:rsidRDefault="005011C4" w:rsidP="005011C4">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bookmarkStart w:id="96" w:name="_Toc67326841"/>
            <w:r w:rsidRPr="00534C35">
              <w:rPr>
                <w:rFonts w:ascii="Arial" w:eastAsia="Times New Roman" w:hAnsi="Arial" w:cs="Arial"/>
                <w:color w:val="000000" w:themeColor="text1"/>
                <w:sz w:val="18"/>
                <w:szCs w:val="18"/>
              </w:rPr>
              <w:t xml:space="preserve">Neto </w:t>
            </w:r>
            <w:r>
              <w:rPr>
                <w:rFonts w:ascii="Arial" w:eastAsia="Times New Roman" w:hAnsi="Arial" w:cs="Arial"/>
                <w:color w:val="000000" w:themeColor="text1"/>
                <w:sz w:val="18"/>
                <w:szCs w:val="18"/>
              </w:rPr>
              <w:t>povećanje/</w:t>
            </w:r>
            <w:r w:rsidRPr="00534C35">
              <w:rPr>
                <w:rFonts w:ascii="Arial" w:eastAsia="Times New Roman" w:hAnsi="Arial" w:cs="Arial"/>
                <w:color w:val="000000" w:themeColor="text1"/>
                <w:sz w:val="18"/>
                <w:szCs w:val="18"/>
              </w:rPr>
              <w:t>(smanjenje) novca</w:t>
            </w:r>
            <w:bookmarkEnd w:id="96"/>
          </w:p>
        </w:tc>
        <w:tc>
          <w:tcPr>
            <w:tcW w:w="1252" w:type="dxa"/>
            <w:tcBorders>
              <w:bottom w:val="single" w:sz="4" w:space="0" w:color="auto"/>
            </w:tcBorders>
            <w:vAlign w:val="bottom"/>
          </w:tcPr>
          <w:p w14:paraId="6CB22155" w14:textId="3A3321BF" w:rsidR="005011C4" w:rsidRPr="008F09B7" w:rsidRDefault="00754721" w:rsidP="005011C4">
            <w:pPr>
              <w:keepLines/>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35.365</w:t>
            </w:r>
          </w:p>
        </w:tc>
        <w:tc>
          <w:tcPr>
            <w:tcW w:w="1252" w:type="dxa"/>
            <w:tcBorders>
              <w:bottom w:val="single" w:sz="4" w:space="0" w:color="auto"/>
            </w:tcBorders>
            <w:vAlign w:val="bottom"/>
          </w:tcPr>
          <w:p w14:paraId="08B5AD32" w14:textId="7535915C" w:rsidR="005011C4" w:rsidRPr="008F09B7" w:rsidRDefault="005011C4" w:rsidP="005011C4">
            <w:pPr>
              <w:keepLines/>
              <w:suppressAutoHyphens/>
              <w:autoSpaceDN w:val="0"/>
              <w:jc w:val="right"/>
              <w:rPr>
                <w:rFonts w:ascii="Arial" w:eastAsia="Times New Roman" w:hAnsi="Arial" w:cs="Arial"/>
                <w:color w:val="000000" w:themeColor="text1"/>
                <w:spacing w:val="-2"/>
                <w:sz w:val="18"/>
                <w:szCs w:val="18"/>
              </w:rPr>
            </w:pPr>
            <w:r w:rsidRPr="008F09B7">
              <w:rPr>
                <w:rFonts w:ascii="Arial" w:eastAsia="Times New Roman" w:hAnsi="Arial" w:cs="Arial"/>
                <w:color w:val="000000" w:themeColor="text1"/>
                <w:sz w:val="18"/>
                <w:szCs w:val="18"/>
              </w:rPr>
              <w:t>(192.199)</w:t>
            </w:r>
          </w:p>
        </w:tc>
      </w:tr>
      <w:tr w:rsidR="005011C4" w:rsidRPr="008F09B7" w14:paraId="137569C8" w14:textId="77777777" w:rsidTr="008F09B7">
        <w:trPr>
          <w:trHeight w:val="267"/>
        </w:trPr>
        <w:tc>
          <w:tcPr>
            <w:tcW w:w="7515" w:type="dxa"/>
            <w:vAlign w:val="bottom"/>
          </w:tcPr>
          <w:p w14:paraId="7E43E309" w14:textId="3C1922DE" w:rsidR="005011C4" w:rsidRPr="00534C35" w:rsidRDefault="005011C4" w:rsidP="005011C4">
            <w:pPr>
              <w:keepLines/>
              <w:tabs>
                <w:tab w:val="right" w:pos="1202"/>
              </w:tabs>
              <w:suppressAutoHyphens/>
              <w:autoSpaceDN w:val="0"/>
              <w:spacing w:line="220" w:lineRule="exact"/>
              <w:outlineLvl w:val="0"/>
              <w:rPr>
                <w:rFonts w:ascii="Arial" w:eastAsia="Times New Roman" w:hAnsi="Arial" w:cs="Arial"/>
                <w:b/>
                <w:bCs/>
                <w:color w:val="000000" w:themeColor="text1"/>
                <w:sz w:val="18"/>
                <w:szCs w:val="18"/>
              </w:rPr>
            </w:pPr>
            <w:bookmarkStart w:id="97" w:name="_Toc67326842"/>
            <w:r w:rsidRPr="00534C35">
              <w:rPr>
                <w:rFonts w:ascii="Arial" w:eastAsia="Times New Roman" w:hAnsi="Arial" w:cs="Arial"/>
                <w:b/>
                <w:bCs/>
                <w:color w:val="000000" w:themeColor="text1"/>
                <w:sz w:val="18"/>
                <w:szCs w:val="18"/>
              </w:rPr>
              <w:t xml:space="preserve">Novac i novčani ekvivalenti stanje na dan 31. ožujka, prije umanjenja vrijednosti    </w:t>
            </w:r>
            <w:bookmarkEnd w:id="97"/>
            <w:r w:rsidRPr="00534C35">
              <w:rPr>
                <w:rFonts w:ascii="Arial" w:eastAsia="Times New Roman" w:hAnsi="Arial" w:cs="Arial"/>
                <w:b/>
                <w:bCs/>
                <w:color w:val="000000" w:themeColor="text1"/>
                <w:sz w:val="18"/>
                <w:szCs w:val="18"/>
              </w:rPr>
              <w:t xml:space="preserve">  9</w:t>
            </w:r>
          </w:p>
        </w:tc>
        <w:tc>
          <w:tcPr>
            <w:tcW w:w="1252" w:type="dxa"/>
            <w:tcBorders>
              <w:top w:val="single" w:sz="4" w:space="0" w:color="auto"/>
              <w:bottom w:val="single" w:sz="12" w:space="0" w:color="auto"/>
            </w:tcBorders>
            <w:vAlign w:val="bottom"/>
          </w:tcPr>
          <w:p w14:paraId="0D69CD07" w14:textId="27203D21" w:rsidR="005011C4" w:rsidRPr="008F09B7" w:rsidRDefault="00754721" w:rsidP="005011C4">
            <w:pPr>
              <w:suppressAutoHyphens/>
              <w:autoSpaceDN w:val="0"/>
              <w:spacing w:line="220" w:lineRule="exact"/>
              <w:jc w:val="right"/>
              <w:outlineLvl w:val="0"/>
              <w:rPr>
                <w:rFonts w:ascii="Arial" w:eastAsia="Times New Roman" w:hAnsi="Arial" w:cs="Arial"/>
                <w:b/>
                <w:bCs/>
                <w:color w:val="000000" w:themeColor="text1"/>
                <w:spacing w:val="-2"/>
                <w:sz w:val="18"/>
                <w:szCs w:val="18"/>
              </w:rPr>
            </w:pPr>
            <w:r>
              <w:rPr>
                <w:rFonts w:ascii="Arial" w:eastAsia="Times New Roman" w:hAnsi="Arial" w:cs="Arial"/>
                <w:b/>
                <w:bCs/>
                <w:color w:val="000000" w:themeColor="text1"/>
                <w:spacing w:val="-2"/>
                <w:sz w:val="18"/>
                <w:szCs w:val="18"/>
              </w:rPr>
              <w:t>77.</w:t>
            </w:r>
            <w:r w:rsidR="000452F5">
              <w:rPr>
                <w:rFonts w:ascii="Arial" w:eastAsia="Times New Roman" w:hAnsi="Arial" w:cs="Arial"/>
                <w:b/>
                <w:bCs/>
                <w:color w:val="000000" w:themeColor="text1"/>
                <w:spacing w:val="-2"/>
                <w:sz w:val="18"/>
                <w:szCs w:val="18"/>
              </w:rPr>
              <w:t>657</w:t>
            </w:r>
          </w:p>
        </w:tc>
        <w:tc>
          <w:tcPr>
            <w:tcW w:w="1252" w:type="dxa"/>
            <w:tcBorders>
              <w:top w:val="single" w:sz="4" w:space="0" w:color="auto"/>
              <w:bottom w:val="single" w:sz="12" w:space="0" w:color="auto"/>
            </w:tcBorders>
            <w:vAlign w:val="bottom"/>
          </w:tcPr>
          <w:p w14:paraId="2EEB49A7" w14:textId="231671AE" w:rsidR="005011C4" w:rsidRPr="008F09B7" w:rsidRDefault="005011C4" w:rsidP="005011C4">
            <w:pPr>
              <w:suppressAutoHyphens/>
              <w:autoSpaceDN w:val="0"/>
              <w:spacing w:line="220" w:lineRule="exact"/>
              <w:jc w:val="right"/>
              <w:outlineLvl w:val="0"/>
              <w:rPr>
                <w:rFonts w:ascii="Arial" w:eastAsia="Times New Roman" w:hAnsi="Arial" w:cs="Arial"/>
                <w:b/>
                <w:bCs/>
                <w:color w:val="000000" w:themeColor="text1"/>
                <w:spacing w:val="-2"/>
                <w:sz w:val="18"/>
                <w:szCs w:val="18"/>
              </w:rPr>
            </w:pPr>
            <w:r w:rsidRPr="008F09B7">
              <w:rPr>
                <w:rFonts w:ascii="Arial" w:eastAsia="Times New Roman" w:hAnsi="Arial" w:cs="Arial"/>
                <w:b/>
                <w:bCs/>
                <w:color w:val="000000" w:themeColor="text1"/>
                <w:spacing w:val="-2"/>
                <w:sz w:val="18"/>
                <w:szCs w:val="18"/>
              </w:rPr>
              <w:t>37.143</w:t>
            </w:r>
          </w:p>
        </w:tc>
      </w:tr>
      <w:tr w:rsidR="005011C4" w:rsidRPr="008F09B7" w14:paraId="5A136FDD" w14:textId="77777777" w:rsidTr="008F09B7">
        <w:trPr>
          <w:trHeight w:val="357"/>
        </w:trPr>
        <w:tc>
          <w:tcPr>
            <w:tcW w:w="7515" w:type="dxa"/>
            <w:vAlign w:val="bottom"/>
          </w:tcPr>
          <w:p w14:paraId="1A67D688" w14:textId="77777777" w:rsidR="005011C4" w:rsidRPr="008F09B7" w:rsidRDefault="005011C4" w:rsidP="005011C4">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bookmarkStart w:id="98" w:name="_Toc67326843"/>
            <w:r w:rsidRPr="008F09B7">
              <w:rPr>
                <w:rFonts w:ascii="Arial" w:eastAsia="Times New Roman" w:hAnsi="Arial" w:cs="Arial"/>
                <w:b/>
                <w:bCs/>
                <w:color w:val="000000" w:themeColor="text1"/>
                <w:sz w:val="18"/>
                <w:szCs w:val="18"/>
              </w:rPr>
              <w:t>Dopunski podaci – poslovne aktivnosti</w:t>
            </w:r>
            <w:bookmarkEnd w:id="98"/>
          </w:p>
        </w:tc>
        <w:tc>
          <w:tcPr>
            <w:tcW w:w="1252" w:type="dxa"/>
            <w:tcBorders>
              <w:top w:val="single" w:sz="12" w:space="0" w:color="auto"/>
            </w:tcBorders>
            <w:vAlign w:val="bottom"/>
          </w:tcPr>
          <w:p w14:paraId="1C9DCDB7" w14:textId="77777777" w:rsidR="005011C4" w:rsidRPr="008F09B7" w:rsidRDefault="005011C4" w:rsidP="005011C4">
            <w:pPr>
              <w:keepLines/>
              <w:suppressAutoHyphens/>
              <w:autoSpaceDN w:val="0"/>
              <w:spacing w:line="220" w:lineRule="exact"/>
              <w:jc w:val="right"/>
              <w:rPr>
                <w:rFonts w:ascii="Arial" w:eastAsia="Times New Roman" w:hAnsi="Arial" w:cs="Arial"/>
                <w:b/>
                <w:color w:val="000000" w:themeColor="text1"/>
                <w:position w:val="4"/>
                <w:sz w:val="18"/>
                <w:szCs w:val="18"/>
              </w:rPr>
            </w:pPr>
          </w:p>
        </w:tc>
        <w:tc>
          <w:tcPr>
            <w:tcW w:w="1252" w:type="dxa"/>
            <w:tcBorders>
              <w:top w:val="single" w:sz="12" w:space="0" w:color="auto"/>
            </w:tcBorders>
            <w:vAlign w:val="bottom"/>
          </w:tcPr>
          <w:p w14:paraId="6CE9A2B2" w14:textId="77777777" w:rsidR="005011C4" w:rsidRPr="008F09B7" w:rsidRDefault="005011C4" w:rsidP="005011C4">
            <w:pPr>
              <w:keepLines/>
              <w:suppressAutoHyphens/>
              <w:autoSpaceDN w:val="0"/>
              <w:spacing w:line="220" w:lineRule="exact"/>
              <w:jc w:val="right"/>
              <w:rPr>
                <w:rFonts w:ascii="Arial" w:eastAsia="Times New Roman" w:hAnsi="Arial" w:cs="Arial"/>
                <w:b/>
                <w:color w:val="000000" w:themeColor="text1"/>
                <w:position w:val="4"/>
                <w:sz w:val="18"/>
                <w:szCs w:val="18"/>
              </w:rPr>
            </w:pPr>
          </w:p>
        </w:tc>
      </w:tr>
      <w:tr w:rsidR="005011C4" w:rsidRPr="008F09B7" w14:paraId="2D6675A9" w14:textId="77777777" w:rsidTr="008F09B7">
        <w:trPr>
          <w:trHeight w:val="68"/>
        </w:trPr>
        <w:tc>
          <w:tcPr>
            <w:tcW w:w="7515" w:type="dxa"/>
            <w:vAlign w:val="bottom"/>
          </w:tcPr>
          <w:p w14:paraId="36B74C06" w14:textId="77777777" w:rsidR="005011C4" w:rsidRPr="008F09B7" w:rsidRDefault="005011C4" w:rsidP="005011C4">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bookmarkStart w:id="99" w:name="_Toc67326844"/>
            <w:r w:rsidRPr="008F09B7">
              <w:rPr>
                <w:rFonts w:ascii="Arial" w:eastAsia="Times New Roman" w:hAnsi="Arial" w:cs="Arial"/>
                <w:color w:val="000000" w:themeColor="text1"/>
                <w:sz w:val="18"/>
                <w:szCs w:val="18"/>
              </w:rPr>
              <w:t>Plaćene kamate</w:t>
            </w:r>
            <w:bookmarkEnd w:id="99"/>
          </w:p>
        </w:tc>
        <w:tc>
          <w:tcPr>
            <w:tcW w:w="1252" w:type="dxa"/>
            <w:vAlign w:val="bottom"/>
          </w:tcPr>
          <w:p w14:paraId="30EC5ABF" w14:textId="6E122F83" w:rsidR="005011C4" w:rsidRPr="008F09B7" w:rsidRDefault="00A225C6" w:rsidP="005011C4">
            <w:pPr>
              <w:keepLines/>
              <w:suppressAutoHyphens/>
              <w:autoSpaceDN w:val="0"/>
              <w:jc w:val="right"/>
              <w:rPr>
                <w:rFonts w:ascii="Arial" w:eastAsia="Times New Roman" w:hAnsi="Arial" w:cs="Arial"/>
                <w:color w:val="000000" w:themeColor="text1"/>
                <w:spacing w:val="-2"/>
                <w:sz w:val="18"/>
                <w:szCs w:val="18"/>
              </w:rPr>
            </w:pPr>
            <w:r>
              <w:rPr>
                <w:rFonts w:ascii="Arial" w:eastAsia="Times New Roman" w:hAnsi="Arial" w:cs="Arial"/>
                <w:color w:val="000000" w:themeColor="text1"/>
                <w:spacing w:val="-2"/>
                <w:sz w:val="18"/>
                <w:szCs w:val="18"/>
              </w:rPr>
              <w:t>7.095</w:t>
            </w:r>
          </w:p>
        </w:tc>
        <w:tc>
          <w:tcPr>
            <w:tcW w:w="1252" w:type="dxa"/>
            <w:vAlign w:val="bottom"/>
          </w:tcPr>
          <w:p w14:paraId="76621FAF" w14:textId="2F13F269" w:rsidR="005011C4" w:rsidRPr="008F09B7" w:rsidRDefault="005011C4" w:rsidP="005011C4">
            <w:pPr>
              <w:keepLines/>
              <w:suppressAutoHyphens/>
              <w:autoSpaceDN w:val="0"/>
              <w:jc w:val="right"/>
              <w:rPr>
                <w:rFonts w:ascii="Arial" w:eastAsia="Times New Roman" w:hAnsi="Arial" w:cs="Arial"/>
                <w:color w:val="000000" w:themeColor="text1"/>
                <w:spacing w:val="-2"/>
                <w:sz w:val="18"/>
                <w:szCs w:val="18"/>
              </w:rPr>
            </w:pPr>
            <w:r w:rsidRPr="008A2FA6">
              <w:rPr>
                <w:rFonts w:ascii="Arial" w:eastAsia="Times New Roman" w:hAnsi="Arial" w:cs="Arial"/>
                <w:color w:val="000000" w:themeColor="text1"/>
                <w:spacing w:val="-2"/>
                <w:sz w:val="18"/>
                <w:szCs w:val="18"/>
              </w:rPr>
              <w:t>4.403</w:t>
            </w:r>
          </w:p>
        </w:tc>
      </w:tr>
      <w:tr w:rsidR="005011C4" w:rsidRPr="008F09B7" w14:paraId="1BE4521C" w14:textId="77777777" w:rsidTr="008F09B7">
        <w:trPr>
          <w:trHeight w:val="68"/>
        </w:trPr>
        <w:tc>
          <w:tcPr>
            <w:tcW w:w="7515" w:type="dxa"/>
            <w:vAlign w:val="bottom"/>
          </w:tcPr>
          <w:p w14:paraId="4EBC9C40" w14:textId="77777777" w:rsidR="005011C4" w:rsidRPr="008F09B7" w:rsidRDefault="005011C4" w:rsidP="005011C4">
            <w:pPr>
              <w:keepLines/>
              <w:tabs>
                <w:tab w:val="right" w:pos="1202"/>
              </w:tabs>
              <w:suppressAutoHyphens/>
              <w:autoSpaceDN w:val="0"/>
              <w:spacing w:line="220" w:lineRule="exact"/>
              <w:outlineLvl w:val="0"/>
              <w:rPr>
                <w:rFonts w:ascii="Arial" w:eastAsia="Times New Roman" w:hAnsi="Arial" w:cs="Arial"/>
                <w:color w:val="000000" w:themeColor="text1"/>
                <w:sz w:val="18"/>
                <w:szCs w:val="18"/>
              </w:rPr>
            </w:pPr>
            <w:bookmarkStart w:id="100" w:name="_Toc67326845"/>
            <w:r w:rsidRPr="008F09B7">
              <w:rPr>
                <w:rFonts w:ascii="Arial" w:eastAsia="Times New Roman" w:hAnsi="Arial" w:cs="Arial"/>
                <w:color w:val="000000" w:themeColor="text1"/>
                <w:sz w:val="18"/>
                <w:szCs w:val="18"/>
              </w:rPr>
              <w:t>Primljene kamate</w:t>
            </w:r>
            <w:bookmarkEnd w:id="100"/>
          </w:p>
        </w:tc>
        <w:tc>
          <w:tcPr>
            <w:tcW w:w="1252" w:type="dxa"/>
            <w:vAlign w:val="bottom"/>
          </w:tcPr>
          <w:p w14:paraId="34C32482" w14:textId="17F83B05" w:rsidR="005011C4" w:rsidRPr="008F09B7" w:rsidRDefault="00A225C6" w:rsidP="005011C4">
            <w:pPr>
              <w:keepLines/>
              <w:suppressAutoHyphens/>
              <w:autoSpaceDN w:val="0"/>
              <w:jc w:val="right"/>
              <w:rPr>
                <w:rFonts w:ascii="Arial" w:eastAsia="Times New Roman" w:hAnsi="Arial" w:cs="Arial"/>
                <w:color w:val="000000" w:themeColor="text1"/>
                <w:spacing w:val="-2"/>
                <w:sz w:val="18"/>
                <w:szCs w:val="18"/>
              </w:rPr>
            </w:pPr>
            <w:r>
              <w:rPr>
                <w:rFonts w:ascii="Arial" w:eastAsia="Times New Roman" w:hAnsi="Arial" w:cs="Arial"/>
                <w:color w:val="000000" w:themeColor="text1"/>
                <w:spacing w:val="-2"/>
                <w:sz w:val="18"/>
                <w:szCs w:val="18"/>
              </w:rPr>
              <w:t>19.</w:t>
            </w:r>
            <w:r w:rsidR="00E635F5">
              <w:rPr>
                <w:rFonts w:ascii="Arial" w:eastAsia="Times New Roman" w:hAnsi="Arial" w:cs="Arial"/>
                <w:color w:val="000000" w:themeColor="text1"/>
                <w:spacing w:val="-2"/>
                <w:sz w:val="18"/>
                <w:szCs w:val="18"/>
              </w:rPr>
              <w:t>126</w:t>
            </w:r>
          </w:p>
        </w:tc>
        <w:tc>
          <w:tcPr>
            <w:tcW w:w="1252" w:type="dxa"/>
            <w:vAlign w:val="bottom"/>
          </w:tcPr>
          <w:p w14:paraId="3D5C6039" w14:textId="2B476396" w:rsidR="005011C4" w:rsidRPr="008F09B7" w:rsidRDefault="005011C4" w:rsidP="005011C4">
            <w:pPr>
              <w:keepLines/>
              <w:suppressAutoHyphens/>
              <w:autoSpaceDN w:val="0"/>
              <w:jc w:val="right"/>
              <w:rPr>
                <w:rFonts w:ascii="Arial" w:eastAsia="Times New Roman" w:hAnsi="Arial" w:cs="Arial"/>
                <w:color w:val="000000" w:themeColor="text1"/>
                <w:spacing w:val="-2"/>
                <w:sz w:val="18"/>
                <w:szCs w:val="18"/>
              </w:rPr>
            </w:pPr>
            <w:r w:rsidRPr="008A2FA6">
              <w:rPr>
                <w:rFonts w:ascii="Arial" w:eastAsia="Times New Roman" w:hAnsi="Arial" w:cs="Arial"/>
                <w:color w:val="000000" w:themeColor="text1"/>
                <w:spacing w:val="-2"/>
                <w:sz w:val="18"/>
                <w:szCs w:val="18"/>
              </w:rPr>
              <w:t>19.448</w:t>
            </w:r>
          </w:p>
        </w:tc>
      </w:tr>
    </w:tbl>
    <w:p w14:paraId="69B1E706" w14:textId="77777777" w:rsidR="00DC6A7C" w:rsidRPr="003D1614" w:rsidRDefault="00DC6A7C" w:rsidP="008C368A">
      <w:pPr>
        <w:keepNext/>
        <w:suppressAutoHyphens/>
        <w:autoSpaceDN w:val="0"/>
        <w:jc w:val="both"/>
        <w:outlineLvl w:val="0"/>
        <w:rPr>
          <w:rFonts w:ascii="Arial" w:eastAsia="Times New Roman" w:hAnsi="Arial" w:cs="Arial"/>
          <w:bCs/>
          <w:color w:val="000000" w:themeColor="text1"/>
          <w:sz w:val="20"/>
          <w:szCs w:val="20"/>
        </w:rPr>
      </w:pPr>
    </w:p>
    <w:p w14:paraId="27C2A51C" w14:textId="77777777" w:rsidR="00DC6A7C" w:rsidRPr="003D1614" w:rsidRDefault="00DC6A7C" w:rsidP="008C368A">
      <w:pPr>
        <w:keepNext/>
        <w:suppressAutoHyphens/>
        <w:autoSpaceDN w:val="0"/>
        <w:jc w:val="both"/>
        <w:outlineLvl w:val="0"/>
        <w:rPr>
          <w:rFonts w:ascii="Arial" w:eastAsia="Times New Roman" w:hAnsi="Arial" w:cs="Arial"/>
          <w:bCs/>
          <w:color w:val="000000" w:themeColor="text1"/>
          <w:sz w:val="20"/>
          <w:szCs w:val="20"/>
        </w:rPr>
      </w:pPr>
    </w:p>
    <w:p w14:paraId="7754D298" w14:textId="77777777" w:rsidR="009B1C37" w:rsidRPr="003D1614" w:rsidRDefault="009B1C37" w:rsidP="008C368A">
      <w:pPr>
        <w:keepNext/>
        <w:suppressAutoHyphens/>
        <w:autoSpaceDN w:val="0"/>
        <w:jc w:val="both"/>
        <w:outlineLvl w:val="0"/>
        <w:rPr>
          <w:rFonts w:ascii="Arial" w:eastAsia="Times New Roman" w:hAnsi="Arial" w:cs="Arial"/>
          <w:bCs/>
          <w:color w:val="000000" w:themeColor="text1"/>
          <w:sz w:val="20"/>
          <w:szCs w:val="20"/>
        </w:rPr>
      </w:pPr>
    </w:p>
    <w:p w14:paraId="439441A4" w14:textId="366B8815" w:rsidR="009B1C37" w:rsidRPr="003D1614" w:rsidRDefault="009B1C37" w:rsidP="008C368A">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Priložene računovodstvene politike i bilješke sastavni su dio ovih financijskih izvještaja.</w:t>
      </w:r>
    </w:p>
    <w:p w14:paraId="15DF3397" w14:textId="77777777" w:rsidR="009B1C37" w:rsidRPr="003D1614" w:rsidRDefault="009B1C37" w:rsidP="008C368A">
      <w:pPr>
        <w:keepNext/>
        <w:suppressAutoHyphens/>
        <w:autoSpaceDN w:val="0"/>
        <w:jc w:val="both"/>
        <w:outlineLvl w:val="0"/>
        <w:rPr>
          <w:rFonts w:ascii="Arial" w:eastAsia="Times New Roman" w:hAnsi="Arial" w:cs="Arial"/>
          <w:bCs/>
          <w:color w:val="000000" w:themeColor="text1"/>
          <w:sz w:val="20"/>
          <w:szCs w:val="20"/>
        </w:rPr>
        <w:sectPr w:rsidR="009B1C37" w:rsidRPr="003D1614">
          <w:headerReference w:type="default" r:id="rId14"/>
          <w:pgSz w:w="11906" w:h="16838"/>
          <w:pgMar w:top="1417" w:right="1417" w:bottom="1417" w:left="1417" w:header="708" w:footer="708" w:gutter="0"/>
          <w:cols w:space="708"/>
          <w:docGrid w:linePitch="360"/>
        </w:sectPr>
      </w:pPr>
    </w:p>
    <w:p w14:paraId="63D24CF5" w14:textId="68D88F5B" w:rsidR="009B1C37" w:rsidRPr="003D1614" w:rsidRDefault="009B1C37" w:rsidP="008C368A">
      <w:pPr>
        <w:keepNext/>
        <w:suppressAutoHyphens/>
        <w:autoSpaceDN w:val="0"/>
        <w:jc w:val="both"/>
        <w:outlineLvl w:val="0"/>
        <w:rPr>
          <w:rFonts w:ascii="Arial" w:eastAsia="Times New Roman" w:hAnsi="Arial" w:cs="Arial"/>
          <w:bCs/>
          <w:color w:val="000000" w:themeColor="text1"/>
          <w:sz w:val="20"/>
          <w:szCs w:val="20"/>
        </w:rPr>
      </w:pPr>
    </w:p>
    <w:p w14:paraId="4F8C2E97" w14:textId="77777777" w:rsidR="00DE7EEE" w:rsidRPr="003D1614" w:rsidRDefault="00DE7EEE" w:rsidP="00DE7EEE">
      <w:pPr>
        <w:rPr>
          <w:rFonts w:ascii="Arial" w:eastAsia="Times New Roman" w:hAnsi="Arial" w:cs="Arial"/>
          <w:sz w:val="20"/>
          <w:szCs w:val="20"/>
        </w:rPr>
      </w:pPr>
    </w:p>
    <w:tbl>
      <w:tblPr>
        <w:tblpPr w:leftFromText="180" w:rightFromText="180" w:vertAnchor="page" w:horzAnchor="margin" w:tblpXSpec="center" w:tblpY="2678"/>
        <w:tblW w:w="5297" w:type="pct"/>
        <w:tblLayout w:type="fixed"/>
        <w:tblCellMar>
          <w:left w:w="120" w:type="dxa"/>
          <w:right w:w="120" w:type="dxa"/>
        </w:tblCellMar>
        <w:tblLook w:val="0000" w:firstRow="0" w:lastRow="0" w:firstColumn="0" w:lastColumn="0" w:noHBand="0" w:noVBand="0"/>
      </w:tblPr>
      <w:tblGrid>
        <w:gridCol w:w="2533"/>
        <w:gridCol w:w="1140"/>
        <w:gridCol w:w="1067"/>
        <w:gridCol w:w="1140"/>
        <w:gridCol w:w="1334"/>
        <w:gridCol w:w="1067"/>
        <w:gridCol w:w="1330"/>
      </w:tblGrid>
      <w:tr w:rsidR="00242B62" w:rsidRPr="00347F1D" w14:paraId="1FC84930" w14:textId="77777777" w:rsidTr="002D200D">
        <w:trPr>
          <w:trHeight w:val="783"/>
        </w:trPr>
        <w:tc>
          <w:tcPr>
            <w:tcW w:w="1318" w:type="pct"/>
            <w:vAlign w:val="bottom"/>
          </w:tcPr>
          <w:p w14:paraId="186EDA4A" w14:textId="77777777" w:rsidR="00242B62" w:rsidRPr="00347F1D" w:rsidRDefault="00242B62" w:rsidP="00242B62">
            <w:pPr>
              <w:tabs>
                <w:tab w:val="right" w:pos="1202"/>
              </w:tabs>
              <w:suppressAutoHyphens/>
              <w:autoSpaceDN w:val="0"/>
              <w:spacing w:line="301" w:lineRule="exact"/>
              <w:outlineLvl w:val="0"/>
              <w:rPr>
                <w:rFonts w:ascii="Arial" w:eastAsia="Times New Roman" w:hAnsi="Arial" w:cs="Arial"/>
                <w:b/>
                <w:iCs/>
                <w:color w:val="000000" w:themeColor="text1"/>
                <w:sz w:val="18"/>
                <w:szCs w:val="18"/>
              </w:rPr>
            </w:pPr>
          </w:p>
        </w:tc>
        <w:tc>
          <w:tcPr>
            <w:tcW w:w="593" w:type="pct"/>
            <w:vAlign w:val="bottom"/>
          </w:tcPr>
          <w:p w14:paraId="6FB8FFF4" w14:textId="77777777" w:rsidR="00242B62" w:rsidRPr="00347F1D"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1" w:name="_Toc67326846"/>
            <w:r w:rsidRPr="00347F1D">
              <w:rPr>
                <w:rFonts w:ascii="Arial" w:eastAsia="Times New Roman" w:hAnsi="Arial" w:cs="Arial"/>
                <w:b/>
                <w:iCs/>
                <w:color w:val="000000" w:themeColor="text1"/>
                <w:sz w:val="18"/>
                <w:szCs w:val="18"/>
              </w:rPr>
              <w:t>Osnivački</w:t>
            </w:r>
            <w:bookmarkEnd w:id="101"/>
            <w:r w:rsidRPr="00347F1D">
              <w:rPr>
                <w:rFonts w:ascii="Arial" w:eastAsia="Times New Roman" w:hAnsi="Arial" w:cs="Arial"/>
                <w:b/>
                <w:iCs/>
                <w:color w:val="000000" w:themeColor="text1"/>
                <w:sz w:val="18"/>
                <w:szCs w:val="18"/>
              </w:rPr>
              <w:t xml:space="preserve"> </w:t>
            </w:r>
          </w:p>
          <w:p w14:paraId="274020E3" w14:textId="77777777" w:rsidR="00242B62" w:rsidRPr="00347F1D"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2" w:name="_Toc67326847"/>
            <w:r w:rsidRPr="00347F1D">
              <w:rPr>
                <w:rFonts w:ascii="Arial" w:eastAsia="Times New Roman" w:hAnsi="Arial" w:cs="Arial"/>
                <w:b/>
                <w:iCs/>
                <w:color w:val="000000" w:themeColor="text1"/>
                <w:sz w:val="18"/>
                <w:szCs w:val="18"/>
              </w:rPr>
              <w:t>kapital</w:t>
            </w:r>
            <w:bookmarkEnd w:id="102"/>
          </w:p>
        </w:tc>
        <w:tc>
          <w:tcPr>
            <w:tcW w:w="555" w:type="pct"/>
            <w:vAlign w:val="bottom"/>
          </w:tcPr>
          <w:p w14:paraId="623A7802" w14:textId="16BBAEB4" w:rsidR="00242B62" w:rsidRPr="00347F1D" w:rsidRDefault="00242B62" w:rsidP="00531D68">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3" w:name="_Toc67326848"/>
            <w:r w:rsidRPr="00347F1D">
              <w:rPr>
                <w:rFonts w:ascii="Arial" w:eastAsia="Times New Roman" w:hAnsi="Arial" w:cs="Arial"/>
                <w:b/>
                <w:iCs/>
                <w:color w:val="000000" w:themeColor="text1"/>
                <w:sz w:val="18"/>
                <w:szCs w:val="18"/>
              </w:rPr>
              <w:t>Zadržana</w:t>
            </w:r>
            <w:bookmarkEnd w:id="103"/>
            <w:r w:rsidRPr="00347F1D">
              <w:rPr>
                <w:rFonts w:ascii="Arial" w:eastAsia="Times New Roman" w:hAnsi="Arial" w:cs="Arial"/>
                <w:b/>
                <w:iCs/>
                <w:color w:val="000000" w:themeColor="text1"/>
                <w:sz w:val="18"/>
                <w:szCs w:val="18"/>
              </w:rPr>
              <w:t xml:space="preserve"> </w:t>
            </w:r>
          </w:p>
          <w:p w14:paraId="781AD2DE" w14:textId="77777777" w:rsidR="00242B62" w:rsidRPr="00347F1D"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4" w:name="_Toc67326849"/>
            <w:r w:rsidRPr="00347F1D">
              <w:rPr>
                <w:rFonts w:ascii="Arial" w:eastAsia="Times New Roman" w:hAnsi="Arial" w:cs="Arial"/>
                <w:b/>
                <w:iCs/>
                <w:color w:val="000000" w:themeColor="text1"/>
                <w:sz w:val="18"/>
                <w:szCs w:val="18"/>
              </w:rPr>
              <w:t>dobit i rezerve</w:t>
            </w:r>
            <w:bookmarkEnd w:id="104"/>
          </w:p>
        </w:tc>
        <w:tc>
          <w:tcPr>
            <w:tcW w:w="593" w:type="pct"/>
            <w:vAlign w:val="bottom"/>
          </w:tcPr>
          <w:p w14:paraId="38188F4D" w14:textId="77777777" w:rsidR="00242B62" w:rsidRPr="00347F1D"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5" w:name="_Toc67326850"/>
            <w:r w:rsidRPr="00347F1D">
              <w:rPr>
                <w:rFonts w:ascii="Arial" w:eastAsia="Times New Roman" w:hAnsi="Arial" w:cs="Arial"/>
                <w:b/>
                <w:iCs/>
                <w:color w:val="000000" w:themeColor="text1"/>
                <w:sz w:val="18"/>
                <w:szCs w:val="18"/>
              </w:rPr>
              <w:t>Ostale rezerve</w:t>
            </w:r>
            <w:bookmarkEnd w:id="105"/>
          </w:p>
        </w:tc>
        <w:tc>
          <w:tcPr>
            <w:tcW w:w="694" w:type="pct"/>
            <w:vAlign w:val="bottom"/>
          </w:tcPr>
          <w:p w14:paraId="213E522B" w14:textId="77777777" w:rsidR="00242B62" w:rsidRPr="00347F1D"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6" w:name="_Toc67326851"/>
            <w:r w:rsidRPr="00347F1D">
              <w:rPr>
                <w:rFonts w:ascii="Arial" w:eastAsia="Times New Roman" w:hAnsi="Arial" w:cs="Arial"/>
                <w:b/>
                <w:iCs/>
                <w:color w:val="000000" w:themeColor="text1"/>
                <w:sz w:val="18"/>
                <w:szCs w:val="18"/>
              </w:rPr>
              <w:t>Neto dobit</w:t>
            </w:r>
            <w:bookmarkEnd w:id="106"/>
            <w:r w:rsidRPr="00347F1D">
              <w:rPr>
                <w:rFonts w:ascii="Arial" w:eastAsia="Times New Roman" w:hAnsi="Arial" w:cs="Arial"/>
                <w:b/>
                <w:iCs/>
                <w:color w:val="000000" w:themeColor="text1"/>
                <w:sz w:val="18"/>
                <w:szCs w:val="18"/>
              </w:rPr>
              <w:t xml:space="preserve"> </w:t>
            </w:r>
          </w:p>
          <w:p w14:paraId="6EE30340" w14:textId="3F99A53F" w:rsidR="00242B62" w:rsidRPr="00347F1D"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7" w:name="_Toc67326852"/>
            <w:r w:rsidRPr="00347F1D">
              <w:rPr>
                <w:rFonts w:ascii="Arial" w:eastAsia="Times New Roman" w:hAnsi="Arial" w:cs="Arial"/>
                <w:b/>
                <w:iCs/>
                <w:color w:val="000000" w:themeColor="text1"/>
                <w:sz w:val="18"/>
                <w:szCs w:val="18"/>
              </w:rPr>
              <w:t>tekuć</w:t>
            </w:r>
            <w:r w:rsidR="00BF2BEB">
              <w:rPr>
                <w:rFonts w:ascii="Arial" w:eastAsia="Times New Roman" w:hAnsi="Arial" w:cs="Arial"/>
                <w:b/>
                <w:iCs/>
                <w:color w:val="000000" w:themeColor="text1"/>
                <w:sz w:val="18"/>
                <w:szCs w:val="18"/>
              </w:rPr>
              <w:t>e</w:t>
            </w:r>
            <w:r w:rsidRPr="00347F1D">
              <w:rPr>
                <w:rFonts w:ascii="Arial" w:eastAsia="Times New Roman" w:hAnsi="Arial" w:cs="Arial"/>
                <w:b/>
                <w:iCs/>
                <w:color w:val="000000" w:themeColor="text1"/>
                <w:sz w:val="18"/>
                <w:szCs w:val="18"/>
              </w:rPr>
              <w:t xml:space="preserve">g </w:t>
            </w:r>
            <w:bookmarkEnd w:id="107"/>
            <w:r w:rsidRPr="00347F1D">
              <w:rPr>
                <w:rFonts w:ascii="Arial" w:eastAsia="Times New Roman" w:hAnsi="Arial" w:cs="Arial"/>
                <w:b/>
                <w:iCs/>
                <w:color w:val="000000" w:themeColor="text1"/>
                <w:sz w:val="18"/>
                <w:szCs w:val="18"/>
              </w:rPr>
              <w:t>razdoblja</w:t>
            </w:r>
          </w:p>
        </w:tc>
        <w:tc>
          <w:tcPr>
            <w:tcW w:w="555" w:type="pct"/>
            <w:vAlign w:val="bottom"/>
          </w:tcPr>
          <w:p w14:paraId="1600A0F8" w14:textId="77777777" w:rsidR="00242B62" w:rsidRPr="00347F1D"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p>
          <w:p w14:paraId="312C012B" w14:textId="77777777" w:rsidR="00242B62" w:rsidRPr="00347F1D"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8" w:name="_Toc67326853"/>
            <w:r w:rsidRPr="00347F1D">
              <w:rPr>
                <w:rFonts w:ascii="Arial" w:eastAsia="Times New Roman" w:hAnsi="Arial" w:cs="Arial"/>
                <w:b/>
                <w:iCs/>
                <w:color w:val="000000" w:themeColor="text1"/>
                <w:sz w:val="18"/>
                <w:szCs w:val="18"/>
              </w:rPr>
              <w:t>Garantni</w:t>
            </w:r>
            <w:bookmarkEnd w:id="108"/>
            <w:r w:rsidRPr="00347F1D">
              <w:rPr>
                <w:rFonts w:ascii="Arial" w:eastAsia="Times New Roman" w:hAnsi="Arial" w:cs="Arial"/>
                <w:b/>
                <w:iCs/>
                <w:color w:val="000000" w:themeColor="text1"/>
                <w:sz w:val="18"/>
                <w:szCs w:val="18"/>
              </w:rPr>
              <w:t xml:space="preserve"> </w:t>
            </w:r>
          </w:p>
          <w:p w14:paraId="00359582" w14:textId="77777777" w:rsidR="00242B62" w:rsidRPr="00347F1D"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09" w:name="_Toc67326854"/>
            <w:r w:rsidRPr="00347F1D">
              <w:rPr>
                <w:rFonts w:ascii="Arial" w:eastAsia="Times New Roman" w:hAnsi="Arial" w:cs="Arial"/>
                <w:b/>
                <w:iCs/>
                <w:color w:val="000000" w:themeColor="text1"/>
                <w:sz w:val="18"/>
                <w:szCs w:val="18"/>
              </w:rPr>
              <w:t>fond</w:t>
            </w:r>
            <w:bookmarkEnd w:id="109"/>
          </w:p>
        </w:tc>
        <w:tc>
          <w:tcPr>
            <w:tcW w:w="692" w:type="pct"/>
            <w:vAlign w:val="bottom"/>
          </w:tcPr>
          <w:p w14:paraId="22B54943" w14:textId="77777777" w:rsidR="00242B62" w:rsidRPr="00347F1D" w:rsidRDefault="00242B62" w:rsidP="00242B62">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bookmarkStart w:id="110" w:name="_Toc67326855"/>
            <w:r w:rsidRPr="00347F1D">
              <w:rPr>
                <w:rFonts w:ascii="Arial" w:eastAsia="Times New Roman" w:hAnsi="Arial" w:cs="Arial"/>
                <w:b/>
                <w:iCs/>
                <w:color w:val="000000" w:themeColor="text1"/>
                <w:sz w:val="18"/>
                <w:szCs w:val="18"/>
              </w:rPr>
              <w:t>Ukupni kapital</w:t>
            </w:r>
            <w:bookmarkEnd w:id="110"/>
            <w:r w:rsidRPr="00347F1D">
              <w:rPr>
                <w:rFonts w:ascii="Arial" w:eastAsia="Times New Roman" w:hAnsi="Arial" w:cs="Arial"/>
                <w:b/>
                <w:iCs/>
                <w:color w:val="000000" w:themeColor="text1"/>
                <w:sz w:val="18"/>
                <w:szCs w:val="18"/>
              </w:rPr>
              <w:t xml:space="preserve"> </w:t>
            </w:r>
          </w:p>
        </w:tc>
      </w:tr>
      <w:tr w:rsidR="00242B62" w:rsidRPr="00347F1D" w14:paraId="4FA01FEB" w14:textId="77777777" w:rsidTr="002D200D">
        <w:trPr>
          <w:trHeight w:val="298"/>
        </w:trPr>
        <w:tc>
          <w:tcPr>
            <w:tcW w:w="1318" w:type="pct"/>
            <w:vAlign w:val="bottom"/>
          </w:tcPr>
          <w:p w14:paraId="61AC80FD" w14:textId="77777777" w:rsidR="00242B62" w:rsidRPr="00347F1D" w:rsidRDefault="00242B62" w:rsidP="00242B62">
            <w:pPr>
              <w:tabs>
                <w:tab w:val="right" w:pos="1202"/>
              </w:tabs>
              <w:suppressAutoHyphens/>
              <w:autoSpaceDN w:val="0"/>
              <w:spacing w:line="301" w:lineRule="exact"/>
              <w:outlineLvl w:val="0"/>
              <w:rPr>
                <w:rFonts w:ascii="Arial" w:eastAsia="Times New Roman" w:hAnsi="Arial" w:cs="Arial"/>
                <w:iCs/>
                <w:color w:val="000000" w:themeColor="text1"/>
                <w:sz w:val="18"/>
                <w:szCs w:val="18"/>
              </w:rPr>
            </w:pPr>
          </w:p>
        </w:tc>
        <w:tc>
          <w:tcPr>
            <w:tcW w:w="593" w:type="pct"/>
            <w:vAlign w:val="bottom"/>
          </w:tcPr>
          <w:p w14:paraId="31DD5FD9" w14:textId="77777777" w:rsidR="00242B62" w:rsidRPr="00347F1D" w:rsidRDefault="00242B62" w:rsidP="00242B62">
            <w:pPr>
              <w:keepLines/>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347F1D">
              <w:rPr>
                <w:rFonts w:ascii="Arial" w:eastAsia="Times New Roman" w:hAnsi="Arial" w:cs="Arial"/>
                <w:b/>
                <w:bCs/>
                <w:color w:val="000000" w:themeColor="text1"/>
                <w:sz w:val="18"/>
                <w:szCs w:val="18"/>
              </w:rPr>
              <w:t>000 eura</w:t>
            </w:r>
          </w:p>
        </w:tc>
        <w:tc>
          <w:tcPr>
            <w:tcW w:w="555" w:type="pct"/>
            <w:vAlign w:val="bottom"/>
          </w:tcPr>
          <w:p w14:paraId="14B2DDED" w14:textId="77777777" w:rsidR="00242B62" w:rsidRPr="00347F1D" w:rsidRDefault="00242B62" w:rsidP="00242B62">
            <w:pPr>
              <w:keepLines/>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347F1D">
              <w:rPr>
                <w:rFonts w:ascii="Arial" w:eastAsia="Times New Roman" w:hAnsi="Arial" w:cs="Arial"/>
                <w:b/>
                <w:bCs/>
                <w:color w:val="000000" w:themeColor="text1"/>
                <w:sz w:val="18"/>
                <w:szCs w:val="18"/>
              </w:rPr>
              <w:t>000 eura</w:t>
            </w:r>
          </w:p>
        </w:tc>
        <w:tc>
          <w:tcPr>
            <w:tcW w:w="593" w:type="pct"/>
            <w:vAlign w:val="bottom"/>
          </w:tcPr>
          <w:p w14:paraId="2CF89BA0" w14:textId="77777777" w:rsidR="00242B62" w:rsidRPr="00347F1D" w:rsidRDefault="00242B62" w:rsidP="00242B62">
            <w:pPr>
              <w:keepLines/>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347F1D">
              <w:rPr>
                <w:rFonts w:ascii="Arial" w:eastAsia="Times New Roman" w:hAnsi="Arial" w:cs="Arial"/>
                <w:b/>
                <w:bCs/>
                <w:color w:val="000000" w:themeColor="text1"/>
                <w:sz w:val="18"/>
                <w:szCs w:val="18"/>
              </w:rPr>
              <w:t>000 eura</w:t>
            </w:r>
          </w:p>
        </w:tc>
        <w:tc>
          <w:tcPr>
            <w:tcW w:w="694" w:type="pct"/>
            <w:vAlign w:val="bottom"/>
          </w:tcPr>
          <w:p w14:paraId="58770A63" w14:textId="77777777" w:rsidR="00242B62" w:rsidRPr="00347F1D" w:rsidRDefault="00242B62" w:rsidP="00242B62">
            <w:pPr>
              <w:keepLines/>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347F1D">
              <w:rPr>
                <w:rFonts w:ascii="Arial" w:eastAsia="Times New Roman" w:hAnsi="Arial" w:cs="Arial"/>
                <w:b/>
                <w:bCs/>
                <w:color w:val="000000" w:themeColor="text1"/>
                <w:sz w:val="18"/>
                <w:szCs w:val="18"/>
              </w:rPr>
              <w:t>000 eura</w:t>
            </w:r>
          </w:p>
        </w:tc>
        <w:tc>
          <w:tcPr>
            <w:tcW w:w="555" w:type="pct"/>
            <w:vAlign w:val="bottom"/>
          </w:tcPr>
          <w:p w14:paraId="69D659D2" w14:textId="77777777" w:rsidR="00242B62" w:rsidRPr="00347F1D" w:rsidRDefault="00242B62" w:rsidP="00242B62">
            <w:pPr>
              <w:keepLines/>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347F1D">
              <w:rPr>
                <w:rFonts w:ascii="Arial" w:eastAsia="Times New Roman" w:hAnsi="Arial" w:cs="Arial"/>
                <w:b/>
                <w:bCs/>
                <w:color w:val="000000" w:themeColor="text1"/>
                <w:sz w:val="18"/>
                <w:szCs w:val="18"/>
              </w:rPr>
              <w:t>000 eura</w:t>
            </w:r>
          </w:p>
        </w:tc>
        <w:tc>
          <w:tcPr>
            <w:tcW w:w="692" w:type="pct"/>
            <w:vAlign w:val="bottom"/>
          </w:tcPr>
          <w:p w14:paraId="5F40AFAB" w14:textId="77777777" w:rsidR="00242B62" w:rsidRPr="00347F1D" w:rsidRDefault="00242B62" w:rsidP="00242B62">
            <w:pPr>
              <w:keepLines/>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347F1D">
              <w:rPr>
                <w:rFonts w:ascii="Arial" w:eastAsia="Times New Roman" w:hAnsi="Arial" w:cs="Arial"/>
                <w:b/>
                <w:bCs/>
                <w:color w:val="000000" w:themeColor="text1"/>
                <w:sz w:val="18"/>
                <w:szCs w:val="18"/>
              </w:rPr>
              <w:t>000 eura</w:t>
            </w:r>
          </w:p>
        </w:tc>
      </w:tr>
      <w:tr w:rsidR="00242B62" w:rsidRPr="00347F1D" w14:paraId="729B4D39" w14:textId="77777777" w:rsidTr="002D200D">
        <w:trPr>
          <w:trHeight w:hRule="exact" w:val="284"/>
        </w:trPr>
        <w:tc>
          <w:tcPr>
            <w:tcW w:w="1318" w:type="pct"/>
            <w:vAlign w:val="bottom"/>
          </w:tcPr>
          <w:p w14:paraId="4CF54A52" w14:textId="77777777" w:rsidR="00242B62" w:rsidRPr="00347F1D" w:rsidRDefault="00242B62" w:rsidP="00242B62">
            <w:pPr>
              <w:tabs>
                <w:tab w:val="right" w:pos="1202"/>
              </w:tabs>
              <w:suppressAutoHyphens/>
              <w:autoSpaceDN w:val="0"/>
              <w:spacing w:line="140" w:lineRule="exact"/>
              <w:outlineLvl w:val="0"/>
              <w:rPr>
                <w:rFonts w:ascii="Arial" w:eastAsia="Times New Roman" w:hAnsi="Arial" w:cs="Arial"/>
                <w:iCs/>
                <w:color w:val="000000" w:themeColor="text1"/>
                <w:sz w:val="18"/>
                <w:szCs w:val="18"/>
              </w:rPr>
            </w:pPr>
          </w:p>
        </w:tc>
        <w:tc>
          <w:tcPr>
            <w:tcW w:w="593" w:type="pct"/>
            <w:tcBorders>
              <w:bottom w:val="single" w:sz="4" w:space="0" w:color="auto"/>
            </w:tcBorders>
            <w:vAlign w:val="bottom"/>
          </w:tcPr>
          <w:p w14:paraId="7930FE5B" w14:textId="77777777" w:rsidR="00242B62" w:rsidRPr="00347F1D" w:rsidRDefault="00242B62" w:rsidP="00242B62">
            <w:pPr>
              <w:tabs>
                <w:tab w:val="right" w:pos="1202"/>
              </w:tabs>
              <w:suppressAutoHyphens/>
              <w:autoSpaceDN w:val="0"/>
              <w:spacing w:line="140" w:lineRule="exact"/>
              <w:jc w:val="right"/>
              <w:outlineLvl w:val="0"/>
              <w:rPr>
                <w:rFonts w:ascii="Arial" w:eastAsia="Times New Roman" w:hAnsi="Arial" w:cs="Arial"/>
                <w:b/>
                <w:bCs/>
                <w:color w:val="000000" w:themeColor="text1"/>
                <w:sz w:val="18"/>
                <w:szCs w:val="18"/>
              </w:rPr>
            </w:pPr>
          </w:p>
        </w:tc>
        <w:tc>
          <w:tcPr>
            <w:tcW w:w="555" w:type="pct"/>
            <w:tcBorders>
              <w:bottom w:val="single" w:sz="4" w:space="0" w:color="auto"/>
            </w:tcBorders>
            <w:vAlign w:val="bottom"/>
          </w:tcPr>
          <w:p w14:paraId="679AEFB4" w14:textId="77777777" w:rsidR="00242B62" w:rsidRPr="00347F1D" w:rsidRDefault="00242B62" w:rsidP="00242B62">
            <w:pPr>
              <w:tabs>
                <w:tab w:val="right" w:pos="1202"/>
              </w:tabs>
              <w:suppressAutoHyphens/>
              <w:autoSpaceDN w:val="0"/>
              <w:spacing w:line="140" w:lineRule="exact"/>
              <w:jc w:val="right"/>
              <w:outlineLvl w:val="0"/>
              <w:rPr>
                <w:rFonts w:ascii="Arial" w:eastAsia="Times New Roman" w:hAnsi="Arial" w:cs="Arial"/>
                <w:b/>
                <w:bCs/>
                <w:color w:val="000000" w:themeColor="text1"/>
                <w:sz w:val="18"/>
                <w:szCs w:val="18"/>
              </w:rPr>
            </w:pPr>
          </w:p>
        </w:tc>
        <w:tc>
          <w:tcPr>
            <w:tcW w:w="593" w:type="pct"/>
            <w:tcBorders>
              <w:bottom w:val="single" w:sz="4" w:space="0" w:color="auto"/>
            </w:tcBorders>
            <w:vAlign w:val="bottom"/>
          </w:tcPr>
          <w:p w14:paraId="3DEAB5F7" w14:textId="77777777" w:rsidR="00242B62" w:rsidRPr="00347F1D" w:rsidRDefault="00242B62" w:rsidP="00242B62">
            <w:pPr>
              <w:tabs>
                <w:tab w:val="right" w:pos="1202"/>
              </w:tabs>
              <w:suppressAutoHyphens/>
              <w:autoSpaceDN w:val="0"/>
              <w:spacing w:line="140" w:lineRule="exact"/>
              <w:jc w:val="right"/>
              <w:outlineLvl w:val="0"/>
              <w:rPr>
                <w:rFonts w:ascii="Arial" w:eastAsia="Times New Roman" w:hAnsi="Arial" w:cs="Arial"/>
                <w:b/>
                <w:bCs/>
                <w:color w:val="000000" w:themeColor="text1"/>
                <w:sz w:val="18"/>
                <w:szCs w:val="18"/>
              </w:rPr>
            </w:pPr>
          </w:p>
        </w:tc>
        <w:tc>
          <w:tcPr>
            <w:tcW w:w="694" w:type="pct"/>
            <w:tcBorders>
              <w:bottom w:val="single" w:sz="4" w:space="0" w:color="auto"/>
            </w:tcBorders>
            <w:vAlign w:val="bottom"/>
          </w:tcPr>
          <w:p w14:paraId="70539BF2" w14:textId="77777777" w:rsidR="00242B62" w:rsidRPr="00347F1D" w:rsidRDefault="00242B62" w:rsidP="00242B62">
            <w:pPr>
              <w:tabs>
                <w:tab w:val="right" w:pos="1202"/>
              </w:tabs>
              <w:suppressAutoHyphens/>
              <w:autoSpaceDN w:val="0"/>
              <w:spacing w:line="140" w:lineRule="exact"/>
              <w:jc w:val="right"/>
              <w:outlineLvl w:val="0"/>
              <w:rPr>
                <w:rFonts w:ascii="Arial" w:eastAsia="Times New Roman" w:hAnsi="Arial" w:cs="Arial"/>
                <w:b/>
                <w:bCs/>
                <w:color w:val="000000" w:themeColor="text1"/>
                <w:sz w:val="18"/>
                <w:szCs w:val="18"/>
              </w:rPr>
            </w:pPr>
          </w:p>
        </w:tc>
        <w:tc>
          <w:tcPr>
            <w:tcW w:w="555" w:type="pct"/>
            <w:tcBorders>
              <w:bottom w:val="single" w:sz="4" w:space="0" w:color="auto"/>
            </w:tcBorders>
            <w:vAlign w:val="bottom"/>
          </w:tcPr>
          <w:p w14:paraId="52927D3D" w14:textId="77777777" w:rsidR="00242B62" w:rsidRPr="00347F1D" w:rsidRDefault="00242B62" w:rsidP="00242B62">
            <w:pPr>
              <w:tabs>
                <w:tab w:val="right" w:pos="1202"/>
              </w:tabs>
              <w:suppressAutoHyphens/>
              <w:autoSpaceDN w:val="0"/>
              <w:spacing w:line="140" w:lineRule="exact"/>
              <w:jc w:val="right"/>
              <w:outlineLvl w:val="0"/>
              <w:rPr>
                <w:rFonts w:ascii="Arial" w:eastAsia="Times New Roman" w:hAnsi="Arial" w:cs="Arial"/>
                <w:b/>
                <w:bCs/>
                <w:color w:val="000000" w:themeColor="text1"/>
                <w:sz w:val="18"/>
                <w:szCs w:val="18"/>
              </w:rPr>
            </w:pPr>
          </w:p>
        </w:tc>
        <w:tc>
          <w:tcPr>
            <w:tcW w:w="692" w:type="pct"/>
            <w:tcBorders>
              <w:bottom w:val="single" w:sz="4" w:space="0" w:color="auto"/>
            </w:tcBorders>
            <w:vAlign w:val="bottom"/>
          </w:tcPr>
          <w:p w14:paraId="58DB5D68" w14:textId="77777777" w:rsidR="00242B62" w:rsidRPr="00347F1D" w:rsidRDefault="00242B62" w:rsidP="00242B62">
            <w:pPr>
              <w:tabs>
                <w:tab w:val="right" w:pos="1202"/>
              </w:tabs>
              <w:suppressAutoHyphens/>
              <w:autoSpaceDN w:val="0"/>
              <w:spacing w:line="140" w:lineRule="exact"/>
              <w:jc w:val="right"/>
              <w:outlineLvl w:val="0"/>
              <w:rPr>
                <w:rFonts w:ascii="Arial" w:eastAsia="Times New Roman" w:hAnsi="Arial" w:cs="Arial"/>
                <w:b/>
                <w:bCs/>
                <w:color w:val="000000" w:themeColor="text1"/>
                <w:sz w:val="18"/>
                <w:szCs w:val="18"/>
              </w:rPr>
            </w:pPr>
          </w:p>
        </w:tc>
      </w:tr>
      <w:tr w:rsidR="00C157F2" w:rsidRPr="00347F1D" w14:paraId="66F1D623" w14:textId="77777777" w:rsidTr="00F16169">
        <w:trPr>
          <w:trHeight w:val="340"/>
        </w:trPr>
        <w:tc>
          <w:tcPr>
            <w:tcW w:w="1318" w:type="pct"/>
            <w:vAlign w:val="bottom"/>
          </w:tcPr>
          <w:p w14:paraId="4AEE79DE" w14:textId="037A814B" w:rsidR="00C157F2" w:rsidRPr="00347F1D" w:rsidRDefault="00C157F2" w:rsidP="00C157F2">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bookmarkStart w:id="111" w:name="_Toc67326910"/>
            <w:r w:rsidRPr="00347F1D">
              <w:rPr>
                <w:rFonts w:ascii="Arial" w:eastAsia="Times New Roman" w:hAnsi="Arial" w:cs="Arial"/>
                <w:b/>
                <w:iCs/>
                <w:color w:val="000000" w:themeColor="text1"/>
                <w:sz w:val="18"/>
                <w:szCs w:val="18"/>
              </w:rPr>
              <w:t>Stanje 1. siječnja 2023.</w:t>
            </w:r>
            <w:bookmarkEnd w:id="111"/>
            <w:r w:rsidRPr="00347F1D">
              <w:rPr>
                <w:rFonts w:ascii="Arial" w:eastAsia="Times New Roman" w:hAnsi="Arial" w:cs="Arial"/>
                <w:b/>
                <w:iCs/>
                <w:color w:val="000000" w:themeColor="text1"/>
                <w:sz w:val="18"/>
                <w:szCs w:val="18"/>
              </w:rPr>
              <w:t xml:space="preserve"> </w:t>
            </w:r>
          </w:p>
        </w:tc>
        <w:tc>
          <w:tcPr>
            <w:tcW w:w="593" w:type="pct"/>
            <w:tcBorders>
              <w:top w:val="single" w:sz="4" w:space="0" w:color="auto"/>
              <w:left w:val="nil"/>
              <w:bottom w:val="single" w:sz="12" w:space="0" w:color="auto"/>
              <w:right w:val="nil"/>
            </w:tcBorders>
            <w:shd w:val="clear" w:color="auto" w:fill="auto"/>
            <w:vAlign w:val="bottom"/>
          </w:tcPr>
          <w:p w14:paraId="39C624B9" w14:textId="69773FF1" w:rsidR="00C157F2" w:rsidRPr="00347F1D" w:rsidRDefault="00C157F2" w:rsidP="00C157F2">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347F1D">
              <w:rPr>
                <w:rFonts w:ascii="Arial" w:hAnsi="Arial" w:cs="Arial"/>
                <w:b/>
                <w:bCs/>
                <w:sz w:val="18"/>
                <w:szCs w:val="18"/>
              </w:rPr>
              <w:t xml:space="preserve"> 956.219 </w:t>
            </w:r>
          </w:p>
        </w:tc>
        <w:tc>
          <w:tcPr>
            <w:tcW w:w="555" w:type="pct"/>
            <w:tcBorders>
              <w:top w:val="single" w:sz="4" w:space="0" w:color="auto"/>
              <w:left w:val="nil"/>
              <w:bottom w:val="single" w:sz="12" w:space="0" w:color="auto"/>
              <w:right w:val="nil"/>
            </w:tcBorders>
            <w:shd w:val="clear" w:color="auto" w:fill="auto"/>
            <w:vAlign w:val="bottom"/>
          </w:tcPr>
          <w:p w14:paraId="017B9657" w14:textId="17965A90" w:rsidR="00C157F2" w:rsidRPr="00347F1D" w:rsidRDefault="00C157F2" w:rsidP="00C157F2">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347F1D">
              <w:rPr>
                <w:rFonts w:ascii="Arial" w:hAnsi="Arial" w:cs="Arial"/>
                <w:b/>
                <w:bCs/>
                <w:sz w:val="18"/>
                <w:szCs w:val="18"/>
              </w:rPr>
              <w:t xml:space="preserve"> 444.</w:t>
            </w:r>
            <w:r w:rsidR="00FE42BC" w:rsidRPr="00347F1D">
              <w:rPr>
                <w:rFonts w:ascii="Arial" w:hAnsi="Arial" w:cs="Arial"/>
                <w:b/>
                <w:bCs/>
                <w:sz w:val="18"/>
                <w:szCs w:val="18"/>
              </w:rPr>
              <w:t>0</w:t>
            </w:r>
            <w:r w:rsidR="00FE42BC">
              <w:rPr>
                <w:rFonts w:ascii="Arial" w:hAnsi="Arial" w:cs="Arial"/>
                <w:b/>
                <w:bCs/>
                <w:sz w:val="18"/>
                <w:szCs w:val="18"/>
              </w:rPr>
              <w:t>73</w:t>
            </w:r>
            <w:r w:rsidR="00FE42BC" w:rsidRPr="00347F1D">
              <w:rPr>
                <w:rFonts w:ascii="Arial" w:hAnsi="Arial" w:cs="Arial"/>
                <w:b/>
                <w:bCs/>
                <w:sz w:val="18"/>
                <w:szCs w:val="18"/>
              </w:rPr>
              <w:t xml:space="preserve"> </w:t>
            </w:r>
          </w:p>
        </w:tc>
        <w:tc>
          <w:tcPr>
            <w:tcW w:w="593" w:type="pct"/>
            <w:tcBorders>
              <w:top w:val="single" w:sz="4" w:space="0" w:color="auto"/>
              <w:left w:val="nil"/>
              <w:bottom w:val="single" w:sz="12" w:space="0" w:color="auto"/>
              <w:right w:val="nil"/>
            </w:tcBorders>
            <w:shd w:val="clear" w:color="auto" w:fill="auto"/>
            <w:vAlign w:val="bottom"/>
          </w:tcPr>
          <w:p w14:paraId="7D4345DE" w14:textId="6FBCD112" w:rsidR="00C157F2" w:rsidRPr="00347F1D" w:rsidRDefault="00FE42BC" w:rsidP="00C157F2">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FE42BC">
              <w:rPr>
                <w:rFonts w:ascii="Arial" w:hAnsi="Arial" w:cs="Arial"/>
                <w:b/>
                <w:bCs/>
                <w:sz w:val="18"/>
                <w:szCs w:val="18"/>
              </w:rPr>
              <w:t>(4.947)</w:t>
            </w:r>
          </w:p>
        </w:tc>
        <w:tc>
          <w:tcPr>
            <w:tcW w:w="694" w:type="pct"/>
            <w:tcBorders>
              <w:top w:val="single" w:sz="4" w:space="0" w:color="auto"/>
              <w:left w:val="nil"/>
              <w:bottom w:val="single" w:sz="12" w:space="0" w:color="auto"/>
              <w:right w:val="nil"/>
            </w:tcBorders>
            <w:shd w:val="clear" w:color="auto" w:fill="auto"/>
            <w:vAlign w:val="bottom"/>
          </w:tcPr>
          <w:p w14:paraId="18DC53AF" w14:textId="1CCA68C5" w:rsidR="00C157F2" w:rsidRPr="00347F1D" w:rsidRDefault="00C157F2" w:rsidP="00C157F2">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347F1D">
              <w:rPr>
                <w:rFonts w:ascii="Arial" w:hAnsi="Arial" w:cs="Arial"/>
                <w:b/>
                <w:bCs/>
                <w:sz w:val="18"/>
                <w:szCs w:val="18"/>
              </w:rPr>
              <w:t xml:space="preserve"> </w:t>
            </w:r>
            <w:r w:rsidR="00FE42BC" w:rsidRPr="00FE42BC">
              <w:rPr>
                <w:rFonts w:ascii="Arial" w:hAnsi="Arial" w:cs="Arial"/>
                <w:b/>
                <w:bCs/>
                <w:sz w:val="18"/>
                <w:szCs w:val="18"/>
              </w:rPr>
              <w:t xml:space="preserve"> 25.145</w:t>
            </w:r>
          </w:p>
        </w:tc>
        <w:tc>
          <w:tcPr>
            <w:tcW w:w="555" w:type="pct"/>
            <w:tcBorders>
              <w:top w:val="single" w:sz="4" w:space="0" w:color="auto"/>
              <w:left w:val="nil"/>
              <w:bottom w:val="single" w:sz="12" w:space="0" w:color="auto"/>
              <w:right w:val="nil"/>
            </w:tcBorders>
            <w:shd w:val="clear" w:color="auto" w:fill="auto"/>
            <w:vAlign w:val="bottom"/>
          </w:tcPr>
          <w:p w14:paraId="57830D28" w14:textId="1F1DB40D" w:rsidR="00C157F2" w:rsidRPr="00347F1D" w:rsidRDefault="00C157F2" w:rsidP="00C157F2">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347F1D">
              <w:rPr>
                <w:rFonts w:ascii="Arial" w:hAnsi="Arial" w:cs="Arial"/>
                <w:b/>
                <w:bCs/>
                <w:sz w:val="18"/>
                <w:szCs w:val="18"/>
              </w:rPr>
              <w:t xml:space="preserve"> 1.638 </w:t>
            </w:r>
          </w:p>
        </w:tc>
        <w:tc>
          <w:tcPr>
            <w:tcW w:w="692" w:type="pct"/>
            <w:tcBorders>
              <w:top w:val="single" w:sz="4" w:space="0" w:color="auto"/>
              <w:left w:val="nil"/>
              <w:bottom w:val="single" w:sz="12" w:space="0" w:color="auto"/>
              <w:right w:val="nil"/>
            </w:tcBorders>
            <w:shd w:val="clear" w:color="auto" w:fill="auto"/>
            <w:vAlign w:val="bottom"/>
          </w:tcPr>
          <w:p w14:paraId="599C944B" w14:textId="66A5A35F" w:rsidR="00C157F2" w:rsidRPr="00347F1D" w:rsidRDefault="00C157F2" w:rsidP="00C157F2">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347F1D">
              <w:rPr>
                <w:rFonts w:ascii="Arial" w:hAnsi="Arial" w:cs="Arial"/>
                <w:b/>
                <w:bCs/>
                <w:sz w:val="18"/>
                <w:szCs w:val="18"/>
              </w:rPr>
              <w:t xml:space="preserve"> </w:t>
            </w:r>
            <w:r w:rsidR="00FE42BC" w:rsidRPr="00FE42BC">
              <w:rPr>
                <w:rFonts w:ascii="Arial" w:hAnsi="Arial" w:cs="Arial"/>
                <w:b/>
                <w:bCs/>
                <w:sz w:val="18"/>
                <w:szCs w:val="18"/>
              </w:rPr>
              <w:t xml:space="preserve"> 1.422.128</w:t>
            </w:r>
          </w:p>
        </w:tc>
      </w:tr>
      <w:tr w:rsidR="00C157F2" w:rsidRPr="00347F1D" w14:paraId="49B2DE9A" w14:textId="77777777" w:rsidTr="002D200D">
        <w:trPr>
          <w:trHeight w:val="77"/>
        </w:trPr>
        <w:tc>
          <w:tcPr>
            <w:tcW w:w="1318" w:type="pct"/>
            <w:vAlign w:val="bottom"/>
          </w:tcPr>
          <w:p w14:paraId="66B0F533" w14:textId="7BDB5C8C" w:rsidR="00C157F2" w:rsidRPr="00347F1D" w:rsidRDefault="00C157F2" w:rsidP="00C157F2">
            <w:pPr>
              <w:tabs>
                <w:tab w:val="right" w:pos="1202"/>
              </w:tabs>
              <w:suppressAutoHyphens/>
              <w:autoSpaceDN w:val="0"/>
              <w:spacing w:line="240" w:lineRule="exact"/>
              <w:outlineLvl w:val="0"/>
              <w:rPr>
                <w:rFonts w:ascii="Arial" w:eastAsia="Times New Roman" w:hAnsi="Arial" w:cs="Arial"/>
                <w:iCs/>
                <w:color w:val="000000" w:themeColor="text1"/>
                <w:sz w:val="18"/>
                <w:szCs w:val="18"/>
              </w:rPr>
            </w:pPr>
            <w:r w:rsidRPr="00347F1D">
              <w:rPr>
                <w:rFonts w:ascii="Arial" w:eastAsia="Times New Roman" w:hAnsi="Arial" w:cs="Arial"/>
                <w:iCs/>
                <w:color w:val="000000" w:themeColor="text1"/>
                <w:sz w:val="18"/>
                <w:szCs w:val="18"/>
              </w:rPr>
              <w:t>Dobit tekućeg razdoblja</w:t>
            </w:r>
          </w:p>
        </w:tc>
        <w:tc>
          <w:tcPr>
            <w:tcW w:w="593" w:type="pct"/>
            <w:tcBorders>
              <w:top w:val="nil"/>
              <w:left w:val="nil"/>
              <w:bottom w:val="nil"/>
              <w:right w:val="nil"/>
            </w:tcBorders>
            <w:shd w:val="clear" w:color="auto" w:fill="auto"/>
            <w:vAlign w:val="bottom"/>
          </w:tcPr>
          <w:p w14:paraId="2DBB825D" w14:textId="579A04F1" w:rsidR="00C157F2" w:rsidRPr="00347F1D" w:rsidRDefault="00C157F2" w:rsidP="00C157F2">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347F1D">
              <w:rPr>
                <w:rFonts w:ascii="Arial" w:hAnsi="Arial" w:cs="Arial"/>
                <w:sz w:val="18"/>
                <w:szCs w:val="18"/>
              </w:rPr>
              <w:t xml:space="preserve"> - </w:t>
            </w:r>
          </w:p>
        </w:tc>
        <w:tc>
          <w:tcPr>
            <w:tcW w:w="555" w:type="pct"/>
            <w:tcBorders>
              <w:top w:val="nil"/>
              <w:left w:val="nil"/>
              <w:bottom w:val="nil"/>
              <w:right w:val="nil"/>
            </w:tcBorders>
            <w:shd w:val="clear" w:color="auto" w:fill="auto"/>
            <w:vAlign w:val="bottom"/>
          </w:tcPr>
          <w:p w14:paraId="0D8505A7" w14:textId="399BCB10" w:rsidR="00C157F2" w:rsidRPr="00347F1D" w:rsidRDefault="00C157F2" w:rsidP="00C157F2">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347F1D">
              <w:rPr>
                <w:rFonts w:ascii="Arial" w:hAnsi="Arial" w:cs="Arial"/>
                <w:sz w:val="18"/>
                <w:szCs w:val="18"/>
              </w:rPr>
              <w:t xml:space="preserve"> - </w:t>
            </w:r>
          </w:p>
        </w:tc>
        <w:tc>
          <w:tcPr>
            <w:tcW w:w="593" w:type="pct"/>
            <w:tcBorders>
              <w:top w:val="nil"/>
              <w:left w:val="nil"/>
              <w:bottom w:val="nil"/>
              <w:right w:val="nil"/>
            </w:tcBorders>
            <w:shd w:val="clear" w:color="auto" w:fill="auto"/>
            <w:vAlign w:val="bottom"/>
          </w:tcPr>
          <w:p w14:paraId="43367F4E" w14:textId="64A62798" w:rsidR="00C157F2" w:rsidRPr="00347F1D" w:rsidRDefault="00C157F2" w:rsidP="00C157F2">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347F1D">
              <w:rPr>
                <w:rFonts w:ascii="Arial" w:hAnsi="Arial" w:cs="Arial"/>
                <w:sz w:val="18"/>
                <w:szCs w:val="18"/>
              </w:rPr>
              <w:t xml:space="preserve"> - </w:t>
            </w:r>
          </w:p>
        </w:tc>
        <w:tc>
          <w:tcPr>
            <w:tcW w:w="694" w:type="pct"/>
            <w:tcBorders>
              <w:top w:val="nil"/>
              <w:left w:val="nil"/>
              <w:bottom w:val="nil"/>
              <w:right w:val="nil"/>
            </w:tcBorders>
            <w:shd w:val="clear" w:color="auto" w:fill="auto"/>
            <w:vAlign w:val="bottom"/>
          </w:tcPr>
          <w:p w14:paraId="1CBEB08D" w14:textId="0C9EBC2F" w:rsidR="00C157F2" w:rsidRPr="00347F1D" w:rsidRDefault="00C157F2" w:rsidP="00C157F2">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347F1D">
              <w:rPr>
                <w:rFonts w:ascii="Arial" w:hAnsi="Arial" w:cs="Arial"/>
                <w:sz w:val="18"/>
                <w:szCs w:val="18"/>
              </w:rPr>
              <w:t xml:space="preserve"> 18.663 </w:t>
            </w:r>
          </w:p>
        </w:tc>
        <w:tc>
          <w:tcPr>
            <w:tcW w:w="555" w:type="pct"/>
            <w:tcBorders>
              <w:top w:val="nil"/>
              <w:left w:val="nil"/>
              <w:bottom w:val="nil"/>
              <w:right w:val="nil"/>
            </w:tcBorders>
            <w:shd w:val="clear" w:color="auto" w:fill="auto"/>
            <w:vAlign w:val="bottom"/>
          </w:tcPr>
          <w:p w14:paraId="5A87C333" w14:textId="3C73FA75" w:rsidR="00C157F2" w:rsidRPr="00347F1D" w:rsidRDefault="00C157F2" w:rsidP="00C157F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347F1D">
              <w:rPr>
                <w:rFonts w:ascii="Arial" w:hAnsi="Arial" w:cs="Arial"/>
                <w:sz w:val="18"/>
                <w:szCs w:val="18"/>
              </w:rPr>
              <w:t xml:space="preserve"> - </w:t>
            </w:r>
          </w:p>
        </w:tc>
        <w:tc>
          <w:tcPr>
            <w:tcW w:w="692" w:type="pct"/>
            <w:tcBorders>
              <w:top w:val="nil"/>
              <w:left w:val="nil"/>
              <w:bottom w:val="nil"/>
              <w:right w:val="nil"/>
            </w:tcBorders>
            <w:shd w:val="clear" w:color="auto" w:fill="auto"/>
            <w:vAlign w:val="bottom"/>
          </w:tcPr>
          <w:p w14:paraId="25585B4A" w14:textId="120F1FA3" w:rsidR="00C157F2" w:rsidRPr="00FE42BC" w:rsidRDefault="00C157F2" w:rsidP="00C157F2">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5D1219">
              <w:rPr>
                <w:rFonts w:ascii="Arial" w:hAnsi="Arial" w:cs="Arial"/>
                <w:b/>
                <w:bCs/>
                <w:sz w:val="18"/>
                <w:szCs w:val="18"/>
              </w:rPr>
              <w:t xml:space="preserve"> 18.663 </w:t>
            </w:r>
          </w:p>
        </w:tc>
      </w:tr>
      <w:tr w:rsidR="00C157F2" w:rsidRPr="00347F1D" w14:paraId="55B4300A" w14:textId="77777777" w:rsidTr="002D200D">
        <w:trPr>
          <w:trHeight w:val="77"/>
        </w:trPr>
        <w:tc>
          <w:tcPr>
            <w:tcW w:w="1318" w:type="pct"/>
            <w:vAlign w:val="bottom"/>
          </w:tcPr>
          <w:p w14:paraId="6E12A70A" w14:textId="767C088F" w:rsidR="00C157F2" w:rsidRPr="00347F1D" w:rsidRDefault="00C157F2" w:rsidP="00C157F2">
            <w:pPr>
              <w:tabs>
                <w:tab w:val="right" w:pos="1202"/>
              </w:tabs>
              <w:suppressAutoHyphens/>
              <w:autoSpaceDN w:val="0"/>
              <w:spacing w:line="240" w:lineRule="exact"/>
              <w:outlineLvl w:val="0"/>
              <w:rPr>
                <w:rFonts w:ascii="Arial" w:eastAsia="Times New Roman" w:hAnsi="Arial" w:cs="Arial"/>
                <w:iCs/>
                <w:color w:val="000000" w:themeColor="text1"/>
                <w:sz w:val="18"/>
                <w:szCs w:val="18"/>
              </w:rPr>
            </w:pPr>
            <w:bookmarkStart w:id="112" w:name="_Toc67326924"/>
            <w:r w:rsidRPr="00347F1D">
              <w:rPr>
                <w:rFonts w:ascii="Arial" w:eastAsia="Times New Roman" w:hAnsi="Arial" w:cs="Arial"/>
                <w:iCs/>
                <w:color w:val="000000" w:themeColor="text1"/>
                <w:sz w:val="18"/>
                <w:szCs w:val="18"/>
              </w:rPr>
              <w:t>Ostala sveobuhvatna dobit</w:t>
            </w:r>
            <w:bookmarkEnd w:id="112"/>
          </w:p>
        </w:tc>
        <w:tc>
          <w:tcPr>
            <w:tcW w:w="593" w:type="pct"/>
            <w:tcBorders>
              <w:bottom w:val="single" w:sz="4" w:space="0" w:color="auto"/>
            </w:tcBorders>
            <w:vAlign w:val="bottom"/>
          </w:tcPr>
          <w:p w14:paraId="5C9F1674" w14:textId="0F615960" w:rsidR="00C157F2" w:rsidRPr="00347F1D" w:rsidRDefault="00C157F2" w:rsidP="00C157F2">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347F1D">
              <w:rPr>
                <w:rFonts w:ascii="Arial" w:hAnsi="Arial" w:cs="Arial"/>
                <w:sz w:val="18"/>
                <w:szCs w:val="18"/>
              </w:rPr>
              <w:t xml:space="preserve"> - </w:t>
            </w:r>
          </w:p>
        </w:tc>
        <w:tc>
          <w:tcPr>
            <w:tcW w:w="555" w:type="pct"/>
            <w:tcBorders>
              <w:bottom w:val="single" w:sz="4" w:space="0" w:color="auto"/>
            </w:tcBorders>
            <w:vAlign w:val="bottom"/>
          </w:tcPr>
          <w:p w14:paraId="5E2D48AA" w14:textId="24AE826E" w:rsidR="00C157F2" w:rsidRPr="00347F1D" w:rsidRDefault="00C157F2" w:rsidP="00C157F2">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347F1D">
              <w:rPr>
                <w:rFonts w:ascii="Arial" w:hAnsi="Arial" w:cs="Arial"/>
                <w:sz w:val="18"/>
                <w:szCs w:val="18"/>
              </w:rPr>
              <w:t xml:space="preserve"> - </w:t>
            </w:r>
          </w:p>
        </w:tc>
        <w:tc>
          <w:tcPr>
            <w:tcW w:w="593" w:type="pct"/>
            <w:tcBorders>
              <w:bottom w:val="single" w:sz="4" w:space="0" w:color="auto"/>
            </w:tcBorders>
            <w:vAlign w:val="bottom"/>
          </w:tcPr>
          <w:p w14:paraId="0A498A83" w14:textId="6EE5AEDC" w:rsidR="00C157F2" w:rsidRPr="00347F1D" w:rsidRDefault="00C157F2" w:rsidP="00C157F2">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347F1D">
              <w:rPr>
                <w:rFonts w:ascii="Arial" w:hAnsi="Arial" w:cs="Arial"/>
                <w:sz w:val="18"/>
                <w:szCs w:val="18"/>
              </w:rPr>
              <w:t xml:space="preserve"> (1.368)</w:t>
            </w:r>
          </w:p>
        </w:tc>
        <w:tc>
          <w:tcPr>
            <w:tcW w:w="694" w:type="pct"/>
            <w:tcBorders>
              <w:bottom w:val="single" w:sz="4" w:space="0" w:color="auto"/>
            </w:tcBorders>
            <w:vAlign w:val="bottom"/>
          </w:tcPr>
          <w:p w14:paraId="42537485" w14:textId="7C7222CF" w:rsidR="00C157F2" w:rsidRPr="00347F1D" w:rsidRDefault="00C157F2" w:rsidP="00C157F2">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347F1D">
              <w:rPr>
                <w:rFonts w:ascii="Arial" w:hAnsi="Arial" w:cs="Arial"/>
                <w:sz w:val="18"/>
                <w:szCs w:val="18"/>
              </w:rPr>
              <w:t xml:space="preserve"> - </w:t>
            </w:r>
          </w:p>
        </w:tc>
        <w:tc>
          <w:tcPr>
            <w:tcW w:w="555" w:type="pct"/>
            <w:tcBorders>
              <w:bottom w:val="single" w:sz="4" w:space="0" w:color="auto"/>
            </w:tcBorders>
            <w:vAlign w:val="bottom"/>
          </w:tcPr>
          <w:p w14:paraId="16A9DD3F" w14:textId="41AE46D3" w:rsidR="00C157F2" w:rsidRPr="00347F1D" w:rsidRDefault="00C157F2" w:rsidP="00C157F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347F1D">
              <w:rPr>
                <w:rFonts w:ascii="Arial" w:hAnsi="Arial" w:cs="Arial"/>
                <w:sz w:val="18"/>
                <w:szCs w:val="18"/>
              </w:rPr>
              <w:t xml:space="preserve"> - </w:t>
            </w:r>
          </w:p>
        </w:tc>
        <w:tc>
          <w:tcPr>
            <w:tcW w:w="692" w:type="pct"/>
            <w:tcBorders>
              <w:bottom w:val="single" w:sz="4" w:space="0" w:color="auto"/>
            </w:tcBorders>
            <w:vAlign w:val="bottom"/>
          </w:tcPr>
          <w:p w14:paraId="0D9985F1" w14:textId="0AD0B37B" w:rsidR="00C157F2" w:rsidRPr="00FE42BC" w:rsidRDefault="00C157F2" w:rsidP="00C157F2">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5D1219">
              <w:rPr>
                <w:rFonts w:ascii="Arial" w:hAnsi="Arial" w:cs="Arial"/>
                <w:b/>
                <w:bCs/>
                <w:sz w:val="18"/>
                <w:szCs w:val="18"/>
              </w:rPr>
              <w:t xml:space="preserve"> (1.368)</w:t>
            </w:r>
          </w:p>
        </w:tc>
      </w:tr>
      <w:tr w:rsidR="00C157F2" w:rsidRPr="00347F1D" w14:paraId="4A54EF05" w14:textId="77777777" w:rsidTr="002D200D">
        <w:trPr>
          <w:trHeight w:hRule="exact" w:val="376"/>
        </w:trPr>
        <w:tc>
          <w:tcPr>
            <w:tcW w:w="1318" w:type="pct"/>
            <w:vAlign w:val="bottom"/>
          </w:tcPr>
          <w:p w14:paraId="7CA3C007" w14:textId="35AB01F6" w:rsidR="00C157F2" w:rsidRPr="00347F1D" w:rsidRDefault="00C157F2" w:rsidP="00C157F2">
            <w:pPr>
              <w:tabs>
                <w:tab w:val="right" w:pos="1202"/>
              </w:tabs>
              <w:suppressAutoHyphens/>
              <w:autoSpaceDN w:val="0"/>
              <w:spacing w:line="240" w:lineRule="exact"/>
              <w:outlineLvl w:val="0"/>
              <w:rPr>
                <w:rFonts w:ascii="Arial" w:eastAsia="Times New Roman" w:hAnsi="Arial" w:cs="Arial"/>
                <w:iCs/>
                <w:color w:val="000000" w:themeColor="text1"/>
                <w:sz w:val="18"/>
                <w:szCs w:val="18"/>
              </w:rPr>
            </w:pPr>
            <w:bookmarkStart w:id="113" w:name="_Toc67326931"/>
            <w:r w:rsidRPr="00347F1D">
              <w:rPr>
                <w:rFonts w:ascii="Arial" w:eastAsia="Times New Roman" w:hAnsi="Arial" w:cs="Arial"/>
                <w:iCs/>
                <w:color w:val="000000" w:themeColor="text1"/>
                <w:sz w:val="18"/>
                <w:szCs w:val="18"/>
              </w:rPr>
              <w:t>Ukupna sveobuhvatna dobit</w:t>
            </w:r>
            <w:bookmarkEnd w:id="113"/>
          </w:p>
        </w:tc>
        <w:tc>
          <w:tcPr>
            <w:tcW w:w="593" w:type="pct"/>
            <w:tcBorders>
              <w:top w:val="nil"/>
              <w:left w:val="nil"/>
              <w:bottom w:val="single" w:sz="4" w:space="0" w:color="auto"/>
              <w:right w:val="nil"/>
            </w:tcBorders>
            <w:shd w:val="clear" w:color="auto" w:fill="auto"/>
            <w:vAlign w:val="bottom"/>
          </w:tcPr>
          <w:p w14:paraId="310AC8ED" w14:textId="7DB1198C" w:rsidR="00C157F2" w:rsidRPr="00347F1D" w:rsidRDefault="00C157F2" w:rsidP="00C157F2">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347F1D">
              <w:rPr>
                <w:rFonts w:ascii="Arial" w:hAnsi="Arial" w:cs="Arial"/>
                <w:sz w:val="18"/>
                <w:szCs w:val="18"/>
              </w:rPr>
              <w:t xml:space="preserve"> - </w:t>
            </w:r>
          </w:p>
        </w:tc>
        <w:tc>
          <w:tcPr>
            <w:tcW w:w="555" w:type="pct"/>
            <w:tcBorders>
              <w:top w:val="nil"/>
              <w:left w:val="nil"/>
              <w:bottom w:val="single" w:sz="4" w:space="0" w:color="auto"/>
              <w:right w:val="nil"/>
            </w:tcBorders>
            <w:shd w:val="clear" w:color="auto" w:fill="auto"/>
            <w:vAlign w:val="bottom"/>
          </w:tcPr>
          <w:p w14:paraId="05CAF3A8" w14:textId="1511AB42" w:rsidR="00C157F2" w:rsidRPr="00347F1D" w:rsidRDefault="00C157F2" w:rsidP="00C157F2">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347F1D">
              <w:rPr>
                <w:rFonts w:ascii="Arial" w:hAnsi="Arial" w:cs="Arial"/>
                <w:sz w:val="18"/>
                <w:szCs w:val="18"/>
              </w:rPr>
              <w:t xml:space="preserve"> - </w:t>
            </w:r>
          </w:p>
        </w:tc>
        <w:tc>
          <w:tcPr>
            <w:tcW w:w="593" w:type="pct"/>
            <w:tcBorders>
              <w:top w:val="nil"/>
              <w:left w:val="nil"/>
              <w:bottom w:val="single" w:sz="4" w:space="0" w:color="auto"/>
              <w:right w:val="nil"/>
            </w:tcBorders>
            <w:shd w:val="clear" w:color="auto" w:fill="auto"/>
            <w:vAlign w:val="bottom"/>
          </w:tcPr>
          <w:p w14:paraId="55F2396A" w14:textId="76CFFDD6" w:rsidR="00C157F2" w:rsidRPr="00347F1D" w:rsidRDefault="00C157F2" w:rsidP="00C157F2">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347F1D">
              <w:rPr>
                <w:rFonts w:ascii="Arial" w:hAnsi="Arial" w:cs="Arial"/>
                <w:sz w:val="18"/>
                <w:szCs w:val="18"/>
              </w:rPr>
              <w:t xml:space="preserve"> (1.368)</w:t>
            </w:r>
          </w:p>
        </w:tc>
        <w:tc>
          <w:tcPr>
            <w:tcW w:w="694" w:type="pct"/>
            <w:tcBorders>
              <w:top w:val="nil"/>
              <w:left w:val="nil"/>
              <w:bottom w:val="single" w:sz="4" w:space="0" w:color="auto"/>
              <w:right w:val="nil"/>
            </w:tcBorders>
            <w:shd w:val="clear" w:color="auto" w:fill="auto"/>
            <w:vAlign w:val="bottom"/>
          </w:tcPr>
          <w:p w14:paraId="489178FD" w14:textId="450D4902" w:rsidR="00C157F2" w:rsidRPr="00347F1D" w:rsidRDefault="00C157F2" w:rsidP="00C157F2">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347F1D">
              <w:rPr>
                <w:rFonts w:ascii="Arial" w:hAnsi="Arial" w:cs="Arial"/>
                <w:sz w:val="18"/>
                <w:szCs w:val="18"/>
              </w:rPr>
              <w:t xml:space="preserve"> 18.663 </w:t>
            </w:r>
          </w:p>
        </w:tc>
        <w:tc>
          <w:tcPr>
            <w:tcW w:w="555" w:type="pct"/>
            <w:tcBorders>
              <w:top w:val="nil"/>
              <w:left w:val="nil"/>
              <w:bottom w:val="single" w:sz="4" w:space="0" w:color="auto"/>
              <w:right w:val="nil"/>
            </w:tcBorders>
            <w:shd w:val="clear" w:color="auto" w:fill="auto"/>
            <w:vAlign w:val="bottom"/>
          </w:tcPr>
          <w:p w14:paraId="0FDB67D1" w14:textId="60DAC018" w:rsidR="00C157F2" w:rsidRPr="00347F1D" w:rsidRDefault="00C157F2" w:rsidP="00C157F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347F1D">
              <w:rPr>
                <w:rFonts w:ascii="Arial" w:hAnsi="Arial" w:cs="Arial"/>
                <w:sz w:val="18"/>
                <w:szCs w:val="18"/>
              </w:rPr>
              <w:t xml:space="preserve"> - </w:t>
            </w:r>
          </w:p>
        </w:tc>
        <w:tc>
          <w:tcPr>
            <w:tcW w:w="692" w:type="pct"/>
            <w:tcBorders>
              <w:top w:val="nil"/>
              <w:left w:val="nil"/>
              <w:bottom w:val="single" w:sz="4" w:space="0" w:color="auto"/>
              <w:right w:val="nil"/>
            </w:tcBorders>
            <w:shd w:val="clear" w:color="auto" w:fill="auto"/>
            <w:vAlign w:val="bottom"/>
          </w:tcPr>
          <w:p w14:paraId="6F2A7199" w14:textId="303A1F13" w:rsidR="00C157F2" w:rsidRPr="00FE42BC" w:rsidRDefault="00C157F2" w:rsidP="00C157F2">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5D1219">
              <w:rPr>
                <w:rFonts w:ascii="Arial" w:hAnsi="Arial" w:cs="Arial"/>
                <w:b/>
                <w:bCs/>
                <w:sz w:val="18"/>
                <w:szCs w:val="18"/>
              </w:rPr>
              <w:t xml:space="preserve"> 17.295 </w:t>
            </w:r>
          </w:p>
        </w:tc>
      </w:tr>
      <w:tr w:rsidR="00C157F2" w:rsidRPr="00347F1D" w14:paraId="0D1D806D" w14:textId="77777777" w:rsidTr="002D200D">
        <w:trPr>
          <w:trHeight w:hRule="exact" w:val="510"/>
        </w:trPr>
        <w:tc>
          <w:tcPr>
            <w:tcW w:w="1318" w:type="pct"/>
            <w:vAlign w:val="bottom"/>
          </w:tcPr>
          <w:p w14:paraId="37627725" w14:textId="29C6031B" w:rsidR="00C157F2" w:rsidRPr="00347F1D" w:rsidRDefault="00C157F2" w:rsidP="00C157F2">
            <w:pPr>
              <w:tabs>
                <w:tab w:val="right" w:pos="1202"/>
              </w:tabs>
              <w:suppressAutoHyphens/>
              <w:autoSpaceDN w:val="0"/>
              <w:spacing w:line="240" w:lineRule="exact"/>
              <w:outlineLvl w:val="0"/>
              <w:rPr>
                <w:rFonts w:ascii="Arial" w:eastAsia="Times New Roman" w:hAnsi="Arial" w:cs="Arial"/>
                <w:iCs/>
                <w:color w:val="000000" w:themeColor="text1"/>
                <w:sz w:val="18"/>
                <w:szCs w:val="18"/>
              </w:rPr>
            </w:pPr>
            <w:bookmarkStart w:id="114" w:name="_Toc67326945"/>
            <w:r w:rsidRPr="00347F1D">
              <w:rPr>
                <w:rFonts w:ascii="Arial" w:eastAsia="Times New Roman" w:hAnsi="Arial" w:cs="Arial"/>
                <w:iCs/>
                <w:color w:val="000000" w:themeColor="text1"/>
                <w:sz w:val="18"/>
                <w:szCs w:val="18"/>
              </w:rPr>
              <w:t>Uplate u osnivački kapital iz državnog proračuna</w:t>
            </w:r>
            <w:bookmarkEnd w:id="114"/>
          </w:p>
        </w:tc>
        <w:tc>
          <w:tcPr>
            <w:tcW w:w="593" w:type="pct"/>
            <w:tcBorders>
              <w:top w:val="nil"/>
              <w:left w:val="nil"/>
              <w:bottom w:val="nil"/>
              <w:right w:val="nil"/>
            </w:tcBorders>
            <w:shd w:val="clear" w:color="auto" w:fill="auto"/>
            <w:vAlign w:val="bottom"/>
          </w:tcPr>
          <w:p w14:paraId="5781A899" w14:textId="28B1C39D" w:rsidR="00C157F2" w:rsidRPr="00347F1D" w:rsidRDefault="00C157F2" w:rsidP="00C157F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iCs/>
                <w:color w:val="000000" w:themeColor="text1"/>
                <w:sz w:val="18"/>
                <w:szCs w:val="18"/>
              </w:rPr>
              <w:t>-</w:t>
            </w:r>
          </w:p>
        </w:tc>
        <w:tc>
          <w:tcPr>
            <w:tcW w:w="555" w:type="pct"/>
            <w:tcBorders>
              <w:top w:val="nil"/>
              <w:left w:val="nil"/>
              <w:bottom w:val="nil"/>
              <w:right w:val="nil"/>
            </w:tcBorders>
            <w:shd w:val="clear" w:color="auto" w:fill="auto"/>
            <w:vAlign w:val="bottom"/>
          </w:tcPr>
          <w:p w14:paraId="242DCD7A" w14:textId="06DBAFD7" w:rsidR="00C157F2" w:rsidRPr="00347F1D" w:rsidRDefault="00C157F2" w:rsidP="00C157F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bCs/>
                <w:iCs/>
                <w:color w:val="000000" w:themeColor="text1"/>
                <w:sz w:val="18"/>
                <w:szCs w:val="18"/>
              </w:rPr>
              <w:t>-</w:t>
            </w:r>
          </w:p>
        </w:tc>
        <w:tc>
          <w:tcPr>
            <w:tcW w:w="593" w:type="pct"/>
            <w:tcBorders>
              <w:top w:val="nil"/>
              <w:left w:val="nil"/>
              <w:bottom w:val="nil"/>
              <w:right w:val="nil"/>
            </w:tcBorders>
            <w:shd w:val="clear" w:color="auto" w:fill="auto"/>
            <w:vAlign w:val="bottom"/>
          </w:tcPr>
          <w:p w14:paraId="0C307746" w14:textId="4B02B4E9" w:rsidR="00C157F2" w:rsidRPr="00347F1D" w:rsidRDefault="00C157F2" w:rsidP="00C157F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iCs/>
                <w:color w:val="000000" w:themeColor="text1"/>
                <w:sz w:val="18"/>
                <w:szCs w:val="18"/>
              </w:rPr>
              <w:t>-</w:t>
            </w:r>
          </w:p>
        </w:tc>
        <w:tc>
          <w:tcPr>
            <w:tcW w:w="694" w:type="pct"/>
            <w:tcBorders>
              <w:top w:val="nil"/>
              <w:left w:val="nil"/>
              <w:bottom w:val="nil"/>
              <w:right w:val="nil"/>
            </w:tcBorders>
            <w:shd w:val="clear" w:color="auto" w:fill="auto"/>
            <w:vAlign w:val="bottom"/>
          </w:tcPr>
          <w:p w14:paraId="3A5C6384" w14:textId="426F9066" w:rsidR="00C157F2" w:rsidRPr="00347F1D" w:rsidRDefault="00C157F2" w:rsidP="00C157F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iCs/>
                <w:color w:val="000000" w:themeColor="text1"/>
                <w:sz w:val="18"/>
                <w:szCs w:val="18"/>
              </w:rPr>
              <w:t>-</w:t>
            </w:r>
          </w:p>
        </w:tc>
        <w:tc>
          <w:tcPr>
            <w:tcW w:w="555" w:type="pct"/>
            <w:tcBorders>
              <w:top w:val="nil"/>
              <w:left w:val="nil"/>
              <w:bottom w:val="nil"/>
              <w:right w:val="nil"/>
            </w:tcBorders>
            <w:shd w:val="clear" w:color="auto" w:fill="auto"/>
            <w:vAlign w:val="bottom"/>
          </w:tcPr>
          <w:p w14:paraId="05628371" w14:textId="1A91D363" w:rsidR="00C157F2" w:rsidRPr="00347F1D" w:rsidRDefault="00C157F2" w:rsidP="00C157F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92" w:type="pct"/>
            <w:tcBorders>
              <w:top w:val="nil"/>
              <w:left w:val="nil"/>
              <w:bottom w:val="nil"/>
              <w:right w:val="nil"/>
            </w:tcBorders>
            <w:shd w:val="clear" w:color="auto" w:fill="auto"/>
            <w:vAlign w:val="bottom"/>
          </w:tcPr>
          <w:p w14:paraId="2F593A47" w14:textId="017A1A06" w:rsidR="00C157F2" w:rsidRPr="00FE42BC" w:rsidRDefault="00C157F2" w:rsidP="00C157F2">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FE42BC">
              <w:rPr>
                <w:rFonts w:ascii="Arial" w:eastAsia="Times New Roman" w:hAnsi="Arial" w:cs="Arial"/>
                <w:b/>
                <w:bCs/>
                <w:iCs/>
                <w:color w:val="000000" w:themeColor="text1"/>
                <w:sz w:val="18"/>
                <w:szCs w:val="18"/>
              </w:rPr>
              <w:t>-</w:t>
            </w:r>
          </w:p>
        </w:tc>
      </w:tr>
      <w:tr w:rsidR="00C157F2" w:rsidRPr="00347F1D" w14:paraId="7B28F882" w14:textId="77777777" w:rsidTr="005D1219">
        <w:trPr>
          <w:trHeight w:hRule="exact" w:val="476"/>
        </w:trPr>
        <w:tc>
          <w:tcPr>
            <w:tcW w:w="1318" w:type="pct"/>
            <w:vAlign w:val="bottom"/>
          </w:tcPr>
          <w:p w14:paraId="6485C9C5" w14:textId="1A0C5F5E" w:rsidR="00C157F2" w:rsidRPr="00347F1D" w:rsidRDefault="00FE42BC" w:rsidP="00C157F2">
            <w:pPr>
              <w:tabs>
                <w:tab w:val="right" w:pos="1202"/>
              </w:tabs>
              <w:suppressAutoHyphens/>
              <w:autoSpaceDN w:val="0"/>
              <w:spacing w:line="240" w:lineRule="exact"/>
              <w:outlineLvl w:val="0"/>
              <w:rPr>
                <w:rFonts w:ascii="Arial" w:eastAsia="Times New Roman" w:hAnsi="Arial" w:cs="Arial"/>
                <w:iCs/>
                <w:color w:val="000000" w:themeColor="text1"/>
                <w:sz w:val="18"/>
                <w:szCs w:val="18"/>
              </w:rPr>
            </w:pPr>
            <w:r>
              <w:rPr>
                <w:rFonts w:ascii="Arial" w:hAnsi="Arial" w:cs="Arial"/>
                <w:sz w:val="18"/>
                <w:szCs w:val="18"/>
              </w:rPr>
              <w:t>Usklađenje</w:t>
            </w:r>
          </w:p>
        </w:tc>
        <w:tc>
          <w:tcPr>
            <w:tcW w:w="593" w:type="pct"/>
            <w:tcBorders>
              <w:top w:val="nil"/>
              <w:left w:val="nil"/>
              <w:bottom w:val="nil"/>
              <w:right w:val="nil"/>
            </w:tcBorders>
            <w:shd w:val="clear" w:color="auto" w:fill="auto"/>
            <w:vAlign w:val="bottom"/>
          </w:tcPr>
          <w:p w14:paraId="7B9A80CD" w14:textId="1FF52342" w:rsidR="00C157F2" w:rsidRPr="00347F1D" w:rsidRDefault="00C157F2" w:rsidP="00C157F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iCs/>
                <w:color w:val="000000" w:themeColor="text1"/>
                <w:sz w:val="18"/>
                <w:szCs w:val="18"/>
              </w:rPr>
              <w:t>-</w:t>
            </w:r>
          </w:p>
        </w:tc>
        <w:tc>
          <w:tcPr>
            <w:tcW w:w="555" w:type="pct"/>
            <w:tcBorders>
              <w:top w:val="nil"/>
              <w:left w:val="nil"/>
              <w:bottom w:val="nil"/>
              <w:right w:val="nil"/>
            </w:tcBorders>
            <w:shd w:val="clear" w:color="auto" w:fill="auto"/>
            <w:vAlign w:val="bottom"/>
          </w:tcPr>
          <w:p w14:paraId="714C2A70" w14:textId="68553C57" w:rsidR="00C157F2" w:rsidRPr="00347F1D" w:rsidRDefault="00FE42BC" w:rsidP="00C157F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E42BC">
              <w:rPr>
                <w:rFonts w:ascii="Arial" w:hAnsi="Arial" w:cs="Arial"/>
                <w:sz w:val="18"/>
                <w:szCs w:val="18"/>
              </w:rPr>
              <w:t>61</w:t>
            </w:r>
          </w:p>
        </w:tc>
        <w:tc>
          <w:tcPr>
            <w:tcW w:w="593" w:type="pct"/>
            <w:tcBorders>
              <w:top w:val="nil"/>
              <w:left w:val="nil"/>
              <w:bottom w:val="nil"/>
              <w:right w:val="nil"/>
            </w:tcBorders>
            <w:shd w:val="clear" w:color="auto" w:fill="auto"/>
            <w:vAlign w:val="bottom"/>
          </w:tcPr>
          <w:p w14:paraId="1204EF2B" w14:textId="28F8D1C3" w:rsidR="00C157F2" w:rsidRPr="00347F1D" w:rsidRDefault="00FE42BC" w:rsidP="00C157F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FE42BC">
              <w:rPr>
                <w:rFonts w:ascii="Arial" w:hAnsi="Arial" w:cs="Arial"/>
                <w:sz w:val="18"/>
                <w:szCs w:val="18"/>
              </w:rPr>
              <w:t>(174)</w:t>
            </w:r>
          </w:p>
        </w:tc>
        <w:tc>
          <w:tcPr>
            <w:tcW w:w="694" w:type="pct"/>
            <w:tcBorders>
              <w:top w:val="nil"/>
              <w:left w:val="nil"/>
              <w:bottom w:val="nil"/>
              <w:right w:val="nil"/>
            </w:tcBorders>
            <w:shd w:val="clear" w:color="auto" w:fill="auto"/>
            <w:vAlign w:val="bottom"/>
          </w:tcPr>
          <w:p w14:paraId="62580E6C" w14:textId="6C93FEDA" w:rsidR="00C157F2" w:rsidRPr="00347F1D" w:rsidRDefault="00C157F2" w:rsidP="00C157F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347F1D">
              <w:rPr>
                <w:rFonts w:ascii="Arial" w:hAnsi="Arial" w:cs="Arial"/>
                <w:sz w:val="18"/>
                <w:szCs w:val="18"/>
              </w:rPr>
              <w:t xml:space="preserve"> </w:t>
            </w:r>
            <w:r w:rsidR="00FE42BC" w:rsidRPr="00FE42BC">
              <w:rPr>
                <w:rFonts w:ascii="Arial" w:hAnsi="Arial" w:cs="Arial"/>
                <w:sz w:val="18"/>
                <w:szCs w:val="18"/>
              </w:rPr>
              <w:t>(285)</w:t>
            </w:r>
          </w:p>
        </w:tc>
        <w:tc>
          <w:tcPr>
            <w:tcW w:w="555" w:type="pct"/>
            <w:tcBorders>
              <w:top w:val="nil"/>
              <w:left w:val="nil"/>
              <w:bottom w:val="nil"/>
              <w:right w:val="nil"/>
            </w:tcBorders>
            <w:shd w:val="clear" w:color="auto" w:fill="auto"/>
            <w:vAlign w:val="bottom"/>
          </w:tcPr>
          <w:p w14:paraId="672E4236" w14:textId="60786673" w:rsidR="00C157F2" w:rsidRPr="00347F1D" w:rsidRDefault="00C157F2" w:rsidP="00C157F2">
            <w:pPr>
              <w:tabs>
                <w:tab w:val="right" w:pos="1202"/>
              </w:tabs>
              <w:suppressAutoHyphens/>
              <w:autoSpaceDN w:val="0"/>
              <w:spacing w:line="301" w:lineRule="exact"/>
              <w:jc w:val="right"/>
              <w:outlineLvl w:val="0"/>
              <w:rPr>
                <w:rFonts w:ascii="Arial" w:hAnsi="Arial" w:cs="Arial"/>
                <w:sz w:val="18"/>
                <w:szCs w:val="18"/>
              </w:rPr>
            </w:pPr>
            <w:r>
              <w:rPr>
                <w:rFonts w:ascii="Arial" w:eastAsia="Times New Roman" w:hAnsi="Arial" w:cs="Arial"/>
                <w:color w:val="000000" w:themeColor="text1"/>
                <w:sz w:val="18"/>
                <w:szCs w:val="18"/>
              </w:rPr>
              <w:t>-</w:t>
            </w:r>
          </w:p>
        </w:tc>
        <w:tc>
          <w:tcPr>
            <w:tcW w:w="692" w:type="pct"/>
            <w:tcBorders>
              <w:top w:val="nil"/>
              <w:left w:val="nil"/>
              <w:bottom w:val="nil"/>
              <w:right w:val="nil"/>
            </w:tcBorders>
            <w:shd w:val="clear" w:color="auto" w:fill="auto"/>
            <w:vAlign w:val="bottom"/>
          </w:tcPr>
          <w:p w14:paraId="74AF10EB" w14:textId="04A4E94F" w:rsidR="00C157F2" w:rsidRPr="005D1219" w:rsidRDefault="00FE42BC" w:rsidP="00C157F2">
            <w:pPr>
              <w:tabs>
                <w:tab w:val="right" w:pos="1202"/>
              </w:tabs>
              <w:suppressAutoHyphens/>
              <w:autoSpaceDN w:val="0"/>
              <w:spacing w:line="301" w:lineRule="exact"/>
              <w:jc w:val="right"/>
              <w:outlineLvl w:val="0"/>
              <w:rPr>
                <w:rFonts w:ascii="Arial" w:hAnsi="Arial" w:cs="Arial"/>
                <w:b/>
                <w:bCs/>
                <w:sz w:val="18"/>
                <w:szCs w:val="18"/>
              </w:rPr>
            </w:pPr>
            <w:r w:rsidRPr="00FE42BC">
              <w:rPr>
                <w:rFonts w:ascii="Arial" w:hAnsi="Arial" w:cs="Arial"/>
                <w:b/>
                <w:bCs/>
                <w:sz w:val="18"/>
                <w:szCs w:val="18"/>
              </w:rPr>
              <w:t>(398)</w:t>
            </w:r>
          </w:p>
        </w:tc>
      </w:tr>
      <w:tr w:rsidR="00C157F2" w:rsidRPr="00347F1D" w14:paraId="077287DF" w14:textId="77777777" w:rsidTr="002D200D">
        <w:trPr>
          <w:trHeight w:val="463"/>
        </w:trPr>
        <w:tc>
          <w:tcPr>
            <w:tcW w:w="1318" w:type="pct"/>
            <w:vAlign w:val="bottom"/>
          </w:tcPr>
          <w:p w14:paraId="2E4CD279" w14:textId="682F5B45" w:rsidR="00C157F2" w:rsidRPr="00347F1D" w:rsidRDefault="00C157F2" w:rsidP="00C157F2">
            <w:pPr>
              <w:tabs>
                <w:tab w:val="right" w:pos="1202"/>
              </w:tabs>
              <w:suppressAutoHyphens/>
              <w:autoSpaceDN w:val="0"/>
              <w:spacing w:line="240" w:lineRule="exact"/>
              <w:outlineLvl w:val="0"/>
              <w:rPr>
                <w:rFonts w:ascii="Arial" w:eastAsia="Times New Roman" w:hAnsi="Arial" w:cs="Arial"/>
                <w:i/>
                <w:iCs/>
                <w:color w:val="000000" w:themeColor="text1"/>
                <w:sz w:val="18"/>
                <w:szCs w:val="18"/>
              </w:rPr>
            </w:pPr>
            <w:bookmarkStart w:id="115" w:name="_Toc67326952"/>
            <w:r w:rsidRPr="00347F1D">
              <w:rPr>
                <w:rFonts w:ascii="Arial" w:eastAsia="Times New Roman" w:hAnsi="Arial" w:cs="Arial"/>
                <w:iCs/>
                <w:color w:val="000000" w:themeColor="text1"/>
                <w:sz w:val="18"/>
                <w:szCs w:val="18"/>
              </w:rPr>
              <w:t>Prijenos dobiti iz 2022. godine u zadržanu dobit</w:t>
            </w:r>
            <w:bookmarkEnd w:id="115"/>
          </w:p>
        </w:tc>
        <w:tc>
          <w:tcPr>
            <w:tcW w:w="593" w:type="pct"/>
            <w:tcBorders>
              <w:top w:val="nil"/>
              <w:left w:val="nil"/>
              <w:bottom w:val="single" w:sz="4" w:space="0" w:color="auto"/>
              <w:right w:val="nil"/>
            </w:tcBorders>
            <w:shd w:val="clear" w:color="auto" w:fill="auto"/>
            <w:vAlign w:val="bottom"/>
          </w:tcPr>
          <w:p w14:paraId="54333D67" w14:textId="0EE258E2" w:rsidR="00C157F2" w:rsidRPr="00347F1D" w:rsidRDefault="00C157F2" w:rsidP="00C157F2">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347F1D">
              <w:rPr>
                <w:rFonts w:ascii="Arial" w:hAnsi="Arial" w:cs="Arial"/>
                <w:sz w:val="18"/>
                <w:szCs w:val="18"/>
              </w:rPr>
              <w:t xml:space="preserve"> - </w:t>
            </w:r>
          </w:p>
        </w:tc>
        <w:tc>
          <w:tcPr>
            <w:tcW w:w="555" w:type="pct"/>
            <w:tcBorders>
              <w:top w:val="nil"/>
              <w:left w:val="nil"/>
              <w:bottom w:val="single" w:sz="4" w:space="0" w:color="auto"/>
              <w:right w:val="nil"/>
            </w:tcBorders>
            <w:shd w:val="clear" w:color="auto" w:fill="auto"/>
            <w:vAlign w:val="bottom"/>
          </w:tcPr>
          <w:p w14:paraId="4CC78344" w14:textId="3E0FCA39" w:rsidR="00C157F2" w:rsidRPr="00347F1D" w:rsidRDefault="00C157F2" w:rsidP="00C157F2">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347F1D">
              <w:rPr>
                <w:rFonts w:ascii="Arial" w:hAnsi="Arial" w:cs="Arial"/>
                <w:sz w:val="18"/>
                <w:szCs w:val="18"/>
              </w:rPr>
              <w:t xml:space="preserve"> </w:t>
            </w:r>
            <w:r w:rsidR="00FE42BC" w:rsidRPr="00FE42BC">
              <w:rPr>
                <w:rFonts w:ascii="Arial" w:hAnsi="Arial" w:cs="Arial"/>
                <w:sz w:val="18"/>
                <w:szCs w:val="18"/>
              </w:rPr>
              <w:t xml:space="preserve"> 24.860</w:t>
            </w:r>
          </w:p>
        </w:tc>
        <w:tc>
          <w:tcPr>
            <w:tcW w:w="593" w:type="pct"/>
            <w:tcBorders>
              <w:top w:val="nil"/>
              <w:left w:val="nil"/>
              <w:bottom w:val="single" w:sz="4" w:space="0" w:color="auto"/>
              <w:right w:val="nil"/>
            </w:tcBorders>
            <w:shd w:val="clear" w:color="auto" w:fill="auto"/>
            <w:vAlign w:val="bottom"/>
          </w:tcPr>
          <w:p w14:paraId="1D03A24B" w14:textId="36A7EFFD" w:rsidR="00C157F2" w:rsidRPr="00347F1D" w:rsidRDefault="00C157F2" w:rsidP="00C157F2">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347F1D">
              <w:rPr>
                <w:rFonts w:ascii="Arial" w:hAnsi="Arial" w:cs="Arial"/>
                <w:sz w:val="18"/>
                <w:szCs w:val="18"/>
              </w:rPr>
              <w:t xml:space="preserve"> - </w:t>
            </w:r>
          </w:p>
        </w:tc>
        <w:tc>
          <w:tcPr>
            <w:tcW w:w="694" w:type="pct"/>
            <w:tcBorders>
              <w:top w:val="nil"/>
              <w:left w:val="nil"/>
              <w:bottom w:val="single" w:sz="4" w:space="0" w:color="auto"/>
              <w:right w:val="nil"/>
            </w:tcBorders>
            <w:shd w:val="clear" w:color="auto" w:fill="auto"/>
            <w:vAlign w:val="bottom"/>
          </w:tcPr>
          <w:p w14:paraId="2F75E1E0" w14:textId="4778A0A2" w:rsidR="00C157F2" w:rsidRPr="00347F1D" w:rsidRDefault="00C157F2" w:rsidP="00C157F2">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sidRPr="00347F1D">
              <w:rPr>
                <w:rFonts w:ascii="Arial" w:hAnsi="Arial" w:cs="Arial"/>
                <w:sz w:val="18"/>
                <w:szCs w:val="18"/>
              </w:rPr>
              <w:t xml:space="preserve"> </w:t>
            </w:r>
            <w:r w:rsidR="00FE42BC" w:rsidRPr="00FE42BC">
              <w:rPr>
                <w:rFonts w:ascii="Arial" w:hAnsi="Arial" w:cs="Arial"/>
                <w:sz w:val="18"/>
                <w:szCs w:val="18"/>
              </w:rPr>
              <w:t xml:space="preserve"> (24.860)</w:t>
            </w:r>
          </w:p>
        </w:tc>
        <w:tc>
          <w:tcPr>
            <w:tcW w:w="555" w:type="pct"/>
            <w:tcBorders>
              <w:top w:val="nil"/>
              <w:left w:val="nil"/>
              <w:bottom w:val="single" w:sz="4" w:space="0" w:color="auto"/>
              <w:right w:val="nil"/>
            </w:tcBorders>
            <w:shd w:val="clear" w:color="auto" w:fill="auto"/>
            <w:vAlign w:val="bottom"/>
          </w:tcPr>
          <w:p w14:paraId="586724EA" w14:textId="274DB8B5" w:rsidR="00C157F2" w:rsidRPr="00347F1D" w:rsidRDefault="00C157F2" w:rsidP="00C157F2">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347F1D">
              <w:rPr>
                <w:rFonts w:ascii="Arial" w:hAnsi="Arial" w:cs="Arial"/>
                <w:sz w:val="18"/>
                <w:szCs w:val="18"/>
              </w:rPr>
              <w:t xml:space="preserve"> - </w:t>
            </w:r>
          </w:p>
        </w:tc>
        <w:tc>
          <w:tcPr>
            <w:tcW w:w="692" w:type="pct"/>
            <w:tcBorders>
              <w:top w:val="nil"/>
              <w:left w:val="nil"/>
              <w:bottom w:val="single" w:sz="4" w:space="0" w:color="auto"/>
              <w:right w:val="nil"/>
            </w:tcBorders>
            <w:shd w:val="clear" w:color="auto" w:fill="auto"/>
            <w:vAlign w:val="bottom"/>
          </w:tcPr>
          <w:p w14:paraId="08001D59" w14:textId="69912783" w:rsidR="00C157F2" w:rsidRPr="00FE42BC" w:rsidRDefault="00C157F2" w:rsidP="00C157F2">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5D1219">
              <w:rPr>
                <w:rFonts w:ascii="Arial" w:hAnsi="Arial" w:cs="Arial"/>
                <w:b/>
                <w:bCs/>
                <w:sz w:val="18"/>
                <w:szCs w:val="18"/>
              </w:rPr>
              <w:t xml:space="preserve"> - </w:t>
            </w:r>
          </w:p>
        </w:tc>
      </w:tr>
      <w:tr w:rsidR="00C157F2" w:rsidRPr="00347F1D" w14:paraId="0C3840BD" w14:textId="77777777" w:rsidTr="002D200D">
        <w:trPr>
          <w:trHeight w:val="338"/>
        </w:trPr>
        <w:tc>
          <w:tcPr>
            <w:tcW w:w="1318" w:type="pct"/>
            <w:vAlign w:val="bottom"/>
          </w:tcPr>
          <w:p w14:paraId="4FD333C1" w14:textId="733B5E97" w:rsidR="00C157F2" w:rsidRPr="00347F1D" w:rsidRDefault="00C157F2" w:rsidP="00C157F2">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bookmarkStart w:id="116" w:name="_Toc67326959"/>
            <w:r w:rsidRPr="00347F1D">
              <w:rPr>
                <w:rFonts w:ascii="Arial" w:eastAsia="Times New Roman" w:hAnsi="Arial" w:cs="Arial"/>
                <w:b/>
                <w:iCs/>
                <w:color w:val="000000" w:themeColor="text1"/>
                <w:sz w:val="18"/>
                <w:szCs w:val="18"/>
              </w:rPr>
              <w:t>Stanje 31. ožujka 2023.</w:t>
            </w:r>
            <w:bookmarkEnd w:id="116"/>
            <w:r w:rsidRPr="00347F1D">
              <w:rPr>
                <w:rFonts w:ascii="Arial" w:eastAsia="Times New Roman" w:hAnsi="Arial" w:cs="Arial"/>
                <w:b/>
                <w:iCs/>
                <w:color w:val="000000" w:themeColor="text1"/>
                <w:sz w:val="18"/>
                <w:szCs w:val="18"/>
              </w:rPr>
              <w:t xml:space="preserve"> </w:t>
            </w:r>
          </w:p>
        </w:tc>
        <w:tc>
          <w:tcPr>
            <w:tcW w:w="593" w:type="pct"/>
            <w:tcBorders>
              <w:top w:val="single" w:sz="8" w:space="0" w:color="auto"/>
              <w:left w:val="nil"/>
              <w:bottom w:val="single" w:sz="12" w:space="0" w:color="auto"/>
              <w:right w:val="nil"/>
            </w:tcBorders>
            <w:shd w:val="clear" w:color="auto" w:fill="auto"/>
            <w:vAlign w:val="bottom"/>
          </w:tcPr>
          <w:p w14:paraId="7475405D" w14:textId="2CCD5712" w:rsidR="00C157F2" w:rsidRPr="00347F1D" w:rsidRDefault="00C157F2" w:rsidP="00C157F2">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sidRPr="00347F1D">
              <w:rPr>
                <w:rFonts w:ascii="Arial" w:hAnsi="Arial" w:cs="Arial"/>
                <w:b/>
                <w:bCs/>
                <w:sz w:val="18"/>
                <w:szCs w:val="18"/>
              </w:rPr>
              <w:t xml:space="preserve"> 956.219 </w:t>
            </w:r>
          </w:p>
        </w:tc>
        <w:tc>
          <w:tcPr>
            <w:tcW w:w="555" w:type="pct"/>
            <w:tcBorders>
              <w:top w:val="single" w:sz="8" w:space="0" w:color="auto"/>
              <w:left w:val="nil"/>
              <w:bottom w:val="single" w:sz="12" w:space="0" w:color="auto"/>
              <w:right w:val="nil"/>
            </w:tcBorders>
            <w:shd w:val="clear" w:color="auto" w:fill="auto"/>
            <w:vAlign w:val="bottom"/>
          </w:tcPr>
          <w:p w14:paraId="5133140A" w14:textId="6AE149BB" w:rsidR="00C157F2" w:rsidRPr="00347F1D" w:rsidRDefault="00C157F2" w:rsidP="00C157F2">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sidRPr="00347F1D">
              <w:rPr>
                <w:rFonts w:ascii="Arial" w:hAnsi="Arial" w:cs="Arial"/>
                <w:b/>
                <w:bCs/>
                <w:sz w:val="18"/>
                <w:szCs w:val="18"/>
              </w:rPr>
              <w:t xml:space="preserve"> 468.994 </w:t>
            </w:r>
          </w:p>
        </w:tc>
        <w:tc>
          <w:tcPr>
            <w:tcW w:w="593" w:type="pct"/>
            <w:tcBorders>
              <w:top w:val="single" w:sz="8" w:space="0" w:color="auto"/>
              <w:left w:val="nil"/>
              <w:bottom w:val="single" w:sz="12" w:space="0" w:color="auto"/>
              <w:right w:val="nil"/>
            </w:tcBorders>
            <w:shd w:val="clear" w:color="auto" w:fill="auto"/>
            <w:vAlign w:val="bottom"/>
          </w:tcPr>
          <w:p w14:paraId="2F949EF9" w14:textId="432C0054" w:rsidR="00C157F2" w:rsidRPr="00347F1D" w:rsidRDefault="00C157F2" w:rsidP="00C157F2">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sidRPr="00347F1D">
              <w:rPr>
                <w:rFonts w:ascii="Arial" w:hAnsi="Arial" w:cs="Arial"/>
                <w:b/>
                <w:bCs/>
                <w:sz w:val="18"/>
                <w:szCs w:val="18"/>
              </w:rPr>
              <w:t xml:space="preserve"> (6.489)</w:t>
            </w:r>
          </w:p>
        </w:tc>
        <w:tc>
          <w:tcPr>
            <w:tcW w:w="694" w:type="pct"/>
            <w:tcBorders>
              <w:top w:val="single" w:sz="8" w:space="0" w:color="auto"/>
              <w:left w:val="nil"/>
              <w:bottom w:val="single" w:sz="12" w:space="0" w:color="auto"/>
              <w:right w:val="nil"/>
            </w:tcBorders>
            <w:shd w:val="clear" w:color="auto" w:fill="auto"/>
            <w:vAlign w:val="bottom"/>
          </w:tcPr>
          <w:p w14:paraId="73A37A0A" w14:textId="73DD40B8" w:rsidR="00C157F2" w:rsidRPr="00347F1D" w:rsidRDefault="00C157F2" w:rsidP="00C157F2">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sidRPr="00347F1D">
              <w:rPr>
                <w:rFonts w:ascii="Arial" w:hAnsi="Arial" w:cs="Arial"/>
                <w:b/>
                <w:bCs/>
                <w:sz w:val="18"/>
                <w:szCs w:val="18"/>
              </w:rPr>
              <w:t xml:space="preserve"> 18.663 </w:t>
            </w:r>
          </w:p>
        </w:tc>
        <w:tc>
          <w:tcPr>
            <w:tcW w:w="555" w:type="pct"/>
            <w:tcBorders>
              <w:top w:val="single" w:sz="8" w:space="0" w:color="auto"/>
              <w:left w:val="nil"/>
              <w:bottom w:val="single" w:sz="12" w:space="0" w:color="auto"/>
              <w:right w:val="nil"/>
            </w:tcBorders>
            <w:shd w:val="clear" w:color="auto" w:fill="auto"/>
            <w:vAlign w:val="bottom"/>
          </w:tcPr>
          <w:p w14:paraId="618DCBB0" w14:textId="0D9E3BAB" w:rsidR="00C157F2" w:rsidRPr="00347F1D" w:rsidRDefault="00C157F2" w:rsidP="00C157F2">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sidRPr="00347F1D">
              <w:rPr>
                <w:rFonts w:ascii="Arial" w:hAnsi="Arial" w:cs="Arial"/>
                <w:b/>
                <w:bCs/>
                <w:sz w:val="18"/>
                <w:szCs w:val="18"/>
              </w:rPr>
              <w:t xml:space="preserve"> 1.638 </w:t>
            </w:r>
          </w:p>
        </w:tc>
        <w:tc>
          <w:tcPr>
            <w:tcW w:w="692" w:type="pct"/>
            <w:tcBorders>
              <w:top w:val="single" w:sz="8" w:space="0" w:color="auto"/>
              <w:left w:val="nil"/>
              <w:bottom w:val="single" w:sz="12" w:space="0" w:color="auto"/>
              <w:right w:val="nil"/>
            </w:tcBorders>
            <w:shd w:val="clear" w:color="auto" w:fill="auto"/>
            <w:vAlign w:val="bottom"/>
          </w:tcPr>
          <w:p w14:paraId="17CC1B19" w14:textId="2EF3E75A" w:rsidR="00C157F2" w:rsidRPr="00347F1D" w:rsidRDefault="00C157F2" w:rsidP="00C157F2">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sidRPr="00347F1D">
              <w:rPr>
                <w:rFonts w:ascii="Arial" w:hAnsi="Arial" w:cs="Arial"/>
                <w:b/>
                <w:bCs/>
                <w:sz w:val="18"/>
                <w:szCs w:val="18"/>
              </w:rPr>
              <w:t xml:space="preserve"> 1.439.025 </w:t>
            </w:r>
          </w:p>
        </w:tc>
      </w:tr>
      <w:tr w:rsidR="00C157F2" w:rsidRPr="00347F1D" w14:paraId="2B169EF4" w14:textId="77777777" w:rsidTr="005D1219">
        <w:trPr>
          <w:trHeight w:val="20"/>
        </w:trPr>
        <w:tc>
          <w:tcPr>
            <w:tcW w:w="1318" w:type="pct"/>
            <w:vAlign w:val="bottom"/>
          </w:tcPr>
          <w:p w14:paraId="65183E0B" w14:textId="0866E80E" w:rsidR="00C157F2" w:rsidRPr="00347F1D" w:rsidRDefault="00C157F2" w:rsidP="00C157F2">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p>
        </w:tc>
        <w:tc>
          <w:tcPr>
            <w:tcW w:w="593" w:type="pct"/>
            <w:tcBorders>
              <w:top w:val="single" w:sz="4" w:space="0" w:color="auto"/>
              <w:left w:val="nil"/>
              <w:bottom w:val="single" w:sz="4" w:space="0" w:color="auto"/>
              <w:right w:val="nil"/>
            </w:tcBorders>
            <w:shd w:val="clear" w:color="auto" w:fill="auto"/>
            <w:vAlign w:val="bottom"/>
          </w:tcPr>
          <w:p w14:paraId="6E110C5A" w14:textId="148D3640" w:rsidR="00C157F2" w:rsidRPr="00347F1D" w:rsidRDefault="00C157F2" w:rsidP="00C157F2">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p>
        </w:tc>
        <w:tc>
          <w:tcPr>
            <w:tcW w:w="555" w:type="pct"/>
            <w:tcBorders>
              <w:top w:val="single" w:sz="4" w:space="0" w:color="auto"/>
              <w:left w:val="nil"/>
              <w:bottom w:val="single" w:sz="4" w:space="0" w:color="auto"/>
              <w:right w:val="nil"/>
            </w:tcBorders>
            <w:shd w:val="clear" w:color="auto" w:fill="auto"/>
            <w:vAlign w:val="bottom"/>
          </w:tcPr>
          <w:p w14:paraId="1F13C92A" w14:textId="43970AFC" w:rsidR="00C157F2" w:rsidRPr="00347F1D" w:rsidRDefault="00C157F2" w:rsidP="00C157F2">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p>
        </w:tc>
        <w:tc>
          <w:tcPr>
            <w:tcW w:w="593" w:type="pct"/>
            <w:tcBorders>
              <w:top w:val="single" w:sz="4" w:space="0" w:color="auto"/>
              <w:left w:val="nil"/>
              <w:bottom w:val="single" w:sz="4" w:space="0" w:color="auto"/>
              <w:right w:val="nil"/>
            </w:tcBorders>
            <w:shd w:val="clear" w:color="auto" w:fill="auto"/>
            <w:vAlign w:val="bottom"/>
          </w:tcPr>
          <w:p w14:paraId="55191C75" w14:textId="0011BD47" w:rsidR="00C157F2" w:rsidRPr="00347F1D" w:rsidRDefault="00C157F2" w:rsidP="00C157F2">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p>
        </w:tc>
        <w:tc>
          <w:tcPr>
            <w:tcW w:w="694" w:type="pct"/>
            <w:tcBorders>
              <w:top w:val="single" w:sz="4" w:space="0" w:color="auto"/>
              <w:left w:val="nil"/>
              <w:bottom w:val="single" w:sz="4" w:space="0" w:color="auto"/>
              <w:right w:val="nil"/>
            </w:tcBorders>
            <w:shd w:val="clear" w:color="auto" w:fill="auto"/>
            <w:vAlign w:val="bottom"/>
          </w:tcPr>
          <w:p w14:paraId="3F65AA4B" w14:textId="64DCA779" w:rsidR="00C157F2" w:rsidRPr="00347F1D" w:rsidRDefault="00C157F2" w:rsidP="00C157F2">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p>
        </w:tc>
        <w:tc>
          <w:tcPr>
            <w:tcW w:w="555" w:type="pct"/>
            <w:tcBorders>
              <w:top w:val="single" w:sz="4" w:space="0" w:color="auto"/>
              <w:left w:val="nil"/>
              <w:bottom w:val="single" w:sz="4" w:space="0" w:color="auto"/>
              <w:right w:val="nil"/>
            </w:tcBorders>
            <w:shd w:val="clear" w:color="auto" w:fill="auto"/>
            <w:vAlign w:val="bottom"/>
          </w:tcPr>
          <w:p w14:paraId="3A42C767" w14:textId="77C893D7" w:rsidR="00C157F2" w:rsidRPr="00347F1D" w:rsidRDefault="00C157F2" w:rsidP="00C157F2">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p>
        </w:tc>
        <w:tc>
          <w:tcPr>
            <w:tcW w:w="692" w:type="pct"/>
            <w:tcBorders>
              <w:top w:val="single" w:sz="4" w:space="0" w:color="auto"/>
              <w:left w:val="nil"/>
              <w:bottom w:val="single" w:sz="4" w:space="0" w:color="auto"/>
              <w:right w:val="nil"/>
            </w:tcBorders>
            <w:shd w:val="clear" w:color="auto" w:fill="auto"/>
            <w:vAlign w:val="bottom"/>
          </w:tcPr>
          <w:p w14:paraId="2EE89130" w14:textId="0ED40B77" w:rsidR="00C157F2" w:rsidRPr="00347F1D" w:rsidRDefault="00C157F2" w:rsidP="00C157F2">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p>
        </w:tc>
      </w:tr>
      <w:tr w:rsidR="00DD34C8" w:rsidRPr="00347F1D" w14:paraId="31D82969" w14:textId="77777777" w:rsidTr="005D1219">
        <w:trPr>
          <w:trHeight w:val="338"/>
        </w:trPr>
        <w:tc>
          <w:tcPr>
            <w:tcW w:w="1318" w:type="pct"/>
            <w:vAlign w:val="bottom"/>
          </w:tcPr>
          <w:p w14:paraId="1DDCB92E" w14:textId="03BE548F" w:rsidR="00DD34C8" w:rsidRPr="006029E3" w:rsidRDefault="00DD34C8" w:rsidP="00DD34C8">
            <w:pPr>
              <w:tabs>
                <w:tab w:val="right" w:pos="1202"/>
              </w:tabs>
              <w:suppressAutoHyphens/>
              <w:autoSpaceDN w:val="0"/>
              <w:spacing w:line="240" w:lineRule="exact"/>
              <w:outlineLvl w:val="0"/>
              <w:rPr>
                <w:rFonts w:ascii="Arial" w:eastAsia="Times New Roman" w:hAnsi="Arial" w:cs="Arial"/>
                <w:b/>
                <w:iCs/>
                <w:color w:val="000000" w:themeColor="text1"/>
                <w:sz w:val="18"/>
                <w:szCs w:val="18"/>
              </w:rPr>
            </w:pPr>
            <w:r w:rsidRPr="006029E3">
              <w:rPr>
                <w:rFonts w:ascii="Arial" w:hAnsi="Arial" w:cs="Arial"/>
                <w:b/>
                <w:iCs/>
                <w:color w:val="000000" w:themeColor="text1"/>
                <w:sz w:val="18"/>
                <w:szCs w:val="18"/>
              </w:rPr>
              <w:t xml:space="preserve">Stanje </w:t>
            </w:r>
            <w:r w:rsidR="00810FD6">
              <w:rPr>
                <w:rFonts w:ascii="Arial" w:hAnsi="Arial" w:cs="Arial"/>
                <w:b/>
                <w:iCs/>
                <w:color w:val="000000" w:themeColor="text1"/>
                <w:sz w:val="18"/>
                <w:szCs w:val="18"/>
              </w:rPr>
              <w:t>3</w:t>
            </w:r>
            <w:r w:rsidRPr="006029E3">
              <w:rPr>
                <w:rFonts w:ascii="Arial" w:hAnsi="Arial" w:cs="Arial"/>
                <w:b/>
                <w:iCs/>
                <w:color w:val="000000" w:themeColor="text1"/>
                <w:sz w:val="18"/>
                <w:szCs w:val="18"/>
              </w:rPr>
              <w:t xml:space="preserve">1. </w:t>
            </w:r>
            <w:r w:rsidR="00810FD6">
              <w:rPr>
                <w:rFonts w:ascii="Arial" w:hAnsi="Arial" w:cs="Arial"/>
                <w:b/>
                <w:iCs/>
                <w:color w:val="000000" w:themeColor="text1"/>
                <w:sz w:val="18"/>
                <w:szCs w:val="18"/>
              </w:rPr>
              <w:t>prosinca</w:t>
            </w:r>
            <w:r w:rsidRPr="006029E3">
              <w:rPr>
                <w:rFonts w:ascii="Arial" w:hAnsi="Arial" w:cs="Arial"/>
                <w:b/>
                <w:iCs/>
                <w:color w:val="000000" w:themeColor="text1"/>
                <w:sz w:val="18"/>
                <w:szCs w:val="18"/>
              </w:rPr>
              <w:t xml:space="preserve"> 202</w:t>
            </w:r>
            <w:r w:rsidR="00810FD6">
              <w:rPr>
                <w:rFonts w:ascii="Arial" w:hAnsi="Arial" w:cs="Arial"/>
                <w:b/>
                <w:iCs/>
                <w:color w:val="000000" w:themeColor="text1"/>
                <w:sz w:val="18"/>
                <w:szCs w:val="18"/>
              </w:rPr>
              <w:t>3</w:t>
            </w:r>
            <w:r w:rsidRPr="006029E3">
              <w:rPr>
                <w:rFonts w:ascii="Arial" w:hAnsi="Arial" w:cs="Arial"/>
                <w:b/>
                <w:iCs/>
                <w:color w:val="000000" w:themeColor="text1"/>
                <w:sz w:val="18"/>
                <w:szCs w:val="18"/>
              </w:rPr>
              <w:t xml:space="preserve">. </w:t>
            </w:r>
          </w:p>
        </w:tc>
        <w:tc>
          <w:tcPr>
            <w:tcW w:w="593" w:type="pct"/>
            <w:tcBorders>
              <w:top w:val="single" w:sz="4" w:space="0" w:color="auto"/>
              <w:left w:val="nil"/>
              <w:bottom w:val="single" w:sz="12" w:space="0" w:color="auto"/>
              <w:right w:val="nil"/>
            </w:tcBorders>
            <w:shd w:val="clear" w:color="auto" w:fill="auto"/>
            <w:vAlign w:val="bottom"/>
          </w:tcPr>
          <w:p w14:paraId="37B8D894" w14:textId="5BC60E26" w:rsidR="00DD34C8" w:rsidRPr="00DD34C8" w:rsidRDefault="00DD34C8" w:rsidP="00DD34C8">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DD34C8">
              <w:rPr>
                <w:rFonts w:ascii="Arial" w:hAnsi="Arial" w:cs="Arial"/>
                <w:b/>
                <w:color w:val="000000" w:themeColor="text1"/>
                <w:sz w:val="18"/>
                <w:szCs w:val="18"/>
              </w:rPr>
              <w:t>958.889</w:t>
            </w:r>
          </w:p>
        </w:tc>
        <w:tc>
          <w:tcPr>
            <w:tcW w:w="555" w:type="pct"/>
            <w:tcBorders>
              <w:top w:val="single" w:sz="4" w:space="0" w:color="auto"/>
              <w:left w:val="nil"/>
              <w:bottom w:val="single" w:sz="12" w:space="0" w:color="auto"/>
              <w:right w:val="nil"/>
            </w:tcBorders>
            <w:shd w:val="clear" w:color="auto" w:fill="auto"/>
            <w:vAlign w:val="bottom"/>
          </w:tcPr>
          <w:p w14:paraId="49596874" w14:textId="69D6CE8F" w:rsidR="00DD34C8" w:rsidRPr="00DD34C8" w:rsidRDefault="00DD34C8" w:rsidP="00DD34C8">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DD34C8">
              <w:rPr>
                <w:rFonts w:ascii="Arial" w:hAnsi="Arial" w:cs="Arial"/>
                <w:b/>
                <w:color w:val="000000" w:themeColor="text1"/>
                <w:sz w:val="18"/>
                <w:szCs w:val="18"/>
              </w:rPr>
              <w:t>468.960</w:t>
            </w:r>
          </w:p>
        </w:tc>
        <w:tc>
          <w:tcPr>
            <w:tcW w:w="593" w:type="pct"/>
            <w:tcBorders>
              <w:top w:val="single" w:sz="4" w:space="0" w:color="auto"/>
              <w:left w:val="nil"/>
              <w:bottom w:val="single" w:sz="12" w:space="0" w:color="auto"/>
              <w:right w:val="nil"/>
            </w:tcBorders>
            <w:shd w:val="clear" w:color="auto" w:fill="auto"/>
            <w:vAlign w:val="bottom"/>
          </w:tcPr>
          <w:p w14:paraId="0608F6F2" w14:textId="743EE27E" w:rsidR="00DD34C8" w:rsidRPr="00DD34C8" w:rsidRDefault="00DD34C8" w:rsidP="00DD34C8">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DD34C8">
              <w:rPr>
                <w:rFonts w:ascii="Arial" w:hAnsi="Arial" w:cs="Arial"/>
                <w:b/>
                <w:color w:val="000000" w:themeColor="text1"/>
                <w:sz w:val="18"/>
                <w:szCs w:val="18"/>
              </w:rPr>
              <w:t>(1.555)</w:t>
            </w:r>
          </w:p>
        </w:tc>
        <w:tc>
          <w:tcPr>
            <w:tcW w:w="694" w:type="pct"/>
            <w:tcBorders>
              <w:top w:val="single" w:sz="4" w:space="0" w:color="auto"/>
              <w:left w:val="nil"/>
              <w:bottom w:val="single" w:sz="12" w:space="0" w:color="auto"/>
              <w:right w:val="nil"/>
            </w:tcBorders>
            <w:shd w:val="clear" w:color="auto" w:fill="auto"/>
            <w:vAlign w:val="bottom"/>
          </w:tcPr>
          <w:p w14:paraId="20F65C5C" w14:textId="009780E2" w:rsidR="00DD34C8" w:rsidRPr="00DD34C8" w:rsidRDefault="00DD34C8" w:rsidP="00DD34C8">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DD34C8">
              <w:rPr>
                <w:rFonts w:ascii="Arial" w:hAnsi="Arial" w:cs="Arial"/>
                <w:b/>
                <w:color w:val="000000" w:themeColor="text1"/>
                <w:sz w:val="18"/>
                <w:szCs w:val="18"/>
              </w:rPr>
              <w:t>29.947</w:t>
            </w:r>
          </w:p>
        </w:tc>
        <w:tc>
          <w:tcPr>
            <w:tcW w:w="555" w:type="pct"/>
            <w:tcBorders>
              <w:top w:val="single" w:sz="4" w:space="0" w:color="auto"/>
              <w:left w:val="nil"/>
              <w:bottom w:val="single" w:sz="12" w:space="0" w:color="auto"/>
              <w:right w:val="nil"/>
            </w:tcBorders>
            <w:shd w:val="clear" w:color="auto" w:fill="auto"/>
            <w:vAlign w:val="bottom"/>
          </w:tcPr>
          <w:p w14:paraId="264202F9" w14:textId="347A52C7" w:rsidR="00DD34C8" w:rsidRPr="00DD34C8" w:rsidRDefault="00DD34C8" w:rsidP="00DD34C8">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D34C8">
              <w:rPr>
                <w:rFonts w:ascii="Arial" w:hAnsi="Arial" w:cs="Arial"/>
                <w:b/>
                <w:color w:val="000000" w:themeColor="text1"/>
                <w:sz w:val="18"/>
                <w:szCs w:val="18"/>
              </w:rPr>
              <w:t>1.638</w:t>
            </w:r>
          </w:p>
        </w:tc>
        <w:tc>
          <w:tcPr>
            <w:tcW w:w="692" w:type="pct"/>
            <w:tcBorders>
              <w:top w:val="single" w:sz="4" w:space="0" w:color="auto"/>
              <w:left w:val="nil"/>
              <w:bottom w:val="single" w:sz="12" w:space="0" w:color="auto"/>
              <w:right w:val="nil"/>
            </w:tcBorders>
            <w:shd w:val="clear" w:color="auto" w:fill="auto"/>
            <w:vAlign w:val="bottom"/>
          </w:tcPr>
          <w:p w14:paraId="4D78E438" w14:textId="7D19A5C4" w:rsidR="00DD34C8" w:rsidRPr="00DD34C8" w:rsidRDefault="00DD34C8" w:rsidP="00DD34C8">
            <w:pPr>
              <w:tabs>
                <w:tab w:val="right" w:pos="1202"/>
              </w:tabs>
              <w:suppressAutoHyphens/>
              <w:autoSpaceDN w:val="0"/>
              <w:spacing w:line="301" w:lineRule="exact"/>
              <w:jc w:val="right"/>
              <w:outlineLvl w:val="0"/>
              <w:rPr>
                <w:rFonts w:ascii="Arial" w:eastAsia="Times New Roman" w:hAnsi="Arial" w:cs="Arial"/>
                <w:b/>
                <w:bCs/>
                <w:iCs/>
                <w:color w:val="000000" w:themeColor="text1"/>
                <w:sz w:val="18"/>
                <w:szCs w:val="18"/>
              </w:rPr>
            </w:pPr>
            <w:r w:rsidRPr="00DD34C8">
              <w:rPr>
                <w:rFonts w:ascii="Arial" w:hAnsi="Arial" w:cs="Arial"/>
                <w:b/>
                <w:color w:val="000000" w:themeColor="text1"/>
                <w:sz w:val="18"/>
                <w:szCs w:val="18"/>
              </w:rPr>
              <w:t>1.457.879</w:t>
            </w:r>
          </w:p>
        </w:tc>
      </w:tr>
      <w:tr w:rsidR="00DD34C8" w:rsidRPr="00347F1D" w14:paraId="0E9F4F90" w14:textId="77777777" w:rsidTr="005D1219">
        <w:trPr>
          <w:trHeight w:val="219"/>
        </w:trPr>
        <w:tc>
          <w:tcPr>
            <w:tcW w:w="1318" w:type="pct"/>
            <w:vAlign w:val="bottom"/>
          </w:tcPr>
          <w:p w14:paraId="4CB97EA8" w14:textId="37BE9B16" w:rsidR="00DD34C8" w:rsidRPr="00347F1D" w:rsidRDefault="00810FD6" w:rsidP="00DD34C8">
            <w:pPr>
              <w:tabs>
                <w:tab w:val="right" w:pos="1202"/>
              </w:tabs>
              <w:suppressAutoHyphens/>
              <w:autoSpaceDN w:val="0"/>
              <w:spacing w:line="240" w:lineRule="exac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Korekcija početnog stanja</w:t>
            </w:r>
          </w:p>
        </w:tc>
        <w:tc>
          <w:tcPr>
            <w:tcW w:w="593" w:type="pct"/>
            <w:tcBorders>
              <w:top w:val="nil"/>
              <w:left w:val="nil"/>
              <w:bottom w:val="single" w:sz="4" w:space="0" w:color="auto"/>
              <w:right w:val="nil"/>
            </w:tcBorders>
            <w:shd w:val="clear" w:color="auto" w:fill="auto"/>
            <w:vAlign w:val="bottom"/>
          </w:tcPr>
          <w:p w14:paraId="033CC0E3" w14:textId="27A7863D" w:rsidR="00DD34C8" w:rsidRPr="00347F1D" w:rsidDel="003A48C1" w:rsidRDefault="00EF3478" w:rsidP="00DD34C8">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555" w:type="pct"/>
            <w:tcBorders>
              <w:top w:val="nil"/>
              <w:left w:val="nil"/>
              <w:bottom w:val="single" w:sz="4" w:space="0" w:color="auto"/>
              <w:right w:val="nil"/>
            </w:tcBorders>
            <w:shd w:val="clear" w:color="auto" w:fill="auto"/>
            <w:vAlign w:val="bottom"/>
          </w:tcPr>
          <w:p w14:paraId="4CC06D60" w14:textId="58C72EEF" w:rsidR="00DD34C8" w:rsidRPr="00347F1D" w:rsidDel="003A48C1" w:rsidRDefault="00EF3478" w:rsidP="00DD34C8">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38</w:t>
            </w:r>
          </w:p>
        </w:tc>
        <w:tc>
          <w:tcPr>
            <w:tcW w:w="593" w:type="pct"/>
            <w:tcBorders>
              <w:top w:val="nil"/>
              <w:left w:val="nil"/>
              <w:bottom w:val="single" w:sz="4" w:space="0" w:color="auto"/>
              <w:right w:val="nil"/>
            </w:tcBorders>
            <w:shd w:val="clear" w:color="auto" w:fill="auto"/>
            <w:vAlign w:val="bottom"/>
          </w:tcPr>
          <w:p w14:paraId="0D30DC77" w14:textId="728C7359" w:rsidR="00DD34C8" w:rsidRPr="00347F1D" w:rsidDel="003A48C1" w:rsidRDefault="004C0330" w:rsidP="00DD34C8">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r w:rsidR="00B63CB9">
              <w:rPr>
                <w:rFonts w:ascii="Arial" w:eastAsia="Times New Roman" w:hAnsi="Arial" w:cs="Arial"/>
                <w:color w:val="000000" w:themeColor="text1"/>
                <w:sz w:val="18"/>
                <w:szCs w:val="18"/>
              </w:rPr>
              <w:t>22</w:t>
            </w:r>
            <w:r>
              <w:rPr>
                <w:rFonts w:ascii="Arial" w:eastAsia="Times New Roman" w:hAnsi="Arial" w:cs="Arial"/>
                <w:color w:val="000000" w:themeColor="text1"/>
                <w:sz w:val="18"/>
                <w:szCs w:val="18"/>
              </w:rPr>
              <w:t>)</w:t>
            </w:r>
          </w:p>
        </w:tc>
        <w:tc>
          <w:tcPr>
            <w:tcW w:w="694" w:type="pct"/>
            <w:tcBorders>
              <w:top w:val="nil"/>
              <w:left w:val="nil"/>
              <w:bottom w:val="nil"/>
              <w:right w:val="nil"/>
            </w:tcBorders>
            <w:shd w:val="clear" w:color="auto" w:fill="auto"/>
            <w:vAlign w:val="bottom"/>
          </w:tcPr>
          <w:p w14:paraId="26866A85" w14:textId="1D0C26DB" w:rsidR="00DD34C8" w:rsidRPr="00347F1D" w:rsidDel="003A48C1" w:rsidRDefault="00B63CB9" w:rsidP="00DD34C8">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555" w:type="pct"/>
            <w:tcBorders>
              <w:top w:val="nil"/>
              <w:left w:val="nil"/>
              <w:bottom w:val="nil"/>
              <w:right w:val="nil"/>
            </w:tcBorders>
            <w:shd w:val="clear" w:color="auto" w:fill="auto"/>
            <w:vAlign w:val="bottom"/>
          </w:tcPr>
          <w:p w14:paraId="0DB12704" w14:textId="2FE9D490" w:rsidR="00DD34C8" w:rsidRPr="00347F1D" w:rsidDel="003A48C1" w:rsidRDefault="00B63CB9" w:rsidP="00DD34C8">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92" w:type="pct"/>
            <w:tcBorders>
              <w:top w:val="nil"/>
              <w:left w:val="nil"/>
              <w:bottom w:val="nil"/>
              <w:right w:val="nil"/>
            </w:tcBorders>
            <w:shd w:val="clear" w:color="auto" w:fill="auto"/>
            <w:vAlign w:val="bottom"/>
          </w:tcPr>
          <w:p w14:paraId="60328EDB" w14:textId="2605407B" w:rsidR="00DD34C8" w:rsidRPr="00347F1D" w:rsidDel="003A48C1" w:rsidRDefault="00B63CB9" w:rsidP="00DD34C8">
            <w:pPr>
              <w:tabs>
                <w:tab w:val="right" w:pos="1202"/>
              </w:tabs>
              <w:suppressAutoHyphens/>
              <w:autoSpaceDN w:val="0"/>
              <w:spacing w:line="301" w:lineRule="exact"/>
              <w:jc w:val="right"/>
              <w:outlineLvl w:val="0"/>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16</w:t>
            </w:r>
          </w:p>
        </w:tc>
      </w:tr>
      <w:tr w:rsidR="003A286E" w:rsidRPr="00347F1D" w14:paraId="24268337" w14:textId="77777777" w:rsidTr="005D1219">
        <w:trPr>
          <w:trHeight w:val="443"/>
        </w:trPr>
        <w:tc>
          <w:tcPr>
            <w:tcW w:w="1318" w:type="pct"/>
            <w:vAlign w:val="bottom"/>
          </w:tcPr>
          <w:p w14:paraId="4F87F40A" w14:textId="0ED82001" w:rsidR="003A286E" w:rsidRPr="005D1219" w:rsidRDefault="003A286E" w:rsidP="003A286E">
            <w:pPr>
              <w:tabs>
                <w:tab w:val="right" w:pos="1202"/>
              </w:tabs>
              <w:suppressAutoHyphens/>
              <w:autoSpaceDN w:val="0"/>
              <w:spacing w:line="240" w:lineRule="exact"/>
              <w:outlineLvl w:val="0"/>
              <w:rPr>
                <w:rFonts w:ascii="Arial" w:eastAsia="Times New Roman" w:hAnsi="Arial" w:cs="Arial"/>
                <w:b/>
                <w:bCs/>
                <w:iCs/>
                <w:color w:val="000000" w:themeColor="text1"/>
                <w:sz w:val="18"/>
                <w:szCs w:val="18"/>
              </w:rPr>
            </w:pPr>
            <w:r w:rsidRPr="005D1219">
              <w:rPr>
                <w:rFonts w:ascii="Arial" w:eastAsia="Times New Roman" w:hAnsi="Arial" w:cs="Arial"/>
                <w:b/>
                <w:bCs/>
                <w:iCs/>
                <w:color w:val="000000" w:themeColor="text1"/>
                <w:sz w:val="18"/>
                <w:szCs w:val="18"/>
              </w:rPr>
              <w:t>Stanje 1. siječnja 2024.</w:t>
            </w:r>
          </w:p>
        </w:tc>
        <w:tc>
          <w:tcPr>
            <w:tcW w:w="593" w:type="pct"/>
            <w:tcBorders>
              <w:top w:val="single" w:sz="4" w:space="0" w:color="auto"/>
              <w:left w:val="nil"/>
              <w:bottom w:val="single" w:sz="12" w:space="0" w:color="auto"/>
              <w:right w:val="nil"/>
            </w:tcBorders>
            <w:shd w:val="clear" w:color="auto" w:fill="auto"/>
            <w:vAlign w:val="bottom"/>
          </w:tcPr>
          <w:p w14:paraId="2DAA0A10" w14:textId="67459BA3" w:rsidR="003A286E" w:rsidRPr="005D1219" w:rsidDel="003A48C1" w:rsidRDefault="003A286E" w:rsidP="003A286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958.889</w:t>
            </w:r>
          </w:p>
        </w:tc>
        <w:tc>
          <w:tcPr>
            <w:tcW w:w="555" w:type="pct"/>
            <w:tcBorders>
              <w:top w:val="single" w:sz="4" w:space="0" w:color="auto"/>
              <w:left w:val="nil"/>
              <w:bottom w:val="single" w:sz="12" w:space="0" w:color="auto"/>
              <w:right w:val="nil"/>
            </w:tcBorders>
            <w:shd w:val="clear" w:color="auto" w:fill="auto"/>
            <w:vAlign w:val="bottom"/>
          </w:tcPr>
          <w:p w14:paraId="6F50C6E6" w14:textId="14F82A6E" w:rsidR="003A286E" w:rsidRPr="005D1219" w:rsidDel="003A48C1" w:rsidRDefault="003A286E" w:rsidP="003A286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468.988</w:t>
            </w:r>
          </w:p>
        </w:tc>
        <w:tc>
          <w:tcPr>
            <w:tcW w:w="593" w:type="pct"/>
            <w:tcBorders>
              <w:top w:val="single" w:sz="4" w:space="0" w:color="auto"/>
              <w:left w:val="nil"/>
              <w:bottom w:val="single" w:sz="12" w:space="0" w:color="auto"/>
              <w:right w:val="nil"/>
            </w:tcBorders>
            <w:shd w:val="clear" w:color="auto" w:fill="auto"/>
            <w:vAlign w:val="bottom"/>
          </w:tcPr>
          <w:p w14:paraId="08EB6383" w14:textId="5382B9E2" w:rsidR="003A286E" w:rsidRPr="005D1219" w:rsidDel="003A48C1" w:rsidRDefault="003A286E" w:rsidP="003A286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(1.577)</w:t>
            </w:r>
          </w:p>
        </w:tc>
        <w:tc>
          <w:tcPr>
            <w:tcW w:w="694" w:type="pct"/>
            <w:tcBorders>
              <w:top w:val="single" w:sz="8" w:space="0" w:color="auto"/>
              <w:left w:val="nil"/>
              <w:bottom w:val="single" w:sz="12" w:space="0" w:color="auto"/>
              <w:right w:val="nil"/>
            </w:tcBorders>
            <w:shd w:val="clear" w:color="auto" w:fill="auto"/>
            <w:vAlign w:val="bottom"/>
          </w:tcPr>
          <w:p w14:paraId="4955591A" w14:textId="5E19EDC4" w:rsidR="003A286E" w:rsidRPr="005D1219" w:rsidDel="003A48C1" w:rsidRDefault="003A286E" w:rsidP="003A286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D34C8">
              <w:rPr>
                <w:rFonts w:ascii="Arial" w:hAnsi="Arial" w:cs="Arial"/>
                <w:b/>
                <w:color w:val="000000" w:themeColor="text1"/>
                <w:sz w:val="18"/>
                <w:szCs w:val="18"/>
              </w:rPr>
              <w:t>29.947</w:t>
            </w:r>
          </w:p>
        </w:tc>
        <w:tc>
          <w:tcPr>
            <w:tcW w:w="555" w:type="pct"/>
            <w:tcBorders>
              <w:top w:val="single" w:sz="8" w:space="0" w:color="auto"/>
              <w:left w:val="nil"/>
              <w:bottom w:val="single" w:sz="12" w:space="0" w:color="auto"/>
              <w:right w:val="nil"/>
            </w:tcBorders>
            <w:shd w:val="clear" w:color="auto" w:fill="auto"/>
            <w:vAlign w:val="bottom"/>
          </w:tcPr>
          <w:p w14:paraId="6A482358" w14:textId="23C34EBF" w:rsidR="003A286E" w:rsidRPr="005D1219" w:rsidDel="003A48C1" w:rsidRDefault="003A286E" w:rsidP="003A286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D34C8">
              <w:rPr>
                <w:rFonts w:ascii="Arial" w:hAnsi="Arial" w:cs="Arial"/>
                <w:b/>
                <w:color w:val="000000" w:themeColor="text1"/>
                <w:sz w:val="18"/>
                <w:szCs w:val="18"/>
              </w:rPr>
              <w:t>1.638</w:t>
            </w:r>
          </w:p>
        </w:tc>
        <w:tc>
          <w:tcPr>
            <w:tcW w:w="692" w:type="pct"/>
            <w:tcBorders>
              <w:top w:val="single" w:sz="8" w:space="0" w:color="auto"/>
              <w:left w:val="nil"/>
              <w:bottom w:val="single" w:sz="12" w:space="0" w:color="auto"/>
              <w:right w:val="nil"/>
            </w:tcBorders>
            <w:shd w:val="clear" w:color="auto" w:fill="auto"/>
            <w:vAlign w:val="bottom"/>
          </w:tcPr>
          <w:p w14:paraId="6C80CC32" w14:textId="6668DFC8" w:rsidR="003A286E" w:rsidRPr="003B71C5" w:rsidDel="003A48C1" w:rsidRDefault="003A286E" w:rsidP="003A286E">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DD34C8">
              <w:rPr>
                <w:rFonts w:ascii="Arial" w:hAnsi="Arial" w:cs="Arial"/>
                <w:b/>
                <w:color w:val="000000" w:themeColor="text1"/>
                <w:sz w:val="18"/>
                <w:szCs w:val="18"/>
              </w:rPr>
              <w:t>1.457.8</w:t>
            </w:r>
            <w:r w:rsidR="00992E10">
              <w:rPr>
                <w:rFonts w:ascii="Arial" w:hAnsi="Arial" w:cs="Arial"/>
                <w:b/>
                <w:color w:val="000000" w:themeColor="text1"/>
                <w:sz w:val="18"/>
                <w:szCs w:val="18"/>
              </w:rPr>
              <w:t>95</w:t>
            </w:r>
          </w:p>
        </w:tc>
      </w:tr>
      <w:tr w:rsidR="003A286E" w:rsidRPr="00347F1D" w14:paraId="36BD97EA" w14:textId="77777777" w:rsidTr="005D1219">
        <w:trPr>
          <w:trHeight w:val="253"/>
        </w:trPr>
        <w:tc>
          <w:tcPr>
            <w:tcW w:w="1318" w:type="pct"/>
            <w:vAlign w:val="bottom"/>
          </w:tcPr>
          <w:p w14:paraId="579F7BE6" w14:textId="7E477C66" w:rsidR="003A286E" w:rsidRPr="00347F1D" w:rsidRDefault="003A286E" w:rsidP="003A286E">
            <w:pPr>
              <w:tabs>
                <w:tab w:val="right" w:pos="1202"/>
              </w:tabs>
              <w:suppressAutoHyphens/>
              <w:autoSpaceDN w:val="0"/>
              <w:spacing w:line="240" w:lineRule="exac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Dobit tekućeg razdoblja</w:t>
            </w:r>
          </w:p>
        </w:tc>
        <w:tc>
          <w:tcPr>
            <w:tcW w:w="593" w:type="pct"/>
            <w:tcBorders>
              <w:top w:val="single" w:sz="12" w:space="0" w:color="auto"/>
              <w:left w:val="nil"/>
              <w:bottom w:val="nil"/>
              <w:right w:val="nil"/>
            </w:tcBorders>
            <w:shd w:val="clear" w:color="auto" w:fill="auto"/>
            <w:vAlign w:val="bottom"/>
          </w:tcPr>
          <w:p w14:paraId="1C60FB73" w14:textId="34D25623" w:rsidR="003A286E" w:rsidRPr="00347F1D" w:rsidDel="003A48C1" w:rsidRDefault="0092416A" w:rsidP="003A286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555" w:type="pct"/>
            <w:tcBorders>
              <w:top w:val="single" w:sz="12" w:space="0" w:color="auto"/>
              <w:left w:val="nil"/>
              <w:bottom w:val="nil"/>
              <w:right w:val="nil"/>
            </w:tcBorders>
            <w:shd w:val="clear" w:color="auto" w:fill="auto"/>
            <w:vAlign w:val="bottom"/>
          </w:tcPr>
          <w:p w14:paraId="4F9B3CE6" w14:textId="4CF6FD64" w:rsidR="003A286E" w:rsidRPr="00347F1D" w:rsidDel="003A48C1" w:rsidRDefault="0092416A" w:rsidP="003A286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593" w:type="pct"/>
            <w:tcBorders>
              <w:top w:val="single" w:sz="12" w:space="0" w:color="auto"/>
              <w:left w:val="nil"/>
              <w:bottom w:val="nil"/>
              <w:right w:val="nil"/>
            </w:tcBorders>
            <w:shd w:val="clear" w:color="auto" w:fill="auto"/>
            <w:vAlign w:val="bottom"/>
          </w:tcPr>
          <w:p w14:paraId="117C2065" w14:textId="32CBA53A" w:rsidR="003A286E" w:rsidRPr="00347F1D" w:rsidDel="003A48C1" w:rsidRDefault="0092416A" w:rsidP="003A286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94" w:type="pct"/>
            <w:tcBorders>
              <w:top w:val="nil"/>
              <w:left w:val="nil"/>
              <w:bottom w:val="nil"/>
              <w:right w:val="nil"/>
            </w:tcBorders>
            <w:shd w:val="clear" w:color="auto" w:fill="auto"/>
            <w:vAlign w:val="bottom"/>
          </w:tcPr>
          <w:p w14:paraId="61F37830" w14:textId="30001D33" w:rsidR="003A286E" w:rsidRPr="00347F1D" w:rsidDel="003A48C1" w:rsidRDefault="0092416A" w:rsidP="003A286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17.590</w:t>
            </w:r>
          </w:p>
        </w:tc>
        <w:tc>
          <w:tcPr>
            <w:tcW w:w="555" w:type="pct"/>
            <w:tcBorders>
              <w:top w:val="nil"/>
              <w:left w:val="nil"/>
              <w:bottom w:val="nil"/>
              <w:right w:val="nil"/>
            </w:tcBorders>
            <w:shd w:val="clear" w:color="auto" w:fill="auto"/>
            <w:vAlign w:val="bottom"/>
          </w:tcPr>
          <w:p w14:paraId="5456BDCD" w14:textId="59AF564A" w:rsidR="003A286E" w:rsidRPr="00347F1D" w:rsidDel="003A48C1" w:rsidRDefault="0092416A" w:rsidP="003A286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92" w:type="pct"/>
            <w:tcBorders>
              <w:top w:val="nil"/>
              <w:left w:val="nil"/>
              <w:bottom w:val="nil"/>
              <w:right w:val="nil"/>
            </w:tcBorders>
            <w:shd w:val="clear" w:color="auto" w:fill="auto"/>
            <w:vAlign w:val="bottom"/>
          </w:tcPr>
          <w:p w14:paraId="1EBC3EB0" w14:textId="1CA4E231" w:rsidR="003A286E" w:rsidRPr="00347F1D" w:rsidDel="003A48C1" w:rsidRDefault="0092416A" w:rsidP="003A286E">
            <w:pPr>
              <w:tabs>
                <w:tab w:val="right" w:pos="1202"/>
              </w:tabs>
              <w:suppressAutoHyphens/>
              <w:autoSpaceDN w:val="0"/>
              <w:spacing w:line="301" w:lineRule="exact"/>
              <w:jc w:val="right"/>
              <w:outlineLvl w:val="0"/>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17.590</w:t>
            </w:r>
          </w:p>
        </w:tc>
      </w:tr>
      <w:tr w:rsidR="003A286E" w:rsidRPr="00347F1D" w14:paraId="00B30742" w14:textId="77777777" w:rsidTr="002D200D">
        <w:trPr>
          <w:trHeight w:val="276"/>
        </w:trPr>
        <w:tc>
          <w:tcPr>
            <w:tcW w:w="1318" w:type="pct"/>
            <w:vAlign w:val="bottom"/>
          </w:tcPr>
          <w:p w14:paraId="10BBFF4A" w14:textId="2EED707C" w:rsidR="003A286E" w:rsidRPr="00347F1D" w:rsidRDefault="003A286E" w:rsidP="003A286E">
            <w:pPr>
              <w:tabs>
                <w:tab w:val="right" w:pos="1202"/>
              </w:tabs>
              <w:suppressAutoHyphens/>
              <w:autoSpaceDN w:val="0"/>
              <w:spacing w:line="240" w:lineRule="exact"/>
              <w:outlineLvl w:val="0"/>
              <w:rPr>
                <w:rFonts w:ascii="Arial" w:eastAsia="Times New Roman" w:hAnsi="Arial" w:cs="Arial"/>
                <w:iCs/>
                <w:color w:val="000000" w:themeColor="text1"/>
                <w:sz w:val="18"/>
                <w:szCs w:val="18"/>
              </w:rPr>
            </w:pPr>
            <w:r w:rsidRPr="00347F1D">
              <w:rPr>
                <w:rFonts w:ascii="Arial" w:eastAsia="Times New Roman" w:hAnsi="Arial" w:cs="Arial"/>
                <w:iCs/>
                <w:color w:val="000000" w:themeColor="text1"/>
                <w:sz w:val="18"/>
                <w:szCs w:val="18"/>
              </w:rPr>
              <w:t>Ostala sveobuhvatna dobit</w:t>
            </w:r>
          </w:p>
        </w:tc>
        <w:tc>
          <w:tcPr>
            <w:tcW w:w="593" w:type="pct"/>
            <w:tcBorders>
              <w:bottom w:val="single" w:sz="4" w:space="0" w:color="auto"/>
            </w:tcBorders>
            <w:vAlign w:val="bottom"/>
          </w:tcPr>
          <w:p w14:paraId="173D614C" w14:textId="0E31C994" w:rsidR="003A286E" w:rsidRPr="00347F1D" w:rsidRDefault="00917B65" w:rsidP="003A286E">
            <w:pPr>
              <w:tabs>
                <w:tab w:val="right" w:pos="1202"/>
              </w:tabs>
              <w:suppressAutoHyphens/>
              <w:autoSpaceDN w:val="0"/>
              <w:spacing w:line="301"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w:t>
            </w:r>
          </w:p>
        </w:tc>
        <w:tc>
          <w:tcPr>
            <w:tcW w:w="555" w:type="pct"/>
            <w:tcBorders>
              <w:bottom w:val="single" w:sz="4" w:space="0" w:color="auto"/>
            </w:tcBorders>
            <w:vAlign w:val="bottom"/>
          </w:tcPr>
          <w:p w14:paraId="28CA68EB" w14:textId="75E8EF33" w:rsidR="003A286E" w:rsidRPr="00347F1D" w:rsidRDefault="00917B65" w:rsidP="003A286E">
            <w:pPr>
              <w:tabs>
                <w:tab w:val="right" w:pos="1202"/>
              </w:tabs>
              <w:suppressAutoHyphens/>
              <w:autoSpaceDN w:val="0"/>
              <w:spacing w:line="301"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w:t>
            </w:r>
          </w:p>
        </w:tc>
        <w:tc>
          <w:tcPr>
            <w:tcW w:w="593" w:type="pct"/>
            <w:tcBorders>
              <w:bottom w:val="single" w:sz="4" w:space="0" w:color="auto"/>
            </w:tcBorders>
            <w:vAlign w:val="bottom"/>
          </w:tcPr>
          <w:p w14:paraId="7827BDB5" w14:textId="405B7D13" w:rsidR="003A286E" w:rsidRPr="00347F1D" w:rsidRDefault="00917B65" w:rsidP="003A286E">
            <w:pPr>
              <w:tabs>
                <w:tab w:val="right" w:pos="1202"/>
              </w:tabs>
              <w:suppressAutoHyphens/>
              <w:autoSpaceDN w:val="0"/>
              <w:spacing w:line="301"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(562)</w:t>
            </w:r>
          </w:p>
        </w:tc>
        <w:tc>
          <w:tcPr>
            <w:tcW w:w="694" w:type="pct"/>
            <w:tcBorders>
              <w:bottom w:val="single" w:sz="4" w:space="0" w:color="auto"/>
            </w:tcBorders>
            <w:vAlign w:val="bottom"/>
          </w:tcPr>
          <w:p w14:paraId="27A5CDC1" w14:textId="603338C9" w:rsidR="003A286E" w:rsidRPr="00347F1D" w:rsidRDefault="00917B65" w:rsidP="003A286E">
            <w:pPr>
              <w:tabs>
                <w:tab w:val="right" w:pos="1202"/>
              </w:tabs>
              <w:suppressAutoHyphens/>
              <w:autoSpaceDN w:val="0"/>
              <w:spacing w:line="301"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w:t>
            </w:r>
          </w:p>
        </w:tc>
        <w:tc>
          <w:tcPr>
            <w:tcW w:w="555" w:type="pct"/>
            <w:tcBorders>
              <w:bottom w:val="single" w:sz="4" w:space="0" w:color="auto"/>
            </w:tcBorders>
            <w:vAlign w:val="bottom"/>
          </w:tcPr>
          <w:p w14:paraId="1ED3287A" w14:textId="1C2CD8E3" w:rsidR="003A286E" w:rsidRPr="00347F1D" w:rsidDel="003A48C1" w:rsidRDefault="00917B65" w:rsidP="003A286E">
            <w:pPr>
              <w:tabs>
                <w:tab w:val="right" w:pos="1202"/>
              </w:tabs>
              <w:suppressAutoHyphens/>
              <w:autoSpaceDN w:val="0"/>
              <w:spacing w:line="301"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w:t>
            </w:r>
          </w:p>
        </w:tc>
        <w:tc>
          <w:tcPr>
            <w:tcW w:w="692" w:type="pct"/>
            <w:tcBorders>
              <w:bottom w:val="single" w:sz="4" w:space="0" w:color="auto"/>
            </w:tcBorders>
            <w:vAlign w:val="bottom"/>
          </w:tcPr>
          <w:p w14:paraId="25C48F1D" w14:textId="001ACF6C" w:rsidR="003A286E" w:rsidRPr="00347F1D" w:rsidRDefault="00917B65" w:rsidP="00917B65">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Pr>
                <w:rFonts w:ascii="Arial" w:eastAsia="Times New Roman" w:hAnsi="Arial" w:cs="Arial"/>
                <w:b/>
                <w:bCs/>
                <w:color w:val="000000"/>
                <w:sz w:val="18"/>
                <w:szCs w:val="18"/>
              </w:rPr>
              <w:t>(562)</w:t>
            </w:r>
          </w:p>
        </w:tc>
      </w:tr>
      <w:tr w:rsidR="003A286E" w:rsidRPr="00347F1D" w14:paraId="38ADAD63" w14:textId="77777777" w:rsidTr="002D200D">
        <w:trPr>
          <w:trHeight w:val="212"/>
        </w:trPr>
        <w:tc>
          <w:tcPr>
            <w:tcW w:w="1318" w:type="pct"/>
            <w:vAlign w:val="bottom"/>
          </w:tcPr>
          <w:p w14:paraId="6F2A1989" w14:textId="660112D2" w:rsidR="003A286E" w:rsidRPr="00347F1D" w:rsidRDefault="003A286E" w:rsidP="003A286E">
            <w:pPr>
              <w:tabs>
                <w:tab w:val="right" w:pos="1202"/>
              </w:tabs>
              <w:suppressAutoHyphens/>
              <w:autoSpaceDN w:val="0"/>
              <w:spacing w:line="240" w:lineRule="exact"/>
              <w:outlineLvl w:val="0"/>
              <w:rPr>
                <w:rFonts w:ascii="Arial" w:eastAsia="Times New Roman" w:hAnsi="Arial" w:cs="Arial"/>
                <w:iCs/>
                <w:color w:val="000000" w:themeColor="text1"/>
                <w:sz w:val="18"/>
                <w:szCs w:val="18"/>
              </w:rPr>
            </w:pPr>
            <w:r w:rsidRPr="00347F1D">
              <w:rPr>
                <w:rFonts w:ascii="Arial" w:eastAsia="Times New Roman" w:hAnsi="Arial" w:cs="Arial"/>
                <w:iCs/>
                <w:color w:val="000000" w:themeColor="text1"/>
                <w:sz w:val="18"/>
                <w:szCs w:val="18"/>
              </w:rPr>
              <w:t>Ukupna sveobuhvatna dobit</w:t>
            </w:r>
          </w:p>
        </w:tc>
        <w:tc>
          <w:tcPr>
            <w:tcW w:w="593" w:type="pct"/>
            <w:tcBorders>
              <w:top w:val="nil"/>
              <w:left w:val="nil"/>
              <w:bottom w:val="single" w:sz="4" w:space="0" w:color="auto"/>
              <w:right w:val="nil"/>
            </w:tcBorders>
            <w:shd w:val="clear" w:color="auto" w:fill="auto"/>
            <w:vAlign w:val="bottom"/>
          </w:tcPr>
          <w:p w14:paraId="3D227D34" w14:textId="7A54894A" w:rsidR="003A286E" w:rsidRPr="00347F1D" w:rsidRDefault="007F0CF6" w:rsidP="003A286E">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r>
              <w:rPr>
                <w:rFonts w:ascii="Arial" w:eastAsia="Times New Roman" w:hAnsi="Arial" w:cs="Arial"/>
                <w:b/>
                <w:iCs/>
                <w:color w:val="000000" w:themeColor="text1"/>
                <w:sz w:val="18"/>
                <w:szCs w:val="18"/>
              </w:rPr>
              <w:t>-</w:t>
            </w:r>
          </w:p>
        </w:tc>
        <w:tc>
          <w:tcPr>
            <w:tcW w:w="555" w:type="pct"/>
            <w:tcBorders>
              <w:top w:val="nil"/>
              <w:left w:val="nil"/>
              <w:bottom w:val="single" w:sz="4" w:space="0" w:color="auto"/>
              <w:right w:val="nil"/>
            </w:tcBorders>
            <w:shd w:val="clear" w:color="auto" w:fill="auto"/>
            <w:vAlign w:val="bottom"/>
          </w:tcPr>
          <w:p w14:paraId="6F2A1093" w14:textId="44C97EED" w:rsidR="003A286E" w:rsidRPr="00347F1D" w:rsidRDefault="007F0CF6" w:rsidP="003A286E">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r>
              <w:rPr>
                <w:rFonts w:ascii="Arial" w:eastAsia="Times New Roman" w:hAnsi="Arial" w:cs="Arial"/>
                <w:b/>
                <w:iCs/>
                <w:color w:val="000000" w:themeColor="text1"/>
                <w:sz w:val="18"/>
                <w:szCs w:val="18"/>
              </w:rPr>
              <w:t>-</w:t>
            </w:r>
          </w:p>
        </w:tc>
        <w:tc>
          <w:tcPr>
            <w:tcW w:w="593" w:type="pct"/>
            <w:tcBorders>
              <w:top w:val="nil"/>
              <w:left w:val="nil"/>
              <w:bottom w:val="single" w:sz="4" w:space="0" w:color="auto"/>
              <w:right w:val="nil"/>
            </w:tcBorders>
            <w:shd w:val="clear" w:color="auto" w:fill="auto"/>
            <w:vAlign w:val="bottom"/>
          </w:tcPr>
          <w:p w14:paraId="3BCACBB1" w14:textId="55A1092F" w:rsidR="003A286E" w:rsidRPr="00347F1D" w:rsidRDefault="007F0CF6" w:rsidP="003A286E">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r>
              <w:rPr>
                <w:rFonts w:ascii="Arial" w:eastAsia="Times New Roman" w:hAnsi="Arial" w:cs="Arial"/>
                <w:b/>
                <w:iCs/>
                <w:color w:val="000000" w:themeColor="text1"/>
                <w:sz w:val="18"/>
                <w:szCs w:val="18"/>
              </w:rPr>
              <w:t>(562)</w:t>
            </w:r>
          </w:p>
        </w:tc>
        <w:tc>
          <w:tcPr>
            <w:tcW w:w="694" w:type="pct"/>
            <w:tcBorders>
              <w:top w:val="nil"/>
              <w:left w:val="nil"/>
              <w:bottom w:val="single" w:sz="4" w:space="0" w:color="auto"/>
              <w:right w:val="nil"/>
            </w:tcBorders>
            <w:shd w:val="clear" w:color="auto" w:fill="auto"/>
            <w:vAlign w:val="bottom"/>
          </w:tcPr>
          <w:p w14:paraId="6DF51B8A" w14:textId="787D99BE" w:rsidR="003A286E" w:rsidRPr="00347F1D" w:rsidRDefault="007F0CF6" w:rsidP="003A286E">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r>
              <w:rPr>
                <w:rFonts w:ascii="Arial" w:eastAsia="Times New Roman" w:hAnsi="Arial" w:cs="Arial"/>
                <w:b/>
                <w:iCs/>
                <w:color w:val="000000" w:themeColor="text1"/>
                <w:sz w:val="18"/>
                <w:szCs w:val="18"/>
              </w:rPr>
              <w:t>17.590</w:t>
            </w:r>
          </w:p>
        </w:tc>
        <w:tc>
          <w:tcPr>
            <w:tcW w:w="555" w:type="pct"/>
            <w:tcBorders>
              <w:top w:val="nil"/>
              <w:left w:val="nil"/>
              <w:bottom w:val="single" w:sz="4" w:space="0" w:color="auto"/>
              <w:right w:val="nil"/>
            </w:tcBorders>
            <w:shd w:val="clear" w:color="auto" w:fill="auto"/>
            <w:vAlign w:val="bottom"/>
          </w:tcPr>
          <w:p w14:paraId="6F2E7FF4" w14:textId="51949F48" w:rsidR="003A286E" w:rsidRPr="00347F1D" w:rsidDel="003A48C1" w:rsidRDefault="007F0CF6" w:rsidP="003A286E">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r>
              <w:rPr>
                <w:rFonts w:ascii="Arial" w:eastAsia="Times New Roman" w:hAnsi="Arial" w:cs="Arial"/>
                <w:b/>
                <w:iCs/>
                <w:color w:val="000000" w:themeColor="text1"/>
                <w:sz w:val="18"/>
                <w:szCs w:val="18"/>
              </w:rPr>
              <w:t>-</w:t>
            </w:r>
          </w:p>
        </w:tc>
        <w:tc>
          <w:tcPr>
            <w:tcW w:w="692" w:type="pct"/>
            <w:tcBorders>
              <w:top w:val="nil"/>
              <w:left w:val="nil"/>
              <w:bottom w:val="single" w:sz="4" w:space="0" w:color="auto"/>
              <w:right w:val="nil"/>
            </w:tcBorders>
            <w:shd w:val="clear" w:color="auto" w:fill="auto"/>
            <w:vAlign w:val="bottom"/>
          </w:tcPr>
          <w:p w14:paraId="65EFB989" w14:textId="4D0C578D" w:rsidR="003A286E" w:rsidRPr="00347F1D" w:rsidRDefault="007F0CF6" w:rsidP="003A286E">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r>
              <w:rPr>
                <w:rFonts w:ascii="Arial" w:eastAsia="Times New Roman" w:hAnsi="Arial" w:cs="Arial"/>
                <w:b/>
                <w:iCs/>
                <w:color w:val="000000" w:themeColor="text1"/>
                <w:sz w:val="18"/>
                <w:szCs w:val="18"/>
              </w:rPr>
              <w:t>17.028</w:t>
            </w:r>
          </w:p>
        </w:tc>
      </w:tr>
      <w:tr w:rsidR="003A286E" w:rsidRPr="00347F1D" w14:paraId="5F20A0D3" w14:textId="77777777" w:rsidTr="002D200D">
        <w:trPr>
          <w:trHeight w:val="76"/>
        </w:trPr>
        <w:tc>
          <w:tcPr>
            <w:tcW w:w="1318" w:type="pct"/>
            <w:vAlign w:val="bottom"/>
          </w:tcPr>
          <w:p w14:paraId="261BEF66" w14:textId="523BF0F5" w:rsidR="003A286E" w:rsidRPr="00347F1D" w:rsidRDefault="003A286E" w:rsidP="003A286E">
            <w:pPr>
              <w:tabs>
                <w:tab w:val="right" w:pos="1202"/>
              </w:tabs>
              <w:suppressAutoHyphens/>
              <w:autoSpaceDN w:val="0"/>
              <w:spacing w:line="240" w:lineRule="exact"/>
              <w:outlineLvl w:val="0"/>
              <w:rPr>
                <w:rFonts w:ascii="Arial" w:eastAsia="Times New Roman" w:hAnsi="Arial" w:cs="Arial"/>
                <w:i/>
                <w:iCs/>
                <w:color w:val="000000" w:themeColor="text1"/>
                <w:sz w:val="18"/>
                <w:szCs w:val="18"/>
              </w:rPr>
            </w:pPr>
            <w:r w:rsidRPr="00347F1D">
              <w:rPr>
                <w:rFonts w:ascii="Arial" w:eastAsia="Times New Roman" w:hAnsi="Arial" w:cs="Arial"/>
                <w:iCs/>
                <w:color w:val="000000" w:themeColor="text1"/>
                <w:sz w:val="18"/>
                <w:szCs w:val="18"/>
              </w:rPr>
              <w:t>Uplate u osnivački kapital iz državnog proračuna</w:t>
            </w:r>
          </w:p>
        </w:tc>
        <w:tc>
          <w:tcPr>
            <w:tcW w:w="593" w:type="pct"/>
            <w:tcBorders>
              <w:top w:val="nil"/>
              <w:left w:val="nil"/>
              <w:bottom w:val="nil"/>
              <w:right w:val="nil"/>
            </w:tcBorders>
            <w:shd w:val="clear" w:color="auto" w:fill="auto"/>
            <w:vAlign w:val="bottom"/>
          </w:tcPr>
          <w:p w14:paraId="18BBED81" w14:textId="424D86A5" w:rsidR="003A286E" w:rsidRPr="00347F1D" w:rsidRDefault="00E1421E" w:rsidP="003A2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w:t>
            </w:r>
          </w:p>
        </w:tc>
        <w:tc>
          <w:tcPr>
            <w:tcW w:w="555" w:type="pct"/>
            <w:tcBorders>
              <w:top w:val="nil"/>
              <w:left w:val="nil"/>
              <w:bottom w:val="nil"/>
              <w:right w:val="nil"/>
            </w:tcBorders>
            <w:shd w:val="clear" w:color="auto" w:fill="auto"/>
            <w:vAlign w:val="bottom"/>
          </w:tcPr>
          <w:p w14:paraId="7C933DD9" w14:textId="3DFDF482" w:rsidR="003A286E" w:rsidRPr="00347F1D" w:rsidRDefault="00E1421E" w:rsidP="003A286E">
            <w:pPr>
              <w:tabs>
                <w:tab w:val="right" w:pos="1202"/>
              </w:tabs>
              <w:suppressAutoHyphens/>
              <w:autoSpaceDN w:val="0"/>
              <w:spacing w:line="301" w:lineRule="exact"/>
              <w:jc w:val="right"/>
              <w:outlineLvl w:val="0"/>
              <w:rPr>
                <w:rFonts w:ascii="Arial" w:eastAsia="Times New Roman" w:hAnsi="Arial" w:cs="Arial"/>
                <w:bCs/>
                <w:iCs/>
                <w:color w:val="000000" w:themeColor="text1"/>
                <w:sz w:val="18"/>
                <w:szCs w:val="18"/>
              </w:rPr>
            </w:pPr>
            <w:r>
              <w:rPr>
                <w:rFonts w:ascii="Arial" w:eastAsia="Times New Roman" w:hAnsi="Arial" w:cs="Arial"/>
                <w:bCs/>
                <w:iCs/>
                <w:color w:val="000000" w:themeColor="text1"/>
                <w:sz w:val="18"/>
                <w:szCs w:val="18"/>
              </w:rPr>
              <w:t>-</w:t>
            </w:r>
          </w:p>
        </w:tc>
        <w:tc>
          <w:tcPr>
            <w:tcW w:w="593" w:type="pct"/>
            <w:tcBorders>
              <w:top w:val="nil"/>
              <w:left w:val="nil"/>
              <w:bottom w:val="nil"/>
              <w:right w:val="nil"/>
            </w:tcBorders>
            <w:shd w:val="clear" w:color="auto" w:fill="auto"/>
            <w:vAlign w:val="bottom"/>
          </w:tcPr>
          <w:p w14:paraId="37B89712" w14:textId="42CC68AE" w:rsidR="003A286E" w:rsidRPr="00347F1D" w:rsidRDefault="00E1421E" w:rsidP="003A2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w:t>
            </w:r>
          </w:p>
        </w:tc>
        <w:tc>
          <w:tcPr>
            <w:tcW w:w="694" w:type="pct"/>
            <w:tcBorders>
              <w:top w:val="nil"/>
              <w:left w:val="nil"/>
              <w:bottom w:val="nil"/>
              <w:right w:val="nil"/>
            </w:tcBorders>
            <w:shd w:val="clear" w:color="auto" w:fill="auto"/>
            <w:vAlign w:val="bottom"/>
          </w:tcPr>
          <w:p w14:paraId="3F8858B1" w14:textId="1641B843" w:rsidR="003A286E" w:rsidRPr="00347F1D" w:rsidRDefault="00E1421E" w:rsidP="003A2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w:t>
            </w:r>
          </w:p>
        </w:tc>
        <w:tc>
          <w:tcPr>
            <w:tcW w:w="555" w:type="pct"/>
            <w:tcBorders>
              <w:top w:val="nil"/>
              <w:left w:val="nil"/>
              <w:bottom w:val="nil"/>
              <w:right w:val="nil"/>
            </w:tcBorders>
            <w:shd w:val="clear" w:color="auto" w:fill="auto"/>
            <w:vAlign w:val="bottom"/>
          </w:tcPr>
          <w:p w14:paraId="6CBF5F41" w14:textId="0DB57B5F" w:rsidR="003A286E" w:rsidRPr="00347F1D" w:rsidDel="003A48C1" w:rsidRDefault="00E1421E" w:rsidP="003A286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92" w:type="pct"/>
            <w:tcBorders>
              <w:top w:val="nil"/>
              <w:left w:val="nil"/>
              <w:bottom w:val="nil"/>
              <w:right w:val="nil"/>
            </w:tcBorders>
            <w:shd w:val="clear" w:color="auto" w:fill="auto"/>
            <w:vAlign w:val="bottom"/>
          </w:tcPr>
          <w:p w14:paraId="04B64278" w14:textId="145D991D" w:rsidR="003A286E" w:rsidRPr="00347F1D" w:rsidRDefault="00E1421E" w:rsidP="003A286E">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r>
              <w:rPr>
                <w:rFonts w:ascii="Arial" w:eastAsia="Times New Roman" w:hAnsi="Arial" w:cs="Arial"/>
                <w:b/>
                <w:iCs/>
                <w:color w:val="000000" w:themeColor="text1"/>
                <w:sz w:val="18"/>
                <w:szCs w:val="18"/>
              </w:rPr>
              <w:t>-</w:t>
            </w:r>
          </w:p>
        </w:tc>
      </w:tr>
      <w:tr w:rsidR="003A286E" w:rsidRPr="00347F1D" w14:paraId="6C786569" w14:textId="77777777" w:rsidTr="002D200D">
        <w:trPr>
          <w:trHeight w:val="76"/>
        </w:trPr>
        <w:tc>
          <w:tcPr>
            <w:tcW w:w="1318" w:type="pct"/>
            <w:vAlign w:val="bottom"/>
          </w:tcPr>
          <w:p w14:paraId="02453066" w14:textId="6097CBB5" w:rsidR="003A286E" w:rsidRPr="00347F1D" w:rsidRDefault="003A286E" w:rsidP="003A286E">
            <w:pPr>
              <w:tabs>
                <w:tab w:val="right" w:pos="1202"/>
              </w:tabs>
              <w:suppressAutoHyphens/>
              <w:autoSpaceDN w:val="0"/>
              <w:spacing w:line="240" w:lineRule="exact"/>
              <w:outlineLvl w:val="0"/>
              <w:rPr>
                <w:rFonts w:ascii="Arial" w:eastAsia="Times New Roman" w:hAnsi="Arial" w:cs="Arial"/>
                <w:iCs/>
                <w:color w:val="000000" w:themeColor="text1"/>
                <w:sz w:val="18"/>
                <w:szCs w:val="18"/>
              </w:rPr>
            </w:pPr>
            <w:r>
              <w:rPr>
                <w:rFonts w:ascii="Arial" w:hAnsi="Arial" w:cs="Arial"/>
                <w:sz w:val="18"/>
                <w:szCs w:val="18"/>
              </w:rPr>
              <w:t>Ostala povećanja/smanjenja osnivački kapital</w:t>
            </w:r>
          </w:p>
        </w:tc>
        <w:tc>
          <w:tcPr>
            <w:tcW w:w="593" w:type="pct"/>
            <w:tcBorders>
              <w:top w:val="nil"/>
              <w:left w:val="nil"/>
              <w:bottom w:val="nil"/>
              <w:right w:val="nil"/>
            </w:tcBorders>
            <w:shd w:val="clear" w:color="auto" w:fill="auto"/>
            <w:vAlign w:val="bottom"/>
          </w:tcPr>
          <w:p w14:paraId="335E6B55" w14:textId="0AEF36C5" w:rsidR="003A286E" w:rsidRPr="00347F1D" w:rsidRDefault="00F06741" w:rsidP="003A2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16</w:t>
            </w:r>
          </w:p>
        </w:tc>
        <w:tc>
          <w:tcPr>
            <w:tcW w:w="555" w:type="pct"/>
            <w:tcBorders>
              <w:top w:val="nil"/>
              <w:left w:val="nil"/>
              <w:bottom w:val="nil"/>
              <w:right w:val="nil"/>
            </w:tcBorders>
            <w:shd w:val="clear" w:color="auto" w:fill="auto"/>
            <w:vAlign w:val="bottom"/>
          </w:tcPr>
          <w:p w14:paraId="48487126" w14:textId="05672231" w:rsidR="003A286E" w:rsidRPr="00347F1D" w:rsidRDefault="00F06741" w:rsidP="003A286E">
            <w:pPr>
              <w:tabs>
                <w:tab w:val="right" w:pos="1202"/>
              </w:tabs>
              <w:suppressAutoHyphens/>
              <w:autoSpaceDN w:val="0"/>
              <w:spacing w:line="301" w:lineRule="exact"/>
              <w:jc w:val="right"/>
              <w:outlineLvl w:val="0"/>
              <w:rPr>
                <w:rFonts w:ascii="Arial" w:eastAsia="Times New Roman" w:hAnsi="Arial" w:cs="Arial"/>
                <w:bCs/>
                <w:iCs/>
                <w:color w:val="000000" w:themeColor="text1"/>
                <w:sz w:val="18"/>
                <w:szCs w:val="18"/>
              </w:rPr>
            </w:pPr>
            <w:r>
              <w:rPr>
                <w:rFonts w:ascii="Arial" w:eastAsia="Times New Roman" w:hAnsi="Arial" w:cs="Arial"/>
                <w:bCs/>
                <w:iCs/>
                <w:color w:val="000000" w:themeColor="text1"/>
                <w:sz w:val="18"/>
                <w:szCs w:val="18"/>
              </w:rPr>
              <w:t>(16)</w:t>
            </w:r>
          </w:p>
        </w:tc>
        <w:tc>
          <w:tcPr>
            <w:tcW w:w="593" w:type="pct"/>
            <w:tcBorders>
              <w:top w:val="nil"/>
              <w:left w:val="nil"/>
              <w:bottom w:val="nil"/>
              <w:right w:val="nil"/>
            </w:tcBorders>
            <w:shd w:val="clear" w:color="auto" w:fill="auto"/>
            <w:vAlign w:val="bottom"/>
          </w:tcPr>
          <w:p w14:paraId="1E29A469" w14:textId="209BD70F" w:rsidR="003A286E" w:rsidRPr="00347F1D" w:rsidRDefault="00FC0ECC" w:rsidP="003A2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w:t>
            </w:r>
          </w:p>
        </w:tc>
        <w:tc>
          <w:tcPr>
            <w:tcW w:w="694" w:type="pct"/>
            <w:tcBorders>
              <w:top w:val="nil"/>
              <w:left w:val="nil"/>
              <w:bottom w:val="nil"/>
              <w:right w:val="nil"/>
            </w:tcBorders>
            <w:shd w:val="clear" w:color="auto" w:fill="auto"/>
            <w:vAlign w:val="bottom"/>
          </w:tcPr>
          <w:p w14:paraId="3E950F4F" w14:textId="7AB32190" w:rsidR="003A286E" w:rsidRPr="00347F1D" w:rsidRDefault="00FC0ECC" w:rsidP="003A2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w:t>
            </w:r>
          </w:p>
        </w:tc>
        <w:tc>
          <w:tcPr>
            <w:tcW w:w="555" w:type="pct"/>
            <w:tcBorders>
              <w:top w:val="nil"/>
              <w:left w:val="nil"/>
              <w:bottom w:val="nil"/>
              <w:right w:val="nil"/>
            </w:tcBorders>
            <w:shd w:val="clear" w:color="auto" w:fill="auto"/>
            <w:vAlign w:val="bottom"/>
          </w:tcPr>
          <w:p w14:paraId="77792841" w14:textId="56C5E25C" w:rsidR="003A286E" w:rsidRPr="00347F1D" w:rsidDel="003A48C1" w:rsidRDefault="00FC0ECC" w:rsidP="003A286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92" w:type="pct"/>
            <w:tcBorders>
              <w:top w:val="nil"/>
              <w:left w:val="nil"/>
              <w:bottom w:val="nil"/>
              <w:right w:val="nil"/>
            </w:tcBorders>
            <w:shd w:val="clear" w:color="auto" w:fill="auto"/>
            <w:vAlign w:val="bottom"/>
          </w:tcPr>
          <w:p w14:paraId="7E0A4EA7" w14:textId="69D92479" w:rsidR="003A286E" w:rsidRPr="00347F1D" w:rsidRDefault="00FC0ECC" w:rsidP="003A286E">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r>
              <w:rPr>
                <w:rFonts w:ascii="Arial" w:eastAsia="Times New Roman" w:hAnsi="Arial" w:cs="Arial"/>
                <w:b/>
                <w:iCs/>
                <w:color w:val="000000" w:themeColor="text1"/>
                <w:sz w:val="18"/>
                <w:szCs w:val="18"/>
              </w:rPr>
              <w:t>-</w:t>
            </w:r>
          </w:p>
        </w:tc>
      </w:tr>
      <w:tr w:rsidR="003A286E" w:rsidRPr="00347F1D" w14:paraId="2EBC3B28" w14:textId="77777777" w:rsidTr="002D200D">
        <w:trPr>
          <w:trHeight w:val="76"/>
        </w:trPr>
        <w:tc>
          <w:tcPr>
            <w:tcW w:w="1318" w:type="pct"/>
            <w:vAlign w:val="bottom"/>
          </w:tcPr>
          <w:p w14:paraId="01C6B771" w14:textId="62004658" w:rsidR="003A286E" w:rsidRPr="00347F1D" w:rsidRDefault="003A286E" w:rsidP="003A286E">
            <w:pPr>
              <w:tabs>
                <w:tab w:val="right" w:pos="1202"/>
              </w:tabs>
              <w:suppressAutoHyphens/>
              <w:autoSpaceDN w:val="0"/>
              <w:spacing w:line="240" w:lineRule="exact"/>
              <w:outlineLvl w:val="0"/>
              <w:rPr>
                <w:rFonts w:ascii="Arial" w:eastAsia="Times New Roman" w:hAnsi="Arial" w:cs="Arial"/>
                <w:i/>
                <w:iCs/>
                <w:color w:val="000000" w:themeColor="text1"/>
                <w:sz w:val="18"/>
                <w:szCs w:val="18"/>
              </w:rPr>
            </w:pPr>
            <w:r w:rsidRPr="00347F1D">
              <w:rPr>
                <w:rFonts w:ascii="Arial" w:eastAsia="Times New Roman" w:hAnsi="Arial" w:cs="Arial"/>
                <w:iCs/>
                <w:color w:val="000000" w:themeColor="text1"/>
                <w:sz w:val="18"/>
                <w:szCs w:val="18"/>
              </w:rPr>
              <w:t>Prijenos dobiti iz 202</w:t>
            </w:r>
            <w:r>
              <w:rPr>
                <w:rFonts w:ascii="Arial" w:eastAsia="Times New Roman" w:hAnsi="Arial" w:cs="Arial"/>
                <w:iCs/>
                <w:color w:val="000000" w:themeColor="text1"/>
                <w:sz w:val="18"/>
                <w:szCs w:val="18"/>
              </w:rPr>
              <w:t>3</w:t>
            </w:r>
            <w:r w:rsidRPr="00347F1D">
              <w:rPr>
                <w:rFonts w:ascii="Arial" w:eastAsia="Times New Roman" w:hAnsi="Arial" w:cs="Arial"/>
                <w:iCs/>
                <w:color w:val="000000" w:themeColor="text1"/>
                <w:sz w:val="18"/>
                <w:szCs w:val="18"/>
              </w:rPr>
              <w:t>. godine u zadržanu dobit</w:t>
            </w:r>
          </w:p>
        </w:tc>
        <w:tc>
          <w:tcPr>
            <w:tcW w:w="593" w:type="pct"/>
            <w:tcBorders>
              <w:top w:val="nil"/>
              <w:left w:val="nil"/>
              <w:bottom w:val="single" w:sz="4" w:space="0" w:color="auto"/>
              <w:right w:val="nil"/>
            </w:tcBorders>
            <w:shd w:val="clear" w:color="auto" w:fill="auto"/>
            <w:vAlign w:val="bottom"/>
          </w:tcPr>
          <w:p w14:paraId="3F781609" w14:textId="6B57D1D6" w:rsidR="003A286E" w:rsidRPr="00347F1D" w:rsidRDefault="00FC0ECC" w:rsidP="003A2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w:t>
            </w:r>
          </w:p>
        </w:tc>
        <w:tc>
          <w:tcPr>
            <w:tcW w:w="555" w:type="pct"/>
            <w:tcBorders>
              <w:top w:val="nil"/>
              <w:left w:val="nil"/>
              <w:bottom w:val="single" w:sz="4" w:space="0" w:color="auto"/>
              <w:right w:val="nil"/>
            </w:tcBorders>
            <w:shd w:val="clear" w:color="auto" w:fill="auto"/>
            <w:vAlign w:val="bottom"/>
          </w:tcPr>
          <w:p w14:paraId="7CF222A5" w14:textId="10A52FA8" w:rsidR="003A286E" w:rsidRPr="00347F1D" w:rsidRDefault="00FC0ECC" w:rsidP="003A2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29.947</w:t>
            </w:r>
          </w:p>
        </w:tc>
        <w:tc>
          <w:tcPr>
            <w:tcW w:w="593" w:type="pct"/>
            <w:tcBorders>
              <w:top w:val="nil"/>
              <w:left w:val="nil"/>
              <w:bottom w:val="single" w:sz="4" w:space="0" w:color="auto"/>
              <w:right w:val="nil"/>
            </w:tcBorders>
            <w:shd w:val="clear" w:color="auto" w:fill="auto"/>
            <w:vAlign w:val="bottom"/>
          </w:tcPr>
          <w:p w14:paraId="702820CE" w14:textId="7A5C598D" w:rsidR="003A286E" w:rsidRPr="00347F1D" w:rsidRDefault="00FC0ECC" w:rsidP="003A2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w:t>
            </w:r>
          </w:p>
        </w:tc>
        <w:tc>
          <w:tcPr>
            <w:tcW w:w="694" w:type="pct"/>
            <w:tcBorders>
              <w:top w:val="nil"/>
              <w:left w:val="nil"/>
              <w:bottom w:val="single" w:sz="4" w:space="0" w:color="auto"/>
              <w:right w:val="nil"/>
            </w:tcBorders>
            <w:shd w:val="clear" w:color="auto" w:fill="auto"/>
            <w:vAlign w:val="bottom"/>
          </w:tcPr>
          <w:p w14:paraId="4E7F6B42" w14:textId="753BA7F5" w:rsidR="003A286E" w:rsidRPr="00347F1D" w:rsidRDefault="00FC0ECC" w:rsidP="003A286E">
            <w:pPr>
              <w:tabs>
                <w:tab w:val="right" w:pos="1202"/>
              </w:tabs>
              <w:suppressAutoHyphens/>
              <w:autoSpaceDN w:val="0"/>
              <w:spacing w:line="301" w:lineRule="exact"/>
              <w:jc w:val="right"/>
              <w:outlineLvl w:val="0"/>
              <w:rPr>
                <w:rFonts w:ascii="Arial" w:eastAsia="Times New Roman" w:hAnsi="Arial" w:cs="Arial"/>
                <w:iCs/>
                <w:color w:val="000000" w:themeColor="text1"/>
                <w:sz w:val="18"/>
                <w:szCs w:val="18"/>
              </w:rPr>
            </w:pPr>
            <w:r>
              <w:rPr>
                <w:rFonts w:ascii="Arial" w:eastAsia="Times New Roman" w:hAnsi="Arial" w:cs="Arial"/>
                <w:iCs/>
                <w:color w:val="000000" w:themeColor="text1"/>
                <w:sz w:val="18"/>
                <w:szCs w:val="18"/>
              </w:rPr>
              <w:t>(29.947)</w:t>
            </w:r>
          </w:p>
        </w:tc>
        <w:tc>
          <w:tcPr>
            <w:tcW w:w="555" w:type="pct"/>
            <w:tcBorders>
              <w:top w:val="nil"/>
              <w:left w:val="nil"/>
              <w:bottom w:val="single" w:sz="4" w:space="0" w:color="auto"/>
              <w:right w:val="nil"/>
            </w:tcBorders>
            <w:shd w:val="clear" w:color="auto" w:fill="auto"/>
            <w:vAlign w:val="bottom"/>
          </w:tcPr>
          <w:p w14:paraId="09429686" w14:textId="69A8AEFC" w:rsidR="003A286E" w:rsidRPr="00347F1D" w:rsidRDefault="00FC0ECC" w:rsidP="003A286E">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92" w:type="pct"/>
            <w:tcBorders>
              <w:top w:val="nil"/>
              <w:left w:val="nil"/>
              <w:bottom w:val="single" w:sz="4" w:space="0" w:color="auto"/>
              <w:right w:val="nil"/>
            </w:tcBorders>
            <w:shd w:val="clear" w:color="auto" w:fill="auto"/>
            <w:vAlign w:val="bottom"/>
          </w:tcPr>
          <w:p w14:paraId="5A955A76" w14:textId="244D33F1" w:rsidR="003A286E" w:rsidRPr="00347F1D" w:rsidRDefault="00FC0ECC" w:rsidP="003A286E">
            <w:pPr>
              <w:tabs>
                <w:tab w:val="right" w:pos="1202"/>
              </w:tabs>
              <w:suppressAutoHyphens/>
              <w:autoSpaceDN w:val="0"/>
              <w:spacing w:line="301" w:lineRule="exact"/>
              <w:jc w:val="right"/>
              <w:outlineLvl w:val="0"/>
              <w:rPr>
                <w:rFonts w:ascii="Arial" w:eastAsia="Times New Roman" w:hAnsi="Arial" w:cs="Arial"/>
                <w:b/>
                <w:iCs/>
                <w:color w:val="000000" w:themeColor="text1"/>
                <w:sz w:val="18"/>
                <w:szCs w:val="18"/>
              </w:rPr>
            </w:pPr>
            <w:r>
              <w:rPr>
                <w:rFonts w:ascii="Arial" w:eastAsia="Times New Roman" w:hAnsi="Arial" w:cs="Arial"/>
                <w:b/>
                <w:iCs/>
                <w:color w:val="000000" w:themeColor="text1"/>
                <w:sz w:val="18"/>
                <w:szCs w:val="18"/>
              </w:rPr>
              <w:t>-</w:t>
            </w:r>
          </w:p>
        </w:tc>
      </w:tr>
      <w:tr w:rsidR="003A286E" w:rsidRPr="00347F1D" w14:paraId="0A11AAEB" w14:textId="77777777" w:rsidTr="002D200D">
        <w:trPr>
          <w:trHeight w:hRule="exact" w:val="357"/>
        </w:trPr>
        <w:tc>
          <w:tcPr>
            <w:tcW w:w="1318" w:type="pct"/>
            <w:vAlign w:val="bottom"/>
          </w:tcPr>
          <w:p w14:paraId="063642A7" w14:textId="36345450" w:rsidR="003A286E" w:rsidRPr="00347F1D" w:rsidRDefault="003A286E" w:rsidP="003A286E">
            <w:pPr>
              <w:tabs>
                <w:tab w:val="right" w:pos="1202"/>
              </w:tabs>
              <w:suppressAutoHyphens/>
              <w:autoSpaceDN w:val="0"/>
              <w:spacing w:line="240" w:lineRule="exact"/>
              <w:outlineLvl w:val="0"/>
              <w:rPr>
                <w:rFonts w:ascii="Arial" w:eastAsia="Times New Roman" w:hAnsi="Arial" w:cs="Arial"/>
                <w:iCs/>
                <w:color w:val="000000" w:themeColor="text1"/>
                <w:sz w:val="18"/>
                <w:szCs w:val="18"/>
              </w:rPr>
            </w:pPr>
            <w:r w:rsidRPr="00347F1D">
              <w:rPr>
                <w:rFonts w:ascii="Arial" w:eastAsia="Times New Roman" w:hAnsi="Arial" w:cs="Arial"/>
                <w:b/>
                <w:iCs/>
                <w:color w:val="000000" w:themeColor="text1"/>
                <w:sz w:val="18"/>
                <w:szCs w:val="18"/>
              </w:rPr>
              <w:t>Stanje 31. ožujka 202</w:t>
            </w:r>
            <w:r>
              <w:rPr>
                <w:rFonts w:ascii="Arial" w:eastAsia="Times New Roman" w:hAnsi="Arial" w:cs="Arial"/>
                <w:b/>
                <w:iCs/>
                <w:color w:val="000000" w:themeColor="text1"/>
                <w:sz w:val="18"/>
                <w:szCs w:val="18"/>
              </w:rPr>
              <w:t>4</w:t>
            </w:r>
            <w:r w:rsidRPr="00347F1D">
              <w:rPr>
                <w:rFonts w:ascii="Arial" w:eastAsia="Times New Roman" w:hAnsi="Arial" w:cs="Arial"/>
                <w:b/>
                <w:iCs/>
                <w:color w:val="000000" w:themeColor="text1"/>
                <w:sz w:val="18"/>
                <w:szCs w:val="18"/>
              </w:rPr>
              <w:t xml:space="preserve">. </w:t>
            </w:r>
          </w:p>
        </w:tc>
        <w:tc>
          <w:tcPr>
            <w:tcW w:w="593" w:type="pct"/>
            <w:tcBorders>
              <w:top w:val="single" w:sz="8" w:space="0" w:color="auto"/>
              <w:left w:val="nil"/>
              <w:bottom w:val="single" w:sz="12" w:space="0" w:color="auto"/>
              <w:right w:val="nil"/>
            </w:tcBorders>
            <w:shd w:val="clear" w:color="auto" w:fill="auto"/>
            <w:vAlign w:val="bottom"/>
          </w:tcPr>
          <w:p w14:paraId="6AA7C154" w14:textId="03C6C7EB" w:rsidR="003A286E" w:rsidRPr="00347F1D" w:rsidRDefault="006013CB" w:rsidP="003A286E">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Pr>
                <w:rFonts w:ascii="Arial" w:eastAsia="Times New Roman" w:hAnsi="Arial" w:cs="Arial"/>
                <w:b/>
                <w:bCs/>
                <w:color w:val="000000"/>
                <w:sz w:val="18"/>
                <w:szCs w:val="18"/>
              </w:rPr>
              <w:t>958.905</w:t>
            </w:r>
          </w:p>
        </w:tc>
        <w:tc>
          <w:tcPr>
            <w:tcW w:w="555" w:type="pct"/>
            <w:tcBorders>
              <w:top w:val="single" w:sz="8" w:space="0" w:color="auto"/>
              <w:left w:val="nil"/>
              <w:bottom w:val="single" w:sz="12" w:space="0" w:color="auto"/>
              <w:right w:val="nil"/>
            </w:tcBorders>
            <w:shd w:val="clear" w:color="auto" w:fill="auto"/>
            <w:vAlign w:val="bottom"/>
          </w:tcPr>
          <w:p w14:paraId="40B0AA5A" w14:textId="4718A698" w:rsidR="003A286E" w:rsidRPr="00347F1D" w:rsidRDefault="006013CB" w:rsidP="003A286E">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Pr>
                <w:rFonts w:ascii="Arial" w:eastAsia="Times New Roman" w:hAnsi="Arial" w:cs="Arial"/>
                <w:b/>
                <w:bCs/>
                <w:color w:val="000000"/>
                <w:sz w:val="18"/>
                <w:szCs w:val="18"/>
              </w:rPr>
              <w:t>498.929</w:t>
            </w:r>
          </w:p>
        </w:tc>
        <w:tc>
          <w:tcPr>
            <w:tcW w:w="593" w:type="pct"/>
            <w:tcBorders>
              <w:top w:val="single" w:sz="8" w:space="0" w:color="auto"/>
              <w:left w:val="nil"/>
              <w:bottom w:val="single" w:sz="12" w:space="0" w:color="auto"/>
              <w:right w:val="nil"/>
            </w:tcBorders>
            <w:shd w:val="clear" w:color="auto" w:fill="auto"/>
            <w:vAlign w:val="bottom"/>
          </w:tcPr>
          <w:p w14:paraId="54841BAE" w14:textId="66154B4C" w:rsidR="003A286E" w:rsidRPr="00347F1D" w:rsidRDefault="00E86058" w:rsidP="003A286E">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Pr>
                <w:rFonts w:ascii="Arial" w:eastAsia="Times New Roman" w:hAnsi="Arial" w:cs="Arial"/>
                <w:b/>
                <w:bCs/>
                <w:color w:val="000000"/>
                <w:sz w:val="18"/>
                <w:szCs w:val="18"/>
              </w:rPr>
              <w:t>(2.139)</w:t>
            </w:r>
          </w:p>
        </w:tc>
        <w:tc>
          <w:tcPr>
            <w:tcW w:w="694" w:type="pct"/>
            <w:tcBorders>
              <w:top w:val="single" w:sz="8" w:space="0" w:color="auto"/>
              <w:left w:val="nil"/>
              <w:bottom w:val="single" w:sz="12" w:space="0" w:color="auto"/>
              <w:right w:val="nil"/>
            </w:tcBorders>
            <w:shd w:val="clear" w:color="auto" w:fill="auto"/>
            <w:vAlign w:val="bottom"/>
          </w:tcPr>
          <w:p w14:paraId="6B26CC02" w14:textId="02236E66" w:rsidR="003A286E" w:rsidRPr="00347F1D" w:rsidRDefault="006C433E" w:rsidP="003A286E">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Pr>
                <w:rFonts w:ascii="Arial" w:eastAsia="Times New Roman" w:hAnsi="Arial" w:cs="Arial"/>
                <w:b/>
                <w:bCs/>
                <w:color w:val="000000"/>
                <w:sz w:val="18"/>
                <w:szCs w:val="18"/>
              </w:rPr>
              <w:t>17.590</w:t>
            </w:r>
          </w:p>
        </w:tc>
        <w:tc>
          <w:tcPr>
            <w:tcW w:w="555" w:type="pct"/>
            <w:tcBorders>
              <w:top w:val="single" w:sz="8" w:space="0" w:color="auto"/>
              <w:left w:val="nil"/>
              <w:bottom w:val="single" w:sz="12" w:space="0" w:color="auto"/>
              <w:right w:val="nil"/>
            </w:tcBorders>
            <w:shd w:val="clear" w:color="auto" w:fill="auto"/>
            <w:vAlign w:val="bottom"/>
          </w:tcPr>
          <w:p w14:paraId="4A6D54D9" w14:textId="0C86ACC3" w:rsidR="003A286E" w:rsidRPr="00347F1D" w:rsidDel="003A48C1" w:rsidRDefault="006C433E" w:rsidP="003A286E">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Pr>
                <w:rFonts w:ascii="Arial" w:eastAsia="Times New Roman" w:hAnsi="Arial" w:cs="Arial"/>
                <w:b/>
                <w:bCs/>
                <w:color w:val="000000"/>
                <w:sz w:val="18"/>
                <w:szCs w:val="18"/>
              </w:rPr>
              <w:t>1.638</w:t>
            </w:r>
          </w:p>
        </w:tc>
        <w:tc>
          <w:tcPr>
            <w:tcW w:w="692" w:type="pct"/>
            <w:tcBorders>
              <w:top w:val="single" w:sz="8" w:space="0" w:color="auto"/>
              <w:left w:val="nil"/>
              <w:bottom w:val="single" w:sz="12" w:space="0" w:color="auto"/>
              <w:right w:val="nil"/>
            </w:tcBorders>
            <w:shd w:val="clear" w:color="auto" w:fill="auto"/>
            <w:vAlign w:val="bottom"/>
          </w:tcPr>
          <w:p w14:paraId="5F5CE6DE" w14:textId="073AB7AB" w:rsidR="003A286E" w:rsidRPr="00347F1D" w:rsidRDefault="006C433E" w:rsidP="003A286E">
            <w:pPr>
              <w:tabs>
                <w:tab w:val="right" w:pos="1202"/>
              </w:tabs>
              <w:suppressAutoHyphens/>
              <w:autoSpaceDN w:val="0"/>
              <w:spacing w:line="301" w:lineRule="exact"/>
              <w:jc w:val="right"/>
              <w:outlineLvl w:val="0"/>
              <w:rPr>
                <w:rFonts w:ascii="Arial" w:eastAsia="Times New Roman" w:hAnsi="Arial" w:cs="Arial"/>
                <w:b/>
                <w:bCs/>
                <w:color w:val="000000"/>
                <w:sz w:val="18"/>
                <w:szCs w:val="18"/>
              </w:rPr>
            </w:pPr>
            <w:r>
              <w:rPr>
                <w:rFonts w:ascii="Arial" w:eastAsia="Times New Roman" w:hAnsi="Arial" w:cs="Arial"/>
                <w:b/>
                <w:bCs/>
                <w:color w:val="000000"/>
                <w:sz w:val="18"/>
                <w:szCs w:val="18"/>
              </w:rPr>
              <w:t>1.474.923</w:t>
            </w:r>
          </w:p>
        </w:tc>
      </w:tr>
    </w:tbl>
    <w:p w14:paraId="7FDC71F4" w14:textId="77777777" w:rsidR="00DE7EEE" w:rsidRPr="003D1614" w:rsidRDefault="00DE7EEE" w:rsidP="00DE7EEE">
      <w:pPr>
        <w:rPr>
          <w:rFonts w:ascii="Arial" w:eastAsia="Times New Roman" w:hAnsi="Arial" w:cs="Arial"/>
          <w:sz w:val="20"/>
          <w:szCs w:val="20"/>
        </w:rPr>
      </w:pPr>
    </w:p>
    <w:p w14:paraId="4A0A7979" w14:textId="77777777" w:rsidR="00DE7EEE" w:rsidRPr="003D1614" w:rsidRDefault="00DE7EEE" w:rsidP="00DE7EEE">
      <w:pPr>
        <w:rPr>
          <w:rFonts w:ascii="Arial" w:eastAsia="Times New Roman" w:hAnsi="Arial" w:cs="Arial"/>
          <w:sz w:val="20"/>
          <w:szCs w:val="20"/>
        </w:rPr>
      </w:pPr>
    </w:p>
    <w:p w14:paraId="7E990787" w14:textId="68093F62" w:rsidR="00DE7EEE" w:rsidRPr="003D1614" w:rsidRDefault="00DE7EEE" w:rsidP="00DE7EEE">
      <w:pPr>
        <w:rPr>
          <w:rFonts w:ascii="Arial" w:eastAsia="Times New Roman" w:hAnsi="Arial" w:cs="Arial"/>
          <w:sz w:val="20"/>
          <w:szCs w:val="20"/>
        </w:rPr>
      </w:pPr>
    </w:p>
    <w:p w14:paraId="45D16FE3" w14:textId="35DD1DB9" w:rsidR="00A56428" w:rsidRPr="003D1614" w:rsidRDefault="00A56428" w:rsidP="00DE7EEE">
      <w:pPr>
        <w:rPr>
          <w:rFonts w:ascii="Arial" w:eastAsia="Times New Roman" w:hAnsi="Arial" w:cs="Arial"/>
          <w:sz w:val="20"/>
          <w:szCs w:val="20"/>
        </w:rPr>
      </w:pPr>
      <w:r w:rsidRPr="003D1614">
        <w:rPr>
          <w:rFonts w:ascii="Arial" w:eastAsia="Times New Roman" w:hAnsi="Arial" w:cs="Arial"/>
          <w:sz w:val="20"/>
          <w:szCs w:val="20"/>
        </w:rPr>
        <w:t>Priložene računovodstvene politike i bilješke sastavni su dio ovih financijskih izvještaja.</w:t>
      </w:r>
    </w:p>
    <w:p w14:paraId="2AD96793" w14:textId="77777777" w:rsidR="00A56428" w:rsidRPr="003D1614" w:rsidRDefault="00A56428" w:rsidP="00DE7EEE">
      <w:pPr>
        <w:rPr>
          <w:rFonts w:ascii="Arial" w:eastAsia="Times New Roman" w:hAnsi="Arial" w:cs="Arial"/>
          <w:sz w:val="20"/>
          <w:szCs w:val="20"/>
        </w:rPr>
        <w:sectPr w:rsidR="00A56428" w:rsidRPr="003D1614">
          <w:headerReference w:type="default" r:id="rId15"/>
          <w:pgSz w:w="11906" w:h="16838"/>
          <w:pgMar w:top="1417" w:right="1417" w:bottom="1417" w:left="1417" w:header="708" w:footer="708" w:gutter="0"/>
          <w:cols w:space="708"/>
          <w:docGrid w:linePitch="360"/>
        </w:sectPr>
      </w:pPr>
    </w:p>
    <w:p w14:paraId="7ECA1D77" w14:textId="374D5F52" w:rsidR="00A56428" w:rsidRPr="003D1614" w:rsidRDefault="00A56428" w:rsidP="00DE7EEE">
      <w:pPr>
        <w:rPr>
          <w:rFonts w:ascii="Arial" w:eastAsia="Times New Roman" w:hAnsi="Arial" w:cs="Arial"/>
          <w:sz w:val="20"/>
          <w:szCs w:val="20"/>
        </w:rPr>
      </w:pPr>
    </w:p>
    <w:p w14:paraId="0DA86F3A" w14:textId="11BFACE9" w:rsidR="00A56428" w:rsidRPr="003D1614" w:rsidRDefault="00A56428" w:rsidP="00A56428">
      <w:pPr>
        <w:rPr>
          <w:rFonts w:ascii="Arial" w:eastAsia="Times New Roman" w:hAnsi="Arial" w:cs="Arial"/>
          <w:sz w:val="20"/>
          <w:szCs w:val="20"/>
        </w:rPr>
      </w:pPr>
    </w:p>
    <w:tbl>
      <w:tblPr>
        <w:tblpPr w:leftFromText="181" w:rightFromText="181" w:vertAnchor="page" w:horzAnchor="margin" w:tblpXSpec="center" w:tblpY="2498"/>
        <w:tblW w:w="4706" w:type="pct"/>
        <w:tblCellMar>
          <w:left w:w="119" w:type="dxa"/>
          <w:right w:w="119" w:type="dxa"/>
        </w:tblCellMar>
        <w:tblLook w:val="0000" w:firstRow="0" w:lastRow="0" w:firstColumn="0" w:lastColumn="0" w:noHBand="0" w:noVBand="0"/>
      </w:tblPr>
      <w:tblGrid>
        <w:gridCol w:w="4363"/>
        <w:gridCol w:w="987"/>
        <w:gridCol w:w="1491"/>
        <w:gridCol w:w="1698"/>
      </w:tblGrid>
      <w:tr w:rsidR="00A56428" w:rsidRPr="003D1614" w14:paraId="2041FDA9" w14:textId="77777777" w:rsidTr="00531D68">
        <w:tc>
          <w:tcPr>
            <w:tcW w:w="2555" w:type="pct"/>
            <w:vAlign w:val="bottom"/>
          </w:tcPr>
          <w:p w14:paraId="4A297219" w14:textId="77777777" w:rsidR="00A56428" w:rsidRPr="003D1614" w:rsidRDefault="00A56428" w:rsidP="00242B62">
            <w:pPr>
              <w:tabs>
                <w:tab w:val="right" w:pos="1202"/>
              </w:tabs>
              <w:suppressAutoHyphens/>
              <w:autoSpaceDN w:val="0"/>
              <w:spacing w:line="301" w:lineRule="exact"/>
              <w:outlineLvl w:val="0"/>
              <w:rPr>
                <w:rFonts w:ascii="Arial" w:eastAsia="Times New Roman" w:hAnsi="Arial" w:cs="Arial"/>
                <w:b/>
                <w:bCs/>
                <w:color w:val="000000" w:themeColor="text1"/>
                <w:sz w:val="20"/>
                <w:szCs w:val="20"/>
              </w:rPr>
            </w:pPr>
          </w:p>
        </w:tc>
        <w:tc>
          <w:tcPr>
            <w:tcW w:w="578" w:type="pct"/>
            <w:vAlign w:val="bottom"/>
          </w:tcPr>
          <w:p w14:paraId="330B0432" w14:textId="77777777" w:rsidR="00A56428" w:rsidRPr="003D1614" w:rsidRDefault="00A56428" w:rsidP="00242B62">
            <w:pPr>
              <w:tabs>
                <w:tab w:val="right" w:pos="1202"/>
              </w:tabs>
              <w:suppressAutoHyphens/>
              <w:autoSpaceDN w:val="0"/>
              <w:spacing w:line="301" w:lineRule="exact"/>
              <w:ind w:left="-15" w:firstLine="15"/>
              <w:jc w:val="center"/>
              <w:outlineLvl w:val="0"/>
              <w:rPr>
                <w:rFonts w:ascii="Arial" w:eastAsia="Times New Roman" w:hAnsi="Arial" w:cs="Arial"/>
                <w:b/>
                <w:bCs/>
                <w:color w:val="000000" w:themeColor="text1"/>
                <w:sz w:val="20"/>
                <w:szCs w:val="20"/>
              </w:rPr>
            </w:pPr>
            <w:bookmarkStart w:id="117" w:name="_Toc67326966"/>
            <w:r w:rsidRPr="003D1614">
              <w:rPr>
                <w:rFonts w:ascii="Arial" w:eastAsia="Times New Roman" w:hAnsi="Arial" w:cs="Arial"/>
                <w:b/>
                <w:bCs/>
                <w:color w:val="000000" w:themeColor="text1"/>
                <w:spacing w:val="-1"/>
                <w:sz w:val="20"/>
                <w:szCs w:val="20"/>
              </w:rPr>
              <w:t>Bilješka</w:t>
            </w:r>
            <w:bookmarkEnd w:id="117"/>
          </w:p>
        </w:tc>
        <w:tc>
          <w:tcPr>
            <w:tcW w:w="873" w:type="pct"/>
            <w:vAlign w:val="bottom"/>
          </w:tcPr>
          <w:p w14:paraId="48ACC735" w14:textId="49F92524" w:rsidR="00A56428" w:rsidRPr="003D1614" w:rsidRDefault="00A56428" w:rsidP="00242B62">
            <w:pPr>
              <w:suppressAutoHyphens/>
              <w:autoSpaceDN w:val="0"/>
              <w:spacing w:line="301" w:lineRule="exact"/>
              <w:jc w:val="right"/>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202</w:t>
            </w:r>
            <w:r w:rsidR="00C157F2">
              <w:rPr>
                <w:rFonts w:ascii="Arial" w:eastAsia="Times New Roman" w:hAnsi="Arial" w:cs="Arial"/>
                <w:b/>
                <w:bCs/>
                <w:color w:val="000000" w:themeColor="text1"/>
                <w:sz w:val="20"/>
                <w:szCs w:val="20"/>
              </w:rPr>
              <w:t>4</w:t>
            </w:r>
            <w:r w:rsidRPr="003D1614">
              <w:rPr>
                <w:rFonts w:ascii="Arial" w:eastAsia="Times New Roman" w:hAnsi="Arial" w:cs="Arial"/>
                <w:b/>
                <w:bCs/>
                <w:color w:val="000000" w:themeColor="text1"/>
                <w:sz w:val="20"/>
                <w:szCs w:val="20"/>
              </w:rPr>
              <w:t>.</w:t>
            </w:r>
          </w:p>
        </w:tc>
        <w:tc>
          <w:tcPr>
            <w:tcW w:w="994" w:type="pct"/>
            <w:vAlign w:val="bottom"/>
          </w:tcPr>
          <w:p w14:paraId="27631C50" w14:textId="46D6B1D3" w:rsidR="00A56428" w:rsidRPr="003D1614" w:rsidRDefault="00A56428" w:rsidP="00242B62">
            <w:pPr>
              <w:suppressAutoHyphens/>
              <w:autoSpaceDN w:val="0"/>
              <w:spacing w:line="301" w:lineRule="exact"/>
              <w:jc w:val="right"/>
              <w:outlineLvl w:val="0"/>
              <w:rPr>
                <w:rFonts w:ascii="Arial" w:eastAsia="Times New Roman" w:hAnsi="Arial" w:cs="Arial"/>
                <w:b/>
                <w:bCs/>
                <w:color w:val="000000" w:themeColor="text1"/>
                <w:sz w:val="20"/>
                <w:szCs w:val="20"/>
              </w:rPr>
            </w:pPr>
            <w:bookmarkStart w:id="118" w:name="_Toc67326967"/>
            <w:bookmarkStart w:id="119" w:name="_Toc67326968"/>
            <w:r w:rsidRPr="003D1614">
              <w:rPr>
                <w:rFonts w:ascii="Arial" w:eastAsia="Times New Roman" w:hAnsi="Arial" w:cs="Arial"/>
                <w:b/>
                <w:bCs/>
                <w:color w:val="000000" w:themeColor="text1"/>
                <w:sz w:val="20"/>
                <w:szCs w:val="20"/>
              </w:rPr>
              <w:t>202</w:t>
            </w:r>
            <w:r w:rsidR="00C157F2">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bookmarkEnd w:id="118"/>
            <w:bookmarkEnd w:id="119"/>
          </w:p>
        </w:tc>
      </w:tr>
      <w:tr w:rsidR="00A56428" w:rsidRPr="003D1614" w14:paraId="08ABBD28" w14:textId="77777777" w:rsidTr="00531D68">
        <w:tc>
          <w:tcPr>
            <w:tcW w:w="2555" w:type="pct"/>
            <w:vAlign w:val="bottom"/>
          </w:tcPr>
          <w:p w14:paraId="1EACF2A5" w14:textId="77777777" w:rsidR="00A56428" w:rsidRPr="003D1614" w:rsidRDefault="00A56428" w:rsidP="00242B62">
            <w:pPr>
              <w:tabs>
                <w:tab w:val="right" w:pos="1202"/>
              </w:tabs>
              <w:suppressAutoHyphens/>
              <w:autoSpaceDN w:val="0"/>
              <w:spacing w:line="301" w:lineRule="exact"/>
              <w:outlineLvl w:val="0"/>
              <w:rPr>
                <w:rFonts w:ascii="Arial" w:eastAsia="Times New Roman" w:hAnsi="Arial" w:cs="Arial"/>
                <w:b/>
                <w:bCs/>
                <w:color w:val="000000" w:themeColor="text1"/>
                <w:sz w:val="20"/>
                <w:szCs w:val="20"/>
              </w:rPr>
            </w:pPr>
          </w:p>
        </w:tc>
        <w:tc>
          <w:tcPr>
            <w:tcW w:w="578" w:type="pct"/>
            <w:vAlign w:val="bottom"/>
          </w:tcPr>
          <w:p w14:paraId="6BE56AE5" w14:textId="77777777" w:rsidR="00A56428" w:rsidRPr="003D1614" w:rsidRDefault="00A56428" w:rsidP="00242B62">
            <w:pPr>
              <w:tabs>
                <w:tab w:val="right" w:pos="1202"/>
              </w:tabs>
              <w:suppressAutoHyphens/>
              <w:autoSpaceDN w:val="0"/>
              <w:spacing w:line="301" w:lineRule="exact"/>
              <w:jc w:val="center"/>
              <w:outlineLvl w:val="0"/>
              <w:rPr>
                <w:rFonts w:ascii="Arial" w:eastAsia="Times New Roman" w:hAnsi="Arial" w:cs="Arial"/>
                <w:b/>
                <w:bCs/>
                <w:color w:val="000000" w:themeColor="text1"/>
                <w:spacing w:val="-1"/>
                <w:sz w:val="20"/>
                <w:szCs w:val="20"/>
              </w:rPr>
            </w:pPr>
          </w:p>
        </w:tc>
        <w:tc>
          <w:tcPr>
            <w:tcW w:w="873" w:type="pct"/>
            <w:vAlign w:val="bottom"/>
          </w:tcPr>
          <w:p w14:paraId="5B42D3EB" w14:textId="52211406" w:rsidR="00A56428" w:rsidRPr="003D1614" w:rsidRDefault="00A56428" w:rsidP="00242B62">
            <w:pPr>
              <w:suppressAutoHyphens/>
              <w:autoSpaceDN w:val="0"/>
              <w:spacing w:line="301" w:lineRule="exact"/>
              <w:jc w:val="right"/>
              <w:outlineLvl w:val="0"/>
              <w:rPr>
                <w:rFonts w:ascii="Arial" w:eastAsia="Times New Roman" w:hAnsi="Arial" w:cs="Arial"/>
                <w:b/>
                <w:bCs/>
                <w:color w:val="000000" w:themeColor="text1"/>
                <w:sz w:val="20"/>
                <w:szCs w:val="20"/>
              </w:rPr>
            </w:pPr>
            <w:bookmarkStart w:id="120" w:name="_Toc67326969"/>
            <w:r w:rsidRPr="003D1614">
              <w:rPr>
                <w:rFonts w:ascii="Arial" w:eastAsia="Times New Roman" w:hAnsi="Arial" w:cs="Arial"/>
                <w:b/>
                <w:bCs/>
                <w:color w:val="000000" w:themeColor="text1"/>
                <w:sz w:val="20"/>
                <w:szCs w:val="20"/>
              </w:rPr>
              <w:t xml:space="preserve">000 </w:t>
            </w:r>
            <w:bookmarkEnd w:id="120"/>
            <w:r w:rsidR="00764509" w:rsidRPr="003D1614">
              <w:rPr>
                <w:rFonts w:ascii="Arial" w:eastAsia="Times New Roman" w:hAnsi="Arial" w:cs="Arial"/>
                <w:b/>
                <w:bCs/>
                <w:color w:val="000000" w:themeColor="text1"/>
                <w:sz w:val="20"/>
                <w:szCs w:val="20"/>
              </w:rPr>
              <w:t>eura</w:t>
            </w:r>
          </w:p>
        </w:tc>
        <w:tc>
          <w:tcPr>
            <w:tcW w:w="994" w:type="pct"/>
            <w:vAlign w:val="bottom"/>
          </w:tcPr>
          <w:p w14:paraId="2DC8BA9C" w14:textId="5DA8BAED" w:rsidR="00A56428" w:rsidRPr="003D1614" w:rsidRDefault="00A56428" w:rsidP="00242B62">
            <w:pPr>
              <w:suppressAutoHyphens/>
              <w:autoSpaceDN w:val="0"/>
              <w:spacing w:line="301" w:lineRule="exact"/>
              <w:jc w:val="right"/>
              <w:outlineLvl w:val="0"/>
              <w:rPr>
                <w:rFonts w:ascii="Arial" w:eastAsia="Times New Roman" w:hAnsi="Arial" w:cs="Arial"/>
                <w:b/>
                <w:bCs/>
                <w:color w:val="000000" w:themeColor="text1"/>
                <w:sz w:val="20"/>
                <w:szCs w:val="20"/>
              </w:rPr>
            </w:pPr>
            <w:bookmarkStart w:id="121" w:name="_Toc67326970"/>
            <w:r w:rsidRPr="003D1614">
              <w:rPr>
                <w:rFonts w:ascii="Arial" w:eastAsia="Times New Roman" w:hAnsi="Arial" w:cs="Arial"/>
                <w:b/>
                <w:bCs/>
                <w:color w:val="000000" w:themeColor="text1"/>
                <w:sz w:val="20"/>
                <w:szCs w:val="20"/>
              </w:rPr>
              <w:t xml:space="preserve">000 </w:t>
            </w:r>
            <w:bookmarkEnd w:id="121"/>
            <w:r w:rsidR="00764509" w:rsidRPr="003D1614">
              <w:rPr>
                <w:rFonts w:ascii="Arial" w:eastAsia="Times New Roman" w:hAnsi="Arial" w:cs="Arial"/>
                <w:b/>
                <w:bCs/>
                <w:color w:val="000000" w:themeColor="text1"/>
                <w:sz w:val="20"/>
                <w:szCs w:val="20"/>
              </w:rPr>
              <w:t>eura</w:t>
            </w:r>
          </w:p>
        </w:tc>
      </w:tr>
      <w:tr w:rsidR="00A56428" w:rsidRPr="003D1614" w14:paraId="58BEEA76" w14:textId="77777777" w:rsidTr="00531D68">
        <w:tc>
          <w:tcPr>
            <w:tcW w:w="2555" w:type="pct"/>
            <w:vAlign w:val="bottom"/>
          </w:tcPr>
          <w:p w14:paraId="3F8449C6" w14:textId="77777777" w:rsidR="00A56428" w:rsidRPr="003D1614" w:rsidRDefault="00A56428" w:rsidP="00242B62">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578" w:type="pct"/>
            <w:vAlign w:val="bottom"/>
          </w:tcPr>
          <w:p w14:paraId="510F0B25" w14:textId="77777777" w:rsidR="00A56428" w:rsidRPr="003D1614" w:rsidRDefault="00A56428" w:rsidP="00242B62">
            <w:pPr>
              <w:tabs>
                <w:tab w:val="right" w:pos="1202"/>
              </w:tabs>
              <w:suppressAutoHyphens/>
              <w:autoSpaceDN w:val="0"/>
              <w:spacing w:line="301" w:lineRule="exact"/>
              <w:jc w:val="center"/>
              <w:outlineLvl w:val="0"/>
              <w:rPr>
                <w:rFonts w:ascii="Arial" w:eastAsia="Times New Roman" w:hAnsi="Arial" w:cs="Arial"/>
                <w:b/>
                <w:color w:val="000000" w:themeColor="text1"/>
                <w:spacing w:val="-1"/>
                <w:sz w:val="20"/>
                <w:szCs w:val="20"/>
              </w:rPr>
            </w:pPr>
          </w:p>
        </w:tc>
        <w:tc>
          <w:tcPr>
            <w:tcW w:w="873" w:type="pct"/>
            <w:vAlign w:val="bottom"/>
          </w:tcPr>
          <w:p w14:paraId="492B5897" w14:textId="77777777" w:rsidR="00A56428" w:rsidRPr="003D1614" w:rsidRDefault="00A56428" w:rsidP="00242B62">
            <w:pPr>
              <w:suppressAutoHyphens/>
              <w:autoSpaceDN w:val="0"/>
              <w:spacing w:line="301" w:lineRule="exact"/>
              <w:jc w:val="right"/>
              <w:outlineLvl w:val="0"/>
              <w:rPr>
                <w:rFonts w:ascii="Arial" w:eastAsia="Times New Roman" w:hAnsi="Arial" w:cs="Arial"/>
                <w:b/>
                <w:color w:val="000000" w:themeColor="text1"/>
                <w:sz w:val="20"/>
                <w:szCs w:val="20"/>
              </w:rPr>
            </w:pPr>
          </w:p>
        </w:tc>
        <w:tc>
          <w:tcPr>
            <w:tcW w:w="994" w:type="pct"/>
            <w:vAlign w:val="bottom"/>
          </w:tcPr>
          <w:p w14:paraId="1EF28401" w14:textId="77777777" w:rsidR="00A56428" w:rsidRPr="003D1614" w:rsidRDefault="00A56428" w:rsidP="00242B62">
            <w:pPr>
              <w:suppressAutoHyphens/>
              <w:autoSpaceDN w:val="0"/>
              <w:spacing w:line="301" w:lineRule="exact"/>
              <w:jc w:val="right"/>
              <w:outlineLvl w:val="0"/>
              <w:rPr>
                <w:rFonts w:ascii="Arial" w:eastAsia="Times New Roman" w:hAnsi="Arial" w:cs="Arial"/>
                <w:b/>
                <w:color w:val="000000" w:themeColor="text1"/>
                <w:sz w:val="20"/>
                <w:szCs w:val="20"/>
              </w:rPr>
            </w:pPr>
          </w:p>
        </w:tc>
      </w:tr>
      <w:tr w:rsidR="00C157F2" w:rsidRPr="003D1614" w14:paraId="2CE43F4F" w14:textId="77777777" w:rsidTr="00356744">
        <w:tc>
          <w:tcPr>
            <w:tcW w:w="2555" w:type="pct"/>
            <w:vAlign w:val="bottom"/>
          </w:tcPr>
          <w:p w14:paraId="2F359160" w14:textId="77777777" w:rsidR="00C157F2" w:rsidRPr="003D1614" w:rsidRDefault="00C157F2" w:rsidP="00C157F2">
            <w:pPr>
              <w:tabs>
                <w:tab w:val="right" w:pos="1202"/>
              </w:tabs>
              <w:suppressAutoHyphens/>
              <w:autoSpaceDN w:val="0"/>
              <w:spacing w:line="301" w:lineRule="exact"/>
              <w:outlineLvl w:val="0"/>
              <w:rPr>
                <w:rFonts w:ascii="Arial" w:eastAsia="Times New Roman" w:hAnsi="Arial" w:cs="Arial"/>
                <w:bCs/>
                <w:color w:val="000000" w:themeColor="text1"/>
                <w:sz w:val="20"/>
                <w:szCs w:val="20"/>
              </w:rPr>
            </w:pPr>
            <w:bookmarkStart w:id="122" w:name="_Toc67326971"/>
            <w:r w:rsidRPr="003D1614">
              <w:rPr>
                <w:rFonts w:ascii="Arial" w:eastAsia="Times New Roman" w:hAnsi="Arial" w:cs="Arial"/>
                <w:bCs/>
                <w:color w:val="000000" w:themeColor="text1"/>
                <w:spacing w:val="-2"/>
                <w:sz w:val="20"/>
                <w:szCs w:val="20"/>
              </w:rPr>
              <w:t>Prihodi od kamata izračunati metodom efektivne kamatne stope</w:t>
            </w:r>
            <w:bookmarkEnd w:id="122"/>
          </w:p>
        </w:tc>
        <w:tc>
          <w:tcPr>
            <w:tcW w:w="578" w:type="pct"/>
            <w:vAlign w:val="bottom"/>
          </w:tcPr>
          <w:p w14:paraId="3516E7EB" w14:textId="77777777" w:rsidR="00C157F2" w:rsidRPr="00C94280" w:rsidRDefault="00C157F2" w:rsidP="00C157F2">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bookmarkStart w:id="123" w:name="_Toc67326972"/>
            <w:r w:rsidRPr="00C94280">
              <w:rPr>
                <w:rFonts w:ascii="Arial" w:eastAsia="Times New Roman" w:hAnsi="Arial" w:cs="Arial"/>
                <w:bCs/>
                <w:color w:val="000000" w:themeColor="text1"/>
                <w:sz w:val="20"/>
                <w:szCs w:val="20"/>
              </w:rPr>
              <w:t>5</w:t>
            </w:r>
            <w:bookmarkEnd w:id="123"/>
          </w:p>
        </w:tc>
        <w:tc>
          <w:tcPr>
            <w:tcW w:w="873" w:type="pct"/>
            <w:tcBorders>
              <w:top w:val="nil"/>
              <w:left w:val="nil"/>
              <w:bottom w:val="nil"/>
              <w:right w:val="nil"/>
            </w:tcBorders>
            <w:shd w:val="clear" w:color="auto" w:fill="auto"/>
            <w:vAlign w:val="bottom"/>
          </w:tcPr>
          <w:p w14:paraId="4ACBE641" w14:textId="1DEAEB18" w:rsidR="00C157F2" w:rsidRPr="00356744" w:rsidRDefault="00D0403C" w:rsidP="00C157F2">
            <w:pPr>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27.009</w:t>
            </w:r>
          </w:p>
        </w:tc>
        <w:tc>
          <w:tcPr>
            <w:tcW w:w="994" w:type="pct"/>
            <w:tcBorders>
              <w:top w:val="nil"/>
              <w:left w:val="nil"/>
              <w:bottom w:val="nil"/>
              <w:right w:val="nil"/>
            </w:tcBorders>
            <w:shd w:val="clear" w:color="auto" w:fill="auto"/>
            <w:vAlign w:val="bottom"/>
          </w:tcPr>
          <w:p w14:paraId="0B4D3B2F" w14:textId="199D64F2" w:rsidR="00C157F2" w:rsidRPr="00356744" w:rsidRDefault="00C157F2" w:rsidP="00C157F2">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356744">
              <w:rPr>
                <w:rFonts w:ascii="Arial" w:hAnsi="Arial" w:cs="Arial"/>
                <w:sz w:val="20"/>
                <w:szCs w:val="20"/>
              </w:rPr>
              <w:t xml:space="preserve"> 21.019 </w:t>
            </w:r>
          </w:p>
        </w:tc>
      </w:tr>
      <w:tr w:rsidR="00E05845" w:rsidRPr="003D1614" w14:paraId="3DF39517" w14:textId="77777777" w:rsidTr="005D1219">
        <w:tc>
          <w:tcPr>
            <w:tcW w:w="2555" w:type="pct"/>
            <w:vAlign w:val="bottom"/>
          </w:tcPr>
          <w:p w14:paraId="07463DBC" w14:textId="17B236F7" w:rsidR="00E05845" w:rsidRPr="003D1614" w:rsidRDefault="00E05845" w:rsidP="00E05845">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r>
              <w:rPr>
                <w:rFonts w:ascii="Arial" w:hAnsi="Arial" w:cs="Arial"/>
                <w:sz w:val="20"/>
                <w:szCs w:val="20"/>
              </w:rPr>
              <w:t>Prihod od ukidanja razgraničenja subvencije na teret poslovanja HBOR-a</w:t>
            </w:r>
          </w:p>
        </w:tc>
        <w:tc>
          <w:tcPr>
            <w:tcW w:w="578" w:type="pct"/>
            <w:vAlign w:val="bottom"/>
          </w:tcPr>
          <w:p w14:paraId="2CBB19A2" w14:textId="77777777" w:rsidR="00E05845" w:rsidRPr="00C94280" w:rsidRDefault="00E05845" w:rsidP="00E05845">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p>
        </w:tc>
        <w:tc>
          <w:tcPr>
            <w:tcW w:w="873" w:type="pct"/>
            <w:tcBorders>
              <w:top w:val="nil"/>
              <w:left w:val="nil"/>
              <w:bottom w:val="nil"/>
              <w:right w:val="nil"/>
            </w:tcBorders>
            <w:shd w:val="clear" w:color="auto" w:fill="auto"/>
            <w:vAlign w:val="bottom"/>
          </w:tcPr>
          <w:p w14:paraId="20D32881" w14:textId="3FA37F9D" w:rsidR="00E05845" w:rsidRPr="00356744" w:rsidRDefault="00231874" w:rsidP="00E05845">
            <w:pPr>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139</w:t>
            </w:r>
          </w:p>
        </w:tc>
        <w:tc>
          <w:tcPr>
            <w:tcW w:w="994" w:type="pct"/>
            <w:tcBorders>
              <w:top w:val="nil"/>
              <w:left w:val="nil"/>
              <w:bottom w:val="nil"/>
              <w:right w:val="nil"/>
            </w:tcBorders>
            <w:shd w:val="clear" w:color="auto" w:fill="auto"/>
            <w:vAlign w:val="bottom"/>
          </w:tcPr>
          <w:p w14:paraId="5FC5AFBB" w14:textId="683F3598" w:rsidR="00E05845" w:rsidRPr="00356744" w:rsidRDefault="00231874" w:rsidP="00E05845">
            <w:pPr>
              <w:suppressAutoHyphens/>
              <w:autoSpaceDN w:val="0"/>
              <w:spacing w:line="301" w:lineRule="exact"/>
              <w:jc w:val="right"/>
              <w:outlineLvl w:val="0"/>
              <w:rPr>
                <w:rFonts w:ascii="Arial" w:hAnsi="Arial" w:cs="Arial"/>
                <w:sz w:val="20"/>
                <w:szCs w:val="20"/>
              </w:rPr>
            </w:pPr>
            <w:r>
              <w:rPr>
                <w:rFonts w:ascii="Arial" w:hAnsi="Arial" w:cs="Arial"/>
                <w:sz w:val="20"/>
                <w:szCs w:val="20"/>
              </w:rPr>
              <w:t>-</w:t>
            </w:r>
          </w:p>
        </w:tc>
      </w:tr>
      <w:tr w:rsidR="00E05845" w:rsidRPr="003D1614" w14:paraId="478F9D5E" w14:textId="77777777" w:rsidTr="00356744">
        <w:tc>
          <w:tcPr>
            <w:tcW w:w="2555" w:type="pct"/>
            <w:vAlign w:val="bottom"/>
          </w:tcPr>
          <w:p w14:paraId="4B5D8D3E" w14:textId="77777777" w:rsidR="00E05845" w:rsidRPr="003D1614" w:rsidRDefault="00E05845" w:rsidP="00E05845">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24" w:name="_Toc67326975"/>
            <w:r w:rsidRPr="003D1614">
              <w:rPr>
                <w:rFonts w:ascii="Arial" w:eastAsia="Times New Roman" w:hAnsi="Arial" w:cs="Arial"/>
                <w:bCs/>
                <w:color w:val="000000" w:themeColor="text1"/>
                <w:spacing w:val="-2"/>
                <w:sz w:val="20"/>
                <w:szCs w:val="20"/>
              </w:rPr>
              <w:t>Rashodi od kamata</w:t>
            </w:r>
            <w:bookmarkEnd w:id="124"/>
          </w:p>
        </w:tc>
        <w:tc>
          <w:tcPr>
            <w:tcW w:w="578" w:type="pct"/>
            <w:vAlign w:val="bottom"/>
          </w:tcPr>
          <w:p w14:paraId="5F0071AB" w14:textId="77777777" w:rsidR="00E05845" w:rsidRPr="00C94280" w:rsidRDefault="00E05845" w:rsidP="00E05845">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25" w:name="_Toc67326976"/>
            <w:r w:rsidRPr="00C94280">
              <w:rPr>
                <w:rFonts w:ascii="Arial" w:eastAsia="Times New Roman" w:hAnsi="Arial" w:cs="Arial"/>
                <w:bCs/>
                <w:color w:val="000000" w:themeColor="text1"/>
                <w:spacing w:val="-2"/>
                <w:sz w:val="20"/>
                <w:szCs w:val="20"/>
              </w:rPr>
              <w:t>6</w:t>
            </w:r>
            <w:bookmarkEnd w:id="125"/>
          </w:p>
        </w:tc>
        <w:tc>
          <w:tcPr>
            <w:tcW w:w="873" w:type="pct"/>
            <w:tcBorders>
              <w:top w:val="nil"/>
              <w:left w:val="nil"/>
              <w:bottom w:val="nil"/>
              <w:right w:val="nil"/>
            </w:tcBorders>
            <w:shd w:val="clear" w:color="auto" w:fill="auto"/>
          </w:tcPr>
          <w:p w14:paraId="2F158769" w14:textId="63242E8E" w:rsidR="00E05845" w:rsidRPr="00356744" w:rsidRDefault="00231874" w:rsidP="00E05845">
            <w:pPr>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(10.074)</w:t>
            </w:r>
          </w:p>
        </w:tc>
        <w:tc>
          <w:tcPr>
            <w:tcW w:w="994" w:type="pct"/>
            <w:tcBorders>
              <w:top w:val="nil"/>
              <w:left w:val="nil"/>
              <w:bottom w:val="nil"/>
              <w:right w:val="nil"/>
            </w:tcBorders>
            <w:shd w:val="clear" w:color="auto" w:fill="auto"/>
          </w:tcPr>
          <w:p w14:paraId="67F89C43" w14:textId="2F21A888" w:rsidR="00E05845" w:rsidRPr="00356744" w:rsidRDefault="00E05845" w:rsidP="00E05845">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356744">
              <w:rPr>
                <w:rFonts w:ascii="Arial" w:hAnsi="Arial" w:cs="Arial"/>
                <w:sz w:val="20"/>
                <w:szCs w:val="20"/>
              </w:rPr>
              <w:t xml:space="preserve"> (5.776)</w:t>
            </w:r>
          </w:p>
        </w:tc>
      </w:tr>
      <w:tr w:rsidR="00E05845" w:rsidRPr="00356744" w14:paraId="6CFEA103" w14:textId="77777777" w:rsidTr="00356744">
        <w:tc>
          <w:tcPr>
            <w:tcW w:w="2555" w:type="pct"/>
            <w:vAlign w:val="bottom"/>
          </w:tcPr>
          <w:p w14:paraId="6B94EF9E" w14:textId="77777777" w:rsidR="00E05845" w:rsidRPr="003D1614" w:rsidRDefault="00E05845" w:rsidP="00E05845">
            <w:pPr>
              <w:tabs>
                <w:tab w:val="right" w:pos="1202"/>
              </w:tabs>
              <w:suppressAutoHyphens/>
              <w:autoSpaceDN w:val="0"/>
              <w:spacing w:line="340" w:lineRule="exact"/>
              <w:outlineLvl w:val="0"/>
              <w:rPr>
                <w:rFonts w:ascii="Arial" w:eastAsia="Times New Roman" w:hAnsi="Arial" w:cs="Arial"/>
                <w:b/>
                <w:bCs/>
                <w:color w:val="000000" w:themeColor="text1"/>
                <w:sz w:val="20"/>
                <w:szCs w:val="20"/>
                <w:vertAlign w:val="superscript"/>
              </w:rPr>
            </w:pPr>
            <w:bookmarkStart w:id="126" w:name="_Toc67326979"/>
            <w:r w:rsidRPr="003D1614">
              <w:rPr>
                <w:rFonts w:ascii="Arial" w:eastAsia="Times New Roman" w:hAnsi="Arial" w:cs="Arial"/>
                <w:b/>
                <w:bCs/>
                <w:color w:val="000000" w:themeColor="text1"/>
                <w:sz w:val="20"/>
                <w:szCs w:val="20"/>
              </w:rPr>
              <w:t>Neto prihod od kamata</w:t>
            </w:r>
            <w:bookmarkEnd w:id="126"/>
          </w:p>
        </w:tc>
        <w:tc>
          <w:tcPr>
            <w:tcW w:w="578" w:type="pct"/>
            <w:vAlign w:val="bottom"/>
          </w:tcPr>
          <w:p w14:paraId="4BB983BF" w14:textId="77777777" w:rsidR="00E05845" w:rsidRPr="00C94280" w:rsidRDefault="00E05845" w:rsidP="00E05845">
            <w:pPr>
              <w:tabs>
                <w:tab w:val="right" w:pos="1202"/>
              </w:tabs>
              <w:suppressAutoHyphens/>
              <w:autoSpaceDN w:val="0"/>
              <w:spacing w:line="340" w:lineRule="exact"/>
              <w:jc w:val="center"/>
              <w:outlineLvl w:val="0"/>
              <w:rPr>
                <w:rFonts w:ascii="Arial" w:eastAsia="Times New Roman" w:hAnsi="Arial" w:cs="Arial"/>
                <w:bCs/>
                <w:color w:val="000000" w:themeColor="text1"/>
                <w:sz w:val="20"/>
                <w:szCs w:val="20"/>
              </w:rPr>
            </w:pPr>
          </w:p>
        </w:tc>
        <w:tc>
          <w:tcPr>
            <w:tcW w:w="873" w:type="pct"/>
            <w:tcBorders>
              <w:top w:val="single" w:sz="4" w:space="0" w:color="auto"/>
              <w:bottom w:val="single" w:sz="12" w:space="0" w:color="auto"/>
            </w:tcBorders>
          </w:tcPr>
          <w:p w14:paraId="27002043" w14:textId="6A458F65" w:rsidR="00E05845" w:rsidRPr="00356744" w:rsidRDefault="00231874" w:rsidP="00E05845">
            <w:pPr>
              <w:suppressAutoHyphens/>
              <w:autoSpaceDN w:val="0"/>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17.074</w:t>
            </w:r>
          </w:p>
        </w:tc>
        <w:tc>
          <w:tcPr>
            <w:tcW w:w="994" w:type="pct"/>
            <w:tcBorders>
              <w:top w:val="single" w:sz="4" w:space="0" w:color="auto"/>
              <w:bottom w:val="single" w:sz="12" w:space="0" w:color="auto"/>
            </w:tcBorders>
          </w:tcPr>
          <w:p w14:paraId="4AE27711" w14:textId="159F2DBC" w:rsidR="00E05845" w:rsidRPr="00356744" w:rsidRDefault="00E05845" w:rsidP="00E05845">
            <w:pPr>
              <w:suppressAutoHyphens/>
              <w:autoSpaceDN w:val="0"/>
              <w:spacing w:line="340" w:lineRule="exact"/>
              <w:jc w:val="right"/>
              <w:outlineLvl w:val="0"/>
              <w:rPr>
                <w:rFonts w:ascii="Arial" w:eastAsia="Times New Roman" w:hAnsi="Arial" w:cs="Arial"/>
                <w:b/>
                <w:bCs/>
                <w:color w:val="000000" w:themeColor="text1"/>
                <w:spacing w:val="-2"/>
                <w:sz w:val="20"/>
                <w:szCs w:val="20"/>
              </w:rPr>
            </w:pPr>
            <w:r w:rsidRPr="00356744">
              <w:rPr>
                <w:rFonts w:ascii="Arial" w:hAnsi="Arial" w:cs="Arial"/>
                <w:b/>
                <w:bCs/>
                <w:sz w:val="20"/>
                <w:szCs w:val="20"/>
              </w:rPr>
              <w:t xml:space="preserve"> 15.243 </w:t>
            </w:r>
          </w:p>
        </w:tc>
      </w:tr>
      <w:tr w:rsidR="00E05845" w:rsidRPr="003D1614" w14:paraId="2CED0001" w14:textId="77777777" w:rsidTr="00531D68">
        <w:tc>
          <w:tcPr>
            <w:tcW w:w="2555" w:type="pct"/>
            <w:vAlign w:val="bottom"/>
          </w:tcPr>
          <w:p w14:paraId="7F73E81F" w14:textId="77777777" w:rsidR="00E05845" w:rsidRPr="003D1614" w:rsidRDefault="00E05845" w:rsidP="00E05845">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p>
        </w:tc>
        <w:tc>
          <w:tcPr>
            <w:tcW w:w="578" w:type="pct"/>
            <w:vAlign w:val="bottom"/>
          </w:tcPr>
          <w:p w14:paraId="1C9CED2B" w14:textId="77777777" w:rsidR="00E05845" w:rsidRPr="00C94280" w:rsidRDefault="00E05845" w:rsidP="00E05845">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p>
        </w:tc>
        <w:tc>
          <w:tcPr>
            <w:tcW w:w="873" w:type="pct"/>
            <w:tcBorders>
              <w:top w:val="single" w:sz="12" w:space="0" w:color="auto"/>
            </w:tcBorders>
            <w:vAlign w:val="bottom"/>
          </w:tcPr>
          <w:p w14:paraId="4B43407F" w14:textId="77777777" w:rsidR="00E05845" w:rsidRPr="003D1614" w:rsidRDefault="00E05845" w:rsidP="00E05845">
            <w:pPr>
              <w:suppressAutoHyphens/>
              <w:autoSpaceDN w:val="0"/>
              <w:spacing w:line="301" w:lineRule="exact"/>
              <w:jc w:val="right"/>
              <w:outlineLvl w:val="0"/>
              <w:rPr>
                <w:rFonts w:ascii="Arial" w:eastAsia="Times New Roman" w:hAnsi="Arial" w:cs="Arial"/>
                <w:bCs/>
                <w:color w:val="000000" w:themeColor="text1"/>
                <w:spacing w:val="-2"/>
                <w:sz w:val="20"/>
                <w:szCs w:val="20"/>
              </w:rPr>
            </w:pPr>
          </w:p>
        </w:tc>
        <w:tc>
          <w:tcPr>
            <w:tcW w:w="994" w:type="pct"/>
            <w:tcBorders>
              <w:top w:val="single" w:sz="12" w:space="0" w:color="auto"/>
            </w:tcBorders>
            <w:vAlign w:val="bottom"/>
          </w:tcPr>
          <w:p w14:paraId="6E0E129D" w14:textId="77777777" w:rsidR="00E05845" w:rsidRPr="003D1614" w:rsidRDefault="00E05845" w:rsidP="00E05845">
            <w:pPr>
              <w:suppressAutoHyphens/>
              <w:autoSpaceDN w:val="0"/>
              <w:spacing w:line="301" w:lineRule="exact"/>
              <w:jc w:val="right"/>
              <w:outlineLvl w:val="0"/>
              <w:rPr>
                <w:rFonts w:ascii="Arial" w:eastAsia="Times New Roman" w:hAnsi="Arial" w:cs="Arial"/>
                <w:bCs/>
                <w:color w:val="000000" w:themeColor="text1"/>
                <w:spacing w:val="-2"/>
                <w:sz w:val="20"/>
                <w:szCs w:val="20"/>
              </w:rPr>
            </w:pPr>
          </w:p>
        </w:tc>
      </w:tr>
      <w:tr w:rsidR="00E05845" w:rsidRPr="003D1614" w14:paraId="3CB47184" w14:textId="77777777" w:rsidTr="00356744">
        <w:tc>
          <w:tcPr>
            <w:tcW w:w="2555" w:type="pct"/>
            <w:vAlign w:val="bottom"/>
          </w:tcPr>
          <w:p w14:paraId="1B2600A8" w14:textId="77777777" w:rsidR="00E05845" w:rsidRPr="003D1614" w:rsidRDefault="00E05845" w:rsidP="00E05845">
            <w:pPr>
              <w:tabs>
                <w:tab w:val="right" w:pos="1202"/>
              </w:tabs>
              <w:suppressAutoHyphens/>
              <w:autoSpaceDN w:val="0"/>
              <w:spacing w:line="301" w:lineRule="exact"/>
              <w:outlineLvl w:val="0"/>
              <w:rPr>
                <w:rFonts w:ascii="Arial" w:eastAsia="Times New Roman" w:hAnsi="Arial" w:cs="Arial"/>
                <w:bCs/>
                <w:color w:val="000000" w:themeColor="text1"/>
                <w:sz w:val="20"/>
                <w:szCs w:val="20"/>
              </w:rPr>
            </w:pPr>
            <w:bookmarkStart w:id="127" w:name="_Toc67326982"/>
            <w:r w:rsidRPr="003D1614">
              <w:rPr>
                <w:rFonts w:ascii="Arial" w:eastAsia="Times New Roman" w:hAnsi="Arial" w:cs="Arial"/>
                <w:bCs/>
                <w:color w:val="000000" w:themeColor="text1"/>
                <w:spacing w:val="-2"/>
                <w:sz w:val="20"/>
                <w:szCs w:val="20"/>
              </w:rPr>
              <w:t>Prihodi od naknada i provizija</w:t>
            </w:r>
            <w:bookmarkEnd w:id="127"/>
          </w:p>
        </w:tc>
        <w:tc>
          <w:tcPr>
            <w:tcW w:w="578" w:type="pct"/>
            <w:vAlign w:val="bottom"/>
          </w:tcPr>
          <w:p w14:paraId="1BF3DBCA" w14:textId="35B89C16" w:rsidR="00E05845" w:rsidRPr="00C94280" w:rsidRDefault="00E05845" w:rsidP="00E05845">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p>
        </w:tc>
        <w:tc>
          <w:tcPr>
            <w:tcW w:w="873" w:type="pct"/>
            <w:tcBorders>
              <w:top w:val="nil"/>
              <w:left w:val="nil"/>
              <w:bottom w:val="nil"/>
              <w:right w:val="nil"/>
            </w:tcBorders>
            <w:shd w:val="clear" w:color="auto" w:fill="auto"/>
            <w:vAlign w:val="bottom"/>
          </w:tcPr>
          <w:p w14:paraId="7543950B" w14:textId="459E5EF1" w:rsidR="00E05845" w:rsidRPr="00356744" w:rsidRDefault="00231874" w:rsidP="00E05845">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489</w:t>
            </w:r>
          </w:p>
        </w:tc>
        <w:tc>
          <w:tcPr>
            <w:tcW w:w="994" w:type="pct"/>
            <w:tcBorders>
              <w:top w:val="nil"/>
              <w:left w:val="nil"/>
              <w:bottom w:val="nil"/>
              <w:right w:val="nil"/>
            </w:tcBorders>
            <w:shd w:val="clear" w:color="auto" w:fill="auto"/>
            <w:vAlign w:val="bottom"/>
          </w:tcPr>
          <w:p w14:paraId="3CB9BDD5" w14:textId="1F9AE434" w:rsidR="00E05845" w:rsidRPr="00356744" w:rsidRDefault="00E05845" w:rsidP="00E05845">
            <w:pPr>
              <w:suppressAutoHyphens/>
              <w:autoSpaceDN w:val="0"/>
              <w:jc w:val="right"/>
              <w:rPr>
                <w:rFonts w:ascii="Arial" w:eastAsia="Arial Unicode MS" w:hAnsi="Arial" w:cs="Arial"/>
                <w:color w:val="000000" w:themeColor="text1"/>
                <w:sz w:val="20"/>
                <w:szCs w:val="20"/>
              </w:rPr>
            </w:pPr>
            <w:r w:rsidRPr="00356744">
              <w:rPr>
                <w:rFonts w:ascii="Arial" w:hAnsi="Arial" w:cs="Arial"/>
                <w:sz w:val="20"/>
                <w:szCs w:val="20"/>
              </w:rPr>
              <w:t xml:space="preserve"> 1.633 </w:t>
            </w:r>
          </w:p>
        </w:tc>
      </w:tr>
      <w:tr w:rsidR="00E05845" w:rsidRPr="003D1614" w14:paraId="1343E87F" w14:textId="77777777" w:rsidTr="00356744">
        <w:trPr>
          <w:trHeight w:val="333"/>
        </w:trPr>
        <w:tc>
          <w:tcPr>
            <w:tcW w:w="2555" w:type="pct"/>
            <w:vAlign w:val="bottom"/>
          </w:tcPr>
          <w:p w14:paraId="7173A653" w14:textId="77777777" w:rsidR="00E05845" w:rsidRPr="003D1614" w:rsidRDefault="00E05845" w:rsidP="00E05845">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28" w:name="_Toc67326984"/>
            <w:r w:rsidRPr="003D1614">
              <w:rPr>
                <w:rFonts w:ascii="Arial" w:eastAsia="Times New Roman" w:hAnsi="Arial" w:cs="Arial"/>
                <w:bCs/>
                <w:color w:val="000000" w:themeColor="text1"/>
                <w:spacing w:val="-2"/>
                <w:sz w:val="20"/>
                <w:szCs w:val="20"/>
              </w:rPr>
              <w:t>Rashodi od naknada i provizija</w:t>
            </w:r>
            <w:bookmarkEnd w:id="128"/>
          </w:p>
        </w:tc>
        <w:tc>
          <w:tcPr>
            <w:tcW w:w="578" w:type="pct"/>
            <w:vAlign w:val="bottom"/>
          </w:tcPr>
          <w:p w14:paraId="7CC0A207" w14:textId="545DEC59" w:rsidR="00E05845" w:rsidRPr="00C94280" w:rsidRDefault="00E05845" w:rsidP="00E05845">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p>
        </w:tc>
        <w:tc>
          <w:tcPr>
            <w:tcW w:w="873" w:type="pct"/>
            <w:tcBorders>
              <w:top w:val="nil"/>
              <w:left w:val="nil"/>
              <w:bottom w:val="nil"/>
              <w:right w:val="nil"/>
            </w:tcBorders>
            <w:shd w:val="clear" w:color="auto" w:fill="auto"/>
            <w:vAlign w:val="bottom"/>
          </w:tcPr>
          <w:p w14:paraId="0514EBB2" w14:textId="32B39811" w:rsidR="00E05845" w:rsidRPr="00356744" w:rsidRDefault="00231874" w:rsidP="00E05845">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(219)</w:t>
            </w:r>
          </w:p>
        </w:tc>
        <w:tc>
          <w:tcPr>
            <w:tcW w:w="994" w:type="pct"/>
            <w:tcBorders>
              <w:top w:val="nil"/>
              <w:left w:val="nil"/>
              <w:bottom w:val="nil"/>
              <w:right w:val="nil"/>
            </w:tcBorders>
            <w:shd w:val="clear" w:color="auto" w:fill="auto"/>
            <w:vAlign w:val="bottom"/>
          </w:tcPr>
          <w:p w14:paraId="0EA2B69A" w14:textId="42ECB4ED" w:rsidR="00E05845" w:rsidRPr="00356744" w:rsidRDefault="00E05845" w:rsidP="00E05845">
            <w:pPr>
              <w:suppressAutoHyphens/>
              <w:autoSpaceDN w:val="0"/>
              <w:jc w:val="right"/>
              <w:rPr>
                <w:rFonts w:ascii="Arial" w:eastAsia="Arial Unicode MS" w:hAnsi="Arial" w:cs="Arial"/>
                <w:color w:val="000000" w:themeColor="text1"/>
                <w:sz w:val="20"/>
                <w:szCs w:val="20"/>
              </w:rPr>
            </w:pPr>
            <w:r w:rsidRPr="00356744">
              <w:rPr>
                <w:rFonts w:ascii="Arial" w:hAnsi="Arial" w:cs="Arial"/>
                <w:sz w:val="20"/>
                <w:szCs w:val="20"/>
              </w:rPr>
              <w:t xml:space="preserve"> (241)</w:t>
            </w:r>
          </w:p>
        </w:tc>
      </w:tr>
      <w:tr w:rsidR="00E05845" w:rsidRPr="003D1614" w14:paraId="037B6128" w14:textId="77777777" w:rsidTr="00356744">
        <w:tc>
          <w:tcPr>
            <w:tcW w:w="2555" w:type="pct"/>
            <w:vAlign w:val="bottom"/>
          </w:tcPr>
          <w:p w14:paraId="2F3B0C9B" w14:textId="77777777" w:rsidR="00E05845" w:rsidRPr="003D1614" w:rsidRDefault="00E05845" w:rsidP="00E05845">
            <w:pPr>
              <w:tabs>
                <w:tab w:val="right" w:pos="1202"/>
              </w:tabs>
              <w:suppressAutoHyphens/>
              <w:autoSpaceDN w:val="0"/>
              <w:spacing w:line="340" w:lineRule="exact"/>
              <w:outlineLvl w:val="0"/>
              <w:rPr>
                <w:rFonts w:ascii="Arial" w:eastAsia="Times New Roman" w:hAnsi="Arial" w:cs="Arial"/>
                <w:b/>
                <w:bCs/>
                <w:color w:val="000000" w:themeColor="text1"/>
                <w:sz w:val="20"/>
                <w:szCs w:val="20"/>
                <w:vertAlign w:val="superscript"/>
              </w:rPr>
            </w:pPr>
            <w:bookmarkStart w:id="129" w:name="_Toc67326986"/>
            <w:r w:rsidRPr="003D1614">
              <w:rPr>
                <w:rFonts w:ascii="Arial" w:eastAsia="Times New Roman" w:hAnsi="Arial" w:cs="Arial"/>
                <w:b/>
                <w:bCs/>
                <w:color w:val="000000" w:themeColor="text1"/>
                <w:sz w:val="20"/>
                <w:szCs w:val="20"/>
              </w:rPr>
              <w:t>Neto prihod od naknada i provizija</w:t>
            </w:r>
            <w:bookmarkEnd w:id="129"/>
          </w:p>
        </w:tc>
        <w:tc>
          <w:tcPr>
            <w:tcW w:w="578" w:type="pct"/>
            <w:vAlign w:val="bottom"/>
          </w:tcPr>
          <w:p w14:paraId="075F6031" w14:textId="77777777" w:rsidR="00E05845" w:rsidRPr="00C94280" w:rsidRDefault="00E05845" w:rsidP="00E05845">
            <w:pPr>
              <w:tabs>
                <w:tab w:val="right" w:pos="1202"/>
              </w:tabs>
              <w:suppressAutoHyphens/>
              <w:autoSpaceDN w:val="0"/>
              <w:spacing w:line="340" w:lineRule="exact"/>
              <w:jc w:val="center"/>
              <w:outlineLvl w:val="0"/>
              <w:rPr>
                <w:rFonts w:ascii="Arial" w:eastAsia="Times New Roman" w:hAnsi="Arial" w:cs="Arial"/>
                <w:bCs/>
                <w:color w:val="000000" w:themeColor="text1"/>
                <w:sz w:val="20"/>
                <w:szCs w:val="20"/>
              </w:rPr>
            </w:pPr>
          </w:p>
        </w:tc>
        <w:tc>
          <w:tcPr>
            <w:tcW w:w="873" w:type="pct"/>
            <w:tcBorders>
              <w:top w:val="single" w:sz="4" w:space="0" w:color="auto"/>
              <w:bottom w:val="single" w:sz="12" w:space="0" w:color="auto"/>
            </w:tcBorders>
            <w:vAlign w:val="bottom"/>
          </w:tcPr>
          <w:p w14:paraId="70F9EF05" w14:textId="4202F7D4" w:rsidR="00E05845" w:rsidRPr="00356744" w:rsidRDefault="009C05A7" w:rsidP="00E05845">
            <w:pPr>
              <w:suppressAutoHyphens/>
              <w:autoSpaceDN w:val="0"/>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270</w:t>
            </w:r>
          </w:p>
        </w:tc>
        <w:tc>
          <w:tcPr>
            <w:tcW w:w="994" w:type="pct"/>
            <w:tcBorders>
              <w:top w:val="single" w:sz="4" w:space="0" w:color="auto"/>
              <w:bottom w:val="single" w:sz="12" w:space="0" w:color="auto"/>
            </w:tcBorders>
            <w:vAlign w:val="bottom"/>
          </w:tcPr>
          <w:p w14:paraId="3F538E00" w14:textId="3FCFC292" w:rsidR="00E05845" w:rsidRPr="00356744" w:rsidRDefault="00E05845" w:rsidP="00E05845">
            <w:pPr>
              <w:suppressAutoHyphens/>
              <w:autoSpaceDN w:val="0"/>
              <w:spacing w:line="340" w:lineRule="exact"/>
              <w:jc w:val="right"/>
              <w:outlineLvl w:val="0"/>
              <w:rPr>
                <w:rFonts w:ascii="Arial" w:eastAsia="Times New Roman" w:hAnsi="Arial" w:cs="Arial"/>
                <w:b/>
                <w:bCs/>
                <w:color w:val="000000" w:themeColor="text1"/>
                <w:spacing w:val="-2"/>
                <w:sz w:val="20"/>
                <w:szCs w:val="20"/>
              </w:rPr>
            </w:pPr>
            <w:r w:rsidRPr="00356744">
              <w:rPr>
                <w:rFonts w:ascii="Arial" w:hAnsi="Arial" w:cs="Arial"/>
                <w:b/>
                <w:bCs/>
                <w:sz w:val="20"/>
                <w:szCs w:val="20"/>
              </w:rPr>
              <w:t xml:space="preserve"> 1.392 </w:t>
            </w:r>
          </w:p>
        </w:tc>
      </w:tr>
      <w:tr w:rsidR="00E05845" w:rsidRPr="003D1614" w14:paraId="699B2962" w14:textId="77777777" w:rsidTr="00531D68">
        <w:tc>
          <w:tcPr>
            <w:tcW w:w="2555" w:type="pct"/>
            <w:vAlign w:val="bottom"/>
          </w:tcPr>
          <w:p w14:paraId="2F4AF620" w14:textId="77777777" w:rsidR="00E05845" w:rsidRPr="003D1614" w:rsidRDefault="00E05845" w:rsidP="00E05845">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578" w:type="pct"/>
            <w:vAlign w:val="bottom"/>
          </w:tcPr>
          <w:p w14:paraId="69D1051C" w14:textId="77777777" w:rsidR="00E05845" w:rsidRPr="00C94280" w:rsidRDefault="00E05845" w:rsidP="00E05845">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p>
        </w:tc>
        <w:tc>
          <w:tcPr>
            <w:tcW w:w="873" w:type="pct"/>
            <w:tcBorders>
              <w:top w:val="single" w:sz="12" w:space="0" w:color="auto"/>
            </w:tcBorders>
            <w:vAlign w:val="bottom"/>
          </w:tcPr>
          <w:p w14:paraId="12BDFB0F" w14:textId="77777777" w:rsidR="00E05845" w:rsidRPr="003D1614" w:rsidRDefault="00E05845" w:rsidP="00E05845">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994" w:type="pct"/>
            <w:tcBorders>
              <w:top w:val="single" w:sz="12" w:space="0" w:color="auto"/>
            </w:tcBorders>
            <w:vAlign w:val="bottom"/>
          </w:tcPr>
          <w:p w14:paraId="1D5539E8" w14:textId="77777777" w:rsidR="00E05845" w:rsidRPr="003D1614" w:rsidRDefault="00E05845" w:rsidP="00E05845">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r>
      <w:tr w:rsidR="00E05845" w:rsidRPr="00356744" w14:paraId="0C7E55F8" w14:textId="77777777" w:rsidTr="00356744">
        <w:tc>
          <w:tcPr>
            <w:tcW w:w="2555" w:type="pct"/>
            <w:vAlign w:val="bottom"/>
          </w:tcPr>
          <w:p w14:paraId="008F85F9" w14:textId="77777777" w:rsidR="00E05845" w:rsidRPr="00356744" w:rsidRDefault="00E05845" w:rsidP="00E05845">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130" w:name="_Toc67326989"/>
            <w:r w:rsidRPr="00356744">
              <w:rPr>
                <w:rFonts w:ascii="Arial" w:eastAsia="Times New Roman" w:hAnsi="Arial" w:cs="Arial"/>
                <w:color w:val="000000" w:themeColor="text1"/>
                <w:sz w:val="20"/>
                <w:szCs w:val="20"/>
              </w:rPr>
              <w:t>Neto prihodi/(rashodi) od financijskih aktivnosti</w:t>
            </w:r>
            <w:bookmarkEnd w:id="130"/>
            <w:r w:rsidRPr="00356744">
              <w:rPr>
                <w:rFonts w:ascii="Arial" w:eastAsia="Times New Roman" w:hAnsi="Arial" w:cs="Arial"/>
                <w:color w:val="000000" w:themeColor="text1"/>
                <w:sz w:val="20"/>
                <w:szCs w:val="20"/>
              </w:rPr>
              <w:t xml:space="preserve"> </w:t>
            </w:r>
          </w:p>
        </w:tc>
        <w:tc>
          <w:tcPr>
            <w:tcW w:w="578" w:type="pct"/>
            <w:vAlign w:val="bottom"/>
          </w:tcPr>
          <w:p w14:paraId="1D134E1E" w14:textId="7101318D" w:rsidR="00E05845" w:rsidRPr="00C94280" w:rsidRDefault="00E05845" w:rsidP="00E05845">
            <w:pPr>
              <w:tabs>
                <w:tab w:val="right" w:pos="1202"/>
              </w:tabs>
              <w:suppressAutoHyphens/>
              <w:autoSpaceDN w:val="0"/>
              <w:spacing w:line="301" w:lineRule="exact"/>
              <w:jc w:val="center"/>
              <w:outlineLvl w:val="0"/>
              <w:rPr>
                <w:rFonts w:ascii="Arial" w:eastAsia="Times New Roman" w:hAnsi="Arial" w:cs="Arial"/>
                <w:bCs/>
                <w:color w:val="000000" w:themeColor="text1"/>
                <w:sz w:val="20"/>
                <w:szCs w:val="20"/>
              </w:rPr>
            </w:pPr>
          </w:p>
        </w:tc>
        <w:tc>
          <w:tcPr>
            <w:tcW w:w="873" w:type="pct"/>
            <w:tcBorders>
              <w:top w:val="nil"/>
              <w:left w:val="nil"/>
              <w:bottom w:val="nil"/>
              <w:right w:val="nil"/>
            </w:tcBorders>
            <w:shd w:val="clear" w:color="auto" w:fill="auto"/>
          </w:tcPr>
          <w:p w14:paraId="08A89245" w14:textId="79001594" w:rsidR="00E05845" w:rsidRPr="00356744" w:rsidRDefault="009C05A7" w:rsidP="00E05845">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w:t>
            </w:r>
          </w:p>
        </w:tc>
        <w:tc>
          <w:tcPr>
            <w:tcW w:w="994" w:type="pct"/>
            <w:tcBorders>
              <w:top w:val="nil"/>
              <w:left w:val="nil"/>
              <w:bottom w:val="nil"/>
              <w:right w:val="nil"/>
            </w:tcBorders>
            <w:shd w:val="clear" w:color="auto" w:fill="auto"/>
          </w:tcPr>
          <w:p w14:paraId="460016FA" w14:textId="57CFF846" w:rsidR="00E05845" w:rsidRPr="00356744" w:rsidRDefault="00E05845" w:rsidP="00E05845">
            <w:pPr>
              <w:tabs>
                <w:tab w:val="right" w:pos="1202"/>
              </w:tabs>
              <w:suppressAutoHyphens/>
              <w:autoSpaceDN w:val="0"/>
              <w:spacing w:line="301" w:lineRule="exact"/>
              <w:jc w:val="right"/>
              <w:outlineLvl w:val="0"/>
              <w:rPr>
                <w:rFonts w:ascii="Arial" w:eastAsia="Times New Roman" w:hAnsi="Arial" w:cs="Arial"/>
                <w:bCs/>
                <w:color w:val="000000" w:themeColor="text1"/>
                <w:spacing w:val="-2"/>
                <w:sz w:val="20"/>
                <w:szCs w:val="20"/>
              </w:rPr>
            </w:pPr>
            <w:r w:rsidRPr="00356744">
              <w:rPr>
                <w:rFonts w:ascii="Arial" w:hAnsi="Arial" w:cs="Arial"/>
                <w:sz w:val="20"/>
                <w:szCs w:val="20"/>
              </w:rPr>
              <w:t xml:space="preserve"> 2.467 </w:t>
            </w:r>
          </w:p>
        </w:tc>
      </w:tr>
      <w:tr w:rsidR="00E05845" w:rsidRPr="00356744" w14:paraId="262FCA87" w14:textId="77777777" w:rsidTr="00356744">
        <w:tc>
          <w:tcPr>
            <w:tcW w:w="2555" w:type="pct"/>
            <w:vAlign w:val="bottom"/>
          </w:tcPr>
          <w:p w14:paraId="65B4BE7E" w14:textId="77777777" w:rsidR="00E05845" w:rsidRPr="00356744" w:rsidRDefault="00E05845" w:rsidP="00E05845">
            <w:pPr>
              <w:tabs>
                <w:tab w:val="right" w:pos="1202"/>
              </w:tabs>
              <w:suppressAutoHyphens/>
              <w:autoSpaceDN w:val="0"/>
              <w:spacing w:line="340" w:lineRule="exact"/>
              <w:outlineLvl w:val="0"/>
              <w:rPr>
                <w:rFonts w:ascii="Arial" w:eastAsia="Times New Roman" w:hAnsi="Arial" w:cs="Arial"/>
                <w:color w:val="000000" w:themeColor="text1"/>
                <w:sz w:val="20"/>
                <w:szCs w:val="20"/>
              </w:rPr>
            </w:pPr>
            <w:bookmarkStart w:id="131" w:name="_Toc67326993"/>
            <w:r w:rsidRPr="00356744">
              <w:rPr>
                <w:rFonts w:ascii="Arial" w:eastAsia="Times New Roman" w:hAnsi="Arial" w:cs="Arial"/>
                <w:color w:val="000000" w:themeColor="text1"/>
                <w:sz w:val="20"/>
                <w:szCs w:val="20"/>
              </w:rPr>
              <w:t>Ostali prihodi</w:t>
            </w:r>
            <w:bookmarkEnd w:id="131"/>
          </w:p>
        </w:tc>
        <w:tc>
          <w:tcPr>
            <w:tcW w:w="578" w:type="pct"/>
            <w:vAlign w:val="bottom"/>
          </w:tcPr>
          <w:p w14:paraId="61FCD8D7" w14:textId="77777777" w:rsidR="00E05845" w:rsidRPr="00C94280" w:rsidRDefault="00E05845" w:rsidP="00E05845">
            <w:pPr>
              <w:tabs>
                <w:tab w:val="right" w:pos="1202"/>
              </w:tabs>
              <w:suppressAutoHyphens/>
              <w:autoSpaceDN w:val="0"/>
              <w:spacing w:line="340" w:lineRule="exact"/>
              <w:jc w:val="center"/>
              <w:outlineLvl w:val="0"/>
              <w:rPr>
                <w:rFonts w:ascii="Arial" w:eastAsia="Times New Roman" w:hAnsi="Arial" w:cs="Arial"/>
                <w:bCs/>
                <w:color w:val="000000" w:themeColor="text1"/>
                <w:sz w:val="20"/>
                <w:szCs w:val="20"/>
              </w:rPr>
            </w:pPr>
          </w:p>
        </w:tc>
        <w:tc>
          <w:tcPr>
            <w:tcW w:w="873" w:type="pct"/>
            <w:tcBorders>
              <w:top w:val="nil"/>
              <w:left w:val="nil"/>
              <w:bottom w:val="nil"/>
              <w:right w:val="nil"/>
            </w:tcBorders>
            <w:shd w:val="clear" w:color="auto" w:fill="auto"/>
          </w:tcPr>
          <w:p w14:paraId="3C178D9E" w14:textId="2283DCC2" w:rsidR="00E05845" w:rsidRPr="00356744" w:rsidRDefault="009C05A7" w:rsidP="00E05845">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1.265</w:t>
            </w:r>
          </w:p>
        </w:tc>
        <w:tc>
          <w:tcPr>
            <w:tcW w:w="994" w:type="pct"/>
            <w:tcBorders>
              <w:top w:val="nil"/>
              <w:left w:val="nil"/>
              <w:bottom w:val="nil"/>
              <w:right w:val="nil"/>
            </w:tcBorders>
            <w:shd w:val="clear" w:color="auto" w:fill="auto"/>
          </w:tcPr>
          <w:p w14:paraId="6EA0B43F" w14:textId="6DEEBAF6" w:rsidR="00E05845" w:rsidRPr="00356744" w:rsidRDefault="00E05845" w:rsidP="00E05845">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356744">
              <w:rPr>
                <w:rFonts w:ascii="Arial" w:hAnsi="Arial" w:cs="Arial"/>
                <w:sz w:val="20"/>
                <w:szCs w:val="20"/>
              </w:rPr>
              <w:t xml:space="preserve"> 389 </w:t>
            </w:r>
          </w:p>
        </w:tc>
      </w:tr>
      <w:tr w:rsidR="00E05845" w:rsidRPr="00356744" w14:paraId="31B1F43B" w14:textId="77777777" w:rsidTr="00356744">
        <w:tc>
          <w:tcPr>
            <w:tcW w:w="2555" w:type="pct"/>
            <w:vAlign w:val="bottom"/>
          </w:tcPr>
          <w:p w14:paraId="1279576A" w14:textId="77777777" w:rsidR="00E05845" w:rsidRPr="00356744" w:rsidRDefault="00E05845" w:rsidP="00E05845">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578" w:type="pct"/>
            <w:vAlign w:val="bottom"/>
          </w:tcPr>
          <w:p w14:paraId="541B4417" w14:textId="77777777" w:rsidR="00E05845" w:rsidRPr="00C94280" w:rsidRDefault="00E05845" w:rsidP="00E05845">
            <w:pPr>
              <w:tabs>
                <w:tab w:val="right" w:pos="1202"/>
              </w:tabs>
              <w:suppressAutoHyphens/>
              <w:autoSpaceDN w:val="0"/>
              <w:spacing w:line="340" w:lineRule="exact"/>
              <w:jc w:val="center"/>
              <w:outlineLvl w:val="0"/>
              <w:rPr>
                <w:rFonts w:ascii="Arial" w:eastAsia="Times New Roman" w:hAnsi="Arial" w:cs="Arial"/>
                <w:bCs/>
                <w:color w:val="000000" w:themeColor="text1"/>
                <w:sz w:val="20"/>
                <w:szCs w:val="20"/>
              </w:rPr>
            </w:pPr>
          </w:p>
        </w:tc>
        <w:tc>
          <w:tcPr>
            <w:tcW w:w="873" w:type="pct"/>
            <w:tcBorders>
              <w:top w:val="single" w:sz="4" w:space="0" w:color="auto"/>
              <w:bottom w:val="single" w:sz="12" w:space="0" w:color="auto"/>
            </w:tcBorders>
          </w:tcPr>
          <w:p w14:paraId="3510043E" w14:textId="7FC35FB0" w:rsidR="00E05845" w:rsidRPr="00356744" w:rsidRDefault="00592C79" w:rsidP="00E05845">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18.650</w:t>
            </w:r>
          </w:p>
        </w:tc>
        <w:tc>
          <w:tcPr>
            <w:tcW w:w="994" w:type="pct"/>
            <w:tcBorders>
              <w:top w:val="single" w:sz="4" w:space="0" w:color="auto"/>
              <w:bottom w:val="single" w:sz="12" w:space="0" w:color="auto"/>
            </w:tcBorders>
          </w:tcPr>
          <w:p w14:paraId="427F88DA" w14:textId="350A313E" w:rsidR="00E05845" w:rsidRPr="00356744" w:rsidRDefault="00E05845" w:rsidP="00E05845">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356744">
              <w:rPr>
                <w:rFonts w:ascii="Arial" w:hAnsi="Arial" w:cs="Arial"/>
                <w:b/>
                <w:bCs/>
                <w:sz w:val="20"/>
                <w:szCs w:val="20"/>
              </w:rPr>
              <w:t xml:space="preserve"> 19.491 </w:t>
            </w:r>
          </w:p>
        </w:tc>
      </w:tr>
      <w:tr w:rsidR="00E05845" w:rsidRPr="003D1614" w14:paraId="149E195C" w14:textId="77777777" w:rsidTr="00531D68">
        <w:tc>
          <w:tcPr>
            <w:tcW w:w="2555" w:type="pct"/>
            <w:vAlign w:val="bottom"/>
          </w:tcPr>
          <w:p w14:paraId="12F33787" w14:textId="77777777" w:rsidR="00E05845" w:rsidRPr="003D1614" w:rsidRDefault="00E05845" w:rsidP="00E05845">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p>
        </w:tc>
        <w:tc>
          <w:tcPr>
            <w:tcW w:w="578" w:type="pct"/>
            <w:vAlign w:val="bottom"/>
          </w:tcPr>
          <w:p w14:paraId="17A60372" w14:textId="77777777" w:rsidR="00E05845" w:rsidRPr="00C94280" w:rsidRDefault="00E05845" w:rsidP="00E05845">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p>
        </w:tc>
        <w:tc>
          <w:tcPr>
            <w:tcW w:w="873" w:type="pct"/>
            <w:tcBorders>
              <w:top w:val="single" w:sz="12" w:space="0" w:color="auto"/>
            </w:tcBorders>
            <w:vAlign w:val="bottom"/>
          </w:tcPr>
          <w:p w14:paraId="56DEF83E" w14:textId="77777777" w:rsidR="00E05845" w:rsidRPr="003D1614" w:rsidRDefault="00E05845" w:rsidP="00E05845">
            <w:pPr>
              <w:suppressAutoHyphens/>
              <w:autoSpaceDN w:val="0"/>
              <w:spacing w:line="301" w:lineRule="exact"/>
              <w:jc w:val="right"/>
              <w:outlineLvl w:val="0"/>
              <w:rPr>
                <w:rFonts w:ascii="Arial" w:eastAsia="Times New Roman" w:hAnsi="Arial" w:cs="Arial"/>
                <w:bCs/>
                <w:color w:val="000000" w:themeColor="text1"/>
                <w:spacing w:val="-2"/>
                <w:sz w:val="20"/>
                <w:szCs w:val="20"/>
              </w:rPr>
            </w:pPr>
          </w:p>
        </w:tc>
        <w:tc>
          <w:tcPr>
            <w:tcW w:w="994" w:type="pct"/>
            <w:tcBorders>
              <w:top w:val="single" w:sz="12" w:space="0" w:color="auto"/>
            </w:tcBorders>
            <w:vAlign w:val="bottom"/>
          </w:tcPr>
          <w:p w14:paraId="42E63578" w14:textId="77777777" w:rsidR="00E05845" w:rsidRPr="003D1614" w:rsidRDefault="00E05845" w:rsidP="00E05845">
            <w:pPr>
              <w:suppressAutoHyphens/>
              <w:autoSpaceDN w:val="0"/>
              <w:spacing w:line="301" w:lineRule="exact"/>
              <w:jc w:val="right"/>
              <w:outlineLvl w:val="0"/>
              <w:rPr>
                <w:rFonts w:ascii="Arial" w:eastAsia="Times New Roman" w:hAnsi="Arial" w:cs="Arial"/>
                <w:bCs/>
                <w:color w:val="000000" w:themeColor="text1"/>
                <w:spacing w:val="-2"/>
                <w:sz w:val="20"/>
                <w:szCs w:val="20"/>
              </w:rPr>
            </w:pPr>
          </w:p>
        </w:tc>
      </w:tr>
      <w:tr w:rsidR="00E05845" w:rsidRPr="00356744" w14:paraId="02394F11" w14:textId="77777777" w:rsidTr="00356744">
        <w:tc>
          <w:tcPr>
            <w:tcW w:w="2555" w:type="pct"/>
            <w:vAlign w:val="bottom"/>
          </w:tcPr>
          <w:p w14:paraId="103F8CF5" w14:textId="77777777" w:rsidR="00E05845" w:rsidRPr="00356744" w:rsidRDefault="00E05845" w:rsidP="00E05845">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32" w:name="_Toc67326998"/>
            <w:r w:rsidRPr="00356744">
              <w:rPr>
                <w:rFonts w:ascii="Arial" w:eastAsia="Times New Roman" w:hAnsi="Arial" w:cs="Arial"/>
                <w:bCs/>
                <w:color w:val="000000" w:themeColor="text1"/>
                <w:spacing w:val="-2"/>
                <w:sz w:val="20"/>
                <w:szCs w:val="20"/>
              </w:rPr>
              <w:t>Troškovi osoblja</w:t>
            </w:r>
            <w:bookmarkEnd w:id="132"/>
          </w:p>
        </w:tc>
        <w:tc>
          <w:tcPr>
            <w:tcW w:w="578" w:type="pct"/>
            <w:vAlign w:val="bottom"/>
          </w:tcPr>
          <w:p w14:paraId="710F3EC2" w14:textId="77777777" w:rsidR="00E05845" w:rsidRPr="00C94280" w:rsidRDefault="00E05845" w:rsidP="00E05845">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33" w:name="_Toc67326999"/>
            <w:r w:rsidRPr="00C94280">
              <w:rPr>
                <w:rFonts w:ascii="Arial" w:eastAsia="Times New Roman" w:hAnsi="Arial" w:cs="Arial"/>
                <w:bCs/>
                <w:color w:val="000000" w:themeColor="text1"/>
                <w:spacing w:val="-2"/>
                <w:sz w:val="20"/>
                <w:szCs w:val="20"/>
              </w:rPr>
              <w:t>7 a)</w:t>
            </w:r>
            <w:bookmarkEnd w:id="133"/>
          </w:p>
        </w:tc>
        <w:tc>
          <w:tcPr>
            <w:tcW w:w="873" w:type="pct"/>
            <w:tcBorders>
              <w:top w:val="nil"/>
              <w:left w:val="nil"/>
              <w:bottom w:val="nil"/>
              <w:right w:val="nil"/>
            </w:tcBorders>
            <w:shd w:val="clear" w:color="auto" w:fill="auto"/>
          </w:tcPr>
          <w:p w14:paraId="70E79BAC" w14:textId="498DC8B8" w:rsidR="00E05845" w:rsidRPr="00356744" w:rsidRDefault="005A1ACC" w:rsidP="00E05845">
            <w:pPr>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(4.119)</w:t>
            </w:r>
          </w:p>
        </w:tc>
        <w:tc>
          <w:tcPr>
            <w:tcW w:w="994" w:type="pct"/>
            <w:tcBorders>
              <w:top w:val="nil"/>
              <w:left w:val="nil"/>
              <w:bottom w:val="nil"/>
              <w:right w:val="nil"/>
            </w:tcBorders>
            <w:shd w:val="clear" w:color="auto" w:fill="auto"/>
          </w:tcPr>
          <w:p w14:paraId="004C17CA" w14:textId="47FA040D" w:rsidR="00E05845" w:rsidRPr="00356744" w:rsidRDefault="00E05845" w:rsidP="00E05845">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356744">
              <w:rPr>
                <w:rFonts w:ascii="Arial" w:hAnsi="Arial" w:cs="Arial"/>
                <w:sz w:val="20"/>
                <w:szCs w:val="20"/>
              </w:rPr>
              <w:t xml:space="preserve"> (3.565)</w:t>
            </w:r>
          </w:p>
        </w:tc>
      </w:tr>
      <w:tr w:rsidR="00E05845" w:rsidRPr="00356744" w14:paraId="658F7A35" w14:textId="77777777" w:rsidTr="00356744">
        <w:tc>
          <w:tcPr>
            <w:tcW w:w="2555" w:type="pct"/>
            <w:vAlign w:val="bottom"/>
          </w:tcPr>
          <w:p w14:paraId="6B9AF8DF" w14:textId="77777777" w:rsidR="00E05845" w:rsidRPr="00356744" w:rsidRDefault="00E05845" w:rsidP="00E05845">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34" w:name="_Toc67327002"/>
            <w:r w:rsidRPr="00356744">
              <w:rPr>
                <w:rFonts w:ascii="Arial" w:eastAsia="Times New Roman" w:hAnsi="Arial" w:cs="Arial"/>
                <w:bCs/>
                <w:color w:val="000000" w:themeColor="text1"/>
                <w:spacing w:val="-2"/>
                <w:sz w:val="20"/>
                <w:szCs w:val="20"/>
              </w:rPr>
              <w:t>Amortizacija</w:t>
            </w:r>
            <w:bookmarkEnd w:id="134"/>
          </w:p>
        </w:tc>
        <w:tc>
          <w:tcPr>
            <w:tcW w:w="578" w:type="pct"/>
            <w:vAlign w:val="bottom"/>
          </w:tcPr>
          <w:p w14:paraId="334A65FB" w14:textId="77777777" w:rsidR="00E05845" w:rsidRPr="00C94280" w:rsidRDefault="00E05845" w:rsidP="00E05845">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35" w:name="_Toc67327003"/>
            <w:r w:rsidRPr="00C94280">
              <w:rPr>
                <w:rFonts w:ascii="Arial" w:eastAsia="Times New Roman" w:hAnsi="Arial" w:cs="Arial"/>
                <w:bCs/>
                <w:color w:val="000000" w:themeColor="text1"/>
                <w:spacing w:val="-2"/>
                <w:sz w:val="20"/>
                <w:szCs w:val="20"/>
              </w:rPr>
              <w:t>7 b)</w:t>
            </w:r>
            <w:bookmarkEnd w:id="135"/>
          </w:p>
        </w:tc>
        <w:tc>
          <w:tcPr>
            <w:tcW w:w="873" w:type="pct"/>
            <w:tcBorders>
              <w:top w:val="nil"/>
              <w:left w:val="nil"/>
              <w:bottom w:val="nil"/>
              <w:right w:val="nil"/>
            </w:tcBorders>
            <w:shd w:val="clear" w:color="auto" w:fill="auto"/>
          </w:tcPr>
          <w:p w14:paraId="48372639" w14:textId="073A4844" w:rsidR="00E05845" w:rsidRPr="00356744" w:rsidRDefault="005A1ACC" w:rsidP="00E05845">
            <w:pPr>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(485)</w:t>
            </w:r>
          </w:p>
        </w:tc>
        <w:tc>
          <w:tcPr>
            <w:tcW w:w="994" w:type="pct"/>
            <w:tcBorders>
              <w:top w:val="nil"/>
              <w:left w:val="nil"/>
              <w:bottom w:val="nil"/>
              <w:right w:val="nil"/>
            </w:tcBorders>
            <w:shd w:val="clear" w:color="auto" w:fill="auto"/>
          </w:tcPr>
          <w:p w14:paraId="06C242F6" w14:textId="38DD2586" w:rsidR="00E05845" w:rsidRPr="00356744" w:rsidRDefault="00E05845" w:rsidP="00E05845">
            <w:pPr>
              <w:suppressAutoHyphens/>
              <w:autoSpaceDN w:val="0"/>
              <w:spacing w:line="301" w:lineRule="exact"/>
              <w:jc w:val="right"/>
              <w:outlineLvl w:val="0"/>
              <w:rPr>
                <w:rFonts w:ascii="Arial" w:eastAsia="Times New Roman" w:hAnsi="Arial" w:cs="Arial"/>
                <w:color w:val="000000" w:themeColor="text1"/>
                <w:sz w:val="20"/>
                <w:szCs w:val="20"/>
              </w:rPr>
            </w:pPr>
            <w:r w:rsidRPr="00356744">
              <w:rPr>
                <w:rFonts w:ascii="Arial" w:hAnsi="Arial" w:cs="Arial"/>
                <w:sz w:val="20"/>
                <w:szCs w:val="20"/>
              </w:rPr>
              <w:t xml:space="preserve"> (333)</w:t>
            </w:r>
          </w:p>
        </w:tc>
      </w:tr>
      <w:tr w:rsidR="00E05845" w:rsidRPr="00356744" w14:paraId="3B5819BF" w14:textId="77777777" w:rsidTr="00356744">
        <w:tc>
          <w:tcPr>
            <w:tcW w:w="2555" w:type="pct"/>
            <w:vAlign w:val="bottom"/>
          </w:tcPr>
          <w:p w14:paraId="4C502EDA" w14:textId="77777777" w:rsidR="00E05845" w:rsidRPr="00356744" w:rsidRDefault="00E05845" w:rsidP="00E05845">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36" w:name="_Toc67327006"/>
            <w:r w:rsidRPr="00356744">
              <w:rPr>
                <w:rFonts w:ascii="Arial" w:eastAsia="Times New Roman" w:hAnsi="Arial" w:cs="Arial"/>
                <w:bCs/>
                <w:color w:val="000000" w:themeColor="text1"/>
                <w:spacing w:val="-2"/>
                <w:sz w:val="20"/>
                <w:szCs w:val="20"/>
              </w:rPr>
              <w:t>Ostali troškovi</w:t>
            </w:r>
            <w:bookmarkEnd w:id="136"/>
          </w:p>
        </w:tc>
        <w:tc>
          <w:tcPr>
            <w:tcW w:w="578" w:type="pct"/>
            <w:vAlign w:val="bottom"/>
          </w:tcPr>
          <w:p w14:paraId="3B2234BE" w14:textId="77777777" w:rsidR="00E05845" w:rsidRPr="00C94280" w:rsidRDefault="00E05845" w:rsidP="00E05845">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bookmarkStart w:id="137" w:name="_Toc67327007"/>
            <w:r w:rsidRPr="00C94280">
              <w:rPr>
                <w:rFonts w:ascii="Arial" w:eastAsia="Times New Roman" w:hAnsi="Arial" w:cs="Arial"/>
                <w:bCs/>
                <w:color w:val="000000" w:themeColor="text1"/>
                <w:spacing w:val="-2"/>
                <w:sz w:val="20"/>
                <w:szCs w:val="20"/>
              </w:rPr>
              <w:t>7 c)</w:t>
            </w:r>
            <w:bookmarkEnd w:id="137"/>
          </w:p>
        </w:tc>
        <w:tc>
          <w:tcPr>
            <w:tcW w:w="873" w:type="pct"/>
            <w:tcBorders>
              <w:top w:val="nil"/>
              <w:left w:val="nil"/>
              <w:bottom w:val="nil"/>
              <w:right w:val="nil"/>
            </w:tcBorders>
            <w:shd w:val="clear" w:color="auto" w:fill="auto"/>
          </w:tcPr>
          <w:p w14:paraId="2A4E24CE" w14:textId="7AE5EAFA" w:rsidR="00E05845" w:rsidRPr="00356744" w:rsidRDefault="005A1ACC" w:rsidP="00E05845">
            <w:pPr>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r w:rsidR="00A7237B">
              <w:rPr>
                <w:rFonts w:ascii="Arial" w:eastAsia="Times New Roman" w:hAnsi="Arial" w:cs="Arial"/>
                <w:color w:val="000000" w:themeColor="text1"/>
                <w:sz w:val="20"/>
                <w:szCs w:val="20"/>
              </w:rPr>
              <w:t>2</w:t>
            </w:r>
            <w:r>
              <w:rPr>
                <w:rFonts w:ascii="Arial" w:eastAsia="Times New Roman" w:hAnsi="Arial" w:cs="Arial"/>
                <w:color w:val="000000" w:themeColor="text1"/>
                <w:sz w:val="20"/>
                <w:szCs w:val="20"/>
              </w:rPr>
              <w:t>.141)</w:t>
            </w:r>
          </w:p>
        </w:tc>
        <w:tc>
          <w:tcPr>
            <w:tcW w:w="994" w:type="pct"/>
            <w:tcBorders>
              <w:top w:val="nil"/>
              <w:left w:val="nil"/>
              <w:bottom w:val="nil"/>
              <w:right w:val="nil"/>
            </w:tcBorders>
            <w:shd w:val="clear" w:color="auto" w:fill="auto"/>
          </w:tcPr>
          <w:p w14:paraId="12E6CD21" w14:textId="5E83A14E" w:rsidR="00E05845" w:rsidRPr="00356744" w:rsidRDefault="00E05845" w:rsidP="00E05845">
            <w:pPr>
              <w:suppressAutoHyphens/>
              <w:autoSpaceDN w:val="0"/>
              <w:spacing w:line="301" w:lineRule="exact"/>
              <w:jc w:val="right"/>
              <w:outlineLvl w:val="0"/>
              <w:rPr>
                <w:rFonts w:ascii="Arial" w:eastAsia="Times New Roman" w:hAnsi="Arial" w:cs="Arial"/>
                <w:color w:val="000000" w:themeColor="text1"/>
                <w:sz w:val="20"/>
                <w:szCs w:val="20"/>
              </w:rPr>
            </w:pPr>
            <w:r w:rsidRPr="00356744">
              <w:rPr>
                <w:rFonts w:ascii="Arial" w:hAnsi="Arial" w:cs="Arial"/>
                <w:sz w:val="20"/>
                <w:szCs w:val="20"/>
              </w:rPr>
              <w:t xml:space="preserve"> (1.766)</w:t>
            </w:r>
          </w:p>
        </w:tc>
      </w:tr>
      <w:tr w:rsidR="00E05845" w:rsidRPr="00356744" w14:paraId="3994DF86" w14:textId="77777777" w:rsidTr="00356744">
        <w:tc>
          <w:tcPr>
            <w:tcW w:w="2555" w:type="pct"/>
            <w:vAlign w:val="bottom"/>
          </w:tcPr>
          <w:p w14:paraId="0DB449EB" w14:textId="70CEB84E" w:rsidR="00E05845" w:rsidRPr="00C77D94" w:rsidRDefault="00E05845" w:rsidP="00E05845">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r w:rsidRPr="00C77D94">
              <w:rPr>
                <w:rFonts w:ascii="Arial" w:hAnsi="Arial" w:cs="Arial"/>
                <w:bCs/>
                <w:color w:val="000000" w:themeColor="text1"/>
                <w:spacing w:val="-2"/>
                <w:sz w:val="20"/>
              </w:rPr>
              <w:t>Trošak subvencije na teret poslovanja HBOR-a</w:t>
            </w:r>
          </w:p>
        </w:tc>
        <w:tc>
          <w:tcPr>
            <w:tcW w:w="578" w:type="pct"/>
            <w:vAlign w:val="bottom"/>
          </w:tcPr>
          <w:p w14:paraId="58848054" w14:textId="77777777" w:rsidR="00E05845" w:rsidRPr="00C94280" w:rsidRDefault="00E05845" w:rsidP="00E05845">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p>
        </w:tc>
        <w:tc>
          <w:tcPr>
            <w:tcW w:w="873" w:type="pct"/>
            <w:tcBorders>
              <w:top w:val="nil"/>
              <w:left w:val="nil"/>
              <w:bottom w:val="nil"/>
              <w:right w:val="nil"/>
            </w:tcBorders>
            <w:shd w:val="clear" w:color="auto" w:fill="auto"/>
          </w:tcPr>
          <w:p w14:paraId="6E3C0D0D" w14:textId="2C02AE22" w:rsidR="00E05845" w:rsidRPr="00356744" w:rsidRDefault="0065562C" w:rsidP="00E05845">
            <w:pPr>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(264)</w:t>
            </w:r>
          </w:p>
        </w:tc>
        <w:tc>
          <w:tcPr>
            <w:tcW w:w="994" w:type="pct"/>
            <w:tcBorders>
              <w:top w:val="nil"/>
              <w:left w:val="nil"/>
              <w:bottom w:val="nil"/>
              <w:right w:val="nil"/>
            </w:tcBorders>
            <w:shd w:val="clear" w:color="auto" w:fill="auto"/>
          </w:tcPr>
          <w:p w14:paraId="10CD9334" w14:textId="6BA249BE" w:rsidR="00E05845" w:rsidRPr="00356744" w:rsidRDefault="00E05845" w:rsidP="00E05845">
            <w:pPr>
              <w:suppressAutoHyphens/>
              <w:autoSpaceDN w:val="0"/>
              <w:spacing w:line="301" w:lineRule="exact"/>
              <w:jc w:val="right"/>
              <w:outlineLvl w:val="0"/>
              <w:rPr>
                <w:rFonts w:ascii="Arial" w:hAnsi="Arial" w:cs="Arial"/>
                <w:sz w:val="20"/>
                <w:szCs w:val="20"/>
              </w:rPr>
            </w:pPr>
            <w:r>
              <w:rPr>
                <w:rFonts w:ascii="Arial" w:hAnsi="Arial" w:cs="Arial"/>
                <w:sz w:val="20"/>
                <w:szCs w:val="20"/>
              </w:rPr>
              <w:t>-</w:t>
            </w:r>
          </w:p>
        </w:tc>
      </w:tr>
      <w:tr w:rsidR="00E05845" w:rsidRPr="003D1614" w14:paraId="1F071612" w14:textId="77777777" w:rsidTr="00356744">
        <w:tc>
          <w:tcPr>
            <w:tcW w:w="2555" w:type="pct"/>
            <w:vAlign w:val="bottom"/>
          </w:tcPr>
          <w:p w14:paraId="3DE0750D" w14:textId="1093787A" w:rsidR="00E05845" w:rsidRPr="00D360F9" w:rsidRDefault="00E05845" w:rsidP="00E05845">
            <w:pPr>
              <w:tabs>
                <w:tab w:val="right" w:pos="1202"/>
              </w:tabs>
              <w:suppressAutoHyphens/>
              <w:autoSpaceDN w:val="0"/>
              <w:spacing w:line="301" w:lineRule="exact"/>
              <w:outlineLvl w:val="0"/>
              <w:rPr>
                <w:rFonts w:ascii="Arial" w:eastAsia="Times New Roman" w:hAnsi="Arial" w:cs="Arial"/>
                <w:bCs/>
                <w:color w:val="000000" w:themeColor="text1"/>
                <w:spacing w:val="-2"/>
                <w:sz w:val="20"/>
                <w:szCs w:val="20"/>
              </w:rPr>
            </w:pPr>
            <w:bookmarkStart w:id="138" w:name="_Toc67327010"/>
            <w:r w:rsidRPr="00D360F9">
              <w:rPr>
                <w:rFonts w:ascii="Arial" w:eastAsia="Times New Roman" w:hAnsi="Arial" w:cs="Arial"/>
                <w:bCs/>
                <w:color w:val="000000" w:themeColor="text1"/>
                <w:spacing w:val="-2"/>
                <w:sz w:val="20"/>
                <w:szCs w:val="20"/>
              </w:rPr>
              <w:t>Dobitak od umanjenja vrijednosti i rezerviranja</w:t>
            </w:r>
            <w:bookmarkEnd w:id="138"/>
          </w:p>
        </w:tc>
        <w:tc>
          <w:tcPr>
            <w:tcW w:w="578" w:type="pct"/>
            <w:vAlign w:val="bottom"/>
          </w:tcPr>
          <w:p w14:paraId="66F74432" w14:textId="77777777" w:rsidR="00E05845" w:rsidRPr="00C94280" w:rsidRDefault="00E05845" w:rsidP="00E05845">
            <w:pPr>
              <w:tabs>
                <w:tab w:val="right" w:pos="1202"/>
              </w:tabs>
              <w:suppressAutoHyphens/>
              <w:autoSpaceDN w:val="0"/>
              <w:spacing w:line="301" w:lineRule="exact"/>
              <w:jc w:val="center"/>
              <w:outlineLvl w:val="0"/>
              <w:rPr>
                <w:rFonts w:ascii="Arial" w:eastAsia="Times New Roman" w:hAnsi="Arial" w:cs="Arial"/>
                <w:bCs/>
                <w:color w:val="000000" w:themeColor="text1"/>
                <w:spacing w:val="-2"/>
                <w:sz w:val="20"/>
                <w:szCs w:val="20"/>
              </w:rPr>
            </w:pPr>
            <w:r w:rsidRPr="00C94280">
              <w:rPr>
                <w:rFonts w:ascii="Arial" w:eastAsia="Times New Roman" w:hAnsi="Arial" w:cs="Arial"/>
                <w:bCs/>
                <w:color w:val="000000" w:themeColor="text1"/>
                <w:spacing w:val="-2"/>
                <w:sz w:val="20"/>
                <w:szCs w:val="20"/>
              </w:rPr>
              <w:t>8</w:t>
            </w:r>
          </w:p>
        </w:tc>
        <w:tc>
          <w:tcPr>
            <w:tcW w:w="873" w:type="pct"/>
            <w:tcBorders>
              <w:top w:val="nil"/>
              <w:left w:val="nil"/>
              <w:bottom w:val="nil"/>
              <w:right w:val="nil"/>
            </w:tcBorders>
            <w:shd w:val="clear" w:color="auto" w:fill="auto"/>
          </w:tcPr>
          <w:p w14:paraId="37000F27" w14:textId="59EF0AEE" w:rsidR="00E05845" w:rsidRPr="00356744" w:rsidRDefault="00C07BBF" w:rsidP="00E05845">
            <w:pPr>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5.939</w:t>
            </w:r>
          </w:p>
        </w:tc>
        <w:tc>
          <w:tcPr>
            <w:tcW w:w="994" w:type="pct"/>
            <w:tcBorders>
              <w:top w:val="nil"/>
              <w:left w:val="nil"/>
              <w:bottom w:val="nil"/>
              <w:right w:val="nil"/>
            </w:tcBorders>
            <w:shd w:val="clear" w:color="auto" w:fill="auto"/>
          </w:tcPr>
          <w:p w14:paraId="18520E9B" w14:textId="1D1713D6" w:rsidR="00E05845" w:rsidRPr="00356744" w:rsidRDefault="00E05845" w:rsidP="00E05845">
            <w:pPr>
              <w:suppressAutoHyphens/>
              <w:autoSpaceDN w:val="0"/>
              <w:spacing w:line="301" w:lineRule="exact"/>
              <w:jc w:val="right"/>
              <w:outlineLvl w:val="0"/>
              <w:rPr>
                <w:rFonts w:ascii="Arial" w:eastAsia="Times New Roman" w:hAnsi="Arial" w:cs="Arial"/>
                <w:bCs/>
                <w:color w:val="000000" w:themeColor="text1"/>
                <w:spacing w:val="-2"/>
                <w:sz w:val="20"/>
                <w:szCs w:val="20"/>
              </w:rPr>
            </w:pPr>
            <w:r w:rsidRPr="00356744">
              <w:rPr>
                <w:rFonts w:ascii="Arial" w:hAnsi="Arial" w:cs="Arial"/>
                <w:sz w:val="20"/>
                <w:szCs w:val="20"/>
              </w:rPr>
              <w:t xml:space="preserve"> 4.648 </w:t>
            </w:r>
          </w:p>
        </w:tc>
      </w:tr>
      <w:tr w:rsidR="00E05845" w:rsidRPr="003D1614" w14:paraId="48FE4126" w14:textId="77777777" w:rsidTr="00356744">
        <w:tc>
          <w:tcPr>
            <w:tcW w:w="2555" w:type="pct"/>
            <w:vAlign w:val="bottom"/>
          </w:tcPr>
          <w:p w14:paraId="6DE66822" w14:textId="77777777" w:rsidR="00E05845" w:rsidRPr="003D1614" w:rsidRDefault="00E05845" w:rsidP="00E05845">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bookmarkStart w:id="139" w:name="_Toc67327014"/>
            <w:r w:rsidRPr="003D1614">
              <w:rPr>
                <w:rFonts w:ascii="Arial" w:eastAsia="Times New Roman" w:hAnsi="Arial" w:cs="Arial"/>
                <w:b/>
                <w:bCs/>
                <w:color w:val="000000" w:themeColor="text1"/>
                <w:sz w:val="20"/>
                <w:szCs w:val="20"/>
              </w:rPr>
              <w:t>Dobit prije oporezivanja</w:t>
            </w:r>
            <w:bookmarkEnd w:id="139"/>
          </w:p>
        </w:tc>
        <w:tc>
          <w:tcPr>
            <w:tcW w:w="578" w:type="pct"/>
            <w:vAlign w:val="bottom"/>
          </w:tcPr>
          <w:p w14:paraId="3B35D803" w14:textId="77777777" w:rsidR="00E05845" w:rsidRPr="003D1614" w:rsidRDefault="00E05845" w:rsidP="00E05845">
            <w:pPr>
              <w:tabs>
                <w:tab w:val="right" w:pos="1202"/>
              </w:tabs>
              <w:suppressAutoHyphens/>
              <w:autoSpaceDN w:val="0"/>
              <w:spacing w:line="340" w:lineRule="exact"/>
              <w:jc w:val="center"/>
              <w:outlineLvl w:val="0"/>
              <w:rPr>
                <w:rFonts w:ascii="Arial" w:eastAsia="Times New Roman" w:hAnsi="Arial" w:cs="Arial"/>
                <w:bCs/>
                <w:color w:val="000000" w:themeColor="text1"/>
                <w:sz w:val="20"/>
                <w:szCs w:val="20"/>
                <w:highlight w:val="yellow"/>
              </w:rPr>
            </w:pPr>
          </w:p>
        </w:tc>
        <w:tc>
          <w:tcPr>
            <w:tcW w:w="873" w:type="pct"/>
            <w:tcBorders>
              <w:top w:val="single" w:sz="4" w:space="0" w:color="auto"/>
              <w:bottom w:val="single" w:sz="12" w:space="0" w:color="auto"/>
            </w:tcBorders>
          </w:tcPr>
          <w:p w14:paraId="1BACC814" w14:textId="7BB53469" w:rsidR="00E05845" w:rsidRPr="00356744" w:rsidRDefault="00C07BBF" w:rsidP="00E05845">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17.580</w:t>
            </w:r>
          </w:p>
        </w:tc>
        <w:tc>
          <w:tcPr>
            <w:tcW w:w="994" w:type="pct"/>
            <w:tcBorders>
              <w:top w:val="single" w:sz="4" w:space="0" w:color="auto"/>
              <w:bottom w:val="single" w:sz="12" w:space="0" w:color="auto"/>
            </w:tcBorders>
          </w:tcPr>
          <w:p w14:paraId="4E846AB3" w14:textId="2F4554CA" w:rsidR="00E05845" w:rsidRPr="00356744" w:rsidRDefault="00E05845" w:rsidP="00E05845">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356744">
              <w:rPr>
                <w:rFonts w:ascii="Arial" w:hAnsi="Arial" w:cs="Arial"/>
                <w:b/>
                <w:bCs/>
                <w:sz w:val="20"/>
                <w:szCs w:val="20"/>
              </w:rPr>
              <w:t xml:space="preserve"> 18.475 </w:t>
            </w:r>
          </w:p>
        </w:tc>
      </w:tr>
      <w:tr w:rsidR="00E05845" w:rsidRPr="003D1614" w14:paraId="557425B3" w14:textId="77777777" w:rsidTr="00531D68">
        <w:tc>
          <w:tcPr>
            <w:tcW w:w="2555" w:type="pct"/>
            <w:vAlign w:val="bottom"/>
          </w:tcPr>
          <w:p w14:paraId="5D162CC3" w14:textId="77777777" w:rsidR="00E05845" w:rsidRPr="003D1614" w:rsidRDefault="00E05845" w:rsidP="00E05845">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578" w:type="pct"/>
            <w:vAlign w:val="bottom"/>
          </w:tcPr>
          <w:p w14:paraId="36C02C80" w14:textId="77777777" w:rsidR="00E05845" w:rsidRPr="003D1614" w:rsidRDefault="00E05845" w:rsidP="00E05845">
            <w:pPr>
              <w:tabs>
                <w:tab w:val="right" w:pos="1202"/>
              </w:tabs>
              <w:suppressAutoHyphens/>
              <w:autoSpaceDN w:val="0"/>
              <w:spacing w:line="340" w:lineRule="exact"/>
              <w:jc w:val="center"/>
              <w:outlineLvl w:val="0"/>
              <w:rPr>
                <w:rFonts w:ascii="Arial" w:eastAsia="Times New Roman" w:hAnsi="Arial" w:cs="Arial"/>
                <w:bCs/>
                <w:color w:val="000000" w:themeColor="text1"/>
                <w:sz w:val="20"/>
                <w:szCs w:val="20"/>
                <w:highlight w:val="yellow"/>
              </w:rPr>
            </w:pPr>
          </w:p>
        </w:tc>
        <w:tc>
          <w:tcPr>
            <w:tcW w:w="873" w:type="pct"/>
            <w:tcBorders>
              <w:top w:val="single" w:sz="12" w:space="0" w:color="auto"/>
            </w:tcBorders>
            <w:vAlign w:val="bottom"/>
          </w:tcPr>
          <w:p w14:paraId="0578076A" w14:textId="77777777" w:rsidR="00E05845" w:rsidRPr="003D1614" w:rsidRDefault="00E05845" w:rsidP="00E05845">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p>
        </w:tc>
        <w:tc>
          <w:tcPr>
            <w:tcW w:w="994" w:type="pct"/>
            <w:tcBorders>
              <w:top w:val="single" w:sz="12" w:space="0" w:color="auto"/>
            </w:tcBorders>
            <w:vAlign w:val="bottom"/>
          </w:tcPr>
          <w:p w14:paraId="68C129F9" w14:textId="77777777" w:rsidR="00E05845" w:rsidRPr="003D1614" w:rsidRDefault="00E05845" w:rsidP="00E05845">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p>
        </w:tc>
      </w:tr>
      <w:tr w:rsidR="00E05845" w:rsidRPr="003D1614" w14:paraId="76221363" w14:textId="77777777" w:rsidTr="00531D68">
        <w:tc>
          <w:tcPr>
            <w:tcW w:w="2555" w:type="pct"/>
            <w:vAlign w:val="bottom"/>
          </w:tcPr>
          <w:p w14:paraId="63D7219C" w14:textId="77777777" w:rsidR="00E05845" w:rsidRPr="003D1614" w:rsidRDefault="00E05845" w:rsidP="00E05845">
            <w:pPr>
              <w:tabs>
                <w:tab w:val="right" w:pos="1202"/>
              </w:tabs>
              <w:suppressAutoHyphens/>
              <w:autoSpaceDN w:val="0"/>
              <w:spacing w:line="340" w:lineRule="exact"/>
              <w:outlineLvl w:val="0"/>
              <w:rPr>
                <w:rFonts w:ascii="Arial" w:eastAsia="Times New Roman" w:hAnsi="Arial" w:cs="Arial"/>
                <w:color w:val="000000" w:themeColor="text1"/>
                <w:sz w:val="20"/>
                <w:szCs w:val="20"/>
              </w:rPr>
            </w:pPr>
            <w:bookmarkStart w:id="140" w:name="_Toc67327017"/>
            <w:r w:rsidRPr="003D1614">
              <w:rPr>
                <w:rFonts w:ascii="Arial" w:eastAsia="Times New Roman" w:hAnsi="Arial" w:cs="Arial"/>
                <w:color w:val="000000" w:themeColor="text1"/>
                <w:sz w:val="20"/>
                <w:szCs w:val="20"/>
              </w:rPr>
              <w:t>Porez na dobit</w:t>
            </w:r>
            <w:bookmarkEnd w:id="140"/>
          </w:p>
        </w:tc>
        <w:tc>
          <w:tcPr>
            <w:tcW w:w="578" w:type="pct"/>
            <w:vAlign w:val="bottom"/>
          </w:tcPr>
          <w:p w14:paraId="4F3158DA" w14:textId="77777777" w:rsidR="00E05845" w:rsidRPr="003D1614" w:rsidRDefault="00E05845" w:rsidP="00E05845">
            <w:pPr>
              <w:tabs>
                <w:tab w:val="right" w:pos="1202"/>
              </w:tabs>
              <w:suppressAutoHyphens/>
              <w:autoSpaceDN w:val="0"/>
              <w:spacing w:line="340" w:lineRule="exact"/>
              <w:jc w:val="center"/>
              <w:outlineLvl w:val="0"/>
              <w:rPr>
                <w:rFonts w:ascii="Arial" w:eastAsia="Times New Roman" w:hAnsi="Arial" w:cs="Arial"/>
                <w:bCs/>
                <w:color w:val="000000" w:themeColor="text1"/>
                <w:sz w:val="20"/>
                <w:szCs w:val="20"/>
                <w:highlight w:val="yellow"/>
              </w:rPr>
            </w:pPr>
          </w:p>
        </w:tc>
        <w:tc>
          <w:tcPr>
            <w:tcW w:w="873" w:type="pct"/>
            <w:tcBorders>
              <w:bottom w:val="single" w:sz="4" w:space="0" w:color="auto"/>
            </w:tcBorders>
            <w:vAlign w:val="bottom"/>
          </w:tcPr>
          <w:p w14:paraId="332A94B6" w14:textId="3EC9415B" w:rsidR="00E05845" w:rsidRPr="003D1614" w:rsidRDefault="00C07BBF" w:rsidP="00E05845">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994" w:type="pct"/>
            <w:tcBorders>
              <w:bottom w:val="single" w:sz="4" w:space="0" w:color="auto"/>
            </w:tcBorders>
            <w:vAlign w:val="bottom"/>
          </w:tcPr>
          <w:p w14:paraId="0397EB14" w14:textId="57232685" w:rsidR="00E05845" w:rsidRPr="003D1614" w:rsidRDefault="00E05845" w:rsidP="00E05845">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r>
      <w:tr w:rsidR="00E05845" w:rsidRPr="003D1614" w14:paraId="45DBA9D8" w14:textId="77777777" w:rsidTr="00356744">
        <w:tc>
          <w:tcPr>
            <w:tcW w:w="2555" w:type="pct"/>
            <w:vAlign w:val="bottom"/>
          </w:tcPr>
          <w:p w14:paraId="144EB4DA" w14:textId="77777777" w:rsidR="00E05845" w:rsidRPr="003D1614" w:rsidRDefault="00E05845" w:rsidP="00E05845">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bookmarkStart w:id="141" w:name="_Toc67327021"/>
            <w:r w:rsidRPr="003D1614">
              <w:rPr>
                <w:rFonts w:ascii="Arial" w:eastAsia="Times New Roman" w:hAnsi="Arial" w:cs="Arial"/>
                <w:b/>
                <w:bCs/>
                <w:color w:val="000000" w:themeColor="text1"/>
                <w:sz w:val="20"/>
                <w:szCs w:val="20"/>
              </w:rPr>
              <w:t xml:space="preserve">Dobit tekućeg </w:t>
            </w:r>
            <w:bookmarkEnd w:id="141"/>
            <w:r w:rsidRPr="003D1614">
              <w:rPr>
                <w:rFonts w:ascii="Arial" w:eastAsia="Times New Roman" w:hAnsi="Arial" w:cs="Arial"/>
                <w:b/>
                <w:bCs/>
                <w:color w:val="000000" w:themeColor="text1"/>
                <w:sz w:val="20"/>
                <w:szCs w:val="20"/>
              </w:rPr>
              <w:t>razdoblja</w:t>
            </w:r>
          </w:p>
        </w:tc>
        <w:tc>
          <w:tcPr>
            <w:tcW w:w="578" w:type="pct"/>
            <w:vAlign w:val="bottom"/>
          </w:tcPr>
          <w:p w14:paraId="2A7CDAA6" w14:textId="77777777" w:rsidR="00E05845" w:rsidRPr="003D1614" w:rsidRDefault="00E05845" w:rsidP="00E05845">
            <w:pPr>
              <w:tabs>
                <w:tab w:val="right" w:pos="1202"/>
              </w:tabs>
              <w:suppressAutoHyphens/>
              <w:autoSpaceDN w:val="0"/>
              <w:spacing w:line="340" w:lineRule="exact"/>
              <w:jc w:val="center"/>
              <w:outlineLvl w:val="0"/>
              <w:rPr>
                <w:rFonts w:ascii="Arial" w:eastAsia="Times New Roman" w:hAnsi="Arial" w:cs="Arial"/>
                <w:b/>
                <w:bCs/>
                <w:color w:val="000000" w:themeColor="text1"/>
                <w:sz w:val="20"/>
                <w:szCs w:val="20"/>
              </w:rPr>
            </w:pPr>
          </w:p>
        </w:tc>
        <w:tc>
          <w:tcPr>
            <w:tcW w:w="873" w:type="pct"/>
            <w:tcBorders>
              <w:top w:val="single" w:sz="4" w:space="0" w:color="auto"/>
              <w:bottom w:val="single" w:sz="12" w:space="0" w:color="auto"/>
            </w:tcBorders>
          </w:tcPr>
          <w:p w14:paraId="12DCE8C6" w14:textId="4441744A" w:rsidR="00E05845" w:rsidRPr="00356744" w:rsidRDefault="00C07BBF" w:rsidP="00E05845">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17.580</w:t>
            </w:r>
          </w:p>
        </w:tc>
        <w:tc>
          <w:tcPr>
            <w:tcW w:w="994" w:type="pct"/>
            <w:tcBorders>
              <w:top w:val="single" w:sz="4" w:space="0" w:color="auto"/>
              <w:bottom w:val="single" w:sz="12" w:space="0" w:color="auto"/>
            </w:tcBorders>
          </w:tcPr>
          <w:p w14:paraId="3FDABEEF" w14:textId="0AAB95B5" w:rsidR="00E05845" w:rsidRPr="00D552C7" w:rsidRDefault="00E05845" w:rsidP="00E05845">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356744">
              <w:rPr>
                <w:b/>
                <w:bCs/>
              </w:rPr>
              <w:t xml:space="preserve"> </w:t>
            </w:r>
            <w:r w:rsidRPr="00D552C7">
              <w:rPr>
                <w:rFonts w:ascii="Arial" w:hAnsi="Arial" w:cs="Arial"/>
                <w:b/>
                <w:bCs/>
                <w:sz w:val="20"/>
                <w:szCs w:val="20"/>
              </w:rPr>
              <w:t xml:space="preserve">18.475 </w:t>
            </w:r>
          </w:p>
        </w:tc>
      </w:tr>
      <w:tr w:rsidR="00E05845" w:rsidRPr="003D1614" w14:paraId="60AD91E6" w14:textId="77777777" w:rsidTr="00531D68">
        <w:trPr>
          <w:trHeight w:val="70"/>
        </w:trPr>
        <w:tc>
          <w:tcPr>
            <w:tcW w:w="2555" w:type="pct"/>
            <w:vAlign w:val="bottom"/>
          </w:tcPr>
          <w:p w14:paraId="170FA733" w14:textId="77777777" w:rsidR="00E05845" w:rsidRPr="003D1614" w:rsidRDefault="00E05845" w:rsidP="00E05845">
            <w:pPr>
              <w:keepNext/>
              <w:keepLines/>
              <w:tabs>
                <w:tab w:val="left" w:pos="1202"/>
              </w:tabs>
              <w:suppressAutoHyphens/>
              <w:autoSpaceDN w:val="0"/>
              <w:spacing w:line="240" w:lineRule="exact"/>
              <w:rPr>
                <w:rFonts w:ascii="Arial" w:eastAsia="Times New Roman" w:hAnsi="Arial" w:cs="Arial"/>
                <w:b/>
                <w:color w:val="000000" w:themeColor="text1"/>
                <w:position w:val="4"/>
                <w:sz w:val="20"/>
                <w:szCs w:val="20"/>
                <w:u w:val="thick"/>
              </w:rPr>
            </w:pPr>
          </w:p>
        </w:tc>
        <w:tc>
          <w:tcPr>
            <w:tcW w:w="578" w:type="pct"/>
            <w:vAlign w:val="bottom"/>
          </w:tcPr>
          <w:p w14:paraId="4E8E204D" w14:textId="77777777" w:rsidR="00E05845" w:rsidRPr="003D1614" w:rsidRDefault="00E05845" w:rsidP="00E05845">
            <w:pPr>
              <w:keepNext/>
              <w:keepLines/>
              <w:tabs>
                <w:tab w:val="left" w:pos="1202"/>
              </w:tabs>
              <w:suppressAutoHyphens/>
              <w:autoSpaceDN w:val="0"/>
              <w:spacing w:line="240" w:lineRule="exact"/>
              <w:jc w:val="center"/>
              <w:rPr>
                <w:rFonts w:ascii="Arial" w:eastAsia="Times New Roman" w:hAnsi="Arial" w:cs="Arial"/>
                <w:b/>
                <w:color w:val="000000" w:themeColor="text1"/>
                <w:position w:val="4"/>
                <w:sz w:val="20"/>
                <w:szCs w:val="20"/>
                <w:u w:val="thick"/>
              </w:rPr>
            </w:pPr>
          </w:p>
        </w:tc>
        <w:tc>
          <w:tcPr>
            <w:tcW w:w="873" w:type="pct"/>
            <w:tcBorders>
              <w:top w:val="single" w:sz="12" w:space="0" w:color="auto"/>
            </w:tcBorders>
            <w:vAlign w:val="bottom"/>
          </w:tcPr>
          <w:p w14:paraId="3D79FC78" w14:textId="77777777" w:rsidR="00E05845" w:rsidRPr="003D1614" w:rsidRDefault="00E05845" w:rsidP="00E05845">
            <w:pPr>
              <w:keepNext/>
              <w:keepLines/>
              <w:suppressAutoHyphens/>
              <w:autoSpaceDN w:val="0"/>
              <w:spacing w:line="240" w:lineRule="exact"/>
              <w:jc w:val="right"/>
              <w:rPr>
                <w:rFonts w:ascii="Arial" w:eastAsia="Times New Roman" w:hAnsi="Arial" w:cs="Arial"/>
                <w:b/>
                <w:color w:val="000000" w:themeColor="text1"/>
                <w:position w:val="4"/>
                <w:sz w:val="20"/>
                <w:szCs w:val="20"/>
                <w:u w:val="thick"/>
              </w:rPr>
            </w:pPr>
          </w:p>
        </w:tc>
        <w:tc>
          <w:tcPr>
            <w:tcW w:w="994" w:type="pct"/>
            <w:tcBorders>
              <w:top w:val="single" w:sz="12" w:space="0" w:color="auto"/>
            </w:tcBorders>
            <w:vAlign w:val="bottom"/>
          </w:tcPr>
          <w:p w14:paraId="0BD760E9" w14:textId="77777777" w:rsidR="00E05845" w:rsidRPr="003D1614" w:rsidRDefault="00E05845" w:rsidP="00E05845">
            <w:pPr>
              <w:keepNext/>
              <w:keepLines/>
              <w:suppressAutoHyphens/>
              <w:autoSpaceDN w:val="0"/>
              <w:spacing w:line="240" w:lineRule="exact"/>
              <w:jc w:val="right"/>
              <w:rPr>
                <w:rFonts w:ascii="Arial" w:eastAsia="Times New Roman" w:hAnsi="Arial" w:cs="Arial"/>
                <w:b/>
                <w:color w:val="000000" w:themeColor="text1"/>
                <w:position w:val="4"/>
                <w:sz w:val="20"/>
                <w:szCs w:val="20"/>
                <w:u w:val="thick"/>
              </w:rPr>
            </w:pPr>
          </w:p>
        </w:tc>
      </w:tr>
      <w:tr w:rsidR="00E05845" w:rsidRPr="003D1614" w14:paraId="7665E4E4" w14:textId="77777777" w:rsidTr="00531D68">
        <w:trPr>
          <w:trHeight w:val="70"/>
        </w:trPr>
        <w:tc>
          <w:tcPr>
            <w:tcW w:w="2555" w:type="pct"/>
            <w:vAlign w:val="bottom"/>
          </w:tcPr>
          <w:p w14:paraId="7DC31ACA" w14:textId="77777777" w:rsidR="00E05845" w:rsidRPr="003D1614" w:rsidRDefault="00E05845" w:rsidP="00E05845">
            <w:pPr>
              <w:keepNext/>
              <w:keepLines/>
              <w:tabs>
                <w:tab w:val="left" w:pos="1202"/>
              </w:tabs>
              <w:suppressAutoHyphens/>
              <w:autoSpaceDN w:val="0"/>
              <w:spacing w:line="240" w:lineRule="exact"/>
              <w:rPr>
                <w:rFonts w:ascii="Arial" w:eastAsia="Times New Roman" w:hAnsi="Arial" w:cs="Arial"/>
                <w:b/>
                <w:color w:val="000000" w:themeColor="text1"/>
                <w:position w:val="4"/>
                <w:sz w:val="20"/>
                <w:szCs w:val="20"/>
                <w:u w:val="thick"/>
              </w:rPr>
            </w:pPr>
          </w:p>
        </w:tc>
        <w:tc>
          <w:tcPr>
            <w:tcW w:w="578" w:type="pct"/>
            <w:vAlign w:val="bottom"/>
          </w:tcPr>
          <w:p w14:paraId="40E7A959" w14:textId="77777777" w:rsidR="00E05845" w:rsidRPr="003D1614" w:rsidRDefault="00E05845" w:rsidP="00E05845">
            <w:pPr>
              <w:keepNext/>
              <w:keepLines/>
              <w:tabs>
                <w:tab w:val="left" w:pos="1202"/>
              </w:tabs>
              <w:suppressAutoHyphens/>
              <w:autoSpaceDN w:val="0"/>
              <w:spacing w:line="240" w:lineRule="exact"/>
              <w:jc w:val="center"/>
              <w:rPr>
                <w:rFonts w:ascii="Arial" w:eastAsia="Times New Roman" w:hAnsi="Arial" w:cs="Arial"/>
                <w:b/>
                <w:color w:val="000000" w:themeColor="text1"/>
                <w:position w:val="4"/>
                <w:sz w:val="20"/>
                <w:szCs w:val="20"/>
                <w:u w:val="thick"/>
              </w:rPr>
            </w:pPr>
          </w:p>
        </w:tc>
        <w:tc>
          <w:tcPr>
            <w:tcW w:w="873" w:type="pct"/>
            <w:vAlign w:val="bottom"/>
          </w:tcPr>
          <w:p w14:paraId="12589FD0" w14:textId="77777777" w:rsidR="00E05845" w:rsidRPr="003D1614" w:rsidRDefault="00E05845" w:rsidP="00E05845">
            <w:pPr>
              <w:keepNext/>
              <w:keepLines/>
              <w:suppressAutoHyphens/>
              <w:autoSpaceDN w:val="0"/>
              <w:spacing w:line="240" w:lineRule="exact"/>
              <w:jc w:val="right"/>
              <w:rPr>
                <w:rFonts w:ascii="Arial" w:eastAsia="Times New Roman" w:hAnsi="Arial" w:cs="Arial"/>
                <w:b/>
                <w:color w:val="000000" w:themeColor="text1"/>
                <w:position w:val="4"/>
                <w:sz w:val="20"/>
                <w:szCs w:val="20"/>
                <w:u w:val="thick"/>
              </w:rPr>
            </w:pPr>
          </w:p>
        </w:tc>
        <w:tc>
          <w:tcPr>
            <w:tcW w:w="994" w:type="pct"/>
            <w:vAlign w:val="bottom"/>
          </w:tcPr>
          <w:p w14:paraId="6CF7B84A" w14:textId="77777777" w:rsidR="00E05845" w:rsidRPr="003D1614" w:rsidRDefault="00E05845" w:rsidP="00E05845">
            <w:pPr>
              <w:keepNext/>
              <w:keepLines/>
              <w:suppressAutoHyphens/>
              <w:autoSpaceDN w:val="0"/>
              <w:spacing w:line="240" w:lineRule="exact"/>
              <w:jc w:val="right"/>
              <w:rPr>
                <w:rFonts w:ascii="Arial" w:eastAsia="Times New Roman" w:hAnsi="Arial" w:cs="Arial"/>
                <w:b/>
                <w:color w:val="000000" w:themeColor="text1"/>
                <w:position w:val="4"/>
                <w:sz w:val="20"/>
                <w:szCs w:val="20"/>
                <w:u w:val="thick"/>
              </w:rPr>
            </w:pPr>
          </w:p>
        </w:tc>
      </w:tr>
      <w:tr w:rsidR="00E05845" w:rsidRPr="003D1614" w14:paraId="7FDC10AA" w14:textId="77777777" w:rsidTr="00531D68">
        <w:trPr>
          <w:trHeight w:val="70"/>
        </w:trPr>
        <w:tc>
          <w:tcPr>
            <w:tcW w:w="2555" w:type="pct"/>
            <w:vAlign w:val="bottom"/>
          </w:tcPr>
          <w:p w14:paraId="3E0B0254" w14:textId="77777777" w:rsidR="00E05845" w:rsidRPr="003D1614" w:rsidRDefault="00E05845" w:rsidP="00E05845">
            <w:pPr>
              <w:keepNext/>
              <w:keepLines/>
              <w:tabs>
                <w:tab w:val="left" w:pos="1202"/>
              </w:tabs>
              <w:suppressAutoHyphens/>
              <w:autoSpaceDN w:val="0"/>
              <w:spacing w:line="301" w:lineRule="exact"/>
              <w:rPr>
                <w:rFonts w:ascii="Arial" w:eastAsia="Times New Roman" w:hAnsi="Arial" w:cs="Arial"/>
                <w:b/>
                <w:color w:val="000000" w:themeColor="text1"/>
                <w:position w:val="4"/>
                <w:sz w:val="20"/>
                <w:szCs w:val="20"/>
              </w:rPr>
            </w:pPr>
            <w:r w:rsidRPr="003D1614">
              <w:rPr>
                <w:rFonts w:ascii="Arial" w:eastAsia="Times New Roman" w:hAnsi="Arial" w:cs="Arial"/>
                <w:b/>
                <w:color w:val="000000" w:themeColor="text1"/>
                <w:position w:val="4"/>
                <w:sz w:val="20"/>
                <w:szCs w:val="20"/>
              </w:rPr>
              <w:t>Dobit za raspodjelu:</w:t>
            </w:r>
          </w:p>
        </w:tc>
        <w:tc>
          <w:tcPr>
            <w:tcW w:w="578" w:type="pct"/>
            <w:vAlign w:val="bottom"/>
          </w:tcPr>
          <w:p w14:paraId="476521F6" w14:textId="77777777" w:rsidR="00E05845" w:rsidRPr="003D1614" w:rsidRDefault="00E05845" w:rsidP="00E05845">
            <w:pPr>
              <w:keepNext/>
              <w:keepLines/>
              <w:tabs>
                <w:tab w:val="left" w:pos="1202"/>
              </w:tabs>
              <w:suppressAutoHyphens/>
              <w:autoSpaceDN w:val="0"/>
              <w:spacing w:line="301" w:lineRule="exact"/>
              <w:jc w:val="center"/>
              <w:rPr>
                <w:rFonts w:ascii="Arial" w:eastAsia="Times New Roman" w:hAnsi="Arial" w:cs="Arial"/>
                <w:b/>
                <w:color w:val="000000" w:themeColor="text1"/>
                <w:position w:val="4"/>
                <w:sz w:val="20"/>
                <w:szCs w:val="20"/>
                <w:u w:val="thick"/>
              </w:rPr>
            </w:pPr>
          </w:p>
        </w:tc>
        <w:tc>
          <w:tcPr>
            <w:tcW w:w="873" w:type="pct"/>
            <w:vAlign w:val="bottom"/>
          </w:tcPr>
          <w:p w14:paraId="0DD4C538" w14:textId="77777777" w:rsidR="00E05845" w:rsidRPr="003D1614" w:rsidRDefault="00E05845" w:rsidP="00E05845">
            <w:pPr>
              <w:keepNext/>
              <w:keepLines/>
              <w:suppressAutoHyphens/>
              <w:autoSpaceDN w:val="0"/>
              <w:spacing w:line="301" w:lineRule="exact"/>
              <w:jc w:val="right"/>
              <w:rPr>
                <w:rFonts w:ascii="Arial" w:eastAsia="Times New Roman" w:hAnsi="Arial" w:cs="Arial"/>
                <w:b/>
                <w:color w:val="000000" w:themeColor="text1"/>
                <w:position w:val="4"/>
                <w:sz w:val="20"/>
                <w:szCs w:val="20"/>
                <w:u w:val="thick"/>
              </w:rPr>
            </w:pPr>
          </w:p>
        </w:tc>
        <w:tc>
          <w:tcPr>
            <w:tcW w:w="994" w:type="pct"/>
            <w:vAlign w:val="bottom"/>
          </w:tcPr>
          <w:p w14:paraId="369EA992" w14:textId="77777777" w:rsidR="00E05845" w:rsidRPr="003D1614" w:rsidRDefault="00E05845" w:rsidP="00E05845">
            <w:pPr>
              <w:keepNext/>
              <w:keepLines/>
              <w:suppressAutoHyphens/>
              <w:autoSpaceDN w:val="0"/>
              <w:spacing w:line="301" w:lineRule="exact"/>
              <w:jc w:val="right"/>
              <w:rPr>
                <w:rFonts w:ascii="Arial" w:eastAsia="Times New Roman" w:hAnsi="Arial" w:cs="Arial"/>
                <w:b/>
                <w:color w:val="000000" w:themeColor="text1"/>
                <w:position w:val="4"/>
                <w:sz w:val="20"/>
                <w:szCs w:val="20"/>
                <w:u w:val="thick"/>
              </w:rPr>
            </w:pPr>
          </w:p>
        </w:tc>
      </w:tr>
      <w:tr w:rsidR="00E05845" w:rsidRPr="003D1614" w14:paraId="49B7B63E" w14:textId="77777777" w:rsidTr="005D1219">
        <w:trPr>
          <w:trHeight w:val="70"/>
        </w:trPr>
        <w:tc>
          <w:tcPr>
            <w:tcW w:w="2555" w:type="pct"/>
            <w:vAlign w:val="bottom"/>
          </w:tcPr>
          <w:p w14:paraId="387846AA" w14:textId="77777777" w:rsidR="00E05845" w:rsidRPr="003D1614" w:rsidRDefault="00E05845" w:rsidP="00E05845">
            <w:pPr>
              <w:keepNext/>
              <w:keepLines/>
              <w:tabs>
                <w:tab w:val="left" w:pos="1202"/>
              </w:tabs>
              <w:suppressAutoHyphens/>
              <w:autoSpaceDN w:val="0"/>
              <w:spacing w:line="301" w:lineRule="exact"/>
              <w:rPr>
                <w:rFonts w:ascii="Arial" w:eastAsia="Times New Roman" w:hAnsi="Arial" w:cs="Arial"/>
                <w:b/>
                <w:color w:val="000000" w:themeColor="text1"/>
                <w:position w:val="4"/>
                <w:sz w:val="20"/>
                <w:szCs w:val="20"/>
              </w:rPr>
            </w:pPr>
            <w:r w:rsidRPr="003D1614">
              <w:rPr>
                <w:rFonts w:ascii="Arial" w:eastAsia="Times New Roman" w:hAnsi="Arial" w:cs="Arial"/>
                <w:b/>
                <w:color w:val="000000" w:themeColor="text1"/>
                <w:position w:val="4"/>
                <w:sz w:val="20"/>
                <w:szCs w:val="20"/>
              </w:rPr>
              <w:t>Vlasniku društva</w:t>
            </w:r>
          </w:p>
        </w:tc>
        <w:tc>
          <w:tcPr>
            <w:tcW w:w="578" w:type="pct"/>
            <w:vAlign w:val="bottom"/>
          </w:tcPr>
          <w:p w14:paraId="793BB9CD" w14:textId="77777777" w:rsidR="00E05845" w:rsidRPr="003D1614" w:rsidRDefault="00E05845" w:rsidP="00E05845">
            <w:pPr>
              <w:keepNext/>
              <w:keepLines/>
              <w:tabs>
                <w:tab w:val="left" w:pos="1202"/>
              </w:tabs>
              <w:suppressAutoHyphens/>
              <w:autoSpaceDN w:val="0"/>
              <w:spacing w:line="301" w:lineRule="exact"/>
              <w:jc w:val="center"/>
              <w:rPr>
                <w:rFonts w:ascii="Arial" w:eastAsia="Times New Roman" w:hAnsi="Arial" w:cs="Arial"/>
                <w:b/>
                <w:color w:val="000000" w:themeColor="text1"/>
                <w:position w:val="4"/>
                <w:sz w:val="20"/>
                <w:szCs w:val="20"/>
                <w:u w:val="thick"/>
              </w:rPr>
            </w:pPr>
          </w:p>
        </w:tc>
        <w:tc>
          <w:tcPr>
            <w:tcW w:w="873" w:type="pct"/>
            <w:tcBorders>
              <w:bottom w:val="single" w:sz="12" w:space="0" w:color="auto"/>
            </w:tcBorders>
            <w:vAlign w:val="bottom"/>
          </w:tcPr>
          <w:p w14:paraId="0353E9B5" w14:textId="498F067B" w:rsidR="00E05845" w:rsidRPr="00356744" w:rsidRDefault="00C07BBF" w:rsidP="00E05845">
            <w:pPr>
              <w:keepNext/>
              <w:keepLines/>
              <w:suppressAutoHyphens/>
              <w:autoSpaceDN w:val="0"/>
              <w:spacing w:line="301" w:lineRule="exact"/>
              <w:jc w:val="right"/>
              <w:rPr>
                <w:rFonts w:ascii="Arial" w:eastAsia="Times New Roman" w:hAnsi="Arial" w:cs="Arial"/>
                <w:b/>
                <w:bCs/>
                <w:color w:val="000000" w:themeColor="text1"/>
                <w:position w:val="4"/>
                <w:sz w:val="20"/>
                <w:szCs w:val="20"/>
              </w:rPr>
            </w:pPr>
            <w:r>
              <w:rPr>
                <w:rFonts w:ascii="Arial" w:eastAsia="Times New Roman" w:hAnsi="Arial" w:cs="Arial"/>
                <w:b/>
                <w:bCs/>
                <w:color w:val="000000" w:themeColor="text1"/>
                <w:position w:val="4"/>
                <w:sz w:val="20"/>
                <w:szCs w:val="20"/>
              </w:rPr>
              <w:t>17.580</w:t>
            </w:r>
          </w:p>
        </w:tc>
        <w:tc>
          <w:tcPr>
            <w:tcW w:w="994" w:type="pct"/>
            <w:tcBorders>
              <w:bottom w:val="single" w:sz="12" w:space="0" w:color="auto"/>
            </w:tcBorders>
            <w:vAlign w:val="bottom"/>
          </w:tcPr>
          <w:p w14:paraId="45397E86" w14:textId="1BDA3EA0" w:rsidR="00E05845" w:rsidRPr="00356744" w:rsidRDefault="00E05845" w:rsidP="00E05845">
            <w:pPr>
              <w:keepNext/>
              <w:keepLines/>
              <w:suppressAutoHyphens/>
              <w:autoSpaceDN w:val="0"/>
              <w:spacing w:line="301" w:lineRule="exact"/>
              <w:jc w:val="right"/>
              <w:rPr>
                <w:rFonts w:ascii="Arial" w:eastAsia="Times New Roman" w:hAnsi="Arial" w:cs="Arial"/>
                <w:b/>
                <w:bCs/>
                <w:color w:val="000000" w:themeColor="text1"/>
                <w:position w:val="4"/>
                <w:sz w:val="20"/>
                <w:szCs w:val="20"/>
              </w:rPr>
            </w:pPr>
            <w:r w:rsidRPr="00356744">
              <w:rPr>
                <w:b/>
                <w:bCs/>
              </w:rPr>
              <w:t xml:space="preserve"> </w:t>
            </w:r>
            <w:r w:rsidRPr="005D1219">
              <w:rPr>
                <w:rFonts w:ascii="Arial" w:eastAsia="Times New Roman" w:hAnsi="Arial" w:cs="Arial"/>
                <w:b/>
                <w:bCs/>
                <w:color w:val="000000" w:themeColor="text1"/>
                <w:position w:val="4"/>
                <w:sz w:val="20"/>
                <w:szCs w:val="20"/>
              </w:rPr>
              <w:t>18.475</w:t>
            </w:r>
            <w:r w:rsidRPr="00356744">
              <w:rPr>
                <w:b/>
                <w:bCs/>
              </w:rPr>
              <w:t xml:space="preserve"> </w:t>
            </w:r>
          </w:p>
        </w:tc>
      </w:tr>
    </w:tbl>
    <w:p w14:paraId="015919E6" w14:textId="52434952" w:rsidR="00A56428" w:rsidRPr="003D1614" w:rsidRDefault="00A56428" w:rsidP="00A56428">
      <w:pPr>
        <w:rPr>
          <w:rFonts w:ascii="Arial" w:eastAsia="Times New Roman" w:hAnsi="Arial" w:cs="Arial"/>
          <w:sz w:val="20"/>
          <w:szCs w:val="20"/>
        </w:rPr>
      </w:pPr>
    </w:p>
    <w:p w14:paraId="7A60B48A" w14:textId="6AFB110F" w:rsidR="00A56428" w:rsidRPr="003D1614" w:rsidRDefault="00A56428" w:rsidP="00A56428">
      <w:pPr>
        <w:rPr>
          <w:rFonts w:ascii="Arial" w:eastAsia="Times New Roman" w:hAnsi="Arial" w:cs="Arial"/>
          <w:sz w:val="20"/>
          <w:szCs w:val="20"/>
        </w:rPr>
      </w:pPr>
    </w:p>
    <w:p w14:paraId="3CCA6143" w14:textId="17AAAE5A" w:rsidR="00A56428" w:rsidRPr="003D1614" w:rsidRDefault="00A56428" w:rsidP="00A56428">
      <w:pPr>
        <w:rPr>
          <w:rFonts w:ascii="Arial" w:eastAsia="Times New Roman" w:hAnsi="Arial" w:cs="Arial"/>
          <w:sz w:val="20"/>
          <w:szCs w:val="20"/>
        </w:rPr>
      </w:pPr>
    </w:p>
    <w:p w14:paraId="09EF6846" w14:textId="781B0097" w:rsidR="00A56428" w:rsidRPr="003D1614" w:rsidRDefault="00A56428" w:rsidP="00A56428">
      <w:pPr>
        <w:rPr>
          <w:rFonts w:ascii="Arial" w:eastAsia="Times New Roman" w:hAnsi="Arial" w:cs="Arial"/>
          <w:sz w:val="20"/>
          <w:szCs w:val="20"/>
        </w:rPr>
      </w:pPr>
      <w:r w:rsidRPr="003D1614">
        <w:rPr>
          <w:rFonts w:ascii="Arial" w:eastAsia="Times New Roman" w:hAnsi="Arial" w:cs="Arial"/>
          <w:sz w:val="20"/>
          <w:szCs w:val="20"/>
        </w:rPr>
        <w:t>Priložene računovodstvene politike i bilješke sastavni su dio ovih financijskih izvještaja.</w:t>
      </w:r>
    </w:p>
    <w:p w14:paraId="7CD4914C" w14:textId="77777777" w:rsidR="00A56428" w:rsidRPr="003D1614" w:rsidRDefault="00A56428" w:rsidP="00A56428">
      <w:pPr>
        <w:rPr>
          <w:rFonts w:ascii="Arial" w:eastAsia="Times New Roman" w:hAnsi="Arial" w:cs="Arial"/>
          <w:sz w:val="20"/>
          <w:szCs w:val="20"/>
        </w:rPr>
        <w:sectPr w:rsidR="00A56428" w:rsidRPr="003D1614">
          <w:headerReference w:type="default" r:id="rId16"/>
          <w:pgSz w:w="11906" w:h="16838"/>
          <w:pgMar w:top="1417" w:right="1417" w:bottom="1417" w:left="1417" w:header="708" w:footer="708" w:gutter="0"/>
          <w:cols w:space="708"/>
          <w:docGrid w:linePitch="360"/>
        </w:sectPr>
      </w:pPr>
    </w:p>
    <w:p w14:paraId="3EF29F43" w14:textId="19415978" w:rsidR="00A56428" w:rsidRPr="003D1614" w:rsidRDefault="00A56428" w:rsidP="00A56428">
      <w:pPr>
        <w:rPr>
          <w:rFonts w:ascii="Arial" w:eastAsia="Times New Roman" w:hAnsi="Arial" w:cs="Arial"/>
          <w:sz w:val="20"/>
          <w:szCs w:val="20"/>
        </w:rPr>
      </w:pPr>
    </w:p>
    <w:p w14:paraId="7B1200EB" w14:textId="7CBA3DA4" w:rsidR="00295417" w:rsidRPr="003D1614" w:rsidRDefault="00295417" w:rsidP="00A56428">
      <w:pPr>
        <w:rPr>
          <w:rFonts w:ascii="Arial" w:eastAsia="Times New Roman" w:hAnsi="Arial" w:cs="Arial"/>
          <w:sz w:val="20"/>
          <w:szCs w:val="20"/>
        </w:rPr>
      </w:pPr>
    </w:p>
    <w:tbl>
      <w:tblPr>
        <w:tblW w:w="5000" w:type="pct"/>
        <w:tblCellMar>
          <w:left w:w="119" w:type="dxa"/>
          <w:right w:w="119" w:type="dxa"/>
        </w:tblCellMar>
        <w:tblLook w:val="0000" w:firstRow="0" w:lastRow="0" w:firstColumn="0" w:lastColumn="0" w:noHBand="0" w:noVBand="0"/>
      </w:tblPr>
      <w:tblGrid>
        <w:gridCol w:w="6466"/>
        <w:gridCol w:w="1303"/>
        <w:gridCol w:w="1303"/>
      </w:tblGrid>
      <w:tr w:rsidR="00295417" w:rsidRPr="00475943" w14:paraId="2D525BD7" w14:textId="77777777" w:rsidTr="00531D68">
        <w:trPr>
          <w:trHeight w:val="355"/>
        </w:trPr>
        <w:tc>
          <w:tcPr>
            <w:tcW w:w="3564" w:type="pct"/>
            <w:vAlign w:val="bottom"/>
          </w:tcPr>
          <w:p w14:paraId="56E6F7C8" w14:textId="77777777" w:rsidR="00295417" w:rsidRPr="00475943" w:rsidRDefault="00295417" w:rsidP="005A346D">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718" w:type="pct"/>
            <w:vAlign w:val="bottom"/>
          </w:tcPr>
          <w:p w14:paraId="75BC94E9" w14:textId="27AD56CE" w:rsidR="00295417" w:rsidRPr="00475943" w:rsidRDefault="00295417" w:rsidP="005A346D">
            <w:pPr>
              <w:spacing w:line="301" w:lineRule="exact"/>
              <w:jc w:val="right"/>
              <w:outlineLvl w:val="0"/>
              <w:rPr>
                <w:rFonts w:ascii="Arial" w:eastAsia="Times New Roman" w:hAnsi="Arial" w:cs="Arial"/>
                <w:b/>
                <w:bCs/>
                <w:color w:val="000000" w:themeColor="text1"/>
                <w:sz w:val="20"/>
                <w:szCs w:val="20"/>
              </w:rPr>
            </w:pPr>
            <w:r w:rsidRPr="00475943">
              <w:rPr>
                <w:rFonts w:ascii="Arial" w:eastAsia="Times New Roman" w:hAnsi="Arial" w:cs="Arial"/>
                <w:b/>
                <w:bCs/>
                <w:color w:val="000000" w:themeColor="text1"/>
                <w:sz w:val="20"/>
                <w:szCs w:val="20"/>
              </w:rPr>
              <w:t>202</w:t>
            </w:r>
            <w:r w:rsidR="009A7974">
              <w:rPr>
                <w:rFonts w:ascii="Arial" w:eastAsia="Times New Roman" w:hAnsi="Arial" w:cs="Arial"/>
                <w:b/>
                <w:bCs/>
                <w:color w:val="000000" w:themeColor="text1"/>
                <w:sz w:val="20"/>
                <w:szCs w:val="20"/>
              </w:rPr>
              <w:t>4</w:t>
            </w:r>
            <w:r w:rsidRPr="00475943">
              <w:rPr>
                <w:rFonts w:ascii="Arial" w:eastAsia="Times New Roman" w:hAnsi="Arial" w:cs="Arial"/>
                <w:b/>
                <w:bCs/>
                <w:color w:val="000000" w:themeColor="text1"/>
                <w:sz w:val="20"/>
                <w:szCs w:val="20"/>
              </w:rPr>
              <w:t>.</w:t>
            </w:r>
          </w:p>
        </w:tc>
        <w:tc>
          <w:tcPr>
            <w:tcW w:w="718" w:type="pct"/>
            <w:vAlign w:val="bottom"/>
          </w:tcPr>
          <w:p w14:paraId="5EA9A601" w14:textId="3C715040" w:rsidR="00295417" w:rsidRPr="00475943" w:rsidRDefault="00295417" w:rsidP="005A346D">
            <w:pPr>
              <w:spacing w:line="301" w:lineRule="exact"/>
              <w:jc w:val="right"/>
              <w:outlineLvl w:val="0"/>
              <w:rPr>
                <w:rFonts w:ascii="Arial" w:eastAsia="Times New Roman" w:hAnsi="Arial" w:cs="Arial"/>
                <w:b/>
                <w:bCs/>
                <w:color w:val="000000" w:themeColor="text1"/>
                <w:sz w:val="20"/>
                <w:szCs w:val="20"/>
              </w:rPr>
            </w:pPr>
            <w:r w:rsidRPr="00475943">
              <w:rPr>
                <w:rFonts w:ascii="Arial" w:eastAsia="Times New Roman" w:hAnsi="Arial" w:cs="Arial"/>
                <w:b/>
                <w:bCs/>
                <w:color w:val="000000" w:themeColor="text1"/>
                <w:sz w:val="20"/>
                <w:szCs w:val="20"/>
              </w:rPr>
              <w:t>202</w:t>
            </w:r>
            <w:r w:rsidR="009A7974">
              <w:rPr>
                <w:rFonts w:ascii="Arial" w:eastAsia="Times New Roman" w:hAnsi="Arial" w:cs="Arial"/>
                <w:b/>
                <w:bCs/>
                <w:color w:val="000000" w:themeColor="text1"/>
                <w:sz w:val="20"/>
                <w:szCs w:val="20"/>
              </w:rPr>
              <w:t>3</w:t>
            </w:r>
            <w:r w:rsidRPr="00475943">
              <w:rPr>
                <w:rFonts w:ascii="Arial" w:eastAsia="Times New Roman" w:hAnsi="Arial" w:cs="Arial"/>
                <w:b/>
                <w:bCs/>
                <w:color w:val="000000" w:themeColor="text1"/>
                <w:sz w:val="20"/>
                <w:szCs w:val="20"/>
              </w:rPr>
              <w:t>.</w:t>
            </w:r>
          </w:p>
        </w:tc>
      </w:tr>
      <w:tr w:rsidR="00295417" w:rsidRPr="00475943" w14:paraId="34D63076" w14:textId="77777777" w:rsidTr="00531D68">
        <w:trPr>
          <w:trHeight w:val="351"/>
        </w:trPr>
        <w:tc>
          <w:tcPr>
            <w:tcW w:w="3564" w:type="pct"/>
            <w:vAlign w:val="bottom"/>
          </w:tcPr>
          <w:p w14:paraId="4B9A1B06" w14:textId="77777777" w:rsidR="00295417" w:rsidRPr="00475943" w:rsidRDefault="00295417" w:rsidP="005A346D">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718" w:type="pct"/>
            <w:vAlign w:val="bottom"/>
          </w:tcPr>
          <w:p w14:paraId="720B9FCD" w14:textId="63688D67" w:rsidR="00295417" w:rsidRPr="00475943" w:rsidRDefault="00295417" w:rsidP="005A346D">
            <w:pPr>
              <w:spacing w:line="301" w:lineRule="exact"/>
              <w:jc w:val="right"/>
              <w:outlineLvl w:val="0"/>
              <w:rPr>
                <w:rFonts w:ascii="Arial" w:eastAsia="Times New Roman" w:hAnsi="Arial" w:cs="Arial"/>
                <w:b/>
                <w:bCs/>
                <w:color w:val="000000" w:themeColor="text1"/>
                <w:sz w:val="20"/>
                <w:szCs w:val="20"/>
              </w:rPr>
            </w:pPr>
            <w:r w:rsidRPr="00475943">
              <w:rPr>
                <w:rFonts w:ascii="Arial" w:eastAsia="Times New Roman" w:hAnsi="Arial" w:cs="Arial"/>
                <w:b/>
                <w:bCs/>
                <w:color w:val="000000" w:themeColor="text1"/>
                <w:sz w:val="20"/>
                <w:szCs w:val="20"/>
              </w:rPr>
              <w:t xml:space="preserve">000 </w:t>
            </w:r>
            <w:r w:rsidR="00764509" w:rsidRPr="00475943">
              <w:rPr>
                <w:rFonts w:ascii="Arial" w:eastAsia="Times New Roman" w:hAnsi="Arial" w:cs="Arial"/>
                <w:b/>
                <w:bCs/>
                <w:color w:val="000000" w:themeColor="text1"/>
                <w:sz w:val="20"/>
                <w:szCs w:val="20"/>
              </w:rPr>
              <w:t>eura</w:t>
            </w:r>
          </w:p>
        </w:tc>
        <w:tc>
          <w:tcPr>
            <w:tcW w:w="718" w:type="pct"/>
            <w:vAlign w:val="bottom"/>
          </w:tcPr>
          <w:p w14:paraId="42FE6785" w14:textId="02D88F4E" w:rsidR="00295417" w:rsidRPr="00475943" w:rsidRDefault="00295417" w:rsidP="005A346D">
            <w:pPr>
              <w:spacing w:line="301" w:lineRule="exact"/>
              <w:jc w:val="right"/>
              <w:outlineLvl w:val="0"/>
              <w:rPr>
                <w:rFonts w:ascii="Arial" w:eastAsia="Times New Roman" w:hAnsi="Arial" w:cs="Arial"/>
                <w:b/>
                <w:bCs/>
                <w:color w:val="000000" w:themeColor="text1"/>
                <w:sz w:val="20"/>
                <w:szCs w:val="20"/>
              </w:rPr>
            </w:pPr>
            <w:r w:rsidRPr="00475943">
              <w:rPr>
                <w:rFonts w:ascii="Arial" w:eastAsia="Times New Roman" w:hAnsi="Arial" w:cs="Arial"/>
                <w:b/>
                <w:bCs/>
                <w:color w:val="000000" w:themeColor="text1"/>
                <w:sz w:val="20"/>
                <w:szCs w:val="20"/>
              </w:rPr>
              <w:t xml:space="preserve">000 </w:t>
            </w:r>
            <w:r w:rsidR="00764509" w:rsidRPr="00475943">
              <w:rPr>
                <w:rFonts w:ascii="Arial" w:eastAsia="Times New Roman" w:hAnsi="Arial" w:cs="Arial"/>
                <w:b/>
                <w:bCs/>
                <w:color w:val="000000" w:themeColor="text1"/>
                <w:sz w:val="20"/>
                <w:szCs w:val="20"/>
              </w:rPr>
              <w:t>eura</w:t>
            </w:r>
          </w:p>
        </w:tc>
      </w:tr>
      <w:tr w:rsidR="00295417" w:rsidRPr="00475943" w14:paraId="3C2AE112" w14:textId="77777777" w:rsidTr="00531D68">
        <w:trPr>
          <w:trHeight w:hRule="exact" w:val="295"/>
        </w:trPr>
        <w:tc>
          <w:tcPr>
            <w:tcW w:w="3564" w:type="pct"/>
            <w:vAlign w:val="bottom"/>
          </w:tcPr>
          <w:p w14:paraId="180DDBDD" w14:textId="77777777" w:rsidR="00295417" w:rsidRPr="00475943" w:rsidRDefault="00295417" w:rsidP="005A346D">
            <w:pPr>
              <w:tabs>
                <w:tab w:val="right" w:pos="1202"/>
              </w:tabs>
              <w:spacing w:line="301" w:lineRule="exact"/>
              <w:jc w:val="center"/>
              <w:outlineLvl w:val="0"/>
              <w:rPr>
                <w:rFonts w:ascii="Arial" w:eastAsia="Times New Roman" w:hAnsi="Arial" w:cs="Arial"/>
                <w:b/>
                <w:bCs/>
                <w:color w:val="000000" w:themeColor="text1"/>
                <w:sz w:val="20"/>
                <w:szCs w:val="20"/>
              </w:rPr>
            </w:pPr>
          </w:p>
        </w:tc>
        <w:tc>
          <w:tcPr>
            <w:tcW w:w="718" w:type="pct"/>
            <w:vAlign w:val="bottom"/>
          </w:tcPr>
          <w:p w14:paraId="66B85B37" w14:textId="77777777" w:rsidR="00295417" w:rsidRPr="00475943" w:rsidRDefault="00295417" w:rsidP="005A346D">
            <w:pPr>
              <w:spacing w:line="301" w:lineRule="exact"/>
              <w:jc w:val="right"/>
              <w:outlineLvl w:val="0"/>
              <w:rPr>
                <w:rFonts w:ascii="Arial" w:eastAsia="Times New Roman" w:hAnsi="Arial" w:cs="Arial"/>
                <w:b/>
                <w:bCs/>
                <w:color w:val="000000" w:themeColor="text1"/>
                <w:sz w:val="20"/>
                <w:szCs w:val="20"/>
              </w:rPr>
            </w:pPr>
          </w:p>
        </w:tc>
        <w:tc>
          <w:tcPr>
            <w:tcW w:w="718" w:type="pct"/>
            <w:vAlign w:val="bottom"/>
          </w:tcPr>
          <w:p w14:paraId="49903415" w14:textId="77777777" w:rsidR="00295417" w:rsidRPr="00475943" w:rsidRDefault="00295417" w:rsidP="005A346D">
            <w:pPr>
              <w:spacing w:line="301" w:lineRule="exact"/>
              <w:jc w:val="right"/>
              <w:outlineLvl w:val="0"/>
              <w:rPr>
                <w:rFonts w:ascii="Arial" w:eastAsia="Times New Roman" w:hAnsi="Arial" w:cs="Arial"/>
                <w:b/>
                <w:bCs/>
                <w:color w:val="000000" w:themeColor="text1"/>
                <w:sz w:val="20"/>
                <w:szCs w:val="20"/>
              </w:rPr>
            </w:pPr>
          </w:p>
        </w:tc>
      </w:tr>
      <w:tr w:rsidR="009A7974" w:rsidRPr="00475943" w14:paraId="17C25FDD" w14:textId="77777777" w:rsidTr="00965E12">
        <w:trPr>
          <w:trHeight w:val="348"/>
        </w:trPr>
        <w:tc>
          <w:tcPr>
            <w:tcW w:w="3564" w:type="pct"/>
            <w:vAlign w:val="bottom"/>
          </w:tcPr>
          <w:p w14:paraId="54094867" w14:textId="77777777" w:rsidR="009A7974" w:rsidRPr="00475943" w:rsidRDefault="009A7974" w:rsidP="009A7974">
            <w:pPr>
              <w:tabs>
                <w:tab w:val="right" w:pos="1202"/>
              </w:tabs>
              <w:spacing w:line="240" w:lineRule="exact"/>
              <w:outlineLvl w:val="0"/>
              <w:rPr>
                <w:rFonts w:ascii="Arial" w:eastAsia="Times New Roman" w:hAnsi="Arial" w:cs="Arial"/>
                <w:b/>
                <w:bCs/>
                <w:color w:val="000000" w:themeColor="text1"/>
                <w:sz w:val="20"/>
                <w:szCs w:val="20"/>
              </w:rPr>
            </w:pPr>
            <w:r w:rsidRPr="00475943">
              <w:rPr>
                <w:rFonts w:ascii="Arial" w:eastAsia="Times New Roman" w:hAnsi="Arial" w:cs="Arial"/>
                <w:b/>
                <w:bCs/>
                <w:color w:val="000000" w:themeColor="text1"/>
                <w:sz w:val="20"/>
                <w:szCs w:val="20"/>
              </w:rPr>
              <w:t>Dobit tekućeg razdoblja</w:t>
            </w:r>
          </w:p>
        </w:tc>
        <w:tc>
          <w:tcPr>
            <w:tcW w:w="718" w:type="pct"/>
            <w:tcBorders>
              <w:bottom w:val="single" w:sz="12" w:space="0" w:color="auto"/>
            </w:tcBorders>
          </w:tcPr>
          <w:p w14:paraId="032B8198" w14:textId="2B764690" w:rsidR="009A7974" w:rsidRPr="00475943" w:rsidRDefault="002827F6" w:rsidP="009A7974">
            <w:pPr>
              <w:tabs>
                <w:tab w:val="right" w:pos="1202"/>
              </w:tabs>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17.580</w:t>
            </w:r>
          </w:p>
        </w:tc>
        <w:tc>
          <w:tcPr>
            <w:tcW w:w="718" w:type="pct"/>
            <w:tcBorders>
              <w:bottom w:val="single" w:sz="12" w:space="0" w:color="auto"/>
            </w:tcBorders>
          </w:tcPr>
          <w:p w14:paraId="37176675" w14:textId="63974413" w:rsidR="009A7974" w:rsidRPr="00475943" w:rsidRDefault="009A7974" w:rsidP="009A7974">
            <w:pPr>
              <w:tabs>
                <w:tab w:val="right" w:pos="1202"/>
              </w:tabs>
              <w:spacing w:line="340" w:lineRule="exact"/>
              <w:jc w:val="right"/>
              <w:outlineLvl w:val="0"/>
              <w:rPr>
                <w:rFonts w:ascii="Arial" w:eastAsia="Times New Roman" w:hAnsi="Arial" w:cs="Arial"/>
                <w:b/>
                <w:bCs/>
                <w:color w:val="000000" w:themeColor="text1"/>
                <w:sz w:val="20"/>
                <w:szCs w:val="20"/>
              </w:rPr>
            </w:pPr>
            <w:r w:rsidRPr="00475943">
              <w:rPr>
                <w:rFonts w:ascii="Arial" w:hAnsi="Arial" w:cs="Arial"/>
                <w:b/>
                <w:bCs/>
                <w:sz w:val="20"/>
                <w:szCs w:val="20"/>
              </w:rPr>
              <w:t xml:space="preserve"> 18.475 </w:t>
            </w:r>
          </w:p>
        </w:tc>
      </w:tr>
      <w:tr w:rsidR="009A7974" w:rsidRPr="00475943" w14:paraId="7A90879C" w14:textId="77777777" w:rsidTr="00531D68">
        <w:trPr>
          <w:trHeight w:val="336"/>
        </w:trPr>
        <w:tc>
          <w:tcPr>
            <w:tcW w:w="3564" w:type="pct"/>
            <w:vAlign w:val="bottom"/>
          </w:tcPr>
          <w:p w14:paraId="16E46519" w14:textId="77777777" w:rsidR="009A7974" w:rsidRPr="00475943" w:rsidRDefault="009A7974" w:rsidP="009A7974">
            <w:pPr>
              <w:tabs>
                <w:tab w:val="right" w:pos="1202"/>
              </w:tabs>
              <w:spacing w:line="240" w:lineRule="exact"/>
              <w:outlineLvl w:val="0"/>
              <w:rPr>
                <w:rFonts w:ascii="Arial" w:hAnsi="Arial" w:cs="Arial"/>
                <w:b/>
                <w:bCs/>
                <w:color w:val="000000" w:themeColor="text1"/>
                <w:sz w:val="20"/>
                <w:szCs w:val="20"/>
              </w:rPr>
            </w:pPr>
            <w:r w:rsidRPr="00475943">
              <w:rPr>
                <w:rFonts w:ascii="Arial" w:hAnsi="Arial" w:cs="Arial"/>
                <w:b/>
                <w:bCs/>
                <w:color w:val="000000" w:themeColor="text1"/>
                <w:sz w:val="20"/>
                <w:szCs w:val="20"/>
              </w:rPr>
              <w:t>Ostala sveobuhvatna dobit</w:t>
            </w:r>
          </w:p>
        </w:tc>
        <w:tc>
          <w:tcPr>
            <w:tcW w:w="718" w:type="pct"/>
            <w:vAlign w:val="bottom"/>
          </w:tcPr>
          <w:p w14:paraId="53073251" w14:textId="77777777" w:rsidR="009A7974" w:rsidRPr="00475943" w:rsidRDefault="009A7974" w:rsidP="009A7974">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18" w:type="pct"/>
            <w:vAlign w:val="bottom"/>
          </w:tcPr>
          <w:p w14:paraId="56223D25" w14:textId="77777777" w:rsidR="009A7974" w:rsidRPr="00475943" w:rsidRDefault="009A7974" w:rsidP="009A7974">
            <w:pPr>
              <w:tabs>
                <w:tab w:val="right" w:pos="1202"/>
              </w:tabs>
              <w:spacing w:line="340" w:lineRule="exact"/>
              <w:jc w:val="right"/>
              <w:outlineLvl w:val="0"/>
              <w:rPr>
                <w:rFonts w:ascii="Arial" w:eastAsia="Times New Roman" w:hAnsi="Arial" w:cs="Arial"/>
                <w:b/>
                <w:bCs/>
                <w:color w:val="000000" w:themeColor="text1"/>
                <w:sz w:val="20"/>
                <w:szCs w:val="20"/>
              </w:rPr>
            </w:pPr>
          </w:p>
        </w:tc>
      </w:tr>
      <w:tr w:rsidR="009A7974" w:rsidRPr="00475943" w14:paraId="26F2F988" w14:textId="77777777" w:rsidTr="00531D68">
        <w:trPr>
          <w:trHeight w:hRule="exact" w:val="387"/>
        </w:trPr>
        <w:tc>
          <w:tcPr>
            <w:tcW w:w="3564" w:type="pct"/>
            <w:vAlign w:val="bottom"/>
          </w:tcPr>
          <w:p w14:paraId="15AF5D57" w14:textId="77777777" w:rsidR="009A7974" w:rsidRPr="00475943" w:rsidRDefault="009A7974" w:rsidP="009A7974">
            <w:pPr>
              <w:tabs>
                <w:tab w:val="right" w:pos="1202"/>
              </w:tabs>
              <w:spacing w:line="240" w:lineRule="exact"/>
              <w:outlineLvl w:val="0"/>
              <w:rPr>
                <w:rFonts w:ascii="Arial" w:eastAsia="Times New Roman" w:hAnsi="Arial" w:cs="Arial"/>
                <w:b/>
                <w:bCs/>
                <w:color w:val="000000" w:themeColor="text1"/>
                <w:sz w:val="20"/>
                <w:szCs w:val="20"/>
              </w:rPr>
            </w:pPr>
            <w:r w:rsidRPr="00475943">
              <w:rPr>
                <w:rFonts w:ascii="Arial" w:eastAsia="Times New Roman" w:hAnsi="Arial" w:cs="Arial"/>
                <w:b/>
                <w:bCs/>
                <w:color w:val="000000" w:themeColor="text1"/>
                <w:sz w:val="20"/>
                <w:szCs w:val="20"/>
              </w:rPr>
              <w:t>Stavke koje se kasnije mogu uračunati u dobit ili gubitak:</w:t>
            </w:r>
          </w:p>
        </w:tc>
        <w:tc>
          <w:tcPr>
            <w:tcW w:w="718" w:type="pct"/>
            <w:vAlign w:val="bottom"/>
          </w:tcPr>
          <w:p w14:paraId="039C9B37" w14:textId="77777777" w:rsidR="009A7974" w:rsidRPr="00475943" w:rsidRDefault="009A7974" w:rsidP="009A7974">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18" w:type="pct"/>
            <w:vAlign w:val="bottom"/>
          </w:tcPr>
          <w:p w14:paraId="29FB40D5" w14:textId="77777777" w:rsidR="009A7974" w:rsidRPr="00475943" w:rsidRDefault="009A7974" w:rsidP="009A7974">
            <w:pPr>
              <w:tabs>
                <w:tab w:val="right" w:pos="1202"/>
              </w:tabs>
              <w:spacing w:line="340" w:lineRule="exact"/>
              <w:jc w:val="right"/>
              <w:outlineLvl w:val="0"/>
              <w:rPr>
                <w:rFonts w:ascii="Arial" w:eastAsia="Times New Roman" w:hAnsi="Arial" w:cs="Arial"/>
                <w:b/>
                <w:bCs/>
                <w:color w:val="000000" w:themeColor="text1"/>
                <w:sz w:val="20"/>
                <w:szCs w:val="20"/>
              </w:rPr>
            </w:pPr>
          </w:p>
        </w:tc>
      </w:tr>
      <w:tr w:rsidR="009A7974" w:rsidRPr="00475943" w14:paraId="2CD1DBDB" w14:textId="77777777" w:rsidTr="00965E12">
        <w:trPr>
          <w:trHeight w:val="354"/>
        </w:trPr>
        <w:tc>
          <w:tcPr>
            <w:tcW w:w="3564" w:type="pct"/>
            <w:tcBorders>
              <w:top w:val="nil"/>
              <w:left w:val="nil"/>
              <w:bottom w:val="nil"/>
              <w:right w:val="nil"/>
            </w:tcBorders>
            <w:shd w:val="clear" w:color="auto" w:fill="auto"/>
            <w:vAlign w:val="bottom"/>
          </w:tcPr>
          <w:p w14:paraId="525B9B31" w14:textId="77777777" w:rsidR="009A7974" w:rsidRPr="00475943" w:rsidRDefault="009A7974" w:rsidP="009A7974">
            <w:pPr>
              <w:tabs>
                <w:tab w:val="right" w:pos="1202"/>
              </w:tabs>
              <w:spacing w:line="340" w:lineRule="exact"/>
              <w:outlineLvl w:val="0"/>
              <w:rPr>
                <w:rFonts w:ascii="Arial" w:eastAsia="Times New Roman" w:hAnsi="Arial" w:cs="Arial"/>
                <w:bCs/>
                <w:color w:val="000000" w:themeColor="text1"/>
                <w:sz w:val="20"/>
                <w:szCs w:val="20"/>
              </w:rPr>
            </w:pPr>
            <w:r w:rsidRPr="00475943">
              <w:rPr>
                <w:rFonts w:ascii="Arial" w:eastAsia="Times New Roman" w:hAnsi="Arial" w:cs="Arial"/>
                <w:bCs/>
                <w:color w:val="000000" w:themeColor="text1"/>
                <w:sz w:val="20"/>
                <w:szCs w:val="20"/>
              </w:rPr>
              <w:t>Neto promjene financijske imovine po fer vrijednosti kroz ostalu sveobuhvatnu dobit</w:t>
            </w:r>
          </w:p>
        </w:tc>
        <w:tc>
          <w:tcPr>
            <w:tcW w:w="718" w:type="pct"/>
            <w:tcBorders>
              <w:top w:val="nil"/>
              <w:left w:val="nil"/>
              <w:bottom w:val="nil"/>
              <w:right w:val="nil"/>
            </w:tcBorders>
            <w:shd w:val="clear" w:color="auto" w:fill="auto"/>
            <w:vAlign w:val="bottom"/>
          </w:tcPr>
          <w:p w14:paraId="1F5D76E7" w14:textId="0574DE96" w:rsidR="009A7974" w:rsidRPr="00475943" w:rsidRDefault="00FA0C94" w:rsidP="009A7974">
            <w:pPr>
              <w:tabs>
                <w:tab w:val="right" w:pos="1202"/>
              </w:tabs>
              <w:spacing w:line="340" w:lineRule="exact"/>
              <w:jc w:val="right"/>
              <w:outlineLvl w:val="0"/>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(534)</w:t>
            </w:r>
          </w:p>
        </w:tc>
        <w:tc>
          <w:tcPr>
            <w:tcW w:w="718" w:type="pct"/>
            <w:tcBorders>
              <w:top w:val="nil"/>
              <w:left w:val="nil"/>
              <w:bottom w:val="nil"/>
              <w:right w:val="nil"/>
            </w:tcBorders>
            <w:shd w:val="clear" w:color="auto" w:fill="auto"/>
            <w:vAlign w:val="bottom"/>
          </w:tcPr>
          <w:p w14:paraId="5FA73610" w14:textId="60582C26" w:rsidR="009A7974" w:rsidRPr="00475943" w:rsidRDefault="009A7974" w:rsidP="009A7974">
            <w:pPr>
              <w:tabs>
                <w:tab w:val="right" w:pos="1202"/>
              </w:tabs>
              <w:spacing w:line="340" w:lineRule="exact"/>
              <w:jc w:val="right"/>
              <w:outlineLvl w:val="0"/>
              <w:rPr>
                <w:rFonts w:ascii="Arial" w:eastAsia="Times New Roman" w:hAnsi="Arial" w:cs="Arial"/>
                <w:bCs/>
                <w:color w:val="000000" w:themeColor="text1"/>
                <w:sz w:val="20"/>
                <w:szCs w:val="20"/>
              </w:rPr>
            </w:pPr>
            <w:r w:rsidRPr="00475943">
              <w:rPr>
                <w:rFonts w:ascii="Arial" w:hAnsi="Arial" w:cs="Arial"/>
                <w:sz w:val="20"/>
                <w:szCs w:val="20"/>
              </w:rPr>
              <w:t xml:space="preserve"> (1.311)</w:t>
            </w:r>
          </w:p>
        </w:tc>
      </w:tr>
      <w:tr w:rsidR="009A7974" w:rsidRPr="00475943" w14:paraId="3924442F" w14:textId="77777777" w:rsidTr="00965E12">
        <w:trPr>
          <w:trHeight w:val="354"/>
        </w:trPr>
        <w:tc>
          <w:tcPr>
            <w:tcW w:w="3564" w:type="pct"/>
            <w:tcBorders>
              <w:top w:val="nil"/>
              <w:left w:val="nil"/>
              <w:bottom w:val="nil"/>
              <w:right w:val="nil"/>
            </w:tcBorders>
            <w:shd w:val="clear" w:color="auto" w:fill="auto"/>
            <w:vAlign w:val="bottom"/>
          </w:tcPr>
          <w:p w14:paraId="09EC2472" w14:textId="77777777" w:rsidR="009A7974" w:rsidRPr="00475943" w:rsidRDefault="009A7974" w:rsidP="009A7974">
            <w:pPr>
              <w:tabs>
                <w:tab w:val="right" w:pos="1202"/>
              </w:tabs>
              <w:spacing w:line="340" w:lineRule="exact"/>
              <w:outlineLvl w:val="0"/>
              <w:rPr>
                <w:rFonts w:ascii="Arial" w:eastAsia="Times New Roman" w:hAnsi="Arial" w:cs="Arial"/>
                <w:bCs/>
                <w:color w:val="000000" w:themeColor="text1"/>
                <w:sz w:val="20"/>
                <w:szCs w:val="20"/>
              </w:rPr>
            </w:pPr>
            <w:r w:rsidRPr="00475943">
              <w:rPr>
                <w:rFonts w:ascii="Arial" w:eastAsia="Times New Roman" w:hAnsi="Arial" w:cs="Arial"/>
                <w:bCs/>
                <w:color w:val="000000" w:themeColor="text1"/>
                <w:sz w:val="20"/>
                <w:szCs w:val="20"/>
              </w:rPr>
              <w:t>Neto tečajne razlike po vlasničkim vrijednosnim papirima</w:t>
            </w:r>
          </w:p>
        </w:tc>
        <w:tc>
          <w:tcPr>
            <w:tcW w:w="718" w:type="pct"/>
            <w:tcBorders>
              <w:top w:val="nil"/>
              <w:left w:val="nil"/>
              <w:bottom w:val="nil"/>
              <w:right w:val="nil"/>
            </w:tcBorders>
            <w:shd w:val="clear" w:color="auto" w:fill="auto"/>
          </w:tcPr>
          <w:p w14:paraId="433EF29E" w14:textId="62CE2195" w:rsidR="009A7974" w:rsidRPr="00475943" w:rsidRDefault="00FA0C94" w:rsidP="009A7974">
            <w:pPr>
              <w:tabs>
                <w:tab w:val="right" w:pos="1202"/>
              </w:tabs>
              <w:spacing w:line="340" w:lineRule="exact"/>
              <w:jc w:val="right"/>
              <w:outlineLvl w:val="0"/>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w:t>
            </w:r>
          </w:p>
        </w:tc>
        <w:tc>
          <w:tcPr>
            <w:tcW w:w="718" w:type="pct"/>
            <w:tcBorders>
              <w:top w:val="nil"/>
              <w:left w:val="nil"/>
              <w:bottom w:val="nil"/>
              <w:right w:val="nil"/>
            </w:tcBorders>
            <w:shd w:val="clear" w:color="auto" w:fill="auto"/>
          </w:tcPr>
          <w:p w14:paraId="60EE82FE" w14:textId="467F10FB" w:rsidR="009A7974" w:rsidRPr="00475943" w:rsidRDefault="009A7974" w:rsidP="009A7974">
            <w:pPr>
              <w:tabs>
                <w:tab w:val="right" w:pos="1202"/>
              </w:tabs>
              <w:spacing w:line="340" w:lineRule="exact"/>
              <w:jc w:val="right"/>
              <w:outlineLvl w:val="0"/>
              <w:rPr>
                <w:rFonts w:ascii="Arial" w:eastAsia="Times New Roman" w:hAnsi="Arial" w:cs="Arial"/>
                <w:bCs/>
                <w:color w:val="000000" w:themeColor="text1"/>
                <w:sz w:val="20"/>
                <w:szCs w:val="20"/>
              </w:rPr>
            </w:pPr>
            <w:r w:rsidRPr="00475943">
              <w:rPr>
                <w:rFonts w:ascii="Arial" w:hAnsi="Arial" w:cs="Arial"/>
                <w:sz w:val="20"/>
                <w:szCs w:val="20"/>
              </w:rPr>
              <w:t xml:space="preserve"> (14)</w:t>
            </w:r>
          </w:p>
        </w:tc>
      </w:tr>
      <w:tr w:rsidR="009A7974" w:rsidRPr="00475943" w14:paraId="3065874E" w14:textId="77777777" w:rsidTr="00531D68">
        <w:trPr>
          <w:trHeight w:val="332"/>
        </w:trPr>
        <w:tc>
          <w:tcPr>
            <w:tcW w:w="3564" w:type="pct"/>
            <w:vAlign w:val="bottom"/>
          </w:tcPr>
          <w:p w14:paraId="3F5886DB" w14:textId="77777777" w:rsidR="009A7974" w:rsidRPr="00475943" w:rsidRDefault="009A7974" w:rsidP="009A7974">
            <w:pPr>
              <w:tabs>
                <w:tab w:val="right" w:pos="1202"/>
              </w:tabs>
              <w:spacing w:line="240" w:lineRule="exact"/>
              <w:outlineLvl w:val="0"/>
              <w:rPr>
                <w:rFonts w:ascii="Arial" w:eastAsia="Times New Roman" w:hAnsi="Arial" w:cs="Arial"/>
                <w:b/>
                <w:bCs/>
                <w:color w:val="000000" w:themeColor="text1"/>
                <w:sz w:val="20"/>
                <w:szCs w:val="20"/>
              </w:rPr>
            </w:pPr>
            <w:r w:rsidRPr="00475943">
              <w:rPr>
                <w:rFonts w:ascii="Arial" w:eastAsia="Times New Roman" w:hAnsi="Arial" w:cs="Arial"/>
                <w:b/>
                <w:bCs/>
                <w:color w:val="000000" w:themeColor="text1"/>
                <w:sz w:val="20"/>
                <w:szCs w:val="20"/>
              </w:rPr>
              <w:t>Ukupno stavke koje se kasnije mogu uračunati u dobit ili gubitak</w:t>
            </w:r>
          </w:p>
        </w:tc>
        <w:tc>
          <w:tcPr>
            <w:tcW w:w="718" w:type="pct"/>
            <w:tcBorders>
              <w:top w:val="single" w:sz="4" w:space="0" w:color="auto"/>
              <w:bottom w:val="single" w:sz="12" w:space="0" w:color="auto"/>
            </w:tcBorders>
            <w:vAlign w:val="bottom"/>
          </w:tcPr>
          <w:p w14:paraId="423A59D9" w14:textId="0FE6E913" w:rsidR="009A7974" w:rsidRPr="00475943" w:rsidRDefault="00FA0C94" w:rsidP="009A7974">
            <w:pPr>
              <w:tabs>
                <w:tab w:val="right" w:pos="1202"/>
              </w:tabs>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(534)</w:t>
            </w:r>
          </w:p>
        </w:tc>
        <w:tc>
          <w:tcPr>
            <w:tcW w:w="718" w:type="pct"/>
            <w:tcBorders>
              <w:top w:val="single" w:sz="4" w:space="0" w:color="auto"/>
              <w:bottom w:val="single" w:sz="12" w:space="0" w:color="auto"/>
            </w:tcBorders>
            <w:vAlign w:val="bottom"/>
          </w:tcPr>
          <w:p w14:paraId="5395AEF3" w14:textId="1110F4D5" w:rsidR="009A7974" w:rsidRPr="00475943" w:rsidRDefault="009A7974" w:rsidP="009A7974">
            <w:pPr>
              <w:tabs>
                <w:tab w:val="right" w:pos="1202"/>
              </w:tabs>
              <w:spacing w:line="340" w:lineRule="exact"/>
              <w:jc w:val="right"/>
              <w:outlineLvl w:val="0"/>
              <w:rPr>
                <w:rFonts w:ascii="Arial" w:eastAsia="Times New Roman" w:hAnsi="Arial" w:cs="Arial"/>
                <w:b/>
                <w:bCs/>
                <w:color w:val="000000" w:themeColor="text1"/>
                <w:sz w:val="20"/>
                <w:szCs w:val="20"/>
              </w:rPr>
            </w:pPr>
            <w:r w:rsidRPr="00475943">
              <w:rPr>
                <w:rFonts w:ascii="Arial" w:eastAsia="Times New Roman" w:hAnsi="Arial" w:cs="Arial"/>
                <w:b/>
                <w:bCs/>
                <w:color w:val="000000" w:themeColor="text1"/>
                <w:sz w:val="20"/>
                <w:szCs w:val="20"/>
              </w:rPr>
              <w:t>(1.325)</w:t>
            </w:r>
          </w:p>
        </w:tc>
      </w:tr>
      <w:tr w:rsidR="009A7974" w:rsidRPr="00475943" w14:paraId="28A32423" w14:textId="77777777" w:rsidTr="00965E12">
        <w:trPr>
          <w:trHeight w:val="336"/>
        </w:trPr>
        <w:tc>
          <w:tcPr>
            <w:tcW w:w="3564" w:type="pct"/>
            <w:vAlign w:val="bottom"/>
          </w:tcPr>
          <w:p w14:paraId="42048BCF" w14:textId="77777777" w:rsidR="009A7974" w:rsidRPr="00475943" w:rsidRDefault="009A7974" w:rsidP="009A7974">
            <w:pPr>
              <w:tabs>
                <w:tab w:val="right" w:pos="1202"/>
              </w:tabs>
              <w:spacing w:line="240" w:lineRule="exact"/>
              <w:outlineLvl w:val="0"/>
              <w:rPr>
                <w:rFonts w:ascii="Arial" w:eastAsia="Times New Roman" w:hAnsi="Arial" w:cs="Arial"/>
                <w:b/>
                <w:bCs/>
                <w:color w:val="000000" w:themeColor="text1"/>
                <w:sz w:val="20"/>
                <w:szCs w:val="20"/>
              </w:rPr>
            </w:pPr>
            <w:r w:rsidRPr="00475943">
              <w:rPr>
                <w:rFonts w:ascii="Arial" w:eastAsia="Times New Roman" w:hAnsi="Arial" w:cs="Arial"/>
                <w:b/>
                <w:bCs/>
                <w:color w:val="000000" w:themeColor="text1"/>
                <w:sz w:val="20"/>
                <w:szCs w:val="20"/>
              </w:rPr>
              <w:t>Ostala sveobuhvatna dobit nakon oporezivanja</w:t>
            </w:r>
          </w:p>
        </w:tc>
        <w:tc>
          <w:tcPr>
            <w:tcW w:w="718" w:type="pct"/>
            <w:tcBorders>
              <w:top w:val="single" w:sz="4" w:space="0" w:color="auto"/>
              <w:bottom w:val="single" w:sz="12" w:space="0" w:color="auto"/>
            </w:tcBorders>
          </w:tcPr>
          <w:p w14:paraId="4374612F" w14:textId="264526A3" w:rsidR="009A7974" w:rsidRPr="00475943" w:rsidRDefault="00FA0C94" w:rsidP="009A7974">
            <w:pPr>
              <w:tabs>
                <w:tab w:val="right" w:pos="1202"/>
              </w:tabs>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(534)</w:t>
            </w:r>
          </w:p>
        </w:tc>
        <w:tc>
          <w:tcPr>
            <w:tcW w:w="718" w:type="pct"/>
            <w:tcBorders>
              <w:bottom w:val="single" w:sz="12" w:space="0" w:color="auto"/>
            </w:tcBorders>
          </w:tcPr>
          <w:p w14:paraId="62C131DF" w14:textId="0FD4C289" w:rsidR="009A7974" w:rsidRPr="00475943" w:rsidRDefault="009A7974" w:rsidP="009A7974">
            <w:pPr>
              <w:tabs>
                <w:tab w:val="right" w:pos="1202"/>
              </w:tabs>
              <w:spacing w:line="340" w:lineRule="exact"/>
              <w:jc w:val="right"/>
              <w:outlineLvl w:val="0"/>
              <w:rPr>
                <w:rFonts w:ascii="Arial" w:eastAsia="Times New Roman" w:hAnsi="Arial" w:cs="Arial"/>
                <w:b/>
                <w:bCs/>
                <w:color w:val="000000" w:themeColor="text1"/>
                <w:sz w:val="20"/>
                <w:szCs w:val="20"/>
              </w:rPr>
            </w:pPr>
            <w:r w:rsidRPr="00475943">
              <w:rPr>
                <w:rFonts w:ascii="Arial" w:hAnsi="Arial" w:cs="Arial"/>
                <w:b/>
                <w:bCs/>
                <w:sz w:val="20"/>
                <w:szCs w:val="20"/>
              </w:rPr>
              <w:t>(1.325)</w:t>
            </w:r>
          </w:p>
        </w:tc>
      </w:tr>
      <w:tr w:rsidR="009A7974" w:rsidRPr="00475943" w14:paraId="5331DDB5" w14:textId="77777777" w:rsidTr="00531D68">
        <w:trPr>
          <w:trHeight w:hRule="exact" w:val="348"/>
        </w:trPr>
        <w:tc>
          <w:tcPr>
            <w:tcW w:w="3564" w:type="pct"/>
            <w:vAlign w:val="bottom"/>
          </w:tcPr>
          <w:p w14:paraId="15AE0A51" w14:textId="77777777" w:rsidR="009A7974" w:rsidRPr="00475943" w:rsidRDefault="009A7974" w:rsidP="009A7974">
            <w:pPr>
              <w:tabs>
                <w:tab w:val="right" w:pos="1202"/>
              </w:tabs>
              <w:spacing w:line="240" w:lineRule="exact"/>
              <w:outlineLvl w:val="0"/>
              <w:rPr>
                <w:rFonts w:ascii="Arial" w:eastAsia="Times New Roman" w:hAnsi="Arial" w:cs="Arial"/>
                <w:b/>
                <w:bCs/>
                <w:color w:val="000000" w:themeColor="text1"/>
                <w:sz w:val="20"/>
                <w:szCs w:val="20"/>
              </w:rPr>
            </w:pPr>
            <w:r w:rsidRPr="00475943">
              <w:rPr>
                <w:rFonts w:ascii="Arial" w:eastAsia="Times New Roman" w:hAnsi="Arial" w:cs="Arial"/>
                <w:b/>
                <w:bCs/>
                <w:color w:val="000000" w:themeColor="text1"/>
                <w:sz w:val="20"/>
                <w:szCs w:val="20"/>
              </w:rPr>
              <w:t>Ukupna sveobuhvatna dobit nakon oporezivanja</w:t>
            </w:r>
          </w:p>
        </w:tc>
        <w:tc>
          <w:tcPr>
            <w:tcW w:w="718" w:type="pct"/>
            <w:tcBorders>
              <w:bottom w:val="single" w:sz="12" w:space="0" w:color="auto"/>
            </w:tcBorders>
            <w:vAlign w:val="bottom"/>
          </w:tcPr>
          <w:p w14:paraId="50CE705C" w14:textId="328BCF9D" w:rsidR="009A7974" w:rsidRPr="00475943" w:rsidRDefault="00FA0C94" w:rsidP="009A7974">
            <w:pPr>
              <w:tabs>
                <w:tab w:val="right" w:pos="1202"/>
              </w:tabs>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17.046</w:t>
            </w:r>
          </w:p>
        </w:tc>
        <w:tc>
          <w:tcPr>
            <w:tcW w:w="718" w:type="pct"/>
            <w:tcBorders>
              <w:top w:val="single" w:sz="12" w:space="0" w:color="auto"/>
              <w:bottom w:val="single" w:sz="12" w:space="0" w:color="auto"/>
            </w:tcBorders>
            <w:vAlign w:val="bottom"/>
          </w:tcPr>
          <w:p w14:paraId="1AB95656" w14:textId="2672C991" w:rsidR="009A7974" w:rsidRPr="00475943" w:rsidRDefault="009A7974" w:rsidP="009A7974">
            <w:pPr>
              <w:tabs>
                <w:tab w:val="right" w:pos="1202"/>
              </w:tabs>
              <w:spacing w:line="340" w:lineRule="exact"/>
              <w:jc w:val="right"/>
              <w:outlineLvl w:val="0"/>
              <w:rPr>
                <w:rFonts w:ascii="Arial" w:eastAsia="Times New Roman" w:hAnsi="Arial" w:cs="Arial"/>
                <w:b/>
                <w:bCs/>
                <w:color w:val="000000" w:themeColor="text1"/>
                <w:sz w:val="20"/>
                <w:szCs w:val="20"/>
              </w:rPr>
            </w:pPr>
            <w:r w:rsidRPr="00475943">
              <w:rPr>
                <w:rFonts w:ascii="Arial" w:eastAsia="Times New Roman" w:hAnsi="Arial" w:cs="Arial"/>
                <w:b/>
                <w:bCs/>
                <w:color w:val="000000" w:themeColor="text1"/>
                <w:sz w:val="20"/>
                <w:szCs w:val="20"/>
              </w:rPr>
              <w:t>17.150</w:t>
            </w:r>
          </w:p>
        </w:tc>
      </w:tr>
      <w:tr w:rsidR="009A7974" w:rsidRPr="00475943" w14:paraId="66FDF532" w14:textId="77777777" w:rsidTr="00531D68">
        <w:trPr>
          <w:trHeight w:val="348"/>
        </w:trPr>
        <w:tc>
          <w:tcPr>
            <w:tcW w:w="3564" w:type="pct"/>
            <w:vAlign w:val="bottom"/>
          </w:tcPr>
          <w:p w14:paraId="3B1358FF" w14:textId="77777777" w:rsidR="009A7974" w:rsidRPr="00475943" w:rsidRDefault="009A7974" w:rsidP="009A7974">
            <w:pPr>
              <w:tabs>
                <w:tab w:val="right" w:pos="1202"/>
              </w:tabs>
              <w:spacing w:line="240" w:lineRule="exact"/>
              <w:outlineLvl w:val="0"/>
              <w:rPr>
                <w:rFonts w:ascii="Arial" w:eastAsia="Times New Roman" w:hAnsi="Arial" w:cs="Arial"/>
                <w:b/>
                <w:bCs/>
                <w:color w:val="000000" w:themeColor="text1"/>
                <w:sz w:val="20"/>
                <w:szCs w:val="20"/>
              </w:rPr>
            </w:pPr>
          </w:p>
        </w:tc>
        <w:tc>
          <w:tcPr>
            <w:tcW w:w="718" w:type="pct"/>
            <w:vAlign w:val="bottom"/>
          </w:tcPr>
          <w:p w14:paraId="704A0C38" w14:textId="77777777" w:rsidR="009A7974" w:rsidRPr="00475943" w:rsidRDefault="009A7974" w:rsidP="009A7974">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18" w:type="pct"/>
            <w:vAlign w:val="bottom"/>
          </w:tcPr>
          <w:p w14:paraId="63C3BB86" w14:textId="77777777" w:rsidR="009A7974" w:rsidRPr="00475943" w:rsidRDefault="009A7974" w:rsidP="009A7974">
            <w:pPr>
              <w:tabs>
                <w:tab w:val="right" w:pos="1202"/>
              </w:tabs>
              <w:spacing w:line="340" w:lineRule="exact"/>
              <w:jc w:val="right"/>
              <w:outlineLvl w:val="0"/>
              <w:rPr>
                <w:rFonts w:ascii="Arial" w:eastAsia="Times New Roman" w:hAnsi="Arial" w:cs="Arial"/>
                <w:b/>
                <w:bCs/>
                <w:color w:val="000000" w:themeColor="text1"/>
                <w:sz w:val="20"/>
                <w:szCs w:val="20"/>
              </w:rPr>
            </w:pPr>
          </w:p>
        </w:tc>
      </w:tr>
      <w:tr w:rsidR="009A7974" w:rsidRPr="00475943" w14:paraId="736083E1" w14:textId="77777777" w:rsidTr="00531D68">
        <w:trPr>
          <w:trHeight w:val="370"/>
        </w:trPr>
        <w:tc>
          <w:tcPr>
            <w:tcW w:w="3564" w:type="pct"/>
            <w:vAlign w:val="bottom"/>
          </w:tcPr>
          <w:p w14:paraId="37B4601F" w14:textId="77777777" w:rsidR="009A7974" w:rsidRPr="00475943" w:rsidRDefault="009A7974" w:rsidP="009A7974">
            <w:pPr>
              <w:tabs>
                <w:tab w:val="right" w:pos="1202"/>
              </w:tabs>
              <w:spacing w:line="240" w:lineRule="exact"/>
              <w:outlineLvl w:val="0"/>
              <w:rPr>
                <w:rFonts w:ascii="Arial" w:eastAsia="Times New Roman" w:hAnsi="Arial" w:cs="Arial"/>
                <w:b/>
                <w:bCs/>
                <w:color w:val="000000" w:themeColor="text1"/>
                <w:sz w:val="20"/>
                <w:szCs w:val="20"/>
              </w:rPr>
            </w:pPr>
            <w:r w:rsidRPr="00475943">
              <w:rPr>
                <w:rFonts w:ascii="Arial" w:eastAsia="Times New Roman" w:hAnsi="Arial" w:cs="Arial"/>
                <w:b/>
                <w:bCs/>
                <w:color w:val="000000" w:themeColor="text1"/>
                <w:sz w:val="20"/>
                <w:szCs w:val="20"/>
              </w:rPr>
              <w:t>Ukupna sveobuhvatna dobit:</w:t>
            </w:r>
          </w:p>
        </w:tc>
        <w:tc>
          <w:tcPr>
            <w:tcW w:w="718" w:type="pct"/>
            <w:vAlign w:val="bottom"/>
          </w:tcPr>
          <w:p w14:paraId="1DD860C0" w14:textId="77777777" w:rsidR="009A7974" w:rsidRPr="00475943" w:rsidRDefault="009A7974" w:rsidP="009A7974">
            <w:pPr>
              <w:tabs>
                <w:tab w:val="right" w:pos="1202"/>
              </w:tabs>
              <w:spacing w:line="340" w:lineRule="exact"/>
              <w:jc w:val="right"/>
              <w:outlineLvl w:val="0"/>
              <w:rPr>
                <w:rFonts w:ascii="Arial" w:eastAsia="Times New Roman" w:hAnsi="Arial" w:cs="Arial"/>
                <w:b/>
                <w:bCs/>
                <w:color w:val="000000" w:themeColor="text1"/>
                <w:sz w:val="20"/>
                <w:szCs w:val="20"/>
              </w:rPr>
            </w:pPr>
          </w:p>
        </w:tc>
        <w:tc>
          <w:tcPr>
            <w:tcW w:w="718" w:type="pct"/>
            <w:vAlign w:val="bottom"/>
          </w:tcPr>
          <w:p w14:paraId="11047746" w14:textId="77777777" w:rsidR="009A7974" w:rsidRPr="00475943" w:rsidRDefault="009A7974" w:rsidP="009A7974">
            <w:pPr>
              <w:tabs>
                <w:tab w:val="right" w:pos="1202"/>
              </w:tabs>
              <w:spacing w:line="340" w:lineRule="exact"/>
              <w:jc w:val="right"/>
              <w:outlineLvl w:val="0"/>
              <w:rPr>
                <w:rFonts w:ascii="Arial" w:eastAsia="Times New Roman" w:hAnsi="Arial" w:cs="Arial"/>
                <w:b/>
                <w:bCs/>
                <w:color w:val="000000" w:themeColor="text1"/>
                <w:sz w:val="20"/>
                <w:szCs w:val="20"/>
              </w:rPr>
            </w:pPr>
          </w:p>
        </w:tc>
      </w:tr>
      <w:tr w:rsidR="009A7974" w:rsidRPr="00475943" w14:paraId="7410C91C" w14:textId="77777777" w:rsidTr="00881602">
        <w:trPr>
          <w:trHeight w:val="372"/>
        </w:trPr>
        <w:tc>
          <w:tcPr>
            <w:tcW w:w="3564" w:type="pct"/>
            <w:vAlign w:val="bottom"/>
          </w:tcPr>
          <w:p w14:paraId="58B04B91" w14:textId="77777777" w:rsidR="009A7974" w:rsidRPr="00475943" w:rsidRDefault="009A7974" w:rsidP="009A7974">
            <w:pPr>
              <w:tabs>
                <w:tab w:val="right" w:pos="1202"/>
              </w:tabs>
              <w:spacing w:line="240" w:lineRule="exact"/>
              <w:outlineLvl w:val="0"/>
              <w:rPr>
                <w:rFonts w:ascii="Arial" w:eastAsia="Times New Roman" w:hAnsi="Arial" w:cs="Arial"/>
                <w:b/>
                <w:bCs/>
                <w:color w:val="000000" w:themeColor="text1"/>
                <w:sz w:val="20"/>
                <w:szCs w:val="20"/>
              </w:rPr>
            </w:pPr>
            <w:r w:rsidRPr="00475943">
              <w:rPr>
                <w:rFonts w:ascii="Arial" w:eastAsia="Times New Roman" w:hAnsi="Arial" w:cs="Arial"/>
                <w:b/>
                <w:bCs/>
                <w:color w:val="000000" w:themeColor="text1"/>
                <w:sz w:val="20"/>
                <w:szCs w:val="20"/>
              </w:rPr>
              <w:t>Vlasniku društva</w:t>
            </w:r>
          </w:p>
        </w:tc>
        <w:tc>
          <w:tcPr>
            <w:tcW w:w="718" w:type="pct"/>
            <w:tcBorders>
              <w:bottom w:val="single" w:sz="12" w:space="0" w:color="auto"/>
            </w:tcBorders>
            <w:vAlign w:val="bottom"/>
          </w:tcPr>
          <w:p w14:paraId="7E4FEB30" w14:textId="14B35522" w:rsidR="009A7974" w:rsidRPr="00475943" w:rsidRDefault="00FA0C94" w:rsidP="009A7974">
            <w:pPr>
              <w:tabs>
                <w:tab w:val="right" w:pos="1202"/>
              </w:tabs>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17.046</w:t>
            </w:r>
          </w:p>
        </w:tc>
        <w:tc>
          <w:tcPr>
            <w:tcW w:w="718" w:type="pct"/>
            <w:tcBorders>
              <w:bottom w:val="single" w:sz="12" w:space="0" w:color="auto"/>
            </w:tcBorders>
            <w:vAlign w:val="bottom"/>
          </w:tcPr>
          <w:p w14:paraId="5AFE97C2" w14:textId="7AB7D674" w:rsidR="009A7974" w:rsidRPr="00475943" w:rsidRDefault="009A7974" w:rsidP="009A7974">
            <w:pPr>
              <w:tabs>
                <w:tab w:val="right" w:pos="1202"/>
              </w:tabs>
              <w:spacing w:line="340" w:lineRule="exact"/>
              <w:jc w:val="right"/>
              <w:outlineLvl w:val="0"/>
              <w:rPr>
                <w:rFonts w:ascii="Arial" w:eastAsia="Times New Roman" w:hAnsi="Arial" w:cs="Arial"/>
                <w:b/>
                <w:bCs/>
                <w:color w:val="000000" w:themeColor="text1"/>
                <w:sz w:val="20"/>
                <w:szCs w:val="20"/>
              </w:rPr>
            </w:pPr>
            <w:r w:rsidRPr="00475943">
              <w:rPr>
                <w:rFonts w:ascii="Arial" w:hAnsi="Arial" w:cs="Arial"/>
                <w:b/>
                <w:bCs/>
                <w:sz w:val="20"/>
                <w:szCs w:val="20"/>
              </w:rPr>
              <w:t>17.150</w:t>
            </w:r>
          </w:p>
        </w:tc>
      </w:tr>
    </w:tbl>
    <w:p w14:paraId="0FDBA99A" w14:textId="1C91E209" w:rsidR="00295417" w:rsidRPr="003D1614" w:rsidRDefault="00295417" w:rsidP="00A56428">
      <w:pPr>
        <w:rPr>
          <w:rFonts w:ascii="Arial" w:eastAsia="Times New Roman" w:hAnsi="Arial" w:cs="Arial"/>
          <w:sz w:val="20"/>
          <w:szCs w:val="20"/>
        </w:rPr>
      </w:pPr>
    </w:p>
    <w:p w14:paraId="23993F2D" w14:textId="491954E6" w:rsidR="00295417" w:rsidRPr="003D1614" w:rsidRDefault="00295417" w:rsidP="00A56428">
      <w:pPr>
        <w:rPr>
          <w:rFonts w:ascii="Arial" w:eastAsia="Times New Roman" w:hAnsi="Arial" w:cs="Arial"/>
          <w:sz w:val="20"/>
          <w:szCs w:val="20"/>
        </w:rPr>
      </w:pPr>
    </w:p>
    <w:p w14:paraId="6DA29804" w14:textId="77777777" w:rsidR="00295417" w:rsidRPr="003D1614" w:rsidRDefault="00295417" w:rsidP="00A56428">
      <w:pPr>
        <w:rPr>
          <w:rFonts w:ascii="Arial" w:eastAsia="Times New Roman" w:hAnsi="Arial" w:cs="Arial"/>
          <w:sz w:val="20"/>
          <w:szCs w:val="20"/>
        </w:rPr>
      </w:pPr>
    </w:p>
    <w:p w14:paraId="5F260C13" w14:textId="1ADD5472" w:rsidR="00295417" w:rsidRPr="003D1614" w:rsidRDefault="00295417" w:rsidP="00A56428">
      <w:pPr>
        <w:rPr>
          <w:rFonts w:ascii="Arial" w:eastAsia="Times New Roman" w:hAnsi="Arial" w:cs="Arial"/>
          <w:sz w:val="20"/>
          <w:szCs w:val="20"/>
        </w:rPr>
      </w:pPr>
      <w:r w:rsidRPr="003D1614">
        <w:rPr>
          <w:rFonts w:ascii="Arial" w:eastAsia="Times New Roman" w:hAnsi="Arial" w:cs="Arial"/>
          <w:sz w:val="20"/>
          <w:szCs w:val="20"/>
        </w:rPr>
        <w:t>Priložene računovodstvene politike i bilješke sastavni su dio ovih financijskih izvještaja.</w:t>
      </w:r>
    </w:p>
    <w:p w14:paraId="37FD4EB0" w14:textId="77777777" w:rsidR="00295417" w:rsidRPr="003D1614" w:rsidRDefault="00295417" w:rsidP="00A56428">
      <w:pPr>
        <w:rPr>
          <w:rFonts w:ascii="Arial" w:eastAsia="Times New Roman" w:hAnsi="Arial" w:cs="Arial"/>
          <w:sz w:val="20"/>
          <w:szCs w:val="20"/>
        </w:rPr>
      </w:pPr>
    </w:p>
    <w:p w14:paraId="6F08385B" w14:textId="77777777" w:rsidR="00295417" w:rsidRPr="003D1614" w:rsidRDefault="00295417" w:rsidP="00A56428">
      <w:pPr>
        <w:rPr>
          <w:rFonts w:ascii="Arial" w:eastAsia="Times New Roman" w:hAnsi="Arial" w:cs="Arial"/>
          <w:sz w:val="20"/>
          <w:szCs w:val="20"/>
        </w:rPr>
        <w:sectPr w:rsidR="00295417" w:rsidRPr="003D1614">
          <w:headerReference w:type="default" r:id="rId17"/>
          <w:pgSz w:w="11906" w:h="16838"/>
          <w:pgMar w:top="1417" w:right="1417" w:bottom="1417" w:left="1417" w:header="708" w:footer="708" w:gutter="0"/>
          <w:cols w:space="708"/>
          <w:docGrid w:linePitch="360"/>
        </w:sectPr>
      </w:pPr>
    </w:p>
    <w:p w14:paraId="3FFE3D2D" w14:textId="275FD13D" w:rsidR="00295417" w:rsidRPr="003D1614" w:rsidRDefault="00295417" w:rsidP="00A56428">
      <w:pPr>
        <w:rPr>
          <w:rFonts w:ascii="Arial" w:eastAsia="Times New Roman" w:hAnsi="Arial" w:cs="Arial"/>
          <w:sz w:val="20"/>
          <w:szCs w:val="20"/>
        </w:rPr>
      </w:pPr>
    </w:p>
    <w:p w14:paraId="21EAD379" w14:textId="48BF9948" w:rsidR="00764509" w:rsidRPr="003D1614" w:rsidRDefault="00764509" w:rsidP="00A56428">
      <w:pPr>
        <w:rPr>
          <w:rFonts w:ascii="Arial" w:eastAsia="Times New Roman" w:hAnsi="Arial" w:cs="Arial"/>
          <w:sz w:val="20"/>
          <w:szCs w:val="20"/>
        </w:rPr>
      </w:pPr>
    </w:p>
    <w:tbl>
      <w:tblPr>
        <w:tblW w:w="5040" w:type="pct"/>
        <w:tblInd w:w="-142" w:type="dxa"/>
        <w:tblLayout w:type="fixed"/>
        <w:tblLook w:val="0000" w:firstRow="0" w:lastRow="0" w:firstColumn="0" w:lastColumn="0" w:noHBand="0" w:noVBand="0"/>
      </w:tblPr>
      <w:tblGrid>
        <w:gridCol w:w="5281"/>
        <w:gridCol w:w="1021"/>
        <w:gridCol w:w="1352"/>
        <w:gridCol w:w="1491"/>
      </w:tblGrid>
      <w:tr w:rsidR="00764509" w:rsidRPr="003D1614" w14:paraId="278ECC36" w14:textId="77777777" w:rsidTr="00D51EF6">
        <w:trPr>
          <w:trHeight w:val="407"/>
        </w:trPr>
        <w:tc>
          <w:tcPr>
            <w:tcW w:w="2887" w:type="pct"/>
            <w:vAlign w:val="bottom"/>
          </w:tcPr>
          <w:p w14:paraId="1462FFFC" w14:textId="77777777" w:rsidR="00764509" w:rsidRPr="003D1614" w:rsidRDefault="00764509" w:rsidP="005A346D">
            <w:pPr>
              <w:rPr>
                <w:rFonts w:ascii="Arial" w:hAnsi="Arial" w:cs="Arial"/>
                <w:color w:val="000000" w:themeColor="text1"/>
                <w:sz w:val="20"/>
                <w:szCs w:val="20"/>
              </w:rPr>
            </w:pPr>
          </w:p>
        </w:tc>
        <w:tc>
          <w:tcPr>
            <w:tcW w:w="558" w:type="pct"/>
            <w:vAlign w:val="bottom"/>
          </w:tcPr>
          <w:p w14:paraId="35033320" w14:textId="77777777" w:rsidR="00764509" w:rsidRPr="003D1614" w:rsidRDefault="00764509" w:rsidP="005A346D">
            <w:pPr>
              <w:jc w:val="center"/>
              <w:rPr>
                <w:rFonts w:ascii="Arial" w:hAnsi="Arial" w:cs="Arial"/>
                <w:b/>
                <w:color w:val="000000" w:themeColor="text1"/>
                <w:sz w:val="20"/>
                <w:szCs w:val="20"/>
              </w:rPr>
            </w:pPr>
            <w:r w:rsidRPr="003D1614">
              <w:rPr>
                <w:rFonts w:ascii="Arial" w:hAnsi="Arial" w:cs="Arial"/>
                <w:b/>
                <w:color w:val="000000" w:themeColor="text1"/>
                <w:sz w:val="20"/>
                <w:szCs w:val="20"/>
              </w:rPr>
              <w:t>Bilješka</w:t>
            </w:r>
          </w:p>
        </w:tc>
        <w:tc>
          <w:tcPr>
            <w:tcW w:w="739" w:type="pct"/>
            <w:vAlign w:val="bottom"/>
          </w:tcPr>
          <w:p w14:paraId="1618FAF6" w14:textId="2E1393A6" w:rsidR="00764509" w:rsidRPr="003D1614" w:rsidRDefault="00764509" w:rsidP="00531D68">
            <w:pPr>
              <w:jc w:val="right"/>
              <w:rPr>
                <w:rFonts w:ascii="Arial" w:hAnsi="Arial" w:cs="Arial"/>
                <w:b/>
                <w:color w:val="000000" w:themeColor="text1"/>
                <w:sz w:val="20"/>
                <w:szCs w:val="20"/>
              </w:rPr>
            </w:pPr>
            <w:r w:rsidRPr="003D1614">
              <w:rPr>
                <w:rFonts w:ascii="Arial" w:hAnsi="Arial" w:cs="Arial"/>
                <w:b/>
                <w:color w:val="000000" w:themeColor="text1"/>
                <w:sz w:val="20"/>
                <w:szCs w:val="20"/>
              </w:rPr>
              <w:t>31.3.202</w:t>
            </w:r>
            <w:r w:rsidR="00F53EC0">
              <w:rPr>
                <w:rFonts w:ascii="Arial" w:hAnsi="Arial" w:cs="Arial"/>
                <w:b/>
                <w:color w:val="000000" w:themeColor="text1"/>
                <w:sz w:val="20"/>
                <w:szCs w:val="20"/>
              </w:rPr>
              <w:t>4</w:t>
            </w:r>
            <w:r w:rsidRPr="003D1614">
              <w:rPr>
                <w:rFonts w:ascii="Arial" w:hAnsi="Arial" w:cs="Arial"/>
                <w:b/>
                <w:color w:val="000000" w:themeColor="text1"/>
                <w:sz w:val="20"/>
                <w:szCs w:val="20"/>
              </w:rPr>
              <w:t>.</w:t>
            </w:r>
          </w:p>
        </w:tc>
        <w:tc>
          <w:tcPr>
            <w:tcW w:w="815" w:type="pct"/>
            <w:vAlign w:val="bottom"/>
          </w:tcPr>
          <w:p w14:paraId="576061A5" w14:textId="5C8539ED" w:rsidR="00764509" w:rsidRPr="003D1614" w:rsidRDefault="00764509" w:rsidP="005A346D">
            <w:pPr>
              <w:jc w:val="right"/>
              <w:rPr>
                <w:rFonts w:ascii="Arial" w:hAnsi="Arial" w:cs="Arial"/>
                <w:b/>
                <w:color w:val="000000" w:themeColor="text1"/>
                <w:sz w:val="20"/>
                <w:szCs w:val="20"/>
              </w:rPr>
            </w:pPr>
            <w:r w:rsidRPr="003D1614">
              <w:rPr>
                <w:rFonts w:ascii="Arial" w:hAnsi="Arial" w:cs="Arial"/>
                <w:b/>
                <w:color w:val="000000" w:themeColor="text1"/>
                <w:sz w:val="20"/>
                <w:szCs w:val="20"/>
              </w:rPr>
              <w:t>31.12.202</w:t>
            </w:r>
            <w:r w:rsidR="00F53EC0">
              <w:rPr>
                <w:rFonts w:ascii="Arial" w:hAnsi="Arial" w:cs="Arial"/>
                <w:b/>
                <w:color w:val="000000" w:themeColor="text1"/>
                <w:sz w:val="20"/>
                <w:szCs w:val="20"/>
              </w:rPr>
              <w:t>3</w:t>
            </w:r>
            <w:r w:rsidRPr="003D1614">
              <w:rPr>
                <w:rFonts w:ascii="Arial" w:hAnsi="Arial" w:cs="Arial"/>
                <w:b/>
                <w:color w:val="000000" w:themeColor="text1"/>
                <w:sz w:val="20"/>
                <w:szCs w:val="20"/>
              </w:rPr>
              <w:t>.</w:t>
            </w:r>
          </w:p>
        </w:tc>
      </w:tr>
      <w:tr w:rsidR="00764509" w:rsidRPr="003D1614" w14:paraId="4D782CDE" w14:textId="77777777" w:rsidTr="00D51EF6">
        <w:trPr>
          <w:trHeight w:val="248"/>
        </w:trPr>
        <w:tc>
          <w:tcPr>
            <w:tcW w:w="2887" w:type="pct"/>
            <w:vAlign w:val="bottom"/>
          </w:tcPr>
          <w:p w14:paraId="2C3D0238" w14:textId="77777777" w:rsidR="00764509" w:rsidRPr="003D1614" w:rsidRDefault="00764509" w:rsidP="005A346D">
            <w:pPr>
              <w:rPr>
                <w:rFonts w:ascii="Arial" w:hAnsi="Arial" w:cs="Arial"/>
                <w:color w:val="000000" w:themeColor="text1"/>
                <w:sz w:val="20"/>
                <w:szCs w:val="20"/>
              </w:rPr>
            </w:pPr>
          </w:p>
        </w:tc>
        <w:tc>
          <w:tcPr>
            <w:tcW w:w="558" w:type="pct"/>
            <w:vAlign w:val="bottom"/>
          </w:tcPr>
          <w:p w14:paraId="3B8AE693" w14:textId="77777777" w:rsidR="00764509" w:rsidRPr="003D1614" w:rsidRDefault="00764509" w:rsidP="005A346D">
            <w:pPr>
              <w:jc w:val="center"/>
              <w:rPr>
                <w:rFonts w:ascii="Arial" w:hAnsi="Arial" w:cs="Arial"/>
                <w:b/>
                <w:color w:val="000000" w:themeColor="text1"/>
                <w:sz w:val="20"/>
                <w:szCs w:val="20"/>
              </w:rPr>
            </w:pPr>
          </w:p>
        </w:tc>
        <w:tc>
          <w:tcPr>
            <w:tcW w:w="739" w:type="pct"/>
            <w:vAlign w:val="bottom"/>
          </w:tcPr>
          <w:p w14:paraId="5ABC7323" w14:textId="7C08333D" w:rsidR="00764509" w:rsidRPr="003D1614" w:rsidRDefault="00764509" w:rsidP="005A346D">
            <w:pPr>
              <w:jc w:val="right"/>
              <w:rPr>
                <w:rFonts w:ascii="Arial" w:hAnsi="Arial" w:cs="Arial"/>
                <w:b/>
                <w:color w:val="000000" w:themeColor="text1"/>
                <w:sz w:val="20"/>
                <w:szCs w:val="20"/>
              </w:rPr>
            </w:pPr>
            <w:r w:rsidRPr="003D1614">
              <w:rPr>
                <w:rFonts w:ascii="Arial" w:hAnsi="Arial" w:cs="Arial"/>
                <w:b/>
                <w:color w:val="000000" w:themeColor="text1"/>
                <w:sz w:val="20"/>
                <w:szCs w:val="20"/>
              </w:rPr>
              <w:t>000 eura</w:t>
            </w:r>
          </w:p>
        </w:tc>
        <w:tc>
          <w:tcPr>
            <w:tcW w:w="815" w:type="pct"/>
            <w:vAlign w:val="bottom"/>
          </w:tcPr>
          <w:p w14:paraId="0A99E879" w14:textId="5FE7C3B6" w:rsidR="00764509" w:rsidRPr="003D1614" w:rsidRDefault="00764509" w:rsidP="005A346D">
            <w:pPr>
              <w:jc w:val="right"/>
              <w:rPr>
                <w:rFonts w:ascii="Arial" w:hAnsi="Arial" w:cs="Arial"/>
                <w:b/>
                <w:color w:val="000000" w:themeColor="text1"/>
                <w:sz w:val="20"/>
                <w:szCs w:val="20"/>
              </w:rPr>
            </w:pPr>
            <w:r w:rsidRPr="003D1614">
              <w:rPr>
                <w:rFonts w:ascii="Arial" w:hAnsi="Arial" w:cs="Arial"/>
                <w:b/>
                <w:color w:val="000000" w:themeColor="text1"/>
                <w:sz w:val="20"/>
                <w:szCs w:val="20"/>
              </w:rPr>
              <w:t>000 eura</w:t>
            </w:r>
          </w:p>
        </w:tc>
      </w:tr>
      <w:tr w:rsidR="00764509" w:rsidRPr="003D1614" w14:paraId="3DE88F7E" w14:textId="77777777" w:rsidTr="00D51EF6">
        <w:trPr>
          <w:trHeight w:val="285"/>
        </w:trPr>
        <w:tc>
          <w:tcPr>
            <w:tcW w:w="2887" w:type="pct"/>
            <w:vAlign w:val="bottom"/>
          </w:tcPr>
          <w:p w14:paraId="165E225C" w14:textId="735CAC4C" w:rsidR="00764509" w:rsidRPr="003D1614" w:rsidRDefault="00764509" w:rsidP="005A346D">
            <w:pPr>
              <w:pStyle w:val="TT"/>
              <w:rPr>
                <w:rFonts w:cs="Arial"/>
                <w:b/>
                <w:bCs/>
                <w:color w:val="000000" w:themeColor="text1"/>
                <w:sz w:val="20"/>
                <w:lang w:val="hr-HR"/>
              </w:rPr>
            </w:pPr>
            <w:bookmarkStart w:id="142" w:name="_Toc67327059"/>
            <w:r w:rsidRPr="003D1614">
              <w:rPr>
                <w:rFonts w:cs="Arial"/>
                <w:b/>
                <w:bCs/>
                <w:color w:val="000000" w:themeColor="text1"/>
                <w:sz w:val="20"/>
                <w:lang w:val="hr-HR"/>
              </w:rPr>
              <w:t>Imovina</w:t>
            </w:r>
            <w:bookmarkEnd w:id="142"/>
          </w:p>
        </w:tc>
        <w:tc>
          <w:tcPr>
            <w:tcW w:w="558" w:type="pct"/>
            <w:vAlign w:val="bottom"/>
          </w:tcPr>
          <w:p w14:paraId="3458D181" w14:textId="77777777" w:rsidR="00764509" w:rsidRPr="003D1614" w:rsidRDefault="00764509" w:rsidP="005A346D">
            <w:pPr>
              <w:pStyle w:val="TT"/>
              <w:rPr>
                <w:rFonts w:cs="Arial"/>
                <w:b/>
                <w:bCs/>
                <w:color w:val="000000" w:themeColor="text1"/>
                <w:sz w:val="20"/>
                <w:lang w:val="hr-HR"/>
              </w:rPr>
            </w:pPr>
          </w:p>
        </w:tc>
        <w:tc>
          <w:tcPr>
            <w:tcW w:w="739" w:type="pct"/>
            <w:vAlign w:val="bottom"/>
          </w:tcPr>
          <w:p w14:paraId="4E6A108A" w14:textId="77777777" w:rsidR="00764509" w:rsidRPr="003D1614" w:rsidRDefault="00764509" w:rsidP="005A346D">
            <w:pPr>
              <w:pStyle w:val="TT"/>
              <w:rPr>
                <w:rFonts w:cs="Arial"/>
                <w:b/>
                <w:bCs/>
                <w:color w:val="000000" w:themeColor="text1"/>
                <w:sz w:val="20"/>
                <w:lang w:val="hr-HR"/>
              </w:rPr>
            </w:pPr>
          </w:p>
        </w:tc>
        <w:tc>
          <w:tcPr>
            <w:tcW w:w="815" w:type="pct"/>
            <w:vAlign w:val="bottom"/>
          </w:tcPr>
          <w:p w14:paraId="56094D55" w14:textId="77777777" w:rsidR="00764509" w:rsidRPr="003D1614" w:rsidRDefault="00764509" w:rsidP="005A346D">
            <w:pPr>
              <w:pStyle w:val="TT"/>
              <w:rPr>
                <w:rFonts w:cs="Arial"/>
                <w:b/>
                <w:bCs/>
                <w:color w:val="000000" w:themeColor="text1"/>
                <w:sz w:val="20"/>
                <w:lang w:val="hr-HR"/>
              </w:rPr>
            </w:pPr>
          </w:p>
        </w:tc>
      </w:tr>
      <w:tr w:rsidR="006457EF" w:rsidRPr="003D1614" w14:paraId="051159A2" w14:textId="77777777" w:rsidTr="007E2B02">
        <w:trPr>
          <w:trHeight w:val="285"/>
        </w:trPr>
        <w:tc>
          <w:tcPr>
            <w:tcW w:w="2887" w:type="pct"/>
            <w:vAlign w:val="bottom"/>
          </w:tcPr>
          <w:p w14:paraId="1DD5B7E8" w14:textId="09E8BB5E" w:rsidR="006457EF" w:rsidRPr="003D1614" w:rsidRDefault="006457EF" w:rsidP="006457EF">
            <w:pPr>
              <w:pStyle w:val="TT"/>
              <w:rPr>
                <w:rFonts w:cs="Arial"/>
                <w:color w:val="000000" w:themeColor="text1"/>
                <w:sz w:val="20"/>
                <w:lang w:val="hr-HR"/>
              </w:rPr>
            </w:pPr>
            <w:bookmarkStart w:id="143" w:name="_Toc67327060"/>
            <w:r w:rsidRPr="003D1614">
              <w:rPr>
                <w:rFonts w:cs="Arial"/>
                <w:color w:val="000000" w:themeColor="text1"/>
                <w:sz w:val="20"/>
                <w:lang w:val="hr-HR"/>
              </w:rPr>
              <w:t>Novčana sredstva i računi kod banaka</w:t>
            </w:r>
            <w:bookmarkEnd w:id="143"/>
          </w:p>
        </w:tc>
        <w:tc>
          <w:tcPr>
            <w:tcW w:w="558" w:type="pct"/>
            <w:vAlign w:val="bottom"/>
          </w:tcPr>
          <w:p w14:paraId="2AFCFEAC" w14:textId="77777777" w:rsidR="006457EF" w:rsidRPr="00140901" w:rsidRDefault="006457EF" w:rsidP="006457EF">
            <w:pPr>
              <w:pStyle w:val="TT"/>
              <w:jc w:val="center"/>
              <w:rPr>
                <w:rFonts w:cs="Arial"/>
                <w:color w:val="000000" w:themeColor="text1"/>
                <w:sz w:val="20"/>
                <w:lang w:val="hr-HR"/>
              </w:rPr>
            </w:pPr>
            <w:r w:rsidRPr="00140901">
              <w:rPr>
                <w:rFonts w:cs="Arial"/>
                <w:color w:val="000000" w:themeColor="text1"/>
                <w:sz w:val="20"/>
                <w:lang w:val="hr-HR"/>
              </w:rPr>
              <w:t>9</w:t>
            </w:r>
          </w:p>
        </w:tc>
        <w:tc>
          <w:tcPr>
            <w:tcW w:w="739" w:type="pct"/>
            <w:tcBorders>
              <w:top w:val="nil"/>
              <w:left w:val="nil"/>
              <w:bottom w:val="nil"/>
              <w:right w:val="nil"/>
            </w:tcBorders>
            <w:shd w:val="clear" w:color="auto" w:fill="auto"/>
            <w:vAlign w:val="center"/>
          </w:tcPr>
          <w:p w14:paraId="46C2D996" w14:textId="02311E43" w:rsidR="006457EF" w:rsidRPr="00D51EF6" w:rsidRDefault="00C02654" w:rsidP="006457EF">
            <w:pPr>
              <w:pStyle w:val="TT"/>
              <w:jc w:val="right"/>
              <w:rPr>
                <w:rFonts w:cs="Arial"/>
                <w:snapToGrid w:val="0"/>
                <w:color w:val="000000" w:themeColor="text1"/>
                <w:sz w:val="20"/>
                <w:lang w:val="hr-HR"/>
              </w:rPr>
            </w:pPr>
            <w:r>
              <w:rPr>
                <w:rFonts w:cs="Arial"/>
                <w:snapToGrid w:val="0"/>
                <w:color w:val="000000" w:themeColor="text1"/>
                <w:sz w:val="20"/>
                <w:lang w:val="hr-HR"/>
              </w:rPr>
              <w:t>76.953</w:t>
            </w:r>
          </w:p>
        </w:tc>
        <w:tc>
          <w:tcPr>
            <w:tcW w:w="815" w:type="pct"/>
            <w:tcBorders>
              <w:top w:val="nil"/>
              <w:left w:val="nil"/>
              <w:bottom w:val="nil"/>
              <w:right w:val="nil"/>
            </w:tcBorders>
            <w:shd w:val="clear" w:color="auto" w:fill="auto"/>
            <w:vAlign w:val="bottom"/>
          </w:tcPr>
          <w:p w14:paraId="3C2225CF" w14:textId="14C40503" w:rsidR="006457EF" w:rsidRPr="00D51EF6" w:rsidRDefault="006457EF" w:rsidP="006457EF">
            <w:pPr>
              <w:pStyle w:val="TT"/>
              <w:jc w:val="right"/>
              <w:rPr>
                <w:rFonts w:cs="Arial"/>
                <w:color w:val="000000" w:themeColor="text1"/>
                <w:sz w:val="20"/>
                <w:lang w:val="hr-HR"/>
              </w:rPr>
            </w:pPr>
            <w:r w:rsidRPr="00F959D0">
              <w:rPr>
                <w:sz w:val="20"/>
              </w:rPr>
              <w:t>41.543</w:t>
            </w:r>
          </w:p>
        </w:tc>
      </w:tr>
      <w:tr w:rsidR="006457EF" w:rsidRPr="003D1614" w14:paraId="6917DA49" w14:textId="77777777" w:rsidTr="007E2B02">
        <w:trPr>
          <w:trHeight w:val="285"/>
        </w:trPr>
        <w:tc>
          <w:tcPr>
            <w:tcW w:w="2887" w:type="pct"/>
            <w:vAlign w:val="bottom"/>
          </w:tcPr>
          <w:p w14:paraId="05A850C1" w14:textId="18B75E15" w:rsidR="006457EF" w:rsidRPr="003D1614" w:rsidRDefault="006457EF" w:rsidP="006457EF">
            <w:pPr>
              <w:pStyle w:val="TT"/>
              <w:rPr>
                <w:rFonts w:cs="Arial"/>
                <w:color w:val="000000" w:themeColor="text1"/>
                <w:sz w:val="20"/>
                <w:lang w:val="hr-HR"/>
              </w:rPr>
            </w:pPr>
            <w:bookmarkStart w:id="144" w:name="_Toc67327064"/>
            <w:r w:rsidRPr="003D1614">
              <w:rPr>
                <w:rFonts w:cs="Arial"/>
                <w:color w:val="000000" w:themeColor="text1"/>
                <w:sz w:val="20"/>
                <w:lang w:val="hr-HR"/>
              </w:rPr>
              <w:t>Depoziti kod drugih banaka</w:t>
            </w:r>
            <w:bookmarkEnd w:id="144"/>
          </w:p>
        </w:tc>
        <w:tc>
          <w:tcPr>
            <w:tcW w:w="558" w:type="pct"/>
            <w:vAlign w:val="bottom"/>
          </w:tcPr>
          <w:p w14:paraId="252EB8BB" w14:textId="77777777" w:rsidR="006457EF" w:rsidRPr="00140901" w:rsidRDefault="006457EF" w:rsidP="006457EF">
            <w:pPr>
              <w:pStyle w:val="TT"/>
              <w:jc w:val="center"/>
              <w:rPr>
                <w:rFonts w:cs="Arial"/>
                <w:color w:val="000000" w:themeColor="text1"/>
                <w:sz w:val="20"/>
                <w:lang w:val="hr-HR"/>
              </w:rPr>
            </w:pPr>
            <w:bookmarkStart w:id="145" w:name="_Toc67327065"/>
            <w:r w:rsidRPr="00140901">
              <w:rPr>
                <w:rFonts w:cs="Arial"/>
                <w:color w:val="000000" w:themeColor="text1"/>
                <w:sz w:val="20"/>
                <w:lang w:val="hr-HR"/>
              </w:rPr>
              <w:t>1</w:t>
            </w:r>
            <w:bookmarkEnd w:id="145"/>
            <w:r w:rsidRPr="00140901">
              <w:rPr>
                <w:rFonts w:cs="Arial"/>
                <w:color w:val="000000" w:themeColor="text1"/>
                <w:sz w:val="20"/>
                <w:lang w:val="hr-HR"/>
              </w:rPr>
              <w:t>0</w:t>
            </w:r>
          </w:p>
        </w:tc>
        <w:tc>
          <w:tcPr>
            <w:tcW w:w="739" w:type="pct"/>
            <w:tcBorders>
              <w:top w:val="nil"/>
              <w:left w:val="nil"/>
              <w:bottom w:val="nil"/>
              <w:right w:val="nil"/>
            </w:tcBorders>
            <w:shd w:val="clear" w:color="auto" w:fill="auto"/>
            <w:vAlign w:val="center"/>
          </w:tcPr>
          <w:p w14:paraId="0C71B5C1" w14:textId="0C455000" w:rsidR="006457EF" w:rsidRPr="00D51EF6" w:rsidRDefault="006A297D" w:rsidP="006457EF">
            <w:pPr>
              <w:pStyle w:val="TT"/>
              <w:jc w:val="right"/>
              <w:rPr>
                <w:rFonts w:cs="Arial"/>
                <w:snapToGrid w:val="0"/>
                <w:color w:val="000000" w:themeColor="text1"/>
                <w:sz w:val="20"/>
                <w:lang w:val="hr-HR"/>
              </w:rPr>
            </w:pPr>
            <w:r>
              <w:rPr>
                <w:rFonts w:cs="Arial"/>
                <w:snapToGrid w:val="0"/>
                <w:color w:val="000000" w:themeColor="text1"/>
                <w:sz w:val="20"/>
                <w:lang w:val="hr-HR"/>
              </w:rPr>
              <w:t>126.896</w:t>
            </w:r>
          </w:p>
        </w:tc>
        <w:tc>
          <w:tcPr>
            <w:tcW w:w="815" w:type="pct"/>
            <w:tcBorders>
              <w:top w:val="nil"/>
              <w:left w:val="nil"/>
              <w:bottom w:val="nil"/>
              <w:right w:val="nil"/>
            </w:tcBorders>
            <w:shd w:val="clear" w:color="auto" w:fill="auto"/>
            <w:vAlign w:val="bottom"/>
          </w:tcPr>
          <w:p w14:paraId="01565C19" w14:textId="3F010A39" w:rsidR="006457EF" w:rsidRPr="00D51EF6" w:rsidRDefault="006457EF" w:rsidP="006457EF">
            <w:pPr>
              <w:pStyle w:val="TT"/>
              <w:jc w:val="right"/>
              <w:rPr>
                <w:rFonts w:cs="Arial"/>
                <w:color w:val="000000" w:themeColor="text1"/>
                <w:sz w:val="20"/>
                <w:lang w:val="hr-HR"/>
              </w:rPr>
            </w:pPr>
            <w:r w:rsidRPr="00F959D0">
              <w:rPr>
                <w:sz w:val="20"/>
              </w:rPr>
              <w:t>69.456</w:t>
            </w:r>
          </w:p>
        </w:tc>
      </w:tr>
      <w:tr w:rsidR="006457EF" w:rsidRPr="003D1614" w14:paraId="1DEF0CD3" w14:textId="77777777" w:rsidTr="007E2B02">
        <w:trPr>
          <w:trHeight w:val="285"/>
        </w:trPr>
        <w:tc>
          <w:tcPr>
            <w:tcW w:w="2887" w:type="pct"/>
            <w:vAlign w:val="bottom"/>
          </w:tcPr>
          <w:p w14:paraId="531E0CFE" w14:textId="6F381A89" w:rsidR="006457EF" w:rsidRPr="003D1614" w:rsidRDefault="006457EF" w:rsidP="006457EF">
            <w:pPr>
              <w:pStyle w:val="TT"/>
              <w:rPr>
                <w:rFonts w:cs="Arial"/>
                <w:color w:val="000000" w:themeColor="text1"/>
                <w:sz w:val="20"/>
                <w:lang w:val="hr-HR"/>
              </w:rPr>
            </w:pPr>
            <w:bookmarkStart w:id="146" w:name="_Toc67327068"/>
            <w:r w:rsidRPr="003D1614">
              <w:rPr>
                <w:rFonts w:cs="Arial"/>
                <w:color w:val="000000" w:themeColor="text1"/>
                <w:sz w:val="20"/>
                <w:lang w:val="hr-HR"/>
              </w:rPr>
              <w:t>Krediti financijskim institucijama</w:t>
            </w:r>
            <w:bookmarkEnd w:id="146"/>
          </w:p>
        </w:tc>
        <w:tc>
          <w:tcPr>
            <w:tcW w:w="558" w:type="pct"/>
            <w:vAlign w:val="bottom"/>
          </w:tcPr>
          <w:p w14:paraId="42E555D9" w14:textId="77777777" w:rsidR="006457EF" w:rsidRPr="00140901" w:rsidRDefault="006457EF" w:rsidP="006457EF">
            <w:pPr>
              <w:pStyle w:val="TT"/>
              <w:jc w:val="center"/>
              <w:rPr>
                <w:rFonts w:cs="Arial"/>
                <w:color w:val="000000" w:themeColor="text1"/>
                <w:sz w:val="20"/>
                <w:lang w:val="hr-HR"/>
              </w:rPr>
            </w:pPr>
            <w:bookmarkStart w:id="147" w:name="_Toc67327069"/>
            <w:r w:rsidRPr="00140901">
              <w:rPr>
                <w:rFonts w:cs="Arial"/>
                <w:color w:val="000000" w:themeColor="text1"/>
                <w:sz w:val="20"/>
                <w:lang w:val="hr-HR"/>
              </w:rPr>
              <w:t>1</w:t>
            </w:r>
            <w:bookmarkEnd w:id="147"/>
            <w:r w:rsidRPr="00140901">
              <w:rPr>
                <w:rFonts w:cs="Arial"/>
                <w:color w:val="000000" w:themeColor="text1"/>
                <w:sz w:val="20"/>
                <w:lang w:val="hr-HR"/>
              </w:rPr>
              <w:t>1</w:t>
            </w:r>
          </w:p>
        </w:tc>
        <w:tc>
          <w:tcPr>
            <w:tcW w:w="739" w:type="pct"/>
            <w:tcBorders>
              <w:top w:val="nil"/>
              <w:left w:val="nil"/>
              <w:bottom w:val="nil"/>
              <w:right w:val="nil"/>
            </w:tcBorders>
            <w:shd w:val="clear" w:color="auto" w:fill="auto"/>
            <w:vAlign w:val="center"/>
          </w:tcPr>
          <w:p w14:paraId="731B3D0C" w14:textId="7F4DB0C2" w:rsidR="006457EF" w:rsidRPr="00D51EF6" w:rsidRDefault="006A297D" w:rsidP="006457EF">
            <w:pPr>
              <w:pStyle w:val="TT"/>
              <w:jc w:val="right"/>
              <w:rPr>
                <w:rFonts w:cs="Arial"/>
                <w:snapToGrid w:val="0"/>
                <w:color w:val="000000" w:themeColor="text1"/>
                <w:sz w:val="20"/>
                <w:lang w:val="hr-HR"/>
              </w:rPr>
            </w:pPr>
            <w:r>
              <w:rPr>
                <w:rFonts w:cs="Arial"/>
                <w:snapToGrid w:val="0"/>
                <w:color w:val="000000" w:themeColor="text1"/>
                <w:sz w:val="20"/>
                <w:lang w:val="hr-HR"/>
              </w:rPr>
              <w:t>1.138.066</w:t>
            </w:r>
          </w:p>
        </w:tc>
        <w:tc>
          <w:tcPr>
            <w:tcW w:w="815" w:type="pct"/>
            <w:tcBorders>
              <w:top w:val="nil"/>
              <w:left w:val="nil"/>
              <w:bottom w:val="nil"/>
              <w:right w:val="nil"/>
            </w:tcBorders>
            <w:shd w:val="clear" w:color="auto" w:fill="auto"/>
            <w:vAlign w:val="bottom"/>
          </w:tcPr>
          <w:p w14:paraId="7701DFAE" w14:textId="25F20726" w:rsidR="006457EF" w:rsidRPr="00D51EF6" w:rsidRDefault="006457EF" w:rsidP="006457EF">
            <w:pPr>
              <w:pStyle w:val="TT"/>
              <w:jc w:val="right"/>
              <w:rPr>
                <w:rFonts w:cs="Arial"/>
                <w:color w:val="000000" w:themeColor="text1"/>
                <w:sz w:val="20"/>
                <w:lang w:val="hr-HR"/>
              </w:rPr>
            </w:pPr>
            <w:r w:rsidRPr="00F959D0">
              <w:rPr>
                <w:sz w:val="20"/>
              </w:rPr>
              <w:t>1.248.881</w:t>
            </w:r>
          </w:p>
        </w:tc>
      </w:tr>
      <w:tr w:rsidR="006457EF" w:rsidRPr="003D1614" w14:paraId="7E41DB56" w14:textId="77777777" w:rsidTr="007E2B02">
        <w:trPr>
          <w:trHeight w:val="297"/>
        </w:trPr>
        <w:tc>
          <w:tcPr>
            <w:tcW w:w="2887" w:type="pct"/>
            <w:vAlign w:val="bottom"/>
          </w:tcPr>
          <w:p w14:paraId="76CBC2CE" w14:textId="304F5A17" w:rsidR="006457EF" w:rsidRPr="003D1614" w:rsidRDefault="006457EF" w:rsidP="006457EF">
            <w:pPr>
              <w:pStyle w:val="TT"/>
              <w:rPr>
                <w:rFonts w:cs="Arial"/>
                <w:color w:val="000000" w:themeColor="text1"/>
                <w:sz w:val="20"/>
                <w:lang w:val="hr-HR"/>
              </w:rPr>
            </w:pPr>
            <w:bookmarkStart w:id="148" w:name="_Toc67327072"/>
            <w:r w:rsidRPr="003D1614">
              <w:rPr>
                <w:rFonts w:cs="Arial"/>
                <w:color w:val="000000" w:themeColor="text1"/>
                <w:sz w:val="20"/>
                <w:lang w:val="hr-HR"/>
              </w:rPr>
              <w:t>Krediti ostalim korisnicima</w:t>
            </w:r>
            <w:bookmarkEnd w:id="148"/>
          </w:p>
        </w:tc>
        <w:tc>
          <w:tcPr>
            <w:tcW w:w="558" w:type="pct"/>
            <w:vAlign w:val="bottom"/>
          </w:tcPr>
          <w:p w14:paraId="01FD55F8" w14:textId="77777777" w:rsidR="006457EF" w:rsidRPr="00140901" w:rsidRDefault="006457EF" w:rsidP="006457EF">
            <w:pPr>
              <w:pStyle w:val="TT"/>
              <w:jc w:val="center"/>
              <w:rPr>
                <w:rFonts w:cs="Arial"/>
                <w:color w:val="000000" w:themeColor="text1"/>
                <w:sz w:val="20"/>
                <w:lang w:val="hr-HR"/>
              </w:rPr>
            </w:pPr>
            <w:bookmarkStart w:id="149" w:name="_Toc67327073"/>
            <w:r w:rsidRPr="00140901">
              <w:rPr>
                <w:rFonts w:cs="Arial"/>
                <w:color w:val="000000" w:themeColor="text1"/>
                <w:sz w:val="20"/>
                <w:lang w:val="hr-HR"/>
              </w:rPr>
              <w:t>1</w:t>
            </w:r>
            <w:bookmarkEnd w:id="149"/>
            <w:r w:rsidRPr="00140901">
              <w:rPr>
                <w:rFonts w:cs="Arial"/>
                <w:color w:val="000000" w:themeColor="text1"/>
                <w:sz w:val="20"/>
                <w:lang w:val="hr-HR"/>
              </w:rPr>
              <w:t>2</w:t>
            </w:r>
          </w:p>
        </w:tc>
        <w:tc>
          <w:tcPr>
            <w:tcW w:w="739" w:type="pct"/>
            <w:tcBorders>
              <w:top w:val="nil"/>
              <w:left w:val="nil"/>
              <w:bottom w:val="nil"/>
              <w:right w:val="nil"/>
            </w:tcBorders>
            <w:shd w:val="clear" w:color="auto" w:fill="auto"/>
            <w:vAlign w:val="center"/>
          </w:tcPr>
          <w:p w14:paraId="6ED7CBC1" w14:textId="25F09040" w:rsidR="006457EF" w:rsidRPr="00D51EF6" w:rsidRDefault="006A297D" w:rsidP="006457EF">
            <w:pPr>
              <w:pStyle w:val="TT"/>
              <w:jc w:val="right"/>
              <w:rPr>
                <w:rFonts w:cs="Arial"/>
                <w:color w:val="000000" w:themeColor="text1"/>
                <w:spacing w:val="-2"/>
                <w:sz w:val="20"/>
                <w:lang w:val="hr-HR"/>
              </w:rPr>
            </w:pPr>
            <w:r>
              <w:rPr>
                <w:rFonts w:cs="Arial"/>
                <w:color w:val="000000" w:themeColor="text1"/>
                <w:spacing w:val="-2"/>
                <w:sz w:val="20"/>
                <w:lang w:val="hr-HR"/>
              </w:rPr>
              <w:t>2.337.844</w:t>
            </w:r>
          </w:p>
        </w:tc>
        <w:tc>
          <w:tcPr>
            <w:tcW w:w="815" w:type="pct"/>
            <w:tcBorders>
              <w:top w:val="nil"/>
              <w:left w:val="nil"/>
              <w:bottom w:val="nil"/>
              <w:right w:val="nil"/>
            </w:tcBorders>
            <w:shd w:val="clear" w:color="auto" w:fill="auto"/>
            <w:vAlign w:val="bottom"/>
          </w:tcPr>
          <w:p w14:paraId="67B0A1F3" w14:textId="5108F97F" w:rsidR="006457EF" w:rsidRPr="00D51EF6" w:rsidRDefault="006457EF" w:rsidP="006457EF">
            <w:pPr>
              <w:pStyle w:val="TT"/>
              <w:jc w:val="right"/>
              <w:rPr>
                <w:rFonts w:cs="Arial"/>
                <w:color w:val="000000" w:themeColor="text1"/>
                <w:sz w:val="20"/>
                <w:lang w:val="hr-HR"/>
              </w:rPr>
            </w:pPr>
            <w:r w:rsidRPr="00F959D0">
              <w:rPr>
                <w:sz w:val="20"/>
              </w:rPr>
              <w:t>2.351.196</w:t>
            </w:r>
          </w:p>
        </w:tc>
      </w:tr>
      <w:tr w:rsidR="006457EF" w:rsidRPr="003D1614" w14:paraId="6646FEC6" w14:textId="77777777" w:rsidTr="005D1219">
        <w:trPr>
          <w:trHeight w:val="297"/>
        </w:trPr>
        <w:tc>
          <w:tcPr>
            <w:tcW w:w="2887" w:type="pct"/>
            <w:tcBorders>
              <w:top w:val="nil"/>
              <w:left w:val="nil"/>
              <w:bottom w:val="nil"/>
              <w:right w:val="nil"/>
            </w:tcBorders>
            <w:shd w:val="clear" w:color="auto" w:fill="auto"/>
            <w:vAlign w:val="bottom"/>
          </w:tcPr>
          <w:p w14:paraId="3F88804E" w14:textId="02D80D1A" w:rsidR="006457EF" w:rsidRPr="003D1614" w:rsidRDefault="006457EF" w:rsidP="006457EF">
            <w:pPr>
              <w:pStyle w:val="TT"/>
              <w:rPr>
                <w:rFonts w:cs="Arial"/>
                <w:color w:val="000000" w:themeColor="text1"/>
                <w:sz w:val="20"/>
                <w:lang w:val="hr-HR"/>
              </w:rPr>
            </w:pPr>
            <w:bookmarkStart w:id="150" w:name="_Toc67327076"/>
            <w:r w:rsidRPr="003D1614">
              <w:rPr>
                <w:rFonts w:cs="Arial"/>
                <w:color w:val="000000" w:themeColor="text1"/>
                <w:sz w:val="20"/>
                <w:lang w:val="hr-HR"/>
              </w:rPr>
              <w:t>Financijska imovina po fer vrijednosti kroz dobit ili gubitak</w:t>
            </w:r>
            <w:bookmarkEnd w:id="150"/>
          </w:p>
        </w:tc>
        <w:tc>
          <w:tcPr>
            <w:tcW w:w="558" w:type="pct"/>
            <w:vAlign w:val="bottom"/>
          </w:tcPr>
          <w:p w14:paraId="72AF1928" w14:textId="77777777" w:rsidR="006457EF" w:rsidRPr="00140901" w:rsidRDefault="006457EF" w:rsidP="006457EF">
            <w:pPr>
              <w:pStyle w:val="TT"/>
              <w:jc w:val="center"/>
              <w:rPr>
                <w:rFonts w:cs="Arial"/>
                <w:color w:val="000000" w:themeColor="text1"/>
                <w:sz w:val="20"/>
                <w:lang w:val="hr-HR"/>
              </w:rPr>
            </w:pPr>
            <w:bookmarkStart w:id="151" w:name="_Toc67327077"/>
            <w:r w:rsidRPr="00140901">
              <w:rPr>
                <w:rFonts w:cs="Arial"/>
                <w:color w:val="000000" w:themeColor="text1"/>
                <w:sz w:val="20"/>
                <w:lang w:val="hr-HR"/>
              </w:rPr>
              <w:t>1</w:t>
            </w:r>
            <w:bookmarkEnd w:id="151"/>
            <w:r w:rsidRPr="00140901">
              <w:rPr>
                <w:rFonts w:cs="Arial"/>
                <w:color w:val="000000" w:themeColor="text1"/>
                <w:sz w:val="20"/>
                <w:lang w:val="hr-HR"/>
              </w:rPr>
              <w:t>3</w:t>
            </w:r>
          </w:p>
        </w:tc>
        <w:tc>
          <w:tcPr>
            <w:tcW w:w="739" w:type="pct"/>
            <w:tcBorders>
              <w:top w:val="nil"/>
              <w:left w:val="nil"/>
              <w:bottom w:val="nil"/>
              <w:right w:val="nil"/>
            </w:tcBorders>
            <w:shd w:val="clear" w:color="auto" w:fill="auto"/>
            <w:vAlign w:val="bottom"/>
          </w:tcPr>
          <w:p w14:paraId="42651828" w14:textId="2E03A380" w:rsidR="006457EF" w:rsidRPr="00D51EF6" w:rsidRDefault="006A297D" w:rsidP="006457EF">
            <w:pPr>
              <w:pStyle w:val="TT"/>
              <w:jc w:val="right"/>
              <w:rPr>
                <w:rFonts w:cs="Arial"/>
                <w:color w:val="000000" w:themeColor="text1"/>
                <w:spacing w:val="-2"/>
                <w:sz w:val="20"/>
                <w:lang w:val="hr-HR"/>
              </w:rPr>
            </w:pPr>
            <w:r>
              <w:rPr>
                <w:rFonts w:cs="Arial"/>
                <w:color w:val="000000" w:themeColor="text1"/>
                <w:spacing w:val="-2"/>
                <w:sz w:val="20"/>
                <w:lang w:val="hr-HR"/>
              </w:rPr>
              <w:t>53.772</w:t>
            </w:r>
          </w:p>
        </w:tc>
        <w:tc>
          <w:tcPr>
            <w:tcW w:w="815" w:type="pct"/>
            <w:tcBorders>
              <w:top w:val="nil"/>
              <w:left w:val="nil"/>
              <w:bottom w:val="nil"/>
              <w:right w:val="nil"/>
            </w:tcBorders>
            <w:shd w:val="clear" w:color="auto" w:fill="auto"/>
            <w:vAlign w:val="bottom"/>
          </w:tcPr>
          <w:p w14:paraId="3B5C7D7D" w14:textId="60585BEB" w:rsidR="006457EF" w:rsidRPr="00D51EF6" w:rsidRDefault="006457EF" w:rsidP="006457EF">
            <w:pPr>
              <w:pStyle w:val="TT"/>
              <w:jc w:val="right"/>
              <w:rPr>
                <w:rFonts w:cs="Arial"/>
                <w:color w:val="000000" w:themeColor="text1"/>
                <w:sz w:val="20"/>
                <w:lang w:val="hr-HR"/>
              </w:rPr>
            </w:pPr>
            <w:r w:rsidRPr="00F959D0">
              <w:rPr>
                <w:sz w:val="20"/>
              </w:rPr>
              <w:t>52.922</w:t>
            </w:r>
          </w:p>
        </w:tc>
      </w:tr>
      <w:tr w:rsidR="006457EF" w:rsidRPr="003D1614" w14:paraId="3A1841AE" w14:textId="77777777" w:rsidTr="005D1219">
        <w:trPr>
          <w:trHeight w:val="297"/>
        </w:trPr>
        <w:tc>
          <w:tcPr>
            <w:tcW w:w="2887" w:type="pct"/>
            <w:tcBorders>
              <w:top w:val="nil"/>
              <w:left w:val="nil"/>
              <w:bottom w:val="nil"/>
              <w:right w:val="nil"/>
            </w:tcBorders>
            <w:shd w:val="clear" w:color="auto" w:fill="auto"/>
            <w:vAlign w:val="bottom"/>
          </w:tcPr>
          <w:p w14:paraId="4CA8CE04" w14:textId="528CAD81" w:rsidR="006457EF" w:rsidRPr="003D1614" w:rsidRDefault="006457EF" w:rsidP="006457EF">
            <w:pPr>
              <w:pStyle w:val="TT"/>
              <w:rPr>
                <w:rFonts w:cs="Arial"/>
                <w:color w:val="000000" w:themeColor="text1"/>
                <w:sz w:val="20"/>
                <w:lang w:val="hr-HR"/>
              </w:rPr>
            </w:pPr>
            <w:bookmarkStart w:id="152" w:name="_Toc67327080"/>
            <w:r w:rsidRPr="003D1614">
              <w:rPr>
                <w:rFonts w:cs="Arial"/>
                <w:color w:val="000000" w:themeColor="text1"/>
                <w:sz w:val="20"/>
                <w:lang w:val="hr-HR"/>
              </w:rPr>
              <w:t>Financijska imovina po fer vrijednosti kroz ostalu sveobuhvatnu dobit</w:t>
            </w:r>
            <w:bookmarkEnd w:id="152"/>
          </w:p>
        </w:tc>
        <w:tc>
          <w:tcPr>
            <w:tcW w:w="558" w:type="pct"/>
            <w:vAlign w:val="bottom"/>
          </w:tcPr>
          <w:p w14:paraId="02F4525D" w14:textId="77777777" w:rsidR="006457EF" w:rsidRPr="00140901" w:rsidRDefault="006457EF" w:rsidP="006457EF">
            <w:pPr>
              <w:pStyle w:val="TT"/>
              <w:jc w:val="center"/>
              <w:rPr>
                <w:rFonts w:cs="Arial"/>
                <w:color w:val="000000" w:themeColor="text1"/>
                <w:sz w:val="20"/>
                <w:lang w:val="hr-HR"/>
              </w:rPr>
            </w:pPr>
            <w:bookmarkStart w:id="153" w:name="_Toc67327081"/>
            <w:r w:rsidRPr="00140901">
              <w:rPr>
                <w:rFonts w:cs="Arial"/>
                <w:color w:val="000000" w:themeColor="text1"/>
                <w:sz w:val="20"/>
                <w:lang w:val="hr-HR"/>
              </w:rPr>
              <w:t>1</w:t>
            </w:r>
            <w:bookmarkEnd w:id="153"/>
            <w:r w:rsidRPr="00140901">
              <w:rPr>
                <w:rFonts w:cs="Arial"/>
                <w:color w:val="000000" w:themeColor="text1"/>
                <w:sz w:val="20"/>
                <w:lang w:val="hr-HR"/>
              </w:rPr>
              <w:t>4</w:t>
            </w:r>
          </w:p>
        </w:tc>
        <w:tc>
          <w:tcPr>
            <w:tcW w:w="739" w:type="pct"/>
            <w:tcBorders>
              <w:top w:val="nil"/>
              <w:left w:val="nil"/>
              <w:bottom w:val="nil"/>
              <w:right w:val="nil"/>
            </w:tcBorders>
            <w:shd w:val="clear" w:color="auto" w:fill="auto"/>
            <w:vAlign w:val="bottom"/>
          </w:tcPr>
          <w:p w14:paraId="72086444" w14:textId="6DAFA9DF" w:rsidR="006457EF" w:rsidRPr="00D51EF6" w:rsidRDefault="00875BA8" w:rsidP="006457EF">
            <w:pPr>
              <w:pStyle w:val="TT"/>
              <w:jc w:val="right"/>
              <w:rPr>
                <w:rFonts w:cs="Arial"/>
                <w:color w:val="000000" w:themeColor="text1"/>
                <w:spacing w:val="-2"/>
                <w:sz w:val="20"/>
                <w:lang w:val="hr-HR"/>
              </w:rPr>
            </w:pPr>
            <w:r>
              <w:rPr>
                <w:rFonts w:cs="Arial"/>
                <w:color w:val="000000" w:themeColor="text1"/>
                <w:spacing w:val="-2"/>
                <w:sz w:val="20"/>
                <w:lang w:val="hr-HR"/>
              </w:rPr>
              <w:t>239.600</w:t>
            </w:r>
          </w:p>
        </w:tc>
        <w:tc>
          <w:tcPr>
            <w:tcW w:w="815" w:type="pct"/>
            <w:tcBorders>
              <w:top w:val="nil"/>
              <w:left w:val="nil"/>
              <w:bottom w:val="nil"/>
              <w:right w:val="nil"/>
            </w:tcBorders>
            <w:shd w:val="clear" w:color="auto" w:fill="auto"/>
            <w:vAlign w:val="bottom"/>
          </w:tcPr>
          <w:p w14:paraId="46FB8488" w14:textId="38CB3DF5" w:rsidR="006457EF" w:rsidRPr="00D51EF6" w:rsidRDefault="006457EF" w:rsidP="006457EF">
            <w:pPr>
              <w:pStyle w:val="TT"/>
              <w:jc w:val="right"/>
              <w:rPr>
                <w:rFonts w:cs="Arial"/>
                <w:color w:val="000000" w:themeColor="text1"/>
                <w:sz w:val="20"/>
                <w:lang w:val="hr-HR"/>
              </w:rPr>
            </w:pPr>
            <w:r w:rsidRPr="00F959D0">
              <w:rPr>
                <w:sz w:val="20"/>
              </w:rPr>
              <w:t>228.858</w:t>
            </w:r>
          </w:p>
        </w:tc>
      </w:tr>
      <w:tr w:rsidR="006457EF" w:rsidRPr="003D1614" w14:paraId="16884164" w14:textId="77777777" w:rsidTr="005D1219">
        <w:trPr>
          <w:trHeight w:val="285"/>
        </w:trPr>
        <w:tc>
          <w:tcPr>
            <w:tcW w:w="2887" w:type="pct"/>
            <w:vAlign w:val="bottom"/>
          </w:tcPr>
          <w:p w14:paraId="4F9C75BE" w14:textId="5FFAD5FD" w:rsidR="006457EF" w:rsidRPr="003D1614" w:rsidRDefault="006457EF" w:rsidP="006457EF">
            <w:pPr>
              <w:pStyle w:val="TT"/>
              <w:rPr>
                <w:rFonts w:cs="Arial"/>
                <w:color w:val="000000" w:themeColor="text1"/>
                <w:sz w:val="20"/>
                <w:lang w:val="hr-HR"/>
              </w:rPr>
            </w:pPr>
            <w:bookmarkStart w:id="154" w:name="_Toc67327084"/>
            <w:r w:rsidRPr="003D1614">
              <w:rPr>
                <w:rFonts w:cs="Arial"/>
                <w:color w:val="000000" w:themeColor="text1"/>
                <w:sz w:val="20"/>
                <w:lang w:val="hr-HR"/>
              </w:rPr>
              <w:t>Ulaganja u ovisna društva</w:t>
            </w:r>
            <w:bookmarkEnd w:id="154"/>
          </w:p>
        </w:tc>
        <w:tc>
          <w:tcPr>
            <w:tcW w:w="558" w:type="pct"/>
            <w:vAlign w:val="bottom"/>
          </w:tcPr>
          <w:p w14:paraId="405DE971" w14:textId="77777777" w:rsidR="006457EF" w:rsidRPr="00140901" w:rsidRDefault="006457EF" w:rsidP="006457EF">
            <w:pPr>
              <w:pStyle w:val="TT"/>
              <w:jc w:val="center"/>
              <w:rPr>
                <w:rFonts w:cs="Arial"/>
                <w:color w:val="000000" w:themeColor="text1"/>
                <w:sz w:val="20"/>
                <w:lang w:val="hr-HR"/>
              </w:rPr>
            </w:pPr>
          </w:p>
        </w:tc>
        <w:tc>
          <w:tcPr>
            <w:tcW w:w="739" w:type="pct"/>
            <w:tcBorders>
              <w:top w:val="nil"/>
              <w:left w:val="nil"/>
              <w:bottom w:val="nil"/>
              <w:right w:val="nil"/>
            </w:tcBorders>
            <w:shd w:val="clear" w:color="auto" w:fill="auto"/>
            <w:vAlign w:val="bottom"/>
          </w:tcPr>
          <w:p w14:paraId="6DD171B5" w14:textId="4F5ABC64" w:rsidR="006457EF" w:rsidRPr="00D51EF6" w:rsidRDefault="00875BA8" w:rsidP="006457EF">
            <w:pPr>
              <w:pStyle w:val="TT"/>
              <w:jc w:val="right"/>
              <w:rPr>
                <w:rFonts w:cs="Arial"/>
                <w:snapToGrid w:val="0"/>
                <w:color w:val="000000" w:themeColor="text1"/>
                <w:sz w:val="20"/>
                <w:lang w:val="hr-HR"/>
              </w:rPr>
            </w:pPr>
            <w:r>
              <w:rPr>
                <w:rFonts w:cs="Arial"/>
                <w:snapToGrid w:val="0"/>
                <w:color w:val="000000" w:themeColor="text1"/>
                <w:sz w:val="20"/>
                <w:lang w:val="hr-HR"/>
              </w:rPr>
              <w:t>7.449</w:t>
            </w:r>
          </w:p>
        </w:tc>
        <w:tc>
          <w:tcPr>
            <w:tcW w:w="815" w:type="pct"/>
            <w:tcBorders>
              <w:top w:val="nil"/>
              <w:left w:val="nil"/>
              <w:bottom w:val="nil"/>
              <w:right w:val="nil"/>
            </w:tcBorders>
            <w:shd w:val="clear" w:color="auto" w:fill="auto"/>
            <w:vAlign w:val="bottom"/>
          </w:tcPr>
          <w:p w14:paraId="17042EE8" w14:textId="6814B5F2" w:rsidR="006457EF" w:rsidRPr="00D51EF6" w:rsidRDefault="006457EF" w:rsidP="006457EF">
            <w:pPr>
              <w:pStyle w:val="TT"/>
              <w:jc w:val="right"/>
              <w:rPr>
                <w:rFonts w:cs="Arial"/>
                <w:snapToGrid w:val="0"/>
                <w:color w:val="000000" w:themeColor="text1"/>
                <w:sz w:val="20"/>
                <w:lang w:val="hr-HR"/>
              </w:rPr>
            </w:pPr>
            <w:r w:rsidRPr="00F959D0">
              <w:rPr>
                <w:sz w:val="20"/>
              </w:rPr>
              <w:t>7.449</w:t>
            </w:r>
          </w:p>
        </w:tc>
      </w:tr>
      <w:tr w:rsidR="006457EF" w:rsidRPr="003D1614" w14:paraId="2F8D4318" w14:textId="77777777" w:rsidTr="005D1219">
        <w:trPr>
          <w:trHeight w:val="253"/>
        </w:trPr>
        <w:tc>
          <w:tcPr>
            <w:tcW w:w="2887" w:type="pct"/>
            <w:vAlign w:val="bottom"/>
          </w:tcPr>
          <w:p w14:paraId="04415B45" w14:textId="79F8BED5" w:rsidR="006457EF" w:rsidRPr="003D1614" w:rsidRDefault="006457EF" w:rsidP="006457EF">
            <w:pPr>
              <w:pStyle w:val="TT"/>
              <w:rPr>
                <w:rFonts w:cs="Arial"/>
                <w:color w:val="000000" w:themeColor="text1"/>
                <w:sz w:val="20"/>
                <w:lang w:val="hr-HR"/>
              </w:rPr>
            </w:pPr>
            <w:bookmarkStart w:id="155" w:name="_Toc67327092"/>
            <w:r w:rsidRPr="003D1614">
              <w:rPr>
                <w:rFonts w:cs="Arial"/>
                <w:color w:val="000000" w:themeColor="text1"/>
                <w:sz w:val="20"/>
                <w:lang w:val="hr-HR"/>
              </w:rPr>
              <w:t>Nekretnine, postrojenja i oprema i nematerijalna imovina</w:t>
            </w:r>
            <w:bookmarkEnd w:id="155"/>
          </w:p>
        </w:tc>
        <w:tc>
          <w:tcPr>
            <w:tcW w:w="558" w:type="pct"/>
            <w:vAlign w:val="bottom"/>
          </w:tcPr>
          <w:p w14:paraId="5A57138C" w14:textId="77777777" w:rsidR="006457EF" w:rsidRPr="00140901" w:rsidRDefault="006457EF" w:rsidP="006457EF">
            <w:pPr>
              <w:pStyle w:val="TT"/>
              <w:jc w:val="center"/>
              <w:rPr>
                <w:rFonts w:cs="Arial"/>
                <w:color w:val="000000" w:themeColor="text1"/>
                <w:sz w:val="20"/>
                <w:lang w:val="hr-HR"/>
              </w:rPr>
            </w:pPr>
          </w:p>
        </w:tc>
        <w:tc>
          <w:tcPr>
            <w:tcW w:w="739" w:type="pct"/>
            <w:tcBorders>
              <w:top w:val="nil"/>
              <w:left w:val="nil"/>
              <w:bottom w:val="nil"/>
              <w:right w:val="nil"/>
            </w:tcBorders>
            <w:shd w:val="clear" w:color="auto" w:fill="auto"/>
            <w:vAlign w:val="bottom"/>
          </w:tcPr>
          <w:p w14:paraId="5995C583" w14:textId="793A5177" w:rsidR="006457EF" w:rsidRPr="00D51EF6" w:rsidRDefault="00875BA8" w:rsidP="006457EF">
            <w:pPr>
              <w:pStyle w:val="TT"/>
              <w:jc w:val="right"/>
              <w:rPr>
                <w:rFonts w:cs="Arial"/>
                <w:snapToGrid w:val="0"/>
                <w:color w:val="000000" w:themeColor="text1"/>
                <w:sz w:val="20"/>
                <w:lang w:val="hr-HR"/>
              </w:rPr>
            </w:pPr>
            <w:r>
              <w:rPr>
                <w:rFonts w:cs="Arial"/>
                <w:snapToGrid w:val="0"/>
                <w:color w:val="000000" w:themeColor="text1"/>
                <w:sz w:val="20"/>
                <w:lang w:val="hr-HR"/>
              </w:rPr>
              <w:t>4.</w:t>
            </w:r>
            <w:r w:rsidR="0036135C">
              <w:rPr>
                <w:rFonts w:cs="Arial"/>
                <w:snapToGrid w:val="0"/>
                <w:color w:val="000000" w:themeColor="text1"/>
                <w:sz w:val="20"/>
                <w:lang w:val="hr-HR"/>
              </w:rPr>
              <w:t>685</w:t>
            </w:r>
          </w:p>
        </w:tc>
        <w:tc>
          <w:tcPr>
            <w:tcW w:w="815" w:type="pct"/>
            <w:tcBorders>
              <w:top w:val="nil"/>
              <w:left w:val="nil"/>
              <w:bottom w:val="nil"/>
              <w:right w:val="nil"/>
            </w:tcBorders>
            <w:shd w:val="clear" w:color="auto" w:fill="auto"/>
            <w:vAlign w:val="bottom"/>
          </w:tcPr>
          <w:p w14:paraId="61C722C1" w14:textId="7D94EBDD" w:rsidR="006457EF" w:rsidRPr="00D51EF6" w:rsidRDefault="006457EF" w:rsidP="006457EF">
            <w:pPr>
              <w:pStyle w:val="TT"/>
              <w:jc w:val="right"/>
              <w:rPr>
                <w:rFonts w:cs="Arial"/>
                <w:color w:val="000000" w:themeColor="text1"/>
                <w:sz w:val="20"/>
                <w:lang w:val="hr-HR"/>
              </w:rPr>
            </w:pPr>
            <w:r w:rsidRPr="00F959D0">
              <w:rPr>
                <w:sz w:val="20"/>
              </w:rPr>
              <w:t>4.723</w:t>
            </w:r>
          </w:p>
        </w:tc>
      </w:tr>
      <w:tr w:rsidR="006457EF" w:rsidRPr="003D1614" w14:paraId="55AD2CE3" w14:textId="77777777" w:rsidTr="005D1219">
        <w:trPr>
          <w:trHeight w:val="285"/>
        </w:trPr>
        <w:tc>
          <w:tcPr>
            <w:tcW w:w="2887" w:type="pct"/>
            <w:vAlign w:val="bottom"/>
          </w:tcPr>
          <w:p w14:paraId="5953C8A8" w14:textId="2D6650C2" w:rsidR="006457EF" w:rsidRPr="003D1614" w:rsidRDefault="006457EF" w:rsidP="006457EF">
            <w:pPr>
              <w:pStyle w:val="TT"/>
              <w:rPr>
                <w:rFonts w:cs="Arial"/>
                <w:color w:val="000000" w:themeColor="text1"/>
                <w:sz w:val="20"/>
                <w:lang w:val="hr-HR"/>
              </w:rPr>
            </w:pPr>
            <w:bookmarkStart w:id="156" w:name="_Toc67327096"/>
            <w:r w:rsidRPr="003D1614">
              <w:rPr>
                <w:rFonts w:cs="Arial"/>
                <w:color w:val="000000" w:themeColor="text1"/>
                <w:sz w:val="20"/>
                <w:lang w:val="hr-HR"/>
              </w:rPr>
              <w:t>Preuzeta imovina</w:t>
            </w:r>
            <w:bookmarkEnd w:id="156"/>
          </w:p>
        </w:tc>
        <w:tc>
          <w:tcPr>
            <w:tcW w:w="558" w:type="pct"/>
            <w:vAlign w:val="bottom"/>
          </w:tcPr>
          <w:p w14:paraId="7E45C62B" w14:textId="77777777" w:rsidR="006457EF" w:rsidRPr="00140901" w:rsidRDefault="006457EF" w:rsidP="006457EF">
            <w:pPr>
              <w:pStyle w:val="TT"/>
              <w:jc w:val="center"/>
              <w:rPr>
                <w:rFonts w:cs="Arial"/>
                <w:color w:val="000000" w:themeColor="text1"/>
                <w:sz w:val="20"/>
                <w:lang w:val="hr-HR"/>
              </w:rPr>
            </w:pPr>
            <w:r w:rsidRPr="00140901">
              <w:rPr>
                <w:rFonts w:cs="Arial"/>
                <w:color w:val="000000" w:themeColor="text1"/>
                <w:sz w:val="20"/>
                <w:lang w:val="hr-HR"/>
              </w:rPr>
              <w:t>15</w:t>
            </w:r>
          </w:p>
        </w:tc>
        <w:tc>
          <w:tcPr>
            <w:tcW w:w="739" w:type="pct"/>
            <w:tcBorders>
              <w:top w:val="nil"/>
              <w:left w:val="nil"/>
              <w:bottom w:val="nil"/>
              <w:right w:val="nil"/>
            </w:tcBorders>
            <w:shd w:val="clear" w:color="auto" w:fill="auto"/>
            <w:vAlign w:val="bottom"/>
          </w:tcPr>
          <w:p w14:paraId="55D06A76" w14:textId="4B856D32" w:rsidR="006457EF" w:rsidRPr="00D51EF6" w:rsidRDefault="0036135C" w:rsidP="006457EF">
            <w:pPr>
              <w:pStyle w:val="TT"/>
              <w:jc w:val="right"/>
              <w:rPr>
                <w:rFonts w:cs="Arial"/>
                <w:snapToGrid w:val="0"/>
                <w:color w:val="000000" w:themeColor="text1"/>
                <w:sz w:val="20"/>
                <w:lang w:val="hr-HR"/>
              </w:rPr>
            </w:pPr>
            <w:r>
              <w:rPr>
                <w:rFonts w:cs="Arial"/>
                <w:snapToGrid w:val="0"/>
                <w:color w:val="000000" w:themeColor="text1"/>
                <w:sz w:val="20"/>
                <w:lang w:val="hr-HR"/>
              </w:rPr>
              <w:t>2.141</w:t>
            </w:r>
          </w:p>
        </w:tc>
        <w:tc>
          <w:tcPr>
            <w:tcW w:w="815" w:type="pct"/>
            <w:tcBorders>
              <w:top w:val="nil"/>
              <w:left w:val="nil"/>
              <w:bottom w:val="nil"/>
              <w:right w:val="nil"/>
            </w:tcBorders>
            <w:shd w:val="clear" w:color="auto" w:fill="auto"/>
            <w:vAlign w:val="bottom"/>
          </w:tcPr>
          <w:p w14:paraId="37912109" w14:textId="55296D27" w:rsidR="006457EF" w:rsidRPr="00D51EF6" w:rsidRDefault="006457EF" w:rsidP="006457EF">
            <w:pPr>
              <w:pStyle w:val="TT"/>
              <w:jc w:val="right"/>
              <w:rPr>
                <w:rFonts w:cs="Arial"/>
                <w:color w:val="000000" w:themeColor="text1"/>
                <w:sz w:val="20"/>
                <w:lang w:val="hr-HR"/>
              </w:rPr>
            </w:pPr>
            <w:r w:rsidRPr="00F959D0">
              <w:rPr>
                <w:sz w:val="20"/>
              </w:rPr>
              <w:t>2.291</w:t>
            </w:r>
          </w:p>
        </w:tc>
      </w:tr>
      <w:tr w:rsidR="006457EF" w:rsidRPr="003D1614" w14:paraId="606DA5BB" w14:textId="77777777" w:rsidTr="005D1219">
        <w:trPr>
          <w:trHeight w:val="285"/>
        </w:trPr>
        <w:tc>
          <w:tcPr>
            <w:tcW w:w="2887" w:type="pct"/>
            <w:vAlign w:val="bottom"/>
          </w:tcPr>
          <w:p w14:paraId="6F9FD967" w14:textId="2660DDAE" w:rsidR="006457EF" w:rsidRPr="003D1614" w:rsidRDefault="006457EF" w:rsidP="006457EF">
            <w:pPr>
              <w:pStyle w:val="TT"/>
              <w:rPr>
                <w:rFonts w:cs="Arial"/>
                <w:color w:val="000000" w:themeColor="text1"/>
                <w:sz w:val="20"/>
                <w:lang w:val="hr-HR"/>
              </w:rPr>
            </w:pPr>
            <w:bookmarkStart w:id="157" w:name="_Toc67327100"/>
            <w:r w:rsidRPr="003D1614">
              <w:rPr>
                <w:rFonts w:cs="Arial"/>
                <w:color w:val="000000" w:themeColor="text1"/>
                <w:sz w:val="20"/>
                <w:lang w:val="hr-HR"/>
              </w:rPr>
              <w:t>Ostala imovina</w:t>
            </w:r>
            <w:bookmarkEnd w:id="157"/>
          </w:p>
        </w:tc>
        <w:tc>
          <w:tcPr>
            <w:tcW w:w="558" w:type="pct"/>
            <w:vAlign w:val="bottom"/>
          </w:tcPr>
          <w:p w14:paraId="6264358F" w14:textId="77777777" w:rsidR="006457EF" w:rsidRPr="00140901" w:rsidRDefault="006457EF" w:rsidP="006457EF">
            <w:pPr>
              <w:pStyle w:val="TT"/>
              <w:jc w:val="center"/>
              <w:rPr>
                <w:rFonts w:cs="Arial"/>
                <w:color w:val="000000" w:themeColor="text1"/>
                <w:sz w:val="20"/>
                <w:lang w:val="hr-HR"/>
              </w:rPr>
            </w:pPr>
            <w:r w:rsidRPr="00140901">
              <w:rPr>
                <w:rFonts w:cs="Arial"/>
                <w:color w:val="000000" w:themeColor="text1"/>
                <w:sz w:val="20"/>
                <w:lang w:val="hr-HR"/>
              </w:rPr>
              <w:t>16</w:t>
            </w:r>
          </w:p>
        </w:tc>
        <w:tc>
          <w:tcPr>
            <w:tcW w:w="739" w:type="pct"/>
            <w:tcBorders>
              <w:top w:val="nil"/>
              <w:left w:val="nil"/>
              <w:bottom w:val="nil"/>
              <w:right w:val="nil"/>
            </w:tcBorders>
            <w:shd w:val="clear" w:color="auto" w:fill="auto"/>
            <w:vAlign w:val="bottom"/>
          </w:tcPr>
          <w:p w14:paraId="39679394" w14:textId="426DFBD7" w:rsidR="006457EF" w:rsidRPr="00D51EF6" w:rsidRDefault="0036135C" w:rsidP="006457EF">
            <w:pPr>
              <w:pStyle w:val="TT"/>
              <w:jc w:val="right"/>
              <w:rPr>
                <w:rFonts w:cs="Arial"/>
                <w:snapToGrid w:val="0"/>
                <w:color w:val="000000" w:themeColor="text1"/>
                <w:sz w:val="20"/>
                <w:lang w:val="hr-HR"/>
              </w:rPr>
            </w:pPr>
            <w:r>
              <w:rPr>
                <w:rFonts w:cs="Arial"/>
                <w:snapToGrid w:val="0"/>
                <w:color w:val="000000" w:themeColor="text1"/>
                <w:sz w:val="20"/>
                <w:lang w:val="hr-HR"/>
              </w:rPr>
              <w:t>7.250</w:t>
            </w:r>
          </w:p>
        </w:tc>
        <w:tc>
          <w:tcPr>
            <w:tcW w:w="815" w:type="pct"/>
            <w:tcBorders>
              <w:top w:val="nil"/>
              <w:left w:val="nil"/>
              <w:bottom w:val="nil"/>
              <w:right w:val="nil"/>
            </w:tcBorders>
            <w:shd w:val="clear" w:color="auto" w:fill="auto"/>
            <w:vAlign w:val="bottom"/>
          </w:tcPr>
          <w:p w14:paraId="55956C6E" w14:textId="314D525A" w:rsidR="006457EF" w:rsidRPr="00D51EF6" w:rsidRDefault="006457EF" w:rsidP="006457EF">
            <w:pPr>
              <w:pStyle w:val="TT"/>
              <w:jc w:val="right"/>
              <w:rPr>
                <w:rFonts w:cs="Arial"/>
                <w:color w:val="000000" w:themeColor="text1"/>
                <w:sz w:val="20"/>
                <w:lang w:val="hr-HR"/>
              </w:rPr>
            </w:pPr>
            <w:r w:rsidRPr="00F959D0">
              <w:rPr>
                <w:sz w:val="20"/>
              </w:rPr>
              <w:t>11.365</w:t>
            </w:r>
          </w:p>
        </w:tc>
      </w:tr>
      <w:tr w:rsidR="006457EF" w:rsidRPr="003D1614" w14:paraId="7A7600E6" w14:textId="77777777" w:rsidTr="005D1219">
        <w:trPr>
          <w:trHeight w:val="320"/>
        </w:trPr>
        <w:tc>
          <w:tcPr>
            <w:tcW w:w="2887" w:type="pct"/>
            <w:vAlign w:val="bottom"/>
          </w:tcPr>
          <w:p w14:paraId="697BD4BE" w14:textId="5D184C95" w:rsidR="006457EF" w:rsidRPr="003D1614" w:rsidRDefault="006457EF" w:rsidP="006457EF">
            <w:pPr>
              <w:pStyle w:val="Tot"/>
              <w:rPr>
                <w:rFonts w:cs="Arial"/>
                <w:b/>
                <w:bCs/>
                <w:color w:val="000000" w:themeColor="text1"/>
                <w:sz w:val="20"/>
                <w:lang w:val="hr-HR"/>
              </w:rPr>
            </w:pPr>
            <w:bookmarkStart w:id="158" w:name="_Toc67327104"/>
            <w:r w:rsidRPr="003D1614">
              <w:rPr>
                <w:rFonts w:cs="Arial"/>
                <w:b/>
                <w:bCs/>
                <w:color w:val="000000" w:themeColor="text1"/>
                <w:sz w:val="20"/>
                <w:lang w:val="hr-HR"/>
              </w:rPr>
              <w:t>Ukupna imovina</w:t>
            </w:r>
            <w:bookmarkEnd w:id="158"/>
          </w:p>
        </w:tc>
        <w:tc>
          <w:tcPr>
            <w:tcW w:w="558" w:type="pct"/>
            <w:vAlign w:val="bottom"/>
          </w:tcPr>
          <w:p w14:paraId="4E9D66BF" w14:textId="77777777" w:rsidR="006457EF" w:rsidRPr="00140901" w:rsidRDefault="006457EF" w:rsidP="006457EF">
            <w:pPr>
              <w:pStyle w:val="Tot"/>
              <w:jc w:val="center"/>
              <w:rPr>
                <w:rFonts w:cs="Arial"/>
                <w:b/>
                <w:bCs/>
                <w:color w:val="000000" w:themeColor="text1"/>
                <w:sz w:val="20"/>
                <w:lang w:val="hr-HR"/>
              </w:rPr>
            </w:pPr>
          </w:p>
        </w:tc>
        <w:tc>
          <w:tcPr>
            <w:tcW w:w="739" w:type="pct"/>
            <w:tcBorders>
              <w:top w:val="single" w:sz="4" w:space="0" w:color="auto"/>
              <w:left w:val="nil"/>
              <w:bottom w:val="single" w:sz="8" w:space="0" w:color="auto"/>
              <w:right w:val="nil"/>
            </w:tcBorders>
            <w:shd w:val="clear" w:color="auto" w:fill="auto"/>
            <w:vAlign w:val="bottom"/>
          </w:tcPr>
          <w:p w14:paraId="077B928B" w14:textId="243754E9" w:rsidR="006457EF" w:rsidRPr="00D51EF6" w:rsidRDefault="0036135C" w:rsidP="006457EF">
            <w:pPr>
              <w:pStyle w:val="Tot"/>
              <w:jc w:val="right"/>
              <w:rPr>
                <w:rFonts w:cs="Arial"/>
                <w:b/>
                <w:bCs/>
                <w:color w:val="000000" w:themeColor="text1"/>
                <w:sz w:val="20"/>
                <w:lang w:val="hr-HR"/>
              </w:rPr>
            </w:pPr>
            <w:r>
              <w:rPr>
                <w:rFonts w:cs="Arial"/>
                <w:b/>
                <w:bCs/>
                <w:color w:val="000000" w:themeColor="text1"/>
                <w:sz w:val="20"/>
                <w:lang w:val="hr-HR"/>
              </w:rPr>
              <w:t>3.994.656</w:t>
            </w:r>
          </w:p>
        </w:tc>
        <w:tc>
          <w:tcPr>
            <w:tcW w:w="815" w:type="pct"/>
            <w:tcBorders>
              <w:top w:val="single" w:sz="4" w:space="0" w:color="auto"/>
              <w:left w:val="nil"/>
              <w:bottom w:val="single" w:sz="8" w:space="0" w:color="auto"/>
              <w:right w:val="nil"/>
            </w:tcBorders>
            <w:shd w:val="clear" w:color="auto" w:fill="auto"/>
            <w:vAlign w:val="bottom"/>
          </w:tcPr>
          <w:p w14:paraId="2AB19A37" w14:textId="7E5D10B9" w:rsidR="006457EF" w:rsidRPr="00D51EF6" w:rsidRDefault="006457EF" w:rsidP="006457EF">
            <w:pPr>
              <w:pStyle w:val="Tot"/>
              <w:jc w:val="right"/>
              <w:rPr>
                <w:rFonts w:cs="Arial"/>
                <w:b/>
                <w:bCs/>
                <w:color w:val="000000" w:themeColor="text1"/>
                <w:sz w:val="20"/>
                <w:lang w:val="hr-HR"/>
              </w:rPr>
            </w:pPr>
            <w:r w:rsidRPr="00C90C70">
              <w:rPr>
                <w:rFonts w:cs="Arial"/>
                <w:b/>
                <w:bCs/>
                <w:color w:val="000000" w:themeColor="text1"/>
                <w:sz w:val="20"/>
                <w:lang w:val="hr-HR"/>
              </w:rPr>
              <w:t>4.018.684</w:t>
            </w:r>
          </w:p>
        </w:tc>
      </w:tr>
      <w:tr w:rsidR="006457EF" w:rsidRPr="003D1614" w14:paraId="46587AC1" w14:textId="77777777" w:rsidTr="005D1219">
        <w:trPr>
          <w:trHeight w:val="285"/>
        </w:trPr>
        <w:tc>
          <w:tcPr>
            <w:tcW w:w="2887" w:type="pct"/>
            <w:vAlign w:val="bottom"/>
          </w:tcPr>
          <w:p w14:paraId="1C0D7E5A" w14:textId="45940F8C" w:rsidR="006457EF" w:rsidRPr="003D1614" w:rsidRDefault="006457EF" w:rsidP="006457EF">
            <w:pPr>
              <w:pStyle w:val="TT"/>
              <w:rPr>
                <w:rFonts w:cs="Arial"/>
                <w:b/>
                <w:bCs/>
                <w:color w:val="000000" w:themeColor="text1"/>
                <w:sz w:val="20"/>
                <w:lang w:val="hr-HR"/>
              </w:rPr>
            </w:pPr>
            <w:bookmarkStart w:id="159" w:name="_Toc67327107"/>
            <w:r w:rsidRPr="003D1614">
              <w:rPr>
                <w:rFonts w:cs="Arial"/>
                <w:b/>
                <w:bCs/>
                <w:color w:val="000000" w:themeColor="text1"/>
                <w:sz w:val="20"/>
                <w:lang w:val="hr-HR"/>
              </w:rPr>
              <w:t>Obveze</w:t>
            </w:r>
            <w:bookmarkEnd w:id="159"/>
          </w:p>
        </w:tc>
        <w:tc>
          <w:tcPr>
            <w:tcW w:w="558" w:type="pct"/>
            <w:vAlign w:val="bottom"/>
          </w:tcPr>
          <w:p w14:paraId="4CB513D8" w14:textId="77777777" w:rsidR="006457EF" w:rsidRPr="00140901" w:rsidRDefault="006457EF" w:rsidP="006457EF">
            <w:pPr>
              <w:pStyle w:val="TT"/>
              <w:rPr>
                <w:rFonts w:cs="Arial"/>
                <w:b/>
                <w:bCs/>
                <w:color w:val="000000" w:themeColor="text1"/>
                <w:sz w:val="20"/>
                <w:lang w:val="hr-HR"/>
              </w:rPr>
            </w:pPr>
          </w:p>
        </w:tc>
        <w:tc>
          <w:tcPr>
            <w:tcW w:w="739" w:type="pct"/>
            <w:tcBorders>
              <w:top w:val="single" w:sz="12" w:space="0" w:color="auto"/>
            </w:tcBorders>
            <w:shd w:val="clear" w:color="auto" w:fill="auto"/>
            <w:vAlign w:val="bottom"/>
          </w:tcPr>
          <w:p w14:paraId="59C71471" w14:textId="77777777" w:rsidR="006457EF" w:rsidRPr="003D1614" w:rsidRDefault="006457EF" w:rsidP="006457EF">
            <w:pPr>
              <w:pStyle w:val="TT"/>
              <w:jc w:val="right"/>
              <w:rPr>
                <w:rFonts w:cs="Arial"/>
                <w:b/>
                <w:bCs/>
                <w:color w:val="000000" w:themeColor="text1"/>
                <w:sz w:val="20"/>
                <w:lang w:val="hr-HR"/>
              </w:rPr>
            </w:pPr>
          </w:p>
        </w:tc>
        <w:tc>
          <w:tcPr>
            <w:tcW w:w="815" w:type="pct"/>
            <w:tcBorders>
              <w:top w:val="single" w:sz="12" w:space="0" w:color="auto"/>
            </w:tcBorders>
            <w:vAlign w:val="bottom"/>
          </w:tcPr>
          <w:p w14:paraId="45681E20" w14:textId="77777777" w:rsidR="006457EF" w:rsidRPr="003D1614" w:rsidRDefault="006457EF" w:rsidP="006457EF">
            <w:pPr>
              <w:pStyle w:val="TT"/>
              <w:jc w:val="right"/>
              <w:rPr>
                <w:rFonts w:cs="Arial"/>
                <w:b/>
                <w:bCs/>
                <w:color w:val="000000" w:themeColor="text1"/>
                <w:sz w:val="20"/>
                <w:lang w:val="hr-HR"/>
              </w:rPr>
            </w:pPr>
          </w:p>
        </w:tc>
      </w:tr>
      <w:tr w:rsidR="00A40167" w:rsidRPr="003D1614" w14:paraId="748E2E09" w14:textId="77777777" w:rsidTr="005D1219">
        <w:trPr>
          <w:trHeight w:val="285"/>
        </w:trPr>
        <w:tc>
          <w:tcPr>
            <w:tcW w:w="2887" w:type="pct"/>
            <w:vAlign w:val="bottom"/>
          </w:tcPr>
          <w:p w14:paraId="4B6A22BE" w14:textId="78BD289E" w:rsidR="00A40167" w:rsidRPr="003D1614" w:rsidRDefault="00A40167" w:rsidP="00A40167">
            <w:pPr>
              <w:pStyle w:val="TT"/>
              <w:rPr>
                <w:rFonts w:cs="Arial"/>
                <w:color w:val="000000" w:themeColor="text1"/>
                <w:sz w:val="20"/>
                <w:lang w:val="hr-HR"/>
              </w:rPr>
            </w:pPr>
            <w:bookmarkStart w:id="160" w:name="_Toc67327108"/>
            <w:r w:rsidRPr="003D1614">
              <w:rPr>
                <w:rFonts w:cs="Arial"/>
                <w:color w:val="000000" w:themeColor="text1"/>
                <w:sz w:val="20"/>
                <w:lang w:val="hr-HR"/>
              </w:rPr>
              <w:t>Obveze po depozitima</w:t>
            </w:r>
            <w:bookmarkEnd w:id="160"/>
          </w:p>
        </w:tc>
        <w:tc>
          <w:tcPr>
            <w:tcW w:w="558" w:type="pct"/>
            <w:vAlign w:val="bottom"/>
          </w:tcPr>
          <w:p w14:paraId="41C3AAB1" w14:textId="77777777" w:rsidR="00A40167" w:rsidRPr="00140901" w:rsidRDefault="00A40167" w:rsidP="00A40167">
            <w:pPr>
              <w:pStyle w:val="TT"/>
              <w:jc w:val="center"/>
              <w:rPr>
                <w:rFonts w:cs="Arial"/>
                <w:color w:val="000000" w:themeColor="text1"/>
                <w:sz w:val="20"/>
                <w:lang w:val="hr-HR"/>
              </w:rPr>
            </w:pPr>
            <w:r w:rsidRPr="00140901">
              <w:rPr>
                <w:rFonts w:cs="Arial"/>
                <w:color w:val="000000" w:themeColor="text1"/>
                <w:sz w:val="20"/>
                <w:lang w:val="hr-HR"/>
              </w:rPr>
              <w:t>17</w:t>
            </w:r>
          </w:p>
        </w:tc>
        <w:tc>
          <w:tcPr>
            <w:tcW w:w="739" w:type="pct"/>
            <w:tcBorders>
              <w:top w:val="nil"/>
              <w:left w:val="nil"/>
              <w:bottom w:val="nil"/>
              <w:right w:val="nil"/>
            </w:tcBorders>
            <w:shd w:val="clear" w:color="auto" w:fill="auto"/>
            <w:vAlign w:val="bottom"/>
          </w:tcPr>
          <w:p w14:paraId="0A780FB6" w14:textId="0B720605" w:rsidR="00A40167" w:rsidRPr="00D51EF6" w:rsidRDefault="0036135C" w:rsidP="00A40167">
            <w:pPr>
              <w:pStyle w:val="TT"/>
              <w:jc w:val="right"/>
              <w:rPr>
                <w:rFonts w:cs="Arial"/>
                <w:color w:val="000000" w:themeColor="text1"/>
                <w:sz w:val="20"/>
                <w:lang w:val="hr-HR"/>
              </w:rPr>
            </w:pPr>
            <w:r>
              <w:rPr>
                <w:rFonts w:cs="Arial"/>
                <w:color w:val="000000" w:themeColor="text1"/>
                <w:sz w:val="20"/>
                <w:lang w:val="hr-HR"/>
              </w:rPr>
              <w:t>178.509</w:t>
            </w:r>
          </w:p>
        </w:tc>
        <w:tc>
          <w:tcPr>
            <w:tcW w:w="815" w:type="pct"/>
            <w:tcBorders>
              <w:top w:val="nil"/>
              <w:left w:val="nil"/>
              <w:bottom w:val="nil"/>
              <w:right w:val="nil"/>
            </w:tcBorders>
            <w:shd w:val="clear" w:color="auto" w:fill="auto"/>
          </w:tcPr>
          <w:p w14:paraId="3AFF7091" w14:textId="49B327CB" w:rsidR="00A40167" w:rsidRPr="00D51EF6" w:rsidRDefault="00A40167" w:rsidP="00A40167">
            <w:pPr>
              <w:pStyle w:val="TT"/>
              <w:jc w:val="right"/>
              <w:rPr>
                <w:rFonts w:cs="Arial"/>
                <w:color w:val="000000" w:themeColor="text1"/>
                <w:sz w:val="20"/>
                <w:lang w:val="hr-HR"/>
              </w:rPr>
            </w:pPr>
            <w:r w:rsidRPr="00F959D0">
              <w:rPr>
                <w:sz w:val="20"/>
              </w:rPr>
              <w:t>194.876</w:t>
            </w:r>
          </w:p>
        </w:tc>
      </w:tr>
      <w:tr w:rsidR="00A40167" w:rsidRPr="003D1614" w14:paraId="03DC8BAF" w14:textId="77777777" w:rsidTr="005D1219">
        <w:trPr>
          <w:trHeight w:val="285"/>
        </w:trPr>
        <w:tc>
          <w:tcPr>
            <w:tcW w:w="2887" w:type="pct"/>
            <w:vAlign w:val="bottom"/>
          </w:tcPr>
          <w:p w14:paraId="0D88F46D" w14:textId="620DC0B0" w:rsidR="00A40167" w:rsidRPr="003D1614" w:rsidRDefault="00A40167" w:rsidP="00A40167">
            <w:pPr>
              <w:pStyle w:val="TT"/>
              <w:rPr>
                <w:rFonts w:cs="Arial"/>
                <w:color w:val="000000" w:themeColor="text1"/>
                <w:sz w:val="20"/>
                <w:lang w:val="hr-HR"/>
              </w:rPr>
            </w:pPr>
            <w:bookmarkStart w:id="161" w:name="_Toc67327112"/>
            <w:r w:rsidRPr="003D1614">
              <w:rPr>
                <w:rFonts w:cs="Arial"/>
                <w:color w:val="000000" w:themeColor="text1"/>
                <w:sz w:val="20"/>
                <w:lang w:val="hr-HR"/>
              </w:rPr>
              <w:t>Obveze po kreditima</w:t>
            </w:r>
            <w:bookmarkEnd w:id="161"/>
          </w:p>
        </w:tc>
        <w:tc>
          <w:tcPr>
            <w:tcW w:w="558" w:type="pct"/>
            <w:vAlign w:val="bottom"/>
          </w:tcPr>
          <w:p w14:paraId="5A15B577" w14:textId="77777777" w:rsidR="00A40167" w:rsidRPr="00140901" w:rsidRDefault="00A40167" w:rsidP="00A40167">
            <w:pPr>
              <w:pStyle w:val="TT"/>
              <w:jc w:val="center"/>
              <w:rPr>
                <w:rFonts w:cs="Arial"/>
                <w:color w:val="000000" w:themeColor="text1"/>
                <w:sz w:val="20"/>
                <w:lang w:val="hr-HR"/>
              </w:rPr>
            </w:pPr>
            <w:r w:rsidRPr="00140901">
              <w:rPr>
                <w:rFonts w:cs="Arial"/>
                <w:color w:val="000000" w:themeColor="text1"/>
                <w:sz w:val="20"/>
                <w:lang w:val="hr-HR"/>
              </w:rPr>
              <w:t>18</w:t>
            </w:r>
          </w:p>
        </w:tc>
        <w:tc>
          <w:tcPr>
            <w:tcW w:w="739" w:type="pct"/>
            <w:tcBorders>
              <w:top w:val="nil"/>
              <w:left w:val="nil"/>
              <w:bottom w:val="nil"/>
              <w:right w:val="nil"/>
            </w:tcBorders>
            <w:shd w:val="clear" w:color="auto" w:fill="auto"/>
            <w:vAlign w:val="bottom"/>
          </w:tcPr>
          <w:p w14:paraId="0DDF7518" w14:textId="6BFC903A" w:rsidR="00A40167" w:rsidRPr="00D51EF6" w:rsidRDefault="002076DB" w:rsidP="00A40167">
            <w:pPr>
              <w:pStyle w:val="TT"/>
              <w:jc w:val="right"/>
              <w:rPr>
                <w:rFonts w:cs="Arial"/>
                <w:color w:val="000000" w:themeColor="text1"/>
                <w:sz w:val="20"/>
                <w:lang w:val="hr-HR"/>
              </w:rPr>
            </w:pPr>
            <w:r>
              <w:rPr>
                <w:rFonts w:cs="Arial"/>
                <w:color w:val="000000" w:themeColor="text1"/>
                <w:sz w:val="20"/>
                <w:lang w:val="hr-HR"/>
              </w:rPr>
              <w:t>2.229.</w:t>
            </w:r>
            <w:r w:rsidR="00431452">
              <w:rPr>
                <w:rFonts w:cs="Arial"/>
                <w:color w:val="000000" w:themeColor="text1"/>
                <w:sz w:val="20"/>
                <w:lang w:val="hr-HR"/>
              </w:rPr>
              <w:t>329</w:t>
            </w:r>
          </w:p>
        </w:tc>
        <w:tc>
          <w:tcPr>
            <w:tcW w:w="815" w:type="pct"/>
            <w:tcBorders>
              <w:top w:val="nil"/>
              <w:left w:val="nil"/>
              <w:bottom w:val="nil"/>
              <w:right w:val="nil"/>
            </w:tcBorders>
            <w:shd w:val="clear" w:color="auto" w:fill="auto"/>
          </w:tcPr>
          <w:p w14:paraId="509BCB8C" w14:textId="790A6AE3" w:rsidR="00A40167" w:rsidRPr="00D51EF6" w:rsidRDefault="00A40167" w:rsidP="00A40167">
            <w:pPr>
              <w:pStyle w:val="TT"/>
              <w:jc w:val="right"/>
              <w:rPr>
                <w:rFonts w:cs="Arial"/>
                <w:color w:val="000000" w:themeColor="text1"/>
                <w:sz w:val="20"/>
                <w:lang w:val="hr-HR"/>
              </w:rPr>
            </w:pPr>
            <w:r w:rsidRPr="00F959D0">
              <w:rPr>
                <w:sz w:val="20"/>
              </w:rPr>
              <w:t>2.251.176</w:t>
            </w:r>
          </w:p>
        </w:tc>
      </w:tr>
      <w:tr w:rsidR="00A40167" w:rsidRPr="003D1614" w14:paraId="00F42EBC" w14:textId="77777777" w:rsidTr="005D1219">
        <w:trPr>
          <w:trHeight w:val="285"/>
        </w:trPr>
        <w:tc>
          <w:tcPr>
            <w:tcW w:w="2887" w:type="pct"/>
            <w:vAlign w:val="bottom"/>
          </w:tcPr>
          <w:p w14:paraId="3EE7798A" w14:textId="1C112581" w:rsidR="00A40167" w:rsidRPr="003D1614" w:rsidRDefault="00A40167" w:rsidP="00A40167">
            <w:pPr>
              <w:pStyle w:val="TT"/>
              <w:rPr>
                <w:rFonts w:cs="Arial"/>
                <w:color w:val="000000" w:themeColor="text1"/>
                <w:sz w:val="20"/>
                <w:lang w:val="hr-HR"/>
              </w:rPr>
            </w:pPr>
            <w:bookmarkStart w:id="162" w:name="_Toc67327120"/>
            <w:r w:rsidRPr="003D1614">
              <w:rPr>
                <w:rFonts w:cs="Arial"/>
                <w:color w:val="000000" w:themeColor="text1"/>
                <w:sz w:val="20"/>
                <w:lang w:val="hr-HR"/>
              </w:rPr>
              <w:t>Rezerviranja za garancije, preuzete i ostale obveze</w:t>
            </w:r>
            <w:bookmarkEnd w:id="162"/>
          </w:p>
        </w:tc>
        <w:tc>
          <w:tcPr>
            <w:tcW w:w="558" w:type="pct"/>
            <w:vAlign w:val="bottom"/>
          </w:tcPr>
          <w:p w14:paraId="512E691D" w14:textId="77777777" w:rsidR="00A40167" w:rsidRPr="00140901" w:rsidRDefault="00A40167" w:rsidP="00A40167">
            <w:pPr>
              <w:pStyle w:val="TT"/>
              <w:jc w:val="center"/>
              <w:rPr>
                <w:rFonts w:cs="Arial"/>
                <w:color w:val="000000" w:themeColor="text1"/>
                <w:sz w:val="20"/>
                <w:lang w:val="hr-HR"/>
              </w:rPr>
            </w:pPr>
            <w:r w:rsidRPr="00140901">
              <w:rPr>
                <w:rFonts w:cs="Arial"/>
                <w:color w:val="000000" w:themeColor="text1"/>
                <w:sz w:val="20"/>
                <w:lang w:val="hr-HR"/>
              </w:rPr>
              <w:t>19</w:t>
            </w:r>
          </w:p>
        </w:tc>
        <w:tc>
          <w:tcPr>
            <w:tcW w:w="739" w:type="pct"/>
            <w:tcBorders>
              <w:top w:val="nil"/>
              <w:left w:val="nil"/>
              <w:bottom w:val="nil"/>
              <w:right w:val="nil"/>
            </w:tcBorders>
            <w:shd w:val="clear" w:color="auto" w:fill="auto"/>
            <w:vAlign w:val="bottom"/>
          </w:tcPr>
          <w:p w14:paraId="7C837066" w14:textId="0EE58D45" w:rsidR="00A40167" w:rsidRPr="00D51EF6" w:rsidDel="007003BC" w:rsidRDefault="00431452" w:rsidP="00A40167">
            <w:pPr>
              <w:pStyle w:val="TT"/>
              <w:jc w:val="right"/>
              <w:rPr>
                <w:rFonts w:cs="Arial"/>
                <w:color w:val="000000" w:themeColor="text1"/>
                <w:sz w:val="20"/>
                <w:lang w:val="hr-HR"/>
              </w:rPr>
            </w:pPr>
            <w:r>
              <w:rPr>
                <w:rFonts w:cs="Arial"/>
                <w:color w:val="000000" w:themeColor="text1"/>
                <w:sz w:val="20"/>
                <w:lang w:val="hr-HR"/>
              </w:rPr>
              <w:t>21.833</w:t>
            </w:r>
          </w:p>
        </w:tc>
        <w:tc>
          <w:tcPr>
            <w:tcW w:w="815" w:type="pct"/>
            <w:tcBorders>
              <w:top w:val="nil"/>
              <w:left w:val="nil"/>
              <w:bottom w:val="nil"/>
              <w:right w:val="nil"/>
            </w:tcBorders>
            <w:shd w:val="clear" w:color="auto" w:fill="auto"/>
          </w:tcPr>
          <w:p w14:paraId="597BE45A" w14:textId="1FB385FF" w:rsidR="00A40167" w:rsidRPr="00D51EF6" w:rsidRDefault="00A40167" w:rsidP="00A40167">
            <w:pPr>
              <w:pStyle w:val="TT"/>
              <w:jc w:val="right"/>
              <w:rPr>
                <w:rFonts w:cs="Arial"/>
                <w:color w:val="000000" w:themeColor="text1"/>
                <w:sz w:val="20"/>
                <w:lang w:val="hr-HR"/>
              </w:rPr>
            </w:pPr>
            <w:r w:rsidRPr="00F959D0">
              <w:rPr>
                <w:sz w:val="20"/>
              </w:rPr>
              <w:t>24.380</w:t>
            </w:r>
          </w:p>
        </w:tc>
      </w:tr>
      <w:tr w:rsidR="00A40167" w:rsidRPr="003D1614" w14:paraId="3657A2E1" w14:textId="77777777" w:rsidTr="005D1219">
        <w:trPr>
          <w:trHeight w:val="285"/>
        </w:trPr>
        <w:tc>
          <w:tcPr>
            <w:tcW w:w="2887" w:type="pct"/>
            <w:vAlign w:val="bottom"/>
          </w:tcPr>
          <w:p w14:paraId="32B19433" w14:textId="6D707458" w:rsidR="00A40167" w:rsidRPr="003D1614" w:rsidRDefault="00A40167" w:rsidP="00A40167">
            <w:pPr>
              <w:pStyle w:val="TT"/>
              <w:rPr>
                <w:rFonts w:cs="Arial"/>
                <w:color w:val="000000" w:themeColor="text1"/>
                <w:sz w:val="20"/>
                <w:lang w:val="hr-HR"/>
              </w:rPr>
            </w:pPr>
            <w:bookmarkStart w:id="163" w:name="_Toc67327124"/>
            <w:r w:rsidRPr="003D1614">
              <w:rPr>
                <w:rFonts w:cs="Arial"/>
                <w:color w:val="000000" w:themeColor="text1"/>
                <w:sz w:val="20"/>
                <w:lang w:val="hr-HR"/>
              </w:rPr>
              <w:t>Ostale obveze</w:t>
            </w:r>
            <w:bookmarkEnd w:id="163"/>
          </w:p>
        </w:tc>
        <w:tc>
          <w:tcPr>
            <w:tcW w:w="558" w:type="pct"/>
            <w:vAlign w:val="bottom"/>
          </w:tcPr>
          <w:p w14:paraId="618F4151" w14:textId="77777777" w:rsidR="00A40167" w:rsidRPr="00140901" w:rsidRDefault="00A40167" w:rsidP="00A40167">
            <w:pPr>
              <w:pStyle w:val="TT"/>
              <w:jc w:val="center"/>
              <w:rPr>
                <w:rFonts w:cs="Arial"/>
                <w:color w:val="000000" w:themeColor="text1"/>
                <w:sz w:val="20"/>
                <w:lang w:val="hr-HR"/>
              </w:rPr>
            </w:pPr>
            <w:r w:rsidRPr="00140901">
              <w:rPr>
                <w:rFonts w:cs="Arial"/>
                <w:color w:val="000000" w:themeColor="text1"/>
                <w:sz w:val="20"/>
                <w:lang w:val="hr-HR"/>
              </w:rPr>
              <w:t>20</w:t>
            </w:r>
          </w:p>
        </w:tc>
        <w:tc>
          <w:tcPr>
            <w:tcW w:w="739" w:type="pct"/>
            <w:tcBorders>
              <w:top w:val="nil"/>
              <w:left w:val="nil"/>
              <w:bottom w:val="nil"/>
              <w:right w:val="nil"/>
            </w:tcBorders>
            <w:shd w:val="clear" w:color="auto" w:fill="auto"/>
            <w:vAlign w:val="bottom"/>
          </w:tcPr>
          <w:p w14:paraId="4FC9AF22" w14:textId="549491B2" w:rsidR="00A40167" w:rsidRPr="00D51EF6" w:rsidRDefault="00431452" w:rsidP="00A40167">
            <w:pPr>
              <w:pStyle w:val="TT"/>
              <w:jc w:val="right"/>
              <w:rPr>
                <w:rFonts w:cs="Arial"/>
                <w:color w:val="000000" w:themeColor="text1"/>
                <w:sz w:val="20"/>
                <w:lang w:val="hr-HR"/>
              </w:rPr>
            </w:pPr>
            <w:r>
              <w:rPr>
                <w:rFonts w:cs="Arial"/>
                <w:color w:val="000000" w:themeColor="text1"/>
                <w:sz w:val="20"/>
                <w:lang w:val="hr-HR"/>
              </w:rPr>
              <w:t>90.416</w:t>
            </w:r>
          </w:p>
        </w:tc>
        <w:tc>
          <w:tcPr>
            <w:tcW w:w="815" w:type="pct"/>
            <w:tcBorders>
              <w:top w:val="nil"/>
              <w:left w:val="nil"/>
              <w:bottom w:val="nil"/>
              <w:right w:val="nil"/>
            </w:tcBorders>
            <w:shd w:val="clear" w:color="auto" w:fill="auto"/>
          </w:tcPr>
          <w:p w14:paraId="07508053" w14:textId="4528411B" w:rsidR="00A40167" w:rsidRPr="00D51EF6" w:rsidRDefault="00A40167" w:rsidP="00A40167">
            <w:pPr>
              <w:pStyle w:val="TT"/>
              <w:jc w:val="right"/>
              <w:rPr>
                <w:rFonts w:cs="Arial"/>
                <w:color w:val="000000" w:themeColor="text1"/>
                <w:sz w:val="20"/>
                <w:lang w:val="hr-HR"/>
              </w:rPr>
            </w:pPr>
            <w:r w:rsidRPr="00F959D0">
              <w:rPr>
                <w:sz w:val="20"/>
              </w:rPr>
              <w:t>90.729</w:t>
            </w:r>
          </w:p>
        </w:tc>
      </w:tr>
      <w:tr w:rsidR="00A40167" w:rsidRPr="003D1614" w14:paraId="4D180FFE" w14:textId="77777777" w:rsidTr="005D1219">
        <w:trPr>
          <w:trHeight w:val="332"/>
        </w:trPr>
        <w:tc>
          <w:tcPr>
            <w:tcW w:w="2887" w:type="pct"/>
            <w:vAlign w:val="bottom"/>
          </w:tcPr>
          <w:p w14:paraId="5B106A74" w14:textId="15A9D2CC" w:rsidR="00A40167" w:rsidRPr="003D1614" w:rsidRDefault="00A40167" w:rsidP="00A40167">
            <w:pPr>
              <w:pStyle w:val="Tot"/>
              <w:rPr>
                <w:rFonts w:cs="Arial"/>
                <w:b/>
                <w:bCs/>
                <w:color w:val="000000" w:themeColor="text1"/>
                <w:sz w:val="20"/>
                <w:lang w:val="hr-HR"/>
              </w:rPr>
            </w:pPr>
            <w:bookmarkStart w:id="164" w:name="_Toc67327128"/>
            <w:r w:rsidRPr="003D1614">
              <w:rPr>
                <w:rFonts w:cs="Arial"/>
                <w:b/>
                <w:bCs/>
                <w:color w:val="000000" w:themeColor="text1"/>
                <w:sz w:val="20"/>
                <w:lang w:val="hr-HR"/>
              </w:rPr>
              <w:t>Ukupne obveze</w:t>
            </w:r>
            <w:bookmarkEnd w:id="164"/>
          </w:p>
        </w:tc>
        <w:tc>
          <w:tcPr>
            <w:tcW w:w="558" w:type="pct"/>
            <w:vAlign w:val="bottom"/>
          </w:tcPr>
          <w:p w14:paraId="1FD0C061" w14:textId="77777777" w:rsidR="00A40167" w:rsidRPr="003D1614" w:rsidRDefault="00A40167" w:rsidP="00A40167">
            <w:pPr>
              <w:pStyle w:val="Tot"/>
              <w:rPr>
                <w:rFonts w:cs="Arial"/>
                <w:b/>
                <w:bCs/>
                <w:color w:val="000000" w:themeColor="text1"/>
                <w:sz w:val="20"/>
                <w:highlight w:val="yellow"/>
                <w:lang w:val="hr-HR"/>
              </w:rPr>
            </w:pPr>
          </w:p>
        </w:tc>
        <w:tc>
          <w:tcPr>
            <w:tcW w:w="739" w:type="pct"/>
            <w:tcBorders>
              <w:top w:val="single" w:sz="4" w:space="0" w:color="auto"/>
              <w:left w:val="nil"/>
              <w:bottom w:val="single" w:sz="8" w:space="0" w:color="auto"/>
              <w:right w:val="nil"/>
            </w:tcBorders>
            <w:shd w:val="clear" w:color="auto" w:fill="auto"/>
            <w:vAlign w:val="bottom"/>
          </w:tcPr>
          <w:p w14:paraId="267113B8" w14:textId="591EB43D" w:rsidR="00A40167" w:rsidRPr="00D51EF6" w:rsidRDefault="00431452" w:rsidP="00A40167">
            <w:pPr>
              <w:pStyle w:val="Tot"/>
              <w:jc w:val="right"/>
              <w:rPr>
                <w:rFonts w:cs="Arial"/>
                <w:b/>
                <w:bCs/>
                <w:color w:val="000000" w:themeColor="text1"/>
                <w:sz w:val="20"/>
                <w:lang w:val="hr-HR"/>
              </w:rPr>
            </w:pPr>
            <w:r>
              <w:rPr>
                <w:rFonts w:cs="Arial"/>
                <w:b/>
                <w:bCs/>
                <w:color w:val="000000" w:themeColor="text1"/>
                <w:sz w:val="20"/>
                <w:lang w:val="hr-HR"/>
              </w:rPr>
              <w:t>2.520.087</w:t>
            </w:r>
          </w:p>
        </w:tc>
        <w:tc>
          <w:tcPr>
            <w:tcW w:w="815" w:type="pct"/>
            <w:tcBorders>
              <w:top w:val="single" w:sz="4" w:space="0" w:color="auto"/>
              <w:left w:val="nil"/>
              <w:bottom w:val="single" w:sz="8" w:space="0" w:color="auto"/>
              <w:right w:val="nil"/>
            </w:tcBorders>
            <w:shd w:val="clear" w:color="auto" w:fill="auto"/>
            <w:vAlign w:val="bottom"/>
          </w:tcPr>
          <w:p w14:paraId="5B0E4273" w14:textId="34568EDD" w:rsidR="00A40167" w:rsidRPr="00D51EF6" w:rsidRDefault="00A40167" w:rsidP="00A40167">
            <w:pPr>
              <w:pStyle w:val="Tot"/>
              <w:jc w:val="right"/>
              <w:rPr>
                <w:rFonts w:cs="Arial"/>
                <w:b/>
                <w:bCs/>
                <w:color w:val="000000" w:themeColor="text1"/>
                <w:sz w:val="20"/>
                <w:lang w:val="hr-HR"/>
              </w:rPr>
            </w:pPr>
            <w:r w:rsidRPr="00C90C70">
              <w:rPr>
                <w:rFonts w:cs="Arial"/>
                <w:b/>
                <w:bCs/>
                <w:color w:val="000000" w:themeColor="text1"/>
                <w:sz w:val="20"/>
                <w:lang w:val="hr-HR"/>
              </w:rPr>
              <w:t>2.561.161</w:t>
            </w:r>
          </w:p>
        </w:tc>
      </w:tr>
      <w:tr w:rsidR="00A40167" w:rsidRPr="003D1614" w14:paraId="0D7DC0D0" w14:textId="77777777" w:rsidTr="005D1219">
        <w:trPr>
          <w:trHeight w:val="285"/>
        </w:trPr>
        <w:tc>
          <w:tcPr>
            <w:tcW w:w="2887" w:type="pct"/>
            <w:vAlign w:val="bottom"/>
          </w:tcPr>
          <w:p w14:paraId="2F2A516D" w14:textId="77DA543C" w:rsidR="00A40167" w:rsidRPr="003D1614" w:rsidRDefault="00A40167" w:rsidP="00A40167">
            <w:pPr>
              <w:pStyle w:val="TT"/>
              <w:rPr>
                <w:rFonts w:cs="Arial"/>
                <w:b/>
                <w:bCs/>
                <w:color w:val="000000" w:themeColor="text1"/>
                <w:sz w:val="20"/>
                <w:lang w:val="hr-HR"/>
              </w:rPr>
            </w:pPr>
            <w:bookmarkStart w:id="165" w:name="_Toc67327131"/>
            <w:r w:rsidRPr="003D1614">
              <w:rPr>
                <w:rFonts w:cs="Arial"/>
                <w:b/>
                <w:bCs/>
                <w:color w:val="000000" w:themeColor="text1"/>
                <w:sz w:val="20"/>
                <w:lang w:val="hr-HR"/>
              </w:rPr>
              <w:t>Kapital i rezerve</w:t>
            </w:r>
            <w:bookmarkEnd w:id="165"/>
          </w:p>
        </w:tc>
        <w:tc>
          <w:tcPr>
            <w:tcW w:w="558" w:type="pct"/>
            <w:vAlign w:val="bottom"/>
          </w:tcPr>
          <w:p w14:paraId="05828763" w14:textId="77777777" w:rsidR="00A40167" w:rsidRPr="003D1614" w:rsidRDefault="00A40167" w:rsidP="00A40167">
            <w:pPr>
              <w:pStyle w:val="TT"/>
              <w:rPr>
                <w:rFonts w:cs="Arial"/>
                <w:b/>
                <w:bCs/>
                <w:color w:val="000000" w:themeColor="text1"/>
                <w:sz w:val="20"/>
                <w:highlight w:val="yellow"/>
                <w:lang w:val="hr-HR"/>
              </w:rPr>
            </w:pPr>
          </w:p>
        </w:tc>
        <w:tc>
          <w:tcPr>
            <w:tcW w:w="739" w:type="pct"/>
            <w:tcBorders>
              <w:top w:val="single" w:sz="12" w:space="0" w:color="auto"/>
            </w:tcBorders>
            <w:shd w:val="clear" w:color="auto" w:fill="auto"/>
            <w:vAlign w:val="bottom"/>
          </w:tcPr>
          <w:p w14:paraId="7B908AB2" w14:textId="77777777" w:rsidR="00A40167" w:rsidRPr="00D51EF6" w:rsidRDefault="00A40167" w:rsidP="00A40167">
            <w:pPr>
              <w:pStyle w:val="TT"/>
              <w:jc w:val="right"/>
              <w:rPr>
                <w:rFonts w:cs="Arial"/>
                <w:b/>
                <w:bCs/>
                <w:color w:val="000000" w:themeColor="text1"/>
                <w:sz w:val="20"/>
                <w:lang w:val="hr-HR"/>
              </w:rPr>
            </w:pPr>
          </w:p>
        </w:tc>
        <w:tc>
          <w:tcPr>
            <w:tcW w:w="815" w:type="pct"/>
            <w:tcBorders>
              <w:top w:val="single" w:sz="12" w:space="0" w:color="auto"/>
            </w:tcBorders>
            <w:vAlign w:val="bottom"/>
          </w:tcPr>
          <w:p w14:paraId="7325D588" w14:textId="77777777" w:rsidR="00A40167" w:rsidRPr="00D51EF6" w:rsidRDefault="00A40167" w:rsidP="00A40167">
            <w:pPr>
              <w:pStyle w:val="TT"/>
              <w:jc w:val="right"/>
              <w:rPr>
                <w:rFonts w:cs="Arial"/>
                <w:b/>
                <w:bCs/>
                <w:color w:val="000000" w:themeColor="text1"/>
                <w:sz w:val="20"/>
                <w:lang w:val="hr-HR"/>
              </w:rPr>
            </w:pPr>
          </w:p>
        </w:tc>
      </w:tr>
      <w:tr w:rsidR="000B424D" w:rsidRPr="003D1614" w14:paraId="54C6410A" w14:textId="77777777" w:rsidTr="005D1219">
        <w:trPr>
          <w:trHeight w:val="285"/>
        </w:trPr>
        <w:tc>
          <w:tcPr>
            <w:tcW w:w="2887" w:type="pct"/>
            <w:vAlign w:val="bottom"/>
          </w:tcPr>
          <w:p w14:paraId="2C5AAF86" w14:textId="3E122591" w:rsidR="000B424D" w:rsidRPr="003D1614" w:rsidRDefault="000B424D" w:rsidP="000B424D">
            <w:pPr>
              <w:pStyle w:val="TT"/>
              <w:rPr>
                <w:rFonts w:cs="Arial"/>
                <w:color w:val="000000" w:themeColor="text1"/>
                <w:sz w:val="20"/>
                <w:lang w:val="hr-HR"/>
              </w:rPr>
            </w:pPr>
            <w:bookmarkStart w:id="166" w:name="_Toc67327132"/>
            <w:r w:rsidRPr="003D1614">
              <w:rPr>
                <w:rFonts w:cs="Arial"/>
                <w:color w:val="000000" w:themeColor="text1"/>
                <w:sz w:val="20"/>
                <w:lang w:val="hr-HR"/>
              </w:rPr>
              <w:t>Osnivački kapital</w:t>
            </w:r>
            <w:bookmarkEnd w:id="166"/>
          </w:p>
        </w:tc>
        <w:tc>
          <w:tcPr>
            <w:tcW w:w="558" w:type="pct"/>
            <w:vAlign w:val="bottom"/>
          </w:tcPr>
          <w:p w14:paraId="2E0C77DB" w14:textId="58A0ADF9" w:rsidR="000B424D" w:rsidRPr="003D1614" w:rsidRDefault="000B424D" w:rsidP="000B424D">
            <w:pPr>
              <w:pStyle w:val="TT"/>
              <w:jc w:val="center"/>
              <w:rPr>
                <w:rFonts w:cs="Arial"/>
                <w:color w:val="000000" w:themeColor="text1"/>
                <w:sz w:val="20"/>
                <w:highlight w:val="yellow"/>
                <w:lang w:val="hr-HR"/>
              </w:rPr>
            </w:pPr>
          </w:p>
        </w:tc>
        <w:tc>
          <w:tcPr>
            <w:tcW w:w="739" w:type="pct"/>
            <w:tcBorders>
              <w:top w:val="nil"/>
              <w:left w:val="nil"/>
              <w:bottom w:val="nil"/>
              <w:right w:val="nil"/>
            </w:tcBorders>
            <w:shd w:val="clear" w:color="auto" w:fill="auto"/>
            <w:vAlign w:val="bottom"/>
          </w:tcPr>
          <w:p w14:paraId="2F5ECDAC" w14:textId="7E0168BA" w:rsidR="000B424D" w:rsidRPr="00D51EF6" w:rsidRDefault="00431452" w:rsidP="000B424D">
            <w:pPr>
              <w:pStyle w:val="TT"/>
              <w:jc w:val="right"/>
              <w:rPr>
                <w:rFonts w:cs="Arial"/>
                <w:color w:val="000000" w:themeColor="text1"/>
                <w:sz w:val="20"/>
                <w:lang w:val="hr-HR"/>
              </w:rPr>
            </w:pPr>
            <w:r>
              <w:rPr>
                <w:rFonts w:cs="Arial"/>
                <w:color w:val="000000" w:themeColor="text1"/>
                <w:sz w:val="20"/>
                <w:lang w:val="hr-HR"/>
              </w:rPr>
              <w:t>958.873</w:t>
            </w:r>
          </w:p>
        </w:tc>
        <w:tc>
          <w:tcPr>
            <w:tcW w:w="815" w:type="pct"/>
            <w:tcBorders>
              <w:top w:val="nil"/>
              <w:left w:val="nil"/>
              <w:bottom w:val="nil"/>
              <w:right w:val="nil"/>
            </w:tcBorders>
            <w:shd w:val="clear" w:color="auto" w:fill="auto"/>
          </w:tcPr>
          <w:p w14:paraId="63051367" w14:textId="092B2439" w:rsidR="000B424D" w:rsidRPr="006848BF" w:rsidRDefault="000B424D" w:rsidP="000B424D">
            <w:pPr>
              <w:pStyle w:val="TT"/>
              <w:jc w:val="right"/>
              <w:rPr>
                <w:rFonts w:cs="Arial"/>
                <w:color w:val="000000" w:themeColor="text1"/>
                <w:sz w:val="20"/>
                <w:lang w:val="hr-HR"/>
              </w:rPr>
            </w:pPr>
            <w:r w:rsidRPr="006848BF">
              <w:rPr>
                <w:sz w:val="20"/>
              </w:rPr>
              <w:t>958.873</w:t>
            </w:r>
          </w:p>
        </w:tc>
      </w:tr>
      <w:tr w:rsidR="000B424D" w:rsidRPr="003D1614" w14:paraId="4C9DA526" w14:textId="77777777" w:rsidTr="005D1219">
        <w:trPr>
          <w:trHeight w:val="285"/>
        </w:trPr>
        <w:tc>
          <w:tcPr>
            <w:tcW w:w="2887" w:type="pct"/>
            <w:vAlign w:val="bottom"/>
          </w:tcPr>
          <w:p w14:paraId="54BA08AE" w14:textId="5EFB3C06" w:rsidR="000B424D" w:rsidRPr="003D1614" w:rsidRDefault="000B424D" w:rsidP="000B424D">
            <w:pPr>
              <w:pStyle w:val="TT"/>
              <w:rPr>
                <w:rFonts w:cs="Arial"/>
                <w:color w:val="000000" w:themeColor="text1"/>
                <w:sz w:val="20"/>
                <w:lang w:val="hr-HR"/>
              </w:rPr>
            </w:pPr>
            <w:bookmarkStart w:id="167" w:name="_Toc67327136"/>
            <w:r w:rsidRPr="003D1614">
              <w:rPr>
                <w:rFonts w:cs="Arial"/>
                <w:color w:val="000000" w:themeColor="text1"/>
                <w:sz w:val="20"/>
                <w:lang w:val="hr-HR"/>
              </w:rPr>
              <w:t>Zadržana dobit i rezerve</w:t>
            </w:r>
            <w:bookmarkEnd w:id="167"/>
          </w:p>
        </w:tc>
        <w:tc>
          <w:tcPr>
            <w:tcW w:w="558" w:type="pct"/>
            <w:vAlign w:val="bottom"/>
          </w:tcPr>
          <w:p w14:paraId="7FEBD233" w14:textId="77777777" w:rsidR="000B424D" w:rsidRPr="003D1614" w:rsidRDefault="000B424D" w:rsidP="000B424D">
            <w:pPr>
              <w:pStyle w:val="TT"/>
              <w:jc w:val="center"/>
              <w:rPr>
                <w:rFonts w:cs="Arial"/>
                <w:color w:val="000000" w:themeColor="text1"/>
                <w:sz w:val="20"/>
                <w:highlight w:val="yellow"/>
                <w:lang w:val="hr-HR"/>
              </w:rPr>
            </w:pPr>
          </w:p>
        </w:tc>
        <w:tc>
          <w:tcPr>
            <w:tcW w:w="739" w:type="pct"/>
            <w:tcBorders>
              <w:top w:val="nil"/>
              <w:left w:val="nil"/>
              <w:bottom w:val="nil"/>
              <w:right w:val="nil"/>
            </w:tcBorders>
            <w:shd w:val="clear" w:color="auto" w:fill="auto"/>
            <w:vAlign w:val="bottom"/>
          </w:tcPr>
          <w:p w14:paraId="14EBEA50" w14:textId="2E2F3884" w:rsidR="000B424D" w:rsidRPr="00D51EF6" w:rsidRDefault="00AA263F" w:rsidP="000B424D">
            <w:pPr>
              <w:pStyle w:val="TT"/>
              <w:jc w:val="right"/>
              <w:rPr>
                <w:rFonts w:cs="Arial"/>
                <w:color w:val="000000" w:themeColor="text1"/>
                <w:sz w:val="20"/>
                <w:lang w:val="hr-HR"/>
              </w:rPr>
            </w:pPr>
            <w:r>
              <w:rPr>
                <w:rFonts w:cs="Arial"/>
                <w:color w:val="000000" w:themeColor="text1"/>
                <w:sz w:val="20"/>
                <w:lang w:val="hr-HR"/>
              </w:rPr>
              <w:t>497.955</w:t>
            </w:r>
          </w:p>
        </w:tc>
        <w:tc>
          <w:tcPr>
            <w:tcW w:w="815" w:type="pct"/>
            <w:tcBorders>
              <w:top w:val="nil"/>
              <w:left w:val="nil"/>
              <w:bottom w:val="nil"/>
              <w:right w:val="nil"/>
            </w:tcBorders>
            <w:shd w:val="clear" w:color="auto" w:fill="auto"/>
          </w:tcPr>
          <w:p w14:paraId="3988B53D" w14:textId="57195F25" w:rsidR="000B424D" w:rsidRPr="006848BF" w:rsidRDefault="000B424D" w:rsidP="000B424D">
            <w:pPr>
              <w:pStyle w:val="TT"/>
              <w:jc w:val="right"/>
              <w:rPr>
                <w:rFonts w:cs="Arial"/>
                <w:color w:val="000000" w:themeColor="text1"/>
                <w:sz w:val="20"/>
                <w:lang w:val="hr-HR"/>
              </w:rPr>
            </w:pPr>
            <w:r w:rsidRPr="006848BF">
              <w:rPr>
                <w:sz w:val="20"/>
              </w:rPr>
              <w:t>468.113</w:t>
            </w:r>
          </w:p>
        </w:tc>
      </w:tr>
      <w:tr w:rsidR="000B424D" w:rsidRPr="003D1614" w14:paraId="63D99D48" w14:textId="77777777" w:rsidTr="005D1219">
        <w:trPr>
          <w:trHeight w:val="285"/>
        </w:trPr>
        <w:tc>
          <w:tcPr>
            <w:tcW w:w="2887" w:type="pct"/>
            <w:vAlign w:val="bottom"/>
          </w:tcPr>
          <w:p w14:paraId="56D5814A" w14:textId="3ADE3677" w:rsidR="000B424D" w:rsidRPr="003D1614" w:rsidRDefault="000B424D" w:rsidP="000B424D">
            <w:pPr>
              <w:pStyle w:val="TT"/>
              <w:rPr>
                <w:rFonts w:cs="Arial"/>
                <w:color w:val="000000" w:themeColor="text1"/>
                <w:sz w:val="20"/>
                <w:lang w:val="hr-HR"/>
              </w:rPr>
            </w:pPr>
            <w:bookmarkStart w:id="168" w:name="_Toc67327139"/>
            <w:r w:rsidRPr="003D1614">
              <w:rPr>
                <w:rFonts w:cs="Arial"/>
                <w:color w:val="000000" w:themeColor="text1"/>
                <w:sz w:val="20"/>
                <w:lang w:val="hr-HR"/>
              </w:rPr>
              <w:t>Ostale rezerve</w:t>
            </w:r>
            <w:bookmarkEnd w:id="168"/>
          </w:p>
        </w:tc>
        <w:tc>
          <w:tcPr>
            <w:tcW w:w="558" w:type="pct"/>
            <w:vAlign w:val="bottom"/>
          </w:tcPr>
          <w:p w14:paraId="57CDCF98" w14:textId="77777777" w:rsidR="000B424D" w:rsidRPr="003D1614" w:rsidRDefault="000B424D" w:rsidP="000B424D">
            <w:pPr>
              <w:pStyle w:val="TT"/>
              <w:jc w:val="center"/>
              <w:rPr>
                <w:rFonts w:cs="Arial"/>
                <w:color w:val="000000" w:themeColor="text1"/>
                <w:sz w:val="20"/>
                <w:highlight w:val="yellow"/>
                <w:lang w:val="hr-HR"/>
              </w:rPr>
            </w:pPr>
          </w:p>
        </w:tc>
        <w:tc>
          <w:tcPr>
            <w:tcW w:w="739" w:type="pct"/>
            <w:tcBorders>
              <w:top w:val="nil"/>
              <w:left w:val="nil"/>
              <w:bottom w:val="nil"/>
              <w:right w:val="nil"/>
            </w:tcBorders>
            <w:shd w:val="clear" w:color="auto" w:fill="auto"/>
            <w:vAlign w:val="bottom"/>
          </w:tcPr>
          <w:p w14:paraId="0DA1E0A6" w14:textId="45D5EAA8" w:rsidR="000B424D" w:rsidRPr="00D51EF6" w:rsidRDefault="00AA263F" w:rsidP="000B424D">
            <w:pPr>
              <w:pStyle w:val="TT"/>
              <w:jc w:val="right"/>
              <w:rPr>
                <w:rFonts w:cs="Arial"/>
                <w:color w:val="000000" w:themeColor="text1"/>
                <w:sz w:val="20"/>
                <w:lang w:val="hr-HR"/>
              </w:rPr>
            </w:pPr>
            <w:r>
              <w:rPr>
                <w:rFonts w:cs="Arial"/>
                <w:color w:val="000000" w:themeColor="text1"/>
                <w:sz w:val="20"/>
                <w:lang w:val="hr-HR"/>
              </w:rPr>
              <w:t>(1.477)</w:t>
            </w:r>
          </w:p>
        </w:tc>
        <w:tc>
          <w:tcPr>
            <w:tcW w:w="815" w:type="pct"/>
            <w:tcBorders>
              <w:top w:val="nil"/>
              <w:left w:val="nil"/>
              <w:bottom w:val="nil"/>
              <w:right w:val="nil"/>
            </w:tcBorders>
            <w:shd w:val="clear" w:color="auto" w:fill="auto"/>
          </w:tcPr>
          <w:p w14:paraId="1633FF66" w14:textId="0363F060" w:rsidR="000B424D" w:rsidRPr="006848BF" w:rsidRDefault="000B424D" w:rsidP="000B424D">
            <w:pPr>
              <w:pStyle w:val="TT"/>
              <w:jc w:val="right"/>
              <w:rPr>
                <w:rFonts w:cs="Arial"/>
                <w:color w:val="000000" w:themeColor="text1"/>
                <w:sz w:val="20"/>
                <w:lang w:val="hr-HR"/>
              </w:rPr>
            </w:pPr>
            <w:r w:rsidRPr="006848BF">
              <w:rPr>
                <w:sz w:val="20"/>
              </w:rPr>
              <w:t>(943)</w:t>
            </w:r>
          </w:p>
        </w:tc>
      </w:tr>
      <w:tr w:rsidR="000B424D" w:rsidRPr="003D1614" w14:paraId="1970AEB8" w14:textId="77777777" w:rsidTr="005D1219">
        <w:trPr>
          <w:trHeight w:val="285"/>
        </w:trPr>
        <w:tc>
          <w:tcPr>
            <w:tcW w:w="2887" w:type="pct"/>
            <w:vAlign w:val="bottom"/>
          </w:tcPr>
          <w:p w14:paraId="2E73B9F6" w14:textId="4548AF27" w:rsidR="000B424D" w:rsidRPr="003D1614" w:rsidRDefault="000B424D" w:rsidP="000B424D">
            <w:pPr>
              <w:pStyle w:val="TT"/>
              <w:rPr>
                <w:rFonts w:cs="Arial"/>
                <w:color w:val="000000" w:themeColor="text1"/>
                <w:sz w:val="20"/>
                <w:lang w:val="hr-HR"/>
              </w:rPr>
            </w:pPr>
            <w:bookmarkStart w:id="169" w:name="_Toc67327142"/>
            <w:r w:rsidRPr="003D1614">
              <w:rPr>
                <w:rFonts w:cs="Arial"/>
                <w:color w:val="000000" w:themeColor="text1"/>
                <w:sz w:val="20"/>
                <w:lang w:val="hr-HR"/>
              </w:rPr>
              <w:t>Dobit tekućeg razdoblja</w:t>
            </w:r>
            <w:bookmarkEnd w:id="169"/>
          </w:p>
        </w:tc>
        <w:tc>
          <w:tcPr>
            <w:tcW w:w="558" w:type="pct"/>
            <w:vAlign w:val="bottom"/>
          </w:tcPr>
          <w:p w14:paraId="28B1CDF0" w14:textId="77777777" w:rsidR="000B424D" w:rsidRPr="003D1614" w:rsidRDefault="000B424D" w:rsidP="000B424D">
            <w:pPr>
              <w:pStyle w:val="TT"/>
              <w:jc w:val="center"/>
              <w:rPr>
                <w:rFonts w:cs="Arial"/>
                <w:color w:val="000000" w:themeColor="text1"/>
                <w:sz w:val="20"/>
                <w:highlight w:val="yellow"/>
                <w:lang w:val="hr-HR"/>
              </w:rPr>
            </w:pPr>
          </w:p>
        </w:tc>
        <w:tc>
          <w:tcPr>
            <w:tcW w:w="739" w:type="pct"/>
            <w:tcBorders>
              <w:top w:val="nil"/>
              <w:left w:val="nil"/>
              <w:bottom w:val="nil"/>
              <w:right w:val="nil"/>
            </w:tcBorders>
            <w:shd w:val="clear" w:color="auto" w:fill="auto"/>
            <w:vAlign w:val="bottom"/>
          </w:tcPr>
          <w:p w14:paraId="4836332C" w14:textId="3DB802EA" w:rsidR="000B424D" w:rsidRPr="00D51EF6" w:rsidRDefault="00C776D9" w:rsidP="000B424D">
            <w:pPr>
              <w:pStyle w:val="TT"/>
              <w:jc w:val="right"/>
              <w:rPr>
                <w:rFonts w:cs="Arial"/>
                <w:color w:val="000000" w:themeColor="text1"/>
                <w:sz w:val="20"/>
                <w:lang w:val="hr-HR"/>
              </w:rPr>
            </w:pPr>
            <w:r>
              <w:rPr>
                <w:rFonts w:cs="Arial"/>
                <w:color w:val="000000" w:themeColor="text1"/>
                <w:sz w:val="20"/>
                <w:lang w:val="hr-HR"/>
              </w:rPr>
              <w:t>17.580</w:t>
            </w:r>
          </w:p>
        </w:tc>
        <w:tc>
          <w:tcPr>
            <w:tcW w:w="815" w:type="pct"/>
            <w:tcBorders>
              <w:top w:val="nil"/>
              <w:left w:val="nil"/>
              <w:bottom w:val="nil"/>
              <w:right w:val="nil"/>
            </w:tcBorders>
            <w:shd w:val="clear" w:color="auto" w:fill="auto"/>
          </w:tcPr>
          <w:p w14:paraId="625607A8" w14:textId="2C0955DD" w:rsidR="000B424D" w:rsidRPr="006848BF" w:rsidRDefault="000B424D" w:rsidP="000B424D">
            <w:pPr>
              <w:pStyle w:val="TT"/>
              <w:jc w:val="right"/>
              <w:rPr>
                <w:rFonts w:cs="Arial"/>
                <w:color w:val="000000" w:themeColor="text1"/>
                <w:sz w:val="20"/>
                <w:lang w:val="hr-HR"/>
              </w:rPr>
            </w:pPr>
            <w:r w:rsidRPr="006848BF">
              <w:rPr>
                <w:sz w:val="20"/>
              </w:rPr>
              <w:t>29.842</w:t>
            </w:r>
          </w:p>
        </w:tc>
      </w:tr>
      <w:tr w:rsidR="000B424D" w:rsidRPr="003D1614" w14:paraId="3C124361" w14:textId="77777777" w:rsidTr="005D1219">
        <w:trPr>
          <w:trHeight w:val="285"/>
        </w:trPr>
        <w:tc>
          <w:tcPr>
            <w:tcW w:w="2887" w:type="pct"/>
            <w:vAlign w:val="bottom"/>
          </w:tcPr>
          <w:p w14:paraId="12EB97E5" w14:textId="38CD3008" w:rsidR="000B424D" w:rsidRPr="003D1614" w:rsidRDefault="000B424D" w:rsidP="000B424D">
            <w:pPr>
              <w:pStyle w:val="TT"/>
              <w:rPr>
                <w:rFonts w:cs="Arial"/>
                <w:color w:val="000000" w:themeColor="text1"/>
                <w:sz w:val="20"/>
                <w:lang w:val="hr-HR"/>
              </w:rPr>
            </w:pPr>
            <w:bookmarkStart w:id="170" w:name="_Toc67327145"/>
            <w:r w:rsidRPr="003D1614">
              <w:rPr>
                <w:rFonts w:cs="Arial"/>
                <w:color w:val="000000" w:themeColor="text1"/>
                <w:sz w:val="20"/>
                <w:lang w:val="hr-HR"/>
              </w:rPr>
              <w:t>Garantni fond</w:t>
            </w:r>
            <w:bookmarkEnd w:id="170"/>
          </w:p>
        </w:tc>
        <w:tc>
          <w:tcPr>
            <w:tcW w:w="558" w:type="pct"/>
            <w:vAlign w:val="bottom"/>
          </w:tcPr>
          <w:p w14:paraId="732EF7DE" w14:textId="77777777" w:rsidR="000B424D" w:rsidRPr="003D1614" w:rsidRDefault="000B424D" w:rsidP="000B424D">
            <w:pPr>
              <w:pStyle w:val="TT"/>
              <w:jc w:val="center"/>
              <w:rPr>
                <w:rFonts w:cs="Arial"/>
                <w:color w:val="000000" w:themeColor="text1"/>
                <w:sz w:val="20"/>
                <w:highlight w:val="yellow"/>
                <w:lang w:val="hr-HR"/>
              </w:rPr>
            </w:pPr>
          </w:p>
        </w:tc>
        <w:tc>
          <w:tcPr>
            <w:tcW w:w="739" w:type="pct"/>
            <w:tcBorders>
              <w:top w:val="nil"/>
              <w:left w:val="nil"/>
              <w:bottom w:val="single" w:sz="4" w:space="0" w:color="auto"/>
              <w:right w:val="nil"/>
            </w:tcBorders>
            <w:shd w:val="clear" w:color="auto" w:fill="auto"/>
            <w:vAlign w:val="bottom"/>
          </w:tcPr>
          <w:p w14:paraId="6BE7EB05" w14:textId="4961CD15" w:rsidR="000B424D" w:rsidRPr="00D51EF6" w:rsidRDefault="00C776D9" w:rsidP="000B424D">
            <w:pPr>
              <w:pStyle w:val="TT"/>
              <w:jc w:val="right"/>
              <w:rPr>
                <w:rFonts w:cs="Arial"/>
                <w:color w:val="000000" w:themeColor="text1"/>
                <w:sz w:val="20"/>
                <w:lang w:val="hr-HR"/>
              </w:rPr>
            </w:pPr>
            <w:r>
              <w:rPr>
                <w:rFonts w:cs="Arial"/>
                <w:color w:val="000000" w:themeColor="text1"/>
                <w:sz w:val="20"/>
                <w:lang w:val="hr-HR"/>
              </w:rPr>
              <w:t>1.638</w:t>
            </w:r>
          </w:p>
        </w:tc>
        <w:tc>
          <w:tcPr>
            <w:tcW w:w="815" w:type="pct"/>
            <w:tcBorders>
              <w:top w:val="nil"/>
              <w:left w:val="nil"/>
              <w:bottom w:val="single" w:sz="4" w:space="0" w:color="auto"/>
              <w:right w:val="nil"/>
            </w:tcBorders>
            <w:shd w:val="clear" w:color="auto" w:fill="auto"/>
          </w:tcPr>
          <w:p w14:paraId="3B3003E5" w14:textId="7D2FC198" w:rsidR="000B424D" w:rsidRPr="006848BF" w:rsidRDefault="000B424D" w:rsidP="000B424D">
            <w:pPr>
              <w:pStyle w:val="TT"/>
              <w:jc w:val="right"/>
              <w:rPr>
                <w:rFonts w:cs="Arial"/>
                <w:color w:val="000000" w:themeColor="text1"/>
                <w:sz w:val="20"/>
                <w:lang w:val="hr-HR"/>
              </w:rPr>
            </w:pPr>
            <w:r w:rsidRPr="006848BF">
              <w:rPr>
                <w:sz w:val="20"/>
              </w:rPr>
              <w:t>1.638</w:t>
            </w:r>
          </w:p>
        </w:tc>
      </w:tr>
      <w:tr w:rsidR="000B424D" w:rsidRPr="003D1614" w14:paraId="6361AABA" w14:textId="77777777" w:rsidTr="005D1219">
        <w:trPr>
          <w:trHeight w:val="285"/>
        </w:trPr>
        <w:tc>
          <w:tcPr>
            <w:tcW w:w="2887" w:type="pct"/>
            <w:vAlign w:val="bottom"/>
          </w:tcPr>
          <w:p w14:paraId="23AFBC41" w14:textId="26E0021E" w:rsidR="000B424D" w:rsidRPr="003D1614" w:rsidRDefault="000B424D" w:rsidP="000B424D">
            <w:pPr>
              <w:pStyle w:val="TT"/>
              <w:rPr>
                <w:rFonts w:cs="Arial"/>
                <w:color w:val="000000" w:themeColor="text1"/>
                <w:sz w:val="20"/>
                <w:lang w:val="hr-HR"/>
              </w:rPr>
            </w:pPr>
            <w:bookmarkStart w:id="171" w:name="_Toc67327149"/>
            <w:r w:rsidRPr="003D1614">
              <w:rPr>
                <w:rFonts w:cs="Arial"/>
                <w:b/>
                <w:bCs/>
                <w:color w:val="000000" w:themeColor="text1"/>
                <w:sz w:val="20"/>
                <w:lang w:val="hr-HR"/>
              </w:rPr>
              <w:t>Ukupni kapital i rezerve</w:t>
            </w:r>
            <w:bookmarkEnd w:id="171"/>
          </w:p>
        </w:tc>
        <w:tc>
          <w:tcPr>
            <w:tcW w:w="558" w:type="pct"/>
            <w:vAlign w:val="bottom"/>
          </w:tcPr>
          <w:p w14:paraId="27D5BF30" w14:textId="77777777" w:rsidR="000B424D" w:rsidRPr="003D1614" w:rsidRDefault="000B424D" w:rsidP="000B424D">
            <w:pPr>
              <w:pStyle w:val="TT"/>
              <w:jc w:val="center"/>
              <w:rPr>
                <w:rFonts w:cs="Arial"/>
                <w:color w:val="000000" w:themeColor="text1"/>
                <w:sz w:val="20"/>
                <w:lang w:val="hr-HR"/>
              </w:rPr>
            </w:pPr>
          </w:p>
        </w:tc>
        <w:tc>
          <w:tcPr>
            <w:tcW w:w="739" w:type="pct"/>
            <w:tcBorders>
              <w:top w:val="single" w:sz="4" w:space="0" w:color="auto"/>
              <w:left w:val="nil"/>
              <w:bottom w:val="single" w:sz="12" w:space="0" w:color="auto"/>
              <w:right w:val="nil"/>
            </w:tcBorders>
            <w:shd w:val="clear" w:color="auto" w:fill="auto"/>
            <w:vAlign w:val="bottom"/>
          </w:tcPr>
          <w:p w14:paraId="4E146968" w14:textId="75503B1C" w:rsidR="000B424D" w:rsidRPr="00D51EF6" w:rsidRDefault="00C776D9" w:rsidP="000B424D">
            <w:pPr>
              <w:pStyle w:val="TT"/>
              <w:jc w:val="right"/>
              <w:rPr>
                <w:rFonts w:cs="Arial"/>
                <w:b/>
                <w:bCs/>
                <w:color w:val="000000" w:themeColor="text1"/>
                <w:sz w:val="20"/>
                <w:lang w:val="hr-HR"/>
              </w:rPr>
            </w:pPr>
            <w:r>
              <w:rPr>
                <w:rFonts w:cs="Arial"/>
                <w:b/>
                <w:bCs/>
                <w:color w:val="000000" w:themeColor="text1"/>
                <w:sz w:val="20"/>
                <w:lang w:val="hr-HR"/>
              </w:rPr>
              <w:t>1.474.569</w:t>
            </w:r>
          </w:p>
        </w:tc>
        <w:tc>
          <w:tcPr>
            <w:tcW w:w="815" w:type="pct"/>
            <w:tcBorders>
              <w:top w:val="single" w:sz="4" w:space="0" w:color="auto"/>
              <w:left w:val="nil"/>
              <w:bottom w:val="single" w:sz="12" w:space="0" w:color="auto"/>
              <w:right w:val="nil"/>
            </w:tcBorders>
            <w:shd w:val="clear" w:color="auto" w:fill="auto"/>
            <w:vAlign w:val="bottom"/>
          </w:tcPr>
          <w:p w14:paraId="001C93E0" w14:textId="2C22DAE8" w:rsidR="000B424D" w:rsidRPr="006848BF" w:rsidRDefault="000B424D" w:rsidP="000B424D">
            <w:pPr>
              <w:pStyle w:val="TT"/>
              <w:jc w:val="right"/>
              <w:rPr>
                <w:rFonts w:cs="Arial"/>
                <w:b/>
                <w:bCs/>
                <w:color w:val="000000" w:themeColor="text1"/>
                <w:sz w:val="20"/>
                <w:lang w:val="hr-HR"/>
              </w:rPr>
            </w:pPr>
            <w:r w:rsidRPr="006848BF">
              <w:rPr>
                <w:rFonts w:cs="Arial"/>
                <w:b/>
                <w:color w:val="000000" w:themeColor="text1"/>
                <w:sz w:val="20"/>
                <w:lang w:val="hr-HR"/>
              </w:rPr>
              <w:t>1.457.523</w:t>
            </w:r>
          </w:p>
        </w:tc>
      </w:tr>
      <w:tr w:rsidR="000B424D" w:rsidRPr="003D1614" w14:paraId="7C694107" w14:textId="77777777" w:rsidTr="005D1219">
        <w:trPr>
          <w:trHeight w:val="386"/>
        </w:trPr>
        <w:tc>
          <w:tcPr>
            <w:tcW w:w="2887" w:type="pct"/>
            <w:vAlign w:val="bottom"/>
          </w:tcPr>
          <w:p w14:paraId="34DF7DCF" w14:textId="25B34C8A" w:rsidR="000B424D" w:rsidRPr="003D1614" w:rsidRDefault="000B424D" w:rsidP="000B424D">
            <w:pPr>
              <w:pStyle w:val="Tot"/>
              <w:rPr>
                <w:rFonts w:cs="Arial"/>
                <w:b/>
                <w:bCs/>
                <w:color w:val="000000" w:themeColor="text1"/>
                <w:sz w:val="20"/>
                <w:lang w:val="hr-HR"/>
              </w:rPr>
            </w:pPr>
            <w:bookmarkStart w:id="172" w:name="_Toc67327152"/>
            <w:r w:rsidRPr="003D1614">
              <w:rPr>
                <w:rFonts w:cs="Arial"/>
                <w:b/>
                <w:bCs/>
                <w:color w:val="000000" w:themeColor="text1"/>
                <w:sz w:val="20"/>
                <w:lang w:val="hr-HR"/>
              </w:rPr>
              <w:t>Ukupne obveze i kapital i rezerve</w:t>
            </w:r>
            <w:bookmarkEnd w:id="172"/>
          </w:p>
        </w:tc>
        <w:tc>
          <w:tcPr>
            <w:tcW w:w="558" w:type="pct"/>
            <w:vAlign w:val="bottom"/>
          </w:tcPr>
          <w:p w14:paraId="7CEA4710" w14:textId="77777777" w:rsidR="000B424D" w:rsidRPr="003D1614" w:rsidRDefault="000B424D" w:rsidP="000B424D">
            <w:pPr>
              <w:pStyle w:val="Tot"/>
              <w:jc w:val="right"/>
              <w:rPr>
                <w:rFonts w:cs="Arial"/>
                <w:b/>
                <w:bCs/>
                <w:color w:val="000000" w:themeColor="text1"/>
                <w:sz w:val="20"/>
                <w:lang w:val="hr-HR"/>
              </w:rPr>
            </w:pPr>
          </w:p>
        </w:tc>
        <w:tc>
          <w:tcPr>
            <w:tcW w:w="739" w:type="pct"/>
            <w:tcBorders>
              <w:top w:val="single" w:sz="12" w:space="0" w:color="auto"/>
              <w:left w:val="nil"/>
              <w:bottom w:val="single" w:sz="12" w:space="0" w:color="auto"/>
              <w:right w:val="nil"/>
            </w:tcBorders>
            <w:shd w:val="clear" w:color="auto" w:fill="auto"/>
            <w:vAlign w:val="bottom"/>
          </w:tcPr>
          <w:p w14:paraId="42B51AFC" w14:textId="32C17D07" w:rsidR="000B424D" w:rsidRPr="00D51EF6" w:rsidRDefault="00C776D9" w:rsidP="000B424D">
            <w:pPr>
              <w:pStyle w:val="Tot"/>
              <w:jc w:val="right"/>
              <w:rPr>
                <w:rFonts w:cs="Arial"/>
                <w:b/>
                <w:bCs/>
                <w:color w:val="000000" w:themeColor="text1"/>
                <w:sz w:val="20"/>
                <w:lang w:val="hr-HR"/>
              </w:rPr>
            </w:pPr>
            <w:r>
              <w:rPr>
                <w:rFonts w:cs="Arial"/>
                <w:b/>
                <w:bCs/>
                <w:color w:val="000000" w:themeColor="text1"/>
                <w:sz w:val="20"/>
                <w:lang w:val="hr-HR"/>
              </w:rPr>
              <w:t>3.994.656</w:t>
            </w:r>
          </w:p>
        </w:tc>
        <w:tc>
          <w:tcPr>
            <w:tcW w:w="815" w:type="pct"/>
            <w:tcBorders>
              <w:top w:val="single" w:sz="12" w:space="0" w:color="auto"/>
              <w:left w:val="nil"/>
              <w:bottom w:val="single" w:sz="12" w:space="0" w:color="auto"/>
              <w:right w:val="nil"/>
            </w:tcBorders>
            <w:shd w:val="clear" w:color="auto" w:fill="auto"/>
            <w:vAlign w:val="bottom"/>
          </w:tcPr>
          <w:p w14:paraId="38D91E39" w14:textId="5034C554" w:rsidR="000B424D" w:rsidRPr="00D51EF6" w:rsidRDefault="000B424D" w:rsidP="000B424D">
            <w:pPr>
              <w:pStyle w:val="Tot"/>
              <w:jc w:val="right"/>
              <w:rPr>
                <w:rFonts w:cs="Arial"/>
                <w:b/>
                <w:bCs/>
                <w:color w:val="000000" w:themeColor="text1"/>
                <w:sz w:val="20"/>
                <w:lang w:val="hr-HR"/>
              </w:rPr>
            </w:pPr>
            <w:r w:rsidRPr="00C90C70">
              <w:rPr>
                <w:rFonts w:cs="Arial"/>
                <w:b/>
                <w:bCs/>
                <w:color w:val="000000" w:themeColor="text1"/>
                <w:sz w:val="20"/>
                <w:lang w:val="hr-HR"/>
              </w:rPr>
              <w:t>4.018.684</w:t>
            </w:r>
          </w:p>
        </w:tc>
      </w:tr>
    </w:tbl>
    <w:p w14:paraId="79682E34" w14:textId="5D0F4388" w:rsidR="00764509" w:rsidRPr="003D1614" w:rsidRDefault="00764509" w:rsidP="00A56428">
      <w:pPr>
        <w:rPr>
          <w:rFonts w:ascii="Arial" w:eastAsia="Times New Roman" w:hAnsi="Arial" w:cs="Arial"/>
          <w:sz w:val="20"/>
          <w:szCs w:val="20"/>
        </w:rPr>
      </w:pPr>
    </w:p>
    <w:p w14:paraId="2D9E92EC" w14:textId="37772B65" w:rsidR="00764509" w:rsidRPr="003D1614" w:rsidRDefault="00764509" w:rsidP="00A56428">
      <w:pPr>
        <w:rPr>
          <w:rFonts w:ascii="Arial" w:eastAsia="Times New Roman" w:hAnsi="Arial" w:cs="Arial"/>
          <w:sz w:val="20"/>
          <w:szCs w:val="20"/>
        </w:rPr>
      </w:pPr>
    </w:p>
    <w:p w14:paraId="71C89C5A" w14:textId="382320A8" w:rsidR="00764509" w:rsidRPr="003D1614" w:rsidRDefault="00764509" w:rsidP="00A56428">
      <w:pPr>
        <w:rPr>
          <w:rFonts w:ascii="Arial" w:eastAsia="Times New Roman" w:hAnsi="Arial" w:cs="Arial"/>
          <w:sz w:val="20"/>
          <w:szCs w:val="20"/>
        </w:rPr>
      </w:pPr>
    </w:p>
    <w:p w14:paraId="36A89F87" w14:textId="7DFCD75B" w:rsidR="00764509" w:rsidRPr="003D1614" w:rsidRDefault="00764509" w:rsidP="00A56428">
      <w:pPr>
        <w:rPr>
          <w:rFonts w:ascii="Arial" w:eastAsia="Times New Roman" w:hAnsi="Arial" w:cs="Arial"/>
          <w:sz w:val="20"/>
          <w:szCs w:val="20"/>
        </w:rPr>
      </w:pPr>
    </w:p>
    <w:p w14:paraId="67DEABAD" w14:textId="4C0BAE5C" w:rsidR="00764509" w:rsidRPr="003D1614" w:rsidRDefault="00764509" w:rsidP="00A56428">
      <w:pPr>
        <w:rPr>
          <w:rFonts w:ascii="Arial" w:eastAsia="Times New Roman" w:hAnsi="Arial" w:cs="Arial"/>
          <w:sz w:val="20"/>
          <w:szCs w:val="20"/>
        </w:rPr>
      </w:pPr>
      <w:r w:rsidRPr="003D1614">
        <w:rPr>
          <w:rFonts w:ascii="Arial" w:eastAsia="Times New Roman" w:hAnsi="Arial" w:cs="Arial"/>
          <w:sz w:val="20"/>
          <w:szCs w:val="20"/>
        </w:rPr>
        <w:t>Priložene računovodstvene politike i bilješke sastavni su dio ovih financijskih izvještaja.</w:t>
      </w:r>
    </w:p>
    <w:p w14:paraId="0C5E8A9F" w14:textId="77777777" w:rsidR="00764509" w:rsidRPr="003D1614" w:rsidRDefault="00764509" w:rsidP="00A56428">
      <w:pPr>
        <w:rPr>
          <w:rFonts w:ascii="Arial" w:eastAsia="Times New Roman" w:hAnsi="Arial" w:cs="Arial"/>
          <w:sz w:val="20"/>
          <w:szCs w:val="20"/>
        </w:rPr>
        <w:sectPr w:rsidR="00764509" w:rsidRPr="003D1614">
          <w:headerReference w:type="default" r:id="rId18"/>
          <w:pgSz w:w="11906" w:h="16838"/>
          <w:pgMar w:top="1417" w:right="1417" w:bottom="1417" w:left="1417" w:header="708" w:footer="708" w:gutter="0"/>
          <w:cols w:space="708"/>
          <w:docGrid w:linePitch="360"/>
        </w:sectPr>
      </w:pPr>
    </w:p>
    <w:p w14:paraId="772CCA6C" w14:textId="104D2978" w:rsidR="00764509" w:rsidRPr="003D1614" w:rsidRDefault="00764509" w:rsidP="00A56428">
      <w:pPr>
        <w:rPr>
          <w:rFonts w:ascii="Arial" w:eastAsia="Times New Roman" w:hAnsi="Arial" w:cs="Arial"/>
          <w:sz w:val="20"/>
          <w:szCs w:val="20"/>
        </w:rPr>
      </w:pPr>
    </w:p>
    <w:p w14:paraId="7B3C8A67" w14:textId="5C9678E4" w:rsidR="00764509" w:rsidRPr="003D1614" w:rsidRDefault="00764509" w:rsidP="00A56428">
      <w:pPr>
        <w:rPr>
          <w:rFonts w:ascii="Arial" w:eastAsia="Times New Roman" w:hAnsi="Arial" w:cs="Arial"/>
          <w:sz w:val="20"/>
          <w:szCs w:val="20"/>
        </w:rPr>
      </w:pPr>
    </w:p>
    <w:tbl>
      <w:tblPr>
        <w:tblpPr w:leftFromText="180" w:rightFromText="180" w:vertAnchor="page" w:horzAnchor="margin" w:tblpXSpec="center" w:tblpY="2292"/>
        <w:tblW w:w="5523" w:type="pct"/>
        <w:tblLayout w:type="fixed"/>
        <w:tblCellMar>
          <w:left w:w="119" w:type="dxa"/>
          <w:right w:w="119" w:type="dxa"/>
        </w:tblCellMar>
        <w:tblLook w:val="0000" w:firstRow="0" w:lastRow="0" w:firstColumn="0" w:lastColumn="0" w:noHBand="0" w:noVBand="0"/>
      </w:tblPr>
      <w:tblGrid>
        <w:gridCol w:w="7517"/>
        <w:gridCol w:w="1253"/>
        <w:gridCol w:w="1251"/>
      </w:tblGrid>
      <w:tr w:rsidR="00764509" w:rsidRPr="007301FA" w14:paraId="0AC905A9" w14:textId="77777777" w:rsidTr="007301FA">
        <w:trPr>
          <w:trHeight w:val="173"/>
        </w:trPr>
        <w:tc>
          <w:tcPr>
            <w:tcW w:w="3751" w:type="pct"/>
            <w:vAlign w:val="bottom"/>
          </w:tcPr>
          <w:p w14:paraId="601EBE19" w14:textId="77777777" w:rsidR="00764509" w:rsidRPr="007301FA" w:rsidRDefault="00764509" w:rsidP="00764509">
            <w:pPr>
              <w:keepLines/>
              <w:tabs>
                <w:tab w:val="right" w:pos="1202"/>
              </w:tabs>
              <w:spacing w:line="220" w:lineRule="exact"/>
              <w:jc w:val="right"/>
              <w:outlineLvl w:val="0"/>
              <w:rPr>
                <w:rFonts w:ascii="Arial" w:eastAsia="Times New Roman" w:hAnsi="Arial" w:cs="Arial"/>
                <w:b/>
                <w:color w:val="000000"/>
                <w:sz w:val="18"/>
                <w:szCs w:val="18"/>
              </w:rPr>
            </w:pPr>
            <w:bookmarkStart w:id="173" w:name="_Toc67327155"/>
          </w:p>
          <w:p w14:paraId="166FB075" w14:textId="77777777" w:rsidR="00764509" w:rsidRPr="007301FA" w:rsidRDefault="00764509" w:rsidP="00764509">
            <w:pPr>
              <w:keepLines/>
              <w:tabs>
                <w:tab w:val="right" w:pos="1202"/>
              </w:tabs>
              <w:spacing w:line="220" w:lineRule="exact"/>
              <w:jc w:val="right"/>
              <w:outlineLvl w:val="0"/>
              <w:rPr>
                <w:rFonts w:ascii="Arial" w:eastAsia="Times New Roman" w:hAnsi="Arial" w:cs="Arial"/>
                <w:b/>
                <w:color w:val="000000"/>
                <w:sz w:val="18"/>
                <w:szCs w:val="18"/>
              </w:rPr>
            </w:pPr>
            <w:r w:rsidRPr="007301FA">
              <w:rPr>
                <w:rFonts w:ascii="Arial" w:eastAsia="Times New Roman" w:hAnsi="Arial" w:cs="Arial"/>
                <w:b/>
                <w:color w:val="000000"/>
                <w:sz w:val="18"/>
                <w:szCs w:val="18"/>
              </w:rPr>
              <w:t>Bilješka</w:t>
            </w:r>
            <w:bookmarkEnd w:id="173"/>
          </w:p>
        </w:tc>
        <w:tc>
          <w:tcPr>
            <w:tcW w:w="625" w:type="pct"/>
            <w:vAlign w:val="bottom"/>
          </w:tcPr>
          <w:p w14:paraId="55D13725" w14:textId="1BFC9B3B" w:rsidR="00764509" w:rsidRPr="007301FA"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r w:rsidRPr="007301FA">
              <w:rPr>
                <w:rFonts w:ascii="Arial" w:eastAsia="Times New Roman" w:hAnsi="Arial" w:cs="Arial"/>
                <w:b/>
                <w:bCs/>
                <w:color w:val="000000"/>
                <w:sz w:val="18"/>
                <w:szCs w:val="18"/>
              </w:rPr>
              <w:t>202</w:t>
            </w:r>
            <w:r w:rsidR="000B424D">
              <w:rPr>
                <w:rFonts w:ascii="Arial" w:eastAsia="Times New Roman" w:hAnsi="Arial" w:cs="Arial"/>
                <w:b/>
                <w:bCs/>
                <w:color w:val="000000"/>
                <w:sz w:val="18"/>
                <w:szCs w:val="18"/>
              </w:rPr>
              <w:t>4</w:t>
            </w:r>
            <w:r w:rsidRPr="007301FA">
              <w:rPr>
                <w:rFonts w:ascii="Arial" w:eastAsia="Times New Roman" w:hAnsi="Arial" w:cs="Arial"/>
                <w:b/>
                <w:bCs/>
                <w:color w:val="000000"/>
                <w:sz w:val="18"/>
                <w:szCs w:val="18"/>
              </w:rPr>
              <w:t>.</w:t>
            </w:r>
          </w:p>
        </w:tc>
        <w:tc>
          <w:tcPr>
            <w:tcW w:w="624" w:type="pct"/>
            <w:vAlign w:val="bottom"/>
          </w:tcPr>
          <w:p w14:paraId="563D5A96" w14:textId="7270BDB9" w:rsidR="00764509" w:rsidRPr="007301FA"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bookmarkStart w:id="174" w:name="_Toc67327156"/>
            <w:r w:rsidRPr="007301FA">
              <w:rPr>
                <w:rFonts w:ascii="Arial" w:eastAsia="Times New Roman" w:hAnsi="Arial" w:cs="Arial"/>
                <w:b/>
                <w:bCs/>
                <w:color w:val="000000"/>
                <w:sz w:val="18"/>
                <w:szCs w:val="18"/>
              </w:rPr>
              <w:t>202</w:t>
            </w:r>
            <w:r w:rsidR="000B424D">
              <w:rPr>
                <w:rFonts w:ascii="Arial" w:eastAsia="Times New Roman" w:hAnsi="Arial" w:cs="Arial"/>
                <w:b/>
                <w:bCs/>
                <w:color w:val="000000"/>
                <w:sz w:val="18"/>
                <w:szCs w:val="18"/>
              </w:rPr>
              <w:t>3</w:t>
            </w:r>
            <w:r w:rsidRPr="007301FA">
              <w:rPr>
                <w:rFonts w:ascii="Arial" w:eastAsia="Times New Roman" w:hAnsi="Arial" w:cs="Arial"/>
                <w:b/>
                <w:bCs/>
                <w:color w:val="000000"/>
                <w:sz w:val="18"/>
                <w:szCs w:val="18"/>
              </w:rPr>
              <w:t>.</w:t>
            </w:r>
            <w:bookmarkEnd w:id="174"/>
          </w:p>
        </w:tc>
      </w:tr>
      <w:tr w:rsidR="00764509" w:rsidRPr="007301FA" w14:paraId="01771AC7" w14:textId="77777777" w:rsidTr="007301FA">
        <w:trPr>
          <w:trHeight w:val="176"/>
        </w:trPr>
        <w:tc>
          <w:tcPr>
            <w:tcW w:w="3751" w:type="pct"/>
            <w:vAlign w:val="bottom"/>
          </w:tcPr>
          <w:p w14:paraId="5CEADDB7" w14:textId="77777777" w:rsidR="00764509" w:rsidRPr="007301FA" w:rsidRDefault="00764509" w:rsidP="00764509">
            <w:pPr>
              <w:keepLines/>
              <w:tabs>
                <w:tab w:val="right" w:pos="1202"/>
              </w:tabs>
              <w:spacing w:line="220" w:lineRule="exact"/>
              <w:outlineLvl w:val="0"/>
              <w:rPr>
                <w:rFonts w:ascii="Arial" w:eastAsia="Times New Roman" w:hAnsi="Arial" w:cs="Arial"/>
                <w:b/>
                <w:color w:val="000000"/>
                <w:sz w:val="18"/>
                <w:szCs w:val="18"/>
              </w:rPr>
            </w:pPr>
            <w:r w:rsidRPr="007301FA">
              <w:rPr>
                <w:rFonts w:ascii="Arial" w:eastAsia="Times New Roman" w:hAnsi="Arial" w:cs="Arial"/>
                <w:b/>
                <w:color w:val="000000"/>
                <w:sz w:val="18"/>
                <w:szCs w:val="18"/>
              </w:rPr>
              <w:t xml:space="preserve">                                                                                                                          </w:t>
            </w:r>
          </w:p>
        </w:tc>
        <w:tc>
          <w:tcPr>
            <w:tcW w:w="625" w:type="pct"/>
            <w:vAlign w:val="bottom"/>
          </w:tcPr>
          <w:p w14:paraId="39488D99" w14:textId="39016BAB" w:rsidR="00764509" w:rsidRPr="007301FA"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bookmarkStart w:id="175" w:name="_Toc67327158"/>
            <w:r w:rsidRPr="007301FA">
              <w:rPr>
                <w:rFonts w:ascii="Arial" w:eastAsia="Times New Roman" w:hAnsi="Arial" w:cs="Arial"/>
                <w:b/>
                <w:bCs/>
                <w:color w:val="000000"/>
                <w:sz w:val="18"/>
                <w:szCs w:val="18"/>
              </w:rPr>
              <w:t xml:space="preserve">000 </w:t>
            </w:r>
            <w:r w:rsidR="00145D68" w:rsidRPr="007301FA">
              <w:rPr>
                <w:rFonts w:ascii="Arial" w:eastAsia="Times New Roman" w:hAnsi="Arial" w:cs="Arial"/>
                <w:b/>
                <w:bCs/>
                <w:color w:val="000000"/>
                <w:sz w:val="18"/>
                <w:szCs w:val="18"/>
              </w:rPr>
              <w:t>eura</w:t>
            </w:r>
            <w:bookmarkEnd w:id="175"/>
          </w:p>
        </w:tc>
        <w:tc>
          <w:tcPr>
            <w:tcW w:w="624" w:type="pct"/>
            <w:vAlign w:val="bottom"/>
          </w:tcPr>
          <w:p w14:paraId="2F6CF170" w14:textId="1B64643B" w:rsidR="00764509" w:rsidRPr="007301FA" w:rsidRDefault="00764509" w:rsidP="00764509">
            <w:pPr>
              <w:keepLines/>
              <w:tabs>
                <w:tab w:val="right" w:pos="1202"/>
              </w:tabs>
              <w:spacing w:line="220" w:lineRule="exact"/>
              <w:jc w:val="right"/>
              <w:outlineLvl w:val="0"/>
              <w:rPr>
                <w:rFonts w:ascii="Arial" w:eastAsia="Times New Roman" w:hAnsi="Arial" w:cs="Arial"/>
                <w:b/>
                <w:bCs/>
                <w:color w:val="000000"/>
                <w:sz w:val="18"/>
                <w:szCs w:val="18"/>
              </w:rPr>
            </w:pPr>
            <w:bookmarkStart w:id="176" w:name="_Toc67327159"/>
            <w:r w:rsidRPr="007301FA">
              <w:rPr>
                <w:rFonts w:ascii="Arial" w:eastAsia="Times New Roman" w:hAnsi="Arial" w:cs="Arial"/>
                <w:b/>
                <w:bCs/>
                <w:color w:val="000000"/>
                <w:sz w:val="18"/>
                <w:szCs w:val="18"/>
              </w:rPr>
              <w:t xml:space="preserve">000 </w:t>
            </w:r>
            <w:r w:rsidR="00145D68" w:rsidRPr="007301FA">
              <w:rPr>
                <w:rFonts w:ascii="Arial" w:eastAsia="Times New Roman" w:hAnsi="Arial" w:cs="Arial"/>
                <w:b/>
                <w:bCs/>
                <w:color w:val="000000"/>
                <w:sz w:val="18"/>
                <w:szCs w:val="18"/>
              </w:rPr>
              <w:t>eura</w:t>
            </w:r>
            <w:bookmarkEnd w:id="176"/>
          </w:p>
        </w:tc>
      </w:tr>
      <w:tr w:rsidR="00764509" w:rsidRPr="007301FA" w14:paraId="78D02FE9" w14:textId="77777777" w:rsidTr="007301FA">
        <w:tc>
          <w:tcPr>
            <w:tcW w:w="3751" w:type="pct"/>
            <w:vAlign w:val="bottom"/>
          </w:tcPr>
          <w:p w14:paraId="514AE38A" w14:textId="77777777" w:rsidR="00764509" w:rsidRPr="007301FA" w:rsidRDefault="00764509" w:rsidP="00764509">
            <w:pPr>
              <w:keepLines/>
              <w:tabs>
                <w:tab w:val="right" w:pos="1202"/>
              </w:tabs>
              <w:spacing w:line="220" w:lineRule="exact"/>
              <w:outlineLvl w:val="0"/>
              <w:rPr>
                <w:rFonts w:ascii="Arial" w:eastAsia="Times New Roman" w:hAnsi="Arial" w:cs="Arial"/>
                <w:b/>
                <w:bCs/>
                <w:color w:val="000000"/>
                <w:spacing w:val="-3"/>
                <w:sz w:val="18"/>
                <w:szCs w:val="18"/>
              </w:rPr>
            </w:pPr>
            <w:bookmarkStart w:id="177" w:name="_Toc67327160"/>
            <w:r w:rsidRPr="007301FA">
              <w:rPr>
                <w:rFonts w:ascii="Arial" w:eastAsia="Times New Roman" w:hAnsi="Arial" w:cs="Arial"/>
                <w:b/>
                <w:bCs/>
                <w:color w:val="000000"/>
                <w:sz w:val="18"/>
                <w:szCs w:val="18"/>
              </w:rPr>
              <w:t>Poslovne aktivnosti</w:t>
            </w:r>
            <w:bookmarkEnd w:id="177"/>
          </w:p>
        </w:tc>
        <w:tc>
          <w:tcPr>
            <w:tcW w:w="625" w:type="pct"/>
            <w:vAlign w:val="bottom"/>
          </w:tcPr>
          <w:p w14:paraId="4107F528" w14:textId="77777777" w:rsidR="00764509" w:rsidRPr="007301FA" w:rsidRDefault="00764509" w:rsidP="00764509">
            <w:pPr>
              <w:keepLines/>
              <w:tabs>
                <w:tab w:val="right" w:pos="1202"/>
              </w:tabs>
              <w:spacing w:line="220" w:lineRule="exact"/>
              <w:jc w:val="right"/>
              <w:outlineLvl w:val="0"/>
              <w:rPr>
                <w:rFonts w:ascii="Arial" w:eastAsia="Times New Roman" w:hAnsi="Arial" w:cs="Arial"/>
                <w:color w:val="000000"/>
                <w:sz w:val="18"/>
                <w:szCs w:val="18"/>
              </w:rPr>
            </w:pPr>
          </w:p>
        </w:tc>
        <w:tc>
          <w:tcPr>
            <w:tcW w:w="624" w:type="pct"/>
            <w:vAlign w:val="bottom"/>
          </w:tcPr>
          <w:p w14:paraId="6954E488" w14:textId="77777777" w:rsidR="00764509" w:rsidRPr="007301FA" w:rsidRDefault="00764509" w:rsidP="00764509">
            <w:pPr>
              <w:keepLines/>
              <w:tabs>
                <w:tab w:val="right" w:pos="1202"/>
              </w:tabs>
              <w:spacing w:line="220" w:lineRule="exact"/>
              <w:jc w:val="right"/>
              <w:outlineLvl w:val="0"/>
              <w:rPr>
                <w:rFonts w:ascii="Arial" w:eastAsia="Times New Roman" w:hAnsi="Arial" w:cs="Arial"/>
                <w:color w:val="000000"/>
                <w:sz w:val="18"/>
                <w:szCs w:val="18"/>
              </w:rPr>
            </w:pPr>
          </w:p>
        </w:tc>
      </w:tr>
      <w:tr w:rsidR="000B424D" w:rsidRPr="007301FA" w14:paraId="0E2EBACC" w14:textId="77777777" w:rsidTr="007301FA">
        <w:trPr>
          <w:trHeight w:hRule="exact" w:val="227"/>
        </w:trPr>
        <w:tc>
          <w:tcPr>
            <w:tcW w:w="3751" w:type="pct"/>
            <w:vAlign w:val="bottom"/>
          </w:tcPr>
          <w:p w14:paraId="65CAFD2C" w14:textId="77777777" w:rsidR="000B424D" w:rsidRPr="007301FA" w:rsidRDefault="000B424D" w:rsidP="000B424D">
            <w:pPr>
              <w:keepLines/>
              <w:tabs>
                <w:tab w:val="right" w:pos="1202"/>
              </w:tabs>
              <w:spacing w:line="220" w:lineRule="exact"/>
              <w:outlineLvl w:val="0"/>
              <w:rPr>
                <w:rFonts w:ascii="Arial" w:eastAsia="Times New Roman" w:hAnsi="Arial" w:cs="Arial"/>
                <w:color w:val="000000"/>
                <w:spacing w:val="-3"/>
                <w:sz w:val="18"/>
                <w:szCs w:val="18"/>
              </w:rPr>
            </w:pPr>
            <w:bookmarkStart w:id="178" w:name="_Toc67327161"/>
            <w:r w:rsidRPr="007301FA">
              <w:rPr>
                <w:rFonts w:ascii="Arial" w:eastAsia="Times New Roman" w:hAnsi="Arial" w:cs="Arial"/>
                <w:color w:val="000000"/>
                <w:sz w:val="18"/>
                <w:szCs w:val="18"/>
              </w:rPr>
              <w:t>Dobit prije oporezivanja</w:t>
            </w:r>
            <w:bookmarkEnd w:id="178"/>
          </w:p>
        </w:tc>
        <w:tc>
          <w:tcPr>
            <w:tcW w:w="625" w:type="pct"/>
            <w:vAlign w:val="bottom"/>
          </w:tcPr>
          <w:p w14:paraId="375F60D2" w14:textId="4FF27647" w:rsidR="000B424D" w:rsidRPr="007301FA" w:rsidRDefault="00A34416" w:rsidP="000B424D">
            <w:pPr>
              <w:keepLines/>
              <w:tabs>
                <w:tab w:val="right" w:pos="1202"/>
              </w:tabs>
              <w:spacing w:line="22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17.580</w:t>
            </w:r>
          </w:p>
        </w:tc>
        <w:tc>
          <w:tcPr>
            <w:tcW w:w="624" w:type="pct"/>
            <w:vAlign w:val="bottom"/>
          </w:tcPr>
          <w:p w14:paraId="611217FA" w14:textId="0E2E99E2" w:rsidR="000B424D" w:rsidRPr="007301FA" w:rsidRDefault="000B424D" w:rsidP="000B424D">
            <w:pPr>
              <w:keepLines/>
              <w:tabs>
                <w:tab w:val="right" w:pos="1202"/>
              </w:tabs>
              <w:spacing w:line="220" w:lineRule="exact"/>
              <w:jc w:val="right"/>
              <w:outlineLvl w:val="0"/>
              <w:rPr>
                <w:rFonts w:ascii="Arial" w:eastAsia="Times New Roman" w:hAnsi="Arial" w:cs="Arial"/>
                <w:color w:val="000000"/>
                <w:sz w:val="18"/>
                <w:szCs w:val="18"/>
              </w:rPr>
            </w:pPr>
            <w:r w:rsidRPr="007301FA">
              <w:rPr>
                <w:rFonts w:ascii="Arial" w:hAnsi="Arial" w:cs="Arial"/>
                <w:sz w:val="18"/>
                <w:szCs w:val="18"/>
              </w:rPr>
              <w:t>18.475</w:t>
            </w:r>
          </w:p>
        </w:tc>
      </w:tr>
      <w:tr w:rsidR="000B424D" w:rsidRPr="007301FA" w14:paraId="58096335" w14:textId="77777777" w:rsidTr="007301FA">
        <w:trPr>
          <w:trHeight w:hRule="exact" w:val="227"/>
        </w:trPr>
        <w:tc>
          <w:tcPr>
            <w:tcW w:w="3751" w:type="pct"/>
            <w:vAlign w:val="bottom"/>
          </w:tcPr>
          <w:p w14:paraId="31C0E9F2" w14:textId="77777777" w:rsidR="000B424D" w:rsidRPr="007301FA" w:rsidRDefault="000B424D" w:rsidP="000B424D">
            <w:pPr>
              <w:keepLines/>
              <w:tabs>
                <w:tab w:val="right" w:pos="1202"/>
              </w:tabs>
              <w:spacing w:line="220" w:lineRule="exact"/>
              <w:outlineLvl w:val="0"/>
              <w:rPr>
                <w:rFonts w:ascii="Arial" w:eastAsia="Times New Roman" w:hAnsi="Arial" w:cs="Arial"/>
                <w:i/>
                <w:color w:val="000000"/>
                <w:sz w:val="18"/>
                <w:szCs w:val="18"/>
              </w:rPr>
            </w:pPr>
            <w:bookmarkStart w:id="179" w:name="_Toc67327164"/>
            <w:r w:rsidRPr="007301FA">
              <w:rPr>
                <w:rFonts w:ascii="Arial" w:eastAsia="Times New Roman" w:hAnsi="Arial" w:cs="Arial"/>
                <w:i/>
                <w:color w:val="000000"/>
                <w:sz w:val="18"/>
                <w:szCs w:val="18"/>
              </w:rPr>
              <w:t>Usklađenje na neto novčana sredstva ostvarena i uporabljena za poslovne aktivnosti:</w:t>
            </w:r>
            <w:bookmarkEnd w:id="179"/>
          </w:p>
        </w:tc>
        <w:tc>
          <w:tcPr>
            <w:tcW w:w="625" w:type="pct"/>
            <w:vAlign w:val="bottom"/>
          </w:tcPr>
          <w:p w14:paraId="50DBA77A" w14:textId="77777777" w:rsidR="000B424D" w:rsidRPr="007301FA" w:rsidRDefault="000B424D" w:rsidP="000B424D">
            <w:pPr>
              <w:keepLines/>
              <w:tabs>
                <w:tab w:val="right" w:pos="1202"/>
              </w:tabs>
              <w:spacing w:line="220" w:lineRule="exact"/>
              <w:jc w:val="right"/>
              <w:outlineLvl w:val="0"/>
              <w:rPr>
                <w:rFonts w:ascii="Arial" w:eastAsia="Times New Roman" w:hAnsi="Arial" w:cs="Arial"/>
                <w:i/>
                <w:color w:val="000000"/>
                <w:sz w:val="18"/>
                <w:szCs w:val="18"/>
              </w:rPr>
            </w:pPr>
          </w:p>
        </w:tc>
        <w:tc>
          <w:tcPr>
            <w:tcW w:w="624" w:type="pct"/>
            <w:vAlign w:val="bottom"/>
          </w:tcPr>
          <w:p w14:paraId="15B4E6DD" w14:textId="77777777" w:rsidR="000B424D" w:rsidRPr="007301FA" w:rsidRDefault="000B424D" w:rsidP="000B424D">
            <w:pPr>
              <w:keepLines/>
              <w:tabs>
                <w:tab w:val="right" w:pos="1202"/>
              </w:tabs>
              <w:spacing w:line="220" w:lineRule="exact"/>
              <w:jc w:val="right"/>
              <w:outlineLvl w:val="0"/>
              <w:rPr>
                <w:rFonts w:ascii="Arial" w:eastAsia="Times New Roman" w:hAnsi="Arial" w:cs="Arial"/>
                <w:i/>
                <w:color w:val="000000"/>
                <w:sz w:val="18"/>
                <w:szCs w:val="18"/>
              </w:rPr>
            </w:pPr>
          </w:p>
        </w:tc>
      </w:tr>
      <w:tr w:rsidR="000B424D" w:rsidRPr="007301FA" w14:paraId="184C84D2" w14:textId="77777777" w:rsidTr="007301FA">
        <w:trPr>
          <w:trHeight w:hRule="exact" w:val="227"/>
        </w:trPr>
        <w:tc>
          <w:tcPr>
            <w:tcW w:w="3751" w:type="pct"/>
            <w:vAlign w:val="bottom"/>
          </w:tcPr>
          <w:p w14:paraId="7B2FC78F" w14:textId="77777777" w:rsidR="000B424D" w:rsidRPr="007301FA" w:rsidRDefault="000B424D" w:rsidP="000B424D">
            <w:pPr>
              <w:keepLines/>
              <w:tabs>
                <w:tab w:val="right" w:pos="1202"/>
              </w:tabs>
              <w:spacing w:line="220" w:lineRule="exact"/>
              <w:outlineLvl w:val="0"/>
              <w:rPr>
                <w:rFonts w:ascii="Arial" w:eastAsia="Times New Roman" w:hAnsi="Arial" w:cs="Arial"/>
                <w:color w:val="000000"/>
                <w:spacing w:val="-3"/>
                <w:sz w:val="18"/>
                <w:szCs w:val="18"/>
              </w:rPr>
            </w:pPr>
            <w:bookmarkStart w:id="180" w:name="_Toc67327165"/>
            <w:r w:rsidRPr="007301FA">
              <w:rPr>
                <w:rFonts w:ascii="Arial" w:eastAsia="Times New Roman" w:hAnsi="Arial" w:cs="Arial"/>
                <w:color w:val="000000"/>
                <w:sz w:val="18"/>
                <w:szCs w:val="18"/>
              </w:rPr>
              <w:t>Amortizacija</w:t>
            </w:r>
            <w:bookmarkEnd w:id="180"/>
          </w:p>
        </w:tc>
        <w:tc>
          <w:tcPr>
            <w:tcW w:w="625" w:type="pct"/>
            <w:vAlign w:val="bottom"/>
          </w:tcPr>
          <w:p w14:paraId="7307BAF2" w14:textId="658747D4" w:rsidR="000B424D" w:rsidRPr="007301FA" w:rsidRDefault="00A34416" w:rsidP="000B424D">
            <w:pPr>
              <w:keepLines/>
              <w:tabs>
                <w:tab w:val="right" w:pos="1202"/>
              </w:tabs>
              <w:spacing w:line="22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485</w:t>
            </w:r>
          </w:p>
        </w:tc>
        <w:tc>
          <w:tcPr>
            <w:tcW w:w="624" w:type="pct"/>
            <w:vAlign w:val="bottom"/>
          </w:tcPr>
          <w:p w14:paraId="0A9BDBD1" w14:textId="16E4F902" w:rsidR="000B424D" w:rsidRPr="007301FA" w:rsidRDefault="000B424D" w:rsidP="000B424D">
            <w:pPr>
              <w:keepLines/>
              <w:tabs>
                <w:tab w:val="right" w:pos="1202"/>
              </w:tabs>
              <w:spacing w:line="220" w:lineRule="exact"/>
              <w:jc w:val="right"/>
              <w:outlineLvl w:val="0"/>
              <w:rPr>
                <w:rFonts w:ascii="Arial" w:eastAsia="Times New Roman" w:hAnsi="Arial" w:cs="Arial"/>
                <w:color w:val="000000"/>
                <w:sz w:val="18"/>
                <w:szCs w:val="18"/>
              </w:rPr>
            </w:pPr>
            <w:r w:rsidRPr="007301FA">
              <w:rPr>
                <w:rFonts w:ascii="Arial" w:hAnsi="Arial" w:cs="Arial"/>
                <w:sz w:val="18"/>
                <w:szCs w:val="18"/>
              </w:rPr>
              <w:t>333</w:t>
            </w:r>
          </w:p>
        </w:tc>
      </w:tr>
      <w:tr w:rsidR="000B424D" w:rsidRPr="007301FA" w14:paraId="4C3FEB09" w14:textId="77777777" w:rsidTr="007301FA">
        <w:trPr>
          <w:trHeight w:hRule="exact" w:val="227"/>
        </w:trPr>
        <w:tc>
          <w:tcPr>
            <w:tcW w:w="3751" w:type="pct"/>
            <w:vAlign w:val="bottom"/>
          </w:tcPr>
          <w:p w14:paraId="4A901FFD" w14:textId="2B4FB3F0" w:rsidR="000B424D" w:rsidRPr="007301FA" w:rsidRDefault="00A34416" w:rsidP="000B424D">
            <w:pPr>
              <w:tabs>
                <w:tab w:val="right" w:pos="1202"/>
              </w:tabs>
              <w:spacing w:line="220" w:lineRule="exact"/>
              <w:outlineLvl w:val="0"/>
              <w:rPr>
                <w:rFonts w:ascii="Arial" w:eastAsia="Times New Roman" w:hAnsi="Arial" w:cs="Arial"/>
                <w:bCs/>
                <w:color w:val="000000"/>
                <w:spacing w:val="-2"/>
                <w:sz w:val="18"/>
                <w:szCs w:val="18"/>
              </w:rPr>
            </w:pPr>
            <w:bookmarkStart w:id="181" w:name="_Toc67327168"/>
            <w:r>
              <w:rPr>
                <w:rFonts w:ascii="Arial" w:eastAsia="Times New Roman" w:hAnsi="Arial" w:cs="Arial"/>
                <w:bCs/>
                <w:color w:val="000000"/>
                <w:spacing w:val="-2"/>
                <w:sz w:val="18"/>
                <w:szCs w:val="18"/>
              </w:rPr>
              <w:t>Dobitak</w:t>
            </w:r>
            <w:r w:rsidR="000B424D" w:rsidRPr="007301FA">
              <w:rPr>
                <w:rFonts w:ascii="Arial" w:eastAsia="Times New Roman" w:hAnsi="Arial" w:cs="Arial"/>
                <w:bCs/>
                <w:color w:val="000000"/>
                <w:spacing w:val="-2"/>
                <w:sz w:val="18"/>
                <w:szCs w:val="18"/>
              </w:rPr>
              <w:t xml:space="preserve"> od umanjenja vrijednosti i rezerviranja</w:t>
            </w:r>
            <w:bookmarkEnd w:id="181"/>
          </w:p>
        </w:tc>
        <w:tc>
          <w:tcPr>
            <w:tcW w:w="625" w:type="pct"/>
            <w:shd w:val="clear" w:color="auto" w:fill="auto"/>
            <w:vAlign w:val="bottom"/>
          </w:tcPr>
          <w:p w14:paraId="1628137D" w14:textId="19A99C11" w:rsidR="000B424D" w:rsidRPr="007301FA" w:rsidRDefault="00A34416" w:rsidP="000B424D">
            <w:pPr>
              <w:keepLines/>
              <w:tabs>
                <w:tab w:val="right" w:pos="1202"/>
              </w:tabs>
              <w:spacing w:line="22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(5.939)</w:t>
            </w:r>
          </w:p>
        </w:tc>
        <w:tc>
          <w:tcPr>
            <w:tcW w:w="624" w:type="pct"/>
            <w:shd w:val="clear" w:color="auto" w:fill="auto"/>
            <w:vAlign w:val="bottom"/>
          </w:tcPr>
          <w:p w14:paraId="1A806F70" w14:textId="29811C88" w:rsidR="000B424D" w:rsidRPr="007301FA" w:rsidRDefault="000B424D" w:rsidP="000B424D">
            <w:pPr>
              <w:keepLines/>
              <w:tabs>
                <w:tab w:val="right" w:pos="1202"/>
              </w:tabs>
              <w:spacing w:line="220" w:lineRule="exact"/>
              <w:jc w:val="right"/>
              <w:outlineLvl w:val="0"/>
              <w:rPr>
                <w:rFonts w:ascii="Arial" w:eastAsia="Times New Roman" w:hAnsi="Arial" w:cs="Arial"/>
                <w:color w:val="000000"/>
                <w:sz w:val="18"/>
                <w:szCs w:val="18"/>
              </w:rPr>
            </w:pPr>
            <w:r w:rsidRPr="007301FA">
              <w:rPr>
                <w:rFonts w:ascii="Arial" w:hAnsi="Arial" w:cs="Arial"/>
                <w:sz w:val="18"/>
                <w:szCs w:val="18"/>
              </w:rPr>
              <w:t xml:space="preserve"> (4.648)</w:t>
            </w:r>
          </w:p>
        </w:tc>
      </w:tr>
      <w:tr w:rsidR="000B424D" w:rsidRPr="007301FA" w14:paraId="18BF4B42" w14:textId="77777777" w:rsidTr="007301FA">
        <w:trPr>
          <w:trHeight w:hRule="exact" w:val="227"/>
        </w:trPr>
        <w:tc>
          <w:tcPr>
            <w:tcW w:w="3751" w:type="pct"/>
            <w:vAlign w:val="bottom"/>
          </w:tcPr>
          <w:p w14:paraId="4B289FD2" w14:textId="77777777" w:rsidR="000B424D" w:rsidRPr="007301FA" w:rsidRDefault="000B424D" w:rsidP="000B424D">
            <w:pPr>
              <w:keepLines/>
              <w:tabs>
                <w:tab w:val="right" w:pos="1202"/>
              </w:tabs>
              <w:spacing w:line="220" w:lineRule="exact"/>
              <w:outlineLvl w:val="0"/>
              <w:rPr>
                <w:rFonts w:ascii="Arial" w:eastAsia="Times New Roman" w:hAnsi="Arial" w:cs="Arial"/>
                <w:iCs/>
                <w:color w:val="000000"/>
                <w:sz w:val="18"/>
                <w:szCs w:val="18"/>
              </w:rPr>
            </w:pPr>
            <w:bookmarkStart w:id="182" w:name="_Toc67327171"/>
            <w:r w:rsidRPr="007301FA">
              <w:rPr>
                <w:rFonts w:ascii="Arial" w:eastAsia="Times New Roman" w:hAnsi="Arial" w:cs="Arial"/>
                <w:iCs/>
                <w:color w:val="000000"/>
                <w:sz w:val="18"/>
                <w:szCs w:val="18"/>
              </w:rPr>
              <w:t>Obračunane kamate</w:t>
            </w:r>
            <w:bookmarkEnd w:id="182"/>
            <w:r w:rsidRPr="007301FA">
              <w:rPr>
                <w:rFonts w:ascii="Arial" w:eastAsia="Times New Roman" w:hAnsi="Arial" w:cs="Arial"/>
                <w:iCs/>
                <w:color w:val="000000"/>
                <w:sz w:val="18"/>
                <w:szCs w:val="18"/>
              </w:rPr>
              <w:t xml:space="preserve"> </w:t>
            </w:r>
          </w:p>
        </w:tc>
        <w:tc>
          <w:tcPr>
            <w:tcW w:w="625" w:type="pct"/>
            <w:shd w:val="clear" w:color="auto" w:fill="auto"/>
            <w:vAlign w:val="bottom"/>
          </w:tcPr>
          <w:p w14:paraId="7088162D" w14:textId="584E8107" w:rsidR="000B424D" w:rsidRPr="007301FA" w:rsidRDefault="00A34416" w:rsidP="000B424D">
            <w:pPr>
              <w:keepLines/>
              <w:jc w:val="right"/>
              <w:rPr>
                <w:rFonts w:ascii="Arial" w:eastAsia="Times New Roman" w:hAnsi="Arial" w:cs="Arial"/>
                <w:iCs/>
                <w:color w:val="000000"/>
                <w:sz w:val="18"/>
                <w:szCs w:val="18"/>
              </w:rPr>
            </w:pPr>
            <w:r>
              <w:rPr>
                <w:rFonts w:ascii="Arial" w:eastAsia="Times New Roman" w:hAnsi="Arial" w:cs="Arial"/>
                <w:iCs/>
                <w:color w:val="000000"/>
                <w:sz w:val="18"/>
                <w:szCs w:val="18"/>
              </w:rPr>
              <w:t>1.465</w:t>
            </w:r>
          </w:p>
        </w:tc>
        <w:tc>
          <w:tcPr>
            <w:tcW w:w="624" w:type="pct"/>
            <w:shd w:val="clear" w:color="auto" w:fill="auto"/>
            <w:vAlign w:val="bottom"/>
          </w:tcPr>
          <w:p w14:paraId="2FC7A2DA" w14:textId="2BF3A73D" w:rsidR="000B424D" w:rsidRPr="007301FA" w:rsidRDefault="000B424D" w:rsidP="000B424D">
            <w:pPr>
              <w:keepLines/>
              <w:jc w:val="right"/>
              <w:rPr>
                <w:rFonts w:ascii="Arial" w:eastAsia="Times New Roman" w:hAnsi="Arial" w:cs="Arial"/>
                <w:color w:val="000000"/>
                <w:sz w:val="18"/>
                <w:szCs w:val="18"/>
              </w:rPr>
            </w:pPr>
            <w:r w:rsidRPr="007301FA">
              <w:rPr>
                <w:rFonts w:ascii="Arial" w:hAnsi="Arial" w:cs="Arial"/>
                <w:sz w:val="18"/>
                <w:szCs w:val="18"/>
              </w:rPr>
              <w:t xml:space="preserve"> 3.397 </w:t>
            </w:r>
          </w:p>
        </w:tc>
      </w:tr>
      <w:tr w:rsidR="000B424D" w:rsidRPr="007301FA" w14:paraId="3B924A80" w14:textId="77777777" w:rsidTr="007301FA">
        <w:trPr>
          <w:trHeight w:hRule="exact" w:val="227"/>
        </w:trPr>
        <w:tc>
          <w:tcPr>
            <w:tcW w:w="3751" w:type="pct"/>
            <w:vAlign w:val="bottom"/>
          </w:tcPr>
          <w:p w14:paraId="7DB6D014" w14:textId="77777777" w:rsidR="000B424D" w:rsidRPr="007301FA" w:rsidRDefault="000B424D" w:rsidP="000B424D">
            <w:pPr>
              <w:keepLines/>
              <w:tabs>
                <w:tab w:val="right" w:pos="1202"/>
              </w:tabs>
              <w:spacing w:line="220" w:lineRule="exact"/>
              <w:outlineLvl w:val="0"/>
              <w:rPr>
                <w:rFonts w:ascii="Arial" w:eastAsia="Times New Roman" w:hAnsi="Arial" w:cs="Arial"/>
                <w:i/>
                <w:iCs/>
                <w:color w:val="000000"/>
                <w:sz w:val="18"/>
                <w:szCs w:val="18"/>
              </w:rPr>
            </w:pPr>
            <w:bookmarkStart w:id="183" w:name="_Toc67327172"/>
            <w:r w:rsidRPr="007301FA">
              <w:rPr>
                <w:rFonts w:ascii="Arial" w:eastAsia="Times New Roman" w:hAnsi="Arial" w:cs="Arial"/>
                <w:iCs/>
                <w:color w:val="000000"/>
                <w:sz w:val="18"/>
                <w:szCs w:val="18"/>
              </w:rPr>
              <w:t>Odgođene naknade</w:t>
            </w:r>
            <w:bookmarkEnd w:id="183"/>
          </w:p>
        </w:tc>
        <w:tc>
          <w:tcPr>
            <w:tcW w:w="625" w:type="pct"/>
            <w:shd w:val="clear" w:color="auto" w:fill="auto"/>
            <w:vAlign w:val="bottom"/>
          </w:tcPr>
          <w:p w14:paraId="69599CCE" w14:textId="4302AF6F" w:rsidR="000B424D" w:rsidRPr="007301FA" w:rsidRDefault="00A34416" w:rsidP="000B424D">
            <w:pPr>
              <w:keepLines/>
              <w:jc w:val="right"/>
              <w:rPr>
                <w:rFonts w:ascii="Arial" w:eastAsia="Times New Roman" w:hAnsi="Arial" w:cs="Arial"/>
                <w:color w:val="000000"/>
                <w:sz w:val="18"/>
                <w:szCs w:val="18"/>
              </w:rPr>
            </w:pPr>
            <w:r>
              <w:rPr>
                <w:rFonts w:ascii="Arial" w:eastAsia="Times New Roman" w:hAnsi="Arial" w:cs="Arial"/>
                <w:color w:val="000000"/>
                <w:sz w:val="18"/>
                <w:szCs w:val="18"/>
              </w:rPr>
              <w:t>1.808</w:t>
            </w:r>
          </w:p>
        </w:tc>
        <w:tc>
          <w:tcPr>
            <w:tcW w:w="624" w:type="pct"/>
            <w:shd w:val="clear" w:color="auto" w:fill="auto"/>
            <w:vAlign w:val="bottom"/>
          </w:tcPr>
          <w:p w14:paraId="2DE16952" w14:textId="32C1BD66" w:rsidR="000B424D" w:rsidRPr="007301FA" w:rsidRDefault="000B424D" w:rsidP="000B424D">
            <w:pPr>
              <w:keepLines/>
              <w:jc w:val="right"/>
              <w:rPr>
                <w:rFonts w:ascii="Arial" w:eastAsia="Times New Roman" w:hAnsi="Arial" w:cs="Arial"/>
                <w:color w:val="000000"/>
                <w:sz w:val="18"/>
                <w:szCs w:val="18"/>
              </w:rPr>
            </w:pPr>
            <w:r w:rsidRPr="007301FA">
              <w:rPr>
                <w:rFonts w:ascii="Arial" w:hAnsi="Arial" w:cs="Arial"/>
                <w:sz w:val="18"/>
                <w:szCs w:val="18"/>
              </w:rPr>
              <w:t xml:space="preserve"> (580)</w:t>
            </w:r>
          </w:p>
        </w:tc>
      </w:tr>
      <w:tr w:rsidR="000B424D" w:rsidRPr="007301FA" w14:paraId="4055291B" w14:textId="77777777" w:rsidTr="007301FA">
        <w:trPr>
          <w:trHeight w:hRule="exact" w:val="227"/>
        </w:trPr>
        <w:tc>
          <w:tcPr>
            <w:tcW w:w="3751" w:type="pct"/>
            <w:vAlign w:val="bottom"/>
          </w:tcPr>
          <w:p w14:paraId="7640F6ED" w14:textId="58C523FF" w:rsidR="000B424D" w:rsidRPr="007301FA" w:rsidRDefault="000B424D" w:rsidP="000B424D">
            <w:pPr>
              <w:keepLines/>
              <w:tabs>
                <w:tab w:val="right" w:pos="1202"/>
              </w:tabs>
              <w:spacing w:line="220" w:lineRule="exact"/>
              <w:outlineLvl w:val="0"/>
              <w:rPr>
                <w:rFonts w:ascii="Arial" w:eastAsia="Times New Roman" w:hAnsi="Arial" w:cs="Arial"/>
                <w:iCs/>
                <w:color w:val="000000"/>
                <w:sz w:val="18"/>
                <w:szCs w:val="18"/>
              </w:rPr>
            </w:pPr>
            <w:bookmarkStart w:id="184" w:name="_Toc67327173"/>
            <w:r w:rsidRPr="007301FA">
              <w:rPr>
                <w:rFonts w:ascii="Arial" w:eastAsia="Times New Roman" w:hAnsi="Arial" w:cs="Arial"/>
                <w:iCs/>
                <w:color w:val="000000"/>
                <w:sz w:val="18"/>
                <w:szCs w:val="18"/>
              </w:rPr>
              <w:t>Neto (gubitak) od trgovanja derivativnim financijskim instrumentima</w:t>
            </w:r>
            <w:bookmarkEnd w:id="184"/>
          </w:p>
        </w:tc>
        <w:tc>
          <w:tcPr>
            <w:tcW w:w="625" w:type="pct"/>
            <w:shd w:val="clear" w:color="auto" w:fill="auto"/>
            <w:vAlign w:val="bottom"/>
          </w:tcPr>
          <w:p w14:paraId="354DC78D" w14:textId="0832CF4A" w:rsidR="000B424D" w:rsidRPr="007301FA" w:rsidRDefault="00A34416" w:rsidP="000B424D">
            <w:pPr>
              <w:keepLines/>
              <w:jc w:val="right"/>
              <w:rPr>
                <w:rFonts w:ascii="Arial" w:eastAsia="Times New Roman" w:hAnsi="Arial" w:cs="Arial"/>
                <w:color w:val="000000"/>
                <w:sz w:val="18"/>
                <w:szCs w:val="18"/>
              </w:rPr>
            </w:pPr>
            <w:r>
              <w:rPr>
                <w:rFonts w:ascii="Arial" w:eastAsia="Times New Roman" w:hAnsi="Arial" w:cs="Arial"/>
                <w:color w:val="000000"/>
                <w:sz w:val="18"/>
                <w:szCs w:val="18"/>
              </w:rPr>
              <w:t>(37)</w:t>
            </w:r>
          </w:p>
        </w:tc>
        <w:tc>
          <w:tcPr>
            <w:tcW w:w="624" w:type="pct"/>
            <w:shd w:val="clear" w:color="auto" w:fill="auto"/>
            <w:vAlign w:val="bottom"/>
          </w:tcPr>
          <w:p w14:paraId="03ED43F8" w14:textId="04A73E0F" w:rsidR="000B424D" w:rsidRPr="007301FA" w:rsidRDefault="000B424D" w:rsidP="000B424D">
            <w:pPr>
              <w:keepLines/>
              <w:jc w:val="right"/>
              <w:rPr>
                <w:rFonts w:ascii="Arial" w:eastAsia="Times New Roman" w:hAnsi="Arial" w:cs="Arial"/>
                <w:color w:val="000000"/>
                <w:sz w:val="18"/>
                <w:szCs w:val="18"/>
              </w:rPr>
            </w:pPr>
            <w:r w:rsidRPr="007301FA">
              <w:rPr>
                <w:rFonts w:ascii="Arial" w:hAnsi="Arial" w:cs="Arial"/>
                <w:sz w:val="18"/>
                <w:szCs w:val="18"/>
              </w:rPr>
              <w:t xml:space="preserve"> (290)</w:t>
            </w:r>
          </w:p>
        </w:tc>
      </w:tr>
      <w:tr w:rsidR="000B424D" w:rsidRPr="007301FA" w14:paraId="032A4084" w14:textId="77777777" w:rsidTr="007301FA">
        <w:trPr>
          <w:trHeight w:hRule="exact" w:val="227"/>
        </w:trPr>
        <w:tc>
          <w:tcPr>
            <w:tcW w:w="3751" w:type="pct"/>
            <w:vAlign w:val="bottom"/>
          </w:tcPr>
          <w:p w14:paraId="1E16CA80" w14:textId="77777777" w:rsidR="000B424D" w:rsidRPr="007301FA" w:rsidRDefault="000B424D" w:rsidP="000B424D">
            <w:pPr>
              <w:keepLines/>
              <w:tabs>
                <w:tab w:val="right" w:pos="1202"/>
              </w:tabs>
              <w:spacing w:line="220" w:lineRule="exact"/>
              <w:outlineLvl w:val="0"/>
              <w:rPr>
                <w:rFonts w:ascii="Arial" w:eastAsia="Times New Roman" w:hAnsi="Arial" w:cs="Arial"/>
                <w:iCs/>
                <w:color w:val="000000"/>
                <w:sz w:val="18"/>
                <w:szCs w:val="18"/>
              </w:rPr>
            </w:pPr>
            <w:bookmarkStart w:id="185" w:name="_Toc67327174"/>
            <w:r w:rsidRPr="007301FA">
              <w:rPr>
                <w:rFonts w:ascii="Arial" w:eastAsia="Times New Roman" w:hAnsi="Arial" w:cs="Arial"/>
                <w:iCs/>
                <w:color w:val="000000"/>
                <w:sz w:val="18"/>
                <w:szCs w:val="18"/>
              </w:rPr>
              <w:t>Ostale promjene po imovini po fer vrijednosti</w:t>
            </w:r>
            <w:bookmarkEnd w:id="185"/>
          </w:p>
        </w:tc>
        <w:tc>
          <w:tcPr>
            <w:tcW w:w="625" w:type="pct"/>
            <w:shd w:val="clear" w:color="auto" w:fill="auto"/>
            <w:vAlign w:val="bottom"/>
          </w:tcPr>
          <w:p w14:paraId="6B63543C" w14:textId="5642C232" w:rsidR="000B424D" w:rsidRPr="007301FA" w:rsidRDefault="00A34416" w:rsidP="000B424D">
            <w:pPr>
              <w:keepLines/>
              <w:jc w:val="right"/>
              <w:rPr>
                <w:rFonts w:ascii="Arial" w:eastAsia="Times New Roman" w:hAnsi="Arial" w:cs="Arial"/>
                <w:color w:val="000000"/>
                <w:sz w:val="18"/>
                <w:szCs w:val="18"/>
              </w:rPr>
            </w:pPr>
            <w:r>
              <w:rPr>
                <w:rFonts w:ascii="Arial" w:eastAsia="Times New Roman" w:hAnsi="Arial" w:cs="Arial"/>
                <w:color w:val="000000"/>
                <w:sz w:val="18"/>
                <w:szCs w:val="18"/>
              </w:rPr>
              <w:t>418</w:t>
            </w:r>
          </w:p>
        </w:tc>
        <w:tc>
          <w:tcPr>
            <w:tcW w:w="624" w:type="pct"/>
            <w:shd w:val="clear" w:color="auto" w:fill="auto"/>
            <w:vAlign w:val="bottom"/>
          </w:tcPr>
          <w:p w14:paraId="5CA3636D" w14:textId="0BF5D2E0" w:rsidR="000B424D" w:rsidRPr="007301FA" w:rsidRDefault="000B424D" w:rsidP="000B424D">
            <w:pPr>
              <w:keepLines/>
              <w:jc w:val="right"/>
              <w:rPr>
                <w:rFonts w:ascii="Arial" w:eastAsia="Times New Roman" w:hAnsi="Arial" w:cs="Arial"/>
                <w:color w:val="000000"/>
                <w:sz w:val="18"/>
                <w:szCs w:val="18"/>
              </w:rPr>
            </w:pPr>
            <w:r w:rsidRPr="007301FA">
              <w:rPr>
                <w:rFonts w:ascii="Arial" w:hAnsi="Arial" w:cs="Arial"/>
                <w:sz w:val="18"/>
                <w:szCs w:val="18"/>
              </w:rPr>
              <w:t xml:space="preserve"> 45</w:t>
            </w:r>
            <w:r>
              <w:rPr>
                <w:rFonts w:ascii="Arial" w:hAnsi="Arial" w:cs="Arial"/>
                <w:sz w:val="18"/>
                <w:szCs w:val="18"/>
              </w:rPr>
              <w:t>5</w:t>
            </w:r>
            <w:r w:rsidRPr="007301FA">
              <w:rPr>
                <w:rFonts w:ascii="Arial" w:hAnsi="Arial" w:cs="Arial"/>
                <w:sz w:val="18"/>
                <w:szCs w:val="18"/>
              </w:rPr>
              <w:t xml:space="preserve"> </w:t>
            </w:r>
          </w:p>
        </w:tc>
      </w:tr>
      <w:tr w:rsidR="000B424D" w:rsidRPr="007301FA" w14:paraId="374BA0D5" w14:textId="77777777" w:rsidTr="007301FA">
        <w:trPr>
          <w:trHeight w:hRule="exact" w:val="227"/>
        </w:trPr>
        <w:tc>
          <w:tcPr>
            <w:tcW w:w="3751" w:type="pct"/>
            <w:vAlign w:val="bottom"/>
          </w:tcPr>
          <w:p w14:paraId="06F9BB5C" w14:textId="77777777" w:rsidR="000B424D" w:rsidRPr="007301FA" w:rsidRDefault="000B424D" w:rsidP="000B424D">
            <w:pPr>
              <w:keepLines/>
              <w:tabs>
                <w:tab w:val="right" w:pos="1202"/>
              </w:tabs>
              <w:spacing w:line="220" w:lineRule="exact"/>
              <w:outlineLvl w:val="0"/>
              <w:rPr>
                <w:rFonts w:ascii="Arial" w:eastAsia="Times New Roman" w:hAnsi="Arial" w:cs="Arial"/>
                <w:i/>
                <w:iCs/>
                <w:color w:val="000000"/>
                <w:sz w:val="18"/>
                <w:szCs w:val="18"/>
              </w:rPr>
            </w:pPr>
            <w:bookmarkStart w:id="186" w:name="_Toc67327175"/>
            <w:r w:rsidRPr="007301FA">
              <w:rPr>
                <w:rFonts w:ascii="Arial" w:eastAsia="Times New Roman" w:hAnsi="Arial" w:cs="Arial"/>
                <w:i/>
                <w:iCs/>
                <w:color w:val="000000"/>
                <w:sz w:val="18"/>
                <w:szCs w:val="18"/>
              </w:rPr>
              <w:t>Dobitak/(gubitak) iz poslovnih aktivnosti prije promjena radnog kapitala</w:t>
            </w:r>
            <w:bookmarkEnd w:id="186"/>
          </w:p>
        </w:tc>
        <w:tc>
          <w:tcPr>
            <w:tcW w:w="625" w:type="pct"/>
            <w:vAlign w:val="bottom"/>
          </w:tcPr>
          <w:p w14:paraId="35955CC4" w14:textId="4A06274D" w:rsidR="000B424D" w:rsidRPr="007301FA" w:rsidRDefault="00A34416" w:rsidP="000B424D">
            <w:pPr>
              <w:keepLines/>
              <w:jc w:val="right"/>
              <w:rPr>
                <w:rFonts w:ascii="Arial" w:eastAsia="Times New Roman" w:hAnsi="Arial" w:cs="Arial"/>
                <w:i/>
                <w:iCs/>
                <w:color w:val="000000"/>
                <w:sz w:val="18"/>
                <w:szCs w:val="18"/>
              </w:rPr>
            </w:pPr>
            <w:r>
              <w:rPr>
                <w:rFonts w:ascii="Arial" w:eastAsia="Times New Roman" w:hAnsi="Arial" w:cs="Arial"/>
                <w:i/>
                <w:iCs/>
                <w:color w:val="000000"/>
                <w:sz w:val="18"/>
                <w:szCs w:val="18"/>
              </w:rPr>
              <w:t>15.780</w:t>
            </w:r>
          </w:p>
        </w:tc>
        <w:tc>
          <w:tcPr>
            <w:tcW w:w="624" w:type="pct"/>
            <w:vAlign w:val="bottom"/>
          </w:tcPr>
          <w:p w14:paraId="3E149958" w14:textId="6514EA67" w:rsidR="000B424D" w:rsidRPr="007301FA" w:rsidRDefault="000B424D" w:rsidP="000B424D">
            <w:pPr>
              <w:keepLines/>
              <w:jc w:val="right"/>
              <w:rPr>
                <w:rFonts w:ascii="Arial" w:eastAsia="Times New Roman" w:hAnsi="Arial" w:cs="Arial"/>
                <w:i/>
                <w:iCs/>
                <w:color w:val="000000"/>
                <w:sz w:val="18"/>
                <w:szCs w:val="18"/>
              </w:rPr>
            </w:pPr>
            <w:r w:rsidRPr="007301FA">
              <w:rPr>
                <w:rFonts w:ascii="Arial" w:hAnsi="Arial" w:cs="Arial"/>
                <w:i/>
                <w:iCs/>
                <w:sz w:val="18"/>
                <w:szCs w:val="18"/>
              </w:rPr>
              <w:t xml:space="preserve"> 17.14</w:t>
            </w:r>
            <w:r>
              <w:rPr>
                <w:rFonts w:ascii="Arial" w:hAnsi="Arial" w:cs="Arial"/>
                <w:i/>
                <w:iCs/>
                <w:sz w:val="18"/>
                <w:szCs w:val="18"/>
              </w:rPr>
              <w:t>2</w:t>
            </w:r>
            <w:r w:rsidRPr="007301FA">
              <w:rPr>
                <w:rFonts w:ascii="Arial" w:hAnsi="Arial" w:cs="Arial"/>
                <w:i/>
                <w:iCs/>
                <w:sz w:val="18"/>
                <w:szCs w:val="18"/>
              </w:rPr>
              <w:t xml:space="preserve"> </w:t>
            </w:r>
          </w:p>
        </w:tc>
      </w:tr>
      <w:tr w:rsidR="000B424D" w:rsidRPr="007301FA" w14:paraId="0E4CF5A9" w14:textId="77777777" w:rsidTr="007301FA">
        <w:trPr>
          <w:trHeight w:hRule="exact" w:val="227"/>
        </w:trPr>
        <w:tc>
          <w:tcPr>
            <w:tcW w:w="3751" w:type="pct"/>
            <w:vAlign w:val="bottom"/>
          </w:tcPr>
          <w:p w14:paraId="6B65D960" w14:textId="77777777" w:rsidR="000B424D" w:rsidRPr="007301FA" w:rsidRDefault="000B424D" w:rsidP="000B424D">
            <w:pPr>
              <w:keepLines/>
              <w:tabs>
                <w:tab w:val="right" w:pos="1202"/>
              </w:tabs>
              <w:spacing w:line="220" w:lineRule="exact"/>
              <w:outlineLvl w:val="0"/>
              <w:rPr>
                <w:rFonts w:ascii="Arial" w:eastAsia="Times New Roman" w:hAnsi="Arial" w:cs="Arial"/>
                <w:i/>
                <w:iCs/>
                <w:color w:val="000000"/>
                <w:sz w:val="18"/>
                <w:szCs w:val="18"/>
              </w:rPr>
            </w:pPr>
            <w:bookmarkStart w:id="187" w:name="_Toc67327176"/>
            <w:r w:rsidRPr="007301FA">
              <w:rPr>
                <w:rFonts w:ascii="Arial" w:eastAsia="Times New Roman" w:hAnsi="Arial" w:cs="Arial"/>
                <w:i/>
                <w:iCs/>
                <w:color w:val="000000"/>
                <w:sz w:val="18"/>
                <w:szCs w:val="18"/>
              </w:rPr>
              <w:t>Promjene u poslovnim sredstvima i izvorima:</w:t>
            </w:r>
            <w:bookmarkEnd w:id="187"/>
          </w:p>
        </w:tc>
        <w:tc>
          <w:tcPr>
            <w:tcW w:w="625" w:type="pct"/>
            <w:vAlign w:val="bottom"/>
          </w:tcPr>
          <w:p w14:paraId="3D513B73" w14:textId="77777777" w:rsidR="000B424D" w:rsidRPr="007301FA" w:rsidRDefault="000B424D" w:rsidP="000B424D">
            <w:pPr>
              <w:keepLines/>
              <w:jc w:val="right"/>
              <w:rPr>
                <w:rFonts w:ascii="Arial" w:eastAsia="Times New Roman" w:hAnsi="Arial" w:cs="Arial"/>
                <w:i/>
                <w:color w:val="000000"/>
                <w:sz w:val="18"/>
                <w:szCs w:val="18"/>
              </w:rPr>
            </w:pPr>
          </w:p>
        </w:tc>
        <w:tc>
          <w:tcPr>
            <w:tcW w:w="624" w:type="pct"/>
            <w:vAlign w:val="bottom"/>
          </w:tcPr>
          <w:p w14:paraId="7062831D" w14:textId="77777777" w:rsidR="000B424D" w:rsidRPr="007301FA" w:rsidRDefault="000B424D" w:rsidP="000B424D">
            <w:pPr>
              <w:keepLines/>
              <w:jc w:val="right"/>
              <w:rPr>
                <w:rFonts w:ascii="Arial" w:eastAsia="Times New Roman" w:hAnsi="Arial" w:cs="Arial"/>
                <w:i/>
                <w:color w:val="000000"/>
                <w:sz w:val="18"/>
                <w:szCs w:val="18"/>
              </w:rPr>
            </w:pPr>
          </w:p>
        </w:tc>
      </w:tr>
      <w:tr w:rsidR="000B424D" w:rsidRPr="007301FA" w14:paraId="61F429A1" w14:textId="77777777" w:rsidTr="007301FA">
        <w:trPr>
          <w:trHeight w:val="227"/>
        </w:trPr>
        <w:tc>
          <w:tcPr>
            <w:tcW w:w="3751" w:type="pct"/>
            <w:vAlign w:val="bottom"/>
          </w:tcPr>
          <w:p w14:paraId="39790D44" w14:textId="77777777" w:rsidR="000B424D" w:rsidRPr="007301FA" w:rsidRDefault="000B424D" w:rsidP="000B424D">
            <w:pPr>
              <w:keepLines/>
              <w:tabs>
                <w:tab w:val="right" w:pos="1202"/>
              </w:tabs>
              <w:spacing w:line="220" w:lineRule="exact"/>
              <w:outlineLvl w:val="0"/>
              <w:rPr>
                <w:rFonts w:ascii="Arial" w:eastAsia="Times New Roman" w:hAnsi="Arial" w:cs="Arial"/>
                <w:color w:val="000000"/>
                <w:sz w:val="18"/>
                <w:szCs w:val="18"/>
              </w:rPr>
            </w:pPr>
            <w:bookmarkStart w:id="188" w:name="_Toc67327177"/>
            <w:r w:rsidRPr="007301FA">
              <w:rPr>
                <w:rFonts w:ascii="Arial" w:eastAsia="Times New Roman" w:hAnsi="Arial" w:cs="Arial"/>
                <w:color w:val="000000"/>
                <w:sz w:val="18"/>
                <w:szCs w:val="18"/>
              </w:rPr>
              <w:t xml:space="preserve">Neto </w:t>
            </w:r>
            <w:r w:rsidRPr="00D360F9">
              <w:rPr>
                <w:rFonts w:ascii="Arial" w:eastAsia="Times New Roman" w:hAnsi="Arial" w:cs="Arial"/>
                <w:color w:val="000000"/>
                <w:sz w:val="18"/>
                <w:szCs w:val="18"/>
              </w:rPr>
              <w:t>(povećanje) depozita</w:t>
            </w:r>
            <w:r w:rsidRPr="007301FA">
              <w:rPr>
                <w:rFonts w:ascii="Arial" w:eastAsia="Times New Roman" w:hAnsi="Arial" w:cs="Arial"/>
                <w:color w:val="000000"/>
                <w:sz w:val="18"/>
                <w:szCs w:val="18"/>
              </w:rPr>
              <w:t xml:space="preserve"> kod drugih banaka, prije rezerviranja za očekivane gubitke</w:t>
            </w:r>
            <w:bookmarkEnd w:id="188"/>
          </w:p>
        </w:tc>
        <w:tc>
          <w:tcPr>
            <w:tcW w:w="625" w:type="pct"/>
            <w:shd w:val="clear" w:color="auto" w:fill="auto"/>
            <w:vAlign w:val="bottom"/>
          </w:tcPr>
          <w:p w14:paraId="73FEBE5F" w14:textId="37B269CB" w:rsidR="000B424D" w:rsidRPr="007301FA" w:rsidRDefault="00A34416" w:rsidP="000B424D">
            <w:pPr>
              <w:keepLines/>
              <w:jc w:val="right"/>
              <w:rPr>
                <w:rFonts w:ascii="Arial" w:eastAsia="Times New Roman" w:hAnsi="Arial" w:cs="Arial"/>
                <w:color w:val="000000"/>
                <w:spacing w:val="-3"/>
                <w:sz w:val="18"/>
                <w:szCs w:val="18"/>
              </w:rPr>
            </w:pPr>
            <w:r>
              <w:rPr>
                <w:rFonts w:ascii="Arial" w:eastAsia="Times New Roman" w:hAnsi="Arial" w:cs="Arial"/>
                <w:color w:val="000000"/>
                <w:spacing w:val="-3"/>
                <w:sz w:val="18"/>
                <w:szCs w:val="18"/>
              </w:rPr>
              <w:t>(57.413)</w:t>
            </w:r>
          </w:p>
        </w:tc>
        <w:tc>
          <w:tcPr>
            <w:tcW w:w="624" w:type="pct"/>
            <w:shd w:val="clear" w:color="auto" w:fill="auto"/>
            <w:vAlign w:val="bottom"/>
          </w:tcPr>
          <w:p w14:paraId="0EDA2618" w14:textId="0E7A50F5" w:rsidR="000B424D" w:rsidRPr="007301FA" w:rsidRDefault="000B424D" w:rsidP="000B424D">
            <w:pPr>
              <w:keepLines/>
              <w:jc w:val="right"/>
              <w:rPr>
                <w:rFonts w:ascii="Arial" w:eastAsia="Times New Roman" w:hAnsi="Arial" w:cs="Arial"/>
                <w:color w:val="000000"/>
                <w:sz w:val="18"/>
                <w:szCs w:val="18"/>
              </w:rPr>
            </w:pPr>
            <w:r w:rsidRPr="007301FA">
              <w:rPr>
                <w:rFonts w:ascii="Arial" w:hAnsi="Arial" w:cs="Arial"/>
                <w:sz w:val="18"/>
                <w:szCs w:val="18"/>
              </w:rPr>
              <w:t xml:space="preserve"> (84.947)</w:t>
            </w:r>
          </w:p>
        </w:tc>
      </w:tr>
      <w:tr w:rsidR="000B424D" w:rsidRPr="007301FA" w14:paraId="33D7FD67" w14:textId="77777777" w:rsidTr="007301FA">
        <w:trPr>
          <w:trHeight w:val="227"/>
        </w:trPr>
        <w:tc>
          <w:tcPr>
            <w:tcW w:w="3751" w:type="pct"/>
            <w:vAlign w:val="bottom"/>
          </w:tcPr>
          <w:p w14:paraId="6EEDE731" w14:textId="04A85F0B" w:rsidR="000B424D" w:rsidRPr="007301FA" w:rsidRDefault="000B424D" w:rsidP="000B424D">
            <w:pPr>
              <w:keepLines/>
              <w:tabs>
                <w:tab w:val="right" w:pos="1202"/>
              </w:tabs>
              <w:spacing w:line="220" w:lineRule="exact"/>
              <w:outlineLvl w:val="0"/>
              <w:rPr>
                <w:rFonts w:ascii="Arial" w:eastAsia="Times New Roman" w:hAnsi="Arial" w:cs="Arial"/>
                <w:color w:val="000000"/>
                <w:sz w:val="18"/>
                <w:szCs w:val="18"/>
              </w:rPr>
            </w:pPr>
            <w:bookmarkStart w:id="189" w:name="_Toc67327178"/>
            <w:r w:rsidRPr="007301FA">
              <w:rPr>
                <w:rFonts w:ascii="Arial" w:eastAsia="Times New Roman" w:hAnsi="Arial" w:cs="Arial"/>
                <w:color w:val="000000"/>
                <w:sz w:val="18"/>
                <w:szCs w:val="18"/>
              </w:rPr>
              <w:t>Neto</w:t>
            </w:r>
            <w:r w:rsidR="00A34416">
              <w:rPr>
                <w:rFonts w:ascii="Arial" w:eastAsia="Times New Roman" w:hAnsi="Arial" w:cs="Arial"/>
                <w:color w:val="000000"/>
                <w:sz w:val="18"/>
                <w:szCs w:val="18"/>
              </w:rPr>
              <w:t xml:space="preserve"> smanjenje/</w:t>
            </w:r>
            <w:r>
              <w:rPr>
                <w:rFonts w:ascii="Arial" w:eastAsia="Times New Roman" w:hAnsi="Arial" w:cs="Arial"/>
                <w:color w:val="000000"/>
                <w:sz w:val="18"/>
                <w:szCs w:val="18"/>
              </w:rPr>
              <w:t>(povećanje</w:t>
            </w:r>
            <w:r w:rsidRPr="00505224">
              <w:rPr>
                <w:rFonts w:ascii="Arial" w:eastAsia="Times New Roman" w:hAnsi="Arial" w:cs="Arial"/>
                <w:color w:val="000000"/>
                <w:sz w:val="18"/>
                <w:szCs w:val="18"/>
              </w:rPr>
              <w:t>)</w:t>
            </w:r>
            <w:r w:rsidRPr="007301FA">
              <w:rPr>
                <w:rFonts w:ascii="Arial" w:eastAsia="Times New Roman" w:hAnsi="Arial" w:cs="Arial"/>
                <w:color w:val="000000"/>
                <w:sz w:val="18"/>
                <w:szCs w:val="18"/>
              </w:rPr>
              <w:t xml:space="preserve"> kredita financijskim institucijama, prije rezerviranja za očekivane gubitke</w:t>
            </w:r>
            <w:bookmarkEnd w:id="189"/>
          </w:p>
        </w:tc>
        <w:tc>
          <w:tcPr>
            <w:tcW w:w="625" w:type="pct"/>
            <w:shd w:val="clear" w:color="auto" w:fill="auto"/>
            <w:vAlign w:val="bottom"/>
          </w:tcPr>
          <w:p w14:paraId="37CB3D9C" w14:textId="624150C9" w:rsidR="000B424D" w:rsidRPr="007301FA" w:rsidRDefault="00A34416" w:rsidP="000B424D">
            <w:pPr>
              <w:keepLines/>
              <w:jc w:val="right"/>
              <w:rPr>
                <w:rFonts w:ascii="Arial" w:eastAsia="Times New Roman" w:hAnsi="Arial" w:cs="Arial"/>
                <w:color w:val="000000"/>
                <w:spacing w:val="-3"/>
                <w:sz w:val="18"/>
                <w:szCs w:val="18"/>
              </w:rPr>
            </w:pPr>
            <w:r>
              <w:rPr>
                <w:rFonts w:ascii="Arial" w:eastAsia="Times New Roman" w:hAnsi="Arial" w:cs="Arial"/>
                <w:color w:val="000000"/>
                <w:spacing w:val="-3"/>
                <w:sz w:val="18"/>
                <w:szCs w:val="18"/>
              </w:rPr>
              <w:t>110.781</w:t>
            </w:r>
          </w:p>
        </w:tc>
        <w:tc>
          <w:tcPr>
            <w:tcW w:w="624" w:type="pct"/>
            <w:shd w:val="clear" w:color="auto" w:fill="auto"/>
            <w:vAlign w:val="bottom"/>
          </w:tcPr>
          <w:p w14:paraId="0B07586D" w14:textId="2EE17B98" w:rsidR="000B424D" w:rsidRPr="007301FA" w:rsidRDefault="000B424D" w:rsidP="000B424D">
            <w:pPr>
              <w:keepLines/>
              <w:jc w:val="right"/>
              <w:rPr>
                <w:rFonts w:ascii="Arial" w:eastAsia="Times New Roman" w:hAnsi="Arial" w:cs="Arial"/>
                <w:color w:val="000000"/>
                <w:sz w:val="18"/>
                <w:szCs w:val="18"/>
              </w:rPr>
            </w:pPr>
            <w:r w:rsidRPr="007301FA">
              <w:rPr>
                <w:rFonts w:ascii="Arial" w:hAnsi="Arial" w:cs="Arial"/>
                <w:sz w:val="18"/>
                <w:szCs w:val="18"/>
              </w:rPr>
              <w:t xml:space="preserve"> (61.211)</w:t>
            </w:r>
          </w:p>
        </w:tc>
      </w:tr>
      <w:tr w:rsidR="000B424D" w:rsidRPr="007301FA" w14:paraId="0B32A980" w14:textId="77777777" w:rsidTr="007301FA">
        <w:trPr>
          <w:trHeight w:val="227"/>
        </w:trPr>
        <w:tc>
          <w:tcPr>
            <w:tcW w:w="3751" w:type="pct"/>
            <w:vAlign w:val="bottom"/>
          </w:tcPr>
          <w:p w14:paraId="00212DEA" w14:textId="0064159A" w:rsidR="000B424D" w:rsidRPr="007301FA" w:rsidRDefault="000B424D" w:rsidP="000B424D">
            <w:pPr>
              <w:keepLines/>
              <w:tabs>
                <w:tab w:val="right" w:pos="1202"/>
              </w:tabs>
              <w:spacing w:line="220" w:lineRule="exact"/>
              <w:outlineLvl w:val="0"/>
              <w:rPr>
                <w:rFonts w:ascii="Arial" w:eastAsia="Times New Roman" w:hAnsi="Arial" w:cs="Arial"/>
                <w:color w:val="000000"/>
                <w:sz w:val="18"/>
                <w:szCs w:val="18"/>
              </w:rPr>
            </w:pPr>
            <w:bookmarkStart w:id="190" w:name="_Toc67327179"/>
            <w:r w:rsidRPr="00505224">
              <w:rPr>
                <w:rFonts w:ascii="Arial" w:eastAsia="Times New Roman" w:hAnsi="Arial" w:cs="Arial"/>
                <w:color w:val="000000"/>
                <w:sz w:val="18"/>
                <w:szCs w:val="18"/>
              </w:rPr>
              <w:t xml:space="preserve">Neto </w:t>
            </w:r>
            <w:r w:rsidR="00A34416">
              <w:rPr>
                <w:rFonts w:ascii="Arial" w:eastAsia="Times New Roman" w:hAnsi="Arial" w:cs="Arial"/>
                <w:color w:val="000000"/>
                <w:sz w:val="18"/>
                <w:szCs w:val="18"/>
              </w:rPr>
              <w:t>smanjenje/</w:t>
            </w:r>
            <w:r w:rsidRPr="00505224">
              <w:rPr>
                <w:rFonts w:ascii="Arial" w:eastAsia="Times New Roman" w:hAnsi="Arial" w:cs="Arial"/>
                <w:color w:val="000000"/>
                <w:sz w:val="18"/>
                <w:szCs w:val="18"/>
              </w:rPr>
              <w:t>(povećanje)</w:t>
            </w:r>
            <w:r w:rsidRPr="007301FA">
              <w:rPr>
                <w:rFonts w:ascii="Arial" w:eastAsia="Times New Roman" w:hAnsi="Arial" w:cs="Arial"/>
                <w:color w:val="000000"/>
                <w:sz w:val="18"/>
                <w:szCs w:val="18"/>
              </w:rPr>
              <w:t xml:space="preserve"> kredita ostalim korisnicima, prije rezerviranja za očekivane gubitke</w:t>
            </w:r>
            <w:bookmarkEnd w:id="190"/>
          </w:p>
        </w:tc>
        <w:tc>
          <w:tcPr>
            <w:tcW w:w="625" w:type="pct"/>
            <w:shd w:val="clear" w:color="auto" w:fill="auto"/>
            <w:vAlign w:val="bottom"/>
          </w:tcPr>
          <w:p w14:paraId="13EB2727" w14:textId="43F47DF4" w:rsidR="000B424D" w:rsidRPr="007301FA" w:rsidRDefault="00A34416" w:rsidP="000B424D">
            <w:pPr>
              <w:keepLines/>
              <w:jc w:val="right"/>
              <w:rPr>
                <w:rFonts w:ascii="Arial" w:eastAsia="Times New Roman" w:hAnsi="Arial" w:cs="Arial"/>
                <w:color w:val="000000"/>
                <w:sz w:val="18"/>
                <w:szCs w:val="18"/>
              </w:rPr>
            </w:pPr>
            <w:r>
              <w:rPr>
                <w:rFonts w:ascii="Arial" w:eastAsia="Times New Roman" w:hAnsi="Arial" w:cs="Arial"/>
                <w:color w:val="000000"/>
                <w:sz w:val="18"/>
                <w:szCs w:val="18"/>
              </w:rPr>
              <w:t>17.902</w:t>
            </w:r>
          </w:p>
        </w:tc>
        <w:tc>
          <w:tcPr>
            <w:tcW w:w="624" w:type="pct"/>
            <w:shd w:val="clear" w:color="auto" w:fill="auto"/>
            <w:vAlign w:val="bottom"/>
          </w:tcPr>
          <w:p w14:paraId="3F49BF0A" w14:textId="4D37DBB0" w:rsidR="000B424D" w:rsidRPr="007301FA" w:rsidRDefault="000B424D" w:rsidP="000B424D">
            <w:pPr>
              <w:keepLines/>
              <w:jc w:val="right"/>
              <w:rPr>
                <w:rFonts w:ascii="Arial" w:eastAsia="Times New Roman" w:hAnsi="Arial" w:cs="Arial"/>
                <w:color w:val="000000"/>
                <w:sz w:val="18"/>
                <w:szCs w:val="18"/>
              </w:rPr>
            </w:pPr>
            <w:r w:rsidRPr="007301FA">
              <w:rPr>
                <w:rFonts w:ascii="Arial" w:hAnsi="Arial" w:cs="Arial"/>
                <w:sz w:val="18"/>
                <w:szCs w:val="18"/>
              </w:rPr>
              <w:t xml:space="preserve"> (53.709)</w:t>
            </w:r>
          </w:p>
        </w:tc>
      </w:tr>
      <w:tr w:rsidR="000B424D" w:rsidRPr="007301FA" w14:paraId="246AE256" w14:textId="77777777" w:rsidTr="007301FA">
        <w:trPr>
          <w:trHeight w:hRule="exact" w:val="227"/>
        </w:trPr>
        <w:tc>
          <w:tcPr>
            <w:tcW w:w="3751" w:type="pct"/>
            <w:vAlign w:val="bottom"/>
          </w:tcPr>
          <w:p w14:paraId="319D4867" w14:textId="45E259C2" w:rsidR="000B424D" w:rsidRPr="007301FA" w:rsidRDefault="000B424D" w:rsidP="000B424D">
            <w:pPr>
              <w:keepLines/>
              <w:tabs>
                <w:tab w:val="right" w:pos="1202"/>
              </w:tabs>
              <w:spacing w:line="220" w:lineRule="exact"/>
              <w:outlineLvl w:val="0"/>
              <w:rPr>
                <w:rFonts w:ascii="Arial" w:eastAsia="Times New Roman" w:hAnsi="Arial" w:cs="Arial"/>
                <w:color w:val="000000"/>
                <w:sz w:val="18"/>
                <w:szCs w:val="18"/>
              </w:rPr>
            </w:pPr>
            <w:bookmarkStart w:id="191" w:name="_Toc67327181"/>
            <w:r w:rsidRPr="007301FA">
              <w:rPr>
                <w:rFonts w:ascii="Arial" w:eastAsia="Times New Roman" w:hAnsi="Arial" w:cs="Arial"/>
                <w:color w:val="000000"/>
                <w:sz w:val="18"/>
                <w:szCs w:val="18"/>
              </w:rPr>
              <w:t xml:space="preserve">Neto </w:t>
            </w:r>
            <w:r w:rsidR="00A52FE3">
              <w:rPr>
                <w:rFonts w:ascii="Arial" w:eastAsia="Times New Roman" w:hAnsi="Arial" w:cs="Arial"/>
                <w:color w:val="000000"/>
                <w:sz w:val="18"/>
                <w:szCs w:val="18"/>
              </w:rPr>
              <w:t>smanjenje/</w:t>
            </w:r>
            <w:r w:rsidRPr="00505224">
              <w:rPr>
                <w:rFonts w:ascii="Arial" w:eastAsia="Times New Roman" w:hAnsi="Arial" w:cs="Arial"/>
                <w:color w:val="000000"/>
                <w:sz w:val="18"/>
                <w:szCs w:val="18"/>
              </w:rPr>
              <w:t>(povećanje) preuzete</w:t>
            </w:r>
            <w:r w:rsidRPr="007301FA">
              <w:rPr>
                <w:rFonts w:ascii="Arial" w:eastAsia="Times New Roman" w:hAnsi="Arial" w:cs="Arial"/>
                <w:color w:val="000000"/>
                <w:sz w:val="18"/>
                <w:szCs w:val="18"/>
              </w:rPr>
              <w:t xml:space="preserve"> imovine</w:t>
            </w:r>
            <w:bookmarkEnd w:id="191"/>
            <w:r w:rsidRPr="007301FA">
              <w:rPr>
                <w:rFonts w:ascii="Arial" w:eastAsia="Times New Roman" w:hAnsi="Arial" w:cs="Arial"/>
                <w:color w:val="000000"/>
                <w:sz w:val="18"/>
                <w:szCs w:val="18"/>
              </w:rPr>
              <w:t xml:space="preserve"> </w:t>
            </w:r>
          </w:p>
        </w:tc>
        <w:tc>
          <w:tcPr>
            <w:tcW w:w="625" w:type="pct"/>
            <w:vAlign w:val="bottom"/>
          </w:tcPr>
          <w:p w14:paraId="79EF5408" w14:textId="3E3D8E3F" w:rsidR="000B424D" w:rsidRPr="007301FA" w:rsidRDefault="00A52FE3" w:rsidP="000B424D">
            <w:pPr>
              <w:keepLines/>
              <w:tabs>
                <w:tab w:val="right" w:pos="1202"/>
              </w:tabs>
              <w:spacing w:line="22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150</w:t>
            </w:r>
          </w:p>
        </w:tc>
        <w:tc>
          <w:tcPr>
            <w:tcW w:w="624" w:type="pct"/>
            <w:vAlign w:val="bottom"/>
          </w:tcPr>
          <w:p w14:paraId="6D77B515" w14:textId="1027AC6A" w:rsidR="000B424D" w:rsidRPr="007301FA" w:rsidRDefault="000B424D" w:rsidP="000B424D">
            <w:pPr>
              <w:keepLines/>
              <w:tabs>
                <w:tab w:val="right" w:pos="1202"/>
              </w:tabs>
              <w:spacing w:line="220" w:lineRule="exact"/>
              <w:jc w:val="right"/>
              <w:outlineLvl w:val="0"/>
              <w:rPr>
                <w:rFonts w:ascii="Arial" w:eastAsia="Times New Roman" w:hAnsi="Arial" w:cs="Arial"/>
                <w:color w:val="000000"/>
                <w:sz w:val="18"/>
                <w:szCs w:val="18"/>
              </w:rPr>
            </w:pPr>
            <w:r w:rsidRPr="007301FA">
              <w:rPr>
                <w:rFonts w:ascii="Arial" w:hAnsi="Arial" w:cs="Arial"/>
                <w:sz w:val="18"/>
                <w:szCs w:val="18"/>
              </w:rPr>
              <w:t xml:space="preserve"> (74)</w:t>
            </w:r>
          </w:p>
        </w:tc>
      </w:tr>
      <w:tr w:rsidR="000B424D" w:rsidRPr="007301FA" w14:paraId="11344BA9" w14:textId="77777777" w:rsidTr="007301FA">
        <w:trPr>
          <w:trHeight w:hRule="exact" w:val="227"/>
        </w:trPr>
        <w:tc>
          <w:tcPr>
            <w:tcW w:w="3751" w:type="pct"/>
            <w:vAlign w:val="bottom"/>
          </w:tcPr>
          <w:p w14:paraId="3379D2E3" w14:textId="4B4BA31B" w:rsidR="000B424D" w:rsidRPr="007301FA" w:rsidRDefault="000B424D" w:rsidP="000B424D">
            <w:pPr>
              <w:keepLines/>
              <w:tabs>
                <w:tab w:val="right" w:pos="1202"/>
              </w:tabs>
              <w:spacing w:line="220" w:lineRule="exact"/>
              <w:outlineLvl w:val="0"/>
              <w:rPr>
                <w:rFonts w:ascii="Arial" w:eastAsia="Times New Roman" w:hAnsi="Arial" w:cs="Arial"/>
                <w:color w:val="000000"/>
                <w:sz w:val="18"/>
                <w:szCs w:val="18"/>
              </w:rPr>
            </w:pPr>
            <w:bookmarkStart w:id="192" w:name="_Toc67327184"/>
            <w:r w:rsidRPr="007301FA">
              <w:rPr>
                <w:rFonts w:ascii="Arial" w:eastAsia="Times New Roman" w:hAnsi="Arial" w:cs="Arial"/>
                <w:color w:val="000000"/>
                <w:sz w:val="18"/>
                <w:szCs w:val="18"/>
              </w:rPr>
              <w:t xml:space="preserve">Neto </w:t>
            </w:r>
            <w:r w:rsidR="00A52FE3">
              <w:rPr>
                <w:rFonts w:ascii="Arial" w:eastAsia="Times New Roman" w:hAnsi="Arial" w:cs="Arial"/>
                <w:color w:val="000000"/>
                <w:sz w:val="18"/>
                <w:szCs w:val="18"/>
              </w:rPr>
              <w:t>smanjenje/</w:t>
            </w:r>
            <w:r w:rsidRPr="00505224">
              <w:rPr>
                <w:rFonts w:ascii="Arial" w:eastAsia="Times New Roman" w:hAnsi="Arial" w:cs="Arial"/>
                <w:color w:val="000000"/>
                <w:sz w:val="18"/>
                <w:szCs w:val="18"/>
              </w:rPr>
              <w:t>(povećanje) ostale</w:t>
            </w:r>
            <w:r w:rsidRPr="007301FA">
              <w:rPr>
                <w:rFonts w:ascii="Arial" w:eastAsia="Times New Roman" w:hAnsi="Arial" w:cs="Arial"/>
                <w:color w:val="000000"/>
                <w:sz w:val="18"/>
                <w:szCs w:val="18"/>
              </w:rPr>
              <w:t xml:space="preserve"> imovine, prije rezerviranja za očekivane gubitke</w:t>
            </w:r>
            <w:bookmarkEnd w:id="192"/>
          </w:p>
        </w:tc>
        <w:tc>
          <w:tcPr>
            <w:tcW w:w="625" w:type="pct"/>
            <w:vAlign w:val="bottom"/>
          </w:tcPr>
          <w:p w14:paraId="639C198B" w14:textId="3BB18513" w:rsidR="000B424D" w:rsidRPr="007301FA" w:rsidRDefault="00A52FE3" w:rsidP="000B424D">
            <w:pPr>
              <w:keepLines/>
              <w:jc w:val="right"/>
              <w:rPr>
                <w:rFonts w:ascii="Arial" w:eastAsia="Times New Roman" w:hAnsi="Arial" w:cs="Arial"/>
                <w:color w:val="000000"/>
                <w:sz w:val="18"/>
                <w:szCs w:val="18"/>
              </w:rPr>
            </w:pPr>
            <w:r>
              <w:rPr>
                <w:rFonts w:ascii="Arial" w:eastAsia="Times New Roman" w:hAnsi="Arial" w:cs="Arial"/>
                <w:color w:val="000000"/>
                <w:sz w:val="18"/>
                <w:szCs w:val="18"/>
              </w:rPr>
              <w:t>3.984</w:t>
            </w:r>
          </w:p>
        </w:tc>
        <w:tc>
          <w:tcPr>
            <w:tcW w:w="624" w:type="pct"/>
            <w:vAlign w:val="bottom"/>
          </w:tcPr>
          <w:p w14:paraId="768CC37B" w14:textId="7E92D0B3" w:rsidR="000B424D" w:rsidRPr="007301FA" w:rsidRDefault="000B424D" w:rsidP="000B424D">
            <w:pPr>
              <w:keepLines/>
              <w:jc w:val="right"/>
              <w:rPr>
                <w:rFonts w:ascii="Arial" w:eastAsia="Times New Roman" w:hAnsi="Arial" w:cs="Arial"/>
                <w:color w:val="000000"/>
                <w:sz w:val="18"/>
                <w:szCs w:val="18"/>
              </w:rPr>
            </w:pPr>
            <w:r w:rsidRPr="007301FA">
              <w:rPr>
                <w:rFonts w:ascii="Arial" w:hAnsi="Arial" w:cs="Arial"/>
                <w:sz w:val="18"/>
                <w:szCs w:val="18"/>
              </w:rPr>
              <w:t xml:space="preserve"> (1.007)</w:t>
            </w:r>
          </w:p>
        </w:tc>
      </w:tr>
      <w:tr w:rsidR="000B424D" w:rsidRPr="007301FA" w14:paraId="28607970" w14:textId="77777777" w:rsidTr="007301FA">
        <w:trPr>
          <w:trHeight w:hRule="exact" w:val="227"/>
        </w:trPr>
        <w:tc>
          <w:tcPr>
            <w:tcW w:w="3751" w:type="pct"/>
            <w:vAlign w:val="bottom"/>
          </w:tcPr>
          <w:p w14:paraId="1E473D2E" w14:textId="249C2F33" w:rsidR="000B424D" w:rsidRPr="007301FA" w:rsidRDefault="000B424D" w:rsidP="000B424D">
            <w:pPr>
              <w:keepLines/>
              <w:tabs>
                <w:tab w:val="right" w:pos="1202"/>
              </w:tabs>
              <w:spacing w:line="220" w:lineRule="exact"/>
              <w:outlineLvl w:val="0"/>
              <w:rPr>
                <w:rFonts w:ascii="Arial" w:eastAsia="Times New Roman" w:hAnsi="Arial" w:cs="Arial"/>
                <w:color w:val="000000"/>
                <w:sz w:val="18"/>
                <w:szCs w:val="18"/>
              </w:rPr>
            </w:pPr>
            <w:bookmarkStart w:id="193" w:name="_Toc67327185"/>
            <w:r w:rsidRPr="00505224">
              <w:rPr>
                <w:rFonts w:ascii="Arial" w:eastAsia="Times New Roman" w:hAnsi="Arial" w:cs="Arial"/>
                <w:color w:val="000000"/>
                <w:sz w:val="18"/>
                <w:szCs w:val="18"/>
              </w:rPr>
              <w:t>Neto (smanjenje) depozita</w:t>
            </w:r>
            <w:r w:rsidRPr="007301FA">
              <w:rPr>
                <w:rFonts w:ascii="Arial" w:eastAsia="Times New Roman" w:hAnsi="Arial" w:cs="Arial"/>
                <w:color w:val="000000"/>
                <w:sz w:val="18"/>
                <w:szCs w:val="18"/>
              </w:rPr>
              <w:t xml:space="preserve"> banaka i trgovačkih društava</w:t>
            </w:r>
            <w:bookmarkEnd w:id="193"/>
          </w:p>
        </w:tc>
        <w:tc>
          <w:tcPr>
            <w:tcW w:w="625" w:type="pct"/>
            <w:vAlign w:val="bottom"/>
          </w:tcPr>
          <w:p w14:paraId="2E02DCB0" w14:textId="7F2C6B4F" w:rsidR="000B424D" w:rsidRPr="007301FA" w:rsidRDefault="00A52FE3" w:rsidP="000B424D">
            <w:pPr>
              <w:keepLines/>
              <w:jc w:val="right"/>
              <w:rPr>
                <w:rFonts w:ascii="Arial" w:eastAsia="Times New Roman" w:hAnsi="Arial" w:cs="Arial"/>
                <w:color w:val="000000"/>
                <w:sz w:val="18"/>
                <w:szCs w:val="18"/>
              </w:rPr>
            </w:pPr>
            <w:r>
              <w:rPr>
                <w:rFonts w:ascii="Arial" w:eastAsia="Times New Roman" w:hAnsi="Arial" w:cs="Arial"/>
                <w:color w:val="000000"/>
                <w:sz w:val="18"/>
                <w:szCs w:val="18"/>
              </w:rPr>
              <w:t>(16.347)</w:t>
            </w:r>
          </w:p>
        </w:tc>
        <w:tc>
          <w:tcPr>
            <w:tcW w:w="624" w:type="pct"/>
            <w:vAlign w:val="bottom"/>
          </w:tcPr>
          <w:p w14:paraId="3ED910A6" w14:textId="56D15EE3" w:rsidR="000B424D" w:rsidRPr="007301FA" w:rsidRDefault="000B424D" w:rsidP="000B424D">
            <w:pPr>
              <w:keepLines/>
              <w:jc w:val="right"/>
              <w:rPr>
                <w:rFonts w:ascii="Arial" w:eastAsia="Times New Roman" w:hAnsi="Arial" w:cs="Arial"/>
                <w:color w:val="000000"/>
                <w:sz w:val="18"/>
                <w:szCs w:val="18"/>
              </w:rPr>
            </w:pPr>
            <w:r w:rsidRPr="007301FA">
              <w:rPr>
                <w:rFonts w:ascii="Arial" w:hAnsi="Arial" w:cs="Arial"/>
                <w:sz w:val="18"/>
                <w:szCs w:val="18"/>
              </w:rPr>
              <w:t xml:space="preserve"> (31.482)</w:t>
            </w:r>
          </w:p>
        </w:tc>
      </w:tr>
      <w:tr w:rsidR="000B424D" w:rsidRPr="007301FA" w14:paraId="77BE5E9E" w14:textId="77777777" w:rsidTr="007301FA">
        <w:trPr>
          <w:trHeight w:hRule="exact" w:val="227"/>
        </w:trPr>
        <w:tc>
          <w:tcPr>
            <w:tcW w:w="3751" w:type="pct"/>
            <w:vAlign w:val="bottom"/>
          </w:tcPr>
          <w:p w14:paraId="181F7BF5" w14:textId="26F0E4E3" w:rsidR="000B424D" w:rsidRPr="007301FA" w:rsidRDefault="000B424D" w:rsidP="000B424D">
            <w:pPr>
              <w:keepLines/>
              <w:tabs>
                <w:tab w:val="right" w:pos="1202"/>
              </w:tabs>
              <w:spacing w:line="220" w:lineRule="exact"/>
              <w:outlineLvl w:val="0"/>
              <w:rPr>
                <w:rFonts w:ascii="Arial" w:eastAsia="Times New Roman" w:hAnsi="Arial" w:cs="Arial"/>
                <w:color w:val="000000"/>
                <w:spacing w:val="-2"/>
                <w:sz w:val="18"/>
                <w:szCs w:val="18"/>
              </w:rPr>
            </w:pPr>
            <w:bookmarkStart w:id="194" w:name="_Toc67327186"/>
            <w:r w:rsidRPr="007301FA">
              <w:rPr>
                <w:rFonts w:ascii="Arial" w:eastAsia="Times New Roman" w:hAnsi="Arial" w:cs="Arial"/>
                <w:color w:val="000000"/>
                <w:spacing w:val="-2"/>
                <w:sz w:val="18"/>
                <w:szCs w:val="18"/>
              </w:rPr>
              <w:t xml:space="preserve">Neto </w:t>
            </w:r>
            <w:r>
              <w:rPr>
                <w:rFonts w:ascii="Arial" w:eastAsia="Times New Roman" w:hAnsi="Arial" w:cs="Arial"/>
                <w:color w:val="000000"/>
                <w:spacing w:val="-2"/>
                <w:sz w:val="18"/>
                <w:szCs w:val="18"/>
              </w:rPr>
              <w:t>(smanjenje)</w:t>
            </w:r>
            <w:r w:rsidRPr="007301FA">
              <w:rPr>
                <w:rFonts w:ascii="Arial" w:eastAsia="Times New Roman" w:hAnsi="Arial" w:cs="Arial"/>
                <w:color w:val="000000"/>
                <w:spacing w:val="-2"/>
                <w:sz w:val="18"/>
                <w:szCs w:val="18"/>
              </w:rPr>
              <w:t xml:space="preserve"> ostalih obveza, prije rezerviranja</w:t>
            </w:r>
            <w:bookmarkEnd w:id="194"/>
          </w:p>
        </w:tc>
        <w:tc>
          <w:tcPr>
            <w:tcW w:w="625" w:type="pct"/>
            <w:tcBorders>
              <w:bottom w:val="single" w:sz="4" w:space="0" w:color="auto"/>
            </w:tcBorders>
            <w:vAlign w:val="bottom"/>
          </w:tcPr>
          <w:p w14:paraId="0AE3174F" w14:textId="059161E6" w:rsidR="000B424D" w:rsidRPr="007301FA" w:rsidRDefault="005E123F" w:rsidP="000B424D">
            <w:pPr>
              <w:keepLines/>
              <w:jc w:val="right"/>
              <w:rPr>
                <w:rFonts w:ascii="Arial" w:eastAsia="Times New Roman" w:hAnsi="Arial" w:cs="Arial"/>
                <w:color w:val="000000"/>
                <w:sz w:val="18"/>
                <w:szCs w:val="18"/>
              </w:rPr>
            </w:pPr>
            <w:r>
              <w:rPr>
                <w:rFonts w:ascii="Arial" w:eastAsia="Times New Roman" w:hAnsi="Arial" w:cs="Arial"/>
                <w:color w:val="000000"/>
                <w:sz w:val="18"/>
                <w:szCs w:val="18"/>
              </w:rPr>
              <w:t>(313)</w:t>
            </w:r>
          </w:p>
        </w:tc>
        <w:tc>
          <w:tcPr>
            <w:tcW w:w="624" w:type="pct"/>
            <w:tcBorders>
              <w:bottom w:val="single" w:sz="4" w:space="0" w:color="auto"/>
            </w:tcBorders>
            <w:vAlign w:val="bottom"/>
          </w:tcPr>
          <w:p w14:paraId="4501F91B" w14:textId="4F68CFAC" w:rsidR="000B424D" w:rsidRPr="007301FA" w:rsidRDefault="000B424D" w:rsidP="000B424D">
            <w:pPr>
              <w:keepLines/>
              <w:jc w:val="right"/>
              <w:rPr>
                <w:rFonts w:ascii="Arial" w:eastAsia="Times New Roman" w:hAnsi="Arial" w:cs="Arial"/>
                <w:color w:val="000000"/>
                <w:sz w:val="18"/>
                <w:szCs w:val="18"/>
              </w:rPr>
            </w:pPr>
            <w:r w:rsidRPr="007301FA">
              <w:rPr>
                <w:rFonts w:ascii="Arial" w:hAnsi="Arial" w:cs="Arial"/>
                <w:sz w:val="18"/>
                <w:szCs w:val="18"/>
              </w:rPr>
              <w:t xml:space="preserve"> (2.672)</w:t>
            </w:r>
          </w:p>
        </w:tc>
      </w:tr>
      <w:tr w:rsidR="000B424D" w:rsidRPr="007301FA" w14:paraId="7E881AAA" w14:textId="77777777" w:rsidTr="007301FA">
        <w:trPr>
          <w:trHeight w:val="228"/>
        </w:trPr>
        <w:tc>
          <w:tcPr>
            <w:tcW w:w="3751" w:type="pct"/>
            <w:vAlign w:val="bottom"/>
          </w:tcPr>
          <w:p w14:paraId="5D40BD1F" w14:textId="3B7ABBF8" w:rsidR="000B424D" w:rsidRPr="007301FA" w:rsidRDefault="000B424D" w:rsidP="000B424D">
            <w:pPr>
              <w:keepLines/>
              <w:tabs>
                <w:tab w:val="right" w:pos="1202"/>
              </w:tabs>
              <w:spacing w:line="220" w:lineRule="exact"/>
              <w:outlineLvl w:val="0"/>
              <w:rPr>
                <w:rFonts w:ascii="Arial" w:eastAsia="Times New Roman" w:hAnsi="Arial" w:cs="Arial"/>
                <w:b/>
                <w:bCs/>
                <w:color w:val="000000"/>
                <w:spacing w:val="-3"/>
                <w:sz w:val="18"/>
                <w:szCs w:val="18"/>
              </w:rPr>
            </w:pPr>
            <w:bookmarkStart w:id="195" w:name="_Toc67327187"/>
            <w:r w:rsidRPr="007301FA">
              <w:rPr>
                <w:rFonts w:ascii="Arial" w:eastAsia="Times New Roman" w:hAnsi="Arial" w:cs="Arial"/>
                <w:b/>
                <w:bCs/>
                <w:color w:val="000000"/>
                <w:sz w:val="18"/>
                <w:szCs w:val="18"/>
              </w:rPr>
              <w:t xml:space="preserve">Neto novčana </w:t>
            </w:r>
            <w:r w:rsidRPr="00505224">
              <w:rPr>
                <w:rFonts w:ascii="Arial" w:eastAsia="Times New Roman" w:hAnsi="Arial" w:cs="Arial"/>
                <w:b/>
                <w:bCs/>
                <w:color w:val="000000"/>
                <w:sz w:val="18"/>
                <w:szCs w:val="18"/>
              </w:rPr>
              <w:t xml:space="preserve">sredstva </w:t>
            </w:r>
            <w:r w:rsidR="005E123F">
              <w:rPr>
                <w:rFonts w:ascii="Arial" w:eastAsia="Times New Roman" w:hAnsi="Arial" w:cs="Arial"/>
                <w:b/>
                <w:bCs/>
                <w:color w:val="000000"/>
                <w:sz w:val="18"/>
                <w:szCs w:val="18"/>
              </w:rPr>
              <w:t>ostvarena/</w:t>
            </w:r>
            <w:r w:rsidRPr="00505224">
              <w:rPr>
                <w:rFonts w:ascii="Arial" w:eastAsia="Times New Roman" w:hAnsi="Arial" w:cs="Arial"/>
                <w:b/>
                <w:bCs/>
                <w:color w:val="000000"/>
                <w:sz w:val="18"/>
                <w:szCs w:val="18"/>
              </w:rPr>
              <w:t>(uporabljena) u</w:t>
            </w:r>
            <w:r w:rsidRPr="007301FA">
              <w:rPr>
                <w:rFonts w:ascii="Arial" w:eastAsia="Times New Roman" w:hAnsi="Arial" w:cs="Arial"/>
                <w:b/>
                <w:bCs/>
                <w:color w:val="000000"/>
                <w:sz w:val="18"/>
                <w:szCs w:val="18"/>
              </w:rPr>
              <w:t xml:space="preserve"> poslovnim aktivnostima</w:t>
            </w:r>
            <w:bookmarkEnd w:id="195"/>
            <w:r w:rsidRPr="007301FA">
              <w:rPr>
                <w:rFonts w:ascii="Arial" w:eastAsia="Times New Roman" w:hAnsi="Arial" w:cs="Arial"/>
                <w:b/>
                <w:bCs/>
                <w:color w:val="000000"/>
                <w:sz w:val="18"/>
                <w:szCs w:val="18"/>
              </w:rPr>
              <w:t xml:space="preserve"> </w:t>
            </w:r>
          </w:p>
        </w:tc>
        <w:tc>
          <w:tcPr>
            <w:tcW w:w="625" w:type="pct"/>
            <w:tcBorders>
              <w:top w:val="single" w:sz="4" w:space="0" w:color="auto"/>
              <w:bottom w:val="single" w:sz="12" w:space="0" w:color="auto"/>
            </w:tcBorders>
            <w:vAlign w:val="bottom"/>
          </w:tcPr>
          <w:p w14:paraId="17A4337E" w14:textId="6A1536E8" w:rsidR="000B424D" w:rsidRPr="007301FA" w:rsidRDefault="005E123F" w:rsidP="000B424D">
            <w:pPr>
              <w:spacing w:line="220" w:lineRule="exact"/>
              <w:jc w:val="right"/>
              <w:rPr>
                <w:rFonts w:ascii="Arial" w:eastAsia="Times New Roman" w:hAnsi="Arial" w:cs="Arial"/>
                <w:b/>
                <w:bCs/>
                <w:color w:val="000000"/>
                <w:spacing w:val="-2"/>
                <w:sz w:val="18"/>
                <w:szCs w:val="18"/>
              </w:rPr>
            </w:pPr>
            <w:r>
              <w:rPr>
                <w:rFonts w:ascii="Arial" w:eastAsia="Times New Roman" w:hAnsi="Arial" w:cs="Arial"/>
                <w:b/>
                <w:bCs/>
                <w:color w:val="000000"/>
                <w:spacing w:val="-2"/>
                <w:sz w:val="18"/>
                <w:szCs w:val="18"/>
              </w:rPr>
              <w:t>74.524</w:t>
            </w:r>
          </w:p>
        </w:tc>
        <w:tc>
          <w:tcPr>
            <w:tcW w:w="624" w:type="pct"/>
            <w:tcBorders>
              <w:top w:val="single" w:sz="4" w:space="0" w:color="auto"/>
              <w:bottom w:val="single" w:sz="12" w:space="0" w:color="auto"/>
            </w:tcBorders>
            <w:vAlign w:val="bottom"/>
          </w:tcPr>
          <w:p w14:paraId="11582B76" w14:textId="5D699B0F" w:rsidR="000B424D" w:rsidRPr="007301FA" w:rsidRDefault="000B424D" w:rsidP="000B424D">
            <w:pPr>
              <w:spacing w:line="220" w:lineRule="exact"/>
              <w:jc w:val="right"/>
              <w:rPr>
                <w:rFonts w:ascii="Arial" w:eastAsia="Times New Roman" w:hAnsi="Arial" w:cs="Arial"/>
                <w:b/>
                <w:bCs/>
                <w:color w:val="000000"/>
                <w:spacing w:val="-2"/>
                <w:sz w:val="18"/>
                <w:szCs w:val="18"/>
              </w:rPr>
            </w:pPr>
            <w:r w:rsidRPr="007301FA">
              <w:rPr>
                <w:rFonts w:ascii="Arial" w:hAnsi="Arial" w:cs="Arial"/>
                <w:b/>
                <w:bCs/>
                <w:sz w:val="18"/>
                <w:szCs w:val="18"/>
              </w:rPr>
              <w:t xml:space="preserve"> (217.960)</w:t>
            </w:r>
          </w:p>
        </w:tc>
      </w:tr>
      <w:tr w:rsidR="000B424D" w:rsidRPr="007301FA" w14:paraId="7D442A42" w14:textId="77777777" w:rsidTr="007301FA">
        <w:trPr>
          <w:trHeight w:hRule="exact" w:val="113"/>
        </w:trPr>
        <w:tc>
          <w:tcPr>
            <w:tcW w:w="3751" w:type="pct"/>
            <w:vAlign w:val="bottom"/>
          </w:tcPr>
          <w:p w14:paraId="4673F2EE" w14:textId="77777777" w:rsidR="000B424D" w:rsidRPr="007301FA" w:rsidRDefault="000B424D" w:rsidP="000B424D">
            <w:pPr>
              <w:keepLines/>
              <w:tabs>
                <w:tab w:val="right" w:pos="1202"/>
              </w:tabs>
              <w:spacing w:line="220" w:lineRule="exact"/>
              <w:outlineLvl w:val="0"/>
              <w:rPr>
                <w:rFonts w:ascii="Arial" w:eastAsia="Times New Roman" w:hAnsi="Arial" w:cs="Arial"/>
                <w:b/>
                <w:bCs/>
                <w:color w:val="000000"/>
                <w:sz w:val="18"/>
                <w:szCs w:val="18"/>
              </w:rPr>
            </w:pPr>
          </w:p>
        </w:tc>
        <w:tc>
          <w:tcPr>
            <w:tcW w:w="625" w:type="pct"/>
            <w:tcBorders>
              <w:top w:val="single" w:sz="12" w:space="0" w:color="auto"/>
            </w:tcBorders>
            <w:vAlign w:val="bottom"/>
          </w:tcPr>
          <w:p w14:paraId="693B6202" w14:textId="77777777" w:rsidR="000B424D" w:rsidRPr="007301FA" w:rsidRDefault="000B424D" w:rsidP="000B424D">
            <w:pPr>
              <w:keepLines/>
              <w:tabs>
                <w:tab w:val="right" w:pos="1202"/>
              </w:tabs>
              <w:spacing w:line="220" w:lineRule="exact"/>
              <w:jc w:val="right"/>
              <w:outlineLvl w:val="0"/>
              <w:rPr>
                <w:rFonts w:ascii="Arial" w:eastAsia="Times New Roman" w:hAnsi="Arial" w:cs="Arial"/>
                <w:b/>
                <w:bCs/>
                <w:color w:val="000000"/>
                <w:sz w:val="18"/>
                <w:szCs w:val="18"/>
              </w:rPr>
            </w:pPr>
          </w:p>
        </w:tc>
        <w:tc>
          <w:tcPr>
            <w:tcW w:w="624" w:type="pct"/>
            <w:tcBorders>
              <w:top w:val="single" w:sz="12" w:space="0" w:color="auto"/>
            </w:tcBorders>
            <w:vAlign w:val="bottom"/>
          </w:tcPr>
          <w:p w14:paraId="262BE6DB" w14:textId="77777777" w:rsidR="000B424D" w:rsidRPr="007301FA" w:rsidRDefault="000B424D" w:rsidP="000B424D">
            <w:pPr>
              <w:keepLines/>
              <w:tabs>
                <w:tab w:val="right" w:pos="1202"/>
              </w:tabs>
              <w:spacing w:line="220" w:lineRule="exact"/>
              <w:jc w:val="right"/>
              <w:outlineLvl w:val="0"/>
              <w:rPr>
                <w:rFonts w:ascii="Arial" w:eastAsia="Times New Roman" w:hAnsi="Arial" w:cs="Arial"/>
                <w:b/>
                <w:bCs/>
                <w:color w:val="000000"/>
                <w:sz w:val="18"/>
                <w:szCs w:val="18"/>
              </w:rPr>
            </w:pPr>
          </w:p>
        </w:tc>
      </w:tr>
      <w:tr w:rsidR="000B424D" w:rsidRPr="007301FA" w14:paraId="0CF54470" w14:textId="77777777" w:rsidTr="007301FA">
        <w:tc>
          <w:tcPr>
            <w:tcW w:w="3751" w:type="pct"/>
            <w:vAlign w:val="bottom"/>
          </w:tcPr>
          <w:p w14:paraId="3B1629DA" w14:textId="77777777" w:rsidR="000B424D" w:rsidRPr="007301FA" w:rsidRDefault="000B424D" w:rsidP="000B424D">
            <w:pPr>
              <w:keepLines/>
              <w:tabs>
                <w:tab w:val="right" w:pos="1202"/>
              </w:tabs>
              <w:spacing w:line="220" w:lineRule="exact"/>
              <w:outlineLvl w:val="0"/>
              <w:rPr>
                <w:rFonts w:ascii="Arial" w:eastAsia="Times New Roman" w:hAnsi="Arial" w:cs="Arial"/>
                <w:b/>
                <w:bCs/>
                <w:color w:val="000000"/>
                <w:sz w:val="18"/>
                <w:szCs w:val="18"/>
              </w:rPr>
            </w:pPr>
            <w:bookmarkStart w:id="196" w:name="_Toc67327188"/>
            <w:proofErr w:type="spellStart"/>
            <w:r w:rsidRPr="007301FA">
              <w:rPr>
                <w:rFonts w:ascii="Arial" w:eastAsia="Times New Roman" w:hAnsi="Arial" w:cs="Arial"/>
                <w:b/>
                <w:bCs/>
                <w:color w:val="000000"/>
                <w:sz w:val="18"/>
                <w:szCs w:val="18"/>
              </w:rPr>
              <w:t>Ulagateljske</w:t>
            </w:r>
            <w:proofErr w:type="spellEnd"/>
            <w:r w:rsidRPr="007301FA">
              <w:rPr>
                <w:rFonts w:ascii="Arial" w:eastAsia="Times New Roman" w:hAnsi="Arial" w:cs="Arial"/>
                <w:b/>
                <w:bCs/>
                <w:color w:val="000000"/>
                <w:sz w:val="18"/>
                <w:szCs w:val="18"/>
              </w:rPr>
              <w:t xml:space="preserve"> aktivnosti</w:t>
            </w:r>
            <w:bookmarkEnd w:id="196"/>
          </w:p>
        </w:tc>
        <w:tc>
          <w:tcPr>
            <w:tcW w:w="625" w:type="pct"/>
            <w:vAlign w:val="bottom"/>
          </w:tcPr>
          <w:p w14:paraId="5C505E0B" w14:textId="77777777" w:rsidR="000B424D" w:rsidRPr="007301FA" w:rsidRDefault="000B424D" w:rsidP="000B424D">
            <w:pPr>
              <w:keepLines/>
              <w:tabs>
                <w:tab w:val="right" w:pos="1202"/>
              </w:tabs>
              <w:spacing w:line="220" w:lineRule="exact"/>
              <w:jc w:val="right"/>
              <w:outlineLvl w:val="0"/>
              <w:rPr>
                <w:rFonts w:ascii="Arial" w:eastAsia="Times New Roman" w:hAnsi="Arial" w:cs="Arial"/>
                <w:b/>
                <w:bCs/>
                <w:color w:val="000000"/>
                <w:sz w:val="18"/>
                <w:szCs w:val="18"/>
              </w:rPr>
            </w:pPr>
          </w:p>
        </w:tc>
        <w:tc>
          <w:tcPr>
            <w:tcW w:w="624" w:type="pct"/>
            <w:vAlign w:val="bottom"/>
          </w:tcPr>
          <w:p w14:paraId="1234C1A3" w14:textId="77777777" w:rsidR="000B424D" w:rsidRPr="007301FA" w:rsidRDefault="000B424D" w:rsidP="000B424D">
            <w:pPr>
              <w:keepLines/>
              <w:tabs>
                <w:tab w:val="right" w:pos="1202"/>
              </w:tabs>
              <w:spacing w:line="220" w:lineRule="exact"/>
              <w:jc w:val="right"/>
              <w:outlineLvl w:val="0"/>
              <w:rPr>
                <w:rFonts w:ascii="Arial" w:eastAsia="Times New Roman" w:hAnsi="Arial" w:cs="Arial"/>
                <w:b/>
                <w:bCs/>
                <w:color w:val="000000"/>
                <w:sz w:val="18"/>
                <w:szCs w:val="18"/>
              </w:rPr>
            </w:pPr>
          </w:p>
        </w:tc>
      </w:tr>
      <w:tr w:rsidR="000B424D" w:rsidRPr="007301FA" w14:paraId="5B899A69" w14:textId="77777777" w:rsidTr="007301FA">
        <w:trPr>
          <w:trHeight w:hRule="exact" w:val="227"/>
        </w:trPr>
        <w:tc>
          <w:tcPr>
            <w:tcW w:w="3751" w:type="pct"/>
            <w:vAlign w:val="bottom"/>
          </w:tcPr>
          <w:p w14:paraId="384F3556" w14:textId="77777777" w:rsidR="000B424D" w:rsidRPr="007301FA" w:rsidRDefault="000B424D" w:rsidP="000B424D">
            <w:pPr>
              <w:keepLines/>
              <w:tabs>
                <w:tab w:val="right" w:pos="1202"/>
              </w:tabs>
              <w:spacing w:line="220" w:lineRule="exact"/>
              <w:outlineLvl w:val="0"/>
              <w:rPr>
                <w:rFonts w:ascii="Arial" w:eastAsia="Times New Roman" w:hAnsi="Arial" w:cs="Arial"/>
                <w:color w:val="000000"/>
                <w:sz w:val="18"/>
                <w:szCs w:val="18"/>
              </w:rPr>
            </w:pPr>
            <w:bookmarkStart w:id="197" w:name="_Toc67327189"/>
            <w:r w:rsidRPr="007301FA">
              <w:rPr>
                <w:rFonts w:ascii="Arial" w:eastAsia="Times New Roman" w:hAnsi="Arial" w:cs="Arial"/>
                <w:color w:val="000000"/>
                <w:sz w:val="18"/>
                <w:szCs w:val="18"/>
              </w:rPr>
              <w:t>Kupovina financijske imovine po fer vrijednosti kroz dobit ili gubitak</w:t>
            </w:r>
            <w:bookmarkEnd w:id="197"/>
          </w:p>
        </w:tc>
        <w:tc>
          <w:tcPr>
            <w:tcW w:w="625" w:type="pct"/>
            <w:shd w:val="clear" w:color="000000" w:fill="auto"/>
            <w:vAlign w:val="bottom"/>
          </w:tcPr>
          <w:p w14:paraId="51BDE401" w14:textId="142D88DA" w:rsidR="000B424D" w:rsidRPr="007301FA" w:rsidRDefault="005E123F" w:rsidP="000B424D">
            <w:pPr>
              <w:keepLines/>
              <w:tabs>
                <w:tab w:val="right" w:pos="1202"/>
              </w:tabs>
              <w:spacing w:line="22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pacing w:val="-2"/>
                <w:sz w:val="18"/>
                <w:szCs w:val="18"/>
              </w:rPr>
              <w:t>(81)</w:t>
            </w:r>
          </w:p>
        </w:tc>
        <w:tc>
          <w:tcPr>
            <w:tcW w:w="624" w:type="pct"/>
            <w:shd w:val="clear" w:color="000000" w:fill="auto"/>
            <w:vAlign w:val="bottom"/>
          </w:tcPr>
          <w:p w14:paraId="7CE0EA4E" w14:textId="052B231D" w:rsidR="000B424D" w:rsidRPr="007301FA" w:rsidRDefault="000B424D" w:rsidP="000B424D">
            <w:pPr>
              <w:keepLines/>
              <w:tabs>
                <w:tab w:val="right" w:pos="1202"/>
              </w:tabs>
              <w:spacing w:line="220" w:lineRule="exact"/>
              <w:jc w:val="right"/>
              <w:outlineLvl w:val="0"/>
              <w:rPr>
                <w:rFonts w:ascii="Arial" w:eastAsia="Times New Roman" w:hAnsi="Arial" w:cs="Arial"/>
                <w:color w:val="000000"/>
                <w:spacing w:val="-2"/>
                <w:sz w:val="18"/>
                <w:szCs w:val="18"/>
              </w:rPr>
            </w:pPr>
            <w:r w:rsidRPr="007301FA">
              <w:rPr>
                <w:rFonts w:ascii="Arial" w:hAnsi="Arial" w:cs="Arial"/>
                <w:sz w:val="18"/>
                <w:szCs w:val="18"/>
              </w:rPr>
              <w:t xml:space="preserve"> (762)</w:t>
            </w:r>
          </w:p>
        </w:tc>
      </w:tr>
      <w:tr w:rsidR="000B424D" w:rsidRPr="007301FA" w14:paraId="0ABF8921" w14:textId="77777777" w:rsidTr="007301FA">
        <w:trPr>
          <w:trHeight w:hRule="exact" w:val="227"/>
        </w:trPr>
        <w:tc>
          <w:tcPr>
            <w:tcW w:w="3751" w:type="pct"/>
            <w:vAlign w:val="bottom"/>
          </w:tcPr>
          <w:p w14:paraId="14C04643" w14:textId="77777777" w:rsidR="000B424D" w:rsidRPr="007301FA" w:rsidRDefault="000B424D" w:rsidP="000B424D">
            <w:pPr>
              <w:keepLines/>
              <w:tabs>
                <w:tab w:val="right" w:pos="1202"/>
              </w:tabs>
              <w:spacing w:line="220" w:lineRule="exact"/>
              <w:outlineLvl w:val="0"/>
              <w:rPr>
                <w:rFonts w:ascii="Arial" w:eastAsia="Times New Roman" w:hAnsi="Arial" w:cs="Arial"/>
                <w:color w:val="000000"/>
                <w:sz w:val="18"/>
                <w:szCs w:val="18"/>
              </w:rPr>
            </w:pPr>
            <w:bookmarkStart w:id="198" w:name="_Toc67327195"/>
            <w:r w:rsidRPr="007301FA">
              <w:rPr>
                <w:rFonts w:ascii="Arial" w:eastAsia="Times New Roman" w:hAnsi="Arial" w:cs="Arial"/>
                <w:color w:val="000000"/>
                <w:sz w:val="18"/>
                <w:szCs w:val="18"/>
              </w:rPr>
              <w:t>Kupovina financijske imovine po fer vrijednosti kroz ostalu sveobuhvatnu dobit</w:t>
            </w:r>
            <w:bookmarkEnd w:id="198"/>
          </w:p>
        </w:tc>
        <w:tc>
          <w:tcPr>
            <w:tcW w:w="625" w:type="pct"/>
            <w:shd w:val="clear" w:color="000000" w:fill="auto"/>
            <w:vAlign w:val="bottom"/>
          </w:tcPr>
          <w:p w14:paraId="2F5428F8" w14:textId="4C122ECA" w:rsidR="000B424D" w:rsidRPr="007301FA" w:rsidRDefault="005E123F" w:rsidP="000B424D">
            <w:pPr>
              <w:keepLines/>
              <w:tabs>
                <w:tab w:val="right" w:pos="1202"/>
              </w:tabs>
              <w:spacing w:line="22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pacing w:val="-2"/>
                <w:sz w:val="18"/>
                <w:szCs w:val="18"/>
              </w:rPr>
              <w:t>(25.235)</w:t>
            </w:r>
          </w:p>
        </w:tc>
        <w:tc>
          <w:tcPr>
            <w:tcW w:w="624" w:type="pct"/>
            <w:shd w:val="clear" w:color="000000" w:fill="auto"/>
            <w:vAlign w:val="bottom"/>
          </w:tcPr>
          <w:p w14:paraId="4AB48783" w14:textId="0295C0AC" w:rsidR="000B424D" w:rsidRPr="007301FA" w:rsidRDefault="000B424D" w:rsidP="000B424D">
            <w:pPr>
              <w:keepLines/>
              <w:tabs>
                <w:tab w:val="right" w:pos="1202"/>
              </w:tabs>
              <w:spacing w:line="220" w:lineRule="exact"/>
              <w:jc w:val="right"/>
              <w:outlineLvl w:val="0"/>
              <w:rPr>
                <w:rFonts w:ascii="Arial" w:eastAsia="Times New Roman" w:hAnsi="Arial" w:cs="Arial"/>
                <w:color w:val="000000"/>
                <w:spacing w:val="-2"/>
                <w:sz w:val="18"/>
                <w:szCs w:val="18"/>
              </w:rPr>
            </w:pPr>
            <w:r w:rsidRPr="007301FA">
              <w:rPr>
                <w:rFonts w:ascii="Arial" w:hAnsi="Arial" w:cs="Arial"/>
                <w:sz w:val="18"/>
                <w:szCs w:val="18"/>
              </w:rPr>
              <w:t xml:space="preserve"> (56.952)</w:t>
            </w:r>
          </w:p>
        </w:tc>
      </w:tr>
      <w:tr w:rsidR="000B424D" w:rsidRPr="007301FA" w14:paraId="392879A8" w14:textId="77777777" w:rsidTr="007301FA">
        <w:trPr>
          <w:trHeight w:hRule="exact" w:val="227"/>
        </w:trPr>
        <w:tc>
          <w:tcPr>
            <w:tcW w:w="3751" w:type="pct"/>
            <w:vAlign w:val="bottom"/>
          </w:tcPr>
          <w:p w14:paraId="70FC76F9" w14:textId="77777777" w:rsidR="000B424D" w:rsidRPr="007301FA" w:rsidRDefault="000B424D" w:rsidP="000B424D">
            <w:pPr>
              <w:keepLines/>
              <w:tabs>
                <w:tab w:val="right" w:pos="1202"/>
              </w:tabs>
              <w:spacing w:line="220" w:lineRule="exact"/>
              <w:outlineLvl w:val="0"/>
              <w:rPr>
                <w:rFonts w:ascii="Arial" w:eastAsia="Times New Roman" w:hAnsi="Arial" w:cs="Arial"/>
                <w:color w:val="000000"/>
                <w:sz w:val="18"/>
                <w:szCs w:val="18"/>
              </w:rPr>
            </w:pPr>
            <w:bookmarkStart w:id="199" w:name="_Toc67327198"/>
            <w:r w:rsidRPr="007301FA">
              <w:rPr>
                <w:rFonts w:ascii="Arial" w:eastAsia="Times New Roman" w:hAnsi="Arial" w:cs="Arial"/>
                <w:color w:val="000000"/>
                <w:sz w:val="18"/>
                <w:szCs w:val="18"/>
              </w:rPr>
              <w:t>Prodaja financijske imovine po fer vrijednosti kroz ostalu sveobuhvatnu dobit</w:t>
            </w:r>
            <w:bookmarkEnd w:id="199"/>
          </w:p>
        </w:tc>
        <w:tc>
          <w:tcPr>
            <w:tcW w:w="625" w:type="pct"/>
            <w:shd w:val="clear" w:color="000000" w:fill="auto"/>
            <w:vAlign w:val="bottom"/>
          </w:tcPr>
          <w:p w14:paraId="206D334F" w14:textId="028C1F66" w:rsidR="000B424D" w:rsidRPr="007301FA" w:rsidRDefault="005E123F" w:rsidP="000B424D">
            <w:pPr>
              <w:keepLines/>
              <w:tabs>
                <w:tab w:val="right" w:pos="1202"/>
              </w:tabs>
              <w:spacing w:line="22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pacing w:val="-2"/>
                <w:sz w:val="18"/>
                <w:szCs w:val="18"/>
              </w:rPr>
              <w:t>12.005</w:t>
            </w:r>
          </w:p>
        </w:tc>
        <w:tc>
          <w:tcPr>
            <w:tcW w:w="624" w:type="pct"/>
            <w:shd w:val="clear" w:color="000000" w:fill="auto"/>
            <w:vAlign w:val="bottom"/>
          </w:tcPr>
          <w:p w14:paraId="18561320" w14:textId="05D41444" w:rsidR="000B424D" w:rsidRPr="007301FA" w:rsidRDefault="000B424D" w:rsidP="000B424D">
            <w:pPr>
              <w:keepLines/>
              <w:tabs>
                <w:tab w:val="right" w:pos="1202"/>
              </w:tabs>
              <w:spacing w:line="220" w:lineRule="exact"/>
              <w:jc w:val="right"/>
              <w:outlineLvl w:val="0"/>
              <w:rPr>
                <w:rFonts w:ascii="Arial" w:eastAsia="Times New Roman" w:hAnsi="Arial" w:cs="Arial"/>
                <w:color w:val="000000"/>
                <w:spacing w:val="-2"/>
                <w:sz w:val="18"/>
                <w:szCs w:val="18"/>
              </w:rPr>
            </w:pPr>
            <w:r w:rsidRPr="007301FA">
              <w:rPr>
                <w:rFonts w:ascii="Arial" w:hAnsi="Arial" w:cs="Arial"/>
                <w:sz w:val="18"/>
                <w:szCs w:val="18"/>
              </w:rPr>
              <w:t xml:space="preserve"> 70.343 </w:t>
            </w:r>
          </w:p>
        </w:tc>
      </w:tr>
      <w:tr w:rsidR="000B424D" w:rsidRPr="007301FA" w14:paraId="1D5F0533" w14:textId="77777777" w:rsidTr="007301FA">
        <w:trPr>
          <w:trHeight w:hRule="exact" w:val="227"/>
        </w:trPr>
        <w:tc>
          <w:tcPr>
            <w:tcW w:w="3751" w:type="pct"/>
            <w:vAlign w:val="bottom"/>
          </w:tcPr>
          <w:p w14:paraId="632D1774" w14:textId="77777777" w:rsidR="000B424D" w:rsidRPr="007301FA" w:rsidRDefault="000B424D" w:rsidP="000B424D">
            <w:pPr>
              <w:keepLines/>
              <w:tabs>
                <w:tab w:val="right" w:pos="1202"/>
              </w:tabs>
              <w:spacing w:line="220" w:lineRule="exact"/>
              <w:outlineLvl w:val="0"/>
              <w:rPr>
                <w:rFonts w:ascii="Arial" w:eastAsia="Times New Roman" w:hAnsi="Arial" w:cs="Arial"/>
                <w:color w:val="000000"/>
                <w:spacing w:val="-2"/>
                <w:sz w:val="18"/>
                <w:szCs w:val="18"/>
              </w:rPr>
            </w:pPr>
            <w:bookmarkStart w:id="200" w:name="_Toc67327204"/>
            <w:r w:rsidRPr="007301FA">
              <w:rPr>
                <w:rFonts w:ascii="Arial" w:eastAsia="Times New Roman" w:hAnsi="Arial" w:cs="Arial"/>
                <w:color w:val="000000"/>
                <w:spacing w:val="-2"/>
                <w:sz w:val="18"/>
                <w:szCs w:val="18"/>
              </w:rPr>
              <w:t>Neto nabava nekretnina, postrojenja i opreme i nematerijalne imovine</w:t>
            </w:r>
            <w:bookmarkEnd w:id="200"/>
          </w:p>
        </w:tc>
        <w:tc>
          <w:tcPr>
            <w:tcW w:w="625" w:type="pct"/>
            <w:tcBorders>
              <w:bottom w:val="single" w:sz="4" w:space="0" w:color="auto"/>
            </w:tcBorders>
            <w:shd w:val="clear" w:color="000000" w:fill="auto"/>
            <w:vAlign w:val="bottom"/>
          </w:tcPr>
          <w:p w14:paraId="53E9982D" w14:textId="317D973D" w:rsidR="000B424D" w:rsidRPr="007301FA" w:rsidRDefault="005E123F" w:rsidP="000B424D">
            <w:pPr>
              <w:keepLines/>
              <w:jc w:val="right"/>
              <w:rPr>
                <w:rFonts w:ascii="Arial" w:eastAsia="Times New Roman" w:hAnsi="Arial" w:cs="Arial"/>
                <w:color w:val="000000"/>
                <w:spacing w:val="-2"/>
                <w:sz w:val="18"/>
                <w:szCs w:val="18"/>
              </w:rPr>
            </w:pPr>
            <w:r>
              <w:rPr>
                <w:rFonts w:ascii="Arial" w:eastAsia="Times New Roman" w:hAnsi="Arial" w:cs="Arial"/>
                <w:color w:val="000000"/>
                <w:spacing w:val="-2"/>
                <w:sz w:val="18"/>
                <w:szCs w:val="18"/>
              </w:rPr>
              <w:t>(239)</w:t>
            </w:r>
          </w:p>
        </w:tc>
        <w:tc>
          <w:tcPr>
            <w:tcW w:w="624" w:type="pct"/>
            <w:tcBorders>
              <w:bottom w:val="single" w:sz="4" w:space="0" w:color="auto"/>
            </w:tcBorders>
            <w:shd w:val="clear" w:color="000000" w:fill="auto"/>
            <w:vAlign w:val="bottom"/>
          </w:tcPr>
          <w:p w14:paraId="437FEAC9" w14:textId="6D4A3E70" w:rsidR="000B424D" w:rsidRPr="007301FA" w:rsidRDefault="000B424D" w:rsidP="000B424D">
            <w:pPr>
              <w:keepLines/>
              <w:jc w:val="right"/>
              <w:rPr>
                <w:rFonts w:ascii="Arial" w:eastAsia="Times New Roman" w:hAnsi="Arial" w:cs="Arial"/>
                <w:color w:val="000000"/>
                <w:spacing w:val="-2"/>
                <w:sz w:val="18"/>
                <w:szCs w:val="18"/>
              </w:rPr>
            </w:pPr>
            <w:r w:rsidRPr="007301FA">
              <w:rPr>
                <w:rFonts w:ascii="Arial" w:hAnsi="Arial" w:cs="Arial"/>
                <w:sz w:val="18"/>
                <w:szCs w:val="18"/>
              </w:rPr>
              <w:t xml:space="preserve"> (132)</w:t>
            </w:r>
          </w:p>
        </w:tc>
      </w:tr>
      <w:tr w:rsidR="000B424D" w:rsidRPr="007301FA" w14:paraId="4E01B961" w14:textId="77777777" w:rsidTr="007301FA">
        <w:trPr>
          <w:trHeight w:val="196"/>
        </w:trPr>
        <w:tc>
          <w:tcPr>
            <w:tcW w:w="3751" w:type="pct"/>
            <w:vAlign w:val="bottom"/>
          </w:tcPr>
          <w:p w14:paraId="615749BF" w14:textId="3D2C5ED7" w:rsidR="000B424D" w:rsidRPr="007301FA" w:rsidRDefault="000B424D" w:rsidP="000B424D">
            <w:pPr>
              <w:keepLines/>
              <w:tabs>
                <w:tab w:val="right" w:pos="1202"/>
              </w:tabs>
              <w:spacing w:line="220" w:lineRule="exact"/>
              <w:outlineLvl w:val="0"/>
              <w:rPr>
                <w:rFonts w:ascii="Arial" w:eastAsia="Times New Roman" w:hAnsi="Arial" w:cs="Arial"/>
                <w:b/>
                <w:bCs/>
                <w:color w:val="000000"/>
                <w:sz w:val="18"/>
                <w:szCs w:val="18"/>
              </w:rPr>
            </w:pPr>
            <w:bookmarkStart w:id="201" w:name="_Toc67327205"/>
            <w:r w:rsidRPr="007301FA">
              <w:rPr>
                <w:rFonts w:ascii="Arial" w:eastAsia="Times New Roman" w:hAnsi="Arial" w:cs="Arial"/>
                <w:b/>
                <w:bCs/>
                <w:color w:val="000000"/>
                <w:sz w:val="18"/>
                <w:szCs w:val="18"/>
              </w:rPr>
              <w:t xml:space="preserve">Neto novčana sredstva </w:t>
            </w:r>
            <w:r w:rsidR="005E123F">
              <w:rPr>
                <w:rFonts w:ascii="Arial" w:eastAsia="Times New Roman" w:hAnsi="Arial" w:cs="Arial"/>
                <w:b/>
                <w:bCs/>
                <w:color w:val="000000"/>
                <w:sz w:val="18"/>
                <w:szCs w:val="18"/>
              </w:rPr>
              <w:t>(uporabljena)/</w:t>
            </w:r>
            <w:r w:rsidRPr="00505224">
              <w:rPr>
                <w:rFonts w:ascii="Arial" w:eastAsia="Times New Roman" w:hAnsi="Arial" w:cs="Arial"/>
                <w:b/>
                <w:bCs/>
                <w:color w:val="000000"/>
                <w:sz w:val="18"/>
                <w:szCs w:val="18"/>
              </w:rPr>
              <w:t>ostvarena</w:t>
            </w:r>
            <w:r w:rsidRPr="007301FA">
              <w:rPr>
                <w:rFonts w:ascii="Arial" w:eastAsia="Times New Roman" w:hAnsi="Arial" w:cs="Arial"/>
                <w:b/>
                <w:bCs/>
                <w:color w:val="000000"/>
                <w:sz w:val="18"/>
                <w:szCs w:val="18"/>
              </w:rPr>
              <w:t xml:space="preserve"> u </w:t>
            </w:r>
            <w:proofErr w:type="spellStart"/>
            <w:r w:rsidRPr="007301FA">
              <w:rPr>
                <w:rFonts w:ascii="Arial" w:eastAsia="Times New Roman" w:hAnsi="Arial" w:cs="Arial"/>
                <w:b/>
                <w:bCs/>
                <w:color w:val="000000"/>
                <w:sz w:val="18"/>
                <w:szCs w:val="18"/>
              </w:rPr>
              <w:t>ulagateljskim</w:t>
            </w:r>
            <w:proofErr w:type="spellEnd"/>
            <w:r w:rsidRPr="007301FA">
              <w:rPr>
                <w:rFonts w:ascii="Arial" w:eastAsia="Times New Roman" w:hAnsi="Arial" w:cs="Arial"/>
                <w:b/>
                <w:bCs/>
                <w:color w:val="000000"/>
                <w:sz w:val="18"/>
                <w:szCs w:val="18"/>
              </w:rPr>
              <w:t xml:space="preserve"> aktivnostima</w:t>
            </w:r>
            <w:bookmarkEnd w:id="201"/>
          </w:p>
        </w:tc>
        <w:tc>
          <w:tcPr>
            <w:tcW w:w="625" w:type="pct"/>
            <w:tcBorders>
              <w:top w:val="single" w:sz="4" w:space="0" w:color="auto"/>
              <w:bottom w:val="single" w:sz="12" w:space="0" w:color="auto"/>
            </w:tcBorders>
            <w:vAlign w:val="bottom"/>
          </w:tcPr>
          <w:p w14:paraId="6CB50484" w14:textId="7C2C4EC7" w:rsidR="000B424D" w:rsidRPr="007301FA" w:rsidRDefault="005E123F" w:rsidP="000B424D">
            <w:pPr>
              <w:spacing w:line="220" w:lineRule="exact"/>
              <w:jc w:val="right"/>
              <w:rPr>
                <w:rFonts w:ascii="Arial" w:eastAsia="Times New Roman" w:hAnsi="Arial" w:cs="Arial"/>
                <w:b/>
                <w:bCs/>
                <w:color w:val="000000"/>
                <w:spacing w:val="-2"/>
                <w:sz w:val="18"/>
                <w:szCs w:val="18"/>
              </w:rPr>
            </w:pPr>
            <w:r>
              <w:rPr>
                <w:rFonts w:ascii="Arial" w:eastAsia="Times New Roman" w:hAnsi="Arial" w:cs="Arial"/>
                <w:b/>
                <w:bCs/>
                <w:color w:val="000000"/>
                <w:spacing w:val="-2"/>
                <w:sz w:val="18"/>
                <w:szCs w:val="18"/>
              </w:rPr>
              <w:t>(13.550)</w:t>
            </w:r>
          </w:p>
        </w:tc>
        <w:tc>
          <w:tcPr>
            <w:tcW w:w="624" w:type="pct"/>
            <w:tcBorders>
              <w:top w:val="single" w:sz="4" w:space="0" w:color="auto"/>
              <w:bottom w:val="single" w:sz="12" w:space="0" w:color="auto"/>
            </w:tcBorders>
            <w:vAlign w:val="bottom"/>
          </w:tcPr>
          <w:p w14:paraId="777B3DE0" w14:textId="3E9F5695" w:rsidR="000B424D" w:rsidRPr="007301FA" w:rsidRDefault="000B424D" w:rsidP="000B424D">
            <w:pPr>
              <w:spacing w:line="220" w:lineRule="exact"/>
              <w:jc w:val="right"/>
              <w:rPr>
                <w:rFonts w:ascii="Arial" w:eastAsia="Times New Roman" w:hAnsi="Arial" w:cs="Arial"/>
                <w:b/>
                <w:bCs/>
                <w:color w:val="000000"/>
                <w:spacing w:val="-2"/>
                <w:sz w:val="18"/>
                <w:szCs w:val="18"/>
              </w:rPr>
            </w:pPr>
            <w:r w:rsidRPr="007301FA">
              <w:rPr>
                <w:rFonts w:ascii="Arial" w:hAnsi="Arial" w:cs="Arial"/>
                <w:b/>
                <w:bCs/>
                <w:sz w:val="18"/>
                <w:szCs w:val="18"/>
              </w:rPr>
              <w:t xml:space="preserve"> 12.497 </w:t>
            </w:r>
          </w:p>
        </w:tc>
      </w:tr>
      <w:tr w:rsidR="000B424D" w:rsidRPr="007301FA" w14:paraId="178E07D4" w14:textId="77777777" w:rsidTr="007301FA">
        <w:trPr>
          <w:trHeight w:hRule="exact" w:val="113"/>
        </w:trPr>
        <w:tc>
          <w:tcPr>
            <w:tcW w:w="3751" w:type="pct"/>
            <w:vAlign w:val="bottom"/>
          </w:tcPr>
          <w:p w14:paraId="33319395" w14:textId="77777777" w:rsidR="000B424D" w:rsidRPr="007301FA" w:rsidRDefault="000B424D" w:rsidP="000B424D">
            <w:pPr>
              <w:keepLines/>
              <w:tabs>
                <w:tab w:val="right" w:pos="1202"/>
              </w:tabs>
              <w:spacing w:line="220" w:lineRule="exact"/>
              <w:outlineLvl w:val="0"/>
              <w:rPr>
                <w:rFonts w:ascii="Arial" w:eastAsia="Times New Roman" w:hAnsi="Arial" w:cs="Arial"/>
                <w:b/>
                <w:bCs/>
                <w:color w:val="000000"/>
                <w:sz w:val="18"/>
                <w:szCs w:val="18"/>
              </w:rPr>
            </w:pPr>
          </w:p>
        </w:tc>
        <w:tc>
          <w:tcPr>
            <w:tcW w:w="625" w:type="pct"/>
            <w:tcBorders>
              <w:top w:val="single" w:sz="12" w:space="0" w:color="auto"/>
            </w:tcBorders>
            <w:vAlign w:val="bottom"/>
          </w:tcPr>
          <w:p w14:paraId="0FF790B3" w14:textId="77777777" w:rsidR="000B424D" w:rsidRPr="007301FA" w:rsidRDefault="000B424D" w:rsidP="000B424D">
            <w:pPr>
              <w:keepLines/>
              <w:tabs>
                <w:tab w:val="right" w:pos="1202"/>
              </w:tabs>
              <w:spacing w:line="220" w:lineRule="exact"/>
              <w:jc w:val="right"/>
              <w:outlineLvl w:val="0"/>
              <w:rPr>
                <w:rFonts w:ascii="Arial" w:eastAsia="Times New Roman" w:hAnsi="Arial" w:cs="Arial"/>
                <w:b/>
                <w:bCs/>
                <w:color w:val="000000"/>
                <w:sz w:val="18"/>
                <w:szCs w:val="18"/>
              </w:rPr>
            </w:pPr>
          </w:p>
        </w:tc>
        <w:tc>
          <w:tcPr>
            <w:tcW w:w="624" w:type="pct"/>
            <w:tcBorders>
              <w:top w:val="single" w:sz="12" w:space="0" w:color="auto"/>
            </w:tcBorders>
            <w:vAlign w:val="bottom"/>
          </w:tcPr>
          <w:p w14:paraId="2776E724" w14:textId="77777777" w:rsidR="000B424D" w:rsidRPr="007301FA" w:rsidRDefault="000B424D" w:rsidP="000B424D">
            <w:pPr>
              <w:keepLines/>
              <w:tabs>
                <w:tab w:val="right" w:pos="1202"/>
              </w:tabs>
              <w:spacing w:line="220" w:lineRule="exact"/>
              <w:jc w:val="right"/>
              <w:outlineLvl w:val="0"/>
              <w:rPr>
                <w:rFonts w:ascii="Arial" w:eastAsia="Times New Roman" w:hAnsi="Arial" w:cs="Arial"/>
                <w:b/>
                <w:bCs/>
                <w:color w:val="000000"/>
                <w:sz w:val="18"/>
                <w:szCs w:val="18"/>
              </w:rPr>
            </w:pPr>
          </w:p>
        </w:tc>
      </w:tr>
      <w:tr w:rsidR="000B424D" w:rsidRPr="007301FA" w14:paraId="01434BAA" w14:textId="77777777" w:rsidTr="007301FA">
        <w:tc>
          <w:tcPr>
            <w:tcW w:w="3751" w:type="pct"/>
            <w:vAlign w:val="bottom"/>
          </w:tcPr>
          <w:p w14:paraId="3ECF08E3" w14:textId="77777777" w:rsidR="000B424D" w:rsidRPr="007301FA" w:rsidRDefault="000B424D" w:rsidP="000B424D">
            <w:pPr>
              <w:keepLines/>
              <w:tabs>
                <w:tab w:val="right" w:pos="1202"/>
              </w:tabs>
              <w:spacing w:line="220" w:lineRule="exact"/>
              <w:outlineLvl w:val="0"/>
              <w:rPr>
                <w:rFonts w:ascii="Arial" w:eastAsia="Times New Roman" w:hAnsi="Arial" w:cs="Arial"/>
                <w:b/>
                <w:bCs/>
                <w:color w:val="000000"/>
                <w:spacing w:val="-3"/>
                <w:sz w:val="18"/>
                <w:szCs w:val="18"/>
              </w:rPr>
            </w:pPr>
            <w:bookmarkStart w:id="202" w:name="_Toc67327206"/>
            <w:r w:rsidRPr="007301FA">
              <w:rPr>
                <w:rFonts w:ascii="Arial" w:eastAsia="Times New Roman" w:hAnsi="Arial" w:cs="Arial"/>
                <w:b/>
                <w:bCs/>
                <w:color w:val="000000"/>
                <w:sz w:val="18"/>
                <w:szCs w:val="18"/>
              </w:rPr>
              <w:t>Financijske aktivnosti</w:t>
            </w:r>
            <w:bookmarkEnd w:id="202"/>
          </w:p>
        </w:tc>
        <w:tc>
          <w:tcPr>
            <w:tcW w:w="625" w:type="pct"/>
            <w:vAlign w:val="bottom"/>
          </w:tcPr>
          <w:p w14:paraId="2794C123" w14:textId="77777777" w:rsidR="000B424D" w:rsidRPr="007301FA" w:rsidRDefault="000B424D" w:rsidP="000B424D">
            <w:pPr>
              <w:keepLines/>
              <w:tabs>
                <w:tab w:val="right" w:pos="1202"/>
              </w:tabs>
              <w:spacing w:line="220" w:lineRule="exact"/>
              <w:jc w:val="right"/>
              <w:outlineLvl w:val="0"/>
              <w:rPr>
                <w:rFonts w:ascii="Arial" w:eastAsia="Times New Roman" w:hAnsi="Arial" w:cs="Arial"/>
                <w:b/>
                <w:bCs/>
                <w:color w:val="000000"/>
                <w:sz w:val="18"/>
                <w:szCs w:val="18"/>
              </w:rPr>
            </w:pPr>
          </w:p>
        </w:tc>
        <w:tc>
          <w:tcPr>
            <w:tcW w:w="624" w:type="pct"/>
            <w:vAlign w:val="bottom"/>
          </w:tcPr>
          <w:p w14:paraId="10C218EF" w14:textId="77777777" w:rsidR="000B424D" w:rsidRPr="007301FA" w:rsidRDefault="000B424D" w:rsidP="000B424D">
            <w:pPr>
              <w:keepLines/>
              <w:tabs>
                <w:tab w:val="right" w:pos="1202"/>
              </w:tabs>
              <w:spacing w:line="220" w:lineRule="exact"/>
              <w:jc w:val="right"/>
              <w:outlineLvl w:val="0"/>
              <w:rPr>
                <w:rFonts w:ascii="Arial" w:eastAsia="Times New Roman" w:hAnsi="Arial" w:cs="Arial"/>
                <w:b/>
                <w:bCs/>
                <w:color w:val="000000"/>
                <w:sz w:val="18"/>
                <w:szCs w:val="18"/>
              </w:rPr>
            </w:pPr>
          </w:p>
        </w:tc>
      </w:tr>
      <w:tr w:rsidR="000B424D" w:rsidRPr="007301FA" w14:paraId="6E213763" w14:textId="77777777" w:rsidTr="007301FA">
        <w:trPr>
          <w:trHeight w:hRule="exact" w:val="227"/>
        </w:trPr>
        <w:tc>
          <w:tcPr>
            <w:tcW w:w="3751" w:type="pct"/>
            <w:vAlign w:val="bottom"/>
          </w:tcPr>
          <w:p w14:paraId="0DBA6D23" w14:textId="77777777" w:rsidR="000B424D" w:rsidRPr="007301FA" w:rsidRDefault="000B424D" w:rsidP="000B424D">
            <w:pPr>
              <w:keepLines/>
              <w:tabs>
                <w:tab w:val="right" w:pos="1202"/>
              </w:tabs>
              <w:spacing w:line="220" w:lineRule="exact"/>
              <w:outlineLvl w:val="0"/>
              <w:rPr>
                <w:rFonts w:ascii="Arial" w:eastAsia="Times New Roman" w:hAnsi="Arial" w:cs="Arial"/>
                <w:color w:val="000000"/>
                <w:spacing w:val="-3"/>
                <w:sz w:val="18"/>
                <w:szCs w:val="18"/>
              </w:rPr>
            </w:pPr>
            <w:bookmarkStart w:id="203" w:name="_Toc67327207"/>
            <w:r w:rsidRPr="007301FA">
              <w:rPr>
                <w:rFonts w:ascii="Arial" w:eastAsia="Times New Roman" w:hAnsi="Arial" w:cs="Arial"/>
                <w:color w:val="000000"/>
                <w:spacing w:val="-3"/>
                <w:sz w:val="18"/>
                <w:szCs w:val="18"/>
              </w:rPr>
              <w:t>Povećanje osnivačkog kapitala</w:t>
            </w:r>
            <w:bookmarkEnd w:id="203"/>
          </w:p>
        </w:tc>
        <w:tc>
          <w:tcPr>
            <w:tcW w:w="625" w:type="pct"/>
            <w:shd w:val="clear" w:color="auto" w:fill="auto"/>
            <w:vAlign w:val="bottom"/>
          </w:tcPr>
          <w:p w14:paraId="43F989EB" w14:textId="18FA7BCD" w:rsidR="000B424D" w:rsidRPr="007301FA" w:rsidRDefault="005E123F" w:rsidP="000B424D">
            <w:pPr>
              <w:keepLines/>
              <w:tabs>
                <w:tab w:val="right" w:pos="1202"/>
              </w:tabs>
              <w:spacing w:line="22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pacing w:val="-2"/>
                <w:sz w:val="18"/>
                <w:szCs w:val="18"/>
              </w:rPr>
              <w:t>-</w:t>
            </w:r>
          </w:p>
        </w:tc>
        <w:tc>
          <w:tcPr>
            <w:tcW w:w="624" w:type="pct"/>
            <w:shd w:val="clear" w:color="auto" w:fill="auto"/>
            <w:vAlign w:val="bottom"/>
          </w:tcPr>
          <w:p w14:paraId="572CD62C" w14:textId="54CC2F30" w:rsidR="000B424D" w:rsidRPr="007301FA" w:rsidRDefault="000B424D" w:rsidP="000B424D">
            <w:pPr>
              <w:keepLines/>
              <w:tabs>
                <w:tab w:val="right" w:pos="1202"/>
              </w:tabs>
              <w:spacing w:line="220" w:lineRule="exact"/>
              <w:jc w:val="right"/>
              <w:outlineLvl w:val="0"/>
              <w:rPr>
                <w:rFonts w:ascii="Arial" w:eastAsia="Times New Roman" w:hAnsi="Arial" w:cs="Arial"/>
                <w:color w:val="000000"/>
                <w:sz w:val="18"/>
                <w:szCs w:val="18"/>
              </w:rPr>
            </w:pPr>
            <w:r w:rsidRPr="007301FA">
              <w:rPr>
                <w:rFonts w:ascii="Arial" w:hAnsi="Arial" w:cs="Arial"/>
                <w:sz w:val="18"/>
                <w:szCs w:val="18"/>
              </w:rPr>
              <w:t xml:space="preserve"> -    </w:t>
            </w:r>
          </w:p>
        </w:tc>
      </w:tr>
      <w:tr w:rsidR="000B424D" w:rsidRPr="007301FA" w14:paraId="1B45A11F" w14:textId="77777777" w:rsidTr="007301FA">
        <w:trPr>
          <w:trHeight w:hRule="exact" w:val="227"/>
        </w:trPr>
        <w:tc>
          <w:tcPr>
            <w:tcW w:w="3751" w:type="pct"/>
            <w:vAlign w:val="bottom"/>
          </w:tcPr>
          <w:p w14:paraId="0B56D644" w14:textId="77777777" w:rsidR="000B424D" w:rsidRPr="007301FA" w:rsidRDefault="000B424D" w:rsidP="000B424D">
            <w:pPr>
              <w:keepLines/>
              <w:tabs>
                <w:tab w:val="right" w:pos="1202"/>
              </w:tabs>
              <w:spacing w:line="220" w:lineRule="exact"/>
              <w:outlineLvl w:val="0"/>
              <w:rPr>
                <w:rFonts w:ascii="Arial" w:eastAsia="Times New Roman" w:hAnsi="Arial" w:cs="Arial"/>
                <w:color w:val="000000"/>
                <w:spacing w:val="-3"/>
                <w:sz w:val="18"/>
                <w:szCs w:val="18"/>
              </w:rPr>
            </w:pPr>
            <w:bookmarkStart w:id="204" w:name="_Toc67327210"/>
            <w:r w:rsidRPr="007301FA">
              <w:rPr>
                <w:rFonts w:ascii="Arial" w:eastAsia="Times New Roman" w:hAnsi="Arial" w:cs="Arial"/>
                <w:color w:val="000000"/>
                <w:spacing w:val="-3"/>
                <w:sz w:val="18"/>
                <w:szCs w:val="18"/>
              </w:rPr>
              <w:t>Povećanje obveza po kreditima povlačenjem sredstava kredita</w:t>
            </w:r>
            <w:bookmarkEnd w:id="204"/>
          </w:p>
        </w:tc>
        <w:tc>
          <w:tcPr>
            <w:tcW w:w="625" w:type="pct"/>
            <w:shd w:val="clear" w:color="auto" w:fill="auto"/>
            <w:vAlign w:val="bottom"/>
          </w:tcPr>
          <w:p w14:paraId="1D66A793" w14:textId="7B7EAA2D" w:rsidR="000B424D" w:rsidRPr="007301FA" w:rsidRDefault="005E123F" w:rsidP="000B424D">
            <w:pPr>
              <w:keepLines/>
              <w:tabs>
                <w:tab w:val="right" w:pos="1202"/>
              </w:tabs>
              <w:spacing w:line="22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pacing w:val="-2"/>
                <w:sz w:val="18"/>
                <w:szCs w:val="18"/>
              </w:rPr>
              <w:t>196.931</w:t>
            </w:r>
          </w:p>
        </w:tc>
        <w:tc>
          <w:tcPr>
            <w:tcW w:w="624" w:type="pct"/>
            <w:shd w:val="clear" w:color="auto" w:fill="auto"/>
            <w:vAlign w:val="bottom"/>
          </w:tcPr>
          <w:p w14:paraId="06378713" w14:textId="507DEA86" w:rsidR="000B424D" w:rsidRPr="007301FA" w:rsidRDefault="000B424D" w:rsidP="000B424D">
            <w:pPr>
              <w:keepLines/>
              <w:tabs>
                <w:tab w:val="right" w:pos="1202"/>
              </w:tabs>
              <w:spacing w:line="220" w:lineRule="exact"/>
              <w:jc w:val="right"/>
              <w:outlineLvl w:val="0"/>
              <w:rPr>
                <w:rFonts w:ascii="Arial" w:eastAsia="Times New Roman" w:hAnsi="Arial" w:cs="Arial"/>
                <w:color w:val="000000"/>
                <w:sz w:val="18"/>
                <w:szCs w:val="18"/>
              </w:rPr>
            </w:pPr>
            <w:r w:rsidRPr="007301FA">
              <w:rPr>
                <w:rFonts w:ascii="Arial" w:hAnsi="Arial" w:cs="Arial"/>
                <w:sz w:val="18"/>
                <w:szCs w:val="18"/>
              </w:rPr>
              <w:t xml:space="preserve"> 125.000 </w:t>
            </w:r>
          </w:p>
        </w:tc>
      </w:tr>
      <w:tr w:rsidR="000B424D" w:rsidRPr="007301FA" w14:paraId="765A4A01" w14:textId="77777777" w:rsidTr="007301FA">
        <w:trPr>
          <w:trHeight w:hRule="exact" w:val="227"/>
        </w:trPr>
        <w:tc>
          <w:tcPr>
            <w:tcW w:w="3751" w:type="pct"/>
            <w:vAlign w:val="bottom"/>
          </w:tcPr>
          <w:p w14:paraId="5942E519" w14:textId="77777777" w:rsidR="000B424D" w:rsidRPr="007301FA" w:rsidRDefault="000B424D" w:rsidP="000B424D">
            <w:pPr>
              <w:keepLines/>
              <w:tabs>
                <w:tab w:val="right" w:pos="1202"/>
              </w:tabs>
              <w:spacing w:line="220" w:lineRule="exact"/>
              <w:outlineLvl w:val="0"/>
              <w:rPr>
                <w:rFonts w:ascii="Arial" w:eastAsia="Times New Roman" w:hAnsi="Arial" w:cs="Arial"/>
                <w:color w:val="000000"/>
                <w:spacing w:val="-3"/>
                <w:sz w:val="18"/>
                <w:szCs w:val="18"/>
              </w:rPr>
            </w:pPr>
            <w:bookmarkStart w:id="205" w:name="_Toc67327213"/>
            <w:r w:rsidRPr="007301FA">
              <w:rPr>
                <w:rFonts w:ascii="Arial" w:eastAsia="Times New Roman" w:hAnsi="Arial" w:cs="Arial"/>
                <w:color w:val="000000"/>
                <w:spacing w:val="-3"/>
                <w:sz w:val="18"/>
                <w:szCs w:val="18"/>
              </w:rPr>
              <w:t>Smanjenje obveza po kreditima otplatom glavnice kredita</w:t>
            </w:r>
            <w:bookmarkEnd w:id="205"/>
          </w:p>
        </w:tc>
        <w:tc>
          <w:tcPr>
            <w:tcW w:w="625" w:type="pct"/>
            <w:shd w:val="clear" w:color="auto" w:fill="auto"/>
            <w:vAlign w:val="bottom"/>
          </w:tcPr>
          <w:p w14:paraId="765BCAD1" w14:textId="0C2E1C0C" w:rsidR="000B424D" w:rsidRPr="007301FA" w:rsidRDefault="005E123F" w:rsidP="000B424D">
            <w:pPr>
              <w:keepLines/>
              <w:tabs>
                <w:tab w:val="right" w:pos="1202"/>
              </w:tabs>
              <w:spacing w:line="22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pacing w:val="-2"/>
                <w:sz w:val="18"/>
                <w:szCs w:val="18"/>
              </w:rPr>
              <w:t>(222.033)</w:t>
            </w:r>
          </w:p>
        </w:tc>
        <w:tc>
          <w:tcPr>
            <w:tcW w:w="624" w:type="pct"/>
            <w:shd w:val="clear" w:color="auto" w:fill="auto"/>
            <w:vAlign w:val="bottom"/>
          </w:tcPr>
          <w:p w14:paraId="3A80B2DB" w14:textId="178E558D" w:rsidR="000B424D" w:rsidRPr="007301FA" w:rsidRDefault="000B424D" w:rsidP="000B424D">
            <w:pPr>
              <w:keepLines/>
              <w:tabs>
                <w:tab w:val="right" w:pos="1202"/>
              </w:tabs>
              <w:spacing w:line="220" w:lineRule="exact"/>
              <w:jc w:val="right"/>
              <w:outlineLvl w:val="0"/>
              <w:rPr>
                <w:rFonts w:ascii="Arial" w:eastAsia="Times New Roman" w:hAnsi="Arial" w:cs="Arial"/>
                <w:color w:val="000000"/>
                <w:sz w:val="18"/>
                <w:szCs w:val="18"/>
              </w:rPr>
            </w:pPr>
            <w:r w:rsidRPr="007301FA">
              <w:rPr>
                <w:rFonts w:ascii="Arial" w:hAnsi="Arial" w:cs="Arial"/>
                <w:sz w:val="18"/>
                <w:szCs w:val="18"/>
              </w:rPr>
              <w:t xml:space="preserve"> (112.148)</w:t>
            </w:r>
          </w:p>
        </w:tc>
      </w:tr>
      <w:tr w:rsidR="000B424D" w:rsidRPr="007301FA" w14:paraId="753D102A" w14:textId="77777777" w:rsidTr="007301FA">
        <w:trPr>
          <w:trHeight w:hRule="exact" w:val="227"/>
        </w:trPr>
        <w:tc>
          <w:tcPr>
            <w:tcW w:w="3751" w:type="pct"/>
            <w:vAlign w:val="bottom"/>
          </w:tcPr>
          <w:p w14:paraId="00D60F63" w14:textId="77777777" w:rsidR="000B424D" w:rsidRPr="007301FA" w:rsidRDefault="000B424D" w:rsidP="000B424D">
            <w:pPr>
              <w:keepLines/>
              <w:tabs>
                <w:tab w:val="right" w:pos="1202"/>
              </w:tabs>
              <w:spacing w:line="220" w:lineRule="exact"/>
              <w:outlineLvl w:val="0"/>
              <w:rPr>
                <w:rFonts w:ascii="Arial" w:eastAsia="Times New Roman" w:hAnsi="Arial" w:cs="Arial"/>
                <w:color w:val="000000"/>
                <w:spacing w:val="-3"/>
                <w:sz w:val="18"/>
                <w:szCs w:val="18"/>
              </w:rPr>
            </w:pPr>
            <w:bookmarkStart w:id="206" w:name="_Toc67327217"/>
            <w:r w:rsidRPr="007301FA">
              <w:rPr>
                <w:rFonts w:ascii="Arial" w:eastAsia="Times New Roman" w:hAnsi="Arial" w:cs="Arial"/>
                <w:color w:val="000000"/>
                <w:spacing w:val="-3"/>
                <w:sz w:val="18"/>
                <w:szCs w:val="18"/>
              </w:rPr>
              <w:t>Ostalo</w:t>
            </w:r>
            <w:bookmarkEnd w:id="206"/>
          </w:p>
        </w:tc>
        <w:tc>
          <w:tcPr>
            <w:tcW w:w="625" w:type="pct"/>
            <w:tcBorders>
              <w:bottom w:val="single" w:sz="4" w:space="0" w:color="auto"/>
            </w:tcBorders>
            <w:vAlign w:val="bottom"/>
          </w:tcPr>
          <w:p w14:paraId="2F1908BB" w14:textId="04775EF3" w:rsidR="000B424D" w:rsidRPr="007301FA" w:rsidRDefault="005E123F" w:rsidP="000B424D">
            <w:pPr>
              <w:keepLines/>
              <w:jc w:val="right"/>
              <w:rPr>
                <w:rFonts w:ascii="Arial" w:eastAsia="Times New Roman" w:hAnsi="Arial" w:cs="Arial"/>
                <w:color w:val="000000"/>
                <w:spacing w:val="-2"/>
                <w:sz w:val="18"/>
                <w:szCs w:val="18"/>
              </w:rPr>
            </w:pPr>
            <w:r>
              <w:rPr>
                <w:rFonts w:ascii="Arial" w:eastAsia="Times New Roman" w:hAnsi="Arial" w:cs="Arial"/>
                <w:color w:val="000000"/>
                <w:spacing w:val="-2"/>
                <w:sz w:val="18"/>
                <w:szCs w:val="18"/>
              </w:rPr>
              <w:t>(775)</w:t>
            </w:r>
          </w:p>
        </w:tc>
        <w:tc>
          <w:tcPr>
            <w:tcW w:w="624" w:type="pct"/>
            <w:tcBorders>
              <w:bottom w:val="single" w:sz="4" w:space="0" w:color="auto"/>
            </w:tcBorders>
            <w:vAlign w:val="bottom"/>
          </w:tcPr>
          <w:p w14:paraId="6E70B783" w14:textId="7DE95D7A" w:rsidR="000B424D" w:rsidRPr="007301FA" w:rsidRDefault="000B424D" w:rsidP="000B424D">
            <w:pPr>
              <w:keepLines/>
              <w:jc w:val="right"/>
              <w:rPr>
                <w:rFonts w:ascii="Arial" w:eastAsia="Times New Roman" w:hAnsi="Arial" w:cs="Arial"/>
                <w:color w:val="000000"/>
                <w:spacing w:val="-2"/>
                <w:sz w:val="18"/>
                <w:szCs w:val="18"/>
              </w:rPr>
            </w:pPr>
            <w:r w:rsidRPr="007301FA">
              <w:rPr>
                <w:rFonts w:ascii="Arial" w:hAnsi="Arial" w:cs="Arial"/>
                <w:sz w:val="18"/>
                <w:szCs w:val="18"/>
              </w:rPr>
              <w:t xml:space="preserve"> 1.261 </w:t>
            </w:r>
          </w:p>
        </w:tc>
      </w:tr>
      <w:tr w:rsidR="000B424D" w:rsidRPr="007301FA" w14:paraId="4B099DF2" w14:textId="77777777" w:rsidTr="007301FA">
        <w:tc>
          <w:tcPr>
            <w:tcW w:w="3751" w:type="pct"/>
            <w:vAlign w:val="bottom"/>
          </w:tcPr>
          <w:p w14:paraId="42A20F52" w14:textId="6B6AC37E" w:rsidR="000B424D" w:rsidRPr="007301FA" w:rsidRDefault="000B424D" w:rsidP="000B424D">
            <w:pPr>
              <w:keepLines/>
              <w:tabs>
                <w:tab w:val="right" w:pos="1202"/>
              </w:tabs>
              <w:spacing w:line="220" w:lineRule="exact"/>
              <w:outlineLvl w:val="0"/>
              <w:rPr>
                <w:rFonts w:ascii="Arial" w:eastAsia="Times New Roman" w:hAnsi="Arial" w:cs="Arial"/>
                <w:b/>
                <w:bCs/>
                <w:color w:val="000000"/>
                <w:spacing w:val="-3"/>
                <w:sz w:val="18"/>
                <w:szCs w:val="18"/>
              </w:rPr>
            </w:pPr>
            <w:bookmarkStart w:id="207" w:name="_Toc67327218"/>
            <w:r w:rsidRPr="007301FA">
              <w:rPr>
                <w:rFonts w:ascii="Arial" w:eastAsia="Times New Roman" w:hAnsi="Arial" w:cs="Arial"/>
                <w:b/>
                <w:bCs/>
                <w:color w:val="000000"/>
                <w:sz w:val="18"/>
                <w:szCs w:val="18"/>
              </w:rPr>
              <w:t xml:space="preserve">Neto novčana </w:t>
            </w:r>
            <w:r w:rsidRPr="00505224">
              <w:rPr>
                <w:rFonts w:ascii="Arial" w:eastAsia="Times New Roman" w:hAnsi="Arial" w:cs="Arial"/>
                <w:b/>
                <w:bCs/>
                <w:color w:val="000000"/>
                <w:sz w:val="18"/>
                <w:szCs w:val="18"/>
              </w:rPr>
              <w:t>sredstva (uporabljena)</w:t>
            </w:r>
            <w:r w:rsidR="00EC55DF">
              <w:rPr>
                <w:rFonts w:ascii="Arial" w:eastAsia="Times New Roman" w:hAnsi="Arial" w:cs="Arial"/>
                <w:b/>
                <w:bCs/>
                <w:color w:val="000000"/>
                <w:sz w:val="18"/>
                <w:szCs w:val="18"/>
              </w:rPr>
              <w:t>/ostvarena</w:t>
            </w:r>
            <w:r w:rsidRPr="00505224">
              <w:rPr>
                <w:rFonts w:ascii="Arial" w:eastAsia="Times New Roman" w:hAnsi="Arial" w:cs="Arial"/>
                <w:b/>
                <w:bCs/>
                <w:color w:val="000000"/>
                <w:sz w:val="18"/>
                <w:szCs w:val="18"/>
              </w:rPr>
              <w:t xml:space="preserve"> u</w:t>
            </w:r>
            <w:r w:rsidRPr="007301FA">
              <w:rPr>
                <w:rFonts w:ascii="Arial" w:eastAsia="Times New Roman" w:hAnsi="Arial" w:cs="Arial"/>
                <w:b/>
                <w:bCs/>
                <w:color w:val="000000"/>
                <w:sz w:val="18"/>
                <w:szCs w:val="18"/>
              </w:rPr>
              <w:t xml:space="preserve"> financijskim aktivnostima</w:t>
            </w:r>
            <w:bookmarkEnd w:id="207"/>
            <w:r w:rsidRPr="007301FA">
              <w:rPr>
                <w:rFonts w:ascii="Arial" w:eastAsia="Times New Roman" w:hAnsi="Arial" w:cs="Arial"/>
                <w:b/>
                <w:bCs/>
                <w:color w:val="000000"/>
                <w:sz w:val="18"/>
                <w:szCs w:val="18"/>
              </w:rPr>
              <w:t xml:space="preserve"> </w:t>
            </w:r>
          </w:p>
        </w:tc>
        <w:tc>
          <w:tcPr>
            <w:tcW w:w="625" w:type="pct"/>
            <w:tcBorders>
              <w:top w:val="single" w:sz="4" w:space="0" w:color="auto"/>
              <w:bottom w:val="single" w:sz="12" w:space="0" w:color="auto"/>
            </w:tcBorders>
            <w:vAlign w:val="bottom"/>
          </w:tcPr>
          <w:p w14:paraId="5E32A490" w14:textId="2E6A6089" w:rsidR="000B424D" w:rsidRPr="007301FA" w:rsidRDefault="005E123F" w:rsidP="000B424D">
            <w:pPr>
              <w:spacing w:line="220" w:lineRule="exact"/>
              <w:jc w:val="right"/>
              <w:rPr>
                <w:rFonts w:ascii="Arial" w:eastAsia="Times New Roman" w:hAnsi="Arial" w:cs="Arial"/>
                <w:b/>
                <w:bCs/>
                <w:color w:val="000000"/>
                <w:sz w:val="18"/>
                <w:szCs w:val="18"/>
              </w:rPr>
            </w:pPr>
            <w:r>
              <w:rPr>
                <w:rFonts w:ascii="Arial" w:eastAsia="Times New Roman" w:hAnsi="Arial" w:cs="Arial"/>
                <w:b/>
                <w:bCs/>
                <w:color w:val="000000"/>
                <w:sz w:val="18"/>
                <w:szCs w:val="18"/>
              </w:rPr>
              <w:t>(25.877)</w:t>
            </w:r>
          </w:p>
        </w:tc>
        <w:tc>
          <w:tcPr>
            <w:tcW w:w="624" w:type="pct"/>
            <w:tcBorders>
              <w:top w:val="single" w:sz="4" w:space="0" w:color="auto"/>
              <w:bottom w:val="single" w:sz="12" w:space="0" w:color="auto"/>
            </w:tcBorders>
            <w:vAlign w:val="bottom"/>
          </w:tcPr>
          <w:p w14:paraId="57E0181B" w14:textId="20A70F29" w:rsidR="000B424D" w:rsidRPr="007301FA" w:rsidRDefault="000B424D" w:rsidP="000B424D">
            <w:pPr>
              <w:spacing w:line="220" w:lineRule="exact"/>
              <w:jc w:val="right"/>
              <w:rPr>
                <w:rFonts w:ascii="Arial" w:eastAsia="Times New Roman" w:hAnsi="Arial" w:cs="Arial"/>
                <w:b/>
                <w:bCs/>
                <w:color w:val="000000"/>
                <w:sz w:val="18"/>
                <w:szCs w:val="18"/>
              </w:rPr>
            </w:pPr>
            <w:r w:rsidRPr="007301FA">
              <w:rPr>
                <w:rFonts w:ascii="Arial" w:hAnsi="Arial" w:cs="Arial"/>
                <w:b/>
                <w:bCs/>
                <w:sz w:val="18"/>
                <w:szCs w:val="18"/>
              </w:rPr>
              <w:t xml:space="preserve"> 14.113 </w:t>
            </w:r>
          </w:p>
        </w:tc>
      </w:tr>
      <w:tr w:rsidR="000B424D" w:rsidRPr="007301FA" w14:paraId="73DF2AB2" w14:textId="77777777" w:rsidTr="007301FA">
        <w:trPr>
          <w:trHeight w:hRule="exact" w:val="113"/>
        </w:trPr>
        <w:tc>
          <w:tcPr>
            <w:tcW w:w="3751" w:type="pct"/>
            <w:vAlign w:val="bottom"/>
          </w:tcPr>
          <w:p w14:paraId="4AFD3A75" w14:textId="77777777" w:rsidR="000B424D" w:rsidRPr="007301FA" w:rsidRDefault="000B424D" w:rsidP="000B424D">
            <w:pPr>
              <w:keepLines/>
              <w:tabs>
                <w:tab w:val="right" w:pos="1202"/>
              </w:tabs>
              <w:spacing w:line="220" w:lineRule="exact"/>
              <w:outlineLvl w:val="0"/>
              <w:rPr>
                <w:rFonts w:ascii="Arial" w:eastAsia="Times New Roman" w:hAnsi="Arial" w:cs="Arial"/>
                <w:b/>
                <w:bCs/>
                <w:color w:val="000000"/>
                <w:sz w:val="18"/>
                <w:szCs w:val="18"/>
              </w:rPr>
            </w:pPr>
          </w:p>
        </w:tc>
        <w:tc>
          <w:tcPr>
            <w:tcW w:w="625" w:type="pct"/>
            <w:tcBorders>
              <w:top w:val="single" w:sz="12" w:space="0" w:color="auto"/>
            </w:tcBorders>
            <w:vAlign w:val="bottom"/>
          </w:tcPr>
          <w:p w14:paraId="6FB889C5" w14:textId="77777777" w:rsidR="000B424D" w:rsidRPr="007301FA" w:rsidRDefault="000B424D" w:rsidP="000B424D">
            <w:pPr>
              <w:spacing w:line="220" w:lineRule="exact"/>
              <w:jc w:val="right"/>
              <w:rPr>
                <w:rFonts w:ascii="Arial" w:eastAsia="Times New Roman" w:hAnsi="Arial" w:cs="Arial"/>
                <w:b/>
                <w:bCs/>
                <w:color w:val="000000"/>
                <w:sz w:val="18"/>
                <w:szCs w:val="18"/>
              </w:rPr>
            </w:pPr>
          </w:p>
        </w:tc>
        <w:tc>
          <w:tcPr>
            <w:tcW w:w="624" w:type="pct"/>
            <w:tcBorders>
              <w:top w:val="single" w:sz="12" w:space="0" w:color="auto"/>
            </w:tcBorders>
            <w:vAlign w:val="bottom"/>
          </w:tcPr>
          <w:p w14:paraId="158A40A8" w14:textId="77777777" w:rsidR="000B424D" w:rsidRPr="007301FA" w:rsidRDefault="000B424D" w:rsidP="000B424D">
            <w:pPr>
              <w:spacing w:line="220" w:lineRule="exact"/>
              <w:jc w:val="right"/>
              <w:rPr>
                <w:rFonts w:ascii="Arial" w:eastAsia="Times New Roman" w:hAnsi="Arial" w:cs="Arial"/>
                <w:b/>
                <w:bCs/>
                <w:color w:val="000000"/>
                <w:sz w:val="18"/>
                <w:szCs w:val="18"/>
              </w:rPr>
            </w:pPr>
          </w:p>
        </w:tc>
      </w:tr>
      <w:tr w:rsidR="000B424D" w:rsidRPr="007301FA" w14:paraId="62D164F2" w14:textId="77777777" w:rsidTr="007301FA">
        <w:tc>
          <w:tcPr>
            <w:tcW w:w="3751" w:type="pct"/>
            <w:vAlign w:val="bottom"/>
          </w:tcPr>
          <w:p w14:paraId="5375DB4F" w14:textId="77777777" w:rsidR="000B424D" w:rsidRPr="007301FA" w:rsidRDefault="000B424D" w:rsidP="000B424D">
            <w:pPr>
              <w:keepLines/>
              <w:tabs>
                <w:tab w:val="right" w:pos="1202"/>
              </w:tabs>
              <w:spacing w:line="220" w:lineRule="exact"/>
              <w:outlineLvl w:val="0"/>
              <w:rPr>
                <w:rFonts w:ascii="Arial" w:eastAsia="Times New Roman" w:hAnsi="Arial" w:cs="Arial"/>
                <w:b/>
                <w:bCs/>
                <w:color w:val="000000"/>
                <w:sz w:val="18"/>
                <w:szCs w:val="18"/>
              </w:rPr>
            </w:pPr>
            <w:bookmarkStart w:id="208" w:name="_Toc67327219"/>
            <w:r w:rsidRPr="007301FA">
              <w:rPr>
                <w:rFonts w:ascii="Arial" w:eastAsia="Times New Roman" w:hAnsi="Arial" w:cs="Arial"/>
                <w:b/>
                <w:bCs/>
                <w:color w:val="000000"/>
                <w:sz w:val="18"/>
                <w:szCs w:val="18"/>
              </w:rPr>
              <w:t>Učinci promjene tečajeva na novac i novčane ekvivalente</w:t>
            </w:r>
            <w:bookmarkEnd w:id="208"/>
          </w:p>
        </w:tc>
        <w:tc>
          <w:tcPr>
            <w:tcW w:w="625" w:type="pct"/>
            <w:vAlign w:val="bottom"/>
          </w:tcPr>
          <w:p w14:paraId="6B6B4E39" w14:textId="77777777" w:rsidR="000B424D" w:rsidRPr="007301FA" w:rsidRDefault="000B424D" w:rsidP="000B424D">
            <w:pPr>
              <w:spacing w:line="220" w:lineRule="exact"/>
              <w:jc w:val="right"/>
              <w:rPr>
                <w:rFonts w:ascii="Arial" w:eastAsia="Times New Roman" w:hAnsi="Arial" w:cs="Arial"/>
                <w:b/>
                <w:bCs/>
                <w:color w:val="000000"/>
                <w:sz w:val="18"/>
                <w:szCs w:val="18"/>
              </w:rPr>
            </w:pPr>
          </w:p>
        </w:tc>
        <w:tc>
          <w:tcPr>
            <w:tcW w:w="624" w:type="pct"/>
            <w:vAlign w:val="bottom"/>
          </w:tcPr>
          <w:p w14:paraId="0EA4C976" w14:textId="77777777" w:rsidR="000B424D" w:rsidRPr="007301FA" w:rsidRDefault="000B424D" w:rsidP="000B424D">
            <w:pPr>
              <w:spacing w:line="220" w:lineRule="exact"/>
              <w:jc w:val="right"/>
              <w:rPr>
                <w:rFonts w:ascii="Arial" w:eastAsia="Times New Roman" w:hAnsi="Arial" w:cs="Arial"/>
                <w:b/>
                <w:bCs/>
                <w:color w:val="000000"/>
                <w:sz w:val="18"/>
                <w:szCs w:val="18"/>
              </w:rPr>
            </w:pPr>
          </w:p>
        </w:tc>
      </w:tr>
      <w:tr w:rsidR="000B424D" w:rsidRPr="007301FA" w14:paraId="10C329BD" w14:textId="77777777" w:rsidTr="007301FA">
        <w:tc>
          <w:tcPr>
            <w:tcW w:w="3751" w:type="pct"/>
            <w:vAlign w:val="bottom"/>
          </w:tcPr>
          <w:p w14:paraId="161A70C8" w14:textId="77777777" w:rsidR="000B424D" w:rsidRPr="007301FA" w:rsidRDefault="000B424D" w:rsidP="000B424D">
            <w:pPr>
              <w:keepLines/>
              <w:tabs>
                <w:tab w:val="right" w:pos="1202"/>
              </w:tabs>
              <w:spacing w:line="220" w:lineRule="exact"/>
              <w:outlineLvl w:val="0"/>
              <w:rPr>
                <w:rFonts w:ascii="Arial" w:eastAsia="Times New Roman" w:hAnsi="Arial" w:cs="Arial"/>
                <w:bCs/>
                <w:color w:val="000000"/>
                <w:sz w:val="18"/>
                <w:szCs w:val="18"/>
              </w:rPr>
            </w:pPr>
            <w:bookmarkStart w:id="209" w:name="_Toc67327220"/>
            <w:r w:rsidRPr="007301FA">
              <w:rPr>
                <w:rFonts w:ascii="Arial" w:eastAsia="Times New Roman" w:hAnsi="Arial" w:cs="Arial"/>
                <w:bCs/>
                <w:color w:val="000000"/>
                <w:sz w:val="18"/>
                <w:szCs w:val="18"/>
              </w:rPr>
              <w:t>Neto tečajne razlike</w:t>
            </w:r>
            <w:bookmarkEnd w:id="209"/>
          </w:p>
        </w:tc>
        <w:tc>
          <w:tcPr>
            <w:tcW w:w="625" w:type="pct"/>
            <w:vAlign w:val="bottom"/>
          </w:tcPr>
          <w:p w14:paraId="0F656C78" w14:textId="6EB7E730" w:rsidR="000B424D" w:rsidRPr="007301FA" w:rsidRDefault="005E123F" w:rsidP="000B424D">
            <w:pPr>
              <w:spacing w:line="220" w:lineRule="exact"/>
              <w:jc w:val="right"/>
              <w:rPr>
                <w:rFonts w:ascii="Arial" w:eastAsia="Times New Roman" w:hAnsi="Arial" w:cs="Arial"/>
                <w:bCs/>
                <w:color w:val="000000"/>
                <w:sz w:val="18"/>
                <w:szCs w:val="18"/>
              </w:rPr>
            </w:pPr>
            <w:r>
              <w:rPr>
                <w:rFonts w:ascii="Arial" w:eastAsia="Times New Roman" w:hAnsi="Arial" w:cs="Arial"/>
                <w:bCs/>
                <w:color w:val="000000"/>
                <w:sz w:val="18"/>
                <w:szCs w:val="18"/>
              </w:rPr>
              <w:t>439</w:t>
            </w:r>
          </w:p>
        </w:tc>
        <w:tc>
          <w:tcPr>
            <w:tcW w:w="624" w:type="pct"/>
            <w:vAlign w:val="bottom"/>
          </w:tcPr>
          <w:p w14:paraId="40FEF9D5" w14:textId="664DE7FF" w:rsidR="000B424D" w:rsidRPr="007301FA" w:rsidRDefault="000B424D" w:rsidP="000B424D">
            <w:pPr>
              <w:spacing w:line="220" w:lineRule="exact"/>
              <w:jc w:val="right"/>
              <w:rPr>
                <w:rFonts w:ascii="Arial" w:eastAsia="Times New Roman" w:hAnsi="Arial" w:cs="Arial"/>
                <w:bCs/>
                <w:color w:val="000000"/>
                <w:sz w:val="18"/>
                <w:szCs w:val="18"/>
              </w:rPr>
            </w:pPr>
            <w:r w:rsidRPr="007301FA">
              <w:rPr>
                <w:rFonts w:ascii="Arial" w:hAnsi="Arial" w:cs="Arial"/>
                <w:sz w:val="18"/>
                <w:szCs w:val="18"/>
              </w:rPr>
              <w:t xml:space="preserve"> (521)</w:t>
            </w:r>
          </w:p>
        </w:tc>
      </w:tr>
      <w:tr w:rsidR="000B424D" w:rsidRPr="007301FA" w14:paraId="4CEA493D" w14:textId="77777777" w:rsidTr="007301FA">
        <w:trPr>
          <w:trHeight w:val="247"/>
        </w:trPr>
        <w:tc>
          <w:tcPr>
            <w:tcW w:w="3751" w:type="pct"/>
            <w:vAlign w:val="bottom"/>
          </w:tcPr>
          <w:p w14:paraId="2A24E478" w14:textId="77777777" w:rsidR="000B424D" w:rsidRPr="007301FA" w:rsidRDefault="000B424D" w:rsidP="000B424D">
            <w:pPr>
              <w:keepLines/>
              <w:tabs>
                <w:tab w:val="right" w:pos="1202"/>
              </w:tabs>
              <w:spacing w:line="220" w:lineRule="exact"/>
              <w:outlineLvl w:val="0"/>
              <w:rPr>
                <w:rFonts w:ascii="Arial" w:eastAsia="Times New Roman" w:hAnsi="Arial" w:cs="Arial"/>
                <w:b/>
                <w:color w:val="000000"/>
                <w:spacing w:val="-3"/>
                <w:sz w:val="18"/>
                <w:szCs w:val="18"/>
              </w:rPr>
            </w:pPr>
            <w:bookmarkStart w:id="210" w:name="_Toc67327221"/>
            <w:r w:rsidRPr="007301FA">
              <w:rPr>
                <w:rFonts w:ascii="Arial" w:eastAsia="Times New Roman" w:hAnsi="Arial" w:cs="Arial"/>
                <w:b/>
                <w:color w:val="000000"/>
                <w:spacing w:val="-3"/>
                <w:sz w:val="18"/>
                <w:szCs w:val="18"/>
              </w:rPr>
              <w:t>Neto učinak</w:t>
            </w:r>
            <w:bookmarkEnd w:id="210"/>
          </w:p>
        </w:tc>
        <w:tc>
          <w:tcPr>
            <w:tcW w:w="625" w:type="pct"/>
            <w:vAlign w:val="bottom"/>
          </w:tcPr>
          <w:p w14:paraId="645D9AE5" w14:textId="3999D467" w:rsidR="000B424D" w:rsidRPr="007301FA" w:rsidRDefault="005E123F" w:rsidP="000B424D">
            <w:pPr>
              <w:keepLines/>
              <w:tabs>
                <w:tab w:val="right" w:pos="1202"/>
              </w:tabs>
              <w:spacing w:line="220" w:lineRule="exact"/>
              <w:jc w:val="right"/>
              <w:outlineLvl w:val="0"/>
              <w:rPr>
                <w:rFonts w:ascii="Arial" w:eastAsia="Times New Roman" w:hAnsi="Arial" w:cs="Arial"/>
                <w:b/>
                <w:bCs/>
                <w:color w:val="000000"/>
                <w:spacing w:val="-3"/>
                <w:sz w:val="18"/>
                <w:szCs w:val="18"/>
              </w:rPr>
            </w:pPr>
            <w:r>
              <w:rPr>
                <w:rFonts w:ascii="Arial" w:eastAsia="Times New Roman" w:hAnsi="Arial" w:cs="Arial"/>
                <w:b/>
                <w:bCs/>
                <w:color w:val="000000"/>
                <w:spacing w:val="-3"/>
                <w:sz w:val="18"/>
                <w:szCs w:val="18"/>
              </w:rPr>
              <w:t>439</w:t>
            </w:r>
          </w:p>
        </w:tc>
        <w:tc>
          <w:tcPr>
            <w:tcW w:w="624" w:type="pct"/>
            <w:vAlign w:val="bottom"/>
          </w:tcPr>
          <w:p w14:paraId="760C3215" w14:textId="45E00E05" w:rsidR="000B424D" w:rsidRPr="007301FA" w:rsidRDefault="000B424D" w:rsidP="000B424D">
            <w:pPr>
              <w:keepLines/>
              <w:tabs>
                <w:tab w:val="right" w:pos="1202"/>
              </w:tabs>
              <w:spacing w:line="220" w:lineRule="exact"/>
              <w:jc w:val="right"/>
              <w:outlineLvl w:val="0"/>
              <w:rPr>
                <w:rFonts w:ascii="Arial" w:eastAsia="Times New Roman" w:hAnsi="Arial" w:cs="Arial"/>
                <w:b/>
                <w:bCs/>
                <w:color w:val="000000"/>
                <w:sz w:val="18"/>
                <w:szCs w:val="18"/>
              </w:rPr>
            </w:pPr>
            <w:r w:rsidRPr="007301FA">
              <w:rPr>
                <w:rFonts w:ascii="Arial" w:hAnsi="Arial" w:cs="Arial"/>
                <w:b/>
                <w:bCs/>
                <w:sz w:val="18"/>
                <w:szCs w:val="18"/>
              </w:rPr>
              <w:t xml:space="preserve"> (521)</w:t>
            </w:r>
          </w:p>
        </w:tc>
      </w:tr>
      <w:tr w:rsidR="000B424D" w:rsidRPr="007301FA" w14:paraId="4AE07653" w14:textId="77777777" w:rsidTr="007301FA">
        <w:trPr>
          <w:trHeight w:hRule="exact" w:val="113"/>
        </w:trPr>
        <w:tc>
          <w:tcPr>
            <w:tcW w:w="3751" w:type="pct"/>
            <w:vAlign w:val="bottom"/>
          </w:tcPr>
          <w:p w14:paraId="53087B81" w14:textId="77777777" w:rsidR="000B424D" w:rsidRPr="007301FA" w:rsidRDefault="000B424D" w:rsidP="000B424D">
            <w:pPr>
              <w:keepLines/>
              <w:tabs>
                <w:tab w:val="right" w:pos="1202"/>
              </w:tabs>
              <w:spacing w:line="220" w:lineRule="exact"/>
              <w:outlineLvl w:val="0"/>
              <w:rPr>
                <w:rFonts w:ascii="Arial" w:eastAsia="Times New Roman" w:hAnsi="Arial" w:cs="Arial"/>
                <w:color w:val="000000"/>
                <w:sz w:val="18"/>
                <w:szCs w:val="18"/>
              </w:rPr>
            </w:pPr>
          </w:p>
        </w:tc>
        <w:tc>
          <w:tcPr>
            <w:tcW w:w="625" w:type="pct"/>
            <w:tcBorders>
              <w:bottom w:val="single" w:sz="4" w:space="0" w:color="auto"/>
            </w:tcBorders>
            <w:vAlign w:val="bottom"/>
          </w:tcPr>
          <w:p w14:paraId="0776F59C" w14:textId="77777777" w:rsidR="000B424D" w:rsidRPr="007301FA" w:rsidRDefault="000B424D" w:rsidP="000B424D">
            <w:pPr>
              <w:keepLines/>
              <w:jc w:val="right"/>
              <w:rPr>
                <w:rFonts w:ascii="Arial" w:eastAsia="Times New Roman" w:hAnsi="Arial" w:cs="Arial"/>
                <w:color w:val="000000"/>
                <w:spacing w:val="-2"/>
                <w:sz w:val="18"/>
                <w:szCs w:val="18"/>
              </w:rPr>
            </w:pPr>
          </w:p>
        </w:tc>
        <w:tc>
          <w:tcPr>
            <w:tcW w:w="624" w:type="pct"/>
            <w:tcBorders>
              <w:bottom w:val="single" w:sz="4" w:space="0" w:color="auto"/>
            </w:tcBorders>
            <w:vAlign w:val="bottom"/>
          </w:tcPr>
          <w:p w14:paraId="79B90ACE" w14:textId="77777777" w:rsidR="000B424D" w:rsidRPr="007301FA" w:rsidRDefault="000B424D" w:rsidP="000B424D">
            <w:pPr>
              <w:keepLines/>
              <w:jc w:val="right"/>
              <w:rPr>
                <w:rFonts w:ascii="Arial" w:eastAsia="Times New Roman" w:hAnsi="Arial" w:cs="Arial"/>
                <w:color w:val="000000"/>
                <w:spacing w:val="-2"/>
                <w:sz w:val="18"/>
                <w:szCs w:val="18"/>
              </w:rPr>
            </w:pPr>
          </w:p>
        </w:tc>
      </w:tr>
      <w:tr w:rsidR="000B424D" w:rsidRPr="007301FA" w14:paraId="77F06018" w14:textId="77777777" w:rsidTr="007301FA">
        <w:trPr>
          <w:trHeight w:val="122"/>
        </w:trPr>
        <w:tc>
          <w:tcPr>
            <w:tcW w:w="3751" w:type="pct"/>
            <w:vAlign w:val="bottom"/>
          </w:tcPr>
          <w:p w14:paraId="202820CD" w14:textId="02063826" w:rsidR="000B424D" w:rsidRPr="007301FA" w:rsidRDefault="000B424D" w:rsidP="000B424D">
            <w:pPr>
              <w:keepLines/>
              <w:tabs>
                <w:tab w:val="right" w:pos="1202"/>
              </w:tabs>
              <w:spacing w:line="220" w:lineRule="exact"/>
              <w:outlineLvl w:val="0"/>
              <w:rPr>
                <w:rFonts w:ascii="Arial" w:eastAsia="Times New Roman" w:hAnsi="Arial" w:cs="Arial"/>
                <w:color w:val="000000"/>
                <w:sz w:val="18"/>
                <w:szCs w:val="18"/>
              </w:rPr>
            </w:pPr>
            <w:bookmarkStart w:id="211" w:name="_Toc67327224"/>
            <w:r w:rsidRPr="00505224">
              <w:rPr>
                <w:rFonts w:ascii="Arial" w:eastAsia="Times New Roman" w:hAnsi="Arial" w:cs="Arial"/>
                <w:color w:val="000000"/>
                <w:sz w:val="18"/>
                <w:szCs w:val="18"/>
              </w:rPr>
              <w:t xml:space="preserve">Neto </w:t>
            </w:r>
            <w:r w:rsidR="005E123F">
              <w:rPr>
                <w:rFonts w:ascii="Arial" w:eastAsia="Times New Roman" w:hAnsi="Arial" w:cs="Arial"/>
                <w:color w:val="000000"/>
                <w:sz w:val="18"/>
                <w:szCs w:val="18"/>
              </w:rPr>
              <w:t>povećanje/</w:t>
            </w:r>
            <w:r w:rsidRPr="00505224">
              <w:rPr>
                <w:rFonts w:ascii="Arial" w:eastAsia="Times New Roman" w:hAnsi="Arial" w:cs="Arial"/>
                <w:color w:val="000000"/>
                <w:sz w:val="18"/>
                <w:szCs w:val="18"/>
              </w:rPr>
              <w:t>(smanjenje)</w:t>
            </w:r>
            <w:r w:rsidRPr="007301FA">
              <w:rPr>
                <w:rFonts w:ascii="Arial" w:eastAsia="Times New Roman" w:hAnsi="Arial" w:cs="Arial"/>
                <w:color w:val="000000"/>
                <w:sz w:val="18"/>
                <w:szCs w:val="18"/>
              </w:rPr>
              <w:t xml:space="preserve"> novca i novčanih ekvivalenata</w:t>
            </w:r>
            <w:bookmarkEnd w:id="211"/>
          </w:p>
        </w:tc>
        <w:tc>
          <w:tcPr>
            <w:tcW w:w="625" w:type="pct"/>
            <w:tcBorders>
              <w:top w:val="single" w:sz="4" w:space="0" w:color="auto"/>
              <w:bottom w:val="single" w:sz="12" w:space="0" w:color="auto"/>
            </w:tcBorders>
            <w:vAlign w:val="bottom"/>
          </w:tcPr>
          <w:p w14:paraId="3E7F195C" w14:textId="5CF3D65F" w:rsidR="000B424D" w:rsidRPr="007301FA" w:rsidRDefault="005E123F" w:rsidP="000B424D">
            <w:pPr>
              <w:keepLines/>
              <w:jc w:val="right"/>
              <w:rPr>
                <w:rFonts w:ascii="Arial" w:eastAsia="Times New Roman" w:hAnsi="Arial" w:cs="Arial"/>
                <w:b/>
                <w:bCs/>
                <w:color w:val="000000"/>
                <w:spacing w:val="-2"/>
                <w:sz w:val="18"/>
                <w:szCs w:val="18"/>
              </w:rPr>
            </w:pPr>
            <w:r>
              <w:rPr>
                <w:rFonts w:ascii="Arial" w:eastAsia="Times New Roman" w:hAnsi="Arial" w:cs="Arial"/>
                <w:b/>
                <w:bCs/>
                <w:color w:val="000000"/>
                <w:spacing w:val="-2"/>
                <w:sz w:val="18"/>
                <w:szCs w:val="18"/>
              </w:rPr>
              <w:t>35.536</w:t>
            </w:r>
          </w:p>
        </w:tc>
        <w:tc>
          <w:tcPr>
            <w:tcW w:w="624" w:type="pct"/>
            <w:tcBorders>
              <w:top w:val="single" w:sz="4" w:space="0" w:color="auto"/>
              <w:bottom w:val="single" w:sz="12" w:space="0" w:color="auto"/>
            </w:tcBorders>
            <w:vAlign w:val="bottom"/>
          </w:tcPr>
          <w:p w14:paraId="2CFCC3CD" w14:textId="2D135172" w:rsidR="000B424D" w:rsidRPr="007301FA" w:rsidRDefault="000B424D" w:rsidP="000B424D">
            <w:pPr>
              <w:keepLines/>
              <w:jc w:val="right"/>
              <w:rPr>
                <w:rFonts w:ascii="Arial" w:eastAsia="Times New Roman" w:hAnsi="Arial" w:cs="Arial"/>
                <w:b/>
                <w:bCs/>
                <w:color w:val="000000"/>
                <w:spacing w:val="-2"/>
                <w:sz w:val="18"/>
                <w:szCs w:val="18"/>
              </w:rPr>
            </w:pPr>
            <w:r w:rsidRPr="007301FA">
              <w:rPr>
                <w:rFonts w:ascii="Arial" w:hAnsi="Arial" w:cs="Arial"/>
                <w:b/>
                <w:bCs/>
                <w:sz w:val="18"/>
                <w:szCs w:val="18"/>
              </w:rPr>
              <w:t xml:space="preserve"> (191.871)</w:t>
            </w:r>
          </w:p>
        </w:tc>
      </w:tr>
      <w:tr w:rsidR="000B424D" w:rsidRPr="007301FA" w14:paraId="56F86883" w14:textId="77777777" w:rsidTr="007301FA">
        <w:trPr>
          <w:trHeight w:hRule="exact" w:val="113"/>
        </w:trPr>
        <w:tc>
          <w:tcPr>
            <w:tcW w:w="3751" w:type="pct"/>
            <w:vAlign w:val="bottom"/>
          </w:tcPr>
          <w:p w14:paraId="5BA363A4" w14:textId="77777777" w:rsidR="000B424D" w:rsidRPr="007301FA" w:rsidRDefault="000B424D" w:rsidP="000B424D">
            <w:pPr>
              <w:keepLines/>
              <w:tabs>
                <w:tab w:val="right" w:pos="1202"/>
              </w:tabs>
              <w:spacing w:line="140" w:lineRule="exact"/>
              <w:outlineLvl w:val="0"/>
              <w:rPr>
                <w:rFonts w:ascii="Arial" w:eastAsia="Times New Roman" w:hAnsi="Arial" w:cs="Arial"/>
                <w:color w:val="000000"/>
                <w:sz w:val="18"/>
                <w:szCs w:val="18"/>
              </w:rPr>
            </w:pPr>
          </w:p>
        </w:tc>
        <w:tc>
          <w:tcPr>
            <w:tcW w:w="625" w:type="pct"/>
            <w:tcBorders>
              <w:top w:val="single" w:sz="12" w:space="0" w:color="auto"/>
            </w:tcBorders>
            <w:vAlign w:val="bottom"/>
          </w:tcPr>
          <w:p w14:paraId="26326C36" w14:textId="77777777" w:rsidR="000B424D" w:rsidRPr="007301FA" w:rsidRDefault="000B424D" w:rsidP="000B424D">
            <w:pPr>
              <w:keepLines/>
              <w:spacing w:line="140" w:lineRule="exact"/>
              <w:jc w:val="center"/>
              <w:rPr>
                <w:rFonts w:ascii="Arial" w:eastAsia="Times New Roman" w:hAnsi="Arial" w:cs="Arial"/>
                <w:color w:val="000000"/>
                <w:spacing w:val="-2"/>
                <w:sz w:val="18"/>
                <w:szCs w:val="18"/>
              </w:rPr>
            </w:pPr>
          </w:p>
        </w:tc>
        <w:tc>
          <w:tcPr>
            <w:tcW w:w="624" w:type="pct"/>
            <w:tcBorders>
              <w:top w:val="single" w:sz="12" w:space="0" w:color="auto"/>
            </w:tcBorders>
            <w:vAlign w:val="bottom"/>
          </w:tcPr>
          <w:p w14:paraId="776E2117" w14:textId="77777777" w:rsidR="000B424D" w:rsidRPr="007301FA" w:rsidRDefault="000B424D" w:rsidP="000B424D">
            <w:pPr>
              <w:keepLines/>
              <w:spacing w:line="140" w:lineRule="exact"/>
              <w:jc w:val="right"/>
              <w:rPr>
                <w:rFonts w:ascii="Arial" w:eastAsia="Times New Roman" w:hAnsi="Arial" w:cs="Arial"/>
                <w:color w:val="000000"/>
                <w:spacing w:val="-2"/>
                <w:sz w:val="18"/>
                <w:szCs w:val="18"/>
              </w:rPr>
            </w:pPr>
          </w:p>
        </w:tc>
      </w:tr>
      <w:tr w:rsidR="000B424D" w:rsidRPr="007301FA" w14:paraId="4BA726F6" w14:textId="77777777" w:rsidTr="007301FA">
        <w:trPr>
          <w:trHeight w:hRule="exact" w:val="510"/>
        </w:trPr>
        <w:tc>
          <w:tcPr>
            <w:tcW w:w="3751" w:type="pct"/>
            <w:vAlign w:val="bottom"/>
          </w:tcPr>
          <w:p w14:paraId="12CE5EDB" w14:textId="77777777" w:rsidR="000B424D" w:rsidRPr="007301FA" w:rsidRDefault="000B424D" w:rsidP="000B424D">
            <w:pPr>
              <w:keepLines/>
              <w:tabs>
                <w:tab w:val="right" w:pos="1202"/>
              </w:tabs>
              <w:spacing w:line="220" w:lineRule="exact"/>
              <w:outlineLvl w:val="0"/>
              <w:rPr>
                <w:rFonts w:ascii="Arial" w:eastAsia="Times New Roman" w:hAnsi="Arial" w:cs="Arial"/>
                <w:color w:val="000000"/>
                <w:sz w:val="18"/>
                <w:szCs w:val="18"/>
              </w:rPr>
            </w:pPr>
            <w:bookmarkStart w:id="212" w:name="_Toc67327225"/>
            <w:r w:rsidRPr="007301FA">
              <w:rPr>
                <w:rFonts w:ascii="Arial" w:eastAsia="Times New Roman" w:hAnsi="Arial" w:cs="Arial"/>
                <w:color w:val="000000"/>
                <w:sz w:val="18"/>
                <w:szCs w:val="18"/>
              </w:rPr>
              <w:t>Novac i novčani ekvivalenti stanje na dan 1. siječnja, prije umanjenja vrijednosti</w:t>
            </w:r>
            <w:bookmarkEnd w:id="212"/>
            <w:r w:rsidRPr="007301FA">
              <w:rPr>
                <w:rFonts w:ascii="Arial" w:eastAsia="Times New Roman" w:hAnsi="Arial" w:cs="Arial"/>
                <w:color w:val="000000"/>
                <w:sz w:val="18"/>
                <w:szCs w:val="18"/>
              </w:rPr>
              <w:t xml:space="preserve"> </w:t>
            </w:r>
          </w:p>
        </w:tc>
        <w:tc>
          <w:tcPr>
            <w:tcW w:w="625" w:type="pct"/>
            <w:shd w:val="clear" w:color="auto" w:fill="auto"/>
            <w:vAlign w:val="bottom"/>
          </w:tcPr>
          <w:p w14:paraId="1219B54D" w14:textId="5EF19B8B" w:rsidR="000B424D" w:rsidRPr="007301FA" w:rsidRDefault="005E123F" w:rsidP="000B424D">
            <w:pPr>
              <w:keepLines/>
              <w:jc w:val="right"/>
              <w:rPr>
                <w:rFonts w:ascii="Arial" w:eastAsia="Times New Roman" w:hAnsi="Arial" w:cs="Arial"/>
                <w:color w:val="000000"/>
                <w:spacing w:val="-2"/>
                <w:sz w:val="18"/>
                <w:szCs w:val="18"/>
              </w:rPr>
            </w:pPr>
            <w:r>
              <w:rPr>
                <w:rFonts w:ascii="Arial" w:eastAsia="Times New Roman" w:hAnsi="Arial" w:cs="Arial"/>
                <w:color w:val="000000"/>
                <w:spacing w:val="-2"/>
                <w:sz w:val="18"/>
                <w:szCs w:val="18"/>
              </w:rPr>
              <w:t>41.701</w:t>
            </w:r>
          </w:p>
        </w:tc>
        <w:tc>
          <w:tcPr>
            <w:tcW w:w="624" w:type="pct"/>
            <w:shd w:val="clear" w:color="auto" w:fill="auto"/>
            <w:vAlign w:val="bottom"/>
          </w:tcPr>
          <w:p w14:paraId="7F4D1838" w14:textId="14A8EE55" w:rsidR="000B424D" w:rsidRPr="007301FA" w:rsidRDefault="000B424D" w:rsidP="000B424D">
            <w:pPr>
              <w:keepLines/>
              <w:jc w:val="right"/>
              <w:rPr>
                <w:rFonts w:ascii="Arial" w:eastAsia="Times New Roman" w:hAnsi="Arial" w:cs="Arial"/>
                <w:color w:val="000000"/>
                <w:sz w:val="18"/>
                <w:szCs w:val="18"/>
              </w:rPr>
            </w:pPr>
            <w:r w:rsidRPr="007301FA">
              <w:rPr>
                <w:rFonts w:ascii="Arial" w:hAnsi="Arial" w:cs="Arial"/>
                <w:sz w:val="18"/>
                <w:szCs w:val="18"/>
              </w:rPr>
              <w:t xml:space="preserve"> 228.625 </w:t>
            </w:r>
          </w:p>
        </w:tc>
      </w:tr>
      <w:tr w:rsidR="000B424D" w:rsidRPr="007301FA" w14:paraId="37AC81B1" w14:textId="77777777" w:rsidTr="007301FA">
        <w:trPr>
          <w:trHeight w:hRule="exact" w:val="227"/>
        </w:trPr>
        <w:tc>
          <w:tcPr>
            <w:tcW w:w="3751" w:type="pct"/>
            <w:vAlign w:val="bottom"/>
          </w:tcPr>
          <w:p w14:paraId="668E86B4" w14:textId="21A813DE" w:rsidR="000B424D" w:rsidRPr="00505224" w:rsidRDefault="000B424D" w:rsidP="000B424D">
            <w:pPr>
              <w:keepLines/>
              <w:tabs>
                <w:tab w:val="right" w:pos="1202"/>
              </w:tabs>
              <w:spacing w:line="220" w:lineRule="exact"/>
              <w:outlineLvl w:val="0"/>
              <w:rPr>
                <w:rFonts w:ascii="Arial" w:eastAsia="Times New Roman" w:hAnsi="Arial" w:cs="Arial"/>
                <w:color w:val="000000"/>
                <w:sz w:val="18"/>
                <w:szCs w:val="18"/>
              </w:rPr>
            </w:pPr>
            <w:bookmarkStart w:id="213" w:name="_Toc67327226"/>
            <w:r w:rsidRPr="00505224">
              <w:rPr>
                <w:rFonts w:ascii="Arial" w:eastAsia="Times New Roman" w:hAnsi="Arial" w:cs="Arial"/>
                <w:color w:val="000000"/>
                <w:sz w:val="18"/>
                <w:szCs w:val="18"/>
              </w:rPr>
              <w:t xml:space="preserve">Neto </w:t>
            </w:r>
            <w:r w:rsidR="005E123F">
              <w:rPr>
                <w:rFonts w:ascii="Arial" w:eastAsia="Times New Roman" w:hAnsi="Arial" w:cs="Arial"/>
                <w:color w:val="000000"/>
                <w:sz w:val="18"/>
                <w:szCs w:val="18"/>
              </w:rPr>
              <w:t>povećanje/</w:t>
            </w:r>
            <w:r w:rsidRPr="00505224">
              <w:rPr>
                <w:rFonts w:ascii="Arial" w:eastAsia="Times New Roman" w:hAnsi="Arial" w:cs="Arial"/>
                <w:color w:val="000000"/>
                <w:sz w:val="18"/>
                <w:szCs w:val="18"/>
              </w:rPr>
              <w:t>(smanjenje) novca</w:t>
            </w:r>
            <w:bookmarkEnd w:id="213"/>
          </w:p>
        </w:tc>
        <w:tc>
          <w:tcPr>
            <w:tcW w:w="625" w:type="pct"/>
            <w:tcBorders>
              <w:bottom w:val="single" w:sz="4" w:space="0" w:color="auto"/>
            </w:tcBorders>
            <w:shd w:val="clear" w:color="auto" w:fill="auto"/>
            <w:vAlign w:val="bottom"/>
          </w:tcPr>
          <w:p w14:paraId="04D29158" w14:textId="53D8AF3E" w:rsidR="000B424D" w:rsidRPr="007301FA" w:rsidRDefault="005E123F" w:rsidP="000B424D">
            <w:pPr>
              <w:keepLines/>
              <w:jc w:val="right"/>
              <w:rPr>
                <w:rFonts w:ascii="Arial" w:eastAsia="Times New Roman" w:hAnsi="Arial" w:cs="Arial"/>
                <w:color w:val="000000"/>
                <w:spacing w:val="-2"/>
                <w:sz w:val="18"/>
                <w:szCs w:val="18"/>
              </w:rPr>
            </w:pPr>
            <w:r>
              <w:rPr>
                <w:rFonts w:ascii="Arial" w:eastAsia="Times New Roman" w:hAnsi="Arial" w:cs="Arial"/>
                <w:color w:val="000000"/>
                <w:spacing w:val="-2"/>
                <w:sz w:val="18"/>
                <w:szCs w:val="18"/>
              </w:rPr>
              <w:t>35.536</w:t>
            </w:r>
          </w:p>
        </w:tc>
        <w:tc>
          <w:tcPr>
            <w:tcW w:w="624" w:type="pct"/>
            <w:tcBorders>
              <w:bottom w:val="single" w:sz="4" w:space="0" w:color="auto"/>
            </w:tcBorders>
            <w:shd w:val="clear" w:color="auto" w:fill="auto"/>
            <w:vAlign w:val="bottom"/>
          </w:tcPr>
          <w:p w14:paraId="1D1E8A4E" w14:textId="3C9BBF5E" w:rsidR="000B424D" w:rsidRPr="007301FA" w:rsidRDefault="000B424D" w:rsidP="000B424D">
            <w:pPr>
              <w:keepLines/>
              <w:jc w:val="right"/>
              <w:rPr>
                <w:rFonts w:ascii="Arial" w:eastAsia="Times New Roman" w:hAnsi="Arial" w:cs="Arial"/>
                <w:color w:val="000000"/>
                <w:sz w:val="18"/>
                <w:szCs w:val="18"/>
              </w:rPr>
            </w:pPr>
            <w:r w:rsidRPr="007301FA">
              <w:rPr>
                <w:rFonts w:ascii="Arial" w:hAnsi="Arial" w:cs="Arial"/>
                <w:sz w:val="18"/>
                <w:szCs w:val="18"/>
              </w:rPr>
              <w:t xml:space="preserve"> (191.871)</w:t>
            </w:r>
          </w:p>
        </w:tc>
      </w:tr>
      <w:tr w:rsidR="000B424D" w:rsidRPr="007301FA" w14:paraId="337BB7F5" w14:textId="77777777" w:rsidTr="007301FA">
        <w:trPr>
          <w:trHeight w:val="122"/>
        </w:trPr>
        <w:tc>
          <w:tcPr>
            <w:tcW w:w="3751" w:type="pct"/>
            <w:vAlign w:val="bottom"/>
          </w:tcPr>
          <w:p w14:paraId="6FF83558" w14:textId="2391F8D2" w:rsidR="000B424D" w:rsidRPr="00505224" w:rsidRDefault="000B424D" w:rsidP="000B424D">
            <w:pPr>
              <w:keepLines/>
              <w:tabs>
                <w:tab w:val="right" w:pos="1202"/>
              </w:tabs>
              <w:spacing w:line="220" w:lineRule="exact"/>
              <w:outlineLvl w:val="0"/>
              <w:rPr>
                <w:rFonts w:ascii="Arial" w:eastAsia="Times New Roman" w:hAnsi="Arial" w:cs="Arial"/>
                <w:b/>
                <w:bCs/>
                <w:color w:val="000000"/>
                <w:sz w:val="18"/>
                <w:szCs w:val="18"/>
              </w:rPr>
            </w:pPr>
            <w:bookmarkStart w:id="214" w:name="_Toc67327227"/>
            <w:r w:rsidRPr="00505224">
              <w:rPr>
                <w:rFonts w:ascii="Arial" w:eastAsia="Times New Roman" w:hAnsi="Arial" w:cs="Arial"/>
                <w:b/>
                <w:bCs/>
                <w:color w:val="000000"/>
                <w:sz w:val="18"/>
                <w:szCs w:val="18"/>
              </w:rPr>
              <w:t xml:space="preserve">Novac i novčani ekvivalenti stanje na dan 31.ožujka, prije umanjenja vrijednosti  </w:t>
            </w:r>
            <w:bookmarkEnd w:id="214"/>
            <w:r w:rsidRPr="00505224">
              <w:rPr>
                <w:rFonts w:ascii="Arial" w:eastAsia="Times New Roman" w:hAnsi="Arial" w:cs="Arial"/>
                <w:b/>
                <w:bCs/>
                <w:color w:val="000000"/>
                <w:sz w:val="18"/>
                <w:szCs w:val="18"/>
              </w:rPr>
              <w:t xml:space="preserve">     9</w:t>
            </w:r>
          </w:p>
        </w:tc>
        <w:tc>
          <w:tcPr>
            <w:tcW w:w="625" w:type="pct"/>
            <w:tcBorders>
              <w:top w:val="single" w:sz="4" w:space="0" w:color="auto"/>
              <w:bottom w:val="single" w:sz="12" w:space="0" w:color="auto"/>
            </w:tcBorders>
            <w:vAlign w:val="bottom"/>
          </w:tcPr>
          <w:p w14:paraId="20236D34" w14:textId="47CA2964" w:rsidR="000B424D" w:rsidRPr="007301FA" w:rsidRDefault="005E123F" w:rsidP="000B424D">
            <w:pPr>
              <w:spacing w:line="220" w:lineRule="exact"/>
              <w:jc w:val="right"/>
              <w:rPr>
                <w:rFonts w:ascii="Arial" w:eastAsia="Times New Roman" w:hAnsi="Arial" w:cs="Arial"/>
                <w:b/>
                <w:bCs/>
                <w:color w:val="000000"/>
                <w:spacing w:val="-2"/>
                <w:sz w:val="18"/>
                <w:szCs w:val="18"/>
              </w:rPr>
            </w:pPr>
            <w:r>
              <w:rPr>
                <w:rFonts w:ascii="Arial" w:eastAsia="Times New Roman" w:hAnsi="Arial" w:cs="Arial"/>
                <w:b/>
                <w:bCs/>
                <w:color w:val="000000"/>
                <w:spacing w:val="-2"/>
                <w:sz w:val="18"/>
                <w:szCs w:val="18"/>
              </w:rPr>
              <w:t>77.237</w:t>
            </w:r>
          </w:p>
        </w:tc>
        <w:tc>
          <w:tcPr>
            <w:tcW w:w="624" w:type="pct"/>
            <w:tcBorders>
              <w:top w:val="single" w:sz="4" w:space="0" w:color="auto"/>
              <w:bottom w:val="single" w:sz="12" w:space="0" w:color="auto"/>
            </w:tcBorders>
            <w:vAlign w:val="bottom"/>
          </w:tcPr>
          <w:p w14:paraId="0A211DAA" w14:textId="07E0F8A7" w:rsidR="000B424D" w:rsidRPr="007301FA" w:rsidRDefault="000B424D" w:rsidP="000B424D">
            <w:pPr>
              <w:spacing w:line="220" w:lineRule="exact"/>
              <w:jc w:val="right"/>
              <w:rPr>
                <w:rFonts w:ascii="Arial" w:eastAsia="Times New Roman" w:hAnsi="Arial" w:cs="Arial"/>
                <w:b/>
                <w:bCs/>
                <w:color w:val="000000"/>
                <w:spacing w:val="-2"/>
                <w:sz w:val="18"/>
                <w:szCs w:val="18"/>
              </w:rPr>
            </w:pPr>
            <w:r w:rsidRPr="007301FA">
              <w:rPr>
                <w:rFonts w:ascii="Arial" w:hAnsi="Arial" w:cs="Arial"/>
                <w:b/>
                <w:bCs/>
                <w:sz w:val="18"/>
                <w:szCs w:val="18"/>
              </w:rPr>
              <w:t xml:space="preserve"> 36.754 </w:t>
            </w:r>
          </w:p>
        </w:tc>
      </w:tr>
      <w:tr w:rsidR="000B424D" w:rsidRPr="007301FA" w14:paraId="0C99932C" w14:textId="77777777" w:rsidTr="007301FA">
        <w:trPr>
          <w:trHeight w:hRule="exact" w:val="113"/>
        </w:trPr>
        <w:tc>
          <w:tcPr>
            <w:tcW w:w="3751" w:type="pct"/>
            <w:vAlign w:val="bottom"/>
          </w:tcPr>
          <w:p w14:paraId="2C4D0A7F" w14:textId="77777777" w:rsidR="000B424D" w:rsidRPr="007301FA" w:rsidRDefault="000B424D" w:rsidP="000B424D">
            <w:pPr>
              <w:keepLines/>
              <w:tabs>
                <w:tab w:val="decimal" w:pos="1202"/>
              </w:tabs>
              <w:spacing w:line="140" w:lineRule="exact"/>
              <w:rPr>
                <w:rFonts w:ascii="Arial" w:eastAsia="Times New Roman" w:hAnsi="Arial" w:cs="Arial"/>
                <w:b/>
                <w:color w:val="000000"/>
                <w:position w:val="4"/>
                <w:sz w:val="18"/>
                <w:szCs w:val="18"/>
                <w:u w:val="thick"/>
              </w:rPr>
            </w:pPr>
          </w:p>
        </w:tc>
        <w:tc>
          <w:tcPr>
            <w:tcW w:w="625" w:type="pct"/>
            <w:tcBorders>
              <w:top w:val="single" w:sz="12" w:space="0" w:color="auto"/>
            </w:tcBorders>
            <w:vAlign w:val="bottom"/>
          </w:tcPr>
          <w:p w14:paraId="22987178" w14:textId="77777777" w:rsidR="000B424D" w:rsidRPr="007301FA" w:rsidRDefault="000B424D" w:rsidP="000B424D">
            <w:pPr>
              <w:keepLines/>
              <w:spacing w:line="140" w:lineRule="exact"/>
              <w:jc w:val="right"/>
              <w:rPr>
                <w:rFonts w:ascii="Arial" w:eastAsia="Times New Roman" w:hAnsi="Arial" w:cs="Arial"/>
                <w:b/>
                <w:color w:val="000000"/>
                <w:position w:val="4"/>
                <w:sz w:val="18"/>
                <w:szCs w:val="18"/>
                <w:u w:val="thick"/>
              </w:rPr>
            </w:pPr>
          </w:p>
        </w:tc>
        <w:tc>
          <w:tcPr>
            <w:tcW w:w="624" w:type="pct"/>
            <w:tcBorders>
              <w:top w:val="single" w:sz="12" w:space="0" w:color="auto"/>
            </w:tcBorders>
            <w:vAlign w:val="bottom"/>
          </w:tcPr>
          <w:p w14:paraId="4D45DF6F" w14:textId="77777777" w:rsidR="000B424D" w:rsidRPr="007301FA" w:rsidRDefault="000B424D" w:rsidP="000B424D">
            <w:pPr>
              <w:keepLines/>
              <w:spacing w:line="140" w:lineRule="exact"/>
              <w:jc w:val="right"/>
              <w:rPr>
                <w:rFonts w:ascii="Arial" w:eastAsia="Times New Roman" w:hAnsi="Arial" w:cs="Arial"/>
                <w:b/>
                <w:color w:val="000000"/>
                <w:position w:val="4"/>
                <w:sz w:val="18"/>
                <w:szCs w:val="18"/>
                <w:u w:val="thick"/>
              </w:rPr>
            </w:pPr>
          </w:p>
        </w:tc>
      </w:tr>
      <w:tr w:rsidR="000B424D" w:rsidRPr="007301FA" w14:paraId="7FCFA581" w14:textId="77777777" w:rsidTr="007301FA">
        <w:trPr>
          <w:trHeight w:val="247"/>
        </w:trPr>
        <w:tc>
          <w:tcPr>
            <w:tcW w:w="3751" w:type="pct"/>
            <w:vAlign w:val="bottom"/>
          </w:tcPr>
          <w:p w14:paraId="7AAFBD65" w14:textId="77777777" w:rsidR="000B424D" w:rsidRPr="007301FA" w:rsidRDefault="000B424D" w:rsidP="000B424D">
            <w:pPr>
              <w:keepLines/>
              <w:tabs>
                <w:tab w:val="decimal" w:pos="1202"/>
              </w:tabs>
              <w:spacing w:line="220" w:lineRule="exact"/>
              <w:rPr>
                <w:rFonts w:ascii="Arial" w:eastAsia="Times New Roman" w:hAnsi="Arial" w:cs="Arial"/>
                <w:b/>
                <w:color w:val="000000"/>
                <w:position w:val="4"/>
                <w:sz w:val="18"/>
                <w:szCs w:val="18"/>
              </w:rPr>
            </w:pPr>
            <w:r w:rsidRPr="007301FA">
              <w:rPr>
                <w:rFonts w:ascii="Arial" w:eastAsia="Times New Roman" w:hAnsi="Arial" w:cs="Arial"/>
                <w:b/>
                <w:color w:val="000000"/>
                <w:position w:val="4"/>
                <w:sz w:val="18"/>
                <w:szCs w:val="18"/>
              </w:rPr>
              <w:t>Dopunski podaci – poslovne aktivnosti</w:t>
            </w:r>
          </w:p>
        </w:tc>
        <w:tc>
          <w:tcPr>
            <w:tcW w:w="625" w:type="pct"/>
            <w:vAlign w:val="bottom"/>
          </w:tcPr>
          <w:p w14:paraId="4301D7A8" w14:textId="77777777" w:rsidR="000B424D" w:rsidRPr="007301FA" w:rsidRDefault="000B424D" w:rsidP="000B424D">
            <w:pPr>
              <w:keepLines/>
              <w:spacing w:line="220" w:lineRule="exact"/>
              <w:jc w:val="right"/>
              <w:rPr>
                <w:rFonts w:ascii="Arial" w:eastAsia="Times New Roman" w:hAnsi="Arial" w:cs="Arial"/>
                <w:b/>
                <w:color w:val="000000"/>
                <w:position w:val="4"/>
                <w:sz w:val="18"/>
                <w:szCs w:val="18"/>
              </w:rPr>
            </w:pPr>
          </w:p>
        </w:tc>
        <w:tc>
          <w:tcPr>
            <w:tcW w:w="624" w:type="pct"/>
            <w:vAlign w:val="bottom"/>
          </w:tcPr>
          <w:p w14:paraId="38BB2D8F" w14:textId="77777777" w:rsidR="000B424D" w:rsidRPr="007301FA" w:rsidRDefault="000B424D" w:rsidP="000B424D">
            <w:pPr>
              <w:keepLines/>
              <w:spacing w:line="220" w:lineRule="exact"/>
              <w:jc w:val="right"/>
              <w:rPr>
                <w:rFonts w:ascii="Arial" w:eastAsia="Times New Roman" w:hAnsi="Arial" w:cs="Arial"/>
                <w:b/>
                <w:color w:val="000000"/>
                <w:position w:val="4"/>
                <w:sz w:val="18"/>
                <w:szCs w:val="18"/>
              </w:rPr>
            </w:pPr>
          </w:p>
        </w:tc>
      </w:tr>
      <w:tr w:rsidR="000B424D" w:rsidRPr="007301FA" w14:paraId="00A343C1" w14:textId="77777777" w:rsidTr="007301FA">
        <w:trPr>
          <w:trHeight w:val="68"/>
        </w:trPr>
        <w:tc>
          <w:tcPr>
            <w:tcW w:w="3751" w:type="pct"/>
            <w:vAlign w:val="bottom"/>
          </w:tcPr>
          <w:p w14:paraId="5C0D4EE8" w14:textId="77777777" w:rsidR="000B424D" w:rsidRPr="007301FA" w:rsidRDefault="000B424D" w:rsidP="000B424D">
            <w:pPr>
              <w:keepLines/>
              <w:tabs>
                <w:tab w:val="right" w:pos="1202"/>
              </w:tabs>
              <w:spacing w:line="220" w:lineRule="exact"/>
              <w:outlineLvl w:val="0"/>
              <w:rPr>
                <w:rFonts w:ascii="Arial" w:eastAsia="Times New Roman" w:hAnsi="Arial" w:cs="Arial"/>
                <w:color w:val="000000"/>
                <w:sz w:val="18"/>
                <w:szCs w:val="18"/>
              </w:rPr>
            </w:pPr>
            <w:bookmarkStart w:id="215" w:name="_Toc67327228"/>
            <w:r w:rsidRPr="007301FA">
              <w:rPr>
                <w:rFonts w:ascii="Arial" w:eastAsia="Times New Roman" w:hAnsi="Arial" w:cs="Arial"/>
                <w:color w:val="000000"/>
                <w:sz w:val="18"/>
                <w:szCs w:val="18"/>
              </w:rPr>
              <w:t>Plaćene kamate</w:t>
            </w:r>
            <w:bookmarkEnd w:id="215"/>
          </w:p>
        </w:tc>
        <w:tc>
          <w:tcPr>
            <w:tcW w:w="625" w:type="pct"/>
            <w:shd w:val="clear" w:color="auto" w:fill="auto"/>
            <w:vAlign w:val="bottom"/>
          </w:tcPr>
          <w:p w14:paraId="0598FCAA" w14:textId="6DF269CF" w:rsidR="000B424D" w:rsidRPr="007301FA" w:rsidRDefault="007A6B47" w:rsidP="000B424D">
            <w:pPr>
              <w:keepLines/>
              <w:tabs>
                <w:tab w:val="right" w:pos="1202"/>
              </w:tabs>
              <w:spacing w:line="22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7.095</w:t>
            </w:r>
          </w:p>
        </w:tc>
        <w:tc>
          <w:tcPr>
            <w:tcW w:w="624" w:type="pct"/>
            <w:shd w:val="clear" w:color="auto" w:fill="auto"/>
            <w:vAlign w:val="bottom"/>
          </w:tcPr>
          <w:p w14:paraId="5921CC30" w14:textId="1B58FAC0" w:rsidR="000B424D" w:rsidRPr="007301FA" w:rsidRDefault="000B424D" w:rsidP="000B424D">
            <w:pPr>
              <w:keepLines/>
              <w:tabs>
                <w:tab w:val="right" w:pos="1202"/>
              </w:tabs>
              <w:spacing w:line="220" w:lineRule="exact"/>
              <w:jc w:val="right"/>
              <w:outlineLvl w:val="0"/>
              <w:rPr>
                <w:rFonts w:ascii="Arial" w:eastAsia="Times New Roman" w:hAnsi="Arial" w:cs="Arial"/>
                <w:color w:val="000000"/>
                <w:spacing w:val="-2"/>
                <w:sz w:val="18"/>
                <w:szCs w:val="18"/>
              </w:rPr>
            </w:pPr>
            <w:r w:rsidRPr="007301FA">
              <w:rPr>
                <w:rFonts w:ascii="Arial" w:eastAsia="Times New Roman" w:hAnsi="Arial" w:cs="Arial"/>
                <w:color w:val="000000"/>
                <w:sz w:val="18"/>
                <w:szCs w:val="18"/>
              </w:rPr>
              <w:t>4.403</w:t>
            </w:r>
          </w:p>
        </w:tc>
      </w:tr>
      <w:tr w:rsidR="000B424D" w:rsidRPr="007301FA" w14:paraId="572DDD07" w14:textId="77777777" w:rsidTr="007301FA">
        <w:trPr>
          <w:trHeight w:val="68"/>
        </w:trPr>
        <w:tc>
          <w:tcPr>
            <w:tcW w:w="3751" w:type="pct"/>
            <w:vAlign w:val="bottom"/>
          </w:tcPr>
          <w:p w14:paraId="126AEF53" w14:textId="77777777" w:rsidR="000B424D" w:rsidRPr="007301FA" w:rsidRDefault="000B424D" w:rsidP="000B424D">
            <w:pPr>
              <w:keepLines/>
              <w:tabs>
                <w:tab w:val="right" w:pos="1202"/>
              </w:tabs>
              <w:spacing w:line="220" w:lineRule="exact"/>
              <w:outlineLvl w:val="0"/>
              <w:rPr>
                <w:rFonts w:ascii="Arial" w:eastAsia="Times New Roman" w:hAnsi="Arial" w:cs="Arial"/>
                <w:color w:val="000000"/>
                <w:sz w:val="18"/>
                <w:szCs w:val="18"/>
              </w:rPr>
            </w:pPr>
            <w:bookmarkStart w:id="216" w:name="_Toc67327230"/>
            <w:r w:rsidRPr="007301FA">
              <w:rPr>
                <w:rFonts w:ascii="Arial" w:eastAsia="Times New Roman" w:hAnsi="Arial" w:cs="Arial"/>
                <w:color w:val="000000"/>
                <w:sz w:val="18"/>
                <w:szCs w:val="18"/>
              </w:rPr>
              <w:t>Primljene kamate</w:t>
            </w:r>
            <w:bookmarkEnd w:id="216"/>
          </w:p>
        </w:tc>
        <w:tc>
          <w:tcPr>
            <w:tcW w:w="625" w:type="pct"/>
            <w:shd w:val="clear" w:color="auto" w:fill="auto"/>
            <w:vAlign w:val="bottom"/>
          </w:tcPr>
          <w:p w14:paraId="2B6BFD13" w14:textId="430F8769" w:rsidR="000B424D" w:rsidRPr="007301FA" w:rsidRDefault="007A6B47" w:rsidP="000B424D">
            <w:pPr>
              <w:keepLines/>
              <w:tabs>
                <w:tab w:val="right" w:pos="1202"/>
              </w:tabs>
              <w:spacing w:line="220" w:lineRule="exact"/>
              <w:jc w:val="right"/>
              <w:outlineLvl w:val="0"/>
              <w:rPr>
                <w:rFonts w:ascii="Arial" w:eastAsia="Times New Roman" w:hAnsi="Arial" w:cs="Arial"/>
                <w:color w:val="000000"/>
                <w:spacing w:val="-2"/>
                <w:sz w:val="18"/>
                <w:szCs w:val="18"/>
              </w:rPr>
            </w:pPr>
            <w:r>
              <w:rPr>
                <w:rFonts w:ascii="Arial" w:eastAsia="Times New Roman" w:hAnsi="Arial" w:cs="Arial"/>
                <w:color w:val="000000"/>
                <w:spacing w:val="-2"/>
                <w:sz w:val="18"/>
                <w:szCs w:val="18"/>
              </w:rPr>
              <w:t>19.069</w:t>
            </w:r>
          </w:p>
        </w:tc>
        <w:tc>
          <w:tcPr>
            <w:tcW w:w="624" w:type="pct"/>
            <w:shd w:val="clear" w:color="auto" w:fill="auto"/>
            <w:vAlign w:val="bottom"/>
          </w:tcPr>
          <w:p w14:paraId="68D8908A" w14:textId="51B8942A" w:rsidR="000B424D" w:rsidRPr="007301FA" w:rsidRDefault="000B424D" w:rsidP="000B424D">
            <w:pPr>
              <w:keepLines/>
              <w:tabs>
                <w:tab w:val="right" w:pos="1202"/>
              </w:tabs>
              <w:spacing w:line="220" w:lineRule="exact"/>
              <w:jc w:val="right"/>
              <w:outlineLvl w:val="0"/>
              <w:rPr>
                <w:rFonts w:ascii="Arial" w:eastAsia="Times New Roman" w:hAnsi="Arial" w:cs="Arial"/>
                <w:color w:val="000000"/>
                <w:spacing w:val="-2"/>
                <w:sz w:val="18"/>
                <w:szCs w:val="18"/>
              </w:rPr>
            </w:pPr>
            <w:r w:rsidRPr="007301FA">
              <w:rPr>
                <w:rFonts w:ascii="Arial" w:eastAsia="Times New Roman" w:hAnsi="Arial" w:cs="Arial"/>
                <w:color w:val="000000"/>
                <w:spacing w:val="-2"/>
                <w:sz w:val="18"/>
                <w:szCs w:val="18"/>
              </w:rPr>
              <w:t>19.392</w:t>
            </w:r>
          </w:p>
        </w:tc>
      </w:tr>
    </w:tbl>
    <w:p w14:paraId="13A8BD30" w14:textId="62CFF5EA" w:rsidR="00764509" w:rsidRPr="003D1614" w:rsidRDefault="00764509" w:rsidP="00A56428">
      <w:pPr>
        <w:rPr>
          <w:rFonts w:ascii="Arial" w:eastAsia="Times New Roman" w:hAnsi="Arial" w:cs="Arial"/>
          <w:sz w:val="20"/>
          <w:szCs w:val="20"/>
        </w:rPr>
      </w:pPr>
    </w:p>
    <w:p w14:paraId="5F1A0818" w14:textId="4E6C2410" w:rsidR="003E2F5E" w:rsidRPr="003D1614" w:rsidRDefault="003E2F5E" w:rsidP="00A56428">
      <w:pPr>
        <w:rPr>
          <w:rFonts w:ascii="Arial" w:eastAsia="Times New Roman" w:hAnsi="Arial" w:cs="Arial"/>
          <w:sz w:val="20"/>
          <w:szCs w:val="20"/>
        </w:rPr>
      </w:pPr>
      <w:r w:rsidRPr="003D1614">
        <w:rPr>
          <w:rFonts w:ascii="Arial" w:eastAsia="Times New Roman" w:hAnsi="Arial" w:cs="Arial"/>
          <w:sz w:val="20"/>
          <w:szCs w:val="20"/>
        </w:rPr>
        <w:t>Priložene računovodstvene politike i bilješke sastavni su dio ovih financijskih izvještaja.</w:t>
      </w:r>
    </w:p>
    <w:p w14:paraId="25B066FC" w14:textId="7B6B9DF8" w:rsidR="003E2F5E" w:rsidRPr="003D1614" w:rsidRDefault="003E2F5E" w:rsidP="00A56428">
      <w:pPr>
        <w:rPr>
          <w:rFonts w:ascii="Arial" w:eastAsia="Times New Roman" w:hAnsi="Arial" w:cs="Arial"/>
          <w:sz w:val="20"/>
          <w:szCs w:val="20"/>
        </w:rPr>
      </w:pPr>
    </w:p>
    <w:p w14:paraId="6D872A40" w14:textId="77777777" w:rsidR="003E2F5E" w:rsidRPr="003D1614" w:rsidRDefault="003E2F5E" w:rsidP="00A56428">
      <w:pPr>
        <w:rPr>
          <w:rFonts w:ascii="Arial" w:eastAsia="Times New Roman" w:hAnsi="Arial" w:cs="Arial"/>
          <w:sz w:val="20"/>
          <w:szCs w:val="20"/>
        </w:rPr>
        <w:sectPr w:rsidR="003E2F5E" w:rsidRPr="003D1614">
          <w:headerReference w:type="default" r:id="rId19"/>
          <w:pgSz w:w="11906" w:h="16838"/>
          <w:pgMar w:top="1417" w:right="1417" w:bottom="1417" w:left="1417" w:header="708" w:footer="708" w:gutter="0"/>
          <w:cols w:space="708"/>
          <w:docGrid w:linePitch="360"/>
        </w:sectPr>
      </w:pPr>
    </w:p>
    <w:p w14:paraId="6A983DC9" w14:textId="65B99074" w:rsidR="003E2F5E" w:rsidRPr="003D1614" w:rsidRDefault="003E2F5E" w:rsidP="00A56428">
      <w:pPr>
        <w:rPr>
          <w:rFonts w:ascii="Arial" w:eastAsia="Times New Roman" w:hAnsi="Arial" w:cs="Arial"/>
          <w:sz w:val="20"/>
          <w:szCs w:val="20"/>
        </w:rPr>
      </w:pPr>
    </w:p>
    <w:p w14:paraId="1AE792E0" w14:textId="40FA61F5" w:rsidR="00145D68" w:rsidRPr="003D1614" w:rsidRDefault="00145D68" w:rsidP="00A56428">
      <w:pPr>
        <w:rPr>
          <w:rFonts w:ascii="Arial" w:eastAsia="Times New Roman" w:hAnsi="Arial" w:cs="Arial"/>
          <w:sz w:val="20"/>
          <w:szCs w:val="20"/>
        </w:rPr>
      </w:pPr>
    </w:p>
    <w:tbl>
      <w:tblPr>
        <w:tblpPr w:leftFromText="181" w:rightFromText="181" w:vertAnchor="text" w:horzAnchor="margin" w:tblpY="75"/>
        <w:tblW w:w="5161" w:type="pct"/>
        <w:tblLayout w:type="fixed"/>
        <w:tblCellMar>
          <w:left w:w="120" w:type="dxa"/>
          <w:right w:w="120" w:type="dxa"/>
        </w:tblCellMar>
        <w:tblLook w:val="0000" w:firstRow="0" w:lastRow="0" w:firstColumn="0" w:lastColumn="0" w:noHBand="0" w:noVBand="0"/>
      </w:tblPr>
      <w:tblGrid>
        <w:gridCol w:w="2704"/>
        <w:gridCol w:w="1109"/>
        <w:gridCol w:w="1111"/>
        <w:gridCol w:w="1109"/>
        <w:gridCol w:w="1111"/>
        <w:gridCol w:w="1109"/>
        <w:gridCol w:w="1111"/>
      </w:tblGrid>
      <w:tr w:rsidR="00145D68" w:rsidRPr="003B45F7" w14:paraId="7673DCC4" w14:textId="77777777" w:rsidTr="00531D68">
        <w:trPr>
          <w:trHeight w:val="636"/>
        </w:trPr>
        <w:tc>
          <w:tcPr>
            <w:tcW w:w="1444" w:type="pct"/>
            <w:vAlign w:val="bottom"/>
          </w:tcPr>
          <w:p w14:paraId="6707B1F7" w14:textId="77777777" w:rsidR="00145D68" w:rsidRPr="003B45F7" w:rsidRDefault="00145D68" w:rsidP="00531D68">
            <w:pPr>
              <w:tabs>
                <w:tab w:val="right" w:pos="1202"/>
              </w:tabs>
              <w:spacing w:line="301" w:lineRule="exact"/>
              <w:outlineLvl w:val="0"/>
              <w:rPr>
                <w:rFonts w:ascii="Arial" w:eastAsia="Times New Roman" w:hAnsi="Arial" w:cs="Arial"/>
                <w:iCs/>
                <w:color w:val="000000"/>
                <w:sz w:val="17"/>
                <w:szCs w:val="17"/>
              </w:rPr>
            </w:pPr>
          </w:p>
        </w:tc>
        <w:tc>
          <w:tcPr>
            <w:tcW w:w="592" w:type="pct"/>
            <w:vAlign w:val="bottom"/>
          </w:tcPr>
          <w:p w14:paraId="2D4342EC" w14:textId="77777777" w:rsidR="00145D68" w:rsidRPr="003B45F7" w:rsidRDefault="00145D68" w:rsidP="00242B62">
            <w:pPr>
              <w:tabs>
                <w:tab w:val="right" w:pos="1202"/>
              </w:tabs>
              <w:spacing w:line="301" w:lineRule="exact"/>
              <w:jc w:val="right"/>
              <w:outlineLvl w:val="0"/>
              <w:rPr>
                <w:rFonts w:ascii="Arial" w:eastAsia="Times New Roman" w:hAnsi="Arial" w:cs="Arial"/>
                <w:b/>
                <w:iCs/>
                <w:color w:val="000000"/>
                <w:sz w:val="17"/>
                <w:szCs w:val="17"/>
              </w:rPr>
            </w:pPr>
            <w:bookmarkStart w:id="217" w:name="_Toc67327233"/>
            <w:r w:rsidRPr="003B45F7">
              <w:rPr>
                <w:rFonts w:ascii="Arial" w:eastAsia="Times New Roman" w:hAnsi="Arial" w:cs="Arial"/>
                <w:b/>
                <w:iCs/>
                <w:color w:val="000000"/>
                <w:sz w:val="17"/>
                <w:szCs w:val="17"/>
              </w:rPr>
              <w:t>Osnivački</w:t>
            </w:r>
            <w:bookmarkEnd w:id="217"/>
            <w:r w:rsidRPr="003B45F7">
              <w:rPr>
                <w:rFonts w:ascii="Arial" w:eastAsia="Times New Roman" w:hAnsi="Arial" w:cs="Arial"/>
                <w:b/>
                <w:iCs/>
                <w:color w:val="000000"/>
                <w:sz w:val="17"/>
                <w:szCs w:val="17"/>
              </w:rPr>
              <w:t xml:space="preserve"> </w:t>
            </w:r>
          </w:p>
          <w:p w14:paraId="086B2AAF" w14:textId="77777777" w:rsidR="00145D68" w:rsidRPr="003B45F7" w:rsidRDefault="00145D68" w:rsidP="00242B62">
            <w:pPr>
              <w:tabs>
                <w:tab w:val="right" w:pos="1202"/>
              </w:tabs>
              <w:spacing w:line="301" w:lineRule="exact"/>
              <w:jc w:val="right"/>
              <w:outlineLvl w:val="0"/>
              <w:rPr>
                <w:rFonts w:ascii="Arial" w:eastAsia="Times New Roman" w:hAnsi="Arial" w:cs="Arial"/>
                <w:b/>
                <w:iCs/>
                <w:color w:val="000000"/>
                <w:sz w:val="17"/>
                <w:szCs w:val="17"/>
              </w:rPr>
            </w:pPr>
            <w:bookmarkStart w:id="218" w:name="_Toc67327234"/>
            <w:r w:rsidRPr="003B45F7">
              <w:rPr>
                <w:rFonts w:ascii="Arial" w:eastAsia="Times New Roman" w:hAnsi="Arial" w:cs="Arial"/>
                <w:b/>
                <w:iCs/>
                <w:color w:val="000000"/>
                <w:sz w:val="17"/>
                <w:szCs w:val="17"/>
              </w:rPr>
              <w:t>kapital</w:t>
            </w:r>
            <w:bookmarkEnd w:id="218"/>
          </w:p>
        </w:tc>
        <w:tc>
          <w:tcPr>
            <w:tcW w:w="593" w:type="pct"/>
            <w:vAlign w:val="bottom"/>
          </w:tcPr>
          <w:p w14:paraId="125131FA" w14:textId="77777777" w:rsidR="00145D68" w:rsidRPr="003B45F7" w:rsidRDefault="00145D68" w:rsidP="00242B62">
            <w:pPr>
              <w:tabs>
                <w:tab w:val="right" w:pos="1202"/>
              </w:tabs>
              <w:spacing w:line="301" w:lineRule="exact"/>
              <w:jc w:val="right"/>
              <w:outlineLvl w:val="0"/>
              <w:rPr>
                <w:rFonts w:ascii="Arial" w:eastAsia="Times New Roman" w:hAnsi="Arial" w:cs="Arial"/>
                <w:b/>
                <w:iCs/>
                <w:color w:val="000000"/>
                <w:sz w:val="17"/>
                <w:szCs w:val="17"/>
              </w:rPr>
            </w:pPr>
            <w:r w:rsidRPr="003B45F7">
              <w:rPr>
                <w:rFonts w:ascii="Arial" w:eastAsia="Times New Roman" w:hAnsi="Arial" w:cs="Arial"/>
                <w:b/>
                <w:iCs/>
                <w:color w:val="000000"/>
                <w:sz w:val="17"/>
                <w:szCs w:val="17"/>
              </w:rPr>
              <w:t xml:space="preserve">  </w:t>
            </w:r>
            <w:bookmarkStart w:id="219" w:name="_Toc67327235"/>
            <w:r w:rsidRPr="003B45F7">
              <w:rPr>
                <w:rFonts w:ascii="Arial" w:eastAsia="Times New Roman" w:hAnsi="Arial" w:cs="Arial"/>
                <w:b/>
                <w:iCs/>
                <w:color w:val="000000"/>
                <w:sz w:val="17"/>
                <w:szCs w:val="17"/>
              </w:rPr>
              <w:t>Zadržana</w:t>
            </w:r>
            <w:bookmarkEnd w:id="219"/>
            <w:r w:rsidRPr="003B45F7">
              <w:rPr>
                <w:rFonts w:ascii="Arial" w:eastAsia="Times New Roman" w:hAnsi="Arial" w:cs="Arial"/>
                <w:b/>
                <w:iCs/>
                <w:color w:val="000000"/>
                <w:sz w:val="17"/>
                <w:szCs w:val="17"/>
              </w:rPr>
              <w:t xml:space="preserve"> </w:t>
            </w:r>
          </w:p>
          <w:p w14:paraId="4FF6F25A" w14:textId="77777777" w:rsidR="00145D68" w:rsidRPr="003B45F7" w:rsidRDefault="00145D68" w:rsidP="00242B62">
            <w:pPr>
              <w:tabs>
                <w:tab w:val="right" w:pos="1202"/>
              </w:tabs>
              <w:spacing w:line="301" w:lineRule="exact"/>
              <w:jc w:val="right"/>
              <w:outlineLvl w:val="0"/>
              <w:rPr>
                <w:rFonts w:ascii="Arial" w:eastAsia="Times New Roman" w:hAnsi="Arial" w:cs="Arial"/>
                <w:b/>
                <w:iCs/>
                <w:color w:val="000000"/>
                <w:sz w:val="17"/>
                <w:szCs w:val="17"/>
              </w:rPr>
            </w:pPr>
            <w:bookmarkStart w:id="220" w:name="_Toc67327236"/>
            <w:r w:rsidRPr="003B45F7">
              <w:rPr>
                <w:rFonts w:ascii="Arial" w:eastAsia="Times New Roman" w:hAnsi="Arial" w:cs="Arial"/>
                <w:b/>
                <w:iCs/>
                <w:color w:val="000000"/>
                <w:sz w:val="17"/>
                <w:szCs w:val="17"/>
              </w:rPr>
              <w:t>dobit i rezerve</w:t>
            </w:r>
            <w:bookmarkEnd w:id="220"/>
          </w:p>
        </w:tc>
        <w:tc>
          <w:tcPr>
            <w:tcW w:w="592" w:type="pct"/>
            <w:vAlign w:val="bottom"/>
          </w:tcPr>
          <w:p w14:paraId="4FBC38D1" w14:textId="77777777" w:rsidR="00145D68" w:rsidRPr="003B45F7" w:rsidRDefault="00145D68" w:rsidP="00242B62">
            <w:pPr>
              <w:tabs>
                <w:tab w:val="right" w:pos="1202"/>
              </w:tabs>
              <w:spacing w:line="301" w:lineRule="exact"/>
              <w:jc w:val="right"/>
              <w:outlineLvl w:val="0"/>
              <w:rPr>
                <w:rFonts w:ascii="Arial" w:eastAsia="Times New Roman" w:hAnsi="Arial" w:cs="Arial"/>
                <w:b/>
                <w:iCs/>
                <w:color w:val="000000"/>
                <w:sz w:val="17"/>
                <w:szCs w:val="17"/>
              </w:rPr>
            </w:pPr>
            <w:bookmarkStart w:id="221" w:name="_Toc67327237"/>
            <w:r w:rsidRPr="003B45F7">
              <w:rPr>
                <w:rFonts w:ascii="Arial" w:eastAsia="Times New Roman" w:hAnsi="Arial" w:cs="Arial"/>
                <w:b/>
                <w:iCs/>
                <w:color w:val="000000"/>
                <w:sz w:val="17"/>
                <w:szCs w:val="17"/>
              </w:rPr>
              <w:t>Ostale rezerve</w:t>
            </w:r>
            <w:bookmarkEnd w:id="221"/>
          </w:p>
        </w:tc>
        <w:tc>
          <w:tcPr>
            <w:tcW w:w="593" w:type="pct"/>
            <w:vAlign w:val="bottom"/>
          </w:tcPr>
          <w:p w14:paraId="02DC86C4" w14:textId="77777777" w:rsidR="00145D68" w:rsidRPr="003B45F7" w:rsidRDefault="00145D68" w:rsidP="00242B62">
            <w:pPr>
              <w:tabs>
                <w:tab w:val="right" w:pos="1202"/>
              </w:tabs>
              <w:spacing w:line="301" w:lineRule="exact"/>
              <w:jc w:val="right"/>
              <w:outlineLvl w:val="0"/>
              <w:rPr>
                <w:rFonts w:ascii="Arial" w:eastAsia="Times New Roman" w:hAnsi="Arial" w:cs="Arial"/>
                <w:b/>
                <w:iCs/>
                <w:color w:val="000000"/>
                <w:sz w:val="17"/>
                <w:szCs w:val="17"/>
              </w:rPr>
            </w:pPr>
            <w:bookmarkStart w:id="222" w:name="_Toc67327238"/>
            <w:r w:rsidRPr="003B45F7">
              <w:rPr>
                <w:rFonts w:ascii="Arial" w:eastAsia="Times New Roman" w:hAnsi="Arial" w:cs="Arial"/>
                <w:b/>
                <w:iCs/>
                <w:color w:val="000000"/>
                <w:sz w:val="17"/>
                <w:szCs w:val="17"/>
              </w:rPr>
              <w:t>Neto dobit</w:t>
            </w:r>
            <w:bookmarkEnd w:id="222"/>
            <w:r w:rsidRPr="003B45F7">
              <w:rPr>
                <w:rFonts w:ascii="Arial" w:eastAsia="Times New Roman" w:hAnsi="Arial" w:cs="Arial"/>
                <w:b/>
                <w:iCs/>
                <w:color w:val="000000"/>
                <w:sz w:val="17"/>
                <w:szCs w:val="17"/>
              </w:rPr>
              <w:t xml:space="preserve"> </w:t>
            </w:r>
          </w:p>
          <w:p w14:paraId="612AC2B3" w14:textId="1CE35933" w:rsidR="00145D68" w:rsidRPr="003B45F7" w:rsidRDefault="00BF2BEB" w:rsidP="00242B62">
            <w:pPr>
              <w:tabs>
                <w:tab w:val="right" w:pos="1202"/>
              </w:tabs>
              <w:spacing w:line="301" w:lineRule="exact"/>
              <w:jc w:val="right"/>
              <w:outlineLvl w:val="0"/>
              <w:rPr>
                <w:rFonts w:ascii="Arial" w:eastAsia="Times New Roman" w:hAnsi="Arial" w:cs="Arial"/>
                <w:b/>
                <w:iCs/>
                <w:color w:val="000000"/>
                <w:sz w:val="17"/>
                <w:szCs w:val="17"/>
              </w:rPr>
            </w:pPr>
            <w:bookmarkStart w:id="223" w:name="_Toc67327239"/>
            <w:r>
              <w:rPr>
                <w:rFonts w:ascii="Arial" w:eastAsia="Times New Roman" w:hAnsi="Arial" w:cs="Arial"/>
                <w:b/>
                <w:iCs/>
                <w:color w:val="000000"/>
                <w:sz w:val="17"/>
                <w:szCs w:val="17"/>
              </w:rPr>
              <w:t>t</w:t>
            </w:r>
            <w:r w:rsidR="00145D68" w:rsidRPr="003B45F7">
              <w:rPr>
                <w:rFonts w:ascii="Arial" w:eastAsia="Times New Roman" w:hAnsi="Arial" w:cs="Arial"/>
                <w:b/>
                <w:iCs/>
                <w:color w:val="000000"/>
                <w:sz w:val="17"/>
                <w:szCs w:val="17"/>
              </w:rPr>
              <w:t>ekuć</w:t>
            </w:r>
            <w:bookmarkEnd w:id="223"/>
            <w:r w:rsidR="00145D68" w:rsidRPr="003B45F7">
              <w:rPr>
                <w:rFonts w:ascii="Arial" w:eastAsia="Times New Roman" w:hAnsi="Arial" w:cs="Arial"/>
                <w:b/>
                <w:iCs/>
                <w:color w:val="000000"/>
                <w:sz w:val="17"/>
                <w:szCs w:val="17"/>
              </w:rPr>
              <w:t>eg razdoblja</w:t>
            </w:r>
          </w:p>
        </w:tc>
        <w:tc>
          <w:tcPr>
            <w:tcW w:w="592" w:type="pct"/>
            <w:vAlign w:val="bottom"/>
          </w:tcPr>
          <w:p w14:paraId="407C4165" w14:textId="77777777" w:rsidR="00145D68" w:rsidRPr="003B45F7" w:rsidRDefault="00145D68" w:rsidP="00242B62">
            <w:pPr>
              <w:tabs>
                <w:tab w:val="right" w:pos="1202"/>
              </w:tabs>
              <w:spacing w:line="301" w:lineRule="exact"/>
              <w:jc w:val="right"/>
              <w:outlineLvl w:val="0"/>
              <w:rPr>
                <w:rFonts w:ascii="Arial" w:eastAsia="Times New Roman" w:hAnsi="Arial" w:cs="Arial"/>
                <w:b/>
                <w:iCs/>
                <w:color w:val="000000"/>
                <w:sz w:val="17"/>
                <w:szCs w:val="17"/>
              </w:rPr>
            </w:pPr>
            <w:bookmarkStart w:id="224" w:name="_Toc67327240"/>
            <w:r w:rsidRPr="003B45F7">
              <w:rPr>
                <w:rFonts w:ascii="Arial" w:eastAsia="Times New Roman" w:hAnsi="Arial" w:cs="Arial"/>
                <w:b/>
                <w:iCs/>
                <w:color w:val="000000"/>
                <w:sz w:val="17"/>
                <w:szCs w:val="17"/>
              </w:rPr>
              <w:t>Garantni fond</w:t>
            </w:r>
            <w:bookmarkEnd w:id="224"/>
          </w:p>
        </w:tc>
        <w:tc>
          <w:tcPr>
            <w:tcW w:w="593" w:type="pct"/>
            <w:vAlign w:val="bottom"/>
          </w:tcPr>
          <w:p w14:paraId="79E58D8A" w14:textId="77777777" w:rsidR="00145D68" w:rsidRPr="003B45F7" w:rsidRDefault="00145D68" w:rsidP="00242B62">
            <w:pPr>
              <w:tabs>
                <w:tab w:val="right" w:pos="1202"/>
              </w:tabs>
              <w:spacing w:line="301" w:lineRule="exact"/>
              <w:jc w:val="right"/>
              <w:outlineLvl w:val="0"/>
              <w:rPr>
                <w:rFonts w:ascii="Arial" w:eastAsia="Times New Roman" w:hAnsi="Arial" w:cs="Arial"/>
                <w:b/>
                <w:iCs/>
                <w:color w:val="000000"/>
                <w:sz w:val="17"/>
                <w:szCs w:val="17"/>
              </w:rPr>
            </w:pPr>
            <w:bookmarkStart w:id="225" w:name="_Toc67327241"/>
            <w:r w:rsidRPr="003B45F7">
              <w:rPr>
                <w:rFonts w:ascii="Arial" w:eastAsia="Times New Roman" w:hAnsi="Arial" w:cs="Arial"/>
                <w:b/>
                <w:iCs/>
                <w:color w:val="000000"/>
                <w:sz w:val="17"/>
                <w:szCs w:val="17"/>
              </w:rPr>
              <w:t>Ukupni kapital</w:t>
            </w:r>
            <w:bookmarkEnd w:id="225"/>
            <w:r w:rsidRPr="003B45F7">
              <w:rPr>
                <w:rFonts w:ascii="Arial" w:eastAsia="Times New Roman" w:hAnsi="Arial" w:cs="Arial"/>
                <w:b/>
                <w:iCs/>
                <w:color w:val="000000"/>
                <w:sz w:val="17"/>
                <w:szCs w:val="17"/>
              </w:rPr>
              <w:t xml:space="preserve"> </w:t>
            </w:r>
          </w:p>
        </w:tc>
      </w:tr>
      <w:tr w:rsidR="00145D68" w:rsidRPr="003B45F7" w14:paraId="33E3C2D9" w14:textId="77777777" w:rsidTr="00531D68">
        <w:trPr>
          <w:trHeight w:val="241"/>
        </w:trPr>
        <w:tc>
          <w:tcPr>
            <w:tcW w:w="1444" w:type="pct"/>
            <w:vAlign w:val="bottom"/>
          </w:tcPr>
          <w:p w14:paraId="55E9524C" w14:textId="77777777" w:rsidR="00145D68" w:rsidRPr="003B45F7" w:rsidRDefault="00145D68" w:rsidP="00242B62">
            <w:pPr>
              <w:tabs>
                <w:tab w:val="right" w:pos="1202"/>
              </w:tabs>
              <w:spacing w:line="301" w:lineRule="exact"/>
              <w:outlineLvl w:val="0"/>
              <w:rPr>
                <w:rFonts w:ascii="Arial" w:eastAsia="Times New Roman" w:hAnsi="Arial" w:cs="Arial"/>
                <w:iCs/>
                <w:color w:val="000000"/>
                <w:sz w:val="17"/>
                <w:szCs w:val="17"/>
              </w:rPr>
            </w:pPr>
          </w:p>
        </w:tc>
        <w:tc>
          <w:tcPr>
            <w:tcW w:w="592" w:type="pct"/>
            <w:vAlign w:val="bottom"/>
          </w:tcPr>
          <w:p w14:paraId="73071AA1" w14:textId="193C4C52" w:rsidR="00145D68" w:rsidRPr="003B45F7" w:rsidRDefault="00145D68" w:rsidP="00242B62">
            <w:pPr>
              <w:keepLines/>
              <w:tabs>
                <w:tab w:val="right" w:pos="1202"/>
              </w:tabs>
              <w:spacing w:line="301" w:lineRule="exact"/>
              <w:jc w:val="right"/>
              <w:outlineLvl w:val="0"/>
              <w:rPr>
                <w:rFonts w:ascii="Arial" w:eastAsia="Times New Roman" w:hAnsi="Arial" w:cs="Arial"/>
                <w:b/>
                <w:bCs/>
                <w:color w:val="000000"/>
                <w:sz w:val="17"/>
                <w:szCs w:val="17"/>
              </w:rPr>
            </w:pPr>
            <w:bookmarkStart w:id="226" w:name="_Toc67327242"/>
            <w:r w:rsidRPr="003B45F7">
              <w:rPr>
                <w:rFonts w:ascii="Arial" w:eastAsia="Times New Roman" w:hAnsi="Arial" w:cs="Arial"/>
                <w:b/>
                <w:bCs/>
                <w:color w:val="000000"/>
                <w:sz w:val="17"/>
                <w:szCs w:val="17"/>
              </w:rPr>
              <w:t>000 eura</w:t>
            </w:r>
            <w:bookmarkEnd w:id="226"/>
          </w:p>
        </w:tc>
        <w:tc>
          <w:tcPr>
            <w:tcW w:w="593" w:type="pct"/>
            <w:vAlign w:val="bottom"/>
          </w:tcPr>
          <w:p w14:paraId="72957757" w14:textId="2A2FAAD5" w:rsidR="00145D68" w:rsidRPr="003B45F7" w:rsidRDefault="00145D68" w:rsidP="00242B62">
            <w:pPr>
              <w:keepLines/>
              <w:tabs>
                <w:tab w:val="right" w:pos="1202"/>
              </w:tabs>
              <w:spacing w:line="301" w:lineRule="exact"/>
              <w:jc w:val="right"/>
              <w:outlineLvl w:val="0"/>
              <w:rPr>
                <w:rFonts w:ascii="Arial" w:eastAsia="Times New Roman" w:hAnsi="Arial" w:cs="Arial"/>
                <w:b/>
                <w:bCs/>
                <w:color w:val="000000"/>
                <w:sz w:val="17"/>
                <w:szCs w:val="17"/>
              </w:rPr>
            </w:pPr>
            <w:bookmarkStart w:id="227" w:name="_Toc67327243"/>
            <w:r w:rsidRPr="003B45F7">
              <w:rPr>
                <w:rFonts w:ascii="Arial" w:eastAsia="Times New Roman" w:hAnsi="Arial" w:cs="Arial"/>
                <w:b/>
                <w:bCs/>
                <w:color w:val="000000"/>
                <w:sz w:val="17"/>
                <w:szCs w:val="17"/>
              </w:rPr>
              <w:t>000 eura</w:t>
            </w:r>
            <w:bookmarkEnd w:id="227"/>
          </w:p>
        </w:tc>
        <w:tc>
          <w:tcPr>
            <w:tcW w:w="592" w:type="pct"/>
            <w:vAlign w:val="bottom"/>
          </w:tcPr>
          <w:p w14:paraId="6B103153" w14:textId="555ED00A" w:rsidR="00145D68" w:rsidRPr="003B45F7" w:rsidRDefault="00145D68" w:rsidP="00242B62">
            <w:pPr>
              <w:keepLines/>
              <w:tabs>
                <w:tab w:val="right" w:pos="1202"/>
              </w:tabs>
              <w:spacing w:line="301" w:lineRule="exact"/>
              <w:jc w:val="right"/>
              <w:outlineLvl w:val="0"/>
              <w:rPr>
                <w:rFonts w:ascii="Arial" w:eastAsia="Times New Roman" w:hAnsi="Arial" w:cs="Arial"/>
                <w:b/>
                <w:bCs/>
                <w:color w:val="000000"/>
                <w:sz w:val="17"/>
                <w:szCs w:val="17"/>
              </w:rPr>
            </w:pPr>
            <w:bookmarkStart w:id="228" w:name="_Toc67327244"/>
            <w:r w:rsidRPr="003B45F7">
              <w:rPr>
                <w:rFonts w:ascii="Arial" w:eastAsia="Times New Roman" w:hAnsi="Arial" w:cs="Arial"/>
                <w:b/>
                <w:bCs/>
                <w:color w:val="000000"/>
                <w:sz w:val="17"/>
                <w:szCs w:val="17"/>
              </w:rPr>
              <w:t>000 eura</w:t>
            </w:r>
            <w:bookmarkEnd w:id="228"/>
          </w:p>
        </w:tc>
        <w:tc>
          <w:tcPr>
            <w:tcW w:w="593" w:type="pct"/>
            <w:vAlign w:val="bottom"/>
          </w:tcPr>
          <w:p w14:paraId="67412C92" w14:textId="7D625E7F" w:rsidR="00145D68" w:rsidRPr="003B45F7" w:rsidRDefault="00145D68" w:rsidP="00242B62">
            <w:pPr>
              <w:keepLines/>
              <w:tabs>
                <w:tab w:val="right" w:pos="1202"/>
              </w:tabs>
              <w:spacing w:line="301" w:lineRule="exact"/>
              <w:jc w:val="right"/>
              <w:outlineLvl w:val="0"/>
              <w:rPr>
                <w:rFonts w:ascii="Arial" w:eastAsia="Times New Roman" w:hAnsi="Arial" w:cs="Arial"/>
                <w:b/>
                <w:bCs/>
                <w:color w:val="000000"/>
                <w:sz w:val="17"/>
                <w:szCs w:val="17"/>
              </w:rPr>
            </w:pPr>
            <w:bookmarkStart w:id="229" w:name="_Toc67327245"/>
            <w:r w:rsidRPr="003B45F7">
              <w:rPr>
                <w:rFonts w:ascii="Arial" w:eastAsia="Times New Roman" w:hAnsi="Arial" w:cs="Arial"/>
                <w:b/>
                <w:bCs/>
                <w:color w:val="000000"/>
                <w:sz w:val="17"/>
                <w:szCs w:val="17"/>
              </w:rPr>
              <w:t>000 eura</w:t>
            </w:r>
            <w:bookmarkEnd w:id="229"/>
          </w:p>
        </w:tc>
        <w:tc>
          <w:tcPr>
            <w:tcW w:w="592" w:type="pct"/>
            <w:vAlign w:val="bottom"/>
          </w:tcPr>
          <w:p w14:paraId="4A57BAC6" w14:textId="0837EC62" w:rsidR="00145D68" w:rsidRPr="003B45F7" w:rsidRDefault="00145D68" w:rsidP="00242B62">
            <w:pPr>
              <w:keepLines/>
              <w:tabs>
                <w:tab w:val="right" w:pos="1202"/>
              </w:tabs>
              <w:spacing w:line="301" w:lineRule="exact"/>
              <w:jc w:val="right"/>
              <w:outlineLvl w:val="0"/>
              <w:rPr>
                <w:rFonts w:ascii="Arial" w:eastAsia="Times New Roman" w:hAnsi="Arial" w:cs="Arial"/>
                <w:b/>
                <w:bCs/>
                <w:color w:val="000000"/>
                <w:sz w:val="17"/>
                <w:szCs w:val="17"/>
              </w:rPr>
            </w:pPr>
            <w:bookmarkStart w:id="230" w:name="_Toc67327246"/>
            <w:r w:rsidRPr="003B45F7">
              <w:rPr>
                <w:rFonts w:ascii="Arial" w:eastAsia="Times New Roman" w:hAnsi="Arial" w:cs="Arial"/>
                <w:b/>
                <w:bCs/>
                <w:color w:val="000000"/>
                <w:sz w:val="17"/>
                <w:szCs w:val="17"/>
              </w:rPr>
              <w:t>000 eura</w:t>
            </w:r>
            <w:bookmarkEnd w:id="230"/>
          </w:p>
        </w:tc>
        <w:tc>
          <w:tcPr>
            <w:tcW w:w="593" w:type="pct"/>
            <w:vAlign w:val="bottom"/>
          </w:tcPr>
          <w:p w14:paraId="22A520B0" w14:textId="3B9E6D23" w:rsidR="00145D68" w:rsidRPr="003B45F7" w:rsidRDefault="00145D68" w:rsidP="00242B62">
            <w:pPr>
              <w:keepLines/>
              <w:tabs>
                <w:tab w:val="right" w:pos="1202"/>
              </w:tabs>
              <w:spacing w:line="301" w:lineRule="exact"/>
              <w:jc w:val="right"/>
              <w:outlineLvl w:val="0"/>
              <w:rPr>
                <w:rFonts w:ascii="Arial" w:eastAsia="Times New Roman" w:hAnsi="Arial" w:cs="Arial"/>
                <w:b/>
                <w:bCs/>
                <w:color w:val="000000"/>
                <w:sz w:val="17"/>
                <w:szCs w:val="17"/>
              </w:rPr>
            </w:pPr>
            <w:bookmarkStart w:id="231" w:name="_Toc67327247"/>
            <w:r w:rsidRPr="003B45F7">
              <w:rPr>
                <w:rFonts w:ascii="Arial" w:eastAsia="Times New Roman" w:hAnsi="Arial" w:cs="Arial"/>
                <w:b/>
                <w:bCs/>
                <w:color w:val="000000"/>
                <w:sz w:val="17"/>
                <w:szCs w:val="17"/>
              </w:rPr>
              <w:t>000 eura</w:t>
            </w:r>
            <w:bookmarkEnd w:id="231"/>
          </w:p>
        </w:tc>
      </w:tr>
      <w:tr w:rsidR="00145D68" w:rsidRPr="003B45F7" w14:paraId="03AD6CD1" w14:textId="77777777" w:rsidTr="00803440">
        <w:trPr>
          <w:trHeight w:val="106"/>
        </w:trPr>
        <w:tc>
          <w:tcPr>
            <w:tcW w:w="1444" w:type="pct"/>
            <w:vAlign w:val="bottom"/>
          </w:tcPr>
          <w:p w14:paraId="43B6E08A" w14:textId="77777777" w:rsidR="00145D68" w:rsidRPr="003B45F7" w:rsidRDefault="00145D68" w:rsidP="00242B62">
            <w:pPr>
              <w:tabs>
                <w:tab w:val="right" w:pos="1202"/>
              </w:tabs>
              <w:spacing w:line="140" w:lineRule="exact"/>
              <w:outlineLvl w:val="0"/>
              <w:rPr>
                <w:rFonts w:ascii="Arial" w:eastAsia="Times New Roman" w:hAnsi="Arial" w:cs="Arial"/>
                <w:iCs/>
                <w:color w:val="000000"/>
                <w:sz w:val="17"/>
                <w:szCs w:val="17"/>
              </w:rPr>
            </w:pPr>
          </w:p>
        </w:tc>
        <w:tc>
          <w:tcPr>
            <w:tcW w:w="592" w:type="pct"/>
            <w:vAlign w:val="bottom"/>
          </w:tcPr>
          <w:p w14:paraId="59D0E293" w14:textId="77777777" w:rsidR="00145D68" w:rsidRPr="003B45F7" w:rsidRDefault="00145D68" w:rsidP="00242B62">
            <w:pPr>
              <w:tabs>
                <w:tab w:val="right" w:pos="1202"/>
              </w:tabs>
              <w:spacing w:line="140" w:lineRule="exact"/>
              <w:jc w:val="right"/>
              <w:outlineLvl w:val="0"/>
              <w:rPr>
                <w:rFonts w:ascii="Arial" w:eastAsia="Times New Roman" w:hAnsi="Arial" w:cs="Arial"/>
                <w:b/>
                <w:bCs/>
                <w:color w:val="000000"/>
                <w:sz w:val="17"/>
                <w:szCs w:val="17"/>
              </w:rPr>
            </w:pPr>
          </w:p>
        </w:tc>
        <w:tc>
          <w:tcPr>
            <w:tcW w:w="593" w:type="pct"/>
            <w:vAlign w:val="bottom"/>
          </w:tcPr>
          <w:p w14:paraId="3D911671" w14:textId="77777777" w:rsidR="00145D68" w:rsidRPr="003B45F7" w:rsidRDefault="00145D68" w:rsidP="00242B62">
            <w:pPr>
              <w:tabs>
                <w:tab w:val="right" w:pos="1202"/>
              </w:tabs>
              <w:spacing w:line="140" w:lineRule="exact"/>
              <w:jc w:val="right"/>
              <w:outlineLvl w:val="0"/>
              <w:rPr>
                <w:rFonts w:ascii="Arial" w:eastAsia="Times New Roman" w:hAnsi="Arial" w:cs="Arial"/>
                <w:b/>
                <w:bCs/>
                <w:color w:val="000000"/>
                <w:sz w:val="17"/>
                <w:szCs w:val="17"/>
              </w:rPr>
            </w:pPr>
          </w:p>
        </w:tc>
        <w:tc>
          <w:tcPr>
            <w:tcW w:w="592" w:type="pct"/>
            <w:vAlign w:val="bottom"/>
          </w:tcPr>
          <w:p w14:paraId="0216BC41" w14:textId="77777777" w:rsidR="00145D68" w:rsidRPr="003B45F7" w:rsidRDefault="00145D68" w:rsidP="00242B62">
            <w:pPr>
              <w:tabs>
                <w:tab w:val="right" w:pos="1202"/>
              </w:tabs>
              <w:spacing w:line="140" w:lineRule="exact"/>
              <w:jc w:val="right"/>
              <w:outlineLvl w:val="0"/>
              <w:rPr>
                <w:rFonts w:ascii="Arial" w:eastAsia="Times New Roman" w:hAnsi="Arial" w:cs="Arial"/>
                <w:b/>
                <w:bCs/>
                <w:color w:val="000000"/>
                <w:sz w:val="17"/>
                <w:szCs w:val="17"/>
              </w:rPr>
            </w:pPr>
          </w:p>
        </w:tc>
        <w:tc>
          <w:tcPr>
            <w:tcW w:w="593" w:type="pct"/>
            <w:vAlign w:val="bottom"/>
          </w:tcPr>
          <w:p w14:paraId="3D40BCDD" w14:textId="77777777" w:rsidR="00145D68" w:rsidRPr="003B45F7" w:rsidRDefault="00145D68" w:rsidP="00242B62">
            <w:pPr>
              <w:tabs>
                <w:tab w:val="right" w:pos="1202"/>
              </w:tabs>
              <w:spacing w:line="140" w:lineRule="exact"/>
              <w:jc w:val="right"/>
              <w:outlineLvl w:val="0"/>
              <w:rPr>
                <w:rFonts w:ascii="Arial" w:eastAsia="Times New Roman" w:hAnsi="Arial" w:cs="Arial"/>
                <w:b/>
                <w:bCs/>
                <w:color w:val="000000"/>
                <w:sz w:val="17"/>
                <w:szCs w:val="17"/>
              </w:rPr>
            </w:pPr>
          </w:p>
        </w:tc>
        <w:tc>
          <w:tcPr>
            <w:tcW w:w="592" w:type="pct"/>
            <w:vAlign w:val="bottom"/>
          </w:tcPr>
          <w:p w14:paraId="779A4D6A" w14:textId="77777777" w:rsidR="00145D68" w:rsidRPr="003B45F7" w:rsidRDefault="00145D68" w:rsidP="00242B62">
            <w:pPr>
              <w:tabs>
                <w:tab w:val="right" w:pos="1202"/>
              </w:tabs>
              <w:spacing w:line="140" w:lineRule="exact"/>
              <w:jc w:val="right"/>
              <w:outlineLvl w:val="0"/>
              <w:rPr>
                <w:rFonts w:ascii="Arial" w:eastAsia="Times New Roman" w:hAnsi="Arial" w:cs="Arial"/>
                <w:b/>
                <w:bCs/>
                <w:color w:val="000000"/>
                <w:sz w:val="17"/>
                <w:szCs w:val="17"/>
              </w:rPr>
            </w:pPr>
          </w:p>
        </w:tc>
        <w:tc>
          <w:tcPr>
            <w:tcW w:w="593" w:type="pct"/>
            <w:vAlign w:val="bottom"/>
          </w:tcPr>
          <w:p w14:paraId="7598D843" w14:textId="77777777" w:rsidR="00145D68" w:rsidRPr="003B45F7" w:rsidRDefault="00145D68" w:rsidP="00242B62">
            <w:pPr>
              <w:tabs>
                <w:tab w:val="right" w:pos="1202"/>
              </w:tabs>
              <w:spacing w:line="140" w:lineRule="exact"/>
              <w:jc w:val="right"/>
              <w:outlineLvl w:val="0"/>
              <w:rPr>
                <w:rFonts w:ascii="Arial" w:eastAsia="Times New Roman" w:hAnsi="Arial" w:cs="Arial"/>
                <w:b/>
                <w:bCs/>
                <w:color w:val="000000"/>
                <w:sz w:val="17"/>
                <w:szCs w:val="17"/>
              </w:rPr>
            </w:pPr>
          </w:p>
        </w:tc>
      </w:tr>
      <w:tr w:rsidR="00A73AE2" w:rsidRPr="003B45F7" w14:paraId="0D758179" w14:textId="77777777" w:rsidTr="00803440">
        <w:trPr>
          <w:trHeight w:val="367"/>
        </w:trPr>
        <w:tc>
          <w:tcPr>
            <w:tcW w:w="1444" w:type="pct"/>
            <w:vAlign w:val="bottom"/>
          </w:tcPr>
          <w:p w14:paraId="2F3445C0" w14:textId="4448CE87" w:rsidR="00A73AE2" w:rsidRPr="003B45F7" w:rsidRDefault="00A73AE2" w:rsidP="00A73AE2">
            <w:pPr>
              <w:tabs>
                <w:tab w:val="right" w:pos="1202"/>
              </w:tabs>
              <w:spacing w:line="240" w:lineRule="exact"/>
              <w:outlineLvl w:val="0"/>
              <w:rPr>
                <w:rFonts w:ascii="Arial" w:eastAsia="Times New Roman" w:hAnsi="Arial" w:cs="Arial"/>
                <w:b/>
                <w:iCs/>
                <w:color w:val="000000"/>
                <w:sz w:val="17"/>
                <w:szCs w:val="17"/>
              </w:rPr>
            </w:pPr>
            <w:bookmarkStart w:id="232" w:name="_Toc67327248"/>
            <w:r w:rsidRPr="003B45F7">
              <w:rPr>
                <w:rFonts w:ascii="Arial" w:eastAsia="Times New Roman" w:hAnsi="Arial" w:cs="Arial"/>
                <w:b/>
                <w:iCs/>
                <w:color w:val="000000"/>
                <w:sz w:val="17"/>
                <w:szCs w:val="17"/>
              </w:rPr>
              <w:t>Stanje 1. siječnja 202</w:t>
            </w:r>
            <w:r>
              <w:rPr>
                <w:rFonts w:ascii="Arial" w:eastAsia="Times New Roman" w:hAnsi="Arial" w:cs="Arial"/>
                <w:b/>
                <w:iCs/>
                <w:color w:val="000000"/>
                <w:sz w:val="17"/>
                <w:szCs w:val="17"/>
              </w:rPr>
              <w:t>3</w:t>
            </w:r>
            <w:r w:rsidRPr="003B45F7">
              <w:rPr>
                <w:rFonts w:ascii="Arial" w:eastAsia="Times New Roman" w:hAnsi="Arial" w:cs="Arial"/>
                <w:b/>
                <w:iCs/>
                <w:color w:val="000000"/>
                <w:sz w:val="17"/>
                <w:szCs w:val="17"/>
              </w:rPr>
              <w:t>.</w:t>
            </w:r>
            <w:bookmarkEnd w:id="232"/>
            <w:r w:rsidRPr="003B45F7">
              <w:rPr>
                <w:rFonts w:ascii="Arial" w:eastAsia="Times New Roman" w:hAnsi="Arial" w:cs="Arial"/>
                <w:b/>
                <w:iCs/>
                <w:color w:val="000000"/>
                <w:sz w:val="17"/>
                <w:szCs w:val="17"/>
              </w:rPr>
              <w:t xml:space="preserve"> </w:t>
            </w:r>
          </w:p>
        </w:tc>
        <w:tc>
          <w:tcPr>
            <w:tcW w:w="592" w:type="pct"/>
            <w:tcBorders>
              <w:left w:val="nil"/>
              <w:bottom w:val="single" w:sz="12" w:space="0" w:color="auto"/>
              <w:right w:val="nil"/>
            </w:tcBorders>
            <w:shd w:val="clear" w:color="auto" w:fill="auto"/>
            <w:vAlign w:val="bottom"/>
          </w:tcPr>
          <w:p w14:paraId="03649698" w14:textId="12074140" w:rsidR="00A73AE2" w:rsidRPr="00FE584D" w:rsidRDefault="00A73AE2" w:rsidP="00A73AE2">
            <w:pPr>
              <w:tabs>
                <w:tab w:val="right" w:pos="1202"/>
              </w:tabs>
              <w:spacing w:line="301" w:lineRule="exact"/>
              <w:jc w:val="right"/>
              <w:outlineLvl w:val="0"/>
              <w:rPr>
                <w:rFonts w:ascii="Arial" w:eastAsia="Times New Roman" w:hAnsi="Arial" w:cs="Arial"/>
                <w:b/>
                <w:bCs/>
                <w:iCs/>
                <w:color w:val="000000"/>
                <w:sz w:val="17"/>
                <w:szCs w:val="17"/>
              </w:rPr>
            </w:pPr>
            <w:r w:rsidRPr="00FE584D">
              <w:rPr>
                <w:rFonts w:ascii="Arial" w:hAnsi="Arial" w:cs="Arial"/>
                <w:b/>
                <w:bCs/>
                <w:sz w:val="17"/>
                <w:szCs w:val="17"/>
              </w:rPr>
              <w:t xml:space="preserve"> 956.219 </w:t>
            </w:r>
          </w:p>
        </w:tc>
        <w:tc>
          <w:tcPr>
            <w:tcW w:w="593" w:type="pct"/>
            <w:tcBorders>
              <w:left w:val="nil"/>
              <w:bottom w:val="single" w:sz="12" w:space="0" w:color="auto"/>
              <w:right w:val="nil"/>
            </w:tcBorders>
            <w:shd w:val="clear" w:color="auto" w:fill="auto"/>
            <w:vAlign w:val="bottom"/>
          </w:tcPr>
          <w:p w14:paraId="44F1EF67" w14:textId="4425EE25" w:rsidR="00A73AE2" w:rsidRPr="00FE584D" w:rsidRDefault="00A73AE2" w:rsidP="00A73AE2">
            <w:pPr>
              <w:tabs>
                <w:tab w:val="right" w:pos="1202"/>
              </w:tabs>
              <w:spacing w:line="301" w:lineRule="exact"/>
              <w:jc w:val="right"/>
              <w:outlineLvl w:val="0"/>
              <w:rPr>
                <w:rFonts w:ascii="Arial" w:eastAsia="Times New Roman" w:hAnsi="Arial" w:cs="Arial"/>
                <w:b/>
                <w:bCs/>
                <w:iCs/>
                <w:color w:val="000000"/>
                <w:sz w:val="17"/>
                <w:szCs w:val="17"/>
              </w:rPr>
            </w:pPr>
            <w:r w:rsidRPr="00FE584D">
              <w:rPr>
                <w:rFonts w:ascii="Arial" w:hAnsi="Arial" w:cs="Arial"/>
                <w:b/>
                <w:bCs/>
                <w:sz w:val="17"/>
                <w:szCs w:val="17"/>
              </w:rPr>
              <w:t xml:space="preserve"> 443.404 </w:t>
            </w:r>
          </w:p>
        </w:tc>
        <w:tc>
          <w:tcPr>
            <w:tcW w:w="592" w:type="pct"/>
            <w:tcBorders>
              <w:left w:val="nil"/>
              <w:bottom w:val="single" w:sz="12" w:space="0" w:color="auto"/>
              <w:right w:val="nil"/>
            </w:tcBorders>
            <w:shd w:val="clear" w:color="auto" w:fill="auto"/>
            <w:vAlign w:val="bottom"/>
          </w:tcPr>
          <w:p w14:paraId="107A2660" w14:textId="41DD3856" w:rsidR="00A73AE2" w:rsidRPr="00FE584D" w:rsidRDefault="00A73AE2" w:rsidP="00A73AE2">
            <w:pPr>
              <w:tabs>
                <w:tab w:val="right" w:pos="1202"/>
              </w:tabs>
              <w:spacing w:line="301" w:lineRule="exact"/>
              <w:jc w:val="right"/>
              <w:outlineLvl w:val="0"/>
              <w:rPr>
                <w:rFonts w:ascii="Arial" w:eastAsia="Times New Roman" w:hAnsi="Arial" w:cs="Arial"/>
                <w:b/>
                <w:bCs/>
                <w:iCs/>
                <w:color w:val="000000"/>
                <w:sz w:val="17"/>
                <w:szCs w:val="17"/>
              </w:rPr>
            </w:pPr>
            <w:r w:rsidRPr="00FE584D">
              <w:rPr>
                <w:rFonts w:ascii="Arial" w:hAnsi="Arial" w:cs="Arial"/>
                <w:b/>
                <w:bCs/>
                <w:sz w:val="17"/>
                <w:szCs w:val="17"/>
              </w:rPr>
              <w:t xml:space="preserve"> (4.429)</w:t>
            </w:r>
          </w:p>
        </w:tc>
        <w:tc>
          <w:tcPr>
            <w:tcW w:w="593" w:type="pct"/>
            <w:tcBorders>
              <w:left w:val="nil"/>
              <w:bottom w:val="single" w:sz="12" w:space="0" w:color="auto"/>
              <w:right w:val="nil"/>
            </w:tcBorders>
            <w:shd w:val="clear" w:color="auto" w:fill="auto"/>
            <w:vAlign w:val="bottom"/>
          </w:tcPr>
          <w:p w14:paraId="391EF031" w14:textId="145E70E0" w:rsidR="00A73AE2" w:rsidRPr="00FE584D" w:rsidRDefault="00A73AE2" w:rsidP="00A73AE2">
            <w:pPr>
              <w:tabs>
                <w:tab w:val="right" w:pos="1202"/>
              </w:tabs>
              <w:spacing w:line="301" w:lineRule="exact"/>
              <w:jc w:val="right"/>
              <w:outlineLvl w:val="0"/>
              <w:rPr>
                <w:rFonts w:ascii="Arial" w:eastAsia="Times New Roman" w:hAnsi="Arial" w:cs="Arial"/>
                <w:b/>
                <w:bCs/>
                <w:iCs/>
                <w:color w:val="000000"/>
                <w:sz w:val="17"/>
                <w:szCs w:val="17"/>
              </w:rPr>
            </w:pPr>
            <w:r w:rsidRPr="00FE584D">
              <w:rPr>
                <w:rFonts w:ascii="Arial" w:hAnsi="Arial" w:cs="Arial"/>
                <w:b/>
                <w:bCs/>
                <w:sz w:val="17"/>
                <w:szCs w:val="17"/>
              </w:rPr>
              <w:t xml:space="preserve"> 24.709 </w:t>
            </w:r>
          </w:p>
        </w:tc>
        <w:tc>
          <w:tcPr>
            <w:tcW w:w="592" w:type="pct"/>
            <w:tcBorders>
              <w:left w:val="nil"/>
              <w:bottom w:val="single" w:sz="12" w:space="0" w:color="auto"/>
              <w:right w:val="nil"/>
            </w:tcBorders>
            <w:shd w:val="clear" w:color="auto" w:fill="auto"/>
            <w:vAlign w:val="bottom"/>
          </w:tcPr>
          <w:p w14:paraId="72F14DEE" w14:textId="2234867D" w:rsidR="00A73AE2" w:rsidRPr="00FE584D" w:rsidRDefault="00A73AE2" w:rsidP="00A73AE2">
            <w:pPr>
              <w:tabs>
                <w:tab w:val="right" w:pos="1202"/>
              </w:tabs>
              <w:spacing w:line="301" w:lineRule="exact"/>
              <w:jc w:val="right"/>
              <w:outlineLvl w:val="0"/>
              <w:rPr>
                <w:rFonts w:ascii="Arial" w:eastAsia="Times New Roman" w:hAnsi="Arial" w:cs="Arial"/>
                <w:b/>
                <w:bCs/>
                <w:color w:val="000000"/>
                <w:sz w:val="17"/>
                <w:szCs w:val="17"/>
              </w:rPr>
            </w:pPr>
            <w:r w:rsidRPr="00FE584D">
              <w:rPr>
                <w:rFonts w:ascii="Arial" w:hAnsi="Arial" w:cs="Arial"/>
                <w:b/>
                <w:bCs/>
                <w:sz w:val="17"/>
                <w:szCs w:val="17"/>
              </w:rPr>
              <w:t xml:space="preserve"> 1.638 </w:t>
            </w:r>
          </w:p>
        </w:tc>
        <w:tc>
          <w:tcPr>
            <w:tcW w:w="593" w:type="pct"/>
            <w:tcBorders>
              <w:left w:val="nil"/>
              <w:bottom w:val="single" w:sz="12" w:space="0" w:color="auto"/>
              <w:right w:val="nil"/>
            </w:tcBorders>
            <w:shd w:val="clear" w:color="auto" w:fill="auto"/>
            <w:vAlign w:val="bottom"/>
          </w:tcPr>
          <w:p w14:paraId="2E47A444" w14:textId="3C863D39" w:rsidR="00A73AE2" w:rsidRPr="00FE584D" w:rsidRDefault="00A73AE2" w:rsidP="00A73AE2">
            <w:pPr>
              <w:tabs>
                <w:tab w:val="right" w:pos="1202"/>
              </w:tabs>
              <w:spacing w:line="301" w:lineRule="exact"/>
              <w:jc w:val="right"/>
              <w:outlineLvl w:val="0"/>
              <w:rPr>
                <w:rFonts w:ascii="Arial" w:eastAsia="Times New Roman" w:hAnsi="Arial" w:cs="Arial"/>
                <w:b/>
                <w:bCs/>
                <w:iCs/>
                <w:color w:val="000000"/>
                <w:sz w:val="17"/>
                <w:szCs w:val="17"/>
              </w:rPr>
            </w:pPr>
            <w:r w:rsidRPr="00FE584D">
              <w:rPr>
                <w:rFonts w:ascii="Arial" w:hAnsi="Arial" w:cs="Arial"/>
                <w:b/>
                <w:bCs/>
                <w:sz w:val="17"/>
                <w:szCs w:val="17"/>
              </w:rPr>
              <w:t xml:space="preserve"> 1.421.541 </w:t>
            </w:r>
          </w:p>
        </w:tc>
      </w:tr>
      <w:tr w:rsidR="00DA328B" w:rsidRPr="003B45F7" w14:paraId="752B135B" w14:textId="77777777" w:rsidTr="00803440">
        <w:trPr>
          <w:trHeight w:hRule="exact" w:val="331"/>
        </w:trPr>
        <w:tc>
          <w:tcPr>
            <w:tcW w:w="1444" w:type="pct"/>
            <w:vAlign w:val="bottom"/>
          </w:tcPr>
          <w:p w14:paraId="6FF4BE58" w14:textId="4529DF90" w:rsidR="00DA328B" w:rsidRPr="003B45F7" w:rsidRDefault="00DA328B" w:rsidP="00DA328B">
            <w:pPr>
              <w:tabs>
                <w:tab w:val="right" w:pos="1202"/>
              </w:tabs>
              <w:spacing w:line="240" w:lineRule="exact"/>
              <w:outlineLvl w:val="0"/>
              <w:rPr>
                <w:rFonts w:ascii="Arial" w:eastAsia="Times New Roman" w:hAnsi="Arial" w:cs="Arial"/>
                <w:iCs/>
                <w:color w:val="000000"/>
                <w:sz w:val="17"/>
                <w:szCs w:val="17"/>
              </w:rPr>
            </w:pPr>
            <w:bookmarkStart w:id="233" w:name="_Toc67327255"/>
            <w:r w:rsidRPr="003B45F7">
              <w:rPr>
                <w:rFonts w:ascii="Arial" w:eastAsia="Times New Roman" w:hAnsi="Arial" w:cs="Arial"/>
                <w:iCs/>
                <w:color w:val="000000"/>
                <w:sz w:val="17"/>
                <w:szCs w:val="17"/>
              </w:rPr>
              <w:t xml:space="preserve">Dobit tekućeg </w:t>
            </w:r>
            <w:bookmarkEnd w:id="233"/>
            <w:r w:rsidRPr="003B45F7">
              <w:rPr>
                <w:rFonts w:ascii="Arial" w:eastAsia="Times New Roman" w:hAnsi="Arial" w:cs="Arial"/>
                <w:iCs/>
                <w:color w:val="000000"/>
                <w:sz w:val="17"/>
                <w:szCs w:val="17"/>
              </w:rPr>
              <w:t>razdoblja</w:t>
            </w:r>
          </w:p>
        </w:tc>
        <w:tc>
          <w:tcPr>
            <w:tcW w:w="592" w:type="pct"/>
            <w:tcBorders>
              <w:top w:val="single" w:sz="12" w:space="0" w:color="auto"/>
              <w:left w:val="nil"/>
              <w:bottom w:val="nil"/>
              <w:right w:val="nil"/>
            </w:tcBorders>
            <w:shd w:val="clear" w:color="auto" w:fill="auto"/>
            <w:vAlign w:val="center"/>
          </w:tcPr>
          <w:p w14:paraId="1B372970" w14:textId="2F647351" w:rsidR="00DA328B" w:rsidRPr="003B45F7" w:rsidRDefault="00CA514C" w:rsidP="00CA514C">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single" w:sz="12" w:space="0" w:color="auto"/>
              <w:left w:val="nil"/>
              <w:bottom w:val="nil"/>
              <w:right w:val="nil"/>
            </w:tcBorders>
            <w:shd w:val="clear" w:color="auto" w:fill="auto"/>
            <w:vAlign w:val="center"/>
          </w:tcPr>
          <w:p w14:paraId="2E3D5DB8" w14:textId="59A1F344" w:rsidR="00DA328B" w:rsidRPr="003B45F7" w:rsidRDefault="00D46F98" w:rsidP="00DA328B">
            <w:pPr>
              <w:tabs>
                <w:tab w:val="right" w:pos="1202"/>
              </w:tabs>
              <w:spacing w:line="301" w:lineRule="exact"/>
              <w:jc w:val="right"/>
              <w:outlineLvl w:val="0"/>
              <w:rPr>
                <w:rFonts w:ascii="Arial" w:eastAsia="Times New Roman" w:hAnsi="Arial" w:cs="Arial"/>
                <w:iCs/>
                <w:color w:val="000000"/>
                <w:sz w:val="17"/>
                <w:szCs w:val="17"/>
              </w:rPr>
            </w:pPr>
            <w:r>
              <w:rPr>
                <w:rFonts w:ascii="Arial" w:hAnsi="Arial" w:cs="Arial"/>
                <w:color w:val="000000"/>
                <w:sz w:val="17"/>
                <w:szCs w:val="17"/>
              </w:rPr>
              <w:t>-</w:t>
            </w:r>
            <w:r w:rsidR="00DA328B" w:rsidRPr="000F2CE4">
              <w:rPr>
                <w:rFonts w:ascii="Arial" w:hAnsi="Arial" w:cs="Arial"/>
                <w:color w:val="000000"/>
                <w:sz w:val="17"/>
                <w:szCs w:val="17"/>
              </w:rPr>
              <w:t xml:space="preserve"> </w:t>
            </w:r>
          </w:p>
        </w:tc>
        <w:tc>
          <w:tcPr>
            <w:tcW w:w="592" w:type="pct"/>
            <w:tcBorders>
              <w:top w:val="single" w:sz="12" w:space="0" w:color="auto"/>
              <w:left w:val="nil"/>
              <w:bottom w:val="nil"/>
              <w:right w:val="nil"/>
            </w:tcBorders>
            <w:shd w:val="clear" w:color="auto" w:fill="auto"/>
            <w:vAlign w:val="center"/>
          </w:tcPr>
          <w:p w14:paraId="03411FE2" w14:textId="34704B68" w:rsidR="00DA328B" w:rsidRPr="003B45F7" w:rsidRDefault="00DA328B" w:rsidP="00DA328B">
            <w:pPr>
              <w:tabs>
                <w:tab w:val="right" w:pos="1202"/>
              </w:tabs>
              <w:spacing w:line="301" w:lineRule="exact"/>
              <w:jc w:val="right"/>
              <w:outlineLvl w:val="0"/>
              <w:rPr>
                <w:rFonts w:ascii="Arial" w:eastAsia="Times New Roman" w:hAnsi="Arial" w:cs="Arial"/>
                <w:iCs/>
                <w:color w:val="000000"/>
                <w:sz w:val="17"/>
                <w:szCs w:val="17"/>
              </w:rPr>
            </w:pPr>
            <w:r w:rsidRPr="000F2CE4">
              <w:rPr>
                <w:rFonts w:ascii="Arial" w:hAnsi="Arial" w:cs="Arial"/>
                <w:color w:val="000000"/>
                <w:sz w:val="17"/>
                <w:szCs w:val="17"/>
              </w:rPr>
              <w:t xml:space="preserve">  - </w:t>
            </w:r>
          </w:p>
        </w:tc>
        <w:tc>
          <w:tcPr>
            <w:tcW w:w="593" w:type="pct"/>
            <w:tcBorders>
              <w:top w:val="single" w:sz="12" w:space="0" w:color="auto"/>
              <w:left w:val="nil"/>
              <w:bottom w:val="nil"/>
              <w:right w:val="nil"/>
            </w:tcBorders>
            <w:shd w:val="clear" w:color="auto" w:fill="auto"/>
            <w:vAlign w:val="center"/>
          </w:tcPr>
          <w:p w14:paraId="7470D1E1" w14:textId="403AE9C4" w:rsidR="00DA328B" w:rsidRPr="003B45F7" w:rsidRDefault="00D46F98" w:rsidP="00DA328B">
            <w:pPr>
              <w:tabs>
                <w:tab w:val="right" w:pos="1202"/>
              </w:tabs>
              <w:spacing w:line="301" w:lineRule="exact"/>
              <w:jc w:val="right"/>
              <w:outlineLvl w:val="0"/>
              <w:rPr>
                <w:rFonts w:ascii="Arial" w:eastAsia="Times New Roman" w:hAnsi="Arial" w:cs="Arial"/>
                <w:iCs/>
                <w:color w:val="000000"/>
                <w:sz w:val="17"/>
                <w:szCs w:val="17"/>
              </w:rPr>
            </w:pPr>
            <w:r>
              <w:rPr>
                <w:rFonts w:ascii="Arial" w:hAnsi="Arial" w:cs="Arial"/>
                <w:color w:val="000000"/>
                <w:sz w:val="17"/>
                <w:szCs w:val="17"/>
              </w:rPr>
              <w:t>18.4</w:t>
            </w:r>
            <w:r w:rsidR="00DA328B" w:rsidRPr="000F2CE4">
              <w:rPr>
                <w:rFonts w:ascii="Arial" w:hAnsi="Arial" w:cs="Arial"/>
                <w:color w:val="000000"/>
                <w:sz w:val="17"/>
                <w:szCs w:val="17"/>
              </w:rPr>
              <w:t xml:space="preserve">75 </w:t>
            </w:r>
          </w:p>
        </w:tc>
        <w:tc>
          <w:tcPr>
            <w:tcW w:w="592" w:type="pct"/>
            <w:tcBorders>
              <w:top w:val="single" w:sz="12" w:space="0" w:color="auto"/>
              <w:left w:val="nil"/>
              <w:bottom w:val="nil"/>
              <w:right w:val="nil"/>
            </w:tcBorders>
            <w:shd w:val="clear" w:color="auto" w:fill="auto"/>
            <w:vAlign w:val="center"/>
          </w:tcPr>
          <w:p w14:paraId="27308819" w14:textId="3EF04B3D" w:rsidR="00DA328B" w:rsidRPr="003B45F7" w:rsidRDefault="00DA328B" w:rsidP="00DA328B">
            <w:pPr>
              <w:tabs>
                <w:tab w:val="right" w:pos="1202"/>
              </w:tabs>
              <w:spacing w:line="301" w:lineRule="exact"/>
              <w:jc w:val="right"/>
              <w:outlineLvl w:val="0"/>
              <w:rPr>
                <w:rFonts w:ascii="Arial" w:eastAsia="Times New Roman" w:hAnsi="Arial" w:cs="Arial"/>
                <w:color w:val="000000"/>
                <w:sz w:val="17"/>
                <w:szCs w:val="17"/>
              </w:rPr>
            </w:pPr>
            <w:r w:rsidRPr="000F2CE4">
              <w:rPr>
                <w:rFonts w:ascii="Arial" w:hAnsi="Arial" w:cs="Arial"/>
                <w:color w:val="000000"/>
                <w:sz w:val="17"/>
                <w:szCs w:val="17"/>
              </w:rPr>
              <w:t xml:space="preserve">     - </w:t>
            </w:r>
          </w:p>
        </w:tc>
        <w:tc>
          <w:tcPr>
            <w:tcW w:w="593" w:type="pct"/>
            <w:tcBorders>
              <w:top w:val="single" w:sz="12" w:space="0" w:color="auto"/>
              <w:left w:val="nil"/>
              <w:bottom w:val="nil"/>
              <w:right w:val="nil"/>
            </w:tcBorders>
            <w:shd w:val="clear" w:color="auto" w:fill="auto"/>
            <w:vAlign w:val="center"/>
          </w:tcPr>
          <w:p w14:paraId="0BE1EC18" w14:textId="033205E0" w:rsidR="00DA328B" w:rsidRPr="003B45F7" w:rsidRDefault="00D46F98" w:rsidP="00DA328B">
            <w:pPr>
              <w:tabs>
                <w:tab w:val="right" w:pos="1202"/>
              </w:tabs>
              <w:spacing w:line="301" w:lineRule="exact"/>
              <w:jc w:val="right"/>
              <w:outlineLvl w:val="0"/>
              <w:rPr>
                <w:rFonts w:ascii="Arial" w:eastAsia="Times New Roman" w:hAnsi="Arial" w:cs="Arial"/>
                <w:b/>
                <w:iCs/>
                <w:color w:val="000000"/>
                <w:sz w:val="17"/>
                <w:szCs w:val="17"/>
              </w:rPr>
            </w:pPr>
            <w:r>
              <w:rPr>
                <w:rFonts w:ascii="Arial" w:hAnsi="Arial" w:cs="Arial"/>
                <w:b/>
                <w:bCs/>
                <w:color w:val="000000"/>
                <w:sz w:val="17"/>
                <w:szCs w:val="17"/>
              </w:rPr>
              <w:t>18</w:t>
            </w:r>
            <w:r w:rsidR="00DA328B" w:rsidRPr="000F2CE4">
              <w:rPr>
                <w:rFonts w:ascii="Arial" w:hAnsi="Arial" w:cs="Arial"/>
                <w:b/>
                <w:bCs/>
                <w:color w:val="000000"/>
                <w:sz w:val="17"/>
                <w:szCs w:val="17"/>
              </w:rPr>
              <w:t xml:space="preserve">.475 </w:t>
            </w:r>
          </w:p>
        </w:tc>
      </w:tr>
      <w:tr w:rsidR="00DA328B" w:rsidRPr="003B45F7" w14:paraId="7D8D9BE6" w14:textId="77777777" w:rsidTr="00973109">
        <w:trPr>
          <w:trHeight w:hRule="exact" w:val="343"/>
        </w:trPr>
        <w:tc>
          <w:tcPr>
            <w:tcW w:w="1444" w:type="pct"/>
            <w:vAlign w:val="bottom"/>
          </w:tcPr>
          <w:p w14:paraId="10928492" w14:textId="77777777" w:rsidR="00DA328B" w:rsidRPr="003B45F7" w:rsidRDefault="00DA328B" w:rsidP="00DA328B">
            <w:pPr>
              <w:tabs>
                <w:tab w:val="right" w:pos="1202"/>
              </w:tabs>
              <w:spacing w:line="240" w:lineRule="exact"/>
              <w:outlineLvl w:val="0"/>
              <w:rPr>
                <w:rFonts w:ascii="Arial" w:eastAsia="Times New Roman" w:hAnsi="Arial" w:cs="Arial"/>
                <w:iCs/>
                <w:color w:val="000000"/>
                <w:sz w:val="17"/>
                <w:szCs w:val="17"/>
              </w:rPr>
            </w:pPr>
            <w:bookmarkStart w:id="234" w:name="_Toc67327262"/>
            <w:r w:rsidRPr="003B45F7">
              <w:rPr>
                <w:rFonts w:ascii="Arial" w:eastAsia="Times New Roman" w:hAnsi="Arial" w:cs="Arial"/>
                <w:iCs/>
                <w:color w:val="000000"/>
                <w:sz w:val="17"/>
                <w:szCs w:val="17"/>
              </w:rPr>
              <w:t>Ostala sveobuhvatna dobit</w:t>
            </w:r>
            <w:bookmarkEnd w:id="234"/>
          </w:p>
        </w:tc>
        <w:tc>
          <w:tcPr>
            <w:tcW w:w="592" w:type="pct"/>
            <w:tcBorders>
              <w:top w:val="nil"/>
              <w:left w:val="nil"/>
              <w:bottom w:val="single" w:sz="4" w:space="0" w:color="auto"/>
              <w:right w:val="nil"/>
            </w:tcBorders>
            <w:shd w:val="clear" w:color="auto" w:fill="auto"/>
            <w:vAlign w:val="center"/>
          </w:tcPr>
          <w:p w14:paraId="5FF487EA" w14:textId="53F1267C" w:rsidR="00DA328B" w:rsidRPr="003B45F7" w:rsidRDefault="00DA328B" w:rsidP="00DA328B">
            <w:pPr>
              <w:tabs>
                <w:tab w:val="right" w:pos="1202"/>
              </w:tabs>
              <w:spacing w:line="301" w:lineRule="exact"/>
              <w:jc w:val="right"/>
              <w:outlineLvl w:val="0"/>
              <w:rPr>
                <w:rFonts w:ascii="Arial" w:eastAsia="Times New Roman" w:hAnsi="Arial" w:cs="Arial"/>
                <w:iCs/>
                <w:color w:val="000000"/>
                <w:sz w:val="17"/>
                <w:szCs w:val="17"/>
              </w:rPr>
            </w:pPr>
            <w:r w:rsidRPr="000F2CE4">
              <w:rPr>
                <w:rFonts w:ascii="Arial" w:hAnsi="Arial" w:cs="Arial"/>
                <w:color w:val="000000"/>
                <w:sz w:val="17"/>
                <w:szCs w:val="17"/>
              </w:rPr>
              <w:t xml:space="preserve">             - </w:t>
            </w:r>
          </w:p>
        </w:tc>
        <w:tc>
          <w:tcPr>
            <w:tcW w:w="593" w:type="pct"/>
            <w:tcBorders>
              <w:top w:val="nil"/>
              <w:left w:val="nil"/>
              <w:bottom w:val="single" w:sz="4" w:space="0" w:color="auto"/>
              <w:right w:val="nil"/>
            </w:tcBorders>
            <w:shd w:val="clear" w:color="auto" w:fill="auto"/>
            <w:vAlign w:val="center"/>
          </w:tcPr>
          <w:p w14:paraId="430F02A9" w14:textId="7364EEC5" w:rsidR="00DA328B" w:rsidRPr="003B45F7" w:rsidRDefault="00DA328B" w:rsidP="00DA328B">
            <w:pPr>
              <w:tabs>
                <w:tab w:val="right" w:pos="1202"/>
              </w:tabs>
              <w:spacing w:line="301" w:lineRule="exact"/>
              <w:jc w:val="right"/>
              <w:outlineLvl w:val="0"/>
              <w:rPr>
                <w:rFonts w:ascii="Arial" w:eastAsia="Times New Roman" w:hAnsi="Arial" w:cs="Arial"/>
                <w:iCs/>
                <w:color w:val="000000"/>
                <w:sz w:val="17"/>
                <w:szCs w:val="17"/>
              </w:rPr>
            </w:pPr>
            <w:r w:rsidRPr="000F2CE4">
              <w:rPr>
                <w:rFonts w:ascii="Arial" w:hAnsi="Arial" w:cs="Arial"/>
                <w:color w:val="000000"/>
                <w:sz w:val="17"/>
                <w:szCs w:val="17"/>
              </w:rPr>
              <w:t xml:space="preserve">       - </w:t>
            </w:r>
          </w:p>
        </w:tc>
        <w:tc>
          <w:tcPr>
            <w:tcW w:w="592" w:type="pct"/>
            <w:tcBorders>
              <w:top w:val="nil"/>
              <w:left w:val="nil"/>
              <w:bottom w:val="single" w:sz="4" w:space="0" w:color="auto"/>
              <w:right w:val="nil"/>
            </w:tcBorders>
            <w:shd w:val="clear" w:color="auto" w:fill="auto"/>
            <w:vAlign w:val="center"/>
          </w:tcPr>
          <w:p w14:paraId="31E5E164" w14:textId="6461731B" w:rsidR="00DA328B" w:rsidRPr="003B45F7" w:rsidRDefault="00DA328B" w:rsidP="00DA328B">
            <w:pPr>
              <w:tabs>
                <w:tab w:val="right" w:pos="1202"/>
              </w:tabs>
              <w:spacing w:line="301" w:lineRule="exact"/>
              <w:jc w:val="right"/>
              <w:outlineLvl w:val="0"/>
              <w:rPr>
                <w:rFonts w:ascii="Arial" w:eastAsia="Times New Roman" w:hAnsi="Arial" w:cs="Arial"/>
                <w:iCs/>
                <w:color w:val="000000"/>
                <w:sz w:val="17"/>
                <w:szCs w:val="17"/>
              </w:rPr>
            </w:pPr>
            <w:r w:rsidRPr="000F2CE4">
              <w:rPr>
                <w:rFonts w:ascii="Arial" w:hAnsi="Arial" w:cs="Arial"/>
                <w:color w:val="000000"/>
                <w:sz w:val="17"/>
                <w:szCs w:val="17"/>
              </w:rPr>
              <w:t xml:space="preserve">   (1.325)</w:t>
            </w:r>
          </w:p>
        </w:tc>
        <w:tc>
          <w:tcPr>
            <w:tcW w:w="593" w:type="pct"/>
            <w:tcBorders>
              <w:top w:val="nil"/>
              <w:left w:val="nil"/>
              <w:bottom w:val="single" w:sz="4" w:space="0" w:color="auto"/>
              <w:right w:val="nil"/>
            </w:tcBorders>
            <w:shd w:val="clear" w:color="auto" w:fill="auto"/>
            <w:vAlign w:val="center"/>
          </w:tcPr>
          <w:p w14:paraId="5B04848E" w14:textId="1026479F" w:rsidR="00DA328B" w:rsidRPr="003B45F7" w:rsidRDefault="00DA328B" w:rsidP="00DA328B">
            <w:pPr>
              <w:tabs>
                <w:tab w:val="right" w:pos="1202"/>
              </w:tabs>
              <w:spacing w:line="301" w:lineRule="exact"/>
              <w:jc w:val="right"/>
              <w:outlineLvl w:val="0"/>
              <w:rPr>
                <w:rFonts w:ascii="Arial" w:eastAsia="Times New Roman" w:hAnsi="Arial" w:cs="Arial"/>
                <w:iCs/>
                <w:color w:val="000000"/>
                <w:sz w:val="17"/>
                <w:szCs w:val="17"/>
              </w:rPr>
            </w:pPr>
            <w:r w:rsidRPr="000F2CE4">
              <w:rPr>
                <w:rFonts w:ascii="Arial" w:hAnsi="Arial" w:cs="Arial"/>
                <w:color w:val="000000"/>
                <w:sz w:val="17"/>
                <w:szCs w:val="17"/>
              </w:rPr>
              <w:t xml:space="preserve">         - </w:t>
            </w:r>
          </w:p>
        </w:tc>
        <w:tc>
          <w:tcPr>
            <w:tcW w:w="592" w:type="pct"/>
            <w:tcBorders>
              <w:top w:val="nil"/>
              <w:left w:val="nil"/>
              <w:bottom w:val="single" w:sz="4" w:space="0" w:color="auto"/>
              <w:right w:val="nil"/>
            </w:tcBorders>
            <w:shd w:val="clear" w:color="auto" w:fill="auto"/>
            <w:vAlign w:val="center"/>
          </w:tcPr>
          <w:p w14:paraId="575E2383" w14:textId="1B9CF9ED" w:rsidR="00DA328B" w:rsidRPr="003B45F7" w:rsidRDefault="00DA328B" w:rsidP="00DA328B">
            <w:pPr>
              <w:tabs>
                <w:tab w:val="right" w:pos="1202"/>
              </w:tabs>
              <w:spacing w:line="301" w:lineRule="exact"/>
              <w:jc w:val="right"/>
              <w:outlineLvl w:val="0"/>
              <w:rPr>
                <w:rFonts w:ascii="Arial" w:eastAsia="Times New Roman" w:hAnsi="Arial" w:cs="Arial"/>
                <w:color w:val="000000"/>
                <w:sz w:val="17"/>
                <w:szCs w:val="17"/>
              </w:rPr>
            </w:pPr>
            <w:r w:rsidRPr="000F2CE4">
              <w:rPr>
                <w:rFonts w:ascii="Arial" w:hAnsi="Arial" w:cs="Arial"/>
                <w:color w:val="000000"/>
                <w:sz w:val="17"/>
                <w:szCs w:val="17"/>
              </w:rPr>
              <w:t xml:space="preserve">          - </w:t>
            </w:r>
          </w:p>
        </w:tc>
        <w:tc>
          <w:tcPr>
            <w:tcW w:w="593" w:type="pct"/>
            <w:tcBorders>
              <w:top w:val="nil"/>
              <w:left w:val="nil"/>
              <w:bottom w:val="single" w:sz="4" w:space="0" w:color="auto"/>
              <w:right w:val="nil"/>
            </w:tcBorders>
            <w:shd w:val="clear" w:color="auto" w:fill="auto"/>
            <w:vAlign w:val="center"/>
          </w:tcPr>
          <w:p w14:paraId="51852FF5" w14:textId="1352008E" w:rsidR="00DA328B" w:rsidRPr="003B45F7" w:rsidRDefault="00DA328B" w:rsidP="00DA328B">
            <w:pPr>
              <w:tabs>
                <w:tab w:val="right" w:pos="1202"/>
              </w:tabs>
              <w:spacing w:line="301" w:lineRule="exact"/>
              <w:jc w:val="right"/>
              <w:outlineLvl w:val="0"/>
              <w:rPr>
                <w:rFonts w:ascii="Arial" w:eastAsia="Times New Roman" w:hAnsi="Arial" w:cs="Arial"/>
                <w:b/>
                <w:iCs/>
                <w:color w:val="000000"/>
                <w:sz w:val="17"/>
                <w:szCs w:val="17"/>
              </w:rPr>
            </w:pPr>
            <w:r w:rsidRPr="000F2CE4">
              <w:rPr>
                <w:rFonts w:ascii="Arial" w:hAnsi="Arial" w:cs="Arial"/>
                <w:b/>
                <w:bCs/>
                <w:color w:val="000000"/>
                <w:sz w:val="17"/>
                <w:szCs w:val="17"/>
              </w:rPr>
              <w:t xml:space="preserve">    (1.325)</w:t>
            </w:r>
          </w:p>
        </w:tc>
      </w:tr>
      <w:tr w:rsidR="00DA328B" w:rsidRPr="003B45F7" w14:paraId="6DFDE8B2" w14:textId="77777777" w:rsidTr="003269D4">
        <w:trPr>
          <w:trHeight w:val="227"/>
        </w:trPr>
        <w:tc>
          <w:tcPr>
            <w:tcW w:w="1444" w:type="pct"/>
            <w:vAlign w:val="bottom"/>
          </w:tcPr>
          <w:p w14:paraId="3CA2B4DA" w14:textId="77777777" w:rsidR="00DA328B" w:rsidRPr="003B45F7" w:rsidRDefault="00DA328B" w:rsidP="00DA328B">
            <w:pPr>
              <w:tabs>
                <w:tab w:val="right" w:pos="1202"/>
              </w:tabs>
              <w:spacing w:line="240" w:lineRule="exact"/>
              <w:outlineLvl w:val="0"/>
              <w:rPr>
                <w:rFonts w:ascii="Arial" w:eastAsia="Times New Roman" w:hAnsi="Arial" w:cs="Arial"/>
                <w:iCs/>
                <w:color w:val="000000"/>
                <w:sz w:val="17"/>
                <w:szCs w:val="17"/>
              </w:rPr>
            </w:pPr>
            <w:bookmarkStart w:id="235" w:name="_Toc67327269"/>
            <w:r w:rsidRPr="003B45F7">
              <w:rPr>
                <w:rFonts w:ascii="Arial" w:eastAsia="Times New Roman" w:hAnsi="Arial" w:cs="Arial"/>
                <w:iCs/>
                <w:color w:val="000000"/>
                <w:sz w:val="17"/>
                <w:szCs w:val="17"/>
              </w:rPr>
              <w:t>Ukupna sveobuhvatna dobit</w:t>
            </w:r>
            <w:bookmarkEnd w:id="235"/>
          </w:p>
        </w:tc>
        <w:tc>
          <w:tcPr>
            <w:tcW w:w="592" w:type="pct"/>
            <w:tcBorders>
              <w:top w:val="nil"/>
              <w:left w:val="nil"/>
              <w:bottom w:val="single" w:sz="4" w:space="0" w:color="auto"/>
              <w:right w:val="nil"/>
            </w:tcBorders>
            <w:shd w:val="clear" w:color="auto" w:fill="auto"/>
          </w:tcPr>
          <w:p w14:paraId="4900D10F" w14:textId="56917CD1" w:rsidR="00DA328B" w:rsidRPr="00C97BF3" w:rsidRDefault="00DA328B" w:rsidP="00DA328B">
            <w:pPr>
              <w:tabs>
                <w:tab w:val="right" w:pos="1202"/>
              </w:tabs>
              <w:spacing w:line="301" w:lineRule="exact"/>
              <w:jc w:val="right"/>
              <w:outlineLvl w:val="0"/>
              <w:rPr>
                <w:rFonts w:ascii="Arial" w:eastAsia="Times New Roman" w:hAnsi="Arial" w:cs="Arial"/>
                <w:b/>
                <w:bCs/>
                <w:iCs/>
                <w:color w:val="000000"/>
                <w:sz w:val="17"/>
                <w:szCs w:val="17"/>
              </w:rPr>
            </w:pPr>
            <w:r w:rsidRPr="00C97BF3">
              <w:rPr>
                <w:rFonts w:ascii="Arial" w:hAnsi="Arial" w:cs="Arial"/>
                <w:sz w:val="17"/>
                <w:szCs w:val="17"/>
              </w:rPr>
              <w:t xml:space="preserve"> - </w:t>
            </w:r>
          </w:p>
        </w:tc>
        <w:tc>
          <w:tcPr>
            <w:tcW w:w="593" w:type="pct"/>
            <w:tcBorders>
              <w:top w:val="nil"/>
              <w:left w:val="nil"/>
              <w:bottom w:val="single" w:sz="4" w:space="0" w:color="auto"/>
              <w:right w:val="nil"/>
            </w:tcBorders>
            <w:shd w:val="clear" w:color="auto" w:fill="auto"/>
          </w:tcPr>
          <w:p w14:paraId="3F60F953" w14:textId="71C4F92D" w:rsidR="00DA328B" w:rsidRPr="00C97BF3" w:rsidRDefault="00DA328B" w:rsidP="00DA328B">
            <w:pPr>
              <w:tabs>
                <w:tab w:val="right" w:pos="1202"/>
              </w:tabs>
              <w:spacing w:line="301" w:lineRule="exact"/>
              <w:jc w:val="right"/>
              <w:outlineLvl w:val="0"/>
              <w:rPr>
                <w:rFonts w:ascii="Arial" w:eastAsia="Times New Roman" w:hAnsi="Arial" w:cs="Arial"/>
                <w:b/>
                <w:bCs/>
                <w:iCs/>
                <w:color w:val="000000"/>
                <w:sz w:val="17"/>
                <w:szCs w:val="17"/>
              </w:rPr>
            </w:pPr>
            <w:r w:rsidRPr="00C97BF3">
              <w:rPr>
                <w:rFonts w:ascii="Arial" w:hAnsi="Arial" w:cs="Arial"/>
                <w:sz w:val="17"/>
                <w:szCs w:val="17"/>
              </w:rPr>
              <w:t xml:space="preserve"> - </w:t>
            </w:r>
          </w:p>
        </w:tc>
        <w:tc>
          <w:tcPr>
            <w:tcW w:w="592" w:type="pct"/>
            <w:tcBorders>
              <w:top w:val="nil"/>
              <w:left w:val="nil"/>
              <w:bottom w:val="single" w:sz="4" w:space="0" w:color="auto"/>
              <w:right w:val="nil"/>
            </w:tcBorders>
            <w:shd w:val="clear" w:color="auto" w:fill="auto"/>
          </w:tcPr>
          <w:p w14:paraId="0649CCEF" w14:textId="654C41FC" w:rsidR="00DA328B" w:rsidRPr="00C97BF3" w:rsidRDefault="00DA328B" w:rsidP="00DA328B">
            <w:pPr>
              <w:tabs>
                <w:tab w:val="right" w:pos="1202"/>
              </w:tabs>
              <w:spacing w:line="301" w:lineRule="exact"/>
              <w:jc w:val="right"/>
              <w:outlineLvl w:val="0"/>
              <w:rPr>
                <w:rFonts w:ascii="Arial" w:eastAsia="Times New Roman" w:hAnsi="Arial" w:cs="Arial"/>
                <w:b/>
                <w:bCs/>
                <w:iCs/>
                <w:color w:val="000000"/>
                <w:sz w:val="17"/>
                <w:szCs w:val="17"/>
              </w:rPr>
            </w:pPr>
            <w:r w:rsidRPr="00C97BF3">
              <w:rPr>
                <w:rFonts w:ascii="Arial" w:hAnsi="Arial" w:cs="Arial"/>
                <w:sz w:val="17"/>
                <w:szCs w:val="17"/>
              </w:rPr>
              <w:t xml:space="preserve"> (1.325)</w:t>
            </w:r>
          </w:p>
        </w:tc>
        <w:tc>
          <w:tcPr>
            <w:tcW w:w="593" w:type="pct"/>
            <w:tcBorders>
              <w:top w:val="nil"/>
              <w:left w:val="nil"/>
              <w:bottom w:val="single" w:sz="4" w:space="0" w:color="auto"/>
              <w:right w:val="nil"/>
            </w:tcBorders>
            <w:shd w:val="clear" w:color="auto" w:fill="auto"/>
          </w:tcPr>
          <w:p w14:paraId="58478FE4" w14:textId="586E62AC" w:rsidR="00DA328B" w:rsidRPr="00C97BF3" w:rsidRDefault="00DA328B" w:rsidP="00DA328B">
            <w:pPr>
              <w:tabs>
                <w:tab w:val="right" w:pos="1202"/>
              </w:tabs>
              <w:spacing w:line="301" w:lineRule="exact"/>
              <w:jc w:val="right"/>
              <w:outlineLvl w:val="0"/>
              <w:rPr>
                <w:rFonts w:ascii="Arial" w:eastAsia="Times New Roman" w:hAnsi="Arial" w:cs="Arial"/>
                <w:b/>
                <w:bCs/>
                <w:iCs/>
                <w:color w:val="000000"/>
                <w:sz w:val="17"/>
                <w:szCs w:val="17"/>
              </w:rPr>
            </w:pPr>
            <w:r w:rsidRPr="00C97BF3">
              <w:rPr>
                <w:rFonts w:ascii="Arial" w:hAnsi="Arial" w:cs="Arial"/>
                <w:sz w:val="17"/>
                <w:szCs w:val="17"/>
              </w:rPr>
              <w:t xml:space="preserve"> 18.475 </w:t>
            </w:r>
          </w:p>
        </w:tc>
        <w:tc>
          <w:tcPr>
            <w:tcW w:w="592" w:type="pct"/>
            <w:tcBorders>
              <w:top w:val="nil"/>
              <w:left w:val="nil"/>
              <w:bottom w:val="single" w:sz="4" w:space="0" w:color="auto"/>
              <w:right w:val="nil"/>
            </w:tcBorders>
            <w:shd w:val="clear" w:color="auto" w:fill="auto"/>
          </w:tcPr>
          <w:p w14:paraId="4C67F7F7" w14:textId="40D1DDB6" w:rsidR="00DA328B" w:rsidRPr="00C97BF3" w:rsidRDefault="00DA328B" w:rsidP="00DA328B">
            <w:pPr>
              <w:tabs>
                <w:tab w:val="right" w:pos="1202"/>
              </w:tabs>
              <w:spacing w:line="301" w:lineRule="exact"/>
              <w:jc w:val="right"/>
              <w:outlineLvl w:val="0"/>
              <w:rPr>
                <w:rFonts w:ascii="Arial" w:eastAsia="Times New Roman" w:hAnsi="Arial" w:cs="Arial"/>
                <w:b/>
                <w:bCs/>
                <w:color w:val="000000"/>
                <w:sz w:val="17"/>
                <w:szCs w:val="17"/>
              </w:rPr>
            </w:pPr>
            <w:r w:rsidRPr="00C97BF3">
              <w:rPr>
                <w:rFonts w:ascii="Arial" w:hAnsi="Arial" w:cs="Arial"/>
                <w:sz w:val="17"/>
                <w:szCs w:val="17"/>
              </w:rPr>
              <w:t xml:space="preserve"> - </w:t>
            </w:r>
          </w:p>
        </w:tc>
        <w:tc>
          <w:tcPr>
            <w:tcW w:w="593" w:type="pct"/>
            <w:tcBorders>
              <w:top w:val="nil"/>
              <w:left w:val="nil"/>
              <w:bottom w:val="single" w:sz="4" w:space="0" w:color="auto"/>
              <w:right w:val="nil"/>
            </w:tcBorders>
            <w:shd w:val="clear" w:color="auto" w:fill="auto"/>
          </w:tcPr>
          <w:p w14:paraId="4BA0AC46" w14:textId="231DC9E5" w:rsidR="00DA328B" w:rsidRPr="00FE42BC" w:rsidRDefault="00DA328B" w:rsidP="00DA328B">
            <w:pPr>
              <w:tabs>
                <w:tab w:val="right" w:pos="1202"/>
              </w:tabs>
              <w:spacing w:line="301" w:lineRule="exact"/>
              <w:jc w:val="right"/>
              <w:outlineLvl w:val="0"/>
              <w:rPr>
                <w:rFonts w:ascii="Arial" w:eastAsia="Times New Roman" w:hAnsi="Arial" w:cs="Arial"/>
                <w:b/>
                <w:bCs/>
                <w:iCs/>
                <w:color w:val="000000"/>
                <w:sz w:val="17"/>
                <w:szCs w:val="17"/>
              </w:rPr>
            </w:pPr>
            <w:r w:rsidRPr="005D1219">
              <w:rPr>
                <w:rFonts w:ascii="Arial" w:hAnsi="Arial" w:cs="Arial"/>
                <w:b/>
                <w:bCs/>
                <w:sz w:val="17"/>
                <w:szCs w:val="17"/>
              </w:rPr>
              <w:t xml:space="preserve"> 17.150 </w:t>
            </w:r>
          </w:p>
        </w:tc>
      </w:tr>
      <w:tr w:rsidR="00DA328B" w:rsidRPr="003B45F7" w14:paraId="2F20E849" w14:textId="77777777" w:rsidTr="003B45F7">
        <w:trPr>
          <w:trHeight w:val="565"/>
        </w:trPr>
        <w:tc>
          <w:tcPr>
            <w:tcW w:w="1444" w:type="pct"/>
            <w:vAlign w:val="bottom"/>
          </w:tcPr>
          <w:p w14:paraId="0CC4E557" w14:textId="77777777" w:rsidR="00DA328B" w:rsidRPr="003B45F7" w:rsidRDefault="00DA328B" w:rsidP="00DA328B">
            <w:pPr>
              <w:tabs>
                <w:tab w:val="right" w:pos="1202"/>
              </w:tabs>
              <w:spacing w:line="240" w:lineRule="exact"/>
              <w:outlineLvl w:val="0"/>
              <w:rPr>
                <w:rFonts w:ascii="Arial" w:eastAsia="Times New Roman" w:hAnsi="Arial" w:cs="Arial"/>
                <w:i/>
                <w:iCs/>
                <w:color w:val="000000"/>
                <w:sz w:val="17"/>
                <w:szCs w:val="17"/>
              </w:rPr>
            </w:pPr>
            <w:bookmarkStart w:id="236" w:name="_Toc67327283"/>
            <w:r w:rsidRPr="003B45F7">
              <w:rPr>
                <w:rFonts w:ascii="Arial" w:eastAsia="Times New Roman" w:hAnsi="Arial" w:cs="Arial"/>
                <w:iCs/>
                <w:color w:val="000000"/>
                <w:sz w:val="17"/>
                <w:szCs w:val="17"/>
              </w:rPr>
              <w:t>Uplate u osnivački kapital iz državnog proračuna</w:t>
            </w:r>
            <w:bookmarkEnd w:id="236"/>
            <w:r w:rsidRPr="003B45F7">
              <w:rPr>
                <w:rFonts w:ascii="Arial" w:eastAsia="Times New Roman" w:hAnsi="Arial" w:cs="Arial"/>
                <w:iCs/>
                <w:color w:val="000000"/>
                <w:sz w:val="17"/>
                <w:szCs w:val="17"/>
              </w:rPr>
              <w:t xml:space="preserve"> </w:t>
            </w:r>
          </w:p>
        </w:tc>
        <w:tc>
          <w:tcPr>
            <w:tcW w:w="592" w:type="pct"/>
            <w:tcBorders>
              <w:top w:val="nil"/>
              <w:left w:val="nil"/>
              <w:bottom w:val="nil"/>
              <w:right w:val="nil"/>
            </w:tcBorders>
            <w:shd w:val="clear" w:color="auto" w:fill="auto"/>
            <w:vAlign w:val="bottom"/>
          </w:tcPr>
          <w:p w14:paraId="789EE0E4" w14:textId="63A745D8" w:rsidR="00DA328B" w:rsidRPr="003B45F7" w:rsidRDefault="00E90874" w:rsidP="00DA328B">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nil"/>
              <w:right w:val="nil"/>
            </w:tcBorders>
            <w:shd w:val="clear" w:color="auto" w:fill="auto"/>
            <w:vAlign w:val="bottom"/>
          </w:tcPr>
          <w:p w14:paraId="02268411" w14:textId="3B0CDDAA" w:rsidR="00DA328B" w:rsidRPr="003B45F7" w:rsidRDefault="00DA328B" w:rsidP="00DA328B">
            <w:pPr>
              <w:tabs>
                <w:tab w:val="right" w:pos="1202"/>
              </w:tabs>
              <w:spacing w:line="301" w:lineRule="exact"/>
              <w:jc w:val="right"/>
              <w:outlineLvl w:val="0"/>
              <w:rPr>
                <w:rFonts w:ascii="Arial" w:eastAsia="Times New Roman" w:hAnsi="Arial" w:cs="Arial"/>
                <w:iCs/>
                <w:color w:val="000000"/>
                <w:sz w:val="17"/>
                <w:szCs w:val="17"/>
              </w:rPr>
            </w:pPr>
            <w:r w:rsidRPr="003B45F7">
              <w:rPr>
                <w:rFonts w:ascii="Arial" w:hAnsi="Arial" w:cs="Arial"/>
                <w:sz w:val="17"/>
                <w:szCs w:val="17"/>
              </w:rPr>
              <w:t xml:space="preserve"> - </w:t>
            </w:r>
          </w:p>
        </w:tc>
        <w:tc>
          <w:tcPr>
            <w:tcW w:w="592" w:type="pct"/>
            <w:tcBorders>
              <w:top w:val="nil"/>
              <w:left w:val="nil"/>
              <w:bottom w:val="nil"/>
              <w:right w:val="nil"/>
            </w:tcBorders>
            <w:shd w:val="clear" w:color="auto" w:fill="auto"/>
            <w:vAlign w:val="bottom"/>
          </w:tcPr>
          <w:p w14:paraId="1AA52FC2" w14:textId="77A09494" w:rsidR="00DA328B" w:rsidRPr="003B45F7" w:rsidRDefault="00DA328B" w:rsidP="00DA328B">
            <w:pPr>
              <w:tabs>
                <w:tab w:val="right" w:pos="1202"/>
              </w:tabs>
              <w:spacing w:line="301" w:lineRule="exact"/>
              <w:jc w:val="right"/>
              <w:outlineLvl w:val="0"/>
              <w:rPr>
                <w:rFonts w:ascii="Arial" w:eastAsia="Times New Roman" w:hAnsi="Arial" w:cs="Arial"/>
                <w:iCs/>
                <w:color w:val="000000"/>
                <w:sz w:val="17"/>
                <w:szCs w:val="17"/>
              </w:rPr>
            </w:pPr>
            <w:r w:rsidRPr="003B45F7">
              <w:rPr>
                <w:rFonts w:ascii="Arial" w:hAnsi="Arial" w:cs="Arial"/>
                <w:sz w:val="17"/>
                <w:szCs w:val="17"/>
              </w:rPr>
              <w:t xml:space="preserve"> - </w:t>
            </w:r>
          </w:p>
        </w:tc>
        <w:tc>
          <w:tcPr>
            <w:tcW w:w="593" w:type="pct"/>
            <w:tcBorders>
              <w:top w:val="nil"/>
              <w:left w:val="nil"/>
              <w:bottom w:val="nil"/>
              <w:right w:val="nil"/>
            </w:tcBorders>
            <w:shd w:val="clear" w:color="auto" w:fill="auto"/>
            <w:vAlign w:val="bottom"/>
          </w:tcPr>
          <w:p w14:paraId="4E25E611" w14:textId="6670D917" w:rsidR="00DA328B" w:rsidRPr="003B45F7" w:rsidRDefault="00DA328B" w:rsidP="00DA328B">
            <w:pPr>
              <w:tabs>
                <w:tab w:val="right" w:pos="1202"/>
              </w:tabs>
              <w:spacing w:line="301" w:lineRule="exact"/>
              <w:jc w:val="right"/>
              <w:outlineLvl w:val="0"/>
              <w:rPr>
                <w:rFonts w:ascii="Arial" w:eastAsia="Times New Roman" w:hAnsi="Arial" w:cs="Arial"/>
                <w:iCs/>
                <w:color w:val="000000"/>
                <w:sz w:val="17"/>
                <w:szCs w:val="17"/>
              </w:rPr>
            </w:pPr>
            <w:r w:rsidRPr="003B45F7">
              <w:rPr>
                <w:rFonts w:ascii="Arial" w:hAnsi="Arial" w:cs="Arial"/>
                <w:sz w:val="17"/>
                <w:szCs w:val="17"/>
              </w:rPr>
              <w:t xml:space="preserve"> - </w:t>
            </w:r>
          </w:p>
        </w:tc>
        <w:tc>
          <w:tcPr>
            <w:tcW w:w="592" w:type="pct"/>
            <w:tcBorders>
              <w:top w:val="nil"/>
              <w:left w:val="nil"/>
              <w:bottom w:val="nil"/>
              <w:right w:val="nil"/>
            </w:tcBorders>
            <w:shd w:val="clear" w:color="auto" w:fill="auto"/>
            <w:vAlign w:val="bottom"/>
          </w:tcPr>
          <w:p w14:paraId="1EF7FAB0" w14:textId="124533C8" w:rsidR="00DA328B" w:rsidRPr="003B45F7" w:rsidRDefault="00DA328B" w:rsidP="00DA328B">
            <w:pPr>
              <w:tabs>
                <w:tab w:val="right" w:pos="1202"/>
              </w:tabs>
              <w:spacing w:line="301" w:lineRule="exact"/>
              <w:jc w:val="right"/>
              <w:outlineLvl w:val="0"/>
              <w:rPr>
                <w:rFonts w:ascii="Arial" w:eastAsia="Times New Roman" w:hAnsi="Arial" w:cs="Arial"/>
                <w:color w:val="000000"/>
                <w:sz w:val="17"/>
                <w:szCs w:val="17"/>
              </w:rPr>
            </w:pPr>
            <w:r w:rsidRPr="003B45F7">
              <w:rPr>
                <w:rFonts w:ascii="Arial" w:hAnsi="Arial" w:cs="Arial"/>
                <w:sz w:val="17"/>
                <w:szCs w:val="17"/>
              </w:rPr>
              <w:t xml:space="preserve"> - </w:t>
            </w:r>
          </w:p>
        </w:tc>
        <w:tc>
          <w:tcPr>
            <w:tcW w:w="593" w:type="pct"/>
            <w:tcBorders>
              <w:top w:val="nil"/>
              <w:left w:val="nil"/>
              <w:bottom w:val="nil"/>
              <w:right w:val="nil"/>
            </w:tcBorders>
            <w:shd w:val="clear" w:color="auto" w:fill="auto"/>
            <w:vAlign w:val="bottom"/>
          </w:tcPr>
          <w:p w14:paraId="2A58E39E" w14:textId="03E02CC4" w:rsidR="00DA328B" w:rsidRPr="00FE42BC" w:rsidRDefault="00DA328B" w:rsidP="00DA328B">
            <w:pPr>
              <w:tabs>
                <w:tab w:val="right" w:pos="1202"/>
              </w:tabs>
              <w:spacing w:line="301" w:lineRule="exact"/>
              <w:jc w:val="right"/>
              <w:outlineLvl w:val="0"/>
              <w:rPr>
                <w:rFonts w:ascii="Arial" w:eastAsia="Times New Roman" w:hAnsi="Arial" w:cs="Arial"/>
                <w:b/>
                <w:bCs/>
                <w:iCs/>
                <w:color w:val="000000"/>
                <w:sz w:val="17"/>
                <w:szCs w:val="17"/>
              </w:rPr>
            </w:pPr>
            <w:r w:rsidRPr="005D1219">
              <w:rPr>
                <w:rFonts w:ascii="Arial" w:hAnsi="Arial" w:cs="Arial"/>
                <w:b/>
                <w:bCs/>
                <w:sz w:val="17"/>
                <w:szCs w:val="17"/>
              </w:rPr>
              <w:t xml:space="preserve"> - </w:t>
            </w:r>
          </w:p>
        </w:tc>
      </w:tr>
      <w:tr w:rsidR="00BD254C" w:rsidRPr="003B45F7" w14:paraId="4C301E06" w14:textId="77777777" w:rsidTr="003B45F7">
        <w:trPr>
          <w:trHeight w:val="244"/>
        </w:trPr>
        <w:tc>
          <w:tcPr>
            <w:tcW w:w="1444" w:type="pct"/>
            <w:vAlign w:val="bottom"/>
          </w:tcPr>
          <w:p w14:paraId="1C7C01BA" w14:textId="6938C091" w:rsidR="00BD254C" w:rsidRPr="003B45F7" w:rsidRDefault="00BD254C" w:rsidP="00BD254C">
            <w:pPr>
              <w:tabs>
                <w:tab w:val="right" w:pos="1202"/>
              </w:tabs>
              <w:spacing w:line="240" w:lineRule="exact"/>
              <w:outlineLvl w:val="0"/>
              <w:rPr>
                <w:rFonts w:ascii="Arial" w:eastAsia="Times New Roman" w:hAnsi="Arial" w:cs="Arial"/>
                <w:i/>
                <w:iCs/>
                <w:color w:val="000000"/>
                <w:sz w:val="17"/>
                <w:szCs w:val="17"/>
              </w:rPr>
            </w:pPr>
            <w:bookmarkStart w:id="237" w:name="_Toc67327290"/>
            <w:r w:rsidRPr="003B45F7">
              <w:rPr>
                <w:rFonts w:ascii="Arial" w:eastAsia="Times New Roman" w:hAnsi="Arial" w:cs="Arial"/>
                <w:iCs/>
                <w:color w:val="000000"/>
                <w:sz w:val="17"/>
                <w:szCs w:val="17"/>
              </w:rPr>
              <w:t>Prijenos dobiti iz 202</w:t>
            </w:r>
            <w:r>
              <w:rPr>
                <w:rFonts w:ascii="Arial" w:eastAsia="Times New Roman" w:hAnsi="Arial" w:cs="Arial"/>
                <w:iCs/>
                <w:color w:val="000000"/>
                <w:sz w:val="17"/>
                <w:szCs w:val="17"/>
              </w:rPr>
              <w:t>2</w:t>
            </w:r>
            <w:r w:rsidRPr="003B45F7">
              <w:rPr>
                <w:rFonts w:ascii="Arial" w:eastAsia="Times New Roman" w:hAnsi="Arial" w:cs="Arial"/>
                <w:iCs/>
                <w:color w:val="000000"/>
                <w:sz w:val="17"/>
                <w:szCs w:val="17"/>
              </w:rPr>
              <w:t>. godine u zadržanu dobit</w:t>
            </w:r>
            <w:bookmarkEnd w:id="237"/>
            <w:r w:rsidRPr="003B45F7">
              <w:rPr>
                <w:rFonts w:ascii="Arial" w:eastAsia="Times New Roman" w:hAnsi="Arial" w:cs="Arial"/>
                <w:iCs/>
                <w:color w:val="000000"/>
                <w:sz w:val="17"/>
                <w:szCs w:val="17"/>
              </w:rPr>
              <w:t xml:space="preserve"> </w:t>
            </w:r>
          </w:p>
        </w:tc>
        <w:tc>
          <w:tcPr>
            <w:tcW w:w="592" w:type="pct"/>
            <w:tcBorders>
              <w:top w:val="nil"/>
              <w:left w:val="nil"/>
              <w:bottom w:val="single" w:sz="4" w:space="0" w:color="auto"/>
              <w:right w:val="nil"/>
            </w:tcBorders>
            <w:shd w:val="clear" w:color="auto" w:fill="auto"/>
            <w:vAlign w:val="bottom"/>
          </w:tcPr>
          <w:p w14:paraId="5C5B01CD" w14:textId="101AF0FE" w:rsidR="00BD254C" w:rsidRPr="003B45F7" w:rsidRDefault="00BD254C" w:rsidP="00BD254C">
            <w:pPr>
              <w:tabs>
                <w:tab w:val="right" w:pos="1202"/>
              </w:tabs>
              <w:spacing w:line="301" w:lineRule="exact"/>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93" w:type="pct"/>
            <w:tcBorders>
              <w:top w:val="nil"/>
              <w:left w:val="nil"/>
              <w:bottom w:val="single" w:sz="4" w:space="0" w:color="auto"/>
              <w:right w:val="nil"/>
            </w:tcBorders>
            <w:shd w:val="clear" w:color="auto" w:fill="auto"/>
            <w:vAlign w:val="bottom"/>
          </w:tcPr>
          <w:p w14:paraId="2A610F62" w14:textId="1C283257" w:rsidR="00BD254C" w:rsidRPr="003B45F7" w:rsidRDefault="00BD254C" w:rsidP="00BD254C">
            <w:pPr>
              <w:tabs>
                <w:tab w:val="right" w:pos="1202"/>
              </w:tabs>
              <w:spacing w:line="301" w:lineRule="exact"/>
              <w:jc w:val="right"/>
              <w:outlineLvl w:val="0"/>
              <w:rPr>
                <w:rFonts w:ascii="Arial" w:eastAsia="Times New Roman" w:hAnsi="Arial" w:cs="Arial"/>
                <w:iCs/>
                <w:color w:val="000000"/>
                <w:sz w:val="17"/>
                <w:szCs w:val="17"/>
              </w:rPr>
            </w:pPr>
            <w:r w:rsidRPr="000F2CE4">
              <w:rPr>
                <w:rFonts w:ascii="Arial" w:hAnsi="Arial" w:cs="Arial"/>
                <w:sz w:val="17"/>
                <w:szCs w:val="17"/>
              </w:rPr>
              <w:t xml:space="preserve"> 24.709 </w:t>
            </w:r>
          </w:p>
        </w:tc>
        <w:tc>
          <w:tcPr>
            <w:tcW w:w="592" w:type="pct"/>
            <w:tcBorders>
              <w:top w:val="nil"/>
              <w:left w:val="nil"/>
              <w:bottom w:val="single" w:sz="4" w:space="0" w:color="auto"/>
              <w:right w:val="nil"/>
            </w:tcBorders>
            <w:shd w:val="clear" w:color="auto" w:fill="auto"/>
            <w:vAlign w:val="bottom"/>
          </w:tcPr>
          <w:p w14:paraId="6897EA61" w14:textId="5EFEBF1F" w:rsidR="00BD254C" w:rsidRPr="003B45F7" w:rsidRDefault="00BD254C" w:rsidP="00BD254C">
            <w:pPr>
              <w:tabs>
                <w:tab w:val="right" w:pos="1202"/>
              </w:tabs>
              <w:spacing w:line="301" w:lineRule="exact"/>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93" w:type="pct"/>
            <w:tcBorders>
              <w:top w:val="nil"/>
              <w:left w:val="nil"/>
              <w:bottom w:val="single" w:sz="4" w:space="0" w:color="auto"/>
              <w:right w:val="nil"/>
            </w:tcBorders>
            <w:shd w:val="clear" w:color="auto" w:fill="auto"/>
            <w:vAlign w:val="bottom"/>
          </w:tcPr>
          <w:p w14:paraId="27078BE4" w14:textId="37B95E2A" w:rsidR="00BD254C" w:rsidRPr="003B45F7" w:rsidRDefault="00BD254C" w:rsidP="00BD254C">
            <w:pPr>
              <w:tabs>
                <w:tab w:val="right" w:pos="1202"/>
              </w:tabs>
              <w:spacing w:line="301" w:lineRule="exact"/>
              <w:jc w:val="right"/>
              <w:outlineLvl w:val="0"/>
              <w:rPr>
                <w:rFonts w:ascii="Arial" w:eastAsia="Times New Roman" w:hAnsi="Arial" w:cs="Arial"/>
                <w:iCs/>
                <w:color w:val="000000"/>
                <w:sz w:val="17"/>
                <w:szCs w:val="17"/>
              </w:rPr>
            </w:pPr>
            <w:r w:rsidRPr="000F2CE4">
              <w:rPr>
                <w:rFonts w:ascii="Arial" w:hAnsi="Arial" w:cs="Arial"/>
                <w:sz w:val="17"/>
                <w:szCs w:val="17"/>
              </w:rPr>
              <w:t xml:space="preserve"> (24.709)</w:t>
            </w:r>
          </w:p>
        </w:tc>
        <w:tc>
          <w:tcPr>
            <w:tcW w:w="592" w:type="pct"/>
            <w:tcBorders>
              <w:top w:val="nil"/>
              <w:left w:val="nil"/>
              <w:bottom w:val="single" w:sz="4" w:space="0" w:color="auto"/>
              <w:right w:val="nil"/>
            </w:tcBorders>
            <w:shd w:val="clear" w:color="auto" w:fill="auto"/>
            <w:vAlign w:val="bottom"/>
          </w:tcPr>
          <w:p w14:paraId="678E7EF2" w14:textId="03856600" w:rsidR="00BD254C" w:rsidRPr="003B45F7" w:rsidRDefault="00BD254C" w:rsidP="00BD254C">
            <w:pPr>
              <w:tabs>
                <w:tab w:val="right" w:pos="1202"/>
              </w:tabs>
              <w:spacing w:line="301" w:lineRule="exact"/>
              <w:jc w:val="right"/>
              <w:outlineLvl w:val="0"/>
              <w:rPr>
                <w:rFonts w:ascii="Arial" w:eastAsia="Times New Roman" w:hAnsi="Arial" w:cs="Arial"/>
                <w:color w:val="000000"/>
                <w:sz w:val="17"/>
                <w:szCs w:val="17"/>
              </w:rPr>
            </w:pPr>
            <w:r w:rsidRPr="000F2CE4">
              <w:rPr>
                <w:rFonts w:ascii="Arial" w:hAnsi="Arial" w:cs="Arial"/>
                <w:sz w:val="17"/>
                <w:szCs w:val="17"/>
              </w:rPr>
              <w:t xml:space="preserve"> - </w:t>
            </w:r>
          </w:p>
        </w:tc>
        <w:tc>
          <w:tcPr>
            <w:tcW w:w="593" w:type="pct"/>
            <w:tcBorders>
              <w:top w:val="nil"/>
              <w:left w:val="nil"/>
              <w:bottom w:val="single" w:sz="4" w:space="0" w:color="auto"/>
              <w:right w:val="nil"/>
            </w:tcBorders>
            <w:shd w:val="clear" w:color="auto" w:fill="auto"/>
            <w:vAlign w:val="bottom"/>
          </w:tcPr>
          <w:p w14:paraId="60A8F0F0" w14:textId="2E055837" w:rsidR="00BD254C" w:rsidRPr="00FE42BC" w:rsidRDefault="00BD254C" w:rsidP="00BD254C">
            <w:pPr>
              <w:tabs>
                <w:tab w:val="right" w:pos="1202"/>
              </w:tabs>
              <w:spacing w:line="301" w:lineRule="exact"/>
              <w:jc w:val="right"/>
              <w:outlineLvl w:val="0"/>
              <w:rPr>
                <w:rFonts w:ascii="Arial" w:eastAsia="Times New Roman" w:hAnsi="Arial" w:cs="Arial"/>
                <w:b/>
                <w:bCs/>
                <w:iCs/>
                <w:color w:val="000000"/>
                <w:sz w:val="17"/>
                <w:szCs w:val="17"/>
              </w:rPr>
            </w:pPr>
            <w:r w:rsidRPr="005D1219">
              <w:rPr>
                <w:rFonts w:ascii="Arial" w:hAnsi="Arial" w:cs="Arial"/>
                <w:b/>
                <w:bCs/>
                <w:sz w:val="17"/>
                <w:szCs w:val="17"/>
              </w:rPr>
              <w:t xml:space="preserve"> - </w:t>
            </w:r>
          </w:p>
        </w:tc>
      </w:tr>
      <w:tr w:rsidR="006D31AA" w:rsidRPr="003B45F7" w14:paraId="1E9523AB" w14:textId="77777777" w:rsidTr="00C85837">
        <w:trPr>
          <w:trHeight w:val="244"/>
        </w:trPr>
        <w:tc>
          <w:tcPr>
            <w:tcW w:w="1444" w:type="pct"/>
            <w:vAlign w:val="bottom"/>
          </w:tcPr>
          <w:p w14:paraId="6FF62DB5" w14:textId="7842DD67" w:rsidR="006D31AA" w:rsidRPr="003B45F7" w:rsidRDefault="006D31AA" w:rsidP="006D31AA">
            <w:pPr>
              <w:tabs>
                <w:tab w:val="right" w:pos="1202"/>
              </w:tabs>
              <w:spacing w:line="240" w:lineRule="exact"/>
              <w:outlineLvl w:val="0"/>
              <w:rPr>
                <w:rFonts w:ascii="Arial" w:eastAsia="Times New Roman" w:hAnsi="Arial" w:cs="Arial"/>
                <w:b/>
                <w:bCs/>
                <w:iCs/>
                <w:color w:val="000000"/>
                <w:sz w:val="17"/>
                <w:szCs w:val="17"/>
              </w:rPr>
            </w:pPr>
            <w:r w:rsidRPr="003B45F7">
              <w:rPr>
                <w:rFonts w:ascii="Arial" w:eastAsia="Times New Roman" w:hAnsi="Arial" w:cs="Arial"/>
                <w:b/>
                <w:bCs/>
                <w:iCs/>
                <w:color w:val="000000"/>
                <w:sz w:val="17"/>
                <w:szCs w:val="17"/>
              </w:rPr>
              <w:t>Stanje 31. ožujka 202</w:t>
            </w:r>
            <w:r>
              <w:rPr>
                <w:rFonts w:ascii="Arial" w:eastAsia="Times New Roman" w:hAnsi="Arial" w:cs="Arial"/>
                <w:b/>
                <w:bCs/>
                <w:iCs/>
                <w:color w:val="000000"/>
                <w:sz w:val="17"/>
                <w:szCs w:val="17"/>
              </w:rPr>
              <w:t>3</w:t>
            </w:r>
            <w:r w:rsidRPr="003B45F7">
              <w:rPr>
                <w:rFonts w:ascii="Arial" w:eastAsia="Times New Roman" w:hAnsi="Arial" w:cs="Arial"/>
                <w:b/>
                <w:bCs/>
                <w:iCs/>
                <w:color w:val="000000"/>
                <w:sz w:val="17"/>
                <w:szCs w:val="17"/>
              </w:rPr>
              <w:t>.</w:t>
            </w:r>
          </w:p>
        </w:tc>
        <w:tc>
          <w:tcPr>
            <w:tcW w:w="592" w:type="pct"/>
            <w:tcBorders>
              <w:top w:val="single" w:sz="8" w:space="0" w:color="auto"/>
              <w:left w:val="nil"/>
              <w:bottom w:val="single" w:sz="12" w:space="0" w:color="auto"/>
              <w:right w:val="nil"/>
            </w:tcBorders>
            <w:shd w:val="clear" w:color="auto" w:fill="auto"/>
            <w:vAlign w:val="bottom"/>
          </w:tcPr>
          <w:p w14:paraId="5244755C" w14:textId="247EF488" w:rsidR="006D31AA" w:rsidRPr="003B45F7" w:rsidRDefault="006D31AA" w:rsidP="006D31AA">
            <w:pPr>
              <w:tabs>
                <w:tab w:val="right" w:pos="1202"/>
              </w:tabs>
              <w:spacing w:line="301" w:lineRule="exact"/>
              <w:jc w:val="right"/>
              <w:outlineLvl w:val="0"/>
              <w:rPr>
                <w:rFonts w:ascii="Arial" w:eastAsia="Times New Roman" w:hAnsi="Arial" w:cs="Arial"/>
                <w:b/>
                <w:bCs/>
                <w:iCs/>
                <w:color w:val="000000"/>
                <w:sz w:val="17"/>
                <w:szCs w:val="17"/>
              </w:rPr>
            </w:pPr>
            <w:r w:rsidRPr="000F2CE4">
              <w:rPr>
                <w:rFonts w:ascii="Arial" w:hAnsi="Arial" w:cs="Arial"/>
                <w:b/>
                <w:bCs/>
                <w:sz w:val="17"/>
                <w:szCs w:val="17"/>
              </w:rPr>
              <w:t xml:space="preserve"> 956.219 </w:t>
            </w:r>
          </w:p>
        </w:tc>
        <w:tc>
          <w:tcPr>
            <w:tcW w:w="593" w:type="pct"/>
            <w:tcBorders>
              <w:top w:val="single" w:sz="8" w:space="0" w:color="auto"/>
              <w:left w:val="nil"/>
              <w:bottom w:val="single" w:sz="12" w:space="0" w:color="auto"/>
              <w:right w:val="nil"/>
            </w:tcBorders>
            <w:shd w:val="clear" w:color="auto" w:fill="auto"/>
            <w:vAlign w:val="bottom"/>
          </w:tcPr>
          <w:p w14:paraId="275726F6" w14:textId="4FEDA5E4" w:rsidR="006D31AA" w:rsidRPr="003B45F7" w:rsidRDefault="006D31AA" w:rsidP="006D31AA">
            <w:pPr>
              <w:tabs>
                <w:tab w:val="right" w:pos="1202"/>
              </w:tabs>
              <w:spacing w:line="301" w:lineRule="exact"/>
              <w:jc w:val="right"/>
              <w:outlineLvl w:val="0"/>
              <w:rPr>
                <w:rFonts w:ascii="Arial" w:eastAsia="Times New Roman" w:hAnsi="Arial" w:cs="Arial"/>
                <w:b/>
                <w:bCs/>
                <w:iCs/>
                <w:color w:val="000000"/>
                <w:sz w:val="17"/>
                <w:szCs w:val="17"/>
              </w:rPr>
            </w:pPr>
            <w:r w:rsidRPr="000F2CE4">
              <w:rPr>
                <w:rFonts w:ascii="Arial" w:hAnsi="Arial" w:cs="Arial"/>
                <w:b/>
                <w:bCs/>
                <w:sz w:val="17"/>
                <w:szCs w:val="17"/>
              </w:rPr>
              <w:t xml:space="preserve"> 468.113 </w:t>
            </w:r>
          </w:p>
        </w:tc>
        <w:tc>
          <w:tcPr>
            <w:tcW w:w="592" w:type="pct"/>
            <w:tcBorders>
              <w:top w:val="single" w:sz="8" w:space="0" w:color="auto"/>
              <w:left w:val="nil"/>
              <w:bottom w:val="single" w:sz="12" w:space="0" w:color="auto"/>
              <w:right w:val="nil"/>
            </w:tcBorders>
            <w:shd w:val="clear" w:color="auto" w:fill="auto"/>
            <w:vAlign w:val="bottom"/>
          </w:tcPr>
          <w:p w14:paraId="557E6B5B" w14:textId="44547D24" w:rsidR="006D31AA" w:rsidRPr="003B45F7" w:rsidRDefault="006D31AA" w:rsidP="006D31AA">
            <w:pPr>
              <w:tabs>
                <w:tab w:val="right" w:pos="1202"/>
              </w:tabs>
              <w:spacing w:line="301" w:lineRule="exact"/>
              <w:jc w:val="right"/>
              <w:outlineLvl w:val="0"/>
              <w:rPr>
                <w:rFonts w:ascii="Arial" w:eastAsia="Times New Roman" w:hAnsi="Arial" w:cs="Arial"/>
                <w:b/>
                <w:bCs/>
                <w:iCs/>
                <w:color w:val="000000"/>
                <w:sz w:val="17"/>
                <w:szCs w:val="17"/>
              </w:rPr>
            </w:pPr>
            <w:r w:rsidRPr="000F2CE4">
              <w:rPr>
                <w:rFonts w:ascii="Arial" w:hAnsi="Arial" w:cs="Arial"/>
                <w:b/>
                <w:bCs/>
                <w:sz w:val="17"/>
                <w:szCs w:val="17"/>
              </w:rPr>
              <w:t xml:space="preserve"> (5.754)</w:t>
            </w:r>
          </w:p>
        </w:tc>
        <w:tc>
          <w:tcPr>
            <w:tcW w:w="593" w:type="pct"/>
            <w:tcBorders>
              <w:top w:val="single" w:sz="8" w:space="0" w:color="auto"/>
              <w:left w:val="nil"/>
              <w:bottom w:val="single" w:sz="12" w:space="0" w:color="auto"/>
              <w:right w:val="nil"/>
            </w:tcBorders>
            <w:shd w:val="clear" w:color="auto" w:fill="auto"/>
            <w:vAlign w:val="bottom"/>
          </w:tcPr>
          <w:p w14:paraId="6DE9608A" w14:textId="6D424F75" w:rsidR="006D31AA" w:rsidRPr="003B45F7" w:rsidRDefault="006D31AA" w:rsidP="006D31AA">
            <w:pPr>
              <w:tabs>
                <w:tab w:val="right" w:pos="1202"/>
              </w:tabs>
              <w:spacing w:line="301" w:lineRule="exact"/>
              <w:jc w:val="right"/>
              <w:outlineLvl w:val="0"/>
              <w:rPr>
                <w:rFonts w:ascii="Arial" w:eastAsia="Times New Roman" w:hAnsi="Arial" w:cs="Arial"/>
                <w:b/>
                <w:bCs/>
                <w:iCs/>
                <w:color w:val="000000"/>
                <w:sz w:val="17"/>
                <w:szCs w:val="17"/>
              </w:rPr>
            </w:pPr>
            <w:r w:rsidRPr="000F2CE4">
              <w:rPr>
                <w:rFonts w:ascii="Arial" w:hAnsi="Arial" w:cs="Arial"/>
                <w:b/>
                <w:bCs/>
                <w:sz w:val="17"/>
                <w:szCs w:val="17"/>
              </w:rPr>
              <w:t xml:space="preserve"> 18.475 </w:t>
            </w:r>
          </w:p>
        </w:tc>
        <w:tc>
          <w:tcPr>
            <w:tcW w:w="592" w:type="pct"/>
            <w:tcBorders>
              <w:top w:val="single" w:sz="8" w:space="0" w:color="auto"/>
              <w:left w:val="nil"/>
              <w:bottom w:val="single" w:sz="12" w:space="0" w:color="auto"/>
              <w:right w:val="nil"/>
            </w:tcBorders>
            <w:shd w:val="clear" w:color="auto" w:fill="auto"/>
            <w:vAlign w:val="bottom"/>
          </w:tcPr>
          <w:p w14:paraId="2D299036" w14:textId="2A797005" w:rsidR="006D31AA" w:rsidRPr="003B45F7" w:rsidRDefault="006D31AA" w:rsidP="006D31AA">
            <w:pPr>
              <w:tabs>
                <w:tab w:val="right" w:pos="1202"/>
              </w:tabs>
              <w:spacing w:line="301" w:lineRule="exact"/>
              <w:jc w:val="right"/>
              <w:outlineLvl w:val="0"/>
              <w:rPr>
                <w:rFonts w:ascii="Arial" w:eastAsia="Times New Roman" w:hAnsi="Arial" w:cs="Arial"/>
                <w:b/>
                <w:bCs/>
                <w:iCs/>
                <w:color w:val="000000"/>
                <w:sz w:val="17"/>
                <w:szCs w:val="17"/>
              </w:rPr>
            </w:pPr>
            <w:r w:rsidRPr="000F2CE4">
              <w:rPr>
                <w:rFonts w:ascii="Arial" w:hAnsi="Arial" w:cs="Arial"/>
                <w:b/>
                <w:bCs/>
                <w:sz w:val="17"/>
                <w:szCs w:val="17"/>
              </w:rPr>
              <w:t xml:space="preserve"> 1.638 </w:t>
            </w:r>
          </w:p>
        </w:tc>
        <w:tc>
          <w:tcPr>
            <w:tcW w:w="593" w:type="pct"/>
            <w:tcBorders>
              <w:top w:val="single" w:sz="8" w:space="0" w:color="auto"/>
              <w:left w:val="nil"/>
              <w:bottom w:val="single" w:sz="12" w:space="0" w:color="auto"/>
              <w:right w:val="nil"/>
            </w:tcBorders>
            <w:shd w:val="clear" w:color="auto" w:fill="auto"/>
            <w:vAlign w:val="bottom"/>
          </w:tcPr>
          <w:p w14:paraId="2E8E27AF" w14:textId="052E9FB3" w:rsidR="006D31AA" w:rsidRPr="003B45F7" w:rsidRDefault="006D31AA" w:rsidP="006D31AA">
            <w:pPr>
              <w:tabs>
                <w:tab w:val="right" w:pos="1202"/>
              </w:tabs>
              <w:spacing w:line="301" w:lineRule="exact"/>
              <w:jc w:val="right"/>
              <w:outlineLvl w:val="0"/>
              <w:rPr>
                <w:rFonts w:ascii="Arial" w:eastAsia="Times New Roman" w:hAnsi="Arial" w:cs="Arial"/>
                <w:b/>
                <w:bCs/>
                <w:iCs/>
                <w:color w:val="000000"/>
                <w:sz w:val="17"/>
                <w:szCs w:val="17"/>
              </w:rPr>
            </w:pPr>
            <w:r w:rsidRPr="000F2CE4">
              <w:rPr>
                <w:rFonts w:ascii="Arial" w:hAnsi="Arial" w:cs="Arial"/>
                <w:b/>
                <w:bCs/>
                <w:sz w:val="17"/>
                <w:szCs w:val="17"/>
              </w:rPr>
              <w:t xml:space="preserve"> 1.438.691 </w:t>
            </w:r>
          </w:p>
        </w:tc>
      </w:tr>
      <w:tr w:rsidR="006D31AA" w:rsidRPr="003B45F7" w14:paraId="1396F9F9" w14:textId="77777777" w:rsidTr="00531D68">
        <w:trPr>
          <w:trHeight w:val="244"/>
        </w:trPr>
        <w:tc>
          <w:tcPr>
            <w:tcW w:w="1444" w:type="pct"/>
            <w:vAlign w:val="bottom"/>
          </w:tcPr>
          <w:p w14:paraId="272FE296" w14:textId="77777777" w:rsidR="006D31AA" w:rsidRPr="003B45F7" w:rsidRDefault="006D31AA" w:rsidP="006D31AA">
            <w:pPr>
              <w:tabs>
                <w:tab w:val="right" w:pos="1202"/>
              </w:tabs>
              <w:spacing w:line="240" w:lineRule="exact"/>
              <w:outlineLvl w:val="0"/>
              <w:rPr>
                <w:rFonts w:ascii="Arial" w:eastAsia="Times New Roman" w:hAnsi="Arial" w:cs="Arial"/>
                <w:iCs/>
                <w:color w:val="000000"/>
                <w:sz w:val="17"/>
                <w:szCs w:val="17"/>
              </w:rPr>
            </w:pPr>
          </w:p>
        </w:tc>
        <w:tc>
          <w:tcPr>
            <w:tcW w:w="592" w:type="pct"/>
            <w:tcBorders>
              <w:top w:val="single" w:sz="12" w:space="0" w:color="auto"/>
              <w:left w:val="nil"/>
              <w:right w:val="nil"/>
            </w:tcBorders>
            <w:shd w:val="clear" w:color="auto" w:fill="auto"/>
            <w:vAlign w:val="bottom"/>
          </w:tcPr>
          <w:p w14:paraId="73144964" w14:textId="77777777" w:rsidR="006D31AA" w:rsidRPr="003B45F7" w:rsidRDefault="006D31AA" w:rsidP="006D31AA">
            <w:pPr>
              <w:tabs>
                <w:tab w:val="right" w:pos="1202"/>
              </w:tabs>
              <w:spacing w:line="240" w:lineRule="exact"/>
              <w:outlineLvl w:val="0"/>
              <w:rPr>
                <w:rFonts w:ascii="Arial" w:eastAsia="Times New Roman" w:hAnsi="Arial" w:cs="Arial"/>
                <w:iCs/>
                <w:color w:val="000000"/>
                <w:sz w:val="17"/>
                <w:szCs w:val="17"/>
              </w:rPr>
            </w:pPr>
          </w:p>
        </w:tc>
        <w:tc>
          <w:tcPr>
            <w:tcW w:w="593" w:type="pct"/>
            <w:tcBorders>
              <w:top w:val="single" w:sz="12" w:space="0" w:color="auto"/>
              <w:left w:val="nil"/>
              <w:right w:val="nil"/>
            </w:tcBorders>
            <w:shd w:val="clear" w:color="auto" w:fill="auto"/>
            <w:vAlign w:val="bottom"/>
          </w:tcPr>
          <w:p w14:paraId="6C50644E" w14:textId="77777777" w:rsidR="006D31AA" w:rsidRPr="003B45F7" w:rsidRDefault="006D31AA" w:rsidP="006D31AA">
            <w:pPr>
              <w:tabs>
                <w:tab w:val="right" w:pos="1202"/>
              </w:tabs>
              <w:spacing w:line="240" w:lineRule="exact"/>
              <w:outlineLvl w:val="0"/>
              <w:rPr>
                <w:rFonts w:ascii="Arial" w:eastAsia="Times New Roman" w:hAnsi="Arial" w:cs="Arial"/>
                <w:iCs/>
                <w:color w:val="000000"/>
                <w:sz w:val="17"/>
                <w:szCs w:val="17"/>
              </w:rPr>
            </w:pPr>
          </w:p>
        </w:tc>
        <w:tc>
          <w:tcPr>
            <w:tcW w:w="592" w:type="pct"/>
            <w:tcBorders>
              <w:top w:val="single" w:sz="12" w:space="0" w:color="auto"/>
              <w:left w:val="nil"/>
              <w:right w:val="nil"/>
            </w:tcBorders>
            <w:shd w:val="clear" w:color="auto" w:fill="auto"/>
            <w:vAlign w:val="bottom"/>
          </w:tcPr>
          <w:p w14:paraId="63250297" w14:textId="77777777" w:rsidR="006D31AA" w:rsidRPr="003B45F7" w:rsidRDefault="006D31AA" w:rsidP="006D31AA">
            <w:pPr>
              <w:tabs>
                <w:tab w:val="right" w:pos="1202"/>
              </w:tabs>
              <w:spacing w:line="240" w:lineRule="exact"/>
              <w:outlineLvl w:val="0"/>
              <w:rPr>
                <w:rFonts w:ascii="Arial" w:eastAsia="Times New Roman" w:hAnsi="Arial" w:cs="Arial"/>
                <w:iCs/>
                <w:color w:val="000000"/>
                <w:sz w:val="17"/>
                <w:szCs w:val="17"/>
              </w:rPr>
            </w:pPr>
          </w:p>
        </w:tc>
        <w:tc>
          <w:tcPr>
            <w:tcW w:w="593" w:type="pct"/>
            <w:tcBorders>
              <w:top w:val="single" w:sz="12" w:space="0" w:color="auto"/>
              <w:left w:val="nil"/>
              <w:right w:val="nil"/>
            </w:tcBorders>
            <w:shd w:val="clear" w:color="auto" w:fill="auto"/>
            <w:vAlign w:val="bottom"/>
          </w:tcPr>
          <w:p w14:paraId="1DE1373F" w14:textId="77777777" w:rsidR="006D31AA" w:rsidRPr="003B45F7" w:rsidRDefault="006D31AA" w:rsidP="006D31AA">
            <w:pPr>
              <w:tabs>
                <w:tab w:val="right" w:pos="1202"/>
              </w:tabs>
              <w:spacing w:line="240" w:lineRule="exact"/>
              <w:outlineLvl w:val="0"/>
              <w:rPr>
                <w:rFonts w:ascii="Arial" w:eastAsia="Times New Roman" w:hAnsi="Arial" w:cs="Arial"/>
                <w:iCs/>
                <w:color w:val="000000"/>
                <w:sz w:val="17"/>
                <w:szCs w:val="17"/>
              </w:rPr>
            </w:pPr>
          </w:p>
        </w:tc>
        <w:tc>
          <w:tcPr>
            <w:tcW w:w="592" w:type="pct"/>
            <w:tcBorders>
              <w:top w:val="single" w:sz="12" w:space="0" w:color="auto"/>
              <w:left w:val="nil"/>
              <w:right w:val="nil"/>
            </w:tcBorders>
            <w:shd w:val="clear" w:color="auto" w:fill="auto"/>
            <w:vAlign w:val="bottom"/>
          </w:tcPr>
          <w:p w14:paraId="64111DF0" w14:textId="77777777" w:rsidR="006D31AA" w:rsidRPr="003B45F7" w:rsidRDefault="006D31AA" w:rsidP="006D31AA">
            <w:pPr>
              <w:tabs>
                <w:tab w:val="right" w:pos="1202"/>
              </w:tabs>
              <w:spacing w:line="240" w:lineRule="exact"/>
              <w:outlineLvl w:val="0"/>
              <w:rPr>
                <w:rFonts w:ascii="Arial" w:eastAsia="Times New Roman" w:hAnsi="Arial" w:cs="Arial"/>
                <w:iCs/>
                <w:color w:val="000000"/>
                <w:sz w:val="17"/>
                <w:szCs w:val="17"/>
              </w:rPr>
            </w:pPr>
          </w:p>
        </w:tc>
        <w:tc>
          <w:tcPr>
            <w:tcW w:w="593" w:type="pct"/>
            <w:tcBorders>
              <w:top w:val="single" w:sz="12" w:space="0" w:color="auto"/>
              <w:left w:val="nil"/>
              <w:right w:val="nil"/>
            </w:tcBorders>
            <w:shd w:val="clear" w:color="auto" w:fill="auto"/>
            <w:vAlign w:val="bottom"/>
          </w:tcPr>
          <w:p w14:paraId="7FB666E9" w14:textId="77777777" w:rsidR="006D31AA" w:rsidRPr="003B45F7" w:rsidRDefault="006D31AA" w:rsidP="006D31AA">
            <w:pPr>
              <w:tabs>
                <w:tab w:val="right" w:pos="1202"/>
              </w:tabs>
              <w:spacing w:line="240" w:lineRule="exact"/>
              <w:outlineLvl w:val="0"/>
              <w:rPr>
                <w:rFonts w:ascii="Arial" w:eastAsia="Times New Roman" w:hAnsi="Arial" w:cs="Arial"/>
                <w:iCs/>
                <w:color w:val="000000"/>
                <w:sz w:val="17"/>
                <w:szCs w:val="17"/>
              </w:rPr>
            </w:pPr>
          </w:p>
        </w:tc>
      </w:tr>
      <w:tr w:rsidR="000C013A" w:rsidRPr="000F2CE4" w14:paraId="56D6BFE2" w14:textId="77777777" w:rsidTr="00CC4F60">
        <w:trPr>
          <w:trHeight w:val="257"/>
        </w:trPr>
        <w:tc>
          <w:tcPr>
            <w:tcW w:w="1444" w:type="pct"/>
            <w:vAlign w:val="bottom"/>
          </w:tcPr>
          <w:p w14:paraId="6CFCA92A" w14:textId="249F7E4A" w:rsidR="000C013A" w:rsidRPr="000F2CE4" w:rsidRDefault="000C013A" w:rsidP="000C013A">
            <w:pPr>
              <w:tabs>
                <w:tab w:val="right" w:pos="1202"/>
              </w:tabs>
              <w:spacing w:line="240" w:lineRule="exact"/>
              <w:outlineLvl w:val="0"/>
              <w:rPr>
                <w:rFonts w:ascii="Arial" w:eastAsia="Times New Roman" w:hAnsi="Arial" w:cs="Arial"/>
                <w:b/>
                <w:iCs/>
                <w:color w:val="000000"/>
                <w:sz w:val="17"/>
                <w:szCs w:val="17"/>
              </w:rPr>
            </w:pPr>
            <w:r w:rsidRPr="000F2CE4">
              <w:rPr>
                <w:rFonts w:ascii="Arial" w:eastAsia="Times New Roman" w:hAnsi="Arial" w:cs="Arial"/>
                <w:b/>
                <w:iCs/>
                <w:color w:val="000000"/>
                <w:sz w:val="17"/>
                <w:szCs w:val="17"/>
              </w:rPr>
              <w:t>Stanje 1. siječnja 202</w:t>
            </w:r>
            <w:r>
              <w:rPr>
                <w:rFonts w:ascii="Arial" w:eastAsia="Times New Roman" w:hAnsi="Arial" w:cs="Arial"/>
                <w:b/>
                <w:iCs/>
                <w:color w:val="000000"/>
                <w:sz w:val="17"/>
                <w:szCs w:val="17"/>
              </w:rPr>
              <w:t>4</w:t>
            </w:r>
            <w:r w:rsidRPr="000F2CE4">
              <w:rPr>
                <w:rFonts w:ascii="Arial" w:eastAsia="Times New Roman" w:hAnsi="Arial" w:cs="Arial"/>
                <w:b/>
                <w:iCs/>
                <w:color w:val="000000"/>
                <w:sz w:val="17"/>
                <w:szCs w:val="17"/>
              </w:rPr>
              <w:t>.</w:t>
            </w:r>
          </w:p>
        </w:tc>
        <w:tc>
          <w:tcPr>
            <w:tcW w:w="592" w:type="pct"/>
            <w:tcBorders>
              <w:top w:val="single" w:sz="8" w:space="0" w:color="auto"/>
              <w:left w:val="nil"/>
              <w:bottom w:val="single" w:sz="12" w:space="0" w:color="auto"/>
              <w:right w:val="nil"/>
            </w:tcBorders>
            <w:shd w:val="clear" w:color="auto" w:fill="auto"/>
            <w:vAlign w:val="bottom"/>
          </w:tcPr>
          <w:p w14:paraId="33F29A0F" w14:textId="33AADEA1" w:rsidR="000C013A" w:rsidRPr="00CE1C5B" w:rsidRDefault="000C013A" w:rsidP="000C013A">
            <w:pPr>
              <w:tabs>
                <w:tab w:val="right" w:pos="1202"/>
              </w:tabs>
              <w:spacing w:line="301" w:lineRule="exact"/>
              <w:jc w:val="right"/>
              <w:outlineLvl w:val="0"/>
              <w:rPr>
                <w:rFonts w:ascii="Arial" w:eastAsia="Times New Roman" w:hAnsi="Arial" w:cs="Arial"/>
                <w:b/>
                <w:bCs/>
                <w:color w:val="000000"/>
                <w:sz w:val="17"/>
                <w:szCs w:val="17"/>
              </w:rPr>
            </w:pPr>
            <w:r w:rsidRPr="00CE1C5B">
              <w:rPr>
                <w:rFonts w:ascii="Arial" w:hAnsi="Arial" w:cs="Arial"/>
                <w:b/>
                <w:bCs/>
                <w:sz w:val="17"/>
                <w:szCs w:val="17"/>
              </w:rPr>
              <w:t xml:space="preserve"> 958.873 </w:t>
            </w:r>
          </w:p>
        </w:tc>
        <w:tc>
          <w:tcPr>
            <w:tcW w:w="593" w:type="pct"/>
            <w:tcBorders>
              <w:top w:val="single" w:sz="8" w:space="0" w:color="auto"/>
              <w:left w:val="nil"/>
              <w:bottom w:val="single" w:sz="12" w:space="0" w:color="auto"/>
              <w:right w:val="nil"/>
            </w:tcBorders>
            <w:shd w:val="clear" w:color="auto" w:fill="auto"/>
            <w:vAlign w:val="bottom"/>
          </w:tcPr>
          <w:p w14:paraId="7D0CF734" w14:textId="4D426D3B" w:rsidR="000C013A" w:rsidRPr="00CE1C5B" w:rsidRDefault="000C013A" w:rsidP="000C013A">
            <w:pPr>
              <w:tabs>
                <w:tab w:val="right" w:pos="1202"/>
              </w:tabs>
              <w:spacing w:line="301" w:lineRule="exact"/>
              <w:jc w:val="right"/>
              <w:outlineLvl w:val="0"/>
              <w:rPr>
                <w:rFonts w:ascii="Arial" w:eastAsia="Times New Roman" w:hAnsi="Arial" w:cs="Arial"/>
                <w:b/>
                <w:bCs/>
                <w:color w:val="000000"/>
                <w:sz w:val="17"/>
                <w:szCs w:val="17"/>
              </w:rPr>
            </w:pPr>
            <w:r w:rsidRPr="00CE1C5B">
              <w:rPr>
                <w:rFonts w:ascii="Arial" w:hAnsi="Arial" w:cs="Arial"/>
                <w:b/>
                <w:bCs/>
                <w:sz w:val="17"/>
                <w:szCs w:val="17"/>
              </w:rPr>
              <w:t xml:space="preserve"> 468.113 </w:t>
            </w:r>
          </w:p>
        </w:tc>
        <w:tc>
          <w:tcPr>
            <w:tcW w:w="592" w:type="pct"/>
            <w:tcBorders>
              <w:top w:val="single" w:sz="8" w:space="0" w:color="auto"/>
              <w:left w:val="nil"/>
              <w:bottom w:val="single" w:sz="12" w:space="0" w:color="auto"/>
              <w:right w:val="nil"/>
            </w:tcBorders>
            <w:shd w:val="clear" w:color="auto" w:fill="auto"/>
            <w:vAlign w:val="bottom"/>
          </w:tcPr>
          <w:p w14:paraId="75748A36" w14:textId="31E4C556" w:rsidR="000C013A" w:rsidRPr="00CE1C5B" w:rsidRDefault="000C013A" w:rsidP="000C013A">
            <w:pPr>
              <w:tabs>
                <w:tab w:val="right" w:pos="1202"/>
              </w:tabs>
              <w:spacing w:line="301" w:lineRule="exact"/>
              <w:jc w:val="right"/>
              <w:outlineLvl w:val="0"/>
              <w:rPr>
                <w:rFonts w:ascii="Arial" w:eastAsia="Times New Roman" w:hAnsi="Arial" w:cs="Arial"/>
                <w:b/>
                <w:bCs/>
                <w:color w:val="000000"/>
                <w:sz w:val="17"/>
                <w:szCs w:val="17"/>
              </w:rPr>
            </w:pPr>
            <w:r w:rsidRPr="00CE1C5B">
              <w:rPr>
                <w:rFonts w:ascii="Arial" w:hAnsi="Arial" w:cs="Arial"/>
                <w:b/>
                <w:bCs/>
                <w:sz w:val="17"/>
                <w:szCs w:val="17"/>
              </w:rPr>
              <w:t xml:space="preserve"> (943)</w:t>
            </w:r>
          </w:p>
        </w:tc>
        <w:tc>
          <w:tcPr>
            <w:tcW w:w="593" w:type="pct"/>
            <w:tcBorders>
              <w:top w:val="single" w:sz="8" w:space="0" w:color="auto"/>
              <w:left w:val="nil"/>
              <w:bottom w:val="single" w:sz="12" w:space="0" w:color="auto"/>
              <w:right w:val="nil"/>
            </w:tcBorders>
            <w:shd w:val="clear" w:color="auto" w:fill="auto"/>
            <w:vAlign w:val="bottom"/>
          </w:tcPr>
          <w:p w14:paraId="12E7316E" w14:textId="4E00E16B" w:rsidR="000C013A" w:rsidRPr="00CE1C5B" w:rsidRDefault="000C013A" w:rsidP="000C013A">
            <w:pPr>
              <w:tabs>
                <w:tab w:val="right" w:pos="1202"/>
              </w:tabs>
              <w:spacing w:line="301" w:lineRule="exact"/>
              <w:jc w:val="right"/>
              <w:outlineLvl w:val="0"/>
              <w:rPr>
                <w:rFonts w:ascii="Arial" w:eastAsia="Times New Roman" w:hAnsi="Arial" w:cs="Arial"/>
                <w:b/>
                <w:bCs/>
                <w:color w:val="000000"/>
                <w:sz w:val="17"/>
                <w:szCs w:val="17"/>
              </w:rPr>
            </w:pPr>
            <w:r w:rsidRPr="00CE1C5B">
              <w:rPr>
                <w:rFonts w:ascii="Arial" w:hAnsi="Arial" w:cs="Arial"/>
                <w:b/>
                <w:bCs/>
                <w:sz w:val="17"/>
                <w:szCs w:val="17"/>
              </w:rPr>
              <w:t xml:space="preserve"> 29.842 </w:t>
            </w:r>
          </w:p>
        </w:tc>
        <w:tc>
          <w:tcPr>
            <w:tcW w:w="592" w:type="pct"/>
            <w:tcBorders>
              <w:top w:val="single" w:sz="8" w:space="0" w:color="auto"/>
              <w:left w:val="nil"/>
              <w:bottom w:val="single" w:sz="12" w:space="0" w:color="auto"/>
              <w:right w:val="nil"/>
            </w:tcBorders>
            <w:shd w:val="clear" w:color="auto" w:fill="auto"/>
            <w:vAlign w:val="bottom"/>
          </w:tcPr>
          <w:p w14:paraId="4A600D85" w14:textId="039AE84D" w:rsidR="000C013A" w:rsidRPr="00CE1C5B" w:rsidRDefault="000C013A" w:rsidP="000C013A">
            <w:pPr>
              <w:tabs>
                <w:tab w:val="right" w:pos="1202"/>
              </w:tabs>
              <w:spacing w:line="301" w:lineRule="exact"/>
              <w:jc w:val="right"/>
              <w:outlineLvl w:val="0"/>
              <w:rPr>
                <w:rFonts w:ascii="Arial" w:eastAsia="Times New Roman" w:hAnsi="Arial" w:cs="Arial"/>
                <w:b/>
                <w:bCs/>
                <w:color w:val="000000"/>
                <w:sz w:val="17"/>
                <w:szCs w:val="17"/>
              </w:rPr>
            </w:pPr>
            <w:r w:rsidRPr="00CE1C5B">
              <w:rPr>
                <w:rFonts w:ascii="Arial" w:hAnsi="Arial" w:cs="Arial"/>
                <w:b/>
                <w:bCs/>
                <w:sz w:val="17"/>
                <w:szCs w:val="17"/>
              </w:rPr>
              <w:t xml:space="preserve"> 1.638 </w:t>
            </w:r>
          </w:p>
        </w:tc>
        <w:tc>
          <w:tcPr>
            <w:tcW w:w="593" w:type="pct"/>
            <w:tcBorders>
              <w:top w:val="single" w:sz="8" w:space="0" w:color="auto"/>
              <w:left w:val="nil"/>
              <w:bottom w:val="single" w:sz="12" w:space="0" w:color="auto"/>
              <w:right w:val="nil"/>
            </w:tcBorders>
            <w:shd w:val="clear" w:color="auto" w:fill="auto"/>
            <w:vAlign w:val="bottom"/>
          </w:tcPr>
          <w:p w14:paraId="61F388DF" w14:textId="53BD5726" w:rsidR="000C013A" w:rsidRPr="00CE1C5B" w:rsidRDefault="000C013A" w:rsidP="000C013A">
            <w:pPr>
              <w:tabs>
                <w:tab w:val="right" w:pos="1202"/>
              </w:tabs>
              <w:spacing w:line="301" w:lineRule="exact"/>
              <w:jc w:val="right"/>
              <w:outlineLvl w:val="0"/>
              <w:rPr>
                <w:rFonts w:ascii="Arial" w:eastAsia="Times New Roman" w:hAnsi="Arial" w:cs="Arial"/>
                <w:b/>
                <w:bCs/>
                <w:color w:val="000000"/>
                <w:sz w:val="17"/>
                <w:szCs w:val="17"/>
              </w:rPr>
            </w:pPr>
            <w:r w:rsidRPr="00CE1C5B">
              <w:rPr>
                <w:rFonts w:ascii="Arial" w:hAnsi="Arial" w:cs="Arial"/>
                <w:b/>
                <w:bCs/>
                <w:sz w:val="17"/>
                <w:szCs w:val="17"/>
              </w:rPr>
              <w:t xml:space="preserve"> 1.457.523 </w:t>
            </w:r>
          </w:p>
        </w:tc>
      </w:tr>
      <w:tr w:rsidR="000C013A" w:rsidRPr="000F2CE4" w14:paraId="56DB6A2C" w14:textId="77777777" w:rsidTr="000F2CE4">
        <w:trPr>
          <w:trHeight w:val="386"/>
        </w:trPr>
        <w:tc>
          <w:tcPr>
            <w:tcW w:w="1444" w:type="pct"/>
            <w:vAlign w:val="bottom"/>
          </w:tcPr>
          <w:p w14:paraId="078C1806" w14:textId="4A80A832" w:rsidR="000C013A" w:rsidRPr="000F2CE4" w:rsidRDefault="000C013A" w:rsidP="000C013A">
            <w:pPr>
              <w:tabs>
                <w:tab w:val="right" w:pos="1202"/>
              </w:tabs>
              <w:outlineLvl w:val="0"/>
              <w:rPr>
                <w:rFonts w:ascii="Arial" w:eastAsia="Times New Roman" w:hAnsi="Arial" w:cs="Arial"/>
                <w:iCs/>
                <w:color w:val="000000"/>
                <w:sz w:val="17"/>
                <w:szCs w:val="17"/>
              </w:rPr>
            </w:pPr>
            <w:r w:rsidRPr="000F2CE4">
              <w:rPr>
                <w:rFonts w:ascii="Arial" w:eastAsia="Times New Roman" w:hAnsi="Arial" w:cs="Arial"/>
                <w:iCs/>
                <w:color w:val="000000"/>
                <w:sz w:val="17"/>
                <w:szCs w:val="17"/>
              </w:rPr>
              <w:t>Dobit tekućeg razdoblja</w:t>
            </w:r>
          </w:p>
        </w:tc>
        <w:tc>
          <w:tcPr>
            <w:tcW w:w="592" w:type="pct"/>
            <w:tcBorders>
              <w:top w:val="single" w:sz="12" w:space="0" w:color="auto"/>
              <w:left w:val="nil"/>
              <w:bottom w:val="nil"/>
              <w:right w:val="nil"/>
            </w:tcBorders>
            <w:shd w:val="clear" w:color="auto" w:fill="auto"/>
            <w:vAlign w:val="center"/>
          </w:tcPr>
          <w:p w14:paraId="24824645" w14:textId="65385D1D" w:rsidR="000C013A" w:rsidRPr="000F2CE4" w:rsidRDefault="009E1759" w:rsidP="000C013A">
            <w:pPr>
              <w:tabs>
                <w:tab w:val="right" w:pos="1202"/>
              </w:tabs>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single" w:sz="12" w:space="0" w:color="auto"/>
              <w:left w:val="nil"/>
              <w:bottom w:val="nil"/>
              <w:right w:val="nil"/>
            </w:tcBorders>
            <w:shd w:val="clear" w:color="auto" w:fill="auto"/>
            <w:vAlign w:val="center"/>
          </w:tcPr>
          <w:p w14:paraId="34CE7F5D" w14:textId="0A2C45FF" w:rsidR="000C013A" w:rsidRPr="000F2CE4" w:rsidRDefault="009E1759" w:rsidP="000C013A">
            <w:pPr>
              <w:tabs>
                <w:tab w:val="right" w:pos="1202"/>
              </w:tabs>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2" w:type="pct"/>
            <w:tcBorders>
              <w:top w:val="single" w:sz="12" w:space="0" w:color="auto"/>
              <w:left w:val="nil"/>
              <w:bottom w:val="nil"/>
              <w:right w:val="nil"/>
            </w:tcBorders>
            <w:shd w:val="clear" w:color="auto" w:fill="auto"/>
            <w:vAlign w:val="center"/>
          </w:tcPr>
          <w:p w14:paraId="70F8D266" w14:textId="5554ACA6" w:rsidR="000C013A" w:rsidRPr="000F2CE4" w:rsidRDefault="009E1759" w:rsidP="000C013A">
            <w:pPr>
              <w:tabs>
                <w:tab w:val="right" w:pos="1202"/>
              </w:tabs>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single" w:sz="12" w:space="0" w:color="auto"/>
              <w:left w:val="nil"/>
              <w:bottom w:val="nil"/>
              <w:right w:val="nil"/>
            </w:tcBorders>
            <w:shd w:val="clear" w:color="auto" w:fill="auto"/>
            <w:vAlign w:val="center"/>
          </w:tcPr>
          <w:p w14:paraId="14AC7510" w14:textId="02EFEC20" w:rsidR="000C013A" w:rsidRPr="000F2CE4" w:rsidRDefault="009E1759" w:rsidP="000C013A">
            <w:pPr>
              <w:tabs>
                <w:tab w:val="right" w:pos="1202"/>
              </w:tabs>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17.580</w:t>
            </w:r>
          </w:p>
        </w:tc>
        <w:tc>
          <w:tcPr>
            <w:tcW w:w="592" w:type="pct"/>
            <w:tcBorders>
              <w:top w:val="single" w:sz="12" w:space="0" w:color="auto"/>
              <w:left w:val="nil"/>
              <w:bottom w:val="nil"/>
              <w:right w:val="nil"/>
            </w:tcBorders>
            <w:shd w:val="clear" w:color="auto" w:fill="auto"/>
            <w:vAlign w:val="center"/>
          </w:tcPr>
          <w:p w14:paraId="3713B0C5" w14:textId="5A7E3DE7" w:rsidR="000C013A" w:rsidRPr="000F2CE4" w:rsidRDefault="009E1759" w:rsidP="000C013A">
            <w:pPr>
              <w:tabs>
                <w:tab w:val="right" w:pos="1202"/>
              </w:tabs>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single" w:sz="12" w:space="0" w:color="auto"/>
              <w:left w:val="nil"/>
              <w:bottom w:val="nil"/>
              <w:right w:val="nil"/>
            </w:tcBorders>
            <w:shd w:val="clear" w:color="auto" w:fill="auto"/>
            <w:vAlign w:val="center"/>
          </w:tcPr>
          <w:p w14:paraId="097133C3" w14:textId="0CFA22D3" w:rsidR="000C013A" w:rsidRPr="000F2CE4" w:rsidRDefault="004A3563" w:rsidP="000C013A">
            <w:pPr>
              <w:tabs>
                <w:tab w:val="right" w:pos="1202"/>
              </w:tabs>
              <w:jc w:val="right"/>
              <w:outlineLvl w:val="0"/>
              <w:rPr>
                <w:rFonts w:ascii="Arial" w:eastAsia="Times New Roman" w:hAnsi="Arial" w:cs="Arial"/>
                <w:b/>
                <w:iCs/>
                <w:color w:val="000000"/>
                <w:sz w:val="17"/>
                <w:szCs w:val="17"/>
              </w:rPr>
            </w:pPr>
            <w:r>
              <w:rPr>
                <w:rFonts w:ascii="Arial" w:eastAsia="Times New Roman" w:hAnsi="Arial" w:cs="Arial"/>
                <w:b/>
                <w:iCs/>
                <w:color w:val="000000"/>
                <w:sz w:val="17"/>
                <w:szCs w:val="17"/>
              </w:rPr>
              <w:t>17.580</w:t>
            </w:r>
          </w:p>
        </w:tc>
      </w:tr>
      <w:tr w:rsidR="000C013A" w:rsidRPr="000F2CE4" w14:paraId="013E1F09" w14:textId="77777777" w:rsidTr="005D1219">
        <w:trPr>
          <w:trHeight w:hRule="exact" w:val="340"/>
        </w:trPr>
        <w:tc>
          <w:tcPr>
            <w:tcW w:w="1444" w:type="pct"/>
            <w:vAlign w:val="bottom"/>
          </w:tcPr>
          <w:p w14:paraId="3A850BE0" w14:textId="77777777" w:rsidR="000C013A" w:rsidRPr="000F2CE4" w:rsidRDefault="000C013A" w:rsidP="000C013A">
            <w:pPr>
              <w:tabs>
                <w:tab w:val="right" w:pos="1202"/>
              </w:tabs>
              <w:outlineLvl w:val="0"/>
              <w:rPr>
                <w:rFonts w:ascii="Arial" w:eastAsia="Times New Roman" w:hAnsi="Arial" w:cs="Arial"/>
                <w:iCs/>
                <w:color w:val="000000"/>
                <w:sz w:val="17"/>
                <w:szCs w:val="17"/>
              </w:rPr>
            </w:pPr>
            <w:bookmarkStart w:id="238" w:name="_Toc67327311"/>
            <w:r w:rsidRPr="000F2CE4">
              <w:rPr>
                <w:rFonts w:ascii="Arial" w:eastAsia="Times New Roman" w:hAnsi="Arial" w:cs="Arial"/>
                <w:iCs/>
                <w:color w:val="000000"/>
                <w:sz w:val="17"/>
                <w:szCs w:val="17"/>
              </w:rPr>
              <w:t>Ostala sveobuhvatna dobit</w:t>
            </w:r>
            <w:bookmarkEnd w:id="238"/>
          </w:p>
        </w:tc>
        <w:tc>
          <w:tcPr>
            <w:tcW w:w="592" w:type="pct"/>
            <w:tcBorders>
              <w:top w:val="nil"/>
              <w:left w:val="nil"/>
              <w:bottom w:val="single" w:sz="4" w:space="0" w:color="auto"/>
              <w:right w:val="nil"/>
            </w:tcBorders>
            <w:shd w:val="clear" w:color="auto" w:fill="auto"/>
            <w:vAlign w:val="center"/>
          </w:tcPr>
          <w:p w14:paraId="1D256DD0" w14:textId="062996FD" w:rsidR="000C013A" w:rsidRPr="000F2CE4" w:rsidRDefault="004A3563" w:rsidP="000C013A">
            <w:pPr>
              <w:tabs>
                <w:tab w:val="right" w:pos="1202"/>
              </w:tabs>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vAlign w:val="center"/>
          </w:tcPr>
          <w:p w14:paraId="3FF28B72" w14:textId="5E3056B5" w:rsidR="000C013A" w:rsidRPr="000F2CE4" w:rsidRDefault="004A3563" w:rsidP="000C013A">
            <w:pPr>
              <w:tabs>
                <w:tab w:val="right" w:pos="1202"/>
              </w:tabs>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2" w:type="pct"/>
            <w:tcBorders>
              <w:top w:val="nil"/>
              <w:left w:val="nil"/>
              <w:bottom w:val="single" w:sz="4" w:space="0" w:color="auto"/>
              <w:right w:val="nil"/>
            </w:tcBorders>
            <w:shd w:val="clear" w:color="auto" w:fill="auto"/>
            <w:vAlign w:val="center"/>
          </w:tcPr>
          <w:p w14:paraId="56DC67CF" w14:textId="478A4B64" w:rsidR="000C013A" w:rsidRPr="000F2CE4" w:rsidRDefault="00702707" w:rsidP="000C013A">
            <w:pPr>
              <w:tabs>
                <w:tab w:val="right" w:pos="1202"/>
              </w:tabs>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(534)</w:t>
            </w:r>
          </w:p>
        </w:tc>
        <w:tc>
          <w:tcPr>
            <w:tcW w:w="593" w:type="pct"/>
            <w:tcBorders>
              <w:top w:val="nil"/>
              <w:left w:val="nil"/>
              <w:bottom w:val="single" w:sz="4" w:space="0" w:color="auto"/>
              <w:right w:val="nil"/>
            </w:tcBorders>
            <w:shd w:val="clear" w:color="auto" w:fill="auto"/>
            <w:vAlign w:val="center"/>
          </w:tcPr>
          <w:p w14:paraId="60875068" w14:textId="1909D153" w:rsidR="000C013A" w:rsidRPr="000F2CE4" w:rsidRDefault="00702707" w:rsidP="000C013A">
            <w:pPr>
              <w:tabs>
                <w:tab w:val="right" w:pos="1202"/>
              </w:tabs>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2" w:type="pct"/>
            <w:tcBorders>
              <w:top w:val="nil"/>
              <w:left w:val="nil"/>
              <w:bottom w:val="single" w:sz="4" w:space="0" w:color="auto"/>
              <w:right w:val="nil"/>
            </w:tcBorders>
            <w:shd w:val="clear" w:color="auto" w:fill="auto"/>
            <w:vAlign w:val="center"/>
          </w:tcPr>
          <w:p w14:paraId="42248850" w14:textId="0564274D" w:rsidR="000C013A" w:rsidRPr="000F2CE4" w:rsidRDefault="00702707" w:rsidP="000C013A">
            <w:pPr>
              <w:tabs>
                <w:tab w:val="right" w:pos="1202"/>
              </w:tabs>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vAlign w:val="center"/>
          </w:tcPr>
          <w:p w14:paraId="0E8E396F" w14:textId="38256E63" w:rsidR="000C013A" w:rsidRPr="000F2CE4" w:rsidRDefault="00702707" w:rsidP="000C013A">
            <w:pPr>
              <w:tabs>
                <w:tab w:val="right" w:pos="1202"/>
              </w:tabs>
              <w:jc w:val="right"/>
              <w:outlineLvl w:val="0"/>
              <w:rPr>
                <w:rFonts w:ascii="Arial" w:eastAsia="Times New Roman" w:hAnsi="Arial" w:cs="Arial"/>
                <w:b/>
                <w:iCs/>
                <w:color w:val="000000"/>
                <w:sz w:val="17"/>
                <w:szCs w:val="17"/>
              </w:rPr>
            </w:pPr>
            <w:r>
              <w:rPr>
                <w:rFonts w:ascii="Arial" w:eastAsia="Times New Roman" w:hAnsi="Arial" w:cs="Arial"/>
                <w:b/>
                <w:iCs/>
                <w:color w:val="000000"/>
                <w:sz w:val="17"/>
                <w:szCs w:val="17"/>
              </w:rPr>
              <w:t>(534)</w:t>
            </w:r>
          </w:p>
        </w:tc>
      </w:tr>
      <w:tr w:rsidR="000C013A" w:rsidRPr="000F2CE4" w14:paraId="212AB8D2" w14:textId="77777777" w:rsidTr="000F2CE4">
        <w:trPr>
          <w:trHeight w:val="62"/>
        </w:trPr>
        <w:tc>
          <w:tcPr>
            <w:tcW w:w="1444" w:type="pct"/>
            <w:vAlign w:val="bottom"/>
          </w:tcPr>
          <w:p w14:paraId="4739493A" w14:textId="77777777" w:rsidR="000C013A" w:rsidRPr="000F2CE4" w:rsidRDefault="000C013A" w:rsidP="000C013A">
            <w:pPr>
              <w:tabs>
                <w:tab w:val="right" w:pos="1202"/>
              </w:tabs>
              <w:spacing w:line="240" w:lineRule="exact"/>
              <w:outlineLvl w:val="0"/>
              <w:rPr>
                <w:rFonts w:ascii="Arial" w:eastAsia="Times New Roman" w:hAnsi="Arial" w:cs="Arial"/>
                <w:iCs/>
                <w:color w:val="000000"/>
                <w:sz w:val="17"/>
                <w:szCs w:val="17"/>
              </w:rPr>
            </w:pPr>
            <w:bookmarkStart w:id="239" w:name="_Toc67327318"/>
            <w:r w:rsidRPr="000F2CE4">
              <w:rPr>
                <w:rFonts w:ascii="Arial" w:eastAsia="Times New Roman" w:hAnsi="Arial" w:cs="Arial"/>
                <w:iCs/>
                <w:color w:val="000000"/>
                <w:sz w:val="17"/>
                <w:szCs w:val="17"/>
              </w:rPr>
              <w:t>Ukupna sveobuhvatna dobit</w:t>
            </w:r>
            <w:bookmarkEnd w:id="239"/>
          </w:p>
        </w:tc>
        <w:tc>
          <w:tcPr>
            <w:tcW w:w="592" w:type="pct"/>
            <w:tcBorders>
              <w:top w:val="nil"/>
              <w:left w:val="nil"/>
              <w:bottom w:val="single" w:sz="4" w:space="0" w:color="auto"/>
              <w:right w:val="nil"/>
            </w:tcBorders>
            <w:shd w:val="clear" w:color="auto" w:fill="auto"/>
          </w:tcPr>
          <w:p w14:paraId="7BBB0F4F" w14:textId="1612F6D2" w:rsidR="000C013A" w:rsidRPr="000F2CE4" w:rsidRDefault="00702707" w:rsidP="000C013A">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tcPr>
          <w:p w14:paraId="52473BD0" w14:textId="2D5BA2E1" w:rsidR="000C013A" w:rsidRPr="000F2CE4" w:rsidRDefault="00702707" w:rsidP="000C013A">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2" w:type="pct"/>
            <w:tcBorders>
              <w:top w:val="nil"/>
              <w:left w:val="nil"/>
              <w:bottom w:val="single" w:sz="4" w:space="0" w:color="auto"/>
              <w:right w:val="nil"/>
            </w:tcBorders>
            <w:shd w:val="clear" w:color="auto" w:fill="auto"/>
          </w:tcPr>
          <w:p w14:paraId="11CE8CFB" w14:textId="5712D1F3" w:rsidR="000C013A" w:rsidRPr="000F2CE4" w:rsidRDefault="00702707" w:rsidP="000C013A">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(534)</w:t>
            </w:r>
          </w:p>
        </w:tc>
        <w:tc>
          <w:tcPr>
            <w:tcW w:w="593" w:type="pct"/>
            <w:tcBorders>
              <w:top w:val="nil"/>
              <w:left w:val="nil"/>
              <w:bottom w:val="single" w:sz="4" w:space="0" w:color="auto"/>
              <w:right w:val="nil"/>
            </w:tcBorders>
            <w:shd w:val="clear" w:color="auto" w:fill="auto"/>
          </w:tcPr>
          <w:p w14:paraId="3C033AAC" w14:textId="687D2955" w:rsidR="000C013A" w:rsidRPr="000F2CE4" w:rsidRDefault="00702707" w:rsidP="000C013A">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17.580</w:t>
            </w:r>
          </w:p>
        </w:tc>
        <w:tc>
          <w:tcPr>
            <w:tcW w:w="592" w:type="pct"/>
            <w:tcBorders>
              <w:top w:val="nil"/>
              <w:left w:val="nil"/>
              <w:bottom w:val="single" w:sz="4" w:space="0" w:color="auto"/>
              <w:right w:val="nil"/>
            </w:tcBorders>
            <w:shd w:val="clear" w:color="auto" w:fill="auto"/>
          </w:tcPr>
          <w:p w14:paraId="62EEA8E1" w14:textId="5F297AFB" w:rsidR="000C013A" w:rsidRPr="000F2CE4" w:rsidRDefault="00702707" w:rsidP="000C013A">
            <w:pPr>
              <w:tabs>
                <w:tab w:val="right" w:pos="1202"/>
              </w:tabs>
              <w:spacing w:line="301" w:lineRule="exact"/>
              <w:jc w:val="right"/>
              <w:outlineLvl w:val="0"/>
              <w:rPr>
                <w:rFonts w:ascii="Arial" w:eastAsia="Times New Roman" w:hAnsi="Arial" w:cs="Arial"/>
                <w:iCs/>
                <w:color w:val="000000"/>
                <w:sz w:val="17"/>
                <w:szCs w:val="17"/>
              </w:rPr>
            </w:pPr>
            <w:r>
              <w:rPr>
                <w:rFonts w:ascii="Arial" w:eastAsia="Times New Roman" w:hAnsi="Arial" w:cs="Arial"/>
                <w:iCs/>
                <w:color w:val="000000"/>
                <w:sz w:val="17"/>
                <w:szCs w:val="17"/>
              </w:rPr>
              <w:t>-</w:t>
            </w:r>
          </w:p>
        </w:tc>
        <w:tc>
          <w:tcPr>
            <w:tcW w:w="593" w:type="pct"/>
            <w:tcBorders>
              <w:top w:val="nil"/>
              <w:left w:val="nil"/>
              <w:bottom w:val="single" w:sz="4" w:space="0" w:color="auto"/>
              <w:right w:val="nil"/>
            </w:tcBorders>
            <w:shd w:val="clear" w:color="auto" w:fill="auto"/>
          </w:tcPr>
          <w:p w14:paraId="78D1BC1E" w14:textId="191C1B17" w:rsidR="000C013A" w:rsidRPr="000F2CE4" w:rsidRDefault="003F5C56" w:rsidP="000C013A">
            <w:pPr>
              <w:tabs>
                <w:tab w:val="right" w:pos="1202"/>
              </w:tabs>
              <w:spacing w:line="301" w:lineRule="exact"/>
              <w:jc w:val="right"/>
              <w:outlineLvl w:val="0"/>
              <w:rPr>
                <w:rFonts w:ascii="Arial" w:eastAsia="Times New Roman" w:hAnsi="Arial" w:cs="Arial"/>
                <w:b/>
                <w:bCs/>
                <w:iCs/>
                <w:color w:val="000000"/>
                <w:sz w:val="17"/>
                <w:szCs w:val="17"/>
              </w:rPr>
            </w:pPr>
            <w:r>
              <w:rPr>
                <w:rFonts w:ascii="Arial" w:eastAsia="Times New Roman" w:hAnsi="Arial" w:cs="Arial"/>
                <w:b/>
                <w:bCs/>
                <w:iCs/>
                <w:color w:val="000000"/>
                <w:sz w:val="17"/>
                <w:szCs w:val="17"/>
              </w:rPr>
              <w:t>17.046</w:t>
            </w:r>
          </w:p>
        </w:tc>
      </w:tr>
      <w:tr w:rsidR="000C013A" w:rsidRPr="000F2CE4" w14:paraId="1BB9E532" w14:textId="77777777" w:rsidTr="000F2CE4">
        <w:trPr>
          <w:trHeight w:val="565"/>
        </w:trPr>
        <w:tc>
          <w:tcPr>
            <w:tcW w:w="1444" w:type="pct"/>
            <w:vAlign w:val="bottom"/>
          </w:tcPr>
          <w:p w14:paraId="048CC2C2" w14:textId="77777777" w:rsidR="000C013A" w:rsidRPr="000F2CE4" w:rsidRDefault="000C013A" w:rsidP="000C013A">
            <w:pPr>
              <w:tabs>
                <w:tab w:val="right" w:pos="1202"/>
              </w:tabs>
              <w:spacing w:line="240" w:lineRule="exact"/>
              <w:outlineLvl w:val="0"/>
              <w:rPr>
                <w:rFonts w:ascii="Arial" w:eastAsia="Times New Roman" w:hAnsi="Arial" w:cs="Arial"/>
                <w:i/>
                <w:iCs/>
                <w:color w:val="000000"/>
                <w:sz w:val="17"/>
                <w:szCs w:val="17"/>
              </w:rPr>
            </w:pPr>
            <w:bookmarkStart w:id="240" w:name="_Toc67327332"/>
            <w:r w:rsidRPr="000F2CE4">
              <w:rPr>
                <w:rFonts w:ascii="Arial" w:eastAsia="Times New Roman" w:hAnsi="Arial" w:cs="Arial"/>
                <w:iCs/>
                <w:color w:val="000000"/>
                <w:sz w:val="17"/>
                <w:szCs w:val="17"/>
              </w:rPr>
              <w:t>Uplate u osnivački kapital iz državnog proračuna</w:t>
            </w:r>
            <w:bookmarkEnd w:id="240"/>
            <w:r w:rsidRPr="000F2CE4">
              <w:rPr>
                <w:rFonts w:ascii="Arial" w:eastAsia="Times New Roman" w:hAnsi="Arial" w:cs="Arial"/>
                <w:iCs/>
                <w:color w:val="000000"/>
                <w:sz w:val="17"/>
                <w:szCs w:val="17"/>
              </w:rPr>
              <w:t xml:space="preserve"> </w:t>
            </w:r>
          </w:p>
        </w:tc>
        <w:tc>
          <w:tcPr>
            <w:tcW w:w="592" w:type="pct"/>
            <w:tcBorders>
              <w:top w:val="nil"/>
              <w:left w:val="nil"/>
              <w:bottom w:val="nil"/>
              <w:right w:val="nil"/>
            </w:tcBorders>
            <w:shd w:val="clear" w:color="auto" w:fill="auto"/>
            <w:vAlign w:val="bottom"/>
          </w:tcPr>
          <w:p w14:paraId="27184E91" w14:textId="32A47D8A" w:rsidR="000C013A" w:rsidRPr="000F2CE4" w:rsidRDefault="000C013A" w:rsidP="000C013A">
            <w:pPr>
              <w:tabs>
                <w:tab w:val="right" w:pos="1202"/>
              </w:tabs>
              <w:spacing w:line="301" w:lineRule="exact"/>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93" w:type="pct"/>
            <w:tcBorders>
              <w:top w:val="nil"/>
              <w:left w:val="nil"/>
              <w:bottom w:val="nil"/>
              <w:right w:val="nil"/>
            </w:tcBorders>
            <w:shd w:val="clear" w:color="auto" w:fill="auto"/>
            <w:vAlign w:val="bottom"/>
          </w:tcPr>
          <w:p w14:paraId="6A8ACC17" w14:textId="6B70F0E5" w:rsidR="000C013A" w:rsidRPr="000F2CE4" w:rsidRDefault="000C013A" w:rsidP="000C013A">
            <w:pPr>
              <w:tabs>
                <w:tab w:val="right" w:pos="1202"/>
              </w:tabs>
              <w:spacing w:line="301" w:lineRule="exact"/>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92" w:type="pct"/>
            <w:tcBorders>
              <w:top w:val="nil"/>
              <w:left w:val="nil"/>
              <w:bottom w:val="nil"/>
              <w:right w:val="nil"/>
            </w:tcBorders>
            <w:shd w:val="clear" w:color="auto" w:fill="auto"/>
            <w:vAlign w:val="bottom"/>
          </w:tcPr>
          <w:p w14:paraId="69C49021" w14:textId="66D67242" w:rsidR="000C013A" w:rsidRPr="000F2CE4" w:rsidRDefault="000C013A" w:rsidP="000C013A">
            <w:pPr>
              <w:tabs>
                <w:tab w:val="right" w:pos="1202"/>
              </w:tabs>
              <w:spacing w:line="301" w:lineRule="exact"/>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93" w:type="pct"/>
            <w:tcBorders>
              <w:top w:val="nil"/>
              <w:left w:val="nil"/>
              <w:bottom w:val="nil"/>
              <w:right w:val="nil"/>
            </w:tcBorders>
            <w:shd w:val="clear" w:color="auto" w:fill="auto"/>
            <w:vAlign w:val="bottom"/>
          </w:tcPr>
          <w:p w14:paraId="34DA32E8" w14:textId="4BEA2B90" w:rsidR="000C013A" w:rsidRPr="000F2CE4" w:rsidRDefault="000C013A" w:rsidP="000C013A">
            <w:pPr>
              <w:tabs>
                <w:tab w:val="right" w:pos="1202"/>
              </w:tabs>
              <w:spacing w:line="301" w:lineRule="exact"/>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92" w:type="pct"/>
            <w:tcBorders>
              <w:top w:val="nil"/>
              <w:left w:val="nil"/>
              <w:bottom w:val="nil"/>
              <w:right w:val="nil"/>
            </w:tcBorders>
            <w:shd w:val="clear" w:color="auto" w:fill="auto"/>
            <w:vAlign w:val="bottom"/>
          </w:tcPr>
          <w:p w14:paraId="31DFBDDB" w14:textId="71960821" w:rsidR="000C013A" w:rsidRPr="000F2CE4" w:rsidRDefault="000C013A" w:rsidP="000C013A">
            <w:pPr>
              <w:tabs>
                <w:tab w:val="right" w:pos="1202"/>
              </w:tabs>
              <w:spacing w:line="301" w:lineRule="exact"/>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93" w:type="pct"/>
            <w:tcBorders>
              <w:top w:val="nil"/>
              <w:left w:val="nil"/>
              <w:bottom w:val="nil"/>
              <w:right w:val="nil"/>
            </w:tcBorders>
            <w:shd w:val="clear" w:color="auto" w:fill="auto"/>
            <w:vAlign w:val="bottom"/>
          </w:tcPr>
          <w:p w14:paraId="6F8350A6" w14:textId="23C2CB82" w:rsidR="000C013A" w:rsidRPr="00FE42BC" w:rsidRDefault="000C013A" w:rsidP="000C013A">
            <w:pPr>
              <w:tabs>
                <w:tab w:val="right" w:pos="1202"/>
              </w:tabs>
              <w:spacing w:line="301" w:lineRule="exact"/>
              <w:jc w:val="right"/>
              <w:outlineLvl w:val="0"/>
              <w:rPr>
                <w:rFonts w:ascii="Arial" w:eastAsia="Times New Roman" w:hAnsi="Arial" w:cs="Arial"/>
                <w:b/>
                <w:bCs/>
                <w:iCs/>
                <w:color w:val="000000"/>
                <w:sz w:val="17"/>
                <w:szCs w:val="17"/>
              </w:rPr>
            </w:pPr>
            <w:r w:rsidRPr="005D1219">
              <w:rPr>
                <w:rFonts w:ascii="Arial" w:hAnsi="Arial" w:cs="Arial"/>
                <w:b/>
                <w:bCs/>
                <w:sz w:val="17"/>
                <w:szCs w:val="17"/>
              </w:rPr>
              <w:t xml:space="preserve"> - </w:t>
            </w:r>
          </w:p>
        </w:tc>
      </w:tr>
      <w:tr w:rsidR="000C013A" w:rsidRPr="000F2CE4" w14:paraId="3D4F2AB6" w14:textId="77777777" w:rsidTr="000F2CE4">
        <w:trPr>
          <w:trHeight w:val="385"/>
        </w:trPr>
        <w:tc>
          <w:tcPr>
            <w:tcW w:w="1444" w:type="pct"/>
            <w:vAlign w:val="bottom"/>
          </w:tcPr>
          <w:p w14:paraId="459A706D" w14:textId="4FCB5B15" w:rsidR="000C013A" w:rsidRPr="000F2CE4" w:rsidRDefault="000C013A" w:rsidP="000C013A">
            <w:pPr>
              <w:tabs>
                <w:tab w:val="right" w:pos="1202"/>
              </w:tabs>
              <w:spacing w:line="240" w:lineRule="exact"/>
              <w:outlineLvl w:val="0"/>
              <w:rPr>
                <w:rFonts w:ascii="Arial" w:eastAsia="Times New Roman" w:hAnsi="Arial" w:cs="Arial"/>
                <w:i/>
                <w:iCs/>
                <w:color w:val="000000"/>
                <w:sz w:val="17"/>
                <w:szCs w:val="17"/>
              </w:rPr>
            </w:pPr>
            <w:bookmarkStart w:id="241" w:name="_Toc67327339"/>
            <w:r w:rsidRPr="000F2CE4">
              <w:rPr>
                <w:rFonts w:ascii="Arial" w:eastAsia="Times New Roman" w:hAnsi="Arial" w:cs="Arial"/>
                <w:iCs/>
                <w:color w:val="000000"/>
                <w:sz w:val="17"/>
                <w:szCs w:val="17"/>
              </w:rPr>
              <w:t>Prijenos dobiti iz 202</w:t>
            </w:r>
            <w:r w:rsidR="00A07D41">
              <w:rPr>
                <w:rFonts w:ascii="Arial" w:eastAsia="Times New Roman" w:hAnsi="Arial" w:cs="Arial"/>
                <w:iCs/>
                <w:color w:val="000000"/>
                <w:sz w:val="17"/>
                <w:szCs w:val="17"/>
              </w:rPr>
              <w:t>3</w:t>
            </w:r>
            <w:r w:rsidRPr="000F2CE4">
              <w:rPr>
                <w:rFonts w:ascii="Arial" w:eastAsia="Times New Roman" w:hAnsi="Arial" w:cs="Arial"/>
                <w:iCs/>
                <w:color w:val="000000"/>
                <w:sz w:val="17"/>
                <w:szCs w:val="17"/>
              </w:rPr>
              <w:t>. godine u zadržanu dobit</w:t>
            </w:r>
            <w:bookmarkEnd w:id="241"/>
          </w:p>
        </w:tc>
        <w:tc>
          <w:tcPr>
            <w:tcW w:w="592" w:type="pct"/>
            <w:tcBorders>
              <w:top w:val="nil"/>
              <w:left w:val="nil"/>
              <w:bottom w:val="single" w:sz="4" w:space="0" w:color="auto"/>
              <w:right w:val="nil"/>
            </w:tcBorders>
            <w:shd w:val="clear" w:color="auto" w:fill="auto"/>
            <w:vAlign w:val="bottom"/>
          </w:tcPr>
          <w:p w14:paraId="50D7E774" w14:textId="0305F4E6" w:rsidR="000C013A" w:rsidRPr="000F2CE4" w:rsidRDefault="000C013A" w:rsidP="000C013A">
            <w:pPr>
              <w:tabs>
                <w:tab w:val="right" w:pos="1202"/>
              </w:tabs>
              <w:spacing w:line="301" w:lineRule="exact"/>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93" w:type="pct"/>
            <w:tcBorders>
              <w:top w:val="nil"/>
              <w:left w:val="nil"/>
              <w:bottom w:val="single" w:sz="4" w:space="0" w:color="auto"/>
              <w:right w:val="nil"/>
            </w:tcBorders>
            <w:shd w:val="clear" w:color="auto" w:fill="auto"/>
            <w:vAlign w:val="bottom"/>
          </w:tcPr>
          <w:p w14:paraId="05D72F86" w14:textId="18ED68A2" w:rsidR="000C013A" w:rsidRPr="000F2CE4" w:rsidRDefault="000C013A" w:rsidP="000C013A">
            <w:pPr>
              <w:tabs>
                <w:tab w:val="right" w:pos="1202"/>
              </w:tabs>
              <w:spacing w:line="301" w:lineRule="exact"/>
              <w:jc w:val="right"/>
              <w:outlineLvl w:val="0"/>
              <w:rPr>
                <w:rFonts w:ascii="Arial" w:eastAsia="Times New Roman" w:hAnsi="Arial" w:cs="Arial"/>
                <w:iCs/>
                <w:color w:val="000000"/>
                <w:sz w:val="17"/>
                <w:szCs w:val="17"/>
              </w:rPr>
            </w:pPr>
            <w:r w:rsidRPr="000F2CE4">
              <w:rPr>
                <w:rFonts w:ascii="Arial" w:hAnsi="Arial" w:cs="Arial"/>
                <w:sz w:val="17"/>
                <w:szCs w:val="17"/>
              </w:rPr>
              <w:t xml:space="preserve"> 2</w:t>
            </w:r>
            <w:r>
              <w:rPr>
                <w:rFonts w:ascii="Arial" w:hAnsi="Arial" w:cs="Arial"/>
                <w:sz w:val="17"/>
                <w:szCs w:val="17"/>
              </w:rPr>
              <w:t>9.842</w:t>
            </w:r>
            <w:r w:rsidRPr="000F2CE4">
              <w:rPr>
                <w:rFonts w:ascii="Arial" w:hAnsi="Arial" w:cs="Arial"/>
                <w:sz w:val="17"/>
                <w:szCs w:val="17"/>
              </w:rPr>
              <w:t xml:space="preserve"> </w:t>
            </w:r>
          </w:p>
        </w:tc>
        <w:tc>
          <w:tcPr>
            <w:tcW w:w="592" w:type="pct"/>
            <w:tcBorders>
              <w:top w:val="nil"/>
              <w:left w:val="nil"/>
              <w:bottom w:val="single" w:sz="4" w:space="0" w:color="auto"/>
              <w:right w:val="nil"/>
            </w:tcBorders>
            <w:shd w:val="clear" w:color="auto" w:fill="auto"/>
            <w:vAlign w:val="bottom"/>
          </w:tcPr>
          <w:p w14:paraId="2B46EE1D" w14:textId="4DADC8B5" w:rsidR="000C013A" w:rsidRPr="000F2CE4" w:rsidRDefault="000C013A" w:rsidP="000C013A">
            <w:pPr>
              <w:tabs>
                <w:tab w:val="right" w:pos="1202"/>
              </w:tabs>
              <w:spacing w:line="301" w:lineRule="exact"/>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93" w:type="pct"/>
            <w:tcBorders>
              <w:top w:val="nil"/>
              <w:left w:val="nil"/>
              <w:bottom w:val="single" w:sz="4" w:space="0" w:color="auto"/>
              <w:right w:val="nil"/>
            </w:tcBorders>
            <w:shd w:val="clear" w:color="auto" w:fill="auto"/>
            <w:vAlign w:val="bottom"/>
          </w:tcPr>
          <w:p w14:paraId="5B299E7B" w14:textId="4C15E4A2" w:rsidR="000C013A" w:rsidRPr="000F2CE4" w:rsidRDefault="000C013A" w:rsidP="000C013A">
            <w:pPr>
              <w:tabs>
                <w:tab w:val="right" w:pos="1202"/>
              </w:tabs>
              <w:spacing w:line="301" w:lineRule="exact"/>
              <w:jc w:val="right"/>
              <w:outlineLvl w:val="0"/>
              <w:rPr>
                <w:rFonts w:ascii="Arial" w:eastAsia="Times New Roman" w:hAnsi="Arial" w:cs="Arial"/>
                <w:iCs/>
                <w:color w:val="000000"/>
                <w:sz w:val="17"/>
                <w:szCs w:val="17"/>
              </w:rPr>
            </w:pPr>
            <w:r w:rsidRPr="000F2CE4">
              <w:rPr>
                <w:rFonts w:ascii="Arial" w:hAnsi="Arial" w:cs="Arial"/>
                <w:sz w:val="17"/>
                <w:szCs w:val="17"/>
              </w:rPr>
              <w:t xml:space="preserve"> (2</w:t>
            </w:r>
            <w:r>
              <w:rPr>
                <w:rFonts w:ascii="Arial" w:hAnsi="Arial" w:cs="Arial"/>
                <w:sz w:val="17"/>
                <w:szCs w:val="17"/>
              </w:rPr>
              <w:t>9</w:t>
            </w:r>
            <w:r w:rsidRPr="000F2CE4">
              <w:rPr>
                <w:rFonts w:ascii="Arial" w:hAnsi="Arial" w:cs="Arial"/>
                <w:sz w:val="17"/>
                <w:szCs w:val="17"/>
              </w:rPr>
              <w:t>.</w:t>
            </w:r>
            <w:r>
              <w:rPr>
                <w:rFonts w:ascii="Arial" w:hAnsi="Arial" w:cs="Arial"/>
                <w:sz w:val="17"/>
                <w:szCs w:val="17"/>
              </w:rPr>
              <w:t>842</w:t>
            </w:r>
            <w:r w:rsidRPr="000F2CE4">
              <w:rPr>
                <w:rFonts w:ascii="Arial" w:hAnsi="Arial" w:cs="Arial"/>
                <w:sz w:val="17"/>
                <w:szCs w:val="17"/>
              </w:rPr>
              <w:t>)</w:t>
            </w:r>
          </w:p>
        </w:tc>
        <w:tc>
          <w:tcPr>
            <w:tcW w:w="592" w:type="pct"/>
            <w:tcBorders>
              <w:top w:val="nil"/>
              <w:left w:val="nil"/>
              <w:bottom w:val="single" w:sz="4" w:space="0" w:color="auto"/>
              <w:right w:val="nil"/>
            </w:tcBorders>
            <w:shd w:val="clear" w:color="auto" w:fill="auto"/>
            <w:vAlign w:val="bottom"/>
          </w:tcPr>
          <w:p w14:paraId="66B1CD9E" w14:textId="6B12065F" w:rsidR="000C013A" w:rsidRPr="000F2CE4" w:rsidRDefault="000C013A" w:rsidP="000C013A">
            <w:pPr>
              <w:tabs>
                <w:tab w:val="right" w:pos="1202"/>
              </w:tabs>
              <w:spacing w:line="301" w:lineRule="exact"/>
              <w:jc w:val="right"/>
              <w:outlineLvl w:val="0"/>
              <w:rPr>
                <w:rFonts w:ascii="Arial" w:eastAsia="Times New Roman" w:hAnsi="Arial" w:cs="Arial"/>
                <w:iCs/>
                <w:color w:val="000000"/>
                <w:sz w:val="17"/>
                <w:szCs w:val="17"/>
              </w:rPr>
            </w:pPr>
            <w:r w:rsidRPr="000F2CE4">
              <w:rPr>
                <w:rFonts w:ascii="Arial" w:hAnsi="Arial" w:cs="Arial"/>
                <w:sz w:val="17"/>
                <w:szCs w:val="17"/>
              </w:rPr>
              <w:t xml:space="preserve"> - </w:t>
            </w:r>
          </w:p>
        </w:tc>
        <w:tc>
          <w:tcPr>
            <w:tcW w:w="593" w:type="pct"/>
            <w:tcBorders>
              <w:top w:val="nil"/>
              <w:left w:val="nil"/>
              <w:bottom w:val="single" w:sz="4" w:space="0" w:color="auto"/>
              <w:right w:val="nil"/>
            </w:tcBorders>
            <w:shd w:val="clear" w:color="auto" w:fill="auto"/>
            <w:vAlign w:val="bottom"/>
          </w:tcPr>
          <w:p w14:paraId="4E2A06AE" w14:textId="2D8B4819" w:rsidR="000C013A" w:rsidRPr="00FE42BC" w:rsidRDefault="000C013A" w:rsidP="000C013A">
            <w:pPr>
              <w:tabs>
                <w:tab w:val="right" w:pos="1202"/>
              </w:tabs>
              <w:spacing w:line="301" w:lineRule="exact"/>
              <w:jc w:val="right"/>
              <w:outlineLvl w:val="0"/>
              <w:rPr>
                <w:rFonts w:ascii="Arial" w:eastAsia="Times New Roman" w:hAnsi="Arial" w:cs="Arial"/>
                <w:b/>
                <w:bCs/>
                <w:iCs/>
                <w:color w:val="000000"/>
                <w:sz w:val="17"/>
                <w:szCs w:val="17"/>
              </w:rPr>
            </w:pPr>
            <w:r w:rsidRPr="005D1219">
              <w:rPr>
                <w:rFonts w:ascii="Arial" w:hAnsi="Arial" w:cs="Arial"/>
                <w:b/>
                <w:bCs/>
                <w:sz w:val="17"/>
                <w:szCs w:val="17"/>
              </w:rPr>
              <w:t xml:space="preserve"> - </w:t>
            </w:r>
          </w:p>
        </w:tc>
      </w:tr>
      <w:tr w:rsidR="000C013A" w:rsidRPr="000F2CE4" w14:paraId="19FA725A" w14:textId="77777777" w:rsidTr="000F2CE4">
        <w:trPr>
          <w:trHeight w:val="240"/>
        </w:trPr>
        <w:tc>
          <w:tcPr>
            <w:tcW w:w="1444" w:type="pct"/>
            <w:vAlign w:val="bottom"/>
          </w:tcPr>
          <w:p w14:paraId="2126585E" w14:textId="018FE1D8" w:rsidR="000C013A" w:rsidRPr="000F2CE4" w:rsidRDefault="000C013A" w:rsidP="000C013A">
            <w:pPr>
              <w:tabs>
                <w:tab w:val="right" w:pos="1202"/>
              </w:tabs>
              <w:spacing w:line="240" w:lineRule="exact"/>
              <w:outlineLvl w:val="0"/>
              <w:rPr>
                <w:rFonts w:ascii="Arial" w:eastAsia="Times New Roman" w:hAnsi="Arial" w:cs="Arial"/>
                <w:b/>
                <w:iCs/>
                <w:color w:val="000000"/>
                <w:sz w:val="17"/>
                <w:szCs w:val="17"/>
              </w:rPr>
            </w:pPr>
            <w:bookmarkStart w:id="242" w:name="_Toc67327346"/>
            <w:r w:rsidRPr="000F2CE4">
              <w:rPr>
                <w:rFonts w:ascii="Arial" w:eastAsia="Times New Roman" w:hAnsi="Arial" w:cs="Arial"/>
                <w:b/>
                <w:iCs/>
                <w:color w:val="000000"/>
                <w:sz w:val="17"/>
                <w:szCs w:val="17"/>
              </w:rPr>
              <w:t>Stanje 31. ožujka 202</w:t>
            </w:r>
            <w:r>
              <w:rPr>
                <w:rFonts w:ascii="Arial" w:eastAsia="Times New Roman" w:hAnsi="Arial" w:cs="Arial"/>
                <w:b/>
                <w:iCs/>
                <w:color w:val="000000"/>
                <w:sz w:val="17"/>
                <w:szCs w:val="17"/>
              </w:rPr>
              <w:t>4</w:t>
            </w:r>
            <w:r w:rsidRPr="000F2CE4">
              <w:rPr>
                <w:rFonts w:ascii="Arial" w:eastAsia="Times New Roman" w:hAnsi="Arial" w:cs="Arial"/>
                <w:b/>
                <w:iCs/>
                <w:color w:val="000000"/>
                <w:sz w:val="17"/>
                <w:szCs w:val="17"/>
              </w:rPr>
              <w:t>.</w:t>
            </w:r>
            <w:bookmarkEnd w:id="242"/>
            <w:r w:rsidRPr="000F2CE4">
              <w:rPr>
                <w:rFonts w:ascii="Arial" w:eastAsia="Times New Roman" w:hAnsi="Arial" w:cs="Arial"/>
                <w:b/>
                <w:iCs/>
                <w:color w:val="000000"/>
                <w:sz w:val="17"/>
                <w:szCs w:val="17"/>
              </w:rPr>
              <w:t xml:space="preserve"> </w:t>
            </w:r>
          </w:p>
        </w:tc>
        <w:tc>
          <w:tcPr>
            <w:tcW w:w="592" w:type="pct"/>
            <w:tcBorders>
              <w:top w:val="single" w:sz="8" w:space="0" w:color="auto"/>
              <w:left w:val="nil"/>
              <w:bottom w:val="single" w:sz="12" w:space="0" w:color="auto"/>
              <w:right w:val="nil"/>
            </w:tcBorders>
            <w:shd w:val="clear" w:color="auto" w:fill="auto"/>
            <w:vAlign w:val="bottom"/>
          </w:tcPr>
          <w:p w14:paraId="5718D63A" w14:textId="5508BFB7" w:rsidR="000C013A" w:rsidRPr="000F2CE4" w:rsidRDefault="003F5C56" w:rsidP="000C013A">
            <w:pPr>
              <w:tabs>
                <w:tab w:val="right" w:pos="1202"/>
              </w:tabs>
              <w:spacing w:line="301"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958.873</w:t>
            </w:r>
          </w:p>
        </w:tc>
        <w:tc>
          <w:tcPr>
            <w:tcW w:w="593" w:type="pct"/>
            <w:tcBorders>
              <w:top w:val="single" w:sz="8" w:space="0" w:color="auto"/>
              <w:left w:val="nil"/>
              <w:bottom w:val="single" w:sz="12" w:space="0" w:color="auto"/>
              <w:right w:val="nil"/>
            </w:tcBorders>
            <w:shd w:val="clear" w:color="auto" w:fill="auto"/>
            <w:vAlign w:val="bottom"/>
          </w:tcPr>
          <w:p w14:paraId="6EDF653B" w14:textId="748B7BD4" w:rsidR="000C013A" w:rsidRPr="000F2CE4" w:rsidRDefault="003F5C56" w:rsidP="000C013A">
            <w:pPr>
              <w:tabs>
                <w:tab w:val="right" w:pos="1202"/>
              </w:tabs>
              <w:spacing w:line="301"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497.955</w:t>
            </w:r>
          </w:p>
        </w:tc>
        <w:tc>
          <w:tcPr>
            <w:tcW w:w="592" w:type="pct"/>
            <w:tcBorders>
              <w:top w:val="single" w:sz="8" w:space="0" w:color="auto"/>
              <w:left w:val="nil"/>
              <w:bottom w:val="single" w:sz="12" w:space="0" w:color="auto"/>
              <w:right w:val="nil"/>
            </w:tcBorders>
            <w:shd w:val="clear" w:color="auto" w:fill="auto"/>
            <w:vAlign w:val="bottom"/>
          </w:tcPr>
          <w:p w14:paraId="0B3B736F" w14:textId="41E16F9C" w:rsidR="000C013A" w:rsidRPr="000F2CE4" w:rsidRDefault="003F5C56" w:rsidP="000C013A">
            <w:pPr>
              <w:tabs>
                <w:tab w:val="right" w:pos="1202"/>
              </w:tabs>
              <w:spacing w:line="301"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(1.477)</w:t>
            </w:r>
          </w:p>
        </w:tc>
        <w:tc>
          <w:tcPr>
            <w:tcW w:w="593" w:type="pct"/>
            <w:tcBorders>
              <w:top w:val="single" w:sz="8" w:space="0" w:color="auto"/>
              <w:left w:val="nil"/>
              <w:bottom w:val="single" w:sz="12" w:space="0" w:color="auto"/>
              <w:right w:val="nil"/>
            </w:tcBorders>
            <w:shd w:val="clear" w:color="auto" w:fill="auto"/>
            <w:vAlign w:val="bottom"/>
          </w:tcPr>
          <w:p w14:paraId="02C82B7D" w14:textId="6F99287D" w:rsidR="000C013A" w:rsidRPr="000F2CE4" w:rsidRDefault="003F5C56" w:rsidP="000C013A">
            <w:pPr>
              <w:tabs>
                <w:tab w:val="right" w:pos="1202"/>
              </w:tabs>
              <w:spacing w:line="301"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17.580</w:t>
            </w:r>
          </w:p>
        </w:tc>
        <w:tc>
          <w:tcPr>
            <w:tcW w:w="592" w:type="pct"/>
            <w:tcBorders>
              <w:top w:val="single" w:sz="8" w:space="0" w:color="auto"/>
              <w:left w:val="nil"/>
              <w:bottom w:val="single" w:sz="12" w:space="0" w:color="auto"/>
              <w:right w:val="nil"/>
            </w:tcBorders>
            <w:shd w:val="clear" w:color="auto" w:fill="auto"/>
            <w:vAlign w:val="bottom"/>
          </w:tcPr>
          <w:p w14:paraId="54391CCC" w14:textId="6D8F206C" w:rsidR="000C013A" w:rsidRPr="000F2CE4" w:rsidRDefault="001D67EF" w:rsidP="000C013A">
            <w:pPr>
              <w:tabs>
                <w:tab w:val="right" w:pos="1202"/>
              </w:tabs>
              <w:spacing w:line="301"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1.638</w:t>
            </w:r>
          </w:p>
        </w:tc>
        <w:tc>
          <w:tcPr>
            <w:tcW w:w="593" w:type="pct"/>
            <w:tcBorders>
              <w:top w:val="single" w:sz="8" w:space="0" w:color="auto"/>
              <w:left w:val="nil"/>
              <w:bottom w:val="single" w:sz="12" w:space="0" w:color="auto"/>
              <w:right w:val="nil"/>
            </w:tcBorders>
            <w:shd w:val="clear" w:color="auto" w:fill="auto"/>
            <w:vAlign w:val="bottom"/>
          </w:tcPr>
          <w:p w14:paraId="2E129568" w14:textId="146FD56C" w:rsidR="000C013A" w:rsidRPr="000F2CE4" w:rsidRDefault="001D67EF" w:rsidP="000C013A">
            <w:pPr>
              <w:tabs>
                <w:tab w:val="right" w:pos="1202"/>
              </w:tabs>
              <w:spacing w:line="301"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1.474.569</w:t>
            </w:r>
          </w:p>
        </w:tc>
      </w:tr>
    </w:tbl>
    <w:p w14:paraId="608CD1E3" w14:textId="3981786C" w:rsidR="00145D68" w:rsidRPr="000F2CE4" w:rsidRDefault="00145D68" w:rsidP="00A56428">
      <w:pPr>
        <w:rPr>
          <w:rFonts w:ascii="Arial" w:eastAsia="Times New Roman" w:hAnsi="Arial" w:cs="Arial"/>
          <w:sz w:val="17"/>
          <w:szCs w:val="17"/>
        </w:rPr>
      </w:pPr>
    </w:p>
    <w:p w14:paraId="36F5880C" w14:textId="77777777" w:rsidR="00145D68" w:rsidRPr="003D1614" w:rsidRDefault="00145D68" w:rsidP="00A56428">
      <w:pPr>
        <w:rPr>
          <w:rFonts w:ascii="Arial" w:eastAsia="Times New Roman" w:hAnsi="Arial" w:cs="Arial"/>
          <w:sz w:val="20"/>
          <w:szCs w:val="20"/>
        </w:rPr>
      </w:pPr>
    </w:p>
    <w:p w14:paraId="7F9A3E7C" w14:textId="5B5C12EE" w:rsidR="00145D68" w:rsidRPr="003D1614" w:rsidRDefault="00145D68" w:rsidP="00A56428">
      <w:pPr>
        <w:rPr>
          <w:rFonts w:ascii="Arial" w:eastAsia="Times New Roman" w:hAnsi="Arial" w:cs="Arial"/>
          <w:sz w:val="20"/>
          <w:szCs w:val="20"/>
        </w:rPr>
      </w:pPr>
    </w:p>
    <w:p w14:paraId="764F2646" w14:textId="387C7B80" w:rsidR="00145D68" w:rsidRPr="003D1614" w:rsidRDefault="00145D68" w:rsidP="00A56428">
      <w:pPr>
        <w:rPr>
          <w:rFonts w:ascii="Arial" w:eastAsia="Times New Roman" w:hAnsi="Arial" w:cs="Arial"/>
          <w:sz w:val="20"/>
          <w:szCs w:val="20"/>
        </w:rPr>
      </w:pPr>
      <w:r w:rsidRPr="003D1614">
        <w:rPr>
          <w:rFonts w:ascii="Arial" w:eastAsia="Times New Roman" w:hAnsi="Arial" w:cs="Arial"/>
          <w:sz w:val="20"/>
          <w:szCs w:val="20"/>
        </w:rPr>
        <w:t>Priložene računovodstvene politike i bilješke sastavni su dio ovih financijskih izvještaja.</w:t>
      </w:r>
    </w:p>
    <w:p w14:paraId="047112C6" w14:textId="77777777" w:rsidR="00145D68" w:rsidRPr="003D1614" w:rsidRDefault="00145D68" w:rsidP="00A56428">
      <w:pPr>
        <w:rPr>
          <w:rFonts w:ascii="Arial" w:eastAsia="Times New Roman" w:hAnsi="Arial" w:cs="Arial"/>
          <w:sz w:val="20"/>
          <w:szCs w:val="20"/>
        </w:rPr>
        <w:sectPr w:rsidR="00145D68" w:rsidRPr="003D1614">
          <w:headerReference w:type="default" r:id="rId20"/>
          <w:pgSz w:w="11906" w:h="16838"/>
          <w:pgMar w:top="1417" w:right="1417" w:bottom="1417" w:left="1417" w:header="708" w:footer="708" w:gutter="0"/>
          <w:cols w:space="708"/>
          <w:docGrid w:linePitch="360"/>
        </w:sectPr>
      </w:pPr>
    </w:p>
    <w:p w14:paraId="47568431" w14:textId="34994ED1" w:rsidR="00145D68" w:rsidRPr="003D1614" w:rsidRDefault="00145D68" w:rsidP="00A56428">
      <w:pPr>
        <w:rPr>
          <w:rFonts w:ascii="Arial" w:eastAsia="Times New Roman" w:hAnsi="Arial" w:cs="Arial"/>
          <w:sz w:val="20"/>
          <w:szCs w:val="20"/>
        </w:rPr>
      </w:pPr>
    </w:p>
    <w:p w14:paraId="2B0B1601" w14:textId="1BB56EDC" w:rsidR="00EA0684" w:rsidRPr="003D1614" w:rsidRDefault="003D1614" w:rsidP="00EA0684">
      <w:pPr>
        <w:keepNext/>
        <w:tabs>
          <w:tab w:val="left" w:pos="567"/>
        </w:tabs>
        <w:suppressAutoHyphens/>
        <w:autoSpaceDN w:val="0"/>
        <w:jc w:val="both"/>
        <w:outlineLvl w:val="0"/>
        <w:rPr>
          <w:rFonts w:ascii="Arial" w:eastAsia="Times New Roman" w:hAnsi="Arial" w:cs="Arial"/>
          <w:b/>
          <w:bCs/>
          <w:strike/>
          <w:color w:val="000000" w:themeColor="text1"/>
          <w:sz w:val="20"/>
          <w:szCs w:val="20"/>
        </w:rPr>
      </w:pPr>
      <w:r>
        <w:rPr>
          <w:rFonts w:ascii="Arial" w:eastAsia="Times New Roman" w:hAnsi="Arial" w:cs="Arial"/>
          <w:b/>
          <w:bCs/>
          <w:color w:val="000000" w:themeColor="text1"/>
          <w:sz w:val="20"/>
          <w:szCs w:val="20"/>
        </w:rPr>
        <w:t>1</w:t>
      </w:r>
      <w:r w:rsidR="00EA0684" w:rsidRPr="003D1614">
        <w:rPr>
          <w:rFonts w:ascii="Arial" w:eastAsia="Times New Roman" w:hAnsi="Arial" w:cs="Arial"/>
          <w:b/>
          <w:bCs/>
          <w:color w:val="000000" w:themeColor="text1"/>
          <w:sz w:val="20"/>
          <w:szCs w:val="20"/>
        </w:rPr>
        <w:t>.</w:t>
      </w:r>
      <w:r w:rsidR="00EA0684" w:rsidRPr="003D1614">
        <w:rPr>
          <w:rFonts w:ascii="Arial" w:eastAsia="Times New Roman" w:hAnsi="Arial" w:cs="Arial"/>
          <w:b/>
          <w:bCs/>
          <w:color w:val="000000" w:themeColor="text1"/>
          <w:sz w:val="20"/>
          <w:szCs w:val="20"/>
        </w:rPr>
        <w:tab/>
        <w:t>Opći podaci</w:t>
      </w:r>
    </w:p>
    <w:p w14:paraId="6357EBD8" w14:textId="77777777" w:rsidR="00EA0684" w:rsidRPr="003D1614" w:rsidRDefault="00EA0684" w:rsidP="00EA0684">
      <w:pPr>
        <w:tabs>
          <w:tab w:val="left" w:pos="567"/>
        </w:tabs>
        <w:jc w:val="both"/>
        <w:rPr>
          <w:rFonts w:ascii="Arial" w:eastAsia="Times New Roman" w:hAnsi="Arial" w:cs="Arial"/>
          <w:b/>
          <w:color w:val="000000" w:themeColor="text1"/>
          <w:sz w:val="18"/>
          <w:szCs w:val="18"/>
          <w:lang w:eastAsia="hr-HR"/>
        </w:rPr>
      </w:pPr>
    </w:p>
    <w:p w14:paraId="3EFFA23F" w14:textId="12F5BCAC" w:rsidR="00EA0684" w:rsidRPr="003D1614" w:rsidRDefault="00EA0684" w:rsidP="00C93090">
      <w:pPr>
        <w:pStyle w:val="ListParagraph"/>
        <w:numPr>
          <w:ilvl w:val="1"/>
          <w:numId w:val="6"/>
        </w:numPr>
        <w:tabs>
          <w:tab w:val="left" w:pos="567"/>
        </w:tabs>
        <w:jc w:val="both"/>
        <w:rPr>
          <w:rFonts w:ascii="Arial" w:hAnsi="Arial" w:cs="Arial"/>
          <w:b/>
          <w:color w:val="000000" w:themeColor="text1"/>
          <w:sz w:val="20"/>
          <w:szCs w:val="20"/>
          <w:lang w:val="hr-HR" w:eastAsia="hr-HR"/>
        </w:rPr>
      </w:pPr>
      <w:r w:rsidRPr="003D1614">
        <w:rPr>
          <w:rFonts w:ascii="Arial" w:hAnsi="Arial" w:cs="Arial"/>
          <w:b/>
          <w:color w:val="000000" w:themeColor="text1"/>
          <w:sz w:val="20"/>
          <w:szCs w:val="20"/>
          <w:lang w:val="hr-HR" w:eastAsia="hr-HR"/>
        </w:rPr>
        <w:t>Grupa:</w:t>
      </w:r>
    </w:p>
    <w:p w14:paraId="5366346B" w14:textId="77777777" w:rsidR="00C93090" w:rsidRPr="003D1614" w:rsidRDefault="00C93090" w:rsidP="00C93090">
      <w:pPr>
        <w:pStyle w:val="ListParagraph"/>
        <w:tabs>
          <w:tab w:val="left" w:pos="567"/>
        </w:tabs>
        <w:ind w:left="570"/>
        <w:jc w:val="both"/>
        <w:rPr>
          <w:rFonts w:ascii="Arial" w:hAnsi="Arial" w:cs="Arial"/>
          <w:b/>
          <w:color w:val="000000" w:themeColor="text1"/>
          <w:sz w:val="20"/>
          <w:szCs w:val="20"/>
          <w:lang w:val="hr-HR" w:eastAsia="hr-HR"/>
        </w:rPr>
      </w:pPr>
    </w:p>
    <w:p w14:paraId="7000307D" w14:textId="77777777" w:rsidR="00EA0684" w:rsidRPr="003D1614" w:rsidRDefault="00EA0684" w:rsidP="00C93090">
      <w:pPr>
        <w:suppressAutoHyphens/>
        <w:autoSpaceDN w:val="0"/>
        <w:jc w:val="both"/>
        <w:rPr>
          <w:rFonts w:ascii="Arial" w:eastAsia="Times New Roman" w:hAnsi="Arial" w:cs="Arial"/>
          <w:color w:val="000000" w:themeColor="text1"/>
          <w:sz w:val="20"/>
          <w:szCs w:val="20"/>
        </w:rPr>
      </w:pPr>
      <w:bookmarkStart w:id="243" w:name="_Toc67327353"/>
      <w:r w:rsidRPr="003D1614">
        <w:rPr>
          <w:rFonts w:ascii="Arial" w:eastAsia="Times New Roman" w:hAnsi="Arial" w:cs="Arial"/>
          <w:color w:val="000000" w:themeColor="text1"/>
          <w:sz w:val="20"/>
          <w:szCs w:val="20"/>
        </w:rPr>
        <w:t xml:space="preserve">Hrvatska banka za obnovu i razvitak („HBOR“ ili „Banka“) je matično društvo Grupe Hrvatska banka za obnovu i razvitak („Grupa“) koja posluje u Republici Hrvatskoj. Grupa obavlja u najvećem obimu bankarsko poslovanje, a u manjem </w:t>
      </w:r>
      <w:proofErr w:type="spellStart"/>
      <w:r w:rsidRPr="003D1614">
        <w:rPr>
          <w:rFonts w:ascii="Arial" w:eastAsia="Times New Roman" w:hAnsi="Arial" w:cs="Arial"/>
          <w:color w:val="000000" w:themeColor="text1"/>
          <w:sz w:val="20"/>
          <w:szCs w:val="20"/>
        </w:rPr>
        <w:t>osiguravateljske</w:t>
      </w:r>
      <w:proofErr w:type="spellEnd"/>
      <w:r w:rsidRPr="003D1614">
        <w:rPr>
          <w:rFonts w:ascii="Arial" w:eastAsia="Times New Roman" w:hAnsi="Arial" w:cs="Arial"/>
          <w:color w:val="000000" w:themeColor="text1"/>
          <w:sz w:val="20"/>
          <w:szCs w:val="20"/>
        </w:rPr>
        <w:t xml:space="preserve"> aktivnosti te procjenu kreditnih rizika. Ovi financijski izvještaji obuhvaćaju odvojene  i konsolidirane financijske izvještaje Banke i Grupe.</w:t>
      </w:r>
      <w:bookmarkEnd w:id="243"/>
    </w:p>
    <w:p w14:paraId="525110F0" w14:textId="77777777" w:rsidR="00EA0684" w:rsidRPr="003D1614" w:rsidRDefault="00EA0684" w:rsidP="00EA0684">
      <w:pPr>
        <w:suppressAutoHyphens/>
        <w:autoSpaceDN w:val="0"/>
        <w:jc w:val="both"/>
        <w:rPr>
          <w:rFonts w:ascii="Arial" w:eastAsia="Times New Roman" w:hAnsi="Arial" w:cs="Arial"/>
          <w:color w:val="000000" w:themeColor="text1"/>
          <w:sz w:val="20"/>
          <w:szCs w:val="20"/>
        </w:rPr>
      </w:pPr>
    </w:p>
    <w:p w14:paraId="0B03A5D3" w14:textId="77777777" w:rsidR="00EA0684" w:rsidRPr="003D1614" w:rsidRDefault="00EA0684" w:rsidP="00EA0684">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Sjedište Banke je u Zagrebu, Strossmayerov trg 9, Zagreb, Hrvatska.</w:t>
      </w:r>
    </w:p>
    <w:p w14:paraId="25FD52F1" w14:textId="77777777" w:rsidR="00EA0684" w:rsidRPr="003D1614" w:rsidRDefault="00EA0684" w:rsidP="00EA0684">
      <w:pPr>
        <w:suppressAutoHyphens/>
        <w:autoSpaceDN w:val="0"/>
        <w:jc w:val="both"/>
        <w:rPr>
          <w:rFonts w:ascii="Arial" w:eastAsia="Times New Roman" w:hAnsi="Arial" w:cs="Arial"/>
          <w:color w:val="000000" w:themeColor="text1"/>
          <w:sz w:val="20"/>
          <w:szCs w:val="20"/>
        </w:rPr>
      </w:pPr>
    </w:p>
    <w:p w14:paraId="02639F60" w14:textId="77777777" w:rsidR="00EA0684" w:rsidRPr="003D1614" w:rsidRDefault="00EA0684" w:rsidP="00EA068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Grupa je formirana tijekom 2010. godine, a ovisna društva Banke su Hrvatsko kreditno osiguranje d.d. i Poslovni info servis d.o.o. koji čine Grupu Hrvatsko kreditno osiguranje („Grupa HKO“). </w:t>
      </w:r>
    </w:p>
    <w:p w14:paraId="42E5E5B7" w14:textId="77777777" w:rsidR="00EA0684" w:rsidRPr="003D1614" w:rsidRDefault="00EA0684" w:rsidP="00EA0684">
      <w:pPr>
        <w:suppressAutoHyphens/>
        <w:autoSpaceDN w:val="0"/>
        <w:jc w:val="both"/>
        <w:rPr>
          <w:rFonts w:ascii="Arial" w:eastAsia="Times New Roman" w:hAnsi="Arial" w:cs="Arial"/>
          <w:color w:val="000000" w:themeColor="text1"/>
          <w:sz w:val="18"/>
          <w:szCs w:val="18"/>
        </w:rPr>
      </w:pPr>
    </w:p>
    <w:p w14:paraId="08AA6E09" w14:textId="77777777" w:rsidR="00EA0684" w:rsidRPr="003D1614" w:rsidRDefault="00EA0684" w:rsidP="00EA068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Hrvatska banka za obnovu i razvitak je 100%-</w:t>
      </w:r>
      <w:proofErr w:type="spellStart"/>
      <w:r w:rsidRPr="003D1614">
        <w:rPr>
          <w:rFonts w:ascii="Arial" w:eastAsia="Times New Roman" w:hAnsi="Arial" w:cs="Arial"/>
          <w:color w:val="000000" w:themeColor="text1"/>
          <w:sz w:val="20"/>
          <w:szCs w:val="20"/>
        </w:rPr>
        <w:t>tni</w:t>
      </w:r>
      <w:proofErr w:type="spellEnd"/>
      <w:r w:rsidRPr="003D1614">
        <w:rPr>
          <w:rFonts w:ascii="Arial" w:eastAsia="Times New Roman" w:hAnsi="Arial" w:cs="Arial"/>
          <w:color w:val="000000" w:themeColor="text1"/>
          <w:sz w:val="20"/>
          <w:szCs w:val="20"/>
        </w:rPr>
        <w:t xml:space="preserve"> vlasnik HKO-a, koji je 100%-</w:t>
      </w:r>
      <w:proofErr w:type="spellStart"/>
      <w:r w:rsidRPr="003D1614">
        <w:rPr>
          <w:rFonts w:ascii="Arial" w:eastAsia="Times New Roman" w:hAnsi="Arial" w:cs="Arial"/>
          <w:color w:val="000000" w:themeColor="text1"/>
          <w:sz w:val="20"/>
          <w:szCs w:val="20"/>
        </w:rPr>
        <w:t>tni</w:t>
      </w:r>
      <w:proofErr w:type="spellEnd"/>
      <w:r w:rsidRPr="003D1614">
        <w:rPr>
          <w:rFonts w:ascii="Arial" w:eastAsia="Times New Roman" w:hAnsi="Arial" w:cs="Arial"/>
          <w:color w:val="000000" w:themeColor="text1"/>
          <w:sz w:val="20"/>
          <w:szCs w:val="20"/>
        </w:rPr>
        <w:t xml:space="preserve"> vlasnik Poslovnog info servisa d.o.o.</w:t>
      </w:r>
    </w:p>
    <w:p w14:paraId="0D4BFD81" w14:textId="77777777" w:rsidR="00EA0684" w:rsidRPr="003D1614" w:rsidRDefault="00EA0684" w:rsidP="00EA0684">
      <w:pPr>
        <w:suppressAutoHyphens/>
        <w:autoSpaceDN w:val="0"/>
        <w:jc w:val="both"/>
        <w:rPr>
          <w:rFonts w:ascii="Arial" w:eastAsia="Times New Roman" w:hAnsi="Arial" w:cs="Arial"/>
          <w:color w:val="000000" w:themeColor="text1"/>
          <w:sz w:val="18"/>
          <w:szCs w:val="18"/>
        </w:rPr>
      </w:pPr>
    </w:p>
    <w:p w14:paraId="3748F41D" w14:textId="77777777" w:rsidR="00EA0684" w:rsidRPr="003D1614" w:rsidRDefault="00EA0684" w:rsidP="00EA068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Sjedište Grupe HKO je u Zagrebu, Bednjanska 12.</w:t>
      </w:r>
    </w:p>
    <w:p w14:paraId="04C9C37F" w14:textId="77777777" w:rsidR="00EA0684" w:rsidRPr="003D1614" w:rsidRDefault="00EA0684" w:rsidP="00EA0684">
      <w:pPr>
        <w:keepNext/>
        <w:suppressAutoHyphens/>
        <w:autoSpaceDN w:val="0"/>
        <w:jc w:val="both"/>
        <w:outlineLvl w:val="0"/>
        <w:rPr>
          <w:rFonts w:ascii="Arial" w:eastAsia="Times New Roman" w:hAnsi="Arial" w:cs="Arial"/>
          <w:color w:val="000000" w:themeColor="text1"/>
          <w:sz w:val="18"/>
          <w:szCs w:val="18"/>
        </w:rPr>
      </w:pPr>
    </w:p>
    <w:p w14:paraId="4B5D9323" w14:textId="577024A6" w:rsidR="00EA0684" w:rsidRPr="003D1614" w:rsidRDefault="00EA0684" w:rsidP="00EA0684">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Na dan 31. ožujka 202</w:t>
      </w:r>
      <w:r w:rsidR="008C3EC2">
        <w:rPr>
          <w:rFonts w:ascii="Arial" w:eastAsia="Times New Roman" w:hAnsi="Arial" w:cs="Arial"/>
          <w:color w:val="000000" w:themeColor="text1"/>
          <w:sz w:val="20"/>
          <w:szCs w:val="20"/>
        </w:rPr>
        <w:t>4</w:t>
      </w:r>
      <w:r w:rsidRPr="003D1614">
        <w:rPr>
          <w:rFonts w:ascii="Arial" w:eastAsia="Times New Roman" w:hAnsi="Arial" w:cs="Arial"/>
          <w:color w:val="000000" w:themeColor="text1"/>
          <w:sz w:val="20"/>
          <w:szCs w:val="20"/>
        </w:rPr>
        <w:t xml:space="preserve">. Grupa </w:t>
      </w:r>
      <w:r w:rsidRPr="000D12F2">
        <w:rPr>
          <w:rFonts w:ascii="Arial" w:eastAsia="Times New Roman" w:hAnsi="Arial" w:cs="Arial"/>
          <w:color w:val="000000" w:themeColor="text1"/>
          <w:sz w:val="20"/>
          <w:szCs w:val="20"/>
        </w:rPr>
        <w:t xml:space="preserve">ima </w:t>
      </w:r>
      <w:r w:rsidR="000906C4">
        <w:rPr>
          <w:rFonts w:ascii="Arial" w:eastAsia="Times New Roman" w:hAnsi="Arial" w:cs="Arial"/>
          <w:color w:val="000000" w:themeColor="text1"/>
          <w:sz w:val="20"/>
          <w:szCs w:val="20"/>
        </w:rPr>
        <w:t>438</w:t>
      </w:r>
      <w:r w:rsidRPr="000D12F2">
        <w:rPr>
          <w:rFonts w:ascii="Arial" w:eastAsia="Times New Roman" w:hAnsi="Arial" w:cs="Arial"/>
          <w:color w:val="000000" w:themeColor="text1"/>
          <w:sz w:val="20"/>
          <w:szCs w:val="20"/>
        </w:rPr>
        <w:t xml:space="preserve"> za</w:t>
      </w:r>
      <w:r w:rsidRPr="003D1614">
        <w:rPr>
          <w:rFonts w:ascii="Arial" w:eastAsia="Times New Roman" w:hAnsi="Arial" w:cs="Arial"/>
          <w:color w:val="000000" w:themeColor="text1"/>
          <w:sz w:val="20"/>
          <w:szCs w:val="20"/>
        </w:rPr>
        <w:t>poslenika (31. ožujka 202</w:t>
      </w:r>
      <w:r w:rsidR="008C3EC2">
        <w:rPr>
          <w:rFonts w:ascii="Arial" w:eastAsia="Times New Roman" w:hAnsi="Arial" w:cs="Arial"/>
          <w:color w:val="000000" w:themeColor="text1"/>
          <w:sz w:val="20"/>
          <w:szCs w:val="20"/>
        </w:rPr>
        <w:t>3</w:t>
      </w:r>
      <w:r w:rsidRPr="003D1614">
        <w:rPr>
          <w:rFonts w:ascii="Arial" w:eastAsia="Times New Roman" w:hAnsi="Arial" w:cs="Arial"/>
          <w:color w:val="000000" w:themeColor="text1"/>
          <w:sz w:val="20"/>
          <w:szCs w:val="20"/>
        </w:rPr>
        <w:t xml:space="preserve">. bilo je </w:t>
      </w:r>
      <w:r w:rsidR="008C3EC2">
        <w:rPr>
          <w:rFonts w:ascii="Arial" w:eastAsia="Times New Roman" w:hAnsi="Arial" w:cs="Arial"/>
          <w:color w:val="000000" w:themeColor="text1"/>
          <w:sz w:val="20"/>
          <w:szCs w:val="20"/>
        </w:rPr>
        <w:t>408</w:t>
      </w:r>
      <w:r w:rsidRPr="003D1614">
        <w:rPr>
          <w:rFonts w:ascii="Arial" w:eastAsia="Times New Roman" w:hAnsi="Arial" w:cs="Arial"/>
          <w:color w:val="000000" w:themeColor="text1"/>
          <w:sz w:val="20"/>
          <w:szCs w:val="20"/>
        </w:rPr>
        <w:t xml:space="preserve"> zaposlenika).</w:t>
      </w:r>
    </w:p>
    <w:p w14:paraId="5FE281CD" w14:textId="77777777" w:rsidR="00EA0684" w:rsidRPr="003D1614" w:rsidRDefault="00EA0684" w:rsidP="00EA0684">
      <w:pPr>
        <w:tabs>
          <w:tab w:val="left" w:pos="567"/>
        </w:tabs>
        <w:jc w:val="both"/>
        <w:rPr>
          <w:rFonts w:ascii="Arial" w:eastAsia="Times New Roman" w:hAnsi="Arial" w:cs="Arial"/>
          <w:b/>
          <w:color w:val="000000" w:themeColor="text1"/>
          <w:sz w:val="20"/>
          <w:szCs w:val="20"/>
          <w:lang w:eastAsia="hr-HR"/>
        </w:rPr>
      </w:pPr>
    </w:p>
    <w:p w14:paraId="0F9A7862" w14:textId="77777777" w:rsidR="00EA0684" w:rsidRPr="003D1614" w:rsidRDefault="00EA0684" w:rsidP="00EA0684">
      <w:pPr>
        <w:tabs>
          <w:tab w:val="left" w:pos="567"/>
        </w:tabs>
        <w:jc w:val="both"/>
        <w:rPr>
          <w:rFonts w:ascii="Arial" w:eastAsia="Times New Roman" w:hAnsi="Arial" w:cs="Arial"/>
          <w:b/>
          <w:color w:val="000000" w:themeColor="text1"/>
          <w:sz w:val="20"/>
          <w:szCs w:val="20"/>
          <w:lang w:eastAsia="hr-HR"/>
        </w:rPr>
      </w:pPr>
      <w:r w:rsidRPr="003D1614">
        <w:rPr>
          <w:rFonts w:ascii="Arial" w:eastAsia="Times New Roman" w:hAnsi="Arial" w:cs="Arial"/>
          <w:b/>
          <w:color w:val="000000" w:themeColor="text1"/>
          <w:sz w:val="20"/>
          <w:szCs w:val="20"/>
          <w:lang w:eastAsia="hr-HR"/>
        </w:rPr>
        <w:t>1.2.</w:t>
      </w:r>
      <w:r w:rsidRPr="003D1614">
        <w:rPr>
          <w:rFonts w:ascii="Arial" w:eastAsia="Times New Roman" w:hAnsi="Arial" w:cs="Arial"/>
          <w:b/>
          <w:color w:val="000000" w:themeColor="text1"/>
          <w:sz w:val="20"/>
          <w:szCs w:val="20"/>
          <w:lang w:eastAsia="hr-HR"/>
        </w:rPr>
        <w:tab/>
        <w:t>Banka:</w:t>
      </w:r>
    </w:p>
    <w:p w14:paraId="3408F216" w14:textId="77777777" w:rsidR="00EA0684" w:rsidRPr="003D1614" w:rsidRDefault="00EA0684" w:rsidP="00EA0684">
      <w:pPr>
        <w:keepNext/>
        <w:suppressAutoHyphens/>
        <w:autoSpaceDN w:val="0"/>
        <w:jc w:val="both"/>
        <w:outlineLvl w:val="0"/>
        <w:rPr>
          <w:rFonts w:ascii="Arial" w:eastAsia="Times New Roman" w:hAnsi="Arial" w:cs="Arial"/>
          <w:color w:val="000000" w:themeColor="text1"/>
          <w:sz w:val="18"/>
          <w:szCs w:val="18"/>
        </w:rPr>
      </w:pPr>
    </w:p>
    <w:p w14:paraId="563C0F75" w14:textId="77777777" w:rsidR="00EA0684" w:rsidRPr="003D1614" w:rsidRDefault="00EA0684" w:rsidP="00EA0684">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Hrvatska banka za obnovu i razvitak (</w:t>
      </w:r>
      <w:r w:rsidRPr="003D1614">
        <w:rPr>
          <w:rFonts w:ascii="Arial" w:eastAsia="Times New Roman" w:hAnsi="Arial" w:cs="Arial"/>
          <w:bCs/>
          <w:color w:val="000000" w:themeColor="text1"/>
          <w:sz w:val="20"/>
          <w:szCs w:val="20"/>
        </w:rPr>
        <w:t>„</w:t>
      </w:r>
      <w:r w:rsidRPr="003D1614">
        <w:rPr>
          <w:rFonts w:ascii="Arial" w:eastAsia="Times New Roman" w:hAnsi="Arial" w:cs="Arial"/>
          <w:color w:val="000000" w:themeColor="text1"/>
          <w:sz w:val="20"/>
          <w:szCs w:val="20"/>
        </w:rPr>
        <w:t>HBOR</w:t>
      </w:r>
      <w:r w:rsidRPr="003D1614">
        <w:rPr>
          <w:rFonts w:ascii="Arial" w:eastAsia="Times New Roman" w:hAnsi="Arial" w:cs="Arial"/>
          <w:bCs/>
          <w:color w:val="000000" w:themeColor="text1"/>
          <w:sz w:val="20"/>
          <w:szCs w:val="20"/>
        </w:rPr>
        <w:t>“</w:t>
      </w:r>
      <w:r w:rsidRPr="003D1614">
        <w:rPr>
          <w:rFonts w:ascii="Arial" w:eastAsia="Times New Roman" w:hAnsi="Arial" w:cs="Arial"/>
          <w:color w:val="000000" w:themeColor="text1"/>
          <w:sz w:val="20"/>
          <w:szCs w:val="20"/>
        </w:rPr>
        <w:t xml:space="preserve"> ili </w:t>
      </w:r>
      <w:r w:rsidRPr="003D1614">
        <w:rPr>
          <w:rFonts w:ascii="Arial" w:eastAsia="Times New Roman" w:hAnsi="Arial" w:cs="Arial"/>
          <w:bCs/>
          <w:color w:val="000000" w:themeColor="text1"/>
          <w:sz w:val="20"/>
          <w:szCs w:val="20"/>
        </w:rPr>
        <w:t>„</w:t>
      </w:r>
      <w:r w:rsidRPr="003D1614">
        <w:rPr>
          <w:rFonts w:ascii="Arial" w:eastAsia="Times New Roman" w:hAnsi="Arial" w:cs="Arial"/>
          <w:color w:val="000000" w:themeColor="text1"/>
          <w:sz w:val="20"/>
          <w:szCs w:val="20"/>
        </w:rPr>
        <w:t>Banka</w:t>
      </w:r>
      <w:r w:rsidRPr="003D1614">
        <w:rPr>
          <w:rFonts w:ascii="Arial" w:eastAsia="Times New Roman" w:hAnsi="Arial" w:cs="Arial"/>
          <w:b/>
          <w:bCs/>
          <w:color w:val="000000" w:themeColor="text1"/>
          <w:sz w:val="20"/>
          <w:szCs w:val="20"/>
        </w:rPr>
        <w:t>“</w:t>
      </w:r>
      <w:r w:rsidRPr="003D1614">
        <w:rPr>
          <w:rFonts w:ascii="Arial" w:eastAsia="Times New Roman" w:hAnsi="Arial" w:cs="Arial"/>
          <w:color w:val="000000" w:themeColor="text1"/>
          <w:sz w:val="20"/>
          <w:szCs w:val="20"/>
        </w:rPr>
        <w:t>) osnovana je 12. lipnja 1992. donošenjem Zakona o Hrvatskoj kreditnoj banci za obnovu (HKBO). U prosincu 1995. godine, Banka mijenja naziv u Hrvatska banka za obnovu i razvitak. Osnivač i 100%-</w:t>
      </w:r>
      <w:proofErr w:type="spellStart"/>
      <w:r w:rsidRPr="003D1614">
        <w:rPr>
          <w:rFonts w:ascii="Arial" w:eastAsia="Times New Roman" w:hAnsi="Arial" w:cs="Arial"/>
          <w:color w:val="000000" w:themeColor="text1"/>
          <w:sz w:val="20"/>
          <w:szCs w:val="20"/>
        </w:rPr>
        <w:t>tni</w:t>
      </w:r>
      <w:proofErr w:type="spellEnd"/>
      <w:r w:rsidRPr="003D1614">
        <w:rPr>
          <w:rFonts w:ascii="Arial" w:eastAsia="Times New Roman" w:hAnsi="Arial" w:cs="Arial"/>
          <w:color w:val="000000" w:themeColor="text1"/>
          <w:sz w:val="20"/>
          <w:szCs w:val="20"/>
        </w:rPr>
        <w:t xml:space="preserve"> vlasnik HBOR-a je Republika Hrvatska. </w:t>
      </w:r>
    </w:p>
    <w:p w14:paraId="5929D0B2" w14:textId="77777777" w:rsidR="00EA0684" w:rsidRPr="003D1614" w:rsidRDefault="00EA0684" w:rsidP="00EA0684">
      <w:pPr>
        <w:keepNext/>
        <w:suppressAutoHyphens/>
        <w:autoSpaceDN w:val="0"/>
        <w:jc w:val="both"/>
        <w:outlineLvl w:val="0"/>
        <w:rPr>
          <w:rFonts w:ascii="Arial" w:eastAsia="Times New Roman" w:hAnsi="Arial" w:cs="Arial"/>
          <w:b/>
          <w:bCs/>
          <w:color w:val="000000" w:themeColor="text1"/>
          <w:sz w:val="20"/>
          <w:szCs w:val="20"/>
        </w:rPr>
      </w:pPr>
    </w:p>
    <w:p w14:paraId="34382AA9" w14:textId="77777777" w:rsidR="00EA0684" w:rsidRPr="003D1614" w:rsidRDefault="00EA0684" w:rsidP="00EA0684">
      <w:pPr>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Republika Hrvatska jamči za obveze Hrvatske banke za obnovu i razvitak bezuvjetno, neopozivo i na prvi poziv te bez izdavanja posebne jamstvene isprave. Odgovornost Republike Hrvatske kao jamca za obveze HBOR-a je solidarna i neograničena.</w:t>
      </w:r>
    </w:p>
    <w:p w14:paraId="69C961BF" w14:textId="77777777" w:rsidR="00EA0684" w:rsidRPr="003D1614" w:rsidRDefault="00EA0684" w:rsidP="00EA0684">
      <w:pPr>
        <w:jc w:val="both"/>
        <w:rPr>
          <w:rFonts w:ascii="Arial" w:eastAsia="Times New Roman" w:hAnsi="Arial" w:cs="Arial"/>
          <w:color w:val="000000" w:themeColor="text1"/>
          <w:sz w:val="18"/>
          <w:szCs w:val="18"/>
          <w:lang w:eastAsia="hr-HR"/>
        </w:rPr>
      </w:pPr>
    </w:p>
    <w:p w14:paraId="78717A6B" w14:textId="1BFD0050" w:rsidR="00145D68" w:rsidRPr="003D1614" w:rsidRDefault="00EA0684" w:rsidP="00EA0684">
      <w:pPr>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Zakonom o HBOR-u</w:t>
      </w:r>
      <w:r w:rsidRPr="003D1614">
        <w:rPr>
          <w:rFonts w:ascii="Arial" w:eastAsia="Times New Roman" w:hAnsi="Arial" w:cs="Arial"/>
          <w:b/>
          <w:color w:val="000000" w:themeColor="text1"/>
          <w:sz w:val="20"/>
          <w:szCs w:val="20"/>
        </w:rPr>
        <w:t xml:space="preserve"> </w:t>
      </w:r>
      <w:r w:rsidRPr="003D1614">
        <w:rPr>
          <w:rFonts w:ascii="Arial" w:eastAsia="Times New Roman" w:hAnsi="Arial" w:cs="Arial"/>
          <w:color w:val="000000" w:themeColor="text1"/>
          <w:sz w:val="20"/>
          <w:szCs w:val="20"/>
        </w:rPr>
        <w:t xml:space="preserve">iz prosinca 2006. godine temeljni kapital HBOR-a utvrđen je u visini od </w:t>
      </w:r>
      <w:r w:rsidR="0050050C">
        <w:rPr>
          <w:rFonts w:ascii="Arial" w:eastAsia="Times New Roman" w:hAnsi="Arial" w:cs="Arial"/>
          <w:color w:val="000000" w:themeColor="text1"/>
          <w:sz w:val="20"/>
          <w:szCs w:val="20"/>
        </w:rPr>
        <w:t>929,1 milijuna eura</w:t>
      </w:r>
      <w:r w:rsidRPr="003D1614">
        <w:rPr>
          <w:rFonts w:ascii="Arial" w:eastAsia="Times New Roman" w:hAnsi="Arial" w:cs="Arial"/>
          <w:color w:val="000000" w:themeColor="text1"/>
          <w:sz w:val="20"/>
          <w:szCs w:val="20"/>
        </w:rPr>
        <w:t xml:space="preserve"> čija se dinamika uplate za pojedinu godinu utvrđuje državnim proračunom.</w:t>
      </w:r>
    </w:p>
    <w:p w14:paraId="1A9FF063" w14:textId="77777777" w:rsidR="00C93090" w:rsidRPr="0050050C" w:rsidRDefault="00C93090" w:rsidP="00EA0684">
      <w:pPr>
        <w:jc w:val="both"/>
        <w:rPr>
          <w:rFonts w:ascii="Arial" w:eastAsia="Times New Roman" w:hAnsi="Arial" w:cs="Arial"/>
          <w:color w:val="000000" w:themeColor="text1"/>
          <w:sz w:val="20"/>
          <w:szCs w:val="20"/>
        </w:rPr>
      </w:pPr>
    </w:p>
    <w:p w14:paraId="30A9C32E" w14:textId="77777777" w:rsidR="00EA0684" w:rsidRPr="0050050C" w:rsidRDefault="00EA0684" w:rsidP="00EA0684">
      <w:pPr>
        <w:pStyle w:val="NormalWeb"/>
        <w:tabs>
          <w:tab w:val="left" w:pos="567"/>
        </w:tabs>
        <w:spacing w:before="0" w:beforeAutospacing="0" w:after="0" w:afterAutospacing="0"/>
        <w:jc w:val="both"/>
        <w:rPr>
          <w:rFonts w:ascii="Arial" w:hAnsi="Arial" w:cs="Arial"/>
          <w:i/>
          <w:color w:val="000000" w:themeColor="text1"/>
          <w:sz w:val="20"/>
          <w:szCs w:val="20"/>
          <w:lang w:val="hr-HR"/>
        </w:rPr>
      </w:pPr>
      <w:r w:rsidRPr="0050050C">
        <w:rPr>
          <w:rFonts w:ascii="Arial" w:hAnsi="Arial" w:cs="Arial"/>
          <w:i/>
          <w:color w:val="000000" w:themeColor="text1"/>
          <w:sz w:val="20"/>
          <w:szCs w:val="20"/>
          <w:lang w:val="hr-HR"/>
        </w:rPr>
        <w:t>Nadzorni odbor</w:t>
      </w:r>
    </w:p>
    <w:p w14:paraId="7BB1915A" w14:textId="012DC792" w:rsidR="00EA0684" w:rsidRPr="0050050C" w:rsidRDefault="00EA0684" w:rsidP="00EA0684">
      <w:pPr>
        <w:pStyle w:val="T1PARAGRAPH"/>
        <w:widowControl w:val="0"/>
        <w:numPr>
          <w:ilvl w:val="0"/>
          <w:numId w:val="0"/>
        </w:numPr>
        <w:spacing w:after="0" w:line="240" w:lineRule="auto"/>
        <w:rPr>
          <w:color w:val="000000" w:themeColor="text1"/>
          <w:sz w:val="20"/>
        </w:rPr>
      </w:pPr>
      <w:r w:rsidRPr="0050050C">
        <w:rPr>
          <w:color w:val="000000" w:themeColor="text1"/>
          <w:sz w:val="20"/>
        </w:rPr>
        <w:t>Na dan 31. ožujka 202</w:t>
      </w:r>
      <w:r w:rsidR="00F6794F">
        <w:rPr>
          <w:color w:val="000000" w:themeColor="text1"/>
          <w:sz w:val="20"/>
        </w:rPr>
        <w:t>4</w:t>
      </w:r>
      <w:r w:rsidRPr="0050050C">
        <w:rPr>
          <w:color w:val="000000" w:themeColor="text1"/>
          <w:sz w:val="20"/>
        </w:rPr>
        <w:t>. Nadzorni odbor djeluje u sljedećem sastavu:</w:t>
      </w:r>
    </w:p>
    <w:p w14:paraId="1BD7C834" w14:textId="77777777" w:rsidR="00A3154A" w:rsidRPr="00F13BA4" w:rsidRDefault="00A3154A" w:rsidP="00A3154A">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F13BA4">
        <w:rPr>
          <w:rFonts w:ascii="Arial" w:hAnsi="Arial" w:cs="Arial"/>
          <w:color w:val="000000" w:themeColor="text1"/>
          <w:sz w:val="20"/>
          <w:szCs w:val="20"/>
          <w:lang w:val="hr-HR"/>
        </w:rPr>
        <w:t xml:space="preserve">izv. prof. dr. sc. Marko Primorac, ministar financija – po položaju predsjednik Nadzornog odbora, </w:t>
      </w:r>
    </w:p>
    <w:p w14:paraId="4028465C" w14:textId="77777777" w:rsidR="00A3154A" w:rsidRDefault="00A3154A" w:rsidP="00A3154A">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Pr>
          <w:rFonts w:ascii="Arial" w:hAnsi="Arial" w:cs="Arial"/>
          <w:color w:val="000000" w:themeColor="text1"/>
          <w:sz w:val="20"/>
          <w:szCs w:val="20"/>
          <w:lang w:val="hr-HR"/>
        </w:rPr>
        <w:t xml:space="preserve">Damir </w:t>
      </w:r>
      <w:proofErr w:type="spellStart"/>
      <w:r>
        <w:rPr>
          <w:rFonts w:ascii="Arial" w:hAnsi="Arial" w:cs="Arial"/>
          <w:color w:val="000000" w:themeColor="text1"/>
          <w:sz w:val="20"/>
          <w:szCs w:val="20"/>
          <w:lang w:val="hr-HR"/>
        </w:rPr>
        <w:t>Habijan</w:t>
      </w:r>
      <w:proofErr w:type="spellEnd"/>
      <w:r w:rsidRPr="00F13BA4">
        <w:rPr>
          <w:rFonts w:ascii="Arial" w:hAnsi="Arial" w:cs="Arial"/>
          <w:color w:val="000000" w:themeColor="text1"/>
          <w:sz w:val="20"/>
          <w:szCs w:val="20"/>
          <w:lang w:val="hr-HR"/>
        </w:rPr>
        <w:t>, ministar gospodarstva i održivog razvoja – po položaju zamjenik predsjednika Nadzornog odbora,</w:t>
      </w:r>
    </w:p>
    <w:p w14:paraId="64201E99" w14:textId="77777777" w:rsidR="00A3154A" w:rsidRPr="00F959D0" w:rsidRDefault="00A3154A" w:rsidP="00A3154A">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F13BA4">
        <w:rPr>
          <w:rFonts w:ascii="Arial" w:hAnsi="Arial" w:cs="Arial"/>
          <w:color w:val="000000" w:themeColor="text1"/>
          <w:sz w:val="20"/>
          <w:szCs w:val="20"/>
          <w:lang w:val="hr-HR"/>
        </w:rPr>
        <w:t xml:space="preserve">Šime </w:t>
      </w:r>
      <w:proofErr w:type="spellStart"/>
      <w:r w:rsidRPr="00F13BA4">
        <w:rPr>
          <w:rFonts w:ascii="Arial" w:hAnsi="Arial" w:cs="Arial"/>
          <w:color w:val="000000" w:themeColor="text1"/>
          <w:sz w:val="20"/>
          <w:szCs w:val="20"/>
          <w:lang w:val="hr-HR"/>
        </w:rPr>
        <w:t>Erlić</w:t>
      </w:r>
      <w:proofErr w:type="spellEnd"/>
      <w:r w:rsidRPr="00F13BA4">
        <w:rPr>
          <w:rFonts w:ascii="Arial" w:hAnsi="Arial" w:cs="Arial"/>
          <w:color w:val="000000" w:themeColor="text1"/>
          <w:sz w:val="20"/>
          <w:szCs w:val="20"/>
          <w:lang w:val="hr-HR"/>
        </w:rPr>
        <w:t>, ministar regionalnoga razvoja i fondova Europske unije,</w:t>
      </w:r>
    </w:p>
    <w:p w14:paraId="3F42B1FE" w14:textId="77777777" w:rsidR="00A3154A" w:rsidRPr="00F959D0" w:rsidRDefault="00A3154A" w:rsidP="00A3154A">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F13BA4">
        <w:rPr>
          <w:rFonts w:ascii="Arial" w:hAnsi="Arial" w:cs="Arial"/>
          <w:color w:val="000000" w:themeColor="text1"/>
          <w:sz w:val="20"/>
          <w:szCs w:val="20"/>
          <w:lang w:val="hr-HR"/>
        </w:rPr>
        <w:t xml:space="preserve">dr. sc. Nikolina </w:t>
      </w:r>
      <w:proofErr w:type="spellStart"/>
      <w:r w:rsidRPr="00F13BA4">
        <w:rPr>
          <w:rFonts w:ascii="Arial" w:hAnsi="Arial" w:cs="Arial"/>
          <w:color w:val="000000" w:themeColor="text1"/>
          <w:sz w:val="20"/>
          <w:szCs w:val="20"/>
          <w:lang w:val="hr-HR"/>
        </w:rPr>
        <w:t>Brnjac</w:t>
      </w:r>
      <w:proofErr w:type="spellEnd"/>
      <w:r w:rsidRPr="00F13BA4">
        <w:rPr>
          <w:rFonts w:ascii="Arial" w:hAnsi="Arial" w:cs="Arial"/>
          <w:color w:val="000000" w:themeColor="text1"/>
          <w:sz w:val="20"/>
          <w:szCs w:val="20"/>
          <w:lang w:val="hr-HR"/>
        </w:rPr>
        <w:t>, ministrica turizma i sporta</w:t>
      </w:r>
      <w:r>
        <w:rPr>
          <w:rFonts w:ascii="Arial" w:hAnsi="Arial" w:cs="Arial"/>
          <w:color w:val="000000" w:themeColor="text1"/>
          <w:sz w:val="20"/>
          <w:szCs w:val="20"/>
          <w:lang w:val="hr-HR"/>
        </w:rPr>
        <w:t>,</w:t>
      </w:r>
    </w:p>
    <w:p w14:paraId="7CB33204" w14:textId="77777777" w:rsidR="00A3154A" w:rsidRDefault="00A3154A" w:rsidP="00A3154A">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F13BA4">
        <w:rPr>
          <w:rFonts w:ascii="Arial" w:hAnsi="Arial" w:cs="Arial"/>
          <w:color w:val="000000" w:themeColor="text1"/>
          <w:sz w:val="20"/>
          <w:szCs w:val="20"/>
          <w:lang w:val="hr-HR"/>
        </w:rPr>
        <w:t>mr. sc. Marija Vučković, ministrica poljoprivrede,</w:t>
      </w:r>
    </w:p>
    <w:p w14:paraId="0192AE01" w14:textId="77777777" w:rsidR="00A3154A" w:rsidRPr="00F13BA4" w:rsidRDefault="00A3154A" w:rsidP="00A3154A">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F13BA4">
        <w:rPr>
          <w:rFonts w:ascii="Arial" w:hAnsi="Arial" w:cs="Arial"/>
          <w:color w:val="000000"/>
          <w:sz w:val="20"/>
          <w:szCs w:val="20"/>
          <w:lang w:val="hr-HR"/>
        </w:rPr>
        <w:t>Branko Bačić, potpredsjednik Vlade Republike Hrvatske i ministar prostornoga uređenja, graditeljstva i državne imovine,</w:t>
      </w:r>
    </w:p>
    <w:p w14:paraId="732A1B3A" w14:textId="77777777" w:rsidR="00A3154A" w:rsidRPr="00F13BA4" w:rsidRDefault="00A3154A" w:rsidP="00A3154A">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F13BA4">
        <w:rPr>
          <w:rFonts w:ascii="Arial" w:hAnsi="Arial" w:cs="Arial"/>
          <w:color w:val="000000"/>
          <w:sz w:val="20"/>
          <w:szCs w:val="20"/>
          <w:lang w:val="hr-HR"/>
        </w:rPr>
        <w:t>dr. sc. Luka Burilović, predsjednik Hrvatske gospodarske komore – po položaju član Nadzorno</w:t>
      </w:r>
      <w:r>
        <w:rPr>
          <w:rFonts w:ascii="Arial" w:hAnsi="Arial" w:cs="Arial"/>
          <w:color w:val="000000"/>
          <w:sz w:val="20"/>
          <w:szCs w:val="20"/>
          <w:lang w:val="hr-HR"/>
        </w:rPr>
        <w:t xml:space="preserve">g </w:t>
      </w:r>
      <w:r w:rsidRPr="00F13BA4">
        <w:rPr>
          <w:rFonts w:ascii="Arial" w:hAnsi="Arial" w:cs="Arial"/>
          <w:color w:val="000000"/>
          <w:sz w:val="20"/>
          <w:szCs w:val="20"/>
          <w:lang w:val="hr-HR"/>
        </w:rPr>
        <w:t>odbora</w:t>
      </w:r>
      <w:r>
        <w:rPr>
          <w:rFonts w:ascii="Arial" w:hAnsi="Arial" w:cs="Arial"/>
          <w:color w:val="000000"/>
          <w:sz w:val="20"/>
          <w:szCs w:val="20"/>
          <w:lang w:val="hr-HR"/>
        </w:rPr>
        <w:t>,</w:t>
      </w:r>
    </w:p>
    <w:p w14:paraId="3163691F" w14:textId="77777777" w:rsidR="00A3154A" w:rsidRPr="00F13BA4" w:rsidRDefault="00A3154A" w:rsidP="00A3154A">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F13BA4">
        <w:rPr>
          <w:rFonts w:ascii="Arial" w:hAnsi="Arial" w:cs="Arial"/>
          <w:color w:val="000000"/>
          <w:sz w:val="20"/>
          <w:szCs w:val="20"/>
          <w:lang w:val="hr-HR"/>
        </w:rPr>
        <w:t>Žarko Tušek, saborski zastupnik,</w:t>
      </w:r>
    </w:p>
    <w:p w14:paraId="4DC4A29A" w14:textId="77777777" w:rsidR="00A3154A" w:rsidRPr="00F13BA4" w:rsidRDefault="00A3154A" w:rsidP="00A3154A">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F13BA4">
        <w:rPr>
          <w:rFonts w:ascii="Arial" w:hAnsi="Arial" w:cs="Arial"/>
          <w:color w:val="000000"/>
          <w:sz w:val="20"/>
          <w:szCs w:val="20"/>
          <w:lang w:val="hr-HR"/>
        </w:rPr>
        <w:t>Predrag Štromar, saborski zastupnik,</w:t>
      </w:r>
    </w:p>
    <w:p w14:paraId="0B9ECDB5" w14:textId="77777777" w:rsidR="00A3154A" w:rsidRPr="00F13BA4" w:rsidRDefault="00A3154A" w:rsidP="00A3154A">
      <w:pPr>
        <w:pStyle w:val="ListParagraph"/>
        <w:numPr>
          <w:ilvl w:val="0"/>
          <w:numId w:val="2"/>
        </w:numPr>
        <w:suppressAutoHyphens w:val="0"/>
        <w:autoSpaceDN/>
        <w:ind w:left="851" w:hanging="284"/>
        <w:jc w:val="both"/>
        <w:rPr>
          <w:rFonts w:ascii="Arial" w:hAnsi="Arial" w:cs="Arial"/>
          <w:color w:val="000000" w:themeColor="text1"/>
          <w:sz w:val="20"/>
          <w:szCs w:val="20"/>
          <w:lang w:val="hr-HR"/>
        </w:rPr>
      </w:pPr>
      <w:r w:rsidRPr="00F13BA4">
        <w:rPr>
          <w:rFonts w:ascii="Arial" w:hAnsi="Arial" w:cs="Arial"/>
          <w:color w:val="000000"/>
          <w:sz w:val="20"/>
          <w:szCs w:val="20"/>
          <w:lang w:val="hr-HR"/>
        </w:rPr>
        <w:t xml:space="preserve">dr. sc. Siniša </w:t>
      </w:r>
      <w:proofErr w:type="spellStart"/>
      <w:r w:rsidRPr="00F13BA4">
        <w:rPr>
          <w:rFonts w:ascii="Arial" w:hAnsi="Arial" w:cs="Arial"/>
          <w:color w:val="000000"/>
          <w:sz w:val="20"/>
          <w:szCs w:val="20"/>
          <w:lang w:val="hr-HR"/>
        </w:rPr>
        <w:t>Hajdaš</w:t>
      </w:r>
      <w:proofErr w:type="spellEnd"/>
      <w:r w:rsidRPr="00F13BA4">
        <w:rPr>
          <w:rFonts w:ascii="Arial" w:hAnsi="Arial" w:cs="Arial"/>
          <w:color w:val="000000"/>
          <w:sz w:val="20"/>
          <w:szCs w:val="20"/>
          <w:lang w:val="hr-HR"/>
        </w:rPr>
        <w:t xml:space="preserve"> </w:t>
      </w:r>
      <w:proofErr w:type="spellStart"/>
      <w:r w:rsidRPr="00F13BA4">
        <w:rPr>
          <w:rFonts w:ascii="Arial" w:hAnsi="Arial" w:cs="Arial"/>
          <w:color w:val="000000"/>
          <w:sz w:val="20"/>
          <w:szCs w:val="20"/>
          <w:lang w:val="hr-HR"/>
        </w:rPr>
        <w:t>Dončić</w:t>
      </w:r>
      <w:proofErr w:type="spellEnd"/>
      <w:r w:rsidRPr="00F13BA4">
        <w:rPr>
          <w:rFonts w:ascii="Arial" w:hAnsi="Arial" w:cs="Arial"/>
          <w:color w:val="000000"/>
          <w:sz w:val="20"/>
          <w:szCs w:val="20"/>
          <w:lang w:val="hr-HR"/>
        </w:rPr>
        <w:t>, saborski zastupnik.</w:t>
      </w:r>
    </w:p>
    <w:p w14:paraId="65FC83CB" w14:textId="77777777" w:rsidR="00C93090" w:rsidRPr="003D1614" w:rsidRDefault="00C93090" w:rsidP="00C93090">
      <w:pPr>
        <w:jc w:val="both"/>
        <w:rPr>
          <w:rFonts w:ascii="Arial" w:hAnsi="Arial" w:cs="Arial"/>
          <w:color w:val="000000" w:themeColor="text1"/>
          <w:sz w:val="18"/>
          <w:szCs w:val="18"/>
        </w:rPr>
      </w:pPr>
    </w:p>
    <w:p w14:paraId="2358F085" w14:textId="77777777" w:rsidR="00C93090" w:rsidRPr="003D1614" w:rsidRDefault="00C93090" w:rsidP="00C93090">
      <w:pPr>
        <w:keepNext/>
        <w:tabs>
          <w:tab w:val="left" w:pos="567"/>
        </w:tabs>
        <w:suppressAutoHyphens/>
        <w:autoSpaceDN w:val="0"/>
        <w:jc w:val="both"/>
        <w:outlineLvl w:val="0"/>
        <w:rPr>
          <w:rFonts w:ascii="Arial" w:eastAsia="Times New Roman" w:hAnsi="Arial" w:cs="Arial"/>
          <w:i/>
          <w:caps/>
          <w:color w:val="000000" w:themeColor="text1"/>
          <w:sz w:val="20"/>
          <w:szCs w:val="20"/>
        </w:rPr>
      </w:pPr>
      <w:bookmarkStart w:id="244" w:name="_Toc67327354"/>
      <w:r w:rsidRPr="003D1614">
        <w:rPr>
          <w:rFonts w:ascii="Arial" w:eastAsia="Times New Roman" w:hAnsi="Arial" w:cs="Arial"/>
          <w:i/>
          <w:color w:val="000000" w:themeColor="text1"/>
          <w:sz w:val="20"/>
          <w:szCs w:val="20"/>
        </w:rPr>
        <w:t>Uprava</w:t>
      </w:r>
      <w:bookmarkEnd w:id="244"/>
      <w:r w:rsidRPr="003D1614">
        <w:rPr>
          <w:rFonts w:ascii="Arial" w:eastAsia="Times New Roman" w:hAnsi="Arial" w:cs="Arial"/>
          <w:i/>
          <w:caps/>
          <w:color w:val="000000" w:themeColor="text1"/>
          <w:sz w:val="20"/>
          <w:szCs w:val="20"/>
        </w:rPr>
        <w:t xml:space="preserve"> </w:t>
      </w:r>
    </w:p>
    <w:p w14:paraId="260FD5C4" w14:textId="77777777" w:rsidR="00C93090" w:rsidRPr="003D1614" w:rsidRDefault="00C93090" w:rsidP="00C93090">
      <w:pPr>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Na dan sastavljanja ovih izvještaja Uprava HBOR-a djeluje u sljedećem sastavu:</w:t>
      </w:r>
    </w:p>
    <w:p w14:paraId="48888390" w14:textId="77777777" w:rsidR="00C93090" w:rsidRPr="003D1614" w:rsidRDefault="00C93090" w:rsidP="00C93090">
      <w:pPr>
        <w:suppressAutoHyphens/>
        <w:autoSpaceDN w:val="0"/>
        <w:jc w:val="both"/>
        <w:rPr>
          <w:rFonts w:ascii="Arial" w:eastAsia="Times New Roman" w:hAnsi="Arial" w:cs="Arial"/>
          <w:color w:val="000000" w:themeColor="text1"/>
          <w:sz w:val="12"/>
          <w:szCs w:val="12"/>
          <w:lang w:eastAsia="hr-HR"/>
        </w:rPr>
      </w:pPr>
    </w:p>
    <w:p w14:paraId="382C1077" w14:textId="77777777" w:rsidR="00C93090" w:rsidRDefault="00C93090" w:rsidP="00C93090">
      <w:pPr>
        <w:numPr>
          <w:ilvl w:val="0"/>
          <w:numId w:val="3"/>
        </w:numPr>
        <w:suppressAutoHyphens/>
        <w:autoSpaceDN w:val="0"/>
        <w:ind w:left="709" w:hanging="283"/>
        <w:contextualSpacing/>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mr. sc. Hrvoje Čuvalo, predsjednik Uprave,</w:t>
      </w:r>
    </w:p>
    <w:p w14:paraId="5BB0E20D" w14:textId="5AC9CD69" w:rsidR="002D200D" w:rsidRPr="003D1614" w:rsidRDefault="002D200D" w:rsidP="00C93090">
      <w:pPr>
        <w:numPr>
          <w:ilvl w:val="0"/>
          <w:numId w:val="3"/>
        </w:numPr>
        <w:suppressAutoHyphens/>
        <w:autoSpaceDN w:val="0"/>
        <w:ind w:left="709" w:hanging="283"/>
        <w:contextualSpacing/>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Josip Pavković, član Uprav</w:t>
      </w:r>
      <w:r>
        <w:rPr>
          <w:rFonts w:ascii="Arial" w:eastAsia="Times New Roman" w:hAnsi="Arial" w:cs="Arial"/>
          <w:color w:val="000000" w:themeColor="text1"/>
          <w:sz w:val="20"/>
          <w:szCs w:val="20"/>
          <w:lang w:eastAsia="hr-HR"/>
        </w:rPr>
        <w:t>e i</w:t>
      </w:r>
    </w:p>
    <w:p w14:paraId="0D808751" w14:textId="0DB7BE7C" w:rsidR="00C93090" w:rsidRPr="003D1614" w:rsidRDefault="00C93090" w:rsidP="00C93090">
      <w:pPr>
        <w:numPr>
          <w:ilvl w:val="0"/>
          <w:numId w:val="3"/>
        </w:numPr>
        <w:suppressAutoHyphens/>
        <w:autoSpaceDN w:val="0"/>
        <w:ind w:left="709" w:hanging="283"/>
        <w:contextualSpacing/>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mr. sc. Alan Herjavec, član Uprave</w:t>
      </w:r>
      <w:r w:rsidR="002D200D">
        <w:rPr>
          <w:rFonts w:ascii="Arial" w:eastAsia="Times New Roman" w:hAnsi="Arial" w:cs="Arial"/>
          <w:color w:val="000000" w:themeColor="text1"/>
          <w:sz w:val="20"/>
          <w:szCs w:val="20"/>
          <w:lang w:eastAsia="hr-HR"/>
        </w:rPr>
        <w:t>.</w:t>
      </w:r>
    </w:p>
    <w:p w14:paraId="41A432BB" w14:textId="77777777" w:rsidR="00C93090" w:rsidRPr="003D1614" w:rsidRDefault="00C93090" w:rsidP="00C93090">
      <w:pPr>
        <w:suppressAutoHyphens/>
        <w:autoSpaceDN w:val="0"/>
        <w:contextualSpacing/>
        <w:jc w:val="both"/>
        <w:rPr>
          <w:rFonts w:ascii="Arial" w:eastAsia="Times New Roman" w:hAnsi="Arial" w:cs="Arial"/>
          <w:color w:val="000000" w:themeColor="text1"/>
          <w:sz w:val="16"/>
          <w:szCs w:val="16"/>
          <w:lang w:eastAsia="hr-HR"/>
        </w:rPr>
      </w:pPr>
    </w:p>
    <w:p w14:paraId="0224AAA0" w14:textId="043ACA8D" w:rsidR="00C93090" w:rsidRPr="003D1614" w:rsidRDefault="00C93090" w:rsidP="00C93090">
      <w:pPr>
        <w:suppressAutoHyphens/>
        <w:autoSpaceDN w:val="0"/>
        <w:contextualSpacing/>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rPr>
        <w:t>Na dan 31. ožujka 202</w:t>
      </w:r>
      <w:r w:rsidR="00A3154A">
        <w:rPr>
          <w:rFonts w:ascii="Arial" w:eastAsia="Times New Roman" w:hAnsi="Arial" w:cs="Arial"/>
          <w:color w:val="000000" w:themeColor="text1"/>
          <w:sz w:val="20"/>
          <w:szCs w:val="20"/>
        </w:rPr>
        <w:t>4</w:t>
      </w:r>
      <w:r w:rsidRPr="003D1614">
        <w:rPr>
          <w:rFonts w:ascii="Arial" w:eastAsia="Times New Roman" w:hAnsi="Arial" w:cs="Arial"/>
          <w:color w:val="000000" w:themeColor="text1"/>
          <w:sz w:val="20"/>
          <w:szCs w:val="20"/>
        </w:rPr>
        <w:t xml:space="preserve">. HBOR ima </w:t>
      </w:r>
      <w:r w:rsidR="00D94EB8">
        <w:rPr>
          <w:rFonts w:ascii="Arial" w:eastAsia="Times New Roman" w:hAnsi="Arial" w:cs="Arial"/>
          <w:color w:val="000000" w:themeColor="text1"/>
          <w:sz w:val="20"/>
          <w:szCs w:val="20"/>
        </w:rPr>
        <w:t>419</w:t>
      </w:r>
      <w:r w:rsidRPr="003D1614">
        <w:rPr>
          <w:rFonts w:ascii="Arial" w:eastAsia="Times New Roman" w:hAnsi="Arial" w:cs="Arial"/>
          <w:color w:val="000000" w:themeColor="text1"/>
          <w:sz w:val="20"/>
          <w:szCs w:val="20"/>
        </w:rPr>
        <w:t xml:space="preserve"> zaposlenika (31. ožujka 202</w:t>
      </w:r>
      <w:r w:rsidR="00A3154A">
        <w:rPr>
          <w:rFonts w:ascii="Arial" w:eastAsia="Times New Roman" w:hAnsi="Arial" w:cs="Arial"/>
          <w:color w:val="000000" w:themeColor="text1"/>
          <w:sz w:val="20"/>
          <w:szCs w:val="20"/>
        </w:rPr>
        <w:t>3</w:t>
      </w:r>
      <w:r w:rsidRPr="003D1614">
        <w:rPr>
          <w:rFonts w:ascii="Arial" w:eastAsia="Times New Roman" w:hAnsi="Arial" w:cs="Arial"/>
          <w:color w:val="000000" w:themeColor="text1"/>
          <w:sz w:val="20"/>
          <w:szCs w:val="20"/>
        </w:rPr>
        <w:t>. bilo je 3</w:t>
      </w:r>
      <w:r w:rsidR="00A3154A">
        <w:rPr>
          <w:rFonts w:ascii="Arial" w:eastAsia="Times New Roman" w:hAnsi="Arial" w:cs="Arial"/>
          <w:color w:val="000000" w:themeColor="text1"/>
          <w:sz w:val="20"/>
          <w:szCs w:val="20"/>
        </w:rPr>
        <w:t>8</w:t>
      </w:r>
      <w:r w:rsidRPr="003D1614">
        <w:rPr>
          <w:rFonts w:ascii="Arial" w:eastAsia="Times New Roman" w:hAnsi="Arial" w:cs="Arial"/>
          <w:color w:val="000000" w:themeColor="text1"/>
          <w:sz w:val="20"/>
          <w:szCs w:val="20"/>
        </w:rPr>
        <w:t>7 zaposlenika).</w:t>
      </w:r>
    </w:p>
    <w:p w14:paraId="2E84E054" w14:textId="77777777" w:rsidR="00C93090" w:rsidRPr="003D1614" w:rsidRDefault="00C93090" w:rsidP="00EA0684">
      <w:pPr>
        <w:jc w:val="both"/>
        <w:rPr>
          <w:rFonts w:ascii="Arial" w:hAnsi="Arial" w:cs="Arial"/>
          <w:color w:val="000000" w:themeColor="text1"/>
          <w:sz w:val="20"/>
          <w:szCs w:val="20"/>
        </w:rPr>
        <w:sectPr w:rsidR="00C93090" w:rsidRPr="003D1614" w:rsidSect="00C93090">
          <w:headerReference w:type="default" r:id="rId21"/>
          <w:pgSz w:w="11906" w:h="16838"/>
          <w:pgMar w:top="1418" w:right="1418" w:bottom="1134" w:left="1418" w:header="709" w:footer="709" w:gutter="0"/>
          <w:cols w:space="708"/>
          <w:docGrid w:linePitch="360"/>
        </w:sectPr>
      </w:pPr>
    </w:p>
    <w:p w14:paraId="1C3E7EE1" w14:textId="04D5CEE0" w:rsidR="00EA0684" w:rsidRPr="003D1614" w:rsidRDefault="00EA0684" w:rsidP="00EA0684">
      <w:pPr>
        <w:jc w:val="both"/>
        <w:rPr>
          <w:rFonts w:ascii="Arial" w:hAnsi="Arial" w:cs="Arial"/>
          <w:color w:val="000000" w:themeColor="text1"/>
          <w:sz w:val="20"/>
          <w:szCs w:val="20"/>
        </w:rPr>
      </w:pPr>
    </w:p>
    <w:p w14:paraId="2BFD76AC" w14:textId="77777777" w:rsidR="00C93090" w:rsidRPr="003D1614" w:rsidRDefault="00C93090" w:rsidP="00C93090">
      <w:pPr>
        <w:pStyle w:val="T1"/>
        <w:tabs>
          <w:tab w:val="left" w:pos="567"/>
        </w:tabs>
        <w:spacing w:before="0" w:after="0" w:line="240" w:lineRule="exact"/>
        <w:rPr>
          <w:rFonts w:cs="Arial"/>
          <w:strike/>
          <w:color w:val="000000" w:themeColor="text1"/>
          <w:sz w:val="20"/>
          <w:lang w:val="hr-HR"/>
        </w:rPr>
      </w:pPr>
      <w:r w:rsidRPr="003D1614">
        <w:rPr>
          <w:rFonts w:cs="Arial"/>
          <w:color w:val="000000" w:themeColor="text1"/>
          <w:sz w:val="20"/>
          <w:lang w:val="hr-HR"/>
        </w:rPr>
        <w:t>1.</w:t>
      </w:r>
      <w:r w:rsidRPr="003D1614">
        <w:rPr>
          <w:rFonts w:cs="Arial"/>
          <w:color w:val="000000" w:themeColor="text1"/>
          <w:sz w:val="20"/>
          <w:lang w:val="hr-HR"/>
        </w:rPr>
        <w:tab/>
        <w:t>Opći podaci (nastavak)</w:t>
      </w:r>
    </w:p>
    <w:p w14:paraId="35BE68D2" w14:textId="77777777" w:rsidR="00C93090" w:rsidRPr="003D1614" w:rsidRDefault="00C93090" w:rsidP="00C93090">
      <w:pPr>
        <w:pStyle w:val="NormalWeb"/>
        <w:tabs>
          <w:tab w:val="left" w:pos="567"/>
        </w:tabs>
        <w:spacing w:before="0" w:beforeAutospacing="0" w:after="0" w:afterAutospacing="0" w:line="240" w:lineRule="exact"/>
        <w:jc w:val="both"/>
        <w:rPr>
          <w:rFonts w:ascii="Arial" w:hAnsi="Arial" w:cs="Arial"/>
          <w:b/>
          <w:color w:val="000000" w:themeColor="text1"/>
          <w:sz w:val="20"/>
          <w:szCs w:val="20"/>
          <w:lang w:val="hr-HR"/>
        </w:rPr>
      </w:pPr>
    </w:p>
    <w:p w14:paraId="64C80CF0" w14:textId="77777777" w:rsidR="00C93090" w:rsidRPr="003D1614" w:rsidRDefault="00C93090" w:rsidP="00C93090">
      <w:pPr>
        <w:pStyle w:val="NormalWeb"/>
        <w:tabs>
          <w:tab w:val="left" w:pos="567"/>
        </w:tabs>
        <w:spacing w:before="0" w:beforeAutospacing="0" w:after="0" w:afterAutospacing="0" w:line="240" w:lineRule="exact"/>
        <w:jc w:val="both"/>
        <w:rPr>
          <w:rFonts w:ascii="Arial" w:hAnsi="Arial" w:cs="Arial"/>
          <w:b/>
          <w:color w:val="000000" w:themeColor="text1"/>
          <w:sz w:val="20"/>
          <w:szCs w:val="20"/>
          <w:lang w:val="hr-HR"/>
        </w:rPr>
      </w:pPr>
      <w:r w:rsidRPr="003D1614">
        <w:rPr>
          <w:rFonts w:ascii="Arial" w:hAnsi="Arial" w:cs="Arial"/>
          <w:b/>
          <w:color w:val="000000" w:themeColor="text1"/>
          <w:sz w:val="20"/>
          <w:szCs w:val="20"/>
          <w:lang w:val="hr-HR"/>
        </w:rPr>
        <w:t>1.2.</w:t>
      </w:r>
      <w:r w:rsidRPr="003D1614">
        <w:rPr>
          <w:rFonts w:ascii="Arial" w:hAnsi="Arial" w:cs="Arial"/>
          <w:b/>
          <w:color w:val="000000" w:themeColor="text1"/>
          <w:sz w:val="20"/>
          <w:szCs w:val="20"/>
          <w:lang w:val="hr-HR"/>
        </w:rPr>
        <w:tab/>
        <w:t>Banka (nastavak):</w:t>
      </w:r>
    </w:p>
    <w:p w14:paraId="76027ACA" w14:textId="77777777" w:rsidR="00C93090" w:rsidRPr="003D1614" w:rsidRDefault="00C93090" w:rsidP="00EA0684">
      <w:pPr>
        <w:rPr>
          <w:rFonts w:ascii="Arial" w:eastAsia="Times New Roman" w:hAnsi="Arial" w:cs="Arial"/>
          <w:color w:val="000000" w:themeColor="text1"/>
          <w:sz w:val="20"/>
          <w:szCs w:val="20"/>
        </w:rPr>
      </w:pPr>
    </w:p>
    <w:p w14:paraId="0F339F69" w14:textId="77777777" w:rsidR="00C93090" w:rsidRPr="003D1614" w:rsidRDefault="00C93090" w:rsidP="00C93090">
      <w:pPr>
        <w:suppressAutoHyphens/>
        <w:autoSpaceDN w:val="0"/>
        <w:jc w:val="both"/>
        <w:rPr>
          <w:rFonts w:ascii="Arial" w:eastAsia="Times New Roman" w:hAnsi="Arial" w:cs="Arial"/>
          <w:i/>
          <w:color w:val="000000" w:themeColor="text1"/>
          <w:sz w:val="20"/>
          <w:szCs w:val="20"/>
        </w:rPr>
      </w:pPr>
      <w:r w:rsidRPr="003D1614">
        <w:rPr>
          <w:rFonts w:ascii="Arial" w:eastAsia="Times New Roman" w:hAnsi="Arial" w:cs="Arial"/>
          <w:i/>
          <w:color w:val="000000" w:themeColor="text1"/>
          <w:sz w:val="20"/>
          <w:szCs w:val="20"/>
        </w:rPr>
        <w:t>Revizijski odbor</w:t>
      </w:r>
    </w:p>
    <w:p w14:paraId="4A7741C2" w14:textId="36ADDF71" w:rsidR="00C93090" w:rsidRPr="003D1614" w:rsidRDefault="00C93090" w:rsidP="00C93090">
      <w:pPr>
        <w:tabs>
          <w:tab w:val="left" w:pos="426"/>
        </w:tabs>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Na dan 31. </w:t>
      </w:r>
      <w:r w:rsidR="00807ED7">
        <w:rPr>
          <w:rFonts w:ascii="Arial" w:eastAsia="Times New Roman" w:hAnsi="Arial" w:cs="Arial"/>
          <w:color w:val="000000" w:themeColor="text1"/>
          <w:sz w:val="20"/>
          <w:szCs w:val="20"/>
          <w:lang w:eastAsia="hr-HR"/>
        </w:rPr>
        <w:t>ožujka</w:t>
      </w:r>
      <w:r w:rsidRPr="003D1614">
        <w:rPr>
          <w:rFonts w:ascii="Arial" w:eastAsia="Times New Roman" w:hAnsi="Arial" w:cs="Arial"/>
          <w:color w:val="000000" w:themeColor="text1"/>
          <w:sz w:val="20"/>
          <w:szCs w:val="20"/>
          <w:lang w:eastAsia="hr-HR"/>
        </w:rPr>
        <w:t xml:space="preserve"> 202</w:t>
      </w:r>
      <w:r w:rsidR="00807ED7">
        <w:rPr>
          <w:rFonts w:ascii="Arial" w:eastAsia="Times New Roman" w:hAnsi="Arial" w:cs="Arial"/>
          <w:color w:val="000000" w:themeColor="text1"/>
          <w:sz w:val="20"/>
          <w:szCs w:val="20"/>
          <w:lang w:eastAsia="hr-HR"/>
        </w:rPr>
        <w:t>4</w:t>
      </w:r>
      <w:r w:rsidRPr="003D1614">
        <w:rPr>
          <w:rFonts w:ascii="Arial" w:eastAsia="Times New Roman" w:hAnsi="Arial" w:cs="Arial"/>
          <w:color w:val="000000" w:themeColor="text1"/>
          <w:sz w:val="20"/>
          <w:szCs w:val="20"/>
          <w:lang w:eastAsia="hr-HR"/>
        </w:rPr>
        <w:t>. Revizijski odbor djeluje u sastavu:</w:t>
      </w:r>
    </w:p>
    <w:p w14:paraId="5C2280CF" w14:textId="77777777" w:rsidR="00C93090" w:rsidRPr="003D1614" w:rsidRDefault="00C93090" w:rsidP="00C93090">
      <w:pPr>
        <w:tabs>
          <w:tab w:val="left" w:pos="426"/>
        </w:tabs>
        <w:suppressAutoHyphens/>
        <w:autoSpaceDN w:val="0"/>
        <w:jc w:val="both"/>
        <w:rPr>
          <w:rFonts w:ascii="Arial" w:eastAsia="Times New Roman" w:hAnsi="Arial" w:cs="Arial"/>
          <w:color w:val="000000" w:themeColor="text1"/>
          <w:sz w:val="10"/>
          <w:szCs w:val="10"/>
          <w:lang w:eastAsia="hr-HR"/>
        </w:rPr>
      </w:pPr>
    </w:p>
    <w:p w14:paraId="32B478BD" w14:textId="77777777" w:rsidR="00C93090" w:rsidRPr="003D1614" w:rsidRDefault="00C93090" w:rsidP="00C93090">
      <w:pPr>
        <w:numPr>
          <w:ilvl w:val="0"/>
          <w:numId w:val="4"/>
        </w:numPr>
        <w:tabs>
          <w:tab w:val="num" w:pos="851"/>
        </w:tabs>
        <w:suppressAutoHyphens/>
        <w:autoSpaceDN w:val="0"/>
        <w:ind w:left="851"/>
        <w:contextualSpacing/>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prof. dr. sc. Lajoš </w:t>
      </w:r>
      <w:proofErr w:type="spellStart"/>
      <w:r w:rsidRPr="003D1614">
        <w:rPr>
          <w:rFonts w:ascii="Arial" w:eastAsia="Times New Roman" w:hAnsi="Arial" w:cs="Arial"/>
          <w:color w:val="000000" w:themeColor="text1"/>
          <w:sz w:val="20"/>
          <w:szCs w:val="20"/>
        </w:rPr>
        <w:t>Žager</w:t>
      </w:r>
      <w:proofErr w:type="spellEnd"/>
      <w:r w:rsidRPr="003D1614">
        <w:rPr>
          <w:rFonts w:ascii="Arial" w:eastAsia="Times New Roman" w:hAnsi="Arial" w:cs="Arial"/>
          <w:color w:val="000000" w:themeColor="text1"/>
          <w:sz w:val="20"/>
          <w:szCs w:val="20"/>
        </w:rPr>
        <w:t>, redoviti profesor, Katedra za računovodstvo Ekonomskog fakulteta Sveučilišta u Zagrebu, u svojstvu predsjednika Revizijskog odbora,</w:t>
      </w:r>
    </w:p>
    <w:p w14:paraId="5088C7F2" w14:textId="77777777" w:rsidR="00C93090" w:rsidRPr="003D1614" w:rsidRDefault="00C93090" w:rsidP="00C93090">
      <w:pPr>
        <w:numPr>
          <w:ilvl w:val="0"/>
          <w:numId w:val="4"/>
        </w:numPr>
        <w:tabs>
          <w:tab w:val="num" w:pos="851"/>
        </w:tabs>
        <w:suppressAutoHyphens/>
        <w:autoSpaceDN w:val="0"/>
        <w:ind w:left="851"/>
        <w:contextualSpacing/>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prof. dr. sc. Boris Tušek, redoviti profesor, Katedra za računovodstvo Ekonomskog fakulteta Sveučilišta u Zagrebu, u svojstvu zamjenika predsjednika Revizijskog odbora,</w:t>
      </w:r>
    </w:p>
    <w:p w14:paraId="2A6B6E39" w14:textId="77777777" w:rsidR="00C93090" w:rsidRPr="003D1614" w:rsidRDefault="00C93090" w:rsidP="00C93090">
      <w:pPr>
        <w:numPr>
          <w:ilvl w:val="0"/>
          <w:numId w:val="4"/>
        </w:numPr>
        <w:tabs>
          <w:tab w:val="num" w:pos="993"/>
        </w:tabs>
        <w:suppressAutoHyphens/>
        <w:autoSpaceDN w:val="0"/>
        <w:ind w:left="851"/>
        <w:contextualSpacing/>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Predrag Štromar, predsjednik Odbora za prostorno uređenje i graditeljstvo u Hrvatskom saboru, u svojstvu člana Revizijskog odbora.</w:t>
      </w:r>
    </w:p>
    <w:p w14:paraId="02850876" w14:textId="582D9077" w:rsidR="00EA0684" w:rsidRPr="003D1614" w:rsidRDefault="00EA0684" w:rsidP="00EA0684">
      <w:pPr>
        <w:rPr>
          <w:rFonts w:ascii="Arial" w:eastAsia="Times New Roman" w:hAnsi="Arial" w:cs="Arial"/>
          <w:sz w:val="20"/>
          <w:szCs w:val="20"/>
        </w:rPr>
      </w:pPr>
    </w:p>
    <w:p w14:paraId="201F9716" w14:textId="77777777" w:rsidR="00C93090" w:rsidRPr="003D1614" w:rsidRDefault="00C93090" w:rsidP="00C93090">
      <w:pPr>
        <w:tabs>
          <w:tab w:val="left" w:pos="426"/>
        </w:tabs>
        <w:suppressAutoHyphens/>
        <w:autoSpaceDN w:val="0"/>
        <w:jc w:val="both"/>
        <w:rPr>
          <w:rFonts w:ascii="Arial" w:eastAsia="Times New Roman" w:hAnsi="Arial" w:cs="Arial"/>
          <w:b/>
          <w:color w:val="000000" w:themeColor="text1"/>
          <w:sz w:val="20"/>
          <w:szCs w:val="20"/>
          <w:lang w:eastAsia="hr-HR"/>
        </w:rPr>
      </w:pPr>
      <w:r w:rsidRPr="003D1614">
        <w:rPr>
          <w:rFonts w:ascii="Arial" w:eastAsia="Times New Roman" w:hAnsi="Arial" w:cs="Arial"/>
          <w:b/>
          <w:color w:val="000000" w:themeColor="text1"/>
          <w:sz w:val="20"/>
          <w:szCs w:val="20"/>
          <w:lang w:eastAsia="hr-HR"/>
        </w:rPr>
        <w:t>1.2.1. Djelatnost Banke:</w:t>
      </w:r>
    </w:p>
    <w:p w14:paraId="76F3F97C" w14:textId="77777777" w:rsidR="00C93090" w:rsidRPr="003D1614" w:rsidRDefault="00C93090" w:rsidP="00C93090">
      <w:pPr>
        <w:suppressAutoHyphens/>
        <w:autoSpaceDN w:val="0"/>
        <w:jc w:val="both"/>
        <w:rPr>
          <w:rFonts w:ascii="Arial" w:eastAsia="Times New Roman" w:hAnsi="Arial" w:cs="Arial"/>
          <w:b/>
          <w:color w:val="000000" w:themeColor="text1"/>
          <w:sz w:val="14"/>
          <w:szCs w:val="14"/>
          <w:lang w:eastAsia="hr-HR"/>
        </w:rPr>
      </w:pPr>
    </w:p>
    <w:p w14:paraId="08B709BA" w14:textId="77777777" w:rsidR="00C93090" w:rsidRPr="003D1614" w:rsidRDefault="00C93090" w:rsidP="00C93090">
      <w:pPr>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Glavne poslovne djelatnosti Banke odnose se na: </w:t>
      </w:r>
    </w:p>
    <w:p w14:paraId="70FCEBD3" w14:textId="77777777" w:rsidR="00C93090" w:rsidRPr="003D1614" w:rsidRDefault="00C93090" w:rsidP="00C93090">
      <w:pPr>
        <w:numPr>
          <w:ilvl w:val="0"/>
          <w:numId w:val="5"/>
        </w:numPr>
        <w:suppressAutoHyphens/>
        <w:autoSpaceDN w:val="0"/>
        <w:contextualSpacing/>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financiranje obnove i razvitka hrvatskoga gospodarstva, </w:t>
      </w:r>
    </w:p>
    <w:p w14:paraId="31EFF3E4" w14:textId="77777777" w:rsidR="00C93090" w:rsidRPr="003D1614" w:rsidRDefault="00C93090" w:rsidP="00C93090">
      <w:pPr>
        <w:numPr>
          <w:ilvl w:val="0"/>
          <w:numId w:val="5"/>
        </w:numPr>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financiranje infrastrukture, </w:t>
      </w:r>
    </w:p>
    <w:p w14:paraId="5D6C3D94" w14:textId="77777777" w:rsidR="00C93090" w:rsidRPr="003D1614" w:rsidRDefault="00C93090" w:rsidP="00C93090">
      <w:pPr>
        <w:numPr>
          <w:ilvl w:val="0"/>
          <w:numId w:val="5"/>
        </w:numPr>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poticanje izvoza, </w:t>
      </w:r>
    </w:p>
    <w:p w14:paraId="1C83491C" w14:textId="77777777" w:rsidR="00C93090" w:rsidRPr="003D1614" w:rsidRDefault="00C93090" w:rsidP="00C93090">
      <w:pPr>
        <w:numPr>
          <w:ilvl w:val="0"/>
          <w:numId w:val="5"/>
        </w:numPr>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potporu razvitku malog i srednjeg poduzetništva, </w:t>
      </w:r>
    </w:p>
    <w:p w14:paraId="739871B0" w14:textId="77777777" w:rsidR="00C93090" w:rsidRPr="003D1614" w:rsidRDefault="00C93090" w:rsidP="00C93090">
      <w:pPr>
        <w:numPr>
          <w:ilvl w:val="0"/>
          <w:numId w:val="5"/>
        </w:numPr>
        <w:suppressAutoHyphens/>
        <w:autoSpaceDN w:val="0"/>
        <w:jc w:val="both"/>
        <w:rPr>
          <w:rFonts w:ascii="Arial" w:eastAsia="Times New Roman" w:hAnsi="Arial" w:cs="Arial"/>
          <w:b/>
          <w:color w:val="000000" w:themeColor="text1"/>
          <w:spacing w:val="-3"/>
          <w:sz w:val="20"/>
          <w:szCs w:val="20"/>
          <w:lang w:eastAsia="hr-HR"/>
        </w:rPr>
      </w:pPr>
      <w:r w:rsidRPr="003D1614">
        <w:rPr>
          <w:rFonts w:ascii="Arial" w:eastAsia="Times New Roman" w:hAnsi="Arial" w:cs="Arial"/>
          <w:color w:val="000000" w:themeColor="text1"/>
          <w:sz w:val="20"/>
          <w:szCs w:val="20"/>
          <w:lang w:eastAsia="hr-HR"/>
        </w:rPr>
        <w:t>poticanje zaštite okoliša,</w:t>
      </w:r>
    </w:p>
    <w:p w14:paraId="3A4E67D2" w14:textId="77777777" w:rsidR="00C93090" w:rsidRPr="003D1614" w:rsidRDefault="00C93090" w:rsidP="00C93090">
      <w:pPr>
        <w:numPr>
          <w:ilvl w:val="0"/>
          <w:numId w:val="5"/>
        </w:numPr>
        <w:suppressAutoHyphens/>
        <w:autoSpaceDN w:val="0"/>
        <w:jc w:val="both"/>
        <w:rPr>
          <w:rFonts w:ascii="Arial" w:eastAsia="Times New Roman" w:hAnsi="Arial" w:cs="Arial"/>
          <w:b/>
          <w:color w:val="000000" w:themeColor="text1"/>
          <w:spacing w:val="-3"/>
          <w:sz w:val="20"/>
          <w:szCs w:val="20"/>
          <w:lang w:eastAsia="hr-HR"/>
        </w:rPr>
      </w:pPr>
      <w:r w:rsidRPr="003D1614">
        <w:rPr>
          <w:rFonts w:ascii="Arial" w:eastAsia="Times New Roman" w:hAnsi="Arial" w:cs="Arial"/>
          <w:color w:val="000000" w:themeColor="text1"/>
          <w:sz w:val="20"/>
          <w:szCs w:val="20"/>
          <w:lang w:eastAsia="hr-HR"/>
        </w:rPr>
        <w:t>kao i osiguranja izvoza hrvatskih roba i usluga od netržišnih rizika u ime i za račun Republike Hrvatske.</w:t>
      </w:r>
    </w:p>
    <w:p w14:paraId="6CF1B8EE" w14:textId="77777777" w:rsidR="00C93090" w:rsidRPr="003D1614" w:rsidRDefault="00C93090" w:rsidP="00C93090">
      <w:pPr>
        <w:suppressAutoHyphens/>
        <w:autoSpaceDN w:val="0"/>
        <w:ind w:left="720"/>
        <w:rPr>
          <w:rFonts w:ascii="Arial" w:eastAsia="Times New Roman" w:hAnsi="Arial" w:cs="Arial"/>
          <w:b/>
          <w:color w:val="000000" w:themeColor="text1"/>
          <w:spacing w:val="-3"/>
          <w:sz w:val="16"/>
          <w:szCs w:val="16"/>
          <w:lang w:eastAsia="hr-HR"/>
        </w:rPr>
      </w:pPr>
    </w:p>
    <w:p w14:paraId="105073E8" w14:textId="77777777" w:rsidR="00C93090" w:rsidRPr="003D1614" w:rsidRDefault="00C93090" w:rsidP="00C93090">
      <w:pPr>
        <w:suppressAutoHyphens/>
        <w:autoSpaceDN w:val="0"/>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HBOR može obavljati i druge financijske poslove sukladno odlukama Vlade Republike Hrvatske ako ona ocijeni da je to u interesu Republike Hrvatske.</w:t>
      </w:r>
    </w:p>
    <w:p w14:paraId="797B3F0E" w14:textId="77777777" w:rsidR="00C93090" w:rsidRPr="003D1614" w:rsidRDefault="00C93090" w:rsidP="00C93090">
      <w:pPr>
        <w:suppressAutoHyphens/>
        <w:autoSpaceDN w:val="0"/>
        <w:jc w:val="both"/>
        <w:rPr>
          <w:rFonts w:ascii="Arial" w:eastAsia="Times New Roman" w:hAnsi="Arial" w:cs="Arial"/>
          <w:color w:val="000000" w:themeColor="text1"/>
          <w:sz w:val="14"/>
          <w:szCs w:val="14"/>
          <w:lang w:eastAsia="hr-HR"/>
        </w:rPr>
      </w:pPr>
    </w:p>
    <w:p w14:paraId="082EE9A3" w14:textId="77777777" w:rsidR="00C93090" w:rsidRPr="00DA291B" w:rsidRDefault="00C93090" w:rsidP="00C93090">
      <w:pPr>
        <w:tabs>
          <w:tab w:val="left" w:pos="0"/>
        </w:tabs>
        <w:suppressAutoHyphens/>
        <w:autoSpaceDN w:val="0"/>
        <w:ind w:left="567" w:hanging="567"/>
        <w:jc w:val="both"/>
        <w:rPr>
          <w:rFonts w:ascii="Arial" w:eastAsia="Times New Roman" w:hAnsi="Arial" w:cs="Arial"/>
          <w:bCs/>
          <w:color w:val="222222"/>
          <w:sz w:val="20"/>
          <w:szCs w:val="20"/>
        </w:rPr>
      </w:pPr>
      <w:r w:rsidRPr="00DA291B">
        <w:rPr>
          <w:rFonts w:ascii="Arial" w:eastAsia="Times New Roman" w:hAnsi="Arial" w:cs="Arial"/>
          <w:b/>
          <w:bCs/>
          <w:color w:val="000000" w:themeColor="text1"/>
          <w:sz w:val="20"/>
          <w:szCs w:val="20"/>
          <w:lang w:eastAsia="hr-HR"/>
        </w:rPr>
        <w:t>1.3.</w:t>
      </w:r>
      <w:r w:rsidRPr="00DA291B">
        <w:rPr>
          <w:rFonts w:ascii="Arial" w:eastAsia="Times New Roman" w:hAnsi="Arial" w:cs="Arial"/>
          <w:b/>
          <w:bCs/>
          <w:color w:val="000000" w:themeColor="text1"/>
          <w:sz w:val="20"/>
          <w:szCs w:val="20"/>
          <w:lang w:eastAsia="hr-HR"/>
        </w:rPr>
        <w:tab/>
      </w:r>
      <w:r w:rsidRPr="00DA291B">
        <w:rPr>
          <w:rFonts w:ascii="Arial" w:eastAsia="Times New Roman" w:hAnsi="Arial" w:cs="Arial"/>
          <w:b/>
          <w:bCs/>
          <w:sz w:val="20"/>
          <w:szCs w:val="24"/>
        </w:rPr>
        <w:t xml:space="preserve">Utjecaj krize uzrokovane rusko-ukrajinskim ratom </w:t>
      </w:r>
      <w:r w:rsidRPr="00DA291B">
        <w:rPr>
          <w:rFonts w:ascii="Arial" w:eastAsia="Times New Roman" w:hAnsi="Arial" w:cs="Arial"/>
          <w:bCs/>
          <w:color w:val="222222"/>
          <w:sz w:val="20"/>
          <w:szCs w:val="20"/>
        </w:rPr>
        <w:t xml:space="preserve"> </w:t>
      </w:r>
    </w:p>
    <w:p w14:paraId="0AC5B4E9" w14:textId="77777777" w:rsidR="00C93090" w:rsidRPr="00DA291B" w:rsidRDefault="00C93090" w:rsidP="00C93090">
      <w:pPr>
        <w:jc w:val="both"/>
        <w:rPr>
          <w:rFonts w:ascii="Arial" w:eastAsia="Times New Roman" w:hAnsi="Arial" w:cs="Arial"/>
          <w:bCs/>
          <w:color w:val="222222"/>
          <w:sz w:val="14"/>
          <w:szCs w:val="14"/>
          <w:lang w:eastAsia="hr-HR"/>
        </w:rPr>
      </w:pPr>
    </w:p>
    <w:p w14:paraId="5DBA05F1" w14:textId="77777777" w:rsidR="00C93090" w:rsidRPr="00DA291B" w:rsidRDefault="00C93090" w:rsidP="00C93090">
      <w:pPr>
        <w:suppressAutoHyphens/>
        <w:autoSpaceDN w:val="0"/>
        <w:spacing w:line="240" w:lineRule="exact"/>
        <w:jc w:val="both"/>
        <w:rPr>
          <w:rFonts w:ascii="Arial" w:eastAsia="Times New Roman" w:hAnsi="Arial" w:cs="Arial"/>
          <w:sz w:val="20"/>
          <w:szCs w:val="24"/>
        </w:rPr>
      </w:pPr>
      <w:r w:rsidRPr="00DA291B">
        <w:rPr>
          <w:rFonts w:ascii="Arial" w:eastAsia="Times New Roman" w:hAnsi="Arial" w:cs="Arial"/>
          <w:sz w:val="20"/>
          <w:szCs w:val="24"/>
        </w:rPr>
        <w:t xml:space="preserve">Nakon ruske invazije na Ukrajinu 24. veljače 2022., Europska unija je donijela paket sankcija prema Ruskoj Federaciji i Republici Bjelorusiji, koje imaju gospodarske posljedice za cijelo EU tržište, pa tako i hrvatsko gospodarstvo. </w:t>
      </w:r>
    </w:p>
    <w:p w14:paraId="4482CA57" w14:textId="77777777" w:rsidR="00C93090" w:rsidRPr="00DA291B" w:rsidRDefault="00C93090" w:rsidP="00C93090">
      <w:pPr>
        <w:tabs>
          <w:tab w:val="left" w:pos="360"/>
        </w:tabs>
        <w:suppressAutoHyphens/>
        <w:autoSpaceDN w:val="0"/>
        <w:spacing w:line="240" w:lineRule="exact"/>
        <w:jc w:val="both"/>
        <w:rPr>
          <w:rFonts w:ascii="Arial" w:eastAsia="Times New Roman" w:hAnsi="Arial" w:cs="Arial"/>
          <w:sz w:val="20"/>
          <w:szCs w:val="24"/>
        </w:rPr>
      </w:pPr>
      <w:r w:rsidRPr="00DA291B">
        <w:rPr>
          <w:rFonts w:ascii="Arial" w:eastAsia="Times New Roman" w:hAnsi="Arial" w:cs="Arial"/>
          <w:sz w:val="20"/>
          <w:szCs w:val="24"/>
          <w:lang w:eastAsia="hr-HR"/>
        </w:rPr>
        <w:t>Poduzetnici su višestruko pogođeni, i izravno i neizravno, posebice u obliku smanjenja potražnje, prekida postojećih ugovora i projekata uz posljedični gubitak prometa, poremećaja u lancima opskrbe, posebno sirovina i poluproizvoda, cijene energenata ili drugih ulaznih materijala.</w:t>
      </w:r>
      <w:r w:rsidRPr="00DA291B">
        <w:rPr>
          <w:rFonts w:ascii="Arial" w:eastAsia="Times New Roman" w:hAnsi="Arial" w:cs="Arial"/>
          <w:sz w:val="20"/>
          <w:szCs w:val="24"/>
        </w:rPr>
        <w:t xml:space="preserve"> Kriza remeti opskrbne lance, utječući na izvoznike i uvoznike ruske, ukrajinske i bjeloruske robe i usluga. Negativan utjecaj povećanja cijena već se osjeća u cijelom hrvatskom gospodarstvu.</w:t>
      </w:r>
    </w:p>
    <w:p w14:paraId="689932A3" w14:textId="77777777" w:rsidR="00C93090" w:rsidRPr="00DA291B" w:rsidRDefault="00C93090" w:rsidP="00C93090">
      <w:pPr>
        <w:suppressAutoHyphens/>
        <w:autoSpaceDN w:val="0"/>
        <w:spacing w:line="200" w:lineRule="exact"/>
        <w:jc w:val="both"/>
        <w:rPr>
          <w:rFonts w:ascii="Arial" w:eastAsia="Times New Roman" w:hAnsi="Arial" w:cs="Arial"/>
          <w:sz w:val="12"/>
          <w:szCs w:val="12"/>
        </w:rPr>
      </w:pPr>
    </w:p>
    <w:p w14:paraId="5838788C" w14:textId="77777777" w:rsidR="00C93090" w:rsidRPr="00DA291B" w:rsidRDefault="00C93090" w:rsidP="00C93090">
      <w:pPr>
        <w:tabs>
          <w:tab w:val="left" w:pos="360"/>
        </w:tabs>
        <w:suppressAutoHyphens/>
        <w:autoSpaceDN w:val="0"/>
        <w:spacing w:line="240" w:lineRule="exact"/>
        <w:jc w:val="both"/>
        <w:rPr>
          <w:rFonts w:ascii="Arial" w:eastAsia="Times New Roman" w:hAnsi="Arial" w:cs="Arial"/>
          <w:sz w:val="20"/>
          <w:szCs w:val="24"/>
          <w:lang w:eastAsia="hr-HR"/>
        </w:rPr>
      </w:pPr>
      <w:r w:rsidRPr="00DA291B">
        <w:rPr>
          <w:rFonts w:ascii="Arial" w:eastAsia="Times New Roman" w:hAnsi="Arial" w:cs="Arial"/>
          <w:sz w:val="20"/>
          <w:szCs w:val="24"/>
          <w:lang w:eastAsia="hr-HR"/>
        </w:rPr>
        <w:t>Slijedom navedenog HBOR je započeo sa programom pomoći hrvatskom gospodarstvu pogođenom ovom novom krizom:</w:t>
      </w:r>
    </w:p>
    <w:p w14:paraId="09756AD4" w14:textId="77777777" w:rsidR="00C93090" w:rsidRPr="00DA291B" w:rsidRDefault="00C93090" w:rsidP="00C93090">
      <w:pPr>
        <w:numPr>
          <w:ilvl w:val="0"/>
          <w:numId w:val="5"/>
        </w:numPr>
        <w:suppressAutoHyphens/>
        <w:autoSpaceDN w:val="0"/>
        <w:spacing w:line="240" w:lineRule="exact"/>
        <w:jc w:val="both"/>
        <w:rPr>
          <w:rFonts w:ascii="Arial" w:eastAsia="Times New Roman" w:hAnsi="Arial" w:cs="Arial"/>
          <w:color w:val="000000" w:themeColor="text1"/>
          <w:sz w:val="20"/>
          <w:szCs w:val="24"/>
          <w:lang w:eastAsia="hr-HR"/>
        </w:rPr>
      </w:pPr>
      <w:bookmarkStart w:id="245" w:name="_Hlk104406035"/>
      <w:r w:rsidRPr="00DA291B">
        <w:rPr>
          <w:rFonts w:ascii="Arial" w:eastAsia="Times New Roman" w:hAnsi="Arial" w:cs="Arial"/>
          <w:color w:val="000000" w:themeColor="text1"/>
          <w:sz w:val="20"/>
          <w:szCs w:val="24"/>
          <w:lang w:eastAsia="hr-HR"/>
        </w:rPr>
        <w:t>Programom dodjele potpora HBOR-a usklađen s Privremenim kriznim okvirom za mjere državne potpore za potporu gospodarstvu nakon invazije Rusije na Ukrajinu - odjeljci „2.1. i 2.3.“</w:t>
      </w:r>
      <w:bookmarkEnd w:id="245"/>
      <w:r w:rsidRPr="00DA291B">
        <w:rPr>
          <w:rFonts w:ascii="Arial" w:eastAsia="Times New Roman" w:hAnsi="Arial" w:cs="Arial"/>
          <w:color w:val="000000" w:themeColor="text1"/>
          <w:sz w:val="20"/>
          <w:szCs w:val="24"/>
          <w:lang w:eastAsia="hr-HR"/>
        </w:rPr>
        <w:t>,</w:t>
      </w:r>
    </w:p>
    <w:p w14:paraId="789003EE" w14:textId="77777777" w:rsidR="00C93090" w:rsidRPr="00DA291B" w:rsidRDefault="00C93090" w:rsidP="00C93090">
      <w:pPr>
        <w:numPr>
          <w:ilvl w:val="0"/>
          <w:numId w:val="5"/>
        </w:numPr>
        <w:suppressAutoHyphens/>
        <w:autoSpaceDN w:val="0"/>
        <w:spacing w:line="240" w:lineRule="exact"/>
        <w:jc w:val="both"/>
        <w:rPr>
          <w:rFonts w:ascii="Arial" w:eastAsia="Times New Roman" w:hAnsi="Arial" w:cs="Arial"/>
          <w:color w:val="000000" w:themeColor="text1"/>
          <w:sz w:val="20"/>
          <w:szCs w:val="24"/>
          <w:lang w:eastAsia="hr-HR"/>
        </w:rPr>
      </w:pPr>
      <w:r w:rsidRPr="00DA291B">
        <w:rPr>
          <w:rFonts w:ascii="Arial" w:eastAsia="Times New Roman" w:hAnsi="Arial" w:cs="Arial"/>
          <w:color w:val="000000" w:themeColor="text1"/>
          <w:sz w:val="20"/>
          <w:szCs w:val="24"/>
          <w:lang w:eastAsia="hr-HR"/>
        </w:rPr>
        <w:t>Odlukom o donošenju privremene krizne mjere programa kreditiranja Obrtna sredstva: Obrtna sredstva KRIZA 2022 – mjera, čija provedba je produljena do 31. prosinca 2023. te</w:t>
      </w:r>
    </w:p>
    <w:p w14:paraId="47F3B526" w14:textId="77777777" w:rsidR="00C93090" w:rsidRPr="00DA291B" w:rsidRDefault="00C93090" w:rsidP="00C93090">
      <w:pPr>
        <w:numPr>
          <w:ilvl w:val="0"/>
          <w:numId w:val="5"/>
        </w:numPr>
        <w:suppressAutoHyphens/>
        <w:autoSpaceDN w:val="0"/>
        <w:spacing w:line="240" w:lineRule="exact"/>
        <w:jc w:val="both"/>
        <w:rPr>
          <w:rFonts w:ascii="Arial" w:eastAsia="Times New Roman" w:hAnsi="Arial" w:cs="Arial"/>
          <w:color w:val="000000" w:themeColor="text1"/>
          <w:sz w:val="20"/>
          <w:szCs w:val="24"/>
          <w:lang w:eastAsia="hr-HR"/>
        </w:rPr>
      </w:pPr>
      <w:r w:rsidRPr="00DA291B">
        <w:rPr>
          <w:rFonts w:ascii="Arial" w:eastAsia="Times New Roman" w:hAnsi="Arial" w:cs="Arial"/>
          <w:color w:val="000000" w:themeColor="text1"/>
          <w:sz w:val="20"/>
          <w:szCs w:val="24"/>
          <w:lang w:eastAsia="hr-HR"/>
        </w:rPr>
        <w:t>Pravilnikom o obradi zahtjeva za izravne kredite po programu Obrtna sredstva KRIZA 2022 – mjera, koji obuhvaća i financiranje modelom podjele rizika s financijskim institucijama.</w:t>
      </w:r>
    </w:p>
    <w:p w14:paraId="6B795E06" w14:textId="77777777" w:rsidR="00C93090" w:rsidRPr="00DA291B" w:rsidRDefault="00C93090" w:rsidP="00C93090">
      <w:pPr>
        <w:suppressAutoHyphens/>
        <w:autoSpaceDN w:val="0"/>
        <w:spacing w:line="200" w:lineRule="exact"/>
        <w:rPr>
          <w:rFonts w:ascii="Arial" w:eastAsia="Times New Roman" w:hAnsi="Arial" w:cs="Arial"/>
          <w:sz w:val="12"/>
          <w:szCs w:val="12"/>
        </w:rPr>
      </w:pPr>
    </w:p>
    <w:p w14:paraId="2A19099C" w14:textId="77777777" w:rsidR="00C93090" w:rsidRPr="00DA291B" w:rsidRDefault="00C93090" w:rsidP="00C93090">
      <w:pPr>
        <w:suppressAutoHyphens/>
        <w:autoSpaceDN w:val="0"/>
        <w:spacing w:line="240" w:lineRule="exact"/>
        <w:jc w:val="both"/>
        <w:rPr>
          <w:rFonts w:ascii="Arial" w:eastAsia="Times New Roman" w:hAnsi="Arial" w:cs="Arial"/>
          <w:bCs/>
          <w:color w:val="222222"/>
          <w:sz w:val="20"/>
          <w:szCs w:val="24"/>
          <w:lang w:eastAsia="hr-HR"/>
        </w:rPr>
      </w:pPr>
      <w:r w:rsidRPr="00DA291B">
        <w:rPr>
          <w:rFonts w:ascii="Arial" w:eastAsia="Times New Roman" w:hAnsi="Arial" w:cs="Arial"/>
          <w:bCs/>
          <w:color w:val="222222"/>
          <w:sz w:val="20"/>
          <w:szCs w:val="24"/>
          <w:lang w:eastAsia="hr-HR"/>
        </w:rPr>
        <w:t xml:space="preserve">Iako je dugoročnu razinu utjecaja ove krize na poslovanje Grupe trenutno teško kvantificirati, Grupa HBOR ima visoku kapitaliziranost i likvidnost kao i odgovarajuću razinu rezerviranja za izloženosti te Uprava procjenjuje da je kontinuitet poslovanja Grupe HBOR i HBOR-a neupitan. </w:t>
      </w:r>
    </w:p>
    <w:p w14:paraId="1D928236" w14:textId="77777777" w:rsidR="00C93090" w:rsidRPr="00DA291B" w:rsidRDefault="00C93090" w:rsidP="00C93090">
      <w:pPr>
        <w:suppressAutoHyphens/>
        <w:autoSpaceDN w:val="0"/>
        <w:spacing w:line="200" w:lineRule="exact"/>
        <w:jc w:val="both"/>
        <w:rPr>
          <w:rFonts w:ascii="Arial" w:eastAsia="Times New Roman" w:hAnsi="Arial" w:cs="Arial"/>
          <w:bCs/>
          <w:color w:val="222222"/>
          <w:sz w:val="10"/>
          <w:szCs w:val="10"/>
          <w:lang w:eastAsia="hr-HR"/>
        </w:rPr>
      </w:pPr>
    </w:p>
    <w:p w14:paraId="189A119C" w14:textId="77777777" w:rsidR="00C93090" w:rsidRPr="003D1614" w:rsidRDefault="00C93090" w:rsidP="00C93090">
      <w:pPr>
        <w:jc w:val="both"/>
        <w:rPr>
          <w:rFonts w:ascii="Arial" w:eastAsia="Times New Roman" w:hAnsi="Arial" w:cs="Arial"/>
          <w:bCs/>
          <w:spacing w:val="-3"/>
          <w:sz w:val="20"/>
          <w:szCs w:val="24"/>
          <w:lang w:eastAsia="hr-HR"/>
        </w:rPr>
      </w:pPr>
      <w:r w:rsidRPr="00DA291B">
        <w:rPr>
          <w:rFonts w:ascii="Arial" w:eastAsia="Times New Roman" w:hAnsi="Arial" w:cs="Arial"/>
          <w:bCs/>
          <w:spacing w:val="-3"/>
          <w:sz w:val="20"/>
          <w:szCs w:val="24"/>
          <w:lang w:eastAsia="hr-HR"/>
        </w:rPr>
        <w:t xml:space="preserve">Grupu HBOR čine HBOR kao matično društvo te ovisna društva: Hrvatsko kreditno osiguranje d.d. (u daljnjem tekstu HKO) i Poslovni info servis d.o.o. koja zajedno čine Grupu HKO, što </w:t>
      </w:r>
      <w:r w:rsidRPr="005D1219">
        <w:rPr>
          <w:rFonts w:ascii="Arial" w:eastAsia="Times New Roman" w:hAnsi="Arial" w:cs="Arial"/>
          <w:bCs/>
          <w:spacing w:val="-3"/>
          <w:sz w:val="20"/>
          <w:szCs w:val="24"/>
          <w:lang w:eastAsia="hr-HR"/>
        </w:rPr>
        <w:t>iznosi 0,3% ukupne</w:t>
      </w:r>
      <w:r w:rsidRPr="00A17457">
        <w:rPr>
          <w:rFonts w:ascii="Arial" w:eastAsia="Times New Roman" w:hAnsi="Arial" w:cs="Arial"/>
          <w:bCs/>
          <w:spacing w:val="-3"/>
          <w:sz w:val="20"/>
          <w:szCs w:val="24"/>
          <w:lang w:eastAsia="hr-HR"/>
        </w:rPr>
        <w:t xml:space="preserve"> imovine matičnog društva. Uprava ovisnih društava poduzima potrebne mjere kako bi se smanjili negativni efekti invazije na Ukrajinu.</w:t>
      </w:r>
    </w:p>
    <w:p w14:paraId="32E94288" w14:textId="77777777" w:rsidR="00C93090" w:rsidRPr="003D1614" w:rsidRDefault="00C93090" w:rsidP="00EA0684">
      <w:pPr>
        <w:rPr>
          <w:rFonts w:ascii="Arial" w:eastAsia="Times New Roman" w:hAnsi="Arial" w:cs="Arial"/>
          <w:sz w:val="20"/>
          <w:szCs w:val="20"/>
        </w:rPr>
        <w:sectPr w:rsidR="00C93090" w:rsidRPr="003D1614">
          <w:headerReference w:type="default" r:id="rId22"/>
          <w:pgSz w:w="11906" w:h="16838"/>
          <w:pgMar w:top="1417" w:right="1417" w:bottom="1417" w:left="1417" w:header="708" w:footer="708" w:gutter="0"/>
          <w:cols w:space="708"/>
          <w:docGrid w:linePitch="360"/>
        </w:sectPr>
      </w:pPr>
    </w:p>
    <w:p w14:paraId="53849F6F" w14:textId="77777777" w:rsidR="00C93090" w:rsidRPr="003D1614" w:rsidRDefault="00C93090" w:rsidP="00C93090">
      <w:pPr>
        <w:tabs>
          <w:tab w:val="left" w:pos="567"/>
        </w:tabs>
        <w:jc w:val="both"/>
        <w:rPr>
          <w:rFonts w:ascii="Arial" w:hAnsi="Arial" w:cs="Arial"/>
          <w:b/>
          <w:color w:val="000000" w:themeColor="text1"/>
          <w:lang w:eastAsia="hr-HR"/>
        </w:rPr>
      </w:pPr>
    </w:p>
    <w:p w14:paraId="21E555A5" w14:textId="77777777" w:rsidR="00C93090" w:rsidRPr="003D1614" w:rsidRDefault="00C93090" w:rsidP="00C93090">
      <w:pPr>
        <w:tabs>
          <w:tab w:val="left" w:pos="567"/>
        </w:tabs>
        <w:spacing w:line="240" w:lineRule="exact"/>
        <w:jc w:val="both"/>
        <w:rPr>
          <w:rFonts w:ascii="Arial" w:hAnsi="Arial" w:cs="Arial"/>
          <w:b/>
          <w:color w:val="000000" w:themeColor="text1"/>
          <w:sz w:val="20"/>
          <w:szCs w:val="20"/>
          <w:lang w:eastAsia="hr-HR"/>
        </w:rPr>
      </w:pPr>
      <w:r w:rsidRPr="003D1614">
        <w:rPr>
          <w:rFonts w:ascii="Arial" w:hAnsi="Arial" w:cs="Arial"/>
          <w:b/>
          <w:color w:val="000000" w:themeColor="text1"/>
          <w:sz w:val="20"/>
          <w:szCs w:val="20"/>
          <w:lang w:eastAsia="hr-HR"/>
        </w:rPr>
        <w:t>2.</w:t>
      </w:r>
      <w:r w:rsidRPr="003D1614">
        <w:rPr>
          <w:rFonts w:ascii="Arial" w:hAnsi="Arial" w:cs="Arial"/>
          <w:b/>
          <w:color w:val="000000" w:themeColor="text1"/>
          <w:sz w:val="20"/>
          <w:szCs w:val="20"/>
          <w:lang w:eastAsia="hr-HR"/>
        </w:rPr>
        <w:tab/>
        <w:t xml:space="preserve">Temelj za sastavljanje financijskih izvještaja </w:t>
      </w:r>
    </w:p>
    <w:p w14:paraId="76135921" w14:textId="77777777" w:rsidR="00C93090" w:rsidRPr="003D1614" w:rsidRDefault="00C93090" w:rsidP="00C93090">
      <w:pPr>
        <w:spacing w:line="240" w:lineRule="exact"/>
        <w:jc w:val="both"/>
        <w:rPr>
          <w:rFonts w:ascii="Arial" w:hAnsi="Arial" w:cs="Arial"/>
          <w:b/>
          <w:color w:val="000000" w:themeColor="text1"/>
          <w:sz w:val="20"/>
          <w:szCs w:val="20"/>
          <w:lang w:eastAsia="hr-HR"/>
        </w:rPr>
      </w:pPr>
    </w:p>
    <w:p w14:paraId="5F4F3E0C" w14:textId="77777777" w:rsidR="00C93090" w:rsidRPr="003D1614" w:rsidRDefault="00C93090" w:rsidP="00C93090">
      <w:pPr>
        <w:spacing w:line="240" w:lineRule="exact"/>
        <w:jc w:val="both"/>
        <w:rPr>
          <w:rFonts w:ascii="Arial" w:hAnsi="Arial" w:cs="Arial"/>
          <w:b/>
          <w:color w:val="000000" w:themeColor="text1"/>
          <w:sz w:val="20"/>
          <w:szCs w:val="20"/>
          <w:lang w:eastAsia="hr-HR"/>
        </w:rPr>
      </w:pPr>
      <w:r w:rsidRPr="003D1614">
        <w:rPr>
          <w:rFonts w:ascii="Arial" w:hAnsi="Arial" w:cs="Arial"/>
          <w:b/>
          <w:color w:val="000000" w:themeColor="text1"/>
          <w:sz w:val="20"/>
          <w:szCs w:val="20"/>
          <w:lang w:eastAsia="hr-HR"/>
        </w:rPr>
        <w:t>2.1. Izjava o usklađenosti</w:t>
      </w:r>
    </w:p>
    <w:p w14:paraId="7E0C4452" w14:textId="77777777" w:rsidR="00C93090" w:rsidRPr="003D1614" w:rsidRDefault="00C93090" w:rsidP="00C93090">
      <w:pPr>
        <w:spacing w:line="240" w:lineRule="exact"/>
        <w:jc w:val="both"/>
        <w:rPr>
          <w:rFonts w:ascii="Arial" w:hAnsi="Arial" w:cs="Arial"/>
          <w:color w:val="000000" w:themeColor="text1"/>
          <w:sz w:val="20"/>
          <w:szCs w:val="20"/>
        </w:rPr>
      </w:pPr>
    </w:p>
    <w:p w14:paraId="37A6088F" w14:textId="5E009524" w:rsidR="00C93090" w:rsidRPr="003D1614" w:rsidRDefault="00C93090" w:rsidP="00C93090">
      <w:pPr>
        <w:spacing w:line="240" w:lineRule="exact"/>
        <w:jc w:val="both"/>
        <w:rPr>
          <w:rFonts w:ascii="Arial" w:hAnsi="Arial" w:cs="Arial"/>
          <w:color w:val="000000" w:themeColor="text1"/>
          <w:sz w:val="20"/>
          <w:szCs w:val="20"/>
        </w:rPr>
      </w:pPr>
      <w:r w:rsidRPr="003D1614">
        <w:rPr>
          <w:rFonts w:ascii="Arial" w:hAnsi="Arial" w:cs="Arial"/>
          <w:color w:val="000000" w:themeColor="text1"/>
          <w:sz w:val="20"/>
          <w:szCs w:val="20"/>
        </w:rPr>
        <w:t>Skraćeni financijski izvještaji Banke i Grupe HBOR za razdoblje od 1. siječnja do 31. ožujka 202</w:t>
      </w:r>
      <w:r w:rsidR="00A550A9">
        <w:rPr>
          <w:rFonts w:ascii="Arial" w:hAnsi="Arial" w:cs="Arial"/>
          <w:color w:val="000000" w:themeColor="text1"/>
          <w:sz w:val="20"/>
          <w:szCs w:val="20"/>
        </w:rPr>
        <w:t>4</w:t>
      </w:r>
      <w:r w:rsidRPr="003D1614">
        <w:rPr>
          <w:rFonts w:ascii="Arial" w:hAnsi="Arial" w:cs="Arial"/>
          <w:color w:val="000000" w:themeColor="text1"/>
          <w:sz w:val="20"/>
          <w:szCs w:val="20"/>
        </w:rPr>
        <w:t>. sastavljeni su primjenom Međunarodnog računovodstvenog standarda 34 Financijsko izvještavanje za razdoblja tijekom godine.</w:t>
      </w:r>
    </w:p>
    <w:p w14:paraId="77A318B5" w14:textId="77777777" w:rsidR="00C93090" w:rsidRPr="003D1614" w:rsidRDefault="00C93090" w:rsidP="00C93090">
      <w:pPr>
        <w:spacing w:line="240" w:lineRule="exact"/>
        <w:jc w:val="both"/>
        <w:rPr>
          <w:rFonts w:ascii="Arial" w:hAnsi="Arial" w:cs="Arial"/>
          <w:color w:val="000000" w:themeColor="text1"/>
          <w:sz w:val="20"/>
          <w:szCs w:val="20"/>
        </w:rPr>
      </w:pPr>
    </w:p>
    <w:p w14:paraId="46F7D1E3" w14:textId="62B5D734" w:rsidR="00C93090" w:rsidRPr="003D1614" w:rsidRDefault="00C93090" w:rsidP="00C93090">
      <w:pPr>
        <w:spacing w:line="240" w:lineRule="exact"/>
        <w:jc w:val="both"/>
        <w:rPr>
          <w:rFonts w:ascii="Arial" w:hAnsi="Arial" w:cs="Arial"/>
          <w:color w:val="000000" w:themeColor="text1"/>
          <w:sz w:val="20"/>
          <w:szCs w:val="20"/>
        </w:rPr>
      </w:pPr>
      <w:r w:rsidRPr="003D1614">
        <w:rPr>
          <w:rFonts w:ascii="Arial" w:hAnsi="Arial" w:cs="Arial"/>
          <w:color w:val="000000" w:themeColor="text1"/>
          <w:sz w:val="20"/>
          <w:szCs w:val="20"/>
        </w:rPr>
        <w:t>Skraćeni financijski izvještaji za razdoblje od 1. siječnja do 31. ožujka 202</w:t>
      </w:r>
      <w:r w:rsidR="009705CA">
        <w:rPr>
          <w:rFonts w:ascii="Arial" w:hAnsi="Arial" w:cs="Arial"/>
          <w:color w:val="000000" w:themeColor="text1"/>
          <w:sz w:val="20"/>
          <w:szCs w:val="20"/>
        </w:rPr>
        <w:t>4</w:t>
      </w:r>
      <w:r w:rsidRPr="003D1614">
        <w:rPr>
          <w:rFonts w:ascii="Arial" w:hAnsi="Arial" w:cs="Arial"/>
          <w:color w:val="000000" w:themeColor="text1"/>
          <w:sz w:val="20"/>
          <w:szCs w:val="20"/>
        </w:rPr>
        <w:t>. ne uključuju sve informacije i objave koje se zahtijevaju u godišnjim financijskim izvještajima i potrebno ih je čitati u kombinaciji s godišnjim financijskim izvještajima Grupe HBOR za godinu koja je završila 31. prosinca 202</w:t>
      </w:r>
      <w:r w:rsidR="009705CA">
        <w:rPr>
          <w:rFonts w:ascii="Arial" w:hAnsi="Arial" w:cs="Arial"/>
          <w:color w:val="000000" w:themeColor="text1"/>
          <w:sz w:val="20"/>
          <w:szCs w:val="20"/>
        </w:rPr>
        <w:t>3</w:t>
      </w:r>
      <w:r w:rsidRPr="003D1614">
        <w:rPr>
          <w:rFonts w:ascii="Arial" w:hAnsi="Arial" w:cs="Arial"/>
          <w:color w:val="000000" w:themeColor="text1"/>
          <w:sz w:val="20"/>
          <w:szCs w:val="20"/>
        </w:rPr>
        <w:t>.</w:t>
      </w:r>
    </w:p>
    <w:p w14:paraId="2C3BCE4D" w14:textId="77777777" w:rsidR="00C93090" w:rsidRPr="003D1614" w:rsidRDefault="00C93090" w:rsidP="00C93090">
      <w:pPr>
        <w:spacing w:line="240" w:lineRule="exact"/>
        <w:jc w:val="both"/>
        <w:rPr>
          <w:rFonts w:ascii="Arial" w:hAnsi="Arial" w:cs="Arial"/>
          <w:color w:val="000000" w:themeColor="text1"/>
          <w:sz w:val="20"/>
          <w:szCs w:val="20"/>
          <w:lang w:eastAsia="hr-HR"/>
        </w:rPr>
      </w:pPr>
    </w:p>
    <w:p w14:paraId="0D663BD7" w14:textId="2F888246" w:rsidR="00C93090" w:rsidRPr="003D1614" w:rsidRDefault="00C93090" w:rsidP="00C93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Arial" w:hAnsi="Arial" w:cs="Arial"/>
          <w:b/>
          <w:color w:val="000000" w:themeColor="text1"/>
          <w:sz w:val="20"/>
          <w:szCs w:val="20"/>
          <w:lang w:eastAsia="hr-HR"/>
        </w:rPr>
      </w:pPr>
      <w:r w:rsidRPr="003D1614">
        <w:rPr>
          <w:rFonts w:ascii="Arial" w:hAnsi="Arial" w:cs="Arial"/>
          <w:b/>
          <w:color w:val="000000" w:themeColor="text1"/>
          <w:sz w:val="20"/>
          <w:szCs w:val="20"/>
          <w:lang w:eastAsia="hr-HR"/>
        </w:rPr>
        <w:t>2.2</w:t>
      </w:r>
      <w:r w:rsidR="001C7D17">
        <w:rPr>
          <w:rFonts w:ascii="Arial" w:hAnsi="Arial" w:cs="Arial"/>
          <w:b/>
          <w:color w:val="000000" w:themeColor="text1"/>
          <w:sz w:val="20"/>
          <w:szCs w:val="20"/>
          <w:lang w:eastAsia="hr-HR"/>
        </w:rPr>
        <w:t>.</w:t>
      </w:r>
      <w:r w:rsidRPr="003D1614">
        <w:rPr>
          <w:rFonts w:ascii="Arial" w:hAnsi="Arial" w:cs="Arial"/>
          <w:b/>
          <w:color w:val="000000" w:themeColor="text1"/>
          <w:sz w:val="20"/>
          <w:szCs w:val="20"/>
          <w:lang w:eastAsia="hr-HR"/>
        </w:rPr>
        <w:t xml:space="preserve"> Mjerenje</w:t>
      </w:r>
    </w:p>
    <w:p w14:paraId="26124EBF" w14:textId="77777777" w:rsidR="00C93090" w:rsidRPr="003D1614" w:rsidRDefault="00C93090" w:rsidP="00C93090">
      <w:pPr>
        <w:spacing w:line="240" w:lineRule="exact"/>
        <w:jc w:val="both"/>
        <w:rPr>
          <w:rFonts w:ascii="Arial" w:hAnsi="Arial" w:cs="Arial"/>
          <w:color w:val="000000" w:themeColor="text1"/>
          <w:sz w:val="20"/>
          <w:szCs w:val="20"/>
          <w:lang w:eastAsia="hr-HR"/>
        </w:rPr>
      </w:pPr>
    </w:p>
    <w:p w14:paraId="2763AC3C" w14:textId="77777777" w:rsidR="00C93090" w:rsidRPr="003D1614" w:rsidRDefault="00C93090" w:rsidP="00C93090">
      <w:pPr>
        <w:spacing w:line="240" w:lineRule="exact"/>
        <w:jc w:val="both"/>
        <w:rPr>
          <w:rFonts w:ascii="Arial" w:hAnsi="Arial" w:cs="Arial"/>
          <w:color w:val="000000" w:themeColor="text1"/>
          <w:sz w:val="20"/>
          <w:szCs w:val="20"/>
        </w:rPr>
      </w:pPr>
      <w:r w:rsidRPr="003D1614">
        <w:rPr>
          <w:rFonts w:ascii="Arial" w:hAnsi="Arial" w:cs="Arial"/>
          <w:color w:val="000000" w:themeColor="text1"/>
          <w:sz w:val="20"/>
          <w:szCs w:val="20"/>
          <w:lang w:eastAsia="hr-HR"/>
        </w:rPr>
        <w:t>Financijski izvještaji sastavljeni su na osnovi fer vrijednosti financijske imovine i obveza po fer vrijednosti kroz dobit ili gubitak i financijske imovine po fer vrijednosti kroz ostalu sveobuhvatnu dobit. Ostala financijska imovina i obveze te nefinancijska imovina i obveze iskazani su po amortiziranom ili povijesnom trošku.</w:t>
      </w:r>
    </w:p>
    <w:p w14:paraId="35D35223" w14:textId="77777777" w:rsidR="00C93090" w:rsidRPr="003D1614" w:rsidRDefault="00C93090" w:rsidP="00C93090">
      <w:pPr>
        <w:spacing w:line="240" w:lineRule="exact"/>
        <w:ind w:right="27"/>
        <w:jc w:val="both"/>
        <w:rPr>
          <w:rFonts w:ascii="Arial" w:hAnsi="Arial" w:cs="Arial"/>
          <w:color w:val="000000" w:themeColor="text1"/>
          <w:sz w:val="20"/>
          <w:szCs w:val="20"/>
          <w:lang w:eastAsia="hr-HR"/>
        </w:rPr>
      </w:pPr>
    </w:p>
    <w:p w14:paraId="0702E87A" w14:textId="77777777" w:rsidR="00C93090" w:rsidRPr="003D1614" w:rsidRDefault="00C93090" w:rsidP="00C93090">
      <w:pPr>
        <w:spacing w:line="240" w:lineRule="exact"/>
        <w:ind w:right="27"/>
        <w:jc w:val="both"/>
        <w:rPr>
          <w:rFonts w:ascii="Arial" w:hAnsi="Arial" w:cs="Arial"/>
          <w:color w:val="000000" w:themeColor="text1"/>
          <w:sz w:val="20"/>
          <w:szCs w:val="20"/>
          <w:lang w:eastAsia="hr-HR"/>
        </w:rPr>
      </w:pPr>
      <w:r w:rsidRPr="003D1614">
        <w:rPr>
          <w:rFonts w:ascii="Arial" w:hAnsi="Arial" w:cs="Arial"/>
          <w:color w:val="000000" w:themeColor="text1"/>
          <w:sz w:val="20"/>
          <w:szCs w:val="20"/>
          <w:lang w:eastAsia="hr-HR"/>
        </w:rPr>
        <w:t>Financijski izvještaji sastavljeni su po načelu nastanka događaja kao i pod pretpostavkom vremenske neograničenosti poslovanja.</w:t>
      </w:r>
    </w:p>
    <w:p w14:paraId="159D490B" w14:textId="77777777" w:rsidR="00C93090" w:rsidRPr="003D1614" w:rsidRDefault="00C93090" w:rsidP="00C93090">
      <w:pPr>
        <w:spacing w:line="240" w:lineRule="exact"/>
        <w:ind w:right="27"/>
        <w:jc w:val="both"/>
        <w:rPr>
          <w:rFonts w:ascii="Arial" w:hAnsi="Arial" w:cs="Arial"/>
          <w:color w:val="000000" w:themeColor="text1"/>
          <w:sz w:val="20"/>
          <w:szCs w:val="20"/>
          <w:lang w:eastAsia="hr-HR"/>
        </w:rPr>
      </w:pPr>
    </w:p>
    <w:p w14:paraId="4E07F1BA" w14:textId="77777777" w:rsidR="00C93090" w:rsidRPr="0050050C" w:rsidRDefault="00C93090" w:rsidP="00C93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Arial" w:hAnsi="Arial" w:cs="Arial"/>
          <w:b/>
          <w:color w:val="000000" w:themeColor="text1"/>
          <w:sz w:val="20"/>
          <w:szCs w:val="20"/>
          <w:lang w:eastAsia="hr-HR"/>
        </w:rPr>
      </w:pPr>
      <w:r w:rsidRPr="0050050C">
        <w:rPr>
          <w:rFonts w:ascii="Arial" w:hAnsi="Arial" w:cs="Arial"/>
          <w:b/>
          <w:color w:val="000000" w:themeColor="text1"/>
          <w:sz w:val="20"/>
          <w:szCs w:val="20"/>
          <w:lang w:eastAsia="hr-HR"/>
        </w:rPr>
        <w:t>2.3. Funkcijska i prezentacijska valuta</w:t>
      </w:r>
    </w:p>
    <w:p w14:paraId="21D15865" w14:textId="77777777" w:rsidR="00C93090" w:rsidRPr="0050050C" w:rsidRDefault="00C93090" w:rsidP="00C93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Arial" w:hAnsi="Arial" w:cs="Arial"/>
          <w:b/>
          <w:color w:val="000000" w:themeColor="text1"/>
          <w:sz w:val="20"/>
          <w:szCs w:val="20"/>
          <w:lang w:eastAsia="hr-HR"/>
        </w:rPr>
      </w:pPr>
    </w:p>
    <w:p w14:paraId="7738DCC6" w14:textId="61B2FAB9" w:rsidR="00C93090" w:rsidRDefault="00C93090" w:rsidP="00C93090">
      <w:pPr>
        <w:spacing w:line="240" w:lineRule="exact"/>
        <w:contextualSpacing/>
        <w:jc w:val="both"/>
        <w:rPr>
          <w:rFonts w:ascii="Arial" w:eastAsia="Times New Roman" w:hAnsi="Arial" w:cs="Arial"/>
          <w:color w:val="000000" w:themeColor="text1"/>
          <w:sz w:val="20"/>
          <w:szCs w:val="20"/>
        </w:rPr>
      </w:pPr>
      <w:bookmarkStart w:id="246" w:name="_Hlk135042663"/>
      <w:bookmarkStart w:id="247" w:name="_Hlk135043204"/>
      <w:r w:rsidRPr="0050050C">
        <w:rPr>
          <w:rFonts w:ascii="Arial" w:eastAsia="Times New Roman" w:hAnsi="Arial" w:cs="Arial"/>
          <w:color w:val="000000" w:themeColor="text1"/>
          <w:sz w:val="20"/>
          <w:szCs w:val="20"/>
          <w:lang w:eastAsia="hr-HR"/>
        </w:rPr>
        <w:t xml:space="preserve">Ovi financijski izvještaji Banke i Grupe iskazani su u </w:t>
      </w:r>
      <w:r w:rsidR="00B1754D" w:rsidRPr="0050050C">
        <w:rPr>
          <w:rFonts w:ascii="Arial" w:eastAsia="Times New Roman" w:hAnsi="Arial" w:cs="Arial"/>
          <w:color w:val="000000" w:themeColor="text1"/>
          <w:sz w:val="20"/>
          <w:szCs w:val="20"/>
          <w:lang w:eastAsia="hr-HR"/>
        </w:rPr>
        <w:t>eurima</w:t>
      </w:r>
      <w:r w:rsidRPr="0050050C">
        <w:rPr>
          <w:rFonts w:ascii="Arial" w:eastAsia="Times New Roman" w:hAnsi="Arial" w:cs="Arial"/>
          <w:color w:val="000000" w:themeColor="text1"/>
          <w:sz w:val="20"/>
          <w:szCs w:val="20"/>
          <w:lang w:eastAsia="hr-HR"/>
        </w:rPr>
        <w:t xml:space="preserve">, što je funkcionalna </w:t>
      </w:r>
      <w:r w:rsidR="000347AB">
        <w:rPr>
          <w:rFonts w:ascii="Arial" w:eastAsia="Times New Roman" w:hAnsi="Arial" w:cs="Arial"/>
          <w:color w:val="000000" w:themeColor="text1"/>
          <w:sz w:val="20"/>
          <w:szCs w:val="20"/>
          <w:lang w:eastAsia="hr-HR"/>
        </w:rPr>
        <w:t xml:space="preserve">i prezentacijska </w:t>
      </w:r>
      <w:r w:rsidRPr="0050050C">
        <w:rPr>
          <w:rFonts w:ascii="Arial" w:eastAsia="Times New Roman" w:hAnsi="Arial" w:cs="Arial"/>
          <w:color w:val="000000" w:themeColor="text1"/>
          <w:sz w:val="20"/>
          <w:szCs w:val="20"/>
          <w:lang w:eastAsia="hr-HR"/>
        </w:rPr>
        <w:t xml:space="preserve">valuta Banke i Grupe. </w:t>
      </w:r>
      <w:bookmarkEnd w:id="246"/>
      <w:r w:rsidRPr="0050050C">
        <w:rPr>
          <w:rFonts w:ascii="Arial" w:eastAsia="Times New Roman" w:hAnsi="Arial" w:cs="Arial"/>
          <w:color w:val="000000" w:themeColor="text1"/>
          <w:sz w:val="20"/>
          <w:szCs w:val="20"/>
        </w:rPr>
        <w:t>Iznosi su zaokruženi na najbližu tisuću, osim ako nije drugačije navedeno.</w:t>
      </w:r>
      <w:r w:rsidRPr="003D1614">
        <w:rPr>
          <w:rFonts w:ascii="Arial" w:eastAsia="Times New Roman" w:hAnsi="Arial" w:cs="Arial"/>
          <w:color w:val="000000" w:themeColor="text1"/>
          <w:sz w:val="20"/>
          <w:szCs w:val="20"/>
        </w:rPr>
        <w:t xml:space="preserve"> </w:t>
      </w:r>
    </w:p>
    <w:p w14:paraId="27B9A750" w14:textId="4FE76AEB" w:rsidR="00B1754D" w:rsidRDefault="00B1754D" w:rsidP="00C93090">
      <w:pPr>
        <w:spacing w:line="240" w:lineRule="exact"/>
        <w:contextualSpacing/>
        <w:jc w:val="both"/>
        <w:rPr>
          <w:rFonts w:ascii="Arial" w:eastAsia="Times New Roman" w:hAnsi="Arial" w:cs="Arial"/>
          <w:color w:val="000000" w:themeColor="text1"/>
          <w:sz w:val="20"/>
          <w:szCs w:val="20"/>
        </w:rPr>
      </w:pPr>
    </w:p>
    <w:p w14:paraId="5B7AA013" w14:textId="77777777" w:rsidR="00C93090" w:rsidRPr="003D1614" w:rsidRDefault="00C93090" w:rsidP="00C93090">
      <w:pPr>
        <w:spacing w:line="240" w:lineRule="exact"/>
        <w:jc w:val="both"/>
        <w:rPr>
          <w:rFonts w:ascii="Arial" w:hAnsi="Arial" w:cs="Arial"/>
          <w:color w:val="000000" w:themeColor="text1"/>
          <w:sz w:val="20"/>
          <w:szCs w:val="20"/>
        </w:rPr>
      </w:pPr>
    </w:p>
    <w:bookmarkEnd w:id="247"/>
    <w:p w14:paraId="0A5BD465" w14:textId="77777777" w:rsidR="00C93090" w:rsidRPr="003D1614" w:rsidRDefault="00C93090" w:rsidP="00C93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w:hAnsi="Arial" w:cs="Arial"/>
          <w:b/>
          <w:color w:val="000000" w:themeColor="text1"/>
          <w:sz w:val="20"/>
          <w:szCs w:val="20"/>
          <w:lang w:eastAsia="hr-HR"/>
        </w:rPr>
      </w:pPr>
      <w:r w:rsidRPr="003D1614">
        <w:rPr>
          <w:rFonts w:ascii="Arial" w:hAnsi="Arial" w:cs="Arial"/>
          <w:b/>
          <w:color w:val="000000" w:themeColor="text1"/>
          <w:sz w:val="20"/>
          <w:szCs w:val="20"/>
          <w:lang w:eastAsia="hr-HR"/>
        </w:rPr>
        <w:t>3. Korištenje prosudbi i procjena</w:t>
      </w:r>
    </w:p>
    <w:p w14:paraId="7FEFD1D9" w14:textId="77777777" w:rsidR="00C93090" w:rsidRPr="003D1614" w:rsidRDefault="00C93090" w:rsidP="00C93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Arial" w:hAnsi="Arial" w:cs="Arial"/>
          <w:color w:val="000000" w:themeColor="text1"/>
          <w:sz w:val="20"/>
          <w:szCs w:val="20"/>
          <w:lang w:eastAsia="hr-HR"/>
        </w:rPr>
      </w:pPr>
    </w:p>
    <w:p w14:paraId="2E5263A6" w14:textId="77777777" w:rsidR="00C93090" w:rsidRPr="003D1614" w:rsidRDefault="00C93090" w:rsidP="00C93090">
      <w:pPr>
        <w:spacing w:line="240" w:lineRule="exact"/>
        <w:jc w:val="both"/>
        <w:rPr>
          <w:rFonts w:ascii="Arial" w:hAnsi="Arial" w:cs="Arial"/>
          <w:color w:val="000000" w:themeColor="text1"/>
          <w:sz w:val="20"/>
          <w:szCs w:val="20"/>
        </w:rPr>
      </w:pPr>
      <w:r w:rsidRPr="003D1614">
        <w:rPr>
          <w:rFonts w:ascii="Arial" w:hAnsi="Arial" w:cs="Arial"/>
          <w:color w:val="000000" w:themeColor="text1"/>
          <w:sz w:val="20"/>
          <w:szCs w:val="20"/>
        </w:rPr>
        <w:t>Prilikom pripreme konsolidiranih i odvojenih financijskih izvještaja u skladu s MSFI-</w:t>
      </w:r>
      <w:proofErr w:type="spellStart"/>
      <w:r w:rsidRPr="003D1614">
        <w:rPr>
          <w:rFonts w:ascii="Arial" w:hAnsi="Arial" w:cs="Arial"/>
          <w:color w:val="000000" w:themeColor="text1"/>
          <w:sz w:val="20"/>
          <w:szCs w:val="20"/>
        </w:rPr>
        <w:t>jevima</w:t>
      </w:r>
      <w:proofErr w:type="spellEnd"/>
      <w:r w:rsidRPr="003D1614">
        <w:rPr>
          <w:rFonts w:ascii="Arial" w:hAnsi="Arial" w:cs="Arial"/>
          <w:color w:val="000000" w:themeColor="text1"/>
          <w:sz w:val="20"/>
          <w:szCs w:val="20"/>
        </w:rPr>
        <w:t xml:space="preserve"> usvojenim od strane EU, poslovodstvo donosi prosudbe, procjene i pretpostavke koje utječu na primjenu politika i iskazane iznose imovine i obveza, objavu potencijalnih i preuzetih obveza na datum izvještavanja, kao i iznose prihoda i rashoda za razdoblje. Procjene i uz njih vezane pretpostavke zasnivaju se na povijesnom iskustvu i raznim drugim čimbenicima za koje se smatra da su razumni u danim uvjetima i uz raspoložive informacije na datum izrade financijskih izvještaja, a koji zajedno čine osnovu za prosuđivanje knjigovodstvene vrijednosti imovine i obveza koja nije lako </w:t>
      </w:r>
      <w:proofErr w:type="spellStart"/>
      <w:r w:rsidRPr="003D1614">
        <w:rPr>
          <w:rFonts w:ascii="Arial" w:hAnsi="Arial" w:cs="Arial"/>
          <w:color w:val="000000" w:themeColor="text1"/>
          <w:sz w:val="20"/>
          <w:szCs w:val="20"/>
        </w:rPr>
        <w:t>utvrdiva</w:t>
      </w:r>
      <w:proofErr w:type="spellEnd"/>
      <w:r w:rsidRPr="003D1614">
        <w:rPr>
          <w:rFonts w:ascii="Arial" w:hAnsi="Arial" w:cs="Arial"/>
          <w:color w:val="000000" w:themeColor="text1"/>
          <w:sz w:val="20"/>
          <w:szCs w:val="20"/>
        </w:rPr>
        <w:t xml:space="preserve"> iz drugih izvora. Stvarni rezultati mogu se razlikovati od ovih procjena. Procjene i uz njih vezane pretpostavke kontinuirano se pregledavaju. Izmjene računovodstvenih procjena priznaju se u razdoblju u kojem je procjena izmijenjena ukoliko izmjena utječe samo na to razdoblje, ili u razdoblju izmjene i budućim razdobljima ako izmjena utječe na tekuće i buduća razdoblja.</w:t>
      </w:r>
    </w:p>
    <w:p w14:paraId="29C5ADD9" w14:textId="77777777" w:rsidR="00C93090" w:rsidRPr="003D1614" w:rsidRDefault="00C93090" w:rsidP="00C93090">
      <w:pPr>
        <w:spacing w:line="240" w:lineRule="exact"/>
        <w:jc w:val="both"/>
        <w:rPr>
          <w:rFonts w:ascii="Arial" w:hAnsi="Arial" w:cs="Arial"/>
          <w:color w:val="000000" w:themeColor="text1"/>
          <w:sz w:val="20"/>
          <w:szCs w:val="20"/>
        </w:rPr>
      </w:pPr>
    </w:p>
    <w:p w14:paraId="1FAB2FCE" w14:textId="77777777" w:rsidR="00C93090" w:rsidRPr="003D1614" w:rsidRDefault="00C93090" w:rsidP="00C93090">
      <w:pPr>
        <w:spacing w:line="240" w:lineRule="exact"/>
        <w:jc w:val="both"/>
        <w:rPr>
          <w:rFonts w:ascii="Arial" w:hAnsi="Arial" w:cs="Arial"/>
          <w:color w:val="000000" w:themeColor="text1"/>
          <w:sz w:val="20"/>
          <w:szCs w:val="20"/>
        </w:rPr>
      </w:pPr>
      <w:r w:rsidRPr="003D1614">
        <w:rPr>
          <w:rFonts w:ascii="Arial" w:hAnsi="Arial" w:cs="Arial"/>
          <w:color w:val="000000" w:themeColor="text1"/>
          <w:sz w:val="20"/>
          <w:szCs w:val="20"/>
        </w:rPr>
        <w:t>Značajne računovodstvene prosudbe i procjene</w:t>
      </w:r>
      <w:r w:rsidRPr="003D1614" w:rsidDel="002A13F4">
        <w:rPr>
          <w:rFonts w:ascii="Arial" w:hAnsi="Arial" w:cs="Arial"/>
          <w:color w:val="000000" w:themeColor="text1"/>
          <w:sz w:val="20"/>
          <w:szCs w:val="20"/>
        </w:rPr>
        <w:t xml:space="preserve"> </w:t>
      </w:r>
      <w:r w:rsidRPr="003D1614">
        <w:rPr>
          <w:rFonts w:ascii="Arial" w:hAnsi="Arial" w:cs="Arial"/>
          <w:color w:val="000000" w:themeColor="text1"/>
          <w:sz w:val="20"/>
          <w:szCs w:val="20"/>
        </w:rPr>
        <w:t>bile su iste kao i one koje su opisane u zadnjim godišnjim financijskim izvještajima.</w:t>
      </w:r>
    </w:p>
    <w:p w14:paraId="670C1373" w14:textId="1B0CDC95" w:rsidR="00C93090" w:rsidRPr="003D1614" w:rsidRDefault="00C93090" w:rsidP="00EA0684">
      <w:pPr>
        <w:rPr>
          <w:rFonts w:ascii="Arial" w:eastAsia="Times New Roman" w:hAnsi="Arial" w:cs="Arial"/>
          <w:sz w:val="20"/>
          <w:szCs w:val="20"/>
        </w:rPr>
      </w:pPr>
    </w:p>
    <w:p w14:paraId="5776F51A" w14:textId="7FEC48DD" w:rsidR="00C93090" w:rsidRPr="003D1614" w:rsidRDefault="00C93090" w:rsidP="00EA0684">
      <w:pPr>
        <w:rPr>
          <w:rFonts w:ascii="Arial" w:eastAsia="Times New Roman" w:hAnsi="Arial" w:cs="Arial"/>
          <w:sz w:val="20"/>
          <w:szCs w:val="20"/>
        </w:rPr>
      </w:pPr>
    </w:p>
    <w:p w14:paraId="26B44A89" w14:textId="77777777" w:rsidR="00843998" w:rsidRPr="003D1614" w:rsidRDefault="00843998" w:rsidP="00EA0684">
      <w:pPr>
        <w:rPr>
          <w:rFonts w:ascii="Arial" w:eastAsia="Times New Roman" w:hAnsi="Arial" w:cs="Arial"/>
          <w:sz w:val="20"/>
          <w:szCs w:val="20"/>
        </w:rPr>
      </w:pPr>
    </w:p>
    <w:p w14:paraId="699F304D" w14:textId="77777777" w:rsidR="00C93090" w:rsidRPr="003D1614" w:rsidRDefault="00C93090" w:rsidP="00EA0684">
      <w:pPr>
        <w:rPr>
          <w:rFonts w:ascii="Arial" w:eastAsia="Times New Roman" w:hAnsi="Arial" w:cs="Arial"/>
          <w:sz w:val="20"/>
          <w:szCs w:val="20"/>
        </w:rPr>
        <w:sectPr w:rsidR="00C93090" w:rsidRPr="003D1614">
          <w:pgSz w:w="11906" w:h="16838"/>
          <w:pgMar w:top="1417" w:right="1417" w:bottom="1417" w:left="1417" w:header="708" w:footer="708" w:gutter="0"/>
          <w:cols w:space="708"/>
          <w:docGrid w:linePitch="360"/>
        </w:sectPr>
      </w:pPr>
    </w:p>
    <w:p w14:paraId="516D4FE7" w14:textId="6D9C342C" w:rsidR="00C93090" w:rsidRPr="003D1614" w:rsidRDefault="00C93090" w:rsidP="00EA0684">
      <w:pPr>
        <w:rPr>
          <w:rFonts w:ascii="Arial" w:eastAsia="Times New Roman" w:hAnsi="Arial" w:cs="Arial"/>
          <w:sz w:val="20"/>
          <w:szCs w:val="20"/>
        </w:rPr>
      </w:pPr>
    </w:p>
    <w:p w14:paraId="1C8A63FD" w14:textId="4717ED81" w:rsidR="00843998" w:rsidRPr="003D1614" w:rsidRDefault="00843998" w:rsidP="00EA0684">
      <w:pPr>
        <w:rPr>
          <w:rFonts w:ascii="Arial" w:hAnsi="Arial" w:cs="Arial"/>
          <w:b/>
          <w:color w:val="000000" w:themeColor="text1"/>
          <w:sz w:val="20"/>
          <w:szCs w:val="20"/>
        </w:rPr>
      </w:pPr>
      <w:r w:rsidRPr="003D1614">
        <w:rPr>
          <w:rFonts w:ascii="Arial" w:hAnsi="Arial" w:cs="Arial"/>
          <w:b/>
          <w:color w:val="000000" w:themeColor="text1"/>
          <w:sz w:val="20"/>
          <w:szCs w:val="20"/>
        </w:rPr>
        <w:t>4. Sažetak značajnih računovodstvenih politika</w:t>
      </w:r>
    </w:p>
    <w:p w14:paraId="7BFF5868" w14:textId="0DEF993A" w:rsidR="00843998" w:rsidRPr="003D1614" w:rsidRDefault="00843998" w:rsidP="00EA0684">
      <w:pPr>
        <w:rPr>
          <w:rFonts w:ascii="Arial" w:hAnsi="Arial" w:cs="Arial"/>
          <w:b/>
          <w:color w:val="000000" w:themeColor="text1"/>
          <w:sz w:val="20"/>
          <w:szCs w:val="20"/>
        </w:rPr>
      </w:pPr>
    </w:p>
    <w:p w14:paraId="2C5844EE" w14:textId="324D7692" w:rsidR="00843998" w:rsidRPr="003D1614" w:rsidRDefault="00843998" w:rsidP="00843998">
      <w:pPr>
        <w:suppressAutoHyphens/>
        <w:autoSpaceDN w:val="0"/>
        <w:ind w:left="567" w:hanging="567"/>
        <w:jc w:val="both"/>
        <w:rPr>
          <w:rFonts w:ascii="Arial" w:eastAsia="Times New Roman" w:hAnsi="Arial" w:cs="Arial"/>
          <w:b/>
          <w:color w:val="000000" w:themeColor="text1"/>
          <w:sz w:val="20"/>
          <w:szCs w:val="20"/>
        </w:rPr>
      </w:pPr>
      <w:bookmarkStart w:id="248" w:name="_Hlk99022739"/>
      <w:r w:rsidRPr="003D1614">
        <w:rPr>
          <w:rFonts w:ascii="Arial" w:eastAsia="Times New Roman" w:hAnsi="Arial" w:cs="Arial"/>
          <w:b/>
          <w:color w:val="000000" w:themeColor="text1"/>
          <w:sz w:val="20"/>
          <w:szCs w:val="20"/>
        </w:rPr>
        <w:t>4.1.</w:t>
      </w:r>
      <w:r w:rsidRPr="003D1614">
        <w:rPr>
          <w:rFonts w:ascii="Arial" w:eastAsia="Times New Roman" w:hAnsi="Arial" w:cs="Arial"/>
          <w:b/>
          <w:color w:val="000000" w:themeColor="text1"/>
          <w:sz w:val="20"/>
          <w:szCs w:val="20"/>
        </w:rPr>
        <w:tab/>
        <w:t>Usvajanje novih i izmijenjenih Međunarodnih standarda financijskog izvještavanja („MSFI“) i tumačenj</w:t>
      </w:r>
      <w:bookmarkEnd w:id="248"/>
      <w:r w:rsidRPr="003D1614">
        <w:rPr>
          <w:rFonts w:ascii="Arial" w:eastAsia="Times New Roman" w:hAnsi="Arial" w:cs="Arial"/>
          <w:b/>
          <w:color w:val="000000" w:themeColor="text1"/>
          <w:sz w:val="20"/>
          <w:szCs w:val="20"/>
        </w:rPr>
        <w:t>a</w:t>
      </w:r>
    </w:p>
    <w:p w14:paraId="5159348E" w14:textId="77777777" w:rsidR="00843998" w:rsidRPr="003D1614" w:rsidRDefault="00843998" w:rsidP="00843998">
      <w:pPr>
        <w:suppressAutoHyphens/>
        <w:autoSpaceDN w:val="0"/>
        <w:ind w:left="426" w:hanging="426"/>
        <w:jc w:val="both"/>
        <w:rPr>
          <w:rFonts w:ascii="Arial" w:eastAsia="Times New Roman" w:hAnsi="Arial" w:cs="Arial"/>
          <w:b/>
          <w:color w:val="000000" w:themeColor="text1"/>
          <w:sz w:val="20"/>
          <w:szCs w:val="20"/>
        </w:rPr>
      </w:pPr>
    </w:p>
    <w:p w14:paraId="6641FA1C" w14:textId="77777777" w:rsidR="00843998" w:rsidRPr="005F7F5C" w:rsidRDefault="00843998" w:rsidP="00843998">
      <w:pPr>
        <w:keepNext/>
        <w:tabs>
          <w:tab w:val="left" w:pos="284"/>
        </w:tabs>
        <w:suppressAutoHyphens/>
        <w:autoSpaceDN w:val="0"/>
        <w:spacing w:line="360" w:lineRule="auto"/>
        <w:jc w:val="both"/>
        <w:outlineLvl w:val="1"/>
        <w:rPr>
          <w:rFonts w:ascii="Arial" w:eastAsia="Times New Roman" w:hAnsi="Arial" w:cs="Arial"/>
          <w:b/>
          <w:sz w:val="20"/>
          <w:szCs w:val="20"/>
        </w:rPr>
      </w:pPr>
      <w:r w:rsidRPr="005F7F5C">
        <w:rPr>
          <w:rFonts w:ascii="Arial" w:eastAsia="Times New Roman" w:hAnsi="Arial" w:cs="Arial"/>
          <w:b/>
          <w:i/>
          <w:sz w:val="20"/>
          <w:szCs w:val="20"/>
        </w:rPr>
        <w:t>Prva primjena novih i izmjena postojećih standarda na snazi za tekuće izvještajno razdoblje</w:t>
      </w:r>
    </w:p>
    <w:p w14:paraId="0C24EBCD" w14:textId="71E71477" w:rsidR="00843998" w:rsidRPr="005F7F5C" w:rsidRDefault="00843998" w:rsidP="00843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r w:rsidRPr="005F7F5C">
        <w:rPr>
          <w:rFonts w:ascii="Arial" w:eastAsia="Times New Roman" w:hAnsi="Arial" w:cs="Arial"/>
          <w:color w:val="000000" w:themeColor="text1"/>
          <w:sz w:val="20"/>
          <w:szCs w:val="20"/>
          <w:lang w:eastAsia="hr-HR"/>
        </w:rPr>
        <w:t>U tekućem izvještajnom razdoblju na snazi su sljedeće izmjene postojećih standarda koje je objavio Odbor za Međunarodne računovodstvene standarde („OMRS”) i usvojila Europska unija:</w:t>
      </w:r>
    </w:p>
    <w:p w14:paraId="49090CEB" w14:textId="191AFAB3" w:rsidR="005F7F5C" w:rsidRDefault="005F7F5C" w:rsidP="00843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highlight w:val="yellow"/>
          <w:lang w:eastAsia="hr-HR"/>
        </w:rPr>
      </w:pPr>
    </w:p>
    <w:p w14:paraId="20AB453C" w14:textId="77777777" w:rsidR="00F229FD" w:rsidRPr="00241BA0" w:rsidRDefault="00F229FD" w:rsidP="00F229FD">
      <w:pPr>
        <w:numPr>
          <w:ilvl w:val="0"/>
          <w:numId w:val="5"/>
        </w:numPr>
        <w:tabs>
          <w:tab w:val="clear"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709" w:hanging="283"/>
        <w:jc w:val="both"/>
        <w:rPr>
          <w:rFonts w:ascii="Arial" w:eastAsia="Times New Roman" w:hAnsi="Arial" w:cs="Arial"/>
          <w:color w:val="000000" w:themeColor="text1"/>
          <w:sz w:val="20"/>
          <w:szCs w:val="20"/>
          <w:lang w:eastAsia="hr-HR"/>
        </w:rPr>
      </w:pPr>
      <w:r w:rsidRPr="00241BA0">
        <w:rPr>
          <w:rFonts w:ascii="Arial" w:eastAsia="Times New Roman" w:hAnsi="Arial" w:cs="Arial"/>
          <w:color w:val="000000" w:themeColor="text1"/>
          <w:sz w:val="20"/>
          <w:szCs w:val="20"/>
          <w:lang w:eastAsia="hr-HR"/>
        </w:rPr>
        <w:t>Izmjene i dopune MRS-a 1 Prezentacija financijskih izvještaja:</w:t>
      </w:r>
    </w:p>
    <w:p w14:paraId="658BCEDC" w14:textId="77777777" w:rsidR="00F229FD" w:rsidRDefault="00F229FD" w:rsidP="00F229FD">
      <w:pPr>
        <w:suppressAutoHyphens/>
        <w:autoSpaceDN w:val="0"/>
        <w:ind w:left="426" w:firstLine="414"/>
        <w:contextualSpacing/>
        <w:jc w:val="both"/>
        <w:rPr>
          <w:rFonts w:ascii="Arial" w:hAnsi="Arial" w:cs="Arial"/>
          <w:color w:val="202124"/>
          <w:sz w:val="20"/>
          <w:szCs w:val="20"/>
          <w:lang w:eastAsia="hr-HR"/>
        </w:rPr>
      </w:pPr>
      <w:r w:rsidRPr="00994747">
        <w:rPr>
          <w:rFonts w:ascii="Arial" w:hAnsi="Arial" w:cs="Arial"/>
          <w:color w:val="202124"/>
          <w:sz w:val="20"/>
          <w:szCs w:val="20"/>
          <w:lang w:eastAsia="hr-HR"/>
        </w:rPr>
        <w:t xml:space="preserve"> • Klasifikacija obveza </w:t>
      </w:r>
      <w:r>
        <w:rPr>
          <w:rFonts w:ascii="Arial" w:hAnsi="Arial" w:cs="Arial"/>
          <w:color w:val="202124"/>
          <w:sz w:val="20"/>
          <w:szCs w:val="20"/>
          <w:lang w:eastAsia="hr-HR"/>
        </w:rPr>
        <w:t>na</w:t>
      </w:r>
      <w:r w:rsidRPr="00994747">
        <w:rPr>
          <w:rFonts w:ascii="Arial" w:hAnsi="Arial" w:cs="Arial"/>
          <w:color w:val="202124"/>
          <w:sz w:val="20"/>
          <w:szCs w:val="20"/>
          <w:lang w:eastAsia="hr-HR"/>
        </w:rPr>
        <w:t xml:space="preserve"> </w:t>
      </w:r>
      <w:r>
        <w:rPr>
          <w:rFonts w:ascii="Arial" w:hAnsi="Arial" w:cs="Arial"/>
          <w:color w:val="202124"/>
          <w:sz w:val="20"/>
          <w:szCs w:val="20"/>
          <w:lang w:eastAsia="hr-HR"/>
        </w:rPr>
        <w:t>kratkoročne i dugoročne</w:t>
      </w:r>
      <w:r w:rsidRPr="00994747">
        <w:rPr>
          <w:rFonts w:ascii="Arial" w:hAnsi="Arial" w:cs="Arial"/>
          <w:color w:val="202124"/>
          <w:sz w:val="20"/>
          <w:szCs w:val="20"/>
          <w:lang w:eastAsia="hr-HR"/>
        </w:rPr>
        <w:t xml:space="preserve"> - odgoda datuma stupanja na snagu; i </w:t>
      </w:r>
    </w:p>
    <w:p w14:paraId="3F8BB360" w14:textId="77777777" w:rsidR="00F229FD" w:rsidRDefault="00F229FD" w:rsidP="00F229FD">
      <w:pPr>
        <w:suppressAutoHyphens/>
        <w:autoSpaceDN w:val="0"/>
        <w:ind w:left="426" w:firstLine="414"/>
        <w:contextualSpacing/>
        <w:jc w:val="both"/>
        <w:rPr>
          <w:rFonts w:ascii="Arial" w:eastAsia="Times New Roman" w:hAnsi="Arial" w:cs="Arial"/>
          <w:color w:val="202124"/>
          <w:sz w:val="20"/>
          <w:szCs w:val="20"/>
          <w:lang w:eastAsia="hr-HR"/>
        </w:rPr>
      </w:pPr>
      <w:r>
        <w:rPr>
          <w:rFonts w:ascii="Arial" w:eastAsia="Times New Roman" w:hAnsi="Arial" w:cs="Arial"/>
          <w:color w:val="202124"/>
          <w:sz w:val="20"/>
          <w:szCs w:val="20"/>
          <w:lang w:eastAsia="hr-HR"/>
        </w:rPr>
        <w:t xml:space="preserve"> </w:t>
      </w:r>
      <w:r w:rsidRPr="00DA7F0F">
        <w:rPr>
          <w:rFonts w:ascii="Arial" w:eastAsia="Times New Roman" w:hAnsi="Arial" w:cs="Arial"/>
          <w:color w:val="202124"/>
          <w:sz w:val="20"/>
          <w:szCs w:val="20"/>
          <w:lang w:eastAsia="hr-HR"/>
        </w:rPr>
        <w:t>• Dugo</w:t>
      </w:r>
      <w:r w:rsidRPr="00994747">
        <w:rPr>
          <w:rFonts w:ascii="Arial" w:hAnsi="Arial" w:cs="Arial"/>
          <w:color w:val="202124"/>
          <w:sz w:val="20"/>
          <w:szCs w:val="20"/>
          <w:lang w:eastAsia="hr-HR"/>
        </w:rPr>
        <w:t xml:space="preserve">ročne obveze s </w:t>
      </w:r>
      <w:proofErr w:type="spellStart"/>
      <w:r w:rsidRPr="00994747">
        <w:rPr>
          <w:rFonts w:ascii="Arial" w:hAnsi="Arial" w:cs="Arial"/>
          <w:color w:val="202124"/>
          <w:sz w:val="20"/>
          <w:szCs w:val="20"/>
          <w:lang w:eastAsia="hr-HR"/>
        </w:rPr>
        <w:t>kovenantama</w:t>
      </w:r>
      <w:proofErr w:type="spellEnd"/>
      <w:r w:rsidRPr="00DA7F0F">
        <w:rPr>
          <w:rFonts w:ascii="Arial" w:eastAsia="Times New Roman" w:hAnsi="Arial" w:cs="Arial"/>
          <w:color w:val="202124"/>
          <w:sz w:val="20"/>
          <w:szCs w:val="20"/>
          <w:lang w:eastAsia="hr-HR"/>
        </w:rPr>
        <w:t xml:space="preserve"> </w:t>
      </w:r>
    </w:p>
    <w:p w14:paraId="6D6D4177" w14:textId="77777777" w:rsidR="00F229FD" w:rsidRPr="00994747" w:rsidRDefault="00F229FD" w:rsidP="00F229FD">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709"/>
        <w:jc w:val="both"/>
        <w:rPr>
          <w:rFonts w:ascii="Arial" w:eastAsia="Times New Roman" w:hAnsi="Arial" w:cs="Arial"/>
          <w:color w:val="000000" w:themeColor="text1"/>
          <w:sz w:val="20"/>
          <w:szCs w:val="20"/>
          <w:lang w:eastAsia="hr-HR"/>
        </w:rPr>
      </w:pPr>
      <w:r w:rsidRPr="00994747">
        <w:rPr>
          <w:rFonts w:ascii="Arial" w:eastAsia="Times New Roman" w:hAnsi="Arial" w:cs="Arial"/>
          <w:color w:val="000000" w:themeColor="text1"/>
          <w:sz w:val="20"/>
          <w:szCs w:val="20"/>
          <w:lang w:eastAsia="hr-HR"/>
        </w:rPr>
        <w:t xml:space="preserve">  (na snazi za godišnja razdoblja koja počinju na dan ili nakon 1. siječnja 2024. godine)</w:t>
      </w:r>
      <w:r>
        <w:rPr>
          <w:rFonts w:ascii="Arial" w:eastAsia="Times New Roman" w:hAnsi="Arial" w:cs="Arial"/>
          <w:color w:val="000000" w:themeColor="text1"/>
          <w:sz w:val="20"/>
          <w:szCs w:val="20"/>
          <w:lang w:eastAsia="hr-HR"/>
        </w:rPr>
        <w:t>;</w:t>
      </w:r>
    </w:p>
    <w:p w14:paraId="13755909" w14:textId="77777777" w:rsidR="00F229FD" w:rsidRPr="00D71ADB" w:rsidRDefault="00F229FD" w:rsidP="00F229FD">
      <w:pPr>
        <w:suppressAutoHyphens/>
        <w:autoSpaceDN w:val="0"/>
        <w:ind w:left="426" w:firstLine="414"/>
        <w:contextualSpacing/>
        <w:jc w:val="both"/>
        <w:rPr>
          <w:rFonts w:ascii="Arial" w:eastAsia="Times New Roman" w:hAnsi="Arial" w:cs="Arial"/>
          <w:sz w:val="20"/>
          <w:szCs w:val="20"/>
          <w:highlight w:val="yellow"/>
        </w:rPr>
      </w:pPr>
    </w:p>
    <w:p w14:paraId="17E569D7" w14:textId="77777777" w:rsidR="00F229FD" w:rsidRPr="00994747" w:rsidRDefault="00F229FD" w:rsidP="00F229FD">
      <w:pPr>
        <w:numPr>
          <w:ilvl w:val="0"/>
          <w:numId w:val="5"/>
        </w:numPr>
        <w:tabs>
          <w:tab w:val="clear" w:pos="8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709" w:hanging="283"/>
        <w:jc w:val="both"/>
        <w:rPr>
          <w:rFonts w:ascii="Arial" w:eastAsia="Times New Roman" w:hAnsi="Arial" w:cs="Arial"/>
          <w:color w:val="000000" w:themeColor="text1"/>
          <w:sz w:val="20"/>
          <w:szCs w:val="20"/>
          <w:lang w:eastAsia="hr-HR"/>
        </w:rPr>
      </w:pPr>
      <w:r w:rsidRPr="00994747">
        <w:rPr>
          <w:rFonts w:ascii="Arial" w:eastAsia="Times New Roman" w:hAnsi="Arial" w:cs="Arial"/>
          <w:color w:val="000000" w:themeColor="text1"/>
          <w:sz w:val="20"/>
          <w:szCs w:val="20"/>
          <w:lang w:eastAsia="hr-HR"/>
        </w:rPr>
        <w:t xml:space="preserve">Izmjene i dopune MSFI-ja 16 Najmovi: Obveza po najmu kod prodaje s povratnim najmom (na </w:t>
      </w:r>
      <w:r>
        <w:rPr>
          <w:rFonts w:ascii="Arial" w:eastAsia="Times New Roman" w:hAnsi="Arial" w:cs="Arial"/>
          <w:color w:val="000000" w:themeColor="text1"/>
          <w:sz w:val="20"/>
          <w:szCs w:val="20"/>
          <w:lang w:eastAsia="hr-HR"/>
        </w:rPr>
        <w:t xml:space="preserve">  </w:t>
      </w:r>
      <w:r w:rsidRPr="00994747">
        <w:rPr>
          <w:rFonts w:ascii="Arial" w:eastAsia="Times New Roman" w:hAnsi="Arial" w:cs="Arial"/>
          <w:color w:val="000000" w:themeColor="text1"/>
          <w:sz w:val="20"/>
          <w:szCs w:val="20"/>
          <w:lang w:eastAsia="hr-HR"/>
        </w:rPr>
        <w:t>snazi za godišnja razdoblja koja počinju na dan ili nakon 1. siječnja 2024. godine)</w:t>
      </w:r>
      <w:r>
        <w:rPr>
          <w:rFonts w:ascii="Arial" w:eastAsia="Times New Roman" w:hAnsi="Arial" w:cs="Arial"/>
          <w:color w:val="000000" w:themeColor="text1"/>
          <w:sz w:val="20"/>
          <w:szCs w:val="20"/>
          <w:lang w:eastAsia="hr-HR"/>
        </w:rPr>
        <w:t>.</w:t>
      </w:r>
    </w:p>
    <w:p w14:paraId="571A2017" w14:textId="77777777" w:rsidR="00F229FD" w:rsidRPr="003D1614" w:rsidRDefault="00F229FD" w:rsidP="00F229FD">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highlight w:val="yellow"/>
          <w:lang w:eastAsia="hr-HR"/>
        </w:rPr>
      </w:pPr>
    </w:p>
    <w:p w14:paraId="1E29D7E5" w14:textId="77777777" w:rsidR="00E05F73" w:rsidRPr="005F7F5C" w:rsidRDefault="00E05F73" w:rsidP="00E05F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r w:rsidRPr="00140901">
        <w:rPr>
          <w:rFonts w:ascii="Arial" w:eastAsia="Times New Roman" w:hAnsi="Arial" w:cs="Arial"/>
          <w:color w:val="000000" w:themeColor="text1"/>
          <w:sz w:val="20"/>
          <w:szCs w:val="20"/>
          <w:lang w:eastAsia="hr-HR"/>
        </w:rPr>
        <w:t>Usvajanje navedenih izmjena postojećih standarda nije dovelo do značajnih promjena u financijskim izvještajima Grupe.</w:t>
      </w:r>
      <w:r w:rsidRPr="005F7F5C">
        <w:rPr>
          <w:rFonts w:ascii="Arial" w:eastAsia="Times New Roman" w:hAnsi="Arial" w:cs="Arial"/>
          <w:color w:val="000000" w:themeColor="text1"/>
          <w:sz w:val="20"/>
          <w:szCs w:val="20"/>
          <w:lang w:eastAsia="hr-HR"/>
        </w:rPr>
        <w:t xml:space="preserve"> </w:t>
      </w:r>
    </w:p>
    <w:p w14:paraId="08B58129" w14:textId="77777777" w:rsidR="00F229FD" w:rsidRDefault="00F229FD" w:rsidP="005D1219">
      <w:pPr>
        <w:pStyle w:val="HTMLPreformatted"/>
        <w:tabs>
          <w:tab w:val="clear" w:pos="916"/>
        </w:tabs>
        <w:ind w:left="709"/>
        <w:jc w:val="both"/>
        <w:rPr>
          <w:rFonts w:ascii="Arial" w:hAnsi="Arial" w:cs="Arial"/>
          <w:color w:val="000000" w:themeColor="text1"/>
          <w:sz w:val="20"/>
          <w:szCs w:val="20"/>
        </w:rPr>
      </w:pPr>
    </w:p>
    <w:p w14:paraId="554FE109" w14:textId="77777777" w:rsidR="00843998" w:rsidRPr="003D1614" w:rsidRDefault="00843998" w:rsidP="00843998">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p>
    <w:p w14:paraId="14AB571C" w14:textId="77777777" w:rsidR="00843998" w:rsidRPr="00D71ADB" w:rsidRDefault="00843998" w:rsidP="00843998">
      <w:pPr>
        <w:keepNext/>
        <w:tabs>
          <w:tab w:val="left" w:pos="284"/>
        </w:tabs>
        <w:suppressAutoHyphens/>
        <w:autoSpaceDN w:val="0"/>
        <w:spacing w:line="276" w:lineRule="auto"/>
        <w:jc w:val="both"/>
        <w:outlineLvl w:val="1"/>
        <w:rPr>
          <w:rFonts w:ascii="Arial" w:eastAsia="Times New Roman" w:hAnsi="Arial" w:cs="Arial"/>
          <w:b/>
          <w:i/>
          <w:sz w:val="20"/>
          <w:szCs w:val="20"/>
        </w:rPr>
      </w:pPr>
      <w:bookmarkStart w:id="249" w:name="_Toc45030950"/>
      <w:r w:rsidRPr="00D71ADB">
        <w:rPr>
          <w:rFonts w:ascii="Arial" w:eastAsia="Times New Roman" w:hAnsi="Arial" w:cs="Arial"/>
          <w:b/>
          <w:i/>
          <w:sz w:val="20"/>
          <w:szCs w:val="20"/>
        </w:rPr>
        <w:t>Novi standardi i izmjene postojećih standarda koje je objavio OMRS, ali još nisu usvojeni u Europskoj uniji</w:t>
      </w:r>
      <w:bookmarkEnd w:id="249"/>
    </w:p>
    <w:p w14:paraId="0C397AA8" w14:textId="77777777" w:rsidR="00843998" w:rsidRPr="003D1614" w:rsidRDefault="00843998" w:rsidP="00843998">
      <w:pPr>
        <w:keepNext/>
        <w:tabs>
          <w:tab w:val="left" w:pos="284"/>
        </w:tabs>
        <w:suppressAutoHyphens/>
        <w:autoSpaceDN w:val="0"/>
        <w:spacing w:line="276" w:lineRule="auto"/>
        <w:jc w:val="both"/>
        <w:outlineLvl w:val="1"/>
        <w:rPr>
          <w:rFonts w:ascii="Arial" w:eastAsia="Times New Roman" w:hAnsi="Arial" w:cs="Arial"/>
          <w:b/>
          <w:i/>
          <w:sz w:val="20"/>
          <w:szCs w:val="20"/>
          <w:highlight w:val="yellow"/>
        </w:rPr>
      </w:pPr>
    </w:p>
    <w:p w14:paraId="14233C53" w14:textId="497DFE3B" w:rsidR="00843998" w:rsidRDefault="00843998" w:rsidP="00843998">
      <w:pPr>
        <w:suppressAutoHyphens/>
        <w:autoSpaceDN w:val="0"/>
        <w:spacing w:line="276" w:lineRule="auto"/>
        <w:contextualSpacing/>
        <w:jc w:val="both"/>
        <w:rPr>
          <w:rFonts w:ascii="Arial" w:eastAsia="Times New Roman" w:hAnsi="Arial" w:cs="Arial"/>
          <w:sz w:val="20"/>
          <w:szCs w:val="20"/>
        </w:rPr>
      </w:pPr>
      <w:r w:rsidRPr="00296A29">
        <w:rPr>
          <w:rFonts w:ascii="Arial" w:eastAsia="Times New Roman" w:hAnsi="Arial" w:cs="Arial"/>
          <w:sz w:val="20"/>
          <w:szCs w:val="20"/>
        </w:rPr>
        <w:t>MSFI-</w:t>
      </w:r>
      <w:proofErr w:type="spellStart"/>
      <w:r w:rsidRPr="00296A29">
        <w:rPr>
          <w:rFonts w:ascii="Arial" w:eastAsia="Times New Roman" w:hAnsi="Arial" w:cs="Arial"/>
          <w:sz w:val="20"/>
          <w:szCs w:val="20"/>
        </w:rPr>
        <w:t>jevi</w:t>
      </w:r>
      <w:proofErr w:type="spellEnd"/>
      <w:r w:rsidRPr="00296A29">
        <w:rPr>
          <w:rFonts w:ascii="Arial" w:eastAsia="Times New Roman" w:hAnsi="Arial" w:cs="Arial"/>
          <w:sz w:val="20"/>
          <w:szCs w:val="20"/>
        </w:rPr>
        <w:t xml:space="preserve"> trenutačno usvojeni u Europskoj uniji ne razlikuju se značajno od propisa koje je donio Odbor za Međunarodne računovodstvene standarde (OMRS), izuzev sljedećih novih standarda i izmjena postojećih standarda, o čijem usvajanju Europska unija dana 31.</w:t>
      </w:r>
      <w:r w:rsidR="00296A29">
        <w:rPr>
          <w:rFonts w:ascii="Arial" w:eastAsia="Times New Roman" w:hAnsi="Arial" w:cs="Arial"/>
          <w:sz w:val="20"/>
          <w:szCs w:val="20"/>
        </w:rPr>
        <w:t xml:space="preserve"> ožujka</w:t>
      </w:r>
      <w:r w:rsidRPr="00296A29">
        <w:rPr>
          <w:rFonts w:ascii="Arial" w:eastAsia="Times New Roman" w:hAnsi="Arial" w:cs="Arial"/>
          <w:sz w:val="20"/>
          <w:szCs w:val="20"/>
        </w:rPr>
        <w:t xml:space="preserve"> 202</w:t>
      </w:r>
      <w:r w:rsidR="00360A06">
        <w:rPr>
          <w:rFonts w:ascii="Arial" w:eastAsia="Times New Roman" w:hAnsi="Arial" w:cs="Arial"/>
          <w:sz w:val="20"/>
          <w:szCs w:val="20"/>
        </w:rPr>
        <w:t>4</w:t>
      </w:r>
      <w:r w:rsidRPr="00296A29">
        <w:rPr>
          <w:rFonts w:ascii="Arial" w:eastAsia="Times New Roman" w:hAnsi="Arial" w:cs="Arial"/>
          <w:sz w:val="20"/>
          <w:szCs w:val="20"/>
        </w:rPr>
        <w:t>.</w:t>
      </w:r>
      <w:r w:rsidRPr="00296A29">
        <w:rPr>
          <w:rFonts w:ascii="Arial" w:eastAsia="Times New Roman" w:hAnsi="Arial" w:cs="Arial"/>
          <w:color w:val="FF0000"/>
          <w:sz w:val="20"/>
          <w:szCs w:val="20"/>
        </w:rPr>
        <w:t xml:space="preserve"> </w:t>
      </w:r>
      <w:r w:rsidRPr="00296A29">
        <w:rPr>
          <w:rFonts w:ascii="Arial" w:eastAsia="Times New Roman" w:hAnsi="Arial" w:cs="Arial"/>
          <w:sz w:val="20"/>
          <w:szCs w:val="20"/>
        </w:rPr>
        <w:t>još nije donijela odluku (datumi stupanja na snagu navedeni u nastavku odnose se na MSFI-</w:t>
      </w:r>
      <w:proofErr w:type="spellStart"/>
      <w:r w:rsidRPr="00296A29">
        <w:rPr>
          <w:rFonts w:ascii="Arial" w:eastAsia="Times New Roman" w:hAnsi="Arial" w:cs="Arial"/>
          <w:sz w:val="20"/>
          <w:szCs w:val="20"/>
        </w:rPr>
        <w:t>jeve</w:t>
      </w:r>
      <w:proofErr w:type="spellEnd"/>
      <w:r w:rsidRPr="00296A29">
        <w:rPr>
          <w:rFonts w:ascii="Arial" w:eastAsia="Times New Roman" w:hAnsi="Arial" w:cs="Arial"/>
          <w:sz w:val="20"/>
          <w:szCs w:val="20"/>
        </w:rPr>
        <w:t xml:space="preserve"> koje je izdao OMRS): </w:t>
      </w:r>
    </w:p>
    <w:p w14:paraId="2DF1BC10" w14:textId="77777777" w:rsidR="00494656" w:rsidRPr="00296A29" w:rsidRDefault="00494656" w:rsidP="00843998">
      <w:pPr>
        <w:suppressAutoHyphens/>
        <w:autoSpaceDN w:val="0"/>
        <w:spacing w:line="276" w:lineRule="auto"/>
        <w:contextualSpacing/>
        <w:jc w:val="both"/>
        <w:rPr>
          <w:rFonts w:ascii="Arial" w:eastAsia="Times New Roman" w:hAnsi="Arial" w:cs="Arial"/>
          <w:sz w:val="20"/>
          <w:szCs w:val="20"/>
        </w:rPr>
      </w:pPr>
    </w:p>
    <w:p w14:paraId="7D93D6B3" w14:textId="77777777" w:rsidR="009D100E" w:rsidRDefault="00494656" w:rsidP="00BC207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709"/>
        <w:jc w:val="both"/>
        <w:rPr>
          <w:rFonts w:ascii="Arial" w:hAnsi="Arial" w:cs="Arial"/>
          <w:color w:val="000000" w:themeColor="text1"/>
          <w:sz w:val="20"/>
          <w:szCs w:val="20"/>
          <w:lang w:eastAsia="hr-HR"/>
        </w:rPr>
      </w:pPr>
      <w:r>
        <w:rPr>
          <w:rFonts w:ascii="Arial" w:eastAsia="Times New Roman" w:hAnsi="Arial" w:cs="Arial"/>
          <w:color w:val="000000" w:themeColor="text1"/>
          <w:sz w:val="20"/>
          <w:szCs w:val="20"/>
          <w:lang w:eastAsia="hr-HR"/>
        </w:rPr>
        <w:t xml:space="preserve">- </w:t>
      </w:r>
      <w:r w:rsidR="009D100E" w:rsidRPr="00F959D0">
        <w:rPr>
          <w:rFonts w:ascii="Arial" w:hAnsi="Arial" w:cs="Arial"/>
          <w:color w:val="000000" w:themeColor="text1"/>
          <w:sz w:val="20"/>
          <w:szCs w:val="20"/>
          <w:lang w:eastAsia="hr-HR"/>
        </w:rPr>
        <w:t>Dopune MRS-a 7 Izvještaj o novčanom toku i MSFI-ja 7 Financijski instrumenti: Objavljivanje: Financijski aranžmani dobavljača (na snazi za godišnja razdoblja koja počinju na dan ili nakon 1. siječnja 2024. godine);</w:t>
      </w:r>
    </w:p>
    <w:p w14:paraId="48270914" w14:textId="77777777" w:rsidR="00BC2071" w:rsidRPr="00F959D0" w:rsidRDefault="00BC2071" w:rsidP="005D121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709"/>
        <w:jc w:val="both"/>
        <w:rPr>
          <w:rFonts w:ascii="Arial" w:hAnsi="Arial" w:cs="Arial"/>
          <w:color w:val="000000" w:themeColor="text1"/>
          <w:sz w:val="20"/>
          <w:szCs w:val="20"/>
          <w:lang w:eastAsia="hr-HR"/>
        </w:rPr>
      </w:pPr>
    </w:p>
    <w:p w14:paraId="732E282C" w14:textId="238B455C" w:rsidR="001F44BA" w:rsidRDefault="001F44BA" w:rsidP="0099032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709"/>
        <w:jc w:val="both"/>
        <w:rPr>
          <w:rFonts w:ascii="Arial" w:hAnsi="Arial" w:cs="Arial"/>
          <w:color w:val="000000" w:themeColor="text1"/>
          <w:sz w:val="20"/>
          <w:szCs w:val="20"/>
          <w:lang w:eastAsia="hr-HR"/>
        </w:rPr>
      </w:pPr>
      <w:r>
        <w:rPr>
          <w:rFonts w:ascii="Arial" w:eastAsia="Times New Roman" w:hAnsi="Arial" w:cs="Arial"/>
          <w:color w:val="000000" w:themeColor="text1"/>
          <w:sz w:val="20"/>
          <w:szCs w:val="20"/>
          <w:lang w:eastAsia="hr-HR"/>
        </w:rPr>
        <w:t xml:space="preserve">- </w:t>
      </w:r>
      <w:r w:rsidR="0099032C" w:rsidRPr="00F959D0">
        <w:rPr>
          <w:rFonts w:ascii="Arial" w:hAnsi="Arial" w:cs="Arial"/>
          <w:color w:val="000000" w:themeColor="text1"/>
          <w:sz w:val="20"/>
          <w:szCs w:val="20"/>
          <w:lang w:eastAsia="hr-HR"/>
        </w:rPr>
        <w:t>Dopune MRS-a 21 Učinci promjena tečaja stranih valuta: nemogućnost konverzije (na snazi za godišnja razdoblja koja počinju na dan ili nakon 1. siječnja 2025. godine)</w:t>
      </w:r>
      <w:r w:rsidR="009D100E">
        <w:rPr>
          <w:rFonts w:ascii="Arial" w:hAnsi="Arial" w:cs="Arial"/>
          <w:color w:val="000000" w:themeColor="text1"/>
          <w:sz w:val="20"/>
          <w:szCs w:val="20"/>
          <w:lang w:eastAsia="hr-HR"/>
        </w:rPr>
        <w:t>;</w:t>
      </w:r>
    </w:p>
    <w:p w14:paraId="7FCF8AF3" w14:textId="77777777" w:rsidR="00BC2071" w:rsidRPr="005D1219" w:rsidRDefault="00BC2071" w:rsidP="0099032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709"/>
        <w:jc w:val="both"/>
        <w:rPr>
          <w:rFonts w:ascii="Arial" w:hAnsi="Arial" w:cs="Arial"/>
          <w:color w:val="000000" w:themeColor="text1"/>
          <w:sz w:val="20"/>
          <w:szCs w:val="20"/>
          <w:lang w:eastAsia="hr-HR"/>
        </w:rPr>
      </w:pPr>
    </w:p>
    <w:p w14:paraId="17DE3F3D" w14:textId="5E6F0826" w:rsidR="00D71ADB" w:rsidRPr="00241BA0" w:rsidRDefault="00B55F6C" w:rsidP="00241BA0">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ind w:left="709"/>
        <w:jc w:val="both"/>
        <w:rPr>
          <w:rFonts w:ascii="Arial" w:eastAsia="Times New Roman" w:hAnsi="Arial" w:cs="Arial"/>
          <w:color w:val="000000" w:themeColor="text1"/>
          <w:sz w:val="20"/>
          <w:szCs w:val="20"/>
          <w:lang w:eastAsia="hr-HR"/>
        </w:rPr>
      </w:pPr>
      <w:r>
        <w:rPr>
          <w:rFonts w:ascii="Arial" w:eastAsia="Times New Roman" w:hAnsi="Arial" w:cs="Arial"/>
          <w:color w:val="000000" w:themeColor="text1"/>
          <w:sz w:val="20"/>
          <w:szCs w:val="20"/>
          <w:lang w:eastAsia="hr-HR"/>
        </w:rPr>
        <w:t xml:space="preserve">- </w:t>
      </w:r>
      <w:r w:rsidR="00494656">
        <w:rPr>
          <w:rFonts w:ascii="Arial" w:eastAsia="Times New Roman" w:hAnsi="Arial" w:cs="Arial"/>
          <w:color w:val="000000" w:themeColor="text1"/>
          <w:sz w:val="20"/>
          <w:szCs w:val="20"/>
          <w:lang w:eastAsia="hr-HR"/>
        </w:rPr>
        <w:t>MSFI 18 Prezentacija i objavljivanje u financijskim izvještajima</w:t>
      </w:r>
      <w:r w:rsidR="001D34E7">
        <w:rPr>
          <w:rFonts w:ascii="Arial" w:eastAsia="Times New Roman" w:hAnsi="Arial" w:cs="Arial"/>
          <w:color w:val="000000" w:themeColor="text1"/>
          <w:sz w:val="20"/>
          <w:szCs w:val="20"/>
          <w:lang w:eastAsia="hr-HR"/>
        </w:rPr>
        <w:t xml:space="preserve"> (na snazi za godišnja razdoblja koja počinju na dan ili nakon 1. siječnja 2027. godine).</w:t>
      </w:r>
    </w:p>
    <w:p w14:paraId="5FF10E2B" w14:textId="77777777" w:rsidR="00843998" w:rsidRPr="003D1614" w:rsidRDefault="00843998" w:rsidP="0084399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highlight w:val="yellow"/>
          <w:lang w:eastAsia="hr-HR"/>
        </w:rPr>
      </w:pPr>
    </w:p>
    <w:p w14:paraId="3DB96C1A" w14:textId="522173E0" w:rsidR="00843998" w:rsidRPr="003D1614" w:rsidRDefault="00843998" w:rsidP="0084399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r w:rsidRPr="00994747">
        <w:rPr>
          <w:rFonts w:ascii="Arial" w:eastAsia="Times New Roman" w:hAnsi="Arial" w:cs="Arial"/>
          <w:color w:val="000000" w:themeColor="text1"/>
          <w:sz w:val="20"/>
          <w:szCs w:val="20"/>
          <w:lang w:eastAsia="hr-HR"/>
        </w:rPr>
        <w:t>Grupa očekuje da usvajanje dopuna postojećih standarda neće dovesti do značajnih promjena u financijskim izvještajima Grupe</w:t>
      </w:r>
      <w:r w:rsidR="00BC2071">
        <w:rPr>
          <w:rFonts w:ascii="Arial" w:eastAsia="Times New Roman" w:hAnsi="Arial" w:cs="Arial"/>
          <w:color w:val="000000" w:themeColor="text1"/>
          <w:sz w:val="20"/>
          <w:szCs w:val="20"/>
          <w:lang w:eastAsia="hr-HR"/>
        </w:rPr>
        <w:t>, a</w:t>
      </w:r>
      <w:r w:rsidR="006243AF">
        <w:rPr>
          <w:rFonts w:ascii="Arial" w:eastAsia="Times New Roman" w:hAnsi="Arial" w:cs="Arial"/>
          <w:color w:val="000000" w:themeColor="text1"/>
          <w:sz w:val="20"/>
          <w:szCs w:val="20"/>
          <w:lang w:eastAsia="hr-HR"/>
        </w:rPr>
        <w:t xml:space="preserve"> za novi MSFI 18 Grupa će primijeniti stručnu prosudbu sukladno svom poslovnom modelu</w:t>
      </w:r>
      <w:r w:rsidRPr="00994747">
        <w:rPr>
          <w:rFonts w:ascii="Arial" w:eastAsia="Times New Roman" w:hAnsi="Arial" w:cs="Arial"/>
          <w:color w:val="000000" w:themeColor="text1"/>
          <w:sz w:val="20"/>
          <w:szCs w:val="20"/>
          <w:lang w:eastAsia="hr-HR"/>
        </w:rPr>
        <w:t>.</w:t>
      </w:r>
    </w:p>
    <w:p w14:paraId="2A2D7BBB" w14:textId="2DF08D20" w:rsidR="00843998" w:rsidRPr="003D1614" w:rsidRDefault="00843998" w:rsidP="0084399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p>
    <w:p w14:paraId="6AC9BABD" w14:textId="77777777" w:rsidR="00843998" w:rsidRPr="003D1614" w:rsidRDefault="00843998" w:rsidP="0084399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sectPr w:rsidR="00843998" w:rsidRPr="003D1614">
          <w:pgSz w:w="11906" w:h="16838"/>
          <w:pgMar w:top="1417" w:right="1417" w:bottom="1417" w:left="1417" w:header="708" w:footer="708" w:gutter="0"/>
          <w:cols w:space="708"/>
          <w:docGrid w:linePitch="360"/>
        </w:sectPr>
      </w:pPr>
    </w:p>
    <w:p w14:paraId="0062D673" w14:textId="77777777" w:rsidR="00843998" w:rsidRPr="003D1614" w:rsidRDefault="00843998" w:rsidP="00843998">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Times New Roman" w:hAnsi="Arial" w:cs="Arial"/>
          <w:color w:val="000000" w:themeColor="text1"/>
          <w:sz w:val="20"/>
          <w:szCs w:val="20"/>
          <w:lang w:eastAsia="hr-HR"/>
        </w:rPr>
      </w:pPr>
    </w:p>
    <w:p w14:paraId="443EEE4F" w14:textId="77777777" w:rsidR="00843998" w:rsidRPr="003D1614" w:rsidRDefault="00843998" w:rsidP="00843998">
      <w:pPr>
        <w:keepNext/>
        <w:tabs>
          <w:tab w:val="left" w:pos="142"/>
          <w:tab w:val="left" w:pos="567"/>
        </w:tabs>
        <w:suppressAutoHyphens/>
        <w:autoSpaceDN w:val="0"/>
        <w:jc w:val="both"/>
        <w:outlineLvl w:val="0"/>
        <w:rPr>
          <w:rFonts w:ascii="Arial" w:eastAsia="Times New Roman" w:hAnsi="Arial" w:cs="Arial"/>
          <w:b/>
          <w:bCs/>
          <w:color w:val="000000" w:themeColor="text1"/>
          <w:sz w:val="20"/>
          <w:szCs w:val="20"/>
        </w:rPr>
      </w:pPr>
    </w:p>
    <w:p w14:paraId="3D4937C6" w14:textId="77777777" w:rsidR="00843998" w:rsidRPr="003D1614" w:rsidRDefault="00843998" w:rsidP="00843998">
      <w:pPr>
        <w:keepNext/>
        <w:tabs>
          <w:tab w:val="left" w:pos="142"/>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5.</w:t>
      </w:r>
      <w:r w:rsidRPr="003D1614">
        <w:rPr>
          <w:rFonts w:ascii="Arial" w:eastAsia="Times New Roman" w:hAnsi="Arial" w:cs="Arial"/>
          <w:b/>
          <w:bCs/>
          <w:color w:val="000000" w:themeColor="text1"/>
          <w:sz w:val="20"/>
          <w:szCs w:val="20"/>
        </w:rPr>
        <w:tab/>
        <w:t>Prihodi od kamata izračunati metodom efektivne kamatne stope</w:t>
      </w:r>
    </w:p>
    <w:p w14:paraId="3CED700F" w14:textId="77777777"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p>
    <w:p w14:paraId="7BF0D413" w14:textId="52C44376"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Prihodi od kamata po korisnicima:</w:t>
      </w:r>
    </w:p>
    <w:p w14:paraId="4E5CDECE" w14:textId="77777777"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p>
    <w:tbl>
      <w:tblPr>
        <w:tblW w:w="5000" w:type="pct"/>
        <w:tblLayout w:type="fixed"/>
        <w:tblCellMar>
          <w:right w:w="113" w:type="dxa"/>
        </w:tblCellMar>
        <w:tblLook w:val="0000" w:firstRow="0" w:lastRow="0" w:firstColumn="0" w:lastColumn="0" w:noHBand="0" w:noVBand="0"/>
      </w:tblPr>
      <w:tblGrid>
        <w:gridCol w:w="3710"/>
        <w:gridCol w:w="1341"/>
        <w:gridCol w:w="1341"/>
        <w:gridCol w:w="1341"/>
        <w:gridCol w:w="1339"/>
      </w:tblGrid>
      <w:tr w:rsidR="00843998" w:rsidRPr="00BD2256" w14:paraId="062B6308" w14:textId="77777777" w:rsidTr="00BD2256">
        <w:trPr>
          <w:trHeight w:val="225"/>
        </w:trPr>
        <w:tc>
          <w:tcPr>
            <w:tcW w:w="2045" w:type="pct"/>
            <w:vAlign w:val="bottom"/>
          </w:tcPr>
          <w:p w14:paraId="6104DAEE" w14:textId="77777777" w:rsidR="00843998" w:rsidRPr="00BD2256" w:rsidRDefault="00843998" w:rsidP="00843998">
            <w:pPr>
              <w:tabs>
                <w:tab w:val="left" w:pos="-720"/>
              </w:tabs>
              <w:suppressAutoHyphens/>
              <w:autoSpaceDN w:val="0"/>
              <w:ind w:right="4144"/>
              <w:jc w:val="right"/>
              <w:rPr>
                <w:rFonts w:ascii="Arial" w:eastAsia="Times New Roman" w:hAnsi="Arial" w:cs="Arial"/>
                <w:color w:val="000000" w:themeColor="text1"/>
                <w:sz w:val="20"/>
                <w:szCs w:val="20"/>
              </w:rPr>
            </w:pPr>
          </w:p>
        </w:tc>
        <w:tc>
          <w:tcPr>
            <w:tcW w:w="1478" w:type="pct"/>
            <w:gridSpan w:val="2"/>
            <w:vAlign w:val="bottom"/>
          </w:tcPr>
          <w:p w14:paraId="124FCA62" w14:textId="77777777" w:rsidR="00843998" w:rsidRPr="00BD225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bookmarkStart w:id="250" w:name="_Toc67327391"/>
            <w:r w:rsidRPr="00BD2256">
              <w:rPr>
                <w:rFonts w:ascii="Arial" w:eastAsia="Times New Roman" w:hAnsi="Arial" w:cs="Arial"/>
                <w:b/>
                <w:color w:val="000000" w:themeColor="text1"/>
                <w:sz w:val="20"/>
                <w:szCs w:val="20"/>
              </w:rPr>
              <w:t>Grupa</w:t>
            </w:r>
            <w:bookmarkEnd w:id="250"/>
          </w:p>
        </w:tc>
        <w:tc>
          <w:tcPr>
            <w:tcW w:w="1477" w:type="pct"/>
            <w:gridSpan w:val="2"/>
            <w:vAlign w:val="bottom"/>
          </w:tcPr>
          <w:p w14:paraId="1A13D6FD" w14:textId="77777777" w:rsidR="00843998" w:rsidRPr="00BD225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bookmarkStart w:id="251" w:name="_Toc67327392"/>
            <w:r w:rsidRPr="00BD2256">
              <w:rPr>
                <w:rFonts w:ascii="Arial" w:eastAsia="Times New Roman" w:hAnsi="Arial" w:cs="Arial"/>
                <w:b/>
                <w:color w:val="000000" w:themeColor="text1"/>
                <w:sz w:val="20"/>
                <w:szCs w:val="20"/>
              </w:rPr>
              <w:t>Banka</w:t>
            </w:r>
            <w:bookmarkEnd w:id="251"/>
          </w:p>
        </w:tc>
      </w:tr>
      <w:tr w:rsidR="00843998" w:rsidRPr="00BD2256" w14:paraId="32683612" w14:textId="77777777" w:rsidTr="00BD2256">
        <w:trPr>
          <w:trHeight w:val="225"/>
        </w:trPr>
        <w:tc>
          <w:tcPr>
            <w:tcW w:w="2045" w:type="pct"/>
            <w:vAlign w:val="bottom"/>
          </w:tcPr>
          <w:p w14:paraId="4982E972" w14:textId="77777777" w:rsidR="00843998" w:rsidRPr="00BD2256" w:rsidRDefault="00843998" w:rsidP="00843998">
            <w:pPr>
              <w:tabs>
                <w:tab w:val="left" w:pos="-720"/>
              </w:tabs>
              <w:suppressAutoHyphens/>
              <w:autoSpaceDN w:val="0"/>
              <w:ind w:right="4144"/>
              <w:jc w:val="right"/>
              <w:rPr>
                <w:rFonts w:ascii="Arial" w:eastAsia="Times New Roman" w:hAnsi="Arial" w:cs="Arial"/>
                <w:color w:val="000000" w:themeColor="text1"/>
                <w:sz w:val="20"/>
                <w:szCs w:val="20"/>
              </w:rPr>
            </w:pPr>
          </w:p>
        </w:tc>
        <w:tc>
          <w:tcPr>
            <w:tcW w:w="739" w:type="pct"/>
            <w:vAlign w:val="bottom"/>
          </w:tcPr>
          <w:p w14:paraId="3E429574" w14:textId="77777777" w:rsidR="00843998" w:rsidRPr="00BD225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BD2256">
              <w:rPr>
                <w:rFonts w:ascii="Arial" w:eastAsia="Times New Roman" w:hAnsi="Arial" w:cs="Arial"/>
                <w:b/>
                <w:color w:val="000000" w:themeColor="text1"/>
                <w:sz w:val="20"/>
                <w:szCs w:val="20"/>
              </w:rPr>
              <w:t>1.1.-31.3.</w:t>
            </w:r>
          </w:p>
          <w:p w14:paraId="1B6C5138" w14:textId="61CB41B4" w:rsidR="00843998" w:rsidRPr="00BD225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BD2256">
              <w:rPr>
                <w:rFonts w:ascii="Arial" w:eastAsia="Times New Roman" w:hAnsi="Arial" w:cs="Arial"/>
                <w:b/>
                <w:color w:val="000000" w:themeColor="text1"/>
                <w:sz w:val="20"/>
                <w:szCs w:val="20"/>
              </w:rPr>
              <w:t>202</w:t>
            </w:r>
            <w:r w:rsidR="00613266">
              <w:rPr>
                <w:rFonts w:ascii="Arial" w:eastAsia="Times New Roman" w:hAnsi="Arial" w:cs="Arial"/>
                <w:b/>
                <w:color w:val="000000" w:themeColor="text1"/>
                <w:sz w:val="20"/>
                <w:szCs w:val="20"/>
              </w:rPr>
              <w:t>4</w:t>
            </w:r>
            <w:r w:rsidRPr="00BD2256">
              <w:rPr>
                <w:rFonts w:ascii="Arial" w:eastAsia="Times New Roman" w:hAnsi="Arial" w:cs="Arial"/>
                <w:b/>
                <w:color w:val="000000" w:themeColor="text1"/>
                <w:sz w:val="20"/>
                <w:szCs w:val="20"/>
              </w:rPr>
              <w:t>.</w:t>
            </w:r>
          </w:p>
        </w:tc>
        <w:tc>
          <w:tcPr>
            <w:tcW w:w="739" w:type="pct"/>
            <w:vAlign w:val="bottom"/>
          </w:tcPr>
          <w:p w14:paraId="25748F29" w14:textId="77777777" w:rsidR="00843998" w:rsidRPr="00BD225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BD2256">
              <w:rPr>
                <w:rFonts w:ascii="Arial" w:eastAsia="Times New Roman" w:hAnsi="Arial" w:cs="Arial"/>
                <w:b/>
                <w:color w:val="000000" w:themeColor="text1"/>
                <w:sz w:val="20"/>
                <w:szCs w:val="20"/>
              </w:rPr>
              <w:t>1.1.-31.3.</w:t>
            </w:r>
          </w:p>
          <w:p w14:paraId="03A4EC1E" w14:textId="25E36EED" w:rsidR="00843998" w:rsidRPr="00BD225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BD2256">
              <w:rPr>
                <w:rFonts w:ascii="Arial" w:eastAsia="Times New Roman" w:hAnsi="Arial" w:cs="Arial"/>
                <w:b/>
                <w:color w:val="000000" w:themeColor="text1"/>
                <w:sz w:val="20"/>
                <w:szCs w:val="20"/>
              </w:rPr>
              <w:t>202</w:t>
            </w:r>
            <w:r w:rsidR="00613266">
              <w:rPr>
                <w:rFonts w:ascii="Arial" w:eastAsia="Times New Roman" w:hAnsi="Arial" w:cs="Arial"/>
                <w:b/>
                <w:color w:val="000000" w:themeColor="text1"/>
                <w:sz w:val="20"/>
                <w:szCs w:val="20"/>
              </w:rPr>
              <w:t>3</w:t>
            </w:r>
            <w:r w:rsidRPr="00BD2256">
              <w:rPr>
                <w:rFonts w:ascii="Arial" w:eastAsia="Times New Roman" w:hAnsi="Arial" w:cs="Arial"/>
                <w:b/>
                <w:color w:val="000000" w:themeColor="text1"/>
                <w:sz w:val="20"/>
                <w:szCs w:val="20"/>
              </w:rPr>
              <w:t>.</w:t>
            </w:r>
          </w:p>
        </w:tc>
        <w:tc>
          <w:tcPr>
            <w:tcW w:w="739" w:type="pct"/>
            <w:vAlign w:val="bottom"/>
          </w:tcPr>
          <w:p w14:paraId="6902F4AA" w14:textId="77777777" w:rsidR="00843998" w:rsidRPr="00BD225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BD2256">
              <w:rPr>
                <w:rFonts w:ascii="Arial" w:eastAsia="Times New Roman" w:hAnsi="Arial" w:cs="Arial"/>
                <w:b/>
                <w:color w:val="000000" w:themeColor="text1"/>
                <w:sz w:val="20"/>
                <w:szCs w:val="20"/>
              </w:rPr>
              <w:t>1.1.-31.3.</w:t>
            </w:r>
          </w:p>
          <w:p w14:paraId="31711FAF" w14:textId="68672BB1" w:rsidR="00843998" w:rsidRPr="00BD225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BD2256">
              <w:rPr>
                <w:rFonts w:ascii="Arial" w:eastAsia="Times New Roman" w:hAnsi="Arial" w:cs="Arial"/>
                <w:b/>
                <w:color w:val="000000" w:themeColor="text1"/>
                <w:sz w:val="20"/>
                <w:szCs w:val="20"/>
              </w:rPr>
              <w:t>202</w:t>
            </w:r>
            <w:r w:rsidR="00C376D8">
              <w:rPr>
                <w:rFonts w:ascii="Arial" w:eastAsia="Times New Roman" w:hAnsi="Arial" w:cs="Arial"/>
                <w:b/>
                <w:color w:val="000000" w:themeColor="text1"/>
                <w:sz w:val="20"/>
                <w:szCs w:val="20"/>
              </w:rPr>
              <w:t>4</w:t>
            </w:r>
            <w:r w:rsidRPr="00BD2256">
              <w:rPr>
                <w:rFonts w:ascii="Arial" w:eastAsia="Times New Roman" w:hAnsi="Arial" w:cs="Arial"/>
                <w:b/>
                <w:color w:val="000000" w:themeColor="text1"/>
                <w:sz w:val="20"/>
                <w:szCs w:val="20"/>
              </w:rPr>
              <w:t>.</w:t>
            </w:r>
          </w:p>
        </w:tc>
        <w:tc>
          <w:tcPr>
            <w:tcW w:w="738" w:type="pct"/>
            <w:vAlign w:val="bottom"/>
          </w:tcPr>
          <w:p w14:paraId="5BD95510" w14:textId="77777777" w:rsidR="00843998" w:rsidRPr="00BD225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BD2256">
              <w:rPr>
                <w:rFonts w:ascii="Arial" w:eastAsia="Times New Roman" w:hAnsi="Arial" w:cs="Arial"/>
                <w:b/>
                <w:color w:val="000000" w:themeColor="text1"/>
                <w:sz w:val="20"/>
                <w:szCs w:val="20"/>
              </w:rPr>
              <w:t>1.1.-31.3.</w:t>
            </w:r>
          </w:p>
          <w:p w14:paraId="3BA13482" w14:textId="590424E7" w:rsidR="00843998" w:rsidRPr="00BD225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BD2256">
              <w:rPr>
                <w:rFonts w:ascii="Arial" w:eastAsia="Times New Roman" w:hAnsi="Arial" w:cs="Arial"/>
                <w:b/>
                <w:color w:val="000000" w:themeColor="text1"/>
                <w:sz w:val="20"/>
                <w:szCs w:val="20"/>
              </w:rPr>
              <w:t>202</w:t>
            </w:r>
            <w:r w:rsidR="00C376D8">
              <w:rPr>
                <w:rFonts w:ascii="Arial" w:eastAsia="Times New Roman" w:hAnsi="Arial" w:cs="Arial"/>
                <w:b/>
                <w:color w:val="000000" w:themeColor="text1"/>
                <w:sz w:val="20"/>
                <w:szCs w:val="20"/>
              </w:rPr>
              <w:t>3</w:t>
            </w:r>
            <w:r w:rsidRPr="00BD2256">
              <w:rPr>
                <w:rFonts w:ascii="Arial" w:eastAsia="Times New Roman" w:hAnsi="Arial" w:cs="Arial"/>
                <w:b/>
                <w:color w:val="000000" w:themeColor="text1"/>
                <w:sz w:val="20"/>
                <w:szCs w:val="20"/>
              </w:rPr>
              <w:t>.</w:t>
            </w:r>
          </w:p>
        </w:tc>
      </w:tr>
      <w:tr w:rsidR="00843998" w:rsidRPr="00BD2256" w14:paraId="3CF564E1" w14:textId="77777777" w:rsidTr="00BD2256">
        <w:trPr>
          <w:trHeight w:val="187"/>
        </w:trPr>
        <w:tc>
          <w:tcPr>
            <w:tcW w:w="2045" w:type="pct"/>
            <w:vAlign w:val="bottom"/>
          </w:tcPr>
          <w:p w14:paraId="62EF1805" w14:textId="77777777" w:rsidR="00843998" w:rsidRPr="00BD2256" w:rsidRDefault="00843998" w:rsidP="00843998">
            <w:pPr>
              <w:tabs>
                <w:tab w:val="left" w:pos="-720"/>
              </w:tabs>
              <w:suppressAutoHyphens/>
              <w:autoSpaceDN w:val="0"/>
              <w:ind w:right="4144"/>
              <w:jc w:val="right"/>
              <w:rPr>
                <w:rFonts w:ascii="Arial" w:eastAsia="Times New Roman" w:hAnsi="Arial" w:cs="Arial"/>
                <w:color w:val="000000" w:themeColor="text1"/>
                <w:sz w:val="20"/>
                <w:szCs w:val="20"/>
              </w:rPr>
            </w:pPr>
          </w:p>
        </w:tc>
        <w:tc>
          <w:tcPr>
            <w:tcW w:w="739" w:type="pct"/>
            <w:vAlign w:val="bottom"/>
          </w:tcPr>
          <w:p w14:paraId="09795C99" w14:textId="0F45F664" w:rsidR="00843998" w:rsidRPr="00BD225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bookmarkStart w:id="252" w:name="_Toc67327397"/>
            <w:r w:rsidRPr="00BD2256">
              <w:rPr>
                <w:rFonts w:ascii="Arial" w:eastAsia="Times New Roman" w:hAnsi="Arial" w:cs="Arial"/>
                <w:b/>
                <w:color w:val="000000" w:themeColor="text1"/>
                <w:sz w:val="20"/>
                <w:szCs w:val="20"/>
              </w:rPr>
              <w:t xml:space="preserve">000 </w:t>
            </w:r>
            <w:bookmarkEnd w:id="252"/>
            <w:r w:rsidRPr="00BD2256">
              <w:rPr>
                <w:rFonts w:ascii="Arial" w:eastAsia="Times New Roman" w:hAnsi="Arial" w:cs="Arial"/>
                <w:b/>
                <w:color w:val="000000" w:themeColor="text1"/>
                <w:sz w:val="20"/>
                <w:szCs w:val="20"/>
              </w:rPr>
              <w:t>eura</w:t>
            </w:r>
          </w:p>
        </w:tc>
        <w:tc>
          <w:tcPr>
            <w:tcW w:w="739" w:type="pct"/>
            <w:vAlign w:val="bottom"/>
          </w:tcPr>
          <w:p w14:paraId="0FE218D3" w14:textId="36D9D7D4" w:rsidR="00843998" w:rsidRPr="00BD225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BD2256">
              <w:rPr>
                <w:rFonts w:ascii="Arial" w:eastAsia="Times New Roman" w:hAnsi="Arial" w:cs="Arial"/>
                <w:b/>
                <w:color w:val="000000" w:themeColor="text1"/>
                <w:sz w:val="20"/>
                <w:szCs w:val="20"/>
              </w:rPr>
              <w:t>000 eura</w:t>
            </w:r>
          </w:p>
        </w:tc>
        <w:tc>
          <w:tcPr>
            <w:tcW w:w="739" w:type="pct"/>
            <w:vAlign w:val="bottom"/>
          </w:tcPr>
          <w:p w14:paraId="6FDF15D0" w14:textId="64547DFE" w:rsidR="00843998" w:rsidRPr="00BD225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BD2256">
              <w:rPr>
                <w:rFonts w:ascii="Arial" w:eastAsia="Times New Roman" w:hAnsi="Arial" w:cs="Arial"/>
                <w:b/>
                <w:color w:val="000000" w:themeColor="text1"/>
                <w:sz w:val="20"/>
                <w:szCs w:val="20"/>
              </w:rPr>
              <w:t>000 eura</w:t>
            </w:r>
          </w:p>
        </w:tc>
        <w:tc>
          <w:tcPr>
            <w:tcW w:w="738" w:type="pct"/>
            <w:vAlign w:val="bottom"/>
          </w:tcPr>
          <w:p w14:paraId="5C54D17C" w14:textId="76F679AB" w:rsidR="00843998" w:rsidRPr="00BD225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BD2256">
              <w:rPr>
                <w:rFonts w:ascii="Arial" w:eastAsia="Times New Roman" w:hAnsi="Arial" w:cs="Arial"/>
                <w:b/>
                <w:color w:val="000000" w:themeColor="text1"/>
                <w:sz w:val="20"/>
                <w:szCs w:val="20"/>
              </w:rPr>
              <w:t>000 eura</w:t>
            </w:r>
          </w:p>
        </w:tc>
      </w:tr>
      <w:tr w:rsidR="00843998" w:rsidRPr="00BD2256" w14:paraId="4D1A8419" w14:textId="77777777" w:rsidTr="00BD2256">
        <w:trPr>
          <w:trHeight w:val="187"/>
        </w:trPr>
        <w:tc>
          <w:tcPr>
            <w:tcW w:w="2045" w:type="pct"/>
            <w:vAlign w:val="bottom"/>
          </w:tcPr>
          <w:p w14:paraId="2D2BD59E" w14:textId="77777777" w:rsidR="00843998" w:rsidRPr="00BD2256" w:rsidRDefault="00843998" w:rsidP="00843998">
            <w:pPr>
              <w:tabs>
                <w:tab w:val="left" w:pos="-720"/>
              </w:tabs>
              <w:suppressAutoHyphens/>
              <w:autoSpaceDN w:val="0"/>
              <w:ind w:right="4144"/>
              <w:jc w:val="right"/>
              <w:rPr>
                <w:rFonts w:ascii="Arial" w:eastAsia="Times New Roman" w:hAnsi="Arial" w:cs="Arial"/>
                <w:color w:val="000000" w:themeColor="text1"/>
                <w:sz w:val="20"/>
                <w:szCs w:val="20"/>
              </w:rPr>
            </w:pPr>
          </w:p>
        </w:tc>
        <w:tc>
          <w:tcPr>
            <w:tcW w:w="739" w:type="pct"/>
            <w:vAlign w:val="bottom"/>
          </w:tcPr>
          <w:p w14:paraId="05AEEBFD" w14:textId="77777777" w:rsidR="00843998" w:rsidRPr="00BD2256" w:rsidRDefault="00843998" w:rsidP="00843998">
            <w:pPr>
              <w:suppressAutoHyphens/>
              <w:autoSpaceDN w:val="0"/>
              <w:jc w:val="right"/>
              <w:rPr>
                <w:rFonts w:ascii="Arial" w:eastAsia="Times New Roman" w:hAnsi="Arial" w:cs="Arial"/>
                <w:b/>
                <w:color w:val="000000" w:themeColor="text1"/>
                <w:sz w:val="20"/>
                <w:szCs w:val="20"/>
              </w:rPr>
            </w:pPr>
          </w:p>
        </w:tc>
        <w:tc>
          <w:tcPr>
            <w:tcW w:w="739" w:type="pct"/>
            <w:vAlign w:val="bottom"/>
          </w:tcPr>
          <w:p w14:paraId="229FF75E" w14:textId="77777777" w:rsidR="00843998" w:rsidRPr="00BD2256" w:rsidRDefault="00843998" w:rsidP="00843998">
            <w:pPr>
              <w:suppressAutoHyphens/>
              <w:autoSpaceDN w:val="0"/>
              <w:jc w:val="right"/>
              <w:rPr>
                <w:rFonts w:ascii="Arial" w:eastAsia="Times New Roman" w:hAnsi="Arial" w:cs="Arial"/>
                <w:b/>
                <w:color w:val="000000" w:themeColor="text1"/>
                <w:sz w:val="20"/>
                <w:szCs w:val="20"/>
              </w:rPr>
            </w:pPr>
          </w:p>
        </w:tc>
        <w:tc>
          <w:tcPr>
            <w:tcW w:w="739" w:type="pct"/>
            <w:vAlign w:val="bottom"/>
          </w:tcPr>
          <w:p w14:paraId="6DE19C4D" w14:textId="77777777" w:rsidR="00843998" w:rsidRPr="00BD2256" w:rsidRDefault="00843998" w:rsidP="00843998">
            <w:pPr>
              <w:suppressAutoHyphens/>
              <w:autoSpaceDN w:val="0"/>
              <w:jc w:val="right"/>
              <w:rPr>
                <w:rFonts w:ascii="Arial" w:eastAsia="Times New Roman" w:hAnsi="Arial" w:cs="Arial"/>
                <w:b/>
                <w:color w:val="000000" w:themeColor="text1"/>
                <w:sz w:val="20"/>
                <w:szCs w:val="20"/>
              </w:rPr>
            </w:pPr>
          </w:p>
        </w:tc>
        <w:tc>
          <w:tcPr>
            <w:tcW w:w="738" w:type="pct"/>
            <w:vAlign w:val="bottom"/>
          </w:tcPr>
          <w:p w14:paraId="033616EF" w14:textId="77777777" w:rsidR="00843998" w:rsidRPr="00BD2256" w:rsidRDefault="00843998" w:rsidP="00843998">
            <w:pPr>
              <w:suppressAutoHyphens/>
              <w:autoSpaceDN w:val="0"/>
              <w:jc w:val="right"/>
              <w:rPr>
                <w:rFonts w:ascii="Arial" w:eastAsia="Times New Roman" w:hAnsi="Arial" w:cs="Arial"/>
                <w:b/>
                <w:color w:val="000000" w:themeColor="text1"/>
                <w:sz w:val="20"/>
                <w:szCs w:val="20"/>
              </w:rPr>
            </w:pPr>
          </w:p>
        </w:tc>
      </w:tr>
      <w:tr w:rsidR="00613266" w:rsidRPr="00BD2256" w14:paraId="49D567F7" w14:textId="77777777" w:rsidTr="00BD2256">
        <w:tc>
          <w:tcPr>
            <w:tcW w:w="2045" w:type="pct"/>
            <w:vAlign w:val="bottom"/>
          </w:tcPr>
          <w:p w14:paraId="0D4A928C" w14:textId="77777777" w:rsidR="00613266" w:rsidRPr="00BD2256" w:rsidRDefault="00613266" w:rsidP="00613266">
            <w:pPr>
              <w:tabs>
                <w:tab w:val="right" w:pos="1202"/>
              </w:tabs>
              <w:suppressAutoHyphens/>
              <w:autoSpaceDN w:val="0"/>
              <w:outlineLvl w:val="0"/>
              <w:rPr>
                <w:rFonts w:ascii="Arial" w:eastAsia="Times New Roman" w:hAnsi="Arial" w:cs="Arial"/>
                <w:color w:val="000000" w:themeColor="text1"/>
                <w:sz w:val="20"/>
                <w:szCs w:val="20"/>
              </w:rPr>
            </w:pPr>
            <w:bookmarkStart w:id="253" w:name="_Toc67327401"/>
            <w:r w:rsidRPr="00BD2256">
              <w:rPr>
                <w:rFonts w:ascii="Arial" w:eastAsia="Times New Roman" w:hAnsi="Arial" w:cs="Arial"/>
                <w:color w:val="000000" w:themeColor="text1"/>
                <w:sz w:val="20"/>
                <w:szCs w:val="20"/>
              </w:rPr>
              <w:t>Javni sektor</w:t>
            </w:r>
            <w:bookmarkEnd w:id="253"/>
          </w:p>
        </w:tc>
        <w:tc>
          <w:tcPr>
            <w:tcW w:w="739" w:type="pct"/>
            <w:tcBorders>
              <w:top w:val="nil"/>
              <w:left w:val="nil"/>
              <w:bottom w:val="nil"/>
              <w:right w:val="nil"/>
            </w:tcBorders>
            <w:shd w:val="clear" w:color="auto" w:fill="auto"/>
            <w:vAlign w:val="bottom"/>
          </w:tcPr>
          <w:p w14:paraId="00E4B8B7" w14:textId="035709C8" w:rsidR="00613266" w:rsidRPr="00BD2256" w:rsidRDefault="001E2FAF" w:rsidP="00613266">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5.700</w:t>
            </w:r>
          </w:p>
        </w:tc>
        <w:tc>
          <w:tcPr>
            <w:tcW w:w="739" w:type="pct"/>
            <w:tcBorders>
              <w:top w:val="nil"/>
              <w:left w:val="nil"/>
              <w:bottom w:val="nil"/>
              <w:right w:val="nil"/>
            </w:tcBorders>
            <w:shd w:val="clear" w:color="auto" w:fill="auto"/>
            <w:vAlign w:val="bottom"/>
          </w:tcPr>
          <w:p w14:paraId="618EEC44" w14:textId="1F066D67" w:rsidR="00613266" w:rsidRPr="00BD2256" w:rsidRDefault="00613266" w:rsidP="00613266">
            <w:pPr>
              <w:tabs>
                <w:tab w:val="right" w:pos="1202"/>
              </w:tabs>
              <w:suppressAutoHyphens/>
              <w:autoSpaceDN w:val="0"/>
              <w:jc w:val="right"/>
              <w:outlineLvl w:val="0"/>
              <w:rPr>
                <w:rFonts w:ascii="Arial" w:eastAsia="Times New Roman" w:hAnsi="Arial" w:cs="Arial"/>
                <w:color w:val="000000" w:themeColor="text1"/>
                <w:sz w:val="20"/>
                <w:szCs w:val="20"/>
              </w:rPr>
            </w:pPr>
            <w:r w:rsidRPr="00BD2256">
              <w:rPr>
                <w:rFonts w:ascii="Arial" w:hAnsi="Arial" w:cs="Arial"/>
                <w:sz w:val="20"/>
                <w:szCs w:val="20"/>
              </w:rPr>
              <w:t xml:space="preserve"> 5.007 </w:t>
            </w:r>
          </w:p>
        </w:tc>
        <w:tc>
          <w:tcPr>
            <w:tcW w:w="739" w:type="pct"/>
            <w:tcBorders>
              <w:top w:val="nil"/>
              <w:left w:val="nil"/>
              <w:bottom w:val="nil"/>
              <w:right w:val="nil"/>
            </w:tcBorders>
            <w:shd w:val="clear" w:color="auto" w:fill="auto"/>
            <w:vAlign w:val="bottom"/>
          </w:tcPr>
          <w:p w14:paraId="430AD7DA" w14:textId="5D92EAF7" w:rsidR="00613266" w:rsidRPr="00BD2256" w:rsidRDefault="006F1D8B" w:rsidP="00613266">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w:t>
            </w:r>
            <w:r w:rsidR="0033165E">
              <w:rPr>
                <w:rFonts w:ascii="Arial" w:eastAsia="Times New Roman" w:hAnsi="Arial" w:cs="Arial"/>
                <w:color w:val="000000" w:themeColor="text1"/>
                <w:sz w:val="20"/>
                <w:szCs w:val="20"/>
              </w:rPr>
              <w:t>57</w:t>
            </w:r>
          </w:p>
        </w:tc>
        <w:tc>
          <w:tcPr>
            <w:tcW w:w="738" w:type="pct"/>
            <w:tcBorders>
              <w:top w:val="nil"/>
              <w:left w:val="nil"/>
              <w:bottom w:val="nil"/>
              <w:right w:val="nil"/>
            </w:tcBorders>
            <w:shd w:val="clear" w:color="auto" w:fill="auto"/>
            <w:vAlign w:val="bottom"/>
          </w:tcPr>
          <w:p w14:paraId="1207A1C3" w14:textId="48AAABC6" w:rsidR="00613266" w:rsidRPr="00BD2256" w:rsidRDefault="00613266" w:rsidP="00613266">
            <w:pPr>
              <w:tabs>
                <w:tab w:val="right" w:pos="1202"/>
              </w:tabs>
              <w:suppressAutoHyphens/>
              <w:autoSpaceDN w:val="0"/>
              <w:jc w:val="right"/>
              <w:outlineLvl w:val="0"/>
              <w:rPr>
                <w:rFonts w:ascii="Arial" w:eastAsia="Times New Roman" w:hAnsi="Arial" w:cs="Arial"/>
                <w:color w:val="000000" w:themeColor="text1"/>
                <w:sz w:val="20"/>
                <w:szCs w:val="20"/>
              </w:rPr>
            </w:pPr>
            <w:r w:rsidRPr="00BD2256">
              <w:rPr>
                <w:rFonts w:ascii="Arial" w:hAnsi="Arial" w:cs="Arial"/>
                <w:sz w:val="20"/>
                <w:szCs w:val="20"/>
              </w:rPr>
              <w:t xml:space="preserve"> 4.964 </w:t>
            </w:r>
          </w:p>
        </w:tc>
      </w:tr>
      <w:tr w:rsidR="00613266" w:rsidRPr="00BD2256" w14:paraId="62DB9E60" w14:textId="77777777" w:rsidTr="00BD2256">
        <w:tc>
          <w:tcPr>
            <w:tcW w:w="2045" w:type="pct"/>
            <w:vAlign w:val="bottom"/>
          </w:tcPr>
          <w:p w14:paraId="1B025C6E" w14:textId="77777777" w:rsidR="00613266" w:rsidRPr="00BD2256" w:rsidRDefault="00613266" w:rsidP="00613266">
            <w:pPr>
              <w:tabs>
                <w:tab w:val="right" w:pos="1202"/>
              </w:tabs>
              <w:suppressAutoHyphens/>
              <w:autoSpaceDN w:val="0"/>
              <w:outlineLvl w:val="0"/>
              <w:rPr>
                <w:rFonts w:ascii="Arial" w:eastAsia="Times New Roman" w:hAnsi="Arial" w:cs="Arial"/>
                <w:color w:val="000000" w:themeColor="text1"/>
                <w:sz w:val="20"/>
                <w:szCs w:val="20"/>
              </w:rPr>
            </w:pPr>
            <w:bookmarkStart w:id="254" w:name="_Toc67327406"/>
            <w:r w:rsidRPr="00BD2256">
              <w:rPr>
                <w:rFonts w:ascii="Arial" w:eastAsia="Times New Roman" w:hAnsi="Arial" w:cs="Arial"/>
                <w:color w:val="000000" w:themeColor="text1"/>
                <w:sz w:val="20"/>
                <w:szCs w:val="20"/>
              </w:rPr>
              <w:t>Državna trgovačka društva</w:t>
            </w:r>
            <w:bookmarkEnd w:id="254"/>
          </w:p>
        </w:tc>
        <w:tc>
          <w:tcPr>
            <w:tcW w:w="739" w:type="pct"/>
            <w:tcBorders>
              <w:top w:val="nil"/>
              <w:left w:val="nil"/>
              <w:bottom w:val="nil"/>
              <w:right w:val="nil"/>
            </w:tcBorders>
            <w:shd w:val="clear" w:color="auto" w:fill="auto"/>
            <w:vAlign w:val="bottom"/>
          </w:tcPr>
          <w:p w14:paraId="44A09871" w14:textId="2F4D8E3C" w:rsidR="00613266" w:rsidRPr="00BD2256" w:rsidRDefault="001E2FAF" w:rsidP="00613266">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1.951</w:t>
            </w:r>
          </w:p>
        </w:tc>
        <w:tc>
          <w:tcPr>
            <w:tcW w:w="739" w:type="pct"/>
            <w:tcBorders>
              <w:top w:val="nil"/>
              <w:left w:val="nil"/>
              <w:bottom w:val="nil"/>
              <w:right w:val="nil"/>
            </w:tcBorders>
            <w:shd w:val="clear" w:color="auto" w:fill="auto"/>
            <w:vAlign w:val="bottom"/>
          </w:tcPr>
          <w:p w14:paraId="6004EE88" w14:textId="1042A2FE" w:rsidR="00613266" w:rsidRPr="00BD2256" w:rsidRDefault="00613266" w:rsidP="00613266">
            <w:pPr>
              <w:tabs>
                <w:tab w:val="right" w:pos="1202"/>
              </w:tabs>
              <w:suppressAutoHyphens/>
              <w:autoSpaceDN w:val="0"/>
              <w:jc w:val="right"/>
              <w:outlineLvl w:val="0"/>
              <w:rPr>
                <w:rFonts w:ascii="Arial" w:eastAsia="Times New Roman" w:hAnsi="Arial" w:cs="Arial"/>
                <w:color w:val="000000" w:themeColor="text1"/>
                <w:sz w:val="20"/>
                <w:szCs w:val="20"/>
              </w:rPr>
            </w:pPr>
            <w:r w:rsidRPr="00BD2256">
              <w:rPr>
                <w:rFonts w:ascii="Arial" w:hAnsi="Arial" w:cs="Arial"/>
                <w:sz w:val="20"/>
                <w:szCs w:val="20"/>
              </w:rPr>
              <w:t xml:space="preserve"> 1.817 </w:t>
            </w:r>
          </w:p>
        </w:tc>
        <w:tc>
          <w:tcPr>
            <w:tcW w:w="739" w:type="pct"/>
            <w:tcBorders>
              <w:top w:val="nil"/>
              <w:left w:val="nil"/>
              <w:bottom w:val="nil"/>
              <w:right w:val="nil"/>
            </w:tcBorders>
            <w:shd w:val="clear" w:color="auto" w:fill="auto"/>
            <w:vAlign w:val="bottom"/>
          </w:tcPr>
          <w:p w14:paraId="383FBC30" w14:textId="110843DF" w:rsidR="00613266" w:rsidRPr="00BD2256" w:rsidRDefault="006F1D8B" w:rsidP="00613266">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1.951</w:t>
            </w:r>
          </w:p>
        </w:tc>
        <w:tc>
          <w:tcPr>
            <w:tcW w:w="738" w:type="pct"/>
            <w:tcBorders>
              <w:top w:val="nil"/>
              <w:left w:val="nil"/>
              <w:bottom w:val="nil"/>
              <w:right w:val="nil"/>
            </w:tcBorders>
            <w:shd w:val="clear" w:color="auto" w:fill="auto"/>
            <w:vAlign w:val="bottom"/>
          </w:tcPr>
          <w:p w14:paraId="00233CAE" w14:textId="6F460C75" w:rsidR="00613266" w:rsidRPr="00BD2256" w:rsidRDefault="00613266" w:rsidP="00613266">
            <w:pPr>
              <w:tabs>
                <w:tab w:val="right" w:pos="1202"/>
              </w:tabs>
              <w:suppressAutoHyphens/>
              <w:autoSpaceDN w:val="0"/>
              <w:jc w:val="right"/>
              <w:outlineLvl w:val="0"/>
              <w:rPr>
                <w:rFonts w:ascii="Arial" w:eastAsia="Times New Roman" w:hAnsi="Arial" w:cs="Arial"/>
                <w:color w:val="000000" w:themeColor="text1"/>
                <w:sz w:val="20"/>
                <w:szCs w:val="20"/>
              </w:rPr>
            </w:pPr>
            <w:r w:rsidRPr="00BD2256">
              <w:rPr>
                <w:rFonts w:ascii="Arial" w:hAnsi="Arial" w:cs="Arial"/>
                <w:sz w:val="20"/>
                <w:szCs w:val="20"/>
              </w:rPr>
              <w:t xml:space="preserve"> 1.817 </w:t>
            </w:r>
          </w:p>
        </w:tc>
      </w:tr>
      <w:tr w:rsidR="00613266" w:rsidRPr="00BD2256" w14:paraId="292CDA3F" w14:textId="77777777" w:rsidTr="00BD2256">
        <w:tc>
          <w:tcPr>
            <w:tcW w:w="2045" w:type="pct"/>
            <w:vAlign w:val="bottom"/>
          </w:tcPr>
          <w:p w14:paraId="1E57A770" w14:textId="77777777" w:rsidR="00613266" w:rsidRPr="00BD2256" w:rsidRDefault="00613266" w:rsidP="00613266">
            <w:pPr>
              <w:tabs>
                <w:tab w:val="right" w:pos="1202"/>
              </w:tabs>
              <w:suppressAutoHyphens/>
              <w:autoSpaceDN w:val="0"/>
              <w:outlineLvl w:val="0"/>
              <w:rPr>
                <w:rFonts w:ascii="Arial" w:eastAsia="Times New Roman" w:hAnsi="Arial" w:cs="Arial"/>
                <w:color w:val="000000" w:themeColor="text1"/>
                <w:sz w:val="20"/>
                <w:szCs w:val="20"/>
              </w:rPr>
            </w:pPr>
            <w:bookmarkStart w:id="255" w:name="_Toc67327411"/>
            <w:r w:rsidRPr="00BD2256">
              <w:rPr>
                <w:rFonts w:ascii="Arial" w:eastAsia="Times New Roman" w:hAnsi="Arial" w:cs="Arial"/>
                <w:color w:val="000000" w:themeColor="text1"/>
                <w:sz w:val="20"/>
                <w:szCs w:val="20"/>
              </w:rPr>
              <w:t>Strane pravne osobe</w:t>
            </w:r>
            <w:bookmarkEnd w:id="255"/>
          </w:p>
        </w:tc>
        <w:tc>
          <w:tcPr>
            <w:tcW w:w="739" w:type="pct"/>
            <w:tcBorders>
              <w:top w:val="nil"/>
              <w:left w:val="nil"/>
              <w:bottom w:val="nil"/>
              <w:right w:val="nil"/>
            </w:tcBorders>
            <w:shd w:val="clear" w:color="auto" w:fill="auto"/>
            <w:vAlign w:val="bottom"/>
          </w:tcPr>
          <w:p w14:paraId="23BF3E65" w14:textId="27CBA2BC" w:rsidR="00613266" w:rsidRPr="00BD2256" w:rsidRDefault="00313C88" w:rsidP="00613266">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739" w:type="pct"/>
            <w:tcBorders>
              <w:top w:val="nil"/>
              <w:left w:val="nil"/>
              <w:bottom w:val="nil"/>
              <w:right w:val="nil"/>
            </w:tcBorders>
            <w:shd w:val="clear" w:color="auto" w:fill="auto"/>
            <w:vAlign w:val="bottom"/>
          </w:tcPr>
          <w:p w14:paraId="7AC95FD6" w14:textId="5D1DD664" w:rsidR="00613266" w:rsidRPr="00BD2256" w:rsidRDefault="00613266" w:rsidP="00613266">
            <w:pPr>
              <w:tabs>
                <w:tab w:val="right" w:pos="1202"/>
              </w:tabs>
              <w:suppressAutoHyphens/>
              <w:autoSpaceDN w:val="0"/>
              <w:jc w:val="right"/>
              <w:outlineLvl w:val="0"/>
              <w:rPr>
                <w:rFonts w:ascii="Arial" w:eastAsia="Times New Roman" w:hAnsi="Arial" w:cs="Arial"/>
                <w:color w:val="000000" w:themeColor="text1"/>
                <w:sz w:val="20"/>
                <w:szCs w:val="20"/>
              </w:rPr>
            </w:pPr>
            <w:r w:rsidRPr="00BD2256">
              <w:rPr>
                <w:rFonts w:ascii="Arial" w:hAnsi="Arial" w:cs="Arial"/>
                <w:sz w:val="20"/>
                <w:szCs w:val="20"/>
              </w:rPr>
              <w:t xml:space="preserve"> 81 </w:t>
            </w:r>
          </w:p>
        </w:tc>
        <w:tc>
          <w:tcPr>
            <w:tcW w:w="739" w:type="pct"/>
            <w:tcBorders>
              <w:top w:val="nil"/>
              <w:left w:val="nil"/>
              <w:bottom w:val="nil"/>
              <w:right w:val="nil"/>
            </w:tcBorders>
            <w:shd w:val="clear" w:color="auto" w:fill="auto"/>
            <w:vAlign w:val="bottom"/>
          </w:tcPr>
          <w:p w14:paraId="1A6E88F5" w14:textId="1EBE50CC" w:rsidR="00613266" w:rsidRPr="00BD2256" w:rsidRDefault="00EA3221" w:rsidP="00613266">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738" w:type="pct"/>
            <w:tcBorders>
              <w:top w:val="nil"/>
              <w:left w:val="nil"/>
              <w:bottom w:val="nil"/>
              <w:right w:val="nil"/>
            </w:tcBorders>
            <w:shd w:val="clear" w:color="auto" w:fill="auto"/>
            <w:vAlign w:val="bottom"/>
          </w:tcPr>
          <w:p w14:paraId="1D88EE5B" w14:textId="02F7EBC9" w:rsidR="00613266" w:rsidRPr="00BD2256" w:rsidRDefault="00613266" w:rsidP="00613266">
            <w:pPr>
              <w:tabs>
                <w:tab w:val="right" w:pos="1202"/>
              </w:tabs>
              <w:suppressAutoHyphens/>
              <w:autoSpaceDN w:val="0"/>
              <w:jc w:val="right"/>
              <w:outlineLvl w:val="0"/>
              <w:rPr>
                <w:rFonts w:ascii="Arial" w:eastAsia="Times New Roman" w:hAnsi="Arial" w:cs="Arial"/>
                <w:color w:val="000000" w:themeColor="text1"/>
                <w:sz w:val="20"/>
                <w:szCs w:val="20"/>
              </w:rPr>
            </w:pPr>
            <w:r w:rsidRPr="00BD2256">
              <w:rPr>
                <w:rFonts w:ascii="Arial" w:hAnsi="Arial" w:cs="Arial"/>
                <w:sz w:val="20"/>
                <w:szCs w:val="20"/>
              </w:rPr>
              <w:t xml:space="preserve"> 81 </w:t>
            </w:r>
          </w:p>
        </w:tc>
      </w:tr>
      <w:tr w:rsidR="00613266" w:rsidRPr="00BD2256" w14:paraId="0264BC48" w14:textId="77777777" w:rsidTr="00BD2256">
        <w:tc>
          <w:tcPr>
            <w:tcW w:w="2045" w:type="pct"/>
            <w:vAlign w:val="bottom"/>
          </w:tcPr>
          <w:p w14:paraId="38BD7DC7" w14:textId="77777777" w:rsidR="00613266" w:rsidRPr="00BD2256" w:rsidRDefault="00613266" w:rsidP="00613266">
            <w:pPr>
              <w:tabs>
                <w:tab w:val="right" w:pos="1202"/>
              </w:tabs>
              <w:suppressAutoHyphens/>
              <w:autoSpaceDN w:val="0"/>
              <w:outlineLvl w:val="0"/>
              <w:rPr>
                <w:rFonts w:ascii="Arial" w:eastAsia="Times New Roman" w:hAnsi="Arial" w:cs="Arial"/>
                <w:color w:val="000000" w:themeColor="text1"/>
                <w:sz w:val="20"/>
                <w:szCs w:val="20"/>
              </w:rPr>
            </w:pPr>
            <w:bookmarkStart w:id="256" w:name="_Toc67327416"/>
            <w:r w:rsidRPr="00BD2256">
              <w:rPr>
                <w:rFonts w:ascii="Arial" w:eastAsia="Times New Roman" w:hAnsi="Arial" w:cs="Arial"/>
                <w:color w:val="000000" w:themeColor="text1"/>
                <w:sz w:val="20"/>
                <w:szCs w:val="20"/>
              </w:rPr>
              <w:t>Domaća trgovačka društva</w:t>
            </w:r>
            <w:bookmarkEnd w:id="256"/>
          </w:p>
        </w:tc>
        <w:tc>
          <w:tcPr>
            <w:tcW w:w="739" w:type="pct"/>
            <w:tcBorders>
              <w:top w:val="nil"/>
              <w:left w:val="nil"/>
              <w:bottom w:val="nil"/>
              <w:right w:val="nil"/>
            </w:tcBorders>
            <w:shd w:val="clear" w:color="auto" w:fill="auto"/>
            <w:vAlign w:val="bottom"/>
          </w:tcPr>
          <w:p w14:paraId="588EFB6E" w14:textId="57892D74" w:rsidR="00613266" w:rsidRPr="00BD2256" w:rsidRDefault="00313C88" w:rsidP="00613266">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12.551</w:t>
            </w:r>
          </w:p>
        </w:tc>
        <w:tc>
          <w:tcPr>
            <w:tcW w:w="739" w:type="pct"/>
            <w:tcBorders>
              <w:top w:val="nil"/>
              <w:left w:val="nil"/>
              <w:bottom w:val="nil"/>
              <w:right w:val="nil"/>
            </w:tcBorders>
            <w:shd w:val="clear" w:color="auto" w:fill="auto"/>
            <w:vAlign w:val="bottom"/>
          </w:tcPr>
          <w:p w14:paraId="00509763" w14:textId="63CF223F" w:rsidR="00613266" w:rsidRPr="00BD2256" w:rsidRDefault="00613266" w:rsidP="00613266">
            <w:pPr>
              <w:tabs>
                <w:tab w:val="right" w:pos="1202"/>
              </w:tabs>
              <w:suppressAutoHyphens/>
              <w:autoSpaceDN w:val="0"/>
              <w:jc w:val="right"/>
              <w:outlineLvl w:val="0"/>
              <w:rPr>
                <w:rFonts w:ascii="Arial" w:eastAsia="Times New Roman" w:hAnsi="Arial" w:cs="Arial"/>
                <w:color w:val="000000" w:themeColor="text1"/>
                <w:sz w:val="20"/>
                <w:szCs w:val="20"/>
              </w:rPr>
            </w:pPr>
            <w:r w:rsidRPr="00BD2256">
              <w:rPr>
                <w:rFonts w:ascii="Arial" w:hAnsi="Arial" w:cs="Arial"/>
                <w:sz w:val="20"/>
                <w:szCs w:val="20"/>
              </w:rPr>
              <w:t xml:space="preserve"> 10.170 </w:t>
            </w:r>
          </w:p>
        </w:tc>
        <w:tc>
          <w:tcPr>
            <w:tcW w:w="739" w:type="pct"/>
            <w:tcBorders>
              <w:top w:val="nil"/>
              <w:left w:val="nil"/>
              <w:bottom w:val="nil"/>
              <w:right w:val="nil"/>
            </w:tcBorders>
            <w:shd w:val="clear" w:color="auto" w:fill="auto"/>
            <w:vAlign w:val="bottom"/>
          </w:tcPr>
          <w:p w14:paraId="2ECC5E13" w14:textId="4E82109B" w:rsidR="00613266" w:rsidRPr="00BD2256" w:rsidRDefault="000D5894" w:rsidP="00613266">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r w:rsidR="0033165E">
              <w:rPr>
                <w:rFonts w:ascii="Arial" w:eastAsia="Times New Roman" w:hAnsi="Arial" w:cs="Arial"/>
                <w:color w:val="000000" w:themeColor="text1"/>
                <w:sz w:val="20"/>
                <w:szCs w:val="20"/>
              </w:rPr>
              <w:t>551</w:t>
            </w:r>
          </w:p>
        </w:tc>
        <w:tc>
          <w:tcPr>
            <w:tcW w:w="738" w:type="pct"/>
            <w:tcBorders>
              <w:top w:val="nil"/>
              <w:left w:val="nil"/>
              <w:bottom w:val="nil"/>
              <w:right w:val="nil"/>
            </w:tcBorders>
            <w:shd w:val="clear" w:color="auto" w:fill="auto"/>
            <w:vAlign w:val="bottom"/>
          </w:tcPr>
          <w:p w14:paraId="7141BFB7" w14:textId="06D2A8E2" w:rsidR="00613266" w:rsidRPr="00BD2256" w:rsidRDefault="00613266" w:rsidP="00613266">
            <w:pPr>
              <w:tabs>
                <w:tab w:val="right" w:pos="1202"/>
              </w:tabs>
              <w:suppressAutoHyphens/>
              <w:autoSpaceDN w:val="0"/>
              <w:jc w:val="right"/>
              <w:outlineLvl w:val="0"/>
              <w:rPr>
                <w:rFonts w:ascii="Arial" w:eastAsia="Times New Roman" w:hAnsi="Arial" w:cs="Arial"/>
                <w:color w:val="000000" w:themeColor="text1"/>
                <w:sz w:val="20"/>
                <w:szCs w:val="20"/>
              </w:rPr>
            </w:pPr>
            <w:r w:rsidRPr="00BD2256">
              <w:rPr>
                <w:rFonts w:ascii="Arial" w:hAnsi="Arial" w:cs="Arial"/>
                <w:sz w:val="20"/>
                <w:szCs w:val="20"/>
              </w:rPr>
              <w:t xml:space="preserve"> 10.170 </w:t>
            </w:r>
          </w:p>
        </w:tc>
      </w:tr>
      <w:tr w:rsidR="00613266" w:rsidRPr="00BD2256" w14:paraId="0A6D00AD" w14:textId="77777777" w:rsidTr="00BD2256">
        <w:tc>
          <w:tcPr>
            <w:tcW w:w="2045" w:type="pct"/>
            <w:vAlign w:val="bottom"/>
          </w:tcPr>
          <w:p w14:paraId="6D97BFBD" w14:textId="77777777" w:rsidR="00613266" w:rsidRPr="00BD2256" w:rsidRDefault="00613266" w:rsidP="00613266">
            <w:pPr>
              <w:tabs>
                <w:tab w:val="right" w:pos="1202"/>
              </w:tabs>
              <w:suppressAutoHyphens/>
              <w:autoSpaceDN w:val="0"/>
              <w:outlineLvl w:val="0"/>
              <w:rPr>
                <w:rFonts w:ascii="Arial" w:eastAsia="Times New Roman" w:hAnsi="Arial" w:cs="Arial"/>
                <w:color w:val="000000" w:themeColor="text1"/>
                <w:sz w:val="20"/>
                <w:szCs w:val="20"/>
              </w:rPr>
            </w:pPr>
            <w:bookmarkStart w:id="257" w:name="_Toc67327421"/>
            <w:r w:rsidRPr="00BD2256">
              <w:rPr>
                <w:rFonts w:ascii="Arial" w:eastAsia="Times New Roman" w:hAnsi="Arial" w:cs="Arial"/>
                <w:color w:val="000000" w:themeColor="text1"/>
                <w:sz w:val="20"/>
                <w:szCs w:val="20"/>
              </w:rPr>
              <w:t>Domaće financijske institucije</w:t>
            </w:r>
            <w:bookmarkEnd w:id="257"/>
          </w:p>
        </w:tc>
        <w:tc>
          <w:tcPr>
            <w:tcW w:w="739" w:type="pct"/>
            <w:tcBorders>
              <w:top w:val="nil"/>
              <w:left w:val="nil"/>
              <w:bottom w:val="nil"/>
              <w:right w:val="nil"/>
            </w:tcBorders>
            <w:shd w:val="clear" w:color="auto" w:fill="auto"/>
            <w:vAlign w:val="bottom"/>
          </w:tcPr>
          <w:p w14:paraId="71A3AE98" w14:textId="3708DF65" w:rsidR="00613266" w:rsidRPr="00BD2256" w:rsidRDefault="00BD02AE" w:rsidP="00613266">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5.628</w:t>
            </w:r>
          </w:p>
        </w:tc>
        <w:tc>
          <w:tcPr>
            <w:tcW w:w="739" w:type="pct"/>
            <w:tcBorders>
              <w:top w:val="nil"/>
              <w:left w:val="nil"/>
              <w:bottom w:val="nil"/>
              <w:right w:val="nil"/>
            </w:tcBorders>
            <w:shd w:val="clear" w:color="auto" w:fill="auto"/>
            <w:vAlign w:val="bottom"/>
          </w:tcPr>
          <w:p w14:paraId="2F6DF495" w14:textId="6D90F058" w:rsidR="00613266" w:rsidRPr="00BD2256" w:rsidRDefault="00613266" w:rsidP="00613266">
            <w:pPr>
              <w:tabs>
                <w:tab w:val="right" w:pos="1202"/>
              </w:tabs>
              <w:suppressAutoHyphens/>
              <w:autoSpaceDN w:val="0"/>
              <w:jc w:val="right"/>
              <w:outlineLvl w:val="0"/>
              <w:rPr>
                <w:rFonts w:ascii="Arial" w:eastAsia="Times New Roman" w:hAnsi="Arial" w:cs="Arial"/>
                <w:color w:val="000000" w:themeColor="text1"/>
                <w:sz w:val="20"/>
                <w:szCs w:val="20"/>
              </w:rPr>
            </w:pPr>
            <w:r w:rsidRPr="00BD2256">
              <w:rPr>
                <w:rFonts w:ascii="Arial" w:hAnsi="Arial" w:cs="Arial"/>
                <w:sz w:val="20"/>
                <w:szCs w:val="20"/>
              </w:rPr>
              <w:t xml:space="preserve"> 2.770 </w:t>
            </w:r>
          </w:p>
        </w:tc>
        <w:tc>
          <w:tcPr>
            <w:tcW w:w="739" w:type="pct"/>
            <w:tcBorders>
              <w:top w:val="nil"/>
              <w:left w:val="nil"/>
              <w:bottom w:val="nil"/>
              <w:right w:val="nil"/>
            </w:tcBorders>
            <w:shd w:val="clear" w:color="auto" w:fill="auto"/>
            <w:vAlign w:val="bottom"/>
          </w:tcPr>
          <w:p w14:paraId="284CB93E" w14:textId="1D16BCB1" w:rsidR="00613266" w:rsidRPr="00BD2256" w:rsidRDefault="00D16927" w:rsidP="00613266">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5.6</w:t>
            </w:r>
            <w:r w:rsidR="0033165E">
              <w:rPr>
                <w:rFonts w:ascii="Arial" w:eastAsia="Times New Roman" w:hAnsi="Arial" w:cs="Arial"/>
                <w:color w:val="000000" w:themeColor="text1"/>
                <w:sz w:val="20"/>
                <w:szCs w:val="20"/>
              </w:rPr>
              <w:t>08</w:t>
            </w:r>
          </w:p>
        </w:tc>
        <w:tc>
          <w:tcPr>
            <w:tcW w:w="738" w:type="pct"/>
            <w:tcBorders>
              <w:top w:val="nil"/>
              <w:left w:val="nil"/>
              <w:bottom w:val="nil"/>
              <w:right w:val="nil"/>
            </w:tcBorders>
            <w:shd w:val="clear" w:color="auto" w:fill="auto"/>
            <w:vAlign w:val="bottom"/>
          </w:tcPr>
          <w:p w14:paraId="226B5372" w14:textId="1FC7C002" w:rsidR="00613266" w:rsidRPr="00BD2256" w:rsidRDefault="00613266" w:rsidP="00613266">
            <w:pPr>
              <w:tabs>
                <w:tab w:val="right" w:pos="1202"/>
              </w:tabs>
              <w:suppressAutoHyphens/>
              <w:autoSpaceDN w:val="0"/>
              <w:jc w:val="right"/>
              <w:outlineLvl w:val="0"/>
              <w:rPr>
                <w:rFonts w:ascii="Arial" w:eastAsia="Times New Roman" w:hAnsi="Arial" w:cs="Arial"/>
                <w:color w:val="000000" w:themeColor="text1"/>
                <w:sz w:val="20"/>
                <w:szCs w:val="20"/>
              </w:rPr>
            </w:pPr>
            <w:r w:rsidRPr="00BD2256">
              <w:rPr>
                <w:rFonts w:ascii="Arial" w:hAnsi="Arial" w:cs="Arial"/>
                <w:sz w:val="20"/>
                <w:szCs w:val="20"/>
              </w:rPr>
              <w:t xml:space="preserve"> 2.758 </w:t>
            </w:r>
          </w:p>
        </w:tc>
      </w:tr>
      <w:tr w:rsidR="00613266" w:rsidRPr="00BD2256" w14:paraId="36FEB7FB" w14:textId="77777777" w:rsidTr="00BD2256">
        <w:tc>
          <w:tcPr>
            <w:tcW w:w="2045" w:type="pct"/>
            <w:vAlign w:val="bottom"/>
          </w:tcPr>
          <w:p w14:paraId="12BFB289" w14:textId="77777777" w:rsidR="00613266" w:rsidRPr="00BD2256" w:rsidRDefault="00613266" w:rsidP="00613266">
            <w:pPr>
              <w:tabs>
                <w:tab w:val="right" w:pos="1202"/>
              </w:tabs>
              <w:suppressAutoHyphens/>
              <w:autoSpaceDN w:val="0"/>
              <w:outlineLvl w:val="0"/>
              <w:rPr>
                <w:rFonts w:ascii="Arial" w:eastAsia="Times New Roman" w:hAnsi="Arial" w:cs="Arial"/>
                <w:color w:val="000000" w:themeColor="text1"/>
                <w:sz w:val="20"/>
                <w:szCs w:val="20"/>
              </w:rPr>
            </w:pPr>
            <w:bookmarkStart w:id="258" w:name="_Toc67327426"/>
            <w:r w:rsidRPr="00BD2256">
              <w:rPr>
                <w:rFonts w:ascii="Arial" w:eastAsia="Times New Roman" w:hAnsi="Arial" w:cs="Arial"/>
                <w:color w:val="000000" w:themeColor="text1"/>
                <w:sz w:val="20"/>
                <w:szCs w:val="20"/>
              </w:rPr>
              <w:t>Inozemne financijske institucije</w:t>
            </w:r>
            <w:bookmarkEnd w:id="258"/>
          </w:p>
        </w:tc>
        <w:tc>
          <w:tcPr>
            <w:tcW w:w="739" w:type="pct"/>
            <w:tcBorders>
              <w:top w:val="nil"/>
              <w:left w:val="nil"/>
              <w:bottom w:val="nil"/>
              <w:right w:val="nil"/>
            </w:tcBorders>
            <w:shd w:val="clear" w:color="auto" w:fill="auto"/>
            <w:vAlign w:val="bottom"/>
          </w:tcPr>
          <w:p w14:paraId="5F30E265" w14:textId="6D6B2B7F" w:rsidR="00613266" w:rsidRPr="00BD2256" w:rsidRDefault="00BD02AE" w:rsidP="00613266">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494</w:t>
            </w:r>
          </w:p>
        </w:tc>
        <w:tc>
          <w:tcPr>
            <w:tcW w:w="739" w:type="pct"/>
            <w:tcBorders>
              <w:top w:val="nil"/>
              <w:left w:val="nil"/>
              <w:bottom w:val="nil"/>
              <w:right w:val="nil"/>
            </w:tcBorders>
            <w:shd w:val="clear" w:color="auto" w:fill="auto"/>
            <w:vAlign w:val="bottom"/>
          </w:tcPr>
          <w:p w14:paraId="716A3878" w14:textId="6F00E650" w:rsidR="00613266" w:rsidRPr="00BD2256" w:rsidRDefault="00613266" w:rsidP="00613266">
            <w:pPr>
              <w:tabs>
                <w:tab w:val="right" w:pos="1202"/>
              </w:tabs>
              <w:suppressAutoHyphens/>
              <w:autoSpaceDN w:val="0"/>
              <w:jc w:val="right"/>
              <w:outlineLvl w:val="0"/>
              <w:rPr>
                <w:rFonts w:ascii="Arial" w:eastAsia="Times New Roman" w:hAnsi="Arial" w:cs="Arial"/>
                <w:color w:val="000000" w:themeColor="text1"/>
                <w:sz w:val="20"/>
                <w:szCs w:val="20"/>
              </w:rPr>
            </w:pPr>
            <w:r w:rsidRPr="00BD2256">
              <w:rPr>
                <w:rFonts w:ascii="Arial" w:hAnsi="Arial" w:cs="Arial"/>
                <w:sz w:val="20"/>
                <w:szCs w:val="20"/>
              </w:rPr>
              <w:t xml:space="preserve"> 479 </w:t>
            </w:r>
          </w:p>
        </w:tc>
        <w:tc>
          <w:tcPr>
            <w:tcW w:w="739" w:type="pct"/>
            <w:tcBorders>
              <w:top w:val="nil"/>
              <w:left w:val="nil"/>
              <w:bottom w:val="nil"/>
              <w:right w:val="nil"/>
            </w:tcBorders>
            <w:shd w:val="clear" w:color="auto" w:fill="auto"/>
            <w:vAlign w:val="bottom"/>
          </w:tcPr>
          <w:p w14:paraId="1305567F" w14:textId="07F8B86E" w:rsidR="00613266" w:rsidRPr="00BD2256" w:rsidRDefault="00D16927" w:rsidP="00613266">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w:t>
            </w:r>
            <w:r w:rsidR="0033165E">
              <w:rPr>
                <w:rFonts w:ascii="Arial" w:eastAsia="Times New Roman" w:hAnsi="Arial" w:cs="Arial"/>
                <w:color w:val="000000" w:themeColor="text1"/>
                <w:sz w:val="20"/>
                <w:szCs w:val="20"/>
              </w:rPr>
              <w:t>4</w:t>
            </w:r>
          </w:p>
        </w:tc>
        <w:tc>
          <w:tcPr>
            <w:tcW w:w="738" w:type="pct"/>
            <w:tcBorders>
              <w:top w:val="nil"/>
              <w:left w:val="nil"/>
              <w:bottom w:val="nil"/>
              <w:right w:val="nil"/>
            </w:tcBorders>
            <w:shd w:val="clear" w:color="auto" w:fill="auto"/>
            <w:vAlign w:val="bottom"/>
          </w:tcPr>
          <w:p w14:paraId="4ED40633" w14:textId="097A5B88" w:rsidR="00613266" w:rsidRPr="00BD2256" w:rsidRDefault="00613266" w:rsidP="00613266">
            <w:pPr>
              <w:tabs>
                <w:tab w:val="right" w:pos="1202"/>
              </w:tabs>
              <w:suppressAutoHyphens/>
              <w:autoSpaceDN w:val="0"/>
              <w:jc w:val="right"/>
              <w:outlineLvl w:val="0"/>
              <w:rPr>
                <w:rFonts w:ascii="Arial" w:eastAsia="Times New Roman" w:hAnsi="Arial" w:cs="Arial"/>
                <w:color w:val="000000" w:themeColor="text1"/>
                <w:sz w:val="20"/>
                <w:szCs w:val="20"/>
              </w:rPr>
            </w:pPr>
            <w:r w:rsidRPr="00BD2256">
              <w:rPr>
                <w:rFonts w:ascii="Arial" w:hAnsi="Arial" w:cs="Arial"/>
                <w:sz w:val="20"/>
                <w:szCs w:val="20"/>
              </w:rPr>
              <w:t xml:space="preserve"> 479 </w:t>
            </w:r>
          </w:p>
        </w:tc>
      </w:tr>
      <w:tr w:rsidR="00613266" w:rsidRPr="00BD2256" w14:paraId="7124955D" w14:textId="77777777" w:rsidTr="00BD2256">
        <w:tc>
          <w:tcPr>
            <w:tcW w:w="2045" w:type="pct"/>
            <w:vAlign w:val="bottom"/>
          </w:tcPr>
          <w:p w14:paraId="64E4EFC6" w14:textId="77777777" w:rsidR="00613266" w:rsidRPr="00BD2256" w:rsidRDefault="00613266" w:rsidP="00613266">
            <w:pPr>
              <w:tabs>
                <w:tab w:val="right" w:pos="1202"/>
              </w:tabs>
              <w:suppressAutoHyphens/>
              <w:autoSpaceDN w:val="0"/>
              <w:outlineLvl w:val="0"/>
              <w:rPr>
                <w:rFonts w:ascii="Arial" w:eastAsia="Times New Roman" w:hAnsi="Arial" w:cs="Arial"/>
                <w:color w:val="000000" w:themeColor="text1"/>
                <w:sz w:val="20"/>
                <w:szCs w:val="20"/>
              </w:rPr>
            </w:pPr>
            <w:bookmarkStart w:id="259" w:name="_Toc67327431"/>
            <w:r w:rsidRPr="00BD2256">
              <w:rPr>
                <w:rFonts w:ascii="Arial" w:eastAsia="Times New Roman" w:hAnsi="Arial" w:cs="Arial"/>
                <w:color w:val="000000" w:themeColor="text1"/>
                <w:sz w:val="20"/>
                <w:szCs w:val="20"/>
              </w:rPr>
              <w:t>Zatezne kamate</w:t>
            </w:r>
            <w:bookmarkEnd w:id="259"/>
          </w:p>
        </w:tc>
        <w:tc>
          <w:tcPr>
            <w:tcW w:w="739" w:type="pct"/>
            <w:tcBorders>
              <w:top w:val="nil"/>
              <w:left w:val="nil"/>
              <w:bottom w:val="nil"/>
              <w:right w:val="nil"/>
            </w:tcBorders>
            <w:shd w:val="clear" w:color="auto" w:fill="auto"/>
            <w:vAlign w:val="bottom"/>
          </w:tcPr>
          <w:p w14:paraId="3DCF65BB" w14:textId="6C2FCFBA" w:rsidR="00613266" w:rsidRPr="00BD2256" w:rsidRDefault="00BD02AE" w:rsidP="00613266">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286</w:t>
            </w:r>
          </w:p>
        </w:tc>
        <w:tc>
          <w:tcPr>
            <w:tcW w:w="739" w:type="pct"/>
            <w:tcBorders>
              <w:top w:val="nil"/>
              <w:left w:val="nil"/>
              <w:bottom w:val="nil"/>
              <w:right w:val="nil"/>
            </w:tcBorders>
            <w:shd w:val="clear" w:color="auto" w:fill="auto"/>
            <w:vAlign w:val="bottom"/>
          </w:tcPr>
          <w:p w14:paraId="587E98DD" w14:textId="1116A5AA" w:rsidR="00613266" w:rsidRPr="00BD2256" w:rsidRDefault="00613266" w:rsidP="00613266">
            <w:pPr>
              <w:tabs>
                <w:tab w:val="right" w:pos="1202"/>
              </w:tabs>
              <w:suppressAutoHyphens/>
              <w:autoSpaceDN w:val="0"/>
              <w:jc w:val="right"/>
              <w:outlineLvl w:val="0"/>
              <w:rPr>
                <w:rFonts w:ascii="Arial" w:eastAsia="Times New Roman" w:hAnsi="Arial" w:cs="Arial"/>
                <w:color w:val="000000" w:themeColor="text1"/>
                <w:sz w:val="20"/>
                <w:szCs w:val="20"/>
              </w:rPr>
            </w:pPr>
            <w:r w:rsidRPr="00BD2256">
              <w:rPr>
                <w:rFonts w:ascii="Arial" w:hAnsi="Arial" w:cs="Arial"/>
                <w:sz w:val="20"/>
                <w:szCs w:val="20"/>
              </w:rPr>
              <w:t xml:space="preserve"> 348 </w:t>
            </w:r>
          </w:p>
        </w:tc>
        <w:tc>
          <w:tcPr>
            <w:tcW w:w="739" w:type="pct"/>
            <w:tcBorders>
              <w:top w:val="nil"/>
              <w:left w:val="nil"/>
              <w:bottom w:val="nil"/>
              <w:right w:val="nil"/>
            </w:tcBorders>
            <w:shd w:val="clear" w:color="auto" w:fill="auto"/>
            <w:vAlign w:val="bottom"/>
          </w:tcPr>
          <w:p w14:paraId="0BBB3FA3" w14:textId="6699D5CE" w:rsidR="00613266" w:rsidRPr="00BD2256" w:rsidRDefault="00D16927" w:rsidP="00613266">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286</w:t>
            </w:r>
          </w:p>
        </w:tc>
        <w:tc>
          <w:tcPr>
            <w:tcW w:w="738" w:type="pct"/>
            <w:tcBorders>
              <w:top w:val="nil"/>
              <w:left w:val="nil"/>
              <w:bottom w:val="nil"/>
              <w:right w:val="nil"/>
            </w:tcBorders>
            <w:shd w:val="clear" w:color="auto" w:fill="auto"/>
            <w:vAlign w:val="bottom"/>
          </w:tcPr>
          <w:p w14:paraId="29851287" w14:textId="0B291E3E" w:rsidR="00613266" w:rsidRPr="00BD2256" w:rsidRDefault="00613266" w:rsidP="00613266">
            <w:pPr>
              <w:tabs>
                <w:tab w:val="right" w:pos="1202"/>
              </w:tabs>
              <w:suppressAutoHyphens/>
              <w:autoSpaceDN w:val="0"/>
              <w:jc w:val="right"/>
              <w:outlineLvl w:val="0"/>
              <w:rPr>
                <w:rFonts w:ascii="Arial" w:eastAsia="Times New Roman" w:hAnsi="Arial" w:cs="Arial"/>
                <w:color w:val="000000" w:themeColor="text1"/>
                <w:sz w:val="20"/>
                <w:szCs w:val="20"/>
              </w:rPr>
            </w:pPr>
            <w:r w:rsidRPr="00BD2256">
              <w:rPr>
                <w:rFonts w:ascii="Arial" w:hAnsi="Arial" w:cs="Arial"/>
                <w:sz w:val="20"/>
                <w:szCs w:val="20"/>
              </w:rPr>
              <w:t xml:space="preserve"> 348 </w:t>
            </w:r>
          </w:p>
        </w:tc>
      </w:tr>
      <w:tr w:rsidR="00613266" w:rsidRPr="00BD2256" w14:paraId="70CA83D9" w14:textId="77777777" w:rsidTr="00BD2256">
        <w:trPr>
          <w:trHeight w:val="293"/>
        </w:trPr>
        <w:tc>
          <w:tcPr>
            <w:tcW w:w="2045" w:type="pct"/>
            <w:vAlign w:val="bottom"/>
          </w:tcPr>
          <w:p w14:paraId="23830633" w14:textId="77777777" w:rsidR="00613266" w:rsidRPr="00BD2256" w:rsidRDefault="00613266" w:rsidP="00613266">
            <w:pPr>
              <w:tabs>
                <w:tab w:val="right" w:pos="1202"/>
              </w:tabs>
              <w:suppressAutoHyphens/>
              <w:autoSpaceDN w:val="0"/>
              <w:outlineLvl w:val="0"/>
              <w:rPr>
                <w:rFonts w:ascii="Arial" w:eastAsia="Times New Roman" w:hAnsi="Arial" w:cs="Arial"/>
                <w:color w:val="000000" w:themeColor="text1"/>
                <w:sz w:val="20"/>
                <w:szCs w:val="20"/>
              </w:rPr>
            </w:pPr>
            <w:bookmarkStart w:id="260" w:name="_Toc67327436"/>
            <w:r w:rsidRPr="00BD2256">
              <w:rPr>
                <w:rFonts w:ascii="Arial" w:eastAsia="Times New Roman" w:hAnsi="Arial" w:cs="Arial"/>
                <w:color w:val="000000" w:themeColor="text1"/>
                <w:sz w:val="20"/>
                <w:szCs w:val="20"/>
              </w:rPr>
              <w:t>Ostalo</w:t>
            </w:r>
            <w:bookmarkEnd w:id="260"/>
          </w:p>
        </w:tc>
        <w:tc>
          <w:tcPr>
            <w:tcW w:w="739" w:type="pct"/>
            <w:tcBorders>
              <w:top w:val="nil"/>
              <w:left w:val="nil"/>
              <w:bottom w:val="single" w:sz="4" w:space="0" w:color="auto"/>
              <w:right w:val="nil"/>
            </w:tcBorders>
            <w:shd w:val="clear" w:color="auto" w:fill="auto"/>
            <w:vAlign w:val="bottom"/>
          </w:tcPr>
          <w:p w14:paraId="74919E47" w14:textId="557A4256" w:rsidR="00613266" w:rsidRPr="00BD2256" w:rsidRDefault="00BD02AE" w:rsidP="00613266">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420</w:t>
            </w:r>
          </w:p>
        </w:tc>
        <w:tc>
          <w:tcPr>
            <w:tcW w:w="739" w:type="pct"/>
            <w:tcBorders>
              <w:top w:val="nil"/>
              <w:left w:val="nil"/>
              <w:bottom w:val="single" w:sz="4" w:space="0" w:color="auto"/>
              <w:right w:val="nil"/>
            </w:tcBorders>
            <w:shd w:val="clear" w:color="auto" w:fill="auto"/>
            <w:vAlign w:val="bottom"/>
          </w:tcPr>
          <w:p w14:paraId="1171FC23" w14:textId="61A7C50B" w:rsidR="00613266" w:rsidRPr="00BD2256" w:rsidRDefault="00613266" w:rsidP="00613266">
            <w:pPr>
              <w:tabs>
                <w:tab w:val="right" w:pos="1202"/>
              </w:tabs>
              <w:suppressAutoHyphens/>
              <w:autoSpaceDN w:val="0"/>
              <w:jc w:val="right"/>
              <w:outlineLvl w:val="0"/>
              <w:rPr>
                <w:rFonts w:ascii="Arial" w:eastAsia="Times New Roman" w:hAnsi="Arial" w:cs="Arial"/>
                <w:color w:val="000000" w:themeColor="text1"/>
                <w:sz w:val="20"/>
                <w:szCs w:val="20"/>
              </w:rPr>
            </w:pPr>
            <w:r w:rsidRPr="00BD2256">
              <w:rPr>
                <w:rFonts w:ascii="Arial" w:hAnsi="Arial" w:cs="Arial"/>
                <w:sz w:val="20"/>
                <w:szCs w:val="20"/>
              </w:rPr>
              <w:t xml:space="preserve"> 402 </w:t>
            </w:r>
          </w:p>
        </w:tc>
        <w:tc>
          <w:tcPr>
            <w:tcW w:w="739" w:type="pct"/>
            <w:tcBorders>
              <w:top w:val="nil"/>
              <w:left w:val="nil"/>
              <w:bottom w:val="single" w:sz="4" w:space="0" w:color="auto"/>
              <w:right w:val="nil"/>
            </w:tcBorders>
            <w:shd w:val="clear" w:color="auto" w:fill="auto"/>
            <w:vAlign w:val="bottom"/>
          </w:tcPr>
          <w:p w14:paraId="5CE28562" w14:textId="3E689E1B" w:rsidR="00613266" w:rsidRPr="00BD2256" w:rsidRDefault="00D16927" w:rsidP="00613266">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420</w:t>
            </w:r>
          </w:p>
        </w:tc>
        <w:tc>
          <w:tcPr>
            <w:tcW w:w="738" w:type="pct"/>
            <w:tcBorders>
              <w:top w:val="nil"/>
              <w:left w:val="nil"/>
              <w:bottom w:val="single" w:sz="4" w:space="0" w:color="auto"/>
              <w:right w:val="nil"/>
            </w:tcBorders>
            <w:shd w:val="clear" w:color="auto" w:fill="auto"/>
            <w:vAlign w:val="bottom"/>
          </w:tcPr>
          <w:p w14:paraId="7923E30E" w14:textId="35972C66" w:rsidR="00613266" w:rsidRPr="00BD2256" w:rsidRDefault="00613266" w:rsidP="00613266">
            <w:pPr>
              <w:tabs>
                <w:tab w:val="right" w:pos="1202"/>
              </w:tabs>
              <w:suppressAutoHyphens/>
              <w:autoSpaceDN w:val="0"/>
              <w:jc w:val="right"/>
              <w:outlineLvl w:val="0"/>
              <w:rPr>
                <w:rFonts w:ascii="Arial" w:eastAsia="Times New Roman" w:hAnsi="Arial" w:cs="Arial"/>
                <w:color w:val="000000" w:themeColor="text1"/>
                <w:sz w:val="20"/>
                <w:szCs w:val="20"/>
              </w:rPr>
            </w:pPr>
            <w:r w:rsidRPr="00BD2256">
              <w:rPr>
                <w:rFonts w:ascii="Arial" w:hAnsi="Arial" w:cs="Arial"/>
                <w:sz w:val="20"/>
                <w:szCs w:val="20"/>
              </w:rPr>
              <w:t xml:space="preserve"> 402 </w:t>
            </w:r>
          </w:p>
        </w:tc>
      </w:tr>
      <w:tr w:rsidR="00613266" w:rsidRPr="00BD2256" w14:paraId="32DEA00E" w14:textId="77777777" w:rsidTr="00BD2256">
        <w:tc>
          <w:tcPr>
            <w:tcW w:w="2045" w:type="pct"/>
            <w:vAlign w:val="bottom"/>
          </w:tcPr>
          <w:p w14:paraId="24310E1A" w14:textId="77777777" w:rsidR="00613266" w:rsidRPr="00BD2256" w:rsidRDefault="00613266" w:rsidP="00613266">
            <w:pPr>
              <w:tabs>
                <w:tab w:val="right" w:pos="1202"/>
              </w:tabs>
              <w:suppressAutoHyphens/>
              <w:autoSpaceDN w:val="0"/>
              <w:outlineLvl w:val="0"/>
              <w:rPr>
                <w:rFonts w:ascii="Arial" w:eastAsia="Times New Roman" w:hAnsi="Arial" w:cs="Arial"/>
                <w:b/>
                <w:bCs/>
                <w:color w:val="000000" w:themeColor="text1"/>
                <w:sz w:val="20"/>
                <w:szCs w:val="20"/>
              </w:rPr>
            </w:pPr>
          </w:p>
        </w:tc>
        <w:tc>
          <w:tcPr>
            <w:tcW w:w="739" w:type="pct"/>
            <w:tcBorders>
              <w:top w:val="single" w:sz="4" w:space="0" w:color="auto"/>
              <w:bottom w:val="single" w:sz="12" w:space="0" w:color="auto"/>
            </w:tcBorders>
            <w:vAlign w:val="bottom"/>
          </w:tcPr>
          <w:p w14:paraId="08F6AF13" w14:textId="111645FA" w:rsidR="00613266" w:rsidRPr="00BD2256" w:rsidRDefault="00BD02AE" w:rsidP="00613266">
            <w:pPr>
              <w:tabs>
                <w:tab w:val="right" w:pos="1202"/>
              </w:tabs>
              <w:suppressAutoHyphens/>
              <w:autoSpaceDN w:val="0"/>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27.</w:t>
            </w:r>
            <w:r w:rsidR="00E862E9">
              <w:rPr>
                <w:rFonts w:ascii="Arial" w:eastAsia="Times New Roman" w:hAnsi="Arial" w:cs="Arial"/>
                <w:b/>
                <w:bCs/>
                <w:color w:val="000000" w:themeColor="text1"/>
                <w:sz w:val="20"/>
                <w:szCs w:val="20"/>
              </w:rPr>
              <w:t>072</w:t>
            </w:r>
          </w:p>
        </w:tc>
        <w:tc>
          <w:tcPr>
            <w:tcW w:w="739" w:type="pct"/>
            <w:tcBorders>
              <w:top w:val="single" w:sz="4" w:space="0" w:color="auto"/>
              <w:bottom w:val="single" w:sz="12" w:space="0" w:color="auto"/>
            </w:tcBorders>
            <w:vAlign w:val="bottom"/>
          </w:tcPr>
          <w:p w14:paraId="7AA72525" w14:textId="1C727C87" w:rsidR="00613266" w:rsidRPr="00BD2256" w:rsidRDefault="00613266" w:rsidP="00613266">
            <w:pPr>
              <w:tabs>
                <w:tab w:val="right" w:pos="1202"/>
              </w:tabs>
              <w:suppressAutoHyphens/>
              <w:autoSpaceDN w:val="0"/>
              <w:jc w:val="right"/>
              <w:outlineLvl w:val="0"/>
              <w:rPr>
                <w:rFonts w:ascii="Arial" w:eastAsia="Times New Roman" w:hAnsi="Arial" w:cs="Arial"/>
                <w:b/>
                <w:bCs/>
                <w:color w:val="000000" w:themeColor="text1"/>
                <w:sz w:val="20"/>
                <w:szCs w:val="20"/>
              </w:rPr>
            </w:pPr>
            <w:r w:rsidRPr="00BD2256">
              <w:rPr>
                <w:rFonts w:ascii="Arial" w:hAnsi="Arial" w:cs="Arial"/>
                <w:b/>
                <w:bCs/>
                <w:sz w:val="20"/>
                <w:szCs w:val="20"/>
              </w:rPr>
              <w:t xml:space="preserve"> 21.074 </w:t>
            </w:r>
          </w:p>
        </w:tc>
        <w:tc>
          <w:tcPr>
            <w:tcW w:w="739" w:type="pct"/>
            <w:tcBorders>
              <w:top w:val="single" w:sz="4" w:space="0" w:color="auto"/>
              <w:bottom w:val="single" w:sz="12" w:space="0" w:color="auto"/>
            </w:tcBorders>
            <w:vAlign w:val="bottom"/>
          </w:tcPr>
          <w:p w14:paraId="7948F3F3" w14:textId="434727BF" w:rsidR="00613266" w:rsidRPr="00BD2256" w:rsidRDefault="00D16927" w:rsidP="00613266">
            <w:pPr>
              <w:tabs>
                <w:tab w:val="right" w:pos="1202"/>
              </w:tabs>
              <w:suppressAutoHyphens/>
              <w:autoSpaceDN w:val="0"/>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27.</w:t>
            </w:r>
            <w:r w:rsidR="0033165E">
              <w:rPr>
                <w:rFonts w:ascii="Arial" w:eastAsia="Times New Roman" w:hAnsi="Arial" w:cs="Arial"/>
                <w:b/>
                <w:bCs/>
                <w:color w:val="000000" w:themeColor="text1"/>
                <w:sz w:val="20"/>
                <w:szCs w:val="20"/>
              </w:rPr>
              <w:t>009</w:t>
            </w:r>
          </w:p>
        </w:tc>
        <w:tc>
          <w:tcPr>
            <w:tcW w:w="738" w:type="pct"/>
            <w:tcBorders>
              <w:top w:val="single" w:sz="4" w:space="0" w:color="auto"/>
              <w:bottom w:val="single" w:sz="12" w:space="0" w:color="auto"/>
            </w:tcBorders>
            <w:vAlign w:val="bottom"/>
          </w:tcPr>
          <w:p w14:paraId="7EC3A6B0" w14:textId="222E650F" w:rsidR="00613266" w:rsidRPr="00BD2256" w:rsidRDefault="00613266" w:rsidP="00613266">
            <w:pPr>
              <w:tabs>
                <w:tab w:val="right" w:pos="1202"/>
              </w:tabs>
              <w:suppressAutoHyphens/>
              <w:autoSpaceDN w:val="0"/>
              <w:jc w:val="right"/>
              <w:outlineLvl w:val="0"/>
              <w:rPr>
                <w:rFonts w:ascii="Arial" w:eastAsia="Times New Roman" w:hAnsi="Arial" w:cs="Arial"/>
                <w:b/>
                <w:bCs/>
                <w:color w:val="000000" w:themeColor="text1"/>
                <w:sz w:val="20"/>
                <w:szCs w:val="20"/>
              </w:rPr>
            </w:pPr>
            <w:r w:rsidRPr="00BD2256">
              <w:rPr>
                <w:rFonts w:ascii="Arial" w:hAnsi="Arial" w:cs="Arial"/>
                <w:b/>
                <w:bCs/>
                <w:sz w:val="20"/>
                <w:szCs w:val="20"/>
              </w:rPr>
              <w:t xml:space="preserve"> 21.019 </w:t>
            </w:r>
          </w:p>
        </w:tc>
      </w:tr>
    </w:tbl>
    <w:p w14:paraId="21AF0524" w14:textId="77777777"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p>
    <w:p w14:paraId="5264F791" w14:textId="3C51F9D9"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Prihodi od kamata po vrstama plasmana:</w:t>
      </w:r>
    </w:p>
    <w:p w14:paraId="2FEABE65" w14:textId="77777777"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p>
    <w:tbl>
      <w:tblPr>
        <w:tblW w:w="5000" w:type="pct"/>
        <w:tblLayout w:type="fixed"/>
        <w:tblCellMar>
          <w:left w:w="122" w:type="dxa"/>
          <w:right w:w="122" w:type="dxa"/>
        </w:tblCellMar>
        <w:tblLook w:val="0000" w:firstRow="0" w:lastRow="0" w:firstColumn="0" w:lastColumn="0" w:noHBand="0" w:noVBand="0"/>
      </w:tblPr>
      <w:tblGrid>
        <w:gridCol w:w="3710"/>
        <w:gridCol w:w="1341"/>
        <w:gridCol w:w="1341"/>
        <w:gridCol w:w="1341"/>
        <w:gridCol w:w="1339"/>
      </w:tblGrid>
      <w:tr w:rsidR="00843998" w:rsidRPr="000C7C66" w14:paraId="1EEC6FA2" w14:textId="77777777" w:rsidTr="000C7C66">
        <w:trPr>
          <w:trHeight w:val="300"/>
        </w:trPr>
        <w:tc>
          <w:tcPr>
            <w:tcW w:w="2045" w:type="pct"/>
            <w:vAlign w:val="bottom"/>
          </w:tcPr>
          <w:p w14:paraId="067A4614" w14:textId="77777777" w:rsidR="00843998" w:rsidRPr="000C7C6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p>
        </w:tc>
        <w:tc>
          <w:tcPr>
            <w:tcW w:w="1478" w:type="pct"/>
            <w:gridSpan w:val="2"/>
            <w:vAlign w:val="bottom"/>
          </w:tcPr>
          <w:p w14:paraId="1BDF1CEC" w14:textId="77777777" w:rsidR="00843998" w:rsidRPr="000C7C6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bookmarkStart w:id="261" w:name="_Toc67327445"/>
            <w:r w:rsidRPr="000C7C66">
              <w:rPr>
                <w:rFonts w:ascii="Arial" w:eastAsia="Times New Roman" w:hAnsi="Arial" w:cs="Arial"/>
                <w:b/>
                <w:color w:val="000000" w:themeColor="text1"/>
                <w:sz w:val="20"/>
                <w:szCs w:val="20"/>
              </w:rPr>
              <w:t>Grupa</w:t>
            </w:r>
            <w:bookmarkEnd w:id="261"/>
          </w:p>
        </w:tc>
        <w:tc>
          <w:tcPr>
            <w:tcW w:w="1477" w:type="pct"/>
            <w:gridSpan w:val="2"/>
            <w:vAlign w:val="bottom"/>
          </w:tcPr>
          <w:p w14:paraId="5965514A" w14:textId="77777777" w:rsidR="00843998" w:rsidRPr="000C7C6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bookmarkStart w:id="262" w:name="_Toc67327446"/>
            <w:r w:rsidRPr="000C7C66">
              <w:rPr>
                <w:rFonts w:ascii="Arial" w:eastAsia="Times New Roman" w:hAnsi="Arial" w:cs="Arial"/>
                <w:b/>
                <w:color w:val="000000" w:themeColor="text1"/>
                <w:sz w:val="20"/>
                <w:szCs w:val="20"/>
              </w:rPr>
              <w:t>Banka</w:t>
            </w:r>
            <w:bookmarkEnd w:id="262"/>
          </w:p>
        </w:tc>
      </w:tr>
      <w:tr w:rsidR="00843998" w:rsidRPr="000C7C66" w14:paraId="428AE43A" w14:textId="77777777" w:rsidTr="000C7C66">
        <w:trPr>
          <w:trHeight w:val="300"/>
        </w:trPr>
        <w:tc>
          <w:tcPr>
            <w:tcW w:w="2045" w:type="pct"/>
            <w:vAlign w:val="bottom"/>
          </w:tcPr>
          <w:p w14:paraId="6F8354F8" w14:textId="77777777" w:rsidR="00843998" w:rsidRPr="000C7C6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p>
        </w:tc>
        <w:tc>
          <w:tcPr>
            <w:tcW w:w="739" w:type="pct"/>
            <w:vAlign w:val="bottom"/>
          </w:tcPr>
          <w:p w14:paraId="203116C2" w14:textId="77777777" w:rsidR="00843998" w:rsidRPr="000C7C6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0C7C66">
              <w:rPr>
                <w:rFonts w:ascii="Arial" w:eastAsia="Times New Roman" w:hAnsi="Arial" w:cs="Arial"/>
                <w:b/>
                <w:color w:val="000000" w:themeColor="text1"/>
                <w:sz w:val="20"/>
                <w:szCs w:val="20"/>
              </w:rPr>
              <w:t>1.1.-31.3.</w:t>
            </w:r>
          </w:p>
          <w:p w14:paraId="1C5F9400" w14:textId="0F089893" w:rsidR="00843998" w:rsidRPr="000C7C6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0C7C66">
              <w:rPr>
                <w:rFonts w:ascii="Arial" w:eastAsia="Times New Roman" w:hAnsi="Arial" w:cs="Arial"/>
                <w:b/>
                <w:color w:val="000000" w:themeColor="text1"/>
                <w:sz w:val="20"/>
                <w:szCs w:val="20"/>
              </w:rPr>
              <w:t>202</w:t>
            </w:r>
            <w:r w:rsidR="00C376D8">
              <w:rPr>
                <w:rFonts w:ascii="Arial" w:eastAsia="Times New Roman" w:hAnsi="Arial" w:cs="Arial"/>
                <w:b/>
                <w:color w:val="000000" w:themeColor="text1"/>
                <w:sz w:val="20"/>
                <w:szCs w:val="20"/>
              </w:rPr>
              <w:t>4</w:t>
            </w:r>
            <w:r w:rsidRPr="000C7C66">
              <w:rPr>
                <w:rFonts w:ascii="Arial" w:eastAsia="Times New Roman" w:hAnsi="Arial" w:cs="Arial"/>
                <w:b/>
                <w:color w:val="000000" w:themeColor="text1"/>
                <w:sz w:val="20"/>
                <w:szCs w:val="20"/>
              </w:rPr>
              <w:t>.</w:t>
            </w:r>
          </w:p>
        </w:tc>
        <w:tc>
          <w:tcPr>
            <w:tcW w:w="739" w:type="pct"/>
            <w:vAlign w:val="bottom"/>
          </w:tcPr>
          <w:p w14:paraId="664D3D71" w14:textId="77777777" w:rsidR="00843998" w:rsidRPr="000C7C6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0C7C66">
              <w:rPr>
                <w:rFonts w:ascii="Arial" w:eastAsia="Times New Roman" w:hAnsi="Arial" w:cs="Arial"/>
                <w:b/>
                <w:color w:val="000000" w:themeColor="text1"/>
                <w:sz w:val="20"/>
                <w:szCs w:val="20"/>
              </w:rPr>
              <w:t>1.1.-31.3.</w:t>
            </w:r>
          </w:p>
          <w:p w14:paraId="19BD78AD" w14:textId="57D1ED08" w:rsidR="00843998" w:rsidRPr="000C7C6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0C7C66">
              <w:rPr>
                <w:rFonts w:ascii="Arial" w:eastAsia="Times New Roman" w:hAnsi="Arial" w:cs="Arial"/>
                <w:b/>
                <w:color w:val="000000" w:themeColor="text1"/>
                <w:sz w:val="20"/>
                <w:szCs w:val="20"/>
              </w:rPr>
              <w:t>202</w:t>
            </w:r>
            <w:r w:rsidR="00C376D8">
              <w:rPr>
                <w:rFonts w:ascii="Arial" w:eastAsia="Times New Roman" w:hAnsi="Arial" w:cs="Arial"/>
                <w:b/>
                <w:color w:val="000000" w:themeColor="text1"/>
                <w:sz w:val="20"/>
                <w:szCs w:val="20"/>
              </w:rPr>
              <w:t>3</w:t>
            </w:r>
            <w:r w:rsidRPr="000C7C66">
              <w:rPr>
                <w:rFonts w:ascii="Arial" w:eastAsia="Times New Roman" w:hAnsi="Arial" w:cs="Arial"/>
                <w:b/>
                <w:color w:val="000000" w:themeColor="text1"/>
                <w:sz w:val="20"/>
                <w:szCs w:val="20"/>
              </w:rPr>
              <w:t>.</w:t>
            </w:r>
          </w:p>
        </w:tc>
        <w:tc>
          <w:tcPr>
            <w:tcW w:w="739" w:type="pct"/>
            <w:vAlign w:val="bottom"/>
          </w:tcPr>
          <w:p w14:paraId="660461C6" w14:textId="77777777" w:rsidR="00843998" w:rsidRPr="000C7C6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0C7C66">
              <w:rPr>
                <w:rFonts w:ascii="Arial" w:eastAsia="Times New Roman" w:hAnsi="Arial" w:cs="Arial"/>
                <w:b/>
                <w:color w:val="000000" w:themeColor="text1"/>
                <w:sz w:val="20"/>
                <w:szCs w:val="20"/>
              </w:rPr>
              <w:t>1.1.-31.3.</w:t>
            </w:r>
          </w:p>
          <w:p w14:paraId="14CB52ED" w14:textId="2B7F3D80" w:rsidR="00843998" w:rsidRPr="000C7C6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0C7C66">
              <w:rPr>
                <w:rFonts w:ascii="Arial" w:eastAsia="Times New Roman" w:hAnsi="Arial" w:cs="Arial"/>
                <w:b/>
                <w:color w:val="000000" w:themeColor="text1"/>
                <w:sz w:val="20"/>
                <w:szCs w:val="20"/>
              </w:rPr>
              <w:t>202</w:t>
            </w:r>
            <w:r w:rsidR="00C376D8">
              <w:rPr>
                <w:rFonts w:ascii="Arial" w:eastAsia="Times New Roman" w:hAnsi="Arial" w:cs="Arial"/>
                <w:b/>
                <w:color w:val="000000" w:themeColor="text1"/>
                <w:sz w:val="20"/>
                <w:szCs w:val="20"/>
              </w:rPr>
              <w:t>4</w:t>
            </w:r>
            <w:r w:rsidRPr="000C7C66">
              <w:rPr>
                <w:rFonts w:ascii="Arial" w:eastAsia="Times New Roman" w:hAnsi="Arial" w:cs="Arial"/>
                <w:b/>
                <w:color w:val="000000" w:themeColor="text1"/>
                <w:sz w:val="20"/>
                <w:szCs w:val="20"/>
              </w:rPr>
              <w:t>.</w:t>
            </w:r>
          </w:p>
        </w:tc>
        <w:tc>
          <w:tcPr>
            <w:tcW w:w="738" w:type="pct"/>
            <w:vAlign w:val="bottom"/>
          </w:tcPr>
          <w:p w14:paraId="599A25E1" w14:textId="77777777" w:rsidR="00843998" w:rsidRPr="000C7C6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0C7C66">
              <w:rPr>
                <w:rFonts w:ascii="Arial" w:eastAsia="Times New Roman" w:hAnsi="Arial" w:cs="Arial"/>
                <w:b/>
                <w:color w:val="000000" w:themeColor="text1"/>
                <w:sz w:val="20"/>
                <w:szCs w:val="20"/>
              </w:rPr>
              <w:t>1.1.-31.3.</w:t>
            </w:r>
          </w:p>
          <w:p w14:paraId="57390BEA" w14:textId="4B671910" w:rsidR="00843998" w:rsidRPr="000C7C6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0C7C66">
              <w:rPr>
                <w:rFonts w:ascii="Arial" w:eastAsia="Times New Roman" w:hAnsi="Arial" w:cs="Arial"/>
                <w:b/>
                <w:color w:val="000000" w:themeColor="text1"/>
                <w:sz w:val="20"/>
                <w:szCs w:val="20"/>
              </w:rPr>
              <w:t>202</w:t>
            </w:r>
            <w:r w:rsidR="00C376D8">
              <w:rPr>
                <w:rFonts w:ascii="Arial" w:eastAsia="Times New Roman" w:hAnsi="Arial" w:cs="Arial"/>
                <w:b/>
                <w:color w:val="000000" w:themeColor="text1"/>
                <w:sz w:val="20"/>
                <w:szCs w:val="20"/>
              </w:rPr>
              <w:t>3</w:t>
            </w:r>
            <w:r w:rsidRPr="000C7C66">
              <w:rPr>
                <w:rFonts w:ascii="Arial" w:eastAsia="Times New Roman" w:hAnsi="Arial" w:cs="Arial"/>
                <w:b/>
                <w:color w:val="000000" w:themeColor="text1"/>
                <w:sz w:val="20"/>
                <w:szCs w:val="20"/>
              </w:rPr>
              <w:t>.</w:t>
            </w:r>
          </w:p>
        </w:tc>
      </w:tr>
      <w:tr w:rsidR="00843998" w:rsidRPr="000C7C66" w14:paraId="640CE2DA" w14:textId="77777777" w:rsidTr="000C7C66">
        <w:tblPrEx>
          <w:tblCellMar>
            <w:left w:w="108" w:type="dxa"/>
            <w:right w:w="108" w:type="dxa"/>
          </w:tblCellMar>
        </w:tblPrEx>
        <w:trPr>
          <w:trHeight w:val="187"/>
        </w:trPr>
        <w:tc>
          <w:tcPr>
            <w:tcW w:w="2045" w:type="pct"/>
            <w:vAlign w:val="bottom"/>
          </w:tcPr>
          <w:p w14:paraId="65626534" w14:textId="77777777" w:rsidR="00843998" w:rsidRPr="000C7C66" w:rsidRDefault="00843998" w:rsidP="00843998">
            <w:pPr>
              <w:tabs>
                <w:tab w:val="left" w:pos="-720"/>
              </w:tabs>
              <w:suppressAutoHyphens/>
              <w:autoSpaceDN w:val="0"/>
              <w:ind w:right="4144"/>
              <w:jc w:val="right"/>
              <w:rPr>
                <w:rFonts w:ascii="Arial" w:eastAsia="Times New Roman" w:hAnsi="Arial" w:cs="Arial"/>
                <w:color w:val="000000" w:themeColor="text1"/>
                <w:sz w:val="20"/>
                <w:szCs w:val="20"/>
              </w:rPr>
            </w:pPr>
          </w:p>
        </w:tc>
        <w:tc>
          <w:tcPr>
            <w:tcW w:w="739" w:type="pct"/>
            <w:vAlign w:val="bottom"/>
          </w:tcPr>
          <w:p w14:paraId="0AD15775" w14:textId="3604B675" w:rsidR="00843998" w:rsidRPr="000C7C6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0C7C66">
              <w:rPr>
                <w:rFonts w:ascii="Arial" w:eastAsia="Times New Roman" w:hAnsi="Arial" w:cs="Arial"/>
                <w:b/>
                <w:color w:val="000000" w:themeColor="text1"/>
                <w:sz w:val="20"/>
                <w:szCs w:val="20"/>
              </w:rPr>
              <w:t>000 eura</w:t>
            </w:r>
          </w:p>
        </w:tc>
        <w:tc>
          <w:tcPr>
            <w:tcW w:w="739" w:type="pct"/>
            <w:vAlign w:val="bottom"/>
          </w:tcPr>
          <w:p w14:paraId="1C14D5A2" w14:textId="26CBD59D" w:rsidR="00843998" w:rsidRPr="000C7C6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0C7C66">
              <w:rPr>
                <w:rFonts w:ascii="Arial" w:eastAsia="Times New Roman" w:hAnsi="Arial" w:cs="Arial"/>
                <w:b/>
                <w:color w:val="000000" w:themeColor="text1"/>
                <w:sz w:val="20"/>
                <w:szCs w:val="20"/>
              </w:rPr>
              <w:t>000 eura</w:t>
            </w:r>
          </w:p>
        </w:tc>
        <w:tc>
          <w:tcPr>
            <w:tcW w:w="739" w:type="pct"/>
            <w:vAlign w:val="bottom"/>
          </w:tcPr>
          <w:p w14:paraId="66546F2E" w14:textId="3AF0800C" w:rsidR="00843998" w:rsidRPr="000C7C6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0C7C66">
              <w:rPr>
                <w:rFonts w:ascii="Arial" w:eastAsia="Times New Roman" w:hAnsi="Arial" w:cs="Arial"/>
                <w:b/>
                <w:color w:val="000000" w:themeColor="text1"/>
                <w:sz w:val="20"/>
                <w:szCs w:val="20"/>
              </w:rPr>
              <w:t>000 eura</w:t>
            </w:r>
          </w:p>
        </w:tc>
        <w:tc>
          <w:tcPr>
            <w:tcW w:w="738" w:type="pct"/>
            <w:vAlign w:val="bottom"/>
          </w:tcPr>
          <w:p w14:paraId="503A34EA" w14:textId="7153C4B7" w:rsidR="00843998" w:rsidRPr="000C7C66"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0C7C66">
              <w:rPr>
                <w:rFonts w:ascii="Arial" w:eastAsia="Times New Roman" w:hAnsi="Arial" w:cs="Arial"/>
                <w:b/>
                <w:color w:val="000000" w:themeColor="text1"/>
                <w:sz w:val="20"/>
                <w:szCs w:val="20"/>
              </w:rPr>
              <w:t>000 eura</w:t>
            </w:r>
          </w:p>
        </w:tc>
      </w:tr>
      <w:tr w:rsidR="00843998" w:rsidRPr="000C7C66" w14:paraId="08CB5EB9" w14:textId="77777777" w:rsidTr="000C7C66">
        <w:trPr>
          <w:trHeight w:val="205"/>
        </w:trPr>
        <w:tc>
          <w:tcPr>
            <w:tcW w:w="2045" w:type="pct"/>
            <w:vAlign w:val="bottom"/>
          </w:tcPr>
          <w:p w14:paraId="5D67A9F9" w14:textId="77777777" w:rsidR="00843998" w:rsidRPr="000C7C66" w:rsidRDefault="00843998" w:rsidP="00843998">
            <w:pPr>
              <w:tabs>
                <w:tab w:val="right" w:pos="1202"/>
              </w:tabs>
              <w:suppressAutoHyphens/>
              <w:autoSpaceDN w:val="0"/>
              <w:outlineLvl w:val="0"/>
              <w:rPr>
                <w:rFonts w:ascii="Arial" w:eastAsia="Times New Roman" w:hAnsi="Arial" w:cs="Arial"/>
                <w:color w:val="000000" w:themeColor="text1"/>
                <w:sz w:val="20"/>
                <w:szCs w:val="20"/>
              </w:rPr>
            </w:pPr>
            <w:bookmarkStart w:id="263" w:name="_Toc67327455"/>
            <w:r w:rsidRPr="000C7C66">
              <w:rPr>
                <w:rFonts w:ascii="Arial" w:eastAsia="Times New Roman" w:hAnsi="Arial" w:cs="Arial"/>
                <w:color w:val="000000" w:themeColor="text1"/>
                <w:sz w:val="20"/>
                <w:szCs w:val="20"/>
              </w:rPr>
              <w:t>Kamate po kreditima</w:t>
            </w:r>
            <w:bookmarkEnd w:id="263"/>
          </w:p>
        </w:tc>
        <w:tc>
          <w:tcPr>
            <w:tcW w:w="739" w:type="pct"/>
            <w:vAlign w:val="bottom"/>
          </w:tcPr>
          <w:p w14:paraId="6CF09B0F" w14:textId="77777777" w:rsidR="00843998" w:rsidRPr="000C7C66" w:rsidRDefault="00843998" w:rsidP="00843998">
            <w:pPr>
              <w:tabs>
                <w:tab w:val="right" w:pos="1202"/>
              </w:tabs>
              <w:suppressAutoHyphens/>
              <w:autoSpaceDN w:val="0"/>
              <w:jc w:val="right"/>
              <w:outlineLvl w:val="0"/>
              <w:rPr>
                <w:rFonts w:ascii="Arial" w:eastAsia="Times New Roman" w:hAnsi="Arial" w:cs="Arial"/>
                <w:color w:val="000000" w:themeColor="text1"/>
                <w:spacing w:val="-2"/>
                <w:sz w:val="20"/>
                <w:szCs w:val="20"/>
              </w:rPr>
            </w:pPr>
          </w:p>
        </w:tc>
        <w:tc>
          <w:tcPr>
            <w:tcW w:w="739" w:type="pct"/>
            <w:vAlign w:val="bottom"/>
          </w:tcPr>
          <w:p w14:paraId="657973FA" w14:textId="77777777" w:rsidR="00843998" w:rsidRPr="000C7C66" w:rsidRDefault="00843998" w:rsidP="00843998">
            <w:pPr>
              <w:tabs>
                <w:tab w:val="right" w:pos="1202"/>
              </w:tabs>
              <w:suppressAutoHyphens/>
              <w:autoSpaceDN w:val="0"/>
              <w:jc w:val="right"/>
              <w:outlineLvl w:val="0"/>
              <w:rPr>
                <w:rFonts w:ascii="Arial" w:eastAsia="Times New Roman" w:hAnsi="Arial" w:cs="Arial"/>
                <w:color w:val="000000" w:themeColor="text1"/>
                <w:spacing w:val="-2"/>
                <w:sz w:val="20"/>
                <w:szCs w:val="20"/>
              </w:rPr>
            </w:pPr>
          </w:p>
        </w:tc>
        <w:tc>
          <w:tcPr>
            <w:tcW w:w="739" w:type="pct"/>
            <w:vAlign w:val="bottom"/>
          </w:tcPr>
          <w:p w14:paraId="7F631C74" w14:textId="77777777" w:rsidR="00843998" w:rsidRPr="000C7C66" w:rsidRDefault="00843998" w:rsidP="00843998">
            <w:pPr>
              <w:tabs>
                <w:tab w:val="right" w:pos="1202"/>
              </w:tabs>
              <w:suppressAutoHyphens/>
              <w:autoSpaceDN w:val="0"/>
              <w:jc w:val="right"/>
              <w:outlineLvl w:val="0"/>
              <w:rPr>
                <w:rFonts w:ascii="Arial" w:eastAsia="Times New Roman" w:hAnsi="Arial" w:cs="Arial"/>
                <w:color w:val="000000" w:themeColor="text1"/>
                <w:spacing w:val="-2"/>
                <w:sz w:val="20"/>
                <w:szCs w:val="20"/>
              </w:rPr>
            </w:pPr>
          </w:p>
        </w:tc>
        <w:tc>
          <w:tcPr>
            <w:tcW w:w="738" w:type="pct"/>
            <w:vAlign w:val="bottom"/>
          </w:tcPr>
          <w:p w14:paraId="184777CB" w14:textId="77777777" w:rsidR="00843998" w:rsidRPr="000C7C66" w:rsidRDefault="00843998" w:rsidP="00843998">
            <w:pPr>
              <w:tabs>
                <w:tab w:val="right" w:pos="1202"/>
              </w:tabs>
              <w:suppressAutoHyphens/>
              <w:autoSpaceDN w:val="0"/>
              <w:jc w:val="right"/>
              <w:outlineLvl w:val="0"/>
              <w:rPr>
                <w:rFonts w:ascii="Arial" w:eastAsia="Times New Roman" w:hAnsi="Arial" w:cs="Arial"/>
                <w:color w:val="000000" w:themeColor="text1"/>
                <w:spacing w:val="-2"/>
                <w:sz w:val="20"/>
                <w:szCs w:val="20"/>
              </w:rPr>
            </w:pPr>
          </w:p>
        </w:tc>
      </w:tr>
      <w:tr w:rsidR="00613266" w:rsidRPr="000C7C66" w14:paraId="68C38148" w14:textId="77777777" w:rsidTr="000C7C66">
        <w:tc>
          <w:tcPr>
            <w:tcW w:w="2045" w:type="pct"/>
            <w:vAlign w:val="bottom"/>
          </w:tcPr>
          <w:p w14:paraId="7CFD869E" w14:textId="77777777" w:rsidR="00613266" w:rsidRPr="000C7C66" w:rsidRDefault="00613266" w:rsidP="00613266">
            <w:pPr>
              <w:tabs>
                <w:tab w:val="right" w:pos="1202"/>
              </w:tabs>
              <w:suppressAutoHyphens/>
              <w:autoSpaceDN w:val="0"/>
              <w:outlineLvl w:val="0"/>
              <w:rPr>
                <w:rFonts w:ascii="Arial" w:eastAsia="Times New Roman" w:hAnsi="Arial" w:cs="Arial"/>
                <w:color w:val="000000" w:themeColor="text1"/>
                <w:sz w:val="20"/>
                <w:szCs w:val="20"/>
              </w:rPr>
            </w:pPr>
            <w:bookmarkStart w:id="264" w:name="_Toc67327456"/>
            <w:r w:rsidRPr="000C7C66">
              <w:rPr>
                <w:rFonts w:ascii="Arial" w:eastAsia="Times New Roman" w:hAnsi="Arial" w:cs="Arial"/>
                <w:color w:val="000000" w:themeColor="text1"/>
                <w:sz w:val="20"/>
                <w:szCs w:val="20"/>
              </w:rPr>
              <w:t>- financijskim institucijama</w:t>
            </w:r>
            <w:bookmarkEnd w:id="264"/>
            <w:r w:rsidRPr="000C7C66">
              <w:rPr>
                <w:rFonts w:ascii="Arial" w:eastAsia="Times New Roman" w:hAnsi="Arial" w:cs="Arial"/>
                <w:color w:val="000000" w:themeColor="text1"/>
                <w:sz w:val="20"/>
                <w:szCs w:val="20"/>
              </w:rPr>
              <w:t xml:space="preserve"> </w:t>
            </w:r>
          </w:p>
        </w:tc>
        <w:tc>
          <w:tcPr>
            <w:tcW w:w="739" w:type="pct"/>
            <w:tcBorders>
              <w:top w:val="nil"/>
              <w:left w:val="nil"/>
              <w:bottom w:val="nil"/>
              <w:right w:val="nil"/>
            </w:tcBorders>
            <w:shd w:val="clear" w:color="auto" w:fill="auto"/>
            <w:vAlign w:val="bottom"/>
          </w:tcPr>
          <w:p w14:paraId="25224A12" w14:textId="1D9D0C60" w:rsidR="00613266" w:rsidRPr="000C7C66" w:rsidRDefault="00E862E9" w:rsidP="00613266">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5.390</w:t>
            </w:r>
          </w:p>
        </w:tc>
        <w:tc>
          <w:tcPr>
            <w:tcW w:w="739" w:type="pct"/>
            <w:tcBorders>
              <w:top w:val="nil"/>
              <w:left w:val="nil"/>
              <w:bottom w:val="nil"/>
              <w:right w:val="nil"/>
            </w:tcBorders>
            <w:shd w:val="clear" w:color="auto" w:fill="auto"/>
            <w:vAlign w:val="bottom"/>
          </w:tcPr>
          <w:p w14:paraId="2F8052F5" w14:textId="53D67BBD" w:rsidR="00613266" w:rsidRPr="000C7C66" w:rsidRDefault="00613266" w:rsidP="00613266">
            <w:pPr>
              <w:tabs>
                <w:tab w:val="right" w:pos="1202"/>
              </w:tabs>
              <w:suppressAutoHyphens/>
              <w:autoSpaceDN w:val="0"/>
              <w:jc w:val="right"/>
              <w:outlineLvl w:val="0"/>
              <w:rPr>
                <w:rFonts w:ascii="Arial" w:eastAsia="Times New Roman" w:hAnsi="Arial" w:cs="Arial"/>
                <w:color w:val="000000" w:themeColor="text1"/>
                <w:spacing w:val="-2"/>
                <w:sz w:val="20"/>
                <w:szCs w:val="20"/>
              </w:rPr>
            </w:pPr>
            <w:r w:rsidRPr="000C7C66">
              <w:rPr>
                <w:rFonts w:ascii="Arial" w:hAnsi="Arial" w:cs="Arial"/>
                <w:sz w:val="20"/>
                <w:szCs w:val="20"/>
              </w:rPr>
              <w:t xml:space="preserve"> 2.672 </w:t>
            </w:r>
          </w:p>
        </w:tc>
        <w:tc>
          <w:tcPr>
            <w:tcW w:w="739" w:type="pct"/>
            <w:tcBorders>
              <w:top w:val="nil"/>
              <w:left w:val="nil"/>
              <w:bottom w:val="nil"/>
              <w:right w:val="nil"/>
            </w:tcBorders>
            <w:shd w:val="clear" w:color="auto" w:fill="auto"/>
            <w:vAlign w:val="bottom"/>
          </w:tcPr>
          <w:p w14:paraId="68FB403E" w14:textId="5B351D68" w:rsidR="00613266" w:rsidRPr="000C7C66" w:rsidRDefault="007A2C1D" w:rsidP="00613266">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5.39</w:t>
            </w:r>
            <w:r w:rsidR="0033165E">
              <w:rPr>
                <w:rFonts w:ascii="Arial" w:eastAsia="Times New Roman" w:hAnsi="Arial" w:cs="Arial"/>
                <w:color w:val="000000" w:themeColor="text1"/>
                <w:sz w:val="20"/>
                <w:szCs w:val="20"/>
              </w:rPr>
              <w:t>0</w:t>
            </w:r>
          </w:p>
        </w:tc>
        <w:tc>
          <w:tcPr>
            <w:tcW w:w="738" w:type="pct"/>
            <w:tcBorders>
              <w:top w:val="nil"/>
              <w:left w:val="nil"/>
              <w:bottom w:val="nil"/>
              <w:right w:val="nil"/>
            </w:tcBorders>
            <w:shd w:val="clear" w:color="auto" w:fill="auto"/>
            <w:vAlign w:val="bottom"/>
          </w:tcPr>
          <w:p w14:paraId="09DC700E" w14:textId="6FAB65EE" w:rsidR="00613266" w:rsidRPr="000C7C66" w:rsidRDefault="00613266" w:rsidP="00613266">
            <w:pPr>
              <w:tabs>
                <w:tab w:val="right" w:pos="1202"/>
              </w:tabs>
              <w:suppressAutoHyphens/>
              <w:autoSpaceDN w:val="0"/>
              <w:jc w:val="right"/>
              <w:outlineLvl w:val="0"/>
              <w:rPr>
                <w:rFonts w:ascii="Arial" w:eastAsia="Times New Roman" w:hAnsi="Arial" w:cs="Arial"/>
                <w:color w:val="000000" w:themeColor="text1"/>
                <w:spacing w:val="-2"/>
                <w:sz w:val="20"/>
                <w:szCs w:val="20"/>
              </w:rPr>
            </w:pPr>
            <w:r w:rsidRPr="000C7C66">
              <w:rPr>
                <w:rFonts w:ascii="Arial" w:hAnsi="Arial" w:cs="Arial"/>
                <w:sz w:val="20"/>
                <w:szCs w:val="20"/>
              </w:rPr>
              <w:t xml:space="preserve"> 2.672 </w:t>
            </w:r>
          </w:p>
        </w:tc>
      </w:tr>
      <w:tr w:rsidR="00613266" w:rsidRPr="000C7C66" w14:paraId="7D0A7C09" w14:textId="77777777" w:rsidTr="000C7C66">
        <w:tc>
          <w:tcPr>
            <w:tcW w:w="2045" w:type="pct"/>
            <w:vAlign w:val="bottom"/>
          </w:tcPr>
          <w:p w14:paraId="2F4389D7" w14:textId="77777777" w:rsidR="00613266" w:rsidRPr="000C7C66" w:rsidRDefault="00613266" w:rsidP="00613266">
            <w:pPr>
              <w:tabs>
                <w:tab w:val="right" w:pos="1202"/>
              </w:tabs>
              <w:suppressAutoHyphens/>
              <w:autoSpaceDN w:val="0"/>
              <w:outlineLvl w:val="0"/>
              <w:rPr>
                <w:rFonts w:ascii="Arial" w:eastAsia="Times New Roman" w:hAnsi="Arial" w:cs="Arial"/>
                <w:color w:val="000000" w:themeColor="text1"/>
                <w:sz w:val="20"/>
                <w:szCs w:val="20"/>
              </w:rPr>
            </w:pPr>
            <w:bookmarkStart w:id="265" w:name="_Toc67327461"/>
            <w:r w:rsidRPr="000C7C66">
              <w:rPr>
                <w:rFonts w:ascii="Arial" w:eastAsia="Times New Roman" w:hAnsi="Arial" w:cs="Arial"/>
                <w:color w:val="000000" w:themeColor="text1"/>
                <w:sz w:val="20"/>
                <w:szCs w:val="20"/>
              </w:rPr>
              <w:t>- ostalim korisnicima</w:t>
            </w:r>
            <w:bookmarkEnd w:id="265"/>
            <w:r w:rsidRPr="000C7C66">
              <w:rPr>
                <w:rFonts w:ascii="Arial" w:eastAsia="Times New Roman" w:hAnsi="Arial" w:cs="Arial"/>
                <w:color w:val="000000" w:themeColor="text1"/>
                <w:sz w:val="20"/>
                <w:szCs w:val="20"/>
              </w:rPr>
              <w:t xml:space="preserve"> </w:t>
            </w:r>
          </w:p>
        </w:tc>
        <w:tc>
          <w:tcPr>
            <w:tcW w:w="739" w:type="pct"/>
            <w:tcBorders>
              <w:top w:val="nil"/>
              <w:left w:val="nil"/>
              <w:bottom w:val="nil"/>
              <w:right w:val="nil"/>
            </w:tcBorders>
            <w:shd w:val="clear" w:color="auto" w:fill="auto"/>
            <w:vAlign w:val="bottom"/>
          </w:tcPr>
          <w:p w14:paraId="4D0BB90C" w14:textId="2880E83E" w:rsidR="00613266" w:rsidRPr="000C7C66" w:rsidRDefault="00E862E9" w:rsidP="00613266">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19.466</w:t>
            </w:r>
          </w:p>
        </w:tc>
        <w:tc>
          <w:tcPr>
            <w:tcW w:w="739" w:type="pct"/>
            <w:tcBorders>
              <w:top w:val="nil"/>
              <w:left w:val="nil"/>
              <w:bottom w:val="nil"/>
              <w:right w:val="nil"/>
            </w:tcBorders>
            <w:shd w:val="clear" w:color="auto" w:fill="auto"/>
            <w:vAlign w:val="bottom"/>
          </w:tcPr>
          <w:p w14:paraId="55C6E730" w14:textId="0751097C" w:rsidR="00613266" w:rsidRPr="000C7C66" w:rsidRDefault="00613266" w:rsidP="00613266">
            <w:pPr>
              <w:tabs>
                <w:tab w:val="right" w:pos="1202"/>
              </w:tabs>
              <w:suppressAutoHyphens/>
              <w:autoSpaceDN w:val="0"/>
              <w:jc w:val="right"/>
              <w:outlineLvl w:val="0"/>
              <w:rPr>
                <w:rFonts w:ascii="Arial" w:eastAsia="Times New Roman" w:hAnsi="Arial" w:cs="Arial"/>
                <w:color w:val="000000" w:themeColor="text1"/>
                <w:spacing w:val="-2"/>
                <w:sz w:val="20"/>
                <w:szCs w:val="20"/>
              </w:rPr>
            </w:pPr>
            <w:r w:rsidRPr="000C7C66">
              <w:rPr>
                <w:rFonts w:ascii="Arial" w:hAnsi="Arial" w:cs="Arial"/>
                <w:sz w:val="20"/>
                <w:szCs w:val="20"/>
              </w:rPr>
              <w:t xml:space="preserve"> 17.019 </w:t>
            </w:r>
          </w:p>
        </w:tc>
        <w:tc>
          <w:tcPr>
            <w:tcW w:w="739" w:type="pct"/>
            <w:tcBorders>
              <w:top w:val="nil"/>
              <w:left w:val="nil"/>
              <w:bottom w:val="nil"/>
              <w:right w:val="nil"/>
            </w:tcBorders>
            <w:shd w:val="clear" w:color="auto" w:fill="auto"/>
            <w:vAlign w:val="bottom"/>
          </w:tcPr>
          <w:p w14:paraId="4A9FF082" w14:textId="5219A4DC" w:rsidR="00613266" w:rsidRPr="000C7C66" w:rsidRDefault="007A2C1D" w:rsidP="00613266">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w:t>
            </w:r>
            <w:r w:rsidR="0033165E">
              <w:rPr>
                <w:rFonts w:ascii="Arial" w:eastAsia="Times New Roman" w:hAnsi="Arial" w:cs="Arial"/>
                <w:color w:val="000000" w:themeColor="text1"/>
                <w:sz w:val="20"/>
                <w:szCs w:val="20"/>
              </w:rPr>
              <w:t>466</w:t>
            </w:r>
          </w:p>
        </w:tc>
        <w:tc>
          <w:tcPr>
            <w:tcW w:w="738" w:type="pct"/>
            <w:tcBorders>
              <w:top w:val="nil"/>
              <w:left w:val="nil"/>
              <w:bottom w:val="nil"/>
              <w:right w:val="nil"/>
            </w:tcBorders>
            <w:shd w:val="clear" w:color="auto" w:fill="auto"/>
            <w:vAlign w:val="bottom"/>
          </w:tcPr>
          <w:p w14:paraId="74DA7D6C" w14:textId="43CC619E" w:rsidR="00613266" w:rsidRPr="000C7C66" w:rsidRDefault="00613266" w:rsidP="00613266">
            <w:pPr>
              <w:tabs>
                <w:tab w:val="right" w:pos="1202"/>
              </w:tabs>
              <w:suppressAutoHyphens/>
              <w:autoSpaceDN w:val="0"/>
              <w:jc w:val="right"/>
              <w:outlineLvl w:val="0"/>
              <w:rPr>
                <w:rFonts w:ascii="Arial" w:eastAsia="Times New Roman" w:hAnsi="Arial" w:cs="Arial"/>
                <w:color w:val="000000" w:themeColor="text1"/>
                <w:spacing w:val="-2"/>
                <w:sz w:val="20"/>
                <w:szCs w:val="20"/>
              </w:rPr>
            </w:pPr>
            <w:r w:rsidRPr="000C7C66">
              <w:rPr>
                <w:rFonts w:ascii="Arial" w:hAnsi="Arial" w:cs="Arial"/>
                <w:sz w:val="20"/>
                <w:szCs w:val="20"/>
              </w:rPr>
              <w:t xml:space="preserve"> 17.019 </w:t>
            </w:r>
          </w:p>
        </w:tc>
      </w:tr>
      <w:tr w:rsidR="00613266" w:rsidRPr="000C7C66" w14:paraId="1B5C1BCC" w14:textId="77777777" w:rsidTr="000C7C66">
        <w:tc>
          <w:tcPr>
            <w:tcW w:w="2045" w:type="pct"/>
            <w:vAlign w:val="bottom"/>
          </w:tcPr>
          <w:p w14:paraId="16456360" w14:textId="77777777" w:rsidR="00613266" w:rsidRPr="000C7C66" w:rsidRDefault="00613266" w:rsidP="00613266">
            <w:pPr>
              <w:tabs>
                <w:tab w:val="right" w:pos="1202"/>
              </w:tabs>
              <w:suppressAutoHyphens/>
              <w:autoSpaceDN w:val="0"/>
              <w:outlineLvl w:val="0"/>
              <w:rPr>
                <w:rFonts w:ascii="Arial" w:eastAsia="Times New Roman" w:hAnsi="Arial" w:cs="Arial"/>
                <w:color w:val="000000" w:themeColor="text1"/>
                <w:sz w:val="20"/>
                <w:szCs w:val="20"/>
              </w:rPr>
            </w:pPr>
          </w:p>
        </w:tc>
        <w:tc>
          <w:tcPr>
            <w:tcW w:w="739" w:type="pct"/>
            <w:tcBorders>
              <w:top w:val="single" w:sz="4" w:space="0" w:color="auto"/>
              <w:bottom w:val="single" w:sz="4" w:space="0" w:color="auto"/>
            </w:tcBorders>
            <w:vAlign w:val="bottom"/>
          </w:tcPr>
          <w:p w14:paraId="7F022852" w14:textId="2413721B" w:rsidR="00613266" w:rsidRPr="000C7C66" w:rsidRDefault="00E862E9" w:rsidP="00613266">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24.856</w:t>
            </w:r>
          </w:p>
        </w:tc>
        <w:tc>
          <w:tcPr>
            <w:tcW w:w="739" w:type="pct"/>
            <w:tcBorders>
              <w:top w:val="single" w:sz="4" w:space="0" w:color="auto"/>
              <w:bottom w:val="single" w:sz="4" w:space="0" w:color="auto"/>
            </w:tcBorders>
            <w:vAlign w:val="bottom"/>
          </w:tcPr>
          <w:p w14:paraId="10D1D8D0" w14:textId="64F44E05" w:rsidR="00613266" w:rsidRPr="000C7C66" w:rsidRDefault="00613266" w:rsidP="00613266">
            <w:pPr>
              <w:tabs>
                <w:tab w:val="right" w:pos="1202"/>
              </w:tabs>
              <w:suppressAutoHyphens/>
              <w:autoSpaceDN w:val="0"/>
              <w:jc w:val="right"/>
              <w:outlineLvl w:val="0"/>
              <w:rPr>
                <w:rFonts w:ascii="Arial" w:eastAsia="Times New Roman" w:hAnsi="Arial" w:cs="Arial"/>
                <w:color w:val="000000" w:themeColor="text1"/>
                <w:spacing w:val="-2"/>
                <w:sz w:val="20"/>
                <w:szCs w:val="20"/>
              </w:rPr>
            </w:pPr>
            <w:r w:rsidRPr="000C7C66">
              <w:rPr>
                <w:rFonts w:ascii="Arial" w:hAnsi="Arial" w:cs="Arial"/>
                <w:sz w:val="20"/>
                <w:szCs w:val="20"/>
              </w:rPr>
              <w:t xml:space="preserve"> 19.691 </w:t>
            </w:r>
          </w:p>
        </w:tc>
        <w:tc>
          <w:tcPr>
            <w:tcW w:w="739" w:type="pct"/>
            <w:tcBorders>
              <w:top w:val="single" w:sz="4" w:space="0" w:color="auto"/>
              <w:bottom w:val="single" w:sz="4" w:space="0" w:color="auto"/>
            </w:tcBorders>
            <w:vAlign w:val="bottom"/>
          </w:tcPr>
          <w:p w14:paraId="5D776353" w14:textId="2C1F45B9" w:rsidR="00613266" w:rsidRPr="000C7C66" w:rsidRDefault="007A2C1D" w:rsidP="00613266">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24.</w:t>
            </w:r>
            <w:r w:rsidR="0033165E">
              <w:rPr>
                <w:rFonts w:ascii="Arial" w:eastAsia="Times New Roman" w:hAnsi="Arial" w:cs="Arial"/>
                <w:color w:val="000000" w:themeColor="text1"/>
                <w:sz w:val="20"/>
                <w:szCs w:val="20"/>
              </w:rPr>
              <w:t>856</w:t>
            </w:r>
          </w:p>
        </w:tc>
        <w:tc>
          <w:tcPr>
            <w:tcW w:w="738" w:type="pct"/>
            <w:tcBorders>
              <w:top w:val="single" w:sz="4" w:space="0" w:color="auto"/>
              <w:bottom w:val="single" w:sz="4" w:space="0" w:color="auto"/>
            </w:tcBorders>
            <w:vAlign w:val="bottom"/>
          </w:tcPr>
          <w:p w14:paraId="482A5718" w14:textId="5ED0E87B" w:rsidR="00613266" w:rsidRPr="000C7C66" w:rsidRDefault="00613266" w:rsidP="00613266">
            <w:pPr>
              <w:tabs>
                <w:tab w:val="right" w:pos="1202"/>
              </w:tabs>
              <w:suppressAutoHyphens/>
              <w:autoSpaceDN w:val="0"/>
              <w:jc w:val="right"/>
              <w:outlineLvl w:val="0"/>
              <w:rPr>
                <w:rFonts w:ascii="Arial" w:eastAsia="Times New Roman" w:hAnsi="Arial" w:cs="Arial"/>
                <w:color w:val="000000" w:themeColor="text1"/>
                <w:spacing w:val="-2"/>
                <w:sz w:val="20"/>
                <w:szCs w:val="20"/>
              </w:rPr>
            </w:pPr>
            <w:r w:rsidRPr="000C7C66">
              <w:rPr>
                <w:rFonts w:ascii="Arial" w:hAnsi="Arial" w:cs="Arial"/>
                <w:sz w:val="20"/>
                <w:szCs w:val="20"/>
              </w:rPr>
              <w:t xml:space="preserve"> 19.691 </w:t>
            </w:r>
          </w:p>
        </w:tc>
      </w:tr>
      <w:tr w:rsidR="00613266" w:rsidRPr="000C7C66" w14:paraId="7B86288E" w14:textId="77777777" w:rsidTr="000C7C66">
        <w:tblPrEx>
          <w:tblCellMar>
            <w:left w:w="119" w:type="dxa"/>
            <w:right w:w="119" w:type="dxa"/>
          </w:tblCellMar>
        </w:tblPrEx>
        <w:tc>
          <w:tcPr>
            <w:tcW w:w="2045" w:type="pct"/>
            <w:vAlign w:val="bottom"/>
          </w:tcPr>
          <w:p w14:paraId="37A3200D" w14:textId="77777777" w:rsidR="00613266" w:rsidRPr="000C7C66" w:rsidRDefault="00613266" w:rsidP="00613266">
            <w:pPr>
              <w:tabs>
                <w:tab w:val="right" w:pos="1202"/>
              </w:tabs>
              <w:suppressAutoHyphens/>
              <w:autoSpaceDN w:val="0"/>
              <w:outlineLvl w:val="0"/>
              <w:rPr>
                <w:rFonts w:ascii="Arial" w:eastAsia="Times New Roman" w:hAnsi="Arial" w:cs="Arial"/>
                <w:color w:val="000000" w:themeColor="text1"/>
                <w:sz w:val="20"/>
                <w:szCs w:val="20"/>
              </w:rPr>
            </w:pPr>
          </w:p>
        </w:tc>
        <w:tc>
          <w:tcPr>
            <w:tcW w:w="739" w:type="pct"/>
            <w:tcBorders>
              <w:top w:val="single" w:sz="4" w:space="0" w:color="auto"/>
            </w:tcBorders>
            <w:vAlign w:val="bottom"/>
          </w:tcPr>
          <w:p w14:paraId="08115C62" w14:textId="77777777" w:rsidR="00613266" w:rsidRPr="000C7C66" w:rsidRDefault="00613266" w:rsidP="00613266">
            <w:pPr>
              <w:tabs>
                <w:tab w:val="right" w:pos="1202"/>
              </w:tabs>
              <w:suppressAutoHyphens/>
              <w:autoSpaceDN w:val="0"/>
              <w:outlineLvl w:val="0"/>
              <w:rPr>
                <w:rFonts w:ascii="Arial" w:eastAsia="Times New Roman" w:hAnsi="Arial" w:cs="Arial"/>
                <w:color w:val="000000" w:themeColor="text1"/>
                <w:sz w:val="20"/>
                <w:szCs w:val="20"/>
              </w:rPr>
            </w:pPr>
          </w:p>
        </w:tc>
        <w:tc>
          <w:tcPr>
            <w:tcW w:w="739" w:type="pct"/>
            <w:tcBorders>
              <w:top w:val="single" w:sz="4" w:space="0" w:color="auto"/>
            </w:tcBorders>
            <w:vAlign w:val="bottom"/>
          </w:tcPr>
          <w:p w14:paraId="1D11BDEC" w14:textId="77777777" w:rsidR="00613266" w:rsidRPr="000C7C66" w:rsidRDefault="00613266" w:rsidP="00613266">
            <w:pPr>
              <w:tabs>
                <w:tab w:val="right" w:pos="1202"/>
              </w:tabs>
              <w:suppressAutoHyphens/>
              <w:autoSpaceDN w:val="0"/>
              <w:outlineLvl w:val="0"/>
              <w:rPr>
                <w:rFonts w:ascii="Arial" w:eastAsia="Times New Roman" w:hAnsi="Arial" w:cs="Arial"/>
                <w:color w:val="000000" w:themeColor="text1"/>
                <w:sz w:val="20"/>
                <w:szCs w:val="20"/>
              </w:rPr>
            </w:pPr>
          </w:p>
        </w:tc>
        <w:tc>
          <w:tcPr>
            <w:tcW w:w="739" w:type="pct"/>
            <w:tcBorders>
              <w:top w:val="single" w:sz="4" w:space="0" w:color="auto"/>
            </w:tcBorders>
            <w:vAlign w:val="bottom"/>
          </w:tcPr>
          <w:p w14:paraId="4CAFC18D" w14:textId="77777777" w:rsidR="00613266" w:rsidRPr="000C7C66" w:rsidRDefault="00613266" w:rsidP="00613266">
            <w:pPr>
              <w:tabs>
                <w:tab w:val="right" w:pos="1202"/>
              </w:tabs>
              <w:suppressAutoHyphens/>
              <w:autoSpaceDN w:val="0"/>
              <w:outlineLvl w:val="0"/>
              <w:rPr>
                <w:rFonts w:ascii="Arial" w:eastAsia="Times New Roman" w:hAnsi="Arial" w:cs="Arial"/>
                <w:color w:val="000000" w:themeColor="text1"/>
                <w:sz w:val="20"/>
                <w:szCs w:val="20"/>
              </w:rPr>
            </w:pPr>
          </w:p>
        </w:tc>
        <w:tc>
          <w:tcPr>
            <w:tcW w:w="738" w:type="pct"/>
            <w:tcBorders>
              <w:top w:val="single" w:sz="4" w:space="0" w:color="auto"/>
            </w:tcBorders>
            <w:vAlign w:val="bottom"/>
          </w:tcPr>
          <w:p w14:paraId="0DA12E9E" w14:textId="77777777" w:rsidR="00613266" w:rsidRPr="000C7C66" w:rsidRDefault="00613266" w:rsidP="00613266">
            <w:pPr>
              <w:tabs>
                <w:tab w:val="right" w:pos="1202"/>
              </w:tabs>
              <w:suppressAutoHyphens/>
              <w:autoSpaceDN w:val="0"/>
              <w:outlineLvl w:val="0"/>
              <w:rPr>
                <w:rFonts w:ascii="Arial" w:eastAsia="Times New Roman" w:hAnsi="Arial" w:cs="Arial"/>
                <w:color w:val="000000" w:themeColor="text1"/>
                <w:sz w:val="20"/>
                <w:szCs w:val="20"/>
              </w:rPr>
            </w:pPr>
          </w:p>
        </w:tc>
      </w:tr>
      <w:tr w:rsidR="00613266" w:rsidRPr="000C7C66" w14:paraId="71D0EB17" w14:textId="77777777" w:rsidTr="000C7C66">
        <w:tc>
          <w:tcPr>
            <w:tcW w:w="2045" w:type="pct"/>
            <w:vAlign w:val="bottom"/>
          </w:tcPr>
          <w:p w14:paraId="64CEC286" w14:textId="77777777" w:rsidR="00613266" w:rsidRPr="000C7C66" w:rsidRDefault="00613266" w:rsidP="00613266">
            <w:pPr>
              <w:tabs>
                <w:tab w:val="right" w:pos="1202"/>
              </w:tabs>
              <w:suppressAutoHyphens/>
              <w:autoSpaceDN w:val="0"/>
              <w:outlineLvl w:val="0"/>
              <w:rPr>
                <w:rFonts w:ascii="Arial" w:eastAsia="Times New Roman" w:hAnsi="Arial" w:cs="Arial"/>
                <w:color w:val="000000" w:themeColor="text1"/>
                <w:sz w:val="20"/>
                <w:szCs w:val="20"/>
              </w:rPr>
            </w:pPr>
            <w:bookmarkStart w:id="266" w:name="_Toc67327470"/>
            <w:r w:rsidRPr="000C7C66">
              <w:rPr>
                <w:rFonts w:ascii="Arial" w:eastAsia="Times New Roman" w:hAnsi="Arial" w:cs="Arial"/>
                <w:color w:val="000000" w:themeColor="text1"/>
                <w:sz w:val="20"/>
                <w:szCs w:val="20"/>
              </w:rPr>
              <w:t>Plasmani u vrijednosne papire</w:t>
            </w:r>
            <w:bookmarkEnd w:id="266"/>
          </w:p>
        </w:tc>
        <w:tc>
          <w:tcPr>
            <w:tcW w:w="739" w:type="pct"/>
            <w:tcBorders>
              <w:top w:val="nil"/>
              <w:left w:val="nil"/>
              <w:bottom w:val="nil"/>
              <w:right w:val="nil"/>
            </w:tcBorders>
            <w:shd w:val="clear" w:color="auto" w:fill="auto"/>
            <w:vAlign w:val="bottom"/>
          </w:tcPr>
          <w:p w14:paraId="6B098118" w14:textId="67A44D4E" w:rsidR="00613266" w:rsidRPr="000C7C66" w:rsidRDefault="00E862E9" w:rsidP="00613266">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1.483</w:t>
            </w:r>
          </w:p>
        </w:tc>
        <w:tc>
          <w:tcPr>
            <w:tcW w:w="739" w:type="pct"/>
            <w:tcBorders>
              <w:top w:val="nil"/>
              <w:left w:val="nil"/>
              <w:bottom w:val="nil"/>
              <w:right w:val="nil"/>
            </w:tcBorders>
            <w:shd w:val="clear" w:color="auto" w:fill="auto"/>
            <w:vAlign w:val="bottom"/>
          </w:tcPr>
          <w:p w14:paraId="66AA5D91" w14:textId="4A9DAA63" w:rsidR="00613266" w:rsidRPr="000C7C66" w:rsidRDefault="00613266" w:rsidP="00613266">
            <w:pPr>
              <w:tabs>
                <w:tab w:val="right" w:pos="1202"/>
              </w:tabs>
              <w:suppressAutoHyphens/>
              <w:autoSpaceDN w:val="0"/>
              <w:jc w:val="right"/>
              <w:outlineLvl w:val="0"/>
              <w:rPr>
                <w:rFonts w:ascii="Arial" w:eastAsia="Times New Roman" w:hAnsi="Arial" w:cs="Arial"/>
                <w:color w:val="000000" w:themeColor="text1"/>
                <w:sz w:val="20"/>
                <w:szCs w:val="20"/>
              </w:rPr>
            </w:pPr>
            <w:r w:rsidRPr="000C7C66">
              <w:rPr>
                <w:rFonts w:ascii="Arial" w:hAnsi="Arial" w:cs="Arial"/>
                <w:sz w:val="20"/>
                <w:szCs w:val="20"/>
              </w:rPr>
              <w:t xml:space="preserve"> 804 </w:t>
            </w:r>
          </w:p>
        </w:tc>
        <w:tc>
          <w:tcPr>
            <w:tcW w:w="739" w:type="pct"/>
            <w:tcBorders>
              <w:top w:val="nil"/>
              <w:left w:val="nil"/>
              <w:bottom w:val="nil"/>
              <w:right w:val="nil"/>
            </w:tcBorders>
            <w:shd w:val="clear" w:color="auto" w:fill="auto"/>
            <w:vAlign w:val="bottom"/>
          </w:tcPr>
          <w:p w14:paraId="30D47A97" w14:textId="119C58B0" w:rsidR="00613266" w:rsidRPr="000C7C66" w:rsidRDefault="007A2C1D" w:rsidP="00613266">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1.440</w:t>
            </w:r>
          </w:p>
        </w:tc>
        <w:tc>
          <w:tcPr>
            <w:tcW w:w="738" w:type="pct"/>
            <w:tcBorders>
              <w:top w:val="nil"/>
              <w:left w:val="nil"/>
              <w:bottom w:val="nil"/>
              <w:right w:val="nil"/>
            </w:tcBorders>
            <w:shd w:val="clear" w:color="auto" w:fill="auto"/>
            <w:vAlign w:val="bottom"/>
          </w:tcPr>
          <w:p w14:paraId="626FB072" w14:textId="620E78BC" w:rsidR="00613266" w:rsidRPr="000C7C66" w:rsidRDefault="00613266" w:rsidP="00613266">
            <w:pPr>
              <w:tabs>
                <w:tab w:val="right" w:pos="1202"/>
              </w:tabs>
              <w:suppressAutoHyphens/>
              <w:autoSpaceDN w:val="0"/>
              <w:jc w:val="right"/>
              <w:outlineLvl w:val="0"/>
              <w:rPr>
                <w:rFonts w:ascii="Arial" w:eastAsia="Times New Roman" w:hAnsi="Arial" w:cs="Arial"/>
                <w:color w:val="000000" w:themeColor="text1"/>
                <w:sz w:val="20"/>
                <w:szCs w:val="20"/>
              </w:rPr>
            </w:pPr>
            <w:r w:rsidRPr="000C7C66">
              <w:rPr>
                <w:rFonts w:ascii="Arial" w:hAnsi="Arial" w:cs="Arial"/>
                <w:sz w:val="20"/>
                <w:szCs w:val="20"/>
              </w:rPr>
              <w:t xml:space="preserve"> 761 </w:t>
            </w:r>
          </w:p>
        </w:tc>
      </w:tr>
      <w:tr w:rsidR="00613266" w:rsidRPr="000C7C66" w14:paraId="417D8E33" w14:textId="77777777" w:rsidTr="000C7C66">
        <w:tc>
          <w:tcPr>
            <w:tcW w:w="2045" w:type="pct"/>
            <w:tcBorders>
              <w:top w:val="nil"/>
              <w:left w:val="nil"/>
              <w:bottom w:val="nil"/>
              <w:right w:val="nil"/>
            </w:tcBorders>
            <w:shd w:val="clear" w:color="auto" w:fill="auto"/>
            <w:vAlign w:val="bottom"/>
          </w:tcPr>
          <w:p w14:paraId="76D7BDD9" w14:textId="77777777" w:rsidR="00613266" w:rsidRPr="000C7C66" w:rsidRDefault="00613266" w:rsidP="00613266">
            <w:pPr>
              <w:tabs>
                <w:tab w:val="right" w:pos="1202"/>
              </w:tabs>
              <w:suppressAutoHyphens/>
              <w:autoSpaceDN w:val="0"/>
              <w:outlineLvl w:val="0"/>
              <w:rPr>
                <w:rFonts w:ascii="Arial" w:eastAsia="Times New Roman" w:hAnsi="Arial" w:cs="Arial"/>
                <w:color w:val="000000" w:themeColor="text1"/>
                <w:sz w:val="20"/>
                <w:szCs w:val="20"/>
              </w:rPr>
            </w:pPr>
            <w:bookmarkStart w:id="267" w:name="_Toc67327475"/>
            <w:r w:rsidRPr="000C7C66">
              <w:rPr>
                <w:rFonts w:ascii="Arial" w:eastAsia="Times New Roman" w:hAnsi="Arial" w:cs="Arial"/>
                <w:i/>
                <w:iCs/>
                <w:color w:val="000000" w:themeColor="text1"/>
                <w:sz w:val="20"/>
                <w:szCs w:val="20"/>
              </w:rPr>
              <w:t>- obveznice Republike Hrvatske</w:t>
            </w:r>
            <w:bookmarkEnd w:id="267"/>
          </w:p>
        </w:tc>
        <w:tc>
          <w:tcPr>
            <w:tcW w:w="739" w:type="pct"/>
            <w:tcBorders>
              <w:top w:val="nil"/>
              <w:left w:val="nil"/>
              <w:bottom w:val="nil"/>
              <w:right w:val="nil"/>
            </w:tcBorders>
            <w:shd w:val="clear" w:color="auto" w:fill="auto"/>
            <w:vAlign w:val="bottom"/>
          </w:tcPr>
          <w:p w14:paraId="4D9B2EA2" w14:textId="641692A9" w:rsidR="00613266" w:rsidRPr="000C7C66" w:rsidRDefault="00FD3E8A" w:rsidP="00613266">
            <w:pPr>
              <w:tabs>
                <w:tab w:val="right" w:pos="1202"/>
              </w:tabs>
              <w:suppressAutoHyphens/>
              <w:autoSpaceDN w:val="0"/>
              <w:jc w:val="right"/>
              <w:outlineLvl w:val="0"/>
              <w:rPr>
                <w:rFonts w:ascii="Arial" w:eastAsia="Times New Roman" w:hAnsi="Arial" w:cs="Arial"/>
                <w:i/>
                <w:iCs/>
                <w:color w:val="000000" w:themeColor="text1"/>
                <w:sz w:val="20"/>
                <w:szCs w:val="20"/>
              </w:rPr>
            </w:pPr>
            <w:r>
              <w:rPr>
                <w:rFonts w:ascii="Arial" w:eastAsia="Times New Roman" w:hAnsi="Arial" w:cs="Arial"/>
                <w:i/>
                <w:iCs/>
                <w:color w:val="000000" w:themeColor="text1"/>
                <w:sz w:val="20"/>
                <w:szCs w:val="20"/>
              </w:rPr>
              <w:t>1.229</w:t>
            </w:r>
          </w:p>
        </w:tc>
        <w:tc>
          <w:tcPr>
            <w:tcW w:w="739" w:type="pct"/>
            <w:tcBorders>
              <w:top w:val="nil"/>
              <w:left w:val="nil"/>
              <w:bottom w:val="nil"/>
              <w:right w:val="nil"/>
            </w:tcBorders>
            <w:shd w:val="clear" w:color="auto" w:fill="auto"/>
            <w:vAlign w:val="bottom"/>
          </w:tcPr>
          <w:p w14:paraId="5558DFFB" w14:textId="64696785" w:rsidR="00613266" w:rsidRPr="000C7C66" w:rsidRDefault="00613266" w:rsidP="00613266">
            <w:pPr>
              <w:tabs>
                <w:tab w:val="right" w:pos="1202"/>
              </w:tabs>
              <w:suppressAutoHyphens/>
              <w:autoSpaceDN w:val="0"/>
              <w:jc w:val="right"/>
              <w:outlineLvl w:val="0"/>
              <w:rPr>
                <w:rFonts w:ascii="Arial" w:eastAsia="Times New Roman" w:hAnsi="Arial" w:cs="Arial"/>
                <w:i/>
                <w:iCs/>
                <w:color w:val="000000" w:themeColor="text1"/>
                <w:sz w:val="20"/>
                <w:szCs w:val="20"/>
              </w:rPr>
            </w:pPr>
            <w:r w:rsidRPr="000C7C66">
              <w:rPr>
                <w:rFonts w:ascii="Arial" w:hAnsi="Arial" w:cs="Arial"/>
                <w:i/>
                <w:iCs/>
                <w:sz w:val="20"/>
                <w:szCs w:val="20"/>
              </w:rPr>
              <w:t xml:space="preserve"> 692 </w:t>
            </w:r>
          </w:p>
        </w:tc>
        <w:tc>
          <w:tcPr>
            <w:tcW w:w="739" w:type="pct"/>
            <w:tcBorders>
              <w:top w:val="nil"/>
              <w:left w:val="nil"/>
              <w:bottom w:val="nil"/>
              <w:right w:val="nil"/>
            </w:tcBorders>
            <w:shd w:val="clear" w:color="auto" w:fill="auto"/>
            <w:vAlign w:val="bottom"/>
          </w:tcPr>
          <w:p w14:paraId="4D9585F0" w14:textId="480A9904" w:rsidR="00613266" w:rsidRPr="000C7C66" w:rsidRDefault="007A2C1D" w:rsidP="00613266">
            <w:pPr>
              <w:tabs>
                <w:tab w:val="right" w:pos="1202"/>
              </w:tabs>
              <w:suppressAutoHyphens/>
              <w:autoSpaceDN w:val="0"/>
              <w:jc w:val="right"/>
              <w:outlineLvl w:val="0"/>
              <w:rPr>
                <w:rFonts w:ascii="Arial" w:eastAsia="Times New Roman" w:hAnsi="Arial" w:cs="Arial"/>
                <w:i/>
                <w:iCs/>
                <w:color w:val="000000" w:themeColor="text1"/>
                <w:sz w:val="20"/>
                <w:szCs w:val="20"/>
              </w:rPr>
            </w:pPr>
            <w:r>
              <w:rPr>
                <w:rFonts w:ascii="Arial" w:eastAsia="Times New Roman" w:hAnsi="Arial" w:cs="Arial"/>
                <w:i/>
                <w:iCs/>
                <w:color w:val="000000" w:themeColor="text1"/>
                <w:sz w:val="20"/>
                <w:szCs w:val="20"/>
              </w:rPr>
              <w:t>1.187</w:t>
            </w:r>
          </w:p>
        </w:tc>
        <w:tc>
          <w:tcPr>
            <w:tcW w:w="738" w:type="pct"/>
            <w:tcBorders>
              <w:top w:val="nil"/>
              <w:left w:val="nil"/>
              <w:bottom w:val="nil"/>
              <w:right w:val="nil"/>
            </w:tcBorders>
            <w:shd w:val="clear" w:color="auto" w:fill="auto"/>
            <w:vAlign w:val="bottom"/>
          </w:tcPr>
          <w:p w14:paraId="7C401549" w14:textId="460D7CA7" w:rsidR="00613266" w:rsidRPr="000C7C66" w:rsidRDefault="00613266" w:rsidP="00613266">
            <w:pPr>
              <w:tabs>
                <w:tab w:val="right" w:pos="1202"/>
              </w:tabs>
              <w:suppressAutoHyphens/>
              <w:autoSpaceDN w:val="0"/>
              <w:jc w:val="right"/>
              <w:outlineLvl w:val="0"/>
              <w:rPr>
                <w:rFonts w:ascii="Arial" w:eastAsia="Times New Roman" w:hAnsi="Arial" w:cs="Arial"/>
                <w:i/>
                <w:iCs/>
                <w:color w:val="000000" w:themeColor="text1"/>
                <w:sz w:val="20"/>
                <w:szCs w:val="20"/>
              </w:rPr>
            </w:pPr>
            <w:r w:rsidRPr="000C7C66">
              <w:rPr>
                <w:rFonts w:ascii="Arial" w:hAnsi="Arial" w:cs="Arial"/>
                <w:i/>
                <w:iCs/>
                <w:sz w:val="20"/>
                <w:szCs w:val="20"/>
              </w:rPr>
              <w:t xml:space="preserve"> 650 </w:t>
            </w:r>
          </w:p>
        </w:tc>
      </w:tr>
      <w:tr w:rsidR="00613266" w:rsidRPr="000C7C66" w14:paraId="1FCA4C0E" w14:textId="77777777" w:rsidTr="000C7C66">
        <w:tc>
          <w:tcPr>
            <w:tcW w:w="2045" w:type="pct"/>
            <w:tcBorders>
              <w:top w:val="nil"/>
              <w:left w:val="nil"/>
              <w:bottom w:val="nil"/>
              <w:right w:val="nil"/>
            </w:tcBorders>
            <w:shd w:val="clear" w:color="auto" w:fill="auto"/>
            <w:vAlign w:val="bottom"/>
          </w:tcPr>
          <w:p w14:paraId="08C51DF6" w14:textId="77777777" w:rsidR="00613266" w:rsidRPr="000C7C66" w:rsidRDefault="00613266" w:rsidP="00613266">
            <w:pPr>
              <w:tabs>
                <w:tab w:val="right" w:pos="1202"/>
              </w:tabs>
              <w:suppressAutoHyphens/>
              <w:autoSpaceDN w:val="0"/>
              <w:outlineLvl w:val="0"/>
              <w:rPr>
                <w:rFonts w:ascii="Arial" w:eastAsia="Times New Roman" w:hAnsi="Arial" w:cs="Arial"/>
                <w:color w:val="000000" w:themeColor="text1"/>
                <w:sz w:val="20"/>
                <w:szCs w:val="20"/>
              </w:rPr>
            </w:pPr>
            <w:bookmarkStart w:id="268" w:name="_Toc67327480"/>
            <w:r w:rsidRPr="000C7C66">
              <w:rPr>
                <w:rFonts w:ascii="Arial" w:eastAsia="Times New Roman" w:hAnsi="Arial" w:cs="Arial"/>
                <w:i/>
                <w:iCs/>
                <w:color w:val="000000" w:themeColor="text1"/>
                <w:sz w:val="20"/>
                <w:szCs w:val="20"/>
              </w:rPr>
              <w:t>- obveznice trgovačkih društava</w:t>
            </w:r>
            <w:bookmarkEnd w:id="268"/>
          </w:p>
        </w:tc>
        <w:tc>
          <w:tcPr>
            <w:tcW w:w="739" w:type="pct"/>
            <w:tcBorders>
              <w:top w:val="nil"/>
              <w:left w:val="nil"/>
              <w:bottom w:val="nil"/>
              <w:right w:val="nil"/>
            </w:tcBorders>
            <w:shd w:val="clear" w:color="auto" w:fill="auto"/>
            <w:vAlign w:val="bottom"/>
          </w:tcPr>
          <w:p w14:paraId="0D1B1B45" w14:textId="7743AC81" w:rsidR="00613266" w:rsidRPr="000C7C66" w:rsidRDefault="00FD3E8A" w:rsidP="00613266">
            <w:pPr>
              <w:tabs>
                <w:tab w:val="right" w:pos="1202"/>
              </w:tabs>
              <w:suppressAutoHyphens/>
              <w:autoSpaceDN w:val="0"/>
              <w:jc w:val="right"/>
              <w:outlineLvl w:val="0"/>
              <w:rPr>
                <w:rFonts w:ascii="Arial" w:eastAsia="Times New Roman" w:hAnsi="Arial" w:cs="Arial"/>
                <w:i/>
                <w:iCs/>
                <w:color w:val="000000" w:themeColor="text1"/>
                <w:sz w:val="20"/>
                <w:szCs w:val="20"/>
              </w:rPr>
            </w:pPr>
            <w:r>
              <w:rPr>
                <w:rFonts w:ascii="Arial" w:eastAsia="Times New Roman" w:hAnsi="Arial" w:cs="Arial"/>
                <w:i/>
                <w:iCs/>
                <w:color w:val="000000" w:themeColor="text1"/>
                <w:sz w:val="20"/>
                <w:szCs w:val="20"/>
              </w:rPr>
              <w:t>3</w:t>
            </w:r>
          </w:p>
        </w:tc>
        <w:tc>
          <w:tcPr>
            <w:tcW w:w="739" w:type="pct"/>
            <w:tcBorders>
              <w:top w:val="nil"/>
              <w:left w:val="nil"/>
              <w:bottom w:val="nil"/>
              <w:right w:val="nil"/>
            </w:tcBorders>
            <w:shd w:val="clear" w:color="auto" w:fill="auto"/>
            <w:vAlign w:val="bottom"/>
          </w:tcPr>
          <w:p w14:paraId="63F1E2AE" w14:textId="58A5A718" w:rsidR="00613266" w:rsidRPr="000C7C66" w:rsidRDefault="00613266" w:rsidP="00613266">
            <w:pPr>
              <w:tabs>
                <w:tab w:val="right" w:pos="1202"/>
              </w:tabs>
              <w:suppressAutoHyphens/>
              <w:autoSpaceDN w:val="0"/>
              <w:jc w:val="right"/>
              <w:outlineLvl w:val="0"/>
              <w:rPr>
                <w:rFonts w:ascii="Arial" w:eastAsia="Times New Roman" w:hAnsi="Arial" w:cs="Arial"/>
                <w:i/>
                <w:iCs/>
                <w:color w:val="000000" w:themeColor="text1"/>
                <w:sz w:val="20"/>
                <w:szCs w:val="20"/>
              </w:rPr>
            </w:pPr>
            <w:r w:rsidRPr="000C7C66">
              <w:rPr>
                <w:rFonts w:ascii="Arial" w:hAnsi="Arial" w:cs="Arial"/>
                <w:i/>
                <w:iCs/>
                <w:sz w:val="20"/>
                <w:szCs w:val="20"/>
              </w:rPr>
              <w:t xml:space="preserve"> 3 </w:t>
            </w:r>
          </w:p>
        </w:tc>
        <w:tc>
          <w:tcPr>
            <w:tcW w:w="739" w:type="pct"/>
            <w:tcBorders>
              <w:top w:val="nil"/>
              <w:left w:val="nil"/>
              <w:bottom w:val="nil"/>
              <w:right w:val="nil"/>
            </w:tcBorders>
            <w:shd w:val="clear" w:color="auto" w:fill="auto"/>
            <w:vAlign w:val="bottom"/>
          </w:tcPr>
          <w:p w14:paraId="51922B64" w14:textId="50895411" w:rsidR="00613266" w:rsidRPr="000C7C66" w:rsidRDefault="001B3C02" w:rsidP="00613266">
            <w:pPr>
              <w:tabs>
                <w:tab w:val="right" w:pos="1202"/>
              </w:tabs>
              <w:suppressAutoHyphens/>
              <w:autoSpaceDN w:val="0"/>
              <w:jc w:val="right"/>
              <w:outlineLvl w:val="0"/>
              <w:rPr>
                <w:rFonts w:ascii="Arial" w:eastAsia="Times New Roman" w:hAnsi="Arial" w:cs="Arial"/>
                <w:i/>
                <w:iCs/>
                <w:color w:val="000000" w:themeColor="text1"/>
                <w:sz w:val="20"/>
                <w:szCs w:val="20"/>
              </w:rPr>
            </w:pPr>
            <w:r>
              <w:rPr>
                <w:rFonts w:ascii="Arial" w:eastAsia="Times New Roman" w:hAnsi="Arial" w:cs="Arial"/>
                <w:i/>
                <w:iCs/>
                <w:color w:val="000000" w:themeColor="text1"/>
                <w:sz w:val="20"/>
                <w:szCs w:val="20"/>
              </w:rPr>
              <w:t>2</w:t>
            </w:r>
          </w:p>
        </w:tc>
        <w:tc>
          <w:tcPr>
            <w:tcW w:w="738" w:type="pct"/>
            <w:tcBorders>
              <w:top w:val="nil"/>
              <w:left w:val="nil"/>
              <w:bottom w:val="nil"/>
              <w:right w:val="nil"/>
            </w:tcBorders>
            <w:shd w:val="clear" w:color="auto" w:fill="auto"/>
            <w:vAlign w:val="bottom"/>
          </w:tcPr>
          <w:p w14:paraId="6F9770AB" w14:textId="0E0902A3" w:rsidR="00613266" w:rsidRPr="000C7C66" w:rsidRDefault="00613266" w:rsidP="00613266">
            <w:pPr>
              <w:tabs>
                <w:tab w:val="right" w:pos="1202"/>
              </w:tabs>
              <w:suppressAutoHyphens/>
              <w:autoSpaceDN w:val="0"/>
              <w:jc w:val="right"/>
              <w:outlineLvl w:val="0"/>
              <w:rPr>
                <w:rFonts w:ascii="Arial" w:eastAsia="Times New Roman" w:hAnsi="Arial" w:cs="Arial"/>
                <w:i/>
                <w:iCs/>
                <w:color w:val="000000" w:themeColor="text1"/>
                <w:sz w:val="20"/>
                <w:szCs w:val="20"/>
              </w:rPr>
            </w:pPr>
            <w:r w:rsidRPr="000C7C66">
              <w:rPr>
                <w:rFonts w:ascii="Arial" w:hAnsi="Arial" w:cs="Arial"/>
                <w:i/>
                <w:iCs/>
                <w:sz w:val="20"/>
                <w:szCs w:val="20"/>
              </w:rPr>
              <w:t xml:space="preserve"> 2 </w:t>
            </w:r>
          </w:p>
        </w:tc>
      </w:tr>
      <w:tr w:rsidR="00613266" w:rsidRPr="000C7C66" w14:paraId="30250D5C" w14:textId="77777777" w:rsidTr="000C7C66">
        <w:tc>
          <w:tcPr>
            <w:tcW w:w="2045" w:type="pct"/>
            <w:tcBorders>
              <w:top w:val="nil"/>
              <w:left w:val="nil"/>
              <w:bottom w:val="nil"/>
              <w:right w:val="nil"/>
            </w:tcBorders>
            <w:shd w:val="clear" w:color="auto" w:fill="auto"/>
            <w:vAlign w:val="bottom"/>
          </w:tcPr>
          <w:p w14:paraId="2ED47959" w14:textId="77777777" w:rsidR="00613266" w:rsidRPr="000C7C66" w:rsidRDefault="00613266" w:rsidP="00613266">
            <w:pPr>
              <w:tabs>
                <w:tab w:val="right" w:pos="1202"/>
              </w:tabs>
              <w:suppressAutoHyphens/>
              <w:autoSpaceDN w:val="0"/>
              <w:outlineLvl w:val="0"/>
              <w:rPr>
                <w:rFonts w:ascii="Arial" w:eastAsia="Times New Roman" w:hAnsi="Arial" w:cs="Arial"/>
                <w:color w:val="000000" w:themeColor="text1"/>
                <w:sz w:val="20"/>
                <w:szCs w:val="20"/>
              </w:rPr>
            </w:pPr>
            <w:bookmarkStart w:id="269" w:name="_Toc67327485"/>
            <w:r w:rsidRPr="000C7C66">
              <w:rPr>
                <w:rFonts w:ascii="Arial" w:eastAsia="Times New Roman" w:hAnsi="Arial" w:cs="Arial"/>
                <w:i/>
                <w:iCs/>
                <w:color w:val="000000" w:themeColor="text1"/>
                <w:sz w:val="20"/>
                <w:szCs w:val="20"/>
              </w:rPr>
              <w:t>- trezorski zapisi Ministarstva financija</w:t>
            </w:r>
            <w:bookmarkEnd w:id="269"/>
          </w:p>
        </w:tc>
        <w:tc>
          <w:tcPr>
            <w:tcW w:w="739" w:type="pct"/>
            <w:tcBorders>
              <w:top w:val="nil"/>
              <w:left w:val="nil"/>
              <w:bottom w:val="nil"/>
              <w:right w:val="nil"/>
            </w:tcBorders>
            <w:shd w:val="clear" w:color="auto" w:fill="auto"/>
            <w:vAlign w:val="bottom"/>
          </w:tcPr>
          <w:p w14:paraId="28401104" w14:textId="5B473418" w:rsidR="00613266" w:rsidRPr="000C7C66" w:rsidRDefault="00FD3E8A" w:rsidP="00613266">
            <w:pPr>
              <w:tabs>
                <w:tab w:val="right" w:pos="1202"/>
              </w:tabs>
              <w:suppressAutoHyphens/>
              <w:autoSpaceDN w:val="0"/>
              <w:jc w:val="right"/>
              <w:outlineLvl w:val="0"/>
              <w:rPr>
                <w:rFonts w:ascii="Arial" w:eastAsia="Times New Roman" w:hAnsi="Arial" w:cs="Arial"/>
                <w:i/>
                <w:iCs/>
                <w:color w:val="000000" w:themeColor="text1"/>
                <w:sz w:val="20"/>
                <w:szCs w:val="20"/>
              </w:rPr>
            </w:pPr>
            <w:r>
              <w:rPr>
                <w:rFonts w:ascii="Arial" w:eastAsia="Times New Roman" w:hAnsi="Arial" w:cs="Arial"/>
                <w:i/>
                <w:iCs/>
                <w:color w:val="000000" w:themeColor="text1"/>
                <w:sz w:val="20"/>
                <w:szCs w:val="20"/>
              </w:rPr>
              <w:t>251</w:t>
            </w:r>
          </w:p>
        </w:tc>
        <w:tc>
          <w:tcPr>
            <w:tcW w:w="739" w:type="pct"/>
            <w:tcBorders>
              <w:top w:val="nil"/>
              <w:left w:val="nil"/>
              <w:bottom w:val="nil"/>
              <w:right w:val="nil"/>
            </w:tcBorders>
            <w:shd w:val="clear" w:color="auto" w:fill="auto"/>
            <w:vAlign w:val="bottom"/>
          </w:tcPr>
          <w:p w14:paraId="3CD99D72" w14:textId="608B06CF" w:rsidR="00613266" w:rsidRPr="000C7C66" w:rsidRDefault="00613266" w:rsidP="00613266">
            <w:pPr>
              <w:tabs>
                <w:tab w:val="right" w:pos="1202"/>
              </w:tabs>
              <w:suppressAutoHyphens/>
              <w:autoSpaceDN w:val="0"/>
              <w:jc w:val="right"/>
              <w:outlineLvl w:val="0"/>
              <w:rPr>
                <w:rFonts w:ascii="Arial" w:eastAsia="Times New Roman" w:hAnsi="Arial" w:cs="Arial"/>
                <w:i/>
                <w:iCs/>
                <w:color w:val="000000" w:themeColor="text1"/>
                <w:sz w:val="20"/>
                <w:szCs w:val="20"/>
              </w:rPr>
            </w:pPr>
            <w:r w:rsidRPr="000C7C66">
              <w:rPr>
                <w:rFonts w:ascii="Arial" w:hAnsi="Arial" w:cs="Arial"/>
                <w:i/>
                <w:iCs/>
                <w:sz w:val="20"/>
                <w:szCs w:val="20"/>
              </w:rPr>
              <w:t xml:space="preserve"> 109 </w:t>
            </w:r>
          </w:p>
        </w:tc>
        <w:tc>
          <w:tcPr>
            <w:tcW w:w="739" w:type="pct"/>
            <w:tcBorders>
              <w:top w:val="nil"/>
              <w:left w:val="nil"/>
              <w:bottom w:val="nil"/>
              <w:right w:val="nil"/>
            </w:tcBorders>
            <w:shd w:val="clear" w:color="auto" w:fill="auto"/>
            <w:vAlign w:val="bottom"/>
          </w:tcPr>
          <w:p w14:paraId="0379F3D6" w14:textId="58AB551D" w:rsidR="00613266" w:rsidRPr="000C7C66" w:rsidRDefault="001B3C02" w:rsidP="00613266">
            <w:pPr>
              <w:tabs>
                <w:tab w:val="right" w:pos="1202"/>
              </w:tabs>
              <w:suppressAutoHyphens/>
              <w:autoSpaceDN w:val="0"/>
              <w:jc w:val="right"/>
              <w:outlineLvl w:val="0"/>
              <w:rPr>
                <w:rFonts w:ascii="Arial" w:eastAsia="Times New Roman" w:hAnsi="Arial" w:cs="Arial"/>
                <w:i/>
                <w:iCs/>
                <w:color w:val="000000" w:themeColor="text1"/>
                <w:sz w:val="20"/>
                <w:szCs w:val="20"/>
              </w:rPr>
            </w:pPr>
            <w:r>
              <w:rPr>
                <w:rFonts w:ascii="Arial" w:eastAsia="Times New Roman" w:hAnsi="Arial" w:cs="Arial"/>
                <w:i/>
                <w:iCs/>
                <w:color w:val="000000" w:themeColor="text1"/>
                <w:sz w:val="20"/>
                <w:szCs w:val="20"/>
              </w:rPr>
              <w:t>251</w:t>
            </w:r>
          </w:p>
        </w:tc>
        <w:tc>
          <w:tcPr>
            <w:tcW w:w="738" w:type="pct"/>
            <w:tcBorders>
              <w:top w:val="nil"/>
              <w:left w:val="nil"/>
              <w:bottom w:val="nil"/>
              <w:right w:val="nil"/>
            </w:tcBorders>
            <w:shd w:val="clear" w:color="auto" w:fill="auto"/>
            <w:vAlign w:val="bottom"/>
          </w:tcPr>
          <w:p w14:paraId="788C0EEA" w14:textId="260A11CA" w:rsidR="00613266" w:rsidRPr="000C7C66" w:rsidRDefault="00613266" w:rsidP="00613266">
            <w:pPr>
              <w:tabs>
                <w:tab w:val="right" w:pos="1202"/>
              </w:tabs>
              <w:suppressAutoHyphens/>
              <w:autoSpaceDN w:val="0"/>
              <w:jc w:val="right"/>
              <w:outlineLvl w:val="0"/>
              <w:rPr>
                <w:rFonts w:ascii="Arial" w:eastAsia="Times New Roman" w:hAnsi="Arial" w:cs="Arial"/>
                <w:i/>
                <w:iCs/>
                <w:color w:val="000000" w:themeColor="text1"/>
                <w:sz w:val="20"/>
                <w:szCs w:val="20"/>
              </w:rPr>
            </w:pPr>
            <w:r w:rsidRPr="000C7C66">
              <w:rPr>
                <w:rFonts w:ascii="Arial" w:hAnsi="Arial" w:cs="Arial"/>
                <w:i/>
                <w:iCs/>
                <w:sz w:val="20"/>
                <w:szCs w:val="20"/>
              </w:rPr>
              <w:t xml:space="preserve"> 109 </w:t>
            </w:r>
          </w:p>
        </w:tc>
      </w:tr>
      <w:tr w:rsidR="00613266" w:rsidRPr="000C7C66" w14:paraId="28334D0C" w14:textId="77777777" w:rsidTr="000C7C66">
        <w:tc>
          <w:tcPr>
            <w:tcW w:w="2045" w:type="pct"/>
            <w:vAlign w:val="bottom"/>
          </w:tcPr>
          <w:p w14:paraId="187E610F" w14:textId="000A1562" w:rsidR="00613266" w:rsidRPr="000C7C66" w:rsidRDefault="00613266" w:rsidP="00613266">
            <w:pPr>
              <w:tabs>
                <w:tab w:val="right" w:pos="1202"/>
              </w:tabs>
              <w:suppressAutoHyphens/>
              <w:autoSpaceDN w:val="0"/>
              <w:outlineLvl w:val="0"/>
              <w:rPr>
                <w:rFonts w:ascii="Arial" w:eastAsia="Times New Roman" w:hAnsi="Arial" w:cs="Arial"/>
                <w:color w:val="000000" w:themeColor="text1"/>
                <w:sz w:val="20"/>
                <w:szCs w:val="20"/>
              </w:rPr>
            </w:pPr>
            <w:bookmarkStart w:id="270" w:name="_Toc67327490"/>
            <w:r w:rsidRPr="000C7C66">
              <w:rPr>
                <w:rFonts w:ascii="Arial" w:eastAsia="Times New Roman" w:hAnsi="Arial" w:cs="Arial"/>
                <w:color w:val="000000" w:themeColor="text1"/>
                <w:sz w:val="20"/>
                <w:szCs w:val="20"/>
              </w:rPr>
              <w:t>Depoziti</w:t>
            </w:r>
            <w:bookmarkEnd w:id="270"/>
            <w:r w:rsidR="001B3C02">
              <w:rPr>
                <w:rFonts w:ascii="Arial" w:eastAsia="Times New Roman" w:hAnsi="Arial" w:cs="Arial"/>
                <w:color w:val="000000" w:themeColor="text1"/>
                <w:sz w:val="20"/>
                <w:szCs w:val="20"/>
              </w:rPr>
              <w:t xml:space="preserve"> i novčana sredstva</w:t>
            </w:r>
          </w:p>
        </w:tc>
        <w:tc>
          <w:tcPr>
            <w:tcW w:w="739" w:type="pct"/>
            <w:tcBorders>
              <w:top w:val="nil"/>
              <w:left w:val="nil"/>
              <w:bottom w:val="nil"/>
              <w:right w:val="nil"/>
            </w:tcBorders>
            <w:shd w:val="clear" w:color="auto" w:fill="auto"/>
            <w:vAlign w:val="bottom"/>
          </w:tcPr>
          <w:p w14:paraId="435E3FBC" w14:textId="00022751" w:rsidR="00613266" w:rsidRPr="000C7C66" w:rsidRDefault="0093691E" w:rsidP="00613266">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733</w:t>
            </w:r>
          </w:p>
        </w:tc>
        <w:tc>
          <w:tcPr>
            <w:tcW w:w="739" w:type="pct"/>
            <w:tcBorders>
              <w:top w:val="nil"/>
              <w:left w:val="nil"/>
              <w:bottom w:val="nil"/>
              <w:right w:val="nil"/>
            </w:tcBorders>
            <w:shd w:val="clear" w:color="auto" w:fill="auto"/>
            <w:vAlign w:val="bottom"/>
          </w:tcPr>
          <w:p w14:paraId="11BFED7C" w14:textId="6A76EA3B" w:rsidR="00613266" w:rsidRPr="000C7C66" w:rsidRDefault="00613266" w:rsidP="00613266">
            <w:pPr>
              <w:tabs>
                <w:tab w:val="right" w:pos="1202"/>
              </w:tabs>
              <w:suppressAutoHyphens/>
              <w:autoSpaceDN w:val="0"/>
              <w:jc w:val="right"/>
              <w:outlineLvl w:val="0"/>
              <w:rPr>
                <w:rFonts w:ascii="Arial" w:eastAsia="Times New Roman" w:hAnsi="Arial" w:cs="Arial"/>
                <w:color w:val="000000" w:themeColor="text1"/>
                <w:sz w:val="20"/>
                <w:szCs w:val="20"/>
              </w:rPr>
            </w:pPr>
            <w:r w:rsidRPr="000C7C66">
              <w:rPr>
                <w:rFonts w:ascii="Arial" w:hAnsi="Arial" w:cs="Arial"/>
                <w:sz w:val="20"/>
                <w:szCs w:val="20"/>
              </w:rPr>
              <w:t xml:space="preserve"> 579 </w:t>
            </w:r>
          </w:p>
        </w:tc>
        <w:tc>
          <w:tcPr>
            <w:tcW w:w="739" w:type="pct"/>
            <w:tcBorders>
              <w:top w:val="nil"/>
              <w:left w:val="nil"/>
              <w:bottom w:val="nil"/>
              <w:right w:val="nil"/>
            </w:tcBorders>
            <w:shd w:val="clear" w:color="auto" w:fill="auto"/>
            <w:vAlign w:val="bottom"/>
          </w:tcPr>
          <w:p w14:paraId="0B066DE4" w14:textId="01EF92CB" w:rsidR="00613266" w:rsidRPr="000C7C66" w:rsidRDefault="001B3C02" w:rsidP="00613266">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713</w:t>
            </w:r>
          </w:p>
        </w:tc>
        <w:tc>
          <w:tcPr>
            <w:tcW w:w="738" w:type="pct"/>
            <w:tcBorders>
              <w:top w:val="nil"/>
              <w:left w:val="nil"/>
              <w:bottom w:val="nil"/>
              <w:right w:val="nil"/>
            </w:tcBorders>
            <w:shd w:val="clear" w:color="auto" w:fill="auto"/>
            <w:vAlign w:val="bottom"/>
          </w:tcPr>
          <w:p w14:paraId="10B26E04" w14:textId="5B3B5EF9" w:rsidR="00613266" w:rsidRPr="000C7C66" w:rsidRDefault="00613266" w:rsidP="00613266">
            <w:pPr>
              <w:tabs>
                <w:tab w:val="right" w:pos="1202"/>
              </w:tabs>
              <w:suppressAutoHyphens/>
              <w:autoSpaceDN w:val="0"/>
              <w:jc w:val="right"/>
              <w:outlineLvl w:val="0"/>
              <w:rPr>
                <w:rFonts w:ascii="Arial" w:eastAsia="Times New Roman" w:hAnsi="Arial" w:cs="Arial"/>
                <w:color w:val="000000" w:themeColor="text1"/>
                <w:sz w:val="20"/>
                <w:szCs w:val="20"/>
              </w:rPr>
            </w:pPr>
            <w:r w:rsidRPr="000C7C66">
              <w:rPr>
                <w:rFonts w:ascii="Arial" w:hAnsi="Arial" w:cs="Arial"/>
                <w:sz w:val="20"/>
                <w:szCs w:val="20"/>
              </w:rPr>
              <w:t xml:space="preserve"> 567 </w:t>
            </w:r>
          </w:p>
        </w:tc>
      </w:tr>
      <w:tr w:rsidR="00613266" w:rsidRPr="000C7C66" w14:paraId="0313B03C" w14:textId="77777777" w:rsidTr="000C7C66">
        <w:trPr>
          <w:trHeight w:val="300"/>
        </w:trPr>
        <w:tc>
          <w:tcPr>
            <w:tcW w:w="2045" w:type="pct"/>
            <w:vAlign w:val="bottom"/>
          </w:tcPr>
          <w:p w14:paraId="531F84AC" w14:textId="77777777" w:rsidR="00613266" w:rsidRPr="000C7C66" w:rsidRDefault="00613266" w:rsidP="00613266">
            <w:pPr>
              <w:tabs>
                <w:tab w:val="right" w:pos="1202"/>
              </w:tabs>
              <w:suppressAutoHyphens/>
              <w:autoSpaceDN w:val="0"/>
              <w:jc w:val="right"/>
              <w:outlineLvl w:val="0"/>
              <w:rPr>
                <w:rFonts w:ascii="Arial" w:eastAsia="Times New Roman" w:hAnsi="Arial" w:cs="Arial"/>
                <w:b/>
                <w:bCs/>
                <w:color w:val="000000" w:themeColor="text1"/>
                <w:spacing w:val="-2"/>
                <w:sz w:val="20"/>
                <w:szCs w:val="20"/>
              </w:rPr>
            </w:pPr>
          </w:p>
        </w:tc>
        <w:tc>
          <w:tcPr>
            <w:tcW w:w="739" w:type="pct"/>
            <w:tcBorders>
              <w:top w:val="single" w:sz="4" w:space="0" w:color="auto"/>
              <w:bottom w:val="single" w:sz="12" w:space="0" w:color="auto"/>
            </w:tcBorders>
            <w:vAlign w:val="bottom"/>
          </w:tcPr>
          <w:p w14:paraId="7B31A6FA" w14:textId="7D291DE2" w:rsidR="00613266" w:rsidRPr="000C7C66" w:rsidRDefault="0093691E" w:rsidP="00613266">
            <w:pPr>
              <w:tabs>
                <w:tab w:val="right" w:pos="1202"/>
              </w:tabs>
              <w:suppressAutoHyphens/>
              <w:autoSpaceDN w:val="0"/>
              <w:jc w:val="right"/>
              <w:outlineLvl w:val="0"/>
              <w:rPr>
                <w:rFonts w:ascii="Arial" w:eastAsia="Times New Roman" w:hAnsi="Arial" w:cs="Arial"/>
                <w:b/>
                <w:bCs/>
                <w:color w:val="000000" w:themeColor="text1"/>
                <w:spacing w:val="-2"/>
                <w:sz w:val="20"/>
                <w:szCs w:val="20"/>
              </w:rPr>
            </w:pPr>
            <w:r>
              <w:rPr>
                <w:rFonts w:ascii="Arial" w:eastAsia="Times New Roman" w:hAnsi="Arial" w:cs="Arial"/>
                <w:b/>
                <w:bCs/>
                <w:color w:val="000000" w:themeColor="text1"/>
                <w:spacing w:val="-2"/>
                <w:sz w:val="20"/>
                <w:szCs w:val="20"/>
              </w:rPr>
              <w:t>27.072</w:t>
            </w:r>
          </w:p>
        </w:tc>
        <w:tc>
          <w:tcPr>
            <w:tcW w:w="739" w:type="pct"/>
            <w:tcBorders>
              <w:top w:val="single" w:sz="4" w:space="0" w:color="auto"/>
              <w:bottom w:val="single" w:sz="12" w:space="0" w:color="auto"/>
            </w:tcBorders>
            <w:vAlign w:val="bottom"/>
          </w:tcPr>
          <w:p w14:paraId="3ADFC59F" w14:textId="245DFF15" w:rsidR="00613266" w:rsidRPr="000C7C66" w:rsidRDefault="00613266" w:rsidP="00613266">
            <w:pPr>
              <w:tabs>
                <w:tab w:val="right" w:pos="1202"/>
              </w:tabs>
              <w:suppressAutoHyphens/>
              <w:autoSpaceDN w:val="0"/>
              <w:jc w:val="right"/>
              <w:outlineLvl w:val="0"/>
              <w:rPr>
                <w:rFonts w:ascii="Arial" w:eastAsia="Times New Roman" w:hAnsi="Arial" w:cs="Arial"/>
                <w:b/>
                <w:bCs/>
                <w:color w:val="000000" w:themeColor="text1"/>
                <w:spacing w:val="-2"/>
                <w:sz w:val="20"/>
                <w:szCs w:val="20"/>
              </w:rPr>
            </w:pPr>
            <w:r w:rsidRPr="000C7C66">
              <w:rPr>
                <w:rFonts w:ascii="Arial" w:hAnsi="Arial" w:cs="Arial"/>
                <w:b/>
                <w:bCs/>
                <w:sz w:val="20"/>
                <w:szCs w:val="20"/>
              </w:rPr>
              <w:t xml:space="preserve"> 21.074 </w:t>
            </w:r>
          </w:p>
        </w:tc>
        <w:tc>
          <w:tcPr>
            <w:tcW w:w="739" w:type="pct"/>
            <w:tcBorders>
              <w:top w:val="single" w:sz="4" w:space="0" w:color="auto"/>
              <w:bottom w:val="single" w:sz="12" w:space="0" w:color="auto"/>
            </w:tcBorders>
            <w:vAlign w:val="bottom"/>
          </w:tcPr>
          <w:p w14:paraId="35AD47E5" w14:textId="67D16F04" w:rsidR="00613266" w:rsidRPr="000C7C66" w:rsidRDefault="00220BF4" w:rsidP="00613266">
            <w:pPr>
              <w:suppressAutoHyphens/>
              <w:autoSpaceDN w:val="0"/>
              <w:jc w:val="right"/>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27.</w:t>
            </w:r>
            <w:r w:rsidR="0033165E">
              <w:rPr>
                <w:rFonts w:ascii="Arial" w:eastAsia="Times New Roman" w:hAnsi="Arial" w:cs="Arial"/>
                <w:b/>
                <w:bCs/>
                <w:color w:val="000000" w:themeColor="text1"/>
                <w:sz w:val="20"/>
                <w:szCs w:val="20"/>
              </w:rPr>
              <w:t>009</w:t>
            </w:r>
          </w:p>
        </w:tc>
        <w:tc>
          <w:tcPr>
            <w:tcW w:w="738" w:type="pct"/>
            <w:tcBorders>
              <w:top w:val="single" w:sz="4" w:space="0" w:color="auto"/>
              <w:bottom w:val="single" w:sz="12" w:space="0" w:color="auto"/>
            </w:tcBorders>
            <w:vAlign w:val="bottom"/>
          </w:tcPr>
          <w:p w14:paraId="53ABDB94" w14:textId="0942263F" w:rsidR="00613266" w:rsidRPr="000C7C66" w:rsidRDefault="00613266" w:rsidP="00613266">
            <w:pPr>
              <w:suppressAutoHyphens/>
              <w:autoSpaceDN w:val="0"/>
              <w:jc w:val="right"/>
              <w:rPr>
                <w:rFonts w:ascii="Arial" w:eastAsia="Times New Roman" w:hAnsi="Arial" w:cs="Arial"/>
                <w:b/>
                <w:bCs/>
                <w:color w:val="000000" w:themeColor="text1"/>
                <w:sz w:val="20"/>
                <w:szCs w:val="20"/>
              </w:rPr>
            </w:pPr>
            <w:r w:rsidRPr="000C7C66">
              <w:rPr>
                <w:rFonts w:ascii="Arial" w:hAnsi="Arial" w:cs="Arial"/>
                <w:b/>
                <w:bCs/>
                <w:sz w:val="20"/>
                <w:szCs w:val="20"/>
              </w:rPr>
              <w:t xml:space="preserve"> 21.019 </w:t>
            </w:r>
          </w:p>
        </w:tc>
      </w:tr>
    </w:tbl>
    <w:p w14:paraId="255C9DC1" w14:textId="77777777" w:rsidR="00843998" w:rsidRPr="003D1614" w:rsidRDefault="00843998" w:rsidP="00843998">
      <w:pPr>
        <w:suppressAutoHyphens/>
        <w:autoSpaceDN w:val="0"/>
        <w:jc w:val="both"/>
        <w:outlineLvl w:val="0"/>
        <w:rPr>
          <w:rFonts w:ascii="Arial" w:eastAsia="Times New Roman" w:hAnsi="Arial" w:cs="Arial"/>
          <w:bCs/>
          <w:color w:val="000000" w:themeColor="text1"/>
          <w:sz w:val="20"/>
          <w:szCs w:val="20"/>
        </w:rPr>
      </w:pPr>
    </w:p>
    <w:p w14:paraId="00EC80FB" w14:textId="4D39522E" w:rsidR="00843998" w:rsidRPr="003D1614" w:rsidRDefault="00843998" w:rsidP="00843998">
      <w:pPr>
        <w:suppressAutoHyphens/>
        <w:autoSpaceDN w:val="0"/>
        <w:jc w:val="both"/>
        <w:outlineLvl w:val="0"/>
        <w:rPr>
          <w:rFonts w:ascii="Arial" w:eastAsia="Times New Roman" w:hAnsi="Arial" w:cs="Arial"/>
          <w:bCs/>
          <w:color w:val="000000" w:themeColor="text1"/>
        </w:rPr>
      </w:pPr>
      <w:r w:rsidRPr="003D1614">
        <w:rPr>
          <w:rFonts w:ascii="Arial" w:eastAsia="Times New Roman" w:hAnsi="Arial" w:cs="Arial"/>
          <w:bCs/>
          <w:color w:val="000000" w:themeColor="text1"/>
          <w:sz w:val="20"/>
          <w:szCs w:val="20"/>
        </w:rPr>
        <w:t xml:space="preserve">Glavna razlika između prihoda od kamata i primljenog odnosno naplaćenog iznosa kamatnih prihoda (vidi Izvještaj o novčanim tokovima) najvećim se dijelom odnosi na prihode s osnova subvencionirane kamatne stope čiji se tok novca bilježi u trenutku uplate. </w:t>
      </w:r>
      <w:r w:rsidRPr="003D1614">
        <w:rPr>
          <w:rFonts w:ascii="Arial" w:eastAsia="Times New Roman" w:hAnsi="Arial" w:cs="Arial"/>
          <w:color w:val="000000" w:themeColor="text1"/>
          <w:sz w:val="20"/>
          <w:szCs w:val="20"/>
        </w:rPr>
        <w:t xml:space="preserve">Diskontirani iznos subvencionirane kamate za krajnjeg korisnika iskazan je kao odgođeno priznavanje kamatnih prihoda </w:t>
      </w:r>
      <w:r w:rsidRPr="003D1614">
        <w:rPr>
          <w:rFonts w:ascii="Arial" w:eastAsia="Times New Roman" w:hAnsi="Arial" w:cs="Arial"/>
          <w:bCs/>
          <w:color w:val="000000" w:themeColor="text1"/>
          <w:sz w:val="20"/>
          <w:szCs w:val="20"/>
        </w:rPr>
        <w:t xml:space="preserve">(veza </w:t>
      </w:r>
      <w:r w:rsidRPr="0037442F">
        <w:rPr>
          <w:rFonts w:ascii="Arial" w:eastAsia="Times New Roman" w:hAnsi="Arial" w:cs="Arial"/>
          <w:bCs/>
          <w:color w:val="000000" w:themeColor="text1"/>
          <w:sz w:val="20"/>
          <w:szCs w:val="20"/>
        </w:rPr>
        <w:t>bilješka 2</w:t>
      </w:r>
      <w:r w:rsidR="004D43AA" w:rsidRPr="0037442F">
        <w:rPr>
          <w:rFonts w:ascii="Arial" w:eastAsia="Times New Roman" w:hAnsi="Arial" w:cs="Arial"/>
          <w:bCs/>
          <w:color w:val="000000" w:themeColor="text1"/>
          <w:sz w:val="20"/>
          <w:szCs w:val="20"/>
        </w:rPr>
        <w:t>0</w:t>
      </w:r>
      <w:r w:rsidRPr="0037442F">
        <w:rPr>
          <w:rFonts w:ascii="Arial" w:eastAsia="Times New Roman" w:hAnsi="Arial" w:cs="Arial"/>
          <w:bCs/>
          <w:color w:val="000000" w:themeColor="text1"/>
          <w:sz w:val="20"/>
          <w:szCs w:val="20"/>
        </w:rPr>
        <w:t>.</w:t>
      </w:r>
      <w:r w:rsidRPr="003D1614">
        <w:rPr>
          <w:rFonts w:ascii="Arial" w:eastAsia="Times New Roman" w:hAnsi="Arial" w:cs="Arial"/>
          <w:bCs/>
          <w:color w:val="000000" w:themeColor="text1"/>
          <w:sz w:val="20"/>
          <w:szCs w:val="20"/>
        </w:rPr>
        <w:t xml:space="preserve"> Ostale obveze) </w:t>
      </w:r>
      <w:r w:rsidRPr="003D1614">
        <w:rPr>
          <w:rFonts w:ascii="Arial" w:eastAsia="Times New Roman" w:hAnsi="Arial" w:cs="Arial"/>
          <w:color w:val="000000" w:themeColor="text1"/>
          <w:sz w:val="20"/>
          <w:szCs w:val="20"/>
        </w:rPr>
        <w:t>i priznaje se u računu dobiti i gubitka na vremenskoj osnovi tijekom razdoblja otplate kredita.</w:t>
      </w:r>
      <w:r w:rsidRPr="003D1614">
        <w:rPr>
          <w:rFonts w:ascii="Arial" w:eastAsia="Times New Roman" w:hAnsi="Arial" w:cs="Arial"/>
          <w:bCs/>
          <w:color w:val="000000" w:themeColor="text1"/>
          <w:sz w:val="20"/>
          <w:szCs w:val="20"/>
        </w:rPr>
        <w:t xml:space="preserve"> Prihod od subvencionirane kamate za razdoblje od 1.1. do 31.3.202</w:t>
      </w:r>
      <w:r w:rsidR="00613266">
        <w:rPr>
          <w:rFonts w:ascii="Arial" w:eastAsia="Times New Roman" w:hAnsi="Arial" w:cs="Arial"/>
          <w:bCs/>
          <w:color w:val="000000" w:themeColor="text1"/>
          <w:sz w:val="20"/>
          <w:szCs w:val="20"/>
        </w:rPr>
        <w:t>4</w:t>
      </w:r>
      <w:r w:rsidRPr="003D1614">
        <w:rPr>
          <w:rFonts w:ascii="Arial" w:eastAsia="Times New Roman" w:hAnsi="Arial" w:cs="Arial"/>
          <w:bCs/>
          <w:color w:val="000000" w:themeColor="text1"/>
          <w:sz w:val="20"/>
          <w:szCs w:val="20"/>
        </w:rPr>
        <w:t xml:space="preserve">. iznosi </w:t>
      </w:r>
      <w:r w:rsidR="0031280F">
        <w:rPr>
          <w:rFonts w:ascii="Arial" w:eastAsia="Times New Roman" w:hAnsi="Arial" w:cs="Arial"/>
          <w:bCs/>
          <w:color w:val="000000" w:themeColor="text1"/>
          <w:sz w:val="20"/>
          <w:szCs w:val="20"/>
        </w:rPr>
        <w:t>4.</w:t>
      </w:r>
      <w:r w:rsidR="00387C21">
        <w:rPr>
          <w:rFonts w:ascii="Arial" w:eastAsia="Times New Roman" w:hAnsi="Arial" w:cs="Arial"/>
          <w:bCs/>
          <w:color w:val="000000" w:themeColor="text1"/>
          <w:sz w:val="20"/>
          <w:szCs w:val="20"/>
        </w:rPr>
        <w:t>160</w:t>
      </w:r>
      <w:r w:rsidR="00916F14">
        <w:rPr>
          <w:rFonts w:ascii="Arial" w:eastAsia="Times New Roman" w:hAnsi="Arial" w:cs="Arial"/>
          <w:bCs/>
          <w:color w:val="000000" w:themeColor="text1"/>
          <w:sz w:val="20"/>
          <w:szCs w:val="20"/>
        </w:rPr>
        <w:t xml:space="preserve"> </w:t>
      </w:r>
      <w:r w:rsidRPr="003D1614">
        <w:rPr>
          <w:rFonts w:ascii="Arial" w:eastAsia="Times New Roman" w:hAnsi="Arial" w:cs="Arial"/>
          <w:bCs/>
          <w:color w:val="000000" w:themeColor="text1"/>
          <w:sz w:val="20"/>
          <w:szCs w:val="20"/>
        </w:rPr>
        <w:t>tisuća eura (1.1. do 31.3.202</w:t>
      </w:r>
      <w:r w:rsidR="00613266">
        <w:rPr>
          <w:rFonts w:ascii="Arial" w:eastAsia="Times New Roman" w:hAnsi="Arial" w:cs="Arial"/>
          <w:bCs/>
          <w:color w:val="000000" w:themeColor="text1"/>
          <w:sz w:val="20"/>
          <w:szCs w:val="20"/>
        </w:rPr>
        <w:t>3</w:t>
      </w:r>
      <w:r w:rsidRPr="003D1614">
        <w:rPr>
          <w:rFonts w:ascii="Arial" w:eastAsia="Times New Roman" w:hAnsi="Arial" w:cs="Arial"/>
          <w:bCs/>
          <w:color w:val="000000" w:themeColor="text1"/>
          <w:sz w:val="20"/>
          <w:szCs w:val="20"/>
        </w:rPr>
        <w:t xml:space="preserve">.: </w:t>
      </w:r>
      <w:r w:rsidR="00613266">
        <w:rPr>
          <w:rFonts w:ascii="Arial" w:eastAsia="Times New Roman" w:hAnsi="Arial" w:cs="Arial"/>
          <w:bCs/>
          <w:color w:val="000000" w:themeColor="text1"/>
          <w:sz w:val="20"/>
          <w:szCs w:val="20"/>
        </w:rPr>
        <w:t>2</w:t>
      </w:r>
      <w:r w:rsidR="00626FB7">
        <w:rPr>
          <w:rFonts w:ascii="Arial" w:eastAsia="Times New Roman" w:hAnsi="Arial" w:cs="Arial"/>
          <w:bCs/>
          <w:color w:val="000000" w:themeColor="text1"/>
          <w:sz w:val="20"/>
          <w:szCs w:val="20"/>
        </w:rPr>
        <w:t>.</w:t>
      </w:r>
      <w:r w:rsidR="00613266">
        <w:rPr>
          <w:rFonts w:ascii="Arial" w:eastAsia="Times New Roman" w:hAnsi="Arial" w:cs="Arial"/>
          <w:bCs/>
          <w:color w:val="000000" w:themeColor="text1"/>
          <w:sz w:val="20"/>
          <w:szCs w:val="20"/>
        </w:rPr>
        <w:t xml:space="preserve">500 </w:t>
      </w:r>
      <w:r w:rsidRPr="003D1614">
        <w:rPr>
          <w:rFonts w:ascii="Arial" w:eastAsia="Times New Roman" w:hAnsi="Arial" w:cs="Arial"/>
          <w:bCs/>
          <w:color w:val="000000" w:themeColor="text1"/>
          <w:sz w:val="20"/>
          <w:szCs w:val="20"/>
        </w:rPr>
        <w:t>tisuća eura).</w:t>
      </w:r>
    </w:p>
    <w:p w14:paraId="3BD5FAE5" w14:textId="6ADF79BF" w:rsidR="00843998" w:rsidRPr="003D1614" w:rsidRDefault="00843998" w:rsidP="00EA0684">
      <w:pPr>
        <w:rPr>
          <w:rFonts w:ascii="Arial" w:eastAsia="Times New Roman" w:hAnsi="Arial" w:cs="Arial"/>
          <w:sz w:val="20"/>
          <w:szCs w:val="20"/>
        </w:rPr>
      </w:pPr>
    </w:p>
    <w:p w14:paraId="529EC280" w14:textId="77777777" w:rsidR="00843998" w:rsidRPr="003D1614" w:rsidRDefault="00843998" w:rsidP="00EA0684">
      <w:pPr>
        <w:rPr>
          <w:rFonts w:ascii="Arial" w:eastAsia="Times New Roman" w:hAnsi="Arial" w:cs="Arial"/>
          <w:sz w:val="20"/>
          <w:szCs w:val="20"/>
        </w:rPr>
        <w:sectPr w:rsidR="00843998" w:rsidRPr="003D1614">
          <w:pgSz w:w="11906" w:h="16838"/>
          <w:pgMar w:top="1417" w:right="1417" w:bottom="1417" w:left="1417" w:header="708" w:footer="708" w:gutter="0"/>
          <w:cols w:space="708"/>
          <w:docGrid w:linePitch="360"/>
        </w:sectPr>
      </w:pPr>
    </w:p>
    <w:p w14:paraId="1A4E8DB3" w14:textId="545E92BA" w:rsidR="00843998" w:rsidRPr="003D1614" w:rsidRDefault="00843998" w:rsidP="00EA0684">
      <w:pPr>
        <w:rPr>
          <w:rFonts w:ascii="Arial" w:eastAsia="Times New Roman" w:hAnsi="Arial" w:cs="Arial"/>
          <w:sz w:val="20"/>
          <w:szCs w:val="20"/>
        </w:rPr>
      </w:pPr>
    </w:p>
    <w:p w14:paraId="04794D06" w14:textId="77777777" w:rsidR="00843998" w:rsidRPr="003D1614" w:rsidRDefault="00843998" w:rsidP="00843998">
      <w:pPr>
        <w:keepNext/>
        <w:tabs>
          <w:tab w:val="left" w:pos="567"/>
        </w:tabs>
        <w:suppressAutoHyphens/>
        <w:autoSpaceDN w:val="0"/>
        <w:jc w:val="both"/>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6.</w:t>
      </w:r>
      <w:r w:rsidRPr="003D1614">
        <w:rPr>
          <w:rFonts w:ascii="Arial" w:eastAsia="Times New Roman" w:hAnsi="Arial" w:cs="Arial"/>
          <w:b/>
          <w:color w:val="000000" w:themeColor="text1"/>
          <w:sz w:val="20"/>
          <w:szCs w:val="20"/>
        </w:rPr>
        <w:tab/>
        <w:t>Rashodi od kamata</w:t>
      </w:r>
    </w:p>
    <w:p w14:paraId="3C8C9B33" w14:textId="77777777" w:rsidR="00843998" w:rsidRPr="003D1614" w:rsidRDefault="00843998" w:rsidP="00843998">
      <w:pPr>
        <w:keepNext/>
        <w:suppressAutoHyphens/>
        <w:autoSpaceDN w:val="0"/>
        <w:jc w:val="both"/>
        <w:outlineLvl w:val="0"/>
        <w:rPr>
          <w:rFonts w:ascii="Arial" w:eastAsia="Times New Roman" w:hAnsi="Arial" w:cs="Arial"/>
          <w:b/>
          <w:color w:val="000000" w:themeColor="text1"/>
          <w:sz w:val="20"/>
          <w:szCs w:val="20"/>
        </w:rPr>
      </w:pPr>
    </w:p>
    <w:p w14:paraId="792AB9F5" w14:textId="613246C7"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Rashodi od kamata prema primateljima:</w:t>
      </w:r>
    </w:p>
    <w:p w14:paraId="60D23435" w14:textId="77777777" w:rsidR="00FD5DDF" w:rsidRPr="003D1614" w:rsidRDefault="00FD5DDF" w:rsidP="00843998">
      <w:pPr>
        <w:keepNext/>
        <w:suppressAutoHyphens/>
        <w:autoSpaceDN w:val="0"/>
        <w:jc w:val="both"/>
        <w:outlineLvl w:val="0"/>
        <w:rPr>
          <w:rFonts w:ascii="Arial" w:eastAsia="Times New Roman" w:hAnsi="Arial" w:cs="Arial"/>
          <w:color w:val="000000" w:themeColor="text1"/>
          <w:sz w:val="20"/>
          <w:szCs w:val="20"/>
        </w:rPr>
      </w:pPr>
    </w:p>
    <w:tbl>
      <w:tblPr>
        <w:tblW w:w="5000" w:type="pct"/>
        <w:tblLayout w:type="fixed"/>
        <w:tblCellMar>
          <w:left w:w="122" w:type="dxa"/>
          <w:right w:w="122" w:type="dxa"/>
        </w:tblCellMar>
        <w:tblLook w:val="0000" w:firstRow="0" w:lastRow="0" w:firstColumn="0" w:lastColumn="0" w:noHBand="0" w:noVBand="0"/>
      </w:tblPr>
      <w:tblGrid>
        <w:gridCol w:w="4129"/>
        <w:gridCol w:w="1239"/>
        <w:gridCol w:w="1236"/>
        <w:gridCol w:w="1236"/>
        <w:gridCol w:w="1232"/>
      </w:tblGrid>
      <w:tr w:rsidR="00843998" w:rsidRPr="008427A4" w14:paraId="29362FA2" w14:textId="77777777" w:rsidTr="008427A4">
        <w:trPr>
          <w:trHeight w:val="300"/>
        </w:trPr>
        <w:tc>
          <w:tcPr>
            <w:tcW w:w="2276" w:type="pct"/>
            <w:vAlign w:val="bottom"/>
          </w:tcPr>
          <w:p w14:paraId="772CE250" w14:textId="77777777" w:rsidR="00843998" w:rsidRPr="008427A4" w:rsidRDefault="00843998" w:rsidP="00843998">
            <w:pPr>
              <w:tabs>
                <w:tab w:val="left" w:pos="-720"/>
              </w:tabs>
              <w:suppressAutoHyphens/>
              <w:autoSpaceDN w:val="0"/>
              <w:jc w:val="right"/>
              <w:rPr>
                <w:rFonts w:ascii="Arial" w:eastAsia="Times New Roman" w:hAnsi="Arial" w:cs="Arial"/>
                <w:color w:val="000000" w:themeColor="text1"/>
                <w:spacing w:val="-3"/>
                <w:sz w:val="20"/>
                <w:szCs w:val="20"/>
              </w:rPr>
            </w:pPr>
          </w:p>
        </w:tc>
        <w:tc>
          <w:tcPr>
            <w:tcW w:w="1364" w:type="pct"/>
            <w:gridSpan w:val="2"/>
            <w:vAlign w:val="bottom"/>
          </w:tcPr>
          <w:p w14:paraId="0FF31013" w14:textId="77777777" w:rsidR="00843998" w:rsidRPr="008427A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bookmarkStart w:id="271" w:name="_Toc67327497"/>
            <w:r w:rsidRPr="008427A4">
              <w:rPr>
                <w:rFonts w:ascii="Arial" w:eastAsia="Times New Roman" w:hAnsi="Arial" w:cs="Arial"/>
                <w:b/>
                <w:color w:val="000000" w:themeColor="text1"/>
                <w:sz w:val="20"/>
                <w:szCs w:val="20"/>
              </w:rPr>
              <w:t>Grupa</w:t>
            </w:r>
            <w:bookmarkEnd w:id="271"/>
            <w:r w:rsidRPr="008427A4" w:rsidDel="00833713">
              <w:rPr>
                <w:rFonts w:ascii="Arial" w:eastAsia="Times New Roman" w:hAnsi="Arial" w:cs="Arial"/>
                <w:b/>
                <w:color w:val="000000" w:themeColor="text1"/>
                <w:sz w:val="20"/>
                <w:szCs w:val="20"/>
              </w:rPr>
              <w:t xml:space="preserve"> </w:t>
            </w:r>
          </w:p>
        </w:tc>
        <w:tc>
          <w:tcPr>
            <w:tcW w:w="1360" w:type="pct"/>
            <w:gridSpan w:val="2"/>
            <w:vAlign w:val="bottom"/>
          </w:tcPr>
          <w:p w14:paraId="7ABC69DD" w14:textId="77777777" w:rsidR="00843998" w:rsidRPr="008427A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bookmarkStart w:id="272" w:name="_Toc67327498"/>
            <w:r w:rsidRPr="008427A4">
              <w:rPr>
                <w:rFonts w:ascii="Arial" w:eastAsia="Times New Roman" w:hAnsi="Arial" w:cs="Arial"/>
                <w:b/>
                <w:color w:val="000000" w:themeColor="text1"/>
                <w:sz w:val="20"/>
                <w:szCs w:val="20"/>
              </w:rPr>
              <w:t>Banka</w:t>
            </w:r>
            <w:bookmarkEnd w:id="272"/>
            <w:r w:rsidRPr="008427A4" w:rsidDel="00833713">
              <w:rPr>
                <w:rFonts w:ascii="Arial" w:eastAsia="Times New Roman" w:hAnsi="Arial" w:cs="Arial"/>
                <w:b/>
                <w:color w:val="000000" w:themeColor="text1"/>
                <w:sz w:val="20"/>
                <w:szCs w:val="20"/>
              </w:rPr>
              <w:t xml:space="preserve"> </w:t>
            </w:r>
          </w:p>
        </w:tc>
      </w:tr>
      <w:tr w:rsidR="00843998" w:rsidRPr="008427A4" w14:paraId="1D37CC56" w14:textId="77777777" w:rsidTr="008427A4">
        <w:trPr>
          <w:trHeight w:val="300"/>
        </w:trPr>
        <w:tc>
          <w:tcPr>
            <w:tcW w:w="2276" w:type="pct"/>
            <w:vAlign w:val="bottom"/>
          </w:tcPr>
          <w:p w14:paraId="1ECE2681" w14:textId="77777777" w:rsidR="00843998" w:rsidRPr="008427A4" w:rsidRDefault="00843998" w:rsidP="00843998">
            <w:pPr>
              <w:tabs>
                <w:tab w:val="left" w:pos="-720"/>
              </w:tabs>
              <w:suppressAutoHyphens/>
              <w:autoSpaceDN w:val="0"/>
              <w:jc w:val="right"/>
              <w:rPr>
                <w:rFonts w:ascii="Arial" w:eastAsia="Times New Roman" w:hAnsi="Arial" w:cs="Arial"/>
                <w:color w:val="000000" w:themeColor="text1"/>
                <w:spacing w:val="-3"/>
                <w:sz w:val="20"/>
                <w:szCs w:val="20"/>
              </w:rPr>
            </w:pPr>
          </w:p>
        </w:tc>
        <w:tc>
          <w:tcPr>
            <w:tcW w:w="683" w:type="pct"/>
            <w:vAlign w:val="bottom"/>
          </w:tcPr>
          <w:p w14:paraId="0076E6DD" w14:textId="77777777" w:rsidR="00843998" w:rsidRPr="008427A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8427A4">
              <w:rPr>
                <w:rFonts w:ascii="Arial" w:eastAsia="Times New Roman" w:hAnsi="Arial" w:cs="Arial"/>
                <w:b/>
                <w:color w:val="000000" w:themeColor="text1"/>
                <w:sz w:val="20"/>
                <w:szCs w:val="20"/>
              </w:rPr>
              <w:t>1.1.-31.3.</w:t>
            </w:r>
          </w:p>
          <w:p w14:paraId="65A7F5BB" w14:textId="4199E61F" w:rsidR="00843998" w:rsidRPr="008427A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8427A4">
              <w:rPr>
                <w:rFonts w:ascii="Arial" w:eastAsia="Times New Roman" w:hAnsi="Arial" w:cs="Arial"/>
                <w:b/>
                <w:color w:val="000000" w:themeColor="text1"/>
                <w:sz w:val="20"/>
                <w:szCs w:val="20"/>
              </w:rPr>
              <w:t>202</w:t>
            </w:r>
            <w:r w:rsidR="006F4EBA">
              <w:rPr>
                <w:rFonts w:ascii="Arial" w:eastAsia="Times New Roman" w:hAnsi="Arial" w:cs="Arial"/>
                <w:b/>
                <w:color w:val="000000" w:themeColor="text1"/>
                <w:sz w:val="20"/>
                <w:szCs w:val="20"/>
              </w:rPr>
              <w:t>4</w:t>
            </w:r>
            <w:r w:rsidRPr="008427A4">
              <w:rPr>
                <w:rFonts w:ascii="Arial" w:eastAsia="Times New Roman" w:hAnsi="Arial" w:cs="Arial"/>
                <w:b/>
                <w:color w:val="000000" w:themeColor="text1"/>
                <w:sz w:val="20"/>
                <w:szCs w:val="20"/>
              </w:rPr>
              <w:t>.</w:t>
            </w:r>
          </w:p>
        </w:tc>
        <w:tc>
          <w:tcPr>
            <w:tcW w:w="681" w:type="pct"/>
            <w:vAlign w:val="bottom"/>
          </w:tcPr>
          <w:p w14:paraId="2F13D372" w14:textId="77777777" w:rsidR="00843998" w:rsidRPr="008427A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8427A4">
              <w:rPr>
                <w:rFonts w:ascii="Arial" w:eastAsia="Times New Roman" w:hAnsi="Arial" w:cs="Arial"/>
                <w:b/>
                <w:color w:val="000000" w:themeColor="text1"/>
                <w:sz w:val="20"/>
                <w:szCs w:val="20"/>
              </w:rPr>
              <w:t>1.1.-31.3.</w:t>
            </w:r>
          </w:p>
          <w:p w14:paraId="778B0316" w14:textId="40FE11BE" w:rsidR="00843998" w:rsidRPr="008427A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8427A4">
              <w:rPr>
                <w:rFonts w:ascii="Arial" w:eastAsia="Times New Roman" w:hAnsi="Arial" w:cs="Arial"/>
                <w:b/>
                <w:color w:val="000000" w:themeColor="text1"/>
                <w:sz w:val="20"/>
                <w:szCs w:val="20"/>
              </w:rPr>
              <w:t>202</w:t>
            </w:r>
            <w:r w:rsidR="006F4EBA">
              <w:rPr>
                <w:rFonts w:ascii="Arial" w:eastAsia="Times New Roman" w:hAnsi="Arial" w:cs="Arial"/>
                <w:b/>
                <w:color w:val="000000" w:themeColor="text1"/>
                <w:sz w:val="20"/>
                <w:szCs w:val="20"/>
              </w:rPr>
              <w:t>3</w:t>
            </w:r>
            <w:r w:rsidRPr="008427A4">
              <w:rPr>
                <w:rFonts w:ascii="Arial" w:eastAsia="Times New Roman" w:hAnsi="Arial" w:cs="Arial"/>
                <w:b/>
                <w:color w:val="000000" w:themeColor="text1"/>
                <w:sz w:val="20"/>
                <w:szCs w:val="20"/>
              </w:rPr>
              <w:t>.</w:t>
            </w:r>
          </w:p>
        </w:tc>
        <w:tc>
          <w:tcPr>
            <w:tcW w:w="681" w:type="pct"/>
            <w:vAlign w:val="bottom"/>
          </w:tcPr>
          <w:p w14:paraId="31000681" w14:textId="77777777" w:rsidR="00843998" w:rsidRPr="008427A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8427A4">
              <w:rPr>
                <w:rFonts w:ascii="Arial" w:eastAsia="Times New Roman" w:hAnsi="Arial" w:cs="Arial"/>
                <w:b/>
                <w:color w:val="000000" w:themeColor="text1"/>
                <w:sz w:val="20"/>
                <w:szCs w:val="20"/>
              </w:rPr>
              <w:t>1.1.-31.3.</w:t>
            </w:r>
          </w:p>
          <w:p w14:paraId="2B02625F" w14:textId="63EC5863" w:rsidR="00843998" w:rsidRPr="008427A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8427A4">
              <w:rPr>
                <w:rFonts w:ascii="Arial" w:eastAsia="Times New Roman" w:hAnsi="Arial" w:cs="Arial"/>
                <w:b/>
                <w:color w:val="000000" w:themeColor="text1"/>
                <w:sz w:val="20"/>
                <w:szCs w:val="20"/>
              </w:rPr>
              <w:t>202</w:t>
            </w:r>
            <w:r w:rsidR="006F4EBA">
              <w:rPr>
                <w:rFonts w:ascii="Arial" w:eastAsia="Times New Roman" w:hAnsi="Arial" w:cs="Arial"/>
                <w:b/>
                <w:color w:val="000000" w:themeColor="text1"/>
                <w:sz w:val="20"/>
                <w:szCs w:val="20"/>
              </w:rPr>
              <w:t>4</w:t>
            </w:r>
            <w:r w:rsidRPr="008427A4">
              <w:rPr>
                <w:rFonts w:ascii="Arial" w:eastAsia="Times New Roman" w:hAnsi="Arial" w:cs="Arial"/>
                <w:b/>
                <w:color w:val="000000" w:themeColor="text1"/>
                <w:sz w:val="20"/>
                <w:szCs w:val="20"/>
              </w:rPr>
              <w:t>.</w:t>
            </w:r>
          </w:p>
        </w:tc>
        <w:tc>
          <w:tcPr>
            <w:tcW w:w="679" w:type="pct"/>
            <w:vAlign w:val="bottom"/>
          </w:tcPr>
          <w:p w14:paraId="77C0CF31" w14:textId="77777777" w:rsidR="00843998" w:rsidRPr="008427A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8427A4">
              <w:rPr>
                <w:rFonts w:ascii="Arial" w:eastAsia="Times New Roman" w:hAnsi="Arial" w:cs="Arial"/>
                <w:b/>
                <w:color w:val="000000" w:themeColor="text1"/>
                <w:sz w:val="20"/>
                <w:szCs w:val="20"/>
              </w:rPr>
              <w:t>1.1.-31.3.</w:t>
            </w:r>
          </w:p>
          <w:p w14:paraId="1584A843" w14:textId="2C9D3A67" w:rsidR="00843998" w:rsidRPr="008427A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8427A4">
              <w:rPr>
                <w:rFonts w:ascii="Arial" w:eastAsia="Times New Roman" w:hAnsi="Arial" w:cs="Arial"/>
                <w:b/>
                <w:color w:val="000000" w:themeColor="text1"/>
                <w:sz w:val="20"/>
                <w:szCs w:val="20"/>
              </w:rPr>
              <w:t>202</w:t>
            </w:r>
            <w:r w:rsidR="006F4EBA">
              <w:rPr>
                <w:rFonts w:ascii="Arial" w:eastAsia="Times New Roman" w:hAnsi="Arial" w:cs="Arial"/>
                <w:b/>
                <w:color w:val="000000" w:themeColor="text1"/>
                <w:sz w:val="20"/>
                <w:szCs w:val="20"/>
              </w:rPr>
              <w:t>3</w:t>
            </w:r>
            <w:r w:rsidRPr="008427A4">
              <w:rPr>
                <w:rFonts w:ascii="Arial" w:eastAsia="Times New Roman" w:hAnsi="Arial" w:cs="Arial"/>
                <w:b/>
                <w:color w:val="000000" w:themeColor="text1"/>
                <w:sz w:val="20"/>
                <w:szCs w:val="20"/>
              </w:rPr>
              <w:t>.</w:t>
            </w:r>
          </w:p>
        </w:tc>
      </w:tr>
      <w:tr w:rsidR="00843998" w:rsidRPr="008427A4" w14:paraId="1BDB6540" w14:textId="77777777" w:rsidTr="008427A4">
        <w:tblPrEx>
          <w:tblCellMar>
            <w:left w:w="108" w:type="dxa"/>
            <w:right w:w="108" w:type="dxa"/>
          </w:tblCellMar>
        </w:tblPrEx>
        <w:trPr>
          <w:trHeight w:val="187"/>
        </w:trPr>
        <w:tc>
          <w:tcPr>
            <w:tcW w:w="2276" w:type="pct"/>
            <w:vAlign w:val="bottom"/>
          </w:tcPr>
          <w:p w14:paraId="00A6C95A" w14:textId="77777777" w:rsidR="00843998" w:rsidRPr="008427A4" w:rsidRDefault="00843998" w:rsidP="00843998">
            <w:pPr>
              <w:tabs>
                <w:tab w:val="left" w:pos="-720"/>
              </w:tabs>
              <w:suppressAutoHyphens/>
              <w:autoSpaceDN w:val="0"/>
              <w:ind w:right="4144"/>
              <w:jc w:val="right"/>
              <w:rPr>
                <w:rFonts w:ascii="Arial" w:eastAsia="Times New Roman" w:hAnsi="Arial" w:cs="Arial"/>
                <w:color w:val="000000" w:themeColor="text1"/>
                <w:sz w:val="20"/>
                <w:szCs w:val="20"/>
              </w:rPr>
            </w:pPr>
          </w:p>
        </w:tc>
        <w:tc>
          <w:tcPr>
            <w:tcW w:w="683" w:type="pct"/>
            <w:vAlign w:val="bottom"/>
          </w:tcPr>
          <w:p w14:paraId="19872776" w14:textId="2DF9C99C" w:rsidR="00843998" w:rsidRPr="008427A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8427A4">
              <w:rPr>
                <w:rFonts w:ascii="Arial" w:eastAsia="Times New Roman" w:hAnsi="Arial" w:cs="Arial"/>
                <w:b/>
                <w:color w:val="000000" w:themeColor="text1"/>
                <w:sz w:val="20"/>
                <w:szCs w:val="20"/>
              </w:rPr>
              <w:t>000 eura</w:t>
            </w:r>
          </w:p>
        </w:tc>
        <w:tc>
          <w:tcPr>
            <w:tcW w:w="681" w:type="pct"/>
            <w:vAlign w:val="bottom"/>
          </w:tcPr>
          <w:p w14:paraId="7101A252" w14:textId="504FA2EF" w:rsidR="00843998" w:rsidRPr="008427A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8427A4">
              <w:rPr>
                <w:rFonts w:ascii="Arial" w:eastAsia="Times New Roman" w:hAnsi="Arial" w:cs="Arial"/>
                <w:b/>
                <w:color w:val="000000" w:themeColor="text1"/>
                <w:sz w:val="20"/>
                <w:szCs w:val="20"/>
              </w:rPr>
              <w:t>000 eura</w:t>
            </w:r>
          </w:p>
        </w:tc>
        <w:tc>
          <w:tcPr>
            <w:tcW w:w="681" w:type="pct"/>
            <w:vAlign w:val="bottom"/>
          </w:tcPr>
          <w:p w14:paraId="66BD21EE" w14:textId="6F271D49" w:rsidR="00843998" w:rsidRPr="008427A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8427A4">
              <w:rPr>
                <w:rFonts w:ascii="Arial" w:eastAsia="Times New Roman" w:hAnsi="Arial" w:cs="Arial"/>
                <w:b/>
                <w:color w:val="000000" w:themeColor="text1"/>
                <w:sz w:val="20"/>
                <w:szCs w:val="20"/>
              </w:rPr>
              <w:t>000 eura</w:t>
            </w:r>
          </w:p>
        </w:tc>
        <w:tc>
          <w:tcPr>
            <w:tcW w:w="679" w:type="pct"/>
            <w:vAlign w:val="bottom"/>
          </w:tcPr>
          <w:p w14:paraId="00CB8C8B" w14:textId="47775887" w:rsidR="00843998" w:rsidRPr="008427A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8427A4">
              <w:rPr>
                <w:rFonts w:ascii="Arial" w:eastAsia="Times New Roman" w:hAnsi="Arial" w:cs="Arial"/>
                <w:b/>
                <w:color w:val="000000" w:themeColor="text1"/>
                <w:sz w:val="20"/>
                <w:szCs w:val="20"/>
              </w:rPr>
              <w:t>000 eura</w:t>
            </w:r>
          </w:p>
        </w:tc>
      </w:tr>
      <w:tr w:rsidR="00843998" w:rsidRPr="008427A4" w14:paraId="6602D93A" w14:textId="77777777" w:rsidTr="008427A4">
        <w:tblPrEx>
          <w:tblCellMar>
            <w:left w:w="108" w:type="dxa"/>
            <w:right w:w="108" w:type="dxa"/>
          </w:tblCellMar>
        </w:tblPrEx>
        <w:tc>
          <w:tcPr>
            <w:tcW w:w="2276" w:type="pct"/>
            <w:vAlign w:val="bottom"/>
          </w:tcPr>
          <w:p w14:paraId="4AC7F6EE" w14:textId="77777777" w:rsidR="00843998" w:rsidRPr="008427A4" w:rsidRDefault="00843998" w:rsidP="00843998">
            <w:pPr>
              <w:tabs>
                <w:tab w:val="left" w:pos="-720"/>
              </w:tabs>
              <w:suppressAutoHyphens/>
              <w:autoSpaceDN w:val="0"/>
              <w:rPr>
                <w:rFonts w:ascii="Arial" w:eastAsia="Times New Roman" w:hAnsi="Arial" w:cs="Arial"/>
                <w:color w:val="000000" w:themeColor="text1"/>
                <w:spacing w:val="-3"/>
                <w:sz w:val="20"/>
                <w:szCs w:val="20"/>
              </w:rPr>
            </w:pPr>
          </w:p>
        </w:tc>
        <w:tc>
          <w:tcPr>
            <w:tcW w:w="683" w:type="pct"/>
            <w:vAlign w:val="bottom"/>
          </w:tcPr>
          <w:p w14:paraId="7458F405" w14:textId="77777777" w:rsidR="00843998" w:rsidRPr="008427A4" w:rsidRDefault="00843998" w:rsidP="00843998">
            <w:pPr>
              <w:tabs>
                <w:tab w:val="left" w:pos="-720"/>
              </w:tabs>
              <w:suppressAutoHyphens/>
              <w:autoSpaceDN w:val="0"/>
              <w:jc w:val="right"/>
              <w:rPr>
                <w:rFonts w:ascii="Arial" w:eastAsia="Times New Roman" w:hAnsi="Arial" w:cs="Arial"/>
                <w:b/>
                <w:color w:val="000000" w:themeColor="text1"/>
                <w:spacing w:val="-3"/>
                <w:sz w:val="20"/>
                <w:szCs w:val="20"/>
              </w:rPr>
            </w:pPr>
          </w:p>
        </w:tc>
        <w:tc>
          <w:tcPr>
            <w:tcW w:w="681" w:type="pct"/>
            <w:vAlign w:val="bottom"/>
          </w:tcPr>
          <w:p w14:paraId="13964706" w14:textId="77777777" w:rsidR="00843998" w:rsidRPr="008427A4" w:rsidRDefault="00843998" w:rsidP="00843998">
            <w:pPr>
              <w:tabs>
                <w:tab w:val="left" w:pos="-720"/>
              </w:tabs>
              <w:suppressAutoHyphens/>
              <w:autoSpaceDN w:val="0"/>
              <w:jc w:val="right"/>
              <w:rPr>
                <w:rFonts w:ascii="Arial" w:eastAsia="Times New Roman" w:hAnsi="Arial" w:cs="Arial"/>
                <w:b/>
                <w:color w:val="000000" w:themeColor="text1"/>
                <w:spacing w:val="-3"/>
                <w:sz w:val="20"/>
                <w:szCs w:val="20"/>
              </w:rPr>
            </w:pPr>
          </w:p>
        </w:tc>
        <w:tc>
          <w:tcPr>
            <w:tcW w:w="681" w:type="pct"/>
            <w:vAlign w:val="bottom"/>
          </w:tcPr>
          <w:p w14:paraId="072F778B" w14:textId="77777777" w:rsidR="00843998" w:rsidRPr="008427A4" w:rsidRDefault="00843998" w:rsidP="00843998">
            <w:pPr>
              <w:tabs>
                <w:tab w:val="left" w:pos="-720"/>
              </w:tabs>
              <w:suppressAutoHyphens/>
              <w:autoSpaceDN w:val="0"/>
              <w:jc w:val="right"/>
              <w:rPr>
                <w:rFonts w:ascii="Arial" w:eastAsia="Times New Roman" w:hAnsi="Arial" w:cs="Arial"/>
                <w:b/>
                <w:color w:val="000000" w:themeColor="text1"/>
                <w:spacing w:val="-3"/>
                <w:sz w:val="20"/>
                <w:szCs w:val="20"/>
              </w:rPr>
            </w:pPr>
          </w:p>
        </w:tc>
        <w:tc>
          <w:tcPr>
            <w:tcW w:w="679" w:type="pct"/>
            <w:vAlign w:val="bottom"/>
          </w:tcPr>
          <w:p w14:paraId="4309B21D" w14:textId="77777777" w:rsidR="00843998" w:rsidRPr="008427A4" w:rsidRDefault="00843998" w:rsidP="00843998">
            <w:pPr>
              <w:tabs>
                <w:tab w:val="left" w:pos="-720"/>
              </w:tabs>
              <w:suppressAutoHyphens/>
              <w:autoSpaceDN w:val="0"/>
              <w:jc w:val="right"/>
              <w:rPr>
                <w:rFonts w:ascii="Arial" w:eastAsia="Times New Roman" w:hAnsi="Arial" w:cs="Arial"/>
                <w:b/>
                <w:color w:val="000000" w:themeColor="text1"/>
                <w:spacing w:val="-3"/>
                <w:sz w:val="20"/>
                <w:szCs w:val="20"/>
              </w:rPr>
            </w:pPr>
          </w:p>
        </w:tc>
      </w:tr>
      <w:tr w:rsidR="00D30AB1" w:rsidRPr="008427A4" w14:paraId="41A10722" w14:textId="77777777" w:rsidTr="005D1219">
        <w:trPr>
          <w:trHeight w:hRule="exact" w:val="284"/>
        </w:trPr>
        <w:tc>
          <w:tcPr>
            <w:tcW w:w="2276" w:type="pct"/>
            <w:vAlign w:val="bottom"/>
          </w:tcPr>
          <w:p w14:paraId="165465FB" w14:textId="77777777" w:rsidR="00D30AB1" w:rsidRPr="008427A4" w:rsidRDefault="00D30AB1" w:rsidP="00D30AB1">
            <w:pPr>
              <w:tabs>
                <w:tab w:val="right" w:pos="1202"/>
              </w:tabs>
              <w:suppressAutoHyphens/>
              <w:autoSpaceDN w:val="0"/>
              <w:outlineLvl w:val="0"/>
              <w:rPr>
                <w:rFonts w:ascii="Arial" w:eastAsia="Times New Roman" w:hAnsi="Arial" w:cs="Arial"/>
                <w:color w:val="000000" w:themeColor="text1"/>
                <w:sz w:val="20"/>
                <w:szCs w:val="20"/>
              </w:rPr>
            </w:pPr>
            <w:bookmarkStart w:id="273" w:name="_Toc67327507"/>
            <w:r w:rsidRPr="008427A4">
              <w:rPr>
                <w:rFonts w:ascii="Arial" w:eastAsia="Times New Roman" w:hAnsi="Arial" w:cs="Arial"/>
                <w:color w:val="000000" w:themeColor="text1"/>
                <w:sz w:val="20"/>
                <w:szCs w:val="20"/>
              </w:rPr>
              <w:t>Domaće financijske institucije</w:t>
            </w:r>
            <w:bookmarkEnd w:id="273"/>
          </w:p>
        </w:tc>
        <w:tc>
          <w:tcPr>
            <w:tcW w:w="683" w:type="pct"/>
            <w:tcBorders>
              <w:top w:val="nil"/>
              <w:left w:val="nil"/>
              <w:bottom w:val="nil"/>
              <w:right w:val="nil"/>
            </w:tcBorders>
            <w:shd w:val="clear" w:color="auto" w:fill="auto"/>
            <w:vAlign w:val="bottom"/>
          </w:tcPr>
          <w:p w14:paraId="3ED914D7" w14:textId="218C5929" w:rsidR="00D30AB1" w:rsidRPr="008427A4" w:rsidRDefault="00D30AB1" w:rsidP="00D30AB1">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681" w:type="pct"/>
            <w:tcBorders>
              <w:top w:val="nil"/>
              <w:left w:val="nil"/>
              <w:bottom w:val="nil"/>
              <w:right w:val="nil"/>
            </w:tcBorders>
            <w:shd w:val="clear" w:color="auto" w:fill="auto"/>
            <w:vAlign w:val="bottom"/>
          </w:tcPr>
          <w:p w14:paraId="290160F6" w14:textId="312C3660" w:rsidR="00D30AB1" w:rsidRPr="008427A4" w:rsidRDefault="00D30AB1" w:rsidP="00D30AB1">
            <w:pPr>
              <w:tabs>
                <w:tab w:val="right" w:pos="1202"/>
              </w:tabs>
              <w:suppressAutoHyphens/>
              <w:autoSpaceDN w:val="0"/>
              <w:jc w:val="right"/>
              <w:outlineLvl w:val="0"/>
              <w:rPr>
                <w:rFonts w:ascii="Arial" w:eastAsia="Times New Roman" w:hAnsi="Arial" w:cs="Arial"/>
                <w:color w:val="000000" w:themeColor="text1"/>
                <w:sz w:val="20"/>
                <w:szCs w:val="20"/>
              </w:rPr>
            </w:pPr>
            <w:r w:rsidRPr="008427A4">
              <w:rPr>
                <w:rFonts w:ascii="Arial" w:hAnsi="Arial" w:cs="Arial"/>
                <w:sz w:val="20"/>
                <w:szCs w:val="20"/>
              </w:rPr>
              <w:t xml:space="preserve"> 25 </w:t>
            </w:r>
          </w:p>
        </w:tc>
        <w:tc>
          <w:tcPr>
            <w:tcW w:w="681" w:type="pct"/>
            <w:tcBorders>
              <w:top w:val="nil"/>
              <w:left w:val="nil"/>
              <w:bottom w:val="nil"/>
              <w:right w:val="nil"/>
            </w:tcBorders>
            <w:shd w:val="clear" w:color="auto" w:fill="auto"/>
            <w:vAlign w:val="bottom"/>
          </w:tcPr>
          <w:p w14:paraId="34F18393" w14:textId="2AABBD22" w:rsidR="00D30AB1" w:rsidRPr="008427A4" w:rsidRDefault="00D30AB1" w:rsidP="00D30AB1">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w:t>
            </w:r>
          </w:p>
        </w:tc>
        <w:tc>
          <w:tcPr>
            <w:tcW w:w="679" w:type="pct"/>
            <w:tcBorders>
              <w:top w:val="nil"/>
              <w:left w:val="nil"/>
              <w:bottom w:val="nil"/>
              <w:right w:val="nil"/>
            </w:tcBorders>
            <w:shd w:val="clear" w:color="auto" w:fill="auto"/>
            <w:vAlign w:val="bottom"/>
          </w:tcPr>
          <w:p w14:paraId="30517FCF" w14:textId="62A0D377" w:rsidR="00D30AB1" w:rsidRPr="008427A4" w:rsidRDefault="00D30AB1" w:rsidP="00D30AB1">
            <w:pPr>
              <w:tabs>
                <w:tab w:val="right" w:pos="1202"/>
              </w:tabs>
              <w:suppressAutoHyphens/>
              <w:autoSpaceDN w:val="0"/>
              <w:jc w:val="right"/>
              <w:outlineLvl w:val="0"/>
              <w:rPr>
                <w:rFonts w:ascii="Arial" w:eastAsia="Times New Roman" w:hAnsi="Arial" w:cs="Arial"/>
                <w:color w:val="000000" w:themeColor="text1"/>
                <w:sz w:val="20"/>
                <w:szCs w:val="20"/>
              </w:rPr>
            </w:pPr>
            <w:r w:rsidRPr="008427A4">
              <w:rPr>
                <w:rFonts w:ascii="Arial" w:hAnsi="Arial" w:cs="Arial"/>
                <w:sz w:val="20"/>
                <w:szCs w:val="20"/>
              </w:rPr>
              <w:t xml:space="preserve"> 25 </w:t>
            </w:r>
          </w:p>
        </w:tc>
      </w:tr>
      <w:tr w:rsidR="00D30AB1" w:rsidRPr="008427A4" w14:paraId="1EEC45AC" w14:textId="77777777" w:rsidTr="005D1219">
        <w:trPr>
          <w:trHeight w:hRule="exact" w:val="284"/>
        </w:trPr>
        <w:tc>
          <w:tcPr>
            <w:tcW w:w="2276" w:type="pct"/>
            <w:vAlign w:val="bottom"/>
          </w:tcPr>
          <w:p w14:paraId="599B8282" w14:textId="77777777" w:rsidR="00D30AB1" w:rsidRPr="008427A4" w:rsidRDefault="00D30AB1" w:rsidP="00D30AB1">
            <w:pPr>
              <w:tabs>
                <w:tab w:val="right" w:pos="1202"/>
              </w:tabs>
              <w:suppressAutoHyphens/>
              <w:autoSpaceDN w:val="0"/>
              <w:outlineLvl w:val="0"/>
              <w:rPr>
                <w:rFonts w:ascii="Arial" w:eastAsia="Times New Roman" w:hAnsi="Arial" w:cs="Arial"/>
                <w:color w:val="000000" w:themeColor="text1"/>
                <w:sz w:val="20"/>
                <w:szCs w:val="20"/>
              </w:rPr>
            </w:pPr>
            <w:bookmarkStart w:id="274" w:name="_Toc67327512"/>
            <w:r w:rsidRPr="008427A4">
              <w:rPr>
                <w:rFonts w:ascii="Arial" w:eastAsia="Times New Roman" w:hAnsi="Arial" w:cs="Arial"/>
                <w:color w:val="000000" w:themeColor="text1"/>
                <w:sz w:val="20"/>
                <w:szCs w:val="20"/>
              </w:rPr>
              <w:t>Inozemne financijske institucije</w:t>
            </w:r>
            <w:bookmarkEnd w:id="274"/>
          </w:p>
        </w:tc>
        <w:tc>
          <w:tcPr>
            <w:tcW w:w="683" w:type="pct"/>
            <w:tcBorders>
              <w:top w:val="nil"/>
              <w:left w:val="nil"/>
              <w:bottom w:val="nil"/>
              <w:right w:val="nil"/>
            </w:tcBorders>
            <w:shd w:val="clear" w:color="auto" w:fill="auto"/>
            <w:vAlign w:val="bottom"/>
          </w:tcPr>
          <w:p w14:paraId="3DEAA94A" w14:textId="20454BCB" w:rsidR="00D30AB1" w:rsidRPr="008427A4" w:rsidRDefault="00D30AB1" w:rsidP="00D30AB1">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7.076</w:t>
            </w:r>
          </w:p>
        </w:tc>
        <w:tc>
          <w:tcPr>
            <w:tcW w:w="681" w:type="pct"/>
            <w:tcBorders>
              <w:top w:val="nil"/>
              <w:left w:val="nil"/>
              <w:bottom w:val="nil"/>
              <w:right w:val="nil"/>
            </w:tcBorders>
            <w:shd w:val="clear" w:color="auto" w:fill="auto"/>
            <w:vAlign w:val="bottom"/>
          </w:tcPr>
          <w:p w14:paraId="6E6D6395" w14:textId="069B0666" w:rsidR="00D30AB1" w:rsidRPr="008427A4" w:rsidRDefault="00D30AB1" w:rsidP="00D30AB1">
            <w:pPr>
              <w:tabs>
                <w:tab w:val="right" w:pos="1202"/>
              </w:tabs>
              <w:suppressAutoHyphens/>
              <w:autoSpaceDN w:val="0"/>
              <w:jc w:val="right"/>
              <w:outlineLvl w:val="0"/>
              <w:rPr>
                <w:rFonts w:ascii="Arial" w:eastAsia="Times New Roman" w:hAnsi="Arial" w:cs="Arial"/>
                <w:color w:val="000000" w:themeColor="text1"/>
                <w:sz w:val="20"/>
                <w:szCs w:val="20"/>
              </w:rPr>
            </w:pPr>
            <w:r w:rsidRPr="008427A4">
              <w:rPr>
                <w:rFonts w:ascii="Arial" w:hAnsi="Arial" w:cs="Arial"/>
                <w:sz w:val="20"/>
                <w:szCs w:val="20"/>
              </w:rPr>
              <w:t xml:space="preserve"> 5.126 </w:t>
            </w:r>
          </w:p>
        </w:tc>
        <w:tc>
          <w:tcPr>
            <w:tcW w:w="681" w:type="pct"/>
            <w:tcBorders>
              <w:top w:val="nil"/>
              <w:left w:val="nil"/>
              <w:bottom w:val="nil"/>
              <w:right w:val="nil"/>
            </w:tcBorders>
            <w:shd w:val="clear" w:color="auto" w:fill="auto"/>
            <w:vAlign w:val="bottom"/>
          </w:tcPr>
          <w:p w14:paraId="759233F3" w14:textId="5D29A150" w:rsidR="00D30AB1" w:rsidRPr="008427A4" w:rsidRDefault="00D30AB1" w:rsidP="00D30AB1">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7.076</w:t>
            </w:r>
          </w:p>
        </w:tc>
        <w:tc>
          <w:tcPr>
            <w:tcW w:w="679" w:type="pct"/>
            <w:tcBorders>
              <w:top w:val="nil"/>
              <w:left w:val="nil"/>
              <w:bottom w:val="nil"/>
              <w:right w:val="nil"/>
            </w:tcBorders>
            <w:shd w:val="clear" w:color="auto" w:fill="auto"/>
            <w:vAlign w:val="bottom"/>
          </w:tcPr>
          <w:p w14:paraId="04DFF5FB" w14:textId="2071BF5A" w:rsidR="00D30AB1" w:rsidRPr="008427A4" w:rsidRDefault="00D30AB1" w:rsidP="00D30AB1">
            <w:pPr>
              <w:tabs>
                <w:tab w:val="right" w:pos="1202"/>
              </w:tabs>
              <w:suppressAutoHyphens/>
              <w:autoSpaceDN w:val="0"/>
              <w:jc w:val="right"/>
              <w:outlineLvl w:val="0"/>
              <w:rPr>
                <w:rFonts w:ascii="Arial" w:eastAsia="Times New Roman" w:hAnsi="Arial" w:cs="Arial"/>
                <w:color w:val="000000" w:themeColor="text1"/>
                <w:sz w:val="20"/>
                <w:szCs w:val="20"/>
              </w:rPr>
            </w:pPr>
            <w:r w:rsidRPr="008427A4">
              <w:rPr>
                <w:rFonts w:ascii="Arial" w:hAnsi="Arial" w:cs="Arial"/>
                <w:sz w:val="20"/>
                <w:szCs w:val="20"/>
              </w:rPr>
              <w:t xml:space="preserve"> 5.126 </w:t>
            </w:r>
          </w:p>
        </w:tc>
      </w:tr>
      <w:tr w:rsidR="00D30AB1" w:rsidRPr="008427A4" w14:paraId="5F153909" w14:textId="77777777" w:rsidTr="005D1219">
        <w:trPr>
          <w:trHeight w:hRule="exact" w:val="284"/>
        </w:trPr>
        <w:tc>
          <w:tcPr>
            <w:tcW w:w="2276" w:type="pct"/>
            <w:vAlign w:val="bottom"/>
          </w:tcPr>
          <w:p w14:paraId="6939A6C2" w14:textId="77777777" w:rsidR="00D30AB1" w:rsidRPr="008427A4" w:rsidRDefault="00D30AB1" w:rsidP="00D30AB1">
            <w:pPr>
              <w:tabs>
                <w:tab w:val="right" w:pos="1202"/>
              </w:tabs>
              <w:suppressAutoHyphens/>
              <w:autoSpaceDN w:val="0"/>
              <w:outlineLvl w:val="0"/>
              <w:rPr>
                <w:rFonts w:ascii="Arial" w:eastAsia="Times New Roman" w:hAnsi="Arial" w:cs="Arial"/>
                <w:color w:val="000000" w:themeColor="text1"/>
                <w:sz w:val="20"/>
                <w:szCs w:val="20"/>
              </w:rPr>
            </w:pPr>
            <w:bookmarkStart w:id="275" w:name="_Toc67327517"/>
            <w:r w:rsidRPr="008427A4">
              <w:rPr>
                <w:rFonts w:ascii="Arial" w:eastAsia="Times New Roman" w:hAnsi="Arial" w:cs="Arial"/>
                <w:color w:val="000000" w:themeColor="text1"/>
                <w:sz w:val="20"/>
                <w:szCs w:val="20"/>
              </w:rPr>
              <w:t>Državne jedinice</w:t>
            </w:r>
            <w:bookmarkEnd w:id="275"/>
          </w:p>
        </w:tc>
        <w:tc>
          <w:tcPr>
            <w:tcW w:w="683" w:type="pct"/>
            <w:tcBorders>
              <w:top w:val="nil"/>
              <w:left w:val="nil"/>
              <w:bottom w:val="nil"/>
              <w:right w:val="nil"/>
            </w:tcBorders>
            <w:shd w:val="clear" w:color="auto" w:fill="auto"/>
            <w:vAlign w:val="bottom"/>
          </w:tcPr>
          <w:p w14:paraId="63BF410F" w14:textId="1D7972AE" w:rsidR="00D30AB1" w:rsidRPr="008427A4" w:rsidRDefault="00D30AB1" w:rsidP="00D30AB1">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2.881</w:t>
            </w:r>
          </w:p>
        </w:tc>
        <w:tc>
          <w:tcPr>
            <w:tcW w:w="681" w:type="pct"/>
            <w:tcBorders>
              <w:top w:val="nil"/>
              <w:left w:val="nil"/>
              <w:bottom w:val="nil"/>
              <w:right w:val="nil"/>
            </w:tcBorders>
            <w:shd w:val="clear" w:color="auto" w:fill="auto"/>
            <w:vAlign w:val="bottom"/>
          </w:tcPr>
          <w:p w14:paraId="3B2FBB75" w14:textId="3B85964D" w:rsidR="00D30AB1" w:rsidRPr="008427A4" w:rsidRDefault="00D30AB1" w:rsidP="00D30AB1">
            <w:pPr>
              <w:tabs>
                <w:tab w:val="right" w:pos="1202"/>
              </w:tabs>
              <w:suppressAutoHyphens/>
              <w:autoSpaceDN w:val="0"/>
              <w:jc w:val="right"/>
              <w:outlineLvl w:val="0"/>
              <w:rPr>
                <w:rFonts w:ascii="Arial" w:eastAsia="Times New Roman" w:hAnsi="Arial" w:cs="Arial"/>
                <w:color w:val="000000" w:themeColor="text1"/>
                <w:sz w:val="20"/>
                <w:szCs w:val="20"/>
              </w:rPr>
            </w:pPr>
            <w:r w:rsidRPr="008427A4">
              <w:rPr>
                <w:rFonts w:ascii="Arial" w:hAnsi="Arial" w:cs="Arial"/>
                <w:sz w:val="20"/>
                <w:szCs w:val="20"/>
              </w:rPr>
              <w:t xml:space="preserve"> 597 </w:t>
            </w:r>
          </w:p>
        </w:tc>
        <w:tc>
          <w:tcPr>
            <w:tcW w:w="681" w:type="pct"/>
            <w:tcBorders>
              <w:top w:val="nil"/>
              <w:left w:val="nil"/>
              <w:bottom w:val="nil"/>
              <w:right w:val="nil"/>
            </w:tcBorders>
            <w:shd w:val="clear" w:color="auto" w:fill="auto"/>
            <w:vAlign w:val="bottom"/>
          </w:tcPr>
          <w:p w14:paraId="31375DA2" w14:textId="2ECAA03B" w:rsidR="00D30AB1" w:rsidRPr="008427A4" w:rsidDel="00D241F2" w:rsidRDefault="00D30AB1" w:rsidP="00D30AB1">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2.881</w:t>
            </w:r>
          </w:p>
        </w:tc>
        <w:tc>
          <w:tcPr>
            <w:tcW w:w="679" w:type="pct"/>
            <w:tcBorders>
              <w:top w:val="nil"/>
              <w:left w:val="nil"/>
              <w:bottom w:val="nil"/>
              <w:right w:val="nil"/>
            </w:tcBorders>
            <w:shd w:val="clear" w:color="auto" w:fill="auto"/>
            <w:vAlign w:val="bottom"/>
          </w:tcPr>
          <w:p w14:paraId="340FD96F" w14:textId="4F6CBE17" w:rsidR="00D30AB1" w:rsidRPr="008427A4" w:rsidRDefault="00D30AB1" w:rsidP="00D30AB1">
            <w:pPr>
              <w:tabs>
                <w:tab w:val="right" w:pos="1202"/>
              </w:tabs>
              <w:suppressAutoHyphens/>
              <w:autoSpaceDN w:val="0"/>
              <w:jc w:val="right"/>
              <w:outlineLvl w:val="0"/>
              <w:rPr>
                <w:rFonts w:ascii="Arial" w:eastAsia="Times New Roman" w:hAnsi="Arial" w:cs="Arial"/>
                <w:color w:val="000000" w:themeColor="text1"/>
                <w:sz w:val="20"/>
                <w:szCs w:val="20"/>
              </w:rPr>
            </w:pPr>
            <w:r w:rsidRPr="008427A4">
              <w:rPr>
                <w:rFonts w:ascii="Arial" w:hAnsi="Arial" w:cs="Arial"/>
                <w:sz w:val="20"/>
                <w:szCs w:val="20"/>
              </w:rPr>
              <w:t xml:space="preserve"> 597 </w:t>
            </w:r>
          </w:p>
        </w:tc>
      </w:tr>
      <w:tr w:rsidR="00D30AB1" w:rsidRPr="008427A4" w14:paraId="1992639D" w14:textId="77777777" w:rsidTr="005D1219">
        <w:trPr>
          <w:trHeight w:hRule="exact" w:val="284"/>
        </w:trPr>
        <w:tc>
          <w:tcPr>
            <w:tcW w:w="2276" w:type="pct"/>
            <w:vAlign w:val="bottom"/>
          </w:tcPr>
          <w:p w14:paraId="4C39F392" w14:textId="77777777" w:rsidR="00D30AB1" w:rsidRPr="008427A4" w:rsidRDefault="00D30AB1" w:rsidP="00D30AB1">
            <w:pPr>
              <w:tabs>
                <w:tab w:val="right" w:pos="1202"/>
              </w:tabs>
              <w:suppressAutoHyphens/>
              <w:autoSpaceDN w:val="0"/>
              <w:outlineLvl w:val="0"/>
              <w:rPr>
                <w:rFonts w:ascii="Arial" w:eastAsia="Times New Roman" w:hAnsi="Arial" w:cs="Arial"/>
                <w:color w:val="000000" w:themeColor="text1"/>
                <w:sz w:val="20"/>
                <w:szCs w:val="20"/>
              </w:rPr>
            </w:pPr>
            <w:bookmarkStart w:id="276" w:name="_Toc67327522"/>
            <w:r w:rsidRPr="008427A4">
              <w:rPr>
                <w:rFonts w:ascii="Arial" w:eastAsia="Times New Roman" w:hAnsi="Arial" w:cs="Arial"/>
                <w:color w:val="000000" w:themeColor="text1"/>
                <w:sz w:val="20"/>
                <w:szCs w:val="20"/>
              </w:rPr>
              <w:t>Ostalo</w:t>
            </w:r>
            <w:bookmarkEnd w:id="276"/>
          </w:p>
        </w:tc>
        <w:tc>
          <w:tcPr>
            <w:tcW w:w="683" w:type="pct"/>
            <w:tcBorders>
              <w:top w:val="nil"/>
              <w:left w:val="nil"/>
              <w:bottom w:val="nil"/>
              <w:right w:val="nil"/>
            </w:tcBorders>
            <w:shd w:val="clear" w:color="auto" w:fill="auto"/>
            <w:vAlign w:val="bottom"/>
          </w:tcPr>
          <w:p w14:paraId="6642180E" w14:textId="7C554B98" w:rsidR="00D30AB1" w:rsidRPr="008427A4" w:rsidDel="00D241F2" w:rsidRDefault="00D30AB1" w:rsidP="00D30AB1">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681" w:type="pct"/>
            <w:tcBorders>
              <w:top w:val="nil"/>
              <w:left w:val="nil"/>
              <w:bottom w:val="nil"/>
              <w:right w:val="nil"/>
            </w:tcBorders>
            <w:shd w:val="clear" w:color="auto" w:fill="auto"/>
            <w:vAlign w:val="bottom"/>
          </w:tcPr>
          <w:p w14:paraId="10A1C022" w14:textId="5407E084" w:rsidR="00D30AB1" w:rsidRPr="008427A4" w:rsidRDefault="00D30AB1" w:rsidP="00D30AB1">
            <w:pPr>
              <w:tabs>
                <w:tab w:val="right" w:pos="1202"/>
              </w:tabs>
              <w:suppressAutoHyphens/>
              <w:autoSpaceDN w:val="0"/>
              <w:jc w:val="right"/>
              <w:outlineLvl w:val="0"/>
              <w:rPr>
                <w:rFonts w:ascii="Arial" w:eastAsia="Times New Roman" w:hAnsi="Arial" w:cs="Arial"/>
                <w:color w:val="000000" w:themeColor="text1"/>
                <w:sz w:val="20"/>
                <w:szCs w:val="20"/>
              </w:rPr>
            </w:pPr>
            <w:r w:rsidRPr="008427A4">
              <w:rPr>
                <w:rFonts w:ascii="Arial" w:hAnsi="Arial" w:cs="Arial"/>
                <w:sz w:val="20"/>
                <w:szCs w:val="20"/>
              </w:rPr>
              <w:t xml:space="preserve"> 28 </w:t>
            </w:r>
          </w:p>
        </w:tc>
        <w:tc>
          <w:tcPr>
            <w:tcW w:w="681" w:type="pct"/>
            <w:tcBorders>
              <w:top w:val="nil"/>
              <w:left w:val="nil"/>
              <w:bottom w:val="nil"/>
              <w:right w:val="nil"/>
            </w:tcBorders>
            <w:shd w:val="clear" w:color="auto" w:fill="auto"/>
            <w:vAlign w:val="bottom"/>
          </w:tcPr>
          <w:p w14:paraId="2854932C" w14:textId="50609284" w:rsidR="00D30AB1" w:rsidRPr="008427A4" w:rsidDel="00D241F2" w:rsidRDefault="00D30AB1" w:rsidP="00D30AB1">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679" w:type="pct"/>
            <w:tcBorders>
              <w:top w:val="nil"/>
              <w:left w:val="nil"/>
              <w:bottom w:val="nil"/>
              <w:right w:val="nil"/>
            </w:tcBorders>
            <w:shd w:val="clear" w:color="auto" w:fill="auto"/>
            <w:vAlign w:val="bottom"/>
          </w:tcPr>
          <w:p w14:paraId="4F9EC903" w14:textId="41DAFABE" w:rsidR="00D30AB1" w:rsidRPr="008427A4" w:rsidRDefault="00D30AB1" w:rsidP="00D30AB1">
            <w:pPr>
              <w:tabs>
                <w:tab w:val="right" w:pos="1202"/>
              </w:tabs>
              <w:suppressAutoHyphens/>
              <w:autoSpaceDN w:val="0"/>
              <w:jc w:val="right"/>
              <w:outlineLvl w:val="0"/>
              <w:rPr>
                <w:rFonts w:ascii="Arial" w:eastAsia="Times New Roman" w:hAnsi="Arial" w:cs="Arial"/>
                <w:color w:val="000000" w:themeColor="text1"/>
                <w:sz w:val="20"/>
                <w:szCs w:val="20"/>
              </w:rPr>
            </w:pPr>
            <w:r w:rsidRPr="008427A4">
              <w:rPr>
                <w:rFonts w:ascii="Arial" w:hAnsi="Arial" w:cs="Arial"/>
                <w:sz w:val="20"/>
                <w:szCs w:val="20"/>
              </w:rPr>
              <w:t xml:space="preserve"> 28 </w:t>
            </w:r>
          </w:p>
        </w:tc>
      </w:tr>
      <w:tr w:rsidR="00D30AB1" w:rsidRPr="008427A4" w14:paraId="3D758CF1" w14:textId="77777777" w:rsidTr="005D1219">
        <w:trPr>
          <w:trHeight w:hRule="exact" w:val="340"/>
        </w:trPr>
        <w:tc>
          <w:tcPr>
            <w:tcW w:w="2276" w:type="pct"/>
            <w:vAlign w:val="bottom"/>
          </w:tcPr>
          <w:p w14:paraId="20044A9D" w14:textId="77777777" w:rsidR="00D30AB1" w:rsidRPr="008427A4" w:rsidRDefault="00D30AB1" w:rsidP="00D30AB1">
            <w:pPr>
              <w:tabs>
                <w:tab w:val="right" w:pos="1202"/>
              </w:tabs>
              <w:suppressAutoHyphens/>
              <w:autoSpaceDN w:val="0"/>
              <w:outlineLvl w:val="0"/>
              <w:rPr>
                <w:rFonts w:ascii="Arial" w:eastAsia="Times New Roman" w:hAnsi="Arial" w:cs="Arial"/>
                <w:b/>
                <w:bCs/>
                <w:color w:val="000000" w:themeColor="text1"/>
                <w:sz w:val="20"/>
                <w:szCs w:val="20"/>
              </w:rPr>
            </w:pPr>
          </w:p>
        </w:tc>
        <w:tc>
          <w:tcPr>
            <w:tcW w:w="683" w:type="pct"/>
            <w:tcBorders>
              <w:top w:val="single" w:sz="4" w:space="0" w:color="auto"/>
              <w:bottom w:val="single" w:sz="12" w:space="0" w:color="auto"/>
            </w:tcBorders>
            <w:vAlign w:val="bottom"/>
          </w:tcPr>
          <w:p w14:paraId="5FAF34F0" w14:textId="53D68729" w:rsidR="00D30AB1" w:rsidRPr="003A3244" w:rsidRDefault="00D30AB1" w:rsidP="00D30AB1">
            <w:pPr>
              <w:tabs>
                <w:tab w:val="right" w:pos="1202"/>
              </w:tabs>
              <w:suppressAutoHyphens/>
              <w:autoSpaceDN w:val="0"/>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10.076</w:t>
            </w:r>
          </w:p>
        </w:tc>
        <w:tc>
          <w:tcPr>
            <w:tcW w:w="681" w:type="pct"/>
            <w:tcBorders>
              <w:top w:val="single" w:sz="4" w:space="0" w:color="auto"/>
              <w:bottom w:val="single" w:sz="12" w:space="0" w:color="auto"/>
            </w:tcBorders>
            <w:vAlign w:val="bottom"/>
          </w:tcPr>
          <w:p w14:paraId="5F8EB51A" w14:textId="373E68A5" w:rsidR="00D30AB1" w:rsidRPr="003A3244" w:rsidRDefault="00D30AB1" w:rsidP="00D30AB1">
            <w:pPr>
              <w:tabs>
                <w:tab w:val="right" w:pos="1202"/>
              </w:tabs>
              <w:suppressAutoHyphens/>
              <w:autoSpaceDN w:val="0"/>
              <w:jc w:val="right"/>
              <w:outlineLvl w:val="0"/>
              <w:rPr>
                <w:rFonts w:ascii="Arial" w:eastAsia="Times New Roman" w:hAnsi="Arial" w:cs="Arial"/>
                <w:b/>
                <w:bCs/>
                <w:color w:val="000000" w:themeColor="text1"/>
                <w:sz w:val="20"/>
                <w:szCs w:val="20"/>
              </w:rPr>
            </w:pPr>
            <w:r w:rsidRPr="003A3244">
              <w:rPr>
                <w:rFonts w:ascii="Arial" w:hAnsi="Arial" w:cs="Arial"/>
                <w:b/>
                <w:bCs/>
                <w:sz w:val="20"/>
                <w:szCs w:val="20"/>
              </w:rPr>
              <w:t xml:space="preserve"> 5.776 </w:t>
            </w:r>
          </w:p>
        </w:tc>
        <w:tc>
          <w:tcPr>
            <w:tcW w:w="681" w:type="pct"/>
            <w:tcBorders>
              <w:top w:val="single" w:sz="4" w:space="0" w:color="auto"/>
              <w:bottom w:val="single" w:sz="12" w:space="0" w:color="auto"/>
            </w:tcBorders>
            <w:vAlign w:val="bottom"/>
          </w:tcPr>
          <w:p w14:paraId="00C67F17" w14:textId="0B29DEF9" w:rsidR="00D30AB1" w:rsidRPr="008427A4" w:rsidRDefault="00D30AB1" w:rsidP="00D30AB1">
            <w:pPr>
              <w:suppressAutoHyphens/>
              <w:autoSpaceDN w:val="0"/>
              <w:jc w:val="right"/>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10.074</w:t>
            </w:r>
          </w:p>
        </w:tc>
        <w:tc>
          <w:tcPr>
            <w:tcW w:w="679" w:type="pct"/>
            <w:tcBorders>
              <w:top w:val="single" w:sz="4" w:space="0" w:color="auto"/>
              <w:bottom w:val="single" w:sz="12" w:space="0" w:color="auto"/>
            </w:tcBorders>
            <w:vAlign w:val="bottom"/>
          </w:tcPr>
          <w:p w14:paraId="5A064442" w14:textId="7F5EB527" w:rsidR="00D30AB1" w:rsidRPr="008427A4" w:rsidRDefault="00D30AB1" w:rsidP="00D30AB1">
            <w:pPr>
              <w:suppressAutoHyphens/>
              <w:autoSpaceDN w:val="0"/>
              <w:jc w:val="right"/>
              <w:rPr>
                <w:rFonts w:ascii="Arial" w:eastAsia="Times New Roman" w:hAnsi="Arial" w:cs="Arial"/>
                <w:b/>
                <w:bCs/>
                <w:color w:val="000000" w:themeColor="text1"/>
                <w:sz w:val="20"/>
                <w:szCs w:val="20"/>
              </w:rPr>
            </w:pPr>
            <w:r w:rsidRPr="008427A4">
              <w:rPr>
                <w:rFonts w:ascii="Arial" w:hAnsi="Arial" w:cs="Arial"/>
                <w:b/>
                <w:bCs/>
                <w:sz w:val="20"/>
                <w:szCs w:val="20"/>
              </w:rPr>
              <w:t xml:space="preserve"> 5.776 </w:t>
            </w:r>
          </w:p>
        </w:tc>
      </w:tr>
    </w:tbl>
    <w:p w14:paraId="5C9A410F" w14:textId="77777777" w:rsidR="00FD5DDF" w:rsidRPr="003D1614" w:rsidRDefault="00FD5DDF" w:rsidP="00843998">
      <w:pPr>
        <w:keepNext/>
        <w:suppressAutoHyphens/>
        <w:autoSpaceDN w:val="0"/>
        <w:jc w:val="both"/>
        <w:outlineLvl w:val="0"/>
        <w:rPr>
          <w:rFonts w:ascii="Arial" w:eastAsia="Times New Roman" w:hAnsi="Arial" w:cs="Arial"/>
          <w:color w:val="000000" w:themeColor="text1"/>
          <w:sz w:val="20"/>
          <w:szCs w:val="20"/>
        </w:rPr>
      </w:pPr>
    </w:p>
    <w:p w14:paraId="61ACCD3E" w14:textId="24BEC580"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Rashodi od kamata prema vrstama obveza:</w:t>
      </w:r>
    </w:p>
    <w:p w14:paraId="45AB8C4D" w14:textId="77777777" w:rsidR="00FD5DDF" w:rsidRPr="003D1614" w:rsidRDefault="00FD5DDF" w:rsidP="00843998">
      <w:pPr>
        <w:keepNext/>
        <w:suppressAutoHyphens/>
        <w:autoSpaceDN w:val="0"/>
        <w:jc w:val="both"/>
        <w:outlineLvl w:val="0"/>
        <w:rPr>
          <w:rFonts w:ascii="Arial" w:eastAsia="Times New Roman" w:hAnsi="Arial" w:cs="Arial"/>
          <w:color w:val="000000" w:themeColor="text1"/>
          <w:sz w:val="20"/>
          <w:szCs w:val="20"/>
        </w:rPr>
      </w:pPr>
    </w:p>
    <w:tbl>
      <w:tblPr>
        <w:tblW w:w="5000" w:type="pct"/>
        <w:tblLayout w:type="fixed"/>
        <w:tblCellMar>
          <w:left w:w="122" w:type="dxa"/>
          <w:right w:w="122" w:type="dxa"/>
        </w:tblCellMar>
        <w:tblLook w:val="0000" w:firstRow="0" w:lastRow="0" w:firstColumn="0" w:lastColumn="0" w:noHBand="0" w:noVBand="0"/>
      </w:tblPr>
      <w:tblGrid>
        <w:gridCol w:w="4129"/>
        <w:gridCol w:w="1236"/>
        <w:gridCol w:w="1237"/>
        <w:gridCol w:w="1236"/>
        <w:gridCol w:w="1234"/>
      </w:tblGrid>
      <w:tr w:rsidR="00843998" w:rsidRPr="003A3244" w14:paraId="4675233B" w14:textId="77777777" w:rsidTr="003A3244">
        <w:trPr>
          <w:trHeight w:val="300"/>
        </w:trPr>
        <w:tc>
          <w:tcPr>
            <w:tcW w:w="2276" w:type="pct"/>
            <w:vAlign w:val="bottom"/>
          </w:tcPr>
          <w:p w14:paraId="3D4ABF9B" w14:textId="77777777" w:rsidR="00843998" w:rsidRPr="003A3244" w:rsidRDefault="00843998" w:rsidP="00843998">
            <w:pPr>
              <w:tabs>
                <w:tab w:val="left" w:pos="-720"/>
              </w:tabs>
              <w:suppressAutoHyphens/>
              <w:autoSpaceDN w:val="0"/>
              <w:jc w:val="right"/>
              <w:rPr>
                <w:rFonts w:ascii="Arial" w:eastAsia="Times New Roman" w:hAnsi="Arial" w:cs="Arial"/>
                <w:color w:val="000000" w:themeColor="text1"/>
                <w:spacing w:val="-3"/>
                <w:sz w:val="20"/>
                <w:szCs w:val="20"/>
              </w:rPr>
            </w:pPr>
            <w:r w:rsidRPr="003A3244">
              <w:rPr>
                <w:rFonts w:ascii="Arial" w:eastAsia="Times New Roman" w:hAnsi="Arial" w:cs="Arial"/>
                <w:color w:val="000000" w:themeColor="text1"/>
                <w:spacing w:val="-3"/>
                <w:sz w:val="20"/>
                <w:szCs w:val="20"/>
              </w:rPr>
              <w:t xml:space="preserve">         </w:t>
            </w:r>
          </w:p>
        </w:tc>
        <w:tc>
          <w:tcPr>
            <w:tcW w:w="1363" w:type="pct"/>
            <w:gridSpan w:val="2"/>
            <w:vAlign w:val="bottom"/>
          </w:tcPr>
          <w:p w14:paraId="77A56F5A" w14:textId="77777777" w:rsidR="00843998" w:rsidRPr="003A324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bookmarkStart w:id="277" w:name="_Toc67327529"/>
            <w:r w:rsidRPr="003A3244">
              <w:rPr>
                <w:rFonts w:ascii="Arial" w:eastAsia="Times New Roman" w:hAnsi="Arial" w:cs="Arial"/>
                <w:b/>
                <w:color w:val="000000" w:themeColor="text1"/>
                <w:sz w:val="20"/>
                <w:szCs w:val="20"/>
              </w:rPr>
              <w:t>Grupa</w:t>
            </w:r>
            <w:bookmarkEnd w:id="277"/>
            <w:r w:rsidRPr="003A3244" w:rsidDel="00833713">
              <w:rPr>
                <w:rFonts w:ascii="Arial" w:eastAsia="Times New Roman" w:hAnsi="Arial" w:cs="Arial"/>
                <w:b/>
                <w:color w:val="000000" w:themeColor="text1"/>
                <w:sz w:val="20"/>
                <w:szCs w:val="20"/>
              </w:rPr>
              <w:t xml:space="preserve"> </w:t>
            </w:r>
          </w:p>
        </w:tc>
        <w:tc>
          <w:tcPr>
            <w:tcW w:w="1361" w:type="pct"/>
            <w:gridSpan w:val="2"/>
            <w:vAlign w:val="bottom"/>
          </w:tcPr>
          <w:p w14:paraId="20ADCBEE" w14:textId="77777777" w:rsidR="00843998" w:rsidRPr="003A324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bookmarkStart w:id="278" w:name="_Toc67327530"/>
            <w:r w:rsidRPr="003A3244">
              <w:rPr>
                <w:rFonts w:ascii="Arial" w:eastAsia="Times New Roman" w:hAnsi="Arial" w:cs="Arial"/>
                <w:b/>
                <w:color w:val="000000" w:themeColor="text1"/>
                <w:sz w:val="20"/>
                <w:szCs w:val="20"/>
              </w:rPr>
              <w:t>Banka</w:t>
            </w:r>
            <w:bookmarkEnd w:id="278"/>
            <w:r w:rsidRPr="003A3244" w:rsidDel="00833713">
              <w:rPr>
                <w:rFonts w:ascii="Arial" w:eastAsia="Times New Roman" w:hAnsi="Arial" w:cs="Arial"/>
                <w:b/>
                <w:color w:val="000000" w:themeColor="text1"/>
                <w:sz w:val="20"/>
                <w:szCs w:val="20"/>
              </w:rPr>
              <w:t xml:space="preserve"> </w:t>
            </w:r>
          </w:p>
        </w:tc>
      </w:tr>
      <w:tr w:rsidR="00843998" w:rsidRPr="003A3244" w14:paraId="6044E8A8" w14:textId="77777777" w:rsidTr="003A3244">
        <w:trPr>
          <w:trHeight w:val="300"/>
        </w:trPr>
        <w:tc>
          <w:tcPr>
            <w:tcW w:w="2276" w:type="pct"/>
            <w:vAlign w:val="bottom"/>
          </w:tcPr>
          <w:p w14:paraId="16D56A00" w14:textId="77777777" w:rsidR="00843998" w:rsidRPr="003A3244" w:rsidRDefault="00843998" w:rsidP="00843998">
            <w:pPr>
              <w:tabs>
                <w:tab w:val="left" w:pos="-720"/>
              </w:tabs>
              <w:suppressAutoHyphens/>
              <w:autoSpaceDN w:val="0"/>
              <w:jc w:val="right"/>
              <w:rPr>
                <w:rFonts w:ascii="Arial" w:eastAsia="Times New Roman" w:hAnsi="Arial" w:cs="Arial"/>
                <w:color w:val="000000" w:themeColor="text1"/>
                <w:spacing w:val="-3"/>
                <w:sz w:val="20"/>
                <w:szCs w:val="20"/>
              </w:rPr>
            </w:pPr>
          </w:p>
        </w:tc>
        <w:tc>
          <w:tcPr>
            <w:tcW w:w="681" w:type="pct"/>
            <w:vAlign w:val="bottom"/>
          </w:tcPr>
          <w:p w14:paraId="7133B858" w14:textId="77777777" w:rsidR="00843998" w:rsidRPr="003A324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3A3244">
              <w:rPr>
                <w:rFonts w:ascii="Arial" w:eastAsia="Times New Roman" w:hAnsi="Arial" w:cs="Arial"/>
                <w:b/>
                <w:color w:val="000000" w:themeColor="text1"/>
                <w:sz w:val="20"/>
                <w:szCs w:val="20"/>
              </w:rPr>
              <w:t>1.1.-31.3.</w:t>
            </w:r>
          </w:p>
          <w:p w14:paraId="14503421" w14:textId="73ABEEFC" w:rsidR="00843998" w:rsidRPr="003A324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3A3244">
              <w:rPr>
                <w:rFonts w:ascii="Arial" w:eastAsia="Times New Roman" w:hAnsi="Arial" w:cs="Arial"/>
                <w:b/>
                <w:color w:val="000000" w:themeColor="text1"/>
                <w:sz w:val="20"/>
                <w:szCs w:val="20"/>
              </w:rPr>
              <w:t>202</w:t>
            </w:r>
            <w:r w:rsidR="006F4EBA">
              <w:rPr>
                <w:rFonts w:ascii="Arial" w:eastAsia="Times New Roman" w:hAnsi="Arial" w:cs="Arial"/>
                <w:b/>
                <w:color w:val="000000" w:themeColor="text1"/>
                <w:sz w:val="20"/>
                <w:szCs w:val="20"/>
              </w:rPr>
              <w:t>4</w:t>
            </w:r>
            <w:r w:rsidRPr="003A3244">
              <w:rPr>
                <w:rFonts w:ascii="Arial" w:eastAsia="Times New Roman" w:hAnsi="Arial" w:cs="Arial"/>
                <w:b/>
                <w:color w:val="000000" w:themeColor="text1"/>
                <w:sz w:val="20"/>
                <w:szCs w:val="20"/>
              </w:rPr>
              <w:t>.</w:t>
            </w:r>
          </w:p>
        </w:tc>
        <w:tc>
          <w:tcPr>
            <w:tcW w:w="682" w:type="pct"/>
            <w:vAlign w:val="bottom"/>
          </w:tcPr>
          <w:p w14:paraId="056C5651" w14:textId="77777777" w:rsidR="00843998" w:rsidRPr="003A324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3A3244">
              <w:rPr>
                <w:rFonts w:ascii="Arial" w:eastAsia="Times New Roman" w:hAnsi="Arial" w:cs="Arial"/>
                <w:b/>
                <w:color w:val="000000" w:themeColor="text1"/>
                <w:sz w:val="20"/>
                <w:szCs w:val="20"/>
              </w:rPr>
              <w:t>1.1.-31.3.</w:t>
            </w:r>
          </w:p>
          <w:p w14:paraId="63EC9D51" w14:textId="763169C7" w:rsidR="00843998" w:rsidRPr="003A324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3A3244">
              <w:rPr>
                <w:rFonts w:ascii="Arial" w:eastAsia="Times New Roman" w:hAnsi="Arial" w:cs="Arial"/>
                <w:b/>
                <w:color w:val="000000" w:themeColor="text1"/>
                <w:sz w:val="20"/>
                <w:szCs w:val="20"/>
              </w:rPr>
              <w:t>202</w:t>
            </w:r>
            <w:r w:rsidR="006F4EBA">
              <w:rPr>
                <w:rFonts w:ascii="Arial" w:eastAsia="Times New Roman" w:hAnsi="Arial" w:cs="Arial"/>
                <w:b/>
                <w:color w:val="000000" w:themeColor="text1"/>
                <w:sz w:val="20"/>
                <w:szCs w:val="20"/>
              </w:rPr>
              <w:t>3</w:t>
            </w:r>
            <w:r w:rsidRPr="003A3244">
              <w:rPr>
                <w:rFonts w:ascii="Arial" w:eastAsia="Times New Roman" w:hAnsi="Arial" w:cs="Arial"/>
                <w:b/>
                <w:color w:val="000000" w:themeColor="text1"/>
                <w:sz w:val="20"/>
                <w:szCs w:val="20"/>
              </w:rPr>
              <w:t>.</w:t>
            </w:r>
          </w:p>
        </w:tc>
        <w:tc>
          <w:tcPr>
            <w:tcW w:w="681" w:type="pct"/>
            <w:vAlign w:val="bottom"/>
          </w:tcPr>
          <w:p w14:paraId="2766D2A9" w14:textId="77777777" w:rsidR="00843998" w:rsidRPr="003A324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3A3244">
              <w:rPr>
                <w:rFonts w:ascii="Arial" w:eastAsia="Times New Roman" w:hAnsi="Arial" w:cs="Arial"/>
                <w:b/>
                <w:color w:val="000000" w:themeColor="text1"/>
                <w:sz w:val="20"/>
                <w:szCs w:val="20"/>
              </w:rPr>
              <w:t>1.1.-31.3.</w:t>
            </w:r>
          </w:p>
          <w:p w14:paraId="075C29A2" w14:textId="5923625B" w:rsidR="00843998" w:rsidRPr="003A324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3A3244">
              <w:rPr>
                <w:rFonts w:ascii="Arial" w:eastAsia="Times New Roman" w:hAnsi="Arial" w:cs="Arial"/>
                <w:b/>
                <w:color w:val="000000" w:themeColor="text1"/>
                <w:sz w:val="20"/>
                <w:szCs w:val="20"/>
              </w:rPr>
              <w:t>202</w:t>
            </w:r>
            <w:r w:rsidR="006F4EBA">
              <w:rPr>
                <w:rFonts w:ascii="Arial" w:eastAsia="Times New Roman" w:hAnsi="Arial" w:cs="Arial"/>
                <w:b/>
                <w:color w:val="000000" w:themeColor="text1"/>
                <w:sz w:val="20"/>
                <w:szCs w:val="20"/>
              </w:rPr>
              <w:t>4</w:t>
            </w:r>
            <w:r w:rsidRPr="003A3244">
              <w:rPr>
                <w:rFonts w:ascii="Arial" w:eastAsia="Times New Roman" w:hAnsi="Arial" w:cs="Arial"/>
                <w:b/>
                <w:color w:val="000000" w:themeColor="text1"/>
                <w:sz w:val="20"/>
                <w:szCs w:val="20"/>
              </w:rPr>
              <w:t>.</w:t>
            </w:r>
          </w:p>
        </w:tc>
        <w:tc>
          <w:tcPr>
            <w:tcW w:w="680" w:type="pct"/>
            <w:vAlign w:val="bottom"/>
          </w:tcPr>
          <w:p w14:paraId="388B60F5" w14:textId="77777777" w:rsidR="00843998" w:rsidRPr="003A324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3A3244">
              <w:rPr>
                <w:rFonts w:ascii="Arial" w:eastAsia="Times New Roman" w:hAnsi="Arial" w:cs="Arial"/>
                <w:b/>
                <w:color w:val="000000" w:themeColor="text1"/>
                <w:sz w:val="20"/>
                <w:szCs w:val="20"/>
              </w:rPr>
              <w:t>1.1.-31.3.</w:t>
            </w:r>
          </w:p>
          <w:p w14:paraId="75B5F355" w14:textId="1B91F027" w:rsidR="00843998" w:rsidRPr="003A324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3A3244">
              <w:rPr>
                <w:rFonts w:ascii="Arial" w:eastAsia="Times New Roman" w:hAnsi="Arial" w:cs="Arial"/>
                <w:b/>
                <w:color w:val="000000" w:themeColor="text1"/>
                <w:sz w:val="20"/>
                <w:szCs w:val="20"/>
              </w:rPr>
              <w:t>202</w:t>
            </w:r>
            <w:r w:rsidR="006F4EBA">
              <w:rPr>
                <w:rFonts w:ascii="Arial" w:eastAsia="Times New Roman" w:hAnsi="Arial" w:cs="Arial"/>
                <w:b/>
                <w:color w:val="000000" w:themeColor="text1"/>
                <w:sz w:val="20"/>
                <w:szCs w:val="20"/>
              </w:rPr>
              <w:t>3</w:t>
            </w:r>
            <w:r w:rsidRPr="003A3244">
              <w:rPr>
                <w:rFonts w:ascii="Arial" w:eastAsia="Times New Roman" w:hAnsi="Arial" w:cs="Arial"/>
                <w:b/>
                <w:color w:val="000000" w:themeColor="text1"/>
                <w:sz w:val="20"/>
                <w:szCs w:val="20"/>
              </w:rPr>
              <w:t>.</w:t>
            </w:r>
          </w:p>
        </w:tc>
      </w:tr>
      <w:tr w:rsidR="00843998" w:rsidRPr="003A3244" w14:paraId="518608AC" w14:textId="77777777" w:rsidTr="003A3244">
        <w:tblPrEx>
          <w:tblCellMar>
            <w:left w:w="108" w:type="dxa"/>
            <w:right w:w="108" w:type="dxa"/>
          </w:tblCellMar>
        </w:tblPrEx>
        <w:trPr>
          <w:trHeight w:val="187"/>
        </w:trPr>
        <w:tc>
          <w:tcPr>
            <w:tcW w:w="2276" w:type="pct"/>
            <w:vAlign w:val="bottom"/>
          </w:tcPr>
          <w:p w14:paraId="4E9E5AB5" w14:textId="77777777" w:rsidR="00843998" w:rsidRPr="003A3244" w:rsidRDefault="00843998" w:rsidP="00843998">
            <w:pPr>
              <w:tabs>
                <w:tab w:val="left" w:pos="-720"/>
              </w:tabs>
              <w:suppressAutoHyphens/>
              <w:autoSpaceDN w:val="0"/>
              <w:ind w:right="4144"/>
              <w:jc w:val="right"/>
              <w:rPr>
                <w:rFonts w:ascii="Arial" w:eastAsia="Times New Roman" w:hAnsi="Arial" w:cs="Arial"/>
                <w:color w:val="000000" w:themeColor="text1"/>
                <w:sz w:val="20"/>
                <w:szCs w:val="20"/>
              </w:rPr>
            </w:pPr>
          </w:p>
        </w:tc>
        <w:tc>
          <w:tcPr>
            <w:tcW w:w="681" w:type="pct"/>
            <w:vAlign w:val="bottom"/>
          </w:tcPr>
          <w:p w14:paraId="2C0ABE40" w14:textId="75F26B54" w:rsidR="00843998" w:rsidRPr="003A324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3A3244">
              <w:rPr>
                <w:rFonts w:ascii="Arial" w:eastAsia="Times New Roman" w:hAnsi="Arial" w:cs="Arial"/>
                <w:b/>
                <w:color w:val="000000" w:themeColor="text1"/>
                <w:sz w:val="20"/>
                <w:szCs w:val="20"/>
              </w:rPr>
              <w:t>000 eura</w:t>
            </w:r>
          </w:p>
        </w:tc>
        <w:tc>
          <w:tcPr>
            <w:tcW w:w="682" w:type="pct"/>
            <w:vAlign w:val="bottom"/>
          </w:tcPr>
          <w:p w14:paraId="333177B1" w14:textId="29BC3DA1" w:rsidR="00843998" w:rsidRPr="003A324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3A3244">
              <w:rPr>
                <w:rFonts w:ascii="Arial" w:eastAsia="Times New Roman" w:hAnsi="Arial" w:cs="Arial"/>
                <w:b/>
                <w:color w:val="000000" w:themeColor="text1"/>
                <w:sz w:val="20"/>
                <w:szCs w:val="20"/>
              </w:rPr>
              <w:t>000 eura</w:t>
            </w:r>
          </w:p>
        </w:tc>
        <w:tc>
          <w:tcPr>
            <w:tcW w:w="681" w:type="pct"/>
            <w:vAlign w:val="bottom"/>
          </w:tcPr>
          <w:p w14:paraId="0BC97DFF" w14:textId="323D446F" w:rsidR="00843998" w:rsidRPr="003A324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3A3244">
              <w:rPr>
                <w:rFonts w:ascii="Arial" w:eastAsia="Times New Roman" w:hAnsi="Arial" w:cs="Arial"/>
                <w:b/>
                <w:color w:val="000000" w:themeColor="text1"/>
                <w:sz w:val="20"/>
                <w:szCs w:val="20"/>
              </w:rPr>
              <w:t>000 eura</w:t>
            </w:r>
          </w:p>
        </w:tc>
        <w:tc>
          <w:tcPr>
            <w:tcW w:w="680" w:type="pct"/>
            <w:vAlign w:val="bottom"/>
          </w:tcPr>
          <w:p w14:paraId="4BF3580F" w14:textId="3E1251D8" w:rsidR="00843998" w:rsidRPr="003A3244"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3A3244">
              <w:rPr>
                <w:rFonts w:ascii="Arial" w:eastAsia="Times New Roman" w:hAnsi="Arial" w:cs="Arial"/>
                <w:b/>
                <w:color w:val="000000" w:themeColor="text1"/>
                <w:sz w:val="20"/>
                <w:szCs w:val="20"/>
              </w:rPr>
              <w:t>000 eura</w:t>
            </w:r>
          </w:p>
        </w:tc>
      </w:tr>
      <w:tr w:rsidR="00843998" w:rsidRPr="003A3244" w14:paraId="391686B6" w14:textId="77777777" w:rsidTr="003A3244">
        <w:trPr>
          <w:trHeight w:val="74"/>
        </w:trPr>
        <w:tc>
          <w:tcPr>
            <w:tcW w:w="2276" w:type="pct"/>
            <w:vAlign w:val="bottom"/>
          </w:tcPr>
          <w:p w14:paraId="1E07846E" w14:textId="77777777" w:rsidR="00843998" w:rsidRPr="003A3244" w:rsidRDefault="00843998" w:rsidP="00843998">
            <w:pPr>
              <w:tabs>
                <w:tab w:val="left" w:pos="-720"/>
              </w:tabs>
              <w:suppressAutoHyphens/>
              <w:autoSpaceDN w:val="0"/>
              <w:rPr>
                <w:rFonts w:ascii="Arial" w:eastAsia="Times New Roman" w:hAnsi="Arial" w:cs="Arial"/>
                <w:b/>
                <w:color w:val="000000" w:themeColor="text1"/>
                <w:spacing w:val="-3"/>
                <w:sz w:val="20"/>
                <w:szCs w:val="20"/>
              </w:rPr>
            </w:pPr>
          </w:p>
        </w:tc>
        <w:tc>
          <w:tcPr>
            <w:tcW w:w="681" w:type="pct"/>
            <w:vAlign w:val="bottom"/>
          </w:tcPr>
          <w:p w14:paraId="2170308D" w14:textId="77777777" w:rsidR="00843998" w:rsidRPr="003A3244" w:rsidRDefault="00843998" w:rsidP="00843998">
            <w:pPr>
              <w:tabs>
                <w:tab w:val="left" w:pos="-720"/>
              </w:tabs>
              <w:suppressAutoHyphens/>
              <w:autoSpaceDN w:val="0"/>
              <w:jc w:val="right"/>
              <w:rPr>
                <w:rFonts w:ascii="Arial" w:eastAsia="Times New Roman" w:hAnsi="Arial" w:cs="Arial"/>
                <w:b/>
                <w:color w:val="000000" w:themeColor="text1"/>
                <w:spacing w:val="-3"/>
                <w:sz w:val="20"/>
                <w:szCs w:val="20"/>
              </w:rPr>
            </w:pPr>
          </w:p>
        </w:tc>
        <w:tc>
          <w:tcPr>
            <w:tcW w:w="682" w:type="pct"/>
            <w:vAlign w:val="bottom"/>
          </w:tcPr>
          <w:p w14:paraId="68035ABA" w14:textId="77777777" w:rsidR="00843998" w:rsidRPr="003A3244" w:rsidRDefault="00843998" w:rsidP="00843998">
            <w:pPr>
              <w:tabs>
                <w:tab w:val="left" w:pos="-720"/>
              </w:tabs>
              <w:suppressAutoHyphens/>
              <w:autoSpaceDN w:val="0"/>
              <w:jc w:val="right"/>
              <w:rPr>
                <w:rFonts w:ascii="Arial" w:eastAsia="Times New Roman" w:hAnsi="Arial" w:cs="Arial"/>
                <w:b/>
                <w:color w:val="000000" w:themeColor="text1"/>
                <w:spacing w:val="-3"/>
                <w:sz w:val="20"/>
                <w:szCs w:val="20"/>
              </w:rPr>
            </w:pPr>
          </w:p>
        </w:tc>
        <w:tc>
          <w:tcPr>
            <w:tcW w:w="681" w:type="pct"/>
            <w:vAlign w:val="bottom"/>
          </w:tcPr>
          <w:p w14:paraId="63BC72AD" w14:textId="77777777" w:rsidR="00843998" w:rsidRPr="003A3244" w:rsidRDefault="00843998" w:rsidP="00843998">
            <w:pPr>
              <w:tabs>
                <w:tab w:val="left" w:pos="-720"/>
              </w:tabs>
              <w:suppressAutoHyphens/>
              <w:autoSpaceDN w:val="0"/>
              <w:jc w:val="right"/>
              <w:rPr>
                <w:rFonts w:ascii="Arial" w:eastAsia="Times New Roman" w:hAnsi="Arial" w:cs="Arial"/>
                <w:b/>
                <w:color w:val="000000" w:themeColor="text1"/>
                <w:spacing w:val="-3"/>
                <w:sz w:val="20"/>
                <w:szCs w:val="20"/>
              </w:rPr>
            </w:pPr>
          </w:p>
        </w:tc>
        <w:tc>
          <w:tcPr>
            <w:tcW w:w="680" w:type="pct"/>
            <w:vAlign w:val="bottom"/>
          </w:tcPr>
          <w:p w14:paraId="4F884045" w14:textId="77777777" w:rsidR="00843998" w:rsidRPr="003A3244" w:rsidRDefault="00843998" w:rsidP="00843998">
            <w:pPr>
              <w:tabs>
                <w:tab w:val="left" w:pos="-720"/>
              </w:tabs>
              <w:suppressAutoHyphens/>
              <w:autoSpaceDN w:val="0"/>
              <w:jc w:val="right"/>
              <w:rPr>
                <w:rFonts w:ascii="Arial" w:eastAsia="Times New Roman" w:hAnsi="Arial" w:cs="Arial"/>
                <w:b/>
                <w:color w:val="000000" w:themeColor="text1"/>
                <w:spacing w:val="-3"/>
                <w:sz w:val="20"/>
                <w:szCs w:val="20"/>
              </w:rPr>
            </w:pPr>
          </w:p>
        </w:tc>
      </w:tr>
      <w:tr w:rsidR="00041126" w:rsidRPr="003A3244" w14:paraId="6BDEFBD9" w14:textId="77777777" w:rsidTr="005D1219">
        <w:trPr>
          <w:trHeight w:hRule="exact" w:val="284"/>
        </w:trPr>
        <w:tc>
          <w:tcPr>
            <w:tcW w:w="2276" w:type="pct"/>
            <w:vAlign w:val="bottom"/>
          </w:tcPr>
          <w:p w14:paraId="303AC052" w14:textId="77777777" w:rsidR="00041126" w:rsidRPr="003A3244" w:rsidRDefault="00041126" w:rsidP="00041126">
            <w:pPr>
              <w:tabs>
                <w:tab w:val="right" w:pos="1202"/>
              </w:tabs>
              <w:suppressAutoHyphens/>
              <w:autoSpaceDN w:val="0"/>
              <w:outlineLvl w:val="0"/>
              <w:rPr>
                <w:rFonts w:ascii="Arial" w:eastAsia="Times New Roman" w:hAnsi="Arial" w:cs="Arial"/>
                <w:b/>
                <w:color w:val="000000" w:themeColor="text1"/>
                <w:sz w:val="20"/>
                <w:szCs w:val="20"/>
              </w:rPr>
            </w:pPr>
            <w:bookmarkStart w:id="279" w:name="_Toc67327539"/>
            <w:r w:rsidRPr="003A3244">
              <w:rPr>
                <w:rFonts w:ascii="Arial" w:eastAsia="Times New Roman" w:hAnsi="Arial" w:cs="Arial"/>
                <w:color w:val="000000" w:themeColor="text1"/>
                <w:sz w:val="20"/>
                <w:szCs w:val="20"/>
              </w:rPr>
              <w:t>Obveze po kreditima</w:t>
            </w:r>
            <w:bookmarkEnd w:id="279"/>
            <w:r w:rsidRPr="003A3244">
              <w:rPr>
                <w:rFonts w:ascii="Arial" w:eastAsia="Times New Roman" w:hAnsi="Arial" w:cs="Arial"/>
                <w:color w:val="000000" w:themeColor="text1"/>
                <w:sz w:val="20"/>
                <w:szCs w:val="20"/>
              </w:rPr>
              <w:t xml:space="preserve"> </w:t>
            </w:r>
          </w:p>
        </w:tc>
        <w:tc>
          <w:tcPr>
            <w:tcW w:w="681" w:type="pct"/>
            <w:tcBorders>
              <w:top w:val="nil"/>
              <w:left w:val="nil"/>
              <w:bottom w:val="nil"/>
              <w:right w:val="nil"/>
            </w:tcBorders>
            <w:shd w:val="clear" w:color="auto" w:fill="auto"/>
            <w:vAlign w:val="bottom"/>
          </w:tcPr>
          <w:p w14:paraId="58F0D936" w14:textId="4F936BC6" w:rsidR="00041126" w:rsidRPr="003A3244" w:rsidRDefault="00041126" w:rsidP="00041126">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9.751</w:t>
            </w:r>
          </w:p>
        </w:tc>
        <w:tc>
          <w:tcPr>
            <w:tcW w:w="682" w:type="pct"/>
            <w:tcBorders>
              <w:top w:val="nil"/>
              <w:left w:val="nil"/>
              <w:bottom w:val="nil"/>
              <w:right w:val="nil"/>
            </w:tcBorders>
            <w:shd w:val="clear" w:color="auto" w:fill="auto"/>
            <w:vAlign w:val="bottom"/>
          </w:tcPr>
          <w:p w14:paraId="2AC9DB23" w14:textId="16A85FC5" w:rsidR="00041126" w:rsidRPr="003A3244" w:rsidRDefault="00041126" w:rsidP="00041126">
            <w:pPr>
              <w:tabs>
                <w:tab w:val="right" w:pos="1202"/>
              </w:tabs>
              <w:suppressAutoHyphens/>
              <w:autoSpaceDN w:val="0"/>
              <w:ind w:left="65"/>
              <w:jc w:val="right"/>
              <w:outlineLvl w:val="0"/>
              <w:rPr>
                <w:rFonts w:ascii="Arial" w:eastAsia="Times New Roman" w:hAnsi="Arial" w:cs="Arial"/>
                <w:color w:val="000000" w:themeColor="text1"/>
                <w:sz w:val="20"/>
                <w:szCs w:val="20"/>
              </w:rPr>
            </w:pPr>
            <w:r w:rsidRPr="003A3244">
              <w:rPr>
                <w:rFonts w:ascii="Arial" w:hAnsi="Arial" w:cs="Arial"/>
                <w:sz w:val="20"/>
                <w:szCs w:val="20"/>
              </w:rPr>
              <w:t xml:space="preserve"> 5.732 </w:t>
            </w:r>
          </w:p>
        </w:tc>
        <w:tc>
          <w:tcPr>
            <w:tcW w:w="681" w:type="pct"/>
            <w:tcBorders>
              <w:top w:val="nil"/>
              <w:left w:val="nil"/>
              <w:bottom w:val="nil"/>
              <w:right w:val="nil"/>
            </w:tcBorders>
            <w:shd w:val="clear" w:color="auto" w:fill="auto"/>
            <w:vAlign w:val="bottom"/>
          </w:tcPr>
          <w:p w14:paraId="1CE8A47C" w14:textId="3D047843" w:rsidR="00041126" w:rsidRPr="003A3244" w:rsidRDefault="00041126" w:rsidP="00041126">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9.751</w:t>
            </w:r>
          </w:p>
        </w:tc>
        <w:tc>
          <w:tcPr>
            <w:tcW w:w="680" w:type="pct"/>
            <w:tcBorders>
              <w:top w:val="nil"/>
              <w:left w:val="nil"/>
              <w:bottom w:val="nil"/>
              <w:right w:val="nil"/>
            </w:tcBorders>
            <w:shd w:val="clear" w:color="auto" w:fill="auto"/>
            <w:vAlign w:val="bottom"/>
          </w:tcPr>
          <w:p w14:paraId="23FAE990" w14:textId="4997D761" w:rsidR="00041126" w:rsidRPr="003A3244" w:rsidRDefault="00041126" w:rsidP="00041126">
            <w:pPr>
              <w:tabs>
                <w:tab w:val="right" w:pos="1202"/>
              </w:tabs>
              <w:suppressAutoHyphens/>
              <w:autoSpaceDN w:val="0"/>
              <w:jc w:val="right"/>
              <w:outlineLvl w:val="0"/>
              <w:rPr>
                <w:rFonts w:ascii="Arial" w:eastAsia="Times New Roman" w:hAnsi="Arial" w:cs="Arial"/>
                <w:color w:val="000000" w:themeColor="text1"/>
                <w:sz w:val="20"/>
                <w:szCs w:val="20"/>
              </w:rPr>
            </w:pPr>
            <w:r w:rsidRPr="003A3244">
              <w:rPr>
                <w:rFonts w:ascii="Arial" w:hAnsi="Arial" w:cs="Arial"/>
                <w:sz w:val="20"/>
                <w:szCs w:val="20"/>
              </w:rPr>
              <w:t xml:space="preserve"> 5.732 </w:t>
            </w:r>
          </w:p>
        </w:tc>
      </w:tr>
      <w:tr w:rsidR="00041126" w:rsidRPr="003A3244" w14:paraId="3A4FF175" w14:textId="77777777" w:rsidTr="005D1219">
        <w:trPr>
          <w:trHeight w:hRule="exact" w:val="284"/>
        </w:trPr>
        <w:tc>
          <w:tcPr>
            <w:tcW w:w="2276" w:type="pct"/>
            <w:vAlign w:val="bottom"/>
          </w:tcPr>
          <w:p w14:paraId="7500F86C" w14:textId="77777777" w:rsidR="00041126" w:rsidRPr="003A3244" w:rsidRDefault="00041126" w:rsidP="00041126">
            <w:pPr>
              <w:tabs>
                <w:tab w:val="right" w:pos="1202"/>
              </w:tabs>
              <w:suppressAutoHyphens/>
              <w:autoSpaceDN w:val="0"/>
              <w:outlineLvl w:val="0"/>
              <w:rPr>
                <w:rFonts w:ascii="Arial" w:eastAsia="Times New Roman" w:hAnsi="Arial" w:cs="Arial"/>
                <w:color w:val="000000" w:themeColor="text1"/>
                <w:sz w:val="20"/>
                <w:szCs w:val="20"/>
              </w:rPr>
            </w:pPr>
            <w:bookmarkStart w:id="280" w:name="_Toc67327549"/>
            <w:r w:rsidRPr="003A3244">
              <w:rPr>
                <w:rFonts w:ascii="Arial" w:eastAsia="Times New Roman" w:hAnsi="Arial" w:cs="Arial"/>
                <w:color w:val="000000" w:themeColor="text1"/>
                <w:sz w:val="20"/>
                <w:szCs w:val="20"/>
              </w:rPr>
              <w:t>Depoziti</w:t>
            </w:r>
            <w:bookmarkEnd w:id="280"/>
          </w:p>
        </w:tc>
        <w:tc>
          <w:tcPr>
            <w:tcW w:w="681" w:type="pct"/>
            <w:tcBorders>
              <w:top w:val="nil"/>
              <w:left w:val="nil"/>
              <w:bottom w:val="nil"/>
              <w:right w:val="nil"/>
            </w:tcBorders>
            <w:shd w:val="clear" w:color="auto" w:fill="auto"/>
            <w:vAlign w:val="bottom"/>
          </w:tcPr>
          <w:p w14:paraId="41474D22" w14:textId="659A715B" w:rsidR="00041126" w:rsidRPr="003A3244" w:rsidRDefault="00041126" w:rsidP="00041126">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312</w:t>
            </w:r>
          </w:p>
        </w:tc>
        <w:tc>
          <w:tcPr>
            <w:tcW w:w="682" w:type="pct"/>
            <w:tcBorders>
              <w:top w:val="nil"/>
              <w:left w:val="nil"/>
              <w:bottom w:val="nil"/>
              <w:right w:val="nil"/>
            </w:tcBorders>
            <w:shd w:val="clear" w:color="auto" w:fill="auto"/>
            <w:vAlign w:val="bottom"/>
          </w:tcPr>
          <w:p w14:paraId="6766DB9A" w14:textId="589184B8" w:rsidR="00041126" w:rsidRPr="003A3244" w:rsidRDefault="00041126" w:rsidP="00041126">
            <w:pPr>
              <w:tabs>
                <w:tab w:val="right" w:pos="1202"/>
              </w:tabs>
              <w:suppressAutoHyphens/>
              <w:autoSpaceDN w:val="0"/>
              <w:jc w:val="right"/>
              <w:outlineLvl w:val="0"/>
              <w:rPr>
                <w:rFonts w:ascii="Arial" w:eastAsia="Times New Roman" w:hAnsi="Arial" w:cs="Arial"/>
                <w:color w:val="000000" w:themeColor="text1"/>
                <w:sz w:val="20"/>
                <w:szCs w:val="20"/>
              </w:rPr>
            </w:pPr>
            <w:r w:rsidRPr="003A3244">
              <w:rPr>
                <w:rFonts w:ascii="Arial" w:hAnsi="Arial" w:cs="Arial"/>
                <w:sz w:val="20"/>
                <w:szCs w:val="20"/>
              </w:rPr>
              <w:t xml:space="preserve"> 41 </w:t>
            </w:r>
          </w:p>
        </w:tc>
        <w:tc>
          <w:tcPr>
            <w:tcW w:w="681" w:type="pct"/>
            <w:tcBorders>
              <w:top w:val="nil"/>
              <w:left w:val="nil"/>
              <w:bottom w:val="nil"/>
              <w:right w:val="nil"/>
            </w:tcBorders>
            <w:shd w:val="clear" w:color="auto" w:fill="auto"/>
            <w:vAlign w:val="bottom"/>
          </w:tcPr>
          <w:p w14:paraId="7003A35F" w14:textId="36EA6FF3" w:rsidR="00041126" w:rsidRPr="003A3244" w:rsidRDefault="00041126" w:rsidP="00041126">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312</w:t>
            </w:r>
          </w:p>
        </w:tc>
        <w:tc>
          <w:tcPr>
            <w:tcW w:w="680" w:type="pct"/>
            <w:tcBorders>
              <w:top w:val="nil"/>
              <w:left w:val="nil"/>
              <w:bottom w:val="nil"/>
              <w:right w:val="nil"/>
            </w:tcBorders>
            <w:shd w:val="clear" w:color="auto" w:fill="auto"/>
            <w:vAlign w:val="bottom"/>
          </w:tcPr>
          <w:p w14:paraId="569F5A16" w14:textId="02082B23" w:rsidR="00041126" w:rsidRPr="003A3244" w:rsidRDefault="00041126" w:rsidP="00041126">
            <w:pPr>
              <w:tabs>
                <w:tab w:val="right" w:pos="1202"/>
              </w:tabs>
              <w:suppressAutoHyphens/>
              <w:autoSpaceDN w:val="0"/>
              <w:jc w:val="right"/>
              <w:outlineLvl w:val="0"/>
              <w:rPr>
                <w:rFonts w:ascii="Arial" w:eastAsia="Times New Roman" w:hAnsi="Arial" w:cs="Arial"/>
                <w:color w:val="000000" w:themeColor="text1"/>
                <w:sz w:val="20"/>
                <w:szCs w:val="20"/>
              </w:rPr>
            </w:pPr>
            <w:r w:rsidRPr="003A3244">
              <w:rPr>
                <w:rFonts w:ascii="Arial" w:hAnsi="Arial" w:cs="Arial"/>
                <w:sz w:val="20"/>
                <w:szCs w:val="20"/>
              </w:rPr>
              <w:t xml:space="preserve"> 41 </w:t>
            </w:r>
          </w:p>
        </w:tc>
      </w:tr>
      <w:tr w:rsidR="00041126" w:rsidRPr="003A3244" w14:paraId="085DE0E0" w14:textId="77777777" w:rsidTr="005D1219">
        <w:trPr>
          <w:trHeight w:hRule="exact" w:val="559"/>
        </w:trPr>
        <w:tc>
          <w:tcPr>
            <w:tcW w:w="2276" w:type="pct"/>
            <w:vAlign w:val="bottom"/>
          </w:tcPr>
          <w:p w14:paraId="27EEEBD3" w14:textId="77777777" w:rsidR="00041126" w:rsidRPr="003A3244" w:rsidRDefault="00041126" w:rsidP="00041126">
            <w:pPr>
              <w:tabs>
                <w:tab w:val="right" w:pos="1202"/>
              </w:tabs>
              <w:suppressAutoHyphens/>
              <w:autoSpaceDN w:val="0"/>
              <w:outlineLvl w:val="0"/>
              <w:rPr>
                <w:rFonts w:ascii="Arial" w:eastAsia="Times New Roman" w:hAnsi="Arial" w:cs="Arial"/>
                <w:color w:val="000000" w:themeColor="text1"/>
                <w:sz w:val="20"/>
                <w:szCs w:val="20"/>
              </w:rPr>
            </w:pPr>
            <w:bookmarkStart w:id="281" w:name="_Toc67327554"/>
            <w:r w:rsidRPr="003A3244">
              <w:rPr>
                <w:rFonts w:ascii="Arial" w:eastAsia="Times New Roman" w:hAnsi="Arial" w:cs="Arial"/>
                <w:color w:val="000000" w:themeColor="text1"/>
                <w:sz w:val="20"/>
                <w:szCs w:val="20"/>
              </w:rPr>
              <w:t>Najmovi – kamatni troškovi na dugoročne ugovore</w:t>
            </w:r>
            <w:bookmarkEnd w:id="281"/>
          </w:p>
        </w:tc>
        <w:tc>
          <w:tcPr>
            <w:tcW w:w="681" w:type="pct"/>
            <w:tcBorders>
              <w:top w:val="nil"/>
              <w:left w:val="nil"/>
              <w:bottom w:val="nil"/>
              <w:right w:val="nil"/>
            </w:tcBorders>
            <w:shd w:val="clear" w:color="auto" w:fill="auto"/>
            <w:vAlign w:val="bottom"/>
          </w:tcPr>
          <w:p w14:paraId="13D9BAB9" w14:textId="0CA73F70" w:rsidR="00041126" w:rsidRPr="003A3244" w:rsidDel="00D241F2" w:rsidRDefault="00041126" w:rsidP="00041126">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w:t>
            </w:r>
          </w:p>
        </w:tc>
        <w:tc>
          <w:tcPr>
            <w:tcW w:w="682" w:type="pct"/>
            <w:tcBorders>
              <w:top w:val="nil"/>
              <w:left w:val="nil"/>
              <w:bottom w:val="nil"/>
              <w:right w:val="nil"/>
            </w:tcBorders>
            <w:shd w:val="clear" w:color="auto" w:fill="auto"/>
            <w:vAlign w:val="bottom"/>
          </w:tcPr>
          <w:p w14:paraId="22DD001C" w14:textId="6D25B028" w:rsidR="00041126" w:rsidRPr="003A3244" w:rsidRDefault="00041126" w:rsidP="00041126">
            <w:pPr>
              <w:tabs>
                <w:tab w:val="right" w:pos="1202"/>
              </w:tabs>
              <w:suppressAutoHyphens/>
              <w:autoSpaceDN w:val="0"/>
              <w:jc w:val="right"/>
              <w:outlineLvl w:val="0"/>
              <w:rPr>
                <w:rFonts w:ascii="Arial" w:eastAsia="Times New Roman" w:hAnsi="Arial" w:cs="Arial"/>
                <w:color w:val="000000" w:themeColor="text1"/>
                <w:sz w:val="20"/>
                <w:szCs w:val="20"/>
              </w:rPr>
            </w:pPr>
            <w:r w:rsidRPr="003A3244">
              <w:rPr>
                <w:rFonts w:ascii="Arial" w:hAnsi="Arial" w:cs="Arial"/>
                <w:sz w:val="20"/>
                <w:szCs w:val="20"/>
              </w:rPr>
              <w:t xml:space="preserve"> 3 </w:t>
            </w:r>
          </w:p>
        </w:tc>
        <w:tc>
          <w:tcPr>
            <w:tcW w:w="681" w:type="pct"/>
            <w:tcBorders>
              <w:top w:val="nil"/>
              <w:left w:val="nil"/>
              <w:bottom w:val="nil"/>
              <w:right w:val="nil"/>
            </w:tcBorders>
            <w:shd w:val="clear" w:color="auto" w:fill="auto"/>
            <w:vAlign w:val="bottom"/>
          </w:tcPr>
          <w:p w14:paraId="1359EECB" w14:textId="05268DC5" w:rsidR="00041126" w:rsidRPr="003A3244" w:rsidDel="00D241F2" w:rsidRDefault="00041126" w:rsidP="00041126">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w:t>
            </w:r>
          </w:p>
        </w:tc>
        <w:tc>
          <w:tcPr>
            <w:tcW w:w="680" w:type="pct"/>
            <w:tcBorders>
              <w:top w:val="nil"/>
              <w:left w:val="nil"/>
              <w:bottom w:val="nil"/>
              <w:right w:val="nil"/>
            </w:tcBorders>
            <w:shd w:val="clear" w:color="auto" w:fill="auto"/>
            <w:vAlign w:val="bottom"/>
          </w:tcPr>
          <w:p w14:paraId="7C2A9332" w14:textId="511DC5EC" w:rsidR="00041126" w:rsidRPr="003A3244" w:rsidRDefault="00041126" w:rsidP="00041126">
            <w:pPr>
              <w:tabs>
                <w:tab w:val="right" w:pos="1202"/>
              </w:tabs>
              <w:suppressAutoHyphens/>
              <w:autoSpaceDN w:val="0"/>
              <w:jc w:val="right"/>
              <w:outlineLvl w:val="0"/>
              <w:rPr>
                <w:rFonts w:ascii="Arial" w:eastAsia="Times New Roman" w:hAnsi="Arial" w:cs="Arial"/>
                <w:color w:val="000000" w:themeColor="text1"/>
                <w:sz w:val="20"/>
                <w:szCs w:val="20"/>
              </w:rPr>
            </w:pPr>
            <w:r w:rsidRPr="003A3244">
              <w:rPr>
                <w:rFonts w:ascii="Arial" w:hAnsi="Arial" w:cs="Arial"/>
                <w:sz w:val="20"/>
                <w:szCs w:val="20"/>
              </w:rPr>
              <w:t xml:space="preserve"> 3 </w:t>
            </w:r>
          </w:p>
        </w:tc>
      </w:tr>
      <w:tr w:rsidR="00041126" w:rsidRPr="003A3244" w14:paraId="48BA0810" w14:textId="77777777" w:rsidTr="005D1219">
        <w:trPr>
          <w:trHeight w:hRule="exact" w:val="340"/>
        </w:trPr>
        <w:tc>
          <w:tcPr>
            <w:tcW w:w="2276" w:type="pct"/>
            <w:vAlign w:val="bottom"/>
          </w:tcPr>
          <w:p w14:paraId="1488A0A8" w14:textId="77777777" w:rsidR="00041126" w:rsidRPr="003A3244" w:rsidRDefault="00041126" w:rsidP="00041126">
            <w:pPr>
              <w:tabs>
                <w:tab w:val="right" w:pos="1202"/>
              </w:tabs>
              <w:suppressAutoHyphens/>
              <w:autoSpaceDN w:val="0"/>
              <w:outlineLvl w:val="0"/>
              <w:rPr>
                <w:rFonts w:ascii="Arial" w:eastAsia="Times New Roman" w:hAnsi="Arial" w:cs="Arial"/>
                <w:b/>
                <w:bCs/>
                <w:color w:val="000000" w:themeColor="text1"/>
                <w:sz w:val="20"/>
                <w:szCs w:val="20"/>
              </w:rPr>
            </w:pPr>
          </w:p>
        </w:tc>
        <w:tc>
          <w:tcPr>
            <w:tcW w:w="681" w:type="pct"/>
            <w:tcBorders>
              <w:top w:val="single" w:sz="4" w:space="0" w:color="auto"/>
              <w:bottom w:val="single" w:sz="12" w:space="0" w:color="auto"/>
            </w:tcBorders>
            <w:vAlign w:val="bottom"/>
          </w:tcPr>
          <w:p w14:paraId="5888181C" w14:textId="46518F69" w:rsidR="00041126" w:rsidRPr="003A3244" w:rsidRDefault="00041126" w:rsidP="00041126">
            <w:pPr>
              <w:tabs>
                <w:tab w:val="right" w:pos="1202"/>
              </w:tabs>
              <w:suppressAutoHyphens/>
              <w:autoSpaceDN w:val="0"/>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10.076</w:t>
            </w:r>
          </w:p>
        </w:tc>
        <w:tc>
          <w:tcPr>
            <w:tcW w:w="682" w:type="pct"/>
            <w:tcBorders>
              <w:top w:val="single" w:sz="4" w:space="0" w:color="auto"/>
              <w:bottom w:val="single" w:sz="12" w:space="0" w:color="auto"/>
            </w:tcBorders>
            <w:vAlign w:val="bottom"/>
          </w:tcPr>
          <w:p w14:paraId="7811C428" w14:textId="24197677" w:rsidR="00041126" w:rsidRPr="003A3244" w:rsidRDefault="00041126" w:rsidP="00041126">
            <w:pPr>
              <w:tabs>
                <w:tab w:val="right" w:pos="1202"/>
              </w:tabs>
              <w:suppressAutoHyphens/>
              <w:autoSpaceDN w:val="0"/>
              <w:jc w:val="right"/>
              <w:outlineLvl w:val="0"/>
              <w:rPr>
                <w:rFonts w:ascii="Arial" w:eastAsia="Times New Roman" w:hAnsi="Arial" w:cs="Arial"/>
                <w:b/>
                <w:bCs/>
                <w:color w:val="000000" w:themeColor="text1"/>
                <w:sz w:val="20"/>
                <w:szCs w:val="20"/>
              </w:rPr>
            </w:pPr>
            <w:r w:rsidRPr="003A3244">
              <w:rPr>
                <w:rFonts w:ascii="Arial" w:hAnsi="Arial" w:cs="Arial"/>
                <w:b/>
                <w:bCs/>
                <w:sz w:val="20"/>
                <w:szCs w:val="20"/>
              </w:rPr>
              <w:t xml:space="preserve"> 5.776 </w:t>
            </w:r>
          </w:p>
        </w:tc>
        <w:tc>
          <w:tcPr>
            <w:tcW w:w="681" w:type="pct"/>
            <w:tcBorders>
              <w:top w:val="single" w:sz="4" w:space="0" w:color="auto"/>
              <w:bottom w:val="single" w:sz="12" w:space="0" w:color="auto"/>
            </w:tcBorders>
            <w:vAlign w:val="bottom"/>
          </w:tcPr>
          <w:p w14:paraId="5C9F3880" w14:textId="38D317F9" w:rsidR="00041126" w:rsidRPr="003A3244" w:rsidRDefault="00041126" w:rsidP="00041126">
            <w:pPr>
              <w:tabs>
                <w:tab w:val="right" w:pos="1202"/>
              </w:tabs>
              <w:suppressAutoHyphens/>
              <w:autoSpaceDN w:val="0"/>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10.074</w:t>
            </w:r>
          </w:p>
        </w:tc>
        <w:tc>
          <w:tcPr>
            <w:tcW w:w="680" w:type="pct"/>
            <w:tcBorders>
              <w:top w:val="single" w:sz="4" w:space="0" w:color="auto"/>
              <w:bottom w:val="single" w:sz="12" w:space="0" w:color="auto"/>
            </w:tcBorders>
            <w:vAlign w:val="bottom"/>
          </w:tcPr>
          <w:p w14:paraId="63477E02" w14:textId="7D87DD82" w:rsidR="00041126" w:rsidRPr="003A3244" w:rsidRDefault="00041126" w:rsidP="00041126">
            <w:pPr>
              <w:tabs>
                <w:tab w:val="right" w:pos="1202"/>
              </w:tabs>
              <w:suppressAutoHyphens/>
              <w:autoSpaceDN w:val="0"/>
              <w:jc w:val="right"/>
              <w:outlineLvl w:val="0"/>
              <w:rPr>
                <w:rFonts w:ascii="Arial" w:eastAsia="Times New Roman" w:hAnsi="Arial" w:cs="Arial"/>
                <w:b/>
                <w:bCs/>
                <w:color w:val="000000" w:themeColor="text1"/>
                <w:sz w:val="20"/>
                <w:szCs w:val="20"/>
              </w:rPr>
            </w:pPr>
            <w:r w:rsidRPr="003A3244">
              <w:rPr>
                <w:rFonts w:ascii="Arial" w:hAnsi="Arial" w:cs="Arial"/>
                <w:b/>
                <w:bCs/>
                <w:sz w:val="20"/>
                <w:szCs w:val="20"/>
              </w:rPr>
              <w:t xml:space="preserve"> 5.776 </w:t>
            </w:r>
          </w:p>
        </w:tc>
      </w:tr>
    </w:tbl>
    <w:p w14:paraId="23D438E3" w14:textId="77777777" w:rsidR="00843998" w:rsidRPr="003D1614" w:rsidRDefault="00843998" w:rsidP="00843998">
      <w:pPr>
        <w:keepNext/>
        <w:suppressAutoHyphens/>
        <w:autoSpaceDN w:val="0"/>
        <w:jc w:val="both"/>
        <w:outlineLvl w:val="0"/>
        <w:rPr>
          <w:rFonts w:ascii="Arial" w:eastAsia="Times New Roman" w:hAnsi="Arial" w:cs="Arial"/>
          <w:color w:val="000000" w:themeColor="text1"/>
          <w:sz w:val="20"/>
          <w:szCs w:val="20"/>
        </w:rPr>
      </w:pPr>
    </w:p>
    <w:p w14:paraId="4B2FD132" w14:textId="074BF250" w:rsidR="00843998" w:rsidRPr="003D1614" w:rsidRDefault="00843998" w:rsidP="00EA0684">
      <w:pPr>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Razlika između rashoda od kamata i plaćenih kamata (vidi Izvještaj o novčanim tokovima) najvećim se dijelom odnosi na promjenu iznosa nedospjele kamate u odnosu na prethodno razdoblje.</w:t>
      </w:r>
    </w:p>
    <w:p w14:paraId="079B95BF" w14:textId="76CC7A14" w:rsidR="00843998" w:rsidRPr="003D1614" w:rsidRDefault="00843998" w:rsidP="00EA0684">
      <w:pPr>
        <w:rPr>
          <w:rFonts w:ascii="Arial" w:eastAsia="Times New Roman" w:hAnsi="Arial" w:cs="Arial"/>
          <w:color w:val="000000" w:themeColor="text1"/>
          <w:sz w:val="20"/>
          <w:szCs w:val="20"/>
        </w:rPr>
      </w:pPr>
    </w:p>
    <w:p w14:paraId="1D744C3A" w14:textId="103F2DCE" w:rsidR="00843998" w:rsidRPr="003D1614" w:rsidRDefault="00843998" w:rsidP="00EA0684">
      <w:pPr>
        <w:rPr>
          <w:rFonts w:ascii="Arial" w:eastAsia="Times New Roman" w:hAnsi="Arial" w:cs="Arial"/>
          <w:sz w:val="20"/>
          <w:szCs w:val="20"/>
        </w:rPr>
      </w:pPr>
    </w:p>
    <w:p w14:paraId="69A5D6A8" w14:textId="77777777" w:rsidR="00843998" w:rsidRPr="003D1614" w:rsidRDefault="00843998" w:rsidP="00EA0684">
      <w:pPr>
        <w:rPr>
          <w:rFonts w:ascii="Arial" w:eastAsia="Times New Roman" w:hAnsi="Arial" w:cs="Arial"/>
          <w:sz w:val="20"/>
          <w:szCs w:val="20"/>
        </w:rPr>
        <w:sectPr w:rsidR="00843998" w:rsidRPr="003D1614">
          <w:pgSz w:w="11906" w:h="16838"/>
          <w:pgMar w:top="1417" w:right="1417" w:bottom="1417" w:left="1417" w:header="708" w:footer="708" w:gutter="0"/>
          <w:cols w:space="708"/>
          <w:docGrid w:linePitch="360"/>
        </w:sectPr>
      </w:pPr>
    </w:p>
    <w:p w14:paraId="62CCE624" w14:textId="1FC1DBBD" w:rsidR="00843998" w:rsidRPr="003D1614" w:rsidRDefault="00843998" w:rsidP="00EA0684">
      <w:pPr>
        <w:rPr>
          <w:rFonts w:ascii="Arial" w:eastAsia="Times New Roman" w:hAnsi="Arial" w:cs="Arial"/>
          <w:sz w:val="20"/>
          <w:szCs w:val="20"/>
        </w:rPr>
      </w:pPr>
    </w:p>
    <w:p w14:paraId="04DAB935" w14:textId="1CD4F3BA" w:rsidR="00843998" w:rsidRPr="003D1614" w:rsidRDefault="00843998" w:rsidP="00843998">
      <w:pPr>
        <w:keepNext/>
        <w:tabs>
          <w:tab w:val="left" w:pos="567"/>
        </w:tabs>
        <w:suppressAutoHyphens/>
        <w:autoSpaceDN w:val="0"/>
        <w:jc w:val="both"/>
        <w:outlineLvl w:val="0"/>
        <w:rPr>
          <w:rFonts w:ascii="Arial" w:eastAsia="Times New Roman" w:hAnsi="Arial" w:cs="Arial"/>
          <w:b/>
          <w:bCs/>
          <w:color w:val="000000" w:themeColor="text1"/>
          <w:sz w:val="20"/>
          <w:szCs w:val="20"/>
        </w:rPr>
      </w:pPr>
      <w:bookmarkStart w:id="282" w:name="_Hlk2175999"/>
      <w:bookmarkStart w:id="283" w:name="_Hlk2179190"/>
      <w:r w:rsidRPr="003D1614">
        <w:rPr>
          <w:rFonts w:ascii="Arial" w:eastAsia="Times New Roman" w:hAnsi="Arial" w:cs="Arial"/>
          <w:b/>
          <w:bCs/>
          <w:color w:val="000000" w:themeColor="text1"/>
          <w:sz w:val="20"/>
          <w:szCs w:val="20"/>
        </w:rPr>
        <w:t>7.</w:t>
      </w:r>
      <w:r w:rsidRPr="003D1614">
        <w:rPr>
          <w:rFonts w:ascii="Arial" w:eastAsia="Times New Roman" w:hAnsi="Arial" w:cs="Arial"/>
          <w:b/>
          <w:bCs/>
          <w:color w:val="000000" w:themeColor="text1"/>
          <w:sz w:val="20"/>
          <w:szCs w:val="20"/>
        </w:rPr>
        <w:tab/>
        <w:t>Operativni troškovi</w:t>
      </w:r>
    </w:p>
    <w:p w14:paraId="55FFD5FB" w14:textId="77777777" w:rsidR="00843998" w:rsidRPr="003D1614" w:rsidRDefault="00843998" w:rsidP="00843998">
      <w:pPr>
        <w:tabs>
          <w:tab w:val="left" w:pos="-720"/>
          <w:tab w:val="left" w:pos="9600"/>
        </w:tabs>
        <w:suppressAutoHyphens/>
        <w:autoSpaceDN w:val="0"/>
        <w:rPr>
          <w:rFonts w:ascii="Arial" w:eastAsia="Times New Roman" w:hAnsi="Arial" w:cs="Arial"/>
          <w:color w:val="000000" w:themeColor="text1"/>
          <w:spacing w:val="-3"/>
          <w:sz w:val="20"/>
          <w:szCs w:val="20"/>
        </w:rPr>
      </w:pPr>
    </w:p>
    <w:p w14:paraId="52C0F312" w14:textId="77777777" w:rsidR="00843998" w:rsidRPr="003D1614" w:rsidRDefault="00843998" w:rsidP="00843998">
      <w:pPr>
        <w:tabs>
          <w:tab w:val="left" w:pos="-720"/>
          <w:tab w:val="left" w:pos="9600"/>
        </w:tabs>
        <w:suppressAutoHyphens/>
        <w:autoSpaceDN w:val="0"/>
        <w:rPr>
          <w:rFonts w:ascii="Arial" w:eastAsia="Times New Roman" w:hAnsi="Arial" w:cs="Arial"/>
          <w:color w:val="000000" w:themeColor="text1"/>
          <w:spacing w:val="-3"/>
          <w:sz w:val="20"/>
          <w:szCs w:val="20"/>
        </w:rPr>
      </w:pPr>
      <w:r w:rsidRPr="003D1614">
        <w:rPr>
          <w:rFonts w:ascii="Arial" w:eastAsia="Times New Roman" w:hAnsi="Arial" w:cs="Arial"/>
          <w:color w:val="000000" w:themeColor="text1"/>
          <w:spacing w:val="-3"/>
          <w:sz w:val="20"/>
          <w:szCs w:val="20"/>
        </w:rPr>
        <w:t>Operativni troškovi mogu se prikazati kako slijedi:</w:t>
      </w:r>
    </w:p>
    <w:p w14:paraId="4F39E12A" w14:textId="77777777" w:rsidR="00843998" w:rsidRPr="003D1614" w:rsidRDefault="00843998" w:rsidP="00843998">
      <w:pPr>
        <w:tabs>
          <w:tab w:val="left" w:pos="-720"/>
          <w:tab w:val="left" w:pos="9600"/>
        </w:tabs>
        <w:suppressAutoHyphens/>
        <w:autoSpaceDN w:val="0"/>
        <w:rPr>
          <w:rFonts w:ascii="Arial" w:eastAsia="Times New Roman" w:hAnsi="Arial" w:cs="Arial"/>
          <w:color w:val="000000" w:themeColor="text1"/>
          <w:spacing w:val="-3"/>
          <w:sz w:val="20"/>
          <w:szCs w:val="20"/>
        </w:rPr>
      </w:pPr>
    </w:p>
    <w:tbl>
      <w:tblPr>
        <w:tblW w:w="5002" w:type="pct"/>
        <w:tblLayout w:type="fixed"/>
        <w:tblCellMar>
          <w:left w:w="122" w:type="dxa"/>
          <w:right w:w="122" w:type="dxa"/>
        </w:tblCellMar>
        <w:tblLook w:val="0000" w:firstRow="0" w:lastRow="0" w:firstColumn="0" w:lastColumn="0" w:noHBand="0" w:noVBand="0"/>
      </w:tblPr>
      <w:tblGrid>
        <w:gridCol w:w="3986"/>
        <w:gridCol w:w="1376"/>
        <w:gridCol w:w="1296"/>
        <w:gridCol w:w="1207"/>
        <w:gridCol w:w="1211"/>
      </w:tblGrid>
      <w:tr w:rsidR="00843998" w:rsidRPr="00627B08" w14:paraId="0AD393A9" w14:textId="77777777" w:rsidTr="00CA41C0">
        <w:trPr>
          <w:trHeight w:val="57"/>
        </w:trPr>
        <w:tc>
          <w:tcPr>
            <w:tcW w:w="2196" w:type="pct"/>
            <w:vAlign w:val="bottom"/>
          </w:tcPr>
          <w:p w14:paraId="7A7FEA1C" w14:textId="77777777" w:rsidR="00843998" w:rsidRPr="00627B08" w:rsidRDefault="00843998" w:rsidP="00843998">
            <w:pPr>
              <w:tabs>
                <w:tab w:val="left" w:pos="-720"/>
              </w:tabs>
              <w:suppressAutoHyphens/>
              <w:autoSpaceDN w:val="0"/>
              <w:jc w:val="right"/>
              <w:rPr>
                <w:rFonts w:ascii="Arial" w:eastAsia="Times New Roman" w:hAnsi="Arial" w:cs="Arial"/>
                <w:color w:val="000000" w:themeColor="text1"/>
                <w:spacing w:val="-3"/>
                <w:sz w:val="20"/>
                <w:szCs w:val="20"/>
              </w:rPr>
            </w:pPr>
            <w:bookmarkStart w:id="284" w:name="_Hlk2176042"/>
          </w:p>
        </w:tc>
        <w:tc>
          <w:tcPr>
            <w:tcW w:w="1472" w:type="pct"/>
            <w:gridSpan w:val="2"/>
            <w:vAlign w:val="bottom"/>
          </w:tcPr>
          <w:p w14:paraId="18453CEB" w14:textId="77777777" w:rsidR="00843998" w:rsidRPr="00627B08" w:rsidRDefault="00843998" w:rsidP="0084399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285" w:name="_Toc67327636"/>
            <w:r w:rsidRPr="00627B08">
              <w:rPr>
                <w:rFonts w:ascii="Arial" w:eastAsia="Times New Roman" w:hAnsi="Arial" w:cs="Arial"/>
                <w:b/>
                <w:color w:val="000000" w:themeColor="text1"/>
                <w:sz w:val="20"/>
                <w:szCs w:val="20"/>
              </w:rPr>
              <w:t>Grupa</w:t>
            </w:r>
            <w:bookmarkEnd w:id="285"/>
          </w:p>
        </w:tc>
        <w:tc>
          <w:tcPr>
            <w:tcW w:w="1332" w:type="pct"/>
            <w:gridSpan w:val="2"/>
            <w:vAlign w:val="bottom"/>
          </w:tcPr>
          <w:p w14:paraId="333EC9E1" w14:textId="77777777" w:rsidR="00843998" w:rsidRPr="00627B08" w:rsidRDefault="00843998" w:rsidP="0084399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286" w:name="_Toc67327637"/>
            <w:r w:rsidRPr="00627B08">
              <w:rPr>
                <w:rFonts w:ascii="Arial" w:eastAsia="Times New Roman" w:hAnsi="Arial" w:cs="Arial"/>
                <w:b/>
                <w:color w:val="000000" w:themeColor="text1"/>
                <w:sz w:val="20"/>
                <w:szCs w:val="20"/>
              </w:rPr>
              <w:t>Banka</w:t>
            </w:r>
            <w:bookmarkEnd w:id="286"/>
          </w:p>
        </w:tc>
      </w:tr>
      <w:tr w:rsidR="00843998" w:rsidRPr="00627B08" w14:paraId="046EC0FA" w14:textId="77777777" w:rsidTr="00CA41C0">
        <w:trPr>
          <w:trHeight w:val="57"/>
        </w:trPr>
        <w:tc>
          <w:tcPr>
            <w:tcW w:w="2196" w:type="pct"/>
            <w:vAlign w:val="bottom"/>
          </w:tcPr>
          <w:p w14:paraId="71D4627A" w14:textId="77777777" w:rsidR="00843998" w:rsidRPr="00627B08" w:rsidRDefault="00843998" w:rsidP="00843998">
            <w:pPr>
              <w:tabs>
                <w:tab w:val="left" w:pos="-720"/>
              </w:tabs>
              <w:suppressAutoHyphens/>
              <w:autoSpaceDN w:val="0"/>
              <w:jc w:val="right"/>
              <w:rPr>
                <w:rFonts w:ascii="Arial" w:eastAsia="Times New Roman" w:hAnsi="Arial" w:cs="Arial"/>
                <w:color w:val="000000" w:themeColor="text1"/>
                <w:spacing w:val="-3"/>
                <w:sz w:val="20"/>
                <w:szCs w:val="20"/>
              </w:rPr>
            </w:pPr>
          </w:p>
        </w:tc>
        <w:tc>
          <w:tcPr>
            <w:tcW w:w="758" w:type="pct"/>
            <w:vAlign w:val="bottom"/>
          </w:tcPr>
          <w:p w14:paraId="1E243239" w14:textId="77777777" w:rsidR="00843998" w:rsidRPr="00627B08"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627B08">
              <w:rPr>
                <w:rFonts w:ascii="Arial" w:eastAsia="Times New Roman" w:hAnsi="Arial" w:cs="Arial"/>
                <w:b/>
                <w:color w:val="000000" w:themeColor="text1"/>
                <w:sz w:val="20"/>
                <w:szCs w:val="20"/>
              </w:rPr>
              <w:t>1.1.-31.3.</w:t>
            </w:r>
          </w:p>
          <w:p w14:paraId="7BD2E956" w14:textId="6D534614" w:rsidR="00843998" w:rsidRPr="00627B08"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627B08">
              <w:rPr>
                <w:rFonts w:ascii="Arial" w:eastAsia="Times New Roman" w:hAnsi="Arial" w:cs="Arial"/>
                <w:b/>
                <w:color w:val="000000" w:themeColor="text1"/>
                <w:sz w:val="20"/>
                <w:szCs w:val="20"/>
              </w:rPr>
              <w:t>202</w:t>
            </w:r>
            <w:r w:rsidR="006F4EBA">
              <w:rPr>
                <w:rFonts w:ascii="Arial" w:eastAsia="Times New Roman" w:hAnsi="Arial" w:cs="Arial"/>
                <w:b/>
                <w:color w:val="000000" w:themeColor="text1"/>
                <w:sz w:val="20"/>
                <w:szCs w:val="20"/>
              </w:rPr>
              <w:t>4</w:t>
            </w:r>
            <w:r w:rsidRPr="00627B08">
              <w:rPr>
                <w:rFonts w:ascii="Arial" w:eastAsia="Times New Roman" w:hAnsi="Arial" w:cs="Arial"/>
                <w:b/>
                <w:color w:val="000000" w:themeColor="text1"/>
                <w:sz w:val="20"/>
                <w:szCs w:val="20"/>
              </w:rPr>
              <w:t>.</w:t>
            </w:r>
          </w:p>
        </w:tc>
        <w:tc>
          <w:tcPr>
            <w:tcW w:w="714" w:type="pct"/>
            <w:vAlign w:val="bottom"/>
          </w:tcPr>
          <w:p w14:paraId="299F7A13" w14:textId="77777777" w:rsidR="00843998" w:rsidRPr="00627B08"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627B08">
              <w:rPr>
                <w:rFonts w:ascii="Arial" w:eastAsia="Times New Roman" w:hAnsi="Arial" w:cs="Arial"/>
                <w:b/>
                <w:color w:val="000000" w:themeColor="text1"/>
                <w:sz w:val="20"/>
                <w:szCs w:val="20"/>
              </w:rPr>
              <w:t>1.1.-31.3.</w:t>
            </w:r>
          </w:p>
          <w:p w14:paraId="654E94BB" w14:textId="5820D12D" w:rsidR="00843998" w:rsidRPr="00627B08"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627B08">
              <w:rPr>
                <w:rFonts w:ascii="Arial" w:eastAsia="Times New Roman" w:hAnsi="Arial" w:cs="Arial"/>
                <w:b/>
                <w:color w:val="000000" w:themeColor="text1"/>
                <w:sz w:val="20"/>
                <w:szCs w:val="20"/>
              </w:rPr>
              <w:t>202</w:t>
            </w:r>
            <w:r w:rsidR="006F4EBA">
              <w:rPr>
                <w:rFonts w:ascii="Arial" w:eastAsia="Times New Roman" w:hAnsi="Arial" w:cs="Arial"/>
                <w:b/>
                <w:color w:val="000000" w:themeColor="text1"/>
                <w:sz w:val="20"/>
                <w:szCs w:val="20"/>
              </w:rPr>
              <w:t>3</w:t>
            </w:r>
            <w:r w:rsidRPr="00627B08">
              <w:rPr>
                <w:rFonts w:ascii="Arial" w:eastAsia="Times New Roman" w:hAnsi="Arial" w:cs="Arial"/>
                <w:b/>
                <w:color w:val="000000" w:themeColor="text1"/>
                <w:sz w:val="20"/>
                <w:szCs w:val="20"/>
              </w:rPr>
              <w:t>.</w:t>
            </w:r>
          </w:p>
        </w:tc>
        <w:tc>
          <w:tcPr>
            <w:tcW w:w="665" w:type="pct"/>
            <w:vAlign w:val="bottom"/>
          </w:tcPr>
          <w:p w14:paraId="2E347166" w14:textId="77777777" w:rsidR="00843998" w:rsidRPr="00627B08"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627B08">
              <w:rPr>
                <w:rFonts w:ascii="Arial" w:eastAsia="Times New Roman" w:hAnsi="Arial" w:cs="Arial"/>
                <w:b/>
                <w:color w:val="000000" w:themeColor="text1"/>
                <w:sz w:val="20"/>
                <w:szCs w:val="20"/>
              </w:rPr>
              <w:t>1.1.-31.3.</w:t>
            </w:r>
          </w:p>
          <w:p w14:paraId="12ACB9F4" w14:textId="359F6AEE" w:rsidR="00843998" w:rsidRPr="00627B08"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627B08">
              <w:rPr>
                <w:rFonts w:ascii="Arial" w:eastAsia="Times New Roman" w:hAnsi="Arial" w:cs="Arial"/>
                <w:b/>
                <w:color w:val="000000" w:themeColor="text1"/>
                <w:sz w:val="20"/>
                <w:szCs w:val="20"/>
              </w:rPr>
              <w:t>202</w:t>
            </w:r>
            <w:r w:rsidR="006F4EBA">
              <w:rPr>
                <w:rFonts w:ascii="Arial" w:eastAsia="Times New Roman" w:hAnsi="Arial" w:cs="Arial"/>
                <w:b/>
                <w:color w:val="000000" w:themeColor="text1"/>
                <w:sz w:val="20"/>
                <w:szCs w:val="20"/>
              </w:rPr>
              <w:t>4</w:t>
            </w:r>
            <w:r w:rsidRPr="00627B08">
              <w:rPr>
                <w:rFonts w:ascii="Arial" w:eastAsia="Times New Roman" w:hAnsi="Arial" w:cs="Arial"/>
                <w:b/>
                <w:color w:val="000000" w:themeColor="text1"/>
                <w:sz w:val="20"/>
                <w:szCs w:val="20"/>
              </w:rPr>
              <w:t>.</w:t>
            </w:r>
          </w:p>
        </w:tc>
        <w:tc>
          <w:tcPr>
            <w:tcW w:w="667" w:type="pct"/>
            <w:vAlign w:val="bottom"/>
          </w:tcPr>
          <w:p w14:paraId="3E07B66A" w14:textId="77777777" w:rsidR="00843998" w:rsidRPr="00627B08"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627B08">
              <w:rPr>
                <w:rFonts w:ascii="Arial" w:eastAsia="Times New Roman" w:hAnsi="Arial" w:cs="Arial"/>
                <w:b/>
                <w:color w:val="000000" w:themeColor="text1"/>
                <w:sz w:val="20"/>
                <w:szCs w:val="20"/>
              </w:rPr>
              <w:t>1.1.-31.3.</w:t>
            </w:r>
          </w:p>
          <w:p w14:paraId="07668E53" w14:textId="0D1373CF" w:rsidR="00843998" w:rsidRPr="00627B08" w:rsidRDefault="00843998" w:rsidP="00843998">
            <w:pPr>
              <w:tabs>
                <w:tab w:val="right" w:pos="1202"/>
              </w:tabs>
              <w:suppressAutoHyphens/>
              <w:autoSpaceDN w:val="0"/>
              <w:jc w:val="right"/>
              <w:outlineLvl w:val="0"/>
              <w:rPr>
                <w:rFonts w:ascii="Arial" w:eastAsia="Times New Roman" w:hAnsi="Arial" w:cs="Arial"/>
                <w:b/>
                <w:color w:val="000000" w:themeColor="text1"/>
                <w:sz w:val="20"/>
                <w:szCs w:val="20"/>
              </w:rPr>
            </w:pPr>
            <w:r w:rsidRPr="00627B08">
              <w:rPr>
                <w:rFonts w:ascii="Arial" w:eastAsia="Times New Roman" w:hAnsi="Arial" w:cs="Arial"/>
                <w:b/>
                <w:color w:val="000000" w:themeColor="text1"/>
                <w:sz w:val="20"/>
                <w:szCs w:val="20"/>
              </w:rPr>
              <w:t>202</w:t>
            </w:r>
            <w:r w:rsidR="006F4EBA">
              <w:rPr>
                <w:rFonts w:ascii="Arial" w:eastAsia="Times New Roman" w:hAnsi="Arial" w:cs="Arial"/>
                <w:b/>
                <w:color w:val="000000" w:themeColor="text1"/>
                <w:sz w:val="20"/>
                <w:szCs w:val="20"/>
              </w:rPr>
              <w:t>3</w:t>
            </w:r>
            <w:r w:rsidRPr="00627B08">
              <w:rPr>
                <w:rFonts w:ascii="Arial" w:eastAsia="Times New Roman" w:hAnsi="Arial" w:cs="Arial"/>
                <w:b/>
                <w:color w:val="000000" w:themeColor="text1"/>
                <w:sz w:val="20"/>
                <w:szCs w:val="20"/>
              </w:rPr>
              <w:t>.</w:t>
            </w:r>
          </w:p>
        </w:tc>
      </w:tr>
      <w:tr w:rsidR="00843998" w:rsidRPr="00627B08" w14:paraId="48995C09" w14:textId="77777777" w:rsidTr="00CA41C0">
        <w:tblPrEx>
          <w:tblCellMar>
            <w:left w:w="108" w:type="dxa"/>
            <w:right w:w="108" w:type="dxa"/>
          </w:tblCellMar>
        </w:tblPrEx>
        <w:trPr>
          <w:trHeight w:val="57"/>
        </w:trPr>
        <w:tc>
          <w:tcPr>
            <w:tcW w:w="2196" w:type="pct"/>
            <w:vAlign w:val="bottom"/>
          </w:tcPr>
          <w:p w14:paraId="27EDDA7D" w14:textId="77777777" w:rsidR="00843998" w:rsidRPr="00627B08" w:rsidRDefault="00843998" w:rsidP="00843998">
            <w:pPr>
              <w:tabs>
                <w:tab w:val="left" w:pos="-720"/>
              </w:tabs>
              <w:suppressAutoHyphens/>
              <w:autoSpaceDN w:val="0"/>
              <w:ind w:right="4144"/>
              <w:jc w:val="right"/>
              <w:rPr>
                <w:rFonts w:ascii="Arial" w:eastAsia="Times New Roman" w:hAnsi="Arial" w:cs="Arial"/>
                <w:color w:val="000000" w:themeColor="text1"/>
                <w:sz w:val="20"/>
                <w:szCs w:val="20"/>
              </w:rPr>
            </w:pPr>
          </w:p>
        </w:tc>
        <w:tc>
          <w:tcPr>
            <w:tcW w:w="758" w:type="pct"/>
            <w:vAlign w:val="bottom"/>
          </w:tcPr>
          <w:p w14:paraId="6AE3B291" w14:textId="523CCB59" w:rsidR="00843998" w:rsidRPr="00627B08" w:rsidRDefault="00843998" w:rsidP="00843998">
            <w:pPr>
              <w:suppressAutoHyphens/>
              <w:autoSpaceDN w:val="0"/>
              <w:spacing w:line="240" w:lineRule="atLeast"/>
              <w:jc w:val="right"/>
              <w:outlineLvl w:val="0"/>
              <w:rPr>
                <w:rFonts w:ascii="Arial" w:eastAsia="Times New Roman" w:hAnsi="Arial" w:cs="Arial"/>
                <w:b/>
                <w:color w:val="000000" w:themeColor="text1"/>
                <w:sz w:val="20"/>
                <w:szCs w:val="20"/>
              </w:rPr>
            </w:pPr>
            <w:r w:rsidRPr="00627B08">
              <w:rPr>
                <w:rFonts w:ascii="Arial" w:eastAsia="Times New Roman" w:hAnsi="Arial" w:cs="Arial"/>
                <w:b/>
                <w:color w:val="000000" w:themeColor="text1"/>
                <w:sz w:val="20"/>
                <w:szCs w:val="20"/>
              </w:rPr>
              <w:t>000 eura</w:t>
            </w:r>
          </w:p>
        </w:tc>
        <w:tc>
          <w:tcPr>
            <w:tcW w:w="714" w:type="pct"/>
            <w:vAlign w:val="bottom"/>
          </w:tcPr>
          <w:p w14:paraId="3C46579E" w14:textId="3ECFE27A" w:rsidR="00843998" w:rsidRPr="00627B08" w:rsidRDefault="00843998" w:rsidP="00843998">
            <w:pPr>
              <w:suppressAutoHyphens/>
              <w:autoSpaceDN w:val="0"/>
              <w:spacing w:line="240" w:lineRule="atLeast"/>
              <w:jc w:val="right"/>
              <w:outlineLvl w:val="0"/>
              <w:rPr>
                <w:rFonts w:ascii="Arial" w:eastAsia="Times New Roman" w:hAnsi="Arial" w:cs="Arial"/>
                <w:b/>
                <w:color w:val="000000" w:themeColor="text1"/>
                <w:sz w:val="20"/>
                <w:szCs w:val="20"/>
              </w:rPr>
            </w:pPr>
            <w:r w:rsidRPr="00627B08">
              <w:rPr>
                <w:rFonts w:ascii="Arial" w:eastAsia="Times New Roman" w:hAnsi="Arial" w:cs="Arial"/>
                <w:b/>
                <w:color w:val="000000" w:themeColor="text1"/>
                <w:sz w:val="20"/>
                <w:szCs w:val="20"/>
              </w:rPr>
              <w:t>000 eura</w:t>
            </w:r>
          </w:p>
        </w:tc>
        <w:tc>
          <w:tcPr>
            <w:tcW w:w="665" w:type="pct"/>
            <w:vAlign w:val="bottom"/>
          </w:tcPr>
          <w:p w14:paraId="719C1473" w14:textId="7C7B39CC" w:rsidR="00843998" w:rsidRPr="00627B08" w:rsidRDefault="00843998" w:rsidP="00843998">
            <w:pPr>
              <w:suppressAutoHyphens/>
              <w:autoSpaceDN w:val="0"/>
              <w:spacing w:line="240" w:lineRule="atLeast"/>
              <w:jc w:val="right"/>
              <w:outlineLvl w:val="0"/>
              <w:rPr>
                <w:rFonts w:ascii="Arial" w:eastAsia="Times New Roman" w:hAnsi="Arial" w:cs="Arial"/>
                <w:b/>
                <w:color w:val="000000" w:themeColor="text1"/>
                <w:sz w:val="20"/>
                <w:szCs w:val="20"/>
              </w:rPr>
            </w:pPr>
            <w:r w:rsidRPr="00627B08">
              <w:rPr>
                <w:rFonts w:ascii="Arial" w:eastAsia="Times New Roman" w:hAnsi="Arial" w:cs="Arial"/>
                <w:b/>
                <w:color w:val="000000" w:themeColor="text1"/>
                <w:sz w:val="20"/>
                <w:szCs w:val="20"/>
              </w:rPr>
              <w:t>000 eura</w:t>
            </w:r>
          </w:p>
        </w:tc>
        <w:tc>
          <w:tcPr>
            <w:tcW w:w="667" w:type="pct"/>
            <w:vAlign w:val="bottom"/>
          </w:tcPr>
          <w:p w14:paraId="0BC967A2" w14:textId="2BDE374C" w:rsidR="00843998" w:rsidRPr="00627B08" w:rsidRDefault="00843998" w:rsidP="00843998">
            <w:pPr>
              <w:suppressAutoHyphens/>
              <w:autoSpaceDN w:val="0"/>
              <w:spacing w:line="240" w:lineRule="atLeast"/>
              <w:jc w:val="right"/>
              <w:outlineLvl w:val="0"/>
              <w:rPr>
                <w:rFonts w:ascii="Arial" w:eastAsia="Times New Roman" w:hAnsi="Arial" w:cs="Arial"/>
                <w:b/>
                <w:color w:val="000000" w:themeColor="text1"/>
                <w:sz w:val="20"/>
                <w:szCs w:val="20"/>
              </w:rPr>
            </w:pPr>
            <w:r w:rsidRPr="00627B08">
              <w:rPr>
                <w:rFonts w:ascii="Arial" w:eastAsia="Times New Roman" w:hAnsi="Arial" w:cs="Arial"/>
                <w:b/>
                <w:color w:val="000000" w:themeColor="text1"/>
                <w:sz w:val="20"/>
                <w:szCs w:val="20"/>
              </w:rPr>
              <w:t>000 eura</w:t>
            </w:r>
          </w:p>
        </w:tc>
      </w:tr>
      <w:tr w:rsidR="00843998" w:rsidRPr="00627B08" w14:paraId="5BBBFA2A" w14:textId="77777777" w:rsidTr="00CA41C0">
        <w:trPr>
          <w:trHeight w:hRule="exact" w:val="171"/>
        </w:trPr>
        <w:tc>
          <w:tcPr>
            <w:tcW w:w="2196" w:type="pct"/>
            <w:vAlign w:val="bottom"/>
          </w:tcPr>
          <w:p w14:paraId="3E6CA939" w14:textId="77777777" w:rsidR="00843998" w:rsidRPr="00627B08" w:rsidRDefault="00843998" w:rsidP="00843998">
            <w:pPr>
              <w:tabs>
                <w:tab w:val="left" w:pos="-720"/>
              </w:tabs>
              <w:suppressAutoHyphens/>
              <w:autoSpaceDN w:val="0"/>
              <w:rPr>
                <w:rFonts w:ascii="Arial" w:eastAsia="Times New Roman" w:hAnsi="Arial" w:cs="Arial"/>
                <w:bCs/>
                <w:color w:val="000000" w:themeColor="text1"/>
                <w:spacing w:val="-3"/>
                <w:sz w:val="20"/>
                <w:szCs w:val="20"/>
              </w:rPr>
            </w:pPr>
          </w:p>
        </w:tc>
        <w:tc>
          <w:tcPr>
            <w:tcW w:w="758" w:type="pct"/>
            <w:vAlign w:val="bottom"/>
          </w:tcPr>
          <w:p w14:paraId="69A4D562" w14:textId="77777777" w:rsidR="00843998" w:rsidRPr="00627B08" w:rsidRDefault="00843998" w:rsidP="00843998">
            <w:pPr>
              <w:tabs>
                <w:tab w:val="left" w:pos="-720"/>
              </w:tabs>
              <w:suppressAutoHyphens/>
              <w:autoSpaceDN w:val="0"/>
              <w:jc w:val="right"/>
              <w:rPr>
                <w:rFonts w:ascii="Arial" w:eastAsia="Times New Roman" w:hAnsi="Arial" w:cs="Arial"/>
                <w:b/>
                <w:color w:val="000000" w:themeColor="text1"/>
                <w:spacing w:val="-3"/>
                <w:sz w:val="20"/>
                <w:szCs w:val="20"/>
              </w:rPr>
            </w:pPr>
          </w:p>
        </w:tc>
        <w:tc>
          <w:tcPr>
            <w:tcW w:w="714" w:type="pct"/>
            <w:vAlign w:val="bottom"/>
          </w:tcPr>
          <w:p w14:paraId="739AFD18" w14:textId="77777777" w:rsidR="00843998" w:rsidRPr="00627B08" w:rsidRDefault="00843998" w:rsidP="00843998">
            <w:pPr>
              <w:tabs>
                <w:tab w:val="left" w:pos="-720"/>
              </w:tabs>
              <w:suppressAutoHyphens/>
              <w:autoSpaceDN w:val="0"/>
              <w:jc w:val="right"/>
              <w:rPr>
                <w:rFonts w:ascii="Arial" w:eastAsia="Times New Roman" w:hAnsi="Arial" w:cs="Arial"/>
                <w:b/>
                <w:color w:val="000000" w:themeColor="text1"/>
                <w:spacing w:val="-3"/>
                <w:sz w:val="20"/>
                <w:szCs w:val="20"/>
              </w:rPr>
            </w:pPr>
          </w:p>
        </w:tc>
        <w:tc>
          <w:tcPr>
            <w:tcW w:w="665" w:type="pct"/>
            <w:vAlign w:val="bottom"/>
          </w:tcPr>
          <w:p w14:paraId="1BEC8286" w14:textId="77777777" w:rsidR="00843998" w:rsidRPr="00627B08" w:rsidRDefault="00843998" w:rsidP="00843998">
            <w:pPr>
              <w:tabs>
                <w:tab w:val="left" w:pos="-720"/>
              </w:tabs>
              <w:suppressAutoHyphens/>
              <w:autoSpaceDN w:val="0"/>
              <w:jc w:val="right"/>
              <w:rPr>
                <w:rFonts w:ascii="Arial" w:eastAsia="Times New Roman" w:hAnsi="Arial" w:cs="Arial"/>
                <w:b/>
                <w:color w:val="000000" w:themeColor="text1"/>
                <w:spacing w:val="-3"/>
                <w:sz w:val="20"/>
                <w:szCs w:val="20"/>
              </w:rPr>
            </w:pPr>
          </w:p>
        </w:tc>
        <w:tc>
          <w:tcPr>
            <w:tcW w:w="667" w:type="pct"/>
            <w:vAlign w:val="bottom"/>
          </w:tcPr>
          <w:p w14:paraId="5B580B72" w14:textId="77777777" w:rsidR="00843998" w:rsidRPr="00627B08" w:rsidRDefault="00843998" w:rsidP="00843998">
            <w:pPr>
              <w:tabs>
                <w:tab w:val="left" w:pos="-720"/>
              </w:tabs>
              <w:suppressAutoHyphens/>
              <w:autoSpaceDN w:val="0"/>
              <w:jc w:val="right"/>
              <w:rPr>
                <w:rFonts w:ascii="Arial" w:eastAsia="Times New Roman" w:hAnsi="Arial" w:cs="Arial"/>
                <w:b/>
                <w:color w:val="000000" w:themeColor="text1"/>
                <w:spacing w:val="-3"/>
                <w:sz w:val="20"/>
                <w:szCs w:val="20"/>
              </w:rPr>
            </w:pPr>
          </w:p>
        </w:tc>
      </w:tr>
      <w:tr w:rsidR="006F4EBA" w:rsidRPr="00627B08" w14:paraId="587034E4" w14:textId="77777777" w:rsidTr="00DF76E2">
        <w:trPr>
          <w:trHeight w:val="20"/>
        </w:trPr>
        <w:tc>
          <w:tcPr>
            <w:tcW w:w="2196" w:type="pct"/>
            <w:vAlign w:val="bottom"/>
          </w:tcPr>
          <w:p w14:paraId="557910B9" w14:textId="1D234060" w:rsidR="006F4EBA" w:rsidRPr="00627B08" w:rsidRDefault="006F4EBA" w:rsidP="006F4EBA">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287" w:name="_Toc67327646"/>
            <w:r w:rsidRPr="00627B08">
              <w:rPr>
                <w:rFonts w:ascii="Arial" w:eastAsia="Times New Roman" w:hAnsi="Arial" w:cs="Arial"/>
                <w:color w:val="000000" w:themeColor="text1"/>
                <w:sz w:val="20"/>
                <w:szCs w:val="20"/>
              </w:rPr>
              <w:t>7. a) Troškovi osoblja</w:t>
            </w:r>
            <w:bookmarkEnd w:id="287"/>
          </w:p>
        </w:tc>
        <w:tc>
          <w:tcPr>
            <w:tcW w:w="758" w:type="pct"/>
            <w:tcBorders>
              <w:top w:val="nil"/>
              <w:left w:val="nil"/>
              <w:bottom w:val="nil"/>
              <w:right w:val="nil"/>
            </w:tcBorders>
            <w:shd w:val="clear" w:color="auto" w:fill="auto"/>
            <w:vAlign w:val="bottom"/>
          </w:tcPr>
          <w:p w14:paraId="20835F87" w14:textId="2E5EEC66" w:rsidR="006F4EBA" w:rsidRPr="00DF76E2" w:rsidRDefault="009B29CD" w:rsidP="006F4EBA">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r>
              <w:rPr>
                <w:rFonts w:ascii="Arial" w:eastAsia="Times New Roman" w:hAnsi="Arial" w:cs="Arial"/>
                <w:color w:val="000000" w:themeColor="text1"/>
                <w:spacing w:val="-3"/>
                <w:sz w:val="20"/>
                <w:szCs w:val="20"/>
              </w:rPr>
              <w:t>4.260</w:t>
            </w:r>
          </w:p>
        </w:tc>
        <w:tc>
          <w:tcPr>
            <w:tcW w:w="714" w:type="pct"/>
            <w:tcBorders>
              <w:top w:val="nil"/>
              <w:left w:val="nil"/>
              <w:bottom w:val="nil"/>
              <w:right w:val="nil"/>
            </w:tcBorders>
            <w:shd w:val="clear" w:color="auto" w:fill="auto"/>
            <w:vAlign w:val="bottom"/>
          </w:tcPr>
          <w:p w14:paraId="6AF47B1B" w14:textId="00BC809D" w:rsidR="006F4EBA" w:rsidRPr="00627B08" w:rsidRDefault="006F4EBA" w:rsidP="006F4EBA">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r w:rsidRPr="00DF76E2">
              <w:rPr>
                <w:rFonts w:ascii="Arial" w:hAnsi="Arial" w:cs="Arial"/>
                <w:sz w:val="20"/>
                <w:szCs w:val="20"/>
              </w:rPr>
              <w:t xml:space="preserve"> 3.695 </w:t>
            </w:r>
          </w:p>
        </w:tc>
        <w:tc>
          <w:tcPr>
            <w:tcW w:w="665" w:type="pct"/>
            <w:tcBorders>
              <w:top w:val="nil"/>
              <w:left w:val="nil"/>
              <w:bottom w:val="nil"/>
              <w:right w:val="nil"/>
            </w:tcBorders>
            <w:shd w:val="clear" w:color="auto" w:fill="auto"/>
            <w:vAlign w:val="bottom"/>
          </w:tcPr>
          <w:p w14:paraId="4023BC6F" w14:textId="34FE072B" w:rsidR="006F4EBA" w:rsidRPr="00627B08" w:rsidRDefault="008E60BA" w:rsidP="006F4EBA">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r>
              <w:rPr>
                <w:rFonts w:ascii="Arial" w:eastAsia="Times New Roman" w:hAnsi="Arial" w:cs="Arial"/>
                <w:color w:val="000000" w:themeColor="text1"/>
                <w:spacing w:val="-3"/>
                <w:sz w:val="20"/>
                <w:szCs w:val="20"/>
              </w:rPr>
              <w:t>4.119</w:t>
            </w:r>
          </w:p>
        </w:tc>
        <w:tc>
          <w:tcPr>
            <w:tcW w:w="667" w:type="pct"/>
            <w:tcBorders>
              <w:top w:val="nil"/>
              <w:left w:val="nil"/>
              <w:bottom w:val="nil"/>
              <w:right w:val="nil"/>
            </w:tcBorders>
            <w:shd w:val="clear" w:color="auto" w:fill="auto"/>
            <w:vAlign w:val="bottom"/>
          </w:tcPr>
          <w:p w14:paraId="3600D175" w14:textId="69CC7988" w:rsidR="006F4EBA" w:rsidRPr="00627B08" w:rsidRDefault="006F4EBA" w:rsidP="006F4EBA">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r w:rsidRPr="00627B08">
              <w:rPr>
                <w:rFonts w:ascii="Arial" w:hAnsi="Arial" w:cs="Arial"/>
                <w:sz w:val="20"/>
                <w:szCs w:val="20"/>
              </w:rPr>
              <w:t xml:space="preserve"> 3.565 </w:t>
            </w:r>
          </w:p>
        </w:tc>
      </w:tr>
      <w:tr w:rsidR="006F4EBA" w:rsidRPr="00627B08" w14:paraId="305D5151" w14:textId="77777777" w:rsidTr="00DF76E2">
        <w:trPr>
          <w:trHeight w:val="20"/>
        </w:trPr>
        <w:tc>
          <w:tcPr>
            <w:tcW w:w="2196" w:type="pct"/>
            <w:vAlign w:val="bottom"/>
          </w:tcPr>
          <w:p w14:paraId="63AA024A" w14:textId="77777777" w:rsidR="006F4EBA" w:rsidRPr="00627B08" w:rsidRDefault="006F4EBA" w:rsidP="006F4EBA">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758" w:type="pct"/>
            <w:tcBorders>
              <w:top w:val="nil"/>
              <w:left w:val="nil"/>
              <w:bottom w:val="nil"/>
              <w:right w:val="nil"/>
            </w:tcBorders>
            <w:shd w:val="clear" w:color="auto" w:fill="auto"/>
            <w:vAlign w:val="bottom"/>
          </w:tcPr>
          <w:p w14:paraId="0C26CD91" w14:textId="77777777" w:rsidR="006F4EBA" w:rsidRPr="00DF76E2" w:rsidRDefault="006F4EBA" w:rsidP="006F4EBA">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p>
        </w:tc>
        <w:tc>
          <w:tcPr>
            <w:tcW w:w="714" w:type="pct"/>
            <w:tcBorders>
              <w:top w:val="nil"/>
              <w:left w:val="nil"/>
              <w:bottom w:val="nil"/>
              <w:right w:val="nil"/>
            </w:tcBorders>
            <w:shd w:val="clear" w:color="auto" w:fill="auto"/>
            <w:vAlign w:val="bottom"/>
          </w:tcPr>
          <w:p w14:paraId="47A8F0BE" w14:textId="77777777" w:rsidR="006F4EBA" w:rsidRPr="00627B08" w:rsidRDefault="006F4EBA" w:rsidP="006F4EBA">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p>
        </w:tc>
        <w:tc>
          <w:tcPr>
            <w:tcW w:w="665" w:type="pct"/>
            <w:tcBorders>
              <w:top w:val="nil"/>
              <w:left w:val="nil"/>
              <w:bottom w:val="nil"/>
              <w:right w:val="nil"/>
            </w:tcBorders>
            <w:shd w:val="clear" w:color="auto" w:fill="auto"/>
            <w:vAlign w:val="bottom"/>
          </w:tcPr>
          <w:p w14:paraId="37288449" w14:textId="77777777" w:rsidR="006F4EBA" w:rsidRPr="00627B08" w:rsidRDefault="006F4EBA" w:rsidP="006F4EBA">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p>
        </w:tc>
        <w:tc>
          <w:tcPr>
            <w:tcW w:w="667" w:type="pct"/>
            <w:tcBorders>
              <w:top w:val="nil"/>
              <w:left w:val="nil"/>
              <w:bottom w:val="nil"/>
              <w:right w:val="nil"/>
            </w:tcBorders>
            <w:shd w:val="clear" w:color="auto" w:fill="auto"/>
            <w:vAlign w:val="bottom"/>
          </w:tcPr>
          <w:p w14:paraId="2867C780" w14:textId="77777777" w:rsidR="006F4EBA" w:rsidRPr="00627B08" w:rsidRDefault="006F4EBA" w:rsidP="006F4EB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r>
      <w:tr w:rsidR="006F4EBA" w:rsidRPr="00627B08" w14:paraId="4BF00176" w14:textId="77777777" w:rsidTr="00DF76E2">
        <w:trPr>
          <w:trHeight w:val="20"/>
        </w:trPr>
        <w:tc>
          <w:tcPr>
            <w:tcW w:w="2196" w:type="pct"/>
            <w:vAlign w:val="bottom"/>
          </w:tcPr>
          <w:p w14:paraId="070565C6" w14:textId="1FDAAF9A" w:rsidR="006F4EBA" w:rsidRPr="00627B08" w:rsidRDefault="006F4EBA" w:rsidP="006F4EBA">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288" w:name="_Toc67327651"/>
            <w:r w:rsidRPr="00627B08">
              <w:rPr>
                <w:rFonts w:ascii="Arial" w:eastAsia="Times New Roman" w:hAnsi="Arial" w:cs="Arial"/>
                <w:color w:val="000000" w:themeColor="text1"/>
                <w:sz w:val="20"/>
                <w:szCs w:val="20"/>
              </w:rPr>
              <w:t>7. b) Amortizacija</w:t>
            </w:r>
            <w:bookmarkEnd w:id="288"/>
          </w:p>
        </w:tc>
        <w:tc>
          <w:tcPr>
            <w:tcW w:w="758" w:type="pct"/>
            <w:tcBorders>
              <w:top w:val="nil"/>
              <w:left w:val="nil"/>
              <w:bottom w:val="nil"/>
              <w:right w:val="nil"/>
            </w:tcBorders>
            <w:shd w:val="clear" w:color="auto" w:fill="auto"/>
            <w:vAlign w:val="bottom"/>
          </w:tcPr>
          <w:p w14:paraId="751E0C22" w14:textId="5EC90633" w:rsidR="006F4EBA" w:rsidRPr="00DF76E2" w:rsidRDefault="003058A6" w:rsidP="006F4EBA">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r>
              <w:rPr>
                <w:rFonts w:ascii="Arial" w:eastAsia="Times New Roman" w:hAnsi="Arial" w:cs="Arial"/>
                <w:color w:val="000000" w:themeColor="text1"/>
                <w:spacing w:val="-3"/>
                <w:sz w:val="20"/>
                <w:szCs w:val="20"/>
              </w:rPr>
              <w:t>505</w:t>
            </w:r>
          </w:p>
        </w:tc>
        <w:tc>
          <w:tcPr>
            <w:tcW w:w="714" w:type="pct"/>
            <w:tcBorders>
              <w:top w:val="nil"/>
              <w:left w:val="nil"/>
              <w:bottom w:val="nil"/>
              <w:right w:val="nil"/>
            </w:tcBorders>
            <w:shd w:val="clear" w:color="auto" w:fill="auto"/>
            <w:vAlign w:val="bottom"/>
          </w:tcPr>
          <w:p w14:paraId="1CC45ED4" w14:textId="159CCE52" w:rsidR="006F4EBA" w:rsidRPr="00627B08" w:rsidRDefault="006F4EBA" w:rsidP="006F4EBA">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r w:rsidRPr="00DF76E2">
              <w:rPr>
                <w:rFonts w:ascii="Arial" w:hAnsi="Arial" w:cs="Arial"/>
                <w:sz w:val="20"/>
                <w:szCs w:val="20"/>
              </w:rPr>
              <w:t xml:space="preserve"> 344 </w:t>
            </w:r>
          </w:p>
        </w:tc>
        <w:tc>
          <w:tcPr>
            <w:tcW w:w="665" w:type="pct"/>
            <w:tcBorders>
              <w:top w:val="nil"/>
              <w:left w:val="nil"/>
              <w:bottom w:val="nil"/>
              <w:right w:val="nil"/>
            </w:tcBorders>
            <w:shd w:val="clear" w:color="auto" w:fill="auto"/>
            <w:vAlign w:val="bottom"/>
          </w:tcPr>
          <w:p w14:paraId="3476A2D7" w14:textId="0F304D05" w:rsidR="006F4EBA" w:rsidRPr="00627B08" w:rsidRDefault="008E60BA" w:rsidP="006F4EBA">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r>
              <w:rPr>
                <w:rFonts w:ascii="Arial" w:eastAsia="Times New Roman" w:hAnsi="Arial" w:cs="Arial"/>
                <w:color w:val="000000" w:themeColor="text1"/>
                <w:spacing w:val="-3"/>
                <w:sz w:val="20"/>
                <w:szCs w:val="20"/>
              </w:rPr>
              <w:t>485</w:t>
            </w:r>
          </w:p>
        </w:tc>
        <w:tc>
          <w:tcPr>
            <w:tcW w:w="667" w:type="pct"/>
            <w:tcBorders>
              <w:top w:val="nil"/>
              <w:left w:val="nil"/>
              <w:bottom w:val="nil"/>
              <w:right w:val="nil"/>
            </w:tcBorders>
            <w:shd w:val="clear" w:color="auto" w:fill="auto"/>
            <w:vAlign w:val="bottom"/>
          </w:tcPr>
          <w:p w14:paraId="4651D1F2" w14:textId="37C41945" w:rsidR="006F4EBA" w:rsidRPr="00627B08" w:rsidRDefault="006F4EBA" w:rsidP="006F4EBA">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r w:rsidRPr="00627B08">
              <w:rPr>
                <w:rFonts w:ascii="Arial" w:hAnsi="Arial" w:cs="Arial"/>
                <w:sz w:val="20"/>
                <w:szCs w:val="20"/>
              </w:rPr>
              <w:t xml:space="preserve"> 333 </w:t>
            </w:r>
          </w:p>
        </w:tc>
      </w:tr>
      <w:tr w:rsidR="006F4EBA" w:rsidRPr="00627B08" w14:paraId="6338D1F0" w14:textId="77777777" w:rsidTr="00DF76E2">
        <w:trPr>
          <w:trHeight w:val="20"/>
        </w:trPr>
        <w:tc>
          <w:tcPr>
            <w:tcW w:w="2196" w:type="pct"/>
            <w:vAlign w:val="bottom"/>
          </w:tcPr>
          <w:p w14:paraId="5174EFD2" w14:textId="77777777" w:rsidR="006F4EBA" w:rsidRPr="00627B08" w:rsidRDefault="006F4EBA" w:rsidP="006F4EBA">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758" w:type="pct"/>
            <w:tcBorders>
              <w:top w:val="nil"/>
              <w:left w:val="nil"/>
              <w:bottom w:val="nil"/>
              <w:right w:val="nil"/>
            </w:tcBorders>
            <w:shd w:val="clear" w:color="auto" w:fill="auto"/>
            <w:vAlign w:val="bottom"/>
          </w:tcPr>
          <w:p w14:paraId="0E2130F8" w14:textId="77777777" w:rsidR="006F4EBA" w:rsidRPr="00DF76E2" w:rsidRDefault="006F4EBA" w:rsidP="006F4EBA">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p>
        </w:tc>
        <w:tc>
          <w:tcPr>
            <w:tcW w:w="714" w:type="pct"/>
            <w:tcBorders>
              <w:top w:val="nil"/>
              <w:left w:val="nil"/>
              <w:bottom w:val="nil"/>
              <w:right w:val="nil"/>
            </w:tcBorders>
            <w:shd w:val="clear" w:color="auto" w:fill="auto"/>
            <w:vAlign w:val="bottom"/>
          </w:tcPr>
          <w:p w14:paraId="2A60603A" w14:textId="77777777" w:rsidR="006F4EBA" w:rsidRPr="00627B08" w:rsidRDefault="006F4EBA" w:rsidP="006F4EBA">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p>
        </w:tc>
        <w:tc>
          <w:tcPr>
            <w:tcW w:w="665" w:type="pct"/>
            <w:tcBorders>
              <w:top w:val="nil"/>
              <w:left w:val="nil"/>
              <w:bottom w:val="nil"/>
              <w:right w:val="nil"/>
            </w:tcBorders>
            <w:shd w:val="clear" w:color="auto" w:fill="auto"/>
            <w:vAlign w:val="bottom"/>
          </w:tcPr>
          <w:p w14:paraId="4E586B82" w14:textId="77777777" w:rsidR="006F4EBA" w:rsidRPr="00627B08" w:rsidRDefault="006F4EBA" w:rsidP="006F4EBA">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p>
        </w:tc>
        <w:tc>
          <w:tcPr>
            <w:tcW w:w="667" w:type="pct"/>
            <w:tcBorders>
              <w:top w:val="nil"/>
              <w:left w:val="nil"/>
              <w:bottom w:val="nil"/>
              <w:right w:val="nil"/>
            </w:tcBorders>
            <w:shd w:val="clear" w:color="auto" w:fill="auto"/>
            <w:vAlign w:val="bottom"/>
          </w:tcPr>
          <w:p w14:paraId="31213D48" w14:textId="77777777" w:rsidR="006F4EBA" w:rsidRPr="00627B08" w:rsidRDefault="006F4EBA" w:rsidP="006F4EB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r>
      <w:tr w:rsidR="006F4EBA" w:rsidRPr="00627B08" w14:paraId="72C2C757" w14:textId="77777777" w:rsidTr="00DF76E2">
        <w:trPr>
          <w:trHeight w:val="20"/>
        </w:trPr>
        <w:tc>
          <w:tcPr>
            <w:tcW w:w="2196" w:type="pct"/>
            <w:vAlign w:val="bottom"/>
          </w:tcPr>
          <w:p w14:paraId="15DADBC7" w14:textId="516F4629" w:rsidR="006F4EBA" w:rsidRPr="00627B08" w:rsidRDefault="006F4EBA" w:rsidP="006F4EBA">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289" w:name="_Toc67327656"/>
            <w:r w:rsidRPr="00627B08">
              <w:rPr>
                <w:rFonts w:ascii="Arial" w:eastAsia="Times New Roman" w:hAnsi="Arial" w:cs="Arial"/>
                <w:color w:val="000000" w:themeColor="text1"/>
                <w:sz w:val="20"/>
                <w:szCs w:val="20"/>
              </w:rPr>
              <w:t>7. c) Ostali troškovi</w:t>
            </w:r>
            <w:bookmarkEnd w:id="289"/>
          </w:p>
        </w:tc>
        <w:tc>
          <w:tcPr>
            <w:tcW w:w="758" w:type="pct"/>
            <w:tcBorders>
              <w:top w:val="nil"/>
              <w:left w:val="nil"/>
              <w:bottom w:val="nil"/>
              <w:right w:val="nil"/>
            </w:tcBorders>
            <w:shd w:val="clear" w:color="auto" w:fill="auto"/>
            <w:vAlign w:val="bottom"/>
          </w:tcPr>
          <w:p w14:paraId="082E10E0" w14:textId="64F58231" w:rsidR="006F4EBA" w:rsidRPr="00DF76E2" w:rsidRDefault="003058A6" w:rsidP="006F4EBA">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r>
              <w:rPr>
                <w:rFonts w:ascii="Arial" w:eastAsia="Times New Roman" w:hAnsi="Arial" w:cs="Arial"/>
                <w:color w:val="000000" w:themeColor="text1"/>
                <w:spacing w:val="-3"/>
                <w:sz w:val="20"/>
                <w:szCs w:val="20"/>
              </w:rPr>
              <w:t>2.748</w:t>
            </w:r>
          </w:p>
        </w:tc>
        <w:tc>
          <w:tcPr>
            <w:tcW w:w="714" w:type="pct"/>
            <w:tcBorders>
              <w:top w:val="nil"/>
              <w:left w:val="nil"/>
              <w:bottom w:val="nil"/>
              <w:right w:val="nil"/>
            </w:tcBorders>
            <w:shd w:val="clear" w:color="auto" w:fill="auto"/>
            <w:vAlign w:val="bottom"/>
          </w:tcPr>
          <w:p w14:paraId="6A4A21F6" w14:textId="15D0162E" w:rsidR="006F4EBA" w:rsidRPr="00627B08" w:rsidRDefault="006F4EBA" w:rsidP="006F4EBA">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r w:rsidRPr="00DF76E2">
              <w:rPr>
                <w:rFonts w:ascii="Arial" w:hAnsi="Arial" w:cs="Arial"/>
                <w:sz w:val="20"/>
                <w:szCs w:val="20"/>
              </w:rPr>
              <w:t xml:space="preserve"> 2.244 </w:t>
            </w:r>
          </w:p>
        </w:tc>
        <w:tc>
          <w:tcPr>
            <w:tcW w:w="665" w:type="pct"/>
            <w:tcBorders>
              <w:top w:val="nil"/>
              <w:left w:val="nil"/>
              <w:bottom w:val="nil"/>
              <w:right w:val="nil"/>
            </w:tcBorders>
            <w:shd w:val="clear" w:color="auto" w:fill="auto"/>
            <w:vAlign w:val="bottom"/>
          </w:tcPr>
          <w:p w14:paraId="3905CA3C" w14:textId="325B1220" w:rsidR="006F4EBA" w:rsidRPr="00627B08" w:rsidRDefault="000640FB" w:rsidP="006F4EBA">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r>
              <w:rPr>
                <w:rFonts w:ascii="Arial" w:eastAsia="Times New Roman" w:hAnsi="Arial" w:cs="Arial"/>
                <w:color w:val="000000" w:themeColor="text1"/>
                <w:spacing w:val="-3"/>
                <w:sz w:val="20"/>
                <w:szCs w:val="20"/>
              </w:rPr>
              <w:t>2.141</w:t>
            </w:r>
          </w:p>
        </w:tc>
        <w:tc>
          <w:tcPr>
            <w:tcW w:w="667" w:type="pct"/>
            <w:tcBorders>
              <w:top w:val="nil"/>
              <w:left w:val="nil"/>
              <w:bottom w:val="nil"/>
              <w:right w:val="nil"/>
            </w:tcBorders>
            <w:shd w:val="clear" w:color="auto" w:fill="auto"/>
            <w:vAlign w:val="bottom"/>
          </w:tcPr>
          <w:p w14:paraId="2E2C40E8" w14:textId="16B62EA9" w:rsidR="006F4EBA" w:rsidRPr="00627B08" w:rsidRDefault="006F4EBA" w:rsidP="006F4EB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627B08">
              <w:rPr>
                <w:rFonts w:ascii="Arial" w:hAnsi="Arial" w:cs="Arial"/>
                <w:sz w:val="20"/>
                <w:szCs w:val="20"/>
              </w:rPr>
              <w:t xml:space="preserve"> 1.766 </w:t>
            </w:r>
          </w:p>
        </w:tc>
      </w:tr>
      <w:tr w:rsidR="006F4EBA" w:rsidRPr="00627B08" w14:paraId="340F4901" w14:textId="77777777" w:rsidTr="00DF76E2">
        <w:trPr>
          <w:trHeight w:hRule="exact" w:val="114"/>
        </w:trPr>
        <w:tc>
          <w:tcPr>
            <w:tcW w:w="2196" w:type="pct"/>
            <w:vAlign w:val="bottom"/>
          </w:tcPr>
          <w:p w14:paraId="35664440" w14:textId="77777777" w:rsidR="006F4EBA" w:rsidRPr="00627B08" w:rsidRDefault="006F4EBA" w:rsidP="006F4EBA">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758" w:type="pct"/>
            <w:tcBorders>
              <w:top w:val="nil"/>
              <w:left w:val="nil"/>
              <w:bottom w:val="nil"/>
              <w:right w:val="nil"/>
            </w:tcBorders>
            <w:shd w:val="clear" w:color="auto" w:fill="auto"/>
            <w:vAlign w:val="bottom"/>
          </w:tcPr>
          <w:p w14:paraId="2F55179A" w14:textId="77777777" w:rsidR="006F4EBA" w:rsidRPr="00DF76E2" w:rsidRDefault="006F4EBA" w:rsidP="006F4EB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714" w:type="pct"/>
            <w:tcBorders>
              <w:top w:val="nil"/>
              <w:left w:val="nil"/>
              <w:bottom w:val="nil"/>
              <w:right w:val="nil"/>
            </w:tcBorders>
            <w:shd w:val="clear" w:color="auto" w:fill="auto"/>
            <w:vAlign w:val="bottom"/>
          </w:tcPr>
          <w:p w14:paraId="6E774C4E" w14:textId="77777777" w:rsidR="006F4EBA" w:rsidRPr="00627B08" w:rsidRDefault="006F4EBA" w:rsidP="006F4EB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665" w:type="pct"/>
            <w:tcBorders>
              <w:top w:val="nil"/>
              <w:left w:val="nil"/>
              <w:bottom w:val="nil"/>
              <w:right w:val="nil"/>
            </w:tcBorders>
            <w:shd w:val="clear" w:color="auto" w:fill="auto"/>
            <w:vAlign w:val="bottom"/>
          </w:tcPr>
          <w:p w14:paraId="71B7329C" w14:textId="77777777" w:rsidR="006F4EBA" w:rsidRPr="00627B08" w:rsidRDefault="006F4EBA" w:rsidP="006F4EB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667" w:type="pct"/>
            <w:tcBorders>
              <w:top w:val="nil"/>
              <w:left w:val="nil"/>
              <w:bottom w:val="nil"/>
              <w:right w:val="nil"/>
            </w:tcBorders>
            <w:shd w:val="clear" w:color="auto" w:fill="auto"/>
            <w:vAlign w:val="bottom"/>
          </w:tcPr>
          <w:p w14:paraId="1C1D88A1" w14:textId="77777777" w:rsidR="006F4EBA" w:rsidRPr="00627B08" w:rsidRDefault="006F4EBA" w:rsidP="006F4EB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r>
      <w:tr w:rsidR="006F4EBA" w:rsidRPr="00627B08" w14:paraId="2205E1E5" w14:textId="77777777" w:rsidTr="00DF76E2">
        <w:trPr>
          <w:trHeight w:val="20"/>
        </w:trPr>
        <w:tc>
          <w:tcPr>
            <w:tcW w:w="2196" w:type="pct"/>
            <w:vAlign w:val="bottom"/>
          </w:tcPr>
          <w:p w14:paraId="49706DE6" w14:textId="77777777" w:rsidR="006F4EBA" w:rsidRPr="00627B08" w:rsidRDefault="006F4EBA" w:rsidP="006F4EBA">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290" w:name="_Toc67327661"/>
            <w:r w:rsidRPr="00627B08">
              <w:rPr>
                <w:rFonts w:ascii="Arial" w:eastAsia="Times New Roman" w:hAnsi="Arial" w:cs="Arial"/>
                <w:color w:val="000000" w:themeColor="text1"/>
                <w:sz w:val="20"/>
                <w:szCs w:val="20"/>
              </w:rPr>
              <w:t>Od čega:</w:t>
            </w:r>
            <w:bookmarkEnd w:id="290"/>
          </w:p>
        </w:tc>
        <w:tc>
          <w:tcPr>
            <w:tcW w:w="758" w:type="pct"/>
            <w:tcBorders>
              <w:top w:val="nil"/>
              <w:left w:val="nil"/>
              <w:bottom w:val="nil"/>
              <w:right w:val="nil"/>
            </w:tcBorders>
            <w:shd w:val="clear" w:color="auto" w:fill="auto"/>
            <w:vAlign w:val="bottom"/>
          </w:tcPr>
          <w:p w14:paraId="7934F5C8" w14:textId="77777777" w:rsidR="006F4EBA" w:rsidRPr="00DF76E2" w:rsidRDefault="006F4EBA" w:rsidP="006F4EB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714" w:type="pct"/>
            <w:tcBorders>
              <w:top w:val="nil"/>
              <w:left w:val="nil"/>
              <w:bottom w:val="nil"/>
              <w:right w:val="nil"/>
            </w:tcBorders>
            <w:shd w:val="clear" w:color="auto" w:fill="auto"/>
            <w:vAlign w:val="bottom"/>
          </w:tcPr>
          <w:p w14:paraId="7FC5E2B4" w14:textId="77777777" w:rsidR="006F4EBA" w:rsidRPr="00627B08" w:rsidRDefault="006F4EBA" w:rsidP="006F4EB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665" w:type="pct"/>
            <w:tcBorders>
              <w:top w:val="nil"/>
              <w:left w:val="nil"/>
              <w:bottom w:val="nil"/>
              <w:right w:val="nil"/>
            </w:tcBorders>
            <w:shd w:val="clear" w:color="auto" w:fill="auto"/>
            <w:vAlign w:val="bottom"/>
          </w:tcPr>
          <w:p w14:paraId="659706B4" w14:textId="77777777" w:rsidR="006F4EBA" w:rsidRPr="00627B08" w:rsidRDefault="006F4EBA" w:rsidP="006F4EB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c>
          <w:tcPr>
            <w:tcW w:w="667" w:type="pct"/>
            <w:tcBorders>
              <w:top w:val="nil"/>
              <w:left w:val="nil"/>
              <w:bottom w:val="nil"/>
              <w:right w:val="nil"/>
            </w:tcBorders>
            <w:shd w:val="clear" w:color="auto" w:fill="auto"/>
            <w:vAlign w:val="bottom"/>
          </w:tcPr>
          <w:p w14:paraId="6DE91635" w14:textId="77777777" w:rsidR="006F4EBA" w:rsidRPr="00627B08" w:rsidRDefault="006F4EBA" w:rsidP="006F4EBA">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p>
        </w:tc>
      </w:tr>
      <w:tr w:rsidR="006F4EBA" w:rsidRPr="00627B08" w14:paraId="7FE02486" w14:textId="77777777" w:rsidTr="00DF76E2">
        <w:trPr>
          <w:trHeight w:val="20"/>
        </w:trPr>
        <w:tc>
          <w:tcPr>
            <w:tcW w:w="2196" w:type="pct"/>
            <w:vAlign w:val="bottom"/>
          </w:tcPr>
          <w:p w14:paraId="56B7E4BC" w14:textId="77777777" w:rsidR="006F4EBA" w:rsidRPr="00627B08" w:rsidRDefault="006F4EBA" w:rsidP="006F4EBA">
            <w:pPr>
              <w:tabs>
                <w:tab w:val="right" w:pos="1202"/>
              </w:tabs>
              <w:suppressAutoHyphens/>
              <w:autoSpaceDN w:val="0"/>
              <w:spacing w:line="301" w:lineRule="exact"/>
              <w:outlineLvl w:val="0"/>
              <w:rPr>
                <w:rFonts w:ascii="Arial" w:eastAsia="Times New Roman" w:hAnsi="Arial" w:cs="Arial"/>
                <w:i/>
                <w:color w:val="000000" w:themeColor="text1"/>
                <w:sz w:val="20"/>
                <w:szCs w:val="20"/>
              </w:rPr>
            </w:pPr>
            <w:bookmarkStart w:id="291" w:name="_Toc67327662"/>
            <w:r w:rsidRPr="00627B08">
              <w:rPr>
                <w:rFonts w:ascii="Arial" w:eastAsia="Times New Roman" w:hAnsi="Arial" w:cs="Arial"/>
                <w:i/>
                <w:color w:val="000000" w:themeColor="text1"/>
                <w:sz w:val="20"/>
                <w:szCs w:val="20"/>
              </w:rPr>
              <w:t>Troškovi administracije</w:t>
            </w:r>
            <w:bookmarkEnd w:id="291"/>
            <w:r w:rsidRPr="00627B08">
              <w:rPr>
                <w:rFonts w:ascii="Arial" w:eastAsia="Times New Roman" w:hAnsi="Arial" w:cs="Arial"/>
                <w:i/>
                <w:color w:val="000000" w:themeColor="text1"/>
                <w:sz w:val="20"/>
                <w:szCs w:val="20"/>
              </w:rPr>
              <w:t xml:space="preserve"> </w:t>
            </w:r>
          </w:p>
        </w:tc>
        <w:tc>
          <w:tcPr>
            <w:tcW w:w="758" w:type="pct"/>
            <w:tcBorders>
              <w:top w:val="nil"/>
              <w:left w:val="nil"/>
              <w:bottom w:val="nil"/>
              <w:right w:val="nil"/>
            </w:tcBorders>
            <w:shd w:val="clear" w:color="auto" w:fill="auto"/>
            <w:vAlign w:val="bottom"/>
          </w:tcPr>
          <w:p w14:paraId="67CED244" w14:textId="25499D17" w:rsidR="006F4EBA" w:rsidRPr="00DF76E2" w:rsidRDefault="002143DD" w:rsidP="006F4EBA">
            <w:pPr>
              <w:tabs>
                <w:tab w:val="right" w:pos="1202"/>
              </w:tabs>
              <w:suppressAutoHyphens/>
              <w:autoSpaceDN w:val="0"/>
              <w:jc w:val="right"/>
              <w:outlineLvl w:val="0"/>
              <w:rPr>
                <w:rFonts w:ascii="Arial" w:eastAsia="Times New Roman" w:hAnsi="Arial" w:cs="Arial"/>
                <w:i/>
                <w:iCs/>
                <w:color w:val="000000" w:themeColor="text1"/>
                <w:sz w:val="20"/>
                <w:szCs w:val="20"/>
              </w:rPr>
            </w:pPr>
            <w:r>
              <w:rPr>
                <w:rFonts w:ascii="Arial" w:eastAsia="Times New Roman" w:hAnsi="Arial" w:cs="Arial"/>
                <w:i/>
                <w:iCs/>
                <w:color w:val="000000" w:themeColor="text1"/>
                <w:sz w:val="20"/>
                <w:szCs w:val="20"/>
              </w:rPr>
              <w:t>1.157</w:t>
            </w:r>
          </w:p>
        </w:tc>
        <w:tc>
          <w:tcPr>
            <w:tcW w:w="714" w:type="pct"/>
            <w:tcBorders>
              <w:top w:val="nil"/>
              <w:left w:val="nil"/>
              <w:bottom w:val="nil"/>
              <w:right w:val="nil"/>
            </w:tcBorders>
            <w:shd w:val="clear" w:color="auto" w:fill="auto"/>
            <w:vAlign w:val="bottom"/>
          </w:tcPr>
          <w:p w14:paraId="04656FF8" w14:textId="07F677DC" w:rsidR="006F4EBA" w:rsidRPr="00627B08" w:rsidRDefault="006F4EBA" w:rsidP="006F4EBA">
            <w:pPr>
              <w:tabs>
                <w:tab w:val="right" w:pos="1202"/>
              </w:tabs>
              <w:suppressAutoHyphens/>
              <w:autoSpaceDN w:val="0"/>
              <w:jc w:val="right"/>
              <w:outlineLvl w:val="0"/>
              <w:rPr>
                <w:rFonts w:ascii="Arial" w:eastAsia="Times New Roman" w:hAnsi="Arial" w:cs="Arial"/>
                <w:i/>
                <w:iCs/>
                <w:color w:val="000000" w:themeColor="text1"/>
                <w:sz w:val="20"/>
                <w:szCs w:val="20"/>
              </w:rPr>
            </w:pPr>
            <w:r w:rsidRPr="00DF76E2">
              <w:rPr>
                <w:rFonts w:ascii="Arial" w:hAnsi="Arial" w:cs="Arial"/>
                <w:i/>
                <w:iCs/>
                <w:sz w:val="20"/>
                <w:szCs w:val="20"/>
              </w:rPr>
              <w:t xml:space="preserve"> 514 </w:t>
            </w:r>
          </w:p>
        </w:tc>
        <w:tc>
          <w:tcPr>
            <w:tcW w:w="665" w:type="pct"/>
            <w:tcBorders>
              <w:top w:val="nil"/>
              <w:left w:val="nil"/>
              <w:bottom w:val="nil"/>
              <w:right w:val="nil"/>
            </w:tcBorders>
            <w:shd w:val="clear" w:color="auto" w:fill="auto"/>
            <w:vAlign w:val="bottom"/>
          </w:tcPr>
          <w:p w14:paraId="42853AD6" w14:textId="6CDD4863" w:rsidR="006F4EBA" w:rsidRPr="00627B08" w:rsidRDefault="000640FB" w:rsidP="006F4EBA">
            <w:pPr>
              <w:tabs>
                <w:tab w:val="right" w:pos="1202"/>
              </w:tabs>
              <w:suppressAutoHyphens/>
              <w:autoSpaceDN w:val="0"/>
              <w:jc w:val="right"/>
              <w:outlineLvl w:val="0"/>
              <w:rPr>
                <w:rFonts w:ascii="Arial" w:eastAsia="Times New Roman" w:hAnsi="Arial" w:cs="Arial"/>
                <w:i/>
                <w:iCs/>
                <w:color w:val="000000" w:themeColor="text1"/>
                <w:sz w:val="20"/>
                <w:szCs w:val="20"/>
              </w:rPr>
            </w:pPr>
            <w:r>
              <w:rPr>
                <w:rFonts w:ascii="Arial" w:eastAsia="Times New Roman" w:hAnsi="Arial" w:cs="Arial"/>
                <w:i/>
                <w:iCs/>
                <w:color w:val="000000" w:themeColor="text1"/>
                <w:sz w:val="20"/>
                <w:szCs w:val="20"/>
              </w:rPr>
              <w:t>1.141</w:t>
            </w:r>
          </w:p>
        </w:tc>
        <w:tc>
          <w:tcPr>
            <w:tcW w:w="667" w:type="pct"/>
            <w:tcBorders>
              <w:top w:val="nil"/>
              <w:left w:val="nil"/>
              <w:bottom w:val="nil"/>
              <w:right w:val="nil"/>
            </w:tcBorders>
            <w:shd w:val="clear" w:color="auto" w:fill="auto"/>
            <w:vAlign w:val="bottom"/>
          </w:tcPr>
          <w:p w14:paraId="0C2EF0FF" w14:textId="43B48AC1" w:rsidR="006F4EBA" w:rsidRPr="00627B08" w:rsidRDefault="006F4EBA" w:rsidP="006F4EBA">
            <w:pPr>
              <w:tabs>
                <w:tab w:val="right" w:pos="1202"/>
              </w:tabs>
              <w:suppressAutoHyphens/>
              <w:autoSpaceDN w:val="0"/>
              <w:jc w:val="right"/>
              <w:outlineLvl w:val="0"/>
              <w:rPr>
                <w:rFonts w:ascii="Arial" w:eastAsia="Times New Roman" w:hAnsi="Arial" w:cs="Arial"/>
                <w:i/>
                <w:iCs/>
                <w:color w:val="000000" w:themeColor="text1"/>
                <w:sz w:val="20"/>
                <w:szCs w:val="20"/>
              </w:rPr>
            </w:pPr>
            <w:r w:rsidRPr="00627B08">
              <w:rPr>
                <w:rFonts w:ascii="Arial" w:hAnsi="Arial" w:cs="Arial"/>
                <w:i/>
                <w:iCs/>
                <w:sz w:val="20"/>
                <w:szCs w:val="20"/>
              </w:rPr>
              <w:t xml:space="preserve"> 493 </w:t>
            </w:r>
          </w:p>
        </w:tc>
      </w:tr>
      <w:tr w:rsidR="006F4EBA" w:rsidRPr="00627B08" w14:paraId="45E351EB" w14:textId="77777777" w:rsidTr="00DF76E2">
        <w:trPr>
          <w:trHeight w:val="20"/>
        </w:trPr>
        <w:tc>
          <w:tcPr>
            <w:tcW w:w="2196" w:type="pct"/>
            <w:vAlign w:val="bottom"/>
          </w:tcPr>
          <w:p w14:paraId="54E62A3B" w14:textId="77777777" w:rsidR="006F4EBA" w:rsidRPr="00627B08" w:rsidRDefault="006F4EBA" w:rsidP="006F4EBA">
            <w:pPr>
              <w:tabs>
                <w:tab w:val="right" w:pos="1202"/>
              </w:tabs>
              <w:suppressAutoHyphens/>
              <w:autoSpaceDN w:val="0"/>
              <w:spacing w:line="301" w:lineRule="exact"/>
              <w:outlineLvl w:val="0"/>
              <w:rPr>
                <w:rFonts w:ascii="Arial" w:eastAsia="Times New Roman" w:hAnsi="Arial" w:cs="Arial"/>
                <w:i/>
                <w:color w:val="000000" w:themeColor="text1"/>
                <w:sz w:val="20"/>
                <w:szCs w:val="20"/>
              </w:rPr>
            </w:pPr>
            <w:bookmarkStart w:id="292" w:name="_Toc67327667"/>
            <w:r w:rsidRPr="00627B08">
              <w:rPr>
                <w:rFonts w:ascii="Arial" w:eastAsia="Times New Roman" w:hAnsi="Arial" w:cs="Arial"/>
                <w:i/>
                <w:color w:val="000000" w:themeColor="text1"/>
                <w:sz w:val="20"/>
                <w:szCs w:val="20"/>
              </w:rPr>
              <w:t>Utrošeni materijal i usluge</w:t>
            </w:r>
            <w:bookmarkEnd w:id="292"/>
          </w:p>
        </w:tc>
        <w:tc>
          <w:tcPr>
            <w:tcW w:w="758" w:type="pct"/>
            <w:tcBorders>
              <w:top w:val="nil"/>
              <w:left w:val="nil"/>
              <w:bottom w:val="nil"/>
              <w:right w:val="nil"/>
            </w:tcBorders>
            <w:shd w:val="clear" w:color="auto" w:fill="auto"/>
            <w:vAlign w:val="bottom"/>
          </w:tcPr>
          <w:p w14:paraId="1CEEF586" w14:textId="108BCBC1" w:rsidR="006F4EBA" w:rsidRPr="00DF76E2" w:rsidRDefault="002143DD" w:rsidP="006F4EBA">
            <w:pPr>
              <w:tabs>
                <w:tab w:val="right" w:pos="1202"/>
              </w:tabs>
              <w:suppressAutoHyphens/>
              <w:autoSpaceDN w:val="0"/>
              <w:jc w:val="right"/>
              <w:outlineLvl w:val="0"/>
              <w:rPr>
                <w:rFonts w:ascii="Arial" w:eastAsia="Times New Roman" w:hAnsi="Arial" w:cs="Arial"/>
                <w:i/>
                <w:iCs/>
                <w:color w:val="000000" w:themeColor="text1"/>
                <w:sz w:val="20"/>
                <w:szCs w:val="20"/>
              </w:rPr>
            </w:pPr>
            <w:r>
              <w:rPr>
                <w:rFonts w:ascii="Arial" w:eastAsia="Times New Roman" w:hAnsi="Arial" w:cs="Arial"/>
                <w:i/>
                <w:iCs/>
                <w:color w:val="000000" w:themeColor="text1"/>
                <w:sz w:val="20"/>
                <w:szCs w:val="20"/>
              </w:rPr>
              <w:t>969</w:t>
            </w:r>
          </w:p>
        </w:tc>
        <w:tc>
          <w:tcPr>
            <w:tcW w:w="714" w:type="pct"/>
            <w:tcBorders>
              <w:top w:val="nil"/>
              <w:left w:val="nil"/>
              <w:bottom w:val="nil"/>
              <w:right w:val="nil"/>
            </w:tcBorders>
            <w:shd w:val="clear" w:color="auto" w:fill="auto"/>
            <w:vAlign w:val="bottom"/>
          </w:tcPr>
          <w:p w14:paraId="164DD23A" w14:textId="3FDB7B17" w:rsidR="006F4EBA" w:rsidRPr="00627B08" w:rsidRDefault="006F4EBA" w:rsidP="006F4EBA">
            <w:pPr>
              <w:tabs>
                <w:tab w:val="right" w:pos="1202"/>
              </w:tabs>
              <w:suppressAutoHyphens/>
              <w:autoSpaceDN w:val="0"/>
              <w:jc w:val="right"/>
              <w:outlineLvl w:val="0"/>
              <w:rPr>
                <w:rFonts w:ascii="Arial" w:eastAsia="Times New Roman" w:hAnsi="Arial" w:cs="Arial"/>
                <w:i/>
                <w:iCs/>
                <w:color w:val="000000" w:themeColor="text1"/>
                <w:sz w:val="20"/>
                <w:szCs w:val="20"/>
              </w:rPr>
            </w:pPr>
            <w:r w:rsidRPr="00DF76E2">
              <w:rPr>
                <w:rFonts w:ascii="Arial" w:hAnsi="Arial" w:cs="Arial"/>
                <w:i/>
                <w:iCs/>
                <w:sz w:val="20"/>
                <w:szCs w:val="20"/>
              </w:rPr>
              <w:t xml:space="preserve"> 1.084 </w:t>
            </w:r>
          </w:p>
        </w:tc>
        <w:tc>
          <w:tcPr>
            <w:tcW w:w="665" w:type="pct"/>
            <w:tcBorders>
              <w:top w:val="nil"/>
              <w:left w:val="nil"/>
              <w:bottom w:val="nil"/>
              <w:right w:val="nil"/>
            </w:tcBorders>
            <w:shd w:val="clear" w:color="auto" w:fill="auto"/>
            <w:vAlign w:val="bottom"/>
          </w:tcPr>
          <w:p w14:paraId="4286A58E" w14:textId="63A8695D" w:rsidR="006F4EBA" w:rsidRPr="00627B08" w:rsidRDefault="005D60E5" w:rsidP="006F4EBA">
            <w:pPr>
              <w:tabs>
                <w:tab w:val="right" w:pos="1202"/>
              </w:tabs>
              <w:suppressAutoHyphens/>
              <w:autoSpaceDN w:val="0"/>
              <w:jc w:val="right"/>
              <w:outlineLvl w:val="0"/>
              <w:rPr>
                <w:rFonts w:ascii="Arial" w:eastAsia="Times New Roman" w:hAnsi="Arial" w:cs="Arial"/>
                <w:i/>
                <w:iCs/>
                <w:color w:val="000000" w:themeColor="text1"/>
                <w:sz w:val="20"/>
                <w:szCs w:val="20"/>
              </w:rPr>
            </w:pPr>
            <w:r>
              <w:rPr>
                <w:rFonts w:ascii="Arial" w:eastAsia="Times New Roman" w:hAnsi="Arial" w:cs="Arial"/>
                <w:i/>
                <w:iCs/>
                <w:color w:val="000000" w:themeColor="text1"/>
                <w:sz w:val="20"/>
                <w:szCs w:val="20"/>
              </w:rPr>
              <w:t>874</w:t>
            </w:r>
          </w:p>
        </w:tc>
        <w:tc>
          <w:tcPr>
            <w:tcW w:w="667" w:type="pct"/>
            <w:tcBorders>
              <w:top w:val="nil"/>
              <w:left w:val="nil"/>
              <w:bottom w:val="nil"/>
              <w:right w:val="nil"/>
            </w:tcBorders>
            <w:shd w:val="clear" w:color="auto" w:fill="auto"/>
            <w:vAlign w:val="bottom"/>
          </w:tcPr>
          <w:p w14:paraId="428A120D" w14:textId="138F20B7" w:rsidR="006F4EBA" w:rsidRPr="00627B08" w:rsidRDefault="006F4EBA" w:rsidP="006F4EBA">
            <w:pPr>
              <w:tabs>
                <w:tab w:val="right" w:pos="1202"/>
              </w:tabs>
              <w:suppressAutoHyphens/>
              <w:autoSpaceDN w:val="0"/>
              <w:jc w:val="right"/>
              <w:outlineLvl w:val="0"/>
              <w:rPr>
                <w:rFonts w:ascii="Arial" w:eastAsia="Times New Roman" w:hAnsi="Arial" w:cs="Arial"/>
                <w:i/>
                <w:iCs/>
                <w:color w:val="000000" w:themeColor="text1"/>
                <w:sz w:val="20"/>
                <w:szCs w:val="20"/>
              </w:rPr>
            </w:pPr>
            <w:r w:rsidRPr="00627B08">
              <w:rPr>
                <w:rFonts w:ascii="Arial" w:hAnsi="Arial" w:cs="Arial"/>
                <w:i/>
                <w:iCs/>
                <w:sz w:val="20"/>
                <w:szCs w:val="20"/>
              </w:rPr>
              <w:t xml:space="preserve"> 1.002 </w:t>
            </w:r>
          </w:p>
        </w:tc>
      </w:tr>
      <w:tr w:rsidR="006F4EBA" w:rsidRPr="00627B08" w14:paraId="1F24F2BC" w14:textId="77777777" w:rsidTr="00DF76E2">
        <w:trPr>
          <w:trHeight w:val="20"/>
        </w:trPr>
        <w:tc>
          <w:tcPr>
            <w:tcW w:w="2196" w:type="pct"/>
            <w:vAlign w:val="bottom"/>
          </w:tcPr>
          <w:p w14:paraId="3CCA6C01" w14:textId="77777777" w:rsidR="006F4EBA" w:rsidRPr="00627B08" w:rsidRDefault="006F4EBA" w:rsidP="006F4EBA">
            <w:pPr>
              <w:tabs>
                <w:tab w:val="right" w:pos="1202"/>
              </w:tabs>
              <w:suppressAutoHyphens/>
              <w:autoSpaceDN w:val="0"/>
              <w:spacing w:line="301" w:lineRule="exact"/>
              <w:outlineLvl w:val="0"/>
              <w:rPr>
                <w:rFonts w:ascii="Arial" w:eastAsia="Times New Roman" w:hAnsi="Arial" w:cs="Arial"/>
                <w:i/>
                <w:color w:val="000000" w:themeColor="text1"/>
                <w:sz w:val="20"/>
                <w:szCs w:val="20"/>
              </w:rPr>
            </w:pPr>
            <w:bookmarkStart w:id="293" w:name="_Toc67327672"/>
            <w:r w:rsidRPr="00627B08">
              <w:rPr>
                <w:rFonts w:ascii="Arial" w:eastAsia="Times New Roman" w:hAnsi="Arial" w:cs="Arial"/>
                <w:i/>
                <w:color w:val="000000" w:themeColor="text1"/>
                <w:sz w:val="20"/>
                <w:szCs w:val="20"/>
              </w:rPr>
              <w:t>Ostali rashodi</w:t>
            </w:r>
            <w:bookmarkEnd w:id="293"/>
          </w:p>
        </w:tc>
        <w:tc>
          <w:tcPr>
            <w:tcW w:w="758" w:type="pct"/>
            <w:tcBorders>
              <w:top w:val="nil"/>
              <w:left w:val="nil"/>
              <w:bottom w:val="nil"/>
              <w:right w:val="nil"/>
            </w:tcBorders>
            <w:shd w:val="clear" w:color="auto" w:fill="auto"/>
            <w:vAlign w:val="bottom"/>
          </w:tcPr>
          <w:p w14:paraId="3C9E2EB7" w14:textId="62CF2B74" w:rsidR="006F4EBA" w:rsidRPr="00DF76E2" w:rsidRDefault="002143DD" w:rsidP="006F4EBA">
            <w:pPr>
              <w:tabs>
                <w:tab w:val="right" w:pos="1202"/>
              </w:tabs>
              <w:suppressAutoHyphens/>
              <w:autoSpaceDN w:val="0"/>
              <w:jc w:val="right"/>
              <w:outlineLvl w:val="0"/>
              <w:rPr>
                <w:rFonts w:ascii="Arial" w:eastAsia="Times New Roman" w:hAnsi="Arial" w:cs="Arial"/>
                <w:i/>
                <w:iCs/>
                <w:color w:val="000000" w:themeColor="text1"/>
                <w:sz w:val="20"/>
                <w:szCs w:val="20"/>
              </w:rPr>
            </w:pPr>
            <w:r>
              <w:rPr>
                <w:rFonts w:ascii="Arial" w:eastAsia="Times New Roman" w:hAnsi="Arial" w:cs="Arial"/>
                <w:i/>
                <w:iCs/>
                <w:color w:val="000000" w:themeColor="text1"/>
                <w:sz w:val="20"/>
                <w:szCs w:val="20"/>
              </w:rPr>
              <w:t>622</w:t>
            </w:r>
          </w:p>
        </w:tc>
        <w:tc>
          <w:tcPr>
            <w:tcW w:w="714" w:type="pct"/>
            <w:tcBorders>
              <w:top w:val="nil"/>
              <w:left w:val="nil"/>
              <w:bottom w:val="nil"/>
              <w:right w:val="nil"/>
            </w:tcBorders>
            <w:shd w:val="clear" w:color="auto" w:fill="auto"/>
            <w:vAlign w:val="bottom"/>
          </w:tcPr>
          <w:p w14:paraId="1B72FFD8" w14:textId="4ECEEECD" w:rsidR="006F4EBA" w:rsidRPr="00627B08" w:rsidRDefault="006F4EBA" w:rsidP="006F4EBA">
            <w:pPr>
              <w:tabs>
                <w:tab w:val="right" w:pos="1202"/>
              </w:tabs>
              <w:suppressAutoHyphens/>
              <w:autoSpaceDN w:val="0"/>
              <w:jc w:val="right"/>
              <w:outlineLvl w:val="0"/>
              <w:rPr>
                <w:rFonts w:ascii="Arial" w:eastAsia="Times New Roman" w:hAnsi="Arial" w:cs="Arial"/>
                <w:i/>
                <w:iCs/>
                <w:color w:val="000000" w:themeColor="text1"/>
                <w:sz w:val="20"/>
                <w:szCs w:val="20"/>
              </w:rPr>
            </w:pPr>
            <w:r w:rsidRPr="00DF76E2">
              <w:rPr>
                <w:rFonts w:ascii="Arial" w:hAnsi="Arial" w:cs="Arial"/>
                <w:i/>
                <w:iCs/>
                <w:sz w:val="20"/>
                <w:szCs w:val="20"/>
              </w:rPr>
              <w:t xml:space="preserve"> 646 </w:t>
            </w:r>
          </w:p>
        </w:tc>
        <w:tc>
          <w:tcPr>
            <w:tcW w:w="665" w:type="pct"/>
            <w:tcBorders>
              <w:top w:val="nil"/>
              <w:left w:val="nil"/>
              <w:bottom w:val="nil"/>
              <w:right w:val="nil"/>
            </w:tcBorders>
            <w:shd w:val="clear" w:color="auto" w:fill="auto"/>
            <w:vAlign w:val="bottom"/>
          </w:tcPr>
          <w:p w14:paraId="25CDC162" w14:textId="0A99891D" w:rsidR="006F4EBA" w:rsidRPr="00627B08" w:rsidRDefault="005D60E5" w:rsidP="006F4EBA">
            <w:pPr>
              <w:tabs>
                <w:tab w:val="right" w:pos="1202"/>
              </w:tabs>
              <w:suppressAutoHyphens/>
              <w:autoSpaceDN w:val="0"/>
              <w:jc w:val="right"/>
              <w:outlineLvl w:val="0"/>
              <w:rPr>
                <w:rFonts w:ascii="Arial" w:eastAsia="Times New Roman" w:hAnsi="Arial" w:cs="Arial"/>
                <w:i/>
                <w:iCs/>
                <w:color w:val="000000" w:themeColor="text1"/>
                <w:sz w:val="20"/>
                <w:szCs w:val="20"/>
              </w:rPr>
            </w:pPr>
            <w:r>
              <w:rPr>
                <w:rFonts w:ascii="Arial" w:eastAsia="Times New Roman" w:hAnsi="Arial" w:cs="Arial"/>
                <w:i/>
                <w:iCs/>
                <w:color w:val="000000" w:themeColor="text1"/>
                <w:sz w:val="20"/>
                <w:szCs w:val="20"/>
              </w:rPr>
              <w:t>126</w:t>
            </w:r>
          </w:p>
        </w:tc>
        <w:tc>
          <w:tcPr>
            <w:tcW w:w="667" w:type="pct"/>
            <w:tcBorders>
              <w:top w:val="nil"/>
              <w:left w:val="nil"/>
              <w:bottom w:val="nil"/>
              <w:right w:val="nil"/>
            </w:tcBorders>
            <w:shd w:val="clear" w:color="auto" w:fill="auto"/>
            <w:vAlign w:val="bottom"/>
          </w:tcPr>
          <w:p w14:paraId="6180A41E" w14:textId="53F47351" w:rsidR="006F4EBA" w:rsidRPr="00627B08" w:rsidRDefault="006F4EBA" w:rsidP="006F4EBA">
            <w:pPr>
              <w:tabs>
                <w:tab w:val="right" w:pos="1202"/>
              </w:tabs>
              <w:suppressAutoHyphens/>
              <w:autoSpaceDN w:val="0"/>
              <w:jc w:val="right"/>
              <w:outlineLvl w:val="0"/>
              <w:rPr>
                <w:rFonts w:ascii="Arial" w:eastAsia="Times New Roman" w:hAnsi="Arial" w:cs="Arial"/>
                <w:i/>
                <w:iCs/>
                <w:color w:val="000000" w:themeColor="text1"/>
                <w:sz w:val="20"/>
                <w:szCs w:val="20"/>
              </w:rPr>
            </w:pPr>
            <w:r w:rsidRPr="00627B08">
              <w:rPr>
                <w:rFonts w:ascii="Arial" w:hAnsi="Arial" w:cs="Arial"/>
                <w:i/>
                <w:iCs/>
                <w:sz w:val="20"/>
                <w:szCs w:val="20"/>
              </w:rPr>
              <w:t xml:space="preserve"> 271 </w:t>
            </w:r>
          </w:p>
        </w:tc>
      </w:tr>
      <w:tr w:rsidR="006F4EBA" w:rsidRPr="00627B08" w14:paraId="4774C30F" w14:textId="77777777" w:rsidTr="00DF76E2">
        <w:trPr>
          <w:trHeight w:val="20"/>
        </w:trPr>
        <w:tc>
          <w:tcPr>
            <w:tcW w:w="2196" w:type="pct"/>
            <w:vAlign w:val="bottom"/>
          </w:tcPr>
          <w:p w14:paraId="6780D5FC" w14:textId="77777777" w:rsidR="006F4EBA" w:rsidRPr="00627B08" w:rsidRDefault="006F4EBA" w:rsidP="006F4EBA">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758" w:type="pct"/>
            <w:tcBorders>
              <w:top w:val="single" w:sz="4" w:space="0" w:color="auto"/>
              <w:left w:val="nil"/>
              <w:bottom w:val="single" w:sz="12" w:space="0" w:color="auto"/>
              <w:right w:val="nil"/>
            </w:tcBorders>
            <w:shd w:val="clear" w:color="auto" w:fill="auto"/>
            <w:vAlign w:val="bottom"/>
          </w:tcPr>
          <w:p w14:paraId="549E0D85" w14:textId="74BEC6A9" w:rsidR="006F4EBA" w:rsidRPr="00DF76E2" w:rsidRDefault="002143DD" w:rsidP="006F4EBA">
            <w:pPr>
              <w:tabs>
                <w:tab w:val="right" w:pos="1202"/>
              </w:tabs>
              <w:suppressAutoHyphens/>
              <w:autoSpaceDN w:val="0"/>
              <w:spacing w:line="301"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7.513</w:t>
            </w:r>
          </w:p>
        </w:tc>
        <w:tc>
          <w:tcPr>
            <w:tcW w:w="714" w:type="pct"/>
            <w:tcBorders>
              <w:top w:val="single" w:sz="4" w:space="0" w:color="auto"/>
              <w:left w:val="nil"/>
              <w:bottom w:val="single" w:sz="12" w:space="0" w:color="auto"/>
              <w:right w:val="nil"/>
            </w:tcBorders>
            <w:shd w:val="clear" w:color="auto" w:fill="auto"/>
            <w:vAlign w:val="bottom"/>
          </w:tcPr>
          <w:p w14:paraId="4E799383" w14:textId="27DF0CB9" w:rsidR="006F4EBA" w:rsidRPr="00627B08" w:rsidRDefault="006F4EBA" w:rsidP="006F4EBA">
            <w:pPr>
              <w:tabs>
                <w:tab w:val="right" w:pos="1202"/>
              </w:tabs>
              <w:suppressAutoHyphens/>
              <w:autoSpaceDN w:val="0"/>
              <w:spacing w:line="301" w:lineRule="exact"/>
              <w:jc w:val="right"/>
              <w:outlineLvl w:val="0"/>
              <w:rPr>
                <w:rFonts w:ascii="Arial" w:eastAsia="Times New Roman" w:hAnsi="Arial" w:cs="Arial"/>
                <w:b/>
                <w:bCs/>
                <w:color w:val="000000" w:themeColor="text1"/>
                <w:sz w:val="20"/>
                <w:szCs w:val="20"/>
              </w:rPr>
            </w:pPr>
            <w:r w:rsidRPr="00DF76E2">
              <w:rPr>
                <w:rFonts w:ascii="Arial" w:hAnsi="Arial" w:cs="Arial"/>
                <w:b/>
                <w:bCs/>
                <w:sz w:val="20"/>
                <w:szCs w:val="20"/>
              </w:rPr>
              <w:t xml:space="preserve"> 6.283 </w:t>
            </w:r>
          </w:p>
        </w:tc>
        <w:tc>
          <w:tcPr>
            <w:tcW w:w="665" w:type="pct"/>
            <w:tcBorders>
              <w:top w:val="single" w:sz="4" w:space="0" w:color="auto"/>
              <w:left w:val="nil"/>
              <w:bottom w:val="single" w:sz="12" w:space="0" w:color="auto"/>
              <w:right w:val="nil"/>
            </w:tcBorders>
            <w:shd w:val="clear" w:color="auto" w:fill="auto"/>
            <w:vAlign w:val="bottom"/>
          </w:tcPr>
          <w:p w14:paraId="291CED85" w14:textId="1984B1C4" w:rsidR="006F4EBA" w:rsidRPr="00627B08" w:rsidRDefault="005D60E5" w:rsidP="006F4EBA">
            <w:pPr>
              <w:tabs>
                <w:tab w:val="right" w:pos="1202"/>
              </w:tabs>
              <w:suppressAutoHyphens/>
              <w:autoSpaceDN w:val="0"/>
              <w:spacing w:line="301"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6.745</w:t>
            </w:r>
          </w:p>
        </w:tc>
        <w:tc>
          <w:tcPr>
            <w:tcW w:w="667" w:type="pct"/>
            <w:tcBorders>
              <w:top w:val="single" w:sz="4" w:space="0" w:color="auto"/>
              <w:left w:val="nil"/>
              <w:bottom w:val="single" w:sz="12" w:space="0" w:color="auto"/>
              <w:right w:val="nil"/>
            </w:tcBorders>
            <w:shd w:val="clear" w:color="auto" w:fill="auto"/>
            <w:vAlign w:val="bottom"/>
          </w:tcPr>
          <w:p w14:paraId="55D0D47E" w14:textId="5C57164D" w:rsidR="006F4EBA" w:rsidRPr="00627B08" w:rsidRDefault="006F4EBA" w:rsidP="006F4EBA">
            <w:pPr>
              <w:tabs>
                <w:tab w:val="right" w:pos="1202"/>
              </w:tabs>
              <w:suppressAutoHyphens/>
              <w:autoSpaceDN w:val="0"/>
              <w:spacing w:line="301" w:lineRule="exact"/>
              <w:jc w:val="right"/>
              <w:outlineLvl w:val="0"/>
              <w:rPr>
                <w:rFonts w:ascii="Arial" w:eastAsia="Times New Roman" w:hAnsi="Arial" w:cs="Arial"/>
                <w:b/>
                <w:bCs/>
                <w:color w:val="000000" w:themeColor="text1"/>
                <w:sz w:val="20"/>
                <w:szCs w:val="20"/>
              </w:rPr>
            </w:pPr>
            <w:r w:rsidRPr="00627B08">
              <w:rPr>
                <w:rFonts w:ascii="Arial" w:hAnsi="Arial" w:cs="Arial"/>
                <w:b/>
                <w:bCs/>
                <w:sz w:val="20"/>
                <w:szCs w:val="20"/>
              </w:rPr>
              <w:t xml:space="preserve"> 5.664 </w:t>
            </w:r>
          </w:p>
        </w:tc>
      </w:tr>
      <w:bookmarkEnd w:id="282"/>
      <w:bookmarkEnd w:id="284"/>
    </w:tbl>
    <w:p w14:paraId="656BF5C2" w14:textId="77777777" w:rsidR="00843998" w:rsidRPr="003D1614" w:rsidRDefault="00843998" w:rsidP="00843998">
      <w:pPr>
        <w:suppressAutoHyphens/>
        <w:autoSpaceDN w:val="0"/>
        <w:rPr>
          <w:rFonts w:ascii="Arial" w:eastAsia="Times New Roman" w:hAnsi="Arial" w:cs="Arial"/>
          <w:color w:val="000000" w:themeColor="text1"/>
          <w:sz w:val="20"/>
          <w:szCs w:val="20"/>
        </w:rPr>
      </w:pPr>
    </w:p>
    <w:p w14:paraId="74F5D022" w14:textId="77777777" w:rsidR="00843998" w:rsidRPr="003D1614" w:rsidRDefault="00843998" w:rsidP="00843998">
      <w:pPr>
        <w:suppressAutoHyphens/>
        <w:autoSpaceDN w:val="0"/>
        <w:rPr>
          <w:rFonts w:ascii="Arial" w:eastAsia="Times New Roman" w:hAnsi="Arial" w:cs="Arial"/>
          <w:color w:val="000000" w:themeColor="text1"/>
          <w:sz w:val="20"/>
          <w:szCs w:val="20"/>
        </w:rPr>
      </w:pPr>
    </w:p>
    <w:bookmarkEnd w:id="283"/>
    <w:p w14:paraId="03732F8A" w14:textId="77777777" w:rsidR="00707B91" w:rsidRPr="003D1614" w:rsidRDefault="00707B91" w:rsidP="00843998">
      <w:pPr>
        <w:suppressAutoHyphens/>
        <w:autoSpaceDN w:val="0"/>
        <w:jc w:val="both"/>
        <w:rPr>
          <w:rFonts w:ascii="Arial" w:eastAsia="Times New Roman" w:hAnsi="Arial" w:cs="Arial"/>
          <w:bCs/>
          <w:iCs/>
          <w:color w:val="000000" w:themeColor="text1"/>
          <w:sz w:val="20"/>
          <w:szCs w:val="20"/>
        </w:rPr>
      </w:pPr>
    </w:p>
    <w:p w14:paraId="3A79FA18" w14:textId="77777777" w:rsidR="00707B91" w:rsidRPr="003D1614" w:rsidRDefault="00707B91" w:rsidP="00843998">
      <w:pPr>
        <w:suppressAutoHyphens/>
        <w:autoSpaceDN w:val="0"/>
        <w:jc w:val="both"/>
        <w:rPr>
          <w:rFonts w:ascii="Arial" w:eastAsia="Times New Roman" w:hAnsi="Arial" w:cs="Arial"/>
          <w:bCs/>
          <w:iCs/>
          <w:color w:val="000000" w:themeColor="text1"/>
          <w:sz w:val="20"/>
          <w:szCs w:val="20"/>
        </w:rPr>
      </w:pPr>
    </w:p>
    <w:p w14:paraId="4B6BECD2" w14:textId="77777777" w:rsidR="00707B91" w:rsidRPr="003D1614" w:rsidRDefault="00707B91" w:rsidP="00EA0684">
      <w:pPr>
        <w:rPr>
          <w:rFonts w:ascii="Arial" w:eastAsia="Times New Roman" w:hAnsi="Arial" w:cs="Arial"/>
          <w:sz w:val="20"/>
          <w:szCs w:val="20"/>
        </w:rPr>
        <w:sectPr w:rsidR="00707B91" w:rsidRPr="003D1614">
          <w:pgSz w:w="11906" w:h="16838"/>
          <w:pgMar w:top="1417" w:right="1417" w:bottom="1417" w:left="1417" w:header="708" w:footer="708" w:gutter="0"/>
          <w:cols w:space="708"/>
          <w:docGrid w:linePitch="360"/>
        </w:sectPr>
      </w:pPr>
    </w:p>
    <w:p w14:paraId="6B17A325" w14:textId="06691028" w:rsidR="00843998" w:rsidRPr="003D1614" w:rsidRDefault="00843998" w:rsidP="00EA0684">
      <w:pPr>
        <w:rPr>
          <w:rFonts w:ascii="Arial" w:eastAsia="Times New Roman" w:hAnsi="Arial" w:cs="Arial"/>
          <w:sz w:val="20"/>
          <w:szCs w:val="20"/>
        </w:rPr>
      </w:pPr>
    </w:p>
    <w:p w14:paraId="2C926090" w14:textId="1A878BB7" w:rsidR="0011144D" w:rsidRPr="003D1614" w:rsidRDefault="0011144D" w:rsidP="0011144D">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8.</w:t>
      </w:r>
      <w:r w:rsidRPr="003D1614">
        <w:rPr>
          <w:rFonts w:ascii="Arial" w:eastAsia="Times New Roman" w:hAnsi="Arial" w:cs="Arial"/>
          <w:b/>
          <w:bCs/>
          <w:color w:val="000000" w:themeColor="text1"/>
          <w:sz w:val="20"/>
          <w:szCs w:val="20"/>
        </w:rPr>
        <w:tab/>
      </w:r>
      <w:r w:rsidR="00ED426D">
        <w:rPr>
          <w:rFonts w:ascii="Arial" w:eastAsia="Times New Roman" w:hAnsi="Arial" w:cs="Arial"/>
          <w:b/>
          <w:bCs/>
          <w:color w:val="000000" w:themeColor="text1"/>
          <w:sz w:val="20"/>
          <w:szCs w:val="20"/>
        </w:rPr>
        <w:t>Dobitak</w:t>
      </w:r>
      <w:r w:rsidR="00ED426D" w:rsidRPr="003D1614">
        <w:rPr>
          <w:rFonts w:ascii="Arial" w:eastAsia="Times New Roman" w:hAnsi="Arial" w:cs="Arial"/>
          <w:b/>
          <w:bCs/>
          <w:color w:val="000000" w:themeColor="text1"/>
          <w:sz w:val="20"/>
          <w:szCs w:val="20"/>
        </w:rPr>
        <w:t xml:space="preserve"> </w:t>
      </w:r>
      <w:r w:rsidRPr="003D1614">
        <w:rPr>
          <w:rFonts w:ascii="Arial" w:eastAsia="Times New Roman" w:hAnsi="Arial" w:cs="Arial"/>
          <w:b/>
          <w:bCs/>
          <w:color w:val="000000" w:themeColor="text1"/>
          <w:sz w:val="20"/>
          <w:szCs w:val="20"/>
        </w:rPr>
        <w:t>od umanjenja vrijednosti i rezerviranja</w:t>
      </w:r>
    </w:p>
    <w:p w14:paraId="068F477D" w14:textId="77777777" w:rsidR="0011144D" w:rsidRPr="003D1614" w:rsidRDefault="0011144D" w:rsidP="0011144D">
      <w:pPr>
        <w:keepNext/>
        <w:suppressAutoHyphens/>
        <w:autoSpaceDN w:val="0"/>
        <w:jc w:val="both"/>
        <w:outlineLvl w:val="0"/>
        <w:rPr>
          <w:rFonts w:ascii="Arial" w:eastAsia="Times New Roman" w:hAnsi="Arial" w:cs="Arial"/>
          <w:b/>
          <w:bCs/>
          <w:color w:val="000000" w:themeColor="text1"/>
          <w:sz w:val="20"/>
          <w:szCs w:val="20"/>
        </w:rPr>
      </w:pPr>
    </w:p>
    <w:p w14:paraId="41B62B5A" w14:textId="77777777" w:rsidR="0011144D" w:rsidRPr="003D1614" w:rsidRDefault="0011144D" w:rsidP="0011144D">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Rezerviranja za gubitke po plasmanima mogu se prikazati kako slijedi:</w:t>
      </w:r>
    </w:p>
    <w:p w14:paraId="04A9E43B" w14:textId="77777777" w:rsidR="0011144D" w:rsidRPr="003D1614" w:rsidRDefault="0011144D" w:rsidP="0011144D">
      <w:pPr>
        <w:keepNext/>
        <w:suppressAutoHyphens/>
        <w:autoSpaceDN w:val="0"/>
        <w:jc w:val="both"/>
        <w:outlineLvl w:val="0"/>
        <w:rPr>
          <w:rFonts w:ascii="Arial" w:eastAsia="Times New Roman" w:hAnsi="Arial" w:cs="Arial"/>
          <w:b/>
          <w:color w:val="000000" w:themeColor="text1"/>
          <w:sz w:val="20"/>
          <w:szCs w:val="20"/>
        </w:rPr>
      </w:pPr>
    </w:p>
    <w:p w14:paraId="04A55852" w14:textId="5D07B7E8" w:rsidR="0011144D" w:rsidRPr="003D1614" w:rsidRDefault="0011144D" w:rsidP="0011144D">
      <w:pPr>
        <w:keepNext/>
        <w:suppressAutoHyphens/>
        <w:autoSpaceDN w:val="0"/>
        <w:jc w:val="both"/>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 xml:space="preserve">a) </w:t>
      </w:r>
      <w:r w:rsidR="00ED426D">
        <w:rPr>
          <w:rFonts w:ascii="Arial" w:eastAsia="Times New Roman" w:hAnsi="Arial" w:cs="Arial"/>
          <w:b/>
          <w:color w:val="000000" w:themeColor="text1"/>
          <w:sz w:val="20"/>
          <w:szCs w:val="20"/>
        </w:rPr>
        <w:t>Dobitak</w:t>
      </w:r>
      <w:r w:rsidR="00ED426D" w:rsidRPr="003D1614">
        <w:rPr>
          <w:rFonts w:ascii="Arial" w:eastAsia="Times New Roman" w:hAnsi="Arial" w:cs="Arial"/>
          <w:b/>
          <w:color w:val="000000" w:themeColor="text1"/>
          <w:sz w:val="20"/>
          <w:szCs w:val="20"/>
        </w:rPr>
        <w:t xml:space="preserve"> </w:t>
      </w:r>
      <w:r w:rsidRPr="003D1614">
        <w:rPr>
          <w:rFonts w:ascii="Arial" w:eastAsia="Times New Roman" w:hAnsi="Arial" w:cs="Arial"/>
          <w:b/>
          <w:color w:val="000000" w:themeColor="text1"/>
          <w:sz w:val="20"/>
          <w:szCs w:val="20"/>
        </w:rPr>
        <w:t>od umanjenja vrijednosti i rezerviranja financijskih instrumenata po MSFI-ju 9</w:t>
      </w:r>
    </w:p>
    <w:p w14:paraId="5639EDB2" w14:textId="77777777" w:rsidR="0011144D" w:rsidRPr="003D1614" w:rsidRDefault="0011144D" w:rsidP="0011144D">
      <w:pPr>
        <w:keepNext/>
        <w:suppressAutoHyphens/>
        <w:autoSpaceDN w:val="0"/>
        <w:jc w:val="both"/>
        <w:outlineLvl w:val="0"/>
        <w:rPr>
          <w:rFonts w:ascii="Arial" w:eastAsia="Times New Roman" w:hAnsi="Arial" w:cs="Arial"/>
          <w:b/>
          <w:bCs/>
          <w:color w:val="000000" w:themeColor="text1"/>
          <w:sz w:val="20"/>
          <w:szCs w:val="20"/>
        </w:rPr>
      </w:pPr>
    </w:p>
    <w:tbl>
      <w:tblPr>
        <w:tblW w:w="5129" w:type="pct"/>
        <w:tblLayout w:type="fixed"/>
        <w:tblCellMar>
          <w:left w:w="120" w:type="dxa"/>
          <w:right w:w="120" w:type="dxa"/>
        </w:tblCellMar>
        <w:tblLook w:val="0000" w:firstRow="0" w:lastRow="0" w:firstColumn="0" w:lastColumn="0" w:noHBand="0" w:noVBand="0"/>
      </w:tblPr>
      <w:tblGrid>
        <w:gridCol w:w="4689"/>
        <w:gridCol w:w="1160"/>
        <w:gridCol w:w="1158"/>
        <w:gridCol w:w="1158"/>
        <w:gridCol w:w="1141"/>
      </w:tblGrid>
      <w:tr w:rsidR="0011144D" w:rsidRPr="00C87657" w14:paraId="645EEEF1" w14:textId="77777777" w:rsidTr="00C87657">
        <w:trPr>
          <w:trHeight w:val="156"/>
        </w:trPr>
        <w:tc>
          <w:tcPr>
            <w:tcW w:w="2519" w:type="pct"/>
            <w:vAlign w:val="bottom"/>
          </w:tcPr>
          <w:p w14:paraId="0760B071" w14:textId="77777777" w:rsidR="0011144D" w:rsidRPr="00C87657" w:rsidRDefault="0011144D" w:rsidP="0011144D">
            <w:pPr>
              <w:tabs>
                <w:tab w:val="right" w:pos="1202"/>
              </w:tabs>
              <w:suppressAutoHyphens/>
              <w:autoSpaceDN w:val="0"/>
              <w:spacing w:line="240" w:lineRule="atLeast"/>
              <w:outlineLvl w:val="0"/>
              <w:rPr>
                <w:rFonts w:ascii="Arial" w:eastAsia="Times New Roman" w:hAnsi="Arial" w:cs="Arial"/>
                <w:b/>
                <w:color w:val="000000" w:themeColor="text1"/>
                <w:sz w:val="20"/>
                <w:szCs w:val="20"/>
              </w:rPr>
            </w:pPr>
          </w:p>
        </w:tc>
        <w:tc>
          <w:tcPr>
            <w:tcW w:w="1245" w:type="pct"/>
            <w:gridSpan w:val="2"/>
            <w:vAlign w:val="bottom"/>
          </w:tcPr>
          <w:p w14:paraId="235D8C4F" w14:textId="77777777" w:rsidR="0011144D" w:rsidRPr="00C87657" w:rsidRDefault="0011144D" w:rsidP="0011144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294" w:name="_Toc67327730"/>
            <w:r w:rsidRPr="00C87657">
              <w:rPr>
                <w:rFonts w:ascii="Arial" w:eastAsia="Times New Roman" w:hAnsi="Arial" w:cs="Arial"/>
                <w:b/>
                <w:color w:val="000000" w:themeColor="text1"/>
                <w:sz w:val="20"/>
                <w:szCs w:val="20"/>
              </w:rPr>
              <w:t>Grupa</w:t>
            </w:r>
            <w:bookmarkEnd w:id="294"/>
          </w:p>
        </w:tc>
        <w:tc>
          <w:tcPr>
            <w:tcW w:w="1235" w:type="pct"/>
            <w:gridSpan w:val="2"/>
            <w:vAlign w:val="bottom"/>
          </w:tcPr>
          <w:p w14:paraId="56DC8173" w14:textId="77777777" w:rsidR="0011144D" w:rsidRPr="00C87657" w:rsidRDefault="0011144D" w:rsidP="0011144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295" w:name="_Toc67327731"/>
            <w:r w:rsidRPr="00C87657">
              <w:rPr>
                <w:rFonts w:ascii="Arial" w:eastAsia="Times New Roman" w:hAnsi="Arial" w:cs="Arial"/>
                <w:b/>
                <w:color w:val="000000" w:themeColor="text1"/>
                <w:sz w:val="20"/>
                <w:szCs w:val="20"/>
              </w:rPr>
              <w:t>Banka</w:t>
            </w:r>
            <w:bookmarkEnd w:id="295"/>
          </w:p>
        </w:tc>
      </w:tr>
      <w:tr w:rsidR="00FD5DDF" w:rsidRPr="00C87657" w14:paraId="03565230" w14:textId="77777777" w:rsidTr="00C87657">
        <w:trPr>
          <w:trHeight w:val="156"/>
        </w:trPr>
        <w:tc>
          <w:tcPr>
            <w:tcW w:w="2519" w:type="pct"/>
            <w:vAlign w:val="bottom"/>
          </w:tcPr>
          <w:p w14:paraId="29018F69" w14:textId="77777777" w:rsidR="00FD5DDF" w:rsidRPr="00C87657" w:rsidRDefault="00FD5DDF" w:rsidP="00FD5DDF">
            <w:pPr>
              <w:tabs>
                <w:tab w:val="right" w:pos="1202"/>
              </w:tabs>
              <w:suppressAutoHyphens/>
              <w:autoSpaceDN w:val="0"/>
              <w:spacing w:line="240" w:lineRule="atLeast"/>
              <w:outlineLvl w:val="0"/>
              <w:rPr>
                <w:rFonts w:ascii="Arial" w:eastAsia="Times New Roman" w:hAnsi="Arial" w:cs="Arial"/>
                <w:b/>
                <w:color w:val="000000" w:themeColor="text1"/>
                <w:sz w:val="20"/>
                <w:szCs w:val="20"/>
              </w:rPr>
            </w:pPr>
          </w:p>
        </w:tc>
        <w:tc>
          <w:tcPr>
            <w:tcW w:w="623" w:type="pct"/>
            <w:vAlign w:val="bottom"/>
          </w:tcPr>
          <w:p w14:paraId="0F31C9C2" w14:textId="77777777" w:rsidR="00FD5DDF" w:rsidRPr="00C87657" w:rsidRDefault="00FD5DDF" w:rsidP="00FD5DDF">
            <w:pPr>
              <w:tabs>
                <w:tab w:val="right" w:pos="1202"/>
              </w:tabs>
              <w:suppressAutoHyphens/>
              <w:autoSpaceDN w:val="0"/>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1.1.-31.3.</w:t>
            </w:r>
          </w:p>
          <w:p w14:paraId="3BE76C49" w14:textId="7C5927C7" w:rsidR="00FD5DDF" w:rsidRPr="00C87657" w:rsidRDefault="00FD5DDF" w:rsidP="00FD5DDF">
            <w:pPr>
              <w:tabs>
                <w:tab w:val="right" w:pos="1202"/>
              </w:tabs>
              <w:suppressAutoHyphens/>
              <w:autoSpaceDN w:val="0"/>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202</w:t>
            </w:r>
            <w:r w:rsidR="006A0D92">
              <w:rPr>
                <w:rFonts w:ascii="Arial" w:eastAsia="Times New Roman" w:hAnsi="Arial" w:cs="Arial"/>
                <w:b/>
                <w:color w:val="000000" w:themeColor="text1"/>
                <w:sz w:val="20"/>
                <w:szCs w:val="20"/>
              </w:rPr>
              <w:t>4</w:t>
            </w:r>
            <w:r w:rsidRPr="00C87657">
              <w:rPr>
                <w:rFonts w:ascii="Arial" w:eastAsia="Times New Roman" w:hAnsi="Arial" w:cs="Arial"/>
                <w:b/>
                <w:color w:val="000000" w:themeColor="text1"/>
                <w:sz w:val="20"/>
                <w:szCs w:val="20"/>
              </w:rPr>
              <w:t>.</w:t>
            </w:r>
          </w:p>
        </w:tc>
        <w:tc>
          <w:tcPr>
            <w:tcW w:w="622" w:type="pct"/>
            <w:vAlign w:val="bottom"/>
          </w:tcPr>
          <w:p w14:paraId="78D5C495" w14:textId="77777777" w:rsidR="00FD5DDF" w:rsidRPr="00C87657" w:rsidRDefault="00FD5DDF" w:rsidP="00FD5DDF">
            <w:pPr>
              <w:tabs>
                <w:tab w:val="right" w:pos="1202"/>
              </w:tabs>
              <w:suppressAutoHyphens/>
              <w:autoSpaceDN w:val="0"/>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1.1.-31.3.</w:t>
            </w:r>
          </w:p>
          <w:p w14:paraId="38320EC0" w14:textId="5E96E60F" w:rsidR="00FD5DDF" w:rsidRPr="00C87657" w:rsidRDefault="00FD5DDF" w:rsidP="00FD5DDF">
            <w:pPr>
              <w:tabs>
                <w:tab w:val="right" w:pos="1202"/>
              </w:tabs>
              <w:suppressAutoHyphens/>
              <w:autoSpaceDN w:val="0"/>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202</w:t>
            </w:r>
            <w:r w:rsidR="006A0D92">
              <w:rPr>
                <w:rFonts w:ascii="Arial" w:eastAsia="Times New Roman" w:hAnsi="Arial" w:cs="Arial"/>
                <w:b/>
                <w:color w:val="000000" w:themeColor="text1"/>
                <w:sz w:val="20"/>
                <w:szCs w:val="20"/>
              </w:rPr>
              <w:t>3</w:t>
            </w:r>
            <w:r w:rsidRPr="00C87657">
              <w:rPr>
                <w:rFonts w:ascii="Arial" w:eastAsia="Times New Roman" w:hAnsi="Arial" w:cs="Arial"/>
                <w:b/>
                <w:color w:val="000000" w:themeColor="text1"/>
                <w:sz w:val="20"/>
                <w:szCs w:val="20"/>
              </w:rPr>
              <w:t>.</w:t>
            </w:r>
          </w:p>
        </w:tc>
        <w:tc>
          <w:tcPr>
            <w:tcW w:w="622" w:type="pct"/>
            <w:vAlign w:val="bottom"/>
          </w:tcPr>
          <w:p w14:paraId="1C504E30" w14:textId="77777777" w:rsidR="00FD5DDF" w:rsidRPr="00C87657" w:rsidRDefault="00FD5DDF" w:rsidP="00FD5DDF">
            <w:pPr>
              <w:tabs>
                <w:tab w:val="right" w:pos="1202"/>
              </w:tabs>
              <w:suppressAutoHyphens/>
              <w:autoSpaceDN w:val="0"/>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1.1.-31.3.</w:t>
            </w:r>
          </w:p>
          <w:p w14:paraId="736CBA9B" w14:textId="75CE99D1" w:rsidR="00FD5DDF" w:rsidRPr="00C87657" w:rsidRDefault="00FD5DDF" w:rsidP="00FD5DDF">
            <w:pPr>
              <w:tabs>
                <w:tab w:val="right" w:pos="1202"/>
              </w:tabs>
              <w:suppressAutoHyphens/>
              <w:autoSpaceDN w:val="0"/>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202</w:t>
            </w:r>
            <w:r w:rsidR="006A0D92">
              <w:rPr>
                <w:rFonts w:ascii="Arial" w:eastAsia="Times New Roman" w:hAnsi="Arial" w:cs="Arial"/>
                <w:b/>
                <w:color w:val="000000" w:themeColor="text1"/>
                <w:sz w:val="20"/>
                <w:szCs w:val="20"/>
              </w:rPr>
              <w:t>4</w:t>
            </w:r>
            <w:r w:rsidRPr="00C87657">
              <w:rPr>
                <w:rFonts w:ascii="Arial" w:eastAsia="Times New Roman" w:hAnsi="Arial" w:cs="Arial"/>
                <w:b/>
                <w:color w:val="000000" w:themeColor="text1"/>
                <w:sz w:val="20"/>
                <w:szCs w:val="20"/>
              </w:rPr>
              <w:t>.</w:t>
            </w:r>
          </w:p>
        </w:tc>
        <w:tc>
          <w:tcPr>
            <w:tcW w:w="613" w:type="pct"/>
            <w:vAlign w:val="bottom"/>
          </w:tcPr>
          <w:p w14:paraId="0664CF72" w14:textId="77777777" w:rsidR="00FD5DDF" w:rsidRPr="00C87657" w:rsidRDefault="00FD5DDF" w:rsidP="00FD5DDF">
            <w:pPr>
              <w:tabs>
                <w:tab w:val="right" w:pos="1202"/>
              </w:tabs>
              <w:suppressAutoHyphens/>
              <w:autoSpaceDN w:val="0"/>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1.1.-31.3.</w:t>
            </w:r>
          </w:p>
          <w:p w14:paraId="2D3FCADD" w14:textId="3946A866" w:rsidR="00FD5DDF" w:rsidRPr="00C87657" w:rsidRDefault="00FD5DDF" w:rsidP="00FD5DDF">
            <w:pPr>
              <w:tabs>
                <w:tab w:val="right" w:pos="1202"/>
              </w:tabs>
              <w:suppressAutoHyphens/>
              <w:autoSpaceDN w:val="0"/>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202</w:t>
            </w:r>
            <w:r w:rsidR="006A0D92">
              <w:rPr>
                <w:rFonts w:ascii="Arial" w:eastAsia="Times New Roman" w:hAnsi="Arial" w:cs="Arial"/>
                <w:b/>
                <w:color w:val="000000" w:themeColor="text1"/>
                <w:sz w:val="20"/>
                <w:szCs w:val="20"/>
              </w:rPr>
              <w:t>3</w:t>
            </w:r>
            <w:r w:rsidRPr="00C87657">
              <w:rPr>
                <w:rFonts w:ascii="Arial" w:eastAsia="Times New Roman" w:hAnsi="Arial" w:cs="Arial"/>
                <w:b/>
                <w:color w:val="000000" w:themeColor="text1"/>
                <w:sz w:val="20"/>
                <w:szCs w:val="20"/>
              </w:rPr>
              <w:t>.</w:t>
            </w:r>
          </w:p>
        </w:tc>
      </w:tr>
      <w:tr w:rsidR="00FD5DDF" w:rsidRPr="00C87657" w14:paraId="04844501" w14:textId="77777777" w:rsidTr="00C87657">
        <w:trPr>
          <w:trHeight w:val="156"/>
        </w:trPr>
        <w:tc>
          <w:tcPr>
            <w:tcW w:w="2519" w:type="pct"/>
            <w:vAlign w:val="bottom"/>
          </w:tcPr>
          <w:p w14:paraId="219B9D02" w14:textId="77777777" w:rsidR="00FD5DDF" w:rsidRPr="00C87657" w:rsidRDefault="00FD5DDF" w:rsidP="00FD5DDF">
            <w:pPr>
              <w:tabs>
                <w:tab w:val="right" w:pos="1202"/>
              </w:tabs>
              <w:suppressAutoHyphens/>
              <w:autoSpaceDN w:val="0"/>
              <w:spacing w:line="240" w:lineRule="atLeast"/>
              <w:outlineLvl w:val="0"/>
              <w:rPr>
                <w:rFonts w:ascii="Arial" w:eastAsia="Times New Roman" w:hAnsi="Arial" w:cs="Arial"/>
                <w:b/>
                <w:color w:val="000000" w:themeColor="text1"/>
                <w:sz w:val="20"/>
                <w:szCs w:val="20"/>
              </w:rPr>
            </w:pPr>
          </w:p>
        </w:tc>
        <w:tc>
          <w:tcPr>
            <w:tcW w:w="623" w:type="pct"/>
            <w:vAlign w:val="bottom"/>
          </w:tcPr>
          <w:p w14:paraId="69E31796" w14:textId="3AC38C12" w:rsidR="00FD5DDF" w:rsidRPr="00C87657" w:rsidRDefault="00FD5DDF" w:rsidP="00FD5DD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000 eura</w:t>
            </w:r>
          </w:p>
        </w:tc>
        <w:tc>
          <w:tcPr>
            <w:tcW w:w="622" w:type="pct"/>
            <w:vAlign w:val="bottom"/>
          </w:tcPr>
          <w:p w14:paraId="480CC8BB" w14:textId="33EFA89A" w:rsidR="00FD5DDF" w:rsidRPr="00C87657" w:rsidRDefault="00FD5DDF" w:rsidP="00FD5DD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000 eura</w:t>
            </w:r>
          </w:p>
        </w:tc>
        <w:tc>
          <w:tcPr>
            <w:tcW w:w="622" w:type="pct"/>
            <w:vAlign w:val="bottom"/>
          </w:tcPr>
          <w:p w14:paraId="2D7D95B6" w14:textId="58FB0450" w:rsidR="00FD5DDF" w:rsidRPr="00C87657" w:rsidRDefault="00FD5DDF" w:rsidP="00FD5DD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000 eura</w:t>
            </w:r>
          </w:p>
        </w:tc>
        <w:tc>
          <w:tcPr>
            <w:tcW w:w="613" w:type="pct"/>
            <w:vAlign w:val="bottom"/>
          </w:tcPr>
          <w:p w14:paraId="45E5308C" w14:textId="50A3F354" w:rsidR="00FD5DDF" w:rsidRPr="00C87657" w:rsidRDefault="00FD5DDF" w:rsidP="00FD5DD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000 eura</w:t>
            </w:r>
          </w:p>
        </w:tc>
      </w:tr>
      <w:tr w:rsidR="0011144D" w:rsidRPr="00C87657" w14:paraId="5953A6A4" w14:textId="77777777" w:rsidTr="00C87657">
        <w:trPr>
          <w:trHeight w:hRule="exact" w:val="113"/>
        </w:trPr>
        <w:tc>
          <w:tcPr>
            <w:tcW w:w="2519" w:type="pct"/>
            <w:vAlign w:val="bottom"/>
          </w:tcPr>
          <w:p w14:paraId="6157D82E" w14:textId="77777777" w:rsidR="0011144D" w:rsidRPr="00C87657" w:rsidRDefault="0011144D" w:rsidP="0011144D">
            <w:pPr>
              <w:tabs>
                <w:tab w:val="right" w:pos="1202"/>
              </w:tabs>
              <w:suppressAutoHyphens/>
              <w:autoSpaceDN w:val="0"/>
              <w:spacing w:line="240" w:lineRule="atLeast"/>
              <w:outlineLvl w:val="0"/>
              <w:rPr>
                <w:rFonts w:ascii="Arial" w:eastAsia="Times New Roman" w:hAnsi="Arial" w:cs="Arial"/>
                <w:b/>
                <w:color w:val="000000" w:themeColor="text1"/>
                <w:sz w:val="20"/>
                <w:szCs w:val="20"/>
              </w:rPr>
            </w:pPr>
          </w:p>
        </w:tc>
        <w:tc>
          <w:tcPr>
            <w:tcW w:w="623" w:type="pct"/>
            <w:vAlign w:val="bottom"/>
          </w:tcPr>
          <w:p w14:paraId="020D4BFC" w14:textId="77777777" w:rsidR="0011144D" w:rsidRPr="00C87657" w:rsidRDefault="0011144D" w:rsidP="0011144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p>
        </w:tc>
        <w:tc>
          <w:tcPr>
            <w:tcW w:w="622" w:type="pct"/>
            <w:vAlign w:val="bottom"/>
          </w:tcPr>
          <w:p w14:paraId="5328ABE8" w14:textId="77777777" w:rsidR="0011144D" w:rsidRPr="00C87657" w:rsidRDefault="0011144D" w:rsidP="0011144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p>
        </w:tc>
        <w:tc>
          <w:tcPr>
            <w:tcW w:w="622" w:type="pct"/>
            <w:vAlign w:val="bottom"/>
          </w:tcPr>
          <w:p w14:paraId="5A57C750" w14:textId="77777777" w:rsidR="0011144D" w:rsidRPr="00C87657" w:rsidRDefault="0011144D" w:rsidP="0011144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p>
        </w:tc>
        <w:tc>
          <w:tcPr>
            <w:tcW w:w="613" w:type="pct"/>
            <w:vAlign w:val="bottom"/>
          </w:tcPr>
          <w:p w14:paraId="74862558" w14:textId="77777777" w:rsidR="0011144D" w:rsidRPr="00C87657" w:rsidRDefault="0011144D" w:rsidP="0011144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p>
        </w:tc>
      </w:tr>
      <w:tr w:rsidR="00ED643C" w:rsidRPr="00C87657" w14:paraId="4350F14C" w14:textId="77777777" w:rsidTr="00C87657">
        <w:trPr>
          <w:trHeight w:val="293"/>
        </w:trPr>
        <w:tc>
          <w:tcPr>
            <w:tcW w:w="2519" w:type="pct"/>
            <w:vAlign w:val="bottom"/>
          </w:tcPr>
          <w:p w14:paraId="792CBD36" w14:textId="77777777" w:rsidR="00ED643C" w:rsidRPr="00C87657" w:rsidRDefault="00ED643C" w:rsidP="00ED643C">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bookmarkStart w:id="296" w:name="_Toc67327740"/>
            <w:r w:rsidRPr="00C87657">
              <w:rPr>
                <w:rFonts w:ascii="Arial" w:eastAsia="Times New Roman" w:hAnsi="Arial" w:cs="Arial"/>
                <w:color w:val="000000" w:themeColor="text1"/>
                <w:sz w:val="20"/>
                <w:szCs w:val="20"/>
              </w:rPr>
              <w:t>Rezerviranja za gubitke po računima kod financijskih institucija</w:t>
            </w:r>
            <w:bookmarkEnd w:id="296"/>
          </w:p>
        </w:tc>
        <w:tc>
          <w:tcPr>
            <w:tcW w:w="623" w:type="pct"/>
            <w:tcBorders>
              <w:top w:val="nil"/>
              <w:left w:val="nil"/>
              <w:bottom w:val="nil"/>
              <w:right w:val="nil"/>
            </w:tcBorders>
            <w:shd w:val="clear" w:color="auto" w:fill="auto"/>
            <w:vAlign w:val="bottom"/>
          </w:tcPr>
          <w:p w14:paraId="4463C670" w14:textId="660A8DD3" w:rsidR="00ED643C" w:rsidRPr="00C87657" w:rsidRDefault="00ED643C" w:rsidP="00ED643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126</w:t>
            </w:r>
          </w:p>
        </w:tc>
        <w:tc>
          <w:tcPr>
            <w:tcW w:w="622" w:type="pct"/>
            <w:tcBorders>
              <w:top w:val="nil"/>
              <w:left w:val="nil"/>
              <w:bottom w:val="nil"/>
              <w:right w:val="nil"/>
            </w:tcBorders>
            <w:shd w:val="clear" w:color="auto" w:fill="auto"/>
            <w:vAlign w:val="bottom"/>
          </w:tcPr>
          <w:p w14:paraId="42C0A069" w14:textId="22830F6C" w:rsidR="00ED643C" w:rsidRPr="00C87657" w:rsidRDefault="00ED643C" w:rsidP="00ED643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(632)</w:t>
            </w:r>
          </w:p>
        </w:tc>
        <w:tc>
          <w:tcPr>
            <w:tcW w:w="622" w:type="pct"/>
            <w:tcBorders>
              <w:top w:val="nil"/>
              <w:left w:val="nil"/>
              <w:bottom w:val="nil"/>
              <w:right w:val="nil"/>
            </w:tcBorders>
            <w:shd w:val="clear" w:color="auto" w:fill="auto"/>
            <w:vAlign w:val="bottom"/>
          </w:tcPr>
          <w:p w14:paraId="72D6C14C" w14:textId="273AEA86" w:rsidR="00ED643C" w:rsidRPr="00C87657" w:rsidRDefault="00ED643C" w:rsidP="00ED643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126</w:t>
            </w:r>
          </w:p>
        </w:tc>
        <w:tc>
          <w:tcPr>
            <w:tcW w:w="613" w:type="pct"/>
            <w:tcBorders>
              <w:top w:val="nil"/>
              <w:left w:val="nil"/>
              <w:bottom w:val="nil"/>
              <w:right w:val="nil"/>
            </w:tcBorders>
            <w:shd w:val="clear" w:color="auto" w:fill="auto"/>
            <w:vAlign w:val="bottom"/>
          </w:tcPr>
          <w:p w14:paraId="33C262B1" w14:textId="6BE9133E" w:rsidR="00ED643C" w:rsidRPr="00C87657" w:rsidRDefault="00ED643C" w:rsidP="00ED643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(631)</w:t>
            </w:r>
          </w:p>
        </w:tc>
      </w:tr>
      <w:tr w:rsidR="00ED643C" w:rsidRPr="00C87657" w14:paraId="4FA8F751" w14:textId="77777777" w:rsidTr="00C87657">
        <w:trPr>
          <w:trHeight w:val="387"/>
        </w:trPr>
        <w:tc>
          <w:tcPr>
            <w:tcW w:w="2519" w:type="pct"/>
            <w:vAlign w:val="bottom"/>
          </w:tcPr>
          <w:p w14:paraId="1345D803" w14:textId="77777777" w:rsidR="00ED643C" w:rsidRPr="00C87657" w:rsidRDefault="00ED643C" w:rsidP="00ED643C">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bookmarkStart w:id="297" w:name="_Toc67327745"/>
            <w:r w:rsidRPr="00C87657">
              <w:rPr>
                <w:rFonts w:ascii="Arial" w:eastAsia="Times New Roman" w:hAnsi="Arial" w:cs="Arial"/>
                <w:color w:val="000000" w:themeColor="text1"/>
                <w:sz w:val="20"/>
                <w:szCs w:val="20"/>
              </w:rPr>
              <w:t>Rezerviranja za gubitke po depozitima kod drugih banaka</w:t>
            </w:r>
            <w:bookmarkEnd w:id="297"/>
          </w:p>
        </w:tc>
        <w:tc>
          <w:tcPr>
            <w:tcW w:w="623" w:type="pct"/>
            <w:tcBorders>
              <w:top w:val="nil"/>
              <w:left w:val="nil"/>
              <w:bottom w:val="nil"/>
              <w:right w:val="nil"/>
            </w:tcBorders>
            <w:shd w:val="clear" w:color="auto" w:fill="auto"/>
            <w:vAlign w:val="bottom"/>
          </w:tcPr>
          <w:p w14:paraId="797CB80A" w14:textId="7F7F016A" w:rsidR="00ED643C" w:rsidRPr="00C87657" w:rsidRDefault="00ED643C" w:rsidP="00ED643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w:t>
            </w:r>
            <w:r w:rsidR="00531BCE">
              <w:rPr>
                <w:rFonts w:ascii="Arial" w:eastAsia="Times New Roman" w:hAnsi="Arial" w:cs="Arial"/>
                <w:color w:val="000000" w:themeColor="text1"/>
                <w:sz w:val="20"/>
                <w:szCs w:val="20"/>
              </w:rPr>
              <w:t>6</w:t>
            </w:r>
            <w:r>
              <w:rPr>
                <w:rFonts w:ascii="Arial" w:eastAsia="Times New Roman" w:hAnsi="Arial" w:cs="Arial"/>
                <w:color w:val="000000" w:themeColor="text1"/>
                <w:sz w:val="20"/>
                <w:szCs w:val="20"/>
              </w:rPr>
              <w:t>)</w:t>
            </w:r>
          </w:p>
        </w:tc>
        <w:tc>
          <w:tcPr>
            <w:tcW w:w="622" w:type="pct"/>
            <w:tcBorders>
              <w:top w:val="nil"/>
              <w:left w:val="nil"/>
              <w:bottom w:val="nil"/>
              <w:right w:val="nil"/>
            </w:tcBorders>
            <w:shd w:val="clear" w:color="auto" w:fill="auto"/>
            <w:vAlign w:val="bottom"/>
          </w:tcPr>
          <w:p w14:paraId="40AD4661" w14:textId="4EA40551" w:rsidR="00ED643C" w:rsidRPr="00C87657" w:rsidRDefault="00ED643C" w:rsidP="00ED643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2</w:t>
            </w:r>
            <w:r>
              <w:rPr>
                <w:rFonts w:ascii="Arial" w:hAnsi="Arial" w:cs="Arial"/>
                <w:sz w:val="20"/>
                <w:szCs w:val="20"/>
              </w:rPr>
              <w:t>5</w:t>
            </w:r>
            <w:r w:rsidRPr="00C87657">
              <w:rPr>
                <w:rFonts w:ascii="Arial" w:hAnsi="Arial" w:cs="Arial"/>
                <w:sz w:val="20"/>
                <w:szCs w:val="20"/>
              </w:rPr>
              <w:t xml:space="preserve"> </w:t>
            </w:r>
          </w:p>
        </w:tc>
        <w:tc>
          <w:tcPr>
            <w:tcW w:w="622" w:type="pct"/>
            <w:tcBorders>
              <w:top w:val="nil"/>
              <w:left w:val="nil"/>
              <w:bottom w:val="nil"/>
              <w:right w:val="nil"/>
            </w:tcBorders>
            <w:shd w:val="clear" w:color="auto" w:fill="auto"/>
            <w:vAlign w:val="bottom"/>
          </w:tcPr>
          <w:p w14:paraId="5271BCB2" w14:textId="76C0BC9B" w:rsidR="00ED643C" w:rsidRPr="00C87657" w:rsidRDefault="00ED643C" w:rsidP="00ED643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613" w:type="pct"/>
            <w:tcBorders>
              <w:top w:val="nil"/>
              <w:left w:val="nil"/>
              <w:bottom w:val="nil"/>
              <w:right w:val="nil"/>
            </w:tcBorders>
            <w:shd w:val="clear" w:color="auto" w:fill="auto"/>
            <w:vAlign w:val="bottom"/>
          </w:tcPr>
          <w:p w14:paraId="7060E11D" w14:textId="3AAC253F" w:rsidR="00ED643C" w:rsidRPr="00C87657" w:rsidRDefault="00ED643C" w:rsidP="00ED643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25 </w:t>
            </w:r>
          </w:p>
        </w:tc>
      </w:tr>
      <w:tr w:rsidR="00ED643C" w:rsidRPr="00C87657" w14:paraId="51B3FBB7" w14:textId="77777777" w:rsidTr="00C87657">
        <w:trPr>
          <w:trHeight w:val="387"/>
        </w:trPr>
        <w:tc>
          <w:tcPr>
            <w:tcW w:w="2519" w:type="pct"/>
            <w:vAlign w:val="bottom"/>
          </w:tcPr>
          <w:p w14:paraId="2024B9EA" w14:textId="77777777" w:rsidR="00ED643C" w:rsidRPr="00C87657" w:rsidRDefault="00ED643C" w:rsidP="00ED643C">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bookmarkStart w:id="298" w:name="_Toc67327750"/>
            <w:r w:rsidRPr="00C87657">
              <w:rPr>
                <w:rFonts w:ascii="Arial" w:eastAsia="Times New Roman" w:hAnsi="Arial" w:cs="Arial"/>
                <w:color w:val="000000" w:themeColor="text1"/>
                <w:sz w:val="20"/>
                <w:szCs w:val="20"/>
              </w:rPr>
              <w:t>Rezerviranja za gubitke po kreditima financijskim institucijama</w:t>
            </w:r>
            <w:bookmarkEnd w:id="298"/>
          </w:p>
        </w:tc>
        <w:tc>
          <w:tcPr>
            <w:tcW w:w="623" w:type="pct"/>
            <w:tcBorders>
              <w:top w:val="nil"/>
              <w:left w:val="nil"/>
              <w:bottom w:val="nil"/>
              <w:right w:val="nil"/>
            </w:tcBorders>
            <w:shd w:val="clear" w:color="auto" w:fill="auto"/>
            <w:vAlign w:val="bottom"/>
          </w:tcPr>
          <w:p w14:paraId="3BFD1788" w14:textId="34B4842E" w:rsidR="00ED643C" w:rsidRPr="00C87657" w:rsidRDefault="00ED643C" w:rsidP="00ED643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(137)</w:t>
            </w:r>
          </w:p>
        </w:tc>
        <w:tc>
          <w:tcPr>
            <w:tcW w:w="622" w:type="pct"/>
            <w:tcBorders>
              <w:top w:val="nil"/>
              <w:left w:val="nil"/>
              <w:bottom w:val="nil"/>
              <w:right w:val="nil"/>
            </w:tcBorders>
            <w:shd w:val="clear" w:color="auto" w:fill="auto"/>
            <w:vAlign w:val="bottom"/>
          </w:tcPr>
          <w:p w14:paraId="777C87DB" w14:textId="3B8AC8DB" w:rsidR="00ED643C" w:rsidRPr="00C87657" w:rsidRDefault="00ED643C" w:rsidP="00ED643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(170)</w:t>
            </w:r>
          </w:p>
        </w:tc>
        <w:tc>
          <w:tcPr>
            <w:tcW w:w="622" w:type="pct"/>
            <w:tcBorders>
              <w:top w:val="nil"/>
              <w:left w:val="nil"/>
              <w:bottom w:val="nil"/>
              <w:right w:val="nil"/>
            </w:tcBorders>
            <w:shd w:val="clear" w:color="auto" w:fill="auto"/>
            <w:vAlign w:val="bottom"/>
          </w:tcPr>
          <w:p w14:paraId="7F74D963" w14:textId="478833CD" w:rsidR="00ED643C" w:rsidRPr="00C87657" w:rsidRDefault="00ED643C" w:rsidP="00ED643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(137)</w:t>
            </w:r>
          </w:p>
        </w:tc>
        <w:tc>
          <w:tcPr>
            <w:tcW w:w="613" w:type="pct"/>
            <w:tcBorders>
              <w:top w:val="nil"/>
              <w:left w:val="nil"/>
              <w:bottom w:val="nil"/>
              <w:right w:val="nil"/>
            </w:tcBorders>
            <w:shd w:val="clear" w:color="auto" w:fill="auto"/>
            <w:vAlign w:val="bottom"/>
          </w:tcPr>
          <w:p w14:paraId="40C49C7B" w14:textId="04F9BD46" w:rsidR="00ED643C" w:rsidRPr="00C87657" w:rsidRDefault="00ED643C" w:rsidP="00ED643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(170)</w:t>
            </w:r>
          </w:p>
        </w:tc>
      </w:tr>
      <w:tr w:rsidR="00ED643C" w:rsidRPr="00C87657" w14:paraId="3E8E216E" w14:textId="77777777" w:rsidTr="00C87657">
        <w:trPr>
          <w:trHeight w:val="387"/>
        </w:trPr>
        <w:tc>
          <w:tcPr>
            <w:tcW w:w="2519" w:type="pct"/>
            <w:vAlign w:val="bottom"/>
          </w:tcPr>
          <w:p w14:paraId="00CC7DF1" w14:textId="77777777" w:rsidR="00ED643C" w:rsidRPr="00C87657" w:rsidRDefault="00ED643C" w:rsidP="00ED643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299" w:name="_Toc67327755"/>
            <w:r w:rsidRPr="00C87657">
              <w:rPr>
                <w:rFonts w:ascii="Arial" w:eastAsia="Times New Roman" w:hAnsi="Arial" w:cs="Arial"/>
                <w:color w:val="000000" w:themeColor="text1"/>
                <w:sz w:val="20"/>
                <w:szCs w:val="20"/>
              </w:rPr>
              <w:t>Rezerviranja za gubitke po kreditima ostalim korisnicima i kamatama</w:t>
            </w:r>
            <w:bookmarkEnd w:id="299"/>
          </w:p>
        </w:tc>
        <w:tc>
          <w:tcPr>
            <w:tcW w:w="623" w:type="pct"/>
            <w:tcBorders>
              <w:top w:val="nil"/>
              <w:left w:val="nil"/>
              <w:bottom w:val="nil"/>
              <w:right w:val="nil"/>
            </w:tcBorders>
            <w:shd w:val="clear" w:color="auto" w:fill="auto"/>
            <w:vAlign w:val="bottom"/>
          </w:tcPr>
          <w:p w14:paraId="40082D97" w14:textId="0C3FAFDB" w:rsidR="00ED643C" w:rsidRPr="00C87657" w:rsidRDefault="00ED643C" w:rsidP="00ED643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(4.232)</w:t>
            </w:r>
          </w:p>
        </w:tc>
        <w:tc>
          <w:tcPr>
            <w:tcW w:w="622" w:type="pct"/>
            <w:tcBorders>
              <w:top w:val="nil"/>
              <w:left w:val="nil"/>
              <w:bottom w:val="nil"/>
              <w:right w:val="nil"/>
            </w:tcBorders>
            <w:shd w:val="clear" w:color="auto" w:fill="auto"/>
            <w:vAlign w:val="bottom"/>
          </w:tcPr>
          <w:p w14:paraId="14C9C5B0" w14:textId="3043FB43" w:rsidR="00ED643C" w:rsidRPr="00C87657" w:rsidRDefault="00ED643C" w:rsidP="00ED643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(7.945)</w:t>
            </w:r>
          </w:p>
        </w:tc>
        <w:tc>
          <w:tcPr>
            <w:tcW w:w="622" w:type="pct"/>
            <w:tcBorders>
              <w:top w:val="nil"/>
              <w:left w:val="nil"/>
              <w:bottom w:val="nil"/>
              <w:right w:val="nil"/>
            </w:tcBorders>
            <w:shd w:val="clear" w:color="auto" w:fill="auto"/>
            <w:vAlign w:val="bottom"/>
          </w:tcPr>
          <w:p w14:paraId="1BB1A8FD" w14:textId="64121ABB" w:rsidR="00ED643C" w:rsidRPr="00C87657" w:rsidRDefault="00ED643C" w:rsidP="00ED643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(4.232)</w:t>
            </w:r>
          </w:p>
        </w:tc>
        <w:tc>
          <w:tcPr>
            <w:tcW w:w="613" w:type="pct"/>
            <w:tcBorders>
              <w:top w:val="nil"/>
              <w:left w:val="nil"/>
              <w:bottom w:val="nil"/>
              <w:right w:val="nil"/>
            </w:tcBorders>
            <w:shd w:val="clear" w:color="auto" w:fill="auto"/>
            <w:vAlign w:val="bottom"/>
          </w:tcPr>
          <w:p w14:paraId="09ACA04B" w14:textId="2C974AC5" w:rsidR="00ED643C" w:rsidRPr="00C87657" w:rsidRDefault="00ED643C" w:rsidP="00ED643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(7.945)</w:t>
            </w:r>
          </w:p>
        </w:tc>
      </w:tr>
      <w:tr w:rsidR="00ED643C" w:rsidRPr="00C87657" w14:paraId="76BFC6CB" w14:textId="77777777" w:rsidTr="00C87657">
        <w:trPr>
          <w:trHeight w:val="387"/>
        </w:trPr>
        <w:tc>
          <w:tcPr>
            <w:tcW w:w="2519" w:type="pct"/>
            <w:vAlign w:val="bottom"/>
          </w:tcPr>
          <w:p w14:paraId="6DA55E09" w14:textId="77777777" w:rsidR="00ED643C" w:rsidRPr="00C87657" w:rsidRDefault="00ED643C" w:rsidP="00ED643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00" w:name="_Toc67327760"/>
            <w:r w:rsidRPr="00C87657">
              <w:rPr>
                <w:rFonts w:ascii="Arial" w:eastAsia="Times New Roman" w:hAnsi="Arial" w:cs="Arial"/>
                <w:color w:val="000000" w:themeColor="text1"/>
                <w:sz w:val="20"/>
                <w:szCs w:val="20"/>
              </w:rPr>
              <w:t>Modifikacijski (dobitak)/gubitak po kreditima banaka</w:t>
            </w:r>
            <w:bookmarkEnd w:id="300"/>
          </w:p>
        </w:tc>
        <w:tc>
          <w:tcPr>
            <w:tcW w:w="623" w:type="pct"/>
            <w:tcBorders>
              <w:top w:val="nil"/>
              <w:left w:val="nil"/>
              <w:bottom w:val="nil"/>
              <w:right w:val="nil"/>
            </w:tcBorders>
            <w:shd w:val="clear" w:color="auto" w:fill="auto"/>
            <w:vAlign w:val="bottom"/>
          </w:tcPr>
          <w:p w14:paraId="7C1580BE" w14:textId="024A218E" w:rsidR="00ED643C" w:rsidRPr="00C87657" w:rsidRDefault="00ED643C" w:rsidP="00ED643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622" w:type="pct"/>
            <w:tcBorders>
              <w:top w:val="nil"/>
              <w:left w:val="nil"/>
              <w:bottom w:val="nil"/>
              <w:right w:val="nil"/>
            </w:tcBorders>
            <w:shd w:val="clear" w:color="auto" w:fill="auto"/>
            <w:vAlign w:val="bottom"/>
          </w:tcPr>
          <w:p w14:paraId="5FF8F46E" w14:textId="30B836BB" w:rsidR="00ED643C" w:rsidRPr="00C87657" w:rsidRDefault="00ED643C" w:rsidP="00ED643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(117)</w:t>
            </w:r>
          </w:p>
        </w:tc>
        <w:tc>
          <w:tcPr>
            <w:tcW w:w="622" w:type="pct"/>
            <w:tcBorders>
              <w:top w:val="nil"/>
              <w:left w:val="nil"/>
              <w:bottom w:val="nil"/>
              <w:right w:val="nil"/>
            </w:tcBorders>
            <w:shd w:val="clear" w:color="auto" w:fill="auto"/>
            <w:vAlign w:val="bottom"/>
          </w:tcPr>
          <w:p w14:paraId="6CC60017" w14:textId="0E261523" w:rsidR="00ED643C" w:rsidRPr="00C87657" w:rsidRDefault="00ED643C" w:rsidP="00ED643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(86)</w:t>
            </w:r>
          </w:p>
        </w:tc>
        <w:tc>
          <w:tcPr>
            <w:tcW w:w="613" w:type="pct"/>
            <w:tcBorders>
              <w:top w:val="nil"/>
              <w:left w:val="nil"/>
              <w:bottom w:val="nil"/>
              <w:right w:val="nil"/>
            </w:tcBorders>
            <w:shd w:val="clear" w:color="auto" w:fill="auto"/>
            <w:vAlign w:val="bottom"/>
          </w:tcPr>
          <w:p w14:paraId="02FE7449" w14:textId="2AA7AB41" w:rsidR="00ED643C" w:rsidRPr="00C87657" w:rsidRDefault="00ED643C" w:rsidP="00ED643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(117)</w:t>
            </w:r>
          </w:p>
        </w:tc>
      </w:tr>
      <w:tr w:rsidR="00ED643C" w:rsidRPr="00C87657" w14:paraId="7ABEDB53" w14:textId="77777777" w:rsidTr="00C87657">
        <w:trPr>
          <w:trHeight w:val="387"/>
        </w:trPr>
        <w:tc>
          <w:tcPr>
            <w:tcW w:w="2519" w:type="pct"/>
            <w:vAlign w:val="bottom"/>
          </w:tcPr>
          <w:p w14:paraId="363A5562" w14:textId="77777777" w:rsidR="00ED643C" w:rsidRPr="00C87657" w:rsidRDefault="00ED643C" w:rsidP="00ED643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01" w:name="_Toc67327765"/>
            <w:r w:rsidRPr="00C87657">
              <w:rPr>
                <w:rFonts w:ascii="Arial" w:eastAsia="Times New Roman" w:hAnsi="Arial" w:cs="Arial"/>
                <w:color w:val="000000" w:themeColor="text1"/>
                <w:sz w:val="20"/>
                <w:szCs w:val="20"/>
              </w:rPr>
              <w:t>Modifikacijski (dobitak)/gubitak po kreditima ostalim korisnicima</w:t>
            </w:r>
            <w:bookmarkEnd w:id="301"/>
          </w:p>
        </w:tc>
        <w:tc>
          <w:tcPr>
            <w:tcW w:w="623" w:type="pct"/>
            <w:tcBorders>
              <w:top w:val="nil"/>
              <w:left w:val="nil"/>
              <w:bottom w:val="nil"/>
              <w:right w:val="nil"/>
            </w:tcBorders>
            <w:shd w:val="clear" w:color="auto" w:fill="auto"/>
            <w:vAlign w:val="bottom"/>
          </w:tcPr>
          <w:p w14:paraId="76EA4FEA" w14:textId="70F5F284" w:rsidR="00ED643C" w:rsidRPr="00C87657" w:rsidRDefault="00ED643C" w:rsidP="00ED643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965</w:t>
            </w:r>
          </w:p>
        </w:tc>
        <w:tc>
          <w:tcPr>
            <w:tcW w:w="622" w:type="pct"/>
            <w:tcBorders>
              <w:top w:val="nil"/>
              <w:left w:val="nil"/>
              <w:bottom w:val="nil"/>
              <w:right w:val="nil"/>
            </w:tcBorders>
            <w:shd w:val="clear" w:color="auto" w:fill="auto"/>
            <w:vAlign w:val="bottom"/>
          </w:tcPr>
          <w:p w14:paraId="1608B082" w14:textId="14DD23C2" w:rsidR="00ED643C" w:rsidRPr="00C87657" w:rsidRDefault="00ED643C" w:rsidP="00ED643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708 </w:t>
            </w:r>
          </w:p>
        </w:tc>
        <w:tc>
          <w:tcPr>
            <w:tcW w:w="622" w:type="pct"/>
            <w:tcBorders>
              <w:top w:val="nil"/>
              <w:left w:val="nil"/>
              <w:bottom w:val="nil"/>
              <w:right w:val="nil"/>
            </w:tcBorders>
            <w:shd w:val="clear" w:color="auto" w:fill="auto"/>
            <w:vAlign w:val="bottom"/>
          </w:tcPr>
          <w:p w14:paraId="66681F4D" w14:textId="45B13E6C" w:rsidR="00ED643C" w:rsidRPr="00C87657" w:rsidRDefault="00ED643C" w:rsidP="00ED643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965</w:t>
            </w:r>
          </w:p>
        </w:tc>
        <w:tc>
          <w:tcPr>
            <w:tcW w:w="613" w:type="pct"/>
            <w:tcBorders>
              <w:top w:val="nil"/>
              <w:left w:val="nil"/>
              <w:bottom w:val="nil"/>
              <w:right w:val="nil"/>
            </w:tcBorders>
            <w:shd w:val="clear" w:color="auto" w:fill="auto"/>
            <w:vAlign w:val="bottom"/>
          </w:tcPr>
          <w:p w14:paraId="4385B007" w14:textId="241DC5CE" w:rsidR="00ED643C" w:rsidRPr="00C87657" w:rsidRDefault="00ED643C" w:rsidP="00ED643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708 </w:t>
            </w:r>
          </w:p>
        </w:tc>
      </w:tr>
      <w:tr w:rsidR="00ED643C" w:rsidRPr="00C87657" w14:paraId="6AEC01E1" w14:textId="77777777" w:rsidTr="00C87657">
        <w:trPr>
          <w:trHeight w:val="281"/>
        </w:trPr>
        <w:tc>
          <w:tcPr>
            <w:tcW w:w="2519" w:type="pct"/>
            <w:vAlign w:val="bottom"/>
          </w:tcPr>
          <w:p w14:paraId="06F0F6BE" w14:textId="77777777" w:rsidR="00ED643C" w:rsidRPr="00C87657" w:rsidRDefault="00ED643C" w:rsidP="00ED643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02" w:name="_Toc67327770"/>
            <w:r w:rsidRPr="00C87657">
              <w:rPr>
                <w:rFonts w:ascii="Arial" w:eastAsia="Times New Roman" w:hAnsi="Arial" w:cs="Arial"/>
                <w:color w:val="000000" w:themeColor="text1"/>
                <w:sz w:val="20"/>
                <w:szCs w:val="20"/>
              </w:rPr>
              <w:t>POCI imovina – usklađenje fer vrijednosti kod inicijalnog priznavanja</w:t>
            </w:r>
            <w:bookmarkEnd w:id="302"/>
          </w:p>
        </w:tc>
        <w:tc>
          <w:tcPr>
            <w:tcW w:w="623" w:type="pct"/>
            <w:tcBorders>
              <w:top w:val="nil"/>
              <w:left w:val="nil"/>
              <w:bottom w:val="nil"/>
              <w:right w:val="nil"/>
            </w:tcBorders>
            <w:shd w:val="clear" w:color="auto" w:fill="auto"/>
            <w:vAlign w:val="bottom"/>
          </w:tcPr>
          <w:p w14:paraId="6536869A" w14:textId="2665990F" w:rsidR="00ED643C" w:rsidRPr="00C87657" w:rsidRDefault="00ED643C" w:rsidP="00ED643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622" w:type="pct"/>
            <w:tcBorders>
              <w:top w:val="nil"/>
              <w:left w:val="nil"/>
              <w:bottom w:val="nil"/>
              <w:right w:val="nil"/>
            </w:tcBorders>
            <w:shd w:val="clear" w:color="auto" w:fill="auto"/>
            <w:vAlign w:val="bottom"/>
          </w:tcPr>
          <w:p w14:paraId="77D6A8E5" w14:textId="71AB44ED" w:rsidR="00ED643C" w:rsidRPr="00C87657" w:rsidRDefault="00ED643C" w:rsidP="00ED643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4.530 </w:t>
            </w:r>
          </w:p>
        </w:tc>
        <w:tc>
          <w:tcPr>
            <w:tcW w:w="622" w:type="pct"/>
            <w:tcBorders>
              <w:top w:val="nil"/>
              <w:left w:val="nil"/>
              <w:bottom w:val="nil"/>
              <w:right w:val="nil"/>
            </w:tcBorders>
            <w:shd w:val="clear" w:color="auto" w:fill="auto"/>
            <w:vAlign w:val="bottom"/>
          </w:tcPr>
          <w:p w14:paraId="011A4910" w14:textId="3654CF23" w:rsidR="00ED643C" w:rsidRPr="00C87657" w:rsidRDefault="00ED643C" w:rsidP="00ED643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613" w:type="pct"/>
            <w:tcBorders>
              <w:top w:val="nil"/>
              <w:left w:val="nil"/>
              <w:bottom w:val="nil"/>
              <w:right w:val="nil"/>
            </w:tcBorders>
            <w:shd w:val="clear" w:color="auto" w:fill="auto"/>
            <w:vAlign w:val="bottom"/>
          </w:tcPr>
          <w:p w14:paraId="6871A5A1" w14:textId="43667A5B" w:rsidR="00ED643C" w:rsidRPr="00C87657" w:rsidRDefault="00ED643C" w:rsidP="00ED643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4.530 </w:t>
            </w:r>
          </w:p>
        </w:tc>
      </w:tr>
      <w:tr w:rsidR="00ED643C" w:rsidRPr="00C87657" w14:paraId="7E8B3E91" w14:textId="77777777" w:rsidTr="00C87657">
        <w:trPr>
          <w:trHeight w:val="387"/>
        </w:trPr>
        <w:tc>
          <w:tcPr>
            <w:tcW w:w="2519" w:type="pct"/>
            <w:vAlign w:val="bottom"/>
          </w:tcPr>
          <w:p w14:paraId="7B110BB9" w14:textId="77777777" w:rsidR="00ED643C" w:rsidRPr="00C87657" w:rsidRDefault="00ED643C" w:rsidP="00ED643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03" w:name="_Toc67327775"/>
            <w:r w:rsidRPr="00C87657">
              <w:rPr>
                <w:rFonts w:ascii="Arial" w:eastAsia="Times New Roman" w:hAnsi="Arial" w:cs="Arial"/>
                <w:color w:val="000000" w:themeColor="text1"/>
                <w:sz w:val="20"/>
                <w:szCs w:val="20"/>
              </w:rPr>
              <w:t>Rezerviranja za gubitke financijske imovine po fer vrijednosti kroz ostalu sveobuhvatnu dobit</w:t>
            </w:r>
            <w:bookmarkEnd w:id="303"/>
          </w:p>
        </w:tc>
        <w:tc>
          <w:tcPr>
            <w:tcW w:w="623" w:type="pct"/>
            <w:tcBorders>
              <w:top w:val="nil"/>
              <w:left w:val="nil"/>
              <w:bottom w:val="nil"/>
              <w:right w:val="nil"/>
            </w:tcBorders>
            <w:shd w:val="clear" w:color="auto" w:fill="auto"/>
            <w:vAlign w:val="bottom"/>
          </w:tcPr>
          <w:p w14:paraId="57FBA321" w14:textId="22AD9C9B" w:rsidR="00ED643C" w:rsidRPr="00C87657" w:rsidRDefault="00ED643C" w:rsidP="00ED643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622" w:type="pct"/>
            <w:tcBorders>
              <w:top w:val="nil"/>
              <w:left w:val="nil"/>
              <w:bottom w:val="nil"/>
              <w:right w:val="nil"/>
            </w:tcBorders>
            <w:shd w:val="clear" w:color="auto" w:fill="auto"/>
            <w:vAlign w:val="bottom"/>
          </w:tcPr>
          <w:p w14:paraId="6BAE0A9E" w14:textId="19C3A442" w:rsidR="00ED643C" w:rsidRPr="00C87657" w:rsidRDefault="00ED643C" w:rsidP="00ED643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(1</w:t>
            </w:r>
            <w:r>
              <w:rPr>
                <w:rFonts w:ascii="Arial" w:hAnsi="Arial" w:cs="Arial"/>
                <w:sz w:val="20"/>
                <w:szCs w:val="20"/>
              </w:rPr>
              <w:t>4</w:t>
            </w:r>
            <w:r w:rsidRPr="00C87657">
              <w:rPr>
                <w:rFonts w:ascii="Arial" w:hAnsi="Arial" w:cs="Arial"/>
                <w:sz w:val="20"/>
                <w:szCs w:val="20"/>
              </w:rPr>
              <w:t>)</w:t>
            </w:r>
          </w:p>
        </w:tc>
        <w:tc>
          <w:tcPr>
            <w:tcW w:w="622" w:type="pct"/>
            <w:tcBorders>
              <w:top w:val="nil"/>
              <w:left w:val="nil"/>
              <w:bottom w:val="nil"/>
              <w:right w:val="nil"/>
            </w:tcBorders>
            <w:shd w:val="clear" w:color="auto" w:fill="auto"/>
            <w:vAlign w:val="bottom"/>
          </w:tcPr>
          <w:p w14:paraId="0EDA433E" w14:textId="1E56F534" w:rsidR="00ED643C" w:rsidRPr="00C87657" w:rsidRDefault="00ED643C" w:rsidP="00ED643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w:t>
            </w:r>
          </w:p>
        </w:tc>
        <w:tc>
          <w:tcPr>
            <w:tcW w:w="613" w:type="pct"/>
            <w:tcBorders>
              <w:top w:val="nil"/>
              <w:left w:val="nil"/>
              <w:bottom w:val="nil"/>
              <w:right w:val="nil"/>
            </w:tcBorders>
            <w:shd w:val="clear" w:color="auto" w:fill="auto"/>
            <w:vAlign w:val="bottom"/>
          </w:tcPr>
          <w:p w14:paraId="66524E1B" w14:textId="7911FE01" w:rsidR="00ED643C" w:rsidRPr="00C87657" w:rsidRDefault="00ED643C" w:rsidP="00ED643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(14)</w:t>
            </w:r>
          </w:p>
        </w:tc>
      </w:tr>
      <w:tr w:rsidR="00ED643C" w:rsidRPr="00C87657" w14:paraId="33EAD8DA" w14:textId="77777777" w:rsidTr="00C87657">
        <w:trPr>
          <w:trHeight w:val="387"/>
        </w:trPr>
        <w:tc>
          <w:tcPr>
            <w:tcW w:w="2519" w:type="pct"/>
            <w:vAlign w:val="bottom"/>
          </w:tcPr>
          <w:p w14:paraId="3EEC3BEF" w14:textId="77777777" w:rsidR="00ED643C" w:rsidRPr="00C87657" w:rsidRDefault="00ED643C" w:rsidP="00ED643C">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bookmarkStart w:id="304" w:name="_Toc67327785"/>
            <w:r w:rsidRPr="00C87657">
              <w:rPr>
                <w:rFonts w:ascii="Arial" w:eastAsia="Times New Roman" w:hAnsi="Arial" w:cs="Arial"/>
                <w:color w:val="000000" w:themeColor="text1"/>
                <w:sz w:val="20"/>
                <w:szCs w:val="20"/>
              </w:rPr>
              <w:t>Rezerviranja za gubitke po ostaloj imovini</w:t>
            </w:r>
            <w:bookmarkEnd w:id="304"/>
          </w:p>
        </w:tc>
        <w:tc>
          <w:tcPr>
            <w:tcW w:w="623" w:type="pct"/>
            <w:tcBorders>
              <w:top w:val="nil"/>
              <w:left w:val="nil"/>
              <w:bottom w:val="nil"/>
              <w:right w:val="nil"/>
            </w:tcBorders>
            <w:shd w:val="clear" w:color="auto" w:fill="auto"/>
            <w:vAlign w:val="bottom"/>
          </w:tcPr>
          <w:p w14:paraId="07C41206" w14:textId="795DBD13" w:rsidR="00ED643C" w:rsidRPr="00C87657" w:rsidRDefault="00ED643C" w:rsidP="00ED643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622" w:type="pct"/>
            <w:tcBorders>
              <w:top w:val="nil"/>
              <w:left w:val="nil"/>
              <w:bottom w:val="nil"/>
              <w:right w:val="nil"/>
            </w:tcBorders>
            <w:shd w:val="clear" w:color="auto" w:fill="auto"/>
            <w:vAlign w:val="bottom"/>
          </w:tcPr>
          <w:p w14:paraId="07F42DA0" w14:textId="538C7164" w:rsidR="00ED643C" w:rsidRPr="00C87657" w:rsidRDefault="00ED643C" w:rsidP="00ED643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(25</w:t>
            </w:r>
            <w:r>
              <w:rPr>
                <w:rFonts w:ascii="Arial" w:hAnsi="Arial" w:cs="Arial"/>
                <w:sz w:val="20"/>
                <w:szCs w:val="20"/>
              </w:rPr>
              <w:t>4</w:t>
            </w:r>
            <w:r w:rsidRPr="00C87657">
              <w:rPr>
                <w:rFonts w:ascii="Arial" w:hAnsi="Arial" w:cs="Arial"/>
                <w:sz w:val="20"/>
                <w:szCs w:val="20"/>
              </w:rPr>
              <w:t>)</w:t>
            </w:r>
          </w:p>
        </w:tc>
        <w:tc>
          <w:tcPr>
            <w:tcW w:w="622" w:type="pct"/>
            <w:tcBorders>
              <w:top w:val="nil"/>
              <w:left w:val="nil"/>
              <w:bottom w:val="nil"/>
              <w:right w:val="nil"/>
            </w:tcBorders>
            <w:shd w:val="clear" w:color="auto" w:fill="auto"/>
            <w:vAlign w:val="bottom"/>
          </w:tcPr>
          <w:p w14:paraId="3D870481" w14:textId="0074653C" w:rsidR="00ED643C" w:rsidRPr="00C87657" w:rsidRDefault="00ED643C" w:rsidP="00ED643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(83)</w:t>
            </w:r>
          </w:p>
        </w:tc>
        <w:tc>
          <w:tcPr>
            <w:tcW w:w="613" w:type="pct"/>
            <w:tcBorders>
              <w:top w:val="nil"/>
              <w:left w:val="nil"/>
              <w:bottom w:val="nil"/>
              <w:right w:val="nil"/>
            </w:tcBorders>
            <w:shd w:val="clear" w:color="auto" w:fill="auto"/>
            <w:vAlign w:val="bottom"/>
          </w:tcPr>
          <w:p w14:paraId="7FC4973C" w14:textId="39A465E9" w:rsidR="00ED643C" w:rsidRPr="00C87657" w:rsidRDefault="00ED643C" w:rsidP="00ED643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(257)</w:t>
            </w:r>
          </w:p>
        </w:tc>
      </w:tr>
      <w:tr w:rsidR="00ED643C" w:rsidRPr="00C87657" w14:paraId="1D4EFBD8" w14:textId="77777777" w:rsidTr="00C87657">
        <w:trPr>
          <w:trHeight w:val="387"/>
        </w:trPr>
        <w:tc>
          <w:tcPr>
            <w:tcW w:w="2519" w:type="pct"/>
            <w:vAlign w:val="bottom"/>
          </w:tcPr>
          <w:p w14:paraId="538DE701" w14:textId="77777777" w:rsidR="00ED643C" w:rsidRPr="00C87657" w:rsidRDefault="00ED643C" w:rsidP="00ED643C">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bookmarkStart w:id="305" w:name="_Toc67327790"/>
            <w:r w:rsidRPr="00C87657">
              <w:rPr>
                <w:rFonts w:ascii="Arial" w:eastAsia="Times New Roman" w:hAnsi="Arial" w:cs="Arial"/>
                <w:color w:val="000000" w:themeColor="text1"/>
                <w:sz w:val="20"/>
                <w:szCs w:val="20"/>
              </w:rPr>
              <w:t>Rezerviranja za gubitke po preuzetim obvezama po kreditima</w:t>
            </w:r>
            <w:bookmarkEnd w:id="305"/>
          </w:p>
        </w:tc>
        <w:tc>
          <w:tcPr>
            <w:tcW w:w="623" w:type="pct"/>
            <w:tcBorders>
              <w:top w:val="nil"/>
              <w:left w:val="nil"/>
              <w:right w:val="nil"/>
            </w:tcBorders>
            <w:shd w:val="clear" w:color="auto" w:fill="auto"/>
            <w:vAlign w:val="bottom"/>
          </w:tcPr>
          <w:p w14:paraId="05E3F9F8" w14:textId="1C2B68C8" w:rsidR="00ED643C" w:rsidRPr="00C87657" w:rsidRDefault="00ED643C" w:rsidP="00ED643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(2.225)</w:t>
            </w:r>
          </w:p>
        </w:tc>
        <w:tc>
          <w:tcPr>
            <w:tcW w:w="622" w:type="pct"/>
            <w:tcBorders>
              <w:top w:val="nil"/>
              <w:left w:val="nil"/>
              <w:right w:val="nil"/>
            </w:tcBorders>
            <w:shd w:val="clear" w:color="auto" w:fill="auto"/>
            <w:vAlign w:val="bottom"/>
          </w:tcPr>
          <w:p w14:paraId="15F94217" w14:textId="2C893290" w:rsidR="00ED643C" w:rsidRPr="00C87657" w:rsidRDefault="00ED643C" w:rsidP="00ED643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38 </w:t>
            </w:r>
          </w:p>
        </w:tc>
        <w:tc>
          <w:tcPr>
            <w:tcW w:w="622" w:type="pct"/>
            <w:tcBorders>
              <w:top w:val="nil"/>
              <w:left w:val="nil"/>
              <w:right w:val="nil"/>
            </w:tcBorders>
            <w:shd w:val="clear" w:color="auto" w:fill="auto"/>
            <w:vAlign w:val="bottom"/>
          </w:tcPr>
          <w:p w14:paraId="1669192A" w14:textId="5A191E93" w:rsidR="00ED643C" w:rsidRPr="00C87657" w:rsidRDefault="00ED643C" w:rsidP="00ED643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(2.225)</w:t>
            </w:r>
          </w:p>
        </w:tc>
        <w:tc>
          <w:tcPr>
            <w:tcW w:w="613" w:type="pct"/>
            <w:tcBorders>
              <w:top w:val="nil"/>
              <w:left w:val="nil"/>
              <w:right w:val="nil"/>
            </w:tcBorders>
            <w:shd w:val="clear" w:color="auto" w:fill="auto"/>
            <w:vAlign w:val="bottom"/>
          </w:tcPr>
          <w:p w14:paraId="58F72B8F" w14:textId="0C449E18" w:rsidR="00ED643C" w:rsidRPr="00C87657" w:rsidRDefault="00ED643C" w:rsidP="00ED643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38 </w:t>
            </w:r>
          </w:p>
        </w:tc>
      </w:tr>
      <w:tr w:rsidR="00ED643C" w:rsidRPr="00C87657" w14:paraId="235D3DC8" w14:textId="77777777" w:rsidTr="00C87657">
        <w:trPr>
          <w:trHeight w:val="387"/>
        </w:trPr>
        <w:tc>
          <w:tcPr>
            <w:tcW w:w="2519" w:type="pct"/>
            <w:vAlign w:val="bottom"/>
          </w:tcPr>
          <w:p w14:paraId="7A2060B6" w14:textId="77777777" w:rsidR="00ED643C" w:rsidRPr="00C87657" w:rsidRDefault="00ED643C" w:rsidP="00ED643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06" w:name="_Toc67327795"/>
            <w:r w:rsidRPr="00C87657">
              <w:rPr>
                <w:rFonts w:ascii="Arial" w:eastAsia="Times New Roman" w:hAnsi="Arial" w:cs="Arial"/>
                <w:color w:val="000000" w:themeColor="text1"/>
                <w:sz w:val="20"/>
                <w:szCs w:val="20"/>
              </w:rPr>
              <w:t>Rezerviranja za gubitke po garancijama</w:t>
            </w:r>
            <w:bookmarkEnd w:id="306"/>
          </w:p>
        </w:tc>
        <w:tc>
          <w:tcPr>
            <w:tcW w:w="623" w:type="pct"/>
            <w:tcBorders>
              <w:top w:val="nil"/>
              <w:left w:val="nil"/>
              <w:bottom w:val="nil"/>
              <w:right w:val="nil"/>
            </w:tcBorders>
            <w:shd w:val="clear" w:color="auto" w:fill="auto"/>
            <w:vAlign w:val="bottom"/>
          </w:tcPr>
          <w:p w14:paraId="472B1EC0" w14:textId="485F8344" w:rsidR="00ED643C" w:rsidRPr="00C87657" w:rsidRDefault="00ED643C" w:rsidP="00ED643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881</w:t>
            </w:r>
          </w:p>
        </w:tc>
        <w:tc>
          <w:tcPr>
            <w:tcW w:w="622" w:type="pct"/>
            <w:tcBorders>
              <w:top w:val="nil"/>
              <w:left w:val="nil"/>
              <w:bottom w:val="nil"/>
              <w:right w:val="nil"/>
            </w:tcBorders>
            <w:shd w:val="clear" w:color="auto" w:fill="auto"/>
            <w:vAlign w:val="bottom"/>
          </w:tcPr>
          <w:p w14:paraId="5C4796AC" w14:textId="1F2C88A4" w:rsidR="00ED643C" w:rsidRPr="00C87657" w:rsidRDefault="00ED643C" w:rsidP="00ED643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(741)</w:t>
            </w:r>
          </w:p>
        </w:tc>
        <w:tc>
          <w:tcPr>
            <w:tcW w:w="622" w:type="pct"/>
            <w:tcBorders>
              <w:top w:val="nil"/>
              <w:left w:val="nil"/>
              <w:bottom w:val="nil"/>
              <w:right w:val="nil"/>
            </w:tcBorders>
            <w:shd w:val="clear" w:color="auto" w:fill="auto"/>
            <w:vAlign w:val="bottom"/>
          </w:tcPr>
          <w:p w14:paraId="416C260B" w14:textId="654660EF" w:rsidR="00ED643C" w:rsidRPr="00C87657" w:rsidRDefault="00ED643C" w:rsidP="00ED643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881</w:t>
            </w:r>
          </w:p>
        </w:tc>
        <w:tc>
          <w:tcPr>
            <w:tcW w:w="613" w:type="pct"/>
            <w:tcBorders>
              <w:top w:val="nil"/>
              <w:left w:val="nil"/>
              <w:bottom w:val="nil"/>
              <w:right w:val="nil"/>
            </w:tcBorders>
            <w:shd w:val="clear" w:color="auto" w:fill="auto"/>
            <w:vAlign w:val="bottom"/>
          </w:tcPr>
          <w:p w14:paraId="6CFC3A80" w14:textId="0B1B13D1" w:rsidR="00ED643C" w:rsidRPr="00C87657" w:rsidRDefault="00ED643C" w:rsidP="00ED643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87657">
              <w:rPr>
                <w:rFonts w:ascii="Arial" w:hAnsi="Arial" w:cs="Arial"/>
                <w:sz w:val="20"/>
                <w:szCs w:val="20"/>
              </w:rPr>
              <w:t xml:space="preserve"> (741)</w:t>
            </w:r>
          </w:p>
        </w:tc>
      </w:tr>
      <w:tr w:rsidR="00ED643C" w:rsidRPr="00C87657" w14:paraId="2021BDB1" w14:textId="77777777" w:rsidTr="00C87657">
        <w:trPr>
          <w:trHeight w:val="387"/>
        </w:trPr>
        <w:tc>
          <w:tcPr>
            <w:tcW w:w="2519" w:type="pct"/>
            <w:vAlign w:val="bottom"/>
          </w:tcPr>
          <w:p w14:paraId="4B17F01B" w14:textId="77777777" w:rsidR="00ED643C" w:rsidRPr="00C87657" w:rsidRDefault="00ED643C" w:rsidP="00ED643C">
            <w:pPr>
              <w:tabs>
                <w:tab w:val="right" w:pos="1202"/>
              </w:tabs>
              <w:suppressAutoHyphens/>
              <w:autoSpaceDN w:val="0"/>
              <w:spacing w:line="301" w:lineRule="exact"/>
              <w:outlineLvl w:val="0"/>
              <w:rPr>
                <w:rFonts w:ascii="Arial" w:eastAsia="Times New Roman" w:hAnsi="Arial" w:cs="Arial"/>
                <w:b/>
                <w:color w:val="000000" w:themeColor="text1"/>
                <w:sz w:val="20"/>
                <w:szCs w:val="20"/>
              </w:rPr>
            </w:pPr>
            <w:bookmarkStart w:id="307" w:name="_Toc67327800"/>
            <w:r w:rsidRPr="00C87657">
              <w:rPr>
                <w:rFonts w:ascii="Arial" w:eastAsia="Times New Roman" w:hAnsi="Arial" w:cs="Arial"/>
                <w:b/>
                <w:color w:val="000000" w:themeColor="text1"/>
                <w:sz w:val="20"/>
                <w:szCs w:val="20"/>
              </w:rPr>
              <w:t>Ukupno</w:t>
            </w:r>
            <w:bookmarkEnd w:id="307"/>
          </w:p>
        </w:tc>
        <w:tc>
          <w:tcPr>
            <w:tcW w:w="623" w:type="pct"/>
            <w:tcBorders>
              <w:top w:val="single" w:sz="6" w:space="0" w:color="auto"/>
              <w:left w:val="nil"/>
              <w:bottom w:val="single" w:sz="12" w:space="0" w:color="auto"/>
              <w:right w:val="nil"/>
            </w:tcBorders>
            <w:shd w:val="clear" w:color="auto" w:fill="auto"/>
            <w:vAlign w:val="bottom"/>
          </w:tcPr>
          <w:p w14:paraId="70631C77" w14:textId="5358CF60" w:rsidR="00ED643C" w:rsidRPr="00C87657" w:rsidRDefault="00ED643C" w:rsidP="00ED643C">
            <w:pPr>
              <w:tabs>
                <w:tab w:val="right" w:pos="1202"/>
              </w:tabs>
              <w:suppressAutoHyphens/>
              <w:autoSpaceDN w:val="0"/>
              <w:spacing w:line="301"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(4.79</w:t>
            </w:r>
            <w:r w:rsidR="00531BCE">
              <w:rPr>
                <w:rFonts w:ascii="Arial" w:eastAsia="Times New Roman" w:hAnsi="Arial" w:cs="Arial"/>
                <w:b/>
                <w:bCs/>
                <w:color w:val="000000" w:themeColor="text1"/>
                <w:sz w:val="20"/>
                <w:szCs w:val="20"/>
              </w:rPr>
              <w:t>5</w:t>
            </w:r>
            <w:r>
              <w:rPr>
                <w:rFonts w:ascii="Arial" w:eastAsia="Times New Roman" w:hAnsi="Arial" w:cs="Arial"/>
                <w:b/>
                <w:bCs/>
                <w:color w:val="000000" w:themeColor="text1"/>
                <w:sz w:val="20"/>
                <w:szCs w:val="20"/>
              </w:rPr>
              <w:t>)</w:t>
            </w:r>
          </w:p>
        </w:tc>
        <w:tc>
          <w:tcPr>
            <w:tcW w:w="622" w:type="pct"/>
            <w:tcBorders>
              <w:top w:val="single" w:sz="6" w:space="0" w:color="auto"/>
              <w:left w:val="nil"/>
              <w:bottom w:val="single" w:sz="12" w:space="0" w:color="auto"/>
              <w:right w:val="nil"/>
            </w:tcBorders>
            <w:shd w:val="clear" w:color="auto" w:fill="auto"/>
            <w:vAlign w:val="bottom"/>
          </w:tcPr>
          <w:p w14:paraId="2547E736" w14:textId="53BEAF88" w:rsidR="00ED643C" w:rsidRPr="00C87657" w:rsidRDefault="00ED643C" w:rsidP="00ED643C">
            <w:pPr>
              <w:tabs>
                <w:tab w:val="right" w:pos="1202"/>
              </w:tabs>
              <w:suppressAutoHyphens/>
              <w:autoSpaceDN w:val="0"/>
              <w:spacing w:line="301" w:lineRule="exact"/>
              <w:jc w:val="right"/>
              <w:outlineLvl w:val="0"/>
              <w:rPr>
                <w:rFonts w:ascii="Arial" w:eastAsia="Times New Roman" w:hAnsi="Arial" w:cs="Arial"/>
                <w:b/>
                <w:bCs/>
                <w:color w:val="000000" w:themeColor="text1"/>
                <w:sz w:val="20"/>
                <w:szCs w:val="20"/>
              </w:rPr>
            </w:pPr>
            <w:r w:rsidRPr="00C87657">
              <w:rPr>
                <w:rFonts w:ascii="Arial" w:hAnsi="Arial" w:cs="Arial"/>
                <w:b/>
                <w:bCs/>
                <w:sz w:val="20"/>
                <w:szCs w:val="20"/>
              </w:rPr>
              <w:t xml:space="preserve"> (4.5</w:t>
            </w:r>
            <w:r>
              <w:rPr>
                <w:rFonts w:ascii="Arial" w:hAnsi="Arial" w:cs="Arial"/>
                <w:b/>
                <w:bCs/>
                <w:sz w:val="20"/>
                <w:szCs w:val="20"/>
              </w:rPr>
              <w:t>72</w:t>
            </w:r>
            <w:r w:rsidRPr="00C87657">
              <w:rPr>
                <w:rFonts w:ascii="Arial" w:hAnsi="Arial" w:cs="Arial"/>
                <w:b/>
                <w:bCs/>
                <w:sz w:val="20"/>
                <w:szCs w:val="20"/>
              </w:rPr>
              <w:t>)</w:t>
            </w:r>
          </w:p>
        </w:tc>
        <w:tc>
          <w:tcPr>
            <w:tcW w:w="622" w:type="pct"/>
            <w:tcBorders>
              <w:top w:val="single" w:sz="6" w:space="0" w:color="auto"/>
              <w:left w:val="nil"/>
              <w:bottom w:val="single" w:sz="12" w:space="0" w:color="auto"/>
              <w:right w:val="nil"/>
            </w:tcBorders>
            <w:shd w:val="clear" w:color="auto" w:fill="auto"/>
            <w:vAlign w:val="bottom"/>
          </w:tcPr>
          <w:p w14:paraId="527DBE56" w14:textId="086A066B" w:rsidR="00ED643C" w:rsidRPr="00C87657" w:rsidRDefault="00ED643C" w:rsidP="00ED643C">
            <w:pPr>
              <w:tabs>
                <w:tab w:val="right" w:pos="1202"/>
              </w:tabs>
              <w:suppressAutoHyphens/>
              <w:autoSpaceDN w:val="0"/>
              <w:spacing w:line="301"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(4.791)</w:t>
            </w:r>
          </w:p>
        </w:tc>
        <w:tc>
          <w:tcPr>
            <w:tcW w:w="613" w:type="pct"/>
            <w:tcBorders>
              <w:top w:val="single" w:sz="6" w:space="0" w:color="auto"/>
              <w:left w:val="nil"/>
              <w:bottom w:val="single" w:sz="12" w:space="0" w:color="auto"/>
              <w:right w:val="nil"/>
            </w:tcBorders>
            <w:shd w:val="clear" w:color="auto" w:fill="auto"/>
            <w:vAlign w:val="bottom"/>
          </w:tcPr>
          <w:p w14:paraId="3CFBBA2A" w14:textId="6776E230" w:rsidR="00ED643C" w:rsidRPr="00C87657" w:rsidRDefault="00ED643C" w:rsidP="00ED643C">
            <w:pPr>
              <w:tabs>
                <w:tab w:val="right" w:pos="1202"/>
              </w:tabs>
              <w:suppressAutoHyphens/>
              <w:autoSpaceDN w:val="0"/>
              <w:spacing w:line="301" w:lineRule="exact"/>
              <w:jc w:val="right"/>
              <w:outlineLvl w:val="0"/>
              <w:rPr>
                <w:rFonts w:ascii="Arial" w:eastAsia="Times New Roman" w:hAnsi="Arial" w:cs="Arial"/>
                <w:b/>
                <w:bCs/>
                <w:color w:val="000000" w:themeColor="text1"/>
                <w:sz w:val="20"/>
                <w:szCs w:val="20"/>
              </w:rPr>
            </w:pPr>
            <w:r w:rsidRPr="00C87657">
              <w:rPr>
                <w:rFonts w:ascii="Arial" w:hAnsi="Arial" w:cs="Arial"/>
                <w:b/>
                <w:bCs/>
                <w:sz w:val="20"/>
                <w:szCs w:val="20"/>
              </w:rPr>
              <w:t xml:space="preserve"> (4.574)</w:t>
            </w:r>
          </w:p>
        </w:tc>
      </w:tr>
    </w:tbl>
    <w:p w14:paraId="4977005F" w14:textId="77777777" w:rsidR="0011144D" w:rsidRPr="003D1614" w:rsidRDefault="0011144D" w:rsidP="0011144D">
      <w:pPr>
        <w:suppressAutoHyphens/>
        <w:autoSpaceDN w:val="0"/>
        <w:rPr>
          <w:rFonts w:ascii="Arial" w:eastAsia="Times New Roman" w:hAnsi="Arial" w:cs="Arial"/>
          <w:color w:val="000000" w:themeColor="text1"/>
          <w:sz w:val="20"/>
          <w:szCs w:val="20"/>
        </w:rPr>
      </w:pPr>
    </w:p>
    <w:p w14:paraId="75562AE1" w14:textId="77777777" w:rsidR="0011144D" w:rsidRPr="003D1614" w:rsidRDefault="0011144D" w:rsidP="0011144D">
      <w:pPr>
        <w:suppressAutoHyphens/>
        <w:autoSpaceDN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b) Ostala umanjenja vrijednosti i rezerviranja</w:t>
      </w:r>
    </w:p>
    <w:tbl>
      <w:tblPr>
        <w:tblW w:w="5128" w:type="pct"/>
        <w:tblLayout w:type="fixed"/>
        <w:tblCellMar>
          <w:left w:w="120" w:type="dxa"/>
          <w:right w:w="120" w:type="dxa"/>
        </w:tblCellMar>
        <w:tblLook w:val="0000" w:firstRow="0" w:lastRow="0" w:firstColumn="0" w:lastColumn="0" w:noHBand="0" w:noVBand="0"/>
      </w:tblPr>
      <w:tblGrid>
        <w:gridCol w:w="4688"/>
        <w:gridCol w:w="1158"/>
        <w:gridCol w:w="1157"/>
        <w:gridCol w:w="1157"/>
        <w:gridCol w:w="1144"/>
      </w:tblGrid>
      <w:tr w:rsidR="0011144D" w:rsidRPr="00C87657" w14:paraId="0F01476F" w14:textId="77777777" w:rsidTr="00C87657">
        <w:trPr>
          <w:trHeight w:val="295"/>
        </w:trPr>
        <w:tc>
          <w:tcPr>
            <w:tcW w:w="2519" w:type="pct"/>
            <w:vAlign w:val="bottom"/>
          </w:tcPr>
          <w:p w14:paraId="05B7E8F0" w14:textId="77777777" w:rsidR="0011144D" w:rsidRPr="00C87657" w:rsidRDefault="0011144D" w:rsidP="0011144D">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1244" w:type="pct"/>
            <w:gridSpan w:val="2"/>
            <w:tcBorders>
              <w:top w:val="nil"/>
              <w:left w:val="nil"/>
              <w:bottom w:val="nil"/>
              <w:right w:val="nil"/>
            </w:tcBorders>
            <w:shd w:val="clear" w:color="auto" w:fill="auto"/>
            <w:vAlign w:val="bottom"/>
          </w:tcPr>
          <w:p w14:paraId="7B6FE194" w14:textId="77777777" w:rsidR="0011144D" w:rsidRPr="00C87657" w:rsidRDefault="0011144D" w:rsidP="0011144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08" w:name="_Toc67327805"/>
            <w:r w:rsidRPr="00C87657">
              <w:rPr>
                <w:rFonts w:ascii="Arial" w:eastAsia="Times New Roman" w:hAnsi="Arial" w:cs="Arial"/>
                <w:b/>
                <w:color w:val="000000" w:themeColor="text1"/>
                <w:sz w:val="20"/>
                <w:szCs w:val="20"/>
              </w:rPr>
              <w:t>Grupa</w:t>
            </w:r>
            <w:bookmarkEnd w:id="308"/>
          </w:p>
        </w:tc>
        <w:tc>
          <w:tcPr>
            <w:tcW w:w="1237" w:type="pct"/>
            <w:gridSpan w:val="2"/>
            <w:tcBorders>
              <w:top w:val="nil"/>
              <w:left w:val="nil"/>
              <w:bottom w:val="nil"/>
              <w:right w:val="nil"/>
            </w:tcBorders>
            <w:shd w:val="clear" w:color="auto" w:fill="auto"/>
            <w:vAlign w:val="bottom"/>
          </w:tcPr>
          <w:p w14:paraId="0E2DD2EB" w14:textId="77777777" w:rsidR="0011144D" w:rsidRPr="00C87657" w:rsidRDefault="0011144D" w:rsidP="0011144D">
            <w:pPr>
              <w:tabs>
                <w:tab w:val="right" w:pos="1202"/>
              </w:tabs>
              <w:suppressAutoHyphens/>
              <w:autoSpaceDN w:val="0"/>
              <w:spacing w:line="301" w:lineRule="exact"/>
              <w:jc w:val="right"/>
              <w:outlineLvl w:val="0"/>
              <w:rPr>
                <w:rFonts w:ascii="Arial" w:eastAsia="Times New Roman" w:hAnsi="Arial" w:cs="Arial"/>
                <w:b/>
                <w:color w:val="000000" w:themeColor="text1"/>
                <w:sz w:val="20"/>
                <w:szCs w:val="20"/>
              </w:rPr>
            </w:pPr>
            <w:bookmarkStart w:id="309" w:name="_Toc67327806"/>
            <w:r w:rsidRPr="00C87657">
              <w:rPr>
                <w:rFonts w:ascii="Arial" w:eastAsia="Times New Roman" w:hAnsi="Arial" w:cs="Arial"/>
                <w:b/>
                <w:color w:val="000000" w:themeColor="text1"/>
                <w:sz w:val="20"/>
                <w:szCs w:val="20"/>
              </w:rPr>
              <w:t>Banka</w:t>
            </w:r>
            <w:bookmarkEnd w:id="309"/>
          </w:p>
        </w:tc>
      </w:tr>
      <w:tr w:rsidR="00FD5DDF" w:rsidRPr="00C87657" w14:paraId="3C7633B3" w14:textId="77777777" w:rsidTr="00C87657">
        <w:trPr>
          <w:trHeight w:hRule="exact" w:val="454"/>
        </w:trPr>
        <w:tc>
          <w:tcPr>
            <w:tcW w:w="2519" w:type="pct"/>
            <w:vAlign w:val="bottom"/>
          </w:tcPr>
          <w:p w14:paraId="3F1E1A6E" w14:textId="77777777" w:rsidR="00FD5DDF" w:rsidRPr="00C87657" w:rsidRDefault="00FD5DDF" w:rsidP="00FD5DDF">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622" w:type="pct"/>
            <w:vAlign w:val="bottom"/>
          </w:tcPr>
          <w:p w14:paraId="3C5E184A" w14:textId="77777777" w:rsidR="00FD5DDF" w:rsidRPr="00C87657" w:rsidRDefault="00FD5DDF" w:rsidP="00FD5DDF">
            <w:pPr>
              <w:tabs>
                <w:tab w:val="right" w:pos="1202"/>
              </w:tabs>
              <w:suppressAutoHyphens/>
              <w:autoSpaceDN w:val="0"/>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1.1.-31.3.</w:t>
            </w:r>
          </w:p>
          <w:p w14:paraId="00E8D524" w14:textId="7EEB6FBB" w:rsidR="00FD5DDF" w:rsidRPr="00C87657" w:rsidRDefault="00FD5DDF" w:rsidP="00FD5DDF">
            <w:pPr>
              <w:tabs>
                <w:tab w:val="right" w:pos="1202"/>
              </w:tabs>
              <w:suppressAutoHyphens/>
              <w:autoSpaceDN w:val="0"/>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202</w:t>
            </w:r>
            <w:r w:rsidR="00DE28C0">
              <w:rPr>
                <w:rFonts w:ascii="Arial" w:eastAsia="Times New Roman" w:hAnsi="Arial" w:cs="Arial"/>
                <w:b/>
                <w:color w:val="000000" w:themeColor="text1"/>
                <w:sz w:val="20"/>
                <w:szCs w:val="20"/>
              </w:rPr>
              <w:t>4</w:t>
            </w:r>
            <w:r w:rsidRPr="00C87657">
              <w:rPr>
                <w:rFonts w:ascii="Arial" w:eastAsia="Times New Roman" w:hAnsi="Arial" w:cs="Arial"/>
                <w:b/>
                <w:color w:val="000000" w:themeColor="text1"/>
                <w:sz w:val="20"/>
                <w:szCs w:val="20"/>
              </w:rPr>
              <w:t>.</w:t>
            </w:r>
          </w:p>
        </w:tc>
        <w:tc>
          <w:tcPr>
            <w:tcW w:w="622" w:type="pct"/>
            <w:vAlign w:val="bottom"/>
          </w:tcPr>
          <w:p w14:paraId="701CD0A8" w14:textId="77777777" w:rsidR="00FD5DDF" w:rsidRPr="00C87657" w:rsidRDefault="00FD5DDF" w:rsidP="00FD5DDF">
            <w:pPr>
              <w:tabs>
                <w:tab w:val="right" w:pos="1202"/>
              </w:tabs>
              <w:suppressAutoHyphens/>
              <w:autoSpaceDN w:val="0"/>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1.1.-31.3.</w:t>
            </w:r>
          </w:p>
          <w:p w14:paraId="7F457E1F" w14:textId="59D55803" w:rsidR="00FD5DDF" w:rsidRPr="00C87657" w:rsidRDefault="00FD5DDF" w:rsidP="00FD5DDF">
            <w:pPr>
              <w:tabs>
                <w:tab w:val="right" w:pos="1202"/>
              </w:tabs>
              <w:suppressAutoHyphens/>
              <w:autoSpaceDN w:val="0"/>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202</w:t>
            </w:r>
            <w:r w:rsidR="00DE28C0">
              <w:rPr>
                <w:rFonts w:ascii="Arial" w:eastAsia="Times New Roman" w:hAnsi="Arial" w:cs="Arial"/>
                <w:b/>
                <w:color w:val="000000" w:themeColor="text1"/>
                <w:sz w:val="20"/>
                <w:szCs w:val="20"/>
              </w:rPr>
              <w:t>3</w:t>
            </w:r>
            <w:r w:rsidRPr="00C87657">
              <w:rPr>
                <w:rFonts w:ascii="Arial" w:eastAsia="Times New Roman" w:hAnsi="Arial" w:cs="Arial"/>
                <w:b/>
                <w:color w:val="000000" w:themeColor="text1"/>
                <w:sz w:val="20"/>
                <w:szCs w:val="20"/>
              </w:rPr>
              <w:t>.</w:t>
            </w:r>
          </w:p>
        </w:tc>
        <w:tc>
          <w:tcPr>
            <w:tcW w:w="622" w:type="pct"/>
            <w:vAlign w:val="bottom"/>
          </w:tcPr>
          <w:p w14:paraId="613C84B9" w14:textId="77777777" w:rsidR="00FD5DDF" w:rsidRPr="00C87657" w:rsidRDefault="00FD5DDF" w:rsidP="00FD5DDF">
            <w:pPr>
              <w:tabs>
                <w:tab w:val="right" w:pos="1202"/>
              </w:tabs>
              <w:suppressAutoHyphens/>
              <w:autoSpaceDN w:val="0"/>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1.1.-31.3.</w:t>
            </w:r>
          </w:p>
          <w:p w14:paraId="2804665F" w14:textId="1AC45044" w:rsidR="00FD5DDF" w:rsidRPr="00C87657" w:rsidRDefault="00FD5DDF" w:rsidP="00FD5DDF">
            <w:pPr>
              <w:tabs>
                <w:tab w:val="right" w:pos="1202"/>
              </w:tabs>
              <w:suppressAutoHyphens/>
              <w:autoSpaceDN w:val="0"/>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202</w:t>
            </w:r>
            <w:r w:rsidR="00DE28C0">
              <w:rPr>
                <w:rFonts w:ascii="Arial" w:eastAsia="Times New Roman" w:hAnsi="Arial" w:cs="Arial"/>
                <w:b/>
                <w:color w:val="000000" w:themeColor="text1"/>
                <w:sz w:val="20"/>
                <w:szCs w:val="20"/>
              </w:rPr>
              <w:t>4</w:t>
            </w:r>
            <w:r w:rsidRPr="00C87657">
              <w:rPr>
                <w:rFonts w:ascii="Arial" w:eastAsia="Times New Roman" w:hAnsi="Arial" w:cs="Arial"/>
                <w:b/>
                <w:color w:val="000000" w:themeColor="text1"/>
                <w:sz w:val="20"/>
                <w:szCs w:val="20"/>
              </w:rPr>
              <w:t>.</w:t>
            </w:r>
          </w:p>
        </w:tc>
        <w:tc>
          <w:tcPr>
            <w:tcW w:w="615" w:type="pct"/>
            <w:vAlign w:val="bottom"/>
          </w:tcPr>
          <w:p w14:paraId="19623BA9" w14:textId="77777777" w:rsidR="00FD5DDF" w:rsidRPr="00C87657" w:rsidRDefault="00FD5DDF" w:rsidP="00FD5DDF">
            <w:pPr>
              <w:tabs>
                <w:tab w:val="right" w:pos="1202"/>
              </w:tabs>
              <w:suppressAutoHyphens/>
              <w:autoSpaceDN w:val="0"/>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1.1.-31.3.</w:t>
            </w:r>
          </w:p>
          <w:p w14:paraId="4BD81A4F" w14:textId="7BFC340B" w:rsidR="00FD5DDF" w:rsidRPr="00C87657" w:rsidRDefault="00FD5DDF" w:rsidP="00FD5DDF">
            <w:pPr>
              <w:tabs>
                <w:tab w:val="right" w:pos="1202"/>
              </w:tabs>
              <w:suppressAutoHyphens/>
              <w:autoSpaceDN w:val="0"/>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202</w:t>
            </w:r>
            <w:r w:rsidR="00DE28C0">
              <w:rPr>
                <w:rFonts w:ascii="Arial" w:eastAsia="Times New Roman" w:hAnsi="Arial" w:cs="Arial"/>
                <w:b/>
                <w:color w:val="000000" w:themeColor="text1"/>
                <w:sz w:val="20"/>
                <w:szCs w:val="20"/>
              </w:rPr>
              <w:t>3</w:t>
            </w:r>
            <w:r w:rsidRPr="00C87657">
              <w:rPr>
                <w:rFonts w:ascii="Arial" w:eastAsia="Times New Roman" w:hAnsi="Arial" w:cs="Arial"/>
                <w:b/>
                <w:color w:val="000000" w:themeColor="text1"/>
                <w:sz w:val="20"/>
                <w:szCs w:val="20"/>
              </w:rPr>
              <w:t>.</w:t>
            </w:r>
          </w:p>
        </w:tc>
      </w:tr>
      <w:tr w:rsidR="00FD5DDF" w:rsidRPr="00C87657" w14:paraId="12AE6B2C" w14:textId="77777777" w:rsidTr="00C87657">
        <w:trPr>
          <w:trHeight w:hRule="exact" w:val="284"/>
        </w:trPr>
        <w:tc>
          <w:tcPr>
            <w:tcW w:w="2519" w:type="pct"/>
            <w:vAlign w:val="bottom"/>
          </w:tcPr>
          <w:p w14:paraId="1DAA1C31" w14:textId="77777777" w:rsidR="00FD5DDF" w:rsidRPr="00C87657" w:rsidRDefault="00FD5DDF" w:rsidP="00FD5DDF">
            <w:pPr>
              <w:tabs>
                <w:tab w:val="right" w:pos="1202"/>
              </w:tabs>
              <w:suppressAutoHyphens/>
              <w:autoSpaceDN w:val="0"/>
              <w:spacing w:line="301" w:lineRule="exact"/>
              <w:outlineLvl w:val="0"/>
              <w:rPr>
                <w:rFonts w:ascii="Arial" w:eastAsia="Times New Roman" w:hAnsi="Arial" w:cs="Arial"/>
                <w:color w:val="000000" w:themeColor="text1"/>
                <w:sz w:val="20"/>
                <w:szCs w:val="20"/>
              </w:rPr>
            </w:pPr>
          </w:p>
        </w:tc>
        <w:tc>
          <w:tcPr>
            <w:tcW w:w="622" w:type="pct"/>
            <w:vAlign w:val="bottom"/>
          </w:tcPr>
          <w:p w14:paraId="22084630" w14:textId="6F9472A3" w:rsidR="00FD5DDF" w:rsidRPr="00C87657" w:rsidRDefault="00FD5DDF" w:rsidP="00FD5DD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000 eura</w:t>
            </w:r>
          </w:p>
        </w:tc>
        <w:tc>
          <w:tcPr>
            <w:tcW w:w="622" w:type="pct"/>
            <w:vAlign w:val="bottom"/>
          </w:tcPr>
          <w:p w14:paraId="327976BB" w14:textId="43E0A08E" w:rsidR="00FD5DDF" w:rsidRPr="00C87657" w:rsidRDefault="00FD5DDF" w:rsidP="00FD5DD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000 eura</w:t>
            </w:r>
          </w:p>
        </w:tc>
        <w:tc>
          <w:tcPr>
            <w:tcW w:w="622" w:type="pct"/>
            <w:vAlign w:val="bottom"/>
          </w:tcPr>
          <w:p w14:paraId="78CCAEDC" w14:textId="07F26F44" w:rsidR="00FD5DDF" w:rsidRPr="00C87657" w:rsidRDefault="00FD5DDF" w:rsidP="00FD5DD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000 eura</w:t>
            </w:r>
          </w:p>
        </w:tc>
        <w:tc>
          <w:tcPr>
            <w:tcW w:w="615" w:type="pct"/>
            <w:vAlign w:val="bottom"/>
          </w:tcPr>
          <w:p w14:paraId="5F5D2056" w14:textId="6338097E" w:rsidR="00FD5DDF" w:rsidRPr="00C87657" w:rsidRDefault="00FD5DDF" w:rsidP="00FD5DD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C87657">
              <w:rPr>
                <w:rFonts w:ascii="Arial" w:eastAsia="Times New Roman" w:hAnsi="Arial" w:cs="Arial"/>
                <w:b/>
                <w:color w:val="000000" w:themeColor="text1"/>
                <w:sz w:val="20"/>
                <w:szCs w:val="20"/>
              </w:rPr>
              <w:t>000 eura</w:t>
            </w:r>
          </w:p>
        </w:tc>
      </w:tr>
      <w:tr w:rsidR="00531BCE" w:rsidRPr="00C87657" w14:paraId="43BCDFD8" w14:textId="77777777" w:rsidTr="00C87657">
        <w:trPr>
          <w:trHeight w:val="327"/>
        </w:trPr>
        <w:tc>
          <w:tcPr>
            <w:tcW w:w="2519" w:type="pct"/>
            <w:vAlign w:val="bottom"/>
          </w:tcPr>
          <w:p w14:paraId="37FA48BF" w14:textId="77777777" w:rsidR="00531BCE" w:rsidRPr="00C87657" w:rsidRDefault="00531BCE" w:rsidP="00531BCE">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10" w:name="_Toc67327825"/>
            <w:r w:rsidRPr="00C87657">
              <w:rPr>
                <w:rFonts w:ascii="Arial" w:eastAsia="Times New Roman" w:hAnsi="Arial" w:cs="Arial"/>
                <w:color w:val="000000" w:themeColor="text1"/>
                <w:sz w:val="20"/>
                <w:szCs w:val="20"/>
              </w:rPr>
              <w:t>Rezerviranja za ostale obveze</w:t>
            </w:r>
            <w:bookmarkEnd w:id="310"/>
          </w:p>
        </w:tc>
        <w:tc>
          <w:tcPr>
            <w:tcW w:w="622" w:type="pct"/>
            <w:tcBorders>
              <w:top w:val="nil"/>
              <w:left w:val="nil"/>
              <w:bottom w:val="nil"/>
              <w:right w:val="nil"/>
            </w:tcBorders>
            <w:shd w:val="clear" w:color="auto" w:fill="auto"/>
            <w:vAlign w:val="bottom"/>
          </w:tcPr>
          <w:p w14:paraId="17C5A87F" w14:textId="2CEEC9C9" w:rsidR="00531BCE" w:rsidRPr="00C87657" w:rsidRDefault="00531BCE" w:rsidP="00531BCE">
            <w:pPr>
              <w:tabs>
                <w:tab w:val="right" w:pos="1202"/>
              </w:tabs>
              <w:suppressAutoHyphens/>
              <w:autoSpaceDN w:val="0"/>
              <w:spacing w:line="301" w:lineRule="exact"/>
              <w:jc w:val="right"/>
              <w:outlineLvl w:val="0"/>
              <w:rPr>
                <w:rFonts w:ascii="Arial" w:eastAsia="Times New Roman" w:hAnsi="Arial" w:cs="Arial"/>
                <w:color w:val="000000" w:themeColor="text1"/>
                <w:spacing w:val="-2"/>
                <w:sz w:val="20"/>
                <w:szCs w:val="20"/>
              </w:rPr>
            </w:pPr>
            <w:r>
              <w:rPr>
                <w:rFonts w:ascii="Arial" w:eastAsia="Times New Roman" w:hAnsi="Arial" w:cs="Arial"/>
                <w:color w:val="000000" w:themeColor="text1"/>
                <w:spacing w:val="-2"/>
                <w:sz w:val="20"/>
                <w:szCs w:val="20"/>
              </w:rPr>
              <w:t>(1.114)</w:t>
            </w:r>
          </w:p>
        </w:tc>
        <w:tc>
          <w:tcPr>
            <w:tcW w:w="622" w:type="pct"/>
            <w:tcBorders>
              <w:top w:val="nil"/>
              <w:left w:val="nil"/>
              <w:bottom w:val="nil"/>
              <w:right w:val="nil"/>
            </w:tcBorders>
            <w:shd w:val="clear" w:color="auto" w:fill="auto"/>
            <w:vAlign w:val="bottom"/>
          </w:tcPr>
          <w:p w14:paraId="14DDD333" w14:textId="3BC324AA" w:rsidR="00531BCE" w:rsidRPr="00C87657" w:rsidRDefault="00531BCE" w:rsidP="00531BCE">
            <w:pPr>
              <w:tabs>
                <w:tab w:val="right" w:pos="1202"/>
              </w:tabs>
              <w:suppressAutoHyphens/>
              <w:autoSpaceDN w:val="0"/>
              <w:spacing w:line="301" w:lineRule="exact"/>
              <w:jc w:val="right"/>
              <w:outlineLvl w:val="0"/>
              <w:rPr>
                <w:rFonts w:ascii="Arial" w:eastAsia="Times New Roman" w:hAnsi="Arial" w:cs="Arial"/>
                <w:color w:val="000000" w:themeColor="text1"/>
                <w:spacing w:val="-2"/>
                <w:sz w:val="20"/>
                <w:szCs w:val="20"/>
              </w:rPr>
            </w:pPr>
            <w:r w:rsidRPr="00C87657">
              <w:rPr>
                <w:rFonts w:ascii="Arial" w:hAnsi="Arial" w:cs="Arial"/>
                <w:sz w:val="20"/>
                <w:szCs w:val="20"/>
              </w:rPr>
              <w:t xml:space="preserve"> (74)</w:t>
            </w:r>
          </w:p>
        </w:tc>
        <w:tc>
          <w:tcPr>
            <w:tcW w:w="622" w:type="pct"/>
            <w:tcBorders>
              <w:top w:val="nil"/>
              <w:left w:val="nil"/>
              <w:bottom w:val="nil"/>
              <w:right w:val="nil"/>
            </w:tcBorders>
            <w:shd w:val="clear" w:color="auto" w:fill="auto"/>
            <w:vAlign w:val="bottom"/>
          </w:tcPr>
          <w:p w14:paraId="1CFC14CF" w14:textId="49520224" w:rsidR="00531BCE" w:rsidRPr="00C87657" w:rsidRDefault="00531BCE" w:rsidP="00531BCE">
            <w:pPr>
              <w:tabs>
                <w:tab w:val="right" w:pos="1202"/>
              </w:tabs>
              <w:suppressAutoHyphens/>
              <w:autoSpaceDN w:val="0"/>
              <w:spacing w:line="301" w:lineRule="exact"/>
              <w:jc w:val="right"/>
              <w:outlineLvl w:val="0"/>
              <w:rPr>
                <w:rFonts w:ascii="Arial" w:eastAsia="Times New Roman" w:hAnsi="Arial" w:cs="Arial"/>
                <w:color w:val="000000" w:themeColor="text1"/>
                <w:spacing w:val="-2"/>
                <w:sz w:val="20"/>
                <w:szCs w:val="20"/>
              </w:rPr>
            </w:pPr>
            <w:r>
              <w:rPr>
                <w:rFonts w:ascii="Arial" w:eastAsia="Times New Roman" w:hAnsi="Arial" w:cs="Arial"/>
                <w:color w:val="000000" w:themeColor="text1"/>
                <w:spacing w:val="-2"/>
                <w:sz w:val="20"/>
                <w:szCs w:val="20"/>
              </w:rPr>
              <w:t>(1.114)</w:t>
            </w:r>
          </w:p>
        </w:tc>
        <w:tc>
          <w:tcPr>
            <w:tcW w:w="615" w:type="pct"/>
            <w:tcBorders>
              <w:top w:val="nil"/>
              <w:left w:val="nil"/>
              <w:bottom w:val="nil"/>
              <w:right w:val="nil"/>
            </w:tcBorders>
            <w:shd w:val="clear" w:color="auto" w:fill="auto"/>
            <w:vAlign w:val="bottom"/>
          </w:tcPr>
          <w:p w14:paraId="0DB71568" w14:textId="40DB99E7" w:rsidR="00531BCE" w:rsidRPr="00C87657" w:rsidRDefault="00531BCE" w:rsidP="00531BCE">
            <w:pPr>
              <w:tabs>
                <w:tab w:val="right" w:pos="1202"/>
              </w:tabs>
              <w:suppressAutoHyphens/>
              <w:autoSpaceDN w:val="0"/>
              <w:spacing w:line="301" w:lineRule="exact"/>
              <w:jc w:val="right"/>
              <w:outlineLvl w:val="0"/>
              <w:rPr>
                <w:rFonts w:ascii="Arial" w:eastAsia="Times New Roman" w:hAnsi="Arial" w:cs="Arial"/>
                <w:color w:val="000000" w:themeColor="text1"/>
                <w:spacing w:val="-2"/>
                <w:sz w:val="20"/>
                <w:szCs w:val="20"/>
              </w:rPr>
            </w:pPr>
            <w:r w:rsidRPr="00C87657">
              <w:rPr>
                <w:rFonts w:ascii="Arial" w:hAnsi="Arial" w:cs="Arial"/>
                <w:sz w:val="20"/>
                <w:szCs w:val="20"/>
              </w:rPr>
              <w:t xml:space="preserve"> (74)</w:t>
            </w:r>
          </w:p>
        </w:tc>
      </w:tr>
      <w:tr w:rsidR="00531BCE" w:rsidRPr="00C87657" w14:paraId="610B4EC5" w14:textId="77777777" w:rsidTr="00C87657">
        <w:trPr>
          <w:trHeight w:val="327"/>
        </w:trPr>
        <w:tc>
          <w:tcPr>
            <w:tcW w:w="2519" w:type="pct"/>
            <w:vAlign w:val="bottom"/>
          </w:tcPr>
          <w:p w14:paraId="21AE9A68" w14:textId="2646416C" w:rsidR="00531BCE" w:rsidRPr="00C87657" w:rsidRDefault="00531BCE" w:rsidP="00531BCE">
            <w:pPr>
              <w:tabs>
                <w:tab w:val="right" w:pos="1202"/>
              </w:tabs>
              <w:suppressAutoHyphens/>
              <w:autoSpaceDN w:val="0"/>
              <w:spacing w:line="301" w:lineRule="exac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Ostala usklađenja</w:t>
            </w:r>
          </w:p>
        </w:tc>
        <w:tc>
          <w:tcPr>
            <w:tcW w:w="622" w:type="pct"/>
            <w:tcBorders>
              <w:top w:val="nil"/>
              <w:left w:val="nil"/>
              <w:bottom w:val="nil"/>
              <w:right w:val="nil"/>
            </w:tcBorders>
            <w:shd w:val="clear" w:color="auto" w:fill="auto"/>
            <w:vAlign w:val="bottom"/>
          </w:tcPr>
          <w:p w14:paraId="42664D2A" w14:textId="5FBFFCE2" w:rsidR="00531BCE" w:rsidRPr="00C87657" w:rsidRDefault="00531BCE" w:rsidP="00531BCE">
            <w:pPr>
              <w:tabs>
                <w:tab w:val="right" w:pos="1202"/>
              </w:tabs>
              <w:suppressAutoHyphens/>
              <w:autoSpaceDN w:val="0"/>
              <w:spacing w:line="301" w:lineRule="exact"/>
              <w:jc w:val="right"/>
              <w:outlineLvl w:val="0"/>
              <w:rPr>
                <w:rFonts w:ascii="Arial" w:eastAsia="Times New Roman" w:hAnsi="Arial" w:cs="Arial"/>
                <w:color w:val="000000" w:themeColor="text1"/>
                <w:spacing w:val="-2"/>
                <w:sz w:val="20"/>
                <w:szCs w:val="20"/>
              </w:rPr>
            </w:pPr>
            <w:r>
              <w:rPr>
                <w:rFonts w:ascii="Arial" w:eastAsia="Times New Roman" w:hAnsi="Arial" w:cs="Arial"/>
                <w:color w:val="000000" w:themeColor="text1"/>
                <w:spacing w:val="-2"/>
                <w:sz w:val="20"/>
                <w:szCs w:val="20"/>
              </w:rPr>
              <w:t>(34)</w:t>
            </w:r>
          </w:p>
        </w:tc>
        <w:tc>
          <w:tcPr>
            <w:tcW w:w="622" w:type="pct"/>
            <w:tcBorders>
              <w:top w:val="nil"/>
              <w:left w:val="nil"/>
              <w:bottom w:val="nil"/>
              <w:right w:val="nil"/>
            </w:tcBorders>
            <w:shd w:val="clear" w:color="auto" w:fill="auto"/>
            <w:vAlign w:val="bottom"/>
          </w:tcPr>
          <w:p w14:paraId="69AB25BD" w14:textId="3EF9C3A0" w:rsidR="00531BCE" w:rsidRPr="00C87657" w:rsidRDefault="00531BCE" w:rsidP="00531BCE">
            <w:pPr>
              <w:tabs>
                <w:tab w:val="right" w:pos="1202"/>
              </w:tabs>
              <w:suppressAutoHyphens/>
              <w:autoSpaceDN w:val="0"/>
              <w:spacing w:line="301" w:lineRule="exact"/>
              <w:jc w:val="right"/>
              <w:outlineLvl w:val="0"/>
              <w:rPr>
                <w:rFonts w:ascii="Arial" w:hAnsi="Arial" w:cs="Arial"/>
                <w:sz w:val="20"/>
                <w:szCs w:val="20"/>
              </w:rPr>
            </w:pPr>
            <w:r>
              <w:rPr>
                <w:rFonts w:ascii="Arial" w:hAnsi="Arial" w:cs="Arial"/>
                <w:sz w:val="20"/>
                <w:szCs w:val="20"/>
              </w:rPr>
              <w:t>-</w:t>
            </w:r>
          </w:p>
        </w:tc>
        <w:tc>
          <w:tcPr>
            <w:tcW w:w="622" w:type="pct"/>
            <w:tcBorders>
              <w:top w:val="nil"/>
              <w:left w:val="nil"/>
              <w:bottom w:val="nil"/>
              <w:right w:val="nil"/>
            </w:tcBorders>
            <w:shd w:val="clear" w:color="auto" w:fill="auto"/>
            <w:vAlign w:val="bottom"/>
          </w:tcPr>
          <w:p w14:paraId="65D3A990" w14:textId="2F67A500" w:rsidR="00531BCE" w:rsidRDefault="00531BCE" w:rsidP="00531BCE">
            <w:pPr>
              <w:tabs>
                <w:tab w:val="right" w:pos="1202"/>
              </w:tabs>
              <w:suppressAutoHyphens/>
              <w:autoSpaceDN w:val="0"/>
              <w:spacing w:line="301" w:lineRule="exact"/>
              <w:jc w:val="right"/>
              <w:outlineLvl w:val="0"/>
              <w:rPr>
                <w:rFonts w:ascii="Arial" w:eastAsia="Times New Roman" w:hAnsi="Arial" w:cs="Arial"/>
                <w:color w:val="000000" w:themeColor="text1"/>
                <w:spacing w:val="-2"/>
                <w:sz w:val="20"/>
                <w:szCs w:val="20"/>
              </w:rPr>
            </w:pPr>
            <w:r>
              <w:rPr>
                <w:rFonts w:ascii="Arial" w:eastAsia="Times New Roman" w:hAnsi="Arial" w:cs="Arial"/>
                <w:color w:val="000000" w:themeColor="text1"/>
                <w:spacing w:val="-2"/>
                <w:sz w:val="20"/>
                <w:szCs w:val="20"/>
              </w:rPr>
              <w:t>(34)</w:t>
            </w:r>
          </w:p>
        </w:tc>
        <w:tc>
          <w:tcPr>
            <w:tcW w:w="615" w:type="pct"/>
            <w:tcBorders>
              <w:top w:val="nil"/>
              <w:left w:val="nil"/>
              <w:bottom w:val="nil"/>
              <w:right w:val="nil"/>
            </w:tcBorders>
            <w:shd w:val="clear" w:color="auto" w:fill="auto"/>
            <w:vAlign w:val="bottom"/>
          </w:tcPr>
          <w:p w14:paraId="041CD45B" w14:textId="746B68FD" w:rsidR="00531BCE" w:rsidRPr="00C87657" w:rsidRDefault="00531BCE" w:rsidP="00531BCE">
            <w:pPr>
              <w:tabs>
                <w:tab w:val="right" w:pos="1202"/>
              </w:tabs>
              <w:suppressAutoHyphens/>
              <w:autoSpaceDN w:val="0"/>
              <w:spacing w:line="301" w:lineRule="exact"/>
              <w:jc w:val="right"/>
              <w:outlineLvl w:val="0"/>
              <w:rPr>
                <w:rFonts w:ascii="Arial" w:hAnsi="Arial" w:cs="Arial"/>
                <w:sz w:val="20"/>
                <w:szCs w:val="20"/>
              </w:rPr>
            </w:pPr>
            <w:r>
              <w:rPr>
                <w:rFonts w:ascii="Arial" w:hAnsi="Arial" w:cs="Arial"/>
                <w:sz w:val="20"/>
                <w:szCs w:val="20"/>
              </w:rPr>
              <w:t>-</w:t>
            </w:r>
          </w:p>
        </w:tc>
      </w:tr>
      <w:tr w:rsidR="00531BCE" w:rsidRPr="00C87657" w14:paraId="3FA1334C" w14:textId="77777777" w:rsidTr="00C87657">
        <w:trPr>
          <w:trHeight w:hRule="exact" w:val="340"/>
        </w:trPr>
        <w:tc>
          <w:tcPr>
            <w:tcW w:w="2519" w:type="pct"/>
            <w:vAlign w:val="bottom"/>
          </w:tcPr>
          <w:p w14:paraId="3FE429A0" w14:textId="77777777" w:rsidR="00531BCE" w:rsidRPr="00C87657" w:rsidRDefault="00531BCE" w:rsidP="00531BCE">
            <w:pPr>
              <w:tabs>
                <w:tab w:val="right" w:pos="1202"/>
              </w:tabs>
              <w:suppressAutoHyphens/>
              <w:autoSpaceDN w:val="0"/>
              <w:spacing w:line="340" w:lineRule="exact"/>
              <w:outlineLvl w:val="0"/>
              <w:rPr>
                <w:rFonts w:ascii="Arial" w:eastAsia="Times New Roman" w:hAnsi="Arial" w:cs="Arial"/>
                <w:b/>
                <w:color w:val="000000" w:themeColor="text1"/>
                <w:sz w:val="20"/>
                <w:szCs w:val="20"/>
              </w:rPr>
            </w:pPr>
            <w:bookmarkStart w:id="311" w:name="_Toc67327830"/>
            <w:r w:rsidRPr="00C87657">
              <w:rPr>
                <w:rFonts w:ascii="Arial" w:eastAsia="Times New Roman" w:hAnsi="Arial" w:cs="Arial"/>
                <w:b/>
                <w:color w:val="000000" w:themeColor="text1"/>
                <w:sz w:val="20"/>
                <w:szCs w:val="20"/>
              </w:rPr>
              <w:t>Ukupno</w:t>
            </w:r>
            <w:bookmarkEnd w:id="311"/>
          </w:p>
        </w:tc>
        <w:tc>
          <w:tcPr>
            <w:tcW w:w="622" w:type="pct"/>
            <w:tcBorders>
              <w:top w:val="single" w:sz="4" w:space="0" w:color="auto"/>
              <w:bottom w:val="single" w:sz="12" w:space="0" w:color="auto"/>
            </w:tcBorders>
            <w:vAlign w:val="bottom"/>
          </w:tcPr>
          <w:p w14:paraId="2F1DB5E5" w14:textId="63555446" w:rsidR="00531BCE" w:rsidRPr="00C87657" w:rsidRDefault="00531BCE" w:rsidP="00531BCE">
            <w:pPr>
              <w:tabs>
                <w:tab w:val="right" w:pos="1202"/>
              </w:tabs>
              <w:suppressAutoHyphens/>
              <w:autoSpaceDN w:val="0"/>
              <w:spacing w:line="301" w:lineRule="exact"/>
              <w:jc w:val="right"/>
              <w:outlineLvl w:val="0"/>
              <w:rPr>
                <w:rFonts w:ascii="Arial" w:eastAsia="Times New Roman" w:hAnsi="Arial" w:cs="Arial"/>
                <w:b/>
                <w:bCs/>
                <w:color w:val="000000" w:themeColor="text1"/>
                <w:spacing w:val="-2"/>
                <w:sz w:val="20"/>
                <w:szCs w:val="20"/>
              </w:rPr>
            </w:pPr>
            <w:r>
              <w:rPr>
                <w:rFonts w:ascii="Arial" w:eastAsia="Times New Roman" w:hAnsi="Arial" w:cs="Arial"/>
                <w:b/>
                <w:bCs/>
                <w:color w:val="000000" w:themeColor="text1"/>
                <w:spacing w:val="-2"/>
                <w:sz w:val="20"/>
                <w:szCs w:val="20"/>
              </w:rPr>
              <w:t>(1.148)</w:t>
            </w:r>
          </w:p>
        </w:tc>
        <w:tc>
          <w:tcPr>
            <w:tcW w:w="622" w:type="pct"/>
            <w:tcBorders>
              <w:top w:val="single" w:sz="4" w:space="0" w:color="auto"/>
              <w:bottom w:val="single" w:sz="12" w:space="0" w:color="auto"/>
            </w:tcBorders>
            <w:vAlign w:val="bottom"/>
          </w:tcPr>
          <w:p w14:paraId="21D7D2B5" w14:textId="7FBD6650" w:rsidR="00531BCE" w:rsidRPr="00FE42BC" w:rsidRDefault="00531BCE" w:rsidP="00531BCE">
            <w:pPr>
              <w:tabs>
                <w:tab w:val="right" w:pos="1202"/>
              </w:tabs>
              <w:suppressAutoHyphens/>
              <w:autoSpaceDN w:val="0"/>
              <w:spacing w:line="301" w:lineRule="exact"/>
              <w:jc w:val="right"/>
              <w:outlineLvl w:val="0"/>
              <w:rPr>
                <w:rFonts w:ascii="Arial" w:eastAsia="Times New Roman" w:hAnsi="Arial" w:cs="Arial"/>
                <w:b/>
                <w:bCs/>
                <w:color w:val="000000" w:themeColor="text1"/>
                <w:spacing w:val="-2"/>
                <w:sz w:val="20"/>
                <w:szCs w:val="20"/>
              </w:rPr>
            </w:pPr>
            <w:r w:rsidRPr="00C87657">
              <w:rPr>
                <w:rFonts w:ascii="Arial" w:hAnsi="Arial" w:cs="Arial"/>
                <w:sz w:val="20"/>
                <w:szCs w:val="20"/>
              </w:rPr>
              <w:t xml:space="preserve"> </w:t>
            </w:r>
            <w:r w:rsidRPr="005D1219">
              <w:rPr>
                <w:rFonts w:ascii="Arial" w:hAnsi="Arial" w:cs="Arial"/>
                <w:b/>
                <w:bCs/>
                <w:sz w:val="20"/>
                <w:szCs w:val="20"/>
              </w:rPr>
              <w:t>(74)</w:t>
            </w:r>
          </w:p>
        </w:tc>
        <w:tc>
          <w:tcPr>
            <w:tcW w:w="622" w:type="pct"/>
            <w:tcBorders>
              <w:top w:val="single" w:sz="4" w:space="0" w:color="auto"/>
              <w:bottom w:val="single" w:sz="12" w:space="0" w:color="auto"/>
            </w:tcBorders>
            <w:vAlign w:val="bottom"/>
          </w:tcPr>
          <w:p w14:paraId="6FBB2C4A" w14:textId="609EC17D" w:rsidR="00531BCE" w:rsidRPr="00C87657" w:rsidRDefault="00531BCE" w:rsidP="00531BCE">
            <w:pPr>
              <w:tabs>
                <w:tab w:val="right" w:pos="1202"/>
              </w:tabs>
              <w:suppressAutoHyphens/>
              <w:autoSpaceDN w:val="0"/>
              <w:spacing w:line="301" w:lineRule="exact"/>
              <w:jc w:val="right"/>
              <w:outlineLvl w:val="0"/>
              <w:rPr>
                <w:rFonts w:ascii="Arial" w:eastAsia="Times New Roman" w:hAnsi="Arial" w:cs="Arial"/>
                <w:b/>
                <w:bCs/>
                <w:color w:val="000000" w:themeColor="text1"/>
                <w:spacing w:val="-2"/>
                <w:sz w:val="20"/>
                <w:szCs w:val="20"/>
              </w:rPr>
            </w:pPr>
            <w:r>
              <w:rPr>
                <w:rFonts w:ascii="Arial" w:eastAsia="Times New Roman" w:hAnsi="Arial" w:cs="Arial"/>
                <w:b/>
                <w:bCs/>
                <w:color w:val="000000" w:themeColor="text1"/>
                <w:spacing w:val="-2"/>
                <w:sz w:val="20"/>
                <w:szCs w:val="20"/>
              </w:rPr>
              <w:t>(1.148)</w:t>
            </w:r>
          </w:p>
        </w:tc>
        <w:tc>
          <w:tcPr>
            <w:tcW w:w="615" w:type="pct"/>
            <w:tcBorders>
              <w:top w:val="single" w:sz="4" w:space="0" w:color="auto"/>
              <w:bottom w:val="single" w:sz="12" w:space="0" w:color="auto"/>
            </w:tcBorders>
            <w:vAlign w:val="bottom"/>
          </w:tcPr>
          <w:p w14:paraId="7A9EF81C" w14:textId="3B1BD885" w:rsidR="00531BCE" w:rsidRPr="00FE42BC" w:rsidRDefault="00531BCE" w:rsidP="00531BCE">
            <w:pPr>
              <w:tabs>
                <w:tab w:val="right" w:pos="1202"/>
              </w:tabs>
              <w:suppressAutoHyphens/>
              <w:autoSpaceDN w:val="0"/>
              <w:spacing w:line="301" w:lineRule="exact"/>
              <w:jc w:val="right"/>
              <w:outlineLvl w:val="0"/>
              <w:rPr>
                <w:rFonts w:ascii="Arial" w:eastAsia="Times New Roman" w:hAnsi="Arial" w:cs="Arial"/>
                <w:b/>
                <w:bCs/>
                <w:color w:val="000000" w:themeColor="text1"/>
                <w:spacing w:val="-2"/>
                <w:sz w:val="20"/>
                <w:szCs w:val="20"/>
              </w:rPr>
            </w:pPr>
            <w:r w:rsidRPr="005D1219">
              <w:rPr>
                <w:rFonts w:ascii="Arial" w:hAnsi="Arial" w:cs="Arial"/>
                <w:b/>
                <w:bCs/>
                <w:sz w:val="20"/>
                <w:szCs w:val="20"/>
              </w:rPr>
              <w:t xml:space="preserve"> (74)</w:t>
            </w:r>
          </w:p>
        </w:tc>
      </w:tr>
      <w:tr w:rsidR="00531BCE" w:rsidRPr="00C87657" w14:paraId="46505F07" w14:textId="77777777" w:rsidTr="00C87657">
        <w:trPr>
          <w:trHeight w:hRule="exact" w:val="399"/>
        </w:trPr>
        <w:tc>
          <w:tcPr>
            <w:tcW w:w="2519" w:type="pct"/>
            <w:vAlign w:val="bottom"/>
          </w:tcPr>
          <w:p w14:paraId="2639BE75" w14:textId="77777777" w:rsidR="00531BCE" w:rsidRPr="00C87657" w:rsidRDefault="00531BCE" w:rsidP="00531BCE">
            <w:pPr>
              <w:tabs>
                <w:tab w:val="right" w:pos="1202"/>
              </w:tabs>
              <w:suppressAutoHyphens/>
              <w:autoSpaceDN w:val="0"/>
              <w:outlineLvl w:val="0"/>
              <w:rPr>
                <w:rFonts w:ascii="Arial" w:eastAsia="Times New Roman" w:hAnsi="Arial" w:cs="Arial"/>
                <w:b/>
                <w:bCs/>
                <w:color w:val="000000" w:themeColor="text1"/>
                <w:spacing w:val="-2"/>
                <w:sz w:val="20"/>
                <w:szCs w:val="20"/>
              </w:rPr>
            </w:pPr>
            <w:bookmarkStart w:id="312" w:name="_Toc67327835"/>
            <w:r w:rsidRPr="00C87657">
              <w:rPr>
                <w:rFonts w:ascii="Arial" w:eastAsia="Times New Roman" w:hAnsi="Arial" w:cs="Arial"/>
                <w:b/>
                <w:bCs/>
                <w:color w:val="000000" w:themeColor="text1"/>
                <w:spacing w:val="-2"/>
                <w:sz w:val="20"/>
                <w:szCs w:val="20"/>
              </w:rPr>
              <w:t>Sveukupno</w:t>
            </w:r>
            <w:bookmarkEnd w:id="312"/>
          </w:p>
        </w:tc>
        <w:tc>
          <w:tcPr>
            <w:tcW w:w="622" w:type="pct"/>
            <w:tcBorders>
              <w:bottom w:val="single" w:sz="12" w:space="0" w:color="auto"/>
            </w:tcBorders>
            <w:vAlign w:val="bottom"/>
          </w:tcPr>
          <w:p w14:paraId="104C4BCC" w14:textId="70DD6F90" w:rsidR="00531BCE" w:rsidRPr="00C87657" w:rsidRDefault="00531BCE" w:rsidP="00531BCE">
            <w:pPr>
              <w:tabs>
                <w:tab w:val="right" w:pos="1202"/>
              </w:tabs>
              <w:suppressAutoHyphens/>
              <w:autoSpaceDN w:val="0"/>
              <w:jc w:val="right"/>
              <w:outlineLvl w:val="0"/>
              <w:rPr>
                <w:rFonts w:ascii="Arial" w:eastAsia="Times New Roman" w:hAnsi="Arial" w:cs="Arial"/>
                <w:b/>
                <w:bCs/>
                <w:color w:val="000000" w:themeColor="text1"/>
                <w:spacing w:val="-2"/>
                <w:sz w:val="20"/>
                <w:szCs w:val="20"/>
              </w:rPr>
            </w:pPr>
            <w:r>
              <w:rPr>
                <w:rFonts w:ascii="Arial" w:eastAsia="Times New Roman" w:hAnsi="Arial" w:cs="Arial"/>
                <w:b/>
                <w:bCs/>
                <w:color w:val="000000" w:themeColor="text1"/>
                <w:spacing w:val="-2"/>
                <w:sz w:val="20"/>
                <w:szCs w:val="20"/>
              </w:rPr>
              <w:t>(5.9</w:t>
            </w:r>
            <w:r w:rsidR="00500A63">
              <w:rPr>
                <w:rFonts w:ascii="Arial" w:eastAsia="Times New Roman" w:hAnsi="Arial" w:cs="Arial"/>
                <w:b/>
                <w:bCs/>
                <w:color w:val="000000" w:themeColor="text1"/>
                <w:spacing w:val="-2"/>
                <w:sz w:val="20"/>
                <w:szCs w:val="20"/>
              </w:rPr>
              <w:t>43</w:t>
            </w:r>
            <w:r>
              <w:rPr>
                <w:rFonts w:ascii="Arial" w:eastAsia="Times New Roman" w:hAnsi="Arial" w:cs="Arial"/>
                <w:b/>
                <w:bCs/>
                <w:color w:val="000000" w:themeColor="text1"/>
                <w:spacing w:val="-2"/>
                <w:sz w:val="20"/>
                <w:szCs w:val="20"/>
              </w:rPr>
              <w:t>)</w:t>
            </w:r>
          </w:p>
        </w:tc>
        <w:tc>
          <w:tcPr>
            <w:tcW w:w="622" w:type="pct"/>
            <w:tcBorders>
              <w:bottom w:val="single" w:sz="12" w:space="0" w:color="auto"/>
            </w:tcBorders>
            <w:vAlign w:val="bottom"/>
          </w:tcPr>
          <w:p w14:paraId="5A049AEA" w14:textId="6473CD96" w:rsidR="00531BCE" w:rsidRPr="00C87657" w:rsidRDefault="00531BCE" w:rsidP="00531BCE">
            <w:pPr>
              <w:tabs>
                <w:tab w:val="right" w:pos="1202"/>
              </w:tabs>
              <w:suppressAutoHyphens/>
              <w:autoSpaceDN w:val="0"/>
              <w:jc w:val="right"/>
              <w:outlineLvl w:val="0"/>
              <w:rPr>
                <w:rFonts w:ascii="Arial" w:eastAsia="Times New Roman" w:hAnsi="Arial" w:cs="Arial"/>
                <w:b/>
                <w:bCs/>
                <w:color w:val="000000" w:themeColor="text1"/>
                <w:spacing w:val="-2"/>
                <w:sz w:val="20"/>
                <w:szCs w:val="20"/>
              </w:rPr>
            </w:pPr>
            <w:r w:rsidRPr="00C87657">
              <w:rPr>
                <w:rFonts w:ascii="Arial" w:hAnsi="Arial" w:cs="Arial"/>
                <w:b/>
                <w:bCs/>
                <w:sz w:val="20"/>
                <w:szCs w:val="20"/>
              </w:rPr>
              <w:t xml:space="preserve"> (4.6</w:t>
            </w:r>
            <w:r>
              <w:rPr>
                <w:rFonts w:ascii="Arial" w:hAnsi="Arial" w:cs="Arial"/>
                <w:b/>
                <w:bCs/>
                <w:sz w:val="20"/>
                <w:szCs w:val="20"/>
              </w:rPr>
              <w:t>46</w:t>
            </w:r>
            <w:r w:rsidRPr="00C87657">
              <w:rPr>
                <w:rFonts w:ascii="Arial" w:hAnsi="Arial" w:cs="Arial"/>
                <w:b/>
                <w:bCs/>
                <w:sz w:val="20"/>
                <w:szCs w:val="20"/>
              </w:rPr>
              <w:t>)</w:t>
            </w:r>
          </w:p>
        </w:tc>
        <w:tc>
          <w:tcPr>
            <w:tcW w:w="622" w:type="pct"/>
            <w:tcBorders>
              <w:bottom w:val="single" w:sz="12" w:space="0" w:color="auto"/>
            </w:tcBorders>
            <w:vAlign w:val="bottom"/>
          </w:tcPr>
          <w:p w14:paraId="7DB7D99F" w14:textId="1EC34C7D" w:rsidR="00531BCE" w:rsidRPr="00C87657" w:rsidRDefault="00531BCE" w:rsidP="00531BCE">
            <w:pPr>
              <w:tabs>
                <w:tab w:val="right" w:pos="1202"/>
              </w:tabs>
              <w:suppressAutoHyphens/>
              <w:autoSpaceDN w:val="0"/>
              <w:jc w:val="right"/>
              <w:outlineLvl w:val="0"/>
              <w:rPr>
                <w:rFonts w:ascii="Arial" w:eastAsia="Times New Roman" w:hAnsi="Arial" w:cs="Arial"/>
                <w:b/>
                <w:bCs/>
                <w:color w:val="000000" w:themeColor="text1"/>
                <w:spacing w:val="-2"/>
                <w:sz w:val="20"/>
                <w:szCs w:val="20"/>
              </w:rPr>
            </w:pPr>
            <w:r>
              <w:rPr>
                <w:rFonts w:ascii="Arial" w:eastAsia="Times New Roman" w:hAnsi="Arial" w:cs="Arial"/>
                <w:b/>
                <w:bCs/>
                <w:color w:val="000000" w:themeColor="text1"/>
                <w:spacing w:val="-2"/>
                <w:sz w:val="20"/>
                <w:szCs w:val="20"/>
              </w:rPr>
              <w:t>(5.939)</w:t>
            </w:r>
          </w:p>
        </w:tc>
        <w:tc>
          <w:tcPr>
            <w:tcW w:w="615" w:type="pct"/>
            <w:tcBorders>
              <w:bottom w:val="single" w:sz="12" w:space="0" w:color="auto"/>
            </w:tcBorders>
            <w:vAlign w:val="bottom"/>
          </w:tcPr>
          <w:p w14:paraId="1124A811" w14:textId="70FD875A" w:rsidR="00531BCE" w:rsidRPr="00C87657" w:rsidRDefault="00531BCE" w:rsidP="00531BCE">
            <w:pPr>
              <w:tabs>
                <w:tab w:val="right" w:pos="1202"/>
              </w:tabs>
              <w:suppressAutoHyphens/>
              <w:autoSpaceDN w:val="0"/>
              <w:jc w:val="right"/>
              <w:outlineLvl w:val="0"/>
              <w:rPr>
                <w:rFonts w:ascii="Arial" w:eastAsia="Times New Roman" w:hAnsi="Arial" w:cs="Arial"/>
                <w:b/>
                <w:bCs/>
                <w:color w:val="000000" w:themeColor="text1"/>
                <w:spacing w:val="-2"/>
                <w:sz w:val="20"/>
                <w:szCs w:val="20"/>
              </w:rPr>
            </w:pPr>
            <w:r w:rsidRPr="00C87657">
              <w:rPr>
                <w:rFonts w:ascii="Arial" w:hAnsi="Arial" w:cs="Arial"/>
                <w:b/>
                <w:bCs/>
                <w:sz w:val="20"/>
                <w:szCs w:val="20"/>
              </w:rPr>
              <w:t xml:space="preserve"> (4.648)</w:t>
            </w:r>
          </w:p>
        </w:tc>
      </w:tr>
    </w:tbl>
    <w:p w14:paraId="079D762C" w14:textId="52357237" w:rsidR="00707B91" w:rsidRPr="003D1614" w:rsidRDefault="00707B91" w:rsidP="00EA0684">
      <w:pPr>
        <w:rPr>
          <w:rFonts w:ascii="Arial" w:eastAsia="Times New Roman" w:hAnsi="Arial" w:cs="Arial"/>
          <w:sz w:val="20"/>
          <w:szCs w:val="20"/>
        </w:rPr>
      </w:pPr>
    </w:p>
    <w:p w14:paraId="4B11F891" w14:textId="77777777" w:rsidR="00FD5DDF" w:rsidRPr="003D1614" w:rsidRDefault="00FD5DDF" w:rsidP="00EA0684">
      <w:pPr>
        <w:rPr>
          <w:rFonts w:ascii="Arial" w:eastAsia="Times New Roman" w:hAnsi="Arial" w:cs="Arial"/>
          <w:sz w:val="20"/>
          <w:szCs w:val="20"/>
        </w:rPr>
      </w:pPr>
    </w:p>
    <w:p w14:paraId="20A57AE1" w14:textId="639AF766" w:rsidR="00FD5DDF" w:rsidRPr="003D1614" w:rsidRDefault="00FD5DDF" w:rsidP="00EA0684">
      <w:pPr>
        <w:rPr>
          <w:rFonts w:ascii="Arial" w:eastAsia="Times New Roman" w:hAnsi="Arial" w:cs="Arial"/>
          <w:sz w:val="20"/>
          <w:szCs w:val="20"/>
        </w:rPr>
        <w:sectPr w:rsidR="00FD5DDF" w:rsidRPr="003D1614">
          <w:pgSz w:w="11906" w:h="16838"/>
          <w:pgMar w:top="1417" w:right="1417" w:bottom="1417" w:left="1417" w:header="708" w:footer="708" w:gutter="0"/>
          <w:cols w:space="708"/>
          <w:docGrid w:linePitch="360"/>
        </w:sectPr>
      </w:pPr>
    </w:p>
    <w:p w14:paraId="676B7647" w14:textId="0767D199" w:rsidR="00FD5DDF" w:rsidRPr="003D1614" w:rsidRDefault="00FD5DDF" w:rsidP="00EA0684">
      <w:pPr>
        <w:rPr>
          <w:rFonts w:ascii="Arial" w:eastAsia="Times New Roman" w:hAnsi="Arial" w:cs="Arial"/>
          <w:sz w:val="20"/>
          <w:szCs w:val="20"/>
        </w:rPr>
      </w:pPr>
    </w:p>
    <w:p w14:paraId="746BD317" w14:textId="264F125F" w:rsidR="00DE4AC9" w:rsidRPr="003D1614" w:rsidRDefault="00DE4AC9" w:rsidP="00DE4AC9">
      <w:pPr>
        <w:keepNext/>
        <w:tabs>
          <w:tab w:val="left" w:pos="426"/>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9.</w:t>
      </w:r>
      <w:r w:rsidRPr="003D1614">
        <w:rPr>
          <w:rFonts w:ascii="Arial" w:eastAsia="Times New Roman" w:hAnsi="Arial" w:cs="Arial"/>
          <w:b/>
          <w:bCs/>
          <w:color w:val="000000" w:themeColor="text1"/>
          <w:sz w:val="20"/>
          <w:szCs w:val="20"/>
        </w:rPr>
        <w:tab/>
        <w:t>Novčana sredstva i računi kod banaka</w:t>
      </w:r>
    </w:p>
    <w:p w14:paraId="678E045A" w14:textId="77777777" w:rsidR="00DE4AC9" w:rsidRPr="003D1614" w:rsidRDefault="00DE4AC9" w:rsidP="00DE4AC9">
      <w:pPr>
        <w:keepNext/>
        <w:suppressAutoHyphens/>
        <w:autoSpaceDN w:val="0"/>
        <w:jc w:val="both"/>
        <w:outlineLvl w:val="0"/>
        <w:rPr>
          <w:rFonts w:ascii="Arial" w:eastAsia="Times New Roman" w:hAnsi="Arial" w:cs="Arial"/>
          <w:b/>
          <w:bCs/>
          <w:color w:val="000000" w:themeColor="text1"/>
          <w:sz w:val="20"/>
          <w:szCs w:val="20"/>
        </w:rPr>
      </w:pPr>
    </w:p>
    <w:tbl>
      <w:tblPr>
        <w:tblW w:w="5105" w:type="pct"/>
        <w:tblInd w:w="-142" w:type="dxa"/>
        <w:tblLayout w:type="fixed"/>
        <w:tblLook w:val="0000" w:firstRow="0" w:lastRow="0" w:firstColumn="0" w:lastColumn="0" w:noHBand="0" w:noVBand="0"/>
      </w:tblPr>
      <w:tblGrid>
        <w:gridCol w:w="3391"/>
        <w:gridCol w:w="1560"/>
        <w:gridCol w:w="1534"/>
        <w:gridCol w:w="1352"/>
        <w:gridCol w:w="1415"/>
        <w:gridCol w:w="11"/>
      </w:tblGrid>
      <w:tr w:rsidR="00DE4AC9" w:rsidRPr="003D1614" w14:paraId="6531A005" w14:textId="77777777" w:rsidTr="00737443">
        <w:trPr>
          <w:trHeight w:val="341"/>
        </w:trPr>
        <w:tc>
          <w:tcPr>
            <w:tcW w:w="1830" w:type="pct"/>
            <w:vAlign w:val="bottom"/>
          </w:tcPr>
          <w:p w14:paraId="4E49D938" w14:textId="77777777" w:rsidR="00DE4AC9" w:rsidRPr="003D1614" w:rsidRDefault="00DE4AC9" w:rsidP="00DE4AC9">
            <w:pPr>
              <w:tabs>
                <w:tab w:val="left" w:pos="-720"/>
              </w:tabs>
              <w:suppressAutoHyphens/>
              <w:autoSpaceDN w:val="0"/>
              <w:rPr>
                <w:rFonts w:ascii="Arial" w:eastAsia="Times New Roman" w:hAnsi="Arial" w:cs="Arial"/>
                <w:color w:val="000000" w:themeColor="text1"/>
                <w:sz w:val="20"/>
                <w:szCs w:val="20"/>
              </w:rPr>
            </w:pPr>
          </w:p>
        </w:tc>
        <w:tc>
          <w:tcPr>
            <w:tcW w:w="1670" w:type="pct"/>
            <w:gridSpan w:val="2"/>
            <w:vAlign w:val="bottom"/>
          </w:tcPr>
          <w:p w14:paraId="021F2219" w14:textId="77777777" w:rsidR="00DE4AC9" w:rsidRPr="003D1614" w:rsidRDefault="00DE4AC9" w:rsidP="00DE4AC9">
            <w:pPr>
              <w:tabs>
                <w:tab w:val="right" w:pos="1202"/>
              </w:tabs>
              <w:suppressAutoHyphens/>
              <w:autoSpaceDN w:val="0"/>
              <w:spacing w:line="220" w:lineRule="exact"/>
              <w:jc w:val="right"/>
              <w:outlineLvl w:val="0"/>
              <w:rPr>
                <w:rFonts w:ascii="Arial" w:eastAsia="Times New Roman" w:hAnsi="Arial" w:cs="Arial"/>
                <w:b/>
                <w:color w:val="000000" w:themeColor="text1"/>
                <w:sz w:val="20"/>
                <w:szCs w:val="20"/>
              </w:rPr>
            </w:pPr>
            <w:bookmarkStart w:id="313" w:name="_Toc67327872"/>
            <w:r w:rsidRPr="003D1614">
              <w:rPr>
                <w:rFonts w:ascii="Arial" w:eastAsia="Times New Roman" w:hAnsi="Arial" w:cs="Arial"/>
                <w:b/>
                <w:color w:val="000000" w:themeColor="text1"/>
                <w:sz w:val="20"/>
                <w:szCs w:val="20"/>
              </w:rPr>
              <w:t>Grupa</w:t>
            </w:r>
            <w:bookmarkEnd w:id="313"/>
          </w:p>
        </w:tc>
        <w:tc>
          <w:tcPr>
            <w:tcW w:w="1500" w:type="pct"/>
            <w:gridSpan w:val="3"/>
            <w:vAlign w:val="bottom"/>
          </w:tcPr>
          <w:p w14:paraId="7F6BCA02" w14:textId="77777777" w:rsidR="00DE4AC9" w:rsidRPr="003D1614" w:rsidRDefault="00DE4AC9" w:rsidP="00DE4AC9">
            <w:pPr>
              <w:tabs>
                <w:tab w:val="right" w:pos="1202"/>
              </w:tabs>
              <w:suppressAutoHyphens/>
              <w:autoSpaceDN w:val="0"/>
              <w:spacing w:line="220" w:lineRule="exact"/>
              <w:jc w:val="right"/>
              <w:outlineLvl w:val="0"/>
              <w:rPr>
                <w:rFonts w:ascii="Arial" w:eastAsia="Times New Roman" w:hAnsi="Arial" w:cs="Arial"/>
                <w:b/>
                <w:color w:val="000000" w:themeColor="text1"/>
                <w:sz w:val="20"/>
                <w:szCs w:val="20"/>
              </w:rPr>
            </w:pPr>
            <w:bookmarkStart w:id="314" w:name="_Toc67327873"/>
            <w:r w:rsidRPr="003D1614">
              <w:rPr>
                <w:rFonts w:ascii="Arial" w:eastAsia="Times New Roman" w:hAnsi="Arial" w:cs="Arial"/>
                <w:b/>
                <w:color w:val="000000" w:themeColor="text1"/>
                <w:sz w:val="20"/>
                <w:szCs w:val="20"/>
              </w:rPr>
              <w:t>Banka</w:t>
            </w:r>
            <w:bookmarkEnd w:id="314"/>
          </w:p>
        </w:tc>
      </w:tr>
      <w:tr w:rsidR="00DE4AC9" w:rsidRPr="003D1614" w14:paraId="51A207D3" w14:textId="77777777" w:rsidTr="00737443">
        <w:trPr>
          <w:gridAfter w:val="1"/>
          <w:wAfter w:w="6" w:type="pct"/>
        </w:trPr>
        <w:tc>
          <w:tcPr>
            <w:tcW w:w="1830" w:type="pct"/>
            <w:vAlign w:val="bottom"/>
          </w:tcPr>
          <w:p w14:paraId="3BD4C2F2" w14:textId="77777777" w:rsidR="00DE4AC9" w:rsidRPr="003D1614" w:rsidRDefault="00DE4AC9" w:rsidP="00DE4AC9">
            <w:pPr>
              <w:tabs>
                <w:tab w:val="left" w:pos="-720"/>
              </w:tabs>
              <w:suppressAutoHyphens/>
              <w:autoSpaceDN w:val="0"/>
              <w:rPr>
                <w:rFonts w:ascii="Arial" w:eastAsia="Times New Roman" w:hAnsi="Arial" w:cs="Arial"/>
                <w:color w:val="000000" w:themeColor="text1"/>
                <w:sz w:val="20"/>
                <w:szCs w:val="20"/>
              </w:rPr>
            </w:pPr>
          </w:p>
        </w:tc>
        <w:tc>
          <w:tcPr>
            <w:tcW w:w="842" w:type="pct"/>
            <w:vAlign w:val="bottom"/>
          </w:tcPr>
          <w:p w14:paraId="6C47A3AA" w14:textId="6AC56E78" w:rsidR="00DE4AC9" w:rsidRPr="003D1614" w:rsidRDefault="00DE4AC9" w:rsidP="00DE4AC9">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31. ožujka 202</w:t>
            </w:r>
            <w:r w:rsidR="002201B4">
              <w:rPr>
                <w:rFonts w:ascii="Arial" w:eastAsia="Times New Roman" w:hAnsi="Arial" w:cs="Arial"/>
                <w:b/>
                <w:color w:val="000000" w:themeColor="text1"/>
                <w:sz w:val="20"/>
                <w:szCs w:val="20"/>
              </w:rPr>
              <w:t>4</w:t>
            </w:r>
            <w:r w:rsidRPr="003D1614">
              <w:rPr>
                <w:rFonts w:ascii="Arial" w:eastAsia="Times New Roman" w:hAnsi="Arial" w:cs="Arial"/>
                <w:b/>
                <w:color w:val="000000" w:themeColor="text1"/>
                <w:sz w:val="20"/>
                <w:szCs w:val="20"/>
              </w:rPr>
              <w:t>.</w:t>
            </w:r>
          </w:p>
        </w:tc>
        <w:tc>
          <w:tcPr>
            <w:tcW w:w="828" w:type="pct"/>
            <w:vAlign w:val="bottom"/>
          </w:tcPr>
          <w:p w14:paraId="135EA43A" w14:textId="1C931023" w:rsidR="00DE4AC9" w:rsidRPr="003D1614" w:rsidRDefault="00DE4AC9" w:rsidP="00DE4AC9">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15" w:name="_Toc67327875"/>
            <w:r w:rsidRPr="003D1614">
              <w:rPr>
                <w:rFonts w:ascii="Arial" w:eastAsia="Times New Roman" w:hAnsi="Arial" w:cs="Arial"/>
                <w:b/>
                <w:color w:val="000000" w:themeColor="text1"/>
                <w:sz w:val="20"/>
                <w:szCs w:val="20"/>
              </w:rPr>
              <w:t>31. prosinca 202</w:t>
            </w:r>
            <w:r w:rsidR="002201B4">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w:t>
            </w:r>
            <w:bookmarkEnd w:id="315"/>
          </w:p>
        </w:tc>
        <w:tc>
          <w:tcPr>
            <w:tcW w:w="730" w:type="pct"/>
            <w:vAlign w:val="bottom"/>
          </w:tcPr>
          <w:p w14:paraId="30CEF51A" w14:textId="0E481268" w:rsidR="00DE4AC9" w:rsidRPr="003D1614" w:rsidRDefault="00DE4AC9" w:rsidP="00DE4AC9">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31. ožujka 202</w:t>
            </w:r>
            <w:r w:rsidR="002201B4">
              <w:rPr>
                <w:rFonts w:ascii="Arial" w:eastAsia="Times New Roman" w:hAnsi="Arial" w:cs="Arial"/>
                <w:b/>
                <w:color w:val="000000" w:themeColor="text1"/>
                <w:sz w:val="20"/>
                <w:szCs w:val="20"/>
              </w:rPr>
              <w:t>4</w:t>
            </w:r>
            <w:r w:rsidRPr="003D1614">
              <w:rPr>
                <w:rFonts w:ascii="Arial" w:eastAsia="Times New Roman" w:hAnsi="Arial" w:cs="Arial"/>
                <w:b/>
                <w:color w:val="000000" w:themeColor="text1"/>
                <w:sz w:val="20"/>
                <w:szCs w:val="20"/>
              </w:rPr>
              <w:t>.</w:t>
            </w:r>
          </w:p>
        </w:tc>
        <w:tc>
          <w:tcPr>
            <w:tcW w:w="764" w:type="pct"/>
            <w:vAlign w:val="bottom"/>
          </w:tcPr>
          <w:p w14:paraId="0E9DAA7C" w14:textId="7FF9A952" w:rsidR="00DE4AC9" w:rsidRPr="003D1614" w:rsidRDefault="00DE4AC9" w:rsidP="00DE4AC9">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31. prosinca 202</w:t>
            </w:r>
            <w:r w:rsidR="002201B4">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w:t>
            </w:r>
          </w:p>
        </w:tc>
      </w:tr>
      <w:tr w:rsidR="00DE4AC9" w:rsidRPr="003D1614" w14:paraId="3DE5E9C6" w14:textId="77777777" w:rsidTr="00737443">
        <w:trPr>
          <w:gridAfter w:val="1"/>
          <w:wAfter w:w="6" w:type="pct"/>
        </w:trPr>
        <w:tc>
          <w:tcPr>
            <w:tcW w:w="1830" w:type="pct"/>
            <w:vAlign w:val="bottom"/>
          </w:tcPr>
          <w:p w14:paraId="50130D02" w14:textId="77777777" w:rsidR="00DE4AC9" w:rsidRPr="003D1614" w:rsidRDefault="00DE4AC9" w:rsidP="00DE4AC9">
            <w:pPr>
              <w:tabs>
                <w:tab w:val="left" w:pos="-720"/>
              </w:tabs>
              <w:suppressAutoHyphens/>
              <w:autoSpaceDN w:val="0"/>
              <w:rPr>
                <w:rFonts w:ascii="Arial" w:eastAsia="Times New Roman" w:hAnsi="Arial" w:cs="Arial"/>
                <w:color w:val="000000" w:themeColor="text1"/>
                <w:sz w:val="20"/>
                <w:szCs w:val="20"/>
              </w:rPr>
            </w:pPr>
          </w:p>
        </w:tc>
        <w:tc>
          <w:tcPr>
            <w:tcW w:w="842" w:type="pct"/>
            <w:vAlign w:val="bottom"/>
          </w:tcPr>
          <w:p w14:paraId="05E6DA06" w14:textId="3EADC0BC" w:rsidR="00DE4AC9" w:rsidRPr="003D1614" w:rsidRDefault="00DE4AC9" w:rsidP="00DE4AC9">
            <w:pPr>
              <w:tabs>
                <w:tab w:val="right" w:pos="1202"/>
              </w:tabs>
              <w:suppressAutoHyphens/>
              <w:autoSpaceDN w:val="0"/>
              <w:spacing w:line="220" w:lineRule="exact"/>
              <w:jc w:val="right"/>
              <w:outlineLvl w:val="0"/>
              <w:rPr>
                <w:rFonts w:ascii="Arial" w:eastAsia="Times New Roman" w:hAnsi="Arial" w:cs="Arial"/>
                <w:b/>
                <w:color w:val="000000" w:themeColor="text1"/>
                <w:sz w:val="20"/>
                <w:szCs w:val="20"/>
              </w:rPr>
            </w:pPr>
            <w:bookmarkStart w:id="316" w:name="_Toc67327878"/>
            <w:r w:rsidRPr="003D1614">
              <w:rPr>
                <w:rFonts w:ascii="Arial" w:eastAsia="Times New Roman" w:hAnsi="Arial" w:cs="Arial"/>
                <w:b/>
                <w:color w:val="000000" w:themeColor="text1"/>
                <w:sz w:val="20"/>
                <w:szCs w:val="20"/>
              </w:rPr>
              <w:t xml:space="preserve">000 </w:t>
            </w:r>
            <w:bookmarkEnd w:id="316"/>
            <w:r w:rsidRPr="003D1614">
              <w:rPr>
                <w:rFonts w:ascii="Arial" w:eastAsia="Times New Roman" w:hAnsi="Arial" w:cs="Arial"/>
                <w:b/>
                <w:color w:val="000000" w:themeColor="text1"/>
                <w:sz w:val="20"/>
                <w:szCs w:val="20"/>
              </w:rPr>
              <w:t>eura</w:t>
            </w:r>
          </w:p>
        </w:tc>
        <w:tc>
          <w:tcPr>
            <w:tcW w:w="828" w:type="pct"/>
            <w:vAlign w:val="bottom"/>
          </w:tcPr>
          <w:p w14:paraId="0446D8EC" w14:textId="0247BCC7" w:rsidR="00DE4AC9" w:rsidRPr="003D1614" w:rsidRDefault="00DE4AC9" w:rsidP="00DE4AC9">
            <w:pPr>
              <w:tabs>
                <w:tab w:val="right" w:pos="1202"/>
              </w:tabs>
              <w:suppressAutoHyphens/>
              <w:autoSpaceDN w:val="0"/>
              <w:spacing w:line="220" w:lineRule="exac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000 eura</w:t>
            </w:r>
          </w:p>
        </w:tc>
        <w:tc>
          <w:tcPr>
            <w:tcW w:w="730" w:type="pct"/>
            <w:vAlign w:val="bottom"/>
          </w:tcPr>
          <w:p w14:paraId="2CFC86D0" w14:textId="0FFB729D" w:rsidR="00DE4AC9" w:rsidRPr="003D1614" w:rsidRDefault="00DE4AC9" w:rsidP="00DE4AC9">
            <w:pPr>
              <w:tabs>
                <w:tab w:val="right" w:pos="1202"/>
              </w:tabs>
              <w:suppressAutoHyphens/>
              <w:autoSpaceDN w:val="0"/>
              <w:spacing w:line="220" w:lineRule="exac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000 eura</w:t>
            </w:r>
          </w:p>
        </w:tc>
        <w:tc>
          <w:tcPr>
            <w:tcW w:w="764" w:type="pct"/>
            <w:vAlign w:val="bottom"/>
          </w:tcPr>
          <w:p w14:paraId="6ECCB26D" w14:textId="150917F0" w:rsidR="00DE4AC9" w:rsidRPr="003D1614" w:rsidRDefault="00DE4AC9" w:rsidP="00DE4AC9">
            <w:pPr>
              <w:tabs>
                <w:tab w:val="right" w:pos="1202"/>
              </w:tabs>
              <w:suppressAutoHyphens/>
              <w:autoSpaceDN w:val="0"/>
              <w:spacing w:line="220" w:lineRule="exac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000 eura</w:t>
            </w:r>
          </w:p>
        </w:tc>
      </w:tr>
      <w:tr w:rsidR="004F0790" w:rsidRPr="000F587E" w14:paraId="357892A7" w14:textId="77777777" w:rsidTr="00142CB4">
        <w:trPr>
          <w:gridAfter w:val="1"/>
          <w:wAfter w:w="6" w:type="pct"/>
          <w:trHeight w:val="550"/>
        </w:trPr>
        <w:tc>
          <w:tcPr>
            <w:tcW w:w="1830" w:type="pct"/>
            <w:vAlign w:val="bottom"/>
          </w:tcPr>
          <w:p w14:paraId="3846133E" w14:textId="205F5480" w:rsidR="004F0790" w:rsidRPr="000F587E" w:rsidRDefault="004F0790" w:rsidP="004F0790">
            <w:pPr>
              <w:tabs>
                <w:tab w:val="right" w:pos="1202"/>
              </w:tabs>
              <w:suppressAutoHyphens/>
              <w:autoSpaceDN w:val="0"/>
              <w:spacing w:line="240" w:lineRule="exact"/>
              <w:outlineLvl w:val="0"/>
              <w:rPr>
                <w:rFonts w:ascii="Arial" w:eastAsia="Times New Roman" w:hAnsi="Arial" w:cs="Arial"/>
                <w:color w:val="000000" w:themeColor="text1"/>
                <w:sz w:val="20"/>
                <w:szCs w:val="20"/>
              </w:rPr>
            </w:pPr>
            <w:bookmarkStart w:id="317" w:name="_Toc67327882"/>
            <w:r w:rsidRPr="000F587E">
              <w:rPr>
                <w:rFonts w:ascii="Arial" w:eastAsia="Times New Roman" w:hAnsi="Arial" w:cs="Arial"/>
                <w:color w:val="000000" w:themeColor="text1"/>
                <w:sz w:val="20"/>
                <w:szCs w:val="20"/>
              </w:rPr>
              <w:t>Sredstva izdvojena na računu kod Hrvatske narodne banke</w:t>
            </w:r>
            <w:bookmarkEnd w:id="317"/>
          </w:p>
        </w:tc>
        <w:tc>
          <w:tcPr>
            <w:tcW w:w="842" w:type="pct"/>
            <w:tcBorders>
              <w:top w:val="nil"/>
              <w:left w:val="nil"/>
              <w:bottom w:val="nil"/>
              <w:right w:val="nil"/>
            </w:tcBorders>
            <w:shd w:val="clear" w:color="auto" w:fill="auto"/>
            <w:vAlign w:val="bottom"/>
          </w:tcPr>
          <w:p w14:paraId="735D01D8" w14:textId="66BC9438" w:rsidR="004F0790" w:rsidRPr="00672AA1" w:rsidRDefault="004F0790" w:rsidP="004F0790">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289</w:t>
            </w:r>
          </w:p>
        </w:tc>
        <w:tc>
          <w:tcPr>
            <w:tcW w:w="828" w:type="pct"/>
            <w:tcBorders>
              <w:top w:val="nil"/>
              <w:left w:val="nil"/>
              <w:bottom w:val="nil"/>
              <w:right w:val="nil"/>
            </w:tcBorders>
            <w:shd w:val="clear" w:color="auto" w:fill="auto"/>
            <w:vAlign w:val="bottom"/>
          </w:tcPr>
          <w:p w14:paraId="521CB0E1" w14:textId="0337EDC4" w:rsidR="004F0790" w:rsidRPr="00672AA1" w:rsidRDefault="004F0790" w:rsidP="004F0790">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eastAsia="Calibri" w:hAnsi="Arial" w:cs="Arial"/>
                <w:sz w:val="20"/>
                <w:szCs w:val="20"/>
              </w:rPr>
              <w:t>286</w:t>
            </w:r>
          </w:p>
        </w:tc>
        <w:tc>
          <w:tcPr>
            <w:tcW w:w="730" w:type="pct"/>
            <w:tcBorders>
              <w:top w:val="nil"/>
              <w:left w:val="nil"/>
              <w:bottom w:val="nil"/>
              <w:right w:val="nil"/>
            </w:tcBorders>
            <w:shd w:val="clear" w:color="auto" w:fill="auto"/>
            <w:vAlign w:val="bottom"/>
          </w:tcPr>
          <w:p w14:paraId="31BA99DB" w14:textId="379303CE" w:rsidR="004F0790" w:rsidRPr="000F587E" w:rsidRDefault="004F0790" w:rsidP="004F0790">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289</w:t>
            </w:r>
          </w:p>
        </w:tc>
        <w:tc>
          <w:tcPr>
            <w:tcW w:w="764" w:type="pct"/>
            <w:tcBorders>
              <w:top w:val="nil"/>
              <w:left w:val="nil"/>
              <w:bottom w:val="nil"/>
              <w:right w:val="nil"/>
            </w:tcBorders>
            <w:shd w:val="clear" w:color="auto" w:fill="auto"/>
            <w:vAlign w:val="bottom"/>
          </w:tcPr>
          <w:p w14:paraId="5EAD3289" w14:textId="0A303E39" w:rsidR="004F0790" w:rsidRPr="000F587E" w:rsidRDefault="004F0790" w:rsidP="004F0790">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eastAsia="Calibri" w:hAnsi="Arial" w:cs="Arial"/>
                <w:sz w:val="20"/>
                <w:szCs w:val="20"/>
              </w:rPr>
              <w:t>286</w:t>
            </w:r>
          </w:p>
        </w:tc>
      </w:tr>
      <w:tr w:rsidR="004F0790" w:rsidRPr="000F587E" w14:paraId="62FE4933" w14:textId="77777777" w:rsidTr="00142CB4">
        <w:trPr>
          <w:gridAfter w:val="1"/>
          <w:wAfter w:w="6" w:type="pct"/>
          <w:trHeight w:val="550"/>
        </w:trPr>
        <w:tc>
          <w:tcPr>
            <w:tcW w:w="1830" w:type="pct"/>
            <w:vAlign w:val="bottom"/>
          </w:tcPr>
          <w:p w14:paraId="6D9EE52F" w14:textId="77777777" w:rsidR="004F0790" w:rsidRPr="000F587E" w:rsidRDefault="004F0790" w:rsidP="004F0790">
            <w:pPr>
              <w:tabs>
                <w:tab w:val="right" w:pos="1202"/>
              </w:tabs>
              <w:suppressAutoHyphens/>
              <w:autoSpaceDN w:val="0"/>
              <w:spacing w:line="240" w:lineRule="exact"/>
              <w:outlineLvl w:val="0"/>
              <w:rPr>
                <w:rFonts w:ascii="Arial" w:eastAsia="Times New Roman" w:hAnsi="Arial" w:cs="Arial"/>
                <w:color w:val="000000" w:themeColor="text1"/>
                <w:sz w:val="20"/>
                <w:szCs w:val="20"/>
              </w:rPr>
            </w:pPr>
            <w:r w:rsidRPr="000F587E">
              <w:rPr>
                <w:rFonts w:ascii="Arial" w:eastAsia="Times New Roman" w:hAnsi="Arial" w:cs="Arial"/>
                <w:color w:val="000000" w:themeColor="text1"/>
                <w:sz w:val="20"/>
                <w:szCs w:val="20"/>
              </w:rPr>
              <w:t>Sredstva izdvojena na računima domaćih banaka</w:t>
            </w:r>
          </w:p>
        </w:tc>
        <w:tc>
          <w:tcPr>
            <w:tcW w:w="842" w:type="pct"/>
            <w:tcBorders>
              <w:top w:val="nil"/>
              <w:left w:val="nil"/>
              <w:bottom w:val="nil"/>
              <w:right w:val="nil"/>
            </w:tcBorders>
            <w:shd w:val="clear" w:color="auto" w:fill="auto"/>
            <w:vAlign w:val="bottom"/>
          </w:tcPr>
          <w:p w14:paraId="03CB3816" w14:textId="5DFF919B" w:rsidR="004F0790" w:rsidRPr="00672AA1" w:rsidRDefault="004F0790" w:rsidP="004F0790">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76.2</w:t>
            </w:r>
            <w:r w:rsidR="00FE42BC">
              <w:rPr>
                <w:rFonts w:ascii="Arial" w:eastAsia="Times New Roman" w:hAnsi="Arial" w:cs="Arial"/>
                <w:color w:val="000000" w:themeColor="text1"/>
                <w:sz w:val="20"/>
                <w:szCs w:val="20"/>
              </w:rPr>
              <w:t>5</w:t>
            </w:r>
            <w:r>
              <w:rPr>
                <w:rFonts w:ascii="Arial" w:eastAsia="Times New Roman" w:hAnsi="Arial" w:cs="Arial"/>
                <w:color w:val="000000" w:themeColor="text1"/>
                <w:sz w:val="20"/>
                <w:szCs w:val="20"/>
              </w:rPr>
              <w:t>7</w:t>
            </w:r>
          </w:p>
        </w:tc>
        <w:tc>
          <w:tcPr>
            <w:tcW w:w="828" w:type="pct"/>
            <w:tcBorders>
              <w:top w:val="nil"/>
              <w:left w:val="nil"/>
              <w:bottom w:val="nil"/>
              <w:right w:val="nil"/>
            </w:tcBorders>
            <w:shd w:val="clear" w:color="auto" w:fill="auto"/>
            <w:vAlign w:val="bottom"/>
          </w:tcPr>
          <w:p w14:paraId="263348C9" w14:textId="5D1CF6F3" w:rsidR="004F0790" w:rsidRPr="00672AA1" w:rsidRDefault="004F0790" w:rsidP="004F0790">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685407">
              <w:rPr>
                <w:rFonts w:ascii="Arial" w:hAnsi="Arial" w:cs="Arial"/>
                <w:color w:val="000000"/>
                <w:sz w:val="20"/>
                <w:szCs w:val="20"/>
              </w:rPr>
              <w:t>41.685</w:t>
            </w:r>
          </w:p>
        </w:tc>
        <w:tc>
          <w:tcPr>
            <w:tcW w:w="730" w:type="pct"/>
            <w:tcBorders>
              <w:top w:val="nil"/>
              <w:left w:val="nil"/>
              <w:bottom w:val="nil"/>
              <w:right w:val="nil"/>
            </w:tcBorders>
            <w:shd w:val="clear" w:color="auto" w:fill="auto"/>
            <w:vAlign w:val="bottom"/>
          </w:tcPr>
          <w:p w14:paraId="187C019E" w14:textId="1B53CBB7" w:rsidR="004F0790" w:rsidRPr="000F587E" w:rsidRDefault="004F0790" w:rsidP="004F0790">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75.837</w:t>
            </w:r>
          </w:p>
        </w:tc>
        <w:tc>
          <w:tcPr>
            <w:tcW w:w="764" w:type="pct"/>
            <w:tcBorders>
              <w:top w:val="nil"/>
              <w:left w:val="nil"/>
              <w:bottom w:val="nil"/>
              <w:right w:val="nil"/>
            </w:tcBorders>
            <w:shd w:val="clear" w:color="auto" w:fill="auto"/>
            <w:vAlign w:val="bottom"/>
          </w:tcPr>
          <w:p w14:paraId="6856BF85" w14:textId="786113D9" w:rsidR="004F0790" w:rsidRPr="000F587E" w:rsidRDefault="004F0790" w:rsidP="004F0790">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eastAsia="Calibri" w:hAnsi="Arial" w:cs="Arial"/>
                <w:sz w:val="20"/>
                <w:szCs w:val="20"/>
              </w:rPr>
              <w:t>41.094</w:t>
            </w:r>
          </w:p>
        </w:tc>
      </w:tr>
      <w:tr w:rsidR="004F0790" w:rsidRPr="000F587E" w14:paraId="5F4806D9" w14:textId="77777777" w:rsidTr="00142CB4">
        <w:trPr>
          <w:gridAfter w:val="1"/>
          <w:wAfter w:w="6" w:type="pct"/>
          <w:trHeight w:val="377"/>
        </w:trPr>
        <w:tc>
          <w:tcPr>
            <w:tcW w:w="1830" w:type="pct"/>
            <w:vAlign w:val="bottom"/>
          </w:tcPr>
          <w:p w14:paraId="504B1B58" w14:textId="0E999387" w:rsidR="004F0790" w:rsidRPr="000F587E" w:rsidRDefault="004F0790" w:rsidP="004F0790">
            <w:pPr>
              <w:tabs>
                <w:tab w:val="right" w:pos="1202"/>
              </w:tabs>
              <w:suppressAutoHyphens/>
              <w:autoSpaceDN w:val="0"/>
              <w:spacing w:line="240" w:lineRule="exact"/>
              <w:outlineLvl w:val="0"/>
              <w:rPr>
                <w:rFonts w:ascii="Arial" w:eastAsia="Times New Roman" w:hAnsi="Arial" w:cs="Arial"/>
                <w:color w:val="000000" w:themeColor="text1"/>
                <w:sz w:val="20"/>
                <w:szCs w:val="20"/>
              </w:rPr>
            </w:pPr>
            <w:bookmarkStart w:id="318" w:name="_Toc67327887"/>
            <w:r w:rsidRPr="000F587E">
              <w:rPr>
                <w:rFonts w:ascii="Arial" w:eastAsia="Times New Roman" w:hAnsi="Arial" w:cs="Arial"/>
                <w:color w:val="000000" w:themeColor="text1"/>
                <w:sz w:val="20"/>
                <w:szCs w:val="20"/>
              </w:rPr>
              <w:t xml:space="preserve">Sredstva izdvojena na računima </w:t>
            </w:r>
            <w:r>
              <w:rPr>
                <w:rFonts w:ascii="Arial" w:eastAsia="Times New Roman" w:hAnsi="Arial" w:cs="Arial"/>
                <w:color w:val="000000" w:themeColor="text1"/>
                <w:sz w:val="20"/>
                <w:szCs w:val="20"/>
              </w:rPr>
              <w:t>stranih</w:t>
            </w:r>
            <w:r w:rsidRPr="000F587E">
              <w:rPr>
                <w:rFonts w:ascii="Arial" w:eastAsia="Times New Roman" w:hAnsi="Arial" w:cs="Arial"/>
                <w:color w:val="000000" w:themeColor="text1"/>
                <w:sz w:val="20"/>
                <w:szCs w:val="20"/>
              </w:rPr>
              <w:t xml:space="preserve"> banaka</w:t>
            </w:r>
            <w:bookmarkEnd w:id="318"/>
          </w:p>
        </w:tc>
        <w:tc>
          <w:tcPr>
            <w:tcW w:w="842" w:type="pct"/>
            <w:tcBorders>
              <w:top w:val="nil"/>
              <w:left w:val="nil"/>
              <w:bottom w:val="nil"/>
              <w:right w:val="nil"/>
            </w:tcBorders>
            <w:shd w:val="clear" w:color="auto" w:fill="auto"/>
            <w:vAlign w:val="bottom"/>
          </w:tcPr>
          <w:p w14:paraId="6C64D56F" w14:textId="6B406504" w:rsidR="004F0790" w:rsidRPr="00672AA1" w:rsidRDefault="004F0790" w:rsidP="004F0790">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249</w:t>
            </w:r>
          </w:p>
        </w:tc>
        <w:tc>
          <w:tcPr>
            <w:tcW w:w="828" w:type="pct"/>
            <w:tcBorders>
              <w:top w:val="nil"/>
              <w:left w:val="nil"/>
              <w:bottom w:val="nil"/>
              <w:right w:val="nil"/>
            </w:tcBorders>
            <w:shd w:val="clear" w:color="auto" w:fill="auto"/>
            <w:vAlign w:val="bottom"/>
          </w:tcPr>
          <w:p w14:paraId="735CF4B0" w14:textId="5846D292" w:rsidR="004F0790" w:rsidRPr="00672AA1" w:rsidRDefault="004F0790" w:rsidP="004F0790">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eastAsia="Calibri" w:hAnsi="Arial" w:cs="Arial"/>
                <w:sz w:val="20"/>
                <w:szCs w:val="20"/>
              </w:rPr>
              <w:t>210</w:t>
            </w:r>
          </w:p>
        </w:tc>
        <w:tc>
          <w:tcPr>
            <w:tcW w:w="730" w:type="pct"/>
            <w:tcBorders>
              <w:top w:val="nil"/>
              <w:left w:val="nil"/>
              <w:bottom w:val="nil"/>
              <w:right w:val="nil"/>
            </w:tcBorders>
            <w:shd w:val="clear" w:color="auto" w:fill="auto"/>
            <w:vAlign w:val="bottom"/>
          </w:tcPr>
          <w:p w14:paraId="5023FD65" w14:textId="08AF582E" w:rsidR="004F0790" w:rsidRPr="000F587E" w:rsidRDefault="004F0790" w:rsidP="004F0790">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249</w:t>
            </w:r>
          </w:p>
        </w:tc>
        <w:tc>
          <w:tcPr>
            <w:tcW w:w="764" w:type="pct"/>
            <w:tcBorders>
              <w:top w:val="nil"/>
              <w:left w:val="nil"/>
              <w:bottom w:val="nil"/>
              <w:right w:val="nil"/>
            </w:tcBorders>
            <w:shd w:val="clear" w:color="auto" w:fill="auto"/>
            <w:vAlign w:val="bottom"/>
          </w:tcPr>
          <w:p w14:paraId="0FBCF678" w14:textId="161C0379" w:rsidR="004F0790" w:rsidRPr="000F587E" w:rsidRDefault="004F0790" w:rsidP="004F0790">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eastAsia="Calibri" w:hAnsi="Arial" w:cs="Arial"/>
                <w:sz w:val="20"/>
                <w:szCs w:val="20"/>
              </w:rPr>
              <w:t>210</w:t>
            </w:r>
          </w:p>
        </w:tc>
      </w:tr>
      <w:tr w:rsidR="004F0790" w:rsidRPr="000F587E" w14:paraId="3F1AA22F" w14:textId="77777777" w:rsidTr="005D1219">
        <w:trPr>
          <w:gridAfter w:val="1"/>
          <w:wAfter w:w="6" w:type="pct"/>
          <w:trHeight w:val="377"/>
        </w:trPr>
        <w:tc>
          <w:tcPr>
            <w:tcW w:w="1830" w:type="pct"/>
            <w:vAlign w:val="bottom"/>
          </w:tcPr>
          <w:p w14:paraId="693BA7F1" w14:textId="77777777" w:rsidR="004F0790" w:rsidRPr="000F587E" w:rsidRDefault="004F0790" w:rsidP="004F0790">
            <w:pPr>
              <w:tabs>
                <w:tab w:val="right" w:pos="1202"/>
              </w:tabs>
              <w:suppressAutoHyphens/>
              <w:autoSpaceDN w:val="0"/>
              <w:spacing w:line="240" w:lineRule="exact"/>
              <w:outlineLvl w:val="0"/>
              <w:rPr>
                <w:rFonts w:ascii="Arial" w:eastAsia="Times New Roman" w:hAnsi="Arial" w:cs="Arial"/>
                <w:color w:val="000000" w:themeColor="text1"/>
                <w:sz w:val="20"/>
                <w:szCs w:val="20"/>
              </w:rPr>
            </w:pPr>
            <w:bookmarkStart w:id="319" w:name="_Toc67327892"/>
            <w:r w:rsidRPr="000F587E">
              <w:rPr>
                <w:rFonts w:ascii="Arial" w:eastAsia="Times New Roman" w:hAnsi="Arial" w:cs="Arial"/>
                <w:color w:val="000000" w:themeColor="text1"/>
                <w:sz w:val="20"/>
                <w:szCs w:val="20"/>
              </w:rPr>
              <w:t>Devizni tekući računi - domaće banke</w:t>
            </w:r>
            <w:bookmarkEnd w:id="319"/>
          </w:p>
        </w:tc>
        <w:tc>
          <w:tcPr>
            <w:tcW w:w="842" w:type="pct"/>
            <w:tcBorders>
              <w:top w:val="nil"/>
              <w:left w:val="nil"/>
              <w:bottom w:val="nil"/>
              <w:right w:val="nil"/>
            </w:tcBorders>
            <w:shd w:val="clear" w:color="auto" w:fill="auto"/>
            <w:vAlign w:val="bottom"/>
          </w:tcPr>
          <w:p w14:paraId="30A6C515" w14:textId="2070475C" w:rsidR="004F0790" w:rsidRPr="00672AA1" w:rsidRDefault="004F0790" w:rsidP="004F0790">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828" w:type="pct"/>
            <w:tcBorders>
              <w:top w:val="nil"/>
              <w:left w:val="nil"/>
              <w:right w:val="nil"/>
            </w:tcBorders>
            <w:shd w:val="clear" w:color="auto" w:fill="auto"/>
            <w:vAlign w:val="bottom"/>
          </w:tcPr>
          <w:p w14:paraId="08E38C20" w14:textId="67C77DFB" w:rsidR="004F0790" w:rsidRPr="00672AA1" w:rsidRDefault="004F0790" w:rsidP="004F0790">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eastAsia="Calibri" w:hAnsi="Arial" w:cs="Arial"/>
                <w:sz w:val="20"/>
                <w:szCs w:val="20"/>
              </w:rPr>
              <w:t>16</w:t>
            </w:r>
          </w:p>
        </w:tc>
        <w:tc>
          <w:tcPr>
            <w:tcW w:w="730" w:type="pct"/>
            <w:tcBorders>
              <w:top w:val="nil"/>
              <w:left w:val="nil"/>
              <w:bottom w:val="nil"/>
              <w:right w:val="nil"/>
            </w:tcBorders>
            <w:shd w:val="clear" w:color="auto" w:fill="auto"/>
            <w:vAlign w:val="bottom"/>
          </w:tcPr>
          <w:p w14:paraId="1C8364C5" w14:textId="04C5856A" w:rsidR="004F0790" w:rsidRPr="000F587E" w:rsidRDefault="004F0790" w:rsidP="004F0790">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w:t>
            </w:r>
          </w:p>
        </w:tc>
        <w:tc>
          <w:tcPr>
            <w:tcW w:w="764" w:type="pct"/>
            <w:tcBorders>
              <w:top w:val="nil"/>
              <w:left w:val="nil"/>
              <w:right w:val="nil"/>
            </w:tcBorders>
            <w:shd w:val="clear" w:color="auto" w:fill="auto"/>
            <w:vAlign w:val="bottom"/>
          </w:tcPr>
          <w:p w14:paraId="77BD956E" w14:textId="4F01DD0F" w:rsidR="004F0790" w:rsidRPr="000F587E" w:rsidRDefault="004F0790" w:rsidP="004F0790">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eastAsia="Calibri" w:hAnsi="Arial" w:cs="Arial"/>
                <w:sz w:val="20"/>
                <w:szCs w:val="20"/>
              </w:rPr>
              <w:t>16</w:t>
            </w:r>
          </w:p>
        </w:tc>
      </w:tr>
      <w:tr w:rsidR="004F0790" w:rsidRPr="000F587E" w14:paraId="500A5BCE" w14:textId="77777777" w:rsidTr="005D1219">
        <w:trPr>
          <w:gridAfter w:val="1"/>
          <w:wAfter w:w="6" w:type="pct"/>
          <w:trHeight w:val="377"/>
        </w:trPr>
        <w:tc>
          <w:tcPr>
            <w:tcW w:w="1830" w:type="pct"/>
            <w:vAlign w:val="bottom"/>
          </w:tcPr>
          <w:p w14:paraId="7BCCBD69" w14:textId="77777777" w:rsidR="004F0790" w:rsidRPr="000F587E" w:rsidRDefault="004F0790" w:rsidP="004F0790">
            <w:pPr>
              <w:tabs>
                <w:tab w:val="right" w:pos="1202"/>
              </w:tabs>
              <w:suppressAutoHyphens/>
              <w:autoSpaceDN w:val="0"/>
              <w:spacing w:line="240" w:lineRule="exact"/>
              <w:outlineLvl w:val="0"/>
              <w:rPr>
                <w:rFonts w:ascii="Arial" w:eastAsia="Times New Roman" w:hAnsi="Arial" w:cs="Arial"/>
                <w:color w:val="000000" w:themeColor="text1"/>
                <w:sz w:val="20"/>
                <w:szCs w:val="20"/>
              </w:rPr>
            </w:pPr>
            <w:bookmarkStart w:id="320" w:name="_Toc67327897"/>
            <w:r w:rsidRPr="000F587E">
              <w:rPr>
                <w:rFonts w:ascii="Arial" w:eastAsia="Times New Roman" w:hAnsi="Arial" w:cs="Arial"/>
                <w:color w:val="000000" w:themeColor="text1"/>
                <w:sz w:val="20"/>
                <w:szCs w:val="20"/>
              </w:rPr>
              <w:t>Devizni tekući računi - inozemne banke</w:t>
            </w:r>
            <w:bookmarkEnd w:id="320"/>
          </w:p>
        </w:tc>
        <w:tc>
          <w:tcPr>
            <w:tcW w:w="842" w:type="pct"/>
            <w:tcBorders>
              <w:top w:val="nil"/>
              <w:left w:val="nil"/>
              <w:bottom w:val="nil"/>
              <w:right w:val="nil"/>
            </w:tcBorders>
            <w:shd w:val="clear" w:color="auto" w:fill="auto"/>
            <w:vAlign w:val="bottom"/>
          </w:tcPr>
          <w:p w14:paraId="788B6B43" w14:textId="0E6E6679" w:rsidR="004F0790" w:rsidRPr="00672AA1" w:rsidRDefault="004F0790" w:rsidP="004F0790">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846</w:t>
            </w:r>
          </w:p>
        </w:tc>
        <w:tc>
          <w:tcPr>
            <w:tcW w:w="828" w:type="pct"/>
            <w:tcBorders>
              <w:top w:val="nil"/>
              <w:left w:val="nil"/>
              <w:bottom w:val="single" w:sz="4" w:space="0" w:color="auto"/>
              <w:right w:val="nil"/>
            </w:tcBorders>
            <w:shd w:val="clear" w:color="auto" w:fill="auto"/>
            <w:vAlign w:val="bottom"/>
          </w:tcPr>
          <w:p w14:paraId="179EEEF1" w14:textId="050D3D45" w:rsidR="004F0790" w:rsidRPr="00672AA1" w:rsidRDefault="004F0790" w:rsidP="004F0790">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eastAsia="Calibri" w:hAnsi="Arial" w:cs="Arial"/>
                <w:sz w:val="20"/>
                <w:szCs w:val="20"/>
              </w:rPr>
              <w:t>95</w:t>
            </w:r>
          </w:p>
        </w:tc>
        <w:tc>
          <w:tcPr>
            <w:tcW w:w="730" w:type="pct"/>
            <w:tcBorders>
              <w:top w:val="nil"/>
              <w:left w:val="nil"/>
              <w:bottom w:val="nil"/>
              <w:right w:val="nil"/>
            </w:tcBorders>
            <w:shd w:val="clear" w:color="auto" w:fill="auto"/>
            <w:vAlign w:val="bottom"/>
          </w:tcPr>
          <w:p w14:paraId="474141EE" w14:textId="44BFC464" w:rsidR="004F0790" w:rsidRPr="000F587E" w:rsidRDefault="004F0790" w:rsidP="004F0790">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846</w:t>
            </w:r>
          </w:p>
        </w:tc>
        <w:tc>
          <w:tcPr>
            <w:tcW w:w="764" w:type="pct"/>
            <w:tcBorders>
              <w:top w:val="nil"/>
              <w:left w:val="nil"/>
              <w:bottom w:val="single" w:sz="4" w:space="0" w:color="auto"/>
              <w:right w:val="nil"/>
            </w:tcBorders>
            <w:shd w:val="clear" w:color="auto" w:fill="auto"/>
            <w:vAlign w:val="bottom"/>
          </w:tcPr>
          <w:p w14:paraId="2D8B3203" w14:textId="77FAED49" w:rsidR="004F0790" w:rsidRPr="000F587E" w:rsidRDefault="004F0790" w:rsidP="004F0790">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eastAsia="Calibri" w:hAnsi="Arial" w:cs="Arial"/>
                <w:sz w:val="20"/>
                <w:szCs w:val="20"/>
              </w:rPr>
              <w:t>95</w:t>
            </w:r>
          </w:p>
        </w:tc>
      </w:tr>
      <w:tr w:rsidR="004F0790" w:rsidRPr="000F587E" w14:paraId="691F5CE5" w14:textId="77777777" w:rsidTr="005D1219">
        <w:trPr>
          <w:gridAfter w:val="1"/>
          <w:wAfter w:w="6" w:type="pct"/>
          <w:trHeight w:val="398"/>
        </w:trPr>
        <w:tc>
          <w:tcPr>
            <w:tcW w:w="1830" w:type="pct"/>
            <w:vAlign w:val="bottom"/>
          </w:tcPr>
          <w:p w14:paraId="1654DAC5" w14:textId="77777777" w:rsidR="004F0790" w:rsidRPr="000F587E" w:rsidRDefault="004F0790" w:rsidP="004F0790">
            <w:pPr>
              <w:tabs>
                <w:tab w:val="right" w:pos="1202"/>
              </w:tabs>
              <w:suppressAutoHyphens/>
              <w:autoSpaceDN w:val="0"/>
              <w:spacing w:line="240" w:lineRule="exact"/>
              <w:outlineLvl w:val="0"/>
              <w:rPr>
                <w:rFonts w:ascii="Arial" w:eastAsia="Times New Roman" w:hAnsi="Arial" w:cs="Arial"/>
                <w:iCs/>
                <w:color w:val="000000" w:themeColor="text1"/>
                <w:sz w:val="20"/>
                <w:szCs w:val="20"/>
              </w:rPr>
            </w:pPr>
          </w:p>
        </w:tc>
        <w:tc>
          <w:tcPr>
            <w:tcW w:w="842" w:type="pct"/>
            <w:tcBorders>
              <w:top w:val="single" w:sz="4" w:space="0" w:color="auto"/>
              <w:bottom w:val="single" w:sz="4" w:space="0" w:color="auto"/>
            </w:tcBorders>
            <w:vAlign w:val="bottom"/>
          </w:tcPr>
          <w:p w14:paraId="50596D4A" w14:textId="4B8E8985" w:rsidR="004F0790" w:rsidRPr="00672AA1" w:rsidRDefault="004F0790" w:rsidP="004F0790">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77.657</w:t>
            </w:r>
          </w:p>
        </w:tc>
        <w:tc>
          <w:tcPr>
            <w:tcW w:w="828" w:type="pct"/>
            <w:tcBorders>
              <w:top w:val="single" w:sz="4" w:space="0" w:color="auto"/>
              <w:bottom w:val="single" w:sz="4" w:space="0" w:color="auto"/>
            </w:tcBorders>
            <w:vAlign w:val="bottom"/>
          </w:tcPr>
          <w:p w14:paraId="11C292CB" w14:textId="204D1772" w:rsidR="004F0790" w:rsidRPr="00672AA1" w:rsidRDefault="004F0790" w:rsidP="004F0790">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sidRPr="00685407">
              <w:rPr>
                <w:rFonts w:ascii="Arial" w:eastAsia="Calibri" w:hAnsi="Arial" w:cs="Arial"/>
                <w:color w:val="000000"/>
                <w:sz w:val="20"/>
                <w:szCs w:val="20"/>
              </w:rPr>
              <w:t>42.292</w:t>
            </w:r>
          </w:p>
        </w:tc>
        <w:tc>
          <w:tcPr>
            <w:tcW w:w="730" w:type="pct"/>
            <w:tcBorders>
              <w:top w:val="single" w:sz="4" w:space="0" w:color="auto"/>
              <w:bottom w:val="single" w:sz="4" w:space="0" w:color="auto"/>
            </w:tcBorders>
            <w:vAlign w:val="bottom"/>
          </w:tcPr>
          <w:p w14:paraId="7086203A" w14:textId="26C5240A" w:rsidR="004F0790" w:rsidRPr="000F587E" w:rsidRDefault="004F0790" w:rsidP="004F0790">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77.237</w:t>
            </w:r>
          </w:p>
        </w:tc>
        <w:tc>
          <w:tcPr>
            <w:tcW w:w="764" w:type="pct"/>
            <w:tcBorders>
              <w:top w:val="single" w:sz="4" w:space="0" w:color="auto"/>
              <w:bottom w:val="single" w:sz="4" w:space="0" w:color="auto"/>
            </w:tcBorders>
            <w:vAlign w:val="bottom"/>
          </w:tcPr>
          <w:p w14:paraId="648F50E5" w14:textId="47EAF65E" w:rsidR="004F0790" w:rsidRPr="000F587E" w:rsidRDefault="004F0790" w:rsidP="004F0790">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hAnsi="Arial" w:cs="Arial"/>
                <w:color w:val="000000"/>
                <w:sz w:val="20"/>
                <w:szCs w:val="20"/>
              </w:rPr>
              <w:t>41.701</w:t>
            </w:r>
          </w:p>
        </w:tc>
      </w:tr>
      <w:tr w:rsidR="004F0790" w:rsidRPr="000F587E" w14:paraId="2EEDE20C" w14:textId="77777777" w:rsidTr="005D1219">
        <w:trPr>
          <w:gridAfter w:val="1"/>
          <w:wAfter w:w="6" w:type="pct"/>
          <w:trHeight w:val="347"/>
        </w:trPr>
        <w:tc>
          <w:tcPr>
            <w:tcW w:w="1830" w:type="pct"/>
            <w:vAlign w:val="bottom"/>
          </w:tcPr>
          <w:p w14:paraId="733BB91F" w14:textId="104AA8A6" w:rsidR="004F0790" w:rsidRPr="000F587E" w:rsidRDefault="004F0790" w:rsidP="004F0790">
            <w:pPr>
              <w:tabs>
                <w:tab w:val="right" w:pos="1202"/>
              </w:tabs>
              <w:suppressAutoHyphens/>
              <w:autoSpaceDN w:val="0"/>
              <w:spacing w:line="240" w:lineRule="exact"/>
              <w:outlineLvl w:val="0"/>
              <w:rPr>
                <w:rFonts w:ascii="Arial" w:eastAsia="Times New Roman" w:hAnsi="Arial" w:cs="Arial"/>
                <w:color w:val="000000" w:themeColor="text1"/>
                <w:sz w:val="20"/>
                <w:szCs w:val="20"/>
              </w:rPr>
            </w:pPr>
            <w:bookmarkStart w:id="321" w:name="_Toc67327911"/>
            <w:r w:rsidRPr="000F587E">
              <w:rPr>
                <w:rFonts w:ascii="Arial" w:eastAsia="Times New Roman" w:hAnsi="Arial" w:cs="Arial"/>
                <w:color w:val="000000" w:themeColor="text1"/>
                <w:sz w:val="20"/>
                <w:szCs w:val="20"/>
              </w:rPr>
              <w:t>Rezerviranja za očekivane gubitke</w:t>
            </w:r>
            <w:bookmarkEnd w:id="321"/>
            <w:r w:rsidRPr="000F587E">
              <w:rPr>
                <w:rFonts w:ascii="Arial" w:eastAsia="Times New Roman" w:hAnsi="Arial" w:cs="Arial"/>
                <w:color w:val="000000" w:themeColor="text1"/>
                <w:sz w:val="20"/>
                <w:szCs w:val="20"/>
              </w:rPr>
              <w:t xml:space="preserve"> </w:t>
            </w:r>
          </w:p>
        </w:tc>
        <w:tc>
          <w:tcPr>
            <w:tcW w:w="842" w:type="pct"/>
            <w:tcBorders>
              <w:top w:val="single" w:sz="4" w:space="0" w:color="auto"/>
              <w:bottom w:val="single" w:sz="4" w:space="0" w:color="auto"/>
            </w:tcBorders>
            <w:vAlign w:val="bottom"/>
          </w:tcPr>
          <w:p w14:paraId="5539C4BC" w14:textId="0C8ED831" w:rsidR="004F0790" w:rsidRPr="00672AA1" w:rsidRDefault="004F0790" w:rsidP="004F0790">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(285)</w:t>
            </w:r>
          </w:p>
        </w:tc>
        <w:tc>
          <w:tcPr>
            <w:tcW w:w="828" w:type="pct"/>
            <w:tcBorders>
              <w:top w:val="single" w:sz="4" w:space="0" w:color="auto"/>
              <w:bottom w:val="single" w:sz="4" w:space="0" w:color="auto"/>
            </w:tcBorders>
            <w:vAlign w:val="bottom"/>
          </w:tcPr>
          <w:p w14:paraId="243D3E7C" w14:textId="4FDC7761" w:rsidR="004F0790" w:rsidRPr="00672AA1" w:rsidRDefault="004F0790" w:rsidP="004F0790">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hAnsi="Arial" w:cs="Arial"/>
                <w:color w:val="000000"/>
                <w:sz w:val="20"/>
                <w:szCs w:val="20"/>
              </w:rPr>
              <w:t>(159)</w:t>
            </w:r>
          </w:p>
        </w:tc>
        <w:tc>
          <w:tcPr>
            <w:tcW w:w="730" w:type="pct"/>
            <w:tcBorders>
              <w:top w:val="single" w:sz="4" w:space="0" w:color="auto"/>
              <w:bottom w:val="single" w:sz="4" w:space="0" w:color="auto"/>
            </w:tcBorders>
            <w:vAlign w:val="bottom"/>
          </w:tcPr>
          <w:p w14:paraId="5C92DAE2" w14:textId="30FD6AC5" w:rsidR="004F0790" w:rsidRPr="000F587E" w:rsidRDefault="004F0790" w:rsidP="004F0790">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(284)</w:t>
            </w:r>
          </w:p>
        </w:tc>
        <w:tc>
          <w:tcPr>
            <w:tcW w:w="764" w:type="pct"/>
            <w:tcBorders>
              <w:top w:val="single" w:sz="4" w:space="0" w:color="auto"/>
              <w:bottom w:val="single" w:sz="4" w:space="0" w:color="auto"/>
            </w:tcBorders>
            <w:vAlign w:val="bottom"/>
          </w:tcPr>
          <w:p w14:paraId="08E40704" w14:textId="6A5B4DED" w:rsidR="004F0790" w:rsidRPr="000F587E" w:rsidRDefault="004F0790" w:rsidP="004F0790">
            <w:pPr>
              <w:tabs>
                <w:tab w:val="right" w:pos="1202"/>
              </w:tabs>
              <w:suppressAutoHyphens/>
              <w:autoSpaceDN w:val="0"/>
              <w:spacing w:line="240" w:lineRule="exact"/>
              <w:jc w:val="right"/>
              <w:outlineLvl w:val="0"/>
              <w:rPr>
                <w:rFonts w:ascii="Arial" w:eastAsia="Times New Roman" w:hAnsi="Arial" w:cs="Arial"/>
                <w:color w:val="000000" w:themeColor="text1"/>
                <w:sz w:val="20"/>
                <w:szCs w:val="20"/>
              </w:rPr>
            </w:pPr>
            <w:r>
              <w:rPr>
                <w:rFonts w:ascii="Arial" w:hAnsi="Arial" w:cs="Arial"/>
                <w:color w:val="000000"/>
                <w:sz w:val="20"/>
                <w:szCs w:val="20"/>
              </w:rPr>
              <w:t>(158)</w:t>
            </w:r>
          </w:p>
        </w:tc>
      </w:tr>
      <w:tr w:rsidR="004F0790" w:rsidRPr="000F587E" w14:paraId="3F1B9315" w14:textId="77777777" w:rsidTr="005D1219">
        <w:trPr>
          <w:gridAfter w:val="1"/>
          <w:wAfter w:w="6" w:type="pct"/>
          <w:trHeight w:val="345"/>
        </w:trPr>
        <w:tc>
          <w:tcPr>
            <w:tcW w:w="1830" w:type="pct"/>
            <w:vAlign w:val="bottom"/>
          </w:tcPr>
          <w:p w14:paraId="7705A5AC" w14:textId="77777777" w:rsidR="004F0790" w:rsidRPr="000F587E" w:rsidRDefault="004F0790" w:rsidP="004F0790">
            <w:pPr>
              <w:tabs>
                <w:tab w:val="right" w:pos="1202"/>
              </w:tabs>
              <w:suppressAutoHyphens/>
              <w:autoSpaceDN w:val="0"/>
              <w:spacing w:line="240" w:lineRule="exact"/>
              <w:outlineLvl w:val="0"/>
              <w:rPr>
                <w:rFonts w:ascii="Arial" w:eastAsia="Times New Roman" w:hAnsi="Arial" w:cs="Arial"/>
                <w:b/>
                <w:color w:val="000000" w:themeColor="text1"/>
                <w:sz w:val="20"/>
                <w:szCs w:val="20"/>
              </w:rPr>
            </w:pPr>
          </w:p>
        </w:tc>
        <w:tc>
          <w:tcPr>
            <w:tcW w:w="842" w:type="pct"/>
            <w:tcBorders>
              <w:top w:val="single" w:sz="4" w:space="0" w:color="auto"/>
              <w:bottom w:val="single" w:sz="12" w:space="0" w:color="auto"/>
            </w:tcBorders>
            <w:vAlign w:val="bottom"/>
          </w:tcPr>
          <w:p w14:paraId="2EB1A3FB" w14:textId="7A3B6F4C" w:rsidR="004F0790" w:rsidRPr="00672AA1" w:rsidRDefault="004F0790" w:rsidP="004F0790">
            <w:pPr>
              <w:tabs>
                <w:tab w:val="right" w:pos="1202"/>
              </w:tabs>
              <w:suppressAutoHyphens/>
              <w:autoSpaceDN w:val="0"/>
              <w:spacing w:line="2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7</w:t>
            </w:r>
            <w:r w:rsidR="00CB3346">
              <w:rPr>
                <w:rFonts w:ascii="Arial" w:eastAsia="Times New Roman" w:hAnsi="Arial" w:cs="Arial"/>
                <w:b/>
                <w:bCs/>
                <w:color w:val="000000" w:themeColor="text1"/>
                <w:sz w:val="20"/>
                <w:szCs w:val="20"/>
              </w:rPr>
              <w:t>7</w:t>
            </w:r>
            <w:r>
              <w:rPr>
                <w:rFonts w:ascii="Arial" w:eastAsia="Times New Roman" w:hAnsi="Arial" w:cs="Arial"/>
                <w:b/>
                <w:bCs/>
                <w:color w:val="000000" w:themeColor="text1"/>
                <w:sz w:val="20"/>
                <w:szCs w:val="20"/>
              </w:rPr>
              <w:t>.</w:t>
            </w:r>
            <w:r w:rsidR="00CB3346">
              <w:rPr>
                <w:rFonts w:ascii="Arial" w:eastAsia="Times New Roman" w:hAnsi="Arial" w:cs="Arial"/>
                <w:b/>
                <w:bCs/>
                <w:color w:val="000000" w:themeColor="text1"/>
                <w:sz w:val="20"/>
                <w:szCs w:val="20"/>
              </w:rPr>
              <w:t>372</w:t>
            </w:r>
          </w:p>
        </w:tc>
        <w:tc>
          <w:tcPr>
            <w:tcW w:w="828" w:type="pct"/>
            <w:tcBorders>
              <w:top w:val="single" w:sz="4" w:space="0" w:color="auto"/>
              <w:bottom w:val="single" w:sz="12" w:space="0" w:color="auto"/>
            </w:tcBorders>
            <w:vAlign w:val="bottom"/>
          </w:tcPr>
          <w:p w14:paraId="6FECAE9F" w14:textId="46DFA8F8" w:rsidR="004F0790" w:rsidRPr="00672AA1" w:rsidRDefault="004F0790" w:rsidP="004F0790">
            <w:pPr>
              <w:tabs>
                <w:tab w:val="right" w:pos="1202"/>
              </w:tabs>
              <w:suppressAutoHyphens/>
              <w:autoSpaceDN w:val="0"/>
              <w:spacing w:line="240" w:lineRule="exact"/>
              <w:jc w:val="right"/>
              <w:outlineLvl w:val="0"/>
              <w:rPr>
                <w:rFonts w:ascii="Arial" w:eastAsia="Times New Roman" w:hAnsi="Arial" w:cs="Arial"/>
                <w:b/>
                <w:bCs/>
                <w:color w:val="000000" w:themeColor="text1"/>
                <w:sz w:val="20"/>
                <w:szCs w:val="20"/>
              </w:rPr>
            </w:pPr>
            <w:r w:rsidRPr="00685407">
              <w:rPr>
                <w:rFonts w:ascii="Arial" w:eastAsia="Calibri" w:hAnsi="Arial" w:cs="Arial"/>
                <w:b/>
                <w:bCs/>
                <w:sz w:val="20"/>
                <w:szCs w:val="20"/>
              </w:rPr>
              <w:t>42.133</w:t>
            </w:r>
          </w:p>
        </w:tc>
        <w:tc>
          <w:tcPr>
            <w:tcW w:w="730" w:type="pct"/>
            <w:tcBorders>
              <w:top w:val="single" w:sz="4" w:space="0" w:color="auto"/>
              <w:bottom w:val="single" w:sz="12" w:space="0" w:color="auto"/>
            </w:tcBorders>
            <w:vAlign w:val="bottom"/>
          </w:tcPr>
          <w:p w14:paraId="65F3ECD1" w14:textId="27D6D269" w:rsidR="004F0790" w:rsidRPr="00E759CE" w:rsidRDefault="004F0790" w:rsidP="004F0790">
            <w:pPr>
              <w:tabs>
                <w:tab w:val="right" w:pos="1202"/>
              </w:tabs>
              <w:suppressAutoHyphens/>
              <w:autoSpaceDN w:val="0"/>
              <w:spacing w:line="2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76.953</w:t>
            </w:r>
          </w:p>
        </w:tc>
        <w:tc>
          <w:tcPr>
            <w:tcW w:w="764" w:type="pct"/>
            <w:tcBorders>
              <w:top w:val="single" w:sz="4" w:space="0" w:color="auto"/>
              <w:bottom w:val="single" w:sz="12" w:space="0" w:color="auto"/>
            </w:tcBorders>
            <w:vAlign w:val="bottom"/>
          </w:tcPr>
          <w:p w14:paraId="59D0ECDC" w14:textId="0C1801CE" w:rsidR="004F0790" w:rsidRPr="00E759CE" w:rsidRDefault="004F0790" w:rsidP="004F0790">
            <w:pPr>
              <w:tabs>
                <w:tab w:val="right" w:pos="1202"/>
              </w:tabs>
              <w:suppressAutoHyphens/>
              <w:autoSpaceDN w:val="0"/>
              <w:spacing w:line="240" w:lineRule="exact"/>
              <w:jc w:val="right"/>
              <w:outlineLvl w:val="0"/>
              <w:rPr>
                <w:rFonts w:ascii="Arial" w:eastAsia="Times New Roman" w:hAnsi="Arial" w:cs="Arial"/>
                <w:b/>
                <w:bCs/>
                <w:color w:val="000000" w:themeColor="text1"/>
                <w:sz w:val="20"/>
                <w:szCs w:val="20"/>
              </w:rPr>
            </w:pPr>
            <w:r>
              <w:rPr>
                <w:rFonts w:ascii="Arial" w:hAnsi="Arial" w:cs="Arial"/>
                <w:b/>
                <w:bCs/>
                <w:color w:val="000000"/>
                <w:sz w:val="20"/>
                <w:szCs w:val="20"/>
              </w:rPr>
              <w:t>41.543</w:t>
            </w:r>
          </w:p>
        </w:tc>
      </w:tr>
    </w:tbl>
    <w:p w14:paraId="1FE65A55" w14:textId="77777777" w:rsidR="00DE4AC9" w:rsidRPr="003D1614" w:rsidRDefault="00DE4AC9" w:rsidP="00DE4AC9">
      <w:pPr>
        <w:keepNext/>
        <w:suppressAutoHyphens/>
        <w:autoSpaceDN w:val="0"/>
        <w:jc w:val="both"/>
        <w:outlineLvl w:val="0"/>
        <w:rPr>
          <w:rFonts w:ascii="Arial" w:eastAsia="Times New Roman" w:hAnsi="Arial" w:cs="Arial"/>
          <w:b/>
          <w:color w:val="000000" w:themeColor="text1"/>
          <w:sz w:val="20"/>
          <w:szCs w:val="20"/>
        </w:rPr>
      </w:pPr>
    </w:p>
    <w:p w14:paraId="63243037"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bookmarkStart w:id="322" w:name="_Hlk506307924"/>
    </w:p>
    <w:p w14:paraId="7E5A96CD"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Sljedeće tablice prikazuju informacije o kreditnoj kvaliteti financijske imovine koja se mjeri po amortiziranom trošku. Iznosi u tablici predstavljaju bruto knjigovodstvene iznose:</w:t>
      </w:r>
    </w:p>
    <w:p w14:paraId="74583B18"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p>
    <w:tbl>
      <w:tblPr>
        <w:tblW w:w="10235" w:type="dxa"/>
        <w:tblInd w:w="-567" w:type="dxa"/>
        <w:tblLayout w:type="fixed"/>
        <w:tblLook w:val="04A0" w:firstRow="1" w:lastRow="0" w:firstColumn="1" w:lastColumn="0" w:noHBand="0" w:noVBand="1"/>
      </w:tblPr>
      <w:tblGrid>
        <w:gridCol w:w="1843"/>
        <w:gridCol w:w="1049"/>
        <w:gridCol w:w="1049"/>
        <w:gridCol w:w="1049"/>
        <w:gridCol w:w="1049"/>
        <w:gridCol w:w="1049"/>
        <w:gridCol w:w="1049"/>
        <w:gridCol w:w="1049"/>
        <w:gridCol w:w="1049"/>
      </w:tblGrid>
      <w:tr w:rsidR="00DE4AC9" w:rsidRPr="0045443F" w14:paraId="2D0A7533" w14:textId="77777777" w:rsidTr="0045443F">
        <w:trPr>
          <w:trHeight w:val="178"/>
        </w:trPr>
        <w:tc>
          <w:tcPr>
            <w:tcW w:w="1843" w:type="dxa"/>
            <w:tcBorders>
              <w:top w:val="nil"/>
              <w:left w:val="nil"/>
              <w:bottom w:val="nil"/>
              <w:right w:val="nil"/>
            </w:tcBorders>
            <w:shd w:val="clear" w:color="auto" w:fill="auto"/>
            <w:noWrap/>
            <w:vAlign w:val="bottom"/>
            <w:hideMark/>
          </w:tcPr>
          <w:p w14:paraId="77DFF509" w14:textId="6549C5C4" w:rsidR="00DE4AC9" w:rsidRPr="0045443F" w:rsidRDefault="00DE4AC9" w:rsidP="00DE4AC9">
            <w:pPr>
              <w:suppressAutoHyphens/>
              <w:autoSpaceDN w:val="0"/>
              <w:rPr>
                <w:rFonts w:ascii="Arial" w:eastAsia="Times New Roman" w:hAnsi="Arial" w:cs="Arial"/>
                <w:b/>
                <w:color w:val="000000" w:themeColor="text1"/>
                <w:sz w:val="17"/>
                <w:szCs w:val="17"/>
              </w:rPr>
            </w:pPr>
            <w:r w:rsidRPr="0045443F">
              <w:rPr>
                <w:rFonts w:ascii="Arial" w:eastAsia="Times New Roman" w:hAnsi="Arial" w:cs="Arial"/>
                <w:b/>
                <w:color w:val="000000" w:themeColor="text1"/>
                <w:sz w:val="17"/>
                <w:szCs w:val="17"/>
              </w:rPr>
              <w:t>31. ožujka 202</w:t>
            </w:r>
            <w:r w:rsidR="00721A5F">
              <w:rPr>
                <w:rFonts w:ascii="Arial" w:eastAsia="Times New Roman" w:hAnsi="Arial" w:cs="Arial"/>
                <w:b/>
                <w:color w:val="000000" w:themeColor="text1"/>
                <w:sz w:val="17"/>
                <w:szCs w:val="17"/>
              </w:rPr>
              <w:t>4</w:t>
            </w:r>
            <w:r w:rsidRPr="0045443F">
              <w:rPr>
                <w:rFonts w:ascii="Arial" w:eastAsia="Times New Roman" w:hAnsi="Arial" w:cs="Arial"/>
                <w:b/>
                <w:color w:val="000000" w:themeColor="text1"/>
                <w:sz w:val="17"/>
                <w:szCs w:val="17"/>
              </w:rPr>
              <w:t>.</w:t>
            </w:r>
          </w:p>
        </w:tc>
        <w:tc>
          <w:tcPr>
            <w:tcW w:w="1049" w:type="dxa"/>
            <w:tcBorders>
              <w:top w:val="nil"/>
              <w:left w:val="nil"/>
              <w:bottom w:val="nil"/>
              <w:right w:val="nil"/>
            </w:tcBorders>
            <w:shd w:val="clear" w:color="auto" w:fill="auto"/>
            <w:noWrap/>
            <w:vAlign w:val="bottom"/>
            <w:hideMark/>
          </w:tcPr>
          <w:p w14:paraId="65C85B12" w14:textId="77777777" w:rsidR="00DE4AC9" w:rsidRPr="0045443F" w:rsidRDefault="00DE4AC9" w:rsidP="00DE4AC9">
            <w:pPr>
              <w:suppressAutoHyphens/>
              <w:autoSpaceDN w:val="0"/>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525AA4AB" w14:textId="77777777" w:rsidR="00DE4AC9" w:rsidRPr="0045443F" w:rsidRDefault="00DE4AC9" w:rsidP="00DE4AC9">
            <w:pPr>
              <w:suppressAutoHyphens/>
              <w:autoSpaceDN w:val="0"/>
              <w:jc w:val="right"/>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7A6C19DF" w14:textId="77777777" w:rsidR="00DE4AC9" w:rsidRPr="0045443F" w:rsidRDefault="00DE4AC9" w:rsidP="00DE4AC9">
            <w:pPr>
              <w:suppressAutoHyphens/>
              <w:autoSpaceDN w:val="0"/>
              <w:jc w:val="right"/>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2029737A"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Grupa</w:t>
            </w:r>
          </w:p>
        </w:tc>
        <w:tc>
          <w:tcPr>
            <w:tcW w:w="1049" w:type="dxa"/>
            <w:tcBorders>
              <w:top w:val="nil"/>
              <w:left w:val="nil"/>
              <w:bottom w:val="nil"/>
              <w:right w:val="nil"/>
            </w:tcBorders>
            <w:shd w:val="clear" w:color="auto" w:fill="auto"/>
            <w:noWrap/>
            <w:vAlign w:val="bottom"/>
            <w:hideMark/>
          </w:tcPr>
          <w:p w14:paraId="713FE5B6"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hideMark/>
          </w:tcPr>
          <w:p w14:paraId="3B5C6184" w14:textId="77777777" w:rsidR="00DE4AC9" w:rsidRPr="0045443F" w:rsidRDefault="00DE4AC9" w:rsidP="00DE4AC9">
            <w:pPr>
              <w:suppressAutoHyphens/>
              <w:autoSpaceDN w:val="0"/>
              <w:jc w:val="right"/>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6215DC18" w14:textId="77777777" w:rsidR="00DE4AC9" w:rsidRPr="0045443F" w:rsidRDefault="00DE4AC9" w:rsidP="00DE4AC9">
            <w:pPr>
              <w:suppressAutoHyphens/>
              <w:autoSpaceDN w:val="0"/>
              <w:jc w:val="right"/>
              <w:rPr>
                <w:rFonts w:ascii="Arial" w:eastAsia="Times New Roman"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7BA96812"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Banka</w:t>
            </w:r>
          </w:p>
        </w:tc>
      </w:tr>
      <w:tr w:rsidR="00DE4AC9" w:rsidRPr="0045443F" w14:paraId="4958FE7E" w14:textId="77777777" w:rsidTr="0045443F">
        <w:trPr>
          <w:trHeight w:val="310"/>
        </w:trPr>
        <w:tc>
          <w:tcPr>
            <w:tcW w:w="1843" w:type="dxa"/>
            <w:tcBorders>
              <w:top w:val="nil"/>
              <w:left w:val="nil"/>
              <w:bottom w:val="nil"/>
              <w:right w:val="nil"/>
            </w:tcBorders>
            <w:shd w:val="clear" w:color="auto" w:fill="auto"/>
            <w:noWrap/>
            <w:vAlign w:val="bottom"/>
            <w:hideMark/>
          </w:tcPr>
          <w:p w14:paraId="053EE658"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hideMark/>
          </w:tcPr>
          <w:p w14:paraId="59177604"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1</w:t>
            </w:r>
          </w:p>
        </w:tc>
        <w:tc>
          <w:tcPr>
            <w:tcW w:w="1049" w:type="dxa"/>
            <w:tcBorders>
              <w:top w:val="nil"/>
              <w:left w:val="nil"/>
              <w:bottom w:val="nil"/>
              <w:right w:val="nil"/>
            </w:tcBorders>
            <w:shd w:val="clear" w:color="auto" w:fill="auto"/>
            <w:noWrap/>
            <w:vAlign w:val="bottom"/>
            <w:hideMark/>
          </w:tcPr>
          <w:p w14:paraId="74174C32"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2</w:t>
            </w:r>
          </w:p>
        </w:tc>
        <w:tc>
          <w:tcPr>
            <w:tcW w:w="1049" w:type="dxa"/>
            <w:tcBorders>
              <w:top w:val="nil"/>
              <w:left w:val="nil"/>
              <w:bottom w:val="nil"/>
              <w:right w:val="nil"/>
            </w:tcBorders>
            <w:shd w:val="clear" w:color="auto" w:fill="auto"/>
            <w:noWrap/>
            <w:vAlign w:val="bottom"/>
            <w:hideMark/>
          </w:tcPr>
          <w:p w14:paraId="3CD304B6"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3</w:t>
            </w:r>
          </w:p>
        </w:tc>
        <w:tc>
          <w:tcPr>
            <w:tcW w:w="1049" w:type="dxa"/>
            <w:tcBorders>
              <w:top w:val="nil"/>
              <w:left w:val="nil"/>
              <w:bottom w:val="nil"/>
              <w:right w:val="nil"/>
            </w:tcBorders>
            <w:shd w:val="clear" w:color="auto" w:fill="auto"/>
            <w:noWrap/>
            <w:vAlign w:val="bottom"/>
            <w:hideMark/>
          </w:tcPr>
          <w:p w14:paraId="06689F59"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Ukupno</w:t>
            </w:r>
          </w:p>
        </w:tc>
        <w:tc>
          <w:tcPr>
            <w:tcW w:w="1049" w:type="dxa"/>
            <w:tcBorders>
              <w:top w:val="nil"/>
              <w:left w:val="nil"/>
              <w:bottom w:val="nil"/>
              <w:right w:val="nil"/>
            </w:tcBorders>
            <w:shd w:val="clear" w:color="auto" w:fill="auto"/>
            <w:noWrap/>
            <w:vAlign w:val="bottom"/>
            <w:hideMark/>
          </w:tcPr>
          <w:p w14:paraId="76B5DC04"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1</w:t>
            </w:r>
          </w:p>
        </w:tc>
        <w:tc>
          <w:tcPr>
            <w:tcW w:w="1049" w:type="dxa"/>
            <w:tcBorders>
              <w:top w:val="nil"/>
              <w:left w:val="nil"/>
              <w:bottom w:val="nil"/>
              <w:right w:val="nil"/>
            </w:tcBorders>
            <w:shd w:val="clear" w:color="auto" w:fill="auto"/>
            <w:noWrap/>
            <w:vAlign w:val="bottom"/>
            <w:hideMark/>
          </w:tcPr>
          <w:p w14:paraId="39C6789E"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2</w:t>
            </w:r>
          </w:p>
        </w:tc>
        <w:tc>
          <w:tcPr>
            <w:tcW w:w="1049" w:type="dxa"/>
            <w:tcBorders>
              <w:top w:val="nil"/>
              <w:left w:val="nil"/>
              <w:bottom w:val="nil"/>
              <w:right w:val="nil"/>
            </w:tcBorders>
            <w:shd w:val="clear" w:color="auto" w:fill="auto"/>
            <w:noWrap/>
            <w:vAlign w:val="bottom"/>
            <w:hideMark/>
          </w:tcPr>
          <w:p w14:paraId="0E0E2649"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Stupanj 3</w:t>
            </w:r>
          </w:p>
        </w:tc>
        <w:tc>
          <w:tcPr>
            <w:tcW w:w="1049" w:type="dxa"/>
            <w:tcBorders>
              <w:top w:val="nil"/>
              <w:left w:val="nil"/>
              <w:bottom w:val="nil"/>
              <w:right w:val="nil"/>
            </w:tcBorders>
            <w:shd w:val="clear" w:color="auto" w:fill="auto"/>
            <w:noWrap/>
            <w:vAlign w:val="bottom"/>
            <w:hideMark/>
          </w:tcPr>
          <w:p w14:paraId="4FDF6CAD"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Ukupno</w:t>
            </w:r>
          </w:p>
        </w:tc>
      </w:tr>
      <w:tr w:rsidR="00DE4AC9" w:rsidRPr="0045443F" w14:paraId="0B1E49A2" w14:textId="77777777" w:rsidTr="0045443F">
        <w:trPr>
          <w:trHeight w:val="314"/>
        </w:trPr>
        <w:tc>
          <w:tcPr>
            <w:tcW w:w="1843" w:type="dxa"/>
            <w:tcBorders>
              <w:top w:val="nil"/>
              <w:left w:val="nil"/>
              <w:bottom w:val="nil"/>
              <w:right w:val="nil"/>
            </w:tcBorders>
            <w:shd w:val="clear" w:color="auto" w:fill="auto"/>
            <w:noWrap/>
            <w:vAlign w:val="bottom"/>
            <w:hideMark/>
          </w:tcPr>
          <w:p w14:paraId="7627F2D9"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hideMark/>
          </w:tcPr>
          <w:p w14:paraId="759C6F2E" w14:textId="326BE340"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0D623DC3" w14:textId="59FE95D6"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0CE813AC" w14:textId="6E8512ED"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3E4758F1" w14:textId="1FFBE9D5"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522BFCE0" w14:textId="09162C32"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7C9109B8" w14:textId="4321DB38"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632ECAB5" w14:textId="328E1262"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15236D21" w14:textId="0E6A1ACB" w:rsidR="00DE4AC9" w:rsidRPr="0045443F" w:rsidRDefault="00DE4AC9" w:rsidP="00DE4AC9">
            <w:pPr>
              <w:suppressAutoHyphens/>
              <w:autoSpaceDN w:val="0"/>
              <w:jc w:val="right"/>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000 </w:t>
            </w:r>
            <w:r w:rsidR="00A73031" w:rsidRPr="0045443F">
              <w:rPr>
                <w:rFonts w:ascii="Arial" w:eastAsia="Times New Roman" w:hAnsi="Arial" w:cs="Arial"/>
                <w:b/>
                <w:bCs/>
                <w:color w:val="000000" w:themeColor="text1"/>
                <w:sz w:val="17"/>
                <w:szCs w:val="17"/>
              </w:rPr>
              <w:t>eura</w:t>
            </w:r>
          </w:p>
        </w:tc>
      </w:tr>
      <w:tr w:rsidR="00DE4AC9" w:rsidRPr="0045443F" w14:paraId="0D230DC1" w14:textId="77777777" w:rsidTr="00A5351A">
        <w:trPr>
          <w:trHeight w:val="184"/>
        </w:trPr>
        <w:tc>
          <w:tcPr>
            <w:tcW w:w="1843" w:type="dxa"/>
            <w:tcBorders>
              <w:top w:val="nil"/>
              <w:left w:val="nil"/>
              <w:right w:val="nil"/>
            </w:tcBorders>
            <w:shd w:val="clear" w:color="auto" w:fill="auto"/>
            <w:noWrap/>
            <w:vAlign w:val="bottom"/>
          </w:tcPr>
          <w:p w14:paraId="23FB79A3"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right w:val="nil"/>
            </w:tcBorders>
            <w:shd w:val="clear" w:color="auto" w:fill="auto"/>
            <w:noWrap/>
            <w:vAlign w:val="bottom"/>
          </w:tcPr>
          <w:p w14:paraId="01761505"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right w:val="nil"/>
            </w:tcBorders>
            <w:shd w:val="clear" w:color="auto" w:fill="auto"/>
            <w:noWrap/>
            <w:vAlign w:val="bottom"/>
          </w:tcPr>
          <w:p w14:paraId="2A111A23"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right w:val="nil"/>
            </w:tcBorders>
            <w:shd w:val="clear" w:color="auto" w:fill="auto"/>
            <w:noWrap/>
            <w:vAlign w:val="bottom"/>
          </w:tcPr>
          <w:p w14:paraId="6D2488D4"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right w:val="nil"/>
            </w:tcBorders>
            <w:shd w:val="clear" w:color="auto" w:fill="auto"/>
            <w:noWrap/>
            <w:vAlign w:val="bottom"/>
          </w:tcPr>
          <w:p w14:paraId="2DA229BC"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right w:val="nil"/>
            </w:tcBorders>
            <w:shd w:val="clear" w:color="auto" w:fill="auto"/>
            <w:noWrap/>
            <w:vAlign w:val="bottom"/>
          </w:tcPr>
          <w:p w14:paraId="4127E524"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right w:val="nil"/>
            </w:tcBorders>
            <w:shd w:val="clear" w:color="auto" w:fill="auto"/>
            <w:noWrap/>
            <w:vAlign w:val="bottom"/>
          </w:tcPr>
          <w:p w14:paraId="328E79BC"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right w:val="nil"/>
            </w:tcBorders>
            <w:shd w:val="clear" w:color="auto" w:fill="auto"/>
            <w:noWrap/>
            <w:vAlign w:val="bottom"/>
          </w:tcPr>
          <w:p w14:paraId="1EE0EB1B"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c>
          <w:tcPr>
            <w:tcW w:w="1049" w:type="dxa"/>
            <w:tcBorders>
              <w:top w:val="nil"/>
              <w:left w:val="nil"/>
              <w:right w:val="nil"/>
            </w:tcBorders>
            <w:shd w:val="clear" w:color="auto" w:fill="auto"/>
            <w:noWrap/>
            <w:vAlign w:val="bottom"/>
          </w:tcPr>
          <w:p w14:paraId="35A81B10" w14:textId="77777777" w:rsidR="00DE4AC9" w:rsidRPr="0045443F" w:rsidRDefault="00DE4AC9" w:rsidP="00DE4AC9">
            <w:pPr>
              <w:suppressAutoHyphens/>
              <w:autoSpaceDN w:val="0"/>
              <w:jc w:val="right"/>
              <w:rPr>
                <w:rFonts w:ascii="Arial" w:eastAsia="Times New Roman" w:hAnsi="Arial" w:cs="Arial"/>
                <w:b/>
                <w:bCs/>
                <w:color w:val="000000" w:themeColor="text1"/>
                <w:sz w:val="17"/>
                <w:szCs w:val="17"/>
              </w:rPr>
            </w:pPr>
          </w:p>
        </w:tc>
      </w:tr>
      <w:tr w:rsidR="00A5351A" w:rsidRPr="0045443F" w14:paraId="51EE54FF" w14:textId="77777777" w:rsidTr="00764E19">
        <w:trPr>
          <w:trHeight w:val="319"/>
        </w:trPr>
        <w:tc>
          <w:tcPr>
            <w:tcW w:w="1843" w:type="dxa"/>
            <w:tcBorders>
              <w:top w:val="nil"/>
              <w:left w:val="nil"/>
              <w:bottom w:val="nil"/>
              <w:right w:val="nil"/>
            </w:tcBorders>
            <w:shd w:val="clear" w:color="auto" w:fill="auto"/>
            <w:noWrap/>
            <w:vAlign w:val="bottom"/>
            <w:hideMark/>
          </w:tcPr>
          <w:p w14:paraId="14D36FE5" w14:textId="08E47784" w:rsidR="00A5351A" w:rsidRPr="0045443F" w:rsidRDefault="00A5351A" w:rsidP="00A5351A">
            <w:pPr>
              <w:suppressAutoHyphens/>
              <w:autoSpaceDN w:val="0"/>
              <w:rPr>
                <w:rFonts w:ascii="Arial" w:eastAsia="Times New Roman" w:hAnsi="Arial" w:cs="Arial"/>
                <w:color w:val="000000" w:themeColor="text1"/>
                <w:sz w:val="17"/>
                <w:szCs w:val="17"/>
              </w:rPr>
            </w:pPr>
            <w:r w:rsidRPr="004B4498">
              <w:rPr>
                <w:rFonts w:ascii="Arial" w:hAnsi="Arial" w:cs="Arial"/>
                <w:color w:val="000000" w:themeColor="text1"/>
                <w:sz w:val="17"/>
                <w:szCs w:val="17"/>
              </w:rPr>
              <w:t>Bruto iznos</w:t>
            </w:r>
          </w:p>
        </w:tc>
        <w:tc>
          <w:tcPr>
            <w:tcW w:w="1049" w:type="dxa"/>
            <w:tcBorders>
              <w:top w:val="nil"/>
              <w:left w:val="nil"/>
              <w:bottom w:val="nil"/>
              <w:right w:val="nil"/>
            </w:tcBorders>
            <w:shd w:val="clear" w:color="auto" w:fill="auto"/>
            <w:noWrap/>
            <w:vAlign w:val="bottom"/>
          </w:tcPr>
          <w:p w14:paraId="0E78624F" w14:textId="46F71E3B" w:rsidR="00A5351A" w:rsidRPr="002D200D" w:rsidRDefault="00A5351A" w:rsidP="00A5351A">
            <w:pPr>
              <w:suppressAutoHyphens/>
              <w:autoSpaceDN w:val="0"/>
              <w:jc w:val="right"/>
              <w:rPr>
                <w:rFonts w:ascii="Arial" w:eastAsia="Times New Roman" w:hAnsi="Arial" w:cs="Arial"/>
                <w:color w:val="000000" w:themeColor="text1"/>
                <w:sz w:val="17"/>
                <w:szCs w:val="17"/>
              </w:rPr>
            </w:pPr>
            <w:r>
              <w:rPr>
                <w:rFonts w:ascii="Arial" w:hAnsi="Arial" w:cs="Arial"/>
                <w:color w:val="000000" w:themeColor="text1"/>
                <w:sz w:val="17"/>
                <w:szCs w:val="17"/>
              </w:rPr>
              <w:t>77.657</w:t>
            </w:r>
          </w:p>
        </w:tc>
        <w:tc>
          <w:tcPr>
            <w:tcW w:w="1049" w:type="dxa"/>
            <w:tcBorders>
              <w:top w:val="nil"/>
              <w:left w:val="nil"/>
              <w:bottom w:val="nil"/>
              <w:right w:val="nil"/>
            </w:tcBorders>
            <w:shd w:val="clear" w:color="auto" w:fill="auto"/>
            <w:noWrap/>
            <w:vAlign w:val="bottom"/>
          </w:tcPr>
          <w:p w14:paraId="3B603A6E" w14:textId="4BF0AD30" w:rsidR="00A5351A" w:rsidRPr="002D200D" w:rsidRDefault="00A5351A" w:rsidP="00A5351A">
            <w:pPr>
              <w:suppressAutoHyphens/>
              <w:autoSpaceDN w:val="0"/>
              <w:jc w:val="right"/>
              <w:rPr>
                <w:rFonts w:ascii="Arial" w:eastAsia="Times New Roman" w:hAnsi="Arial" w:cs="Arial"/>
                <w:color w:val="000000" w:themeColor="text1"/>
                <w:sz w:val="17"/>
                <w:szCs w:val="17"/>
              </w:rPr>
            </w:pPr>
            <w:r>
              <w:rPr>
                <w:rFonts w:ascii="Arial" w:hAnsi="Arial" w:cs="Arial"/>
                <w:color w:val="000000" w:themeColor="text1"/>
                <w:sz w:val="17"/>
                <w:szCs w:val="17"/>
              </w:rPr>
              <w:t>-</w:t>
            </w:r>
          </w:p>
        </w:tc>
        <w:tc>
          <w:tcPr>
            <w:tcW w:w="1049" w:type="dxa"/>
            <w:tcBorders>
              <w:top w:val="nil"/>
              <w:left w:val="nil"/>
              <w:bottom w:val="nil"/>
              <w:right w:val="nil"/>
            </w:tcBorders>
            <w:shd w:val="clear" w:color="auto" w:fill="auto"/>
            <w:noWrap/>
            <w:vAlign w:val="bottom"/>
          </w:tcPr>
          <w:p w14:paraId="75AE5D9B" w14:textId="4C311ACB" w:rsidR="00A5351A" w:rsidRPr="002D200D" w:rsidRDefault="00A5351A" w:rsidP="00A5351A">
            <w:pPr>
              <w:suppressAutoHyphens/>
              <w:autoSpaceDN w:val="0"/>
              <w:jc w:val="right"/>
              <w:rPr>
                <w:rFonts w:ascii="Arial" w:eastAsia="Times New Roman" w:hAnsi="Arial" w:cs="Arial"/>
                <w:color w:val="000000" w:themeColor="text1"/>
                <w:sz w:val="17"/>
                <w:szCs w:val="17"/>
              </w:rPr>
            </w:pPr>
            <w:r>
              <w:rPr>
                <w:rFonts w:ascii="Arial" w:hAnsi="Arial" w:cs="Arial"/>
                <w:color w:val="000000" w:themeColor="text1"/>
                <w:sz w:val="17"/>
                <w:szCs w:val="17"/>
              </w:rPr>
              <w:t>-</w:t>
            </w:r>
          </w:p>
        </w:tc>
        <w:tc>
          <w:tcPr>
            <w:tcW w:w="1049" w:type="dxa"/>
            <w:tcBorders>
              <w:top w:val="nil"/>
              <w:left w:val="nil"/>
              <w:bottom w:val="nil"/>
              <w:right w:val="nil"/>
            </w:tcBorders>
            <w:shd w:val="clear" w:color="auto" w:fill="auto"/>
            <w:noWrap/>
            <w:vAlign w:val="bottom"/>
          </w:tcPr>
          <w:p w14:paraId="3D4A06BC" w14:textId="723E4A02" w:rsidR="00A5351A" w:rsidRPr="002D200D" w:rsidRDefault="00A5351A" w:rsidP="00A5351A">
            <w:pPr>
              <w:suppressAutoHyphens/>
              <w:autoSpaceDN w:val="0"/>
              <w:jc w:val="right"/>
              <w:rPr>
                <w:rFonts w:ascii="Arial" w:eastAsia="Times New Roman" w:hAnsi="Arial" w:cs="Arial"/>
                <w:b/>
                <w:bCs/>
                <w:color w:val="000000" w:themeColor="text1"/>
                <w:sz w:val="17"/>
                <w:szCs w:val="17"/>
              </w:rPr>
            </w:pPr>
            <w:r w:rsidRPr="00A5351A">
              <w:rPr>
                <w:rFonts w:ascii="Arial" w:hAnsi="Arial" w:cs="Arial"/>
                <w:b/>
                <w:bCs/>
                <w:color w:val="000000" w:themeColor="text1"/>
                <w:sz w:val="17"/>
                <w:szCs w:val="17"/>
              </w:rPr>
              <w:t>77.657</w:t>
            </w:r>
          </w:p>
        </w:tc>
        <w:tc>
          <w:tcPr>
            <w:tcW w:w="1049" w:type="dxa"/>
            <w:tcBorders>
              <w:top w:val="nil"/>
              <w:left w:val="nil"/>
              <w:bottom w:val="nil"/>
              <w:right w:val="nil"/>
            </w:tcBorders>
            <w:shd w:val="clear" w:color="auto" w:fill="auto"/>
            <w:noWrap/>
            <w:vAlign w:val="bottom"/>
          </w:tcPr>
          <w:p w14:paraId="5BF124D9" w14:textId="054B8742" w:rsidR="00A5351A" w:rsidRPr="0045443F" w:rsidRDefault="00A5351A" w:rsidP="00A5351A">
            <w:pPr>
              <w:suppressAutoHyphens/>
              <w:autoSpaceDN w:val="0"/>
              <w:jc w:val="right"/>
              <w:rPr>
                <w:rFonts w:ascii="Arial" w:eastAsia="Times New Roman" w:hAnsi="Arial" w:cs="Arial"/>
                <w:color w:val="000000" w:themeColor="text1"/>
                <w:sz w:val="17"/>
                <w:szCs w:val="17"/>
              </w:rPr>
            </w:pPr>
            <w:r w:rsidRPr="00F959D0">
              <w:rPr>
                <w:rFonts w:ascii="Arial" w:hAnsi="Arial" w:cs="Arial"/>
                <w:color w:val="000000" w:themeColor="text1"/>
                <w:sz w:val="17"/>
                <w:szCs w:val="17"/>
              </w:rPr>
              <w:t xml:space="preserve"> </w:t>
            </w:r>
            <w:r>
              <w:rPr>
                <w:rFonts w:ascii="Arial" w:hAnsi="Arial" w:cs="Arial"/>
                <w:color w:val="000000" w:themeColor="text1"/>
                <w:sz w:val="17"/>
                <w:szCs w:val="17"/>
              </w:rPr>
              <w:t>77.237</w:t>
            </w:r>
            <w:r w:rsidRPr="00F959D0">
              <w:rPr>
                <w:rFonts w:ascii="Arial" w:hAnsi="Arial" w:cs="Arial"/>
                <w:color w:val="000000" w:themeColor="text1"/>
                <w:sz w:val="17"/>
                <w:szCs w:val="17"/>
              </w:rPr>
              <w:t xml:space="preserve"> </w:t>
            </w:r>
          </w:p>
        </w:tc>
        <w:tc>
          <w:tcPr>
            <w:tcW w:w="1049" w:type="dxa"/>
            <w:tcBorders>
              <w:top w:val="nil"/>
              <w:left w:val="nil"/>
              <w:bottom w:val="nil"/>
              <w:right w:val="nil"/>
            </w:tcBorders>
            <w:shd w:val="clear" w:color="auto" w:fill="auto"/>
            <w:noWrap/>
            <w:vAlign w:val="bottom"/>
          </w:tcPr>
          <w:p w14:paraId="4D1F8EC5" w14:textId="73B04C88" w:rsidR="00A5351A" w:rsidRPr="0045443F" w:rsidRDefault="00A5351A" w:rsidP="00A5351A">
            <w:pPr>
              <w:suppressAutoHyphens/>
              <w:autoSpaceDN w:val="0"/>
              <w:jc w:val="right"/>
              <w:rPr>
                <w:rFonts w:ascii="Arial" w:eastAsia="Times New Roman" w:hAnsi="Arial" w:cs="Arial"/>
                <w:color w:val="000000" w:themeColor="text1"/>
                <w:sz w:val="17"/>
                <w:szCs w:val="17"/>
              </w:rPr>
            </w:pPr>
            <w:r w:rsidRPr="00F959D0">
              <w:rPr>
                <w:rFonts w:ascii="Arial" w:hAnsi="Arial" w:cs="Arial"/>
                <w:color w:val="000000" w:themeColor="text1"/>
                <w:sz w:val="17"/>
                <w:szCs w:val="17"/>
              </w:rPr>
              <w:t xml:space="preserve"> - </w:t>
            </w:r>
          </w:p>
        </w:tc>
        <w:tc>
          <w:tcPr>
            <w:tcW w:w="1049" w:type="dxa"/>
            <w:tcBorders>
              <w:top w:val="nil"/>
              <w:left w:val="nil"/>
              <w:bottom w:val="nil"/>
              <w:right w:val="nil"/>
            </w:tcBorders>
            <w:shd w:val="clear" w:color="auto" w:fill="auto"/>
            <w:noWrap/>
            <w:vAlign w:val="bottom"/>
          </w:tcPr>
          <w:p w14:paraId="4EB4F1A9" w14:textId="1AC7EBB7" w:rsidR="00A5351A" w:rsidRPr="0045443F" w:rsidRDefault="00A5351A" w:rsidP="00A5351A">
            <w:pPr>
              <w:suppressAutoHyphens/>
              <w:autoSpaceDN w:val="0"/>
              <w:jc w:val="right"/>
              <w:rPr>
                <w:rFonts w:ascii="Arial" w:eastAsia="Times New Roman" w:hAnsi="Arial" w:cs="Arial"/>
                <w:color w:val="000000" w:themeColor="text1"/>
                <w:sz w:val="17"/>
                <w:szCs w:val="17"/>
              </w:rPr>
            </w:pPr>
            <w:r w:rsidRPr="00F959D0">
              <w:rPr>
                <w:rFonts w:ascii="Arial" w:hAnsi="Arial" w:cs="Arial"/>
                <w:color w:val="000000" w:themeColor="text1"/>
                <w:sz w:val="17"/>
                <w:szCs w:val="17"/>
              </w:rPr>
              <w:t xml:space="preserve"> - </w:t>
            </w:r>
          </w:p>
        </w:tc>
        <w:tc>
          <w:tcPr>
            <w:tcW w:w="1049" w:type="dxa"/>
            <w:tcBorders>
              <w:top w:val="nil"/>
              <w:left w:val="nil"/>
              <w:bottom w:val="nil"/>
              <w:right w:val="nil"/>
            </w:tcBorders>
            <w:shd w:val="clear" w:color="auto" w:fill="auto"/>
            <w:noWrap/>
            <w:vAlign w:val="bottom"/>
          </w:tcPr>
          <w:p w14:paraId="0EA7AEEC" w14:textId="0ED705F8" w:rsidR="00A5351A" w:rsidRPr="00E759CE" w:rsidRDefault="00A5351A" w:rsidP="00A5351A">
            <w:pPr>
              <w:suppressAutoHyphens/>
              <w:autoSpaceDN w:val="0"/>
              <w:jc w:val="right"/>
              <w:rPr>
                <w:rFonts w:ascii="Arial" w:eastAsia="Times New Roman" w:hAnsi="Arial" w:cs="Arial"/>
                <w:b/>
                <w:bCs/>
                <w:color w:val="000000" w:themeColor="text1"/>
                <w:sz w:val="17"/>
                <w:szCs w:val="17"/>
              </w:rPr>
            </w:pPr>
            <w:r w:rsidRPr="00F959D0">
              <w:rPr>
                <w:rFonts w:ascii="Arial" w:hAnsi="Arial" w:cs="Arial"/>
                <w:b/>
                <w:bCs/>
                <w:color w:val="000000" w:themeColor="text1"/>
                <w:sz w:val="17"/>
                <w:szCs w:val="17"/>
              </w:rPr>
              <w:t xml:space="preserve"> </w:t>
            </w:r>
            <w:r>
              <w:rPr>
                <w:rFonts w:ascii="Arial" w:hAnsi="Arial" w:cs="Arial"/>
                <w:b/>
                <w:bCs/>
                <w:color w:val="000000" w:themeColor="text1"/>
                <w:sz w:val="17"/>
                <w:szCs w:val="17"/>
              </w:rPr>
              <w:t>77.237</w:t>
            </w:r>
            <w:r w:rsidRPr="00F959D0">
              <w:rPr>
                <w:rFonts w:ascii="Arial" w:hAnsi="Arial" w:cs="Arial"/>
                <w:b/>
                <w:bCs/>
                <w:color w:val="000000" w:themeColor="text1"/>
                <w:sz w:val="17"/>
                <w:szCs w:val="17"/>
              </w:rPr>
              <w:t xml:space="preserve"> </w:t>
            </w:r>
          </w:p>
        </w:tc>
      </w:tr>
      <w:tr w:rsidR="00A5351A" w:rsidRPr="0045443F" w14:paraId="33EEBB1E" w14:textId="77777777" w:rsidTr="00764E19">
        <w:trPr>
          <w:trHeight w:val="324"/>
        </w:trPr>
        <w:tc>
          <w:tcPr>
            <w:tcW w:w="1843" w:type="dxa"/>
            <w:tcBorders>
              <w:top w:val="nil"/>
              <w:left w:val="nil"/>
              <w:bottom w:val="nil"/>
              <w:right w:val="nil"/>
            </w:tcBorders>
            <w:shd w:val="clear" w:color="auto" w:fill="auto"/>
            <w:noWrap/>
            <w:vAlign w:val="bottom"/>
            <w:hideMark/>
          </w:tcPr>
          <w:p w14:paraId="3F3F9C7E" w14:textId="5D3D4E96" w:rsidR="00A5351A" w:rsidRPr="0045443F" w:rsidRDefault="00A5351A" w:rsidP="00A5351A">
            <w:pPr>
              <w:suppressAutoHyphens/>
              <w:autoSpaceDN w:val="0"/>
              <w:rPr>
                <w:rFonts w:ascii="Arial" w:eastAsia="Times New Roman" w:hAnsi="Arial" w:cs="Arial"/>
                <w:color w:val="000000" w:themeColor="text1"/>
                <w:sz w:val="17"/>
                <w:szCs w:val="17"/>
              </w:rPr>
            </w:pPr>
            <w:r w:rsidRPr="004B4498">
              <w:rPr>
                <w:rFonts w:ascii="Arial" w:hAnsi="Arial" w:cs="Arial"/>
                <w:color w:val="000000" w:themeColor="text1"/>
                <w:sz w:val="17"/>
                <w:szCs w:val="17"/>
              </w:rPr>
              <w:t>Rezerviranja</w:t>
            </w:r>
          </w:p>
        </w:tc>
        <w:tc>
          <w:tcPr>
            <w:tcW w:w="1049" w:type="dxa"/>
            <w:tcBorders>
              <w:top w:val="nil"/>
              <w:left w:val="nil"/>
              <w:bottom w:val="nil"/>
              <w:right w:val="nil"/>
            </w:tcBorders>
            <w:shd w:val="clear" w:color="auto" w:fill="auto"/>
            <w:noWrap/>
            <w:vAlign w:val="bottom"/>
          </w:tcPr>
          <w:p w14:paraId="06637028" w14:textId="689404BD" w:rsidR="00A5351A" w:rsidRPr="002D200D" w:rsidRDefault="00A5351A" w:rsidP="00A5351A">
            <w:pPr>
              <w:suppressAutoHyphens/>
              <w:autoSpaceDN w:val="0"/>
              <w:jc w:val="right"/>
              <w:rPr>
                <w:rFonts w:ascii="Arial" w:eastAsia="Times New Roman" w:hAnsi="Arial" w:cs="Arial"/>
                <w:color w:val="000000" w:themeColor="text1"/>
                <w:sz w:val="17"/>
                <w:szCs w:val="17"/>
              </w:rPr>
            </w:pPr>
            <w:r w:rsidRPr="0091098E">
              <w:rPr>
                <w:rFonts w:ascii="Arial" w:hAnsi="Arial" w:cs="Arial"/>
                <w:color w:val="000000" w:themeColor="text1"/>
                <w:sz w:val="17"/>
                <w:szCs w:val="17"/>
              </w:rPr>
              <w:t>(</w:t>
            </w:r>
            <w:r>
              <w:rPr>
                <w:rFonts w:ascii="Arial" w:hAnsi="Arial" w:cs="Arial"/>
                <w:color w:val="000000" w:themeColor="text1"/>
                <w:sz w:val="17"/>
                <w:szCs w:val="17"/>
              </w:rPr>
              <w:t>285</w:t>
            </w:r>
            <w:r w:rsidRPr="0091098E">
              <w:rPr>
                <w:rFonts w:ascii="Arial" w:hAnsi="Arial" w:cs="Arial"/>
                <w:color w:val="000000" w:themeColor="text1"/>
                <w:sz w:val="17"/>
                <w:szCs w:val="17"/>
              </w:rPr>
              <w:t>)</w:t>
            </w:r>
          </w:p>
        </w:tc>
        <w:tc>
          <w:tcPr>
            <w:tcW w:w="1049" w:type="dxa"/>
            <w:tcBorders>
              <w:top w:val="nil"/>
              <w:left w:val="nil"/>
              <w:bottom w:val="nil"/>
              <w:right w:val="nil"/>
            </w:tcBorders>
            <w:shd w:val="clear" w:color="auto" w:fill="auto"/>
            <w:noWrap/>
            <w:vAlign w:val="bottom"/>
          </w:tcPr>
          <w:p w14:paraId="2FD274F7" w14:textId="32975207" w:rsidR="00A5351A" w:rsidRPr="002D200D" w:rsidRDefault="00A5351A" w:rsidP="00A5351A">
            <w:pPr>
              <w:suppressAutoHyphens/>
              <w:autoSpaceDN w:val="0"/>
              <w:jc w:val="right"/>
              <w:rPr>
                <w:rFonts w:ascii="Arial" w:eastAsia="Times New Roman" w:hAnsi="Arial" w:cs="Arial"/>
                <w:color w:val="000000" w:themeColor="text1"/>
                <w:sz w:val="17"/>
                <w:szCs w:val="17"/>
              </w:rPr>
            </w:pPr>
            <w:r>
              <w:rPr>
                <w:rFonts w:ascii="Arial" w:hAnsi="Arial" w:cs="Arial"/>
                <w:color w:val="000000" w:themeColor="text1"/>
                <w:sz w:val="17"/>
                <w:szCs w:val="17"/>
              </w:rPr>
              <w:t>-</w:t>
            </w:r>
          </w:p>
        </w:tc>
        <w:tc>
          <w:tcPr>
            <w:tcW w:w="1049" w:type="dxa"/>
            <w:tcBorders>
              <w:top w:val="nil"/>
              <w:left w:val="nil"/>
              <w:bottom w:val="nil"/>
              <w:right w:val="nil"/>
            </w:tcBorders>
            <w:shd w:val="clear" w:color="auto" w:fill="auto"/>
            <w:noWrap/>
            <w:vAlign w:val="bottom"/>
          </w:tcPr>
          <w:p w14:paraId="37DDF7AE" w14:textId="1ADC9159" w:rsidR="00A5351A" w:rsidRPr="002D200D" w:rsidRDefault="00A5351A" w:rsidP="00A5351A">
            <w:pPr>
              <w:suppressAutoHyphens/>
              <w:autoSpaceDN w:val="0"/>
              <w:jc w:val="right"/>
              <w:rPr>
                <w:rFonts w:ascii="Arial" w:eastAsia="Times New Roman" w:hAnsi="Arial" w:cs="Arial"/>
                <w:color w:val="000000" w:themeColor="text1"/>
                <w:sz w:val="17"/>
                <w:szCs w:val="17"/>
              </w:rPr>
            </w:pPr>
            <w:r>
              <w:rPr>
                <w:rFonts w:ascii="Arial" w:hAnsi="Arial" w:cs="Arial"/>
                <w:color w:val="000000" w:themeColor="text1"/>
                <w:sz w:val="17"/>
                <w:szCs w:val="17"/>
              </w:rPr>
              <w:t>-</w:t>
            </w:r>
          </w:p>
        </w:tc>
        <w:tc>
          <w:tcPr>
            <w:tcW w:w="1049" w:type="dxa"/>
            <w:tcBorders>
              <w:top w:val="nil"/>
              <w:left w:val="nil"/>
              <w:bottom w:val="nil"/>
              <w:right w:val="nil"/>
            </w:tcBorders>
            <w:shd w:val="clear" w:color="auto" w:fill="auto"/>
            <w:noWrap/>
            <w:vAlign w:val="bottom"/>
          </w:tcPr>
          <w:p w14:paraId="5973A0C8" w14:textId="101D0C77" w:rsidR="00A5351A" w:rsidRPr="002D200D" w:rsidRDefault="00A5351A" w:rsidP="00A5351A">
            <w:pPr>
              <w:suppressAutoHyphens/>
              <w:autoSpaceDN w:val="0"/>
              <w:jc w:val="right"/>
              <w:rPr>
                <w:rFonts w:ascii="Arial" w:eastAsia="Times New Roman" w:hAnsi="Arial" w:cs="Arial"/>
                <w:b/>
                <w:bCs/>
                <w:color w:val="000000" w:themeColor="text1"/>
                <w:sz w:val="17"/>
                <w:szCs w:val="17"/>
              </w:rPr>
            </w:pPr>
            <w:r w:rsidRPr="0091098E">
              <w:rPr>
                <w:rFonts w:ascii="Arial" w:hAnsi="Arial" w:cs="Arial"/>
                <w:b/>
                <w:bCs/>
                <w:color w:val="000000" w:themeColor="text1"/>
                <w:sz w:val="17"/>
                <w:szCs w:val="17"/>
              </w:rPr>
              <w:t>(</w:t>
            </w:r>
            <w:r>
              <w:rPr>
                <w:rFonts w:ascii="Arial" w:hAnsi="Arial" w:cs="Arial"/>
                <w:b/>
                <w:bCs/>
                <w:color w:val="000000" w:themeColor="text1"/>
                <w:sz w:val="17"/>
                <w:szCs w:val="17"/>
              </w:rPr>
              <w:t>285</w:t>
            </w:r>
            <w:r w:rsidRPr="0091098E">
              <w:rPr>
                <w:rFonts w:ascii="Arial" w:hAnsi="Arial" w:cs="Arial"/>
                <w:b/>
                <w:bCs/>
                <w:color w:val="000000" w:themeColor="text1"/>
                <w:sz w:val="17"/>
                <w:szCs w:val="17"/>
              </w:rPr>
              <w:t>)</w:t>
            </w:r>
          </w:p>
        </w:tc>
        <w:tc>
          <w:tcPr>
            <w:tcW w:w="1049" w:type="dxa"/>
            <w:tcBorders>
              <w:top w:val="nil"/>
              <w:left w:val="nil"/>
              <w:bottom w:val="nil"/>
              <w:right w:val="nil"/>
            </w:tcBorders>
            <w:shd w:val="clear" w:color="auto" w:fill="auto"/>
            <w:noWrap/>
            <w:vAlign w:val="bottom"/>
          </w:tcPr>
          <w:p w14:paraId="43EBF8F0" w14:textId="26A0ED3C" w:rsidR="00A5351A" w:rsidRPr="0045443F" w:rsidRDefault="00A5351A" w:rsidP="00A5351A">
            <w:pPr>
              <w:suppressAutoHyphens/>
              <w:autoSpaceDN w:val="0"/>
              <w:jc w:val="right"/>
              <w:rPr>
                <w:rFonts w:ascii="Arial" w:eastAsia="Times New Roman" w:hAnsi="Arial" w:cs="Arial"/>
                <w:color w:val="000000" w:themeColor="text1"/>
                <w:sz w:val="17"/>
                <w:szCs w:val="17"/>
              </w:rPr>
            </w:pPr>
            <w:r w:rsidRPr="00F959D0">
              <w:rPr>
                <w:rFonts w:ascii="Arial" w:hAnsi="Arial" w:cs="Arial"/>
                <w:color w:val="000000" w:themeColor="text1"/>
                <w:sz w:val="17"/>
                <w:szCs w:val="17"/>
              </w:rPr>
              <w:t xml:space="preserve"> (</w:t>
            </w:r>
            <w:r>
              <w:rPr>
                <w:rFonts w:ascii="Arial" w:hAnsi="Arial" w:cs="Arial"/>
                <w:color w:val="000000" w:themeColor="text1"/>
                <w:sz w:val="17"/>
                <w:szCs w:val="17"/>
              </w:rPr>
              <w:t>284</w:t>
            </w:r>
            <w:r w:rsidRPr="00F959D0">
              <w:rPr>
                <w:rFonts w:ascii="Arial" w:hAnsi="Arial" w:cs="Arial"/>
                <w:color w:val="000000" w:themeColor="text1"/>
                <w:sz w:val="17"/>
                <w:szCs w:val="17"/>
              </w:rPr>
              <w:t>)</w:t>
            </w:r>
          </w:p>
        </w:tc>
        <w:tc>
          <w:tcPr>
            <w:tcW w:w="1049" w:type="dxa"/>
            <w:tcBorders>
              <w:top w:val="nil"/>
              <w:left w:val="nil"/>
              <w:bottom w:val="nil"/>
              <w:right w:val="nil"/>
            </w:tcBorders>
            <w:shd w:val="clear" w:color="auto" w:fill="auto"/>
            <w:noWrap/>
            <w:vAlign w:val="bottom"/>
          </w:tcPr>
          <w:p w14:paraId="4EB9F8B0" w14:textId="076A4E39" w:rsidR="00A5351A" w:rsidRPr="0045443F" w:rsidRDefault="00A5351A" w:rsidP="00A5351A">
            <w:pPr>
              <w:suppressAutoHyphens/>
              <w:autoSpaceDN w:val="0"/>
              <w:jc w:val="right"/>
              <w:rPr>
                <w:rFonts w:ascii="Arial" w:eastAsia="Times New Roman" w:hAnsi="Arial" w:cs="Arial"/>
                <w:color w:val="000000" w:themeColor="text1"/>
                <w:sz w:val="17"/>
                <w:szCs w:val="17"/>
              </w:rPr>
            </w:pPr>
            <w:r w:rsidRPr="00F959D0">
              <w:rPr>
                <w:rFonts w:ascii="Arial" w:hAnsi="Arial" w:cs="Arial"/>
                <w:color w:val="000000" w:themeColor="text1"/>
                <w:sz w:val="17"/>
                <w:szCs w:val="17"/>
              </w:rPr>
              <w:t xml:space="preserve"> - </w:t>
            </w:r>
          </w:p>
        </w:tc>
        <w:tc>
          <w:tcPr>
            <w:tcW w:w="1049" w:type="dxa"/>
            <w:tcBorders>
              <w:top w:val="nil"/>
              <w:left w:val="nil"/>
              <w:bottom w:val="nil"/>
              <w:right w:val="nil"/>
            </w:tcBorders>
            <w:shd w:val="clear" w:color="auto" w:fill="auto"/>
            <w:noWrap/>
            <w:vAlign w:val="bottom"/>
          </w:tcPr>
          <w:p w14:paraId="4F86482F" w14:textId="1920BFD8" w:rsidR="00A5351A" w:rsidRPr="0045443F" w:rsidRDefault="00A5351A" w:rsidP="00A5351A">
            <w:pPr>
              <w:suppressAutoHyphens/>
              <w:autoSpaceDN w:val="0"/>
              <w:jc w:val="right"/>
              <w:rPr>
                <w:rFonts w:ascii="Arial" w:eastAsia="Times New Roman" w:hAnsi="Arial" w:cs="Arial"/>
                <w:color w:val="000000" w:themeColor="text1"/>
                <w:sz w:val="17"/>
                <w:szCs w:val="17"/>
              </w:rPr>
            </w:pPr>
            <w:r w:rsidRPr="00F959D0">
              <w:rPr>
                <w:rFonts w:ascii="Arial" w:hAnsi="Arial" w:cs="Arial"/>
                <w:color w:val="000000" w:themeColor="text1"/>
                <w:sz w:val="17"/>
                <w:szCs w:val="17"/>
              </w:rPr>
              <w:t xml:space="preserve"> - </w:t>
            </w:r>
          </w:p>
        </w:tc>
        <w:tc>
          <w:tcPr>
            <w:tcW w:w="1049" w:type="dxa"/>
            <w:tcBorders>
              <w:top w:val="nil"/>
              <w:left w:val="nil"/>
              <w:bottom w:val="nil"/>
              <w:right w:val="nil"/>
            </w:tcBorders>
            <w:shd w:val="clear" w:color="auto" w:fill="auto"/>
            <w:noWrap/>
            <w:vAlign w:val="bottom"/>
          </w:tcPr>
          <w:p w14:paraId="6D8C2184" w14:textId="043907CD" w:rsidR="00A5351A" w:rsidRPr="00E759CE" w:rsidRDefault="00A5351A" w:rsidP="00A5351A">
            <w:pPr>
              <w:suppressAutoHyphens/>
              <w:autoSpaceDN w:val="0"/>
              <w:jc w:val="right"/>
              <w:rPr>
                <w:rFonts w:ascii="Arial" w:eastAsia="Times New Roman" w:hAnsi="Arial" w:cs="Arial"/>
                <w:b/>
                <w:bCs/>
                <w:color w:val="000000" w:themeColor="text1"/>
                <w:sz w:val="17"/>
                <w:szCs w:val="17"/>
              </w:rPr>
            </w:pPr>
            <w:r w:rsidRPr="00F959D0">
              <w:rPr>
                <w:rFonts w:ascii="Arial" w:hAnsi="Arial" w:cs="Arial"/>
                <w:b/>
                <w:bCs/>
                <w:color w:val="000000" w:themeColor="text1"/>
                <w:sz w:val="17"/>
                <w:szCs w:val="17"/>
              </w:rPr>
              <w:t xml:space="preserve"> (</w:t>
            </w:r>
            <w:r>
              <w:rPr>
                <w:rFonts w:ascii="Arial" w:hAnsi="Arial" w:cs="Arial"/>
                <w:b/>
                <w:bCs/>
                <w:color w:val="000000" w:themeColor="text1"/>
                <w:sz w:val="17"/>
                <w:szCs w:val="17"/>
              </w:rPr>
              <w:t>284</w:t>
            </w:r>
            <w:r w:rsidRPr="00F959D0">
              <w:rPr>
                <w:rFonts w:ascii="Arial" w:hAnsi="Arial" w:cs="Arial"/>
                <w:b/>
                <w:bCs/>
                <w:color w:val="000000" w:themeColor="text1"/>
                <w:sz w:val="17"/>
                <w:szCs w:val="17"/>
              </w:rPr>
              <w:t>)</w:t>
            </w:r>
          </w:p>
        </w:tc>
      </w:tr>
      <w:tr w:rsidR="00D65397" w:rsidRPr="0045443F" w14:paraId="547F9E79" w14:textId="77777777" w:rsidTr="002C363E">
        <w:trPr>
          <w:trHeight w:val="548"/>
        </w:trPr>
        <w:tc>
          <w:tcPr>
            <w:tcW w:w="1843" w:type="dxa"/>
            <w:tcBorders>
              <w:top w:val="nil"/>
              <w:left w:val="nil"/>
              <w:bottom w:val="nil"/>
              <w:right w:val="nil"/>
            </w:tcBorders>
            <w:shd w:val="clear" w:color="auto" w:fill="auto"/>
            <w:noWrap/>
            <w:vAlign w:val="bottom"/>
            <w:hideMark/>
          </w:tcPr>
          <w:p w14:paraId="688D329B" w14:textId="77777777" w:rsidR="00D65397" w:rsidRPr="0045443F" w:rsidRDefault="00D65397" w:rsidP="00D65397">
            <w:pPr>
              <w:suppressAutoHyphens/>
              <w:autoSpaceDN w:val="0"/>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 xml:space="preserve">Stanje na dan </w:t>
            </w:r>
          </w:p>
          <w:p w14:paraId="0BDB53CE" w14:textId="3A344BC2" w:rsidR="00D65397" w:rsidRPr="0045443F" w:rsidRDefault="00D65397" w:rsidP="00D65397">
            <w:pPr>
              <w:suppressAutoHyphens/>
              <w:autoSpaceDN w:val="0"/>
              <w:rPr>
                <w:rFonts w:ascii="Arial" w:eastAsia="Times New Roman" w:hAnsi="Arial" w:cs="Arial"/>
                <w:b/>
                <w:bCs/>
                <w:color w:val="000000" w:themeColor="text1"/>
                <w:sz w:val="17"/>
                <w:szCs w:val="17"/>
              </w:rPr>
            </w:pPr>
            <w:r w:rsidRPr="0045443F">
              <w:rPr>
                <w:rFonts w:ascii="Arial" w:eastAsia="Times New Roman" w:hAnsi="Arial" w:cs="Arial"/>
                <w:b/>
                <w:bCs/>
                <w:color w:val="000000" w:themeColor="text1"/>
                <w:sz w:val="17"/>
                <w:szCs w:val="17"/>
              </w:rPr>
              <w:t>31. ožujka 202</w:t>
            </w:r>
            <w:r>
              <w:rPr>
                <w:rFonts w:ascii="Arial" w:eastAsia="Times New Roman" w:hAnsi="Arial" w:cs="Arial"/>
                <w:b/>
                <w:bCs/>
                <w:color w:val="000000" w:themeColor="text1"/>
                <w:sz w:val="17"/>
                <w:szCs w:val="17"/>
              </w:rPr>
              <w:t>4</w:t>
            </w:r>
            <w:r w:rsidRPr="0045443F">
              <w:rPr>
                <w:rFonts w:ascii="Arial" w:eastAsia="Times New Roman" w:hAnsi="Arial" w:cs="Arial"/>
                <w:b/>
                <w:bCs/>
                <w:color w:val="000000" w:themeColor="text1"/>
                <w:sz w:val="17"/>
                <w:szCs w:val="17"/>
              </w:rPr>
              <w:t xml:space="preserve">.   </w:t>
            </w:r>
          </w:p>
        </w:tc>
        <w:tc>
          <w:tcPr>
            <w:tcW w:w="1049" w:type="dxa"/>
            <w:tcBorders>
              <w:top w:val="single" w:sz="4" w:space="0" w:color="auto"/>
              <w:left w:val="nil"/>
              <w:bottom w:val="single" w:sz="12" w:space="0" w:color="auto"/>
              <w:right w:val="nil"/>
            </w:tcBorders>
            <w:shd w:val="clear" w:color="auto" w:fill="auto"/>
            <w:noWrap/>
            <w:vAlign w:val="bottom"/>
          </w:tcPr>
          <w:p w14:paraId="782AC419" w14:textId="60A7C001" w:rsidR="00D65397" w:rsidRPr="00350ADB" w:rsidRDefault="001709C7" w:rsidP="00D65397">
            <w:pPr>
              <w:suppressAutoHyphens/>
              <w:autoSpaceDN w:val="0"/>
              <w:jc w:val="right"/>
              <w:rPr>
                <w:rFonts w:ascii="Arial" w:eastAsia="Times New Roman" w:hAnsi="Arial" w:cs="Arial"/>
                <w:b/>
                <w:bCs/>
                <w:color w:val="000000" w:themeColor="text1"/>
                <w:sz w:val="17"/>
                <w:szCs w:val="17"/>
              </w:rPr>
            </w:pPr>
            <w:r>
              <w:rPr>
                <w:rFonts w:ascii="Arial" w:eastAsia="Times New Roman" w:hAnsi="Arial" w:cs="Arial"/>
                <w:b/>
                <w:bCs/>
                <w:color w:val="000000" w:themeColor="text1"/>
                <w:sz w:val="17"/>
                <w:szCs w:val="17"/>
              </w:rPr>
              <w:t>77.372</w:t>
            </w:r>
          </w:p>
        </w:tc>
        <w:tc>
          <w:tcPr>
            <w:tcW w:w="1049" w:type="dxa"/>
            <w:tcBorders>
              <w:top w:val="single" w:sz="4" w:space="0" w:color="auto"/>
              <w:left w:val="nil"/>
              <w:bottom w:val="single" w:sz="12" w:space="0" w:color="auto"/>
              <w:right w:val="nil"/>
            </w:tcBorders>
            <w:shd w:val="clear" w:color="auto" w:fill="auto"/>
            <w:noWrap/>
            <w:vAlign w:val="bottom"/>
          </w:tcPr>
          <w:p w14:paraId="1BB1F11D" w14:textId="7BA78DED" w:rsidR="00D65397" w:rsidRPr="002D200D" w:rsidRDefault="0009284B" w:rsidP="00D65397">
            <w:pPr>
              <w:suppressAutoHyphens/>
              <w:autoSpaceDN w:val="0"/>
              <w:jc w:val="right"/>
              <w:rPr>
                <w:rFonts w:ascii="Arial" w:eastAsia="Times New Roman" w:hAnsi="Arial" w:cs="Arial"/>
                <w:b/>
                <w:bCs/>
                <w:color w:val="000000" w:themeColor="text1"/>
                <w:sz w:val="17"/>
                <w:szCs w:val="17"/>
              </w:rPr>
            </w:pPr>
            <w:r>
              <w:rPr>
                <w:rFonts w:ascii="Arial" w:eastAsia="Times New Roman" w:hAnsi="Arial" w:cs="Arial"/>
                <w:b/>
                <w:bCs/>
                <w:color w:val="000000" w:themeColor="text1"/>
                <w:sz w:val="17"/>
                <w:szCs w:val="17"/>
              </w:rPr>
              <w:t>-</w:t>
            </w:r>
          </w:p>
        </w:tc>
        <w:tc>
          <w:tcPr>
            <w:tcW w:w="1049" w:type="dxa"/>
            <w:tcBorders>
              <w:top w:val="single" w:sz="4" w:space="0" w:color="auto"/>
              <w:left w:val="nil"/>
              <w:bottom w:val="single" w:sz="12" w:space="0" w:color="auto"/>
              <w:right w:val="nil"/>
            </w:tcBorders>
            <w:shd w:val="clear" w:color="auto" w:fill="auto"/>
            <w:noWrap/>
            <w:vAlign w:val="bottom"/>
          </w:tcPr>
          <w:p w14:paraId="147BAD18" w14:textId="205DB4F8" w:rsidR="00D65397" w:rsidRPr="002D200D" w:rsidRDefault="0009284B" w:rsidP="00D65397">
            <w:pPr>
              <w:suppressAutoHyphens/>
              <w:autoSpaceDN w:val="0"/>
              <w:jc w:val="right"/>
              <w:rPr>
                <w:rFonts w:ascii="Arial" w:eastAsia="Times New Roman" w:hAnsi="Arial" w:cs="Arial"/>
                <w:b/>
                <w:bCs/>
                <w:color w:val="000000" w:themeColor="text1"/>
                <w:sz w:val="17"/>
                <w:szCs w:val="17"/>
              </w:rPr>
            </w:pPr>
            <w:r>
              <w:rPr>
                <w:rFonts w:ascii="Arial" w:eastAsia="Times New Roman" w:hAnsi="Arial" w:cs="Arial"/>
                <w:b/>
                <w:bCs/>
                <w:color w:val="000000" w:themeColor="text1"/>
                <w:sz w:val="17"/>
                <w:szCs w:val="17"/>
              </w:rPr>
              <w:t>-</w:t>
            </w:r>
          </w:p>
        </w:tc>
        <w:tc>
          <w:tcPr>
            <w:tcW w:w="1049" w:type="dxa"/>
            <w:tcBorders>
              <w:top w:val="single" w:sz="4" w:space="0" w:color="auto"/>
              <w:left w:val="nil"/>
              <w:bottom w:val="single" w:sz="12" w:space="0" w:color="auto"/>
              <w:right w:val="nil"/>
            </w:tcBorders>
            <w:shd w:val="clear" w:color="auto" w:fill="auto"/>
            <w:noWrap/>
            <w:vAlign w:val="bottom"/>
          </w:tcPr>
          <w:p w14:paraId="67AC371A" w14:textId="6B26CF6D" w:rsidR="00D65397" w:rsidRPr="002D200D" w:rsidRDefault="0009284B" w:rsidP="00D65397">
            <w:pPr>
              <w:suppressAutoHyphens/>
              <w:autoSpaceDN w:val="0"/>
              <w:jc w:val="right"/>
              <w:rPr>
                <w:rFonts w:ascii="Arial" w:eastAsia="Times New Roman" w:hAnsi="Arial" w:cs="Arial"/>
                <w:b/>
                <w:bCs/>
                <w:color w:val="000000" w:themeColor="text1"/>
                <w:sz w:val="17"/>
                <w:szCs w:val="17"/>
              </w:rPr>
            </w:pPr>
            <w:r>
              <w:rPr>
                <w:rFonts w:ascii="Arial" w:eastAsia="Times New Roman" w:hAnsi="Arial" w:cs="Arial"/>
                <w:b/>
                <w:bCs/>
                <w:color w:val="000000" w:themeColor="text1"/>
                <w:sz w:val="17"/>
                <w:szCs w:val="17"/>
              </w:rPr>
              <w:t>77.372</w:t>
            </w:r>
          </w:p>
        </w:tc>
        <w:tc>
          <w:tcPr>
            <w:tcW w:w="1049" w:type="dxa"/>
            <w:tcBorders>
              <w:top w:val="single" w:sz="4" w:space="0" w:color="auto"/>
              <w:left w:val="nil"/>
              <w:bottom w:val="single" w:sz="12" w:space="0" w:color="auto"/>
              <w:right w:val="nil"/>
            </w:tcBorders>
            <w:shd w:val="clear" w:color="auto" w:fill="auto"/>
            <w:noWrap/>
            <w:vAlign w:val="bottom"/>
          </w:tcPr>
          <w:p w14:paraId="54CAC1ED" w14:textId="374A6E62" w:rsidR="00D65397" w:rsidRPr="0045443F" w:rsidRDefault="0009284B" w:rsidP="00D65397">
            <w:pPr>
              <w:suppressAutoHyphens/>
              <w:autoSpaceDN w:val="0"/>
              <w:jc w:val="right"/>
              <w:rPr>
                <w:rFonts w:ascii="Arial" w:eastAsia="Times New Roman" w:hAnsi="Arial" w:cs="Arial"/>
                <w:b/>
                <w:bCs/>
                <w:color w:val="000000" w:themeColor="text1"/>
                <w:sz w:val="17"/>
                <w:szCs w:val="17"/>
              </w:rPr>
            </w:pPr>
            <w:r>
              <w:rPr>
                <w:rFonts w:ascii="Arial" w:eastAsia="Times New Roman" w:hAnsi="Arial" w:cs="Arial"/>
                <w:b/>
                <w:bCs/>
                <w:color w:val="000000" w:themeColor="text1"/>
                <w:sz w:val="17"/>
                <w:szCs w:val="17"/>
              </w:rPr>
              <w:t>76.953</w:t>
            </w:r>
          </w:p>
        </w:tc>
        <w:tc>
          <w:tcPr>
            <w:tcW w:w="1049" w:type="dxa"/>
            <w:tcBorders>
              <w:top w:val="single" w:sz="4" w:space="0" w:color="auto"/>
              <w:left w:val="nil"/>
              <w:bottom w:val="single" w:sz="12" w:space="0" w:color="auto"/>
              <w:right w:val="nil"/>
            </w:tcBorders>
            <w:shd w:val="clear" w:color="auto" w:fill="auto"/>
            <w:noWrap/>
            <w:vAlign w:val="bottom"/>
          </w:tcPr>
          <w:p w14:paraId="017E8701" w14:textId="64D4E09C" w:rsidR="00D65397" w:rsidRPr="0045443F" w:rsidRDefault="0009284B" w:rsidP="00D65397">
            <w:pPr>
              <w:suppressAutoHyphens/>
              <w:autoSpaceDN w:val="0"/>
              <w:jc w:val="right"/>
              <w:rPr>
                <w:rFonts w:ascii="Arial" w:eastAsia="Times New Roman" w:hAnsi="Arial" w:cs="Arial"/>
                <w:b/>
                <w:bCs/>
                <w:color w:val="000000" w:themeColor="text1"/>
                <w:sz w:val="17"/>
                <w:szCs w:val="17"/>
              </w:rPr>
            </w:pPr>
            <w:r>
              <w:rPr>
                <w:rFonts w:ascii="Arial" w:eastAsia="Times New Roman" w:hAnsi="Arial" w:cs="Arial"/>
                <w:b/>
                <w:bCs/>
                <w:color w:val="000000" w:themeColor="text1"/>
                <w:sz w:val="17"/>
                <w:szCs w:val="17"/>
              </w:rPr>
              <w:t>-</w:t>
            </w:r>
          </w:p>
        </w:tc>
        <w:tc>
          <w:tcPr>
            <w:tcW w:w="1049" w:type="dxa"/>
            <w:tcBorders>
              <w:top w:val="single" w:sz="4" w:space="0" w:color="auto"/>
              <w:left w:val="nil"/>
              <w:bottom w:val="single" w:sz="12" w:space="0" w:color="auto"/>
              <w:right w:val="nil"/>
            </w:tcBorders>
            <w:shd w:val="clear" w:color="auto" w:fill="auto"/>
            <w:noWrap/>
            <w:vAlign w:val="bottom"/>
          </w:tcPr>
          <w:p w14:paraId="6E0DE609" w14:textId="5E652189" w:rsidR="00D65397" w:rsidRPr="0045443F" w:rsidRDefault="0009284B" w:rsidP="00D65397">
            <w:pPr>
              <w:suppressAutoHyphens/>
              <w:autoSpaceDN w:val="0"/>
              <w:jc w:val="right"/>
              <w:rPr>
                <w:rFonts w:ascii="Arial" w:eastAsia="Times New Roman" w:hAnsi="Arial" w:cs="Arial"/>
                <w:b/>
                <w:bCs/>
                <w:color w:val="000000" w:themeColor="text1"/>
                <w:sz w:val="17"/>
                <w:szCs w:val="17"/>
              </w:rPr>
            </w:pPr>
            <w:r>
              <w:rPr>
                <w:rFonts w:ascii="Arial" w:eastAsia="Times New Roman" w:hAnsi="Arial" w:cs="Arial"/>
                <w:b/>
                <w:bCs/>
                <w:color w:val="000000" w:themeColor="text1"/>
                <w:sz w:val="17"/>
                <w:szCs w:val="17"/>
              </w:rPr>
              <w:t>-</w:t>
            </w:r>
          </w:p>
        </w:tc>
        <w:tc>
          <w:tcPr>
            <w:tcW w:w="1049" w:type="dxa"/>
            <w:tcBorders>
              <w:top w:val="single" w:sz="4" w:space="0" w:color="auto"/>
              <w:left w:val="nil"/>
              <w:bottom w:val="single" w:sz="12" w:space="0" w:color="auto"/>
              <w:right w:val="nil"/>
            </w:tcBorders>
            <w:shd w:val="clear" w:color="auto" w:fill="auto"/>
            <w:noWrap/>
            <w:vAlign w:val="bottom"/>
          </w:tcPr>
          <w:p w14:paraId="263EDBB6" w14:textId="6CF1F7A3" w:rsidR="00D65397" w:rsidRPr="0045443F" w:rsidRDefault="0009284B" w:rsidP="00D65397">
            <w:pPr>
              <w:suppressAutoHyphens/>
              <w:autoSpaceDN w:val="0"/>
              <w:jc w:val="right"/>
              <w:rPr>
                <w:rFonts w:ascii="Arial" w:eastAsia="Times New Roman" w:hAnsi="Arial" w:cs="Arial"/>
                <w:b/>
                <w:bCs/>
                <w:color w:val="000000" w:themeColor="text1"/>
                <w:sz w:val="17"/>
                <w:szCs w:val="17"/>
              </w:rPr>
            </w:pPr>
            <w:r>
              <w:rPr>
                <w:rFonts w:ascii="Arial" w:eastAsia="Times New Roman" w:hAnsi="Arial" w:cs="Arial"/>
                <w:b/>
                <w:bCs/>
                <w:color w:val="000000" w:themeColor="text1"/>
                <w:sz w:val="17"/>
                <w:szCs w:val="17"/>
              </w:rPr>
              <w:t>76.953</w:t>
            </w:r>
          </w:p>
        </w:tc>
      </w:tr>
    </w:tbl>
    <w:p w14:paraId="3EEF5B21"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p>
    <w:bookmarkEnd w:id="322"/>
    <w:p w14:paraId="7F87CC4A"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p>
    <w:tbl>
      <w:tblPr>
        <w:tblW w:w="10235" w:type="dxa"/>
        <w:tblInd w:w="-567" w:type="dxa"/>
        <w:tblLayout w:type="fixed"/>
        <w:tblLook w:val="04A0" w:firstRow="1" w:lastRow="0" w:firstColumn="1" w:lastColumn="0" w:noHBand="0" w:noVBand="1"/>
      </w:tblPr>
      <w:tblGrid>
        <w:gridCol w:w="1843"/>
        <w:gridCol w:w="1049"/>
        <w:gridCol w:w="1049"/>
        <w:gridCol w:w="1049"/>
        <w:gridCol w:w="1049"/>
        <w:gridCol w:w="1049"/>
        <w:gridCol w:w="1049"/>
        <w:gridCol w:w="1049"/>
        <w:gridCol w:w="1049"/>
      </w:tblGrid>
      <w:tr w:rsidR="00BA2287" w:rsidRPr="00B44A61" w14:paraId="22E4E5E7" w14:textId="77777777" w:rsidTr="00D15CE2">
        <w:trPr>
          <w:trHeight w:val="178"/>
        </w:trPr>
        <w:tc>
          <w:tcPr>
            <w:tcW w:w="1843" w:type="dxa"/>
            <w:tcBorders>
              <w:top w:val="nil"/>
              <w:left w:val="nil"/>
              <w:bottom w:val="nil"/>
              <w:right w:val="nil"/>
            </w:tcBorders>
            <w:shd w:val="clear" w:color="auto" w:fill="auto"/>
            <w:noWrap/>
            <w:vAlign w:val="bottom"/>
            <w:hideMark/>
          </w:tcPr>
          <w:p w14:paraId="5CF18C46" w14:textId="77777777" w:rsidR="00BA2287" w:rsidRPr="004B4498" w:rsidRDefault="00BA2287" w:rsidP="00D15CE2">
            <w:pPr>
              <w:rPr>
                <w:rFonts w:ascii="Arial" w:hAnsi="Arial" w:cs="Arial"/>
                <w:b/>
                <w:color w:val="000000" w:themeColor="text1"/>
                <w:sz w:val="17"/>
                <w:szCs w:val="17"/>
              </w:rPr>
            </w:pPr>
            <w:r w:rsidRPr="004B4498">
              <w:rPr>
                <w:rFonts w:ascii="Arial" w:hAnsi="Arial" w:cs="Arial"/>
                <w:b/>
                <w:color w:val="000000" w:themeColor="text1"/>
                <w:sz w:val="17"/>
                <w:szCs w:val="17"/>
              </w:rPr>
              <w:t>31. prosinca 202</w:t>
            </w:r>
            <w:r>
              <w:rPr>
                <w:rFonts w:ascii="Arial" w:hAnsi="Arial" w:cs="Arial"/>
                <w:b/>
                <w:color w:val="000000" w:themeColor="text1"/>
                <w:sz w:val="17"/>
                <w:szCs w:val="17"/>
              </w:rPr>
              <w:t>3</w:t>
            </w:r>
            <w:r w:rsidRPr="004B4498">
              <w:rPr>
                <w:rFonts w:ascii="Arial" w:hAnsi="Arial" w:cs="Arial"/>
                <w:b/>
                <w:color w:val="000000" w:themeColor="text1"/>
                <w:sz w:val="17"/>
                <w:szCs w:val="17"/>
              </w:rPr>
              <w:t>.</w:t>
            </w:r>
          </w:p>
        </w:tc>
        <w:tc>
          <w:tcPr>
            <w:tcW w:w="1049" w:type="dxa"/>
            <w:tcBorders>
              <w:top w:val="nil"/>
              <w:left w:val="nil"/>
              <w:bottom w:val="nil"/>
              <w:right w:val="nil"/>
            </w:tcBorders>
            <w:shd w:val="clear" w:color="auto" w:fill="auto"/>
            <w:noWrap/>
            <w:vAlign w:val="bottom"/>
            <w:hideMark/>
          </w:tcPr>
          <w:p w14:paraId="399F43D4" w14:textId="77777777" w:rsidR="00BA2287" w:rsidRPr="004B4498" w:rsidRDefault="00BA2287" w:rsidP="00D15CE2">
            <w:pPr>
              <w:rPr>
                <w:rFonts w:ascii="Arial"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2DF9F329" w14:textId="77777777" w:rsidR="00BA2287" w:rsidRPr="004B4498" w:rsidRDefault="00BA2287" w:rsidP="00D15CE2">
            <w:pPr>
              <w:jc w:val="right"/>
              <w:rPr>
                <w:rFonts w:ascii="Arial"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68F228E2" w14:textId="77777777" w:rsidR="00BA2287" w:rsidRPr="004B4498" w:rsidRDefault="00BA2287" w:rsidP="00D15CE2">
            <w:pPr>
              <w:jc w:val="right"/>
              <w:rPr>
                <w:rFonts w:ascii="Arial"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2D1760C3" w14:textId="77777777" w:rsidR="00BA2287" w:rsidRPr="004B4498" w:rsidRDefault="00BA2287"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Grupa</w:t>
            </w:r>
          </w:p>
        </w:tc>
        <w:tc>
          <w:tcPr>
            <w:tcW w:w="1049" w:type="dxa"/>
            <w:tcBorders>
              <w:top w:val="nil"/>
              <w:left w:val="nil"/>
              <w:bottom w:val="nil"/>
              <w:right w:val="nil"/>
            </w:tcBorders>
            <w:shd w:val="clear" w:color="auto" w:fill="auto"/>
            <w:noWrap/>
            <w:vAlign w:val="bottom"/>
            <w:hideMark/>
          </w:tcPr>
          <w:p w14:paraId="74E7D993" w14:textId="77777777" w:rsidR="00BA2287" w:rsidRPr="004B4498" w:rsidRDefault="00BA2287" w:rsidP="00D15CE2">
            <w:pPr>
              <w:jc w:val="right"/>
              <w:rPr>
                <w:rFonts w:ascii="Arial"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hideMark/>
          </w:tcPr>
          <w:p w14:paraId="7D92DA34" w14:textId="77777777" w:rsidR="00BA2287" w:rsidRPr="004B4498" w:rsidRDefault="00BA2287" w:rsidP="00D15CE2">
            <w:pPr>
              <w:jc w:val="right"/>
              <w:rPr>
                <w:rFonts w:ascii="Arial"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05C9FC33" w14:textId="77777777" w:rsidR="00BA2287" w:rsidRPr="004B4498" w:rsidRDefault="00BA2287" w:rsidP="00D15CE2">
            <w:pPr>
              <w:jc w:val="right"/>
              <w:rPr>
                <w:rFonts w:ascii="Arial" w:hAnsi="Arial" w:cs="Arial"/>
                <w:color w:val="000000" w:themeColor="text1"/>
                <w:sz w:val="17"/>
                <w:szCs w:val="17"/>
              </w:rPr>
            </w:pPr>
          </w:p>
        </w:tc>
        <w:tc>
          <w:tcPr>
            <w:tcW w:w="1049" w:type="dxa"/>
            <w:tcBorders>
              <w:top w:val="nil"/>
              <w:left w:val="nil"/>
              <w:bottom w:val="nil"/>
              <w:right w:val="nil"/>
            </w:tcBorders>
            <w:shd w:val="clear" w:color="auto" w:fill="auto"/>
            <w:noWrap/>
            <w:vAlign w:val="bottom"/>
            <w:hideMark/>
          </w:tcPr>
          <w:p w14:paraId="30DCD505" w14:textId="77777777" w:rsidR="00BA2287" w:rsidRPr="004B4498" w:rsidRDefault="00BA2287"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Banka</w:t>
            </w:r>
          </w:p>
        </w:tc>
      </w:tr>
      <w:tr w:rsidR="00BA2287" w:rsidRPr="00B44A61" w14:paraId="3EF435A8" w14:textId="77777777" w:rsidTr="00D15CE2">
        <w:trPr>
          <w:trHeight w:val="310"/>
        </w:trPr>
        <w:tc>
          <w:tcPr>
            <w:tcW w:w="1843" w:type="dxa"/>
            <w:tcBorders>
              <w:top w:val="nil"/>
              <w:left w:val="nil"/>
              <w:bottom w:val="nil"/>
              <w:right w:val="nil"/>
            </w:tcBorders>
            <w:shd w:val="clear" w:color="auto" w:fill="auto"/>
            <w:noWrap/>
            <w:vAlign w:val="bottom"/>
            <w:hideMark/>
          </w:tcPr>
          <w:p w14:paraId="42549487" w14:textId="77777777" w:rsidR="00BA2287" w:rsidRPr="004B4498" w:rsidRDefault="00BA2287" w:rsidP="00D15CE2">
            <w:pPr>
              <w:jc w:val="right"/>
              <w:rPr>
                <w:rFonts w:ascii="Arial"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hideMark/>
          </w:tcPr>
          <w:p w14:paraId="41D2CF11" w14:textId="77777777" w:rsidR="00BA2287" w:rsidRPr="004B4498" w:rsidRDefault="00BA2287"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Stupanj 1</w:t>
            </w:r>
          </w:p>
        </w:tc>
        <w:tc>
          <w:tcPr>
            <w:tcW w:w="1049" w:type="dxa"/>
            <w:tcBorders>
              <w:top w:val="nil"/>
              <w:left w:val="nil"/>
              <w:bottom w:val="nil"/>
              <w:right w:val="nil"/>
            </w:tcBorders>
            <w:shd w:val="clear" w:color="auto" w:fill="auto"/>
            <w:noWrap/>
            <w:vAlign w:val="bottom"/>
            <w:hideMark/>
          </w:tcPr>
          <w:p w14:paraId="4F5E98B7" w14:textId="77777777" w:rsidR="00BA2287" w:rsidRPr="004B4498" w:rsidRDefault="00BA2287"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Stupanj 2</w:t>
            </w:r>
          </w:p>
        </w:tc>
        <w:tc>
          <w:tcPr>
            <w:tcW w:w="1049" w:type="dxa"/>
            <w:tcBorders>
              <w:top w:val="nil"/>
              <w:left w:val="nil"/>
              <w:bottom w:val="nil"/>
              <w:right w:val="nil"/>
            </w:tcBorders>
            <w:shd w:val="clear" w:color="auto" w:fill="auto"/>
            <w:noWrap/>
            <w:vAlign w:val="bottom"/>
            <w:hideMark/>
          </w:tcPr>
          <w:p w14:paraId="7B1580A4" w14:textId="77777777" w:rsidR="00BA2287" w:rsidRPr="004B4498" w:rsidRDefault="00BA2287"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Stupanj 3</w:t>
            </w:r>
          </w:p>
        </w:tc>
        <w:tc>
          <w:tcPr>
            <w:tcW w:w="1049" w:type="dxa"/>
            <w:tcBorders>
              <w:top w:val="nil"/>
              <w:left w:val="nil"/>
              <w:bottom w:val="nil"/>
              <w:right w:val="nil"/>
            </w:tcBorders>
            <w:shd w:val="clear" w:color="auto" w:fill="auto"/>
            <w:noWrap/>
            <w:vAlign w:val="bottom"/>
            <w:hideMark/>
          </w:tcPr>
          <w:p w14:paraId="02F4FD75" w14:textId="77777777" w:rsidR="00BA2287" w:rsidRPr="004B4498" w:rsidRDefault="00BA2287"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Ukupno</w:t>
            </w:r>
          </w:p>
        </w:tc>
        <w:tc>
          <w:tcPr>
            <w:tcW w:w="1049" w:type="dxa"/>
            <w:tcBorders>
              <w:top w:val="nil"/>
              <w:left w:val="nil"/>
              <w:bottom w:val="nil"/>
              <w:right w:val="nil"/>
            </w:tcBorders>
            <w:shd w:val="clear" w:color="auto" w:fill="auto"/>
            <w:noWrap/>
            <w:vAlign w:val="bottom"/>
            <w:hideMark/>
          </w:tcPr>
          <w:p w14:paraId="0BAC17F2" w14:textId="77777777" w:rsidR="00BA2287" w:rsidRPr="004B4498" w:rsidRDefault="00BA2287"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Stupanj 1</w:t>
            </w:r>
          </w:p>
        </w:tc>
        <w:tc>
          <w:tcPr>
            <w:tcW w:w="1049" w:type="dxa"/>
            <w:tcBorders>
              <w:top w:val="nil"/>
              <w:left w:val="nil"/>
              <w:bottom w:val="nil"/>
              <w:right w:val="nil"/>
            </w:tcBorders>
            <w:shd w:val="clear" w:color="auto" w:fill="auto"/>
            <w:noWrap/>
            <w:vAlign w:val="bottom"/>
            <w:hideMark/>
          </w:tcPr>
          <w:p w14:paraId="641F595C" w14:textId="77777777" w:rsidR="00BA2287" w:rsidRPr="004B4498" w:rsidRDefault="00BA2287"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Stupanj 2</w:t>
            </w:r>
          </w:p>
        </w:tc>
        <w:tc>
          <w:tcPr>
            <w:tcW w:w="1049" w:type="dxa"/>
            <w:tcBorders>
              <w:top w:val="nil"/>
              <w:left w:val="nil"/>
              <w:bottom w:val="nil"/>
              <w:right w:val="nil"/>
            </w:tcBorders>
            <w:shd w:val="clear" w:color="auto" w:fill="auto"/>
            <w:noWrap/>
            <w:vAlign w:val="bottom"/>
            <w:hideMark/>
          </w:tcPr>
          <w:p w14:paraId="21B402F8" w14:textId="77777777" w:rsidR="00BA2287" w:rsidRPr="004B4498" w:rsidRDefault="00BA2287"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Stupanj 3</w:t>
            </w:r>
          </w:p>
        </w:tc>
        <w:tc>
          <w:tcPr>
            <w:tcW w:w="1049" w:type="dxa"/>
            <w:tcBorders>
              <w:top w:val="nil"/>
              <w:left w:val="nil"/>
              <w:bottom w:val="nil"/>
              <w:right w:val="nil"/>
            </w:tcBorders>
            <w:shd w:val="clear" w:color="auto" w:fill="auto"/>
            <w:noWrap/>
            <w:vAlign w:val="bottom"/>
            <w:hideMark/>
          </w:tcPr>
          <w:p w14:paraId="11E2A582" w14:textId="77777777" w:rsidR="00BA2287" w:rsidRPr="004B4498" w:rsidRDefault="00BA2287"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Ukupno</w:t>
            </w:r>
          </w:p>
        </w:tc>
      </w:tr>
      <w:tr w:rsidR="00BA2287" w:rsidRPr="00B44A61" w14:paraId="33CA503A" w14:textId="77777777" w:rsidTr="00D15CE2">
        <w:trPr>
          <w:trHeight w:val="314"/>
        </w:trPr>
        <w:tc>
          <w:tcPr>
            <w:tcW w:w="1843" w:type="dxa"/>
            <w:tcBorders>
              <w:top w:val="nil"/>
              <w:left w:val="nil"/>
              <w:bottom w:val="nil"/>
              <w:right w:val="nil"/>
            </w:tcBorders>
            <w:shd w:val="clear" w:color="auto" w:fill="auto"/>
            <w:noWrap/>
            <w:vAlign w:val="bottom"/>
            <w:hideMark/>
          </w:tcPr>
          <w:p w14:paraId="39BB482C" w14:textId="77777777" w:rsidR="00BA2287" w:rsidRPr="004B4498" w:rsidRDefault="00BA2287" w:rsidP="00D15CE2">
            <w:pPr>
              <w:jc w:val="right"/>
              <w:rPr>
                <w:rFonts w:ascii="Arial"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hideMark/>
          </w:tcPr>
          <w:p w14:paraId="60CC872A" w14:textId="77777777" w:rsidR="00BA2287" w:rsidRPr="004B4498" w:rsidRDefault="00BA2287"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216A4587" w14:textId="77777777" w:rsidR="00BA2287" w:rsidRPr="004B4498" w:rsidRDefault="00BA2287"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04FA1BC5" w14:textId="77777777" w:rsidR="00BA2287" w:rsidRPr="004B4498" w:rsidRDefault="00BA2287"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0A08123C" w14:textId="77777777" w:rsidR="00BA2287" w:rsidRPr="004B4498" w:rsidRDefault="00BA2287"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72B04E14" w14:textId="77777777" w:rsidR="00BA2287" w:rsidRPr="004B4498" w:rsidRDefault="00BA2287"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70B03DA3" w14:textId="77777777" w:rsidR="00BA2287" w:rsidRPr="004B4498" w:rsidRDefault="00BA2287"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34399778" w14:textId="77777777" w:rsidR="00BA2287" w:rsidRPr="004B4498" w:rsidRDefault="00BA2287"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1049" w:type="dxa"/>
            <w:tcBorders>
              <w:top w:val="nil"/>
              <w:left w:val="nil"/>
              <w:bottom w:val="nil"/>
              <w:right w:val="nil"/>
            </w:tcBorders>
            <w:shd w:val="clear" w:color="auto" w:fill="auto"/>
            <w:noWrap/>
            <w:vAlign w:val="bottom"/>
            <w:hideMark/>
          </w:tcPr>
          <w:p w14:paraId="207496CF" w14:textId="77777777" w:rsidR="00BA2287" w:rsidRPr="004B4498" w:rsidRDefault="00BA2287"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r>
      <w:tr w:rsidR="00BA2287" w:rsidRPr="00B44A61" w14:paraId="0257AF1B" w14:textId="77777777" w:rsidTr="00D15CE2">
        <w:trPr>
          <w:trHeight w:val="184"/>
        </w:trPr>
        <w:tc>
          <w:tcPr>
            <w:tcW w:w="1843" w:type="dxa"/>
            <w:tcBorders>
              <w:top w:val="nil"/>
              <w:left w:val="nil"/>
              <w:bottom w:val="nil"/>
              <w:right w:val="nil"/>
            </w:tcBorders>
            <w:shd w:val="clear" w:color="auto" w:fill="auto"/>
            <w:noWrap/>
            <w:vAlign w:val="bottom"/>
          </w:tcPr>
          <w:p w14:paraId="7374906B" w14:textId="77777777" w:rsidR="00BA2287" w:rsidRPr="004B4498" w:rsidRDefault="00BA2287" w:rsidP="00D15CE2">
            <w:pPr>
              <w:jc w:val="right"/>
              <w:rPr>
                <w:rFonts w:ascii="Arial"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59D5406C" w14:textId="77777777" w:rsidR="00BA2287" w:rsidRPr="004B4498" w:rsidRDefault="00BA2287" w:rsidP="00D15CE2">
            <w:pPr>
              <w:jc w:val="right"/>
              <w:rPr>
                <w:rFonts w:ascii="Arial"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65154A45" w14:textId="77777777" w:rsidR="00BA2287" w:rsidRPr="004B4498" w:rsidRDefault="00BA2287" w:rsidP="00D15CE2">
            <w:pPr>
              <w:jc w:val="right"/>
              <w:rPr>
                <w:rFonts w:ascii="Arial"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7CCF2D80" w14:textId="77777777" w:rsidR="00BA2287" w:rsidRPr="004B4498" w:rsidRDefault="00BA2287" w:rsidP="00D15CE2">
            <w:pPr>
              <w:jc w:val="right"/>
              <w:rPr>
                <w:rFonts w:ascii="Arial"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3311920B" w14:textId="77777777" w:rsidR="00BA2287" w:rsidRPr="004B4498" w:rsidRDefault="00BA2287" w:rsidP="00D15CE2">
            <w:pPr>
              <w:jc w:val="right"/>
              <w:rPr>
                <w:rFonts w:ascii="Arial"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441C844A" w14:textId="77777777" w:rsidR="00BA2287" w:rsidRPr="004B4498" w:rsidRDefault="00BA2287" w:rsidP="00D15CE2">
            <w:pPr>
              <w:jc w:val="right"/>
              <w:rPr>
                <w:rFonts w:ascii="Arial"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150BF1FD" w14:textId="77777777" w:rsidR="00BA2287" w:rsidRPr="004B4498" w:rsidRDefault="00BA2287" w:rsidP="00D15CE2">
            <w:pPr>
              <w:jc w:val="right"/>
              <w:rPr>
                <w:rFonts w:ascii="Arial"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064F27FE" w14:textId="77777777" w:rsidR="00BA2287" w:rsidRPr="004B4498" w:rsidRDefault="00BA2287" w:rsidP="00D15CE2">
            <w:pPr>
              <w:jc w:val="right"/>
              <w:rPr>
                <w:rFonts w:ascii="Arial" w:hAnsi="Arial" w:cs="Arial"/>
                <w:b/>
                <w:bCs/>
                <w:color w:val="000000" w:themeColor="text1"/>
                <w:sz w:val="17"/>
                <w:szCs w:val="17"/>
              </w:rPr>
            </w:pPr>
          </w:p>
        </w:tc>
        <w:tc>
          <w:tcPr>
            <w:tcW w:w="1049" w:type="dxa"/>
            <w:tcBorders>
              <w:top w:val="nil"/>
              <w:left w:val="nil"/>
              <w:bottom w:val="nil"/>
              <w:right w:val="nil"/>
            </w:tcBorders>
            <w:shd w:val="clear" w:color="auto" w:fill="auto"/>
            <w:noWrap/>
            <w:vAlign w:val="bottom"/>
          </w:tcPr>
          <w:p w14:paraId="25BDEDC7" w14:textId="77777777" w:rsidR="00BA2287" w:rsidRPr="004B4498" w:rsidRDefault="00BA2287" w:rsidP="00D15CE2">
            <w:pPr>
              <w:jc w:val="right"/>
              <w:rPr>
                <w:rFonts w:ascii="Arial" w:hAnsi="Arial" w:cs="Arial"/>
                <w:b/>
                <w:bCs/>
                <w:color w:val="000000" w:themeColor="text1"/>
                <w:sz w:val="17"/>
                <w:szCs w:val="17"/>
              </w:rPr>
            </w:pPr>
          </w:p>
        </w:tc>
      </w:tr>
      <w:tr w:rsidR="00BA2287" w:rsidRPr="00B44A61" w14:paraId="7BC69371" w14:textId="77777777" w:rsidTr="00D15CE2">
        <w:trPr>
          <w:trHeight w:val="319"/>
        </w:trPr>
        <w:tc>
          <w:tcPr>
            <w:tcW w:w="1843" w:type="dxa"/>
            <w:tcBorders>
              <w:top w:val="nil"/>
              <w:left w:val="nil"/>
              <w:bottom w:val="nil"/>
              <w:right w:val="nil"/>
            </w:tcBorders>
            <w:shd w:val="clear" w:color="auto" w:fill="auto"/>
            <w:noWrap/>
            <w:vAlign w:val="bottom"/>
            <w:hideMark/>
          </w:tcPr>
          <w:p w14:paraId="78E5610B" w14:textId="77777777" w:rsidR="00BA2287" w:rsidRPr="004B4498" w:rsidRDefault="00BA2287" w:rsidP="00D15CE2">
            <w:pPr>
              <w:rPr>
                <w:rFonts w:ascii="Arial" w:hAnsi="Arial" w:cs="Arial"/>
                <w:color w:val="000000" w:themeColor="text1"/>
                <w:sz w:val="17"/>
                <w:szCs w:val="17"/>
              </w:rPr>
            </w:pPr>
            <w:r w:rsidRPr="004B4498">
              <w:rPr>
                <w:rFonts w:ascii="Arial" w:hAnsi="Arial" w:cs="Arial"/>
                <w:color w:val="000000" w:themeColor="text1"/>
                <w:sz w:val="17"/>
                <w:szCs w:val="17"/>
              </w:rPr>
              <w:t>Bruto iznos</w:t>
            </w:r>
          </w:p>
        </w:tc>
        <w:tc>
          <w:tcPr>
            <w:tcW w:w="1049" w:type="dxa"/>
            <w:tcBorders>
              <w:top w:val="nil"/>
              <w:left w:val="nil"/>
              <w:bottom w:val="nil"/>
              <w:right w:val="nil"/>
            </w:tcBorders>
            <w:shd w:val="clear" w:color="auto" w:fill="auto"/>
            <w:noWrap/>
            <w:vAlign w:val="bottom"/>
          </w:tcPr>
          <w:p w14:paraId="12C8D2B8" w14:textId="77777777" w:rsidR="00BA2287" w:rsidRPr="004B4498" w:rsidRDefault="00BA2287" w:rsidP="00D15CE2">
            <w:pPr>
              <w:jc w:val="right"/>
              <w:rPr>
                <w:rFonts w:ascii="Arial" w:hAnsi="Arial" w:cs="Arial"/>
                <w:color w:val="000000" w:themeColor="text1"/>
                <w:sz w:val="17"/>
                <w:szCs w:val="17"/>
              </w:rPr>
            </w:pPr>
            <w:r w:rsidRPr="0091098E">
              <w:rPr>
                <w:rFonts w:ascii="Arial" w:hAnsi="Arial" w:cs="Arial"/>
                <w:color w:val="000000" w:themeColor="text1"/>
                <w:sz w:val="17"/>
                <w:szCs w:val="17"/>
              </w:rPr>
              <w:t>42.292</w:t>
            </w:r>
          </w:p>
        </w:tc>
        <w:tc>
          <w:tcPr>
            <w:tcW w:w="1049" w:type="dxa"/>
            <w:tcBorders>
              <w:top w:val="nil"/>
              <w:left w:val="nil"/>
              <w:bottom w:val="nil"/>
              <w:right w:val="nil"/>
            </w:tcBorders>
            <w:shd w:val="clear" w:color="auto" w:fill="auto"/>
            <w:noWrap/>
            <w:vAlign w:val="bottom"/>
          </w:tcPr>
          <w:p w14:paraId="3D48A0A8" w14:textId="77777777" w:rsidR="00BA2287" w:rsidRPr="004B4498" w:rsidRDefault="00BA2287" w:rsidP="00D15CE2">
            <w:pPr>
              <w:jc w:val="right"/>
              <w:rPr>
                <w:rFonts w:ascii="Arial" w:hAnsi="Arial" w:cs="Arial"/>
                <w:color w:val="000000" w:themeColor="text1"/>
                <w:sz w:val="17"/>
                <w:szCs w:val="17"/>
              </w:rPr>
            </w:pPr>
            <w:r>
              <w:rPr>
                <w:rFonts w:ascii="Arial" w:hAnsi="Arial" w:cs="Arial"/>
                <w:color w:val="000000" w:themeColor="text1"/>
                <w:sz w:val="17"/>
                <w:szCs w:val="17"/>
              </w:rPr>
              <w:t>-</w:t>
            </w:r>
          </w:p>
        </w:tc>
        <w:tc>
          <w:tcPr>
            <w:tcW w:w="1049" w:type="dxa"/>
            <w:tcBorders>
              <w:top w:val="nil"/>
              <w:left w:val="nil"/>
              <w:bottom w:val="nil"/>
              <w:right w:val="nil"/>
            </w:tcBorders>
            <w:shd w:val="clear" w:color="auto" w:fill="auto"/>
            <w:noWrap/>
            <w:vAlign w:val="bottom"/>
          </w:tcPr>
          <w:p w14:paraId="26480F45" w14:textId="77777777" w:rsidR="00BA2287" w:rsidRPr="004B4498" w:rsidRDefault="00BA2287" w:rsidP="00D15CE2">
            <w:pPr>
              <w:jc w:val="right"/>
              <w:rPr>
                <w:rFonts w:ascii="Arial" w:hAnsi="Arial" w:cs="Arial"/>
                <w:color w:val="000000" w:themeColor="text1"/>
                <w:sz w:val="17"/>
                <w:szCs w:val="17"/>
              </w:rPr>
            </w:pPr>
            <w:r>
              <w:rPr>
                <w:rFonts w:ascii="Arial" w:hAnsi="Arial" w:cs="Arial"/>
                <w:color w:val="000000" w:themeColor="text1"/>
                <w:sz w:val="17"/>
                <w:szCs w:val="17"/>
              </w:rPr>
              <w:t>-</w:t>
            </w:r>
          </w:p>
        </w:tc>
        <w:tc>
          <w:tcPr>
            <w:tcW w:w="1049" w:type="dxa"/>
            <w:tcBorders>
              <w:top w:val="nil"/>
              <w:left w:val="nil"/>
              <w:bottom w:val="nil"/>
              <w:right w:val="nil"/>
            </w:tcBorders>
            <w:shd w:val="clear" w:color="auto" w:fill="auto"/>
            <w:noWrap/>
            <w:vAlign w:val="bottom"/>
          </w:tcPr>
          <w:p w14:paraId="357E936C" w14:textId="77777777" w:rsidR="00BA2287" w:rsidRPr="00A3731F" w:rsidRDefault="00BA2287" w:rsidP="00D15CE2">
            <w:pPr>
              <w:jc w:val="right"/>
              <w:rPr>
                <w:rFonts w:ascii="Arial" w:hAnsi="Arial" w:cs="Arial"/>
                <w:b/>
                <w:bCs/>
                <w:color w:val="000000" w:themeColor="text1"/>
                <w:sz w:val="17"/>
                <w:szCs w:val="17"/>
              </w:rPr>
            </w:pPr>
            <w:r w:rsidRPr="0091098E">
              <w:rPr>
                <w:rFonts w:ascii="Arial" w:hAnsi="Arial" w:cs="Arial"/>
                <w:b/>
                <w:bCs/>
                <w:color w:val="000000" w:themeColor="text1"/>
                <w:sz w:val="17"/>
                <w:szCs w:val="17"/>
              </w:rPr>
              <w:t>42.292</w:t>
            </w:r>
          </w:p>
        </w:tc>
        <w:tc>
          <w:tcPr>
            <w:tcW w:w="1049" w:type="dxa"/>
            <w:tcBorders>
              <w:top w:val="nil"/>
              <w:left w:val="nil"/>
              <w:bottom w:val="nil"/>
              <w:right w:val="nil"/>
            </w:tcBorders>
            <w:shd w:val="clear" w:color="auto" w:fill="auto"/>
            <w:noWrap/>
            <w:vAlign w:val="bottom"/>
          </w:tcPr>
          <w:p w14:paraId="53EA6967" w14:textId="77777777" w:rsidR="00BA2287" w:rsidRPr="0020460F" w:rsidRDefault="00BA2287" w:rsidP="00D15CE2">
            <w:pPr>
              <w:jc w:val="right"/>
              <w:rPr>
                <w:rFonts w:ascii="Arial" w:hAnsi="Arial" w:cs="Arial"/>
                <w:color w:val="000000" w:themeColor="text1"/>
                <w:sz w:val="17"/>
                <w:szCs w:val="17"/>
              </w:rPr>
            </w:pPr>
            <w:r w:rsidRPr="00F959D0">
              <w:rPr>
                <w:rFonts w:ascii="Arial" w:hAnsi="Arial" w:cs="Arial"/>
                <w:color w:val="000000" w:themeColor="text1"/>
                <w:sz w:val="17"/>
                <w:szCs w:val="17"/>
              </w:rPr>
              <w:t xml:space="preserve"> 41.701 </w:t>
            </w:r>
          </w:p>
        </w:tc>
        <w:tc>
          <w:tcPr>
            <w:tcW w:w="1049" w:type="dxa"/>
            <w:tcBorders>
              <w:top w:val="nil"/>
              <w:left w:val="nil"/>
              <w:bottom w:val="nil"/>
              <w:right w:val="nil"/>
            </w:tcBorders>
            <w:shd w:val="clear" w:color="auto" w:fill="auto"/>
            <w:noWrap/>
            <w:vAlign w:val="bottom"/>
          </w:tcPr>
          <w:p w14:paraId="62DA8615" w14:textId="77777777" w:rsidR="00BA2287" w:rsidRPr="0020460F" w:rsidRDefault="00BA2287" w:rsidP="00D15CE2">
            <w:pPr>
              <w:jc w:val="right"/>
              <w:rPr>
                <w:rFonts w:ascii="Arial" w:hAnsi="Arial" w:cs="Arial"/>
                <w:color w:val="000000" w:themeColor="text1"/>
                <w:sz w:val="17"/>
                <w:szCs w:val="17"/>
              </w:rPr>
            </w:pPr>
            <w:r w:rsidRPr="00F959D0">
              <w:rPr>
                <w:rFonts w:ascii="Arial" w:hAnsi="Arial" w:cs="Arial"/>
                <w:color w:val="000000" w:themeColor="text1"/>
                <w:sz w:val="17"/>
                <w:szCs w:val="17"/>
              </w:rPr>
              <w:t xml:space="preserve"> - </w:t>
            </w:r>
          </w:p>
        </w:tc>
        <w:tc>
          <w:tcPr>
            <w:tcW w:w="1049" w:type="dxa"/>
            <w:tcBorders>
              <w:top w:val="nil"/>
              <w:left w:val="nil"/>
              <w:bottom w:val="nil"/>
              <w:right w:val="nil"/>
            </w:tcBorders>
            <w:shd w:val="clear" w:color="auto" w:fill="auto"/>
            <w:noWrap/>
            <w:vAlign w:val="bottom"/>
          </w:tcPr>
          <w:p w14:paraId="7456C285" w14:textId="77777777" w:rsidR="00BA2287" w:rsidRPr="0020460F" w:rsidRDefault="00BA2287" w:rsidP="00D15CE2">
            <w:pPr>
              <w:jc w:val="right"/>
              <w:rPr>
                <w:rFonts w:ascii="Arial" w:hAnsi="Arial" w:cs="Arial"/>
                <w:color w:val="000000" w:themeColor="text1"/>
                <w:sz w:val="17"/>
                <w:szCs w:val="17"/>
              </w:rPr>
            </w:pPr>
            <w:r w:rsidRPr="00F959D0">
              <w:rPr>
                <w:rFonts w:ascii="Arial" w:hAnsi="Arial" w:cs="Arial"/>
                <w:color w:val="000000" w:themeColor="text1"/>
                <w:sz w:val="17"/>
                <w:szCs w:val="17"/>
              </w:rPr>
              <w:t xml:space="preserve"> - </w:t>
            </w:r>
          </w:p>
        </w:tc>
        <w:tc>
          <w:tcPr>
            <w:tcW w:w="1049" w:type="dxa"/>
            <w:tcBorders>
              <w:top w:val="nil"/>
              <w:left w:val="nil"/>
              <w:bottom w:val="nil"/>
              <w:right w:val="nil"/>
            </w:tcBorders>
            <w:shd w:val="clear" w:color="auto" w:fill="auto"/>
            <w:noWrap/>
            <w:vAlign w:val="bottom"/>
          </w:tcPr>
          <w:p w14:paraId="3F7161ED" w14:textId="77777777" w:rsidR="00BA2287" w:rsidRPr="008F0B09" w:rsidRDefault="00BA2287" w:rsidP="00D15CE2">
            <w:pPr>
              <w:jc w:val="right"/>
              <w:rPr>
                <w:rFonts w:ascii="Arial" w:hAnsi="Arial" w:cs="Arial"/>
                <w:b/>
                <w:bCs/>
                <w:color w:val="000000" w:themeColor="text1"/>
                <w:sz w:val="17"/>
                <w:szCs w:val="17"/>
              </w:rPr>
            </w:pPr>
            <w:r w:rsidRPr="00F959D0">
              <w:rPr>
                <w:rFonts w:ascii="Arial" w:hAnsi="Arial" w:cs="Arial"/>
                <w:b/>
                <w:bCs/>
                <w:color w:val="000000" w:themeColor="text1"/>
                <w:sz w:val="17"/>
                <w:szCs w:val="17"/>
              </w:rPr>
              <w:t xml:space="preserve"> 41.701 </w:t>
            </w:r>
          </w:p>
        </w:tc>
      </w:tr>
      <w:tr w:rsidR="00BA2287" w:rsidRPr="00B44A61" w14:paraId="15588E21" w14:textId="77777777" w:rsidTr="00D15CE2">
        <w:trPr>
          <w:trHeight w:val="324"/>
        </w:trPr>
        <w:tc>
          <w:tcPr>
            <w:tcW w:w="1843" w:type="dxa"/>
            <w:tcBorders>
              <w:top w:val="nil"/>
              <w:left w:val="nil"/>
              <w:bottom w:val="nil"/>
              <w:right w:val="nil"/>
            </w:tcBorders>
            <w:shd w:val="clear" w:color="auto" w:fill="auto"/>
            <w:noWrap/>
            <w:vAlign w:val="bottom"/>
            <w:hideMark/>
          </w:tcPr>
          <w:p w14:paraId="0C1347CC" w14:textId="77777777" w:rsidR="00BA2287" w:rsidRPr="004B4498" w:rsidRDefault="00BA2287" w:rsidP="00D15CE2">
            <w:pPr>
              <w:rPr>
                <w:rFonts w:ascii="Arial" w:hAnsi="Arial" w:cs="Arial"/>
                <w:color w:val="000000" w:themeColor="text1"/>
                <w:sz w:val="17"/>
                <w:szCs w:val="17"/>
              </w:rPr>
            </w:pPr>
            <w:r w:rsidRPr="004B4498">
              <w:rPr>
                <w:rFonts w:ascii="Arial" w:hAnsi="Arial" w:cs="Arial"/>
                <w:color w:val="000000" w:themeColor="text1"/>
                <w:sz w:val="17"/>
                <w:szCs w:val="17"/>
              </w:rPr>
              <w:t>Rezerviranja</w:t>
            </w:r>
          </w:p>
        </w:tc>
        <w:tc>
          <w:tcPr>
            <w:tcW w:w="1049" w:type="dxa"/>
            <w:tcBorders>
              <w:top w:val="nil"/>
              <w:left w:val="nil"/>
              <w:bottom w:val="nil"/>
              <w:right w:val="nil"/>
            </w:tcBorders>
            <w:shd w:val="clear" w:color="auto" w:fill="auto"/>
            <w:noWrap/>
            <w:vAlign w:val="bottom"/>
          </w:tcPr>
          <w:p w14:paraId="5AB60665" w14:textId="77777777" w:rsidR="00BA2287" w:rsidRPr="004B4498" w:rsidRDefault="00BA2287" w:rsidP="00D15CE2">
            <w:pPr>
              <w:jc w:val="right"/>
              <w:rPr>
                <w:rFonts w:ascii="Arial" w:hAnsi="Arial" w:cs="Arial"/>
                <w:color w:val="000000" w:themeColor="text1"/>
                <w:sz w:val="17"/>
                <w:szCs w:val="17"/>
              </w:rPr>
            </w:pPr>
            <w:r w:rsidRPr="0091098E">
              <w:rPr>
                <w:rFonts w:ascii="Arial" w:hAnsi="Arial" w:cs="Arial"/>
                <w:color w:val="000000" w:themeColor="text1"/>
                <w:sz w:val="17"/>
                <w:szCs w:val="17"/>
              </w:rPr>
              <w:t>(159)</w:t>
            </w:r>
          </w:p>
        </w:tc>
        <w:tc>
          <w:tcPr>
            <w:tcW w:w="1049" w:type="dxa"/>
            <w:tcBorders>
              <w:top w:val="nil"/>
              <w:left w:val="nil"/>
              <w:bottom w:val="nil"/>
              <w:right w:val="nil"/>
            </w:tcBorders>
            <w:shd w:val="clear" w:color="auto" w:fill="auto"/>
            <w:noWrap/>
            <w:vAlign w:val="bottom"/>
          </w:tcPr>
          <w:p w14:paraId="14202DC1" w14:textId="77777777" w:rsidR="00BA2287" w:rsidRPr="004B4498" w:rsidRDefault="00BA2287" w:rsidP="00D15CE2">
            <w:pPr>
              <w:jc w:val="right"/>
              <w:rPr>
                <w:rFonts w:ascii="Arial" w:hAnsi="Arial" w:cs="Arial"/>
                <w:color w:val="000000" w:themeColor="text1"/>
                <w:sz w:val="17"/>
                <w:szCs w:val="17"/>
              </w:rPr>
            </w:pPr>
            <w:r>
              <w:rPr>
                <w:rFonts w:ascii="Arial" w:hAnsi="Arial" w:cs="Arial"/>
                <w:color w:val="000000" w:themeColor="text1"/>
                <w:sz w:val="17"/>
                <w:szCs w:val="17"/>
              </w:rPr>
              <w:t>-</w:t>
            </w:r>
          </w:p>
        </w:tc>
        <w:tc>
          <w:tcPr>
            <w:tcW w:w="1049" w:type="dxa"/>
            <w:tcBorders>
              <w:top w:val="nil"/>
              <w:left w:val="nil"/>
              <w:bottom w:val="nil"/>
              <w:right w:val="nil"/>
            </w:tcBorders>
            <w:shd w:val="clear" w:color="auto" w:fill="auto"/>
            <w:noWrap/>
            <w:vAlign w:val="bottom"/>
          </w:tcPr>
          <w:p w14:paraId="31880F85" w14:textId="77777777" w:rsidR="00BA2287" w:rsidRPr="004B4498" w:rsidRDefault="00BA2287" w:rsidP="00D15CE2">
            <w:pPr>
              <w:jc w:val="right"/>
              <w:rPr>
                <w:rFonts w:ascii="Arial" w:hAnsi="Arial" w:cs="Arial"/>
                <w:color w:val="000000" w:themeColor="text1"/>
                <w:sz w:val="17"/>
                <w:szCs w:val="17"/>
              </w:rPr>
            </w:pPr>
            <w:r>
              <w:rPr>
                <w:rFonts w:ascii="Arial" w:hAnsi="Arial" w:cs="Arial"/>
                <w:color w:val="000000" w:themeColor="text1"/>
                <w:sz w:val="17"/>
                <w:szCs w:val="17"/>
              </w:rPr>
              <w:t>-</w:t>
            </w:r>
          </w:p>
        </w:tc>
        <w:tc>
          <w:tcPr>
            <w:tcW w:w="1049" w:type="dxa"/>
            <w:tcBorders>
              <w:top w:val="nil"/>
              <w:left w:val="nil"/>
              <w:bottom w:val="nil"/>
              <w:right w:val="nil"/>
            </w:tcBorders>
            <w:shd w:val="clear" w:color="auto" w:fill="auto"/>
            <w:noWrap/>
            <w:vAlign w:val="bottom"/>
          </w:tcPr>
          <w:p w14:paraId="4BC822F4" w14:textId="77777777" w:rsidR="00BA2287" w:rsidRPr="00A3731F" w:rsidRDefault="00BA2287" w:rsidP="00D15CE2">
            <w:pPr>
              <w:jc w:val="right"/>
              <w:rPr>
                <w:rFonts w:ascii="Arial" w:hAnsi="Arial" w:cs="Arial"/>
                <w:b/>
                <w:bCs/>
                <w:color w:val="000000" w:themeColor="text1"/>
                <w:sz w:val="17"/>
                <w:szCs w:val="17"/>
              </w:rPr>
            </w:pPr>
            <w:r w:rsidRPr="0091098E">
              <w:rPr>
                <w:rFonts w:ascii="Arial" w:hAnsi="Arial" w:cs="Arial"/>
                <w:b/>
                <w:bCs/>
                <w:color w:val="000000" w:themeColor="text1"/>
                <w:sz w:val="17"/>
                <w:szCs w:val="17"/>
              </w:rPr>
              <w:t>(159)</w:t>
            </w:r>
          </w:p>
        </w:tc>
        <w:tc>
          <w:tcPr>
            <w:tcW w:w="1049" w:type="dxa"/>
            <w:tcBorders>
              <w:top w:val="nil"/>
              <w:left w:val="nil"/>
              <w:bottom w:val="nil"/>
              <w:right w:val="nil"/>
            </w:tcBorders>
            <w:shd w:val="clear" w:color="auto" w:fill="auto"/>
            <w:noWrap/>
            <w:vAlign w:val="bottom"/>
          </w:tcPr>
          <w:p w14:paraId="57F1C8F9" w14:textId="77777777" w:rsidR="00BA2287" w:rsidRPr="0020460F" w:rsidRDefault="00BA2287" w:rsidP="00D15CE2">
            <w:pPr>
              <w:jc w:val="right"/>
              <w:rPr>
                <w:rFonts w:ascii="Arial" w:hAnsi="Arial" w:cs="Arial"/>
                <w:color w:val="000000" w:themeColor="text1"/>
                <w:sz w:val="17"/>
                <w:szCs w:val="17"/>
              </w:rPr>
            </w:pPr>
            <w:r w:rsidRPr="00F959D0">
              <w:rPr>
                <w:rFonts w:ascii="Arial" w:hAnsi="Arial" w:cs="Arial"/>
                <w:color w:val="000000" w:themeColor="text1"/>
                <w:sz w:val="17"/>
                <w:szCs w:val="17"/>
              </w:rPr>
              <w:t xml:space="preserve"> (158)</w:t>
            </w:r>
          </w:p>
        </w:tc>
        <w:tc>
          <w:tcPr>
            <w:tcW w:w="1049" w:type="dxa"/>
            <w:tcBorders>
              <w:top w:val="nil"/>
              <w:left w:val="nil"/>
              <w:bottom w:val="nil"/>
              <w:right w:val="nil"/>
            </w:tcBorders>
            <w:shd w:val="clear" w:color="auto" w:fill="auto"/>
            <w:noWrap/>
            <w:vAlign w:val="bottom"/>
          </w:tcPr>
          <w:p w14:paraId="71B7EC98" w14:textId="77777777" w:rsidR="00BA2287" w:rsidRPr="0020460F" w:rsidRDefault="00BA2287" w:rsidP="00D15CE2">
            <w:pPr>
              <w:jc w:val="right"/>
              <w:rPr>
                <w:rFonts w:ascii="Arial" w:hAnsi="Arial" w:cs="Arial"/>
                <w:color w:val="000000" w:themeColor="text1"/>
                <w:sz w:val="17"/>
                <w:szCs w:val="17"/>
              </w:rPr>
            </w:pPr>
            <w:r w:rsidRPr="00F959D0">
              <w:rPr>
                <w:rFonts w:ascii="Arial" w:hAnsi="Arial" w:cs="Arial"/>
                <w:color w:val="000000" w:themeColor="text1"/>
                <w:sz w:val="17"/>
                <w:szCs w:val="17"/>
              </w:rPr>
              <w:t xml:space="preserve"> - </w:t>
            </w:r>
          </w:p>
        </w:tc>
        <w:tc>
          <w:tcPr>
            <w:tcW w:w="1049" w:type="dxa"/>
            <w:tcBorders>
              <w:top w:val="nil"/>
              <w:left w:val="nil"/>
              <w:bottom w:val="nil"/>
              <w:right w:val="nil"/>
            </w:tcBorders>
            <w:shd w:val="clear" w:color="auto" w:fill="auto"/>
            <w:noWrap/>
            <w:vAlign w:val="bottom"/>
          </w:tcPr>
          <w:p w14:paraId="37FC71E3" w14:textId="77777777" w:rsidR="00BA2287" w:rsidRPr="0020460F" w:rsidRDefault="00BA2287" w:rsidP="00D15CE2">
            <w:pPr>
              <w:jc w:val="right"/>
              <w:rPr>
                <w:rFonts w:ascii="Arial" w:hAnsi="Arial" w:cs="Arial"/>
                <w:color w:val="000000" w:themeColor="text1"/>
                <w:sz w:val="17"/>
                <w:szCs w:val="17"/>
              </w:rPr>
            </w:pPr>
            <w:r w:rsidRPr="00F959D0">
              <w:rPr>
                <w:rFonts w:ascii="Arial" w:hAnsi="Arial" w:cs="Arial"/>
                <w:color w:val="000000" w:themeColor="text1"/>
                <w:sz w:val="17"/>
                <w:szCs w:val="17"/>
              </w:rPr>
              <w:t xml:space="preserve"> - </w:t>
            </w:r>
          </w:p>
        </w:tc>
        <w:tc>
          <w:tcPr>
            <w:tcW w:w="1049" w:type="dxa"/>
            <w:tcBorders>
              <w:top w:val="nil"/>
              <w:left w:val="nil"/>
              <w:bottom w:val="nil"/>
              <w:right w:val="nil"/>
            </w:tcBorders>
            <w:shd w:val="clear" w:color="auto" w:fill="auto"/>
            <w:noWrap/>
            <w:vAlign w:val="bottom"/>
          </w:tcPr>
          <w:p w14:paraId="6AA9F63E" w14:textId="77777777" w:rsidR="00BA2287" w:rsidRPr="008F0B09" w:rsidRDefault="00BA2287" w:rsidP="00D15CE2">
            <w:pPr>
              <w:jc w:val="right"/>
              <w:rPr>
                <w:rFonts w:ascii="Arial" w:hAnsi="Arial" w:cs="Arial"/>
                <w:b/>
                <w:bCs/>
                <w:color w:val="000000" w:themeColor="text1"/>
                <w:sz w:val="17"/>
                <w:szCs w:val="17"/>
              </w:rPr>
            </w:pPr>
            <w:r w:rsidRPr="00F959D0">
              <w:rPr>
                <w:rFonts w:ascii="Arial" w:hAnsi="Arial" w:cs="Arial"/>
                <w:b/>
                <w:bCs/>
                <w:color w:val="000000" w:themeColor="text1"/>
                <w:sz w:val="17"/>
                <w:szCs w:val="17"/>
              </w:rPr>
              <w:t xml:space="preserve"> (158)</w:t>
            </w:r>
          </w:p>
        </w:tc>
      </w:tr>
      <w:tr w:rsidR="00BA2287" w:rsidRPr="00B44A61" w14:paraId="5A813609" w14:textId="77777777" w:rsidTr="00D15CE2">
        <w:trPr>
          <w:trHeight w:val="548"/>
        </w:trPr>
        <w:tc>
          <w:tcPr>
            <w:tcW w:w="1843" w:type="dxa"/>
            <w:tcBorders>
              <w:top w:val="nil"/>
              <w:left w:val="nil"/>
              <w:bottom w:val="nil"/>
              <w:right w:val="nil"/>
            </w:tcBorders>
            <w:shd w:val="clear" w:color="auto" w:fill="auto"/>
            <w:noWrap/>
            <w:vAlign w:val="bottom"/>
            <w:hideMark/>
          </w:tcPr>
          <w:p w14:paraId="01514728" w14:textId="77777777" w:rsidR="00BA2287" w:rsidRPr="004B4498" w:rsidRDefault="00BA2287" w:rsidP="00D15CE2">
            <w:pPr>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Stanje na dan </w:t>
            </w:r>
          </w:p>
          <w:p w14:paraId="262381BB" w14:textId="77777777" w:rsidR="00BA2287" w:rsidRPr="004B4498" w:rsidRDefault="00BA2287" w:rsidP="00D15CE2">
            <w:pPr>
              <w:rPr>
                <w:rFonts w:ascii="Arial" w:hAnsi="Arial" w:cs="Arial"/>
                <w:b/>
                <w:bCs/>
                <w:color w:val="000000" w:themeColor="text1"/>
                <w:sz w:val="17"/>
                <w:szCs w:val="17"/>
              </w:rPr>
            </w:pPr>
            <w:r w:rsidRPr="004B4498">
              <w:rPr>
                <w:rFonts w:ascii="Arial" w:hAnsi="Arial" w:cs="Arial"/>
                <w:b/>
                <w:bCs/>
                <w:color w:val="000000" w:themeColor="text1"/>
                <w:sz w:val="17"/>
                <w:szCs w:val="17"/>
              </w:rPr>
              <w:t>31. prosinca 202</w:t>
            </w:r>
            <w:r>
              <w:rPr>
                <w:rFonts w:ascii="Arial" w:hAnsi="Arial" w:cs="Arial"/>
                <w:b/>
                <w:bCs/>
                <w:color w:val="000000" w:themeColor="text1"/>
                <w:sz w:val="17"/>
                <w:szCs w:val="17"/>
              </w:rPr>
              <w:t>3</w:t>
            </w:r>
            <w:r w:rsidRPr="004B4498">
              <w:rPr>
                <w:rFonts w:ascii="Arial" w:hAnsi="Arial" w:cs="Arial"/>
                <w:b/>
                <w:bCs/>
                <w:color w:val="000000" w:themeColor="text1"/>
                <w:sz w:val="17"/>
                <w:szCs w:val="17"/>
              </w:rPr>
              <w:t xml:space="preserve">.   </w:t>
            </w:r>
          </w:p>
        </w:tc>
        <w:tc>
          <w:tcPr>
            <w:tcW w:w="1049" w:type="dxa"/>
            <w:tcBorders>
              <w:top w:val="single" w:sz="4" w:space="0" w:color="auto"/>
              <w:left w:val="nil"/>
              <w:bottom w:val="single" w:sz="12" w:space="0" w:color="auto"/>
              <w:right w:val="nil"/>
            </w:tcBorders>
            <w:shd w:val="clear" w:color="auto" w:fill="auto"/>
            <w:noWrap/>
            <w:vAlign w:val="bottom"/>
          </w:tcPr>
          <w:p w14:paraId="3B349F41" w14:textId="77777777" w:rsidR="00BA2287" w:rsidRPr="004B4498" w:rsidRDefault="00BA2287" w:rsidP="00D15CE2">
            <w:pPr>
              <w:jc w:val="right"/>
              <w:rPr>
                <w:rFonts w:ascii="Arial" w:hAnsi="Arial" w:cs="Arial"/>
                <w:b/>
                <w:bCs/>
                <w:color w:val="000000" w:themeColor="text1"/>
                <w:sz w:val="17"/>
                <w:szCs w:val="17"/>
              </w:rPr>
            </w:pPr>
            <w:r w:rsidRPr="0091098E">
              <w:rPr>
                <w:rFonts w:ascii="Arial" w:hAnsi="Arial" w:cs="Arial"/>
                <w:b/>
                <w:bCs/>
                <w:color w:val="000000" w:themeColor="text1"/>
                <w:sz w:val="17"/>
                <w:szCs w:val="17"/>
              </w:rPr>
              <w:t xml:space="preserve">42.133 </w:t>
            </w:r>
          </w:p>
        </w:tc>
        <w:tc>
          <w:tcPr>
            <w:tcW w:w="1049" w:type="dxa"/>
            <w:tcBorders>
              <w:top w:val="single" w:sz="4" w:space="0" w:color="auto"/>
              <w:left w:val="nil"/>
              <w:bottom w:val="single" w:sz="12" w:space="0" w:color="auto"/>
              <w:right w:val="nil"/>
            </w:tcBorders>
            <w:shd w:val="clear" w:color="auto" w:fill="auto"/>
            <w:noWrap/>
            <w:vAlign w:val="bottom"/>
          </w:tcPr>
          <w:p w14:paraId="6CCE480E" w14:textId="77777777" w:rsidR="00BA2287" w:rsidRPr="004B4498" w:rsidRDefault="00BA2287" w:rsidP="00D15CE2">
            <w:pPr>
              <w:jc w:val="right"/>
              <w:rPr>
                <w:rFonts w:ascii="Arial" w:hAnsi="Arial" w:cs="Arial"/>
                <w:b/>
                <w:bCs/>
                <w:color w:val="000000" w:themeColor="text1"/>
                <w:sz w:val="17"/>
                <w:szCs w:val="17"/>
              </w:rPr>
            </w:pPr>
            <w:r>
              <w:rPr>
                <w:rFonts w:ascii="Arial" w:hAnsi="Arial" w:cs="Arial"/>
                <w:b/>
                <w:bCs/>
                <w:color w:val="000000" w:themeColor="text1"/>
                <w:sz w:val="17"/>
                <w:szCs w:val="17"/>
              </w:rPr>
              <w:t>-</w:t>
            </w:r>
          </w:p>
        </w:tc>
        <w:tc>
          <w:tcPr>
            <w:tcW w:w="1049" w:type="dxa"/>
            <w:tcBorders>
              <w:top w:val="single" w:sz="4" w:space="0" w:color="auto"/>
              <w:left w:val="nil"/>
              <w:bottom w:val="single" w:sz="12" w:space="0" w:color="auto"/>
              <w:right w:val="nil"/>
            </w:tcBorders>
            <w:shd w:val="clear" w:color="auto" w:fill="auto"/>
            <w:noWrap/>
            <w:vAlign w:val="bottom"/>
          </w:tcPr>
          <w:p w14:paraId="40AF3586" w14:textId="77777777" w:rsidR="00BA2287" w:rsidRPr="004B4498" w:rsidRDefault="00BA2287" w:rsidP="00D15CE2">
            <w:pPr>
              <w:jc w:val="right"/>
              <w:rPr>
                <w:rFonts w:ascii="Arial" w:hAnsi="Arial" w:cs="Arial"/>
                <w:b/>
                <w:bCs/>
                <w:color w:val="000000" w:themeColor="text1"/>
                <w:sz w:val="17"/>
                <w:szCs w:val="17"/>
              </w:rPr>
            </w:pPr>
            <w:r>
              <w:rPr>
                <w:rFonts w:ascii="Arial" w:hAnsi="Arial" w:cs="Arial"/>
                <w:b/>
                <w:bCs/>
                <w:color w:val="000000" w:themeColor="text1"/>
                <w:sz w:val="17"/>
                <w:szCs w:val="17"/>
              </w:rPr>
              <w:t>-</w:t>
            </w:r>
          </w:p>
        </w:tc>
        <w:tc>
          <w:tcPr>
            <w:tcW w:w="1049" w:type="dxa"/>
            <w:tcBorders>
              <w:top w:val="single" w:sz="4" w:space="0" w:color="auto"/>
              <w:left w:val="nil"/>
              <w:bottom w:val="single" w:sz="12" w:space="0" w:color="auto"/>
              <w:right w:val="nil"/>
            </w:tcBorders>
            <w:shd w:val="clear" w:color="auto" w:fill="auto"/>
            <w:noWrap/>
            <w:vAlign w:val="bottom"/>
          </w:tcPr>
          <w:p w14:paraId="1CA53A03" w14:textId="77777777" w:rsidR="00BA2287" w:rsidRPr="00A3731F" w:rsidRDefault="00BA2287" w:rsidP="00D15CE2">
            <w:pPr>
              <w:jc w:val="right"/>
              <w:rPr>
                <w:rFonts w:ascii="Arial" w:hAnsi="Arial" w:cs="Arial"/>
                <w:b/>
                <w:bCs/>
                <w:color w:val="000000" w:themeColor="text1"/>
                <w:sz w:val="17"/>
                <w:szCs w:val="17"/>
              </w:rPr>
            </w:pPr>
            <w:r w:rsidRPr="0091098E">
              <w:rPr>
                <w:rFonts w:ascii="Arial" w:hAnsi="Arial" w:cs="Arial"/>
                <w:b/>
                <w:bCs/>
                <w:color w:val="000000" w:themeColor="text1"/>
                <w:sz w:val="17"/>
                <w:szCs w:val="17"/>
              </w:rPr>
              <w:t>42.133</w:t>
            </w:r>
          </w:p>
        </w:tc>
        <w:tc>
          <w:tcPr>
            <w:tcW w:w="1049" w:type="dxa"/>
            <w:tcBorders>
              <w:top w:val="single" w:sz="4" w:space="0" w:color="auto"/>
              <w:left w:val="nil"/>
              <w:bottom w:val="single" w:sz="12" w:space="0" w:color="auto"/>
              <w:right w:val="nil"/>
            </w:tcBorders>
            <w:shd w:val="clear" w:color="auto" w:fill="auto"/>
            <w:noWrap/>
            <w:vAlign w:val="bottom"/>
          </w:tcPr>
          <w:p w14:paraId="09AF40E3" w14:textId="77777777" w:rsidR="00BA2287" w:rsidRPr="004B4498" w:rsidRDefault="00BA2287" w:rsidP="00D15CE2">
            <w:pPr>
              <w:jc w:val="right"/>
              <w:rPr>
                <w:rFonts w:ascii="Arial" w:hAnsi="Arial" w:cs="Arial"/>
                <w:b/>
                <w:bCs/>
                <w:color w:val="000000" w:themeColor="text1"/>
                <w:sz w:val="17"/>
                <w:szCs w:val="17"/>
              </w:rPr>
            </w:pPr>
            <w:r w:rsidRPr="0020460F">
              <w:rPr>
                <w:rFonts w:ascii="Arial" w:hAnsi="Arial" w:cs="Arial"/>
                <w:b/>
                <w:bCs/>
                <w:color w:val="000000" w:themeColor="text1"/>
                <w:sz w:val="17"/>
                <w:szCs w:val="17"/>
              </w:rPr>
              <w:t xml:space="preserve">41.543 </w:t>
            </w:r>
          </w:p>
        </w:tc>
        <w:tc>
          <w:tcPr>
            <w:tcW w:w="1049" w:type="dxa"/>
            <w:tcBorders>
              <w:top w:val="single" w:sz="4" w:space="0" w:color="auto"/>
              <w:left w:val="nil"/>
              <w:bottom w:val="single" w:sz="12" w:space="0" w:color="auto"/>
              <w:right w:val="nil"/>
            </w:tcBorders>
            <w:shd w:val="clear" w:color="auto" w:fill="auto"/>
            <w:noWrap/>
            <w:vAlign w:val="bottom"/>
          </w:tcPr>
          <w:p w14:paraId="2358F5FF" w14:textId="77777777" w:rsidR="00BA2287" w:rsidRPr="004B4498" w:rsidRDefault="00BA2287" w:rsidP="00D15CE2">
            <w:pPr>
              <w:jc w:val="right"/>
              <w:rPr>
                <w:rFonts w:ascii="Arial" w:hAnsi="Arial" w:cs="Arial"/>
                <w:b/>
                <w:bCs/>
                <w:color w:val="000000" w:themeColor="text1"/>
                <w:sz w:val="17"/>
                <w:szCs w:val="17"/>
              </w:rPr>
            </w:pPr>
            <w:r>
              <w:rPr>
                <w:rFonts w:ascii="Arial" w:hAnsi="Arial" w:cs="Arial"/>
                <w:b/>
                <w:bCs/>
                <w:color w:val="000000" w:themeColor="text1"/>
                <w:sz w:val="17"/>
                <w:szCs w:val="17"/>
              </w:rPr>
              <w:t>-</w:t>
            </w:r>
          </w:p>
        </w:tc>
        <w:tc>
          <w:tcPr>
            <w:tcW w:w="1049" w:type="dxa"/>
            <w:tcBorders>
              <w:top w:val="single" w:sz="4" w:space="0" w:color="auto"/>
              <w:left w:val="nil"/>
              <w:bottom w:val="single" w:sz="12" w:space="0" w:color="auto"/>
              <w:right w:val="nil"/>
            </w:tcBorders>
            <w:shd w:val="clear" w:color="auto" w:fill="auto"/>
            <w:noWrap/>
            <w:vAlign w:val="bottom"/>
          </w:tcPr>
          <w:p w14:paraId="26E1ED96" w14:textId="77777777" w:rsidR="00BA2287" w:rsidRPr="004B4498" w:rsidRDefault="00BA2287" w:rsidP="00D15CE2">
            <w:pPr>
              <w:jc w:val="right"/>
              <w:rPr>
                <w:rFonts w:ascii="Arial" w:hAnsi="Arial" w:cs="Arial"/>
                <w:b/>
                <w:bCs/>
                <w:color w:val="000000" w:themeColor="text1"/>
                <w:sz w:val="17"/>
                <w:szCs w:val="17"/>
              </w:rPr>
            </w:pPr>
            <w:r>
              <w:rPr>
                <w:rFonts w:ascii="Arial" w:hAnsi="Arial" w:cs="Arial"/>
                <w:b/>
                <w:bCs/>
                <w:color w:val="000000" w:themeColor="text1"/>
                <w:sz w:val="17"/>
                <w:szCs w:val="17"/>
              </w:rPr>
              <w:t>-</w:t>
            </w:r>
          </w:p>
        </w:tc>
        <w:tc>
          <w:tcPr>
            <w:tcW w:w="1049" w:type="dxa"/>
            <w:tcBorders>
              <w:top w:val="single" w:sz="4" w:space="0" w:color="auto"/>
              <w:left w:val="nil"/>
              <w:bottom w:val="single" w:sz="12" w:space="0" w:color="auto"/>
              <w:right w:val="nil"/>
            </w:tcBorders>
            <w:shd w:val="clear" w:color="auto" w:fill="auto"/>
            <w:noWrap/>
            <w:vAlign w:val="bottom"/>
          </w:tcPr>
          <w:p w14:paraId="446464F0" w14:textId="77777777" w:rsidR="00BA2287" w:rsidRPr="00A3731F" w:rsidRDefault="00BA2287" w:rsidP="00D15CE2">
            <w:pPr>
              <w:jc w:val="right"/>
              <w:rPr>
                <w:rFonts w:ascii="Arial" w:hAnsi="Arial" w:cs="Arial"/>
                <w:b/>
                <w:bCs/>
                <w:color w:val="000000" w:themeColor="text1"/>
                <w:sz w:val="17"/>
                <w:szCs w:val="17"/>
              </w:rPr>
            </w:pPr>
            <w:r w:rsidRPr="0020460F">
              <w:rPr>
                <w:rFonts w:ascii="Arial" w:hAnsi="Arial" w:cs="Arial"/>
                <w:b/>
                <w:bCs/>
                <w:color w:val="000000" w:themeColor="text1"/>
                <w:sz w:val="17"/>
                <w:szCs w:val="17"/>
              </w:rPr>
              <w:t xml:space="preserve">41.543 </w:t>
            </w:r>
          </w:p>
        </w:tc>
      </w:tr>
    </w:tbl>
    <w:p w14:paraId="223E7CA1"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p>
    <w:p w14:paraId="5C28D390" w14:textId="1BCDD664"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pPr>
    </w:p>
    <w:p w14:paraId="07B7FF07" w14:textId="77777777" w:rsidR="00DE4AC9" w:rsidRPr="003D1614" w:rsidRDefault="00DE4AC9" w:rsidP="00DE4AC9">
      <w:pPr>
        <w:keepNext/>
        <w:suppressAutoHyphens/>
        <w:autoSpaceDN w:val="0"/>
        <w:jc w:val="both"/>
        <w:outlineLvl w:val="0"/>
        <w:rPr>
          <w:rFonts w:ascii="Arial" w:eastAsia="Times New Roman" w:hAnsi="Arial" w:cs="Arial"/>
          <w:bCs/>
          <w:color w:val="000000" w:themeColor="text1"/>
          <w:sz w:val="20"/>
          <w:szCs w:val="20"/>
        </w:rPr>
        <w:sectPr w:rsidR="00DE4AC9" w:rsidRPr="003D1614">
          <w:pgSz w:w="11906" w:h="16838"/>
          <w:pgMar w:top="1417" w:right="1417" w:bottom="1417" w:left="1417" w:header="708" w:footer="708" w:gutter="0"/>
          <w:cols w:space="708"/>
          <w:docGrid w:linePitch="360"/>
        </w:sectPr>
      </w:pPr>
    </w:p>
    <w:p w14:paraId="045A71C1" w14:textId="77777777" w:rsidR="00A73031" w:rsidRPr="003D1614" w:rsidRDefault="00A73031" w:rsidP="00A73031">
      <w:pPr>
        <w:suppressAutoHyphens/>
        <w:autoSpaceDN w:val="0"/>
        <w:rPr>
          <w:rFonts w:ascii="Arial" w:eastAsia="Times New Roman" w:hAnsi="Arial" w:cs="Arial"/>
          <w:bCs/>
          <w:color w:val="000000" w:themeColor="text1"/>
        </w:rPr>
      </w:pPr>
    </w:p>
    <w:p w14:paraId="1CCAAD6A" w14:textId="4EFE0C4C" w:rsidR="00A73031" w:rsidRPr="003D1614" w:rsidRDefault="00A73031" w:rsidP="00A73031">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9.</w:t>
      </w:r>
      <w:r w:rsidRPr="003D1614">
        <w:rPr>
          <w:rFonts w:ascii="Arial" w:eastAsia="Times New Roman" w:hAnsi="Arial" w:cs="Arial"/>
          <w:b/>
          <w:bCs/>
          <w:color w:val="000000" w:themeColor="text1"/>
          <w:sz w:val="20"/>
          <w:szCs w:val="20"/>
        </w:rPr>
        <w:tab/>
        <w:t>Novčana sredstva i računi kod banaka (nastavak)</w:t>
      </w:r>
    </w:p>
    <w:p w14:paraId="266B8D1B" w14:textId="77777777" w:rsidR="00A73031" w:rsidRPr="003D1614" w:rsidRDefault="00A73031" w:rsidP="00A73031">
      <w:pPr>
        <w:keepNext/>
        <w:suppressAutoHyphens/>
        <w:autoSpaceDN w:val="0"/>
        <w:jc w:val="both"/>
        <w:outlineLvl w:val="0"/>
        <w:rPr>
          <w:rFonts w:ascii="Arial" w:eastAsia="Times New Roman" w:hAnsi="Arial" w:cs="Arial"/>
          <w:bCs/>
          <w:color w:val="000000" w:themeColor="text1"/>
          <w:sz w:val="20"/>
          <w:szCs w:val="20"/>
        </w:rPr>
      </w:pPr>
    </w:p>
    <w:p w14:paraId="0711173C" w14:textId="77777777" w:rsidR="00A73031" w:rsidRPr="003D1614" w:rsidRDefault="00A73031" w:rsidP="00A73031">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Promjene na rezerviranjima za očekivane</w:t>
      </w:r>
      <w:r w:rsidRPr="003D1614" w:rsidDel="00640BE0">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z w:val="20"/>
          <w:szCs w:val="20"/>
        </w:rPr>
        <w:t>gubitke po računima kod banaka mogu se prikazati kako slijedi:</w:t>
      </w:r>
    </w:p>
    <w:p w14:paraId="35B504C8" w14:textId="77777777" w:rsidR="00A73031" w:rsidRPr="003D1614" w:rsidRDefault="00A73031" w:rsidP="00A73031">
      <w:pPr>
        <w:keepNext/>
        <w:suppressAutoHyphens/>
        <w:autoSpaceDN w:val="0"/>
        <w:jc w:val="both"/>
        <w:outlineLvl w:val="0"/>
        <w:rPr>
          <w:rFonts w:ascii="Arial" w:eastAsia="Times New Roman" w:hAnsi="Arial" w:cs="Arial"/>
          <w:color w:val="000000" w:themeColor="text1"/>
          <w:sz w:val="20"/>
          <w:szCs w:val="20"/>
        </w:rPr>
      </w:pPr>
    </w:p>
    <w:tbl>
      <w:tblPr>
        <w:tblW w:w="5094" w:type="pct"/>
        <w:tblInd w:w="-142" w:type="dxa"/>
        <w:tblLook w:val="04A0" w:firstRow="1" w:lastRow="0" w:firstColumn="1" w:lastColumn="0" w:noHBand="0" w:noVBand="1"/>
      </w:tblPr>
      <w:tblGrid>
        <w:gridCol w:w="4707"/>
        <w:gridCol w:w="1134"/>
        <w:gridCol w:w="1134"/>
        <w:gridCol w:w="1134"/>
        <w:gridCol w:w="1134"/>
      </w:tblGrid>
      <w:tr w:rsidR="00A73031" w:rsidRPr="009D681D" w14:paraId="76023CD0" w14:textId="77777777" w:rsidTr="009D681D">
        <w:trPr>
          <w:trHeight w:val="237"/>
        </w:trPr>
        <w:tc>
          <w:tcPr>
            <w:tcW w:w="4707" w:type="dxa"/>
            <w:tcBorders>
              <w:top w:val="nil"/>
              <w:left w:val="nil"/>
              <w:bottom w:val="nil"/>
              <w:right w:val="nil"/>
            </w:tcBorders>
            <w:shd w:val="clear" w:color="auto" w:fill="auto"/>
            <w:noWrap/>
            <w:vAlign w:val="bottom"/>
            <w:hideMark/>
          </w:tcPr>
          <w:p w14:paraId="7C853808" w14:textId="77777777" w:rsidR="00A73031" w:rsidRPr="009D681D" w:rsidRDefault="00A73031" w:rsidP="00A73031">
            <w:pPr>
              <w:suppressAutoHyphens/>
              <w:autoSpaceDN w:val="0"/>
              <w:rPr>
                <w:rFonts w:ascii="Arial" w:eastAsia="Times New Roman" w:hAnsi="Arial" w:cs="Arial"/>
                <w:color w:val="000000" w:themeColor="text1"/>
                <w:sz w:val="18"/>
                <w:szCs w:val="18"/>
              </w:rPr>
            </w:pPr>
          </w:p>
        </w:tc>
        <w:tc>
          <w:tcPr>
            <w:tcW w:w="2268" w:type="dxa"/>
            <w:gridSpan w:val="2"/>
            <w:tcBorders>
              <w:top w:val="nil"/>
              <w:left w:val="nil"/>
              <w:bottom w:val="nil"/>
              <w:right w:val="nil"/>
            </w:tcBorders>
            <w:shd w:val="clear" w:color="auto" w:fill="auto"/>
            <w:vAlign w:val="bottom"/>
            <w:hideMark/>
          </w:tcPr>
          <w:p w14:paraId="1DC380C5" w14:textId="77777777" w:rsidR="00A73031" w:rsidRPr="009D681D" w:rsidRDefault="00A73031" w:rsidP="00A73031">
            <w:pPr>
              <w:suppressAutoHyphens/>
              <w:autoSpaceDN w:val="0"/>
              <w:jc w:val="right"/>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Grupa</w:t>
            </w:r>
          </w:p>
        </w:tc>
        <w:tc>
          <w:tcPr>
            <w:tcW w:w="2268" w:type="dxa"/>
            <w:gridSpan w:val="2"/>
            <w:tcBorders>
              <w:top w:val="nil"/>
              <w:left w:val="nil"/>
              <w:bottom w:val="nil"/>
              <w:right w:val="nil"/>
            </w:tcBorders>
            <w:shd w:val="clear" w:color="auto" w:fill="auto"/>
            <w:vAlign w:val="bottom"/>
            <w:hideMark/>
          </w:tcPr>
          <w:p w14:paraId="702FD4C3" w14:textId="77777777" w:rsidR="00A73031" w:rsidRPr="009D681D" w:rsidRDefault="00A73031" w:rsidP="00A73031">
            <w:pPr>
              <w:suppressAutoHyphens/>
              <w:autoSpaceDN w:val="0"/>
              <w:jc w:val="right"/>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Banka</w:t>
            </w:r>
          </w:p>
        </w:tc>
      </w:tr>
      <w:tr w:rsidR="00A73031" w:rsidRPr="009D681D" w14:paraId="21CAA021" w14:textId="77777777" w:rsidTr="009D681D">
        <w:trPr>
          <w:trHeight w:val="237"/>
        </w:trPr>
        <w:tc>
          <w:tcPr>
            <w:tcW w:w="4707" w:type="dxa"/>
            <w:tcBorders>
              <w:top w:val="nil"/>
              <w:left w:val="nil"/>
              <w:bottom w:val="nil"/>
              <w:right w:val="nil"/>
            </w:tcBorders>
            <w:shd w:val="clear" w:color="auto" w:fill="auto"/>
            <w:noWrap/>
            <w:vAlign w:val="bottom"/>
          </w:tcPr>
          <w:p w14:paraId="4EE4010E" w14:textId="77777777" w:rsidR="00A73031" w:rsidRPr="009D681D" w:rsidRDefault="00A73031" w:rsidP="00A73031">
            <w:pPr>
              <w:suppressAutoHyphens/>
              <w:autoSpaceDN w:val="0"/>
              <w:rPr>
                <w:rFonts w:ascii="Arial" w:eastAsia="Times New Roman" w:hAnsi="Arial" w:cs="Arial"/>
                <w:color w:val="000000" w:themeColor="text1"/>
                <w:sz w:val="18"/>
                <w:szCs w:val="18"/>
              </w:rPr>
            </w:pPr>
          </w:p>
        </w:tc>
        <w:tc>
          <w:tcPr>
            <w:tcW w:w="1134" w:type="dxa"/>
            <w:vAlign w:val="bottom"/>
          </w:tcPr>
          <w:p w14:paraId="1C095BEA" w14:textId="75A959F9"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bookmarkStart w:id="323" w:name="_Toc67327920"/>
            <w:r w:rsidRPr="009D681D">
              <w:rPr>
                <w:rFonts w:ascii="Arial" w:eastAsia="Times New Roman" w:hAnsi="Arial" w:cs="Arial"/>
                <w:b/>
                <w:color w:val="000000" w:themeColor="text1"/>
                <w:sz w:val="18"/>
                <w:szCs w:val="18"/>
              </w:rPr>
              <w:t>1.1.-31.3.</w:t>
            </w:r>
            <w:bookmarkEnd w:id="323"/>
          </w:p>
          <w:p w14:paraId="2E17F414" w14:textId="0DEC05D5"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bookmarkStart w:id="324" w:name="_Toc67327921"/>
            <w:r w:rsidRPr="009D681D">
              <w:rPr>
                <w:rFonts w:ascii="Arial" w:eastAsia="Times New Roman" w:hAnsi="Arial" w:cs="Arial"/>
                <w:b/>
                <w:color w:val="000000" w:themeColor="text1"/>
                <w:sz w:val="18"/>
                <w:szCs w:val="18"/>
              </w:rPr>
              <w:t>202</w:t>
            </w:r>
            <w:r w:rsidR="00A92542">
              <w:rPr>
                <w:rFonts w:ascii="Arial" w:eastAsia="Times New Roman" w:hAnsi="Arial" w:cs="Arial"/>
                <w:b/>
                <w:color w:val="000000" w:themeColor="text1"/>
                <w:sz w:val="18"/>
                <w:szCs w:val="18"/>
              </w:rPr>
              <w:t>4</w:t>
            </w:r>
            <w:r w:rsidRPr="009D681D">
              <w:rPr>
                <w:rFonts w:ascii="Arial" w:eastAsia="Times New Roman" w:hAnsi="Arial" w:cs="Arial"/>
                <w:b/>
                <w:color w:val="000000" w:themeColor="text1"/>
                <w:sz w:val="18"/>
                <w:szCs w:val="18"/>
              </w:rPr>
              <w:t>.</w:t>
            </w:r>
            <w:bookmarkEnd w:id="324"/>
          </w:p>
        </w:tc>
        <w:tc>
          <w:tcPr>
            <w:tcW w:w="1134" w:type="dxa"/>
            <w:vAlign w:val="bottom"/>
          </w:tcPr>
          <w:p w14:paraId="39D04183" w14:textId="4E0D452C"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r w:rsidRPr="009D681D">
              <w:rPr>
                <w:rFonts w:ascii="Arial" w:eastAsia="Times New Roman" w:hAnsi="Arial" w:cs="Arial"/>
                <w:b/>
                <w:color w:val="000000" w:themeColor="text1"/>
                <w:sz w:val="18"/>
                <w:szCs w:val="18"/>
              </w:rPr>
              <w:t>1.1.-31.12.</w:t>
            </w:r>
          </w:p>
          <w:p w14:paraId="34D613AC" w14:textId="06786C76"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r w:rsidRPr="009D681D">
              <w:rPr>
                <w:rFonts w:ascii="Arial" w:eastAsia="Times New Roman" w:hAnsi="Arial" w:cs="Arial"/>
                <w:b/>
                <w:color w:val="000000" w:themeColor="text1"/>
                <w:sz w:val="18"/>
                <w:szCs w:val="18"/>
              </w:rPr>
              <w:t>202</w:t>
            </w:r>
            <w:r w:rsidR="00A92542">
              <w:rPr>
                <w:rFonts w:ascii="Arial" w:eastAsia="Times New Roman" w:hAnsi="Arial" w:cs="Arial"/>
                <w:b/>
                <w:color w:val="000000" w:themeColor="text1"/>
                <w:sz w:val="18"/>
                <w:szCs w:val="18"/>
              </w:rPr>
              <w:t>3</w:t>
            </w:r>
            <w:r w:rsidRPr="009D681D">
              <w:rPr>
                <w:rFonts w:ascii="Arial" w:eastAsia="Times New Roman" w:hAnsi="Arial" w:cs="Arial"/>
                <w:b/>
                <w:color w:val="000000" w:themeColor="text1"/>
                <w:sz w:val="18"/>
                <w:szCs w:val="18"/>
              </w:rPr>
              <w:t>.</w:t>
            </w:r>
          </w:p>
        </w:tc>
        <w:tc>
          <w:tcPr>
            <w:tcW w:w="1134" w:type="dxa"/>
            <w:vAlign w:val="bottom"/>
          </w:tcPr>
          <w:p w14:paraId="13BD853A" w14:textId="6791E6D9"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bookmarkStart w:id="325" w:name="_Toc67327924"/>
            <w:r w:rsidRPr="009D681D">
              <w:rPr>
                <w:rFonts w:ascii="Arial" w:eastAsia="Times New Roman" w:hAnsi="Arial" w:cs="Arial"/>
                <w:b/>
                <w:color w:val="000000" w:themeColor="text1"/>
                <w:sz w:val="18"/>
                <w:szCs w:val="18"/>
              </w:rPr>
              <w:t>1.1.-31.3.</w:t>
            </w:r>
            <w:bookmarkEnd w:id="325"/>
          </w:p>
          <w:p w14:paraId="68ACD071" w14:textId="09A4B460"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bookmarkStart w:id="326" w:name="_Toc67327925"/>
            <w:r w:rsidRPr="009D681D">
              <w:rPr>
                <w:rFonts w:ascii="Arial" w:eastAsia="Times New Roman" w:hAnsi="Arial" w:cs="Arial"/>
                <w:b/>
                <w:color w:val="000000" w:themeColor="text1"/>
                <w:sz w:val="18"/>
                <w:szCs w:val="18"/>
              </w:rPr>
              <w:t>202</w:t>
            </w:r>
            <w:r w:rsidR="00A92542">
              <w:rPr>
                <w:rFonts w:ascii="Arial" w:eastAsia="Times New Roman" w:hAnsi="Arial" w:cs="Arial"/>
                <w:b/>
                <w:color w:val="000000" w:themeColor="text1"/>
                <w:sz w:val="18"/>
                <w:szCs w:val="18"/>
              </w:rPr>
              <w:t>4</w:t>
            </w:r>
            <w:r w:rsidRPr="009D681D">
              <w:rPr>
                <w:rFonts w:ascii="Arial" w:eastAsia="Times New Roman" w:hAnsi="Arial" w:cs="Arial"/>
                <w:b/>
                <w:color w:val="000000" w:themeColor="text1"/>
                <w:sz w:val="18"/>
                <w:szCs w:val="18"/>
              </w:rPr>
              <w:t>.</w:t>
            </w:r>
            <w:bookmarkEnd w:id="326"/>
          </w:p>
        </w:tc>
        <w:tc>
          <w:tcPr>
            <w:tcW w:w="1134" w:type="dxa"/>
            <w:vAlign w:val="bottom"/>
          </w:tcPr>
          <w:p w14:paraId="06ECCCE9" w14:textId="7451BDD4"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r w:rsidRPr="009D681D">
              <w:rPr>
                <w:rFonts w:ascii="Arial" w:eastAsia="Times New Roman" w:hAnsi="Arial" w:cs="Arial"/>
                <w:b/>
                <w:color w:val="000000" w:themeColor="text1"/>
                <w:sz w:val="18"/>
                <w:szCs w:val="18"/>
              </w:rPr>
              <w:t>1.1.-31.12.</w:t>
            </w:r>
          </w:p>
          <w:p w14:paraId="5BA9F28B" w14:textId="7050C187" w:rsidR="00A73031" w:rsidRPr="009D681D" w:rsidRDefault="00A73031" w:rsidP="00A73031">
            <w:pPr>
              <w:tabs>
                <w:tab w:val="right" w:pos="1202"/>
              </w:tabs>
              <w:suppressAutoHyphens/>
              <w:autoSpaceDN w:val="0"/>
              <w:jc w:val="right"/>
              <w:outlineLvl w:val="0"/>
              <w:rPr>
                <w:rFonts w:ascii="Arial" w:eastAsia="Times New Roman" w:hAnsi="Arial" w:cs="Arial"/>
                <w:b/>
                <w:color w:val="000000" w:themeColor="text1"/>
                <w:sz w:val="18"/>
                <w:szCs w:val="18"/>
              </w:rPr>
            </w:pPr>
            <w:r w:rsidRPr="009D681D">
              <w:rPr>
                <w:rFonts w:ascii="Arial" w:eastAsia="Times New Roman" w:hAnsi="Arial" w:cs="Arial"/>
                <w:b/>
                <w:color w:val="000000" w:themeColor="text1"/>
                <w:sz w:val="18"/>
                <w:szCs w:val="18"/>
              </w:rPr>
              <w:t>202</w:t>
            </w:r>
            <w:r w:rsidR="00A92542">
              <w:rPr>
                <w:rFonts w:ascii="Arial" w:eastAsia="Times New Roman" w:hAnsi="Arial" w:cs="Arial"/>
                <w:b/>
                <w:color w:val="000000" w:themeColor="text1"/>
                <w:sz w:val="18"/>
                <w:szCs w:val="18"/>
              </w:rPr>
              <w:t>3</w:t>
            </w:r>
            <w:r w:rsidRPr="009D681D">
              <w:rPr>
                <w:rFonts w:ascii="Arial" w:eastAsia="Times New Roman" w:hAnsi="Arial" w:cs="Arial"/>
                <w:b/>
                <w:color w:val="000000" w:themeColor="text1"/>
                <w:sz w:val="18"/>
                <w:szCs w:val="18"/>
              </w:rPr>
              <w:t>.</w:t>
            </w:r>
          </w:p>
        </w:tc>
      </w:tr>
      <w:tr w:rsidR="00A73031" w:rsidRPr="009D681D" w14:paraId="44CA28E9" w14:textId="77777777" w:rsidTr="009D681D">
        <w:trPr>
          <w:trHeight w:val="226"/>
        </w:trPr>
        <w:tc>
          <w:tcPr>
            <w:tcW w:w="4707" w:type="dxa"/>
            <w:tcBorders>
              <w:top w:val="nil"/>
              <w:left w:val="nil"/>
              <w:bottom w:val="nil"/>
              <w:right w:val="nil"/>
            </w:tcBorders>
            <w:shd w:val="clear" w:color="auto" w:fill="auto"/>
            <w:vAlign w:val="bottom"/>
            <w:hideMark/>
          </w:tcPr>
          <w:p w14:paraId="756DDF76" w14:textId="77777777" w:rsidR="00A73031" w:rsidRPr="009D681D" w:rsidRDefault="00A73031" w:rsidP="00A73031">
            <w:pPr>
              <w:suppressAutoHyphens/>
              <w:autoSpaceDN w:val="0"/>
              <w:jc w:val="right"/>
              <w:rPr>
                <w:rFonts w:ascii="Arial" w:eastAsia="Times New Roman" w:hAnsi="Arial" w:cs="Arial"/>
                <w:b/>
                <w:bCs/>
                <w:color w:val="000000" w:themeColor="text1"/>
                <w:sz w:val="18"/>
                <w:szCs w:val="18"/>
              </w:rPr>
            </w:pPr>
          </w:p>
        </w:tc>
        <w:tc>
          <w:tcPr>
            <w:tcW w:w="1134" w:type="dxa"/>
            <w:tcBorders>
              <w:top w:val="nil"/>
              <w:left w:val="nil"/>
              <w:bottom w:val="nil"/>
              <w:right w:val="nil"/>
            </w:tcBorders>
            <w:shd w:val="clear" w:color="auto" w:fill="auto"/>
            <w:vAlign w:val="bottom"/>
            <w:hideMark/>
          </w:tcPr>
          <w:p w14:paraId="1322AB08" w14:textId="5E0DB146" w:rsidR="00A73031" w:rsidRPr="009D681D" w:rsidRDefault="00A73031" w:rsidP="00A73031">
            <w:pPr>
              <w:suppressAutoHyphens/>
              <w:autoSpaceDN w:val="0"/>
              <w:jc w:val="right"/>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3407FA72" w14:textId="6C814164" w:rsidR="00A73031" w:rsidRPr="009D681D" w:rsidRDefault="00A73031" w:rsidP="00A73031">
            <w:pPr>
              <w:suppressAutoHyphens/>
              <w:autoSpaceDN w:val="0"/>
              <w:jc w:val="right"/>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hideMark/>
          </w:tcPr>
          <w:p w14:paraId="311FA528" w14:textId="385811B9" w:rsidR="00A73031" w:rsidRPr="009D681D" w:rsidRDefault="00A73031" w:rsidP="00A73031">
            <w:pPr>
              <w:suppressAutoHyphens/>
              <w:autoSpaceDN w:val="0"/>
              <w:jc w:val="right"/>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260FBCC9" w14:textId="6FFFB624" w:rsidR="00A73031" w:rsidRPr="009D681D" w:rsidRDefault="00A73031" w:rsidP="00A73031">
            <w:pPr>
              <w:suppressAutoHyphens/>
              <w:autoSpaceDN w:val="0"/>
              <w:jc w:val="right"/>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000 eura</w:t>
            </w:r>
          </w:p>
        </w:tc>
      </w:tr>
      <w:tr w:rsidR="00DA0EB9" w:rsidRPr="009D681D" w14:paraId="7C9C47DB" w14:textId="77777777" w:rsidTr="009D681D">
        <w:trPr>
          <w:trHeight w:val="371"/>
        </w:trPr>
        <w:tc>
          <w:tcPr>
            <w:tcW w:w="4707" w:type="dxa"/>
            <w:tcBorders>
              <w:top w:val="nil"/>
              <w:left w:val="nil"/>
              <w:bottom w:val="nil"/>
              <w:right w:val="nil"/>
            </w:tcBorders>
            <w:shd w:val="clear" w:color="auto" w:fill="auto"/>
            <w:vAlign w:val="bottom"/>
          </w:tcPr>
          <w:p w14:paraId="1A904DD6" w14:textId="77777777" w:rsidR="00DA0EB9" w:rsidRPr="009D681D" w:rsidRDefault="00DA0EB9" w:rsidP="00DA0EB9">
            <w:pPr>
              <w:suppressAutoHyphens/>
              <w:autoSpaceDN w:val="0"/>
              <w:rPr>
                <w:rFonts w:ascii="Arial" w:eastAsia="Times New Roman" w:hAnsi="Arial" w:cs="Arial"/>
                <w:color w:val="000000" w:themeColor="text1"/>
                <w:sz w:val="18"/>
                <w:szCs w:val="18"/>
              </w:rPr>
            </w:pPr>
            <w:r w:rsidRPr="009D681D">
              <w:rPr>
                <w:rFonts w:ascii="Arial" w:eastAsia="Times New Roman" w:hAnsi="Arial" w:cs="Arial"/>
                <w:color w:val="000000" w:themeColor="text1"/>
                <w:sz w:val="18"/>
                <w:szCs w:val="18"/>
              </w:rPr>
              <w:t>Stanje 1. siječnja</w:t>
            </w:r>
          </w:p>
        </w:tc>
        <w:tc>
          <w:tcPr>
            <w:tcW w:w="1134" w:type="dxa"/>
            <w:tcBorders>
              <w:top w:val="nil"/>
              <w:left w:val="nil"/>
              <w:bottom w:val="nil"/>
              <w:right w:val="nil"/>
            </w:tcBorders>
            <w:shd w:val="clear" w:color="auto" w:fill="auto"/>
            <w:noWrap/>
            <w:vAlign w:val="bottom"/>
          </w:tcPr>
          <w:p w14:paraId="2D06C064" w14:textId="4BDC6EA5" w:rsidR="00DA0EB9" w:rsidRPr="009D681D" w:rsidRDefault="005438C2" w:rsidP="00DA0EB9">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159</w:t>
            </w:r>
          </w:p>
        </w:tc>
        <w:tc>
          <w:tcPr>
            <w:tcW w:w="1134" w:type="dxa"/>
            <w:tcBorders>
              <w:top w:val="nil"/>
              <w:left w:val="nil"/>
              <w:bottom w:val="nil"/>
              <w:right w:val="nil"/>
            </w:tcBorders>
            <w:shd w:val="clear" w:color="auto" w:fill="auto"/>
            <w:vAlign w:val="bottom"/>
          </w:tcPr>
          <w:p w14:paraId="770F9843" w14:textId="2A08EDFF" w:rsidR="00DA0EB9" w:rsidRPr="009D681D" w:rsidRDefault="00DA0EB9" w:rsidP="00DA0EB9">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8"/>
                <w:szCs w:val="18"/>
              </w:rPr>
              <w:t>805</w:t>
            </w:r>
          </w:p>
        </w:tc>
        <w:tc>
          <w:tcPr>
            <w:tcW w:w="1134" w:type="dxa"/>
            <w:tcBorders>
              <w:top w:val="nil"/>
              <w:left w:val="nil"/>
              <w:bottom w:val="nil"/>
              <w:right w:val="nil"/>
            </w:tcBorders>
            <w:shd w:val="clear" w:color="auto" w:fill="auto"/>
            <w:vAlign w:val="bottom"/>
          </w:tcPr>
          <w:p w14:paraId="2C513DAC" w14:textId="1320AC47" w:rsidR="00DA0EB9" w:rsidRPr="009D681D" w:rsidRDefault="00EA121B" w:rsidP="00DA0EB9">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158</w:t>
            </w:r>
          </w:p>
        </w:tc>
        <w:tc>
          <w:tcPr>
            <w:tcW w:w="1134" w:type="dxa"/>
            <w:tcBorders>
              <w:top w:val="nil"/>
              <w:left w:val="nil"/>
              <w:bottom w:val="nil"/>
              <w:right w:val="nil"/>
            </w:tcBorders>
            <w:shd w:val="clear" w:color="auto" w:fill="auto"/>
            <w:vAlign w:val="bottom"/>
          </w:tcPr>
          <w:p w14:paraId="43B7C8B9" w14:textId="19EE6A46" w:rsidR="00DA0EB9" w:rsidRPr="009D681D" w:rsidRDefault="00DA0EB9" w:rsidP="00DA0EB9">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8"/>
                <w:szCs w:val="18"/>
              </w:rPr>
              <w:t>804</w:t>
            </w:r>
          </w:p>
        </w:tc>
      </w:tr>
      <w:tr w:rsidR="00DA0EB9" w:rsidRPr="009D681D" w14:paraId="41C7BE33" w14:textId="77777777" w:rsidTr="005272DA">
        <w:trPr>
          <w:trHeight w:val="371"/>
        </w:trPr>
        <w:tc>
          <w:tcPr>
            <w:tcW w:w="4707" w:type="dxa"/>
            <w:tcBorders>
              <w:top w:val="nil"/>
              <w:left w:val="nil"/>
              <w:bottom w:val="nil"/>
              <w:right w:val="nil"/>
            </w:tcBorders>
            <w:shd w:val="clear" w:color="auto" w:fill="auto"/>
            <w:vAlign w:val="bottom"/>
          </w:tcPr>
          <w:p w14:paraId="127D96EB" w14:textId="6EEB11BD" w:rsidR="00DA0EB9" w:rsidRPr="009D681D" w:rsidRDefault="00DA0EB9" w:rsidP="00DA0EB9">
            <w:pPr>
              <w:suppressAutoHyphens/>
              <w:autoSpaceDN w:val="0"/>
              <w:rPr>
                <w:rFonts w:ascii="Arial" w:eastAsia="Times New Roman" w:hAnsi="Arial" w:cs="Arial"/>
                <w:color w:val="000000" w:themeColor="text1"/>
                <w:sz w:val="18"/>
                <w:szCs w:val="18"/>
              </w:rPr>
            </w:pPr>
            <w:r w:rsidRPr="009D681D">
              <w:rPr>
                <w:rFonts w:ascii="Arial" w:eastAsia="Times New Roman" w:hAnsi="Arial" w:cs="Arial"/>
                <w:color w:val="000000" w:themeColor="text1"/>
                <w:sz w:val="18"/>
                <w:szCs w:val="18"/>
              </w:rPr>
              <w:t>Neto (smanjenje)/povećanje rezerviranja za očekivane gubitke po računima kod banaka</w:t>
            </w:r>
          </w:p>
        </w:tc>
        <w:tc>
          <w:tcPr>
            <w:tcW w:w="1134" w:type="dxa"/>
            <w:tcBorders>
              <w:top w:val="nil"/>
              <w:left w:val="nil"/>
              <w:right w:val="nil"/>
            </w:tcBorders>
            <w:shd w:val="clear" w:color="auto" w:fill="auto"/>
            <w:vAlign w:val="bottom"/>
          </w:tcPr>
          <w:p w14:paraId="771380AC" w14:textId="20EA3659" w:rsidR="00DA0EB9" w:rsidRPr="009D681D" w:rsidRDefault="005438C2" w:rsidP="00DA0EB9">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126</w:t>
            </w:r>
          </w:p>
        </w:tc>
        <w:tc>
          <w:tcPr>
            <w:tcW w:w="1134" w:type="dxa"/>
            <w:tcBorders>
              <w:top w:val="nil"/>
              <w:left w:val="nil"/>
              <w:right w:val="nil"/>
            </w:tcBorders>
            <w:shd w:val="clear" w:color="auto" w:fill="auto"/>
            <w:vAlign w:val="bottom"/>
          </w:tcPr>
          <w:p w14:paraId="423C3561" w14:textId="7B40A7EA" w:rsidR="00DA0EB9" w:rsidRPr="009D681D" w:rsidRDefault="00DA0EB9" w:rsidP="00DA0EB9">
            <w:pPr>
              <w:suppressAutoHyphens/>
              <w:autoSpaceDN w:val="0"/>
              <w:jc w:val="right"/>
              <w:rPr>
                <w:rFonts w:ascii="Arial" w:eastAsia="Times New Roman" w:hAnsi="Arial" w:cs="Arial"/>
                <w:color w:val="000000" w:themeColor="text1"/>
                <w:sz w:val="18"/>
                <w:szCs w:val="18"/>
              </w:rPr>
            </w:pPr>
            <w:r w:rsidRPr="0091098E">
              <w:rPr>
                <w:rFonts w:ascii="Arial" w:hAnsi="Arial" w:cs="Arial"/>
                <w:color w:val="000000" w:themeColor="text1"/>
                <w:sz w:val="18"/>
                <w:szCs w:val="18"/>
              </w:rPr>
              <w:t>(646)</w:t>
            </w:r>
          </w:p>
        </w:tc>
        <w:tc>
          <w:tcPr>
            <w:tcW w:w="1134" w:type="dxa"/>
            <w:tcBorders>
              <w:top w:val="nil"/>
              <w:left w:val="nil"/>
              <w:right w:val="nil"/>
            </w:tcBorders>
            <w:shd w:val="clear" w:color="auto" w:fill="auto"/>
            <w:vAlign w:val="bottom"/>
          </w:tcPr>
          <w:p w14:paraId="1AD89D7C" w14:textId="15CF00AD" w:rsidR="00DA0EB9" w:rsidRPr="009D681D" w:rsidRDefault="00EA121B" w:rsidP="00DA0EB9">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126</w:t>
            </w:r>
          </w:p>
        </w:tc>
        <w:tc>
          <w:tcPr>
            <w:tcW w:w="1134" w:type="dxa"/>
            <w:tcBorders>
              <w:top w:val="nil"/>
              <w:left w:val="nil"/>
              <w:right w:val="nil"/>
            </w:tcBorders>
            <w:shd w:val="clear" w:color="auto" w:fill="auto"/>
            <w:vAlign w:val="bottom"/>
          </w:tcPr>
          <w:p w14:paraId="031E7052" w14:textId="5BA4EF24" w:rsidR="00DA0EB9" w:rsidRPr="009D681D" w:rsidRDefault="00DA0EB9" w:rsidP="00DA0EB9">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8"/>
                <w:szCs w:val="18"/>
              </w:rPr>
              <w:t>(646)</w:t>
            </w:r>
          </w:p>
        </w:tc>
      </w:tr>
      <w:tr w:rsidR="00DA0EB9" w:rsidRPr="009D681D" w14:paraId="24A21D27" w14:textId="77777777" w:rsidTr="005272DA">
        <w:trPr>
          <w:trHeight w:val="371"/>
        </w:trPr>
        <w:tc>
          <w:tcPr>
            <w:tcW w:w="4707" w:type="dxa"/>
            <w:tcBorders>
              <w:top w:val="nil"/>
              <w:left w:val="nil"/>
              <w:bottom w:val="nil"/>
              <w:right w:val="nil"/>
            </w:tcBorders>
            <w:shd w:val="clear" w:color="auto" w:fill="auto"/>
            <w:vAlign w:val="bottom"/>
          </w:tcPr>
          <w:p w14:paraId="26D87E27" w14:textId="02B54BE0" w:rsidR="00DA0EB9" w:rsidRPr="009D681D" w:rsidRDefault="00DA0EB9" w:rsidP="00DA0EB9">
            <w:pPr>
              <w:suppressAutoHyphens/>
              <w:autoSpaceDN w:val="0"/>
              <w:rPr>
                <w:rFonts w:ascii="Arial" w:eastAsia="Times New Roman" w:hAnsi="Arial" w:cs="Arial"/>
                <w:i/>
                <w:iCs/>
                <w:color w:val="000000" w:themeColor="text1"/>
                <w:sz w:val="18"/>
                <w:szCs w:val="18"/>
              </w:rPr>
            </w:pPr>
            <w:r w:rsidRPr="009D681D">
              <w:rPr>
                <w:rFonts w:ascii="Arial" w:eastAsia="Times New Roman" w:hAnsi="Arial" w:cs="Arial"/>
                <w:i/>
                <w:iCs/>
                <w:color w:val="000000" w:themeColor="text1"/>
                <w:sz w:val="18"/>
                <w:szCs w:val="18"/>
              </w:rPr>
              <w:t>Ukupno kroz dobit ili gubitak (bilješka 8)</w:t>
            </w:r>
          </w:p>
        </w:tc>
        <w:tc>
          <w:tcPr>
            <w:tcW w:w="1134" w:type="dxa"/>
            <w:tcBorders>
              <w:top w:val="single" w:sz="4" w:space="0" w:color="auto"/>
              <w:left w:val="nil"/>
              <w:bottom w:val="single" w:sz="4" w:space="0" w:color="auto"/>
              <w:right w:val="nil"/>
            </w:tcBorders>
            <w:shd w:val="clear" w:color="auto" w:fill="auto"/>
            <w:vAlign w:val="bottom"/>
          </w:tcPr>
          <w:p w14:paraId="5A6C5D8E" w14:textId="29A0E54A" w:rsidR="00DA0EB9" w:rsidRPr="009D681D" w:rsidRDefault="005438C2" w:rsidP="00DA0EB9">
            <w:pPr>
              <w:suppressAutoHyphens/>
              <w:autoSpaceDN w:val="0"/>
              <w:jc w:val="right"/>
              <w:rPr>
                <w:rFonts w:ascii="Arial" w:eastAsia="Times New Roman" w:hAnsi="Arial" w:cs="Arial"/>
                <w:bCs/>
                <w:i/>
                <w:color w:val="000000" w:themeColor="text1"/>
                <w:sz w:val="18"/>
                <w:szCs w:val="18"/>
              </w:rPr>
            </w:pPr>
            <w:r>
              <w:rPr>
                <w:rFonts w:ascii="Arial" w:eastAsia="Times New Roman" w:hAnsi="Arial" w:cs="Arial"/>
                <w:bCs/>
                <w:i/>
                <w:color w:val="000000" w:themeColor="text1"/>
                <w:sz w:val="18"/>
                <w:szCs w:val="18"/>
              </w:rPr>
              <w:t>126</w:t>
            </w:r>
          </w:p>
        </w:tc>
        <w:tc>
          <w:tcPr>
            <w:tcW w:w="1134" w:type="dxa"/>
            <w:tcBorders>
              <w:top w:val="single" w:sz="4" w:space="0" w:color="auto"/>
              <w:left w:val="nil"/>
              <w:bottom w:val="single" w:sz="4" w:space="0" w:color="auto"/>
              <w:right w:val="nil"/>
            </w:tcBorders>
            <w:shd w:val="clear" w:color="auto" w:fill="auto"/>
            <w:vAlign w:val="bottom"/>
          </w:tcPr>
          <w:p w14:paraId="0A4E040E" w14:textId="34ACBCFE" w:rsidR="00DA0EB9" w:rsidRPr="009D681D" w:rsidRDefault="00DA0EB9" w:rsidP="00DA0EB9">
            <w:pPr>
              <w:suppressAutoHyphens/>
              <w:autoSpaceDN w:val="0"/>
              <w:jc w:val="right"/>
              <w:rPr>
                <w:rFonts w:ascii="Arial" w:eastAsia="Times New Roman" w:hAnsi="Arial" w:cs="Arial"/>
                <w:bCs/>
                <w:i/>
                <w:color w:val="000000" w:themeColor="text1"/>
                <w:sz w:val="18"/>
                <w:szCs w:val="18"/>
              </w:rPr>
            </w:pPr>
            <w:r w:rsidRPr="0091098E">
              <w:rPr>
                <w:rFonts w:ascii="Arial" w:hAnsi="Arial" w:cs="Arial"/>
                <w:bCs/>
                <w:i/>
                <w:color w:val="000000" w:themeColor="text1"/>
                <w:sz w:val="18"/>
                <w:szCs w:val="18"/>
              </w:rPr>
              <w:t>(646)</w:t>
            </w:r>
          </w:p>
        </w:tc>
        <w:tc>
          <w:tcPr>
            <w:tcW w:w="1134" w:type="dxa"/>
            <w:tcBorders>
              <w:top w:val="single" w:sz="4" w:space="0" w:color="auto"/>
              <w:left w:val="nil"/>
              <w:bottom w:val="single" w:sz="4" w:space="0" w:color="auto"/>
              <w:right w:val="nil"/>
            </w:tcBorders>
            <w:shd w:val="clear" w:color="auto" w:fill="auto"/>
            <w:vAlign w:val="bottom"/>
          </w:tcPr>
          <w:p w14:paraId="6DFE3D0A" w14:textId="2697AA2F" w:rsidR="00DA0EB9" w:rsidRPr="009D681D" w:rsidRDefault="00EA121B" w:rsidP="00DA0EB9">
            <w:pPr>
              <w:suppressAutoHyphens/>
              <w:autoSpaceDN w:val="0"/>
              <w:jc w:val="right"/>
              <w:rPr>
                <w:rFonts w:ascii="Arial" w:eastAsia="Times New Roman" w:hAnsi="Arial" w:cs="Arial"/>
                <w:bCs/>
                <w:i/>
                <w:iCs/>
                <w:color w:val="000000" w:themeColor="text1"/>
                <w:sz w:val="18"/>
                <w:szCs w:val="18"/>
              </w:rPr>
            </w:pPr>
            <w:r>
              <w:rPr>
                <w:rFonts w:ascii="Arial" w:eastAsia="Times New Roman" w:hAnsi="Arial" w:cs="Arial"/>
                <w:bCs/>
                <w:i/>
                <w:iCs/>
                <w:color w:val="000000" w:themeColor="text1"/>
                <w:sz w:val="18"/>
                <w:szCs w:val="18"/>
              </w:rPr>
              <w:t>126</w:t>
            </w:r>
          </w:p>
        </w:tc>
        <w:tc>
          <w:tcPr>
            <w:tcW w:w="1134" w:type="dxa"/>
            <w:tcBorders>
              <w:top w:val="single" w:sz="4" w:space="0" w:color="auto"/>
              <w:left w:val="nil"/>
              <w:bottom w:val="single" w:sz="4" w:space="0" w:color="auto"/>
              <w:right w:val="nil"/>
            </w:tcBorders>
            <w:shd w:val="clear" w:color="auto" w:fill="auto"/>
            <w:vAlign w:val="bottom"/>
          </w:tcPr>
          <w:p w14:paraId="4D788C10" w14:textId="3019B47E" w:rsidR="00DA0EB9" w:rsidRPr="009D681D" w:rsidRDefault="00DA0EB9" w:rsidP="00DA0EB9">
            <w:pPr>
              <w:suppressAutoHyphens/>
              <w:autoSpaceDN w:val="0"/>
              <w:jc w:val="right"/>
              <w:rPr>
                <w:rFonts w:ascii="Arial" w:eastAsia="Times New Roman" w:hAnsi="Arial" w:cs="Arial"/>
                <w:bCs/>
                <w:i/>
                <w:iCs/>
                <w:color w:val="000000" w:themeColor="text1"/>
                <w:sz w:val="18"/>
                <w:szCs w:val="18"/>
              </w:rPr>
            </w:pPr>
            <w:r w:rsidRPr="00E21596">
              <w:rPr>
                <w:rFonts w:ascii="Arial" w:hAnsi="Arial" w:cs="Arial"/>
                <w:bCs/>
                <w:i/>
                <w:color w:val="000000" w:themeColor="text1"/>
                <w:sz w:val="18"/>
                <w:szCs w:val="18"/>
              </w:rPr>
              <w:t>(646)</w:t>
            </w:r>
          </w:p>
        </w:tc>
      </w:tr>
      <w:tr w:rsidR="00DA0EB9" w:rsidRPr="009D681D" w14:paraId="355F95E3" w14:textId="77777777" w:rsidTr="005272DA">
        <w:trPr>
          <w:trHeight w:val="371"/>
        </w:trPr>
        <w:tc>
          <w:tcPr>
            <w:tcW w:w="4707" w:type="dxa"/>
            <w:tcBorders>
              <w:top w:val="nil"/>
              <w:left w:val="nil"/>
              <w:bottom w:val="nil"/>
              <w:right w:val="nil"/>
            </w:tcBorders>
            <w:shd w:val="clear" w:color="auto" w:fill="auto"/>
            <w:vAlign w:val="bottom"/>
          </w:tcPr>
          <w:p w14:paraId="581F54EF" w14:textId="77777777" w:rsidR="00DA0EB9" w:rsidRPr="009D681D" w:rsidRDefault="00DA0EB9" w:rsidP="00DA0EB9">
            <w:pPr>
              <w:suppressAutoHyphens/>
              <w:autoSpaceDN w:val="0"/>
              <w:rPr>
                <w:rFonts w:ascii="Arial" w:eastAsia="Times New Roman" w:hAnsi="Arial" w:cs="Arial"/>
                <w:b/>
                <w:bCs/>
                <w:color w:val="000000" w:themeColor="text1"/>
                <w:sz w:val="18"/>
                <w:szCs w:val="18"/>
              </w:rPr>
            </w:pPr>
            <w:r w:rsidRPr="009D681D">
              <w:rPr>
                <w:rFonts w:ascii="Arial" w:eastAsia="Times New Roman" w:hAnsi="Arial" w:cs="Arial"/>
                <w:b/>
                <w:bCs/>
                <w:color w:val="000000" w:themeColor="text1"/>
                <w:sz w:val="18"/>
                <w:szCs w:val="18"/>
              </w:rPr>
              <w:t>Stanje na kraju izvještajnog razdoblja</w:t>
            </w:r>
          </w:p>
        </w:tc>
        <w:tc>
          <w:tcPr>
            <w:tcW w:w="1134" w:type="dxa"/>
            <w:tcBorders>
              <w:top w:val="single" w:sz="4" w:space="0" w:color="auto"/>
              <w:left w:val="nil"/>
              <w:bottom w:val="single" w:sz="12" w:space="0" w:color="auto"/>
              <w:right w:val="nil"/>
            </w:tcBorders>
            <w:shd w:val="clear" w:color="auto" w:fill="auto"/>
            <w:noWrap/>
            <w:vAlign w:val="bottom"/>
          </w:tcPr>
          <w:p w14:paraId="450A4751" w14:textId="1AF55CC9" w:rsidR="00DA0EB9" w:rsidRPr="009D681D" w:rsidRDefault="007269E3" w:rsidP="00DA0EB9">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285</w:t>
            </w:r>
          </w:p>
        </w:tc>
        <w:tc>
          <w:tcPr>
            <w:tcW w:w="1134" w:type="dxa"/>
            <w:tcBorders>
              <w:top w:val="single" w:sz="4" w:space="0" w:color="auto"/>
              <w:left w:val="nil"/>
              <w:bottom w:val="single" w:sz="12" w:space="0" w:color="auto"/>
              <w:right w:val="nil"/>
            </w:tcBorders>
            <w:shd w:val="clear" w:color="auto" w:fill="auto"/>
            <w:vAlign w:val="bottom"/>
          </w:tcPr>
          <w:p w14:paraId="365EB6E2" w14:textId="42DDEEEC" w:rsidR="00DA0EB9" w:rsidRPr="009D681D" w:rsidRDefault="00DA0EB9" w:rsidP="00DA0EB9">
            <w:pPr>
              <w:suppressAutoHyphens/>
              <w:autoSpaceDN w:val="0"/>
              <w:jc w:val="right"/>
              <w:rPr>
                <w:rFonts w:ascii="Arial" w:eastAsia="Times New Roman" w:hAnsi="Arial" w:cs="Arial"/>
                <w:b/>
                <w:bCs/>
                <w:color w:val="000000" w:themeColor="text1"/>
                <w:sz w:val="18"/>
                <w:szCs w:val="18"/>
              </w:rPr>
            </w:pPr>
            <w:r>
              <w:rPr>
                <w:rFonts w:ascii="Arial" w:hAnsi="Arial" w:cs="Arial"/>
                <w:b/>
                <w:color w:val="000000" w:themeColor="text1"/>
                <w:sz w:val="18"/>
                <w:szCs w:val="18"/>
              </w:rPr>
              <w:t>159</w:t>
            </w:r>
          </w:p>
        </w:tc>
        <w:tc>
          <w:tcPr>
            <w:tcW w:w="1134" w:type="dxa"/>
            <w:tcBorders>
              <w:top w:val="single" w:sz="4" w:space="0" w:color="auto"/>
              <w:left w:val="nil"/>
              <w:bottom w:val="single" w:sz="12" w:space="0" w:color="auto"/>
              <w:right w:val="nil"/>
            </w:tcBorders>
            <w:shd w:val="clear" w:color="auto" w:fill="auto"/>
            <w:vAlign w:val="bottom"/>
          </w:tcPr>
          <w:p w14:paraId="6A9AC860" w14:textId="4FBA35B6" w:rsidR="00DA0EB9" w:rsidRPr="009D681D" w:rsidRDefault="00EA121B" w:rsidP="00DA0EB9">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284</w:t>
            </w:r>
          </w:p>
        </w:tc>
        <w:tc>
          <w:tcPr>
            <w:tcW w:w="1134" w:type="dxa"/>
            <w:tcBorders>
              <w:top w:val="single" w:sz="4" w:space="0" w:color="auto"/>
              <w:left w:val="nil"/>
              <w:bottom w:val="single" w:sz="12" w:space="0" w:color="auto"/>
              <w:right w:val="nil"/>
            </w:tcBorders>
            <w:shd w:val="clear" w:color="auto" w:fill="auto"/>
            <w:vAlign w:val="bottom"/>
          </w:tcPr>
          <w:p w14:paraId="4F0607A1" w14:textId="47454271" w:rsidR="00DA0EB9" w:rsidRPr="009D681D" w:rsidRDefault="00DA0EB9" w:rsidP="00DA0EB9">
            <w:pPr>
              <w:suppressAutoHyphens/>
              <w:autoSpaceDN w:val="0"/>
              <w:jc w:val="right"/>
              <w:rPr>
                <w:rFonts w:ascii="Arial" w:eastAsia="Times New Roman" w:hAnsi="Arial" w:cs="Arial"/>
                <w:b/>
                <w:color w:val="000000" w:themeColor="text1"/>
                <w:sz w:val="18"/>
                <w:szCs w:val="18"/>
              </w:rPr>
            </w:pPr>
            <w:r>
              <w:rPr>
                <w:rFonts w:ascii="Arial" w:hAnsi="Arial" w:cs="Arial"/>
                <w:b/>
                <w:color w:val="000000" w:themeColor="text1"/>
                <w:sz w:val="18"/>
                <w:szCs w:val="18"/>
              </w:rPr>
              <w:t>158</w:t>
            </w:r>
          </w:p>
        </w:tc>
      </w:tr>
    </w:tbl>
    <w:p w14:paraId="2F05FC9C" w14:textId="77777777" w:rsidR="00A73031" w:rsidRPr="003D1614" w:rsidRDefault="00A73031" w:rsidP="00A73031">
      <w:pPr>
        <w:keepNext/>
        <w:suppressAutoHyphens/>
        <w:autoSpaceDN w:val="0"/>
        <w:jc w:val="both"/>
        <w:outlineLvl w:val="0"/>
        <w:rPr>
          <w:rFonts w:ascii="Arial" w:eastAsia="Times New Roman" w:hAnsi="Arial" w:cs="Arial"/>
          <w:b/>
          <w:bCs/>
          <w:color w:val="000000" w:themeColor="text1"/>
          <w:sz w:val="20"/>
          <w:szCs w:val="20"/>
        </w:rPr>
      </w:pPr>
    </w:p>
    <w:p w14:paraId="240BFCC0" w14:textId="77777777" w:rsidR="00A73031" w:rsidRPr="003D1614" w:rsidRDefault="00A73031" w:rsidP="00DE4AC9">
      <w:pPr>
        <w:keepNext/>
        <w:suppressAutoHyphens/>
        <w:autoSpaceDN w:val="0"/>
        <w:jc w:val="both"/>
        <w:outlineLvl w:val="0"/>
        <w:rPr>
          <w:rFonts w:ascii="Arial" w:eastAsia="Times New Roman" w:hAnsi="Arial" w:cs="Arial"/>
          <w:bCs/>
          <w:color w:val="000000" w:themeColor="text1"/>
          <w:sz w:val="20"/>
          <w:szCs w:val="20"/>
        </w:rPr>
        <w:sectPr w:rsidR="00A73031" w:rsidRPr="003D1614">
          <w:pgSz w:w="11906" w:h="16838"/>
          <w:pgMar w:top="1417" w:right="1417" w:bottom="1417" w:left="1417" w:header="708" w:footer="708" w:gutter="0"/>
          <w:cols w:space="708"/>
          <w:docGrid w:linePitch="360"/>
        </w:sectPr>
      </w:pPr>
    </w:p>
    <w:p w14:paraId="23B81CE8" w14:textId="77777777" w:rsidR="00A73031" w:rsidRPr="003D1614" w:rsidRDefault="00A73031" w:rsidP="00A73031">
      <w:pPr>
        <w:keepNext/>
        <w:suppressAutoHyphens/>
        <w:autoSpaceDN w:val="0"/>
        <w:jc w:val="both"/>
        <w:outlineLvl w:val="0"/>
        <w:rPr>
          <w:rFonts w:ascii="Arial" w:eastAsia="Times New Roman" w:hAnsi="Arial" w:cs="Arial"/>
          <w:b/>
          <w:bCs/>
          <w:color w:val="000000" w:themeColor="text1"/>
        </w:rPr>
      </w:pPr>
    </w:p>
    <w:p w14:paraId="6939C7CC" w14:textId="0005838B" w:rsidR="00A73031" w:rsidRPr="003D1614" w:rsidRDefault="00A73031" w:rsidP="00A73031">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10.</w:t>
      </w:r>
      <w:r w:rsidRPr="003D1614">
        <w:rPr>
          <w:rFonts w:ascii="Arial" w:eastAsia="Times New Roman" w:hAnsi="Arial" w:cs="Arial"/>
          <w:b/>
          <w:bCs/>
          <w:color w:val="000000" w:themeColor="text1"/>
          <w:sz w:val="20"/>
          <w:szCs w:val="20"/>
        </w:rPr>
        <w:tab/>
        <w:t>Depoziti kod drugih banaka</w:t>
      </w:r>
    </w:p>
    <w:p w14:paraId="68B2BCF1" w14:textId="77777777" w:rsidR="00A73031" w:rsidRPr="003D1614" w:rsidRDefault="00A73031" w:rsidP="00A73031">
      <w:pPr>
        <w:tabs>
          <w:tab w:val="left" w:pos="-720"/>
        </w:tabs>
        <w:suppressAutoHyphens/>
        <w:autoSpaceDN w:val="0"/>
        <w:rPr>
          <w:rFonts w:ascii="Arial" w:eastAsia="Times New Roman" w:hAnsi="Arial" w:cs="Arial"/>
          <w:color w:val="000000" w:themeColor="text1"/>
          <w:sz w:val="20"/>
          <w:szCs w:val="20"/>
        </w:rPr>
      </w:pPr>
    </w:p>
    <w:tbl>
      <w:tblPr>
        <w:tblW w:w="4951" w:type="pct"/>
        <w:tblCellMar>
          <w:left w:w="122" w:type="dxa"/>
          <w:right w:w="122" w:type="dxa"/>
        </w:tblCellMar>
        <w:tblLook w:val="0000" w:firstRow="0" w:lastRow="0" w:firstColumn="0" w:lastColumn="0" w:noHBand="0" w:noVBand="0"/>
      </w:tblPr>
      <w:tblGrid>
        <w:gridCol w:w="3396"/>
        <w:gridCol w:w="1376"/>
        <w:gridCol w:w="1419"/>
        <w:gridCol w:w="1374"/>
        <w:gridCol w:w="1418"/>
      </w:tblGrid>
      <w:tr w:rsidR="00A73031" w:rsidRPr="00335A18" w14:paraId="33FABD9B" w14:textId="77777777" w:rsidTr="00335A18">
        <w:trPr>
          <w:trHeight w:val="112"/>
        </w:trPr>
        <w:tc>
          <w:tcPr>
            <w:tcW w:w="1890" w:type="pct"/>
            <w:vAlign w:val="bottom"/>
          </w:tcPr>
          <w:p w14:paraId="2C074F9B" w14:textId="77777777" w:rsidR="00A73031" w:rsidRPr="00335A18" w:rsidRDefault="00A73031" w:rsidP="00A73031">
            <w:pPr>
              <w:tabs>
                <w:tab w:val="left" w:pos="-720"/>
              </w:tabs>
              <w:suppressAutoHyphens/>
              <w:autoSpaceDN w:val="0"/>
              <w:rPr>
                <w:rFonts w:ascii="Arial" w:eastAsia="Times New Roman" w:hAnsi="Arial" w:cs="Arial"/>
                <w:b/>
                <w:color w:val="000000" w:themeColor="text1"/>
                <w:sz w:val="20"/>
                <w:szCs w:val="20"/>
              </w:rPr>
            </w:pPr>
          </w:p>
        </w:tc>
        <w:tc>
          <w:tcPr>
            <w:tcW w:w="1556" w:type="pct"/>
            <w:gridSpan w:val="2"/>
            <w:vAlign w:val="bottom"/>
          </w:tcPr>
          <w:p w14:paraId="2F85AFEC" w14:textId="77777777" w:rsidR="00A73031" w:rsidRPr="00335A18"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35A18">
              <w:rPr>
                <w:rFonts w:ascii="Arial" w:eastAsia="Times New Roman" w:hAnsi="Arial" w:cs="Arial"/>
                <w:b/>
                <w:color w:val="000000" w:themeColor="text1"/>
                <w:sz w:val="20"/>
                <w:szCs w:val="20"/>
              </w:rPr>
              <w:t xml:space="preserve">Grupa </w:t>
            </w:r>
          </w:p>
        </w:tc>
        <w:tc>
          <w:tcPr>
            <w:tcW w:w="1554" w:type="pct"/>
            <w:gridSpan w:val="2"/>
            <w:vAlign w:val="bottom"/>
          </w:tcPr>
          <w:p w14:paraId="36BAB692" w14:textId="77777777" w:rsidR="00A73031" w:rsidRPr="00335A18"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27" w:name="_Toc67327929"/>
            <w:r w:rsidRPr="00335A18">
              <w:rPr>
                <w:rFonts w:ascii="Arial" w:eastAsia="Times New Roman" w:hAnsi="Arial" w:cs="Arial"/>
                <w:b/>
                <w:color w:val="000000" w:themeColor="text1"/>
                <w:sz w:val="20"/>
                <w:szCs w:val="20"/>
              </w:rPr>
              <w:t>Banka</w:t>
            </w:r>
            <w:bookmarkEnd w:id="327"/>
          </w:p>
        </w:tc>
      </w:tr>
      <w:tr w:rsidR="00A73031" w:rsidRPr="00335A18" w14:paraId="33EDF0BF" w14:textId="77777777" w:rsidTr="00335A18">
        <w:trPr>
          <w:trHeight w:val="112"/>
        </w:trPr>
        <w:tc>
          <w:tcPr>
            <w:tcW w:w="1890" w:type="pct"/>
            <w:vAlign w:val="bottom"/>
          </w:tcPr>
          <w:p w14:paraId="3548B07C" w14:textId="77777777" w:rsidR="00A73031" w:rsidRPr="00335A18" w:rsidRDefault="00A73031" w:rsidP="00A73031">
            <w:pPr>
              <w:tabs>
                <w:tab w:val="left" w:pos="-720"/>
              </w:tabs>
              <w:suppressAutoHyphens/>
              <w:autoSpaceDN w:val="0"/>
              <w:rPr>
                <w:rFonts w:ascii="Arial" w:eastAsia="Times New Roman" w:hAnsi="Arial" w:cs="Arial"/>
                <w:b/>
                <w:color w:val="000000" w:themeColor="text1"/>
                <w:sz w:val="20"/>
                <w:szCs w:val="20"/>
              </w:rPr>
            </w:pPr>
          </w:p>
        </w:tc>
        <w:tc>
          <w:tcPr>
            <w:tcW w:w="766" w:type="pct"/>
            <w:vAlign w:val="bottom"/>
          </w:tcPr>
          <w:p w14:paraId="40A76255" w14:textId="32624ECE" w:rsidR="00A73031" w:rsidRPr="00335A18"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35A18">
              <w:rPr>
                <w:rFonts w:ascii="Arial" w:eastAsia="Times New Roman" w:hAnsi="Arial" w:cs="Arial"/>
                <w:b/>
                <w:color w:val="000000" w:themeColor="text1"/>
                <w:sz w:val="20"/>
                <w:szCs w:val="20"/>
              </w:rPr>
              <w:t>31. ožujka 202</w:t>
            </w:r>
            <w:r w:rsidR="0083427C">
              <w:rPr>
                <w:rFonts w:ascii="Arial" w:eastAsia="Times New Roman" w:hAnsi="Arial" w:cs="Arial"/>
                <w:b/>
                <w:color w:val="000000" w:themeColor="text1"/>
                <w:sz w:val="20"/>
                <w:szCs w:val="20"/>
              </w:rPr>
              <w:t>4</w:t>
            </w:r>
            <w:r w:rsidRPr="00335A18">
              <w:rPr>
                <w:rFonts w:ascii="Arial" w:eastAsia="Times New Roman" w:hAnsi="Arial" w:cs="Arial"/>
                <w:b/>
                <w:color w:val="000000" w:themeColor="text1"/>
                <w:sz w:val="20"/>
                <w:szCs w:val="20"/>
              </w:rPr>
              <w:t>.</w:t>
            </w:r>
          </w:p>
        </w:tc>
        <w:tc>
          <w:tcPr>
            <w:tcW w:w="790" w:type="pct"/>
            <w:vAlign w:val="bottom"/>
          </w:tcPr>
          <w:p w14:paraId="7074362F" w14:textId="4B35D0BD" w:rsidR="00A73031" w:rsidRPr="00335A18"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35A18">
              <w:rPr>
                <w:rFonts w:ascii="Arial" w:eastAsia="Times New Roman" w:hAnsi="Arial" w:cs="Arial"/>
                <w:b/>
                <w:color w:val="000000" w:themeColor="text1"/>
                <w:sz w:val="20"/>
                <w:szCs w:val="20"/>
              </w:rPr>
              <w:t>31. prosinca 202</w:t>
            </w:r>
            <w:r w:rsidR="0083427C">
              <w:rPr>
                <w:rFonts w:ascii="Arial" w:eastAsia="Times New Roman" w:hAnsi="Arial" w:cs="Arial"/>
                <w:b/>
                <w:color w:val="000000" w:themeColor="text1"/>
                <w:sz w:val="20"/>
                <w:szCs w:val="20"/>
              </w:rPr>
              <w:t>3</w:t>
            </w:r>
            <w:r w:rsidRPr="00335A18">
              <w:rPr>
                <w:rFonts w:ascii="Arial" w:eastAsia="Times New Roman" w:hAnsi="Arial" w:cs="Arial"/>
                <w:b/>
                <w:color w:val="000000" w:themeColor="text1"/>
                <w:sz w:val="20"/>
                <w:szCs w:val="20"/>
              </w:rPr>
              <w:t>.</w:t>
            </w:r>
          </w:p>
        </w:tc>
        <w:tc>
          <w:tcPr>
            <w:tcW w:w="765" w:type="pct"/>
            <w:vAlign w:val="bottom"/>
          </w:tcPr>
          <w:p w14:paraId="354FAB13" w14:textId="4BB0996F" w:rsidR="00A73031" w:rsidRPr="00335A18"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35A18">
              <w:rPr>
                <w:rFonts w:ascii="Arial" w:eastAsia="Times New Roman" w:hAnsi="Arial" w:cs="Arial"/>
                <w:b/>
                <w:color w:val="000000" w:themeColor="text1"/>
                <w:sz w:val="20"/>
                <w:szCs w:val="20"/>
              </w:rPr>
              <w:t>31. ožujka 202</w:t>
            </w:r>
            <w:r w:rsidR="0083427C">
              <w:rPr>
                <w:rFonts w:ascii="Arial" w:eastAsia="Times New Roman" w:hAnsi="Arial" w:cs="Arial"/>
                <w:b/>
                <w:color w:val="000000" w:themeColor="text1"/>
                <w:sz w:val="20"/>
                <w:szCs w:val="20"/>
              </w:rPr>
              <w:t>4</w:t>
            </w:r>
            <w:r w:rsidRPr="00335A18">
              <w:rPr>
                <w:rFonts w:ascii="Arial" w:eastAsia="Times New Roman" w:hAnsi="Arial" w:cs="Arial"/>
                <w:b/>
                <w:color w:val="000000" w:themeColor="text1"/>
                <w:sz w:val="20"/>
                <w:szCs w:val="20"/>
              </w:rPr>
              <w:t>.</w:t>
            </w:r>
          </w:p>
        </w:tc>
        <w:tc>
          <w:tcPr>
            <w:tcW w:w="789" w:type="pct"/>
            <w:vAlign w:val="bottom"/>
          </w:tcPr>
          <w:p w14:paraId="06EFADDF" w14:textId="0CEBF1FF" w:rsidR="00A73031" w:rsidRPr="00335A18"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35A18">
              <w:rPr>
                <w:rFonts w:ascii="Arial" w:eastAsia="Times New Roman" w:hAnsi="Arial" w:cs="Arial"/>
                <w:b/>
                <w:color w:val="000000" w:themeColor="text1"/>
                <w:sz w:val="20"/>
                <w:szCs w:val="20"/>
              </w:rPr>
              <w:t>31. prosinca 202</w:t>
            </w:r>
            <w:r w:rsidR="0083427C">
              <w:rPr>
                <w:rFonts w:ascii="Arial" w:eastAsia="Times New Roman" w:hAnsi="Arial" w:cs="Arial"/>
                <w:b/>
                <w:color w:val="000000" w:themeColor="text1"/>
                <w:sz w:val="20"/>
                <w:szCs w:val="20"/>
              </w:rPr>
              <w:t>3</w:t>
            </w:r>
            <w:r w:rsidRPr="00335A18">
              <w:rPr>
                <w:rFonts w:ascii="Arial" w:eastAsia="Times New Roman" w:hAnsi="Arial" w:cs="Arial"/>
                <w:b/>
                <w:color w:val="000000" w:themeColor="text1"/>
                <w:sz w:val="20"/>
                <w:szCs w:val="20"/>
              </w:rPr>
              <w:t>.</w:t>
            </w:r>
          </w:p>
        </w:tc>
      </w:tr>
      <w:tr w:rsidR="00A73031" w:rsidRPr="00335A18" w14:paraId="01CE156D" w14:textId="77777777" w:rsidTr="00335A18">
        <w:trPr>
          <w:trHeight w:val="229"/>
        </w:trPr>
        <w:tc>
          <w:tcPr>
            <w:tcW w:w="1890" w:type="pct"/>
            <w:vAlign w:val="bottom"/>
          </w:tcPr>
          <w:p w14:paraId="4A3993B9" w14:textId="77777777" w:rsidR="00A73031" w:rsidRPr="00335A18" w:rsidRDefault="00A73031" w:rsidP="00A73031">
            <w:pPr>
              <w:tabs>
                <w:tab w:val="left" w:pos="-720"/>
              </w:tabs>
              <w:suppressAutoHyphens/>
              <w:autoSpaceDN w:val="0"/>
              <w:rPr>
                <w:rFonts w:ascii="Arial" w:eastAsia="Times New Roman" w:hAnsi="Arial" w:cs="Arial"/>
                <w:b/>
                <w:color w:val="000000" w:themeColor="text1"/>
                <w:sz w:val="20"/>
                <w:szCs w:val="20"/>
              </w:rPr>
            </w:pPr>
          </w:p>
        </w:tc>
        <w:tc>
          <w:tcPr>
            <w:tcW w:w="766" w:type="pct"/>
            <w:vAlign w:val="bottom"/>
          </w:tcPr>
          <w:p w14:paraId="1DE4ECDC" w14:textId="7FCAB04E" w:rsidR="00A73031" w:rsidRPr="00335A18"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35A18">
              <w:rPr>
                <w:rFonts w:ascii="Arial" w:eastAsia="Times New Roman" w:hAnsi="Arial" w:cs="Arial"/>
                <w:b/>
                <w:color w:val="000000" w:themeColor="text1"/>
                <w:sz w:val="20"/>
                <w:szCs w:val="20"/>
              </w:rPr>
              <w:t>000 eura</w:t>
            </w:r>
          </w:p>
        </w:tc>
        <w:tc>
          <w:tcPr>
            <w:tcW w:w="790" w:type="pct"/>
            <w:vAlign w:val="bottom"/>
          </w:tcPr>
          <w:p w14:paraId="725F86CA" w14:textId="6650AB42" w:rsidR="00A73031" w:rsidRPr="00335A18"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35A18">
              <w:rPr>
                <w:rFonts w:ascii="Arial" w:eastAsia="Times New Roman" w:hAnsi="Arial" w:cs="Arial"/>
                <w:b/>
                <w:color w:val="000000" w:themeColor="text1"/>
                <w:sz w:val="20"/>
                <w:szCs w:val="20"/>
              </w:rPr>
              <w:t>000 eura</w:t>
            </w:r>
          </w:p>
        </w:tc>
        <w:tc>
          <w:tcPr>
            <w:tcW w:w="765" w:type="pct"/>
            <w:vAlign w:val="bottom"/>
          </w:tcPr>
          <w:p w14:paraId="55C2EF8A" w14:textId="4EA70658" w:rsidR="00A73031" w:rsidRPr="00335A18"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35A18">
              <w:rPr>
                <w:rFonts w:ascii="Arial" w:eastAsia="Times New Roman" w:hAnsi="Arial" w:cs="Arial"/>
                <w:b/>
                <w:color w:val="000000" w:themeColor="text1"/>
                <w:sz w:val="20"/>
                <w:szCs w:val="20"/>
              </w:rPr>
              <w:t>000 eura</w:t>
            </w:r>
          </w:p>
        </w:tc>
        <w:tc>
          <w:tcPr>
            <w:tcW w:w="789" w:type="pct"/>
            <w:vAlign w:val="bottom"/>
          </w:tcPr>
          <w:p w14:paraId="326C5A39" w14:textId="59EDC45D" w:rsidR="00A73031" w:rsidRPr="00335A18" w:rsidRDefault="00A73031" w:rsidP="00A7303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35A18">
              <w:rPr>
                <w:rFonts w:ascii="Arial" w:eastAsia="Times New Roman" w:hAnsi="Arial" w:cs="Arial"/>
                <w:b/>
                <w:color w:val="000000" w:themeColor="text1"/>
                <w:sz w:val="20"/>
                <w:szCs w:val="20"/>
              </w:rPr>
              <w:t>000 eura</w:t>
            </w:r>
          </w:p>
        </w:tc>
      </w:tr>
      <w:tr w:rsidR="00A73031" w:rsidRPr="00335A18" w14:paraId="504DE7D9" w14:textId="77777777" w:rsidTr="00335A18">
        <w:tc>
          <w:tcPr>
            <w:tcW w:w="1890" w:type="pct"/>
            <w:vAlign w:val="bottom"/>
          </w:tcPr>
          <w:p w14:paraId="5A18AC78" w14:textId="77777777" w:rsidR="00A73031" w:rsidRPr="00335A18" w:rsidRDefault="00A73031" w:rsidP="00A73031">
            <w:pPr>
              <w:tabs>
                <w:tab w:val="left" w:pos="-720"/>
              </w:tabs>
              <w:suppressAutoHyphens/>
              <w:autoSpaceDN w:val="0"/>
              <w:rPr>
                <w:rFonts w:ascii="Arial" w:eastAsia="Times New Roman" w:hAnsi="Arial" w:cs="Arial"/>
                <w:color w:val="000000" w:themeColor="text1"/>
                <w:sz w:val="20"/>
                <w:szCs w:val="20"/>
              </w:rPr>
            </w:pPr>
          </w:p>
        </w:tc>
        <w:tc>
          <w:tcPr>
            <w:tcW w:w="766" w:type="pct"/>
            <w:vAlign w:val="bottom"/>
          </w:tcPr>
          <w:p w14:paraId="7F9D686F" w14:textId="77777777" w:rsidR="00A73031" w:rsidRPr="00335A18" w:rsidRDefault="00A73031" w:rsidP="00A73031">
            <w:pPr>
              <w:tabs>
                <w:tab w:val="left" w:pos="-720"/>
              </w:tabs>
              <w:suppressAutoHyphens/>
              <w:autoSpaceDN w:val="0"/>
              <w:jc w:val="right"/>
              <w:rPr>
                <w:rFonts w:ascii="Arial" w:eastAsia="Times New Roman" w:hAnsi="Arial" w:cs="Arial"/>
                <w:color w:val="000000" w:themeColor="text1"/>
                <w:sz w:val="20"/>
                <w:szCs w:val="20"/>
              </w:rPr>
            </w:pPr>
          </w:p>
        </w:tc>
        <w:tc>
          <w:tcPr>
            <w:tcW w:w="790" w:type="pct"/>
            <w:vAlign w:val="bottom"/>
          </w:tcPr>
          <w:p w14:paraId="54BC704C" w14:textId="77777777" w:rsidR="00A73031" w:rsidRPr="00335A18" w:rsidRDefault="00A73031" w:rsidP="00A73031">
            <w:pPr>
              <w:tabs>
                <w:tab w:val="left" w:pos="-720"/>
              </w:tabs>
              <w:suppressAutoHyphens/>
              <w:autoSpaceDN w:val="0"/>
              <w:jc w:val="right"/>
              <w:rPr>
                <w:rFonts w:ascii="Arial" w:eastAsia="Times New Roman" w:hAnsi="Arial" w:cs="Arial"/>
                <w:color w:val="000000" w:themeColor="text1"/>
                <w:sz w:val="20"/>
                <w:szCs w:val="20"/>
              </w:rPr>
            </w:pPr>
          </w:p>
        </w:tc>
        <w:tc>
          <w:tcPr>
            <w:tcW w:w="765" w:type="pct"/>
            <w:vAlign w:val="bottom"/>
          </w:tcPr>
          <w:p w14:paraId="5C2CE4C1" w14:textId="77777777" w:rsidR="00A73031" w:rsidRPr="00335A18" w:rsidRDefault="00A73031" w:rsidP="00A73031">
            <w:pPr>
              <w:tabs>
                <w:tab w:val="left" w:pos="-720"/>
              </w:tabs>
              <w:suppressAutoHyphens/>
              <w:autoSpaceDN w:val="0"/>
              <w:jc w:val="right"/>
              <w:rPr>
                <w:rFonts w:ascii="Arial" w:eastAsia="Times New Roman" w:hAnsi="Arial" w:cs="Arial"/>
                <w:color w:val="000000" w:themeColor="text1"/>
                <w:sz w:val="20"/>
                <w:szCs w:val="20"/>
              </w:rPr>
            </w:pPr>
          </w:p>
        </w:tc>
        <w:tc>
          <w:tcPr>
            <w:tcW w:w="789" w:type="pct"/>
            <w:vAlign w:val="bottom"/>
          </w:tcPr>
          <w:p w14:paraId="4150B574" w14:textId="77777777" w:rsidR="00A73031" w:rsidRPr="00335A18" w:rsidRDefault="00A73031" w:rsidP="00A73031">
            <w:pPr>
              <w:tabs>
                <w:tab w:val="left" w:pos="-720"/>
              </w:tabs>
              <w:suppressAutoHyphens/>
              <w:autoSpaceDN w:val="0"/>
              <w:jc w:val="right"/>
              <w:rPr>
                <w:rFonts w:ascii="Arial" w:eastAsia="Times New Roman" w:hAnsi="Arial" w:cs="Arial"/>
                <w:color w:val="000000" w:themeColor="text1"/>
                <w:sz w:val="20"/>
                <w:szCs w:val="20"/>
              </w:rPr>
            </w:pPr>
          </w:p>
        </w:tc>
      </w:tr>
      <w:tr w:rsidR="00BB5C25" w:rsidRPr="00335A18" w14:paraId="3E8AE112" w14:textId="77777777" w:rsidTr="00335A18">
        <w:tc>
          <w:tcPr>
            <w:tcW w:w="1890" w:type="pct"/>
            <w:vAlign w:val="bottom"/>
          </w:tcPr>
          <w:p w14:paraId="57C45F53" w14:textId="77777777" w:rsidR="00BB5C25" w:rsidRPr="00335A18" w:rsidRDefault="00BB5C25" w:rsidP="00BB5C25">
            <w:pPr>
              <w:tabs>
                <w:tab w:val="left" w:pos="-720"/>
              </w:tabs>
              <w:suppressAutoHyphens/>
              <w:autoSpaceDN w:val="0"/>
              <w:rPr>
                <w:rFonts w:ascii="Arial" w:eastAsia="Times New Roman" w:hAnsi="Arial" w:cs="Arial"/>
                <w:color w:val="000000" w:themeColor="text1"/>
                <w:sz w:val="20"/>
                <w:szCs w:val="20"/>
              </w:rPr>
            </w:pPr>
            <w:r w:rsidRPr="00335A18">
              <w:rPr>
                <w:rFonts w:ascii="Arial" w:eastAsia="Times New Roman" w:hAnsi="Arial" w:cs="Arial"/>
                <w:color w:val="000000" w:themeColor="text1"/>
                <w:sz w:val="20"/>
                <w:szCs w:val="20"/>
              </w:rPr>
              <w:t>Depoziti kod stranih banaka</w:t>
            </w:r>
          </w:p>
        </w:tc>
        <w:tc>
          <w:tcPr>
            <w:tcW w:w="766" w:type="pct"/>
            <w:tcBorders>
              <w:top w:val="nil"/>
              <w:left w:val="nil"/>
              <w:bottom w:val="nil"/>
              <w:right w:val="nil"/>
            </w:tcBorders>
            <w:shd w:val="clear" w:color="auto" w:fill="auto"/>
            <w:vAlign w:val="bottom"/>
          </w:tcPr>
          <w:p w14:paraId="2389D7C8" w14:textId="55223C5C" w:rsidR="00BB5C25" w:rsidRPr="00335A18" w:rsidRDefault="00BB5C25" w:rsidP="00BB5C25">
            <w:pPr>
              <w:tabs>
                <w:tab w:val="left" w:pos="-720"/>
              </w:tabs>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62.616</w:t>
            </w:r>
          </w:p>
        </w:tc>
        <w:tc>
          <w:tcPr>
            <w:tcW w:w="790" w:type="pct"/>
            <w:tcBorders>
              <w:top w:val="nil"/>
              <w:left w:val="nil"/>
              <w:bottom w:val="nil"/>
              <w:right w:val="nil"/>
            </w:tcBorders>
            <w:shd w:val="clear" w:color="auto" w:fill="auto"/>
            <w:vAlign w:val="bottom"/>
          </w:tcPr>
          <w:p w14:paraId="7A27EB52" w14:textId="0660DED2" w:rsidR="00BB5C25" w:rsidRPr="00236A5E" w:rsidRDefault="00BB5C25" w:rsidP="00BB5C25">
            <w:pPr>
              <w:tabs>
                <w:tab w:val="left" w:pos="-720"/>
              </w:tabs>
              <w:suppressAutoHyphens/>
              <w:autoSpaceDN w:val="0"/>
              <w:jc w:val="right"/>
              <w:rPr>
                <w:rFonts w:ascii="Arial" w:eastAsia="Times New Roman" w:hAnsi="Arial" w:cs="Arial"/>
                <w:color w:val="000000" w:themeColor="text1"/>
                <w:sz w:val="20"/>
                <w:szCs w:val="20"/>
              </w:rPr>
            </w:pPr>
            <w:r w:rsidRPr="00236A5E">
              <w:rPr>
                <w:rFonts w:ascii="Arial" w:hAnsi="Arial" w:cs="Arial"/>
                <w:color w:val="000000" w:themeColor="text1"/>
                <w:sz w:val="20"/>
                <w:szCs w:val="20"/>
              </w:rPr>
              <w:t>33.647</w:t>
            </w:r>
          </w:p>
        </w:tc>
        <w:tc>
          <w:tcPr>
            <w:tcW w:w="765" w:type="pct"/>
            <w:tcBorders>
              <w:top w:val="nil"/>
              <w:left w:val="nil"/>
              <w:bottom w:val="nil"/>
              <w:right w:val="nil"/>
            </w:tcBorders>
            <w:shd w:val="clear" w:color="auto" w:fill="auto"/>
            <w:vAlign w:val="bottom"/>
          </w:tcPr>
          <w:p w14:paraId="687B968F" w14:textId="0B07A22A" w:rsidR="00BB5C25" w:rsidRPr="00236A5E" w:rsidRDefault="00BB5C25" w:rsidP="00BB5C25">
            <w:pPr>
              <w:tabs>
                <w:tab w:val="left" w:pos="-720"/>
              </w:tabs>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62.616</w:t>
            </w:r>
          </w:p>
        </w:tc>
        <w:tc>
          <w:tcPr>
            <w:tcW w:w="789" w:type="pct"/>
            <w:tcBorders>
              <w:top w:val="nil"/>
              <w:left w:val="nil"/>
              <w:bottom w:val="nil"/>
              <w:right w:val="nil"/>
            </w:tcBorders>
            <w:shd w:val="clear" w:color="auto" w:fill="auto"/>
            <w:vAlign w:val="bottom"/>
          </w:tcPr>
          <w:p w14:paraId="684BC9D5" w14:textId="50577A1A" w:rsidR="00BB5C25" w:rsidRPr="00236A5E" w:rsidRDefault="00BB5C25" w:rsidP="00BB5C25">
            <w:pPr>
              <w:tabs>
                <w:tab w:val="left" w:pos="-720"/>
              </w:tabs>
              <w:suppressAutoHyphens/>
              <w:autoSpaceDN w:val="0"/>
              <w:jc w:val="right"/>
              <w:rPr>
                <w:rFonts w:ascii="Arial" w:eastAsia="Times New Roman" w:hAnsi="Arial" w:cs="Arial"/>
                <w:color w:val="000000" w:themeColor="text1"/>
                <w:sz w:val="20"/>
                <w:szCs w:val="20"/>
              </w:rPr>
            </w:pPr>
            <w:r w:rsidRPr="00236A5E">
              <w:rPr>
                <w:rFonts w:ascii="Arial" w:hAnsi="Arial" w:cs="Arial"/>
                <w:color w:val="000000" w:themeColor="text1"/>
                <w:sz w:val="20"/>
                <w:szCs w:val="20"/>
              </w:rPr>
              <w:t xml:space="preserve"> 33.647 </w:t>
            </w:r>
          </w:p>
        </w:tc>
      </w:tr>
      <w:tr w:rsidR="00BB5C25" w:rsidRPr="00335A18" w14:paraId="6517D73A" w14:textId="77777777" w:rsidTr="00335A18">
        <w:tc>
          <w:tcPr>
            <w:tcW w:w="1890" w:type="pct"/>
            <w:vAlign w:val="bottom"/>
          </w:tcPr>
          <w:p w14:paraId="70E95092" w14:textId="77777777" w:rsidR="00BB5C25" w:rsidRPr="00335A18" w:rsidRDefault="00BB5C25" w:rsidP="00BB5C25">
            <w:pPr>
              <w:tabs>
                <w:tab w:val="left" w:pos="-720"/>
              </w:tabs>
              <w:suppressAutoHyphens/>
              <w:autoSpaceDN w:val="0"/>
              <w:rPr>
                <w:rFonts w:ascii="Arial" w:eastAsia="Times New Roman" w:hAnsi="Arial" w:cs="Arial"/>
                <w:color w:val="000000" w:themeColor="text1"/>
                <w:sz w:val="20"/>
                <w:szCs w:val="20"/>
              </w:rPr>
            </w:pPr>
            <w:r w:rsidRPr="00335A18">
              <w:rPr>
                <w:rFonts w:ascii="Arial" w:eastAsia="Times New Roman" w:hAnsi="Arial" w:cs="Arial"/>
                <w:color w:val="000000" w:themeColor="text1"/>
                <w:sz w:val="20"/>
                <w:szCs w:val="20"/>
              </w:rPr>
              <w:t>Depoziti kod domaćih banaka</w:t>
            </w:r>
          </w:p>
        </w:tc>
        <w:tc>
          <w:tcPr>
            <w:tcW w:w="766" w:type="pct"/>
            <w:tcBorders>
              <w:top w:val="nil"/>
              <w:left w:val="nil"/>
              <w:bottom w:val="nil"/>
              <w:right w:val="nil"/>
            </w:tcBorders>
            <w:shd w:val="clear" w:color="auto" w:fill="auto"/>
            <w:vAlign w:val="bottom"/>
          </w:tcPr>
          <w:p w14:paraId="41C4D37F" w14:textId="1EEAAA73" w:rsidR="00BB5C25" w:rsidRPr="00335A18" w:rsidRDefault="00BB5C25" w:rsidP="00BB5C25">
            <w:pPr>
              <w:tabs>
                <w:tab w:val="left" w:pos="-720"/>
              </w:tabs>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66.724</w:t>
            </w:r>
          </w:p>
        </w:tc>
        <w:tc>
          <w:tcPr>
            <w:tcW w:w="790" w:type="pct"/>
            <w:tcBorders>
              <w:top w:val="nil"/>
              <w:left w:val="nil"/>
              <w:bottom w:val="nil"/>
              <w:right w:val="nil"/>
            </w:tcBorders>
            <w:shd w:val="clear" w:color="auto" w:fill="auto"/>
            <w:vAlign w:val="bottom"/>
          </w:tcPr>
          <w:p w14:paraId="36F27CB0" w14:textId="2DC33DF3" w:rsidR="00BB5C25" w:rsidRPr="00236A5E" w:rsidRDefault="00BB5C25" w:rsidP="00BB5C25">
            <w:pPr>
              <w:tabs>
                <w:tab w:val="left" w:pos="-720"/>
              </w:tabs>
              <w:suppressAutoHyphens/>
              <w:autoSpaceDN w:val="0"/>
              <w:jc w:val="right"/>
              <w:rPr>
                <w:rFonts w:ascii="Arial" w:eastAsia="Times New Roman" w:hAnsi="Arial" w:cs="Arial"/>
                <w:color w:val="000000" w:themeColor="text1"/>
                <w:sz w:val="20"/>
                <w:szCs w:val="20"/>
              </w:rPr>
            </w:pPr>
            <w:r w:rsidRPr="00236A5E">
              <w:rPr>
                <w:rFonts w:ascii="Arial" w:hAnsi="Arial" w:cs="Arial"/>
                <w:color w:val="000000" w:themeColor="text1"/>
                <w:sz w:val="20"/>
                <w:szCs w:val="20"/>
              </w:rPr>
              <w:t>38.300</w:t>
            </w:r>
          </w:p>
        </w:tc>
        <w:tc>
          <w:tcPr>
            <w:tcW w:w="765" w:type="pct"/>
            <w:tcBorders>
              <w:top w:val="nil"/>
              <w:left w:val="nil"/>
              <w:bottom w:val="nil"/>
              <w:right w:val="nil"/>
            </w:tcBorders>
            <w:shd w:val="clear" w:color="auto" w:fill="auto"/>
            <w:vAlign w:val="bottom"/>
          </w:tcPr>
          <w:p w14:paraId="0FA645B4" w14:textId="21EF9F6F" w:rsidR="00BB5C25" w:rsidRPr="00236A5E" w:rsidRDefault="00BB5C25" w:rsidP="00BB5C25">
            <w:pPr>
              <w:tabs>
                <w:tab w:val="left" w:pos="-720"/>
              </w:tabs>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64.444</w:t>
            </w:r>
          </w:p>
        </w:tc>
        <w:tc>
          <w:tcPr>
            <w:tcW w:w="789" w:type="pct"/>
            <w:tcBorders>
              <w:top w:val="nil"/>
              <w:left w:val="nil"/>
              <w:bottom w:val="nil"/>
              <w:right w:val="nil"/>
            </w:tcBorders>
            <w:shd w:val="clear" w:color="auto" w:fill="auto"/>
            <w:vAlign w:val="bottom"/>
          </w:tcPr>
          <w:p w14:paraId="78CCD517" w14:textId="1B003DF0" w:rsidR="00BB5C25" w:rsidRPr="00236A5E" w:rsidRDefault="00BB5C25" w:rsidP="00BB5C25">
            <w:pPr>
              <w:tabs>
                <w:tab w:val="left" w:pos="-720"/>
              </w:tabs>
              <w:suppressAutoHyphens/>
              <w:autoSpaceDN w:val="0"/>
              <w:jc w:val="right"/>
              <w:rPr>
                <w:rFonts w:ascii="Arial" w:eastAsia="Times New Roman" w:hAnsi="Arial" w:cs="Arial"/>
                <w:color w:val="000000" w:themeColor="text1"/>
                <w:sz w:val="20"/>
                <w:szCs w:val="20"/>
              </w:rPr>
            </w:pPr>
            <w:r w:rsidRPr="00236A5E">
              <w:rPr>
                <w:rFonts w:ascii="Arial" w:hAnsi="Arial" w:cs="Arial"/>
                <w:color w:val="000000" w:themeColor="text1"/>
                <w:sz w:val="20"/>
                <w:szCs w:val="20"/>
              </w:rPr>
              <w:t xml:space="preserve"> 36.000 </w:t>
            </w:r>
          </w:p>
        </w:tc>
      </w:tr>
      <w:tr w:rsidR="00BB5C25" w:rsidRPr="00335A18" w14:paraId="534EA8C7" w14:textId="77777777" w:rsidTr="00335A18">
        <w:tc>
          <w:tcPr>
            <w:tcW w:w="1890" w:type="pct"/>
            <w:vAlign w:val="bottom"/>
          </w:tcPr>
          <w:p w14:paraId="5EA8C048" w14:textId="3E2D1BB5" w:rsidR="00BB5C25" w:rsidRPr="00335A18" w:rsidRDefault="00BB5C25" w:rsidP="00BB5C25">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28" w:name="_Toc67327943"/>
            <w:r w:rsidRPr="00335A18">
              <w:rPr>
                <w:rFonts w:ascii="Arial" w:eastAsia="Times New Roman" w:hAnsi="Arial" w:cs="Arial"/>
                <w:color w:val="000000" w:themeColor="text1"/>
                <w:sz w:val="20"/>
                <w:szCs w:val="20"/>
              </w:rPr>
              <w:t>Obračunata kamata</w:t>
            </w:r>
            <w:bookmarkEnd w:id="328"/>
          </w:p>
        </w:tc>
        <w:tc>
          <w:tcPr>
            <w:tcW w:w="766" w:type="pct"/>
            <w:tcBorders>
              <w:top w:val="nil"/>
              <w:left w:val="nil"/>
              <w:bottom w:val="single" w:sz="4" w:space="0" w:color="auto"/>
              <w:right w:val="nil"/>
            </w:tcBorders>
            <w:shd w:val="clear" w:color="auto" w:fill="auto"/>
            <w:vAlign w:val="bottom"/>
          </w:tcPr>
          <w:p w14:paraId="0AE57FCC" w14:textId="30A47057" w:rsidR="00BB5C25" w:rsidRPr="00335A18" w:rsidRDefault="00BB5C25" w:rsidP="00BB5C25">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w:t>
            </w:r>
          </w:p>
        </w:tc>
        <w:tc>
          <w:tcPr>
            <w:tcW w:w="790" w:type="pct"/>
            <w:tcBorders>
              <w:top w:val="nil"/>
              <w:left w:val="nil"/>
              <w:bottom w:val="single" w:sz="4" w:space="0" w:color="auto"/>
              <w:right w:val="nil"/>
            </w:tcBorders>
            <w:shd w:val="clear" w:color="auto" w:fill="auto"/>
            <w:vAlign w:val="bottom"/>
          </w:tcPr>
          <w:p w14:paraId="21646F55" w14:textId="5F40C224" w:rsidR="00BB5C25" w:rsidRPr="00236A5E" w:rsidRDefault="00BB5C25" w:rsidP="00BB5C25">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236A5E">
              <w:rPr>
                <w:rFonts w:ascii="Arial" w:hAnsi="Arial" w:cs="Arial"/>
                <w:color w:val="000000" w:themeColor="text1"/>
                <w:sz w:val="20"/>
              </w:rPr>
              <w:t>35</w:t>
            </w:r>
          </w:p>
        </w:tc>
        <w:tc>
          <w:tcPr>
            <w:tcW w:w="765" w:type="pct"/>
            <w:tcBorders>
              <w:top w:val="nil"/>
              <w:left w:val="nil"/>
              <w:bottom w:val="single" w:sz="4" w:space="0" w:color="auto"/>
              <w:right w:val="nil"/>
            </w:tcBorders>
            <w:shd w:val="clear" w:color="auto" w:fill="auto"/>
            <w:vAlign w:val="bottom"/>
          </w:tcPr>
          <w:p w14:paraId="250FC887" w14:textId="0B27B5C5" w:rsidR="00BB5C25" w:rsidRPr="00236A5E" w:rsidRDefault="00BB5C25" w:rsidP="00BB5C25">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w:t>
            </w:r>
          </w:p>
        </w:tc>
        <w:tc>
          <w:tcPr>
            <w:tcW w:w="789" w:type="pct"/>
            <w:tcBorders>
              <w:top w:val="nil"/>
              <w:left w:val="nil"/>
              <w:bottom w:val="single" w:sz="4" w:space="0" w:color="auto"/>
              <w:right w:val="nil"/>
            </w:tcBorders>
            <w:shd w:val="clear" w:color="auto" w:fill="auto"/>
            <w:vAlign w:val="bottom"/>
          </w:tcPr>
          <w:p w14:paraId="698CA2CE" w14:textId="19A1E2EA" w:rsidR="00BB5C25" w:rsidRPr="00236A5E" w:rsidRDefault="00BB5C25" w:rsidP="00BB5C25">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236A5E">
              <w:rPr>
                <w:rFonts w:ascii="Arial" w:hAnsi="Arial" w:cs="Arial"/>
                <w:color w:val="000000" w:themeColor="text1"/>
                <w:sz w:val="20"/>
                <w:szCs w:val="20"/>
              </w:rPr>
              <w:t xml:space="preserve"> 27 </w:t>
            </w:r>
          </w:p>
        </w:tc>
      </w:tr>
      <w:tr w:rsidR="00BB5C25" w:rsidRPr="00335A18" w14:paraId="0A7658B5" w14:textId="77777777" w:rsidTr="00335A18">
        <w:tc>
          <w:tcPr>
            <w:tcW w:w="1890" w:type="pct"/>
            <w:vAlign w:val="bottom"/>
          </w:tcPr>
          <w:p w14:paraId="0BADC25F" w14:textId="77777777" w:rsidR="00BB5C25" w:rsidRPr="00335A18" w:rsidRDefault="00BB5C25" w:rsidP="00BB5C25">
            <w:pPr>
              <w:tabs>
                <w:tab w:val="right" w:pos="1202"/>
              </w:tabs>
              <w:suppressAutoHyphens/>
              <w:autoSpaceDN w:val="0"/>
              <w:spacing w:line="340" w:lineRule="exact"/>
              <w:outlineLvl w:val="0"/>
              <w:rPr>
                <w:rFonts w:ascii="Arial" w:eastAsia="Times New Roman" w:hAnsi="Arial" w:cs="Arial"/>
                <w:color w:val="000000" w:themeColor="text1"/>
                <w:sz w:val="20"/>
                <w:szCs w:val="20"/>
              </w:rPr>
            </w:pPr>
          </w:p>
        </w:tc>
        <w:tc>
          <w:tcPr>
            <w:tcW w:w="766" w:type="pct"/>
            <w:tcBorders>
              <w:top w:val="single" w:sz="4" w:space="0" w:color="auto"/>
              <w:left w:val="nil"/>
              <w:bottom w:val="single" w:sz="12" w:space="0" w:color="auto"/>
              <w:right w:val="nil"/>
            </w:tcBorders>
            <w:shd w:val="clear" w:color="auto" w:fill="auto"/>
            <w:vAlign w:val="bottom"/>
          </w:tcPr>
          <w:p w14:paraId="24067574" w14:textId="49EE0E87" w:rsidR="00BB5C25" w:rsidRPr="00335A18" w:rsidRDefault="00BB5C25" w:rsidP="00BB5C25">
            <w:pPr>
              <w:tabs>
                <w:tab w:val="right" w:pos="1202"/>
              </w:tabs>
              <w:suppressAutoHyphens/>
              <w:autoSpaceDN w:val="0"/>
              <w:spacing w:line="340" w:lineRule="exact"/>
              <w:jc w:val="right"/>
              <w:outlineLvl w:val="0"/>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129.409</w:t>
            </w:r>
          </w:p>
        </w:tc>
        <w:tc>
          <w:tcPr>
            <w:tcW w:w="790" w:type="pct"/>
            <w:tcBorders>
              <w:top w:val="single" w:sz="4" w:space="0" w:color="auto"/>
              <w:left w:val="nil"/>
              <w:bottom w:val="single" w:sz="12" w:space="0" w:color="auto"/>
              <w:right w:val="nil"/>
            </w:tcBorders>
            <w:shd w:val="clear" w:color="auto" w:fill="auto"/>
            <w:vAlign w:val="bottom"/>
          </w:tcPr>
          <w:p w14:paraId="26D4ACCC" w14:textId="7F6146A8" w:rsidR="00BB5C25" w:rsidRPr="00236A5E" w:rsidRDefault="00BB5C25" w:rsidP="00BB5C25">
            <w:pPr>
              <w:tabs>
                <w:tab w:val="right" w:pos="1202"/>
              </w:tabs>
              <w:suppressAutoHyphens/>
              <w:autoSpaceDN w:val="0"/>
              <w:spacing w:line="340" w:lineRule="exact"/>
              <w:jc w:val="right"/>
              <w:outlineLvl w:val="0"/>
              <w:rPr>
                <w:rFonts w:ascii="Arial" w:eastAsia="Times New Roman" w:hAnsi="Arial" w:cs="Arial"/>
                <w:b/>
                <w:color w:val="000000" w:themeColor="text1"/>
                <w:sz w:val="20"/>
                <w:szCs w:val="20"/>
              </w:rPr>
            </w:pPr>
            <w:r w:rsidRPr="00236A5E">
              <w:rPr>
                <w:rFonts w:ascii="Arial" w:hAnsi="Arial" w:cs="Arial"/>
                <w:b/>
                <w:color w:val="000000" w:themeColor="text1"/>
                <w:sz w:val="20"/>
              </w:rPr>
              <w:t>71.982</w:t>
            </w:r>
          </w:p>
        </w:tc>
        <w:tc>
          <w:tcPr>
            <w:tcW w:w="765" w:type="pct"/>
            <w:tcBorders>
              <w:top w:val="single" w:sz="4" w:space="0" w:color="auto"/>
              <w:left w:val="nil"/>
              <w:bottom w:val="single" w:sz="12" w:space="0" w:color="auto"/>
              <w:right w:val="nil"/>
            </w:tcBorders>
            <w:shd w:val="clear" w:color="auto" w:fill="auto"/>
            <w:vAlign w:val="bottom"/>
          </w:tcPr>
          <w:p w14:paraId="47F5D6CA" w14:textId="78AF563C" w:rsidR="00BB5C25" w:rsidRPr="00236A5E" w:rsidRDefault="00BB5C25" w:rsidP="00BB5C25">
            <w:pPr>
              <w:tabs>
                <w:tab w:val="right" w:pos="1202"/>
              </w:tabs>
              <w:suppressAutoHyphens/>
              <w:autoSpaceDN w:val="0"/>
              <w:spacing w:line="340" w:lineRule="exact"/>
              <w:jc w:val="right"/>
              <w:outlineLvl w:val="0"/>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127.102</w:t>
            </w:r>
          </w:p>
        </w:tc>
        <w:tc>
          <w:tcPr>
            <w:tcW w:w="789" w:type="pct"/>
            <w:tcBorders>
              <w:top w:val="single" w:sz="4" w:space="0" w:color="auto"/>
              <w:left w:val="nil"/>
              <w:bottom w:val="single" w:sz="12" w:space="0" w:color="auto"/>
              <w:right w:val="nil"/>
            </w:tcBorders>
            <w:shd w:val="clear" w:color="auto" w:fill="auto"/>
            <w:vAlign w:val="bottom"/>
          </w:tcPr>
          <w:p w14:paraId="3D3DE491" w14:textId="551B85FE" w:rsidR="00BB5C25" w:rsidRPr="00236A5E" w:rsidRDefault="00BB5C25" w:rsidP="00BB5C25">
            <w:pPr>
              <w:tabs>
                <w:tab w:val="right" w:pos="1202"/>
              </w:tabs>
              <w:suppressAutoHyphens/>
              <w:autoSpaceDN w:val="0"/>
              <w:spacing w:line="340" w:lineRule="exact"/>
              <w:jc w:val="right"/>
              <w:outlineLvl w:val="0"/>
              <w:rPr>
                <w:rFonts w:ascii="Arial" w:eastAsia="Times New Roman" w:hAnsi="Arial" w:cs="Arial"/>
                <w:b/>
                <w:color w:val="000000" w:themeColor="text1"/>
                <w:sz w:val="20"/>
                <w:szCs w:val="20"/>
              </w:rPr>
            </w:pPr>
            <w:r w:rsidRPr="00236A5E">
              <w:rPr>
                <w:rFonts w:ascii="Arial" w:hAnsi="Arial" w:cs="Arial"/>
                <w:b/>
                <w:color w:val="000000" w:themeColor="text1"/>
                <w:sz w:val="20"/>
              </w:rPr>
              <w:t>69.674</w:t>
            </w:r>
          </w:p>
        </w:tc>
      </w:tr>
      <w:tr w:rsidR="00BB5C25" w:rsidRPr="00335A18" w14:paraId="7760BCF3" w14:textId="77777777" w:rsidTr="00335A18">
        <w:tc>
          <w:tcPr>
            <w:tcW w:w="1890" w:type="pct"/>
            <w:vAlign w:val="bottom"/>
          </w:tcPr>
          <w:p w14:paraId="7935DCE9" w14:textId="77777777" w:rsidR="00BB5C25" w:rsidRPr="00335A18" w:rsidRDefault="00BB5C25" w:rsidP="00BB5C25">
            <w:pPr>
              <w:tabs>
                <w:tab w:val="left" w:pos="-720"/>
              </w:tabs>
              <w:suppressAutoHyphens/>
              <w:autoSpaceDN w:val="0"/>
              <w:rPr>
                <w:rFonts w:ascii="Arial" w:eastAsia="Times New Roman" w:hAnsi="Arial" w:cs="Arial"/>
                <w:color w:val="000000" w:themeColor="text1"/>
                <w:spacing w:val="-2"/>
                <w:sz w:val="20"/>
                <w:szCs w:val="20"/>
              </w:rPr>
            </w:pPr>
          </w:p>
        </w:tc>
        <w:tc>
          <w:tcPr>
            <w:tcW w:w="766" w:type="pct"/>
            <w:tcBorders>
              <w:top w:val="nil"/>
              <w:left w:val="nil"/>
              <w:right w:val="nil"/>
            </w:tcBorders>
            <w:shd w:val="clear" w:color="auto" w:fill="auto"/>
            <w:vAlign w:val="bottom"/>
          </w:tcPr>
          <w:p w14:paraId="2268C996" w14:textId="77777777" w:rsidR="00BB5C25" w:rsidRPr="00335A18" w:rsidRDefault="00BB5C25" w:rsidP="00BB5C25">
            <w:pPr>
              <w:suppressAutoHyphens/>
              <w:autoSpaceDN w:val="0"/>
              <w:jc w:val="right"/>
              <w:rPr>
                <w:rFonts w:ascii="Arial" w:eastAsia="Times New Roman" w:hAnsi="Arial" w:cs="Arial"/>
                <w:color w:val="000000" w:themeColor="text1"/>
                <w:spacing w:val="-2"/>
                <w:sz w:val="20"/>
                <w:szCs w:val="20"/>
              </w:rPr>
            </w:pPr>
          </w:p>
        </w:tc>
        <w:tc>
          <w:tcPr>
            <w:tcW w:w="790" w:type="pct"/>
            <w:tcBorders>
              <w:top w:val="nil"/>
              <w:left w:val="nil"/>
              <w:right w:val="nil"/>
            </w:tcBorders>
            <w:shd w:val="clear" w:color="auto" w:fill="auto"/>
            <w:vAlign w:val="bottom"/>
          </w:tcPr>
          <w:p w14:paraId="290A4B8C" w14:textId="77777777" w:rsidR="00BB5C25" w:rsidRPr="00236A5E" w:rsidRDefault="00BB5C25" w:rsidP="00BB5C25">
            <w:pPr>
              <w:suppressAutoHyphens/>
              <w:autoSpaceDN w:val="0"/>
              <w:jc w:val="right"/>
              <w:rPr>
                <w:rFonts w:ascii="Arial" w:eastAsia="Times New Roman" w:hAnsi="Arial" w:cs="Arial"/>
                <w:color w:val="000000" w:themeColor="text1"/>
                <w:spacing w:val="-2"/>
                <w:sz w:val="20"/>
                <w:szCs w:val="20"/>
              </w:rPr>
            </w:pPr>
          </w:p>
        </w:tc>
        <w:tc>
          <w:tcPr>
            <w:tcW w:w="765" w:type="pct"/>
            <w:tcBorders>
              <w:top w:val="nil"/>
              <w:left w:val="nil"/>
              <w:right w:val="nil"/>
            </w:tcBorders>
            <w:shd w:val="clear" w:color="auto" w:fill="auto"/>
            <w:vAlign w:val="bottom"/>
          </w:tcPr>
          <w:p w14:paraId="0B00FB5A" w14:textId="77777777" w:rsidR="00BB5C25" w:rsidRPr="00236A5E" w:rsidRDefault="00BB5C25" w:rsidP="00BB5C25">
            <w:pPr>
              <w:suppressAutoHyphens/>
              <w:autoSpaceDN w:val="0"/>
              <w:jc w:val="right"/>
              <w:rPr>
                <w:rFonts w:ascii="Arial" w:eastAsia="Times New Roman" w:hAnsi="Arial" w:cs="Arial"/>
                <w:color w:val="000000" w:themeColor="text1"/>
                <w:spacing w:val="-2"/>
                <w:sz w:val="20"/>
                <w:szCs w:val="20"/>
              </w:rPr>
            </w:pPr>
          </w:p>
        </w:tc>
        <w:tc>
          <w:tcPr>
            <w:tcW w:w="789" w:type="pct"/>
            <w:tcBorders>
              <w:top w:val="nil"/>
              <w:left w:val="nil"/>
              <w:right w:val="nil"/>
            </w:tcBorders>
            <w:shd w:val="clear" w:color="auto" w:fill="auto"/>
            <w:vAlign w:val="bottom"/>
          </w:tcPr>
          <w:p w14:paraId="3FB755BB" w14:textId="77777777" w:rsidR="00BB5C25" w:rsidRPr="00236A5E" w:rsidRDefault="00BB5C25" w:rsidP="00BB5C25">
            <w:pPr>
              <w:suppressAutoHyphens/>
              <w:autoSpaceDN w:val="0"/>
              <w:jc w:val="right"/>
              <w:rPr>
                <w:rFonts w:ascii="Arial" w:eastAsia="Times New Roman" w:hAnsi="Arial" w:cs="Arial"/>
                <w:color w:val="000000" w:themeColor="text1"/>
                <w:spacing w:val="-2"/>
                <w:sz w:val="20"/>
                <w:szCs w:val="20"/>
              </w:rPr>
            </w:pPr>
          </w:p>
        </w:tc>
      </w:tr>
      <w:tr w:rsidR="00BB5C25" w:rsidRPr="00335A18" w14:paraId="61434B12" w14:textId="77777777" w:rsidTr="00335A18">
        <w:tc>
          <w:tcPr>
            <w:tcW w:w="1890" w:type="pct"/>
            <w:vAlign w:val="bottom"/>
          </w:tcPr>
          <w:p w14:paraId="553DA432" w14:textId="7895DA6B" w:rsidR="00BB5C25" w:rsidRPr="00335A18" w:rsidRDefault="00BB5C25" w:rsidP="00BB5C25">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29" w:name="_Toc67327952"/>
            <w:r w:rsidRPr="00335A18">
              <w:rPr>
                <w:rFonts w:ascii="Arial" w:eastAsia="Times New Roman" w:hAnsi="Arial" w:cs="Arial"/>
                <w:color w:val="000000" w:themeColor="text1"/>
                <w:sz w:val="20"/>
                <w:szCs w:val="20"/>
              </w:rPr>
              <w:t>Rezerviranja za očekivane gubitke</w:t>
            </w:r>
            <w:bookmarkEnd w:id="329"/>
          </w:p>
        </w:tc>
        <w:tc>
          <w:tcPr>
            <w:tcW w:w="766" w:type="pct"/>
            <w:tcBorders>
              <w:top w:val="nil"/>
              <w:left w:val="nil"/>
              <w:bottom w:val="single" w:sz="4" w:space="0" w:color="auto"/>
              <w:right w:val="nil"/>
            </w:tcBorders>
            <w:shd w:val="clear" w:color="auto" w:fill="auto"/>
            <w:vAlign w:val="bottom"/>
          </w:tcPr>
          <w:p w14:paraId="38D0FDFD" w14:textId="654FD184" w:rsidR="00BB5C25" w:rsidRPr="00335A18" w:rsidRDefault="00BB5C25" w:rsidP="00BB5C25">
            <w:pPr>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(209)</w:t>
            </w:r>
          </w:p>
        </w:tc>
        <w:tc>
          <w:tcPr>
            <w:tcW w:w="790" w:type="pct"/>
            <w:tcBorders>
              <w:top w:val="nil"/>
              <w:left w:val="nil"/>
              <w:bottom w:val="single" w:sz="4" w:space="0" w:color="auto"/>
              <w:right w:val="nil"/>
            </w:tcBorders>
            <w:shd w:val="clear" w:color="auto" w:fill="auto"/>
            <w:vAlign w:val="bottom"/>
          </w:tcPr>
          <w:p w14:paraId="44AC94FF" w14:textId="311D59A1" w:rsidR="00BB5C25" w:rsidRPr="00236A5E" w:rsidRDefault="00BB5C25" w:rsidP="00BB5C25">
            <w:pPr>
              <w:suppressAutoHyphens/>
              <w:autoSpaceDN w:val="0"/>
              <w:spacing w:line="301" w:lineRule="exact"/>
              <w:jc w:val="right"/>
              <w:outlineLvl w:val="0"/>
              <w:rPr>
                <w:rFonts w:ascii="Arial" w:eastAsia="Times New Roman" w:hAnsi="Arial" w:cs="Arial"/>
                <w:color w:val="000000" w:themeColor="text1"/>
                <w:sz w:val="20"/>
                <w:szCs w:val="20"/>
              </w:rPr>
            </w:pPr>
            <w:r w:rsidRPr="00236A5E">
              <w:rPr>
                <w:rFonts w:ascii="Arial" w:hAnsi="Arial" w:cs="Arial"/>
                <w:color w:val="000000" w:themeColor="text1"/>
                <w:sz w:val="20"/>
              </w:rPr>
              <w:t>(221)</w:t>
            </w:r>
          </w:p>
        </w:tc>
        <w:tc>
          <w:tcPr>
            <w:tcW w:w="765" w:type="pct"/>
            <w:tcBorders>
              <w:top w:val="nil"/>
              <w:left w:val="nil"/>
              <w:bottom w:val="single" w:sz="4" w:space="0" w:color="auto"/>
              <w:right w:val="nil"/>
            </w:tcBorders>
            <w:shd w:val="clear" w:color="auto" w:fill="auto"/>
            <w:vAlign w:val="bottom"/>
          </w:tcPr>
          <w:p w14:paraId="2BDCDC6B" w14:textId="0241563A" w:rsidR="00BB5C25" w:rsidRPr="00236A5E" w:rsidRDefault="00BB5C25" w:rsidP="00BB5C25">
            <w:pPr>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(206)</w:t>
            </w:r>
          </w:p>
        </w:tc>
        <w:tc>
          <w:tcPr>
            <w:tcW w:w="789" w:type="pct"/>
            <w:tcBorders>
              <w:top w:val="nil"/>
              <w:left w:val="nil"/>
              <w:bottom w:val="single" w:sz="4" w:space="0" w:color="auto"/>
              <w:right w:val="nil"/>
            </w:tcBorders>
            <w:shd w:val="clear" w:color="auto" w:fill="auto"/>
            <w:vAlign w:val="bottom"/>
          </w:tcPr>
          <w:p w14:paraId="5300D048" w14:textId="6C6E7E4E" w:rsidR="00BB5C25" w:rsidRPr="00236A5E" w:rsidRDefault="00BB5C25" w:rsidP="00BB5C25">
            <w:pPr>
              <w:suppressAutoHyphens/>
              <w:autoSpaceDN w:val="0"/>
              <w:spacing w:line="301" w:lineRule="exact"/>
              <w:jc w:val="right"/>
              <w:outlineLvl w:val="0"/>
              <w:rPr>
                <w:rFonts w:ascii="Arial" w:eastAsia="Times New Roman" w:hAnsi="Arial" w:cs="Arial"/>
                <w:color w:val="000000" w:themeColor="text1"/>
                <w:sz w:val="20"/>
                <w:szCs w:val="20"/>
              </w:rPr>
            </w:pPr>
            <w:r w:rsidRPr="00236A5E">
              <w:rPr>
                <w:rFonts w:ascii="Arial" w:hAnsi="Arial" w:cs="Arial"/>
                <w:color w:val="000000" w:themeColor="text1"/>
                <w:sz w:val="20"/>
              </w:rPr>
              <w:t>(218)</w:t>
            </w:r>
          </w:p>
        </w:tc>
      </w:tr>
      <w:tr w:rsidR="00BB5C25" w:rsidRPr="00335A18" w14:paraId="1560CC00" w14:textId="77777777" w:rsidTr="00335A18">
        <w:tc>
          <w:tcPr>
            <w:tcW w:w="1890" w:type="pct"/>
            <w:vAlign w:val="bottom"/>
          </w:tcPr>
          <w:p w14:paraId="6DA3E779" w14:textId="77777777" w:rsidR="00BB5C25" w:rsidRPr="00335A18" w:rsidRDefault="00BB5C25" w:rsidP="00BB5C25">
            <w:pPr>
              <w:tabs>
                <w:tab w:val="left" w:pos="-720"/>
              </w:tabs>
              <w:suppressAutoHyphens/>
              <w:autoSpaceDN w:val="0"/>
              <w:rPr>
                <w:rFonts w:ascii="Arial" w:eastAsia="Times New Roman" w:hAnsi="Arial" w:cs="Arial"/>
                <w:b/>
                <w:bCs/>
                <w:color w:val="000000" w:themeColor="text1"/>
                <w:spacing w:val="-2"/>
                <w:sz w:val="20"/>
                <w:szCs w:val="20"/>
              </w:rPr>
            </w:pPr>
          </w:p>
        </w:tc>
        <w:tc>
          <w:tcPr>
            <w:tcW w:w="766" w:type="pct"/>
            <w:tcBorders>
              <w:top w:val="single" w:sz="4" w:space="0" w:color="auto"/>
              <w:left w:val="nil"/>
              <w:bottom w:val="single" w:sz="12" w:space="0" w:color="auto"/>
              <w:right w:val="nil"/>
            </w:tcBorders>
            <w:shd w:val="clear" w:color="auto" w:fill="auto"/>
            <w:vAlign w:val="bottom"/>
          </w:tcPr>
          <w:p w14:paraId="43F4096A" w14:textId="32C38141" w:rsidR="00BB5C25" w:rsidRPr="00335A18" w:rsidRDefault="00BB5C25" w:rsidP="00BB5C25">
            <w:pPr>
              <w:suppressAutoHyphens/>
              <w:autoSpaceDN w:val="0"/>
              <w:spacing w:line="301"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129.200</w:t>
            </w:r>
          </w:p>
        </w:tc>
        <w:tc>
          <w:tcPr>
            <w:tcW w:w="790" w:type="pct"/>
            <w:tcBorders>
              <w:top w:val="single" w:sz="4" w:space="0" w:color="auto"/>
              <w:left w:val="nil"/>
              <w:bottom w:val="single" w:sz="12" w:space="0" w:color="auto"/>
              <w:right w:val="nil"/>
            </w:tcBorders>
            <w:shd w:val="clear" w:color="auto" w:fill="auto"/>
            <w:vAlign w:val="bottom"/>
          </w:tcPr>
          <w:p w14:paraId="0419F61D" w14:textId="16E5755F" w:rsidR="00BB5C25" w:rsidRPr="00236A5E" w:rsidRDefault="00BB5C25" w:rsidP="00BB5C25">
            <w:pPr>
              <w:suppressAutoHyphens/>
              <w:autoSpaceDN w:val="0"/>
              <w:spacing w:line="301" w:lineRule="exact"/>
              <w:jc w:val="right"/>
              <w:outlineLvl w:val="0"/>
              <w:rPr>
                <w:rFonts w:ascii="Arial" w:eastAsia="Times New Roman" w:hAnsi="Arial" w:cs="Arial"/>
                <w:b/>
                <w:bCs/>
                <w:color w:val="000000" w:themeColor="text1"/>
                <w:sz w:val="20"/>
                <w:szCs w:val="20"/>
              </w:rPr>
            </w:pPr>
            <w:r w:rsidRPr="00236A5E">
              <w:rPr>
                <w:rFonts w:ascii="Arial" w:hAnsi="Arial" w:cs="Arial"/>
                <w:b/>
                <w:bCs/>
                <w:color w:val="000000" w:themeColor="text1"/>
                <w:sz w:val="20"/>
              </w:rPr>
              <w:t>71.761</w:t>
            </w:r>
          </w:p>
        </w:tc>
        <w:tc>
          <w:tcPr>
            <w:tcW w:w="765" w:type="pct"/>
            <w:tcBorders>
              <w:top w:val="single" w:sz="4" w:space="0" w:color="auto"/>
              <w:left w:val="nil"/>
              <w:bottom w:val="single" w:sz="12" w:space="0" w:color="auto"/>
              <w:right w:val="nil"/>
            </w:tcBorders>
            <w:shd w:val="clear" w:color="auto" w:fill="auto"/>
            <w:vAlign w:val="bottom"/>
          </w:tcPr>
          <w:p w14:paraId="73035866" w14:textId="2E6E2E98" w:rsidR="00BB5C25" w:rsidRPr="00236A5E" w:rsidRDefault="00BB5C25" w:rsidP="00BB5C25">
            <w:pPr>
              <w:suppressAutoHyphens/>
              <w:autoSpaceDN w:val="0"/>
              <w:spacing w:line="301"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126.896</w:t>
            </w:r>
          </w:p>
        </w:tc>
        <w:tc>
          <w:tcPr>
            <w:tcW w:w="789" w:type="pct"/>
            <w:tcBorders>
              <w:top w:val="single" w:sz="4" w:space="0" w:color="auto"/>
              <w:left w:val="nil"/>
              <w:bottom w:val="single" w:sz="12" w:space="0" w:color="auto"/>
              <w:right w:val="nil"/>
            </w:tcBorders>
            <w:shd w:val="clear" w:color="auto" w:fill="auto"/>
            <w:vAlign w:val="bottom"/>
          </w:tcPr>
          <w:p w14:paraId="62634527" w14:textId="52F5356B" w:rsidR="00BB5C25" w:rsidRPr="00236A5E" w:rsidRDefault="00BB5C25" w:rsidP="00BB5C25">
            <w:pPr>
              <w:suppressAutoHyphens/>
              <w:autoSpaceDN w:val="0"/>
              <w:spacing w:line="301" w:lineRule="exact"/>
              <w:jc w:val="right"/>
              <w:outlineLvl w:val="0"/>
              <w:rPr>
                <w:rFonts w:ascii="Arial" w:eastAsia="Times New Roman" w:hAnsi="Arial" w:cs="Arial"/>
                <w:b/>
                <w:bCs/>
                <w:color w:val="000000" w:themeColor="text1"/>
                <w:sz w:val="20"/>
                <w:szCs w:val="20"/>
              </w:rPr>
            </w:pPr>
            <w:r w:rsidRPr="00236A5E">
              <w:rPr>
                <w:rFonts w:ascii="Arial" w:hAnsi="Arial" w:cs="Arial"/>
                <w:b/>
                <w:bCs/>
                <w:color w:val="000000" w:themeColor="text1"/>
                <w:sz w:val="20"/>
              </w:rPr>
              <w:t>69.456</w:t>
            </w:r>
          </w:p>
        </w:tc>
      </w:tr>
    </w:tbl>
    <w:p w14:paraId="4845C653" w14:textId="77777777" w:rsidR="00A73031" w:rsidRPr="003D1614" w:rsidRDefault="00A73031" w:rsidP="00A73031">
      <w:pPr>
        <w:suppressAutoHyphens/>
        <w:autoSpaceDN w:val="0"/>
        <w:jc w:val="both"/>
        <w:rPr>
          <w:rFonts w:ascii="Arial" w:eastAsia="Times New Roman" w:hAnsi="Arial" w:cs="Arial"/>
          <w:color w:val="000000" w:themeColor="text1"/>
          <w:sz w:val="20"/>
          <w:szCs w:val="20"/>
        </w:rPr>
      </w:pPr>
    </w:p>
    <w:p w14:paraId="37D632F9" w14:textId="77777777" w:rsidR="00A73031" w:rsidRPr="003D1614" w:rsidRDefault="00A73031" w:rsidP="00A73031">
      <w:pPr>
        <w:keepNext/>
        <w:suppressAutoHyphens/>
        <w:autoSpaceDN w:val="0"/>
        <w:jc w:val="both"/>
        <w:outlineLvl w:val="0"/>
        <w:rPr>
          <w:rFonts w:ascii="Arial" w:eastAsia="Times New Roman" w:hAnsi="Arial" w:cs="Arial"/>
          <w:bCs/>
          <w:color w:val="000000" w:themeColor="text1"/>
          <w:sz w:val="20"/>
          <w:szCs w:val="20"/>
        </w:rPr>
      </w:pPr>
    </w:p>
    <w:p w14:paraId="2F6E459D" w14:textId="77777777" w:rsidR="00A73031" w:rsidRPr="003D1614" w:rsidRDefault="00A73031" w:rsidP="00A73031">
      <w:pPr>
        <w:keepNext/>
        <w:suppressAutoHyphens/>
        <w:autoSpaceDN w:val="0"/>
        <w:jc w:val="both"/>
        <w:outlineLvl w:val="0"/>
        <w:rPr>
          <w:rFonts w:ascii="Arial" w:eastAsia="Times New Roman" w:hAnsi="Arial" w:cs="Arial"/>
          <w:bCs/>
          <w:color w:val="000000" w:themeColor="text1"/>
          <w:sz w:val="20"/>
          <w:szCs w:val="20"/>
        </w:rPr>
      </w:pPr>
      <w:bookmarkStart w:id="330" w:name="_Hlk1476286"/>
      <w:r w:rsidRPr="003D1614">
        <w:rPr>
          <w:rFonts w:ascii="Arial" w:eastAsia="Times New Roman" w:hAnsi="Arial" w:cs="Arial"/>
          <w:bCs/>
          <w:color w:val="000000" w:themeColor="text1"/>
          <w:sz w:val="20"/>
          <w:szCs w:val="20"/>
        </w:rPr>
        <w:t>Sljedeće tablice prikazuju informacije o kreditnoj kvaliteti financijske imovine koja se mjeri po amortiziranom trošku. Iznosi u tablici predstavljaju bruto knjigovodstvene iznose:</w:t>
      </w:r>
      <w:bookmarkEnd w:id="330"/>
    </w:p>
    <w:p w14:paraId="347152A1" w14:textId="77777777" w:rsidR="00A73031" w:rsidRPr="003D1614" w:rsidRDefault="00A73031" w:rsidP="00A73031">
      <w:pPr>
        <w:suppressAutoHyphens/>
        <w:autoSpaceDN w:val="0"/>
        <w:spacing w:after="120"/>
        <w:jc w:val="both"/>
        <w:rPr>
          <w:rFonts w:ascii="Arial" w:eastAsia="Times New Roman" w:hAnsi="Arial" w:cs="Arial"/>
          <w:color w:val="000000" w:themeColor="text1"/>
          <w:sz w:val="20"/>
          <w:szCs w:val="20"/>
        </w:rPr>
      </w:pPr>
    </w:p>
    <w:tbl>
      <w:tblPr>
        <w:tblW w:w="9779" w:type="dxa"/>
        <w:tblLayout w:type="fixed"/>
        <w:tblLook w:val="04A0" w:firstRow="1" w:lastRow="0" w:firstColumn="1" w:lastColumn="0" w:noHBand="0" w:noVBand="1"/>
      </w:tblPr>
      <w:tblGrid>
        <w:gridCol w:w="1843"/>
        <w:gridCol w:w="992"/>
        <w:gridCol w:w="992"/>
        <w:gridCol w:w="992"/>
        <w:gridCol w:w="992"/>
        <w:gridCol w:w="992"/>
        <w:gridCol w:w="992"/>
        <w:gridCol w:w="992"/>
        <w:gridCol w:w="992"/>
      </w:tblGrid>
      <w:tr w:rsidR="00A73031" w:rsidRPr="004135C2" w14:paraId="3ABA7E95" w14:textId="77777777" w:rsidTr="004135C2">
        <w:trPr>
          <w:trHeight w:val="178"/>
        </w:trPr>
        <w:tc>
          <w:tcPr>
            <w:tcW w:w="1843" w:type="dxa"/>
            <w:tcBorders>
              <w:top w:val="nil"/>
              <w:left w:val="nil"/>
              <w:bottom w:val="nil"/>
              <w:right w:val="nil"/>
            </w:tcBorders>
            <w:shd w:val="clear" w:color="auto" w:fill="auto"/>
            <w:noWrap/>
            <w:vAlign w:val="bottom"/>
            <w:hideMark/>
          </w:tcPr>
          <w:p w14:paraId="7A7BC5F9" w14:textId="1B9AF342" w:rsidR="00A73031" w:rsidRPr="004135C2" w:rsidRDefault="00A73031" w:rsidP="00A73031">
            <w:pPr>
              <w:suppressAutoHyphens/>
              <w:autoSpaceDN w:val="0"/>
              <w:rPr>
                <w:rFonts w:ascii="Arial" w:eastAsia="Times New Roman" w:hAnsi="Arial" w:cs="Arial"/>
                <w:b/>
                <w:color w:val="000000" w:themeColor="text1"/>
                <w:sz w:val="17"/>
                <w:szCs w:val="17"/>
              </w:rPr>
            </w:pPr>
            <w:r w:rsidRPr="004135C2">
              <w:rPr>
                <w:rFonts w:ascii="Arial" w:eastAsia="Times New Roman" w:hAnsi="Arial" w:cs="Arial"/>
                <w:b/>
                <w:color w:val="000000" w:themeColor="text1"/>
                <w:sz w:val="17"/>
                <w:szCs w:val="17"/>
              </w:rPr>
              <w:t>31. ožujka 202</w:t>
            </w:r>
            <w:r w:rsidR="00622E0B">
              <w:rPr>
                <w:rFonts w:ascii="Arial" w:eastAsia="Times New Roman" w:hAnsi="Arial" w:cs="Arial"/>
                <w:b/>
                <w:color w:val="000000" w:themeColor="text1"/>
                <w:sz w:val="17"/>
                <w:szCs w:val="17"/>
              </w:rPr>
              <w:t>4</w:t>
            </w:r>
            <w:r w:rsidRPr="004135C2">
              <w:rPr>
                <w:rFonts w:ascii="Arial" w:eastAsia="Times New Roman" w:hAnsi="Arial" w:cs="Arial"/>
                <w:b/>
                <w:color w:val="000000" w:themeColor="text1"/>
                <w:sz w:val="17"/>
                <w:szCs w:val="17"/>
              </w:rPr>
              <w:t xml:space="preserve">.   </w:t>
            </w:r>
          </w:p>
        </w:tc>
        <w:tc>
          <w:tcPr>
            <w:tcW w:w="992" w:type="dxa"/>
            <w:tcBorders>
              <w:top w:val="nil"/>
              <w:left w:val="nil"/>
              <w:bottom w:val="nil"/>
              <w:right w:val="nil"/>
            </w:tcBorders>
            <w:shd w:val="clear" w:color="auto" w:fill="auto"/>
            <w:noWrap/>
            <w:vAlign w:val="bottom"/>
            <w:hideMark/>
          </w:tcPr>
          <w:p w14:paraId="7966D957" w14:textId="77777777" w:rsidR="00A73031" w:rsidRPr="004135C2" w:rsidRDefault="00A73031" w:rsidP="00A73031">
            <w:pPr>
              <w:suppressAutoHyphens/>
              <w:autoSpaceDN w:val="0"/>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79ACD06B" w14:textId="77777777" w:rsidR="00A73031" w:rsidRPr="004135C2" w:rsidRDefault="00A73031" w:rsidP="00A73031">
            <w:pPr>
              <w:suppressAutoHyphens/>
              <w:autoSpaceDN w:val="0"/>
              <w:jc w:val="right"/>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75C495C6" w14:textId="77777777" w:rsidR="00A73031" w:rsidRPr="004135C2" w:rsidRDefault="00A73031" w:rsidP="00A73031">
            <w:pPr>
              <w:suppressAutoHyphens/>
              <w:autoSpaceDN w:val="0"/>
              <w:jc w:val="right"/>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11B2C558"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Grupa</w:t>
            </w:r>
          </w:p>
        </w:tc>
        <w:tc>
          <w:tcPr>
            <w:tcW w:w="992" w:type="dxa"/>
            <w:tcBorders>
              <w:top w:val="nil"/>
              <w:left w:val="nil"/>
              <w:bottom w:val="nil"/>
              <w:right w:val="nil"/>
            </w:tcBorders>
            <w:shd w:val="clear" w:color="auto" w:fill="auto"/>
            <w:noWrap/>
            <w:vAlign w:val="bottom"/>
            <w:hideMark/>
          </w:tcPr>
          <w:p w14:paraId="1249708D"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hideMark/>
          </w:tcPr>
          <w:p w14:paraId="266F91D0" w14:textId="77777777" w:rsidR="00A73031" w:rsidRPr="004135C2" w:rsidRDefault="00A73031" w:rsidP="00A73031">
            <w:pPr>
              <w:suppressAutoHyphens/>
              <w:autoSpaceDN w:val="0"/>
              <w:jc w:val="right"/>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2139A212" w14:textId="77777777" w:rsidR="00A73031" w:rsidRPr="004135C2" w:rsidRDefault="00A73031" w:rsidP="00A73031">
            <w:pPr>
              <w:suppressAutoHyphens/>
              <w:autoSpaceDN w:val="0"/>
              <w:jc w:val="right"/>
              <w:rPr>
                <w:rFonts w:ascii="Arial" w:eastAsia="Times New Roman"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3B0B4749"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Banka</w:t>
            </w:r>
          </w:p>
        </w:tc>
      </w:tr>
      <w:tr w:rsidR="00A73031" w:rsidRPr="004135C2" w14:paraId="74972FDA" w14:textId="77777777" w:rsidTr="004135C2">
        <w:trPr>
          <w:trHeight w:val="310"/>
        </w:trPr>
        <w:tc>
          <w:tcPr>
            <w:tcW w:w="1843" w:type="dxa"/>
            <w:tcBorders>
              <w:top w:val="nil"/>
              <w:left w:val="nil"/>
              <w:bottom w:val="nil"/>
              <w:right w:val="nil"/>
            </w:tcBorders>
            <w:shd w:val="clear" w:color="auto" w:fill="auto"/>
            <w:noWrap/>
            <w:vAlign w:val="bottom"/>
            <w:hideMark/>
          </w:tcPr>
          <w:p w14:paraId="1F96E369"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hideMark/>
          </w:tcPr>
          <w:p w14:paraId="7A9EFF58"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Stupanj 1</w:t>
            </w:r>
          </w:p>
        </w:tc>
        <w:tc>
          <w:tcPr>
            <w:tcW w:w="992" w:type="dxa"/>
            <w:tcBorders>
              <w:top w:val="nil"/>
              <w:left w:val="nil"/>
              <w:bottom w:val="nil"/>
              <w:right w:val="nil"/>
            </w:tcBorders>
            <w:shd w:val="clear" w:color="auto" w:fill="auto"/>
            <w:noWrap/>
            <w:vAlign w:val="bottom"/>
            <w:hideMark/>
          </w:tcPr>
          <w:p w14:paraId="40B6C8C2"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Stupanj 2</w:t>
            </w:r>
          </w:p>
        </w:tc>
        <w:tc>
          <w:tcPr>
            <w:tcW w:w="992" w:type="dxa"/>
            <w:tcBorders>
              <w:top w:val="nil"/>
              <w:left w:val="nil"/>
              <w:bottom w:val="nil"/>
              <w:right w:val="nil"/>
            </w:tcBorders>
            <w:shd w:val="clear" w:color="auto" w:fill="auto"/>
            <w:noWrap/>
            <w:vAlign w:val="bottom"/>
            <w:hideMark/>
          </w:tcPr>
          <w:p w14:paraId="3F4082A2"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Stupanj 3</w:t>
            </w:r>
          </w:p>
        </w:tc>
        <w:tc>
          <w:tcPr>
            <w:tcW w:w="992" w:type="dxa"/>
            <w:tcBorders>
              <w:top w:val="nil"/>
              <w:left w:val="nil"/>
              <w:bottom w:val="nil"/>
              <w:right w:val="nil"/>
            </w:tcBorders>
            <w:shd w:val="clear" w:color="auto" w:fill="auto"/>
            <w:noWrap/>
            <w:vAlign w:val="bottom"/>
            <w:hideMark/>
          </w:tcPr>
          <w:p w14:paraId="28E0579F"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Ukupno</w:t>
            </w:r>
          </w:p>
        </w:tc>
        <w:tc>
          <w:tcPr>
            <w:tcW w:w="992" w:type="dxa"/>
            <w:tcBorders>
              <w:top w:val="nil"/>
              <w:left w:val="nil"/>
              <w:bottom w:val="nil"/>
              <w:right w:val="nil"/>
            </w:tcBorders>
            <w:shd w:val="clear" w:color="auto" w:fill="auto"/>
            <w:noWrap/>
            <w:vAlign w:val="bottom"/>
            <w:hideMark/>
          </w:tcPr>
          <w:p w14:paraId="418E2F46"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Stupanj 1</w:t>
            </w:r>
          </w:p>
        </w:tc>
        <w:tc>
          <w:tcPr>
            <w:tcW w:w="992" w:type="dxa"/>
            <w:tcBorders>
              <w:top w:val="nil"/>
              <w:left w:val="nil"/>
              <w:bottom w:val="nil"/>
              <w:right w:val="nil"/>
            </w:tcBorders>
            <w:shd w:val="clear" w:color="auto" w:fill="auto"/>
            <w:noWrap/>
            <w:vAlign w:val="bottom"/>
            <w:hideMark/>
          </w:tcPr>
          <w:p w14:paraId="06B87955"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Stupanj 2</w:t>
            </w:r>
          </w:p>
        </w:tc>
        <w:tc>
          <w:tcPr>
            <w:tcW w:w="992" w:type="dxa"/>
            <w:tcBorders>
              <w:top w:val="nil"/>
              <w:left w:val="nil"/>
              <w:bottom w:val="nil"/>
              <w:right w:val="nil"/>
            </w:tcBorders>
            <w:shd w:val="clear" w:color="auto" w:fill="auto"/>
            <w:noWrap/>
            <w:vAlign w:val="bottom"/>
            <w:hideMark/>
          </w:tcPr>
          <w:p w14:paraId="6E1370BE"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Stupanj 3</w:t>
            </w:r>
          </w:p>
        </w:tc>
        <w:tc>
          <w:tcPr>
            <w:tcW w:w="992" w:type="dxa"/>
            <w:tcBorders>
              <w:top w:val="nil"/>
              <w:left w:val="nil"/>
              <w:bottom w:val="nil"/>
              <w:right w:val="nil"/>
            </w:tcBorders>
            <w:shd w:val="clear" w:color="auto" w:fill="auto"/>
            <w:noWrap/>
            <w:vAlign w:val="bottom"/>
            <w:hideMark/>
          </w:tcPr>
          <w:p w14:paraId="7AD91212"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Ukupno</w:t>
            </w:r>
          </w:p>
        </w:tc>
      </w:tr>
      <w:tr w:rsidR="00A73031" w:rsidRPr="004135C2" w14:paraId="4B0D0E91" w14:textId="77777777" w:rsidTr="004135C2">
        <w:trPr>
          <w:trHeight w:val="314"/>
        </w:trPr>
        <w:tc>
          <w:tcPr>
            <w:tcW w:w="1843" w:type="dxa"/>
            <w:tcBorders>
              <w:top w:val="nil"/>
              <w:left w:val="nil"/>
              <w:bottom w:val="nil"/>
              <w:right w:val="nil"/>
            </w:tcBorders>
            <w:shd w:val="clear" w:color="auto" w:fill="auto"/>
            <w:noWrap/>
            <w:vAlign w:val="bottom"/>
            <w:hideMark/>
          </w:tcPr>
          <w:p w14:paraId="6713AD03"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hideMark/>
          </w:tcPr>
          <w:p w14:paraId="78E13ECD" w14:textId="7AEB1C60"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74334232" w14:textId="7DD1B141"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6D7F5E97" w14:textId="7B1B6241"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4A5CAC62" w14:textId="4D31E2E2"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604E0A3C" w14:textId="79C4EBCC"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2CEB8972" w14:textId="3FF1670F"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6304B899" w14:textId="73B97E3C"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c>
          <w:tcPr>
            <w:tcW w:w="992" w:type="dxa"/>
            <w:tcBorders>
              <w:top w:val="nil"/>
              <w:left w:val="nil"/>
              <w:bottom w:val="nil"/>
              <w:right w:val="nil"/>
            </w:tcBorders>
            <w:shd w:val="clear" w:color="auto" w:fill="auto"/>
            <w:noWrap/>
            <w:vAlign w:val="bottom"/>
            <w:hideMark/>
          </w:tcPr>
          <w:p w14:paraId="472AABC9" w14:textId="02DE8E6A" w:rsidR="00A73031" w:rsidRPr="004135C2" w:rsidRDefault="00A73031" w:rsidP="00A73031">
            <w:pPr>
              <w:suppressAutoHyphens/>
              <w:autoSpaceDN w:val="0"/>
              <w:jc w:val="right"/>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000 eura</w:t>
            </w:r>
          </w:p>
        </w:tc>
      </w:tr>
      <w:tr w:rsidR="00A73031" w:rsidRPr="004135C2" w14:paraId="14F6CA41" w14:textId="77777777" w:rsidTr="004135C2">
        <w:trPr>
          <w:trHeight w:val="184"/>
        </w:trPr>
        <w:tc>
          <w:tcPr>
            <w:tcW w:w="1843" w:type="dxa"/>
            <w:tcBorders>
              <w:top w:val="nil"/>
              <w:left w:val="nil"/>
              <w:bottom w:val="nil"/>
              <w:right w:val="nil"/>
            </w:tcBorders>
            <w:shd w:val="clear" w:color="auto" w:fill="auto"/>
            <w:noWrap/>
            <w:vAlign w:val="bottom"/>
          </w:tcPr>
          <w:p w14:paraId="4EF4B4A1"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1CC26A2B"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696FB9C0"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7E35FB8C"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78003346"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3ABC09BA"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5ACE03CE"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2C74CA82"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17899A72" w14:textId="77777777" w:rsidR="00A73031" w:rsidRPr="004135C2" w:rsidRDefault="00A73031" w:rsidP="00A73031">
            <w:pPr>
              <w:suppressAutoHyphens/>
              <w:autoSpaceDN w:val="0"/>
              <w:jc w:val="right"/>
              <w:rPr>
                <w:rFonts w:ascii="Arial" w:eastAsia="Times New Roman" w:hAnsi="Arial" w:cs="Arial"/>
                <w:b/>
                <w:bCs/>
                <w:color w:val="000000" w:themeColor="text1"/>
                <w:sz w:val="17"/>
                <w:szCs w:val="17"/>
              </w:rPr>
            </w:pPr>
          </w:p>
        </w:tc>
      </w:tr>
      <w:tr w:rsidR="00034932" w:rsidRPr="004135C2" w14:paraId="79F6CB8A" w14:textId="77777777" w:rsidTr="004135C2">
        <w:trPr>
          <w:trHeight w:val="319"/>
        </w:trPr>
        <w:tc>
          <w:tcPr>
            <w:tcW w:w="1843" w:type="dxa"/>
            <w:tcBorders>
              <w:top w:val="nil"/>
              <w:left w:val="nil"/>
              <w:bottom w:val="nil"/>
              <w:right w:val="nil"/>
            </w:tcBorders>
            <w:shd w:val="clear" w:color="auto" w:fill="auto"/>
            <w:noWrap/>
            <w:vAlign w:val="bottom"/>
            <w:hideMark/>
          </w:tcPr>
          <w:p w14:paraId="5AB9D3FD" w14:textId="77777777" w:rsidR="00034932" w:rsidRPr="004135C2" w:rsidRDefault="00034932" w:rsidP="00034932">
            <w:pPr>
              <w:suppressAutoHyphens/>
              <w:autoSpaceDN w:val="0"/>
              <w:rPr>
                <w:rFonts w:ascii="Arial" w:eastAsia="Times New Roman" w:hAnsi="Arial" w:cs="Arial"/>
                <w:color w:val="000000" w:themeColor="text1"/>
                <w:sz w:val="17"/>
                <w:szCs w:val="17"/>
              </w:rPr>
            </w:pPr>
            <w:r w:rsidRPr="004135C2">
              <w:rPr>
                <w:rFonts w:ascii="Arial" w:eastAsia="Times New Roman" w:hAnsi="Arial" w:cs="Arial"/>
                <w:color w:val="000000" w:themeColor="text1"/>
                <w:sz w:val="17"/>
                <w:szCs w:val="17"/>
              </w:rPr>
              <w:t>Bruto iznos</w:t>
            </w:r>
          </w:p>
        </w:tc>
        <w:tc>
          <w:tcPr>
            <w:tcW w:w="992" w:type="dxa"/>
            <w:tcBorders>
              <w:top w:val="nil"/>
              <w:left w:val="nil"/>
              <w:bottom w:val="nil"/>
              <w:right w:val="nil"/>
            </w:tcBorders>
            <w:shd w:val="clear" w:color="auto" w:fill="auto"/>
            <w:noWrap/>
            <w:vAlign w:val="bottom"/>
          </w:tcPr>
          <w:p w14:paraId="2606697A" w14:textId="55891C0F" w:rsidR="00034932" w:rsidRPr="004135C2" w:rsidRDefault="00034932" w:rsidP="00034932">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themeColor="text1"/>
                <w:sz w:val="17"/>
                <w:szCs w:val="17"/>
              </w:rPr>
              <w:t>129.409</w:t>
            </w:r>
          </w:p>
        </w:tc>
        <w:tc>
          <w:tcPr>
            <w:tcW w:w="992" w:type="dxa"/>
            <w:tcBorders>
              <w:top w:val="nil"/>
              <w:left w:val="nil"/>
              <w:bottom w:val="nil"/>
              <w:right w:val="nil"/>
            </w:tcBorders>
            <w:shd w:val="clear" w:color="auto" w:fill="auto"/>
            <w:noWrap/>
            <w:vAlign w:val="bottom"/>
          </w:tcPr>
          <w:p w14:paraId="5F093B9E" w14:textId="49055A09" w:rsidR="00034932" w:rsidRPr="004135C2" w:rsidRDefault="00034932" w:rsidP="00034932">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themeColor="text1"/>
                <w:sz w:val="17"/>
                <w:szCs w:val="17"/>
              </w:rPr>
              <w:t>-</w:t>
            </w:r>
          </w:p>
        </w:tc>
        <w:tc>
          <w:tcPr>
            <w:tcW w:w="992" w:type="dxa"/>
            <w:tcBorders>
              <w:top w:val="nil"/>
              <w:left w:val="nil"/>
              <w:bottom w:val="nil"/>
              <w:right w:val="nil"/>
            </w:tcBorders>
            <w:shd w:val="clear" w:color="auto" w:fill="auto"/>
            <w:noWrap/>
            <w:vAlign w:val="bottom"/>
          </w:tcPr>
          <w:p w14:paraId="0041157D" w14:textId="07A033F4" w:rsidR="00034932" w:rsidRPr="004135C2" w:rsidRDefault="00034932" w:rsidP="00034932">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themeColor="text1"/>
                <w:sz w:val="17"/>
                <w:szCs w:val="17"/>
              </w:rPr>
              <w:t>-</w:t>
            </w:r>
          </w:p>
        </w:tc>
        <w:tc>
          <w:tcPr>
            <w:tcW w:w="992" w:type="dxa"/>
            <w:tcBorders>
              <w:top w:val="nil"/>
              <w:left w:val="nil"/>
              <w:bottom w:val="nil"/>
              <w:right w:val="nil"/>
            </w:tcBorders>
            <w:shd w:val="clear" w:color="auto" w:fill="auto"/>
            <w:noWrap/>
            <w:vAlign w:val="bottom"/>
          </w:tcPr>
          <w:p w14:paraId="5BE1FDE7" w14:textId="5F38B307" w:rsidR="00034932" w:rsidRPr="00BB5C25" w:rsidRDefault="00034932" w:rsidP="00034932">
            <w:pPr>
              <w:suppressAutoHyphens/>
              <w:autoSpaceDN w:val="0"/>
              <w:jc w:val="right"/>
              <w:rPr>
                <w:rFonts w:ascii="Arial" w:eastAsia="Times New Roman" w:hAnsi="Arial" w:cs="Arial"/>
                <w:b/>
                <w:bCs/>
                <w:color w:val="000000" w:themeColor="text1"/>
                <w:sz w:val="17"/>
                <w:szCs w:val="17"/>
              </w:rPr>
            </w:pPr>
            <w:r w:rsidRPr="005D1219">
              <w:rPr>
                <w:rFonts w:ascii="Arial" w:eastAsia="Times New Roman" w:hAnsi="Arial" w:cs="Arial"/>
                <w:b/>
                <w:bCs/>
                <w:color w:val="000000" w:themeColor="text1"/>
                <w:sz w:val="17"/>
                <w:szCs w:val="17"/>
              </w:rPr>
              <w:t>129.409</w:t>
            </w:r>
          </w:p>
        </w:tc>
        <w:tc>
          <w:tcPr>
            <w:tcW w:w="992" w:type="dxa"/>
            <w:tcBorders>
              <w:top w:val="nil"/>
              <w:left w:val="nil"/>
              <w:bottom w:val="nil"/>
              <w:right w:val="nil"/>
            </w:tcBorders>
            <w:shd w:val="clear" w:color="auto" w:fill="auto"/>
            <w:noWrap/>
            <w:vAlign w:val="bottom"/>
          </w:tcPr>
          <w:p w14:paraId="07D6682E" w14:textId="55953732" w:rsidR="00034932" w:rsidRPr="004135C2" w:rsidRDefault="00034932" w:rsidP="00034932">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themeColor="text1"/>
                <w:sz w:val="17"/>
                <w:szCs w:val="17"/>
              </w:rPr>
              <w:t>127.102</w:t>
            </w:r>
          </w:p>
        </w:tc>
        <w:tc>
          <w:tcPr>
            <w:tcW w:w="992" w:type="dxa"/>
            <w:tcBorders>
              <w:top w:val="nil"/>
              <w:left w:val="nil"/>
              <w:bottom w:val="nil"/>
              <w:right w:val="nil"/>
            </w:tcBorders>
            <w:shd w:val="clear" w:color="auto" w:fill="auto"/>
            <w:noWrap/>
            <w:vAlign w:val="bottom"/>
          </w:tcPr>
          <w:p w14:paraId="476765BB" w14:textId="3EEDE4C9" w:rsidR="00034932" w:rsidRPr="004135C2" w:rsidRDefault="00034932" w:rsidP="00034932">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themeColor="text1"/>
                <w:sz w:val="17"/>
                <w:szCs w:val="17"/>
              </w:rPr>
              <w:t>-</w:t>
            </w:r>
          </w:p>
        </w:tc>
        <w:tc>
          <w:tcPr>
            <w:tcW w:w="992" w:type="dxa"/>
            <w:tcBorders>
              <w:top w:val="nil"/>
              <w:left w:val="nil"/>
              <w:bottom w:val="nil"/>
              <w:right w:val="nil"/>
            </w:tcBorders>
            <w:shd w:val="clear" w:color="auto" w:fill="auto"/>
            <w:noWrap/>
            <w:vAlign w:val="bottom"/>
          </w:tcPr>
          <w:p w14:paraId="64B6998A" w14:textId="556F1D8D" w:rsidR="00034932" w:rsidRPr="004135C2" w:rsidRDefault="00034932" w:rsidP="00034932">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themeColor="text1"/>
                <w:sz w:val="17"/>
                <w:szCs w:val="17"/>
              </w:rPr>
              <w:t>-</w:t>
            </w:r>
          </w:p>
        </w:tc>
        <w:tc>
          <w:tcPr>
            <w:tcW w:w="992" w:type="dxa"/>
            <w:tcBorders>
              <w:top w:val="nil"/>
              <w:left w:val="nil"/>
              <w:bottom w:val="nil"/>
              <w:right w:val="nil"/>
            </w:tcBorders>
            <w:shd w:val="clear" w:color="auto" w:fill="auto"/>
            <w:noWrap/>
            <w:vAlign w:val="bottom"/>
          </w:tcPr>
          <w:p w14:paraId="4C2D1E78" w14:textId="124ACA04" w:rsidR="00034932" w:rsidRPr="0097195F" w:rsidRDefault="00034932" w:rsidP="00034932">
            <w:pPr>
              <w:suppressAutoHyphens/>
              <w:autoSpaceDN w:val="0"/>
              <w:jc w:val="right"/>
              <w:rPr>
                <w:rFonts w:ascii="Arial" w:eastAsia="Times New Roman" w:hAnsi="Arial" w:cs="Arial"/>
                <w:b/>
                <w:bCs/>
                <w:color w:val="000000" w:themeColor="text1"/>
                <w:sz w:val="17"/>
                <w:szCs w:val="17"/>
              </w:rPr>
            </w:pPr>
            <w:r w:rsidRPr="005D1219">
              <w:rPr>
                <w:rFonts w:ascii="Arial" w:eastAsia="Times New Roman" w:hAnsi="Arial" w:cs="Arial"/>
                <w:b/>
                <w:bCs/>
                <w:color w:val="000000" w:themeColor="text1"/>
                <w:sz w:val="17"/>
                <w:szCs w:val="17"/>
              </w:rPr>
              <w:t>127.102</w:t>
            </w:r>
          </w:p>
        </w:tc>
      </w:tr>
      <w:tr w:rsidR="00034932" w:rsidRPr="004135C2" w14:paraId="068B7164" w14:textId="77777777" w:rsidTr="004135C2">
        <w:trPr>
          <w:trHeight w:val="324"/>
        </w:trPr>
        <w:tc>
          <w:tcPr>
            <w:tcW w:w="1843" w:type="dxa"/>
            <w:tcBorders>
              <w:top w:val="nil"/>
              <w:left w:val="nil"/>
              <w:bottom w:val="nil"/>
              <w:right w:val="nil"/>
            </w:tcBorders>
            <w:shd w:val="clear" w:color="auto" w:fill="auto"/>
            <w:noWrap/>
            <w:vAlign w:val="bottom"/>
            <w:hideMark/>
          </w:tcPr>
          <w:p w14:paraId="0BEB6732" w14:textId="77777777" w:rsidR="00034932" w:rsidRPr="004135C2" w:rsidRDefault="00034932" w:rsidP="00034932">
            <w:pPr>
              <w:suppressAutoHyphens/>
              <w:autoSpaceDN w:val="0"/>
              <w:rPr>
                <w:rFonts w:ascii="Arial" w:eastAsia="Times New Roman" w:hAnsi="Arial" w:cs="Arial"/>
                <w:color w:val="000000" w:themeColor="text1"/>
                <w:sz w:val="17"/>
                <w:szCs w:val="17"/>
              </w:rPr>
            </w:pPr>
            <w:r w:rsidRPr="004135C2">
              <w:rPr>
                <w:rFonts w:ascii="Arial" w:eastAsia="Times New Roman" w:hAnsi="Arial" w:cs="Arial"/>
                <w:color w:val="000000" w:themeColor="text1"/>
                <w:sz w:val="17"/>
                <w:szCs w:val="17"/>
              </w:rPr>
              <w:t>Rezerviranja</w:t>
            </w:r>
          </w:p>
        </w:tc>
        <w:tc>
          <w:tcPr>
            <w:tcW w:w="992" w:type="dxa"/>
            <w:tcBorders>
              <w:top w:val="nil"/>
              <w:left w:val="nil"/>
              <w:bottom w:val="nil"/>
              <w:right w:val="nil"/>
            </w:tcBorders>
            <w:shd w:val="clear" w:color="auto" w:fill="auto"/>
            <w:noWrap/>
            <w:vAlign w:val="bottom"/>
          </w:tcPr>
          <w:p w14:paraId="60E29898" w14:textId="7487D149" w:rsidR="00034932" w:rsidRPr="004135C2" w:rsidRDefault="00034932" w:rsidP="00034932">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themeColor="text1"/>
                <w:sz w:val="17"/>
                <w:szCs w:val="17"/>
              </w:rPr>
              <w:t>(209)</w:t>
            </w:r>
          </w:p>
        </w:tc>
        <w:tc>
          <w:tcPr>
            <w:tcW w:w="992" w:type="dxa"/>
            <w:tcBorders>
              <w:top w:val="nil"/>
              <w:left w:val="nil"/>
              <w:bottom w:val="nil"/>
              <w:right w:val="nil"/>
            </w:tcBorders>
            <w:shd w:val="clear" w:color="auto" w:fill="auto"/>
            <w:noWrap/>
            <w:vAlign w:val="bottom"/>
          </w:tcPr>
          <w:p w14:paraId="7004D83B" w14:textId="3D44B8C1" w:rsidR="00034932" w:rsidRPr="004135C2" w:rsidRDefault="00034932" w:rsidP="00034932">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themeColor="text1"/>
                <w:sz w:val="17"/>
                <w:szCs w:val="17"/>
              </w:rPr>
              <w:t>-</w:t>
            </w:r>
          </w:p>
        </w:tc>
        <w:tc>
          <w:tcPr>
            <w:tcW w:w="992" w:type="dxa"/>
            <w:tcBorders>
              <w:top w:val="nil"/>
              <w:left w:val="nil"/>
              <w:bottom w:val="nil"/>
              <w:right w:val="nil"/>
            </w:tcBorders>
            <w:shd w:val="clear" w:color="auto" w:fill="auto"/>
            <w:noWrap/>
            <w:vAlign w:val="bottom"/>
          </w:tcPr>
          <w:p w14:paraId="04E8478C" w14:textId="5818C7FE" w:rsidR="00034932" w:rsidRPr="004135C2" w:rsidRDefault="00034932" w:rsidP="00034932">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themeColor="text1"/>
                <w:sz w:val="17"/>
                <w:szCs w:val="17"/>
              </w:rPr>
              <w:t>-</w:t>
            </w:r>
          </w:p>
        </w:tc>
        <w:tc>
          <w:tcPr>
            <w:tcW w:w="992" w:type="dxa"/>
            <w:tcBorders>
              <w:top w:val="nil"/>
              <w:left w:val="nil"/>
              <w:bottom w:val="nil"/>
              <w:right w:val="nil"/>
            </w:tcBorders>
            <w:shd w:val="clear" w:color="auto" w:fill="auto"/>
            <w:noWrap/>
            <w:vAlign w:val="bottom"/>
          </w:tcPr>
          <w:p w14:paraId="5E0D7FED" w14:textId="1D38FC98" w:rsidR="00034932" w:rsidRPr="00BB5C25" w:rsidRDefault="00034932" w:rsidP="00034932">
            <w:pPr>
              <w:suppressAutoHyphens/>
              <w:autoSpaceDN w:val="0"/>
              <w:jc w:val="right"/>
              <w:rPr>
                <w:rFonts w:ascii="Arial" w:eastAsia="Times New Roman" w:hAnsi="Arial" w:cs="Arial"/>
                <w:b/>
                <w:bCs/>
                <w:color w:val="000000" w:themeColor="text1"/>
                <w:sz w:val="17"/>
                <w:szCs w:val="17"/>
              </w:rPr>
            </w:pPr>
            <w:r w:rsidRPr="005D1219">
              <w:rPr>
                <w:rFonts w:ascii="Arial" w:eastAsia="Times New Roman" w:hAnsi="Arial" w:cs="Arial"/>
                <w:b/>
                <w:bCs/>
                <w:color w:val="000000" w:themeColor="text1"/>
                <w:sz w:val="17"/>
                <w:szCs w:val="17"/>
              </w:rPr>
              <w:t>(209)</w:t>
            </w:r>
          </w:p>
        </w:tc>
        <w:tc>
          <w:tcPr>
            <w:tcW w:w="992" w:type="dxa"/>
            <w:tcBorders>
              <w:top w:val="nil"/>
              <w:left w:val="nil"/>
              <w:bottom w:val="nil"/>
              <w:right w:val="nil"/>
            </w:tcBorders>
            <w:shd w:val="clear" w:color="auto" w:fill="auto"/>
            <w:noWrap/>
            <w:vAlign w:val="bottom"/>
          </w:tcPr>
          <w:p w14:paraId="46F19E89" w14:textId="684CD621" w:rsidR="00034932" w:rsidRPr="004135C2" w:rsidRDefault="00034932" w:rsidP="00034932">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themeColor="text1"/>
                <w:sz w:val="17"/>
                <w:szCs w:val="17"/>
              </w:rPr>
              <w:t>(206)</w:t>
            </w:r>
          </w:p>
        </w:tc>
        <w:tc>
          <w:tcPr>
            <w:tcW w:w="992" w:type="dxa"/>
            <w:tcBorders>
              <w:top w:val="nil"/>
              <w:left w:val="nil"/>
              <w:bottom w:val="nil"/>
              <w:right w:val="nil"/>
            </w:tcBorders>
            <w:shd w:val="clear" w:color="auto" w:fill="auto"/>
            <w:noWrap/>
            <w:vAlign w:val="bottom"/>
          </w:tcPr>
          <w:p w14:paraId="3E5BB5C7" w14:textId="4152481C" w:rsidR="00034932" w:rsidRPr="004135C2" w:rsidRDefault="00034932" w:rsidP="00034932">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themeColor="text1"/>
                <w:sz w:val="17"/>
                <w:szCs w:val="17"/>
              </w:rPr>
              <w:t>-</w:t>
            </w:r>
          </w:p>
        </w:tc>
        <w:tc>
          <w:tcPr>
            <w:tcW w:w="992" w:type="dxa"/>
            <w:tcBorders>
              <w:top w:val="nil"/>
              <w:left w:val="nil"/>
              <w:bottom w:val="nil"/>
              <w:right w:val="nil"/>
            </w:tcBorders>
            <w:shd w:val="clear" w:color="auto" w:fill="auto"/>
            <w:noWrap/>
            <w:vAlign w:val="bottom"/>
          </w:tcPr>
          <w:p w14:paraId="5F595C1F" w14:textId="38C8CDAC" w:rsidR="00034932" w:rsidRPr="004135C2" w:rsidRDefault="00034932" w:rsidP="00034932">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themeColor="text1"/>
                <w:sz w:val="17"/>
                <w:szCs w:val="17"/>
              </w:rPr>
              <w:t>-</w:t>
            </w:r>
          </w:p>
        </w:tc>
        <w:tc>
          <w:tcPr>
            <w:tcW w:w="992" w:type="dxa"/>
            <w:tcBorders>
              <w:top w:val="nil"/>
              <w:left w:val="nil"/>
              <w:bottom w:val="nil"/>
              <w:right w:val="nil"/>
            </w:tcBorders>
            <w:shd w:val="clear" w:color="auto" w:fill="auto"/>
            <w:noWrap/>
            <w:vAlign w:val="bottom"/>
          </w:tcPr>
          <w:p w14:paraId="02300062" w14:textId="5A34BF69" w:rsidR="00034932" w:rsidRPr="0097195F" w:rsidRDefault="00034932" w:rsidP="00034932">
            <w:pPr>
              <w:suppressAutoHyphens/>
              <w:autoSpaceDN w:val="0"/>
              <w:jc w:val="right"/>
              <w:rPr>
                <w:rFonts w:ascii="Arial" w:eastAsia="Times New Roman" w:hAnsi="Arial" w:cs="Arial"/>
                <w:b/>
                <w:bCs/>
                <w:color w:val="000000" w:themeColor="text1"/>
                <w:sz w:val="17"/>
                <w:szCs w:val="17"/>
              </w:rPr>
            </w:pPr>
            <w:r w:rsidRPr="005D1219">
              <w:rPr>
                <w:rFonts w:ascii="Arial" w:eastAsia="Times New Roman" w:hAnsi="Arial" w:cs="Arial"/>
                <w:b/>
                <w:bCs/>
                <w:color w:val="000000" w:themeColor="text1"/>
                <w:sz w:val="17"/>
                <w:szCs w:val="17"/>
              </w:rPr>
              <w:t>(206)</w:t>
            </w:r>
          </w:p>
        </w:tc>
      </w:tr>
      <w:tr w:rsidR="00034932" w:rsidRPr="004135C2" w14:paraId="62DA83C5" w14:textId="77777777" w:rsidTr="004135C2">
        <w:trPr>
          <w:trHeight w:val="548"/>
        </w:trPr>
        <w:tc>
          <w:tcPr>
            <w:tcW w:w="1843" w:type="dxa"/>
            <w:tcBorders>
              <w:top w:val="nil"/>
              <w:left w:val="nil"/>
              <w:bottom w:val="nil"/>
              <w:right w:val="nil"/>
            </w:tcBorders>
            <w:shd w:val="clear" w:color="auto" w:fill="auto"/>
            <w:noWrap/>
            <w:vAlign w:val="bottom"/>
            <w:hideMark/>
          </w:tcPr>
          <w:p w14:paraId="1BF5B1BD" w14:textId="77777777" w:rsidR="00034932" w:rsidRPr="004135C2" w:rsidRDefault="00034932" w:rsidP="00034932">
            <w:pPr>
              <w:suppressAutoHyphens/>
              <w:autoSpaceDN w:val="0"/>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 xml:space="preserve">Stanje na dan </w:t>
            </w:r>
          </w:p>
          <w:p w14:paraId="77E033AF" w14:textId="3D41B0A9" w:rsidR="00034932" w:rsidRPr="004135C2" w:rsidRDefault="00034932" w:rsidP="00034932">
            <w:pPr>
              <w:suppressAutoHyphens/>
              <w:autoSpaceDN w:val="0"/>
              <w:rPr>
                <w:rFonts w:ascii="Arial" w:eastAsia="Times New Roman" w:hAnsi="Arial" w:cs="Arial"/>
                <w:b/>
                <w:bCs/>
                <w:color w:val="000000" w:themeColor="text1"/>
                <w:sz w:val="17"/>
                <w:szCs w:val="17"/>
              </w:rPr>
            </w:pPr>
            <w:r w:rsidRPr="004135C2">
              <w:rPr>
                <w:rFonts w:ascii="Arial" w:eastAsia="Times New Roman" w:hAnsi="Arial" w:cs="Arial"/>
                <w:b/>
                <w:bCs/>
                <w:color w:val="000000" w:themeColor="text1"/>
                <w:sz w:val="17"/>
                <w:szCs w:val="17"/>
              </w:rPr>
              <w:t xml:space="preserve">31. ožujka </w:t>
            </w:r>
            <w:r w:rsidR="00FE42BC" w:rsidRPr="004135C2">
              <w:rPr>
                <w:rFonts w:ascii="Arial" w:eastAsia="Times New Roman" w:hAnsi="Arial" w:cs="Arial"/>
                <w:b/>
                <w:bCs/>
                <w:color w:val="000000" w:themeColor="text1"/>
                <w:sz w:val="17"/>
                <w:szCs w:val="17"/>
              </w:rPr>
              <w:t>202</w:t>
            </w:r>
            <w:r w:rsidR="00FE42BC">
              <w:rPr>
                <w:rFonts w:ascii="Arial" w:eastAsia="Times New Roman" w:hAnsi="Arial" w:cs="Arial"/>
                <w:b/>
                <w:bCs/>
                <w:color w:val="000000" w:themeColor="text1"/>
                <w:sz w:val="17"/>
                <w:szCs w:val="17"/>
              </w:rPr>
              <w:t>4</w:t>
            </w:r>
            <w:r w:rsidRPr="004135C2">
              <w:rPr>
                <w:rFonts w:ascii="Arial" w:eastAsia="Times New Roman" w:hAnsi="Arial" w:cs="Arial"/>
                <w:b/>
                <w:bCs/>
                <w:color w:val="000000" w:themeColor="text1"/>
                <w:sz w:val="17"/>
                <w:szCs w:val="17"/>
              </w:rPr>
              <w:t xml:space="preserve">.   </w:t>
            </w:r>
          </w:p>
        </w:tc>
        <w:tc>
          <w:tcPr>
            <w:tcW w:w="992" w:type="dxa"/>
            <w:tcBorders>
              <w:top w:val="single" w:sz="4" w:space="0" w:color="auto"/>
              <w:left w:val="nil"/>
              <w:bottom w:val="single" w:sz="12" w:space="0" w:color="auto"/>
              <w:right w:val="nil"/>
            </w:tcBorders>
            <w:shd w:val="clear" w:color="auto" w:fill="auto"/>
            <w:noWrap/>
            <w:vAlign w:val="bottom"/>
          </w:tcPr>
          <w:p w14:paraId="6F2BBE0A" w14:textId="3326A86E" w:rsidR="00034932" w:rsidRPr="004135C2" w:rsidRDefault="00034932" w:rsidP="00034932">
            <w:pPr>
              <w:suppressAutoHyphens/>
              <w:autoSpaceDN w:val="0"/>
              <w:jc w:val="right"/>
              <w:rPr>
                <w:rFonts w:ascii="Arial" w:eastAsia="Times New Roman" w:hAnsi="Arial" w:cs="Arial"/>
                <w:b/>
                <w:bCs/>
                <w:color w:val="000000" w:themeColor="text1"/>
                <w:sz w:val="17"/>
                <w:szCs w:val="17"/>
              </w:rPr>
            </w:pPr>
            <w:r>
              <w:rPr>
                <w:rFonts w:ascii="Arial" w:eastAsia="Times New Roman" w:hAnsi="Arial" w:cs="Arial"/>
                <w:b/>
                <w:bCs/>
                <w:color w:val="000000" w:themeColor="text1"/>
                <w:sz w:val="17"/>
                <w:szCs w:val="17"/>
              </w:rPr>
              <w:t>129.200</w:t>
            </w:r>
          </w:p>
        </w:tc>
        <w:tc>
          <w:tcPr>
            <w:tcW w:w="992" w:type="dxa"/>
            <w:tcBorders>
              <w:top w:val="single" w:sz="4" w:space="0" w:color="auto"/>
              <w:left w:val="nil"/>
              <w:bottom w:val="single" w:sz="12" w:space="0" w:color="auto"/>
              <w:right w:val="nil"/>
            </w:tcBorders>
            <w:shd w:val="clear" w:color="auto" w:fill="auto"/>
            <w:noWrap/>
            <w:vAlign w:val="bottom"/>
          </w:tcPr>
          <w:p w14:paraId="7C2678CB" w14:textId="394A21EA" w:rsidR="00034932" w:rsidRPr="004135C2" w:rsidRDefault="00034932" w:rsidP="00034932">
            <w:pPr>
              <w:suppressAutoHyphens/>
              <w:autoSpaceDN w:val="0"/>
              <w:jc w:val="right"/>
              <w:rPr>
                <w:rFonts w:ascii="Arial" w:eastAsia="Times New Roman" w:hAnsi="Arial" w:cs="Arial"/>
                <w:b/>
                <w:bCs/>
                <w:color w:val="000000" w:themeColor="text1"/>
                <w:sz w:val="17"/>
                <w:szCs w:val="17"/>
              </w:rPr>
            </w:pPr>
            <w:r>
              <w:rPr>
                <w:rFonts w:ascii="Arial" w:eastAsia="Times New Roman" w:hAnsi="Arial" w:cs="Arial"/>
                <w:b/>
                <w:bCs/>
                <w:color w:val="000000" w:themeColor="text1"/>
                <w:sz w:val="17"/>
                <w:szCs w:val="17"/>
              </w:rPr>
              <w:t>-</w:t>
            </w:r>
          </w:p>
        </w:tc>
        <w:tc>
          <w:tcPr>
            <w:tcW w:w="992" w:type="dxa"/>
            <w:tcBorders>
              <w:top w:val="single" w:sz="4" w:space="0" w:color="auto"/>
              <w:left w:val="nil"/>
              <w:bottom w:val="single" w:sz="12" w:space="0" w:color="auto"/>
              <w:right w:val="nil"/>
            </w:tcBorders>
            <w:shd w:val="clear" w:color="auto" w:fill="auto"/>
            <w:noWrap/>
            <w:vAlign w:val="bottom"/>
          </w:tcPr>
          <w:p w14:paraId="6AF50AFD" w14:textId="4CD7FA04" w:rsidR="00034932" w:rsidRPr="004135C2" w:rsidRDefault="00034932" w:rsidP="00034932">
            <w:pPr>
              <w:suppressAutoHyphens/>
              <w:autoSpaceDN w:val="0"/>
              <w:jc w:val="right"/>
              <w:rPr>
                <w:rFonts w:ascii="Arial" w:eastAsia="Times New Roman" w:hAnsi="Arial" w:cs="Arial"/>
                <w:b/>
                <w:bCs/>
                <w:color w:val="000000" w:themeColor="text1"/>
                <w:sz w:val="17"/>
                <w:szCs w:val="17"/>
              </w:rPr>
            </w:pPr>
            <w:r>
              <w:rPr>
                <w:rFonts w:ascii="Arial" w:eastAsia="Times New Roman" w:hAnsi="Arial" w:cs="Arial"/>
                <w:b/>
                <w:bCs/>
                <w:color w:val="000000" w:themeColor="text1"/>
                <w:sz w:val="17"/>
                <w:szCs w:val="17"/>
              </w:rPr>
              <w:t>-</w:t>
            </w:r>
          </w:p>
        </w:tc>
        <w:tc>
          <w:tcPr>
            <w:tcW w:w="992" w:type="dxa"/>
            <w:tcBorders>
              <w:top w:val="single" w:sz="4" w:space="0" w:color="auto"/>
              <w:left w:val="nil"/>
              <w:bottom w:val="single" w:sz="12" w:space="0" w:color="auto"/>
              <w:right w:val="nil"/>
            </w:tcBorders>
            <w:shd w:val="clear" w:color="auto" w:fill="auto"/>
            <w:noWrap/>
            <w:vAlign w:val="bottom"/>
          </w:tcPr>
          <w:p w14:paraId="55B386DE" w14:textId="2E3F2006" w:rsidR="00034932" w:rsidRPr="004135C2" w:rsidRDefault="00034932" w:rsidP="00034932">
            <w:pPr>
              <w:suppressAutoHyphens/>
              <w:autoSpaceDN w:val="0"/>
              <w:jc w:val="right"/>
              <w:rPr>
                <w:rFonts w:ascii="Arial" w:eastAsia="Times New Roman" w:hAnsi="Arial" w:cs="Arial"/>
                <w:b/>
                <w:bCs/>
                <w:color w:val="000000" w:themeColor="text1"/>
                <w:sz w:val="17"/>
                <w:szCs w:val="17"/>
              </w:rPr>
            </w:pPr>
            <w:r>
              <w:rPr>
                <w:rFonts w:ascii="Arial" w:eastAsia="Times New Roman" w:hAnsi="Arial" w:cs="Arial"/>
                <w:b/>
                <w:bCs/>
                <w:color w:val="000000" w:themeColor="text1"/>
                <w:sz w:val="17"/>
                <w:szCs w:val="17"/>
              </w:rPr>
              <w:t>129.200</w:t>
            </w:r>
          </w:p>
        </w:tc>
        <w:tc>
          <w:tcPr>
            <w:tcW w:w="992" w:type="dxa"/>
            <w:tcBorders>
              <w:top w:val="single" w:sz="4" w:space="0" w:color="auto"/>
              <w:left w:val="nil"/>
              <w:bottom w:val="single" w:sz="12" w:space="0" w:color="auto"/>
              <w:right w:val="nil"/>
            </w:tcBorders>
            <w:shd w:val="clear" w:color="auto" w:fill="auto"/>
            <w:noWrap/>
            <w:vAlign w:val="bottom"/>
          </w:tcPr>
          <w:p w14:paraId="6349CF55" w14:textId="4F62EF07" w:rsidR="00034932" w:rsidRPr="004135C2" w:rsidRDefault="00034932" w:rsidP="00034932">
            <w:pPr>
              <w:suppressAutoHyphens/>
              <w:autoSpaceDN w:val="0"/>
              <w:jc w:val="right"/>
              <w:rPr>
                <w:rFonts w:ascii="Arial" w:eastAsia="Times New Roman" w:hAnsi="Arial" w:cs="Arial"/>
                <w:b/>
                <w:bCs/>
                <w:color w:val="000000" w:themeColor="text1"/>
                <w:sz w:val="17"/>
                <w:szCs w:val="17"/>
              </w:rPr>
            </w:pPr>
            <w:r>
              <w:rPr>
                <w:rFonts w:ascii="Arial" w:eastAsia="Times New Roman" w:hAnsi="Arial" w:cs="Arial"/>
                <w:b/>
                <w:bCs/>
                <w:color w:val="000000" w:themeColor="text1"/>
                <w:sz w:val="17"/>
                <w:szCs w:val="17"/>
              </w:rPr>
              <w:t>126.896</w:t>
            </w:r>
          </w:p>
        </w:tc>
        <w:tc>
          <w:tcPr>
            <w:tcW w:w="992" w:type="dxa"/>
            <w:tcBorders>
              <w:top w:val="single" w:sz="4" w:space="0" w:color="auto"/>
              <w:left w:val="nil"/>
              <w:bottom w:val="single" w:sz="12" w:space="0" w:color="auto"/>
              <w:right w:val="nil"/>
            </w:tcBorders>
            <w:shd w:val="clear" w:color="auto" w:fill="auto"/>
            <w:noWrap/>
            <w:vAlign w:val="bottom"/>
          </w:tcPr>
          <w:p w14:paraId="21A3E42B" w14:textId="004558BB" w:rsidR="00034932" w:rsidRPr="004135C2" w:rsidRDefault="00034932" w:rsidP="00034932">
            <w:pPr>
              <w:suppressAutoHyphens/>
              <w:autoSpaceDN w:val="0"/>
              <w:jc w:val="right"/>
              <w:rPr>
                <w:rFonts w:ascii="Arial" w:eastAsia="Times New Roman" w:hAnsi="Arial" w:cs="Arial"/>
                <w:b/>
                <w:bCs/>
                <w:color w:val="000000" w:themeColor="text1"/>
                <w:sz w:val="17"/>
                <w:szCs w:val="17"/>
              </w:rPr>
            </w:pPr>
            <w:r>
              <w:rPr>
                <w:rFonts w:ascii="Arial" w:eastAsia="Times New Roman" w:hAnsi="Arial" w:cs="Arial"/>
                <w:b/>
                <w:bCs/>
                <w:color w:val="000000" w:themeColor="text1"/>
                <w:sz w:val="17"/>
                <w:szCs w:val="17"/>
              </w:rPr>
              <w:t>-</w:t>
            </w:r>
          </w:p>
        </w:tc>
        <w:tc>
          <w:tcPr>
            <w:tcW w:w="992" w:type="dxa"/>
            <w:tcBorders>
              <w:top w:val="single" w:sz="4" w:space="0" w:color="auto"/>
              <w:left w:val="nil"/>
              <w:bottom w:val="single" w:sz="12" w:space="0" w:color="auto"/>
              <w:right w:val="nil"/>
            </w:tcBorders>
            <w:shd w:val="clear" w:color="auto" w:fill="auto"/>
            <w:noWrap/>
            <w:vAlign w:val="bottom"/>
          </w:tcPr>
          <w:p w14:paraId="27751BDE" w14:textId="7D17FD67" w:rsidR="00034932" w:rsidRPr="004135C2" w:rsidRDefault="00034932" w:rsidP="00034932">
            <w:pPr>
              <w:suppressAutoHyphens/>
              <w:autoSpaceDN w:val="0"/>
              <w:jc w:val="right"/>
              <w:rPr>
                <w:rFonts w:ascii="Arial" w:eastAsia="Times New Roman" w:hAnsi="Arial" w:cs="Arial"/>
                <w:b/>
                <w:bCs/>
                <w:color w:val="000000" w:themeColor="text1"/>
                <w:sz w:val="17"/>
                <w:szCs w:val="17"/>
              </w:rPr>
            </w:pPr>
            <w:r>
              <w:rPr>
                <w:rFonts w:ascii="Arial" w:eastAsia="Times New Roman" w:hAnsi="Arial" w:cs="Arial"/>
                <w:b/>
                <w:bCs/>
                <w:color w:val="000000" w:themeColor="text1"/>
                <w:sz w:val="17"/>
                <w:szCs w:val="17"/>
              </w:rPr>
              <w:t>-</w:t>
            </w:r>
          </w:p>
        </w:tc>
        <w:tc>
          <w:tcPr>
            <w:tcW w:w="992" w:type="dxa"/>
            <w:tcBorders>
              <w:top w:val="single" w:sz="4" w:space="0" w:color="auto"/>
              <w:left w:val="nil"/>
              <w:bottom w:val="single" w:sz="12" w:space="0" w:color="auto"/>
              <w:right w:val="nil"/>
            </w:tcBorders>
            <w:shd w:val="clear" w:color="auto" w:fill="auto"/>
            <w:noWrap/>
            <w:vAlign w:val="bottom"/>
          </w:tcPr>
          <w:p w14:paraId="52BAC9BF" w14:textId="34A015AF" w:rsidR="00034932" w:rsidRPr="004135C2" w:rsidRDefault="00034932" w:rsidP="00034932">
            <w:pPr>
              <w:suppressAutoHyphens/>
              <w:autoSpaceDN w:val="0"/>
              <w:jc w:val="right"/>
              <w:rPr>
                <w:rFonts w:ascii="Arial" w:eastAsia="Times New Roman" w:hAnsi="Arial" w:cs="Arial"/>
                <w:b/>
                <w:bCs/>
                <w:color w:val="000000" w:themeColor="text1"/>
                <w:sz w:val="17"/>
                <w:szCs w:val="17"/>
              </w:rPr>
            </w:pPr>
            <w:r>
              <w:rPr>
                <w:rFonts w:ascii="Arial" w:eastAsia="Times New Roman" w:hAnsi="Arial" w:cs="Arial"/>
                <w:b/>
                <w:bCs/>
                <w:color w:val="000000" w:themeColor="text1"/>
                <w:sz w:val="17"/>
                <w:szCs w:val="17"/>
              </w:rPr>
              <w:t>126.896</w:t>
            </w:r>
          </w:p>
        </w:tc>
      </w:tr>
    </w:tbl>
    <w:p w14:paraId="73FDFF2B" w14:textId="77777777" w:rsidR="00A73031" w:rsidRPr="003D1614" w:rsidRDefault="00A73031" w:rsidP="00A73031">
      <w:pPr>
        <w:keepNext/>
        <w:suppressAutoHyphens/>
        <w:autoSpaceDN w:val="0"/>
        <w:jc w:val="both"/>
        <w:outlineLvl w:val="0"/>
        <w:rPr>
          <w:rFonts w:ascii="Arial" w:eastAsia="Times New Roman" w:hAnsi="Arial" w:cs="Arial"/>
          <w:b/>
          <w:bCs/>
          <w:color w:val="000000" w:themeColor="text1"/>
          <w:sz w:val="20"/>
          <w:szCs w:val="20"/>
        </w:rPr>
      </w:pPr>
    </w:p>
    <w:p w14:paraId="72331652" w14:textId="77777777" w:rsidR="00A73031" w:rsidRPr="003D1614" w:rsidRDefault="00A73031" w:rsidP="00A73031">
      <w:pPr>
        <w:keepNext/>
        <w:suppressAutoHyphens/>
        <w:autoSpaceDN w:val="0"/>
        <w:jc w:val="both"/>
        <w:outlineLvl w:val="0"/>
        <w:rPr>
          <w:rFonts w:ascii="Arial" w:eastAsia="Times New Roman" w:hAnsi="Arial" w:cs="Arial"/>
          <w:b/>
          <w:bCs/>
          <w:color w:val="000000" w:themeColor="text1"/>
          <w:sz w:val="20"/>
          <w:szCs w:val="20"/>
        </w:rPr>
      </w:pPr>
    </w:p>
    <w:p w14:paraId="2CEC31D0" w14:textId="77777777" w:rsidR="00A73031" w:rsidRPr="003D1614" w:rsidRDefault="00A73031" w:rsidP="00A73031">
      <w:pPr>
        <w:keepNext/>
        <w:suppressAutoHyphens/>
        <w:autoSpaceDN w:val="0"/>
        <w:jc w:val="both"/>
        <w:outlineLvl w:val="0"/>
        <w:rPr>
          <w:rFonts w:ascii="Arial" w:eastAsia="Times New Roman" w:hAnsi="Arial" w:cs="Arial"/>
          <w:b/>
          <w:bCs/>
          <w:color w:val="000000" w:themeColor="text1"/>
          <w:sz w:val="20"/>
          <w:szCs w:val="20"/>
        </w:rPr>
      </w:pPr>
    </w:p>
    <w:tbl>
      <w:tblPr>
        <w:tblW w:w="9779" w:type="dxa"/>
        <w:tblLayout w:type="fixed"/>
        <w:tblLook w:val="04A0" w:firstRow="1" w:lastRow="0" w:firstColumn="1" w:lastColumn="0" w:noHBand="0" w:noVBand="1"/>
      </w:tblPr>
      <w:tblGrid>
        <w:gridCol w:w="1843"/>
        <w:gridCol w:w="992"/>
        <w:gridCol w:w="992"/>
        <w:gridCol w:w="992"/>
        <w:gridCol w:w="992"/>
        <w:gridCol w:w="992"/>
        <w:gridCol w:w="992"/>
        <w:gridCol w:w="992"/>
        <w:gridCol w:w="992"/>
      </w:tblGrid>
      <w:tr w:rsidR="00E81D69" w:rsidRPr="00B44A61" w14:paraId="65054E04" w14:textId="77777777" w:rsidTr="00D15CE2">
        <w:trPr>
          <w:trHeight w:val="178"/>
        </w:trPr>
        <w:tc>
          <w:tcPr>
            <w:tcW w:w="1843" w:type="dxa"/>
            <w:tcBorders>
              <w:top w:val="nil"/>
              <w:left w:val="nil"/>
              <w:bottom w:val="nil"/>
              <w:right w:val="nil"/>
            </w:tcBorders>
            <w:shd w:val="clear" w:color="auto" w:fill="auto"/>
            <w:noWrap/>
            <w:vAlign w:val="bottom"/>
            <w:hideMark/>
          </w:tcPr>
          <w:p w14:paraId="66FCC3DC" w14:textId="77777777" w:rsidR="00E81D69" w:rsidRPr="004B4498" w:rsidRDefault="00E81D69" w:rsidP="00D15CE2">
            <w:pPr>
              <w:rPr>
                <w:rFonts w:ascii="Arial" w:hAnsi="Arial" w:cs="Arial"/>
                <w:b/>
                <w:color w:val="000000" w:themeColor="text1"/>
                <w:sz w:val="17"/>
                <w:szCs w:val="17"/>
              </w:rPr>
            </w:pPr>
            <w:r w:rsidRPr="004B4498">
              <w:rPr>
                <w:rFonts w:ascii="Arial" w:hAnsi="Arial" w:cs="Arial"/>
                <w:b/>
                <w:color w:val="000000" w:themeColor="text1"/>
                <w:sz w:val="17"/>
                <w:szCs w:val="17"/>
              </w:rPr>
              <w:t>31. prosinca 202</w:t>
            </w:r>
            <w:r>
              <w:rPr>
                <w:rFonts w:ascii="Arial" w:hAnsi="Arial" w:cs="Arial"/>
                <w:b/>
                <w:color w:val="000000" w:themeColor="text1"/>
                <w:sz w:val="17"/>
                <w:szCs w:val="17"/>
              </w:rPr>
              <w:t>3</w:t>
            </w:r>
            <w:r w:rsidRPr="004B4498">
              <w:rPr>
                <w:rFonts w:ascii="Arial" w:hAnsi="Arial" w:cs="Arial"/>
                <w:b/>
                <w:color w:val="000000" w:themeColor="text1"/>
                <w:sz w:val="17"/>
                <w:szCs w:val="17"/>
              </w:rPr>
              <w:t>.</w:t>
            </w:r>
          </w:p>
        </w:tc>
        <w:tc>
          <w:tcPr>
            <w:tcW w:w="992" w:type="dxa"/>
            <w:tcBorders>
              <w:top w:val="nil"/>
              <w:left w:val="nil"/>
              <w:bottom w:val="nil"/>
              <w:right w:val="nil"/>
            </w:tcBorders>
            <w:shd w:val="clear" w:color="auto" w:fill="auto"/>
            <w:noWrap/>
            <w:vAlign w:val="bottom"/>
            <w:hideMark/>
          </w:tcPr>
          <w:p w14:paraId="09F2CCBB" w14:textId="77777777" w:rsidR="00E81D69" w:rsidRPr="004B4498" w:rsidRDefault="00E81D69" w:rsidP="00D15CE2">
            <w:pPr>
              <w:rPr>
                <w:rFonts w:ascii="Arial"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42A4D46F" w14:textId="77777777" w:rsidR="00E81D69" w:rsidRPr="004B4498" w:rsidRDefault="00E81D69" w:rsidP="00D15CE2">
            <w:pPr>
              <w:jc w:val="right"/>
              <w:rPr>
                <w:rFonts w:ascii="Arial"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4876907F" w14:textId="77777777" w:rsidR="00E81D69" w:rsidRPr="004B4498" w:rsidRDefault="00E81D69" w:rsidP="00D15CE2">
            <w:pPr>
              <w:jc w:val="right"/>
              <w:rPr>
                <w:rFonts w:ascii="Arial"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079240BE" w14:textId="77777777" w:rsidR="00E81D69" w:rsidRPr="004B4498" w:rsidRDefault="00E81D69"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Grupa</w:t>
            </w:r>
          </w:p>
        </w:tc>
        <w:tc>
          <w:tcPr>
            <w:tcW w:w="992" w:type="dxa"/>
            <w:tcBorders>
              <w:top w:val="nil"/>
              <w:left w:val="nil"/>
              <w:bottom w:val="nil"/>
              <w:right w:val="nil"/>
            </w:tcBorders>
            <w:shd w:val="clear" w:color="auto" w:fill="auto"/>
            <w:noWrap/>
            <w:vAlign w:val="bottom"/>
            <w:hideMark/>
          </w:tcPr>
          <w:p w14:paraId="10CA5C05" w14:textId="77777777" w:rsidR="00E81D69" w:rsidRPr="004B4498" w:rsidRDefault="00E81D69" w:rsidP="00D15CE2">
            <w:pPr>
              <w:jc w:val="right"/>
              <w:rPr>
                <w:rFonts w:ascii="Arial"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hideMark/>
          </w:tcPr>
          <w:p w14:paraId="3E38D8A0" w14:textId="77777777" w:rsidR="00E81D69" w:rsidRPr="004B4498" w:rsidRDefault="00E81D69" w:rsidP="00D15CE2">
            <w:pPr>
              <w:jc w:val="right"/>
              <w:rPr>
                <w:rFonts w:ascii="Arial"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25DB3D6E" w14:textId="77777777" w:rsidR="00E81D69" w:rsidRPr="004B4498" w:rsidRDefault="00E81D69" w:rsidP="00D15CE2">
            <w:pPr>
              <w:jc w:val="right"/>
              <w:rPr>
                <w:rFonts w:ascii="Arial" w:hAnsi="Arial" w:cs="Arial"/>
                <w:color w:val="000000" w:themeColor="text1"/>
                <w:sz w:val="17"/>
                <w:szCs w:val="17"/>
              </w:rPr>
            </w:pPr>
          </w:p>
        </w:tc>
        <w:tc>
          <w:tcPr>
            <w:tcW w:w="992" w:type="dxa"/>
            <w:tcBorders>
              <w:top w:val="nil"/>
              <w:left w:val="nil"/>
              <w:bottom w:val="nil"/>
              <w:right w:val="nil"/>
            </w:tcBorders>
            <w:shd w:val="clear" w:color="auto" w:fill="auto"/>
            <w:noWrap/>
            <w:vAlign w:val="bottom"/>
            <w:hideMark/>
          </w:tcPr>
          <w:p w14:paraId="66D06D7D" w14:textId="77777777" w:rsidR="00E81D69" w:rsidRPr="004B4498" w:rsidRDefault="00E81D69"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Banka</w:t>
            </w:r>
          </w:p>
        </w:tc>
      </w:tr>
      <w:tr w:rsidR="00E81D69" w:rsidRPr="00B44A61" w14:paraId="221BB099" w14:textId="77777777" w:rsidTr="00D15CE2">
        <w:trPr>
          <w:trHeight w:val="310"/>
        </w:trPr>
        <w:tc>
          <w:tcPr>
            <w:tcW w:w="1843" w:type="dxa"/>
            <w:tcBorders>
              <w:top w:val="nil"/>
              <w:left w:val="nil"/>
              <w:bottom w:val="nil"/>
              <w:right w:val="nil"/>
            </w:tcBorders>
            <w:shd w:val="clear" w:color="auto" w:fill="auto"/>
            <w:noWrap/>
            <w:vAlign w:val="bottom"/>
            <w:hideMark/>
          </w:tcPr>
          <w:p w14:paraId="178EE817" w14:textId="77777777" w:rsidR="00E81D69" w:rsidRPr="004B4498" w:rsidRDefault="00E81D69" w:rsidP="00D15CE2">
            <w:pPr>
              <w:jc w:val="right"/>
              <w:rPr>
                <w:rFonts w:ascii="Arial"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hideMark/>
          </w:tcPr>
          <w:p w14:paraId="606A7EC3" w14:textId="77777777" w:rsidR="00E81D69" w:rsidRPr="004B4498" w:rsidRDefault="00E81D69"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Stupanj 1</w:t>
            </w:r>
          </w:p>
        </w:tc>
        <w:tc>
          <w:tcPr>
            <w:tcW w:w="992" w:type="dxa"/>
            <w:tcBorders>
              <w:top w:val="nil"/>
              <w:left w:val="nil"/>
              <w:bottom w:val="nil"/>
              <w:right w:val="nil"/>
            </w:tcBorders>
            <w:shd w:val="clear" w:color="auto" w:fill="auto"/>
            <w:noWrap/>
            <w:vAlign w:val="bottom"/>
            <w:hideMark/>
          </w:tcPr>
          <w:p w14:paraId="708DF8D2" w14:textId="77777777" w:rsidR="00E81D69" w:rsidRPr="004B4498" w:rsidRDefault="00E81D69"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Stupanj 2</w:t>
            </w:r>
          </w:p>
        </w:tc>
        <w:tc>
          <w:tcPr>
            <w:tcW w:w="992" w:type="dxa"/>
            <w:tcBorders>
              <w:top w:val="nil"/>
              <w:left w:val="nil"/>
              <w:bottom w:val="nil"/>
              <w:right w:val="nil"/>
            </w:tcBorders>
            <w:shd w:val="clear" w:color="auto" w:fill="auto"/>
            <w:noWrap/>
            <w:vAlign w:val="bottom"/>
            <w:hideMark/>
          </w:tcPr>
          <w:p w14:paraId="118F8568" w14:textId="77777777" w:rsidR="00E81D69" w:rsidRPr="004B4498" w:rsidRDefault="00E81D69"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Stupanj 3</w:t>
            </w:r>
          </w:p>
        </w:tc>
        <w:tc>
          <w:tcPr>
            <w:tcW w:w="992" w:type="dxa"/>
            <w:tcBorders>
              <w:top w:val="nil"/>
              <w:left w:val="nil"/>
              <w:bottom w:val="nil"/>
              <w:right w:val="nil"/>
            </w:tcBorders>
            <w:shd w:val="clear" w:color="auto" w:fill="auto"/>
            <w:noWrap/>
            <w:vAlign w:val="bottom"/>
            <w:hideMark/>
          </w:tcPr>
          <w:p w14:paraId="49FD96A9" w14:textId="77777777" w:rsidR="00E81D69" w:rsidRPr="004B4498" w:rsidRDefault="00E81D69"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Ukupno</w:t>
            </w:r>
          </w:p>
        </w:tc>
        <w:tc>
          <w:tcPr>
            <w:tcW w:w="992" w:type="dxa"/>
            <w:tcBorders>
              <w:top w:val="nil"/>
              <w:left w:val="nil"/>
              <w:bottom w:val="nil"/>
              <w:right w:val="nil"/>
            </w:tcBorders>
            <w:shd w:val="clear" w:color="auto" w:fill="auto"/>
            <w:noWrap/>
            <w:vAlign w:val="bottom"/>
            <w:hideMark/>
          </w:tcPr>
          <w:p w14:paraId="2089ADDC" w14:textId="77777777" w:rsidR="00E81D69" w:rsidRPr="004B4498" w:rsidRDefault="00E81D69"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Stupanj 1</w:t>
            </w:r>
          </w:p>
        </w:tc>
        <w:tc>
          <w:tcPr>
            <w:tcW w:w="992" w:type="dxa"/>
            <w:tcBorders>
              <w:top w:val="nil"/>
              <w:left w:val="nil"/>
              <w:bottom w:val="nil"/>
              <w:right w:val="nil"/>
            </w:tcBorders>
            <w:shd w:val="clear" w:color="auto" w:fill="auto"/>
            <w:noWrap/>
            <w:vAlign w:val="bottom"/>
            <w:hideMark/>
          </w:tcPr>
          <w:p w14:paraId="5CDF89F1" w14:textId="77777777" w:rsidR="00E81D69" w:rsidRPr="004B4498" w:rsidRDefault="00E81D69"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Stupanj 2</w:t>
            </w:r>
          </w:p>
        </w:tc>
        <w:tc>
          <w:tcPr>
            <w:tcW w:w="992" w:type="dxa"/>
            <w:tcBorders>
              <w:top w:val="nil"/>
              <w:left w:val="nil"/>
              <w:bottom w:val="nil"/>
              <w:right w:val="nil"/>
            </w:tcBorders>
            <w:shd w:val="clear" w:color="auto" w:fill="auto"/>
            <w:noWrap/>
            <w:vAlign w:val="bottom"/>
            <w:hideMark/>
          </w:tcPr>
          <w:p w14:paraId="06BBC529" w14:textId="77777777" w:rsidR="00E81D69" w:rsidRPr="004B4498" w:rsidRDefault="00E81D69"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Stupanj 3</w:t>
            </w:r>
          </w:p>
        </w:tc>
        <w:tc>
          <w:tcPr>
            <w:tcW w:w="992" w:type="dxa"/>
            <w:tcBorders>
              <w:top w:val="nil"/>
              <w:left w:val="nil"/>
              <w:bottom w:val="nil"/>
              <w:right w:val="nil"/>
            </w:tcBorders>
            <w:shd w:val="clear" w:color="auto" w:fill="auto"/>
            <w:noWrap/>
            <w:vAlign w:val="bottom"/>
            <w:hideMark/>
          </w:tcPr>
          <w:p w14:paraId="6C876ADE" w14:textId="77777777" w:rsidR="00E81D69" w:rsidRPr="004B4498" w:rsidRDefault="00E81D69"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Ukupno</w:t>
            </w:r>
          </w:p>
        </w:tc>
      </w:tr>
      <w:tr w:rsidR="00E81D69" w:rsidRPr="00B44A61" w14:paraId="6C5E1E60" w14:textId="77777777" w:rsidTr="00D15CE2">
        <w:trPr>
          <w:trHeight w:val="314"/>
        </w:trPr>
        <w:tc>
          <w:tcPr>
            <w:tcW w:w="1843" w:type="dxa"/>
            <w:tcBorders>
              <w:top w:val="nil"/>
              <w:left w:val="nil"/>
              <w:bottom w:val="nil"/>
              <w:right w:val="nil"/>
            </w:tcBorders>
            <w:shd w:val="clear" w:color="auto" w:fill="auto"/>
            <w:noWrap/>
            <w:vAlign w:val="bottom"/>
            <w:hideMark/>
          </w:tcPr>
          <w:p w14:paraId="1B52B16E" w14:textId="77777777" w:rsidR="00E81D69" w:rsidRPr="004B4498" w:rsidRDefault="00E81D69" w:rsidP="00D15CE2">
            <w:pPr>
              <w:jc w:val="right"/>
              <w:rPr>
                <w:rFonts w:ascii="Arial"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hideMark/>
          </w:tcPr>
          <w:p w14:paraId="4E6D8640" w14:textId="77777777" w:rsidR="00E81D69" w:rsidRPr="004B4498" w:rsidRDefault="00E81D69"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992" w:type="dxa"/>
            <w:tcBorders>
              <w:top w:val="nil"/>
              <w:left w:val="nil"/>
              <w:bottom w:val="nil"/>
              <w:right w:val="nil"/>
            </w:tcBorders>
            <w:shd w:val="clear" w:color="auto" w:fill="auto"/>
            <w:noWrap/>
            <w:vAlign w:val="bottom"/>
            <w:hideMark/>
          </w:tcPr>
          <w:p w14:paraId="5AC4356B" w14:textId="77777777" w:rsidR="00E81D69" w:rsidRPr="004B4498" w:rsidRDefault="00E81D69"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992" w:type="dxa"/>
            <w:tcBorders>
              <w:top w:val="nil"/>
              <w:left w:val="nil"/>
              <w:bottom w:val="nil"/>
              <w:right w:val="nil"/>
            </w:tcBorders>
            <w:shd w:val="clear" w:color="auto" w:fill="auto"/>
            <w:noWrap/>
            <w:vAlign w:val="bottom"/>
            <w:hideMark/>
          </w:tcPr>
          <w:p w14:paraId="3442207D" w14:textId="77777777" w:rsidR="00E81D69" w:rsidRPr="004B4498" w:rsidRDefault="00E81D69"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992" w:type="dxa"/>
            <w:tcBorders>
              <w:top w:val="nil"/>
              <w:left w:val="nil"/>
              <w:bottom w:val="nil"/>
              <w:right w:val="nil"/>
            </w:tcBorders>
            <w:shd w:val="clear" w:color="auto" w:fill="auto"/>
            <w:noWrap/>
            <w:vAlign w:val="bottom"/>
            <w:hideMark/>
          </w:tcPr>
          <w:p w14:paraId="67E53459" w14:textId="77777777" w:rsidR="00E81D69" w:rsidRPr="004B4498" w:rsidRDefault="00E81D69"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992" w:type="dxa"/>
            <w:tcBorders>
              <w:top w:val="nil"/>
              <w:left w:val="nil"/>
              <w:bottom w:val="nil"/>
              <w:right w:val="nil"/>
            </w:tcBorders>
            <w:shd w:val="clear" w:color="auto" w:fill="auto"/>
            <w:noWrap/>
            <w:vAlign w:val="bottom"/>
            <w:hideMark/>
          </w:tcPr>
          <w:p w14:paraId="5F162B79" w14:textId="77777777" w:rsidR="00E81D69" w:rsidRPr="004B4498" w:rsidRDefault="00E81D69"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992" w:type="dxa"/>
            <w:tcBorders>
              <w:top w:val="nil"/>
              <w:left w:val="nil"/>
              <w:bottom w:val="nil"/>
              <w:right w:val="nil"/>
            </w:tcBorders>
            <w:shd w:val="clear" w:color="auto" w:fill="auto"/>
            <w:noWrap/>
            <w:vAlign w:val="bottom"/>
            <w:hideMark/>
          </w:tcPr>
          <w:p w14:paraId="708EA56F" w14:textId="77777777" w:rsidR="00E81D69" w:rsidRPr="004B4498" w:rsidRDefault="00E81D69"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992" w:type="dxa"/>
            <w:tcBorders>
              <w:top w:val="nil"/>
              <w:left w:val="nil"/>
              <w:bottom w:val="nil"/>
              <w:right w:val="nil"/>
            </w:tcBorders>
            <w:shd w:val="clear" w:color="auto" w:fill="auto"/>
            <w:noWrap/>
            <w:vAlign w:val="bottom"/>
            <w:hideMark/>
          </w:tcPr>
          <w:p w14:paraId="2B6D836B" w14:textId="77777777" w:rsidR="00E81D69" w:rsidRPr="004B4498" w:rsidRDefault="00E81D69"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992" w:type="dxa"/>
            <w:tcBorders>
              <w:top w:val="nil"/>
              <w:left w:val="nil"/>
              <w:bottom w:val="nil"/>
              <w:right w:val="nil"/>
            </w:tcBorders>
            <w:shd w:val="clear" w:color="auto" w:fill="auto"/>
            <w:noWrap/>
            <w:vAlign w:val="bottom"/>
            <w:hideMark/>
          </w:tcPr>
          <w:p w14:paraId="23576F86" w14:textId="77777777" w:rsidR="00E81D69" w:rsidRPr="004B4498" w:rsidRDefault="00E81D69"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r>
      <w:tr w:rsidR="00E81D69" w:rsidRPr="00B44A61" w14:paraId="4EE4AC62" w14:textId="77777777" w:rsidTr="00D15CE2">
        <w:trPr>
          <w:trHeight w:val="184"/>
        </w:trPr>
        <w:tc>
          <w:tcPr>
            <w:tcW w:w="1843" w:type="dxa"/>
            <w:tcBorders>
              <w:top w:val="nil"/>
              <w:left w:val="nil"/>
              <w:bottom w:val="nil"/>
              <w:right w:val="nil"/>
            </w:tcBorders>
            <w:shd w:val="clear" w:color="auto" w:fill="auto"/>
            <w:noWrap/>
            <w:vAlign w:val="bottom"/>
          </w:tcPr>
          <w:p w14:paraId="71C039A4" w14:textId="77777777" w:rsidR="00E81D69" w:rsidRPr="004B4498" w:rsidRDefault="00E81D69" w:rsidP="00D15CE2">
            <w:pPr>
              <w:jc w:val="right"/>
              <w:rPr>
                <w:rFonts w:ascii="Arial"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767030A7" w14:textId="77777777" w:rsidR="00E81D69" w:rsidRPr="004B4498" w:rsidRDefault="00E81D69" w:rsidP="00D15CE2">
            <w:pPr>
              <w:jc w:val="right"/>
              <w:rPr>
                <w:rFonts w:ascii="Arial"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49075C0C" w14:textId="77777777" w:rsidR="00E81D69" w:rsidRPr="004B4498" w:rsidRDefault="00E81D69" w:rsidP="00D15CE2">
            <w:pPr>
              <w:jc w:val="right"/>
              <w:rPr>
                <w:rFonts w:ascii="Arial"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3A63090F" w14:textId="77777777" w:rsidR="00E81D69" w:rsidRPr="004B4498" w:rsidRDefault="00E81D69" w:rsidP="00D15CE2">
            <w:pPr>
              <w:jc w:val="right"/>
              <w:rPr>
                <w:rFonts w:ascii="Arial"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045F4FFB" w14:textId="77777777" w:rsidR="00E81D69" w:rsidRPr="004B4498" w:rsidRDefault="00E81D69" w:rsidP="00D15CE2">
            <w:pPr>
              <w:jc w:val="right"/>
              <w:rPr>
                <w:rFonts w:ascii="Arial"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578C0741" w14:textId="77777777" w:rsidR="00E81D69" w:rsidRPr="004B4498" w:rsidRDefault="00E81D69" w:rsidP="00D15CE2">
            <w:pPr>
              <w:jc w:val="right"/>
              <w:rPr>
                <w:rFonts w:ascii="Arial"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31FF35DC" w14:textId="77777777" w:rsidR="00E81D69" w:rsidRPr="004B4498" w:rsidRDefault="00E81D69" w:rsidP="00D15CE2">
            <w:pPr>
              <w:jc w:val="right"/>
              <w:rPr>
                <w:rFonts w:ascii="Arial"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26C20C52" w14:textId="77777777" w:rsidR="00E81D69" w:rsidRPr="004B4498" w:rsidRDefault="00E81D69" w:rsidP="00D15CE2">
            <w:pPr>
              <w:jc w:val="right"/>
              <w:rPr>
                <w:rFonts w:ascii="Arial" w:hAnsi="Arial" w:cs="Arial"/>
                <w:b/>
                <w:bCs/>
                <w:color w:val="000000" w:themeColor="text1"/>
                <w:sz w:val="17"/>
                <w:szCs w:val="17"/>
              </w:rPr>
            </w:pPr>
          </w:p>
        </w:tc>
        <w:tc>
          <w:tcPr>
            <w:tcW w:w="992" w:type="dxa"/>
            <w:tcBorders>
              <w:top w:val="nil"/>
              <w:left w:val="nil"/>
              <w:bottom w:val="nil"/>
              <w:right w:val="nil"/>
            </w:tcBorders>
            <w:shd w:val="clear" w:color="auto" w:fill="auto"/>
            <w:noWrap/>
            <w:vAlign w:val="bottom"/>
          </w:tcPr>
          <w:p w14:paraId="7D5F5FA1" w14:textId="77777777" w:rsidR="00E81D69" w:rsidRPr="004B4498" w:rsidRDefault="00E81D69" w:rsidP="00D15CE2">
            <w:pPr>
              <w:jc w:val="right"/>
              <w:rPr>
                <w:rFonts w:ascii="Arial" w:hAnsi="Arial" w:cs="Arial"/>
                <w:b/>
                <w:bCs/>
                <w:color w:val="000000" w:themeColor="text1"/>
                <w:sz w:val="17"/>
                <w:szCs w:val="17"/>
              </w:rPr>
            </w:pPr>
          </w:p>
        </w:tc>
      </w:tr>
      <w:tr w:rsidR="00E81D69" w:rsidRPr="00E21596" w14:paraId="65A469FD" w14:textId="77777777" w:rsidTr="00D15CE2">
        <w:trPr>
          <w:trHeight w:val="319"/>
        </w:trPr>
        <w:tc>
          <w:tcPr>
            <w:tcW w:w="1843" w:type="dxa"/>
            <w:tcBorders>
              <w:top w:val="nil"/>
              <w:left w:val="nil"/>
              <w:bottom w:val="nil"/>
              <w:right w:val="nil"/>
            </w:tcBorders>
            <w:shd w:val="clear" w:color="auto" w:fill="auto"/>
            <w:noWrap/>
            <w:vAlign w:val="bottom"/>
            <w:hideMark/>
          </w:tcPr>
          <w:p w14:paraId="35B6000C" w14:textId="77777777" w:rsidR="00E81D69" w:rsidRPr="004B4498" w:rsidRDefault="00E81D69" w:rsidP="00D15CE2">
            <w:pPr>
              <w:rPr>
                <w:rFonts w:ascii="Arial" w:hAnsi="Arial" w:cs="Arial"/>
                <w:color w:val="000000" w:themeColor="text1"/>
                <w:sz w:val="17"/>
                <w:szCs w:val="17"/>
              </w:rPr>
            </w:pPr>
            <w:r w:rsidRPr="004B4498">
              <w:rPr>
                <w:rFonts w:ascii="Arial" w:hAnsi="Arial" w:cs="Arial"/>
                <w:color w:val="000000" w:themeColor="text1"/>
                <w:sz w:val="17"/>
                <w:szCs w:val="17"/>
              </w:rPr>
              <w:t>Bruto iznos</w:t>
            </w:r>
          </w:p>
        </w:tc>
        <w:tc>
          <w:tcPr>
            <w:tcW w:w="992" w:type="dxa"/>
            <w:tcBorders>
              <w:top w:val="nil"/>
              <w:left w:val="nil"/>
              <w:bottom w:val="nil"/>
              <w:right w:val="nil"/>
            </w:tcBorders>
            <w:shd w:val="clear" w:color="auto" w:fill="auto"/>
            <w:noWrap/>
            <w:vAlign w:val="bottom"/>
          </w:tcPr>
          <w:p w14:paraId="222C9B09" w14:textId="77777777" w:rsidR="00E81D69" w:rsidRPr="004B4498" w:rsidRDefault="00E81D69" w:rsidP="00D15CE2">
            <w:pPr>
              <w:jc w:val="right"/>
              <w:rPr>
                <w:rFonts w:ascii="Arial" w:hAnsi="Arial" w:cs="Arial"/>
                <w:color w:val="000000" w:themeColor="text1"/>
                <w:sz w:val="17"/>
                <w:szCs w:val="17"/>
              </w:rPr>
            </w:pPr>
            <w:r w:rsidRPr="0091098E">
              <w:rPr>
                <w:rFonts w:ascii="Arial" w:hAnsi="Arial" w:cs="Arial"/>
                <w:color w:val="000000" w:themeColor="text1"/>
                <w:sz w:val="17"/>
                <w:szCs w:val="17"/>
              </w:rPr>
              <w:t>71.982</w:t>
            </w:r>
          </w:p>
        </w:tc>
        <w:tc>
          <w:tcPr>
            <w:tcW w:w="992" w:type="dxa"/>
            <w:tcBorders>
              <w:top w:val="nil"/>
              <w:left w:val="nil"/>
              <w:bottom w:val="nil"/>
              <w:right w:val="nil"/>
            </w:tcBorders>
            <w:shd w:val="clear" w:color="auto" w:fill="auto"/>
            <w:noWrap/>
            <w:vAlign w:val="bottom"/>
          </w:tcPr>
          <w:p w14:paraId="24447779" w14:textId="77777777" w:rsidR="00E81D69" w:rsidRPr="004B4498" w:rsidRDefault="00E81D69" w:rsidP="00D15CE2">
            <w:pPr>
              <w:jc w:val="right"/>
              <w:rPr>
                <w:rFonts w:ascii="Arial" w:hAnsi="Arial" w:cs="Arial"/>
                <w:color w:val="000000" w:themeColor="text1"/>
                <w:sz w:val="17"/>
                <w:szCs w:val="17"/>
              </w:rPr>
            </w:pPr>
            <w:r>
              <w:rPr>
                <w:rFonts w:ascii="Arial" w:hAnsi="Arial" w:cs="Arial"/>
                <w:color w:val="000000" w:themeColor="text1"/>
                <w:sz w:val="17"/>
                <w:szCs w:val="17"/>
              </w:rPr>
              <w:t>-</w:t>
            </w:r>
          </w:p>
        </w:tc>
        <w:tc>
          <w:tcPr>
            <w:tcW w:w="992" w:type="dxa"/>
            <w:tcBorders>
              <w:top w:val="nil"/>
              <w:left w:val="nil"/>
              <w:bottom w:val="nil"/>
              <w:right w:val="nil"/>
            </w:tcBorders>
            <w:shd w:val="clear" w:color="auto" w:fill="auto"/>
            <w:noWrap/>
            <w:vAlign w:val="bottom"/>
          </w:tcPr>
          <w:p w14:paraId="71A81035" w14:textId="77777777" w:rsidR="00E81D69" w:rsidRPr="004B4498" w:rsidRDefault="00E81D69" w:rsidP="00D15CE2">
            <w:pPr>
              <w:jc w:val="right"/>
              <w:rPr>
                <w:rFonts w:ascii="Arial" w:hAnsi="Arial" w:cs="Arial"/>
                <w:color w:val="000000" w:themeColor="text1"/>
                <w:sz w:val="17"/>
                <w:szCs w:val="17"/>
              </w:rPr>
            </w:pPr>
            <w:r>
              <w:rPr>
                <w:rFonts w:ascii="Arial" w:hAnsi="Arial" w:cs="Arial"/>
                <w:color w:val="000000" w:themeColor="text1"/>
                <w:sz w:val="17"/>
                <w:szCs w:val="17"/>
              </w:rPr>
              <w:t>-</w:t>
            </w:r>
          </w:p>
        </w:tc>
        <w:tc>
          <w:tcPr>
            <w:tcW w:w="992" w:type="dxa"/>
            <w:tcBorders>
              <w:top w:val="nil"/>
              <w:left w:val="nil"/>
              <w:bottom w:val="nil"/>
              <w:right w:val="nil"/>
            </w:tcBorders>
            <w:shd w:val="clear" w:color="auto" w:fill="auto"/>
            <w:noWrap/>
            <w:vAlign w:val="bottom"/>
          </w:tcPr>
          <w:p w14:paraId="5782A462" w14:textId="77777777" w:rsidR="00E81D69" w:rsidRPr="0091098E" w:rsidRDefault="00E81D69" w:rsidP="00D15CE2">
            <w:pPr>
              <w:jc w:val="right"/>
              <w:rPr>
                <w:rFonts w:ascii="Arial" w:hAnsi="Arial" w:cs="Arial"/>
                <w:b/>
                <w:bCs/>
                <w:color w:val="000000" w:themeColor="text1"/>
                <w:sz w:val="17"/>
                <w:szCs w:val="17"/>
              </w:rPr>
            </w:pPr>
            <w:r w:rsidRPr="00F959D0">
              <w:rPr>
                <w:rFonts w:ascii="Arial" w:hAnsi="Arial" w:cs="Arial"/>
                <w:b/>
                <w:bCs/>
                <w:color w:val="000000" w:themeColor="text1"/>
                <w:sz w:val="17"/>
                <w:szCs w:val="17"/>
              </w:rPr>
              <w:t>71.982</w:t>
            </w:r>
          </w:p>
        </w:tc>
        <w:tc>
          <w:tcPr>
            <w:tcW w:w="992" w:type="dxa"/>
            <w:tcBorders>
              <w:top w:val="nil"/>
              <w:left w:val="nil"/>
              <w:bottom w:val="nil"/>
              <w:right w:val="nil"/>
            </w:tcBorders>
            <w:shd w:val="clear" w:color="auto" w:fill="auto"/>
            <w:noWrap/>
            <w:vAlign w:val="bottom"/>
          </w:tcPr>
          <w:p w14:paraId="49E9296E" w14:textId="77777777" w:rsidR="00E81D69" w:rsidRPr="004B4498" w:rsidRDefault="00E81D69" w:rsidP="00D15CE2">
            <w:pPr>
              <w:jc w:val="right"/>
              <w:rPr>
                <w:rFonts w:ascii="Arial" w:hAnsi="Arial" w:cs="Arial"/>
                <w:color w:val="000000" w:themeColor="text1"/>
                <w:sz w:val="17"/>
                <w:szCs w:val="17"/>
              </w:rPr>
            </w:pPr>
            <w:r w:rsidRPr="00F959D0">
              <w:rPr>
                <w:rFonts w:ascii="Arial" w:hAnsi="Arial" w:cs="Arial"/>
                <w:color w:val="000000" w:themeColor="text1"/>
                <w:sz w:val="17"/>
                <w:szCs w:val="17"/>
              </w:rPr>
              <w:t xml:space="preserve"> 69.674 </w:t>
            </w:r>
          </w:p>
        </w:tc>
        <w:tc>
          <w:tcPr>
            <w:tcW w:w="992" w:type="dxa"/>
            <w:tcBorders>
              <w:top w:val="nil"/>
              <w:left w:val="nil"/>
              <w:bottom w:val="nil"/>
              <w:right w:val="nil"/>
            </w:tcBorders>
            <w:shd w:val="clear" w:color="auto" w:fill="auto"/>
            <w:noWrap/>
            <w:vAlign w:val="bottom"/>
          </w:tcPr>
          <w:p w14:paraId="10E73509" w14:textId="77777777" w:rsidR="00E81D69" w:rsidRPr="004B4498" w:rsidRDefault="00E81D69" w:rsidP="00D15CE2">
            <w:pPr>
              <w:jc w:val="right"/>
              <w:rPr>
                <w:rFonts w:ascii="Arial" w:hAnsi="Arial" w:cs="Arial"/>
                <w:color w:val="000000" w:themeColor="text1"/>
                <w:sz w:val="17"/>
                <w:szCs w:val="17"/>
              </w:rPr>
            </w:pPr>
            <w:r w:rsidRPr="00F959D0">
              <w:rPr>
                <w:rFonts w:ascii="Arial" w:hAnsi="Arial" w:cs="Arial"/>
                <w:color w:val="000000" w:themeColor="text1"/>
                <w:sz w:val="17"/>
                <w:szCs w:val="17"/>
              </w:rPr>
              <w:t xml:space="preserve"> - </w:t>
            </w:r>
          </w:p>
        </w:tc>
        <w:tc>
          <w:tcPr>
            <w:tcW w:w="992" w:type="dxa"/>
            <w:tcBorders>
              <w:top w:val="nil"/>
              <w:left w:val="nil"/>
              <w:bottom w:val="nil"/>
              <w:right w:val="nil"/>
            </w:tcBorders>
            <w:shd w:val="clear" w:color="auto" w:fill="auto"/>
            <w:noWrap/>
            <w:vAlign w:val="bottom"/>
          </w:tcPr>
          <w:p w14:paraId="10EA461B" w14:textId="77777777" w:rsidR="00E81D69" w:rsidRPr="004B4498" w:rsidRDefault="00E81D69" w:rsidP="00D15CE2">
            <w:pPr>
              <w:jc w:val="right"/>
              <w:rPr>
                <w:rFonts w:ascii="Arial" w:hAnsi="Arial" w:cs="Arial"/>
                <w:color w:val="000000" w:themeColor="text1"/>
                <w:sz w:val="17"/>
                <w:szCs w:val="17"/>
              </w:rPr>
            </w:pPr>
            <w:r w:rsidRPr="00F959D0">
              <w:rPr>
                <w:rFonts w:ascii="Arial" w:hAnsi="Arial" w:cs="Arial"/>
                <w:color w:val="000000" w:themeColor="text1"/>
                <w:sz w:val="17"/>
                <w:szCs w:val="17"/>
              </w:rPr>
              <w:t xml:space="preserve"> - </w:t>
            </w:r>
          </w:p>
        </w:tc>
        <w:tc>
          <w:tcPr>
            <w:tcW w:w="992" w:type="dxa"/>
            <w:tcBorders>
              <w:top w:val="nil"/>
              <w:left w:val="nil"/>
              <w:bottom w:val="nil"/>
              <w:right w:val="nil"/>
            </w:tcBorders>
            <w:shd w:val="clear" w:color="auto" w:fill="auto"/>
            <w:noWrap/>
            <w:vAlign w:val="bottom"/>
          </w:tcPr>
          <w:p w14:paraId="06903741" w14:textId="77777777" w:rsidR="00E81D69" w:rsidRPr="008F0B09" w:rsidRDefault="00E81D69" w:rsidP="00D15CE2">
            <w:pPr>
              <w:jc w:val="right"/>
              <w:rPr>
                <w:rFonts w:ascii="Arial" w:hAnsi="Arial" w:cs="Arial"/>
                <w:b/>
                <w:bCs/>
                <w:color w:val="000000" w:themeColor="text1"/>
                <w:sz w:val="17"/>
                <w:szCs w:val="17"/>
              </w:rPr>
            </w:pPr>
            <w:r w:rsidRPr="00F959D0">
              <w:rPr>
                <w:rFonts w:ascii="Arial" w:hAnsi="Arial" w:cs="Arial"/>
                <w:b/>
                <w:bCs/>
                <w:color w:val="000000" w:themeColor="text1"/>
                <w:sz w:val="17"/>
                <w:szCs w:val="17"/>
              </w:rPr>
              <w:t xml:space="preserve"> 69.674 </w:t>
            </w:r>
          </w:p>
        </w:tc>
      </w:tr>
      <w:tr w:rsidR="00E81D69" w:rsidRPr="00E21596" w14:paraId="3FC76606" w14:textId="77777777" w:rsidTr="00D15CE2">
        <w:trPr>
          <w:trHeight w:val="324"/>
        </w:trPr>
        <w:tc>
          <w:tcPr>
            <w:tcW w:w="1843" w:type="dxa"/>
            <w:tcBorders>
              <w:top w:val="nil"/>
              <w:left w:val="nil"/>
              <w:bottom w:val="nil"/>
              <w:right w:val="nil"/>
            </w:tcBorders>
            <w:shd w:val="clear" w:color="auto" w:fill="auto"/>
            <w:noWrap/>
            <w:vAlign w:val="bottom"/>
            <w:hideMark/>
          </w:tcPr>
          <w:p w14:paraId="6F8303A5" w14:textId="77777777" w:rsidR="00E81D69" w:rsidRPr="004B4498" w:rsidRDefault="00E81D69" w:rsidP="00D15CE2">
            <w:pPr>
              <w:rPr>
                <w:rFonts w:ascii="Arial" w:hAnsi="Arial" w:cs="Arial"/>
                <w:color w:val="000000" w:themeColor="text1"/>
                <w:sz w:val="17"/>
                <w:szCs w:val="17"/>
              </w:rPr>
            </w:pPr>
            <w:r w:rsidRPr="004B4498">
              <w:rPr>
                <w:rFonts w:ascii="Arial" w:hAnsi="Arial" w:cs="Arial"/>
                <w:color w:val="000000" w:themeColor="text1"/>
                <w:sz w:val="17"/>
                <w:szCs w:val="17"/>
              </w:rPr>
              <w:t>Rezerviranja</w:t>
            </w:r>
          </w:p>
        </w:tc>
        <w:tc>
          <w:tcPr>
            <w:tcW w:w="992" w:type="dxa"/>
            <w:tcBorders>
              <w:top w:val="nil"/>
              <w:left w:val="nil"/>
              <w:bottom w:val="nil"/>
              <w:right w:val="nil"/>
            </w:tcBorders>
            <w:shd w:val="clear" w:color="auto" w:fill="auto"/>
            <w:noWrap/>
            <w:vAlign w:val="bottom"/>
          </w:tcPr>
          <w:p w14:paraId="102FD0FF" w14:textId="77777777" w:rsidR="00E81D69" w:rsidRPr="004B4498" w:rsidRDefault="00E81D69" w:rsidP="00D15CE2">
            <w:pPr>
              <w:jc w:val="right"/>
              <w:rPr>
                <w:rFonts w:ascii="Arial" w:hAnsi="Arial" w:cs="Arial"/>
                <w:color w:val="000000" w:themeColor="text1"/>
                <w:sz w:val="17"/>
                <w:szCs w:val="17"/>
              </w:rPr>
            </w:pPr>
            <w:r w:rsidRPr="0091098E">
              <w:rPr>
                <w:rFonts w:ascii="Arial" w:hAnsi="Arial" w:cs="Arial"/>
                <w:color w:val="000000" w:themeColor="text1"/>
                <w:sz w:val="17"/>
                <w:szCs w:val="17"/>
              </w:rPr>
              <w:t>(221)</w:t>
            </w:r>
          </w:p>
        </w:tc>
        <w:tc>
          <w:tcPr>
            <w:tcW w:w="992" w:type="dxa"/>
            <w:tcBorders>
              <w:top w:val="nil"/>
              <w:left w:val="nil"/>
              <w:bottom w:val="nil"/>
              <w:right w:val="nil"/>
            </w:tcBorders>
            <w:shd w:val="clear" w:color="auto" w:fill="auto"/>
            <w:noWrap/>
            <w:vAlign w:val="bottom"/>
          </w:tcPr>
          <w:p w14:paraId="15718A73" w14:textId="77777777" w:rsidR="00E81D69" w:rsidRPr="004B4498" w:rsidRDefault="00E81D69" w:rsidP="00D15CE2">
            <w:pPr>
              <w:jc w:val="right"/>
              <w:rPr>
                <w:rFonts w:ascii="Arial" w:hAnsi="Arial" w:cs="Arial"/>
                <w:color w:val="000000" w:themeColor="text1"/>
                <w:sz w:val="17"/>
                <w:szCs w:val="17"/>
              </w:rPr>
            </w:pPr>
            <w:r>
              <w:rPr>
                <w:rFonts w:ascii="Arial" w:hAnsi="Arial" w:cs="Arial"/>
                <w:color w:val="000000" w:themeColor="text1"/>
                <w:sz w:val="17"/>
                <w:szCs w:val="17"/>
              </w:rPr>
              <w:t>-</w:t>
            </w:r>
          </w:p>
        </w:tc>
        <w:tc>
          <w:tcPr>
            <w:tcW w:w="992" w:type="dxa"/>
            <w:tcBorders>
              <w:top w:val="nil"/>
              <w:left w:val="nil"/>
              <w:bottom w:val="nil"/>
              <w:right w:val="nil"/>
            </w:tcBorders>
            <w:shd w:val="clear" w:color="auto" w:fill="auto"/>
            <w:noWrap/>
            <w:vAlign w:val="bottom"/>
          </w:tcPr>
          <w:p w14:paraId="3FD92004" w14:textId="77777777" w:rsidR="00E81D69" w:rsidRPr="004B4498" w:rsidRDefault="00E81D69" w:rsidP="00D15CE2">
            <w:pPr>
              <w:jc w:val="right"/>
              <w:rPr>
                <w:rFonts w:ascii="Arial" w:hAnsi="Arial" w:cs="Arial"/>
                <w:color w:val="000000" w:themeColor="text1"/>
                <w:sz w:val="17"/>
                <w:szCs w:val="17"/>
              </w:rPr>
            </w:pPr>
            <w:r>
              <w:rPr>
                <w:rFonts w:ascii="Arial" w:hAnsi="Arial" w:cs="Arial"/>
                <w:color w:val="000000" w:themeColor="text1"/>
                <w:sz w:val="17"/>
                <w:szCs w:val="17"/>
              </w:rPr>
              <w:t>-</w:t>
            </w:r>
          </w:p>
        </w:tc>
        <w:tc>
          <w:tcPr>
            <w:tcW w:w="992" w:type="dxa"/>
            <w:tcBorders>
              <w:top w:val="nil"/>
              <w:left w:val="nil"/>
              <w:bottom w:val="nil"/>
              <w:right w:val="nil"/>
            </w:tcBorders>
            <w:shd w:val="clear" w:color="auto" w:fill="auto"/>
            <w:noWrap/>
            <w:vAlign w:val="bottom"/>
          </w:tcPr>
          <w:p w14:paraId="07AE02D0" w14:textId="77777777" w:rsidR="00E81D69" w:rsidRPr="0091098E" w:rsidRDefault="00E81D69" w:rsidP="00D15CE2">
            <w:pPr>
              <w:jc w:val="right"/>
              <w:rPr>
                <w:rFonts w:ascii="Arial" w:hAnsi="Arial" w:cs="Arial"/>
                <w:b/>
                <w:bCs/>
                <w:color w:val="000000" w:themeColor="text1"/>
                <w:sz w:val="17"/>
                <w:szCs w:val="17"/>
              </w:rPr>
            </w:pPr>
            <w:r w:rsidRPr="00F959D0">
              <w:rPr>
                <w:rFonts w:ascii="Arial" w:hAnsi="Arial" w:cs="Arial"/>
                <w:b/>
                <w:bCs/>
                <w:color w:val="000000" w:themeColor="text1"/>
                <w:sz w:val="17"/>
                <w:szCs w:val="17"/>
              </w:rPr>
              <w:t>(221)</w:t>
            </w:r>
          </w:p>
        </w:tc>
        <w:tc>
          <w:tcPr>
            <w:tcW w:w="992" w:type="dxa"/>
            <w:tcBorders>
              <w:top w:val="nil"/>
              <w:left w:val="nil"/>
              <w:bottom w:val="nil"/>
              <w:right w:val="nil"/>
            </w:tcBorders>
            <w:shd w:val="clear" w:color="auto" w:fill="auto"/>
            <w:noWrap/>
            <w:vAlign w:val="bottom"/>
          </w:tcPr>
          <w:p w14:paraId="39AE925F" w14:textId="77777777" w:rsidR="00E81D69" w:rsidRPr="004B4498" w:rsidRDefault="00E81D69" w:rsidP="00D15CE2">
            <w:pPr>
              <w:jc w:val="right"/>
              <w:rPr>
                <w:rFonts w:ascii="Arial" w:hAnsi="Arial" w:cs="Arial"/>
                <w:color w:val="000000" w:themeColor="text1"/>
                <w:sz w:val="17"/>
                <w:szCs w:val="17"/>
              </w:rPr>
            </w:pPr>
            <w:r w:rsidRPr="00F959D0">
              <w:rPr>
                <w:rFonts w:ascii="Arial" w:hAnsi="Arial" w:cs="Arial"/>
                <w:color w:val="000000" w:themeColor="text1"/>
                <w:sz w:val="17"/>
                <w:szCs w:val="17"/>
              </w:rPr>
              <w:t xml:space="preserve"> (218)</w:t>
            </w:r>
          </w:p>
        </w:tc>
        <w:tc>
          <w:tcPr>
            <w:tcW w:w="992" w:type="dxa"/>
            <w:tcBorders>
              <w:top w:val="nil"/>
              <w:left w:val="nil"/>
              <w:bottom w:val="nil"/>
              <w:right w:val="nil"/>
            </w:tcBorders>
            <w:shd w:val="clear" w:color="auto" w:fill="auto"/>
            <w:noWrap/>
            <w:vAlign w:val="bottom"/>
          </w:tcPr>
          <w:p w14:paraId="793211D0" w14:textId="77777777" w:rsidR="00E81D69" w:rsidRPr="004B4498" w:rsidRDefault="00E81D69" w:rsidP="00D15CE2">
            <w:pPr>
              <w:jc w:val="right"/>
              <w:rPr>
                <w:rFonts w:ascii="Arial" w:hAnsi="Arial" w:cs="Arial"/>
                <w:color w:val="000000" w:themeColor="text1"/>
                <w:sz w:val="17"/>
                <w:szCs w:val="17"/>
              </w:rPr>
            </w:pPr>
            <w:r w:rsidRPr="00F959D0">
              <w:rPr>
                <w:rFonts w:ascii="Arial" w:hAnsi="Arial" w:cs="Arial"/>
                <w:color w:val="000000" w:themeColor="text1"/>
                <w:sz w:val="17"/>
                <w:szCs w:val="17"/>
              </w:rPr>
              <w:t xml:space="preserve"> - </w:t>
            </w:r>
          </w:p>
        </w:tc>
        <w:tc>
          <w:tcPr>
            <w:tcW w:w="992" w:type="dxa"/>
            <w:tcBorders>
              <w:top w:val="nil"/>
              <w:left w:val="nil"/>
              <w:bottom w:val="nil"/>
              <w:right w:val="nil"/>
            </w:tcBorders>
            <w:shd w:val="clear" w:color="auto" w:fill="auto"/>
            <w:noWrap/>
            <w:vAlign w:val="bottom"/>
          </w:tcPr>
          <w:p w14:paraId="10E24776" w14:textId="77777777" w:rsidR="00E81D69" w:rsidRPr="004B4498" w:rsidRDefault="00E81D69" w:rsidP="00D15CE2">
            <w:pPr>
              <w:jc w:val="right"/>
              <w:rPr>
                <w:rFonts w:ascii="Arial" w:hAnsi="Arial" w:cs="Arial"/>
                <w:color w:val="000000" w:themeColor="text1"/>
                <w:sz w:val="17"/>
                <w:szCs w:val="17"/>
              </w:rPr>
            </w:pPr>
            <w:r w:rsidRPr="00F959D0">
              <w:rPr>
                <w:rFonts w:ascii="Arial" w:hAnsi="Arial" w:cs="Arial"/>
                <w:color w:val="000000" w:themeColor="text1"/>
                <w:sz w:val="17"/>
                <w:szCs w:val="17"/>
              </w:rPr>
              <w:t xml:space="preserve"> - </w:t>
            </w:r>
          </w:p>
        </w:tc>
        <w:tc>
          <w:tcPr>
            <w:tcW w:w="992" w:type="dxa"/>
            <w:tcBorders>
              <w:top w:val="nil"/>
              <w:left w:val="nil"/>
              <w:bottom w:val="nil"/>
              <w:right w:val="nil"/>
            </w:tcBorders>
            <w:shd w:val="clear" w:color="auto" w:fill="auto"/>
            <w:noWrap/>
            <w:vAlign w:val="bottom"/>
          </w:tcPr>
          <w:p w14:paraId="53DC26C0" w14:textId="77777777" w:rsidR="00E81D69" w:rsidRPr="008F0B09" w:rsidRDefault="00E81D69" w:rsidP="00D15CE2">
            <w:pPr>
              <w:jc w:val="right"/>
              <w:rPr>
                <w:rFonts w:ascii="Arial" w:hAnsi="Arial" w:cs="Arial"/>
                <w:b/>
                <w:bCs/>
                <w:color w:val="000000" w:themeColor="text1"/>
                <w:sz w:val="17"/>
                <w:szCs w:val="17"/>
              </w:rPr>
            </w:pPr>
            <w:r w:rsidRPr="00F959D0">
              <w:rPr>
                <w:rFonts w:ascii="Arial" w:hAnsi="Arial" w:cs="Arial"/>
                <w:b/>
                <w:bCs/>
                <w:color w:val="000000" w:themeColor="text1"/>
                <w:sz w:val="17"/>
                <w:szCs w:val="17"/>
              </w:rPr>
              <w:t xml:space="preserve"> (218)</w:t>
            </w:r>
          </w:p>
        </w:tc>
      </w:tr>
      <w:tr w:rsidR="00E81D69" w:rsidRPr="00E21596" w14:paraId="05B9DD5A" w14:textId="77777777" w:rsidTr="00D15CE2">
        <w:trPr>
          <w:trHeight w:val="548"/>
        </w:trPr>
        <w:tc>
          <w:tcPr>
            <w:tcW w:w="1843" w:type="dxa"/>
            <w:tcBorders>
              <w:top w:val="nil"/>
              <w:left w:val="nil"/>
              <w:bottom w:val="nil"/>
              <w:right w:val="nil"/>
            </w:tcBorders>
            <w:shd w:val="clear" w:color="auto" w:fill="auto"/>
            <w:noWrap/>
            <w:vAlign w:val="bottom"/>
            <w:hideMark/>
          </w:tcPr>
          <w:p w14:paraId="5FA1B896" w14:textId="77777777" w:rsidR="00E81D69" w:rsidRPr="004B4498" w:rsidRDefault="00E81D69" w:rsidP="00D15CE2">
            <w:pPr>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Stanje na dan </w:t>
            </w:r>
          </w:p>
          <w:p w14:paraId="5A334C79" w14:textId="77777777" w:rsidR="00E81D69" w:rsidRPr="004B4498" w:rsidRDefault="00E81D69" w:rsidP="00D15CE2">
            <w:pPr>
              <w:rPr>
                <w:rFonts w:ascii="Arial" w:hAnsi="Arial" w:cs="Arial"/>
                <w:b/>
                <w:bCs/>
                <w:color w:val="000000" w:themeColor="text1"/>
                <w:sz w:val="17"/>
                <w:szCs w:val="17"/>
              </w:rPr>
            </w:pPr>
            <w:r w:rsidRPr="004B4498">
              <w:rPr>
                <w:rFonts w:ascii="Arial" w:hAnsi="Arial" w:cs="Arial"/>
                <w:b/>
                <w:bCs/>
                <w:color w:val="000000" w:themeColor="text1"/>
                <w:sz w:val="17"/>
                <w:szCs w:val="17"/>
              </w:rPr>
              <w:t>31. prosinca 202</w:t>
            </w:r>
            <w:r>
              <w:rPr>
                <w:rFonts w:ascii="Arial" w:hAnsi="Arial" w:cs="Arial"/>
                <w:b/>
                <w:bCs/>
                <w:color w:val="000000" w:themeColor="text1"/>
                <w:sz w:val="17"/>
                <w:szCs w:val="17"/>
              </w:rPr>
              <w:t>3</w:t>
            </w:r>
            <w:r w:rsidRPr="004B4498">
              <w:rPr>
                <w:rFonts w:ascii="Arial" w:hAnsi="Arial" w:cs="Arial"/>
                <w:b/>
                <w:bCs/>
                <w:color w:val="000000" w:themeColor="text1"/>
                <w:sz w:val="17"/>
                <w:szCs w:val="17"/>
              </w:rPr>
              <w:t xml:space="preserve">.   </w:t>
            </w:r>
          </w:p>
        </w:tc>
        <w:tc>
          <w:tcPr>
            <w:tcW w:w="992" w:type="dxa"/>
            <w:tcBorders>
              <w:top w:val="single" w:sz="4" w:space="0" w:color="auto"/>
              <w:left w:val="nil"/>
              <w:bottom w:val="single" w:sz="12" w:space="0" w:color="auto"/>
              <w:right w:val="nil"/>
            </w:tcBorders>
            <w:shd w:val="clear" w:color="auto" w:fill="auto"/>
            <w:noWrap/>
            <w:vAlign w:val="bottom"/>
          </w:tcPr>
          <w:p w14:paraId="7D09B311" w14:textId="77777777" w:rsidR="00E81D69" w:rsidRPr="00A3731F" w:rsidRDefault="00E81D69" w:rsidP="00D15CE2">
            <w:pPr>
              <w:jc w:val="right"/>
              <w:rPr>
                <w:rFonts w:ascii="Arial" w:hAnsi="Arial" w:cs="Arial"/>
                <w:b/>
                <w:bCs/>
                <w:color w:val="000000" w:themeColor="text1"/>
                <w:sz w:val="17"/>
                <w:szCs w:val="17"/>
              </w:rPr>
            </w:pPr>
            <w:r w:rsidRPr="0091098E">
              <w:rPr>
                <w:rFonts w:ascii="Arial" w:hAnsi="Arial" w:cs="Arial"/>
                <w:b/>
                <w:bCs/>
                <w:color w:val="000000" w:themeColor="text1"/>
                <w:sz w:val="17"/>
                <w:szCs w:val="17"/>
              </w:rPr>
              <w:t>71.761</w:t>
            </w:r>
          </w:p>
        </w:tc>
        <w:tc>
          <w:tcPr>
            <w:tcW w:w="992" w:type="dxa"/>
            <w:tcBorders>
              <w:top w:val="single" w:sz="4" w:space="0" w:color="auto"/>
              <w:left w:val="nil"/>
              <w:bottom w:val="single" w:sz="12" w:space="0" w:color="auto"/>
              <w:right w:val="nil"/>
            </w:tcBorders>
            <w:shd w:val="clear" w:color="auto" w:fill="auto"/>
            <w:noWrap/>
            <w:vAlign w:val="bottom"/>
          </w:tcPr>
          <w:p w14:paraId="78278FB4" w14:textId="77777777" w:rsidR="00E81D69" w:rsidRPr="004B4498" w:rsidRDefault="00E81D69" w:rsidP="00D15CE2">
            <w:pPr>
              <w:jc w:val="right"/>
              <w:rPr>
                <w:rFonts w:ascii="Arial" w:hAnsi="Arial" w:cs="Arial"/>
                <w:b/>
                <w:bCs/>
                <w:color w:val="000000" w:themeColor="text1"/>
                <w:sz w:val="17"/>
                <w:szCs w:val="17"/>
              </w:rPr>
            </w:pPr>
            <w:r>
              <w:rPr>
                <w:rFonts w:ascii="Arial" w:hAnsi="Arial" w:cs="Arial"/>
                <w:b/>
                <w:bCs/>
                <w:color w:val="000000" w:themeColor="text1"/>
                <w:sz w:val="17"/>
                <w:szCs w:val="17"/>
              </w:rPr>
              <w:t>-</w:t>
            </w:r>
          </w:p>
        </w:tc>
        <w:tc>
          <w:tcPr>
            <w:tcW w:w="992" w:type="dxa"/>
            <w:tcBorders>
              <w:top w:val="single" w:sz="4" w:space="0" w:color="auto"/>
              <w:left w:val="nil"/>
              <w:bottom w:val="single" w:sz="12" w:space="0" w:color="auto"/>
              <w:right w:val="nil"/>
            </w:tcBorders>
            <w:shd w:val="clear" w:color="auto" w:fill="auto"/>
            <w:noWrap/>
            <w:vAlign w:val="bottom"/>
          </w:tcPr>
          <w:p w14:paraId="20C0E866" w14:textId="77777777" w:rsidR="00E81D69" w:rsidRPr="004B4498" w:rsidRDefault="00E81D69" w:rsidP="00D15CE2">
            <w:pPr>
              <w:jc w:val="right"/>
              <w:rPr>
                <w:rFonts w:ascii="Arial" w:hAnsi="Arial" w:cs="Arial"/>
                <w:b/>
                <w:bCs/>
                <w:color w:val="000000" w:themeColor="text1"/>
                <w:sz w:val="17"/>
                <w:szCs w:val="17"/>
              </w:rPr>
            </w:pPr>
            <w:r>
              <w:rPr>
                <w:rFonts w:ascii="Arial" w:hAnsi="Arial" w:cs="Arial"/>
                <w:b/>
                <w:bCs/>
                <w:color w:val="000000" w:themeColor="text1"/>
                <w:sz w:val="17"/>
                <w:szCs w:val="17"/>
              </w:rPr>
              <w:t>-</w:t>
            </w:r>
          </w:p>
        </w:tc>
        <w:tc>
          <w:tcPr>
            <w:tcW w:w="992" w:type="dxa"/>
            <w:tcBorders>
              <w:top w:val="single" w:sz="4" w:space="0" w:color="auto"/>
              <w:left w:val="nil"/>
              <w:bottom w:val="single" w:sz="12" w:space="0" w:color="auto"/>
              <w:right w:val="nil"/>
            </w:tcBorders>
            <w:shd w:val="clear" w:color="auto" w:fill="auto"/>
            <w:noWrap/>
            <w:vAlign w:val="bottom"/>
          </w:tcPr>
          <w:p w14:paraId="23A05C36" w14:textId="77777777" w:rsidR="00E81D69" w:rsidRPr="0091098E" w:rsidRDefault="00E81D69" w:rsidP="00D15CE2">
            <w:pPr>
              <w:jc w:val="right"/>
              <w:rPr>
                <w:rFonts w:ascii="Arial" w:hAnsi="Arial" w:cs="Arial"/>
                <w:b/>
                <w:bCs/>
                <w:color w:val="000000" w:themeColor="text1"/>
                <w:sz w:val="17"/>
                <w:szCs w:val="17"/>
              </w:rPr>
            </w:pPr>
            <w:r w:rsidRPr="0091098E">
              <w:rPr>
                <w:rFonts w:ascii="Arial" w:hAnsi="Arial" w:cs="Arial"/>
                <w:b/>
                <w:bCs/>
                <w:color w:val="000000" w:themeColor="text1"/>
                <w:sz w:val="17"/>
                <w:szCs w:val="17"/>
              </w:rPr>
              <w:t>71.761</w:t>
            </w:r>
          </w:p>
        </w:tc>
        <w:tc>
          <w:tcPr>
            <w:tcW w:w="992" w:type="dxa"/>
            <w:tcBorders>
              <w:top w:val="single" w:sz="4" w:space="0" w:color="auto"/>
              <w:left w:val="nil"/>
              <w:bottom w:val="single" w:sz="12" w:space="0" w:color="auto"/>
              <w:right w:val="nil"/>
            </w:tcBorders>
            <w:shd w:val="clear" w:color="auto" w:fill="auto"/>
            <w:noWrap/>
            <w:vAlign w:val="bottom"/>
          </w:tcPr>
          <w:p w14:paraId="59FE3E36" w14:textId="77777777" w:rsidR="00E81D69" w:rsidRPr="00E21596" w:rsidRDefault="00E81D69" w:rsidP="00D15CE2">
            <w:pPr>
              <w:jc w:val="right"/>
              <w:rPr>
                <w:rFonts w:ascii="Arial" w:hAnsi="Arial" w:cs="Arial"/>
                <w:b/>
                <w:bCs/>
                <w:color w:val="000000" w:themeColor="text1"/>
                <w:sz w:val="17"/>
                <w:szCs w:val="17"/>
              </w:rPr>
            </w:pPr>
            <w:r w:rsidRPr="00F959D0">
              <w:rPr>
                <w:rFonts w:ascii="Arial" w:hAnsi="Arial" w:cs="Arial"/>
                <w:b/>
                <w:bCs/>
                <w:color w:val="000000" w:themeColor="text1"/>
                <w:sz w:val="17"/>
                <w:szCs w:val="17"/>
              </w:rPr>
              <w:t xml:space="preserve"> 69.456 </w:t>
            </w:r>
          </w:p>
        </w:tc>
        <w:tc>
          <w:tcPr>
            <w:tcW w:w="992" w:type="dxa"/>
            <w:tcBorders>
              <w:top w:val="single" w:sz="4" w:space="0" w:color="auto"/>
              <w:left w:val="nil"/>
              <w:bottom w:val="single" w:sz="12" w:space="0" w:color="auto"/>
              <w:right w:val="nil"/>
            </w:tcBorders>
            <w:shd w:val="clear" w:color="auto" w:fill="auto"/>
            <w:noWrap/>
            <w:vAlign w:val="bottom"/>
          </w:tcPr>
          <w:p w14:paraId="09A5791C" w14:textId="77777777" w:rsidR="00E81D69" w:rsidRPr="00E21596" w:rsidRDefault="00E81D69" w:rsidP="00D15CE2">
            <w:pPr>
              <w:jc w:val="right"/>
              <w:rPr>
                <w:rFonts w:ascii="Arial" w:hAnsi="Arial" w:cs="Arial"/>
                <w:b/>
                <w:bCs/>
                <w:color w:val="000000" w:themeColor="text1"/>
                <w:sz w:val="17"/>
                <w:szCs w:val="17"/>
              </w:rPr>
            </w:pPr>
            <w:r w:rsidRPr="00F959D0">
              <w:rPr>
                <w:rFonts w:ascii="Arial" w:hAnsi="Arial" w:cs="Arial"/>
                <w:b/>
                <w:bCs/>
                <w:color w:val="000000" w:themeColor="text1"/>
                <w:sz w:val="17"/>
                <w:szCs w:val="17"/>
              </w:rPr>
              <w:t xml:space="preserve"> - </w:t>
            </w:r>
          </w:p>
        </w:tc>
        <w:tc>
          <w:tcPr>
            <w:tcW w:w="992" w:type="dxa"/>
            <w:tcBorders>
              <w:top w:val="single" w:sz="4" w:space="0" w:color="auto"/>
              <w:left w:val="nil"/>
              <w:bottom w:val="single" w:sz="12" w:space="0" w:color="auto"/>
              <w:right w:val="nil"/>
            </w:tcBorders>
            <w:shd w:val="clear" w:color="auto" w:fill="auto"/>
            <w:noWrap/>
            <w:vAlign w:val="bottom"/>
          </w:tcPr>
          <w:p w14:paraId="2C23D255" w14:textId="77777777" w:rsidR="00E81D69" w:rsidRPr="00E21596" w:rsidRDefault="00E81D69" w:rsidP="00D15CE2">
            <w:pPr>
              <w:jc w:val="right"/>
              <w:rPr>
                <w:rFonts w:ascii="Arial" w:hAnsi="Arial" w:cs="Arial"/>
                <w:b/>
                <w:bCs/>
                <w:color w:val="000000" w:themeColor="text1"/>
                <w:sz w:val="17"/>
                <w:szCs w:val="17"/>
              </w:rPr>
            </w:pPr>
            <w:r w:rsidRPr="00F959D0">
              <w:rPr>
                <w:rFonts w:ascii="Arial" w:hAnsi="Arial" w:cs="Arial"/>
                <w:b/>
                <w:bCs/>
                <w:color w:val="000000" w:themeColor="text1"/>
                <w:sz w:val="17"/>
                <w:szCs w:val="17"/>
              </w:rPr>
              <w:t xml:space="preserve"> - </w:t>
            </w:r>
          </w:p>
        </w:tc>
        <w:tc>
          <w:tcPr>
            <w:tcW w:w="992" w:type="dxa"/>
            <w:tcBorders>
              <w:top w:val="single" w:sz="4" w:space="0" w:color="auto"/>
              <w:left w:val="nil"/>
              <w:bottom w:val="single" w:sz="12" w:space="0" w:color="auto"/>
              <w:right w:val="nil"/>
            </w:tcBorders>
            <w:shd w:val="clear" w:color="auto" w:fill="auto"/>
            <w:noWrap/>
            <w:vAlign w:val="bottom"/>
          </w:tcPr>
          <w:p w14:paraId="7548D254" w14:textId="77777777" w:rsidR="00E81D69" w:rsidRPr="00E21596" w:rsidRDefault="00E81D69" w:rsidP="00D15CE2">
            <w:pPr>
              <w:jc w:val="right"/>
              <w:rPr>
                <w:rFonts w:ascii="Arial" w:hAnsi="Arial" w:cs="Arial"/>
                <w:b/>
                <w:bCs/>
                <w:color w:val="000000" w:themeColor="text1"/>
                <w:sz w:val="17"/>
                <w:szCs w:val="17"/>
              </w:rPr>
            </w:pPr>
            <w:r w:rsidRPr="00F959D0">
              <w:rPr>
                <w:rFonts w:ascii="Arial" w:hAnsi="Arial" w:cs="Arial"/>
                <w:b/>
                <w:bCs/>
                <w:color w:val="000000" w:themeColor="text1"/>
                <w:sz w:val="17"/>
                <w:szCs w:val="17"/>
              </w:rPr>
              <w:t xml:space="preserve"> 69.456 </w:t>
            </w:r>
          </w:p>
        </w:tc>
      </w:tr>
    </w:tbl>
    <w:p w14:paraId="78B3B3EC" w14:textId="3FAF2BFA" w:rsidR="00A73031" w:rsidRPr="00E759CE" w:rsidRDefault="00A73031" w:rsidP="00DE4AC9">
      <w:pPr>
        <w:keepNext/>
        <w:suppressAutoHyphens/>
        <w:autoSpaceDN w:val="0"/>
        <w:jc w:val="both"/>
        <w:outlineLvl w:val="0"/>
        <w:rPr>
          <w:rFonts w:ascii="Arial" w:eastAsia="Times New Roman" w:hAnsi="Arial" w:cs="Arial"/>
          <w:b/>
          <w:bCs/>
          <w:color w:val="000000" w:themeColor="text1"/>
          <w:sz w:val="20"/>
          <w:szCs w:val="20"/>
        </w:rPr>
      </w:pPr>
    </w:p>
    <w:p w14:paraId="3E36E745" w14:textId="7B63DB30" w:rsidR="005D5085" w:rsidRPr="003D1614" w:rsidRDefault="005D5085" w:rsidP="00DE4AC9">
      <w:pPr>
        <w:keepNext/>
        <w:suppressAutoHyphens/>
        <w:autoSpaceDN w:val="0"/>
        <w:jc w:val="both"/>
        <w:outlineLvl w:val="0"/>
        <w:rPr>
          <w:rFonts w:ascii="Arial" w:eastAsia="Times New Roman" w:hAnsi="Arial" w:cs="Arial"/>
          <w:bCs/>
          <w:color w:val="000000" w:themeColor="text1"/>
          <w:sz w:val="20"/>
          <w:szCs w:val="20"/>
        </w:rPr>
      </w:pPr>
    </w:p>
    <w:p w14:paraId="6F58AB03" w14:textId="77777777" w:rsidR="005D5085" w:rsidRPr="003D1614" w:rsidRDefault="005D5085" w:rsidP="00DE4AC9">
      <w:pPr>
        <w:keepNext/>
        <w:suppressAutoHyphens/>
        <w:autoSpaceDN w:val="0"/>
        <w:jc w:val="both"/>
        <w:outlineLvl w:val="0"/>
        <w:rPr>
          <w:rFonts w:ascii="Arial" w:eastAsia="Times New Roman" w:hAnsi="Arial" w:cs="Arial"/>
          <w:bCs/>
          <w:color w:val="000000" w:themeColor="text1"/>
          <w:sz w:val="20"/>
          <w:szCs w:val="20"/>
        </w:rPr>
        <w:sectPr w:rsidR="005D5085" w:rsidRPr="003D1614">
          <w:pgSz w:w="11906" w:h="16838"/>
          <w:pgMar w:top="1417" w:right="1417" w:bottom="1417" w:left="1417" w:header="708" w:footer="708" w:gutter="0"/>
          <w:cols w:space="708"/>
          <w:docGrid w:linePitch="360"/>
        </w:sectPr>
      </w:pPr>
    </w:p>
    <w:p w14:paraId="6CFE2752" w14:textId="77777777" w:rsidR="005D5085" w:rsidRPr="003D1614" w:rsidRDefault="005D5085" w:rsidP="005D5085">
      <w:pPr>
        <w:keepNext/>
        <w:suppressAutoHyphens/>
        <w:autoSpaceDN w:val="0"/>
        <w:jc w:val="both"/>
        <w:outlineLvl w:val="0"/>
        <w:rPr>
          <w:rFonts w:ascii="Arial" w:eastAsia="Times New Roman" w:hAnsi="Arial" w:cs="Arial"/>
          <w:b/>
          <w:bCs/>
          <w:color w:val="000000" w:themeColor="text1"/>
        </w:rPr>
      </w:pPr>
    </w:p>
    <w:p w14:paraId="6D37687A" w14:textId="4235EACE" w:rsidR="005D5085" w:rsidRPr="003D1614" w:rsidRDefault="005D5085" w:rsidP="005D5085">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10.</w:t>
      </w:r>
      <w:r w:rsidRPr="003D1614">
        <w:rPr>
          <w:rFonts w:ascii="Arial" w:eastAsia="Times New Roman" w:hAnsi="Arial" w:cs="Arial"/>
          <w:b/>
          <w:bCs/>
          <w:color w:val="000000" w:themeColor="text1"/>
          <w:sz w:val="20"/>
          <w:szCs w:val="20"/>
        </w:rPr>
        <w:tab/>
        <w:t>Depoziti kod drugih banaka (nastavak)</w:t>
      </w:r>
    </w:p>
    <w:p w14:paraId="01AFFB8C" w14:textId="77777777" w:rsidR="005D5085" w:rsidRPr="003D1614" w:rsidRDefault="005D5085" w:rsidP="005D5085">
      <w:pPr>
        <w:keepNext/>
        <w:suppressAutoHyphens/>
        <w:autoSpaceDN w:val="0"/>
        <w:jc w:val="both"/>
        <w:outlineLvl w:val="0"/>
        <w:rPr>
          <w:rFonts w:ascii="Arial" w:eastAsia="Times New Roman" w:hAnsi="Arial" w:cs="Arial"/>
          <w:b/>
          <w:bCs/>
          <w:color w:val="000000" w:themeColor="text1"/>
          <w:sz w:val="20"/>
          <w:szCs w:val="20"/>
        </w:rPr>
      </w:pPr>
    </w:p>
    <w:p w14:paraId="5751DAA3" w14:textId="77777777"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Promjene na rezerviranjima za očekivane gubitke po depozitima kod drugih banaka mogu se prikazati kako slijedi:</w:t>
      </w:r>
    </w:p>
    <w:tbl>
      <w:tblPr>
        <w:tblW w:w="5094" w:type="pct"/>
        <w:tblInd w:w="-142" w:type="dxa"/>
        <w:tblLook w:val="04A0" w:firstRow="1" w:lastRow="0" w:firstColumn="1" w:lastColumn="0" w:noHBand="0" w:noVBand="1"/>
      </w:tblPr>
      <w:tblGrid>
        <w:gridCol w:w="4707"/>
        <w:gridCol w:w="1134"/>
        <w:gridCol w:w="1134"/>
        <w:gridCol w:w="1134"/>
        <w:gridCol w:w="1134"/>
      </w:tblGrid>
      <w:tr w:rsidR="005D5085" w:rsidRPr="000116C5" w14:paraId="5F47CB3D" w14:textId="30ECFD1B" w:rsidTr="00D37128">
        <w:trPr>
          <w:trHeight w:val="243"/>
        </w:trPr>
        <w:tc>
          <w:tcPr>
            <w:tcW w:w="4707" w:type="dxa"/>
            <w:tcBorders>
              <w:top w:val="nil"/>
              <w:left w:val="nil"/>
              <w:bottom w:val="nil"/>
              <w:right w:val="nil"/>
            </w:tcBorders>
            <w:shd w:val="clear" w:color="auto" w:fill="auto"/>
            <w:noWrap/>
            <w:vAlign w:val="bottom"/>
            <w:hideMark/>
          </w:tcPr>
          <w:p w14:paraId="7A3D8292" w14:textId="77777777" w:rsidR="005D5085" w:rsidRPr="000116C5" w:rsidRDefault="005D5085" w:rsidP="005D5085">
            <w:pPr>
              <w:suppressAutoHyphens/>
              <w:autoSpaceDN w:val="0"/>
              <w:rPr>
                <w:rFonts w:ascii="Arial" w:eastAsia="Times New Roman" w:hAnsi="Arial" w:cs="Arial"/>
                <w:color w:val="000000" w:themeColor="text1"/>
                <w:sz w:val="18"/>
                <w:szCs w:val="18"/>
              </w:rPr>
            </w:pPr>
          </w:p>
        </w:tc>
        <w:tc>
          <w:tcPr>
            <w:tcW w:w="1134" w:type="dxa"/>
            <w:tcBorders>
              <w:top w:val="nil"/>
              <w:left w:val="nil"/>
              <w:bottom w:val="nil"/>
              <w:right w:val="nil"/>
            </w:tcBorders>
            <w:vAlign w:val="bottom"/>
          </w:tcPr>
          <w:p w14:paraId="24C70657" w14:textId="77777777" w:rsidR="005D5085" w:rsidRPr="000116C5" w:rsidRDefault="005D5085" w:rsidP="005D5085">
            <w:pPr>
              <w:suppressAutoHyphens/>
              <w:autoSpaceDN w:val="0"/>
              <w:jc w:val="right"/>
              <w:rPr>
                <w:rFonts w:ascii="Arial" w:eastAsia="Times New Roman" w:hAnsi="Arial" w:cs="Arial"/>
                <w:b/>
                <w:bCs/>
                <w:color w:val="000000" w:themeColor="text1"/>
                <w:sz w:val="18"/>
                <w:szCs w:val="18"/>
              </w:rPr>
            </w:pPr>
          </w:p>
        </w:tc>
        <w:tc>
          <w:tcPr>
            <w:tcW w:w="1134" w:type="dxa"/>
            <w:tcBorders>
              <w:top w:val="nil"/>
              <w:left w:val="nil"/>
              <w:bottom w:val="nil"/>
              <w:right w:val="nil"/>
            </w:tcBorders>
            <w:vAlign w:val="bottom"/>
          </w:tcPr>
          <w:p w14:paraId="024AEF48" w14:textId="77777777" w:rsidR="005D5085" w:rsidRPr="000116C5" w:rsidRDefault="005D5085" w:rsidP="005D5085">
            <w:pPr>
              <w:suppressAutoHyphens/>
              <w:autoSpaceDN w:val="0"/>
              <w:jc w:val="right"/>
              <w:rPr>
                <w:rFonts w:ascii="Arial" w:eastAsia="Times New Roman" w:hAnsi="Arial" w:cs="Arial"/>
                <w:b/>
                <w:bCs/>
                <w:color w:val="000000" w:themeColor="text1"/>
                <w:sz w:val="18"/>
                <w:szCs w:val="18"/>
              </w:rPr>
            </w:pPr>
            <w:r w:rsidRPr="000116C5">
              <w:rPr>
                <w:rFonts w:ascii="Arial" w:eastAsia="Times New Roman" w:hAnsi="Arial" w:cs="Arial"/>
                <w:b/>
                <w:bCs/>
                <w:color w:val="000000" w:themeColor="text1"/>
                <w:sz w:val="18"/>
                <w:szCs w:val="18"/>
              </w:rPr>
              <w:t>Grupa</w:t>
            </w:r>
          </w:p>
        </w:tc>
        <w:tc>
          <w:tcPr>
            <w:tcW w:w="1134" w:type="dxa"/>
            <w:tcBorders>
              <w:top w:val="nil"/>
              <w:left w:val="nil"/>
              <w:bottom w:val="nil"/>
              <w:right w:val="nil"/>
            </w:tcBorders>
            <w:shd w:val="clear" w:color="auto" w:fill="auto"/>
            <w:vAlign w:val="bottom"/>
          </w:tcPr>
          <w:p w14:paraId="0FCA4F10" w14:textId="4320CF3D" w:rsidR="005D5085" w:rsidRPr="000116C5" w:rsidRDefault="005D5085" w:rsidP="005D5085">
            <w:pPr>
              <w:suppressAutoHyphens/>
              <w:autoSpaceDN w:val="0"/>
              <w:jc w:val="right"/>
              <w:rPr>
                <w:rFonts w:ascii="Arial" w:eastAsia="Times New Roman" w:hAnsi="Arial" w:cs="Arial"/>
                <w:b/>
                <w:bCs/>
                <w:color w:val="000000" w:themeColor="text1"/>
                <w:sz w:val="18"/>
                <w:szCs w:val="18"/>
              </w:rPr>
            </w:pPr>
          </w:p>
        </w:tc>
        <w:tc>
          <w:tcPr>
            <w:tcW w:w="1134" w:type="dxa"/>
            <w:vAlign w:val="bottom"/>
          </w:tcPr>
          <w:p w14:paraId="0EB6B0C1" w14:textId="11A79B95" w:rsidR="005D5085" w:rsidRPr="000116C5" w:rsidRDefault="005D5085" w:rsidP="005D5085">
            <w:pPr>
              <w:suppressAutoHyphens/>
              <w:autoSpaceDN w:val="0"/>
              <w:jc w:val="right"/>
              <w:rPr>
                <w:rFonts w:ascii="Arial" w:eastAsia="Times New Roman" w:hAnsi="Arial" w:cs="Arial"/>
                <w:sz w:val="18"/>
                <w:szCs w:val="18"/>
              </w:rPr>
            </w:pPr>
            <w:r w:rsidRPr="000116C5">
              <w:rPr>
                <w:rFonts w:ascii="Arial" w:eastAsia="Times New Roman" w:hAnsi="Arial" w:cs="Arial"/>
                <w:b/>
                <w:bCs/>
                <w:color w:val="000000" w:themeColor="text1"/>
                <w:sz w:val="18"/>
                <w:szCs w:val="18"/>
              </w:rPr>
              <w:t>Banka</w:t>
            </w:r>
          </w:p>
        </w:tc>
      </w:tr>
      <w:tr w:rsidR="005D5085" w:rsidRPr="000116C5" w14:paraId="0397035A" w14:textId="77777777" w:rsidTr="00D37128">
        <w:trPr>
          <w:trHeight w:val="243"/>
        </w:trPr>
        <w:tc>
          <w:tcPr>
            <w:tcW w:w="4707" w:type="dxa"/>
            <w:tcBorders>
              <w:top w:val="nil"/>
              <w:left w:val="nil"/>
              <w:bottom w:val="nil"/>
              <w:right w:val="nil"/>
            </w:tcBorders>
            <w:shd w:val="clear" w:color="auto" w:fill="auto"/>
            <w:noWrap/>
            <w:vAlign w:val="bottom"/>
          </w:tcPr>
          <w:p w14:paraId="604CDD5E" w14:textId="77777777" w:rsidR="005D5085" w:rsidRPr="000116C5" w:rsidRDefault="005D5085" w:rsidP="005D5085">
            <w:pPr>
              <w:suppressAutoHyphens/>
              <w:autoSpaceDN w:val="0"/>
              <w:rPr>
                <w:rFonts w:ascii="Arial" w:eastAsia="Times New Roman" w:hAnsi="Arial" w:cs="Arial"/>
                <w:color w:val="000000" w:themeColor="text1"/>
                <w:sz w:val="18"/>
                <w:szCs w:val="18"/>
              </w:rPr>
            </w:pPr>
          </w:p>
        </w:tc>
        <w:tc>
          <w:tcPr>
            <w:tcW w:w="1134" w:type="dxa"/>
            <w:vAlign w:val="bottom"/>
          </w:tcPr>
          <w:p w14:paraId="4EBB1EEE" w14:textId="77777777" w:rsidR="005D5085" w:rsidRPr="000116C5" w:rsidRDefault="005D5085" w:rsidP="005D5085">
            <w:pPr>
              <w:tabs>
                <w:tab w:val="right" w:pos="1202"/>
              </w:tabs>
              <w:suppressAutoHyphens/>
              <w:autoSpaceDN w:val="0"/>
              <w:jc w:val="right"/>
              <w:outlineLvl w:val="0"/>
              <w:rPr>
                <w:rFonts w:ascii="Arial" w:eastAsia="Times New Roman" w:hAnsi="Arial" w:cs="Arial"/>
                <w:b/>
                <w:color w:val="000000" w:themeColor="text1"/>
                <w:sz w:val="18"/>
                <w:szCs w:val="18"/>
              </w:rPr>
            </w:pPr>
            <w:r w:rsidRPr="000116C5">
              <w:rPr>
                <w:rFonts w:ascii="Arial" w:eastAsia="Times New Roman" w:hAnsi="Arial" w:cs="Arial"/>
                <w:b/>
                <w:color w:val="000000" w:themeColor="text1"/>
                <w:sz w:val="18"/>
                <w:szCs w:val="18"/>
              </w:rPr>
              <w:t>1.1.-31.3.</w:t>
            </w:r>
          </w:p>
          <w:p w14:paraId="3370A2A4" w14:textId="3D5959E9" w:rsidR="005D5085" w:rsidRPr="000116C5" w:rsidRDefault="005D5085" w:rsidP="005D5085">
            <w:pPr>
              <w:tabs>
                <w:tab w:val="right" w:pos="1202"/>
              </w:tabs>
              <w:suppressAutoHyphens/>
              <w:autoSpaceDN w:val="0"/>
              <w:jc w:val="right"/>
              <w:outlineLvl w:val="0"/>
              <w:rPr>
                <w:rFonts w:ascii="Arial" w:eastAsia="Times New Roman" w:hAnsi="Arial" w:cs="Arial"/>
                <w:b/>
                <w:color w:val="000000" w:themeColor="text1"/>
                <w:sz w:val="18"/>
                <w:szCs w:val="18"/>
              </w:rPr>
            </w:pPr>
            <w:r w:rsidRPr="000116C5">
              <w:rPr>
                <w:rFonts w:ascii="Arial" w:eastAsia="Times New Roman" w:hAnsi="Arial" w:cs="Arial"/>
                <w:b/>
                <w:color w:val="000000" w:themeColor="text1"/>
                <w:sz w:val="18"/>
                <w:szCs w:val="18"/>
              </w:rPr>
              <w:t>202</w:t>
            </w:r>
            <w:r w:rsidR="00732BDD">
              <w:rPr>
                <w:rFonts w:ascii="Arial" w:eastAsia="Times New Roman" w:hAnsi="Arial" w:cs="Arial"/>
                <w:b/>
                <w:color w:val="000000" w:themeColor="text1"/>
                <w:sz w:val="18"/>
                <w:szCs w:val="18"/>
              </w:rPr>
              <w:t>4</w:t>
            </w:r>
            <w:r w:rsidRPr="000116C5">
              <w:rPr>
                <w:rFonts w:ascii="Arial" w:eastAsia="Times New Roman" w:hAnsi="Arial" w:cs="Arial"/>
                <w:b/>
                <w:color w:val="000000" w:themeColor="text1"/>
                <w:sz w:val="18"/>
                <w:szCs w:val="18"/>
              </w:rPr>
              <w:t>.</w:t>
            </w:r>
          </w:p>
        </w:tc>
        <w:tc>
          <w:tcPr>
            <w:tcW w:w="1134" w:type="dxa"/>
            <w:vAlign w:val="bottom"/>
          </w:tcPr>
          <w:p w14:paraId="4D58CE7C" w14:textId="77777777" w:rsidR="005D5085" w:rsidRPr="000116C5" w:rsidRDefault="005D5085" w:rsidP="005D5085">
            <w:pPr>
              <w:tabs>
                <w:tab w:val="right" w:pos="1202"/>
              </w:tabs>
              <w:suppressAutoHyphens/>
              <w:autoSpaceDN w:val="0"/>
              <w:jc w:val="right"/>
              <w:outlineLvl w:val="0"/>
              <w:rPr>
                <w:rFonts w:ascii="Arial" w:eastAsia="Times New Roman" w:hAnsi="Arial" w:cs="Arial"/>
                <w:b/>
                <w:color w:val="000000" w:themeColor="text1"/>
                <w:sz w:val="18"/>
                <w:szCs w:val="18"/>
              </w:rPr>
            </w:pPr>
            <w:r w:rsidRPr="000116C5">
              <w:rPr>
                <w:rFonts w:ascii="Arial" w:eastAsia="Times New Roman" w:hAnsi="Arial" w:cs="Arial"/>
                <w:b/>
                <w:color w:val="000000" w:themeColor="text1"/>
                <w:sz w:val="18"/>
                <w:szCs w:val="18"/>
              </w:rPr>
              <w:t>1.1.-31.12.</w:t>
            </w:r>
          </w:p>
          <w:p w14:paraId="6E73EAF9" w14:textId="4110264E" w:rsidR="005D5085" w:rsidRPr="000116C5" w:rsidRDefault="005D5085" w:rsidP="005D5085">
            <w:pPr>
              <w:tabs>
                <w:tab w:val="right" w:pos="1202"/>
              </w:tabs>
              <w:suppressAutoHyphens/>
              <w:autoSpaceDN w:val="0"/>
              <w:jc w:val="right"/>
              <w:outlineLvl w:val="0"/>
              <w:rPr>
                <w:rFonts w:ascii="Arial" w:eastAsia="Times New Roman" w:hAnsi="Arial" w:cs="Arial"/>
                <w:b/>
                <w:color w:val="000000" w:themeColor="text1"/>
                <w:sz w:val="18"/>
                <w:szCs w:val="18"/>
              </w:rPr>
            </w:pPr>
            <w:r w:rsidRPr="000116C5">
              <w:rPr>
                <w:rFonts w:ascii="Arial" w:eastAsia="Times New Roman" w:hAnsi="Arial" w:cs="Arial"/>
                <w:b/>
                <w:color w:val="000000" w:themeColor="text1"/>
                <w:sz w:val="18"/>
                <w:szCs w:val="18"/>
              </w:rPr>
              <w:t>202</w:t>
            </w:r>
            <w:r w:rsidR="00732BDD">
              <w:rPr>
                <w:rFonts w:ascii="Arial" w:eastAsia="Times New Roman" w:hAnsi="Arial" w:cs="Arial"/>
                <w:b/>
                <w:color w:val="000000" w:themeColor="text1"/>
                <w:sz w:val="18"/>
                <w:szCs w:val="18"/>
              </w:rPr>
              <w:t>3</w:t>
            </w:r>
            <w:r w:rsidRPr="000116C5">
              <w:rPr>
                <w:rFonts w:ascii="Arial" w:eastAsia="Times New Roman" w:hAnsi="Arial" w:cs="Arial"/>
                <w:b/>
                <w:color w:val="000000" w:themeColor="text1"/>
                <w:sz w:val="18"/>
                <w:szCs w:val="18"/>
              </w:rPr>
              <w:t>.</w:t>
            </w:r>
          </w:p>
        </w:tc>
        <w:tc>
          <w:tcPr>
            <w:tcW w:w="1134" w:type="dxa"/>
            <w:vAlign w:val="bottom"/>
          </w:tcPr>
          <w:p w14:paraId="2C24FEB9" w14:textId="77777777" w:rsidR="005D5085" w:rsidRPr="000116C5" w:rsidRDefault="005D5085" w:rsidP="005D5085">
            <w:pPr>
              <w:tabs>
                <w:tab w:val="right" w:pos="1202"/>
              </w:tabs>
              <w:suppressAutoHyphens/>
              <w:autoSpaceDN w:val="0"/>
              <w:jc w:val="right"/>
              <w:outlineLvl w:val="0"/>
              <w:rPr>
                <w:rFonts w:ascii="Arial" w:eastAsia="Times New Roman" w:hAnsi="Arial" w:cs="Arial"/>
                <w:b/>
                <w:color w:val="000000" w:themeColor="text1"/>
                <w:sz w:val="18"/>
                <w:szCs w:val="18"/>
              </w:rPr>
            </w:pPr>
            <w:r w:rsidRPr="000116C5">
              <w:rPr>
                <w:rFonts w:ascii="Arial" w:eastAsia="Times New Roman" w:hAnsi="Arial" w:cs="Arial"/>
                <w:b/>
                <w:color w:val="000000" w:themeColor="text1"/>
                <w:sz w:val="18"/>
                <w:szCs w:val="18"/>
              </w:rPr>
              <w:t>1.1.-31.3.</w:t>
            </w:r>
          </w:p>
          <w:p w14:paraId="5432272D" w14:textId="18821D59" w:rsidR="005D5085" w:rsidRPr="000116C5" w:rsidRDefault="005D5085" w:rsidP="005D5085">
            <w:pPr>
              <w:tabs>
                <w:tab w:val="right" w:pos="1202"/>
              </w:tabs>
              <w:suppressAutoHyphens/>
              <w:autoSpaceDN w:val="0"/>
              <w:jc w:val="right"/>
              <w:outlineLvl w:val="0"/>
              <w:rPr>
                <w:rFonts w:ascii="Arial" w:eastAsia="Times New Roman" w:hAnsi="Arial" w:cs="Arial"/>
                <w:b/>
                <w:color w:val="000000" w:themeColor="text1"/>
                <w:sz w:val="18"/>
                <w:szCs w:val="18"/>
              </w:rPr>
            </w:pPr>
            <w:r w:rsidRPr="000116C5">
              <w:rPr>
                <w:rFonts w:ascii="Arial" w:eastAsia="Times New Roman" w:hAnsi="Arial" w:cs="Arial"/>
                <w:b/>
                <w:color w:val="000000" w:themeColor="text1"/>
                <w:sz w:val="18"/>
                <w:szCs w:val="18"/>
              </w:rPr>
              <w:t>202</w:t>
            </w:r>
            <w:r w:rsidR="00732BDD">
              <w:rPr>
                <w:rFonts w:ascii="Arial" w:eastAsia="Times New Roman" w:hAnsi="Arial" w:cs="Arial"/>
                <w:b/>
                <w:color w:val="000000" w:themeColor="text1"/>
                <w:sz w:val="18"/>
                <w:szCs w:val="18"/>
              </w:rPr>
              <w:t>4</w:t>
            </w:r>
            <w:r w:rsidRPr="000116C5">
              <w:rPr>
                <w:rFonts w:ascii="Arial" w:eastAsia="Times New Roman" w:hAnsi="Arial" w:cs="Arial"/>
                <w:b/>
                <w:color w:val="000000" w:themeColor="text1"/>
                <w:sz w:val="18"/>
                <w:szCs w:val="18"/>
              </w:rPr>
              <w:t>.</w:t>
            </w:r>
          </w:p>
        </w:tc>
        <w:tc>
          <w:tcPr>
            <w:tcW w:w="1134" w:type="dxa"/>
            <w:vAlign w:val="bottom"/>
          </w:tcPr>
          <w:p w14:paraId="42BDFD48" w14:textId="77777777" w:rsidR="005D5085" w:rsidRPr="000116C5" w:rsidRDefault="005D5085" w:rsidP="005D5085">
            <w:pPr>
              <w:tabs>
                <w:tab w:val="right" w:pos="1202"/>
              </w:tabs>
              <w:suppressAutoHyphens/>
              <w:autoSpaceDN w:val="0"/>
              <w:jc w:val="right"/>
              <w:outlineLvl w:val="0"/>
              <w:rPr>
                <w:rFonts w:ascii="Arial" w:eastAsia="Times New Roman" w:hAnsi="Arial" w:cs="Arial"/>
                <w:b/>
                <w:color w:val="000000" w:themeColor="text1"/>
                <w:sz w:val="18"/>
                <w:szCs w:val="18"/>
              </w:rPr>
            </w:pPr>
            <w:r w:rsidRPr="000116C5">
              <w:rPr>
                <w:rFonts w:ascii="Arial" w:eastAsia="Times New Roman" w:hAnsi="Arial" w:cs="Arial"/>
                <w:b/>
                <w:color w:val="000000" w:themeColor="text1"/>
                <w:sz w:val="18"/>
                <w:szCs w:val="18"/>
              </w:rPr>
              <w:t>1.1.-31.12.</w:t>
            </w:r>
          </w:p>
          <w:p w14:paraId="1663894D" w14:textId="7055A920" w:rsidR="005D5085" w:rsidRPr="000116C5" w:rsidRDefault="005D5085" w:rsidP="005D5085">
            <w:pPr>
              <w:tabs>
                <w:tab w:val="right" w:pos="1202"/>
              </w:tabs>
              <w:suppressAutoHyphens/>
              <w:autoSpaceDN w:val="0"/>
              <w:jc w:val="right"/>
              <w:outlineLvl w:val="0"/>
              <w:rPr>
                <w:rFonts w:ascii="Arial" w:eastAsia="Times New Roman" w:hAnsi="Arial" w:cs="Arial"/>
                <w:b/>
                <w:color w:val="000000" w:themeColor="text1"/>
                <w:sz w:val="18"/>
                <w:szCs w:val="18"/>
              </w:rPr>
            </w:pPr>
            <w:r w:rsidRPr="000116C5">
              <w:rPr>
                <w:rFonts w:ascii="Arial" w:eastAsia="Times New Roman" w:hAnsi="Arial" w:cs="Arial"/>
                <w:b/>
                <w:color w:val="000000" w:themeColor="text1"/>
                <w:sz w:val="18"/>
                <w:szCs w:val="18"/>
              </w:rPr>
              <w:t>202</w:t>
            </w:r>
            <w:r w:rsidR="00732BDD">
              <w:rPr>
                <w:rFonts w:ascii="Arial" w:eastAsia="Times New Roman" w:hAnsi="Arial" w:cs="Arial"/>
                <w:b/>
                <w:color w:val="000000" w:themeColor="text1"/>
                <w:sz w:val="18"/>
                <w:szCs w:val="18"/>
              </w:rPr>
              <w:t>3</w:t>
            </w:r>
            <w:r w:rsidRPr="000116C5">
              <w:rPr>
                <w:rFonts w:ascii="Arial" w:eastAsia="Times New Roman" w:hAnsi="Arial" w:cs="Arial"/>
                <w:b/>
                <w:color w:val="000000" w:themeColor="text1"/>
                <w:sz w:val="18"/>
                <w:szCs w:val="18"/>
              </w:rPr>
              <w:t>.</w:t>
            </w:r>
          </w:p>
        </w:tc>
      </w:tr>
      <w:tr w:rsidR="005D5085" w:rsidRPr="000116C5" w14:paraId="664A9746" w14:textId="77777777" w:rsidTr="00D37128">
        <w:trPr>
          <w:trHeight w:val="231"/>
        </w:trPr>
        <w:tc>
          <w:tcPr>
            <w:tcW w:w="4707" w:type="dxa"/>
            <w:tcBorders>
              <w:top w:val="nil"/>
              <w:left w:val="nil"/>
              <w:bottom w:val="nil"/>
              <w:right w:val="nil"/>
            </w:tcBorders>
            <w:shd w:val="clear" w:color="auto" w:fill="auto"/>
            <w:vAlign w:val="bottom"/>
            <w:hideMark/>
          </w:tcPr>
          <w:p w14:paraId="536845E5" w14:textId="77777777" w:rsidR="005D5085" w:rsidRPr="000116C5" w:rsidRDefault="005D5085" w:rsidP="005D5085">
            <w:pPr>
              <w:suppressAutoHyphens/>
              <w:autoSpaceDN w:val="0"/>
              <w:jc w:val="right"/>
              <w:rPr>
                <w:rFonts w:ascii="Arial" w:eastAsia="Times New Roman" w:hAnsi="Arial" w:cs="Arial"/>
                <w:b/>
                <w:bCs/>
                <w:color w:val="000000" w:themeColor="text1"/>
                <w:sz w:val="18"/>
                <w:szCs w:val="18"/>
              </w:rPr>
            </w:pPr>
          </w:p>
        </w:tc>
        <w:tc>
          <w:tcPr>
            <w:tcW w:w="1134" w:type="dxa"/>
            <w:tcBorders>
              <w:top w:val="nil"/>
              <w:left w:val="nil"/>
              <w:bottom w:val="nil"/>
              <w:right w:val="nil"/>
            </w:tcBorders>
            <w:shd w:val="clear" w:color="auto" w:fill="auto"/>
            <w:vAlign w:val="bottom"/>
          </w:tcPr>
          <w:p w14:paraId="624E56DA" w14:textId="74EFC2EE" w:rsidR="005D5085" w:rsidRPr="000116C5" w:rsidRDefault="005D5085" w:rsidP="005D5085">
            <w:pPr>
              <w:suppressAutoHyphens/>
              <w:autoSpaceDN w:val="0"/>
              <w:jc w:val="right"/>
              <w:rPr>
                <w:rFonts w:ascii="Arial" w:eastAsia="Times New Roman" w:hAnsi="Arial" w:cs="Arial"/>
                <w:b/>
                <w:bCs/>
                <w:color w:val="000000" w:themeColor="text1"/>
                <w:sz w:val="18"/>
                <w:szCs w:val="18"/>
              </w:rPr>
            </w:pPr>
            <w:r w:rsidRPr="000116C5">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7266E247" w14:textId="42562470" w:rsidR="005D5085" w:rsidRPr="000116C5" w:rsidRDefault="005D5085" w:rsidP="005D5085">
            <w:pPr>
              <w:suppressAutoHyphens/>
              <w:autoSpaceDN w:val="0"/>
              <w:jc w:val="right"/>
              <w:rPr>
                <w:rFonts w:ascii="Arial" w:eastAsia="Times New Roman" w:hAnsi="Arial" w:cs="Arial"/>
                <w:b/>
                <w:bCs/>
                <w:color w:val="000000" w:themeColor="text1"/>
                <w:sz w:val="18"/>
                <w:szCs w:val="18"/>
              </w:rPr>
            </w:pPr>
            <w:r w:rsidRPr="000116C5">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hideMark/>
          </w:tcPr>
          <w:p w14:paraId="7003AC03" w14:textId="64F64CE9" w:rsidR="005D5085" w:rsidRPr="000116C5" w:rsidRDefault="005D5085" w:rsidP="005D5085">
            <w:pPr>
              <w:suppressAutoHyphens/>
              <w:autoSpaceDN w:val="0"/>
              <w:jc w:val="right"/>
              <w:rPr>
                <w:rFonts w:ascii="Arial" w:eastAsia="Times New Roman" w:hAnsi="Arial" w:cs="Arial"/>
                <w:b/>
                <w:bCs/>
                <w:color w:val="000000" w:themeColor="text1"/>
                <w:sz w:val="18"/>
                <w:szCs w:val="18"/>
              </w:rPr>
            </w:pPr>
            <w:r w:rsidRPr="000116C5">
              <w:rPr>
                <w:rFonts w:ascii="Arial" w:eastAsia="Times New Roman" w:hAnsi="Arial" w:cs="Arial"/>
                <w:b/>
                <w:bCs/>
                <w:color w:val="000000" w:themeColor="text1"/>
                <w:sz w:val="18"/>
                <w:szCs w:val="18"/>
              </w:rPr>
              <w:t>000 eura</w:t>
            </w:r>
          </w:p>
        </w:tc>
        <w:tc>
          <w:tcPr>
            <w:tcW w:w="1134" w:type="dxa"/>
            <w:tcBorders>
              <w:top w:val="nil"/>
              <w:left w:val="nil"/>
              <w:bottom w:val="nil"/>
              <w:right w:val="nil"/>
            </w:tcBorders>
            <w:shd w:val="clear" w:color="auto" w:fill="auto"/>
            <w:vAlign w:val="bottom"/>
          </w:tcPr>
          <w:p w14:paraId="57EAD06C" w14:textId="66C0D0A9" w:rsidR="005D5085" w:rsidRPr="000116C5" w:rsidRDefault="005D5085" w:rsidP="005D5085">
            <w:pPr>
              <w:suppressAutoHyphens/>
              <w:autoSpaceDN w:val="0"/>
              <w:jc w:val="right"/>
              <w:rPr>
                <w:rFonts w:ascii="Arial" w:eastAsia="Times New Roman" w:hAnsi="Arial" w:cs="Arial"/>
                <w:b/>
                <w:bCs/>
                <w:color w:val="000000" w:themeColor="text1"/>
                <w:sz w:val="18"/>
                <w:szCs w:val="18"/>
              </w:rPr>
            </w:pPr>
            <w:r w:rsidRPr="000116C5">
              <w:rPr>
                <w:rFonts w:ascii="Arial" w:eastAsia="Times New Roman" w:hAnsi="Arial" w:cs="Arial"/>
                <w:b/>
                <w:bCs/>
                <w:color w:val="000000" w:themeColor="text1"/>
                <w:sz w:val="18"/>
                <w:szCs w:val="18"/>
              </w:rPr>
              <w:t>000 eura</w:t>
            </w:r>
          </w:p>
        </w:tc>
      </w:tr>
      <w:tr w:rsidR="005D5085" w:rsidRPr="000116C5" w14:paraId="6668678B" w14:textId="77777777" w:rsidTr="000116C5">
        <w:trPr>
          <w:trHeight w:val="379"/>
        </w:trPr>
        <w:tc>
          <w:tcPr>
            <w:tcW w:w="4707" w:type="dxa"/>
            <w:tcBorders>
              <w:top w:val="nil"/>
              <w:left w:val="nil"/>
              <w:bottom w:val="nil"/>
              <w:right w:val="nil"/>
            </w:tcBorders>
            <w:shd w:val="clear" w:color="auto" w:fill="auto"/>
            <w:vAlign w:val="bottom"/>
          </w:tcPr>
          <w:p w14:paraId="569A42AD" w14:textId="77777777" w:rsidR="005D5085" w:rsidRPr="000116C5" w:rsidRDefault="005D5085" w:rsidP="005D5085">
            <w:pPr>
              <w:suppressAutoHyphens/>
              <w:autoSpaceDN w:val="0"/>
              <w:rPr>
                <w:rFonts w:ascii="Arial" w:eastAsia="Times New Roman" w:hAnsi="Arial" w:cs="Arial"/>
                <w:color w:val="000000" w:themeColor="text1"/>
                <w:sz w:val="18"/>
                <w:szCs w:val="18"/>
              </w:rPr>
            </w:pPr>
            <w:r w:rsidRPr="000116C5">
              <w:rPr>
                <w:rFonts w:ascii="Arial" w:eastAsia="Times New Roman" w:hAnsi="Arial" w:cs="Arial"/>
                <w:color w:val="000000" w:themeColor="text1"/>
                <w:sz w:val="18"/>
                <w:szCs w:val="18"/>
              </w:rPr>
              <w:t>Stanje 1. siječnja</w:t>
            </w:r>
          </w:p>
        </w:tc>
        <w:tc>
          <w:tcPr>
            <w:tcW w:w="1134" w:type="dxa"/>
            <w:tcBorders>
              <w:top w:val="nil"/>
              <w:left w:val="nil"/>
              <w:bottom w:val="nil"/>
              <w:right w:val="nil"/>
            </w:tcBorders>
            <w:shd w:val="clear" w:color="auto" w:fill="auto"/>
            <w:vAlign w:val="bottom"/>
          </w:tcPr>
          <w:p w14:paraId="76FCD66A" w14:textId="0ADF3130" w:rsidR="005D5085" w:rsidRPr="000116C5" w:rsidRDefault="005A06C8" w:rsidP="005D508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221</w:t>
            </w:r>
          </w:p>
        </w:tc>
        <w:tc>
          <w:tcPr>
            <w:tcW w:w="1134" w:type="dxa"/>
            <w:tcBorders>
              <w:top w:val="nil"/>
              <w:left w:val="nil"/>
              <w:bottom w:val="nil"/>
              <w:right w:val="nil"/>
            </w:tcBorders>
            <w:shd w:val="clear" w:color="auto" w:fill="auto"/>
            <w:vAlign w:val="bottom"/>
          </w:tcPr>
          <w:p w14:paraId="5CBA8C1A" w14:textId="7A7E09D8" w:rsidR="005D5085" w:rsidRPr="000116C5" w:rsidRDefault="00B975AF" w:rsidP="005D508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5</w:t>
            </w:r>
          </w:p>
        </w:tc>
        <w:tc>
          <w:tcPr>
            <w:tcW w:w="1134" w:type="dxa"/>
            <w:tcBorders>
              <w:top w:val="nil"/>
              <w:left w:val="nil"/>
              <w:bottom w:val="nil"/>
              <w:right w:val="nil"/>
            </w:tcBorders>
            <w:shd w:val="clear" w:color="auto" w:fill="auto"/>
            <w:vAlign w:val="bottom"/>
          </w:tcPr>
          <w:p w14:paraId="7B9DBB5A" w14:textId="2B248788" w:rsidR="005D5085" w:rsidRPr="000116C5" w:rsidRDefault="00692E8D" w:rsidP="005D508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218</w:t>
            </w:r>
          </w:p>
        </w:tc>
        <w:tc>
          <w:tcPr>
            <w:tcW w:w="1134" w:type="dxa"/>
            <w:tcBorders>
              <w:top w:val="nil"/>
              <w:left w:val="nil"/>
              <w:bottom w:val="nil"/>
              <w:right w:val="nil"/>
            </w:tcBorders>
            <w:shd w:val="clear" w:color="auto" w:fill="auto"/>
            <w:vAlign w:val="bottom"/>
          </w:tcPr>
          <w:p w14:paraId="6D2959D6" w14:textId="3B63D23B" w:rsidR="005D5085" w:rsidRPr="000116C5" w:rsidRDefault="00826BA8" w:rsidP="005D5085">
            <w:pPr>
              <w:suppressAutoHyphens/>
              <w:autoSpaceDN w:val="0"/>
              <w:jc w:val="right"/>
              <w:rPr>
                <w:rFonts w:ascii="Arial" w:eastAsia="Times New Roman" w:hAnsi="Arial" w:cs="Arial"/>
                <w:color w:val="000000" w:themeColor="text1"/>
                <w:sz w:val="18"/>
                <w:szCs w:val="18"/>
              </w:rPr>
            </w:pPr>
            <w:r w:rsidRPr="000116C5">
              <w:rPr>
                <w:rFonts w:ascii="Arial" w:eastAsia="Times New Roman" w:hAnsi="Arial" w:cs="Arial"/>
                <w:color w:val="000000" w:themeColor="text1"/>
                <w:sz w:val="18"/>
                <w:szCs w:val="18"/>
              </w:rPr>
              <w:t>-</w:t>
            </w:r>
          </w:p>
        </w:tc>
      </w:tr>
      <w:tr w:rsidR="00D37128" w:rsidRPr="000116C5" w14:paraId="746FFA18" w14:textId="77777777" w:rsidTr="000116C5">
        <w:trPr>
          <w:trHeight w:val="379"/>
        </w:trPr>
        <w:tc>
          <w:tcPr>
            <w:tcW w:w="4707" w:type="dxa"/>
            <w:tcBorders>
              <w:top w:val="nil"/>
              <w:left w:val="nil"/>
              <w:bottom w:val="nil"/>
              <w:right w:val="nil"/>
            </w:tcBorders>
            <w:shd w:val="clear" w:color="auto" w:fill="auto"/>
            <w:vAlign w:val="bottom"/>
          </w:tcPr>
          <w:p w14:paraId="4E5922A0" w14:textId="27EC91A6" w:rsidR="00D37128" w:rsidRPr="000116C5" w:rsidRDefault="00D37128" w:rsidP="00D37128">
            <w:pPr>
              <w:suppressAutoHyphens/>
              <w:autoSpaceDN w:val="0"/>
              <w:rPr>
                <w:rFonts w:ascii="Arial" w:eastAsia="Times New Roman" w:hAnsi="Arial" w:cs="Arial"/>
                <w:color w:val="000000" w:themeColor="text1"/>
                <w:sz w:val="18"/>
                <w:szCs w:val="18"/>
              </w:rPr>
            </w:pPr>
            <w:r w:rsidRPr="000116C5">
              <w:rPr>
                <w:rFonts w:ascii="Arial" w:eastAsia="Times New Roman" w:hAnsi="Arial" w:cs="Arial"/>
                <w:color w:val="000000" w:themeColor="text1"/>
                <w:sz w:val="18"/>
                <w:szCs w:val="18"/>
              </w:rPr>
              <w:t xml:space="preserve">Neto </w:t>
            </w:r>
            <w:r w:rsidR="00FD3BEC">
              <w:rPr>
                <w:rFonts w:ascii="Arial" w:eastAsia="Times New Roman" w:hAnsi="Arial" w:cs="Arial"/>
                <w:color w:val="000000" w:themeColor="text1"/>
                <w:sz w:val="18"/>
                <w:szCs w:val="18"/>
              </w:rPr>
              <w:t>(smanjenje)/</w:t>
            </w:r>
            <w:r w:rsidRPr="000116C5">
              <w:rPr>
                <w:rFonts w:ascii="Arial" w:eastAsia="Times New Roman" w:hAnsi="Arial" w:cs="Arial"/>
                <w:color w:val="000000" w:themeColor="text1"/>
                <w:sz w:val="18"/>
                <w:szCs w:val="18"/>
              </w:rPr>
              <w:t>povećanje rezerviranja za očekivane gubitke po depozitima kod drugih banaka</w:t>
            </w:r>
          </w:p>
        </w:tc>
        <w:tc>
          <w:tcPr>
            <w:tcW w:w="1134" w:type="dxa"/>
            <w:tcBorders>
              <w:top w:val="nil"/>
              <w:left w:val="nil"/>
              <w:bottom w:val="nil"/>
              <w:right w:val="nil"/>
            </w:tcBorders>
            <w:shd w:val="clear" w:color="auto" w:fill="auto"/>
            <w:vAlign w:val="bottom"/>
          </w:tcPr>
          <w:p w14:paraId="4C9239E1" w14:textId="49E98A6B" w:rsidR="00D37128" w:rsidRPr="000116C5" w:rsidRDefault="005A06C8" w:rsidP="00D37128">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(12)</w:t>
            </w:r>
          </w:p>
        </w:tc>
        <w:tc>
          <w:tcPr>
            <w:tcW w:w="1134" w:type="dxa"/>
            <w:tcBorders>
              <w:top w:val="nil"/>
              <w:left w:val="nil"/>
              <w:bottom w:val="nil"/>
              <w:right w:val="nil"/>
            </w:tcBorders>
            <w:shd w:val="clear" w:color="auto" w:fill="auto"/>
            <w:vAlign w:val="bottom"/>
          </w:tcPr>
          <w:p w14:paraId="20C339D7" w14:textId="16D6C127" w:rsidR="00D37128" w:rsidRPr="000116C5" w:rsidRDefault="00B975AF" w:rsidP="00D37128">
            <w:pPr>
              <w:suppressAutoHyphens/>
              <w:autoSpaceDN w:val="0"/>
              <w:jc w:val="right"/>
              <w:rPr>
                <w:rFonts w:ascii="Arial" w:eastAsia="Times New Roman" w:hAnsi="Arial" w:cs="Arial"/>
                <w:color w:val="000000" w:themeColor="text1"/>
                <w:sz w:val="18"/>
                <w:szCs w:val="18"/>
              </w:rPr>
            </w:pPr>
            <w:r>
              <w:rPr>
                <w:rFonts w:ascii="Arial" w:hAnsi="Arial" w:cs="Arial"/>
                <w:sz w:val="18"/>
                <w:szCs w:val="18"/>
              </w:rPr>
              <w:t>216</w:t>
            </w:r>
          </w:p>
        </w:tc>
        <w:tc>
          <w:tcPr>
            <w:tcW w:w="1134" w:type="dxa"/>
            <w:tcBorders>
              <w:top w:val="nil"/>
              <w:left w:val="nil"/>
              <w:bottom w:val="nil"/>
              <w:right w:val="nil"/>
            </w:tcBorders>
            <w:shd w:val="clear" w:color="auto" w:fill="auto"/>
            <w:vAlign w:val="bottom"/>
          </w:tcPr>
          <w:p w14:paraId="7C8EC36B" w14:textId="2FD9AAB7" w:rsidR="00D37128" w:rsidRPr="000116C5" w:rsidRDefault="00FC4407" w:rsidP="00D37128">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(12)</w:t>
            </w:r>
          </w:p>
        </w:tc>
        <w:tc>
          <w:tcPr>
            <w:tcW w:w="1134" w:type="dxa"/>
            <w:tcBorders>
              <w:top w:val="nil"/>
              <w:left w:val="nil"/>
              <w:bottom w:val="nil"/>
              <w:right w:val="nil"/>
            </w:tcBorders>
            <w:shd w:val="clear" w:color="auto" w:fill="auto"/>
            <w:vAlign w:val="bottom"/>
          </w:tcPr>
          <w:p w14:paraId="0BEBE9AB" w14:textId="5507D96B" w:rsidR="00D37128" w:rsidRPr="000116C5" w:rsidRDefault="00B06C61" w:rsidP="00D37128">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218</w:t>
            </w:r>
          </w:p>
        </w:tc>
      </w:tr>
      <w:tr w:rsidR="00D37128" w:rsidRPr="000116C5" w14:paraId="44D41D3A" w14:textId="77777777" w:rsidTr="000116C5">
        <w:trPr>
          <w:trHeight w:val="379"/>
        </w:trPr>
        <w:tc>
          <w:tcPr>
            <w:tcW w:w="4707" w:type="dxa"/>
            <w:tcBorders>
              <w:top w:val="nil"/>
              <w:left w:val="nil"/>
              <w:bottom w:val="nil"/>
              <w:right w:val="nil"/>
            </w:tcBorders>
            <w:shd w:val="clear" w:color="auto" w:fill="auto"/>
            <w:vAlign w:val="bottom"/>
          </w:tcPr>
          <w:p w14:paraId="06DA54AC" w14:textId="5D24277A" w:rsidR="00D37128" w:rsidRPr="000116C5" w:rsidRDefault="00D37128" w:rsidP="00D37128">
            <w:pPr>
              <w:suppressAutoHyphens/>
              <w:autoSpaceDN w:val="0"/>
              <w:rPr>
                <w:rFonts w:ascii="Arial" w:eastAsia="Times New Roman" w:hAnsi="Arial" w:cs="Arial"/>
                <w:i/>
                <w:iCs/>
                <w:color w:val="000000" w:themeColor="text1"/>
                <w:sz w:val="18"/>
                <w:szCs w:val="18"/>
              </w:rPr>
            </w:pPr>
            <w:r w:rsidRPr="000116C5">
              <w:rPr>
                <w:rFonts w:ascii="Arial" w:eastAsia="Times New Roman" w:hAnsi="Arial" w:cs="Arial"/>
                <w:i/>
                <w:iCs/>
                <w:color w:val="000000" w:themeColor="text1"/>
                <w:sz w:val="18"/>
                <w:szCs w:val="18"/>
              </w:rPr>
              <w:t>Ukupno kroz dobit ili gubitak (bilješka 8)</w:t>
            </w:r>
          </w:p>
        </w:tc>
        <w:tc>
          <w:tcPr>
            <w:tcW w:w="1134" w:type="dxa"/>
            <w:tcBorders>
              <w:top w:val="single" w:sz="4" w:space="0" w:color="auto"/>
              <w:left w:val="nil"/>
              <w:bottom w:val="single" w:sz="4" w:space="0" w:color="auto"/>
              <w:right w:val="nil"/>
            </w:tcBorders>
            <w:shd w:val="clear" w:color="auto" w:fill="auto"/>
            <w:vAlign w:val="bottom"/>
          </w:tcPr>
          <w:p w14:paraId="00EEF7F8" w14:textId="67245B81" w:rsidR="00D37128" w:rsidRPr="000116C5" w:rsidRDefault="005A06C8" w:rsidP="00D37128">
            <w:pPr>
              <w:suppressAutoHyphens/>
              <w:autoSpaceDN w:val="0"/>
              <w:jc w:val="right"/>
              <w:rPr>
                <w:rFonts w:ascii="Arial" w:eastAsia="Times New Roman" w:hAnsi="Arial" w:cs="Arial"/>
                <w:bCs/>
                <w:i/>
                <w:color w:val="000000" w:themeColor="text1"/>
                <w:sz w:val="18"/>
                <w:szCs w:val="18"/>
              </w:rPr>
            </w:pPr>
            <w:r>
              <w:rPr>
                <w:rFonts w:ascii="Arial" w:eastAsia="Times New Roman" w:hAnsi="Arial" w:cs="Arial"/>
                <w:bCs/>
                <w:i/>
                <w:color w:val="000000" w:themeColor="text1"/>
                <w:sz w:val="18"/>
                <w:szCs w:val="18"/>
              </w:rPr>
              <w:t>(12)</w:t>
            </w:r>
          </w:p>
        </w:tc>
        <w:tc>
          <w:tcPr>
            <w:tcW w:w="1134" w:type="dxa"/>
            <w:tcBorders>
              <w:top w:val="single" w:sz="4" w:space="0" w:color="auto"/>
              <w:left w:val="nil"/>
              <w:bottom w:val="single" w:sz="4" w:space="0" w:color="auto"/>
              <w:right w:val="nil"/>
            </w:tcBorders>
            <w:shd w:val="clear" w:color="auto" w:fill="auto"/>
            <w:vAlign w:val="bottom"/>
          </w:tcPr>
          <w:p w14:paraId="6AABA262" w14:textId="3E4D6517" w:rsidR="00D37128" w:rsidRPr="000116C5" w:rsidRDefault="00D37128" w:rsidP="00D37128">
            <w:pPr>
              <w:suppressAutoHyphens/>
              <w:autoSpaceDN w:val="0"/>
              <w:jc w:val="right"/>
              <w:rPr>
                <w:rFonts w:ascii="Arial" w:eastAsia="Times New Roman" w:hAnsi="Arial" w:cs="Arial"/>
                <w:bCs/>
                <w:i/>
                <w:color w:val="000000" w:themeColor="text1"/>
                <w:sz w:val="18"/>
                <w:szCs w:val="18"/>
              </w:rPr>
            </w:pPr>
            <w:r w:rsidRPr="000116C5">
              <w:rPr>
                <w:rFonts w:ascii="Arial" w:hAnsi="Arial" w:cs="Arial"/>
                <w:sz w:val="18"/>
                <w:szCs w:val="18"/>
              </w:rPr>
              <w:t xml:space="preserve"> </w:t>
            </w:r>
            <w:r w:rsidR="00B975AF">
              <w:rPr>
                <w:rFonts w:ascii="Arial" w:hAnsi="Arial" w:cs="Arial"/>
                <w:sz w:val="18"/>
                <w:szCs w:val="18"/>
              </w:rPr>
              <w:t>216</w:t>
            </w:r>
            <w:r w:rsidRPr="000116C5">
              <w:rPr>
                <w:rFonts w:ascii="Arial" w:hAnsi="Arial" w:cs="Arial"/>
                <w:sz w:val="18"/>
                <w:szCs w:val="18"/>
              </w:rPr>
              <w:t xml:space="preserve"> </w:t>
            </w:r>
          </w:p>
        </w:tc>
        <w:tc>
          <w:tcPr>
            <w:tcW w:w="1134" w:type="dxa"/>
            <w:tcBorders>
              <w:top w:val="single" w:sz="4" w:space="0" w:color="auto"/>
              <w:left w:val="nil"/>
              <w:bottom w:val="single" w:sz="4" w:space="0" w:color="auto"/>
              <w:right w:val="nil"/>
            </w:tcBorders>
            <w:shd w:val="clear" w:color="auto" w:fill="auto"/>
            <w:vAlign w:val="bottom"/>
          </w:tcPr>
          <w:p w14:paraId="558179C5" w14:textId="73BBE459" w:rsidR="00D37128" w:rsidRPr="000116C5" w:rsidRDefault="00FC4407" w:rsidP="00D37128">
            <w:pPr>
              <w:suppressAutoHyphens/>
              <w:autoSpaceDN w:val="0"/>
              <w:jc w:val="right"/>
              <w:rPr>
                <w:rFonts w:ascii="Arial" w:eastAsia="Times New Roman" w:hAnsi="Arial" w:cs="Arial"/>
                <w:bCs/>
                <w:i/>
                <w:color w:val="000000" w:themeColor="text1"/>
                <w:sz w:val="18"/>
                <w:szCs w:val="18"/>
              </w:rPr>
            </w:pPr>
            <w:r>
              <w:rPr>
                <w:rFonts w:ascii="Arial" w:eastAsia="Times New Roman" w:hAnsi="Arial" w:cs="Arial"/>
                <w:bCs/>
                <w:i/>
                <w:color w:val="000000" w:themeColor="text1"/>
                <w:sz w:val="18"/>
                <w:szCs w:val="18"/>
              </w:rPr>
              <w:t>(12)</w:t>
            </w:r>
          </w:p>
        </w:tc>
        <w:tc>
          <w:tcPr>
            <w:tcW w:w="1134" w:type="dxa"/>
            <w:tcBorders>
              <w:top w:val="single" w:sz="4" w:space="0" w:color="auto"/>
              <w:left w:val="nil"/>
              <w:bottom w:val="single" w:sz="4" w:space="0" w:color="auto"/>
              <w:right w:val="nil"/>
            </w:tcBorders>
            <w:shd w:val="clear" w:color="auto" w:fill="auto"/>
            <w:vAlign w:val="bottom"/>
          </w:tcPr>
          <w:p w14:paraId="63295CA5" w14:textId="3EEB1BB3" w:rsidR="00D37128" w:rsidRPr="000116C5" w:rsidRDefault="00B975AF" w:rsidP="00D37128">
            <w:pPr>
              <w:suppressAutoHyphens/>
              <w:autoSpaceDN w:val="0"/>
              <w:jc w:val="right"/>
              <w:rPr>
                <w:rFonts w:ascii="Arial" w:eastAsia="Times New Roman" w:hAnsi="Arial" w:cs="Arial"/>
                <w:i/>
                <w:color w:val="000000" w:themeColor="text1"/>
                <w:sz w:val="18"/>
                <w:szCs w:val="18"/>
              </w:rPr>
            </w:pPr>
            <w:r>
              <w:rPr>
                <w:rFonts w:ascii="Arial" w:eastAsia="Times New Roman" w:hAnsi="Arial" w:cs="Arial"/>
                <w:i/>
                <w:color w:val="000000" w:themeColor="text1"/>
                <w:sz w:val="18"/>
                <w:szCs w:val="18"/>
              </w:rPr>
              <w:t>218</w:t>
            </w:r>
          </w:p>
        </w:tc>
      </w:tr>
      <w:tr w:rsidR="005D5085" w:rsidRPr="000116C5" w14:paraId="10BC48BF" w14:textId="77777777" w:rsidTr="000116C5">
        <w:trPr>
          <w:trHeight w:val="379"/>
        </w:trPr>
        <w:tc>
          <w:tcPr>
            <w:tcW w:w="4707" w:type="dxa"/>
            <w:tcBorders>
              <w:top w:val="nil"/>
              <w:left w:val="nil"/>
              <w:bottom w:val="nil"/>
              <w:right w:val="nil"/>
            </w:tcBorders>
            <w:shd w:val="clear" w:color="auto" w:fill="auto"/>
            <w:vAlign w:val="bottom"/>
          </w:tcPr>
          <w:p w14:paraId="159FA7CC" w14:textId="77777777" w:rsidR="005D5085" w:rsidRPr="000116C5" w:rsidRDefault="005D5085" w:rsidP="005D5085">
            <w:pPr>
              <w:suppressAutoHyphens/>
              <w:autoSpaceDN w:val="0"/>
              <w:rPr>
                <w:rFonts w:ascii="Arial" w:eastAsia="Times New Roman" w:hAnsi="Arial" w:cs="Arial"/>
                <w:b/>
                <w:bCs/>
                <w:color w:val="000000" w:themeColor="text1"/>
                <w:sz w:val="18"/>
                <w:szCs w:val="18"/>
              </w:rPr>
            </w:pPr>
            <w:r w:rsidRPr="000116C5">
              <w:rPr>
                <w:rFonts w:ascii="Arial" w:eastAsia="Times New Roman" w:hAnsi="Arial" w:cs="Arial"/>
                <w:b/>
                <w:bCs/>
                <w:color w:val="000000" w:themeColor="text1"/>
                <w:sz w:val="18"/>
                <w:szCs w:val="18"/>
              </w:rPr>
              <w:t>Stanje na kraju izvještajnog razdoblja</w:t>
            </w:r>
          </w:p>
        </w:tc>
        <w:tc>
          <w:tcPr>
            <w:tcW w:w="1134" w:type="dxa"/>
            <w:tcBorders>
              <w:top w:val="single" w:sz="4" w:space="0" w:color="auto"/>
              <w:left w:val="nil"/>
              <w:bottom w:val="single" w:sz="12" w:space="0" w:color="auto"/>
              <w:right w:val="nil"/>
            </w:tcBorders>
            <w:vAlign w:val="bottom"/>
          </w:tcPr>
          <w:p w14:paraId="28F4FF1F" w14:textId="4EE92420" w:rsidR="005D5085" w:rsidRPr="000116C5" w:rsidRDefault="005A06C8" w:rsidP="005D5085">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209</w:t>
            </w:r>
          </w:p>
        </w:tc>
        <w:tc>
          <w:tcPr>
            <w:tcW w:w="1134" w:type="dxa"/>
            <w:tcBorders>
              <w:top w:val="single" w:sz="4" w:space="0" w:color="auto"/>
              <w:left w:val="nil"/>
              <w:bottom w:val="single" w:sz="12" w:space="0" w:color="auto"/>
              <w:right w:val="nil"/>
            </w:tcBorders>
            <w:vAlign w:val="bottom"/>
          </w:tcPr>
          <w:p w14:paraId="59EC2313" w14:textId="210481A2" w:rsidR="005D5085" w:rsidRPr="000116C5" w:rsidRDefault="00B975AF" w:rsidP="005D5085">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221</w:t>
            </w:r>
          </w:p>
        </w:tc>
        <w:tc>
          <w:tcPr>
            <w:tcW w:w="1134" w:type="dxa"/>
            <w:tcBorders>
              <w:top w:val="single" w:sz="4" w:space="0" w:color="auto"/>
              <w:left w:val="nil"/>
              <w:bottom w:val="single" w:sz="12" w:space="0" w:color="auto"/>
              <w:right w:val="nil"/>
            </w:tcBorders>
            <w:vAlign w:val="bottom"/>
          </w:tcPr>
          <w:p w14:paraId="530A6F6F" w14:textId="13386414" w:rsidR="005D5085" w:rsidRPr="000116C5" w:rsidRDefault="00FC4407" w:rsidP="005D5085">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206</w:t>
            </w:r>
          </w:p>
        </w:tc>
        <w:tc>
          <w:tcPr>
            <w:tcW w:w="1134" w:type="dxa"/>
            <w:tcBorders>
              <w:top w:val="single" w:sz="4" w:space="0" w:color="auto"/>
              <w:left w:val="nil"/>
              <w:bottom w:val="single" w:sz="12" w:space="0" w:color="auto"/>
              <w:right w:val="nil"/>
            </w:tcBorders>
            <w:vAlign w:val="bottom"/>
          </w:tcPr>
          <w:p w14:paraId="5261E5DE" w14:textId="06B72E68" w:rsidR="005D5085" w:rsidRPr="000116C5" w:rsidRDefault="00B975AF" w:rsidP="005D5085">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218</w:t>
            </w:r>
          </w:p>
        </w:tc>
      </w:tr>
    </w:tbl>
    <w:p w14:paraId="01313349" w14:textId="77777777"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pPr>
    </w:p>
    <w:p w14:paraId="67D731AD" w14:textId="719E6B09"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pPr>
    </w:p>
    <w:p w14:paraId="0C7413BE" w14:textId="77777777"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sectPr w:rsidR="005D5085" w:rsidRPr="003D1614">
          <w:pgSz w:w="11906" w:h="16838"/>
          <w:pgMar w:top="1417" w:right="1417" w:bottom="1417" w:left="1417" w:header="708" w:footer="708" w:gutter="0"/>
          <w:cols w:space="708"/>
          <w:docGrid w:linePitch="360"/>
        </w:sectPr>
      </w:pPr>
    </w:p>
    <w:p w14:paraId="5634A219" w14:textId="77777777" w:rsidR="005D5085" w:rsidRPr="003D1614" w:rsidRDefault="005D5085" w:rsidP="005D5085">
      <w:pPr>
        <w:keepNext/>
        <w:suppressAutoHyphens/>
        <w:autoSpaceDN w:val="0"/>
        <w:jc w:val="both"/>
        <w:outlineLvl w:val="0"/>
        <w:rPr>
          <w:rFonts w:ascii="Arial" w:eastAsia="Times New Roman" w:hAnsi="Arial" w:cs="Arial"/>
          <w:b/>
          <w:bCs/>
          <w:color w:val="000000" w:themeColor="text1"/>
          <w:sz w:val="20"/>
          <w:szCs w:val="20"/>
        </w:rPr>
      </w:pPr>
    </w:p>
    <w:p w14:paraId="3C3B70AC" w14:textId="6D25887F" w:rsidR="005D5085" w:rsidRPr="003D1614" w:rsidRDefault="005D5085" w:rsidP="005D5085">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11.</w:t>
      </w:r>
      <w:r w:rsidRPr="003D1614">
        <w:rPr>
          <w:rFonts w:ascii="Arial" w:eastAsia="Times New Roman" w:hAnsi="Arial" w:cs="Arial"/>
          <w:b/>
          <w:bCs/>
          <w:color w:val="000000" w:themeColor="text1"/>
          <w:sz w:val="20"/>
          <w:szCs w:val="20"/>
        </w:rPr>
        <w:tab/>
        <w:t>Krediti financijskim institucijama</w:t>
      </w:r>
    </w:p>
    <w:p w14:paraId="4F5E5D49" w14:textId="77777777" w:rsidR="005D5085" w:rsidRPr="003D1614" w:rsidRDefault="005D5085" w:rsidP="005D5085">
      <w:pPr>
        <w:tabs>
          <w:tab w:val="left" w:pos="-720"/>
        </w:tabs>
        <w:suppressAutoHyphens/>
        <w:autoSpaceDN w:val="0"/>
        <w:rPr>
          <w:rFonts w:ascii="Arial" w:eastAsia="Times New Roman" w:hAnsi="Arial" w:cs="Arial"/>
          <w:color w:val="000000" w:themeColor="text1"/>
          <w:sz w:val="20"/>
          <w:szCs w:val="20"/>
        </w:rPr>
      </w:pPr>
    </w:p>
    <w:tbl>
      <w:tblPr>
        <w:tblW w:w="4789" w:type="pct"/>
        <w:tblLayout w:type="fixed"/>
        <w:tblCellMar>
          <w:left w:w="119" w:type="dxa"/>
          <w:right w:w="119" w:type="dxa"/>
        </w:tblCellMar>
        <w:tblLook w:val="0000" w:firstRow="0" w:lastRow="0" w:firstColumn="0" w:lastColumn="0" w:noHBand="0" w:noVBand="0"/>
      </w:tblPr>
      <w:tblGrid>
        <w:gridCol w:w="5408"/>
        <w:gridCol w:w="1639"/>
        <w:gridCol w:w="1642"/>
      </w:tblGrid>
      <w:tr w:rsidR="005D5085" w:rsidRPr="00E002E0" w14:paraId="64C0D873" w14:textId="77777777" w:rsidTr="00AD0393">
        <w:trPr>
          <w:trHeight w:val="249"/>
        </w:trPr>
        <w:tc>
          <w:tcPr>
            <w:tcW w:w="3112" w:type="pct"/>
            <w:vAlign w:val="bottom"/>
          </w:tcPr>
          <w:p w14:paraId="722D9B73" w14:textId="77777777" w:rsidR="005D5085" w:rsidRPr="00E002E0" w:rsidRDefault="005D5085" w:rsidP="005D5085">
            <w:pPr>
              <w:tabs>
                <w:tab w:val="left" w:pos="-720"/>
              </w:tabs>
              <w:suppressAutoHyphens/>
              <w:autoSpaceDN w:val="0"/>
              <w:jc w:val="right"/>
              <w:rPr>
                <w:rFonts w:ascii="Arial" w:eastAsia="Times New Roman" w:hAnsi="Arial" w:cs="Arial"/>
                <w:color w:val="000000" w:themeColor="text1"/>
                <w:spacing w:val="-3"/>
                <w:sz w:val="20"/>
                <w:szCs w:val="20"/>
              </w:rPr>
            </w:pPr>
          </w:p>
        </w:tc>
        <w:tc>
          <w:tcPr>
            <w:tcW w:w="1888" w:type="pct"/>
            <w:gridSpan w:val="2"/>
            <w:vAlign w:val="bottom"/>
          </w:tcPr>
          <w:p w14:paraId="5AB17420" w14:textId="77777777" w:rsidR="005D5085" w:rsidRPr="00E002E0"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31" w:name="_Toc67327969"/>
            <w:r w:rsidRPr="00E002E0">
              <w:rPr>
                <w:rFonts w:ascii="Arial" w:eastAsia="Times New Roman" w:hAnsi="Arial" w:cs="Arial"/>
                <w:b/>
                <w:color w:val="000000" w:themeColor="text1"/>
                <w:sz w:val="20"/>
                <w:szCs w:val="20"/>
              </w:rPr>
              <w:t>Grupa i Banka</w:t>
            </w:r>
            <w:bookmarkEnd w:id="331"/>
          </w:p>
        </w:tc>
      </w:tr>
      <w:tr w:rsidR="005D5085" w:rsidRPr="00E002E0" w14:paraId="32CFEBA7" w14:textId="77777777" w:rsidTr="00AD0393">
        <w:trPr>
          <w:trHeight w:val="152"/>
        </w:trPr>
        <w:tc>
          <w:tcPr>
            <w:tcW w:w="3112" w:type="pct"/>
            <w:vAlign w:val="bottom"/>
          </w:tcPr>
          <w:p w14:paraId="553C9209" w14:textId="77777777" w:rsidR="005D5085" w:rsidRPr="00E002E0" w:rsidRDefault="005D5085" w:rsidP="005D5085">
            <w:pPr>
              <w:tabs>
                <w:tab w:val="left" w:pos="-720"/>
              </w:tabs>
              <w:suppressAutoHyphens/>
              <w:autoSpaceDN w:val="0"/>
              <w:jc w:val="right"/>
              <w:rPr>
                <w:rFonts w:ascii="Arial" w:eastAsia="Times New Roman" w:hAnsi="Arial" w:cs="Arial"/>
                <w:color w:val="000000" w:themeColor="text1"/>
                <w:spacing w:val="-3"/>
                <w:sz w:val="20"/>
                <w:szCs w:val="20"/>
              </w:rPr>
            </w:pPr>
          </w:p>
        </w:tc>
        <w:tc>
          <w:tcPr>
            <w:tcW w:w="943" w:type="pct"/>
            <w:vAlign w:val="bottom"/>
          </w:tcPr>
          <w:p w14:paraId="0FBB5071" w14:textId="1C9FA101" w:rsidR="005D5085" w:rsidRPr="00E002E0"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32" w:name="_Toc67327970"/>
            <w:r w:rsidRPr="00E002E0">
              <w:rPr>
                <w:rFonts w:ascii="Arial" w:eastAsia="Times New Roman" w:hAnsi="Arial" w:cs="Arial"/>
                <w:b/>
                <w:color w:val="000000" w:themeColor="text1"/>
                <w:sz w:val="20"/>
                <w:szCs w:val="20"/>
              </w:rPr>
              <w:t>31. ožujka 202</w:t>
            </w:r>
            <w:r w:rsidR="006B217D">
              <w:rPr>
                <w:rFonts w:ascii="Arial" w:eastAsia="Times New Roman" w:hAnsi="Arial" w:cs="Arial"/>
                <w:b/>
                <w:color w:val="000000" w:themeColor="text1"/>
                <w:sz w:val="20"/>
                <w:szCs w:val="20"/>
              </w:rPr>
              <w:t>4</w:t>
            </w:r>
            <w:r w:rsidRPr="00E002E0">
              <w:rPr>
                <w:rFonts w:ascii="Arial" w:eastAsia="Times New Roman" w:hAnsi="Arial" w:cs="Arial"/>
                <w:b/>
                <w:color w:val="000000" w:themeColor="text1"/>
                <w:sz w:val="20"/>
                <w:szCs w:val="20"/>
              </w:rPr>
              <w:t>.</w:t>
            </w:r>
            <w:bookmarkEnd w:id="332"/>
          </w:p>
        </w:tc>
        <w:tc>
          <w:tcPr>
            <w:tcW w:w="945" w:type="pct"/>
            <w:vAlign w:val="bottom"/>
          </w:tcPr>
          <w:p w14:paraId="2009CB7B" w14:textId="322CD0FA" w:rsidR="005D5085" w:rsidRPr="00E002E0"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33" w:name="_Toc67327971"/>
            <w:r w:rsidRPr="00E002E0">
              <w:rPr>
                <w:rFonts w:ascii="Arial" w:eastAsia="Times New Roman" w:hAnsi="Arial" w:cs="Arial"/>
                <w:b/>
                <w:color w:val="000000" w:themeColor="text1"/>
                <w:sz w:val="20"/>
                <w:szCs w:val="20"/>
              </w:rPr>
              <w:t>31. prosinca 202</w:t>
            </w:r>
            <w:r w:rsidR="006B217D">
              <w:rPr>
                <w:rFonts w:ascii="Arial" w:eastAsia="Times New Roman" w:hAnsi="Arial" w:cs="Arial"/>
                <w:b/>
                <w:color w:val="000000" w:themeColor="text1"/>
                <w:sz w:val="20"/>
                <w:szCs w:val="20"/>
              </w:rPr>
              <w:t>3</w:t>
            </w:r>
            <w:r w:rsidRPr="00E002E0">
              <w:rPr>
                <w:rFonts w:ascii="Arial" w:eastAsia="Times New Roman" w:hAnsi="Arial" w:cs="Arial"/>
                <w:b/>
                <w:color w:val="000000" w:themeColor="text1"/>
                <w:sz w:val="20"/>
                <w:szCs w:val="20"/>
              </w:rPr>
              <w:t>.</w:t>
            </w:r>
            <w:bookmarkEnd w:id="333"/>
          </w:p>
        </w:tc>
      </w:tr>
      <w:tr w:rsidR="005D5085" w:rsidRPr="00E002E0" w14:paraId="713B47B3" w14:textId="77777777" w:rsidTr="00AD0393">
        <w:trPr>
          <w:trHeight w:val="249"/>
        </w:trPr>
        <w:tc>
          <w:tcPr>
            <w:tcW w:w="3112" w:type="pct"/>
            <w:vAlign w:val="bottom"/>
          </w:tcPr>
          <w:p w14:paraId="6D902175" w14:textId="77777777" w:rsidR="005D5085" w:rsidRPr="00E002E0" w:rsidRDefault="005D5085" w:rsidP="005D5085">
            <w:pPr>
              <w:tabs>
                <w:tab w:val="left" w:pos="-720"/>
              </w:tabs>
              <w:suppressAutoHyphens/>
              <w:autoSpaceDN w:val="0"/>
              <w:jc w:val="right"/>
              <w:rPr>
                <w:rFonts w:ascii="Arial" w:eastAsia="Times New Roman" w:hAnsi="Arial" w:cs="Arial"/>
                <w:color w:val="000000" w:themeColor="text1"/>
                <w:spacing w:val="-3"/>
                <w:sz w:val="20"/>
                <w:szCs w:val="20"/>
              </w:rPr>
            </w:pPr>
          </w:p>
        </w:tc>
        <w:tc>
          <w:tcPr>
            <w:tcW w:w="943" w:type="pct"/>
            <w:vAlign w:val="bottom"/>
          </w:tcPr>
          <w:p w14:paraId="4D6083C2" w14:textId="3E7857BE" w:rsidR="005D5085" w:rsidRPr="00E002E0"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34" w:name="_Toc67327972"/>
            <w:r w:rsidRPr="00E002E0">
              <w:rPr>
                <w:rFonts w:ascii="Arial" w:eastAsia="Times New Roman" w:hAnsi="Arial" w:cs="Arial"/>
                <w:b/>
                <w:color w:val="000000" w:themeColor="text1"/>
                <w:sz w:val="20"/>
                <w:szCs w:val="20"/>
              </w:rPr>
              <w:t>000 eura</w:t>
            </w:r>
            <w:bookmarkEnd w:id="334"/>
          </w:p>
        </w:tc>
        <w:tc>
          <w:tcPr>
            <w:tcW w:w="945" w:type="pct"/>
            <w:vAlign w:val="bottom"/>
          </w:tcPr>
          <w:p w14:paraId="0AAB85DE" w14:textId="65DF060A" w:rsidR="005D5085" w:rsidRPr="00E002E0"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35" w:name="_Toc67327973"/>
            <w:r w:rsidRPr="00E002E0">
              <w:rPr>
                <w:rFonts w:ascii="Arial" w:eastAsia="Times New Roman" w:hAnsi="Arial" w:cs="Arial"/>
                <w:b/>
                <w:color w:val="000000" w:themeColor="text1"/>
                <w:sz w:val="20"/>
                <w:szCs w:val="20"/>
              </w:rPr>
              <w:t>000 eura</w:t>
            </w:r>
            <w:bookmarkEnd w:id="335"/>
          </w:p>
        </w:tc>
      </w:tr>
      <w:tr w:rsidR="005D5085" w:rsidRPr="00E002E0" w14:paraId="107D4FB5" w14:textId="77777777" w:rsidTr="00AD0393">
        <w:trPr>
          <w:trHeight w:val="288"/>
        </w:trPr>
        <w:tc>
          <w:tcPr>
            <w:tcW w:w="3112" w:type="pct"/>
            <w:vAlign w:val="bottom"/>
          </w:tcPr>
          <w:p w14:paraId="0A3A84C2" w14:textId="77777777" w:rsidR="005D5085" w:rsidRPr="00E002E0" w:rsidRDefault="005D5085" w:rsidP="005D5085">
            <w:pPr>
              <w:tabs>
                <w:tab w:val="left" w:pos="-720"/>
              </w:tabs>
              <w:suppressAutoHyphens/>
              <w:autoSpaceDN w:val="0"/>
              <w:rPr>
                <w:rFonts w:ascii="Arial" w:eastAsia="Times New Roman" w:hAnsi="Arial" w:cs="Arial"/>
                <w:color w:val="000000" w:themeColor="text1"/>
                <w:spacing w:val="-2"/>
                <w:sz w:val="20"/>
                <w:szCs w:val="20"/>
              </w:rPr>
            </w:pPr>
          </w:p>
        </w:tc>
        <w:tc>
          <w:tcPr>
            <w:tcW w:w="943" w:type="pct"/>
            <w:vAlign w:val="bottom"/>
          </w:tcPr>
          <w:p w14:paraId="0203BB28" w14:textId="77777777" w:rsidR="005D5085" w:rsidRPr="00E002E0" w:rsidRDefault="005D5085" w:rsidP="005D5085">
            <w:pPr>
              <w:tabs>
                <w:tab w:val="left" w:pos="-720"/>
              </w:tabs>
              <w:suppressAutoHyphens/>
              <w:autoSpaceDN w:val="0"/>
              <w:jc w:val="right"/>
              <w:rPr>
                <w:rFonts w:ascii="Arial" w:eastAsia="Times New Roman" w:hAnsi="Arial" w:cs="Arial"/>
                <w:color w:val="000000" w:themeColor="text1"/>
                <w:spacing w:val="-2"/>
                <w:sz w:val="20"/>
                <w:szCs w:val="20"/>
              </w:rPr>
            </w:pPr>
          </w:p>
        </w:tc>
        <w:tc>
          <w:tcPr>
            <w:tcW w:w="945" w:type="pct"/>
            <w:vAlign w:val="bottom"/>
          </w:tcPr>
          <w:p w14:paraId="642F953E" w14:textId="77777777" w:rsidR="005D5085" w:rsidRPr="00E002E0" w:rsidRDefault="005D5085" w:rsidP="005D5085">
            <w:pPr>
              <w:tabs>
                <w:tab w:val="left" w:pos="-720"/>
              </w:tabs>
              <w:suppressAutoHyphens/>
              <w:autoSpaceDN w:val="0"/>
              <w:jc w:val="right"/>
              <w:rPr>
                <w:rFonts w:ascii="Arial" w:eastAsia="Times New Roman" w:hAnsi="Arial" w:cs="Arial"/>
                <w:color w:val="000000" w:themeColor="text1"/>
                <w:spacing w:val="-2"/>
                <w:sz w:val="20"/>
                <w:szCs w:val="20"/>
              </w:rPr>
            </w:pPr>
          </w:p>
        </w:tc>
      </w:tr>
      <w:tr w:rsidR="00FB1EEB" w:rsidRPr="00E002E0" w14:paraId="16DAA1CC" w14:textId="77777777" w:rsidTr="00926081">
        <w:trPr>
          <w:trHeight w:val="259"/>
        </w:trPr>
        <w:tc>
          <w:tcPr>
            <w:tcW w:w="3112" w:type="pct"/>
            <w:vAlign w:val="bottom"/>
          </w:tcPr>
          <w:p w14:paraId="3267979D" w14:textId="77777777" w:rsidR="00FB1EEB" w:rsidRPr="00E002E0" w:rsidRDefault="00FB1EEB" w:rsidP="00FB1EEB">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36" w:name="_Toc67327974"/>
            <w:r w:rsidRPr="00E002E0">
              <w:rPr>
                <w:rFonts w:ascii="Arial" w:eastAsia="Times New Roman" w:hAnsi="Arial" w:cs="Arial"/>
                <w:color w:val="000000" w:themeColor="text1"/>
                <w:sz w:val="20"/>
                <w:szCs w:val="20"/>
              </w:rPr>
              <w:t>Dugoročni krediti po kreditnim programima</w:t>
            </w:r>
            <w:bookmarkEnd w:id="336"/>
          </w:p>
        </w:tc>
        <w:tc>
          <w:tcPr>
            <w:tcW w:w="943" w:type="pct"/>
            <w:tcBorders>
              <w:top w:val="nil"/>
              <w:left w:val="nil"/>
              <w:bottom w:val="nil"/>
              <w:right w:val="nil"/>
            </w:tcBorders>
            <w:shd w:val="clear" w:color="auto" w:fill="auto"/>
          </w:tcPr>
          <w:p w14:paraId="4B30391A" w14:textId="0A7FE9F4" w:rsidR="00FB1EEB" w:rsidRPr="00E002E0" w:rsidRDefault="00DF0BC3" w:rsidP="00FB1EEB">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1.095.050</w:t>
            </w:r>
          </w:p>
        </w:tc>
        <w:tc>
          <w:tcPr>
            <w:tcW w:w="945" w:type="pct"/>
            <w:tcBorders>
              <w:top w:val="nil"/>
              <w:left w:val="nil"/>
              <w:bottom w:val="nil"/>
              <w:right w:val="nil"/>
            </w:tcBorders>
            <w:shd w:val="clear" w:color="auto" w:fill="auto"/>
            <w:vAlign w:val="bottom"/>
          </w:tcPr>
          <w:p w14:paraId="140B76D6" w14:textId="1DA1C8DC" w:rsidR="00FB1EEB" w:rsidRPr="00FB1EEB" w:rsidRDefault="00FB1EEB" w:rsidP="00FB1EEB">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B1EEB">
              <w:rPr>
                <w:rFonts w:ascii="Arial" w:hAnsi="Arial" w:cs="Arial"/>
                <w:color w:val="000000" w:themeColor="text1"/>
                <w:sz w:val="20"/>
              </w:rPr>
              <w:t xml:space="preserve"> 1.062.831 </w:t>
            </w:r>
          </w:p>
        </w:tc>
      </w:tr>
      <w:tr w:rsidR="00FB1EEB" w:rsidRPr="00E002E0" w14:paraId="058F1B69" w14:textId="77777777" w:rsidTr="00926081">
        <w:trPr>
          <w:trHeight w:val="248"/>
        </w:trPr>
        <w:tc>
          <w:tcPr>
            <w:tcW w:w="3112" w:type="pct"/>
            <w:vAlign w:val="bottom"/>
          </w:tcPr>
          <w:p w14:paraId="5C7DCF79" w14:textId="77777777" w:rsidR="00FB1EEB" w:rsidRPr="00E002E0" w:rsidRDefault="00FB1EEB" w:rsidP="00FB1EEB">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37" w:name="_Toc67327977"/>
            <w:r w:rsidRPr="00E002E0">
              <w:rPr>
                <w:rFonts w:ascii="Arial" w:eastAsia="Times New Roman" w:hAnsi="Arial" w:cs="Arial"/>
                <w:color w:val="000000" w:themeColor="text1"/>
                <w:sz w:val="20"/>
                <w:szCs w:val="20"/>
              </w:rPr>
              <w:t>Kratkoročni plasmani i obrnuti repo poslovi</w:t>
            </w:r>
            <w:bookmarkEnd w:id="337"/>
          </w:p>
        </w:tc>
        <w:tc>
          <w:tcPr>
            <w:tcW w:w="943" w:type="pct"/>
            <w:tcBorders>
              <w:top w:val="nil"/>
              <w:left w:val="nil"/>
              <w:bottom w:val="nil"/>
              <w:right w:val="nil"/>
            </w:tcBorders>
            <w:shd w:val="clear" w:color="auto" w:fill="auto"/>
          </w:tcPr>
          <w:p w14:paraId="618D2FEB" w14:textId="5CCD8CB6" w:rsidR="00FB1EEB" w:rsidRPr="00E002E0" w:rsidRDefault="00DF0BC3" w:rsidP="00FB1EEB">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50.000</w:t>
            </w:r>
          </w:p>
        </w:tc>
        <w:tc>
          <w:tcPr>
            <w:tcW w:w="945" w:type="pct"/>
            <w:tcBorders>
              <w:top w:val="nil"/>
              <w:left w:val="nil"/>
              <w:bottom w:val="nil"/>
              <w:right w:val="nil"/>
            </w:tcBorders>
            <w:shd w:val="clear" w:color="auto" w:fill="auto"/>
            <w:vAlign w:val="bottom"/>
          </w:tcPr>
          <w:p w14:paraId="007437D8" w14:textId="30BD2AF7" w:rsidR="00FB1EEB" w:rsidRPr="00FB1EEB" w:rsidRDefault="00FB1EEB" w:rsidP="00FB1EEB">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B1EEB">
              <w:rPr>
                <w:rFonts w:ascii="Arial" w:hAnsi="Arial" w:cs="Arial"/>
                <w:color w:val="000000" w:themeColor="text1"/>
                <w:sz w:val="20"/>
              </w:rPr>
              <w:t xml:space="preserve"> 193.000 </w:t>
            </w:r>
          </w:p>
        </w:tc>
      </w:tr>
      <w:tr w:rsidR="00FB1EEB" w:rsidRPr="00E002E0" w14:paraId="172A9A0C" w14:textId="77777777" w:rsidTr="00926081">
        <w:trPr>
          <w:trHeight w:val="248"/>
        </w:trPr>
        <w:tc>
          <w:tcPr>
            <w:tcW w:w="3112" w:type="pct"/>
            <w:vAlign w:val="bottom"/>
          </w:tcPr>
          <w:p w14:paraId="5E1B38A0" w14:textId="77777777" w:rsidR="00FB1EEB" w:rsidRPr="00E002E0" w:rsidRDefault="00FB1EEB" w:rsidP="00FB1EEB">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38" w:name="_Toc67327980"/>
            <w:r w:rsidRPr="00E002E0">
              <w:rPr>
                <w:rFonts w:ascii="Arial" w:eastAsia="Times New Roman" w:hAnsi="Arial" w:cs="Arial"/>
                <w:color w:val="000000" w:themeColor="text1"/>
                <w:sz w:val="20"/>
                <w:szCs w:val="20"/>
              </w:rPr>
              <w:t>Obračunata kamata</w:t>
            </w:r>
            <w:bookmarkEnd w:id="338"/>
          </w:p>
        </w:tc>
        <w:tc>
          <w:tcPr>
            <w:tcW w:w="943" w:type="pct"/>
            <w:tcBorders>
              <w:top w:val="nil"/>
              <w:left w:val="nil"/>
              <w:bottom w:val="nil"/>
              <w:right w:val="nil"/>
            </w:tcBorders>
            <w:shd w:val="clear" w:color="auto" w:fill="auto"/>
          </w:tcPr>
          <w:p w14:paraId="55584147" w14:textId="5F885F4B" w:rsidR="00FB1EEB" w:rsidRPr="00E002E0" w:rsidRDefault="00DF0BC3" w:rsidP="00FB1EEB">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2.518</w:t>
            </w:r>
          </w:p>
        </w:tc>
        <w:tc>
          <w:tcPr>
            <w:tcW w:w="945" w:type="pct"/>
            <w:tcBorders>
              <w:top w:val="nil"/>
              <w:left w:val="nil"/>
              <w:bottom w:val="nil"/>
              <w:right w:val="nil"/>
            </w:tcBorders>
            <w:shd w:val="clear" w:color="auto" w:fill="auto"/>
            <w:vAlign w:val="bottom"/>
          </w:tcPr>
          <w:p w14:paraId="35CD11A4" w14:textId="260EB048" w:rsidR="00FB1EEB" w:rsidRPr="00FB1EEB" w:rsidRDefault="00FB1EEB" w:rsidP="00FB1EEB">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B1EEB">
              <w:rPr>
                <w:rFonts w:ascii="Arial" w:hAnsi="Arial" w:cs="Arial"/>
                <w:color w:val="000000" w:themeColor="text1"/>
                <w:sz w:val="20"/>
              </w:rPr>
              <w:t xml:space="preserve"> 2.384 </w:t>
            </w:r>
          </w:p>
        </w:tc>
      </w:tr>
      <w:tr w:rsidR="00FB1EEB" w:rsidRPr="00E002E0" w14:paraId="17F93836" w14:textId="77777777" w:rsidTr="00926081">
        <w:trPr>
          <w:trHeight w:val="152"/>
        </w:trPr>
        <w:tc>
          <w:tcPr>
            <w:tcW w:w="3112" w:type="pct"/>
            <w:vAlign w:val="bottom"/>
          </w:tcPr>
          <w:p w14:paraId="58646D30" w14:textId="77777777" w:rsidR="00FB1EEB" w:rsidRPr="00E002E0" w:rsidRDefault="00FB1EEB" w:rsidP="00FB1EEB">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39" w:name="_Toc67327983"/>
            <w:r w:rsidRPr="00E002E0">
              <w:rPr>
                <w:rFonts w:ascii="Arial" w:eastAsia="Times New Roman" w:hAnsi="Arial" w:cs="Arial"/>
                <w:color w:val="000000" w:themeColor="text1"/>
                <w:sz w:val="20"/>
                <w:szCs w:val="20"/>
              </w:rPr>
              <w:t>Odgođena naknada po kreditima</w:t>
            </w:r>
            <w:bookmarkEnd w:id="339"/>
          </w:p>
        </w:tc>
        <w:tc>
          <w:tcPr>
            <w:tcW w:w="943" w:type="pct"/>
            <w:tcBorders>
              <w:top w:val="nil"/>
              <w:left w:val="nil"/>
              <w:right w:val="nil"/>
            </w:tcBorders>
            <w:shd w:val="clear" w:color="auto" w:fill="auto"/>
          </w:tcPr>
          <w:p w14:paraId="1FBDB86F" w14:textId="0D7B0290" w:rsidR="00FB1EEB" w:rsidRPr="00E002E0" w:rsidRDefault="00DF0BC3" w:rsidP="00FB1EEB">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(2.912)</w:t>
            </w:r>
          </w:p>
        </w:tc>
        <w:tc>
          <w:tcPr>
            <w:tcW w:w="945" w:type="pct"/>
            <w:tcBorders>
              <w:top w:val="nil"/>
              <w:left w:val="nil"/>
              <w:right w:val="nil"/>
            </w:tcBorders>
            <w:shd w:val="clear" w:color="auto" w:fill="auto"/>
            <w:vAlign w:val="bottom"/>
          </w:tcPr>
          <w:p w14:paraId="4C5946AD" w14:textId="7B7111F7" w:rsidR="00FB1EEB" w:rsidRPr="00FB1EEB" w:rsidRDefault="00FB1EEB" w:rsidP="00FB1EEB">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B1EEB">
              <w:rPr>
                <w:rFonts w:ascii="Arial" w:hAnsi="Arial" w:cs="Arial"/>
                <w:color w:val="000000" w:themeColor="text1"/>
                <w:sz w:val="20"/>
              </w:rPr>
              <w:t xml:space="preserve"> (2.607)</w:t>
            </w:r>
          </w:p>
        </w:tc>
      </w:tr>
      <w:tr w:rsidR="00FB1EEB" w:rsidRPr="00E002E0" w14:paraId="1C82ACBB" w14:textId="77777777" w:rsidTr="00926081">
        <w:trPr>
          <w:trHeight w:val="282"/>
        </w:trPr>
        <w:tc>
          <w:tcPr>
            <w:tcW w:w="3112" w:type="pct"/>
            <w:vAlign w:val="bottom"/>
          </w:tcPr>
          <w:p w14:paraId="4EEE2F88" w14:textId="77777777" w:rsidR="00FB1EEB" w:rsidRPr="00E002E0" w:rsidRDefault="00FB1EEB" w:rsidP="00FB1EEB">
            <w:pPr>
              <w:tabs>
                <w:tab w:val="left" w:pos="-720"/>
              </w:tabs>
              <w:suppressAutoHyphens/>
              <w:autoSpaceDN w:val="0"/>
              <w:rPr>
                <w:rFonts w:ascii="Arial" w:eastAsia="Times New Roman" w:hAnsi="Arial" w:cs="Arial"/>
                <w:iCs/>
                <w:color w:val="000000" w:themeColor="text1"/>
                <w:spacing w:val="-2"/>
                <w:sz w:val="20"/>
                <w:szCs w:val="20"/>
              </w:rPr>
            </w:pPr>
          </w:p>
        </w:tc>
        <w:tc>
          <w:tcPr>
            <w:tcW w:w="943" w:type="pct"/>
            <w:tcBorders>
              <w:top w:val="single" w:sz="4" w:space="0" w:color="auto"/>
              <w:bottom w:val="single" w:sz="4" w:space="0" w:color="auto"/>
            </w:tcBorders>
          </w:tcPr>
          <w:p w14:paraId="22A24BED" w14:textId="0605F517" w:rsidR="00FB1EEB" w:rsidRPr="00E002E0" w:rsidRDefault="00D256BC" w:rsidP="00FB1EEB">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1.144.656</w:t>
            </w:r>
          </w:p>
        </w:tc>
        <w:tc>
          <w:tcPr>
            <w:tcW w:w="945" w:type="pct"/>
            <w:tcBorders>
              <w:top w:val="single" w:sz="4" w:space="0" w:color="auto"/>
              <w:bottom w:val="single" w:sz="4" w:space="0" w:color="auto"/>
            </w:tcBorders>
            <w:vAlign w:val="bottom"/>
          </w:tcPr>
          <w:p w14:paraId="47477C91" w14:textId="7BD96150" w:rsidR="00FB1EEB" w:rsidRPr="00FB1EEB" w:rsidRDefault="00FB1EEB" w:rsidP="00FB1EEB">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sidRPr="00FB1EEB">
              <w:rPr>
                <w:rFonts w:ascii="Arial" w:hAnsi="Arial" w:cs="Arial"/>
                <w:color w:val="000000" w:themeColor="text1"/>
                <w:sz w:val="20"/>
              </w:rPr>
              <w:t>1.255.608</w:t>
            </w:r>
          </w:p>
        </w:tc>
      </w:tr>
      <w:tr w:rsidR="00FB1EEB" w:rsidRPr="00E002E0" w14:paraId="6077979C" w14:textId="77777777" w:rsidTr="00AD0393">
        <w:trPr>
          <w:trHeight w:val="112"/>
        </w:trPr>
        <w:tc>
          <w:tcPr>
            <w:tcW w:w="3112" w:type="pct"/>
            <w:vAlign w:val="bottom"/>
          </w:tcPr>
          <w:p w14:paraId="5C29448B" w14:textId="77777777" w:rsidR="00FB1EEB" w:rsidRPr="00E002E0" w:rsidRDefault="00FB1EEB" w:rsidP="00FB1EEB">
            <w:pPr>
              <w:tabs>
                <w:tab w:val="left" w:pos="-720"/>
              </w:tabs>
              <w:suppressAutoHyphens/>
              <w:autoSpaceDN w:val="0"/>
              <w:rPr>
                <w:rFonts w:ascii="Arial" w:eastAsia="Times New Roman" w:hAnsi="Arial" w:cs="Arial"/>
                <w:iCs/>
                <w:color w:val="000000" w:themeColor="text1"/>
                <w:spacing w:val="-2"/>
                <w:sz w:val="20"/>
                <w:szCs w:val="20"/>
              </w:rPr>
            </w:pPr>
          </w:p>
        </w:tc>
        <w:tc>
          <w:tcPr>
            <w:tcW w:w="943" w:type="pct"/>
            <w:tcBorders>
              <w:top w:val="single" w:sz="4" w:space="0" w:color="auto"/>
            </w:tcBorders>
            <w:vAlign w:val="bottom"/>
          </w:tcPr>
          <w:p w14:paraId="363774B2" w14:textId="77777777" w:rsidR="00FB1EEB" w:rsidRPr="00E002E0" w:rsidRDefault="00FB1EEB" w:rsidP="00FB1EEB">
            <w:pPr>
              <w:suppressAutoHyphens/>
              <w:autoSpaceDN w:val="0"/>
              <w:jc w:val="right"/>
              <w:rPr>
                <w:rFonts w:ascii="Arial" w:eastAsia="Times New Roman" w:hAnsi="Arial" w:cs="Arial"/>
                <w:iCs/>
                <w:color w:val="000000" w:themeColor="text1"/>
                <w:spacing w:val="-2"/>
                <w:sz w:val="20"/>
                <w:szCs w:val="20"/>
              </w:rPr>
            </w:pPr>
          </w:p>
        </w:tc>
        <w:tc>
          <w:tcPr>
            <w:tcW w:w="945" w:type="pct"/>
            <w:tcBorders>
              <w:top w:val="single" w:sz="4" w:space="0" w:color="auto"/>
            </w:tcBorders>
            <w:vAlign w:val="bottom"/>
          </w:tcPr>
          <w:p w14:paraId="08848F3C" w14:textId="77777777" w:rsidR="00FB1EEB" w:rsidRPr="00FB1EEB" w:rsidRDefault="00FB1EEB" w:rsidP="00FB1EEB">
            <w:pPr>
              <w:suppressAutoHyphens/>
              <w:autoSpaceDN w:val="0"/>
              <w:jc w:val="right"/>
              <w:rPr>
                <w:rFonts w:ascii="Arial" w:eastAsia="Times New Roman" w:hAnsi="Arial" w:cs="Arial"/>
                <w:iCs/>
                <w:color w:val="000000" w:themeColor="text1"/>
                <w:spacing w:val="-2"/>
                <w:sz w:val="20"/>
                <w:szCs w:val="20"/>
              </w:rPr>
            </w:pPr>
          </w:p>
        </w:tc>
      </w:tr>
      <w:tr w:rsidR="00FB1EEB" w:rsidRPr="00E002E0" w14:paraId="60AB687C" w14:textId="77777777" w:rsidTr="00140901">
        <w:trPr>
          <w:trHeight w:val="248"/>
        </w:trPr>
        <w:tc>
          <w:tcPr>
            <w:tcW w:w="3112" w:type="pct"/>
            <w:vAlign w:val="bottom"/>
          </w:tcPr>
          <w:p w14:paraId="670018F5" w14:textId="77777777" w:rsidR="00FB1EEB" w:rsidRPr="00E002E0" w:rsidRDefault="00FB1EEB" w:rsidP="00FB1EEB">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40" w:name="_Toc67327988"/>
            <w:r w:rsidRPr="00E002E0">
              <w:rPr>
                <w:rFonts w:ascii="Arial" w:eastAsia="Times New Roman" w:hAnsi="Arial" w:cs="Arial"/>
                <w:color w:val="000000" w:themeColor="text1"/>
                <w:sz w:val="20"/>
                <w:szCs w:val="20"/>
              </w:rPr>
              <w:t>Rezerviranja za očekivane gubitke</w:t>
            </w:r>
            <w:bookmarkEnd w:id="340"/>
          </w:p>
        </w:tc>
        <w:tc>
          <w:tcPr>
            <w:tcW w:w="943" w:type="pct"/>
            <w:tcBorders>
              <w:bottom w:val="single" w:sz="4" w:space="0" w:color="auto"/>
            </w:tcBorders>
            <w:vAlign w:val="bottom"/>
          </w:tcPr>
          <w:p w14:paraId="09CA4E51" w14:textId="574CADB4" w:rsidR="00FB1EEB" w:rsidRPr="00E002E0" w:rsidRDefault="00A81FBC" w:rsidP="00FB1EEB">
            <w:pPr>
              <w:tabs>
                <w:tab w:val="left" w:pos="-720"/>
              </w:tabs>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(6.590)</w:t>
            </w:r>
          </w:p>
        </w:tc>
        <w:tc>
          <w:tcPr>
            <w:tcW w:w="945" w:type="pct"/>
            <w:tcBorders>
              <w:bottom w:val="single" w:sz="4" w:space="0" w:color="auto"/>
            </w:tcBorders>
            <w:vAlign w:val="bottom"/>
          </w:tcPr>
          <w:p w14:paraId="312B2EB3" w14:textId="3EA79B0B" w:rsidR="00FB1EEB" w:rsidRPr="00FB1EEB" w:rsidRDefault="00FB1EEB" w:rsidP="00FB1EEB">
            <w:pPr>
              <w:tabs>
                <w:tab w:val="left" w:pos="-720"/>
              </w:tabs>
              <w:suppressAutoHyphens/>
              <w:autoSpaceDN w:val="0"/>
              <w:jc w:val="right"/>
              <w:rPr>
                <w:rFonts w:ascii="Arial" w:eastAsia="Times New Roman" w:hAnsi="Arial" w:cs="Arial"/>
                <w:color w:val="000000" w:themeColor="text1"/>
                <w:sz w:val="20"/>
                <w:szCs w:val="20"/>
              </w:rPr>
            </w:pPr>
            <w:r w:rsidRPr="00FB1EEB">
              <w:rPr>
                <w:rFonts w:ascii="Arial" w:hAnsi="Arial" w:cs="Arial"/>
                <w:color w:val="000000" w:themeColor="text1"/>
                <w:sz w:val="20"/>
                <w:szCs w:val="20"/>
              </w:rPr>
              <w:t>(6.727)</w:t>
            </w:r>
          </w:p>
        </w:tc>
      </w:tr>
      <w:tr w:rsidR="00FB1EEB" w:rsidRPr="00E002E0" w14:paraId="0CE6709E" w14:textId="77777777" w:rsidTr="00926081">
        <w:trPr>
          <w:trHeight w:val="288"/>
        </w:trPr>
        <w:tc>
          <w:tcPr>
            <w:tcW w:w="3112" w:type="pct"/>
            <w:vAlign w:val="bottom"/>
          </w:tcPr>
          <w:p w14:paraId="2AD4469F" w14:textId="77777777" w:rsidR="00FB1EEB" w:rsidRPr="00E002E0" w:rsidRDefault="00FB1EEB" w:rsidP="00FB1EEB">
            <w:pPr>
              <w:tabs>
                <w:tab w:val="left" w:pos="-720"/>
              </w:tabs>
              <w:suppressAutoHyphens/>
              <w:autoSpaceDN w:val="0"/>
              <w:rPr>
                <w:rFonts w:ascii="Arial" w:eastAsia="Times New Roman" w:hAnsi="Arial" w:cs="Arial"/>
                <w:b/>
                <w:bCs/>
                <w:color w:val="000000" w:themeColor="text1"/>
                <w:sz w:val="20"/>
                <w:szCs w:val="20"/>
              </w:rPr>
            </w:pPr>
          </w:p>
        </w:tc>
        <w:tc>
          <w:tcPr>
            <w:tcW w:w="943" w:type="pct"/>
            <w:tcBorders>
              <w:top w:val="single" w:sz="4" w:space="0" w:color="auto"/>
              <w:bottom w:val="single" w:sz="12" w:space="0" w:color="auto"/>
            </w:tcBorders>
          </w:tcPr>
          <w:p w14:paraId="2CA618FB" w14:textId="6D3D85BA" w:rsidR="00FB1EEB" w:rsidRPr="00E002E0" w:rsidRDefault="00A81FBC" w:rsidP="00FB1EEB">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1.138.066</w:t>
            </w:r>
          </w:p>
        </w:tc>
        <w:tc>
          <w:tcPr>
            <w:tcW w:w="945" w:type="pct"/>
            <w:tcBorders>
              <w:top w:val="single" w:sz="4" w:space="0" w:color="auto"/>
              <w:bottom w:val="single" w:sz="12" w:space="0" w:color="auto"/>
            </w:tcBorders>
            <w:vAlign w:val="bottom"/>
          </w:tcPr>
          <w:p w14:paraId="7B191924" w14:textId="2AF0D24D" w:rsidR="00FB1EEB" w:rsidRPr="00FB1EEB" w:rsidRDefault="00FB1EEB" w:rsidP="00FB1EEB">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FB1EEB">
              <w:rPr>
                <w:rFonts w:ascii="Arial" w:hAnsi="Arial" w:cs="Arial"/>
                <w:b/>
                <w:bCs/>
                <w:color w:val="000000" w:themeColor="text1"/>
                <w:sz w:val="20"/>
              </w:rPr>
              <w:t>1.248.881</w:t>
            </w:r>
          </w:p>
        </w:tc>
      </w:tr>
    </w:tbl>
    <w:p w14:paraId="7F7B1EA8" w14:textId="77777777" w:rsidR="005D5085" w:rsidRPr="003D1614" w:rsidRDefault="005D5085" w:rsidP="005D5085">
      <w:pPr>
        <w:suppressAutoHyphens/>
        <w:autoSpaceDN w:val="0"/>
        <w:jc w:val="both"/>
        <w:rPr>
          <w:rFonts w:ascii="Arial" w:eastAsia="Times New Roman" w:hAnsi="Arial" w:cs="Arial"/>
          <w:color w:val="000000" w:themeColor="text1"/>
          <w:sz w:val="20"/>
          <w:szCs w:val="20"/>
        </w:rPr>
      </w:pPr>
    </w:p>
    <w:p w14:paraId="31541B41" w14:textId="77777777" w:rsidR="005D5085" w:rsidRPr="003D1614" w:rsidRDefault="005D5085" w:rsidP="005D5085">
      <w:pPr>
        <w:suppressAutoHyphens/>
        <w:autoSpaceDN w:val="0"/>
        <w:jc w:val="both"/>
        <w:rPr>
          <w:rFonts w:ascii="Arial" w:eastAsia="Times New Roman" w:hAnsi="Arial" w:cs="Arial"/>
          <w:color w:val="000000" w:themeColor="text1"/>
          <w:sz w:val="20"/>
          <w:szCs w:val="20"/>
        </w:rPr>
      </w:pPr>
    </w:p>
    <w:p w14:paraId="02A648C9" w14:textId="77777777" w:rsidR="005D5085" w:rsidRPr="003D1614" w:rsidRDefault="005D5085" w:rsidP="005D5085">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Sljedeće tablice prikazuju informacije o kreditnoj kvaliteti financijske imovine koja se mjeri po amortiziranom trošku. Iznosi u tablici predstavljaju bruto knjigovodstvene iznose:</w:t>
      </w:r>
    </w:p>
    <w:p w14:paraId="4042F507" w14:textId="77777777" w:rsidR="005D5085" w:rsidRPr="003D1614" w:rsidRDefault="005D5085" w:rsidP="005D5085">
      <w:pPr>
        <w:suppressAutoHyphens/>
        <w:autoSpaceDN w:val="0"/>
        <w:jc w:val="both"/>
        <w:rPr>
          <w:rFonts w:ascii="Arial" w:eastAsia="Times New Roman" w:hAnsi="Arial" w:cs="Arial"/>
          <w:color w:val="000000" w:themeColor="text1"/>
          <w:sz w:val="20"/>
          <w:szCs w:val="20"/>
        </w:rPr>
      </w:pPr>
    </w:p>
    <w:tbl>
      <w:tblPr>
        <w:tblpPr w:leftFromText="180" w:rightFromText="180" w:vertAnchor="text" w:horzAnchor="margin" w:tblpY="53"/>
        <w:tblW w:w="8976" w:type="dxa"/>
        <w:tblLayout w:type="fixed"/>
        <w:tblLook w:val="04A0" w:firstRow="1" w:lastRow="0" w:firstColumn="1" w:lastColumn="0" w:noHBand="0" w:noVBand="1"/>
      </w:tblPr>
      <w:tblGrid>
        <w:gridCol w:w="2671"/>
        <w:gridCol w:w="1623"/>
        <w:gridCol w:w="1521"/>
        <w:gridCol w:w="1521"/>
        <w:gridCol w:w="1640"/>
      </w:tblGrid>
      <w:tr w:rsidR="005D5085" w:rsidRPr="002172AF" w14:paraId="0FD729A8" w14:textId="77777777" w:rsidTr="002172AF">
        <w:trPr>
          <w:trHeight w:val="323"/>
        </w:trPr>
        <w:tc>
          <w:tcPr>
            <w:tcW w:w="2671" w:type="dxa"/>
            <w:tcBorders>
              <w:top w:val="nil"/>
              <w:left w:val="nil"/>
              <w:bottom w:val="nil"/>
              <w:right w:val="nil"/>
            </w:tcBorders>
            <w:shd w:val="clear" w:color="auto" w:fill="auto"/>
            <w:noWrap/>
            <w:vAlign w:val="bottom"/>
            <w:hideMark/>
          </w:tcPr>
          <w:p w14:paraId="63BED540" w14:textId="27FBFB65" w:rsidR="005D5085" w:rsidRPr="002172AF" w:rsidRDefault="005D5085" w:rsidP="005D5085">
            <w:pPr>
              <w:suppressAutoHyphens/>
              <w:autoSpaceDN w:val="0"/>
              <w:rPr>
                <w:rFonts w:ascii="Arial" w:eastAsia="Times New Roman" w:hAnsi="Arial" w:cs="Arial"/>
                <w:b/>
                <w:color w:val="000000" w:themeColor="text1"/>
                <w:sz w:val="18"/>
                <w:szCs w:val="18"/>
              </w:rPr>
            </w:pPr>
            <w:r w:rsidRPr="002172AF">
              <w:rPr>
                <w:rFonts w:ascii="Arial" w:eastAsia="Times New Roman" w:hAnsi="Arial" w:cs="Arial"/>
                <w:b/>
                <w:color w:val="000000" w:themeColor="text1"/>
                <w:sz w:val="18"/>
                <w:szCs w:val="18"/>
              </w:rPr>
              <w:t>31. ožujka 202</w:t>
            </w:r>
            <w:r w:rsidR="00996EB1">
              <w:rPr>
                <w:rFonts w:ascii="Arial" w:eastAsia="Times New Roman" w:hAnsi="Arial" w:cs="Arial"/>
                <w:b/>
                <w:color w:val="000000" w:themeColor="text1"/>
                <w:sz w:val="18"/>
                <w:szCs w:val="18"/>
              </w:rPr>
              <w:t>4</w:t>
            </w:r>
            <w:r w:rsidRPr="002172AF">
              <w:rPr>
                <w:rFonts w:ascii="Arial" w:eastAsia="Times New Roman" w:hAnsi="Arial" w:cs="Arial"/>
                <w:b/>
                <w:color w:val="000000" w:themeColor="text1"/>
                <w:sz w:val="18"/>
                <w:szCs w:val="18"/>
              </w:rPr>
              <w:t xml:space="preserve">.    </w:t>
            </w:r>
          </w:p>
        </w:tc>
        <w:tc>
          <w:tcPr>
            <w:tcW w:w="1623" w:type="dxa"/>
            <w:tcBorders>
              <w:top w:val="nil"/>
              <w:left w:val="nil"/>
              <w:bottom w:val="nil"/>
              <w:right w:val="nil"/>
            </w:tcBorders>
            <w:shd w:val="clear" w:color="auto" w:fill="auto"/>
            <w:noWrap/>
            <w:vAlign w:val="bottom"/>
            <w:hideMark/>
          </w:tcPr>
          <w:p w14:paraId="2B07E293" w14:textId="77777777" w:rsidR="005D5085" w:rsidRPr="002172AF" w:rsidRDefault="005D5085" w:rsidP="005D5085">
            <w:pPr>
              <w:suppressAutoHyphens/>
              <w:autoSpaceDN w:val="0"/>
              <w:rPr>
                <w:rFonts w:ascii="Arial" w:eastAsia="Times New Roman" w:hAnsi="Arial" w:cs="Arial"/>
                <w:color w:val="000000" w:themeColor="text1"/>
                <w:sz w:val="18"/>
                <w:szCs w:val="18"/>
              </w:rPr>
            </w:pPr>
          </w:p>
        </w:tc>
        <w:tc>
          <w:tcPr>
            <w:tcW w:w="1521" w:type="dxa"/>
            <w:tcBorders>
              <w:top w:val="nil"/>
              <w:left w:val="nil"/>
              <w:bottom w:val="nil"/>
              <w:right w:val="nil"/>
            </w:tcBorders>
            <w:shd w:val="clear" w:color="auto" w:fill="auto"/>
            <w:noWrap/>
            <w:vAlign w:val="bottom"/>
            <w:hideMark/>
          </w:tcPr>
          <w:p w14:paraId="688BF193" w14:textId="77777777" w:rsidR="005D5085" w:rsidRPr="002172AF" w:rsidRDefault="005D5085" w:rsidP="005D5085">
            <w:pPr>
              <w:suppressAutoHyphens/>
              <w:autoSpaceDN w:val="0"/>
              <w:jc w:val="right"/>
              <w:rPr>
                <w:rFonts w:ascii="Arial" w:eastAsia="Times New Roman" w:hAnsi="Arial" w:cs="Arial"/>
                <w:color w:val="000000" w:themeColor="text1"/>
                <w:sz w:val="18"/>
                <w:szCs w:val="18"/>
              </w:rPr>
            </w:pPr>
          </w:p>
        </w:tc>
        <w:tc>
          <w:tcPr>
            <w:tcW w:w="1521" w:type="dxa"/>
            <w:tcBorders>
              <w:top w:val="nil"/>
              <w:left w:val="nil"/>
              <w:bottom w:val="nil"/>
              <w:right w:val="nil"/>
            </w:tcBorders>
            <w:shd w:val="clear" w:color="auto" w:fill="auto"/>
            <w:noWrap/>
            <w:vAlign w:val="bottom"/>
            <w:hideMark/>
          </w:tcPr>
          <w:p w14:paraId="5BBF7BE0" w14:textId="77777777" w:rsidR="005D5085" w:rsidRPr="002172AF" w:rsidRDefault="005D5085" w:rsidP="005D5085">
            <w:pPr>
              <w:suppressAutoHyphens/>
              <w:autoSpaceDN w:val="0"/>
              <w:jc w:val="right"/>
              <w:rPr>
                <w:rFonts w:ascii="Arial" w:eastAsia="Times New Roman" w:hAnsi="Arial" w:cs="Arial"/>
                <w:color w:val="000000" w:themeColor="text1"/>
                <w:sz w:val="18"/>
                <w:szCs w:val="18"/>
              </w:rPr>
            </w:pPr>
          </w:p>
        </w:tc>
        <w:tc>
          <w:tcPr>
            <w:tcW w:w="1640" w:type="dxa"/>
            <w:tcBorders>
              <w:top w:val="nil"/>
              <w:left w:val="nil"/>
              <w:bottom w:val="nil"/>
              <w:right w:val="nil"/>
            </w:tcBorders>
            <w:shd w:val="clear" w:color="auto" w:fill="auto"/>
            <w:noWrap/>
            <w:vAlign w:val="bottom"/>
            <w:hideMark/>
          </w:tcPr>
          <w:p w14:paraId="5C003AA8"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Grupa i Banka</w:t>
            </w:r>
          </w:p>
        </w:tc>
      </w:tr>
      <w:tr w:rsidR="005D5085" w:rsidRPr="002172AF" w14:paraId="4E0CC89F" w14:textId="77777777" w:rsidTr="002172AF">
        <w:trPr>
          <w:trHeight w:val="323"/>
        </w:trPr>
        <w:tc>
          <w:tcPr>
            <w:tcW w:w="2671" w:type="dxa"/>
            <w:tcBorders>
              <w:top w:val="nil"/>
              <w:left w:val="nil"/>
              <w:bottom w:val="nil"/>
              <w:right w:val="nil"/>
            </w:tcBorders>
            <w:shd w:val="clear" w:color="auto" w:fill="auto"/>
            <w:noWrap/>
            <w:vAlign w:val="bottom"/>
            <w:hideMark/>
          </w:tcPr>
          <w:p w14:paraId="4C65D7B7"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623" w:type="dxa"/>
            <w:tcBorders>
              <w:top w:val="nil"/>
              <w:left w:val="nil"/>
              <w:bottom w:val="nil"/>
              <w:right w:val="nil"/>
            </w:tcBorders>
            <w:shd w:val="clear" w:color="auto" w:fill="auto"/>
            <w:noWrap/>
            <w:vAlign w:val="bottom"/>
            <w:hideMark/>
          </w:tcPr>
          <w:p w14:paraId="7A115E78"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Stupanj 1</w:t>
            </w:r>
          </w:p>
        </w:tc>
        <w:tc>
          <w:tcPr>
            <w:tcW w:w="1521" w:type="dxa"/>
            <w:tcBorders>
              <w:top w:val="nil"/>
              <w:left w:val="nil"/>
              <w:bottom w:val="nil"/>
              <w:right w:val="nil"/>
            </w:tcBorders>
            <w:shd w:val="clear" w:color="auto" w:fill="auto"/>
            <w:noWrap/>
            <w:vAlign w:val="bottom"/>
            <w:hideMark/>
          </w:tcPr>
          <w:p w14:paraId="07621D61"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Stupanj 2</w:t>
            </w:r>
          </w:p>
        </w:tc>
        <w:tc>
          <w:tcPr>
            <w:tcW w:w="1521" w:type="dxa"/>
            <w:tcBorders>
              <w:top w:val="nil"/>
              <w:left w:val="nil"/>
              <w:bottom w:val="nil"/>
              <w:right w:val="nil"/>
            </w:tcBorders>
            <w:shd w:val="clear" w:color="auto" w:fill="auto"/>
            <w:noWrap/>
            <w:vAlign w:val="bottom"/>
            <w:hideMark/>
          </w:tcPr>
          <w:p w14:paraId="5A0DC869"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Stupanj 3</w:t>
            </w:r>
          </w:p>
        </w:tc>
        <w:tc>
          <w:tcPr>
            <w:tcW w:w="1640" w:type="dxa"/>
            <w:tcBorders>
              <w:top w:val="nil"/>
              <w:left w:val="nil"/>
              <w:bottom w:val="nil"/>
              <w:right w:val="nil"/>
            </w:tcBorders>
            <w:shd w:val="clear" w:color="auto" w:fill="auto"/>
            <w:noWrap/>
            <w:vAlign w:val="bottom"/>
            <w:hideMark/>
          </w:tcPr>
          <w:p w14:paraId="5DCE4A7F"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Ukupno</w:t>
            </w:r>
          </w:p>
        </w:tc>
      </w:tr>
      <w:tr w:rsidR="005D5085" w:rsidRPr="002172AF" w14:paraId="0235D53E" w14:textId="77777777" w:rsidTr="002172AF">
        <w:trPr>
          <w:trHeight w:val="323"/>
        </w:trPr>
        <w:tc>
          <w:tcPr>
            <w:tcW w:w="2671" w:type="dxa"/>
            <w:tcBorders>
              <w:top w:val="nil"/>
              <w:left w:val="nil"/>
              <w:bottom w:val="nil"/>
              <w:right w:val="nil"/>
            </w:tcBorders>
            <w:shd w:val="clear" w:color="auto" w:fill="auto"/>
            <w:noWrap/>
            <w:vAlign w:val="bottom"/>
            <w:hideMark/>
          </w:tcPr>
          <w:p w14:paraId="5B795779"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623" w:type="dxa"/>
            <w:tcBorders>
              <w:top w:val="nil"/>
              <w:left w:val="nil"/>
              <w:bottom w:val="nil"/>
              <w:right w:val="nil"/>
            </w:tcBorders>
            <w:shd w:val="clear" w:color="auto" w:fill="auto"/>
            <w:noWrap/>
            <w:vAlign w:val="bottom"/>
            <w:hideMark/>
          </w:tcPr>
          <w:p w14:paraId="591DA362" w14:textId="32D4F650"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000 eura</w:t>
            </w:r>
          </w:p>
        </w:tc>
        <w:tc>
          <w:tcPr>
            <w:tcW w:w="1521" w:type="dxa"/>
            <w:tcBorders>
              <w:top w:val="nil"/>
              <w:left w:val="nil"/>
              <w:bottom w:val="nil"/>
              <w:right w:val="nil"/>
            </w:tcBorders>
            <w:shd w:val="clear" w:color="auto" w:fill="auto"/>
            <w:noWrap/>
            <w:vAlign w:val="bottom"/>
            <w:hideMark/>
          </w:tcPr>
          <w:p w14:paraId="6111CC0E" w14:textId="4C7C59BE"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000 eura</w:t>
            </w:r>
          </w:p>
        </w:tc>
        <w:tc>
          <w:tcPr>
            <w:tcW w:w="1521" w:type="dxa"/>
            <w:tcBorders>
              <w:top w:val="nil"/>
              <w:left w:val="nil"/>
              <w:bottom w:val="nil"/>
              <w:right w:val="nil"/>
            </w:tcBorders>
            <w:shd w:val="clear" w:color="auto" w:fill="auto"/>
            <w:noWrap/>
            <w:vAlign w:val="bottom"/>
            <w:hideMark/>
          </w:tcPr>
          <w:p w14:paraId="02CE0CAE" w14:textId="5BD9504B"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000 eura</w:t>
            </w:r>
          </w:p>
        </w:tc>
        <w:tc>
          <w:tcPr>
            <w:tcW w:w="1640" w:type="dxa"/>
            <w:tcBorders>
              <w:top w:val="nil"/>
              <w:left w:val="nil"/>
              <w:bottom w:val="nil"/>
              <w:right w:val="nil"/>
            </w:tcBorders>
            <w:shd w:val="clear" w:color="auto" w:fill="auto"/>
            <w:noWrap/>
            <w:vAlign w:val="bottom"/>
            <w:hideMark/>
          </w:tcPr>
          <w:p w14:paraId="35C92FA6" w14:textId="48037976" w:rsidR="005D5085" w:rsidRPr="002172AF" w:rsidRDefault="005D5085" w:rsidP="005D5085">
            <w:pPr>
              <w:suppressAutoHyphens/>
              <w:autoSpaceDN w:val="0"/>
              <w:jc w:val="right"/>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000 eura</w:t>
            </w:r>
          </w:p>
        </w:tc>
      </w:tr>
      <w:tr w:rsidR="005D5085" w:rsidRPr="002172AF" w14:paraId="5DE29C11" w14:textId="77777777" w:rsidTr="002172AF">
        <w:trPr>
          <w:trHeight w:val="210"/>
        </w:trPr>
        <w:tc>
          <w:tcPr>
            <w:tcW w:w="2671" w:type="dxa"/>
            <w:tcBorders>
              <w:top w:val="nil"/>
              <w:left w:val="nil"/>
              <w:bottom w:val="nil"/>
              <w:right w:val="nil"/>
            </w:tcBorders>
            <w:shd w:val="clear" w:color="auto" w:fill="auto"/>
            <w:noWrap/>
            <w:vAlign w:val="bottom"/>
          </w:tcPr>
          <w:p w14:paraId="66425F26"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623" w:type="dxa"/>
            <w:tcBorders>
              <w:top w:val="nil"/>
              <w:left w:val="nil"/>
              <w:bottom w:val="nil"/>
              <w:right w:val="nil"/>
            </w:tcBorders>
            <w:shd w:val="clear" w:color="auto" w:fill="auto"/>
            <w:noWrap/>
            <w:vAlign w:val="bottom"/>
          </w:tcPr>
          <w:p w14:paraId="1B49146B"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521" w:type="dxa"/>
            <w:tcBorders>
              <w:top w:val="nil"/>
              <w:left w:val="nil"/>
              <w:bottom w:val="nil"/>
              <w:right w:val="nil"/>
            </w:tcBorders>
            <w:shd w:val="clear" w:color="auto" w:fill="auto"/>
            <w:noWrap/>
            <w:vAlign w:val="bottom"/>
          </w:tcPr>
          <w:p w14:paraId="5DA10EA8"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521" w:type="dxa"/>
            <w:tcBorders>
              <w:top w:val="nil"/>
              <w:left w:val="nil"/>
              <w:bottom w:val="nil"/>
              <w:right w:val="nil"/>
            </w:tcBorders>
            <w:shd w:val="clear" w:color="auto" w:fill="auto"/>
            <w:noWrap/>
            <w:vAlign w:val="bottom"/>
          </w:tcPr>
          <w:p w14:paraId="06BC2F4E"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c>
          <w:tcPr>
            <w:tcW w:w="1640" w:type="dxa"/>
            <w:tcBorders>
              <w:top w:val="nil"/>
              <w:left w:val="nil"/>
              <w:bottom w:val="nil"/>
              <w:right w:val="nil"/>
            </w:tcBorders>
            <w:shd w:val="clear" w:color="auto" w:fill="auto"/>
            <w:noWrap/>
            <w:vAlign w:val="bottom"/>
          </w:tcPr>
          <w:p w14:paraId="7C6F88DE" w14:textId="77777777" w:rsidR="005D5085" w:rsidRPr="002172AF" w:rsidRDefault="005D5085" w:rsidP="005D5085">
            <w:pPr>
              <w:suppressAutoHyphens/>
              <w:autoSpaceDN w:val="0"/>
              <w:jc w:val="right"/>
              <w:rPr>
                <w:rFonts w:ascii="Arial" w:eastAsia="Times New Roman" w:hAnsi="Arial" w:cs="Arial"/>
                <w:b/>
                <w:bCs/>
                <w:color w:val="000000" w:themeColor="text1"/>
                <w:sz w:val="18"/>
                <w:szCs w:val="18"/>
              </w:rPr>
            </w:pPr>
          </w:p>
        </w:tc>
      </w:tr>
      <w:tr w:rsidR="002172AF" w:rsidRPr="002172AF" w14:paraId="1EE729D8" w14:textId="77777777" w:rsidTr="002172AF">
        <w:trPr>
          <w:trHeight w:val="323"/>
        </w:trPr>
        <w:tc>
          <w:tcPr>
            <w:tcW w:w="2671" w:type="dxa"/>
            <w:tcBorders>
              <w:top w:val="nil"/>
              <w:left w:val="nil"/>
              <w:bottom w:val="nil"/>
              <w:right w:val="nil"/>
            </w:tcBorders>
            <w:shd w:val="clear" w:color="auto" w:fill="auto"/>
            <w:noWrap/>
            <w:vAlign w:val="bottom"/>
            <w:hideMark/>
          </w:tcPr>
          <w:p w14:paraId="598A15E9" w14:textId="77777777" w:rsidR="002172AF" w:rsidRPr="002172AF" w:rsidRDefault="002172AF" w:rsidP="002172AF">
            <w:pPr>
              <w:suppressAutoHyphens/>
              <w:autoSpaceDN w:val="0"/>
              <w:rPr>
                <w:rFonts w:ascii="Arial" w:eastAsia="Times New Roman" w:hAnsi="Arial" w:cs="Arial"/>
                <w:color w:val="000000" w:themeColor="text1"/>
                <w:sz w:val="18"/>
                <w:szCs w:val="18"/>
              </w:rPr>
            </w:pPr>
            <w:r w:rsidRPr="002172AF">
              <w:rPr>
                <w:rFonts w:ascii="Arial" w:eastAsia="Times New Roman" w:hAnsi="Arial" w:cs="Arial"/>
                <w:color w:val="000000" w:themeColor="text1"/>
                <w:sz w:val="18"/>
                <w:szCs w:val="18"/>
              </w:rPr>
              <w:t>Bruto iznos</w:t>
            </w:r>
          </w:p>
        </w:tc>
        <w:tc>
          <w:tcPr>
            <w:tcW w:w="1623" w:type="dxa"/>
            <w:tcBorders>
              <w:top w:val="nil"/>
              <w:left w:val="nil"/>
              <w:bottom w:val="nil"/>
              <w:right w:val="nil"/>
            </w:tcBorders>
            <w:shd w:val="clear" w:color="auto" w:fill="auto"/>
            <w:noWrap/>
            <w:vAlign w:val="bottom"/>
          </w:tcPr>
          <w:p w14:paraId="21776E67" w14:textId="40FFF94C" w:rsidR="002172AF" w:rsidRPr="002172AF" w:rsidRDefault="0041014F" w:rsidP="002172AF">
            <w:pPr>
              <w:suppressAutoHyphens/>
              <w:autoSpaceDN w:val="0"/>
              <w:jc w:val="right"/>
              <w:rPr>
                <w:rFonts w:ascii="Arial" w:eastAsia="Times New Roman" w:hAnsi="Arial" w:cs="Arial"/>
                <w:sz w:val="18"/>
                <w:szCs w:val="18"/>
              </w:rPr>
            </w:pPr>
            <w:r>
              <w:rPr>
                <w:rFonts w:ascii="Arial" w:eastAsia="Times New Roman" w:hAnsi="Arial" w:cs="Arial"/>
                <w:sz w:val="18"/>
                <w:szCs w:val="18"/>
              </w:rPr>
              <w:t>1.127.186</w:t>
            </w:r>
          </w:p>
        </w:tc>
        <w:tc>
          <w:tcPr>
            <w:tcW w:w="1521" w:type="dxa"/>
            <w:tcBorders>
              <w:top w:val="nil"/>
              <w:left w:val="nil"/>
              <w:bottom w:val="nil"/>
              <w:right w:val="nil"/>
            </w:tcBorders>
            <w:shd w:val="clear" w:color="auto" w:fill="auto"/>
            <w:noWrap/>
            <w:vAlign w:val="bottom"/>
          </w:tcPr>
          <w:p w14:paraId="7DD32853" w14:textId="65A81376" w:rsidR="002172AF" w:rsidRPr="002172AF" w:rsidRDefault="0041014F" w:rsidP="002172AF">
            <w:pPr>
              <w:suppressAutoHyphens/>
              <w:autoSpaceDN w:val="0"/>
              <w:jc w:val="right"/>
              <w:rPr>
                <w:rFonts w:ascii="Arial" w:eastAsia="Times New Roman" w:hAnsi="Arial" w:cs="Arial"/>
                <w:sz w:val="18"/>
                <w:szCs w:val="18"/>
              </w:rPr>
            </w:pPr>
            <w:r>
              <w:rPr>
                <w:rFonts w:ascii="Arial" w:eastAsia="Times New Roman" w:hAnsi="Arial" w:cs="Arial"/>
                <w:sz w:val="18"/>
                <w:szCs w:val="18"/>
              </w:rPr>
              <w:t>16.334</w:t>
            </w:r>
          </w:p>
        </w:tc>
        <w:tc>
          <w:tcPr>
            <w:tcW w:w="1521" w:type="dxa"/>
            <w:tcBorders>
              <w:top w:val="nil"/>
              <w:left w:val="nil"/>
              <w:bottom w:val="nil"/>
              <w:right w:val="nil"/>
            </w:tcBorders>
            <w:shd w:val="clear" w:color="auto" w:fill="auto"/>
            <w:noWrap/>
            <w:vAlign w:val="bottom"/>
          </w:tcPr>
          <w:p w14:paraId="28BF0039" w14:textId="3F30F38C" w:rsidR="002172AF" w:rsidRPr="002172AF" w:rsidRDefault="0041014F" w:rsidP="002172AF">
            <w:pPr>
              <w:suppressAutoHyphens/>
              <w:autoSpaceDN w:val="0"/>
              <w:jc w:val="right"/>
              <w:rPr>
                <w:rFonts w:ascii="Arial" w:eastAsia="Times New Roman" w:hAnsi="Arial" w:cs="Arial"/>
                <w:sz w:val="18"/>
                <w:szCs w:val="18"/>
              </w:rPr>
            </w:pPr>
            <w:r>
              <w:rPr>
                <w:rFonts w:ascii="Arial" w:eastAsia="Times New Roman" w:hAnsi="Arial" w:cs="Arial"/>
                <w:sz w:val="18"/>
                <w:szCs w:val="18"/>
              </w:rPr>
              <w:t>1.136</w:t>
            </w:r>
          </w:p>
        </w:tc>
        <w:tc>
          <w:tcPr>
            <w:tcW w:w="1640" w:type="dxa"/>
            <w:tcBorders>
              <w:top w:val="nil"/>
              <w:left w:val="nil"/>
              <w:bottom w:val="nil"/>
              <w:right w:val="nil"/>
            </w:tcBorders>
            <w:shd w:val="clear" w:color="auto" w:fill="auto"/>
            <w:noWrap/>
            <w:vAlign w:val="bottom"/>
          </w:tcPr>
          <w:p w14:paraId="42785F27" w14:textId="534EB428" w:rsidR="002172AF" w:rsidRPr="002172AF" w:rsidRDefault="00950432" w:rsidP="002172AF">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1.144.656</w:t>
            </w:r>
          </w:p>
        </w:tc>
      </w:tr>
      <w:tr w:rsidR="002172AF" w:rsidRPr="002172AF" w14:paraId="0A74BE2C" w14:textId="77777777" w:rsidTr="002172AF">
        <w:trPr>
          <w:trHeight w:val="281"/>
        </w:trPr>
        <w:tc>
          <w:tcPr>
            <w:tcW w:w="2671" w:type="dxa"/>
            <w:tcBorders>
              <w:top w:val="nil"/>
              <w:left w:val="nil"/>
              <w:bottom w:val="nil"/>
              <w:right w:val="nil"/>
            </w:tcBorders>
            <w:shd w:val="clear" w:color="auto" w:fill="auto"/>
            <w:noWrap/>
            <w:vAlign w:val="bottom"/>
            <w:hideMark/>
          </w:tcPr>
          <w:p w14:paraId="253D12AB" w14:textId="77777777" w:rsidR="002172AF" w:rsidRPr="002172AF" w:rsidRDefault="002172AF" w:rsidP="002172AF">
            <w:pPr>
              <w:suppressAutoHyphens/>
              <w:autoSpaceDN w:val="0"/>
              <w:rPr>
                <w:rFonts w:ascii="Arial" w:eastAsia="Times New Roman" w:hAnsi="Arial" w:cs="Arial"/>
                <w:color w:val="000000" w:themeColor="text1"/>
                <w:sz w:val="18"/>
                <w:szCs w:val="18"/>
              </w:rPr>
            </w:pPr>
            <w:r w:rsidRPr="002172AF">
              <w:rPr>
                <w:rFonts w:ascii="Arial" w:eastAsia="Times New Roman" w:hAnsi="Arial" w:cs="Arial"/>
                <w:color w:val="000000" w:themeColor="text1"/>
                <w:sz w:val="18"/>
                <w:szCs w:val="18"/>
              </w:rPr>
              <w:t>Rezerviranja</w:t>
            </w:r>
          </w:p>
        </w:tc>
        <w:tc>
          <w:tcPr>
            <w:tcW w:w="1623" w:type="dxa"/>
            <w:tcBorders>
              <w:top w:val="nil"/>
              <w:left w:val="nil"/>
              <w:bottom w:val="nil"/>
              <w:right w:val="nil"/>
            </w:tcBorders>
            <w:shd w:val="clear" w:color="auto" w:fill="auto"/>
            <w:noWrap/>
            <w:vAlign w:val="bottom"/>
          </w:tcPr>
          <w:p w14:paraId="330203BD" w14:textId="024EFA1D" w:rsidR="002172AF" w:rsidRPr="002172AF" w:rsidRDefault="0041014F" w:rsidP="002172AF">
            <w:pPr>
              <w:suppressAutoHyphens/>
              <w:autoSpaceDN w:val="0"/>
              <w:jc w:val="right"/>
              <w:rPr>
                <w:rFonts w:ascii="Arial" w:eastAsia="Times New Roman" w:hAnsi="Arial" w:cs="Arial"/>
                <w:sz w:val="18"/>
                <w:szCs w:val="18"/>
              </w:rPr>
            </w:pPr>
            <w:r>
              <w:rPr>
                <w:rFonts w:ascii="Arial" w:eastAsia="Times New Roman" w:hAnsi="Arial" w:cs="Arial"/>
                <w:sz w:val="18"/>
                <w:szCs w:val="18"/>
              </w:rPr>
              <w:t>(3.883)</w:t>
            </w:r>
          </w:p>
        </w:tc>
        <w:tc>
          <w:tcPr>
            <w:tcW w:w="1521" w:type="dxa"/>
            <w:tcBorders>
              <w:top w:val="nil"/>
              <w:left w:val="nil"/>
              <w:bottom w:val="nil"/>
              <w:right w:val="nil"/>
            </w:tcBorders>
            <w:shd w:val="clear" w:color="auto" w:fill="auto"/>
            <w:noWrap/>
            <w:vAlign w:val="bottom"/>
          </w:tcPr>
          <w:p w14:paraId="6F56266D" w14:textId="1EDEB118" w:rsidR="002172AF" w:rsidRPr="002172AF" w:rsidRDefault="0041014F" w:rsidP="002172AF">
            <w:pPr>
              <w:suppressAutoHyphens/>
              <w:autoSpaceDN w:val="0"/>
              <w:jc w:val="right"/>
              <w:rPr>
                <w:rFonts w:ascii="Arial" w:eastAsia="Times New Roman" w:hAnsi="Arial" w:cs="Arial"/>
                <w:sz w:val="18"/>
                <w:szCs w:val="18"/>
              </w:rPr>
            </w:pPr>
            <w:r>
              <w:rPr>
                <w:rFonts w:ascii="Arial" w:eastAsia="Times New Roman" w:hAnsi="Arial" w:cs="Arial"/>
                <w:sz w:val="18"/>
                <w:szCs w:val="18"/>
              </w:rPr>
              <w:t>(1.850)</w:t>
            </w:r>
          </w:p>
        </w:tc>
        <w:tc>
          <w:tcPr>
            <w:tcW w:w="1521" w:type="dxa"/>
            <w:tcBorders>
              <w:top w:val="nil"/>
              <w:left w:val="nil"/>
              <w:bottom w:val="nil"/>
              <w:right w:val="nil"/>
            </w:tcBorders>
            <w:shd w:val="clear" w:color="auto" w:fill="auto"/>
            <w:noWrap/>
            <w:vAlign w:val="bottom"/>
          </w:tcPr>
          <w:p w14:paraId="570D0959" w14:textId="5C7912D8" w:rsidR="002172AF" w:rsidRPr="002172AF" w:rsidRDefault="0041014F" w:rsidP="002172AF">
            <w:pPr>
              <w:suppressAutoHyphens/>
              <w:autoSpaceDN w:val="0"/>
              <w:jc w:val="right"/>
              <w:rPr>
                <w:rFonts w:ascii="Arial" w:eastAsia="Times New Roman" w:hAnsi="Arial" w:cs="Arial"/>
                <w:sz w:val="18"/>
                <w:szCs w:val="18"/>
              </w:rPr>
            </w:pPr>
            <w:r>
              <w:rPr>
                <w:rFonts w:ascii="Arial" w:eastAsia="Times New Roman" w:hAnsi="Arial" w:cs="Arial"/>
                <w:sz w:val="18"/>
                <w:szCs w:val="18"/>
              </w:rPr>
              <w:t>(857)</w:t>
            </w:r>
          </w:p>
        </w:tc>
        <w:tc>
          <w:tcPr>
            <w:tcW w:w="1640" w:type="dxa"/>
            <w:tcBorders>
              <w:top w:val="nil"/>
              <w:left w:val="nil"/>
              <w:bottom w:val="nil"/>
              <w:right w:val="nil"/>
            </w:tcBorders>
            <w:shd w:val="clear" w:color="auto" w:fill="auto"/>
            <w:noWrap/>
            <w:vAlign w:val="bottom"/>
          </w:tcPr>
          <w:p w14:paraId="2A2C8EF3" w14:textId="64265C51" w:rsidR="002172AF" w:rsidRPr="002172AF" w:rsidRDefault="00950432" w:rsidP="002172AF">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(6.590)</w:t>
            </w:r>
          </w:p>
        </w:tc>
      </w:tr>
      <w:tr w:rsidR="002172AF" w:rsidRPr="002172AF" w14:paraId="474AAFC0" w14:textId="77777777" w:rsidTr="002172AF">
        <w:trPr>
          <w:trHeight w:val="510"/>
        </w:trPr>
        <w:tc>
          <w:tcPr>
            <w:tcW w:w="2671" w:type="dxa"/>
            <w:tcBorders>
              <w:top w:val="nil"/>
              <w:left w:val="nil"/>
              <w:bottom w:val="nil"/>
              <w:right w:val="nil"/>
            </w:tcBorders>
            <w:shd w:val="clear" w:color="auto" w:fill="auto"/>
            <w:noWrap/>
            <w:vAlign w:val="bottom"/>
            <w:hideMark/>
          </w:tcPr>
          <w:p w14:paraId="3BB052CF" w14:textId="77777777" w:rsidR="002172AF" w:rsidRPr="002172AF" w:rsidRDefault="002172AF" w:rsidP="002172AF">
            <w:pPr>
              <w:suppressAutoHyphens/>
              <w:autoSpaceDN w:val="0"/>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 xml:space="preserve">Stanje na dan </w:t>
            </w:r>
          </w:p>
          <w:p w14:paraId="7665AB35" w14:textId="4AD594DE" w:rsidR="002172AF" w:rsidRPr="002172AF" w:rsidRDefault="002172AF" w:rsidP="002172AF">
            <w:pPr>
              <w:suppressAutoHyphens/>
              <w:autoSpaceDN w:val="0"/>
              <w:rPr>
                <w:rFonts w:ascii="Arial" w:eastAsia="Times New Roman" w:hAnsi="Arial" w:cs="Arial"/>
                <w:b/>
                <w:bCs/>
                <w:color w:val="000000" w:themeColor="text1"/>
                <w:sz w:val="18"/>
                <w:szCs w:val="18"/>
              </w:rPr>
            </w:pPr>
            <w:r w:rsidRPr="002172AF">
              <w:rPr>
                <w:rFonts w:ascii="Arial" w:eastAsia="Times New Roman" w:hAnsi="Arial" w:cs="Arial"/>
                <w:b/>
                <w:bCs/>
                <w:color w:val="000000" w:themeColor="text1"/>
                <w:sz w:val="18"/>
                <w:szCs w:val="18"/>
              </w:rPr>
              <w:t>31.ožujka 202</w:t>
            </w:r>
            <w:r w:rsidR="00996EB1">
              <w:rPr>
                <w:rFonts w:ascii="Arial" w:eastAsia="Times New Roman" w:hAnsi="Arial" w:cs="Arial"/>
                <w:b/>
                <w:bCs/>
                <w:color w:val="000000" w:themeColor="text1"/>
                <w:sz w:val="18"/>
                <w:szCs w:val="18"/>
              </w:rPr>
              <w:t>4</w:t>
            </w:r>
            <w:r w:rsidRPr="002172AF">
              <w:rPr>
                <w:rFonts w:ascii="Arial" w:eastAsia="Times New Roman" w:hAnsi="Arial" w:cs="Arial"/>
                <w:b/>
                <w:bCs/>
                <w:color w:val="000000" w:themeColor="text1"/>
                <w:sz w:val="18"/>
                <w:szCs w:val="18"/>
              </w:rPr>
              <w:t xml:space="preserve">.    </w:t>
            </w:r>
          </w:p>
        </w:tc>
        <w:tc>
          <w:tcPr>
            <w:tcW w:w="1623" w:type="dxa"/>
            <w:tcBorders>
              <w:top w:val="single" w:sz="8" w:space="0" w:color="auto"/>
              <w:left w:val="nil"/>
              <w:bottom w:val="single" w:sz="12" w:space="0" w:color="000000"/>
              <w:right w:val="nil"/>
            </w:tcBorders>
            <w:shd w:val="clear" w:color="auto" w:fill="auto"/>
            <w:noWrap/>
            <w:vAlign w:val="bottom"/>
          </w:tcPr>
          <w:p w14:paraId="3566128E" w14:textId="2EB8C7A7" w:rsidR="002172AF" w:rsidRPr="002172AF" w:rsidRDefault="0041014F" w:rsidP="002172AF">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1.123.303</w:t>
            </w:r>
          </w:p>
        </w:tc>
        <w:tc>
          <w:tcPr>
            <w:tcW w:w="1521" w:type="dxa"/>
            <w:tcBorders>
              <w:top w:val="single" w:sz="8" w:space="0" w:color="auto"/>
              <w:left w:val="nil"/>
              <w:bottom w:val="single" w:sz="12" w:space="0" w:color="000000"/>
              <w:right w:val="nil"/>
            </w:tcBorders>
            <w:shd w:val="clear" w:color="auto" w:fill="auto"/>
            <w:noWrap/>
            <w:vAlign w:val="bottom"/>
          </w:tcPr>
          <w:p w14:paraId="27E2A6A2" w14:textId="02C0E450" w:rsidR="002172AF" w:rsidRPr="002172AF" w:rsidRDefault="0041014F" w:rsidP="002172AF">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14.484</w:t>
            </w:r>
          </w:p>
        </w:tc>
        <w:tc>
          <w:tcPr>
            <w:tcW w:w="1521" w:type="dxa"/>
            <w:tcBorders>
              <w:top w:val="single" w:sz="8" w:space="0" w:color="auto"/>
              <w:left w:val="nil"/>
              <w:bottom w:val="single" w:sz="12" w:space="0" w:color="000000"/>
              <w:right w:val="nil"/>
            </w:tcBorders>
            <w:shd w:val="clear" w:color="auto" w:fill="auto"/>
            <w:noWrap/>
            <w:vAlign w:val="bottom"/>
          </w:tcPr>
          <w:p w14:paraId="3D1F4E8C" w14:textId="0F4F0046" w:rsidR="002172AF" w:rsidRPr="002172AF" w:rsidRDefault="0041014F" w:rsidP="002172AF">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279</w:t>
            </w:r>
          </w:p>
        </w:tc>
        <w:tc>
          <w:tcPr>
            <w:tcW w:w="1640" w:type="dxa"/>
            <w:tcBorders>
              <w:top w:val="single" w:sz="8" w:space="0" w:color="auto"/>
              <w:left w:val="nil"/>
              <w:bottom w:val="single" w:sz="12" w:space="0" w:color="000000"/>
              <w:right w:val="nil"/>
            </w:tcBorders>
            <w:shd w:val="clear" w:color="auto" w:fill="auto"/>
            <w:noWrap/>
            <w:vAlign w:val="bottom"/>
          </w:tcPr>
          <w:p w14:paraId="75152573" w14:textId="0AE4A747" w:rsidR="002172AF" w:rsidRPr="002172AF" w:rsidRDefault="00950432" w:rsidP="002172AF">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1.138.066</w:t>
            </w:r>
          </w:p>
        </w:tc>
      </w:tr>
    </w:tbl>
    <w:p w14:paraId="17454613" w14:textId="77777777" w:rsidR="005D5085" w:rsidRPr="003D1614" w:rsidRDefault="005D5085" w:rsidP="005D5085">
      <w:pPr>
        <w:keepNext/>
        <w:tabs>
          <w:tab w:val="left" w:pos="1134"/>
        </w:tabs>
        <w:suppressAutoHyphens/>
        <w:autoSpaceDN w:val="0"/>
        <w:jc w:val="both"/>
        <w:outlineLvl w:val="0"/>
        <w:rPr>
          <w:rFonts w:ascii="Arial" w:eastAsia="Times New Roman" w:hAnsi="Arial" w:cs="Arial"/>
          <w:color w:val="000000" w:themeColor="text1"/>
          <w:sz w:val="20"/>
          <w:szCs w:val="20"/>
        </w:rPr>
      </w:pPr>
    </w:p>
    <w:p w14:paraId="579DFAE7" w14:textId="77777777" w:rsidR="005D5085" w:rsidRPr="003D1614" w:rsidRDefault="005D5085" w:rsidP="005D5085">
      <w:pPr>
        <w:keepNext/>
        <w:tabs>
          <w:tab w:val="left" w:pos="1134"/>
        </w:tabs>
        <w:suppressAutoHyphens/>
        <w:autoSpaceDN w:val="0"/>
        <w:jc w:val="both"/>
        <w:outlineLvl w:val="0"/>
        <w:rPr>
          <w:rFonts w:ascii="Arial" w:eastAsia="Times New Roman" w:hAnsi="Arial" w:cs="Arial"/>
          <w:color w:val="000000" w:themeColor="text1"/>
          <w:sz w:val="20"/>
          <w:szCs w:val="20"/>
        </w:rPr>
      </w:pPr>
    </w:p>
    <w:tbl>
      <w:tblPr>
        <w:tblpPr w:leftFromText="180" w:rightFromText="180" w:vertAnchor="text" w:horzAnchor="margin" w:tblpY="53"/>
        <w:tblW w:w="8976" w:type="dxa"/>
        <w:tblLayout w:type="fixed"/>
        <w:tblLook w:val="04A0" w:firstRow="1" w:lastRow="0" w:firstColumn="1" w:lastColumn="0" w:noHBand="0" w:noVBand="1"/>
      </w:tblPr>
      <w:tblGrid>
        <w:gridCol w:w="2671"/>
        <w:gridCol w:w="1623"/>
        <w:gridCol w:w="1521"/>
        <w:gridCol w:w="1521"/>
        <w:gridCol w:w="1640"/>
      </w:tblGrid>
      <w:tr w:rsidR="00667771" w:rsidRPr="007E675A" w14:paraId="04D323B4" w14:textId="77777777" w:rsidTr="00D15CE2">
        <w:trPr>
          <w:trHeight w:val="323"/>
        </w:trPr>
        <w:tc>
          <w:tcPr>
            <w:tcW w:w="2671" w:type="dxa"/>
            <w:tcBorders>
              <w:top w:val="nil"/>
              <w:left w:val="nil"/>
              <w:bottom w:val="nil"/>
              <w:right w:val="nil"/>
            </w:tcBorders>
            <w:shd w:val="clear" w:color="auto" w:fill="auto"/>
            <w:noWrap/>
            <w:vAlign w:val="bottom"/>
            <w:hideMark/>
          </w:tcPr>
          <w:p w14:paraId="469E47B3" w14:textId="77777777" w:rsidR="00667771" w:rsidRPr="004B4498" w:rsidRDefault="00667771" w:rsidP="00D15CE2">
            <w:pPr>
              <w:rPr>
                <w:rFonts w:ascii="Arial" w:hAnsi="Arial" w:cs="Arial"/>
                <w:b/>
                <w:color w:val="000000" w:themeColor="text1"/>
                <w:sz w:val="18"/>
                <w:szCs w:val="18"/>
              </w:rPr>
            </w:pPr>
            <w:r w:rsidRPr="004B4498">
              <w:rPr>
                <w:rFonts w:ascii="Arial" w:hAnsi="Arial" w:cs="Arial"/>
                <w:b/>
                <w:color w:val="000000" w:themeColor="text1"/>
                <w:sz w:val="18"/>
                <w:szCs w:val="18"/>
              </w:rPr>
              <w:t>31. prosinca 202</w:t>
            </w:r>
            <w:r>
              <w:rPr>
                <w:rFonts w:ascii="Arial" w:hAnsi="Arial" w:cs="Arial"/>
                <w:b/>
                <w:color w:val="000000" w:themeColor="text1"/>
                <w:sz w:val="18"/>
                <w:szCs w:val="18"/>
              </w:rPr>
              <w:t>3</w:t>
            </w:r>
            <w:r w:rsidRPr="004B4498">
              <w:rPr>
                <w:rFonts w:ascii="Arial" w:hAnsi="Arial" w:cs="Arial"/>
                <w:b/>
                <w:color w:val="000000" w:themeColor="text1"/>
                <w:sz w:val="18"/>
                <w:szCs w:val="18"/>
              </w:rPr>
              <w:t xml:space="preserve">.    </w:t>
            </w:r>
          </w:p>
        </w:tc>
        <w:tc>
          <w:tcPr>
            <w:tcW w:w="1623" w:type="dxa"/>
            <w:tcBorders>
              <w:top w:val="nil"/>
              <w:left w:val="nil"/>
              <w:bottom w:val="nil"/>
              <w:right w:val="nil"/>
            </w:tcBorders>
            <w:shd w:val="clear" w:color="auto" w:fill="auto"/>
            <w:noWrap/>
            <w:vAlign w:val="bottom"/>
            <w:hideMark/>
          </w:tcPr>
          <w:p w14:paraId="41317ADD" w14:textId="77777777" w:rsidR="00667771" w:rsidRPr="004B4498" w:rsidRDefault="00667771" w:rsidP="00D15CE2">
            <w:pPr>
              <w:rPr>
                <w:rFonts w:ascii="Arial" w:hAnsi="Arial" w:cs="Arial"/>
                <w:color w:val="000000" w:themeColor="text1"/>
                <w:sz w:val="18"/>
                <w:szCs w:val="18"/>
              </w:rPr>
            </w:pPr>
          </w:p>
        </w:tc>
        <w:tc>
          <w:tcPr>
            <w:tcW w:w="1521" w:type="dxa"/>
            <w:tcBorders>
              <w:top w:val="nil"/>
              <w:left w:val="nil"/>
              <w:bottom w:val="nil"/>
              <w:right w:val="nil"/>
            </w:tcBorders>
            <w:shd w:val="clear" w:color="auto" w:fill="auto"/>
            <w:noWrap/>
            <w:vAlign w:val="bottom"/>
            <w:hideMark/>
          </w:tcPr>
          <w:p w14:paraId="22434C26" w14:textId="77777777" w:rsidR="00667771" w:rsidRPr="004B4498" w:rsidRDefault="00667771" w:rsidP="00D15CE2">
            <w:pPr>
              <w:jc w:val="right"/>
              <w:rPr>
                <w:rFonts w:ascii="Arial" w:hAnsi="Arial" w:cs="Arial"/>
                <w:color w:val="000000" w:themeColor="text1"/>
                <w:sz w:val="18"/>
                <w:szCs w:val="18"/>
              </w:rPr>
            </w:pPr>
          </w:p>
        </w:tc>
        <w:tc>
          <w:tcPr>
            <w:tcW w:w="1521" w:type="dxa"/>
            <w:tcBorders>
              <w:top w:val="nil"/>
              <w:left w:val="nil"/>
              <w:bottom w:val="nil"/>
              <w:right w:val="nil"/>
            </w:tcBorders>
            <w:shd w:val="clear" w:color="auto" w:fill="auto"/>
            <w:noWrap/>
            <w:vAlign w:val="bottom"/>
            <w:hideMark/>
          </w:tcPr>
          <w:p w14:paraId="0ACD1BCF" w14:textId="77777777" w:rsidR="00667771" w:rsidRPr="004B4498" w:rsidRDefault="00667771" w:rsidP="00D15CE2">
            <w:pPr>
              <w:jc w:val="right"/>
              <w:rPr>
                <w:rFonts w:ascii="Arial" w:hAnsi="Arial" w:cs="Arial"/>
                <w:color w:val="000000" w:themeColor="text1"/>
                <w:sz w:val="18"/>
                <w:szCs w:val="18"/>
              </w:rPr>
            </w:pPr>
          </w:p>
        </w:tc>
        <w:tc>
          <w:tcPr>
            <w:tcW w:w="1640" w:type="dxa"/>
            <w:tcBorders>
              <w:top w:val="nil"/>
              <w:left w:val="nil"/>
              <w:bottom w:val="nil"/>
              <w:right w:val="nil"/>
            </w:tcBorders>
            <w:shd w:val="clear" w:color="auto" w:fill="auto"/>
            <w:noWrap/>
            <w:vAlign w:val="bottom"/>
            <w:hideMark/>
          </w:tcPr>
          <w:p w14:paraId="79B08B0B" w14:textId="77777777" w:rsidR="00667771" w:rsidRPr="004B4498" w:rsidRDefault="00667771" w:rsidP="00D15CE2">
            <w:pPr>
              <w:jc w:val="right"/>
              <w:rPr>
                <w:rFonts w:ascii="Arial" w:hAnsi="Arial" w:cs="Arial"/>
                <w:b/>
                <w:bCs/>
                <w:color w:val="000000" w:themeColor="text1"/>
                <w:sz w:val="18"/>
                <w:szCs w:val="18"/>
              </w:rPr>
            </w:pPr>
            <w:r w:rsidRPr="004B4498">
              <w:rPr>
                <w:rFonts w:ascii="Arial" w:hAnsi="Arial" w:cs="Arial"/>
                <w:b/>
                <w:bCs/>
                <w:color w:val="000000" w:themeColor="text1"/>
                <w:sz w:val="18"/>
                <w:szCs w:val="18"/>
              </w:rPr>
              <w:t>Grupa i Banka</w:t>
            </w:r>
          </w:p>
        </w:tc>
      </w:tr>
      <w:tr w:rsidR="00667771" w:rsidRPr="007E675A" w14:paraId="54F15A0B" w14:textId="77777777" w:rsidTr="00D15CE2">
        <w:trPr>
          <w:trHeight w:val="323"/>
        </w:trPr>
        <w:tc>
          <w:tcPr>
            <w:tcW w:w="2671" w:type="dxa"/>
            <w:tcBorders>
              <w:top w:val="nil"/>
              <w:left w:val="nil"/>
              <w:bottom w:val="nil"/>
              <w:right w:val="nil"/>
            </w:tcBorders>
            <w:shd w:val="clear" w:color="auto" w:fill="auto"/>
            <w:noWrap/>
            <w:vAlign w:val="bottom"/>
            <w:hideMark/>
          </w:tcPr>
          <w:p w14:paraId="330D69DD" w14:textId="77777777" w:rsidR="00667771" w:rsidRPr="004B4498" w:rsidRDefault="00667771" w:rsidP="00D15CE2">
            <w:pPr>
              <w:jc w:val="right"/>
              <w:rPr>
                <w:rFonts w:ascii="Arial" w:hAnsi="Arial" w:cs="Arial"/>
                <w:b/>
                <w:bCs/>
                <w:color w:val="000000" w:themeColor="text1"/>
                <w:sz w:val="18"/>
                <w:szCs w:val="18"/>
              </w:rPr>
            </w:pPr>
          </w:p>
        </w:tc>
        <w:tc>
          <w:tcPr>
            <w:tcW w:w="1623" w:type="dxa"/>
            <w:tcBorders>
              <w:top w:val="nil"/>
              <w:left w:val="nil"/>
              <w:bottom w:val="nil"/>
              <w:right w:val="nil"/>
            </w:tcBorders>
            <w:shd w:val="clear" w:color="auto" w:fill="auto"/>
            <w:noWrap/>
            <w:vAlign w:val="bottom"/>
            <w:hideMark/>
          </w:tcPr>
          <w:p w14:paraId="24A302FA" w14:textId="77777777" w:rsidR="00667771" w:rsidRPr="004B4498" w:rsidRDefault="00667771" w:rsidP="00D15CE2">
            <w:pPr>
              <w:jc w:val="right"/>
              <w:rPr>
                <w:rFonts w:ascii="Arial" w:hAnsi="Arial" w:cs="Arial"/>
                <w:b/>
                <w:bCs/>
                <w:color w:val="000000" w:themeColor="text1"/>
                <w:sz w:val="18"/>
                <w:szCs w:val="18"/>
              </w:rPr>
            </w:pPr>
            <w:r w:rsidRPr="004B4498">
              <w:rPr>
                <w:rFonts w:ascii="Arial" w:hAnsi="Arial" w:cs="Arial"/>
                <w:b/>
                <w:bCs/>
                <w:color w:val="000000" w:themeColor="text1"/>
                <w:sz w:val="18"/>
                <w:szCs w:val="18"/>
              </w:rPr>
              <w:t>Stupanj 1</w:t>
            </w:r>
          </w:p>
        </w:tc>
        <w:tc>
          <w:tcPr>
            <w:tcW w:w="1521" w:type="dxa"/>
            <w:tcBorders>
              <w:top w:val="nil"/>
              <w:left w:val="nil"/>
              <w:bottom w:val="nil"/>
              <w:right w:val="nil"/>
            </w:tcBorders>
            <w:shd w:val="clear" w:color="auto" w:fill="auto"/>
            <w:noWrap/>
            <w:vAlign w:val="bottom"/>
            <w:hideMark/>
          </w:tcPr>
          <w:p w14:paraId="1CB5F36F" w14:textId="77777777" w:rsidR="00667771" w:rsidRPr="004B4498" w:rsidRDefault="00667771" w:rsidP="00D15CE2">
            <w:pPr>
              <w:jc w:val="right"/>
              <w:rPr>
                <w:rFonts w:ascii="Arial" w:hAnsi="Arial" w:cs="Arial"/>
                <w:b/>
                <w:bCs/>
                <w:color w:val="000000" w:themeColor="text1"/>
                <w:sz w:val="18"/>
                <w:szCs w:val="18"/>
              </w:rPr>
            </w:pPr>
            <w:r w:rsidRPr="004B4498">
              <w:rPr>
                <w:rFonts w:ascii="Arial" w:hAnsi="Arial" w:cs="Arial"/>
                <w:b/>
                <w:bCs/>
                <w:color w:val="000000" w:themeColor="text1"/>
                <w:sz w:val="18"/>
                <w:szCs w:val="18"/>
              </w:rPr>
              <w:t>Stupanj 2</w:t>
            </w:r>
          </w:p>
        </w:tc>
        <w:tc>
          <w:tcPr>
            <w:tcW w:w="1521" w:type="dxa"/>
            <w:tcBorders>
              <w:top w:val="nil"/>
              <w:left w:val="nil"/>
              <w:bottom w:val="nil"/>
              <w:right w:val="nil"/>
            </w:tcBorders>
            <w:shd w:val="clear" w:color="auto" w:fill="auto"/>
            <w:noWrap/>
            <w:vAlign w:val="bottom"/>
            <w:hideMark/>
          </w:tcPr>
          <w:p w14:paraId="0B48AF29" w14:textId="77777777" w:rsidR="00667771" w:rsidRPr="004B4498" w:rsidRDefault="00667771" w:rsidP="00D15CE2">
            <w:pPr>
              <w:jc w:val="right"/>
              <w:rPr>
                <w:rFonts w:ascii="Arial" w:hAnsi="Arial" w:cs="Arial"/>
                <w:b/>
                <w:bCs/>
                <w:color w:val="000000" w:themeColor="text1"/>
                <w:sz w:val="18"/>
                <w:szCs w:val="18"/>
              </w:rPr>
            </w:pPr>
            <w:r w:rsidRPr="004B4498">
              <w:rPr>
                <w:rFonts w:ascii="Arial" w:hAnsi="Arial" w:cs="Arial"/>
                <w:b/>
                <w:bCs/>
                <w:color w:val="000000" w:themeColor="text1"/>
                <w:sz w:val="18"/>
                <w:szCs w:val="18"/>
              </w:rPr>
              <w:t>Stupanj 3</w:t>
            </w:r>
          </w:p>
        </w:tc>
        <w:tc>
          <w:tcPr>
            <w:tcW w:w="1640" w:type="dxa"/>
            <w:tcBorders>
              <w:top w:val="nil"/>
              <w:left w:val="nil"/>
              <w:bottom w:val="nil"/>
              <w:right w:val="nil"/>
            </w:tcBorders>
            <w:shd w:val="clear" w:color="auto" w:fill="auto"/>
            <w:noWrap/>
            <w:vAlign w:val="bottom"/>
            <w:hideMark/>
          </w:tcPr>
          <w:p w14:paraId="7E747675" w14:textId="77777777" w:rsidR="00667771" w:rsidRPr="004B4498" w:rsidRDefault="00667771" w:rsidP="00D15CE2">
            <w:pPr>
              <w:jc w:val="right"/>
              <w:rPr>
                <w:rFonts w:ascii="Arial" w:hAnsi="Arial" w:cs="Arial"/>
                <w:b/>
                <w:bCs/>
                <w:color w:val="000000" w:themeColor="text1"/>
                <w:sz w:val="18"/>
                <w:szCs w:val="18"/>
              </w:rPr>
            </w:pPr>
            <w:r w:rsidRPr="004B4498">
              <w:rPr>
                <w:rFonts w:ascii="Arial" w:hAnsi="Arial" w:cs="Arial"/>
                <w:b/>
                <w:bCs/>
                <w:color w:val="000000" w:themeColor="text1"/>
                <w:sz w:val="18"/>
                <w:szCs w:val="18"/>
              </w:rPr>
              <w:t>Ukupno</w:t>
            </w:r>
          </w:p>
        </w:tc>
      </w:tr>
      <w:tr w:rsidR="00667771" w:rsidRPr="007E675A" w14:paraId="02FBCBA3" w14:textId="77777777" w:rsidTr="00D15CE2">
        <w:trPr>
          <w:trHeight w:val="323"/>
        </w:trPr>
        <w:tc>
          <w:tcPr>
            <w:tcW w:w="2671" w:type="dxa"/>
            <w:tcBorders>
              <w:top w:val="nil"/>
              <w:left w:val="nil"/>
              <w:bottom w:val="nil"/>
              <w:right w:val="nil"/>
            </w:tcBorders>
            <w:shd w:val="clear" w:color="auto" w:fill="auto"/>
            <w:noWrap/>
            <w:vAlign w:val="bottom"/>
            <w:hideMark/>
          </w:tcPr>
          <w:p w14:paraId="4A18356E" w14:textId="77777777" w:rsidR="00667771" w:rsidRPr="004B4498" w:rsidRDefault="00667771" w:rsidP="00D15CE2">
            <w:pPr>
              <w:jc w:val="right"/>
              <w:rPr>
                <w:rFonts w:ascii="Arial" w:hAnsi="Arial" w:cs="Arial"/>
                <w:b/>
                <w:bCs/>
                <w:color w:val="000000" w:themeColor="text1"/>
                <w:sz w:val="18"/>
                <w:szCs w:val="18"/>
              </w:rPr>
            </w:pPr>
          </w:p>
        </w:tc>
        <w:tc>
          <w:tcPr>
            <w:tcW w:w="1623" w:type="dxa"/>
            <w:tcBorders>
              <w:top w:val="nil"/>
              <w:left w:val="nil"/>
              <w:bottom w:val="nil"/>
              <w:right w:val="nil"/>
            </w:tcBorders>
            <w:shd w:val="clear" w:color="auto" w:fill="auto"/>
            <w:noWrap/>
            <w:vAlign w:val="bottom"/>
            <w:hideMark/>
          </w:tcPr>
          <w:p w14:paraId="1DC6AA35" w14:textId="77777777" w:rsidR="00667771" w:rsidRPr="004B4498" w:rsidRDefault="00667771" w:rsidP="00D15CE2">
            <w:pPr>
              <w:jc w:val="right"/>
              <w:rPr>
                <w:rFonts w:ascii="Arial" w:hAnsi="Arial" w:cs="Arial"/>
                <w:b/>
                <w:bCs/>
                <w:color w:val="000000" w:themeColor="text1"/>
                <w:sz w:val="18"/>
                <w:szCs w:val="18"/>
              </w:rPr>
            </w:pPr>
            <w:r w:rsidRPr="004B4498">
              <w:rPr>
                <w:rFonts w:ascii="Arial" w:hAnsi="Arial" w:cs="Arial"/>
                <w:b/>
                <w:bCs/>
                <w:color w:val="000000" w:themeColor="text1"/>
                <w:sz w:val="18"/>
                <w:szCs w:val="18"/>
              </w:rPr>
              <w:t xml:space="preserve">000 </w:t>
            </w:r>
            <w:r>
              <w:rPr>
                <w:rFonts w:ascii="Arial" w:hAnsi="Arial" w:cs="Arial"/>
                <w:b/>
                <w:bCs/>
                <w:color w:val="000000" w:themeColor="text1"/>
                <w:sz w:val="18"/>
                <w:szCs w:val="18"/>
              </w:rPr>
              <w:t>eura</w:t>
            </w:r>
          </w:p>
        </w:tc>
        <w:tc>
          <w:tcPr>
            <w:tcW w:w="1521" w:type="dxa"/>
            <w:tcBorders>
              <w:top w:val="nil"/>
              <w:left w:val="nil"/>
              <w:bottom w:val="nil"/>
              <w:right w:val="nil"/>
            </w:tcBorders>
            <w:shd w:val="clear" w:color="auto" w:fill="auto"/>
            <w:noWrap/>
            <w:vAlign w:val="bottom"/>
            <w:hideMark/>
          </w:tcPr>
          <w:p w14:paraId="697C86A6" w14:textId="77777777" w:rsidR="00667771" w:rsidRPr="004B4498" w:rsidRDefault="00667771" w:rsidP="00D15CE2">
            <w:pPr>
              <w:jc w:val="right"/>
              <w:rPr>
                <w:rFonts w:ascii="Arial" w:hAnsi="Arial" w:cs="Arial"/>
                <w:b/>
                <w:bCs/>
                <w:color w:val="000000" w:themeColor="text1"/>
                <w:sz w:val="18"/>
                <w:szCs w:val="18"/>
              </w:rPr>
            </w:pPr>
            <w:r w:rsidRPr="004B4498">
              <w:rPr>
                <w:rFonts w:ascii="Arial" w:hAnsi="Arial" w:cs="Arial"/>
                <w:b/>
                <w:bCs/>
                <w:color w:val="000000" w:themeColor="text1"/>
                <w:sz w:val="18"/>
                <w:szCs w:val="18"/>
              </w:rPr>
              <w:t xml:space="preserve">000 </w:t>
            </w:r>
            <w:r>
              <w:rPr>
                <w:rFonts w:ascii="Arial" w:hAnsi="Arial" w:cs="Arial"/>
                <w:b/>
                <w:bCs/>
                <w:color w:val="000000" w:themeColor="text1"/>
                <w:sz w:val="18"/>
                <w:szCs w:val="18"/>
              </w:rPr>
              <w:t>eura</w:t>
            </w:r>
          </w:p>
        </w:tc>
        <w:tc>
          <w:tcPr>
            <w:tcW w:w="1521" w:type="dxa"/>
            <w:tcBorders>
              <w:top w:val="nil"/>
              <w:left w:val="nil"/>
              <w:bottom w:val="nil"/>
              <w:right w:val="nil"/>
            </w:tcBorders>
            <w:shd w:val="clear" w:color="auto" w:fill="auto"/>
            <w:noWrap/>
            <w:vAlign w:val="bottom"/>
            <w:hideMark/>
          </w:tcPr>
          <w:p w14:paraId="69466E83" w14:textId="77777777" w:rsidR="00667771" w:rsidRPr="004B4498" w:rsidRDefault="00667771" w:rsidP="00D15CE2">
            <w:pPr>
              <w:jc w:val="right"/>
              <w:rPr>
                <w:rFonts w:ascii="Arial" w:hAnsi="Arial" w:cs="Arial"/>
                <w:b/>
                <w:bCs/>
                <w:color w:val="000000" w:themeColor="text1"/>
                <w:sz w:val="18"/>
                <w:szCs w:val="18"/>
              </w:rPr>
            </w:pPr>
            <w:r w:rsidRPr="004B4498">
              <w:rPr>
                <w:rFonts w:ascii="Arial" w:hAnsi="Arial" w:cs="Arial"/>
                <w:b/>
                <w:bCs/>
                <w:color w:val="000000" w:themeColor="text1"/>
                <w:sz w:val="18"/>
                <w:szCs w:val="18"/>
              </w:rPr>
              <w:t xml:space="preserve">000 </w:t>
            </w:r>
            <w:r>
              <w:rPr>
                <w:rFonts w:ascii="Arial" w:hAnsi="Arial" w:cs="Arial"/>
                <w:b/>
                <w:bCs/>
                <w:color w:val="000000" w:themeColor="text1"/>
                <w:sz w:val="18"/>
                <w:szCs w:val="18"/>
              </w:rPr>
              <w:t>eura</w:t>
            </w:r>
          </w:p>
        </w:tc>
        <w:tc>
          <w:tcPr>
            <w:tcW w:w="1640" w:type="dxa"/>
            <w:tcBorders>
              <w:top w:val="nil"/>
              <w:left w:val="nil"/>
              <w:bottom w:val="nil"/>
              <w:right w:val="nil"/>
            </w:tcBorders>
            <w:shd w:val="clear" w:color="auto" w:fill="auto"/>
            <w:noWrap/>
            <w:vAlign w:val="bottom"/>
            <w:hideMark/>
          </w:tcPr>
          <w:p w14:paraId="4E0A7A1F" w14:textId="77777777" w:rsidR="00667771" w:rsidRPr="004B4498" w:rsidRDefault="00667771" w:rsidP="00D15CE2">
            <w:pPr>
              <w:jc w:val="right"/>
              <w:rPr>
                <w:rFonts w:ascii="Arial" w:hAnsi="Arial" w:cs="Arial"/>
                <w:b/>
                <w:bCs/>
                <w:color w:val="000000" w:themeColor="text1"/>
                <w:sz w:val="18"/>
                <w:szCs w:val="18"/>
              </w:rPr>
            </w:pPr>
            <w:r w:rsidRPr="004B4498">
              <w:rPr>
                <w:rFonts w:ascii="Arial" w:hAnsi="Arial" w:cs="Arial"/>
                <w:b/>
                <w:bCs/>
                <w:color w:val="000000" w:themeColor="text1"/>
                <w:sz w:val="18"/>
                <w:szCs w:val="18"/>
              </w:rPr>
              <w:t xml:space="preserve">000 </w:t>
            </w:r>
            <w:r>
              <w:rPr>
                <w:rFonts w:ascii="Arial" w:hAnsi="Arial" w:cs="Arial"/>
                <w:b/>
                <w:bCs/>
                <w:color w:val="000000" w:themeColor="text1"/>
                <w:sz w:val="18"/>
                <w:szCs w:val="18"/>
              </w:rPr>
              <w:t>eura</w:t>
            </w:r>
          </w:p>
        </w:tc>
      </w:tr>
      <w:tr w:rsidR="00667771" w:rsidRPr="007E675A" w14:paraId="466AF6C2" w14:textId="77777777" w:rsidTr="00D15CE2">
        <w:trPr>
          <w:trHeight w:val="210"/>
        </w:trPr>
        <w:tc>
          <w:tcPr>
            <w:tcW w:w="2671" w:type="dxa"/>
            <w:tcBorders>
              <w:top w:val="nil"/>
              <w:left w:val="nil"/>
              <w:bottom w:val="nil"/>
              <w:right w:val="nil"/>
            </w:tcBorders>
            <w:shd w:val="clear" w:color="auto" w:fill="auto"/>
            <w:noWrap/>
            <w:vAlign w:val="bottom"/>
          </w:tcPr>
          <w:p w14:paraId="10BFCD90" w14:textId="77777777" w:rsidR="00667771" w:rsidRPr="004B4498" w:rsidRDefault="00667771" w:rsidP="00D15CE2">
            <w:pPr>
              <w:jc w:val="right"/>
              <w:rPr>
                <w:rFonts w:ascii="Arial" w:hAnsi="Arial" w:cs="Arial"/>
                <w:b/>
                <w:bCs/>
                <w:color w:val="000000" w:themeColor="text1"/>
                <w:sz w:val="18"/>
                <w:szCs w:val="18"/>
              </w:rPr>
            </w:pPr>
          </w:p>
        </w:tc>
        <w:tc>
          <w:tcPr>
            <w:tcW w:w="1623" w:type="dxa"/>
            <w:tcBorders>
              <w:top w:val="nil"/>
              <w:left w:val="nil"/>
              <w:bottom w:val="nil"/>
              <w:right w:val="nil"/>
            </w:tcBorders>
            <w:shd w:val="clear" w:color="auto" w:fill="auto"/>
            <w:noWrap/>
            <w:vAlign w:val="bottom"/>
          </w:tcPr>
          <w:p w14:paraId="293DBA46" w14:textId="77777777" w:rsidR="00667771" w:rsidRPr="004B4498" w:rsidRDefault="00667771" w:rsidP="00D15CE2">
            <w:pPr>
              <w:jc w:val="right"/>
              <w:rPr>
                <w:rFonts w:ascii="Arial" w:hAnsi="Arial" w:cs="Arial"/>
                <w:b/>
                <w:bCs/>
                <w:color w:val="000000" w:themeColor="text1"/>
                <w:sz w:val="18"/>
                <w:szCs w:val="18"/>
              </w:rPr>
            </w:pPr>
          </w:p>
        </w:tc>
        <w:tc>
          <w:tcPr>
            <w:tcW w:w="1521" w:type="dxa"/>
            <w:tcBorders>
              <w:top w:val="nil"/>
              <w:left w:val="nil"/>
              <w:bottom w:val="nil"/>
              <w:right w:val="nil"/>
            </w:tcBorders>
            <w:shd w:val="clear" w:color="auto" w:fill="auto"/>
            <w:noWrap/>
            <w:vAlign w:val="bottom"/>
          </w:tcPr>
          <w:p w14:paraId="401FD94F" w14:textId="77777777" w:rsidR="00667771" w:rsidRPr="004B4498" w:rsidRDefault="00667771" w:rsidP="00D15CE2">
            <w:pPr>
              <w:jc w:val="right"/>
              <w:rPr>
                <w:rFonts w:ascii="Arial" w:hAnsi="Arial" w:cs="Arial"/>
                <w:b/>
                <w:bCs/>
                <w:color w:val="000000" w:themeColor="text1"/>
                <w:sz w:val="18"/>
                <w:szCs w:val="18"/>
              </w:rPr>
            </w:pPr>
          </w:p>
        </w:tc>
        <w:tc>
          <w:tcPr>
            <w:tcW w:w="1521" w:type="dxa"/>
            <w:tcBorders>
              <w:top w:val="nil"/>
              <w:left w:val="nil"/>
              <w:bottom w:val="nil"/>
              <w:right w:val="nil"/>
            </w:tcBorders>
            <w:shd w:val="clear" w:color="auto" w:fill="auto"/>
            <w:noWrap/>
            <w:vAlign w:val="bottom"/>
          </w:tcPr>
          <w:p w14:paraId="20E08949" w14:textId="77777777" w:rsidR="00667771" w:rsidRPr="004B4498" w:rsidRDefault="00667771" w:rsidP="00D15CE2">
            <w:pPr>
              <w:jc w:val="right"/>
              <w:rPr>
                <w:rFonts w:ascii="Arial" w:hAnsi="Arial" w:cs="Arial"/>
                <w:b/>
                <w:bCs/>
                <w:color w:val="000000" w:themeColor="text1"/>
                <w:sz w:val="18"/>
                <w:szCs w:val="18"/>
              </w:rPr>
            </w:pPr>
          </w:p>
        </w:tc>
        <w:tc>
          <w:tcPr>
            <w:tcW w:w="1640" w:type="dxa"/>
            <w:tcBorders>
              <w:top w:val="nil"/>
              <w:left w:val="nil"/>
              <w:bottom w:val="nil"/>
              <w:right w:val="nil"/>
            </w:tcBorders>
            <w:shd w:val="clear" w:color="auto" w:fill="auto"/>
            <w:noWrap/>
            <w:vAlign w:val="bottom"/>
          </w:tcPr>
          <w:p w14:paraId="60FF8A56" w14:textId="77777777" w:rsidR="00667771" w:rsidRPr="004B4498" w:rsidRDefault="00667771" w:rsidP="00D15CE2">
            <w:pPr>
              <w:jc w:val="right"/>
              <w:rPr>
                <w:rFonts w:ascii="Arial" w:hAnsi="Arial" w:cs="Arial"/>
                <w:b/>
                <w:bCs/>
                <w:color w:val="000000" w:themeColor="text1"/>
                <w:sz w:val="18"/>
                <w:szCs w:val="18"/>
              </w:rPr>
            </w:pPr>
          </w:p>
        </w:tc>
      </w:tr>
      <w:tr w:rsidR="00667771" w:rsidRPr="007E675A" w14:paraId="710A121A" w14:textId="77777777" w:rsidTr="00D15CE2">
        <w:trPr>
          <w:trHeight w:val="323"/>
        </w:trPr>
        <w:tc>
          <w:tcPr>
            <w:tcW w:w="2671" w:type="dxa"/>
            <w:tcBorders>
              <w:top w:val="nil"/>
              <w:left w:val="nil"/>
              <w:bottom w:val="nil"/>
              <w:right w:val="nil"/>
            </w:tcBorders>
            <w:shd w:val="clear" w:color="auto" w:fill="auto"/>
            <w:noWrap/>
            <w:vAlign w:val="bottom"/>
            <w:hideMark/>
          </w:tcPr>
          <w:p w14:paraId="10895170" w14:textId="77777777" w:rsidR="00667771" w:rsidRPr="004B4498" w:rsidRDefault="00667771" w:rsidP="00D15CE2">
            <w:pPr>
              <w:rPr>
                <w:rFonts w:ascii="Arial" w:hAnsi="Arial" w:cs="Arial"/>
                <w:color w:val="000000" w:themeColor="text1"/>
                <w:sz w:val="18"/>
                <w:szCs w:val="18"/>
              </w:rPr>
            </w:pPr>
            <w:r w:rsidRPr="004B4498">
              <w:rPr>
                <w:rFonts w:ascii="Arial" w:hAnsi="Arial" w:cs="Arial"/>
                <w:color w:val="000000" w:themeColor="text1"/>
                <w:sz w:val="18"/>
                <w:szCs w:val="18"/>
              </w:rPr>
              <w:t>Bruto iznos</w:t>
            </w:r>
          </w:p>
        </w:tc>
        <w:tc>
          <w:tcPr>
            <w:tcW w:w="1623" w:type="dxa"/>
            <w:tcBorders>
              <w:top w:val="nil"/>
              <w:left w:val="nil"/>
              <w:bottom w:val="nil"/>
              <w:right w:val="nil"/>
            </w:tcBorders>
            <w:shd w:val="clear" w:color="auto" w:fill="auto"/>
            <w:noWrap/>
            <w:vAlign w:val="bottom"/>
          </w:tcPr>
          <w:p w14:paraId="7F05EACF" w14:textId="77777777" w:rsidR="00667771" w:rsidRPr="00E21596" w:rsidRDefault="00667771" w:rsidP="00D15CE2">
            <w:pPr>
              <w:jc w:val="right"/>
              <w:rPr>
                <w:rFonts w:ascii="Arial" w:hAnsi="Arial" w:cs="Arial"/>
                <w:sz w:val="18"/>
                <w:szCs w:val="18"/>
              </w:rPr>
            </w:pPr>
            <w:r w:rsidRPr="00F959D0">
              <w:rPr>
                <w:rFonts w:ascii="Arial" w:hAnsi="Arial" w:cs="Arial"/>
                <w:sz w:val="18"/>
                <w:szCs w:val="18"/>
              </w:rPr>
              <w:t>1.238.052</w:t>
            </w:r>
          </w:p>
        </w:tc>
        <w:tc>
          <w:tcPr>
            <w:tcW w:w="1521" w:type="dxa"/>
            <w:tcBorders>
              <w:top w:val="nil"/>
              <w:left w:val="nil"/>
              <w:bottom w:val="nil"/>
              <w:right w:val="nil"/>
            </w:tcBorders>
            <w:shd w:val="clear" w:color="auto" w:fill="auto"/>
            <w:noWrap/>
            <w:vAlign w:val="bottom"/>
          </w:tcPr>
          <w:p w14:paraId="210DFF16" w14:textId="77777777" w:rsidR="00667771" w:rsidRPr="00E21596" w:rsidRDefault="00667771" w:rsidP="00D15CE2">
            <w:pPr>
              <w:jc w:val="right"/>
              <w:rPr>
                <w:rFonts w:ascii="Arial" w:hAnsi="Arial" w:cs="Arial"/>
                <w:sz w:val="18"/>
                <w:szCs w:val="18"/>
              </w:rPr>
            </w:pPr>
            <w:r w:rsidRPr="00F959D0">
              <w:rPr>
                <w:rFonts w:ascii="Arial" w:hAnsi="Arial" w:cs="Arial"/>
                <w:sz w:val="18"/>
                <w:szCs w:val="18"/>
              </w:rPr>
              <w:t>16.420</w:t>
            </w:r>
          </w:p>
        </w:tc>
        <w:tc>
          <w:tcPr>
            <w:tcW w:w="1521" w:type="dxa"/>
            <w:tcBorders>
              <w:top w:val="nil"/>
              <w:left w:val="nil"/>
              <w:bottom w:val="nil"/>
              <w:right w:val="nil"/>
            </w:tcBorders>
            <w:shd w:val="clear" w:color="auto" w:fill="auto"/>
            <w:noWrap/>
            <w:vAlign w:val="bottom"/>
          </w:tcPr>
          <w:p w14:paraId="30FFBA72" w14:textId="77777777" w:rsidR="00667771" w:rsidRPr="00E21596" w:rsidRDefault="00667771" w:rsidP="00D15CE2">
            <w:pPr>
              <w:jc w:val="right"/>
              <w:rPr>
                <w:rFonts w:ascii="Arial" w:hAnsi="Arial" w:cs="Arial"/>
                <w:sz w:val="18"/>
                <w:szCs w:val="18"/>
              </w:rPr>
            </w:pPr>
            <w:r w:rsidRPr="00F959D0">
              <w:rPr>
                <w:rFonts w:ascii="Arial" w:hAnsi="Arial" w:cs="Arial"/>
                <w:sz w:val="18"/>
                <w:szCs w:val="18"/>
              </w:rPr>
              <w:t>1.136</w:t>
            </w:r>
          </w:p>
        </w:tc>
        <w:tc>
          <w:tcPr>
            <w:tcW w:w="1640" w:type="dxa"/>
            <w:tcBorders>
              <w:top w:val="nil"/>
              <w:left w:val="nil"/>
              <w:bottom w:val="nil"/>
              <w:right w:val="nil"/>
            </w:tcBorders>
            <w:shd w:val="clear" w:color="auto" w:fill="auto"/>
            <w:noWrap/>
            <w:vAlign w:val="bottom"/>
          </w:tcPr>
          <w:p w14:paraId="5DA07DE1" w14:textId="77777777" w:rsidR="00667771" w:rsidRPr="008F0B09" w:rsidRDefault="00667771" w:rsidP="00D15CE2">
            <w:pPr>
              <w:jc w:val="right"/>
              <w:rPr>
                <w:rFonts w:ascii="Arial" w:hAnsi="Arial" w:cs="Arial"/>
                <w:b/>
                <w:bCs/>
                <w:sz w:val="18"/>
                <w:szCs w:val="18"/>
              </w:rPr>
            </w:pPr>
            <w:r w:rsidRPr="00F959D0">
              <w:rPr>
                <w:rFonts w:ascii="Arial" w:hAnsi="Arial" w:cs="Arial"/>
                <w:b/>
                <w:bCs/>
                <w:sz w:val="18"/>
                <w:szCs w:val="18"/>
              </w:rPr>
              <w:t xml:space="preserve"> 1.255.608 </w:t>
            </w:r>
          </w:p>
        </w:tc>
      </w:tr>
      <w:tr w:rsidR="00667771" w:rsidRPr="007E675A" w14:paraId="67BC7132" w14:textId="77777777" w:rsidTr="00D15CE2">
        <w:trPr>
          <w:trHeight w:val="281"/>
        </w:trPr>
        <w:tc>
          <w:tcPr>
            <w:tcW w:w="2671" w:type="dxa"/>
            <w:tcBorders>
              <w:top w:val="nil"/>
              <w:left w:val="nil"/>
              <w:bottom w:val="nil"/>
              <w:right w:val="nil"/>
            </w:tcBorders>
            <w:shd w:val="clear" w:color="auto" w:fill="auto"/>
            <w:noWrap/>
            <w:vAlign w:val="bottom"/>
            <w:hideMark/>
          </w:tcPr>
          <w:p w14:paraId="2A6568D5" w14:textId="77777777" w:rsidR="00667771" w:rsidRPr="004B4498" w:rsidRDefault="00667771" w:rsidP="00D15CE2">
            <w:pPr>
              <w:rPr>
                <w:rFonts w:ascii="Arial" w:hAnsi="Arial" w:cs="Arial"/>
                <w:color w:val="000000" w:themeColor="text1"/>
                <w:sz w:val="18"/>
                <w:szCs w:val="18"/>
              </w:rPr>
            </w:pPr>
            <w:r w:rsidRPr="004B4498">
              <w:rPr>
                <w:rFonts w:ascii="Arial" w:hAnsi="Arial" w:cs="Arial"/>
                <w:color w:val="000000" w:themeColor="text1"/>
                <w:sz w:val="18"/>
                <w:szCs w:val="18"/>
              </w:rPr>
              <w:t>Rezerviranja</w:t>
            </w:r>
          </w:p>
        </w:tc>
        <w:tc>
          <w:tcPr>
            <w:tcW w:w="1623" w:type="dxa"/>
            <w:tcBorders>
              <w:top w:val="nil"/>
              <w:left w:val="nil"/>
              <w:bottom w:val="nil"/>
              <w:right w:val="nil"/>
            </w:tcBorders>
            <w:shd w:val="clear" w:color="auto" w:fill="auto"/>
            <w:noWrap/>
            <w:vAlign w:val="bottom"/>
          </w:tcPr>
          <w:p w14:paraId="0F7370C0" w14:textId="77777777" w:rsidR="00667771" w:rsidRPr="00E21596" w:rsidRDefault="00667771" w:rsidP="00D15CE2">
            <w:pPr>
              <w:jc w:val="right"/>
              <w:rPr>
                <w:rFonts w:ascii="Arial" w:hAnsi="Arial" w:cs="Arial"/>
                <w:sz w:val="18"/>
                <w:szCs w:val="18"/>
              </w:rPr>
            </w:pPr>
            <w:r w:rsidRPr="00F959D0">
              <w:rPr>
                <w:rFonts w:ascii="Arial" w:hAnsi="Arial" w:cs="Arial"/>
                <w:sz w:val="18"/>
                <w:szCs w:val="18"/>
              </w:rPr>
              <w:t xml:space="preserve"> (4.163)</w:t>
            </w:r>
          </w:p>
        </w:tc>
        <w:tc>
          <w:tcPr>
            <w:tcW w:w="1521" w:type="dxa"/>
            <w:tcBorders>
              <w:top w:val="nil"/>
              <w:left w:val="nil"/>
              <w:bottom w:val="nil"/>
              <w:right w:val="nil"/>
            </w:tcBorders>
            <w:shd w:val="clear" w:color="auto" w:fill="auto"/>
            <w:noWrap/>
            <w:vAlign w:val="bottom"/>
          </w:tcPr>
          <w:p w14:paraId="5AB92028" w14:textId="77777777" w:rsidR="00667771" w:rsidRPr="00E21596" w:rsidRDefault="00667771" w:rsidP="00D15CE2">
            <w:pPr>
              <w:jc w:val="right"/>
              <w:rPr>
                <w:rFonts w:ascii="Arial" w:hAnsi="Arial" w:cs="Arial"/>
                <w:sz w:val="18"/>
                <w:szCs w:val="18"/>
              </w:rPr>
            </w:pPr>
            <w:r w:rsidRPr="00F959D0">
              <w:rPr>
                <w:rFonts w:ascii="Arial" w:hAnsi="Arial" w:cs="Arial"/>
                <w:sz w:val="18"/>
                <w:szCs w:val="18"/>
              </w:rPr>
              <w:t xml:space="preserve"> (1.707)</w:t>
            </w:r>
          </w:p>
        </w:tc>
        <w:tc>
          <w:tcPr>
            <w:tcW w:w="1521" w:type="dxa"/>
            <w:tcBorders>
              <w:top w:val="nil"/>
              <w:left w:val="nil"/>
              <w:bottom w:val="nil"/>
              <w:right w:val="nil"/>
            </w:tcBorders>
            <w:shd w:val="clear" w:color="auto" w:fill="auto"/>
            <w:noWrap/>
            <w:vAlign w:val="bottom"/>
          </w:tcPr>
          <w:p w14:paraId="0B139765" w14:textId="77777777" w:rsidR="00667771" w:rsidRPr="00E21596" w:rsidRDefault="00667771" w:rsidP="00D15CE2">
            <w:pPr>
              <w:jc w:val="right"/>
              <w:rPr>
                <w:rFonts w:ascii="Arial" w:hAnsi="Arial" w:cs="Arial"/>
                <w:sz w:val="18"/>
                <w:szCs w:val="18"/>
              </w:rPr>
            </w:pPr>
            <w:r w:rsidRPr="00F959D0">
              <w:rPr>
                <w:rFonts w:ascii="Arial" w:hAnsi="Arial" w:cs="Arial"/>
                <w:sz w:val="18"/>
                <w:szCs w:val="18"/>
              </w:rPr>
              <w:t xml:space="preserve"> (857)</w:t>
            </w:r>
          </w:p>
        </w:tc>
        <w:tc>
          <w:tcPr>
            <w:tcW w:w="1640" w:type="dxa"/>
            <w:tcBorders>
              <w:top w:val="nil"/>
              <w:left w:val="nil"/>
              <w:bottom w:val="nil"/>
              <w:right w:val="nil"/>
            </w:tcBorders>
            <w:shd w:val="clear" w:color="auto" w:fill="auto"/>
            <w:noWrap/>
            <w:vAlign w:val="bottom"/>
          </w:tcPr>
          <w:p w14:paraId="09A3B0A5" w14:textId="77777777" w:rsidR="00667771" w:rsidRPr="008F0B09" w:rsidRDefault="00667771" w:rsidP="00D15CE2">
            <w:pPr>
              <w:jc w:val="right"/>
              <w:rPr>
                <w:rFonts w:ascii="Arial" w:hAnsi="Arial" w:cs="Arial"/>
                <w:b/>
                <w:bCs/>
                <w:sz w:val="18"/>
                <w:szCs w:val="18"/>
              </w:rPr>
            </w:pPr>
            <w:r w:rsidRPr="00F959D0">
              <w:rPr>
                <w:rFonts w:ascii="Arial" w:hAnsi="Arial" w:cs="Arial"/>
                <w:b/>
                <w:bCs/>
                <w:sz w:val="18"/>
                <w:szCs w:val="18"/>
              </w:rPr>
              <w:t xml:space="preserve"> (6.727)</w:t>
            </w:r>
          </w:p>
        </w:tc>
      </w:tr>
      <w:tr w:rsidR="00667771" w:rsidRPr="007E675A" w14:paraId="2C2899C6" w14:textId="77777777" w:rsidTr="00D15CE2">
        <w:trPr>
          <w:trHeight w:val="607"/>
        </w:trPr>
        <w:tc>
          <w:tcPr>
            <w:tcW w:w="2671" w:type="dxa"/>
            <w:tcBorders>
              <w:top w:val="nil"/>
              <w:left w:val="nil"/>
              <w:bottom w:val="nil"/>
              <w:right w:val="nil"/>
            </w:tcBorders>
            <w:shd w:val="clear" w:color="auto" w:fill="auto"/>
            <w:noWrap/>
            <w:vAlign w:val="bottom"/>
            <w:hideMark/>
          </w:tcPr>
          <w:p w14:paraId="434F8167" w14:textId="77777777" w:rsidR="00667771" w:rsidRPr="004B4498" w:rsidRDefault="00667771" w:rsidP="00D15CE2">
            <w:pPr>
              <w:rPr>
                <w:rFonts w:ascii="Arial" w:hAnsi="Arial" w:cs="Arial"/>
                <w:b/>
                <w:bCs/>
                <w:color w:val="000000" w:themeColor="text1"/>
                <w:sz w:val="18"/>
                <w:szCs w:val="18"/>
              </w:rPr>
            </w:pPr>
            <w:r w:rsidRPr="004B4498">
              <w:rPr>
                <w:rFonts w:ascii="Arial" w:hAnsi="Arial" w:cs="Arial"/>
                <w:b/>
                <w:bCs/>
                <w:color w:val="000000" w:themeColor="text1"/>
                <w:sz w:val="18"/>
                <w:szCs w:val="18"/>
              </w:rPr>
              <w:t xml:space="preserve">Stanje na dan </w:t>
            </w:r>
          </w:p>
          <w:p w14:paraId="5C241805" w14:textId="77777777" w:rsidR="00667771" w:rsidRPr="004B4498" w:rsidRDefault="00667771" w:rsidP="00D15CE2">
            <w:pPr>
              <w:rPr>
                <w:rFonts w:ascii="Arial" w:hAnsi="Arial" w:cs="Arial"/>
                <w:b/>
                <w:bCs/>
                <w:color w:val="000000" w:themeColor="text1"/>
                <w:sz w:val="18"/>
                <w:szCs w:val="18"/>
              </w:rPr>
            </w:pPr>
            <w:r w:rsidRPr="004B4498">
              <w:rPr>
                <w:rFonts w:ascii="Arial" w:hAnsi="Arial" w:cs="Arial"/>
                <w:b/>
                <w:bCs/>
                <w:color w:val="000000" w:themeColor="text1"/>
                <w:sz w:val="18"/>
                <w:szCs w:val="18"/>
              </w:rPr>
              <w:t>31. prosinca 202</w:t>
            </w:r>
            <w:r>
              <w:rPr>
                <w:rFonts w:ascii="Arial" w:hAnsi="Arial" w:cs="Arial"/>
                <w:b/>
                <w:bCs/>
                <w:color w:val="000000" w:themeColor="text1"/>
                <w:sz w:val="18"/>
                <w:szCs w:val="18"/>
              </w:rPr>
              <w:t>3</w:t>
            </w:r>
            <w:r w:rsidRPr="004B4498">
              <w:rPr>
                <w:rFonts w:ascii="Arial" w:hAnsi="Arial" w:cs="Arial"/>
                <w:b/>
                <w:bCs/>
                <w:color w:val="000000" w:themeColor="text1"/>
                <w:sz w:val="18"/>
                <w:szCs w:val="18"/>
              </w:rPr>
              <w:t xml:space="preserve">.    </w:t>
            </w:r>
          </w:p>
        </w:tc>
        <w:tc>
          <w:tcPr>
            <w:tcW w:w="1623" w:type="dxa"/>
            <w:tcBorders>
              <w:top w:val="single" w:sz="8" w:space="0" w:color="auto"/>
              <w:left w:val="nil"/>
              <w:bottom w:val="single" w:sz="12" w:space="0" w:color="000000"/>
              <w:right w:val="nil"/>
            </w:tcBorders>
            <w:shd w:val="clear" w:color="auto" w:fill="auto"/>
            <w:noWrap/>
            <w:vAlign w:val="bottom"/>
          </w:tcPr>
          <w:p w14:paraId="6FBA5C38" w14:textId="77777777" w:rsidR="00667771" w:rsidRPr="00E21596" w:rsidRDefault="00667771" w:rsidP="00D15CE2">
            <w:pPr>
              <w:jc w:val="right"/>
              <w:rPr>
                <w:rFonts w:ascii="Arial" w:hAnsi="Arial" w:cs="Arial"/>
                <w:b/>
                <w:bCs/>
                <w:sz w:val="18"/>
                <w:szCs w:val="18"/>
              </w:rPr>
            </w:pPr>
            <w:r w:rsidRPr="00F959D0">
              <w:rPr>
                <w:rFonts w:ascii="Arial" w:hAnsi="Arial" w:cs="Arial"/>
                <w:b/>
                <w:bCs/>
                <w:sz w:val="18"/>
                <w:szCs w:val="18"/>
              </w:rPr>
              <w:t xml:space="preserve"> 1.233.889 </w:t>
            </w:r>
          </w:p>
        </w:tc>
        <w:tc>
          <w:tcPr>
            <w:tcW w:w="1521" w:type="dxa"/>
            <w:tcBorders>
              <w:top w:val="single" w:sz="8" w:space="0" w:color="auto"/>
              <w:left w:val="nil"/>
              <w:bottom w:val="single" w:sz="12" w:space="0" w:color="000000"/>
              <w:right w:val="nil"/>
            </w:tcBorders>
            <w:shd w:val="clear" w:color="auto" w:fill="auto"/>
            <w:noWrap/>
            <w:vAlign w:val="bottom"/>
          </w:tcPr>
          <w:p w14:paraId="5B70B978" w14:textId="77777777" w:rsidR="00667771" w:rsidRPr="00E21596" w:rsidRDefault="00667771" w:rsidP="00D15CE2">
            <w:pPr>
              <w:jc w:val="right"/>
              <w:rPr>
                <w:rFonts w:ascii="Arial" w:hAnsi="Arial" w:cs="Arial"/>
                <w:b/>
                <w:bCs/>
                <w:sz w:val="18"/>
                <w:szCs w:val="18"/>
              </w:rPr>
            </w:pPr>
            <w:r w:rsidRPr="00F959D0">
              <w:rPr>
                <w:rFonts w:ascii="Arial" w:hAnsi="Arial" w:cs="Arial"/>
                <w:b/>
                <w:bCs/>
                <w:sz w:val="18"/>
                <w:szCs w:val="18"/>
              </w:rPr>
              <w:t xml:space="preserve"> 14.713 </w:t>
            </w:r>
          </w:p>
        </w:tc>
        <w:tc>
          <w:tcPr>
            <w:tcW w:w="1521" w:type="dxa"/>
            <w:tcBorders>
              <w:top w:val="single" w:sz="8" w:space="0" w:color="auto"/>
              <w:left w:val="nil"/>
              <w:bottom w:val="single" w:sz="12" w:space="0" w:color="000000"/>
              <w:right w:val="nil"/>
            </w:tcBorders>
            <w:shd w:val="clear" w:color="auto" w:fill="auto"/>
            <w:noWrap/>
            <w:vAlign w:val="bottom"/>
          </w:tcPr>
          <w:p w14:paraId="0E880471" w14:textId="77777777" w:rsidR="00667771" w:rsidRPr="00E21596" w:rsidRDefault="00667771" w:rsidP="00D15CE2">
            <w:pPr>
              <w:jc w:val="right"/>
              <w:rPr>
                <w:rFonts w:ascii="Arial" w:hAnsi="Arial" w:cs="Arial"/>
                <w:b/>
                <w:bCs/>
                <w:sz w:val="18"/>
                <w:szCs w:val="18"/>
              </w:rPr>
            </w:pPr>
            <w:r w:rsidRPr="00F959D0">
              <w:rPr>
                <w:rFonts w:ascii="Arial" w:hAnsi="Arial" w:cs="Arial"/>
                <w:b/>
                <w:bCs/>
                <w:sz w:val="18"/>
                <w:szCs w:val="18"/>
              </w:rPr>
              <w:t xml:space="preserve"> 279 </w:t>
            </w:r>
          </w:p>
        </w:tc>
        <w:tc>
          <w:tcPr>
            <w:tcW w:w="1640" w:type="dxa"/>
            <w:tcBorders>
              <w:top w:val="single" w:sz="8" w:space="0" w:color="auto"/>
              <w:left w:val="nil"/>
              <w:bottom w:val="single" w:sz="12" w:space="0" w:color="000000"/>
              <w:right w:val="nil"/>
            </w:tcBorders>
            <w:shd w:val="clear" w:color="auto" w:fill="auto"/>
            <w:noWrap/>
            <w:vAlign w:val="bottom"/>
          </w:tcPr>
          <w:p w14:paraId="131F2058" w14:textId="77777777" w:rsidR="00667771" w:rsidRPr="008F0B09" w:rsidRDefault="00667771" w:rsidP="00D15CE2">
            <w:pPr>
              <w:jc w:val="right"/>
              <w:rPr>
                <w:rFonts w:ascii="Arial" w:hAnsi="Arial" w:cs="Arial"/>
                <w:b/>
                <w:bCs/>
                <w:sz w:val="18"/>
                <w:szCs w:val="18"/>
              </w:rPr>
            </w:pPr>
            <w:r w:rsidRPr="00F959D0">
              <w:rPr>
                <w:rFonts w:ascii="Arial" w:hAnsi="Arial" w:cs="Arial"/>
                <w:b/>
                <w:bCs/>
                <w:sz w:val="18"/>
                <w:szCs w:val="18"/>
              </w:rPr>
              <w:t xml:space="preserve"> 1.248.881 </w:t>
            </w:r>
          </w:p>
        </w:tc>
      </w:tr>
    </w:tbl>
    <w:p w14:paraId="657D2151" w14:textId="3AEF33C1"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pPr>
    </w:p>
    <w:p w14:paraId="151B2075" w14:textId="77777777"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sectPr w:rsidR="005D5085" w:rsidRPr="003D1614">
          <w:pgSz w:w="11906" w:h="16838"/>
          <w:pgMar w:top="1417" w:right="1417" w:bottom="1417" w:left="1417" w:header="708" w:footer="708" w:gutter="0"/>
          <w:cols w:space="708"/>
          <w:docGrid w:linePitch="360"/>
        </w:sectPr>
      </w:pPr>
    </w:p>
    <w:p w14:paraId="2552F7E2" w14:textId="77777777" w:rsidR="005D5085" w:rsidRPr="003D1614" w:rsidRDefault="005D5085" w:rsidP="005D5085">
      <w:pPr>
        <w:keepNext/>
        <w:tabs>
          <w:tab w:val="left" w:pos="1134"/>
        </w:tabs>
        <w:suppressAutoHyphens/>
        <w:autoSpaceDN w:val="0"/>
        <w:jc w:val="both"/>
        <w:outlineLvl w:val="0"/>
        <w:rPr>
          <w:rFonts w:ascii="Arial" w:eastAsia="Times New Roman" w:hAnsi="Arial" w:cs="Arial"/>
          <w:color w:val="000000" w:themeColor="text1"/>
        </w:rPr>
      </w:pPr>
    </w:p>
    <w:p w14:paraId="7AFC6F91" w14:textId="3E22919C" w:rsidR="005D5085" w:rsidRPr="003D1614" w:rsidRDefault="005D5085" w:rsidP="005D5085">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1</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Krediti financijskim institucijama (nastavak)</w:t>
      </w:r>
    </w:p>
    <w:p w14:paraId="4150FF0B" w14:textId="77777777" w:rsidR="005D5085" w:rsidRPr="003D1614" w:rsidRDefault="005D5085" w:rsidP="005D5085">
      <w:pPr>
        <w:keepNext/>
        <w:tabs>
          <w:tab w:val="left" w:pos="1134"/>
        </w:tabs>
        <w:suppressAutoHyphens/>
        <w:autoSpaceDN w:val="0"/>
        <w:jc w:val="both"/>
        <w:outlineLvl w:val="0"/>
        <w:rPr>
          <w:rFonts w:ascii="Arial" w:eastAsia="Times New Roman" w:hAnsi="Arial" w:cs="Arial"/>
          <w:color w:val="000000" w:themeColor="text1"/>
          <w:sz w:val="20"/>
          <w:szCs w:val="20"/>
        </w:rPr>
      </w:pPr>
    </w:p>
    <w:p w14:paraId="5B551C17" w14:textId="77777777" w:rsidR="005D5085" w:rsidRPr="003D1614" w:rsidRDefault="005D5085" w:rsidP="005D5085">
      <w:pPr>
        <w:keepNext/>
        <w:tabs>
          <w:tab w:val="left" w:pos="1134"/>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color w:val="000000" w:themeColor="text1"/>
          <w:sz w:val="20"/>
          <w:szCs w:val="20"/>
        </w:rPr>
        <w:t>Promjene na rezerviranjima za očekivane gubitke po kreditima financijskim institucijama mogu se prikazati kako slijedi:</w:t>
      </w:r>
    </w:p>
    <w:p w14:paraId="6B23890D" w14:textId="77777777" w:rsidR="005D5085" w:rsidRPr="003D1614" w:rsidRDefault="005D5085" w:rsidP="005D5085">
      <w:pPr>
        <w:tabs>
          <w:tab w:val="left" w:pos="-720"/>
        </w:tabs>
        <w:suppressAutoHyphens/>
        <w:autoSpaceDN w:val="0"/>
        <w:rPr>
          <w:rFonts w:ascii="Arial" w:eastAsia="Times New Roman" w:hAnsi="Arial" w:cs="Arial"/>
          <w:color w:val="000000" w:themeColor="text1"/>
          <w:sz w:val="20"/>
          <w:szCs w:val="20"/>
        </w:rPr>
      </w:pPr>
    </w:p>
    <w:tbl>
      <w:tblPr>
        <w:tblW w:w="9212" w:type="dxa"/>
        <w:tblLayout w:type="fixed"/>
        <w:tblLook w:val="04A0" w:firstRow="1" w:lastRow="0" w:firstColumn="1" w:lastColumn="0" w:noHBand="0" w:noVBand="1"/>
      </w:tblPr>
      <w:tblGrid>
        <w:gridCol w:w="6382"/>
        <w:gridCol w:w="1371"/>
        <w:gridCol w:w="1459"/>
      </w:tblGrid>
      <w:tr w:rsidR="005D5085" w:rsidRPr="00935EE7" w14:paraId="73110211" w14:textId="77777777" w:rsidTr="00935EE7">
        <w:trPr>
          <w:trHeight w:val="234"/>
        </w:trPr>
        <w:tc>
          <w:tcPr>
            <w:tcW w:w="6382" w:type="dxa"/>
            <w:tcBorders>
              <w:top w:val="nil"/>
              <w:left w:val="nil"/>
              <w:bottom w:val="nil"/>
              <w:right w:val="nil"/>
            </w:tcBorders>
            <w:shd w:val="clear" w:color="auto" w:fill="auto"/>
            <w:noWrap/>
            <w:vAlign w:val="bottom"/>
            <w:hideMark/>
          </w:tcPr>
          <w:p w14:paraId="4D4DAABD" w14:textId="77777777" w:rsidR="005D5085" w:rsidRPr="00935EE7" w:rsidRDefault="005D5085" w:rsidP="005D5085">
            <w:pPr>
              <w:suppressAutoHyphens/>
              <w:autoSpaceDN w:val="0"/>
              <w:rPr>
                <w:rFonts w:ascii="Arial" w:eastAsia="Times New Roman" w:hAnsi="Arial" w:cs="Arial"/>
                <w:color w:val="000000" w:themeColor="text1"/>
                <w:sz w:val="20"/>
                <w:szCs w:val="20"/>
              </w:rPr>
            </w:pPr>
          </w:p>
        </w:tc>
        <w:tc>
          <w:tcPr>
            <w:tcW w:w="2830" w:type="dxa"/>
            <w:gridSpan w:val="2"/>
            <w:tcBorders>
              <w:top w:val="nil"/>
              <w:left w:val="nil"/>
              <w:bottom w:val="nil"/>
              <w:right w:val="nil"/>
            </w:tcBorders>
            <w:shd w:val="clear" w:color="auto" w:fill="auto"/>
            <w:vAlign w:val="bottom"/>
            <w:hideMark/>
          </w:tcPr>
          <w:p w14:paraId="379BE79B" w14:textId="77777777" w:rsidR="005D5085" w:rsidRPr="00935EE7" w:rsidRDefault="005D5085" w:rsidP="005D5085">
            <w:pPr>
              <w:suppressAutoHyphens/>
              <w:autoSpaceDN w:val="0"/>
              <w:jc w:val="right"/>
              <w:rPr>
                <w:rFonts w:ascii="Arial" w:eastAsia="Times New Roman" w:hAnsi="Arial" w:cs="Arial"/>
                <w:b/>
                <w:bCs/>
                <w:color w:val="000000" w:themeColor="text1"/>
                <w:sz w:val="20"/>
                <w:szCs w:val="20"/>
              </w:rPr>
            </w:pPr>
            <w:r w:rsidRPr="00935EE7">
              <w:rPr>
                <w:rFonts w:ascii="Arial" w:eastAsia="Times New Roman" w:hAnsi="Arial" w:cs="Arial"/>
                <w:b/>
                <w:bCs/>
                <w:color w:val="000000" w:themeColor="text1"/>
                <w:sz w:val="20"/>
                <w:szCs w:val="20"/>
              </w:rPr>
              <w:t>Grupa i Banka</w:t>
            </w:r>
          </w:p>
        </w:tc>
      </w:tr>
      <w:tr w:rsidR="005D5085" w:rsidRPr="00935EE7" w14:paraId="589F408D" w14:textId="77777777" w:rsidTr="00935EE7">
        <w:trPr>
          <w:trHeight w:val="234"/>
        </w:trPr>
        <w:tc>
          <w:tcPr>
            <w:tcW w:w="6382" w:type="dxa"/>
            <w:tcBorders>
              <w:top w:val="nil"/>
              <w:left w:val="nil"/>
              <w:bottom w:val="nil"/>
              <w:right w:val="nil"/>
            </w:tcBorders>
            <w:shd w:val="clear" w:color="auto" w:fill="auto"/>
            <w:noWrap/>
            <w:vAlign w:val="bottom"/>
          </w:tcPr>
          <w:p w14:paraId="6E89416E" w14:textId="77777777" w:rsidR="005D5085" w:rsidRPr="00935EE7" w:rsidRDefault="005D5085" w:rsidP="005D5085">
            <w:pPr>
              <w:suppressAutoHyphens/>
              <w:autoSpaceDN w:val="0"/>
              <w:rPr>
                <w:rFonts w:ascii="Arial" w:eastAsia="Times New Roman" w:hAnsi="Arial" w:cs="Arial"/>
                <w:color w:val="000000" w:themeColor="text1"/>
                <w:sz w:val="20"/>
                <w:szCs w:val="20"/>
              </w:rPr>
            </w:pPr>
          </w:p>
        </w:tc>
        <w:tc>
          <w:tcPr>
            <w:tcW w:w="1371" w:type="dxa"/>
            <w:vAlign w:val="bottom"/>
          </w:tcPr>
          <w:p w14:paraId="22A01186" w14:textId="02110EE4" w:rsidR="005D5085" w:rsidRPr="00935EE7" w:rsidRDefault="005D5085" w:rsidP="005D5085">
            <w:pPr>
              <w:tabs>
                <w:tab w:val="right" w:pos="1202"/>
              </w:tabs>
              <w:suppressAutoHyphens/>
              <w:autoSpaceDN w:val="0"/>
              <w:jc w:val="right"/>
              <w:outlineLvl w:val="0"/>
              <w:rPr>
                <w:rFonts w:ascii="Arial" w:eastAsia="Times New Roman" w:hAnsi="Arial" w:cs="Arial"/>
                <w:b/>
                <w:color w:val="000000" w:themeColor="text1"/>
                <w:sz w:val="20"/>
                <w:szCs w:val="20"/>
              </w:rPr>
            </w:pPr>
            <w:bookmarkStart w:id="341" w:name="_Toc67327991"/>
            <w:r w:rsidRPr="00935EE7">
              <w:rPr>
                <w:rFonts w:ascii="Arial" w:eastAsia="Times New Roman" w:hAnsi="Arial" w:cs="Arial"/>
                <w:b/>
                <w:color w:val="000000" w:themeColor="text1"/>
                <w:sz w:val="20"/>
                <w:szCs w:val="20"/>
              </w:rPr>
              <w:t>1.1.-31.3.</w:t>
            </w:r>
            <w:bookmarkEnd w:id="341"/>
          </w:p>
          <w:p w14:paraId="71CCFF31" w14:textId="66791280" w:rsidR="005D5085" w:rsidRPr="00935EE7" w:rsidRDefault="005D5085" w:rsidP="005D5085">
            <w:pPr>
              <w:tabs>
                <w:tab w:val="right" w:pos="1202"/>
              </w:tabs>
              <w:suppressAutoHyphens/>
              <w:autoSpaceDN w:val="0"/>
              <w:jc w:val="right"/>
              <w:outlineLvl w:val="0"/>
              <w:rPr>
                <w:rFonts w:ascii="Arial" w:eastAsia="Times New Roman" w:hAnsi="Arial" w:cs="Arial"/>
                <w:b/>
                <w:color w:val="000000" w:themeColor="text1"/>
                <w:sz w:val="20"/>
                <w:szCs w:val="20"/>
              </w:rPr>
            </w:pPr>
            <w:bookmarkStart w:id="342" w:name="_Toc67327992"/>
            <w:r w:rsidRPr="00935EE7">
              <w:rPr>
                <w:rFonts w:ascii="Arial" w:eastAsia="Times New Roman" w:hAnsi="Arial" w:cs="Arial"/>
                <w:b/>
                <w:color w:val="000000" w:themeColor="text1"/>
                <w:sz w:val="20"/>
                <w:szCs w:val="20"/>
              </w:rPr>
              <w:t>202</w:t>
            </w:r>
            <w:r w:rsidR="00667771">
              <w:rPr>
                <w:rFonts w:ascii="Arial" w:eastAsia="Times New Roman" w:hAnsi="Arial" w:cs="Arial"/>
                <w:b/>
                <w:color w:val="000000" w:themeColor="text1"/>
                <w:sz w:val="20"/>
                <w:szCs w:val="20"/>
              </w:rPr>
              <w:t>4</w:t>
            </w:r>
            <w:r w:rsidRPr="00935EE7">
              <w:rPr>
                <w:rFonts w:ascii="Arial" w:eastAsia="Times New Roman" w:hAnsi="Arial" w:cs="Arial"/>
                <w:b/>
                <w:color w:val="000000" w:themeColor="text1"/>
                <w:sz w:val="20"/>
                <w:szCs w:val="20"/>
              </w:rPr>
              <w:t>.</w:t>
            </w:r>
            <w:bookmarkEnd w:id="342"/>
          </w:p>
        </w:tc>
        <w:tc>
          <w:tcPr>
            <w:tcW w:w="1459" w:type="dxa"/>
            <w:vAlign w:val="bottom"/>
          </w:tcPr>
          <w:p w14:paraId="6066FFDF" w14:textId="77777777" w:rsidR="005D5085" w:rsidRPr="00935EE7" w:rsidRDefault="005D5085" w:rsidP="005D5085">
            <w:pPr>
              <w:tabs>
                <w:tab w:val="right" w:pos="1202"/>
              </w:tabs>
              <w:suppressAutoHyphens/>
              <w:autoSpaceDN w:val="0"/>
              <w:jc w:val="right"/>
              <w:outlineLvl w:val="0"/>
              <w:rPr>
                <w:rFonts w:ascii="Arial" w:eastAsia="Times New Roman" w:hAnsi="Arial" w:cs="Arial"/>
                <w:b/>
                <w:color w:val="000000" w:themeColor="text1"/>
                <w:sz w:val="20"/>
                <w:szCs w:val="20"/>
              </w:rPr>
            </w:pPr>
            <w:bookmarkStart w:id="343" w:name="_Toc67327993"/>
            <w:r w:rsidRPr="00935EE7">
              <w:rPr>
                <w:rFonts w:ascii="Arial" w:eastAsia="Times New Roman" w:hAnsi="Arial" w:cs="Arial"/>
                <w:b/>
                <w:color w:val="000000" w:themeColor="text1"/>
                <w:sz w:val="20"/>
                <w:szCs w:val="20"/>
              </w:rPr>
              <w:t>1.1.-31.12.</w:t>
            </w:r>
            <w:bookmarkEnd w:id="343"/>
          </w:p>
          <w:p w14:paraId="6A72FEA0" w14:textId="6E886441" w:rsidR="005D5085" w:rsidRPr="00935EE7" w:rsidRDefault="005D5085" w:rsidP="005D5085">
            <w:pPr>
              <w:tabs>
                <w:tab w:val="right" w:pos="1202"/>
              </w:tabs>
              <w:suppressAutoHyphens/>
              <w:autoSpaceDN w:val="0"/>
              <w:jc w:val="right"/>
              <w:outlineLvl w:val="0"/>
              <w:rPr>
                <w:rFonts w:ascii="Arial" w:eastAsia="Times New Roman" w:hAnsi="Arial" w:cs="Arial"/>
                <w:b/>
                <w:color w:val="000000" w:themeColor="text1"/>
                <w:sz w:val="20"/>
                <w:szCs w:val="20"/>
              </w:rPr>
            </w:pPr>
            <w:bookmarkStart w:id="344" w:name="_Toc67327994"/>
            <w:r w:rsidRPr="00935EE7">
              <w:rPr>
                <w:rFonts w:ascii="Arial" w:eastAsia="Times New Roman" w:hAnsi="Arial" w:cs="Arial"/>
                <w:b/>
                <w:color w:val="000000" w:themeColor="text1"/>
                <w:sz w:val="20"/>
                <w:szCs w:val="20"/>
              </w:rPr>
              <w:t>202</w:t>
            </w:r>
            <w:r w:rsidR="00667771">
              <w:rPr>
                <w:rFonts w:ascii="Arial" w:eastAsia="Times New Roman" w:hAnsi="Arial" w:cs="Arial"/>
                <w:b/>
                <w:color w:val="000000" w:themeColor="text1"/>
                <w:sz w:val="20"/>
                <w:szCs w:val="20"/>
              </w:rPr>
              <w:t>3</w:t>
            </w:r>
            <w:r w:rsidRPr="00935EE7">
              <w:rPr>
                <w:rFonts w:ascii="Arial" w:eastAsia="Times New Roman" w:hAnsi="Arial" w:cs="Arial"/>
                <w:b/>
                <w:color w:val="000000" w:themeColor="text1"/>
                <w:sz w:val="20"/>
                <w:szCs w:val="20"/>
              </w:rPr>
              <w:t>.</w:t>
            </w:r>
            <w:bookmarkEnd w:id="344"/>
          </w:p>
        </w:tc>
      </w:tr>
      <w:tr w:rsidR="005D5085" w:rsidRPr="00935EE7" w14:paraId="359C2575" w14:textId="77777777" w:rsidTr="00935EE7">
        <w:trPr>
          <w:trHeight w:val="223"/>
        </w:trPr>
        <w:tc>
          <w:tcPr>
            <w:tcW w:w="6382" w:type="dxa"/>
            <w:tcBorders>
              <w:top w:val="nil"/>
              <w:left w:val="nil"/>
              <w:bottom w:val="nil"/>
              <w:right w:val="nil"/>
            </w:tcBorders>
            <w:shd w:val="clear" w:color="auto" w:fill="auto"/>
            <w:vAlign w:val="bottom"/>
            <w:hideMark/>
          </w:tcPr>
          <w:p w14:paraId="707C47CC" w14:textId="77777777" w:rsidR="005D5085" w:rsidRPr="00935EE7" w:rsidRDefault="005D5085" w:rsidP="005D5085">
            <w:pPr>
              <w:suppressAutoHyphens/>
              <w:autoSpaceDN w:val="0"/>
              <w:jc w:val="right"/>
              <w:rPr>
                <w:rFonts w:ascii="Arial" w:eastAsia="Times New Roman" w:hAnsi="Arial" w:cs="Arial"/>
                <w:b/>
                <w:bCs/>
                <w:color w:val="000000" w:themeColor="text1"/>
                <w:sz w:val="20"/>
                <w:szCs w:val="20"/>
              </w:rPr>
            </w:pPr>
          </w:p>
        </w:tc>
        <w:tc>
          <w:tcPr>
            <w:tcW w:w="1371" w:type="dxa"/>
            <w:tcBorders>
              <w:top w:val="nil"/>
              <w:left w:val="nil"/>
              <w:bottom w:val="nil"/>
              <w:right w:val="nil"/>
            </w:tcBorders>
            <w:shd w:val="clear" w:color="auto" w:fill="auto"/>
            <w:vAlign w:val="bottom"/>
            <w:hideMark/>
          </w:tcPr>
          <w:p w14:paraId="6ADB507F" w14:textId="7B7724D8" w:rsidR="005D5085" w:rsidRPr="00935EE7" w:rsidRDefault="005D5085" w:rsidP="005D5085">
            <w:pPr>
              <w:suppressAutoHyphens/>
              <w:autoSpaceDN w:val="0"/>
              <w:jc w:val="right"/>
              <w:rPr>
                <w:rFonts w:ascii="Arial" w:eastAsia="Times New Roman" w:hAnsi="Arial" w:cs="Arial"/>
                <w:b/>
                <w:bCs/>
                <w:color w:val="000000" w:themeColor="text1"/>
                <w:sz w:val="20"/>
                <w:szCs w:val="20"/>
              </w:rPr>
            </w:pPr>
            <w:r w:rsidRPr="00935EE7">
              <w:rPr>
                <w:rFonts w:ascii="Arial" w:eastAsia="Times New Roman" w:hAnsi="Arial" w:cs="Arial"/>
                <w:b/>
                <w:bCs/>
                <w:color w:val="000000" w:themeColor="text1"/>
                <w:sz w:val="20"/>
                <w:szCs w:val="20"/>
              </w:rPr>
              <w:t xml:space="preserve">000 </w:t>
            </w:r>
            <w:r w:rsidR="00DE0295" w:rsidRPr="00935EE7">
              <w:rPr>
                <w:rFonts w:ascii="Arial" w:eastAsia="Times New Roman" w:hAnsi="Arial" w:cs="Arial"/>
                <w:b/>
                <w:bCs/>
                <w:color w:val="000000" w:themeColor="text1"/>
                <w:sz w:val="20"/>
                <w:szCs w:val="20"/>
              </w:rPr>
              <w:t>eura</w:t>
            </w:r>
          </w:p>
        </w:tc>
        <w:tc>
          <w:tcPr>
            <w:tcW w:w="1459" w:type="dxa"/>
            <w:tcBorders>
              <w:top w:val="nil"/>
              <w:left w:val="nil"/>
              <w:bottom w:val="nil"/>
              <w:right w:val="nil"/>
            </w:tcBorders>
            <w:shd w:val="clear" w:color="auto" w:fill="auto"/>
            <w:vAlign w:val="bottom"/>
          </w:tcPr>
          <w:p w14:paraId="7AAC0DD9" w14:textId="79B1F6D9" w:rsidR="005D5085" w:rsidRPr="00935EE7" w:rsidRDefault="005D5085" w:rsidP="005D5085">
            <w:pPr>
              <w:suppressAutoHyphens/>
              <w:autoSpaceDN w:val="0"/>
              <w:jc w:val="right"/>
              <w:rPr>
                <w:rFonts w:ascii="Arial" w:eastAsia="Times New Roman" w:hAnsi="Arial" w:cs="Arial"/>
                <w:b/>
                <w:bCs/>
                <w:color w:val="000000" w:themeColor="text1"/>
                <w:sz w:val="20"/>
                <w:szCs w:val="20"/>
              </w:rPr>
            </w:pPr>
            <w:r w:rsidRPr="00935EE7">
              <w:rPr>
                <w:rFonts w:ascii="Arial" w:eastAsia="Times New Roman" w:hAnsi="Arial" w:cs="Arial"/>
                <w:b/>
                <w:bCs/>
                <w:color w:val="000000" w:themeColor="text1"/>
                <w:sz w:val="20"/>
                <w:szCs w:val="20"/>
              </w:rPr>
              <w:t xml:space="preserve">000 </w:t>
            </w:r>
            <w:r w:rsidR="00DE0295" w:rsidRPr="00935EE7">
              <w:rPr>
                <w:rFonts w:ascii="Arial" w:eastAsia="Times New Roman" w:hAnsi="Arial" w:cs="Arial"/>
                <w:b/>
                <w:bCs/>
                <w:color w:val="000000" w:themeColor="text1"/>
                <w:sz w:val="20"/>
                <w:szCs w:val="20"/>
              </w:rPr>
              <w:t>eura</w:t>
            </w:r>
          </w:p>
        </w:tc>
      </w:tr>
      <w:tr w:rsidR="00453253" w:rsidRPr="00935EE7" w14:paraId="64B0F24A" w14:textId="77777777" w:rsidTr="00935EE7">
        <w:trPr>
          <w:trHeight w:val="365"/>
        </w:trPr>
        <w:tc>
          <w:tcPr>
            <w:tcW w:w="6382" w:type="dxa"/>
            <w:tcBorders>
              <w:top w:val="nil"/>
              <w:left w:val="nil"/>
              <w:bottom w:val="nil"/>
              <w:right w:val="nil"/>
            </w:tcBorders>
            <w:shd w:val="clear" w:color="auto" w:fill="auto"/>
            <w:vAlign w:val="bottom"/>
          </w:tcPr>
          <w:p w14:paraId="4255DB6F" w14:textId="77777777" w:rsidR="00453253" w:rsidRPr="00935EE7" w:rsidRDefault="00453253" w:rsidP="00453253">
            <w:pPr>
              <w:suppressAutoHyphens/>
              <w:autoSpaceDN w:val="0"/>
              <w:rPr>
                <w:rFonts w:ascii="Arial" w:eastAsia="Times New Roman" w:hAnsi="Arial" w:cs="Arial"/>
                <w:color w:val="000000" w:themeColor="text1"/>
                <w:sz w:val="20"/>
                <w:szCs w:val="20"/>
              </w:rPr>
            </w:pPr>
            <w:r w:rsidRPr="00935EE7">
              <w:rPr>
                <w:rFonts w:ascii="Arial" w:eastAsia="Times New Roman" w:hAnsi="Arial" w:cs="Arial"/>
                <w:color w:val="000000" w:themeColor="text1"/>
                <w:sz w:val="20"/>
                <w:szCs w:val="20"/>
              </w:rPr>
              <w:t>Stanje 1. siječnja</w:t>
            </w:r>
          </w:p>
        </w:tc>
        <w:tc>
          <w:tcPr>
            <w:tcW w:w="1371" w:type="dxa"/>
            <w:tcBorders>
              <w:top w:val="nil"/>
              <w:left w:val="nil"/>
              <w:right w:val="nil"/>
            </w:tcBorders>
            <w:shd w:val="clear" w:color="auto" w:fill="auto"/>
            <w:vAlign w:val="bottom"/>
          </w:tcPr>
          <w:p w14:paraId="72D01AAC" w14:textId="2E7C34E8" w:rsidR="00453253" w:rsidRPr="00935EE7" w:rsidRDefault="00FF1142" w:rsidP="00453253">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6.727</w:t>
            </w:r>
          </w:p>
        </w:tc>
        <w:tc>
          <w:tcPr>
            <w:tcW w:w="1459" w:type="dxa"/>
            <w:tcBorders>
              <w:top w:val="nil"/>
              <w:left w:val="nil"/>
              <w:right w:val="nil"/>
            </w:tcBorders>
            <w:shd w:val="clear" w:color="auto" w:fill="auto"/>
            <w:vAlign w:val="bottom"/>
          </w:tcPr>
          <w:p w14:paraId="349C2129" w14:textId="34A43A10" w:rsidR="00453253" w:rsidRPr="00935EE7" w:rsidRDefault="00453253" w:rsidP="00453253">
            <w:pPr>
              <w:suppressAutoHyphens/>
              <w:autoSpaceDN w:val="0"/>
              <w:jc w:val="right"/>
              <w:rPr>
                <w:rFonts w:ascii="Arial" w:eastAsia="Times New Roman" w:hAnsi="Arial" w:cs="Arial"/>
                <w:color w:val="000000" w:themeColor="text1"/>
                <w:sz w:val="20"/>
                <w:szCs w:val="20"/>
              </w:rPr>
            </w:pPr>
            <w:r w:rsidRPr="00E21596">
              <w:rPr>
                <w:rFonts w:ascii="Arial" w:hAnsi="Arial" w:cs="Arial"/>
                <w:color w:val="000000" w:themeColor="text1"/>
                <w:sz w:val="20"/>
                <w:szCs w:val="20"/>
              </w:rPr>
              <w:t>8.078</w:t>
            </w:r>
          </w:p>
        </w:tc>
      </w:tr>
      <w:tr w:rsidR="00453253" w:rsidRPr="00935EE7" w14:paraId="41DA1AC7" w14:textId="77777777" w:rsidTr="005D1219">
        <w:trPr>
          <w:trHeight w:hRule="exact" w:val="284"/>
        </w:trPr>
        <w:tc>
          <w:tcPr>
            <w:tcW w:w="6382" w:type="dxa"/>
            <w:tcBorders>
              <w:top w:val="nil"/>
              <w:left w:val="nil"/>
              <w:bottom w:val="nil"/>
              <w:right w:val="nil"/>
            </w:tcBorders>
            <w:shd w:val="clear" w:color="auto" w:fill="auto"/>
            <w:vAlign w:val="bottom"/>
          </w:tcPr>
          <w:p w14:paraId="6CD1EA2E" w14:textId="1CE84D45" w:rsidR="00453253" w:rsidRPr="00935EE7" w:rsidRDefault="00453253" w:rsidP="00453253">
            <w:pPr>
              <w:suppressAutoHyphens/>
              <w:autoSpaceDN w:val="0"/>
              <w:rPr>
                <w:rFonts w:ascii="Arial" w:eastAsia="Times New Roman" w:hAnsi="Arial" w:cs="Arial"/>
                <w:color w:val="000000" w:themeColor="text1"/>
                <w:sz w:val="20"/>
                <w:szCs w:val="20"/>
              </w:rPr>
            </w:pPr>
            <w:r w:rsidRPr="00935EE7">
              <w:rPr>
                <w:rFonts w:ascii="Arial" w:eastAsia="Times New Roman" w:hAnsi="Arial" w:cs="Arial"/>
                <w:color w:val="000000" w:themeColor="text1"/>
                <w:sz w:val="20"/>
                <w:szCs w:val="20"/>
              </w:rPr>
              <w:t>Usklađenje početnog stanja</w:t>
            </w:r>
          </w:p>
        </w:tc>
        <w:tc>
          <w:tcPr>
            <w:tcW w:w="1371" w:type="dxa"/>
            <w:tcBorders>
              <w:top w:val="nil"/>
              <w:left w:val="nil"/>
              <w:right w:val="nil"/>
            </w:tcBorders>
            <w:shd w:val="clear" w:color="auto" w:fill="auto"/>
            <w:vAlign w:val="bottom"/>
          </w:tcPr>
          <w:p w14:paraId="4C11D7A1" w14:textId="251B74F3" w:rsidR="00453253" w:rsidRPr="00935EE7" w:rsidRDefault="00A60B5A" w:rsidP="00453253">
            <w:pPr>
              <w:suppressAutoHyphens/>
              <w:autoSpaceDN w:val="0"/>
              <w:jc w:val="right"/>
              <w:rPr>
                <w:rFonts w:ascii="Arial" w:hAnsi="Arial" w:cs="Arial"/>
                <w:sz w:val="20"/>
                <w:szCs w:val="20"/>
              </w:rPr>
            </w:pPr>
            <w:r>
              <w:rPr>
                <w:rFonts w:ascii="Arial" w:hAnsi="Arial" w:cs="Arial"/>
                <w:sz w:val="20"/>
                <w:szCs w:val="20"/>
              </w:rPr>
              <w:t>-</w:t>
            </w:r>
          </w:p>
        </w:tc>
        <w:tc>
          <w:tcPr>
            <w:tcW w:w="1459" w:type="dxa"/>
            <w:tcBorders>
              <w:top w:val="nil"/>
              <w:left w:val="nil"/>
              <w:right w:val="nil"/>
            </w:tcBorders>
            <w:shd w:val="clear" w:color="auto" w:fill="auto"/>
            <w:vAlign w:val="bottom"/>
          </w:tcPr>
          <w:p w14:paraId="638A0B23" w14:textId="0AC7DC9F" w:rsidR="00453253" w:rsidRPr="00935EE7" w:rsidRDefault="00453253" w:rsidP="00453253">
            <w:pPr>
              <w:suppressAutoHyphens/>
              <w:autoSpaceDN w:val="0"/>
              <w:jc w:val="right"/>
              <w:rPr>
                <w:rFonts w:ascii="Arial" w:hAnsi="Arial" w:cs="Arial"/>
                <w:sz w:val="20"/>
                <w:szCs w:val="20"/>
              </w:rPr>
            </w:pPr>
            <w:r w:rsidRPr="00E21596">
              <w:rPr>
                <w:rFonts w:ascii="Arial" w:hAnsi="Arial" w:cs="Arial"/>
                <w:color w:val="000000" w:themeColor="text1"/>
                <w:sz w:val="20"/>
                <w:szCs w:val="20"/>
              </w:rPr>
              <w:t>(5)</w:t>
            </w:r>
          </w:p>
        </w:tc>
      </w:tr>
      <w:tr w:rsidR="00453253" w:rsidRPr="00935EE7" w14:paraId="3C73568F" w14:textId="77777777" w:rsidTr="00935EE7">
        <w:trPr>
          <w:trHeight w:val="365"/>
        </w:trPr>
        <w:tc>
          <w:tcPr>
            <w:tcW w:w="6382" w:type="dxa"/>
            <w:tcBorders>
              <w:top w:val="nil"/>
              <w:left w:val="nil"/>
              <w:bottom w:val="nil"/>
              <w:right w:val="nil"/>
            </w:tcBorders>
            <w:shd w:val="clear" w:color="auto" w:fill="auto"/>
            <w:vAlign w:val="bottom"/>
          </w:tcPr>
          <w:p w14:paraId="734BFD43" w14:textId="76258954" w:rsidR="00453253" w:rsidRPr="00881602" w:rsidRDefault="00453253" w:rsidP="00453253">
            <w:pPr>
              <w:suppressAutoHyphens/>
              <w:autoSpaceDN w:val="0"/>
              <w:rPr>
                <w:rFonts w:ascii="Arial" w:eastAsia="Times New Roman" w:hAnsi="Arial" w:cs="Arial"/>
                <w:color w:val="000000" w:themeColor="text1"/>
                <w:sz w:val="20"/>
                <w:szCs w:val="20"/>
              </w:rPr>
            </w:pPr>
            <w:r w:rsidRPr="00881602">
              <w:rPr>
                <w:rFonts w:ascii="Arial" w:eastAsia="Times New Roman" w:hAnsi="Arial" w:cs="Arial"/>
                <w:color w:val="000000" w:themeColor="text1"/>
                <w:sz w:val="20"/>
                <w:szCs w:val="20"/>
              </w:rPr>
              <w:t>Neto (smanjenje</w:t>
            </w:r>
            <w:r w:rsidR="00FD3BEC">
              <w:rPr>
                <w:rFonts w:ascii="Arial" w:eastAsia="Times New Roman" w:hAnsi="Arial" w:cs="Arial"/>
                <w:color w:val="000000" w:themeColor="text1"/>
                <w:sz w:val="20"/>
                <w:szCs w:val="20"/>
              </w:rPr>
              <w:t>)</w:t>
            </w:r>
            <w:r w:rsidRPr="00881602">
              <w:rPr>
                <w:rFonts w:ascii="Arial" w:eastAsia="Times New Roman" w:hAnsi="Arial" w:cs="Arial"/>
                <w:color w:val="000000" w:themeColor="text1"/>
                <w:sz w:val="20"/>
                <w:szCs w:val="20"/>
              </w:rPr>
              <w:t xml:space="preserve"> rezerviranja za očekivane gubitke po kreditima financijskim institucijama</w:t>
            </w:r>
          </w:p>
        </w:tc>
        <w:tc>
          <w:tcPr>
            <w:tcW w:w="1371" w:type="dxa"/>
            <w:tcBorders>
              <w:left w:val="nil"/>
              <w:bottom w:val="single" w:sz="4" w:space="0" w:color="auto"/>
              <w:right w:val="nil"/>
            </w:tcBorders>
            <w:shd w:val="clear" w:color="auto" w:fill="auto"/>
            <w:vAlign w:val="bottom"/>
          </w:tcPr>
          <w:p w14:paraId="453FE142" w14:textId="0BA4267E" w:rsidR="00453253" w:rsidRPr="00935EE7" w:rsidRDefault="00DB5822" w:rsidP="00453253">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(137)</w:t>
            </w:r>
          </w:p>
        </w:tc>
        <w:tc>
          <w:tcPr>
            <w:tcW w:w="1459" w:type="dxa"/>
            <w:tcBorders>
              <w:left w:val="nil"/>
              <w:bottom w:val="single" w:sz="4" w:space="0" w:color="auto"/>
              <w:right w:val="nil"/>
            </w:tcBorders>
            <w:shd w:val="clear" w:color="auto" w:fill="auto"/>
            <w:vAlign w:val="bottom"/>
          </w:tcPr>
          <w:p w14:paraId="3EB18CCC" w14:textId="0D99E75E" w:rsidR="00453253" w:rsidRPr="00935EE7" w:rsidRDefault="00453253" w:rsidP="00453253">
            <w:pPr>
              <w:suppressAutoHyphens/>
              <w:autoSpaceDN w:val="0"/>
              <w:jc w:val="right"/>
              <w:rPr>
                <w:rFonts w:ascii="Arial" w:eastAsia="Times New Roman" w:hAnsi="Arial" w:cs="Arial"/>
                <w:color w:val="000000" w:themeColor="text1"/>
                <w:sz w:val="20"/>
                <w:szCs w:val="20"/>
              </w:rPr>
            </w:pPr>
            <w:r w:rsidRPr="00E21596">
              <w:rPr>
                <w:rFonts w:ascii="Arial" w:hAnsi="Arial" w:cs="Arial"/>
                <w:color w:val="000000" w:themeColor="text1"/>
                <w:sz w:val="20"/>
                <w:szCs w:val="20"/>
              </w:rPr>
              <w:t>(1.346)</w:t>
            </w:r>
          </w:p>
        </w:tc>
      </w:tr>
      <w:tr w:rsidR="00453253" w:rsidRPr="00935EE7" w14:paraId="28C8DE0A" w14:textId="77777777" w:rsidTr="00935EE7">
        <w:trPr>
          <w:trHeight w:val="365"/>
        </w:trPr>
        <w:tc>
          <w:tcPr>
            <w:tcW w:w="6382" w:type="dxa"/>
            <w:tcBorders>
              <w:top w:val="nil"/>
              <w:left w:val="nil"/>
              <w:bottom w:val="nil"/>
              <w:right w:val="nil"/>
            </w:tcBorders>
            <w:shd w:val="clear" w:color="auto" w:fill="auto"/>
            <w:vAlign w:val="bottom"/>
          </w:tcPr>
          <w:p w14:paraId="2FCC8DBB" w14:textId="0C291D60" w:rsidR="00453253" w:rsidRPr="00881602" w:rsidRDefault="00453253" w:rsidP="00453253">
            <w:pPr>
              <w:suppressAutoHyphens/>
              <w:autoSpaceDN w:val="0"/>
              <w:rPr>
                <w:rFonts w:ascii="Arial" w:eastAsia="Times New Roman" w:hAnsi="Arial" w:cs="Arial"/>
                <w:i/>
                <w:iCs/>
                <w:color w:val="000000" w:themeColor="text1"/>
                <w:sz w:val="20"/>
                <w:szCs w:val="20"/>
              </w:rPr>
            </w:pPr>
            <w:r w:rsidRPr="00881602">
              <w:rPr>
                <w:rFonts w:ascii="Arial" w:eastAsia="Times New Roman" w:hAnsi="Arial" w:cs="Arial"/>
                <w:i/>
                <w:iCs/>
                <w:color w:val="000000" w:themeColor="text1"/>
                <w:sz w:val="20"/>
                <w:szCs w:val="20"/>
              </w:rPr>
              <w:t>Ukupno kroz dobit ili gubitak (bilješka 8)</w:t>
            </w:r>
          </w:p>
        </w:tc>
        <w:tc>
          <w:tcPr>
            <w:tcW w:w="1371" w:type="dxa"/>
            <w:tcBorders>
              <w:top w:val="single" w:sz="4" w:space="0" w:color="auto"/>
              <w:left w:val="nil"/>
              <w:bottom w:val="single" w:sz="4" w:space="0" w:color="auto"/>
              <w:right w:val="nil"/>
            </w:tcBorders>
            <w:shd w:val="clear" w:color="auto" w:fill="auto"/>
            <w:vAlign w:val="bottom"/>
          </w:tcPr>
          <w:p w14:paraId="55661A58" w14:textId="1C3630F3" w:rsidR="00453253" w:rsidRPr="002B241F" w:rsidRDefault="00DB5822" w:rsidP="00453253">
            <w:pPr>
              <w:suppressAutoHyphens/>
              <w:autoSpaceDN w:val="0"/>
              <w:jc w:val="right"/>
              <w:rPr>
                <w:rFonts w:ascii="Arial" w:eastAsia="Times New Roman" w:hAnsi="Arial" w:cs="Arial"/>
                <w:bCs/>
                <w:i/>
                <w:iCs/>
                <w:color w:val="000000" w:themeColor="text1"/>
                <w:sz w:val="20"/>
                <w:szCs w:val="20"/>
              </w:rPr>
            </w:pPr>
            <w:r>
              <w:rPr>
                <w:rFonts w:ascii="Arial" w:eastAsia="Times New Roman" w:hAnsi="Arial" w:cs="Arial"/>
                <w:bCs/>
                <w:i/>
                <w:iCs/>
                <w:color w:val="000000" w:themeColor="text1"/>
                <w:sz w:val="20"/>
                <w:szCs w:val="20"/>
              </w:rPr>
              <w:t>(137)</w:t>
            </w:r>
          </w:p>
        </w:tc>
        <w:tc>
          <w:tcPr>
            <w:tcW w:w="1459" w:type="dxa"/>
            <w:tcBorders>
              <w:top w:val="single" w:sz="4" w:space="0" w:color="auto"/>
              <w:left w:val="nil"/>
              <w:bottom w:val="single" w:sz="4" w:space="0" w:color="auto"/>
              <w:right w:val="nil"/>
            </w:tcBorders>
            <w:shd w:val="clear" w:color="auto" w:fill="auto"/>
            <w:vAlign w:val="bottom"/>
          </w:tcPr>
          <w:p w14:paraId="490D92E3" w14:textId="14FD2574" w:rsidR="00453253" w:rsidRPr="002B241F" w:rsidRDefault="00453253" w:rsidP="00453253">
            <w:pPr>
              <w:suppressAutoHyphens/>
              <w:autoSpaceDN w:val="0"/>
              <w:jc w:val="right"/>
              <w:rPr>
                <w:rFonts w:ascii="Arial" w:eastAsia="Times New Roman" w:hAnsi="Arial" w:cs="Arial"/>
                <w:i/>
                <w:iCs/>
                <w:color w:val="000000" w:themeColor="text1"/>
                <w:sz w:val="20"/>
                <w:szCs w:val="20"/>
              </w:rPr>
            </w:pPr>
            <w:r w:rsidRPr="00E21596">
              <w:rPr>
                <w:rFonts w:ascii="Arial" w:hAnsi="Arial" w:cs="Arial"/>
                <w:bCs/>
                <w:i/>
                <w:color w:val="000000" w:themeColor="text1"/>
                <w:sz w:val="20"/>
                <w:szCs w:val="20"/>
              </w:rPr>
              <w:t>(1.346)</w:t>
            </w:r>
          </w:p>
        </w:tc>
      </w:tr>
      <w:tr w:rsidR="00453253" w:rsidRPr="00935EE7" w14:paraId="45E7465D" w14:textId="77777777" w:rsidTr="00935EE7">
        <w:trPr>
          <w:trHeight w:val="365"/>
        </w:trPr>
        <w:tc>
          <w:tcPr>
            <w:tcW w:w="6382" w:type="dxa"/>
            <w:tcBorders>
              <w:top w:val="nil"/>
              <w:left w:val="nil"/>
              <w:bottom w:val="nil"/>
              <w:right w:val="nil"/>
            </w:tcBorders>
            <w:shd w:val="clear" w:color="auto" w:fill="auto"/>
            <w:vAlign w:val="bottom"/>
          </w:tcPr>
          <w:p w14:paraId="2533BA37" w14:textId="77777777" w:rsidR="00453253" w:rsidRPr="00935EE7" w:rsidRDefault="00453253" w:rsidP="00453253">
            <w:pPr>
              <w:suppressAutoHyphens/>
              <w:autoSpaceDN w:val="0"/>
              <w:rPr>
                <w:rFonts w:ascii="Arial" w:eastAsia="Times New Roman" w:hAnsi="Arial" w:cs="Arial"/>
                <w:b/>
                <w:bCs/>
                <w:color w:val="000000" w:themeColor="text1"/>
                <w:sz w:val="20"/>
                <w:szCs w:val="20"/>
              </w:rPr>
            </w:pPr>
            <w:r w:rsidRPr="00935EE7">
              <w:rPr>
                <w:rFonts w:ascii="Arial" w:eastAsia="Times New Roman" w:hAnsi="Arial" w:cs="Arial"/>
                <w:b/>
                <w:bCs/>
                <w:color w:val="000000" w:themeColor="text1"/>
                <w:sz w:val="20"/>
                <w:szCs w:val="20"/>
              </w:rPr>
              <w:t>Stanje na kraju izvještajnog razdoblja</w:t>
            </w:r>
          </w:p>
        </w:tc>
        <w:tc>
          <w:tcPr>
            <w:tcW w:w="1371" w:type="dxa"/>
            <w:tcBorders>
              <w:top w:val="single" w:sz="4" w:space="0" w:color="auto"/>
              <w:left w:val="nil"/>
              <w:bottom w:val="single" w:sz="12" w:space="0" w:color="auto"/>
              <w:right w:val="nil"/>
            </w:tcBorders>
            <w:shd w:val="clear" w:color="auto" w:fill="auto"/>
            <w:vAlign w:val="bottom"/>
          </w:tcPr>
          <w:p w14:paraId="4C7BA759" w14:textId="6C8A5060" w:rsidR="00453253" w:rsidRPr="00935EE7" w:rsidRDefault="00063BE8" w:rsidP="00453253">
            <w:pPr>
              <w:suppressAutoHyphens/>
              <w:autoSpaceDN w:val="0"/>
              <w:jc w:val="right"/>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6.590</w:t>
            </w:r>
          </w:p>
        </w:tc>
        <w:tc>
          <w:tcPr>
            <w:tcW w:w="1459" w:type="dxa"/>
            <w:tcBorders>
              <w:top w:val="single" w:sz="4" w:space="0" w:color="auto"/>
              <w:left w:val="nil"/>
              <w:bottom w:val="single" w:sz="12" w:space="0" w:color="auto"/>
              <w:right w:val="nil"/>
            </w:tcBorders>
            <w:shd w:val="clear" w:color="auto" w:fill="auto"/>
            <w:vAlign w:val="bottom"/>
          </w:tcPr>
          <w:p w14:paraId="3ECFD33B" w14:textId="26D8EFFF" w:rsidR="00453253" w:rsidRPr="00935EE7" w:rsidRDefault="00453253" w:rsidP="00453253">
            <w:pPr>
              <w:suppressAutoHyphens/>
              <w:autoSpaceDN w:val="0"/>
              <w:jc w:val="right"/>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6</w:t>
            </w:r>
            <w:r w:rsidRPr="00935EE7">
              <w:rPr>
                <w:rFonts w:ascii="Arial" w:eastAsia="Times New Roman" w:hAnsi="Arial" w:cs="Arial"/>
                <w:b/>
                <w:color w:val="000000" w:themeColor="text1"/>
                <w:sz w:val="20"/>
                <w:szCs w:val="20"/>
              </w:rPr>
              <w:t>.</w:t>
            </w:r>
            <w:r>
              <w:rPr>
                <w:rFonts w:ascii="Arial" w:eastAsia="Times New Roman" w:hAnsi="Arial" w:cs="Arial"/>
                <w:b/>
                <w:color w:val="000000" w:themeColor="text1"/>
                <w:sz w:val="20"/>
                <w:szCs w:val="20"/>
              </w:rPr>
              <w:t>727</w:t>
            </w:r>
          </w:p>
        </w:tc>
      </w:tr>
    </w:tbl>
    <w:p w14:paraId="54834602" w14:textId="77777777" w:rsidR="005D5085" w:rsidRPr="003D1614" w:rsidRDefault="005D5085" w:rsidP="005D5085">
      <w:pPr>
        <w:tabs>
          <w:tab w:val="left" w:pos="-720"/>
        </w:tabs>
        <w:suppressAutoHyphens/>
        <w:autoSpaceDN w:val="0"/>
        <w:rPr>
          <w:rFonts w:ascii="Arial" w:eastAsia="Times New Roman" w:hAnsi="Arial" w:cs="Arial"/>
          <w:color w:val="000000" w:themeColor="text1"/>
          <w:sz w:val="20"/>
          <w:szCs w:val="20"/>
        </w:rPr>
      </w:pPr>
    </w:p>
    <w:p w14:paraId="4B21ADF7" w14:textId="77777777" w:rsidR="005D5085" w:rsidRPr="003D1614" w:rsidRDefault="005D5085" w:rsidP="005D5085">
      <w:pPr>
        <w:tabs>
          <w:tab w:val="left" w:pos="-720"/>
        </w:tabs>
        <w:suppressAutoHyphens/>
        <w:autoSpaceDN w:val="0"/>
        <w:rPr>
          <w:rFonts w:ascii="Arial" w:eastAsia="Times New Roman" w:hAnsi="Arial" w:cs="Arial"/>
          <w:color w:val="000000" w:themeColor="text1"/>
          <w:sz w:val="20"/>
          <w:szCs w:val="20"/>
        </w:rPr>
      </w:pPr>
    </w:p>
    <w:p w14:paraId="20FA9345" w14:textId="47F074D7"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pPr>
    </w:p>
    <w:p w14:paraId="37408533" w14:textId="77777777"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sectPr w:rsidR="005D5085" w:rsidRPr="003D1614">
          <w:pgSz w:w="11906" w:h="16838"/>
          <w:pgMar w:top="1417" w:right="1417" w:bottom="1417" w:left="1417" w:header="708" w:footer="708" w:gutter="0"/>
          <w:cols w:space="708"/>
          <w:docGrid w:linePitch="360"/>
        </w:sectPr>
      </w:pPr>
    </w:p>
    <w:p w14:paraId="13BBD603" w14:textId="77777777" w:rsidR="005D5085" w:rsidRPr="003D1614" w:rsidRDefault="005D5085" w:rsidP="005D5085">
      <w:pPr>
        <w:keepNext/>
        <w:suppressAutoHyphens/>
        <w:autoSpaceDN w:val="0"/>
        <w:jc w:val="both"/>
        <w:outlineLvl w:val="0"/>
        <w:rPr>
          <w:rFonts w:ascii="Arial" w:eastAsia="Times New Roman" w:hAnsi="Arial" w:cs="Arial"/>
          <w:b/>
          <w:bCs/>
          <w:color w:val="000000" w:themeColor="text1"/>
        </w:rPr>
      </w:pPr>
    </w:p>
    <w:p w14:paraId="280DEB00" w14:textId="524D7E55" w:rsidR="005D5085" w:rsidRPr="003D1614" w:rsidRDefault="005D5085" w:rsidP="005D5085">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1</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Krediti financijskim institucijama (nastavak)</w:t>
      </w:r>
    </w:p>
    <w:p w14:paraId="38FD3940" w14:textId="77777777" w:rsidR="005D5085" w:rsidRPr="003D1614" w:rsidRDefault="005D5085" w:rsidP="005D5085">
      <w:pPr>
        <w:keepNext/>
        <w:suppressAutoHyphens/>
        <w:autoSpaceDN w:val="0"/>
        <w:jc w:val="both"/>
        <w:outlineLvl w:val="0"/>
        <w:rPr>
          <w:rFonts w:ascii="Arial" w:eastAsia="Times New Roman" w:hAnsi="Arial" w:cs="Arial"/>
          <w:color w:val="000000" w:themeColor="text1"/>
          <w:sz w:val="20"/>
          <w:szCs w:val="20"/>
        </w:rPr>
      </w:pPr>
    </w:p>
    <w:p w14:paraId="658A3110" w14:textId="11B180B6" w:rsidR="005D5085" w:rsidRPr="003D1614" w:rsidRDefault="005D5085" w:rsidP="005D5085">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Krediti financijskim institucijama, umanjeni za rezerviranja za očekivane gubitke, prema namjeni kreditnih programa dani su kako slijedi:</w:t>
      </w:r>
    </w:p>
    <w:p w14:paraId="61A36DD4" w14:textId="77777777" w:rsidR="005D5085" w:rsidRPr="003D1614" w:rsidRDefault="005D5085" w:rsidP="005D5085">
      <w:pPr>
        <w:keepNext/>
        <w:suppressAutoHyphens/>
        <w:autoSpaceDN w:val="0"/>
        <w:jc w:val="both"/>
        <w:outlineLvl w:val="0"/>
        <w:rPr>
          <w:rFonts w:ascii="Arial" w:eastAsia="Times New Roman" w:hAnsi="Arial" w:cs="Arial"/>
          <w:color w:val="000000" w:themeColor="text1"/>
          <w:sz w:val="20"/>
          <w:szCs w:val="20"/>
        </w:rPr>
      </w:pPr>
    </w:p>
    <w:tbl>
      <w:tblPr>
        <w:tblW w:w="5029" w:type="pct"/>
        <w:tblLayout w:type="fixed"/>
        <w:tblCellMar>
          <w:left w:w="107" w:type="dxa"/>
          <w:right w:w="107" w:type="dxa"/>
        </w:tblCellMar>
        <w:tblLook w:val="0000" w:firstRow="0" w:lastRow="0" w:firstColumn="0" w:lastColumn="0" w:noHBand="0" w:noVBand="0"/>
      </w:tblPr>
      <w:tblGrid>
        <w:gridCol w:w="5801"/>
        <w:gridCol w:w="1661"/>
        <w:gridCol w:w="1663"/>
      </w:tblGrid>
      <w:tr w:rsidR="005D5085" w:rsidRPr="003D1614" w14:paraId="249FA2D0" w14:textId="77777777" w:rsidTr="00737443">
        <w:trPr>
          <w:trHeight w:val="111"/>
        </w:trPr>
        <w:tc>
          <w:tcPr>
            <w:tcW w:w="3179" w:type="pct"/>
            <w:vAlign w:val="bottom"/>
          </w:tcPr>
          <w:p w14:paraId="01892F0C" w14:textId="77777777" w:rsidR="005D5085" w:rsidRPr="003D1614" w:rsidRDefault="005D5085" w:rsidP="005D5085">
            <w:pPr>
              <w:tabs>
                <w:tab w:val="left" w:pos="-720"/>
              </w:tabs>
              <w:suppressAutoHyphens/>
              <w:autoSpaceDN w:val="0"/>
              <w:ind w:firstLine="35"/>
              <w:rPr>
                <w:rFonts w:ascii="Arial" w:eastAsia="Times New Roman" w:hAnsi="Arial" w:cs="Arial"/>
                <w:color w:val="000000" w:themeColor="text1"/>
                <w:spacing w:val="-3"/>
                <w:sz w:val="20"/>
                <w:szCs w:val="20"/>
              </w:rPr>
            </w:pPr>
          </w:p>
        </w:tc>
        <w:tc>
          <w:tcPr>
            <w:tcW w:w="1821" w:type="pct"/>
            <w:gridSpan w:val="2"/>
            <w:vAlign w:val="bottom"/>
          </w:tcPr>
          <w:p w14:paraId="06DE98FC" w14:textId="77777777" w:rsidR="005D5085" w:rsidRPr="003D1614"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45" w:name="_Toc67327995"/>
            <w:r w:rsidRPr="003D1614">
              <w:rPr>
                <w:rFonts w:ascii="Arial" w:eastAsia="Times New Roman" w:hAnsi="Arial" w:cs="Arial"/>
                <w:b/>
                <w:color w:val="000000" w:themeColor="text1"/>
                <w:sz w:val="20"/>
                <w:szCs w:val="20"/>
              </w:rPr>
              <w:t>Grupa i Banka</w:t>
            </w:r>
            <w:bookmarkEnd w:id="345"/>
          </w:p>
        </w:tc>
      </w:tr>
      <w:tr w:rsidR="005D5085" w:rsidRPr="003D1614" w14:paraId="3BB692B0" w14:textId="77777777" w:rsidTr="00737443">
        <w:trPr>
          <w:trHeight w:val="111"/>
        </w:trPr>
        <w:tc>
          <w:tcPr>
            <w:tcW w:w="3179" w:type="pct"/>
            <w:vAlign w:val="bottom"/>
          </w:tcPr>
          <w:p w14:paraId="1B35CB70" w14:textId="77777777" w:rsidR="005D5085" w:rsidRPr="003D1614" w:rsidRDefault="005D5085" w:rsidP="005D5085">
            <w:pPr>
              <w:tabs>
                <w:tab w:val="left" w:pos="-720"/>
              </w:tabs>
              <w:suppressAutoHyphens/>
              <w:autoSpaceDN w:val="0"/>
              <w:ind w:firstLine="35"/>
              <w:rPr>
                <w:rFonts w:ascii="Arial" w:eastAsia="Times New Roman" w:hAnsi="Arial" w:cs="Arial"/>
                <w:color w:val="000000" w:themeColor="text1"/>
                <w:spacing w:val="-3"/>
                <w:sz w:val="20"/>
                <w:szCs w:val="20"/>
              </w:rPr>
            </w:pPr>
          </w:p>
        </w:tc>
        <w:tc>
          <w:tcPr>
            <w:tcW w:w="910" w:type="pct"/>
            <w:vAlign w:val="bottom"/>
          </w:tcPr>
          <w:p w14:paraId="79CA368D" w14:textId="2A40790B" w:rsidR="005D5085" w:rsidRPr="003D1614"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46" w:name="_Toc67327996"/>
            <w:r w:rsidRPr="003D1614">
              <w:rPr>
                <w:rFonts w:ascii="Arial" w:eastAsia="Times New Roman" w:hAnsi="Arial" w:cs="Arial"/>
                <w:b/>
                <w:color w:val="000000" w:themeColor="text1"/>
                <w:sz w:val="20"/>
                <w:szCs w:val="20"/>
              </w:rPr>
              <w:t>31. ožu</w:t>
            </w:r>
            <w:r w:rsidR="00737443" w:rsidRPr="003D1614">
              <w:rPr>
                <w:rFonts w:ascii="Arial" w:eastAsia="Times New Roman" w:hAnsi="Arial" w:cs="Arial"/>
                <w:b/>
                <w:color w:val="000000" w:themeColor="text1"/>
                <w:sz w:val="20"/>
                <w:szCs w:val="20"/>
              </w:rPr>
              <w:t>j</w:t>
            </w:r>
            <w:r w:rsidRPr="003D1614">
              <w:rPr>
                <w:rFonts w:ascii="Arial" w:eastAsia="Times New Roman" w:hAnsi="Arial" w:cs="Arial"/>
                <w:b/>
                <w:color w:val="000000" w:themeColor="text1"/>
                <w:sz w:val="20"/>
                <w:szCs w:val="20"/>
              </w:rPr>
              <w:t>ka 202</w:t>
            </w:r>
            <w:r w:rsidR="00995A89">
              <w:rPr>
                <w:rFonts w:ascii="Arial" w:eastAsia="Times New Roman" w:hAnsi="Arial" w:cs="Arial"/>
                <w:b/>
                <w:color w:val="000000" w:themeColor="text1"/>
                <w:sz w:val="20"/>
                <w:szCs w:val="20"/>
              </w:rPr>
              <w:t>4</w:t>
            </w:r>
            <w:r w:rsidRPr="003D1614">
              <w:rPr>
                <w:rFonts w:ascii="Arial" w:eastAsia="Times New Roman" w:hAnsi="Arial" w:cs="Arial"/>
                <w:b/>
                <w:color w:val="000000" w:themeColor="text1"/>
                <w:sz w:val="20"/>
                <w:szCs w:val="20"/>
              </w:rPr>
              <w:t>.</w:t>
            </w:r>
            <w:bookmarkEnd w:id="346"/>
          </w:p>
        </w:tc>
        <w:tc>
          <w:tcPr>
            <w:tcW w:w="911" w:type="pct"/>
            <w:vAlign w:val="bottom"/>
          </w:tcPr>
          <w:p w14:paraId="5D9BC3E2" w14:textId="21E05732" w:rsidR="005D5085" w:rsidRPr="003D1614"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47" w:name="_Toc67327997"/>
            <w:r w:rsidRPr="003D1614">
              <w:rPr>
                <w:rFonts w:ascii="Arial" w:eastAsia="Times New Roman" w:hAnsi="Arial" w:cs="Arial"/>
                <w:b/>
                <w:color w:val="000000" w:themeColor="text1"/>
                <w:sz w:val="20"/>
                <w:szCs w:val="20"/>
              </w:rPr>
              <w:t>31. prosinca 202</w:t>
            </w:r>
            <w:r w:rsidR="00995A89">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w:t>
            </w:r>
            <w:bookmarkEnd w:id="347"/>
          </w:p>
        </w:tc>
      </w:tr>
      <w:tr w:rsidR="005D5085" w:rsidRPr="003D1614" w14:paraId="0DEC08E8" w14:textId="77777777" w:rsidTr="00737443">
        <w:trPr>
          <w:trHeight w:val="104"/>
        </w:trPr>
        <w:tc>
          <w:tcPr>
            <w:tcW w:w="3179" w:type="pct"/>
            <w:vAlign w:val="bottom"/>
          </w:tcPr>
          <w:p w14:paraId="66263EC1" w14:textId="77777777" w:rsidR="005D5085" w:rsidRPr="003D1614" w:rsidRDefault="005D5085" w:rsidP="005D5085">
            <w:pPr>
              <w:tabs>
                <w:tab w:val="left" w:pos="-720"/>
              </w:tabs>
              <w:suppressAutoHyphens/>
              <w:autoSpaceDN w:val="0"/>
              <w:ind w:firstLine="35"/>
              <w:rPr>
                <w:rFonts w:ascii="Arial" w:eastAsia="Times New Roman" w:hAnsi="Arial" w:cs="Arial"/>
                <w:color w:val="000000" w:themeColor="text1"/>
                <w:spacing w:val="-3"/>
                <w:sz w:val="20"/>
                <w:szCs w:val="20"/>
              </w:rPr>
            </w:pPr>
          </w:p>
        </w:tc>
        <w:tc>
          <w:tcPr>
            <w:tcW w:w="910" w:type="pct"/>
            <w:vAlign w:val="bottom"/>
          </w:tcPr>
          <w:p w14:paraId="644263A1" w14:textId="340CD4D8" w:rsidR="005D5085" w:rsidRPr="003D1614"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48" w:name="_Toc67327998"/>
            <w:r w:rsidRPr="003D1614">
              <w:rPr>
                <w:rFonts w:ascii="Arial" w:eastAsia="Times New Roman" w:hAnsi="Arial" w:cs="Arial"/>
                <w:b/>
                <w:color w:val="000000" w:themeColor="text1"/>
                <w:sz w:val="20"/>
                <w:szCs w:val="20"/>
              </w:rPr>
              <w:t xml:space="preserve">000 </w:t>
            </w:r>
            <w:r w:rsidR="00DE0295" w:rsidRPr="003D1614">
              <w:rPr>
                <w:rFonts w:ascii="Arial" w:eastAsia="Times New Roman" w:hAnsi="Arial" w:cs="Arial"/>
                <w:b/>
                <w:color w:val="000000" w:themeColor="text1"/>
                <w:sz w:val="20"/>
                <w:szCs w:val="20"/>
              </w:rPr>
              <w:t>eura</w:t>
            </w:r>
            <w:bookmarkEnd w:id="348"/>
          </w:p>
        </w:tc>
        <w:tc>
          <w:tcPr>
            <w:tcW w:w="911" w:type="pct"/>
            <w:vAlign w:val="bottom"/>
          </w:tcPr>
          <w:p w14:paraId="61F4F872" w14:textId="424A72E2" w:rsidR="005D5085" w:rsidRPr="003D1614" w:rsidRDefault="005D5085" w:rsidP="005D508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49" w:name="_Toc67327999"/>
            <w:r w:rsidRPr="003D1614">
              <w:rPr>
                <w:rFonts w:ascii="Arial" w:eastAsia="Times New Roman" w:hAnsi="Arial" w:cs="Arial"/>
                <w:b/>
                <w:color w:val="000000" w:themeColor="text1"/>
                <w:sz w:val="20"/>
                <w:szCs w:val="20"/>
              </w:rPr>
              <w:t xml:space="preserve">000 </w:t>
            </w:r>
            <w:r w:rsidR="00DE0295" w:rsidRPr="003D1614">
              <w:rPr>
                <w:rFonts w:ascii="Arial" w:eastAsia="Times New Roman" w:hAnsi="Arial" w:cs="Arial"/>
                <w:b/>
                <w:color w:val="000000" w:themeColor="text1"/>
                <w:sz w:val="20"/>
                <w:szCs w:val="20"/>
              </w:rPr>
              <w:t>eura</w:t>
            </w:r>
            <w:bookmarkEnd w:id="349"/>
          </w:p>
        </w:tc>
      </w:tr>
      <w:tr w:rsidR="005D5085" w:rsidRPr="003D1614" w14:paraId="2763E3E2" w14:textId="77777777" w:rsidTr="00737443">
        <w:trPr>
          <w:trHeight w:val="87"/>
        </w:trPr>
        <w:tc>
          <w:tcPr>
            <w:tcW w:w="3179" w:type="pct"/>
            <w:vAlign w:val="bottom"/>
          </w:tcPr>
          <w:p w14:paraId="331E5771" w14:textId="77777777" w:rsidR="005D5085" w:rsidRPr="003D1614" w:rsidRDefault="005D5085" w:rsidP="005D5085">
            <w:pPr>
              <w:tabs>
                <w:tab w:val="left" w:pos="-720"/>
              </w:tabs>
              <w:suppressAutoHyphens/>
              <w:autoSpaceDN w:val="0"/>
              <w:ind w:firstLine="35"/>
              <w:rPr>
                <w:rFonts w:ascii="Arial" w:eastAsia="Times New Roman" w:hAnsi="Arial" w:cs="Arial"/>
                <w:color w:val="000000" w:themeColor="text1"/>
                <w:spacing w:val="-3"/>
                <w:sz w:val="20"/>
                <w:szCs w:val="20"/>
              </w:rPr>
            </w:pPr>
          </w:p>
        </w:tc>
        <w:tc>
          <w:tcPr>
            <w:tcW w:w="910" w:type="pct"/>
            <w:vAlign w:val="bottom"/>
          </w:tcPr>
          <w:p w14:paraId="2E0D5581" w14:textId="77777777" w:rsidR="005D5085" w:rsidRPr="003D1614" w:rsidRDefault="005D5085" w:rsidP="005D5085">
            <w:pPr>
              <w:tabs>
                <w:tab w:val="left" w:pos="-720"/>
              </w:tabs>
              <w:suppressAutoHyphens/>
              <w:autoSpaceDN w:val="0"/>
              <w:jc w:val="right"/>
              <w:rPr>
                <w:rFonts w:ascii="Arial" w:eastAsia="Times New Roman" w:hAnsi="Arial" w:cs="Arial"/>
                <w:b/>
                <w:color w:val="000000" w:themeColor="text1"/>
                <w:spacing w:val="-3"/>
                <w:sz w:val="20"/>
                <w:szCs w:val="20"/>
              </w:rPr>
            </w:pPr>
          </w:p>
        </w:tc>
        <w:tc>
          <w:tcPr>
            <w:tcW w:w="911" w:type="pct"/>
            <w:vAlign w:val="bottom"/>
          </w:tcPr>
          <w:p w14:paraId="50960C54" w14:textId="77777777" w:rsidR="005D5085" w:rsidRPr="003D1614" w:rsidRDefault="005D5085" w:rsidP="005D5085">
            <w:pPr>
              <w:tabs>
                <w:tab w:val="left" w:pos="-720"/>
              </w:tabs>
              <w:suppressAutoHyphens/>
              <w:autoSpaceDN w:val="0"/>
              <w:jc w:val="right"/>
              <w:rPr>
                <w:rFonts w:ascii="Arial" w:eastAsia="Times New Roman" w:hAnsi="Arial" w:cs="Arial"/>
                <w:b/>
                <w:color w:val="000000" w:themeColor="text1"/>
                <w:spacing w:val="-3"/>
                <w:sz w:val="20"/>
                <w:szCs w:val="20"/>
              </w:rPr>
            </w:pPr>
          </w:p>
        </w:tc>
      </w:tr>
      <w:tr w:rsidR="00B5188C" w:rsidRPr="00935EE7" w14:paraId="522EEC01" w14:textId="77777777" w:rsidTr="00815314">
        <w:trPr>
          <w:trHeight w:hRule="exact" w:val="284"/>
        </w:trPr>
        <w:tc>
          <w:tcPr>
            <w:tcW w:w="3179" w:type="pct"/>
            <w:vAlign w:val="bottom"/>
          </w:tcPr>
          <w:p w14:paraId="3E2A281F" w14:textId="77777777" w:rsidR="00B5188C" w:rsidRPr="00935EE7" w:rsidRDefault="00B5188C" w:rsidP="00B5188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50" w:name="_Toc67328000"/>
            <w:r w:rsidRPr="00935EE7">
              <w:rPr>
                <w:rFonts w:ascii="Arial" w:eastAsia="Times New Roman" w:hAnsi="Arial" w:cs="Arial"/>
                <w:color w:val="000000" w:themeColor="text1"/>
                <w:spacing w:val="-3"/>
                <w:sz w:val="20"/>
                <w:szCs w:val="20"/>
              </w:rPr>
              <w:t>EU projekti</w:t>
            </w:r>
            <w:bookmarkEnd w:id="350"/>
          </w:p>
        </w:tc>
        <w:tc>
          <w:tcPr>
            <w:tcW w:w="910" w:type="pct"/>
            <w:tcBorders>
              <w:top w:val="nil"/>
              <w:left w:val="nil"/>
              <w:bottom w:val="nil"/>
              <w:right w:val="nil"/>
            </w:tcBorders>
            <w:shd w:val="clear" w:color="auto" w:fill="auto"/>
            <w:vAlign w:val="bottom"/>
          </w:tcPr>
          <w:p w14:paraId="725210FD" w14:textId="0DFC35FF" w:rsidR="00B5188C" w:rsidRPr="00935EE7" w:rsidRDefault="00822248" w:rsidP="00B5188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52.215</w:t>
            </w:r>
          </w:p>
        </w:tc>
        <w:tc>
          <w:tcPr>
            <w:tcW w:w="911" w:type="pct"/>
            <w:tcBorders>
              <w:top w:val="nil"/>
              <w:left w:val="nil"/>
              <w:bottom w:val="nil"/>
              <w:right w:val="nil"/>
            </w:tcBorders>
            <w:shd w:val="clear" w:color="auto" w:fill="auto"/>
            <w:vAlign w:val="bottom"/>
          </w:tcPr>
          <w:p w14:paraId="5162B10C" w14:textId="4994F9F2" w:rsidR="00B5188C" w:rsidRPr="00B5188C" w:rsidRDefault="00B5188C" w:rsidP="00B5188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5188C">
              <w:rPr>
                <w:rFonts w:ascii="Arial" w:hAnsi="Arial" w:cs="Arial"/>
                <w:color w:val="000000" w:themeColor="text1"/>
                <w:sz w:val="20"/>
              </w:rPr>
              <w:t xml:space="preserve"> 54.217 </w:t>
            </w:r>
          </w:p>
        </w:tc>
      </w:tr>
      <w:tr w:rsidR="00B5188C" w:rsidRPr="00935EE7" w14:paraId="68147CC8" w14:textId="77777777" w:rsidTr="00815314">
        <w:trPr>
          <w:trHeight w:hRule="exact" w:val="284"/>
        </w:trPr>
        <w:tc>
          <w:tcPr>
            <w:tcW w:w="3179" w:type="pct"/>
            <w:vAlign w:val="bottom"/>
          </w:tcPr>
          <w:p w14:paraId="6D20C99D" w14:textId="77777777" w:rsidR="00B5188C" w:rsidRPr="00935EE7" w:rsidRDefault="00B5188C" w:rsidP="00B5188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51" w:name="_Toc67328003"/>
            <w:r w:rsidRPr="00935EE7">
              <w:rPr>
                <w:rFonts w:ascii="Arial" w:eastAsia="Times New Roman" w:hAnsi="Arial" w:cs="Arial"/>
                <w:color w:val="000000" w:themeColor="text1"/>
                <w:spacing w:val="-3"/>
                <w:sz w:val="20"/>
                <w:szCs w:val="20"/>
              </w:rPr>
              <w:t>Financijsko restrukturiranje</w:t>
            </w:r>
            <w:bookmarkEnd w:id="351"/>
          </w:p>
        </w:tc>
        <w:tc>
          <w:tcPr>
            <w:tcW w:w="910" w:type="pct"/>
            <w:tcBorders>
              <w:top w:val="nil"/>
              <w:left w:val="nil"/>
              <w:bottom w:val="nil"/>
              <w:right w:val="nil"/>
            </w:tcBorders>
            <w:shd w:val="clear" w:color="auto" w:fill="auto"/>
            <w:vAlign w:val="bottom"/>
          </w:tcPr>
          <w:p w14:paraId="1DE3716A" w14:textId="67C328A0" w:rsidR="00B5188C" w:rsidRPr="00935EE7" w:rsidRDefault="00822248" w:rsidP="00B5188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3.326</w:t>
            </w:r>
          </w:p>
        </w:tc>
        <w:tc>
          <w:tcPr>
            <w:tcW w:w="911" w:type="pct"/>
            <w:tcBorders>
              <w:top w:val="nil"/>
              <w:left w:val="nil"/>
              <w:bottom w:val="nil"/>
              <w:right w:val="nil"/>
            </w:tcBorders>
            <w:shd w:val="clear" w:color="auto" w:fill="auto"/>
            <w:vAlign w:val="bottom"/>
          </w:tcPr>
          <w:p w14:paraId="3982C035" w14:textId="4FB1410F" w:rsidR="00B5188C" w:rsidRPr="00B5188C" w:rsidRDefault="00B5188C" w:rsidP="00B5188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5188C">
              <w:rPr>
                <w:rFonts w:ascii="Arial" w:hAnsi="Arial" w:cs="Arial"/>
                <w:color w:val="000000" w:themeColor="text1"/>
                <w:sz w:val="20"/>
              </w:rPr>
              <w:t xml:space="preserve"> 3.429 </w:t>
            </w:r>
          </w:p>
        </w:tc>
      </w:tr>
      <w:tr w:rsidR="00B5188C" w:rsidRPr="00935EE7" w14:paraId="1A15958F" w14:textId="77777777" w:rsidTr="00815314">
        <w:trPr>
          <w:trHeight w:hRule="exact" w:val="284"/>
        </w:trPr>
        <w:tc>
          <w:tcPr>
            <w:tcW w:w="3179" w:type="pct"/>
            <w:vAlign w:val="bottom"/>
          </w:tcPr>
          <w:p w14:paraId="7503E217" w14:textId="77777777" w:rsidR="00B5188C" w:rsidRPr="00935EE7" w:rsidRDefault="00B5188C" w:rsidP="00B5188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52" w:name="_Toc67328006"/>
            <w:r w:rsidRPr="00935EE7">
              <w:rPr>
                <w:rFonts w:ascii="Arial" w:eastAsia="Times New Roman" w:hAnsi="Arial" w:cs="Arial"/>
                <w:color w:val="000000" w:themeColor="text1"/>
                <w:spacing w:val="-3"/>
                <w:sz w:val="20"/>
                <w:szCs w:val="20"/>
              </w:rPr>
              <w:t>Priprema izvoza</w:t>
            </w:r>
            <w:bookmarkEnd w:id="352"/>
          </w:p>
        </w:tc>
        <w:tc>
          <w:tcPr>
            <w:tcW w:w="910" w:type="pct"/>
            <w:tcBorders>
              <w:top w:val="nil"/>
              <w:left w:val="nil"/>
              <w:bottom w:val="nil"/>
              <w:right w:val="nil"/>
            </w:tcBorders>
            <w:shd w:val="clear" w:color="auto" w:fill="auto"/>
            <w:vAlign w:val="bottom"/>
          </w:tcPr>
          <w:p w14:paraId="3105799A" w14:textId="30FA847D" w:rsidR="00B5188C" w:rsidRPr="00935EE7" w:rsidRDefault="00822248" w:rsidP="00B5188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2.135</w:t>
            </w:r>
          </w:p>
        </w:tc>
        <w:tc>
          <w:tcPr>
            <w:tcW w:w="911" w:type="pct"/>
            <w:tcBorders>
              <w:top w:val="nil"/>
              <w:left w:val="nil"/>
              <w:bottom w:val="nil"/>
              <w:right w:val="nil"/>
            </w:tcBorders>
            <w:shd w:val="clear" w:color="auto" w:fill="auto"/>
            <w:vAlign w:val="bottom"/>
          </w:tcPr>
          <w:p w14:paraId="3A16DC7E" w14:textId="1DC8EBA8" w:rsidR="00B5188C" w:rsidRPr="00B5188C" w:rsidRDefault="00B5188C" w:rsidP="00B5188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5188C">
              <w:rPr>
                <w:rFonts w:ascii="Arial" w:hAnsi="Arial" w:cs="Arial"/>
                <w:color w:val="000000" w:themeColor="text1"/>
                <w:sz w:val="20"/>
              </w:rPr>
              <w:t xml:space="preserve"> 1.535 </w:t>
            </w:r>
          </w:p>
        </w:tc>
      </w:tr>
      <w:tr w:rsidR="00B5188C" w:rsidRPr="00935EE7" w14:paraId="5F2790F2" w14:textId="77777777" w:rsidTr="00815314">
        <w:trPr>
          <w:trHeight w:hRule="exact" w:val="284"/>
        </w:trPr>
        <w:tc>
          <w:tcPr>
            <w:tcW w:w="3179" w:type="pct"/>
            <w:vAlign w:val="bottom"/>
          </w:tcPr>
          <w:p w14:paraId="491742E0" w14:textId="77777777" w:rsidR="00B5188C" w:rsidRPr="00935EE7" w:rsidRDefault="00B5188C" w:rsidP="00B5188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53" w:name="_Toc67328009"/>
            <w:r w:rsidRPr="00935EE7">
              <w:rPr>
                <w:rFonts w:ascii="Arial" w:eastAsia="Times New Roman" w:hAnsi="Arial" w:cs="Arial"/>
                <w:color w:val="000000" w:themeColor="text1"/>
                <w:spacing w:val="-3"/>
                <w:sz w:val="20"/>
                <w:szCs w:val="20"/>
              </w:rPr>
              <w:t>Investicije javnog sektora</w:t>
            </w:r>
            <w:bookmarkEnd w:id="353"/>
          </w:p>
        </w:tc>
        <w:tc>
          <w:tcPr>
            <w:tcW w:w="910" w:type="pct"/>
            <w:tcBorders>
              <w:top w:val="nil"/>
              <w:left w:val="nil"/>
              <w:bottom w:val="nil"/>
              <w:right w:val="nil"/>
            </w:tcBorders>
            <w:shd w:val="clear" w:color="auto" w:fill="auto"/>
            <w:vAlign w:val="bottom"/>
          </w:tcPr>
          <w:p w14:paraId="1C6D607F" w14:textId="48A321A9" w:rsidR="00B5188C" w:rsidRPr="00935EE7" w:rsidRDefault="002E1FE0" w:rsidP="00B5188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152.421</w:t>
            </w:r>
          </w:p>
        </w:tc>
        <w:tc>
          <w:tcPr>
            <w:tcW w:w="911" w:type="pct"/>
            <w:tcBorders>
              <w:top w:val="nil"/>
              <w:left w:val="nil"/>
              <w:bottom w:val="nil"/>
              <w:right w:val="nil"/>
            </w:tcBorders>
            <w:shd w:val="clear" w:color="auto" w:fill="auto"/>
            <w:vAlign w:val="bottom"/>
          </w:tcPr>
          <w:p w14:paraId="2B1BA8CD" w14:textId="2816C539" w:rsidR="00B5188C" w:rsidRPr="00B5188C" w:rsidRDefault="00B5188C" w:rsidP="00B5188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5188C">
              <w:rPr>
                <w:rFonts w:ascii="Arial" w:hAnsi="Arial" w:cs="Arial"/>
                <w:color w:val="000000" w:themeColor="text1"/>
                <w:sz w:val="20"/>
              </w:rPr>
              <w:t xml:space="preserve"> 147.368 </w:t>
            </w:r>
          </w:p>
        </w:tc>
      </w:tr>
      <w:tr w:rsidR="00B5188C" w:rsidRPr="00935EE7" w14:paraId="743650E2" w14:textId="77777777" w:rsidTr="00815314">
        <w:trPr>
          <w:trHeight w:hRule="exact" w:val="284"/>
        </w:trPr>
        <w:tc>
          <w:tcPr>
            <w:tcW w:w="3179" w:type="pct"/>
            <w:vAlign w:val="bottom"/>
          </w:tcPr>
          <w:p w14:paraId="0BF070E7" w14:textId="77777777" w:rsidR="00B5188C" w:rsidRPr="00935EE7" w:rsidRDefault="00B5188C" w:rsidP="00B5188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54" w:name="_Toc67328012"/>
            <w:r w:rsidRPr="00935EE7">
              <w:rPr>
                <w:rFonts w:ascii="Arial" w:eastAsia="Times New Roman" w:hAnsi="Arial" w:cs="Arial"/>
                <w:color w:val="000000" w:themeColor="text1"/>
                <w:spacing w:val="-3"/>
                <w:sz w:val="20"/>
                <w:szCs w:val="20"/>
              </w:rPr>
              <w:t>Investicije privatnog sektora</w:t>
            </w:r>
            <w:bookmarkEnd w:id="354"/>
          </w:p>
        </w:tc>
        <w:tc>
          <w:tcPr>
            <w:tcW w:w="910" w:type="pct"/>
            <w:tcBorders>
              <w:top w:val="nil"/>
              <w:left w:val="nil"/>
              <w:bottom w:val="nil"/>
              <w:right w:val="nil"/>
            </w:tcBorders>
            <w:shd w:val="clear" w:color="auto" w:fill="auto"/>
            <w:vAlign w:val="bottom"/>
          </w:tcPr>
          <w:p w14:paraId="2228115B" w14:textId="14F4E7CA" w:rsidR="00B5188C" w:rsidRPr="00935EE7" w:rsidRDefault="002E1FE0" w:rsidP="00B5188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142.571</w:t>
            </w:r>
          </w:p>
        </w:tc>
        <w:tc>
          <w:tcPr>
            <w:tcW w:w="911" w:type="pct"/>
            <w:tcBorders>
              <w:top w:val="nil"/>
              <w:left w:val="nil"/>
              <w:bottom w:val="nil"/>
              <w:right w:val="nil"/>
            </w:tcBorders>
            <w:shd w:val="clear" w:color="auto" w:fill="auto"/>
            <w:vAlign w:val="bottom"/>
          </w:tcPr>
          <w:p w14:paraId="762E95D0" w14:textId="606A6C0D" w:rsidR="00B5188C" w:rsidRPr="00B5188C" w:rsidRDefault="00B5188C" w:rsidP="00B5188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5188C">
              <w:rPr>
                <w:rFonts w:ascii="Arial" w:hAnsi="Arial" w:cs="Arial"/>
                <w:color w:val="000000" w:themeColor="text1"/>
                <w:sz w:val="20"/>
              </w:rPr>
              <w:t xml:space="preserve"> 114.438 </w:t>
            </w:r>
          </w:p>
        </w:tc>
      </w:tr>
      <w:tr w:rsidR="00B5188C" w:rsidRPr="00935EE7" w14:paraId="15792675" w14:textId="77777777" w:rsidTr="00815314">
        <w:trPr>
          <w:trHeight w:hRule="exact" w:val="284"/>
        </w:trPr>
        <w:tc>
          <w:tcPr>
            <w:tcW w:w="3179" w:type="pct"/>
            <w:vAlign w:val="bottom"/>
          </w:tcPr>
          <w:p w14:paraId="62C9E5E9" w14:textId="77777777" w:rsidR="00B5188C" w:rsidRPr="00935EE7" w:rsidRDefault="00B5188C" w:rsidP="00B5188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55" w:name="_Toc67328015"/>
            <w:r w:rsidRPr="00935EE7">
              <w:rPr>
                <w:rFonts w:ascii="Arial" w:eastAsia="Times New Roman" w:hAnsi="Arial" w:cs="Arial"/>
                <w:color w:val="000000" w:themeColor="text1"/>
                <w:spacing w:val="-3"/>
                <w:sz w:val="20"/>
                <w:szCs w:val="20"/>
              </w:rPr>
              <w:t>Poduzetništvo mladih, žena i početnika</w:t>
            </w:r>
            <w:bookmarkEnd w:id="355"/>
          </w:p>
        </w:tc>
        <w:tc>
          <w:tcPr>
            <w:tcW w:w="910" w:type="pct"/>
            <w:tcBorders>
              <w:top w:val="nil"/>
              <w:left w:val="nil"/>
              <w:bottom w:val="nil"/>
              <w:right w:val="nil"/>
            </w:tcBorders>
            <w:shd w:val="clear" w:color="auto" w:fill="auto"/>
            <w:vAlign w:val="bottom"/>
          </w:tcPr>
          <w:p w14:paraId="76860690" w14:textId="096D3C03" w:rsidR="00B5188C" w:rsidRPr="00935EE7" w:rsidRDefault="002E1FE0" w:rsidP="00B5188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11.961</w:t>
            </w:r>
          </w:p>
        </w:tc>
        <w:tc>
          <w:tcPr>
            <w:tcW w:w="911" w:type="pct"/>
            <w:tcBorders>
              <w:top w:val="nil"/>
              <w:left w:val="nil"/>
              <w:bottom w:val="nil"/>
              <w:right w:val="nil"/>
            </w:tcBorders>
            <w:shd w:val="clear" w:color="auto" w:fill="auto"/>
            <w:vAlign w:val="bottom"/>
          </w:tcPr>
          <w:p w14:paraId="0EB6CA3C" w14:textId="7D09777A" w:rsidR="00B5188C" w:rsidRPr="00B5188C" w:rsidRDefault="00B5188C" w:rsidP="00B5188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5188C">
              <w:rPr>
                <w:rFonts w:ascii="Arial" w:hAnsi="Arial" w:cs="Arial"/>
                <w:color w:val="000000" w:themeColor="text1"/>
                <w:sz w:val="20"/>
              </w:rPr>
              <w:t xml:space="preserve"> 11.619 </w:t>
            </w:r>
          </w:p>
        </w:tc>
      </w:tr>
      <w:tr w:rsidR="00B5188C" w:rsidRPr="00935EE7" w14:paraId="1B859350" w14:textId="77777777" w:rsidTr="00815314">
        <w:trPr>
          <w:trHeight w:hRule="exact" w:val="284"/>
        </w:trPr>
        <w:tc>
          <w:tcPr>
            <w:tcW w:w="3179" w:type="pct"/>
            <w:vAlign w:val="bottom"/>
          </w:tcPr>
          <w:p w14:paraId="63C514FE" w14:textId="77777777" w:rsidR="00B5188C" w:rsidRPr="00935EE7" w:rsidRDefault="00B5188C" w:rsidP="00B5188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56" w:name="_Toc67328018"/>
            <w:r w:rsidRPr="00935EE7">
              <w:rPr>
                <w:rFonts w:ascii="Arial" w:eastAsia="Times New Roman" w:hAnsi="Arial" w:cs="Arial"/>
                <w:color w:val="000000" w:themeColor="text1"/>
                <w:spacing w:val="-3"/>
                <w:sz w:val="20"/>
                <w:szCs w:val="20"/>
              </w:rPr>
              <w:t>Obrtna sredstva</w:t>
            </w:r>
            <w:bookmarkEnd w:id="356"/>
          </w:p>
        </w:tc>
        <w:tc>
          <w:tcPr>
            <w:tcW w:w="910" w:type="pct"/>
            <w:tcBorders>
              <w:top w:val="nil"/>
              <w:left w:val="nil"/>
              <w:bottom w:val="nil"/>
              <w:right w:val="nil"/>
            </w:tcBorders>
            <w:shd w:val="clear" w:color="auto" w:fill="auto"/>
            <w:vAlign w:val="bottom"/>
          </w:tcPr>
          <w:p w14:paraId="1AC340D9" w14:textId="6588EFAC" w:rsidR="00B5188C" w:rsidRPr="00935EE7" w:rsidRDefault="002E1FE0" w:rsidP="00B5188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5.881</w:t>
            </w:r>
          </w:p>
        </w:tc>
        <w:tc>
          <w:tcPr>
            <w:tcW w:w="911" w:type="pct"/>
            <w:tcBorders>
              <w:top w:val="nil"/>
              <w:left w:val="nil"/>
              <w:bottom w:val="nil"/>
              <w:right w:val="nil"/>
            </w:tcBorders>
            <w:shd w:val="clear" w:color="auto" w:fill="auto"/>
            <w:vAlign w:val="bottom"/>
          </w:tcPr>
          <w:p w14:paraId="4F9B7FE0" w14:textId="0E2C69C6" w:rsidR="00B5188C" w:rsidRPr="00B5188C" w:rsidRDefault="00B5188C" w:rsidP="00B5188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5188C">
              <w:rPr>
                <w:rFonts w:ascii="Arial" w:hAnsi="Arial" w:cs="Arial"/>
                <w:color w:val="000000" w:themeColor="text1"/>
                <w:sz w:val="20"/>
              </w:rPr>
              <w:t xml:space="preserve"> 5.904 </w:t>
            </w:r>
          </w:p>
        </w:tc>
      </w:tr>
      <w:tr w:rsidR="00B5188C" w:rsidRPr="00935EE7" w14:paraId="21B19F91" w14:textId="77777777" w:rsidTr="00815314">
        <w:trPr>
          <w:trHeight w:hRule="exact" w:val="284"/>
        </w:trPr>
        <w:tc>
          <w:tcPr>
            <w:tcW w:w="3179" w:type="pct"/>
            <w:vAlign w:val="bottom"/>
          </w:tcPr>
          <w:p w14:paraId="6E711CDB" w14:textId="0F5530E9" w:rsidR="00B5188C" w:rsidRPr="00935EE7" w:rsidRDefault="00B5188C" w:rsidP="00B5188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57" w:name="_Toc67328021"/>
            <w:r w:rsidRPr="00935EE7">
              <w:rPr>
                <w:rFonts w:ascii="Arial" w:eastAsia="Times New Roman" w:hAnsi="Arial" w:cs="Arial"/>
                <w:color w:val="000000" w:themeColor="text1"/>
                <w:sz w:val="20"/>
                <w:szCs w:val="20"/>
              </w:rPr>
              <w:t>Obrtna sredstva – Mjere COVID 19</w:t>
            </w:r>
            <w:bookmarkEnd w:id="357"/>
            <w:r w:rsidRPr="00935EE7">
              <w:rPr>
                <w:rFonts w:ascii="Arial" w:eastAsia="Times New Roman" w:hAnsi="Arial" w:cs="Arial"/>
                <w:color w:val="000000" w:themeColor="text1"/>
                <w:sz w:val="20"/>
                <w:szCs w:val="20"/>
              </w:rPr>
              <w:t xml:space="preserve"> i Kriza 2022</w:t>
            </w:r>
          </w:p>
        </w:tc>
        <w:tc>
          <w:tcPr>
            <w:tcW w:w="910" w:type="pct"/>
            <w:tcBorders>
              <w:top w:val="nil"/>
              <w:left w:val="nil"/>
              <w:bottom w:val="nil"/>
              <w:right w:val="nil"/>
            </w:tcBorders>
            <w:shd w:val="clear" w:color="auto" w:fill="auto"/>
            <w:vAlign w:val="bottom"/>
          </w:tcPr>
          <w:p w14:paraId="046CF1A0" w14:textId="3F2E93EB" w:rsidR="00B5188C" w:rsidRPr="00935EE7" w:rsidRDefault="001E332F" w:rsidP="00B5188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4.536</w:t>
            </w:r>
          </w:p>
        </w:tc>
        <w:tc>
          <w:tcPr>
            <w:tcW w:w="911" w:type="pct"/>
            <w:tcBorders>
              <w:top w:val="nil"/>
              <w:left w:val="nil"/>
              <w:bottom w:val="nil"/>
              <w:right w:val="nil"/>
            </w:tcBorders>
            <w:shd w:val="clear" w:color="auto" w:fill="auto"/>
            <w:vAlign w:val="bottom"/>
          </w:tcPr>
          <w:p w14:paraId="627E4889" w14:textId="041865CE" w:rsidR="00B5188C" w:rsidRPr="00B5188C" w:rsidRDefault="00B5188C" w:rsidP="00B5188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5188C">
              <w:rPr>
                <w:rFonts w:ascii="Arial" w:hAnsi="Arial" w:cs="Arial"/>
                <w:color w:val="000000" w:themeColor="text1"/>
                <w:sz w:val="20"/>
              </w:rPr>
              <w:t>4.942</w:t>
            </w:r>
          </w:p>
        </w:tc>
      </w:tr>
      <w:tr w:rsidR="00B5188C" w:rsidRPr="00935EE7" w14:paraId="4839EA2C" w14:textId="77777777" w:rsidTr="00815314">
        <w:trPr>
          <w:trHeight w:hRule="exact" w:val="284"/>
        </w:trPr>
        <w:tc>
          <w:tcPr>
            <w:tcW w:w="3179" w:type="pct"/>
            <w:vAlign w:val="bottom"/>
          </w:tcPr>
          <w:p w14:paraId="36433174" w14:textId="77777777" w:rsidR="00B5188C" w:rsidRPr="00935EE7" w:rsidRDefault="00B5188C" w:rsidP="00B5188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58" w:name="_Toc67328024"/>
            <w:r w:rsidRPr="00935EE7">
              <w:rPr>
                <w:rFonts w:ascii="Arial" w:eastAsia="Times New Roman" w:hAnsi="Arial" w:cs="Arial"/>
                <w:color w:val="000000" w:themeColor="text1"/>
                <w:sz w:val="20"/>
                <w:szCs w:val="20"/>
              </w:rPr>
              <w:t>Program kreditiranja obnove i razvitka gospodarskih djelatnosti</w:t>
            </w:r>
            <w:bookmarkEnd w:id="358"/>
          </w:p>
        </w:tc>
        <w:tc>
          <w:tcPr>
            <w:tcW w:w="910" w:type="pct"/>
            <w:tcBorders>
              <w:top w:val="nil"/>
              <w:left w:val="nil"/>
              <w:bottom w:val="nil"/>
              <w:right w:val="nil"/>
            </w:tcBorders>
            <w:shd w:val="clear" w:color="auto" w:fill="auto"/>
            <w:vAlign w:val="bottom"/>
          </w:tcPr>
          <w:p w14:paraId="4ACCF652" w14:textId="0AB27DB8" w:rsidR="00B5188C" w:rsidRPr="00935EE7" w:rsidRDefault="001E332F" w:rsidP="00B5188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73.504</w:t>
            </w:r>
          </w:p>
        </w:tc>
        <w:tc>
          <w:tcPr>
            <w:tcW w:w="911" w:type="pct"/>
            <w:tcBorders>
              <w:top w:val="nil"/>
              <w:left w:val="nil"/>
              <w:bottom w:val="nil"/>
              <w:right w:val="nil"/>
            </w:tcBorders>
            <w:shd w:val="clear" w:color="auto" w:fill="auto"/>
            <w:vAlign w:val="bottom"/>
          </w:tcPr>
          <w:p w14:paraId="3412970F" w14:textId="03EA016A" w:rsidR="00B5188C" w:rsidRPr="00B5188C" w:rsidRDefault="00B5188C" w:rsidP="00B5188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5188C">
              <w:rPr>
                <w:rFonts w:ascii="Arial" w:hAnsi="Arial" w:cs="Arial"/>
                <w:color w:val="000000" w:themeColor="text1"/>
                <w:sz w:val="20"/>
              </w:rPr>
              <w:t xml:space="preserve"> 76.634 </w:t>
            </w:r>
          </w:p>
        </w:tc>
      </w:tr>
      <w:tr w:rsidR="00B5188C" w:rsidRPr="00935EE7" w14:paraId="0862B20B" w14:textId="77777777" w:rsidTr="00815314">
        <w:trPr>
          <w:trHeight w:hRule="exact" w:val="284"/>
        </w:trPr>
        <w:tc>
          <w:tcPr>
            <w:tcW w:w="3179" w:type="pct"/>
            <w:vAlign w:val="bottom"/>
          </w:tcPr>
          <w:p w14:paraId="70D97E03" w14:textId="77777777" w:rsidR="00B5188C" w:rsidRPr="00935EE7" w:rsidRDefault="00B5188C" w:rsidP="00B5188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59" w:name="_Toc67328027"/>
            <w:r w:rsidRPr="00935EE7">
              <w:rPr>
                <w:rFonts w:ascii="Arial" w:eastAsia="Times New Roman" w:hAnsi="Arial" w:cs="Arial"/>
                <w:color w:val="000000" w:themeColor="text1"/>
                <w:sz w:val="20"/>
                <w:szCs w:val="20"/>
              </w:rPr>
              <w:t>Financiranje izvoza</w:t>
            </w:r>
            <w:bookmarkEnd w:id="359"/>
          </w:p>
        </w:tc>
        <w:tc>
          <w:tcPr>
            <w:tcW w:w="910" w:type="pct"/>
            <w:tcBorders>
              <w:top w:val="nil"/>
              <w:left w:val="nil"/>
              <w:bottom w:val="nil"/>
              <w:right w:val="nil"/>
            </w:tcBorders>
            <w:shd w:val="clear" w:color="auto" w:fill="auto"/>
            <w:vAlign w:val="bottom"/>
          </w:tcPr>
          <w:p w14:paraId="62C425BC" w14:textId="6D5E7DA1" w:rsidR="00B5188C" w:rsidRPr="00935EE7" w:rsidRDefault="001E332F" w:rsidP="00B5188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140.925</w:t>
            </w:r>
          </w:p>
        </w:tc>
        <w:tc>
          <w:tcPr>
            <w:tcW w:w="911" w:type="pct"/>
            <w:tcBorders>
              <w:top w:val="nil"/>
              <w:left w:val="nil"/>
              <w:bottom w:val="nil"/>
              <w:right w:val="nil"/>
            </w:tcBorders>
            <w:shd w:val="clear" w:color="auto" w:fill="auto"/>
            <w:vAlign w:val="bottom"/>
          </w:tcPr>
          <w:p w14:paraId="19E885D3" w14:textId="470800C5" w:rsidR="00B5188C" w:rsidRPr="00B5188C" w:rsidRDefault="00B5188C" w:rsidP="00B5188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5188C">
              <w:rPr>
                <w:rFonts w:ascii="Arial" w:hAnsi="Arial" w:cs="Arial"/>
                <w:color w:val="000000" w:themeColor="text1"/>
                <w:sz w:val="20"/>
              </w:rPr>
              <w:t xml:space="preserve"> 144.858 </w:t>
            </w:r>
          </w:p>
        </w:tc>
      </w:tr>
      <w:tr w:rsidR="00B5188C" w:rsidRPr="00935EE7" w14:paraId="5C252E11" w14:textId="77777777" w:rsidTr="00815314">
        <w:trPr>
          <w:trHeight w:hRule="exact" w:val="284"/>
        </w:trPr>
        <w:tc>
          <w:tcPr>
            <w:tcW w:w="3179" w:type="pct"/>
            <w:vAlign w:val="bottom"/>
          </w:tcPr>
          <w:p w14:paraId="4D5500EC" w14:textId="77777777" w:rsidR="00B5188C" w:rsidRPr="00935EE7" w:rsidRDefault="00B5188C" w:rsidP="00B5188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60" w:name="_Toc67328030"/>
            <w:r w:rsidRPr="00935EE7">
              <w:rPr>
                <w:rFonts w:ascii="Arial" w:eastAsia="Times New Roman" w:hAnsi="Arial" w:cs="Arial"/>
                <w:color w:val="000000" w:themeColor="text1"/>
                <w:sz w:val="20"/>
                <w:szCs w:val="20"/>
              </w:rPr>
              <w:t>Program obnove i razvitka infrastrukture u Republici Hrvatskoj</w:t>
            </w:r>
            <w:bookmarkEnd w:id="360"/>
          </w:p>
        </w:tc>
        <w:tc>
          <w:tcPr>
            <w:tcW w:w="910" w:type="pct"/>
            <w:tcBorders>
              <w:top w:val="nil"/>
              <w:left w:val="nil"/>
              <w:bottom w:val="nil"/>
              <w:right w:val="nil"/>
            </w:tcBorders>
            <w:shd w:val="clear" w:color="auto" w:fill="auto"/>
            <w:vAlign w:val="bottom"/>
          </w:tcPr>
          <w:p w14:paraId="51114F06" w14:textId="3B41B7E8" w:rsidR="00B5188C" w:rsidRPr="00935EE7" w:rsidRDefault="001E332F" w:rsidP="00B5188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92.500</w:t>
            </w:r>
          </w:p>
        </w:tc>
        <w:tc>
          <w:tcPr>
            <w:tcW w:w="911" w:type="pct"/>
            <w:tcBorders>
              <w:top w:val="nil"/>
              <w:left w:val="nil"/>
              <w:bottom w:val="nil"/>
              <w:right w:val="nil"/>
            </w:tcBorders>
            <w:shd w:val="clear" w:color="auto" w:fill="auto"/>
            <w:vAlign w:val="bottom"/>
          </w:tcPr>
          <w:p w14:paraId="20118B99" w14:textId="727B1816" w:rsidR="00B5188C" w:rsidRPr="00B5188C" w:rsidRDefault="00B5188C" w:rsidP="00B5188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5188C">
              <w:rPr>
                <w:rFonts w:ascii="Arial" w:hAnsi="Arial" w:cs="Arial"/>
                <w:color w:val="000000" w:themeColor="text1"/>
                <w:sz w:val="20"/>
              </w:rPr>
              <w:t xml:space="preserve"> 96.535 </w:t>
            </w:r>
          </w:p>
        </w:tc>
      </w:tr>
      <w:tr w:rsidR="00B5188C" w:rsidRPr="00935EE7" w14:paraId="1366D5F3" w14:textId="77777777" w:rsidTr="00815314">
        <w:trPr>
          <w:trHeight w:hRule="exact" w:val="284"/>
        </w:trPr>
        <w:tc>
          <w:tcPr>
            <w:tcW w:w="3179" w:type="pct"/>
            <w:vAlign w:val="bottom"/>
          </w:tcPr>
          <w:p w14:paraId="196538F1" w14:textId="77777777" w:rsidR="00B5188C" w:rsidRPr="00935EE7" w:rsidRDefault="00B5188C" w:rsidP="00B5188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61" w:name="_Toc67328033"/>
            <w:r w:rsidRPr="00935EE7">
              <w:rPr>
                <w:rFonts w:ascii="Arial" w:eastAsia="Times New Roman" w:hAnsi="Arial" w:cs="Arial"/>
                <w:color w:val="000000" w:themeColor="text1"/>
                <w:sz w:val="20"/>
                <w:szCs w:val="20"/>
              </w:rPr>
              <w:t>Program kreditiranja malog i srednjeg poduzetništva</w:t>
            </w:r>
            <w:bookmarkEnd w:id="361"/>
          </w:p>
        </w:tc>
        <w:tc>
          <w:tcPr>
            <w:tcW w:w="910" w:type="pct"/>
            <w:tcBorders>
              <w:top w:val="nil"/>
              <w:left w:val="nil"/>
              <w:bottom w:val="nil"/>
              <w:right w:val="nil"/>
            </w:tcBorders>
            <w:shd w:val="clear" w:color="auto" w:fill="auto"/>
            <w:vAlign w:val="bottom"/>
          </w:tcPr>
          <w:p w14:paraId="5B462534" w14:textId="5684F151" w:rsidR="00B5188C" w:rsidRPr="00935EE7" w:rsidRDefault="001E332F" w:rsidP="00B5188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412.831</w:t>
            </w:r>
          </w:p>
        </w:tc>
        <w:tc>
          <w:tcPr>
            <w:tcW w:w="911" w:type="pct"/>
            <w:tcBorders>
              <w:top w:val="nil"/>
              <w:left w:val="nil"/>
              <w:bottom w:val="nil"/>
              <w:right w:val="nil"/>
            </w:tcBorders>
            <w:shd w:val="clear" w:color="auto" w:fill="auto"/>
            <w:vAlign w:val="bottom"/>
          </w:tcPr>
          <w:p w14:paraId="2D0E29D0" w14:textId="051ED581" w:rsidR="00B5188C" w:rsidRPr="00B5188C" w:rsidRDefault="00B5188C" w:rsidP="00B5188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5188C">
              <w:rPr>
                <w:rFonts w:ascii="Arial" w:hAnsi="Arial" w:cs="Arial"/>
                <w:color w:val="000000" w:themeColor="text1"/>
                <w:sz w:val="20"/>
              </w:rPr>
              <w:t xml:space="preserve"> 401.093 </w:t>
            </w:r>
          </w:p>
        </w:tc>
      </w:tr>
      <w:tr w:rsidR="00B5188C" w:rsidRPr="00935EE7" w14:paraId="7683720D" w14:textId="77777777" w:rsidTr="005D1219">
        <w:trPr>
          <w:trHeight w:hRule="exact" w:val="684"/>
        </w:trPr>
        <w:tc>
          <w:tcPr>
            <w:tcW w:w="3179" w:type="pct"/>
            <w:vAlign w:val="bottom"/>
          </w:tcPr>
          <w:p w14:paraId="6B2A8665" w14:textId="77777777" w:rsidR="00B5188C" w:rsidRPr="00935EE7" w:rsidRDefault="00B5188C" w:rsidP="00B5188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62" w:name="_Toc67328036"/>
            <w:r w:rsidRPr="00935EE7">
              <w:rPr>
                <w:rFonts w:ascii="Arial" w:eastAsia="Times New Roman" w:hAnsi="Arial" w:cs="Arial"/>
                <w:color w:val="000000" w:themeColor="text1"/>
                <w:sz w:val="20"/>
                <w:szCs w:val="20"/>
              </w:rPr>
              <w:t>Program kreditiranja ratom oštećenih i razrušenih stambenih i gospodarskih objekata</w:t>
            </w:r>
            <w:bookmarkEnd w:id="362"/>
          </w:p>
        </w:tc>
        <w:tc>
          <w:tcPr>
            <w:tcW w:w="910" w:type="pct"/>
            <w:tcBorders>
              <w:top w:val="nil"/>
              <w:left w:val="nil"/>
              <w:bottom w:val="nil"/>
              <w:right w:val="nil"/>
            </w:tcBorders>
            <w:shd w:val="clear" w:color="auto" w:fill="auto"/>
            <w:vAlign w:val="bottom"/>
          </w:tcPr>
          <w:p w14:paraId="5972B698" w14:textId="35990D87" w:rsidR="00B5188C" w:rsidRPr="00935EE7" w:rsidRDefault="001E332F" w:rsidP="00B5188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244</w:t>
            </w:r>
          </w:p>
        </w:tc>
        <w:tc>
          <w:tcPr>
            <w:tcW w:w="911" w:type="pct"/>
            <w:tcBorders>
              <w:top w:val="nil"/>
              <w:left w:val="nil"/>
              <w:bottom w:val="nil"/>
              <w:right w:val="nil"/>
            </w:tcBorders>
            <w:shd w:val="clear" w:color="auto" w:fill="auto"/>
            <w:vAlign w:val="bottom"/>
          </w:tcPr>
          <w:p w14:paraId="20D3C042" w14:textId="69210EC2" w:rsidR="00B5188C" w:rsidRPr="00B5188C" w:rsidRDefault="00B5188C" w:rsidP="00B5188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5188C">
              <w:rPr>
                <w:rFonts w:ascii="Arial" w:hAnsi="Arial" w:cs="Arial"/>
                <w:color w:val="000000" w:themeColor="text1"/>
                <w:sz w:val="20"/>
              </w:rPr>
              <w:t xml:space="preserve"> 259 </w:t>
            </w:r>
          </w:p>
        </w:tc>
      </w:tr>
      <w:tr w:rsidR="00B5188C" w:rsidRPr="00935EE7" w14:paraId="618F7249" w14:textId="77777777" w:rsidTr="00815314">
        <w:trPr>
          <w:trHeight w:hRule="exact" w:val="284"/>
        </w:trPr>
        <w:tc>
          <w:tcPr>
            <w:tcW w:w="3179" w:type="pct"/>
            <w:vAlign w:val="bottom"/>
          </w:tcPr>
          <w:p w14:paraId="2BBB40E7" w14:textId="77777777" w:rsidR="00B5188C" w:rsidRPr="00935EE7" w:rsidRDefault="00B5188C" w:rsidP="00B5188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63" w:name="_Toc67328039"/>
            <w:r w:rsidRPr="00935EE7">
              <w:rPr>
                <w:rFonts w:ascii="Arial" w:eastAsia="Times New Roman" w:hAnsi="Arial" w:cs="Arial"/>
                <w:color w:val="000000" w:themeColor="text1"/>
                <w:sz w:val="20"/>
                <w:szCs w:val="20"/>
              </w:rPr>
              <w:t>Ostalo</w:t>
            </w:r>
            <w:bookmarkEnd w:id="363"/>
          </w:p>
        </w:tc>
        <w:tc>
          <w:tcPr>
            <w:tcW w:w="910" w:type="pct"/>
            <w:tcBorders>
              <w:top w:val="nil"/>
              <w:left w:val="nil"/>
              <w:bottom w:val="nil"/>
              <w:right w:val="nil"/>
            </w:tcBorders>
            <w:shd w:val="clear" w:color="auto" w:fill="auto"/>
            <w:vAlign w:val="bottom"/>
          </w:tcPr>
          <w:p w14:paraId="49B5B236" w14:textId="7DDE9356" w:rsidR="00B5188C" w:rsidRPr="00935EE7" w:rsidRDefault="001E332F" w:rsidP="00B5188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50.000</w:t>
            </w:r>
          </w:p>
        </w:tc>
        <w:tc>
          <w:tcPr>
            <w:tcW w:w="911" w:type="pct"/>
            <w:tcBorders>
              <w:top w:val="nil"/>
              <w:left w:val="nil"/>
              <w:bottom w:val="nil"/>
              <w:right w:val="nil"/>
            </w:tcBorders>
            <w:shd w:val="clear" w:color="auto" w:fill="auto"/>
            <w:vAlign w:val="bottom"/>
          </w:tcPr>
          <w:p w14:paraId="5A82A8B8" w14:textId="1C822B98" w:rsidR="00B5188C" w:rsidRPr="00B5188C" w:rsidRDefault="00B5188C" w:rsidP="00B5188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5188C">
              <w:rPr>
                <w:rFonts w:ascii="Arial" w:hAnsi="Arial" w:cs="Arial"/>
                <w:color w:val="000000" w:themeColor="text1"/>
                <w:sz w:val="20"/>
              </w:rPr>
              <w:t xml:space="preserve"> 193.000 </w:t>
            </w:r>
          </w:p>
        </w:tc>
      </w:tr>
      <w:tr w:rsidR="00B5188C" w:rsidRPr="00935EE7" w14:paraId="7FAA0EC2" w14:textId="77777777" w:rsidTr="00815314">
        <w:trPr>
          <w:trHeight w:hRule="exact" w:val="284"/>
        </w:trPr>
        <w:tc>
          <w:tcPr>
            <w:tcW w:w="3179" w:type="pct"/>
            <w:vAlign w:val="bottom"/>
          </w:tcPr>
          <w:p w14:paraId="57203362" w14:textId="77777777" w:rsidR="00B5188C" w:rsidRPr="00935EE7" w:rsidRDefault="00B5188C" w:rsidP="00B5188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64" w:name="_Toc67328042"/>
            <w:r w:rsidRPr="00935EE7">
              <w:rPr>
                <w:rFonts w:ascii="Arial" w:eastAsia="Times New Roman" w:hAnsi="Arial" w:cs="Arial"/>
                <w:color w:val="000000" w:themeColor="text1"/>
                <w:sz w:val="20"/>
                <w:szCs w:val="20"/>
              </w:rPr>
              <w:t>Obračunata kamata</w:t>
            </w:r>
            <w:bookmarkEnd w:id="364"/>
          </w:p>
        </w:tc>
        <w:tc>
          <w:tcPr>
            <w:tcW w:w="910" w:type="pct"/>
            <w:tcBorders>
              <w:top w:val="nil"/>
              <w:left w:val="nil"/>
              <w:bottom w:val="nil"/>
              <w:right w:val="nil"/>
            </w:tcBorders>
            <w:shd w:val="clear" w:color="auto" w:fill="auto"/>
            <w:vAlign w:val="bottom"/>
          </w:tcPr>
          <w:p w14:paraId="096020C7" w14:textId="4994F9FB" w:rsidR="00B5188C" w:rsidRPr="00935EE7" w:rsidRDefault="005462F3" w:rsidP="00B5188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2.518</w:t>
            </w:r>
          </w:p>
        </w:tc>
        <w:tc>
          <w:tcPr>
            <w:tcW w:w="911" w:type="pct"/>
            <w:tcBorders>
              <w:top w:val="nil"/>
              <w:left w:val="nil"/>
              <w:bottom w:val="nil"/>
              <w:right w:val="nil"/>
            </w:tcBorders>
            <w:shd w:val="clear" w:color="auto" w:fill="auto"/>
            <w:vAlign w:val="bottom"/>
          </w:tcPr>
          <w:p w14:paraId="47D63488" w14:textId="4B9B1907" w:rsidR="00B5188C" w:rsidRPr="00B5188C" w:rsidRDefault="00B5188C" w:rsidP="00B5188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5188C">
              <w:rPr>
                <w:rFonts w:ascii="Arial" w:hAnsi="Arial" w:cs="Arial"/>
                <w:color w:val="000000" w:themeColor="text1"/>
                <w:sz w:val="20"/>
              </w:rPr>
              <w:t xml:space="preserve"> 2.384 </w:t>
            </w:r>
          </w:p>
        </w:tc>
      </w:tr>
      <w:tr w:rsidR="00B5188C" w:rsidRPr="00935EE7" w14:paraId="667DE8E2" w14:textId="77777777" w:rsidTr="00815314">
        <w:trPr>
          <w:trHeight w:hRule="exact" w:val="284"/>
        </w:trPr>
        <w:tc>
          <w:tcPr>
            <w:tcW w:w="3179" w:type="pct"/>
            <w:vAlign w:val="bottom"/>
          </w:tcPr>
          <w:p w14:paraId="3A052203" w14:textId="77777777" w:rsidR="00B5188C" w:rsidRPr="00935EE7" w:rsidRDefault="00B5188C" w:rsidP="00B5188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65" w:name="_Toc67328045"/>
            <w:r w:rsidRPr="00935EE7">
              <w:rPr>
                <w:rFonts w:ascii="Arial" w:eastAsia="Times New Roman" w:hAnsi="Arial" w:cs="Arial"/>
                <w:color w:val="000000" w:themeColor="text1"/>
                <w:sz w:val="20"/>
                <w:szCs w:val="20"/>
              </w:rPr>
              <w:t>Odgođena naknada po kreditima</w:t>
            </w:r>
            <w:bookmarkEnd w:id="365"/>
          </w:p>
        </w:tc>
        <w:tc>
          <w:tcPr>
            <w:tcW w:w="910" w:type="pct"/>
            <w:tcBorders>
              <w:top w:val="nil"/>
              <w:left w:val="nil"/>
              <w:bottom w:val="nil"/>
              <w:right w:val="nil"/>
            </w:tcBorders>
            <w:shd w:val="clear" w:color="auto" w:fill="auto"/>
            <w:vAlign w:val="bottom"/>
          </w:tcPr>
          <w:p w14:paraId="71F6988A" w14:textId="24CB9B6A" w:rsidR="00B5188C" w:rsidRPr="00935EE7" w:rsidRDefault="00F56EAA" w:rsidP="00B5188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(2.912)</w:t>
            </w:r>
          </w:p>
        </w:tc>
        <w:tc>
          <w:tcPr>
            <w:tcW w:w="911" w:type="pct"/>
            <w:tcBorders>
              <w:top w:val="nil"/>
              <w:left w:val="nil"/>
              <w:bottom w:val="nil"/>
              <w:right w:val="nil"/>
            </w:tcBorders>
            <w:shd w:val="clear" w:color="auto" w:fill="auto"/>
            <w:vAlign w:val="bottom"/>
          </w:tcPr>
          <w:p w14:paraId="1C46E2F7" w14:textId="02E40329" w:rsidR="00B5188C" w:rsidRPr="00B5188C" w:rsidRDefault="00B5188C" w:rsidP="00B5188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5188C">
              <w:rPr>
                <w:rFonts w:ascii="Arial" w:hAnsi="Arial" w:cs="Arial"/>
                <w:color w:val="000000" w:themeColor="text1"/>
                <w:sz w:val="20"/>
              </w:rPr>
              <w:t xml:space="preserve"> (2.607)</w:t>
            </w:r>
          </w:p>
        </w:tc>
      </w:tr>
      <w:tr w:rsidR="00B5188C" w:rsidRPr="00935EE7" w14:paraId="53E24692" w14:textId="77777777" w:rsidTr="00935EE7">
        <w:trPr>
          <w:trHeight w:val="196"/>
        </w:trPr>
        <w:tc>
          <w:tcPr>
            <w:tcW w:w="3179" w:type="pct"/>
            <w:vAlign w:val="bottom"/>
          </w:tcPr>
          <w:p w14:paraId="075C0710" w14:textId="77777777" w:rsidR="00B5188C" w:rsidRPr="00935EE7" w:rsidRDefault="00B5188C" w:rsidP="00B5188C">
            <w:pPr>
              <w:tabs>
                <w:tab w:val="right" w:pos="1202"/>
              </w:tabs>
              <w:suppressAutoHyphens/>
              <w:autoSpaceDN w:val="0"/>
              <w:spacing w:line="340" w:lineRule="exact"/>
              <w:outlineLvl w:val="0"/>
              <w:rPr>
                <w:rFonts w:ascii="Arial" w:eastAsia="Times New Roman" w:hAnsi="Arial" w:cs="Arial"/>
                <w:color w:val="000000" w:themeColor="text1"/>
                <w:sz w:val="20"/>
                <w:szCs w:val="20"/>
              </w:rPr>
            </w:pPr>
          </w:p>
        </w:tc>
        <w:tc>
          <w:tcPr>
            <w:tcW w:w="910" w:type="pct"/>
            <w:tcBorders>
              <w:top w:val="single" w:sz="4" w:space="0" w:color="auto"/>
              <w:bottom w:val="single" w:sz="4" w:space="0" w:color="auto"/>
            </w:tcBorders>
            <w:vAlign w:val="bottom"/>
          </w:tcPr>
          <w:p w14:paraId="7087A5EF" w14:textId="1C24974B" w:rsidR="00B5188C" w:rsidRPr="00935EE7" w:rsidRDefault="00F56EAA" w:rsidP="00B5188C">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1.144.656</w:t>
            </w:r>
          </w:p>
        </w:tc>
        <w:tc>
          <w:tcPr>
            <w:tcW w:w="911" w:type="pct"/>
            <w:tcBorders>
              <w:top w:val="single" w:sz="4" w:space="0" w:color="auto"/>
              <w:bottom w:val="single" w:sz="4" w:space="0" w:color="auto"/>
            </w:tcBorders>
            <w:vAlign w:val="bottom"/>
          </w:tcPr>
          <w:p w14:paraId="1EF5B9B6" w14:textId="135DF6EA" w:rsidR="00B5188C" w:rsidRPr="00B5188C" w:rsidRDefault="00B5188C" w:rsidP="00B5188C">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sidRPr="00B5188C">
              <w:rPr>
                <w:rFonts w:ascii="Arial" w:hAnsi="Arial" w:cs="Arial"/>
                <w:color w:val="000000" w:themeColor="text1"/>
                <w:sz w:val="20"/>
              </w:rPr>
              <w:t>1.255.608</w:t>
            </w:r>
          </w:p>
        </w:tc>
      </w:tr>
      <w:tr w:rsidR="00B5188C" w:rsidRPr="00935EE7" w14:paraId="44C8B6DF" w14:textId="77777777" w:rsidTr="00935EE7">
        <w:trPr>
          <w:trHeight w:val="205"/>
        </w:trPr>
        <w:tc>
          <w:tcPr>
            <w:tcW w:w="3179" w:type="pct"/>
            <w:vAlign w:val="bottom"/>
          </w:tcPr>
          <w:p w14:paraId="2ABA2582" w14:textId="77777777" w:rsidR="00B5188C" w:rsidRPr="00935EE7" w:rsidRDefault="00B5188C" w:rsidP="00B5188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66" w:name="_Toc67328050"/>
            <w:r w:rsidRPr="00935EE7">
              <w:rPr>
                <w:rFonts w:ascii="Arial" w:eastAsia="Times New Roman" w:hAnsi="Arial" w:cs="Arial"/>
                <w:color w:val="000000" w:themeColor="text1"/>
                <w:sz w:val="20"/>
                <w:szCs w:val="20"/>
              </w:rPr>
              <w:t>Rezerviranja za očekivane gubitke</w:t>
            </w:r>
            <w:bookmarkEnd w:id="366"/>
          </w:p>
        </w:tc>
        <w:tc>
          <w:tcPr>
            <w:tcW w:w="910" w:type="pct"/>
            <w:tcBorders>
              <w:top w:val="single" w:sz="4" w:space="0" w:color="auto"/>
              <w:bottom w:val="single" w:sz="4" w:space="0" w:color="auto"/>
            </w:tcBorders>
            <w:vAlign w:val="bottom"/>
          </w:tcPr>
          <w:p w14:paraId="423DB73B" w14:textId="13722740" w:rsidR="00B5188C" w:rsidRPr="00935EE7" w:rsidRDefault="00F56EAA" w:rsidP="00B5188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(6.590)</w:t>
            </w:r>
          </w:p>
        </w:tc>
        <w:tc>
          <w:tcPr>
            <w:tcW w:w="911" w:type="pct"/>
            <w:tcBorders>
              <w:top w:val="single" w:sz="4" w:space="0" w:color="auto"/>
              <w:bottom w:val="single" w:sz="4" w:space="0" w:color="auto"/>
            </w:tcBorders>
            <w:vAlign w:val="bottom"/>
          </w:tcPr>
          <w:p w14:paraId="54AB2574" w14:textId="339BC011" w:rsidR="00B5188C" w:rsidRPr="00B5188C" w:rsidRDefault="00B5188C" w:rsidP="00B5188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B5188C">
              <w:rPr>
                <w:rFonts w:ascii="Arial" w:hAnsi="Arial" w:cs="Arial"/>
                <w:color w:val="000000" w:themeColor="text1"/>
                <w:sz w:val="20"/>
              </w:rPr>
              <w:t>(6.727)</w:t>
            </w:r>
          </w:p>
        </w:tc>
      </w:tr>
      <w:tr w:rsidR="00B5188C" w:rsidRPr="00935EE7" w14:paraId="15919153" w14:textId="77777777" w:rsidTr="00935EE7">
        <w:trPr>
          <w:trHeight w:val="235"/>
        </w:trPr>
        <w:tc>
          <w:tcPr>
            <w:tcW w:w="3179" w:type="pct"/>
            <w:vAlign w:val="bottom"/>
          </w:tcPr>
          <w:p w14:paraId="631C59C8" w14:textId="77777777" w:rsidR="00B5188C" w:rsidRPr="00935EE7" w:rsidRDefault="00B5188C" w:rsidP="00B5188C">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910" w:type="pct"/>
            <w:tcBorders>
              <w:top w:val="single" w:sz="4" w:space="0" w:color="auto"/>
              <w:bottom w:val="single" w:sz="12" w:space="0" w:color="auto"/>
            </w:tcBorders>
            <w:vAlign w:val="bottom"/>
          </w:tcPr>
          <w:p w14:paraId="51AD4684" w14:textId="215CAA47" w:rsidR="00B5188C" w:rsidRPr="00935EE7" w:rsidRDefault="00F56EAA" w:rsidP="00B5188C">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1.138.066</w:t>
            </w:r>
          </w:p>
        </w:tc>
        <w:tc>
          <w:tcPr>
            <w:tcW w:w="911" w:type="pct"/>
            <w:tcBorders>
              <w:top w:val="single" w:sz="4" w:space="0" w:color="auto"/>
              <w:bottom w:val="single" w:sz="12" w:space="0" w:color="auto"/>
            </w:tcBorders>
            <w:vAlign w:val="bottom"/>
          </w:tcPr>
          <w:p w14:paraId="7F770F44" w14:textId="78DF0FA0" w:rsidR="00B5188C" w:rsidRPr="00B5188C" w:rsidRDefault="00B5188C" w:rsidP="00B5188C">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B5188C">
              <w:rPr>
                <w:rFonts w:ascii="Arial" w:hAnsi="Arial" w:cs="Arial"/>
                <w:b/>
                <w:bCs/>
                <w:color w:val="000000" w:themeColor="text1"/>
                <w:sz w:val="20"/>
              </w:rPr>
              <w:t>1.248.881</w:t>
            </w:r>
          </w:p>
        </w:tc>
      </w:tr>
    </w:tbl>
    <w:p w14:paraId="0C80ED1B" w14:textId="77777777" w:rsidR="005D5085" w:rsidRPr="003D1614" w:rsidRDefault="005D5085" w:rsidP="005D5085">
      <w:pPr>
        <w:suppressAutoHyphens/>
        <w:autoSpaceDN w:val="0"/>
        <w:jc w:val="both"/>
        <w:outlineLvl w:val="0"/>
        <w:rPr>
          <w:rFonts w:ascii="Arial" w:eastAsia="Times New Roman" w:hAnsi="Arial" w:cs="Arial"/>
          <w:color w:val="000000" w:themeColor="text1"/>
          <w:sz w:val="20"/>
          <w:szCs w:val="20"/>
        </w:rPr>
      </w:pPr>
    </w:p>
    <w:p w14:paraId="4914D104" w14:textId="3AEF456E" w:rsidR="005D5085" w:rsidRPr="003D1614" w:rsidRDefault="005D5085" w:rsidP="005D5085">
      <w:pPr>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Prosječne kamatne stope na ukupne kredite financijskim institucijama iskazane su u visini od </w:t>
      </w:r>
      <w:r w:rsidR="00C51656">
        <w:rPr>
          <w:rFonts w:ascii="Arial" w:eastAsia="Times New Roman" w:hAnsi="Arial" w:cs="Arial"/>
          <w:color w:val="000000" w:themeColor="text1"/>
          <w:sz w:val="20"/>
          <w:szCs w:val="20"/>
        </w:rPr>
        <w:t>0,54</w:t>
      </w:r>
      <w:r w:rsidRPr="003D1614">
        <w:rPr>
          <w:rFonts w:ascii="Arial" w:eastAsia="Times New Roman" w:hAnsi="Arial" w:cs="Arial"/>
          <w:color w:val="000000" w:themeColor="text1"/>
          <w:sz w:val="20"/>
          <w:szCs w:val="20"/>
        </w:rPr>
        <w:t>% (1. 1. do 31.3.202</w:t>
      </w:r>
      <w:r w:rsidR="00962FF6">
        <w:rPr>
          <w:rFonts w:ascii="Arial" w:eastAsia="Times New Roman" w:hAnsi="Arial" w:cs="Arial"/>
          <w:color w:val="000000" w:themeColor="text1"/>
          <w:sz w:val="20"/>
          <w:szCs w:val="20"/>
        </w:rPr>
        <w:t>3</w:t>
      </w:r>
      <w:r w:rsidRPr="003D1614">
        <w:rPr>
          <w:rFonts w:ascii="Arial" w:eastAsia="Times New Roman" w:hAnsi="Arial" w:cs="Arial"/>
          <w:color w:val="000000" w:themeColor="text1"/>
          <w:sz w:val="20"/>
          <w:szCs w:val="20"/>
        </w:rPr>
        <w:t>.: 0,</w:t>
      </w:r>
      <w:r w:rsidR="00962FF6">
        <w:rPr>
          <w:rFonts w:ascii="Arial" w:eastAsia="Times New Roman" w:hAnsi="Arial" w:cs="Arial"/>
          <w:color w:val="000000" w:themeColor="text1"/>
          <w:sz w:val="20"/>
          <w:szCs w:val="20"/>
        </w:rPr>
        <w:t>28</w:t>
      </w:r>
      <w:r w:rsidRPr="003D1614">
        <w:rPr>
          <w:rFonts w:ascii="Arial" w:eastAsia="Times New Roman" w:hAnsi="Arial" w:cs="Arial"/>
          <w:color w:val="000000" w:themeColor="text1"/>
          <w:sz w:val="20"/>
          <w:szCs w:val="20"/>
        </w:rPr>
        <w:t>%)</w:t>
      </w:r>
      <w:r w:rsidR="00DC73BF">
        <w:rPr>
          <w:rFonts w:ascii="Arial" w:eastAsia="Times New Roman" w:hAnsi="Arial" w:cs="Arial"/>
          <w:color w:val="000000" w:themeColor="text1"/>
          <w:sz w:val="20"/>
          <w:szCs w:val="20"/>
        </w:rPr>
        <w:t xml:space="preserve">, </w:t>
      </w:r>
      <w:bookmarkStart w:id="367" w:name="_Hlk135740637"/>
      <w:r w:rsidR="00DC73BF" w:rsidRPr="00DC73BF">
        <w:rPr>
          <w:rFonts w:ascii="Arial" w:eastAsia="Times New Roman" w:hAnsi="Arial" w:cs="Arial"/>
          <w:color w:val="000000" w:themeColor="text1"/>
          <w:sz w:val="20"/>
          <w:szCs w:val="20"/>
        </w:rPr>
        <w:t xml:space="preserve">a bez rezerve likvidnosti su iskazane u visini od </w:t>
      </w:r>
      <w:r w:rsidR="00C51656">
        <w:rPr>
          <w:rFonts w:ascii="Arial" w:eastAsia="Times New Roman" w:hAnsi="Arial" w:cs="Arial"/>
          <w:color w:val="000000" w:themeColor="text1"/>
          <w:sz w:val="20"/>
          <w:szCs w:val="20"/>
        </w:rPr>
        <w:t>0,32</w:t>
      </w:r>
      <w:r w:rsidR="00DC73BF" w:rsidRPr="00DC73BF">
        <w:rPr>
          <w:rFonts w:ascii="Arial" w:eastAsia="Times New Roman" w:hAnsi="Arial" w:cs="Arial"/>
          <w:color w:val="000000" w:themeColor="text1"/>
          <w:sz w:val="20"/>
          <w:szCs w:val="20"/>
        </w:rPr>
        <w:t>% (31. ožujka 202</w:t>
      </w:r>
      <w:r w:rsidR="00962FF6">
        <w:rPr>
          <w:rFonts w:ascii="Arial" w:eastAsia="Times New Roman" w:hAnsi="Arial" w:cs="Arial"/>
          <w:color w:val="000000" w:themeColor="text1"/>
          <w:sz w:val="20"/>
          <w:szCs w:val="20"/>
        </w:rPr>
        <w:t>3</w:t>
      </w:r>
      <w:r w:rsidR="00DC73BF" w:rsidRPr="00DC73BF">
        <w:rPr>
          <w:rFonts w:ascii="Arial" w:eastAsia="Times New Roman" w:hAnsi="Arial" w:cs="Arial"/>
          <w:color w:val="000000" w:themeColor="text1"/>
          <w:sz w:val="20"/>
          <w:szCs w:val="20"/>
        </w:rPr>
        <w:t>.: 0,</w:t>
      </w:r>
      <w:r w:rsidR="00962FF6">
        <w:rPr>
          <w:rFonts w:ascii="Arial" w:eastAsia="Times New Roman" w:hAnsi="Arial" w:cs="Arial"/>
          <w:color w:val="000000" w:themeColor="text1"/>
          <w:sz w:val="20"/>
          <w:szCs w:val="20"/>
        </w:rPr>
        <w:t>27</w:t>
      </w:r>
      <w:r w:rsidR="00DC73BF" w:rsidRPr="00DC73BF">
        <w:rPr>
          <w:rFonts w:ascii="Arial" w:eastAsia="Times New Roman" w:hAnsi="Arial" w:cs="Arial"/>
          <w:color w:val="000000" w:themeColor="text1"/>
          <w:sz w:val="20"/>
          <w:szCs w:val="20"/>
        </w:rPr>
        <w:t>%).</w:t>
      </w:r>
    </w:p>
    <w:bookmarkEnd w:id="367"/>
    <w:p w14:paraId="3EA366BD" w14:textId="77777777" w:rsidR="005D5085" w:rsidRPr="003D1614" w:rsidRDefault="005D5085" w:rsidP="005D5085">
      <w:pPr>
        <w:suppressAutoHyphens/>
        <w:autoSpaceDN w:val="0"/>
        <w:jc w:val="both"/>
        <w:outlineLvl w:val="0"/>
        <w:rPr>
          <w:rFonts w:ascii="Arial" w:eastAsia="Times New Roman" w:hAnsi="Arial" w:cs="Arial"/>
          <w:color w:val="000000" w:themeColor="text1"/>
          <w:sz w:val="20"/>
          <w:szCs w:val="20"/>
          <w:highlight w:val="yellow"/>
        </w:rPr>
      </w:pPr>
    </w:p>
    <w:p w14:paraId="1DA923CC" w14:textId="77777777" w:rsidR="005D5085" w:rsidRPr="003D1614" w:rsidRDefault="005D5085" w:rsidP="005D5085">
      <w:pPr>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Prosječne kamatne stope odražavaju omjer kamatnih prihoda na navedene plasmane i prosječne imovine.</w:t>
      </w:r>
    </w:p>
    <w:p w14:paraId="7CCF195B" w14:textId="77777777" w:rsidR="005D5085" w:rsidRPr="003D1614" w:rsidRDefault="005D5085" w:rsidP="005D5085">
      <w:pPr>
        <w:suppressAutoHyphens/>
        <w:autoSpaceDN w:val="0"/>
        <w:jc w:val="both"/>
        <w:outlineLvl w:val="0"/>
        <w:rPr>
          <w:rFonts w:ascii="Arial" w:eastAsia="Times New Roman" w:hAnsi="Arial" w:cs="Arial"/>
          <w:color w:val="000000" w:themeColor="text1"/>
          <w:sz w:val="20"/>
          <w:szCs w:val="20"/>
          <w:highlight w:val="yellow"/>
        </w:rPr>
      </w:pPr>
    </w:p>
    <w:p w14:paraId="300CA681" w14:textId="7D65FF5B" w:rsidR="005D5085" w:rsidRPr="003D1614" w:rsidRDefault="005D5085" w:rsidP="005D5085">
      <w:pPr>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color w:val="000000" w:themeColor="text1"/>
          <w:sz w:val="20"/>
          <w:szCs w:val="20"/>
        </w:rPr>
        <w:t xml:space="preserve">Stavka „Ostalo“ sadrži obrnute repo plasmane u ukupnom iznosu </w:t>
      </w:r>
      <w:r w:rsidR="00AE4278">
        <w:rPr>
          <w:rFonts w:ascii="Arial" w:eastAsia="Times New Roman" w:hAnsi="Arial" w:cs="Arial"/>
          <w:color w:val="000000" w:themeColor="text1"/>
          <w:sz w:val="20"/>
          <w:szCs w:val="20"/>
        </w:rPr>
        <w:t>50.000</w:t>
      </w:r>
      <w:r w:rsidRPr="003D1614">
        <w:rPr>
          <w:rFonts w:ascii="Arial" w:eastAsia="Times New Roman" w:hAnsi="Arial" w:cs="Arial"/>
          <w:color w:val="000000" w:themeColor="text1"/>
          <w:sz w:val="20"/>
          <w:szCs w:val="20"/>
        </w:rPr>
        <w:t xml:space="preserve"> tisuća eura (31. prosinca 202</w:t>
      </w:r>
      <w:r w:rsidR="00B668A4">
        <w:rPr>
          <w:rFonts w:ascii="Arial" w:eastAsia="Times New Roman" w:hAnsi="Arial" w:cs="Arial"/>
          <w:color w:val="000000" w:themeColor="text1"/>
          <w:sz w:val="20"/>
          <w:szCs w:val="20"/>
        </w:rPr>
        <w:t>3</w:t>
      </w:r>
      <w:r w:rsidRPr="003D1614">
        <w:rPr>
          <w:rFonts w:ascii="Arial" w:eastAsia="Times New Roman" w:hAnsi="Arial" w:cs="Arial"/>
          <w:color w:val="000000" w:themeColor="text1"/>
          <w:sz w:val="20"/>
          <w:szCs w:val="20"/>
        </w:rPr>
        <w:t xml:space="preserve">.: </w:t>
      </w:r>
      <w:r w:rsidR="00B668A4">
        <w:rPr>
          <w:rFonts w:ascii="Arial" w:eastAsia="Times New Roman" w:hAnsi="Arial" w:cs="Arial"/>
          <w:color w:val="000000" w:themeColor="text1"/>
          <w:sz w:val="20"/>
          <w:szCs w:val="20"/>
        </w:rPr>
        <w:t xml:space="preserve">193.000 </w:t>
      </w:r>
      <w:r w:rsidRPr="003D1614">
        <w:rPr>
          <w:rFonts w:ascii="Arial" w:eastAsia="Times New Roman" w:hAnsi="Arial" w:cs="Arial"/>
          <w:color w:val="000000" w:themeColor="text1"/>
          <w:sz w:val="20"/>
          <w:szCs w:val="20"/>
        </w:rPr>
        <w:t>tisuća eura). Ovi su plasmani osigurani vrijednosnim papirima u</w:t>
      </w:r>
      <w:r w:rsidRPr="003D1614">
        <w:rPr>
          <w:rFonts w:ascii="Arial" w:eastAsia="Times New Roman" w:hAnsi="Arial" w:cs="Arial"/>
          <w:bCs/>
          <w:color w:val="000000" w:themeColor="text1"/>
          <w:sz w:val="20"/>
          <w:szCs w:val="20"/>
        </w:rPr>
        <w:t xml:space="preserve"> iznosu od </w:t>
      </w:r>
      <w:r w:rsidR="00AE4278">
        <w:rPr>
          <w:rFonts w:ascii="Arial" w:eastAsia="Times New Roman" w:hAnsi="Arial" w:cs="Arial"/>
          <w:bCs/>
          <w:color w:val="000000" w:themeColor="text1"/>
          <w:sz w:val="20"/>
          <w:szCs w:val="20"/>
        </w:rPr>
        <w:t>52.776</w:t>
      </w:r>
      <w:r w:rsidRPr="003D1614">
        <w:rPr>
          <w:rFonts w:ascii="Arial" w:eastAsia="Times New Roman" w:hAnsi="Arial" w:cs="Arial"/>
          <w:bCs/>
          <w:color w:val="000000" w:themeColor="text1"/>
          <w:sz w:val="20"/>
          <w:szCs w:val="20"/>
        </w:rPr>
        <w:t xml:space="preserve"> tisuća eura (31. prosinca 202</w:t>
      </w:r>
      <w:r w:rsidR="00B668A4">
        <w:rPr>
          <w:rFonts w:ascii="Arial" w:eastAsia="Times New Roman" w:hAnsi="Arial" w:cs="Arial"/>
          <w:bCs/>
          <w:color w:val="000000" w:themeColor="text1"/>
          <w:sz w:val="20"/>
          <w:szCs w:val="20"/>
        </w:rPr>
        <w:t>3</w:t>
      </w:r>
      <w:r w:rsidRPr="003D1614">
        <w:rPr>
          <w:rFonts w:ascii="Arial" w:eastAsia="Times New Roman" w:hAnsi="Arial" w:cs="Arial"/>
          <w:bCs/>
          <w:color w:val="000000" w:themeColor="text1"/>
          <w:sz w:val="20"/>
          <w:szCs w:val="20"/>
        </w:rPr>
        <w:t xml:space="preserve">.: </w:t>
      </w:r>
      <w:r w:rsidR="00B668A4">
        <w:rPr>
          <w:rFonts w:ascii="Arial" w:eastAsia="Times New Roman" w:hAnsi="Arial" w:cs="Arial"/>
          <w:bCs/>
          <w:color w:val="000000" w:themeColor="text1"/>
          <w:sz w:val="20"/>
          <w:szCs w:val="20"/>
        </w:rPr>
        <w:t>2</w:t>
      </w:r>
      <w:r w:rsidRPr="003D1614">
        <w:rPr>
          <w:rFonts w:ascii="Arial" w:eastAsia="Times New Roman" w:hAnsi="Arial" w:cs="Arial"/>
          <w:bCs/>
          <w:color w:val="000000" w:themeColor="text1"/>
          <w:sz w:val="20"/>
          <w:szCs w:val="20"/>
        </w:rPr>
        <w:t>0</w:t>
      </w:r>
      <w:r w:rsidR="00B668A4">
        <w:rPr>
          <w:rFonts w:ascii="Arial" w:eastAsia="Times New Roman" w:hAnsi="Arial" w:cs="Arial"/>
          <w:bCs/>
          <w:color w:val="000000" w:themeColor="text1"/>
          <w:sz w:val="20"/>
          <w:szCs w:val="20"/>
        </w:rPr>
        <w:t>7.190</w:t>
      </w:r>
      <w:r w:rsidRPr="003D1614">
        <w:rPr>
          <w:rFonts w:ascii="Arial" w:eastAsia="Times New Roman" w:hAnsi="Arial" w:cs="Arial"/>
          <w:bCs/>
          <w:color w:val="000000" w:themeColor="text1"/>
          <w:sz w:val="20"/>
          <w:szCs w:val="20"/>
        </w:rPr>
        <w:t xml:space="preserve"> tisuća eura).</w:t>
      </w:r>
    </w:p>
    <w:p w14:paraId="62A0BCD8" w14:textId="4B79A893" w:rsidR="001B5068" w:rsidRPr="003D1614" w:rsidRDefault="001B5068" w:rsidP="005D5085">
      <w:pPr>
        <w:suppressAutoHyphens/>
        <w:autoSpaceDN w:val="0"/>
        <w:jc w:val="both"/>
        <w:outlineLvl w:val="0"/>
        <w:rPr>
          <w:rFonts w:ascii="Arial" w:eastAsia="Times New Roman" w:hAnsi="Arial" w:cs="Arial"/>
          <w:bCs/>
          <w:color w:val="000000" w:themeColor="text1"/>
          <w:sz w:val="20"/>
          <w:szCs w:val="20"/>
        </w:rPr>
      </w:pPr>
    </w:p>
    <w:p w14:paraId="0DFCF4FC" w14:textId="77777777" w:rsidR="001B5068" w:rsidRPr="003D1614" w:rsidRDefault="001B5068" w:rsidP="005D5085">
      <w:pPr>
        <w:suppressAutoHyphens/>
        <w:autoSpaceDN w:val="0"/>
        <w:jc w:val="both"/>
        <w:outlineLvl w:val="0"/>
        <w:rPr>
          <w:rFonts w:ascii="Arial" w:eastAsia="Times New Roman" w:hAnsi="Arial" w:cs="Arial"/>
          <w:bCs/>
          <w:color w:val="000000" w:themeColor="text1"/>
          <w:sz w:val="20"/>
          <w:szCs w:val="20"/>
        </w:rPr>
        <w:sectPr w:rsidR="001B5068" w:rsidRPr="003D1614">
          <w:pgSz w:w="11906" w:h="16838"/>
          <w:pgMar w:top="1417" w:right="1417" w:bottom="1417" w:left="1417" w:header="708" w:footer="708" w:gutter="0"/>
          <w:cols w:space="708"/>
          <w:docGrid w:linePitch="360"/>
        </w:sectPr>
      </w:pPr>
    </w:p>
    <w:p w14:paraId="3E1E2441" w14:textId="77777777" w:rsidR="001B5068" w:rsidRPr="003D1614" w:rsidRDefault="001B5068" w:rsidP="001B5068">
      <w:pPr>
        <w:keepNext/>
        <w:suppressAutoHyphens/>
        <w:autoSpaceDN w:val="0"/>
        <w:jc w:val="both"/>
        <w:outlineLvl w:val="0"/>
        <w:rPr>
          <w:rFonts w:ascii="Arial" w:eastAsia="Times New Roman" w:hAnsi="Arial" w:cs="Arial"/>
          <w:b/>
          <w:bCs/>
          <w:color w:val="000000" w:themeColor="text1"/>
          <w:sz w:val="18"/>
          <w:szCs w:val="18"/>
        </w:rPr>
      </w:pPr>
    </w:p>
    <w:p w14:paraId="25619DE4" w14:textId="1A3366E0" w:rsidR="001B5068" w:rsidRPr="003D1614" w:rsidRDefault="001B5068" w:rsidP="001B5068">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2</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 xml:space="preserve">Krediti ostalim korisnicima </w:t>
      </w:r>
    </w:p>
    <w:p w14:paraId="2CF30A39"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p w14:paraId="02DBF0BF"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Krediti ostalim korisnicima umanjeni za rezerviranja za očekivane gubitke mogu se prikazati po sektorizaciji kako slijedi:</w:t>
      </w:r>
    </w:p>
    <w:p w14:paraId="4AAF802A"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tbl>
      <w:tblPr>
        <w:tblW w:w="4927" w:type="pct"/>
        <w:tblLayout w:type="fixed"/>
        <w:tblCellMar>
          <w:left w:w="119" w:type="dxa"/>
          <w:right w:w="119" w:type="dxa"/>
        </w:tblCellMar>
        <w:tblLook w:val="0000" w:firstRow="0" w:lastRow="0" w:firstColumn="0" w:lastColumn="0" w:noHBand="0" w:noVBand="0"/>
      </w:tblPr>
      <w:tblGrid>
        <w:gridCol w:w="5584"/>
        <w:gridCol w:w="1731"/>
        <w:gridCol w:w="1625"/>
      </w:tblGrid>
      <w:tr w:rsidR="001B5068" w:rsidRPr="00836315" w14:paraId="2EB5A2EA" w14:textId="77777777" w:rsidTr="00836315">
        <w:trPr>
          <w:trHeight w:val="314"/>
        </w:trPr>
        <w:tc>
          <w:tcPr>
            <w:tcW w:w="3123" w:type="pct"/>
            <w:vAlign w:val="bottom"/>
          </w:tcPr>
          <w:p w14:paraId="49D4AE9D" w14:textId="77777777" w:rsidR="001B5068" w:rsidRPr="00836315" w:rsidRDefault="001B5068" w:rsidP="001B5068">
            <w:pPr>
              <w:tabs>
                <w:tab w:val="left" w:pos="-720"/>
              </w:tabs>
              <w:suppressAutoHyphens/>
              <w:autoSpaceDN w:val="0"/>
              <w:spacing w:line="200" w:lineRule="exact"/>
              <w:rPr>
                <w:rFonts w:ascii="Arial" w:eastAsia="Times New Roman" w:hAnsi="Arial" w:cs="Arial"/>
                <w:color w:val="000000" w:themeColor="text1"/>
                <w:spacing w:val="-2"/>
                <w:sz w:val="20"/>
                <w:szCs w:val="20"/>
              </w:rPr>
            </w:pPr>
          </w:p>
        </w:tc>
        <w:tc>
          <w:tcPr>
            <w:tcW w:w="1877" w:type="pct"/>
            <w:gridSpan w:val="2"/>
            <w:vAlign w:val="bottom"/>
          </w:tcPr>
          <w:p w14:paraId="7F3BA854" w14:textId="77777777" w:rsidR="001B5068" w:rsidRPr="00836315" w:rsidRDefault="001B5068" w:rsidP="001B5068">
            <w:pPr>
              <w:tabs>
                <w:tab w:val="right" w:pos="1202"/>
              </w:tabs>
              <w:suppressAutoHyphens/>
              <w:autoSpaceDN w:val="0"/>
              <w:spacing w:line="200" w:lineRule="exact"/>
              <w:jc w:val="right"/>
              <w:outlineLvl w:val="0"/>
              <w:rPr>
                <w:rFonts w:ascii="Arial" w:eastAsia="Times New Roman" w:hAnsi="Arial" w:cs="Arial"/>
                <w:b/>
                <w:color w:val="000000" w:themeColor="text1"/>
                <w:sz w:val="20"/>
                <w:szCs w:val="20"/>
              </w:rPr>
            </w:pPr>
            <w:bookmarkStart w:id="368" w:name="_Toc67328055"/>
            <w:r w:rsidRPr="00836315">
              <w:rPr>
                <w:rFonts w:ascii="Arial" w:eastAsia="Times New Roman" w:hAnsi="Arial" w:cs="Arial"/>
                <w:b/>
                <w:color w:val="000000" w:themeColor="text1"/>
                <w:sz w:val="20"/>
                <w:szCs w:val="20"/>
              </w:rPr>
              <w:t>Grupa i Banka</w:t>
            </w:r>
            <w:bookmarkEnd w:id="368"/>
          </w:p>
        </w:tc>
      </w:tr>
      <w:tr w:rsidR="001B5068" w:rsidRPr="00836315" w14:paraId="3EF257C9" w14:textId="77777777" w:rsidTr="00836315">
        <w:trPr>
          <w:trHeight w:val="314"/>
        </w:trPr>
        <w:tc>
          <w:tcPr>
            <w:tcW w:w="3123" w:type="pct"/>
            <w:vAlign w:val="bottom"/>
          </w:tcPr>
          <w:p w14:paraId="0937C35A" w14:textId="77777777" w:rsidR="001B5068" w:rsidRPr="00836315" w:rsidRDefault="001B5068" w:rsidP="001B5068">
            <w:pPr>
              <w:tabs>
                <w:tab w:val="left" w:pos="-720"/>
              </w:tabs>
              <w:suppressAutoHyphens/>
              <w:autoSpaceDN w:val="0"/>
              <w:spacing w:line="200" w:lineRule="exact"/>
              <w:rPr>
                <w:rFonts w:ascii="Arial" w:eastAsia="Times New Roman" w:hAnsi="Arial" w:cs="Arial"/>
                <w:color w:val="000000" w:themeColor="text1"/>
                <w:spacing w:val="-2"/>
                <w:sz w:val="20"/>
                <w:szCs w:val="20"/>
              </w:rPr>
            </w:pPr>
          </w:p>
        </w:tc>
        <w:tc>
          <w:tcPr>
            <w:tcW w:w="968" w:type="pct"/>
            <w:vAlign w:val="bottom"/>
          </w:tcPr>
          <w:p w14:paraId="3B4E0D17" w14:textId="126F6C7E" w:rsidR="001B5068" w:rsidRPr="00836315" w:rsidRDefault="001B5068" w:rsidP="001B506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69" w:name="_Toc67328056"/>
            <w:r w:rsidRPr="00836315">
              <w:rPr>
                <w:rFonts w:ascii="Arial" w:eastAsia="Times New Roman" w:hAnsi="Arial" w:cs="Arial"/>
                <w:b/>
                <w:color w:val="000000" w:themeColor="text1"/>
                <w:sz w:val="20"/>
                <w:szCs w:val="20"/>
              </w:rPr>
              <w:t>31. ožujka 202</w:t>
            </w:r>
            <w:r w:rsidR="002B0C5C">
              <w:rPr>
                <w:rFonts w:ascii="Arial" w:eastAsia="Times New Roman" w:hAnsi="Arial" w:cs="Arial"/>
                <w:b/>
                <w:color w:val="000000" w:themeColor="text1"/>
                <w:sz w:val="20"/>
                <w:szCs w:val="20"/>
              </w:rPr>
              <w:t>4</w:t>
            </w:r>
            <w:r w:rsidRPr="00836315">
              <w:rPr>
                <w:rFonts w:ascii="Arial" w:eastAsia="Times New Roman" w:hAnsi="Arial" w:cs="Arial"/>
                <w:b/>
                <w:color w:val="000000" w:themeColor="text1"/>
                <w:sz w:val="20"/>
                <w:szCs w:val="20"/>
              </w:rPr>
              <w:t>.</w:t>
            </w:r>
            <w:bookmarkEnd w:id="369"/>
          </w:p>
        </w:tc>
        <w:tc>
          <w:tcPr>
            <w:tcW w:w="909" w:type="pct"/>
            <w:vAlign w:val="bottom"/>
          </w:tcPr>
          <w:p w14:paraId="3C590A71" w14:textId="79800C68" w:rsidR="001B5068" w:rsidRPr="00836315" w:rsidRDefault="001B5068" w:rsidP="001B506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70" w:name="_Toc67328057"/>
            <w:r w:rsidRPr="00836315">
              <w:rPr>
                <w:rFonts w:ascii="Arial" w:eastAsia="Times New Roman" w:hAnsi="Arial" w:cs="Arial"/>
                <w:b/>
                <w:color w:val="000000" w:themeColor="text1"/>
                <w:sz w:val="20"/>
                <w:szCs w:val="20"/>
              </w:rPr>
              <w:t>31. prosinca 202</w:t>
            </w:r>
            <w:r w:rsidR="002B0C5C">
              <w:rPr>
                <w:rFonts w:ascii="Arial" w:eastAsia="Times New Roman" w:hAnsi="Arial" w:cs="Arial"/>
                <w:b/>
                <w:color w:val="000000" w:themeColor="text1"/>
                <w:sz w:val="20"/>
                <w:szCs w:val="20"/>
              </w:rPr>
              <w:t>3</w:t>
            </w:r>
            <w:r w:rsidRPr="00836315">
              <w:rPr>
                <w:rFonts w:ascii="Arial" w:eastAsia="Times New Roman" w:hAnsi="Arial" w:cs="Arial"/>
                <w:b/>
                <w:color w:val="000000" w:themeColor="text1"/>
                <w:sz w:val="20"/>
                <w:szCs w:val="20"/>
              </w:rPr>
              <w:t>.</w:t>
            </w:r>
            <w:bookmarkEnd w:id="370"/>
          </w:p>
        </w:tc>
      </w:tr>
      <w:tr w:rsidR="001B5068" w:rsidRPr="00836315" w14:paraId="218E877D" w14:textId="77777777" w:rsidTr="00836315">
        <w:trPr>
          <w:trHeight w:val="314"/>
        </w:trPr>
        <w:tc>
          <w:tcPr>
            <w:tcW w:w="3123" w:type="pct"/>
            <w:vAlign w:val="bottom"/>
          </w:tcPr>
          <w:p w14:paraId="721E7F7A" w14:textId="77777777" w:rsidR="001B5068" w:rsidRPr="00836315" w:rsidRDefault="001B5068" w:rsidP="001B5068">
            <w:pPr>
              <w:tabs>
                <w:tab w:val="left" w:pos="-720"/>
              </w:tabs>
              <w:suppressAutoHyphens/>
              <w:autoSpaceDN w:val="0"/>
              <w:spacing w:line="200" w:lineRule="exact"/>
              <w:rPr>
                <w:rFonts w:ascii="Arial" w:eastAsia="Times New Roman" w:hAnsi="Arial" w:cs="Arial"/>
                <w:color w:val="000000" w:themeColor="text1"/>
                <w:spacing w:val="-2"/>
                <w:sz w:val="20"/>
                <w:szCs w:val="20"/>
              </w:rPr>
            </w:pPr>
          </w:p>
        </w:tc>
        <w:tc>
          <w:tcPr>
            <w:tcW w:w="968" w:type="pct"/>
            <w:vAlign w:val="bottom"/>
          </w:tcPr>
          <w:p w14:paraId="170D53C6" w14:textId="7FCFFA7A" w:rsidR="001B5068" w:rsidRPr="00836315" w:rsidRDefault="001B5068" w:rsidP="001B5068">
            <w:pPr>
              <w:tabs>
                <w:tab w:val="right" w:pos="1202"/>
              </w:tabs>
              <w:suppressAutoHyphens/>
              <w:autoSpaceDN w:val="0"/>
              <w:spacing w:line="200" w:lineRule="exact"/>
              <w:jc w:val="right"/>
              <w:outlineLvl w:val="0"/>
              <w:rPr>
                <w:rFonts w:ascii="Arial" w:eastAsia="Times New Roman" w:hAnsi="Arial" w:cs="Arial"/>
                <w:b/>
                <w:color w:val="000000" w:themeColor="text1"/>
                <w:sz w:val="20"/>
                <w:szCs w:val="20"/>
              </w:rPr>
            </w:pPr>
            <w:bookmarkStart w:id="371" w:name="_Toc67328058"/>
            <w:r w:rsidRPr="00836315">
              <w:rPr>
                <w:rFonts w:ascii="Arial" w:eastAsia="Times New Roman" w:hAnsi="Arial" w:cs="Arial"/>
                <w:b/>
                <w:color w:val="000000" w:themeColor="text1"/>
                <w:sz w:val="20"/>
                <w:szCs w:val="20"/>
              </w:rPr>
              <w:t>000 eura</w:t>
            </w:r>
            <w:bookmarkEnd w:id="371"/>
          </w:p>
        </w:tc>
        <w:tc>
          <w:tcPr>
            <w:tcW w:w="909" w:type="pct"/>
            <w:vAlign w:val="bottom"/>
          </w:tcPr>
          <w:p w14:paraId="75538E7F" w14:textId="0778CBDA" w:rsidR="001B5068" w:rsidRPr="00836315" w:rsidRDefault="001B5068" w:rsidP="001B5068">
            <w:pPr>
              <w:tabs>
                <w:tab w:val="right" w:pos="1202"/>
              </w:tabs>
              <w:suppressAutoHyphens/>
              <w:autoSpaceDN w:val="0"/>
              <w:spacing w:line="200" w:lineRule="exact"/>
              <w:jc w:val="right"/>
              <w:outlineLvl w:val="0"/>
              <w:rPr>
                <w:rFonts w:ascii="Arial" w:eastAsia="Times New Roman" w:hAnsi="Arial" w:cs="Arial"/>
                <w:b/>
                <w:color w:val="000000" w:themeColor="text1"/>
                <w:sz w:val="20"/>
                <w:szCs w:val="20"/>
              </w:rPr>
            </w:pPr>
            <w:bookmarkStart w:id="372" w:name="_Toc67328059"/>
            <w:r w:rsidRPr="00836315">
              <w:rPr>
                <w:rFonts w:ascii="Arial" w:eastAsia="Times New Roman" w:hAnsi="Arial" w:cs="Arial"/>
                <w:b/>
                <w:color w:val="000000" w:themeColor="text1"/>
                <w:sz w:val="20"/>
                <w:szCs w:val="20"/>
              </w:rPr>
              <w:t>000 eura</w:t>
            </w:r>
            <w:bookmarkEnd w:id="372"/>
          </w:p>
        </w:tc>
      </w:tr>
      <w:tr w:rsidR="001B5068" w:rsidRPr="00836315" w14:paraId="26D65D68" w14:textId="77777777" w:rsidTr="00836315">
        <w:trPr>
          <w:trHeight w:hRule="exact" w:val="187"/>
        </w:trPr>
        <w:tc>
          <w:tcPr>
            <w:tcW w:w="3123" w:type="pct"/>
            <w:vAlign w:val="bottom"/>
          </w:tcPr>
          <w:p w14:paraId="73F088DE" w14:textId="77777777" w:rsidR="001B5068" w:rsidRPr="00836315" w:rsidRDefault="001B5068" w:rsidP="001B5068">
            <w:pPr>
              <w:tabs>
                <w:tab w:val="left" w:pos="-720"/>
              </w:tabs>
              <w:suppressAutoHyphens/>
              <w:autoSpaceDN w:val="0"/>
              <w:spacing w:line="200" w:lineRule="exact"/>
              <w:jc w:val="right"/>
              <w:rPr>
                <w:rFonts w:ascii="Arial" w:eastAsia="Times New Roman" w:hAnsi="Arial" w:cs="Arial"/>
                <w:color w:val="000000" w:themeColor="text1"/>
                <w:spacing w:val="-2"/>
                <w:sz w:val="20"/>
                <w:szCs w:val="20"/>
              </w:rPr>
            </w:pPr>
          </w:p>
        </w:tc>
        <w:tc>
          <w:tcPr>
            <w:tcW w:w="968" w:type="pct"/>
            <w:vAlign w:val="bottom"/>
          </w:tcPr>
          <w:p w14:paraId="6DBFB145" w14:textId="77777777" w:rsidR="001B5068" w:rsidRPr="00836315" w:rsidRDefault="001B5068" w:rsidP="001B5068">
            <w:pPr>
              <w:tabs>
                <w:tab w:val="left" w:pos="-720"/>
              </w:tabs>
              <w:suppressAutoHyphens/>
              <w:autoSpaceDN w:val="0"/>
              <w:spacing w:line="200" w:lineRule="exact"/>
              <w:rPr>
                <w:rFonts w:ascii="Arial" w:eastAsia="Times New Roman" w:hAnsi="Arial" w:cs="Arial"/>
                <w:b/>
                <w:color w:val="000000" w:themeColor="text1"/>
                <w:spacing w:val="-2"/>
                <w:sz w:val="20"/>
                <w:szCs w:val="20"/>
              </w:rPr>
            </w:pPr>
          </w:p>
        </w:tc>
        <w:tc>
          <w:tcPr>
            <w:tcW w:w="909" w:type="pct"/>
            <w:vAlign w:val="bottom"/>
          </w:tcPr>
          <w:p w14:paraId="6E009162" w14:textId="77777777" w:rsidR="001B5068" w:rsidRPr="00836315" w:rsidRDefault="001B5068" w:rsidP="001B5068">
            <w:pPr>
              <w:tabs>
                <w:tab w:val="left" w:pos="-720"/>
              </w:tabs>
              <w:suppressAutoHyphens/>
              <w:autoSpaceDN w:val="0"/>
              <w:spacing w:line="200" w:lineRule="exact"/>
              <w:jc w:val="right"/>
              <w:rPr>
                <w:rFonts w:ascii="Arial" w:eastAsia="Times New Roman" w:hAnsi="Arial" w:cs="Arial"/>
                <w:b/>
                <w:color w:val="000000" w:themeColor="text1"/>
                <w:spacing w:val="-2"/>
                <w:sz w:val="20"/>
                <w:szCs w:val="20"/>
              </w:rPr>
            </w:pPr>
          </w:p>
        </w:tc>
      </w:tr>
      <w:tr w:rsidR="000D21C4" w:rsidRPr="00836315" w14:paraId="1DC00009" w14:textId="77777777" w:rsidTr="00836315">
        <w:trPr>
          <w:trHeight w:val="283"/>
        </w:trPr>
        <w:tc>
          <w:tcPr>
            <w:tcW w:w="3123" w:type="pct"/>
            <w:vAlign w:val="bottom"/>
          </w:tcPr>
          <w:p w14:paraId="08CA1B8D" w14:textId="77777777" w:rsidR="000D21C4" w:rsidRPr="00836315" w:rsidRDefault="000D21C4" w:rsidP="000D21C4">
            <w:pPr>
              <w:tabs>
                <w:tab w:val="right" w:pos="1202"/>
              </w:tabs>
              <w:suppressAutoHyphens/>
              <w:autoSpaceDN w:val="0"/>
              <w:spacing w:line="301" w:lineRule="exact"/>
              <w:outlineLvl w:val="0"/>
              <w:rPr>
                <w:rFonts w:ascii="Arial" w:eastAsia="Times New Roman" w:hAnsi="Arial" w:cs="Arial"/>
                <w:sz w:val="20"/>
                <w:szCs w:val="20"/>
              </w:rPr>
            </w:pPr>
            <w:bookmarkStart w:id="373" w:name="_Toc67328060"/>
            <w:r w:rsidRPr="00836315">
              <w:rPr>
                <w:rFonts w:ascii="Arial" w:eastAsia="Times New Roman" w:hAnsi="Arial" w:cs="Arial"/>
                <w:sz w:val="20"/>
                <w:szCs w:val="20"/>
              </w:rPr>
              <w:t>Domaća trgovačka društva</w:t>
            </w:r>
            <w:bookmarkEnd w:id="373"/>
          </w:p>
        </w:tc>
        <w:tc>
          <w:tcPr>
            <w:tcW w:w="968" w:type="pct"/>
            <w:tcBorders>
              <w:top w:val="nil"/>
              <w:left w:val="nil"/>
              <w:bottom w:val="nil"/>
              <w:right w:val="nil"/>
            </w:tcBorders>
            <w:shd w:val="clear" w:color="auto" w:fill="auto"/>
            <w:vAlign w:val="bottom"/>
          </w:tcPr>
          <w:p w14:paraId="4C8FAF9D" w14:textId="42B63C52" w:rsidR="000D21C4" w:rsidRPr="00A5351A" w:rsidRDefault="000D21C4" w:rsidP="000D21C4">
            <w:pPr>
              <w:tabs>
                <w:tab w:val="right" w:pos="1202"/>
              </w:tabs>
              <w:suppressAutoHyphens/>
              <w:autoSpaceDN w:val="0"/>
              <w:spacing w:line="301" w:lineRule="exact"/>
              <w:jc w:val="right"/>
              <w:outlineLvl w:val="0"/>
              <w:rPr>
                <w:rFonts w:ascii="Arial" w:eastAsia="Times New Roman" w:hAnsi="Arial" w:cs="Arial"/>
                <w:sz w:val="20"/>
                <w:szCs w:val="20"/>
              </w:rPr>
            </w:pPr>
            <w:r w:rsidRPr="00A5351A">
              <w:rPr>
                <w:rFonts w:ascii="Arial" w:hAnsi="Arial" w:cs="Arial"/>
                <w:sz w:val="20"/>
                <w:szCs w:val="20"/>
              </w:rPr>
              <w:t>1.789.882</w:t>
            </w:r>
          </w:p>
        </w:tc>
        <w:tc>
          <w:tcPr>
            <w:tcW w:w="909" w:type="pct"/>
            <w:tcBorders>
              <w:top w:val="nil"/>
              <w:left w:val="nil"/>
              <w:bottom w:val="nil"/>
              <w:right w:val="nil"/>
            </w:tcBorders>
            <w:shd w:val="clear" w:color="auto" w:fill="auto"/>
            <w:vAlign w:val="bottom"/>
          </w:tcPr>
          <w:p w14:paraId="3F50E723" w14:textId="761F598C" w:rsidR="000D21C4" w:rsidRPr="00EB26D5" w:rsidRDefault="000D21C4" w:rsidP="000D21C4">
            <w:pPr>
              <w:tabs>
                <w:tab w:val="right" w:pos="1202"/>
              </w:tabs>
              <w:suppressAutoHyphens/>
              <w:autoSpaceDN w:val="0"/>
              <w:spacing w:line="301" w:lineRule="exact"/>
              <w:jc w:val="right"/>
              <w:outlineLvl w:val="0"/>
              <w:rPr>
                <w:rFonts w:ascii="Arial" w:eastAsia="Times New Roman" w:hAnsi="Arial" w:cs="Arial"/>
                <w:sz w:val="20"/>
                <w:szCs w:val="20"/>
              </w:rPr>
            </w:pPr>
            <w:r w:rsidRPr="00EB26D5">
              <w:rPr>
                <w:rFonts w:ascii="Arial" w:hAnsi="Arial" w:cs="Arial"/>
                <w:sz w:val="20"/>
              </w:rPr>
              <w:t xml:space="preserve"> 1.777.568 </w:t>
            </w:r>
          </w:p>
        </w:tc>
      </w:tr>
      <w:tr w:rsidR="000D21C4" w:rsidRPr="00836315" w14:paraId="7CBDCD48" w14:textId="77777777" w:rsidTr="00836315">
        <w:trPr>
          <w:trHeight w:val="283"/>
        </w:trPr>
        <w:tc>
          <w:tcPr>
            <w:tcW w:w="3123" w:type="pct"/>
            <w:vAlign w:val="bottom"/>
          </w:tcPr>
          <w:p w14:paraId="69CE1655" w14:textId="77777777" w:rsidR="000D21C4" w:rsidRPr="00836315" w:rsidRDefault="000D21C4" w:rsidP="000D21C4">
            <w:pPr>
              <w:tabs>
                <w:tab w:val="right" w:pos="1202"/>
              </w:tabs>
              <w:suppressAutoHyphens/>
              <w:autoSpaceDN w:val="0"/>
              <w:spacing w:line="301" w:lineRule="exact"/>
              <w:outlineLvl w:val="0"/>
              <w:rPr>
                <w:rFonts w:ascii="Arial" w:eastAsia="Times New Roman" w:hAnsi="Arial" w:cs="Arial"/>
                <w:sz w:val="20"/>
                <w:szCs w:val="20"/>
              </w:rPr>
            </w:pPr>
            <w:bookmarkStart w:id="374" w:name="_Toc67328063"/>
            <w:r w:rsidRPr="00836315">
              <w:rPr>
                <w:rFonts w:ascii="Arial" w:eastAsia="Times New Roman" w:hAnsi="Arial" w:cs="Arial"/>
                <w:sz w:val="20"/>
                <w:szCs w:val="20"/>
              </w:rPr>
              <w:t>Državna trgovačka društva</w:t>
            </w:r>
            <w:bookmarkEnd w:id="374"/>
          </w:p>
        </w:tc>
        <w:tc>
          <w:tcPr>
            <w:tcW w:w="968" w:type="pct"/>
            <w:tcBorders>
              <w:top w:val="nil"/>
              <w:left w:val="nil"/>
              <w:bottom w:val="nil"/>
              <w:right w:val="nil"/>
            </w:tcBorders>
            <w:shd w:val="clear" w:color="auto" w:fill="auto"/>
            <w:vAlign w:val="bottom"/>
          </w:tcPr>
          <w:p w14:paraId="223BBC82" w14:textId="6434E67C" w:rsidR="000D21C4" w:rsidRPr="00A5351A" w:rsidRDefault="000D21C4" w:rsidP="000D21C4">
            <w:pPr>
              <w:tabs>
                <w:tab w:val="right" w:pos="1202"/>
              </w:tabs>
              <w:suppressAutoHyphens/>
              <w:autoSpaceDN w:val="0"/>
              <w:spacing w:line="301" w:lineRule="exact"/>
              <w:jc w:val="right"/>
              <w:outlineLvl w:val="0"/>
              <w:rPr>
                <w:rFonts w:ascii="Arial" w:eastAsia="Times New Roman" w:hAnsi="Arial" w:cs="Arial"/>
                <w:sz w:val="20"/>
                <w:szCs w:val="20"/>
              </w:rPr>
            </w:pPr>
            <w:r w:rsidRPr="00A5351A">
              <w:rPr>
                <w:rFonts w:ascii="Arial" w:hAnsi="Arial" w:cs="Arial"/>
                <w:sz w:val="20"/>
                <w:szCs w:val="20"/>
              </w:rPr>
              <w:t>184.682</w:t>
            </w:r>
          </w:p>
        </w:tc>
        <w:tc>
          <w:tcPr>
            <w:tcW w:w="909" w:type="pct"/>
            <w:tcBorders>
              <w:top w:val="nil"/>
              <w:left w:val="nil"/>
              <w:bottom w:val="nil"/>
              <w:right w:val="nil"/>
            </w:tcBorders>
            <w:shd w:val="clear" w:color="auto" w:fill="auto"/>
            <w:vAlign w:val="bottom"/>
          </w:tcPr>
          <w:p w14:paraId="68BB83D7" w14:textId="4924085A" w:rsidR="000D21C4" w:rsidRPr="00EB26D5" w:rsidRDefault="000D21C4" w:rsidP="000D21C4">
            <w:pPr>
              <w:tabs>
                <w:tab w:val="right" w:pos="1202"/>
              </w:tabs>
              <w:suppressAutoHyphens/>
              <w:autoSpaceDN w:val="0"/>
              <w:spacing w:line="301" w:lineRule="exact"/>
              <w:jc w:val="right"/>
              <w:outlineLvl w:val="0"/>
              <w:rPr>
                <w:rFonts w:ascii="Arial" w:eastAsia="Times New Roman" w:hAnsi="Arial" w:cs="Arial"/>
                <w:sz w:val="20"/>
                <w:szCs w:val="20"/>
              </w:rPr>
            </w:pPr>
            <w:r w:rsidRPr="00EB26D5">
              <w:rPr>
                <w:rFonts w:ascii="Arial" w:hAnsi="Arial" w:cs="Arial"/>
                <w:sz w:val="20"/>
              </w:rPr>
              <w:t xml:space="preserve"> 217.424 </w:t>
            </w:r>
          </w:p>
        </w:tc>
      </w:tr>
      <w:tr w:rsidR="000D21C4" w:rsidRPr="00836315" w14:paraId="0A630A46" w14:textId="77777777" w:rsidTr="00836315">
        <w:trPr>
          <w:trHeight w:val="283"/>
        </w:trPr>
        <w:tc>
          <w:tcPr>
            <w:tcW w:w="3123" w:type="pct"/>
            <w:vAlign w:val="bottom"/>
          </w:tcPr>
          <w:p w14:paraId="18793EDE" w14:textId="77777777" w:rsidR="000D21C4" w:rsidRPr="00836315" w:rsidRDefault="000D21C4" w:rsidP="000D21C4">
            <w:pPr>
              <w:tabs>
                <w:tab w:val="right" w:pos="1202"/>
              </w:tabs>
              <w:suppressAutoHyphens/>
              <w:autoSpaceDN w:val="0"/>
              <w:spacing w:line="301" w:lineRule="exact"/>
              <w:outlineLvl w:val="0"/>
              <w:rPr>
                <w:rFonts w:ascii="Arial" w:eastAsia="Times New Roman" w:hAnsi="Arial" w:cs="Arial"/>
                <w:sz w:val="20"/>
                <w:szCs w:val="20"/>
              </w:rPr>
            </w:pPr>
            <w:bookmarkStart w:id="375" w:name="_Toc67328066"/>
            <w:r w:rsidRPr="00836315">
              <w:rPr>
                <w:rFonts w:ascii="Arial" w:eastAsia="Times New Roman" w:hAnsi="Arial" w:cs="Arial"/>
                <w:sz w:val="20"/>
                <w:szCs w:val="20"/>
              </w:rPr>
              <w:t>Javni sektor</w:t>
            </w:r>
            <w:bookmarkEnd w:id="375"/>
          </w:p>
        </w:tc>
        <w:tc>
          <w:tcPr>
            <w:tcW w:w="968" w:type="pct"/>
            <w:tcBorders>
              <w:top w:val="nil"/>
              <w:left w:val="nil"/>
              <w:bottom w:val="nil"/>
              <w:right w:val="nil"/>
            </w:tcBorders>
            <w:shd w:val="clear" w:color="auto" w:fill="auto"/>
            <w:vAlign w:val="bottom"/>
          </w:tcPr>
          <w:p w14:paraId="7E6D79ED" w14:textId="5C7B14F0" w:rsidR="000D21C4" w:rsidRPr="00A5351A" w:rsidRDefault="000D21C4" w:rsidP="000D21C4">
            <w:pPr>
              <w:tabs>
                <w:tab w:val="right" w:pos="1202"/>
              </w:tabs>
              <w:suppressAutoHyphens/>
              <w:autoSpaceDN w:val="0"/>
              <w:spacing w:line="301" w:lineRule="exact"/>
              <w:jc w:val="right"/>
              <w:outlineLvl w:val="0"/>
              <w:rPr>
                <w:rFonts w:ascii="Arial" w:eastAsia="Times New Roman" w:hAnsi="Arial" w:cs="Arial"/>
                <w:sz w:val="20"/>
                <w:szCs w:val="20"/>
              </w:rPr>
            </w:pPr>
            <w:r w:rsidRPr="00A5351A">
              <w:rPr>
                <w:rFonts w:ascii="Arial" w:hAnsi="Arial" w:cs="Arial"/>
                <w:sz w:val="20"/>
                <w:szCs w:val="20"/>
              </w:rPr>
              <w:t>723.650</w:t>
            </w:r>
          </w:p>
        </w:tc>
        <w:tc>
          <w:tcPr>
            <w:tcW w:w="909" w:type="pct"/>
            <w:tcBorders>
              <w:top w:val="nil"/>
              <w:left w:val="nil"/>
              <w:bottom w:val="nil"/>
              <w:right w:val="nil"/>
            </w:tcBorders>
            <w:shd w:val="clear" w:color="auto" w:fill="auto"/>
            <w:vAlign w:val="bottom"/>
          </w:tcPr>
          <w:p w14:paraId="48EB6A8A" w14:textId="5EB3DC64" w:rsidR="000D21C4" w:rsidRPr="00EB26D5" w:rsidRDefault="000D21C4" w:rsidP="000D21C4">
            <w:pPr>
              <w:tabs>
                <w:tab w:val="right" w:pos="1202"/>
              </w:tabs>
              <w:suppressAutoHyphens/>
              <w:autoSpaceDN w:val="0"/>
              <w:spacing w:line="301" w:lineRule="exact"/>
              <w:jc w:val="right"/>
              <w:outlineLvl w:val="0"/>
              <w:rPr>
                <w:rFonts w:ascii="Arial" w:eastAsia="Times New Roman" w:hAnsi="Arial" w:cs="Arial"/>
                <w:sz w:val="20"/>
                <w:szCs w:val="20"/>
              </w:rPr>
            </w:pPr>
            <w:r w:rsidRPr="00EB26D5">
              <w:rPr>
                <w:rFonts w:ascii="Arial" w:hAnsi="Arial" w:cs="Arial"/>
                <w:sz w:val="20"/>
              </w:rPr>
              <w:t xml:space="preserve"> 726.253 </w:t>
            </w:r>
          </w:p>
        </w:tc>
      </w:tr>
      <w:tr w:rsidR="000D21C4" w:rsidRPr="00836315" w14:paraId="2255FF76" w14:textId="77777777" w:rsidTr="00836315">
        <w:trPr>
          <w:trHeight w:val="283"/>
        </w:trPr>
        <w:tc>
          <w:tcPr>
            <w:tcW w:w="3123" w:type="pct"/>
            <w:vAlign w:val="bottom"/>
          </w:tcPr>
          <w:p w14:paraId="148DE69D" w14:textId="77777777" w:rsidR="000D21C4" w:rsidRPr="00836315" w:rsidRDefault="000D21C4" w:rsidP="000D21C4">
            <w:pPr>
              <w:tabs>
                <w:tab w:val="right" w:pos="1202"/>
              </w:tabs>
              <w:suppressAutoHyphens/>
              <w:autoSpaceDN w:val="0"/>
              <w:spacing w:line="301" w:lineRule="exact"/>
              <w:outlineLvl w:val="0"/>
              <w:rPr>
                <w:rFonts w:ascii="Arial" w:eastAsia="Times New Roman" w:hAnsi="Arial" w:cs="Arial"/>
                <w:sz w:val="20"/>
                <w:szCs w:val="20"/>
              </w:rPr>
            </w:pPr>
            <w:bookmarkStart w:id="376" w:name="_Toc67328069"/>
            <w:r w:rsidRPr="00836315">
              <w:rPr>
                <w:rFonts w:ascii="Arial" w:eastAsia="Times New Roman" w:hAnsi="Arial" w:cs="Arial"/>
                <w:sz w:val="20"/>
                <w:szCs w:val="20"/>
              </w:rPr>
              <w:t>Strane pravne osobe</w:t>
            </w:r>
            <w:bookmarkEnd w:id="376"/>
          </w:p>
        </w:tc>
        <w:tc>
          <w:tcPr>
            <w:tcW w:w="968" w:type="pct"/>
            <w:tcBorders>
              <w:top w:val="nil"/>
              <w:left w:val="nil"/>
              <w:bottom w:val="nil"/>
              <w:right w:val="nil"/>
            </w:tcBorders>
            <w:shd w:val="clear" w:color="auto" w:fill="auto"/>
            <w:vAlign w:val="bottom"/>
          </w:tcPr>
          <w:p w14:paraId="22D4DDF1" w14:textId="78DF189F" w:rsidR="000D21C4" w:rsidRPr="00A5351A" w:rsidRDefault="000D21C4" w:rsidP="000D21C4">
            <w:pPr>
              <w:tabs>
                <w:tab w:val="right" w:pos="1202"/>
              </w:tabs>
              <w:suppressAutoHyphens/>
              <w:autoSpaceDN w:val="0"/>
              <w:spacing w:line="301" w:lineRule="exact"/>
              <w:jc w:val="right"/>
              <w:outlineLvl w:val="0"/>
              <w:rPr>
                <w:rFonts w:ascii="Arial" w:eastAsia="Times New Roman" w:hAnsi="Arial" w:cs="Arial"/>
                <w:sz w:val="20"/>
                <w:szCs w:val="20"/>
              </w:rPr>
            </w:pPr>
            <w:r w:rsidRPr="00A5351A">
              <w:rPr>
                <w:rFonts w:ascii="Arial" w:hAnsi="Arial" w:cs="Arial"/>
                <w:sz w:val="20"/>
                <w:szCs w:val="20"/>
              </w:rPr>
              <w:t>4.852</w:t>
            </w:r>
          </w:p>
        </w:tc>
        <w:tc>
          <w:tcPr>
            <w:tcW w:w="909" w:type="pct"/>
            <w:tcBorders>
              <w:top w:val="nil"/>
              <w:left w:val="nil"/>
              <w:bottom w:val="nil"/>
              <w:right w:val="nil"/>
            </w:tcBorders>
            <w:shd w:val="clear" w:color="auto" w:fill="auto"/>
            <w:vAlign w:val="bottom"/>
          </w:tcPr>
          <w:p w14:paraId="5B533646" w14:textId="63A26339" w:rsidR="000D21C4" w:rsidRPr="00EB26D5" w:rsidRDefault="000D21C4" w:rsidP="000D21C4">
            <w:pPr>
              <w:tabs>
                <w:tab w:val="right" w:pos="1202"/>
              </w:tabs>
              <w:suppressAutoHyphens/>
              <w:autoSpaceDN w:val="0"/>
              <w:spacing w:line="301" w:lineRule="exact"/>
              <w:jc w:val="right"/>
              <w:outlineLvl w:val="0"/>
              <w:rPr>
                <w:rFonts w:ascii="Arial" w:eastAsia="Times New Roman" w:hAnsi="Arial" w:cs="Arial"/>
                <w:sz w:val="20"/>
                <w:szCs w:val="20"/>
              </w:rPr>
            </w:pPr>
            <w:r w:rsidRPr="00EB26D5">
              <w:rPr>
                <w:rFonts w:ascii="Arial" w:hAnsi="Arial" w:cs="Arial"/>
                <w:sz w:val="20"/>
              </w:rPr>
              <w:t xml:space="preserve"> -    </w:t>
            </w:r>
          </w:p>
        </w:tc>
      </w:tr>
      <w:tr w:rsidR="000D21C4" w:rsidRPr="00836315" w14:paraId="06C2B938" w14:textId="77777777" w:rsidTr="00836315">
        <w:trPr>
          <w:trHeight w:val="283"/>
        </w:trPr>
        <w:tc>
          <w:tcPr>
            <w:tcW w:w="3123" w:type="pct"/>
            <w:vAlign w:val="bottom"/>
          </w:tcPr>
          <w:p w14:paraId="58361826" w14:textId="77777777" w:rsidR="000D21C4" w:rsidRPr="00836315" w:rsidRDefault="000D21C4" w:rsidP="000D21C4">
            <w:pPr>
              <w:tabs>
                <w:tab w:val="right" w:pos="1202"/>
              </w:tabs>
              <w:suppressAutoHyphens/>
              <w:autoSpaceDN w:val="0"/>
              <w:spacing w:line="301" w:lineRule="exact"/>
              <w:outlineLvl w:val="0"/>
              <w:rPr>
                <w:rFonts w:ascii="Arial" w:eastAsia="Times New Roman" w:hAnsi="Arial" w:cs="Arial"/>
                <w:sz w:val="20"/>
                <w:szCs w:val="20"/>
              </w:rPr>
            </w:pPr>
            <w:bookmarkStart w:id="377" w:name="_Toc67328075"/>
            <w:r w:rsidRPr="00836315">
              <w:rPr>
                <w:rFonts w:ascii="Arial" w:eastAsia="Times New Roman" w:hAnsi="Arial" w:cs="Arial"/>
                <w:sz w:val="20"/>
                <w:szCs w:val="20"/>
              </w:rPr>
              <w:t>Ostali</w:t>
            </w:r>
            <w:bookmarkEnd w:id="377"/>
          </w:p>
        </w:tc>
        <w:tc>
          <w:tcPr>
            <w:tcW w:w="968" w:type="pct"/>
            <w:tcBorders>
              <w:top w:val="nil"/>
              <w:left w:val="nil"/>
              <w:bottom w:val="nil"/>
              <w:right w:val="nil"/>
            </w:tcBorders>
            <w:shd w:val="clear" w:color="auto" w:fill="auto"/>
            <w:vAlign w:val="bottom"/>
          </w:tcPr>
          <w:p w14:paraId="2E49522E" w14:textId="5004ECFD" w:rsidR="000D21C4" w:rsidRPr="00A5351A" w:rsidRDefault="00492DC1" w:rsidP="000D21C4">
            <w:pPr>
              <w:tabs>
                <w:tab w:val="right" w:pos="1202"/>
              </w:tabs>
              <w:suppressAutoHyphens/>
              <w:autoSpaceDN w:val="0"/>
              <w:spacing w:line="301" w:lineRule="exact"/>
              <w:jc w:val="right"/>
              <w:outlineLvl w:val="0"/>
              <w:rPr>
                <w:rFonts w:ascii="Arial" w:eastAsia="Times New Roman" w:hAnsi="Arial" w:cs="Arial"/>
                <w:sz w:val="20"/>
                <w:szCs w:val="20"/>
              </w:rPr>
            </w:pPr>
            <w:r w:rsidRPr="00A5351A">
              <w:rPr>
                <w:rFonts w:ascii="Arial" w:eastAsia="Times New Roman" w:hAnsi="Arial" w:cs="Arial"/>
                <w:sz w:val="20"/>
                <w:szCs w:val="20"/>
              </w:rPr>
              <w:t>60.414</w:t>
            </w:r>
          </w:p>
        </w:tc>
        <w:tc>
          <w:tcPr>
            <w:tcW w:w="909" w:type="pct"/>
            <w:tcBorders>
              <w:top w:val="nil"/>
              <w:left w:val="nil"/>
              <w:bottom w:val="nil"/>
              <w:right w:val="nil"/>
            </w:tcBorders>
            <w:shd w:val="clear" w:color="auto" w:fill="auto"/>
            <w:vAlign w:val="bottom"/>
          </w:tcPr>
          <w:p w14:paraId="4DE28986" w14:textId="1DAE497C" w:rsidR="000D21C4" w:rsidRPr="00EB26D5" w:rsidRDefault="000D21C4" w:rsidP="000D21C4">
            <w:pPr>
              <w:tabs>
                <w:tab w:val="right" w:pos="1202"/>
              </w:tabs>
              <w:suppressAutoHyphens/>
              <w:autoSpaceDN w:val="0"/>
              <w:spacing w:line="301" w:lineRule="exact"/>
              <w:jc w:val="right"/>
              <w:outlineLvl w:val="0"/>
              <w:rPr>
                <w:rFonts w:ascii="Arial" w:eastAsia="Times New Roman" w:hAnsi="Arial" w:cs="Arial"/>
                <w:sz w:val="20"/>
                <w:szCs w:val="20"/>
              </w:rPr>
            </w:pPr>
            <w:r w:rsidRPr="00EB26D5">
              <w:rPr>
                <w:rFonts w:ascii="Arial" w:hAnsi="Arial" w:cs="Arial"/>
                <w:sz w:val="20"/>
              </w:rPr>
              <w:t xml:space="preserve"> 62.307 </w:t>
            </w:r>
          </w:p>
        </w:tc>
      </w:tr>
      <w:tr w:rsidR="00553F36" w:rsidRPr="00836315" w14:paraId="1E663132" w14:textId="77777777" w:rsidTr="005D1219">
        <w:trPr>
          <w:trHeight w:val="283"/>
        </w:trPr>
        <w:tc>
          <w:tcPr>
            <w:tcW w:w="3123" w:type="pct"/>
            <w:vAlign w:val="bottom"/>
          </w:tcPr>
          <w:p w14:paraId="77483D28" w14:textId="77777777" w:rsidR="00553F36" w:rsidRPr="00836315" w:rsidRDefault="00553F36" w:rsidP="00553F36">
            <w:pPr>
              <w:tabs>
                <w:tab w:val="right" w:pos="1202"/>
              </w:tabs>
              <w:suppressAutoHyphens/>
              <w:autoSpaceDN w:val="0"/>
              <w:spacing w:line="301" w:lineRule="exact"/>
              <w:outlineLvl w:val="0"/>
              <w:rPr>
                <w:rFonts w:ascii="Arial" w:eastAsia="Times New Roman" w:hAnsi="Arial" w:cs="Arial"/>
                <w:sz w:val="20"/>
                <w:szCs w:val="20"/>
              </w:rPr>
            </w:pPr>
            <w:bookmarkStart w:id="378" w:name="_Toc67328078"/>
            <w:r w:rsidRPr="00836315">
              <w:rPr>
                <w:rFonts w:ascii="Arial" w:eastAsia="Times New Roman" w:hAnsi="Arial" w:cs="Arial"/>
                <w:sz w:val="20"/>
                <w:szCs w:val="20"/>
              </w:rPr>
              <w:t>Obračunata kamata</w:t>
            </w:r>
            <w:bookmarkEnd w:id="378"/>
          </w:p>
        </w:tc>
        <w:tc>
          <w:tcPr>
            <w:tcW w:w="968" w:type="pct"/>
            <w:tcBorders>
              <w:top w:val="nil"/>
              <w:left w:val="nil"/>
              <w:bottom w:val="nil"/>
              <w:right w:val="nil"/>
            </w:tcBorders>
            <w:shd w:val="clear" w:color="auto" w:fill="auto"/>
          </w:tcPr>
          <w:p w14:paraId="295F20FE" w14:textId="769B7909" w:rsidR="00553F36" w:rsidRPr="00A5351A" w:rsidRDefault="00553F36" w:rsidP="00553F36">
            <w:pPr>
              <w:tabs>
                <w:tab w:val="right" w:pos="1202"/>
              </w:tabs>
              <w:suppressAutoHyphens/>
              <w:autoSpaceDN w:val="0"/>
              <w:spacing w:line="301" w:lineRule="exact"/>
              <w:jc w:val="right"/>
              <w:outlineLvl w:val="0"/>
              <w:rPr>
                <w:rFonts w:ascii="Arial" w:eastAsia="Times New Roman" w:hAnsi="Arial" w:cs="Arial"/>
                <w:sz w:val="20"/>
                <w:szCs w:val="20"/>
              </w:rPr>
            </w:pPr>
            <w:r w:rsidRPr="00A5351A">
              <w:rPr>
                <w:rFonts w:ascii="Arial" w:hAnsi="Arial" w:cs="Arial"/>
                <w:sz w:val="20"/>
                <w:szCs w:val="20"/>
              </w:rPr>
              <w:t>50.403</w:t>
            </w:r>
          </w:p>
        </w:tc>
        <w:tc>
          <w:tcPr>
            <w:tcW w:w="909" w:type="pct"/>
            <w:tcBorders>
              <w:top w:val="nil"/>
              <w:left w:val="nil"/>
              <w:right w:val="nil"/>
            </w:tcBorders>
            <w:shd w:val="clear" w:color="auto" w:fill="auto"/>
            <w:vAlign w:val="bottom"/>
          </w:tcPr>
          <w:p w14:paraId="418174AF" w14:textId="0D4EA3CF" w:rsidR="00553F36" w:rsidRPr="00EB26D5" w:rsidRDefault="00553F36" w:rsidP="00553F36">
            <w:pPr>
              <w:tabs>
                <w:tab w:val="right" w:pos="1202"/>
              </w:tabs>
              <w:suppressAutoHyphens/>
              <w:autoSpaceDN w:val="0"/>
              <w:spacing w:line="301" w:lineRule="exact"/>
              <w:jc w:val="right"/>
              <w:outlineLvl w:val="0"/>
              <w:rPr>
                <w:rFonts w:ascii="Arial" w:eastAsia="Times New Roman" w:hAnsi="Arial" w:cs="Arial"/>
                <w:sz w:val="20"/>
                <w:szCs w:val="20"/>
              </w:rPr>
            </w:pPr>
            <w:r w:rsidRPr="00EB26D5">
              <w:rPr>
                <w:rFonts w:ascii="Arial" w:hAnsi="Arial" w:cs="Arial"/>
                <w:sz w:val="20"/>
              </w:rPr>
              <w:t xml:space="preserve"> 47.646 </w:t>
            </w:r>
          </w:p>
        </w:tc>
      </w:tr>
      <w:tr w:rsidR="00553F36" w:rsidRPr="00836315" w14:paraId="7E2D5E9B" w14:textId="77777777" w:rsidTr="005D1219">
        <w:trPr>
          <w:trHeight w:val="283"/>
        </w:trPr>
        <w:tc>
          <w:tcPr>
            <w:tcW w:w="3123" w:type="pct"/>
            <w:vAlign w:val="bottom"/>
          </w:tcPr>
          <w:p w14:paraId="517A19EA" w14:textId="77777777" w:rsidR="00553F36" w:rsidRPr="00836315" w:rsidRDefault="00553F36" w:rsidP="00553F36">
            <w:pPr>
              <w:tabs>
                <w:tab w:val="right" w:pos="1202"/>
              </w:tabs>
              <w:suppressAutoHyphens/>
              <w:autoSpaceDN w:val="0"/>
              <w:spacing w:line="301" w:lineRule="exact"/>
              <w:outlineLvl w:val="0"/>
              <w:rPr>
                <w:rFonts w:ascii="Arial" w:eastAsia="Times New Roman" w:hAnsi="Arial" w:cs="Arial"/>
                <w:sz w:val="20"/>
                <w:szCs w:val="20"/>
              </w:rPr>
            </w:pPr>
            <w:bookmarkStart w:id="379" w:name="_Toc67328081"/>
            <w:r w:rsidRPr="00836315">
              <w:rPr>
                <w:rFonts w:ascii="Arial" w:eastAsia="Times New Roman" w:hAnsi="Arial" w:cs="Arial"/>
                <w:sz w:val="20"/>
                <w:szCs w:val="20"/>
              </w:rPr>
              <w:t>Odgođena naknada po kreditima</w:t>
            </w:r>
            <w:bookmarkEnd w:id="379"/>
          </w:p>
        </w:tc>
        <w:tc>
          <w:tcPr>
            <w:tcW w:w="968" w:type="pct"/>
            <w:tcBorders>
              <w:top w:val="nil"/>
              <w:left w:val="nil"/>
              <w:right w:val="nil"/>
            </w:tcBorders>
            <w:shd w:val="clear" w:color="auto" w:fill="auto"/>
          </w:tcPr>
          <w:p w14:paraId="5440FC2D" w14:textId="70EBBAD5" w:rsidR="00553F36" w:rsidRPr="00A5351A" w:rsidRDefault="00553F36" w:rsidP="00553F36">
            <w:pPr>
              <w:tabs>
                <w:tab w:val="right" w:pos="1202"/>
              </w:tabs>
              <w:suppressAutoHyphens/>
              <w:autoSpaceDN w:val="0"/>
              <w:spacing w:line="301" w:lineRule="exact"/>
              <w:jc w:val="right"/>
              <w:outlineLvl w:val="0"/>
              <w:rPr>
                <w:rFonts w:ascii="Arial" w:eastAsia="Times New Roman" w:hAnsi="Arial" w:cs="Arial"/>
                <w:sz w:val="20"/>
                <w:szCs w:val="20"/>
              </w:rPr>
            </w:pPr>
            <w:r w:rsidRPr="00A5351A">
              <w:rPr>
                <w:rFonts w:ascii="Arial" w:hAnsi="Arial" w:cs="Arial"/>
                <w:sz w:val="20"/>
                <w:szCs w:val="20"/>
              </w:rPr>
              <w:t>(10.676)</w:t>
            </w:r>
          </w:p>
        </w:tc>
        <w:tc>
          <w:tcPr>
            <w:tcW w:w="909" w:type="pct"/>
            <w:tcBorders>
              <w:top w:val="nil"/>
              <w:left w:val="nil"/>
              <w:right w:val="nil"/>
            </w:tcBorders>
            <w:shd w:val="clear" w:color="auto" w:fill="auto"/>
            <w:vAlign w:val="bottom"/>
          </w:tcPr>
          <w:p w14:paraId="5C171FD7" w14:textId="160BAA69" w:rsidR="00553F36" w:rsidRPr="00EB26D5" w:rsidRDefault="00553F36" w:rsidP="00553F36">
            <w:pPr>
              <w:tabs>
                <w:tab w:val="right" w:pos="1202"/>
              </w:tabs>
              <w:suppressAutoHyphens/>
              <w:autoSpaceDN w:val="0"/>
              <w:spacing w:line="301" w:lineRule="exact"/>
              <w:jc w:val="right"/>
              <w:outlineLvl w:val="0"/>
              <w:rPr>
                <w:rFonts w:ascii="Arial" w:eastAsia="Times New Roman" w:hAnsi="Arial" w:cs="Arial"/>
                <w:sz w:val="20"/>
                <w:szCs w:val="20"/>
              </w:rPr>
            </w:pPr>
            <w:r w:rsidRPr="00EB26D5">
              <w:rPr>
                <w:rFonts w:ascii="Arial" w:hAnsi="Arial" w:cs="Arial"/>
                <w:sz w:val="20"/>
              </w:rPr>
              <w:t>(9.245)</w:t>
            </w:r>
          </w:p>
        </w:tc>
      </w:tr>
      <w:tr w:rsidR="000D21C4" w:rsidRPr="00836315" w14:paraId="6D16F6C2" w14:textId="77777777" w:rsidTr="00836315">
        <w:trPr>
          <w:trHeight w:val="283"/>
        </w:trPr>
        <w:tc>
          <w:tcPr>
            <w:tcW w:w="3123" w:type="pct"/>
            <w:vAlign w:val="bottom"/>
          </w:tcPr>
          <w:p w14:paraId="2D9368E8" w14:textId="77777777" w:rsidR="000D21C4" w:rsidRPr="00836315" w:rsidRDefault="000D21C4" w:rsidP="000D21C4">
            <w:pPr>
              <w:tabs>
                <w:tab w:val="right" w:pos="1202"/>
              </w:tabs>
              <w:suppressAutoHyphens/>
              <w:autoSpaceDN w:val="0"/>
              <w:spacing w:line="200" w:lineRule="exact"/>
              <w:outlineLvl w:val="0"/>
              <w:rPr>
                <w:rFonts w:ascii="Arial" w:eastAsia="Times New Roman" w:hAnsi="Arial" w:cs="Arial"/>
                <w:color w:val="000000" w:themeColor="text1"/>
                <w:spacing w:val="-3"/>
                <w:sz w:val="20"/>
                <w:szCs w:val="20"/>
              </w:rPr>
            </w:pPr>
          </w:p>
        </w:tc>
        <w:tc>
          <w:tcPr>
            <w:tcW w:w="968" w:type="pct"/>
            <w:tcBorders>
              <w:top w:val="single" w:sz="4" w:space="0" w:color="auto"/>
              <w:bottom w:val="single" w:sz="4" w:space="0" w:color="auto"/>
            </w:tcBorders>
            <w:vAlign w:val="bottom"/>
          </w:tcPr>
          <w:p w14:paraId="0B2C44DB" w14:textId="10E6C65A" w:rsidR="000D21C4" w:rsidRPr="00836315" w:rsidRDefault="00553F36" w:rsidP="000D21C4">
            <w:pPr>
              <w:tabs>
                <w:tab w:val="right" w:pos="1202"/>
              </w:tabs>
              <w:suppressAutoHyphens/>
              <w:autoSpaceDN w:val="0"/>
              <w:spacing w:line="301" w:lineRule="exact"/>
              <w:jc w:val="right"/>
              <w:outlineLvl w:val="0"/>
              <w:rPr>
                <w:rFonts w:ascii="Arial" w:eastAsia="Times New Roman" w:hAnsi="Arial" w:cs="Arial"/>
                <w:sz w:val="20"/>
                <w:szCs w:val="20"/>
              </w:rPr>
            </w:pPr>
            <w:r>
              <w:rPr>
                <w:rFonts w:ascii="Arial" w:eastAsia="Times New Roman" w:hAnsi="Arial" w:cs="Arial"/>
                <w:sz w:val="20"/>
                <w:szCs w:val="20"/>
              </w:rPr>
              <w:t>2.803.2</w:t>
            </w:r>
            <w:r w:rsidR="009E59F7">
              <w:rPr>
                <w:rFonts w:ascii="Arial" w:eastAsia="Times New Roman" w:hAnsi="Arial" w:cs="Arial"/>
                <w:sz w:val="20"/>
                <w:szCs w:val="20"/>
              </w:rPr>
              <w:t>0</w:t>
            </w:r>
            <w:r>
              <w:rPr>
                <w:rFonts w:ascii="Arial" w:eastAsia="Times New Roman" w:hAnsi="Arial" w:cs="Arial"/>
                <w:sz w:val="20"/>
                <w:szCs w:val="20"/>
              </w:rPr>
              <w:t>7</w:t>
            </w:r>
          </w:p>
        </w:tc>
        <w:tc>
          <w:tcPr>
            <w:tcW w:w="909" w:type="pct"/>
            <w:tcBorders>
              <w:top w:val="single" w:sz="4" w:space="0" w:color="auto"/>
              <w:bottom w:val="single" w:sz="4" w:space="0" w:color="auto"/>
            </w:tcBorders>
            <w:vAlign w:val="bottom"/>
          </w:tcPr>
          <w:p w14:paraId="3C5A3E5B" w14:textId="6F134D21" w:rsidR="000D21C4" w:rsidRPr="00EB26D5" w:rsidRDefault="000D21C4" w:rsidP="000D21C4">
            <w:pPr>
              <w:tabs>
                <w:tab w:val="right" w:pos="1202"/>
              </w:tabs>
              <w:suppressAutoHyphens/>
              <w:autoSpaceDN w:val="0"/>
              <w:spacing w:line="301" w:lineRule="exact"/>
              <w:jc w:val="right"/>
              <w:outlineLvl w:val="0"/>
              <w:rPr>
                <w:rFonts w:ascii="Arial" w:eastAsia="Times New Roman" w:hAnsi="Arial" w:cs="Arial"/>
                <w:sz w:val="20"/>
                <w:szCs w:val="20"/>
              </w:rPr>
            </w:pPr>
            <w:r w:rsidRPr="00EB26D5">
              <w:rPr>
                <w:rFonts w:ascii="Arial" w:hAnsi="Arial" w:cs="Arial"/>
                <w:sz w:val="20"/>
                <w:lang w:val="en-US"/>
              </w:rPr>
              <w:t>2.821.953</w:t>
            </w:r>
          </w:p>
        </w:tc>
      </w:tr>
      <w:tr w:rsidR="000D21C4" w:rsidRPr="00836315" w14:paraId="203FECB2" w14:textId="77777777" w:rsidTr="00836315">
        <w:trPr>
          <w:trHeight w:val="283"/>
        </w:trPr>
        <w:tc>
          <w:tcPr>
            <w:tcW w:w="3123" w:type="pct"/>
            <w:vAlign w:val="bottom"/>
          </w:tcPr>
          <w:p w14:paraId="2505582E" w14:textId="77777777" w:rsidR="000D21C4" w:rsidRPr="00836315" w:rsidRDefault="000D21C4" w:rsidP="000D21C4">
            <w:pPr>
              <w:tabs>
                <w:tab w:val="right" w:pos="1202"/>
              </w:tabs>
              <w:suppressAutoHyphens/>
              <w:autoSpaceDN w:val="0"/>
              <w:spacing w:line="200" w:lineRule="exact"/>
              <w:outlineLvl w:val="0"/>
              <w:rPr>
                <w:rFonts w:ascii="Arial" w:eastAsia="Times New Roman" w:hAnsi="Arial" w:cs="Arial"/>
                <w:color w:val="000000" w:themeColor="text1"/>
                <w:sz w:val="20"/>
                <w:szCs w:val="20"/>
              </w:rPr>
            </w:pPr>
            <w:bookmarkStart w:id="380" w:name="_Toc67328086"/>
            <w:r w:rsidRPr="00836315">
              <w:rPr>
                <w:rFonts w:ascii="Arial" w:eastAsia="Times New Roman" w:hAnsi="Arial" w:cs="Arial"/>
                <w:color w:val="000000" w:themeColor="text1"/>
                <w:sz w:val="20"/>
                <w:szCs w:val="20"/>
              </w:rPr>
              <w:t>Rezerviranja za očekivane gubitke</w:t>
            </w:r>
            <w:bookmarkEnd w:id="380"/>
          </w:p>
        </w:tc>
        <w:tc>
          <w:tcPr>
            <w:tcW w:w="968" w:type="pct"/>
            <w:tcBorders>
              <w:top w:val="single" w:sz="4" w:space="0" w:color="auto"/>
              <w:bottom w:val="single" w:sz="4" w:space="0" w:color="auto"/>
            </w:tcBorders>
            <w:vAlign w:val="bottom"/>
          </w:tcPr>
          <w:p w14:paraId="59149F2C" w14:textId="6A2AED12" w:rsidR="000D21C4" w:rsidRPr="00836315" w:rsidRDefault="00B854DA" w:rsidP="000D21C4">
            <w:pPr>
              <w:tabs>
                <w:tab w:val="right" w:pos="1202"/>
              </w:tabs>
              <w:suppressAutoHyphens/>
              <w:autoSpaceDN w:val="0"/>
              <w:spacing w:line="301" w:lineRule="exact"/>
              <w:jc w:val="right"/>
              <w:outlineLvl w:val="0"/>
              <w:rPr>
                <w:rFonts w:ascii="Arial" w:eastAsia="Times New Roman" w:hAnsi="Arial" w:cs="Arial"/>
                <w:sz w:val="20"/>
                <w:szCs w:val="20"/>
              </w:rPr>
            </w:pPr>
            <w:r>
              <w:rPr>
                <w:rFonts w:ascii="Arial" w:eastAsia="Times New Roman" w:hAnsi="Arial" w:cs="Arial"/>
                <w:sz w:val="20"/>
                <w:szCs w:val="20"/>
              </w:rPr>
              <w:t>(465.363)</w:t>
            </w:r>
          </w:p>
        </w:tc>
        <w:tc>
          <w:tcPr>
            <w:tcW w:w="909" w:type="pct"/>
            <w:tcBorders>
              <w:top w:val="single" w:sz="4" w:space="0" w:color="auto"/>
              <w:bottom w:val="single" w:sz="4" w:space="0" w:color="auto"/>
            </w:tcBorders>
            <w:vAlign w:val="bottom"/>
          </w:tcPr>
          <w:p w14:paraId="072B393F" w14:textId="0121442C" w:rsidR="000D21C4" w:rsidRPr="00EB26D5" w:rsidRDefault="000D21C4" w:rsidP="000D21C4">
            <w:pPr>
              <w:tabs>
                <w:tab w:val="right" w:pos="1202"/>
              </w:tabs>
              <w:suppressAutoHyphens/>
              <w:autoSpaceDN w:val="0"/>
              <w:spacing w:line="301" w:lineRule="exact"/>
              <w:jc w:val="right"/>
              <w:outlineLvl w:val="0"/>
              <w:rPr>
                <w:rFonts w:ascii="Arial" w:eastAsia="Times New Roman" w:hAnsi="Arial" w:cs="Arial"/>
                <w:sz w:val="20"/>
                <w:szCs w:val="20"/>
              </w:rPr>
            </w:pPr>
            <w:r w:rsidRPr="00EB26D5">
              <w:rPr>
                <w:rFonts w:ascii="Arial" w:hAnsi="Arial" w:cs="Arial"/>
                <w:sz w:val="20"/>
                <w:lang w:val="en-US"/>
              </w:rPr>
              <w:t>(470.757)</w:t>
            </w:r>
          </w:p>
        </w:tc>
      </w:tr>
      <w:tr w:rsidR="000D21C4" w:rsidRPr="00836315" w14:paraId="65223BF9" w14:textId="77777777" w:rsidTr="00836315">
        <w:trPr>
          <w:trHeight w:val="340"/>
        </w:trPr>
        <w:tc>
          <w:tcPr>
            <w:tcW w:w="3123" w:type="pct"/>
            <w:vAlign w:val="bottom"/>
          </w:tcPr>
          <w:p w14:paraId="4F683517" w14:textId="77777777" w:rsidR="000D21C4" w:rsidRPr="00836315" w:rsidRDefault="000D21C4" w:rsidP="000D21C4">
            <w:pPr>
              <w:tabs>
                <w:tab w:val="right" w:pos="1202"/>
              </w:tabs>
              <w:suppressAutoHyphens/>
              <w:autoSpaceDN w:val="0"/>
              <w:spacing w:line="200" w:lineRule="exact"/>
              <w:outlineLvl w:val="0"/>
              <w:rPr>
                <w:rFonts w:ascii="Arial" w:eastAsia="Times New Roman" w:hAnsi="Arial" w:cs="Arial"/>
                <w:b/>
                <w:bCs/>
                <w:color w:val="000000" w:themeColor="text1"/>
                <w:sz w:val="20"/>
                <w:szCs w:val="20"/>
              </w:rPr>
            </w:pPr>
          </w:p>
        </w:tc>
        <w:tc>
          <w:tcPr>
            <w:tcW w:w="968" w:type="pct"/>
            <w:tcBorders>
              <w:top w:val="single" w:sz="4" w:space="0" w:color="auto"/>
              <w:bottom w:val="single" w:sz="12" w:space="0" w:color="auto"/>
            </w:tcBorders>
            <w:vAlign w:val="bottom"/>
          </w:tcPr>
          <w:p w14:paraId="6BC997AF" w14:textId="663701E8" w:rsidR="000D21C4" w:rsidRPr="00836315" w:rsidRDefault="00B854DA" w:rsidP="000D21C4">
            <w:pPr>
              <w:tabs>
                <w:tab w:val="right" w:pos="1202"/>
              </w:tabs>
              <w:suppressAutoHyphens/>
              <w:autoSpaceDN w:val="0"/>
              <w:spacing w:line="301" w:lineRule="exact"/>
              <w:jc w:val="right"/>
              <w:outlineLvl w:val="0"/>
              <w:rPr>
                <w:rFonts w:ascii="Arial" w:eastAsia="Times New Roman" w:hAnsi="Arial" w:cs="Arial"/>
                <w:b/>
                <w:bCs/>
                <w:sz w:val="20"/>
                <w:szCs w:val="20"/>
              </w:rPr>
            </w:pPr>
            <w:r>
              <w:rPr>
                <w:rFonts w:ascii="Arial" w:eastAsia="Times New Roman" w:hAnsi="Arial" w:cs="Arial"/>
                <w:b/>
                <w:bCs/>
                <w:sz w:val="20"/>
                <w:szCs w:val="20"/>
              </w:rPr>
              <w:t>2.337.844</w:t>
            </w:r>
          </w:p>
        </w:tc>
        <w:tc>
          <w:tcPr>
            <w:tcW w:w="909" w:type="pct"/>
            <w:tcBorders>
              <w:top w:val="single" w:sz="4" w:space="0" w:color="auto"/>
              <w:bottom w:val="single" w:sz="12" w:space="0" w:color="auto"/>
            </w:tcBorders>
            <w:vAlign w:val="bottom"/>
          </w:tcPr>
          <w:p w14:paraId="2FCCF6BB" w14:textId="7DEB3426" w:rsidR="000D21C4" w:rsidRPr="00EB26D5" w:rsidRDefault="000D21C4" w:rsidP="000D21C4">
            <w:pPr>
              <w:tabs>
                <w:tab w:val="right" w:pos="1202"/>
              </w:tabs>
              <w:suppressAutoHyphens/>
              <w:autoSpaceDN w:val="0"/>
              <w:spacing w:line="301" w:lineRule="exact"/>
              <w:jc w:val="right"/>
              <w:outlineLvl w:val="0"/>
              <w:rPr>
                <w:rFonts w:ascii="Arial" w:eastAsia="Times New Roman" w:hAnsi="Arial" w:cs="Arial"/>
                <w:b/>
                <w:bCs/>
                <w:sz w:val="20"/>
                <w:szCs w:val="20"/>
              </w:rPr>
            </w:pPr>
            <w:r w:rsidRPr="00EB26D5">
              <w:rPr>
                <w:rFonts w:ascii="Arial" w:hAnsi="Arial" w:cs="Arial"/>
                <w:b/>
                <w:bCs/>
                <w:sz w:val="20"/>
                <w:lang w:val="en-US"/>
              </w:rPr>
              <w:t>2.351.196</w:t>
            </w:r>
          </w:p>
        </w:tc>
      </w:tr>
    </w:tbl>
    <w:p w14:paraId="6D63A9B4"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p w14:paraId="23724DF6"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p w14:paraId="73259BAC" w14:textId="77777777" w:rsidR="001B5068" w:rsidRPr="003D1614" w:rsidRDefault="001B5068" w:rsidP="001B5068">
      <w:pPr>
        <w:suppressAutoHyphens/>
        <w:autoSpaceDN w:val="0"/>
        <w:jc w:val="both"/>
        <w:rPr>
          <w:rFonts w:ascii="Arial" w:eastAsia="Times New Roman" w:hAnsi="Arial" w:cs="Arial"/>
          <w:color w:val="000000" w:themeColor="text1"/>
          <w:sz w:val="20"/>
          <w:szCs w:val="20"/>
        </w:rPr>
      </w:pPr>
      <w:bookmarkStart w:id="381" w:name="_Hlk1482692"/>
      <w:r w:rsidRPr="003D1614">
        <w:rPr>
          <w:rFonts w:ascii="Arial" w:eastAsia="Times New Roman" w:hAnsi="Arial" w:cs="Arial"/>
          <w:color w:val="000000" w:themeColor="text1"/>
          <w:sz w:val="20"/>
          <w:szCs w:val="20"/>
        </w:rPr>
        <w:t>Sljedeće tablice prikazuju informacije o kreditnoj kvaliteti financijske imovine koja se mjeri po amortiziranom trošku. Iznosi u tablici predstavljaju bruto knjigovodstvene iznose:</w:t>
      </w:r>
      <w:bookmarkEnd w:id="381"/>
    </w:p>
    <w:p w14:paraId="04D2165D" w14:textId="77777777" w:rsidR="001B5068" w:rsidRPr="003D1614" w:rsidRDefault="001B5068" w:rsidP="001B5068">
      <w:pPr>
        <w:suppressAutoHyphens/>
        <w:autoSpaceDN w:val="0"/>
        <w:jc w:val="both"/>
        <w:rPr>
          <w:rFonts w:ascii="Arial" w:eastAsia="Times New Roman" w:hAnsi="Arial" w:cs="Arial"/>
          <w:color w:val="000000" w:themeColor="text1"/>
          <w:sz w:val="20"/>
          <w:szCs w:val="20"/>
        </w:rPr>
      </w:pPr>
    </w:p>
    <w:tbl>
      <w:tblPr>
        <w:tblpPr w:leftFromText="180" w:rightFromText="180" w:vertAnchor="text" w:horzAnchor="margin" w:tblpY="23"/>
        <w:tblW w:w="9499" w:type="dxa"/>
        <w:tblLayout w:type="fixed"/>
        <w:tblLook w:val="04A0" w:firstRow="1" w:lastRow="0" w:firstColumn="1" w:lastColumn="0" w:noHBand="0" w:noVBand="1"/>
      </w:tblPr>
      <w:tblGrid>
        <w:gridCol w:w="1843"/>
        <w:gridCol w:w="1276"/>
        <w:gridCol w:w="1276"/>
        <w:gridCol w:w="1276"/>
        <w:gridCol w:w="1276"/>
        <w:gridCol w:w="1133"/>
        <w:gridCol w:w="1419"/>
      </w:tblGrid>
      <w:tr w:rsidR="00C376D8" w:rsidRPr="00C51439" w14:paraId="02079B3C" w14:textId="77777777" w:rsidTr="00C376D8">
        <w:trPr>
          <w:trHeight w:val="50"/>
        </w:trPr>
        <w:tc>
          <w:tcPr>
            <w:tcW w:w="1843" w:type="dxa"/>
            <w:tcBorders>
              <w:top w:val="nil"/>
              <w:left w:val="nil"/>
              <w:bottom w:val="nil"/>
              <w:right w:val="nil"/>
            </w:tcBorders>
            <w:shd w:val="clear" w:color="auto" w:fill="auto"/>
            <w:noWrap/>
            <w:vAlign w:val="bottom"/>
            <w:hideMark/>
          </w:tcPr>
          <w:p w14:paraId="2E550BF1" w14:textId="20CF6F94" w:rsidR="00C376D8" w:rsidRPr="00C51439" w:rsidRDefault="00C376D8" w:rsidP="006D3A80">
            <w:pPr>
              <w:rPr>
                <w:rFonts w:ascii="Arial" w:hAnsi="Arial" w:cs="Arial"/>
                <w:b/>
                <w:color w:val="000000" w:themeColor="text1"/>
                <w:sz w:val="18"/>
                <w:szCs w:val="18"/>
              </w:rPr>
            </w:pPr>
            <w:r w:rsidRPr="00C51439">
              <w:rPr>
                <w:rFonts w:ascii="Arial" w:hAnsi="Arial" w:cs="Arial"/>
                <w:b/>
                <w:color w:val="000000" w:themeColor="text1"/>
                <w:sz w:val="18"/>
                <w:szCs w:val="18"/>
              </w:rPr>
              <w:t xml:space="preserve">31. </w:t>
            </w:r>
            <w:r>
              <w:rPr>
                <w:rFonts w:ascii="Arial" w:hAnsi="Arial" w:cs="Arial"/>
                <w:b/>
                <w:color w:val="000000" w:themeColor="text1"/>
                <w:sz w:val="18"/>
                <w:szCs w:val="18"/>
              </w:rPr>
              <w:t>ožujka</w:t>
            </w:r>
            <w:r w:rsidRPr="00C51439">
              <w:rPr>
                <w:rFonts w:ascii="Arial" w:hAnsi="Arial" w:cs="Arial"/>
                <w:b/>
                <w:color w:val="000000" w:themeColor="text1"/>
                <w:sz w:val="18"/>
                <w:szCs w:val="18"/>
              </w:rPr>
              <w:t xml:space="preserve"> 202</w:t>
            </w:r>
            <w:r>
              <w:rPr>
                <w:rFonts w:ascii="Arial" w:hAnsi="Arial" w:cs="Arial"/>
                <w:b/>
                <w:color w:val="000000" w:themeColor="text1"/>
                <w:sz w:val="18"/>
                <w:szCs w:val="18"/>
              </w:rPr>
              <w:t>4</w:t>
            </w:r>
            <w:r w:rsidRPr="00C51439">
              <w:rPr>
                <w:rFonts w:ascii="Arial" w:hAnsi="Arial" w:cs="Arial"/>
                <w:b/>
                <w:color w:val="000000" w:themeColor="text1"/>
                <w:sz w:val="18"/>
                <w:szCs w:val="18"/>
              </w:rPr>
              <w:t xml:space="preserve">.    </w:t>
            </w:r>
          </w:p>
        </w:tc>
        <w:tc>
          <w:tcPr>
            <w:tcW w:w="1276" w:type="dxa"/>
            <w:tcBorders>
              <w:top w:val="nil"/>
              <w:left w:val="nil"/>
              <w:bottom w:val="nil"/>
              <w:right w:val="nil"/>
            </w:tcBorders>
          </w:tcPr>
          <w:p w14:paraId="0FB7EFA6" w14:textId="77777777" w:rsidR="00C376D8" w:rsidRPr="00C51439" w:rsidRDefault="00C376D8" w:rsidP="006D3A80">
            <w:pPr>
              <w:jc w:val="right"/>
              <w:rPr>
                <w:rFonts w:ascii="Arial" w:hAnsi="Arial" w:cs="Arial"/>
                <w:b/>
                <w:bCs/>
                <w:color w:val="000000" w:themeColor="text1"/>
                <w:sz w:val="18"/>
                <w:szCs w:val="18"/>
              </w:rPr>
            </w:pPr>
          </w:p>
        </w:tc>
        <w:tc>
          <w:tcPr>
            <w:tcW w:w="6380" w:type="dxa"/>
            <w:gridSpan w:val="5"/>
            <w:tcBorders>
              <w:top w:val="nil"/>
              <w:left w:val="nil"/>
              <w:bottom w:val="nil"/>
              <w:right w:val="nil"/>
            </w:tcBorders>
            <w:shd w:val="clear" w:color="auto" w:fill="auto"/>
            <w:noWrap/>
            <w:vAlign w:val="bottom"/>
            <w:hideMark/>
          </w:tcPr>
          <w:p w14:paraId="1E7177A4" w14:textId="77777777" w:rsidR="00C376D8" w:rsidRPr="00C51439" w:rsidRDefault="00C376D8" w:rsidP="006D3A80">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Grupa i Banka</w:t>
            </w:r>
          </w:p>
        </w:tc>
      </w:tr>
      <w:tr w:rsidR="00C376D8" w:rsidRPr="00C51439" w14:paraId="6EB23AED" w14:textId="77777777" w:rsidTr="005D1219">
        <w:trPr>
          <w:trHeight w:val="50"/>
        </w:trPr>
        <w:tc>
          <w:tcPr>
            <w:tcW w:w="1843" w:type="dxa"/>
            <w:tcBorders>
              <w:top w:val="nil"/>
              <w:left w:val="nil"/>
              <w:bottom w:val="nil"/>
              <w:right w:val="nil"/>
            </w:tcBorders>
            <w:shd w:val="clear" w:color="auto" w:fill="auto"/>
            <w:noWrap/>
            <w:vAlign w:val="bottom"/>
            <w:hideMark/>
          </w:tcPr>
          <w:p w14:paraId="78DAF94D" w14:textId="77777777" w:rsidR="00C376D8" w:rsidRPr="00C51439" w:rsidRDefault="00C376D8" w:rsidP="006D3A80">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hideMark/>
          </w:tcPr>
          <w:p w14:paraId="039AFB23" w14:textId="77777777" w:rsidR="00C376D8" w:rsidRPr="00C51439" w:rsidRDefault="00C376D8" w:rsidP="006D3A80">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Stupanj 1</w:t>
            </w:r>
          </w:p>
        </w:tc>
        <w:tc>
          <w:tcPr>
            <w:tcW w:w="1276" w:type="dxa"/>
            <w:tcBorders>
              <w:top w:val="nil"/>
              <w:left w:val="nil"/>
              <w:bottom w:val="nil"/>
              <w:right w:val="nil"/>
            </w:tcBorders>
            <w:shd w:val="clear" w:color="auto" w:fill="auto"/>
            <w:noWrap/>
            <w:vAlign w:val="bottom"/>
            <w:hideMark/>
          </w:tcPr>
          <w:p w14:paraId="6BA11101" w14:textId="77777777" w:rsidR="00C376D8" w:rsidRPr="00C51439" w:rsidRDefault="00C376D8" w:rsidP="006D3A80">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Stupanj 2</w:t>
            </w:r>
          </w:p>
        </w:tc>
        <w:tc>
          <w:tcPr>
            <w:tcW w:w="1276" w:type="dxa"/>
            <w:tcBorders>
              <w:top w:val="nil"/>
              <w:left w:val="nil"/>
              <w:bottom w:val="nil"/>
              <w:right w:val="nil"/>
            </w:tcBorders>
            <w:shd w:val="clear" w:color="auto" w:fill="auto"/>
            <w:noWrap/>
            <w:vAlign w:val="bottom"/>
            <w:hideMark/>
          </w:tcPr>
          <w:p w14:paraId="1D164269" w14:textId="77777777" w:rsidR="00C376D8" w:rsidRPr="00C51439" w:rsidRDefault="00C376D8" w:rsidP="006D3A80">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Stupanj 3</w:t>
            </w:r>
          </w:p>
        </w:tc>
        <w:tc>
          <w:tcPr>
            <w:tcW w:w="2409" w:type="dxa"/>
            <w:gridSpan w:val="2"/>
            <w:tcBorders>
              <w:top w:val="nil"/>
              <w:left w:val="nil"/>
              <w:bottom w:val="nil"/>
              <w:right w:val="nil"/>
            </w:tcBorders>
          </w:tcPr>
          <w:p w14:paraId="79FE711C" w14:textId="77777777" w:rsidR="00C376D8" w:rsidRPr="008A2337" w:rsidRDefault="00C376D8" w:rsidP="006D3A80">
            <w:pPr>
              <w:jc w:val="center"/>
              <w:rPr>
                <w:rFonts w:ascii="Arial" w:hAnsi="Arial" w:cs="Arial"/>
                <w:b/>
                <w:bCs/>
                <w:color w:val="000000" w:themeColor="text1"/>
                <w:sz w:val="18"/>
                <w:szCs w:val="18"/>
              </w:rPr>
            </w:pPr>
            <w:r w:rsidRPr="008A2337">
              <w:rPr>
                <w:rFonts w:ascii="Arial" w:hAnsi="Arial" w:cs="Arial"/>
                <w:b/>
                <w:bCs/>
                <w:color w:val="000000" w:themeColor="text1"/>
                <w:sz w:val="18"/>
                <w:szCs w:val="18"/>
              </w:rPr>
              <w:t>POCI</w:t>
            </w:r>
          </w:p>
        </w:tc>
        <w:tc>
          <w:tcPr>
            <w:tcW w:w="1419" w:type="dxa"/>
            <w:tcBorders>
              <w:top w:val="nil"/>
              <w:left w:val="nil"/>
              <w:bottom w:val="nil"/>
              <w:right w:val="nil"/>
            </w:tcBorders>
            <w:shd w:val="clear" w:color="auto" w:fill="auto"/>
            <w:noWrap/>
            <w:vAlign w:val="bottom"/>
            <w:hideMark/>
          </w:tcPr>
          <w:p w14:paraId="31463D81" w14:textId="77777777" w:rsidR="00C376D8" w:rsidRPr="00C51439" w:rsidRDefault="00C376D8" w:rsidP="006D3A80">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Ukupno</w:t>
            </w:r>
          </w:p>
        </w:tc>
      </w:tr>
      <w:tr w:rsidR="00C376D8" w:rsidRPr="00C51439" w14:paraId="47DA494F" w14:textId="77777777" w:rsidTr="005D1219">
        <w:trPr>
          <w:trHeight w:val="50"/>
        </w:trPr>
        <w:tc>
          <w:tcPr>
            <w:tcW w:w="1843" w:type="dxa"/>
            <w:tcBorders>
              <w:top w:val="nil"/>
              <w:left w:val="nil"/>
              <w:bottom w:val="nil"/>
              <w:right w:val="nil"/>
            </w:tcBorders>
            <w:shd w:val="clear" w:color="auto" w:fill="auto"/>
            <w:noWrap/>
            <w:vAlign w:val="bottom"/>
          </w:tcPr>
          <w:p w14:paraId="468B97B9" w14:textId="77777777" w:rsidR="00C376D8" w:rsidRPr="00C51439" w:rsidRDefault="00C376D8" w:rsidP="006D3A80">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74487756" w14:textId="77777777" w:rsidR="00C376D8" w:rsidRPr="00C51439" w:rsidRDefault="00C376D8" w:rsidP="006D3A80">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1B1703FF" w14:textId="77777777" w:rsidR="00C376D8" w:rsidRPr="00C51439" w:rsidRDefault="00C376D8" w:rsidP="006D3A80">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5D011AE3" w14:textId="77777777" w:rsidR="00C376D8" w:rsidRPr="00C51439" w:rsidRDefault="00C376D8" w:rsidP="006D3A80">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vAlign w:val="bottom"/>
          </w:tcPr>
          <w:p w14:paraId="0E715AB9" w14:textId="77777777" w:rsidR="00C376D8" w:rsidRPr="00F959D0" w:rsidRDefault="00C376D8" w:rsidP="006D3A80">
            <w:pPr>
              <w:jc w:val="right"/>
              <w:rPr>
                <w:rFonts w:ascii="Arial" w:hAnsi="Arial" w:cs="Arial"/>
                <w:b/>
                <w:bCs/>
                <w:color w:val="000000" w:themeColor="text1"/>
                <w:sz w:val="18"/>
                <w:szCs w:val="18"/>
              </w:rPr>
            </w:pPr>
            <w:r w:rsidRPr="008A2337">
              <w:rPr>
                <w:rFonts w:ascii="Arial" w:hAnsi="Arial" w:cs="Arial"/>
                <w:b/>
                <w:bCs/>
                <w:color w:val="000000" w:themeColor="text1"/>
                <w:sz w:val="18"/>
                <w:szCs w:val="18"/>
              </w:rPr>
              <w:t>Stupanj 2</w:t>
            </w:r>
          </w:p>
        </w:tc>
        <w:tc>
          <w:tcPr>
            <w:tcW w:w="1133" w:type="dxa"/>
            <w:tcBorders>
              <w:top w:val="nil"/>
              <w:left w:val="nil"/>
              <w:bottom w:val="nil"/>
              <w:right w:val="nil"/>
            </w:tcBorders>
            <w:shd w:val="clear" w:color="auto" w:fill="auto"/>
            <w:vAlign w:val="bottom"/>
          </w:tcPr>
          <w:p w14:paraId="2DB22008" w14:textId="77777777" w:rsidR="00C376D8" w:rsidRPr="00F959D0" w:rsidRDefault="00C376D8" w:rsidP="006D3A80">
            <w:pPr>
              <w:jc w:val="right"/>
              <w:rPr>
                <w:rFonts w:ascii="Arial" w:hAnsi="Arial" w:cs="Arial"/>
                <w:b/>
                <w:bCs/>
                <w:color w:val="000000" w:themeColor="text1"/>
                <w:sz w:val="18"/>
                <w:szCs w:val="18"/>
              </w:rPr>
            </w:pPr>
            <w:r w:rsidRPr="008A2337">
              <w:rPr>
                <w:rFonts w:ascii="Arial" w:hAnsi="Arial" w:cs="Arial"/>
                <w:b/>
                <w:bCs/>
                <w:color w:val="000000" w:themeColor="text1"/>
                <w:sz w:val="18"/>
                <w:szCs w:val="18"/>
              </w:rPr>
              <w:t>Stupanj 3</w:t>
            </w:r>
          </w:p>
        </w:tc>
        <w:tc>
          <w:tcPr>
            <w:tcW w:w="1419" w:type="dxa"/>
            <w:tcBorders>
              <w:top w:val="nil"/>
              <w:left w:val="nil"/>
              <w:bottom w:val="nil"/>
              <w:right w:val="nil"/>
            </w:tcBorders>
            <w:shd w:val="clear" w:color="auto" w:fill="auto"/>
            <w:noWrap/>
            <w:vAlign w:val="bottom"/>
          </w:tcPr>
          <w:p w14:paraId="2583AEEC" w14:textId="77777777" w:rsidR="00C376D8" w:rsidRPr="00C51439" w:rsidRDefault="00C376D8" w:rsidP="006D3A80">
            <w:pPr>
              <w:jc w:val="right"/>
              <w:rPr>
                <w:rFonts w:ascii="Arial" w:hAnsi="Arial" w:cs="Arial"/>
                <w:b/>
                <w:bCs/>
                <w:color w:val="000000" w:themeColor="text1"/>
                <w:sz w:val="18"/>
                <w:szCs w:val="18"/>
              </w:rPr>
            </w:pPr>
          </w:p>
        </w:tc>
      </w:tr>
      <w:tr w:rsidR="00C376D8" w:rsidRPr="00C51439" w14:paraId="40563FBA" w14:textId="77777777" w:rsidTr="005D1219">
        <w:trPr>
          <w:trHeight w:val="50"/>
        </w:trPr>
        <w:tc>
          <w:tcPr>
            <w:tcW w:w="1843" w:type="dxa"/>
            <w:tcBorders>
              <w:top w:val="nil"/>
              <w:left w:val="nil"/>
              <w:bottom w:val="nil"/>
              <w:right w:val="nil"/>
            </w:tcBorders>
            <w:shd w:val="clear" w:color="auto" w:fill="auto"/>
            <w:noWrap/>
            <w:vAlign w:val="bottom"/>
            <w:hideMark/>
          </w:tcPr>
          <w:p w14:paraId="1C3B30AC" w14:textId="77777777" w:rsidR="00C376D8" w:rsidRPr="00C51439" w:rsidRDefault="00C376D8" w:rsidP="006D3A80">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hideMark/>
          </w:tcPr>
          <w:p w14:paraId="25C6E936" w14:textId="77777777" w:rsidR="00C376D8" w:rsidRPr="00C51439" w:rsidRDefault="00C376D8" w:rsidP="006D3A80">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 xml:space="preserve">000 </w:t>
            </w:r>
            <w:r>
              <w:rPr>
                <w:rFonts w:ascii="Arial" w:hAnsi="Arial" w:cs="Arial"/>
                <w:b/>
                <w:bCs/>
                <w:color w:val="000000" w:themeColor="text1"/>
                <w:sz w:val="18"/>
                <w:szCs w:val="18"/>
              </w:rPr>
              <w:t>eura</w:t>
            </w:r>
          </w:p>
        </w:tc>
        <w:tc>
          <w:tcPr>
            <w:tcW w:w="1276" w:type="dxa"/>
            <w:tcBorders>
              <w:top w:val="nil"/>
              <w:left w:val="nil"/>
              <w:bottom w:val="nil"/>
              <w:right w:val="nil"/>
            </w:tcBorders>
            <w:shd w:val="clear" w:color="auto" w:fill="auto"/>
            <w:noWrap/>
            <w:vAlign w:val="bottom"/>
            <w:hideMark/>
          </w:tcPr>
          <w:p w14:paraId="5AED9555" w14:textId="77777777" w:rsidR="00C376D8" w:rsidRPr="00C51439" w:rsidRDefault="00C376D8" w:rsidP="006D3A80">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 xml:space="preserve">000 </w:t>
            </w:r>
            <w:r>
              <w:rPr>
                <w:rFonts w:ascii="Arial" w:hAnsi="Arial" w:cs="Arial"/>
                <w:b/>
                <w:bCs/>
                <w:color w:val="000000" w:themeColor="text1"/>
                <w:sz w:val="18"/>
                <w:szCs w:val="18"/>
              </w:rPr>
              <w:t>eura</w:t>
            </w:r>
          </w:p>
        </w:tc>
        <w:tc>
          <w:tcPr>
            <w:tcW w:w="1276" w:type="dxa"/>
            <w:tcBorders>
              <w:top w:val="nil"/>
              <w:left w:val="nil"/>
              <w:bottom w:val="nil"/>
              <w:right w:val="nil"/>
            </w:tcBorders>
            <w:shd w:val="clear" w:color="auto" w:fill="auto"/>
            <w:noWrap/>
            <w:vAlign w:val="bottom"/>
            <w:hideMark/>
          </w:tcPr>
          <w:p w14:paraId="6786BA1D" w14:textId="77777777" w:rsidR="00C376D8" w:rsidRPr="00C51439" w:rsidRDefault="00C376D8" w:rsidP="006D3A80">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 xml:space="preserve">000 </w:t>
            </w:r>
            <w:r>
              <w:rPr>
                <w:rFonts w:ascii="Arial" w:hAnsi="Arial" w:cs="Arial"/>
                <w:b/>
                <w:bCs/>
                <w:color w:val="000000" w:themeColor="text1"/>
                <w:sz w:val="18"/>
                <w:szCs w:val="18"/>
              </w:rPr>
              <w:t>eura</w:t>
            </w:r>
          </w:p>
        </w:tc>
        <w:tc>
          <w:tcPr>
            <w:tcW w:w="1276" w:type="dxa"/>
            <w:tcBorders>
              <w:top w:val="nil"/>
              <w:left w:val="nil"/>
              <w:bottom w:val="nil"/>
              <w:right w:val="nil"/>
            </w:tcBorders>
          </w:tcPr>
          <w:p w14:paraId="369EDB61" w14:textId="77777777" w:rsidR="00C376D8" w:rsidRPr="00F959D0" w:rsidRDefault="00C376D8" w:rsidP="006D3A80">
            <w:pPr>
              <w:jc w:val="right"/>
              <w:rPr>
                <w:rFonts w:ascii="Arial" w:hAnsi="Arial" w:cs="Arial"/>
                <w:b/>
                <w:bCs/>
                <w:color w:val="000000" w:themeColor="text1"/>
                <w:sz w:val="18"/>
                <w:szCs w:val="18"/>
              </w:rPr>
            </w:pPr>
            <w:r w:rsidRPr="008A2337">
              <w:rPr>
                <w:rFonts w:ascii="Arial" w:hAnsi="Arial" w:cs="Arial"/>
                <w:b/>
                <w:bCs/>
                <w:color w:val="000000" w:themeColor="text1"/>
                <w:sz w:val="18"/>
                <w:szCs w:val="18"/>
              </w:rPr>
              <w:t>000 eura</w:t>
            </w:r>
          </w:p>
        </w:tc>
        <w:tc>
          <w:tcPr>
            <w:tcW w:w="1133" w:type="dxa"/>
            <w:tcBorders>
              <w:top w:val="nil"/>
              <w:left w:val="nil"/>
              <w:bottom w:val="nil"/>
              <w:right w:val="nil"/>
            </w:tcBorders>
            <w:shd w:val="clear" w:color="auto" w:fill="auto"/>
            <w:vAlign w:val="bottom"/>
          </w:tcPr>
          <w:p w14:paraId="0752E0D9" w14:textId="77777777" w:rsidR="00C376D8" w:rsidRPr="008A2337" w:rsidRDefault="00C376D8" w:rsidP="006D3A80">
            <w:pPr>
              <w:jc w:val="right"/>
              <w:rPr>
                <w:rFonts w:ascii="Arial" w:hAnsi="Arial" w:cs="Arial"/>
                <w:b/>
                <w:bCs/>
                <w:color w:val="000000" w:themeColor="text1"/>
                <w:sz w:val="18"/>
                <w:szCs w:val="18"/>
              </w:rPr>
            </w:pPr>
            <w:r w:rsidRPr="008A2337">
              <w:rPr>
                <w:rFonts w:ascii="Arial" w:hAnsi="Arial" w:cs="Arial"/>
                <w:b/>
                <w:bCs/>
                <w:color w:val="000000" w:themeColor="text1"/>
                <w:sz w:val="18"/>
                <w:szCs w:val="18"/>
              </w:rPr>
              <w:t>000 eura</w:t>
            </w:r>
          </w:p>
        </w:tc>
        <w:tc>
          <w:tcPr>
            <w:tcW w:w="1419" w:type="dxa"/>
            <w:tcBorders>
              <w:top w:val="nil"/>
              <w:left w:val="nil"/>
              <w:bottom w:val="nil"/>
              <w:right w:val="nil"/>
            </w:tcBorders>
            <w:shd w:val="clear" w:color="auto" w:fill="auto"/>
            <w:noWrap/>
            <w:vAlign w:val="bottom"/>
            <w:hideMark/>
          </w:tcPr>
          <w:p w14:paraId="118898B0" w14:textId="77777777" w:rsidR="00C376D8" w:rsidRPr="00C51439" w:rsidRDefault="00C376D8" w:rsidP="006D3A80">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 xml:space="preserve">000 </w:t>
            </w:r>
            <w:r>
              <w:rPr>
                <w:rFonts w:ascii="Arial" w:hAnsi="Arial" w:cs="Arial"/>
                <w:b/>
                <w:bCs/>
                <w:color w:val="000000" w:themeColor="text1"/>
                <w:sz w:val="18"/>
                <w:szCs w:val="18"/>
              </w:rPr>
              <w:t>eura</w:t>
            </w:r>
          </w:p>
        </w:tc>
      </w:tr>
      <w:tr w:rsidR="00C376D8" w:rsidRPr="00C51439" w14:paraId="692F99A0" w14:textId="77777777" w:rsidTr="005D1219">
        <w:trPr>
          <w:trHeight w:val="155"/>
        </w:trPr>
        <w:tc>
          <w:tcPr>
            <w:tcW w:w="1843" w:type="dxa"/>
            <w:tcBorders>
              <w:top w:val="nil"/>
              <w:left w:val="nil"/>
              <w:bottom w:val="nil"/>
              <w:right w:val="nil"/>
            </w:tcBorders>
            <w:shd w:val="clear" w:color="auto" w:fill="auto"/>
            <w:noWrap/>
            <w:vAlign w:val="bottom"/>
          </w:tcPr>
          <w:p w14:paraId="47D7875B" w14:textId="77777777" w:rsidR="00C376D8" w:rsidRPr="00C51439" w:rsidRDefault="00C376D8" w:rsidP="006D3A80">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32707E28" w14:textId="77777777" w:rsidR="00C376D8" w:rsidRPr="00C51439" w:rsidRDefault="00C376D8" w:rsidP="006D3A80">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20A4A50B" w14:textId="77777777" w:rsidR="00C376D8" w:rsidRPr="00C51439" w:rsidRDefault="00C376D8" w:rsidP="006D3A80">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675C48AC" w14:textId="77777777" w:rsidR="00C376D8" w:rsidRPr="00C51439" w:rsidRDefault="00C376D8" w:rsidP="006D3A80">
            <w:pPr>
              <w:jc w:val="right"/>
              <w:rPr>
                <w:rFonts w:ascii="Arial" w:hAnsi="Arial" w:cs="Arial"/>
                <w:b/>
                <w:bCs/>
                <w:color w:val="000000" w:themeColor="text1"/>
                <w:sz w:val="18"/>
                <w:szCs w:val="18"/>
              </w:rPr>
            </w:pPr>
          </w:p>
        </w:tc>
        <w:tc>
          <w:tcPr>
            <w:tcW w:w="1276" w:type="dxa"/>
            <w:tcBorders>
              <w:top w:val="nil"/>
              <w:left w:val="nil"/>
              <w:bottom w:val="nil"/>
              <w:right w:val="nil"/>
            </w:tcBorders>
          </w:tcPr>
          <w:p w14:paraId="5A5CD8BB" w14:textId="77777777" w:rsidR="00C376D8" w:rsidRPr="00B97AA5" w:rsidRDefault="00C376D8" w:rsidP="006D3A80">
            <w:pPr>
              <w:jc w:val="right"/>
              <w:rPr>
                <w:rFonts w:ascii="Arial" w:hAnsi="Arial" w:cs="Arial"/>
                <w:b/>
                <w:bCs/>
                <w:color w:val="000000" w:themeColor="text1"/>
                <w:sz w:val="18"/>
                <w:szCs w:val="18"/>
                <w:highlight w:val="yellow"/>
              </w:rPr>
            </w:pPr>
          </w:p>
        </w:tc>
        <w:tc>
          <w:tcPr>
            <w:tcW w:w="1133" w:type="dxa"/>
            <w:tcBorders>
              <w:top w:val="nil"/>
              <w:left w:val="nil"/>
              <w:bottom w:val="nil"/>
              <w:right w:val="nil"/>
            </w:tcBorders>
          </w:tcPr>
          <w:p w14:paraId="36F36D81" w14:textId="77777777" w:rsidR="00C376D8" w:rsidRPr="00F959D0" w:rsidRDefault="00C376D8" w:rsidP="006D3A80">
            <w:pPr>
              <w:jc w:val="right"/>
              <w:rPr>
                <w:rFonts w:ascii="Arial" w:hAnsi="Arial" w:cs="Arial"/>
                <w:b/>
                <w:bCs/>
                <w:color w:val="000000" w:themeColor="text1"/>
                <w:sz w:val="18"/>
                <w:szCs w:val="18"/>
                <w:highlight w:val="yellow"/>
              </w:rPr>
            </w:pPr>
          </w:p>
        </w:tc>
        <w:tc>
          <w:tcPr>
            <w:tcW w:w="1419" w:type="dxa"/>
            <w:tcBorders>
              <w:top w:val="nil"/>
              <w:left w:val="nil"/>
              <w:bottom w:val="nil"/>
              <w:right w:val="nil"/>
            </w:tcBorders>
            <w:shd w:val="clear" w:color="auto" w:fill="auto"/>
            <w:noWrap/>
            <w:vAlign w:val="bottom"/>
          </w:tcPr>
          <w:p w14:paraId="33BCB319" w14:textId="77777777" w:rsidR="00C376D8" w:rsidRPr="00C51439" w:rsidRDefault="00C376D8" w:rsidP="006D3A80">
            <w:pPr>
              <w:jc w:val="right"/>
              <w:rPr>
                <w:rFonts w:ascii="Arial" w:hAnsi="Arial" w:cs="Arial"/>
                <w:b/>
                <w:bCs/>
                <w:color w:val="000000" w:themeColor="text1"/>
                <w:sz w:val="18"/>
                <w:szCs w:val="18"/>
              </w:rPr>
            </w:pPr>
          </w:p>
        </w:tc>
      </w:tr>
      <w:tr w:rsidR="007B0026" w:rsidRPr="00C51439" w14:paraId="727E10D3" w14:textId="77777777" w:rsidTr="005D1219">
        <w:trPr>
          <w:trHeight w:val="242"/>
        </w:trPr>
        <w:tc>
          <w:tcPr>
            <w:tcW w:w="1843" w:type="dxa"/>
            <w:tcBorders>
              <w:top w:val="nil"/>
              <w:left w:val="nil"/>
              <w:bottom w:val="nil"/>
              <w:right w:val="nil"/>
            </w:tcBorders>
            <w:shd w:val="clear" w:color="auto" w:fill="auto"/>
            <w:noWrap/>
            <w:vAlign w:val="bottom"/>
            <w:hideMark/>
          </w:tcPr>
          <w:p w14:paraId="62257D45" w14:textId="77777777" w:rsidR="007B0026" w:rsidRPr="00C51439" w:rsidRDefault="007B0026" w:rsidP="007B0026">
            <w:pPr>
              <w:rPr>
                <w:rFonts w:ascii="Arial" w:hAnsi="Arial" w:cs="Arial"/>
                <w:color w:val="000000" w:themeColor="text1"/>
                <w:sz w:val="18"/>
                <w:szCs w:val="18"/>
              </w:rPr>
            </w:pPr>
            <w:r w:rsidRPr="00C51439">
              <w:rPr>
                <w:rFonts w:ascii="Arial" w:hAnsi="Arial" w:cs="Arial"/>
                <w:color w:val="000000" w:themeColor="text1"/>
                <w:sz w:val="18"/>
                <w:szCs w:val="18"/>
              </w:rPr>
              <w:t>Bruto iznos</w:t>
            </w:r>
          </w:p>
        </w:tc>
        <w:tc>
          <w:tcPr>
            <w:tcW w:w="1276" w:type="dxa"/>
            <w:tcBorders>
              <w:top w:val="nil"/>
              <w:left w:val="nil"/>
              <w:bottom w:val="nil"/>
              <w:right w:val="nil"/>
            </w:tcBorders>
            <w:shd w:val="clear" w:color="auto" w:fill="auto"/>
            <w:noWrap/>
            <w:vAlign w:val="bottom"/>
          </w:tcPr>
          <w:p w14:paraId="53439A5B" w14:textId="3A69CD29" w:rsidR="007B0026" w:rsidRPr="006F1F5D" w:rsidRDefault="007B0026" w:rsidP="007B0026">
            <w:pPr>
              <w:jc w:val="right"/>
              <w:rPr>
                <w:rFonts w:ascii="Arial" w:hAnsi="Arial" w:cs="Arial"/>
                <w:sz w:val="18"/>
                <w:szCs w:val="18"/>
              </w:rPr>
            </w:pPr>
            <w:r w:rsidRPr="005D1219">
              <w:rPr>
                <w:rFonts w:ascii="Arial" w:hAnsi="Arial" w:cs="Arial"/>
                <w:color w:val="000000"/>
                <w:sz w:val="18"/>
                <w:szCs w:val="18"/>
              </w:rPr>
              <w:t>1.833.267</w:t>
            </w:r>
          </w:p>
        </w:tc>
        <w:tc>
          <w:tcPr>
            <w:tcW w:w="1276" w:type="dxa"/>
            <w:tcBorders>
              <w:top w:val="nil"/>
              <w:left w:val="nil"/>
              <w:bottom w:val="nil"/>
              <w:right w:val="nil"/>
            </w:tcBorders>
            <w:shd w:val="clear" w:color="auto" w:fill="auto"/>
            <w:noWrap/>
            <w:vAlign w:val="bottom"/>
          </w:tcPr>
          <w:p w14:paraId="63856A2D" w14:textId="07F066CE" w:rsidR="007B0026" w:rsidRPr="006F1F5D" w:rsidRDefault="007B0026" w:rsidP="007B0026">
            <w:pPr>
              <w:jc w:val="right"/>
              <w:rPr>
                <w:rFonts w:ascii="Arial" w:hAnsi="Arial" w:cs="Arial"/>
                <w:sz w:val="18"/>
                <w:szCs w:val="18"/>
              </w:rPr>
            </w:pPr>
            <w:r w:rsidRPr="005D1219">
              <w:rPr>
                <w:rFonts w:ascii="Arial" w:hAnsi="Arial" w:cs="Arial"/>
                <w:color w:val="000000"/>
                <w:sz w:val="18"/>
                <w:szCs w:val="18"/>
              </w:rPr>
              <w:t>300.284</w:t>
            </w:r>
          </w:p>
        </w:tc>
        <w:tc>
          <w:tcPr>
            <w:tcW w:w="1276" w:type="dxa"/>
            <w:tcBorders>
              <w:top w:val="nil"/>
              <w:left w:val="nil"/>
              <w:bottom w:val="nil"/>
              <w:right w:val="nil"/>
            </w:tcBorders>
            <w:shd w:val="clear" w:color="auto" w:fill="auto"/>
            <w:noWrap/>
            <w:vAlign w:val="bottom"/>
          </w:tcPr>
          <w:p w14:paraId="10472761" w14:textId="2CA49633" w:rsidR="007B0026" w:rsidRPr="006F1F5D" w:rsidRDefault="007B0026" w:rsidP="007B0026">
            <w:pPr>
              <w:jc w:val="right"/>
              <w:rPr>
                <w:rFonts w:ascii="Arial" w:hAnsi="Arial" w:cs="Arial"/>
                <w:sz w:val="18"/>
                <w:szCs w:val="18"/>
              </w:rPr>
            </w:pPr>
            <w:r w:rsidRPr="005D1219">
              <w:rPr>
                <w:rFonts w:ascii="Arial" w:hAnsi="Arial" w:cs="Arial"/>
                <w:color w:val="000000"/>
                <w:sz w:val="18"/>
                <w:szCs w:val="18"/>
              </w:rPr>
              <w:t>448.444</w:t>
            </w:r>
          </w:p>
        </w:tc>
        <w:tc>
          <w:tcPr>
            <w:tcW w:w="1276" w:type="dxa"/>
            <w:tcBorders>
              <w:top w:val="nil"/>
              <w:left w:val="nil"/>
              <w:bottom w:val="nil"/>
              <w:right w:val="nil"/>
            </w:tcBorders>
            <w:shd w:val="clear" w:color="auto" w:fill="auto"/>
            <w:vAlign w:val="bottom"/>
          </w:tcPr>
          <w:p w14:paraId="14BE5E5A" w14:textId="4122E032" w:rsidR="007B0026" w:rsidRPr="006F1F5D" w:rsidRDefault="007B0026" w:rsidP="007B0026">
            <w:pPr>
              <w:jc w:val="right"/>
              <w:rPr>
                <w:rFonts w:ascii="Arial" w:hAnsi="Arial" w:cs="Arial"/>
                <w:sz w:val="18"/>
                <w:szCs w:val="18"/>
              </w:rPr>
            </w:pPr>
            <w:r w:rsidRPr="005D1219">
              <w:rPr>
                <w:rFonts w:ascii="Arial" w:hAnsi="Arial" w:cs="Arial"/>
                <w:color w:val="000000"/>
                <w:sz w:val="18"/>
                <w:szCs w:val="18"/>
              </w:rPr>
              <w:t>12.272</w:t>
            </w:r>
          </w:p>
        </w:tc>
        <w:tc>
          <w:tcPr>
            <w:tcW w:w="1133" w:type="dxa"/>
            <w:tcBorders>
              <w:top w:val="nil"/>
              <w:left w:val="nil"/>
              <w:bottom w:val="nil"/>
              <w:right w:val="nil"/>
            </w:tcBorders>
            <w:shd w:val="clear" w:color="auto" w:fill="auto"/>
            <w:vAlign w:val="bottom"/>
          </w:tcPr>
          <w:p w14:paraId="66365951" w14:textId="71FFA472" w:rsidR="007B0026" w:rsidRPr="006F1F5D" w:rsidRDefault="007B0026" w:rsidP="007B0026">
            <w:pPr>
              <w:jc w:val="right"/>
              <w:rPr>
                <w:rFonts w:ascii="Arial" w:hAnsi="Arial" w:cs="Arial"/>
                <w:sz w:val="18"/>
                <w:szCs w:val="18"/>
              </w:rPr>
            </w:pPr>
            <w:r w:rsidRPr="005D1219">
              <w:rPr>
                <w:rFonts w:ascii="Arial" w:hAnsi="Arial" w:cs="Arial"/>
                <w:color w:val="000000"/>
                <w:sz w:val="18"/>
                <w:szCs w:val="18"/>
              </w:rPr>
              <w:t>208.940</w:t>
            </w:r>
          </w:p>
        </w:tc>
        <w:tc>
          <w:tcPr>
            <w:tcW w:w="1419" w:type="dxa"/>
            <w:tcBorders>
              <w:top w:val="nil"/>
              <w:left w:val="nil"/>
              <w:bottom w:val="nil"/>
              <w:right w:val="nil"/>
            </w:tcBorders>
            <w:shd w:val="clear" w:color="auto" w:fill="auto"/>
            <w:noWrap/>
            <w:vAlign w:val="bottom"/>
          </w:tcPr>
          <w:p w14:paraId="4E0D6239" w14:textId="1D715C27" w:rsidR="007B0026" w:rsidRPr="006F1F5D" w:rsidRDefault="007B0026" w:rsidP="00515A16">
            <w:pPr>
              <w:jc w:val="right"/>
              <w:rPr>
                <w:rFonts w:ascii="Arial" w:hAnsi="Arial" w:cs="Arial"/>
                <w:b/>
                <w:bCs/>
                <w:sz w:val="18"/>
                <w:szCs w:val="18"/>
              </w:rPr>
            </w:pPr>
            <w:r w:rsidRPr="005D1219">
              <w:rPr>
                <w:rFonts w:ascii="Arial" w:hAnsi="Arial" w:cs="Arial"/>
                <w:b/>
                <w:bCs/>
                <w:color w:val="000000"/>
                <w:sz w:val="18"/>
                <w:szCs w:val="18"/>
              </w:rPr>
              <w:t xml:space="preserve">    2.803.207 </w:t>
            </w:r>
          </w:p>
        </w:tc>
      </w:tr>
      <w:tr w:rsidR="006F1F5D" w:rsidRPr="00C51439" w14:paraId="1CD2EF84" w14:textId="77777777" w:rsidTr="005D1219">
        <w:trPr>
          <w:trHeight w:val="340"/>
        </w:trPr>
        <w:tc>
          <w:tcPr>
            <w:tcW w:w="1843" w:type="dxa"/>
            <w:tcBorders>
              <w:top w:val="nil"/>
              <w:left w:val="nil"/>
              <w:bottom w:val="nil"/>
              <w:right w:val="nil"/>
            </w:tcBorders>
            <w:shd w:val="clear" w:color="auto" w:fill="auto"/>
            <w:noWrap/>
            <w:vAlign w:val="bottom"/>
            <w:hideMark/>
          </w:tcPr>
          <w:p w14:paraId="695872F9" w14:textId="77777777" w:rsidR="006F1F5D" w:rsidRPr="00C51439" w:rsidRDefault="006F1F5D" w:rsidP="006F1F5D">
            <w:pPr>
              <w:rPr>
                <w:rFonts w:ascii="Arial" w:hAnsi="Arial" w:cs="Arial"/>
                <w:color w:val="000000" w:themeColor="text1"/>
                <w:sz w:val="18"/>
                <w:szCs w:val="18"/>
              </w:rPr>
            </w:pPr>
            <w:r w:rsidRPr="00C51439">
              <w:rPr>
                <w:rFonts w:ascii="Arial" w:hAnsi="Arial" w:cs="Arial"/>
                <w:color w:val="000000" w:themeColor="text1"/>
                <w:sz w:val="18"/>
                <w:szCs w:val="18"/>
              </w:rPr>
              <w:t>Rezerviranja</w:t>
            </w:r>
          </w:p>
        </w:tc>
        <w:tc>
          <w:tcPr>
            <w:tcW w:w="1276" w:type="dxa"/>
            <w:tcBorders>
              <w:top w:val="nil"/>
              <w:left w:val="nil"/>
              <w:bottom w:val="nil"/>
              <w:right w:val="nil"/>
            </w:tcBorders>
            <w:shd w:val="clear" w:color="auto" w:fill="auto"/>
            <w:noWrap/>
            <w:vAlign w:val="bottom"/>
          </w:tcPr>
          <w:p w14:paraId="013FB246" w14:textId="0412B0EA" w:rsidR="006F1F5D" w:rsidRPr="006F1F5D" w:rsidRDefault="006F1F5D" w:rsidP="006F1F5D">
            <w:pPr>
              <w:jc w:val="right"/>
              <w:rPr>
                <w:rFonts w:ascii="Arial" w:hAnsi="Arial" w:cs="Arial"/>
                <w:sz w:val="18"/>
                <w:szCs w:val="18"/>
              </w:rPr>
            </w:pPr>
            <w:r w:rsidRPr="005D1219">
              <w:rPr>
                <w:rFonts w:ascii="Arial" w:hAnsi="Arial" w:cs="Arial"/>
                <w:sz w:val="18"/>
                <w:szCs w:val="18"/>
              </w:rPr>
              <w:t xml:space="preserve"> (46.639)</w:t>
            </w:r>
          </w:p>
        </w:tc>
        <w:tc>
          <w:tcPr>
            <w:tcW w:w="1276" w:type="dxa"/>
            <w:tcBorders>
              <w:top w:val="nil"/>
              <w:left w:val="nil"/>
              <w:bottom w:val="nil"/>
              <w:right w:val="nil"/>
            </w:tcBorders>
            <w:shd w:val="clear" w:color="auto" w:fill="auto"/>
            <w:noWrap/>
            <w:vAlign w:val="bottom"/>
          </w:tcPr>
          <w:p w14:paraId="03A6C58E" w14:textId="5C19BDA0" w:rsidR="006F1F5D" w:rsidRPr="006F1F5D" w:rsidRDefault="006F1F5D" w:rsidP="006F1F5D">
            <w:pPr>
              <w:jc w:val="right"/>
              <w:rPr>
                <w:rFonts w:ascii="Arial" w:hAnsi="Arial" w:cs="Arial"/>
                <w:sz w:val="18"/>
                <w:szCs w:val="18"/>
              </w:rPr>
            </w:pPr>
            <w:r w:rsidRPr="005D1219">
              <w:rPr>
                <w:rFonts w:ascii="Arial" w:hAnsi="Arial" w:cs="Arial"/>
                <w:sz w:val="18"/>
                <w:szCs w:val="18"/>
              </w:rPr>
              <w:t xml:space="preserve"> (94.201)</w:t>
            </w:r>
          </w:p>
        </w:tc>
        <w:tc>
          <w:tcPr>
            <w:tcW w:w="1276" w:type="dxa"/>
            <w:tcBorders>
              <w:top w:val="nil"/>
              <w:left w:val="nil"/>
              <w:bottom w:val="nil"/>
              <w:right w:val="nil"/>
            </w:tcBorders>
            <w:shd w:val="clear" w:color="auto" w:fill="auto"/>
            <w:noWrap/>
            <w:vAlign w:val="bottom"/>
          </w:tcPr>
          <w:p w14:paraId="2FF58CD0" w14:textId="628C7AF0" w:rsidR="006F1F5D" w:rsidRPr="006F1F5D" w:rsidRDefault="006F1F5D" w:rsidP="006F1F5D">
            <w:pPr>
              <w:jc w:val="right"/>
              <w:rPr>
                <w:rFonts w:ascii="Arial" w:hAnsi="Arial" w:cs="Arial"/>
                <w:sz w:val="18"/>
                <w:szCs w:val="18"/>
              </w:rPr>
            </w:pPr>
            <w:r w:rsidRPr="005D1219">
              <w:rPr>
                <w:rFonts w:ascii="Arial" w:hAnsi="Arial" w:cs="Arial"/>
                <w:sz w:val="18"/>
                <w:szCs w:val="18"/>
              </w:rPr>
              <w:t xml:space="preserve"> (290.201)</w:t>
            </w:r>
          </w:p>
        </w:tc>
        <w:tc>
          <w:tcPr>
            <w:tcW w:w="1276" w:type="dxa"/>
            <w:tcBorders>
              <w:top w:val="nil"/>
              <w:left w:val="nil"/>
              <w:bottom w:val="nil"/>
              <w:right w:val="nil"/>
            </w:tcBorders>
            <w:shd w:val="clear" w:color="auto" w:fill="auto"/>
            <w:vAlign w:val="bottom"/>
          </w:tcPr>
          <w:p w14:paraId="7A27DDAF" w14:textId="425544E5" w:rsidR="006F1F5D" w:rsidRPr="006F1F5D" w:rsidRDefault="006F1F5D" w:rsidP="006F1F5D">
            <w:pPr>
              <w:jc w:val="right"/>
              <w:rPr>
                <w:rFonts w:ascii="Arial" w:hAnsi="Arial" w:cs="Arial"/>
                <w:sz w:val="18"/>
                <w:szCs w:val="18"/>
              </w:rPr>
            </w:pPr>
            <w:r w:rsidRPr="005D1219">
              <w:rPr>
                <w:rFonts w:ascii="Arial" w:hAnsi="Arial" w:cs="Arial"/>
                <w:sz w:val="18"/>
                <w:szCs w:val="18"/>
              </w:rPr>
              <w:t xml:space="preserve"> (698)</w:t>
            </w:r>
          </w:p>
        </w:tc>
        <w:tc>
          <w:tcPr>
            <w:tcW w:w="1133" w:type="dxa"/>
            <w:tcBorders>
              <w:top w:val="nil"/>
              <w:left w:val="nil"/>
              <w:bottom w:val="nil"/>
              <w:right w:val="nil"/>
            </w:tcBorders>
            <w:shd w:val="clear" w:color="auto" w:fill="auto"/>
            <w:vAlign w:val="bottom"/>
          </w:tcPr>
          <w:p w14:paraId="6670867C" w14:textId="5C40DAC2" w:rsidR="006F1F5D" w:rsidRPr="006F1F5D" w:rsidRDefault="006F1F5D" w:rsidP="006F1F5D">
            <w:pPr>
              <w:jc w:val="right"/>
              <w:rPr>
                <w:rFonts w:ascii="Arial" w:hAnsi="Arial" w:cs="Arial"/>
                <w:sz w:val="18"/>
                <w:szCs w:val="18"/>
              </w:rPr>
            </w:pPr>
            <w:r w:rsidRPr="005D1219">
              <w:rPr>
                <w:rFonts w:ascii="Arial" w:hAnsi="Arial" w:cs="Arial"/>
                <w:sz w:val="18"/>
                <w:szCs w:val="18"/>
              </w:rPr>
              <w:t xml:space="preserve"> (33.624)</w:t>
            </w:r>
          </w:p>
        </w:tc>
        <w:tc>
          <w:tcPr>
            <w:tcW w:w="1419" w:type="dxa"/>
            <w:tcBorders>
              <w:top w:val="nil"/>
              <w:left w:val="nil"/>
              <w:bottom w:val="nil"/>
              <w:right w:val="nil"/>
            </w:tcBorders>
            <w:shd w:val="clear" w:color="auto" w:fill="auto"/>
            <w:noWrap/>
            <w:vAlign w:val="bottom"/>
          </w:tcPr>
          <w:p w14:paraId="05E427AE" w14:textId="3F152EF3" w:rsidR="006F1F5D" w:rsidRPr="00515A16" w:rsidRDefault="006F1F5D" w:rsidP="006F1F5D">
            <w:pPr>
              <w:jc w:val="right"/>
              <w:rPr>
                <w:rFonts w:ascii="Arial" w:hAnsi="Arial" w:cs="Arial"/>
                <w:b/>
                <w:bCs/>
                <w:sz w:val="18"/>
                <w:szCs w:val="18"/>
              </w:rPr>
            </w:pPr>
            <w:r w:rsidRPr="005D1219">
              <w:rPr>
                <w:rFonts w:ascii="Arial" w:hAnsi="Arial" w:cs="Arial"/>
                <w:b/>
                <w:bCs/>
                <w:sz w:val="18"/>
                <w:szCs w:val="18"/>
              </w:rPr>
              <w:t xml:space="preserve"> (465.363)</w:t>
            </w:r>
          </w:p>
        </w:tc>
      </w:tr>
      <w:tr w:rsidR="00515A16" w:rsidRPr="00C51439" w14:paraId="0FAEF0BC" w14:textId="77777777" w:rsidTr="005D1219">
        <w:trPr>
          <w:trHeight w:val="510"/>
        </w:trPr>
        <w:tc>
          <w:tcPr>
            <w:tcW w:w="1843" w:type="dxa"/>
            <w:tcBorders>
              <w:top w:val="nil"/>
              <w:left w:val="nil"/>
              <w:bottom w:val="nil"/>
              <w:right w:val="nil"/>
            </w:tcBorders>
            <w:shd w:val="clear" w:color="auto" w:fill="auto"/>
            <w:noWrap/>
            <w:vAlign w:val="bottom"/>
            <w:hideMark/>
          </w:tcPr>
          <w:p w14:paraId="633B625C" w14:textId="77777777" w:rsidR="00515A16" w:rsidRPr="00C51439" w:rsidRDefault="00515A16" w:rsidP="00515A16">
            <w:pPr>
              <w:rPr>
                <w:rFonts w:ascii="Arial" w:hAnsi="Arial" w:cs="Arial"/>
                <w:b/>
                <w:bCs/>
                <w:color w:val="000000" w:themeColor="text1"/>
                <w:sz w:val="18"/>
                <w:szCs w:val="18"/>
              </w:rPr>
            </w:pPr>
            <w:r w:rsidRPr="00C51439">
              <w:rPr>
                <w:rFonts w:ascii="Arial" w:hAnsi="Arial" w:cs="Arial"/>
                <w:b/>
                <w:bCs/>
                <w:color w:val="000000" w:themeColor="text1"/>
                <w:sz w:val="18"/>
                <w:szCs w:val="18"/>
              </w:rPr>
              <w:t xml:space="preserve">Stanje na dan </w:t>
            </w:r>
          </w:p>
          <w:p w14:paraId="7839413B" w14:textId="0BDE29D1" w:rsidR="00515A16" w:rsidRPr="00C51439" w:rsidRDefault="00515A16" w:rsidP="00515A16">
            <w:pPr>
              <w:rPr>
                <w:rFonts w:ascii="Arial" w:hAnsi="Arial" w:cs="Arial"/>
                <w:b/>
                <w:bCs/>
                <w:color w:val="000000" w:themeColor="text1"/>
                <w:sz w:val="18"/>
                <w:szCs w:val="18"/>
              </w:rPr>
            </w:pPr>
            <w:r w:rsidRPr="00C51439">
              <w:rPr>
                <w:rFonts w:ascii="Arial" w:hAnsi="Arial" w:cs="Arial"/>
                <w:b/>
                <w:bCs/>
                <w:color w:val="000000" w:themeColor="text1"/>
                <w:sz w:val="18"/>
                <w:szCs w:val="18"/>
              </w:rPr>
              <w:t xml:space="preserve">31. </w:t>
            </w:r>
            <w:r>
              <w:rPr>
                <w:rFonts w:ascii="Arial" w:hAnsi="Arial" w:cs="Arial"/>
                <w:b/>
                <w:bCs/>
                <w:color w:val="000000" w:themeColor="text1"/>
                <w:sz w:val="18"/>
                <w:szCs w:val="18"/>
              </w:rPr>
              <w:t>ožujka</w:t>
            </w:r>
            <w:r w:rsidRPr="00C51439">
              <w:rPr>
                <w:rFonts w:ascii="Arial" w:hAnsi="Arial" w:cs="Arial"/>
                <w:b/>
                <w:bCs/>
                <w:color w:val="000000" w:themeColor="text1"/>
                <w:sz w:val="18"/>
                <w:szCs w:val="18"/>
              </w:rPr>
              <w:t xml:space="preserve"> 202</w:t>
            </w:r>
            <w:r>
              <w:rPr>
                <w:rFonts w:ascii="Arial" w:hAnsi="Arial" w:cs="Arial"/>
                <w:b/>
                <w:bCs/>
                <w:color w:val="000000" w:themeColor="text1"/>
                <w:sz w:val="18"/>
                <w:szCs w:val="18"/>
              </w:rPr>
              <w:t>4</w:t>
            </w:r>
            <w:r w:rsidRPr="00C51439">
              <w:rPr>
                <w:rFonts w:ascii="Arial" w:hAnsi="Arial" w:cs="Arial"/>
                <w:b/>
                <w:bCs/>
                <w:color w:val="000000" w:themeColor="text1"/>
                <w:sz w:val="18"/>
                <w:szCs w:val="18"/>
              </w:rPr>
              <w:t xml:space="preserve">.    </w:t>
            </w:r>
          </w:p>
        </w:tc>
        <w:tc>
          <w:tcPr>
            <w:tcW w:w="1276" w:type="dxa"/>
            <w:tcBorders>
              <w:top w:val="single" w:sz="8" w:space="0" w:color="auto"/>
              <w:left w:val="nil"/>
              <w:bottom w:val="single" w:sz="12" w:space="0" w:color="000000"/>
              <w:right w:val="nil"/>
            </w:tcBorders>
            <w:shd w:val="clear" w:color="auto" w:fill="auto"/>
            <w:noWrap/>
            <w:vAlign w:val="bottom"/>
          </w:tcPr>
          <w:p w14:paraId="47885E28" w14:textId="4F23FD70" w:rsidR="00515A16" w:rsidRPr="00515A16" w:rsidRDefault="00515A16" w:rsidP="00515A16">
            <w:pPr>
              <w:jc w:val="right"/>
              <w:rPr>
                <w:rFonts w:ascii="Arial" w:hAnsi="Arial" w:cs="Arial"/>
                <w:b/>
                <w:bCs/>
                <w:sz w:val="18"/>
                <w:szCs w:val="18"/>
              </w:rPr>
            </w:pPr>
            <w:r w:rsidRPr="005D1219">
              <w:rPr>
                <w:rFonts w:ascii="Arial" w:hAnsi="Arial" w:cs="Arial"/>
                <w:b/>
                <w:bCs/>
                <w:sz w:val="18"/>
                <w:szCs w:val="18"/>
              </w:rPr>
              <w:t xml:space="preserve"> 1.786.628 </w:t>
            </w:r>
          </w:p>
        </w:tc>
        <w:tc>
          <w:tcPr>
            <w:tcW w:w="1276" w:type="dxa"/>
            <w:tcBorders>
              <w:top w:val="single" w:sz="8" w:space="0" w:color="auto"/>
              <w:left w:val="nil"/>
              <w:bottom w:val="single" w:sz="12" w:space="0" w:color="000000"/>
              <w:right w:val="nil"/>
            </w:tcBorders>
            <w:shd w:val="clear" w:color="auto" w:fill="auto"/>
            <w:noWrap/>
            <w:vAlign w:val="bottom"/>
          </w:tcPr>
          <w:p w14:paraId="559109C2" w14:textId="32BE9292" w:rsidR="00515A16" w:rsidRPr="00515A16" w:rsidRDefault="00515A16" w:rsidP="00515A16">
            <w:pPr>
              <w:jc w:val="right"/>
              <w:rPr>
                <w:rFonts w:ascii="Arial" w:hAnsi="Arial" w:cs="Arial"/>
                <w:b/>
                <w:bCs/>
                <w:sz w:val="18"/>
                <w:szCs w:val="18"/>
              </w:rPr>
            </w:pPr>
            <w:r w:rsidRPr="005D1219">
              <w:rPr>
                <w:rFonts w:ascii="Arial" w:hAnsi="Arial" w:cs="Arial"/>
                <w:b/>
                <w:bCs/>
                <w:sz w:val="18"/>
                <w:szCs w:val="18"/>
              </w:rPr>
              <w:t xml:space="preserve"> 206.083 </w:t>
            </w:r>
          </w:p>
        </w:tc>
        <w:tc>
          <w:tcPr>
            <w:tcW w:w="1276" w:type="dxa"/>
            <w:tcBorders>
              <w:top w:val="single" w:sz="8" w:space="0" w:color="auto"/>
              <w:left w:val="nil"/>
              <w:bottom w:val="single" w:sz="12" w:space="0" w:color="000000"/>
              <w:right w:val="nil"/>
            </w:tcBorders>
            <w:shd w:val="clear" w:color="auto" w:fill="auto"/>
            <w:noWrap/>
            <w:vAlign w:val="bottom"/>
          </w:tcPr>
          <w:p w14:paraId="38304087" w14:textId="5409BF8F" w:rsidR="00515A16" w:rsidRPr="00515A16" w:rsidRDefault="00515A16" w:rsidP="00515A16">
            <w:pPr>
              <w:jc w:val="right"/>
              <w:rPr>
                <w:rFonts w:ascii="Arial" w:hAnsi="Arial" w:cs="Arial"/>
                <w:b/>
                <w:bCs/>
                <w:sz w:val="18"/>
                <w:szCs w:val="18"/>
              </w:rPr>
            </w:pPr>
            <w:r w:rsidRPr="005D1219">
              <w:rPr>
                <w:rFonts w:ascii="Arial" w:hAnsi="Arial" w:cs="Arial"/>
                <w:b/>
                <w:bCs/>
                <w:sz w:val="18"/>
                <w:szCs w:val="18"/>
              </w:rPr>
              <w:t xml:space="preserve"> 158.243 </w:t>
            </w:r>
          </w:p>
        </w:tc>
        <w:tc>
          <w:tcPr>
            <w:tcW w:w="1276" w:type="dxa"/>
            <w:tcBorders>
              <w:top w:val="single" w:sz="8" w:space="0" w:color="auto"/>
              <w:left w:val="nil"/>
              <w:bottom w:val="single" w:sz="12" w:space="0" w:color="000000"/>
              <w:right w:val="nil"/>
            </w:tcBorders>
            <w:shd w:val="clear" w:color="auto" w:fill="auto"/>
            <w:vAlign w:val="bottom"/>
          </w:tcPr>
          <w:p w14:paraId="2E2847D9" w14:textId="1506A698" w:rsidR="00515A16" w:rsidRPr="00515A16" w:rsidRDefault="00515A16" w:rsidP="00515A16">
            <w:pPr>
              <w:jc w:val="right"/>
              <w:rPr>
                <w:rFonts w:ascii="Arial" w:hAnsi="Arial" w:cs="Arial"/>
                <w:b/>
                <w:bCs/>
                <w:sz w:val="18"/>
                <w:szCs w:val="18"/>
              </w:rPr>
            </w:pPr>
            <w:r w:rsidRPr="005D1219">
              <w:rPr>
                <w:rFonts w:ascii="Arial" w:hAnsi="Arial" w:cs="Arial"/>
                <w:b/>
                <w:bCs/>
                <w:sz w:val="18"/>
                <w:szCs w:val="18"/>
              </w:rPr>
              <w:t xml:space="preserve"> 11.574 </w:t>
            </w:r>
          </w:p>
        </w:tc>
        <w:tc>
          <w:tcPr>
            <w:tcW w:w="1133" w:type="dxa"/>
            <w:tcBorders>
              <w:top w:val="single" w:sz="8" w:space="0" w:color="auto"/>
              <w:left w:val="nil"/>
              <w:bottom w:val="single" w:sz="12" w:space="0" w:color="000000"/>
              <w:right w:val="nil"/>
            </w:tcBorders>
            <w:shd w:val="clear" w:color="auto" w:fill="auto"/>
            <w:vAlign w:val="bottom"/>
          </w:tcPr>
          <w:p w14:paraId="5A590A46" w14:textId="3B31E04C" w:rsidR="00515A16" w:rsidRPr="00515A16" w:rsidRDefault="00515A16" w:rsidP="00515A16">
            <w:pPr>
              <w:jc w:val="right"/>
              <w:rPr>
                <w:rFonts w:ascii="Arial" w:hAnsi="Arial" w:cs="Arial"/>
                <w:b/>
                <w:bCs/>
                <w:sz w:val="18"/>
                <w:szCs w:val="18"/>
              </w:rPr>
            </w:pPr>
            <w:r w:rsidRPr="005D1219">
              <w:rPr>
                <w:rFonts w:ascii="Arial" w:hAnsi="Arial" w:cs="Arial"/>
                <w:b/>
                <w:bCs/>
                <w:sz w:val="18"/>
                <w:szCs w:val="18"/>
              </w:rPr>
              <w:t xml:space="preserve"> 175.316 </w:t>
            </w:r>
          </w:p>
        </w:tc>
        <w:tc>
          <w:tcPr>
            <w:tcW w:w="1419" w:type="dxa"/>
            <w:tcBorders>
              <w:top w:val="single" w:sz="8" w:space="0" w:color="auto"/>
              <w:left w:val="nil"/>
              <w:bottom w:val="single" w:sz="12" w:space="0" w:color="000000"/>
              <w:right w:val="nil"/>
            </w:tcBorders>
            <w:shd w:val="clear" w:color="auto" w:fill="auto"/>
            <w:noWrap/>
            <w:vAlign w:val="bottom"/>
          </w:tcPr>
          <w:p w14:paraId="24EC1359" w14:textId="03769D9A" w:rsidR="00515A16" w:rsidRPr="00515A16" w:rsidRDefault="00515A16" w:rsidP="00515A16">
            <w:pPr>
              <w:jc w:val="right"/>
              <w:rPr>
                <w:rFonts w:ascii="Arial" w:hAnsi="Arial" w:cs="Arial"/>
                <w:b/>
                <w:bCs/>
                <w:sz w:val="18"/>
                <w:szCs w:val="18"/>
              </w:rPr>
            </w:pPr>
            <w:r w:rsidRPr="005D1219">
              <w:rPr>
                <w:rFonts w:ascii="Arial" w:hAnsi="Arial" w:cs="Arial"/>
                <w:b/>
                <w:bCs/>
                <w:sz w:val="18"/>
                <w:szCs w:val="18"/>
              </w:rPr>
              <w:t xml:space="preserve"> 2.337.844 </w:t>
            </w:r>
          </w:p>
        </w:tc>
      </w:tr>
    </w:tbl>
    <w:p w14:paraId="213BD89F" w14:textId="77777777" w:rsidR="001B5068" w:rsidRPr="003D1614" w:rsidRDefault="001B5068" w:rsidP="001B5068">
      <w:pPr>
        <w:suppressAutoHyphens/>
        <w:autoSpaceDN w:val="0"/>
        <w:jc w:val="both"/>
        <w:rPr>
          <w:rFonts w:ascii="Arial" w:eastAsia="Times New Roman" w:hAnsi="Arial" w:cs="Arial"/>
          <w:color w:val="000000" w:themeColor="text1"/>
          <w:sz w:val="20"/>
          <w:szCs w:val="20"/>
        </w:rPr>
      </w:pPr>
    </w:p>
    <w:p w14:paraId="0FF1FF51" w14:textId="77777777" w:rsidR="001B5068" w:rsidRPr="003D1614" w:rsidRDefault="001B5068" w:rsidP="001B5068">
      <w:pPr>
        <w:suppressAutoHyphens/>
        <w:autoSpaceDN w:val="0"/>
        <w:jc w:val="both"/>
        <w:rPr>
          <w:rFonts w:ascii="Arial" w:eastAsia="Times New Roman" w:hAnsi="Arial" w:cs="Arial"/>
          <w:color w:val="000000" w:themeColor="text1"/>
          <w:sz w:val="20"/>
          <w:szCs w:val="20"/>
        </w:rPr>
      </w:pPr>
    </w:p>
    <w:tbl>
      <w:tblPr>
        <w:tblpPr w:leftFromText="180" w:rightFromText="180" w:vertAnchor="text" w:horzAnchor="margin" w:tblpY="23"/>
        <w:tblW w:w="9499" w:type="dxa"/>
        <w:tblLayout w:type="fixed"/>
        <w:tblLook w:val="04A0" w:firstRow="1" w:lastRow="0" w:firstColumn="1" w:lastColumn="0" w:noHBand="0" w:noVBand="1"/>
      </w:tblPr>
      <w:tblGrid>
        <w:gridCol w:w="1843"/>
        <w:gridCol w:w="1276"/>
        <w:gridCol w:w="1276"/>
        <w:gridCol w:w="1276"/>
        <w:gridCol w:w="1276"/>
        <w:gridCol w:w="1276"/>
        <w:gridCol w:w="1276"/>
      </w:tblGrid>
      <w:tr w:rsidR="00860B28" w:rsidRPr="00C51439" w14:paraId="7112C528" w14:textId="77777777" w:rsidTr="00D15CE2">
        <w:trPr>
          <w:trHeight w:val="50"/>
        </w:trPr>
        <w:tc>
          <w:tcPr>
            <w:tcW w:w="1843" w:type="dxa"/>
            <w:tcBorders>
              <w:top w:val="nil"/>
              <w:left w:val="nil"/>
              <w:bottom w:val="nil"/>
              <w:right w:val="nil"/>
            </w:tcBorders>
            <w:shd w:val="clear" w:color="auto" w:fill="auto"/>
            <w:noWrap/>
            <w:vAlign w:val="bottom"/>
            <w:hideMark/>
          </w:tcPr>
          <w:p w14:paraId="3049FD65" w14:textId="77777777" w:rsidR="00860B28" w:rsidRPr="00C51439" w:rsidRDefault="00860B28" w:rsidP="00D15CE2">
            <w:pPr>
              <w:rPr>
                <w:rFonts w:ascii="Arial" w:hAnsi="Arial" w:cs="Arial"/>
                <w:b/>
                <w:color w:val="000000" w:themeColor="text1"/>
                <w:sz w:val="18"/>
                <w:szCs w:val="18"/>
              </w:rPr>
            </w:pPr>
            <w:r w:rsidRPr="00C51439">
              <w:rPr>
                <w:rFonts w:ascii="Arial" w:hAnsi="Arial" w:cs="Arial"/>
                <w:b/>
                <w:color w:val="000000" w:themeColor="text1"/>
                <w:sz w:val="18"/>
                <w:szCs w:val="18"/>
              </w:rPr>
              <w:t>31. prosinca 202</w:t>
            </w:r>
            <w:r>
              <w:rPr>
                <w:rFonts w:ascii="Arial" w:hAnsi="Arial" w:cs="Arial"/>
                <w:b/>
                <w:color w:val="000000" w:themeColor="text1"/>
                <w:sz w:val="18"/>
                <w:szCs w:val="18"/>
              </w:rPr>
              <w:t>3</w:t>
            </w:r>
            <w:r w:rsidRPr="00C51439">
              <w:rPr>
                <w:rFonts w:ascii="Arial" w:hAnsi="Arial" w:cs="Arial"/>
                <w:b/>
                <w:color w:val="000000" w:themeColor="text1"/>
                <w:sz w:val="18"/>
                <w:szCs w:val="18"/>
              </w:rPr>
              <w:t xml:space="preserve">.    </w:t>
            </w:r>
          </w:p>
        </w:tc>
        <w:tc>
          <w:tcPr>
            <w:tcW w:w="1276" w:type="dxa"/>
            <w:tcBorders>
              <w:top w:val="nil"/>
              <w:left w:val="nil"/>
              <w:bottom w:val="nil"/>
              <w:right w:val="nil"/>
            </w:tcBorders>
          </w:tcPr>
          <w:p w14:paraId="218AD0A1" w14:textId="77777777" w:rsidR="00860B28" w:rsidRPr="00C51439" w:rsidRDefault="00860B28" w:rsidP="00D15CE2">
            <w:pPr>
              <w:jc w:val="right"/>
              <w:rPr>
                <w:rFonts w:ascii="Arial" w:hAnsi="Arial" w:cs="Arial"/>
                <w:b/>
                <w:bCs/>
                <w:color w:val="000000" w:themeColor="text1"/>
                <w:sz w:val="18"/>
                <w:szCs w:val="18"/>
              </w:rPr>
            </w:pPr>
          </w:p>
        </w:tc>
        <w:tc>
          <w:tcPr>
            <w:tcW w:w="6380" w:type="dxa"/>
            <w:gridSpan w:val="5"/>
            <w:tcBorders>
              <w:top w:val="nil"/>
              <w:left w:val="nil"/>
              <w:bottom w:val="nil"/>
              <w:right w:val="nil"/>
            </w:tcBorders>
            <w:shd w:val="clear" w:color="auto" w:fill="auto"/>
            <w:noWrap/>
            <w:vAlign w:val="bottom"/>
            <w:hideMark/>
          </w:tcPr>
          <w:p w14:paraId="65726828" w14:textId="77777777" w:rsidR="00860B28" w:rsidRPr="00C51439" w:rsidRDefault="00860B28" w:rsidP="00D15CE2">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Grupa i Banka</w:t>
            </w:r>
          </w:p>
        </w:tc>
      </w:tr>
      <w:tr w:rsidR="00860B28" w:rsidRPr="00C51439" w14:paraId="0C8C69B9" w14:textId="77777777" w:rsidTr="00D15CE2">
        <w:trPr>
          <w:trHeight w:val="50"/>
        </w:trPr>
        <w:tc>
          <w:tcPr>
            <w:tcW w:w="1843" w:type="dxa"/>
            <w:tcBorders>
              <w:top w:val="nil"/>
              <w:left w:val="nil"/>
              <w:bottom w:val="nil"/>
              <w:right w:val="nil"/>
            </w:tcBorders>
            <w:shd w:val="clear" w:color="auto" w:fill="auto"/>
            <w:noWrap/>
            <w:vAlign w:val="bottom"/>
            <w:hideMark/>
          </w:tcPr>
          <w:p w14:paraId="78228EAE" w14:textId="77777777" w:rsidR="00860B28" w:rsidRPr="00C51439" w:rsidRDefault="00860B28" w:rsidP="00D15CE2">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hideMark/>
          </w:tcPr>
          <w:p w14:paraId="60C8B2DA" w14:textId="77777777" w:rsidR="00860B28" w:rsidRPr="00C51439" w:rsidRDefault="00860B28" w:rsidP="00D15CE2">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Stupanj 1</w:t>
            </w:r>
          </w:p>
        </w:tc>
        <w:tc>
          <w:tcPr>
            <w:tcW w:w="1276" w:type="dxa"/>
            <w:tcBorders>
              <w:top w:val="nil"/>
              <w:left w:val="nil"/>
              <w:bottom w:val="nil"/>
              <w:right w:val="nil"/>
            </w:tcBorders>
            <w:shd w:val="clear" w:color="auto" w:fill="auto"/>
            <w:noWrap/>
            <w:vAlign w:val="bottom"/>
            <w:hideMark/>
          </w:tcPr>
          <w:p w14:paraId="0E8248F6" w14:textId="77777777" w:rsidR="00860B28" w:rsidRPr="00C51439" w:rsidRDefault="00860B28" w:rsidP="00D15CE2">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Stupanj 2</w:t>
            </w:r>
          </w:p>
        </w:tc>
        <w:tc>
          <w:tcPr>
            <w:tcW w:w="1276" w:type="dxa"/>
            <w:tcBorders>
              <w:top w:val="nil"/>
              <w:left w:val="nil"/>
              <w:bottom w:val="nil"/>
              <w:right w:val="nil"/>
            </w:tcBorders>
            <w:shd w:val="clear" w:color="auto" w:fill="auto"/>
            <w:noWrap/>
            <w:vAlign w:val="bottom"/>
            <w:hideMark/>
          </w:tcPr>
          <w:p w14:paraId="3735D132" w14:textId="77777777" w:rsidR="00860B28" w:rsidRPr="00C51439" w:rsidRDefault="00860B28" w:rsidP="00D15CE2">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Stupanj 3</w:t>
            </w:r>
          </w:p>
        </w:tc>
        <w:tc>
          <w:tcPr>
            <w:tcW w:w="2552" w:type="dxa"/>
            <w:gridSpan w:val="2"/>
            <w:tcBorders>
              <w:top w:val="nil"/>
              <w:left w:val="nil"/>
              <w:bottom w:val="nil"/>
              <w:right w:val="nil"/>
            </w:tcBorders>
          </w:tcPr>
          <w:p w14:paraId="26A73E1D" w14:textId="77777777" w:rsidR="00860B28" w:rsidRPr="008A2337" w:rsidRDefault="00860B28" w:rsidP="00D15CE2">
            <w:pPr>
              <w:jc w:val="center"/>
              <w:rPr>
                <w:rFonts w:ascii="Arial" w:hAnsi="Arial" w:cs="Arial"/>
                <w:b/>
                <w:bCs/>
                <w:color w:val="000000" w:themeColor="text1"/>
                <w:sz w:val="18"/>
                <w:szCs w:val="18"/>
              </w:rPr>
            </w:pPr>
            <w:r w:rsidRPr="008A2337">
              <w:rPr>
                <w:rFonts w:ascii="Arial" w:hAnsi="Arial" w:cs="Arial"/>
                <w:b/>
                <w:bCs/>
                <w:color w:val="000000" w:themeColor="text1"/>
                <w:sz w:val="18"/>
                <w:szCs w:val="18"/>
              </w:rPr>
              <w:t>POCI</w:t>
            </w:r>
          </w:p>
        </w:tc>
        <w:tc>
          <w:tcPr>
            <w:tcW w:w="1276" w:type="dxa"/>
            <w:tcBorders>
              <w:top w:val="nil"/>
              <w:left w:val="nil"/>
              <w:bottom w:val="nil"/>
              <w:right w:val="nil"/>
            </w:tcBorders>
            <w:shd w:val="clear" w:color="auto" w:fill="auto"/>
            <w:noWrap/>
            <w:vAlign w:val="bottom"/>
            <w:hideMark/>
          </w:tcPr>
          <w:p w14:paraId="790694EE" w14:textId="77777777" w:rsidR="00860B28" w:rsidRPr="00C51439" w:rsidRDefault="00860B28" w:rsidP="00D15CE2">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Ukupno</w:t>
            </w:r>
          </w:p>
        </w:tc>
      </w:tr>
      <w:tr w:rsidR="00860B28" w:rsidRPr="00C51439" w14:paraId="54D481E3" w14:textId="77777777" w:rsidTr="00D15CE2">
        <w:trPr>
          <w:trHeight w:val="50"/>
        </w:trPr>
        <w:tc>
          <w:tcPr>
            <w:tcW w:w="1843" w:type="dxa"/>
            <w:tcBorders>
              <w:top w:val="nil"/>
              <w:left w:val="nil"/>
              <w:bottom w:val="nil"/>
              <w:right w:val="nil"/>
            </w:tcBorders>
            <w:shd w:val="clear" w:color="auto" w:fill="auto"/>
            <w:noWrap/>
            <w:vAlign w:val="bottom"/>
          </w:tcPr>
          <w:p w14:paraId="01C08A0B" w14:textId="77777777" w:rsidR="00860B28" w:rsidRPr="00C51439" w:rsidRDefault="00860B28" w:rsidP="00D15CE2">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527C8570" w14:textId="77777777" w:rsidR="00860B28" w:rsidRPr="00C51439" w:rsidRDefault="00860B28" w:rsidP="00D15CE2">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0E17F16F" w14:textId="77777777" w:rsidR="00860B28" w:rsidRPr="00C51439" w:rsidRDefault="00860B28" w:rsidP="00D15CE2">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4795EE57" w14:textId="77777777" w:rsidR="00860B28" w:rsidRPr="00C51439" w:rsidRDefault="00860B28" w:rsidP="00D15CE2">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vAlign w:val="bottom"/>
          </w:tcPr>
          <w:p w14:paraId="5DE5503A" w14:textId="77777777" w:rsidR="00860B28" w:rsidRPr="00F959D0" w:rsidRDefault="00860B28" w:rsidP="00D15CE2">
            <w:pPr>
              <w:jc w:val="right"/>
              <w:rPr>
                <w:rFonts w:ascii="Arial" w:hAnsi="Arial" w:cs="Arial"/>
                <w:b/>
                <w:bCs/>
                <w:color w:val="000000" w:themeColor="text1"/>
                <w:sz w:val="18"/>
                <w:szCs w:val="18"/>
              </w:rPr>
            </w:pPr>
            <w:r w:rsidRPr="008A2337">
              <w:rPr>
                <w:rFonts w:ascii="Arial" w:hAnsi="Arial" w:cs="Arial"/>
                <w:b/>
                <w:bCs/>
                <w:color w:val="000000" w:themeColor="text1"/>
                <w:sz w:val="18"/>
                <w:szCs w:val="18"/>
              </w:rPr>
              <w:t>Stupanj 2</w:t>
            </w:r>
          </w:p>
        </w:tc>
        <w:tc>
          <w:tcPr>
            <w:tcW w:w="1276" w:type="dxa"/>
            <w:tcBorders>
              <w:top w:val="nil"/>
              <w:left w:val="nil"/>
              <w:bottom w:val="nil"/>
              <w:right w:val="nil"/>
            </w:tcBorders>
            <w:shd w:val="clear" w:color="auto" w:fill="auto"/>
            <w:vAlign w:val="bottom"/>
          </w:tcPr>
          <w:p w14:paraId="4143ABFE" w14:textId="77777777" w:rsidR="00860B28" w:rsidRPr="00F959D0" w:rsidRDefault="00860B28" w:rsidP="00D15CE2">
            <w:pPr>
              <w:jc w:val="right"/>
              <w:rPr>
                <w:rFonts w:ascii="Arial" w:hAnsi="Arial" w:cs="Arial"/>
                <w:b/>
                <w:bCs/>
                <w:color w:val="000000" w:themeColor="text1"/>
                <w:sz w:val="18"/>
                <w:szCs w:val="18"/>
              </w:rPr>
            </w:pPr>
            <w:r w:rsidRPr="008A2337">
              <w:rPr>
                <w:rFonts w:ascii="Arial" w:hAnsi="Arial" w:cs="Arial"/>
                <w:b/>
                <w:bCs/>
                <w:color w:val="000000" w:themeColor="text1"/>
                <w:sz w:val="18"/>
                <w:szCs w:val="18"/>
              </w:rPr>
              <w:t>Stupanj 3</w:t>
            </w:r>
          </w:p>
        </w:tc>
        <w:tc>
          <w:tcPr>
            <w:tcW w:w="1276" w:type="dxa"/>
            <w:tcBorders>
              <w:top w:val="nil"/>
              <w:left w:val="nil"/>
              <w:bottom w:val="nil"/>
              <w:right w:val="nil"/>
            </w:tcBorders>
            <w:shd w:val="clear" w:color="auto" w:fill="auto"/>
            <w:noWrap/>
            <w:vAlign w:val="bottom"/>
          </w:tcPr>
          <w:p w14:paraId="5C2A10D4" w14:textId="77777777" w:rsidR="00860B28" w:rsidRPr="00C51439" w:rsidRDefault="00860B28" w:rsidP="00D15CE2">
            <w:pPr>
              <w:jc w:val="right"/>
              <w:rPr>
                <w:rFonts w:ascii="Arial" w:hAnsi="Arial" w:cs="Arial"/>
                <w:b/>
                <w:bCs/>
                <w:color w:val="000000" w:themeColor="text1"/>
                <w:sz w:val="18"/>
                <w:szCs w:val="18"/>
              </w:rPr>
            </w:pPr>
          </w:p>
        </w:tc>
      </w:tr>
      <w:tr w:rsidR="00860B28" w:rsidRPr="00C51439" w14:paraId="08E287B7" w14:textId="77777777" w:rsidTr="00D15CE2">
        <w:trPr>
          <w:trHeight w:val="50"/>
        </w:trPr>
        <w:tc>
          <w:tcPr>
            <w:tcW w:w="1843" w:type="dxa"/>
            <w:tcBorders>
              <w:top w:val="nil"/>
              <w:left w:val="nil"/>
              <w:bottom w:val="nil"/>
              <w:right w:val="nil"/>
            </w:tcBorders>
            <w:shd w:val="clear" w:color="auto" w:fill="auto"/>
            <w:noWrap/>
            <w:vAlign w:val="bottom"/>
            <w:hideMark/>
          </w:tcPr>
          <w:p w14:paraId="7787B861" w14:textId="77777777" w:rsidR="00860B28" w:rsidRPr="00C51439" w:rsidRDefault="00860B28" w:rsidP="00D15CE2">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hideMark/>
          </w:tcPr>
          <w:p w14:paraId="2CB9560E" w14:textId="77777777" w:rsidR="00860B28" w:rsidRPr="00C51439" w:rsidRDefault="00860B28" w:rsidP="00D15CE2">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 xml:space="preserve">000 </w:t>
            </w:r>
            <w:r>
              <w:rPr>
                <w:rFonts w:ascii="Arial" w:hAnsi="Arial" w:cs="Arial"/>
                <w:b/>
                <w:bCs/>
                <w:color w:val="000000" w:themeColor="text1"/>
                <w:sz w:val="18"/>
                <w:szCs w:val="18"/>
              </w:rPr>
              <w:t>eura</w:t>
            </w:r>
          </w:p>
        </w:tc>
        <w:tc>
          <w:tcPr>
            <w:tcW w:w="1276" w:type="dxa"/>
            <w:tcBorders>
              <w:top w:val="nil"/>
              <w:left w:val="nil"/>
              <w:bottom w:val="nil"/>
              <w:right w:val="nil"/>
            </w:tcBorders>
            <w:shd w:val="clear" w:color="auto" w:fill="auto"/>
            <w:noWrap/>
            <w:vAlign w:val="bottom"/>
            <w:hideMark/>
          </w:tcPr>
          <w:p w14:paraId="5D271174" w14:textId="77777777" w:rsidR="00860B28" w:rsidRPr="00C51439" w:rsidRDefault="00860B28" w:rsidP="00D15CE2">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 xml:space="preserve">000 </w:t>
            </w:r>
            <w:r>
              <w:rPr>
                <w:rFonts w:ascii="Arial" w:hAnsi="Arial" w:cs="Arial"/>
                <w:b/>
                <w:bCs/>
                <w:color w:val="000000" w:themeColor="text1"/>
                <w:sz w:val="18"/>
                <w:szCs w:val="18"/>
              </w:rPr>
              <w:t>eura</w:t>
            </w:r>
          </w:p>
        </w:tc>
        <w:tc>
          <w:tcPr>
            <w:tcW w:w="1276" w:type="dxa"/>
            <w:tcBorders>
              <w:top w:val="nil"/>
              <w:left w:val="nil"/>
              <w:bottom w:val="nil"/>
              <w:right w:val="nil"/>
            </w:tcBorders>
            <w:shd w:val="clear" w:color="auto" w:fill="auto"/>
            <w:noWrap/>
            <w:vAlign w:val="bottom"/>
            <w:hideMark/>
          </w:tcPr>
          <w:p w14:paraId="3ED57C16" w14:textId="77777777" w:rsidR="00860B28" w:rsidRPr="00C51439" w:rsidRDefault="00860B28" w:rsidP="00D15CE2">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 xml:space="preserve">000 </w:t>
            </w:r>
            <w:r>
              <w:rPr>
                <w:rFonts w:ascii="Arial" w:hAnsi="Arial" w:cs="Arial"/>
                <w:b/>
                <w:bCs/>
                <w:color w:val="000000" w:themeColor="text1"/>
                <w:sz w:val="18"/>
                <w:szCs w:val="18"/>
              </w:rPr>
              <w:t>eura</w:t>
            </w:r>
          </w:p>
        </w:tc>
        <w:tc>
          <w:tcPr>
            <w:tcW w:w="1276" w:type="dxa"/>
            <w:tcBorders>
              <w:top w:val="nil"/>
              <w:left w:val="nil"/>
              <w:bottom w:val="nil"/>
              <w:right w:val="nil"/>
            </w:tcBorders>
          </w:tcPr>
          <w:p w14:paraId="1F0635E1" w14:textId="77777777" w:rsidR="00860B28" w:rsidRPr="00F959D0" w:rsidRDefault="00860B28" w:rsidP="00D15CE2">
            <w:pPr>
              <w:jc w:val="right"/>
              <w:rPr>
                <w:rFonts w:ascii="Arial" w:hAnsi="Arial" w:cs="Arial"/>
                <w:b/>
                <w:bCs/>
                <w:color w:val="000000" w:themeColor="text1"/>
                <w:sz w:val="18"/>
                <w:szCs w:val="18"/>
              </w:rPr>
            </w:pPr>
            <w:r w:rsidRPr="008A2337">
              <w:rPr>
                <w:rFonts w:ascii="Arial" w:hAnsi="Arial" w:cs="Arial"/>
                <w:b/>
                <w:bCs/>
                <w:color w:val="000000" w:themeColor="text1"/>
                <w:sz w:val="18"/>
                <w:szCs w:val="18"/>
              </w:rPr>
              <w:t>000 eura</w:t>
            </w:r>
          </w:p>
        </w:tc>
        <w:tc>
          <w:tcPr>
            <w:tcW w:w="1276" w:type="dxa"/>
            <w:tcBorders>
              <w:top w:val="nil"/>
              <w:left w:val="nil"/>
              <w:bottom w:val="nil"/>
              <w:right w:val="nil"/>
            </w:tcBorders>
            <w:shd w:val="clear" w:color="auto" w:fill="auto"/>
            <w:vAlign w:val="bottom"/>
          </w:tcPr>
          <w:p w14:paraId="4C4DC311" w14:textId="77777777" w:rsidR="00860B28" w:rsidRPr="008A2337" w:rsidRDefault="00860B28" w:rsidP="00D15CE2">
            <w:pPr>
              <w:jc w:val="right"/>
              <w:rPr>
                <w:rFonts w:ascii="Arial" w:hAnsi="Arial" w:cs="Arial"/>
                <w:b/>
                <w:bCs/>
                <w:color w:val="000000" w:themeColor="text1"/>
                <w:sz w:val="18"/>
                <w:szCs w:val="18"/>
              </w:rPr>
            </w:pPr>
            <w:r w:rsidRPr="008A2337">
              <w:rPr>
                <w:rFonts w:ascii="Arial" w:hAnsi="Arial" w:cs="Arial"/>
                <w:b/>
                <w:bCs/>
                <w:color w:val="000000" w:themeColor="text1"/>
                <w:sz w:val="18"/>
                <w:szCs w:val="18"/>
              </w:rPr>
              <w:t>000 eura</w:t>
            </w:r>
          </w:p>
        </w:tc>
        <w:tc>
          <w:tcPr>
            <w:tcW w:w="1276" w:type="dxa"/>
            <w:tcBorders>
              <w:top w:val="nil"/>
              <w:left w:val="nil"/>
              <w:bottom w:val="nil"/>
              <w:right w:val="nil"/>
            </w:tcBorders>
            <w:shd w:val="clear" w:color="auto" w:fill="auto"/>
            <w:noWrap/>
            <w:vAlign w:val="bottom"/>
            <w:hideMark/>
          </w:tcPr>
          <w:p w14:paraId="5E414435" w14:textId="77777777" w:rsidR="00860B28" w:rsidRPr="00C51439" w:rsidRDefault="00860B28" w:rsidP="00D15CE2">
            <w:pPr>
              <w:jc w:val="right"/>
              <w:rPr>
                <w:rFonts w:ascii="Arial" w:hAnsi="Arial" w:cs="Arial"/>
                <w:b/>
                <w:bCs/>
                <w:color w:val="000000" w:themeColor="text1"/>
                <w:sz w:val="18"/>
                <w:szCs w:val="18"/>
              </w:rPr>
            </w:pPr>
            <w:r w:rsidRPr="00C51439">
              <w:rPr>
                <w:rFonts w:ascii="Arial" w:hAnsi="Arial" w:cs="Arial"/>
                <w:b/>
                <w:bCs/>
                <w:color w:val="000000" w:themeColor="text1"/>
                <w:sz w:val="18"/>
                <w:szCs w:val="18"/>
              </w:rPr>
              <w:t xml:space="preserve">000 </w:t>
            </w:r>
            <w:r>
              <w:rPr>
                <w:rFonts w:ascii="Arial" w:hAnsi="Arial" w:cs="Arial"/>
                <w:b/>
                <w:bCs/>
                <w:color w:val="000000" w:themeColor="text1"/>
                <w:sz w:val="18"/>
                <w:szCs w:val="18"/>
              </w:rPr>
              <w:t>eura</w:t>
            </w:r>
          </w:p>
        </w:tc>
      </w:tr>
      <w:tr w:rsidR="00860B28" w:rsidRPr="00C51439" w14:paraId="28CC2D46" w14:textId="77777777" w:rsidTr="00D15CE2">
        <w:trPr>
          <w:trHeight w:val="155"/>
        </w:trPr>
        <w:tc>
          <w:tcPr>
            <w:tcW w:w="1843" w:type="dxa"/>
            <w:tcBorders>
              <w:top w:val="nil"/>
              <w:left w:val="nil"/>
              <w:bottom w:val="nil"/>
              <w:right w:val="nil"/>
            </w:tcBorders>
            <w:shd w:val="clear" w:color="auto" w:fill="auto"/>
            <w:noWrap/>
            <w:vAlign w:val="bottom"/>
          </w:tcPr>
          <w:p w14:paraId="757D1E84" w14:textId="77777777" w:rsidR="00860B28" w:rsidRPr="00C51439" w:rsidRDefault="00860B28" w:rsidP="00D15CE2">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5C08A024" w14:textId="77777777" w:rsidR="00860B28" w:rsidRPr="00C51439" w:rsidRDefault="00860B28" w:rsidP="00D15CE2">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51F47E63" w14:textId="77777777" w:rsidR="00860B28" w:rsidRPr="00C51439" w:rsidRDefault="00860B28" w:rsidP="00D15CE2">
            <w:pPr>
              <w:jc w:val="right"/>
              <w:rPr>
                <w:rFonts w:ascii="Arial" w:hAnsi="Arial" w:cs="Arial"/>
                <w:b/>
                <w:bCs/>
                <w:color w:val="000000" w:themeColor="text1"/>
                <w:sz w:val="18"/>
                <w:szCs w:val="18"/>
              </w:rPr>
            </w:pPr>
          </w:p>
        </w:tc>
        <w:tc>
          <w:tcPr>
            <w:tcW w:w="1276" w:type="dxa"/>
            <w:tcBorders>
              <w:top w:val="nil"/>
              <w:left w:val="nil"/>
              <w:bottom w:val="nil"/>
              <w:right w:val="nil"/>
            </w:tcBorders>
            <w:shd w:val="clear" w:color="auto" w:fill="auto"/>
            <w:noWrap/>
            <w:vAlign w:val="bottom"/>
          </w:tcPr>
          <w:p w14:paraId="2BA178BA" w14:textId="77777777" w:rsidR="00860B28" w:rsidRPr="00C51439" w:rsidRDefault="00860B28" w:rsidP="00D15CE2">
            <w:pPr>
              <w:jc w:val="right"/>
              <w:rPr>
                <w:rFonts w:ascii="Arial" w:hAnsi="Arial" w:cs="Arial"/>
                <w:b/>
                <w:bCs/>
                <w:color w:val="000000" w:themeColor="text1"/>
                <w:sz w:val="18"/>
                <w:szCs w:val="18"/>
              </w:rPr>
            </w:pPr>
          </w:p>
        </w:tc>
        <w:tc>
          <w:tcPr>
            <w:tcW w:w="1276" w:type="dxa"/>
            <w:tcBorders>
              <w:top w:val="nil"/>
              <w:left w:val="nil"/>
              <w:bottom w:val="nil"/>
              <w:right w:val="nil"/>
            </w:tcBorders>
          </w:tcPr>
          <w:p w14:paraId="6CA14C76" w14:textId="77777777" w:rsidR="00860B28" w:rsidRPr="00B97AA5" w:rsidRDefault="00860B28" w:rsidP="00D15CE2">
            <w:pPr>
              <w:jc w:val="right"/>
              <w:rPr>
                <w:rFonts w:ascii="Arial" w:hAnsi="Arial" w:cs="Arial"/>
                <w:b/>
                <w:bCs/>
                <w:color w:val="000000" w:themeColor="text1"/>
                <w:sz w:val="18"/>
                <w:szCs w:val="18"/>
                <w:highlight w:val="yellow"/>
              </w:rPr>
            </w:pPr>
          </w:p>
        </w:tc>
        <w:tc>
          <w:tcPr>
            <w:tcW w:w="1276" w:type="dxa"/>
            <w:tcBorders>
              <w:top w:val="nil"/>
              <w:left w:val="nil"/>
              <w:bottom w:val="nil"/>
              <w:right w:val="nil"/>
            </w:tcBorders>
          </w:tcPr>
          <w:p w14:paraId="02FF435B" w14:textId="77777777" w:rsidR="00860B28" w:rsidRPr="00F959D0" w:rsidRDefault="00860B28" w:rsidP="00D15CE2">
            <w:pPr>
              <w:jc w:val="right"/>
              <w:rPr>
                <w:rFonts w:ascii="Arial" w:hAnsi="Arial" w:cs="Arial"/>
                <w:b/>
                <w:bCs/>
                <w:color w:val="000000" w:themeColor="text1"/>
                <w:sz w:val="18"/>
                <w:szCs w:val="18"/>
                <w:highlight w:val="yellow"/>
              </w:rPr>
            </w:pPr>
          </w:p>
        </w:tc>
        <w:tc>
          <w:tcPr>
            <w:tcW w:w="1276" w:type="dxa"/>
            <w:tcBorders>
              <w:top w:val="nil"/>
              <w:left w:val="nil"/>
              <w:bottom w:val="nil"/>
              <w:right w:val="nil"/>
            </w:tcBorders>
            <w:shd w:val="clear" w:color="auto" w:fill="auto"/>
            <w:noWrap/>
            <w:vAlign w:val="bottom"/>
          </w:tcPr>
          <w:p w14:paraId="15C7B089" w14:textId="77777777" w:rsidR="00860B28" w:rsidRPr="00C51439" w:rsidRDefault="00860B28" w:rsidP="00D15CE2">
            <w:pPr>
              <w:jc w:val="right"/>
              <w:rPr>
                <w:rFonts w:ascii="Arial" w:hAnsi="Arial" w:cs="Arial"/>
                <w:b/>
                <w:bCs/>
                <w:color w:val="000000" w:themeColor="text1"/>
                <w:sz w:val="18"/>
                <w:szCs w:val="18"/>
              </w:rPr>
            </w:pPr>
          </w:p>
        </w:tc>
      </w:tr>
      <w:tr w:rsidR="00860B28" w:rsidRPr="00C51439" w14:paraId="1A6EBAFB" w14:textId="77777777" w:rsidTr="00D15CE2">
        <w:trPr>
          <w:trHeight w:val="340"/>
        </w:trPr>
        <w:tc>
          <w:tcPr>
            <w:tcW w:w="1843" w:type="dxa"/>
            <w:tcBorders>
              <w:top w:val="nil"/>
              <w:left w:val="nil"/>
              <w:bottom w:val="nil"/>
              <w:right w:val="nil"/>
            </w:tcBorders>
            <w:shd w:val="clear" w:color="auto" w:fill="auto"/>
            <w:noWrap/>
            <w:vAlign w:val="bottom"/>
            <w:hideMark/>
          </w:tcPr>
          <w:p w14:paraId="3BF19512" w14:textId="77777777" w:rsidR="00860B28" w:rsidRPr="00C51439" w:rsidRDefault="00860B28" w:rsidP="00D15CE2">
            <w:pPr>
              <w:rPr>
                <w:rFonts w:ascii="Arial" w:hAnsi="Arial" w:cs="Arial"/>
                <w:color w:val="000000" w:themeColor="text1"/>
                <w:sz w:val="18"/>
                <w:szCs w:val="18"/>
              </w:rPr>
            </w:pPr>
            <w:r w:rsidRPr="00C51439">
              <w:rPr>
                <w:rFonts w:ascii="Arial" w:hAnsi="Arial" w:cs="Arial"/>
                <w:color w:val="000000" w:themeColor="text1"/>
                <w:sz w:val="18"/>
                <w:szCs w:val="18"/>
              </w:rPr>
              <w:t>Bruto iznos</w:t>
            </w:r>
          </w:p>
        </w:tc>
        <w:tc>
          <w:tcPr>
            <w:tcW w:w="1276" w:type="dxa"/>
            <w:tcBorders>
              <w:top w:val="nil"/>
              <w:left w:val="nil"/>
              <w:bottom w:val="nil"/>
              <w:right w:val="nil"/>
            </w:tcBorders>
            <w:shd w:val="clear" w:color="auto" w:fill="auto"/>
            <w:noWrap/>
            <w:vAlign w:val="bottom"/>
          </w:tcPr>
          <w:p w14:paraId="3DF0A7AF" w14:textId="77777777" w:rsidR="00860B28" w:rsidRPr="00DA3A0E" w:rsidRDefault="00860B28" w:rsidP="00D15CE2">
            <w:pPr>
              <w:jc w:val="right"/>
              <w:rPr>
                <w:rFonts w:ascii="Arial" w:hAnsi="Arial" w:cs="Arial"/>
                <w:sz w:val="18"/>
                <w:szCs w:val="18"/>
              </w:rPr>
            </w:pPr>
            <w:r w:rsidRPr="00F959D0">
              <w:rPr>
                <w:rFonts w:ascii="Arial" w:hAnsi="Arial" w:cs="Arial"/>
                <w:sz w:val="18"/>
                <w:szCs w:val="18"/>
              </w:rPr>
              <w:t>1.816.277</w:t>
            </w:r>
          </w:p>
        </w:tc>
        <w:tc>
          <w:tcPr>
            <w:tcW w:w="1276" w:type="dxa"/>
            <w:tcBorders>
              <w:top w:val="nil"/>
              <w:left w:val="nil"/>
              <w:bottom w:val="nil"/>
              <w:right w:val="nil"/>
            </w:tcBorders>
            <w:shd w:val="clear" w:color="auto" w:fill="auto"/>
            <w:noWrap/>
            <w:vAlign w:val="bottom"/>
          </w:tcPr>
          <w:p w14:paraId="545DBDBD" w14:textId="77777777" w:rsidR="00860B28" w:rsidRPr="00DA3A0E" w:rsidRDefault="00860B28" w:rsidP="00D15CE2">
            <w:pPr>
              <w:jc w:val="right"/>
              <w:rPr>
                <w:rFonts w:ascii="Arial" w:hAnsi="Arial" w:cs="Arial"/>
                <w:sz w:val="18"/>
                <w:szCs w:val="18"/>
              </w:rPr>
            </w:pPr>
            <w:r w:rsidRPr="00F959D0">
              <w:rPr>
                <w:rFonts w:ascii="Arial" w:hAnsi="Arial" w:cs="Arial"/>
                <w:sz w:val="18"/>
                <w:szCs w:val="18"/>
              </w:rPr>
              <w:t>388.593</w:t>
            </w:r>
          </w:p>
        </w:tc>
        <w:tc>
          <w:tcPr>
            <w:tcW w:w="1276" w:type="dxa"/>
            <w:tcBorders>
              <w:top w:val="nil"/>
              <w:left w:val="nil"/>
              <w:bottom w:val="nil"/>
              <w:right w:val="nil"/>
            </w:tcBorders>
            <w:shd w:val="clear" w:color="auto" w:fill="auto"/>
            <w:noWrap/>
            <w:vAlign w:val="bottom"/>
          </w:tcPr>
          <w:p w14:paraId="2B44DB58" w14:textId="77777777" w:rsidR="00860B28" w:rsidRPr="00DA3A0E" w:rsidRDefault="00860B28" w:rsidP="00D15CE2">
            <w:pPr>
              <w:jc w:val="right"/>
              <w:rPr>
                <w:rFonts w:ascii="Arial" w:hAnsi="Arial" w:cs="Arial"/>
                <w:sz w:val="18"/>
                <w:szCs w:val="18"/>
              </w:rPr>
            </w:pPr>
            <w:r w:rsidRPr="00F959D0">
              <w:rPr>
                <w:rFonts w:ascii="Arial" w:hAnsi="Arial" w:cs="Arial"/>
                <w:sz w:val="18"/>
                <w:szCs w:val="18"/>
              </w:rPr>
              <w:t>400.035</w:t>
            </w:r>
          </w:p>
        </w:tc>
        <w:tc>
          <w:tcPr>
            <w:tcW w:w="1276" w:type="dxa"/>
            <w:tcBorders>
              <w:top w:val="nil"/>
              <w:left w:val="nil"/>
              <w:bottom w:val="nil"/>
              <w:right w:val="nil"/>
            </w:tcBorders>
            <w:shd w:val="clear" w:color="auto" w:fill="auto"/>
            <w:vAlign w:val="bottom"/>
          </w:tcPr>
          <w:p w14:paraId="0B9F9717" w14:textId="77777777" w:rsidR="00860B28" w:rsidRPr="00F959D0" w:rsidRDefault="00860B28" w:rsidP="00D15CE2">
            <w:pPr>
              <w:jc w:val="right"/>
              <w:rPr>
                <w:rFonts w:ascii="Arial" w:hAnsi="Arial" w:cs="Arial"/>
                <w:sz w:val="18"/>
                <w:szCs w:val="18"/>
              </w:rPr>
            </w:pPr>
            <w:r w:rsidRPr="00F959D0">
              <w:rPr>
                <w:rFonts w:ascii="Arial" w:hAnsi="Arial" w:cs="Arial"/>
                <w:sz w:val="18"/>
                <w:szCs w:val="18"/>
              </w:rPr>
              <w:t>6.213</w:t>
            </w:r>
          </w:p>
        </w:tc>
        <w:tc>
          <w:tcPr>
            <w:tcW w:w="1276" w:type="dxa"/>
            <w:tcBorders>
              <w:top w:val="nil"/>
              <w:left w:val="nil"/>
              <w:bottom w:val="nil"/>
              <w:right w:val="nil"/>
            </w:tcBorders>
            <w:shd w:val="clear" w:color="auto" w:fill="auto"/>
            <w:vAlign w:val="bottom"/>
          </w:tcPr>
          <w:p w14:paraId="0473F1D9" w14:textId="77777777" w:rsidR="00860B28" w:rsidRPr="008A2337" w:rsidRDefault="00860B28" w:rsidP="00D15CE2">
            <w:pPr>
              <w:jc w:val="right"/>
              <w:rPr>
                <w:rFonts w:ascii="Arial" w:hAnsi="Arial" w:cs="Arial"/>
                <w:sz w:val="18"/>
                <w:szCs w:val="18"/>
              </w:rPr>
            </w:pPr>
            <w:r w:rsidRPr="00F959D0">
              <w:rPr>
                <w:rFonts w:ascii="Arial" w:hAnsi="Arial" w:cs="Arial"/>
                <w:sz w:val="18"/>
                <w:szCs w:val="18"/>
              </w:rPr>
              <w:t>210.835</w:t>
            </w:r>
          </w:p>
        </w:tc>
        <w:tc>
          <w:tcPr>
            <w:tcW w:w="1276" w:type="dxa"/>
            <w:tcBorders>
              <w:top w:val="nil"/>
              <w:left w:val="nil"/>
              <w:bottom w:val="nil"/>
              <w:right w:val="nil"/>
            </w:tcBorders>
            <w:shd w:val="clear" w:color="auto" w:fill="auto"/>
            <w:noWrap/>
            <w:vAlign w:val="bottom"/>
          </w:tcPr>
          <w:p w14:paraId="6F11D6EA" w14:textId="77777777" w:rsidR="00860B28" w:rsidRPr="008F0B09" w:rsidRDefault="00860B28" w:rsidP="00D15CE2">
            <w:pPr>
              <w:jc w:val="right"/>
              <w:rPr>
                <w:rFonts w:ascii="Arial" w:hAnsi="Arial" w:cs="Arial"/>
                <w:b/>
                <w:bCs/>
                <w:sz w:val="18"/>
                <w:szCs w:val="18"/>
              </w:rPr>
            </w:pPr>
            <w:r w:rsidRPr="00F959D0">
              <w:rPr>
                <w:rFonts w:ascii="Arial" w:hAnsi="Arial" w:cs="Arial"/>
                <w:b/>
                <w:bCs/>
                <w:sz w:val="18"/>
                <w:szCs w:val="18"/>
              </w:rPr>
              <w:t xml:space="preserve"> 2.821.953 </w:t>
            </w:r>
          </w:p>
        </w:tc>
      </w:tr>
      <w:tr w:rsidR="00860B28" w:rsidRPr="00C51439" w14:paraId="396BF4F8" w14:textId="77777777" w:rsidTr="00D15CE2">
        <w:trPr>
          <w:trHeight w:val="340"/>
        </w:trPr>
        <w:tc>
          <w:tcPr>
            <w:tcW w:w="1843" w:type="dxa"/>
            <w:tcBorders>
              <w:top w:val="nil"/>
              <w:left w:val="nil"/>
              <w:bottom w:val="nil"/>
              <w:right w:val="nil"/>
            </w:tcBorders>
            <w:shd w:val="clear" w:color="auto" w:fill="auto"/>
            <w:noWrap/>
            <w:vAlign w:val="bottom"/>
            <w:hideMark/>
          </w:tcPr>
          <w:p w14:paraId="2507FF49" w14:textId="77777777" w:rsidR="00860B28" w:rsidRPr="00C51439" w:rsidRDefault="00860B28" w:rsidP="00D15CE2">
            <w:pPr>
              <w:rPr>
                <w:rFonts w:ascii="Arial" w:hAnsi="Arial" w:cs="Arial"/>
                <w:color w:val="000000" w:themeColor="text1"/>
                <w:sz w:val="18"/>
                <w:szCs w:val="18"/>
              </w:rPr>
            </w:pPr>
            <w:r w:rsidRPr="00C51439">
              <w:rPr>
                <w:rFonts w:ascii="Arial" w:hAnsi="Arial" w:cs="Arial"/>
                <w:color w:val="000000" w:themeColor="text1"/>
                <w:sz w:val="18"/>
                <w:szCs w:val="18"/>
              </w:rPr>
              <w:t>Rezerviranja</w:t>
            </w:r>
          </w:p>
        </w:tc>
        <w:tc>
          <w:tcPr>
            <w:tcW w:w="1276" w:type="dxa"/>
            <w:tcBorders>
              <w:top w:val="nil"/>
              <w:left w:val="nil"/>
              <w:bottom w:val="nil"/>
              <w:right w:val="nil"/>
            </w:tcBorders>
            <w:shd w:val="clear" w:color="auto" w:fill="auto"/>
            <w:noWrap/>
            <w:vAlign w:val="bottom"/>
          </w:tcPr>
          <w:p w14:paraId="3ED94DAA" w14:textId="77777777" w:rsidR="00860B28" w:rsidRPr="00DA3A0E" w:rsidRDefault="00860B28" w:rsidP="00D15CE2">
            <w:pPr>
              <w:jc w:val="right"/>
              <w:rPr>
                <w:rFonts w:ascii="Arial" w:hAnsi="Arial" w:cs="Arial"/>
                <w:sz w:val="18"/>
                <w:szCs w:val="18"/>
              </w:rPr>
            </w:pPr>
            <w:r w:rsidRPr="00F959D0">
              <w:rPr>
                <w:rFonts w:ascii="Arial" w:hAnsi="Arial" w:cs="Arial"/>
                <w:sz w:val="18"/>
                <w:szCs w:val="18"/>
              </w:rPr>
              <w:t xml:space="preserve"> (42.543)</w:t>
            </w:r>
          </w:p>
        </w:tc>
        <w:tc>
          <w:tcPr>
            <w:tcW w:w="1276" w:type="dxa"/>
            <w:tcBorders>
              <w:top w:val="nil"/>
              <w:left w:val="nil"/>
              <w:bottom w:val="nil"/>
              <w:right w:val="nil"/>
            </w:tcBorders>
            <w:shd w:val="clear" w:color="auto" w:fill="auto"/>
            <w:noWrap/>
            <w:vAlign w:val="bottom"/>
          </w:tcPr>
          <w:p w14:paraId="31854ACD" w14:textId="77777777" w:rsidR="00860B28" w:rsidRPr="00DA3A0E" w:rsidRDefault="00860B28" w:rsidP="00D15CE2">
            <w:pPr>
              <w:jc w:val="right"/>
              <w:rPr>
                <w:rFonts w:ascii="Arial" w:hAnsi="Arial" w:cs="Arial"/>
                <w:sz w:val="18"/>
                <w:szCs w:val="18"/>
              </w:rPr>
            </w:pPr>
            <w:r w:rsidRPr="00F959D0">
              <w:rPr>
                <w:rFonts w:ascii="Arial" w:hAnsi="Arial" w:cs="Arial"/>
                <w:sz w:val="18"/>
                <w:szCs w:val="18"/>
              </w:rPr>
              <w:t xml:space="preserve"> (128.588)</w:t>
            </w:r>
          </w:p>
        </w:tc>
        <w:tc>
          <w:tcPr>
            <w:tcW w:w="1276" w:type="dxa"/>
            <w:tcBorders>
              <w:top w:val="nil"/>
              <w:left w:val="nil"/>
              <w:bottom w:val="nil"/>
              <w:right w:val="nil"/>
            </w:tcBorders>
            <w:shd w:val="clear" w:color="auto" w:fill="auto"/>
            <w:noWrap/>
            <w:vAlign w:val="bottom"/>
          </w:tcPr>
          <w:p w14:paraId="61935E5B" w14:textId="77777777" w:rsidR="00860B28" w:rsidRPr="00DA3A0E" w:rsidRDefault="00860B28" w:rsidP="00D15CE2">
            <w:pPr>
              <w:jc w:val="right"/>
              <w:rPr>
                <w:rFonts w:ascii="Arial" w:hAnsi="Arial" w:cs="Arial"/>
                <w:sz w:val="18"/>
                <w:szCs w:val="18"/>
              </w:rPr>
            </w:pPr>
            <w:r w:rsidRPr="00F959D0">
              <w:rPr>
                <w:rFonts w:ascii="Arial" w:hAnsi="Arial" w:cs="Arial"/>
                <w:sz w:val="18"/>
                <w:szCs w:val="18"/>
              </w:rPr>
              <w:t xml:space="preserve"> (267.359)</w:t>
            </w:r>
          </w:p>
        </w:tc>
        <w:tc>
          <w:tcPr>
            <w:tcW w:w="1276" w:type="dxa"/>
            <w:tcBorders>
              <w:top w:val="nil"/>
              <w:left w:val="nil"/>
              <w:bottom w:val="nil"/>
              <w:right w:val="nil"/>
            </w:tcBorders>
            <w:shd w:val="clear" w:color="auto" w:fill="auto"/>
            <w:vAlign w:val="bottom"/>
          </w:tcPr>
          <w:p w14:paraId="6D97B8A0" w14:textId="77777777" w:rsidR="00860B28" w:rsidRPr="00F959D0" w:rsidRDefault="00860B28" w:rsidP="00D15CE2">
            <w:pPr>
              <w:jc w:val="right"/>
              <w:rPr>
                <w:rFonts w:ascii="Arial" w:hAnsi="Arial" w:cs="Arial"/>
                <w:sz w:val="18"/>
                <w:szCs w:val="18"/>
              </w:rPr>
            </w:pPr>
            <w:r w:rsidRPr="00F959D0">
              <w:rPr>
                <w:rFonts w:ascii="Arial" w:hAnsi="Arial" w:cs="Arial"/>
                <w:sz w:val="18"/>
                <w:szCs w:val="18"/>
              </w:rPr>
              <w:t xml:space="preserve"> (750)</w:t>
            </w:r>
          </w:p>
        </w:tc>
        <w:tc>
          <w:tcPr>
            <w:tcW w:w="1276" w:type="dxa"/>
            <w:tcBorders>
              <w:top w:val="nil"/>
              <w:left w:val="nil"/>
              <w:bottom w:val="nil"/>
              <w:right w:val="nil"/>
            </w:tcBorders>
            <w:shd w:val="clear" w:color="auto" w:fill="auto"/>
            <w:vAlign w:val="bottom"/>
          </w:tcPr>
          <w:p w14:paraId="7092BDB8" w14:textId="77777777" w:rsidR="00860B28" w:rsidRPr="008A2337" w:rsidRDefault="00860B28" w:rsidP="00D15CE2">
            <w:pPr>
              <w:jc w:val="right"/>
              <w:rPr>
                <w:rFonts w:ascii="Arial" w:hAnsi="Arial" w:cs="Arial"/>
                <w:sz w:val="18"/>
                <w:szCs w:val="18"/>
              </w:rPr>
            </w:pPr>
            <w:r w:rsidRPr="00F959D0">
              <w:rPr>
                <w:rFonts w:ascii="Arial" w:hAnsi="Arial" w:cs="Arial"/>
                <w:sz w:val="18"/>
                <w:szCs w:val="18"/>
              </w:rPr>
              <w:t xml:space="preserve"> (31.517)</w:t>
            </w:r>
          </w:p>
        </w:tc>
        <w:tc>
          <w:tcPr>
            <w:tcW w:w="1276" w:type="dxa"/>
            <w:tcBorders>
              <w:top w:val="nil"/>
              <w:left w:val="nil"/>
              <w:bottom w:val="nil"/>
              <w:right w:val="nil"/>
            </w:tcBorders>
            <w:shd w:val="clear" w:color="auto" w:fill="auto"/>
            <w:noWrap/>
            <w:vAlign w:val="bottom"/>
          </w:tcPr>
          <w:p w14:paraId="488535C0" w14:textId="77777777" w:rsidR="00860B28" w:rsidRPr="008F0B09" w:rsidRDefault="00860B28" w:rsidP="00D15CE2">
            <w:pPr>
              <w:jc w:val="right"/>
              <w:rPr>
                <w:rFonts w:ascii="Arial" w:hAnsi="Arial" w:cs="Arial"/>
                <w:b/>
                <w:bCs/>
                <w:sz w:val="18"/>
                <w:szCs w:val="18"/>
              </w:rPr>
            </w:pPr>
            <w:r w:rsidRPr="00F959D0">
              <w:rPr>
                <w:rFonts w:ascii="Arial" w:hAnsi="Arial" w:cs="Arial"/>
                <w:b/>
                <w:bCs/>
                <w:sz w:val="18"/>
                <w:szCs w:val="18"/>
              </w:rPr>
              <w:t xml:space="preserve"> (470.757)</w:t>
            </w:r>
          </w:p>
        </w:tc>
      </w:tr>
      <w:tr w:rsidR="00860B28" w:rsidRPr="00C51439" w14:paraId="13CBF814" w14:textId="77777777" w:rsidTr="00D15CE2">
        <w:trPr>
          <w:trHeight w:val="510"/>
        </w:trPr>
        <w:tc>
          <w:tcPr>
            <w:tcW w:w="1843" w:type="dxa"/>
            <w:tcBorders>
              <w:top w:val="nil"/>
              <w:left w:val="nil"/>
              <w:bottom w:val="nil"/>
              <w:right w:val="nil"/>
            </w:tcBorders>
            <w:shd w:val="clear" w:color="auto" w:fill="auto"/>
            <w:noWrap/>
            <w:vAlign w:val="bottom"/>
            <w:hideMark/>
          </w:tcPr>
          <w:p w14:paraId="7DA1AF59" w14:textId="77777777" w:rsidR="00860B28" w:rsidRPr="00C51439" w:rsidRDefault="00860B28" w:rsidP="00D15CE2">
            <w:pPr>
              <w:rPr>
                <w:rFonts w:ascii="Arial" w:hAnsi="Arial" w:cs="Arial"/>
                <w:b/>
                <w:bCs/>
                <w:color w:val="000000" w:themeColor="text1"/>
                <w:sz w:val="18"/>
                <w:szCs w:val="18"/>
              </w:rPr>
            </w:pPr>
            <w:r w:rsidRPr="00C51439">
              <w:rPr>
                <w:rFonts w:ascii="Arial" w:hAnsi="Arial" w:cs="Arial"/>
                <w:b/>
                <w:bCs/>
                <w:color w:val="000000" w:themeColor="text1"/>
                <w:sz w:val="18"/>
                <w:szCs w:val="18"/>
              </w:rPr>
              <w:t xml:space="preserve">Stanje na dan </w:t>
            </w:r>
          </w:p>
          <w:p w14:paraId="3ED0E0B1" w14:textId="77777777" w:rsidR="00860B28" w:rsidRPr="00C51439" w:rsidRDefault="00860B28" w:rsidP="00D15CE2">
            <w:pPr>
              <w:rPr>
                <w:rFonts w:ascii="Arial" w:hAnsi="Arial" w:cs="Arial"/>
                <w:b/>
                <w:bCs/>
                <w:color w:val="000000" w:themeColor="text1"/>
                <w:sz w:val="18"/>
                <w:szCs w:val="18"/>
              </w:rPr>
            </w:pPr>
            <w:r w:rsidRPr="00C51439">
              <w:rPr>
                <w:rFonts w:ascii="Arial" w:hAnsi="Arial" w:cs="Arial"/>
                <w:b/>
                <w:bCs/>
                <w:color w:val="000000" w:themeColor="text1"/>
                <w:sz w:val="18"/>
                <w:szCs w:val="18"/>
              </w:rPr>
              <w:t>31. prosinca 202</w:t>
            </w:r>
            <w:r>
              <w:rPr>
                <w:rFonts w:ascii="Arial" w:hAnsi="Arial" w:cs="Arial"/>
                <w:b/>
                <w:bCs/>
                <w:color w:val="000000" w:themeColor="text1"/>
                <w:sz w:val="18"/>
                <w:szCs w:val="18"/>
              </w:rPr>
              <w:t>3</w:t>
            </w:r>
            <w:r w:rsidRPr="00C51439">
              <w:rPr>
                <w:rFonts w:ascii="Arial" w:hAnsi="Arial" w:cs="Arial"/>
                <w:b/>
                <w:bCs/>
                <w:color w:val="000000" w:themeColor="text1"/>
                <w:sz w:val="18"/>
                <w:szCs w:val="18"/>
              </w:rPr>
              <w:t xml:space="preserve">.    </w:t>
            </w:r>
          </w:p>
        </w:tc>
        <w:tc>
          <w:tcPr>
            <w:tcW w:w="1276" w:type="dxa"/>
            <w:tcBorders>
              <w:top w:val="single" w:sz="8" w:space="0" w:color="auto"/>
              <w:left w:val="nil"/>
              <w:bottom w:val="single" w:sz="12" w:space="0" w:color="000000"/>
              <w:right w:val="nil"/>
            </w:tcBorders>
            <w:shd w:val="clear" w:color="auto" w:fill="auto"/>
            <w:noWrap/>
            <w:vAlign w:val="bottom"/>
          </w:tcPr>
          <w:p w14:paraId="6E48CDC6" w14:textId="77777777" w:rsidR="00860B28" w:rsidRPr="008F0B09" w:rsidRDefault="00860B28" w:rsidP="00D15CE2">
            <w:pPr>
              <w:jc w:val="right"/>
              <w:rPr>
                <w:rFonts w:ascii="Arial" w:hAnsi="Arial" w:cs="Arial"/>
                <w:b/>
                <w:bCs/>
                <w:sz w:val="18"/>
                <w:szCs w:val="18"/>
              </w:rPr>
            </w:pPr>
            <w:r w:rsidRPr="00F959D0">
              <w:rPr>
                <w:rFonts w:ascii="Arial" w:hAnsi="Arial" w:cs="Arial"/>
                <w:b/>
                <w:bCs/>
                <w:sz w:val="18"/>
                <w:szCs w:val="18"/>
              </w:rPr>
              <w:t xml:space="preserve"> 1.773.734 </w:t>
            </w:r>
          </w:p>
        </w:tc>
        <w:tc>
          <w:tcPr>
            <w:tcW w:w="1276" w:type="dxa"/>
            <w:tcBorders>
              <w:top w:val="single" w:sz="8" w:space="0" w:color="auto"/>
              <w:left w:val="nil"/>
              <w:bottom w:val="single" w:sz="12" w:space="0" w:color="000000"/>
              <w:right w:val="nil"/>
            </w:tcBorders>
            <w:shd w:val="clear" w:color="auto" w:fill="auto"/>
            <w:noWrap/>
            <w:vAlign w:val="bottom"/>
          </w:tcPr>
          <w:p w14:paraId="7A0B1F36" w14:textId="77777777" w:rsidR="00860B28" w:rsidRPr="008F0B09" w:rsidRDefault="00860B28" w:rsidP="00D15CE2">
            <w:pPr>
              <w:jc w:val="right"/>
              <w:rPr>
                <w:rFonts w:ascii="Arial" w:hAnsi="Arial" w:cs="Arial"/>
                <w:b/>
                <w:bCs/>
                <w:sz w:val="18"/>
                <w:szCs w:val="18"/>
              </w:rPr>
            </w:pPr>
            <w:r w:rsidRPr="00F959D0">
              <w:rPr>
                <w:rFonts w:ascii="Arial" w:hAnsi="Arial" w:cs="Arial"/>
                <w:b/>
                <w:bCs/>
                <w:sz w:val="18"/>
                <w:szCs w:val="18"/>
              </w:rPr>
              <w:t xml:space="preserve"> 260.005 </w:t>
            </w:r>
          </w:p>
        </w:tc>
        <w:tc>
          <w:tcPr>
            <w:tcW w:w="1276" w:type="dxa"/>
            <w:tcBorders>
              <w:top w:val="single" w:sz="8" w:space="0" w:color="auto"/>
              <w:left w:val="nil"/>
              <w:bottom w:val="single" w:sz="12" w:space="0" w:color="000000"/>
              <w:right w:val="nil"/>
            </w:tcBorders>
            <w:shd w:val="clear" w:color="auto" w:fill="auto"/>
            <w:noWrap/>
            <w:vAlign w:val="bottom"/>
          </w:tcPr>
          <w:p w14:paraId="17B9453E" w14:textId="77777777" w:rsidR="00860B28" w:rsidRPr="008F0B09" w:rsidRDefault="00860B28" w:rsidP="00D15CE2">
            <w:pPr>
              <w:jc w:val="right"/>
              <w:rPr>
                <w:rFonts w:ascii="Arial" w:hAnsi="Arial" w:cs="Arial"/>
                <w:b/>
                <w:bCs/>
                <w:sz w:val="18"/>
                <w:szCs w:val="18"/>
              </w:rPr>
            </w:pPr>
            <w:r w:rsidRPr="00F959D0">
              <w:rPr>
                <w:rFonts w:ascii="Arial" w:hAnsi="Arial" w:cs="Arial"/>
                <w:b/>
                <w:bCs/>
                <w:sz w:val="18"/>
                <w:szCs w:val="18"/>
              </w:rPr>
              <w:t xml:space="preserve"> 132.676 </w:t>
            </w:r>
          </w:p>
        </w:tc>
        <w:tc>
          <w:tcPr>
            <w:tcW w:w="1276" w:type="dxa"/>
            <w:tcBorders>
              <w:top w:val="single" w:sz="8" w:space="0" w:color="auto"/>
              <w:left w:val="nil"/>
              <w:bottom w:val="single" w:sz="12" w:space="0" w:color="000000"/>
              <w:right w:val="nil"/>
            </w:tcBorders>
            <w:shd w:val="clear" w:color="auto" w:fill="auto"/>
            <w:vAlign w:val="bottom"/>
          </w:tcPr>
          <w:p w14:paraId="39A22148" w14:textId="77777777" w:rsidR="00860B28" w:rsidRPr="00F959D0" w:rsidRDefault="00860B28" w:rsidP="00D15CE2">
            <w:pPr>
              <w:jc w:val="right"/>
              <w:rPr>
                <w:rFonts w:ascii="Arial" w:hAnsi="Arial" w:cs="Arial"/>
                <w:b/>
                <w:bCs/>
                <w:sz w:val="18"/>
                <w:szCs w:val="18"/>
              </w:rPr>
            </w:pPr>
            <w:r w:rsidRPr="00F959D0">
              <w:rPr>
                <w:rFonts w:ascii="Arial" w:hAnsi="Arial" w:cs="Arial"/>
                <w:b/>
                <w:bCs/>
                <w:sz w:val="18"/>
                <w:szCs w:val="18"/>
              </w:rPr>
              <w:t xml:space="preserve"> 5.463 </w:t>
            </w:r>
          </w:p>
        </w:tc>
        <w:tc>
          <w:tcPr>
            <w:tcW w:w="1276" w:type="dxa"/>
            <w:tcBorders>
              <w:top w:val="single" w:sz="8" w:space="0" w:color="auto"/>
              <w:left w:val="nil"/>
              <w:bottom w:val="single" w:sz="12" w:space="0" w:color="000000"/>
              <w:right w:val="nil"/>
            </w:tcBorders>
            <w:shd w:val="clear" w:color="auto" w:fill="auto"/>
            <w:vAlign w:val="bottom"/>
          </w:tcPr>
          <w:p w14:paraId="1BE3A51E" w14:textId="77777777" w:rsidR="00860B28" w:rsidRPr="008A2337" w:rsidRDefault="00860B28" w:rsidP="00D15CE2">
            <w:pPr>
              <w:jc w:val="right"/>
              <w:rPr>
                <w:rFonts w:ascii="Arial" w:hAnsi="Arial" w:cs="Arial"/>
                <w:b/>
                <w:bCs/>
                <w:sz w:val="18"/>
                <w:szCs w:val="18"/>
              </w:rPr>
            </w:pPr>
            <w:r w:rsidRPr="00F959D0">
              <w:rPr>
                <w:rFonts w:ascii="Arial" w:hAnsi="Arial" w:cs="Arial"/>
                <w:b/>
                <w:bCs/>
                <w:sz w:val="18"/>
                <w:szCs w:val="18"/>
              </w:rPr>
              <w:t xml:space="preserve">179.318 </w:t>
            </w:r>
          </w:p>
        </w:tc>
        <w:tc>
          <w:tcPr>
            <w:tcW w:w="1276" w:type="dxa"/>
            <w:tcBorders>
              <w:top w:val="single" w:sz="8" w:space="0" w:color="auto"/>
              <w:left w:val="nil"/>
              <w:bottom w:val="single" w:sz="12" w:space="0" w:color="000000"/>
              <w:right w:val="nil"/>
            </w:tcBorders>
            <w:shd w:val="clear" w:color="auto" w:fill="auto"/>
            <w:noWrap/>
            <w:vAlign w:val="bottom"/>
          </w:tcPr>
          <w:p w14:paraId="07424133" w14:textId="77777777" w:rsidR="00860B28" w:rsidRPr="008F0B09" w:rsidRDefault="00860B28" w:rsidP="00D15CE2">
            <w:pPr>
              <w:jc w:val="right"/>
              <w:rPr>
                <w:rFonts w:ascii="Arial" w:hAnsi="Arial" w:cs="Arial"/>
                <w:b/>
                <w:bCs/>
                <w:sz w:val="18"/>
                <w:szCs w:val="18"/>
              </w:rPr>
            </w:pPr>
            <w:r w:rsidRPr="00F959D0">
              <w:rPr>
                <w:rFonts w:ascii="Arial" w:hAnsi="Arial" w:cs="Arial"/>
                <w:b/>
                <w:bCs/>
                <w:sz w:val="18"/>
                <w:szCs w:val="18"/>
              </w:rPr>
              <w:t xml:space="preserve"> 2.351.196 </w:t>
            </w:r>
          </w:p>
        </w:tc>
      </w:tr>
    </w:tbl>
    <w:p w14:paraId="1544DDC8" w14:textId="3EC397CF" w:rsidR="001B5068" w:rsidRPr="003D1614" w:rsidRDefault="001B5068" w:rsidP="005D5085">
      <w:pPr>
        <w:suppressAutoHyphens/>
        <w:autoSpaceDN w:val="0"/>
        <w:jc w:val="both"/>
        <w:outlineLvl w:val="0"/>
        <w:rPr>
          <w:rFonts w:ascii="Arial" w:eastAsia="Times New Roman" w:hAnsi="Arial" w:cs="Arial"/>
          <w:bCs/>
          <w:color w:val="000000" w:themeColor="text1"/>
          <w:sz w:val="20"/>
          <w:szCs w:val="20"/>
        </w:rPr>
      </w:pPr>
    </w:p>
    <w:p w14:paraId="557DD3C9" w14:textId="77777777" w:rsidR="001B5068" w:rsidRPr="003D1614" w:rsidRDefault="001B5068" w:rsidP="005D5085">
      <w:pPr>
        <w:suppressAutoHyphens/>
        <w:autoSpaceDN w:val="0"/>
        <w:jc w:val="both"/>
        <w:outlineLvl w:val="0"/>
        <w:rPr>
          <w:rFonts w:ascii="Arial" w:eastAsia="Times New Roman" w:hAnsi="Arial" w:cs="Arial"/>
          <w:bCs/>
          <w:color w:val="000000" w:themeColor="text1"/>
          <w:sz w:val="20"/>
          <w:szCs w:val="20"/>
        </w:rPr>
        <w:sectPr w:rsidR="001B5068" w:rsidRPr="003D1614">
          <w:pgSz w:w="11906" w:h="16838"/>
          <w:pgMar w:top="1417" w:right="1417" w:bottom="1417" w:left="1417" w:header="708" w:footer="708" w:gutter="0"/>
          <w:cols w:space="708"/>
          <w:docGrid w:linePitch="360"/>
        </w:sectPr>
      </w:pPr>
    </w:p>
    <w:p w14:paraId="408773AE" w14:textId="77777777" w:rsidR="001B5068" w:rsidRPr="003D1614" w:rsidRDefault="001B5068" w:rsidP="001B5068">
      <w:pPr>
        <w:keepNext/>
        <w:tabs>
          <w:tab w:val="left" w:pos="567"/>
        </w:tabs>
        <w:suppressAutoHyphens/>
        <w:autoSpaceDN w:val="0"/>
        <w:jc w:val="both"/>
        <w:outlineLvl w:val="0"/>
        <w:rPr>
          <w:rFonts w:ascii="Arial" w:eastAsia="Times New Roman" w:hAnsi="Arial" w:cs="Arial"/>
          <w:color w:val="000000" w:themeColor="text1"/>
        </w:rPr>
      </w:pPr>
    </w:p>
    <w:p w14:paraId="276DAFB5" w14:textId="7A07C37C" w:rsidR="001B5068" w:rsidRPr="003D1614" w:rsidRDefault="001B5068" w:rsidP="001B5068">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2</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Krediti ostalim korisnicima (nastavak)</w:t>
      </w:r>
    </w:p>
    <w:p w14:paraId="35FA6FE5"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p w14:paraId="63A3866C"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Promjene na rezerviranjima za očekivane gubitke po kreditima ostalim korisnicima i kamatama mogu se prikazati kako slijedi:</w:t>
      </w:r>
    </w:p>
    <w:p w14:paraId="1368BC19"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tbl>
      <w:tblPr>
        <w:tblW w:w="4953" w:type="pct"/>
        <w:tblLayout w:type="fixed"/>
        <w:tblLook w:val="04A0" w:firstRow="1" w:lastRow="0" w:firstColumn="1" w:lastColumn="0" w:noHBand="0" w:noVBand="1"/>
      </w:tblPr>
      <w:tblGrid>
        <w:gridCol w:w="5398"/>
        <w:gridCol w:w="1889"/>
        <w:gridCol w:w="1700"/>
      </w:tblGrid>
      <w:tr w:rsidR="001B5068" w:rsidRPr="00815314" w14:paraId="2BE1A48F" w14:textId="77777777" w:rsidTr="00815314">
        <w:trPr>
          <w:trHeight w:val="216"/>
        </w:trPr>
        <w:tc>
          <w:tcPr>
            <w:tcW w:w="3003" w:type="pct"/>
            <w:tcBorders>
              <w:top w:val="nil"/>
              <w:left w:val="nil"/>
              <w:bottom w:val="nil"/>
              <w:right w:val="nil"/>
            </w:tcBorders>
            <w:shd w:val="clear" w:color="auto" w:fill="auto"/>
            <w:noWrap/>
            <w:vAlign w:val="bottom"/>
            <w:hideMark/>
          </w:tcPr>
          <w:p w14:paraId="3404BCE9" w14:textId="77777777" w:rsidR="001B5068" w:rsidRPr="00815314" w:rsidRDefault="001B5068" w:rsidP="001B5068">
            <w:pPr>
              <w:suppressAutoHyphens/>
              <w:autoSpaceDN w:val="0"/>
              <w:rPr>
                <w:rFonts w:ascii="Arial" w:eastAsia="Times New Roman" w:hAnsi="Arial" w:cs="Arial"/>
                <w:color w:val="000000" w:themeColor="text1"/>
                <w:sz w:val="20"/>
                <w:szCs w:val="20"/>
              </w:rPr>
            </w:pPr>
            <w:bookmarkStart w:id="382" w:name="_Hlk28355762"/>
          </w:p>
        </w:tc>
        <w:tc>
          <w:tcPr>
            <w:tcW w:w="1997" w:type="pct"/>
            <w:gridSpan w:val="2"/>
            <w:tcBorders>
              <w:top w:val="nil"/>
              <w:left w:val="nil"/>
              <w:bottom w:val="nil"/>
              <w:right w:val="nil"/>
            </w:tcBorders>
            <w:shd w:val="clear" w:color="auto" w:fill="auto"/>
            <w:vAlign w:val="bottom"/>
            <w:hideMark/>
          </w:tcPr>
          <w:p w14:paraId="34D00878" w14:textId="77777777" w:rsidR="001B5068" w:rsidRPr="00815314" w:rsidRDefault="001B5068" w:rsidP="001B5068">
            <w:pPr>
              <w:suppressAutoHyphens/>
              <w:autoSpaceDN w:val="0"/>
              <w:jc w:val="right"/>
              <w:rPr>
                <w:rFonts w:ascii="Arial" w:eastAsia="Times New Roman" w:hAnsi="Arial" w:cs="Arial"/>
                <w:b/>
                <w:bCs/>
                <w:color w:val="000000" w:themeColor="text1"/>
                <w:sz w:val="20"/>
                <w:szCs w:val="20"/>
              </w:rPr>
            </w:pPr>
            <w:r w:rsidRPr="00815314">
              <w:rPr>
                <w:rFonts w:ascii="Arial" w:eastAsia="Times New Roman" w:hAnsi="Arial" w:cs="Arial"/>
                <w:b/>
                <w:bCs/>
                <w:color w:val="000000" w:themeColor="text1"/>
                <w:sz w:val="20"/>
                <w:szCs w:val="20"/>
              </w:rPr>
              <w:t>Grupa i Banka</w:t>
            </w:r>
          </w:p>
        </w:tc>
      </w:tr>
      <w:tr w:rsidR="001B5068" w:rsidRPr="00815314" w14:paraId="1E8A84F5" w14:textId="77777777" w:rsidTr="00815314">
        <w:trPr>
          <w:trHeight w:val="216"/>
        </w:trPr>
        <w:tc>
          <w:tcPr>
            <w:tcW w:w="3003" w:type="pct"/>
            <w:tcBorders>
              <w:top w:val="nil"/>
              <w:left w:val="nil"/>
              <w:bottom w:val="nil"/>
              <w:right w:val="nil"/>
            </w:tcBorders>
            <w:shd w:val="clear" w:color="auto" w:fill="auto"/>
            <w:noWrap/>
            <w:vAlign w:val="bottom"/>
          </w:tcPr>
          <w:p w14:paraId="0A72C7F0" w14:textId="77777777" w:rsidR="001B5068" w:rsidRPr="00815314" w:rsidRDefault="001B5068" w:rsidP="001B5068">
            <w:pPr>
              <w:suppressAutoHyphens/>
              <w:autoSpaceDN w:val="0"/>
              <w:rPr>
                <w:rFonts w:ascii="Arial" w:eastAsia="Times New Roman" w:hAnsi="Arial" w:cs="Arial"/>
                <w:color w:val="000000" w:themeColor="text1"/>
                <w:sz w:val="20"/>
                <w:szCs w:val="20"/>
              </w:rPr>
            </w:pPr>
          </w:p>
        </w:tc>
        <w:tc>
          <w:tcPr>
            <w:tcW w:w="1051" w:type="pct"/>
            <w:vAlign w:val="bottom"/>
          </w:tcPr>
          <w:p w14:paraId="706CE853" w14:textId="67801C12" w:rsidR="001B5068" w:rsidRPr="00815314" w:rsidRDefault="001B5068" w:rsidP="001B5068">
            <w:pPr>
              <w:tabs>
                <w:tab w:val="right" w:pos="1202"/>
              </w:tabs>
              <w:suppressAutoHyphens/>
              <w:autoSpaceDN w:val="0"/>
              <w:jc w:val="right"/>
              <w:outlineLvl w:val="0"/>
              <w:rPr>
                <w:rFonts w:ascii="Arial" w:eastAsia="Times New Roman" w:hAnsi="Arial" w:cs="Arial"/>
                <w:b/>
                <w:color w:val="000000" w:themeColor="text1"/>
                <w:sz w:val="20"/>
                <w:szCs w:val="20"/>
              </w:rPr>
            </w:pPr>
            <w:bookmarkStart w:id="383" w:name="_Toc67328091"/>
            <w:r w:rsidRPr="00815314">
              <w:rPr>
                <w:rFonts w:ascii="Arial" w:eastAsia="Times New Roman" w:hAnsi="Arial" w:cs="Arial"/>
                <w:b/>
                <w:color w:val="000000" w:themeColor="text1"/>
                <w:sz w:val="20"/>
                <w:szCs w:val="20"/>
              </w:rPr>
              <w:t>1.1.-31.</w:t>
            </w:r>
            <w:r w:rsidR="00DC1558" w:rsidRPr="00815314">
              <w:rPr>
                <w:rFonts w:ascii="Arial" w:eastAsia="Times New Roman" w:hAnsi="Arial" w:cs="Arial"/>
                <w:b/>
                <w:color w:val="000000" w:themeColor="text1"/>
                <w:sz w:val="20"/>
                <w:szCs w:val="20"/>
              </w:rPr>
              <w:t>3</w:t>
            </w:r>
            <w:r w:rsidRPr="00815314">
              <w:rPr>
                <w:rFonts w:ascii="Arial" w:eastAsia="Times New Roman" w:hAnsi="Arial" w:cs="Arial"/>
                <w:b/>
                <w:color w:val="000000" w:themeColor="text1"/>
                <w:sz w:val="20"/>
                <w:szCs w:val="20"/>
              </w:rPr>
              <w:t>.</w:t>
            </w:r>
            <w:bookmarkEnd w:id="383"/>
          </w:p>
          <w:p w14:paraId="1D19A374" w14:textId="449C8289" w:rsidR="001B5068" w:rsidRPr="00815314" w:rsidRDefault="001B5068" w:rsidP="001B5068">
            <w:pPr>
              <w:tabs>
                <w:tab w:val="right" w:pos="1202"/>
              </w:tabs>
              <w:suppressAutoHyphens/>
              <w:autoSpaceDN w:val="0"/>
              <w:jc w:val="right"/>
              <w:outlineLvl w:val="0"/>
              <w:rPr>
                <w:rFonts w:ascii="Arial" w:eastAsia="Times New Roman" w:hAnsi="Arial" w:cs="Arial"/>
                <w:b/>
                <w:color w:val="000000" w:themeColor="text1"/>
                <w:sz w:val="20"/>
                <w:szCs w:val="20"/>
              </w:rPr>
            </w:pPr>
            <w:bookmarkStart w:id="384" w:name="_Toc67328092"/>
            <w:r w:rsidRPr="00815314">
              <w:rPr>
                <w:rFonts w:ascii="Arial" w:eastAsia="Times New Roman" w:hAnsi="Arial" w:cs="Arial"/>
                <w:b/>
                <w:color w:val="000000" w:themeColor="text1"/>
                <w:sz w:val="20"/>
                <w:szCs w:val="20"/>
              </w:rPr>
              <w:t>202</w:t>
            </w:r>
            <w:r w:rsidR="000542DC">
              <w:rPr>
                <w:rFonts w:ascii="Arial" w:eastAsia="Times New Roman" w:hAnsi="Arial" w:cs="Arial"/>
                <w:b/>
                <w:color w:val="000000" w:themeColor="text1"/>
                <w:sz w:val="20"/>
                <w:szCs w:val="20"/>
              </w:rPr>
              <w:t>4</w:t>
            </w:r>
            <w:r w:rsidRPr="00815314">
              <w:rPr>
                <w:rFonts w:ascii="Arial" w:eastAsia="Times New Roman" w:hAnsi="Arial" w:cs="Arial"/>
                <w:b/>
                <w:color w:val="000000" w:themeColor="text1"/>
                <w:sz w:val="20"/>
                <w:szCs w:val="20"/>
              </w:rPr>
              <w:t>.</w:t>
            </w:r>
            <w:bookmarkEnd w:id="384"/>
          </w:p>
        </w:tc>
        <w:tc>
          <w:tcPr>
            <w:tcW w:w="946" w:type="pct"/>
            <w:vAlign w:val="bottom"/>
          </w:tcPr>
          <w:p w14:paraId="7BA050CF" w14:textId="77777777" w:rsidR="001B5068" w:rsidRPr="00815314" w:rsidRDefault="001B5068" w:rsidP="001B5068">
            <w:pPr>
              <w:tabs>
                <w:tab w:val="right" w:pos="1202"/>
              </w:tabs>
              <w:suppressAutoHyphens/>
              <w:autoSpaceDN w:val="0"/>
              <w:jc w:val="right"/>
              <w:outlineLvl w:val="0"/>
              <w:rPr>
                <w:rFonts w:ascii="Arial" w:eastAsia="Times New Roman" w:hAnsi="Arial" w:cs="Arial"/>
                <w:b/>
                <w:color w:val="000000" w:themeColor="text1"/>
                <w:sz w:val="20"/>
                <w:szCs w:val="20"/>
              </w:rPr>
            </w:pPr>
            <w:bookmarkStart w:id="385" w:name="_Toc67328093"/>
            <w:r w:rsidRPr="00815314">
              <w:rPr>
                <w:rFonts w:ascii="Arial" w:eastAsia="Times New Roman" w:hAnsi="Arial" w:cs="Arial"/>
                <w:b/>
                <w:color w:val="000000" w:themeColor="text1"/>
                <w:sz w:val="20"/>
                <w:szCs w:val="20"/>
              </w:rPr>
              <w:t>1.1.-31.12.</w:t>
            </w:r>
            <w:bookmarkEnd w:id="385"/>
          </w:p>
          <w:p w14:paraId="504913D4" w14:textId="52DFC8D8" w:rsidR="001B5068" w:rsidRPr="00815314" w:rsidRDefault="001B5068" w:rsidP="001B5068">
            <w:pPr>
              <w:tabs>
                <w:tab w:val="right" w:pos="1202"/>
              </w:tabs>
              <w:suppressAutoHyphens/>
              <w:autoSpaceDN w:val="0"/>
              <w:jc w:val="right"/>
              <w:outlineLvl w:val="0"/>
              <w:rPr>
                <w:rFonts w:ascii="Arial" w:eastAsia="Times New Roman" w:hAnsi="Arial" w:cs="Arial"/>
                <w:b/>
                <w:color w:val="000000" w:themeColor="text1"/>
                <w:sz w:val="20"/>
                <w:szCs w:val="20"/>
              </w:rPr>
            </w:pPr>
            <w:bookmarkStart w:id="386" w:name="_Toc67328094"/>
            <w:r w:rsidRPr="00815314">
              <w:rPr>
                <w:rFonts w:ascii="Arial" w:eastAsia="Times New Roman" w:hAnsi="Arial" w:cs="Arial"/>
                <w:b/>
                <w:color w:val="000000" w:themeColor="text1"/>
                <w:sz w:val="20"/>
                <w:szCs w:val="20"/>
              </w:rPr>
              <w:t>202</w:t>
            </w:r>
            <w:r w:rsidR="000542DC">
              <w:rPr>
                <w:rFonts w:ascii="Arial" w:eastAsia="Times New Roman" w:hAnsi="Arial" w:cs="Arial"/>
                <w:b/>
                <w:color w:val="000000" w:themeColor="text1"/>
                <w:sz w:val="20"/>
                <w:szCs w:val="20"/>
              </w:rPr>
              <w:t>3</w:t>
            </w:r>
            <w:r w:rsidRPr="00815314">
              <w:rPr>
                <w:rFonts w:ascii="Arial" w:eastAsia="Times New Roman" w:hAnsi="Arial" w:cs="Arial"/>
                <w:b/>
                <w:color w:val="000000" w:themeColor="text1"/>
                <w:sz w:val="20"/>
                <w:szCs w:val="20"/>
              </w:rPr>
              <w:t>.</w:t>
            </w:r>
            <w:bookmarkEnd w:id="386"/>
          </w:p>
        </w:tc>
      </w:tr>
      <w:tr w:rsidR="001B5068" w:rsidRPr="00815314" w14:paraId="2C9C9B10" w14:textId="77777777" w:rsidTr="00815314">
        <w:trPr>
          <w:trHeight w:val="206"/>
        </w:trPr>
        <w:tc>
          <w:tcPr>
            <w:tcW w:w="3003" w:type="pct"/>
            <w:tcBorders>
              <w:top w:val="nil"/>
              <w:left w:val="nil"/>
              <w:bottom w:val="nil"/>
              <w:right w:val="nil"/>
            </w:tcBorders>
            <w:shd w:val="clear" w:color="auto" w:fill="auto"/>
            <w:vAlign w:val="bottom"/>
            <w:hideMark/>
          </w:tcPr>
          <w:p w14:paraId="431B75C8" w14:textId="77777777" w:rsidR="001B5068" w:rsidRPr="00815314" w:rsidRDefault="001B5068" w:rsidP="001B5068">
            <w:pPr>
              <w:suppressAutoHyphens/>
              <w:autoSpaceDN w:val="0"/>
              <w:jc w:val="right"/>
              <w:rPr>
                <w:rFonts w:ascii="Arial" w:eastAsia="Times New Roman" w:hAnsi="Arial" w:cs="Arial"/>
                <w:b/>
                <w:bCs/>
                <w:color w:val="000000" w:themeColor="text1"/>
                <w:sz w:val="20"/>
                <w:szCs w:val="20"/>
              </w:rPr>
            </w:pPr>
          </w:p>
        </w:tc>
        <w:tc>
          <w:tcPr>
            <w:tcW w:w="1051" w:type="pct"/>
            <w:tcBorders>
              <w:top w:val="nil"/>
              <w:left w:val="nil"/>
              <w:bottom w:val="nil"/>
              <w:right w:val="nil"/>
            </w:tcBorders>
            <w:shd w:val="clear" w:color="auto" w:fill="auto"/>
            <w:vAlign w:val="bottom"/>
            <w:hideMark/>
          </w:tcPr>
          <w:p w14:paraId="0F825E23" w14:textId="326C7556" w:rsidR="001B5068" w:rsidRPr="00815314" w:rsidRDefault="001B5068" w:rsidP="001B5068">
            <w:pPr>
              <w:suppressAutoHyphens/>
              <w:autoSpaceDN w:val="0"/>
              <w:jc w:val="right"/>
              <w:rPr>
                <w:rFonts w:ascii="Arial" w:eastAsia="Times New Roman" w:hAnsi="Arial" w:cs="Arial"/>
                <w:b/>
                <w:bCs/>
                <w:color w:val="000000" w:themeColor="text1"/>
                <w:sz w:val="20"/>
                <w:szCs w:val="20"/>
              </w:rPr>
            </w:pPr>
            <w:r w:rsidRPr="00815314">
              <w:rPr>
                <w:rFonts w:ascii="Arial" w:eastAsia="Times New Roman" w:hAnsi="Arial" w:cs="Arial"/>
                <w:b/>
                <w:bCs/>
                <w:color w:val="000000" w:themeColor="text1"/>
                <w:sz w:val="20"/>
                <w:szCs w:val="20"/>
              </w:rPr>
              <w:t xml:space="preserve">000 </w:t>
            </w:r>
            <w:r w:rsidR="00DC1558" w:rsidRPr="00815314">
              <w:rPr>
                <w:rFonts w:ascii="Arial" w:eastAsia="Times New Roman" w:hAnsi="Arial" w:cs="Arial"/>
                <w:b/>
                <w:bCs/>
                <w:color w:val="000000" w:themeColor="text1"/>
                <w:sz w:val="20"/>
                <w:szCs w:val="20"/>
              </w:rPr>
              <w:t>eura</w:t>
            </w:r>
          </w:p>
        </w:tc>
        <w:tc>
          <w:tcPr>
            <w:tcW w:w="946" w:type="pct"/>
            <w:tcBorders>
              <w:top w:val="nil"/>
              <w:left w:val="nil"/>
              <w:right w:val="nil"/>
            </w:tcBorders>
            <w:shd w:val="clear" w:color="auto" w:fill="auto"/>
            <w:vAlign w:val="bottom"/>
          </w:tcPr>
          <w:p w14:paraId="17622E72" w14:textId="299C6326" w:rsidR="001B5068" w:rsidRPr="00815314" w:rsidRDefault="001B5068" w:rsidP="001B5068">
            <w:pPr>
              <w:suppressAutoHyphens/>
              <w:autoSpaceDN w:val="0"/>
              <w:jc w:val="right"/>
              <w:rPr>
                <w:rFonts w:ascii="Arial" w:eastAsia="Times New Roman" w:hAnsi="Arial" w:cs="Arial"/>
                <w:b/>
                <w:bCs/>
                <w:color w:val="000000" w:themeColor="text1"/>
                <w:sz w:val="20"/>
                <w:szCs w:val="20"/>
              </w:rPr>
            </w:pPr>
            <w:r w:rsidRPr="00815314">
              <w:rPr>
                <w:rFonts w:ascii="Arial" w:eastAsia="Times New Roman" w:hAnsi="Arial" w:cs="Arial"/>
                <w:b/>
                <w:bCs/>
                <w:color w:val="000000" w:themeColor="text1"/>
                <w:sz w:val="20"/>
                <w:szCs w:val="20"/>
              </w:rPr>
              <w:t xml:space="preserve">000 </w:t>
            </w:r>
            <w:r w:rsidR="00DC1558" w:rsidRPr="00815314">
              <w:rPr>
                <w:rFonts w:ascii="Arial" w:eastAsia="Times New Roman" w:hAnsi="Arial" w:cs="Arial"/>
                <w:b/>
                <w:bCs/>
                <w:color w:val="000000" w:themeColor="text1"/>
                <w:sz w:val="20"/>
                <w:szCs w:val="20"/>
              </w:rPr>
              <w:t>eura</w:t>
            </w:r>
          </w:p>
        </w:tc>
      </w:tr>
      <w:tr w:rsidR="00BA021C" w:rsidRPr="00815314" w14:paraId="6DE1F594" w14:textId="77777777" w:rsidTr="00815314">
        <w:trPr>
          <w:trHeight w:val="397"/>
        </w:trPr>
        <w:tc>
          <w:tcPr>
            <w:tcW w:w="3003" w:type="pct"/>
            <w:tcBorders>
              <w:top w:val="nil"/>
              <w:left w:val="nil"/>
              <w:bottom w:val="nil"/>
              <w:right w:val="nil"/>
            </w:tcBorders>
            <w:shd w:val="clear" w:color="auto" w:fill="auto"/>
            <w:vAlign w:val="bottom"/>
          </w:tcPr>
          <w:p w14:paraId="0EF591E0" w14:textId="77777777" w:rsidR="00BA021C" w:rsidRPr="00815314" w:rsidRDefault="00BA021C" w:rsidP="00BA021C">
            <w:pPr>
              <w:suppressAutoHyphens/>
              <w:autoSpaceDN w:val="0"/>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Stanje 1. siječnja</w:t>
            </w:r>
          </w:p>
        </w:tc>
        <w:tc>
          <w:tcPr>
            <w:tcW w:w="1051" w:type="pct"/>
            <w:tcBorders>
              <w:top w:val="nil"/>
              <w:left w:val="nil"/>
              <w:right w:val="nil"/>
            </w:tcBorders>
            <w:shd w:val="clear" w:color="auto" w:fill="auto"/>
            <w:noWrap/>
            <w:vAlign w:val="bottom"/>
          </w:tcPr>
          <w:p w14:paraId="7DEA08C6" w14:textId="1AE267AD" w:rsidR="00BA021C" w:rsidRPr="00815314" w:rsidRDefault="00877FB2" w:rsidP="00BA021C">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470.757</w:t>
            </w:r>
          </w:p>
        </w:tc>
        <w:tc>
          <w:tcPr>
            <w:tcW w:w="946" w:type="pct"/>
            <w:tcBorders>
              <w:top w:val="nil"/>
              <w:left w:val="nil"/>
              <w:right w:val="nil"/>
            </w:tcBorders>
            <w:shd w:val="clear" w:color="auto" w:fill="auto"/>
            <w:vAlign w:val="bottom"/>
          </w:tcPr>
          <w:p w14:paraId="165FA24C" w14:textId="46235F54" w:rsidR="00BA021C" w:rsidRPr="00815314" w:rsidRDefault="00BA021C" w:rsidP="00BA021C">
            <w:pPr>
              <w:suppressAutoHyphens/>
              <w:autoSpaceDN w:val="0"/>
              <w:jc w:val="right"/>
              <w:rPr>
                <w:rFonts w:ascii="Arial" w:eastAsia="Times New Roman" w:hAnsi="Arial" w:cs="Arial"/>
                <w:color w:val="000000" w:themeColor="text1"/>
                <w:sz w:val="20"/>
                <w:szCs w:val="20"/>
              </w:rPr>
            </w:pPr>
            <w:r w:rsidRPr="008F0B09">
              <w:rPr>
                <w:rFonts w:ascii="Arial" w:hAnsi="Arial" w:cs="Arial"/>
                <w:color w:val="000000" w:themeColor="text1"/>
                <w:sz w:val="20"/>
                <w:szCs w:val="20"/>
              </w:rPr>
              <w:t>458.561</w:t>
            </w:r>
          </w:p>
        </w:tc>
      </w:tr>
      <w:tr w:rsidR="00BA021C" w:rsidRPr="00815314" w14:paraId="662C757D" w14:textId="77777777" w:rsidTr="00815314">
        <w:trPr>
          <w:trHeight w:val="268"/>
        </w:trPr>
        <w:tc>
          <w:tcPr>
            <w:tcW w:w="3003" w:type="pct"/>
            <w:tcBorders>
              <w:top w:val="nil"/>
              <w:left w:val="nil"/>
              <w:bottom w:val="nil"/>
              <w:right w:val="nil"/>
            </w:tcBorders>
            <w:shd w:val="clear" w:color="auto" w:fill="auto"/>
            <w:vAlign w:val="bottom"/>
          </w:tcPr>
          <w:p w14:paraId="6D3EA3A6" w14:textId="64E1E92C" w:rsidR="00BA021C" w:rsidRPr="00815314" w:rsidRDefault="00BA021C" w:rsidP="00BA021C">
            <w:pPr>
              <w:suppressAutoHyphens/>
              <w:autoSpaceDN w:val="0"/>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Usklađenje početnog stanja</w:t>
            </w:r>
          </w:p>
        </w:tc>
        <w:tc>
          <w:tcPr>
            <w:tcW w:w="1051" w:type="pct"/>
            <w:tcBorders>
              <w:top w:val="nil"/>
              <w:left w:val="nil"/>
              <w:right w:val="nil"/>
            </w:tcBorders>
            <w:shd w:val="clear" w:color="auto" w:fill="auto"/>
            <w:noWrap/>
            <w:vAlign w:val="bottom"/>
          </w:tcPr>
          <w:p w14:paraId="1719006F" w14:textId="7024618B" w:rsidR="00BA021C" w:rsidRPr="00815314" w:rsidRDefault="00877FB2" w:rsidP="00BA021C">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946" w:type="pct"/>
            <w:tcBorders>
              <w:top w:val="nil"/>
              <w:left w:val="nil"/>
              <w:right w:val="nil"/>
            </w:tcBorders>
            <w:shd w:val="clear" w:color="auto" w:fill="auto"/>
            <w:vAlign w:val="bottom"/>
          </w:tcPr>
          <w:p w14:paraId="35324FCF" w14:textId="49F7BAB2" w:rsidR="00BA021C" w:rsidRPr="00815314" w:rsidRDefault="00BA021C" w:rsidP="00BA021C">
            <w:pPr>
              <w:suppressAutoHyphens/>
              <w:autoSpaceDN w:val="0"/>
              <w:jc w:val="right"/>
              <w:rPr>
                <w:rFonts w:ascii="Arial" w:eastAsia="Times New Roman" w:hAnsi="Arial" w:cs="Arial"/>
                <w:color w:val="000000" w:themeColor="text1"/>
                <w:sz w:val="20"/>
                <w:szCs w:val="20"/>
              </w:rPr>
            </w:pPr>
            <w:r w:rsidRPr="008F0B09">
              <w:rPr>
                <w:rFonts w:ascii="Arial" w:hAnsi="Arial" w:cs="Arial"/>
                <w:color w:val="000000" w:themeColor="text1"/>
                <w:sz w:val="20"/>
                <w:szCs w:val="20"/>
              </w:rPr>
              <w:t>489</w:t>
            </w:r>
          </w:p>
        </w:tc>
      </w:tr>
      <w:tr w:rsidR="00BA021C" w:rsidRPr="00815314" w14:paraId="65C94994" w14:textId="77777777" w:rsidTr="00815314">
        <w:trPr>
          <w:trHeight w:val="337"/>
        </w:trPr>
        <w:tc>
          <w:tcPr>
            <w:tcW w:w="3003" w:type="pct"/>
            <w:tcBorders>
              <w:top w:val="nil"/>
              <w:left w:val="nil"/>
              <w:bottom w:val="nil"/>
              <w:right w:val="nil"/>
            </w:tcBorders>
            <w:shd w:val="clear" w:color="auto" w:fill="auto"/>
            <w:vAlign w:val="bottom"/>
          </w:tcPr>
          <w:p w14:paraId="109722E8" w14:textId="2D2083A2" w:rsidR="00BA021C" w:rsidRPr="00815314" w:rsidRDefault="00BA021C" w:rsidP="00BA021C">
            <w:pPr>
              <w:suppressAutoHyphens/>
              <w:autoSpaceDN w:val="0"/>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Neto (smanjenje)/povećanje rezerviranja za očekivane gubitke po kreditima ostalim korisnicima i kamatama</w:t>
            </w:r>
          </w:p>
        </w:tc>
        <w:tc>
          <w:tcPr>
            <w:tcW w:w="1051" w:type="pct"/>
            <w:tcBorders>
              <w:left w:val="nil"/>
              <w:bottom w:val="single" w:sz="4" w:space="0" w:color="auto"/>
              <w:right w:val="nil"/>
            </w:tcBorders>
            <w:shd w:val="clear" w:color="auto" w:fill="auto"/>
            <w:vAlign w:val="bottom"/>
          </w:tcPr>
          <w:p w14:paraId="1122E6BD" w14:textId="671BB031" w:rsidR="00BA021C" w:rsidRPr="00815314" w:rsidRDefault="00877FB2" w:rsidP="00BA021C">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(4.232)</w:t>
            </w:r>
          </w:p>
        </w:tc>
        <w:tc>
          <w:tcPr>
            <w:tcW w:w="946" w:type="pct"/>
            <w:tcBorders>
              <w:left w:val="nil"/>
              <w:bottom w:val="single" w:sz="4" w:space="0" w:color="auto"/>
              <w:right w:val="nil"/>
            </w:tcBorders>
            <w:shd w:val="clear" w:color="auto" w:fill="auto"/>
            <w:vAlign w:val="bottom"/>
          </w:tcPr>
          <w:p w14:paraId="02FAACF1" w14:textId="14F09601" w:rsidR="00BA021C" w:rsidRPr="00815314" w:rsidRDefault="00BA021C" w:rsidP="00BA021C">
            <w:pPr>
              <w:suppressAutoHyphens/>
              <w:autoSpaceDN w:val="0"/>
              <w:jc w:val="right"/>
              <w:rPr>
                <w:rFonts w:ascii="Arial" w:eastAsia="Times New Roman" w:hAnsi="Arial" w:cs="Arial"/>
                <w:color w:val="000000" w:themeColor="text1"/>
                <w:sz w:val="20"/>
                <w:szCs w:val="20"/>
              </w:rPr>
            </w:pPr>
            <w:r w:rsidRPr="008F0B09">
              <w:rPr>
                <w:rFonts w:ascii="Arial" w:hAnsi="Arial" w:cs="Arial"/>
                <w:color w:val="000000" w:themeColor="text1"/>
                <w:sz w:val="20"/>
                <w:szCs w:val="20"/>
              </w:rPr>
              <w:t>5.360</w:t>
            </w:r>
          </w:p>
        </w:tc>
      </w:tr>
      <w:tr w:rsidR="00BA021C" w:rsidRPr="00815314" w14:paraId="119A0B9E" w14:textId="77777777" w:rsidTr="00815314">
        <w:trPr>
          <w:trHeight w:val="337"/>
        </w:trPr>
        <w:tc>
          <w:tcPr>
            <w:tcW w:w="3003" w:type="pct"/>
            <w:tcBorders>
              <w:top w:val="nil"/>
              <w:left w:val="nil"/>
              <w:bottom w:val="nil"/>
              <w:right w:val="nil"/>
            </w:tcBorders>
            <w:shd w:val="clear" w:color="auto" w:fill="auto"/>
            <w:vAlign w:val="bottom"/>
          </w:tcPr>
          <w:p w14:paraId="76189D2A" w14:textId="6F947E5F" w:rsidR="00BA021C" w:rsidRPr="00815314" w:rsidRDefault="00BA021C" w:rsidP="00BA021C">
            <w:pPr>
              <w:suppressAutoHyphens/>
              <w:autoSpaceDN w:val="0"/>
              <w:rPr>
                <w:rFonts w:ascii="Arial" w:eastAsia="Times New Roman" w:hAnsi="Arial" w:cs="Arial"/>
                <w:i/>
                <w:iCs/>
                <w:color w:val="000000" w:themeColor="text1"/>
                <w:sz w:val="20"/>
                <w:szCs w:val="20"/>
              </w:rPr>
            </w:pPr>
            <w:r w:rsidRPr="00815314">
              <w:rPr>
                <w:rFonts w:ascii="Arial" w:eastAsia="Times New Roman" w:hAnsi="Arial" w:cs="Arial"/>
                <w:i/>
                <w:iCs/>
                <w:color w:val="000000" w:themeColor="text1"/>
                <w:sz w:val="20"/>
                <w:szCs w:val="20"/>
              </w:rPr>
              <w:t>Ukupno kroz dobit ili gubitak (bilješka 8)</w:t>
            </w:r>
          </w:p>
        </w:tc>
        <w:tc>
          <w:tcPr>
            <w:tcW w:w="1051" w:type="pct"/>
            <w:tcBorders>
              <w:top w:val="single" w:sz="4" w:space="0" w:color="auto"/>
              <w:left w:val="nil"/>
              <w:bottom w:val="single" w:sz="4" w:space="0" w:color="auto"/>
              <w:right w:val="nil"/>
            </w:tcBorders>
            <w:shd w:val="clear" w:color="auto" w:fill="auto"/>
            <w:vAlign w:val="bottom"/>
          </w:tcPr>
          <w:p w14:paraId="29524267" w14:textId="5AB33A92" w:rsidR="00BA021C" w:rsidRPr="00815314" w:rsidRDefault="00877FB2" w:rsidP="00BA021C">
            <w:pPr>
              <w:suppressAutoHyphens/>
              <w:autoSpaceDN w:val="0"/>
              <w:jc w:val="right"/>
              <w:rPr>
                <w:rFonts w:ascii="Arial" w:eastAsia="Times New Roman" w:hAnsi="Arial" w:cs="Arial"/>
                <w:bCs/>
                <w:i/>
                <w:iCs/>
                <w:color w:val="000000" w:themeColor="text1"/>
                <w:sz w:val="20"/>
                <w:szCs w:val="20"/>
              </w:rPr>
            </w:pPr>
            <w:r>
              <w:rPr>
                <w:rFonts w:ascii="Arial" w:eastAsia="Times New Roman" w:hAnsi="Arial" w:cs="Arial"/>
                <w:bCs/>
                <w:i/>
                <w:iCs/>
                <w:color w:val="000000" w:themeColor="text1"/>
                <w:sz w:val="20"/>
                <w:szCs w:val="20"/>
              </w:rPr>
              <w:t>(4.232)</w:t>
            </w:r>
          </w:p>
        </w:tc>
        <w:tc>
          <w:tcPr>
            <w:tcW w:w="946" w:type="pct"/>
            <w:tcBorders>
              <w:top w:val="single" w:sz="4" w:space="0" w:color="auto"/>
              <w:left w:val="nil"/>
              <w:bottom w:val="single" w:sz="4" w:space="0" w:color="auto"/>
              <w:right w:val="nil"/>
            </w:tcBorders>
            <w:shd w:val="clear" w:color="auto" w:fill="auto"/>
            <w:vAlign w:val="bottom"/>
          </w:tcPr>
          <w:p w14:paraId="53CA43DB" w14:textId="501C2B80" w:rsidR="00BA021C" w:rsidRPr="00815314" w:rsidRDefault="00BA021C" w:rsidP="00BA021C">
            <w:pPr>
              <w:suppressAutoHyphens/>
              <w:autoSpaceDN w:val="0"/>
              <w:jc w:val="right"/>
              <w:rPr>
                <w:rFonts w:ascii="Arial" w:eastAsia="Times New Roman" w:hAnsi="Arial" w:cs="Arial"/>
                <w:i/>
                <w:iCs/>
                <w:color w:val="000000" w:themeColor="text1"/>
                <w:sz w:val="20"/>
                <w:szCs w:val="20"/>
              </w:rPr>
            </w:pPr>
            <w:r w:rsidRPr="008F0B09">
              <w:rPr>
                <w:rFonts w:ascii="Arial" w:hAnsi="Arial" w:cs="Arial"/>
                <w:bCs/>
                <w:i/>
                <w:color w:val="000000" w:themeColor="text1"/>
                <w:sz w:val="20"/>
                <w:szCs w:val="20"/>
              </w:rPr>
              <w:t>5.360</w:t>
            </w:r>
          </w:p>
        </w:tc>
      </w:tr>
      <w:tr w:rsidR="00F21809" w:rsidRPr="00815314" w14:paraId="350EC85C" w14:textId="77777777" w:rsidTr="00815314">
        <w:trPr>
          <w:trHeight w:val="337"/>
        </w:trPr>
        <w:tc>
          <w:tcPr>
            <w:tcW w:w="3003" w:type="pct"/>
            <w:tcBorders>
              <w:top w:val="nil"/>
              <w:left w:val="nil"/>
              <w:bottom w:val="nil"/>
              <w:right w:val="nil"/>
            </w:tcBorders>
            <w:shd w:val="clear" w:color="auto" w:fill="auto"/>
            <w:vAlign w:val="bottom"/>
          </w:tcPr>
          <w:p w14:paraId="5DBC64D1" w14:textId="77777777" w:rsidR="00F21809" w:rsidRPr="00815314" w:rsidRDefault="00F21809" w:rsidP="00F21809">
            <w:pPr>
              <w:suppressAutoHyphens/>
              <w:autoSpaceDN w:val="0"/>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 xml:space="preserve">Neto dobit/gubitak od tečajnih razlika po rezerviranjima za očekivane gubitke </w:t>
            </w:r>
          </w:p>
        </w:tc>
        <w:tc>
          <w:tcPr>
            <w:tcW w:w="1051" w:type="pct"/>
            <w:tcBorders>
              <w:top w:val="single" w:sz="4" w:space="0" w:color="auto"/>
              <w:left w:val="nil"/>
              <w:right w:val="nil"/>
            </w:tcBorders>
            <w:shd w:val="clear" w:color="auto" w:fill="auto"/>
            <w:vAlign w:val="bottom"/>
          </w:tcPr>
          <w:p w14:paraId="1F749D83" w14:textId="647F1F70" w:rsidR="00F21809" w:rsidRPr="00815314" w:rsidRDefault="00877FB2" w:rsidP="00F21809">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183</w:t>
            </w:r>
          </w:p>
        </w:tc>
        <w:tc>
          <w:tcPr>
            <w:tcW w:w="946" w:type="pct"/>
            <w:tcBorders>
              <w:top w:val="single" w:sz="4" w:space="0" w:color="auto"/>
              <w:left w:val="nil"/>
              <w:right w:val="nil"/>
            </w:tcBorders>
            <w:shd w:val="clear" w:color="auto" w:fill="auto"/>
            <w:vAlign w:val="bottom"/>
          </w:tcPr>
          <w:p w14:paraId="57CB8088" w14:textId="515E2F16" w:rsidR="00F21809" w:rsidRPr="00815314" w:rsidRDefault="00F21809" w:rsidP="00F21809">
            <w:pPr>
              <w:suppressAutoHyphens/>
              <w:autoSpaceDN w:val="0"/>
              <w:jc w:val="right"/>
              <w:rPr>
                <w:rFonts w:ascii="Arial" w:eastAsia="Times New Roman" w:hAnsi="Arial" w:cs="Arial"/>
                <w:color w:val="000000" w:themeColor="text1"/>
                <w:sz w:val="20"/>
                <w:szCs w:val="20"/>
              </w:rPr>
            </w:pPr>
            <w:r w:rsidRPr="008F0B09">
              <w:rPr>
                <w:rFonts w:ascii="Arial" w:hAnsi="Arial" w:cs="Arial"/>
                <w:color w:val="000000" w:themeColor="text1"/>
                <w:sz w:val="20"/>
                <w:szCs w:val="20"/>
              </w:rPr>
              <w:t>(353)</w:t>
            </w:r>
          </w:p>
        </w:tc>
      </w:tr>
      <w:tr w:rsidR="00F21809" w:rsidRPr="00815314" w14:paraId="5604BFB4" w14:textId="77777777" w:rsidTr="00815314">
        <w:trPr>
          <w:trHeight w:val="337"/>
        </w:trPr>
        <w:tc>
          <w:tcPr>
            <w:tcW w:w="3003" w:type="pct"/>
            <w:tcBorders>
              <w:top w:val="nil"/>
              <w:left w:val="nil"/>
              <w:bottom w:val="nil"/>
              <w:right w:val="nil"/>
            </w:tcBorders>
            <w:shd w:val="clear" w:color="auto" w:fill="auto"/>
            <w:vAlign w:val="bottom"/>
          </w:tcPr>
          <w:p w14:paraId="13293AEE" w14:textId="77777777" w:rsidR="00F21809" w:rsidRPr="00815314" w:rsidRDefault="00F21809" w:rsidP="00F21809">
            <w:pPr>
              <w:suppressAutoHyphens/>
              <w:autoSpaceDN w:val="0"/>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Otpis</w:t>
            </w:r>
          </w:p>
        </w:tc>
        <w:tc>
          <w:tcPr>
            <w:tcW w:w="1051" w:type="pct"/>
            <w:tcBorders>
              <w:left w:val="nil"/>
              <w:right w:val="nil"/>
            </w:tcBorders>
            <w:shd w:val="clear" w:color="auto" w:fill="auto"/>
            <w:vAlign w:val="bottom"/>
          </w:tcPr>
          <w:p w14:paraId="2FC67735" w14:textId="79CAFF45" w:rsidR="00F21809" w:rsidRPr="00815314" w:rsidRDefault="006B3EE4" w:rsidP="00F21809">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(392)</w:t>
            </w:r>
          </w:p>
        </w:tc>
        <w:tc>
          <w:tcPr>
            <w:tcW w:w="946" w:type="pct"/>
            <w:tcBorders>
              <w:left w:val="nil"/>
              <w:right w:val="nil"/>
            </w:tcBorders>
            <w:shd w:val="clear" w:color="auto" w:fill="auto"/>
            <w:vAlign w:val="bottom"/>
          </w:tcPr>
          <w:p w14:paraId="6BD7EF50" w14:textId="55DFCA80" w:rsidR="00F21809" w:rsidRPr="00815314" w:rsidRDefault="00F21809" w:rsidP="00F21809">
            <w:pPr>
              <w:suppressAutoHyphens/>
              <w:autoSpaceDN w:val="0"/>
              <w:jc w:val="right"/>
              <w:rPr>
                <w:rFonts w:ascii="Arial" w:eastAsia="Times New Roman" w:hAnsi="Arial" w:cs="Arial"/>
                <w:color w:val="000000" w:themeColor="text1"/>
                <w:sz w:val="20"/>
                <w:szCs w:val="20"/>
              </w:rPr>
            </w:pPr>
            <w:r w:rsidRPr="00F959D0">
              <w:rPr>
                <w:rFonts w:ascii="Arial" w:hAnsi="Arial" w:cs="Arial"/>
                <w:color w:val="000000" w:themeColor="text1"/>
                <w:sz w:val="20"/>
                <w:szCs w:val="20"/>
              </w:rPr>
              <w:t xml:space="preserve"> (3.392)</w:t>
            </w:r>
          </w:p>
        </w:tc>
      </w:tr>
      <w:tr w:rsidR="00F21809" w:rsidRPr="00815314" w14:paraId="36F061F8" w14:textId="77777777" w:rsidTr="00815314">
        <w:trPr>
          <w:trHeight w:val="337"/>
        </w:trPr>
        <w:tc>
          <w:tcPr>
            <w:tcW w:w="3003" w:type="pct"/>
            <w:tcBorders>
              <w:top w:val="nil"/>
              <w:left w:val="nil"/>
              <w:bottom w:val="nil"/>
              <w:right w:val="nil"/>
            </w:tcBorders>
            <w:shd w:val="clear" w:color="auto" w:fill="auto"/>
            <w:vAlign w:val="bottom"/>
          </w:tcPr>
          <w:p w14:paraId="7896FE4D" w14:textId="138D6127" w:rsidR="00F21809" w:rsidRPr="00815314" w:rsidRDefault="00F21809" w:rsidP="00F21809">
            <w:pPr>
              <w:suppressAutoHyphens/>
              <w:autoSpaceDN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Prijenos u </w:t>
            </w:r>
            <w:proofErr w:type="spellStart"/>
            <w:r>
              <w:rPr>
                <w:rFonts w:ascii="Arial" w:eastAsia="Times New Roman" w:hAnsi="Arial" w:cs="Arial"/>
                <w:color w:val="000000" w:themeColor="text1"/>
                <w:sz w:val="20"/>
                <w:szCs w:val="20"/>
              </w:rPr>
              <w:t>izvanbilančnu</w:t>
            </w:r>
            <w:proofErr w:type="spellEnd"/>
            <w:r>
              <w:rPr>
                <w:rFonts w:ascii="Arial" w:eastAsia="Times New Roman" w:hAnsi="Arial" w:cs="Arial"/>
                <w:color w:val="000000" w:themeColor="text1"/>
                <w:sz w:val="20"/>
                <w:szCs w:val="20"/>
              </w:rPr>
              <w:t xml:space="preserve"> evidenciju</w:t>
            </w:r>
          </w:p>
        </w:tc>
        <w:tc>
          <w:tcPr>
            <w:tcW w:w="1051" w:type="pct"/>
            <w:tcBorders>
              <w:left w:val="nil"/>
              <w:right w:val="nil"/>
            </w:tcBorders>
            <w:shd w:val="clear" w:color="auto" w:fill="auto"/>
            <w:vAlign w:val="bottom"/>
          </w:tcPr>
          <w:p w14:paraId="53A6C60F" w14:textId="3A71EF9A" w:rsidR="00F21809" w:rsidRPr="00815314" w:rsidRDefault="006B3EE4" w:rsidP="00F21809">
            <w:pPr>
              <w:suppressAutoHyphens/>
              <w:autoSpaceDN w:val="0"/>
              <w:jc w:val="right"/>
              <w:rPr>
                <w:rFonts w:ascii="Arial" w:hAnsi="Arial" w:cs="Arial"/>
                <w:sz w:val="20"/>
                <w:szCs w:val="20"/>
              </w:rPr>
            </w:pPr>
            <w:r>
              <w:rPr>
                <w:rFonts w:ascii="Arial" w:hAnsi="Arial" w:cs="Arial"/>
                <w:sz w:val="20"/>
                <w:szCs w:val="20"/>
              </w:rPr>
              <w:t>-</w:t>
            </w:r>
          </w:p>
        </w:tc>
        <w:tc>
          <w:tcPr>
            <w:tcW w:w="946" w:type="pct"/>
            <w:tcBorders>
              <w:left w:val="nil"/>
              <w:right w:val="nil"/>
            </w:tcBorders>
            <w:shd w:val="clear" w:color="auto" w:fill="auto"/>
            <w:vAlign w:val="bottom"/>
          </w:tcPr>
          <w:p w14:paraId="4009117B" w14:textId="157BD279" w:rsidR="00F21809" w:rsidRPr="00815314" w:rsidRDefault="00F21809" w:rsidP="00F21809">
            <w:pPr>
              <w:suppressAutoHyphens/>
              <w:autoSpaceDN w:val="0"/>
              <w:jc w:val="right"/>
              <w:rPr>
                <w:rFonts w:ascii="Arial" w:hAnsi="Arial" w:cs="Arial"/>
                <w:sz w:val="20"/>
                <w:szCs w:val="20"/>
              </w:rPr>
            </w:pPr>
            <w:r w:rsidRPr="00F959D0">
              <w:rPr>
                <w:rFonts w:ascii="Arial" w:hAnsi="Arial" w:cs="Arial"/>
                <w:color w:val="000000" w:themeColor="text1"/>
                <w:sz w:val="20"/>
                <w:szCs w:val="20"/>
              </w:rPr>
              <w:t xml:space="preserve"> (2.311)</w:t>
            </w:r>
          </w:p>
        </w:tc>
      </w:tr>
      <w:tr w:rsidR="00F21809" w:rsidRPr="00815314" w14:paraId="5E5431D8" w14:textId="77777777" w:rsidTr="00815314">
        <w:trPr>
          <w:trHeight w:val="337"/>
        </w:trPr>
        <w:tc>
          <w:tcPr>
            <w:tcW w:w="3003" w:type="pct"/>
            <w:tcBorders>
              <w:top w:val="nil"/>
              <w:left w:val="nil"/>
              <w:bottom w:val="nil"/>
              <w:right w:val="nil"/>
            </w:tcBorders>
            <w:shd w:val="clear" w:color="auto" w:fill="auto"/>
            <w:vAlign w:val="bottom"/>
          </w:tcPr>
          <w:p w14:paraId="337DFA0F" w14:textId="77777777" w:rsidR="00F21809" w:rsidRPr="00815314" w:rsidRDefault="00F21809" w:rsidP="00F21809">
            <w:pPr>
              <w:suppressAutoHyphens/>
              <w:autoSpaceDN w:val="0"/>
              <w:rPr>
                <w:rFonts w:ascii="Arial" w:eastAsia="Times New Roman" w:hAnsi="Arial" w:cs="Arial"/>
                <w:color w:val="000000" w:themeColor="text1"/>
                <w:sz w:val="20"/>
                <w:szCs w:val="20"/>
              </w:rPr>
            </w:pPr>
            <w:proofErr w:type="spellStart"/>
            <w:r w:rsidRPr="00815314">
              <w:rPr>
                <w:rFonts w:ascii="Arial" w:eastAsia="Times New Roman" w:hAnsi="Arial" w:cs="Arial"/>
                <w:color w:val="000000" w:themeColor="text1"/>
                <w:sz w:val="20"/>
                <w:szCs w:val="20"/>
              </w:rPr>
              <w:t>Unwinding</w:t>
            </w:r>
            <w:proofErr w:type="spellEnd"/>
            <w:r w:rsidRPr="00815314">
              <w:rPr>
                <w:rFonts w:ascii="Arial" w:eastAsia="Times New Roman" w:hAnsi="Arial" w:cs="Arial"/>
                <w:color w:val="000000" w:themeColor="text1"/>
                <w:sz w:val="20"/>
                <w:szCs w:val="20"/>
              </w:rPr>
              <w:t xml:space="preserve"> – promjena uslijed proteka vremena</w:t>
            </w:r>
          </w:p>
        </w:tc>
        <w:tc>
          <w:tcPr>
            <w:tcW w:w="1051" w:type="pct"/>
            <w:tcBorders>
              <w:left w:val="nil"/>
              <w:right w:val="nil"/>
            </w:tcBorders>
            <w:shd w:val="clear" w:color="auto" w:fill="auto"/>
            <w:vAlign w:val="bottom"/>
          </w:tcPr>
          <w:p w14:paraId="02EEDC4E" w14:textId="026CCD72" w:rsidR="00F21809" w:rsidRPr="00815314" w:rsidRDefault="006B3EE4" w:rsidP="00F21809">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899</w:t>
            </w:r>
          </w:p>
        </w:tc>
        <w:tc>
          <w:tcPr>
            <w:tcW w:w="946" w:type="pct"/>
            <w:tcBorders>
              <w:left w:val="nil"/>
              <w:right w:val="nil"/>
            </w:tcBorders>
            <w:shd w:val="clear" w:color="auto" w:fill="auto"/>
            <w:vAlign w:val="bottom"/>
          </w:tcPr>
          <w:p w14:paraId="2086616C" w14:textId="75E70F03" w:rsidR="00F21809" w:rsidRPr="00815314" w:rsidRDefault="00F21809" w:rsidP="00F21809">
            <w:pPr>
              <w:suppressAutoHyphens/>
              <w:autoSpaceDN w:val="0"/>
              <w:jc w:val="right"/>
              <w:rPr>
                <w:rFonts w:ascii="Arial" w:eastAsia="Times New Roman" w:hAnsi="Arial" w:cs="Arial"/>
                <w:color w:val="000000" w:themeColor="text1"/>
                <w:sz w:val="20"/>
                <w:szCs w:val="20"/>
              </w:rPr>
            </w:pPr>
            <w:r w:rsidRPr="00815314">
              <w:rPr>
                <w:rFonts w:ascii="Arial" w:hAnsi="Arial" w:cs="Arial"/>
                <w:sz w:val="20"/>
                <w:szCs w:val="20"/>
              </w:rPr>
              <w:t xml:space="preserve"> </w:t>
            </w:r>
            <w:r>
              <w:rPr>
                <w:rFonts w:ascii="Arial" w:hAnsi="Arial" w:cs="Arial"/>
                <w:sz w:val="20"/>
                <w:szCs w:val="20"/>
              </w:rPr>
              <w:t>3</w:t>
            </w:r>
            <w:r w:rsidRPr="00815314">
              <w:rPr>
                <w:rFonts w:ascii="Arial" w:hAnsi="Arial" w:cs="Arial"/>
                <w:sz w:val="20"/>
                <w:szCs w:val="20"/>
              </w:rPr>
              <w:t>.</w:t>
            </w:r>
            <w:r>
              <w:rPr>
                <w:rFonts w:ascii="Arial" w:hAnsi="Arial" w:cs="Arial"/>
                <w:sz w:val="20"/>
                <w:szCs w:val="20"/>
              </w:rPr>
              <w:t>996</w:t>
            </w:r>
            <w:r w:rsidRPr="00815314">
              <w:rPr>
                <w:rFonts w:ascii="Arial" w:hAnsi="Arial" w:cs="Arial"/>
                <w:sz w:val="20"/>
                <w:szCs w:val="20"/>
              </w:rPr>
              <w:t xml:space="preserve"> </w:t>
            </w:r>
          </w:p>
        </w:tc>
      </w:tr>
      <w:tr w:rsidR="00F21809" w:rsidRPr="00815314" w14:paraId="618507EC" w14:textId="77777777" w:rsidTr="00815314">
        <w:trPr>
          <w:trHeight w:val="337"/>
        </w:trPr>
        <w:tc>
          <w:tcPr>
            <w:tcW w:w="3003" w:type="pct"/>
            <w:tcBorders>
              <w:top w:val="nil"/>
              <w:left w:val="nil"/>
              <w:bottom w:val="nil"/>
              <w:right w:val="nil"/>
            </w:tcBorders>
            <w:shd w:val="clear" w:color="auto" w:fill="auto"/>
            <w:vAlign w:val="bottom"/>
          </w:tcPr>
          <w:p w14:paraId="1FCB5E16" w14:textId="77777777" w:rsidR="00F21809" w:rsidRPr="00815314" w:rsidRDefault="00F21809" w:rsidP="00F21809">
            <w:pPr>
              <w:suppressAutoHyphens/>
              <w:autoSpaceDN w:val="0"/>
              <w:rPr>
                <w:rFonts w:ascii="Arial" w:eastAsia="Times New Roman" w:hAnsi="Arial" w:cs="Arial"/>
                <w:color w:val="000000" w:themeColor="text1"/>
                <w:sz w:val="20"/>
                <w:szCs w:val="20"/>
              </w:rPr>
            </w:pPr>
            <w:r w:rsidRPr="00815314">
              <w:rPr>
                <w:rFonts w:ascii="Arial" w:eastAsia="Times New Roman" w:hAnsi="Arial" w:cs="Arial"/>
                <w:color w:val="000000" w:themeColor="text1"/>
                <w:sz w:val="20"/>
                <w:szCs w:val="20"/>
              </w:rPr>
              <w:t>Donos isključenih kamata i ostalo</w:t>
            </w:r>
          </w:p>
        </w:tc>
        <w:tc>
          <w:tcPr>
            <w:tcW w:w="1051" w:type="pct"/>
            <w:tcBorders>
              <w:left w:val="nil"/>
              <w:bottom w:val="single" w:sz="4" w:space="0" w:color="auto"/>
              <w:right w:val="nil"/>
            </w:tcBorders>
            <w:shd w:val="clear" w:color="auto" w:fill="auto"/>
            <w:vAlign w:val="bottom"/>
          </w:tcPr>
          <w:p w14:paraId="57E52C6F" w14:textId="0B5B07EC" w:rsidR="00F21809" w:rsidRPr="00815314" w:rsidRDefault="00794CBE" w:rsidP="00F21809">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(1.852)</w:t>
            </w:r>
          </w:p>
        </w:tc>
        <w:tc>
          <w:tcPr>
            <w:tcW w:w="946" w:type="pct"/>
            <w:tcBorders>
              <w:left w:val="nil"/>
              <w:bottom w:val="single" w:sz="4" w:space="0" w:color="auto"/>
              <w:right w:val="nil"/>
            </w:tcBorders>
            <w:shd w:val="clear" w:color="auto" w:fill="auto"/>
            <w:vAlign w:val="bottom"/>
          </w:tcPr>
          <w:p w14:paraId="0DE6923E" w14:textId="526F351E" w:rsidR="00F21809" w:rsidRPr="00815314" w:rsidRDefault="00F21809" w:rsidP="00F21809">
            <w:pPr>
              <w:suppressAutoHyphens/>
              <w:autoSpaceDN w:val="0"/>
              <w:jc w:val="right"/>
              <w:rPr>
                <w:rFonts w:ascii="Arial" w:eastAsia="Times New Roman" w:hAnsi="Arial" w:cs="Arial"/>
                <w:color w:val="000000" w:themeColor="text1"/>
                <w:sz w:val="20"/>
                <w:szCs w:val="20"/>
              </w:rPr>
            </w:pPr>
            <w:r w:rsidRPr="00815314">
              <w:rPr>
                <w:rFonts w:ascii="Arial" w:hAnsi="Arial" w:cs="Arial"/>
                <w:sz w:val="20"/>
                <w:szCs w:val="20"/>
              </w:rPr>
              <w:t xml:space="preserve"> </w:t>
            </w:r>
            <w:r w:rsidR="00B06750">
              <w:rPr>
                <w:rFonts w:ascii="Arial" w:hAnsi="Arial" w:cs="Arial"/>
                <w:sz w:val="20"/>
                <w:szCs w:val="20"/>
              </w:rPr>
              <w:t>8</w:t>
            </w:r>
            <w:r w:rsidRPr="00815314">
              <w:rPr>
                <w:rFonts w:ascii="Arial" w:hAnsi="Arial" w:cs="Arial"/>
                <w:sz w:val="20"/>
                <w:szCs w:val="20"/>
              </w:rPr>
              <w:t>.</w:t>
            </w:r>
            <w:r w:rsidR="00B06750">
              <w:rPr>
                <w:rFonts w:ascii="Arial" w:hAnsi="Arial" w:cs="Arial"/>
                <w:sz w:val="20"/>
                <w:szCs w:val="20"/>
              </w:rPr>
              <w:t>407</w:t>
            </w:r>
            <w:r w:rsidRPr="00815314">
              <w:rPr>
                <w:rFonts w:ascii="Arial" w:hAnsi="Arial" w:cs="Arial"/>
                <w:sz w:val="20"/>
                <w:szCs w:val="20"/>
              </w:rPr>
              <w:t xml:space="preserve"> </w:t>
            </w:r>
          </w:p>
        </w:tc>
      </w:tr>
      <w:tr w:rsidR="00F21809" w:rsidRPr="00815314" w14:paraId="3D86FF54" w14:textId="77777777" w:rsidTr="00815314">
        <w:trPr>
          <w:trHeight w:val="337"/>
        </w:trPr>
        <w:tc>
          <w:tcPr>
            <w:tcW w:w="3003" w:type="pct"/>
            <w:tcBorders>
              <w:top w:val="nil"/>
              <w:left w:val="nil"/>
              <w:bottom w:val="nil"/>
              <w:right w:val="nil"/>
            </w:tcBorders>
            <w:shd w:val="clear" w:color="auto" w:fill="auto"/>
            <w:vAlign w:val="bottom"/>
          </w:tcPr>
          <w:p w14:paraId="478DD9CD" w14:textId="77777777" w:rsidR="00F21809" w:rsidRPr="00815314" w:rsidRDefault="00F21809" w:rsidP="00F21809">
            <w:pPr>
              <w:suppressAutoHyphens/>
              <w:autoSpaceDN w:val="0"/>
              <w:rPr>
                <w:rFonts w:ascii="Arial" w:eastAsia="Times New Roman" w:hAnsi="Arial" w:cs="Arial"/>
                <w:b/>
                <w:bCs/>
                <w:color w:val="000000" w:themeColor="text1"/>
                <w:sz w:val="20"/>
                <w:szCs w:val="20"/>
              </w:rPr>
            </w:pPr>
            <w:r w:rsidRPr="00815314">
              <w:rPr>
                <w:rFonts w:ascii="Arial" w:eastAsia="Times New Roman" w:hAnsi="Arial" w:cs="Arial"/>
                <w:b/>
                <w:bCs/>
                <w:color w:val="000000" w:themeColor="text1"/>
                <w:sz w:val="20"/>
                <w:szCs w:val="20"/>
              </w:rPr>
              <w:t>Stanje na kraju izvještajnog razdoblja</w:t>
            </w:r>
          </w:p>
        </w:tc>
        <w:tc>
          <w:tcPr>
            <w:tcW w:w="1051" w:type="pct"/>
            <w:tcBorders>
              <w:top w:val="single" w:sz="4" w:space="0" w:color="auto"/>
              <w:left w:val="nil"/>
              <w:bottom w:val="single" w:sz="12" w:space="0" w:color="auto"/>
              <w:right w:val="nil"/>
            </w:tcBorders>
            <w:shd w:val="clear" w:color="auto" w:fill="auto"/>
            <w:noWrap/>
            <w:vAlign w:val="bottom"/>
          </w:tcPr>
          <w:p w14:paraId="27E96AFC" w14:textId="39A3F49B" w:rsidR="00F21809" w:rsidRPr="00815314" w:rsidRDefault="006B3EE4" w:rsidP="00F21809">
            <w:pPr>
              <w:suppressAutoHyphens/>
              <w:autoSpaceDN w:val="0"/>
              <w:jc w:val="right"/>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465.363</w:t>
            </w:r>
          </w:p>
        </w:tc>
        <w:tc>
          <w:tcPr>
            <w:tcW w:w="946" w:type="pct"/>
            <w:tcBorders>
              <w:top w:val="single" w:sz="4" w:space="0" w:color="auto"/>
              <w:left w:val="nil"/>
              <w:bottom w:val="single" w:sz="12" w:space="0" w:color="auto"/>
              <w:right w:val="nil"/>
            </w:tcBorders>
            <w:shd w:val="clear" w:color="auto" w:fill="auto"/>
            <w:vAlign w:val="bottom"/>
          </w:tcPr>
          <w:p w14:paraId="40BA1366" w14:textId="1706D873" w:rsidR="00F21809" w:rsidRPr="00815314" w:rsidRDefault="00F21809" w:rsidP="00F21809">
            <w:pPr>
              <w:suppressAutoHyphens/>
              <w:autoSpaceDN w:val="0"/>
              <w:jc w:val="right"/>
              <w:rPr>
                <w:rFonts w:ascii="Arial" w:eastAsia="Times New Roman" w:hAnsi="Arial" w:cs="Arial"/>
                <w:b/>
                <w:bCs/>
                <w:color w:val="000000" w:themeColor="text1"/>
                <w:sz w:val="20"/>
                <w:szCs w:val="20"/>
              </w:rPr>
            </w:pPr>
            <w:r w:rsidRPr="00815314">
              <w:rPr>
                <w:rFonts w:ascii="Arial" w:hAnsi="Arial" w:cs="Arial"/>
                <w:b/>
                <w:bCs/>
                <w:sz w:val="20"/>
                <w:szCs w:val="20"/>
              </w:rPr>
              <w:t xml:space="preserve"> 4</w:t>
            </w:r>
            <w:r w:rsidR="00B06750">
              <w:rPr>
                <w:rFonts w:ascii="Arial" w:hAnsi="Arial" w:cs="Arial"/>
                <w:b/>
                <w:bCs/>
                <w:sz w:val="20"/>
                <w:szCs w:val="20"/>
              </w:rPr>
              <w:t>70</w:t>
            </w:r>
            <w:r w:rsidRPr="00815314">
              <w:rPr>
                <w:rFonts w:ascii="Arial" w:hAnsi="Arial" w:cs="Arial"/>
                <w:b/>
                <w:bCs/>
                <w:sz w:val="20"/>
                <w:szCs w:val="20"/>
              </w:rPr>
              <w:t>.</w:t>
            </w:r>
            <w:r w:rsidR="00B06750">
              <w:rPr>
                <w:rFonts w:ascii="Arial" w:hAnsi="Arial" w:cs="Arial"/>
                <w:b/>
                <w:bCs/>
                <w:sz w:val="20"/>
                <w:szCs w:val="20"/>
              </w:rPr>
              <w:t>757</w:t>
            </w:r>
            <w:r w:rsidRPr="00815314">
              <w:rPr>
                <w:rFonts w:ascii="Arial" w:hAnsi="Arial" w:cs="Arial"/>
                <w:b/>
                <w:bCs/>
                <w:sz w:val="20"/>
                <w:szCs w:val="20"/>
              </w:rPr>
              <w:t xml:space="preserve"> </w:t>
            </w:r>
          </w:p>
        </w:tc>
      </w:tr>
      <w:bookmarkEnd w:id="382"/>
    </w:tbl>
    <w:p w14:paraId="7EFE1A18"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p w14:paraId="753C1017"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p>
    <w:p w14:paraId="1C42287C" w14:textId="77777777" w:rsidR="001B5068" w:rsidRPr="003D1614" w:rsidRDefault="001B5068" w:rsidP="001B506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Neto dobit/gubitak od tečajnih razlika po rezerviranjima za očekivane gubitke prikazan je unutar Neto prihoda/(rashoda) od financijskih aktivnosti u Računu dobiti i gubitka.</w:t>
      </w:r>
    </w:p>
    <w:p w14:paraId="3117E6B4" w14:textId="77777777" w:rsidR="001B5068" w:rsidRPr="003D1614" w:rsidRDefault="001B5068" w:rsidP="001B5068">
      <w:pPr>
        <w:suppressAutoHyphens/>
        <w:autoSpaceDN w:val="0"/>
        <w:jc w:val="both"/>
        <w:rPr>
          <w:rFonts w:ascii="Arial" w:eastAsia="Times New Roman" w:hAnsi="Arial" w:cs="Arial"/>
          <w:color w:val="000000" w:themeColor="text1"/>
          <w:sz w:val="20"/>
          <w:szCs w:val="20"/>
        </w:rPr>
      </w:pPr>
    </w:p>
    <w:p w14:paraId="576F9B92" w14:textId="1691CB90" w:rsidR="003D2714" w:rsidRPr="004B4498" w:rsidRDefault="001B5068" w:rsidP="003D2714">
      <w:pPr>
        <w:jc w:val="both"/>
        <w:rPr>
          <w:rFonts w:ascii="Arial" w:hAnsi="Arial" w:cs="Arial"/>
          <w:color w:val="000000" w:themeColor="text1"/>
          <w:sz w:val="20"/>
          <w:szCs w:val="20"/>
        </w:rPr>
      </w:pPr>
      <w:r w:rsidRPr="003D1614">
        <w:rPr>
          <w:rFonts w:ascii="Arial" w:eastAsia="Times New Roman" w:hAnsi="Arial" w:cs="Arial"/>
          <w:color w:val="000000" w:themeColor="text1"/>
          <w:sz w:val="20"/>
          <w:szCs w:val="20"/>
        </w:rPr>
        <w:t xml:space="preserve">Otpis potraživanja u iznosu od </w:t>
      </w:r>
      <w:r w:rsidR="006B3EE4">
        <w:rPr>
          <w:rFonts w:ascii="Arial" w:eastAsia="Times New Roman" w:hAnsi="Arial" w:cs="Arial"/>
          <w:color w:val="000000" w:themeColor="text1"/>
          <w:sz w:val="20"/>
          <w:szCs w:val="20"/>
        </w:rPr>
        <w:t>392</w:t>
      </w:r>
      <w:r w:rsidRPr="003D1614">
        <w:rPr>
          <w:rFonts w:ascii="Arial" w:eastAsia="Times New Roman" w:hAnsi="Arial" w:cs="Arial"/>
          <w:color w:val="000000" w:themeColor="text1"/>
          <w:sz w:val="20"/>
          <w:szCs w:val="20"/>
        </w:rPr>
        <w:t xml:space="preserve"> tisuća </w:t>
      </w:r>
      <w:r w:rsidR="00DC1558" w:rsidRPr="003D1614">
        <w:rPr>
          <w:rFonts w:ascii="Arial" w:eastAsia="Times New Roman" w:hAnsi="Arial" w:cs="Arial"/>
          <w:color w:val="000000" w:themeColor="text1"/>
          <w:sz w:val="20"/>
          <w:szCs w:val="20"/>
        </w:rPr>
        <w:t>eura (31. prosinca 202</w:t>
      </w:r>
      <w:r w:rsidR="000C29EA">
        <w:rPr>
          <w:rFonts w:ascii="Arial" w:eastAsia="Times New Roman" w:hAnsi="Arial" w:cs="Arial"/>
          <w:color w:val="000000" w:themeColor="text1"/>
          <w:sz w:val="20"/>
          <w:szCs w:val="20"/>
        </w:rPr>
        <w:t>3</w:t>
      </w:r>
      <w:r w:rsidR="00DC1558" w:rsidRPr="003D1614">
        <w:rPr>
          <w:rFonts w:ascii="Arial" w:eastAsia="Times New Roman" w:hAnsi="Arial" w:cs="Arial"/>
          <w:color w:val="000000" w:themeColor="text1"/>
          <w:sz w:val="20"/>
          <w:szCs w:val="20"/>
        </w:rPr>
        <w:t>.:</w:t>
      </w:r>
      <w:r w:rsidR="00BA2F35">
        <w:rPr>
          <w:rFonts w:ascii="Arial" w:eastAsia="Times New Roman" w:hAnsi="Arial" w:cs="Arial"/>
          <w:color w:val="000000" w:themeColor="text1"/>
          <w:sz w:val="20"/>
          <w:szCs w:val="20"/>
        </w:rPr>
        <w:t xml:space="preserve"> 3.392 tisuća</w:t>
      </w:r>
      <w:r w:rsidR="00DC1558" w:rsidRPr="003D1614">
        <w:rPr>
          <w:rFonts w:ascii="Arial" w:eastAsia="Times New Roman" w:hAnsi="Arial" w:cs="Arial"/>
          <w:color w:val="000000" w:themeColor="text1"/>
          <w:sz w:val="20"/>
          <w:szCs w:val="20"/>
        </w:rPr>
        <w:t xml:space="preserve"> eura)</w:t>
      </w:r>
      <w:r w:rsidRPr="003D1614">
        <w:rPr>
          <w:rFonts w:ascii="Arial" w:eastAsia="Times New Roman" w:hAnsi="Arial" w:cs="Arial"/>
          <w:color w:val="000000" w:themeColor="text1"/>
          <w:sz w:val="20"/>
          <w:szCs w:val="20"/>
        </w:rPr>
        <w:t xml:space="preserve"> </w:t>
      </w:r>
      <w:r w:rsidRPr="005053A5">
        <w:rPr>
          <w:rFonts w:ascii="Arial" w:eastAsia="Times New Roman" w:hAnsi="Arial" w:cs="Arial"/>
          <w:color w:val="000000" w:themeColor="text1"/>
          <w:sz w:val="20"/>
          <w:szCs w:val="20"/>
        </w:rPr>
        <w:t xml:space="preserve">najvećim se dijelom odnosi na trajno </w:t>
      </w:r>
      <w:proofErr w:type="spellStart"/>
      <w:r w:rsidRPr="005053A5">
        <w:rPr>
          <w:rFonts w:ascii="Arial" w:eastAsia="Times New Roman" w:hAnsi="Arial" w:cs="Arial"/>
          <w:color w:val="000000" w:themeColor="text1"/>
          <w:sz w:val="20"/>
          <w:szCs w:val="20"/>
        </w:rPr>
        <w:t>isknjiženje</w:t>
      </w:r>
      <w:proofErr w:type="spellEnd"/>
      <w:r w:rsidRPr="005053A5">
        <w:rPr>
          <w:rFonts w:ascii="Arial" w:eastAsia="Times New Roman" w:hAnsi="Arial" w:cs="Arial"/>
          <w:color w:val="000000" w:themeColor="text1"/>
          <w:sz w:val="20"/>
          <w:szCs w:val="20"/>
        </w:rPr>
        <w:t xml:space="preserve"> iz poslovnih knjiga zbog </w:t>
      </w:r>
      <w:r w:rsidR="003D2714" w:rsidRPr="00E576CE">
        <w:rPr>
          <w:rFonts w:ascii="Arial" w:hAnsi="Arial" w:cs="Arial"/>
          <w:color w:val="000000" w:themeColor="text1"/>
          <w:sz w:val="20"/>
          <w:szCs w:val="20"/>
        </w:rPr>
        <w:t>prodaje potraživanja i zbog stečajnih postupaka dužnika.</w:t>
      </w:r>
    </w:p>
    <w:p w14:paraId="29DEA3B9" w14:textId="77777777" w:rsidR="001B5068" w:rsidRPr="003D1614" w:rsidRDefault="001B5068" w:rsidP="001B5068">
      <w:pPr>
        <w:suppressAutoHyphens/>
        <w:autoSpaceDN w:val="0"/>
        <w:jc w:val="both"/>
        <w:rPr>
          <w:rFonts w:ascii="Arial" w:eastAsia="Times New Roman" w:hAnsi="Arial" w:cs="Arial"/>
          <w:color w:val="000000" w:themeColor="text1"/>
          <w:sz w:val="20"/>
          <w:szCs w:val="20"/>
        </w:rPr>
      </w:pPr>
    </w:p>
    <w:p w14:paraId="5D3BBA4F" w14:textId="60578455" w:rsidR="001B5068" w:rsidRPr="003D1614" w:rsidRDefault="001B5068" w:rsidP="001B5068">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Prijenos u </w:t>
      </w:r>
      <w:proofErr w:type="spellStart"/>
      <w:r w:rsidRPr="003D1614">
        <w:rPr>
          <w:rFonts w:ascii="Arial" w:eastAsia="Times New Roman" w:hAnsi="Arial" w:cs="Arial"/>
          <w:color w:val="000000" w:themeColor="text1"/>
          <w:sz w:val="20"/>
          <w:szCs w:val="20"/>
        </w:rPr>
        <w:t>izvanbilančnu</w:t>
      </w:r>
      <w:proofErr w:type="spellEnd"/>
      <w:r w:rsidRPr="003D1614">
        <w:rPr>
          <w:rFonts w:ascii="Arial" w:eastAsia="Times New Roman" w:hAnsi="Arial" w:cs="Arial"/>
          <w:color w:val="000000" w:themeColor="text1"/>
          <w:sz w:val="20"/>
          <w:szCs w:val="20"/>
        </w:rPr>
        <w:t xml:space="preserve"> evidenciju u visini od</w:t>
      </w:r>
      <w:r w:rsidR="006B3EE4">
        <w:rPr>
          <w:rFonts w:ascii="Arial" w:eastAsia="Times New Roman" w:hAnsi="Arial" w:cs="Arial"/>
          <w:color w:val="000000" w:themeColor="text1"/>
          <w:sz w:val="20"/>
          <w:szCs w:val="20"/>
        </w:rPr>
        <w:t xml:space="preserve"> 0</w:t>
      </w:r>
      <w:r w:rsidRPr="003D1614">
        <w:rPr>
          <w:rFonts w:ascii="Arial" w:eastAsia="Times New Roman" w:hAnsi="Arial" w:cs="Arial"/>
          <w:color w:val="000000" w:themeColor="text1"/>
          <w:sz w:val="20"/>
          <w:szCs w:val="20"/>
        </w:rPr>
        <w:t xml:space="preserve"> tisuća </w:t>
      </w:r>
      <w:r w:rsidR="00DC1558" w:rsidRPr="003D1614">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xml:space="preserve"> </w:t>
      </w:r>
      <w:r w:rsidR="00DC1558" w:rsidRPr="003D1614">
        <w:rPr>
          <w:rFonts w:ascii="Arial" w:eastAsia="Times New Roman" w:hAnsi="Arial" w:cs="Arial"/>
          <w:color w:val="000000" w:themeColor="text1"/>
          <w:sz w:val="20"/>
          <w:szCs w:val="20"/>
        </w:rPr>
        <w:t>(31. prosinca 202</w:t>
      </w:r>
      <w:r w:rsidR="003D2714">
        <w:rPr>
          <w:rFonts w:ascii="Arial" w:eastAsia="Times New Roman" w:hAnsi="Arial" w:cs="Arial"/>
          <w:color w:val="000000" w:themeColor="text1"/>
          <w:sz w:val="20"/>
          <w:szCs w:val="20"/>
        </w:rPr>
        <w:t>3</w:t>
      </w:r>
      <w:r w:rsidR="00DC1558" w:rsidRPr="003D1614">
        <w:rPr>
          <w:rFonts w:ascii="Arial" w:eastAsia="Times New Roman" w:hAnsi="Arial" w:cs="Arial"/>
          <w:color w:val="000000" w:themeColor="text1"/>
          <w:sz w:val="20"/>
          <w:szCs w:val="20"/>
        </w:rPr>
        <w:t>.:</w:t>
      </w:r>
      <w:r w:rsidR="003D2714">
        <w:rPr>
          <w:rFonts w:ascii="Arial" w:eastAsia="Times New Roman" w:hAnsi="Arial" w:cs="Arial"/>
          <w:color w:val="000000" w:themeColor="text1"/>
          <w:sz w:val="20"/>
          <w:szCs w:val="20"/>
        </w:rPr>
        <w:t xml:space="preserve"> </w:t>
      </w:r>
      <w:r w:rsidR="00DC73BF">
        <w:rPr>
          <w:rFonts w:ascii="Arial" w:eastAsia="Times New Roman" w:hAnsi="Arial" w:cs="Arial"/>
          <w:color w:val="000000" w:themeColor="text1"/>
          <w:sz w:val="20"/>
          <w:szCs w:val="20"/>
        </w:rPr>
        <w:t>2.</w:t>
      </w:r>
      <w:r w:rsidR="003D2714">
        <w:rPr>
          <w:rFonts w:ascii="Arial" w:eastAsia="Times New Roman" w:hAnsi="Arial" w:cs="Arial"/>
          <w:color w:val="000000" w:themeColor="text1"/>
          <w:sz w:val="20"/>
          <w:szCs w:val="20"/>
        </w:rPr>
        <w:t>311</w:t>
      </w:r>
      <w:r w:rsidR="00DC1558" w:rsidRPr="003D1614">
        <w:rPr>
          <w:rFonts w:ascii="Arial" w:eastAsia="Times New Roman" w:hAnsi="Arial" w:cs="Arial"/>
          <w:color w:val="000000" w:themeColor="text1"/>
          <w:sz w:val="20"/>
          <w:szCs w:val="20"/>
        </w:rPr>
        <w:t xml:space="preserve"> eura) </w:t>
      </w:r>
      <w:r w:rsidRPr="003D1614">
        <w:rPr>
          <w:rFonts w:ascii="Arial" w:eastAsia="Times New Roman" w:hAnsi="Arial" w:cs="Arial"/>
          <w:color w:val="000000" w:themeColor="text1"/>
          <w:sz w:val="20"/>
          <w:szCs w:val="20"/>
        </w:rPr>
        <w:t>proveden je temeljem propisanih kriterija u Metodologiji otpisa potraživanja.</w:t>
      </w:r>
    </w:p>
    <w:p w14:paraId="57675B30" w14:textId="77777777" w:rsidR="001B5068" w:rsidRPr="003D1614" w:rsidRDefault="001B5068" w:rsidP="001B5068">
      <w:pPr>
        <w:suppressAutoHyphens/>
        <w:autoSpaceDN w:val="0"/>
        <w:jc w:val="both"/>
        <w:rPr>
          <w:rFonts w:ascii="Arial" w:eastAsia="Times New Roman" w:hAnsi="Arial" w:cs="Arial"/>
          <w:color w:val="000000" w:themeColor="text1"/>
          <w:sz w:val="20"/>
          <w:szCs w:val="20"/>
        </w:rPr>
      </w:pPr>
    </w:p>
    <w:p w14:paraId="6EBF2D7A" w14:textId="61FB8B1E" w:rsidR="005D5085" w:rsidRPr="003D1614" w:rsidRDefault="005D5085" w:rsidP="005D5085">
      <w:pPr>
        <w:keepNext/>
        <w:suppressAutoHyphens/>
        <w:autoSpaceDN w:val="0"/>
        <w:spacing w:after="120"/>
        <w:jc w:val="both"/>
        <w:outlineLvl w:val="0"/>
        <w:rPr>
          <w:rFonts w:ascii="Arial" w:eastAsia="Times New Roman" w:hAnsi="Arial" w:cs="Arial"/>
          <w:color w:val="000000" w:themeColor="text1"/>
          <w:sz w:val="20"/>
          <w:szCs w:val="20"/>
        </w:rPr>
      </w:pPr>
    </w:p>
    <w:p w14:paraId="5D37D8BC" w14:textId="77777777" w:rsidR="00DC1558" w:rsidRPr="003D1614" w:rsidRDefault="00DC1558" w:rsidP="005D5085">
      <w:pPr>
        <w:keepNext/>
        <w:suppressAutoHyphens/>
        <w:autoSpaceDN w:val="0"/>
        <w:spacing w:after="120"/>
        <w:jc w:val="both"/>
        <w:outlineLvl w:val="0"/>
        <w:rPr>
          <w:rFonts w:ascii="Arial" w:eastAsia="Times New Roman" w:hAnsi="Arial" w:cs="Arial"/>
          <w:color w:val="000000" w:themeColor="text1"/>
          <w:sz w:val="20"/>
          <w:szCs w:val="20"/>
        </w:rPr>
        <w:sectPr w:rsidR="00DC1558" w:rsidRPr="003D1614">
          <w:pgSz w:w="11906" w:h="16838"/>
          <w:pgMar w:top="1417" w:right="1417" w:bottom="1417" w:left="1417" w:header="708" w:footer="708" w:gutter="0"/>
          <w:cols w:space="708"/>
          <w:docGrid w:linePitch="360"/>
        </w:sectPr>
      </w:pPr>
    </w:p>
    <w:p w14:paraId="43FA6912" w14:textId="77777777" w:rsidR="00DC1558" w:rsidRPr="003D1614" w:rsidRDefault="00DC1558" w:rsidP="00DC1558">
      <w:pPr>
        <w:keepNext/>
        <w:suppressAutoHyphens/>
        <w:autoSpaceDN w:val="0"/>
        <w:jc w:val="both"/>
        <w:outlineLvl w:val="0"/>
        <w:rPr>
          <w:rFonts w:ascii="Arial" w:eastAsia="Times New Roman" w:hAnsi="Arial" w:cs="Arial"/>
          <w:b/>
          <w:bCs/>
          <w:color w:val="000000" w:themeColor="text1"/>
          <w:sz w:val="20"/>
          <w:szCs w:val="20"/>
        </w:rPr>
      </w:pPr>
    </w:p>
    <w:p w14:paraId="789DB978" w14:textId="2CCE0FA8" w:rsidR="00DC1558" w:rsidRPr="003D1614" w:rsidRDefault="00DC1558" w:rsidP="00DC1558">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2</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Krediti ostalim korisnicima (nastavak)</w:t>
      </w:r>
    </w:p>
    <w:p w14:paraId="55E119F1" w14:textId="77777777" w:rsidR="00DC1558" w:rsidRPr="003D1614" w:rsidRDefault="00DC1558" w:rsidP="00DC1558">
      <w:pPr>
        <w:keepNext/>
        <w:suppressAutoHyphens/>
        <w:autoSpaceDN w:val="0"/>
        <w:jc w:val="both"/>
        <w:outlineLvl w:val="0"/>
        <w:rPr>
          <w:rFonts w:ascii="Arial" w:eastAsia="Times New Roman" w:hAnsi="Arial" w:cs="Arial"/>
          <w:color w:val="000000" w:themeColor="text1"/>
          <w:sz w:val="20"/>
          <w:szCs w:val="20"/>
        </w:rPr>
      </w:pPr>
    </w:p>
    <w:p w14:paraId="37AD1B60" w14:textId="77777777" w:rsidR="00DC1558" w:rsidRPr="003D1614" w:rsidRDefault="00DC1558" w:rsidP="00DC155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Krediti ostalim korisnicima, umanjeni za rezerviranja za očekivane gubitke, prema namjeni kreditnih programa dani su kako slijedi:</w:t>
      </w:r>
    </w:p>
    <w:p w14:paraId="07001023" w14:textId="77777777" w:rsidR="00DC1558" w:rsidRPr="003D1614" w:rsidRDefault="00DC1558" w:rsidP="00DC1558">
      <w:pPr>
        <w:keepNext/>
        <w:suppressAutoHyphens/>
        <w:autoSpaceDN w:val="0"/>
        <w:jc w:val="both"/>
        <w:outlineLvl w:val="0"/>
        <w:rPr>
          <w:rFonts w:ascii="Arial" w:eastAsia="Times New Roman" w:hAnsi="Arial" w:cs="Arial"/>
          <w:b/>
          <w:bCs/>
          <w:color w:val="000000" w:themeColor="text1"/>
          <w:sz w:val="20"/>
          <w:szCs w:val="20"/>
        </w:rPr>
      </w:pPr>
    </w:p>
    <w:tbl>
      <w:tblPr>
        <w:tblW w:w="5129" w:type="pct"/>
        <w:tblLayout w:type="fixed"/>
        <w:tblCellMar>
          <w:left w:w="107" w:type="dxa"/>
          <w:right w:w="107" w:type="dxa"/>
        </w:tblCellMar>
        <w:tblLook w:val="0000" w:firstRow="0" w:lastRow="0" w:firstColumn="0" w:lastColumn="0" w:noHBand="0" w:noVBand="0"/>
      </w:tblPr>
      <w:tblGrid>
        <w:gridCol w:w="6005"/>
        <w:gridCol w:w="1535"/>
        <w:gridCol w:w="1766"/>
      </w:tblGrid>
      <w:tr w:rsidR="00DC1558" w:rsidRPr="00881602" w14:paraId="00BFEA24" w14:textId="77777777" w:rsidTr="00C55491">
        <w:trPr>
          <w:trHeight w:val="124"/>
        </w:trPr>
        <w:tc>
          <w:tcPr>
            <w:tcW w:w="3226" w:type="pct"/>
            <w:vAlign w:val="bottom"/>
          </w:tcPr>
          <w:p w14:paraId="2877D586" w14:textId="77777777" w:rsidR="00DC1558" w:rsidRPr="00881602" w:rsidRDefault="00DC1558" w:rsidP="00DC1558">
            <w:pPr>
              <w:tabs>
                <w:tab w:val="left" w:pos="-720"/>
              </w:tabs>
              <w:suppressAutoHyphens/>
              <w:autoSpaceDN w:val="0"/>
              <w:rPr>
                <w:rFonts w:ascii="Arial" w:eastAsia="Times New Roman" w:hAnsi="Arial" w:cs="Arial"/>
                <w:color w:val="000000" w:themeColor="text1"/>
                <w:spacing w:val="-3"/>
                <w:sz w:val="20"/>
                <w:szCs w:val="20"/>
              </w:rPr>
            </w:pPr>
          </w:p>
        </w:tc>
        <w:tc>
          <w:tcPr>
            <w:tcW w:w="1774" w:type="pct"/>
            <w:gridSpan w:val="2"/>
            <w:vAlign w:val="bottom"/>
          </w:tcPr>
          <w:p w14:paraId="1847421C" w14:textId="77777777" w:rsidR="00DC1558" w:rsidRPr="00881602" w:rsidRDefault="00DC1558" w:rsidP="00DC155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87" w:name="_Toc67328095"/>
            <w:r w:rsidRPr="00881602">
              <w:rPr>
                <w:rFonts w:ascii="Arial" w:eastAsia="Times New Roman" w:hAnsi="Arial" w:cs="Arial"/>
                <w:b/>
                <w:color w:val="000000" w:themeColor="text1"/>
                <w:sz w:val="20"/>
                <w:szCs w:val="20"/>
              </w:rPr>
              <w:t>Grupa i Banka</w:t>
            </w:r>
            <w:bookmarkEnd w:id="387"/>
          </w:p>
        </w:tc>
      </w:tr>
      <w:tr w:rsidR="00DC1558" w:rsidRPr="00881602" w14:paraId="6963432B" w14:textId="77777777" w:rsidTr="00C55491">
        <w:trPr>
          <w:trHeight w:val="124"/>
        </w:trPr>
        <w:tc>
          <w:tcPr>
            <w:tcW w:w="3226" w:type="pct"/>
            <w:vAlign w:val="bottom"/>
          </w:tcPr>
          <w:p w14:paraId="5D8622DF" w14:textId="77777777" w:rsidR="00DC1558" w:rsidRPr="00881602" w:rsidRDefault="00DC1558" w:rsidP="00DC1558">
            <w:pPr>
              <w:tabs>
                <w:tab w:val="left" w:pos="-720"/>
              </w:tabs>
              <w:suppressAutoHyphens/>
              <w:autoSpaceDN w:val="0"/>
              <w:rPr>
                <w:rFonts w:ascii="Arial" w:eastAsia="Times New Roman" w:hAnsi="Arial" w:cs="Arial"/>
                <w:color w:val="000000" w:themeColor="text1"/>
                <w:spacing w:val="-3"/>
                <w:sz w:val="20"/>
                <w:szCs w:val="20"/>
              </w:rPr>
            </w:pPr>
          </w:p>
        </w:tc>
        <w:tc>
          <w:tcPr>
            <w:tcW w:w="825" w:type="pct"/>
            <w:vAlign w:val="bottom"/>
          </w:tcPr>
          <w:p w14:paraId="7DF49CE6" w14:textId="5C05D293" w:rsidR="00DC1558" w:rsidRPr="00881602" w:rsidRDefault="00DC1558" w:rsidP="00DC155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88" w:name="_Toc67328096"/>
            <w:r w:rsidRPr="00881602">
              <w:rPr>
                <w:rFonts w:ascii="Arial" w:eastAsia="Times New Roman" w:hAnsi="Arial" w:cs="Arial"/>
                <w:b/>
                <w:color w:val="000000" w:themeColor="text1"/>
                <w:sz w:val="20"/>
                <w:szCs w:val="20"/>
              </w:rPr>
              <w:t>31. ožujka 202</w:t>
            </w:r>
            <w:r w:rsidR="0082038D">
              <w:rPr>
                <w:rFonts w:ascii="Arial" w:eastAsia="Times New Roman" w:hAnsi="Arial" w:cs="Arial"/>
                <w:b/>
                <w:color w:val="000000" w:themeColor="text1"/>
                <w:sz w:val="20"/>
                <w:szCs w:val="20"/>
              </w:rPr>
              <w:t>4</w:t>
            </w:r>
            <w:r w:rsidRPr="00881602">
              <w:rPr>
                <w:rFonts w:ascii="Arial" w:eastAsia="Times New Roman" w:hAnsi="Arial" w:cs="Arial"/>
                <w:b/>
                <w:color w:val="000000" w:themeColor="text1"/>
                <w:sz w:val="20"/>
                <w:szCs w:val="20"/>
              </w:rPr>
              <w:t>.</w:t>
            </w:r>
            <w:bookmarkEnd w:id="388"/>
          </w:p>
        </w:tc>
        <w:tc>
          <w:tcPr>
            <w:tcW w:w="949" w:type="pct"/>
            <w:vAlign w:val="bottom"/>
          </w:tcPr>
          <w:p w14:paraId="2C3431B2" w14:textId="73A9E467" w:rsidR="00DC1558" w:rsidRPr="00881602" w:rsidRDefault="00DC1558" w:rsidP="00DC155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89" w:name="_Toc67328097"/>
            <w:r w:rsidRPr="00881602">
              <w:rPr>
                <w:rFonts w:ascii="Arial" w:eastAsia="Times New Roman" w:hAnsi="Arial" w:cs="Arial"/>
                <w:b/>
                <w:color w:val="000000" w:themeColor="text1"/>
                <w:sz w:val="20"/>
                <w:szCs w:val="20"/>
              </w:rPr>
              <w:t>31. prosinca 202</w:t>
            </w:r>
            <w:r w:rsidR="0082038D">
              <w:rPr>
                <w:rFonts w:ascii="Arial" w:eastAsia="Times New Roman" w:hAnsi="Arial" w:cs="Arial"/>
                <w:b/>
                <w:color w:val="000000" w:themeColor="text1"/>
                <w:sz w:val="20"/>
                <w:szCs w:val="20"/>
              </w:rPr>
              <w:t>3</w:t>
            </w:r>
            <w:r w:rsidRPr="00881602">
              <w:rPr>
                <w:rFonts w:ascii="Arial" w:eastAsia="Times New Roman" w:hAnsi="Arial" w:cs="Arial"/>
                <w:b/>
                <w:color w:val="000000" w:themeColor="text1"/>
                <w:sz w:val="20"/>
                <w:szCs w:val="20"/>
              </w:rPr>
              <w:t>.</w:t>
            </w:r>
            <w:bookmarkEnd w:id="389"/>
          </w:p>
        </w:tc>
      </w:tr>
      <w:tr w:rsidR="00DC1558" w:rsidRPr="00881602" w14:paraId="44ACFB93" w14:textId="77777777" w:rsidTr="00C55491">
        <w:trPr>
          <w:trHeight w:val="99"/>
        </w:trPr>
        <w:tc>
          <w:tcPr>
            <w:tcW w:w="3226" w:type="pct"/>
            <w:vAlign w:val="bottom"/>
          </w:tcPr>
          <w:p w14:paraId="2014A9BB" w14:textId="77777777" w:rsidR="00DC1558" w:rsidRPr="00881602" w:rsidRDefault="00DC1558" w:rsidP="00DC1558">
            <w:pPr>
              <w:tabs>
                <w:tab w:val="left" w:pos="-720"/>
              </w:tabs>
              <w:suppressAutoHyphens/>
              <w:autoSpaceDN w:val="0"/>
              <w:rPr>
                <w:rFonts w:ascii="Arial" w:eastAsia="Times New Roman" w:hAnsi="Arial" w:cs="Arial"/>
                <w:color w:val="000000" w:themeColor="text1"/>
                <w:spacing w:val="-3"/>
                <w:sz w:val="20"/>
                <w:szCs w:val="20"/>
              </w:rPr>
            </w:pPr>
          </w:p>
        </w:tc>
        <w:tc>
          <w:tcPr>
            <w:tcW w:w="825" w:type="pct"/>
            <w:vAlign w:val="bottom"/>
          </w:tcPr>
          <w:p w14:paraId="53C02DFE" w14:textId="1E32B5A7" w:rsidR="00DC1558" w:rsidRPr="00881602" w:rsidRDefault="00DC1558" w:rsidP="00DC155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90" w:name="_Toc67328098"/>
            <w:r w:rsidRPr="00881602">
              <w:rPr>
                <w:rFonts w:ascii="Arial" w:eastAsia="Times New Roman" w:hAnsi="Arial" w:cs="Arial"/>
                <w:b/>
                <w:color w:val="000000" w:themeColor="text1"/>
                <w:sz w:val="20"/>
                <w:szCs w:val="20"/>
              </w:rPr>
              <w:t xml:space="preserve">000 </w:t>
            </w:r>
            <w:bookmarkEnd w:id="390"/>
            <w:r w:rsidRPr="00881602">
              <w:rPr>
                <w:rFonts w:ascii="Arial" w:eastAsia="Times New Roman" w:hAnsi="Arial" w:cs="Arial"/>
                <w:b/>
                <w:color w:val="000000" w:themeColor="text1"/>
                <w:sz w:val="20"/>
                <w:szCs w:val="20"/>
              </w:rPr>
              <w:t>eura</w:t>
            </w:r>
          </w:p>
        </w:tc>
        <w:tc>
          <w:tcPr>
            <w:tcW w:w="949" w:type="pct"/>
            <w:vAlign w:val="bottom"/>
          </w:tcPr>
          <w:p w14:paraId="0EB158EC" w14:textId="68C45A6D" w:rsidR="00DC1558" w:rsidRPr="00881602" w:rsidRDefault="00DC1558" w:rsidP="00DC1558">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391" w:name="_Toc67328099"/>
            <w:r w:rsidRPr="00881602">
              <w:rPr>
                <w:rFonts w:ascii="Arial" w:eastAsia="Times New Roman" w:hAnsi="Arial" w:cs="Arial"/>
                <w:b/>
                <w:color w:val="000000" w:themeColor="text1"/>
                <w:sz w:val="20"/>
                <w:szCs w:val="20"/>
              </w:rPr>
              <w:t xml:space="preserve">000 </w:t>
            </w:r>
            <w:bookmarkEnd w:id="391"/>
            <w:r w:rsidRPr="00881602">
              <w:rPr>
                <w:rFonts w:ascii="Arial" w:eastAsia="Times New Roman" w:hAnsi="Arial" w:cs="Arial"/>
                <w:b/>
                <w:color w:val="000000" w:themeColor="text1"/>
                <w:sz w:val="20"/>
                <w:szCs w:val="20"/>
              </w:rPr>
              <w:t>eura</w:t>
            </w:r>
          </w:p>
        </w:tc>
      </w:tr>
      <w:tr w:rsidR="00DC1558" w:rsidRPr="00881602" w14:paraId="6BB470A0" w14:textId="77777777" w:rsidTr="00C55491">
        <w:trPr>
          <w:trHeight w:hRule="exact" w:val="166"/>
        </w:trPr>
        <w:tc>
          <w:tcPr>
            <w:tcW w:w="3226" w:type="pct"/>
            <w:vAlign w:val="bottom"/>
          </w:tcPr>
          <w:p w14:paraId="3B3C05D4" w14:textId="77777777" w:rsidR="00DC1558" w:rsidRPr="00881602" w:rsidRDefault="00DC1558" w:rsidP="00DC1558">
            <w:pPr>
              <w:tabs>
                <w:tab w:val="left" w:pos="-720"/>
              </w:tabs>
              <w:suppressAutoHyphens/>
              <w:autoSpaceDN w:val="0"/>
              <w:rPr>
                <w:rFonts w:ascii="Arial" w:eastAsia="Times New Roman" w:hAnsi="Arial" w:cs="Arial"/>
                <w:color w:val="000000" w:themeColor="text1"/>
                <w:spacing w:val="-3"/>
                <w:sz w:val="20"/>
                <w:szCs w:val="20"/>
              </w:rPr>
            </w:pPr>
          </w:p>
        </w:tc>
        <w:tc>
          <w:tcPr>
            <w:tcW w:w="825" w:type="pct"/>
            <w:vAlign w:val="bottom"/>
          </w:tcPr>
          <w:p w14:paraId="08B85E2D" w14:textId="77777777" w:rsidR="00DC1558" w:rsidRPr="00881602" w:rsidRDefault="00DC1558" w:rsidP="00DC1558">
            <w:pPr>
              <w:suppressAutoHyphens/>
              <w:autoSpaceDN w:val="0"/>
              <w:jc w:val="right"/>
              <w:rPr>
                <w:rFonts w:ascii="Arial" w:eastAsia="Times New Roman" w:hAnsi="Arial" w:cs="Arial"/>
                <w:b/>
                <w:color w:val="000000" w:themeColor="text1"/>
                <w:spacing w:val="-3"/>
                <w:sz w:val="20"/>
                <w:szCs w:val="20"/>
              </w:rPr>
            </w:pPr>
          </w:p>
        </w:tc>
        <w:tc>
          <w:tcPr>
            <w:tcW w:w="949" w:type="pct"/>
            <w:vAlign w:val="bottom"/>
          </w:tcPr>
          <w:p w14:paraId="240194C1" w14:textId="77777777" w:rsidR="00DC1558" w:rsidRPr="00881602" w:rsidRDefault="00DC1558" w:rsidP="00DC1558">
            <w:pPr>
              <w:suppressAutoHyphens/>
              <w:autoSpaceDN w:val="0"/>
              <w:jc w:val="right"/>
              <w:rPr>
                <w:rFonts w:ascii="Arial" w:eastAsia="Times New Roman" w:hAnsi="Arial" w:cs="Arial"/>
                <w:b/>
                <w:color w:val="000000" w:themeColor="text1"/>
                <w:spacing w:val="-3"/>
                <w:sz w:val="20"/>
                <w:szCs w:val="20"/>
              </w:rPr>
            </w:pPr>
          </w:p>
        </w:tc>
      </w:tr>
      <w:tr w:rsidR="009013CC" w:rsidRPr="00881602" w14:paraId="0A5DC02F" w14:textId="77777777" w:rsidTr="00C55491">
        <w:trPr>
          <w:trHeight w:hRule="exact" w:val="284"/>
        </w:trPr>
        <w:tc>
          <w:tcPr>
            <w:tcW w:w="3226" w:type="pct"/>
            <w:vAlign w:val="bottom"/>
          </w:tcPr>
          <w:p w14:paraId="04519307" w14:textId="77777777" w:rsidR="009013CC" w:rsidRPr="00881602" w:rsidRDefault="009013CC" w:rsidP="009013C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92" w:name="_Toc67328100"/>
            <w:r w:rsidRPr="00881602">
              <w:rPr>
                <w:rFonts w:ascii="Arial" w:eastAsia="Times New Roman" w:hAnsi="Arial" w:cs="Arial"/>
                <w:color w:val="000000" w:themeColor="text1"/>
                <w:sz w:val="20"/>
                <w:szCs w:val="20"/>
              </w:rPr>
              <w:t>EU projekti</w:t>
            </w:r>
            <w:bookmarkEnd w:id="392"/>
          </w:p>
        </w:tc>
        <w:tc>
          <w:tcPr>
            <w:tcW w:w="825" w:type="pct"/>
            <w:tcBorders>
              <w:top w:val="nil"/>
              <w:left w:val="nil"/>
              <w:bottom w:val="nil"/>
              <w:right w:val="nil"/>
            </w:tcBorders>
            <w:shd w:val="clear" w:color="auto" w:fill="auto"/>
          </w:tcPr>
          <w:p w14:paraId="48823268" w14:textId="4A5C0C71" w:rsidR="009013CC" w:rsidRPr="00881602" w:rsidRDefault="00D82F40" w:rsidP="009013C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73.938</w:t>
            </w:r>
          </w:p>
        </w:tc>
        <w:tc>
          <w:tcPr>
            <w:tcW w:w="949" w:type="pct"/>
            <w:tcBorders>
              <w:top w:val="nil"/>
              <w:left w:val="nil"/>
              <w:bottom w:val="nil"/>
              <w:right w:val="nil"/>
            </w:tcBorders>
            <w:shd w:val="clear" w:color="auto" w:fill="auto"/>
            <w:vAlign w:val="bottom"/>
          </w:tcPr>
          <w:p w14:paraId="45D4A8D5" w14:textId="5EA283F3" w:rsidR="009013CC" w:rsidRPr="009013CC" w:rsidRDefault="009013CC" w:rsidP="009013C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013CC">
              <w:rPr>
                <w:rFonts w:ascii="Arial" w:hAnsi="Arial" w:cs="Arial"/>
                <w:sz w:val="20"/>
              </w:rPr>
              <w:t>72.901</w:t>
            </w:r>
          </w:p>
        </w:tc>
      </w:tr>
      <w:tr w:rsidR="009013CC" w:rsidRPr="00881602" w14:paraId="5627FF5C" w14:textId="77777777" w:rsidTr="00C55491">
        <w:trPr>
          <w:trHeight w:hRule="exact" w:val="284"/>
        </w:trPr>
        <w:tc>
          <w:tcPr>
            <w:tcW w:w="3226" w:type="pct"/>
            <w:vAlign w:val="bottom"/>
          </w:tcPr>
          <w:p w14:paraId="49A28585" w14:textId="77777777" w:rsidR="009013CC" w:rsidRPr="00881602" w:rsidRDefault="009013CC" w:rsidP="009013C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93" w:name="_Toc67328103"/>
            <w:r w:rsidRPr="00881602">
              <w:rPr>
                <w:rFonts w:ascii="Arial" w:eastAsia="Times New Roman" w:hAnsi="Arial" w:cs="Arial"/>
                <w:color w:val="000000" w:themeColor="text1"/>
                <w:sz w:val="20"/>
                <w:szCs w:val="20"/>
              </w:rPr>
              <w:t>Financijsko restrukturiranje</w:t>
            </w:r>
            <w:bookmarkEnd w:id="393"/>
          </w:p>
        </w:tc>
        <w:tc>
          <w:tcPr>
            <w:tcW w:w="825" w:type="pct"/>
            <w:tcBorders>
              <w:top w:val="nil"/>
              <w:left w:val="nil"/>
              <w:bottom w:val="nil"/>
              <w:right w:val="nil"/>
            </w:tcBorders>
            <w:shd w:val="clear" w:color="auto" w:fill="auto"/>
          </w:tcPr>
          <w:p w14:paraId="7AE90CDD" w14:textId="0C5E0E2D" w:rsidR="009013CC" w:rsidRPr="00881602" w:rsidRDefault="008E157F" w:rsidP="009013C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118.968</w:t>
            </w:r>
          </w:p>
        </w:tc>
        <w:tc>
          <w:tcPr>
            <w:tcW w:w="949" w:type="pct"/>
            <w:tcBorders>
              <w:top w:val="nil"/>
              <w:left w:val="nil"/>
              <w:bottom w:val="nil"/>
              <w:right w:val="nil"/>
            </w:tcBorders>
            <w:shd w:val="clear" w:color="auto" w:fill="auto"/>
            <w:vAlign w:val="bottom"/>
          </w:tcPr>
          <w:p w14:paraId="599F7A69" w14:textId="56414750" w:rsidR="009013CC" w:rsidRPr="009013CC" w:rsidRDefault="009013CC" w:rsidP="009013C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013CC">
              <w:rPr>
                <w:rFonts w:ascii="Arial" w:hAnsi="Arial" w:cs="Arial"/>
                <w:sz w:val="20"/>
              </w:rPr>
              <w:t>121.229</w:t>
            </w:r>
          </w:p>
        </w:tc>
      </w:tr>
      <w:tr w:rsidR="009013CC" w:rsidRPr="00881602" w14:paraId="36C5928F" w14:textId="77777777" w:rsidTr="00C55491">
        <w:trPr>
          <w:trHeight w:hRule="exact" w:val="284"/>
        </w:trPr>
        <w:tc>
          <w:tcPr>
            <w:tcW w:w="3226" w:type="pct"/>
            <w:vAlign w:val="bottom"/>
          </w:tcPr>
          <w:p w14:paraId="577C57DE" w14:textId="77777777" w:rsidR="009013CC" w:rsidRPr="00881602" w:rsidRDefault="009013CC" w:rsidP="009013C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94" w:name="_Toc67328106"/>
            <w:r w:rsidRPr="00881602">
              <w:rPr>
                <w:rFonts w:ascii="Arial" w:eastAsia="Times New Roman" w:hAnsi="Arial" w:cs="Arial"/>
                <w:color w:val="000000" w:themeColor="text1"/>
                <w:sz w:val="20"/>
                <w:szCs w:val="20"/>
              </w:rPr>
              <w:t>Priprema izvoza</w:t>
            </w:r>
            <w:bookmarkEnd w:id="394"/>
          </w:p>
        </w:tc>
        <w:tc>
          <w:tcPr>
            <w:tcW w:w="825" w:type="pct"/>
            <w:tcBorders>
              <w:top w:val="nil"/>
              <w:left w:val="nil"/>
              <w:bottom w:val="nil"/>
              <w:right w:val="nil"/>
            </w:tcBorders>
            <w:shd w:val="clear" w:color="auto" w:fill="auto"/>
          </w:tcPr>
          <w:p w14:paraId="5843CB9E" w14:textId="648D826B" w:rsidR="009013CC" w:rsidRPr="00881602" w:rsidRDefault="008E157F" w:rsidP="009013C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1.817</w:t>
            </w:r>
          </w:p>
        </w:tc>
        <w:tc>
          <w:tcPr>
            <w:tcW w:w="949" w:type="pct"/>
            <w:tcBorders>
              <w:top w:val="nil"/>
              <w:left w:val="nil"/>
              <w:bottom w:val="nil"/>
              <w:right w:val="nil"/>
            </w:tcBorders>
            <w:shd w:val="clear" w:color="auto" w:fill="auto"/>
            <w:vAlign w:val="bottom"/>
          </w:tcPr>
          <w:p w14:paraId="3BE762C9" w14:textId="08233B65" w:rsidR="009013CC" w:rsidRPr="009013CC" w:rsidRDefault="009013CC" w:rsidP="009013C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013CC">
              <w:rPr>
                <w:rFonts w:ascii="Arial" w:hAnsi="Arial" w:cs="Arial"/>
                <w:sz w:val="20"/>
              </w:rPr>
              <w:t>1.827</w:t>
            </w:r>
          </w:p>
        </w:tc>
      </w:tr>
      <w:tr w:rsidR="009013CC" w:rsidRPr="00881602" w14:paraId="24B45AD5" w14:textId="77777777" w:rsidTr="00C55491">
        <w:trPr>
          <w:trHeight w:hRule="exact" w:val="284"/>
        </w:trPr>
        <w:tc>
          <w:tcPr>
            <w:tcW w:w="3226" w:type="pct"/>
            <w:vAlign w:val="bottom"/>
          </w:tcPr>
          <w:p w14:paraId="5494541C" w14:textId="77777777" w:rsidR="009013CC" w:rsidRPr="00881602" w:rsidRDefault="009013CC" w:rsidP="009013C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95" w:name="_Toc67328109"/>
            <w:r w:rsidRPr="00881602">
              <w:rPr>
                <w:rFonts w:ascii="Arial" w:eastAsia="Times New Roman" w:hAnsi="Arial" w:cs="Arial"/>
                <w:color w:val="000000" w:themeColor="text1"/>
                <w:sz w:val="20"/>
                <w:szCs w:val="20"/>
              </w:rPr>
              <w:t>Investicije javnog sektora</w:t>
            </w:r>
            <w:bookmarkEnd w:id="395"/>
          </w:p>
        </w:tc>
        <w:tc>
          <w:tcPr>
            <w:tcW w:w="825" w:type="pct"/>
            <w:tcBorders>
              <w:top w:val="nil"/>
              <w:left w:val="nil"/>
              <w:bottom w:val="nil"/>
              <w:right w:val="nil"/>
            </w:tcBorders>
            <w:shd w:val="clear" w:color="auto" w:fill="auto"/>
          </w:tcPr>
          <w:p w14:paraId="596BA00B" w14:textId="5AF0FFE0" w:rsidR="009013CC" w:rsidRPr="00881602" w:rsidRDefault="008E157F" w:rsidP="009013C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300.003</w:t>
            </w:r>
          </w:p>
        </w:tc>
        <w:tc>
          <w:tcPr>
            <w:tcW w:w="949" w:type="pct"/>
            <w:tcBorders>
              <w:top w:val="nil"/>
              <w:left w:val="nil"/>
              <w:bottom w:val="nil"/>
              <w:right w:val="nil"/>
            </w:tcBorders>
            <w:shd w:val="clear" w:color="auto" w:fill="auto"/>
            <w:vAlign w:val="bottom"/>
          </w:tcPr>
          <w:p w14:paraId="10E7B917" w14:textId="7F748814" w:rsidR="009013CC" w:rsidRPr="009013CC" w:rsidRDefault="009013CC" w:rsidP="009013C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013CC">
              <w:rPr>
                <w:rFonts w:ascii="Arial" w:hAnsi="Arial" w:cs="Arial"/>
                <w:sz w:val="20"/>
              </w:rPr>
              <w:t>292.790</w:t>
            </w:r>
          </w:p>
        </w:tc>
      </w:tr>
      <w:tr w:rsidR="009013CC" w:rsidRPr="00881602" w14:paraId="653E2997" w14:textId="77777777" w:rsidTr="00C55491">
        <w:trPr>
          <w:trHeight w:hRule="exact" w:val="284"/>
        </w:trPr>
        <w:tc>
          <w:tcPr>
            <w:tcW w:w="3226" w:type="pct"/>
            <w:vAlign w:val="bottom"/>
          </w:tcPr>
          <w:p w14:paraId="360D6F0D" w14:textId="77777777" w:rsidR="009013CC" w:rsidRPr="00881602" w:rsidRDefault="009013CC" w:rsidP="009013C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96" w:name="_Toc67328112"/>
            <w:r w:rsidRPr="00881602">
              <w:rPr>
                <w:rFonts w:ascii="Arial" w:eastAsia="Times New Roman" w:hAnsi="Arial" w:cs="Arial"/>
                <w:color w:val="000000" w:themeColor="text1"/>
                <w:sz w:val="20"/>
                <w:szCs w:val="20"/>
              </w:rPr>
              <w:t>Investicije privatnog sektora</w:t>
            </w:r>
            <w:bookmarkEnd w:id="396"/>
          </w:p>
        </w:tc>
        <w:tc>
          <w:tcPr>
            <w:tcW w:w="825" w:type="pct"/>
            <w:tcBorders>
              <w:top w:val="nil"/>
              <w:left w:val="nil"/>
              <w:bottom w:val="nil"/>
              <w:right w:val="nil"/>
            </w:tcBorders>
            <w:shd w:val="clear" w:color="auto" w:fill="auto"/>
          </w:tcPr>
          <w:p w14:paraId="3C6A1F1D" w14:textId="360D75DB" w:rsidR="009013CC" w:rsidRPr="00881602" w:rsidRDefault="006F6AB4" w:rsidP="009013C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258.502</w:t>
            </w:r>
          </w:p>
        </w:tc>
        <w:tc>
          <w:tcPr>
            <w:tcW w:w="949" w:type="pct"/>
            <w:tcBorders>
              <w:top w:val="nil"/>
              <w:left w:val="nil"/>
              <w:bottom w:val="nil"/>
              <w:right w:val="nil"/>
            </w:tcBorders>
            <w:shd w:val="clear" w:color="auto" w:fill="auto"/>
            <w:vAlign w:val="bottom"/>
          </w:tcPr>
          <w:p w14:paraId="4E3869C2" w14:textId="5F5F3E6A" w:rsidR="009013CC" w:rsidRPr="009013CC" w:rsidRDefault="009013CC" w:rsidP="009013C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013CC">
              <w:rPr>
                <w:rFonts w:ascii="Arial" w:hAnsi="Arial" w:cs="Arial"/>
                <w:sz w:val="20"/>
              </w:rPr>
              <w:t>240.302</w:t>
            </w:r>
          </w:p>
        </w:tc>
      </w:tr>
      <w:tr w:rsidR="009013CC" w:rsidRPr="00881602" w14:paraId="0F289C62" w14:textId="77777777" w:rsidTr="00C55491">
        <w:trPr>
          <w:trHeight w:hRule="exact" w:val="284"/>
        </w:trPr>
        <w:tc>
          <w:tcPr>
            <w:tcW w:w="3226" w:type="pct"/>
            <w:vAlign w:val="bottom"/>
          </w:tcPr>
          <w:p w14:paraId="1CCE7833" w14:textId="77777777" w:rsidR="009013CC" w:rsidRPr="00881602" w:rsidRDefault="009013CC" w:rsidP="009013C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97" w:name="_Toc67328115"/>
            <w:r w:rsidRPr="00881602">
              <w:rPr>
                <w:rFonts w:ascii="Arial" w:eastAsia="Times New Roman" w:hAnsi="Arial" w:cs="Arial"/>
                <w:color w:val="000000" w:themeColor="text1"/>
                <w:sz w:val="20"/>
                <w:szCs w:val="20"/>
              </w:rPr>
              <w:t>Poduzetništvo mladih, žena i početnika</w:t>
            </w:r>
            <w:bookmarkEnd w:id="397"/>
          </w:p>
        </w:tc>
        <w:tc>
          <w:tcPr>
            <w:tcW w:w="825" w:type="pct"/>
            <w:tcBorders>
              <w:top w:val="nil"/>
              <w:left w:val="nil"/>
              <w:bottom w:val="nil"/>
              <w:right w:val="nil"/>
            </w:tcBorders>
            <w:shd w:val="clear" w:color="auto" w:fill="auto"/>
          </w:tcPr>
          <w:p w14:paraId="37E5F70C" w14:textId="4BE41890" w:rsidR="009013CC" w:rsidRPr="00881602" w:rsidRDefault="006F6AB4" w:rsidP="009013C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8.799</w:t>
            </w:r>
          </w:p>
        </w:tc>
        <w:tc>
          <w:tcPr>
            <w:tcW w:w="949" w:type="pct"/>
            <w:tcBorders>
              <w:top w:val="nil"/>
              <w:left w:val="nil"/>
              <w:bottom w:val="nil"/>
              <w:right w:val="nil"/>
            </w:tcBorders>
            <w:shd w:val="clear" w:color="auto" w:fill="auto"/>
            <w:vAlign w:val="bottom"/>
          </w:tcPr>
          <w:p w14:paraId="0C435BE2" w14:textId="30E59521" w:rsidR="009013CC" w:rsidRPr="009013CC" w:rsidRDefault="009013CC" w:rsidP="009013C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013CC">
              <w:rPr>
                <w:rFonts w:ascii="Arial" w:hAnsi="Arial" w:cs="Arial"/>
                <w:sz w:val="20"/>
              </w:rPr>
              <w:t>8.827</w:t>
            </w:r>
          </w:p>
        </w:tc>
      </w:tr>
      <w:tr w:rsidR="009013CC" w:rsidRPr="00881602" w14:paraId="226BD6DD" w14:textId="77777777" w:rsidTr="00C55491">
        <w:trPr>
          <w:trHeight w:hRule="exact" w:val="284"/>
        </w:trPr>
        <w:tc>
          <w:tcPr>
            <w:tcW w:w="3226" w:type="pct"/>
            <w:vAlign w:val="bottom"/>
          </w:tcPr>
          <w:p w14:paraId="240426AF" w14:textId="77777777" w:rsidR="009013CC" w:rsidRPr="00881602" w:rsidRDefault="009013CC" w:rsidP="009013C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98" w:name="_Toc67328118"/>
            <w:r w:rsidRPr="00881602">
              <w:rPr>
                <w:rFonts w:ascii="Arial" w:eastAsia="Times New Roman" w:hAnsi="Arial" w:cs="Arial"/>
                <w:color w:val="000000" w:themeColor="text1"/>
                <w:sz w:val="20"/>
                <w:szCs w:val="20"/>
              </w:rPr>
              <w:t>Obrtna sredstva</w:t>
            </w:r>
            <w:bookmarkEnd w:id="398"/>
          </w:p>
        </w:tc>
        <w:tc>
          <w:tcPr>
            <w:tcW w:w="825" w:type="pct"/>
            <w:tcBorders>
              <w:top w:val="nil"/>
              <w:left w:val="nil"/>
              <w:bottom w:val="nil"/>
              <w:right w:val="nil"/>
            </w:tcBorders>
            <w:shd w:val="clear" w:color="auto" w:fill="auto"/>
          </w:tcPr>
          <w:p w14:paraId="4E4CBB33" w14:textId="4A522E7A" w:rsidR="009013CC" w:rsidRPr="00881602" w:rsidRDefault="006F6AB4" w:rsidP="009013C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207.827</w:t>
            </w:r>
          </w:p>
        </w:tc>
        <w:tc>
          <w:tcPr>
            <w:tcW w:w="949" w:type="pct"/>
            <w:tcBorders>
              <w:top w:val="nil"/>
              <w:left w:val="nil"/>
              <w:bottom w:val="nil"/>
              <w:right w:val="nil"/>
            </w:tcBorders>
            <w:shd w:val="clear" w:color="auto" w:fill="auto"/>
            <w:vAlign w:val="bottom"/>
          </w:tcPr>
          <w:p w14:paraId="70B67322" w14:textId="2161C5B3" w:rsidR="009013CC" w:rsidRPr="009013CC" w:rsidRDefault="009013CC" w:rsidP="009013C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013CC">
              <w:rPr>
                <w:rFonts w:ascii="Arial" w:hAnsi="Arial" w:cs="Arial"/>
                <w:sz w:val="20"/>
              </w:rPr>
              <w:t>220.501</w:t>
            </w:r>
          </w:p>
        </w:tc>
      </w:tr>
      <w:tr w:rsidR="009013CC" w:rsidRPr="00881602" w14:paraId="2C82AD07" w14:textId="77777777" w:rsidTr="00C55491">
        <w:trPr>
          <w:trHeight w:hRule="exact" w:val="284"/>
        </w:trPr>
        <w:tc>
          <w:tcPr>
            <w:tcW w:w="3226" w:type="pct"/>
            <w:vAlign w:val="bottom"/>
          </w:tcPr>
          <w:p w14:paraId="1E1EAB56" w14:textId="5EBFF5BB" w:rsidR="009013CC" w:rsidRPr="00881602" w:rsidRDefault="009013CC" w:rsidP="009013CC">
            <w:pPr>
              <w:tabs>
                <w:tab w:val="right" w:pos="1202"/>
              </w:tabs>
              <w:suppressAutoHyphens/>
              <w:autoSpaceDN w:val="0"/>
              <w:spacing w:line="301" w:lineRule="exact"/>
              <w:outlineLvl w:val="0"/>
              <w:rPr>
                <w:rFonts w:ascii="Arial" w:eastAsia="Times New Roman" w:hAnsi="Arial" w:cs="Arial"/>
                <w:color w:val="000000" w:themeColor="text1"/>
                <w:sz w:val="20"/>
                <w:szCs w:val="20"/>
              </w:rPr>
            </w:pPr>
            <w:r w:rsidRPr="00881602">
              <w:rPr>
                <w:rFonts w:ascii="Arial" w:eastAsia="Times New Roman" w:hAnsi="Arial" w:cs="Arial"/>
                <w:color w:val="000000" w:themeColor="text1"/>
                <w:sz w:val="20"/>
                <w:szCs w:val="20"/>
              </w:rPr>
              <w:t>Obrtna sredstva – Mjere COVID 19 i Kriza 2022</w:t>
            </w:r>
          </w:p>
        </w:tc>
        <w:tc>
          <w:tcPr>
            <w:tcW w:w="825" w:type="pct"/>
            <w:tcBorders>
              <w:top w:val="nil"/>
              <w:left w:val="nil"/>
              <w:bottom w:val="nil"/>
              <w:right w:val="nil"/>
            </w:tcBorders>
            <w:shd w:val="clear" w:color="auto" w:fill="auto"/>
          </w:tcPr>
          <w:p w14:paraId="199FCDEC" w14:textId="5602A546" w:rsidR="009013CC" w:rsidRPr="00881602" w:rsidRDefault="006F6AB4" w:rsidP="009013C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536.381</w:t>
            </w:r>
          </w:p>
        </w:tc>
        <w:tc>
          <w:tcPr>
            <w:tcW w:w="949" w:type="pct"/>
            <w:tcBorders>
              <w:top w:val="nil"/>
              <w:left w:val="nil"/>
              <w:bottom w:val="nil"/>
              <w:right w:val="nil"/>
            </w:tcBorders>
            <w:shd w:val="clear" w:color="auto" w:fill="auto"/>
            <w:vAlign w:val="bottom"/>
          </w:tcPr>
          <w:p w14:paraId="22AB9BBF" w14:textId="3A124DCE" w:rsidR="009013CC" w:rsidRPr="009013CC" w:rsidRDefault="009013CC" w:rsidP="009013C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013CC">
              <w:rPr>
                <w:rFonts w:ascii="Arial" w:hAnsi="Arial" w:cs="Arial"/>
                <w:sz w:val="20"/>
              </w:rPr>
              <w:t>551.850</w:t>
            </w:r>
          </w:p>
        </w:tc>
      </w:tr>
      <w:tr w:rsidR="009013CC" w:rsidRPr="00881602" w14:paraId="43D7B92E" w14:textId="77777777" w:rsidTr="00C55491">
        <w:trPr>
          <w:trHeight w:hRule="exact" w:val="284"/>
        </w:trPr>
        <w:tc>
          <w:tcPr>
            <w:tcW w:w="3226" w:type="pct"/>
            <w:vAlign w:val="bottom"/>
          </w:tcPr>
          <w:p w14:paraId="2C34B9B0" w14:textId="77777777" w:rsidR="009013CC" w:rsidRPr="00881602" w:rsidRDefault="009013CC" w:rsidP="009013C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399" w:name="_Toc67328124"/>
            <w:r w:rsidRPr="00881602">
              <w:rPr>
                <w:rFonts w:ascii="Arial" w:eastAsia="Times New Roman" w:hAnsi="Arial" w:cs="Arial"/>
                <w:color w:val="000000" w:themeColor="text1"/>
                <w:sz w:val="20"/>
                <w:szCs w:val="20"/>
              </w:rPr>
              <w:t>Program kreditiranja obnove i razvitka gospodarskih djelatnosti</w:t>
            </w:r>
            <w:bookmarkEnd w:id="399"/>
          </w:p>
        </w:tc>
        <w:tc>
          <w:tcPr>
            <w:tcW w:w="825" w:type="pct"/>
            <w:tcBorders>
              <w:top w:val="nil"/>
              <w:left w:val="nil"/>
              <w:bottom w:val="nil"/>
              <w:right w:val="nil"/>
            </w:tcBorders>
            <w:shd w:val="clear" w:color="auto" w:fill="auto"/>
          </w:tcPr>
          <w:p w14:paraId="7DC46E19" w14:textId="4C5266B7" w:rsidR="009013CC" w:rsidRPr="00881602" w:rsidRDefault="006F6AB4" w:rsidP="009013C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221.076</w:t>
            </w:r>
          </w:p>
        </w:tc>
        <w:tc>
          <w:tcPr>
            <w:tcW w:w="949" w:type="pct"/>
            <w:tcBorders>
              <w:top w:val="nil"/>
              <w:left w:val="nil"/>
              <w:bottom w:val="nil"/>
              <w:right w:val="nil"/>
            </w:tcBorders>
            <w:shd w:val="clear" w:color="auto" w:fill="auto"/>
            <w:vAlign w:val="bottom"/>
          </w:tcPr>
          <w:p w14:paraId="73C0BB20" w14:textId="05ACCA3B" w:rsidR="009013CC" w:rsidRPr="009013CC" w:rsidRDefault="009013CC" w:rsidP="009013C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013CC">
              <w:rPr>
                <w:rFonts w:ascii="Arial" w:hAnsi="Arial" w:cs="Arial"/>
                <w:sz w:val="20"/>
              </w:rPr>
              <w:t xml:space="preserve"> 225.071 </w:t>
            </w:r>
          </w:p>
        </w:tc>
      </w:tr>
      <w:tr w:rsidR="009013CC" w:rsidRPr="00881602" w14:paraId="6598EFEF" w14:textId="77777777" w:rsidTr="00C55491">
        <w:trPr>
          <w:trHeight w:hRule="exact" w:val="284"/>
        </w:trPr>
        <w:tc>
          <w:tcPr>
            <w:tcW w:w="3226" w:type="pct"/>
            <w:vAlign w:val="bottom"/>
          </w:tcPr>
          <w:p w14:paraId="45E7EB9C" w14:textId="77777777" w:rsidR="009013CC" w:rsidRPr="00881602" w:rsidRDefault="009013CC" w:rsidP="009013C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00" w:name="_Toc67328127"/>
            <w:r w:rsidRPr="00881602">
              <w:rPr>
                <w:rFonts w:ascii="Arial" w:eastAsia="Times New Roman" w:hAnsi="Arial" w:cs="Arial"/>
                <w:color w:val="000000" w:themeColor="text1"/>
                <w:sz w:val="20"/>
                <w:szCs w:val="20"/>
              </w:rPr>
              <w:t>Financiranje izvoza</w:t>
            </w:r>
            <w:bookmarkEnd w:id="400"/>
          </w:p>
        </w:tc>
        <w:tc>
          <w:tcPr>
            <w:tcW w:w="825" w:type="pct"/>
            <w:tcBorders>
              <w:top w:val="nil"/>
              <w:left w:val="nil"/>
              <w:bottom w:val="nil"/>
              <w:right w:val="nil"/>
            </w:tcBorders>
            <w:shd w:val="clear" w:color="auto" w:fill="auto"/>
          </w:tcPr>
          <w:p w14:paraId="6D46879A" w14:textId="4A12213E" w:rsidR="009013CC" w:rsidRPr="00881602" w:rsidRDefault="006F6AB4" w:rsidP="009013C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409.803</w:t>
            </w:r>
          </w:p>
        </w:tc>
        <w:tc>
          <w:tcPr>
            <w:tcW w:w="949" w:type="pct"/>
            <w:tcBorders>
              <w:top w:val="nil"/>
              <w:left w:val="nil"/>
              <w:bottom w:val="nil"/>
              <w:right w:val="nil"/>
            </w:tcBorders>
            <w:shd w:val="clear" w:color="auto" w:fill="auto"/>
            <w:vAlign w:val="bottom"/>
          </w:tcPr>
          <w:p w14:paraId="45CD072C" w14:textId="5FCCFE01" w:rsidR="009013CC" w:rsidRPr="009013CC" w:rsidRDefault="009013CC" w:rsidP="009013C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013CC">
              <w:rPr>
                <w:rFonts w:ascii="Arial" w:hAnsi="Arial" w:cs="Arial"/>
                <w:sz w:val="20"/>
              </w:rPr>
              <w:t xml:space="preserve"> 410.396 </w:t>
            </w:r>
          </w:p>
        </w:tc>
      </w:tr>
      <w:tr w:rsidR="009013CC" w:rsidRPr="00881602" w14:paraId="77C2E87D" w14:textId="77777777" w:rsidTr="00C55491">
        <w:trPr>
          <w:trHeight w:hRule="exact" w:val="284"/>
        </w:trPr>
        <w:tc>
          <w:tcPr>
            <w:tcW w:w="3226" w:type="pct"/>
            <w:vAlign w:val="bottom"/>
          </w:tcPr>
          <w:p w14:paraId="37399292" w14:textId="77777777" w:rsidR="009013CC" w:rsidRPr="00881602" w:rsidRDefault="009013CC" w:rsidP="009013C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01" w:name="_Toc67328130"/>
            <w:r w:rsidRPr="00881602">
              <w:rPr>
                <w:rFonts w:ascii="Arial" w:eastAsia="Times New Roman" w:hAnsi="Arial" w:cs="Arial"/>
                <w:color w:val="000000" w:themeColor="text1"/>
                <w:sz w:val="20"/>
                <w:szCs w:val="20"/>
              </w:rPr>
              <w:t>Program obnove i razvitka infrastrukture u Republici Hrvatskoj</w:t>
            </w:r>
            <w:bookmarkEnd w:id="401"/>
          </w:p>
        </w:tc>
        <w:tc>
          <w:tcPr>
            <w:tcW w:w="825" w:type="pct"/>
            <w:tcBorders>
              <w:top w:val="nil"/>
              <w:left w:val="nil"/>
              <w:bottom w:val="nil"/>
              <w:right w:val="nil"/>
            </w:tcBorders>
            <w:shd w:val="clear" w:color="auto" w:fill="auto"/>
          </w:tcPr>
          <w:p w14:paraId="36B8B059" w14:textId="1F19C114" w:rsidR="009013CC" w:rsidRPr="00881602" w:rsidRDefault="006F6AB4" w:rsidP="009013C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492.66</w:t>
            </w:r>
            <w:r w:rsidR="00C95AF8">
              <w:rPr>
                <w:rFonts w:ascii="Arial" w:eastAsia="Times New Roman" w:hAnsi="Arial" w:cs="Arial"/>
                <w:color w:val="000000" w:themeColor="text1"/>
                <w:sz w:val="20"/>
                <w:szCs w:val="20"/>
              </w:rPr>
              <w:t>9</w:t>
            </w:r>
          </w:p>
        </w:tc>
        <w:tc>
          <w:tcPr>
            <w:tcW w:w="949" w:type="pct"/>
            <w:tcBorders>
              <w:top w:val="nil"/>
              <w:left w:val="nil"/>
              <w:bottom w:val="nil"/>
              <w:right w:val="nil"/>
            </w:tcBorders>
            <w:shd w:val="clear" w:color="auto" w:fill="auto"/>
            <w:vAlign w:val="bottom"/>
          </w:tcPr>
          <w:p w14:paraId="665220D8" w14:textId="72631B3A" w:rsidR="009013CC" w:rsidRPr="009013CC" w:rsidRDefault="009013CC" w:rsidP="009013C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013CC">
              <w:rPr>
                <w:rFonts w:ascii="Arial" w:hAnsi="Arial" w:cs="Arial"/>
                <w:sz w:val="20"/>
              </w:rPr>
              <w:t xml:space="preserve"> 505.595 </w:t>
            </w:r>
          </w:p>
        </w:tc>
      </w:tr>
      <w:tr w:rsidR="009013CC" w:rsidRPr="00881602" w14:paraId="59113BAD" w14:textId="77777777" w:rsidTr="00C55491">
        <w:trPr>
          <w:trHeight w:hRule="exact" w:val="284"/>
        </w:trPr>
        <w:tc>
          <w:tcPr>
            <w:tcW w:w="3226" w:type="pct"/>
            <w:vAlign w:val="bottom"/>
          </w:tcPr>
          <w:p w14:paraId="0B5E0471" w14:textId="77777777" w:rsidR="009013CC" w:rsidRPr="00881602" w:rsidRDefault="009013CC" w:rsidP="009013C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02" w:name="_Toc67328133"/>
            <w:r w:rsidRPr="00881602">
              <w:rPr>
                <w:rFonts w:ascii="Arial" w:eastAsia="Times New Roman" w:hAnsi="Arial" w:cs="Arial"/>
                <w:color w:val="000000" w:themeColor="text1"/>
                <w:sz w:val="20"/>
                <w:szCs w:val="20"/>
              </w:rPr>
              <w:t>Program kreditiranja malog i srednjeg poduzetništva</w:t>
            </w:r>
            <w:bookmarkEnd w:id="402"/>
          </w:p>
        </w:tc>
        <w:tc>
          <w:tcPr>
            <w:tcW w:w="825" w:type="pct"/>
            <w:tcBorders>
              <w:top w:val="nil"/>
              <w:left w:val="nil"/>
              <w:bottom w:val="nil"/>
              <w:right w:val="nil"/>
            </w:tcBorders>
            <w:shd w:val="clear" w:color="auto" w:fill="auto"/>
          </w:tcPr>
          <w:p w14:paraId="30DD0E6F" w14:textId="65FC27D8" w:rsidR="009013CC" w:rsidRPr="00881602" w:rsidRDefault="006F6AB4" w:rsidP="009013C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93.</w:t>
            </w:r>
            <w:r w:rsidR="00C95AF8">
              <w:rPr>
                <w:rFonts w:ascii="Arial" w:eastAsia="Times New Roman" w:hAnsi="Arial" w:cs="Arial"/>
                <w:color w:val="000000" w:themeColor="text1"/>
                <w:sz w:val="20"/>
                <w:szCs w:val="20"/>
              </w:rPr>
              <w:t>563</w:t>
            </w:r>
          </w:p>
        </w:tc>
        <w:tc>
          <w:tcPr>
            <w:tcW w:w="949" w:type="pct"/>
            <w:tcBorders>
              <w:top w:val="nil"/>
              <w:left w:val="nil"/>
              <w:bottom w:val="nil"/>
              <w:right w:val="nil"/>
            </w:tcBorders>
            <w:shd w:val="clear" w:color="auto" w:fill="auto"/>
            <w:vAlign w:val="bottom"/>
          </w:tcPr>
          <w:p w14:paraId="2B7F98AF" w14:textId="481AE4E7" w:rsidR="009013CC" w:rsidRPr="009013CC" w:rsidRDefault="009013CC" w:rsidP="009013C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013CC">
              <w:rPr>
                <w:rFonts w:ascii="Arial" w:hAnsi="Arial" w:cs="Arial"/>
                <w:sz w:val="20"/>
              </w:rPr>
              <w:t>97.821</w:t>
            </w:r>
          </w:p>
        </w:tc>
      </w:tr>
      <w:tr w:rsidR="009013CC" w:rsidRPr="00881602" w14:paraId="6F19DABF" w14:textId="77777777" w:rsidTr="00C55491">
        <w:trPr>
          <w:trHeight w:hRule="exact" w:val="284"/>
        </w:trPr>
        <w:tc>
          <w:tcPr>
            <w:tcW w:w="3226" w:type="pct"/>
            <w:vAlign w:val="bottom"/>
          </w:tcPr>
          <w:p w14:paraId="052B4E58" w14:textId="77777777" w:rsidR="009013CC" w:rsidRPr="00881602" w:rsidRDefault="009013CC" w:rsidP="009013C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03" w:name="_Toc67328136"/>
            <w:r w:rsidRPr="00881602">
              <w:rPr>
                <w:rFonts w:ascii="Arial" w:eastAsia="Times New Roman" w:hAnsi="Arial" w:cs="Arial"/>
                <w:color w:val="000000" w:themeColor="text1"/>
                <w:sz w:val="20"/>
                <w:szCs w:val="20"/>
              </w:rPr>
              <w:t>Ostalo</w:t>
            </w:r>
            <w:bookmarkEnd w:id="403"/>
          </w:p>
        </w:tc>
        <w:tc>
          <w:tcPr>
            <w:tcW w:w="825" w:type="pct"/>
            <w:tcBorders>
              <w:top w:val="nil"/>
              <w:left w:val="nil"/>
              <w:bottom w:val="nil"/>
              <w:right w:val="nil"/>
            </w:tcBorders>
            <w:shd w:val="clear" w:color="auto" w:fill="auto"/>
          </w:tcPr>
          <w:p w14:paraId="6969280F" w14:textId="703F1AF1" w:rsidR="009013CC" w:rsidRPr="00881602" w:rsidRDefault="0060211B" w:rsidP="009013C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40.134</w:t>
            </w:r>
          </w:p>
        </w:tc>
        <w:tc>
          <w:tcPr>
            <w:tcW w:w="949" w:type="pct"/>
            <w:tcBorders>
              <w:top w:val="nil"/>
              <w:left w:val="nil"/>
              <w:bottom w:val="nil"/>
              <w:right w:val="nil"/>
            </w:tcBorders>
            <w:shd w:val="clear" w:color="auto" w:fill="auto"/>
            <w:vAlign w:val="bottom"/>
          </w:tcPr>
          <w:p w14:paraId="0232BA18" w14:textId="1BC234CC" w:rsidR="009013CC" w:rsidRPr="009013CC" w:rsidRDefault="009013CC" w:rsidP="009013C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013CC">
              <w:rPr>
                <w:rFonts w:ascii="Arial" w:hAnsi="Arial" w:cs="Arial"/>
                <w:sz w:val="20"/>
              </w:rPr>
              <w:t xml:space="preserve"> 34.442 </w:t>
            </w:r>
          </w:p>
        </w:tc>
      </w:tr>
      <w:tr w:rsidR="009013CC" w:rsidRPr="00881602" w14:paraId="47E986DE" w14:textId="77777777" w:rsidTr="00C55491">
        <w:trPr>
          <w:trHeight w:hRule="exact" w:val="284"/>
        </w:trPr>
        <w:tc>
          <w:tcPr>
            <w:tcW w:w="3226" w:type="pct"/>
            <w:vAlign w:val="bottom"/>
          </w:tcPr>
          <w:p w14:paraId="4DE9BBC9" w14:textId="77777777" w:rsidR="009013CC" w:rsidRPr="00881602" w:rsidRDefault="009013CC" w:rsidP="009013C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04" w:name="_Toc67328139"/>
            <w:r w:rsidRPr="00881602">
              <w:rPr>
                <w:rFonts w:ascii="Arial" w:eastAsia="Times New Roman" w:hAnsi="Arial" w:cs="Arial"/>
                <w:color w:val="000000" w:themeColor="text1"/>
                <w:sz w:val="20"/>
                <w:szCs w:val="20"/>
              </w:rPr>
              <w:t>Obračunata kamata</w:t>
            </w:r>
            <w:bookmarkEnd w:id="404"/>
          </w:p>
        </w:tc>
        <w:tc>
          <w:tcPr>
            <w:tcW w:w="825" w:type="pct"/>
            <w:tcBorders>
              <w:top w:val="nil"/>
              <w:left w:val="nil"/>
              <w:bottom w:val="nil"/>
              <w:right w:val="nil"/>
            </w:tcBorders>
            <w:shd w:val="clear" w:color="auto" w:fill="auto"/>
          </w:tcPr>
          <w:p w14:paraId="1AD5FC3E" w14:textId="426A1777" w:rsidR="009013CC" w:rsidRPr="00881602" w:rsidRDefault="0060211B" w:rsidP="009013C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50.403</w:t>
            </w:r>
          </w:p>
        </w:tc>
        <w:tc>
          <w:tcPr>
            <w:tcW w:w="949" w:type="pct"/>
            <w:tcBorders>
              <w:top w:val="nil"/>
              <w:left w:val="nil"/>
              <w:bottom w:val="nil"/>
              <w:right w:val="nil"/>
            </w:tcBorders>
            <w:shd w:val="clear" w:color="auto" w:fill="auto"/>
            <w:vAlign w:val="bottom"/>
          </w:tcPr>
          <w:p w14:paraId="1E3A916B" w14:textId="5E570CE5" w:rsidR="009013CC" w:rsidRPr="009013CC" w:rsidRDefault="009013CC" w:rsidP="009013C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013CC">
              <w:rPr>
                <w:rFonts w:ascii="Arial" w:hAnsi="Arial" w:cs="Arial"/>
                <w:sz w:val="20"/>
              </w:rPr>
              <w:t xml:space="preserve"> 47.646 </w:t>
            </w:r>
          </w:p>
        </w:tc>
      </w:tr>
      <w:tr w:rsidR="009013CC" w:rsidRPr="00881602" w14:paraId="227196BF" w14:textId="77777777" w:rsidTr="00C55491">
        <w:trPr>
          <w:trHeight w:hRule="exact" w:val="284"/>
        </w:trPr>
        <w:tc>
          <w:tcPr>
            <w:tcW w:w="3226" w:type="pct"/>
            <w:vAlign w:val="bottom"/>
          </w:tcPr>
          <w:p w14:paraId="64E7DA0C" w14:textId="77777777" w:rsidR="009013CC" w:rsidRPr="00881602" w:rsidRDefault="009013CC" w:rsidP="009013C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05" w:name="_Toc67328142"/>
            <w:r w:rsidRPr="00881602">
              <w:rPr>
                <w:rFonts w:ascii="Arial" w:eastAsia="Times New Roman" w:hAnsi="Arial" w:cs="Arial"/>
                <w:color w:val="000000" w:themeColor="text1"/>
                <w:sz w:val="20"/>
                <w:szCs w:val="20"/>
              </w:rPr>
              <w:t>Odgođena naknada po kreditima</w:t>
            </w:r>
            <w:bookmarkEnd w:id="405"/>
          </w:p>
        </w:tc>
        <w:tc>
          <w:tcPr>
            <w:tcW w:w="825" w:type="pct"/>
            <w:tcBorders>
              <w:top w:val="nil"/>
              <w:left w:val="nil"/>
              <w:right w:val="nil"/>
            </w:tcBorders>
            <w:shd w:val="clear" w:color="auto" w:fill="auto"/>
          </w:tcPr>
          <w:p w14:paraId="2DA4F1AD" w14:textId="66CE17CA" w:rsidR="009013CC" w:rsidRPr="00881602" w:rsidRDefault="0060211B" w:rsidP="009013C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(10.676)</w:t>
            </w:r>
          </w:p>
        </w:tc>
        <w:tc>
          <w:tcPr>
            <w:tcW w:w="949" w:type="pct"/>
            <w:tcBorders>
              <w:top w:val="nil"/>
              <w:left w:val="nil"/>
              <w:right w:val="nil"/>
            </w:tcBorders>
            <w:shd w:val="clear" w:color="auto" w:fill="auto"/>
            <w:vAlign w:val="bottom"/>
          </w:tcPr>
          <w:p w14:paraId="2BD8423B" w14:textId="48539239" w:rsidR="009013CC" w:rsidRPr="009013CC" w:rsidRDefault="009013CC" w:rsidP="009013CC">
            <w:pPr>
              <w:tabs>
                <w:tab w:val="right" w:pos="1202"/>
              </w:tabs>
              <w:suppressAutoHyphens/>
              <w:autoSpaceDN w:val="0"/>
              <w:spacing w:line="301" w:lineRule="exact"/>
              <w:jc w:val="right"/>
              <w:outlineLvl w:val="0"/>
              <w:rPr>
                <w:rFonts w:ascii="Arial" w:eastAsia="Times New Roman" w:hAnsi="Arial" w:cs="Arial"/>
                <w:color w:val="000000" w:themeColor="text1"/>
                <w:spacing w:val="-3"/>
                <w:sz w:val="20"/>
                <w:szCs w:val="20"/>
              </w:rPr>
            </w:pPr>
            <w:r w:rsidRPr="009013CC">
              <w:rPr>
                <w:rFonts w:ascii="Arial" w:hAnsi="Arial" w:cs="Arial"/>
                <w:sz w:val="20"/>
              </w:rPr>
              <w:t xml:space="preserve"> (9.245)</w:t>
            </w:r>
          </w:p>
        </w:tc>
      </w:tr>
      <w:tr w:rsidR="009013CC" w:rsidRPr="00881602" w14:paraId="7EA6A9AF" w14:textId="77777777" w:rsidTr="00C55491">
        <w:trPr>
          <w:trHeight w:val="322"/>
        </w:trPr>
        <w:tc>
          <w:tcPr>
            <w:tcW w:w="3226" w:type="pct"/>
            <w:vAlign w:val="bottom"/>
          </w:tcPr>
          <w:p w14:paraId="7AB0D189" w14:textId="77777777" w:rsidR="009013CC" w:rsidRPr="00881602" w:rsidRDefault="009013CC" w:rsidP="009013CC">
            <w:pPr>
              <w:tabs>
                <w:tab w:val="right" w:pos="1202"/>
              </w:tabs>
              <w:suppressAutoHyphens/>
              <w:autoSpaceDN w:val="0"/>
              <w:spacing w:line="340" w:lineRule="exact"/>
              <w:outlineLvl w:val="0"/>
              <w:rPr>
                <w:rFonts w:ascii="Arial" w:eastAsia="Times New Roman" w:hAnsi="Arial" w:cs="Arial"/>
                <w:color w:val="000000" w:themeColor="text1"/>
                <w:spacing w:val="-3"/>
                <w:sz w:val="20"/>
                <w:szCs w:val="20"/>
              </w:rPr>
            </w:pPr>
          </w:p>
        </w:tc>
        <w:tc>
          <w:tcPr>
            <w:tcW w:w="825" w:type="pct"/>
            <w:tcBorders>
              <w:top w:val="single" w:sz="4" w:space="0" w:color="auto"/>
              <w:left w:val="nil"/>
              <w:bottom w:val="single" w:sz="4" w:space="0" w:color="auto"/>
              <w:right w:val="nil"/>
            </w:tcBorders>
            <w:shd w:val="clear" w:color="auto" w:fill="auto"/>
          </w:tcPr>
          <w:p w14:paraId="6C635ECA" w14:textId="47A7179E" w:rsidR="009013CC" w:rsidRPr="00881602" w:rsidRDefault="001D21DB" w:rsidP="009013CC">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2.803.207</w:t>
            </w:r>
          </w:p>
        </w:tc>
        <w:tc>
          <w:tcPr>
            <w:tcW w:w="949" w:type="pct"/>
            <w:tcBorders>
              <w:top w:val="single" w:sz="4" w:space="0" w:color="auto"/>
              <w:left w:val="nil"/>
              <w:bottom w:val="single" w:sz="4" w:space="0" w:color="auto"/>
              <w:right w:val="nil"/>
            </w:tcBorders>
            <w:shd w:val="clear" w:color="auto" w:fill="auto"/>
            <w:vAlign w:val="bottom"/>
          </w:tcPr>
          <w:p w14:paraId="3B386C7C" w14:textId="06DF3CCA" w:rsidR="009013CC" w:rsidRPr="009013CC" w:rsidRDefault="009013CC" w:rsidP="009013CC">
            <w:pPr>
              <w:tabs>
                <w:tab w:val="right" w:pos="1202"/>
              </w:tabs>
              <w:suppressAutoHyphens/>
              <w:autoSpaceDN w:val="0"/>
              <w:spacing w:line="340" w:lineRule="exact"/>
              <w:jc w:val="right"/>
              <w:outlineLvl w:val="0"/>
              <w:rPr>
                <w:rFonts w:ascii="Arial" w:eastAsia="Times New Roman" w:hAnsi="Arial" w:cs="Arial"/>
                <w:color w:val="000000" w:themeColor="text1"/>
                <w:sz w:val="20"/>
                <w:szCs w:val="20"/>
              </w:rPr>
            </w:pPr>
            <w:r w:rsidRPr="009013CC">
              <w:rPr>
                <w:rFonts w:ascii="Arial" w:hAnsi="Arial" w:cs="Arial"/>
                <w:color w:val="000000" w:themeColor="text1"/>
                <w:sz w:val="20"/>
              </w:rPr>
              <w:t>2.821.953</w:t>
            </w:r>
          </w:p>
        </w:tc>
      </w:tr>
      <w:tr w:rsidR="009013CC" w:rsidRPr="00881602" w14:paraId="1D8684E7" w14:textId="77777777" w:rsidTr="00C55491">
        <w:trPr>
          <w:trHeight w:val="238"/>
        </w:trPr>
        <w:tc>
          <w:tcPr>
            <w:tcW w:w="3226" w:type="pct"/>
            <w:vAlign w:val="bottom"/>
          </w:tcPr>
          <w:p w14:paraId="5AC89A34" w14:textId="77777777" w:rsidR="009013CC" w:rsidRPr="00881602" w:rsidRDefault="009013CC" w:rsidP="009013CC">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06" w:name="_Toc67328147"/>
            <w:r w:rsidRPr="00881602">
              <w:rPr>
                <w:rFonts w:ascii="Arial" w:eastAsia="Times New Roman" w:hAnsi="Arial" w:cs="Arial"/>
                <w:color w:val="000000" w:themeColor="text1"/>
                <w:sz w:val="20"/>
                <w:szCs w:val="20"/>
              </w:rPr>
              <w:t>Rezerviranja za očekivane gubitke</w:t>
            </w:r>
            <w:bookmarkEnd w:id="406"/>
            <w:r w:rsidRPr="00881602">
              <w:rPr>
                <w:rFonts w:ascii="Arial" w:eastAsia="Times New Roman" w:hAnsi="Arial" w:cs="Arial"/>
                <w:color w:val="000000" w:themeColor="text1"/>
                <w:sz w:val="20"/>
                <w:szCs w:val="20"/>
              </w:rPr>
              <w:t xml:space="preserve"> </w:t>
            </w:r>
          </w:p>
        </w:tc>
        <w:tc>
          <w:tcPr>
            <w:tcW w:w="825" w:type="pct"/>
            <w:tcBorders>
              <w:top w:val="nil"/>
              <w:left w:val="nil"/>
              <w:bottom w:val="nil"/>
              <w:right w:val="nil"/>
            </w:tcBorders>
            <w:shd w:val="clear" w:color="auto" w:fill="auto"/>
          </w:tcPr>
          <w:p w14:paraId="5CD0B201" w14:textId="4F35B7C6" w:rsidR="009013CC" w:rsidRPr="00881602" w:rsidRDefault="001D21DB" w:rsidP="009013C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(465.363)</w:t>
            </w:r>
          </w:p>
        </w:tc>
        <w:tc>
          <w:tcPr>
            <w:tcW w:w="949" w:type="pct"/>
            <w:tcBorders>
              <w:top w:val="nil"/>
              <w:left w:val="nil"/>
              <w:bottom w:val="nil"/>
              <w:right w:val="nil"/>
            </w:tcBorders>
            <w:shd w:val="clear" w:color="auto" w:fill="auto"/>
            <w:vAlign w:val="bottom"/>
          </w:tcPr>
          <w:p w14:paraId="4D49A688" w14:textId="51FE2B2C" w:rsidR="009013CC" w:rsidRPr="009013CC" w:rsidRDefault="009013CC" w:rsidP="009013CC">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9013CC">
              <w:rPr>
                <w:rFonts w:ascii="Arial" w:hAnsi="Arial" w:cs="Arial"/>
                <w:color w:val="000000" w:themeColor="text1"/>
                <w:sz w:val="20"/>
              </w:rPr>
              <w:t>(470.757)</w:t>
            </w:r>
          </w:p>
        </w:tc>
      </w:tr>
      <w:tr w:rsidR="009013CC" w:rsidRPr="00881602" w14:paraId="0B51E8E2" w14:textId="77777777" w:rsidTr="00C55491">
        <w:trPr>
          <w:trHeight w:val="322"/>
        </w:trPr>
        <w:tc>
          <w:tcPr>
            <w:tcW w:w="3226" w:type="pct"/>
            <w:vAlign w:val="bottom"/>
          </w:tcPr>
          <w:p w14:paraId="4CA54F0F" w14:textId="77777777" w:rsidR="009013CC" w:rsidRPr="00881602" w:rsidRDefault="009013CC" w:rsidP="009013CC">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825" w:type="pct"/>
            <w:tcBorders>
              <w:top w:val="single" w:sz="4" w:space="0" w:color="auto"/>
              <w:left w:val="nil"/>
              <w:bottom w:val="single" w:sz="12" w:space="0" w:color="auto"/>
              <w:right w:val="nil"/>
            </w:tcBorders>
            <w:shd w:val="clear" w:color="auto" w:fill="auto"/>
          </w:tcPr>
          <w:p w14:paraId="7CD6D4AD" w14:textId="01E84AFE" w:rsidR="009013CC" w:rsidRPr="00881602" w:rsidRDefault="001D21DB" w:rsidP="005D1219">
            <w:pPr>
              <w:tabs>
                <w:tab w:val="left" w:pos="1139"/>
                <w:tab w:val="right" w:pos="1202"/>
              </w:tabs>
              <w:suppressAutoHyphens/>
              <w:autoSpaceDN w:val="0"/>
              <w:spacing w:line="340" w:lineRule="exact"/>
              <w:jc w:val="right"/>
              <w:outlineLvl w:val="0"/>
              <w:rPr>
                <w:rFonts w:ascii="Arial" w:eastAsia="Times New Roman" w:hAnsi="Arial" w:cs="Arial"/>
                <w:b/>
                <w:bCs/>
                <w:color w:val="000000" w:themeColor="text1"/>
                <w:spacing w:val="-2"/>
                <w:sz w:val="20"/>
                <w:szCs w:val="20"/>
              </w:rPr>
            </w:pPr>
            <w:r>
              <w:rPr>
                <w:rFonts w:ascii="Arial" w:eastAsia="Times New Roman" w:hAnsi="Arial" w:cs="Arial"/>
                <w:b/>
                <w:bCs/>
                <w:color w:val="000000" w:themeColor="text1"/>
                <w:spacing w:val="-2"/>
                <w:sz w:val="20"/>
                <w:szCs w:val="20"/>
              </w:rPr>
              <w:t xml:space="preserve">     2.337.844</w:t>
            </w:r>
            <w:r>
              <w:rPr>
                <w:rFonts w:ascii="Arial" w:eastAsia="Times New Roman" w:hAnsi="Arial" w:cs="Arial"/>
                <w:b/>
                <w:bCs/>
                <w:color w:val="000000" w:themeColor="text1"/>
                <w:spacing w:val="-2"/>
                <w:sz w:val="20"/>
                <w:szCs w:val="20"/>
              </w:rPr>
              <w:tab/>
            </w:r>
          </w:p>
        </w:tc>
        <w:tc>
          <w:tcPr>
            <w:tcW w:w="949" w:type="pct"/>
            <w:tcBorders>
              <w:top w:val="single" w:sz="4" w:space="0" w:color="auto"/>
              <w:left w:val="nil"/>
              <w:bottom w:val="single" w:sz="12" w:space="0" w:color="auto"/>
              <w:right w:val="nil"/>
            </w:tcBorders>
            <w:shd w:val="clear" w:color="auto" w:fill="auto"/>
            <w:vAlign w:val="bottom"/>
          </w:tcPr>
          <w:p w14:paraId="58A9F612" w14:textId="70DB0E9B" w:rsidR="009013CC" w:rsidRPr="009013CC" w:rsidRDefault="009013CC" w:rsidP="009013CC">
            <w:pPr>
              <w:tabs>
                <w:tab w:val="right" w:pos="1202"/>
              </w:tabs>
              <w:suppressAutoHyphens/>
              <w:autoSpaceDN w:val="0"/>
              <w:spacing w:line="340" w:lineRule="exact"/>
              <w:jc w:val="right"/>
              <w:outlineLvl w:val="0"/>
              <w:rPr>
                <w:rFonts w:ascii="Arial" w:eastAsia="Times New Roman" w:hAnsi="Arial" w:cs="Arial"/>
                <w:b/>
                <w:bCs/>
                <w:color w:val="000000" w:themeColor="text1"/>
                <w:spacing w:val="-2"/>
                <w:sz w:val="20"/>
                <w:szCs w:val="20"/>
              </w:rPr>
            </w:pPr>
            <w:r w:rsidRPr="009013CC">
              <w:rPr>
                <w:rFonts w:ascii="Arial" w:hAnsi="Arial" w:cs="Arial"/>
                <w:b/>
                <w:bCs/>
                <w:color w:val="000000" w:themeColor="text1"/>
                <w:spacing w:val="-2"/>
                <w:sz w:val="20"/>
              </w:rPr>
              <w:t>2.351.196</w:t>
            </w:r>
          </w:p>
        </w:tc>
      </w:tr>
    </w:tbl>
    <w:p w14:paraId="605FDF7F" w14:textId="77777777" w:rsidR="00DC1558" w:rsidRPr="003D1614" w:rsidRDefault="00DC1558" w:rsidP="00DC1558">
      <w:pPr>
        <w:keepNext/>
        <w:suppressAutoHyphens/>
        <w:autoSpaceDN w:val="0"/>
        <w:jc w:val="both"/>
        <w:outlineLvl w:val="0"/>
        <w:rPr>
          <w:rFonts w:ascii="Arial" w:eastAsia="Times New Roman" w:hAnsi="Arial" w:cs="Arial"/>
          <w:color w:val="000000" w:themeColor="text1"/>
          <w:sz w:val="20"/>
          <w:szCs w:val="20"/>
        </w:rPr>
      </w:pPr>
    </w:p>
    <w:p w14:paraId="590DEA38" w14:textId="77777777" w:rsidR="00DC1558" w:rsidRPr="003D1614" w:rsidRDefault="00DC1558" w:rsidP="00DC1558">
      <w:pPr>
        <w:keepNext/>
        <w:suppressAutoHyphens/>
        <w:autoSpaceDN w:val="0"/>
        <w:jc w:val="both"/>
        <w:outlineLvl w:val="0"/>
        <w:rPr>
          <w:rFonts w:ascii="Arial" w:eastAsia="Times New Roman" w:hAnsi="Arial" w:cs="Arial"/>
          <w:color w:val="000000" w:themeColor="text1"/>
          <w:sz w:val="20"/>
          <w:szCs w:val="20"/>
        </w:rPr>
      </w:pPr>
    </w:p>
    <w:p w14:paraId="352CF3AC" w14:textId="187CA9E4" w:rsidR="00DC1558" w:rsidRPr="00B10D0F" w:rsidRDefault="00DC1558" w:rsidP="00DC1558">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Prosječne kamatne stope na kredite ostalim korisnicima iskazane su u visini </w:t>
      </w:r>
      <w:r w:rsidRPr="00DB5481">
        <w:rPr>
          <w:rFonts w:ascii="Arial" w:eastAsia="Times New Roman" w:hAnsi="Arial" w:cs="Arial"/>
          <w:color w:val="000000" w:themeColor="text1"/>
          <w:sz w:val="20"/>
          <w:szCs w:val="20"/>
        </w:rPr>
        <w:t xml:space="preserve">od </w:t>
      </w:r>
      <w:r w:rsidRPr="005D1219">
        <w:rPr>
          <w:rFonts w:ascii="Arial" w:eastAsia="Times New Roman" w:hAnsi="Arial" w:cs="Arial"/>
          <w:color w:val="000000" w:themeColor="text1"/>
          <w:sz w:val="20"/>
          <w:szCs w:val="20"/>
        </w:rPr>
        <w:t>1,</w:t>
      </w:r>
      <w:r w:rsidR="00B10D0F" w:rsidRPr="005D1219">
        <w:rPr>
          <w:rFonts w:ascii="Arial" w:eastAsia="Times New Roman" w:hAnsi="Arial" w:cs="Arial"/>
          <w:color w:val="000000" w:themeColor="text1"/>
          <w:sz w:val="20"/>
          <w:szCs w:val="20"/>
        </w:rPr>
        <w:t>94</w:t>
      </w:r>
      <w:r w:rsidRPr="00B10D0F">
        <w:rPr>
          <w:rFonts w:ascii="Arial" w:eastAsia="Times New Roman" w:hAnsi="Arial" w:cs="Arial"/>
          <w:color w:val="000000" w:themeColor="text1"/>
          <w:sz w:val="20"/>
          <w:szCs w:val="20"/>
        </w:rPr>
        <w:t>% (1.1. do 31.3.202</w:t>
      </w:r>
      <w:r w:rsidR="001E306C" w:rsidRPr="00B10D0F">
        <w:rPr>
          <w:rFonts w:ascii="Arial" w:eastAsia="Times New Roman" w:hAnsi="Arial" w:cs="Arial"/>
          <w:color w:val="000000" w:themeColor="text1"/>
          <w:sz w:val="20"/>
          <w:szCs w:val="20"/>
        </w:rPr>
        <w:t>3</w:t>
      </w:r>
      <w:r w:rsidRPr="00B10D0F">
        <w:rPr>
          <w:rFonts w:ascii="Arial" w:eastAsia="Times New Roman" w:hAnsi="Arial" w:cs="Arial"/>
          <w:color w:val="000000" w:themeColor="text1"/>
          <w:sz w:val="20"/>
          <w:szCs w:val="20"/>
        </w:rPr>
        <w:t xml:space="preserve">.: </w:t>
      </w:r>
      <w:r w:rsidR="001E306C" w:rsidRPr="00B10D0F">
        <w:rPr>
          <w:rFonts w:ascii="Arial" w:eastAsia="Times New Roman" w:hAnsi="Arial" w:cs="Arial"/>
          <w:color w:val="000000" w:themeColor="text1"/>
          <w:sz w:val="20"/>
          <w:szCs w:val="20"/>
        </w:rPr>
        <w:t>1,77</w:t>
      </w:r>
      <w:r w:rsidRPr="00B10D0F">
        <w:rPr>
          <w:rFonts w:ascii="Arial" w:eastAsia="Times New Roman" w:hAnsi="Arial" w:cs="Arial"/>
          <w:color w:val="000000" w:themeColor="text1"/>
          <w:sz w:val="20"/>
          <w:szCs w:val="20"/>
        </w:rPr>
        <w:t>%).</w:t>
      </w:r>
    </w:p>
    <w:p w14:paraId="17A953A2" w14:textId="28CB4385" w:rsidR="00DC1558" w:rsidRPr="00B10D0F" w:rsidRDefault="00DC1558" w:rsidP="00DC1558">
      <w:pPr>
        <w:keepNext/>
        <w:suppressAutoHyphens/>
        <w:autoSpaceDN w:val="0"/>
        <w:jc w:val="both"/>
        <w:outlineLvl w:val="0"/>
        <w:rPr>
          <w:rFonts w:ascii="Arial" w:eastAsia="Times New Roman" w:hAnsi="Arial" w:cs="Arial"/>
          <w:color w:val="000000" w:themeColor="text1"/>
          <w:sz w:val="20"/>
          <w:szCs w:val="20"/>
        </w:rPr>
      </w:pPr>
      <w:r w:rsidRPr="00B10D0F">
        <w:rPr>
          <w:rFonts w:ascii="Arial" w:eastAsia="Times New Roman" w:hAnsi="Arial" w:cs="Arial"/>
          <w:color w:val="000000" w:themeColor="text1"/>
          <w:sz w:val="20"/>
          <w:szCs w:val="20"/>
        </w:rPr>
        <w:t>Prosječne kamatne stope odražavaju omjer kamatnih prihoda na navedene plasmane i prosječne imovine.</w:t>
      </w:r>
    </w:p>
    <w:p w14:paraId="18EA09D7" w14:textId="0542EDD0" w:rsidR="00DC1558" w:rsidRPr="00B10D0F" w:rsidRDefault="00DC1558" w:rsidP="00DC1558">
      <w:pPr>
        <w:keepNext/>
        <w:suppressAutoHyphens/>
        <w:autoSpaceDN w:val="0"/>
        <w:jc w:val="both"/>
        <w:outlineLvl w:val="0"/>
        <w:rPr>
          <w:rFonts w:ascii="Arial" w:eastAsia="Times New Roman" w:hAnsi="Arial" w:cs="Arial"/>
          <w:color w:val="000000" w:themeColor="text1"/>
          <w:sz w:val="20"/>
          <w:szCs w:val="20"/>
        </w:rPr>
      </w:pPr>
    </w:p>
    <w:p w14:paraId="6EDA7D81" w14:textId="722F9BE1" w:rsidR="00DB5481" w:rsidRPr="00DB5481" w:rsidRDefault="00DB5481" w:rsidP="00DB5481">
      <w:pPr>
        <w:jc w:val="both"/>
        <w:rPr>
          <w:rFonts w:ascii="Arial" w:eastAsia="Times New Roman" w:hAnsi="Arial" w:cs="Arial"/>
          <w:color w:val="000000"/>
          <w:sz w:val="20"/>
          <w:szCs w:val="20"/>
          <w:lang w:eastAsia="hr-HR"/>
        </w:rPr>
      </w:pPr>
      <w:r w:rsidRPr="005D1219">
        <w:rPr>
          <w:rFonts w:ascii="Arial" w:eastAsia="Times New Roman" w:hAnsi="Arial" w:cs="Arial"/>
          <w:color w:val="000000"/>
          <w:sz w:val="20"/>
          <w:szCs w:val="20"/>
          <w:lang w:eastAsia="hr-HR"/>
        </w:rPr>
        <w:t>Stavka „Ostalo“ sadrži obrnute repo plasmane u ukupnom iznosu 5.</w:t>
      </w:r>
      <w:r w:rsidR="00664343">
        <w:rPr>
          <w:rFonts w:ascii="Arial" w:eastAsia="Times New Roman" w:hAnsi="Arial" w:cs="Arial"/>
          <w:color w:val="000000"/>
          <w:sz w:val="20"/>
          <w:szCs w:val="20"/>
          <w:lang w:eastAsia="hr-HR"/>
        </w:rPr>
        <w:t>520</w:t>
      </w:r>
      <w:r w:rsidRPr="005D1219">
        <w:rPr>
          <w:rFonts w:ascii="Arial" w:eastAsia="Times New Roman" w:hAnsi="Arial" w:cs="Arial"/>
          <w:color w:val="000000"/>
          <w:sz w:val="20"/>
          <w:szCs w:val="20"/>
          <w:lang w:eastAsia="hr-HR"/>
        </w:rPr>
        <w:t xml:space="preserve"> tisuća eura (31. prosinca 202</w:t>
      </w:r>
      <w:r w:rsidR="00664343">
        <w:rPr>
          <w:rFonts w:ascii="Arial" w:eastAsia="Times New Roman" w:hAnsi="Arial" w:cs="Arial"/>
          <w:color w:val="000000"/>
          <w:sz w:val="20"/>
          <w:szCs w:val="20"/>
          <w:lang w:eastAsia="hr-HR"/>
        </w:rPr>
        <w:t>3</w:t>
      </w:r>
      <w:r w:rsidRPr="005D1219">
        <w:rPr>
          <w:rFonts w:ascii="Arial" w:eastAsia="Times New Roman" w:hAnsi="Arial" w:cs="Arial"/>
          <w:color w:val="000000"/>
          <w:sz w:val="20"/>
          <w:szCs w:val="20"/>
          <w:lang w:eastAsia="hr-HR"/>
        </w:rPr>
        <w:t>. godine: 0  tisuća eura). Ovi su plasmani osigurani vrijednosnim papirima u iznosu od 5.</w:t>
      </w:r>
      <w:r w:rsidR="00664343">
        <w:rPr>
          <w:rFonts w:ascii="Arial" w:eastAsia="Times New Roman" w:hAnsi="Arial" w:cs="Arial"/>
          <w:color w:val="000000"/>
          <w:sz w:val="20"/>
          <w:szCs w:val="20"/>
          <w:lang w:eastAsia="hr-HR"/>
        </w:rPr>
        <w:t>933</w:t>
      </w:r>
      <w:r w:rsidRPr="005D1219">
        <w:rPr>
          <w:rFonts w:ascii="Arial" w:eastAsia="Times New Roman" w:hAnsi="Arial" w:cs="Arial"/>
          <w:color w:val="000000"/>
          <w:sz w:val="20"/>
          <w:szCs w:val="20"/>
          <w:lang w:eastAsia="hr-HR"/>
        </w:rPr>
        <w:t xml:space="preserve"> tisuća eura (31. prosinca 202</w:t>
      </w:r>
      <w:r w:rsidR="00664343">
        <w:rPr>
          <w:rFonts w:ascii="Arial" w:eastAsia="Times New Roman" w:hAnsi="Arial" w:cs="Arial"/>
          <w:color w:val="000000"/>
          <w:sz w:val="20"/>
          <w:szCs w:val="20"/>
          <w:lang w:eastAsia="hr-HR"/>
        </w:rPr>
        <w:t>3</w:t>
      </w:r>
      <w:r w:rsidRPr="005D1219">
        <w:rPr>
          <w:rFonts w:ascii="Arial" w:eastAsia="Times New Roman" w:hAnsi="Arial" w:cs="Arial"/>
          <w:color w:val="000000"/>
          <w:sz w:val="20"/>
          <w:szCs w:val="20"/>
          <w:lang w:eastAsia="hr-HR"/>
        </w:rPr>
        <w:t>. godine: 0 tisuća eura).</w:t>
      </w:r>
    </w:p>
    <w:p w14:paraId="5CDF2F4F" w14:textId="64480168" w:rsidR="00DB5481" w:rsidRPr="003D1614" w:rsidRDefault="00DB5481" w:rsidP="00DC1558">
      <w:pPr>
        <w:keepNext/>
        <w:suppressAutoHyphens/>
        <w:autoSpaceDN w:val="0"/>
        <w:jc w:val="both"/>
        <w:outlineLvl w:val="0"/>
        <w:rPr>
          <w:rFonts w:ascii="Arial" w:eastAsia="Times New Roman" w:hAnsi="Arial" w:cs="Arial"/>
          <w:color w:val="000000" w:themeColor="text1"/>
          <w:sz w:val="20"/>
          <w:szCs w:val="20"/>
        </w:rPr>
        <w:sectPr w:rsidR="00DB5481" w:rsidRPr="003D1614">
          <w:pgSz w:w="11906" w:h="16838"/>
          <w:pgMar w:top="1417" w:right="1417" w:bottom="1417" w:left="1417" w:header="708" w:footer="708" w:gutter="0"/>
          <w:cols w:space="708"/>
          <w:docGrid w:linePitch="360"/>
        </w:sectPr>
      </w:pPr>
    </w:p>
    <w:p w14:paraId="55B77043" w14:textId="77777777" w:rsidR="00DC1558" w:rsidRPr="003D1614" w:rsidRDefault="00DC1558" w:rsidP="00DC1558">
      <w:pPr>
        <w:tabs>
          <w:tab w:val="left" w:pos="567"/>
        </w:tabs>
        <w:suppressAutoHyphens/>
        <w:autoSpaceDN w:val="0"/>
        <w:jc w:val="both"/>
        <w:outlineLvl w:val="0"/>
        <w:rPr>
          <w:rFonts w:ascii="Arial" w:eastAsia="Times New Roman" w:hAnsi="Arial" w:cs="Arial"/>
          <w:b/>
          <w:bCs/>
          <w:color w:val="000000" w:themeColor="text1"/>
          <w:sz w:val="20"/>
          <w:szCs w:val="20"/>
        </w:rPr>
      </w:pPr>
    </w:p>
    <w:p w14:paraId="4C3FDC31" w14:textId="1C325806" w:rsidR="00DC1558" w:rsidRPr="003D1614" w:rsidRDefault="00DC1558" w:rsidP="00DC1558">
      <w:pPr>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 </w:t>
      </w:r>
      <w:r w:rsidRPr="003D1614">
        <w:rPr>
          <w:rFonts w:ascii="Arial" w:eastAsia="Times New Roman" w:hAnsi="Arial" w:cs="Arial"/>
          <w:b/>
          <w:bCs/>
          <w:color w:val="000000" w:themeColor="text1"/>
          <w:sz w:val="20"/>
          <w:szCs w:val="20"/>
        </w:rPr>
        <w:tab/>
        <w:t>Financijska imovina po fer vrijednosti kroz dobit ili gubitak</w:t>
      </w:r>
    </w:p>
    <w:p w14:paraId="48EF286E" w14:textId="77777777" w:rsidR="00DC1558" w:rsidRPr="003D1614" w:rsidRDefault="00DC1558" w:rsidP="00DC1558">
      <w:pPr>
        <w:suppressAutoHyphens/>
        <w:autoSpaceDN w:val="0"/>
        <w:jc w:val="both"/>
        <w:outlineLvl w:val="0"/>
        <w:rPr>
          <w:rFonts w:ascii="Arial" w:eastAsia="Times New Roman" w:hAnsi="Arial" w:cs="Arial"/>
          <w:b/>
          <w:bCs/>
          <w:color w:val="000000" w:themeColor="text1"/>
          <w:sz w:val="20"/>
          <w:szCs w:val="20"/>
        </w:rPr>
      </w:pPr>
    </w:p>
    <w:tbl>
      <w:tblPr>
        <w:tblW w:w="9142" w:type="dxa"/>
        <w:tblLook w:val="04A0" w:firstRow="1" w:lastRow="0" w:firstColumn="1" w:lastColumn="0" w:noHBand="0" w:noVBand="1"/>
      </w:tblPr>
      <w:tblGrid>
        <w:gridCol w:w="5545"/>
        <w:gridCol w:w="1798"/>
        <w:gridCol w:w="1799"/>
      </w:tblGrid>
      <w:tr w:rsidR="00DC1558" w:rsidRPr="00931D2F" w14:paraId="0B1A0D01" w14:textId="77777777" w:rsidTr="00737443">
        <w:trPr>
          <w:trHeight w:val="305"/>
        </w:trPr>
        <w:tc>
          <w:tcPr>
            <w:tcW w:w="5545" w:type="dxa"/>
            <w:tcBorders>
              <w:top w:val="nil"/>
              <w:left w:val="nil"/>
              <w:bottom w:val="nil"/>
              <w:right w:val="nil"/>
            </w:tcBorders>
            <w:shd w:val="clear" w:color="auto" w:fill="auto"/>
            <w:vAlign w:val="bottom"/>
            <w:hideMark/>
          </w:tcPr>
          <w:p w14:paraId="19EEDBA1" w14:textId="77777777" w:rsidR="00DC1558" w:rsidRPr="00931D2F" w:rsidRDefault="00DC1558" w:rsidP="00DC1558">
            <w:pPr>
              <w:suppressAutoHyphens/>
              <w:autoSpaceDN w:val="0"/>
              <w:rPr>
                <w:rFonts w:ascii="Arial" w:eastAsia="Calibri" w:hAnsi="Arial" w:cs="Arial"/>
                <w:color w:val="000000" w:themeColor="text1"/>
                <w:sz w:val="20"/>
                <w:szCs w:val="20"/>
              </w:rPr>
            </w:pPr>
            <w:bookmarkStart w:id="407" w:name="RANGE!A3"/>
            <w:bookmarkEnd w:id="407"/>
          </w:p>
        </w:tc>
        <w:tc>
          <w:tcPr>
            <w:tcW w:w="3597" w:type="dxa"/>
            <w:gridSpan w:val="2"/>
            <w:tcBorders>
              <w:top w:val="nil"/>
              <w:left w:val="nil"/>
              <w:bottom w:val="nil"/>
              <w:right w:val="nil"/>
            </w:tcBorders>
            <w:shd w:val="clear" w:color="auto" w:fill="auto"/>
            <w:vAlign w:val="bottom"/>
            <w:hideMark/>
          </w:tcPr>
          <w:p w14:paraId="7B6C76E4" w14:textId="77777777" w:rsidR="00DC1558" w:rsidRPr="00931D2F" w:rsidRDefault="00DC1558" w:rsidP="00DC1558">
            <w:pPr>
              <w:suppressAutoHyphens/>
              <w:autoSpaceDN w:val="0"/>
              <w:jc w:val="right"/>
              <w:rPr>
                <w:rFonts w:ascii="Arial" w:eastAsia="Calibri" w:hAnsi="Arial" w:cs="Arial"/>
                <w:b/>
                <w:bCs/>
                <w:color w:val="000000" w:themeColor="text1"/>
                <w:sz w:val="20"/>
                <w:szCs w:val="20"/>
              </w:rPr>
            </w:pPr>
            <w:r w:rsidRPr="00931D2F">
              <w:rPr>
                <w:rFonts w:ascii="Arial" w:eastAsia="Calibri" w:hAnsi="Arial" w:cs="Arial"/>
                <w:b/>
                <w:bCs/>
                <w:color w:val="000000" w:themeColor="text1"/>
                <w:sz w:val="20"/>
                <w:szCs w:val="20"/>
              </w:rPr>
              <w:t>Grupa i Banka</w:t>
            </w:r>
          </w:p>
        </w:tc>
      </w:tr>
      <w:tr w:rsidR="00DC1558" w:rsidRPr="00931D2F" w14:paraId="6E848866" w14:textId="77777777" w:rsidTr="00931D2F">
        <w:trPr>
          <w:trHeight w:val="305"/>
        </w:trPr>
        <w:tc>
          <w:tcPr>
            <w:tcW w:w="5545" w:type="dxa"/>
            <w:tcBorders>
              <w:top w:val="nil"/>
              <w:left w:val="nil"/>
              <w:bottom w:val="nil"/>
              <w:right w:val="nil"/>
            </w:tcBorders>
            <w:shd w:val="clear" w:color="auto" w:fill="auto"/>
            <w:vAlign w:val="bottom"/>
            <w:hideMark/>
          </w:tcPr>
          <w:p w14:paraId="0171A2BA" w14:textId="77777777" w:rsidR="00DC1558" w:rsidRPr="00931D2F" w:rsidRDefault="00DC1558" w:rsidP="00DC1558">
            <w:pPr>
              <w:suppressAutoHyphens/>
              <w:autoSpaceDN w:val="0"/>
              <w:jc w:val="right"/>
              <w:rPr>
                <w:rFonts w:ascii="Arial" w:eastAsia="Calibri" w:hAnsi="Arial" w:cs="Arial"/>
                <w:b/>
                <w:bCs/>
                <w:color w:val="000000" w:themeColor="text1"/>
                <w:sz w:val="20"/>
                <w:szCs w:val="20"/>
              </w:rPr>
            </w:pPr>
          </w:p>
        </w:tc>
        <w:tc>
          <w:tcPr>
            <w:tcW w:w="1798" w:type="dxa"/>
            <w:tcBorders>
              <w:top w:val="nil"/>
              <w:left w:val="nil"/>
              <w:bottom w:val="nil"/>
              <w:right w:val="nil"/>
            </w:tcBorders>
            <w:shd w:val="clear" w:color="auto" w:fill="auto"/>
            <w:vAlign w:val="bottom"/>
            <w:hideMark/>
          </w:tcPr>
          <w:p w14:paraId="4986FE30" w14:textId="77777777" w:rsidR="00737443" w:rsidRPr="00931D2F" w:rsidRDefault="00DC1558" w:rsidP="00DC1558">
            <w:pPr>
              <w:suppressAutoHyphens/>
              <w:autoSpaceDN w:val="0"/>
              <w:jc w:val="right"/>
              <w:rPr>
                <w:rFonts w:ascii="Arial" w:eastAsia="Calibri" w:hAnsi="Arial" w:cs="Arial"/>
                <w:b/>
                <w:bCs/>
                <w:color w:val="000000" w:themeColor="text1"/>
                <w:sz w:val="20"/>
                <w:szCs w:val="20"/>
              </w:rPr>
            </w:pPr>
            <w:r w:rsidRPr="00931D2F">
              <w:rPr>
                <w:rFonts w:ascii="Arial" w:eastAsia="Calibri" w:hAnsi="Arial" w:cs="Arial"/>
                <w:b/>
                <w:bCs/>
                <w:color w:val="000000" w:themeColor="text1"/>
                <w:sz w:val="20"/>
                <w:szCs w:val="20"/>
              </w:rPr>
              <w:t xml:space="preserve">31. ožujka </w:t>
            </w:r>
          </w:p>
          <w:p w14:paraId="7F7C785B" w14:textId="54E4BCB6" w:rsidR="00DC1558" w:rsidRPr="00931D2F" w:rsidRDefault="00DC1558" w:rsidP="00DC1558">
            <w:pPr>
              <w:suppressAutoHyphens/>
              <w:autoSpaceDN w:val="0"/>
              <w:jc w:val="right"/>
              <w:rPr>
                <w:rFonts w:ascii="Arial" w:eastAsia="Calibri" w:hAnsi="Arial" w:cs="Arial"/>
                <w:b/>
                <w:bCs/>
                <w:color w:val="000000" w:themeColor="text1"/>
                <w:sz w:val="20"/>
                <w:szCs w:val="20"/>
              </w:rPr>
            </w:pPr>
            <w:r w:rsidRPr="00931D2F">
              <w:rPr>
                <w:rFonts w:ascii="Arial" w:eastAsia="Calibri" w:hAnsi="Arial" w:cs="Arial"/>
                <w:b/>
                <w:bCs/>
                <w:color w:val="000000" w:themeColor="text1"/>
                <w:sz w:val="20"/>
                <w:szCs w:val="20"/>
              </w:rPr>
              <w:t>202</w:t>
            </w:r>
            <w:r w:rsidR="00936516">
              <w:rPr>
                <w:rFonts w:ascii="Arial" w:eastAsia="Calibri" w:hAnsi="Arial" w:cs="Arial"/>
                <w:b/>
                <w:bCs/>
                <w:color w:val="000000" w:themeColor="text1"/>
                <w:sz w:val="20"/>
                <w:szCs w:val="20"/>
              </w:rPr>
              <w:t>4</w:t>
            </w:r>
            <w:r w:rsidRPr="00931D2F">
              <w:rPr>
                <w:rFonts w:ascii="Arial" w:eastAsia="Calibri" w:hAnsi="Arial" w:cs="Arial"/>
                <w:b/>
                <w:bCs/>
                <w:color w:val="000000" w:themeColor="text1"/>
                <w:sz w:val="20"/>
                <w:szCs w:val="20"/>
              </w:rPr>
              <w:t>.</w:t>
            </w:r>
          </w:p>
        </w:tc>
        <w:tc>
          <w:tcPr>
            <w:tcW w:w="1799" w:type="dxa"/>
            <w:tcBorders>
              <w:top w:val="nil"/>
              <w:left w:val="nil"/>
              <w:bottom w:val="nil"/>
              <w:right w:val="nil"/>
            </w:tcBorders>
            <w:shd w:val="clear" w:color="auto" w:fill="auto"/>
            <w:vAlign w:val="bottom"/>
            <w:hideMark/>
          </w:tcPr>
          <w:p w14:paraId="65224381" w14:textId="42E6B122" w:rsidR="00DC1558" w:rsidRPr="00931D2F" w:rsidRDefault="00DC1558" w:rsidP="00DC1558">
            <w:pPr>
              <w:suppressAutoHyphens/>
              <w:autoSpaceDN w:val="0"/>
              <w:jc w:val="right"/>
              <w:rPr>
                <w:rFonts w:ascii="Arial" w:eastAsia="Calibri" w:hAnsi="Arial" w:cs="Arial"/>
                <w:b/>
                <w:bCs/>
                <w:color w:val="000000" w:themeColor="text1"/>
                <w:sz w:val="20"/>
                <w:szCs w:val="20"/>
              </w:rPr>
            </w:pPr>
            <w:r w:rsidRPr="00931D2F">
              <w:rPr>
                <w:rFonts w:ascii="Arial" w:eastAsia="Calibri" w:hAnsi="Arial" w:cs="Arial"/>
                <w:b/>
                <w:bCs/>
                <w:color w:val="000000" w:themeColor="text1"/>
                <w:sz w:val="20"/>
                <w:szCs w:val="20"/>
              </w:rPr>
              <w:t>31. prosinca 202</w:t>
            </w:r>
            <w:r w:rsidR="00936516">
              <w:rPr>
                <w:rFonts w:ascii="Arial" w:eastAsia="Calibri" w:hAnsi="Arial" w:cs="Arial"/>
                <w:b/>
                <w:bCs/>
                <w:color w:val="000000" w:themeColor="text1"/>
                <w:sz w:val="20"/>
                <w:szCs w:val="20"/>
              </w:rPr>
              <w:t>3</w:t>
            </w:r>
            <w:r w:rsidRPr="00931D2F">
              <w:rPr>
                <w:rFonts w:ascii="Arial" w:eastAsia="Calibri" w:hAnsi="Arial" w:cs="Arial"/>
                <w:b/>
                <w:bCs/>
                <w:color w:val="000000" w:themeColor="text1"/>
                <w:sz w:val="20"/>
                <w:szCs w:val="20"/>
              </w:rPr>
              <w:t>.</w:t>
            </w:r>
          </w:p>
        </w:tc>
      </w:tr>
      <w:tr w:rsidR="00DC1558" w:rsidRPr="00931D2F" w14:paraId="67FEDF96" w14:textId="77777777" w:rsidTr="00931D2F">
        <w:trPr>
          <w:trHeight w:val="305"/>
        </w:trPr>
        <w:tc>
          <w:tcPr>
            <w:tcW w:w="5545" w:type="dxa"/>
            <w:tcBorders>
              <w:top w:val="nil"/>
              <w:left w:val="nil"/>
              <w:bottom w:val="nil"/>
              <w:right w:val="nil"/>
            </w:tcBorders>
            <w:shd w:val="clear" w:color="auto" w:fill="auto"/>
            <w:vAlign w:val="bottom"/>
            <w:hideMark/>
          </w:tcPr>
          <w:p w14:paraId="6D719768" w14:textId="77777777" w:rsidR="00DC1558" w:rsidRPr="00931D2F" w:rsidRDefault="00DC1558" w:rsidP="00DC1558">
            <w:pPr>
              <w:suppressAutoHyphens/>
              <w:autoSpaceDN w:val="0"/>
              <w:jc w:val="right"/>
              <w:rPr>
                <w:rFonts w:ascii="Arial" w:eastAsia="Calibri" w:hAnsi="Arial" w:cs="Arial"/>
                <w:b/>
                <w:bCs/>
                <w:color w:val="000000" w:themeColor="text1"/>
                <w:sz w:val="20"/>
                <w:szCs w:val="20"/>
              </w:rPr>
            </w:pPr>
          </w:p>
        </w:tc>
        <w:tc>
          <w:tcPr>
            <w:tcW w:w="1798" w:type="dxa"/>
            <w:tcBorders>
              <w:top w:val="nil"/>
              <w:left w:val="nil"/>
              <w:bottom w:val="nil"/>
              <w:right w:val="nil"/>
            </w:tcBorders>
            <w:shd w:val="clear" w:color="auto" w:fill="auto"/>
            <w:vAlign w:val="bottom"/>
            <w:hideMark/>
          </w:tcPr>
          <w:p w14:paraId="39CA4F6B" w14:textId="421D6957" w:rsidR="00DC1558" w:rsidRPr="00931D2F" w:rsidRDefault="00DC1558" w:rsidP="00DC1558">
            <w:pPr>
              <w:suppressAutoHyphens/>
              <w:autoSpaceDN w:val="0"/>
              <w:jc w:val="right"/>
              <w:rPr>
                <w:rFonts w:ascii="Arial" w:eastAsia="Calibri" w:hAnsi="Arial" w:cs="Arial"/>
                <w:b/>
                <w:bCs/>
                <w:color w:val="000000" w:themeColor="text1"/>
                <w:sz w:val="20"/>
                <w:szCs w:val="20"/>
              </w:rPr>
            </w:pPr>
            <w:r w:rsidRPr="00931D2F">
              <w:rPr>
                <w:rFonts w:ascii="Arial" w:eastAsia="Calibri" w:hAnsi="Arial" w:cs="Arial"/>
                <w:b/>
                <w:bCs/>
                <w:color w:val="000000" w:themeColor="text1"/>
                <w:sz w:val="20"/>
                <w:szCs w:val="20"/>
              </w:rPr>
              <w:t xml:space="preserve">000 </w:t>
            </w:r>
            <w:r w:rsidR="001B247D" w:rsidRPr="00931D2F">
              <w:rPr>
                <w:rFonts w:ascii="Arial" w:eastAsia="Calibri" w:hAnsi="Arial" w:cs="Arial"/>
                <w:b/>
                <w:bCs/>
                <w:color w:val="000000" w:themeColor="text1"/>
                <w:sz w:val="20"/>
                <w:szCs w:val="20"/>
              </w:rPr>
              <w:t>eura</w:t>
            </w:r>
          </w:p>
        </w:tc>
        <w:tc>
          <w:tcPr>
            <w:tcW w:w="1799" w:type="dxa"/>
            <w:tcBorders>
              <w:top w:val="nil"/>
              <w:left w:val="nil"/>
              <w:bottom w:val="nil"/>
              <w:right w:val="nil"/>
            </w:tcBorders>
            <w:shd w:val="clear" w:color="auto" w:fill="auto"/>
            <w:vAlign w:val="bottom"/>
            <w:hideMark/>
          </w:tcPr>
          <w:p w14:paraId="21557F3C" w14:textId="4343BE88" w:rsidR="00DC1558" w:rsidRPr="00931D2F" w:rsidRDefault="00DC1558" w:rsidP="00DC1558">
            <w:pPr>
              <w:suppressAutoHyphens/>
              <w:autoSpaceDN w:val="0"/>
              <w:jc w:val="right"/>
              <w:rPr>
                <w:rFonts w:ascii="Arial" w:eastAsia="Calibri" w:hAnsi="Arial" w:cs="Arial"/>
                <w:b/>
                <w:bCs/>
                <w:color w:val="000000" w:themeColor="text1"/>
                <w:sz w:val="20"/>
                <w:szCs w:val="20"/>
              </w:rPr>
            </w:pPr>
            <w:r w:rsidRPr="00931D2F">
              <w:rPr>
                <w:rFonts w:ascii="Arial" w:eastAsia="Calibri" w:hAnsi="Arial" w:cs="Arial"/>
                <w:b/>
                <w:bCs/>
                <w:color w:val="000000" w:themeColor="text1"/>
                <w:sz w:val="20"/>
                <w:szCs w:val="20"/>
              </w:rPr>
              <w:t xml:space="preserve">000 </w:t>
            </w:r>
            <w:r w:rsidR="001B247D" w:rsidRPr="00931D2F">
              <w:rPr>
                <w:rFonts w:ascii="Arial" w:eastAsia="Calibri" w:hAnsi="Arial" w:cs="Arial"/>
                <w:b/>
                <w:bCs/>
                <w:color w:val="000000" w:themeColor="text1"/>
                <w:sz w:val="20"/>
                <w:szCs w:val="20"/>
              </w:rPr>
              <w:t>eura</w:t>
            </w:r>
          </w:p>
        </w:tc>
      </w:tr>
      <w:tr w:rsidR="00DC1558" w:rsidRPr="00931D2F" w14:paraId="3366CE91" w14:textId="77777777" w:rsidTr="00931D2F">
        <w:trPr>
          <w:trHeight w:val="305"/>
        </w:trPr>
        <w:tc>
          <w:tcPr>
            <w:tcW w:w="5545" w:type="dxa"/>
            <w:tcBorders>
              <w:top w:val="nil"/>
              <w:left w:val="nil"/>
              <w:bottom w:val="nil"/>
              <w:right w:val="nil"/>
            </w:tcBorders>
            <w:shd w:val="clear" w:color="auto" w:fill="auto"/>
            <w:vAlign w:val="bottom"/>
            <w:hideMark/>
          </w:tcPr>
          <w:p w14:paraId="37D45F93" w14:textId="77777777" w:rsidR="00DC1558" w:rsidRPr="00931D2F" w:rsidRDefault="00DC1558" w:rsidP="00DC1558">
            <w:pPr>
              <w:suppressAutoHyphens/>
              <w:autoSpaceDN w:val="0"/>
              <w:rPr>
                <w:rFonts w:ascii="Arial" w:eastAsia="Calibri" w:hAnsi="Arial" w:cs="Arial"/>
                <w:b/>
                <w:bCs/>
                <w:i/>
                <w:iCs/>
                <w:color w:val="000000" w:themeColor="text1"/>
                <w:sz w:val="20"/>
                <w:szCs w:val="20"/>
              </w:rPr>
            </w:pPr>
            <w:r w:rsidRPr="00931D2F">
              <w:rPr>
                <w:rFonts w:ascii="Arial" w:eastAsia="Calibri" w:hAnsi="Arial" w:cs="Arial"/>
                <w:b/>
                <w:bCs/>
                <w:i/>
                <w:iCs/>
                <w:color w:val="000000" w:themeColor="text1"/>
                <w:sz w:val="20"/>
                <w:szCs w:val="20"/>
              </w:rPr>
              <w:t>Krediti po FVRDG:</w:t>
            </w:r>
          </w:p>
        </w:tc>
        <w:tc>
          <w:tcPr>
            <w:tcW w:w="1798" w:type="dxa"/>
            <w:tcBorders>
              <w:top w:val="nil"/>
              <w:left w:val="nil"/>
              <w:bottom w:val="nil"/>
              <w:right w:val="nil"/>
            </w:tcBorders>
            <w:shd w:val="clear" w:color="auto" w:fill="auto"/>
            <w:vAlign w:val="bottom"/>
            <w:hideMark/>
          </w:tcPr>
          <w:p w14:paraId="69635B53" w14:textId="77777777" w:rsidR="00DC1558" w:rsidRPr="00931D2F" w:rsidRDefault="00DC1558" w:rsidP="00DC1558">
            <w:pPr>
              <w:suppressAutoHyphens/>
              <w:autoSpaceDN w:val="0"/>
              <w:jc w:val="right"/>
              <w:rPr>
                <w:rFonts w:ascii="Arial" w:eastAsia="Calibri" w:hAnsi="Arial" w:cs="Arial"/>
                <w:color w:val="000000" w:themeColor="text1"/>
                <w:sz w:val="20"/>
                <w:szCs w:val="20"/>
              </w:rPr>
            </w:pPr>
          </w:p>
        </w:tc>
        <w:tc>
          <w:tcPr>
            <w:tcW w:w="1799" w:type="dxa"/>
            <w:tcBorders>
              <w:top w:val="nil"/>
              <w:left w:val="nil"/>
              <w:bottom w:val="nil"/>
              <w:right w:val="nil"/>
            </w:tcBorders>
            <w:shd w:val="clear" w:color="auto" w:fill="auto"/>
            <w:vAlign w:val="bottom"/>
            <w:hideMark/>
          </w:tcPr>
          <w:p w14:paraId="23B35F96" w14:textId="77777777" w:rsidR="00DC1558" w:rsidRPr="00931D2F" w:rsidRDefault="00DC1558" w:rsidP="00DC1558">
            <w:pPr>
              <w:suppressAutoHyphens/>
              <w:autoSpaceDN w:val="0"/>
              <w:jc w:val="right"/>
              <w:rPr>
                <w:rFonts w:ascii="Arial" w:eastAsia="Calibri" w:hAnsi="Arial" w:cs="Arial"/>
                <w:color w:val="000000" w:themeColor="text1"/>
                <w:sz w:val="20"/>
                <w:szCs w:val="20"/>
              </w:rPr>
            </w:pPr>
          </w:p>
        </w:tc>
      </w:tr>
      <w:tr w:rsidR="001F7BAB" w:rsidRPr="00931D2F" w14:paraId="7D8ADFEB" w14:textId="77777777" w:rsidTr="00931D2F">
        <w:trPr>
          <w:trHeight w:val="305"/>
        </w:trPr>
        <w:tc>
          <w:tcPr>
            <w:tcW w:w="5545" w:type="dxa"/>
            <w:tcBorders>
              <w:top w:val="nil"/>
              <w:left w:val="nil"/>
              <w:bottom w:val="nil"/>
              <w:right w:val="nil"/>
            </w:tcBorders>
            <w:shd w:val="clear" w:color="auto" w:fill="auto"/>
            <w:vAlign w:val="bottom"/>
            <w:hideMark/>
          </w:tcPr>
          <w:p w14:paraId="0A0F58AF" w14:textId="77777777" w:rsidR="001F7BAB" w:rsidRPr="00931D2F" w:rsidRDefault="001F7BAB" w:rsidP="001F7BAB">
            <w:pPr>
              <w:suppressAutoHyphens/>
              <w:autoSpaceDN w:val="0"/>
              <w:rPr>
                <w:rFonts w:ascii="Arial" w:eastAsia="Calibri" w:hAnsi="Arial" w:cs="Arial"/>
                <w:color w:val="000000" w:themeColor="text1"/>
                <w:sz w:val="20"/>
                <w:szCs w:val="20"/>
              </w:rPr>
            </w:pPr>
            <w:proofErr w:type="spellStart"/>
            <w:r w:rsidRPr="00931D2F">
              <w:rPr>
                <w:rFonts w:ascii="Arial" w:eastAsia="Calibri" w:hAnsi="Arial" w:cs="Arial"/>
                <w:color w:val="000000" w:themeColor="text1"/>
                <w:sz w:val="20"/>
                <w:szCs w:val="20"/>
              </w:rPr>
              <w:t>Mezzanine</w:t>
            </w:r>
            <w:proofErr w:type="spellEnd"/>
            <w:r w:rsidRPr="00931D2F">
              <w:rPr>
                <w:rFonts w:ascii="Arial" w:eastAsia="Calibri" w:hAnsi="Arial" w:cs="Arial"/>
                <w:color w:val="000000" w:themeColor="text1"/>
                <w:sz w:val="20"/>
                <w:szCs w:val="20"/>
              </w:rPr>
              <w:t xml:space="preserve"> krediti</w:t>
            </w:r>
          </w:p>
        </w:tc>
        <w:tc>
          <w:tcPr>
            <w:tcW w:w="1798" w:type="dxa"/>
            <w:tcBorders>
              <w:top w:val="nil"/>
              <w:left w:val="nil"/>
              <w:bottom w:val="nil"/>
              <w:right w:val="nil"/>
            </w:tcBorders>
            <w:shd w:val="clear" w:color="auto" w:fill="auto"/>
            <w:vAlign w:val="bottom"/>
          </w:tcPr>
          <w:p w14:paraId="09C9FA68" w14:textId="6D2A5481" w:rsidR="001F7BAB" w:rsidRPr="00931D2F" w:rsidRDefault="00FD4B35" w:rsidP="001F7BAB">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33.272</w:t>
            </w:r>
          </w:p>
        </w:tc>
        <w:tc>
          <w:tcPr>
            <w:tcW w:w="1799" w:type="dxa"/>
            <w:tcBorders>
              <w:top w:val="nil"/>
              <w:left w:val="nil"/>
              <w:bottom w:val="nil"/>
              <w:right w:val="nil"/>
            </w:tcBorders>
            <w:shd w:val="clear" w:color="auto" w:fill="auto"/>
            <w:vAlign w:val="bottom"/>
          </w:tcPr>
          <w:p w14:paraId="2498308A" w14:textId="7F783D2A" w:rsidR="001F7BAB" w:rsidRPr="00931D2F" w:rsidRDefault="001F7BAB" w:rsidP="001F7BAB">
            <w:pPr>
              <w:suppressAutoHyphens/>
              <w:autoSpaceDN w:val="0"/>
              <w:jc w:val="right"/>
              <w:rPr>
                <w:rFonts w:ascii="Arial" w:eastAsia="Calibri" w:hAnsi="Arial" w:cs="Arial"/>
                <w:color w:val="000000" w:themeColor="text1"/>
                <w:sz w:val="20"/>
                <w:szCs w:val="20"/>
              </w:rPr>
            </w:pPr>
            <w:r w:rsidRPr="0062666D">
              <w:rPr>
                <w:rFonts w:ascii="Arial" w:eastAsia="Calibri" w:hAnsi="Arial" w:cs="Arial"/>
                <w:color w:val="000000" w:themeColor="text1"/>
                <w:sz w:val="20"/>
                <w:szCs w:val="20"/>
              </w:rPr>
              <w:t>33.698</w:t>
            </w:r>
          </w:p>
        </w:tc>
      </w:tr>
      <w:tr w:rsidR="001F7BAB" w:rsidRPr="00931D2F" w14:paraId="7AC64C6C" w14:textId="77777777" w:rsidTr="00931D2F">
        <w:trPr>
          <w:trHeight w:val="305"/>
        </w:trPr>
        <w:tc>
          <w:tcPr>
            <w:tcW w:w="5545" w:type="dxa"/>
            <w:tcBorders>
              <w:top w:val="nil"/>
              <w:left w:val="nil"/>
              <w:bottom w:val="nil"/>
              <w:right w:val="nil"/>
            </w:tcBorders>
            <w:shd w:val="clear" w:color="auto" w:fill="auto"/>
            <w:vAlign w:val="bottom"/>
            <w:hideMark/>
          </w:tcPr>
          <w:p w14:paraId="53BD26A4" w14:textId="77777777" w:rsidR="001F7BAB" w:rsidRPr="00931D2F" w:rsidRDefault="001F7BAB" w:rsidP="001F7BAB">
            <w:pPr>
              <w:suppressAutoHyphens/>
              <w:autoSpaceDN w:val="0"/>
              <w:jc w:val="right"/>
              <w:rPr>
                <w:rFonts w:ascii="Arial" w:eastAsia="Calibri" w:hAnsi="Arial" w:cs="Arial"/>
                <w:color w:val="000000" w:themeColor="text1"/>
                <w:sz w:val="20"/>
                <w:szCs w:val="20"/>
              </w:rPr>
            </w:pPr>
          </w:p>
        </w:tc>
        <w:tc>
          <w:tcPr>
            <w:tcW w:w="1798" w:type="dxa"/>
            <w:tcBorders>
              <w:top w:val="single" w:sz="4" w:space="0" w:color="auto"/>
              <w:left w:val="nil"/>
              <w:bottom w:val="single" w:sz="12" w:space="0" w:color="auto"/>
              <w:right w:val="nil"/>
            </w:tcBorders>
            <w:shd w:val="clear" w:color="auto" w:fill="auto"/>
            <w:vAlign w:val="bottom"/>
          </w:tcPr>
          <w:p w14:paraId="1A804D8D" w14:textId="53C6AB38" w:rsidR="001F7BAB" w:rsidRPr="00931D2F" w:rsidRDefault="00FD4B35" w:rsidP="001F7BAB">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33.272</w:t>
            </w:r>
          </w:p>
        </w:tc>
        <w:tc>
          <w:tcPr>
            <w:tcW w:w="1799" w:type="dxa"/>
            <w:tcBorders>
              <w:top w:val="single" w:sz="4" w:space="0" w:color="auto"/>
              <w:left w:val="nil"/>
              <w:bottom w:val="single" w:sz="12" w:space="0" w:color="auto"/>
              <w:right w:val="nil"/>
            </w:tcBorders>
            <w:shd w:val="clear" w:color="auto" w:fill="auto"/>
            <w:vAlign w:val="bottom"/>
          </w:tcPr>
          <w:p w14:paraId="472BEA3F" w14:textId="2CD48795" w:rsidR="001F7BAB" w:rsidRPr="00931D2F" w:rsidRDefault="001F7BAB" w:rsidP="001F7BAB">
            <w:pPr>
              <w:suppressAutoHyphens/>
              <w:autoSpaceDN w:val="0"/>
              <w:jc w:val="right"/>
              <w:rPr>
                <w:rFonts w:ascii="Arial" w:eastAsia="Calibri" w:hAnsi="Arial" w:cs="Arial"/>
                <w:b/>
                <w:bCs/>
                <w:color w:val="000000" w:themeColor="text1"/>
                <w:sz w:val="20"/>
                <w:szCs w:val="20"/>
              </w:rPr>
            </w:pPr>
            <w:r w:rsidRPr="0062666D">
              <w:rPr>
                <w:rFonts w:ascii="Arial" w:eastAsia="Calibri" w:hAnsi="Arial" w:cs="Arial"/>
                <w:b/>
                <w:bCs/>
                <w:color w:val="000000" w:themeColor="text1"/>
                <w:sz w:val="20"/>
                <w:szCs w:val="20"/>
              </w:rPr>
              <w:t>33.698</w:t>
            </w:r>
          </w:p>
        </w:tc>
      </w:tr>
      <w:tr w:rsidR="001F7BAB" w:rsidRPr="00931D2F" w14:paraId="4B613EDB" w14:textId="77777777" w:rsidTr="00931D2F">
        <w:trPr>
          <w:trHeight w:val="305"/>
        </w:trPr>
        <w:tc>
          <w:tcPr>
            <w:tcW w:w="5545" w:type="dxa"/>
            <w:tcBorders>
              <w:top w:val="nil"/>
              <w:left w:val="nil"/>
              <w:bottom w:val="nil"/>
              <w:right w:val="nil"/>
            </w:tcBorders>
            <w:shd w:val="clear" w:color="auto" w:fill="auto"/>
            <w:vAlign w:val="bottom"/>
            <w:hideMark/>
          </w:tcPr>
          <w:p w14:paraId="246ECDC3" w14:textId="77777777" w:rsidR="001F7BAB" w:rsidRPr="00931D2F" w:rsidRDefault="001F7BAB" w:rsidP="001F7BAB">
            <w:pPr>
              <w:suppressAutoHyphens/>
              <w:autoSpaceDN w:val="0"/>
              <w:jc w:val="right"/>
              <w:rPr>
                <w:rFonts w:ascii="Arial" w:eastAsia="Calibri" w:hAnsi="Arial" w:cs="Arial"/>
                <w:b/>
                <w:bCs/>
                <w:color w:val="000000" w:themeColor="text1"/>
                <w:sz w:val="20"/>
                <w:szCs w:val="20"/>
              </w:rPr>
            </w:pPr>
          </w:p>
        </w:tc>
        <w:tc>
          <w:tcPr>
            <w:tcW w:w="1798" w:type="dxa"/>
            <w:tcBorders>
              <w:top w:val="single" w:sz="12" w:space="0" w:color="auto"/>
              <w:left w:val="nil"/>
              <w:bottom w:val="nil"/>
              <w:right w:val="nil"/>
            </w:tcBorders>
            <w:shd w:val="clear" w:color="auto" w:fill="auto"/>
            <w:vAlign w:val="bottom"/>
          </w:tcPr>
          <w:p w14:paraId="49D87580" w14:textId="77777777" w:rsidR="001F7BAB" w:rsidRPr="00931D2F" w:rsidRDefault="001F7BAB" w:rsidP="001F7BAB">
            <w:pPr>
              <w:suppressAutoHyphens/>
              <w:autoSpaceDN w:val="0"/>
              <w:jc w:val="right"/>
              <w:rPr>
                <w:rFonts w:ascii="Arial" w:eastAsia="Calibri" w:hAnsi="Arial" w:cs="Arial"/>
                <w:color w:val="000000" w:themeColor="text1"/>
                <w:sz w:val="20"/>
                <w:szCs w:val="20"/>
              </w:rPr>
            </w:pPr>
          </w:p>
        </w:tc>
        <w:tc>
          <w:tcPr>
            <w:tcW w:w="1799" w:type="dxa"/>
            <w:tcBorders>
              <w:top w:val="single" w:sz="12" w:space="0" w:color="auto"/>
              <w:left w:val="nil"/>
              <w:bottom w:val="nil"/>
              <w:right w:val="nil"/>
            </w:tcBorders>
            <w:shd w:val="clear" w:color="auto" w:fill="auto"/>
            <w:vAlign w:val="bottom"/>
          </w:tcPr>
          <w:p w14:paraId="10208A2B" w14:textId="77777777" w:rsidR="001F7BAB" w:rsidRPr="00931D2F" w:rsidRDefault="001F7BAB" w:rsidP="001F7BAB">
            <w:pPr>
              <w:suppressAutoHyphens/>
              <w:autoSpaceDN w:val="0"/>
              <w:jc w:val="right"/>
              <w:rPr>
                <w:rFonts w:ascii="Arial" w:eastAsia="Calibri" w:hAnsi="Arial" w:cs="Arial"/>
                <w:color w:val="000000" w:themeColor="text1"/>
                <w:sz w:val="20"/>
                <w:szCs w:val="20"/>
              </w:rPr>
            </w:pPr>
          </w:p>
        </w:tc>
      </w:tr>
      <w:tr w:rsidR="001F7BAB" w:rsidRPr="00931D2F" w14:paraId="3CE0BE77" w14:textId="77777777" w:rsidTr="00931D2F">
        <w:trPr>
          <w:trHeight w:val="305"/>
        </w:trPr>
        <w:tc>
          <w:tcPr>
            <w:tcW w:w="5545" w:type="dxa"/>
            <w:tcBorders>
              <w:top w:val="nil"/>
              <w:left w:val="nil"/>
              <w:bottom w:val="nil"/>
              <w:right w:val="nil"/>
            </w:tcBorders>
            <w:shd w:val="clear" w:color="auto" w:fill="auto"/>
            <w:vAlign w:val="bottom"/>
            <w:hideMark/>
          </w:tcPr>
          <w:p w14:paraId="6CB529FA" w14:textId="77777777" w:rsidR="001F7BAB" w:rsidRPr="00931D2F" w:rsidRDefault="001F7BAB" w:rsidP="001F7BAB">
            <w:pPr>
              <w:suppressAutoHyphens/>
              <w:autoSpaceDN w:val="0"/>
              <w:rPr>
                <w:rFonts w:ascii="Arial" w:eastAsia="Calibri" w:hAnsi="Arial" w:cs="Arial"/>
                <w:b/>
                <w:bCs/>
                <w:i/>
                <w:iCs/>
                <w:color w:val="000000" w:themeColor="text1"/>
                <w:sz w:val="20"/>
                <w:szCs w:val="20"/>
              </w:rPr>
            </w:pPr>
            <w:r w:rsidRPr="00931D2F">
              <w:rPr>
                <w:rFonts w:ascii="Arial" w:eastAsia="Calibri" w:hAnsi="Arial" w:cs="Arial"/>
                <w:b/>
                <w:bCs/>
                <w:i/>
                <w:iCs/>
                <w:color w:val="000000" w:themeColor="text1"/>
                <w:sz w:val="20"/>
                <w:szCs w:val="20"/>
              </w:rPr>
              <w:t>Ulaganja u investicijske fondove:</w:t>
            </w:r>
          </w:p>
        </w:tc>
        <w:tc>
          <w:tcPr>
            <w:tcW w:w="1798" w:type="dxa"/>
            <w:tcBorders>
              <w:top w:val="nil"/>
              <w:left w:val="nil"/>
              <w:bottom w:val="nil"/>
              <w:right w:val="nil"/>
            </w:tcBorders>
            <w:shd w:val="clear" w:color="auto" w:fill="auto"/>
            <w:vAlign w:val="bottom"/>
          </w:tcPr>
          <w:p w14:paraId="7D185487" w14:textId="77777777" w:rsidR="001F7BAB" w:rsidRPr="00931D2F" w:rsidRDefault="001F7BAB" w:rsidP="001F7BAB">
            <w:pPr>
              <w:suppressAutoHyphens/>
              <w:autoSpaceDN w:val="0"/>
              <w:jc w:val="right"/>
              <w:rPr>
                <w:rFonts w:ascii="Arial" w:eastAsia="Calibri" w:hAnsi="Arial" w:cs="Arial"/>
                <w:color w:val="000000" w:themeColor="text1"/>
                <w:sz w:val="20"/>
                <w:szCs w:val="20"/>
              </w:rPr>
            </w:pPr>
          </w:p>
        </w:tc>
        <w:tc>
          <w:tcPr>
            <w:tcW w:w="1799" w:type="dxa"/>
            <w:tcBorders>
              <w:top w:val="nil"/>
              <w:left w:val="nil"/>
              <w:bottom w:val="nil"/>
              <w:right w:val="nil"/>
            </w:tcBorders>
            <w:shd w:val="clear" w:color="auto" w:fill="auto"/>
            <w:vAlign w:val="bottom"/>
          </w:tcPr>
          <w:p w14:paraId="296FB0DC" w14:textId="77777777" w:rsidR="001F7BAB" w:rsidRPr="00931D2F" w:rsidRDefault="001F7BAB" w:rsidP="001F7BAB">
            <w:pPr>
              <w:suppressAutoHyphens/>
              <w:autoSpaceDN w:val="0"/>
              <w:jc w:val="right"/>
              <w:rPr>
                <w:rFonts w:ascii="Arial" w:eastAsia="Calibri" w:hAnsi="Arial" w:cs="Arial"/>
                <w:color w:val="000000" w:themeColor="text1"/>
                <w:sz w:val="20"/>
                <w:szCs w:val="20"/>
              </w:rPr>
            </w:pPr>
          </w:p>
        </w:tc>
      </w:tr>
      <w:tr w:rsidR="001F7BAB" w:rsidRPr="00931D2F" w14:paraId="0002EFAA" w14:textId="77777777" w:rsidTr="00931D2F">
        <w:trPr>
          <w:trHeight w:val="335"/>
        </w:trPr>
        <w:tc>
          <w:tcPr>
            <w:tcW w:w="5545" w:type="dxa"/>
            <w:tcBorders>
              <w:top w:val="nil"/>
              <w:left w:val="nil"/>
              <w:bottom w:val="nil"/>
              <w:right w:val="nil"/>
            </w:tcBorders>
            <w:shd w:val="clear" w:color="auto" w:fill="auto"/>
            <w:vAlign w:val="bottom"/>
            <w:hideMark/>
          </w:tcPr>
          <w:p w14:paraId="14F7AD34" w14:textId="77777777" w:rsidR="001F7BAB" w:rsidRPr="00931D2F" w:rsidRDefault="001F7BAB" w:rsidP="001F7BAB">
            <w:pPr>
              <w:suppressAutoHyphens/>
              <w:autoSpaceDN w:val="0"/>
              <w:rPr>
                <w:rFonts w:ascii="Arial" w:eastAsia="Calibri" w:hAnsi="Arial" w:cs="Arial"/>
                <w:color w:val="000000" w:themeColor="text1"/>
                <w:sz w:val="20"/>
                <w:szCs w:val="20"/>
              </w:rPr>
            </w:pPr>
            <w:r w:rsidRPr="00931D2F">
              <w:rPr>
                <w:rFonts w:ascii="Arial" w:eastAsia="Calibri" w:hAnsi="Arial" w:cs="Arial"/>
                <w:color w:val="000000" w:themeColor="text1"/>
                <w:sz w:val="20"/>
                <w:szCs w:val="20"/>
              </w:rPr>
              <w:t>Udjeli u investicijskim fondovima po FVRDG</w:t>
            </w:r>
          </w:p>
        </w:tc>
        <w:tc>
          <w:tcPr>
            <w:tcW w:w="1798" w:type="dxa"/>
            <w:tcBorders>
              <w:top w:val="nil"/>
              <w:left w:val="nil"/>
              <w:bottom w:val="nil"/>
              <w:right w:val="nil"/>
            </w:tcBorders>
            <w:shd w:val="clear" w:color="auto" w:fill="auto"/>
            <w:vAlign w:val="bottom"/>
          </w:tcPr>
          <w:p w14:paraId="7CBC72C9" w14:textId="627D0FF1" w:rsidR="001F7BAB" w:rsidRPr="00931D2F" w:rsidRDefault="00FD4B35" w:rsidP="001F7BAB">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20.333</w:t>
            </w:r>
          </w:p>
        </w:tc>
        <w:tc>
          <w:tcPr>
            <w:tcW w:w="1799" w:type="dxa"/>
            <w:tcBorders>
              <w:top w:val="nil"/>
              <w:left w:val="nil"/>
              <w:bottom w:val="nil"/>
              <w:right w:val="nil"/>
            </w:tcBorders>
            <w:shd w:val="clear" w:color="auto" w:fill="auto"/>
            <w:vAlign w:val="bottom"/>
          </w:tcPr>
          <w:p w14:paraId="648C937C" w14:textId="7F11633A" w:rsidR="001F7BAB" w:rsidRPr="00931D2F" w:rsidRDefault="001F7BAB" w:rsidP="001F7BAB">
            <w:pPr>
              <w:suppressAutoHyphens/>
              <w:autoSpaceDN w:val="0"/>
              <w:jc w:val="right"/>
              <w:rPr>
                <w:rFonts w:ascii="Arial" w:eastAsia="Calibri" w:hAnsi="Arial" w:cs="Arial"/>
                <w:color w:val="000000" w:themeColor="text1"/>
                <w:sz w:val="20"/>
                <w:szCs w:val="20"/>
              </w:rPr>
            </w:pPr>
            <w:r w:rsidRPr="0062666D">
              <w:rPr>
                <w:rFonts w:ascii="Arial" w:eastAsia="Calibri" w:hAnsi="Arial" w:cs="Arial"/>
                <w:color w:val="000000" w:themeColor="text1"/>
                <w:sz w:val="20"/>
                <w:szCs w:val="20"/>
              </w:rPr>
              <w:t>19.171</w:t>
            </w:r>
          </w:p>
        </w:tc>
      </w:tr>
      <w:tr w:rsidR="001F7BAB" w:rsidRPr="00931D2F" w14:paraId="26C75D12" w14:textId="77777777" w:rsidTr="00931D2F">
        <w:trPr>
          <w:trHeight w:val="305"/>
        </w:trPr>
        <w:tc>
          <w:tcPr>
            <w:tcW w:w="5545" w:type="dxa"/>
            <w:tcBorders>
              <w:top w:val="nil"/>
              <w:left w:val="nil"/>
              <w:bottom w:val="nil"/>
              <w:right w:val="nil"/>
            </w:tcBorders>
            <w:shd w:val="clear" w:color="auto" w:fill="auto"/>
            <w:vAlign w:val="bottom"/>
            <w:hideMark/>
          </w:tcPr>
          <w:p w14:paraId="0BB10AA7" w14:textId="77777777" w:rsidR="001F7BAB" w:rsidRPr="00931D2F" w:rsidRDefault="001F7BAB" w:rsidP="001F7BAB">
            <w:pPr>
              <w:suppressAutoHyphens/>
              <w:autoSpaceDN w:val="0"/>
              <w:jc w:val="right"/>
              <w:rPr>
                <w:rFonts w:ascii="Arial" w:eastAsia="Calibri" w:hAnsi="Arial" w:cs="Arial"/>
                <w:color w:val="000000" w:themeColor="text1"/>
                <w:sz w:val="20"/>
                <w:szCs w:val="20"/>
              </w:rPr>
            </w:pPr>
          </w:p>
        </w:tc>
        <w:tc>
          <w:tcPr>
            <w:tcW w:w="1798" w:type="dxa"/>
            <w:tcBorders>
              <w:top w:val="single" w:sz="4" w:space="0" w:color="auto"/>
              <w:left w:val="nil"/>
              <w:bottom w:val="single" w:sz="12" w:space="0" w:color="auto"/>
              <w:right w:val="nil"/>
            </w:tcBorders>
            <w:shd w:val="clear" w:color="auto" w:fill="auto"/>
            <w:vAlign w:val="bottom"/>
          </w:tcPr>
          <w:p w14:paraId="21F25D7F" w14:textId="175C11E6" w:rsidR="001F7BAB" w:rsidRPr="00931D2F" w:rsidRDefault="00FD4B35" w:rsidP="001F7BAB">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20.333</w:t>
            </w:r>
          </w:p>
        </w:tc>
        <w:tc>
          <w:tcPr>
            <w:tcW w:w="1799" w:type="dxa"/>
            <w:tcBorders>
              <w:top w:val="single" w:sz="4" w:space="0" w:color="auto"/>
              <w:left w:val="nil"/>
              <w:bottom w:val="single" w:sz="12" w:space="0" w:color="auto"/>
              <w:right w:val="nil"/>
            </w:tcBorders>
            <w:shd w:val="clear" w:color="auto" w:fill="auto"/>
            <w:vAlign w:val="bottom"/>
          </w:tcPr>
          <w:p w14:paraId="69F9949E" w14:textId="1E9DFDFA" w:rsidR="001F7BAB" w:rsidRPr="00931D2F" w:rsidRDefault="001F7BAB" w:rsidP="001F7BAB">
            <w:pPr>
              <w:suppressAutoHyphens/>
              <w:autoSpaceDN w:val="0"/>
              <w:jc w:val="right"/>
              <w:rPr>
                <w:rFonts w:ascii="Arial" w:eastAsia="Calibri" w:hAnsi="Arial" w:cs="Arial"/>
                <w:b/>
                <w:bCs/>
                <w:color w:val="000000" w:themeColor="text1"/>
                <w:sz w:val="20"/>
                <w:szCs w:val="20"/>
              </w:rPr>
            </w:pPr>
            <w:r w:rsidRPr="0062666D">
              <w:rPr>
                <w:rFonts w:ascii="Arial" w:eastAsia="Calibri" w:hAnsi="Arial" w:cs="Arial"/>
                <w:b/>
                <w:bCs/>
                <w:color w:val="000000" w:themeColor="text1"/>
                <w:sz w:val="20"/>
                <w:szCs w:val="20"/>
              </w:rPr>
              <w:t>19.171</w:t>
            </w:r>
          </w:p>
        </w:tc>
      </w:tr>
      <w:tr w:rsidR="001F7BAB" w:rsidRPr="00931D2F" w14:paraId="5FF68051" w14:textId="77777777" w:rsidTr="00931D2F">
        <w:trPr>
          <w:trHeight w:val="305"/>
        </w:trPr>
        <w:tc>
          <w:tcPr>
            <w:tcW w:w="5545" w:type="dxa"/>
            <w:tcBorders>
              <w:top w:val="nil"/>
              <w:left w:val="nil"/>
              <w:bottom w:val="nil"/>
              <w:right w:val="nil"/>
            </w:tcBorders>
            <w:shd w:val="clear" w:color="auto" w:fill="auto"/>
            <w:vAlign w:val="bottom"/>
            <w:hideMark/>
          </w:tcPr>
          <w:p w14:paraId="494A560D" w14:textId="77777777" w:rsidR="001F7BAB" w:rsidRPr="00931D2F" w:rsidRDefault="001F7BAB" w:rsidP="001F7BAB">
            <w:pPr>
              <w:suppressAutoHyphens/>
              <w:autoSpaceDN w:val="0"/>
              <w:jc w:val="right"/>
              <w:rPr>
                <w:rFonts w:ascii="Arial" w:eastAsia="Calibri" w:hAnsi="Arial" w:cs="Arial"/>
                <w:b/>
                <w:bCs/>
                <w:color w:val="000000" w:themeColor="text1"/>
                <w:sz w:val="20"/>
                <w:szCs w:val="20"/>
              </w:rPr>
            </w:pPr>
          </w:p>
        </w:tc>
        <w:tc>
          <w:tcPr>
            <w:tcW w:w="1798" w:type="dxa"/>
            <w:tcBorders>
              <w:top w:val="single" w:sz="12" w:space="0" w:color="auto"/>
              <w:left w:val="nil"/>
              <w:right w:val="nil"/>
            </w:tcBorders>
            <w:shd w:val="clear" w:color="auto" w:fill="auto"/>
            <w:vAlign w:val="bottom"/>
          </w:tcPr>
          <w:p w14:paraId="43D41ABF" w14:textId="77777777" w:rsidR="001F7BAB" w:rsidRPr="00931D2F" w:rsidRDefault="001F7BAB" w:rsidP="001F7BAB">
            <w:pPr>
              <w:suppressAutoHyphens/>
              <w:autoSpaceDN w:val="0"/>
              <w:jc w:val="right"/>
              <w:rPr>
                <w:rFonts w:ascii="Arial" w:eastAsia="Calibri" w:hAnsi="Arial" w:cs="Arial"/>
                <w:color w:val="000000" w:themeColor="text1"/>
                <w:sz w:val="20"/>
                <w:szCs w:val="20"/>
              </w:rPr>
            </w:pPr>
          </w:p>
        </w:tc>
        <w:tc>
          <w:tcPr>
            <w:tcW w:w="1799" w:type="dxa"/>
            <w:tcBorders>
              <w:top w:val="single" w:sz="12" w:space="0" w:color="auto"/>
              <w:left w:val="nil"/>
              <w:right w:val="nil"/>
            </w:tcBorders>
            <w:shd w:val="clear" w:color="auto" w:fill="auto"/>
            <w:vAlign w:val="bottom"/>
          </w:tcPr>
          <w:p w14:paraId="3B12EC0D" w14:textId="77777777" w:rsidR="001F7BAB" w:rsidRPr="00931D2F" w:rsidRDefault="001F7BAB" w:rsidP="001F7BAB">
            <w:pPr>
              <w:suppressAutoHyphens/>
              <w:autoSpaceDN w:val="0"/>
              <w:jc w:val="right"/>
              <w:rPr>
                <w:rFonts w:ascii="Arial" w:eastAsia="Calibri" w:hAnsi="Arial" w:cs="Arial"/>
                <w:color w:val="000000" w:themeColor="text1"/>
                <w:sz w:val="20"/>
                <w:szCs w:val="20"/>
              </w:rPr>
            </w:pPr>
          </w:p>
        </w:tc>
      </w:tr>
      <w:tr w:rsidR="001F7BAB" w:rsidRPr="00931D2F" w14:paraId="2A6F31AD" w14:textId="77777777" w:rsidTr="00931D2F">
        <w:trPr>
          <w:trHeight w:val="373"/>
        </w:trPr>
        <w:tc>
          <w:tcPr>
            <w:tcW w:w="5545" w:type="dxa"/>
            <w:tcBorders>
              <w:top w:val="nil"/>
              <w:left w:val="nil"/>
              <w:bottom w:val="nil"/>
              <w:right w:val="nil"/>
            </w:tcBorders>
            <w:shd w:val="clear" w:color="auto" w:fill="auto"/>
            <w:vAlign w:val="bottom"/>
            <w:hideMark/>
          </w:tcPr>
          <w:p w14:paraId="0EA59C37" w14:textId="77777777" w:rsidR="001F7BAB" w:rsidRPr="00931D2F" w:rsidRDefault="001F7BAB" w:rsidP="001F7BAB">
            <w:pPr>
              <w:suppressAutoHyphens/>
              <w:autoSpaceDN w:val="0"/>
              <w:rPr>
                <w:rFonts w:ascii="Arial" w:eastAsia="Calibri" w:hAnsi="Arial" w:cs="Arial"/>
                <w:b/>
                <w:bCs/>
                <w:i/>
                <w:iCs/>
                <w:color w:val="000000" w:themeColor="text1"/>
                <w:sz w:val="20"/>
                <w:szCs w:val="20"/>
              </w:rPr>
            </w:pPr>
            <w:r w:rsidRPr="00931D2F">
              <w:rPr>
                <w:rFonts w:ascii="Arial" w:eastAsia="Calibri" w:hAnsi="Arial" w:cs="Arial"/>
                <w:b/>
                <w:bCs/>
                <w:i/>
                <w:iCs/>
                <w:color w:val="000000" w:themeColor="text1"/>
                <w:sz w:val="20"/>
                <w:szCs w:val="20"/>
              </w:rPr>
              <w:t>Vlasnički vrijednosni papiri koji ne kotiraju:</w:t>
            </w:r>
          </w:p>
        </w:tc>
        <w:tc>
          <w:tcPr>
            <w:tcW w:w="1798" w:type="dxa"/>
            <w:tcBorders>
              <w:top w:val="nil"/>
              <w:left w:val="nil"/>
              <w:bottom w:val="nil"/>
              <w:right w:val="nil"/>
            </w:tcBorders>
            <w:shd w:val="clear" w:color="auto" w:fill="auto"/>
            <w:vAlign w:val="bottom"/>
          </w:tcPr>
          <w:p w14:paraId="026695F8" w14:textId="77777777" w:rsidR="001F7BAB" w:rsidRPr="00931D2F" w:rsidRDefault="001F7BAB" w:rsidP="001F7BAB">
            <w:pPr>
              <w:suppressAutoHyphens/>
              <w:autoSpaceDN w:val="0"/>
              <w:jc w:val="right"/>
              <w:rPr>
                <w:rFonts w:ascii="Arial" w:eastAsia="Calibri" w:hAnsi="Arial" w:cs="Arial"/>
                <w:color w:val="000000" w:themeColor="text1"/>
                <w:sz w:val="20"/>
                <w:szCs w:val="20"/>
              </w:rPr>
            </w:pPr>
          </w:p>
        </w:tc>
        <w:tc>
          <w:tcPr>
            <w:tcW w:w="1799" w:type="dxa"/>
            <w:tcBorders>
              <w:top w:val="nil"/>
              <w:left w:val="nil"/>
              <w:bottom w:val="nil"/>
              <w:right w:val="nil"/>
            </w:tcBorders>
            <w:shd w:val="clear" w:color="auto" w:fill="auto"/>
            <w:vAlign w:val="bottom"/>
          </w:tcPr>
          <w:p w14:paraId="3493F01C" w14:textId="77777777" w:rsidR="001F7BAB" w:rsidRPr="00931D2F" w:rsidRDefault="001F7BAB" w:rsidP="001F7BAB">
            <w:pPr>
              <w:suppressAutoHyphens/>
              <w:autoSpaceDN w:val="0"/>
              <w:jc w:val="right"/>
              <w:rPr>
                <w:rFonts w:ascii="Arial" w:eastAsia="Calibri" w:hAnsi="Arial" w:cs="Arial"/>
                <w:color w:val="000000" w:themeColor="text1"/>
                <w:sz w:val="20"/>
                <w:szCs w:val="20"/>
              </w:rPr>
            </w:pPr>
          </w:p>
        </w:tc>
      </w:tr>
      <w:tr w:rsidR="00A647B4" w:rsidRPr="00931D2F" w14:paraId="1465899B" w14:textId="77777777" w:rsidTr="00931D2F">
        <w:trPr>
          <w:trHeight w:val="373"/>
        </w:trPr>
        <w:tc>
          <w:tcPr>
            <w:tcW w:w="5545" w:type="dxa"/>
            <w:tcBorders>
              <w:top w:val="nil"/>
              <w:left w:val="nil"/>
              <w:bottom w:val="nil"/>
              <w:right w:val="nil"/>
            </w:tcBorders>
            <w:shd w:val="clear" w:color="auto" w:fill="auto"/>
            <w:vAlign w:val="bottom"/>
          </w:tcPr>
          <w:p w14:paraId="4F34ECF9" w14:textId="77777777" w:rsidR="00A647B4" w:rsidRPr="00931D2F" w:rsidRDefault="00A647B4" w:rsidP="00A647B4">
            <w:pPr>
              <w:suppressAutoHyphens/>
              <w:autoSpaceDN w:val="0"/>
              <w:rPr>
                <w:rFonts w:ascii="Arial" w:eastAsia="Calibri" w:hAnsi="Arial" w:cs="Arial"/>
                <w:bCs/>
                <w:iCs/>
                <w:color w:val="000000" w:themeColor="text1"/>
                <w:sz w:val="20"/>
                <w:szCs w:val="20"/>
              </w:rPr>
            </w:pPr>
            <w:r w:rsidRPr="00931D2F">
              <w:rPr>
                <w:rFonts w:ascii="Arial" w:eastAsia="Calibri" w:hAnsi="Arial" w:cs="Arial"/>
                <w:bCs/>
                <w:iCs/>
                <w:color w:val="000000" w:themeColor="text1"/>
                <w:sz w:val="20"/>
                <w:szCs w:val="20"/>
              </w:rPr>
              <w:t>Depozitarne potvrde - DR</w:t>
            </w:r>
          </w:p>
        </w:tc>
        <w:tc>
          <w:tcPr>
            <w:tcW w:w="1798" w:type="dxa"/>
            <w:tcBorders>
              <w:top w:val="nil"/>
              <w:left w:val="nil"/>
              <w:bottom w:val="nil"/>
              <w:right w:val="nil"/>
            </w:tcBorders>
            <w:shd w:val="clear" w:color="auto" w:fill="auto"/>
            <w:vAlign w:val="bottom"/>
          </w:tcPr>
          <w:p w14:paraId="3C73FB80" w14:textId="762FF0D6" w:rsidR="00A647B4" w:rsidRPr="00931D2F" w:rsidRDefault="00FD4B35" w:rsidP="00A647B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42</w:t>
            </w:r>
          </w:p>
        </w:tc>
        <w:tc>
          <w:tcPr>
            <w:tcW w:w="1799" w:type="dxa"/>
            <w:tcBorders>
              <w:top w:val="nil"/>
              <w:left w:val="nil"/>
              <w:bottom w:val="nil"/>
              <w:right w:val="nil"/>
            </w:tcBorders>
            <w:shd w:val="clear" w:color="auto" w:fill="auto"/>
            <w:vAlign w:val="bottom"/>
          </w:tcPr>
          <w:p w14:paraId="48843EAF" w14:textId="0100FDF8" w:rsidR="00A647B4" w:rsidRPr="00931D2F" w:rsidRDefault="00A647B4" w:rsidP="00A647B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42</w:t>
            </w:r>
          </w:p>
        </w:tc>
      </w:tr>
      <w:tr w:rsidR="00A647B4" w:rsidRPr="00931D2F" w14:paraId="03AEB175" w14:textId="77777777" w:rsidTr="00931D2F">
        <w:trPr>
          <w:trHeight w:val="305"/>
        </w:trPr>
        <w:tc>
          <w:tcPr>
            <w:tcW w:w="5545" w:type="dxa"/>
            <w:tcBorders>
              <w:top w:val="nil"/>
              <w:left w:val="nil"/>
              <w:bottom w:val="nil"/>
              <w:right w:val="nil"/>
            </w:tcBorders>
            <w:shd w:val="clear" w:color="auto" w:fill="auto"/>
            <w:vAlign w:val="bottom"/>
          </w:tcPr>
          <w:p w14:paraId="165CC478" w14:textId="77777777" w:rsidR="00A647B4" w:rsidRPr="00931D2F" w:rsidRDefault="00A647B4" w:rsidP="00A647B4">
            <w:pPr>
              <w:suppressAutoHyphens/>
              <w:autoSpaceDN w:val="0"/>
              <w:jc w:val="right"/>
              <w:rPr>
                <w:rFonts w:ascii="Arial" w:eastAsia="Calibri" w:hAnsi="Arial" w:cs="Arial"/>
                <w:color w:val="000000" w:themeColor="text1"/>
                <w:sz w:val="20"/>
                <w:szCs w:val="20"/>
              </w:rPr>
            </w:pPr>
          </w:p>
        </w:tc>
        <w:tc>
          <w:tcPr>
            <w:tcW w:w="1798" w:type="dxa"/>
            <w:tcBorders>
              <w:top w:val="single" w:sz="4" w:space="0" w:color="auto"/>
              <w:left w:val="nil"/>
              <w:bottom w:val="single" w:sz="12" w:space="0" w:color="auto"/>
              <w:right w:val="nil"/>
            </w:tcBorders>
            <w:shd w:val="clear" w:color="auto" w:fill="auto"/>
            <w:vAlign w:val="bottom"/>
          </w:tcPr>
          <w:p w14:paraId="7FE9FC2B" w14:textId="0190BF42" w:rsidR="00A647B4" w:rsidRPr="00931D2F" w:rsidRDefault="00FD4B35" w:rsidP="00A647B4">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42</w:t>
            </w:r>
          </w:p>
        </w:tc>
        <w:tc>
          <w:tcPr>
            <w:tcW w:w="1799" w:type="dxa"/>
            <w:tcBorders>
              <w:top w:val="single" w:sz="4" w:space="0" w:color="auto"/>
              <w:left w:val="nil"/>
              <w:bottom w:val="single" w:sz="12" w:space="0" w:color="auto"/>
              <w:right w:val="nil"/>
            </w:tcBorders>
            <w:shd w:val="clear" w:color="auto" w:fill="auto"/>
            <w:vAlign w:val="bottom"/>
          </w:tcPr>
          <w:p w14:paraId="4E7BEFE3" w14:textId="2A83C1E1" w:rsidR="00A647B4" w:rsidRPr="00931D2F" w:rsidRDefault="00A647B4" w:rsidP="00A647B4">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42</w:t>
            </w:r>
          </w:p>
        </w:tc>
      </w:tr>
      <w:tr w:rsidR="00A647B4" w:rsidRPr="00931D2F" w14:paraId="194B201E" w14:textId="77777777" w:rsidTr="00931D2F">
        <w:trPr>
          <w:trHeight w:val="305"/>
        </w:trPr>
        <w:tc>
          <w:tcPr>
            <w:tcW w:w="5545" w:type="dxa"/>
            <w:tcBorders>
              <w:top w:val="nil"/>
              <w:left w:val="nil"/>
              <w:bottom w:val="nil"/>
              <w:right w:val="nil"/>
            </w:tcBorders>
            <w:shd w:val="clear" w:color="auto" w:fill="auto"/>
            <w:vAlign w:val="bottom"/>
          </w:tcPr>
          <w:p w14:paraId="5FDA8EBF" w14:textId="77777777" w:rsidR="00A647B4" w:rsidRPr="00931D2F" w:rsidRDefault="00A647B4" w:rsidP="00A647B4">
            <w:pPr>
              <w:suppressAutoHyphens/>
              <w:autoSpaceDN w:val="0"/>
              <w:jc w:val="right"/>
              <w:rPr>
                <w:rFonts w:ascii="Arial" w:eastAsia="Calibri" w:hAnsi="Arial" w:cs="Arial"/>
                <w:color w:val="000000" w:themeColor="text1"/>
                <w:sz w:val="20"/>
                <w:szCs w:val="20"/>
              </w:rPr>
            </w:pPr>
          </w:p>
        </w:tc>
        <w:tc>
          <w:tcPr>
            <w:tcW w:w="1798" w:type="dxa"/>
            <w:tcBorders>
              <w:top w:val="single" w:sz="4" w:space="0" w:color="auto"/>
              <w:left w:val="nil"/>
              <w:right w:val="nil"/>
            </w:tcBorders>
            <w:shd w:val="clear" w:color="auto" w:fill="auto"/>
            <w:vAlign w:val="bottom"/>
          </w:tcPr>
          <w:p w14:paraId="5EA32CE5" w14:textId="77777777" w:rsidR="00A647B4" w:rsidRPr="00931D2F" w:rsidRDefault="00A647B4" w:rsidP="00A647B4">
            <w:pPr>
              <w:suppressAutoHyphens/>
              <w:autoSpaceDN w:val="0"/>
              <w:jc w:val="right"/>
              <w:rPr>
                <w:rFonts w:ascii="Arial" w:eastAsia="Calibri" w:hAnsi="Arial" w:cs="Arial"/>
                <w:b/>
                <w:bCs/>
                <w:color w:val="000000" w:themeColor="text1"/>
                <w:sz w:val="20"/>
                <w:szCs w:val="20"/>
              </w:rPr>
            </w:pPr>
          </w:p>
        </w:tc>
        <w:tc>
          <w:tcPr>
            <w:tcW w:w="1799" w:type="dxa"/>
            <w:tcBorders>
              <w:top w:val="single" w:sz="4" w:space="0" w:color="auto"/>
              <w:left w:val="nil"/>
              <w:right w:val="nil"/>
            </w:tcBorders>
            <w:shd w:val="clear" w:color="auto" w:fill="auto"/>
            <w:vAlign w:val="bottom"/>
          </w:tcPr>
          <w:p w14:paraId="34FE4288" w14:textId="77777777" w:rsidR="00A647B4" w:rsidRPr="00931D2F" w:rsidRDefault="00A647B4" w:rsidP="00A647B4">
            <w:pPr>
              <w:suppressAutoHyphens/>
              <w:autoSpaceDN w:val="0"/>
              <w:jc w:val="right"/>
              <w:rPr>
                <w:rFonts w:ascii="Arial" w:eastAsia="Calibri" w:hAnsi="Arial" w:cs="Arial"/>
                <w:b/>
                <w:bCs/>
                <w:color w:val="000000" w:themeColor="text1"/>
                <w:sz w:val="20"/>
                <w:szCs w:val="20"/>
              </w:rPr>
            </w:pPr>
          </w:p>
        </w:tc>
      </w:tr>
      <w:tr w:rsidR="009A40A8" w:rsidRPr="00931D2F" w14:paraId="6B5CC1F1" w14:textId="77777777" w:rsidTr="00931D2F">
        <w:trPr>
          <w:trHeight w:val="305"/>
        </w:trPr>
        <w:tc>
          <w:tcPr>
            <w:tcW w:w="5545" w:type="dxa"/>
            <w:tcBorders>
              <w:top w:val="nil"/>
              <w:left w:val="nil"/>
              <w:bottom w:val="nil"/>
              <w:right w:val="nil"/>
            </w:tcBorders>
            <w:shd w:val="clear" w:color="auto" w:fill="auto"/>
            <w:vAlign w:val="bottom"/>
          </w:tcPr>
          <w:p w14:paraId="721BE807" w14:textId="77777777" w:rsidR="009A40A8" w:rsidRPr="00931D2F" w:rsidRDefault="009A40A8" w:rsidP="009A40A8">
            <w:pPr>
              <w:suppressAutoHyphens/>
              <w:autoSpaceDN w:val="0"/>
              <w:rPr>
                <w:rFonts w:ascii="Arial" w:eastAsia="Calibri" w:hAnsi="Arial" w:cs="Arial"/>
                <w:b/>
                <w:bCs/>
                <w:color w:val="000000" w:themeColor="text1"/>
                <w:sz w:val="20"/>
                <w:szCs w:val="20"/>
              </w:rPr>
            </w:pPr>
            <w:r w:rsidRPr="00931D2F">
              <w:rPr>
                <w:rFonts w:ascii="Arial" w:eastAsia="Calibri" w:hAnsi="Arial" w:cs="Arial"/>
                <w:b/>
                <w:bCs/>
                <w:color w:val="000000" w:themeColor="text1"/>
                <w:sz w:val="20"/>
                <w:szCs w:val="20"/>
              </w:rPr>
              <w:t>Derivativna financijska imovina – pozitivna fer vrijednost</w:t>
            </w:r>
          </w:p>
        </w:tc>
        <w:tc>
          <w:tcPr>
            <w:tcW w:w="1798" w:type="dxa"/>
            <w:tcBorders>
              <w:left w:val="nil"/>
              <w:bottom w:val="single" w:sz="12" w:space="0" w:color="auto"/>
              <w:right w:val="nil"/>
            </w:tcBorders>
            <w:shd w:val="clear" w:color="auto" w:fill="auto"/>
            <w:vAlign w:val="bottom"/>
          </w:tcPr>
          <w:p w14:paraId="33A1392C" w14:textId="2C8ED0ED" w:rsidR="009A40A8" w:rsidRPr="00931D2F" w:rsidRDefault="00FD4B35" w:rsidP="009A40A8">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125</w:t>
            </w:r>
          </w:p>
        </w:tc>
        <w:tc>
          <w:tcPr>
            <w:tcW w:w="1799" w:type="dxa"/>
            <w:tcBorders>
              <w:left w:val="nil"/>
              <w:bottom w:val="single" w:sz="12" w:space="0" w:color="auto"/>
              <w:right w:val="nil"/>
            </w:tcBorders>
            <w:shd w:val="clear" w:color="auto" w:fill="auto"/>
            <w:vAlign w:val="bottom"/>
          </w:tcPr>
          <w:p w14:paraId="4B1B24BA" w14:textId="41A111B3" w:rsidR="009A40A8" w:rsidRPr="00931D2F" w:rsidRDefault="009A40A8" w:rsidP="009A40A8">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11</w:t>
            </w:r>
          </w:p>
        </w:tc>
      </w:tr>
      <w:tr w:rsidR="009A40A8" w:rsidRPr="00931D2F" w14:paraId="4F82F2DB" w14:textId="77777777" w:rsidTr="00931D2F">
        <w:trPr>
          <w:trHeight w:val="231"/>
        </w:trPr>
        <w:tc>
          <w:tcPr>
            <w:tcW w:w="5545" w:type="dxa"/>
            <w:tcBorders>
              <w:top w:val="nil"/>
              <w:left w:val="nil"/>
              <w:bottom w:val="nil"/>
              <w:right w:val="nil"/>
            </w:tcBorders>
            <w:shd w:val="clear" w:color="auto" w:fill="auto"/>
            <w:vAlign w:val="bottom"/>
            <w:hideMark/>
          </w:tcPr>
          <w:p w14:paraId="60893A9A" w14:textId="77777777" w:rsidR="009A40A8" w:rsidRPr="00931D2F" w:rsidRDefault="009A40A8" w:rsidP="009A40A8">
            <w:pPr>
              <w:suppressAutoHyphens/>
              <w:autoSpaceDN w:val="0"/>
              <w:jc w:val="right"/>
              <w:rPr>
                <w:rFonts w:ascii="Arial" w:eastAsia="Calibri" w:hAnsi="Arial" w:cs="Arial"/>
                <w:color w:val="000000" w:themeColor="text1"/>
                <w:sz w:val="20"/>
                <w:szCs w:val="20"/>
              </w:rPr>
            </w:pPr>
          </w:p>
        </w:tc>
        <w:tc>
          <w:tcPr>
            <w:tcW w:w="1798" w:type="dxa"/>
            <w:tcBorders>
              <w:top w:val="single" w:sz="12" w:space="0" w:color="auto"/>
              <w:left w:val="nil"/>
              <w:bottom w:val="single" w:sz="12" w:space="0" w:color="auto"/>
              <w:right w:val="nil"/>
            </w:tcBorders>
            <w:shd w:val="clear" w:color="auto" w:fill="auto"/>
            <w:vAlign w:val="bottom"/>
          </w:tcPr>
          <w:p w14:paraId="0B9A101F" w14:textId="5B19D1D8" w:rsidR="009A40A8" w:rsidRPr="00931D2F" w:rsidRDefault="003E4CD7" w:rsidP="009A40A8">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53.772</w:t>
            </w:r>
          </w:p>
        </w:tc>
        <w:tc>
          <w:tcPr>
            <w:tcW w:w="1799" w:type="dxa"/>
            <w:tcBorders>
              <w:top w:val="single" w:sz="12" w:space="0" w:color="auto"/>
              <w:left w:val="nil"/>
              <w:bottom w:val="single" w:sz="12" w:space="0" w:color="auto"/>
              <w:right w:val="nil"/>
            </w:tcBorders>
            <w:shd w:val="clear" w:color="auto" w:fill="auto"/>
            <w:vAlign w:val="bottom"/>
          </w:tcPr>
          <w:p w14:paraId="30693780" w14:textId="7E36B364" w:rsidR="009A40A8" w:rsidRPr="00931D2F" w:rsidRDefault="009A40A8" w:rsidP="009A40A8">
            <w:pPr>
              <w:suppressAutoHyphens/>
              <w:autoSpaceDN w:val="0"/>
              <w:jc w:val="right"/>
              <w:rPr>
                <w:rFonts w:ascii="Arial" w:eastAsia="Calibri" w:hAnsi="Arial" w:cs="Arial"/>
                <w:b/>
                <w:bCs/>
                <w:color w:val="000000" w:themeColor="text1"/>
                <w:sz w:val="20"/>
                <w:szCs w:val="20"/>
              </w:rPr>
            </w:pPr>
            <w:r w:rsidRPr="0062666D">
              <w:rPr>
                <w:rFonts w:ascii="Arial" w:eastAsia="Calibri" w:hAnsi="Arial" w:cs="Arial"/>
                <w:b/>
                <w:bCs/>
                <w:color w:val="000000" w:themeColor="text1"/>
                <w:sz w:val="20"/>
                <w:szCs w:val="20"/>
              </w:rPr>
              <w:t>52.922</w:t>
            </w:r>
          </w:p>
        </w:tc>
      </w:tr>
    </w:tbl>
    <w:p w14:paraId="6DAB8EBA" w14:textId="77777777" w:rsidR="00DC1558" w:rsidRPr="003D1614" w:rsidRDefault="00DC1558" w:rsidP="00DC1558">
      <w:pPr>
        <w:suppressAutoHyphens/>
        <w:autoSpaceDN w:val="0"/>
        <w:jc w:val="both"/>
        <w:outlineLvl w:val="0"/>
        <w:rPr>
          <w:rFonts w:ascii="Arial" w:eastAsia="Times New Roman" w:hAnsi="Arial" w:cs="Arial"/>
          <w:b/>
          <w:bCs/>
          <w:color w:val="000000" w:themeColor="text1"/>
          <w:sz w:val="20"/>
          <w:szCs w:val="20"/>
        </w:rPr>
      </w:pPr>
    </w:p>
    <w:p w14:paraId="4CCBD46B" w14:textId="35CE9ACB" w:rsidR="00DC1558" w:rsidRPr="003D1614" w:rsidRDefault="00DC1558" w:rsidP="00DC1558">
      <w:pPr>
        <w:suppressAutoHyphens/>
        <w:autoSpaceDN w:val="0"/>
        <w:jc w:val="both"/>
        <w:rPr>
          <w:rFonts w:ascii="Arial" w:eastAsia="Times New Roman" w:hAnsi="Arial" w:cs="Arial"/>
          <w:sz w:val="20"/>
          <w:szCs w:val="20"/>
        </w:rPr>
      </w:pPr>
      <w:r w:rsidRPr="003D1614">
        <w:rPr>
          <w:rFonts w:ascii="Arial" w:eastAsia="Calibri" w:hAnsi="Arial" w:cs="Arial"/>
          <w:spacing w:val="-3"/>
          <w:sz w:val="20"/>
          <w:szCs w:val="20"/>
        </w:rPr>
        <w:t xml:space="preserve">Vlasnički papiri koji ne kotiraju u iznosu </w:t>
      </w:r>
      <w:r w:rsidRPr="009437D3">
        <w:rPr>
          <w:rFonts w:ascii="Arial" w:eastAsia="Calibri" w:hAnsi="Arial" w:cs="Arial"/>
          <w:spacing w:val="-3"/>
          <w:sz w:val="20"/>
          <w:szCs w:val="20"/>
        </w:rPr>
        <w:t xml:space="preserve">od </w:t>
      </w:r>
      <w:r w:rsidR="00881602" w:rsidRPr="009437D3">
        <w:rPr>
          <w:rFonts w:ascii="Arial" w:eastAsia="Calibri" w:hAnsi="Arial" w:cs="Arial"/>
          <w:spacing w:val="-3"/>
          <w:sz w:val="20"/>
          <w:szCs w:val="20"/>
        </w:rPr>
        <w:t>42</w:t>
      </w:r>
      <w:r w:rsidRPr="009437D3">
        <w:rPr>
          <w:rFonts w:ascii="Arial" w:eastAsia="Calibri" w:hAnsi="Arial" w:cs="Arial"/>
          <w:spacing w:val="-3"/>
          <w:sz w:val="20"/>
          <w:szCs w:val="20"/>
        </w:rPr>
        <w:t xml:space="preserve"> tisuć</w:t>
      </w:r>
      <w:r w:rsidR="007A77B7" w:rsidRPr="009437D3">
        <w:rPr>
          <w:rFonts w:ascii="Arial" w:eastAsia="Calibri" w:hAnsi="Arial" w:cs="Arial"/>
          <w:spacing w:val="-3"/>
          <w:sz w:val="20"/>
          <w:szCs w:val="20"/>
        </w:rPr>
        <w:t>e</w:t>
      </w:r>
      <w:r w:rsidRPr="003D1614">
        <w:rPr>
          <w:rFonts w:ascii="Arial" w:eastAsia="Calibri" w:hAnsi="Arial" w:cs="Arial"/>
          <w:spacing w:val="-3"/>
          <w:sz w:val="20"/>
          <w:szCs w:val="20"/>
        </w:rPr>
        <w:t xml:space="preserve"> eura (31. prosinca 202</w:t>
      </w:r>
      <w:r w:rsidR="00E61B18">
        <w:rPr>
          <w:rFonts w:ascii="Arial" w:eastAsia="Calibri" w:hAnsi="Arial" w:cs="Arial"/>
          <w:spacing w:val="-3"/>
          <w:sz w:val="20"/>
          <w:szCs w:val="20"/>
        </w:rPr>
        <w:t>3</w:t>
      </w:r>
      <w:r w:rsidRPr="003D1614">
        <w:rPr>
          <w:rFonts w:ascii="Arial" w:eastAsia="Calibri" w:hAnsi="Arial" w:cs="Arial"/>
          <w:spacing w:val="-3"/>
          <w:sz w:val="20"/>
          <w:szCs w:val="20"/>
        </w:rPr>
        <w:t xml:space="preserve">.: </w:t>
      </w:r>
      <w:r w:rsidR="00881602">
        <w:rPr>
          <w:rFonts w:ascii="Arial" w:eastAsia="Calibri" w:hAnsi="Arial" w:cs="Arial"/>
          <w:spacing w:val="-3"/>
          <w:sz w:val="20"/>
          <w:szCs w:val="20"/>
        </w:rPr>
        <w:t>42</w:t>
      </w:r>
      <w:r w:rsidRPr="003D1614">
        <w:rPr>
          <w:rFonts w:ascii="Arial" w:eastAsia="Calibri" w:hAnsi="Arial" w:cs="Arial"/>
          <w:spacing w:val="-3"/>
          <w:sz w:val="20"/>
          <w:szCs w:val="20"/>
        </w:rPr>
        <w:t xml:space="preserve"> tisuć</w:t>
      </w:r>
      <w:r w:rsidR="007A77B7">
        <w:rPr>
          <w:rFonts w:ascii="Arial" w:eastAsia="Calibri" w:hAnsi="Arial" w:cs="Arial"/>
          <w:spacing w:val="-3"/>
          <w:sz w:val="20"/>
          <w:szCs w:val="20"/>
        </w:rPr>
        <w:t>e</w:t>
      </w:r>
      <w:r w:rsidRPr="003D1614">
        <w:rPr>
          <w:rFonts w:ascii="Arial" w:eastAsia="Calibri" w:hAnsi="Arial" w:cs="Arial"/>
          <w:spacing w:val="-3"/>
          <w:sz w:val="20"/>
          <w:szCs w:val="20"/>
        </w:rPr>
        <w:t xml:space="preserve"> eura) odnose se na depozitarne potvrde o vlasništvu (engl. </w:t>
      </w:r>
      <w:proofErr w:type="spellStart"/>
      <w:r w:rsidRPr="003D1614">
        <w:rPr>
          <w:rFonts w:ascii="Arial" w:eastAsia="Calibri" w:hAnsi="Arial" w:cs="Arial"/>
          <w:spacing w:val="-3"/>
          <w:sz w:val="20"/>
          <w:szCs w:val="20"/>
        </w:rPr>
        <w:t>depository</w:t>
      </w:r>
      <w:proofErr w:type="spellEnd"/>
      <w:r w:rsidRPr="003D1614">
        <w:rPr>
          <w:rFonts w:ascii="Arial" w:eastAsia="Calibri" w:hAnsi="Arial" w:cs="Arial"/>
          <w:spacing w:val="-3"/>
          <w:sz w:val="20"/>
          <w:szCs w:val="20"/>
        </w:rPr>
        <w:t xml:space="preserve"> </w:t>
      </w:r>
      <w:proofErr w:type="spellStart"/>
      <w:r w:rsidRPr="003D1614">
        <w:rPr>
          <w:rFonts w:ascii="Arial" w:eastAsia="Calibri" w:hAnsi="Arial" w:cs="Arial"/>
          <w:spacing w:val="-3"/>
          <w:sz w:val="20"/>
          <w:szCs w:val="20"/>
        </w:rPr>
        <w:t>receipt</w:t>
      </w:r>
      <w:proofErr w:type="spellEnd"/>
      <w:r w:rsidRPr="003D1614">
        <w:rPr>
          <w:rFonts w:ascii="Arial" w:eastAsia="Calibri" w:hAnsi="Arial" w:cs="Arial"/>
          <w:spacing w:val="-3"/>
          <w:sz w:val="20"/>
          <w:szCs w:val="20"/>
        </w:rPr>
        <w:t xml:space="preserve"> – DR) </w:t>
      </w:r>
      <w:proofErr w:type="spellStart"/>
      <w:r w:rsidRPr="003D1614">
        <w:rPr>
          <w:rFonts w:ascii="Arial" w:eastAsia="Times New Roman" w:hAnsi="Arial" w:cs="Arial"/>
          <w:sz w:val="20"/>
          <w:szCs w:val="20"/>
        </w:rPr>
        <w:t>Fortenova</w:t>
      </w:r>
      <w:proofErr w:type="spellEnd"/>
      <w:r w:rsidRPr="003D1614">
        <w:rPr>
          <w:rFonts w:ascii="Arial" w:eastAsia="Times New Roman" w:hAnsi="Arial" w:cs="Arial"/>
          <w:sz w:val="20"/>
          <w:szCs w:val="20"/>
        </w:rPr>
        <w:t xml:space="preserve"> Group </w:t>
      </w:r>
      <w:proofErr w:type="spellStart"/>
      <w:r w:rsidRPr="003D1614">
        <w:rPr>
          <w:rFonts w:ascii="Arial" w:eastAsia="Times New Roman" w:hAnsi="Arial" w:cs="Arial"/>
          <w:sz w:val="20"/>
          <w:szCs w:val="20"/>
        </w:rPr>
        <w:t>Stak</w:t>
      </w:r>
      <w:proofErr w:type="spellEnd"/>
      <w:r w:rsidRPr="003D1614">
        <w:rPr>
          <w:rFonts w:ascii="Arial" w:eastAsia="Times New Roman" w:hAnsi="Arial" w:cs="Arial"/>
          <w:sz w:val="20"/>
          <w:szCs w:val="20"/>
        </w:rPr>
        <w:t xml:space="preserve"> </w:t>
      </w:r>
      <w:proofErr w:type="spellStart"/>
      <w:r w:rsidRPr="003D1614">
        <w:rPr>
          <w:rFonts w:ascii="Arial" w:eastAsia="Times New Roman" w:hAnsi="Arial" w:cs="Arial"/>
          <w:sz w:val="20"/>
          <w:szCs w:val="20"/>
        </w:rPr>
        <w:t>Stichting</w:t>
      </w:r>
      <w:proofErr w:type="spellEnd"/>
      <w:r w:rsidRPr="003D1614">
        <w:rPr>
          <w:rFonts w:ascii="Arial" w:eastAsia="Times New Roman" w:hAnsi="Arial" w:cs="Arial"/>
          <w:sz w:val="20"/>
          <w:szCs w:val="20"/>
        </w:rPr>
        <w:t xml:space="preserve"> preuzete Nagodbom u Postupku izvanredne uprave nad Agrokor d.d. i dr.</w:t>
      </w:r>
    </w:p>
    <w:p w14:paraId="42A0DB05" w14:textId="77777777" w:rsidR="00DC1558" w:rsidRPr="003D1614" w:rsidRDefault="00DC1558" w:rsidP="00DC1558">
      <w:pPr>
        <w:suppressAutoHyphens/>
        <w:autoSpaceDN w:val="0"/>
        <w:jc w:val="both"/>
        <w:rPr>
          <w:rFonts w:ascii="Arial" w:eastAsia="Calibri" w:hAnsi="Arial" w:cs="Arial"/>
          <w:spacing w:val="-3"/>
          <w:sz w:val="20"/>
          <w:szCs w:val="20"/>
        </w:rPr>
      </w:pPr>
    </w:p>
    <w:p w14:paraId="73AA0719" w14:textId="52151EDC" w:rsidR="00DC1558" w:rsidRPr="003D1614" w:rsidRDefault="00DC1558" w:rsidP="00DC1558">
      <w:pPr>
        <w:suppressAutoHyphens/>
        <w:autoSpaceDN w:val="0"/>
        <w:jc w:val="both"/>
        <w:rPr>
          <w:rFonts w:ascii="Arial" w:eastAsia="Calibri" w:hAnsi="Arial" w:cs="Arial"/>
          <w:spacing w:val="-3"/>
          <w:sz w:val="20"/>
          <w:szCs w:val="20"/>
        </w:rPr>
      </w:pPr>
      <w:r w:rsidRPr="003D1614">
        <w:rPr>
          <w:rFonts w:ascii="Arial" w:eastAsia="Calibri" w:hAnsi="Arial" w:cs="Arial"/>
          <w:spacing w:val="-3"/>
          <w:sz w:val="20"/>
          <w:szCs w:val="20"/>
        </w:rPr>
        <w:t xml:space="preserve">Na dan 31. </w:t>
      </w:r>
      <w:r w:rsidR="001B247D" w:rsidRPr="003D1614">
        <w:rPr>
          <w:rFonts w:ascii="Arial" w:eastAsia="Calibri" w:hAnsi="Arial" w:cs="Arial"/>
          <w:spacing w:val="-3"/>
          <w:sz w:val="20"/>
          <w:szCs w:val="20"/>
        </w:rPr>
        <w:t>ožujka</w:t>
      </w:r>
      <w:r w:rsidRPr="003D1614">
        <w:rPr>
          <w:rFonts w:ascii="Arial" w:eastAsia="Calibri" w:hAnsi="Arial" w:cs="Arial"/>
          <w:spacing w:val="-3"/>
          <w:sz w:val="20"/>
          <w:szCs w:val="20"/>
        </w:rPr>
        <w:t xml:space="preserve"> 202</w:t>
      </w:r>
      <w:r w:rsidR="00E61B18">
        <w:rPr>
          <w:rFonts w:ascii="Arial" w:eastAsia="Calibri" w:hAnsi="Arial" w:cs="Arial"/>
          <w:spacing w:val="-3"/>
          <w:sz w:val="20"/>
          <w:szCs w:val="20"/>
        </w:rPr>
        <w:t>4</w:t>
      </w:r>
      <w:r w:rsidRPr="003D1614">
        <w:rPr>
          <w:rFonts w:ascii="Arial" w:eastAsia="Calibri" w:hAnsi="Arial" w:cs="Arial"/>
          <w:spacing w:val="-3"/>
          <w:sz w:val="20"/>
          <w:szCs w:val="20"/>
        </w:rPr>
        <w:t xml:space="preserve">. iskazana je pozitivna fer vrijednost derivativnih financijskih instrumenata u visini od </w:t>
      </w:r>
      <w:r w:rsidR="009437D3">
        <w:rPr>
          <w:rFonts w:ascii="Arial" w:eastAsia="Calibri" w:hAnsi="Arial" w:cs="Arial"/>
          <w:spacing w:val="-3"/>
          <w:sz w:val="20"/>
          <w:szCs w:val="20"/>
        </w:rPr>
        <w:t>125</w:t>
      </w:r>
      <w:r w:rsidRPr="003D1614">
        <w:rPr>
          <w:rFonts w:ascii="Arial" w:eastAsia="Calibri" w:hAnsi="Arial" w:cs="Arial"/>
          <w:spacing w:val="-3"/>
          <w:sz w:val="20"/>
          <w:szCs w:val="20"/>
        </w:rPr>
        <w:t xml:space="preserve"> tisuća</w:t>
      </w:r>
      <w:r w:rsidR="001B247D" w:rsidRPr="003D1614">
        <w:rPr>
          <w:rFonts w:ascii="Arial" w:eastAsia="Calibri" w:hAnsi="Arial" w:cs="Arial"/>
          <w:spacing w:val="-3"/>
          <w:sz w:val="20"/>
          <w:szCs w:val="20"/>
        </w:rPr>
        <w:t xml:space="preserve"> eura</w:t>
      </w:r>
      <w:r w:rsidRPr="003D1614">
        <w:rPr>
          <w:rFonts w:ascii="Arial" w:eastAsia="Calibri" w:hAnsi="Arial" w:cs="Arial"/>
          <w:spacing w:val="-3"/>
          <w:sz w:val="20"/>
          <w:szCs w:val="20"/>
        </w:rPr>
        <w:t xml:space="preserve"> (31. prosinca 202</w:t>
      </w:r>
      <w:r w:rsidR="00194E4A">
        <w:rPr>
          <w:rFonts w:ascii="Arial" w:eastAsia="Calibri" w:hAnsi="Arial" w:cs="Arial"/>
          <w:spacing w:val="-3"/>
          <w:sz w:val="20"/>
          <w:szCs w:val="20"/>
        </w:rPr>
        <w:t>3</w:t>
      </w:r>
      <w:r w:rsidRPr="003D1614">
        <w:rPr>
          <w:rFonts w:ascii="Arial" w:eastAsia="Calibri" w:hAnsi="Arial" w:cs="Arial"/>
          <w:spacing w:val="-3"/>
          <w:sz w:val="20"/>
          <w:szCs w:val="20"/>
        </w:rPr>
        <w:t xml:space="preserve">.: </w:t>
      </w:r>
      <w:r w:rsidR="00881602">
        <w:rPr>
          <w:rFonts w:ascii="Arial" w:eastAsia="Calibri" w:hAnsi="Arial" w:cs="Arial"/>
          <w:spacing w:val="-3"/>
          <w:sz w:val="20"/>
          <w:szCs w:val="20"/>
        </w:rPr>
        <w:t>1</w:t>
      </w:r>
      <w:r w:rsidR="00194E4A">
        <w:rPr>
          <w:rFonts w:ascii="Arial" w:eastAsia="Calibri" w:hAnsi="Arial" w:cs="Arial"/>
          <w:spacing w:val="-3"/>
          <w:sz w:val="20"/>
          <w:szCs w:val="20"/>
        </w:rPr>
        <w:t>1</w:t>
      </w:r>
      <w:r w:rsidRPr="003D1614">
        <w:rPr>
          <w:rFonts w:ascii="Arial" w:eastAsia="Calibri" w:hAnsi="Arial" w:cs="Arial"/>
          <w:spacing w:val="-3"/>
          <w:sz w:val="20"/>
          <w:szCs w:val="20"/>
        </w:rPr>
        <w:t xml:space="preserve"> tisuća </w:t>
      </w:r>
      <w:r w:rsidR="001B247D" w:rsidRPr="003D1614">
        <w:rPr>
          <w:rFonts w:ascii="Arial" w:eastAsia="Calibri" w:hAnsi="Arial" w:cs="Arial"/>
          <w:spacing w:val="-3"/>
          <w:sz w:val="20"/>
          <w:szCs w:val="20"/>
        </w:rPr>
        <w:t>eura</w:t>
      </w:r>
      <w:r w:rsidRPr="003D1614">
        <w:rPr>
          <w:rFonts w:ascii="Arial" w:eastAsia="Calibri" w:hAnsi="Arial" w:cs="Arial"/>
          <w:spacing w:val="-3"/>
          <w:sz w:val="20"/>
          <w:szCs w:val="20"/>
        </w:rPr>
        <w:t>).</w:t>
      </w:r>
    </w:p>
    <w:p w14:paraId="7F82E37E" w14:textId="77777777" w:rsidR="001B247D" w:rsidRPr="003D1614" w:rsidRDefault="001B247D" w:rsidP="00DC1558">
      <w:pPr>
        <w:suppressAutoHyphens/>
        <w:autoSpaceDN w:val="0"/>
        <w:jc w:val="both"/>
        <w:rPr>
          <w:rFonts w:ascii="Arial" w:eastAsia="Calibri" w:hAnsi="Arial" w:cs="Arial"/>
          <w:spacing w:val="-3"/>
          <w:sz w:val="20"/>
          <w:szCs w:val="20"/>
        </w:rPr>
        <w:sectPr w:rsidR="001B247D" w:rsidRPr="003D1614">
          <w:pgSz w:w="11906" w:h="16838"/>
          <w:pgMar w:top="1417" w:right="1417" w:bottom="1417" w:left="1417" w:header="708" w:footer="708" w:gutter="0"/>
          <w:cols w:space="708"/>
          <w:docGrid w:linePitch="360"/>
        </w:sectPr>
      </w:pPr>
    </w:p>
    <w:p w14:paraId="72CC52E4" w14:textId="77777777" w:rsidR="001B247D" w:rsidRPr="003D1614" w:rsidRDefault="001B247D" w:rsidP="001B247D">
      <w:pPr>
        <w:suppressAutoHyphens/>
        <w:autoSpaceDN w:val="0"/>
        <w:jc w:val="both"/>
        <w:outlineLvl w:val="0"/>
        <w:rPr>
          <w:rFonts w:ascii="Arial" w:eastAsia="Times New Roman" w:hAnsi="Arial" w:cs="Arial"/>
          <w:b/>
          <w:bCs/>
          <w:color w:val="000000" w:themeColor="text1"/>
        </w:rPr>
      </w:pPr>
    </w:p>
    <w:p w14:paraId="2394E8D2" w14:textId="6BC15AE3" w:rsidR="001B247D" w:rsidRPr="003D1614" w:rsidRDefault="001B247D" w:rsidP="001B247D">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4</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Financijska imovina po fer vrijednosti kroz ostalu sveobuhvatnu dobit</w:t>
      </w:r>
      <w:r w:rsidRPr="003D1614">
        <w:rPr>
          <w:rFonts w:ascii="Arial" w:eastAsia="Times New Roman" w:hAnsi="Arial" w:cs="Arial"/>
          <w:b/>
          <w:bCs/>
          <w:color w:val="000000" w:themeColor="text1"/>
          <w:sz w:val="20"/>
          <w:szCs w:val="20"/>
        </w:rPr>
        <w:tab/>
      </w:r>
      <w:r w:rsidRPr="003D1614">
        <w:rPr>
          <w:rFonts w:ascii="Arial" w:eastAsia="Times New Roman" w:hAnsi="Arial" w:cs="Arial"/>
          <w:b/>
          <w:bCs/>
          <w:color w:val="000000" w:themeColor="text1"/>
          <w:sz w:val="20"/>
          <w:szCs w:val="20"/>
        </w:rPr>
        <w:tab/>
      </w:r>
      <w:r w:rsidRPr="003D1614">
        <w:rPr>
          <w:rFonts w:ascii="Arial" w:eastAsia="Times New Roman" w:hAnsi="Arial" w:cs="Arial"/>
          <w:b/>
          <w:bCs/>
          <w:color w:val="000000" w:themeColor="text1"/>
          <w:sz w:val="20"/>
          <w:szCs w:val="20"/>
        </w:rPr>
        <w:tab/>
      </w:r>
      <w:r w:rsidRPr="003D1614">
        <w:rPr>
          <w:rFonts w:ascii="Arial" w:eastAsia="Times New Roman" w:hAnsi="Arial" w:cs="Arial"/>
          <w:b/>
          <w:bCs/>
          <w:color w:val="000000" w:themeColor="text1"/>
          <w:sz w:val="20"/>
          <w:szCs w:val="20"/>
        </w:rPr>
        <w:tab/>
      </w:r>
    </w:p>
    <w:tbl>
      <w:tblPr>
        <w:tblW w:w="9582" w:type="dxa"/>
        <w:tblLook w:val="04A0" w:firstRow="1" w:lastRow="0" w:firstColumn="1" w:lastColumn="0" w:noHBand="0" w:noVBand="1"/>
      </w:tblPr>
      <w:tblGrid>
        <w:gridCol w:w="3912"/>
        <w:gridCol w:w="1417"/>
        <w:gridCol w:w="1418"/>
        <w:gridCol w:w="1417"/>
        <w:gridCol w:w="1418"/>
      </w:tblGrid>
      <w:tr w:rsidR="001B247D" w:rsidRPr="002B3067" w14:paraId="481D7115" w14:textId="77777777" w:rsidTr="002B3067">
        <w:trPr>
          <w:trHeight w:val="281"/>
        </w:trPr>
        <w:tc>
          <w:tcPr>
            <w:tcW w:w="3912" w:type="dxa"/>
            <w:tcBorders>
              <w:top w:val="nil"/>
              <w:left w:val="nil"/>
              <w:bottom w:val="nil"/>
              <w:right w:val="nil"/>
            </w:tcBorders>
            <w:shd w:val="clear" w:color="auto" w:fill="auto"/>
            <w:vAlign w:val="bottom"/>
            <w:hideMark/>
          </w:tcPr>
          <w:p w14:paraId="22B47AA9" w14:textId="77777777" w:rsidR="001B247D" w:rsidRPr="002B3067" w:rsidRDefault="001B247D" w:rsidP="001B247D">
            <w:pPr>
              <w:suppressAutoHyphens/>
              <w:autoSpaceDN w:val="0"/>
              <w:rPr>
                <w:rFonts w:ascii="Arial" w:eastAsia="Calibri" w:hAnsi="Arial" w:cs="Arial"/>
                <w:color w:val="000000" w:themeColor="text1"/>
                <w:sz w:val="20"/>
                <w:szCs w:val="20"/>
              </w:rPr>
            </w:pPr>
          </w:p>
        </w:tc>
        <w:tc>
          <w:tcPr>
            <w:tcW w:w="2835" w:type="dxa"/>
            <w:gridSpan w:val="2"/>
            <w:tcBorders>
              <w:top w:val="nil"/>
              <w:left w:val="nil"/>
              <w:bottom w:val="nil"/>
              <w:right w:val="nil"/>
            </w:tcBorders>
            <w:shd w:val="clear" w:color="auto" w:fill="auto"/>
            <w:vAlign w:val="bottom"/>
            <w:hideMark/>
          </w:tcPr>
          <w:p w14:paraId="00D26BFB" w14:textId="77777777"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Grupa</w:t>
            </w:r>
          </w:p>
        </w:tc>
        <w:tc>
          <w:tcPr>
            <w:tcW w:w="2835" w:type="dxa"/>
            <w:gridSpan w:val="2"/>
            <w:tcBorders>
              <w:top w:val="nil"/>
              <w:left w:val="nil"/>
              <w:bottom w:val="nil"/>
              <w:right w:val="nil"/>
            </w:tcBorders>
            <w:shd w:val="clear" w:color="auto" w:fill="auto"/>
            <w:vAlign w:val="bottom"/>
            <w:hideMark/>
          </w:tcPr>
          <w:p w14:paraId="238533B5" w14:textId="77777777"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Banka</w:t>
            </w:r>
          </w:p>
        </w:tc>
      </w:tr>
      <w:tr w:rsidR="001B247D" w:rsidRPr="002B3067" w14:paraId="7348AAD4" w14:textId="77777777" w:rsidTr="002B3067">
        <w:trPr>
          <w:trHeight w:val="281"/>
        </w:trPr>
        <w:tc>
          <w:tcPr>
            <w:tcW w:w="3912" w:type="dxa"/>
            <w:tcBorders>
              <w:top w:val="nil"/>
              <w:left w:val="nil"/>
              <w:bottom w:val="nil"/>
              <w:right w:val="nil"/>
            </w:tcBorders>
            <w:shd w:val="clear" w:color="auto" w:fill="auto"/>
            <w:vAlign w:val="bottom"/>
            <w:hideMark/>
          </w:tcPr>
          <w:p w14:paraId="2C881F2A" w14:textId="77777777" w:rsidR="001B247D" w:rsidRPr="002B3067" w:rsidRDefault="001B247D" w:rsidP="001B247D">
            <w:pPr>
              <w:suppressAutoHyphens/>
              <w:autoSpaceDN w:val="0"/>
              <w:jc w:val="right"/>
              <w:rPr>
                <w:rFonts w:ascii="Arial" w:eastAsia="Calibri" w:hAnsi="Arial" w:cs="Arial"/>
                <w:b/>
                <w:bCs/>
                <w:color w:val="000000" w:themeColor="text1"/>
                <w:sz w:val="20"/>
                <w:szCs w:val="20"/>
              </w:rPr>
            </w:pPr>
          </w:p>
        </w:tc>
        <w:tc>
          <w:tcPr>
            <w:tcW w:w="1417" w:type="dxa"/>
            <w:tcBorders>
              <w:top w:val="nil"/>
              <w:left w:val="nil"/>
              <w:bottom w:val="nil"/>
              <w:right w:val="nil"/>
            </w:tcBorders>
            <w:shd w:val="clear" w:color="auto" w:fill="auto"/>
            <w:vAlign w:val="bottom"/>
            <w:hideMark/>
          </w:tcPr>
          <w:p w14:paraId="7D205908" w14:textId="0F658074"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31. ožujka 202</w:t>
            </w:r>
            <w:r w:rsidR="00AD7B47">
              <w:rPr>
                <w:rFonts w:ascii="Arial" w:eastAsia="Calibri" w:hAnsi="Arial" w:cs="Arial"/>
                <w:b/>
                <w:bCs/>
                <w:color w:val="000000" w:themeColor="text1"/>
                <w:sz w:val="20"/>
                <w:szCs w:val="20"/>
              </w:rPr>
              <w:t>4</w:t>
            </w:r>
            <w:r w:rsidRPr="002B3067">
              <w:rPr>
                <w:rFonts w:ascii="Arial" w:eastAsia="Calibri" w:hAnsi="Arial" w:cs="Arial"/>
                <w:b/>
                <w:bCs/>
                <w:color w:val="000000" w:themeColor="text1"/>
                <w:sz w:val="20"/>
                <w:szCs w:val="20"/>
              </w:rPr>
              <w:t>.</w:t>
            </w:r>
          </w:p>
        </w:tc>
        <w:tc>
          <w:tcPr>
            <w:tcW w:w="1418" w:type="dxa"/>
            <w:tcBorders>
              <w:top w:val="nil"/>
              <w:left w:val="nil"/>
              <w:bottom w:val="nil"/>
              <w:right w:val="nil"/>
            </w:tcBorders>
            <w:shd w:val="clear" w:color="auto" w:fill="auto"/>
            <w:vAlign w:val="bottom"/>
            <w:hideMark/>
          </w:tcPr>
          <w:p w14:paraId="5D0492BF" w14:textId="7ABB6C3F"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31. prosinca 202</w:t>
            </w:r>
            <w:r w:rsidR="00AD7B47">
              <w:rPr>
                <w:rFonts w:ascii="Arial" w:eastAsia="Calibri" w:hAnsi="Arial" w:cs="Arial"/>
                <w:b/>
                <w:bCs/>
                <w:color w:val="000000" w:themeColor="text1"/>
                <w:sz w:val="20"/>
                <w:szCs w:val="20"/>
              </w:rPr>
              <w:t>3</w:t>
            </w:r>
            <w:r w:rsidRPr="002B3067">
              <w:rPr>
                <w:rFonts w:ascii="Arial" w:eastAsia="Calibri" w:hAnsi="Arial" w:cs="Arial"/>
                <w:b/>
                <w:bCs/>
                <w:color w:val="000000" w:themeColor="text1"/>
                <w:sz w:val="20"/>
                <w:szCs w:val="20"/>
              </w:rPr>
              <w:t>.</w:t>
            </w:r>
          </w:p>
        </w:tc>
        <w:tc>
          <w:tcPr>
            <w:tcW w:w="1417" w:type="dxa"/>
            <w:tcBorders>
              <w:top w:val="nil"/>
              <w:left w:val="nil"/>
              <w:bottom w:val="nil"/>
              <w:right w:val="nil"/>
            </w:tcBorders>
            <w:shd w:val="clear" w:color="auto" w:fill="auto"/>
            <w:vAlign w:val="bottom"/>
            <w:hideMark/>
          </w:tcPr>
          <w:p w14:paraId="137E998F" w14:textId="10430FCC"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31. ožujka 202</w:t>
            </w:r>
            <w:r w:rsidR="00AD7B47">
              <w:rPr>
                <w:rFonts w:ascii="Arial" w:eastAsia="Calibri" w:hAnsi="Arial" w:cs="Arial"/>
                <w:b/>
                <w:bCs/>
                <w:color w:val="000000" w:themeColor="text1"/>
                <w:sz w:val="20"/>
                <w:szCs w:val="20"/>
              </w:rPr>
              <w:t>4</w:t>
            </w:r>
            <w:r w:rsidRPr="002B3067">
              <w:rPr>
                <w:rFonts w:ascii="Arial" w:eastAsia="Calibri" w:hAnsi="Arial" w:cs="Arial"/>
                <w:b/>
                <w:bCs/>
                <w:color w:val="000000" w:themeColor="text1"/>
                <w:sz w:val="20"/>
                <w:szCs w:val="20"/>
              </w:rPr>
              <w:t>.</w:t>
            </w:r>
          </w:p>
        </w:tc>
        <w:tc>
          <w:tcPr>
            <w:tcW w:w="1418" w:type="dxa"/>
            <w:tcBorders>
              <w:top w:val="nil"/>
              <w:left w:val="nil"/>
              <w:bottom w:val="nil"/>
              <w:right w:val="nil"/>
            </w:tcBorders>
            <w:shd w:val="clear" w:color="auto" w:fill="auto"/>
            <w:vAlign w:val="bottom"/>
            <w:hideMark/>
          </w:tcPr>
          <w:p w14:paraId="7AD5B333" w14:textId="39288E18"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31. prosinca 202</w:t>
            </w:r>
            <w:r w:rsidR="00AD7B47">
              <w:rPr>
                <w:rFonts w:ascii="Arial" w:eastAsia="Calibri" w:hAnsi="Arial" w:cs="Arial"/>
                <w:b/>
                <w:bCs/>
                <w:color w:val="000000" w:themeColor="text1"/>
                <w:sz w:val="20"/>
                <w:szCs w:val="20"/>
              </w:rPr>
              <w:t>3</w:t>
            </w:r>
            <w:r w:rsidRPr="002B3067">
              <w:rPr>
                <w:rFonts w:ascii="Arial" w:eastAsia="Calibri" w:hAnsi="Arial" w:cs="Arial"/>
                <w:b/>
                <w:bCs/>
                <w:color w:val="000000" w:themeColor="text1"/>
                <w:sz w:val="20"/>
                <w:szCs w:val="20"/>
              </w:rPr>
              <w:t>.</w:t>
            </w:r>
          </w:p>
        </w:tc>
      </w:tr>
      <w:tr w:rsidR="001B247D" w:rsidRPr="002B3067" w14:paraId="3FABB5E0" w14:textId="77777777" w:rsidTr="002B3067">
        <w:trPr>
          <w:trHeight w:val="281"/>
        </w:trPr>
        <w:tc>
          <w:tcPr>
            <w:tcW w:w="3912" w:type="dxa"/>
            <w:tcBorders>
              <w:top w:val="nil"/>
              <w:left w:val="nil"/>
              <w:bottom w:val="nil"/>
              <w:right w:val="nil"/>
            </w:tcBorders>
            <w:shd w:val="clear" w:color="auto" w:fill="auto"/>
            <w:vAlign w:val="bottom"/>
            <w:hideMark/>
          </w:tcPr>
          <w:p w14:paraId="45CE783B" w14:textId="77777777" w:rsidR="001B247D" w:rsidRPr="002B3067" w:rsidRDefault="001B247D" w:rsidP="001B247D">
            <w:pPr>
              <w:suppressAutoHyphens/>
              <w:autoSpaceDN w:val="0"/>
              <w:jc w:val="right"/>
              <w:rPr>
                <w:rFonts w:ascii="Arial" w:eastAsia="Calibri" w:hAnsi="Arial" w:cs="Arial"/>
                <w:b/>
                <w:bCs/>
                <w:color w:val="000000" w:themeColor="text1"/>
                <w:sz w:val="20"/>
                <w:szCs w:val="20"/>
              </w:rPr>
            </w:pPr>
          </w:p>
        </w:tc>
        <w:tc>
          <w:tcPr>
            <w:tcW w:w="1417" w:type="dxa"/>
            <w:tcBorders>
              <w:top w:val="nil"/>
              <w:left w:val="nil"/>
              <w:bottom w:val="nil"/>
              <w:right w:val="nil"/>
            </w:tcBorders>
            <w:shd w:val="clear" w:color="auto" w:fill="auto"/>
            <w:vAlign w:val="bottom"/>
            <w:hideMark/>
          </w:tcPr>
          <w:p w14:paraId="1CE75AF5" w14:textId="1011FD80"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000 eura</w:t>
            </w:r>
          </w:p>
        </w:tc>
        <w:tc>
          <w:tcPr>
            <w:tcW w:w="1418" w:type="dxa"/>
            <w:tcBorders>
              <w:top w:val="nil"/>
              <w:left w:val="nil"/>
              <w:bottom w:val="nil"/>
              <w:right w:val="nil"/>
            </w:tcBorders>
            <w:shd w:val="clear" w:color="auto" w:fill="auto"/>
            <w:vAlign w:val="bottom"/>
            <w:hideMark/>
          </w:tcPr>
          <w:p w14:paraId="72993594" w14:textId="5CB08C7D"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000 eura</w:t>
            </w:r>
          </w:p>
        </w:tc>
        <w:tc>
          <w:tcPr>
            <w:tcW w:w="1417" w:type="dxa"/>
            <w:tcBorders>
              <w:top w:val="nil"/>
              <w:left w:val="nil"/>
              <w:bottom w:val="nil"/>
              <w:right w:val="nil"/>
            </w:tcBorders>
            <w:shd w:val="clear" w:color="auto" w:fill="auto"/>
            <w:vAlign w:val="bottom"/>
            <w:hideMark/>
          </w:tcPr>
          <w:p w14:paraId="7AA96107" w14:textId="38093187"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000 eura</w:t>
            </w:r>
          </w:p>
        </w:tc>
        <w:tc>
          <w:tcPr>
            <w:tcW w:w="1418" w:type="dxa"/>
            <w:tcBorders>
              <w:top w:val="nil"/>
              <w:left w:val="nil"/>
              <w:bottom w:val="nil"/>
              <w:right w:val="nil"/>
            </w:tcBorders>
            <w:shd w:val="clear" w:color="auto" w:fill="auto"/>
            <w:vAlign w:val="bottom"/>
            <w:hideMark/>
          </w:tcPr>
          <w:p w14:paraId="4EFC49E5" w14:textId="32BE18BF" w:rsidR="001B247D" w:rsidRPr="002B3067" w:rsidRDefault="001B247D" w:rsidP="001B247D">
            <w:pPr>
              <w:suppressAutoHyphens/>
              <w:autoSpaceDN w:val="0"/>
              <w:jc w:val="right"/>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000 eura</w:t>
            </w:r>
          </w:p>
        </w:tc>
      </w:tr>
      <w:tr w:rsidR="001B247D" w:rsidRPr="002B3067" w14:paraId="37184513" w14:textId="77777777" w:rsidTr="002B3067">
        <w:trPr>
          <w:trHeight w:val="281"/>
        </w:trPr>
        <w:tc>
          <w:tcPr>
            <w:tcW w:w="3912" w:type="dxa"/>
            <w:tcBorders>
              <w:top w:val="nil"/>
              <w:left w:val="nil"/>
              <w:bottom w:val="nil"/>
              <w:right w:val="nil"/>
            </w:tcBorders>
            <w:shd w:val="clear" w:color="auto" w:fill="auto"/>
            <w:vAlign w:val="bottom"/>
            <w:hideMark/>
          </w:tcPr>
          <w:p w14:paraId="396D2A7E" w14:textId="77777777" w:rsidR="001B247D" w:rsidRPr="002B3067" w:rsidRDefault="001B247D" w:rsidP="001B247D">
            <w:pPr>
              <w:suppressAutoHyphens/>
              <w:autoSpaceDN w:val="0"/>
              <w:rPr>
                <w:rFonts w:ascii="Arial" w:eastAsia="Calibri" w:hAnsi="Arial" w:cs="Arial"/>
                <w:b/>
                <w:bCs/>
                <w:i/>
                <w:iCs/>
                <w:color w:val="000000" w:themeColor="text1"/>
                <w:sz w:val="20"/>
                <w:szCs w:val="20"/>
              </w:rPr>
            </w:pPr>
            <w:r w:rsidRPr="002B3067">
              <w:rPr>
                <w:rFonts w:ascii="Arial" w:eastAsia="Calibri" w:hAnsi="Arial" w:cs="Arial"/>
                <w:b/>
                <w:bCs/>
                <w:i/>
                <w:iCs/>
                <w:color w:val="000000" w:themeColor="text1"/>
                <w:sz w:val="20"/>
                <w:szCs w:val="20"/>
              </w:rPr>
              <w:t>Dužnički vrijednosni papiri:</w:t>
            </w:r>
          </w:p>
        </w:tc>
        <w:tc>
          <w:tcPr>
            <w:tcW w:w="1417" w:type="dxa"/>
            <w:tcBorders>
              <w:top w:val="nil"/>
              <w:left w:val="nil"/>
              <w:bottom w:val="nil"/>
              <w:right w:val="nil"/>
            </w:tcBorders>
            <w:shd w:val="clear" w:color="auto" w:fill="auto"/>
            <w:vAlign w:val="bottom"/>
            <w:hideMark/>
          </w:tcPr>
          <w:p w14:paraId="2C03EEA1" w14:textId="77777777" w:rsidR="001B247D" w:rsidRPr="002B3067" w:rsidRDefault="001B247D" w:rsidP="001B247D">
            <w:pPr>
              <w:suppressAutoHyphens/>
              <w:autoSpaceDN w:val="0"/>
              <w:rPr>
                <w:rFonts w:ascii="Arial" w:eastAsia="Calibri" w:hAnsi="Arial" w:cs="Arial"/>
                <w:b/>
                <w:bCs/>
                <w:i/>
                <w:iCs/>
                <w:color w:val="000000" w:themeColor="text1"/>
                <w:sz w:val="20"/>
                <w:szCs w:val="20"/>
              </w:rPr>
            </w:pPr>
          </w:p>
        </w:tc>
        <w:tc>
          <w:tcPr>
            <w:tcW w:w="1418" w:type="dxa"/>
            <w:tcBorders>
              <w:top w:val="nil"/>
              <w:left w:val="nil"/>
              <w:bottom w:val="nil"/>
              <w:right w:val="nil"/>
            </w:tcBorders>
            <w:shd w:val="clear" w:color="auto" w:fill="auto"/>
            <w:vAlign w:val="bottom"/>
            <w:hideMark/>
          </w:tcPr>
          <w:p w14:paraId="2DE65B93" w14:textId="77777777" w:rsidR="001B247D" w:rsidRPr="002B3067" w:rsidRDefault="001B247D" w:rsidP="001B247D">
            <w:pPr>
              <w:suppressAutoHyphens/>
              <w:autoSpaceDN w:val="0"/>
              <w:rPr>
                <w:rFonts w:ascii="Arial" w:eastAsia="Calibri" w:hAnsi="Arial" w:cs="Arial"/>
                <w:b/>
                <w:bCs/>
                <w:i/>
                <w:iCs/>
                <w:color w:val="000000" w:themeColor="text1"/>
                <w:sz w:val="20"/>
                <w:szCs w:val="20"/>
              </w:rPr>
            </w:pPr>
          </w:p>
        </w:tc>
        <w:tc>
          <w:tcPr>
            <w:tcW w:w="1417" w:type="dxa"/>
            <w:tcBorders>
              <w:top w:val="nil"/>
              <w:left w:val="nil"/>
              <w:bottom w:val="nil"/>
              <w:right w:val="nil"/>
            </w:tcBorders>
            <w:shd w:val="clear" w:color="auto" w:fill="auto"/>
            <w:vAlign w:val="bottom"/>
            <w:hideMark/>
          </w:tcPr>
          <w:p w14:paraId="7953DC02"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c>
          <w:tcPr>
            <w:tcW w:w="1418" w:type="dxa"/>
            <w:tcBorders>
              <w:top w:val="nil"/>
              <w:left w:val="nil"/>
              <w:bottom w:val="nil"/>
              <w:right w:val="nil"/>
            </w:tcBorders>
            <w:shd w:val="clear" w:color="auto" w:fill="auto"/>
            <w:vAlign w:val="bottom"/>
            <w:hideMark/>
          </w:tcPr>
          <w:p w14:paraId="212C2F1E"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r>
      <w:tr w:rsidR="001B247D" w:rsidRPr="002B3067" w14:paraId="641CD981" w14:textId="77777777" w:rsidTr="002B3067">
        <w:trPr>
          <w:trHeight w:val="281"/>
        </w:trPr>
        <w:tc>
          <w:tcPr>
            <w:tcW w:w="3912" w:type="dxa"/>
            <w:tcBorders>
              <w:top w:val="nil"/>
              <w:left w:val="nil"/>
              <w:bottom w:val="nil"/>
              <w:right w:val="nil"/>
            </w:tcBorders>
            <w:shd w:val="clear" w:color="auto" w:fill="auto"/>
            <w:vAlign w:val="bottom"/>
            <w:hideMark/>
          </w:tcPr>
          <w:p w14:paraId="391EC611" w14:textId="77777777" w:rsidR="001B247D" w:rsidRPr="002B3067" w:rsidRDefault="001B247D" w:rsidP="001B247D">
            <w:pPr>
              <w:suppressAutoHyphens/>
              <w:autoSpaceDN w:val="0"/>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Dužnički vrijednosni papiri koji kotiraju:</w:t>
            </w:r>
          </w:p>
        </w:tc>
        <w:tc>
          <w:tcPr>
            <w:tcW w:w="1417" w:type="dxa"/>
            <w:tcBorders>
              <w:top w:val="nil"/>
              <w:left w:val="nil"/>
              <w:bottom w:val="nil"/>
              <w:right w:val="nil"/>
            </w:tcBorders>
            <w:shd w:val="clear" w:color="auto" w:fill="auto"/>
            <w:vAlign w:val="bottom"/>
            <w:hideMark/>
          </w:tcPr>
          <w:p w14:paraId="6CA13DAF" w14:textId="77777777" w:rsidR="001B247D" w:rsidRPr="002B3067" w:rsidRDefault="001B247D" w:rsidP="001B247D">
            <w:pPr>
              <w:suppressAutoHyphens/>
              <w:autoSpaceDN w:val="0"/>
              <w:rPr>
                <w:rFonts w:ascii="Arial" w:eastAsia="Calibri" w:hAnsi="Arial" w:cs="Arial"/>
                <w:b/>
                <w:bCs/>
                <w:color w:val="000000" w:themeColor="text1"/>
                <w:sz w:val="20"/>
                <w:szCs w:val="20"/>
              </w:rPr>
            </w:pPr>
          </w:p>
        </w:tc>
        <w:tc>
          <w:tcPr>
            <w:tcW w:w="1418" w:type="dxa"/>
            <w:tcBorders>
              <w:top w:val="nil"/>
              <w:left w:val="nil"/>
              <w:bottom w:val="nil"/>
              <w:right w:val="nil"/>
            </w:tcBorders>
            <w:shd w:val="clear" w:color="auto" w:fill="auto"/>
            <w:vAlign w:val="bottom"/>
            <w:hideMark/>
          </w:tcPr>
          <w:p w14:paraId="00C855AB" w14:textId="77777777" w:rsidR="001B247D" w:rsidRPr="002B3067" w:rsidRDefault="001B247D" w:rsidP="001B247D">
            <w:pPr>
              <w:suppressAutoHyphens/>
              <w:autoSpaceDN w:val="0"/>
              <w:rPr>
                <w:rFonts w:ascii="Arial" w:eastAsia="Calibri" w:hAnsi="Arial" w:cs="Arial"/>
                <w:b/>
                <w:bCs/>
                <w:color w:val="000000" w:themeColor="text1"/>
                <w:sz w:val="20"/>
                <w:szCs w:val="20"/>
              </w:rPr>
            </w:pPr>
          </w:p>
        </w:tc>
        <w:tc>
          <w:tcPr>
            <w:tcW w:w="1417" w:type="dxa"/>
            <w:tcBorders>
              <w:top w:val="nil"/>
              <w:left w:val="nil"/>
              <w:bottom w:val="nil"/>
              <w:right w:val="nil"/>
            </w:tcBorders>
            <w:shd w:val="clear" w:color="auto" w:fill="auto"/>
            <w:vAlign w:val="bottom"/>
            <w:hideMark/>
          </w:tcPr>
          <w:p w14:paraId="208B3499"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c>
          <w:tcPr>
            <w:tcW w:w="1418" w:type="dxa"/>
            <w:tcBorders>
              <w:top w:val="nil"/>
              <w:left w:val="nil"/>
              <w:bottom w:val="nil"/>
              <w:right w:val="nil"/>
            </w:tcBorders>
            <w:shd w:val="clear" w:color="auto" w:fill="auto"/>
            <w:vAlign w:val="bottom"/>
            <w:hideMark/>
          </w:tcPr>
          <w:p w14:paraId="176DA342" w14:textId="77777777" w:rsidR="001B247D" w:rsidRPr="002B3067" w:rsidRDefault="001B247D" w:rsidP="001B247D">
            <w:pPr>
              <w:suppressAutoHyphens/>
              <w:autoSpaceDN w:val="0"/>
              <w:jc w:val="right"/>
              <w:rPr>
                <w:rFonts w:ascii="Arial" w:eastAsia="Calibri" w:hAnsi="Arial" w:cs="Arial"/>
                <w:color w:val="000000" w:themeColor="text1"/>
                <w:sz w:val="20"/>
                <w:szCs w:val="20"/>
              </w:rPr>
            </w:pPr>
          </w:p>
        </w:tc>
      </w:tr>
      <w:tr w:rsidR="00DB3F94" w:rsidRPr="002B3067" w14:paraId="73C9BCBE" w14:textId="77777777" w:rsidTr="005D1219">
        <w:trPr>
          <w:trHeight w:hRule="exact" w:val="284"/>
        </w:trPr>
        <w:tc>
          <w:tcPr>
            <w:tcW w:w="3912" w:type="dxa"/>
            <w:tcBorders>
              <w:top w:val="nil"/>
              <w:left w:val="nil"/>
              <w:bottom w:val="nil"/>
              <w:right w:val="nil"/>
            </w:tcBorders>
            <w:shd w:val="clear" w:color="auto" w:fill="auto"/>
            <w:vAlign w:val="bottom"/>
            <w:hideMark/>
          </w:tcPr>
          <w:p w14:paraId="41D106BD" w14:textId="77777777" w:rsidR="00DB3F94" w:rsidRPr="002B3067" w:rsidRDefault="00DB3F94" w:rsidP="00DB3F94">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Obveznice Republike Hrvatske</w:t>
            </w:r>
          </w:p>
        </w:tc>
        <w:tc>
          <w:tcPr>
            <w:tcW w:w="1417" w:type="dxa"/>
            <w:tcBorders>
              <w:top w:val="nil"/>
              <w:left w:val="nil"/>
              <w:bottom w:val="nil"/>
              <w:right w:val="nil"/>
            </w:tcBorders>
            <w:shd w:val="clear" w:color="auto" w:fill="auto"/>
            <w:vAlign w:val="bottom"/>
          </w:tcPr>
          <w:p w14:paraId="0AFC4CCA" w14:textId="7E845982" w:rsidR="00DB3F94" w:rsidRPr="002B3067" w:rsidRDefault="00CC3188" w:rsidP="00DB3F9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209.630</w:t>
            </w:r>
          </w:p>
        </w:tc>
        <w:tc>
          <w:tcPr>
            <w:tcW w:w="1418" w:type="dxa"/>
            <w:tcBorders>
              <w:top w:val="nil"/>
              <w:left w:val="nil"/>
              <w:bottom w:val="nil"/>
              <w:right w:val="nil"/>
            </w:tcBorders>
            <w:shd w:val="clear" w:color="auto" w:fill="auto"/>
            <w:vAlign w:val="bottom"/>
          </w:tcPr>
          <w:p w14:paraId="0C1AA9D8" w14:textId="30FAAB13" w:rsidR="00DB3F94" w:rsidRPr="002B3067" w:rsidRDefault="00DB3F94" w:rsidP="00DB3F94">
            <w:pPr>
              <w:suppressAutoHyphens/>
              <w:autoSpaceDN w:val="0"/>
              <w:jc w:val="right"/>
              <w:rPr>
                <w:rFonts w:ascii="Arial" w:eastAsia="Calibri" w:hAnsi="Arial" w:cs="Arial"/>
                <w:color w:val="000000" w:themeColor="text1"/>
                <w:sz w:val="20"/>
                <w:szCs w:val="20"/>
              </w:rPr>
            </w:pPr>
            <w:r w:rsidRPr="00F959D0">
              <w:rPr>
                <w:rFonts w:ascii="Arial" w:hAnsi="Arial" w:cs="Arial"/>
                <w:sz w:val="20"/>
                <w:szCs w:val="20"/>
              </w:rPr>
              <w:t xml:space="preserve"> 185.225 </w:t>
            </w:r>
          </w:p>
        </w:tc>
        <w:tc>
          <w:tcPr>
            <w:tcW w:w="1417" w:type="dxa"/>
            <w:tcBorders>
              <w:top w:val="nil"/>
              <w:left w:val="nil"/>
              <w:bottom w:val="nil"/>
              <w:right w:val="nil"/>
            </w:tcBorders>
            <w:shd w:val="clear" w:color="auto" w:fill="auto"/>
            <w:vAlign w:val="bottom"/>
          </w:tcPr>
          <w:p w14:paraId="75F26961" w14:textId="251ECB8C" w:rsidR="00DB3F94" w:rsidRPr="002B3067" w:rsidRDefault="007D1B8C" w:rsidP="00DB3F9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203.686</w:t>
            </w:r>
          </w:p>
        </w:tc>
        <w:tc>
          <w:tcPr>
            <w:tcW w:w="1418" w:type="dxa"/>
            <w:tcBorders>
              <w:top w:val="nil"/>
              <w:left w:val="nil"/>
              <w:bottom w:val="nil"/>
              <w:right w:val="nil"/>
            </w:tcBorders>
            <w:shd w:val="clear" w:color="auto" w:fill="auto"/>
            <w:vAlign w:val="bottom"/>
          </w:tcPr>
          <w:p w14:paraId="6FC1AAFE" w14:textId="6DF0D9AA" w:rsidR="00DB3F94" w:rsidRPr="002B3067" w:rsidRDefault="00DB3F94" w:rsidP="00DB3F94">
            <w:pPr>
              <w:suppressAutoHyphens/>
              <w:autoSpaceDN w:val="0"/>
              <w:jc w:val="right"/>
              <w:rPr>
                <w:rFonts w:ascii="Arial" w:eastAsia="Calibri" w:hAnsi="Arial" w:cs="Arial"/>
                <w:color w:val="000000" w:themeColor="text1"/>
                <w:sz w:val="20"/>
                <w:szCs w:val="20"/>
              </w:rPr>
            </w:pPr>
            <w:r w:rsidRPr="00267853">
              <w:rPr>
                <w:rFonts w:ascii="Arial" w:eastAsia="Calibri" w:hAnsi="Arial" w:cs="Arial"/>
                <w:color w:val="000000" w:themeColor="text1"/>
                <w:sz w:val="20"/>
                <w:szCs w:val="20"/>
              </w:rPr>
              <w:t>179.243</w:t>
            </w:r>
          </w:p>
        </w:tc>
      </w:tr>
      <w:tr w:rsidR="00DB3F94" w:rsidRPr="002B3067" w14:paraId="687323A4" w14:textId="77777777" w:rsidTr="005D1219">
        <w:trPr>
          <w:trHeight w:hRule="exact" w:val="284"/>
        </w:trPr>
        <w:tc>
          <w:tcPr>
            <w:tcW w:w="3912" w:type="dxa"/>
            <w:tcBorders>
              <w:top w:val="nil"/>
              <w:left w:val="nil"/>
              <w:bottom w:val="nil"/>
              <w:right w:val="nil"/>
            </w:tcBorders>
            <w:shd w:val="clear" w:color="auto" w:fill="auto"/>
            <w:vAlign w:val="bottom"/>
            <w:hideMark/>
          </w:tcPr>
          <w:p w14:paraId="1D5AC993" w14:textId="77777777" w:rsidR="00DB3F94" w:rsidRPr="002B3067" w:rsidRDefault="00DB3F94" w:rsidP="00DB3F94">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Obveznice trgovačkih društava</w:t>
            </w:r>
          </w:p>
        </w:tc>
        <w:tc>
          <w:tcPr>
            <w:tcW w:w="1417" w:type="dxa"/>
            <w:tcBorders>
              <w:top w:val="nil"/>
              <w:left w:val="nil"/>
              <w:bottom w:val="nil"/>
              <w:right w:val="nil"/>
            </w:tcBorders>
            <w:shd w:val="clear" w:color="auto" w:fill="auto"/>
            <w:vAlign w:val="bottom"/>
          </w:tcPr>
          <w:p w14:paraId="3EF3CC51" w14:textId="239BA876" w:rsidR="00DB3F94" w:rsidRPr="002B3067" w:rsidRDefault="00F76816" w:rsidP="00DB3F9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300</w:t>
            </w:r>
          </w:p>
        </w:tc>
        <w:tc>
          <w:tcPr>
            <w:tcW w:w="1418" w:type="dxa"/>
            <w:tcBorders>
              <w:top w:val="nil"/>
              <w:left w:val="nil"/>
              <w:bottom w:val="nil"/>
              <w:right w:val="nil"/>
            </w:tcBorders>
            <w:shd w:val="clear" w:color="auto" w:fill="auto"/>
            <w:vAlign w:val="bottom"/>
          </w:tcPr>
          <w:p w14:paraId="29F216F2" w14:textId="5C726D8D" w:rsidR="00DB3F94" w:rsidRPr="002B3067" w:rsidRDefault="00DB3F94" w:rsidP="00DB3F94">
            <w:pPr>
              <w:suppressAutoHyphens/>
              <w:autoSpaceDN w:val="0"/>
              <w:jc w:val="right"/>
              <w:rPr>
                <w:rFonts w:ascii="Arial" w:eastAsia="Calibri" w:hAnsi="Arial" w:cs="Arial"/>
                <w:color w:val="000000" w:themeColor="text1"/>
                <w:sz w:val="20"/>
                <w:szCs w:val="20"/>
              </w:rPr>
            </w:pPr>
            <w:r w:rsidRPr="00F959D0">
              <w:rPr>
                <w:rFonts w:ascii="Arial" w:hAnsi="Arial" w:cs="Arial"/>
                <w:sz w:val="20"/>
                <w:szCs w:val="20"/>
              </w:rPr>
              <w:t xml:space="preserve"> 303 </w:t>
            </w:r>
          </w:p>
        </w:tc>
        <w:tc>
          <w:tcPr>
            <w:tcW w:w="1417" w:type="dxa"/>
            <w:tcBorders>
              <w:top w:val="nil"/>
              <w:left w:val="nil"/>
              <w:bottom w:val="nil"/>
              <w:right w:val="nil"/>
            </w:tcBorders>
            <w:shd w:val="clear" w:color="auto" w:fill="auto"/>
            <w:vAlign w:val="bottom"/>
          </w:tcPr>
          <w:p w14:paraId="4766FB62" w14:textId="6D80ACA0" w:rsidR="00DB3F94" w:rsidRPr="002B3067" w:rsidRDefault="00352036" w:rsidP="00DB3F9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c>
          <w:tcPr>
            <w:tcW w:w="1418" w:type="dxa"/>
            <w:tcBorders>
              <w:top w:val="nil"/>
              <w:left w:val="nil"/>
              <w:bottom w:val="nil"/>
              <w:right w:val="nil"/>
            </w:tcBorders>
            <w:shd w:val="clear" w:color="auto" w:fill="auto"/>
            <w:vAlign w:val="bottom"/>
          </w:tcPr>
          <w:p w14:paraId="54C6C4A7" w14:textId="343DCA0C" w:rsidR="00DB3F94" w:rsidRPr="002B3067" w:rsidRDefault="00DB3F94" w:rsidP="00DB3F9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r>
      <w:tr w:rsidR="00DB3F94" w:rsidRPr="002B3067" w14:paraId="3DA34824" w14:textId="77777777" w:rsidTr="005D1219">
        <w:trPr>
          <w:trHeight w:hRule="exact" w:val="284"/>
        </w:trPr>
        <w:tc>
          <w:tcPr>
            <w:tcW w:w="3912" w:type="dxa"/>
            <w:tcBorders>
              <w:top w:val="nil"/>
              <w:left w:val="nil"/>
              <w:bottom w:val="nil"/>
              <w:right w:val="nil"/>
            </w:tcBorders>
            <w:shd w:val="clear" w:color="auto" w:fill="auto"/>
            <w:vAlign w:val="bottom"/>
            <w:hideMark/>
          </w:tcPr>
          <w:p w14:paraId="242B36C7" w14:textId="77777777" w:rsidR="00DB3F94" w:rsidRPr="002B3067" w:rsidRDefault="00DB3F94" w:rsidP="00DB3F94">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Trezorski zapisi Ministarstva financija</w:t>
            </w:r>
          </w:p>
        </w:tc>
        <w:tc>
          <w:tcPr>
            <w:tcW w:w="1417" w:type="dxa"/>
            <w:tcBorders>
              <w:top w:val="nil"/>
              <w:left w:val="nil"/>
              <w:bottom w:val="nil"/>
              <w:right w:val="nil"/>
            </w:tcBorders>
            <w:shd w:val="clear" w:color="auto" w:fill="auto"/>
            <w:vAlign w:val="bottom"/>
          </w:tcPr>
          <w:p w14:paraId="28E12EDC" w14:textId="14EFF47B" w:rsidR="00DB3F94" w:rsidRPr="002B3067" w:rsidRDefault="00F76816" w:rsidP="00DB3F9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26.400</w:t>
            </w:r>
          </w:p>
        </w:tc>
        <w:tc>
          <w:tcPr>
            <w:tcW w:w="1418" w:type="dxa"/>
            <w:tcBorders>
              <w:top w:val="nil"/>
              <w:left w:val="nil"/>
              <w:bottom w:val="nil"/>
              <w:right w:val="nil"/>
            </w:tcBorders>
            <w:shd w:val="clear" w:color="auto" w:fill="auto"/>
            <w:vAlign w:val="bottom"/>
          </w:tcPr>
          <w:p w14:paraId="61CF7B19" w14:textId="65CBD20B" w:rsidR="00DB3F94" w:rsidRPr="002B3067" w:rsidRDefault="00DB3F94" w:rsidP="00DB3F94">
            <w:pPr>
              <w:suppressAutoHyphens/>
              <w:autoSpaceDN w:val="0"/>
              <w:jc w:val="right"/>
              <w:rPr>
                <w:rFonts w:ascii="Arial" w:eastAsia="Calibri" w:hAnsi="Arial" w:cs="Arial"/>
                <w:color w:val="000000" w:themeColor="text1"/>
                <w:sz w:val="20"/>
                <w:szCs w:val="20"/>
              </w:rPr>
            </w:pPr>
            <w:r w:rsidRPr="00F959D0">
              <w:rPr>
                <w:rFonts w:ascii="Arial" w:hAnsi="Arial" w:cs="Arial"/>
                <w:sz w:val="20"/>
                <w:szCs w:val="20"/>
              </w:rPr>
              <w:t xml:space="preserve"> 38.451 </w:t>
            </w:r>
          </w:p>
        </w:tc>
        <w:tc>
          <w:tcPr>
            <w:tcW w:w="1417" w:type="dxa"/>
            <w:tcBorders>
              <w:top w:val="nil"/>
              <w:left w:val="nil"/>
              <w:bottom w:val="nil"/>
              <w:right w:val="nil"/>
            </w:tcBorders>
            <w:shd w:val="clear" w:color="auto" w:fill="auto"/>
            <w:vAlign w:val="bottom"/>
          </w:tcPr>
          <w:p w14:paraId="6FB24B5D" w14:textId="7F4EA383" w:rsidR="00DB3F94" w:rsidRPr="002B3067" w:rsidRDefault="00352036" w:rsidP="00DB3F9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26.400</w:t>
            </w:r>
          </w:p>
        </w:tc>
        <w:tc>
          <w:tcPr>
            <w:tcW w:w="1418" w:type="dxa"/>
            <w:tcBorders>
              <w:top w:val="nil"/>
              <w:left w:val="nil"/>
              <w:bottom w:val="nil"/>
              <w:right w:val="nil"/>
            </w:tcBorders>
            <w:shd w:val="clear" w:color="auto" w:fill="auto"/>
            <w:vAlign w:val="bottom"/>
          </w:tcPr>
          <w:p w14:paraId="26023476" w14:textId="747F8065" w:rsidR="00DB3F94" w:rsidRPr="002B3067" w:rsidRDefault="00DB3F94" w:rsidP="00DB3F94">
            <w:pPr>
              <w:suppressAutoHyphens/>
              <w:autoSpaceDN w:val="0"/>
              <w:jc w:val="right"/>
              <w:rPr>
                <w:rFonts w:ascii="Arial" w:eastAsia="Calibri" w:hAnsi="Arial" w:cs="Arial"/>
                <w:color w:val="000000" w:themeColor="text1"/>
                <w:sz w:val="20"/>
                <w:szCs w:val="20"/>
              </w:rPr>
            </w:pPr>
            <w:r w:rsidRPr="00267853">
              <w:rPr>
                <w:rFonts w:ascii="Arial" w:eastAsia="Calibri" w:hAnsi="Arial" w:cs="Arial"/>
                <w:color w:val="000000" w:themeColor="text1"/>
                <w:sz w:val="20"/>
                <w:szCs w:val="20"/>
              </w:rPr>
              <w:t>38.451</w:t>
            </w:r>
          </w:p>
        </w:tc>
      </w:tr>
      <w:tr w:rsidR="00DB3F94" w:rsidRPr="002B3067" w14:paraId="0F9681A1" w14:textId="77777777" w:rsidTr="005D1219">
        <w:trPr>
          <w:trHeight w:hRule="exact" w:val="284"/>
        </w:trPr>
        <w:tc>
          <w:tcPr>
            <w:tcW w:w="3912" w:type="dxa"/>
            <w:tcBorders>
              <w:top w:val="nil"/>
              <w:left w:val="nil"/>
              <w:bottom w:val="nil"/>
              <w:right w:val="nil"/>
            </w:tcBorders>
            <w:shd w:val="clear" w:color="auto" w:fill="auto"/>
            <w:vAlign w:val="bottom"/>
            <w:hideMark/>
          </w:tcPr>
          <w:p w14:paraId="3C136C8A" w14:textId="77777777" w:rsidR="00DB3F94" w:rsidRPr="002B3067" w:rsidRDefault="00DB3F94" w:rsidP="00DB3F94">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Obračunata kamata</w:t>
            </w:r>
          </w:p>
        </w:tc>
        <w:tc>
          <w:tcPr>
            <w:tcW w:w="1417" w:type="dxa"/>
            <w:tcBorders>
              <w:top w:val="nil"/>
              <w:left w:val="nil"/>
              <w:bottom w:val="nil"/>
              <w:right w:val="nil"/>
            </w:tcBorders>
            <w:shd w:val="clear" w:color="auto" w:fill="auto"/>
            <w:vAlign w:val="bottom"/>
          </w:tcPr>
          <w:p w14:paraId="5037AD58" w14:textId="747AF321" w:rsidR="00DB3F94" w:rsidRPr="002B3067" w:rsidRDefault="00F76816" w:rsidP="00DB3F9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1.519</w:t>
            </w:r>
          </w:p>
        </w:tc>
        <w:tc>
          <w:tcPr>
            <w:tcW w:w="1418" w:type="dxa"/>
            <w:tcBorders>
              <w:top w:val="nil"/>
              <w:left w:val="nil"/>
              <w:bottom w:val="nil"/>
              <w:right w:val="nil"/>
            </w:tcBorders>
            <w:shd w:val="clear" w:color="auto" w:fill="auto"/>
            <w:vAlign w:val="bottom"/>
          </w:tcPr>
          <w:p w14:paraId="0301E030" w14:textId="2C347EB7" w:rsidR="00DB3F94" w:rsidRPr="002B3067" w:rsidRDefault="00DB3F94" w:rsidP="00DB3F94">
            <w:pPr>
              <w:suppressAutoHyphens/>
              <w:autoSpaceDN w:val="0"/>
              <w:jc w:val="right"/>
              <w:rPr>
                <w:rFonts w:ascii="Arial" w:eastAsia="Calibri" w:hAnsi="Arial" w:cs="Arial"/>
                <w:color w:val="000000" w:themeColor="text1"/>
                <w:sz w:val="20"/>
                <w:szCs w:val="20"/>
              </w:rPr>
            </w:pPr>
            <w:r w:rsidRPr="00F959D0">
              <w:rPr>
                <w:rFonts w:ascii="Arial" w:hAnsi="Arial" w:cs="Arial"/>
                <w:sz w:val="20"/>
                <w:szCs w:val="20"/>
              </w:rPr>
              <w:t xml:space="preserve"> 3.177 </w:t>
            </w:r>
          </w:p>
        </w:tc>
        <w:tc>
          <w:tcPr>
            <w:tcW w:w="1417" w:type="dxa"/>
            <w:tcBorders>
              <w:top w:val="nil"/>
              <w:left w:val="nil"/>
              <w:bottom w:val="nil"/>
              <w:right w:val="nil"/>
            </w:tcBorders>
            <w:shd w:val="clear" w:color="auto" w:fill="auto"/>
            <w:vAlign w:val="bottom"/>
          </w:tcPr>
          <w:p w14:paraId="7A025565" w14:textId="0F94B87E" w:rsidR="00DB3F94" w:rsidRPr="002B3067" w:rsidRDefault="00352036" w:rsidP="00DB3F9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1.473</w:t>
            </w:r>
          </w:p>
        </w:tc>
        <w:tc>
          <w:tcPr>
            <w:tcW w:w="1418" w:type="dxa"/>
            <w:tcBorders>
              <w:top w:val="nil"/>
              <w:left w:val="nil"/>
              <w:bottom w:val="nil"/>
              <w:right w:val="nil"/>
            </w:tcBorders>
            <w:shd w:val="clear" w:color="auto" w:fill="auto"/>
            <w:vAlign w:val="bottom"/>
          </w:tcPr>
          <w:p w14:paraId="4692FA3B" w14:textId="39FDE926" w:rsidR="00DB3F94" w:rsidRPr="002B3067" w:rsidRDefault="00DB3F94" w:rsidP="00DB3F94">
            <w:pPr>
              <w:suppressAutoHyphens/>
              <w:autoSpaceDN w:val="0"/>
              <w:jc w:val="right"/>
              <w:rPr>
                <w:rFonts w:ascii="Arial" w:eastAsia="Calibri" w:hAnsi="Arial" w:cs="Arial"/>
                <w:color w:val="000000" w:themeColor="text1"/>
                <w:sz w:val="20"/>
                <w:szCs w:val="20"/>
              </w:rPr>
            </w:pPr>
            <w:r w:rsidRPr="00267853">
              <w:rPr>
                <w:rFonts w:ascii="Arial" w:eastAsia="Calibri" w:hAnsi="Arial" w:cs="Arial"/>
                <w:color w:val="000000" w:themeColor="text1"/>
                <w:sz w:val="20"/>
                <w:szCs w:val="20"/>
              </w:rPr>
              <w:t>3.121</w:t>
            </w:r>
          </w:p>
        </w:tc>
      </w:tr>
      <w:tr w:rsidR="00DB3F94" w:rsidRPr="002B3067" w14:paraId="63C716A1" w14:textId="77777777" w:rsidTr="005D1219">
        <w:trPr>
          <w:trHeight w:val="281"/>
        </w:trPr>
        <w:tc>
          <w:tcPr>
            <w:tcW w:w="3912" w:type="dxa"/>
            <w:tcBorders>
              <w:top w:val="nil"/>
              <w:left w:val="nil"/>
              <w:bottom w:val="nil"/>
              <w:right w:val="nil"/>
            </w:tcBorders>
            <w:shd w:val="clear" w:color="auto" w:fill="auto"/>
            <w:vAlign w:val="bottom"/>
            <w:hideMark/>
          </w:tcPr>
          <w:p w14:paraId="1BF7A8F3" w14:textId="77777777" w:rsidR="00DB3F94" w:rsidRPr="002B3067" w:rsidRDefault="00DB3F94" w:rsidP="00DB3F94">
            <w:pPr>
              <w:suppressAutoHyphens/>
              <w:autoSpaceDN w:val="0"/>
              <w:jc w:val="right"/>
              <w:rPr>
                <w:rFonts w:ascii="Arial" w:eastAsia="Calibri" w:hAnsi="Arial" w:cs="Arial"/>
                <w:color w:val="000000" w:themeColor="text1"/>
                <w:sz w:val="20"/>
                <w:szCs w:val="20"/>
              </w:rPr>
            </w:pPr>
          </w:p>
        </w:tc>
        <w:tc>
          <w:tcPr>
            <w:tcW w:w="1417" w:type="dxa"/>
            <w:tcBorders>
              <w:top w:val="single" w:sz="4" w:space="0" w:color="auto"/>
              <w:left w:val="nil"/>
              <w:bottom w:val="single" w:sz="12" w:space="0" w:color="auto"/>
              <w:right w:val="nil"/>
            </w:tcBorders>
            <w:shd w:val="clear" w:color="auto" w:fill="auto"/>
            <w:vAlign w:val="bottom"/>
          </w:tcPr>
          <w:p w14:paraId="0719333E" w14:textId="5F7BF247" w:rsidR="00DB3F94" w:rsidRPr="002B3067" w:rsidRDefault="00F76816" w:rsidP="00DB3F94">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237.849</w:t>
            </w:r>
          </w:p>
        </w:tc>
        <w:tc>
          <w:tcPr>
            <w:tcW w:w="1418" w:type="dxa"/>
            <w:tcBorders>
              <w:top w:val="single" w:sz="4" w:space="0" w:color="auto"/>
              <w:left w:val="nil"/>
              <w:bottom w:val="single" w:sz="12" w:space="0" w:color="auto"/>
              <w:right w:val="nil"/>
            </w:tcBorders>
            <w:shd w:val="clear" w:color="auto" w:fill="auto"/>
            <w:vAlign w:val="bottom"/>
          </w:tcPr>
          <w:p w14:paraId="6CCF9781" w14:textId="6AF6DBFC" w:rsidR="00DB3F94" w:rsidRPr="002B3067" w:rsidRDefault="00DB3F94" w:rsidP="00DB3F94">
            <w:pPr>
              <w:suppressAutoHyphens/>
              <w:autoSpaceDN w:val="0"/>
              <w:jc w:val="right"/>
              <w:rPr>
                <w:rFonts w:ascii="Arial" w:eastAsia="Calibri" w:hAnsi="Arial" w:cs="Arial"/>
                <w:b/>
                <w:bCs/>
                <w:color w:val="000000" w:themeColor="text1"/>
                <w:sz w:val="20"/>
                <w:szCs w:val="20"/>
              </w:rPr>
            </w:pPr>
            <w:r w:rsidRPr="008C4296">
              <w:rPr>
                <w:rFonts w:ascii="Arial" w:eastAsia="Calibri" w:hAnsi="Arial" w:cs="Arial"/>
                <w:b/>
                <w:bCs/>
                <w:color w:val="000000" w:themeColor="text1"/>
                <w:sz w:val="20"/>
                <w:szCs w:val="20"/>
              </w:rPr>
              <w:t>227.156</w:t>
            </w:r>
          </w:p>
        </w:tc>
        <w:tc>
          <w:tcPr>
            <w:tcW w:w="1417" w:type="dxa"/>
            <w:tcBorders>
              <w:top w:val="single" w:sz="4" w:space="0" w:color="auto"/>
              <w:left w:val="nil"/>
              <w:bottom w:val="single" w:sz="12" w:space="0" w:color="auto"/>
              <w:right w:val="nil"/>
            </w:tcBorders>
            <w:shd w:val="clear" w:color="auto" w:fill="auto"/>
            <w:vAlign w:val="bottom"/>
          </w:tcPr>
          <w:p w14:paraId="72F422BA" w14:textId="051AE0BA" w:rsidR="00DB3F94" w:rsidRPr="002B3067" w:rsidRDefault="00352036" w:rsidP="00DB3F94">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231.559</w:t>
            </w:r>
          </w:p>
        </w:tc>
        <w:tc>
          <w:tcPr>
            <w:tcW w:w="1418" w:type="dxa"/>
            <w:tcBorders>
              <w:top w:val="single" w:sz="4" w:space="0" w:color="auto"/>
              <w:left w:val="nil"/>
              <w:bottom w:val="single" w:sz="12" w:space="0" w:color="auto"/>
              <w:right w:val="nil"/>
            </w:tcBorders>
            <w:shd w:val="clear" w:color="auto" w:fill="auto"/>
            <w:vAlign w:val="bottom"/>
          </w:tcPr>
          <w:p w14:paraId="1AE524F2" w14:textId="07018ED0" w:rsidR="00DB3F94" w:rsidRPr="002B3067" w:rsidRDefault="00DB3F94" w:rsidP="00DB3F94">
            <w:pPr>
              <w:suppressAutoHyphens/>
              <w:autoSpaceDN w:val="0"/>
              <w:jc w:val="right"/>
              <w:rPr>
                <w:rFonts w:ascii="Arial" w:eastAsia="Calibri" w:hAnsi="Arial" w:cs="Arial"/>
                <w:b/>
                <w:bCs/>
                <w:color w:val="000000" w:themeColor="text1"/>
                <w:sz w:val="20"/>
                <w:szCs w:val="20"/>
              </w:rPr>
            </w:pPr>
            <w:r w:rsidRPr="00267853">
              <w:rPr>
                <w:rFonts w:ascii="Arial" w:eastAsia="Calibri" w:hAnsi="Arial" w:cs="Arial"/>
                <w:b/>
                <w:bCs/>
                <w:color w:val="000000" w:themeColor="text1"/>
                <w:sz w:val="20"/>
                <w:szCs w:val="20"/>
              </w:rPr>
              <w:t>220.815</w:t>
            </w:r>
          </w:p>
        </w:tc>
      </w:tr>
      <w:tr w:rsidR="00DB3F94" w:rsidRPr="002B3067" w14:paraId="5CA0FC2E" w14:textId="77777777" w:rsidTr="002B3067">
        <w:trPr>
          <w:trHeight w:hRule="exact" w:val="170"/>
        </w:trPr>
        <w:tc>
          <w:tcPr>
            <w:tcW w:w="3912" w:type="dxa"/>
            <w:tcBorders>
              <w:top w:val="nil"/>
              <w:left w:val="nil"/>
              <w:bottom w:val="nil"/>
              <w:right w:val="nil"/>
            </w:tcBorders>
            <w:shd w:val="clear" w:color="auto" w:fill="auto"/>
            <w:vAlign w:val="bottom"/>
            <w:hideMark/>
          </w:tcPr>
          <w:p w14:paraId="67BBF999" w14:textId="77777777" w:rsidR="00DB3F94" w:rsidRPr="002B3067" w:rsidRDefault="00DB3F94" w:rsidP="00DB3F94">
            <w:pPr>
              <w:suppressAutoHyphens/>
              <w:autoSpaceDN w:val="0"/>
              <w:jc w:val="right"/>
              <w:rPr>
                <w:rFonts w:ascii="Arial" w:eastAsia="Calibri" w:hAnsi="Arial" w:cs="Arial"/>
                <w:b/>
                <w:bCs/>
                <w:color w:val="000000" w:themeColor="text1"/>
                <w:sz w:val="20"/>
                <w:szCs w:val="20"/>
              </w:rPr>
            </w:pPr>
          </w:p>
        </w:tc>
        <w:tc>
          <w:tcPr>
            <w:tcW w:w="1417" w:type="dxa"/>
            <w:tcBorders>
              <w:top w:val="single" w:sz="12" w:space="0" w:color="auto"/>
              <w:left w:val="nil"/>
              <w:bottom w:val="nil"/>
              <w:right w:val="nil"/>
            </w:tcBorders>
            <w:shd w:val="clear" w:color="auto" w:fill="auto"/>
            <w:vAlign w:val="bottom"/>
          </w:tcPr>
          <w:p w14:paraId="31635DFD" w14:textId="77777777" w:rsidR="00DB3F94" w:rsidRPr="002B3067" w:rsidRDefault="00DB3F94" w:rsidP="00DB3F94">
            <w:pPr>
              <w:suppressAutoHyphens/>
              <w:autoSpaceDN w:val="0"/>
              <w:rPr>
                <w:rFonts w:ascii="Arial" w:eastAsia="Calibri" w:hAnsi="Arial" w:cs="Arial"/>
                <w:color w:val="000000" w:themeColor="text1"/>
                <w:sz w:val="20"/>
                <w:szCs w:val="20"/>
              </w:rPr>
            </w:pPr>
          </w:p>
        </w:tc>
        <w:tc>
          <w:tcPr>
            <w:tcW w:w="1418" w:type="dxa"/>
            <w:tcBorders>
              <w:top w:val="single" w:sz="12" w:space="0" w:color="auto"/>
              <w:left w:val="nil"/>
              <w:bottom w:val="nil"/>
              <w:right w:val="nil"/>
            </w:tcBorders>
            <w:shd w:val="clear" w:color="auto" w:fill="auto"/>
            <w:vAlign w:val="bottom"/>
          </w:tcPr>
          <w:p w14:paraId="4C1992F8" w14:textId="77777777" w:rsidR="00DB3F94" w:rsidRPr="002B3067" w:rsidRDefault="00DB3F94" w:rsidP="00DB3F94">
            <w:pPr>
              <w:suppressAutoHyphens/>
              <w:autoSpaceDN w:val="0"/>
              <w:rPr>
                <w:rFonts w:ascii="Arial" w:eastAsia="Calibri" w:hAnsi="Arial" w:cs="Arial"/>
                <w:color w:val="000000" w:themeColor="text1"/>
                <w:sz w:val="20"/>
                <w:szCs w:val="20"/>
              </w:rPr>
            </w:pPr>
          </w:p>
        </w:tc>
        <w:tc>
          <w:tcPr>
            <w:tcW w:w="1417" w:type="dxa"/>
            <w:tcBorders>
              <w:top w:val="single" w:sz="12" w:space="0" w:color="auto"/>
              <w:left w:val="nil"/>
              <w:bottom w:val="nil"/>
              <w:right w:val="nil"/>
            </w:tcBorders>
            <w:shd w:val="clear" w:color="auto" w:fill="auto"/>
            <w:vAlign w:val="bottom"/>
          </w:tcPr>
          <w:p w14:paraId="0C2808B1" w14:textId="77777777" w:rsidR="00DB3F94" w:rsidRPr="002B3067" w:rsidRDefault="00DB3F94" w:rsidP="00DB3F94">
            <w:pPr>
              <w:suppressAutoHyphens/>
              <w:autoSpaceDN w:val="0"/>
              <w:jc w:val="right"/>
              <w:rPr>
                <w:rFonts w:ascii="Arial" w:eastAsia="Calibri" w:hAnsi="Arial" w:cs="Arial"/>
                <w:color w:val="000000" w:themeColor="text1"/>
                <w:sz w:val="20"/>
                <w:szCs w:val="20"/>
              </w:rPr>
            </w:pPr>
          </w:p>
        </w:tc>
        <w:tc>
          <w:tcPr>
            <w:tcW w:w="1418" w:type="dxa"/>
            <w:tcBorders>
              <w:top w:val="single" w:sz="12" w:space="0" w:color="auto"/>
              <w:left w:val="nil"/>
              <w:bottom w:val="nil"/>
              <w:right w:val="nil"/>
            </w:tcBorders>
            <w:shd w:val="clear" w:color="auto" w:fill="auto"/>
            <w:vAlign w:val="bottom"/>
          </w:tcPr>
          <w:p w14:paraId="76E2248C" w14:textId="77777777" w:rsidR="00DB3F94" w:rsidRPr="002B3067" w:rsidRDefault="00DB3F94" w:rsidP="00DB3F94">
            <w:pPr>
              <w:suppressAutoHyphens/>
              <w:autoSpaceDN w:val="0"/>
              <w:jc w:val="right"/>
              <w:rPr>
                <w:rFonts w:ascii="Arial" w:eastAsia="Calibri" w:hAnsi="Arial" w:cs="Arial"/>
                <w:color w:val="000000" w:themeColor="text1"/>
                <w:sz w:val="20"/>
                <w:szCs w:val="20"/>
              </w:rPr>
            </w:pPr>
          </w:p>
        </w:tc>
      </w:tr>
      <w:tr w:rsidR="00DB3F94" w:rsidRPr="002B3067" w14:paraId="355A06AF" w14:textId="77777777" w:rsidTr="002B3067">
        <w:trPr>
          <w:trHeight w:val="281"/>
        </w:trPr>
        <w:tc>
          <w:tcPr>
            <w:tcW w:w="3912" w:type="dxa"/>
            <w:tcBorders>
              <w:top w:val="nil"/>
              <w:left w:val="nil"/>
              <w:bottom w:val="nil"/>
              <w:right w:val="nil"/>
            </w:tcBorders>
            <w:shd w:val="clear" w:color="auto" w:fill="auto"/>
            <w:vAlign w:val="bottom"/>
            <w:hideMark/>
          </w:tcPr>
          <w:p w14:paraId="26F74B27" w14:textId="77777777" w:rsidR="00DB3F94" w:rsidRPr="002B3067" w:rsidRDefault="00DB3F94" w:rsidP="00DB3F94">
            <w:pPr>
              <w:suppressAutoHyphens/>
              <w:autoSpaceDN w:val="0"/>
              <w:rPr>
                <w:rFonts w:ascii="Arial" w:eastAsia="Calibri" w:hAnsi="Arial" w:cs="Arial"/>
                <w:b/>
                <w:bCs/>
                <w:color w:val="000000" w:themeColor="text1"/>
                <w:sz w:val="20"/>
                <w:szCs w:val="20"/>
              </w:rPr>
            </w:pPr>
            <w:r w:rsidRPr="002B3067">
              <w:rPr>
                <w:rFonts w:ascii="Arial" w:eastAsia="Calibri" w:hAnsi="Arial" w:cs="Arial"/>
                <w:b/>
                <w:bCs/>
                <w:color w:val="000000" w:themeColor="text1"/>
                <w:sz w:val="20"/>
                <w:szCs w:val="20"/>
              </w:rPr>
              <w:t>Dužnički vrijednosni papiri koji ne kotiraju:</w:t>
            </w:r>
          </w:p>
        </w:tc>
        <w:tc>
          <w:tcPr>
            <w:tcW w:w="1417" w:type="dxa"/>
            <w:tcBorders>
              <w:top w:val="nil"/>
              <w:left w:val="nil"/>
              <w:bottom w:val="nil"/>
              <w:right w:val="nil"/>
            </w:tcBorders>
            <w:shd w:val="clear" w:color="auto" w:fill="auto"/>
            <w:vAlign w:val="bottom"/>
          </w:tcPr>
          <w:p w14:paraId="780AD3DB" w14:textId="77777777" w:rsidR="00DB3F94" w:rsidRPr="002B3067" w:rsidRDefault="00DB3F94" w:rsidP="00DB3F94">
            <w:pPr>
              <w:suppressAutoHyphens/>
              <w:autoSpaceDN w:val="0"/>
              <w:rPr>
                <w:rFonts w:ascii="Arial" w:eastAsia="Calibri" w:hAnsi="Arial" w:cs="Arial"/>
                <w:b/>
                <w:bCs/>
                <w:color w:val="000000" w:themeColor="text1"/>
                <w:sz w:val="20"/>
                <w:szCs w:val="20"/>
              </w:rPr>
            </w:pPr>
          </w:p>
        </w:tc>
        <w:tc>
          <w:tcPr>
            <w:tcW w:w="1418" w:type="dxa"/>
            <w:tcBorders>
              <w:top w:val="nil"/>
              <w:left w:val="nil"/>
              <w:bottom w:val="nil"/>
              <w:right w:val="nil"/>
            </w:tcBorders>
            <w:shd w:val="clear" w:color="auto" w:fill="auto"/>
            <w:vAlign w:val="bottom"/>
          </w:tcPr>
          <w:p w14:paraId="526E7DB5" w14:textId="77777777" w:rsidR="00DB3F94" w:rsidRPr="002B3067" w:rsidRDefault="00DB3F94" w:rsidP="00DB3F94">
            <w:pPr>
              <w:suppressAutoHyphens/>
              <w:autoSpaceDN w:val="0"/>
              <w:rPr>
                <w:rFonts w:ascii="Arial" w:eastAsia="Calibri" w:hAnsi="Arial" w:cs="Arial"/>
                <w:b/>
                <w:bCs/>
                <w:color w:val="000000" w:themeColor="text1"/>
                <w:sz w:val="20"/>
                <w:szCs w:val="20"/>
              </w:rPr>
            </w:pPr>
          </w:p>
        </w:tc>
        <w:tc>
          <w:tcPr>
            <w:tcW w:w="1417" w:type="dxa"/>
            <w:tcBorders>
              <w:top w:val="nil"/>
              <w:left w:val="nil"/>
              <w:bottom w:val="nil"/>
              <w:right w:val="nil"/>
            </w:tcBorders>
            <w:shd w:val="clear" w:color="auto" w:fill="auto"/>
            <w:vAlign w:val="bottom"/>
          </w:tcPr>
          <w:p w14:paraId="73D95A0C" w14:textId="77777777" w:rsidR="00DB3F94" w:rsidRPr="002B3067" w:rsidRDefault="00DB3F94" w:rsidP="00DB3F94">
            <w:pPr>
              <w:suppressAutoHyphens/>
              <w:autoSpaceDN w:val="0"/>
              <w:jc w:val="right"/>
              <w:rPr>
                <w:rFonts w:ascii="Arial" w:eastAsia="Calibri" w:hAnsi="Arial" w:cs="Arial"/>
                <w:color w:val="000000" w:themeColor="text1"/>
                <w:sz w:val="20"/>
                <w:szCs w:val="20"/>
              </w:rPr>
            </w:pPr>
          </w:p>
        </w:tc>
        <w:tc>
          <w:tcPr>
            <w:tcW w:w="1418" w:type="dxa"/>
            <w:tcBorders>
              <w:top w:val="nil"/>
              <w:left w:val="nil"/>
              <w:bottom w:val="nil"/>
              <w:right w:val="nil"/>
            </w:tcBorders>
            <w:shd w:val="clear" w:color="auto" w:fill="auto"/>
            <w:vAlign w:val="bottom"/>
          </w:tcPr>
          <w:p w14:paraId="746081A2" w14:textId="77777777" w:rsidR="00DB3F94" w:rsidRPr="002B3067" w:rsidRDefault="00DB3F94" w:rsidP="00DB3F94">
            <w:pPr>
              <w:suppressAutoHyphens/>
              <w:autoSpaceDN w:val="0"/>
              <w:jc w:val="right"/>
              <w:rPr>
                <w:rFonts w:ascii="Arial" w:eastAsia="Calibri" w:hAnsi="Arial" w:cs="Arial"/>
                <w:color w:val="000000" w:themeColor="text1"/>
                <w:sz w:val="20"/>
                <w:szCs w:val="20"/>
              </w:rPr>
            </w:pPr>
          </w:p>
        </w:tc>
      </w:tr>
      <w:tr w:rsidR="00F76816" w:rsidRPr="002B3067" w14:paraId="52D1F3F9" w14:textId="77777777" w:rsidTr="005D1219">
        <w:trPr>
          <w:trHeight w:hRule="exact" w:val="284"/>
        </w:trPr>
        <w:tc>
          <w:tcPr>
            <w:tcW w:w="3912" w:type="dxa"/>
            <w:tcBorders>
              <w:top w:val="nil"/>
              <w:left w:val="nil"/>
              <w:bottom w:val="nil"/>
              <w:right w:val="nil"/>
            </w:tcBorders>
            <w:shd w:val="clear" w:color="auto" w:fill="auto"/>
            <w:vAlign w:val="bottom"/>
            <w:hideMark/>
          </w:tcPr>
          <w:p w14:paraId="59BF3187" w14:textId="77777777" w:rsidR="00F76816" w:rsidRPr="002B3067" w:rsidRDefault="00F76816" w:rsidP="00F76816">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Obveznice trgovačkih društava</w:t>
            </w:r>
          </w:p>
        </w:tc>
        <w:tc>
          <w:tcPr>
            <w:tcW w:w="1417" w:type="dxa"/>
            <w:tcBorders>
              <w:top w:val="nil"/>
              <w:left w:val="nil"/>
              <w:bottom w:val="nil"/>
              <w:right w:val="nil"/>
            </w:tcBorders>
            <w:shd w:val="clear" w:color="auto" w:fill="auto"/>
            <w:vAlign w:val="bottom"/>
          </w:tcPr>
          <w:p w14:paraId="16DBEC99" w14:textId="7A36FE1A" w:rsidR="00F76816" w:rsidRPr="002B3067" w:rsidRDefault="00F76816" w:rsidP="00F76816">
            <w:pPr>
              <w:suppressAutoHyphens/>
              <w:autoSpaceDN w:val="0"/>
              <w:jc w:val="right"/>
              <w:rPr>
                <w:rFonts w:ascii="Arial" w:eastAsia="Calibri" w:hAnsi="Arial" w:cs="Arial"/>
                <w:color w:val="000000" w:themeColor="text1"/>
                <w:sz w:val="20"/>
                <w:szCs w:val="20"/>
              </w:rPr>
            </w:pPr>
            <w:r w:rsidRPr="009330BB">
              <w:rPr>
                <w:rFonts w:ascii="Arial" w:eastAsia="Calibri" w:hAnsi="Arial" w:cs="Arial"/>
                <w:color w:val="000000" w:themeColor="text1"/>
                <w:sz w:val="20"/>
                <w:szCs w:val="20"/>
              </w:rPr>
              <w:t>79</w:t>
            </w:r>
          </w:p>
        </w:tc>
        <w:tc>
          <w:tcPr>
            <w:tcW w:w="1418" w:type="dxa"/>
            <w:tcBorders>
              <w:top w:val="nil"/>
              <w:left w:val="nil"/>
              <w:bottom w:val="nil"/>
              <w:right w:val="nil"/>
            </w:tcBorders>
            <w:shd w:val="clear" w:color="auto" w:fill="auto"/>
            <w:vAlign w:val="bottom"/>
          </w:tcPr>
          <w:p w14:paraId="0E107A48" w14:textId="3A0BD4AD" w:rsidR="00F76816" w:rsidRPr="002B3067" w:rsidRDefault="00F76816" w:rsidP="00F76816">
            <w:pPr>
              <w:suppressAutoHyphens/>
              <w:autoSpaceDN w:val="0"/>
              <w:jc w:val="right"/>
              <w:rPr>
                <w:rFonts w:ascii="Arial" w:eastAsia="Calibri" w:hAnsi="Arial" w:cs="Arial"/>
                <w:color w:val="000000" w:themeColor="text1"/>
                <w:sz w:val="20"/>
                <w:szCs w:val="20"/>
              </w:rPr>
            </w:pPr>
            <w:r w:rsidRPr="00174C1D">
              <w:rPr>
                <w:rFonts w:ascii="Arial" w:eastAsia="Calibri" w:hAnsi="Arial" w:cs="Arial"/>
                <w:sz w:val="20"/>
                <w:szCs w:val="20"/>
              </w:rPr>
              <w:t xml:space="preserve"> 81 </w:t>
            </w:r>
          </w:p>
        </w:tc>
        <w:tc>
          <w:tcPr>
            <w:tcW w:w="1417" w:type="dxa"/>
            <w:tcBorders>
              <w:top w:val="nil"/>
              <w:left w:val="nil"/>
              <w:bottom w:val="nil"/>
              <w:right w:val="nil"/>
            </w:tcBorders>
            <w:shd w:val="clear" w:color="auto" w:fill="auto"/>
            <w:vAlign w:val="bottom"/>
          </w:tcPr>
          <w:p w14:paraId="292FE7B0" w14:textId="0F43D85F" w:rsidR="00F76816" w:rsidRPr="00F6336D" w:rsidRDefault="00F76816" w:rsidP="00F76816">
            <w:pPr>
              <w:suppressAutoHyphens/>
              <w:autoSpaceDN w:val="0"/>
              <w:jc w:val="right"/>
              <w:rPr>
                <w:rFonts w:ascii="Arial" w:eastAsia="Calibri" w:hAnsi="Arial" w:cs="Arial"/>
                <w:color w:val="000000" w:themeColor="text1"/>
                <w:sz w:val="20"/>
                <w:szCs w:val="20"/>
              </w:rPr>
            </w:pPr>
            <w:r w:rsidRPr="005D1219">
              <w:rPr>
                <w:rFonts w:ascii="Arial" w:eastAsia="Calibri" w:hAnsi="Arial" w:cs="Arial"/>
                <w:color w:val="000000" w:themeColor="text1"/>
                <w:sz w:val="20"/>
                <w:szCs w:val="20"/>
              </w:rPr>
              <w:t>79</w:t>
            </w:r>
          </w:p>
        </w:tc>
        <w:tc>
          <w:tcPr>
            <w:tcW w:w="1418" w:type="dxa"/>
            <w:tcBorders>
              <w:top w:val="nil"/>
              <w:left w:val="nil"/>
              <w:bottom w:val="nil"/>
              <w:right w:val="nil"/>
            </w:tcBorders>
            <w:shd w:val="clear" w:color="auto" w:fill="auto"/>
            <w:vAlign w:val="bottom"/>
          </w:tcPr>
          <w:p w14:paraId="2DD80203" w14:textId="47279B4E" w:rsidR="00F76816" w:rsidRPr="002B3067" w:rsidRDefault="00F76816" w:rsidP="00F76816">
            <w:pPr>
              <w:suppressAutoHyphens/>
              <w:autoSpaceDN w:val="0"/>
              <w:jc w:val="right"/>
              <w:rPr>
                <w:rFonts w:ascii="Arial" w:eastAsia="Calibri" w:hAnsi="Arial" w:cs="Arial"/>
                <w:color w:val="000000" w:themeColor="text1"/>
                <w:sz w:val="20"/>
                <w:szCs w:val="20"/>
              </w:rPr>
            </w:pPr>
            <w:r w:rsidRPr="00F959D0">
              <w:rPr>
                <w:rFonts w:ascii="Arial" w:eastAsia="Calibri" w:hAnsi="Arial" w:cs="Arial"/>
                <w:sz w:val="20"/>
                <w:szCs w:val="20"/>
              </w:rPr>
              <w:t xml:space="preserve"> 81 </w:t>
            </w:r>
          </w:p>
        </w:tc>
      </w:tr>
      <w:tr w:rsidR="00F76816" w:rsidRPr="002B3067" w14:paraId="061B2E6A" w14:textId="77777777" w:rsidTr="005D1219">
        <w:trPr>
          <w:trHeight w:hRule="exact" w:val="284"/>
        </w:trPr>
        <w:tc>
          <w:tcPr>
            <w:tcW w:w="3912" w:type="dxa"/>
            <w:tcBorders>
              <w:top w:val="nil"/>
              <w:left w:val="nil"/>
              <w:bottom w:val="nil"/>
              <w:right w:val="nil"/>
            </w:tcBorders>
            <w:shd w:val="clear" w:color="auto" w:fill="auto"/>
            <w:vAlign w:val="bottom"/>
          </w:tcPr>
          <w:p w14:paraId="5B896ADA" w14:textId="77777777" w:rsidR="00F76816" w:rsidRPr="002B3067" w:rsidRDefault="00F76816" w:rsidP="00F76816">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Zamjenjive obveznice – CB</w:t>
            </w:r>
          </w:p>
        </w:tc>
        <w:tc>
          <w:tcPr>
            <w:tcW w:w="1417" w:type="dxa"/>
            <w:tcBorders>
              <w:top w:val="nil"/>
              <w:left w:val="nil"/>
              <w:bottom w:val="nil"/>
              <w:right w:val="nil"/>
            </w:tcBorders>
            <w:shd w:val="clear" w:color="auto" w:fill="auto"/>
            <w:vAlign w:val="bottom"/>
          </w:tcPr>
          <w:p w14:paraId="41D50D67" w14:textId="2ABF37A3" w:rsidR="00F76816" w:rsidRPr="002B3067" w:rsidRDefault="00F76816" w:rsidP="00F76816">
            <w:pPr>
              <w:suppressAutoHyphens/>
              <w:autoSpaceDN w:val="0"/>
              <w:jc w:val="right"/>
              <w:rPr>
                <w:rFonts w:ascii="Arial" w:eastAsia="Calibri" w:hAnsi="Arial" w:cs="Arial"/>
                <w:color w:val="000000" w:themeColor="text1"/>
                <w:sz w:val="20"/>
                <w:szCs w:val="20"/>
              </w:rPr>
            </w:pPr>
            <w:r w:rsidRPr="009330BB">
              <w:rPr>
                <w:rFonts w:ascii="Arial" w:eastAsia="Calibri" w:hAnsi="Arial" w:cs="Arial"/>
                <w:color w:val="000000" w:themeColor="text1"/>
                <w:sz w:val="20"/>
                <w:szCs w:val="20"/>
              </w:rPr>
              <w:t>195</w:t>
            </w:r>
          </w:p>
        </w:tc>
        <w:tc>
          <w:tcPr>
            <w:tcW w:w="1418" w:type="dxa"/>
            <w:tcBorders>
              <w:top w:val="nil"/>
              <w:left w:val="nil"/>
              <w:bottom w:val="nil"/>
              <w:right w:val="nil"/>
            </w:tcBorders>
            <w:shd w:val="clear" w:color="auto" w:fill="auto"/>
            <w:vAlign w:val="bottom"/>
          </w:tcPr>
          <w:p w14:paraId="25700AF3" w14:textId="343AD5F0" w:rsidR="00F76816" w:rsidRPr="002B3067" w:rsidRDefault="00F76816" w:rsidP="00F76816">
            <w:pPr>
              <w:suppressAutoHyphens/>
              <w:autoSpaceDN w:val="0"/>
              <w:jc w:val="right"/>
              <w:rPr>
                <w:rFonts w:ascii="Arial" w:eastAsia="Calibri" w:hAnsi="Arial" w:cs="Arial"/>
                <w:color w:val="000000" w:themeColor="text1"/>
                <w:sz w:val="20"/>
                <w:szCs w:val="20"/>
              </w:rPr>
            </w:pPr>
            <w:r w:rsidRPr="00174C1D">
              <w:rPr>
                <w:rFonts w:ascii="Arial" w:eastAsia="Calibri" w:hAnsi="Arial" w:cs="Arial"/>
                <w:sz w:val="20"/>
                <w:szCs w:val="20"/>
              </w:rPr>
              <w:t xml:space="preserve"> 195 </w:t>
            </w:r>
          </w:p>
        </w:tc>
        <w:tc>
          <w:tcPr>
            <w:tcW w:w="1417" w:type="dxa"/>
            <w:tcBorders>
              <w:top w:val="nil"/>
              <w:left w:val="nil"/>
              <w:bottom w:val="nil"/>
              <w:right w:val="nil"/>
            </w:tcBorders>
            <w:shd w:val="clear" w:color="auto" w:fill="auto"/>
            <w:vAlign w:val="bottom"/>
          </w:tcPr>
          <w:p w14:paraId="5660E0A5" w14:textId="64AC6962" w:rsidR="00F76816" w:rsidRPr="00F6336D" w:rsidRDefault="00F76816" w:rsidP="00F76816">
            <w:pPr>
              <w:suppressAutoHyphens/>
              <w:autoSpaceDN w:val="0"/>
              <w:jc w:val="right"/>
              <w:rPr>
                <w:rFonts w:ascii="Arial" w:eastAsia="Calibri" w:hAnsi="Arial" w:cs="Arial"/>
                <w:color w:val="000000" w:themeColor="text1"/>
                <w:sz w:val="20"/>
                <w:szCs w:val="20"/>
              </w:rPr>
            </w:pPr>
            <w:r w:rsidRPr="005D1219">
              <w:rPr>
                <w:rFonts w:ascii="Arial" w:eastAsia="Calibri" w:hAnsi="Arial" w:cs="Arial"/>
                <w:color w:val="000000" w:themeColor="text1"/>
                <w:sz w:val="20"/>
                <w:szCs w:val="20"/>
              </w:rPr>
              <w:t>195</w:t>
            </w:r>
          </w:p>
        </w:tc>
        <w:tc>
          <w:tcPr>
            <w:tcW w:w="1418" w:type="dxa"/>
            <w:tcBorders>
              <w:top w:val="nil"/>
              <w:left w:val="nil"/>
              <w:bottom w:val="nil"/>
              <w:right w:val="nil"/>
            </w:tcBorders>
            <w:shd w:val="clear" w:color="auto" w:fill="auto"/>
            <w:vAlign w:val="bottom"/>
          </w:tcPr>
          <w:p w14:paraId="5D970802" w14:textId="5A294C30" w:rsidR="00F76816" w:rsidRPr="002B3067" w:rsidRDefault="00F76816" w:rsidP="00F76816">
            <w:pPr>
              <w:suppressAutoHyphens/>
              <w:autoSpaceDN w:val="0"/>
              <w:jc w:val="right"/>
              <w:rPr>
                <w:rFonts w:ascii="Arial" w:eastAsia="Calibri" w:hAnsi="Arial" w:cs="Arial"/>
                <w:color w:val="000000" w:themeColor="text1"/>
                <w:sz w:val="20"/>
                <w:szCs w:val="20"/>
              </w:rPr>
            </w:pPr>
            <w:r w:rsidRPr="00F959D0">
              <w:rPr>
                <w:rFonts w:ascii="Arial" w:eastAsia="Calibri" w:hAnsi="Arial" w:cs="Arial"/>
                <w:sz w:val="20"/>
                <w:szCs w:val="20"/>
              </w:rPr>
              <w:t xml:space="preserve"> 195 </w:t>
            </w:r>
          </w:p>
        </w:tc>
      </w:tr>
      <w:tr w:rsidR="00F76816" w:rsidRPr="002B3067" w14:paraId="3315460D" w14:textId="77777777" w:rsidTr="005D1219">
        <w:trPr>
          <w:trHeight w:hRule="exact" w:val="284"/>
        </w:trPr>
        <w:tc>
          <w:tcPr>
            <w:tcW w:w="3912" w:type="dxa"/>
            <w:tcBorders>
              <w:top w:val="nil"/>
              <w:left w:val="nil"/>
              <w:bottom w:val="nil"/>
              <w:right w:val="nil"/>
            </w:tcBorders>
            <w:shd w:val="clear" w:color="auto" w:fill="auto"/>
            <w:vAlign w:val="bottom"/>
            <w:hideMark/>
          </w:tcPr>
          <w:p w14:paraId="5BD04B62" w14:textId="77777777" w:rsidR="00F76816" w:rsidRPr="002B3067" w:rsidRDefault="00F76816" w:rsidP="00F76816">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Obračunata kamata</w:t>
            </w:r>
          </w:p>
        </w:tc>
        <w:tc>
          <w:tcPr>
            <w:tcW w:w="1417" w:type="dxa"/>
            <w:tcBorders>
              <w:top w:val="nil"/>
              <w:left w:val="nil"/>
              <w:bottom w:val="nil"/>
              <w:right w:val="nil"/>
            </w:tcBorders>
            <w:shd w:val="clear" w:color="auto" w:fill="auto"/>
            <w:vAlign w:val="bottom"/>
          </w:tcPr>
          <w:p w14:paraId="60E8D540" w14:textId="04C63C5D" w:rsidR="00F76816" w:rsidRPr="002B3067" w:rsidRDefault="00F76816" w:rsidP="00F76816">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2</w:t>
            </w:r>
          </w:p>
        </w:tc>
        <w:tc>
          <w:tcPr>
            <w:tcW w:w="1418" w:type="dxa"/>
            <w:tcBorders>
              <w:top w:val="nil"/>
              <w:left w:val="nil"/>
              <w:bottom w:val="nil"/>
              <w:right w:val="nil"/>
            </w:tcBorders>
            <w:shd w:val="clear" w:color="auto" w:fill="auto"/>
            <w:vAlign w:val="bottom"/>
          </w:tcPr>
          <w:p w14:paraId="5F49F29B" w14:textId="16CF0D64" w:rsidR="00F76816" w:rsidRPr="002B3067" w:rsidRDefault="00F76816" w:rsidP="00F76816">
            <w:pPr>
              <w:suppressAutoHyphens/>
              <w:autoSpaceDN w:val="0"/>
              <w:jc w:val="right"/>
              <w:rPr>
                <w:rFonts w:ascii="Arial" w:eastAsia="Calibri" w:hAnsi="Arial" w:cs="Arial"/>
                <w:color w:val="000000" w:themeColor="text1"/>
                <w:sz w:val="20"/>
                <w:szCs w:val="20"/>
              </w:rPr>
            </w:pPr>
            <w:r w:rsidRPr="00174C1D">
              <w:rPr>
                <w:rFonts w:ascii="Arial" w:eastAsia="Calibri" w:hAnsi="Arial" w:cs="Arial"/>
                <w:sz w:val="20"/>
                <w:szCs w:val="20"/>
              </w:rPr>
              <w:t xml:space="preserve"> 2 </w:t>
            </w:r>
          </w:p>
        </w:tc>
        <w:tc>
          <w:tcPr>
            <w:tcW w:w="1417" w:type="dxa"/>
            <w:tcBorders>
              <w:top w:val="nil"/>
              <w:left w:val="nil"/>
              <w:bottom w:val="nil"/>
              <w:right w:val="nil"/>
            </w:tcBorders>
            <w:shd w:val="clear" w:color="auto" w:fill="auto"/>
            <w:vAlign w:val="bottom"/>
          </w:tcPr>
          <w:p w14:paraId="32ED15E7" w14:textId="426C68B5" w:rsidR="00F76816" w:rsidRPr="002B3067" w:rsidRDefault="00F76816" w:rsidP="00F76816">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2</w:t>
            </w:r>
          </w:p>
        </w:tc>
        <w:tc>
          <w:tcPr>
            <w:tcW w:w="1418" w:type="dxa"/>
            <w:tcBorders>
              <w:top w:val="nil"/>
              <w:left w:val="nil"/>
              <w:bottom w:val="nil"/>
              <w:right w:val="nil"/>
            </w:tcBorders>
            <w:shd w:val="clear" w:color="auto" w:fill="auto"/>
            <w:vAlign w:val="bottom"/>
          </w:tcPr>
          <w:p w14:paraId="4C6E007B" w14:textId="68A0C868" w:rsidR="00F76816" w:rsidRPr="002B3067" w:rsidRDefault="00F76816" w:rsidP="00F76816">
            <w:pPr>
              <w:suppressAutoHyphens/>
              <w:autoSpaceDN w:val="0"/>
              <w:jc w:val="right"/>
              <w:rPr>
                <w:rFonts w:ascii="Arial" w:eastAsia="Calibri" w:hAnsi="Arial" w:cs="Arial"/>
                <w:color w:val="000000" w:themeColor="text1"/>
                <w:sz w:val="20"/>
                <w:szCs w:val="20"/>
              </w:rPr>
            </w:pPr>
            <w:r w:rsidRPr="00F959D0">
              <w:rPr>
                <w:rFonts w:ascii="Arial" w:eastAsia="Calibri" w:hAnsi="Arial" w:cs="Arial"/>
                <w:sz w:val="20"/>
                <w:szCs w:val="20"/>
              </w:rPr>
              <w:t xml:space="preserve"> 2 </w:t>
            </w:r>
          </w:p>
        </w:tc>
      </w:tr>
      <w:tr w:rsidR="00F76816" w:rsidRPr="002B3067" w14:paraId="0BC53850" w14:textId="77777777" w:rsidTr="002B3067">
        <w:trPr>
          <w:trHeight w:val="281"/>
        </w:trPr>
        <w:tc>
          <w:tcPr>
            <w:tcW w:w="3912" w:type="dxa"/>
            <w:tcBorders>
              <w:top w:val="nil"/>
              <w:left w:val="nil"/>
              <w:bottom w:val="nil"/>
              <w:right w:val="nil"/>
            </w:tcBorders>
            <w:shd w:val="clear" w:color="auto" w:fill="auto"/>
            <w:vAlign w:val="bottom"/>
            <w:hideMark/>
          </w:tcPr>
          <w:p w14:paraId="522D329E" w14:textId="77777777" w:rsidR="00F76816" w:rsidRPr="002B3067" w:rsidRDefault="00F76816" w:rsidP="00F76816">
            <w:pPr>
              <w:suppressAutoHyphens/>
              <w:autoSpaceDN w:val="0"/>
              <w:jc w:val="right"/>
              <w:rPr>
                <w:rFonts w:ascii="Arial" w:eastAsia="Calibri" w:hAnsi="Arial" w:cs="Arial"/>
                <w:color w:val="000000" w:themeColor="text1"/>
                <w:sz w:val="20"/>
                <w:szCs w:val="20"/>
              </w:rPr>
            </w:pPr>
          </w:p>
        </w:tc>
        <w:tc>
          <w:tcPr>
            <w:tcW w:w="1417" w:type="dxa"/>
            <w:tcBorders>
              <w:top w:val="single" w:sz="4" w:space="0" w:color="auto"/>
              <w:left w:val="nil"/>
              <w:bottom w:val="single" w:sz="12" w:space="0" w:color="auto"/>
              <w:right w:val="nil"/>
            </w:tcBorders>
            <w:shd w:val="clear" w:color="auto" w:fill="auto"/>
            <w:vAlign w:val="bottom"/>
          </w:tcPr>
          <w:p w14:paraId="2AFBC5B2" w14:textId="44066E96" w:rsidR="00F76816" w:rsidRPr="002B3067" w:rsidRDefault="00F76816" w:rsidP="00F76816">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276</w:t>
            </w:r>
          </w:p>
        </w:tc>
        <w:tc>
          <w:tcPr>
            <w:tcW w:w="1418" w:type="dxa"/>
            <w:tcBorders>
              <w:top w:val="single" w:sz="4" w:space="0" w:color="auto"/>
              <w:left w:val="nil"/>
              <w:bottom w:val="single" w:sz="12" w:space="0" w:color="auto"/>
              <w:right w:val="nil"/>
            </w:tcBorders>
            <w:shd w:val="clear" w:color="auto" w:fill="auto"/>
            <w:vAlign w:val="bottom"/>
          </w:tcPr>
          <w:p w14:paraId="17DBFF87" w14:textId="0A0225A1" w:rsidR="00F76816" w:rsidRPr="002B3067" w:rsidRDefault="00F76816" w:rsidP="00F76816">
            <w:pPr>
              <w:suppressAutoHyphens/>
              <w:autoSpaceDN w:val="0"/>
              <w:jc w:val="right"/>
              <w:rPr>
                <w:rFonts w:ascii="Arial" w:eastAsia="Calibri" w:hAnsi="Arial" w:cs="Arial"/>
                <w:b/>
                <w:bCs/>
                <w:color w:val="000000" w:themeColor="text1"/>
                <w:sz w:val="20"/>
                <w:szCs w:val="20"/>
              </w:rPr>
            </w:pPr>
            <w:r w:rsidRPr="00267853">
              <w:rPr>
                <w:rFonts w:ascii="Arial" w:eastAsia="Calibri" w:hAnsi="Arial" w:cs="Arial"/>
                <w:b/>
                <w:bCs/>
                <w:color w:val="000000" w:themeColor="text1"/>
                <w:sz w:val="20"/>
                <w:szCs w:val="20"/>
              </w:rPr>
              <w:t>278</w:t>
            </w:r>
          </w:p>
        </w:tc>
        <w:tc>
          <w:tcPr>
            <w:tcW w:w="1417" w:type="dxa"/>
            <w:tcBorders>
              <w:top w:val="single" w:sz="4" w:space="0" w:color="auto"/>
              <w:left w:val="nil"/>
              <w:bottom w:val="single" w:sz="12" w:space="0" w:color="auto"/>
              <w:right w:val="nil"/>
            </w:tcBorders>
            <w:shd w:val="clear" w:color="auto" w:fill="auto"/>
            <w:vAlign w:val="bottom"/>
          </w:tcPr>
          <w:p w14:paraId="6DE6AAEB" w14:textId="5008ABF0" w:rsidR="00F76816" w:rsidRPr="002B3067" w:rsidRDefault="00F76816" w:rsidP="00F76816">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276</w:t>
            </w:r>
          </w:p>
        </w:tc>
        <w:tc>
          <w:tcPr>
            <w:tcW w:w="1418" w:type="dxa"/>
            <w:tcBorders>
              <w:top w:val="single" w:sz="4" w:space="0" w:color="auto"/>
              <w:left w:val="nil"/>
              <w:bottom w:val="single" w:sz="12" w:space="0" w:color="auto"/>
              <w:right w:val="nil"/>
            </w:tcBorders>
            <w:shd w:val="clear" w:color="auto" w:fill="auto"/>
            <w:vAlign w:val="bottom"/>
          </w:tcPr>
          <w:p w14:paraId="4537E126" w14:textId="44A33DB4" w:rsidR="00F76816" w:rsidRPr="002B3067" w:rsidRDefault="00F76816" w:rsidP="00F76816">
            <w:pPr>
              <w:suppressAutoHyphens/>
              <w:autoSpaceDN w:val="0"/>
              <w:jc w:val="right"/>
              <w:rPr>
                <w:rFonts w:ascii="Arial" w:eastAsia="Calibri" w:hAnsi="Arial" w:cs="Arial"/>
                <w:b/>
                <w:bCs/>
                <w:color w:val="000000" w:themeColor="text1"/>
                <w:sz w:val="20"/>
                <w:szCs w:val="20"/>
              </w:rPr>
            </w:pPr>
            <w:r w:rsidRPr="00267853">
              <w:rPr>
                <w:rFonts w:ascii="Arial" w:eastAsia="Calibri" w:hAnsi="Arial" w:cs="Arial"/>
                <w:b/>
                <w:bCs/>
                <w:color w:val="000000" w:themeColor="text1"/>
                <w:sz w:val="20"/>
                <w:szCs w:val="20"/>
              </w:rPr>
              <w:t>278</w:t>
            </w:r>
          </w:p>
        </w:tc>
      </w:tr>
      <w:tr w:rsidR="00F76816" w:rsidRPr="002B3067" w14:paraId="072D6E90" w14:textId="77777777" w:rsidTr="002B3067">
        <w:trPr>
          <w:trHeight w:hRule="exact" w:val="170"/>
        </w:trPr>
        <w:tc>
          <w:tcPr>
            <w:tcW w:w="3912" w:type="dxa"/>
            <w:tcBorders>
              <w:top w:val="nil"/>
              <w:left w:val="nil"/>
              <w:bottom w:val="nil"/>
              <w:right w:val="nil"/>
            </w:tcBorders>
            <w:shd w:val="clear" w:color="auto" w:fill="auto"/>
            <w:vAlign w:val="bottom"/>
            <w:hideMark/>
          </w:tcPr>
          <w:p w14:paraId="280E0FCF" w14:textId="77777777" w:rsidR="00F76816" w:rsidRPr="002B3067" w:rsidRDefault="00F76816" w:rsidP="00F76816">
            <w:pPr>
              <w:suppressAutoHyphens/>
              <w:autoSpaceDN w:val="0"/>
              <w:jc w:val="right"/>
              <w:rPr>
                <w:rFonts w:ascii="Arial" w:eastAsia="Calibri" w:hAnsi="Arial" w:cs="Arial"/>
                <w:b/>
                <w:bCs/>
                <w:color w:val="000000" w:themeColor="text1"/>
                <w:sz w:val="20"/>
                <w:szCs w:val="20"/>
              </w:rPr>
            </w:pPr>
          </w:p>
        </w:tc>
        <w:tc>
          <w:tcPr>
            <w:tcW w:w="1417" w:type="dxa"/>
            <w:tcBorders>
              <w:top w:val="single" w:sz="12" w:space="0" w:color="auto"/>
              <w:left w:val="nil"/>
              <w:bottom w:val="nil"/>
              <w:right w:val="nil"/>
            </w:tcBorders>
            <w:shd w:val="clear" w:color="auto" w:fill="auto"/>
            <w:vAlign w:val="bottom"/>
          </w:tcPr>
          <w:p w14:paraId="3E813B43" w14:textId="77777777" w:rsidR="00F76816" w:rsidRPr="002B3067" w:rsidRDefault="00F76816" w:rsidP="00F76816">
            <w:pPr>
              <w:suppressAutoHyphens/>
              <w:autoSpaceDN w:val="0"/>
              <w:rPr>
                <w:rFonts w:ascii="Arial" w:eastAsia="Calibri" w:hAnsi="Arial" w:cs="Arial"/>
                <w:color w:val="000000" w:themeColor="text1"/>
                <w:sz w:val="20"/>
                <w:szCs w:val="20"/>
              </w:rPr>
            </w:pPr>
          </w:p>
        </w:tc>
        <w:tc>
          <w:tcPr>
            <w:tcW w:w="1418" w:type="dxa"/>
            <w:tcBorders>
              <w:top w:val="single" w:sz="12" w:space="0" w:color="auto"/>
              <w:left w:val="nil"/>
              <w:bottom w:val="nil"/>
              <w:right w:val="nil"/>
            </w:tcBorders>
            <w:shd w:val="clear" w:color="auto" w:fill="auto"/>
            <w:vAlign w:val="bottom"/>
          </w:tcPr>
          <w:p w14:paraId="7ECB429E" w14:textId="77777777" w:rsidR="00F76816" w:rsidRPr="002B3067" w:rsidRDefault="00F76816" w:rsidP="00F76816">
            <w:pPr>
              <w:suppressAutoHyphens/>
              <w:autoSpaceDN w:val="0"/>
              <w:rPr>
                <w:rFonts w:ascii="Arial" w:eastAsia="Calibri" w:hAnsi="Arial" w:cs="Arial"/>
                <w:color w:val="000000" w:themeColor="text1"/>
                <w:sz w:val="20"/>
                <w:szCs w:val="20"/>
              </w:rPr>
            </w:pPr>
          </w:p>
        </w:tc>
        <w:tc>
          <w:tcPr>
            <w:tcW w:w="1417" w:type="dxa"/>
            <w:tcBorders>
              <w:top w:val="single" w:sz="12" w:space="0" w:color="auto"/>
              <w:left w:val="nil"/>
              <w:bottom w:val="nil"/>
              <w:right w:val="nil"/>
            </w:tcBorders>
            <w:shd w:val="clear" w:color="auto" w:fill="auto"/>
            <w:vAlign w:val="bottom"/>
          </w:tcPr>
          <w:p w14:paraId="56C799F6" w14:textId="77777777" w:rsidR="00F76816" w:rsidRPr="002B3067" w:rsidRDefault="00F76816" w:rsidP="00F76816">
            <w:pPr>
              <w:suppressAutoHyphens/>
              <w:autoSpaceDN w:val="0"/>
              <w:jc w:val="right"/>
              <w:rPr>
                <w:rFonts w:ascii="Arial" w:eastAsia="Calibri" w:hAnsi="Arial" w:cs="Arial"/>
                <w:color w:val="000000" w:themeColor="text1"/>
                <w:sz w:val="20"/>
                <w:szCs w:val="20"/>
              </w:rPr>
            </w:pPr>
          </w:p>
        </w:tc>
        <w:tc>
          <w:tcPr>
            <w:tcW w:w="1418" w:type="dxa"/>
            <w:tcBorders>
              <w:top w:val="single" w:sz="12" w:space="0" w:color="auto"/>
              <w:left w:val="nil"/>
              <w:bottom w:val="nil"/>
              <w:right w:val="nil"/>
            </w:tcBorders>
            <w:shd w:val="clear" w:color="auto" w:fill="auto"/>
            <w:vAlign w:val="bottom"/>
          </w:tcPr>
          <w:p w14:paraId="426A683B" w14:textId="77777777" w:rsidR="00F76816" w:rsidRPr="002B3067" w:rsidRDefault="00F76816" w:rsidP="00F76816">
            <w:pPr>
              <w:suppressAutoHyphens/>
              <w:autoSpaceDN w:val="0"/>
              <w:jc w:val="right"/>
              <w:rPr>
                <w:rFonts w:ascii="Arial" w:eastAsia="Calibri" w:hAnsi="Arial" w:cs="Arial"/>
                <w:color w:val="000000" w:themeColor="text1"/>
                <w:sz w:val="20"/>
                <w:szCs w:val="20"/>
              </w:rPr>
            </w:pPr>
          </w:p>
        </w:tc>
      </w:tr>
      <w:tr w:rsidR="00F76816" w:rsidRPr="002B3067" w14:paraId="612C0A79" w14:textId="77777777" w:rsidTr="002B3067">
        <w:trPr>
          <w:trHeight w:val="281"/>
        </w:trPr>
        <w:tc>
          <w:tcPr>
            <w:tcW w:w="3912" w:type="dxa"/>
            <w:tcBorders>
              <w:top w:val="nil"/>
              <w:left w:val="nil"/>
              <w:bottom w:val="nil"/>
              <w:right w:val="nil"/>
            </w:tcBorders>
            <w:shd w:val="clear" w:color="auto" w:fill="auto"/>
            <w:vAlign w:val="bottom"/>
            <w:hideMark/>
          </w:tcPr>
          <w:p w14:paraId="74F73698" w14:textId="77777777" w:rsidR="00F76816" w:rsidRPr="002B3067" w:rsidRDefault="00F76816" w:rsidP="00F76816">
            <w:pPr>
              <w:suppressAutoHyphens/>
              <w:autoSpaceDN w:val="0"/>
              <w:rPr>
                <w:rFonts w:ascii="Arial" w:eastAsia="Calibri" w:hAnsi="Arial" w:cs="Arial"/>
                <w:b/>
                <w:bCs/>
                <w:i/>
                <w:iCs/>
                <w:color w:val="000000" w:themeColor="text1"/>
                <w:sz w:val="20"/>
                <w:szCs w:val="20"/>
              </w:rPr>
            </w:pPr>
            <w:r w:rsidRPr="002B3067">
              <w:rPr>
                <w:rFonts w:ascii="Arial" w:eastAsia="Calibri" w:hAnsi="Arial" w:cs="Arial"/>
                <w:b/>
                <w:bCs/>
                <w:i/>
                <w:iCs/>
                <w:color w:val="000000" w:themeColor="text1"/>
                <w:sz w:val="20"/>
                <w:szCs w:val="20"/>
              </w:rPr>
              <w:t>Vlasnički vrijednosni papiri:</w:t>
            </w:r>
          </w:p>
        </w:tc>
        <w:tc>
          <w:tcPr>
            <w:tcW w:w="1417" w:type="dxa"/>
            <w:tcBorders>
              <w:top w:val="nil"/>
              <w:left w:val="nil"/>
              <w:bottom w:val="nil"/>
              <w:right w:val="nil"/>
            </w:tcBorders>
            <w:shd w:val="clear" w:color="auto" w:fill="auto"/>
            <w:vAlign w:val="bottom"/>
          </w:tcPr>
          <w:p w14:paraId="4AF64C78" w14:textId="77777777" w:rsidR="00F76816" w:rsidRPr="002B3067" w:rsidRDefault="00F76816" w:rsidP="00F76816">
            <w:pPr>
              <w:suppressAutoHyphens/>
              <w:autoSpaceDN w:val="0"/>
              <w:rPr>
                <w:rFonts w:ascii="Arial" w:eastAsia="Calibri" w:hAnsi="Arial" w:cs="Arial"/>
                <w:b/>
                <w:bCs/>
                <w:i/>
                <w:iCs/>
                <w:color w:val="000000" w:themeColor="text1"/>
                <w:sz w:val="20"/>
                <w:szCs w:val="20"/>
              </w:rPr>
            </w:pPr>
          </w:p>
        </w:tc>
        <w:tc>
          <w:tcPr>
            <w:tcW w:w="1418" w:type="dxa"/>
            <w:tcBorders>
              <w:top w:val="nil"/>
              <w:left w:val="nil"/>
              <w:bottom w:val="nil"/>
              <w:right w:val="nil"/>
            </w:tcBorders>
            <w:shd w:val="clear" w:color="auto" w:fill="auto"/>
            <w:vAlign w:val="bottom"/>
          </w:tcPr>
          <w:p w14:paraId="65E07D1F" w14:textId="77777777" w:rsidR="00F76816" w:rsidRPr="002B3067" w:rsidRDefault="00F76816" w:rsidP="00F76816">
            <w:pPr>
              <w:suppressAutoHyphens/>
              <w:autoSpaceDN w:val="0"/>
              <w:rPr>
                <w:rFonts w:ascii="Arial" w:eastAsia="Calibri" w:hAnsi="Arial" w:cs="Arial"/>
                <w:b/>
                <w:bCs/>
                <w:i/>
                <w:iCs/>
                <w:color w:val="000000" w:themeColor="text1"/>
                <w:sz w:val="20"/>
                <w:szCs w:val="20"/>
              </w:rPr>
            </w:pPr>
          </w:p>
        </w:tc>
        <w:tc>
          <w:tcPr>
            <w:tcW w:w="1417" w:type="dxa"/>
            <w:tcBorders>
              <w:top w:val="nil"/>
              <w:left w:val="nil"/>
              <w:bottom w:val="nil"/>
              <w:right w:val="nil"/>
            </w:tcBorders>
            <w:shd w:val="clear" w:color="auto" w:fill="auto"/>
            <w:vAlign w:val="bottom"/>
          </w:tcPr>
          <w:p w14:paraId="702CECD2" w14:textId="77777777" w:rsidR="00F76816" w:rsidRPr="002B3067" w:rsidRDefault="00F76816" w:rsidP="00F76816">
            <w:pPr>
              <w:suppressAutoHyphens/>
              <w:autoSpaceDN w:val="0"/>
              <w:jc w:val="right"/>
              <w:rPr>
                <w:rFonts w:ascii="Arial" w:eastAsia="Calibri" w:hAnsi="Arial" w:cs="Arial"/>
                <w:color w:val="000000" w:themeColor="text1"/>
                <w:sz w:val="20"/>
                <w:szCs w:val="20"/>
              </w:rPr>
            </w:pPr>
          </w:p>
        </w:tc>
        <w:tc>
          <w:tcPr>
            <w:tcW w:w="1418" w:type="dxa"/>
            <w:tcBorders>
              <w:top w:val="nil"/>
              <w:left w:val="nil"/>
              <w:bottom w:val="nil"/>
              <w:right w:val="nil"/>
            </w:tcBorders>
            <w:shd w:val="clear" w:color="auto" w:fill="auto"/>
            <w:vAlign w:val="bottom"/>
          </w:tcPr>
          <w:p w14:paraId="068616F9" w14:textId="77777777" w:rsidR="00F76816" w:rsidRPr="002B3067" w:rsidRDefault="00F76816" w:rsidP="00F76816">
            <w:pPr>
              <w:suppressAutoHyphens/>
              <w:autoSpaceDN w:val="0"/>
              <w:jc w:val="right"/>
              <w:rPr>
                <w:rFonts w:ascii="Arial" w:eastAsia="Calibri" w:hAnsi="Arial" w:cs="Arial"/>
                <w:color w:val="000000" w:themeColor="text1"/>
                <w:sz w:val="20"/>
                <w:szCs w:val="20"/>
              </w:rPr>
            </w:pPr>
          </w:p>
        </w:tc>
      </w:tr>
      <w:tr w:rsidR="00F76816" w:rsidRPr="002B3067" w14:paraId="32664A66" w14:textId="77777777" w:rsidTr="002B3067">
        <w:trPr>
          <w:trHeight w:val="281"/>
        </w:trPr>
        <w:tc>
          <w:tcPr>
            <w:tcW w:w="3912" w:type="dxa"/>
            <w:tcBorders>
              <w:top w:val="nil"/>
              <w:left w:val="nil"/>
              <w:bottom w:val="nil"/>
              <w:right w:val="nil"/>
            </w:tcBorders>
            <w:shd w:val="clear" w:color="auto" w:fill="auto"/>
            <w:vAlign w:val="bottom"/>
          </w:tcPr>
          <w:p w14:paraId="719AB0C0" w14:textId="77777777" w:rsidR="00F76816" w:rsidRPr="002B3067" w:rsidRDefault="00F76816" w:rsidP="00F76816">
            <w:pPr>
              <w:suppressAutoHyphens/>
              <w:autoSpaceDN w:val="0"/>
              <w:rPr>
                <w:rFonts w:ascii="Arial" w:eastAsia="Calibri" w:hAnsi="Arial" w:cs="Arial"/>
                <w:b/>
                <w:bCs/>
                <w:iCs/>
                <w:color w:val="000000" w:themeColor="text1"/>
                <w:sz w:val="20"/>
                <w:szCs w:val="20"/>
              </w:rPr>
            </w:pPr>
            <w:r w:rsidRPr="002B3067">
              <w:rPr>
                <w:rFonts w:ascii="Arial" w:eastAsia="Calibri" w:hAnsi="Arial" w:cs="Arial"/>
                <w:b/>
                <w:bCs/>
                <w:iCs/>
                <w:color w:val="000000" w:themeColor="text1"/>
                <w:sz w:val="20"/>
                <w:szCs w:val="20"/>
              </w:rPr>
              <w:t>Vlasnički vrijednosni papiri koji ne kotiraju:</w:t>
            </w:r>
          </w:p>
        </w:tc>
        <w:tc>
          <w:tcPr>
            <w:tcW w:w="1417" w:type="dxa"/>
            <w:tcBorders>
              <w:top w:val="nil"/>
              <w:left w:val="nil"/>
              <w:bottom w:val="nil"/>
              <w:right w:val="nil"/>
            </w:tcBorders>
            <w:shd w:val="clear" w:color="auto" w:fill="auto"/>
            <w:vAlign w:val="bottom"/>
          </w:tcPr>
          <w:p w14:paraId="567BAC10" w14:textId="77777777" w:rsidR="00F76816" w:rsidRPr="002B3067" w:rsidRDefault="00F76816" w:rsidP="00F76816">
            <w:pPr>
              <w:suppressAutoHyphens/>
              <w:autoSpaceDN w:val="0"/>
              <w:rPr>
                <w:rFonts w:ascii="Arial" w:eastAsia="Calibri" w:hAnsi="Arial" w:cs="Arial"/>
                <w:b/>
                <w:bCs/>
                <w:i/>
                <w:iCs/>
                <w:color w:val="000000" w:themeColor="text1"/>
                <w:sz w:val="20"/>
                <w:szCs w:val="20"/>
              </w:rPr>
            </w:pPr>
          </w:p>
        </w:tc>
        <w:tc>
          <w:tcPr>
            <w:tcW w:w="1418" w:type="dxa"/>
            <w:tcBorders>
              <w:top w:val="nil"/>
              <w:left w:val="nil"/>
              <w:bottom w:val="nil"/>
              <w:right w:val="nil"/>
            </w:tcBorders>
            <w:shd w:val="clear" w:color="auto" w:fill="auto"/>
            <w:vAlign w:val="bottom"/>
          </w:tcPr>
          <w:p w14:paraId="6184B475" w14:textId="77777777" w:rsidR="00F76816" w:rsidRPr="002B3067" w:rsidRDefault="00F76816" w:rsidP="00F76816">
            <w:pPr>
              <w:suppressAutoHyphens/>
              <w:autoSpaceDN w:val="0"/>
              <w:rPr>
                <w:rFonts w:ascii="Arial" w:eastAsia="Calibri" w:hAnsi="Arial" w:cs="Arial"/>
                <w:b/>
                <w:bCs/>
                <w:i/>
                <w:iCs/>
                <w:color w:val="000000" w:themeColor="text1"/>
                <w:sz w:val="20"/>
                <w:szCs w:val="20"/>
              </w:rPr>
            </w:pPr>
          </w:p>
        </w:tc>
        <w:tc>
          <w:tcPr>
            <w:tcW w:w="1417" w:type="dxa"/>
            <w:tcBorders>
              <w:top w:val="nil"/>
              <w:left w:val="nil"/>
              <w:bottom w:val="nil"/>
              <w:right w:val="nil"/>
            </w:tcBorders>
            <w:shd w:val="clear" w:color="auto" w:fill="auto"/>
            <w:vAlign w:val="bottom"/>
          </w:tcPr>
          <w:p w14:paraId="3B0BD3C1" w14:textId="77777777" w:rsidR="00F76816" w:rsidRPr="002B3067" w:rsidRDefault="00F76816" w:rsidP="00F76816">
            <w:pPr>
              <w:suppressAutoHyphens/>
              <w:autoSpaceDN w:val="0"/>
              <w:jc w:val="right"/>
              <w:rPr>
                <w:rFonts w:ascii="Arial" w:eastAsia="Calibri" w:hAnsi="Arial" w:cs="Arial"/>
                <w:color w:val="000000" w:themeColor="text1"/>
                <w:sz w:val="20"/>
                <w:szCs w:val="20"/>
              </w:rPr>
            </w:pPr>
          </w:p>
        </w:tc>
        <w:tc>
          <w:tcPr>
            <w:tcW w:w="1418" w:type="dxa"/>
            <w:tcBorders>
              <w:top w:val="nil"/>
              <w:left w:val="nil"/>
              <w:bottom w:val="nil"/>
              <w:right w:val="nil"/>
            </w:tcBorders>
            <w:shd w:val="clear" w:color="auto" w:fill="auto"/>
            <w:vAlign w:val="bottom"/>
          </w:tcPr>
          <w:p w14:paraId="4FC7787E" w14:textId="77777777" w:rsidR="00F76816" w:rsidRPr="002B3067" w:rsidRDefault="00F76816" w:rsidP="00F76816">
            <w:pPr>
              <w:suppressAutoHyphens/>
              <w:autoSpaceDN w:val="0"/>
              <w:jc w:val="right"/>
              <w:rPr>
                <w:rFonts w:ascii="Arial" w:eastAsia="Calibri" w:hAnsi="Arial" w:cs="Arial"/>
                <w:color w:val="000000" w:themeColor="text1"/>
                <w:sz w:val="20"/>
                <w:szCs w:val="20"/>
              </w:rPr>
            </w:pPr>
          </w:p>
        </w:tc>
      </w:tr>
      <w:tr w:rsidR="00F76816" w:rsidRPr="002B3067" w14:paraId="13A2B958" w14:textId="77777777" w:rsidTr="005D1219">
        <w:trPr>
          <w:trHeight w:hRule="exact" w:val="522"/>
        </w:trPr>
        <w:tc>
          <w:tcPr>
            <w:tcW w:w="3912" w:type="dxa"/>
            <w:tcBorders>
              <w:top w:val="nil"/>
              <w:left w:val="nil"/>
              <w:bottom w:val="nil"/>
              <w:right w:val="nil"/>
            </w:tcBorders>
            <w:shd w:val="clear" w:color="auto" w:fill="auto"/>
            <w:vAlign w:val="bottom"/>
            <w:hideMark/>
          </w:tcPr>
          <w:p w14:paraId="1940EF9E" w14:textId="77777777" w:rsidR="00F76816" w:rsidRPr="002B3067" w:rsidRDefault="00F76816" w:rsidP="00F76816">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Dionice inozemnim pravnih osoba - SWIFT</w:t>
            </w:r>
          </w:p>
        </w:tc>
        <w:tc>
          <w:tcPr>
            <w:tcW w:w="1417" w:type="dxa"/>
            <w:tcBorders>
              <w:top w:val="nil"/>
              <w:left w:val="nil"/>
              <w:bottom w:val="nil"/>
              <w:right w:val="nil"/>
            </w:tcBorders>
            <w:shd w:val="clear" w:color="auto" w:fill="auto"/>
            <w:vAlign w:val="bottom"/>
          </w:tcPr>
          <w:p w14:paraId="6B353B97" w14:textId="392238A8" w:rsidR="00F76816" w:rsidRPr="002B3067" w:rsidRDefault="00F76816" w:rsidP="00F76816">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8</w:t>
            </w:r>
          </w:p>
        </w:tc>
        <w:tc>
          <w:tcPr>
            <w:tcW w:w="1418" w:type="dxa"/>
            <w:tcBorders>
              <w:top w:val="nil"/>
              <w:left w:val="nil"/>
              <w:bottom w:val="nil"/>
              <w:right w:val="nil"/>
            </w:tcBorders>
            <w:shd w:val="clear" w:color="auto" w:fill="auto"/>
            <w:vAlign w:val="bottom"/>
          </w:tcPr>
          <w:p w14:paraId="743BFCB9" w14:textId="1246CE93" w:rsidR="00F76816" w:rsidRPr="002B3067" w:rsidRDefault="00F76816" w:rsidP="00F76816">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8</w:t>
            </w:r>
          </w:p>
        </w:tc>
        <w:tc>
          <w:tcPr>
            <w:tcW w:w="1417" w:type="dxa"/>
            <w:tcBorders>
              <w:top w:val="nil"/>
              <w:left w:val="nil"/>
              <w:bottom w:val="nil"/>
              <w:right w:val="nil"/>
            </w:tcBorders>
            <w:shd w:val="clear" w:color="auto" w:fill="auto"/>
            <w:vAlign w:val="bottom"/>
          </w:tcPr>
          <w:p w14:paraId="3C5B4290" w14:textId="0FCD22AD" w:rsidR="00F76816" w:rsidRPr="002B3067" w:rsidRDefault="00F76816" w:rsidP="00F76816">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8</w:t>
            </w:r>
          </w:p>
        </w:tc>
        <w:tc>
          <w:tcPr>
            <w:tcW w:w="1418" w:type="dxa"/>
            <w:tcBorders>
              <w:top w:val="nil"/>
              <w:left w:val="nil"/>
              <w:bottom w:val="nil"/>
              <w:right w:val="nil"/>
            </w:tcBorders>
            <w:shd w:val="clear" w:color="auto" w:fill="auto"/>
            <w:vAlign w:val="bottom"/>
          </w:tcPr>
          <w:p w14:paraId="141563CF" w14:textId="69642DAE" w:rsidR="00F76816" w:rsidRPr="002B3067" w:rsidRDefault="00F76816" w:rsidP="00F76816">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8</w:t>
            </w:r>
          </w:p>
        </w:tc>
      </w:tr>
      <w:tr w:rsidR="00F76816" w:rsidRPr="002B3067" w14:paraId="6BC89423" w14:textId="77777777" w:rsidTr="005D1219">
        <w:trPr>
          <w:trHeight w:hRule="exact" w:val="499"/>
        </w:trPr>
        <w:tc>
          <w:tcPr>
            <w:tcW w:w="3912" w:type="dxa"/>
            <w:tcBorders>
              <w:top w:val="nil"/>
              <w:left w:val="nil"/>
              <w:bottom w:val="nil"/>
              <w:right w:val="nil"/>
            </w:tcBorders>
            <w:shd w:val="clear" w:color="auto" w:fill="auto"/>
            <w:vAlign w:val="bottom"/>
            <w:hideMark/>
          </w:tcPr>
          <w:p w14:paraId="64AD20D6" w14:textId="77777777" w:rsidR="00F76816" w:rsidRPr="002B3067" w:rsidRDefault="00F76816" w:rsidP="00F76816">
            <w:pPr>
              <w:suppressAutoHyphens/>
              <w:autoSpaceDN w:val="0"/>
              <w:rPr>
                <w:rFonts w:ascii="Arial" w:eastAsia="Calibri" w:hAnsi="Arial" w:cs="Arial"/>
                <w:color w:val="000000" w:themeColor="text1"/>
                <w:sz w:val="20"/>
                <w:szCs w:val="20"/>
              </w:rPr>
            </w:pPr>
            <w:r w:rsidRPr="002B3067">
              <w:rPr>
                <w:rFonts w:ascii="Arial" w:eastAsia="Calibri" w:hAnsi="Arial" w:cs="Arial"/>
                <w:color w:val="000000" w:themeColor="text1"/>
                <w:sz w:val="20"/>
                <w:szCs w:val="20"/>
              </w:rPr>
              <w:t>Dionice inozemnih financijskih institucija - EIF</w:t>
            </w:r>
          </w:p>
        </w:tc>
        <w:tc>
          <w:tcPr>
            <w:tcW w:w="1417" w:type="dxa"/>
            <w:tcBorders>
              <w:top w:val="nil"/>
              <w:left w:val="nil"/>
              <w:bottom w:val="nil"/>
              <w:right w:val="nil"/>
            </w:tcBorders>
            <w:shd w:val="clear" w:color="auto" w:fill="auto"/>
            <w:vAlign w:val="bottom"/>
          </w:tcPr>
          <w:p w14:paraId="60D1909A" w14:textId="70E455E0" w:rsidR="00F76816" w:rsidRPr="002B3067" w:rsidRDefault="00F76816" w:rsidP="00F76816">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7.757</w:t>
            </w:r>
          </w:p>
        </w:tc>
        <w:tc>
          <w:tcPr>
            <w:tcW w:w="1418" w:type="dxa"/>
            <w:tcBorders>
              <w:top w:val="nil"/>
              <w:left w:val="nil"/>
              <w:bottom w:val="nil"/>
              <w:right w:val="nil"/>
            </w:tcBorders>
            <w:shd w:val="clear" w:color="auto" w:fill="auto"/>
            <w:vAlign w:val="bottom"/>
          </w:tcPr>
          <w:p w14:paraId="62A53C22" w14:textId="7377127B" w:rsidR="00F76816" w:rsidRPr="002B3067" w:rsidRDefault="00F76816" w:rsidP="00F76816">
            <w:pPr>
              <w:suppressAutoHyphens/>
              <w:autoSpaceDN w:val="0"/>
              <w:jc w:val="right"/>
              <w:rPr>
                <w:rFonts w:ascii="Arial" w:eastAsia="Calibri" w:hAnsi="Arial" w:cs="Arial"/>
                <w:color w:val="000000" w:themeColor="text1"/>
                <w:sz w:val="20"/>
                <w:szCs w:val="20"/>
              </w:rPr>
            </w:pPr>
            <w:r w:rsidRPr="00267853">
              <w:rPr>
                <w:rFonts w:ascii="Arial" w:eastAsia="Calibri" w:hAnsi="Arial" w:cs="Arial"/>
                <w:color w:val="000000" w:themeColor="text1"/>
                <w:sz w:val="20"/>
                <w:szCs w:val="20"/>
              </w:rPr>
              <w:t>7.757</w:t>
            </w:r>
          </w:p>
        </w:tc>
        <w:tc>
          <w:tcPr>
            <w:tcW w:w="1417" w:type="dxa"/>
            <w:tcBorders>
              <w:top w:val="nil"/>
              <w:left w:val="nil"/>
              <w:bottom w:val="nil"/>
              <w:right w:val="nil"/>
            </w:tcBorders>
            <w:shd w:val="clear" w:color="auto" w:fill="auto"/>
            <w:vAlign w:val="bottom"/>
          </w:tcPr>
          <w:p w14:paraId="7800DC89" w14:textId="259E511F" w:rsidR="00F76816" w:rsidRPr="002B3067" w:rsidRDefault="00F76816" w:rsidP="00F76816">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7.757</w:t>
            </w:r>
          </w:p>
        </w:tc>
        <w:tc>
          <w:tcPr>
            <w:tcW w:w="1418" w:type="dxa"/>
            <w:tcBorders>
              <w:top w:val="nil"/>
              <w:left w:val="nil"/>
              <w:bottom w:val="nil"/>
              <w:right w:val="nil"/>
            </w:tcBorders>
            <w:shd w:val="clear" w:color="auto" w:fill="auto"/>
            <w:vAlign w:val="bottom"/>
          </w:tcPr>
          <w:p w14:paraId="54195B18" w14:textId="0B014734" w:rsidR="00F76816" w:rsidRPr="002B3067" w:rsidRDefault="00F76816" w:rsidP="00F76816">
            <w:pPr>
              <w:suppressAutoHyphens/>
              <w:autoSpaceDN w:val="0"/>
              <w:jc w:val="right"/>
              <w:rPr>
                <w:rFonts w:ascii="Arial" w:eastAsia="Calibri" w:hAnsi="Arial" w:cs="Arial"/>
                <w:color w:val="000000" w:themeColor="text1"/>
                <w:sz w:val="20"/>
                <w:szCs w:val="20"/>
              </w:rPr>
            </w:pPr>
            <w:r w:rsidRPr="00267853">
              <w:rPr>
                <w:rFonts w:ascii="Arial" w:eastAsia="Calibri" w:hAnsi="Arial" w:cs="Arial"/>
                <w:color w:val="000000" w:themeColor="text1"/>
                <w:sz w:val="20"/>
                <w:szCs w:val="20"/>
              </w:rPr>
              <w:t>7.757</w:t>
            </w:r>
          </w:p>
        </w:tc>
      </w:tr>
      <w:tr w:rsidR="00F76816" w:rsidRPr="002B3067" w14:paraId="2852B441" w14:textId="77777777" w:rsidTr="002B3067">
        <w:trPr>
          <w:trHeight w:val="281"/>
        </w:trPr>
        <w:tc>
          <w:tcPr>
            <w:tcW w:w="3912" w:type="dxa"/>
            <w:tcBorders>
              <w:top w:val="nil"/>
              <w:left w:val="nil"/>
              <w:bottom w:val="nil"/>
              <w:right w:val="nil"/>
            </w:tcBorders>
            <w:shd w:val="clear" w:color="auto" w:fill="auto"/>
            <w:vAlign w:val="bottom"/>
            <w:hideMark/>
          </w:tcPr>
          <w:p w14:paraId="08E7FC8D" w14:textId="77777777" w:rsidR="00F76816" w:rsidRPr="002B3067" w:rsidRDefault="00F76816" w:rsidP="00F76816">
            <w:pPr>
              <w:suppressAutoHyphens/>
              <w:autoSpaceDN w:val="0"/>
              <w:jc w:val="right"/>
              <w:rPr>
                <w:rFonts w:ascii="Arial" w:eastAsia="Calibri" w:hAnsi="Arial" w:cs="Arial"/>
                <w:color w:val="000000" w:themeColor="text1"/>
                <w:sz w:val="20"/>
                <w:szCs w:val="20"/>
              </w:rPr>
            </w:pPr>
          </w:p>
        </w:tc>
        <w:tc>
          <w:tcPr>
            <w:tcW w:w="1417" w:type="dxa"/>
            <w:tcBorders>
              <w:top w:val="single" w:sz="4" w:space="0" w:color="auto"/>
              <w:left w:val="nil"/>
              <w:bottom w:val="single" w:sz="12" w:space="0" w:color="auto"/>
              <w:right w:val="nil"/>
            </w:tcBorders>
            <w:shd w:val="clear" w:color="auto" w:fill="auto"/>
            <w:vAlign w:val="bottom"/>
          </w:tcPr>
          <w:p w14:paraId="46D06E2F" w14:textId="4002D020" w:rsidR="00F76816" w:rsidRPr="002B3067" w:rsidRDefault="00F76816" w:rsidP="00F76816">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7.765</w:t>
            </w:r>
          </w:p>
        </w:tc>
        <w:tc>
          <w:tcPr>
            <w:tcW w:w="1418" w:type="dxa"/>
            <w:tcBorders>
              <w:top w:val="single" w:sz="4" w:space="0" w:color="auto"/>
              <w:left w:val="nil"/>
              <w:bottom w:val="single" w:sz="12" w:space="0" w:color="auto"/>
              <w:right w:val="nil"/>
            </w:tcBorders>
            <w:shd w:val="clear" w:color="auto" w:fill="auto"/>
            <w:vAlign w:val="bottom"/>
          </w:tcPr>
          <w:p w14:paraId="451FED6C" w14:textId="1CB8252E" w:rsidR="00F76816" w:rsidRPr="002B3067" w:rsidRDefault="00F76816" w:rsidP="00F76816">
            <w:pPr>
              <w:suppressAutoHyphens/>
              <w:autoSpaceDN w:val="0"/>
              <w:jc w:val="right"/>
              <w:rPr>
                <w:rFonts w:ascii="Arial" w:eastAsia="Calibri" w:hAnsi="Arial" w:cs="Arial"/>
                <w:b/>
                <w:bCs/>
                <w:color w:val="000000" w:themeColor="text1"/>
                <w:sz w:val="20"/>
                <w:szCs w:val="20"/>
              </w:rPr>
            </w:pPr>
            <w:r w:rsidRPr="00267853">
              <w:rPr>
                <w:rFonts w:ascii="Arial" w:eastAsia="Calibri" w:hAnsi="Arial" w:cs="Arial"/>
                <w:b/>
                <w:bCs/>
                <w:color w:val="000000" w:themeColor="text1"/>
                <w:sz w:val="20"/>
                <w:szCs w:val="20"/>
              </w:rPr>
              <w:t>7.765</w:t>
            </w:r>
          </w:p>
        </w:tc>
        <w:tc>
          <w:tcPr>
            <w:tcW w:w="1417" w:type="dxa"/>
            <w:tcBorders>
              <w:top w:val="single" w:sz="4" w:space="0" w:color="auto"/>
              <w:left w:val="nil"/>
              <w:bottom w:val="single" w:sz="12" w:space="0" w:color="auto"/>
              <w:right w:val="nil"/>
            </w:tcBorders>
            <w:shd w:val="clear" w:color="auto" w:fill="auto"/>
            <w:vAlign w:val="bottom"/>
          </w:tcPr>
          <w:p w14:paraId="74E414BC" w14:textId="27EC4616" w:rsidR="00F76816" w:rsidRPr="002B3067" w:rsidRDefault="00F76816" w:rsidP="00F76816">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7.765</w:t>
            </w:r>
          </w:p>
        </w:tc>
        <w:tc>
          <w:tcPr>
            <w:tcW w:w="1418" w:type="dxa"/>
            <w:tcBorders>
              <w:top w:val="single" w:sz="4" w:space="0" w:color="auto"/>
              <w:left w:val="nil"/>
              <w:bottom w:val="single" w:sz="12" w:space="0" w:color="auto"/>
              <w:right w:val="nil"/>
            </w:tcBorders>
            <w:shd w:val="clear" w:color="auto" w:fill="auto"/>
            <w:vAlign w:val="bottom"/>
          </w:tcPr>
          <w:p w14:paraId="6CFC5B97" w14:textId="0B4D6595" w:rsidR="00F76816" w:rsidRPr="002B3067" w:rsidRDefault="00F76816" w:rsidP="00F76816">
            <w:pPr>
              <w:suppressAutoHyphens/>
              <w:autoSpaceDN w:val="0"/>
              <w:jc w:val="right"/>
              <w:rPr>
                <w:rFonts w:ascii="Arial" w:eastAsia="Calibri" w:hAnsi="Arial" w:cs="Arial"/>
                <w:b/>
                <w:bCs/>
                <w:color w:val="000000" w:themeColor="text1"/>
                <w:sz w:val="20"/>
                <w:szCs w:val="20"/>
              </w:rPr>
            </w:pPr>
            <w:r w:rsidRPr="00267853">
              <w:rPr>
                <w:rFonts w:ascii="Arial" w:eastAsia="Calibri" w:hAnsi="Arial" w:cs="Arial"/>
                <w:b/>
                <w:bCs/>
                <w:color w:val="000000" w:themeColor="text1"/>
                <w:sz w:val="20"/>
                <w:szCs w:val="20"/>
              </w:rPr>
              <w:t>7.765</w:t>
            </w:r>
          </w:p>
        </w:tc>
      </w:tr>
      <w:tr w:rsidR="00F76816" w:rsidRPr="002B3067" w14:paraId="6BADB544" w14:textId="77777777" w:rsidTr="002B4982">
        <w:trPr>
          <w:trHeight w:val="295"/>
        </w:trPr>
        <w:tc>
          <w:tcPr>
            <w:tcW w:w="3912" w:type="dxa"/>
            <w:tcBorders>
              <w:top w:val="nil"/>
              <w:left w:val="nil"/>
              <w:bottom w:val="nil"/>
              <w:right w:val="nil"/>
            </w:tcBorders>
            <w:shd w:val="clear" w:color="auto" w:fill="auto"/>
            <w:vAlign w:val="bottom"/>
            <w:hideMark/>
          </w:tcPr>
          <w:p w14:paraId="07D9F9F5" w14:textId="77777777" w:rsidR="00F76816" w:rsidRPr="002B3067" w:rsidRDefault="00F76816" w:rsidP="00F76816">
            <w:pPr>
              <w:suppressAutoHyphens/>
              <w:autoSpaceDN w:val="0"/>
              <w:jc w:val="right"/>
              <w:rPr>
                <w:rFonts w:ascii="Arial" w:eastAsia="Calibri" w:hAnsi="Arial" w:cs="Arial"/>
                <w:b/>
                <w:bCs/>
                <w:color w:val="000000" w:themeColor="text1"/>
                <w:sz w:val="20"/>
                <w:szCs w:val="20"/>
              </w:rPr>
            </w:pPr>
          </w:p>
        </w:tc>
        <w:tc>
          <w:tcPr>
            <w:tcW w:w="1417" w:type="dxa"/>
            <w:tcBorders>
              <w:top w:val="single" w:sz="12" w:space="0" w:color="auto"/>
              <w:left w:val="nil"/>
              <w:bottom w:val="single" w:sz="12" w:space="0" w:color="auto"/>
              <w:right w:val="nil"/>
            </w:tcBorders>
            <w:shd w:val="clear" w:color="auto" w:fill="auto"/>
            <w:vAlign w:val="bottom"/>
          </w:tcPr>
          <w:p w14:paraId="5056E566" w14:textId="5AC81776" w:rsidR="00F76816" w:rsidRPr="002B3067" w:rsidRDefault="00F76816" w:rsidP="00F76816">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245.890</w:t>
            </w:r>
          </w:p>
        </w:tc>
        <w:tc>
          <w:tcPr>
            <w:tcW w:w="1418" w:type="dxa"/>
            <w:tcBorders>
              <w:top w:val="single" w:sz="12" w:space="0" w:color="auto"/>
              <w:left w:val="nil"/>
              <w:bottom w:val="single" w:sz="12" w:space="0" w:color="auto"/>
              <w:right w:val="nil"/>
            </w:tcBorders>
            <w:shd w:val="clear" w:color="auto" w:fill="auto"/>
            <w:vAlign w:val="bottom"/>
          </w:tcPr>
          <w:p w14:paraId="30AB5924" w14:textId="76C1CFEC" w:rsidR="00F76816" w:rsidRPr="002B3067" w:rsidRDefault="00F76816" w:rsidP="00F76816">
            <w:pPr>
              <w:suppressAutoHyphens/>
              <w:autoSpaceDN w:val="0"/>
              <w:jc w:val="right"/>
              <w:rPr>
                <w:rFonts w:ascii="Arial" w:eastAsia="Calibri" w:hAnsi="Arial" w:cs="Arial"/>
                <w:b/>
                <w:bCs/>
                <w:color w:val="000000" w:themeColor="text1"/>
                <w:sz w:val="20"/>
                <w:szCs w:val="20"/>
              </w:rPr>
            </w:pPr>
            <w:r w:rsidRPr="008C4296">
              <w:rPr>
                <w:rFonts w:ascii="Arial" w:eastAsia="Calibri" w:hAnsi="Arial" w:cs="Arial"/>
                <w:b/>
                <w:bCs/>
                <w:color w:val="000000" w:themeColor="text1"/>
                <w:sz w:val="20"/>
                <w:szCs w:val="20"/>
              </w:rPr>
              <w:t>235.199</w:t>
            </w:r>
          </w:p>
        </w:tc>
        <w:tc>
          <w:tcPr>
            <w:tcW w:w="1417" w:type="dxa"/>
            <w:tcBorders>
              <w:top w:val="single" w:sz="12" w:space="0" w:color="auto"/>
              <w:left w:val="nil"/>
              <w:bottom w:val="single" w:sz="12" w:space="0" w:color="auto"/>
              <w:right w:val="nil"/>
            </w:tcBorders>
            <w:shd w:val="clear" w:color="auto" w:fill="auto"/>
            <w:vAlign w:val="bottom"/>
          </w:tcPr>
          <w:p w14:paraId="388780D0" w14:textId="20DB2056" w:rsidR="00F76816" w:rsidRPr="002B3067" w:rsidRDefault="00F76816" w:rsidP="00F76816">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239.600</w:t>
            </w:r>
          </w:p>
        </w:tc>
        <w:tc>
          <w:tcPr>
            <w:tcW w:w="1418" w:type="dxa"/>
            <w:tcBorders>
              <w:top w:val="single" w:sz="12" w:space="0" w:color="auto"/>
              <w:left w:val="nil"/>
              <w:bottom w:val="single" w:sz="12" w:space="0" w:color="auto"/>
              <w:right w:val="nil"/>
            </w:tcBorders>
            <w:shd w:val="clear" w:color="auto" w:fill="auto"/>
            <w:vAlign w:val="bottom"/>
          </w:tcPr>
          <w:p w14:paraId="41657105" w14:textId="0814A5CB" w:rsidR="00F76816" w:rsidRPr="002B3067" w:rsidRDefault="00F76816" w:rsidP="00F76816">
            <w:pPr>
              <w:suppressAutoHyphens/>
              <w:autoSpaceDN w:val="0"/>
              <w:jc w:val="right"/>
              <w:rPr>
                <w:rFonts w:ascii="Arial" w:eastAsia="Calibri" w:hAnsi="Arial" w:cs="Arial"/>
                <w:b/>
                <w:bCs/>
                <w:color w:val="000000" w:themeColor="text1"/>
                <w:sz w:val="20"/>
                <w:szCs w:val="20"/>
              </w:rPr>
            </w:pPr>
            <w:r w:rsidRPr="00F959D0">
              <w:rPr>
                <w:rFonts w:ascii="Arial" w:hAnsi="Arial" w:cs="Arial"/>
                <w:b/>
                <w:bCs/>
                <w:sz w:val="20"/>
                <w:szCs w:val="20"/>
              </w:rPr>
              <w:t>228.858</w:t>
            </w:r>
          </w:p>
        </w:tc>
      </w:tr>
    </w:tbl>
    <w:p w14:paraId="020FD37D" w14:textId="77777777" w:rsidR="001B247D" w:rsidRPr="003D1614" w:rsidRDefault="001B247D" w:rsidP="001B247D">
      <w:pPr>
        <w:keepNext/>
        <w:suppressAutoHyphens/>
        <w:autoSpaceDN w:val="0"/>
        <w:jc w:val="both"/>
        <w:outlineLvl w:val="0"/>
        <w:rPr>
          <w:rFonts w:ascii="Arial" w:eastAsia="Times New Roman" w:hAnsi="Arial" w:cs="Arial"/>
          <w:bCs/>
          <w:color w:val="000000" w:themeColor="text1"/>
          <w:sz w:val="20"/>
          <w:szCs w:val="20"/>
        </w:rPr>
      </w:pPr>
    </w:p>
    <w:p w14:paraId="4A351DFD" w14:textId="2A72F066" w:rsidR="001B247D" w:rsidRPr="003D1614" w:rsidRDefault="001B247D" w:rsidP="001B247D">
      <w:pPr>
        <w:suppressAutoHyphens/>
        <w:autoSpaceDN w:val="0"/>
        <w:jc w:val="both"/>
        <w:rPr>
          <w:rFonts w:ascii="Arial" w:eastAsia="Times New Roman" w:hAnsi="Arial" w:cs="Arial"/>
          <w:sz w:val="20"/>
          <w:szCs w:val="20"/>
        </w:rPr>
      </w:pPr>
      <w:r w:rsidRPr="003D1614">
        <w:rPr>
          <w:rFonts w:ascii="Arial" w:eastAsia="Calibri" w:hAnsi="Arial" w:cs="Arial"/>
          <w:spacing w:val="-3"/>
          <w:sz w:val="20"/>
          <w:szCs w:val="20"/>
        </w:rPr>
        <w:t xml:space="preserve">Zamjenjive obveznice (engl. </w:t>
      </w:r>
      <w:proofErr w:type="spellStart"/>
      <w:r w:rsidRPr="003D1614">
        <w:rPr>
          <w:rFonts w:ascii="Arial" w:eastAsia="Calibri" w:hAnsi="Arial" w:cs="Arial"/>
          <w:spacing w:val="-3"/>
          <w:sz w:val="20"/>
          <w:szCs w:val="20"/>
        </w:rPr>
        <w:t>convertible</w:t>
      </w:r>
      <w:proofErr w:type="spellEnd"/>
      <w:r w:rsidRPr="003D1614">
        <w:rPr>
          <w:rFonts w:ascii="Arial" w:eastAsia="Calibri" w:hAnsi="Arial" w:cs="Arial"/>
          <w:spacing w:val="-3"/>
          <w:sz w:val="20"/>
          <w:szCs w:val="20"/>
        </w:rPr>
        <w:t xml:space="preserve"> </w:t>
      </w:r>
      <w:proofErr w:type="spellStart"/>
      <w:r w:rsidRPr="003D1614">
        <w:rPr>
          <w:rFonts w:ascii="Arial" w:eastAsia="Calibri" w:hAnsi="Arial" w:cs="Arial"/>
          <w:spacing w:val="-3"/>
          <w:sz w:val="20"/>
          <w:szCs w:val="20"/>
        </w:rPr>
        <w:t>bonds</w:t>
      </w:r>
      <w:proofErr w:type="spellEnd"/>
      <w:r w:rsidRPr="003D1614">
        <w:rPr>
          <w:rFonts w:ascii="Arial" w:eastAsia="Calibri" w:hAnsi="Arial" w:cs="Arial"/>
          <w:spacing w:val="-3"/>
          <w:sz w:val="20"/>
          <w:szCs w:val="20"/>
        </w:rPr>
        <w:t xml:space="preserve"> – CB) </w:t>
      </w:r>
      <w:proofErr w:type="spellStart"/>
      <w:r w:rsidRPr="003D1614">
        <w:rPr>
          <w:rFonts w:ascii="Arial" w:eastAsia="Times New Roman" w:hAnsi="Arial" w:cs="Arial"/>
          <w:sz w:val="20"/>
          <w:szCs w:val="20"/>
        </w:rPr>
        <w:t>Fortenova</w:t>
      </w:r>
      <w:proofErr w:type="spellEnd"/>
      <w:r w:rsidRPr="003D1614">
        <w:rPr>
          <w:rFonts w:ascii="Arial" w:eastAsia="Times New Roman" w:hAnsi="Arial" w:cs="Arial"/>
          <w:sz w:val="20"/>
          <w:szCs w:val="20"/>
        </w:rPr>
        <w:t xml:space="preserve"> Group </w:t>
      </w:r>
      <w:proofErr w:type="spellStart"/>
      <w:r w:rsidRPr="003D1614">
        <w:rPr>
          <w:rFonts w:ascii="Arial" w:eastAsia="Times New Roman" w:hAnsi="Arial" w:cs="Arial"/>
          <w:sz w:val="20"/>
          <w:szCs w:val="20"/>
        </w:rPr>
        <w:t>TopCo</w:t>
      </w:r>
      <w:proofErr w:type="spellEnd"/>
      <w:r w:rsidRPr="003D1614">
        <w:rPr>
          <w:rFonts w:ascii="Arial" w:eastAsia="Times New Roman" w:hAnsi="Arial" w:cs="Arial"/>
          <w:sz w:val="20"/>
          <w:szCs w:val="20"/>
        </w:rPr>
        <w:t xml:space="preserve"> B.V.,</w:t>
      </w:r>
      <w:r w:rsidRPr="003D1614">
        <w:rPr>
          <w:rFonts w:ascii="Arial" w:eastAsia="Calibri" w:hAnsi="Arial" w:cs="Arial"/>
          <w:spacing w:val="-3"/>
          <w:sz w:val="20"/>
          <w:szCs w:val="20"/>
        </w:rPr>
        <w:t xml:space="preserve"> koje ne kotiraju,</w:t>
      </w:r>
      <w:r w:rsidRPr="003D1614">
        <w:rPr>
          <w:rFonts w:ascii="Arial" w:eastAsia="Times New Roman" w:hAnsi="Arial" w:cs="Arial"/>
          <w:sz w:val="20"/>
          <w:szCs w:val="20"/>
        </w:rPr>
        <w:t xml:space="preserve"> </w:t>
      </w:r>
      <w:r w:rsidRPr="003D1614">
        <w:rPr>
          <w:rFonts w:ascii="Arial" w:eastAsia="Calibri" w:hAnsi="Arial" w:cs="Arial"/>
          <w:spacing w:val="-3"/>
          <w:sz w:val="20"/>
          <w:szCs w:val="20"/>
        </w:rPr>
        <w:t xml:space="preserve">u iznosu </w:t>
      </w:r>
      <w:r w:rsidRPr="009A64AE">
        <w:rPr>
          <w:rFonts w:ascii="Arial" w:eastAsia="Calibri" w:hAnsi="Arial" w:cs="Arial"/>
          <w:spacing w:val="-3"/>
          <w:sz w:val="20"/>
          <w:szCs w:val="20"/>
        </w:rPr>
        <w:t xml:space="preserve">od </w:t>
      </w:r>
      <w:r w:rsidR="007A77B7" w:rsidRPr="005D1219">
        <w:rPr>
          <w:rFonts w:ascii="Arial" w:eastAsia="Calibri" w:hAnsi="Arial" w:cs="Arial"/>
          <w:spacing w:val="-3"/>
          <w:sz w:val="20"/>
          <w:szCs w:val="20"/>
        </w:rPr>
        <w:t>195</w:t>
      </w:r>
      <w:r w:rsidRPr="003D1614">
        <w:rPr>
          <w:rFonts w:ascii="Arial" w:eastAsia="Calibri" w:hAnsi="Arial" w:cs="Arial"/>
          <w:spacing w:val="-3"/>
          <w:sz w:val="20"/>
          <w:szCs w:val="20"/>
        </w:rPr>
        <w:t xml:space="preserve"> tisuća eura </w:t>
      </w:r>
      <w:r w:rsidRPr="003D1614">
        <w:rPr>
          <w:rFonts w:ascii="Arial" w:eastAsia="Times New Roman" w:hAnsi="Arial" w:cs="Arial"/>
          <w:color w:val="000000" w:themeColor="text1"/>
          <w:sz w:val="20"/>
          <w:szCs w:val="20"/>
        </w:rPr>
        <w:t>(31. prosinca 202</w:t>
      </w:r>
      <w:r w:rsidR="003E4CD2">
        <w:rPr>
          <w:rFonts w:ascii="Arial" w:eastAsia="Times New Roman" w:hAnsi="Arial" w:cs="Arial"/>
          <w:color w:val="000000" w:themeColor="text1"/>
          <w:sz w:val="20"/>
          <w:szCs w:val="20"/>
        </w:rPr>
        <w:t>3</w:t>
      </w:r>
      <w:r w:rsidRPr="003D1614">
        <w:rPr>
          <w:rFonts w:ascii="Arial" w:eastAsia="Times New Roman" w:hAnsi="Arial" w:cs="Arial"/>
          <w:color w:val="000000" w:themeColor="text1"/>
          <w:sz w:val="20"/>
          <w:szCs w:val="20"/>
        </w:rPr>
        <w:t xml:space="preserve">.: </w:t>
      </w:r>
      <w:r w:rsidR="007A77B7">
        <w:rPr>
          <w:rFonts w:ascii="Arial" w:eastAsia="Times New Roman" w:hAnsi="Arial" w:cs="Arial"/>
          <w:color w:val="000000" w:themeColor="text1"/>
          <w:sz w:val="20"/>
          <w:szCs w:val="20"/>
        </w:rPr>
        <w:t>195</w:t>
      </w:r>
      <w:r w:rsidR="009A64AE">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z w:val="20"/>
          <w:szCs w:val="20"/>
        </w:rPr>
        <w:t xml:space="preserve">tisuća eura) </w:t>
      </w:r>
      <w:r w:rsidRPr="003D1614">
        <w:rPr>
          <w:rFonts w:ascii="Arial" w:eastAsia="Calibri" w:hAnsi="Arial" w:cs="Arial"/>
          <w:spacing w:val="-3"/>
          <w:sz w:val="20"/>
          <w:szCs w:val="20"/>
        </w:rPr>
        <w:t xml:space="preserve">preuzete su </w:t>
      </w:r>
      <w:r w:rsidRPr="003D1614">
        <w:rPr>
          <w:rFonts w:ascii="Arial" w:eastAsia="Times New Roman" w:hAnsi="Arial" w:cs="Arial"/>
          <w:sz w:val="20"/>
          <w:szCs w:val="20"/>
        </w:rPr>
        <w:t>Nagodbom u Postupku izvanredne uprave nad Agrokor d.d. i dr..</w:t>
      </w:r>
    </w:p>
    <w:p w14:paraId="392ED4A3" w14:textId="54A036E6" w:rsidR="001B247D" w:rsidRPr="003D1614" w:rsidRDefault="001B247D" w:rsidP="001B247D">
      <w:pPr>
        <w:suppressAutoHyphens/>
        <w:autoSpaceDN w:val="0"/>
        <w:jc w:val="both"/>
        <w:rPr>
          <w:rFonts w:ascii="Arial" w:eastAsia="Times New Roman" w:hAnsi="Arial" w:cs="Arial"/>
          <w:sz w:val="20"/>
          <w:szCs w:val="20"/>
        </w:rPr>
      </w:pPr>
    </w:p>
    <w:p w14:paraId="6EB00655" w14:textId="77777777" w:rsidR="001B247D" w:rsidRPr="003D1614" w:rsidRDefault="001B247D" w:rsidP="001B247D">
      <w:pPr>
        <w:suppressAutoHyphens/>
        <w:autoSpaceDN w:val="0"/>
        <w:jc w:val="both"/>
        <w:rPr>
          <w:rFonts w:ascii="Arial" w:eastAsia="Calibri" w:hAnsi="Arial" w:cs="Arial"/>
          <w:spacing w:val="-3"/>
          <w:sz w:val="20"/>
          <w:szCs w:val="20"/>
        </w:rPr>
        <w:sectPr w:rsidR="001B247D" w:rsidRPr="003D1614">
          <w:pgSz w:w="11906" w:h="16838"/>
          <w:pgMar w:top="1417" w:right="1417" w:bottom="1417" w:left="1417" w:header="708" w:footer="708" w:gutter="0"/>
          <w:cols w:space="708"/>
          <w:docGrid w:linePitch="360"/>
        </w:sectPr>
      </w:pPr>
    </w:p>
    <w:p w14:paraId="6945EEC3" w14:textId="77777777" w:rsidR="001B247D" w:rsidRPr="003D1614" w:rsidRDefault="001B247D" w:rsidP="001B247D">
      <w:pPr>
        <w:keepNext/>
        <w:suppressAutoHyphens/>
        <w:autoSpaceDN w:val="0"/>
        <w:jc w:val="both"/>
        <w:outlineLvl w:val="0"/>
        <w:rPr>
          <w:rFonts w:ascii="Arial" w:eastAsia="Times New Roman" w:hAnsi="Arial" w:cs="Arial"/>
          <w:bCs/>
          <w:color w:val="000000" w:themeColor="text1"/>
          <w:sz w:val="20"/>
          <w:szCs w:val="20"/>
        </w:rPr>
      </w:pPr>
    </w:p>
    <w:p w14:paraId="3AE5A6BA" w14:textId="76370E50" w:rsidR="001B247D" w:rsidRPr="003D1614" w:rsidRDefault="001B247D" w:rsidP="001B247D">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4</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Financijska imovina po fer vrijednosti kroz ostalu sveobuhvatnu dobit (nastavak)</w:t>
      </w:r>
      <w:r w:rsidRPr="003D1614">
        <w:rPr>
          <w:rFonts w:ascii="Arial" w:eastAsia="Times New Roman" w:hAnsi="Arial" w:cs="Arial"/>
          <w:b/>
          <w:bCs/>
          <w:color w:val="000000" w:themeColor="text1"/>
          <w:sz w:val="20"/>
          <w:szCs w:val="20"/>
        </w:rPr>
        <w:tab/>
      </w:r>
      <w:r w:rsidRPr="003D1614">
        <w:rPr>
          <w:rFonts w:ascii="Arial" w:eastAsia="Times New Roman" w:hAnsi="Arial" w:cs="Arial"/>
          <w:b/>
          <w:bCs/>
          <w:color w:val="000000" w:themeColor="text1"/>
          <w:sz w:val="20"/>
          <w:szCs w:val="20"/>
        </w:rPr>
        <w:tab/>
      </w:r>
      <w:r w:rsidRPr="003D1614">
        <w:rPr>
          <w:rFonts w:ascii="Arial" w:eastAsia="Times New Roman" w:hAnsi="Arial" w:cs="Arial"/>
          <w:b/>
          <w:bCs/>
          <w:color w:val="000000" w:themeColor="text1"/>
          <w:sz w:val="20"/>
          <w:szCs w:val="20"/>
        </w:rPr>
        <w:tab/>
      </w:r>
    </w:p>
    <w:p w14:paraId="1739F907" w14:textId="77777777" w:rsidR="001B247D" w:rsidRPr="003D1614" w:rsidRDefault="001B247D" w:rsidP="001B247D">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Sljedeće tablice prikazuju informacije o kreditnoj kvaliteti financijske imovine koja se mjeri po fer vrijednosti kroz ostalu sveobuhvatnu dobit. Iznosi u tablici predstavljaju bruto knjigovodstvene iznose:</w:t>
      </w:r>
    </w:p>
    <w:tbl>
      <w:tblPr>
        <w:tblpPr w:leftFromText="180" w:rightFromText="180" w:vertAnchor="text" w:horzAnchor="margin" w:tblpXSpec="center" w:tblpY="187"/>
        <w:tblW w:w="9762" w:type="dxa"/>
        <w:tblLayout w:type="fixed"/>
        <w:tblLook w:val="04A0" w:firstRow="1" w:lastRow="0" w:firstColumn="1" w:lastColumn="0" w:noHBand="0" w:noVBand="1"/>
      </w:tblPr>
      <w:tblGrid>
        <w:gridCol w:w="1814"/>
        <w:gridCol w:w="993"/>
        <w:gridCol w:w="994"/>
        <w:gridCol w:w="993"/>
        <w:gridCol w:w="994"/>
        <w:gridCol w:w="993"/>
        <w:gridCol w:w="994"/>
        <w:gridCol w:w="993"/>
        <w:gridCol w:w="994"/>
      </w:tblGrid>
      <w:tr w:rsidR="001B247D" w:rsidRPr="006807D0" w14:paraId="148FED77" w14:textId="77777777" w:rsidTr="006807D0">
        <w:trPr>
          <w:trHeight w:val="270"/>
        </w:trPr>
        <w:tc>
          <w:tcPr>
            <w:tcW w:w="1814" w:type="dxa"/>
            <w:tcBorders>
              <w:top w:val="nil"/>
              <w:left w:val="nil"/>
              <w:bottom w:val="nil"/>
              <w:right w:val="nil"/>
            </w:tcBorders>
            <w:shd w:val="clear" w:color="auto" w:fill="auto"/>
            <w:noWrap/>
            <w:vAlign w:val="bottom"/>
            <w:hideMark/>
          </w:tcPr>
          <w:p w14:paraId="261331A6" w14:textId="64E0838E" w:rsidR="001B247D" w:rsidRPr="006807D0" w:rsidRDefault="001B247D" w:rsidP="001B247D">
            <w:pPr>
              <w:suppressAutoHyphens/>
              <w:autoSpaceDN w:val="0"/>
              <w:rPr>
                <w:rFonts w:ascii="Arial" w:eastAsia="Times New Roman" w:hAnsi="Arial" w:cs="Arial"/>
                <w:b/>
                <w:color w:val="000000" w:themeColor="text1"/>
                <w:sz w:val="17"/>
                <w:szCs w:val="17"/>
              </w:rPr>
            </w:pPr>
            <w:r w:rsidRPr="006807D0">
              <w:rPr>
                <w:rFonts w:ascii="Arial" w:eastAsia="Times New Roman" w:hAnsi="Arial" w:cs="Arial"/>
                <w:b/>
                <w:color w:val="000000" w:themeColor="text1"/>
                <w:sz w:val="17"/>
                <w:szCs w:val="17"/>
              </w:rPr>
              <w:t>31. ožujka 202</w:t>
            </w:r>
            <w:r w:rsidR="00BE34F2">
              <w:rPr>
                <w:rFonts w:ascii="Arial" w:eastAsia="Times New Roman" w:hAnsi="Arial" w:cs="Arial"/>
                <w:b/>
                <w:color w:val="000000" w:themeColor="text1"/>
                <w:sz w:val="17"/>
                <w:szCs w:val="17"/>
              </w:rPr>
              <w:t>4</w:t>
            </w:r>
            <w:r w:rsidRPr="006807D0">
              <w:rPr>
                <w:rFonts w:ascii="Arial" w:eastAsia="Times New Roman" w:hAnsi="Arial" w:cs="Arial"/>
                <w:b/>
                <w:color w:val="000000" w:themeColor="text1"/>
                <w:sz w:val="17"/>
                <w:szCs w:val="17"/>
              </w:rPr>
              <w:t>.</w:t>
            </w:r>
          </w:p>
        </w:tc>
        <w:tc>
          <w:tcPr>
            <w:tcW w:w="993" w:type="dxa"/>
            <w:tcBorders>
              <w:top w:val="nil"/>
              <w:left w:val="nil"/>
              <w:bottom w:val="nil"/>
              <w:right w:val="nil"/>
            </w:tcBorders>
            <w:shd w:val="clear" w:color="auto" w:fill="auto"/>
            <w:noWrap/>
            <w:vAlign w:val="bottom"/>
            <w:hideMark/>
          </w:tcPr>
          <w:p w14:paraId="4964784F" w14:textId="77777777" w:rsidR="001B247D" w:rsidRPr="006807D0" w:rsidRDefault="001B247D" w:rsidP="001B247D">
            <w:pPr>
              <w:suppressAutoHyphens/>
              <w:autoSpaceDN w:val="0"/>
              <w:jc w:val="right"/>
              <w:rPr>
                <w:rFonts w:ascii="Arial" w:eastAsia="Times New Roman" w:hAnsi="Arial" w:cs="Arial"/>
                <w:color w:val="000000" w:themeColor="text1"/>
                <w:sz w:val="17"/>
                <w:szCs w:val="17"/>
              </w:rPr>
            </w:pPr>
          </w:p>
        </w:tc>
        <w:tc>
          <w:tcPr>
            <w:tcW w:w="994" w:type="dxa"/>
            <w:tcBorders>
              <w:top w:val="nil"/>
              <w:left w:val="nil"/>
              <w:bottom w:val="nil"/>
              <w:right w:val="nil"/>
            </w:tcBorders>
            <w:shd w:val="clear" w:color="auto" w:fill="auto"/>
            <w:noWrap/>
            <w:vAlign w:val="bottom"/>
            <w:hideMark/>
          </w:tcPr>
          <w:p w14:paraId="2E6841B9" w14:textId="77777777" w:rsidR="001B247D" w:rsidRPr="006807D0" w:rsidRDefault="001B247D" w:rsidP="001B247D">
            <w:pPr>
              <w:suppressAutoHyphens/>
              <w:autoSpaceDN w:val="0"/>
              <w:jc w:val="right"/>
              <w:rPr>
                <w:rFonts w:ascii="Arial" w:eastAsia="Times New Roman" w:hAnsi="Arial" w:cs="Arial"/>
                <w:color w:val="000000" w:themeColor="text1"/>
                <w:sz w:val="17"/>
                <w:szCs w:val="17"/>
              </w:rPr>
            </w:pPr>
          </w:p>
        </w:tc>
        <w:tc>
          <w:tcPr>
            <w:tcW w:w="993" w:type="dxa"/>
            <w:tcBorders>
              <w:top w:val="nil"/>
              <w:left w:val="nil"/>
              <w:bottom w:val="nil"/>
              <w:right w:val="nil"/>
            </w:tcBorders>
            <w:shd w:val="clear" w:color="auto" w:fill="auto"/>
            <w:noWrap/>
            <w:vAlign w:val="bottom"/>
            <w:hideMark/>
          </w:tcPr>
          <w:p w14:paraId="70AE1392" w14:textId="77777777" w:rsidR="001B247D" w:rsidRPr="006807D0" w:rsidRDefault="001B247D" w:rsidP="001B247D">
            <w:pPr>
              <w:suppressAutoHyphens/>
              <w:autoSpaceDN w:val="0"/>
              <w:jc w:val="right"/>
              <w:rPr>
                <w:rFonts w:ascii="Arial" w:eastAsia="Times New Roman" w:hAnsi="Arial" w:cs="Arial"/>
                <w:color w:val="000000" w:themeColor="text1"/>
                <w:sz w:val="17"/>
                <w:szCs w:val="17"/>
              </w:rPr>
            </w:pPr>
          </w:p>
        </w:tc>
        <w:tc>
          <w:tcPr>
            <w:tcW w:w="994" w:type="dxa"/>
            <w:tcBorders>
              <w:top w:val="nil"/>
              <w:left w:val="nil"/>
              <w:bottom w:val="nil"/>
              <w:right w:val="nil"/>
            </w:tcBorders>
            <w:shd w:val="clear" w:color="auto" w:fill="auto"/>
            <w:noWrap/>
            <w:vAlign w:val="bottom"/>
            <w:hideMark/>
          </w:tcPr>
          <w:p w14:paraId="6131BF2C"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Grupa</w:t>
            </w:r>
          </w:p>
        </w:tc>
        <w:tc>
          <w:tcPr>
            <w:tcW w:w="993" w:type="dxa"/>
            <w:tcBorders>
              <w:top w:val="nil"/>
              <w:left w:val="nil"/>
              <w:bottom w:val="nil"/>
              <w:right w:val="nil"/>
            </w:tcBorders>
            <w:shd w:val="clear" w:color="auto" w:fill="auto"/>
            <w:noWrap/>
            <w:vAlign w:val="bottom"/>
            <w:hideMark/>
          </w:tcPr>
          <w:p w14:paraId="4C7FF3FE"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hideMark/>
          </w:tcPr>
          <w:p w14:paraId="63C03E86" w14:textId="77777777" w:rsidR="001B247D" w:rsidRPr="006807D0" w:rsidRDefault="001B247D" w:rsidP="001B247D">
            <w:pPr>
              <w:suppressAutoHyphens/>
              <w:autoSpaceDN w:val="0"/>
              <w:jc w:val="right"/>
              <w:rPr>
                <w:rFonts w:ascii="Arial" w:eastAsia="Times New Roman" w:hAnsi="Arial" w:cs="Arial"/>
                <w:color w:val="000000" w:themeColor="text1"/>
                <w:sz w:val="17"/>
                <w:szCs w:val="17"/>
              </w:rPr>
            </w:pPr>
          </w:p>
        </w:tc>
        <w:tc>
          <w:tcPr>
            <w:tcW w:w="993" w:type="dxa"/>
            <w:tcBorders>
              <w:top w:val="nil"/>
              <w:left w:val="nil"/>
              <w:bottom w:val="nil"/>
              <w:right w:val="nil"/>
            </w:tcBorders>
            <w:shd w:val="clear" w:color="auto" w:fill="auto"/>
            <w:noWrap/>
            <w:vAlign w:val="bottom"/>
            <w:hideMark/>
          </w:tcPr>
          <w:p w14:paraId="612B800E" w14:textId="77777777" w:rsidR="001B247D" w:rsidRPr="006807D0" w:rsidRDefault="001B247D" w:rsidP="001B247D">
            <w:pPr>
              <w:suppressAutoHyphens/>
              <w:autoSpaceDN w:val="0"/>
              <w:jc w:val="right"/>
              <w:rPr>
                <w:rFonts w:ascii="Arial" w:eastAsia="Times New Roman" w:hAnsi="Arial" w:cs="Arial"/>
                <w:color w:val="000000" w:themeColor="text1"/>
                <w:sz w:val="17"/>
                <w:szCs w:val="17"/>
              </w:rPr>
            </w:pPr>
          </w:p>
        </w:tc>
        <w:tc>
          <w:tcPr>
            <w:tcW w:w="994" w:type="dxa"/>
            <w:tcBorders>
              <w:top w:val="nil"/>
              <w:left w:val="nil"/>
              <w:bottom w:val="nil"/>
              <w:right w:val="nil"/>
            </w:tcBorders>
            <w:shd w:val="clear" w:color="auto" w:fill="auto"/>
            <w:noWrap/>
            <w:vAlign w:val="bottom"/>
            <w:hideMark/>
          </w:tcPr>
          <w:p w14:paraId="5CDC9012"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Banka</w:t>
            </w:r>
          </w:p>
        </w:tc>
      </w:tr>
      <w:tr w:rsidR="001B247D" w:rsidRPr="006807D0" w14:paraId="2D7E1DD6" w14:textId="77777777" w:rsidTr="006807D0">
        <w:trPr>
          <w:trHeight w:val="270"/>
        </w:trPr>
        <w:tc>
          <w:tcPr>
            <w:tcW w:w="1814" w:type="dxa"/>
            <w:tcBorders>
              <w:top w:val="nil"/>
              <w:left w:val="nil"/>
              <w:bottom w:val="nil"/>
              <w:right w:val="nil"/>
            </w:tcBorders>
            <w:shd w:val="clear" w:color="auto" w:fill="auto"/>
            <w:noWrap/>
            <w:vAlign w:val="bottom"/>
            <w:hideMark/>
          </w:tcPr>
          <w:p w14:paraId="7095A96C"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hideMark/>
          </w:tcPr>
          <w:p w14:paraId="3891811B"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Stupanj 1</w:t>
            </w:r>
          </w:p>
        </w:tc>
        <w:tc>
          <w:tcPr>
            <w:tcW w:w="994" w:type="dxa"/>
            <w:tcBorders>
              <w:top w:val="nil"/>
              <w:left w:val="nil"/>
              <w:bottom w:val="nil"/>
              <w:right w:val="nil"/>
            </w:tcBorders>
            <w:shd w:val="clear" w:color="auto" w:fill="auto"/>
            <w:noWrap/>
            <w:vAlign w:val="bottom"/>
            <w:hideMark/>
          </w:tcPr>
          <w:p w14:paraId="4112BFCD"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Stupanj 2</w:t>
            </w:r>
          </w:p>
        </w:tc>
        <w:tc>
          <w:tcPr>
            <w:tcW w:w="993" w:type="dxa"/>
            <w:tcBorders>
              <w:top w:val="nil"/>
              <w:left w:val="nil"/>
              <w:bottom w:val="nil"/>
              <w:right w:val="nil"/>
            </w:tcBorders>
            <w:shd w:val="clear" w:color="auto" w:fill="auto"/>
            <w:noWrap/>
            <w:vAlign w:val="bottom"/>
            <w:hideMark/>
          </w:tcPr>
          <w:p w14:paraId="0754F0E5"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Stupanj 3</w:t>
            </w:r>
          </w:p>
        </w:tc>
        <w:tc>
          <w:tcPr>
            <w:tcW w:w="994" w:type="dxa"/>
            <w:tcBorders>
              <w:top w:val="nil"/>
              <w:left w:val="nil"/>
              <w:bottom w:val="nil"/>
              <w:right w:val="nil"/>
            </w:tcBorders>
            <w:shd w:val="clear" w:color="auto" w:fill="auto"/>
            <w:noWrap/>
            <w:vAlign w:val="bottom"/>
            <w:hideMark/>
          </w:tcPr>
          <w:p w14:paraId="60AA375D"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Ukupno</w:t>
            </w:r>
          </w:p>
        </w:tc>
        <w:tc>
          <w:tcPr>
            <w:tcW w:w="993" w:type="dxa"/>
            <w:tcBorders>
              <w:top w:val="nil"/>
              <w:left w:val="nil"/>
              <w:bottom w:val="nil"/>
              <w:right w:val="nil"/>
            </w:tcBorders>
            <w:shd w:val="clear" w:color="auto" w:fill="auto"/>
            <w:noWrap/>
            <w:vAlign w:val="bottom"/>
            <w:hideMark/>
          </w:tcPr>
          <w:p w14:paraId="7D1AD122"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Stupanj 1</w:t>
            </w:r>
          </w:p>
        </w:tc>
        <w:tc>
          <w:tcPr>
            <w:tcW w:w="994" w:type="dxa"/>
            <w:tcBorders>
              <w:top w:val="nil"/>
              <w:left w:val="nil"/>
              <w:bottom w:val="nil"/>
              <w:right w:val="nil"/>
            </w:tcBorders>
            <w:shd w:val="clear" w:color="auto" w:fill="auto"/>
            <w:noWrap/>
            <w:vAlign w:val="bottom"/>
            <w:hideMark/>
          </w:tcPr>
          <w:p w14:paraId="08D60A34"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Stupanj 2</w:t>
            </w:r>
          </w:p>
        </w:tc>
        <w:tc>
          <w:tcPr>
            <w:tcW w:w="993" w:type="dxa"/>
            <w:tcBorders>
              <w:top w:val="nil"/>
              <w:left w:val="nil"/>
              <w:bottom w:val="nil"/>
              <w:right w:val="nil"/>
            </w:tcBorders>
            <w:shd w:val="clear" w:color="auto" w:fill="auto"/>
            <w:noWrap/>
            <w:vAlign w:val="bottom"/>
            <w:hideMark/>
          </w:tcPr>
          <w:p w14:paraId="16522251"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Stupanj 3</w:t>
            </w:r>
          </w:p>
        </w:tc>
        <w:tc>
          <w:tcPr>
            <w:tcW w:w="994" w:type="dxa"/>
            <w:tcBorders>
              <w:top w:val="nil"/>
              <w:left w:val="nil"/>
              <w:bottom w:val="nil"/>
              <w:right w:val="nil"/>
            </w:tcBorders>
            <w:shd w:val="clear" w:color="auto" w:fill="auto"/>
            <w:noWrap/>
            <w:vAlign w:val="bottom"/>
            <w:hideMark/>
          </w:tcPr>
          <w:p w14:paraId="67FB4475"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Ukupno</w:t>
            </w:r>
          </w:p>
        </w:tc>
      </w:tr>
      <w:tr w:rsidR="001B247D" w:rsidRPr="006807D0" w14:paraId="30DEC18C" w14:textId="77777777" w:rsidTr="006807D0">
        <w:trPr>
          <w:trHeight w:val="270"/>
        </w:trPr>
        <w:tc>
          <w:tcPr>
            <w:tcW w:w="1814" w:type="dxa"/>
            <w:tcBorders>
              <w:top w:val="nil"/>
              <w:left w:val="nil"/>
              <w:bottom w:val="nil"/>
              <w:right w:val="nil"/>
            </w:tcBorders>
            <w:shd w:val="clear" w:color="auto" w:fill="auto"/>
            <w:noWrap/>
            <w:vAlign w:val="bottom"/>
            <w:hideMark/>
          </w:tcPr>
          <w:p w14:paraId="5A4B72B5"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hideMark/>
          </w:tcPr>
          <w:p w14:paraId="1B7C6D09" w14:textId="3546B013"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4" w:type="dxa"/>
            <w:tcBorders>
              <w:top w:val="nil"/>
              <w:left w:val="nil"/>
              <w:bottom w:val="nil"/>
              <w:right w:val="nil"/>
            </w:tcBorders>
            <w:shd w:val="clear" w:color="auto" w:fill="auto"/>
            <w:noWrap/>
            <w:vAlign w:val="bottom"/>
            <w:hideMark/>
          </w:tcPr>
          <w:p w14:paraId="0F6FBF99" w14:textId="17D32F0B"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3" w:type="dxa"/>
            <w:tcBorders>
              <w:top w:val="nil"/>
              <w:left w:val="nil"/>
              <w:bottom w:val="nil"/>
              <w:right w:val="nil"/>
            </w:tcBorders>
            <w:shd w:val="clear" w:color="auto" w:fill="auto"/>
            <w:noWrap/>
            <w:vAlign w:val="bottom"/>
            <w:hideMark/>
          </w:tcPr>
          <w:p w14:paraId="4D161571" w14:textId="436C88D5"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4" w:type="dxa"/>
            <w:tcBorders>
              <w:top w:val="nil"/>
              <w:left w:val="nil"/>
              <w:bottom w:val="nil"/>
              <w:right w:val="nil"/>
            </w:tcBorders>
            <w:shd w:val="clear" w:color="auto" w:fill="auto"/>
            <w:noWrap/>
            <w:vAlign w:val="bottom"/>
            <w:hideMark/>
          </w:tcPr>
          <w:p w14:paraId="6341671E" w14:textId="26D6DECC"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3" w:type="dxa"/>
            <w:tcBorders>
              <w:top w:val="nil"/>
              <w:left w:val="nil"/>
              <w:bottom w:val="nil"/>
              <w:right w:val="nil"/>
            </w:tcBorders>
            <w:shd w:val="clear" w:color="auto" w:fill="auto"/>
            <w:noWrap/>
            <w:vAlign w:val="bottom"/>
            <w:hideMark/>
          </w:tcPr>
          <w:p w14:paraId="5F1DC649" w14:textId="293DA4F5"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4" w:type="dxa"/>
            <w:tcBorders>
              <w:top w:val="nil"/>
              <w:left w:val="nil"/>
              <w:bottom w:val="nil"/>
              <w:right w:val="nil"/>
            </w:tcBorders>
            <w:shd w:val="clear" w:color="auto" w:fill="auto"/>
            <w:noWrap/>
            <w:vAlign w:val="bottom"/>
            <w:hideMark/>
          </w:tcPr>
          <w:p w14:paraId="144CB6F0" w14:textId="16110F44"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3" w:type="dxa"/>
            <w:tcBorders>
              <w:top w:val="nil"/>
              <w:left w:val="nil"/>
              <w:bottom w:val="nil"/>
              <w:right w:val="nil"/>
            </w:tcBorders>
            <w:shd w:val="clear" w:color="auto" w:fill="auto"/>
            <w:noWrap/>
            <w:vAlign w:val="bottom"/>
            <w:hideMark/>
          </w:tcPr>
          <w:p w14:paraId="5E12D58D" w14:textId="7601C261"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c>
          <w:tcPr>
            <w:tcW w:w="994" w:type="dxa"/>
            <w:tcBorders>
              <w:top w:val="nil"/>
              <w:left w:val="nil"/>
              <w:bottom w:val="nil"/>
              <w:right w:val="nil"/>
            </w:tcBorders>
            <w:shd w:val="clear" w:color="auto" w:fill="auto"/>
            <w:noWrap/>
            <w:vAlign w:val="bottom"/>
            <w:hideMark/>
          </w:tcPr>
          <w:p w14:paraId="13975D30" w14:textId="39583718" w:rsidR="001B247D" w:rsidRPr="006807D0" w:rsidRDefault="001B247D" w:rsidP="001B247D">
            <w:pPr>
              <w:suppressAutoHyphens/>
              <w:autoSpaceDN w:val="0"/>
              <w:jc w:val="right"/>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000 eura</w:t>
            </w:r>
          </w:p>
        </w:tc>
      </w:tr>
      <w:tr w:rsidR="001B247D" w:rsidRPr="006807D0" w14:paraId="4A670828" w14:textId="77777777" w:rsidTr="006807D0">
        <w:trPr>
          <w:trHeight w:hRule="exact" w:val="144"/>
        </w:trPr>
        <w:tc>
          <w:tcPr>
            <w:tcW w:w="1814" w:type="dxa"/>
            <w:tcBorders>
              <w:top w:val="nil"/>
              <w:left w:val="nil"/>
              <w:bottom w:val="nil"/>
              <w:right w:val="nil"/>
            </w:tcBorders>
            <w:shd w:val="clear" w:color="auto" w:fill="auto"/>
            <w:noWrap/>
            <w:vAlign w:val="bottom"/>
          </w:tcPr>
          <w:p w14:paraId="6CB3D9CB"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4AB73AF4"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725D865E"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08F8BB4A"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4935B22A"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2C00DC83"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38184C9B"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173FA6EF"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7FF3E361" w14:textId="77777777" w:rsidR="001B247D" w:rsidRPr="006807D0" w:rsidRDefault="001B247D" w:rsidP="001B247D">
            <w:pPr>
              <w:suppressAutoHyphens/>
              <w:autoSpaceDN w:val="0"/>
              <w:jc w:val="right"/>
              <w:rPr>
                <w:rFonts w:ascii="Arial" w:eastAsia="Times New Roman" w:hAnsi="Arial" w:cs="Arial"/>
                <w:b/>
                <w:bCs/>
                <w:color w:val="000000" w:themeColor="text1"/>
                <w:sz w:val="17"/>
                <w:szCs w:val="17"/>
              </w:rPr>
            </w:pPr>
          </w:p>
        </w:tc>
      </w:tr>
      <w:tr w:rsidR="00305692" w:rsidRPr="006807D0" w14:paraId="53E57EB0" w14:textId="77777777" w:rsidTr="006807D0">
        <w:trPr>
          <w:trHeight w:val="380"/>
        </w:trPr>
        <w:tc>
          <w:tcPr>
            <w:tcW w:w="1814" w:type="dxa"/>
            <w:tcBorders>
              <w:top w:val="nil"/>
              <w:left w:val="nil"/>
              <w:bottom w:val="nil"/>
              <w:right w:val="nil"/>
            </w:tcBorders>
            <w:shd w:val="clear" w:color="auto" w:fill="auto"/>
            <w:noWrap/>
            <w:vAlign w:val="bottom"/>
            <w:hideMark/>
          </w:tcPr>
          <w:p w14:paraId="6DB0D38D" w14:textId="77777777" w:rsidR="00305692" w:rsidRPr="006807D0" w:rsidRDefault="00305692" w:rsidP="00305692">
            <w:pPr>
              <w:suppressAutoHyphens/>
              <w:autoSpaceDN w:val="0"/>
              <w:rPr>
                <w:rFonts w:ascii="Arial" w:eastAsia="Times New Roman" w:hAnsi="Arial" w:cs="Arial"/>
                <w:color w:val="000000" w:themeColor="text1"/>
                <w:sz w:val="17"/>
                <w:szCs w:val="17"/>
              </w:rPr>
            </w:pPr>
            <w:r w:rsidRPr="006807D0">
              <w:rPr>
                <w:rFonts w:ascii="Arial" w:eastAsia="Times New Roman" w:hAnsi="Arial" w:cs="Arial"/>
                <w:color w:val="000000" w:themeColor="text1"/>
                <w:sz w:val="17"/>
                <w:szCs w:val="17"/>
              </w:rPr>
              <w:t>Bruto iznos</w:t>
            </w:r>
          </w:p>
        </w:tc>
        <w:tc>
          <w:tcPr>
            <w:tcW w:w="993" w:type="dxa"/>
            <w:tcBorders>
              <w:top w:val="nil"/>
              <w:left w:val="nil"/>
              <w:bottom w:val="nil"/>
              <w:right w:val="nil"/>
            </w:tcBorders>
            <w:shd w:val="clear" w:color="auto" w:fill="auto"/>
            <w:noWrap/>
            <w:vAlign w:val="bottom"/>
          </w:tcPr>
          <w:p w14:paraId="33B0AD14" w14:textId="57FE0A9B" w:rsidR="00305692" w:rsidRPr="006807D0" w:rsidRDefault="003B5439" w:rsidP="00305692">
            <w:pPr>
              <w:suppressAutoHyphens/>
              <w:autoSpaceDN w:val="0"/>
              <w:jc w:val="right"/>
              <w:rPr>
                <w:rFonts w:ascii="Arial" w:eastAsia="Times New Roman" w:hAnsi="Arial" w:cs="Arial"/>
                <w:sz w:val="17"/>
                <w:szCs w:val="17"/>
              </w:rPr>
            </w:pPr>
            <w:r w:rsidRPr="003B5439">
              <w:rPr>
                <w:rFonts w:ascii="Arial" w:eastAsia="Times New Roman" w:hAnsi="Arial" w:cs="Arial"/>
                <w:sz w:val="17"/>
                <w:szCs w:val="17"/>
              </w:rPr>
              <w:t>237.930</w:t>
            </w:r>
          </w:p>
        </w:tc>
        <w:tc>
          <w:tcPr>
            <w:tcW w:w="994" w:type="dxa"/>
            <w:tcBorders>
              <w:top w:val="nil"/>
              <w:left w:val="nil"/>
              <w:bottom w:val="nil"/>
              <w:right w:val="nil"/>
            </w:tcBorders>
            <w:shd w:val="clear" w:color="auto" w:fill="auto"/>
            <w:noWrap/>
            <w:vAlign w:val="bottom"/>
          </w:tcPr>
          <w:p w14:paraId="1BEC9EA0" w14:textId="6DEC0B3B" w:rsidR="00305692" w:rsidRPr="006807D0" w:rsidRDefault="003B5439" w:rsidP="00305692">
            <w:pPr>
              <w:suppressAutoHyphens/>
              <w:autoSpaceDN w:val="0"/>
              <w:jc w:val="right"/>
              <w:rPr>
                <w:rFonts w:ascii="Arial" w:eastAsia="Times New Roman" w:hAnsi="Arial" w:cs="Arial"/>
                <w:sz w:val="17"/>
                <w:szCs w:val="17"/>
              </w:rPr>
            </w:pPr>
            <w:r>
              <w:rPr>
                <w:rFonts w:ascii="Arial" w:eastAsia="Times New Roman" w:hAnsi="Arial" w:cs="Arial"/>
                <w:sz w:val="17"/>
                <w:szCs w:val="17"/>
              </w:rPr>
              <w:t>-</w:t>
            </w:r>
          </w:p>
        </w:tc>
        <w:tc>
          <w:tcPr>
            <w:tcW w:w="993" w:type="dxa"/>
            <w:tcBorders>
              <w:top w:val="nil"/>
              <w:left w:val="nil"/>
              <w:bottom w:val="nil"/>
              <w:right w:val="nil"/>
            </w:tcBorders>
            <w:shd w:val="clear" w:color="auto" w:fill="auto"/>
            <w:noWrap/>
            <w:vAlign w:val="bottom"/>
          </w:tcPr>
          <w:p w14:paraId="5F8E291B" w14:textId="25848C7B" w:rsidR="00305692" w:rsidRPr="006807D0" w:rsidRDefault="003B5439" w:rsidP="00305692">
            <w:pPr>
              <w:suppressAutoHyphens/>
              <w:autoSpaceDN w:val="0"/>
              <w:jc w:val="right"/>
              <w:rPr>
                <w:rFonts w:ascii="Arial" w:eastAsia="Times New Roman" w:hAnsi="Arial" w:cs="Arial"/>
                <w:sz w:val="17"/>
                <w:szCs w:val="17"/>
              </w:rPr>
            </w:pPr>
            <w:r w:rsidRPr="003B5439">
              <w:rPr>
                <w:rFonts w:ascii="Arial" w:eastAsia="Times New Roman" w:hAnsi="Arial" w:cs="Arial"/>
                <w:sz w:val="17"/>
                <w:szCs w:val="17"/>
              </w:rPr>
              <w:t>195</w:t>
            </w:r>
          </w:p>
        </w:tc>
        <w:tc>
          <w:tcPr>
            <w:tcW w:w="994" w:type="dxa"/>
            <w:tcBorders>
              <w:top w:val="nil"/>
              <w:left w:val="nil"/>
              <w:bottom w:val="nil"/>
              <w:right w:val="nil"/>
            </w:tcBorders>
            <w:shd w:val="clear" w:color="auto" w:fill="auto"/>
            <w:noWrap/>
            <w:vAlign w:val="bottom"/>
          </w:tcPr>
          <w:p w14:paraId="6BCBC780" w14:textId="57B23653" w:rsidR="00305692" w:rsidRPr="00350ADB" w:rsidRDefault="003B5439" w:rsidP="00305692">
            <w:pPr>
              <w:suppressAutoHyphens/>
              <w:autoSpaceDN w:val="0"/>
              <w:jc w:val="right"/>
              <w:rPr>
                <w:rFonts w:ascii="Arial" w:eastAsia="Times New Roman" w:hAnsi="Arial" w:cs="Arial"/>
                <w:b/>
                <w:bCs/>
                <w:sz w:val="17"/>
                <w:szCs w:val="17"/>
              </w:rPr>
            </w:pPr>
            <w:r w:rsidRPr="003B5439">
              <w:rPr>
                <w:rFonts w:ascii="Arial" w:eastAsia="Times New Roman" w:hAnsi="Arial" w:cs="Arial"/>
                <w:b/>
                <w:bCs/>
                <w:sz w:val="17"/>
                <w:szCs w:val="17"/>
              </w:rPr>
              <w:t>238.125</w:t>
            </w:r>
          </w:p>
        </w:tc>
        <w:tc>
          <w:tcPr>
            <w:tcW w:w="993" w:type="dxa"/>
            <w:tcBorders>
              <w:top w:val="nil"/>
              <w:left w:val="nil"/>
              <w:bottom w:val="nil"/>
              <w:right w:val="nil"/>
            </w:tcBorders>
            <w:shd w:val="clear" w:color="auto" w:fill="auto"/>
            <w:noWrap/>
            <w:vAlign w:val="bottom"/>
          </w:tcPr>
          <w:p w14:paraId="03B1596A" w14:textId="372E7412" w:rsidR="00305692" w:rsidRPr="006807D0" w:rsidRDefault="003B5439" w:rsidP="00305692">
            <w:pPr>
              <w:suppressAutoHyphens/>
              <w:autoSpaceDN w:val="0"/>
              <w:jc w:val="right"/>
              <w:rPr>
                <w:rFonts w:ascii="Arial" w:eastAsia="Times New Roman" w:hAnsi="Arial" w:cs="Arial"/>
                <w:sz w:val="17"/>
                <w:szCs w:val="17"/>
              </w:rPr>
            </w:pPr>
            <w:r w:rsidRPr="003B5439">
              <w:rPr>
                <w:rFonts w:ascii="Arial" w:eastAsia="Times New Roman" w:hAnsi="Arial" w:cs="Arial"/>
                <w:sz w:val="17"/>
                <w:szCs w:val="17"/>
              </w:rPr>
              <w:t>231.640</w:t>
            </w:r>
          </w:p>
        </w:tc>
        <w:tc>
          <w:tcPr>
            <w:tcW w:w="994" w:type="dxa"/>
            <w:tcBorders>
              <w:top w:val="nil"/>
              <w:left w:val="nil"/>
              <w:bottom w:val="nil"/>
              <w:right w:val="nil"/>
            </w:tcBorders>
            <w:shd w:val="clear" w:color="auto" w:fill="auto"/>
            <w:noWrap/>
            <w:vAlign w:val="bottom"/>
          </w:tcPr>
          <w:p w14:paraId="45BFD7CD" w14:textId="0C2797A8" w:rsidR="00305692" w:rsidRPr="006807D0" w:rsidRDefault="003B5439" w:rsidP="00305692">
            <w:pPr>
              <w:suppressAutoHyphens/>
              <w:autoSpaceDN w:val="0"/>
              <w:jc w:val="right"/>
              <w:rPr>
                <w:rFonts w:ascii="Arial" w:eastAsia="Times New Roman" w:hAnsi="Arial" w:cs="Arial"/>
                <w:sz w:val="17"/>
                <w:szCs w:val="17"/>
              </w:rPr>
            </w:pPr>
            <w:r>
              <w:rPr>
                <w:rFonts w:ascii="Arial" w:eastAsia="Times New Roman" w:hAnsi="Arial" w:cs="Arial"/>
                <w:sz w:val="17"/>
                <w:szCs w:val="17"/>
              </w:rPr>
              <w:t>-</w:t>
            </w:r>
          </w:p>
        </w:tc>
        <w:tc>
          <w:tcPr>
            <w:tcW w:w="993" w:type="dxa"/>
            <w:tcBorders>
              <w:top w:val="nil"/>
              <w:left w:val="nil"/>
              <w:bottom w:val="nil"/>
              <w:right w:val="nil"/>
            </w:tcBorders>
            <w:shd w:val="clear" w:color="auto" w:fill="auto"/>
            <w:noWrap/>
            <w:vAlign w:val="bottom"/>
          </w:tcPr>
          <w:p w14:paraId="6BC6B853" w14:textId="5914E10B" w:rsidR="00305692" w:rsidRPr="006807D0" w:rsidRDefault="003B5439" w:rsidP="00305692">
            <w:pPr>
              <w:suppressAutoHyphens/>
              <w:autoSpaceDN w:val="0"/>
              <w:jc w:val="right"/>
              <w:rPr>
                <w:rFonts w:ascii="Arial" w:eastAsia="Times New Roman" w:hAnsi="Arial" w:cs="Arial"/>
                <w:sz w:val="17"/>
                <w:szCs w:val="17"/>
              </w:rPr>
            </w:pPr>
            <w:r w:rsidRPr="003B5439">
              <w:rPr>
                <w:rFonts w:ascii="Arial" w:eastAsia="Times New Roman" w:hAnsi="Arial" w:cs="Arial"/>
                <w:sz w:val="17"/>
                <w:szCs w:val="17"/>
              </w:rPr>
              <w:t>195</w:t>
            </w:r>
          </w:p>
        </w:tc>
        <w:tc>
          <w:tcPr>
            <w:tcW w:w="994" w:type="dxa"/>
            <w:tcBorders>
              <w:top w:val="nil"/>
              <w:left w:val="nil"/>
              <w:bottom w:val="nil"/>
              <w:right w:val="nil"/>
            </w:tcBorders>
            <w:shd w:val="clear" w:color="auto" w:fill="auto"/>
            <w:noWrap/>
            <w:vAlign w:val="bottom"/>
          </w:tcPr>
          <w:p w14:paraId="419A34B9" w14:textId="4FFCE21C" w:rsidR="00305692" w:rsidRPr="006807D0" w:rsidRDefault="003B5439" w:rsidP="00305692">
            <w:pPr>
              <w:suppressAutoHyphens/>
              <w:autoSpaceDN w:val="0"/>
              <w:jc w:val="right"/>
              <w:rPr>
                <w:rFonts w:ascii="Arial" w:eastAsia="Times New Roman" w:hAnsi="Arial" w:cs="Arial"/>
                <w:b/>
                <w:bCs/>
                <w:sz w:val="17"/>
                <w:szCs w:val="17"/>
              </w:rPr>
            </w:pPr>
            <w:r w:rsidRPr="003B5439">
              <w:rPr>
                <w:rFonts w:ascii="Arial" w:eastAsia="Times New Roman" w:hAnsi="Arial" w:cs="Arial"/>
                <w:b/>
                <w:bCs/>
                <w:sz w:val="17"/>
                <w:szCs w:val="17"/>
              </w:rPr>
              <w:t>231.835</w:t>
            </w:r>
          </w:p>
        </w:tc>
      </w:tr>
      <w:tr w:rsidR="00305692" w:rsidRPr="006807D0" w14:paraId="5EAA1272" w14:textId="77777777" w:rsidTr="006807D0">
        <w:trPr>
          <w:trHeight w:val="285"/>
        </w:trPr>
        <w:tc>
          <w:tcPr>
            <w:tcW w:w="1814" w:type="dxa"/>
            <w:tcBorders>
              <w:top w:val="nil"/>
              <w:left w:val="nil"/>
              <w:bottom w:val="nil"/>
              <w:right w:val="nil"/>
            </w:tcBorders>
            <w:shd w:val="clear" w:color="auto" w:fill="auto"/>
            <w:noWrap/>
            <w:vAlign w:val="bottom"/>
            <w:hideMark/>
          </w:tcPr>
          <w:p w14:paraId="263A0BD8" w14:textId="77777777" w:rsidR="00305692" w:rsidRPr="006807D0" w:rsidRDefault="00305692" w:rsidP="00305692">
            <w:pPr>
              <w:suppressAutoHyphens/>
              <w:autoSpaceDN w:val="0"/>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 xml:space="preserve">Stanje na dan </w:t>
            </w:r>
          </w:p>
          <w:p w14:paraId="1BE51225" w14:textId="5E5819FD" w:rsidR="00305692" w:rsidRPr="006807D0" w:rsidRDefault="00305692" w:rsidP="00305692">
            <w:pPr>
              <w:suppressAutoHyphens/>
              <w:autoSpaceDN w:val="0"/>
              <w:rPr>
                <w:rFonts w:ascii="Arial" w:eastAsia="Times New Roman" w:hAnsi="Arial" w:cs="Arial"/>
                <w:b/>
                <w:bCs/>
                <w:color w:val="000000" w:themeColor="text1"/>
                <w:sz w:val="17"/>
                <w:szCs w:val="17"/>
              </w:rPr>
            </w:pPr>
            <w:r w:rsidRPr="006807D0">
              <w:rPr>
                <w:rFonts w:ascii="Arial" w:eastAsia="Times New Roman" w:hAnsi="Arial" w:cs="Arial"/>
                <w:b/>
                <w:bCs/>
                <w:color w:val="000000" w:themeColor="text1"/>
                <w:sz w:val="17"/>
                <w:szCs w:val="17"/>
              </w:rPr>
              <w:t>31.ožujka 202</w:t>
            </w:r>
            <w:r w:rsidR="00BE34F2">
              <w:rPr>
                <w:rFonts w:ascii="Arial" w:eastAsia="Times New Roman" w:hAnsi="Arial" w:cs="Arial"/>
                <w:b/>
                <w:bCs/>
                <w:color w:val="000000" w:themeColor="text1"/>
                <w:sz w:val="17"/>
                <w:szCs w:val="17"/>
              </w:rPr>
              <w:t>4</w:t>
            </w:r>
            <w:r w:rsidRPr="006807D0">
              <w:rPr>
                <w:rFonts w:ascii="Arial" w:eastAsia="Times New Roman" w:hAnsi="Arial" w:cs="Arial"/>
                <w:b/>
                <w:bCs/>
                <w:color w:val="000000" w:themeColor="text1"/>
                <w:sz w:val="17"/>
                <w:szCs w:val="17"/>
              </w:rPr>
              <w:t xml:space="preserve">. </w:t>
            </w:r>
          </w:p>
        </w:tc>
        <w:tc>
          <w:tcPr>
            <w:tcW w:w="993" w:type="dxa"/>
            <w:tcBorders>
              <w:top w:val="single" w:sz="4" w:space="0" w:color="auto"/>
              <w:left w:val="nil"/>
              <w:bottom w:val="single" w:sz="12" w:space="0" w:color="auto"/>
              <w:right w:val="nil"/>
            </w:tcBorders>
            <w:shd w:val="clear" w:color="auto" w:fill="auto"/>
            <w:noWrap/>
            <w:vAlign w:val="bottom"/>
          </w:tcPr>
          <w:p w14:paraId="3DF5E384" w14:textId="74084E52" w:rsidR="00305692" w:rsidRPr="006807D0" w:rsidRDefault="003B5439" w:rsidP="00305692">
            <w:pPr>
              <w:suppressAutoHyphens/>
              <w:autoSpaceDN w:val="0"/>
              <w:jc w:val="right"/>
              <w:rPr>
                <w:rFonts w:ascii="Arial" w:eastAsia="Times New Roman" w:hAnsi="Arial" w:cs="Arial"/>
                <w:b/>
                <w:bCs/>
                <w:sz w:val="17"/>
                <w:szCs w:val="17"/>
              </w:rPr>
            </w:pPr>
            <w:r w:rsidRPr="003B5439">
              <w:rPr>
                <w:rFonts w:ascii="Arial" w:eastAsia="Times New Roman" w:hAnsi="Arial" w:cs="Arial"/>
                <w:b/>
                <w:bCs/>
                <w:sz w:val="17"/>
                <w:szCs w:val="17"/>
              </w:rPr>
              <w:t>237.930</w:t>
            </w:r>
          </w:p>
        </w:tc>
        <w:tc>
          <w:tcPr>
            <w:tcW w:w="994" w:type="dxa"/>
            <w:tcBorders>
              <w:top w:val="single" w:sz="4" w:space="0" w:color="auto"/>
              <w:left w:val="nil"/>
              <w:bottom w:val="single" w:sz="12" w:space="0" w:color="auto"/>
              <w:right w:val="nil"/>
            </w:tcBorders>
            <w:shd w:val="clear" w:color="auto" w:fill="auto"/>
            <w:noWrap/>
            <w:vAlign w:val="bottom"/>
          </w:tcPr>
          <w:p w14:paraId="1D262322" w14:textId="108FBE7D" w:rsidR="00305692" w:rsidRPr="006807D0" w:rsidRDefault="003B5439" w:rsidP="00305692">
            <w:pPr>
              <w:suppressAutoHyphens/>
              <w:autoSpaceDN w:val="0"/>
              <w:jc w:val="right"/>
              <w:rPr>
                <w:rFonts w:ascii="Arial" w:eastAsia="Times New Roman" w:hAnsi="Arial" w:cs="Arial"/>
                <w:b/>
                <w:bCs/>
                <w:sz w:val="17"/>
                <w:szCs w:val="17"/>
              </w:rPr>
            </w:pPr>
            <w:r>
              <w:rPr>
                <w:rFonts w:ascii="Arial" w:eastAsia="Times New Roman" w:hAnsi="Arial" w:cs="Arial"/>
                <w:b/>
                <w:bCs/>
                <w:sz w:val="17"/>
                <w:szCs w:val="17"/>
              </w:rPr>
              <w:t>-</w:t>
            </w:r>
          </w:p>
        </w:tc>
        <w:tc>
          <w:tcPr>
            <w:tcW w:w="993" w:type="dxa"/>
            <w:tcBorders>
              <w:top w:val="single" w:sz="4" w:space="0" w:color="auto"/>
              <w:left w:val="nil"/>
              <w:bottom w:val="single" w:sz="12" w:space="0" w:color="auto"/>
              <w:right w:val="nil"/>
            </w:tcBorders>
            <w:shd w:val="clear" w:color="auto" w:fill="auto"/>
            <w:noWrap/>
            <w:vAlign w:val="bottom"/>
          </w:tcPr>
          <w:p w14:paraId="5B1EA392" w14:textId="02B5B93B" w:rsidR="00305692" w:rsidRPr="006807D0" w:rsidRDefault="003B5439" w:rsidP="00305692">
            <w:pPr>
              <w:suppressAutoHyphens/>
              <w:autoSpaceDN w:val="0"/>
              <w:jc w:val="right"/>
              <w:rPr>
                <w:rFonts w:ascii="Arial" w:eastAsia="Times New Roman" w:hAnsi="Arial" w:cs="Arial"/>
                <w:b/>
                <w:bCs/>
                <w:sz w:val="17"/>
                <w:szCs w:val="17"/>
              </w:rPr>
            </w:pPr>
            <w:r w:rsidRPr="003B5439">
              <w:rPr>
                <w:rFonts w:ascii="Arial" w:eastAsia="Times New Roman" w:hAnsi="Arial" w:cs="Arial"/>
                <w:b/>
                <w:bCs/>
                <w:sz w:val="17"/>
                <w:szCs w:val="17"/>
              </w:rPr>
              <w:t>195</w:t>
            </w:r>
          </w:p>
        </w:tc>
        <w:tc>
          <w:tcPr>
            <w:tcW w:w="994" w:type="dxa"/>
            <w:tcBorders>
              <w:top w:val="single" w:sz="4" w:space="0" w:color="auto"/>
              <w:left w:val="nil"/>
              <w:bottom w:val="single" w:sz="12" w:space="0" w:color="auto"/>
              <w:right w:val="nil"/>
            </w:tcBorders>
            <w:shd w:val="clear" w:color="auto" w:fill="auto"/>
            <w:noWrap/>
            <w:vAlign w:val="bottom"/>
          </w:tcPr>
          <w:p w14:paraId="4175F82C" w14:textId="5010DE02" w:rsidR="00305692" w:rsidRPr="00350ADB" w:rsidRDefault="003B5439" w:rsidP="00305692">
            <w:pPr>
              <w:suppressAutoHyphens/>
              <w:autoSpaceDN w:val="0"/>
              <w:jc w:val="right"/>
              <w:rPr>
                <w:rFonts w:ascii="Arial" w:eastAsia="Times New Roman" w:hAnsi="Arial" w:cs="Arial"/>
                <w:b/>
                <w:bCs/>
                <w:sz w:val="17"/>
                <w:szCs w:val="17"/>
              </w:rPr>
            </w:pPr>
            <w:r w:rsidRPr="003B5439">
              <w:rPr>
                <w:rFonts w:ascii="Arial" w:eastAsia="Times New Roman" w:hAnsi="Arial" w:cs="Arial"/>
                <w:b/>
                <w:bCs/>
                <w:sz w:val="17"/>
                <w:szCs w:val="17"/>
              </w:rPr>
              <w:t>238.125</w:t>
            </w:r>
          </w:p>
        </w:tc>
        <w:tc>
          <w:tcPr>
            <w:tcW w:w="993" w:type="dxa"/>
            <w:tcBorders>
              <w:top w:val="single" w:sz="4" w:space="0" w:color="auto"/>
              <w:left w:val="nil"/>
              <w:bottom w:val="single" w:sz="12" w:space="0" w:color="auto"/>
              <w:right w:val="nil"/>
            </w:tcBorders>
            <w:shd w:val="clear" w:color="auto" w:fill="auto"/>
            <w:noWrap/>
            <w:vAlign w:val="bottom"/>
          </w:tcPr>
          <w:p w14:paraId="65BE8B8B" w14:textId="56D918CB" w:rsidR="00305692" w:rsidRPr="006807D0" w:rsidRDefault="003B5439" w:rsidP="00305692">
            <w:pPr>
              <w:suppressAutoHyphens/>
              <w:autoSpaceDN w:val="0"/>
              <w:jc w:val="right"/>
              <w:rPr>
                <w:rFonts w:ascii="Arial" w:eastAsia="Times New Roman" w:hAnsi="Arial" w:cs="Arial"/>
                <w:b/>
                <w:bCs/>
                <w:sz w:val="17"/>
                <w:szCs w:val="17"/>
              </w:rPr>
            </w:pPr>
            <w:r w:rsidRPr="003B5439">
              <w:rPr>
                <w:rFonts w:ascii="Arial" w:eastAsia="Times New Roman" w:hAnsi="Arial" w:cs="Arial"/>
                <w:b/>
                <w:bCs/>
                <w:sz w:val="17"/>
                <w:szCs w:val="17"/>
              </w:rPr>
              <w:t>231.640</w:t>
            </w:r>
          </w:p>
        </w:tc>
        <w:tc>
          <w:tcPr>
            <w:tcW w:w="994" w:type="dxa"/>
            <w:tcBorders>
              <w:top w:val="single" w:sz="4" w:space="0" w:color="auto"/>
              <w:left w:val="nil"/>
              <w:bottom w:val="single" w:sz="12" w:space="0" w:color="auto"/>
              <w:right w:val="nil"/>
            </w:tcBorders>
            <w:shd w:val="clear" w:color="auto" w:fill="auto"/>
            <w:noWrap/>
            <w:vAlign w:val="bottom"/>
          </w:tcPr>
          <w:p w14:paraId="59FC5259" w14:textId="61991496" w:rsidR="00305692" w:rsidRPr="006807D0" w:rsidRDefault="003B5439" w:rsidP="00305692">
            <w:pPr>
              <w:suppressAutoHyphens/>
              <w:autoSpaceDN w:val="0"/>
              <w:jc w:val="right"/>
              <w:rPr>
                <w:rFonts w:ascii="Arial" w:eastAsia="Times New Roman" w:hAnsi="Arial" w:cs="Arial"/>
                <w:b/>
                <w:bCs/>
                <w:sz w:val="17"/>
                <w:szCs w:val="17"/>
              </w:rPr>
            </w:pPr>
            <w:r>
              <w:rPr>
                <w:rFonts w:ascii="Arial" w:eastAsia="Times New Roman" w:hAnsi="Arial" w:cs="Arial"/>
                <w:b/>
                <w:bCs/>
                <w:sz w:val="17"/>
                <w:szCs w:val="17"/>
              </w:rPr>
              <w:t>-</w:t>
            </w:r>
          </w:p>
        </w:tc>
        <w:tc>
          <w:tcPr>
            <w:tcW w:w="993" w:type="dxa"/>
            <w:tcBorders>
              <w:top w:val="single" w:sz="4" w:space="0" w:color="auto"/>
              <w:left w:val="nil"/>
              <w:bottom w:val="single" w:sz="12" w:space="0" w:color="auto"/>
              <w:right w:val="nil"/>
            </w:tcBorders>
            <w:shd w:val="clear" w:color="auto" w:fill="auto"/>
            <w:noWrap/>
            <w:vAlign w:val="bottom"/>
          </w:tcPr>
          <w:p w14:paraId="3FF00E07" w14:textId="436D8DC7" w:rsidR="00305692" w:rsidRPr="006807D0" w:rsidRDefault="003B5439" w:rsidP="00305692">
            <w:pPr>
              <w:suppressAutoHyphens/>
              <w:autoSpaceDN w:val="0"/>
              <w:jc w:val="right"/>
              <w:rPr>
                <w:rFonts w:ascii="Arial" w:eastAsia="Times New Roman" w:hAnsi="Arial" w:cs="Arial"/>
                <w:b/>
                <w:bCs/>
                <w:sz w:val="17"/>
                <w:szCs w:val="17"/>
              </w:rPr>
            </w:pPr>
            <w:r>
              <w:rPr>
                <w:rFonts w:ascii="Arial" w:eastAsia="Times New Roman" w:hAnsi="Arial" w:cs="Arial"/>
                <w:b/>
                <w:bCs/>
                <w:sz w:val="17"/>
                <w:szCs w:val="17"/>
              </w:rPr>
              <w:t>195</w:t>
            </w:r>
          </w:p>
        </w:tc>
        <w:tc>
          <w:tcPr>
            <w:tcW w:w="994" w:type="dxa"/>
            <w:tcBorders>
              <w:top w:val="single" w:sz="4" w:space="0" w:color="auto"/>
              <w:left w:val="nil"/>
              <w:bottom w:val="single" w:sz="12" w:space="0" w:color="auto"/>
              <w:right w:val="nil"/>
            </w:tcBorders>
            <w:shd w:val="clear" w:color="auto" w:fill="auto"/>
            <w:noWrap/>
            <w:vAlign w:val="bottom"/>
          </w:tcPr>
          <w:p w14:paraId="7756F962" w14:textId="0D37BA77" w:rsidR="00305692" w:rsidRPr="006807D0" w:rsidRDefault="003B5439" w:rsidP="00305692">
            <w:pPr>
              <w:suppressAutoHyphens/>
              <w:autoSpaceDN w:val="0"/>
              <w:jc w:val="right"/>
              <w:rPr>
                <w:rFonts w:ascii="Arial" w:eastAsia="Times New Roman" w:hAnsi="Arial" w:cs="Arial"/>
                <w:b/>
                <w:bCs/>
                <w:sz w:val="17"/>
                <w:szCs w:val="17"/>
              </w:rPr>
            </w:pPr>
            <w:r w:rsidRPr="003B5439">
              <w:rPr>
                <w:rFonts w:ascii="Arial" w:eastAsia="Times New Roman" w:hAnsi="Arial" w:cs="Arial"/>
                <w:b/>
                <w:bCs/>
                <w:sz w:val="17"/>
                <w:szCs w:val="17"/>
              </w:rPr>
              <w:t>231.835</w:t>
            </w:r>
          </w:p>
        </w:tc>
      </w:tr>
    </w:tbl>
    <w:p w14:paraId="3D928458" w14:textId="77777777" w:rsidR="001B247D" w:rsidRPr="006A263A" w:rsidRDefault="001B247D" w:rsidP="001B247D">
      <w:pPr>
        <w:suppressAutoHyphens/>
        <w:autoSpaceDN w:val="0"/>
        <w:jc w:val="both"/>
        <w:outlineLvl w:val="0"/>
        <w:rPr>
          <w:rFonts w:ascii="Arial" w:eastAsia="Times New Roman" w:hAnsi="Arial" w:cs="Arial"/>
          <w:bCs/>
          <w:color w:val="000000" w:themeColor="text1"/>
          <w:sz w:val="20"/>
          <w:szCs w:val="20"/>
        </w:rPr>
      </w:pPr>
    </w:p>
    <w:p w14:paraId="38EBF125" w14:textId="77777777" w:rsidR="001B247D" w:rsidRPr="006A263A" w:rsidRDefault="001B247D" w:rsidP="001B247D">
      <w:pPr>
        <w:suppressAutoHyphens/>
        <w:autoSpaceDN w:val="0"/>
        <w:jc w:val="both"/>
        <w:outlineLvl w:val="0"/>
        <w:rPr>
          <w:rFonts w:ascii="Arial" w:eastAsia="Times New Roman" w:hAnsi="Arial" w:cs="Arial"/>
          <w:bCs/>
          <w:color w:val="000000" w:themeColor="text1"/>
          <w:sz w:val="20"/>
          <w:szCs w:val="20"/>
        </w:rPr>
      </w:pPr>
    </w:p>
    <w:tbl>
      <w:tblPr>
        <w:tblpPr w:leftFromText="180" w:rightFromText="180" w:vertAnchor="text" w:horzAnchor="margin" w:tblpXSpec="center" w:tblpY="187"/>
        <w:tblW w:w="9762" w:type="dxa"/>
        <w:tblLayout w:type="fixed"/>
        <w:tblLook w:val="04A0" w:firstRow="1" w:lastRow="0" w:firstColumn="1" w:lastColumn="0" w:noHBand="0" w:noVBand="1"/>
      </w:tblPr>
      <w:tblGrid>
        <w:gridCol w:w="1814"/>
        <w:gridCol w:w="993"/>
        <w:gridCol w:w="994"/>
        <w:gridCol w:w="993"/>
        <w:gridCol w:w="994"/>
        <w:gridCol w:w="993"/>
        <w:gridCol w:w="994"/>
        <w:gridCol w:w="993"/>
        <w:gridCol w:w="994"/>
      </w:tblGrid>
      <w:tr w:rsidR="00D158F0" w:rsidRPr="00BB3F2C" w14:paraId="0F11F1D4" w14:textId="77777777" w:rsidTr="00D15CE2">
        <w:trPr>
          <w:trHeight w:val="270"/>
        </w:trPr>
        <w:tc>
          <w:tcPr>
            <w:tcW w:w="1814" w:type="dxa"/>
            <w:tcBorders>
              <w:top w:val="nil"/>
              <w:left w:val="nil"/>
              <w:bottom w:val="nil"/>
              <w:right w:val="nil"/>
            </w:tcBorders>
            <w:shd w:val="clear" w:color="auto" w:fill="auto"/>
            <w:noWrap/>
            <w:vAlign w:val="bottom"/>
            <w:hideMark/>
          </w:tcPr>
          <w:p w14:paraId="4E8B7D08" w14:textId="77777777" w:rsidR="00D158F0" w:rsidRPr="004B4498" w:rsidRDefault="00D158F0" w:rsidP="00D15CE2">
            <w:pPr>
              <w:rPr>
                <w:rFonts w:ascii="Arial" w:hAnsi="Arial" w:cs="Arial"/>
                <w:b/>
                <w:color w:val="000000" w:themeColor="text1"/>
                <w:sz w:val="17"/>
                <w:szCs w:val="17"/>
              </w:rPr>
            </w:pPr>
            <w:r w:rsidRPr="004B4498">
              <w:rPr>
                <w:rFonts w:ascii="Arial" w:hAnsi="Arial" w:cs="Arial"/>
                <w:b/>
                <w:color w:val="000000" w:themeColor="text1"/>
                <w:sz w:val="17"/>
                <w:szCs w:val="17"/>
              </w:rPr>
              <w:t>31. prosinca 202</w:t>
            </w:r>
            <w:r>
              <w:rPr>
                <w:rFonts w:ascii="Arial" w:hAnsi="Arial" w:cs="Arial"/>
                <w:b/>
                <w:color w:val="000000" w:themeColor="text1"/>
                <w:sz w:val="17"/>
                <w:szCs w:val="17"/>
              </w:rPr>
              <w:t>3</w:t>
            </w:r>
            <w:r w:rsidRPr="004B4498">
              <w:rPr>
                <w:rFonts w:ascii="Arial" w:hAnsi="Arial" w:cs="Arial"/>
                <w:b/>
                <w:color w:val="000000" w:themeColor="text1"/>
                <w:sz w:val="17"/>
                <w:szCs w:val="17"/>
              </w:rPr>
              <w:t>.</w:t>
            </w:r>
          </w:p>
        </w:tc>
        <w:tc>
          <w:tcPr>
            <w:tcW w:w="993" w:type="dxa"/>
            <w:tcBorders>
              <w:top w:val="nil"/>
              <w:left w:val="nil"/>
              <w:bottom w:val="nil"/>
              <w:right w:val="nil"/>
            </w:tcBorders>
            <w:shd w:val="clear" w:color="auto" w:fill="auto"/>
            <w:noWrap/>
            <w:vAlign w:val="bottom"/>
            <w:hideMark/>
          </w:tcPr>
          <w:p w14:paraId="5848724C" w14:textId="77777777" w:rsidR="00D158F0" w:rsidRPr="004B4498" w:rsidRDefault="00D158F0" w:rsidP="00D15CE2">
            <w:pPr>
              <w:jc w:val="right"/>
              <w:rPr>
                <w:rFonts w:ascii="Arial" w:hAnsi="Arial" w:cs="Arial"/>
                <w:color w:val="000000" w:themeColor="text1"/>
                <w:sz w:val="17"/>
                <w:szCs w:val="17"/>
              </w:rPr>
            </w:pPr>
          </w:p>
        </w:tc>
        <w:tc>
          <w:tcPr>
            <w:tcW w:w="994" w:type="dxa"/>
            <w:tcBorders>
              <w:top w:val="nil"/>
              <w:left w:val="nil"/>
              <w:bottom w:val="nil"/>
              <w:right w:val="nil"/>
            </w:tcBorders>
            <w:shd w:val="clear" w:color="auto" w:fill="auto"/>
            <w:noWrap/>
            <w:vAlign w:val="bottom"/>
            <w:hideMark/>
          </w:tcPr>
          <w:p w14:paraId="6E55B801" w14:textId="77777777" w:rsidR="00D158F0" w:rsidRPr="004B4498" w:rsidRDefault="00D158F0" w:rsidP="00D15CE2">
            <w:pPr>
              <w:jc w:val="right"/>
              <w:rPr>
                <w:rFonts w:ascii="Arial" w:hAnsi="Arial" w:cs="Arial"/>
                <w:color w:val="000000" w:themeColor="text1"/>
                <w:sz w:val="17"/>
                <w:szCs w:val="17"/>
              </w:rPr>
            </w:pPr>
          </w:p>
        </w:tc>
        <w:tc>
          <w:tcPr>
            <w:tcW w:w="993" w:type="dxa"/>
            <w:tcBorders>
              <w:top w:val="nil"/>
              <w:left w:val="nil"/>
              <w:bottom w:val="nil"/>
              <w:right w:val="nil"/>
            </w:tcBorders>
            <w:shd w:val="clear" w:color="auto" w:fill="auto"/>
            <w:noWrap/>
            <w:vAlign w:val="bottom"/>
            <w:hideMark/>
          </w:tcPr>
          <w:p w14:paraId="6980FBDE" w14:textId="77777777" w:rsidR="00D158F0" w:rsidRPr="004B4498" w:rsidRDefault="00D158F0" w:rsidP="00D15CE2">
            <w:pPr>
              <w:jc w:val="right"/>
              <w:rPr>
                <w:rFonts w:ascii="Arial" w:hAnsi="Arial" w:cs="Arial"/>
                <w:color w:val="000000" w:themeColor="text1"/>
                <w:sz w:val="17"/>
                <w:szCs w:val="17"/>
              </w:rPr>
            </w:pPr>
          </w:p>
        </w:tc>
        <w:tc>
          <w:tcPr>
            <w:tcW w:w="994" w:type="dxa"/>
            <w:tcBorders>
              <w:top w:val="nil"/>
              <w:left w:val="nil"/>
              <w:bottom w:val="nil"/>
              <w:right w:val="nil"/>
            </w:tcBorders>
            <w:shd w:val="clear" w:color="auto" w:fill="auto"/>
            <w:noWrap/>
            <w:vAlign w:val="bottom"/>
            <w:hideMark/>
          </w:tcPr>
          <w:p w14:paraId="144B5715" w14:textId="77777777" w:rsidR="00D158F0" w:rsidRPr="004B4498" w:rsidRDefault="00D158F0"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Grupa</w:t>
            </w:r>
          </w:p>
        </w:tc>
        <w:tc>
          <w:tcPr>
            <w:tcW w:w="993" w:type="dxa"/>
            <w:tcBorders>
              <w:top w:val="nil"/>
              <w:left w:val="nil"/>
              <w:bottom w:val="nil"/>
              <w:right w:val="nil"/>
            </w:tcBorders>
            <w:shd w:val="clear" w:color="auto" w:fill="auto"/>
            <w:noWrap/>
            <w:vAlign w:val="bottom"/>
            <w:hideMark/>
          </w:tcPr>
          <w:p w14:paraId="29587588" w14:textId="77777777" w:rsidR="00D158F0" w:rsidRPr="004B4498" w:rsidRDefault="00D158F0" w:rsidP="00D15CE2">
            <w:pPr>
              <w:jc w:val="right"/>
              <w:rPr>
                <w:rFonts w:ascii="Arial"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hideMark/>
          </w:tcPr>
          <w:p w14:paraId="41A19F06" w14:textId="77777777" w:rsidR="00D158F0" w:rsidRPr="004B4498" w:rsidRDefault="00D158F0" w:rsidP="00D15CE2">
            <w:pPr>
              <w:jc w:val="right"/>
              <w:rPr>
                <w:rFonts w:ascii="Arial" w:hAnsi="Arial" w:cs="Arial"/>
                <w:color w:val="000000" w:themeColor="text1"/>
                <w:sz w:val="17"/>
                <w:szCs w:val="17"/>
              </w:rPr>
            </w:pPr>
          </w:p>
        </w:tc>
        <w:tc>
          <w:tcPr>
            <w:tcW w:w="993" w:type="dxa"/>
            <w:tcBorders>
              <w:top w:val="nil"/>
              <w:left w:val="nil"/>
              <w:bottom w:val="nil"/>
              <w:right w:val="nil"/>
            </w:tcBorders>
            <w:shd w:val="clear" w:color="auto" w:fill="auto"/>
            <w:noWrap/>
            <w:vAlign w:val="bottom"/>
            <w:hideMark/>
          </w:tcPr>
          <w:p w14:paraId="705E80FE" w14:textId="77777777" w:rsidR="00D158F0" w:rsidRPr="004B4498" w:rsidRDefault="00D158F0" w:rsidP="00D15CE2">
            <w:pPr>
              <w:jc w:val="right"/>
              <w:rPr>
                <w:rFonts w:ascii="Arial" w:hAnsi="Arial" w:cs="Arial"/>
                <w:color w:val="000000" w:themeColor="text1"/>
                <w:sz w:val="17"/>
                <w:szCs w:val="17"/>
              </w:rPr>
            </w:pPr>
          </w:p>
        </w:tc>
        <w:tc>
          <w:tcPr>
            <w:tcW w:w="994" w:type="dxa"/>
            <w:tcBorders>
              <w:top w:val="nil"/>
              <w:left w:val="nil"/>
              <w:bottom w:val="nil"/>
              <w:right w:val="nil"/>
            </w:tcBorders>
            <w:shd w:val="clear" w:color="auto" w:fill="auto"/>
            <w:noWrap/>
            <w:vAlign w:val="bottom"/>
            <w:hideMark/>
          </w:tcPr>
          <w:p w14:paraId="74878BFA" w14:textId="77777777" w:rsidR="00D158F0" w:rsidRPr="004B4498" w:rsidRDefault="00D158F0"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Banka</w:t>
            </w:r>
          </w:p>
        </w:tc>
      </w:tr>
      <w:tr w:rsidR="00D158F0" w:rsidRPr="00BB3F2C" w14:paraId="49343C7D" w14:textId="77777777" w:rsidTr="00D15CE2">
        <w:trPr>
          <w:trHeight w:val="270"/>
        </w:trPr>
        <w:tc>
          <w:tcPr>
            <w:tcW w:w="1814" w:type="dxa"/>
            <w:tcBorders>
              <w:top w:val="nil"/>
              <w:left w:val="nil"/>
              <w:bottom w:val="nil"/>
              <w:right w:val="nil"/>
            </w:tcBorders>
            <w:shd w:val="clear" w:color="auto" w:fill="auto"/>
            <w:noWrap/>
            <w:vAlign w:val="bottom"/>
            <w:hideMark/>
          </w:tcPr>
          <w:p w14:paraId="3E771D2B" w14:textId="77777777" w:rsidR="00D158F0" w:rsidRPr="004B4498" w:rsidRDefault="00D158F0" w:rsidP="00D15CE2">
            <w:pPr>
              <w:jc w:val="right"/>
              <w:rPr>
                <w:rFonts w:ascii="Arial"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hideMark/>
          </w:tcPr>
          <w:p w14:paraId="7AA6DB93" w14:textId="77777777" w:rsidR="00D158F0" w:rsidRPr="004B4498" w:rsidRDefault="00D158F0"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Stupanj 1</w:t>
            </w:r>
          </w:p>
        </w:tc>
        <w:tc>
          <w:tcPr>
            <w:tcW w:w="994" w:type="dxa"/>
            <w:tcBorders>
              <w:top w:val="nil"/>
              <w:left w:val="nil"/>
              <w:bottom w:val="nil"/>
              <w:right w:val="nil"/>
            </w:tcBorders>
            <w:shd w:val="clear" w:color="auto" w:fill="auto"/>
            <w:noWrap/>
            <w:vAlign w:val="bottom"/>
            <w:hideMark/>
          </w:tcPr>
          <w:p w14:paraId="6E429840" w14:textId="77777777" w:rsidR="00D158F0" w:rsidRPr="004B4498" w:rsidRDefault="00D158F0"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Stupanj 2</w:t>
            </w:r>
          </w:p>
        </w:tc>
        <w:tc>
          <w:tcPr>
            <w:tcW w:w="993" w:type="dxa"/>
            <w:tcBorders>
              <w:top w:val="nil"/>
              <w:left w:val="nil"/>
              <w:bottom w:val="nil"/>
              <w:right w:val="nil"/>
            </w:tcBorders>
            <w:shd w:val="clear" w:color="auto" w:fill="auto"/>
            <w:noWrap/>
            <w:vAlign w:val="bottom"/>
            <w:hideMark/>
          </w:tcPr>
          <w:p w14:paraId="0BD7C737" w14:textId="77777777" w:rsidR="00D158F0" w:rsidRPr="004B4498" w:rsidRDefault="00D158F0"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Stupanj 3</w:t>
            </w:r>
          </w:p>
        </w:tc>
        <w:tc>
          <w:tcPr>
            <w:tcW w:w="994" w:type="dxa"/>
            <w:tcBorders>
              <w:top w:val="nil"/>
              <w:left w:val="nil"/>
              <w:bottom w:val="nil"/>
              <w:right w:val="nil"/>
            </w:tcBorders>
            <w:shd w:val="clear" w:color="auto" w:fill="auto"/>
            <w:noWrap/>
            <w:vAlign w:val="bottom"/>
            <w:hideMark/>
          </w:tcPr>
          <w:p w14:paraId="7002351C" w14:textId="77777777" w:rsidR="00D158F0" w:rsidRPr="004B4498" w:rsidRDefault="00D158F0"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Ukupno</w:t>
            </w:r>
          </w:p>
        </w:tc>
        <w:tc>
          <w:tcPr>
            <w:tcW w:w="993" w:type="dxa"/>
            <w:tcBorders>
              <w:top w:val="nil"/>
              <w:left w:val="nil"/>
              <w:bottom w:val="nil"/>
              <w:right w:val="nil"/>
            </w:tcBorders>
            <w:shd w:val="clear" w:color="auto" w:fill="auto"/>
            <w:noWrap/>
            <w:vAlign w:val="bottom"/>
            <w:hideMark/>
          </w:tcPr>
          <w:p w14:paraId="1FBC72DA" w14:textId="77777777" w:rsidR="00D158F0" w:rsidRPr="004B4498" w:rsidRDefault="00D158F0"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Stupanj 1</w:t>
            </w:r>
          </w:p>
        </w:tc>
        <w:tc>
          <w:tcPr>
            <w:tcW w:w="994" w:type="dxa"/>
            <w:tcBorders>
              <w:top w:val="nil"/>
              <w:left w:val="nil"/>
              <w:bottom w:val="nil"/>
              <w:right w:val="nil"/>
            </w:tcBorders>
            <w:shd w:val="clear" w:color="auto" w:fill="auto"/>
            <w:noWrap/>
            <w:vAlign w:val="bottom"/>
            <w:hideMark/>
          </w:tcPr>
          <w:p w14:paraId="1B8EDC74" w14:textId="77777777" w:rsidR="00D158F0" w:rsidRPr="004B4498" w:rsidRDefault="00D158F0"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Stupanj 2</w:t>
            </w:r>
          </w:p>
        </w:tc>
        <w:tc>
          <w:tcPr>
            <w:tcW w:w="993" w:type="dxa"/>
            <w:tcBorders>
              <w:top w:val="nil"/>
              <w:left w:val="nil"/>
              <w:bottom w:val="nil"/>
              <w:right w:val="nil"/>
            </w:tcBorders>
            <w:shd w:val="clear" w:color="auto" w:fill="auto"/>
            <w:noWrap/>
            <w:vAlign w:val="bottom"/>
            <w:hideMark/>
          </w:tcPr>
          <w:p w14:paraId="52AC1E03" w14:textId="77777777" w:rsidR="00D158F0" w:rsidRPr="004B4498" w:rsidRDefault="00D158F0"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Stupanj 3</w:t>
            </w:r>
          </w:p>
        </w:tc>
        <w:tc>
          <w:tcPr>
            <w:tcW w:w="994" w:type="dxa"/>
            <w:tcBorders>
              <w:top w:val="nil"/>
              <w:left w:val="nil"/>
              <w:bottom w:val="nil"/>
              <w:right w:val="nil"/>
            </w:tcBorders>
            <w:shd w:val="clear" w:color="auto" w:fill="auto"/>
            <w:noWrap/>
            <w:vAlign w:val="bottom"/>
            <w:hideMark/>
          </w:tcPr>
          <w:p w14:paraId="30084B0F" w14:textId="77777777" w:rsidR="00D158F0" w:rsidRPr="004B4498" w:rsidRDefault="00D158F0"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Ukupno</w:t>
            </w:r>
          </w:p>
        </w:tc>
      </w:tr>
      <w:tr w:rsidR="00D158F0" w:rsidRPr="00BB3F2C" w14:paraId="33E58AA6" w14:textId="77777777" w:rsidTr="00D15CE2">
        <w:trPr>
          <w:trHeight w:val="270"/>
        </w:trPr>
        <w:tc>
          <w:tcPr>
            <w:tcW w:w="1814" w:type="dxa"/>
            <w:tcBorders>
              <w:top w:val="nil"/>
              <w:left w:val="nil"/>
              <w:bottom w:val="nil"/>
              <w:right w:val="nil"/>
            </w:tcBorders>
            <w:shd w:val="clear" w:color="auto" w:fill="auto"/>
            <w:noWrap/>
            <w:vAlign w:val="bottom"/>
            <w:hideMark/>
          </w:tcPr>
          <w:p w14:paraId="74017088" w14:textId="77777777" w:rsidR="00D158F0" w:rsidRPr="004B4498" w:rsidRDefault="00D158F0" w:rsidP="00D15CE2">
            <w:pPr>
              <w:jc w:val="right"/>
              <w:rPr>
                <w:rFonts w:ascii="Arial"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hideMark/>
          </w:tcPr>
          <w:p w14:paraId="76470B89" w14:textId="77777777" w:rsidR="00D158F0" w:rsidRPr="004B4498" w:rsidRDefault="00D158F0"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994" w:type="dxa"/>
            <w:tcBorders>
              <w:top w:val="nil"/>
              <w:left w:val="nil"/>
              <w:bottom w:val="nil"/>
              <w:right w:val="nil"/>
            </w:tcBorders>
            <w:shd w:val="clear" w:color="auto" w:fill="auto"/>
            <w:noWrap/>
            <w:vAlign w:val="bottom"/>
            <w:hideMark/>
          </w:tcPr>
          <w:p w14:paraId="1E9289F9" w14:textId="77777777" w:rsidR="00D158F0" w:rsidRPr="004B4498" w:rsidRDefault="00D158F0"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993" w:type="dxa"/>
            <w:tcBorders>
              <w:top w:val="nil"/>
              <w:left w:val="nil"/>
              <w:bottom w:val="nil"/>
              <w:right w:val="nil"/>
            </w:tcBorders>
            <w:shd w:val="clear" w:color="auto" w:fill="auto"/>
            <w:noWrap/>
            <w:vAlign w:val="bottom"/>
            <w:hideMark/>
          </w:tcPr>
          <w:p w14:paraId="76C3CB07" w14:textId="77777777" w:rsidR="00D158F0" w:rsidRPr="004B4498" w:rsidRDefault="00D158F0"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994" w:type="dxa"/>
            <w:tcBorders>
              <w:top w:val="nil"/>
              <w:left w:val="nil"/>
              <w:bottom w:val="nil"/>
              <w:right w:val="nil"/>
            </w:tcBorders>
            <w:shd w:val="clear" w:color="auto" w:fill="auto"/>
            <w:noWrap/>
            <w:vAlign w:val="bottom"/>
            <w:hideMark/>
          </w:tcPr>
          <w:p w14:paraId="5050C6E0" w14:textId="77777777" w:rsidR="00D158F0" w:rsidRPr="004B4498" w:rsidRDefault="00D158F0"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993" w:type="dxa"/>
            <w:tcBorders>
              <w:top w:val="nil"/>
              <w:left w:val="nil"/>
              <w:bottom w:val="nil"/>
              <w:right w:val="nil"/>
            </w:tcBorders>
            <w:shd w:val="clear" w:color="auto" w:fill="auto"/>
            <w:noWrap/>
            <w:vAlign w:val="bottom"/>
            <w:hideMark/>
          </w:tcPr>
          <w:p w14:paraId="45EA589D" w14:textId="77777777" w:rsidR="00D158F0" w:rsidRPr="004B4498" w:rsidRDefault="00D158F0"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994" w:type="dxa"/>
            <w:tcBorders>
              <w:top w:val="nil"/>
              <w:left w:val="nil"/>
              <w:bottom w:val="nil"/>
              <w:right w:val="nil"/>
            </w:tcBorders>
            <w:shd w:val="clear" w:color="auto" w:fill="auto"/>
            <w:noWrap/>
            <w:vAlign w:val="bottom"/>
            <w:hideMark/>
          </w:tcPr>
          <w:p w14:paraId="4A5665B0" w14:textId="77777777" w:rsidR="00D158F0" w:rsidRPr="004B4498" w:rsidRDefault="00D158F0"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993" w:type="dxa"/>
            <w:tcBorders>
              <w:top w:val="nil"/>
              <w:left w:val="nil"/>
              <w:bottom w:val="nil"/>
              <w:right w:val="nil"/>
            </w:tcBorders>
            <w:shd w:val="clear" w:color="auto" w:fill="auto"/>
            <w:noWrap/>
            <w:vAlign w:val="bottom"/>
            <w:hideMark/>
          </w:tcPr>
          <w:p w14:paraId="6F87E4EE" w14:textId="77777777" w:rsidR="00D158F0" w:rsidRPr="004B4498" w:rsidRDefault="00D158F0"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c>
          <w:tcPr>
            <w:tcW w:w="994" w:type="dxa"/>
            <w:tcBorders>
              <w:top w:val="nil"/>
              <w:left w:val="nil"/>
              <w:bottom w:val="nil"/>
              <w:right w:val="nil"/>
            </w:tcBorders>
            <w:shd w:val="clear" w:color="auto" w:fill="auto"/>
            <w:noWrap/>
            <w:vAlign w:val="bottom"/>
            <w:hideMark/>
          </w:tcPr>
          <w:p w14:paraId="4B66700D" w14:textId="77777777" w:rsidR="00D158F0" w:rsidRPr="004B4498" w:rsidRDefault="00D158F0" w:rsidP="00D15CE2">
            <w:pPr>
              <w:jc w:val="right"/>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000 </w:t>
            </w:r>
            <w:r>
              <w:rPr>
                <w:rFonts w:ascii="Arial" w:hAnsi="Arial" w:cs="Arial"/>
                <w:b/>
                <w:bCs/>
                <w:color w:val="000000" w:themeColor="text1"/>
                <w:sz w:val="17"/>
                <w:szCs w:val="17"/>
              </w:rPr>
              <w:t>eura</w:t>
            </w:r>
          </w:p>
        </w:tc>
      </w:tr>
      <w:tr w:rsidR="00D158F0" w:rsidRPr="00BB3F2C" w14:paraId="729BB1F5" w14:textId="77777777" w:rsidTr="00D15CE2">
        <w:trPr>
          <w:trHeight w:hRule="exact" w:val="144"/>
        </w:trPr>
        <w:tc>
          <w:tcPr>
            <w:tcW w:w="1814" w:type="dxa"/>
            <w:tcBorders>
              <w:top w:val="nil"/>
              <w:left w:val="nil"/>
              <w:bottom w:val="nil"/>
              <w:right w:val="nil"/>
            </w:tcBorders>
            <w:shd w:val="clear" w:color="auto" w:fill="auto"/>
            <w:noWrap/>
            <w:vAlign w:val="bottom"/>
          </w:tcPr>
          <w:p w14:paraId="0804D9AD" w14:textId="77777777" w:rsidR="00D158F0" w:rsidRPr="004B4498" w:rsidRDefault="00D158F0" w:rsidP="00D15CE2">
            <w:pPr>
              <w:jc w:val="right"/>
              <w:rPr>
                <w:rFonts w:ascii="Arial"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3D1F6D62" w14:textId="77777777" w:rsidR="00D158F0" w:rsidRPr="004B4498" w:rsidRDefault="00D158F0" w:rsidP="00D15CE2">
            <w:pPr>
              <w:jc w:val="right"/>
              <w:rPr>
                <w:rFonts w:ascii="Arial"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79B41088" w14:textId="77777777" w:rsidR="00D158F0" w:rsidRPr="004B4498" w:rsidRDefault="00D158F0" w:rsidP="00D15CE2">
            <w:pPr>
              <w:jc w:val="right"/>
              <w:rPr>
                <w:rFonts w:ascii="Arial"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0BEB19A3" w14:textId="77777777" w:rsidR="00D158F0" w:rsidRPr="004B4498" w:rsidRDefault="00D158F0" w:rsidP="00D15CE2">
            <w:pPr>
              <w:jc w:val="right"/>
              <w:rPr>
                <w:rFonts w:ascii="Arial"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554328CD" w14:textId="77777777" w:rsidR="00D158F0" w:rsidRPr="004B4498" w:rsidRDefault="00D158F0" w:rsidP="00D15CE2">
            <w:pPr>
              <w:jc w:val="right"/>
              <w:rPr>
                <w:rFonts w:ascii="Arial"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0C812F38" w14:textId="77777777" w:rsidR="00D158F0" w:rsidRPr="004B4498" w:rsidRDefault="00D158F0" w:rsidP="00D15CE2">
            <w:pPr>
              <w:jc w:val="right"/>
              <w:rPr>
                <w:rFonts w:ascii="Arial"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52FD3CA7" w14:textId="77777777" w:rsidR="00D158F0" w:rsidRPr="004B4498" w:rsidRDefault="00D158F0" w:rsidP="00D15CE2">
            <w:pPr>
              <w:jc w:val="right"/>
              <w:rPr>
                <w:rFonts w:ascii="Arial" w:hAnsi="Arial" w:cs="Arial"/>
                <w:b/>
                <w:bCs/>
                <w:color w:val="000000" w:themeColor="text1"/>
                <w:sz w:val="17"/>
                <w:szCs w:val="17"/>
              </w:rPr>
            </w:pPr>
          </w:p>
        </w:tc>
        <w:tc>
          <w:tcPr>
            <w:tcW w:w="993" w:type="dxa"/>
            <w:tcBorders>
              <w:top w:val="nil"/>
              <w:left w:val="nil"/>
              <w:bottom w:val="nil"/>
              <w:right w:val="nil"/>
            </w:tcBorders>
            <w:shd w:val="clear" w:color="auto" w:fill="auto"/>
            <w:noWrap/>
            <w:vAlign w:val="bottom"/>
          </w:tcPr>
          <w:p w14:paraId="580CAD2E" w14:textId="77777777" w:rsidR="00D158F0" w:rsidRPr="004B4498" w:rsidRDefault="00D158F0" w:rsidP="00D15CE2">
            <w:pPr>
              <w:jc w:val="right"/>
              <w:rPr>
                <w:rFonts w:ascii="Arial" w:hAnsi="Arial" w:cs="Arial"/>
                <w:b/>
                <w:bCs/>
                <w:color w:val="000000" w:themeColor="text1"/>
                <w:sz w:val="17"/>
                <w:szCs w:val="17"/>
              </w:rPr>
            </w:pPr>
          </w:p>
        </w:tc>
        <w:tc>
          <w:tcPr>
            <w:tcW w:w="994" w:type="dxa"/>
            <w:tcBorders>
              <w:top w:val="nil"/>
              <w:left w:val="nil"/>
              <w:bottom w:val="nil"/>
              <w:right w:val="nil"/>
            </w:tcBorders>
            <w:shd w:val="clear" w:color="auto" w:fill="auto"/>
            <w:noWrap/>
            <w:vAlign w:val="bottom"/>
          </w:tcPr>
          <w:p w14:paraId="795CA7BB" w14:textId="77777777" w:rsidR="00D158F0" w:rsidRPr="004B4498" w:rsidRDefault="00D158F0" w:rsidP="00D15CE2">
            <w:pPr>
              <w:jc w:val="right"/>
              <w:rPr>
                <w:rFonts w:ascii="Arial" w:hAnsi="Arial" w:cs="Arial"/>
                <w:b/>
                <w:bCs/>
                <w:color w:val="000000" w:themeColor="text1"/>
                <w:sz w:val="17"/>
                <w:szCs w:val="17"/>
              </w:rPr>
            </w:pPr>
          </w:p>
        </w:tc>
      </w:tr>
      <w:tr w:rsidR="00D158F0" w:rsidRPr="00BB3F2C" w14:paraId="68B75CE0" w14:textId="77777777" w:rsidTr="00D15CE2">
        <w:trPr>
          <w:trHeight w:val="461"/>
        </w:trPr>
        <w:tc>
          <w:tcPr>
            <w:tcW w:w="1814" w:type="dxa"/>
            <w:tcBorders>
              <w:top w:val="nil"/>
              <w:left w:val="nil"/>
              <w:bottom w:val="nil"/>
              <w:right w:val="nil"/>
            </w:tcBorders>
            <w:shd w:val="clear" w:color="auto" w:fill="auto"/>
            <w:noWrap/>
            <w:vAlign w:val="bottom"/>
            <w:hideMark/>
          </w:tcPr>
          <w:p w14:paraId="5A06FC1D" w14:textId="77777777" w:rsidR="00D158F0" w:rsidRPr="004B4498" w:rsidRDefault="00D158F0" w:rsidP="00D15CE2">
            <w:pPr>
              <w:rPr>
                <w:rFonts w:ascii="Arial" w:hAnsi="Arial" w:cs="Arial"/>
                <w:color w:val="000000" w:themeColor="text1"/>
                <w:sz w:val="17"/>
                <w:szCs w:val="17"/>
              </w:rPr>
            </w:pPr>
            <w:r w:rsidRPr="004B4498">
              <w:rPr>
                <w:rFonts w:ascii="Arial" w:hAnsi="Arial" w:cs="Arial"/>
                <w:color w:val="000000" w:themeColor="text1"/>
                <w:sz w:val="17"/>
                <w:szCs w:val="17"/>
              </w:rPr>
              <w:t>Bruto iznos</w:t>
            </w:r>
          </w:p>
        </w:tc>
        <w:tc>
          <w:tcPr>
            <w:tcW w:w="993" w:type="dxa"/>
            <w:tcBorders>
              <w:top w:val="nil"/>
              <w:left w:val="nil"/>
              <w:bottom w:val="nil"/>
              <w:right w:val="nil"/>
            </w:tcBorders>
            <w:shd w:val="clear" w:color="auto" w:fill="auto"/>
            <w:noWrap/>
            <w:vAlign w:val="bottom"/>
          </w:tcPr>
          <w:p w14:paraId="5902C4F7" w14:textId="77777777" w:rsidR="00D158F0" w:rsidRPr="00BF5D37" w:rsidRDefault="00D158F0" w:rsidP="00D15CE2">
            <w:pPr>
              <w:jc w:val="right"/>
              <w:rPr>
                <w:rFonts w:ascii="Arial" w:hAnsi="Arial" w:cs="Arial"/>
                <w:sz w:val="17"/>
                <w:szCs w:val="17"/>
              </w:rPr>
            </w:pPr>
            <w:r w:rsidRPr="00AA3587">
              <w:rPr>
                <w:rFonts w:ascii="Arial" w:hAnsi="Arial" w:cs="Arial"/>
                <w:sz w:val="17"/>
                <w:szCs w:val="17"/>
              </w:rPr>
              <w:t>227.239</w:t>
            </w:r>
          </w:p>
        </w:tc>
        <w:tc>
          <w:tcPr>
            <w:tcW w:w="994" w:type="dxa"/>
            <w:tcBorders>
              <w:top w:val="nil"/>
              <w:left w:val="nil"/>
              <w:bottom w:val="nil"/>
              <w:right w:val="nil"/>
            </w:tcBorders>
            <w:shd w:val="clear" w:color="auto" w:fill="auto"/>
            <w:noWrap/>
            <w:vAlign w:val="bottom"/>
          </w:tcPr>
          <w:p w14:paraId="5A4B2F2A" w14:textId="77777777" w:rsidR="00D158F0" w:rsidRPr="00BF5D37" w:rsidRDefault="00D158F0" w:rsidP="00D15CE2">
            <w:pPr>
              <w:jc w:val="right"/>
              <w:rPr>
                <w:rFonts w:ascii="Arial" w:hAnsi="Arial" w:cs="Arial"/>
                <w:sz w:val="17"/>
                <w:szCs w:val="17"/>
              </w:rPr>
            </w:pPr>
            <w:r>
              <w:rPr>
                <w:rFonts w:ascii="Arial" w:hAnsi="Arial" w:cs="Arial"/>
                <w:sz w:val="17"/>
                <w:szCs w:val="17"/>
              </w:rPr>
              <w:t>-</w:t>
            </w:r>
          </w:p>
        </w:tc>
        <w:tc>
          <w:tcPr>
            <w:tcW w:w="993" w:type="dxa"/>
            <w:tcBorders>
              <w:top w:val="nil"/>
              <w:left w:val="nil"/>
              <w:bottom w:val="nil"/>
              <w:right w:val="nil"/>
            </w:tcBorders>
            <w:shd w:val="clear" w:color="auto" w:fill="auto"/>
            <w:noWrap/>
            <w:vAlign w:val="bottom"/>
          </w:tcPr>
          <w:p w14:paraId="115D4CA1" w14:textId="77777777" w:rsidR="00D158F0" w:rsidRPr="00BF5D37" w:rsidRDefault="00D158F0" w:rsidP="00D15CE2">
            <w:pPr>
              <w:jc w:val="right"/>
              <w:rPr>
                <w:rFonts w:ascii="Arial" w:hAnsi="Arial" w:cs="Arial"/>
                <w:sz w:val="17"/>
                <w:szCs w:val="17"/>
              </w:rPr>
            </w:pPr>
            <w:r>
              <w:rPr>
                <w:rFonts w:ascii="Arial" w:hAnsi="Arial" w:cs="Arial"/>
                <w:sz w:val="17"/>
                <w:szCs w:val="17"/>
              </w:rPr>
              <w:t>195</w:t>
            </w:r>
          </w:p>
        </w:tc>
        <w:tc>
          <w:tcPr>
            <w:tcW w:w="994" w:type="dxa"/>
            <w:tcBorders>
              <w:top w:val="nil"/>
              <w:left w:val="nil"/>
              <w:bottom w:val="nil"/>
              <w:right w:val="nil"/>
            </w:tcBorders>
            <w:shd w:val="clear" w:color="auto" w:fill="auto"/>
            <w:noWrap/>
            <w:vAlign w:val="bottom"/>
          </w:tcPr>
          <w:p w14:paraId="43518552" w14:textId="77777777" w:rsidR="00D158F0" w:rsidRPr="00C855D7" w:rsidRDefault="00D158F0" w:rsidP="00D15CE2">
            <w:pPr>
              <w:jc w:val="right"/>
              <w:rPr>
                <w:rFonts w:ascii="Arial" w:hAnsi="Arial" w:cs="Arial"/>
                <w:b/>
                <w:bCs/>
                <w:sz w:val="17"/>
                <w:szCs w:val="17"/>
              </w:rPr>
            </w:pPr>
            <w:r w:rsidRPr="00AA3587">
              <w:rPr>
                <w:rFonts w:ascii="Arial" w:hAnsi="Arial" w:cs="Arial"/>
                <w:b/>
                <w:bCs/>
                <w:sz w:val="17"/>
                <w:szCs w:val="17"/>
              </w:rPr>
              <w:t>227.434</w:t>
            </w:r>
          </w:p>
        </w:tc>
        <w:tc>
          <w:tcPr>
            <w:tcW w:w="993" w:type="dxa"/>
            <w:tcBorders>
              <w:top w:val="nil"/>
              <w:left w:val="nil"/>
              <w:bottom w:val="nil"/>
              <w:right w:val="nil"/>
            </w:tcBorders>
            <w:shd w:val="clear" w:color="auto" w:fill="auto"/>
            <w:noWrap/>
            <w:vAlign w:val="bottom"/>
          </w:tcPr>
          <w:p w14:paraId="2974638C" w14:textId="77777777" w:rsidR="00D158F0" w:rsidRPr="00BF5D37" w:rsidRDefault="00D158F0" w:rsidP="00D15CE2">
            <w:pPr>
              <w:jc w:val="right"/>
              <w:rPr>
                <w:rFonts w:ascii="Arial" w:hAnsi="Arial" w:cs="Arial"/>
                <w:sz w:val="17"/>
                <w:szCs w:val="17"/>
              </w:rPr>
            </w:pPr>
            <w:r w:rsidRPr="00267853">
              <w:rPr>
                <w:rFonts w:ascii="Arial" w:hAnsi="Arial" w:cs="Arial"/>
                <w:sz w:val="17"/>
                <w:szCs w:val="17"/>
              </w:rPr>
              <w:t>220.898</w:t>
            </w:r>
          </w:p>
        </w:tc>
        <w:tc>
          <w:tcPr>
            <w:tcW w:w="994" w:type="dxa"/>
            <w:tcBorders>
              <w:top w:val="nil"/>
              <w:left w:val="nil"/>
              <w:bottom w:val="nil"/>
              <w:right w:val="nil"/>
            </w:tcBorders>
            <w:shd w:val="clear" w:color="auto" w:fill="auto"/>
            <w:noWrap/>
            <w:vAlign w:val="bottom"/>
          </w:tcPr>
          <w:p w14:paraId="711BB3A5" w14:textId="77777777" w:rsidR="00D158F0" w:rsidRPr="00BF5D37" w:rsidRDefault="00D158F0" w:rsidP="00D15CE2">
            <w:pPr>
              <w:jc w:val="right"/>
              <w:rPr>
                <w:rFonts w:ascii="Arial" w:hAnsi="Arial" w:cs="Arial"/>
                <w:sz w:val="17"/>
                <w:szCs w:val="17"/>
              </w:rPr>
            </w:pPr>
            <w:r>
              <w:rPr>
                <w:rFonts w:ascii="Arial" w:hAnsi="Arial" w:cs="Arial"/>
                <w:sz w:val="17"/>
                <w:szCs w:val="17"/>
              </w:rPr>
              <w:t>-</w:t>
            </w:r>
          </w:p>
        </w:tc>
        <w:tc>
          <w:tcPr>
            <w:tcW w:w="993" w:type="dxa"/>
            <w:tcBorders>
              <w:top w:val="nil"/>
              <w:left w:val="nil"/>
              <w:bottom w:val="nil"/>
              <w:right w:val="nil"/>
            </w:tcBorders>
            <w:shd w:val="clear" w:color="auto" w:fill="auto"/>
            <w:noWrap/>
            <w:vAlign w:val="bottom"/>
          </w:tcPr>
          <w:p w14:paraId="4EC7AD36" w14:textId="77777777" w:rsidR="00D158F0" w:rsidRPr="00BF5D37" w:rsidRDefault="00D158F0" w:rsidP="00D15CE2">
            <w:pPr>
              <w:jc w:val="right"/>
              <w:rPr>
                <w:rFonts w:ascii="Arial" w:hAnsi="Arial" w:cs="Arial"/>
                <w:sz w:val="17"/>
                <w:szCs w:val="17"/>
              </w:rPr>
            </w:pPr>
            <w:r>
              <w:rPr>
                <w:rFonts w:ascii="Arial" w:hAnsi="Arial" w:cs="Arial"/>
                <w:sz w:val="17"/>
                <w:szCs w:val="17"/>
              </w:rPr>
              <w:t>195</w:t>
            </w:r>
          </w:p>
        </w:tc>
        <w:tc>
          <w:tcPr>
            <w:tcW w:w="994" w:type="dxa"/>
            <w:tcBorders>
              <w:top w:val="nil"/>
              <w:left w:val="nil"/>
              <w:bottom w:val="nil"/>
              <w:right w:val="nil"/>
            </w:tcBorders>
            <w:shd w:val="clear" w:color="auto" w:fill="auto"/>
            <w:noWrap/>
            <w:vAlign w:val="bottom"/>
          </w:tcPr>
          <w:p w14:paraId="5D4CDC96" w14:textId="77777777" w:rsidR="00D158F0" w:rsidRPr="00C855D7" w:rsidRDefault="00D158F0" w:rsidP="00D15CE2">
            <w:pPr>
              <w:jc w:val="right"/>
              <w:rPr>
                <w:rFonts w:ascii="Arial" w:hAnsi="Arial" w:cs="Arial"/>
                <w:b/>
                <w:bCs/>
                <w:sz w:val="17"/>
                <w:szCs w:val="17"/>
              </w:rPr>
            </w:pPr>
            <w:r w:rsidRPr="00267853">
              <w:rPr>
                <w:rFonts w:ascii="Arial" w:hAnsi="Arial" w:cs="Arial"/>
                <w:b/>
                <w:bCs/>
                <w:sz w:val="17"/>
                <w:szCs w:val="17"/>
              </w:rPr>
              <w:t>221.093</w:t>
            </w:r>
          </w:p>
        </w:tc>
      </w:tr>
      <w:tr w:rsidR="00D158F0" w:rsidRPr="00BB3F2C" w14:paraId="0061E70A" w14:textId="77777777" w:rsidTr="00D15CE2">
        <w:trPr>
          <w:trHeight w:val="285"/>
        </w:trPr>
        <w:tc>
          <w:tcPr>
            <w:tcW w:w="1814" w:type="dxa"/>
            <w:tcBorders>
              <w:top w:val="nil"/>
              <w:left w:val="nil"/>
              <w:bottom w:val="nil"/>
              <w:right w:val="nil"/>
            </w:tcBorders>
            <w:shd w:val="clear" w:color="auto" w:fill="auto"/>
            <w:noWrap/>
            <w:vAlign w:val="bottom"/>
            <w:hideMark/>
          </w:tcPr>
          <w:p w14:paraId="5D72FD47" w14:textId="77777777" w:rsidR="00D158F0" w:rsidRPr="004B4498" w:rsidRDefault="00D158F0" w:rsidP="00D15CE2">
            <w:pPr>
              <w:rPr>
                <w:rFonts w:ascii="Arial" w:hAnsi="Arial" w:cs="Arial"/>
                <w:b/>
                <w:bCs/>
                <w:color w:val="000000" w:themeColor="text1"/>
                <w:sz w:val="17"/>
                <w:szCs w:val="17"/>
              </w:rPr>
            </w:pPr>
            <w:r w:rsidRPr="004B4498">
              <w:rPr>
                <w:rFonts w:ascii="Arial" w:hAnsi="Arial" w:cs="Arial"/>
                <w:b/>
                <w:bCs/>
                <w:color w:val="000000" w:themeColor="text1"/>
                <w:sz w:val="17"/>
                <w:szCs w:val="17"/>
              </w:rPr>
              <w:t xml:space="preserve">Stanje na dan </w:t>
            </w:r>
          </w:p>
          <w:p w14:paraId="1F6B68F5" w14:textId="77777777" w:rsidR="00D158F0" w:rsidRPr="004B4498" w:rsidRDefault="00D158F0" w:rsidP="00D15CE2">
            <w:pPr>
              <w:rPr>
                <w:rFonts w:ascii="Arial" w:hAnsi="Arial" w:cs="Arial"/>
                <w:b/>
                <w:bCs/>
                <w:color w:val="000000" w:themeColor="text1"/>
                <w:sz w:val="17"/>
                <w:szCs w:val="17"/>
              </w:rPr>
            </w:pPr>
            <w:r w:rsidRPr="004B4498">
              <w:rPr>
                <w:rFonts w:ascii="Arial" w:hAnsi="Arial" w:cs="Arial"/>
                <w:b/>
                <w:bCs/>
                <w:color w:val="000000" w:themeColor="text1"/>
                <w:sz w:val="17"/>
                <w:szCs w:val="17"/>
              </w:rPr>
              <w:t>31. prosinca 202</w:t>
            </w:r>
            <w:r>
              <w:rPr>
                <w:rFonts w:ascii="Arial" w:hAnsi="Arial" w:cs="Arial"/>
                <w:b/>
                <w:bCs/>
                <w:color w:val="000000" w:themeColor="text1"/>
                <w:sz w:val="17"/>
                <w:szCs w:val="17"/>
              </w:rPr>
              <w:t>3</w:t>
            </w:r>
            <w:r w:rsidRPr="004B4498">
              <w:rPr>
                <w:rFonts w:ascii="Arial" w:hAnsi="Arial" w:cs="Arial"/>
                <w:b/>
                <w:bCs/>
                <w:color w:val="000000" w:themeColor="text1"/>
                <w:sz w:val="17"/>
                <w:szCs w:val="17"/>
              </w:rPr>
              <w:t xml:space="preserve">. </w:t>
            </w:r>
          </w:p>
        </w:tc>
        <w:tc>
          <w:tcPr>
            <w:tcW w:w="993" w:type="dxa"/>
            <w:tcBorders>
              <w:top w:val="single" w:sz="4" w:space="0" w:color="auto"/>
              <w:left w:val="nil"/>
              <w:bottom w:val="single" w:sz="12" w:space="0" w:color="auto"/>
              <w:right w:val="nil"/>
            </w:tcBorders>
            <w:shd w:val="clear" w:color="auto" w:fill="auto"/>
            <w:noWrap/>
            <w:vAlign w:val="bottom"/>
          </w:tcPr>
          <w:p w14:paraId="76A64283" w14:textId="77777777" w:rsidR="00D158F0" w:rsidRPr="00BF5D37" w:rsidRDefault="00D158F0" w:rsidP="00D15CE2">
            <w:pPr>
              <w:jc w:val="right"/>
              <w:rPr>
                <w:rFonts w:ascii="Arial" w:hAnsi="Arial" w:cs="Arial"/>
                <w:b/>
                <w:bCs/>
                <w:sz w:val="17"/>
                <w:szCs w:val="17"/>
              </w:rPr>
            </w:pPr>
            <w:r w:rsidRPr="00AA3587">
              <w:rPr>
                <w:rFonts w:ascii="Arial" w:hAnsi="Arial" w:cs="Arial"/>
                <w:b/>
                <w:bCs/>
                <w:sz w:val="17"/>
                <w:szCs w:val="17"/>
              </w:rPr>
              <w:t>227.239</w:t>
            </w:r>
          </w:p>
        </w:tc>
        <w:tc>
          <w:tcPr>
            <w:tcW w:w="994" w:type="dxa"/>
            <w:tcBorders>
              <w:top w:val="single" w:sz="4" w:space="0" w:color="auto"/>
              <w:left w:val="nil"/>
              <w:bottom w:val="single" w:sz="12" w:space="0" w:color="auto"/>
              <w:right w:val="nil"/>
            </w:tcBorders>
            <w:shd w:val="clear" w:color="auto" w:fill="auto"/>
            <w:noWrap/>
            <w:vAlign w:val="bottom"/>
          </w:tcPr>
          <w:p w14:paraId="63528EAE" w14:textId="77777777" w:rsidR="00D158F0" w:rsidRPr="00BF5D37" w:rsidRDefault="00D158F0" w:rsidP="00D15CE2">
            <w:pPr>
              <w:jc w:val="right"/>
              <w:rPr>
                <w:rFonts w:ascii="Arial" w:hAnsi="Arial" w:cs="Arial"/>
                <w:b/>
                <w:bCs/>
                <w:sz w:val="17"/>
                <w:szCs w:val="17"/>
              </w:rPr>
            </w:pPr>
            <w:r>
              <w:rPr>
                <w:rFonts w:ascii="Arial" w:hAnsi="Arial" w:cs="Arial"/>
                <w:b/>
                <w:bCs/>
                <w:sz w:val="17"/>
                <w:szCs w:val="17"/>
              </w:rPr>
              <w:t>-</w:t>
            </w:r>
          </w:p>
        </w:tc>
        <w:tc>
          <w:tcPr>
            <w:tcW w:w="993" w:type="dxa"/>
            <w:tcBorders>
              <w:top w:val="single" w:sz="4" w:space="0" w:color="auto"/>
              <w:left w:val="nil"/>
              <w:bottom w:val="single" w:sz="12" w:space="0" w:color="auto"/>
              <w:right w:val="nil"/>
            </w:tcBorders>
            <w:shd w:val="clear" w:color="auto" w:fill="auto"/>
            <w:noWrap/>
            <w:vAlign w:val="bottom"/>
          </w:tcPr>
          <w:p w14:paraId="7138830C" w14:textId="77777777" w:rsidR="00D158F0" w:rsidRPr="00BF5D37" w:rsidRDefault="00D158F0" w:rsidP="00D15CE2">
            <w:pPr>
              <w:jc w:val="right"/>
              <w:rPr>
                <w:rFonts w:ascii="Arial" w:hAnsi="Arial" w:cs="Arial"/>
                <w:b/>
                <w:bCs/>
                <w:sz w:val="17"/>
                <w:szCs w:val="17"/>
              </w:rPr>
            </w:pPr>
            <w:r>
              <w:rPr>
                <w:rFonts w:ascii="Arial" w:hAnsi="Arial" w:cs="Arial"/>
                <w:b/>
                <w:bCs/>
                <w:sz w:val="17"/>
                <w:szCs w:val="17"/>
              </w:rPr>
              <w:t>195</w:t>
            </w:r>
          </w:p>
        </w:tc>
        <w:tc>
          <w:tcPr>
            <w:tcW w:w="994" w:type="dxa"/>
            <w:tcBorders>
              <w:top w:val="single" w:sz="4" w:space="0" w:color="auto"/>
              <w:left w:val="nil"/>
              <w:bottom w:val="single" w:sz="12" w:space="0" w:color="auto"/>
              <w:right w:val="nil"/>
            </w:tcBorders>
            <w:shd w:val="clear" w:color="auto" w:fill="auto"/>
            <w:noWrap/>
            <w:vAlign w:val="bottom"/>
          </w:tcPr>
          <w:p w14:paraId="20085B66" w14:textId="77777777" w:rsidR="00D158F0" w:rsidRPr="00C855D7" w:rsidRDefault="00D158F0" w:rsidP="00D15CE2">
            <w:pPr>
              <w:jc w:val="right"/>
              <w:rPr>
                <w:rFonts w:ascii="Arial" w:hAnsi="Arial" w:cs="Arial"/>
                <w:b/>
                <w:bCs/>
                <w:sz w:val="17"/>
                <w:szCs w:val="17"/>
              </w:rPr>
            </w:pPr>
            <w:r w:rsidRPr="00AA3587">
              <w:rPr>
                <w:rFonts w:ascii="Arial" w:hAnsi="Arial" w:cs="Arial"/>
                <w:b/>
                <w:bCs/>
                <w:sz w:val="17"/>
                <w:szCs w:val="17"/>
              </w:rPr>
              <w:t>227.434</w:t>
            </w:r>
          </w:p>
        </w:tc>
        <w:tc>
          <w:tcPr>
            <w:tcW w:w="993" w:type="dxa"/>
            <w:tcBorders>
              <w:top w:val="single" w:sz="4" w:space="0" w:color="auto"/>
              <w:left w:val="nil"/>
              <w:bottom w:val="single" w:sz="12" w:space="0" w:color="auto"/>
              <w:right w:val="nil"/>
            </w:tcBorders>
            <w:shd w:val="clear" w:color="auto" w:fill="auto"/>
            <w:noWrap/>
            <w:vAlign w:val="bottom"/>
          </w:tcPr>
          <w:p w14:paraId="7BA70B3A" w14:textId="77777777" w:rsidR="00D158F0" w:rsidRPr="00BF5D37" w:rsidRDefault="00D158F0" w:rsidP="00D15CE2">
            <w:pPr>
              <w:jc w:val="right"/>
              <w:rPr>
                <w:rFonts w:ascii="Arial" w:hAnsi="Arial" w:cs="Arial"/>
                <w:b/>
                <w:bCs/>
                <w:sz w:val="17"/>
                <w:szCs w:val="17"/>
              </w:rPr>
            </w:pPr>
            <w:r w:rsidRPr="00267853">
              <w:rPr>
                <w:rFonts w:ascii="Arial" w:hAnsi="Arial" w:cs="Arial"/>
                <w:b/>
                <w:bCs/>
                <w:sz w:val="17"/>
                <w:szCs w:val="17"/>
              </w:rPr>
              <w:t>220.898</w:t>
            </w:r>
          </w:p>
        </w:tc>
        <w:tc>
          <w:tcPr>
            <w:tcW w:w="994" w:type="dxa"/>
            <w:tcBorders>
              <w:top w:val="single" w:sz="4" w:space="0" w:color="auto"/>
              <w:left w:val="nil"/>
              <w:bottom w:val="single" w:sz="12" w:space="0" w:color="auto"/>
              <w:right w:val="nil"/>
            </w:tcBorders>
            <w:shd w:val="clear" w:color="auto" w:fill="auto"/>
            <w:noWrap/>
            <w:vAlign w:val="bottom"/>
          </w:tcPr>
          <w:p w14:paraId="5266B298" w14:textId="77777777" w:rsidR="00D158F0" w:rsidRPr="00BF5D37" w:rsidRDefault="00D158F0" w:rsidP="00D15CE2">
            <w:pPr>
              <w:jc w:val="right"/>
              <w:rPr>
                <w:rFonts w:ascii="Arial" w:hAnsi="Arial" w:cs="Arial"/>
                <w:b/>
                <w:bCs/>
                <w:sz w:val="17"/>
                <w:szCs w:val="17"/>
              </w:rPr>
            </w:pPr>
            <w:r>
              <w:rPr>
                <w:rFonts w:ascii="Arial" w:hAnsi="Arial" w:cs="Arial"/>
                <w:b/>
                <w:bCs/>
                <w:sz w:val="17"/>
                <w:szCs w:val="17"/>
              </w:rPr>
              <w:t>-</w:t>
            </w:r>
          </w:p>
        </w:tc>
        <w:tc>
          <w:tcPr>
            <w:tcW w:w="993" w:type="dxa"/>
            <w:tcBorders>
              <w:top w:val="single" w:sz="4" w:space="0" w:color="auto"/>
              <w:left w:val="nil"/>
              <w:bottom w:val="single" w:sz="12" w:space="0" w:color="auto"/>
              <w:right w:val="nil"/>
            </w:tcBorders>
            <w:shd w:val="clear" w:color="auto" w:fill="auto"/>
            <w:noWrap/>
            <w:vAlign w:val="bottom"/>
          </w:tcPr>
          <w:p w14:paraId="48DE5B3E" w14:textId="77777777" w:rsidR="00D158F0" w:rsidRPr="00BF5D37" w:rsidRDefault="00D158F0" w:rsidP="00D15CE2">
            <w:pPr>
              <w:jc w:val="right"/>
              <w:rPr>
                <w:rFonts w:ascii="Arial" w:hAnsi="Arial" w:cs="Arial"/>
                <w:b/>
                <w:bCs/>
                <w:sz w:val="17"/>
                <w:szCs w:val="17"/>
              </w:rPr>
            </w:pPr>
            <w:r>
              <w:rPr>
                <w:rFonts w:ascii="Arial" w:hAnsi="Arial" w:cs="Arial"/>
                <w:b/>
                <w:bCs/>
                <w:sz w:val="17"/>
                <w:szCs w:val="17"/>
              </w:rPr>
              <w:t>195</w:t>
            </w:r>
          </w:p>
        </w:tc>
        <w:tc>
          <w:tcPr>
            <w:tcW w:w="994" w:type="dxa"/>
            <w:tcBorders>
              <w:top w:val="single" w:sz="4" w:space="0" w:color="auto"/>
              <w:left w:val="nil"/>
              <w:bottom w:val="single" w:sz="12" w:space="0" w:color="auto"/>
              <w:right w:val="nil"/>
            </w:tcBorders>
            <w:shd w:val="clear" w:color="auto" w:fill="auto"/>
            <w:noWrap/>
            <w:vAlign w:val="bottom"/>
          </w:tcPr>
          <w:p w14:paraId="155F3431" w14:textId="77777777" w:rsidR="00D158F0" w:rsidRPr="00C855D7" w:rsidRDefault="00D158F0" w:rsidP="00D15CE2">
            <w:pPr>
              <w:jc w:val="right"/>
              <w:rPr>
                <w:rFonts w:ascii="Arial" w:hAnsi="Arial" w:cs="Arial"/>
                <w:b/>
                <w:bCs/>
                <w:sz w:val="17"/>
                <w:szCs w:val="17"/>
              </w:rPr>
            </w:pPr>
            <w:r w:rsidRPr="00267853">
              <w:rPr>
                <w:rFonts w:ascii="Arial" w:hAnsi="Arial" w:cs="Arial"/>
                <w:b/>
                <w:bCs/>
                <w:sz w:val="17"/>
                <w:szCs w:val="17"/>
              </w:rPr>
              <w:t>221.093</w:t>
            </w:r>
          </w:p>
        </w:tc>
      </w:tr>
    </w:tbl>
    <w:p w14:paraId="1AE5DCE6" w14:textId="77777777" w:rsidR="001B247D" w:rsidRPr="006A263A" w:rsidRDefault="001B247D" w:rsidP="001B247D">
      <w:pPr>
        <w:suppressAutoHyphens/>
        <w:autoSpaceDN w:val="0"/>
        <w:jc w:val="both"/>
        <w:outlineLvl w:val="0"/>
        <w:rPr>
          <w:rFonts w:ascii="Arial" w:eastAsia="Times New Roman" w:hAnsi="Arial" w:cs="Arial"/>
          <w:b/>
          <w:bCs/>
          <w:color w:val="000000" w:themeColor="text1"/>
          <w:sz w:val="20"/>
          <w:szCs w:val="20"/>
        </w:rPr>
      </w:pPr>
    </w:p>
    <w:p w14:paraId="7F58159A" w14:textId="77777777" w:rsidR="001B247D" w:rsidRPr="003D1614" w:rsidRDefault="001B247D" w:rsidP="001B247D">
      <w:pPr>
        <w:suppressAutoHyphens/>
        <w:autoSpaceDN w:val="0"/>
        <w:jc w:val="both"/>
        <w:outlineLvl w:val="0"/>
        <w:rPr>
          <w:rFonts w:ascii="Arial" w:eastAsia="Times New Roman" w:hAnsi="Arial" w:cs="Arial"/>
          <w:b/>
          <w:bCs/>
          <w:color w:val="000000" w:themeColor="text1"/>
          <w:sz w:val="20"/>
          <w:szCs w:val="20"/>
        </w:rPr>
      </w:pPr>
    </w:p>
    <w:p w14:paraId="7141C208" w14:textId="77777777" w:rsidR="001B247D" w:rsidRPr="003D1614" w:rsidRDefault="001B247D" w:rsidP="001B247D">
      <w:pPr>
        <w:suppressAutoHyphens/>
        <w:autoSpaceDN w:val="0"/>
        <w:jc w:val="both"/>
        <w:outlineLvl w:val="0"/>
        <w:rPr>
          <w:rFonts w:ascii="Arial" w:eastAsia="Calibri" w:hAnsi="Arial" w:cs="Arial"/>
          <w:bCs/>
          <w:color w:val="000000" w:themeColor="text1"/>
          <w:sz w:val="20"/>
          <w:szCs w:val="20"/>
        </w:rPr>
      </w:pPr>
      <w:r w:rsidRPr="003D1614">
        <w:rPr>
          <w:rFonts w:ascii="Arial" w:eastAsia="Calibri" w:hAnsi="Arial" w:cs="Arial"/>
          <w:bCs/>
          <w:color w:val="000000" w:themeColor="text1"/>
          <w:sz w:val="20"/>
          <w:szCs w:val="20"/>
        </w:rPr>
        <w:t>Promjene na rezerviranjima za kreditne gubitke po financijskoj imovini po fer vrijednosti kroz ostalu sveobuhvatnu dobit, a koji ne umanjuju knjigovodstvenu vrijednost imovine, mogu se prikazati kako slijedi:</w:t>
      </w:r>
    </w:p>
    <w:p w14:paraId="02BDAE50" w14:textId="77777777" w:rsidR="001B247D" w:rsidRPr="003D1614" w:rsidRDefault="001B247D" w:rsidP="001B247D">
      <w:pPr>
        <w:suppressAutoHyphens/>
        <w:autoSpaceDN w:val="0"/>
        <w:jc w:val="both"/>
        <w:outlineLvl w:val="0"/>
        <w:rPr>
          <w:rFonts w:ascii="Arial" w:eastAsia="Times New Roman" w:hAnsi="Arial" w:cs="Arial"/>
          <w:b/>
          <w:bCs/>
          <w:color w:val="000000" w:themeColor="text1"/>
          <w:sz w:val="20"/>
          <w:szCs w:val="20"/>
        </w:rPr>
      </w:pPr>
    </w:p>
    <w:tbl>
      <w:tblPr>
        <w:tblW w:w="9584" w:type="dxa"/>
        <w:tblInd w:w="-142" w:type="dxa"/>
        <w:tblLook w:val="04A0" w:firstRow="1" w:lastRow="0" w:firstColumn="1" w:lastColumn="0" w:noHBand="0" w:noVBand="1"/>
      </w:tblPr>
      <w:tblGrid>
        <w:gridCol w:w="4820"/>
        <w:gridCol w:w="1191"/>
        <w:gridCol w:w="1191"/>
        <w:gridCol w:w="1191"/>
        <w:gridCol w:w="1191"/>
      </w:tblGrid>
      <w:tr w:rsidR="001B247D" w:rsidRPr="0073449B" w14:paraId="702124F5" w14:textId="77777777" w:rsidTr="0073449B">
        <w:trPr>
          <w:trHeight w:val="243"/>
        </w:trPr>
        <w:tc>
          <w:tcPr>
            <w:tcW w:w="4820" w:type="dxa"/>
            <w:tcBorders>
              <w:top w:val="nil"/>
              <w:left w:val="nil"/>
              <w:bottom w:val="nil"/>
              <w:right w:val="nil"/>
            </w:tcBorders>
            <w:shd w:val="clear" w:color="auto" w:fill="auto"/>
            <w:noWrap/>
            <w:vAlign w:val="bottom"/>
            <w:hideMark/>
          </w:tcPr>
          <w:p w14:paraId="41D4DADA" w14:textId="77777777" w:rsidR="001B247D" w:rsidRPr="0073449B" w:rsidRDefault="001B247D" w:rsidP="001B247D">
            <w:pPr>
              <w:suppressAutoHyphens/>
              <w:autoSpaceDN w:val="0"/>
              <w:rPr>
                <w:rFonts w:ascii="Arial" w:eastAsia="Calibri" w:hAnsi="Arial" w:cs="Arial"/>
                <w:color w:val="000000" w:themeColor="text1"/>
                <w:sz w:val="19"/>
                <w:szCs w:val="19"/>
              </w:rPr>
            </w:pPr>
          </w:p>
        </w:tc>
        <w:tc>
          <w:tcPr>
            <w:tcW w:w="2382" w:type="dxa"/>
            <w:gridSpan w:val="2"/>
            <w:tcBorders>
              <w:top w:val="nil"/>
              <w:left w:val="nil"/>
              <w:bottom w:val="nil"/>
              <w:right w:val="nil"/>
            </w:tcBorders>
            <w:shd w:val="clear" w:color="auto" w:fill="auto"/>
            <w:vAlign w:val="bottom"/>
            <w:hideMark/>
          </w:tcPr>
          <w:p w14:paraId="1DDCA1FC" w14:textId="77777777" w:rsidR="001B247D" w:rsidRPr="0073449B" w:rsidRDefault="001B247D" w:rsidP="001B247D">
            <w:pPr>
              <w:suppressAutoHyphens/>
              <w:autoSpaceDN w:val="0"/>
              <w:jc w:val="right"/>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Grupa</w:t>
            </w:r>
          </w:p>
        </w:tc>
        <w:tc>
          <w:tcPr>
            <w:tcW w:w="2382" w:type="dxa"/>
            <w:gridSpan w:val="2"/>
            <w:tcBorders>
              <w:top w:val="nil"/>
              <w:left w:val="nil"/>
              <w:bottom w:val="nil"/>
              <w:right w:val="nil"/>
            </w:tcBorders>
            <w:shd w:val="clear" w:color="auto" w:fill="auto"/>
            <w:vAlign w:val="bottom"/>
            <w:hideMark/>
          </w:tcPr>
          <w:p w14:paraId="343F0149" w14:textId="77777777" w:rsidR="001B247D" w:rsidRPr="0073449B" w:rsidRDefault="001B247D" w:rsidP="001B247D">
            <w:pPr>
              <w:suppressAutoHyphens/>
              <w:autoSpaceDN w:val="0"/>
              <w:jc w:val="right"/>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Banka</w:t>
            </w:r>
          </w:p>
        </w:tc>
      </w:tr>
      <w:tr w:rsidR="001B247D" w:rsidRPr="0073449B" w14:paraId="1C1442C1" w14:textId="77777777" w:rsidTr="0073449B">
        <w:trPr>
          <w:trHeight w:val="243"/>
        </w:trPr>
        <w:tc>
          <w:tcPr>
            <w:tcW w:w="4820" w:type="dxa"/>
            <w:tcBorders>
              <w:top w:val="nil"/>
              <w:left w:val="nil"/>
              <w:bottom w:val="nil"/>
              <w:right w:val="nil"/>
            </w:tcBorders>
            <w:shd w:val="clear" w:color="auto" w:fill="auto"/>
            <w:noWrap/>
            <w:vAlign w:val="bottom"/>
          </w:tcPr>
          <w:p w14:paraId="4293CA3B" w14:textId="77777777" w:rsidR="001B247D" w:rsidRPr="0073449B" w:rsidRDefault="001B247D" w:rsidP="001B247D">
            <w:pPr>
              <w:suppressAutoHyphens/>
              <w:autoSpaceDN w:val="0"/>
              <w:rPr>
                <w:rFonts w:ascii="Arial" w:eastAsia="Calibri" w:hAnsi="Arial" w:cs="Arial"/>
                <w:color w:val="000000" w:themeColor="text1"/>
                <w:sz w:val="19"/>
                <w:szCs w:val="19"/>
              </w:rPr>
            </w:pPr>
          </w:p>
        </w:tc>
        <w:tc>
          <w:tcPr>
            <w:tcW w:w="1191" w:type="dxa"/>
            <w:vAlign w:val="bottom"/>
          </w:tcPr>
          <w:p w14:paraId="3AC223C2" w14:textId="2B9F3D5F"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408" w:name="_Toc67328152"/>
            <w:r w:rsidRPr="0073449B">
              <w:rPr>
                <w:rFonts w:ascii="Arial" w:eastAsia="Times New Roman" w:hAnsi="Arial" w:cs="Arial"/>
                <w:b/>
                <w:color w:val="000000" w:themeColor="text1"/>
                <w:sz w:val="19"/>
                <w:szCs w:val="19"/>
              </w:rPr>
              <w:t>1.1.-31.</w:t>
            </w:r>
            <w:r w:rsidR="008B13B1" w:rsidRPr="0073449B">
              <w:rPr>
                <w:rFonts w:ascii="Arial" w:eastAsia="Times New Roman" w:hAnsi="Arial" w:cs="Arial"/>
                <w:b/>
                <w:color w:val="000000" w:themeColor="text1"/>
                <w:sz w:val="19"/>
                <w:szCs w:val="19"/>
              </w:rPr>
              <w:t>3</w:t>
            </w:r>
            <w:r w:rsidRPr="0073449B">
              <w:rPr>
                <w:rFonts w:ascii="Arial" w:eastAsia="Times New Roman" w:hAnsi="Arial" w:cs="Arial"/>
                <w:b/>
                <w:color w:val="000000" w:themeColor="text1"/>
                <w:sz w:val="19"/>
                <w:szCs w:val="19"/>
              </w:rPr>
              <w:t>.</w:t>
            </w:r>
            <w:bookmarkEnd w:id="408"/>
          </w:p>
          <w:p w14:paraId="44E299A6" w14:textId="212F83FB"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409" w:name="_Toc67328153"/>
            <w:r w:rsidRPr="0073449B">
              <w:rPr>
                <w:rFonts w:ascii="Arial" w:eastAsia="Times New Roman" w:hAnsi="Arial" w:cs="Arial"/>
                <w:b/>
                <w:color w:val="000000" w:themeColor="text1"/>
                <w:sz w:val="19"/>
                <w:szCs w:val="19"/>
              </w:rPr>
              <w:t>202</w:t>
            </w:r>
            <w:r w:rsidR="00D158F0">
              <w:rPr>
                <w:rFonts w:ascii="Arial" w:eastAsia="Times New Roman" w:hAnsi="Arial" w:cs="Arial"/>
                <w:b/>
                <w:color w:val="000000" w:themeColor="text1"/>
                <w:sz w:val="19"/>
                <w:szCs w:val="19"/>
              </w:rPr>
              <w:t>4</w:t>
            </w:r>
            <w:r w:rsidRPr="0073449B">
              <w:rPr>
                <w:rFonts w:ascii="Arial" w:eastAsia="Times New Roman" w:hAnsi="Arial" w:cs="Arial"/>
                <w:b/>
                <w:color w:val="000000" w:themeColor="text1"/>
                <w:sz w:val="19"/>
                <w:szCs w:val="19"/>
              </w:rPr>
              <w:t>.</w:t>
            </w:r>
            <w:bookmarkEnd w:id="409"/>
          </w:p>
        </w:tc>
        <w:tc>
          <w:tcPr>
            <w:tcW w:w="1191" w:type="dxa"/>
            <w:vAlign w:val="bottom"/>
          </w:tcPr>
          <w:p w14:paraId="442D5CC8" w14:textId="77777777"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410" w:name="_Toc67328154"/>
            <w:r w:rsidRPr="0073449B">
              <w:rPr>
                <w:rFonts w:ascii="Arial" w:eastAsia="Times New Roman" w:hAnsi="Arial" w:cs="Arial"/>
                <w:b/>
                <w:color w:val="000000" w:themeColor="text1"/>
                <w:sz w:val="19"/>
                <w:szCs w:val="19"/>
              </w:rPr>
              <w:t>1.1.-31.12.</w:t>
            </w:r>
            <w:bookmarkEnd w:id="410"/>
          </w:p>
          <w:p w14:paraId="1B4D3894" w14:textId="1E214AD2"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411" w:name="_Toc67328155"/>
            <w:r w:rsidRPr="0073449B">
              <w:rPr>
                <w:rFonts w:ascii="Arial" w:eastAsia="Times New Roman" w:hAnsi="Arial" w:cs="Arial"/>
                <w:b/>
                <w:color w:val="000000" w:themeColor="text1"/>
                <w:sz w:val="19"/>
                <w:szCs w:val="19"/>
              </w:rPr>
              <w:t>202</w:t>
            </w:r>
            <w:r w:rsidR="00D158F0">
              <w:rPr>
                <w:rFonts w:ascii="Arial" w:eastAsia="Times New Roman" w:hAnsi="Arial" w:cs="Arial"/>
                <w:b/>
                <w:color w:val="000000" w:themeColor="text1"/>
                <w:sz w:val="19"/>
                <w:szCs w:val="19"/>
              </w:rPr>
              <w:t>3</w:t>
            </w:r>
            <w:r w:rsidRPr="0073449B">
              <w:rPr>
                <w:rFonts w:ascii="Arial" w:eastAsia="Times New Roman" w:hAnsi="Arial" w:cs="Arial"/>
                <w:b/>
                <w:color w:val="000000" w:themeColor="text1"/>
                <w:sz w:val="19"/>
                <w:szCs w:val="19"/>
              </w:rPr>
              <w:t>.</w:t>
            </w:r>
            <w:bookmarkEnd w:id="411"/>
          </w:p>
        </w:tc>
        <w:tc>
          <w:tcPr>
            <w:tcW w:w="1191" w:type="dxa"/>
            <w:vAlign w:val="bottom"/>
          </w:tcPr>
          <w:p w14:paraId="7C804A06" w14:textId="6F7FE0BF"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412" w:name="_Toc67328156"/>
            <w:r w:rsidRPr="0073449B">
              <w:rPr>
                <w:rFonts w:ascii="Arial" w:eastAsia="Times New Roman" w:hAnsi="Arial" w:cs="Arial"/>
                <w:b/>
                <w:color w:val="000000" w:themeColor="text1"/>
                <w:sz w:val="19"/>
                <w:szCs w:val="19"/>
              </w:rPr>
              <w:t>1.1.-31.</w:t>
            </w:r>
            <w:r w:rsidR="008B13B1" w:rsidRPr="0073449B">
              <w:rPr>
                <w:rFonts w:ascii="Arial" w:eastAsia="Times New Roman" w:hAnsi="Arial" w:cs="Arial"/>
                <w:b/>
                <w:color w:val="000000" w:themeColor="text1"/>
                <w:sz w:val="19"/>
                <w:szCs w:val="19"/>
              </w:rPr>
              <w:t>3</w:t>
            </w:r>
            <w:r w:rsidRPr="0073449B">
              <w:rPr>
                <w:rFonts w:ascii="Arial" w:eastAsia="Times New Roman" w:hAnsi="Arial" w:cs="Arial"/>
                <w:b/>
                <w:color w:val="000000" w:themeColor="text1"/>
                <w:sz w:val="19"/>
                <w:szCs w:val="19"/>
              </w:rPr>
              <w:t>.</w:t>
            </w:r>
            <w:bookmarkEnd w:id="412"/>
          </w:p>
          <w:p w14:paraId="60A4B43A" w14:textId="7304E227"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413" w:name="_Toc67328157"/>
            <w:r w:rsidRPr="0073449B">
              <w:rPr>
                <w:rFonts w:ascii="Arial" w:eastAsia="Times New Roman" w:hAnsi="Arial" w:cs="Arial"/>
                <w:b/>
                <w:color w:val="000000" w:themeColor="text1"/>
                <w:sz w:val="19"/>
                <w:szCs w:val="19"/>
              </w:rPr>
              <w:t>202</w:t>
            </w:r>
            <w:r w:rsidR="00D158F0">
              <w:rPr>
                <w:rFonts w:ascii="Arial" w:eastAsia="Times New Roman" w:hAnsi="Arial" w:cs="Arial"/>
                <w:b/>
                <w:color w:val="000000" w:themeColor="text1"/>
                <w:sz w:val="19"/>
                <w:szCs w:val="19"/>
              </w:rPr>
              <w:t>4</w:t>
            </w:r>
            <w:r w:rsidRPr="0073449B">
              <w:rPr>
                <w:rFonts w:ascii="Arial" w:eastAsia="Times New Roman" w:hAnsi="Arial" w:cs="Arial"/>
                <w:b/>
                <w:color w:val="000000" w:themeColor="text1"/>
                <w:sz w:val="19"/>
                <w:szCs w:val="19"/>
              </w:rPr>
              <w:t>.</w:t>
            </w:r>
            <w:bookmarkEnd w:id="413"/>
          </w:p>
        </w:tc>
        <w:tc>
          <w:tcPr>
            <w:tcW w:w="1191" w:type="dxa"/>
            <w:vAlign w:val="bottom"/>
          </w:tcPr>
          <w:p w14:paraId="29A2EC37" w14:textId="77777777"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414" w:name="_Toc67328158"/>
            <w:r w:rsidRPr="0073449B">
              <w:rPr>
                <w:rFonts w:ascii="Arial" w:eastAsia="Times New Roman" w:hAnsi="Arial" w:cs="Arial"/>
                <w:b/>
                <w:color w:val="000000" w:themeColor="text1"/>
                <w:sz w:val="19"/>
                <w:szCs w:val="19"/>
              </w:rPr>
              <w:t>1.1.-31.12.</w:t>
            </w:r>
            <w:bookmarkEnd w:id="414"/>
          </w:p>
          <w:p w14:paraId="6A4CB6F8" w14:textId="15302366" w:rsidR="001B247D" w:rsidRPr="0073449B" w:rsidRDefault="001B247D" w:rsidP="001B247D">
            <w:pPr>
              <w:tabs>
                <w:tab w:val="right" w:pos="1202"/>
              </w:tabs>
              <w:suppressAutoHyphens/>
              <w:autoSpaceDN w:val="0"/>
              <w:jc w:val="right"/>
              <w:outlineLvl w:val="0"/>
              <w:rPr>
                <w:rFonts w:ascii="Arial" w:eastAsia="Times New Roman" w:hAnsi="Arial" w:cs="Arial"/>
                <w:b/>
                <w:color w:val="000000" w:themeColor="text1"/>
                <w:sz w:val="19"/>
                <w:szCs w:val="19"/>
              </w:rPr>
            </w:pPr>
            <w:bookmarkStart w:id="415" w:name="_Toc67328159"/>
            <w:r w:rsidRPr="0073449B">
              <w:rPr>
                <w:rFonts w:ascii="Arial" w:eastAsia="Times New Roman" w:hAnsi="Arial" w:cs="Arial"/>
                <w:b/>
                <w:color w:val="000000" w:themeColor="text1"/>
                <w:sz w:val="19"/>
                <w:szCs w:val="19"/>
              </w:rPr>
              <w:t>202</w:t>
            </w:r>
            <w:r w:rsidR="00D158F0">
              <w:rPr>
                <w:rFonts w:ascii="Arial" w:eastAsia="Times New Roman" w:hAnsi="Arial" w:cs="Arial"/>
                <w:b/>
                <w:color w:val="000000" w:themeColor="text1"/>
                <w:sz w:val="19"/>
                <w:szCs w:val="19"/>
              </w:rPr>
              <w:t>3</w:t>
            </w:r>
            <w:r w:rsidRPr="0073449B">
              <w:rPr>
                <w:rFonts w:ascii="Arial" w:eastAsia="Times New Roman" w:hAnsi="Arial" w:cs="Arial"/>
                <w:b/>
                <w:color w:val="000000" w:themeColor="text1"/>
                <w:sz w:val="19"/>
                <w:szCs w:val="19"/>
              </w:rPr>
              <w:t>.</w:t>
            </w:r>
            <w:bookmarkEnd w:id="415"/>
          </w:p>
        </w:tc>
      </w:tr>
      <w:tr w:rsidR="001B247D" w:rsidRPr="0073449B" w14:paraId="700B2C1B" w14:textId="77777777" w:rsidTr="0073449B">
        <w:trPr>
          <w:trHeight w:val="231"/>
        </w:trPr>
        <w:tc>
          <w:tcPr>
            <w:tcW w:w="4820" w:type="dxa"/>
            <w:tcBorders>
              <w:top w:val="nil"/>
              <w:left w:val="nil"/>
              <w:bottom w:val="nil"/>
              <w:right w:val="nil"/>
            </w:tcBorders>
            <w:shd w:val="clear" w:color="auto" w:fill="auto"/>
            <w:vAlign w:val="bottom"/>
            <w:hideMark/>
          </w:tcPr>
          <w:p w14:paraId="5051A6DA" w14:textId="77777777" w:rsidR="001B247D" w:rsidRPr="0073449B" w:rsidRDefault="001B247D" w:rsidP="001B247D">
            <w:pPr>
              <w:suppressAutoHyphens/>
              <w:autoSpaceDN w:val="0"/>
              <w:jc w:val="right"/>
              <w:rPr>
                <w:rFonts w:ascii="Arial" w:eastAsia="Calibri" w:hAnsi="Arial" w:cs="Arial"/>
                <w:b/>
                <w:bCs/>
                <w:color w:val="000000" w:themeColor="text1"/>
                <w:sz w:val="19"/>
                <w:szCs w:val="19"/>
              </w:rPr>
            </w:pPr>
          </w:p>
        </w:tc>
        <w:tc>
          <w:tcPr>
            <w:tcW w:w="1191" w:type="dxa"/>
            <w:tcBorders>
              <w:top w:val="nil"/>
              <w:left w:val="nil"/>
              <w:bottom w:val="nil"/>
              <w:right w:val="nil"/>
            </w:tcBorders>
            <w:shd w:val="clear" w:color="auto" w:fill="auto"/>
            <w:vAlign w:val="bottom"/>
            <w:hideMark/>
          </w:tcPr>
          <w:p w14:paraId="677AD0A2" w14:textId="15BD9B21" w:rsidR="001B247D" w:rsidRPr="0073449B" w:rsidRDefault="001B247D" w:rsidP="001B247D">
            <w:pPr>
              <w:suppressAutoHyphens/>
              <w:autoSpaceDN w:val="0"/>
              <w:jc w:val="right"/>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000 eura</w:t>
            </w:r>
          </w:p>
        </w:tc>
        <w:tc>
          <w:tcPr>
            <w:tcW w:w="1191" w:type="dxa"/>
            <w:tcBorders>
              <w:top w:val="nil"/>
              <w:left w:val="nil"/>
              <w:bottom w:val="nil"/>
              <w:right w:val="nil"/>
            </w:tcBorders>
            <w:shd w:val="clear" w:color="auto" w:fill="auto"/>
            <w:vAlign w:val="bottom"/>
          </w:tcPr>
          <w:p w14:paraId="6DA2D614" w14:textId="40399794" w:rsidR="001B247D" w:rsidRPr="0073449B" w:rsidRDefault="001B247D" w:rsidP="001B247D">
            <w:pPr>
              <w:suppressAutoHyphens/>
              <w:autoSpaceDN w:val="0"/>
              <w:jc w:val="right"/>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000 eura</w:t>
            </w:r>
          </w:p>
        </w:tc>
        <w:tc>
          <w:tcPr>
            <w:tcW w:w="1191" w:type="dxa"/>
            <w:tcBorders>
              <w:top w:val="nil"/>
              <w:left w:val="nil"/>
              <w:bottom w:val="nil"/>
              <w:right w:val="nil"/>
            </w:tcBorders>
            <w:shd w:val="clear" w:color="auto" w:fill="auto"/>
            <w:vAlign w:val="bottom"/>
            <w:hideMark/>
          </w:tcPr>
          <w:p w14:paraId="1AFBA771" w14:textId="41D1460E" w:rsidR="001B247D" w:rsidRPr="0073449B" w:rsidRDefault="001B247D" w:rsidP="001B247D">
            <w:pPr>
              <w:suppressAutoHyphens/>
              <w:autoSpaceDN w:val="0"/>
              <w:jc w:val="right"/>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000 eura</w:t>
            </w:r>
          </w:p>
        </w:tc>
        <w:tc>
          <w:tcPr>
            <w:tcW w:w="1191" w:type="dxa"/>
            <w:tcBorders>
              <w:top w:val="nil"/>
              <w:left w:val="nil"/>
              <w:bottom w:val="nil"/>
              <w:right w:val="nil"/>
            </w:tcBorders>
            <w:shd w:val="clear" w:color="auto" w:fill="auto"/>
            <w:vAlign w:val="bottom"/>
          </w:tcPr>
          <w:p w14:paraId="43535C5D" w14:textId="0D6BCE16" w:rsidR="001B247D" w:rsidRPr="0073449B" w:rsidRDefault="001B247D" w:rsidP="001B247D">
            <w:pPr>
              <w:suppressAutoHyphens/>
              <w:autoSpaceDN w:val="0"/>
              <w:jc w:val="right"/>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000 eura</w:t>
            </w:r>
          </w:p>
        </w:tc>
      </w:tr>
      <w:tr w:rsidR="00A33054" w:rsidRPr="0073449B" w14:paraId="12B19120" w14:textId="77777777" w:rsidTr="0073449B">
        <w:trPr>
          <w:trHeight w:val="379"/>
        </w:trPr>
        <w:tc>
          <w:tcPr>
            <w:tcW w:w="4820" w:type="dxa"/>
            <w:tcBorders>
              <w:top w:val="nil"/>
              <w:left w:val="nil"/>
              <w:bottom w:val="nil"/>
              <w:right w:val="nil"/>
            </w:tcBorders>
            <w:shd w:val="clear" w:color="auto" w:fill="auto"/>
            <w:vAlign w:val="bottom"/>
          </w:tcPr>
          <w:p w14:paraId="77A7FD38" w14:textId="77777777" w:rsidR="00A33054" w:rsidRPr="0073449B" w:rsidRDefault="00A33054" w:rsidP="00A33054">
            <w:pPr>
              <w:suppressAutoHyphens/>
              <w:autoSpaceDN w:val="0"/>
              <w:rPr>
                <w:rFonts w:ascii="Arial" w:eastAsia="Calibri" w:hAnsi="Arial" w:cs="Arial"/>
                <w:color w:val="000000" w:themeColor="text1"/>
                <w:sz w:val="19"/>
                <w:szCs w:val="19"/>
              </w:rPr>
            </w:pPr>
            <w:r w:rsidRPr="0073449B">
              <w:rPr>
                <w:rFonts w:ascii="Arial" w:eastAsia="Calibri" w:hAnsi="Arial" w:cs="Arial"/>
                <w:color w:val="000000" w:themeColor="text1"/>
                <w:sz w:val="19"/>
                <w:szCs w:val="19"/>
              </w:rPr>
              <w:t>Stanje 1. siječnja</w:t>
            </w:r>
          </w:p>
        </w:tc>
        <w:tc>
          <w:tcPr>
            <w:tcW w:w="1191" w:type="dxa"/>
            <w:tcBorders>
              <w:top w:val="nil"/>
              <w:left w:val="nil"/>
              <w:bottom w:val="nil"/>
              <w:right w:val="nil"/>
            </w:tcBorders>
            <w:shd w:val="clear" w:color="auto" w:fill="auto"/>
            <w:noWrap/>
            <w:vAlign w:val="bottom"/>
          </w:tcPr>
          <w:p w14:paraId="02AA3F77" w14:textId="126D5842" w:rsidR="00A33054" w:rsidRPr="0073449B" w:rsidRDefault="003B5439" w:rsidP="00A33054">
            <w:pPr>
              <w:suppressAutoHyphens/>
              <w:autoSpaceDN w:val="0"/>
              <w:jc w:val="right"/>
              <w:rPr>
                <w:rFonts w:ascii="Arial" w:eastAsia="Calibri" w:hAnsi="Arial" w:cs="Arial"/>
                <w:color w:val="000000" w:themeColor="text1"/>
                <w:sz w:val="19"/>
                <w:szCs w:val="19"/>
              </w:rPr>
            </w:pPr>
            <w:r w:rsidRPr="003B5439">
              <w:rPr>
                <w:rFonts w:ascii="Arial" w:eastAsia="Calibri" w:hAnsi="Arial" w:cs="Arial"/>
                <w:color w:val="000000" w:themeColor="text1"/>
                <w:sz w:val="19"/>
                <w:szCs w:val="19"/>
              </w:rPr>
              <w:t>454</w:t>
            </w:r>
          </w:p>
        </w:tc>
        <w:tc>
          <w:tcPr>
            <w:tcW w:w="1191" w:type="dxa"/>
            <w:tcBorders>
              <w:top w:val="nil"/>
              <w:left w:val="nil"/>
              <w:bottom w:val="nil"/>
              <w:right w:val="nil"/>
            </w:tcBorders>
            <w:shd w:val="clear" w:color="auto" w:fill="auto"/>
            <w:vAlign w:val="bottom"/>
          </w:tcPr>
          <w:p w14:paraId="58515DEB" w14:textId="4E69D552" w:rsidR="00A33054" w:rsidRPr="0073449B" w:rsidRDefault="00A33054" w:rsidP="00A33054">
            <w:pPr>
              <w:suppressAutoHyphens/>
              <w:autoSpaceDN w:val="0"/>
              <w:jc w:val="right"/>
              <w:rPr>
                <w:rFonts w:ascii="Arial" w:eastAsia="Calibri" w:hAnsi="Arial" w:cs="Arial"/>
                <w:color w:val="000000" w:themeColor="text1"/>
                <w:sz w:val="19"/>
                <w:szCs w:val="19"/>
              </w:rPr>
            </w:pPr>
            <w:r>
              <w:rPr>
                <w:rFonts w:ascii="Arial" w:eastAsia="Calibri" w:hAnsi="Arial" w:cs="Arial"/>
                <w:color w:val="000000" w:themeColor="text1"/>
                <w:sz w:val="19"/>
                <w:szCs w:val="19"/>
              </w:rPr>
              <w:t>618</w:t>
            </w:r>
          </w:p>
        </w:tc>
        <w:tc>
          <w:tcPr>
            <w:tcW w:w="1191" w:type="dxa"/>
            <w:tcBorders>
              <w:top w:val="nil"/>
              <w:left w:val="nil"/>
              <w:bottom w:val="nil"/>
              <w:right w:val="nil"/>
            </w:tcBorders>
            <w:shd w:val="clear" w:color="auto" w:fill="auto"/>
            <w:vAlign w:val="bottom"/>
          </w:tcPr>
          <w:p w14:paraId="448CE839" w14:textId="22FD9543" w:rsidR="00A33054" w:rsidRPr="0073449B" w:rsidRDefault="00484DB0" w:rsidP="00A33054">
            <w:pPr>
              <w:suppressAutoHyphens/>
              <w:autoSpaceDN w:val="0"/>
              <w:jc w:val="right"/>
              <w:rPr>
                <w:rFonts w:ascii="Arial" w:eastAsia="Calibri" w:hAnsi="Arial" w:cs="Arial"/>
                <w:color w:val="000000" w:themeColor="text1"/>
                <w:sz w:val="19"/>
                <w:szCs w:val="19"/>
              </w:rPr>
            </w:pPr>
            <w:r>
              <w:rPr>
                <w:rFonts w:ascii="Arial" w:eastAsia="Calibri" w:hAnsi="Arial" w:cs="Arial"/>
                <w:color w:val="000000" w:themeColor="text1"/>
                <w:sz w:val="19"/>
                <w:szCs w:val="19"/>
              </w:rPr>
              <w:t>442</w:t>
            </w:r>
          </w:p>
        </w:tc>
        <w:tc>
          <w:tcPr>
            <w:tcW w:w="1191" w:type="dxa"/>
            <w:tcBorders>
              <w:top w:val="nil"/>
              <w:left w:val="nil"/>
              <w:bottom w:val="nil"/>
              <w:right w:val="nil"/>
            </w:tcBorders>
            <w:shd w:val="clear" w:color="auto" w:fill="auto"/>
            <w:vAlign w:val="bottom"/>
          </w:tcPr>
          <w:p w14:paraId="6CB5BA1B" w14:textId="2C2A471A" w:rsidR="00A33054" w:rsidRPr="0073449B" w:rsidRDefault="00A33054" w:rsidP="00A33054">
            <w:pPr>
              <w:suppressAutoHyphens/>
              <w:autoSpaceDN w:val="0"/>
              <w:jc w:val="right"/>
              <w:rPr>
                <w:rFonts w:ascii="Arial" w:eastAsia="Calibri" w:hAnsi="Arial" w:cs="Arial"/>
                <w:color w:val="000000" w:themeColor="text1"/>
                <w:sz w:val="19"/>
                <w:szCs w:val="19"/>
              </w:rPr>
            </w:pPr>
            <w:r>
              <w:rPr>
                <w:rFonts w:ascii="Arial" w:eastAsia="Calibri" w:hAnsi="Arial" w:cs="Arial"/>
                <w:color w:val="000000" w:themeColor="text1"/>
                <w:sz w:val="19"/>
                <w:szCs w:val="19"/>
              </w:rPr>
              <w:t>606</w:t>
            </w:r>
          </w:p>
        </w:tc>
      </w:tr>
      <w:tr w:rsidR="00A33054" w:rsidRPr="0073449B" w14:paraId="634B4B23" w14:textId="77777777" w:rsidTr="00AD70CE">
        <w:trPr>
          <w:trHeight w:val="379"/>
        </w:trPr>
        <w:tc>
          <w:tcPr>
            <w:tcW w:w="4820" w:type="dxa"/>
            <w:tcBorders>
              <w:top w:val="nil"/>
              <w:left w:val="nil"/>
              <w:bottom w:val="nil"/>
              <w:right w:val="nil"/>
            </w:tcBorders>
            <w:shd w:val="clear" w:color="auto" w:fill="auto"/>
            <w:vAlign w:val="bottom"/>
          </w:tcPr>
          <w:p w14:paraId="41194115" w14:textId="0F4DB1D8" w:rsidR="00A33054" w:rsidRPr="0073449B" w:rsidRDefault="00A33054" w:rsidP="00A33054">
            <w:pPr>
              <w:suppressAutoHyphens/>
              <w:autoSpaceDN w:val="0"/>
              <w:rPr>
                <w:rFonts w:ascii="Arial" w:eastAsia="Calibri" w:hAnsi="Arial" w:cs="Arial"/>
                <w:color w:val="000000" w:themeColor="text1"/>
                <w:sz w:val="19"/>
                <w:szCs w:val="19"/>
              </w:rPr>
            </w:pPr>
            <w:r w:rsidRPr="0073449B">
              <w:rPr>
                <w:rFonts w:ascii="Arial" w:eastAsia="Calibri" w:hAnsi="Arial" w:cs="Arial"/>
                <w:color w:val="000000" w:themeColor="text1"/>
                <w:sz w:val="19"/>
                <w:szCs w:val="19"/>
              </w:rPr>
              <w:t>Neto povećanje</w:t>
            </w:r>
            <w:r w:rsidR="00FD3BEC">
              <w:rPr>
                <w:rFonts w:ascii="Arial" w:eastAsia="Calibri" w:hAnsi="Arial" w:cs="Arial"/>
                <w:color w:val="000000" w:themeColor="text1"/>
                <w:sz w:val="19"/>
                <w:szCs w:val="19"/>
              </w:rPr>
              <w:t>/</w:t>
            </w:r>
            <w:r w:rsidR="00FD3BEC" w:rsidRPr="0073449B">
              <w:rPr>
                <w:rFonts w:ascii="Arial" w:eastAsia="Calibri" w:hAnsi="Arial" w:cs="Arial"/>
                <w:color w:val="000000" w:themeColor="text1"/>
                <w:sz w:val="19"/>
                <w:szCs w:val="19"/>
              </w:rPr>
              <w:t>(smanjenje)</w:t>
            </w:r>
            <w:r w:rsidRPr="0073449B">
              <w:rPr>
                <w:rFonts w:ascii="Arial" w:eastAsia="Calibri" w:hAnsi="Arial" w:cs="Arial"/>
                <w:color w:val="000000" w:themeColor="text1"/>
                <w:sz w:val="19"/>
                <w:szCs w:val="19"/>
              </w:rPr>
              <w:t xml:space="preserve"> rezerviranja za očekivane gubitke</w:t>
            </w:r>
          </w:p>
        </w:tc>
        <w:tc>
          <w:tcPr>
            <w:tcW w:w="1191" w:type="dxa"/>
            <w:tcBorders>
              <w:top w:val="nil"/>
              <w:left w:val="nil"/>
              <w:right w:val="nil"/>
            </w:tcBorders>
            <w:shd w:val="clear" w:color="auto" w:fill="auto"/>
            <w:vAlign w:val="bottom"/>
          </w:tcPr>
          <w:p w14:paraId="00E28EE9" w14:textId="27D3F833" w:rsidR="00A33054" w:rsidRPr="0073449B" w:rsidRDefault="003B5439" w:rsidP="00A33054">
            <w:pPr>
              <w:suppressAutoHyphens/>
              <w:autoSpaceDN w:val="0"/>
              <w:jc w:val="right"/>
              <w:rPr>
                <w:rFonts w:ascii="Arial" w:eastAsia="Calibri" w:hAnsi="Arial" w:cs="Arial"/>
                <w:color w:val="000000" w:themeColor="text1"/>
                <w:sz w:val="19"/>
                <w:szCs w:val="19"/>
              </w:rPr>
            </w:pPr>
            <w:r>
              <w:rPr>
                <w:rFonts w:ascii="Arial" w:eastAsia="Calibri" w:hAnsi="Arial" w:cs="Arial"/>
                <w:color w:val="000000" w:themeColor="text1"/>
                <w:sz w:val="19"/>
                <w:szCs w:val="19"/>
              </w:rPr>
              <w:t>12</w:t>
            </w:r>
          </w:p>
        </w:tc>
        <w:tc>
          <w:tcPr>
            <w:tcW w:w="1191" w:type="dxa"/>
            <w:tcBorders>
              <w:top w:val="nil"/>
              <w:left w:val="nil"/>
              <w:right w:val="nil"/>
            </w:tcBorders>
            <w:shd w:val="clear" w:color="auto" w:fill="auto"/>
            <w:vAlign w:val="bottom"/>
          </w:tcPr>
          <w:p w14:paraId="0E9130AD" w14:textId="4AD7FCEC" w:rsidR="00A33054" w:rsidRPr="0073449B" w:rsidRDefault="00A33054" w:rsidP="00A33054">
            <w:pPr>
              <w:suppressAutoHyphens/>
              <w:autoSpaceDN w:val="0"/>
              <w:jc w:val="right"/>
              <w:rPr>
                <w:rFonts w:ascii="Arial" w:eastAsia="Calibri" w:hAnsi="Arial" w:cs="Arial"/>
                <w:color w:val="000000" w:themeColor="text1"/>
                <w:sz w:val="19"/>
                <w:szCs w:val="19"/>
              </w:rPr>
            </w:pPr>
            <w:r w:rsidRPr="00AA3587">
              <w:rPr>
                <w:rFonts w:ascii="Arial" w:eastAsia="Calibri" w:hAnsi="Arial" w:cs="Arial"/>
                <w:color w:val="000000" w:themeColor="text1"/>
                <w:sz w:val="19"/>
                <w:szCs w:val="19"/>
              </w:rPr>
              <w:t>(16</w:t>
            </w:r>
            <w:r>
              <w:rPr>
                <w:rFonts w:ascii="Arial" w:eastAsia="Calibri" w:hAnsi="Arial" w:cs="Arial"/>
                <w:color w:val="000000" w:themeColor="text1"/>
                <w:sz w:val="19"/>
                <w:szCs w:val="19"/>
              </w:rPr>
              <w:t>3</w:t>
            </w:r>
            <w:r w:rsidRPr="00AA3587">
              <w:rPr>
                <w:rFonts w:ascii="Arial" w:eastAsia="Calibri" w:hAnsi="Arial" w:cs="Arial"/>
                <w:color w:val="000000" w:themeColor="text1"/>
                <w:sz w:val="19"/>
                <w:szCs w:val="19"/>
              </w:rPr>
              <w:t>)</w:t>
            </w:r>
          </w:p>
        </w:tc>
        <w:tc>
          <w:tcPr>
            <w:tcW w:w="1191" w:type="dxa"/>
            <w:tcBorders>
              <w:top w:val="nil"/>
              <w:left w:val="nil"/>
              <w:right w:val="nil"/>
            </w:tcBorders>
            <w:shd w:val="clear" w:color="auto" w:fill="auto"/>
            <w:vAlign w:val="bottom"/>
          </w:tcPr>
          <w:p w14:paraId="730520E2" w14:textId="66BD2997" w:rsidR="00A33054" w:rsidRPr="0073449B" w:rsidRDefault="002016C6" w:rsidP="00A33054">
            <w:pPr>
              <w:suppressAutoHyphens/>
              <w:autoSpaceDN w:val="0"/>
              <w:jc w:val="right"/>
              <w:rPr>
                <w:rFonts w:ascii="Arial" w:eastAsia="Calibri" w:hAnsi="Arial" w:cs="Arial"/>
                <w:color w:val="000000" w:themeColor="text1"/>
                <w:sz w:val="19"/>
                <w:szCs w:val="19"/>
              </w:rPr>
            </w:pPr>
            <w:r>
              <w:rPr>
                <w:rFonts w:ascii="Arial" w:eastAsia="Calibri" w:hAnsi="Arial" w:cs="Arial"/>
                <w:color w:val="000000" w:themeColor="text1"/>
                <w:sz w:val="19"/>
                <w:szCs w:val="19"/>
              </w:rPr>
              <w:t>12</w:t>
            </w:r>
          </w:p>
        </w:tc>
        <w:tc>
          <w:tcPr>
            <w:tcW w:w="1191" w:type="dxa"/>
            <w:tcBorders>
              <w:top w:val="nil"/>
              <w:left w:val="nil"/>
              <w:right w:val="nil"/>
            </w:tcBorders>
            <w:shd w:val="clear" w:color="auto" w:fill="auto"/>
            <w:vAlign w:val="bottom"/>
          </w:tcPr>
          <w:p w14:paraId="26CB60BF" w14:textId="48BC68D9" w:rsidR="00A33054" w:rsidRPr="0073449B" w:rsidRDefault="00A33054" w:rsidP="00A33054">
            <w:pPr>
              <w:suppressAutoHyphens/>
              <w:autoSpaceDN w:val="0"/>
              <w:jc w:val="right"/>
              <w:rPr>
                <w:rFonts w:ascii="Arial" w:eastAsia="Calibri" w:hAnsi="Arial" w:cs="Arial"/>
                <w:color w:val="000000" w:themeColor="text1"/>
                <w:sz w:val="19"/>
                <w:szCs w:val="19"/>
              </w:rPr>
            </w:pPr>
            <w:r w:rsidRPr="00104D1C">
              <w:rPr>
                <w:rFonts w:ascii="Arial" w:eastAsia="Calibri" w:hAnsi="Arial" w:cs="Arial"/>
                <w:color w:val="000000" w:themeColor="text1"/>
                <w:sz w:val="19"/>
                <w:szCs w:val="19"/>
              </w:rPr>
              <w:t>(164)</w:t>
            </w:r>
          </w:p>
        </w:tc>
      </w:tr>
      <w:tr w:rsidR="00A33054" w:rsidRPr="0073449B" w14:paraId="4695A1BE" w14:textId="77777777" w:rsidTr="0073449B">
        <w:trPr>
          <w:trHeight w:val="379"/>
        </w:trPr>
        <w:tc>
          <w:tcPr>
            <w:tcW w:w="4820" w:type="dxa"/>
            <w:tcBorders>
              <w:top w:val="nil"/>
              <w:left w:val="nil"/>
              <w:bottom w:val="nil"/>
              <w:right w:val="nil"/>
            </w:tcBorders>
            <w:shd w:val="clear" w:color="auto" w:fill="auto"/>
            <w:vAlign w:val="bottom"/>
          </w:tcPr>
          <w:p w14:paraId="5A8E700E" w14:textId="5119AD78" w:rsidR="00A33054" w:rsidRPr="00CE64B0" w:rsidRDefault="00A33054" w:rsidP="00A33054">
            <w:pPr>
              <w:suppressAutoHyphens/>
              <w:autoSpaceDN w:val="0"/>
              <w:rPr>
                <w:rFonts w:ascii="Arial" w:eastAsia="Calibri" w:hAnsi="Arial" w:cs="Arial"/>
                <w:i/>
                <w:iCs/>
                <w:color w:val="000000" w:themeColor="text1"/>
                <w:sz w:val="19"/>
                <w:szCs w:val="19"/>
              </w:rPr>
            </w:pPr>
            <w:r w:rsidRPr="00CE64B0">
              <w:rPr>
                <w:rFonts w:ascii="Arial" w:eastAsia="Calibri" w:hAnsi="Arial" w:cs="Arial"/>
                <w:i/>
                <w:iCs/>
                <w:color w:val="000000" w:themeColor="text1"/>
                <w:sz w:val="19"/>
                <w:szCs w:val="19"/>
              </w:rPr>
              <w:t>Ukupno kroz dobit ili gubitak (bilješka 8)</w:t>
            </w:r>
          </w:p>
        </w:tc>
        <w:tc>
          <w:tcPr>
            <w:tcW w:w="1191" w:type="dxa"/>
            <w:tcBorders>
              <w:top w:val="single" w:sz="4" w:space="0" w:color="auto"/>
              <w:left w:val="nil"/>
              <w:bottom w:val="single" w:sz="4" w:space="0" w:color="auto"/>
              <w:right w:val="nil"/>
            </w:tcBorders>
            <w:shd w:val="clear" w:color="auto" w:fill="auto"/>
            <w:vAlign w:val="bottom"/>
          </w:tcPr>
          <w:p w14:paraId="256DA9F8" w14:textId="46E90FC7" w:rsidR="00A33054" w:rsidRPr="001061E5" w:rsidRDefault="003B5439" w:rsidP="00A33054">
            <w:pPr>
              <w:suppressAutoHyphens/>
              <w:autoSpaceDN w:val="0"/>
              <w:jc w:val="right"/>
              <w:rPr>
                <w:rFonts w:ascii="Arial" w:eastAsia="Calibri" w:hAnsi="Arial" w:cs="Arial"/>
                <w:bCs/>
                <w:i/>
                <w:iCs/>
                <w:color w:val="000000" w:themeColor="text1"/>
                <w:sz w:val="19"/>
                <w:szCs w:val="19"/>
              </w:rPr>
            </w:pPr>
            <w:r>
              <w:rPr>
                <w:rFonts w:ascii="Arial" w:eastAsia="Calibri" w:hAnsi="Arial" w:cs="Arial"/>
                <w:bCs/>
                <w:i/>
                <w:iCs/>
                <w:color w:val="000000" w:themeColor="text1"/>
                <w:sz w:val="19"/>
                <w:szCs w:val="19"/>
              </w:rPr>
              <w:t>12</w:t>
            </w:r>
          </w:p>
        </w:tc>
        <w:tc>
          <w:tcPr>
            <w:tcW w:w="1191" w:type="dxa"/>
            <w:tcBorders>
              <w:top w:val="single" w:sz="4" w:space="0" w:color="auto"/>
              <w:left w:val="nil"/>
              <w:bottom w:val="single" w:sz="4" w:space="0" w:color="auto"/>
              <w:right w:val="nil"/>
            </w:tcBorders>
            <w:shd w:val="clear" w:color="auto" w:fill="auto"/>
            <w:vAlign w:val="bottom"/>
          </w:tcPr>
          <w:p w14:paraId="7B1E639C" w14:textId="5FD6770E" w:rsidR="00A33054" w:rsidRPr="001061E5" w:rsidRDefault="00A33054" w:rsidP="00A33054">
            <w:pPr>
              <w:suppressAutoHyphens/>
              <w:autoSpaceDN w:val="0"/>
              <w:jc w:val="right"/>
              <w:rPr>
                <w:rFonts w:ascii="Arial" w:eastAsia="Calibri" w:hAnsi="Arial" w:cs="Arial"/>
                <w:i/>
                <w:iCs/>
                <w:color w:val="000000" w:themeColor="text1"/>
                <w:sz w:val="19"/>
                <w:szCs w:val="19"/>
              </w:rPr>
            </w:pPr>
            <w:r w:rsidRPr="00AA3587">
              <w:rPr>
                <w:rFonts w:ascii="Arial" w:eastAsia="Calibri" w:hAnsi="Arial" w:cs="Arial"/>
                <w:bCs/>
                <w:i/>
                <w:color w:val="000000" w:themeColor="text1"/>
                <w:sz w:val="19"/>
                <w:szCs w:val="19"/>
              </w:rPr>
              <w:t>(16</w:t>
            </w:r>
            <w:r>
              <w:rPr>
                <w:rFonts w:ascii="Arial" w:eastAsia="Calibri" w:hAnsi="Arial" w:cs="Arial"/>
                <w:bCs/>
                <w:i/>
                <w:color w:val="000000" w:themeColor="text1"/>
                <w:sz w:val="19"/>
                <w:szCs w:val="19"/>
              </w:rPr>
              <w:t>3</w:t>
            </w:r>
            <w:r w:rsidRPr="00AA3587">
              <w:rPr>
                <w:rFonts w:ascii="Arial" w:eastAsia="Calibri" w:hAnsi="Arial" w:cs="Arial"/>
                <w:bCs/>
                <w:i/>
                <w:color w:val="000000" w:themeColor="text1"/>
                <w:sz w:val="19"/>
                <w:szCs w:val="19"/>
              </w:rPr>
              <w:t>)</w:t>
            </w:r>
          </w:p>
        </w:tc>
        <w:tc>
          <w:tcPr>
            <w:tcW w:w="1191" w:type="dxa"/>
            <w:tcBorders>
              <w:top w:val="single" w:sz="4" w:space="0" w:color="auto"/>
              <w:left w:val="nil"/>
              <w:bottom w:val="single" w:sz="4" w:space="0" w:color="auto"/>
              <w:right w:val="nil"/>
            </w:tcBorders>
            <w:shd w:val="clear" w:color="auto" w:fill="auto"/>
            <w:vAlign w:val="bottom"/>
          </w:tcPr>
          <w:p w14:paraId="57E053AD" w14:textId="36D5CF75" w:rsidR="00A33054" w:rsidRPr="0073449B" w:rsidRDefault="002016C6" w:rsidP="00A33054">
            <w:pPr>
              <w:suppressAutoHyphens/>
              <w:autoSpaceDN w:val="0"/>
              <w:jc w:val="right"/>
              <w:rPr>
                <w:rFonts w:ascii="Arial" w:eastAsia="Calibri" w:hAnsi="Arial" w:cs="Arial"/>
                <w:bCs/>
                <w:i/>
                <w:color w:val="000000" w:themeColor="text1"/>
                <w:sz w:val="19"/>
                <w:szCs w:val="19"/>
              </w:rPr>
            </w:pPr>
            <w:r>
              <w:rPr>
                <w:rFonts w:ascii="Arial" w:eastAsia="Calibri" w:hAnsi="Arial" w:cs="Arial"/>
                <w:bCs/>
                <w:i/>
                <w:color w:val="000000" w:themeColor="text1"/>
                <w:sz w:val="19"/>
                <w:szCs w:val="19"/>
              </w:rPr>
              <w:t>12</w:t>
            </w:r>
          </w:p>
        </w:tc>
        <w:tc>
          <w:tcPr>
            <w:tcW w:w="1191" w:type="dxa"/>
            <w:tcBorders>
              <w:top w:val="single" w:sz="4" w:space="0" w:color="auto"/>
              <w:left w:val="nil"/>
              <w:bottom w:val="single" w:sz="4" w:space="0" w:color="auto"/>
              <w:right w:val="nil"/>
            </w:tcBorders>
            <w:shd w:val="clear" w:color="auto" w:fill="auto"/>
            <w:vAlign w:val="bottom"/>
          </w:tcPr>
          <w:p w14:paraId="53F7055D" w14:textId="027C6F79" w:rsidR="00A33054" w:rsidRPr="0073449B" w:rsidRDefault="00A33054" w:rsidP="00A33054">
            <w:pPr>
              <w:suppressAutoHyphens/>
              <w:autoSpaceDN w:val="0"/>
              <w:jc w:val="right"/>
              <w:rPr>
                <w:rFonts w:ascii="Arial" w:eastAsia="Calibri" w:hAnsi="Arial" w:cs="Arial"/>
                <w:i/>
                <w:color w:val="000000" w:themeColor="text1"/>
                <w:sz w:val="19"/>
                <w:szCs w:val="19"/>
              </w:rPr>
            </w:pPr>
            <w:r w:rsidRPr="00104D1C">
              <w:rPr>
                <w:rFonts w:ascii="Arial" w:eastAsia="Calibri" w:hAnsi="Arial" w:cs="Arial"/>
                <w:bCs/>
                <w:i/>
                <w:color w:val="000000" w:themeColor="text1"/>
                <w:sz w:val="19"/>
                <w:szCs w:val="19"/>
              </w:rPr>
              <w:t>(164)</w:t>
            </w:r>
          </w:p>
        </w:tc>
      </w:tr>
      <w:tr w:rsidR="00043B33" w:rsidRPr="0073449B" w14:paraId="1FE4708C" w14:textId="77777777" w:rsidTr="00043B33">
        <w:trPr>
          <w:trHeight w:val="278"/>
        </w:trPr>
        <w:tc>
          <w:tcPr>
            <w:tcW w:w="4820" w:type="dxa"/>
            <w:tcBorders>
              <w:top w:val="nil"/>
              <w:left w:val="nil"/>
              <w:bottom w:val="nil"/>
              <w:right w:val="nil"/>
            </w:tcBorders>
            <w:shd w:val="clear" w:color="auto" w:fill="auto"/>
            <w:vAlign w:val="bottom"/>
          </w:tcPr>
          <w:p w14:paraId="756AD182" w14:textId="1C6F157B" w:rsidR="00043B33" w:rsidRPr="0073449B" w:rsidRDefault="00043B33" w:rsidP="00043B33">
            <w:pPr>
              <w:suppressAutoHyphens/>
              <w:autoSpaceDN w:val="0"/>
              <w:rPr>
                <w:rFonts w:ascii="Arial" w:eastAsia="Calibri" w:hAnsi="Arial" w:cs="Arial"/>
                <w:color w:val="000000" w:themeColor="text1"/>
                <w:sz w:val="19"/>
                <w:szCs w:val="19"/>
              </w:rPr>
            </w:pPr>
            <w:r>
              <w:rPr>
                <w:rFonts w:ascii="Arial" w:eastAsia="Calibri" w:hAnsi="Arial" w:cs="Arial"/>
                <w:color w:val="000000" w:themeColor="text1"/>
                <w:sz w:val="19"/>
                <w:szCs w:val="19"/>
              </w:rPr>
              <w:t>Ostala usklađenja</w:t>
            </w:r>
          </w:p>
        </w:tc>
        <w:tc>
          <w:tcPr>
            <w:tcW w:w="1191" w:type="dxa"/>
            <w:tcBorders>
              <w:top w:val="single" w:sz="4" w:space="0" w:color="auto"/>
              <w:left w:val="nil"/>
              <w:right w:val="nil"/>
            </w:tcBorders>
            <w:shd w:val="clear" w:color="auto" w:fill="auto"/>
            <w:vAlign w:val="bottom"/>
          </w:tcPr>
          <w:p w14:paraId="1DF4601D" w14:textId="760F2918" w:rsidR="00043B33" w:rsidRPr="0073449B" w:rsidRDefault="003B5439" w:rsidP="00043B33">
            <w:pPr>
              <w:suppressAutoHyphens/>
              <w:autoSpaceDN w:val="0"/>
              <w:jc w:val="right"/>
              <w:rPr>
                <w:rFonts w:ascii="Arial" w:eastAsia="Calibri" w:hAnsi="Arial" w:cs="Arial"/>
                <w:color w:val="000000" w:themeColor="text1"/>
                <w:sz w:val="19"/>
                <w:szCs w:val="19"/>
              </w:rPr>
            </w:pPr>
            <w:r>
              <w:rPr>
                <w:rFonts w:ascii="Arial" w:eastAsia="Calibri" w:hAnsi="Arial" w:cs="Arial"/>
                <w:color w:val="000000" w:themeColor="text1"/>
                <w:sz w:val="19"/>
                <w:szCs w:val="19"/>
              </w:rPr>
              <w:t>-</w:t>
            </w:r>
          </w:p>
        </w:tc>
        <w:tc>
          <w:tcPr>
            <w:tcW w:w="1191" w:type="dxa"/>
            <w:tcBorders>
              <w:top w:val="single" w:sz="4" w:space="0" w:color="auto"/>
              <w:left w:val="nil"/>
              <w:right w:val="nil"/>
            </w:tcBorders>
            <w:shd w:val="clear" w:color="auto" w:fill="auto"/>
            <w:vAlign w:val="bottom"/>
          </w:tcPr>
          <w:p w14:paraId="431803FD" w14:textId="5D9375E0" w:rsidR="00043B33" w:rsidRPr="0073449B" w:rsidRDefault="00043B33" w:rsidP="00043B33">
            <w:pPr>
              <w:suppressAutoHyphens/>
              <w:autoSpaceDN w:val="0"/>
              <w:jc w:val="right"/>
              <w:rPr>
                <w:rFonts w:ascii="Arial" w:eastAsia="Calibri" w:hAnsi="Arial" w:cs="Arial"/>
                <w:color w:val="000000" w:themeColor="text1"/>
                <w:sz w:val="19"/>
                <w:szCs w:val="19"/>
              </w:rPr>
            </w:pPr>
            <w:r>
              <w:rPr>
                <w:rFonts w:ascii="Arial" w:hAnsi="Arial" w:cs="Arial"/>
                <w:sz w:val="19"/>
                <w:szCs w:val="19"/>
              </w:rPr>
              <w:t>(</w:t>
            </w:r>
            <w:r w:rsidRPr="0073449B">
              <w:rPr>
                <w:rFonts w:ascii="Arial" w:hAnsi="Arial" w:cs="Arial"/>
                <w:sz w:val="19"/>
                <w:szCs w:val="19"/>
              </w:rPr>
              <w:t xml:space="preserve"> 1 </w:t>
            </w:r>
            <w:r>
              <w:rPr>
                <w:rFonts w:ascii="Arial" w:hAnsi="Arial" w:cs="Arial"/>
                <w:sz w:val="19"/>
                <w:szCs w:val="19"/>
              </w:rPr>
              <w:t>)</w:t>
            </w:r>
          </w:p>
        </w:tc>
        <w:tc>
          <w:tcPr>
            <w:tcW w:w="1191" w:type="dxa"/>
            <w:tcBorders>
              <w:top w:val="single" w:sz="4" w:space="0" w:color="auto"/>
              <w:left w:val="nil"/>
              <w:right w:val="nil"/>
            </w:tcBorders>
            <w:shd w:val="clear" w:color="auto" w:fill="auto"/>
            <w:vAlign w:val="bottom"/>
          </w:tcPr>
          <w:p w14:paraId="0B5DD762" w14:textId="11B87D72" w:rsidR="00043B33" w:rsidRPr="0073449B" w:rsidRDefault="002016C6" w:rsidP="00043B33">
            <w:pPr>
              <w:suppressAutoHyphens/>
              <w:autoSpaceDN w:val="0"/>
              <w:jc w:val="right"/>
              <w:rPr>
                <w:rFonts w:ascii="Arial" w:eastAsia="Calibri" w:hAnsi="Arial" w:cs="Arial"/>
                <w:color w:val="000000" w:themeColor="text1"/>
                <w:sz w:val="19"/>
                <w:szCs w:val="19"/>
              </w:rPr>
            </w:pPr>
            <w:r>
              <w:rPr>
                <w:rFonts w:ascii="Arial" w:eastAsia="Calibri" w:hAnsi="Arial" w:cs="Arial"/>
                <w:color w:val="000000" w:themeColor="text1"/>
                <w:sz w:val="19"/>
                <w:szCs w:val="19"/>
              </w:rPr>
              <w:t>-</w:t>
            </w:r>
          </w:p>
        </w:tc>
        <w:tc>
          <w:tcPr>
            <w:tcW w:w="1191" w:type="dxa"/>
            <w:tcBorders>
              <w:top w:val="single" w:sz="4" w:space="0" w:color="auto"/>
              <w:left w:val="nil"/>
              <w:right w:val="nil"/>
            </w:tcBorders>
            <w:vAlign w:val="bottom"/>
          </w:tcPr>
          <w:p w14:paraId="2A1C6F3E" w14:textId="7ED1D7E1" w:rsidR="00043B33" w:rsidRPr="0073449B" w:rsidRDefault="00FF0327" w:rsidP="00043B33">
            <w:pPr>
              <w:suppressAutoHyphens/>
              <w:autoSpaceDN w:val="0"/>
              <w:jc w:val="right"/>
              <w:rPr>
                <w:rFonts w:ascii="Arial" w:eastAsia="Calibri" w:hAnsi="Arial" w:cs="Arial"/>
                <w:color w:val="000000" w:themeColor="text1"/>
                <w:sz w:val="19"/>
                <w:szCs w:val="19"/>
              </w:rPr>
            </w:pPr>
            <w:r>
              <w:rPr>
                <w:rFonts w:ascii="Arial" w:eastAsia="Calibri" w:hAnsi="Arial" w:cs="Arial"/>
                <w:color w:val="000000" w:themeColor="text1"/>
                <w:sz w:val="19"/>
                <w:szCs w:val="19"/>
              </w:rPr>
              <w:t>-</w:t>
            </w:r>
          </w:p>
        </w:tc>
      </w:tr>
      <w:tr w:rsidR="00A33054" w:rsidRPr="0073449B" w14:paraId="490EF246" w14:textId="77777777" w:rsidTr="0073449B">
        <w:trPr>
          <w:trHeight w:val="379"/>
        </w:trPr>
        <w:tc>
          <w:tcPr>
            <w:tcW w:w="4820" w:type="dxa"/>
            <w:tcBorders>
              <w:top w:val="nil"/>
              <w:left w:val="nil"/>
              <w:bottom w:val="nil"/>
              <w:right w:val="nil"/>
            </w:tcBorders>
            <w:shd w:val="clear" w:color="auto" w:fill="auto"/>
            <w:vAlign w:val="bottom"/>
          </w:tcPr>
          <w:p w14:paraId="19BE683A" w14:textId="77777777" w:rsidR="00A33054" w:rsidRPr="0073449B" w:rsidRDefault="00A33054" w:rsidP="00A33054">
            <w:pPr>
              <w:suppressAutoHyphens/>
              <w:autoSpaceDN w:val="0"/>
              <w:rPr>
                <w:rFonts w:ascii="Arial" w:eastAsia="Calibri" w:hAnsi="Arial" w:cs="Arial"/>
                <w:b/>
                <w:bCs/>
                <w:color w:val="000000" w:themeColor="text1"/>
                <w:sz w:val="19"/>
                <w:szCs w:val="19"/>
              </w:rPr>
            </w:pPr>
            <w:r w:rsidRPr="0073449B">
              <w:rPr>
                <w:rFonts w:ascii="Arial" w:eastAsia="Calibri" w:hAnsi="Arial" w:cs="Arial"/>
                <w:b/>
                <w:bCs/>
                <w:color w:val="000000" w:themeColor="text1"/>
                <w:sz w:val="19"/>
                <w:szCs w:val="19"/>
              </w:rPr>
              <w:t>Stanje na kraju izvještajnog razdoblja</w:t>
            </w:r>
          </w:p>
        </w:tc>
        <w:tc>
          <w:tcPr>
            <w:tcW w:w="1191" w:type="dxa"/>
            <w:tcBorders>
              <w:top w:val="single" w:sz="4" w:space="0" w:color="auto"/>
              <w:left w:val="nil"/>
              <w:bottom w:val="single" w:sz="12" w:space="0" w:color="auto"/>
              <w:right w:val="nil"/>
            </w:tcBorders>
            <w:shd w:val="clear" w:color="auto" w:fill="auto"/>
            <w:noWrap/>
            <w:vAlign w:val="bottom"/>
          </w:tcPr>
          <w:p w14:paraId="38B149D8" w14:textId="6C79F21A" w:rsidR="00A33054" w:rsidRPr="0073449B" w:rsidRDefault="003B5439" w:rsidP="00A33054">
            <w:pPr>
              <w:suppressAutoHyphens/>
              <w:autoSpaceDN w:val="0"/>
              <w:jc w:val="right"/>
              <w:rPr>
                <w:rFonts w:ascii="Arial" w:eastAsia="Calibri" w:hAnsi="Arial" w:cs="Arial"/>
                <w:b/>
                <w:bCs/>
                <w:color w:val="000000" w:themeColor="text1"/>
                <w:sz w:val="19"/>
                <w:szCs w:val="19"/>
              </w:rPr>
            </w:pPr>
            <w:r>
              <w:rPr>
                <w:rFonts w:ascii="Arial" w:eastAsia="Calibri" w:hAnsi="Arial" w:cs="Arial"/>
                <w:b/>
                <w:bCs/>
                <w:color w:val="000000" w:themeColor="text1"/>
                <w:sz w:val="19"/>
                <w:szCs w:val="19"/>
              </w:rPr>
              <w:t>466</w:t>
            </w:r>
          </w:p>
        </w:tc>
        <w:tc>
          <w:tcPr>
            <w:tcW w:w="1191" w:type="dxa"/>
            <w:tcBorders>
              <w:top w:val="single" w:sz="4" w:space="0" w:color="auto"/>
              <w:left w:val="nil"/>
              <w:bottom w:val="single" w:sz="12" w:space="0" w:color="auto"/>
              <w:right w:val="nil"/>
            </w:tcBorders>
            <w:shd w:val="clear" w:color="auto" w:fill="auto"/>
            <w:vAlign w:val="bottom"/>
          </w:tcPr>
          <w:p w14:paraId="046AB5F8" w14:textId="408FD8C7" w:rsidR="00A33054" w:rsidRPr="0073449B" w:rsidRDefault="00043B33" w:rsidP="00A33054">
            <w:pPr>
              <w:suppressAutoHyphens/>
              <w:autoSpaceDN w:val="0"/>
              <w:jc w:val="right"/>
              <w:rPr>
                <w:rFonts w:ascii="Arial" w:eastAsia="Calibri" w:hAnsi="Arial" w:cs="Arial"/>
                <w:b/>
                <w:bCs/>
                <w:color w:val="000000" w:themeColor="text1"/>
                <w:sz w:val="19"/>
                <w:szCs w:val="19"/>
              </w:rPr>
            </w:pPr>
            <w:r>
              <w:rPr>
                <w:rFonts w:ascii="Arial" w:hAnsi="Arial" w:cs="Arial"/>
                <w:b/>
                <w:bCs/>
                <w:sz w:val="19"/>
                <w:szCs w:val="19"/>
              </w:rPr>
              <w:t>454</w:t>
            </w:r>
            <w:r w:rsidR="00A33054" w:rsidRPr="0073449B">
              <w:rPr>
                <w:rFonts w:ascii="Arial" w:hAnsi="Arial" w:cs="Arial"/>
                <w:b/>
                <w:bCs/>
                <w:sz w:val="19"/>
                <w:szCs w:val="19"/>
              </w:rPr>
              <w:t xml:space="preserve"> </w:t>
            </w:r>
          </w:p>
        </w:tc>
        <w:tc>
          <w:tcPr>
            <w:tcW w:w="1191" w:type="dxa"/>
            <w:tcBorders>
              <w:top w:val="single" w:sz="4" w:space="0" w:color="auto"/>
              <w:left w:val="nil"/>
              <w:bottom w:val="single" w:sz="12" w:space="0" w:color="auto"/>
              <w:right w:val="nil"/>
            </w:tcBorders>
            <w:shd w:val="clear" w:color="auto" w:fill="auto"/>
            <w:vAlign w:val="bottom"/>
          </w:tcPr>
          <w:p w14:paraId="0CD39E0C" w14:textId="1F262D5B" w:rsidR="00A33054" w:rsidRPr="0073449B" w:rsidRDefault="002016C6" w:rsidP="00A33054">
            <w:pPr>
              <w:suppressAutoHyphens/>
              <w:autoSpaceDN w:val="0"/>
              <w:jc w:val="right"/>
              <w:rPr>
                <w:rFonts w:ascii="Arial" w:eastAsia="Calibri" w:hAnsi="Arial" w:cs="Arial"/>
                <w:b/>
                <w:bCs/>
                <w:color w:val="000000" w:themeColor="text1"/>
                <w:sz w:val="19"/>
                <w:szCs w:val="19"/>
              </w:rPr>
            </w:pPr>
            <w:r>
              <w:rPr>
                <w:rFonts w:ascii="Arial" w:eastAsia="Calibri" w:hAnsi="Arial" w:cs="Arial"/>
                <w:b/>
                <w:bCs/>
                <w:color w:val="000000" w:themeColor="text1"/>
                <w:sz w:val="19"/>
                <w:szCs w:val="19"/>
              </w:rPr>
              <w:t>454</w:t>
            </w:r>
          </w:p>
        </w:tc>
        <w:tc>
          <w:tcPr>
            <w:tcW w:w="1191" w:type="dxa"/>
            <w:tcBorders>
              <w:top w:val="single" w:sz="4" w:space="0" w:color="auto"/>
              <w:left w:val="nil"/>
              <w:bottom w:val="single" w:sz="12" w:space="0" w:color="auto"/>
              <w:right w:val="nil"/>
            </w:tcBorders>
            <w:vAlign w:val="bottom"/>
          </w:tcPr>
          <w:p w14:paraId="2D62F99E" w14:textId="340CB6C2" w:rsidR="00A33054" w:rsidRPr="0073449B" w:rsidRDefault="00FF0327" w:rsidP="00A33054">
            <w:pPr>
              <w:suppressAutoHyphens/>
              <w:autoSpaceDN w:val="0"/>
              <w:jc w:val="right"/>
              <w:rPr>
                <w:rFonts w:ascii="Arial" w:eastAsia="Calibri" w:hAnsi="Arial" w:cs="Arial"/>
                <w:b/>
                <w:bCs/>
                <w:color w:val="000000" w:themeColor="text1"/>
                <w:sz w:val="19"/>
                <w:szCs w:val="19"/>
              </w:rPr>
            </w:pPr>
            <w:r>
              <w:rPr>
                <w:rFonts w:ascii="Arial" w:hAnsi="Arial" w:cs="Arial"/>
                <w:b/>
                <w:bCs/>
                <w:sz w:val="19"/>
                <w:szCs w:val="19"/>
              </w:rPr>
              <w:t>442</w:t>
            </w:r>
            <w:r w:rsidR="00A33054" w:rsidRPr="0073449B">
              <w:rPr>
                <w:rFonts w:ascii="Arial" w:hAnsi="Arial" w:cs="Arial"/>
                <w:b/>
                <w:bCs/>
                <w:sz w:val="19"/>
                <w:szCs w:val="19"/>
              </w:rPr>
              <w:t xml:space="preserve"> </w:t>
            </w:r>
          </w:p>
        </w:tc>
      </w:tr>
    </w:tbl>
    <w:p w14:paraId="5D713308" w14:textId="77777777" w:rsidR="001B247D" w:rsidRPr="003D1614" w:rsidRDefault="001B247D" w:rsidP="001B247D">
      <w:pPr>
        <w:suppressAutoHyphens/>
        <w:autoSpaceDN w:val="0"/>
        <w:jc w:val="both"/>
        <w:outlineLvl w:val="0"/>
        <w:rPr>
          <w:rFonts w:ascii="Arial" w:eastAsia="Calibri" w:hAnsi="Arial" w:cs="Arial"/>
          <w:bCs/>
          <w:color w:val="000000" w:themeColor="text1"/>
          <w:sz w:val="20"/>
          <w:szCs w:val="20"/>
        </w:rPr>
      </w:pPr>
    </w:p>
    <w:p w14:paraId="5ABF9E4F" w14:textId="77777777" w:rsidR="001B247D" w:rsidRPr="003D1614" w:rsidRDefault="001B247D" w:rsidP="001B247D">
      <w:pPr>
        <w:suppressAutoHyphens/>
        <w:autoSpaceDN w:val="0"/>
        <w:jc w:val="both"/>
        <w:outlineLvl w:val="0"/>
        <w:rPr>
          <w:rFonts w:ascii="Arial" w:eastAsia="Calibri" w:hAnsi="Arial" w:cs="Arial"/>
          <w:bCs/>
          <w:color w:val="000000" w:themeColor="text1"/>
          <w:sz w:val="20"/>
          <w:szCs w:val="20"/>
        </w:rPr>
      </w:pPr>
    </w:p>
    <w:p w14:paraId="69611707" w14:textId="4CBD517E" w:rsidR="001B247D" w:rsidRPr="003D1614" w:rsidRDefault="001B247D" w:rsidP="001B247D">
      <w:pPr>
        <w:suppressAutoHyphens/>
        <w:autoSpaceDN w:val="0"/>
        <w:jc w:val="both"/>
        <w:outlineLvl w:val="0"/>
        <w:rPr>
          <w:rFonts w:ascii="Arial" w:eastAsia="Calibri" w:hAnsi="Arial" w:cs="Arial"/>
          <w:bCs/>
          <w:color w:val="000000" w:themeColor="text1"/>
          <w:sz w:val="20"/>
          <w:szCs w:val="20"/>
        </w:rPr>
      </w:pPr>
    </w:p>
    <w:p w14:paraId="1EF32B50" w14:textId="77777777" w:rsidR="001B247D" w:rsidRPr="003D1614" w:rsidRDefault="001B247D" w:rsidP="001B247D">
      <w:pPr>
        <w:suppressAutoHyphens/>
        <w:autoSpaceDN w:val="0"/>
        <w:jc w:val="both"/>
        <w:outlineLvl w:val="0"/>
        <w:rPr>
          <w:rFonts w:ascii="Arial" w:eastAsia="Calibri" w:hAnsi="Arial" w:cs="Arial"/>
          <w:bCs/>
          <w:color w:val="000000" w:themeColor="text1"/>
          <w:sz w:val="20"/>
          <w:szCs w:val="20"/>
        </w:rPr>
        <w:sectPr w:rsidR="001B247D" w:rsidRPr="003D1614">
          <w:pgSz w:w="11906" w:h="16838"/>
          <w:pgMar w:top="1417" w:right="1417" w:bottom="1417" w:left="1417" w:header="708" w:footer="708" w:gutter="0"/>
          <w:cols w:space="708"/>
          <w:docGrid w:linePitch="360"/>
        </w:sectPr>
      </w:pPr>
    </w:p>
    <w:p w14:paraId="40C8F745" w14:textId="77777777" w:rsidR="001B247D" w:rsidRPr="003D1614" w:rsidRDefault="001B247D" w:rsidP="001B247D">
      <w:pPr>
        <w:suppressAutoHyphens/>
        <w:autoSpaceDN w:val="0"/>
        <w:jc w:val="both"/>
        <w:outlineLvl w:val="0"/>
        <w:rPr>
          <w:rFonts w:ascii="Arial" w:eastAsia="Times New Roman" w:hAnsi="Arial" w:cs="Arial"/>
          <w:b/>
          <w:bCs/>
          <w:color w:val="000000" w:themeColor="text1"/>
          <w:sz w:val="20"/>
          <w:szCs w:val="20"/>
        </w:rPr>
      </w:pPr>
    </w:p>
    <w:p w14:paraId="78C2E5AF" w14:textId="109C7136" w:rsidR="001B247D" w:rsidRPr="003D1614" w:rsidRDefault="001B247D" w:rsidP="001B247D">
      <w:pPr>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4</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Financijska imovina po fer vrijednosti kroz ostalu sveobuhvatnu dobit (nastavak)</w:t>
      </w:r>
    </w:p>
    <w:p w14:paraId="67F25FAF" w14:textId="77777777" w:rsidR="001B247D" w:rsidRPr="003D1614" w:rsidRDefault="001B247D" w:rsidP="001B247D">
      <w:pPr>
        <w:suppressAutoHyphens/>
        <w:autoSpaceDN w:val="0"/>
        <w:jc w:val="both"/>
        <w:outlineLvl w:val="0"/>
        <w:rPr>
          <w:rFonts w:ascii="Arial" w:eastAsia="Times New Roman" w:hAnsi="Arial" w:cs="Arial"/>
          <w:color w:val="000000" w:themeColor="text1"/>
          <w:sz w:val="20"/>
          <w:szCs w:val="20"/>
        </w:rPr>
      </w:pPr>
    </w:p>
    <w:p w14:paraId="584DB92E" w14:textId="77777777" w:rsidR="001B247D" w:rsidRPr="003D1614" w:rsidRDefault="001B247D" w:rsidP="001B247D">
      <w:pPr>
        <w:tabs>
          <w:tab w:val="left" w:pos="-720"/>
        </w:tabs>
        <w:suppressAutoHyphens/>
        <w:autoSpaceDN w:val="0"/>
        <w:rPr>
          <w:rFonts w:ascii="Arial" w:eastAsia="Times New Roman" w:hAnsi="Arial" w:cs="Arial"/>
          <w:color w:val="000000" w:themeColor="text1"/>
          <w:spacing w:val="-3"/>
          <w:sz w:val="20"/>
          <w:szCs w:val="20"/>
        </w:rPr>
      </w:pPr>
      <w:r w:rsidRPr="003D1614">
        <w:rPr>
          <w:rFonts w:ascii="Arial" w:eastAsia="Times New Roman" w:hAnsi="Arial" w:cs="Arial"/>
          <w:color w:val="000000" w:themeColor="text1"/>
          <w:spacing w:val="-3"/>
          <w:sz w:val="20"/>
          <w:szCs w:val="20"/>
        </w:rPr>
        <w:t>U nastavku se daje pregled ulaganja:</w:t>
      </w:r>
    </w:p>
    <w:p w14:paraId="38C5F62C" w14:textId="77777777" w:rsidR="001B247D" w:rsidRPr="003D1614" w:rsidRDefault="001B247D" w:rsidP="001B247D">
      <w:pPr>
        <w:suppressAutoHyphens/>
        <w:autoSpaceDN w:val="0"/>
        <w:rPr>
          <w:rFonts w:ascii="Arial" w:eastAsia="Times New Roman" w:hAnsi="Arial" w:cs="Arial"/>
          <w:color w:val="000000" w:themeColor="text1"/>
        </w:rPr>
      </w:pPr>
    </w:p>
    <w:tbl>
      <w:tblPr>
        <w:tblW w:w="10856" w:type="dxa"/>
        <w:tblInd w:w="-851" w:type="dxa"/>
        <w:tblLayout w:type="fixed"/>
        <w:tblLook w:val="04A0" w:firstRow="1" w:lastRow="0" w:firstColumn="1" w:lastColumn="0" w:noHBand="0" w:noVBand="1"/>
      </w:tblPr>
      <w:tblGrid>
        <w:gridCol w:w="2693"/>
        <w:gridCol w:w="1213"/>
        <w:gridCol w:w="6"/>
        <w:gridCol w:w="1123"/>
        <w:gridCol w:w="1197"/>
        <w:gridCol w:w="1156"/>
        <w:gridCol w:w="1156"/>
        <w:gridCol w:w="1156"/>
        <w:gridCol w:w="1156"/>
      </w:tblGrid>
      <w:tr w:rsidR="001B247D" w:rsidRPr="003D1614" w14:paraId="36FD2F27" w14:textId="77777777" w:rsidTr="00AD0393">
        <w:trPr>
          <w:trHeight w:val="229"/>
        </w:trPr>
        <w:tc>
          <w:tcPr>
            <w:tcW w:w="2693" w:type="dxa"/>
            <w:tcBorders>
              <w:top w:val="nil"/>
              <w:left w:val="nil"/>
              <w:bottom w:val="nil"/>
              <w:right w:val="nil"/>
            </w:tcBorders>
            <w:shd w:val="clear" w:color="auto" w:fill="auto"/>
            <w:noWrap/>
            <w:vAlign w:val="bottom"/>
            <w:hideMark/>
          </w:tcPr>
          <w:p w14:paraId="1D81D55F" w14:textId="77777777" w:rsidR="001B247D" w:rsidRPr="003D1614" w:rsidRDefault="001B247D" w:rsidP="001B247D">
            <w:pPr>
              <w:suppressAutoHyphens/>
              <w:autoSpaceDN w:val="0"/>
              <w:rPr>
                <w:rFonts w:ascii="Arial" w:eastAsia="Calibri" w:hAnsi="Arial" w:cs="Arial"/>
                <w:color w:val="000000"/>
                <w:sz w:val="16"/>
                <w:szCs w:val="16"/>
              </w:rPr>
            </w:pPr>
          </w:p>
        </w:tc>
        <w:tc>
          <w:tcPr>
            <w:tcW w:w="1219" w:type="dxa"/>
            <w:gridSpan w:val="2"/>
            <w:tcBorders>
              <w:top w:val="nil"/>
              <w:left w:val="nil"/>
              <w:bottom w:val="nil"/>
              <w:right w:val="nil"/>
            </w:tcBorders>
            <w:shd w:val="clear" w:color="auto" w:fill="auto"/>
            <w:vAlign w:val="center"/>
            <w:hideMark/>
          </w:tcPr>
          <w:p w14:paraId="18E359C2" w14:textId="77777777" w:rsidR="001B247D" w:rsidRPr="003D1614" w:rsidRDefault="001B247D" w:rsidP="001B247D">
            <w:pPr>
              <w:suppressAutoHyphens/>
              <w:autoSpaceDN w:val="0"/>
              <w:rPr>
                <w:rFonts w:ascii="Arial" w:eastAsia="Calibri" w:hAnsi="Arial" w:cs="Arial"/>
                <w:color w:val="000000"/>
                <w:sz w:val="16"/>
                <w:szCs w:val="16"/>
              </w:rPr>
            </w:pPr>
          </w:p>
        </w:tc>
        <w:tc>
          <w:tcPr>
            <w:tcW w:w="1123" w:type="dxa"/>
            <w:tcBorders>
              <w:top w:val="nil"/>
              <w:left w:val="nil"/>
              <w:bottom w:val="nil"/>
              <w:right w:val="nil"/>
            </w:tcBorders>
            <w:shd w:val="clear" w:color="auto" w:fill="auto"/>
            <w:vAlign w:val="center"/>
            <w:hideMark/>
          </w:tcPr>
          <w:p w14:paraId="64F71C73" w14:textId="77777777" w:rsidR="001B247D" w:rsidRPr="003D1614" w:rsidRDefault="001B247D" w:rsidP="001B247D">
            <w:pPr>
              <w:suppressAutoHyphens/>
              <w:autoSpaceDN w:val="0"/>
              <w:jc w:val="center"/>
              <w:rPr>
                <w:rFonts w:ascii="Arial" w:eastAsia="Calibri" w:hAnsi="Arial" w:cs="Arial"/>
                <w:color w:val="000000"/>
                <w:sz w:val="16"/>
                <w:szCs w:val="16"/>
              </w:rPr>
            </w:pPr>
          </w:p>
        </w:tc>
        <w:tc>
          <w:tcPr>
            <w:tcW w:w="1197" w:type="dxa"/>
            <w:tcBorders>
              <w:top w:val="nil"/>
              <w:left w:val="nil"/>
              <w:bottom w:val="nil"/>
              <w:right w:val="nil"/>
            </w:tcBorders>
            <w:shd w:val="clear" w:color="auto" w:fill="auto"/>
            <w:vAlign w:val="center"/>
            <w:hideMark/>
          </w:tcPr>
          <w:p w14:paraId="770B51B9" w14:textId="77777777" w:rsidR="001B247D" w:rsidRPr="003D1614" w:rsidRDefault="001B247D" w:rsidP="001B247D">
            <w:pPr>
              <w:suppressAutoHyphens/>
              <w:autoSpaceDN w:val="0"/>
              <w:jc w:val="center"/>
              <w:rPr>
                <w:rFonts w:ascii="Arial" w:eastAsia="Calibri" w:hAnsi="Arial" w:cs="Arial"/>
                <w:color w:val="000000"/>
                <w:sz w:val="16"/>
                <w:szCs w:val="16"/>
              </w:rPr>
            </w:pPr>
          </w:p>
        </w:tc>
        <w:tc>
          <w:tcPr>
            <w:tcW w:w="2312" w:type="dxa"/>
            <w:gridSpan w:val="2"/>
            <w:tcBorders>
              <w:top w:val="nil"/>
              <w:left w:val="nil"/>
              <w:bottom w:val="nil"/>
              <w:right w:val="nil"/>
            </w:tcBorders>
          </w:tcPr>
          <w:p w14:paraId="084B2045" w14:textId="77777777" w:rsidR="001B247D" w:rsidRPr="003D1614" w:rsidRDefault="001B247D" w:rsidP="001B247D">
            <w:pPr>
              <w:suppressAutoHyphens/>
              <w:autoSpaceDN w:val="0"/>
              <w:jc w:val="right"/>
              <w:rPr>
                <w:rFonts w:ascii="Arial" w:eastAsia="Calibri" w:hAnsi="Arial" w:cs="Arial"/>
                <w:b/>
                <w:bCs/>
                <w:color w:val="000000"/>
                <w:sz w:val="16"/>
                <w:szCs w:val="16"/>
              </w:rPr>
            </w:pPr>
            <w:r w:rsidRPr="003D1614">
              <w:rPr>
                <w:rFonts w:ascii="Arial" w:eastAsia="Calibri" w:hAnsi="Arial" w:cs="Arial"/>
                <w:b/>
                <w:bCs/>
                <w:color w:val="000000"/>
                <w:sz w:val="16"/>
                <w:szCs w:val="16"/>
              </w:rPr>
              <w:t>Grupa</w:t>
            </w:r>
          </w:p>
        </w:tc>
        <w:tc>
          <w:tcPr>
            <w:tcW w:w="2312" w:type="dxa"/>
            <w:gridSpan w:val="2"/>
            <w:tcBorders>
              <w:top w:val="nil"/>
              <w:left w:val="nil"/>
              <w:bottom w:val="nil"/>
              <w:right w:val="nil"/>
            </w:tcBorders>
            <w:shd w:val="clear" w:color="auto" w:fill="auto"/>
            <w:vAlign w:val="center"/>
            <w:hideMark/>
          </w:tcPr>
          <w:p w14:paraId="4521A67F" w14:textId="77777777" w:rsidR="001B247D" w:rsidRPr="003D1614" w:rsidRDefault="001B247D" w:rsidP="001B247D">
            <w:pPr>
              <w:suppressAutoHyphens/>
              <w:autoSpaceDN w:val="0"/>
              <w:jc w:val="right"/>
              <w:rPr>
                <w:rFonts w:ascii="Arial" w:eastAsia="Calibri" w:hAnsi="Arial" w:cs="Arial"/>
                <w:b/>
                <w:bCs/>
                <w:color w:val="000000"/>
                <w:sz w:val="16"/>
                <w:szCs w:val="16"/>
              </w:rPr>
            </w:pPr>
            <w:r w:rsidRPr="003D1614">
              <w:rPr>
                <w:rFonts w:ascii="Arial" w:eastAsia="Calibri" w:hAnsi="Arial" w:cs="Arial"/>
                <w:b/>
                <w:bCs/>
                <w:color w:val="000000"/>
                <w:sz w:val="16"/>
                <w:szCs w:val="16"/>
              </w:rPr>
              <w:t>Banka</w:t>
            </w:r>
          </w:p>
        </w:tc>
      </w:tr>
      <w:tr w:rsidR="001B247D" w:rsidRPr="003D1614" w14:paraId="07076885" w14:textId="77777777" w:rsidTr="00AD0393">
        <w:trPr>
          <w:trHeight w:val="420"/>
        </w:trPr>
        <w:tc>
          <w:tcPr>
            <w:tcW w:w="2693" w:type="dxa"/>
            <w:tcBorders>
              <w:top w:val="nil"/>
              <w:left w:val="nil"/>
              <w:bottom w:val="nil"/>
              <w:right w:val="nil"/>
            </w:tcBorders>
            <w:shd w:val="clear" w:color="auto" w:fill="auto"/>
            <w:noWrap/>
            <w:vAlign w:val="center"/>
            <w:hideMark/>
          </w:tcPr>
          <w:p w14:paraId="2A06BCEB" w14:textId="77777777" w:rsidR="001B247D" w:rsidRPr="003D1614" w:rsidRDefault="001B247D" w:rsidP="001B247D">
            <w:pPr>
              <w:suppressAutoHyphens/>
              <w:autoSpaceDN w:val="0"/>
              <w:jc w:val="right"/>
              <w:rPr>
                <w:rFonts w:ascii="Arial" w:eastAsia="Calibri" w:hAnsi="Arial" w:cs="Arial"/>
                <w:b/>
                <w:bCs/>
                <w:color w:val="000000"/>
                <w:sz w:val="16"/>
                <w:szCs w:val="16"/>
              </w:rPr>
            </w:pPr>
          </w:p>
        </w:tc>
        <w:tc>
          <w:tcPr>
            <w:tcW w:w="1219" w:type="dxa"/>
            <w:gridSpan w:val="2"/>
            <w:tcBorders>
              <w:top w:val="nil"/>
              <w:left w:val="nil"/>
              <w:bottom w:val="nil"/>
              <w:right w:val="nil"/>
            </w:tcBorders>
            <w:shd w:val="clear" w:color="auto" w:fill="auto"/>
            <w:vAlign w:val="center"/>
            <w:hideMark/>
          </w:tcPr>
          <w:p w14:paraId="5F8A3D5D" w14:textId="77777777" w:rsidR="001B247D" w:rsidRPr="003D1614" w:rsidRDefault="001B247D" w:rsidP="001B247D">
            <w:pPr>
              <w:suppressAutoHyphens/>
              <w:autoSpaceDN w:val="0"/>
              <w:jc w:val="center"/>
              <w:rPr>
                <w:rFonts w:ascii="Arial" w:eastAsia="Calibri" w:hAnsi="Arial" w:cs="Arial"/>
                <w:b/>
                <w:bCs/>
                <w:color w:val="000000"/>
                <w:sz w:val="16"/>
                <w:szCs w:val="16"/>
              </w:rPr>
            </w:pPr>
            <w:r w:rsidRPr="003D1614">
              <w:rPr>
                <w:rFonts w:ascii="Arial" w:eastAsia="Calibri" w:hAnsi="Arial" w:cs="Arial"/>
                <w:b/>
                <w:bCs/>
                <w:color w:val="000000"/>
                <w:sz w:val="16"/>
                <w:szCs w:val="16"/>
              </w:rPr>
              <w:t>Datum izdanja</w:t>
            </w:r>
          </w:p>
        </w:tc>
        <w:tc>
          <w:tcPr>
            <w:tcW w:w="1123" w:type="dxa"/>
            <w:tcBorders>
              <w:top w:val="nil"/>
              <w:left w:val="nil"/>
              <w:bottom w:val="nil"/>
              <w:right w:val="nil"/>
            </w:tcBorders>
            <w:shd w:val="clear" w:color="auto" w:fill="auto"/>
            <w:vAlign w:val="center"/>
            <w:hideMark/>
          </w:tcPr>
          <w:p w14:paraId="55610940" w14:textId="77777777" w:rsidR="001B247D" w:rsidRPr="003D1614" w:rsidRDefault="001B247D" w:rsidP="001B247D">
            <w:pPr>
              <w:suppressAutoHyphens/>
              <w:autoSpaceDN w:val="0"/>
              <w:jc w:val="center"/>
              <w:rPr>
                <w:rFonts w:ascii="Arial" w:eastAsia="Calibri" w:hAnsi="Arial" w:cs="Arial"/>
                <w:b/>
                <w:bCs/>
                <w:color w:val="000000"/>
                <w:sz w:val="16"/>
                <w:szCs w:val="16"/>
              </w:rPr>
            </w:pPr>
            <w:r w:rsidRPr="003D1614">
              <w:rPr>
                <w:rFonts w:ascii="Arial" w:eastAsia="Calibri" w:hAnsi="Arial" w:cs="Arial"/>
                <w:b/>
                <w:bCs/>
                <w:color w:val="000000"/>
                <w:sz w:val="16"/>
                <w:szCs w:val="16"/>
              </w:rPr>
              <w:t>Datum dospijeća</w:t>
            </w:r>
          </w:p>
        </w:tc>
        <w:tc>
          <w:tcPr>
            <w:tcW w:w="1197" w:type="dxa"/>
            <w:tcBorders>
              <w:top w:val="nil"/>
              <w:left w:val="nil"/>
              <w:bottom w:val="nil"/>
              <w:right w:val="nil"/>
            </w:tcBorders>
            <w:shd w:val="clear" w:color="auto" w:fill="auto"/>
            <w:vAlign w:val="center"/>
            <w:hideMark/>
          </w:tcPr>
          <w:p w14:paraId="06ACCEBF" w14:textId="77777777" w:rsidR="001B247D" w:rsidRPr="003D1614" w:rsidRDefault="001B247D" w:rsidP="001B247D">
            <w:pPr>
              <w:suppressAutoHyphens/>
              <w:autoSpaceDN w:val="0"/>
              <w:jc w:val="center"/>
              <w:rPr>
                <w:rFonts w:ascii="Arial" w:eastAsia="Calibri" w:hAnsi="Arial" w:cs="Arial"/>
                <w:b/>
                <w:bCs/>
                <w:color w:val="000000"/>
                <w:sz w:val="16"/>
                <w:szCs w:val="16"/>
              </w:rPr>
            </w:pPr>
            <w:r w:rsidRPr="003D1614">
              <w:rPr>
                <w:rFonts w:ascii="Arial" w:eastAsia="Calibri" w:hAnsi="Arial" w:cs="Arial"/>
                <w:b/>
                <w:bCs/>
                <w:color w:val="000000"/>
                <w:sz w:val="16"/>
                <w:szCs w:val="16"/>
              </w:rPr>
              <w:t>Kamatna stopa</w:t>
            </w:r>
            <w:r w:rsidRPr="003D1614">
              <w:rPr>
                <w:rFonts w:ascii="Arial" w:eastAsia="Calibri" w:hAnsi="Arial" w:cs="Arial"/>
                <w:b/>
                <w:bCs/>
                <w:color w:val="000000"/>
                <w:sz w:val="16"/>
                <w:szCs w:val="16"/>
              </w:rPr>
              <w:br/>
              <w:t>(%)</w:t>
            </w:r>
          </w:p>
        </w:tc>
        <w:tc>
          <w:tcPr>
            <w:tcW w:w="1156" w:type="dxa"/>
            <w:tcBorders>
              <w:top w:val="nil"/>
              <w:left w:val="nil"/>
              <w:bottom w:val="nil"/>
              <w:right w:val="nil"/>
            </w:tcBorders>
            <w:vAlign w:val="center"/>
          </w:tcPr>
          <w:p w14:paraId="2E84177B" w14:textId="398AB64C" w:rsidR="001B247D" w:rsidRPr="003D1614" w:rsidRDefault="001B247D" w:rsidP="001B247D">
            <w:pPr>
              <w:suppressAutoHyphens/>
              <w:autoSpaceDN w:val="0"/>
              <w:jc w:val="right"/>
              <w:rPr>
                <w:rFonts w:ascii="Arial" w:eastAsia="Calibri" w:hAnsi="Arial" w:cs="Arial"/>
                <w:b/>
                <w:bCs/>
                <w:color w:val="000000"/>
                <w:sz w:val="16"/>
                <w:szCs w:val="16"/>
              </w:rPr>
            </w:pPr>
            <w:r w:rsidRPr="003D1614">
              <w:rPr>
                <w:rFonts w:ascii="Arial" w:eastAsia="Calibri" w:hAnsi="Arial" w:cs="Arial"/>
                <w:b/>
                <w:bCs/>
                <w:color w:val="000000"/>
                <w:sz w:val="16"/>
                <w:szCs w:val="16"/>
              </w:rPr>
              <w:t>31. ožujka 202</w:t>
            </w:r>
            <w:r w:rsidR="001B6E97">
              <w:rPr>
                <w:rFonts w:ascii="Arial" w:eastAsia="Calibri" w:hAnsi="Arial" w:cs="Arial"/>
                <w:b/>
                <w:bCs/>
                <w:color w:val="000000"/>
                <w:sz w:val="16"/>
                <w:szCs w:val="16"/>
              </w:rPr>
              <w:t>4</w:t>
            </w:r>
            <w:r w:rsidRPr="003D1614">
              <w:rPr>
                <w:rFonts w:ascii="Arial" w:eastAsia="Calibri" w:hAnsi="Arial" w:cs="Arial"/>
                <w:b/>
                <w:bCs/>
                <w:color w:val="000000"/>
                <w:sz w:val="16"/>
                <w:szCs w:val="16"/>
              </w:rPr>
              <w:t>.</w:t>
            </w:r>
          </w:p>
        </w:tc>
        <w:tc>
          <w:tcPr>
            <w:tcW w:w="1156" w:type="dxa"/>
            <w:tcBorders>
              <w:top w:val="nil"/>
              <w:left w:val="nil"/>
              <w:bottom w:val="nil"/>
              <w:right w:val="nil"/>
            </w:tcBorders>
            <w:vAlign w:val="center"/>
            <w:hideMark/>
          </w:tcPr>
          <w:p w14:paraId="1C8595F7" w14:textId="6C81B292" w:rsidR="001B247D" w:rsidRPr="003D1614" w:rsidRDefault="001B247D" w:rsidP="001B247D">
            <w:pPr>
              <w:suppressAutoHyphens/>
              <w:autoSpaceDN w:val="0"/>
              <w:jc w:val="right"/>
              <w:rPr>
                <w:rFonts w:ascii="Arial" w:eastAsia="Calibri" w:hAnsi="Arial" w:cs="Arial"/>
                <w:b/>
                <w:bCs/>
                <w:color w:val="000000"/>
                <w:sz w:val="16"/>
                <w:szCs w:val="16"/>
              </w:rPr>
            </w:pPr>
            <w:r w:rsidRPr="003D1614">
              <w:rPr>
                <w:rFonts w:ascii="Arial" w:eastAsia="Calibri" w:hAnsi="Arial" w:cs="Arial"/>
                <w:b/>
                <w:bCs/>
                <w:color w:val="000000"/>
                <w:sz w:val="16"/>
                <w:szCs w:val="16"/>
              </w:rPr>
              <w:t>31. prosinca 202</w:t>
            </w:r>
            <w:r w:rsidR="001B6E97">
              <w:rPr>
                <w:rFonts w:ascii="Arial" w:eastAsia="Calibri" w:hAnsi="Arial" w:cs="Arial"/>
                <w:b/>
                <w:bCs/>
                <w:color w:val="000000"/>
                <w:sz w:val="16"/>
                <w:szCs w:val="16"/>
              </w:rPr>
              <w:t>3</w:t>
            </w:r>
            <w:r w:rsidRPr="003D1614">
              <w:rPr>
                <w:rFonts w:ascii="Arial" w:eastAsia="Calibri" w:hAnsi="Arial" w:cs="Arial"/>
                <w:b/>
                <w:bCs/>
                <w:color w:val="000000"/>
                <w:sz w:val="16"/>
                <w:szCs w:val="16"/>
              </w:rPr>
              <w:t>.</w:t>
            </w:r>
          </w:p>
        </w:tc>
        <w:tc>
          <w:tcPr>
            <w:tcW w:w="1156" w:type="dxa"/>
            <w:tcBorders>
              <w:top w:val="nil"/>
              <w:left w:val="nil"/>
              <w:bottom w:val="nil"/>
              <w:right w:val="nil"/>
            </w:tcBorders>
            <w:shd w:val="clear" w:color="auto" w:fill="auto"/>
            <w:vAlign w:val="center"/>
          </w:tcPr>
          <w:p w14:paraId="4BD6D4C2" w14:textId="4D74740C" w:rsidR="001B247D" w:rsidRPr="003D1614" w:rsidRDefault="001B247D" w:rsidP="001B247D">
            <w:pPr>
              <w:suppressAutoHyphens/>
              <w:autoSpaceDN w:val="0"/>
              <w:jc w:val="right"/>
              <w:rPr>
                <w:rFonts w:ascii="Arial" w:eastAsia="Calibri" w:hAnsi="Arial" w:cs="Arial"/>
                <w:b/>
                <w:bCs/>
                <w:color w:val="000000"/>
                <w:sz w:val="16"/>
                <w:szCs w:val="16"/>
              </w:rPr>
            </w:pPr>
            <w:r w:rsidRPr="003D1614">
              <w:rPr>
                <w:rFonts w:ascii="Arial" w:eastAsia="Calibri" w:hAnsi="Arial" w:cs="Arial"/>
                <w:b/>
                <w:bCs/>
                <w:color w:val="000000"/>
                <w:sz w:val="16"/>
                <w:szCs w:val="16"/>
              </w:rPr>
              <w:t>31. ožujka 202</w:t>
            </w:r>
            <w:r w:rsidR="001B6E97">
              <w:rPr>
                <w:rFonts w:ascii="Arial" w:eastAsia="Calibri" w:hAnsi="Arial" w:cs="Arial"/>
                <w:b/>
                <w:bCs/>
                <w:color w:val="000000"/>
                <w:sz w:val="16"/>
                <w:szCs w:val="16"/>
              </w:rPr>
              <w:t>4</w:t>
            </w:r>
            <w:r w:rsidR="00C376D8">
              <w:rPr>
                <w:rFonts w:ascii="Arial" w:eastAsia="Calibri" w:hAnsi="Arial" w:cs="Arial"/>
                <w:b/>
                <w:bCs/>
                <w:color w:val="000000"/>
                <w:sz w:val="16"/>
                <w:szCs w:val="16"/>
              </w:rPr>
              <w:t>.</w:t>
            </w:r>
          </w:p>
        </w:tc>
        <w:tc>
          <w:tcPr>
            <w:tcW w:w="1156" w:type="dxa"/>
            <w:tcBorders>
              <w:top w:val="nil"/>
              <w:left w:val="nil"/>
              <w:bottom w:val="nil"/>
              <w:right w:val="nil"/>
            </w:tcBorders>
            <w:vAlign w:val="center"/>
            <w:hideMark/>
          </w:tcPr>
          <w:p w14:paraId="0BAD00E1" w14:textId="73348328" w:rsidR="001B247D" w:rsidRPr="003D1614" w:rsidRDefault="001B247D" w:rsidP="001B247D">
            <w:pPr>
              <w:suppressAutoHyphens/>
              <w:autoSpaceDN w:val="0"/>
              <w:jc w:val="right"/>
              <w:rPr>
                <w:rFonts w:ascii="Arial" w:eastAsia="Calibri" w:hAnsi="Arial" w:cs="Arial"/>
                <w:b/>
                <w:bCs/>
                <w:color w:val="000000"/>
                <w:sz w:val="16"/>
                <w:szCs w:val="16"/>
              </w:rPr>
            </w:pPr>
            <w:r w:rsidRPr="003D1614">
              <w:rPr>
                <w:rFonts w:ascii="Arial" w:eastAsia="Calibri" w:hAnsi="Arial" w:cs="Arial"/>
                <w:b/>
                <w:bCs/>
                <w:color w:val="000000"/>
                <w:sz w:val="16"/>
                <w:szCs w:val="16"/>
              </w:rPr>
              <w:t>31. prosinca 202</w:t>
            </w:r>
            <w:r w:rsidR="001B6E97">
              <w:rPr>
                <w:rFonts w:ascii="Arial" w:eastAsia="Calibri" w:hAnsi="Arial" w:cs="Arial"/>
                <w:b/>
                <w:bCs/>
                <w:color w:val="000000"/>
                <w:sz w:val="16"/>
                <w:szCs w:val="16"/>
              </w:rPr>
              <w:t>3</w:t>
            </w:r>
            <w:r w:rsidRPr="003D1614">
              <w:rPr>
                <w:rFonts w:ascii="Arial" w:eastAsia="Calibri" w:hAnsi="Arial" w:cs="Arial"/>
                <w:b/>
                <w:bCs/>
                <w:color w:val="000000"/>
                <w:sz w:val="16"/>
                <w:szCs w:val="16"/>
              </w:rPr>
              <w:t>.</w:t>
            </w:r>
          </w:p>
        </w:tc>
      </w:tr>
      <w:tr w:rsidR="001B247D" w:rsidRPr="003D1614" w14:paraId="2B60FF4F" w14:textId="77777777" w:rsidTr="00AD0393">
        <w:trPr>
          <w:trHeight w:val="218"/>
        </w:trPr>
        <w:tc>
          <w:tcPr>
            <w:tcW w:w="2693" w:type="dxa"/>
            <w:tcBorders>
              <w:top w:val="nil"/>
              <w:left w:val="nil"/>
              <w:bottom w:val="nil"/>
              <w:right w:val="nil"/>
            </w:tcBorders>
            <w:shd w:val="clear" w:color="auto" w:fill="auto"/>
            <w:noWrap/>
            <w:vAlign w:val="center"/>
          </w:tcPr>
          <w:p w14:paraId="4241734F" w14:textId="77777777" w:rsidR="001B247D" w:rsidRPr="003D1614" w:rsidRDefault="001B247D" w:rsidP="001B247D">
            <w:pPr>
              <w:suppressAutoHyphens/>
              <w:autoSpaceDN w:val="0"/>
              <w:jc w:val="right"/>
              <w:rPr>
                <w:rFonts w:ascii="Arial" w:eastAsia="Calibri" w:hAnsi="Arial" w:cs="Arial"/>
                <w:b/>
                <w:bCs/>
                <w:color w:val="000000"/>
                <w:sz w:val="16"/>
                <w:szCs w:val="16"/>
              </w:rPr>
            </w:pPr>
          </w:p>
        </w:tc>
        <w:tc>
          <w:tcPr>
            <w:tcW w:w="1219" w:type="dxa"/>
            <w:gridSpan w:val="2"/>
            <w:tcBorders>
              <w:top w:val="nil"/>
              <w:left w:val="nil"/>
              <w:bottom w:val="nil"/>
              <w:right w:val="nil"/>
            </w:tcBorders>
            <w:shd w:val="clear" w:color="auto" w:fill="auto"/>
            <w:vAlign w:val="center"/>
          </w:tcPr>
          <w:p w14:paraId="63F171FE" w14:textId="77777777" w:rsidR="001B247D" w:rsidRPr="003D1614" w:rsidRDefault="001B247D" w:rsidP="001B247D">
            <w:pPr>
              <w:suppressAutoHyphens/>
              <w:autoSpaceDN w:val="0"/>
              <w:jc w:val="center"/>
              <w:rPr>
                <w:rFonts w:ascii="Arial" w:eastAsia="Calibri" w:hAnsi="Arial" w:cs="Arial"/>
                <w:b/>
                <w:bCs/>
                <w:color w:val="000000"/>
                <w:sz w:val="16"/>
                <w:szCs w:val="16"/>
              </w:rPr>
            </w:pPr>
          </w:p>
        </w:tc>
        <w:tc>
          <w:tcPr>
            <w:tcW w:w="1123" w:type="dxa"/>
            <w:tcBorders>
              <w:top w:val="nil"/>
              <w:left w:val="nil"/>
              <w:bottom w:val="nil"/>
              <w:right w:val="nil"/>
            </w:tcBorders>
            <w:shd w:val="clear" w:color="auto" w:fill="auto"/>
            <w:vAlign w:val="center"/>
          </w:tcPr>
          <w:p w14:paraId="40AF0460" w14:textId="77777777" w:rsidR="001B247D" w:rsidRPr="003D1614" w:rsidRDefault="001B247D" w:rsidP="001B247D">
            <w:pPr>
              <w:suppressAutoHyphens/>
              <w:autoSpaceDN w:val="0"/>
              <w:jc w:val="center"/>
              <w:rPr>
                <w:rFonts w:ascii="Arial" w:eastAsia="Calibri" w:hAnsi="Arial" w:cs="Arial"/>
                <w:b/>
                <w:bCs/>
                <w:color w:val="000000"/>
                <w:sz w:val="16"/>
                <w:szCs w:val="16"/>
              </w:rPr>
            </w:pPr>
          </w:p>
        </w:tc>
        <w:tc>
          <w:tcPr>
            <w:tcW w:w="1197" w:type="dxa"/>
            <w:tcBorders>
              <w:top w:val="nil"/>
              <w:left w:val="nil"/>
              <w:bottom w:val="nil"/>
              <w:right w:val="nil"/>
            </w:tcBorders>
            <w:shd w:val="clear" w:color="auto" w:fill="auto"/>
            <w:vAlign w:val="center"/>
          </w:tcPr>
          <w:p w14:paraId="1547AE52" w14:textId="77777777" w:rsidR="001B247D" w:rsidRPr="003D1614" w:rsidRDefault="001B247D" w:rsidP="001B247D">
            <w:pPr>
              <w:suppressAutoHyphens/>
              <w:autoSpaceDN w:val="0"/>
              <w:jc w:val="center"/>
              <w:rPr>
                <w:rFonts w:ascii="Arial" w:eastAsia="Calibri" w:hAnsi="Arial" w:cs="Arial"/>
                <w:b/>
                <w:bCs/>
                <w:color w:val="000000"/>
                <w:sz w:val="16"/>
                <w:szCs w:val="16"/>
              </w:rPr>
            </w:pPr>
          </w:p>
        </w:tc>
        <w:tc>
          <w:tcPr>
            <w:tcW w:w="1156" w:type="dxa"/>
            <w:tcBorders>
              <w:top w:val="nil"/>
              <w:left w:val="nil"/>
              <w:bottom w:val="nil"/>
              <w:right w:val="nil"/>
            </w:tcBorders>
            <w:shd w:val="clear" w:color="auto" w:fill="auto"/>
            <w:vAlign w:val="center"/>
          </w:tcPr>
          <w:p w14:paraId="79F7324A" w14:textId="16F5084A" w:rsidR="001B247D" w:rsidRPr="003D1614" w:rsidRDefault="001B247D" w:rsidP="001B247D">
            <w:pPr>
              <w:suppressAutoHyphens/>
              <w:autoSpaceDN w:val="0"/>
              <w:jc w:val="right"/>
              <w:rPr>
                <w:rFonts w:ascii="Arial" w:eastAsia="Calibri" w:hAnsi="Arial" w:cs="Arial"/>
                <w:b/>
                <w:bCs/>
                <w:color w:val="000000"/>
                <w:sz w:val="16"/>
                <w:szCs w:val="16"/>
              </w:rPr>
            </w:pPr>
            <w:r w:rsidRPr="003D1614">
              <w:rPr>
                <w:rFonts w:ascii="Arial" w:eastAsia="Calibri" w:hAnsi="Arial" w:cs="Arial"/>
                <w:b/>
                <w:bCs/>
                <w:color w:val="000000"/>
                <w:sz w:val="16"/>
                <w:szCs w:val="16"/>
              </w:rPr>
              <w:t>000 eura</w:t>
            </w:r>
          </w:p>
        </w:tc>
        <w:tc>
          <w:tcPr>
            <w:tcW w:w="1156" w:type="dxa"/>
            <w:tcBorders>
              <w:top w:val="nil"/>
              <w:left w:val="nil"/>
              <w:bottom w:val="nil"/>
              <w:right w:val="nil"/>
            </w:tcBorders>
            <w:shd w:val="clear" w:color="auto" w:fill="auto"/>
            <w:vAlign w:val="center"/>
          </w:tcPr>
          <w:p w14:paraId="1B512B0F" w14:textId="62C96547" w:rsidR="001B247D" w:rsidRPr="003D1614" w:rsidRDefault="001B247D" w:rsidP="001B247D">
            <w:pPr>
              <w:suppressAutoHyphens/>
              <w:autoSpaceDN w:val="0"/>
              <w:jc w:val="right"/>
              <w:rPr>
                <w:rFonts w:ascii="Arial" w:eastAsia="Calibri" w:hAnsi="Arial" w:cs="Arial"/>
                <w:b/>
                <w:bCs/>
                <w:color w:val="000000"/>
                <w:sz w:val="16"/>
                <w:szCs w:val="16"/>
              </w:rPr>
            </w:pPr>
            <w:r w:rsidRPr="003D1614">
              <w:rPr>
                <w:rFonts w:ascii="Arial" w:eastAsia="Calibri" w:hAnsi="Arial" w:cs="Arial"/>
                <w:b/>
                <w:bCs/>
                <w:color w:val="000000"/>
                <w:sz w:val="16"/>
                <w:szCs w:val="16"/>
              </w:rPr>
              <w:t>000 eura</w:t>
            </w:r>
          </w:p>
        </w:tc>
        <w:tc>
          <w:tcPr>
            <w:tcW w:w="1156" w:type="dxa"/>
            <w:tcBorders>
              <w:top w:val="nil"/>
              <w:left w:val="nil"/>
              <w:bottom w:val="nil"/>
              <w:right w:val="nil"/>
            </w:tcBorders>
            <w:shd w:val="clear" w:color="auto" w:fill="auto"/>
            <w:vAlign w:val="center"/>
          </w:tcPr>
          <w:p w14:paraId="13EDA0C4" w14:textId="0D28A948" w:rsidR="001B247D" w:rsidRPr="003D1614" w:rsidRDefault="001B247D" w:rsidP="001B247D">
            <w:pPr>
              <w:suppressAutoHyphens/>
              <w:autoSpaceDN w:val="0"/>
              <w:jc w:val="right"/>
              <w:rPr>
                <w:rFonts w:ascii="Arial" w:eastAsia="Calibri" w:hAnsi="Arial" w:cs="Arial"/>
                <w:b/>
                <w:bCs/>
                <w:color w:val="000000"/>
                <w:sz w:val="16"/>
                <w:szCs w:val="16"/>
              </w:rPr>
            </w:pPr>
            <w:r w:rsidRPr="003D1614">
              <w:rPr>
                <w:rFonts w:ascii="Arial" w:eastAsia="Calibri" w:hAnsi="Arial" w:cs="Arial"/>
                <w:b/>
                <w:bCs/>
                <w:color w:val="000000"/>
                <w:sz w:val="16"/>
                <w:szCs w:val="16"/>
              </w:rPr>
              <w:t>000 eura</w:t>
            </w:r>
          </w:p>
        </w:tc>
        <w:tc>
          <w:tcPr>
            <w:tcW w:w="1156" w:type="dxa"/>
            <w:tcBorders>
              <w:top w:val="nil"/>
              <w:left w:val="nil"/>
              <w:bottom w:val="nil"/>
              <w:right w:val="nil"/>
            </w:tcBorders>
            <w:shd w:val="clear" w:color="auto" w:fill="auto"/>
            <w:vAlign w:val="center"/>
          </w:tcPr>
          <w:p w14:paraId="1E3D292A" w14:textId="6037EF29" w:rsidR="001B247D" w:rsidRPr="003D1614" w:rsidRDefault="001B247D" w:rsidP="001B247D">
            <w:pPr>
              <w:suppressAutoHyphens/>
              <w:autoSpaceDN w:val="0"/>
              <w:jc w:val="right"/>
              <w:rPr>
                <w:rFonts w:ascii="Arial" w:eastAsia="Calibri" w:hAnsi="Arial" w:cs="Arial"/>
                <w:b/>
                <w:bCs/>
                <w:color w:val="000000"/>
                <w:sz w:val="16"/>
                <w:szCs w:val="16"/>
              </w:rPr>
            </w:pPr>
            <w:r w:rsidRPr="003D1614">
              <w:rPr>
                <w:rFonts w:ascii="Arial" w:eastAsia="Calibri" w:hAnsi="Arial" w:cs="Arial"/>
                <w:b/>
                <w:bCs/>
                <w:color w:val="000000"/>
                <w:sz w:val="16"/>
                <w:szCs w:val="16"/>
              </w:rPr>
              <w:t>000 eura</w:t>
            </w:r>
          </w:p>
        </w:tc>
      </w:tr>
      <w:tr w:rsidR="001B247D" w:rsidRPr="003D1614" w14:paraId="202012DC" w14:textId="77777777" w:rsidTr="00AD0393">
        <w:trPr>
          <w:trHeight w:val="271"/>
        </w:trPr>
        <w:tc>
          <w:tcPr>
            <w:tcW w:w="2693" w:type="dxa"/>
            <w:tcBorders>
              <w:top w:val="nil"/>
              <w:left w:val="nil"/>
              <w:bottom w:val="nil"/>
              <w:right w:val="nil"/>
            </w:tcBorders>
            <w:shd w:val="clear" w:color="auto" w:fill="auto"/>
            <w:noWrap/>
            <w:vAlign w:val="center"/>
            <w:hideMark/>
          </w:tcPr>
          <w:p w14:paraId="432F4560" w14:textId="77777777" w:rsidR="001B247D" w:rsidRPr="003D1614" w:rsidRDefault="001B247D" w:rsidP="001B247D">
            <w:pPr>
              <w:suppressAutoHyphens/>
              <w:autoSpaceDN w:val="0"/>
              <w:jc w:val="both"/>
              <w:rPr>
                <w:rFonts w:ascii="Arial" w:eastAsia="Calibri" w:hAnsi="Arial" w:cs="Arial"/>
                <w:b/>
                <w:bCs/>
                <w:color w:val="000000"/>
                <w:sz w:val="16"/>
                <w:szCs w:val="16"/>
              </w:rPr>
            </w:pPr>
            <w:r w:rsidRPr="003D1614">
              <w:rPr>
                <w:rFonts w:ascii="Arial" w:eastAsia="Calibri" w:hAnsi="Arial" w:cs="Arial"/>
                <w:b/>
                <w:bCs/>
                <w:color w:val="000000"/>
                <w:sz w:val="16"/>
                <w:szCs w:val="16"/>
              </w:rPr>
              <w:t>Dužnički vrijednosni papiri:</w:t>
            </w:r>
          </w:p>
        </w:tc>
        <w:tc>
          <w:tcPr>
            <w:tcW w:w="1219" w:type="dxa"/>
            <w:gridSpan w:val="2"/>
            <w:tcBorders>
              <w:top w:val="nil"/>
              <w:left w:val="nil"/>
              <w:bottom w:val="nil"/>
              <w:right w:val="nil"/>
            </w:tcBorders>
            <w:shd w:val="clear" w:color="auto" w:fill="auto"/>
            <w:noWrap/>
            <w:vAlign w:val="bottom"/>
            <w:hideMark/>
          </w:tcPr>
          <w:p w14:paraId="07855F40" w14:textId="77777777" w:rsidR="001B247D" w:rsidRPr="003D1614" w:rsidRDefault="001B247D" w:rsidP="001B247D">
            <w:pPr>
              <w:suppressAutoHyphens/>
              <w:autoSpaceDN w:val="0"/>
              <w:jc w:val="both"/>
              <w:rPr>
                <w:rFonts w:ascii="Arial" w:eastAsia="Calibri" w:hAnsi="Arial" w:cs="Arial"/>
                <w:b/>
                <w:bCs/>
                <w:color w:val="000000"/>
                <w:sz w:val="16"/>
                <w:szCs w:val="16"/>
              </w:rPr>
            </w:pPr>
          </w:p>
        </w:tc>
        <w:tc>
          <w:tcPr>
            <w:tcW w:w="1123" w:type="dxa"/>
            <w:tcBorders>
              <w:top w:val="nil"/>
              <w:left w:val="nil"/>
              <w:bottom w:val="nil"/>
              <w:right w:val="nil"/>
            </w:tcBorders>
            <w:shd w:val="clear" w:color="auto" w:fill="auto"/>
            <w:noWrap/>
            <w:vAlign w:val="bottom"/>
            <w:hideMark/>
          </w:tcPr>
          <w:p w14:paraId="22A3D8E4" w14:textId="77777777" w:rsidR="001B247D" w:rsidRPr="003D1614" w:rsidRDefault="001B247D" w:rsidP="001B247D">
            <w:pPr>
              <w:suppressAutoHyphens/>
              <w:autoSpaceDN w:val="0"/>
              <w:rPr>
                <w:rFonts w:ascii="Arial" w:eastAsia="Calibri" w:hAnsi="Arial" w:cs="Arial"/>
                <w:color w:val="000000"/>
                <w:sz w:val="16"/>
                <w:szCs w:val="16"/>
              </w:rPr>
            </w:pPr>
          </w:p>
        </w:tc>
        <w:tc>
          <w:tcPr>
            <w:tcW w:w="1197" w:type="dxa"/>
            <w:tcBorders>
              <w:top w:val="nil"/>
              <w:left w:val="nil"/>
              <w:bottom w:val="nil"/>
              <w:right w:val="nil"/>
            </w:tcBorders>
            <w:shd w:val="clear" w:color="auto" w:fill="auto"/>
            <w:vAlign w:val="bottom"/>
            <w:hideMark/>
          </w:tcPr>
          <w:p w14:paraId="02C476FA" w14:textId="77777777" w:rsidR="001B247D" w:rsidRPr="003D1614" w:rsidRDefault="001B247D" w:rsidP="001B247D">
            <w:pPr>
              <w:suppressAutoHyphens/>
              <w:autoSpaceDN w:val="0"/>
              <w:rPr>
                <w:rFonts w:ascii="Arial" w:eastAsia="Calibri" w:hAnsi="Arial" w:cs="Arial"/>
                <w:color w:val="000000"/>
                <w:sz w:val="16"/>
                <w:szCs w:val="16"/>
              </w:rPr>
            </w:pPr>
          </w:p>
        </w:tc>
        <w:tc>
          <w:tcPr>
            <w:tcW w:w="1156" w:type="dxa"/>
            <w:tcBorders>
              <w:top w:val="nil"/>
              <w:left w:val="nil"/>
              <w:bottom w:val="nil"/>
              <w:right w:val="nil"/>
            </w:tcBorders>
          </w:tcPr>
          <w:p w14:paraId="4615079F" w14:textId="77777777" w:rsidR="001B247D" w:rsidRPr="003D1614" w:rsidRDefault="001B247D" w:rsidP="001B247D">
            <w:pPr>
              <w:suppressAutoHyphens/>
              <w:autoSpaceDN w:val="0"/>
              <w:rPr>
                <w:rFonts w:ascii="Arial" w:eastAsia="Calibri" w:hAnsi="Arial" w:cs="Arial"/>
                <w:color w:val="000000"/>
                <w:sz w:val="16"/>
                <w:szCs w:val="16"/>
              </w:rPr>
            </w:pPr>
          </w:p>
        </w:tc>
        <w:tc>
          <w:tcPr>
            <w:tcW w:w="1156" w:type="dxa"/>
            <w:tcBorders>
              <w:top w:val="nil"/>
              <w:left w:val="nil"/>
              <w:bottom w:val="nil"/>
              <w:right w:val="nil"/>
            </w:tcBorders>
          </w:tcPr>
          <w:p w14:paraId="2FD23E73" w14:textId="77777777" w:rsidR="001B247D" w:rsidRPr="003D1614" w:rsidRDefault="001B247D" w:rsidP="001B247D">
            <w:pPr>
              <w:suppressAutoHyphens/>
              <w:autoSpaceDN w:val="0"/>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center"/>
          </w:tcPr>
          <w:p w14:paraId="2FB28A89" w14:textId="77777777" w:rsidR="001B247D" w:rsidRPr="003D1614" w:rsidRDefault="001B247D" w:rsidP="001B247D">
            <w:pPr>
              <w:suppressAutoHyphens/>
              <w:autoSpaceDN w:val="0"/>
              <w:jc w:val="both"/>
              <w:rPr>
                <w:rFonts w:ascii="Arial" w:eastAsia="Calibri" w:hAnsi="Arial" w:cs="Arial"/>
                <w:color w:val="000000"/>
                <w:sz w:val="16"/>
                <w:szCs w:val="16"/>
              </w:rPr>
            </w:pPr>
          </w:p>
        </w:tc>
        <w:tc>
          <w:tcPr>
            <w:tcW w:w="1156" w:type="dxa"/>
            <w:tcBorders>
              <w:top w:val="nil"/>
              <w:left w:val="nil"/>
              <w:bottom w:val="nil"/>
              <w:right w:val="nil"/>
            </w:tcBorders>
            <w:hideMark/>
          </w:tcPr>
          <w:p w14:paraId="6F796B8E" w14:textId="77777777" w:rsidR="001B247D" w:rsidRPr="003D1614" w:rsidRDefault="001B247D" w:rsidP="001B247D">
            <w:pPr>
              <w:suppressAutoHyphens/>
              <w:autoSpaceDN w:val="0"/>
              <w:jc w:val="both"/>
              <w:rPr>
                <w:rFonts w:ascii="Arial" w:eastAsia="Calibri" w:hAnsi="Arial" w:cs="Arial"/>
                <w:color w:val="000000"/>
                <w:sz w:val="16"/>
                <w:szCs w:val="16"/>
              </w:rPr>
            </w:pPr>
          </w:p>
        </w:tc>
      </w:tr>
      <w:tr w:rsidR="001B247D" w:rsidRPr="003D1614" w14:paraId="2FC0803E" w14:textId="77777777" w:rsidTr="00AD0393">
        <w:trPr>
          <w:trHeight w:val="229"/>
        </w:trPr>
        <w:tc>
          <w:tcPr>
            <w:tcW w:w="3912" w:type="dxa"/>
            <w:gridSpan w:val="3"/>
            <w:tcBorders>
              <w:top w:val="nil"/>
              <w:left w:val="nil"/>
              <w:bottom w:val="nil"/>
              <w:right w:val="nil"/>
            </w:tcBorders>
            <w:shd w:val="clear" w:color="auto" w:fill="auto"/>
            <w:noWrap/>
            <w:vAlign w:val="bottom"/>
            <w:hideMark/>
          </w:tcPr>
          <w:p w14:paraId="09804789" w14:textId="77777777" w:rsidR="001B247D" w:rsidRPr="003D1614" w:rsidRDefault="001B247D" w:rsidP="001B247D">
            <w:pPr>
              <w:suppressAutoHyphens/>
              <w:autoSpaceDN w:val="0"/>
              <w:jc w:val="both"/>
              <w:rPr>
                <w:rFonts w:ascii="Arial" w:eastAsia="Calibri" w:hAnsi="Arial" w:cs="Arial"/>
                <w:color w:val="000000"/>
                <w:sz w:val="16"/>
                <w:szCs w:val="16"/>
              </w:rPr>
            </w:pPr>
            <w:r w:rsidRPr="003D1614">
              <w:rPr>
                <w:rFonts w:ascii="Arial" w:eastAsia="Calibri" w:hAnsi="Arial" w:cs="Arial"/>
                <w:color w:val="000000"/>
                <w:sz w:val="16"/>
                <w:szCs w:val="16"/>
              </w:rPr>
              <w:t>Dužnički vrijednosni papiri koji kotiraju:</w:t>
            </w:r>
          </w:p>
        </w:tc>
        <w:tc>
          <w:tcPr>
            <w:tcW w:w="1123" w:type="dxa"/>
            <w:tcBorders>
              <w:top w:val="nil"/>
              <w:left w:val="nil"/>
              <w:bottom w:val="nil"/>
              <w:right w:val="nil"/>
            </w:tcBorders>
            <w:shd w:val="clear" w:color="auto" w:fill="auto"/>
            <w:noWrap/>
            <w:vAlign w:val="bottom"/>
            <w:hideMark/>
          </w:tcPr>
          <w:p w14:paraId="1944FC6F" w14:textId="77777777" w:rsidR="001B247D" w:rsidRPr="003D1614" w:rsidRDefault="001B247D" w:rsidP="001B247D">
            <w:pPr>
              <w:suppressAutoHyphens/>
              <w:autoSpaceDN w:val="0"/>
              <w:jc w:val="center"/>
              <w:rPr>
                <w:rFonts w:ascii="Arial" w:eastAsia="Calibri" w:hAnsi="Arial" w:cs="Arial"/>
                <w:color w:val="000000"/>
                <w:sz w:val="16"/>
                <w:szCs w:val="16"/>
              </w:rPr>
            </w:pPr>
          </w:p>
        </w:tc>
        <w:tc>
          <w:tcPr>
            <w:tcW w:w="1197" w:type="dxa"/>
            <w:tcBorders>
              <w:top w:val="nil"/>
              <w:left w:val="nil"/>
              <w:bottom w:val="nil"/>
              <w:right w:val="nil"/>
            </w:tcBorders>
            <w:shd w:val="clear" w:color="auto" w:fill="auto"/>
            <w:vAlign w:val="bottom"/>
            <w:hideMark/>
          </w:tcPr>
          <w:p w14:paraId="0694E181" w14:textId="77777777" w:rsidR="001B247D" w:rsidRPr="003D1614" w:rsidRDefault="001B247D" w:rsidP="001B247D">
            <w:pPr>
              <w:suppressAutoHyphens/>
              <w:autoSpaceDN w:val="0"/>
              <w:jc w:val="both"/>
              <w:rPr>
                <w:rFonts w:ascii="Arial" w:eastAsia="Calibri" w:hAnsi="Arial" w:cs="Arial"/>
                <w:color w:val="000000"/>
                <w:sz w:val="16"/>
                <w:szCs w:val="16"/>
              </w:rPr>
            </w:pPr>
          </w:p>
        </w:tc>
        <w:tc>
          <w:tcPr>
            <w:tcW w:w="1156" w:type="dxa"/>
            <w:tcBorders>
              <w:top w:val="nil"/>
              <w:left w:val="nil"/>
              <w:bottom w:val="nil"/>
              <w:right w:val="nil"/>
            </w:tcBorders>
          </w:tcPr>
          <w:p w14:paraId="189BC7AA" w14:textId="77777777" w:rsidR="001B247D" w:rsidRPr="003D1614" w:rsidRDefault="001B247D" w:rsidP="001B247D">
            <w:pPr>
              <w:suppressAutoHyphens/>
              <w:autoSpaceDN w:val="0"/>
              <w:jc w:val="both"/>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2B478845" w14:textId="77777777" w:rsidR="001B247D" w:rsidRPr="003D1614" w:rsidRDefault="001B247D" w:rsidP="001B247D">
            <w:pPr>
              <w:suppressAutoHyphens/>
              <w:autoSpaceDN w:val="0"/>
              <w:jc w:val="both"/>
              <w:rPr>
                <w:rFonts w:ascii="Arial" w:eastAsia="Calibri" w:hAnsi="Arial" w:cs="Arial"/>
                <w:color w:val="000000"/>
                <w:sz w:val="16"/>
                <w:szCs w:val="16"/>
              </w:rPr>
            </w:pPr>
          </w:p>
        </w:tc>
        <w:tc>
          <w:tcPr>
            <w:tcW w:w="1156" w:type="dxa"/>
            <w:tcBorders>
              <w:top w:val="nil"/>
              <w:left w:val="nil"/>
              <w:bottom w:val="nil"/>
              <w:right w:val="nil"/>
            </w:tcBorders>
          </w:tcPr>
          <w:p w14:paraId="72438BCA" w14:textId="77777777" w:rsidR="001B247D" w:rsidRPr="003D1614" w:rsidRDefault="001B247D" w:rsidP="001B247D">
            <w:pPr>
              <w:suppressAutoHyphens/>
              <w:autoSpaceDN w:val="0"/>
              <w:jc w:val="both"/>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hideMark/>
          </w:tcPr>
          <w:p w14:paraId="2456C496" w14:textId="77777777" w:rsidR="001B247D" w:rsidRPr="003D1614" w:rsidRDefault="001B247D" w:rsidP="001B247D">
            <w:pPr>
              <w:suppressAutoHyphens/>
              <w:autoSpaceDN w:val="0"/>
              <w:jc w:val="both"/>
              <w:rPr>
                <w:rFonts w:ascii="Arial" w:eastAsia="Calibri" w:hAnsi="Arial" w:cs="Arial"/>
                <w:color w:val="000000"/>
                <w:sz w:val="16"/>
                <w:szCs w:val="16"/>
              </w:rPr>
            </w:pPr>
          </w:p>
        </w:tc>
      </w:tr>
      <w:tr w:rsidR="001B247D" w:rsidRPr="003D1614" w14:paraId="4BB6636D" w14:textId="77777777" w:rsidTr="00AD0393">
        <w:trPr>
          <w:trHeight w:hRule="exact" w:val="227"/>
        </w:trPr>
        <w:tc>
          <w:tcPr>
            <w:tcW w:w="5035" w:type="dxa"/>
            <w:gridSpan w:val="4"/>
            <w:tcBorders>
              <w:top w:val="nil"/>
              <w:left w:val="nil"/>
              <w:bottom w:val="nil"/>
              <w:right w:val="nil"/>
            </w:tcBorders>
            <w:shd w:val="clear" w:color="auto" w:fill="auto"/>
            <w:noWrap/>
            <w:vAlign w:val="bottom"/>
            <w:hideMark/>
          </w:tcPr>
          <w:p w14:paraId="07048486" w14:textId="11528408" w:rsidR="001B247D" w:rsidRPr="003D1614" w:rsidRDefault="001B247D" w:rsidP="001B247D">
            <w:pPr>
              <w:suppressAutoHyphens/>
              <w:autoSpaceDN w:val="0"/>
              <w:jc w:val="both"/>
              <w:rPr>
                <w:rFonts w:ascii="Arial" w:eastAsia="Calibri" w:hAnsi="Arial" w:cs="Arial"/>
                <w:i/>
                <w:iCs/>
                <w:color w:val="000000"/>
                <w:sz w:val="16"/>
                <w:szCs w:val="16"/>
              </w:rPr>
            </w:pPr>
            <w:r w:rsidRPr="003D1614">
              <w:rPr>
                <w:rFonts w:ascii="Arial" w:eastAsia="Calibri" w:hAnsi="Arial" w:cs="Arial"/>
                <w:i/>
                <w:iCs/>
                <w:color w:val="000000"/>
                <w:sz w:val="16"/>
                <w:szCs w:val="16"/>
              </w:rPr>
              <w:t>Obveznice Republike Hrvatske:</w:t>
            </w:r>
          </w:p>
        </w:tc>
        <w:tc>
          <w:tcPr>
            <w:tcW w:w="1197" w:type="dxa"/>
            <w:tcBorders>
              <w:top w:val="nil"/>
              <w:left w:val="nil"/>
              <w:bottom w:val="nil"/>
              <w:right w:val="nil"/>
            </w:tcBorders>
            <w:shd w:val="clear" w:color="auto" w:fill="auto"/>
            <w:noWrap/>
            <w:vAlign w:val="bottom"/>
            <w:hideMark/>
          </w:tcPr>
          <w:p w14:paraId="535CAC6B" w14:textId="77777777" w:rsidR="001B247D" w:rsidRPr="003D1614" w:rsidRDefault="001B247D" w:rsidP="001B247D">
            <w:pPr>
              <w:suppressAutoHyphens/>
              <w:autoSpaceDN w:val="0"/>
              <w:jc w:val="both"/>
              <w:rPr>
                <w:rFonts w:ascii="Arial" w:eastAsia="Calibri" w:hAnsi="Arial" w:cs="Arial"/>
                <w:i/>
                <w:iCs/>
                <w:color w:val="000000"/>
                <w:sz w:val="16"/>
                <w:szCs w:val="16"/>
              </w:rPr>
            </w:pPr>
          </w:p>
        </w:tc>
        <w:tc>
          <w:tcPr>
            <w:tcW w:w="1156" w:type="dxa"/>
            <w:tcBorders>
              <w:top w:val="nil"/>
              <w:left w:val="nil"/>
              <w:bottom w:val="nil"/>
              <w:right w:val="nil"/>
            </w:tcBorders>
            <w:vAlign w:val="bottom"/>
          </w:tcPr>
          <w:p w14:paraId="254F775D" w14:textId="77777777" w:rsidR="001B247D" w:rsidRPr="003D1614" w:rsidRDefault="001B247D" w:rsidP="001B247D">
            <w:pPr>
              <w:suppressAutoHyphens/>
              <w:autoSpaceDN w:val="0"/>
              <w:jc w:val="right"/>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74A2F33D" w14:textId="77777777" w:rsidR="001B247D" w:rsidRPr="003D1614" w:rsidRDefault="001B247D" w:rsidP="001B247D">
            <w:pPr>
              <w:suppressAutoHyphens/>
              <w:autoSpaceDN w:val="0"/>
              <w:jc w:val="right"/>
              <w:rPr>
                <w:rFonts w:ascii="Arial" w:eastAsia="Calibri" w:hAnsi="Arial" w:cs="Arial"/>
                <w:color w:val="000000"/>
                <w:sz w:val="16"/>
                <w:szCs w:val="16"/>
              </w:rPr>
            </w:pPr>
          </w:p>
        </w:tc>
        <w:tc>
          <w:tcPr>
            <w:tcW w:w="1156" w:type="dxa"/>
            <w:tcBorders>
              <w:top w:val="nil"/>
              <w:left w:val="nil"/>
              <w:bottom w:val="nil"/>
              <w:right w:val="nil"/>
            </w:tcBorders>
            <w:vAlign w:val="bottom"/>
          </w:tcPr>
          <w:p w14:paraId="2A5A5DCD" w14:textId="77777777" w:rsidR="001B247D" w:rsidRPr="003D1614" w:rsidRDefault="001B247D" w:rsidP="001B247D">
            <w:pPr>
              <w:suppressAutoHyphens/>
              <w:autoSpaceDN w:val="0"/>
              <w:jc w:val="right"/>
              <w:rPr>
                <w:rFonts w:ascii="Arial" w:eastAsia="Calibri" w:hAnsi="Arial" w:cs="Arial"/>
                <w:color w:val="000000"/>
                <w:sz w:val="16"/>
                <w:szCs w:val="16"/>
              </w:rPr>
            </w:pPr>
          </w:p>
        </w:tc>
        <w:tc>
          <w:tcPr>
            <w:tcW w:w="1156" w:type="dxa"/>
            <w:tcBorders>
              <w:top w:val="nil"/>
              <w:left w:val="nil"/>
              <w:bottom w:val="nil"/>
              <w:right w:val="nil"/>
            </w:tcBorders>
            <w:noWrap/>
            <w:vAlign w:val="bottom"/>
            <w:hideMark/>
          </w:tcPr>
          <w:p w14:paraId="67CD5803" w14:textId="77777777" w:rsidR="001B247D" w:rsidRPr="003D1614" w:rsidRDefault="001B247D" w:rsidP="001B247D">
            <w:pPr>
              <w:suppressAutoHyphens/>
              <w:autoSpaceDN w:val="0"/>
              <w:jc w:val="right"/>
              <w:rPr>
                <w:rFonts w:ascii="Arial" w:eastAsia="Calibri" w:hAnsi="Arial" w:cs="Arial"/>
                <w:color w:val="000000"/>
                <w:sz w:val="16"/>
                <w:szCs w:val="16"/>
              </w:rPr>
            </w:pPr>
          </w:p>
        </w:tc>
      </w:tr>
      <w:tr w:rsidR="00A4200F" w:rsidRPr="003D1614" w14:paraId="28229C60" w14:textId="77777777" w:rsidTr="009C767E">
        <w:trPr>
          <w:trHeight w:val="229"/>
        </w:trPr>
        <w:tc>
          <w:tcPr>
            <w:tcW w:w="2693" w:type="dxa"/>
            <w:tcBorders>
              <w:top w:val="nil"/>
              <w:left w:val="nil"/>
              <w:bottom w:val="nil"/>
              <w:right w:val="nil"/>
            </w:tcBorders>
            <w:shd w:val="clear" w:color="auto" w:fill="auto"/>
            <w:noWrap/>
            <w:vAlign w:val="bottom"/>
            <w:hideMark/>
          </w:tcPr>
          <w:p w14:paraId="609281C4" w14:textId="77777777" w:rsidR="00A4200F" w:rsidRPr="003D1614" w:rsidRDefault="00A4200F" w:rsidP="00A4200F">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RHMF-O-247E</w:t>
            </w:r>
          </w:p>
        </w:tc>
        <w:tc>
          <w:tcPr>
            <w:tcW w:w="1219" w:type="dxa"/>
            <w:gridSpan w:val="2"/>
            <w:tcBorders>
              <w:top w:val="nil"/>
              <w:left w:val="nil"/>
              <w:bottom w:val="nil"/>
              <w:right w:val="nil"/>
            </w:tcBorders>
            <w:shd w:val="clear" w:color="auto" w:fill="auto"/>
            <w:noWrap/>
            <w:vAlign w:val="bottom"/>
            <w:hideMark/>
          </w:tcPr>
          <w:p w14:paraId="6F891C2F" w14:textId="77777777" w:rsidR="00A4200F" w:rsidRPr="003D1614" w:rsidRDefault="00A4200F" w:rsidP="00A4200F">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10.7.2013.</w:t>
            </w:r>
          </w:p>
        </w:tc>
        <w:tc>
          <w:tcPr>
            <w:tcW w:w="1123" w:type="dxa"/>
            <w:tcBorders>
              <w:top w:val="nil"/>
              <w:left w:val="nil"/>
              <w:bottom w:val="nil"/>
              <w:right w:val="nil"/>
            </w:tcBorders>
            <w:shd w:val="clear" w:color="auto" w:fill="auto"/>
            <w:noWrap/>
            <w:vAlign w:val="bottom"/>
            <w:hideMark/>
          </w:tcPr>
          <w:p w14:paraId="7A0B2B0F" w14:textId="77777777" w:rsidR="00A4200F" w:rsidRPr="003D1614" w:rsidRDefault="00A4200F" w:rsidP="00A4200F">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10.7.2024.</w:t>
            </w:r>
          </w:p>
        </w:tc>
        <w:tc>
          <w:tcPr>
            <w:tcW w:w="1197" w:type="dxa"/>
            <w:tcBorders>
              <w:top w:val="nil"/>
              <w:left w:val="nil"/>
              <w:bottom w:val="nil"/>
              <w:right w:val="nil"/>
            </w:tcBorders>
            <w:shd w:val="clear" w:color="auto" w:fill="auto"/>
            <w:noWrap/>
            <w:vAlign w:val="bottom"/>
            <w:hideMark/>
          </w:tcPr>
          <w:p w14:paraId="197FE58C" w14:textId="77777777" w:rsidR="00A4200F" w:rsidRPr="003D1614" w:rsidRDefault="00A4200F" w:rsidP="00A4200F">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5,75</w:t>
            </w:r>
          </w:p>
        </w:tc>
        <w:tc>
          <w:tcPr>
            <w:tcW w:w="1156" w:type="dxa"/>
            <w:tcBorders>
              <w:top w:val="nil"/>
              <w:left w:val="nil"/>
              <w:bottom w:val="nil"/>
              <w:right w:val="nil"/>
            </w:tcBorders>
            <w:vAlign w:val="bottom"/>
          </w:tcPr>
          <w:p w14:paraId="5A95F284" w14:textId="76707E5C" w:rsidR="00A4200F" w:rsidRPr="003D1614" w:rsidRDefault="00AE577D" w:rsidP="00A4200F">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50.349</w:t>
            </w:r>
          </w:p>
        </w:tc>
        <w:tc>
          <w:tcPr>
            <w:tcW w:w="1156" w:type="dxa"/>
            <w:tcBorders>
              <w:top w:val="nil"/>
              <w:left w:val="nil"/>
              <w:bottom w:val="nil"/>
              <w:right w:val="nil"/>
            </w:tcBorders>
            <w:vAlign w:val="bottom"/>
          </w:tcPr>
          <w:p w14:paraId="458596CE" w14:textId="0DB7B8D7" w:rsidR="00A4200F" w:rsidRPr="003D1614" w:rsidRDefault="00A4200F" w:rsidP="00A4200F">
            <w:pPr>
              <w:suppressAutoHyphens/>
              <w:autoSpaceDN w:val="0"/>
              <w:jc w:val="right"/>
              <w:rPr>
                <w:rFonts w:ascii="Arial" w:eastAsia="Calibri" w:hAnsi="Arial" w:cs="Arial"/>
                <w:color w:val="000000"/>
                <w:sz w:val="16"/>
                <w:szCs w:val="16"/>
              </w:rPr>
            </w:pPr>
            <w:r w:rsidRPr="00771DD0">
              <w:rPr>
                <w:rFonts w:ascii="Arial" w:eastAsia="Calibri" w:hAnsi="Arial" w:cs="Arial"/>
                <w:color w:val="000000"/>
                <w:sz w:val="16"/>
                <w:szCs w:val="16"/>
              </w:rPr>
              <w:t>25.493</w:t>
            </w:r>
          </w:p>
        </w:tc>
        <w:tc>
          <w:tcPr>
            <w:tcW w:w="1156" w:type="dxa"/>
            <w:tcBorders>
              <w:top w:val="nil"/>
              <w:left w:val="nil"/>
              <w:bottom w:val="nil"/>
              <w:right w:val="nil"/>
            </w:tcBorders>
            <w:shd w:val="clear" w:color="auto" w:fill="auto"/>
            <w:vAlign w:val="bottom"/>
          </w:tcPr>
          <w:p w14:paraId="30F74969" w14:textId="02770E16" w:rsidR="00A4200F" w:rsidRPr="000D77BD" w:rsidRDefault="00B46275" w:rsidP="00A4200F">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49.766</w:t>
            </w:r>
          </w:p>
        </w:tc>
        <w:tc>
          <w:tcPr>
            <w:tcW w:w="1156" w:type="dxa"/>
            <w:tcBorders>
              <w:top w:val="nil"/>
              <w:left w:val="nil"/>
              <w:bottom w:val="nil"/>
              <w:right w:val="nil"/>
            </w:tcBorders>
            <w:shd w:val="clear" w:color="auto" w:fill="auto"/>
            <w:vAlign w:val="bottom"/>
          </w:tcPr>
          <w:p w14:paraId="19C7FC31" w14:textId="6FF39B55" w:rsidR="00A4200F" w:rsidRPr="000D77BD" w:rsidRDefault="00A4200F" w:rsidP="00A4200F">
            <w:pPr>
              <w:suppressAutoHyphens/>
              <w:autoSpaceDN w:val="0"/>
              <w:jc w:val="right"/>
              <w:rPr>
                <w:rFonts w:ascii="Arial" w:eastAsia="Calibri" w:hAnsi="Arial" w:cs="Arial"/>
                <w:color w:val="000000"/>
                <w:sz w:val="16"/>
                <w:szCs w:val="16"/>
                <w:lang w:eastAsia="hr-HR"/>
              </w:rPr>
            </w:pPr>
            <w:r w:rsidRPr="004738DB">
              <w:rPr>
                <w:rFonts w:ascii="Arial" w:eastAsia="Calibri" w:hAnsi="Arial" w:cs="Arial"/>
                <w:sz w:val="16"/>
                <w:szCs w:val="16"/>
                <w:lang w:eastAsia="hr-HR"/>
              </w:rPr>
              <w:t>24.905</w:t>
            </w:r>
          </w:p>
        </w:tc>
      </w:tr>
      <w:tr w:rsidR="00A4200F" w:rsidRPr="003D1614" w14:paraId="33BABF4D" w14:textId="77777777" w:rsidTr="009C767E">
        <w:trPr>
          <w:trHeight w:val="229"/>
        </w:trPr>
        <w:tc>
          <w:tcPr>
            <w:tcW w:w="2693" w:type="dxa"/>
            <w:tcBorders>
              <w:top w:val="nil"/>
              <w:left w:val="nil"/>
              <w:bottom w:val="nil"/>
              <w:right w:val="nil"/>
            </w:tcBorders>
            <w:shd w:val="clear" w:color="auto" w:fill="auto"/>
            <w:noWrap/>
            <w:vAlign w:val="bottom"/>
          </w:tcPr>
          <w:p w14:paraId="44714E87" w14:textId="77777777" w:rsidR="00A4200F" w:rsidRPr="003D1614" w:rsidRDefault="00A4200F" w:rsidP="00A4200F">
            <w:pPr>
              <w:suppressAutoHyphens/>
              <w:autoSpaceDN w:val="0"/>
              <w:jc w:val="right"/>
              <w:rPr>
                <w:rFonts w:ascii="Arial" w:eastAsia="Calibri" w:hAnsi="Arial" w:cs="Arial"/>
                <w:color w:val="000000"/>
                <w:sz w:val="16"/>
                <w:szCs w:val="16"/>
                <w:lang w:eastAsia="hr-HR"/>
              </w:rPr>
            </w:pPr>
            <w:r w:rsidRPr="003D1614">
              <w:rPr>
                <w:rFonts w:ascii="Arial" w:eastAsia="Calibri" w:hAnsi="Arial" w:cs="Arial"/>
                <w:color w:val="000000"/>
                <w:sz w:val="16"/>
                <w:szCs w:val="16"/>
                <w:lang w:eastAsia="hr-HR"/>
              </w:rPr>
              <w:t>RHMF-O-267E</w:t>
            </w:r>
          </w:p>
        </w:tc>
        <w:tc>
          <w:tcPr>
            <w:tcW w:w="1219" w:type="dxa"/>
            <w:gridSpan w:val="2"/>
            <w:tcBorders>
              <w:top w:val="nil"/>
              <w:left w:val="nil"/>
              <w:bottom w:val="nil"/>
              <w:right w:val="nil"/>
            </w:tcBorders>
            <w:shd w:val="clear" w:color="auto" w:fill="auto"/>
            <w:noWrap/>
            <w:vAlign w:val="bottom"/>
          </w:tcPr>
          <w:p w14:paraId="49DE6B42" w14:textId="77777777" w:rsidR="00A4200F" w:rsidRPr="003D1614" w:rsidRDefault="00A4200F" w:rsidP="00A4200F">
            <w:pPr>
              <w:suppressAutoHyphens/>
              <w:autoSpaceDN w:val="0"/>
              <w:jc w:val="right"/>
              <w:rPr>
                <w:rFonts w:ascii="Arial" w:eastAsia="Calibri" w:hAnsi="Arial" w:cs="Arial"/>
                <w:color w:val="000000"/>
                <w:sz w:val="16"/>
                <w:szCs w:val="16"/>
                <w:lang w:eastAsia="hr-HR"/>
              </w:rPr>
            </w:pPr>
            <w:r w:rsidRPr="003D1614">
              <w:rPr>
                <w:rFonts w:ascii="Arial" w:eastAsia="Calibri" w:hAnsi="Arial" w:cs="Arial"/>
                <w:color w:val="000000"/>
                <w:sz w:val="16"/>
                <w:szCs w:val="16"/>
                <w:lang w:eastAsia="hr-HR"/>
              </w:rPr>
              <w:t>15.7.2022.</w:t>
            </w:r>
          </w:p>
        </w:tc>
        <w:tc>
          <w:tcPr>
            <w:tcW w:w="1123" w:type="dxa"/>
            <w:tcBorders>
              <w:top w:val="nil"/>
              <w:left w:val="nil"/>
              <w:bottom w:val="nil"/>
              <w:right w:val="nil"/>
            </w:tcBorders>
            <w:shd w:val="clear" w:color="auto" w:fill="auto"/>
            <w:noWrap/>
            <w:vAlign w:val="bottom"/>
          </w:tcPr>
          <w:p w14:paraId="74C59120" w14:textId="77777777" w:rsidR="00A4200F" w:rsidRPr="003D1614" w:rsidRDefault="00A4200F" w:rsidP="00A4200F">
            <w:pPr>
              <w:suppressAutoHyphens/>
              <w:autoSpaceDN w:val="0"/>
              <w:jc w:val="right"/>
              <w:rPr>
                <w:rFonts w:ascii="Arial" w:eastAsia="Calibri" w:hAnsi="Arial" w:cs="Arial"/>
                <w:color w:val="000000"/>
                <w:sz w:val="16"/>
                <w:szCs w:val="16"/>
                <w:lang w:eastAsia="hr-HR"/>
              </w:rPr>
            </w:pPr>
            <w:r w:rsidRPr="003D1614">
              <w:rPr>
                <w:rFonts w:ascii="Arial" w:eastAsia="Calibri" w:hAnsi="Arial" w:cs="Arial"/>
                <w:color w:val="000000"/>
                <w:sz w:val="16"/>
                <w:szCs w:val="16"/>
                <w:lang w:eastAsia="hr-HR"/>
              </w:rPr>
              <w:t>15.7.2026</w:t>
            </w:r>
          </w:p>
        </w:tc>
        <w:tc>
          <w:tcPr>
            <w:tcW w:w="1197" w:type="dxa"/>
            <w:tcBorders>
              <w:top w:val="nil"/>
              <w:left w:val="nil"/>
              <w:bottom w:val="nil"/>
              <w:right w:val="nil"/>
            </w:tcBorders>
            <w:shd w:val="clear" w:color="auto" w:fill="auto"/>
            <w:noWrap/>
            <w:vAlign w:val="bottom"/>
          </w:tcPr>
          <w:p w14:paraId="5A5D63C5" w14:textId="77777777" w:rsidR="00A4200F" w:rsidRPr="003D1614" w:rsidRDefault="00A4200F" w:rsidP="00A4200F">
            <w:pPr>
              <w:suppressAutoHyphens/>
              <w:autoSpaceDN w:val="0"/>
              <w:jc w:val="center"/>
              <w:rPr>
                <w:rFonts w:ascii="Arial" w:eastAsia="Calibri" w:hAnsi="Arial" w:cs="Arial"/>
                <w:color w:val="000000"/>
                <w:sz w:val="16"/>
                <w:szCs w:val="16"/>
                <w:lang w:eastAsia="hr-HR"/>
              </w:rPr>
            </w:pPr>
            <w:r w:rsidRPr="003D1614">
              <w:rPr>
                <w:rFonts w:ascii="Arial" w:eastAsia="Calibri" w:hAnsi="Arial" w:cs="Arial"/>
                <w:color w:val="000000"/>
                <w:sz w:val="16"/>
                <w:szCs w:val="16"/>
                <w:lang w:eastAsia="hr-HR"/>
              </w:rPr>
              <w:t>2,13</w:t>
            </w:r>
          </w:p>
        </w:tc>
        <w:tc>
          <w:tcPr>
            <w:tcW w:w="1156" w:type="dxa"/>
            <w:tcBorders>
              <w:top w:val="nil"/>
              <w:left w:val="nil"/>
              <w:bottom w:val="nil"/>
              <w:right w:val="nil"/>
            </w:tcBorders>
            <w:shd w:val="clear" w:color="auto" w:fill="auto"/>
            <w:vAlign w:val="bottom"/>
          </w:tcPr>
          <w:p w14:paraId="4BC9732D" w14:textId="6F6E6A63" w:rsidR="00A4200F" w:rsidRPr="003D1614" w:rsidRDefault="003E6F90" w:rsidP="00A4200F">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20.6</w:t>
            </w:r>
            <w:r w:rsidR="001C4E73">
              <w:rPr>
                <w:rFonts w:ascii="Arial" w:eastAsia="Calibri" w:hAnsi="Arial" w:cs="Arial"/>
                <w:color w:val="000000"/>
                <w:sz w:val="16"/>
                <w:szCs w:val="16"/>
              </w:rPr>
              <w:t>43</w:t>
            </w:r>
          </w:p>
        </w:tc>
        <w:tc>
          <w:tcPr>
            <w:tcW w:w="1156" w:type="dxa"/>
            <w:tcBorders>
              <w:top w:val="nil"/>
              <w:left w:val="nil"/>
              <w:bottom w:val="nil"/>
              <w:right w:val="nil"/>
            </w:tcBorders>
            <w:vAlign w:val="bottom"/>
          </w:tcPr>
          <w:p w14:paraId="0A5473CC" w14:textId="57A72331" w:rsidR="00A4200F" w:rsidRPr="003D1614" w:rsidRDefault="00A4200F" w:rsidP="00A4200F">
            <w:pPr>
              <w:suppressAutoHyphens/>
              <w:autoSpaceDN w:val="0"/>
              <w:jc w:val="right"/>
              <w:rPr>
                <w:rFonts w:ascii="Arial" w:eastAsia="Calibri" w:hAnsi="Arial" w:cs="Arial"/>
                <w:color w:val="000000"/>
                <w:sz w:val="16"/>
                <w:szCs w:val="16"/>
              </w:rPr>
            </w:pPr>
            <w:r w:rsidRPr="00771DD0">
              <w:rPr>
                <w:rFonts w:ascii="Arial" w:eastAsia="Calibri" w:hAnsi="Arial" w:cs="Arial"/>
                <w:color w:val="000000"/>
                <w:sz w:val="16"/>
                <w:szCs w:val="16"/>
              </w:rPr>
              <w:t>20.687</w:t>
            </w:r>
          </w:p>
        </w:tc>
        <w:tc>
          <w:tcPr>
            <w:tcW w:w="1156" w:type="dxa"/>
            <w:tcBorders>
              <w:top w:val="nil"/>
              <w:left w:val="nil"/>
              <w:bottom w:val="nil"/>
              <w:right w:val="nil"/>
            </w:tcBorders>
            <w:shd w:val="clear" w:color="auto" w:fill="auto"/>
            <w:vAlign w:val="bottom"/>
          </w:tcPr>
          <w:p w14:paraId="64EB028B" w14:textId="4DB8134D" w:rsidR="00A4200F" w:rsidRPr="000D77BD" w:rsidRDefault="00B46275" w:rsidP="00A4200F">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20.643</w:t>
            </w:r>
          </w:p>
        </w:tc>
        <w:tc>
          <w:tcPr>
            <w:tcW w:w="1156" w:type="dxa"/>
            <w:tcBorders>
              <w:top w:val="nil"/>
              <w:left w:val="nil"/>
              <w:bottom w:val="nil"/>
              <w:right w:val="nil"/>
            </w:tcBorders>
            <w:shd w:val="clear" w:color="auto" w:fill="auto"/>
            <w:vAlign w:val="bottom"/>
          </w:tcPr>
          <w:p w14:paraId="26CD797F" w14:textId="285C8846" w:rsidR="00A4200F" w:rsidRPr="000D77BD" w:rsidRDefault="00A4200F" w:rsidP="00A4200F">
            <w:pPr>
              <w:suppressAutoHyphens/>
              <w:autoSpaceDN w:val="0"/>
              <w:jc w:val="right"/>
              <w:rPr>
                <w:rFonts w:ascii="Arial" w:eastAsia="Calibri" w:hAnsi="Arial" w:cs="Arial"/>
                <w:color w:val="000000"/>
                <w:sz w:val="16"/>
                <w:szCs w:val="16"/>
                <w:lang w:eastAsia="hr-HR"/>
              </w:rPr>
            </w:pPr>
            <w:r w:rsidRPr="00F959D0">
              <w:rPr>
                <w:rFonts w:ascii="Arial" w:eastAsia="Calibri" w:hAnsi="Arial" w:cs="Arial"/>
                <w:color w:val="000000"/>
                <w:sz w:val="16"/>
                <w:szCs w:val="16"/>
              </w:rPr>
              <w:t>20.687</w:t>
            </w:r>
          </w:p>
        </w:tc>
      </w:tr>
      <w:tr w:rsidR="00A4200F" w:rsidRPr="003D1614" w14:paraId="3642A84D" w14:textId="77777777" w:rsidTr="00010DCD">
        <w:trPr>
          <w:trHeight w:val="229"/>
        </w:trPr>
        <w:tc>
          <w:tcPr>
            <w:tcW w:w="2693" w:type="dxa"/>
            <w:tcBorders>
              <w:top w:val="nil"/>
              <w:left w:val="nil"/>
              <w:bottom w:val="nil"/>
              <w:right w:val="nil"/>
            </w:tcBorders>
            <w:shd w:val="clear" w:color="auto" w:fill="auto"/>
            <w:noWrap/>
            <w:vAlign w:val="bottom"/>
            <w:hideMark/>
          </w:tcPr>
          <w:p w14:paraId="3EEB6D85" w14:textId="77777777" w:rsidR="00A4200F" w:rsidRPr="003D1614" w:rsidRDefault="00A4200F" w:rsidP="00A4200F">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XS1117298916</w:t>
            </w:r>
          </w:p>
        </w:tc>
        <w:tc>
          <w:tcPr>
            <w:tcW w:w="1219" w:type="dxa"/>
            <w:gridSpan w:val="2"/>
            <w:tcBorders>
              <w:top w:val="nil"/>
              <w:left w:val="nil"/>
              <w:bottom w:val="nil"/>
              <w:right w:val="nil"/>
            </w:tcBorders>
            <w:shd w:val="clear" w:color="auto" w:fill="auto"/>
            <w:noWrap/>
            <w:vAlign w:val="bottom"/>
            <w:hideMark/>
          </w:tcPr>
          <w:p w14:paraId="68D55FBB" w14:textId="77777777" w:rsidR="00A4200F" w:rsidRPr="003D1614" w:rsidRDefault="00A4200F" w:rsidP="00A4200F">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11.3.2015.</w:t>
            </w:r>
          </w:p>
        </w:tc>
        <w:tc>
          <w:tcPr>
            <w:tcW w:w="1123" w:type="dxa"/>
            <w:tcBorders>
              <w:top w:val="nil"/>
              <w:left w:val="nil"/>
              <w:bottom w:val="nil"/>
              <w:right w:val="nil"/>
            </w:tcBorders>
            <w:shd w:val="clear" w:color="auto" w:fill="auto"/>
            <w:noWrap/>
            <w:vAlign w:val="bottom"/>
            <w:hideMark/>
          </w:tcPr>
          <w:p w14:paraId="5CC66FA9" w14:textId="77777777" w:rsidR="00A4200F" w:rsidRPr="003D1614" w:rsidRDefault="00A4200F" w:rsidP="00A4200F">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11.3.2025.</w:t>
            </w:r>
          </w:p>
        </w:tc>
        <w:tc>
          <w:tcPr>
            <w:tcW w:w="1197" w:type="dxa"/>
            <w:tcBorders>
              <w:top w:val="nil"/>
              <w:left w:val="nil"/>
              <w:bottom w:val="nil"/>
              <w:right w:val="nil"/>
            </w:tcBorders>
            <w:shd w:val="clear" w:color="auto" w:fill="auto"/>
            <w:noWrap/>
            <w:vAlign w:val="bottom"/>
            <w:hideMark/>
          </w:tcPr>
          <w:p w14:paraId="43B6815C" w14:textId="77777777" w:rsidR="00A4200F" w:rsidRPr="003D1614" w:rsidRDefault="00A4200F" w:rsidP="00A4200F">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3,0</w:t>
            </w:r>
          </w:p>
        </w:tc>
        <w:tc>
          <w:tcPr>
            <w:tcW w:w="1156" w:type="dxa"/>
            <w:tcBorders>
              <w:top w:val="nil"/>
              <w:left w:val="nil"/>
              <w:bottom w:val="nil"/>
              <w:right w:val="nil"/>
            </w:tcBorders>
            <w:shd w:val="clear" w:color="auto" w:fill="auto"/>
            <w:vAlign w:val="bottom"/>
          </w:tcPr>
          <w:p w14:paraId="4B8D6D87" w14:textId="0E7A7BAA" w:rsidR="00A4200F" w:rsidRPr="003D1614" w:rsidRDefault="003E6F90" w:rsidP="00A4200F">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38.423</w:t>
            </w:r>
          </w:p>
        </w:tc>
        <w:tc>
          <w:tcPr>
            <w:tcW w:w="1156" w:type="dxa"/>
            <w:tcBorders>
              <w:top w:val="nil"/>
              <w:left w:val="nil"/>
              <w:bottom w:val="nil"/>
              <w:right w:val="nil"/>
            </w:tcBorders>
            <w:shd w:val="clear" w:color="auto" w:fill="auto"/>
            <w:vAlign w:val="bottom"/>
          </w:tcPr>
          <w:p w14:paraId="0BAFBC59" w14:textId="48F47DA8" w:rsidR="00A4200F" w:rsidRPr="003D1614" w:rsidRDefault="00A4200F" w:rsidP="00A4200F">
            <w:pPr>
              <w:suppressAutoHyphens/>
              <w:autoSpaceDN w:val="0"/>
              <w:jc w:val="right"/>
              <w:rPr>
                <w:rFonts w:ascii="Arial" w:eastAsia="Calibri" w:hAnsi="Arial" w:cs="Arial"/>
                <w:color w:val="000000"/>
                <w:sz w:val="16"/>
                <w:szCs w:val="16"/>
              </w:rPr>
            </w:pPr>
            <w:r w:rsidRPr="00174C1D">
              <w:rPr>
                <w:rFonts w:ascii="Arial" w:eastAsia="Calibri" w:hAnsi="Arial" w:cs="Arial"/>
                <w:color w:val="000000"/>
                <w:sz w:val="16"/>
                <w:szCs w:val="16"/>
              </w:rPr>
              <w:t>38.512</w:t>
            </w:r>
          </w:p>
        </w:tc>
        <w:tc>
          <w:tcPr>
            <w:tcW w:w="1156" w:type="dxa"/>
            <w:tcBorders>
              <w:top w:val="nil"/>
              <w:left w:val="nil"/>
              <w:bottom w:val="nil"/>
              <w:right w:val="nil"/>
            </w:tcBorders>
            <w:shd w:val="clear" w:color="auto" w:fill="auto"/>
            <w:vAlign w:val="bottom"/>
          </w:tcPr>
          <w:p w14:paraId="6FD94FD0" w14:textId="123DFDC4" w:rsidR="00A4200F" w:rsidRPr="000D77BD" w:rsidRDefault="00B46275" w:rsidP="00A4200F">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38.423</w:t>
            </w:r>
          </w:p>
        </w:tc>
        <w:tc>
          <w:tcPr>
            <w:tcW w:w="1156" w:type="dxa"/>
            <w:tcBorders>
              <w:top w:val="nil"/>
              <w:left w:val="nil"/>
              <w:bottom w:val="nil"/>
              <w:right w:val="nil"/>
            </w:tcBorders>
            <w:shd w:val="clear" w:color="auto" w:fill="auto"/>
            <w:vAlign w:val="bottom"/>
          </w:tcPr>
          <w:p w14:paraId="7ED7C237" w14:textId="60852304" w:rsidR="00A4200F" w:rsidRPr="000D77BD" w:rsidRDefault="00A4200F" w:rsidP="00A4200F">
            <w:pPr>
              <w:suppressAutoHyphens/>
              <w:autoSpaceDN w:val="0"/>
              <w:jc w:val="right"/>
              <w:rPr>
                <w:rFonts w:ascii="Arial" w:eastAsia="Calibri" w:hAnsi="Arial" w:cs="Arial"/>
                <w:color w:val="000000"/>
                <w:sz w:val="16"/>
                <w:szCs w:val="16"/>
              </w:rPr>
            </w:pPr>
            <w:r w:rsidRPr="00F959D0">
              <w:rPr>
                <w:rFonts w:ascii="Arial" w:eastAsia="Calibri" w:hAnsi="Arial" w:cs="Arial"/>
                <w:color w:val="000000"/>
                <w:sz w:val="16"/>
                <w:szCs w:val="16"/>
              </w:rPr>
              <w:t>38.512</w:t>
            </w:r>
          </w:p>
        </w:tc>
      </w:tr>
      <w:tr w:rsidR="00A4200F" w:rsidRPr="003D1614" w14:paraId="34AABCA3" w14:textId="77777777" w:rsidTr="00010DCD">
        <w:trPr>
          <w:trHeight w:val="229"/>
        </w:trPr>
        <w:tc>
          <w:tcPr>
            <w:tcW w:w="2693" w:type="dxa"/>
            <w:tcBorders>
              <w:top w:val="nil"/>
              <w:left w:val="nil"/>
              <w:bottom w:val="nil"/>
              <w:right w:val="nil"/>
            </w:tcBorders>
            <w:shd w:val="clear" w:color="auto" w:fill="auto"/>
            <w:noWrap/>
            <w:vAlign w:val="bottom"/>
          </w:tcPr>
          <w:p w14:paraId="363F503D" w14:textId="77777777" w:rsidR="00A4200F" w:rsidRPr="003D1614" w:rsidRDefault="00A4200F" w:rsidP="00A4200F">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XS1843434876</w:t>
            </w:r>
          </w:p>
        </w:tc>
        <w:tc>
          <w:tcPr>
            <w:tcW w:w="1219" w:type="dxa"/>
            <w:gridSpan w:val="2"/>
            <w:tcBorders>
              <w:top w:val="nil"/>
              <w:left w:val="nil"/>
              <w:bottom w:val="nil"/>
              <w:right w:val="nil"/>
            </w:tcBorders>
            <w:shd w:val="clear" w:color="auto" w:fill="auto"/>
            <w:noWrap/>
            <w:vAlign w:val="bottom"/>
          </w:tcPr>
          <w:p w14:paraId="35F60BD4" w14:textId="77777777" w:rsidR="00A4200F" w:rsidRPr="003D1614" w:rsidRDefault="00A4200F" w:rsidP="00A4200F">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19.6.2019.</w:t>
            </w:r>
          </w:p>
        </w:tc>
        <w:tc>
          <w:tcPr>
            <w:tcW w:w="1123" w:type="dxa"/>
            <w:tcBorders>
              <w:top w:val="nil"/>
              <w:left w:val="nil"/>
              <w:bottom w:val="nil"/>
              <w:right w:val="nil"/>
            </w:tcBorders>
            <w:shd w:val="clear" w:color="auto" w:fill="auto"/>
            <w:noWrap/>
            <w:vAlign w:val="bottom"/>
          </w:tcPr>
          <w:p w14:paraId="3B308B6C" w14:textId="77777777" w:rsidR="00A4200F" w:rsidRPr="003D1614" w:rsidRDefault="00A4200F" w:rsidP="00A4200F">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19.6.2029.</w:t>
            </w:r>
          </w:p>
        </w:tc>
        <w:tc>
          <w:tcPr>
            <w:tcW w:w="1197" w:type="dxa"/>
            <w:tcBorders>
              <w:top w:val="nil"/>
              <w:left w:val="nil"/>
              <w:bottom w:val="nil"/>
              <w:right w:val="nil"/>
            </w:tcBorders>
            <w:shd w:val="clear" w:color="auto" w:fill="auto"/>
            <w:noWrap/>
            <w:vAlign w:val="bottom"/>
          </w:tcPr>
          <w:p w14:paraId="50618C0B" w14:textId="77777777" w:rsidR="00A4200F" w:rsidRPr="003D1614" w:rsidRDefault="00A4200F" w:rsidP="00A4200F">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1,125</w:t>
            </w:r>
          </w:p>
        </w:tc>
        <w:tc>
          <w:tcPr>
            <w:tcW w:w="1156" w:type="dxa"/>
            <w:tcBorders>
              <w:top w:val="nil"/>
              <w:left w:val="nil"/>
              <w:bottom w:val="nil"/>
              <w:right w:val="nil"/>
            </w:tcBorders>
            <w:shd w:val="clear" w:color="auto" w:fill="auto"/>
            <w:vAlign w:val="bottom"/>
          </w:tcPr>
          <w:p w14:paraId="49466BB8" w14:textId="08E2BFA9" w:rsidR="00A4200F" w:rsidRPr="003D1614" w:rsidRDefault="003E6F90" w:rsidP="00A4200F">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1.812</w:t>
            </w:r>
          </w:p>
        </w:tc>
        <w:tc>
          <w:tcPr>
            <w:tcW w:w="1156" w:type="dxa"/>
            <w:tcBorders>
              <w:top w:val="nil"/>
              <w:left w:val="nil"/>
              <w:bottom w:val="nil"/>
              <w:right w:val="nil"/>
            </w:tcBorders>
            <w:shd w:val="clear" w:color="auto" w:fill="auto"/>
            <w:vAlign w:val="bottom"/>
          </w:tcPr>
          <w:p w14:paraId="2D9F5700" w14:textId="2AC2316C" w:rsidR="00A4200F" w:rsidRPr="003D1614" w:rsidRDefault="00A4200F" w:rsidP="00A4200F">
            <w:pPr>
              <w:suppressAutoHyphens/>
              <w:autoSpaceDN w:val="0"/>
              <w:jc w:val="right"/>
              <w:rPr>
                <w:rFonts w:ascii="Arial" w:eastAsia="Calibri" w:hAnsi="Arial" w:cs="Arial"/>
                <w:color w:val="000000"/>
                <w:sz w:val="16"/>
                <w:szCs w:val="16"/>
              </w:rPr>
            </w:pPr>
            <w:r w:rsidRPr="00174C1D">
              <w:rPr>
                <w:rFonts w:ascii="Arial" w:eastAsia="Calibri" w:hAnsi="Arial" w:cs="Arial"/>
                <w:color w:val="000000"/>
                <w:sz w:val="16"/>
                <w:szCs w:val="16"/>
              </w:rPr>
              <w:t>1.812</w:t>
            </w:r>
          </w:p>
        </w:tc>
        <w:tc>
          <w:tcPr>
            <w:tcW w:w="1156" w:type="dxa"/>
            <w:tcBorders>
              <w:top w:val="nil"/>
              <w:left w:val="nil"/>
              <w:bottom w:val="nil"/>
              <w:right w:val="nil"/>
            </w:tcBorders>
            <w:shd w:val="clear" w:color="auto" w:fill="auto"/>
            <w:vAlign w:val="bottom"/>
          </w:tcPr>
          <w:p w14:paraId="54D956B8" w14:textId="6AB20931" w:rsidR="00A4200F" w:rsidRPr="000D77BD" w:rsidRDefault="00B46275" w:rsidP="00A4200F">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1.812</w:t>
            </w:r>
          </w:p>
        </w:tc>
        <w:tc>
          <w:tcPr>
            <w:tcW w:w="1156" w:type="dxa"/>
            <w:tcBorders>
              <w:top w:val="nil"/>
              <w:left w:val="nil"/>
              <w:bottom w:val="nil"/>
              <w:right w:val="nil"/>
            </w:tcBorders>
            <w:shd w:val="clear" w:color="auto" w:fill="auto"/>
            <w:vAlign w:val="bottom"/>
          </w:tcPr>
          <w:p w14:paraId="30E0A1C4" w14:textId="204986EB" w:rsidR="00A4200F" w:rsidRPr="000D77BD" w:rsidRDefault="00A4200F" w:rsidP="00A4200F">
            <w:pPr>
              <w:suppressAutoHyphens/>
              <w:autoSpaceDN w:val="0"/>
              <w:jc w:val="right"/>
              <w:rPr>
                <w:rFonts w:ascii="Arial" w:eastAsia="Calibri" w:hAnsi="Arial" w:cs="Arial"/>
                <w:color w:val="000000"/>
                <w:sz w:val="16"/>
                <w:szCs w:val="16"/>
              </w:rPr>
            </w:pPr>
            <w:r w:rsidRPr="00F959D0">
              <w:rPr>
                <w:rFonts w:ascii="Arial" w:eastAsia="Calibri" w:hAnsi="Arial" w:cs="Arial"/>
                <w:color w:val="000000"/>
                <w:sz w:val="16"/>
                <w:szCs w:val="16"/>
              </w:rPr>
              <w:t>1.812</w:t>
            </w:r>
          </w:p>
        </w:tc>
      </w:tr>
      <w:tr w:rsidR="00A4200F" w:rsidRPr="003D1614" w14:paraId="52C5D3C7" w14:textId="77777777" w:rsidTr="00A31F86">
        <w:trPr>
          <w:trHeight w:val="229"/>
        </w:trPr>
        <w:tc>
          <w:tcPr>
            <w:tcW w:w="2693" w:type="dxa"/>
            <w:tcBorders>
              <w:top w:val="nil"/>
              <w:left w:val="nil"/>
              <w:bottom w:val="nil"/>
              <w:right w:val="nil"/>
            </w:tcBorders>
            <w:shd w:val="clear" w:color="auto" w:fill="auto"/>
            <w:noWrap/>
            <w:vAlign w:val="bottom"/>
            <w:hideMark/>
          </w:tcPr>
          <w:p w14:paraId="26C41517" w14:textId="77777777" w:rsidR="00A4200F" w:rsidRPr="003D1614" w:rsidRDefault="00A4200F" w:rsidP="00A4200F">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RHMF-O-257A</w:t>
            </w:r>
          </w:p>
        </w:tc>
        <w:tc>
          <w:tcPr>
            <w:tcW w:w="1219" w:type="dxa"/>
            <w:gridSpan w:val="2"/>
            <w:tcBorders>
              <w:top w:val="nil"/>
              <w:left w:val="nil"/>
              <w:bottom w:val="nil"/>
              <w:right w:val="nil"/>
            </w:tcBorders>
            <w:shd w:val="clear" w:color="auto" w:fill="auto"/>
            <w:noWrap/>
            <w:vAlign w:val="bottom"/>
            <w:hideMark/>
          </w:tcPr>
          <w:p w14:paraId="4B69D1D8" w14:textId="77777777" w:rsidR="00A4200F" w:rsidRPr="003D1614" w:rsidRDefault="00A4200F" w:rsidP="00A4200F">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9.7.2015.</w:t>
            </w:r>
          </w:p>
        </w:tc>
        <w:tc>
          <w:tcPr>
            <w:tcW w:w="1123" w:type="dxa"/>
            <w:tcBorders>
              <w:top w:val="nil"/>
              <w:left w:val="nil"/>
              <w:bottom w:val="nil"/>
              <w:right w:val="nil"/>
            </w:tcBorders>
            <w:shd w:val="clear" w:color="auto" w:fill="auto"/>
            <w:noWrap/>
            <w:vAlign w:val="bottom"/>
            <w:hideMark/>
          </w:tcPr>
          <w:p w14:paraId="35A4380A" w14:textId="77777777" w:rsidR="00A4200F" w:rsidRPr="003D1614" w:rsidRDefault="00A4200F" w:rsidP="00A4200F">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9.7.2025.</w:t>
            </w:r>
          </w:p>
        </w:tc>
        <w:tc>
          <w:tcPr>
            <w:tcW w:w="1197" w:type="dxa"/>
            <w:tcBorders>
              <w:top w:val="nil"/>
              <w:left w:val="nil"/>
              <w:bottom w:val="nil"/>
              <w:right w:val="nil"/>
            </w:tcBorders>
            <w:shd w:val="clear" w:color="auto" w:fill="auto"/>
            <w:noWrap/>
            <w:vAlign w:val="bottom"/>
            <w:hideMark/>
          </w:tcPr>
          <w:p w14:paraId="7806B909" w14:textId="77777777" w:rsidR="00A4200F" w:rsidRPr="003D1614" w:rsidRDefault="00A4200F" w:rsidP="00A4200F">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4,5</w:t>
            </w:r>
          </w:p>
        </w:tc>
        <w:tc>
          <w:tcPr>
            <w:tcW w:w="1156" w:type="dxa"/>
            <w:tcBorders>
              <w:top w:val="nil"/>
              <w:left w:val="nil"/>
              <w:bottom w:val="nil"/>
              <w:right w:val="nil"/>
            </w:tcBorders>
            <w:vAlign w:val="bottom"/>
          </w:tcPr>
          <w:p w14:paraId="34F59391" w14:textId="55361D10" w:rsidR="00A4200F" w:rsidRPr="003D1614" w:rsidRDefault="003E6F90" w:rsidP="00A4200F">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1.129</w:t>
            </w:r>
          </w:p>
        </w:tc>
        <w:tc>
          <w:tcPr>
            <w:tcW w:w="1156" w:type="dxa"/>
            <w:tcBorders>
              <w:top w:val="nil"/>
              <w:left w:val="nil"/>
              <w:bottom w:val="nil"/>
              <w:right w:val="nil"/>
            </w:tcBorders>
            <w:vAlign w:val="bottom"/>
          </w:tcPr>
          <w:p w14:paraId="4C2B00E9" w14:textId="42BCF267" w:rsidR="00A4200F" w:rsidRPr="003D1614" w:rsidRDefault="00A4200F" w:rsidP="00A4200F">
            <w:pPr>
              <w:suppressAutoHyphens/>
              <w:autoSpaceDN w:val="0"/>
              <w:jc w:val="right"/>
              <w:rPr>
                <w:rFonts w:ascii="Arial" w:eastAsia="Calibri" w:hAnsi="Arial" w:cs="Arial"/>
                <w:color w:val="000000"/>
                <w:sz w:val="16"/>
                <w:szCs w:val="16"/>
              </w:rPr>
            </w:pPr>
            <w:r w:rsidRPr="00771DD0">
              <w:rPr>
                <w:rFonts w:ascii="Arial" w:eastAsia="Calibri" w:hAnsi="Arial" w:cs="Arial"/>
                <w:color w:val="000000"/>
                <w:sz w:val="16"/>
                <w:szCs w:val="16"/>
              </w:rPr>
              <w:t>1.118</w:t>
            </w:r>
          </w:p>
        </w:tc>
        <w:tc>
          <w:tcPr>
            <w:tcW w:w="1156" w:type="dxa"/>
            <w:tcBorders>
              <w:top w:val="nil"/>
              <w:left w:val="nil"/>
              <w:bottom w:val="nil"/>
              <w:right w:val="nil"/>
            </w:tcBorders>
            <w:shd w:val="clear" w:color="auto" w:fill="auto"/>
            <w:vAlign w:val="bottom"/>
          </w:tcPr>
          <w:p w14:paraId="28CEBF51" w14:textId="5B2C0184" w:rsidR="00A4200F" w:rsidRPr="003D1614" w:rsidRDefault="00B46275" w:rsidP="00A4200F">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w:t>
            </w:r>
          </w:p>
        </w:tc>
        <w:tc>
          <w:tcPr>
            <w:tcW w:w="1156" w:type="dxa"/>
            <w:tcBorders>
              <w:top w:val="nil"/>
              <w:left w:val="nil"/>
              <w:bottom w:val="nil"/>
              <w:right w:val="nil"/>
            </w:tcBorders>
            <w:shd w:val="clear" w:color="auto" w:fill="auto"/>
            <w:vAlign w:val="bottom"/>
          </w:tcPr>
          <w:p w14:paraId="1E8E43A5" w14:textId="33AED1DE" w:rsidR="00A4200F" w:rsidRPr="003D1614" w:rsidRDefault="00A4200F" w:rsidP="00A4200F">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r>
      <w:tr w:rsidR="00A4200F" w:rsidRPr="003D1614" w14:paraId="44AEB0A1" w14:textId="77777777" w:rsidTr="00A31F86">
        <w:trPr>
          <w:trHeight w:val="229"/>
        </w:trPr>
        <w:tc>
          <w:tcPr>
            <w:tcW w:w="2693" w:type="dxa"/>
            <w:tcBorders>
              <w:top w:val="nil"/>
              <w:left w:val="nil"/>
              <w:bottom w:val="nil"/>
              <w:right w:val="nil"/>
            </w:tcBorders>
            <w:shd w:val="clear" w:color="auto" w:fill="auto"/>
            <w:noWrap/>
            <w:vAlign w:val="bottom"/>
            <w:hideMark/>
          </w:tcPr>
          <w:p w14:paraId="0A5A5409" w14:textId="77777777" w:rsidR="00A4200F" w:rsidRPr="003D1614" w:rsidRDefault="00A4200F" w:rsidP="00A4200F">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RHMF-O-26CA</w:t>
            </w:r>
          </w:p>
        </w:tc>
        <w:tc>
          <w:tcPr>
            <w:tcW w:w="1219" w:type="dxa"/>
            <w:gridSpan w:val="2"/>
            <w:tcBorders>
              <w:top w:val="nil"/>
              <w:left w:val="nil"/>
              <w:bottom w:val="nil"/>
              <w:right w:val="nil"/>
            </w:tcBorders>
            <w:shd w:val="clear" w:color="auto" w:fill="auto"/>
            <w:noWrap/>
            <w:vAlign w:val="bottom"/>
            <w:hideMark/>
          </w:tcPr>
          <w:p w14:paraId="46568F79" w14:textId="77777777" w:rsidR="00A4200F" w:rsidRPr="003D1614" w:rsidRDefault="00A4200F" w:rsidP="00A4200F">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14.12.2015.</w:t>
            </w:r>
          </w:p>
        </w:tc>
        <w:tc>
          <w:tcPr>
            <w:tcW w:w="1123" w:type="dxa"/>
            <w:tcBorders>
              <w:top w:val="nil"/>
              <w:left w:val="nil"/>
              <w:bottom w:val="nil"/>
              <w:right w:val="nil"/>
            </w:tcBorders>
            <w:shd w:val="clear" w:color="auto" w:fill="auto"/>
            <w:noWrap/>
            <w:vAlign w:val="bottom"/>
            <w:hideMark/>
          </w:tcPr>
          <w:p w14:paraId="01CAE343" w14:textId="77777777" w:rsidR="00A4200F" w:rsidRPr="003D1614" w:rsidRDefault="00A4200F" w:rsidP="00A4200F">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14.12.2026.</w:t>
            </w:r>
          </w:p>
        </w:tc>
        <w:tc>
          <w:tcPr>
            <w:tcW w:w="1197" w:type="dxa"/>
            <w:tcBorders>
              <w:top w:val="nil"/>
              <w:left w:val="nil"/>
              <w:bottom w:val="nil"/>
              <w:right w:val="nil"/>
            </w:tcBorders>
            <w:shd w:val="clear" w:color="auto" w:fill="auto"/>
            <w:noWrap/>
            <w:vAlign w:val="bottom"/>
            <w:hideMark/>
          </w:tcPr>
          <w:p w14:paraId="5F7D2DB2" w14:textId="77777777" w:rsidR="00A4200F" w:rsidRPr="003D1614" w:rsidRDefault="00A4200F" w:rsidP="00A4200F">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4,25</w:t>
            </w:r>
          </w:p>
        </w:tc>
        <w:tc>
          <w:tcPr>
            <w:tcW w:w="1156" w:type="dxa"/>
            <w:tcBorders>
              <w:top w:val="nil"/>
              <w:left w:val="nil"/>
              <w:bottom w:val="nil"/>
              <w:right w:val="nil"/>
            </w:tcBorders>
            <w:vAlign w:val="bottom"/>
          </w:tcPr>
          <w:p w14:paraId="604EF3E2" w14:textId="40935059" w:rsidR="00A4200F" w:rsidRPr="003D1614" w:rsidRDefault="003E6F90" w:rsidP="00A4200F">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5.157</w:t>
            </w:r>
          </w:p>
        </w:tc>
        <w:tc>
          <w:tcPr>
            <w:tcW w:w="1156" w:type="dxa"/>
            <w:tcBorders>
              <w:top w:val="nil"/>
              <w:left w:val="nil"/>
              <w:bottom w:val="nil"/>
              <w:right w:val="nil"/>
            </w:tcBorders>
            <w:vAlign w:val="bottom"/>
          </w:tcPr>
          <w:p w14:paraId="4FEF1D5C" w14:textId="1B1D324E" w:rsidR="00A4200F" w:rsidRPr="003D1614" w:rsidRDefault="00A4200F" w:rsidP="00A4200F">
            <w:pPr>
              <w:suppressAutoHyphens/>
              <w:autoSpaceDN w:val="0"/>
              <w:jc w:val="right"/>
              <w:rPr>
                <w:rFonts w:ascii="Arial" w:eastAsia="Calibri" w:hAnsi="Arial" w:cs="Arial"/>
                <w:color w:val="000000"/>
                <w:sz w:val="16"/>
                <w:szCs w:val="16"/>
              </w:rPr>
            </w:pPr>
            <w:r w:rsidRPr="00771DD0">
              <w:rPr>
                <w:rFonts w:ascii="Arial" w:eastAsia="Calibri" w:hAnsi="Arial" w:cs="Arial"/>
                <w:color w:val="000000"/>
                <w:sz w:val="16"/>
                <w:szCs w:val="16"/>
              </w:rPr>
              <w:t>5.180</w:t>
            </w:r>
          </w:p>
        </w:tc>
        <w:tc>
          <w:tcPr>
            <w:tcW w:w="1156" w:type="dxa"/>
            <w:tcBorders>
              <w:top w:val="nil"/>
              <w:left w:val="nil"/>
              <w:bottom w:val="nil"/>
              <w:right w:val="nil"/>
            </w:tcBorders>
            <w:shd w:val="clear" w:color="auto" w:fill="auto"/>
            <w:vAlign w:val="bottom"/>
          </w:tcPr>
          <w:p w14:paraId="234640B8" w14:textId="5F954B68" w:rsidR="00A4200F" w:rsidRPr="007D277A" w:rsidRDefault="00B46275" w:rsidP="00A4200F">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4.084</w:t>
            </w:r>
          </w:p>
        </w:tc>
        <w:tc>
          <w:tcPr>
            <w:tcW w:w="1156" w:type="dxa"/>
            <w:tcBorders>
              <w:top w:val="nil"/>
              <w:left w:val="nil"/>
              <w:bottom w:val="nil"/>
              <w:right w:val="nil"/>
            </w:tcBorders>
            <w:shd w:val="clear" w:color="auto" w:fill="auto"/>
            <w:vAlign w:val="bottom"/>
          </w:tcPr>
          <w:p w14:paraId="592D94B4" w14:textId="65A19A91" w:rsidR="00A4200F" w:rsidRPr="007D277A" w:rsidRDefault="00A4200F" w:rsidP="00A4200F">
            <w:pPr>
              <w:suppressAutoHyphens/>
              <w:autoSpaceDN w:val="0"/>
              <w:jc w:val="right"/>
              <w:rPr>
                <w:rFonts w:ascii="Arial" w:eastAsia="Calibri" w:hAnsi="Arial" w:cs="Arial"/>
                <w:color w:val="000000"/>
                <w:sz w:val="16"/>
                <w:szCs w:val="16"/>
              </w:rPr>
            </w:pPr>
            <w:r w:rsidRPr="004738DB">
              <w:rPr>
                <w:rFonts w:ascii="Arial" w:eastAsia="Calibri" w:hAnsi="Arial" w:cs="Arial"/>
                <w:color w:val="000000"/>
                <w:sz w:val="16"/>
                <w:szCs w:val="16"/>
              </w:rPr>
              <w:t>4.098</w:t>
            </w:r>
          </w:p>
        </w:tc>
      </w:tr>
      <w:tr w:rsidR="00A4200F" w:rsidRPr="003D1614" w14:paraId="03A3E0CA" w14:textId="77777777" w:rsidTr="00A31F86">
        <w:trPr>
          <w:trHeight w:val="229"/>
        </w:trPr>
        <w:tc>
          <w:tcPr>
            <w:tcW w:w="2693" w:type="dxa"/>
            <w:tcBorders>
              <w:top w:val="nil"/>
              <w:left w:val="nil"/>
              <w:bottom w:val="nil"/>
              <w:right w:val="nil"/>
            </w:tcBorders>
            <w:shd w:val="clear" w:color="auto" w:fill="auto"/>
            <w:noWrap/>
            <w:vAlign w:val="bottom"/>
          </w:tcPr>
          <w:p w14:paraId="22D33032" w14:textId="77777777" w:rsidR="00A4200F" w:rsidRPr="003D1614" w:rsidRDefault="00A4200F" w:rsidP="00A4200F">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RHMF-O-282A</w:t>
            </w:r>
          </w:p>
        </w:tc>
        <w:tc>
          <w:tcPr>
            <w:tcW w:w="1219" w:type="dxa"/>
            <w:gridSpan w:val="2"/>
            <w:tcBorders>
              <w:top w:val="nil"/>
              <w:left w:val="nil"/>
              <w:bottom w:val="nil"/>
              <w:right w:val="nil"/>
            </w:tcBorders>
            <w:shd w:val="clear" w:color="auto" w:fill="auto"/>
            <w:noWrap/>
            <w:vAlign w:val="bottom"/>
          </w:tcPr>
          <w:p w14:paraId="1AECAE61" w14:textId="77777777" w:rsidR="00A4200F" w:rsidRPr="003D1614" w:rsidRDefault="00A4200F" w:rsidP="00A4200F">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7.2.2017.</w:t>
            </w:r>
          </w:p>
        </w:tc>
        <w:tc>
          <w:tcPr>
            <w:tcW w:w="1123" w:type="dxa"/>
            <w:tcBorders>
              <w:top w:val="nil"/>
              <w:left w:val="nil"/>
              <w:bottom w:val="nil"/>
              <w:right w:val="nil"/>
            </w:tcBorders>
            <w:shd w:val="clear" w:color="auto" w:fill="auto"/>
            <w:noWrap/>
            <w:vAlign w:val="bottom"/>
          </w:tcPr>
          <w:p w14:paraId="04EA8C45" w14:textId="77777777" w:rsidR="00A4200F" w:rsidRPr="003D1614" w:rsidRDefault="00A4200F" w:rsidP="00A4200F">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7.2.2028.</w:t>
            </w:r>
          </w:p>
        </w:tc>
        <w:tc>
          <w:tcPr>
            <w:tcW w:w="1197" w:type="dxa"/>
            <w:tcBorders>
              <w:top w:val="nil"/>
              <w:left w:val="nil"/>
              <w:bottom w:val="nil"/>
              <w:right w:val="nil"/>
            </w:tcBorders>
            <w:shd w:val="clear" w:color="auto" w:fill="auto"/>
            <w:noWrap/>
            <w:vAlign w:val="bottom"/>
          </w:tcPr>
          <w:p w14:paraId="3513DC0E" w14:textId="77777777" w:rsidR="00A4200F" w:rsidRPr="003D1614" w:rsidRDefault="00A4200F" w:rsidP="00A4200F">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2,875</w:t>
            </w:r>
          </w:p>
        </w:tc>
        <w:tc>
          <w:tcPr>
            <w:tcW w:w="1156" w:type="dxa"/>
            <w:tcBorders>
              <w:top w:val="nil"/>
              <w:left w:val="nil"/>
              <w:bottom w:val="nil"/>
              <w:right w:val="nil"/>
            </w:tcBorders>
            <w:vAlign w:val="bottom"/>
          </w:tcPr>
          <w:p w14:paraId="55EDC646" w14:textId="6DA5BEEF" w:rsidR="00A4200F" w:rsidRPr="003D1614" w:rsidRDefault="003E6F90" w:rsidP="00A4200F">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1.559</w:t>
            </w:r>
          </w:p>
        </w:tc>
        <w:tc>
          <w:tcPr>
            <w:tcW w:w="1156" w:type="dxa"/>
            <w:tcBorders>
              <w:top w:val="nil"/>
              <w:left w:val="nil"/>
              <w:bottom w:val="nil"/>
              <w:right w:val="nil"/>
            </w:tcBorders>
            <w:vAlign w:val="bottom"/>
          </w:tcPr>
          <w:p w14:paraId="1DDC4652" w14:textId="39D4DC1C" w:rsidR="00A4200F" w:rsidRPr="003D1614" w:rsidRDefault="00A4200F" w:rsidP="00A4200F">
            <w:pPr>
              <w:suppressAutoHyphens/>
              <w:autoSpaceDN w:val="0"/>
              <w:jc w:val="right"/>
              <w:rPr>
                <w:rFonts w:ascii="Arial" w:eastAsia="Calibri" w:hAnsi="Arial" w:cs="Arial"/>
                <w:color w:val="000000"/>
                <w:sz w:val="16"/>
                <w:szCs w:val="16"/>
              </w:rPr>
            </w:pPr>
            <w:r w:rsidRPr="00771DD0">
              <w:rPr>
                <w:rFonts w:ascii="Arial" w:eastAsia="Calibri" w:hAnsi="Arial" w:cs="Arial"/>
                <w:color w:val="000000"/>
                <w:sz w:val="16"/>
                <w:szCs w:val="16"/>
              </w:rPr>
              <w:t>1.562</w:t>
            </w:r>
          </w:p>
        </w:tc>
        <w:tc>
          <w:tcPr>
            <w:tcW w:w="1156" w:type="dxa"/>
            <w:tcBorders>
              <w:top w:val="nil"/>
              <w:left w:val="nil"/>
              <w:bottom w:val="nil"/>
              <w:right w:val="nil"/>
            </w:tcBorders>
            <w:shd w:val="clear" w:color="auto" w:fill="auto"/>
            <w:vAlign w:val="bottom"/>
          </w:tcPr>
          <w:p w14:paraId="268277EE" w14:textId="513882C6" w:rsidR="00A4200F" w:rsidRPr="007D277A" w:rsidRDefault="00B46275" w:rsidP="00A4200F">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1.312</w:t>
            </w:r>
          </w:p>
        </w:tc>
        <w:tc>
          <w:tcPr>
            <w:tcW w:w="1156" w:type="dxa"/>
            <w:tcBorders>
              <w:top w:val="nil"/>
              <w:left w:val="nil"/>
              <w:bottom w:val="nil"/>
              <w:right w:val="nil"/>
            </w:tcBorders>
            <w:shd w:val="clear" w:color="auto" w:fill="auto"/>
            <w:vAlign w:val="bottom"/>
          </w:tcPr>
          <w:p w14:paraId="763FAB84" w14:textId="19590656" w:rsidR="00A4200F" w:rsidRPr="007D277A" w:rsidRDefault="00A4200F" w:rsidP="00A4200F">
            <w:pPr>
              <w:suppressAutoHyphens/>
              <w:autoSpaceDN w:val="0"/>
              <w:jc w:val="right"/>
              <w:rPr>
                <w:rFonts w:ascii="Arial" w:eastAsia="Calibri" w:hAnsi="Arial" w:cs="Arial"/>
                <w:color w:val="000000"/>
                <w:sz w:val="16"/>
                <w:szCs w:val="16"/>
              </w:rPr>
            </w:pPr>
            <w:r w:rsidRPr="004738DB">
              <w:rPr>
                <w:rFonts w:ascii="Arial" w:eastAsia="Calibri" w:hAnsi="Arial" w:cs="Arial"/>
                <w:color w:val="000000"/>
                <w:sz w:val="16"/>
                <w:szCs w:val="16"/>
              </w:rPr>
              <w:t>1.316</w:t>
            </w:r>
          </w:p>
        </w:tc>
      </w:tr>
      <w:tr w:rsidR="00A4200F" w:rsidRPr="003D1614" w14:paraId="76CD7A97" w14:textId="77777777" w:rsidTr="00A31F86">
        <w:trPr>
          <w:trHeight w:val="229"/>
        </w:trPr>
        <w:tc>
          <w:tcPr>
            <w:tcW w:w="2693" w:type="dxa"/>
            <w:tcBorders>
              <w:top w:val="nil"/>
              <w:left w:val="nil"/>
              <w:bottom w:val="nil"/>
              <w:right w:val="nil"/>
            </w:tcBorders>
            <w:shd w:val="clear" w:color="auto" w:fill="auto"/>
            <w:noWrap/>
            <w:vAlign w:val="bottom"/>
          </w:tcPr>
          <w:p w14:paraId="0AB31DAD" w14:textId="77777777" w:rsidR="00A4200F" w:rsidRPr="003D1614" w:rsidRDefault="00A4200F" w:rsidP="00A4200F">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RHMF-O-297A</w:t>
            </w:r>
          </w:p>
        </w:tc>
        <w:tc>
          <w:tcPr>
            <w:tcW w:w="1219" w:type="dxa"/>
            <w:gridSpan w:val="2"/>
            <w:tcBorders>
              <w:top w:val="nil"/>
              <w:left w:val="nil"/>
              <w:bottom w:val="nil"/>
              <w:right w:val="nil"/>
            </w:tcBorders>
            <w:shd w:val="clear" w:color="auto" w:fill="auto"/>
            <w:noWrap/>
            <w:vAlign w:val="bottom"/>
          </w:tcPr>
          <w:p w14:paraId="1486262E" w14:textId="77777777" w:rsidR="00A4200F" w:rsidRPr="003D1614" w:rsidRDefault="00A4200F" w:rsidP="00A4200F">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9.7.2018.</w:t>
            </w:r>
          </w:p>
        </w:tc>
        <w:tc>
          <w:tcPr>
            <w:tcW w:w="1123" w:type="dxa"/>
            <w:tcBorders>
              <w:top w:val="nil"/>
              <w:left w:val="nil"/>
              <w:bottom w:val="nil"/>
              <w:right w:val="nil"/>
            </w:tcBorders>
            <w:shd w:val="clear" w:color="auto" w:fill="auto"/>
            <w:noWrap/>
            <w:vAlign w:val="bottom"/>
          </w:tcPr>
          <w:p w14:paraId="79736C41" w14:textId="77777777" w:rsidR="00A4200F" w:rsidRPr="003D1614" w:rsidRDefault="00A4200F" w:rsidP="00A4200F">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9.7.2029.</w:t>
            </w:r>
          </w:p>
        </w:tc>
        <w:tc>
          <w:tcPr>
            <w:tcW w:w="1197" w:type="dxa"/>
            <w:tcBorders>
              <w:top w:val="nil"/>
              <w:left w:val="nil"/>
              <w:bottom w:val="nil"/>
              <w:right w:val="nil"/>
            </w:tcBorders>
            <w:shd w:val="clear" w:color="auto" w:fill="auto"/>
            <w:noWrap/>
            <w:vAlign w:val="bottom"/>
          </w:tcPr>
          <w:p w14:paraId="5C0CE6A2" w14:textId="77777777" w:rsidR="00A4200F" w:rsidRPr="003D1614" w:rsidRDefault="00A4200F" w:rsidP="00A4200F">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2,38</w:t>
            </w:r>
          </w:p>
        </w:tc>
        <w:tc>
          <w:tcPr>
            <w:tcW w:w="1156" w:type="dxa"/>
            <w:tcBorders>
              <w:top w:val="nil"/>
              <w:left w:val="nil"/>
              <w:bottom w:val="nil"/>
              <w:right w:val="nil"/>
            </w:tcBorders>
            <w:vAlign w:val="bottom"/>
          </w:tcPr>
          <w:p w14:paraId="75F8B9C7" w14:textId="0894E0D0" w:rsidR="00A4200F" w:rsidRPr="003D1614" w:rsidRDefault="003E6F90" w:rsidP="00A4200F">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377</w:t>
            </w:r>
          </w:p>
        </w:tc>
        <w:tc>
          <w:tcPr>
            <w:tcW w:w="1156" w:type="dxa"/>
            <w:tcBorders>
              <w:top w:val="nil"/>
              <w:left w:val="nil"/>
              <w:bottom w:val="nil"/>
              <w:right w:val="nil"/>
            </w:tcBorders>
            <w:vAlign w:val="bottom"/>
          </w:tcPr>
          <w:p w14:paraId="61FBFAD5" w14:textId="7CC7C9AA" w:rsidR="00A4200F" w:rsidRPr="003D1614" w:rsidRDefault="00A4200F" w:rsidP="00A4200F">
            <w:pPr>
              <w:suppressAutoHyphens/>
              <w:autoSpaceDN w:val="0"/>
              <w:jc w:val="right"/>
              <w:rPr>
                <w:rFonts w:ascii="Arial" w:eastAsia="Calibri" w:hAnsi="Arial" w:cs="Arial"/>
                <w:color w:val="000000"/>
                <w:sz w:val="16"/>
                <w:szCs w:val="16"/>
              </w:rPr>
            </w:pPr>
            <w:r w:rsidRPr="00771DD0">
              <w:rPr>
                <w:rFonts w:ascii="Arial" w:eastAsia="Calibri" w:hAnsi="Arial" w:cs="Arial"/>
                <w:color w:val="000000"/>
                <w:sz w:val="16"/>
                <w:szCs w:val="16"/>
              </w:rPr>
              <w:t>385</w:t>
            </w:r>
          </w:p>
        </w:tc>
        <w:tc>
          <w:tcPr>
            <w:tcW w:w="1156" w:type="dxa"/>
            <w:tcBorders>
              <w:top w:val="nil"/>
              <w:left w:val="nil"/>
              <w:bottom w:val="nil"/>
              <w:right w:val="nil"/>
            </w:tcBorders>
            <w:shd w:val="clear" w:color="auto" w:fill="auto"/>
            <w:vAlign w:val="bottom"/>
          </w:tcPr>
          <w:p w14:paraId="1AD29AD1" w14:textId="1CCBB24C" w:rsidR="00A4200F" w:rsidRPr="007D277A" w:rsidRDefault="00B46275" w:rsidP="00A4200F">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shd w:val="clear" w:color="auto" w:fill="auto"/>
            <w:vAlign w:val="bottom"/>
          </w:tcPr>
          <w:p w14:paraId="1C8A0ACF" w14:textId="670F0A45" w:rsidR="00A4200F" w:rsidRPr="007D277A" w:rsidRDefault="00A4200F" w:rsidP="00A4200F">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r>
      <w:tr w:rsidR="00A4200F" w:rsidRPr="003D1614" w14:paraId="3CCC6D0B" w14:textId="77777777" w:rsidTr="00A31F86">
        <w:trPr>
          <w:trHeight w:val="229"/>
        </w:trPr>
        <w:tc>
          <w:tcPr>
            <w:tcW w:w="2693" w:type="dxa"/>
            <w:tcBorders>
              <w:top w:val="nil"/>
              <w:left w:val="nil"/>
              <w:bottom w:val="nil"/>
              <w:right w:val="nil"/>
            </w:tcBorders>
            <w:shd w:val="clear" w:color="auto" w:fill="auto"/>
            <w:noWrap/>
            <w:vAlign w:val="bottom"/>
          </w:tcPr>
          <w:p w14:paraId="43E4F96D" w14:textId="77777777" w:rsidR="00A4200F" w:rsidRPr="003D1614" w:rsidRDefault="00A4200F" w:rsidP="00A4200F">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RHMF-O-34BA</w:t>
            </w:r>
          </w:p>
        </w:tc>
        <w:tc>
          <w:tcPr>
            <w:tcW w:w="1219" w:type="dxa"/>
            <w:gridSpan w:val="2"/>
            <w:tcBorders>
              <w:top w:val="nil"/>
              <w:left w:val="nil"/>
              <w:bottom w:val="nil"/>
              <w:right w:val="nil"/>
            </w:tcBorders>
            <w:shd w:val="clear" w:color="auto" w:fill="auto"/>
            <w:noWrap/>
            <w:vAlign w:val="bottom"/>
          </w:tcPr>
          <w:p w14:paraId="4241AD21" w14:textId="77777777" w:rsidR="00A4200F" w:rsidRPr="003D1614" w:rsidRDefault="00A4200F" w:rsidP="00A4200F">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27.11.2019.</w:t>
            </w:r>
          </w:p>
        </w:tc>
        <w:tc>
          <w:tcPr>
            <w:tcW w:w="1123" w:type="dxa"/>
            <w:tcBorders>
              <w:top w:val="nil"/>
              <w:left w:val="nil"/>
              <w:bottom w:val="nil"/>
              <w:right w:val="nil"/>
            </w:tcBorders>
            <w:shd w:val="clear" w:color="auto" w:fill="auto"/>
            <w:noWrap/>
            <w:vAlign w:val="bottom"/>
          </w:tcPr>
          <w:p w14:paraId="6C9B9F5B" w14:textId="77777777" w:rsidR="00A4200F" w:rsidRPr="003D1614" w:rsidRDefault="00A4200F" w:rsidP="00A4200F">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27.11.2034.</w:t>
            </w:r>
          </w:p>
        </w:tc>
        <w:tc>
          <w:tcPr>
            <w:tcW w:w="1197" w:type="dxa"/>
            <w:tcBorders>
              <w:top w:val="nil"/>
              <w:left w:val="nil"/>
              <w:bottom w:val="nil"/>
              <w:right w:val="nil"/>
            </w:tcBorders>
            <w:shd w:val="clear" w:color="auto" w:fill="auto"/>
            <w:noWrap/>
            <w:vAlign w:val="bottom"/>
          </w:tcPr>
          <w:p w14:paraId="293D5421" w14:textId="77777777" w:rsidR="00A4200F" w:rsidRPr="003D1614" w:rsidRDefault="00A4200F" w:rsidP="00A4200F">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1,00</w:t>
            </w:r>
          </w:p>
        </w:tc>
        <w:tc>
          <w:tcPr>
            <w:tcW w:w="1156" w:type="dxa"/>
            <w:tcBorders>
              <w:top w:val="nil"/>
              <w:left w:val="nil"/>
              <w:bottom w:val="nil"/>
              <w:right w:val="nil"/>
            </w:tcBorders>
            <w:vAlign w:val="bottom"/>
          </w:tcPr>
          <w:p w14:paraId="30D14962" w14:textId="7DED6418" w:rsidR="00A4200F" w:rsidRPr="003D1614" w:rsidRDefault="003E6F90" w:rsidP="00A4200F">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1.686</w:t>
            </w:r>
          </w:p>
        </w:tc>
        <w:tc>
          <w:tcPr>
            <w:tcW w:w="1156" w:type="dxa"/>
            <w:tcBorders>
              <w:top w:val="nil"/>
              <w:left w:val="nil"/>
              <w:bottom w:val="nil"/>
              <w:right w:val="nil"/>
            </w:tcBorders>
            <w:vAlign w:val="bottom"/>
          </w:tcPr>
          <w:p w14:paraId="67F914CF" w14:textId="1DA87203" w:rsidR="00A4200F" w:rsidRPr="003D1614" w:rsidRDefault="00A4200F" w:rsidP="00A4200F">
            <w:pPr>
              <w:suppressAutoHyphens/>
              <w:autoSpaceDN w:val="0"/>
              <w:jc w:val="right"/>
              <w:rPr>
                <w:rFonts w:ascii="Arial" w:eastAsia="Calibri" w:hAnsi="Arial" w:cs="Arial"/>
                <w:color w:val="000000"/>
                <w:sz w:val="16"/>
                <w:szCs w:val="16"/>
              </w:rPr>
            </w:pPr>
            <w:r w:rsidRPr="00771DD0">
              <w:rPr>
                <w:rFonts w:ascii="Arial" w:eastAsia="Calibri" w:hAnsi="Arial" w:cs="Arial"/>
                <w:color w:val="000000"/>
                <w:sz w:val="16"/>
                <w:szCs w:val="16"/>
              </w:rPr>
              <w:t>1.710</w:t>
            </w:r>
          </w:p>
        </w:tc>
        <w:tc>
          <w:tcPr>
            <w:tcW w:w="1156" w:type="dxa"/>
            <w:tcBorders>
              <w:top w:val="nil"/>
              <w:left w:val="nil"/>
              <w:bottom w:val="nil"/>
              <w:right w:val="nil"/>
            </w:tcBorders>
            <w:shd w:val="clear" w:color="auto" w:fill="auto"/>
            <w:vAlign w:val="bottom"/>
          </w:tcPr>
          <w:p w14:paraId="59A02BBB" w14:textId="38E02081" w:rsidR="00A4200F" w:rsidRPr="007D277A" w:rsidRDefault="00B46275" w:rsidP="00A4200F">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shd w:val="clear" w:color="auto" w:fill="auto"/>
            <w:vAlign w:val="bottom"/>
          </w:tcPr>
          <w:p w14:paraId="70BA794D" w14:textId="62C9B377" w:rsidR="00A4200F" w:rsidRPr="007D277A" w:rsidRDefault="00A4200F" w:rsidP="00A4200F">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r>
      <w:tr w:rsidR="00A4200F" w:rsidRPr="003D1614" w14:paraId="5D0C1099" w14:textId="77777777" w:rsidTr="00A31F86">
        <w:trPr>
          <w:trHeight w:val="229"/>
        </w:trPr>
        <w:tc>
          <w:tcPr>
            <w:tcW w:w="2693" w:type="dxa"/>
            <w:tcBorders>
              <w:top w:val="nil"/>
              <w:left w:val="nil"/>
              <w:bottom w:val="nil"/>
              <w:right w:val="nil"/>
            </w:tcBorders>
            <w:shd w:val="clear" w:color="auto" w:fill="auto"/>
            <w:noWrap/>
            <w:vAlign w:val="bottom"/>
          </w:tcPr>
          <w:p w14:paraId="09801265" w14:textId="77777777" w:rsidR="00A4200F" w:rsidRPr="003D1614" w:rsidRDefault="00A4200F" w:rsidP="00A4200F">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RHMF-O-403E</w:t>
            </w:r>
          </w:p>
        </w:tc>
        <w:tc>
          <w:tcPr>
            <w:tcW w:w="1219" w:type="dxa"/>
            <w:gridSpan w:val="2"/>
            <w:tcBorders>
              <w:top w:val="nil"/>
              <w:left w:val="nil"/>
              <w:bottom w:val="nil"/>
              <w:right w:val="nil"/>
            </w:tcBorders>
            <w:shd w:val="clear" w:color="auto" w:fill="auto"/>
            <w:noWrap/>
            <w:vAlign w:val="bottom"/>
          </w:tcPr>
          <w:p w14:paraId="114E668A" w14:textId="77777777" w:rsidR="00A4200F" w:rsidRPr="003D1614" w:rsidRDefault="00A4200F" w:rsidP="00A4200F">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3.3.2020.</w:t>
            </w:r>
          </w:p>
        </w:tc>
        <w:tc>
          <w:tcPr>
            <w:tcW w:w="1123" w:type="dxa"/>
            <w:tcBorders>
              <w:top w:val="nil"/>
              <w:left w:val="nil"/>
              <w:bottom w:val="nil"/>
              <w:right w:val="nil"/>
            </w:tcBorders>
            <w:shd w:val="clear" w:color="auto" w:fill="auto"/>
            <w:noWrap/>
            <w:vAlign w:val="bottom"/>
          </w:tcPr>
          <w:p w14:paraId="07C0784E" w14:textId="77777777" w:rsidR="00A4200F" w:rsidRPr="003D1614" w:rsidRDefault="00A4200F" w:rsidP="00A4200F">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3.3.2040.</w:t>
            </w:r>
          </w:p>
        </w:tc>
        <w:tc>
          <w:tcPr>
            <w:tcW w:w="1197" w:type="dxa"/>
            <w:tcBorders>
              <w:top w:val="nil"/>
              <w:left w:val="nil"/>
              <w:bottom w:val="nil"/>
              <w:right w:val="nil"/>
            </w:tcBorders>
            <w:shd w:val="clear" w:color="auto" w:fill="auto"/>
            <w:noWrap/>
            <w:vAlign w:val="bottom"/>
          </w:tcPr>
          <w:p w14:paraId="7DD3F657" w14:textId="77777777" w:rsidR="00A4200F" w:rsidRPr="003D1614" w:rsidRDefault="00A4200F" w:rsidP="00A4200F">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1,25</w:t>
            </w:r>
          </w:p>
        </w:tc>
        <w:tc>
          <w:tcPr>
            <w:tcW w:w="1156" w:type="dxa"/>
            <w:tcBorders>
              <w:top w:val="nil"/>
              <w:left w:val="nil"/>
              <w:bottom w:val="nil"/>
              <w:right w:val="nil"/>
            </w:tcBorders>
            <w:vAlign w:val="bottom"/>
          </w:tcPr>
          <w:p w14:paraId="479E55AD" w14:textId="678F8136" w:rsidR="00A4200F" w:rsidRPr="003D1614" w:rsidRDefault="00F86CAF" w:rsidP="00A4200F">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848</w:t>
            </w:r>
          </w:p>
        </w:tc>
        <w:tc>
          <w:tcPr>
            <w:tcW w:w="1156" w:type="dxa"/>
            <w:tcBorders>
              <w:top w:val="nil"/>
              <w:left w:val="nil"/>
              <w:bottom w:val="nil"/>
              <w:right w:val="nil"/>
            </w:tcBorders>
            <w:vAlign w:val="bottom"/>
          </w:tcPr>
          <w:p w14:paraId="2049A13F" w14:textId="195FD52A" w:rsidR="00A4200F" w:rsidRPr="003D1614" w:rsidRDefault="00A4200F" w:rsidP="00A4200F">
            <w:pPr>
              <w:suppressAutoHyphens/>
              <w:autoSpaceDN w:val="0"/>
              <w:jc w:val="right"/>
              <w:rPr>
                <w:rFonts w:ascii="Arial" w:eastAsia="Calibri" w:hAnsi="Arial" w:cs="Arial"/>
                <w:color w:val="000000"/>
                <w:sz w:val="16"/>
                <w:szCs w:val="16"/>
              </w:rPr>
            </w:pPr>
            <w:r w:rsidRPr="00771DD0">
              <w:rPr>
                <w:rFonts w:ascii="Arial" w:eastAsia="Calibri" w:hAnsi="Arial" w:cs="Arial"/>
                <w:color w:val="000000"/>
                <w:sz w:val="16"/>
                <w:szCs w:val="16"/>
              </w:rPr>
              <w:t>852</w:t>
            </w:r>
          </w:p>
        </w:tc>
        <w:tc>
          <w:tcPr>
            <w:tcW w:w="1156" w:type="dxa"/>
            <w:tcBorders>
              <w:top w:val="nil"/>
              <w:left w:val="nil"/>
              <w:bottom w:val="nil"/>
              <w:right w:val="nil"/>
            </w:tcBorders>
            <w:shd w:val="clear" w:color="auto" w:fill="auto"/>
            <w:vAlign w:val="bottom"/>
          </w:tcPr>
          <w:p w14:paraId="43BBA7BB" w14:textId="56BCB2CC" w:rsidR="00A4200F" w:rsidRPr="007D277A" w:rsidRDefault="00B46275" w:rsidP="00A4200F">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shd w:val="clear" w:color="auto" w:fill="auto"/>
            <w:vAlign w:val="bottom"/>
          </w:tcPr>
          <w:p w14:paraId="111E9378" w14:textId="09E75FE3" w:rsidR="00A4200F" w:rsidRPr="007D277A" w:rsidRDefault="00A4200F" w:rsidP="00A4200F">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r>
      <w:tr w:rsidR="00A4200F" w:rsidRPr="003D1614" w14:paraId="12B87CC3" w14:textId="77777777" w:rsidTr="0009475E">
        <w:trPr>
          <w:trHeight w:val="229"/>
        </w:trPr>
        <w:tc>
          <w:tcPr>
            <w:tcW w:w="2693" w:type="dxa"/>
            <w:tcBorders>
              <w:top w:val="nil"/>
              <w:left w:val="nil"/>
              <w:right w:val="nil"/>
            </w:tcBorders>
            <w:shd w:val="clear" w:color="auto" w:fill="auto"/>
            <w:noWrap/>
            <w:vAlign w:val="bottom"/>
          </w:tcPr>
          <w:p w14:paraId="32E5ABA7" w14:textId="77777777" w:rsidR="00A4200F" w:rsidRPr="003D1614" w:rsidRDefault="00A4200F" w:rsidP="00A4200F">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RHMF-O-253A</w:t>
            </w:r>
          </w:p>
        </w:tc>
        <w:tc>
          <w:tcPr>
            <w:tcW w:w="1219" w:type="dxa"/>
            <w:gridSpan w:val="2"/>
            <w:tcBorders>
              <w:top w:val="nil"/>
              <w:left w:val="nil"/>
              <w:right w:val="nil"/>
            </w:tcBorders>
            <w:shd w:val="clear" w:color="auto" w:fill="auto"/>
            <w:noWrap/>
            <w:vAlign w:val="bottom"/>
          </w:tcPr>
          <w:p w14:paraId="2FF6F8FD" w14:textId="77777777" w:rsidR="00A4200F" w:rsidRPr="003D1614" w:rsidRDefault="00A4200F" w:rsidP="00A4200F">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3.3.2020.</w:t>
            </w:r>
          </w:p>
        </w:tc>
        <w:tc>
          <w:tcPr>
            <w:tcW w:w="1123" w:type="dxa"/>
            <w:tcBorders>
              <w:top w:val="nil"/>
              <w:left w:val="nil"/>
              <w:right w:val="nil"/>
            </w:tcBorders>
            <w:shd w:val="clear" w:color="auto" w:fill="auto"/>
            <w:noWrap/>
            <w:vAlign w:val="bottom"/>
          </w:tcPr>
          <w:p w14:paraId="30BADB27" w14:textId="77777777" w:rsidR="00A4200F" w:rsidRPr="003D1614" w:rsidRDefault="00A4200F" w:rsidP="00A4200F">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3.3.2025.</w:t>
            </w:r>
          </w:p>
        </w:tc>
        <w:tc>
          <w:tcPr>
            <w:tcW w:w="1197" w:type="dxa"/>
            <w:tcBorders>
              <w:top w:val="nil"/>
              <w:left w:val="nil"/>
              <w:bottom w:val="nil"/>
              <w:right w:val="nil"/>
            </w:tcBorders>
            <w:shd w:val="clear" w:color="auto" w:fill="auto"/>
            <w:noWrap/>
            <w:vAlign w:val="bottom"/>
          </w:tcPr>
          <w:p w14:paraId="0B762776" w14:textId="77777777" w:rsidR="00A4200F" w:rsidRPr="003D1614" w:rsidRDefault="00A4200F" w:rsidP="00A4200F">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0,25</w:t>
            </w:r>
          </w:p>
        </w:tc>
        <w:tc>
          <w:tcPr>
            <w:tcW w:w="1156" w:type="dxa"/>
            <w:tcBorders>
              <w:top w:val="nil"/>
              <w:left w:val="nil"/>
              <w:bottom w:val="nil"/>
              <w:right w:val="nil"/>
            </w:tcBorders>
            <w:shd w:val="clear" w:color="auto" w:fill="auto"/>
            <w:vAlign w:val="bottom"/>
          </w:tcPr>
          <w:p w14:paraId="4ED4877F" w14:textId="6070722A" w:rsidR="00A4200F" w:rsidRPr="003D1614" w:rsidRDefault="00F86CAF" w:rsidP="00A4200F">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10.220</w:t>
            </w:r>
          </w:p>
        </w:tc>
        <w:tc>
          <w:tcPr>
            <w:tcW w:w="1156" w:type="dxa"/>
            <w:tcBorders>
              <w:top w:val="nil"/>
              <w:left w:val="nil"/>
              <w:bottom w:val="nil"/>
              <w:right w:val="nil"/>
            </w:tcBorders>
            <w:shd w:val="clear" w:color="auto" w:fill="auto"/>
            <w:vAlign w:val="bottom"/>
          </w:tcPr>
          <w:p w14:paraId="4A5F04BA" w14:textId="5CC943DE" w:rsidR="00A4200F" w:rsidRPr="003D1614" w:rsidRDefault="00A4200F" w:rsidP="00A4200F">
            <w:pPr>
              <w:suppressAutoHyphens/>
              <w:autoSpaceDN w:val="0"/>
              <w:jc w:val="right"/>
              <w:rPr>
                <w:rFonts w:ascii="Arial" w:eastAsia="Calibri" w:hAnsi="Arial" w:cs="Arial"/>
                <w:color w:val="000000"/>
                <w:sz w:val="16"/>
                <w:szCs w:val="16"/>
              </w:rPr>
            </w:pPr>
            <w:r w:rsidRPr="00771DD0">
              <w:rPr>
                <w:rFonts w:ascii="Arial" w:eastAsia="Calibri" w:hAnsi="Arial" w:cs="Arial"/>
                <w:color w:val="000000"/>
                <w:sz w:val="16"/>
                <w:szCs w:val="16"/>
              </w:rPr>
              <w:t>10.225</w:t>
            </w:r>
          </w:p>
        </w:tc>
        <w:tc>
          <w:tcPr>
            <w:tcW w:w="1156" w:type="dxa"/>
            <w:tcBorders>
              <w:top w:val="nil"/>
              <w:left w:val="nil"/>
              <w:bottom w:val="nil"/>
              <w:right w:val="nil"/>
            </w:tcBorders>
            <w:shd w:val="clear" w:color="auto" w:fill="auto"/>
            <w:vAlign w:val="bottom"/>
          </w:tcPr>
          <w:p w14:paraId="3A453B7F" w14:textId="70535AED" w:rsidR="00A4200F" w:rsidRPr="007D277A" w:rsidRDefault="00B46275" w:rsidP="00A4200F">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10.220</w:t>
            </w:r>
          </w:p>
        </w:tc>
        <w:tc>
          <w:tcPr>
            <w:tcW w:w="1156" w:type="dxa"/>
            <w:tcBorders>
              <w:top w:val="nil"/>
              <w:left w:val="nil"/>
              <w:bottom w:val="nil"/>
              <w:right w:val="nil"/>
            </w:tcBorders>
            <w:shd w:val="clear" w:color="auto" w:fill="auto"/>
            <w:vAlign w:val="bottom"/>
          </w:tcPr>
          <w:p w14:paraId="0D084E82" w14:textId="63707D9A" w:rsidR="00A4200F" w:rsidRPr="007D277A" w:rsidRDefault="00A4200F" w:rsidP="00A4200F">
            <w:pPr>
              <w:suppressAutoHyphens/>
              <w:autoSpaceDN w:val="0"/>
              <w:jc w:val="right"/>
              <w:rPr>
                <w:rFonts w:ascii="Arial" w:eastAsia="Calibri" w:hAnsi="Arial" w:cs="Arial"/>
                <w:color w:val="000000"/>
                <w:sz w:val="16"/>
                <w:szCs w:val="16"/>
              </w:rPr>
            </w:pPr>
            <w:r w:rsidRPr="004738DB">
              <w:rPr>
                <w:rFonts w:ascii="Arial" w:eastAsia="Calibri" w:hAnsi="Arial" w:cs="Arial"/>
                <w:color w:val="000000"/>
                <w:sz w:val="16"/>
                <w:szCs w:val="16"/>
              </w:rPr>
              <w:t>10.225</w:t>
            </w:r>
          </w:p>
        </w:tc>
      </w:tr>
      <w:tr w:rsidR="00A4200F" w:rsidRPr="003D1614" w14:paraId="56BB563F" w14:textId="77777777" w:rsidTr="0009475E">
        <w:trPr>
          <w:trHeight w:val="229"/>
        </w:trPr>
        <w:tc>
          <w:tcPr>
            <w:tcW w:w="2693" w:type="dxa"/>
            <w:tcBorders>
              <w:top w:val="nil"/>
              <w:left w:val="nil"/>
            </w:tcBorders>
            <w:shd w:val="clear" w:color="auto" w:fill="auto"/>
            <w:noWrap/>
            <w:vAlign w:val="bottom"/>
          </w:tcPr>
          <w:p w14:paraId="4A970CC5" w14:textId="77777777" w:rsidR="00A4200F" w:rsidRPr="003D1614" w:rsidRDefault="00A4200F" w:rsidP="00A4200F">
            <w:pPr>
              <w:suppressAutoHyphens/>
              <w:autoSpaceDN w:val="0"/>
              <w:jc w:val="right"/>
              <w:rPr>
                <w:rFonts w:ascii="Arial" w:eastAsia="Calibri" w:hAnsi="Arial" w:cs="Arial"/>
                <w:iCs/>
                <w:color w:val="000000"/>
                <w:sz w:val="16"/>
                <w:szCs w:val="16"/>
              </w:rPr>
            </w:pPr>
            <w:r w:rsidRPr="003D1614">
              <w:rPr>
                <w:rFonts w:ascii="Arial" w:eastAsia="Calibri" w:hAnsi="Arial" w:cs="Arial"/>
                <w:iCs/>
                <w:noProof/>
                <w:color w:val="000000"/>
                <w:sz w:val="16"/>
                <w:szCs w:val="16"/>
              </w:rPr>
              <mc:AlternateContent>
                <mc:Choice Requires="aink">
                  <w:drawing>
                    <wp:anchor distT="0" distB="0" distL="114300" distR="114300" simplePos="0" relativeHeight="251672576" behindDoc="0" locked="0" layoutInCell="1" allowOverlap="1" wp14:anchorId="3150A6C5" wp14:editId="7E1AA9BB">
                      <wp:simplePos x="0" y="0"/>
                      <wp:positionH relativeFrom="column">
                        <wp:posOffset>2577149</wp:posOffset>
                      </wp:positionH>
                      <wp:positionV relativeFrom="paragraph">
                        <wp:posOffset>13058</wp:posOffset>
                      </wp:positionV>
                      <wp:extent cx="360" cy="360"/>
                      <wp:effectExtent l="57150" t="38100" r="38100" b="57150"/>
                      <wp:wrapNone/>
                      <wp:docPr id="39" name="Ink 10"/>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drawing>
                    <wp:anchor distT="0" distB="0" distL="114300" distR="114300" simplePos="0" relativeHeight="251672576" behindDoc="0" locked="0" layoutInCell="1" allowOverlap="1" wp14:anchorId="3150A6C5" wp14:editId="7E1AA9BB">
                      <wp:simplePos x="0" y="0"/>
                      <wp:positionH relativeFrom="column">
                        <wp:posOffset>2577149</wp:posOffset>
                      </wp:positionH>
                      <wp:positionV relativeFrom="paragraph">
                        <wp:posOffset>13058</wp:posOffset>
                      </wp:positionV>
                      <wp:extent cx="360" cy="360"/>
                      <wp:effectExtent l="57150" t="38100" r="38100" b="57150"/>
                      <wp:wrapNone/>
                      <wp:docPr id="39" name="Ink 10"/>
                      <wp:cNvGraphicFramePr/>
                      <a:graphic xmlns:a="http://schemas.openxmlformats.org/drawingml/2006/main">
                        <a:graphicData uri="http://schemas.openxmlformats.org/drawingml/2006/picture">
                          <pic:pic xmlns:pic="http://schemas.openxmlformats.org/drawingml/2006/picture">
                            <pic:nvPicPr>
                              <pic:cNvPr id="39" name="Ink 10"/>
                              <pic:cNvPicPr/>
                            </pic:nvPicPr>
                            <pic:blipFill>
                              <a:blip r:embed="rId24"/>
                              <a:stretch>
                                <a:fillRect/>
                              </a:stretch>
                            </pic:blipFill>
                            <pic:spPr>
                              <a:xfrm>
                                <a:off x="0" y="0"/>
                                <a:ext cx="36000" cy="216000"/>
                              </a:xfrm>
                              <a:prstGeom prst="rect">
                                <a:avLst/>
                              </a:prstGeom>
                            </pic:spPr>
                          </pic:pic>
                        </a:graphicData>
                      </a:graphic>
                    </wp:anchor>
                  </w:drawing>
                </mc:Fallback>
              </mc:AlternateContent>
            </w:r>
            <w:r w:rsidRPr="003D1614">
              <w:rPr>
                <w:rFonts w:ascii="Arial" w:eastAsia="Calibri" w:hAnsi="Arial" w:cs="Arial"/>
                <w:iCs/>
                <w:noProof/>
                <w:color w:val="000000"/>
                <w:sz w:val="16"/>
                <w:szCs w:val="16"/>
              </w:rPr>
              <mc:AlternateContent>
                <mc:Choice Requires="aink">
                  <w:drawing>
                    <wp:anchor distT="0" distB="0" distL="114300" distR="114300" simplePos="0" relativeHeight="251671552" behindDoc="0" locked="0" layoutInCell="1" allowOverlap="1" wp14:anchorId="5FEE66CA" wp14:editId="57EA36F6">
                      <wp:simplePos x="0" y="0"/>
                      <wp:positionH relativeFrom="column">
                        <wp:posOffset>888389</wp:posOffset>
                      </wp:positionH>
                      <wp:positionV relativeFrom="paragraph">
                        <wp:posOffset>76778</wp:posOffset>
                      </wp:positionV>
                      <wp:extent cx="3600" cy="360"/>
                      <wp:effectExtent l="0" t="0" r="0" b="0"/>
                      <wp:wrapNone/>
                      <wp:docPr id="40" name="Ink 16"/>
                      <wp:cNvGraphicFramePr/>
                      <a:graphic xmlns:a="http://schemas.openxmlformats.org/drawingml/2006/main">
                        <a:graphicData uri="http://schemas.microsoft.com/office/word/2010/wordprocessingInk">
                          <w14:contentPart bwMode="auto" r:id="rId25">
                            <w14:nvContentPartPr>
                              <w14:cNvContentPartPr/>
                            </w14:nvContentPartPr>
                            <w14:xfrm>
                              <a:off x="0" y="0"/>
                              <a:ext cx="3600" cy="360"/>
                            </w14:xfrm>
                          </w14:contentPart>
                        </a:graphicData>
                      </a:graphic>
                    </wp:anchor>
                  </w:drawing>
                </mc:Choice>
                <mc:Fallback>
                  <w:drawing>
                    <wp:anchor distT="0" distB="0" distL="114300" distR="114300" simplePos="0" relativeHeight="251671552" behindDoc="0" locked="0" layoutInCell="1" allowOverlap="1" wp14:anchorId="5FEE66CA" wp14:editId="57EA36F6">
                      <wp:simplePos x="0" y="0"/>
                      <wp:positionH relativeFrom="column">
                        <wp:posOffset>888389</wp:posOffset>
                      </wp:positionH>
                      <wp:positionV relativeFrom="paragraph">
                        <wp:posOffset>76778</wp:posOffset>
                      </wp:positionV>
                      <wp:extent cx="3600" cy="360"/>
                      <wp:effectExtent l="0" t="0" r="0" b="0"/>
                      <wp:wrapNone/>
                      <wp:docPr id="40" name="Ink 16"/>
                      <wp:cNvGraphicFramePr/>
                      <a:graphic xmlns:a="http://schemas.openxmlformats.org/drawingml/2006/main">
                        <a:graphicData uri="http://schemas.openxmlformats.org/drawingml/2006/picture">
                          <pic:pic xmlns:pic="http://schemas.openxmlformats.org/drawingml/2006/picture">
                            <pic:nvPicPr>
                              <pic:cNvPr id="40" name="Ink 16"/>
                              <pic:cNvPicPr/>
                            </pic:nvPicPr>
                            <pic:blipFill>
                              <a:blip r:embed="rId26"/>
                              <a:stretch>
                                <a:fillRect/>
                              </a:stretch>
                            </pic:blipFill>
                            <pic:spPr>
                              <a:xfrm>
                                <a:off x="0" y="0"/>
                                <a:ext cx="39240" cy="216000"/>
                              </a:xfrm>
                              <a:prstGeom prst="rect">
                                <a:avLst/>
                              </a:prstGeom>
                            </pic:spPr>
                          </pic:pic>
                        </a:graphicData>
                      </a:graphic>
                    </wp:anchor>
                  </w:drawing>
                </mc:Fallback>
              </mc:AlternateContent>
            </w:r>
            <w:r w:rsidRPr="003D1614">
              <w:rPr>
                <w:rFonts w:ascii="Arial" w:eastAsia="Calibri" w:hAnsi="Arial" w:cs="Arial"/>
                <w:iCs/>
                <w:color w:val="000000"/>
                <w:sz w:val="16"/>
                <w:szCs w:val="16"/>
              </w:rPr>
              <w:t xml:space="preserve">                               RHMF-O-24BA        </w:t>
            </w:r>
          </w:p>
        </w:tc>
        <w:tc>
          <w:tcPr>
            <w:tcW w:w="1219" w:type="dxa"/>
            <w:gridSpan w:val="2"/>
            <w:tcBorders>
              <w:top w:val="nil"/>
            </w:tcBorders>
            <w:shd w:val="clear" w:color="auto" w:fill="auto"/>
            <w:vAlign w:val="bottom"/>
          </w:tcPr>
          <w:p w14:paraId="1FD1C9CB" w14:textId="77777777" w:rsidR="00A4200F" w:rsidRPr="003D1614" w:rsidRDefault="00A4200F" w:rsidP="00A4200F">
            <w:pPr>
              <w:suppressAutoHyphens/>
              <w:autoSpaceDN w:val="0"/>
              <w:jc w:val="right"/>
              <w:rPr>
                <w:rFonts w:ascii="Arial" w:eastAsia="Calibri" w:hAnsi="Arial" w:cs="Arial"/>
                <w:iCs/>
                <w:color w:val="000000"/>
                <w:sz w:val="16"/>
                <w:szCs w:val="16"/>
              </w:rPr>
            </w:pPr>
            <w:r w:rsidRPr="003D1614">
              <w:rPr>
                <w:rFonts w:ascii="Arial" w:eastAsia="Calibri" w:hAnsi="Arial" w:cs="Arial"/>
                <w:iCs/>
                <w:color w:val="000000"/>
                <w:sz w:val="16"/>
                <w:szCs w:val="16"/>
              </w:rPr>
              <w:t xml:space="preserve">27.11.2019.     </w:t>
            </w:r>
          </w:p>
        </w:tc>
        <w:tc>
          <w:tcPr>
            <w:tcW w:w="1123" w:type="dxa"/>
            <w:tcBorders>
              <w:top w:val="nil"/>
              <w:right w:val="nil"/>
            </w:tcBorders>
            <w:shd w:val="clear" w:color="auto" w:fill="auto"/>
            <w:vAlign w:val="bottom"/>
          </w:tcPr>
          <w:p w14:paraId="4E373D9F" w14:textId="77777777" w:rsidR="00A4200F" w:rsidRPr="003D1614" w:rsidRDefault="00A4200F" w:rsidP="00A4200F">
            <w:pPr>
              <w:suppressAutoHyphens/>
              <w:autoSpaceDN w:val="0"/>
              <w:jc w:val="right"/>
              <w:rPr>
                <w:rFonts w:ascii="Arial" w:eastAsia="Calibri" w:hAnsi="Arial" w:cs="Arial"/>
                <w:iCs/>
                <w:color w:val="000000"/>
                <w:sz w:val="16"/>
                <w:szCs w:val="16"/>
              </w:rPr>
            </w:pPr>
            <w:r w:rsidRPr="003D1614">
              <w:rPr>
                <w:rFonts w:ascii="Arial" w:eastAsia="Calibri" w:hAnsi="Arial" w:cs="Arial"/>
                <w:iCs/>
                <w:color w:val="000000"/>
                <w:sz w:val="16"/>
                <w:szCs w:val="16"/>
              </w:rPr>
              <w:t>27.11.2024.</w:t>
            </w:r>
          </w:p>
        </w:tc>
        <w:tc>
          <w:tcPr>
            <w:tcW w:w="1197" w:type="dxa"/>
            <w:tcBorders>
              <w:top w:val="nil"/>
              <w:left w:val="nil"/>
              <w:bottom w:val="nil"/>
              <w:right w:val="nil"/>
            </w:tcBorders>
            <w:shd w:val="clear" w:color="auto" w:fill="auto"/>
            <w:noWrap/>
            <w:vAlign w:val="bottom"/>
          </w:tcPr>
          <w:p w14:paraId="3843E48A" w14:textId="77777777" w:rsidR="00A4200F" w:rsidRPr="003D1614" w:rsidRDefault="00A4200F" w:rsidP="00A4200F">
            <w:pPr>
              <w:suppressAutoHyphens/>
              <w:autoSpaceDN w:val="0"/>
              <w:rPr>
                <w:rFonts w:ascii="Arial" w:eastAsia="Calibri" w:hAnsi="Arial" w:cs="Arial"/>
                <w:color w:val="000000"/>
                <w:sz w:val="16"/>
                <w:szCs w:val="16"/>
              </w:rPr>
            </w:pPr>
            <w:r w:rsidRPr="003D1614">
              <w:rPr>
                <w:rFonts w:ascii="Arial" w:eastAsia="Calibri" w:hAnsi="Arial" w:cs="Arial"/>
                <w:iCs/>
                <w:color w:val="000000"/>
                <w:sz w:val="16"/>
                <w:szCs w:val="16"/>
              </w:rPr>
              <w:t xml:space="preserve">        0,25</w:t>
            </w:r>
          </w:p>
        </w:tc>
        <w:tc>
          <w:tcPr>
            <w:tcW w:w="1156" w:type="dxa"/>
            <w:tcBorders>
              <w:top w:val="nil"/>
              <w:left w:val="nil"/>
              <w:bottom w:val="nil"/>
              <w:right w:val="nil"/>
            </w:tcBorders>
            <w:vAlign w:val="bottom"/>
          </w:tcPr>
          <w:p w14:paraId="1FA34B91" w14:textId="587D0362" w:rsidR="00A4200F" w:rsidRPr="003D1614" w:rsidRDefault="00F86CAF" w:rsidP="00A4200F">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1.248</w:t>
            </w:r>
          </w:p>
        </w:tc>
        <w:tc>
          <w:tcPr>
            <w:tcW w:w="1156" w:type="dxa"/>
            <w:tcBorders>
              <w:top w:val="nil"/>
              <w:left w:val="nil"/>
              <w:bottom w:val="nil"/>
              <w:right w:val="nil"/>
            </w:tcBorders>
            <w:vAlign w:val="bottom"/>
          </w:tcPr>
          <w:p w14:paraId="5696AD73" w14:textId="458577E5" w:rsidR="00A4200F" w:rsidRPr="003D1614" w:rsidRDefault="00A4200F" w:rsidP="00A4200F">
            <w:pPr>
              <w:suppressAutoHyphens/>
              <w:autoSpaceDN w:val="0"/>
              <w:jc w:val="right"/>
              <w:rPr>
                <w:rFonts w:ascii="Arial" w:eastAsia="Calibri" w:hAnsi="Arial" w:cs="Arial"/>
                <w:color w:val="000000"/>
                <w:sz w:val="16"/>
                <w:szCs w:val="16"/>
                <w:lang w:eastAsia="hr-HR"/>
              </w:rPr>
            </w:pPr>
            <w:r w:rsidRPr="00771DD0">
              <w:rPr>
                <w:rFonts w:ascii="Arial" w:eastAsia="Calibri" w:hAnsi="Arial" w:cs="Arial"/>
                <w:color w:val="000000"/>
                <w:sz w:val="16"/>
                <w:szCs w:val="16"/>
                <w:lang w:eastAsia="hr-HR"/>
              </w:rPr>
              <w:t>1.243</w:t>
            </w:r>
          </w:p>
        </w:tc>
        <w:tc>
          <w:tcPr>
            <w:tcW w:w="1156" w:type="dxa"/>
            <w:tcBorders>
              <w:top w:val="nil"/>
              <w:left w:val="nil"/>
              <w:bottom w:val="nil"/>
              <w:right w:val="nil"/>
            </w:tcBorders>
            <w:vAlign w:val="bottom"/>
          </w:tcPr>
          <w:p w14:paraId="6D890252" w14:textId="6D0EB7C0" w:rsidR="00A4200F" w:rsidRPr="007D277A" w:rsidRDefault="00B46275" w:rsidP="00A4200F">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1.248</w:t>
            </w:r>
          </w:p>
        </w:tc>
        <w:tc>
          <w:tcPr>
            <w:tcW w:w="1156" w:type="dxa"/>
            <w:tcBorders>
              <w:top w:val="nil"/>
              <w:left w:val="nil"/>
              <w:bottom w:val="nil"/>
              <w:right w:val="nil"/>
            </w:tcBorders>
            <w:vAlign w:val="bottom"/>
          </w:tcPr>
          <w:p w14:paraId="3C2AF30F" w14:textId="2EE46FFC" w:rsidR="00A4200F" w:rsidRPr="007D277A" w:rsidRDefault="00A4200F" w:rsidP="00A4200F">
            <w:pPr>
              <w:suppressAutoHyphens/>
              <w:autoSpaceDN w:val="0"/>
              <w:jc w:val="right"/>
              <w:rPr>
                <w:rFonts w:ascii="Arial" w:eastAsia="Calibri" w:hAnsi="Arial" w:cs="Arial"/>
                <w:color w:val="000000"/>
                <w:sz w:val="16"/>
                <w:szCs w:val="16"/>
              </w:rPr>
            </w:pPr>
            <w:r w:rsidRPr="004738DB">
              <w:rPr>
                <w:rFonts w:ascii="Arial" w:eastAsia="Calibri" w:hAnsi="Arial" w:cs="Arial"/>
                <w:color w:val="000000"/>
                <w:sz w:val="16"/>
                <w:szCs w:val="16"/>
              </w:rPr>
              <w:t>1.243</w:t>
            </w:r>
          </w:p>
        </w:tc>
      </w:tr>
      <w:tr w:rsidR="00A4200F" w:rsidRPr="003D1614" w14:paraId="0EAE9C0D" w14:textId="77777777" w:rsidTr="0009475E">
        <w:trPr>
          <w:trHeight w:val="229"/>
        </w:trPr>
        <w:tc>
          <w:tcPr>
            <w:tcW w:w="2693" w:type="dxa"/>
            <w:tcBorders>
              <w:top w:val="nil"/>
              <w:left w:val="nil"/>
            </w:tcBorders>
            <w:shd w:val="clear" w:color="auto" w:fill="auto"/>
            <w:noWrap/>
            <w:vAlign w:val="bottom"/>
          </w:tcPr>
          <w:p w14:paraId="00EB5852" w14:textId="675D8CB1" w:rsidR="00A4200F" w:rsidRPr="003D1614" w:rsidRDefault="00A4200F" w:rsidP="00A4200F">
            <w:pPr>
              <w:suppressAutoHyphens/>
              <w:autoSpaceDN w:val="0"/>
              <w:jc w:val="right"/>
              <w:rPr>
                <w:rFonts w:ascii="Arial" w:eastAsia="Calibri" w:hAnsi="Arial" w:cs="Arial"/>
                <w:iCs/>
                <w:noProof/>
                <w:color w:val="000000"/>
                <w:sz w:val="16"/>
                <w:szCs w:val="16"/>
              </w:rPr>
            </w:pPr>
            <w:r>
              <w:rPr>
                <w:rFonts w:ascii="Arial" w:eastAsia="Calibri" w:hAnsi="Arial" w:cs="Arial"/>
                <w:iCs/>
                <w:noProof/>
                <w:color w:val="000000"/>
                <w:sz w:val="16"/>
                <w:szCs w:val="16"/>
              </w:rPr>
              <w:t>RHMF-O-253B</w:t>
            </w:r>
          </w:p>
        </w:tc>
        <w:tc>
          <w:tcPr>
            <w:tcW w:w="1219" w:type="dxa"/>
            <w:gridSpan w:val="2"/>
            <w:tcBorders>
              <w:top w:val="nil"/>
            </w:tcBorders>
            <w:shd w:val="clear" w:color="auto" w:fill="auto"/>
            <w:vAlign w:val="bottom"/>
          </w:tcPr>
          <w:p w14:paraId="5FA7E454" w14:textId="15895BBC" w:rsidR="00A4200F" w:rsidRPr="003D1614" w:rsidRDefault="00A4200F" w:rsidP="00A4200F">
            <w:pPr>
              <w:suppressAutoHyphens/>
              <w:autoSpaceDN w:val="0"/>
              <w:jc w:val="right"/>
              <w:rPr>
                <w:rFonts w:ascii="Arial" w:eastAsia="Calibri" w:hAnsi="Arial" w:cs="Arial"/>
                <w:iCs/>
                <w:color w:val="000000"/>
                <w:sz w:val="16"/>
                <w:szCs w:val="16"/>
              </w:rPr>
            </w:pPr>
            <w:r>
              <w:rPr>
                <w:rFonts w:ascii="Arial" w:eastAsia="Calibri" w:hAnsi="Arial" w:cs="Arial"/>
                <w:iCs/>
                <w:color w:val="000000"/>
                <w:sz w:val="16"/>
                <w:szCs w:val="16"/>
              </w:rPr>
              <w:t>8.3.2023.</w:t>
            </w:r>
          </w:p>
        </w:tc>
        <w:tc>
          <w:tcPr>
            <w:tcW w:w="1123" w:type="dxa"/>
            <w:tcBorders>
              <w:top w:val="nil"/>
              <w:right w:val="nil"/>
            </w:tcBorders>
            <w:shd w:val="clear" w:color="auto" w:fill="auto"/>
            <w:vAlign w:val="bottom"/>
          </w:tcPr>
          <w:p w14:paraId="46EF609B" w14:textId="0FF96482" w:rsidR="00A4200F" w:rsidRPr="003D1614" w:rsidRDefault="00A4200F" w:rsidP="00A4200F">
            <w:pPr>
              <w:suppressAutoHyphens/>
              <w:autoSpaceDN w:val="0"/>
              <w:jc w:val="right"/>
              <w:rPr>
                <w:rFonts w:ascii="Arial" w:eastAsia="Calibri" w:hAnsi="Arial" w:cs="Arial"/>
                <w:iCs/>
                <w:color w:val="000000"/>
                <w:sz w:val="16"/>
                <w:szCs w:val="16"/>
              </w:rPr>
            </w:pPr>
            <w:r>
              <w:rPr>
                <w:rFonts w:ascii="Arial" w:eastAsia="Calibri" w:hAnsi="Arial" w:cs="Arial"/>
                <w:iCs/>
                <w:color w:val="000000"/>
                <w:sz w:val="16"/>
                <w:szCs w:val="16"/>
              </w:rPr>
              <w:t>8.3.2025.</w:t>
            </w:r>
          </w:p>
        </w:tc>
        <w:tc>
          <w:tcPr>
            <w:tcW w:w="1197" w:type="dxa"/>
            <w:tcBorders>
              <w:top w:val="nil"/>
              <w:left w:val="nil"/>
              <w:bottom w:val="nil"/>
              <w:right w:val="nil"/>
            </w:tcBorders>
            <w:shd w:val="clear" w:color="auto" w:fill="auto"/>
            <w:noWrap/>
            <w:vAlign w:val="bottom"/>
          </w:tcPr>
          <w:p w14:paraId="6859E370" w14:textId="68E4D60D" w:rsidR="00A4200F" w:rsidRPr="003D1614" w:rsidRDefault="00A4200F" w:rsidP="00A4200F">
            <w:pPr>
              <w:suppressAutoHyphens/>
              <w:autoSpaceDN w:val="0"/>
              <w:rPr>
                <w:rFonts w:ascii="Arial" w:eastAsia="Calibri" w:hAnsi="Arial" w:cs="Arial"/>
                <w:iCs/>
                <w:color w:val="000000"/>
                <w:sz w:val="16"/>
                <w:szCs w:val="16"/>
              </w:rPr>
            </w:pPr>
            <w:r>
              <w:rPr>
                <w:rFonts w:ascii="Arial" w:eastAsia="Calibri" w:hAnsi="Arial" w:cs="Arial"/>
                <w:iCs/>
                <w:color w:val="000000"/>
                <w:sz w:val="16"/>
                <w:szCs w:val="16"/>
              </w:rPr>
              <w:t xml:space="preserve">        3,65</w:t>
            </w:r>
          </w:p>
        </w:tc>
        <w:tc>
          <w:tcPr>
            <w:tcW w:w="1156" w:type="dxa"/>
            <w:tcBorders>
              <w:top w:val="nil"/>
              <w:left w:val="nil"/>
              <w:bottom w:val="nil"/>
              <w:right w:val="nil"/>
            </w:tcBorders>
            <w:vAlign w:val="bottom"/>
          </w:tcPr>
          <w:p w14:paraId="5B772451" w14:textId="08779BC7" w:rsidR="00A4200F" w:rsidRPr="003D1614" w:rsidRDefault="00F86CAF" w:rsidP="00A4200F">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37.060</w:t>
            </w:r>
          </w:p>
        </w:tc>
        <w:tc>
          <w:tcPr>
            <w:tcW w:w="1156" w:type="dxa"/>
            <w:tcBorders>
              <w:top w:val="nil"/>
              <w:left w:val="nil"/>
              <w:bottom w:val="nil"/>
              <w:right w:val="nil"/>
            </w:tcBorders>
            <w:vAlign w:val="bottom"/>
          </w:tcPr>
          <w:p w14:paraId="04B90F19" w14:textId="63187400" w:rsidR="00A4200F" w:rsidRPr="003D1614" w:rsidRDefault="00A4200F" w:rsidP="00A4200F">
            <w:pPr>
              <w:suppressAutoHyphens/>
              <w:autoSpaceDN w:val="0"/>
              <w:jc w:val="right"/>
              <w:rPr>
                <w:rFonts w:ascii="Arial" w:eastAsia="Calibri" w:hAnsi="Arial" w:cs="Arial"/>
                <w:color w:val="000000"/>
                <w:sz w:val="16"/>
                <w:szCs w:val="16"/>
                <w:lang w:eastAsia="hr-HR"/>
              </w:rPr>
            </w:pPr>
            <w:r w:rsidRPr="00771DD0">
              <w:rPr>
                <w:rFonts w:ascii="Arial" w:eastAsia="Calibri" w:hAnsi="Arial" w:cs="Arial"/>
                <w:color w:val="000000"/>
                <w:sz w:val="16"/>
                <w:szCs w:val="16"/>
                <w:lang w:eastAsia="hr-HR"/>
              </w:rPr>
              <w:t>37.172</w:t>
            </w:r>
          </w:p>
        </w:tc>
        <w:tc>
          <w:tcPr>
            <w:tcW w:w="1156" w:type="dxa"/>
            <w:tcBorders>
              <w:top w:val="nil"/>
              <w:left w:val="nil"/>
              <w:bottom w:val="nil"/>
              <w:right w:val="nil"/>
            </w:tcBorders>
            <w:vAlign w:val="bottom"/>
          </w:tcPr>
          <w:p w14:paraId="4A84D320" w14:textId="19F39CBD" w:rsidR="00A4200F" w:rsidRPr="007D277A" w:rsidRDefault="00B46275" w:rsidP="00A4200F">
            <w:pPr>
              <w:suppressAutoHyphens/>
              <w:autoSpaceDN w:val="0"/>
              <w:jc w:val="right"/>
              <w:rPr>
                <w:rFonts w:ascii="Arial" w:hAnsi="Arial" w:cs="Arial"/>
                <w:sz w:val="16"/>
                <w:szCs w:val="16"/>
              </w:rPr>
            </w:pPr>
            <w:r>
              <w:rPr>
                <w:rFonts w:ascii="Arial" w:hAnsi="Arial" w:cs="Arial"/>
                <w:sz w:val="16"/>
                <w:szCs w:val="16"/>
              </w:rPr>
              <w:t>37.060</w:t>
            </w:r>
          </w:p>
        </w:tc>
        <w:tc>
          <w:tcPr>
            <w:tcW w:w="1156" w:type="dxa"/>
            <w:tcBorders>
              <w:top w:val="nil"/>
              <w:left w:val="nil"/>
              <w:bottom w:val="nil"/>
              <w:right w:val="nil"/>
            </w:tcBorders>
            <w:vAlign w:val="bottom"/>
          </w:tcPr>
          <w:p w14:paraId="64A4506F" w14:textId="4876D380" w:rsidR="00A4200F" w:rsidRPr="007D277A" w:rsidRDefault="00A4200F" w:rsidP="00A4200F">
            <w:pPr>
              <w:suppressAutoHyphens/>
              <w:autoSpaceDN w:val="0"/>
              <w:jc w:val="right"/>
              <w:rPr>
                <w:rFonts w:ascii="Arial" w:hAnsi="Arial" w:cs="Arial"/>
                <w:sz w:val="16"/>
                <w:szCs w:val="16"/>
              </w:rPr>
            </w:pPr>
            <w:r w:rsidRPr="004738DB">
              <w:rPr>
                <w:rFonts w:ascii="Arial" w:eastAsia="Calibri" w:hAnsi="Arial" w:cs="Arial"/>
                <w:color w:val="000000"/>
                <w:sz w:val="16"/>
                <w:szCs w:val="16"/>
              </w:rPr>
              <w:t>37.172</w:t>
            </w:r>
          </w:p>
        </w:tc>
      </w:tr>
      <w:tr w:rsidR="00A4200F" w:rsidRPr="003D1614" w14:paraId="5BEB97FE" w14:textId="77777777" w:rsidTr="0009475E">
        <w:trPr>
          <w:trHeight w:val="229"/>
        </w:trPr>
        <w:tc>
          <w:tcPr>
            <w:tcW w:w="2693" w:type="dxa"/>
            <w:tcBorders>
              <w:top w:val="nil"/>
              <w:left w:val="nil"/>
            </w:tcBorders>
            <w:shd w:val="clear" w:color="auto" w:fill="auto"/>
            <w:noWrap/>
            <w:vAlign w:val="bottom"/>
          </w:tcPr>
          <w:p w14:paraId="327A0AFD" w14:textId="31DA8DFB" w:rsidR="00A4200F" w:rsidRDefault="00A4200F" w:rsidP="00A4200F">
            <w:pPr>
              <w:suppressAutoHyphens/>
              <w:autoSpaceDN w:val="0"/>
              <w:jc w:val="right"/>
              <w:rPr>
                <w:rFonts w:ascii="Arial" w:eastAsia="Calibri" w:hAnsi="Arial" w:cs="Arial"/>
                <w:iCs/>
                <w:noProof/>
                <w:color w:val="000000"/>
                <w:sz w:val="16"/>
                <w:szCs w:val="16"/>
              </w:rPr>
            </w:pPr>
            <w:r w:rsidRPr="004738DB">
              <w:rPr>
                <w:rFonts w:ascii="Arial" w:eastAsia="Calibri" w:hAnsi="Arial" w:cs="Arial"/>
                <w:iCs/>
                <w:noProof/>
                <w:color w:val="000000"/>
                <w:sz w:val="16"/>
                <w:szCs w:val="16"/>
              </w:rPr>
              <w:t>RHMFO33BA3</w:t>
            </w:r>
          </w:p>
        </w:tc>
        <w:tc>
          <w:tcPr>
            <w:tcW w:w="1219" w:type="dxa"/>
            <w:gridSpan w:val="2"/>
            <w:tcBorders>
              <w:top w:val="nil"/>
            </w:tcBorders>
            <w:shd w:val="clear" w:color="auto" w:fill="auto"/>
            <w:vAlign w:val="bottom"/>
          </w:tcPr>
          <w:p w14:paraId="0F044D8D" w14:textId="62209380" w:rsidR="00A4200F" w:rsidRDefault="00A4200F" w:rsidP="00A4200F">
            <w:pPr>
              <w:suppressAutoHyphens/>
              <w:autoSpaceDN w:val="0"/>
              <w:jc w:val="right"/>
              <w:rPr>
                <w:rFonts w:ascii="Arial" w:eastAsia="Calibri" w:hAnsi="Arial" w:cs="Arial"/>
                <w:iCs/>
                <w:color w:val="000000"/>
                <w:sz w:val="16"/>
                <w:szCs w:val="16"/>
              </w:rPr>
            </w:pPr>
            <w:r w:rsidRPr="004738DB">
              <w:rPr>
                <w:rFonts w:ascii="Arial" w:eastAsia="Calibri" w:hAnsi="Arial" w:cs="Arial"/>
                <w:iCs/>
                <w:color w:val="000000"/>
                <w:sz w:val="16"/>
                <w:szCs w:val="16"/>
              </w:rPr>
              <w:t>24.11 20</w:t>
            </w:r>
            <w:r w:rsidR="007D4BBB">
              <w:rPr>
                <w:rFonts w:ascii="Arial" w:eastAsia="Calibri" w:hAnsi="Arial" w:cs="Arial"/>
                <w:iCs/>
                <w:color w:val="000000"/>
                <w:sz w:val="16"/>
                <w:szCs w:val="16"/>
              </w:rPr>
              <w:t>2</w:t>
            </w:r>
            <w:r w:rsidRPr="004738DB">
              <w:rPr>
                <w:rFonts w:ascii="Arial" w:eastAsia="Calibri" w:hAnsi="Arial" w:cs="Arial"/>
                <w:iCs/>
                <w:color w:val="000000"/>
                <w:sz w:val="16"/>
                <w:szCs w:val="16"/>
              </w:rPr>
              <w:t>3</w:t>
            </w:r>
            <w:r>
              <w:rPr>
                <w:rFonts w:ascii="Arial" w:eastAsia="Calibri" w:hAnsi="Arial" w:cs="Arial"/>
                <w:iCs/>
                <w:color w:val="000000"/>
                <w:sz w:val="16"/>
                <w:szCs w:val="16"/>
              </w:rPr>
              <w:t>.</w:t>
            </w:r>
          </w:p>
        </w:tc>
        <w:tc>
          <w:tcPr>
            <w:tcW w:w="1123" w:type="dxa"/>
            <w:tcBorders>
              <w:top w:val="nil"/>
              <w:right w:val="nil"/>
            </w:tcBorders>
            <w:shd w:val="clear" w:color="auto" w:fill="auto"/>
            <w:vAlign w:val="bottom"/>
          </w:tcPr>
          <w:p w14:paraId="331FD232" w14:textId="5EE3329C" w:rsidR="00A4200F" w:rsidRDefault="00A4200F" w:rsidP="00A4200F">
            <w:pPr>
              <w:suppressAutoHyphens/>
              <w:autoSpaceDN w:val="0"/>
              <w:jc w:val="right"/>
              <w:rPr>
                <w:rFonts w:ascii="Arial" w:eastAsia="Calibri" w:hAnsi="Arial" w:cs="Arial"/>
                <w:iCs/>
                <w:color w:val="000000"/>
                <w:sz w:val="16"/>
                <w:szCs w:val="16"/>
              </w:rPr>
            </w:pPr>
            <w:r w:rsidRPr="004738DB">
              <w:rPr>
                <w:rFonts w:ascii="Arial" w:eastAsia="Calibri" w:hAnsi="Arial" w:cs="Arial"/>
                <w:iCs/>
                <w:color w:val="000000"/>
                <w:sz w:val="16"/>
                <w:szCs w:val="16"/>
              </w:rPr>
              <w:t>24.11 20</w:t>
            </w:r>
            <w:r w:rsidR="007D4BBB">
              <w:rPr>
                <w:rFonts w:ascii="Arial" w:eastAsia="Calibri" w:hAnsi="Arial" w:cs="Arial"/>
                <w:iCs/>
                <w:color w:val="000000"/>
                <w:sz w:val="16"/>
                <w:szCs w:val="16"/>
              </w:rPr>
              <w:t>3</w:t>
            </w:r>
            <w:r w:rsidRPr="004738DB">
              <w:rPr>
                <w:rFonts w:ascii="Arial" w:eastAsia="Calibri" w:hAnsi="Arial" w:cs="Arial"/>
                <w:iCs/>
                <w:color w:val="000000"/>
                <w:sz w:val="16"/>
                <w:szCs w:val="16"/>
              </w:rPr>
              <w:t>3</w:t>
            </w:r>
            <w:r>
              <w:rPr>
                <w:rFonts w:ascii="Arial" w:eastAsia="Calibri" w:hAnsi="Arial" w:cs="Arial"/>
                <w:iCs/>
                <w:color w:val="000000"/>
                <w:sz w:val="16"/>
                <w:szCs w:val="16"/>
              </w:rPr>
              <w:t>.</w:t>
            </w:r>
          </w:p>
        </w:tc>
        <w:tc>
          <w:tcPr>
            <w:tcW w:w="1197" w:type="dxa"/>
            <w:tcBorders>
              <w:top w:val="nil"/>
              <w:left w:val="nil"/>
              <w:bottom w:val="nil"/>
              <w:right w:val="nil"/>
            </w:tcBorders>
            <w:shd w:val="clear" w:color="auto" w:fill="auto"/>
            <w:noWrap/>
            <w:vAlign w:val="bottom"/>
          </w:tcPr>
          <w:p w14:paraId="66CF95F0" w14:textId="5BEDC486" w:rsidR="00A4200F" w:rsidRDefault="00A4200F" w:rsidP="00A4200F">
            <w:pPr>
              <w:suppressAutoHyphens/>
              <w:autoSpaceDN w:val="0"/>
              <w:jc w:val="center"/>
              <w:rPr>
                <w:rFonts w:ascii="Arial" w:eastAsia="Calibri" w:hAnsi="Arial" w:cs="Arial"/>
                <w:iCs/>
                <w:color w:val="000000"/>
                <w:sz w:val="16"/>
                <w:szCs w:val="16"/>
              </w:rPr>
            </w:pPr>
            <w:r w:rsidRPr="004738DB">
              <w:rPr>
                <w:rFonts w:ascii="Arial" w:eastAsia="Calibri" w:hAnsi="Arial" w:cs="Arial"/>
                <w:iCs/>
                <w:color w:val="000000"/>
                <w:sz w:val="16"/>
                <w:szCs w:val="16"/>
              </w:rPr>
              <w:t>3,75</w:t>
            </w:r>
          </w:p>
        </w:tc>
        <w:tc>
          <w:tcPr>
            <w:tcW w:w="1156" w:type="dxa"/>
            <w:tcBorders>
              <w:top w:val="nil"/>
              <w:left w:val="nil"/>
              <w:bottom w:val="nil"/>
              <w:right w:val="nil"/>
            </w:tcBorders>
            <w:vAlign w:val="bottom"/>
          </w:tcPr>
          <w:p w14:paraId="44B806DB" w14:textId="7F3C3D9F" w:rsidR="00A4200F" w:rsidRDefault="00AC4F01" w:rsidP="00A4200F">
            <w:pPr>
              <w:suppressAutoHyphens/>
              <w:autoSpaceDN w:val="0"/>
              <w:jc w:val="right"/>
              <w:rPr>
                <w:rFonts w:ascii="Arial" w:hAnsi="Arial" w:cs="Arial"/>
                <w:sz w:val="16"/>
                <w:szCs w:val="16"/>
              </w:rPr>
            </w:pPr>
            <w:r>
              <w:rPr>
                <w:rFonts w:ascii="Arial" w:hAnsi="Arial" w:cs="Arial"/>
                <w:sz w:val="16"/>
                <w:szCs w:val="16"/>
              </w:rPr>
              <w:t>39.118</w:t>
            </w:r>
          </w:p>
        </w:tc>
        <w:tc>
          <w:tcPr>
            <w:tcW w:w="1156" w:type="dxa"/>
            <w:tcBorders>
              <w:top w:val="nil"/>
              <w:left w:val="nil"/>
              <w:bottom w:val="nil"/>
              <w:right w:val="nil"/>
            </w:tcBorders>
            <w:vAlign w:val="bottom"/>
          </w:tcPr>
          <w:p w14:paraId="62EBE443" w14:textId="3C27045C" w:rsidR="00A4200F" w:rsidRDefault="00A4200F" w:rsidP="00A4200F">
            <w:pPr>
              <w:suppressAutoHyphens/>
              <w:autoSpaceDN w:val="0"/>
              <w:jc w:val="right"/>
              <w:rPr>
                <w:rFonts w:ascii="Arial" w:hAnsi="Arial" w:cs="Arial"/>
                <w:sz w:val="16"/>
                <w:szCs w:val="16"/>
              </w:rPr>
            </w:pPr>
            <w:r w:rsidRPr="00771DD0">
              <w:rPr>
                <w:rFonts w:ascii="Arial" w:eastAsia="Calibri" w:hAnsi="Arial" w:cs="Arial"/>
                <w:color w:val="000000"/>
                <w:sz w:val="16"/>
                <w:szCs w:val="16"/>
                <w:lang w:eastAsia="hr-HR"/>
              </w:rPr>
              <w:t>39.274</w:t>
            </w:r>
          </w:p>
        </w:tc>
        <w:tc>
          <w:tcPr>
            <w:tcW w:w="1156" w:type="dxa"/>
            <w:tcBorders>
              <w:top w:val="nil"/>
              <w:left w:val="nil"/>
              <w:bottom w:val="nil"/>
              <w:right w:val="nil"/>
            </w:tcBorders>
            <w:vAlign w:val="bottom"/>
          </w:tcPr>
          <w:p w14:paraId="0EA0BCFA" w14:textId="5EFF0EED" w:rsidR="00A4200F" w:rsidRDefault="00B46275" w:rsidP="00A4200F">
            <w:pPr>
              <w:suppressAutoHyphens/>
              <w:autoSpaceDN w:val="0"/>
              <w:jc w:val="right"/>
              <w:rPr>
                <w:rFonts w:ascii="Arial" w:hAnsi="Arial" w:cs="Arial"/>
                <w:sz w:val="16"/>
                <w:szCs w:val="16"/>
              </w:rPr>
            </w:pPr>
            <w:r>
              <w:rPr>
                <w:rFonts w:ascii="Arial" w:hAnsi="Arial" w:cs="Arial"/>
                <w:sz w:val="16"/>
                <w:szCs w:val="16"/>
              </w:rPr>
              <w:t>39.118</w:t>
            </w:r>
          </w:p>
        </w:tc>
        <w:tc>
          <w:tcPr>
            <w:tcW w:w="1156" w:type="dxa"/>
            <w:tcBorders>
              <w:top w:val="nil"/>
              <w:left w:val="nil"/>
              <w:bottom w:val="nil"/>
              <w:right w:val="nil"/>
            </w:tcBorders>
            <w:vAlign w:val="bottom"/>
          </w:tcPr>
          <w:p w14:paraId="477E861B" w14:textId="119C9E1C" w:rsidR="00A4200F" w:rsidRDefault="00A4200F" w:rsidP="00A4200F">
            <w:pPr>
              <w:suppressAutoHyphens/>
              <w:autoSpaceDN w:val="0"/>
              <w:jc w:val="right"/>
              <w:rPr>
                <w:rFonts w:ascii="Arial" w:hAnsi="Arial" w:cs="Arial"/>
                <w:sz w:val="16"/>
                <w:szCs w:val="16"/>
              </w:rPr>
            </w:pPr>
            <w:r w:rsidRPr="004738DB">
              <w:rPr>
                <w:rFonts w:ascii="Arial" w:eastAsia="Calibri" w:hAnsi="Arial" w:cs="Arial"/>
                <w:color w:val="000000"/>
                <w:sz w:val="16"/>
                <w:szCs w:val="16"/>
              </w:rPr>
              <w:t>39.274</w:t>
            </w:r>
          </w:p>
        </w:tc>
      </w:tr>
      <w:tr w:rsidR="00A4200F" w:rsidRPr="003D1614" w14:paraId="78E726D9" w14:textId="77777777" w:rsidTr="00A31F86">
        <w:trPr>
          <w:trHeight w:val="229"/>
        </w:trPr>
        <w:tc>
          <w:tcPr>
            <w:tcW w:w="3906" w:type="dxa"/>
            <w:gridSpan w:val="2"/>
            <w:tcBorders>
              <w:top w:val="nil"/>
              <w:left w:val="nil"/>
              <w:bottom w:val="nil"/>
            </w:tcBorders>
            <w:shd w:val="clear" w:color="auto" w:fill="auto"/>
            <w:noWrap/>
            <w:vAlign w:val="bottom"/>
          </w:tcPr>
          <w:p w14:paraId="6BE899E2" w14:textId="005035DD" w:rsidR="00A4200F" w:rsidRPr="003D1614" w:rsidRDefault="00A4200F" w:rsidP="00A4200F">
            <w:pPr>
              <w:suppressAutoHyphens/>
              <w:autoSpaceDN w:val="0"/>
              <w:rPr>
                <w:rFonts w:ascii="Arial" w:eastAsia="Calibri" w:hAnsi="Arial" w:cs="Arial"/>
                <w:i/>
                <w:color w:val="000000"/>
                <w:sz w:val="16"/>
                <w:szCs w:val="16"/>
              </w:rPr>
            </w:pPr>
            <w:r w:rsidRPr="003D1614">
              <w:rPr>
                <w:rFonts w:ascii="Arial" w:eastAsia="Calibri" w:hAnsi="Arial" w:cs="Arial"/>
                <w:i/>
                <w:color w:val="000000"/>
                <w:sz w:val="16"/>
                <w:szCs w:val="16"/>
              </w:rPr>
              <w:t xml:space="preserve">Obveznice trgovačkih </w:t>
            </w:r>
            <w:r w:rsidRPr="000D77BD">
              <w:rPr>
                <w:rFonts w:ascii="Arial" w:eastAsia="Calibri" w:hAnsi="Arial" w:cs="Arial"/>
                <w:i/>
                <w:color w:val="000000"/>
                <w:sz w:val="16"/>
                <w:szCs w:val="16"/>
              </w:rPr>
              <w:t>društava</w:t>
            </w:r>
            <w:r w:rsidRPr="002E49B8">
              <w:rPr>
                <w:rFonts w:ascii="Arial" w:eastAsia="Calibri" w:hAnsi="Arial" w:cs="Arial"/>
                <w:i/>
                <w:color w:val="000000"/>
                <w:sz w:val="16"/>
                <w:szCs w:val="16"/>
              </w:rPr>
              <w:t>:</w:t>
            </w:r>
          </w:p>
        </w:tc>
        <w:tc>
          <w:tcPr>
            <w:tcW w:w="1129" w:type="dxa"/>
            <w:gridSpan w:val="2"/>
            <w:tcBorders>
              <w:top w:val="nil"/>
              <w:bottom w:val="nil"/>
              <w:right w:val="nil"/>
            </w:tcBorders>
            <w:shd w:val="clear" w:color="auto" w:fill="auto"/>
            <w:vAlign w:val="bottom"/>
          </w:tcPr>
          <w:p w14:paraId="55645BA0" w14:textId="77777777" w:rsidR="00A4200F" w:rsidRPr="003D1614" w:rsidRDefault="00A4200F" w:rsidP="00A4200F">
            <w:pPr>
              <w:suppressAutoHyphens/>
              <w:autoSpaceDN w:val="0"/>
              <w:rPr>
                <w:rFonts w:ascii="Arial" w:eastAsia="Calibri" w:hAnsi="Arial" w:cs="Arial"/>
                <w:i/>
                <w:color w:val="000000"/>
                <w:sz w:val="16"/>
                <w:szCs w:val="16"/>
              </w:rPr>
            </w:pPr>
          </w:p>
        </w:tc>
        <w:tc>
          <w:tcPr>
            <w:tcW w:w="1197" w:type="dxa"/>
            <w:tcBorders>
              <w:top w:val="nil"/>
              <w:left w:val="nil"/>
              <w:bottom w:val="nil"/>
              <w:right w:val="nil"/>
            </w:tcBorders>
            <w:shd w:val="clear" w:color="auto" w:fill="auto"/>
            <w:noWrap/>
            <w:vAlign w:val="bottom"/>
          </w:tcPr>
          <w:p w14:paraId="061BF1F4" w14:textId="77777777" w:rsidR="00A4200F" w:rsidRPr="003D1614" w:rsidRDefault="00A4200F" w:rsidP="00A4200F">
            <w:pPr>
              <w:suppressAutoHyphens/>
              <w:autoSpaceDN w:val="0"/>
              <w:jc w:val="center"/>
              <w:rPr>
                <w:rFonts w:ascii="Arial" w:eastAsia="Calibri" w:hAnsi="Arial" w:cs="Arial"/>
                <w:color w:val="000000"/>
                <w:sz w:val="16"/>
                <w:szCs w:val="16"/>
              </w:rPr>
            </w:pPr>
          </w:p>
        </w:tc>
        <w:tc>
          <w:tcPr>
            <w:tcW w:w="1156" w:type="dxa"/>
            <w:tcBorders>
              <w:top w:val="nil"/>
              <w:left w:val="nil"/>
              <w:bottom w:val="nil"/>
              <w:right w:val="nil"/>
            </w:tcBorders>
            <w:vAlign w:val="bottom"/>
          </w:tcPr>
          <w:p w14:paraId="791DD589" w14:textId="77777777" w:rsidR="00A4200F" w:rsidRPr="003D1614" w:rsidRDefault="00A4200F" w:rsidP="00A4200F">
            <w:pPr>
              <w:suppressAutoHyphens/>
              <w:autoSpaceDN w:val="0"/>
              <w:jc w:val="right"/>
              <w:rPr>
                <w:rFonts w:ascii="Arial" w:eastAsia="Calibri" w:hAnsi="Arial" w:cs="Arial"/>
                <w:color w:val="000000"/>
                <w:sz w:val="16"/>
                <w:szCs w:val="16"/>
                <w:lang w:eastAsia="hr-HR"/>
              </w:rPr>
            </w:pPr>
          </w:p>
        </w:tc>
        <w:tc>
          <w:tcPr>
            <w:tcW w:w="1156" w:type="dxa"/>
            <w:tcBorders>
              <w:top w:val="nil"/>
              <w:left w:val="nil"/>
              <w:bottom w:val="nil"/>
              <w:right w:val="nil"/>
            </w:tcBorders>
            <w:shd w:val="clear" w:color="auto" w:fill="auto"/>
            <w:vAlign w:val="bottom"/>
          </w:tcPr>
          <w:p w14:paraId="0895D5F2" w14:textId="77777777" w:rsidR="00A4200F" w:rsidRPr="003D1614" w:rsidRDefault="00A4200F" w:rsidP="00A4200F">
            <w:pPr>
              <w:suppressAutoHyphens/>
              <w:autoSpaceDN w:val="0"/>
              <w:jc w:val="right"/>
              <w:rPr>
                <w:rFonts w:ascii="Arial" w:eastAsia="Calibri" w:hAnsi="Arial" w:cs="Arial"/>
                <w:color w:val="000000"/>
                <w:sz w:val="16"/>
                <w:szCs w:val="16"/>
                <w:lang w:eastAsia="hr-HR"/>
              </w:rPr>
            </w:pPr>
          </w:p>
        </w:tc>
        <w:tc>
          <w:tcPr>
            <w:tcW w:w="1156" w:type="dxa"/>
            <w:tcBorders>
              <w:top w:val="nil"/>
              <w:left w:val="nil"/>
              <w:bottom w:val="nil"/>
              <w:right w:val="nil"/>
            </w:tcBorders>
            <w:vAlign w:val="bottom"/>
          </w:tcPr>
          <w:p w14:paraId="773D4B0D" w14:textId="77777777" w:rsidR="00A4200F" w:rsidRPr="003D1614" w:rsidRDefault="00A4200F" w:rsidP="00A4200F">
            <w:pPr>
              <w:suppressAutoHyphens/>
              <w:autoSpaceDN w:val="0"/>
              <w:jc w:val="right"/>
              <w:rPr>
                <w:rFonts w:ascii="Arial" w:eastAsia="Calibri" w:hAnsi="Arial" w:cs="Arial"/>
                <w:color w:val="000000"/>
                <w:sz w:val="16"/>
                <w:szCs w:val="16"/>
              </w:rPr>
            </w:pPr>
          </w:p>
        </w:tc>
        <w:tc>
          <w:tcPr>
            <w:tcW w:w="1156" w:type="dxa"/>
            <w:tcBorders>
              <w:top w:val="nil"/>
              <w:left w:val="nil"/>
              <w:bottom w:val="nil"/>
              <w:right w:val="nil"/>
            </w:tcBorders>
            <w:vAlign w:val="bottom"/>
          </w:tcPr>
          <w:p w14:paraId="05751D06" w14:textId="77777777" w:rsidR="00A4200F" w:rsidRPr="003D1614" w:rsidRDefault="00A4200F" w:rsidP="00A4200F">
            <w:pPr>
              <w:suppressAutoHyphens/>
              <w:autoSpaceDN w:val="0"/>
              <w:jc w:val="right"/>
              <w:rPr>
                <w:rFonts w:ascii="Arial" w:eastAsia="Calibri" w:hAnsi="Arial" w:cs="Arial"/>
                <w:color w:val="000000"/>
                <w:sz w:val="16"/>
                <w:szCs w:val="16"/>
              </w:rPr>
            </w:pPr>
          </w:p>
        </w:tc>
      </w:tr>
      <w:tr w:rsidR="00A4200F" w:rsidRPr="003D1614" w14:paraId="4B9AEC8B" w14:textId="77777777" w:rsidTr="00A31F86">
        <w:trPr>
          <w:trHeight w:val="229"/>
        </w:trPr>
        <w:tc>
          <w:tcPr>
            <w:tcW w:w="2693" w:type="dxa"/>
            <w:tcBorders>
              <w:top w:val="nil"/>
              <w:left w:val="nil"/>
              <w:bottom w:val="nil"/>
              <w:right w:val="nil"/>
            </w:tcBorders>
            <w:shd w:val="clear" w:color="auto" w:fill="auto"/>
            <w:noWrap/>
            <w:vAlign w:val="bottom"/>
          </w:tcPr>
          <w:p w14:paraId="56CA5176" w14:textId="77777777" w:rsidR="00A4200F" w:rsidRPr="003D1614" w:rsidRDefault="00A4200F" w:rsidP="00A4200F">
            <w:pPr>
              <w:suppressAutoHyphens/>
              <w:autoSpaceDN w:val="0"/>
              <w:jc w:val="right"/>
              <w:rPr>
                <w:rFonts w:ascii="Arial" w:eastAsia="Calibri" w:hAnsi="Arial" w:cs="Arial"/>
                <w:color w:val="000000"/>
                <w:sz w:val="16"/>
                <w:szCs w:val="16"/>
                <w:lang w:eastAsia="hr-HR"/>
              </w:rPr>
            </w:pPr>
            <w:r w:rsidRPr="003D1614">
              <w:rPr>
                <w:rFonts w:ascii="Arial" w:eastAsia="Calibri" w:hAnsi="Arial" w:cs="Arial"/>
                <w:color w:val="000000"/>
                <w:sz w:val="16"/>
                <w:szCs w:val="16"/>
                <w:lang w:eastAsia="hr-HR"/>
              </w:rPr>
              <w:t>JDGL-O-24XA</w:t>
            </w:r>
          </w:p>
        </w:tc>
        <w:tc>
          <w:tcPr>
            <w:tcW w:w="1219" w:type="dxa"/>
            <w:gridSpan w:val="2"/>
            <w:tcBorders>
              <w:top w:val="nil"/>
              <w:left w:val="nil"/>
              <w:bottom w:val="nil"/>
              <w:right w:val="nil"/>
            </w:tcBorders>
            <w:shd w:val="clear" w:color="auto" w:fill="auto"/>
            <w:noWrap/>
            <w:vAlign w:val="bottom"/>
          </w:tcPr>
          <w:p w14:paraId="2AA3F4CF" w14:textId="77777777" w:rsidR="00A4200F" w:rsidRPr="003D1614" w:rsidRDefault="00A4200F" w:rsidP="00A4200F">
            <w:pPr>
              <w:suppressAutoHyphens/>
              <w:autoSpaceDN w:val="0"/>
              <w:jc w:val="right"/>
              <w:rPr>
                <w:rFonts w:ascii="Arial" w:eastAsia="Calibri" w:hAnsi="Arial" w:cs="Arial"/>
                <w:color w:val="000000"/>
                <w:sz w:val="16"/>
                <w:szCs w:val="16"/>
                <w:lang w:eastAsia="hr-HR"/>
              </w:rPr>
            </w:pPr>
            <w:r w:rsidRPr="003D1614">
              <w:rPr>
                <w:rFonts w:ascii="Arial" w:eastAsia="Calibri" w:hAnsi="Arial" w:cs="Arial"/>
                <w:color w:val="000000"/>
                <w:sz w:val="16"/>
                <w:szCs w:val="16"/>
                <w:lang w:eastAsia="hr-HR"/>
              </w:rPr>
              <w:t>18.12.2019.</w:t>
            </w:r>
          </w:p>
        </w:tc>
        <w:tc>
          <w:tcPr>
            <w:tcW w:w="1123" w:type="dxa"/>
            <w:tcBorders>
              <w:top w:val="nil"/>
              <w:left w:val="nil"/>
              <w:bottom w:val="nil"/>
              <w:right w:val="nil"/>
            </w:tcBorders>
            <w:shd w:val="clear" w:color="auto" w:fill="auto"/>
            <w:noWrap/>
            <w:vAlign w:val="bottom"/>
          </w:tcPr>
          <w:p w14:paraId="6EF373FA" w14:textId="77777777" w:rsidR="00A4200F" w:rsidRPr="003D1614" w:rsidRDefault="00A4200F" w:rsidP="00A4200F">
            <w:pPr>
              <w:suppressAutoHyphens/>
              <w:autoSpaceDN w:val="0"/>
              <w:jc w:val="right"/>
              <w:rPr>
                <w:rFonts w:ascii="Arial" w:eastAsia="Calibri" w:hAnsi="Arial" w:cs="Arial"/>
                <w:color w:val="000000"/>
                <w:sz w:val="16"/>
                <w:szCs w:val="16"/>
                <w:lang w:eastAsia="hr-HR"/>
              </w:rPr>
            </w:pPr>
            <w:r w:rsidRPr="003D1614">
              <w:rPr>
                <w:rFonts w:ascii="Arial" w:eastAsia="Calibri" w:hAnsi="Arial" w:cs="Arial"/>
                <w:color w:val="000000"/>
                <w:sz w:val="16"/>
                <w:szCs w:val="16"/>
                <w:lang w:eastAsia="hr-HR"/>
              </w:rPr>
              <w:t>18.12.2024.</w:t>
            </w:r>
          </w:p>
        </w:tc>
        <w:tc>
          <w:tcPr>
            <w:tcW w:w="1197" w:type="dxa"/>
            <w:tcBorders>
              <w:top w:val="nil"/>
              <w:left w:val="nil"/>
              <w:bottom w:val="nil"/>
              <w:right w:val="nil"/>
            </w:tcBorders>
            <w:shd w:val="clear" w:color="auto" w:fill="auto"/>
            <w:noWrap/>
            <w:vAlign w:val="bottom"/>
          </w:tcPr>
          <w:p w14:paraId="0CB5224D" w14:textId="77777777" w:rsidR="00A4200F" w:rsidRPr="003D1614" w:rsidRDefault="00A4200F" w:rsidP="00A4200F">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1,75</w:t>
            </w:r>
          </w:p>
        </w:tc>
        <w:tc>
          <w:tcPr>
            <w:tcW w:w="1156" w:type="dxa"/>
            <w:tcBorders>
              <w:top w:val="nil"/>
              <w:left w:val="nil"/>
              <w:bottom w:val="nil"/>
              <w:right w:val="nil"/>
            </w:tcBorders>
            <w:vAlign w:val="bottom"/>
          </w:tcPr>
          <w:p w14:paraId="1BF1ADC8" w14:textId="4F6CFA6F" w:rsidR="00A4200F" w:rsidRPr="003D1614" w:rsidRDefault="00AC4F01" w:rsidP="00A4200F">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128</w:t>
            </w:r>
          </w:p>
        </w:tc>
        <w:tc>
          <w:tcPr>
            <w:tcW w:w="1156" w:type="dxa"/>
            <w:tcBorders>
              <w:top w:val="nil"/>
              <w:left w:val="nil"/>
              <w:bottom w:val="nil"/>
              <w:right w:val="nil"/>
            </w:tcBorders>
            <w:vAlign w:val="bottom"/>
          </w:tcPr>
          <w:p w14:paraId="21A481EA" w14:textId="6A30922B" w:rsidR="00A4200F" w:rsidRPr="003D1614" w:rsidRDefault="00A4200F" w:rsidP="00A4200F">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132</w:t>
            </w:r>
          </w:p>
        </w:tc>
        <w:tc>
          <w:tcPr>
            <w:tcW w:w="1156" w:type="dxa"/>
            <w:tcBorders>
              <w:top w:val="nil"/>
              <w:left w:val="nil"/>
              <w:bottom w:val="nil"/>
              <w:right w:val="nil"/>
            </w:tcBorders>
            <w:shd w:val="clear" w:color="auto" w:fill="auto"/>
            <w:vAlign w:val="bottom"/>
          </w:tcPr>
          <w:p w14:paraId="3F18A096" w14:textId="02B29485" w:rsidR="00A4200F" w:rsidRPr="003D1614" w:rsidRDefault="00B46275" w:rsidP="00A4200F">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vAlign w:val="bottom"/>
          </w:tcPr>
          <w:p w14:paraId="2ED56546" w14:textId="77A66D28" w:rsidR="00A4200F" w:rsidRPr="003D1614" w:rsidRDefault="00A4200F" w:rsidP="00A4200F">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r>
      <w:tr w:rsidR="00A4200F" w:rsidRPr="003D1614" w14:paraId="3DC3CE77" w14:textId="77777777" w:rsidTr="00A31F86">
        <w:trPr>
          <w:trHeight w:val="229"/>
        </w:trPr>
        <w:tc>
          <w:tcPr>
            <w:tcW w:w="2693" w:type="dxa"/>
            <w:tcBorders>
              <w:top w:val="nil"/>
              <w:left w:val="nil"/>
              <w:bottom w:val="nil"/>
              <w:right w:val="nil"/>
            </w:tcBorders>
            <w:shd w:val="clear" w:color="auto" w:fill="auto"/>
            <w:noWrap/>
            <w:vAlign w:val="bottom"/>
          </w:tcPr>
          <w:p w14:paraId="11718098" w14:textId="516241B6" w:rsidR="00A4200F" w:rsidRPr="003D1614" w:rsidRDefault="00A4200F" w:rsidP="00A4200F">
            <w:pPr>
              <w:suppressAutoHyphens/>
              <w:autoSpaceDN w:val="0"/>
              <w:rPr>
                <w:rFonts w:ascii="Arial" w:eastAsia="Calibri" w:hAnsi="Arial" w:cs="Arial"/>
                <w:color w:val="000000"/>
                <w:sz w:val="16"/>
                <w:szCs w:val="16"/>
                <w:lang w:eastAsia="hr-HR"/>
              </w:rPr>
            </w:pPr>
            <w:r>
              <w:rPr>
                <w:rFonts w:ascii="Arial" w:eastAsia="Calibri" w:hAnsi="Arial" w:cs="Arial"/>
                <w:color w:val="000000"/>
                <w:sz w:val="16"/>
                <w:szCs w:val="16"/>
              </w:rPr>
              <w:t xml:space="preserve">                          </w:t>
            </w:r>
            <w:r w:rsidRPr="003D1614">
              <w:rPr>
                <w:rFonts w:ascii="Arial" w:eastAsia="Calibri" w:hAnsi="Arial" w:cs="Arial"/>
                <w:color w:val="000000"/>
                <w:sz w:val="16"/>
                <w:szCs w:val="16"/>
              </w:rPr>
              <w:t>HRATGRO25CA5</w:t>
            </w:r>
          </w:p>
        </w:tc>
        <w:tc>
          <w:tcPr>
            <w:tcW w:w="1219" w:type="dxa"/>
            <w:gridSpan w:val="2"/>
            <w:tcBorders>
              <w:top w:val="nil"/>
              <w:left w:val="nil"/>
              <w:bottom w:val="nil"/>
              <w:right w:val="nil"/>
            </w:tcBorders>
            <w:shd w:val="clear" w:color="auto" w:fill="auto"/>
            <w:noWrap/>
            <w:vAlign w:val="bottom"/>
          </w:tcPr>
          <w:p w14:paraId="4A5EF081" w14:textId="77777777" w:rsidR="00A4200F" w:rsidRPr="003D1614" w:rsidRDefault="00A4200F" w:rsidP="00A4200F">
            <w:pPr>
              <w:suppressAutoHyphens/>
              <w:autoSpaceDN w:val="0"/>
              <w:jc w:val="right"/>
              <w:rPr>
                <w:rFonts w:ascii="Arial" w:eastAsia="Calibri" w:hAnsi="Arial" w:cs="Arial"/>
                <w:color w:val="000000"/>
                <w:sz w:val="16"/>
                <w:szCs w:val="16"/>
                <w:lang w:eastAsia="hr-HR"/>
              </w:rPr>
            </w:pPr>
            <w:r w:rsidRPr="003D1614">
              <w:rPr>
                <w:rFonts w:ascii="Arial" w:eastAsia="Calibri" w:hAnsi="Arial" w:cs="Arial"/>
                <w:color w:val="000000"/>
                <w:sz w:val="16"/>
                <w:szCs w:val="16"/>
              </w:rPr>
              <w:t xml:space="preserve">11.12.2020.      </w:t>
            </w:r>
          </w:p>
        </w:tc>
        <w:tc>
          <w:tcPr>
            <w:tcW w:w="1123" w:type="dxa"/>
            <w:tcBorders>
              <w:top w:val="nil"/>
              <w:left w:val="nil"/>
              <w:bottom w:val="nil"/>
              <w:right w:val="nil"/>
            </w:tcBorders>
            <w:shd w:val="clear" w:color="auto" w:fill="auto"/>
            <w:noWrap/>
            <w:vAlign w:val="bottom"/>
          </w:tcPr>
          <w:p w14:paraId="373D61ED" w14:textId="77777777" w:rsidR="00A4200F" w:rsidRPr="003D1614" w:rsidRDefault="00A4200F" w:rsidP="00A4200F">
            <w:pPr>
              <w:suppressAutoHyphens/>
              <w:autoSpaceDN w:val="0"/>
              <w:jc w:val="right"/>
              <w:rPr>
                <w:rFonts w:ascii="Arial" w:eastAsia="Calibri" w:hAnsi="Arial" w:cs="Arial"/>
                <w:color w:val="000000"/>
                <w:sz w:val="16"/>
                <w:szCs w:val="16"/>
                <w:lang w:eastAsia="hr-HR"/>
              </w:rPr>
            </w:pPr>
            <w:r w:rsidRPr="003D1614">
              <w:rPr>
                <w:rFonts w:ascii="Arial" w:eastAsia="Calibri" w:hAnsi="Arial" w:cs="Arial"/>
                <w:color w:val="000000"/>
                <w:sz w:val="16"/>
                <w:szCs w:val="16"/>
              </w:rPr>
              <w:t>11.12.2025.</w:t>
            </w:r>
          </w:p>
        </w:tc>
        <w:tc>
          <w:tcPr>
            <w:tcW w:w="1197" w:type="dxa"/>
            <w:tcBorders>
              <w:top w:val="nil"/>
              <w:left w:val="nil"/>
              <w:bottom w:val="nil"/>
              <w:right w:val="nil"/>
            </w:tcBorders>
            <w:shd w:val="clear" w:color="auto" w:fill="auto"/>
            <w:noWrap/>
            <w:vAlign w:val="bottom"/>
          </w:tcPr>
          <w:p w14:paraId="48E28B80" w14:textId="77777777" w:rsidR="00A4200F" w:rsidRPr="003D1614" w:rsidRDefault="00A4200F" w:rsidP="00A4200F">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0,88</w:t>
            </w:r>
          </w:p>
        </w:tc>
        <w:tc>
          <w:tcPr>
            <w:tcW w:w="1156" w:type="dxa"/>
            <w:tcBorders>
              <w:top w:val="nil"/>
              <w:left w:val="nil"/>
              <w:bottom w:val="nil"/>
              <w:right w:val="nil"/>
            </w:tcBorders>
            <w:vAlign w:val="bottom"/>
          </w:tcPr>
          <w:p w14:paraId="360E9580" w14:textId="4A55722D" w:rsidR="00A4200F" w:rsidRPr="003D1614" w:rsidRDefault="00AC4F01" w:rsidP="00A4200F">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173</w:t>
            </w:r>
          </w:p>
        </w:tc>
        <w:tc>
          <w:tcPr>
            <w:tcW w:w="1156" w:type="dxa"/>
            <w:tcBorders>
              <w:top w:val="nil"/>
              <w:left w:val="nil"/>
              <w:bottom w:val="nil"/>
              <w:right w:val="nil"/>
            </w:tcBorders>
            <w:vAlign w:val="bottom"/>
          </w:tcPr>
          <w:p w14:paraId="688A2DD5" w14:textId="7B543D53" w:rsidR="00A4200F" w:rsidRPr="003D1614" w:rsidRDefault="00A4200F" w:rsidP="00A4200F">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172</w:t>
            </w:r>
          </w:p>
        </w:tc>
        <w:tc>
          <w:tcPr>
            <w:tcW w:w="1156" w:type="dxa"/>
            <w:tcBorders>
              <w:top w:val="nil"/>
              <w:left w:val="nil"/>
              <w:bottom w:val="nil"/>
              <w:right w:val="nil"/>
            </w:tcBorders>
            <w:shd w:val="clear" w:color="auto" w:fill="auto"/>
            <w:vAlign w:val="bottom"/>
          </w:tcPr>
          <w:p w14:paraId="180D3885" w14:textId="252E5C03" w:rsidR="00A4200F" w:rsidRPr="003D1614" w:rsidRDefault="00B46275" w:rsidP="00A4200F">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c>
          <w:tcPr>
            <w:tcW w:w="1156" w:type="dxa"/>
            <w:tcBorders>
              <w:top w:val="nil"/>
              <w:left w:val="nil"/>
              <w:bottom w:val="nil"/>
              <w:right w:val="nil"/>
            </w:tcBorders>
            <w:vAlign w:val="bottom"/>
          </w:tcPr>
          <w:p w14:paraId="4E3E0E9F" w14:textId="46B6976F" w:rsidR="00A4200F" w:rsidRPr="003D1614" w:rsidRDefault="00A4200F" w:rsidP="00A4200F">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w:t>
            </w:r>
          </w:p>
        </w:tc>
      </w:tr>
      <w:tr w:rsidR="00A4200F" w:rsidRPr="003D1614" w14:paraId="665AE0F6" w14:textId="77777777" w:rsidTr="00A31F86">
        <w:trPr>
          <w:trHeight w:val="229"/>
        </w:trPr>
        <w:tc>
          <w:tcPr>
            <w:tcW w:w="3912" w:type="dxa"/>
            <w:gridSpan w:val="3"/>
            <w:tcBorders>
              <w:top w:val="nil"/>
              <w:left w:val="nil"/>
              <w:bottom w:val="nil"/>
              <w:right w:val="nil"/>
            </w:tcBorders>
            <w:shd w:val="clear" w:color="auto" w:fill="auto"/>
            <w:noWrap/>
            <w:vAlign w:val="bottom"/>
            <w:hideMark/>
          </w:tcPr>
          <w:p w14:paraId="1BD489DE" w14:textId="4373F9EA" w:rsidR="00A4200F" w:rsidRPr="003D1614" w:rsidRDefault="00A4200F" w:rsidP="00A4200F">
            <w:pPr>
              <w:suppressAutoHyphens/>
              <w:autoSpaceDN w:val="0"/>
              <w:rPr>
                <w:rFonts w:ascii="Arial" w:eastAsia="Calibri" w:hAnsi="Arial" w:cs="Arial"/>
                <w:color w:val="000000"/>
                <w:sz w:val="16"/>
                <w:szCs w:val="16"/>
              </w:rPr>
            </w:pPr>
            <w:r w:rsidRPr="003D1614">
              <w:rPr>
                <w:rFonts w:ascii="Arial" w:eastAsia="Calibri" w:hAnsi="Arial" w:cs="Arial"/>
                <w:color w:val="000000"/>
                <w:sz w:val="16"/>
                <w:szCs w:val="16"/>
              </w:rPr>
              <w:t>Trezorski zapisi</w:t>
            </w:r>
            <w:r>
              <w:rPr>
                <w:rFonts w:ascii="Arial" w:eastAsia="Calibri" w:hAnsi="Arial" w:cs="Arial"/>
                <w:color w:val="000000"/>
                <w:sz w:val="16"/>
                <w:szCs w:val="16"/>
              </w:rPr>
              <w:t xml:space="preserve"> do 182 </w:t>
            </w:r>
            <w:r w:rsidRPr="003D1614">
              <w:rPr>
                <w:rFonts w:ascii="Arial" w:eastAsia="Calibri" w:hAnsi="Arial" w:cs="Arial"/>
                <w:color w:val="000000"/>
                <w:sz w:val="16"/>
                <w:szCs w:val="16"/>
              </w:rPr>
              <w:t>dana</w:t>
            </w:r>
          </w:p>
        </w:tc>
        <w:tc>
          <w:tcPr>
            <w:tcW w:w="1123" w:type="dxa"/>
            <w:tcBorders>
              <w:top w:val="nil"/>
              <w:left w:val="nil"/>
              <w:bottom w:val="nil"/>
              <w:right w:val="nil"/>
            </w:tcBorders>
            <w:shd w:val="clear" w:color="auto" w:fill="auto"/>
            <w:noWrap/>
            <w:vAlign w:val="bottom"/>
            <w:hideMark/>
          </w:tcPr>
          <w:p w14:paraId="43B9CCEF" w14:textId="77777777" w:rsidR="00A4200F" w:rsidRPr="003D1614" w:rsidRDefault="00A4200F" w:rsidP="00A4200F">
            <w:pPr>
              <w:suppressAutoHyphens/>
              <w:autoSpaceDN w:val="0"/>
              <w:jc w:val="right"/>
              <w:rPr>
                <w:rFonts w:ascii="Arial" w:eastAsia="Calibri" w:hAnsi="Arial" w:cs="Arial"/>
                <w:color w:val="000000"/>
                <w:sz w:val="16"/>
                <w:szCs w:val="16"/>
              </w:rPr>
            </w:pPr>
          </w:p>
        </w:tc>
        <w:tc>
          <w:tcPr>
            <w:tcW w:w="1197" w:type="dxa"/>
            <w:tcBorders>
              <w:top w:val="nil"/>
              <w:left w:val="nil"/>
              <w:bottom w:val="nil"/>
              <w:right w:val="nil"/>
            </w:tcBorders>
            <w:shd w:val="clear" w:color="auto" w:fill="auto"/>
            <w:noWrap/>
            <w:vAlign w:val="bottom"/>
          </w:tcPr>
          <w:p w14:paraId="49F7CB02" w14:textId="239F8376" w:rsidR="00A4200F" w:rsidRPr="005D1219" w:rsidRDefault="00A4200F" w:rsidP="00A4200F">
            <w:pPr>
              <w:jc w:val="center"/>
              <w:rPr>
                <w:rFonts w:ascii="Arial" w:hAnsi="Arial" w:cs="Arial"/>
                <w:color w:val="000000"/>
                <w:sz w:val="16"/>
                <w:szCs w:val="16"/>
              </w:rPr>
            </w:pPr>
            <w:r w:rsidRPr="005D1219">
              <w:rPr>
                <w:rFonts w:ascii="Arial" w:eastAsia="Calibri" w:hAnsi="Arial" w:cs="Arial"/>
                <w:color w:val="000000"/>
                <w:sz w:val="16"/>
                <w:szCs w:val="16"/>
              </w:rPr>
              <w:t>3,349-3,856</w:t>
            </w:r>
          </w:p>
        </w:tc>
        <w:tc>
          <w:tcPr>
            <w:tcW w:w="1156" w:type="dxa"/>
            <w:tcBorders>
              <w:top w:val="nil"/>
              <w:left w:val="nil"/>
              <w:bottom w:val="nil"/>
              <w:right w:val="nil"/>
            </w:tcBorders>
            <w:vAlign w:val="bottom"/>
          </w:tcPr>
          <w:p w14:paraId="4233F1EE" w14:textId="45964B0D" w:rsidR="00A4200F" w:rsidRPr="003D1614" w:rsidRDefault="00AC4F01" w:rsidP="00A4200F">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w:t>
            </w:r>
          </w:p>
        </w:tc>
        <w:tc>
          <w:tcPr>
            <w:tcW w:w="1156" w:type="dxa"/>
            <w:tcBorders>
              <w:top w:val="nil"/>
              <w:left w:val="nil"/>
              <w:bottom w:val="nil"/>
              <w:right w:val="nil"/>
            </w:tcBorders>
            <w:shd w:val="clear" w:color="auto" w:fill="auto"/>
            <w:vAlign w:val="bottom"/>
          </w:tcPr>
          <w:p w14:paraId="5DD50802" w14:textId="2B103E9D" w:rsidR="00A4200F" w:rsidRPr="003D1614" w:rsidRDefault="00A4200F" w:rsidP="00A4200F">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4.976</w:t>
            </w:r>
          </w:p>
        </w:tc>
        <w:tc>
          <w:tcPr>
            <w:tcW w:w="1156" w:type="dxa"/>
            <w:tcBorders>
              <w:top w:val="nil"/>
              <w:left w:val="nil"/>
              <w:bottom w:val="nil"/>
              <w:right w:val="nil"/>
            </w:tcBorders>
            <w:vAlign w:val="bottom"/>
          </w:tcPr>
          <w:p w14:paraId="50A118AE" w14:textId="29B24EB0" w:rsidR="00A4200F" w:rsidRPr="003D1614" w:rsidRDefault="00B46275" w:rsidP="00A4200F">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w:t>
            </w:r>
          </w:p>
        </w:tc>
        <w:tc>
          <w:tcPr>
            <w:tcW w:w="1156" w:type="dxa"/>
            <w:tcBorders>
              <w:top w:val="nil"/>
              <w:left w:val="nil"/>
              <w:bottom w:val="nil"/>
              <w:right w:val="nil"/>
            </w:tcBorders>
            <w:shd w:val="clear" w:color="auto" w:fill="auto"/>
            <w:vAlign w:val="bottom"/>
          </w:tcPr>
          <w:p w14:paraId="4F3CB0E3" w14:textId="6DB4234C" w:rsidR="00A4200F" w:rsidRPr="003D1614" w:rsidRDefault="00A4200F" w:rsidP="00A4200F">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4.976</w:t>
            </w:r>
          </w:p>
        </w:tc>
      </w:tr>
      <w:tr w:rsidR="00A4200F" w:rsidRPr="003D1614" w14:paraId="4F52AEA8" w14:textId="77777777" w:rsidTr="00BC2928">
        <w:trPr>
          <w:trHeight w:val="229"/>
        </w:trPr>
        <w:tc>
          <w:tcPr>
            <w:tcW w:w="3912" w:type="dxa"/>
            <w:gridSpan w:val="3"/>
            <w:tcBorders>
              <w:top w:val="nil"/>
              <w:left w:val="nil"/>
              <w:right w:val="nil"/>
            </w:tcBorders>
            <w:shd w:val="clear" w:color="auto" w:fill="auto"/>
            <w:noWrap/>
            <w:vAlign w:val="bottom"/>
          </w:tcPr>
          <w:p w14:paraId="477517CE" w14:textId="74125B0E" w:rsidR="00A4200F" w:rsidRPr="003D1614" w:rsidRDefault="00A4200F" w:rsidP="00A4200F">
            <w:pPr>
              <w:suppressAutoHyphens/>
              <w:autoSpaceDN w:val="0"/>
              <w:rPr>
                <w:rFonts w:ascii="Arial" w:eastAsia="Calibri" w:hAnsi="Arial" w:cs="Arial"/>
                <w:color w:val="000000"/>
                <w:sz w:val="16"/>
                <w:szCs w:val="16"/>
              </w:rPr>
            </w:pPr>
            <w:r w:rsidRPr="003D1614">
              <w:rPr>
                <w:rFonts w:ascii="Arial" w:eastAsia="Calibri" w:hAnsi="Arial" w:cs="Arial"/>
                <w:color w:val="000000"/>
                <w:sz w:val="16"/>
                <w:szCs w:val="16"/>
              </w:rPr>
              <w:t>Trezorski zapisi do 364 dana</w:t>
            </w:r>
          </w:p>
        </w:tc>
        <w:tc>
          <w:tcPr>
            <w:tcW w:w="1123" w:type="dxa"/>
            <w:tcBorders>
              <w:top w:val="nil"/>
              <w:left w:val="nil"/>
              <w:right w:val="nil"/>
            </w:tcBorders>
            <w:shd w:val="clear" w:color="auto" w:fill="auto"/>
            <w:noWrap/>
            <w:vAlign w:val="bottom"/>
          </w:tcPr>
          <w:p w14:paraId="721F1CE3" w14:textId="77777777" w:rsidR="00A4200F" w:rsidRPr="003D1614" w:rsidRDefault="00A4200F" w:rsidP="00A4200F">
            <w:pPr>
              <w:suppressAutoHyphens/>
              <w:autoSpaceDN w:val="0"/>
              <w:rPr>
                <w:rFonts w:ascii="Arial" w:eastAsia="Calibri" w:hAnsi="Arial" w:cs="Arial"/>
                <w:color w:val="000000"/>
                <w:sz w:val="16"/>
                <w:szCs w:val="16"/>
              </w:rPr>
            </w:pPr>
          </w:p>
        </w:tc>
        <w:tc>
          <w:tcPr>
            <w:tcW w:w="1197" w:type="dxa"/>
            <w:tcBorders>
              <w:top w:val="nil"/>
              <w:left w:val="nil"/>
              <w:bottom w:val="nil"/>
              <w:right w:val="nil"/>
            </w:tcBorders>
            <w:shd w:val="clear" w:color="auto" w:fill="auto"/>
            <w:noWrap/>
            <w:vAlign w:val="bottom"/>
          </w:tcPr>
          <w:p w14:paraId="2EA4359D" w14:textId="2E2C4FF2" w:rsidR="00A4200F" w:rsidRPr="005D1219" w:rsidRDefault="00B46275" w:rsidP="00A4200F">
            <w:pPr>
              <w:jc w:val="center"/>
              <w:rPr>
                <w:rFonts w:ascii="Arial" w:hAnsi="Arial" w:cs="Arial"/>
                <w:color w:val="000000"/>
                <w:sz w:val="16"/>
                <w:szCs w:val="16"/>
              </w:rPr>
            </w:pPr>
            <w:r>
              <w:rPr>
                <w:rFonts w:ascii="Arial" w:eastAsia="Calibri" w:hAnsi="Arial" w:cs="Arial"/>
                <w:color w:val="000000"/>
                <w:sz w:val="16"/>
                <w:szCs w:val="16"/>
              </w:rPr>
              <w:t>8,411-10,313</w:t>
            </w:r>
          </w:p>
        </w:tc>
        <w:tc>
          <w:tcPr>
            <w:tcW w:w="1156" w:type="dxa"/>
            <w:tcBorders>
              <w:top w:val="nil"/>
              <w:left w:val="nil"/>
              <w:right w:val="nil"/>
            </w:tcBorders>
            <w:shd w:val="clear" w:color="auto" w:fill="auto"/>
            <w:vAlign w:val="bottom"/>
          </w:tcPr>
          <w:p w14:paraId="6CA99954" w14:textId="781EE0F7" w:rsidR="00A4200F" w:rsidRPr="003D1614" w:rsidRDefault="005243D8" w:rsidP="00A4200F">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26.400</w:t>
            </w:r>
          </w:p>
        </w:tc>
        <w:tc>
          <w:tcPr>
            <w:tcW w:w="1156" w:type="dxa"/>
            <w:tcBorders>
              <w:top w:val="nil"/>
              <w:left w:val="nil"/>
              <w:right w:val="nil"/>
            </w:tcBorders>
            <w:vAlign w:val="bottom"/>
          </w:tcPr>
          <w:p w14:paraId="416C2ECA" w14:textId="6B06E9BF" w:rsidR="00A4200F" w:rsidRPr="003D1614" w:rsidRDefault="00A4200F" w:rsidP="00A4200F">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33.474</w:t>
            </w:r>
          </w:p>
        </w:tc>
        <w:tc>
          <w:tcPr>
            <w:tcW w:w="1156" w:type="dxa"/>
            <w:tcBorders>
              <w:top w:val="nil"/>
              <w:left w:val="nil"/>
              <w:bottom w:val="nil"/>
              <w:right w:val="nil"/>
            </w:tcBorders>
            <w:vAlign w:val="bottom"/>
          </w:tcPr>
          <w:p w14:paraId="6E4BDE36" w14:textId="1F9EEA15" w:rsidR="00A4200F" w:rsidRPr="007D277A" w:rsidRDefault="00B46275" w:rsidP="00A4200F">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26.400</w:t>
            </w:r>
          </w:p>
        </w:tc>
        <w:tc>
          <w:tcPr>
            <w:tcW w:w="1156" w:type="dxa"/>
            <w:tcBorders>
              <w:top w:val="nil"/>
              <w:left w:val="nil"/>
              <w:right w:val="nil"/>
            </w:tcBorders>
            <w:vAlign w:val="bottom"/>
          </w:tcPr>
          <w:p w14:paraId="6F98ADDB" w14:textId="7C9E2374" w:rsidR="00A4200F" w:rsidRPr="007D277A" w:rsidRDefault="00A4200F" w:rsidP="00A4200F">
            <w:pPr>
              <w:suppressAutoHyphens/>
              <w:autoSpaceDN w:val="0"/>
              <w:jc w:val="right"/>
              <w:rPr>
                <w:rFonts w:ascii="Arial" w:eastAsia="Calibri" w:hAnsi="Arial" w:cs="Arial"/>
                <w:color w:val="000000"/>
                <w:sz w:val="16"/>
                <w:szCs w:val="16"/>
              </w:rPr>
            </w:pPr>
            <w:r>
              <w:rPr>
                <w:rFonts w:ascii="Arial" w:hAnsi="Arial" w:cs="Arial"/>
                <w:sz w:val="16"/>
                <w:szCs w:val="16"/>
              </w:rPr>
              <w:t>33.474</w:t>
            </w:r>
          </w:p>
        </w:tc>
      </w:tr>
      <w:tr w:rsidR="00A4200F" w:rsidRPr="003D1614" w14:paraId="3385CC48" w14:textId="77777777" w:rsidTr="00A31F86">
        <w:trPr>
          <w:trHeight w:val="229"/>
        </w:trPr>
        <w:tc>
          <w:tcPr>
            <w:tcW w:w="2693" w:type="dxa"/>
            <w:tcBorders>
              <w:left w:val="nil"/>
              <w:bottom w:val="single" w:sz="4" w:space="0" w:color="auto"/>
              <w:right w:val="nil"/>
            </w:tcBorders>
            <w:shd w:val="clear" w:color="auto" w:fill="auto"/>
            <w:noWrap/>
            <w:vAlign w:val="bottom"/>
            <w:hideMark/>
          </w:tcPr>
          <w:p w14:paraId="320345DD" w14:textId="77777777" w:rsidR="00A4200F" w:rsidRPr="003D1614" w:rsidRDefault="00A4200F" w:rsidP="00A4200F">
            <w:pPr>
              <w:suppressAutoHyphens/>
              <w:autoSpaceDN w:val="0"/>
              <w:rPr>
                <w:rFonts w:ascii="Arial" w:eastAsia="Calibri" w:hAnsi="Arial" w:cs="Arial"/>
                <w:color w:val="000000"/>
                <w:sz w:val="16"/>
                <w:szCs w:val="16"/>
              </w:rPr>
            </w:pPr>
            <w:r w:rsidRPr="003D1614">
              <w:rPr>
                <w:rFonts w:ascii="Arial" w:eastAsia="Calibri" w:hAnsi="Arial" w:cs="Arial"/>
                <w:color w:val="000000"/>
                <w:sz w:val="16"/>
                <w:szCs w:val="16"/>
              </w:rPr>
              <w:t xml:space="preserve">Obračunata kamata </w:t>
            </w:r>
          </w:p>
        </w:tc>
        <w:tc>
          <w:tcPr>
            <w:tcW w:w="1219" w:type="dxa"/>
            <w:gridSpan w:val="2"/>
            <w:tcBorders>
              <w:left w:val="nil"/>
              <w:bottom w:val="single" w:sz="4" w:space="0" w:color="auto"/>
              <w:right w:val="nil"/>
            </w:tcBorders>
            <w:shd w:val="clear" w:color="auto" w:fill="auto"/>
            <w:noWrap/>
            <w:vAlign w:val="bottom"/>
            <w:hideMark/>
          </w:tcPr>
          <w:p w14:paraId="429BF92A" w14:textId="77777777" w:rsidR="00A4200F" w:rsidRPr="003D1614" w:rsidRDefault="00A4200F" w:rsidP="00A4200F">
            <w:pPr>
              <w:suppressAutoHyphens/>
              <w:autoSpaceDN w:val="0"/>
              <w:rPr>
                <w:rFonts w:ascii="Arial" w:eastAsia="Calibri" w:hAnsi="Arial" w:cs="Arial"/>
                <w:color w:val="000000"/>
                <w:sz w:val="16"/>
                <w:szCs w:val="16"/>
              </w:rPr>
            </w:pPr>
          </w:p>
        </w:tc>
        <w:tc>
          <w:tcPr>
            <w:tcW w:w="1123" w:type="dxa"/>
            <w:tcBorders>
              <w:left w:val="nil"/>
              <w:bottom w:val="single" w:sz="4" w:space="0" w:color="auto"/>
              <w:right w:val="nil"/>
            </w:tcBorders>
            <w:shd w:val="clear" w:color="auto" w:fill="auto"/>
            <w:noWrap/>
            <w:vAlign w:val="bottom"/>
            <w:hideMark/>
          </w:tcPr>
          <w:p w14:paraId="74B29DD7" w14:textId="77777777" w:rsidR="00A4200F" w:rsidRPr="003D1614" w:rsidRDefault="00A4200F" w:rsidP="00A4200F">
            <w:pPr>
              <w:suppressAutoHyphens/>
              <w:autoSpaceDN w:val="0"/>
              <w:rPr>
                <w:rFonts w:ascii="Arial" w:eastAsia="Calibri" w:hAnsi="Arial" w:cs="Arial"/>
                <w:color w:val="000000"/>
                <w:sz w:val="16"/>
                <w:szCs w:val="16"/>
              </w:rPr>
            </w:pPr>
          </w:p>
        </w:tc>
        <w:tc>
          <w:tcPr>
            <w:tcW w:w="1197" w:type="dxa"/>
            <w:tcBorders>
              <w:left w:val="nil"/>
              <w:bottom w:val="single" w:sz="4" w:space="0" w:color="auto"/>
              <w:right w:val="nil"/>
            </w:tcBorders>
            <w:shd w:val="clear" w:color="auto" w:fill="auto"/>
            <w:noWrap/>
            <w:vAlign w:val="bottom"/>
            <w:hideMark/>
          </w:tcPr>
          <w:p w14:paraId="035E3C4B" w14:textId="77777777" w:rsidR="00A4200F" w:rsidRPr="003D1614" w:rsidRDefault="00A4200F" w:rsidP="00A4200F">
            <w:pPr>
              <w:suppressAutoHyphens/>
              <w:autoSpaceDN w:val="0"/>
              <w:rPr>
                <w:rFonts w:ascii="Arial" w:eastAsia="Calibri" w:hAnsi="Arial" w:cs="Arial"/>
                <w:color w:val="000000"/>
                <w:sz w:val="16"/>
                <w:szCs w:val="16"/>
              </w:rPr>
            </w:pPr>
          </w:p>
        </w:tc>
        <w:tc>
          <w:tcPr>
            <w:tcW w:w="1156" w:type="dxa"/>
            <w:tcBorders>
              <w:left w:val="nil"/>
              <w:bottom w:val="single" w:sz="4" w:space="0" w:color="auto"/>
              <w:right w:val="nil"/>
            </w:tcBorders>
            <w:vAlign w:val="bottom"/>
          </w:tcPr>
          <w:p w14:paraId="513BAE09" w14:textId="63FD45C1" w:rsidR="00A4200F" w:rsidRPr="003D1614" w:rsidRDefault="005243D8" w:rsidP="00A4200F">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1.519</w:t>
            </w:r>
          </w:p>
        </w:tc>
        <w:tc>
          <w:tcPr>
            <w:tcW w:w="1156" w:type="dxa"/>
            <w:tcBorders>
              <w:left w:val="nil"/>
              <w:bottom w:val="single" w:sz="4" w:space="0" w:color="auto"/>
              <w:right w:val="nil"/>
            </w:tcBorders>
            <w:vAlign w:val="bottom"/>
          </w:tcPr>
          <w:p w14:paraId="79907039" w14:textId="275552F1" w:rsidR="00A4200F" w:rsidRPr="003D1614" w:rsidRDefault="00A4200F" w:rsidP="00A4200F">
            <w:pPr>
              <w:suppressAutoHyphens/>
              <w:autoSpaceDN w:val="0"/>
              <w:jc w:val="right"/>
              <w:rPr>
                <w:rFonts w:ascii="Arial" w:eastAsia="Calibri" w:hAnsi="Arial" w:cs="Arial"/>
                <w:color w:val="000000"/>
                <w:sz w:val="16"/>
                <w:szCs w:val="16"/>
                <w:lang w:eastAsia="hr-HR"/>
              </w:rPr>
            </w:pPr>
            <w:r>
              <w:rPr>
                <w:rFonts w:ascii="Arial" w:eastAsia="Calibri" w:hAnsi="Arial" w:cs="Arial"/>
                <w:color w:val="000000"/>
                <w:sz w:val="16"/>
                <w:szCs w:val="16"/>
                <w:lang w:eastAsia="hr-HR"/>
              </w:rPr>
              <w:t>3.177</w:t>
            </w:r>
          </w:p>
        </w:tc>
        <w:tc>
          <w:tcPr>
            <w:tcW w:w="1156" w:type="dxa"/>
            <w:tcBorders>
              <w:left w:val="nil"/>
              <w:bottom w:val="single" w:sz="4" w:space="0" w:color="auto"/>
              <w:right w:val="nil"/>
            </w:tcBorders>
            <w:shd w:val="clear" w:color="auto" w:fill="auto"/>
            <w:vAlign w:val="bottom"/>
          </w:tcPr>
          <w:p w14:paraId="352E3C8F" w14:textId="515D5600" w:rsidR="00A4200F" w:rsidRPr="003D1614" w:rsidRDefault="00B46275" w:rsidP="00A4200F">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1.473</w:t>
            </w:r>
          </w:p>
        </w:tc>
        <w:tc>
          <w:tcPr>
            <w:tcW w:w="1156" w:type="dxa"/>
            <w:tcBorders>
              <w:left w:val="nil"/>
              <w:bottom w:val="single" w:sz="4" w:space="0" w:color="auto"/>
              <w:right w:val="nil"/>
            </w:tcBorders>
            <w:vAlign w:val="bottom"/>
          </w:tcPr>
          <w:p w14:paraId="49D60B8C" w14:textId="41ACAA42" w:rsidR="00A4200F" w:rsidRPr="003D1614" w:rsidRDefault="00A4200F" w:rsidP="00A4200F">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3.121</w:t>
            </w:r>
          </w:p>
        </w:tc>
      </w:tr>
      <w:tr w:rsidR="00A4200F" w:rsidRPr="003D1614" w14:paraId="281CC7E3" w14:textId="77777777" w:rsidTr="00A31F86">
        <w:trPr>
          <w:trHeight w:val="245"/>
        </w:trPr>
        <w:tc>
          <w:tcPr>
            <w:tcW w:w="2693" w:type="dxa"/>
            <w:tcBorders>
              <w:top w:val="single" w:sz="4" w:space="0" w:color="auto"/>
              <w:left w:val="nil"/>
              <w:bottom w:val="single" w:sz="12" w:space="0" w:color="auto"/>
              <w:right w:val="nil"/>
            </w:tcBorders>
            <w:shd w:val="clear" w:color="auto" w:fill="auto"/>
            <w:noWrap/>
            <w:vAlign w:val="center"/>
            <w:hideMark/>
          </w:tcPr>
          <w:p w14:paraId="2EFAB881" w14:textId="77777777" w:rsidR="00A4200F" w:rsidRPr="003D1614" w:rsidRDefault="00A4200F" w:rsidP="00A4200F">
            <w:pPr>
              <w:suppressAutoHyphens/>
              <w:autoSpaceDN w:val="0"/>
              <w:jc w:val="both"/>
              <w:rPr>
                <w:rFonts w:ascii="Arial" w:eastAsia="Calibri" w:hAnsi="Arial" w:cs="Arial"/>
                <w:b/>
                <w:bCs/>
                <w:color w:val="000000"/>
                <w:sz w:val="16"/>
                <w:szCs w:val="16"/>
              </w:rPr>
            </w:pPr>
            <w:r w:rsidRPr="003D1614">
              <w:rPr>
                <w:rFonts w:ascii="Arial" w:eastAsia="Calibri" w:hAnsi="Arial" w:cs="Arial"/>
                <w:b/>
                <w:bCs/>
                <w:color w:val="000000"/>
                <w:sz w:val="16"/>
                <w:szCs w:val="16"/>
              </w:rPr>
              <w:t> </w:t>
            </w:r>
          </w:p>
        </w:tc>
        <w:tc>
          <w:tcPr>
            <w:tcW w:w="1219" w:type="dxa"/>
            <w:gridSpan w:val="2"/>
            <w:tcBorders>
              <w:top w:val="single" w:sz="4" w:space="0" w:color="auto"/>
              <w:left w:val="nil"/>
              <w:bottom w:val="single" w:sz="12" w:space="0" w:color="auto"/>
              <w:right w:val="nil"/>
            </w:tcBorders>
            <w:shd w:val="clear" w:color="auto" w:fill="auto"/>
            <w:noWrap/>
            <w:vAlign w:val="center"/>
            <w:hideMark/>
          </w:tcPr>
          <w:p w14:paraId="6384F83D" w14:textId="77777777" w:rsidR="00A4200F" w:rsidRPr="003D1614" w:rsidRDefault="00A4200F" w:rsidP="00A4200F">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 </w:t>
            </w:r>
          </w:p>
        </w:tc>
        <w:tc>
          <w:tcPr>
            <w:tcW w:w="1123" w:type="dxa"/>
            <w:tcBorders>
              <w:top w:val="single" w:sz="4" w:space="0" w:color="auto"/>
              <w:left w:val="nil"/>
              <w:bottom w:val="single" w:sz="12" w:space="0" w:color="auto"/>
              <w:right w:val="nil"/>
            </w:tcBorders>
            <w:shd w:val="clear" w:color="auto" w:fill="auto"/>
            <w:noWrap/>
            <w:vAlign w:val="center"/>
            <w:hideMark/>
          </w:tcPr>
          <w:p w14:paraId="7F343205" w14:textId="77777777" w:rsidR="00A4200F" w:rsidRPr="003D1614" w:rsidRDefault="00A4200F" w:rsidP="00A4200F">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 </w:t>
            </w:r>
          </w:p>
        </w:tc>
        <w:tc>
          <w:tcPr>
            <w:tcW w:w="1197" w:type="dxa"/>
            <w:tcBorders>
              <w:top w:val="single" w:sz="4" w:space="0" w:color="auto"/>
              <w:left w:val="nil"/>
              <w:bottom w:val="single" w:sz="12" w:space="0" w:color="auto"/>
              <w:right w:val="nil"/>
            </w:tcBorders>
            <w:shd w:val="clear" w:color="auto" w:fill="auto"/>
            <w:noWrap/>
            <w:vAlign w:val="bottom"/>
            <w:hideMark/>
          </w:tcPr>
          <w:p w14:paraId="106FDF4F" w14:textId="77777777" w:rsidR="00A4200F" w:rsidRPr="003D1614" w:rsidRDefault="00A4200F" w:rsidP="00A4200F">
            <w:pPr>
              <w:suppressAutoHyphens/>
              <w:autoSpaceDN w:val="0"/>
              <w:jc w:val="both"/>
              <w:rPr>
                <w:rFonts w:ascii="Arial" w:eastAsia="Calibri" w:hAnsi="Arial" w:cs="Arial"/>
                <w:color w:val="000000"/>
                <w:sz w:val="16"/>
                <w:szCs w:val="16"/>
              </w:rPr>
            </w:pPr>
            <w:r w:rsidRPr="003D1614">
              <w:rPr>
                <w:rFonts w:ascii="Arial" w:eastAsia="Calibri" w:hAnsi="Arial" w:cs="Arial"/>
                <w:color w:val="000000"/>
                <w:sz w:val="16"/>
                <w:szCs w:val="16"/>
              </w:rPr>
              <w:t> </w:t>
            </w:r>
          </w:p>
        </w:tc>
        <w:tc>
          <w:tcPr>
            <w:tcW w:w="1156" w:type="dxa"/>
            <w:tcBorders>
              <w:top w:val="single" w:sz="4" w:space="0" w:color="auto"/>
              <w:left w:val="nil"/>
              <w:bottom w:val="single" w:sz="12" w:space="0" w:color="auto"/>
              <w:right w:val="nil"/>
            </w:tcBorders>
            <w:vAlign w:val="bottom"/>
          </w:tcPr>
          <w:p w14:paraId="2ED685FC" w14:textId="0ECFAC40" w:rsidR="00A4200F" w:rsidRPr="003D1614" w:rsidRDefault="005243D8" w:rsidP="00A4200F">
            <w:pPr>
              <w:suppressAutoHyphens/>
              <w:autoSpaceDN w:val="0"/>
              <w:jc w:val="right"/>
              <w:rPr>
                <w:rFonts w:ascii="Arial" w:eastAsia="Calibri" w:hAnsi="Arial" w:cs="Arial"/>
                <w:b/>
                <w:bCs/>
                <w:color w:val="000000"/>
                <w:sz w:val="16"/>
                <w:szCs w:val="16"/>
              </w:rPr>
            </w:pPr>
            <w:r>
              <w:rPr>
                <w:rFonts w:ascii="Arial" w:eastAsia="Calibri" w:hAnsi="Arial" w:cs="Arial"/>
                <w:b/>
                <w:bCs/>
                <w:color w:val="000000"/>
                <w:sz w:val="16"/>
                <w:szCs w:val="16"/>
              </w:rPr>
              <w:t>237.849</w:t>
            </w:r>
          </w:p>
        </w:tc>
        <w:tc>
          <w:tcPr>
            <w:tcW w:w="1156" w:type="dxa"/>
            <w:tcBorders>
              <w:top w:val="single" w:sz="4" w:space="0" w:color="auto"/>
              <w:left w:val="nil"/>
              <w:bottom w:val="single" w:sz="12" w:space="0" w:color="auto"/>
              <w:right w:val="nil"/>
            </w:tcBorders>
            <w:vAlign w:val="bottom"/>
          </w:tcPr>
          <w:p w14:paraId="76DED56F" w14:textId="4D5093EC" w:rsidR="00A4200F" w:rsidRPr="003D1614" w:rsidRDefault="00A4200F" w:rsidP="00A4200F">
            <w:pPr>
              <w:suppressAutoHyphens/>
              <w:autoSpaceDN w:val="0"/>
              <w:jc w:val="right"/>
              <w:rPr>
                <w:rFonts w:ascii="Arial" w:eastAsia="Calibri" w:hAnsi="Arial" w:cs="Arial"/>
                <w:b/>
                <w:bCs/>
                <w:color w:val="000000"/>
                <w:sz w:val="16"/>
                <w:szCs w:val="16"/>
              </w:rPr>
            </w:pPr>
            <w:r w:rsidRPr="00771DD0">
              <w:rPr>
                <w:rFonts w:ascii="Arial" w:eastAsia="Calibri" w:hAnsi="Arial" w:cs="Arial"/>
                <w:b/>
                <w:bCs/>
                <w:color w:val="000000"/>
                <w:sz w:val="16"/>
                <w:szCs w:val="16"/>
              </w:rPr>
              <w:t>227.156</w:t>
            </w:r>
          </w:p>
        </w:tc>
        <w:tc>
          <w:tcPr>
            <w:tcW w:w="1156" w:type="dxa"/>
            <w:tcBorders>
              <w:top w:val="single" w:sz="4" w:space="0" w:color="auto"/>
              <w:left w:val="nil"/>
              <w:bottom w:val="single" w:sz="12" w:space="0" w:color="auto"/>
              <w:right w:val="nil"/>
            </w:tcBorders>
            <w:shd w:val="clear" w:color="auto" w:fill="auto"/>
            <w:vAlign w:val="bottom"/>
          </w:tcPr>
          <w:p w14:paraId="5DAEE8B3" w14:textId="15E05379" w:rsidR="00A4200F" w:rsidRPr="003D1614" w:rsidRDefault="00B46275" w:rsidP="00A4200F">
            <w:pPr>
              <w:suppressAutoHyphens/>
              <w:autoSpaceDN w:val="0"/>
              <w:jc w:val="right"/>
              <w:rPr>
                <w:rFonts w:ascii="Arial" w:eastAsia="Calibri" w:hAnsi="Arial" w:cs="Arial"/>
                <w:b/>
                <w:bCs/>
                <w:color w:val="000000"/>
                <w:sz w:val="16"/>
                <w:szCs w:val="16"/>
              </w:rPr>
            </w:pPr>
            <w:r>
              <w:rPr>
                <w:rFonts w:ascii="Arial" w:eastAsia="Calibri" w:hAnsi="Arial" w:cs="Arial"/>
                <w:b/>
                <w:bCs/>
                <w:color w:val="000000"/>
                <w:sz w:val="16"/>
                <w:szCs w:val="16"/>
              </w:rPr>
              <w:t>231.559</w:t>
            </w:r>
          </w:p>
        </w:tc>
        <w:tc>
          <w:tcPr>
            <w:tcW w:w="1156" w:type="dxa"/>
            <w:tcBorders>
              <w:top w:val="single" w:sz="4" w:space="0" w:color="auto"/>
              <w:left w:val="nil"/>
              <w:bottom w:val="single" w:sz="12" w:space="0" w:color="auto"/>
              <w:right w:val="nil"/>
            </w:tcBorders>
            <w:vAlign w:val="bottom"/>
          </w:tcPr>
          <w:p w14:paraId="1A221217" w14:textId="57EB80DE" w:rsidR="00A4200F" w:rsidRPr="003D1614" w:rsidRDefault="00A4200F" w:rsidP="00A4200F">
            <w:pPr>
              <w:suppressAutoHyphens/>
              <w:autoSpaceDN w:val="0"/>
              <w:jc w:val="right"/>
              <w:rPr>
                <w:rFonts w:ascii="Arial" w:eastAsia="Calibri" w:hAnsi="Arial" w:cs="Arial"/>
                <w:b/>
                <w:bCs/>
                <w:color w:val="000000"/>
                <w:sz w:val="16"/>
                <w:szCs w:val="16"/>
              </w:rPr>
            </w:pPr>
            <w:r>
              <w:rPr>
                <w:rFonts w:ascii="Arial" w:eastAsia="Calibri" w:hAnsi="Arial" w:cs="Arial"/>
                <w:b/>
                <w:bCs/>
                <w:color w:val="000000"/>
                <w:sz w:val="16"/>
                <w:szCs w:val="16"/>
              </w:rPr>
              <w:t>220.815</w:t>
            </w:r>
          </w:p>
        </w:tc>
      </w:tr>
      <w:tr w:rsidR="00A4200F" w:rsidRPr="003D1614" w14:paraId="14328C99" w14:textId="77777777" w:rsidTr="00A31F86">
        <w:trPr>
          <w:trHeight w:hRule="exact" w:val="170"/>
        </w:trPr>
        <w:tc>
          <w:tcPr>
            <w:tcW w:w="2693" w:type="dxa"/>
            <w:tcBorders>
              <w:top w:val="single" w:sz="12" w:space="0" w:color="auto"/>
              <w:left w:val="nil"/>
              <w:right w:val="nil"/>
            </w:tcBorders>
            <w:shd w:val="clear" w:color="auto" w:fill="auto"/>
            <w:noWrap/>
            <w:vAlign w:val="center"/>
          </w:tcPr>
          <w:p w14:paraId="732D0689" w14:textId="77777777" w:rsidR="00A4200F" w:rsidRPr="003D1614" w:rsidRDefault="00A4200F" w:rsidP="00A4200F">
            <w:pPr>
              <w:suppressAutoHyphens/>
              <w:autoSpaceDN w:val="0"/>
              <w:jc w:val="both"/>
              <w:rPr>
                <w:rFonts w:ascii="Arial" w:eastAsia="Calibri" w:hAnsi="Arial" w:cs="Arial"/>
                <w:b/>
                <w:bCs/>
                <w:color w:val="000000"/>
                <w:sz w:val="16"/>
                <w:szCs w:val="16"/>
              </w:rPr>
            </w:pPr>
          </w:p>
        </w:tc>
        <w:tc>
          <w:tcPr>
            <w:tcW w:w="1219" w:type="dxa"/>
            <w:gridSpan w:val="2"/>
            <w:tcBorders>
              <w:top w:val="single" w:sz="12" w:space="0" w:color="auto"/>
              <w:left w:val="nil"/>
              <w:right w:val="nil"/>
            </w:tcBorders>
            <w:shd w:val="clear" w:color="auto" w:fill="auto"/>
            <w:noWrap/>
            <w:vAlign w:val="center"/>
          </w:tcPr>
          <w:p w14:paraId="2160A304" w14:textId="77777777" w:rsidR="00A4200F" w:rsidRPr="003D1614" w:rsidRDefault="00A4200F" w:rsidP="00A4200F">
            <w:pPr>
              <w:suppressAutoHyphens/>
              <w:autoSpaceDN w:val="0"/>
              <w:jc w:val="right"/>
              <w:rPr>
                <w:rFonts w:ascii="Arial" w:eastAsia="Calibri" w:hAnsi="Arial" w:cs="Arial"/>
                <w:color w:val="000000"/>
                <w:sz w:val="16"/>
                <w:szCs w:val="16"/>
              </w:rPr>
            </w:pPr>
          </w:p>
        </w:tc>
        <w:tc>
          <w:tcPr>
            <w:tcW w:w="1123" w:type="dxa"/>
            <w:tcBorders>
              <w:top w:val="single" w:sz="12" w:space="0" w:color="auto"/>
              <w:left w:val="nil"/>
              <w:right w:val="nil"/>
            </w:tcBorders>
            <w:shd w:val="clear" w:color="auto" w:fill="auto"/>
            <w:noWrap/>
            <w:vAlign w:val="center"/>
          </w:tcPr>
          <w:p w14:paraId="135AA400" w14:textId="77777777" w:rsidR="00A4200F" w:rsidRPr="003D1614" w:rsidRDefault="00A4200F" w:rsidP="00A4200F">
            <w:pPr>
              <w:suppressAutoHyphens/>
              <w:autoSpaceDN w:val="0"/>
              <w:jc w:val="right"/>
              <w:rPr>
                <w:rFonts w:ascii="Arial" w:eastAsia="Calibri" w:hAnsi="Arial" w:cs="Arial"/>
                <w:color w:val="000000"/>
                <w:sz w:val="16"/>
                <w:szCs w:val="16"/>
              </w:rPr>
            </w:pPr>
          </w:p>
        </w:tc>
        <w:tc>
          <w:tcPr>
            <w:tcW w:w="1197" w:type="dxa"/>
            <w:tcBorders>
              <w:top w:val="single" w:sz="12" w:space="0" w:color="auto"/>
              <w:left w:val="nil"/>
              <w:right w:val="nil"/>
            </w:tcBorders>
            <w:shd w:val="clear" w:color="auto" w:fill="auto"/>
            <w:noWrap/>
            <w:vAlign w:val="bottom"/>
          </w:tcPr>
          <w:p w14:paraId="17525BC9" w14:textId="77777777" w:rsidR="00A4200F" w:rsidRPr="003D1614" w:rsidRDefault="00A4200F" w:rsidP="00A4200F">
            <w:pPr>
              <w:suppressAutoHyphens/>
              <w:autoSpaceDN w:val="0"/>
              <w:jc w:val="both"/>
              <w:rPr>
                <w:rFonts w:ascii="Arial" w:eastAsia="Calibri" w:hAnsi="Arial" w:cs="Arial"/>
                <w:color w:val="000000"/>
                <w:sz w:val="16"/>
                <w:szCs w:val="16"/>
              </w:rPr>
            </w:pPr>
          </w:p>
        </w:tc>
        <w:tc>
          <w:tcPr>
            <w:tcW w:w="1156" w:type="dxa"/>
            <w:tcBorders>
              <w:top w:val="single" w:sz="12" w:space="0" w:color="auto"/>
              <w:left w:val="nil"/>
              <w:right w:val="nil"/>
            </w:tcBorders>
            <w:vAlign w:val="bottom"/>
          </w:tcPr>
          <w:p w14:paraId="4D97E1F2" w14:textId="77777777" w:rsidR="00A4200F" w:rsidRPr="003D1614" w:rsidRDefault="00A4200F" w:rsidP="00A4200F">
            <w:pPr>
              <w:suppressAutoHyphens/>
              <w:autoSpaceDN w:val="0"/>
              <w:jc w:val="right"/>
              <w:rPr>
                <w:rFonts w:ascii="Arial" w:eastAsia="Calibri" w:hAnsi="Arial" w:cs="Arial"/>
                <w:b/>
                <w:bCs/>
                <w:color w:val="000000"/>
                <w:sz w:val="16"/>
                <w:szCs w:val="16"/>
              </w:rPr>
            </w:pPr>
          </w:p>
        </w:tc>
        <w:tc>
          <w:tcPr>
            <w:tcW w:w="1156" w:type="dxa"/>
            <w:tcBorders>
              <w:top w:val="single" w:sz="12" w:space="0" w:color="auto"/>
              <w:left w:val="nil"/>
              <w:right w:val="nil"/>
            </w:tcBorders>
            <w:vAlign w:val="bottom"/>
          </w:tcPr>
          <w:p w14:paraId="56C3D608" w14:textId="77777777" w:rsidR="00A4200F" w:rsidRPr="003D1614" w:rsidRDefault="00A4200F" w:rsidP="00A4200F">
            <w:pPr>
              <w:suppressAutoHyphens/>
              <w:autoSpaceDN w:val="0"/>
              <w:jc w:val="right"/>
              <w:rPr>
                <w:rFonts w:ascii="Arial" w:eastAsia="Calibri" w:hAnsi="Arial" w:cs="Arial"/>
                <w:b/>
                <w:bCs/>
                <w:color w:val="000000"/>
                <w:sz w:val="16"/>
                <w:szCs w:val="16"/>
              </w:rPr>
            </w:pPr>
          </w:p>
        </w:tc>
        <w:tc>
          <w:tcPr>
            <w:tcW w:w="1156" w:type="dxa"/>
            <w:tcBorders>
              <w:top w:val="single" w:sz="12" w:space="0" w:color="auto"/>
              <w:left w:val="nil"/>
              <w:right w:val="nil"/>
            </w:tcBorders>
            <w:shd w:val="clear" w:color="auto" w:fill="auto"/>
            <w:vAlign w:val="bottom"/>
          </w:tcPr>
          <w:p w14:paraId="31F6D7EF" w14:textId="77777777" w:rsidR="00A4200F" w:rsidRPr="003D1614" w:rsidRDefault="00A4200F" w:rsidP="00A4200F">
            <w:pPr>
              <w:suppressAutoHyphens/>
              <w:autoSpaceDN w:val="0"/>
              <w:jc w:val="right"/>
              <w:rPr>
                <w:rFonts w:ascii="Arial" w:eastAsia="Calibri" w:hAnsi="Arial" w:cs="Arial"/>
                <w:b/>
                <w:bCs/>
                <w:color w:val="000000"/>
                <w:sz w:val="16"/>
                <w:szCs w:val="16"/>
              </w:rPr>
            </w:pPr>
          </w:p>
        </w:tc>
        <w:tc>
          <w:tcPr>
            <w:tcW w:w="1156" w:type="dxa"/>
            <w:tcBorders>
              <w:top w:val="single" w:sz="12" w:space="0" w:color="auto"/>
              <w:left w:val="nil"/>
              <w:right w:val="nil"/>
            </w:tcBorders>
            <w:vAlign w:val="bottom"/>
          </w:tcPr>
          <w:p w14:paraId="65C6BC4C" w14:textId="77777777" w:rsidR="00A4200F" w:rsidRPr="003D1614" w:rsidRDefault="00A4200F" w:rsidP="00A4200F">
            <w:pPr>
              <w:suppressAutoHyphens/>
              <w:autoSpaceDN w:val="0"/>
              <w:jc w:val="right"/>
              <w:rPr>
                <w:rFonts w:ascii="Arial" w:eastAsia="Calibri" w:hAnsi="Arial" w:cs="Arial"/>
                <w:b/>
                <w:bCs/>
                <w:color w:val="000000"/>
                <w:sz w:val="16"/>
                <w:szCs w:val="16"/>
              </w:rPr>
            </w:pPr>
          </w:p>
        </w:tc>
      </w:tr>
      <w:tr w:rsidR="00A4200F" w:rsidRPr="003D1614" w14:paraId="4A03D4A5" w14:textId="77777777" w:rsidTr="00A31F86">
        <w:trPr>
          <w:trHeight w:val="75"/>
        </w:trPr>
        <w:tc>
          <w:tcPr>
            <w:tcW w:w="3912" w:type="dxa"/>
            <w:gridSpan w:val="3"/>
            <w:tcBorders>
              <w:top w:val="nil"/>
              <w:left w:val="nil"/>
              <w:bottom w:val="nil"/>
              <w:right w:val="nil"/>
            </w:tcBorders>
            <w:shd w:val="clear" w:color="auto" w:fill="auto"/>
            <w:noWrap/>
            <w:vAlign w:val="center"/>
            <w:hideMark/>
          </w:tcPr>
          <w:p w14:paraId="72488D04" w14:textId="77777777" w:rsidR="00A4200F" w:rsidRPr="003D1614" w:rsidRDefault="00A4200F" w:rsidP="00A4200F">
            <w:pPr>
              <w:suppressAutoHyphens/>
              <w:autoSpaceDN w:val="0"/>
              <w:rPr>
                <w:rFonts w:ascii="Arial" w:eastAsia="Calibri" w:hAnsi="Arial" w:cs="Arial"/>
                <w:color w:val="000000"/>
                <w:sz w:val="16"/>
                <w:szCs w:val="16"/>
              </w:rPr>
            </w:pPr>
            <w:r w:rsidRPr="003D1614">
              <w:rPr>
                <w:rFonts w:ascii="Arial" w:eastAsia="Calibri" w:hAnsi="Arial" w:cs="Arial"/>
                <w:color w:val="000000"/>
                <w:sz w:val="16"/>
                <w:szCs w:val="16"/>
              </w:rPr>
              <w:t>Dužnički vrijednosni papiri koji ne kotiraju:</w:t>
            </w:r>
          </w:p>
        </w:tc>
        <w:tc>
          <w:tcPr>
            <w:tcW w:w="1123" w:type="dxa"/>
            <w:tcBorders>
              <w:top w:val="nil"/>
              <w:left w:val="nil"/>
              <w:bottom w:val="nil"/>
              <w:right w:val="nil"/>
            </w:tcBorders>
            <w:shd w:val="clear" w:color="auto" w:fill="auto"/>
            <w:noWrap/>
            <w:vAlign w:val="bottom"/>
            <w:hideMark/>
          </w:tcPr>
          <w:p w14:paraId="6456BE93" w14:textId="77777777" w:rsidR="00A4200F" w:rsidRPr="003D1614" w:rsidRDefault="00A4200F" w:rsidP="00A4200F">
            <w:pPr>
              <w:suppressAutoHyphens/>
              <w:autoSpaceDN w:val="0"/>
              <w:rPr>
                <w:rFonts w:ascii="Arial" w:eastAsia="Calibri" w:hAnsi="Arial" w:cs="Arial"/>
                <w:color w:val="000000"/>
                <w:sz w:val="16"/>
                <w:szCs w:val="16"/>
              </w:rPr>
            </w:pPr>
          </w:p>
        </w:tc>
        <w:tc>
          <w:tcPr>
            <w:tcW w:w="1197" w:type="dxa"/>
            <w:tcBorders>
              <w:top w:val="nil"/>
              <w:left w:val="nil"/>
              <w:bottom w:val="nil"/>
              <w:right w:val="nil"/>
            </w:tcBorders>
            <w:shd w:val="clear" w:color="auto" w:fill="auto"/>
            <w:noWrap/>
            <w:vAlign w:val="bottom"/>
            <w:hideMark/>
          </w:tcPr>
          <w:p w14:paraId="6ED9EB6F" w14:textId="77777777" w:rsidR="00A4200F" w:rsidRPr="003D1614" w:rsidRDefault="00A4200F" w:rsidP="00A4200F">
            <w:pPr>
              <w:suppressAutoHyphens/>
              <w:autoSpaceDN w:val="0"/>
              <w:rPr>
                <w:rFonts w:ascii="Arial" w:eastAsia="Calibri" w:hAnsi="Arial" w:cs="Arial"/>
                <w:color w:val="000000"/>
                <w:sz w:val="16"/>
                <w:szCs w:val="16"/>
              </w:rPr>
            </w:pPr>
          </w:p>
        </w:tc>
        <w:tc>
          <w:tcPr>
            <w:tcW w:w="1156" w:type="dxa"/>
            <w:tcBorders>
              <w:top w:val="nil"/>
              <w:left w:val="nil"/>
              <w:bottom w:val="nil"/>
              <w:right w:val="nil"/>
            </w:tcBorders>
            <w:vAlign w:val="bottom"/>
          </w:tcPr>
          <w:p w14:paraId="3929FFF4" w14:textId="77777777" w:rsidR="00A4200F" w:rsidRPr="003D1614" w:rsidRDefault="00A4200F" w:rsidP="00A4200F">
            <w:pPr>
              <w:suppressAutoHyphens/>
              <w:autoSpaceDN w:val="0"/>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1B4D0C95" w14:textId="77777777" w:rsidR="00A4200F" w:rsidRPr="003D1614" w:rsidRDefault="00A4200F" w:rsidP="00A4200F">
            <w:pPr>
              <w:suppressAutoHyphens/>
              <w:autoSpaceDN w:val="0"/>
              <w:rPr>
                <w:rFonts w:ascii="Arial" w:eastAsia="Calibri" w:hAnsi="Arial" w:cs="Arial"/>
                <w:color w:val="000000"/>
                <w:sz w:val="16"/>
                <w:szCs w:val="16"/>
              </w:rPr>
            </w:pPr>
          </w:p>
        </w:tc>
        <w:tc>
          <w:tcPr>
            <w:tcW w:w="1156" w:type="dxa"/>
            <w:tcBorders>
              <w:top w:val="nil"/>
              <w:left w:val="nil"/>
              <w:bottom w:val="nil"/>
              <w:right w:val="nil"/>
            </w:tcBorders>
            <w:vAlign w:val="bottom"/>
          </w:tcPr>
          <w:p w14:paraId="75E87AE8" w14:textId="77777777" w:rsidR="00A4200F" w:rsidRPr="003D1614" w:rsidRDefault="00A4200F" w:rsidP="00A4200F">
            <w:pPr>
              <w:suppressAutoHyphens/>
              <w:autoSpaceDN w:val="0"/>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72BFFAC2" w14:textId="77777777" w:rsidR="00A4200F" w:rsidRPr="003D1614" w:rsidRDefault="00A4200F" w:rsidP="00A4200F">
            <w:pPr>
              <w:suppressAutoHyphens/>
              <w:autoSpaceDN w:val="0"/>
              <w:rPr>
                <w:rFonts w:ascii="Arial" w:eastAsia="Calibri" w:hAnsi="Arial" w:cs="Arial"/>
                <w:color w:val="000000"/>
                <w:sz w:val="16"/>
                <w:szCs w:val="16"/>
              </w:rPr>
            </w:pPr>
          </w:p>
        </w:tc>
      </w:tr>
      <w:tr w:rsidR="00A4200F" w:rsidRPr="003D1614" w14:paraId="10CDD44B" w14:textId="77777777" w:rsidTr="00A31F86">
        <w:trPr>
          <w:trHeight w:val="229"/>
        </w:trPr>
        <w:tc>
          <w:tcPr>
            <w:tcW w:w="5035" w:type="dxa"/>
            <w:gridSpan w:val="4"/>
            <w:tcBorders>
              <w:top w:val="nil"/>
              <w:left w:val="nil"/>
              <w:bottom w:val="nil"/>
              <w:right w:val="nil"/>
            </w:tcBorders>
            <w:shd w:val="clear" w:color="auto" w:fill="auto"/>
            <w:vAlign w:val="center"/>
            <w:hideMark/>
          </w:tcPr>
          <w:p w14:paraId="100194A3" w14:textId="3DBAE07B" w:rsidR="00A4200F" w:rsidRPr="003D1614" w:rsidRDefault="00A4200F" w:rsidP="00A4200F">
            <w:pPr>
              <w:suppressAutoHyphens/>
              <w:autoSpaceDN w:val="0"/>
              <w:rPr>
                <w:rFonts w:ascii="Arial" w:eastAsia="Calibri" w:hAnsi="Arial" w:cs="Arial"/>
                <w:i/>
                <w:iCs/>
                <w:color w:val="000000"/>
                <w:sz w:val="16"/>
                <w:szCs w:val="16"/>
              </w:rPr>
            </w:pPr>
            <w:r w:rsidRPr="003D1614">
              <w:rPr>
                <w:rFonts w:ascii="Arial" w:eastAsia="Calibri" w:hAnsi="Arial" w:cs="Arial"/>
                <w:i/>
                <w:iCs/>
                <w:color w:val="000000"/>
                <w:sz w:val="16"/>
                <w:szCs w:val="16"/>
              </w:rPr>
              <w:t>Obveznice trgovačkih društava:</w:t>
            </w:r>
          </w:p>
        </w:tc>
        <w:tc>
          <w:tcPr>
            <w:tcW w:w="1197" w:type="dxa"/>
            <w:tcBorders>
              <w:top w:val="nil"/>
              <w:left w:val="nil"/>
              <w:bottom w:val="nil"/>
              <w:right w:val="nil"/>
            </w:tcBorders>
            <w:shd w:val="clear" w:color="auto" w:fill="auto"/>
            <w:noWrap/>
            <w:vAlign w:val="bottom"/>
            <w:hideMark/>
          </w:tcPr>
          <w:p w14:paraId="27AFEAC3" w14:textId="77777777" w:rsidR="00A4200F" w:rsidRPr="003D1614" w:rsidRDefault="00A4200F" w:rsidP="00A4200F">
            <w:pPr>
              <w:suppressAutoHyphens/>
              <w:autoSpaceDN w:val="0"/>
              <w:rPr>
                <w:rFonts w:ascii="Arial" w:eastAsia="Calibri" w:hAnsi="Arial" w:cs="Arial"/>
                <w:color w:val="000000"/>
                <w:sz w:val="16"/>
                <w:szCs w:val="16"/>
              </w:rPr>
            </w:pPr>
          </w:p>
        </w:tc>
        <w:tc>
          <w:tcPr>
            <w:tcW w:w="1156" w:type="dxa"/>
            <w:tcBorders>
              <w:top w:val="nil"/>
              <w:left w:val="nil"/>
              <w:bottom w:val="nil"/>
              <w:right w:val="nil"/>
            </w:tcBorders>
            <w:vAlign w:val="bottom"/>
          </w:tcPr>
          <w:p w14:paraId="22CE0180" w14:textId="77777777" w:rsidR="00A4200F" w:rsidRPr="003D1614" w:rsidRDefault="00A4200F" w:rsidP="00A4200F">
            <w:pPr>
              <w:suppressAutoHyphens/>
              <w:autoSpaceDN w:val="0"/>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541C49FD" w14:textId="77777777" w:rsidR="00A4200F" w:rsidRPr="003D1614" w:rsidRDefault="00A4200F" w:rsidP="00A4200F">
            <w:pPr>
              <w:suppressAutoHyphens/>
              <w:autoSpaceDN w:val="0"/>
              <w:rPr>
                <w:rFonts w:ascii="Arial" w:eastAsia="Calibri" w:hAnsi="Arial" w:cs="Arial"/>
                <w:color w:val="000000"/>
                <w:sz w:val="16"/>
                <w:szCs w:val="16"/>
              </w:rPr>
            </w:pPr>
          </w:p>
        </w:tc>
        <w:tc>
          <w:tcPr>
            <w:tcW w:w="1156" w:type="dxa"/>
            <w:tcBorders>
              <w:top w:val="nil"/>
              <w:left w:val="nil"/>
              <w:bottom w:val="nil"/>
              <w:right w:val="nil"/>
            </w:tcBorders>
            <w:vAlign w:val="bottom"/>
          </w:tcPr>
          <w:p w14:paraId="5C4F5B7B" w14:textId="77777777" w:rsidR="00A4200F" w:rsidRPr="003D1614" w:rsidRDefault="00A4200F" w:rsidP="00A4200F">
            <w:pPr>
              <w:suppressAutoHyphens/>
              <w:autoSpaceDN w:val="0"/>
              <w:jc w:val="right"/>
              <w:rPr>
                <w:rFonts w:ascii="Arial" w:eastAsia="Calibri" w:hAnsi="Arial" w:cs="Arial"/>
                <w:color w:val="000000"/>
                <w:sz w:val="16"/>
                <w:szCs w:val="16"/>
              </w:rPr>
            </w:pPr>
          </w:p>
        </w:tc>
        <w:tc>
          <w:tcPr>
            <w:tcW w:w="1156" w:type="dxa"/>
            <w:tcBorders>
              <w:top w:val="nil"/>
              <w:left w:val="nil"/>
              <w:bottom w:val="nil"/>
              <w:right w:val="nil"/>
            </w:tcBorders>
            <w:vAlign w:val="bottom"/>
          </w:tcPr>
          <w:p w14:paraId="6B755F17" w14:textId="77777777" w:rsidR="00A4200F" w:rsidRPr="003D1614" w:rsidRDefault="00A4200F" w:rsidP="00A4200F">
            <w:pPr>
              <w:suppressAutoHyphens/>
              <w:autoSpaceDN w:val="0"/>
              <w:jc w:val="right"/>
              <w:rPr>
                <w:rFonts w:ascii="Arial" w:eastAsia="Calibri" w:hAnsi="Arial" w:cs="Arial"/>
                <w:color w:val="000000"/>
                <w:sz w:val="16"/>
                <w:szCs w:val="16"/>
              </w:rPr>
            </w:pPr>
          </w:p>
        </w:tc>
      </w:tr>
      <w:tr w:rsidR="005243D8" w:rsidRPr="003D1614" w14:paraId="230A4617" w14:textId="77777777" w:rsidTr="003A2D1E">
        <w:trPr>
          <w:trHeight w:val="229"/>
        </w:trPr>
        <w:tc>
          <w:tcPr>
            <w:tcW w:w="2693" w:type="dxa"/>
            <w:tcBorders>
              <w:top w:val="nil"/>
              <w:left w:val="nil"/>
              <w:bottom w:val="nil"/>
              <w:right w:val="nil"/>
            </w:tcBorders>
            <w:shd w:val="clear" w:color="auto" w:fill="auto"/>
            <w:noWrap/>
            <w:vAlign w:val="center"/>
            <w:hideMark/>
          </w:tcPr>
          <w:p w14:paraId="4355FA1E" w14:textId="77777777" w:rsidR="005243D8" w:rsidRPr="003D1614" w:rsidRDefault="005243D8" w:rsidP="005243D8">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LNGU-O-31AE</w:t>
            </w:r>
          </w:p>
        </w:tc>
        <w:tc>
          <w:tcPr>
            <w:tcW w:w="1219" w:type="dxa"/>
            <w:gridSpan w:val="2"/>
            <w:tcBorders>
              <w:top w:val="nil"/>
              <w:left w:val="nil"/>
              <w:bottom w:val="nil"/>
              <w:right w:val="nil"/>
            </w:tcBorders>
            <w:shd w:val="clear" w:color="auto" w:fill="auto"/>
            <w:noWrap/>
            <w:vAlign w:val="center"/>
            <w:hideMark/>
          </w:tcPr>
          <w:p w14:paraId="54692591" w14:textId="77777777" w:rsidR="005243D8" w:rsidRPr="003D1614" w:rsidRDefault="005243D8" w:rsidP="005243D8">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24.7.2015.</w:t>
            </w:r>
          </w:p>
        </w:tc>
        <w:tc>
          <w:tcPr>
            <w:tcW w:w="1123" w:type="dxa"/>
            <w:tcBorders>
              <w:top w:val="nil"/>
              <w:left w:val="nil"/>
              <w:bottom w:val="nil"/>
              <w:right w:val="nil"/>
            </w:tcBorders>
            <w:shd w:val="clear" w:color="auto" w:fill="auto"/>
            <w:noWrap/>
            <w:vAlign w:val="center"/>
            <w:hideMark/>
          </w:tcPr>
          <w:p w14:paraId="60D30F41" w14:textId="77777777" w:rsidR="005243D8" w:rsidRPr="003D1614" w:rsidRDefault="005243D8" w:rsidP="005243D8">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15.10.2031.</w:t>
            </w:r>
          </w:p>
        </w:tc>
        <w:tc>
          <w:tcPr>
            <w:tcW w:w="1197" w:type="dxa"/>
            <w:tcBorders>
              <w:top w:val="nil"/>
              <w:left w:val="nil"/>
              <w:bottom w:val="nil"/>
              <w:right w:val="nil"/>
            </w:tcBorders>
            <w:shd w:val="clear" w:color="auto" w:fill="auto"/>
            <w:noWrap/>
            <w:vAlign w:val="bottom"/>
            <w:hideMark/>
          </w:tcPr>
          <w:p w14:paraId="1BFD19D1" w14:textId="77777777" w:rsidR="005243D8" w:rsidRPr="003D1614" w:rsidRDefault="005243D8" w:rsidP="005243D8">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4,5</w:t>
            </w:r>
          </w:p>
        </w:tc>
        <w:tc>
          <w:tcPr>
            <w:tcW w:w="1156" w:type="dxa"/>
            <w:tcBorders>
              <w:top w:val="nil"/>
              <w:left w:val="nil"/>
              <w:bottom w:val="nil"/>
              <w:right w:val="nil"/>
            </w:tcBorders>
            <w:shd w:val="clear" w:color="auto" w:fill="auto"/>
            <w:vAlign w:val="bottom"/>
          </w:tcPr>
          <w:p w14:paraId="57D41B4D" w14:textId="223AAAA6" w:rsidR="005243D8" w:rsidRPr="003D1614" w:rsidRDefault="005243D8" w:rsidP="005243D8">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79</w:t>
            </w:r>
          </w:p>
        </w:tc>
        <w:tc>
          <w:tcPr>
            <w:tcW w:w="1156" w:type="dxa"/>
            <w:tcBorders>
              <w:top w:val="nil"/>
              <w:left w:val="nil"/>
              <w:bottom w:val="nil"/>
              <w:right w:val="nil"/>
            </w:tcBorders>
            <w:vAlign w:val="bottom"/>
          </w:tcPr>
          <w:p w14:paraId="7F283189" w14:textId="41F5B45D" w:rsidR="005243D8" w:rsidRPr="003D1614" w:rsidRDefault="005243D8" w:rsidP="005243D8">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81</w:t>
            </w:r>
          </w:p>
        </w:tc>
        <w:tc>
          <w:tcPr>
            <w:tcW w:w="1156" w:type="dxa"/>
            <w:tcBorders>
              <w:top w:val="nil"/>
              <w:left w:val="nil"/>
              <w:bottom w:val="nil"/>
              <w:right w:val="nil"/>
            </w:tcBorders>
            <w:shd w:val="clear" w:color="auto" w:fill="auto"/>
            <w:vAlign w:val="bottom"/>
          </w:tcPr>
          <w:p w14:paraId="4401496F" w14:textId="21EF6E78" w:rsidR="005243D8" w:rsidRPr="00A31F86" w:rsidRDefault="005243D8" w:rsidP="005243D8">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79</w:t>
            </w:r>
          </w:p>
        </w:tc>
        <w:tc>
          <w:tcPr>
            <w:tcW w:w="1156" w:type="dxa"/>
            <w:tcBorders>
              <w:top w:val="nil"/>
              <w:left w:val="nil"/>
              <w:bottom w:val="nil"/>
              <w:right w:val="nil"/>
            </w:tcBorders>
            <w:vAlign w:val="bottom"/>
          </w:tcPr>
          <w:p w14:paraId="006AFA20" w14:textId="6B3BF102" w:rsidR="005243D8" w:rsidRPr="00A31F86" w:rsidRDefault="005243D8" w:rsidP="005243D8">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81</w:t>
            </w:r>
          </w:p>
        </w:tc>
      </w:tr>
      <w:tr w:rsidR="005243D8" w:rsidRPr="003D1614" w14:paraId="5F1CB81E" w14:textId="77777777" w:rsidTr="003A2D1E">
        <w:trPr>
          <w:trHeight w:val="229"/>
        </w:trPr>
        <w:tc>
          <w:tcPr>
            <w:tcW w:w="6232" w:type="dxa"/>
            <w:gridSpan w:val="5"/>
            <w:tcBorders>
              <w:top w:val="nil"/>
              <w:left w:val="nil"/>
              <w:bottom w:val="nil"/>
              <w:right w:val="nil"/>
            </w:tcBorders>
            <w:shd w:val="clear" w:color="auto" w:fill="auto"/>
            <w:noWrap/>
            <w:vAlign w:val="bottom"/>
          </w:tcPr>
          <w:p w14:paraId="5C2F9721" w14:textId="4542A560" w:rsidR="005243D8" w:rsidRPr="003D1614" w:rsidRDefault="005243D8" w:rsidP="005243D8">
            <w:pPr>
              <w:suppressAutoHyphens/>
              <w:autoSpaceDN w:val="0"/>
              <w:rPr>
                <w:rFonts w:ascii="Arial" w:eastAsia="Calibri" w:hAnsi="Arial" w:cs="Arial"/>
                <w:i/>
                <w:color w:val="000000"/>
                <w:sz w:val="16"/>
                <w:szCs w:val="16"/>
              </w:rPr>
            </w:pPr>
            <w:r w:rsidRPr="003D1614">
              <w:rPr>
                <w:rFonts w:ascii="Arial" w:eastAsia="Calibri" w:hAnsi="Arial" w:cs="Arial"/>
                <w:i/>
                <w:color w:val="000000"/>
                <w:sz w:val="16"/>
                <w:szCs w:val="16"/>
              </w:rPr>
              <w:t>Obveznice stranih trgovačkih društava:</w:t>
            </w:r>
            <w:r w:rsidRPr="003D1614">
              <w:rPr>
                <w:rFonts w:ascii="Arial" w:eastAsia="Calibri" w:hAnsi="Arial" w:cs="Arial"/>
                <w:i/>
                <w:color w:val="000000"/>
                <w:sz w:val="16"/>
                <w:szCs w:val="16"/>
              </w:rPr>
              <w:tab/>
            </w:r>
          </w:p>
        </w:tc>
        <w:tc>
          <w:tcPr>
            <w:tcW w:w="1156" w:type="dxa"/>
            <w:tcBorders>
              <w:top w:val="nil"/>
              <w:left w:val="nil"/>
              <w:bottom w:val="nil"/>
              <w:right w:val="nil"/>
            </w:tcBorders>
            <w:vAlign w:val="bottom"/>
          </w:tcPr>
          <w:p w14:paraId="28C5A9DD" w14:textId="77777777" w:rsidR="005243D8" w:rsidRPr="003D1614" w:rsidRDefault="005243D8" w:rsidP="005243D8">
            <w:pPr>
              <w:suppressAutoHyphens/>
              <w:autoSpaceDN w:val="0"/>
              <w:jc w:val="right"/>
              <w:rPr>
                <w:rFonts w:ascii="Arial" w:eastAsia="Calibri" w:hAnsi="Arial" w:cs="Arial"/>
                <w:color w:val="000000"/>
                <w:sz w:val="16"/>
                <w:szCs w:val="16"/>
              </w:rPr>
            </w:pPr>
          </w:p>
        </w:tc>
        <w:tc>
          <w:tcPr>
            <w:tcW w:w="1156" w:type="dxa"/>
            <w:tcBorders>
              <w:top w:val="nil"/>
              <w:left w:val="nil"/>
              <w:bottom w:val="nil"/>
              <w:right w:val="nil"/>
            </w:tcBorders>
            <w:shd w:val="clear" w:color="auto" w:fill="auto"/>
            <w:vAlign w:val="bottom"/>
          </w:tcPr>
          <w:p w14:paraId="42124F6A" w14:textId="77777777" w:rsidR="005243D8" w:rsidRPr="003D1614" w:rsidRDefault="005243D8" w:rsidP="005243D8">
            <w:pPr>
              <w:suppressAutoHyphens/>
              <w:autoSpaceDN w:val="0"/>
              <w:jc w:val="right"/>
              <w:rPr>
                <w:rFonts w:ascii="Arial" w:eastAsia="Calibri" w:hAnsi="Arial" w:cs="Arial"/>
                <w:color w:val="000000"/>
                <w:sz w:val="16"/>
                <w:szCs w:val="16"/>
              </w:rPr>
            </w:pPr>
          </w:p>
        </w:tc>
        <w:tc>
          <w:tcPr>
            <w:tcW w:w="1156" w:type="dxa"/>
            <w:tcBorders>
              <w:top w:val="nil"/>
              <w:left w:val="nil"/>
              <w:bottom w:val="nil"/>
              <w:right w:val="nil"/>
            </w:tcBorders>
            <w:vAlign w:val="bottom"/>
          </w:tcPr>
          <w:p w14:paraId="537D5DF6" w14:textId="29CB2D8C" w:rsidR="005243D8" w:rsidRPr="00A31F86" w:rsidRDefault="005243D8" w:rsidP="005243D8">
            <w:pPr>
              <w:suppressAutoHyphens/>
              <w:autoSpaceDN w:val="0"/>
              <w:jc w:val="right"/>
              <w:rPr>
                <w:rFonts w:ascii="Arial" w:eastAsia="Calibri" w:hAnsi="Arial" w:cs="Arial"/>
                <w:color w:val="000000"/>
                <w:sz w:val="16"/>
                <w:szCs w:val="16"/>
              </w:rPr>
            </w:pPr>
          </w:p>
        </w:tc>
        <w:tc>
          <w:tcPr>
            <w:tcW w:w="1156" w:type="dxa"/>
            <w:tcBorders>
              <w:top w:val="nil"/>
              <w:left w:val="nil"/>
              <w:bottom w:val="nil"/>
              <w:right w:val="nil"/>
            </w:tcBorders>
            <w:vAlign w:val="bottom"/>
          </w:tcPr>
          <w:p w14:paraId="0B8A9903" w14:textId="77777777" w:rsidR="005243D8" w:rsidRPr="00A31F86" w:rsidRDefault="005243D8" w:rsidP="005243D8">
            <w:pPr>
              <w:suppressAutoHyphens/>
              <w:autoSpaceDN w:val="0"/>
              <w:jc w:val="right"/>
              <w:rPr>
                <w:rFonts w:ascii="Arial" w:eastAsia="Calibri" w:hAnsi="Arial" w:cs="Arial"/>
                <w:color w:val="000000"/>
                <w:sz w:val="16"/>
                <w:szCs w:val="16"/>
              </w:rPr>
            </w:pPr>
          </w:p>
        </w:tc>
      </w:tr>
      <w:tr w:rsidR="005243D8" w:rsidRPr="003D1614" w14:paraId="4DA303C7" w14:textId="77777777" w:rsidTr="003A2D1E">
        <w:trPr>
          <w:trHeight w:val="229"/>
        </w:trPr>
        <w:tc>
          <w:tcPr>
            <w:tcW w:w="2693" w:type="dxa"/>
            <w:tcBorders>
              <w:top w:val="nil"/>
              <w:left w:val="nil"/>
              <w:bottom w:val="nil"/>
            </w:tcBorders>
            <w:shd w:val="clear" w:color="auto" w:fill="auto"/>
            <w:noWrap/>
            <w:vAlign w:val="center"/>
          </w:tcPr>
          <w:p w14:paraId="6BD0414B" w14:textId="77777777" w:rsidR="005243D8" w:rsidRPr="003D1614" w:rsidRDefault="005243D8" w:rsidP="005243D8">
            <w:pPr>
              <w:suppressAutoHyphens/>
              <w:autoSpaceDN w:val="0"/>
              <w:jc w:val="right"/>
              <w:rPr>
                <w:rFonts w:ascii="Arial" w:eastAsia="Calibri" w:hAnsi="Arial" w:cs="Arial"/>
                <w:color w:val="000000"/>
                <w:sz w:val="16"/>
                <w:szCs w:val="16"/>
              </w:rPr>
            </w:pPr>
            <w:proofErr w:type="spellStart"/>
            <w:r w:rsidRPr="003D1614">
              <w:rPr>
                <w:rFonts w:ascii="Arial" w:eastAsia="Calibri" w:hAnsi="Arial" w:cs="Arial"/>
                <w:color w:val="000000"/>
                <w:sz w:val="16"/>
                <w:szCs w:val="16"/>
              </w:rPr>
              <w:t>Fortenova</w:t>
            </w:r>
            <w:proofErr w:type="spellEnd"/>
            <w:r w:rsidRPr="003D1614">
              <w:rPr>
                <w:rFonts w:ascii="Arial" w:eastAsia="Calibri" w:hAnsi="Arial" w:cs="Arial"/>
                <w:color w:val="000000"/>
                <w:sz w:val="16"/>
                <w:szCs w:val="16"/>
              </w:rPr>
              <w:t xml:space="preserve"> Group </w:t>
            </w:r>
            <w:proofErr w:type="spellStart"/>
            <w:r w:rsidRPr="003D1614">
              <w:rPr>
                <w:rFonts w:ascii="Arial" w:eastAsia="Calibri" w:hAnsi="Arial" w:cs="Arial"/>
                <w:color w:val="000000"/>
                <w:sz w:val="16"/>
                <w:szCs w:val="16"/>
              </w:rPr>
              <w:t>TopCo</w:t>
            </w:r>
            <w:proofErr w:type="spellEnd"/>
            <w:r w:rsidRPr="003D1614">
              <w:rPr>
                <w:rFonts w:ascii="Arial" w:eastAsia="Calibri" w:hAnsi="Arial" w:cs="Arial"/>
                <w:color w:val="000000"/>
                <w:sz w:val="16"/>
                <w:szCs w:val="16"/>
              </w:rPr>
              <w:t xml:space="preserve"> B.V.</w:t>
            </w:r>
          </w:p>
        </w:tc>
        <w:tc>
          <w:tcPr>
            <w:tcW w:w="1219" w:type="dxa"/>
            <w:gridSpan w:val="2"/>
            <w:tcBorders>
              <w:top w:val="nil"/>
              <w:left w:val="nil"/>
              <w:bottom w:val="nil"/>
              <w:right w:val="nil"/>
            </w:tcBorders>
            <w:shd w:val="clear" w:color="auto" w:fill="auto"/>
            <w:vAlign w:val="center"/>
          </w:tcPr>
          <w:p w14:paraId="2F65D7C1" w14:textId="77777777" w:rsidR="005243D8" w:rsidRPr="003D1614" w:rsidRDefault="005243D8" w:rsidP="005243D8">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1.4.2019.</w:t>
            </w:r>
          </w:p>
        </w:tc>
        <w:tc>
          <w:tcPr>
            <w:tcW w:w="1123" w:type="dxa"/>
            <w:tcBorders>
              <w:top w:val="nil"/>
              <w:left w:val="nil"/>
              <w:bottom w:val="nil"/>
              <w:right w:val="nil"/>
            </w:tcBorders>
            <w:shd w:val="clear" w:color="auto" w:fill="auto"/>
            <w:noWrap/>
            <w:vAlign w:val="center"/>
          </w:tcPr>
          <w:p w14:paraId="7112C42D" w14:textId="77777777" w:rsidR="005243D8" w:rsidRPr="003D1614" w:rsidRDefault="005243D8" w:rsidP="005243D8">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1.4.2029.</w:t>
            </w:r>
          </w:p>
        </w:tc>
        <w:tc>
          <w:tcPr>
            <w:tcW w:w="1197" w:type="dxa"/>
            <w:tcBorders>
              <w:top w:val="nil"/>
              <w:left w:val="nil"/>
              <w:bottom w:val="nil"/>
              <w:right w:val="nil"/>
            </w:tcBorders>
            <w:shd w:val="clear" w:color="auto" w:fill="auto"/>
            <w:noWrap/>
            <w:vAlign w:val="bottom"/>
          </w:tcPr>
          <w:p w14:paraId="77FCF3F8" w14:textId="77777777" w:rsidR="005243D8" w:rsidRPr="003D1614" w:rsidRDefault="005243D8" w:rsidP="005243D8">
            <w:pPr>
              <w:suppressAutoHyphens/>
              <w:autoSpaceDN w:val="0"/>
              <w:jc w:val="center"/>
              <w:rPr>
                <w:rFonts w:ascii="Arial" w:eastAsia="Calibri" w:hAnsi="Arial" w:cs="Arial"/>
                <w:color w:val="000000"/>
                <w:sz w:val="16"/>
                <w:szCs w:val="16"/>
              </w:rPr>
            </w:pPr>
            <w:r w:rsidRPr="003D1614">
              <w:rPr>
                <w:rFonts w:ascii="Arial" w:eastAsia="Calibri" w:hAnsi="Arial" w:cs="Arial"/>
                <w:color w:val="000000"/>
                <w:sz w:val="16"/>
                <w:szCs w:val="16"/>
              </w:rPr>
              <w:t>2,5</w:t>
            </w:r>
          </w:p>
        </w:tc>
        <w:tc>
          <w:tcPr>
            <w:tcW w:w="1156" w:type="dxa"/>
            <w:tcBorders>
              <w:top w:val="nil"/>
              <w:left w:val="nil"/>
              <w:bottom w:val="nil"/>
              <w:right w:val="nil"/>
            </w:tcBorders>
            <w:shd w:val="clear" w:color="auto" w:fill="auto"/>
            <w:vAlign w:val="bottom"/>
          </w:tcPr>
          <w:p w14:paraId="3E287A96" w14:textId="3FB16D75" w:rsidR="005243D8" w:rsidRPr="003D1614" w:rsidRDefault="005243D8" w:rsidP="005243D8">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195</w:t>
            </w:r>
          </w:p>
        </w:tc>
        <w:tc>
          <w:tcPr>
            <w:tcW w:w="1156" w:type="dxa"/>
            <w:tcBorders>
              <w:top w:val="nil"/>
              <w:left w:val="nil"/>
              <w:bottom w:val="nil"/>
              <w:right w:val="nil"/>
            </w:tcBorders>
            <w:vAlign w:val="bottom"/>
          </w:tcPr>
          <w:p w14:paraId="31F3B252" w14:textId="5B206598" w:rsidR="005243D8" w:rsidRPr="003D1614" w:rsidRDefault="005243D8" w:rsidP="005243D8">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195</w:t>
            </w:r>
          </w:p>
        </w:tc>
        <w:tc>
          <w:tcPr>
            <w:tcW w:w="1156" w:type="dxa"/>
            <w:tcBorders>
              <w:top w:val="nil"/>
              <w:left w:val="nil"/>
              <w:bottom w:val="nil"/>
              <w:right w:val="nil"/>
            </w:tcBorders>
            <w:shd w:val="clear" w:color="auto" w:fill="auto"/>
            <w:vAlign w:val="bottom"/>
          </w:tcPr>
          <w:p w14:paraId="6D0CC7DB" w14:textId="65476D4C" w:rsidR="005243D8" w:rsidRPr="00A31F86" w:rsidRDefault="005243D8" w:rsidP="005243D8">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195</w:t>
            </w:r>
          </w:p>
        </w:tc>
        <w:tc>
          <w:tcPr>
            <w:tcW w:w="1156" w:type="dxa"/>
            <w:tcBorders>
              <w:top w:val="nil"/>
              <w:left w:val="nil"/>
              <w:bottom w:val="nil"/>
              <w:right w:val="nil"/>
            </w:tcBorders>
            <w:vAlign w:val="bottom"/>
          </w:tcPr>
          <w:p w14:paraId="1E5C151F" w14:textId="13ADA3B6" w:rsidR="005243D8" w:rsidRPr="00A31F86" w:rsidRDefault="005243D8" w:rsidP="005243D8">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195</w:t>
            </w:r>
          </w:p>
        </w:tc>
      </w:tr>
      <w:tr w:rsidR="005243D8" w:rsidRPr="003D1614" w14:paraId="1088C1F2" w14:textId="77777777" w:rsidTr="003A2D1E">
        <w:trPr>
          <w:trHeight w:val="229"/>
        </w:trPr>
        <w:tc>
          <w:tcPr>
            <w:tcW w:w="2693" w:type="dxa"/>
            <w:tcBorders>
              <w:top w:val="nil"/>
              <w:left w:val="nil"/>
              <w:bottom w:val="single" w:sz="4" w:space="0" w:color="auto"/>
            </w:tcBorders>
            <w:shd w:val="clear" w:color="auto" w:fill="auto"/>
            <w:noWrap/>
            <w:vAlign w:val="center"/>
            <w:hideMark/>
          </w:tcPr>
          <w:p w14:paraId="01D4C802" w14:textId="77777777" w:rsidR="005243D8" w:rsidRPr="003D1614" w:rsidRDefault="005243D8" w:rsidP="005243D8">
            <w:pPr>
              <w:suppressAutoHyphens/>
              <w:autoSpaceDN w:val="0"/>
              <w:rPr>
                <w:rFonts w:ascii="Arial" w:eastAsia="Calibri" w:hAnsi="Arial" w:cs="Arial"/>
                <w:color w:val="000000"/>
                <w:sz w:val="16"/>
                <w:szCs w:val="16"/>
              </w:rPr>
            </w:pPr>
            <w:r w:rsidRPr="003D1614">
              <w:rPr>
                <w:rFonts w:ascii="Arial" w:eastAsia="Calibri" w:hAnsi="Arial" w:cs="Arial"/>
                <w:color w:val="000000"/>
                <w:sz w:val="16"/>
                <w:szCs w:val="16"/>
              </w:rPr>
              <w:t xml:space="preserve">Obračunata kamata </w:t>
            </w:r>
          </w:p>
        </w:tc>
        <w:tc>
          <w:tcPr>
            <w:tcW w:w="1219" w:type="dxa"/>
            <w:gridSpan w:val="2"/>
            <w:tcBorders>
              <w:top w:val="nil"/>
              <w:left w:val="nil"/>
              <w:bottom w:val="single" w:sz="4" w:space="0" w:color="auto"/>
              <w:right w:val="nil"/>
            </w:tcBorders>
            <w:shd w:val="clear" w:color="auto" w:fill="auto"/>
            <w:noWrap/>
            <w:vAlign w:val="bottom"/>
            <w:hideMark/>
          </w:tcPr>
          <w:p w14:paraId="5B09989E" w14:textId="77777777" w:rsidR="005243D8" w:rsidRPr="003D1614" w:rsidRDefault="005243D8" w:rsidP="005243D8">
            <w:pPr>
              <w:suppressAutoHyphens/>
              <w:autoSpaceDN w:val="0"/>
              <w:rPr>
                <w:rFonts w:ascii="Arial" w:eastAsia="Calibri" w:hAnsi="Arial" w:cs="Arial"/>
                <w:color w:val="000000"/>
                <w:sz w:val="16"/>
                <w:szCs w:val="16"/>
              </w:rPr>
            </w:pPr>
          </w:p>
        </w:tc>
        <w:tc>
          <w:tcPr>
            <w:tcW w:w="1123" w:type="dxa"/>
            <w:tcBorders>
              <w:top w:val="nil"/>
              <w:left w:val="nil"/>
              <w:bottom w:val="single" w:sz="4" w:space="0" w:color="auto"/>
              <w:right w:val="nil"/>
            </w:tcBorders>
            <w:shd w:val="clear" w:color="auto" w:fill="auto"/>
            <w:noWrap/>
            <w:vAlign w:val="bottom"/>
            <w:hideMark/>
          </w:tcPr>
          <w:p w14:paraId="1A30BF78" w14:textId="77777777" w:rsidR="005243D8" w:rsidRPr="003D1614" w:rsidRDefault="005243D8" w:rsidP="005243D8">
            <w:pPr>
              <w:suppressAutoHyphens/>
              <w:autoSpaceDN w:val="0"/>
              <w:rPr>
                <w:rFonts w:ascii="Arial" w:eastAsia="Calibri" w:hAnsi="Arial" w:cs="Arial"/>
                <w:color w:val="000000"/>
                <w:sz w:val="16"/>
                <w:szCs w:val="16"/>
              </w:rPr>
            </w:pPr>
          </w:p>
        </w:tc>
        <w:tc>
          <w:tcPr>
            <w:tcW w:w="1197" w:type="dxa"/>
            <w:tcBorders>
              <w:top w:val="nil"/>
              <w:left w:val="nil"/>
              <w:bottom w:val="single" w:sz="4" w:space="0" w:color="auto"/>
              <w:right w:val="nil"/>
            </w:tcBorders>
            <w:shd w:val="clear" w:color="auto" w:fill="auto"/>
            <w:noWrap/>
            <w:vAlign w:val="bottom"/>
            <w:hideMark/>
          </w:tcPr>
          <w:p w14:paraId="5B2E0F72" w14:textId="77777777" w:rsidR="005243D8" w:rsidRPr="003D1614" w:rsidRDefault="005243D8" w:rsidP="005243D8">
            <w:pPr>
              <w:suppressAutoHyphens/>
              <w:autoSpaceDN w:val="0"/>
              <w:rPr>
                <w:rFonts w:ascii="Arial" w:eastAsia="Calibri" w:hAnsi="Arial" w:cs="Arial"/>
                <w:color w:val="000000"/>
                <w:sz w:val="16"/>
                <w:szCs w:val="16"/>
              </w:rPr>
            </w:pPr>
          </w:p>
        </w:tc>
        <w:tc>
          <w:tcPr>
            <w:tcW w:w="1156" w:type="dxa"/>
            <w:tcBorders>
              <w:top w:val="nil"/>
              <w:left w:val="nil"/>
              <w:bottom w:val="single" w:sz="4" w:space="0" w:color="auto"/>
              <w:right w:val="nil"/>
            </w:tcBorders>
            <w:shd w:val="clear" w:color="auto" w:fill="auto"/>
            <w:vAlign w:val="bottom"/>
          </w:tcPr>
          <w:p w14:paraId="111372BE" w14:textId="14C10277" w:rsidR="005243D8" w:rsidRPr="003D1614" w:rsidRDefault="005243D8" w:rsidP="005243D8">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2</w:t>
            </w:r>
          </w:p>
        </w:tc>
        <w:tc>
          <w:tcPr>
            <w:tcW w:w="1156" w:type="dxa"/>
            <w:tcBorders>
              <w:top w:val="nil"/>
              <w:left w:val="nil"/>
              <w:bottom w:val="single" w:sz="4" w:space="0" w:color="auto"/>
              <w:right w:val="nil"/>
            </w:tcBorders>
            <w:vAlign w:val="bottom"/>
          </w:tcPr>
          <w:p w14:paraId="32258CD6" w14:textId="076E2A4D" w:rsidR="005243D8" w:rsidRPr="003D1614" w:rsidRDefault="005243D8" w:rsidP="005243D8">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2</w:t>
            </w:r>
          </w:p>
        </w:tc>
        <w:tc>
          <w:tcPr>
            <w:tcW w:w="1156" w:type="dxa"/>
            <w:tcBorders>
              <w:top w:val="nil"/>
              <w:left w:val="nil"/>
              <w:bottom w:val="single" w:sz="4" w:space="0" w:color="auto"/>
              <w:right w:val="nil"/>
            </w:tcBorders>
            <w:shd w:val="clear" w:color="auto" w:fill="auto"/>
            <w:vAlign w:val="bottom"/>
          </w:tcPr>
          <w:p w14:paraId="6598AEDA" w14:textId="0658538F" w:rsidR="005243D8" w:rsidRPr="00A31F86" w:rsidRDefault="005243D8" w:rsidP="005243D8">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2</w:t>
            </w:r>
          </w:p>
        </w:tc>
        <w:tc>
          <w:tcPr>
            <w:tcW w:w="1156" w:type="dxa"/>
            <w:tcBorders>
              <w:top w:val="nil"/>
              <w:left w:val="nil"/>
              <w:bottom w:val="single" w:sz="4" w:space="0" w:color="auto"/>
              <w:right w:val="nil"/>
            </w:tcBorders>
            <w:vAlign w:val="bottom"/>
          </w:tcPr>
          <w:p w14:paraId="2D78DB7B" w14:textId="285993C1" w:rsidR="005243D8" w:rsidRPr="00A31F86" w:rsidRDefault="005243D8" w:rsidP="005243D8">
            <w:pPr>
              <w:suppressAutoHyphens/>
              <w:autoSpaceDN w:val="0"/>
              <w:jc w:val="right"/>
              <w:rPr>
                <w:rFonts w:ascii="Arial" w:eastAsia="Calibri" w:hAnsi="Arial" w:cs="Arial"/>
                <w:color w:val="000000"/>
                <w:sz w:val="16"/>
                <w:szCs w:val="16"/>
              </w:rPr>
            </w:pPr>
            <w:r>
              <w:rPr>
                <w:rFonts w:ascii="Arial" w:eastAsia="Calibri" w:hAnsi="Arial" w:cs="Arial"/>
                <w:color w:val="000000"/>
                <w:sz w:val="16"/>
                <w:szCs w:val="16"/>
              </w:rPr>
              <w:t>2</w:t>
            </w:r>
          </w:p>
        </w:tc>
      </w:tr>
      <w:tr w:rsidR="005243D8" w:rsidRPr="003D1614" w14:paraId="6D7BB897" w14:textId="77777777" w:rsidTr="003A2D1E">
        <w:trPr>
          <w:trHeight w:val="245"/>
        </w:trPr>
        <w:tc>
          <w:tcPr>
            <w:tcW w:w="2693" w:type="dxa"/>
            <w:tcBorders>
              <w:top w:val="single" w:sz="4" w:space="0" w:color="auto"/>
              <w:left w:val="nil"/>
              <w:bottom w:val="single" w:sz="12" w:space="0" w:color="auto"/>
              <w:right w:val="nil"/>
            </w:tcBorders>
            <w:shd w:val="clear" w:color="auto" w:fill="auto"/>
            <w:noWrap/>
            <w:vAlign w:val="center"/>
            <w:hideMark/>
          </w:tcPr>
          <w:p w14:paraId="69852698" w14:textId="77777777" w:rsidR="005243D8" w:rsidRPr="003D1614" w:rsidRDefault="005243D8" w:rsidP="005243D8">
            <w:pPr>
              <w:suppressAutoHyphens/>
              <w:autoSpaceDN w:val="0"/>
              <w:jc w:val="both"/>
              <w:rPr>
                <w:rFonts w:ascii="Arial" w:eastAsia="Calibri" w:hAnsi="Arial" w:cs="Arial"/>
                <w:b/>
                <w:bCs/>
                <w:color w:val="000000"/>
                <w:sz w:val="16"/>
                <w:szCs w:val="16"/>
              </w:rPr>
            </w:pPr>
            <w:r w:rsidRPr="003D1614">
              <w:rPr>
                <w:rFonts w:ascii="Arial" w:eastAsia="Calibri" w:hAnsi="Arial" w:cs="Arial"/>
                <w:b/>
                <w:bCs/>
                <w:color w:val="000000"/>
                <w:sz w:val="16"/>
                <w:szCs w:val="16"/>
              </w:rPr>
              <w:t> </w:t>
            </w:r>
          </w:p>
        </w:tc>
        <w:tc>
          <w:tcPr>
            <w:tcW w:w="1219" w:type="dxa"/>
            <w:gridSpan w:val="2"/>
            <w:tcBorders>
              <w:top w:val="single" w:sz="4" w:space="0" w:color="auto"/>
              <w:left w:val="nil"/>
              <w:bottom w:val="single" w:sz="12" w:space="0" w:color="auto"/>
              <w:right w:val="nil"/>
            </w:tcBorders>
            <w:shd w:val="clear" w:color="auto" w:fill="auto"/>
            <w:noWrap/>
            <w:vAlign w:val="center"/>
            <w:hideMark/>
          </w:tcPr>
          <w:p w14:paraId="34269293" w14:textId="77777777" w:rsidR="005243D8" w:rsidRPr="003D1614" w:rsidRDefault="005243D8" w:rsidP="005243D8">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 </w:t>
            </w:r>
          </w:p>
        </w:tc>
        <w:tc>
          <w:tcPr>
            <w:tcW w:w="1123" w:type="dxa"/>
            <w:tcBorders>
              <w:top w:val="single" w:sz="4" w:space="0" w:color="auto"/>
              <w:left w:val="nil"/>
              <w:bottom w:val="single" w:sz="12" w:space="0" w:color="auto"/>
              <w:right w:val="nil"/>
            </w:tcBorders>
            <w:shd w:val="clear" w:color="auto" w:fill="auto"/>
            <w:noWrap/>
            <w:vAlign w:val="center"/>
            <w:hideMark/>
          </w:tcPr>
          <w:p w14:paraId="46D1E6D2" w14:textId="77777777" w:rsidR="005243D8" w:rsidRPr="003D1614" w:rsidRDefault="005243D8" w:rsidP="005243D8">
            <w:pPr>
              <w:suppressAutoHyphens/>
              <w:autoSpaceDN w:val="0"/>
              <w:jc w:val="right"/>
              <w:rPr>
                <w:rFonts w:ascii="Arial" w:eastAsia="Calibri" w:hAnsi="Arial" w:cs="Arial"/>
                <w:color w:val="000000"/>
                <w:sz w:val="16"/>
                <w:szCs w:val="16"/>
              </w:rPr>
            </w:pPr>
            <w:r w:rsidRPr="003D1614">
              <w:rPr>
                <w:rFonts w:ascii="Arial" w:eastAsia="Calibri" w:hAnsi="Arial" w:cs="Arial"/>
                <w:color w:val="000000"/>
                <w:sz w:val="16"/>
                <w:szCs w:val="16"/>
              </w:rPr>
              <w:t> </w:t>
            </w:r>
          </w:p>
        </w:tc>
        <w:tc>
          <w:tcPr>
            <w:tcW w:w="1197" w:type="dxa"/>
            <w:tcBorders>
              <w:top w:val="single" w:sz="4" w:space="0" w:color="auto"/>
              <w:left w:val="nil"/>
              <w:bottom w:val="single" w:sz="12" w:space="0" w:color="auto"/>
              <w:right w:val="nil"/>
            </w:tcBorders>
            <w:shd w:val="clear" w:color="auto" w:fill="auto"/>
            <w:noWrap/>
            <w:vAlign w:val="bottom"/>
            <w:hideMark/>
          </w:tcPr>
          <w:p w14:paraId="7D90E2D2" w14:textId="77777777" w:rsidR="005243D8" w:rsidRPr="003D1614" w:rsidRDefault="005243D8" w:rsidP="005243D8">
            <w:pPr>
              <w:suppressAutoHyphens/>
              <w:autoSpaceDN w:val="0"/>
              <w:jc w:val="both"/>
              <w:rPr>
                <w:rFonts w:ascii="Arial" w:eastAsia="Calibri" w:hAnsi="Arial" w:cs="Arial"/>
                <w:color w:val="000000"/>
                <w:sz w:val="16"/>
                <w:szCs w:val="16"/>
              </w:rPr>
            </w:pPr>
            <w:r w:rsidRPr="003D1614">
              <w:rPr>
                <w:rFonts w:ascii="Arial" w:eastAsia="Calibri" w:hAnsi="Arial" w:cs="Arial"/>
                <w:color w:val="000000"/>
                <w:sz w:val="16"/>
                <w:szCs w:val="16"/>
              </w:rPr>
              <w:t> </w:t>
            </w:r>
          </w:p>
        </w:tc>
        <w:tc>
          <w:tcPr>
            <w:tcW w:w="1156" w:type="dxa"/>
            <w:tcBorders>
              <w:top w:val="single" w:sz="4" w:space="0" w:color="auto"/>
              <w:left w:val="nil"/>
              <w:bottom w:val="single" w:sz="12" w:space="0" w:color="auto"/>
              <w:right w:val="nil"/>
            </w:tcBorders>
            <w:shd w:val="clear" w:color="auto" w:fill="auto"/>
            <w:vAlign w:val="bottom"/>
          </w:tcPr>
          <w:p w14:paraId="3A5A9F01" w14:textId="4B88445B" w:rsidR="005243D8" w:rsidRPr="003D1614" w:rsidRDefault="005243D8" w:rsidP="005243D8">
            <w:pPr>
              <w:suppressAutoHyphens/>
              <w:autoSpaceDN w:val="0"/>
              <w:jc w:val="right"/>
              <w:rPr>
                <w:rFonts w:ascii="Arial" w:eastAsia="Calibri" w:hAnsi="Arial" w:cs="Arial"/>
                <w:b/>
                <w:bCs/>
                <w:color w:val="000000"/>
                <w:sz w:val="16"/>
                <w:szCs w:val="16"/>
              </w:rPr>
            </w:pPr>
            <w:r>
              <w:rPr>
                <w:rFonts w:ascii="Arial" w:eastAsia="Calibri" w:hAnsi="Arial" w:cs="Arial"/>
                <w:b/>
                <w:bCs/>
                <w:color w:val="000000"/>
                <w:sz w:val="16"/>
                <w:szCs w:val="16"/>
              </w:rPr>
              <w:t>276</w:t>
            </w:r>
          </w:p>
        </w:tc>
        <w:tc>
          <w:tcPr>
            <w:tcW w:w="1156" w:type="dxa"/>
            <w:tcBorders>
              <w:top w:val="single" w:sz="4" w:space="0" w:color="auto"/>
              <w:left w:val="nil"/>
              <w:bottom w:val="single" w:sz="12" w:space="0" w:color="auto"/>
              <w:right w:val="nil"/>
            </w:tcBorders>
            <w:vAlign w:val="bottom"/>
          </w:tcPr>
          <w:p w14:paraId="4192C7FF" w14:textId="791077CB" w:rsidR="005243D8" w:rsidRPr="003D1614" w:rsidRDefault="005243D8" w:rsidP="005243D8">
            <w:pPr>
              <w:suppressAutoHyphens/>
              <w:autoSpaceDN w:val="0"/>
              <w:jc w:val="right"/>
              <w:rPr>
                <w:rFonts w:ascii="Arial" w:eastAsia="Calibri" w:hAnsi="Arial" w:cs="Arial"/>
                <w:b/>
                <w:bCs/>
                <w:color w:val="000000"/>
                <w:sz w:val="16"/>
                <w:szCs w:val="16"/>
              </w:rPr>
            </w:pPr>
            <w:r>
              <w:rPr>
                <w:rFonts w:ascii="Arial" w:eastAsia="Calibri" w:hAnsi="Arial" w:cs="Arial"/>
                <w:b/>
                <w:bCs/>
                <w:color w:val="000000"/>
                <w:sz w:val="16"/>
                <w:szCs w:val="16"/>
              </w:rPr>
              <w:t>278</w:t>
            </w:r>
          </w:p>
        </w:tc>
        <w:tc>
          <w:tcPr>
            <w:tcW w:w="1156" w:type="dxa"/>
            <w:tcBorders>
              <w:top w:val="single" w:sz="4" w:space="0" w:color="auto"/>
              <w:left w:val="nil"/>
              <w:bottom w:val="single" w:sz="12" w:space="0" w:color="auto"/>
              <w:right w:val="nil"/>
            </w:tcBorders>
            <w:shd w:val="clear" w:color="auto" w:fill="auto"/>
            <w:vAlign w:val="bottom"/>
          </w:tcPr>
          <w:p w14:paraId="370F6B49" w14:textId="110788FC" w:rsidR="005243D8" w:rsidRPr="00A31F86" w:rsidRDefault="005243D8" w:rsidP="005243D8">
            <w:pPr>
              <w:suppressAutoHyphens/>
              <w:autoSpaceDN w:val="0"/>
              <w:jc w:val="right"/>
              <w:rPr>
                <w:rFonts w:ascii="Arial" w:eastAsia="Calibri" w:hAnsi="Arial" w:cs="Arial"/>
                <w:b/>
                <w:bCs/>
                <w:color w:val="000000"/>
                <w:sz w:val="16"/>
                <w:szCs w:val="16"/>
              </w:rPr>
            </w:pPr>
            <w:r>
              <w:rPr>
                <w:rFonts w:ascii="Arial" w:eastAsia="Calibri" w:hAnsi="Arial" w:cs="Arial"/>
                <w:b/>
                <w:bCs/>
                <w:color w:val="000000"/>
                <w:sz w:val="16"/>
                <w:szCs w:val="16"/>
              </w:rPr>
              <w:t>276</w:t>
            </w:r>
          </w:p>
        </w:tc>
        <w:tc>
          <w:tcPr>
            <w:tcW w:w="1156" w:type="dxa"/>
            <w:tcBorders>
              <w:top w:val="single" w:sz="4" w:space="0" w:color="auto"/>
              <w:left w:val="nil"/>
              <w:bottom w:val="single" w:sz="12" w:space="0" w:color="auto"/>
              <w:right w:val="nil"/>
            </w:tcBorders>
            <w:vAlign w:val="bottom"/>
          </w:tcPr>
          <w:p w14:paraId="6593ADB4" w14:textId="79DA1412" w:rsidR="005243D8" w:rsidRPr="00A31F86" w:rsidRDefault="005243D8" w:rsidP="005243D8">
            <w:pPr>
              <w:suppressAutoHyphens/>
              <w:autoSpaceDN w:val="0"/>
              <w:jc w:val="right"/>
              <w:rPr>
                <w:rFonts w:ascii="Arial" w:eastAsia="Calibri" w:hAnsi="Arial" w:cs="Arial"/>
                <w:b/>
                <w:bCs/>
                <w:color w:val="000000"/>
                <w:sz w:val="16"/>
                <w:szCs w:val="16"/>
              </w:rPr>
            </w:pPr>
            <w:r>
              <w:rPr>
                <w:rFonts w:ascii="Arial" w:eastAsia="Calibri" w:hAnsi="Arial" w:cs="Arial"/>
                <w:b/>
                <w:bCs/>
                <w:color w:val="000000"/>
                <w:sz w:val="16"/>
                <w:szCs w:val="16"/>
              </w:rPr>
              <w:t>278</w:t>
            </w:r>
          </w:p>
        </w:tc>
      </w:tr>
      <w:tr w:rsidR="005243D8" w:rsidRPr="003D1614" w14:paraId="35E8C438" w14:textId="77777777" w:rsidTr="00A31F86">
        <w:trPr>
          <w:trHeight w:hRule="exact" w:val="170"/>
        </w:trPr>
        <w:tc>
          <w:tcPr>
            <w:tcW w:w="2693" w:type="dxa"/>
            <w:tcBorders>
              <w:top w:val="single" w:sz="12" w:space="0" w:color="auto"/>
              <w:left w:val="nil"/>
              <w:right w:val="nil"/>
            </w:tcBorders>
            <w:shd w:val="clear" w:color="auto" w:fill="auto"/>
            <w:noWrap/>
            <w:vAlign w:val="center"/>
          </w:tcPr>
          <w:p w14:paraId="3E656FC4" w14:textId="77777777" w:rsidR="005243D8" w:rsidRPr="003D1614" w:rsidRDefault="005243D8" w:rsidP="005243D8">
            <w:pPr>
              <w:suppressAutoHyphens/>
              <w:autoSpaceDN w:val="0"/>
              <w:jc w:val="both"/>
              <w:rPr>
                <w:rFonts w:ascii="Arial" w:eastAsia="Calibri" w:hAnsi="Arial" w:cs="Arial"/>
                <w:b/>
                <w:bCs/>
                <w:color w:val="000000"/>
                <w:sz w:val="16"/>
                <w:szCs w:val="16"/>
              </w:rPr>
            </w:pPr>
          </w:p>
        </w:tc>
        <w:tc>
          <w:tcPr>
            <w:tcW w:w="1219" w:type="dxa"/>
            <w:gridSpan w:val="2"/>
            <w:tcBorders>
              <w:top w:val="single" w:sz="12" w:space="0" w:color="auto"/>
              <w:left w:val="nil"/>
              <w:right w:val="nil"/>
            </w:tcBorders>
            <w:shd w:val="clear" w:color="auto" w:fill="auto"/>
            <w:noWrap/>
            <w:vAlign w:val="center"/>
          </w:tcPr>
          <w:p w14:paraId="547D963B" w14:textId="77777777" w:rsidR="005243D8" w:rsidRPr="003D1614" w:rsidRDefault="005243D8" w:rsidP="005243D8">
            <w:pPr>
              <w:suppressAutoHyphens/>
              <w:autoSpaceDN w:val="0"/>
              <w:jc w:val="right"/>
              <w:rPr>
                <w:rFonts w:ascii="Arial" w:eastAsia="Calibri" w:hAnsi="Arial" w:cs="Arial"/>
                <w:color w:val="000000"/>
                <w:sz w:val="16"/>
                <w:szCs w:val="16"/>
              </w:rPr>
            </w:pPr>
          </w:p>
        </w:tc>
        <w:tc>
          <w:tcPr>
            <w:tcW w:w="1123" w:type="dxa"/>
            <w:tcBorders>
              <w:top w:val="single" w:sz="12" w:space="0" w:color="auto"/>
              <w:left w:val="nil"/>
              <w:right w:val="nil"/>
            </w:tcBorders>
            <w:shd w:val="clear" w:color="auto" w:fill="auto"/>
            <w:noWrap/>
            <w:vAlign w:val="center"/>
          </w:tcPr>
          <w:p w14:paraId="70F94214" w14:textId="77777777" w:rsidR="005243D8" w:rsidRPr="003D1614" w:rsidRDefault="005243D8" w:rsidP="005243D8">
            <w:pPr>
              <w:suppressAutoHyphens/>
              <w:autoSpaceDN w:val="0"/>
              <w:jc w:val="right"/>
              <w:rPr>
                <w:rFonts w:ascii="Arial" w:eastAsia="Calibri" w:hAnsi="Arial" w:cs="Arial"/>
                <w:color w:val="000000"/>
                <w:sz w:val="16"/>
                <w:szCs w:val="16"/>
              </w:rPr>
            </w:pPr>
          </w:p>
        </w:tc>
        <w:tc>
          <w:tcPr>
            <w:tcW w:w="1197" w:type="dxa"/>
            <w:tcBorders>
              <w:top w:val="single" w:sz="12" w:space="0" w:color="auto"/>
              <w:left w:val="nil"/>
              <w:right w:val="nil"/>
            </w:tcBorders>
            <w:shd w:val="clear" w:color="auto" w:fill="auto"/>
            <w:noWrap/>
            <w:vAlign w:val="bottom"/>
          </w:tcPr>
          <w:p w14:paraId="2568E1A5" w14:textId="77777777" w:rsidR="005243D8" w:rsidRPr="003D1614" w:rsidRDefault="005243D8" w:rsidP="005243D8">
            <w:pPr>
              <w:suppressAutoHyphens/>
              <w:autoSpaceDN w:val="0"/>
              <w:jc w:val="both"/>
              <w:rPr>
                <w:rFonts w:ascii="Arial" w:eastAsia="Calibri" w:hAnsi="Arial" w:cs="Arial"/>
                <w:color w:val="000000"/>
                <w:sz w:val="16"/>
                <w:szCs w:val="16"/>
              </w:rPr>
            </w:pPr>
          </w:p>
        </w:tc>
        <w:tc>
          <w:tcPr>
            <w:tcW w:w="1156" w:type="dxa"/>
            <w:tcBorders>
              <w:top w:val="single" w:sz="12" w:space="0" w:color="auto"/>
              <w:left w:val="nil"/>
              <w:right w:val="nil"/>
            </w:tcBorders>
            <w:vAlign w:val="bottom"/>
          </w:tcPr>
          <w:p w14:paraId="43A52B77" w14:textId="77777777" w:rsidR="005243D8" w:rsidRPr="003D1614" w:rsidDel="00714EAD" w:rsidRDefault="005243D8" w:rsidP="005243D8">
            <w:pPr>
              <w:suppressAutoHyphens/>
              <w:autoSpaceDN w:val="0"/>
              <w:jc w:val="right"/>
              <w:rPr>
                <w:rFonts w:ascii="Arial" w:eastAsia="Calibri" w:hAnsi="Arial" w:cs="Arial"/>
                <w:b/>
                <w:bCs/>
                <w:color w:val="000000"/>
                <w:sz w:val="16"/>
                <w:szCs w:val="16"/>
              </w:rPr>
            </w:pPr>
          </w:p>
        </w:tc>
        <w:tc>
          <w:tcPr>
            <w:tcW w:w="1156" w:type="dxa"/>
            <w:tcBorders>
              <w:top w:val="single" w:sz="12" w:space="0" w:color="auto"/>
              <w:left w:val="nil"/>
              <w:right w:val="nil"/>
            </w:tcBorders>
            <w:vAlign w:val="bottom"/>
          </w:tcPr>
          <w:p w14:paraId="32815ABC" w14:textId="77777777" w:rsidR="005243D8" w:rsidRPr="003D1614" w:rsidDel="00714EAD" w:rsidRDefault="005243D8" w:rsidP="005243D8">
            <w:pPr>
              <w:suppressAutoHyphens/>
              <w:autoSpaceDN w:val="0"/>
              <w:jc w:val="right"/>
              <w:rPr>
                <w:rFonts w:ascii="Arial" w:eastAsia="Calibri" w:hAnsi="Arial" w:cs="Arial"/>
                <w:b/>
                <w:bCs/>
                <w:color w:val="000000"/>
                <w:sz w:val="16"/>
                <w:szCs w:val="16"/>
              </w:rPr>
            </w:pPr>
          </w:p>
        </w:tc>
        <w:tc>
          <w:tcPr>
            <w:tcW w:w="1156" w:type="dxa"/>
            <w:tcBorders>
              <w:top w:val="single" w:sz="12" w:space="0" w:color="auto"/>
              <w:left w:val="nil"/>
              <w:right w:val="nil"/>
            </w:tcBorders>
            <w:shd w:val="clear" w:color="auto" w:fill="auto"/>
            <w:vAlign w:val="bottom"/>
          </w:tcPr>
          <w:p w14:paraId="2782A45B" w14:textId="77777777" w:rsidR="005243D8" w:rsidRPr="00A31F86" w:rsidDel="00714EAD" w:rsidRDefault="005243D8" w:rsidP="005243D8">
            <w:pPr>
              <w:suppressAutoHyphens/>
              <w:autoSpaceDN w:val="0"/>
              <w:jc w:val="right"/>
              <w:rPr>
                <w:rFonts w:ascii="Arial" w:eastAsia="Calibri" w:hAnsi="Arial" w:cs="Arial"/>
                <w:b/>
                <w:bCs/>
                <w:color w:val="000000"/>
                <w:sz w:val="16"/>
                <w:szCs w:val="16"/>
              </w:rPr>
            </w:pPr>
          </w:p>
        </w:tc>
        <w:tc>
          <w:tcPr>
            <w:tcW w:w="1156" w:type="dxa"/>
            <w:tcBorders>
              <w:top w:val="single" w:sz="12" w:space="0" w:color="auto"/>
              <w:left w:val="nil"/>
              <w:right w:val="nil"/>
            </w:tcBorders>
            <w:vAlign w:val="bottom"/>
          </w:tcPr>
          <w:p w14:paraId="59E80A87" w14:textId="77777777" w:rsidR="005243D8" w:rsidRPr="00A31F86" w:rsidDel="00714EAD" w:rsidRDefault="005243D8" w:rsidP="005243D8">
            <w:pPr>
              <w:suppressAutoHyphens/>
              <w:autoSpaceDN w:val="0"/>
              <w:jc w:val="right"/>
              <w:rPr>
                <w:rFonts w:ascii="Arial" w:eastAsia="Calibri" w:hAnsi="Arial" w:cs="Arial"/>
                <w:b/>
                <w:bCs/>
                <w:color w:val="000000"/>
                <w:sz w:val="16"/>
                <w:szCs w:val="16"/>
              </w:rPr>
            </w:pPr>
          </w:p>
        </w:tc>
      </w:tr>
      <w:tr w:rsidR="005243D8" w:rsidRPr="003D1614" w14:paraId="664243EE" w14:textId="77777777" w:rsidTr="00A31F86">
        <w:trPr>
          <w:trHeight w:val="245"/>
        </w:trPr>
        <w:tc>
          <w:tcPr>
            <w:tcW w:w="2693" w:type="dxa"/>
            <w:tcBorders>
              <w:left w:val="nil"/>
              <w:right w:val="nil"/>
            </w:tcBorders>
            <w:shd w:val="clear" w:color="auto" w:fill="auto"/>
            <w:noWrap/>
            <w:vAlign w:val="center"/>
          </w:tcPr>
          <w:p w14:paraId="3DBC76C1" w14:textId="77777777" w:rsidR="005243D8" w:rsidRPr="003D1614" w:rsidRDefault="005243D8" w:rsidP="005243D8">
            <w:pPr>
              <w:suppressAutoHyphens/>
              <w:autoSpaceDN w:val="0"/>
              <w:jc w:val="both"/>
              <w:rPr>
                <w:rFonts w:ascii="Arial" w:eastAsia="Calibri" w:hAnsi="Arial" w:cs="Arial"/>
                <w:b/>
                <w:bCs/>
                <w:color w:val="000000"/>
                <w:sz w:val="16"/>
                <w:szCs w:val="16"/>
              </w:rPr>
            </w:pPr>
            <w:r w:rsidRPr="003D1614">
              <w:rPr>
                <w:rFonts w:ascii="Arial" w:eastAsia="Calibri" w:hAnsi="Arial" w:cs="Arial"/>
                <w:b/>
                <w:bCs/>
                <w:color w:val="000000"/>
                <w:sz w:val="16"/>
                <w:szCs w:val="16"/>
              </w:rPr>
              <w:t>Vlasnički vrijednosni papiri:</w:t>
            </w:r>
          </w:p>
        </w:tc>
        <w:tc>
          <w:tcPr>
            <w:tcW w:w="1219" w:type="dxa"/>
            <w:gridSpan w:val="2"/>
            <w:tcBorders>
              <w:left w:val="nil"/>
              <w:right w:val="nil"/>
            </w:tcBorders>
            <w:shd w:val="clear" w:color="auto" w:fill="auto"/>
            <w:noWrap/>
            <w:vAlign w:val="center"/>
          </w:tcPr>
          <w:p w14:paraId="02249EDC" w14:textId="77777777" w:rsidR="005243D8" w:rsidRPr="003D1614" w:rsidRDefault="005243D8" w:rsidP="005243D8">
            <w:pPr>
              <w:suppressAutoHyphens/>
              <w:autoSpaceDN w:val="0"/>
              <w:jc w:val="right"/>
              <w:rPr>
                <w:rFonts w:ascii="Arial" w:eastAsia="Calibri" w:hAnsi="Arial" w:cs="Arial"/>
                <w:color w:val="000000"/>
                <w:sz w:val="16"/>
                <w:szCs w:val="16"/>
              </w:rPr>
            </w:pPr>
          </w:p>
        </w:tc>
        <w:tc>
          <w:tcPr>
            <w:tcW w:w="1123" w:type="dxa"/>
            <w:tcBorders>
              <w:left w:val="nil"/>
              <w:right w:val="nil"/>
            </w:tcBorders>
            <w:shd w:val="clear" w:color="auto" w:fill="auto"/>
            <w:noWrap/>
            <w:vAlign w:val="center"/>
          </w:tcPr>
          <w:p w14:paraId="51EF221B" w14:textId="77777777" w:rsidR="005243D8" w:rsidRPr="003D1614" w:rsidRDefault="005243D8" w:rsidP="005243D8">
            <w:pPr>
              <w:suppressAutoHyphens/>
              <w:autoSpaceDN w:val="0"/>
              <w:jc w:val="right"/>
              <w:rPr>
                <w:rFonts w:ascii="Arial" w:eastAsia="Calibri" w:hAnsi="Arial" w:cs="Arial"/>
                <w:color w:val="000000"/>
                <w:sz w:val="16"/>
                <w:szCs w:val="16"/>
              </w:rPr>
            </w:pPr>
          </w:p>
        </w:tc>
        <w:tc>
          <w:tcPr>
            <w:tcW w:w="1197" w:type="dxa"/>
            <w:tcBorders>
              <w:left w:val="nil"/>
              <w:right w:val="nil"/>
            </w:tcBorders>
            <w:shd w:val="clear" w:color="auto" w:fill="auto"/>
            <w:noWrap/>
            <w:vAlign w:val="bottom"/>
          </w:tcPr>
          <w:p w14:paraId="5DFC4AE3" w14:textId="77777777" w:rsidR="005243D8" w:rsidRPr="003D1614" w:rsidRDefault="005243D8" w:rsidP="005243D8">
            <w:pPr>
              <w:suppressAutoHyphens/>
              <w:autoSpaceDN w:val="0"/>
              <w:jc w:val="both"/>
              <w:rPr>
                <w:rFonts w:ascii="Arial" w:eastAsia="Calibri" w:hAnsi="Arial" w:cs="Arial"/>
                <w:color w:val="000000"/>
                <w:sz w:val="16"/>
                <w:szCs w:val="16"/>
              </w:rPr>
            </w:pPr>
          </w:p>
        </w:tc>
        <w:tc>
          <w:tcPr>
            <w:tcW w:w="1156" w:type="dxa"/>
            <w:tcBorders>
              <w:left w:val="nil"/>
              <w:right w:val="nil"/>
            </w:tcBorders>
            <w:vAlign w:val="bottom"/>
          </w:tcPr>
          <w:p w14:paraId="32D1D895" w14:textId="77777777" w:rsidR="005243D8" w:rsidRPr="003D1614" w:rsidDel="00714EAD" w:rsidRDefault="005243D8" w:rsidP="005243D8">
            <w:pPr>
              <w:suppressAutoHyphens/>
              <w:autoSpaceDN w:val="0"/>
              <w:jc w:val="right"/>
              <w:rPr>
                <w:rFonts w:ascii="Arial" w:eastAsia="Calibri" w:hAnsi="Arial" w:cs="Arial"/>
                <w:b/>
                <w:bCs/>
                <w:color w:val="000000"/>
                <w:sz w:val="16"/>
                <w:szCs w:val="16"/>
              </w:rPr>
            </w:pPr>
          </w:p>
        </w:tc>
        <w:tc>
          <w:tcPr>
            <w:tcW w:w="1156" w:type="dxa"/>
            <w:tcBorders>
              <w:left w:val="nil"/>
              <w:right w:val="nil"/>
            </w:tcBorders>
            <w:vAlign w:val="bottom"/>
          </w:tcPr>
          <w:p w14:paraId="376E981B" w14:textId="77777777" w:rsidR="005243D8" w:rsidRPr="003D1614" w:rsidDel="00714EAD" w:rsidRDefault="005243D8" w:rsidP="005243D8">
            <w:pPr>
              <w:suppressAutoHyphens/>
              <w:autoSpaceDN w:val="0"/>
              <w:jc w:val="right"/>
              <w:rPr>
                <w:rFonts w:ascii="Arial" w:eastAsia="Calibri" w:hAnsi="Arial" w:cs="Arial"/>
                <w:b/>
                <w:bCs/>
                <w:color w:val="000000"/>
                <w:sz w:val="16"/>
                <w:szCs w:val="16"/>
              </w:rPr>
            </w:pPr>
          </w:p>
        </w:tc>
        <w:tc>
          <w:tcPr>
            <w:tcW w:w="1156" w:type="dxa"/>
            <w:tcBorders>
              <w:left w:val="nil"/>
              <w:right w:val="nil"/>
            </w:tcBorders>
            <w:shd w:val="clear" w:color="auto" w:fill="auto"/>
            <w:vAlign w:val="bottom"/>
          </w:tcPr>
          <w:p w14:paraId="28CE24B1" w14:textId="77777777" w:rsidR="005243D8" w:rsidRPr="00A31F86" w:rsidDel="00714EAD" w:rsidRDefault="005243D8" w:rsidP="005243D8">
            <w:pPr>
              <w:suppressAutoHyphens/>
              <w:autoSpaceDN w:val="0"/>
              <w:jc w:val="right"/>
              <w:rPr>
                <w:rFonts w:ascii="Arial" w:eastAsia="Calibri" w:hAnsi="Arial" w:cs="Arial"/>
                <w:b/>
                <w:bCs/>
                <w:color w:val="000000"/>
                <w:sz w:val="16"/>
                <w:szCs w:val="16"/>
              </w:rPr>
            </w:pPr>
          </w:p>
        </w:tc>
        <w:tc>
          <w:tcPr>
            <w:tcW w:w="1156" w:type="dxa"/>
            <w:tcBorders>
              <w:left w:val="nil"/>
              <w:right w:val="nil"/>
            </w:tcBorders>
            <w:vAlign w:val="bottom"/>
          </w:tcPr>
          <w:p w14:paraId="07626ED3" w14:textId="77777777" w:rsidR="005243D8" w:rsidRPr="00A31F86" w:rsidDel="00714EAD" w:rsidRDefault="005243D8" w:rsidP="005243D8">
            <w:pPr>
              <w:suppressAutoHyphens/>
              <w:autoSpaceDN w:val="0"/>
              <w:jc w:val="right"/>
              <w:rPr>
                <w:rFonts w:ascii="Arial" w:eastAsia="Calibri" w:hAnsi="Arial" w:cs="Arial"/>
                <w:b/>
                <w:bCs/>
                <w:color w:val="000000"/>
                <w:sz w:val="16"/>
                <w:szCs w:val="16"/>
              </w:rPr>
            </w:pPr>
          </w:p>
        </w:tc>
      </w:tr>
      <w:tr w:rsidR="005243D8" w:rsidRPr="003D1614" w14:paraId="6A7480B6" w14:textId="77777777" w:rsidTr="00A31F86">
        <w:trPr>
          <w:trHeight w:val="245"/>
        </w:trPr>
        <w:tc>
          <w:tcPr>
            <w:tcW w:w="3912" w:type="dxa"/>
            <w:gridSpan w:val="3"/>
            <w:tcBorders>
              <w:left w:val="nil"/>
              <w:right w:val="nil"/>
            </w:tcBorders>
            <w:shd w:val="clear" w:color="auto" w:fill="auto"/>
            <w:noWrap/>
            <w:vAlign w:val="bottom"/>
          </w:tcPr>
          <w:p w14:paraId="1734F2E8" w14:textId="77777777" w:rsidR="005243D8" w:rsidRPr="003D1614" w:rsidRDefault="005243D8" w:rsidP="005243D8">
            <w:pPr>
              <w:suppressAutoHyphens/>
              <w:autoSpaceDN w:val="0"/>
              <w:rPr>
                <w:rFonts w:ascii="Arial" w:eastAsia="Calibri" w:hAnsi="Arial" w:cs="Arial"/>
                <w:color w:val="000000"/>
                <w:sz w:val="16"/>
                <w:szCs w:val="16"/>
              </w:rPr>
            </w:pPr>
            <w:r w:rsidRPr="003D1614">
              <w:rPr>
                <w:rFonts w:ascii="Arial" w:eastAsia="Calibri" w:hAnsi="Arial" w:cs="Arial"/>
                <w:bCs/>
                <w:color w:val="000000"/>
                <w:sz w:val="16"/>
                <w:szCs w:val="16"/>
              </w:rPr>
              <w:t>Vlasnički vrijednosni papiri koji ne kotiraju:</w:t>
            </w:r>
          </w:p>
        </w:tc>
        <w:tc>
          <w:tcPr>
            <w:tcW w:w="1123" w:type="dxa"/>
            <w:tcBorders>
              <w:left w:val="nil"/>
              <w:right w:val="nil"/>
            </w:tcBorders>
            <w:shd w:val="clear" w:color="auto" w:fill="auto"/>
            <w:noWrap/>
            <w:vAlign w:val="bottom"/>
          </w:tcPr>
          <w:p w14:paraId="655761E8" w14:textId="77777777" w:rsidR="005243D8" w:rsidRPr="003D1614" w:rsidRDefault="005243D8" w:rsidP="005243D8">
            <w:pPr>
              <w:suppressAutoHyphens/>
              <w:autoSpaceDN w:val="0"/>
              <w:jc w:val="right"/>
              <w:rPr>
                <w:rFonts w:ascii="Arial" w:eastAsia="Calibri" w:hAnsi="Arial" w:cs="Arial"/>
                <w:color w:val="000000"/>
                <w:sz w:val="16"/>
                <w:szCs w:val="16"/>
              </w:rPr>
            </w:pPr>
          </w:p>
        </w:tc>
        <w:tc>
          <w:tcPr>
            <w:tcW w:w="1197" w:type="dxa"/>
            <w:tcBorders>
              <w:left w:val="nil"/>
              <w:right w:val="nil"/>
            </w:tcBorders>
            <w:shd w:val="clear" w:color="auto" w:fill="auto"/>
            <w:noWrap/>
            <w:vAlign w:val="bottom"/>
          </w:tcPr>
          <w:p w14:paraId="6453E0E3" w14:textId="77777777" w:rsidR="005243D8" w:rsidRPr="003D1614" w:rsidRDefault="005243D8" w:rsidP="005243D8">
            <w:pPr>
              <w:suppressAutoHyphens/>
              <w:autoSpaceDN w:val="0"/>
              <w:jc w:val="both"/>
              <w:rPr>
                <w:rFonts w:ascii="Arial" w:eastAsia="Calibri" w:hAnsi="Arial" w:cs="Arial"/>
                <w:color w:val="000000"/>
                <w:sz w:val="16"/>
                <w:szCs w:val="16"/>
              </w:rPr>
            </w:pPr>
          </w:p>
        </w:tc>
        <w:tc>
          <w:tcPr>
            <w:tcW w:w="1156" w:type="dxa"/>
            <w:tcBorders>
              <w:left w:val="nil"/>
              <w:right w:val="nil"/>
            </w:tcBorders>
            <w:vAlign w:val="bottom"/>
          </w:tcPr>
          <w:p w14:paraId="00E75BFB" w14:textId="77777777" w:rsidR="005243D8" w:rsidRPr="003D1614" w:rsidDel="00714EAD" w:rsidRDefault="005243D8" w:rsidP="005243D8">
            <w:pPr>
              <w:suppressAutoHyphens/>
              <w:autoSpaceDN w:val="0"/>
              <w:jc w:val="right"/>
              <w:rPr>
                <w:rFonts w:ascii="Arial" w:eastAsia="Calibri" w:hAnsi="Arial" w:cs="Arial"/>
                <w:b/>
                <w:bCs/>
                <w:color w:val="000000"/>
                <w:sz w:val="16"/>
                <w:szCs w:val="16"/>
              </w:rPr>
            </w:pPr>
          </w:p>
        </w:tc>
        <w:tc>
          <w:tcPr>
            <w:tcW w:w="1156" w:type="dxa"/>
            <w:tcBorders>
              <w:left w:val="nil"/>
              <w:right w:val="nil"/>
            </w:tcBorders>
            <w:shd w:val="clear" w:color="auto" w:fill="auto"/>
            <w:vAlign w:val="bottom"/>
          </w:tcPr>
          <w:p w14:paraId="46C054CB" w14:textId="77777777" w:rsidR="005243D8" w:rsidRPr="003D1614" w:rsidDel="00714EAD" w:rsidRDefault="005243D8" w:rsidP="005243D8">
            <w:pPr>
              <w:suppressAutoHyphens/>
              <w:autoSpaceDN w:val="0"/>
              <w:jc w:val="right"/>
              <w:rPr>
                <w:rFonts w:ascii="Arial" w:eastAsia="Calibri" w:hAnsi="Arial" w:cs="Arial"/>
                <w:b/>
                <w:bCs/>
                <w:color w:val="000000"/>
                <w:sz w:val="16"/>
                <w:szCs w:val="16"/>
              </w:rPr>
            </w:pPr>
          </w:p>
        </w:tc>
        <w:tc>
          <w:tcPr>
            <w:tcW w:w="1156" w:type="dxa"/>
            <w:tcBorders>
              <w:left w:val="nil"/>
              <w:right w:val="nil"/>
            </w:tcBorders>
            <w:vAlign w:val="bottom"/>
          </w:tcPr>
          <w:p w14:paraId="5B81DAD2" w14:textId="77777777" w:rsidR="005243D8" w:rsidRPr="00A31F86" w:rsidDel="00714EAD" w:rsidRDefault="005243D8" w:rsidP="005243D8">
            <w:pPr>
              <w:suppressAutoHyphens/>
              <w:autoSpaceDN w:val="0"/>
              <w:jc w:val="right"/>
              <w:rPr>
                <w:rFonts w:ascii="Arial" w:eastAsia="Calibri" w:hAnsi="Arial" w:cs="Arial"/>
                <w:b/>
                <w:bCs/>
                <w:color w:val="000000"/>
                <w:sz w:val="16"/>
                <w:szCs w:val="16"/>
              </w:rPr>
            </w:pPr>
          </w:p>
        </w:tc>
        <w:tc>
          <w:tcPr>
            <w:tcW w:w="1156" w:type="dxa"/>
            <w:tcBorders>
              <w:left w:val="nil"/>
              <w:right w:val="nil"/>
            </w:tcBorders>
            <w:shd w:val="clear" w:color="auto" w:fill="auto"/>
            <w:vAlign w:val="bottom"/>
          </w:tcPr>
          <w:p w14:paraId="1FB47EE3" w14:textId="77777777" w:rsidR="005243D8" w:rsidRPr="00A31F86" w:rsidDel="00714EAD" w:rsidRDefault="005243D8" w:rsidP="005243D8">
            <w:pPr>
              <w:suppressAutoHyphens/>
              <w:autoSpaceDN w:val="0"/>
              <w:jc w:val="right"/>
              <w:rPr>
                <w:rFonts w:ascii="Arial" w:eastAsia="Calibri" w:hAnsi="Arial" w:cs="Arial"/>
                <w:b/>
                <w:bCs/>
                <w:color w:val="000000"/>
                <w:sz w:val="16"/>
                <w:szCs w:val="16"/>
              </w:rPr>
            </w:pPr>
          </w:p>
        </w:tc>
      </w:tr>
      <w:tr w:rsidR="005243D8" w:rsidRPr="003D1614" w14:paraId="74D91B70" w14:textId="77777777" w:rsidTr="00F65C2E">
        <w:trPr>
          <w:trHeight w:val="245"/>
        </w:trPr>
        <w:tc>
          <w:tcPr>
            <w:tcW w:w="5035" w:type="dxa"/>
            <w:gridSpan w:val="4"/>
            <w:tcBorders>
              <w:left w:val="nil"/>
              <w:right w:val="nil"/>
            </w:tcBorders>
            <w:shd w:val="clear" w:color="auto" w:fill="auto"/>
            <w:noWrap/>
            <w:vAlign w:val="bottom"/>
          </w:tcPr>
          <w:p w14:paraId="127AB371" w14:textId="77777777" w:rsidR="005243D8" w:rsidRPr="003D1614" w:rsidRDefault="005243D8" w:rsidP="005243D8">
            <w:pPr>
              <w:suppressAutoHyphens/>
              <w:autoSpaceDN w:val="0"/>
              <w:rPr>
                <w:rFonts w:ascii="Arial" w:eastAsia="Calibri" w:hAnsi="Arial" w:cs="Arial"/>
                <w:color w:val="000000"/>
                <w:sz w:val="16"/>
                <w:szCs w:val="16"/>
              </w:rPr>
            </w:pPr>
            <w:r w:rsidRPr="003D1614">
              <w:rPr>
                <w:rFonts w:ascii="Arial" w:eastAsia="Calibri" w:hAnsi="Arial" w:cs="Arial"/>
                <w:color w:val="000000"/>
                <w:sz w:val="16"/>
                <w:szCs w:val="16"/>
              </w:rPr>
              <w:t>Dionice inozemnih pravnih osoba - SWIFT</w:t>
            </w:r>
          </w:p>
        </w:tc>
        <w:tc>
          <w:tcPr>
            <w:tcW w:w="1197" w:type="dxa"/>
            <w:tcBorders>
              <w:left w:val="nil"/>
              <w:right w:val="nil"/>
            </w:tcBorders>
            <w:shd w:val="clear" w:color="auto" w:fill="auto"/>
            <w:noWrap/>
            <w:vAlign w:val="bottom"/>
          </w:tcPr>
          <w:p w14:paraId="0842AA0E" w14:textId="77777777" w:rsidR="005243D8" w:rsidRPr="003D1614" w:rsidRDefault="005243D8" w:rsidP="005243D8">
            <w:pPr>
              <w:suppressAutoHyphens/>
              <w:autoSpaceDN w:val="0"/>
              <w:jc w:val="both"/>
              <w:rPr>
                <w:rFonts w:ascii="Arial" w:eastAsia="Calibri" w:hAnsi="Arial" w:cs="Arial"/>
                <w:color w:val="000000"/>
                <w:sz w:val="16"/>
                <w:szCs w:val="16"/>
              </w:rPr>
            </w:pPr>
          </w:p>
        </w:tc>
        <w:tc>
          <w:tcPr>
            <w:tcW w:w="1156" w:type="dxa"/>
            <w:tcBorders>
              <w:top w:val="nil"/>
              <w:left w:val="nil"/>
              <w:bottom w:val="nil"/>
              <w:right w:val="nil"/>
            </w:tcBorders>
            <w:vAlign w:val="bottom"/>
          </w:tcPr>
          <w:p w14:paraId="008290D0" w14:textId="146C09B0" w:rsidR="005243D8" w:rsidRPr="003D1614" w:rsidRDefault="005243D8" w:rsidP="005243D8">
            <w:pPr>
              <w:suppressAutoHyphens/>
              <w:autoSpaceDN w:val="0"/>
              <w:jc w:val="right"/>
              <w:rPr>
                <w:rFonts w:ascii="Arial" w:eastAsia="Calibri" w:hAnsi="Arial" w:cs="Arial"/>
                <w:bCs/>
                <w:color w:val="000000"/>
                <w:sz w:val="16"/>
                <w:szCs w:val="16"/>
              </w:rPr>
            </w:pPr>
            <w:r>
              <w:rPr>
                <w:rFonts w:ascii="Arial" w:eastAsia="Calibri" w:hAnsi="Arial" w:cs="Arial"/>
                <w:bCs/>
                <w:color w:val="000000"/>
                <w:sz w:val="16"/>
                <w:szCs w:val="16"/>
              </w:rPr>
              <w:t>8</w:t>
            </w:r>
          </w:p>
        </w:tc>
        <w:tc>
          <w:tcPr>
            <w:tcW w:w="1156" w:type="dxa"/>
            <w:tcBorders>
              <w:left w:val="nil"/>
              <w:right w:val="nil"/>
            </w:tcBorders>
            <w:vAlign w:val="bottom"/>
          </w:tcPr>
          <w:p w14:paraId="2BFA381B" w14:textId="382C07A7" w:rsidR="005243D8" w:rsidRPr="003D1614" w:rsidDel="00714EAD" w:rsidRDefault="005243D8" w:rsidP="005243D8">
            <w:pPr>
              <w:suppressAutoHyphens/>
              <w:autoSpaceDN w:val="0"/>
              <w:jc w:val="right"/>
              <w:rPr>
                <w:rFonts w:ascii="Arial" w:eastAsia="Calibri" w:hAnsi="Arial" w:cs="Arial"/>
                <w:bCs/>
                <w:color w:val="000000"/>
                <w:sz w:val="16"/>
                <w:szCs w:val="16"/>
              </w:rPr>
            </w:pPr>
            <w:r>
              <w:rPr>
                <w:rFonts w:ascii="Arial" w:hAnsi="Arial" w:cs="Arial"/>
                <w:sz w:val="16"/>
                <w:szCs w:val="16"/>
              </w:rPr>
              <w:t>8</w:t>
            </w:r>
          </w:p>
        </w:tc>
        <w:tc>
          <w:tcPr>
            <w:tcW w:w="1156" w:type="dxa"/>
            <w:tcBorders>
              <w:top w:val="nil"/>
              <w:left w:val="nil"/>
              <w:bottom w:val="nil"/>
              <w:right w:val="nil"/>
            </w:tcBorders>
            <w:vAlign w:val="bottom"/>
          </w:tcPr>
          <w:p w14:paraId="394734A8" w14:textId="1EBAACEB" w:rsidR="005243D8" w:rsidRPr="00A31F86" w:rsidRDefault="005243D8" w:rsidP="005243D8">
            <w:pPr>
              <w:suppressAutoHyphens/>
              <w:autoSpaceDN w:val="0"/>
              <w:jc w:val="right"/>
              <w:rPr>
                <w:rFonts w:ascii="Arial" w:eastAsia="Calibri" w:hAnsi="Arial" w:cs="Arial"/>
                <w:bCs/>
                <w:color w:val="000000"/>
                <w:sz w:val="16"/>
                <w:szCs w:val="16"/>
              </w:rPr>
            </w:pPr>
            <w:r>
              <w:rPr>
                <w:rFonts w:ascii="Arial" w:eastAsia="Calibri" w:hAnsi="Arial" w:cs="Arial"/>
                <w:bCs/>
                <w:color w:val="000000"/>
                <w:sz w:val="16"/>
                <w:szCs w:val="16"/>
              </w:rPr>
              <w:t>8</w:t>
            </w:r>
          </w:p>
        </w:tc>
        <w:tc>
          <w:tcPr>
            <w:tcW w:w="1156" w:type="dxa"/>
            <w:tcBorders>
              <w:left w:val="nil"/>
              <w:right w:val="nil"/>
            </w:tcBorders>
            <w:vAlign w:val="bottom"/>
          </w:tcPr>
          <w:p w14:paraId="7BBBF5FE" w14:textId="7BD4D644" w:rsidR="005243D8" w:rsidRPr="00A31F86" w:rsidDel="00714EAD" w:rsidRDefault="005243D8" w:rsidP="005243D8">
            <w:pPr>
              <w:suppressAutoHyphens/>
              <w:autoSpaceDN w:val="0"/>
              <w:jc w:val="right"/>
              <w:rPr>
                <w:rFonts w:ascii="Arial" w:eastAsia="Calibri" w:hAnsi="Arial" w:cs="Arial"/>
                <w:bCs/>
                <w:color w:val="000000"/>
                <w:sz w:val="16"/>
                <w:szCs w:val="16"/>
              </w:rPr>
            </w:pPr>
            <w:r>
              <w:rPr>
                <w:rFonts w:ascii="Arial" w:hAnsi="Arial" w:cs="Arial"/>
                <w:sz w:val="16"/>
                <w:szCs w:val="16"/>
              </w:rPr>
              <w:t>8</w:t>
            </w:r>
          </w:p>
        </w:tc>
      </w:tr>
      <w:tr w:rsidR="005243D8" w:rsidRPr="003D1614" w14:paraId="7AAE5C2A" w14:textId="77777777" w:rsidTr="00F65C2E">
        <w:trPr>
          <w:trHeight w:val="245"/>
        </w:trPr>
        <w:tc>
          <w:tcPr>
            <w:tcW w:w="5035" w:type="dxa"/>
            <w:gridSpan w:val="4"/>
            <w:tcBorders>
              <w:left w:val="nil"/>
              <w:bottom w:val="single" w:sz="4" w:space="0" w:color="auto"/>
              <w:right w:val="nil"/>
            </w:tcBorders>
            <w:shd w:val="clear" w:color="auto" w:fill="auto"/>
            <w:noWrap/>
            <w:vAlign w:val="bottom"/>
          </w:tcPr>
          <w:p w14:paraId="47FE95CB" w14:textId="77777777" w:rsidR="005243D8" w:rsidRPr="003D1614" w:rsidRDefault="005243D8" w:rsidP="005243D8">
            <w:pPr>
              <w:suppressAutoHyphens/>
              <w:autoSpaceDN w:val="0"/>
              <w:rPr>
                <w:rFonts w:ascii="Arial" w:eastAsia="Calibri" w:hAnsi="Arial" w:cs="Arial"/>
                <w:color w:val="000000"/>
                <w:sz w:val="16"/>
                <w:szCs w:val="16"/>
              </w:rPr>
            </w:pPr>
            <w:r w:rsidRPr="003D1614">
              <w:rPr>
                <w:rFonts w:ascii="Arial" w:eastAsia="Calibri" w:hAnsi="Arial" w:cs="Arial"/>
                <w:color w:val="000000"/>
                <w:sz w:val="16"/>
                <w:szCs w:val="16"/>
              </w:rPr>
              <w:t>Dionice inozemnih financijskih institucija - EIF</w:t>
            </w:r>
          </w:p>
        </w:tc>
        <w:tc>
          <w:tcPr>
            <w:tcW w:w="1197" w:type="dxa"/>
            <w:tcBorders>
              <w:left w:val="nil"/>
              <w:bottom w:val="single" w:sz="4" w:space="0" w:color="auto"/>
              <w:right w:val="nil"/>
            </w:tcBorders>
            <w:shd w:val="clear" w:color="auto" w:fill="auto"/>
            <w:noWrap/>
            <w:vAlign w:val="bottom"/>
          </w:tcPr>
          <w:p w14:paraId="0CC55B33" w14:textId="77777777" w:rsidR="005243D8" w:rsidRPr="003D1614" w:rsidRDefault="005243D8" w:rsidP="005243D8">
            <w:pPr>
              <w:suppressAutoHyphens/>
              <w:autoSpaceDN w:val="0"/>
              <w:jc w:val="both"/>
              <w:rPr>
                <w:rFonts w:ascii="Arial" w:eastAsia="Calibri" w:hAnsi="Arial" w:cs="Arial"/>
                <w:color w:val="000000"/>
                <w:sz w:val="16"/>
                <w:szCs w:val="16"/>
              </w:rPr>
            </w:pPr>
          </w:p>
        </w:tc>
        <w:tc>
          <w:tcPr>
            <w:tcW w:w="1156" w:type="dxa"/>
            <w:tcBorders>
              <w:top w:val="nil"/>
              <w:left w:val="nil"/>
              <w:bottom w:val="single" w:sz="4" w:space="0" w:color="auto"/>
              <w:right w:val="nil"/>
            </w:tcBorders>
            <w:vAlign w:val="bottom"/>
          </w:tcPr>
          <w:p w14:paraId="0A486DD3" w14:textId="0FBC5472" w:rsidR="005243D8" w:rsidRPr="003D1614" w:rsidRDefault="005243D8" w:rsidP="005243D8">
            <w:pPr>
              <w:suppressAutoHyphens/>
              <w:autoSpaceDN w:val="0"/>
              <w:jc w:val="right"/>
              <w:rPr>
                <w:rFonts w:ascii="Arial" w:eastAsia="Calibri" w:hAnsi="Arial" w:cs="Arial"/>
                <w:bCs/>
                <w:color w:val="000000"/>
                <w:sz w:val="16"/>
                <w:szCs w:val="16"/>
              </w:rPr>
            </w:pPr>
            <w:r>
              <w:rPr>
                <w:rFonts w:ascii="Arial" w:eastAsia="Calibri" w:hAnsi="Arial" w:cs="Arial"/>
                <w:bCs/>
                <w:color w:val="000000"/>
                <w:sz w:val="16"/>
                <w:szCs w:val="16"/>
              </w:rPr>
              <w:t>7.757</w:t>
            </w:r>
          </w:p>
        </w:tc>
        <w:tc>
          <w:tcPr>
            <w:tcW w:w="1156" w:type="dxa"/>
            <w:tcBorders>
              <w:left w:val="nil"/>
              <w:bottom w:val="single" w:sz="4" w:space="0" w:color="auto"/>
              <w:right w:val="nil"/>
            </w:tcBorders>
            <w:vAlign w:val="bottom"/>
          </w:tcPr>
          <w:p w14:paraId="17A9F745" w14:textId="17D539C8" w:rsidR="005243D8" w:rsidRPr="003D1614" w:rsidDel="00714EAD" w:rsidRDefault="005243D8" w:rsidP="005243D8">
            <w:pPr>
              <w:suppressAutoHyphens/>
              <w:autoSpaceDN w:val="0"/>
              <w:jc w:val="right"/>
              <w:rPr>
                <w:rFonts w:ascii="Arial" w:eastAsia="Calibri" w:hAnsi="Arial" w:cs="Arial"/>
                <w:bCs/>
                <w:color w:val="000000"/>
                <w:sz w:val="16"/>
                <w:szCs w:val="16"/>
              </w:rPr>
            </w:pPr>
            <w:r w:rsidRPr="00A31F86">
              <w:rPr>
                <w:rFonts w:ascii="Arial" w:hAnsi="Arial" w:cs="Arial"/>
                <w:sz w:val="16"/>
                <w:szCs w:val="16"/>
              </w:rPr>
              <w:t>7.</w:t>
            </w:r>
            <w:r>
              <w:rPr>
                <w:rFonts w:ascii="Arial" w:hAnsi="Arial" w:cs="Arial"/>
                <w:sz w:val="16"/>
                <w:szCs w:val="16"/>
              </w:rPr>
              <w:t>757</w:t>
            </w:r>
          </w:p>
        </w:tc>
        <w:tc>
          <w:tcPr>
            <w:tcW w:w="1156" w:type="dxa"/>
            <w:tcBorders>
              <w:top w:val="nil"/>
              <w:left w:val="nil"/>
              <w:bottom w:val="single" w:sz="4" w:space="0" w:color="auto"/>
              <w:right w:val="nil"/>
            </w:tcBorders>
            <w:vAlign w:val="bottom"/>
          </w:tcPr>
          <w:p w14:paraId="6E7FCDB5" w14:textId="2A2504F3" w:rsidR="005243D8" w:rsidRPr="00A31F86" w:rsidRDefault="005243D8" w:rsidP="005243D8">
            <w:pPr>
              <w:suppressAutoHyphens/>
              <w:autoSpaceDN w:val="0"/>
              <w:jc w:val="right"/>
              <w:rPr>
                <w:rFonts w:ascii="Arial" w:eastAsia="Calibri" w:hAnsi="Arial" w:cs="Arial"/>
                <w:bCs/>
                <w:color w:val="000000"/>
                <w:sz w:val="16"/>
                <w:szCs w:val="16"/>
              </w:rPr>
            </w:pPr>
            <w:r>
              <w:rPr>
                <w:rFonts w:ascii="Arial" w:eastAsia="Calibri" w:hAnsi="Arial" w:cs="Arial"/>
                <w:bCs/>
                <w:color w:val="000000"/>
                <w:sz w:val="16"/>
                <w:szCs w:val="16"/>
              </w:rPr>
              <w:t>7.757</w:t>
            </w:r>
          </w:p>
        </w:tc>
        <w:tc>
          <w:tcPr>
            <w:tcW w:w="1156" w:type="dxa"/>
            <w:tcBorders>
              <w:left w:val="nil"/>
              <w:bottom w:val="single" w:sz="4" w:space="0" w:color="auto"/>
              <w:right w:val="nil"/>
            </w:tcBorders>
            <w:vAlign w:val="bottom"/>
          </w:tcPr>
          <w:p w14:paraId="38038912" w14:textId="1016F9F2" w:rsidR="005243D8" w:rsidRPr="00A31F86" w:rsidDel="00714EAD" w:rsidRDefault="005243D8" w:rsidP="005243D8">
            <w:pPr>
              <w:suppressAutoHyphens/>
              <w:autoSpaceDN w:val="0"/>
              <w:jc w:val="right"/>
              <w:rPr>
                <w:rFonts w:ascii="Arial" w:eastAsia="Calibri" w:hAnsi="Arial" w:cs="Arial"/>
                <w:bCs/>
                <w:color w:val="000000"/>
                <w:sz w:val="16"/>
                <w:szCs w:val="16"/>
              </w:rPr>
            </w:pPr>
            <w:r w:rsidRPr="00A31F86">
              <w:rPr>
                <w:rFonts w:ascii="Arial" w:hAnsi="Arial" w:cs="Arial"/>
                <w:sz w:val="16"/>
                <w:szCs w:val="16"/>
              </w:rPr>
              <w:t>7.</w:t>
            </w:r>
            <w:r>
              <w:rPr>
                <w:rFonts w:ascii="Arial" w:hAnsi="Arial" w:cs="Arial"/>
                <w:sz w:val="16"/>
                <w:szCs w:val="16"/>
              </w:rPr>
              <w:t>757</w:t>
            </w:r>
          </w:p>
        </w:tc>
      </w:tr>
      <w:tr w:rsidR="005243D8" w:rsidRPr="003D1614" w14:paraId="0FA04492" w14:textId="77777777" w:rsidTr="00F65C2E">
        <w:trPr>
          <w:trHeight w:val="245"/>
        </w:trPr>
        <w:tc>
          <w:tcPr>
            <w:tcW w:w="2693" w:type="dxa"/>
            <w:tcBorders>
              <w:top w:val="single" w:sz="4" w:space="0" w:color="auto"/>
              <w:left w:val="nil"/>
              <w:bottom w:val="single" w:sz="12" w:space="0" w:color="auto"/>
              <w:right w:val="nil"/>
            </w:tcBorders>
            <w:shd w:val="clear" w:color="auto" w:fill="auto"/>
            <w:noWrap/>
            <w:vAlign w:val="center"/>
          </w:tcPr>
          <w:p w14:paraId="0E12B54A" w14:textId="77777777" w:rsidR="005243D8" w:rsidRPr="003D1614" w:rsidRDefault="005243D8" w:rsidP="005243D8">
            <w:pPr>
              <w:suppressAutoHyphens/>
              <w:autoSpaceDN w:val="0"/>
              <w:jc w:val="both"/>
              <w:rPr>
                <w:rFonts w:ascii="Arial" w:eastAsia="Calibri" w:hAnsi="Arial" w:cs="Arial"/>
                <w:b/>
                <w:bCs/>
                <w:color w:val="000000"/>
                <w:sz w:val="16"/>
                <w:szCs w:val="16"/>
              </w:rPr>
            </w:pPr>
          </w:p>
        </w:tc>
        <w:tc>
          <w:tcPr>
            <w:tcW w:w="1219" w:type="dxa"/>
            <w:gridSpan w:val="2"/>
            <w:tcBorders>
              <w:top w:val="single" w:sz="4" w:space="0" w:color="auto"/>
              <w:left w:val="nil"/>
              <w:bottom w:val="single" w:sz="12" w:space="0" w:color="auto"/>
              <w:right w:val="nil"/>
            </w:tcBorders>
            <w:shd w:val="clear" w:color="auto" w:fill="auto"/>
            <w:noWrap/>
            <w:vAlign w:val="center"/>
          </w:tcPr>
          <w:p w14:paraId="7EC19F70" w14:textId="77777777" w:rsidR="005243D8" w:rsidRPr="003D1614" w:rsidRDefault="005243D8" w:rsidP="005243D8">
            <w:pPr>
              <w:suppressAutoHyphens/>
              <w:autoSpaceDN w:val="0"/>
              <w:jc w:val="right"/>
              <w:rPr>
                <w:rFonts w:ascii="Arial" w:eastAsia="Calibri" w:hAnsi="Arial" w:cs="Arial"/>
                <w:color w:val="000000"/>
                <w:sz w:val="16"/>
                <w:szCs w:val="16"/>
              </w:rPr>
            </w:pPr>
          </w:p>
        </w:tc>
        <w:tc>
          <w:tcPr>
            <w:tcW w:w="1123" w:type="dxa"/>
            <w:tcBorders>
              <w:top w:val="single" w:sz="4" w:space="0" w:color="auto"/>
              <w:left w:val="nil"/>
              <w:bottom w:val="single" w:sz="12" w:space="0" w:color="auto"/>
              <w:right w:val="nil"/>
            </w:tcBorders>
            <w:shd w:val="clear" w:color="auto" w:fill="auto"/>
            <w:noWrap/>
            <w:vAlign w:val="bottom"/>
          </w:tcPr>
          <w:p w14:paraId="650E776F" w14:textId="5CF224E6" w:rsidR="005243D8" w:rsidRPr="003D1614" w:rsidRDefault="005243D8" w:rsidP="005243D8">
            <w:pPr>
              <w:suppressAutoHyphens/>
              <w:autoSpaceDN w:val="0"/>
              <w:jc w:val="right"/>
              <w:rPr>
                <w:rFonts w:ascii="Arial" w:eastAsia="Calibri" w:hAnsi="Arial" w:cs="Arial"/>
                <w:color w:val="000000"/>
                <w:sz w:val="16"/>
                <w:szCs w:val="16"/>
              </w:rPr>
            </w:pPr>
          </w:p>
        </w:tc>
        <w:tc>
          <w:tcPr>
            <w:tcW w:w="1197" w:type="dxa"/>
            <w:tcBorders>
              <w:top w:val="single" w:sz="4" w:space="0" w:color="auto"/>
              <w:left w:val="nil"/>
              <w:bottom w:val="single" w:sz="12" w:space="0" w:color="auto"/>
              <w:right w:val="nil"/>
            </w:tcBorders>
            <w:noWrap/>
            <w:vAlign w:val="bottom"/>
          </w:tcPr>
          <w:p w14:paraId="7708BEF4" w14:textId="0B3720CE" w:rsidR="005243D8" w:rsidRPr="003D1614" w:rsidRDefault="005243D8" w:rsidP="005243D8">
            <w:pPr>
              <w:suppressAutoHyphens/>
              <w:autoSpaceDN w:val="0"/>
              <w:jc w:val="both"/>
              <w:rPr>
                <w:rFonts w:ascii="Arial" w:eastAsia="Calibri" w:hAnsi="Arial" w:cs="Arial"/>
                <w:color w:val="000000"/>
                <w:sz w:val="16"/>
                <w:szCs w:val="16"/>
              </w:rPr>
            </w:pPr>
          </w:p>
        </w:tc>
        <w:tc>
          <w:tcPr>
            <w:tcW w:w="1156" w:type="dxa"/>
            <w:tcBorders>
              <w:top w:val="single" w:sz="4" w:space="0" w:color="auto"/>
              <w:left w:val="nil"/>
              <w:bottom w:val="single" w:sz="12" w:space="0" w:color="auto"/>
              <w:right w:val="nil"/>
            </w:tcBorders>
            <w:vAlign w:val="bottom"/>
          </w:tcPr>
          <w:p w14:paraId="25928A7B" w14:textId="5E14C05E" w:rsidR="005243D8" w:rsidRPr="003D1614" w:rsidRDefault="005243D8" w:rsidP="005243D8">
            <w:pPr>
              <w:suppressAutoHyphens/>
              <w:autoSpaceDN w:val="0"/>
              <w:jc w:val="right"/>
              <w:rPr>
                <w:rFonts w:ascii="Arial" w:eastAsia="Calibri" w:hAnsi="Arial" w:cs="Arial"/>
                <w:b/>
                <w:bCs/>
                <w:color w:val="000000"/>
                <w:sz w:val="16"/>
                <w:szCs w:val="16"/>
              </w:rPr>
            </w:pPr>
            <w:r>
              <w:rPr>
                <w:rFonts w:ascii="Arial" w:eastAsia="Calibri" w:hAnsi="Arial" w:cs="Arial"/>
                <w:b/>
                <w:bCs/>
                <w:color w:val="000000"/>
                <w:sz w:val="16"/>
                <w:szCs w:val="16"/>
              </w:rPr>
              <w:t>7.</w:t>
            </w:r>
            <w:r w:rsidR="00634545">
              <w:rPr>
                <w:rFonts w:ascii="Arial" w:eastAsia="Calibri" w:hAnsi="Arial" w:cs="Arial"/>
                <w:b/>
                <w:bCs/>
                <w:color w:val="000000"/>
                <w:sz w:val="16"/>
                <w:szCs w:val="16"/>
              </w:rPr>
              <w:t>765</w:t>
            </w:r>
          </w:p>
        </w:tc>
        <w:tc>
          <w:tcPr>
            <w:tcW w:w="1156" w:type="dxa"/>
            <w:tcBorders>
              <w:top w:val="single" w:sz="4" w:space="0" w:color="auto"/>
              <w:left w:val="nil"/>
              <w:bottom w:val="single" w:sz="12" w:space="0" w:color="auto"/>
              <w:right w:val="nil"/>
            </w:tcBorders>
            <w:vAlign w:val="bottom"/>
          </w:tcPr>
          <w:p w14:paraId="01D763A2" w14:textId="07803F1D" w:rsidR="005243D8" w:rsidRPr="003D1614" w:rsidDel="00714EAD" w:rsidRDefault="005243D8" w:rsidP="005243D8">
            <w:pPr>
              <w:suppressAutoHyphens/>
              <w:autoSpaceDN w:val="0"/>
              <w:jc w:val="right"/>
              <w:rPr>
                <w:rFonts w:ascii="Arial" w:eastAsia="Calibri" w:hAnsi="Arial" w:cs="Arial"/>
                <w:b/>
                <w:bCs/>
                <w:color w:val="000000"/>
                <w:sz w:val="16"/>
                <w:szCs w:val="16"/>
              </w:rPr>
            </w:pPr>
            <w:r w:rsidRPr="008970F4">
              <w:rPr>
                <w:rFonts w:ascii="Arial" w:eastAsia="Calibri" w:hAnsi="Arial" w:cs="Arial"/>
                <w:b/>
                <w:bCs/>
                <w:color w:val="000000"/>
                <w:sz w:val="16"/>
                <w:szCs w:val="16"/>
              </w:rPr>
              <w:t>7.</w:t>
            </w:r>
            <w:r>
              <w:rPr>
                <w:rFonts w:ascii="Arial" w:eastAsia="Calibri" w:hAnsi="Arial" w:cs="Arial"/>
                <w:b/>
                <w:bCs/>
                <w:color w:val="000000"/>
                <w:sz w:val="16"/>
                <w:szCs w:val="16"/>
              </w:rPr>
              <w:t>765</w:t>
            </w:r>
          </w:p>
        </w:tc>
        <w:tc>
          <w:tcPr>
            <w:tcW w:w="1156" w:type="dxa"/>
            <w:tcBorders>
              <w:top w:val="single" w:sz="4" w:space="0" w:color="auto"/>
              <w:left w:val="nil"/>
              <w:bottom w:val="single" w:sz="12" w:space="0" w:color="auto"/>
              <w:right w:val="nil"/>
            </w:tcBorders>
            <w:shd w:val="clear" w:color="auto" w:fill="auto"/>
            <w:vAlign w:val="bottom"/>
          </w:tcPr>
          <w:p w14:paraId="3F15F440" w14:textId="6743461E" w:rsidR="005243D8" w:rsidRPr="00A31F86" w:rsidRDefault="005243D8" w:rsidP="005243D8">
            <w:pPr>
              <w:suppressAutoHyphens/>
              <w:autoSpaceDN w:val="0"/>
              <w:jc w:val="right"/>
              <w:rPr>
                <w:rFonts w:ascii="Arial" w:eastAsia="Calibri" w:hAnsi="Arial" w:cs="Arial"/>
                <w:b/>
                <w:bCs/>
                <w:color w:val="000000"/>
                <w:sz w:val="16"/>
                <w:szCs w:val="16"/>
              </w:rPr>
            </w:pPr>
            <w:r>
              <w:rPr>
                <w:rFonts w:ascii="Arial" w:eastAsia="Calibri" w:hAnsi="Arial" w:cs="Arial"/>
                <w:b/>
                <w:bCs/>
                <w:color w:val="000000"/>
                <w:sz w:val="16"/>
                <w:szCs w:val="16"/>
              </w:rPr>
              <w:t>7.765</w:t>
            </w:r>
          </w:p>
        </w:tc>
        <w:tc>
          <w:tcPr>
            <w:tcW w:w="1156" w:type="dxa"/>
            <w:tcBorders>
              <w:top w:val="single" w:sz="4" w:space="0" w:color="auto"/>
              <w:left w:val="nil"/>
              <w:bottom w:val="single" w:sz="12" w:space="0" w:color="auto"/>
              <w:right w:val="nil"/>
            </w:tcBorders>
            <w:vAlign w:val="bottom"/>
          </w:tcPr>
          <w:p w14:paraId="48481025" w14:textId="6B518ECF" w:rsidR="005243D8" w:rsidRPr="00A31F86" w:rsidDel="00714EAD" w:rsidRDefault="005243D8" w:rsidP="005243D8">
            <w:pPr>
              <w:suppressAutoHyphens/>
              <w:autoSpaceDN w:val="0"/>
              <w:jc w:val="right"/>
              <w:rPr>
                <w:rFonts w:ascii="Arial" w:eastAsia="Calibri" w:hAnsi="Arial" w:cs="Arial"/>
                <w:b/>
                <w:bCs/>
                <w:color w:val="000000"/>
                <w:sz w:val="16"/>
                <w:szCs w:val="16"/>
              </w:rPr>
            </w:pPr>
            <w:r w:rsidRPr="00A31F86">
              <w:rPr>
                <w:rFonts w:ascii="Arial" w:eastAsia="Calibri" w:hAnsi="Arial" w:cs="Arial"/>
                <w:b/>
                <w:bCs/>
                <w:color w:val="000000"/>
                <w:sz w:val="16"/>
                <w:szCs w:val="16"/>
              </w:rPr>
              <w:t>7.</w:t>
            </w:r>
            <w:r>
              <w:rPr>
                <w:rFonts w:ascii="Arial" w:eastAsia="Calibri" w:hAnsi="Arial" w:cs="Arial"/>
                <w:b/>
                <w:bCs/>
                <w:color w:val="000000"/>
                <w:sz w:val="16"/>
                <w:szCs w:val="16"/>
              </w:rPr>
              <w:t>765</w:t>
            </w:r>
          </w:p>
        </w:tc>
      </w:tr>
      <w:tr w:rsidR="005243D8" w:rsidRPr="003D1614" w14:paraId="4A3A1551" w14:textId="77777777" w:rsidTr="00A31F86">
        <w:trPr>
          <w:trHeight w:val="245"/>
        </w:trPr>
        <w:tc>
          <w:tcPr>
            <w:tcW w:w="2693" w:type="dxa"/>
            <w:tcBorders>
              <w:top w:val="single" w:sz="12" w:space="0" w:color="auto"/>
              <w:left w:val="nil"/>
              <w:bottom w:val="single" w:sz="12" w:space="0" w:color="auto"/>
              <w:right w:val="nil"/>
            </w:tcBorders>
            <w:shd w:val="clear" w:color="auto" w:fill="auto"/>
            <w:noWrap/>
            <w:vAlign w:val="center"/>
          </w:tcPr>
          <w:p w14:paraId="12734273" w14:textId="77777777" w:rsidR="005243D8" w:rsidRPr="003D1614" w:rsidRDefault="005243D8" w:rsidP="005243D8">
            <w:pPr>
              <w:suppressAutoHyphens/>
              <w:autoSpaceDN w:val="0"/>
              <w:jc w:val="both"/>
              <w:rPr>
                <w:rFonts w:ascii="Arial" w:eastAsia="Calibri" w:hAnsi="Arial" w:cs="Arial"/>
                <w:b/>
                <w:bCs/>
                <w:color w:val="000000"/>
                <w:sz w:val="16"/>
                <w:szCs w:val="16"/>
              </w:rPr>
            </w:pPr>
            <w:r w:rsidRPr="003D1614">
              <w:rPr>
                <w:rFonts w:ascii="Arial" w:eastAsia="Calibri" w:hAnsi="Arial" w:cs="Arial"/>
                <w:b/>
                <w:bCs/>
                <w:color w:val="000000"/>
                <w:sz w:val="16"/>
                <w:szCs w:val="16"/>
              </w:rPr>
              <w:t>Ukupno</w:t>
            </w:r>
          </w:p>
        </w:tc>
        <w:tc>
          <w:tcPr>
            <w:tcW w:w="1219" w:type="dxa"/>
            <w:gridSpan w:val="2"/>
            <w:tcBorders>
              <w:top w:val="single" w:sz="12" w:space="0" w:color="auto"/>
              <w:left w:val="nil"/>
              <w:bottom w:val="single" w:sz="12" w:space="0" w:color="auto"/>
              <w:right w:val="nil"/>
            </w:tcBorders>
            <w:shd w:val="clear" w:color="auto" w:fill="auto"/>
            <w:noWrap/>
            <w:vAlign w:val="center"/>
          </w:tcPr>
          <w:p w14:paraId="6AC8EC19" w14:textId="77777777" w:rsidR="005243D8" w:rsidRPr="003D1614" w:rsidRDefault="005243D8" w:rsidP="005243D8">
            <w:pPr>
              <w:suppressAutoHyphens/>
              <w:autoSpaceDN w:val="0"/>
              <w:jc w:val="right"/>
              <w:rPr>
                <w:rFonts w:ascii="Arial" w:eastAsia="Calibri" w:hAnsi="Arial" w:cs="Arial"/>
                <w:color w:val="000000"/>
                <w:sz w:val="16"/>
                <w:szCs w:val="16"/>
              </w:rPr>
            </w:pPr>
          </w:p>
        </w:tc>
        <w:tc>
          <w:tcPr>
            <w:tcW w:w="1123" w:type="dxa"/>
            <w:tcBorders>
              <w:top w:val="single" w:sz="12" w:space="0" w:color="auto"/>
              <w:left w:val="nil"/>
              <w:bottom w:val="single" w:sz="12" w:space="0" w:color="auto"/>
              <w:right w:val="nil"/>
            </w:tcBorders>
            <w:shd w:val="clear" w:color="auto" w:fill="auto"/>
            <w:noWrap/>
            <w:vAlign w:val="center"/>
          </w:tcPr>
          <w:p w14:paraId="39166F5F" w14:textId="77777777" w:rsidR="005243D8" w:rsidRPr="003D1614" w:rsidRDefault="005243D8" w:rsidP="005243D8">
            <w:pPr>
              <w:suppressAutoHyphens/>
              <w:autoSpaceDN w:val="0"/>
              <w:jc w:val="right"/>
              <w:rPr>
                <w:rFonts w:ascii="Arial" w:eastAsia="Calibri" w:hAnsi="Arial" w:cs="Arial"/>
                <w:color w:val="000000"/>
                <w:sz w:val="16"/>
                <w:szCs w:val="16"/>
              </w:rPr>
            </w:pPr>
          </w:p>
        </w:tc>
        <w:tc>
          <w:tcPr>
            <w:tcW w:w="1197" w:type="dxa"/>
            <w:tcBorders>
              <w:top w:val="single" w:sz="12" w:space="0" w:color="auto"/>
              <w:left w:val="nil"/>
              <w:bottom w:val="single" w:sz="12" w:space="0" w:color="auto"/>
              <w:right w:val="nil"/>
            </w:tcBorders>
            <w:shd w:val="clear" w:color="auto" w:fill="auto"/>
            <w:noWrap/>
            <w:vAlign w:val="bottom"/>
          </w:tcPr>
          <w:p w14:paraId="2CBB65C1" w14:textId="77777777" w:rsidR="005243D8" w:rsidRPr="003D1614" w:rsidRDefault="005243D8" w:rsidP="005243D8">
            <w:pPr>
              <w:suppressAutoHyphens/>
              <w:autoSpaceDN w:val="0"/>
              <w:jc w:val="both"/>
              <w:rPr>
                <w:rFonts w:ascii="Arial" w:eastAsia="Calibri" w:hAnsi="Arial" w:cs="Arial"/>
                <w:color w:val="000000"/>
                <w:sz w:val="16"/>
                <w:szCs w:val="16"/>
              </w:rPr>
            </w:pPr>
          </w:p>
        </w:tc>
        <w:tc>
          <w:tcPr>
            <w:tcW w:w="1156" w:type="dxa"/>
            <w:tcBorders>
              <w:top w:val="single" w:sz="12" w:space="0" w:color="auto"/>
              <w:left w:val="nil"/>
              <w:bottom w:val="single" w:sz="12" w:space="0" w:color="auto"/>
              <w:right w:val="nil"/>
            </w:tcBorders>
            <w:vAlign w:val="bottom"/>
          </w:tcPr>
          <w:p w14:paraId="2C3B7994" w14:textId="79318E06" w:rsidR="005243D8" w:rsidRPr="003D1614" w:rsidRDefault="00634545" w:rsidP="005243D8">
            <w:pPr>
              <w:suppressAutoHyphens/>
              <w:autoSpaceDN w:val="0"/>
              <w:jc w:val="right"/>
              <w:rPr>
                <w:rFonts w:ascii="Arial" w:eastAsia="Calibri" w:hAnsi="Arial" w:cs="Arial"/>
                <w:b/>
                <w:color w:val="000000"/>
                <w:sz w:val="16"/>
                <w:szCs w:val="16"/>
              </w:rPr>
            </w:pPr>
            <w:r>
              <w:rPr>
                <w:rFonts w:ascii="Arial" w:eastAsia="Calibri" w:hAnsi="Arial" w:cs="Arial"/>
                <w:b/>
                <w:color w:val="000000"/>
                <w:sz w:val="16"/>
                <w:szCs w:val="16"/>
              </w:rPr>
              <w:t>245.890</w:t>
            </w:r>
          </w:p>
        </w:tc>
        <w:tc>
          <w:tcPr>
            <w:tcW w:w="1156" w:type="dxa"/>
            <w:tcBorders>
              <w:top w:val="single" w:sz="12" w:space="0" w:color="auto"/>
              <w:left w:val="nil"/>
              <w:bottom w:val="single" w:sz="12" w:space="0" w:color="auto"/>
              <w:right w:val="nil"/>
            </w:tcBorders>
            <w:vAlign w:val="bottom"/>
          </w:tcPr>
          <w:p w14:paraId="00B3DBCA" w14:textId="46671133" w:rsidR="005243D8" w:rsidRPr="003D1614" w:rsidRDefault="005243D8" w:rsidP="005243D8">
            <w:pPr>
              <w:suppressAutoHyphens/>
              <w:autoSpaceDN w:val="0"/>
              <w:jc w:val="right"/>
              <w:rPr>
                <w:rFonts w:ascii="Arial" w:eastAsia="Calibri" w:hAnsi="Arial" w:cs="Arial"/>
                <w:b/>
                <w:color w:val="000000"/>
                <w:sz w:val="16"/>
                <w:szCs w:val="16"/>
              </w:rPr>
            </w:pPr>
            <w:r>
              <w:rPr>
                <w:rFonts w:ascii="Arial" w:eastAsia="Calibri" w:hAnsi="Arial" w:cs="Arial"/>
                <w:b/>
                <w:color w:val="000000"/>
                <w:sz w:val="16"/>
                <w:szCs w:val="16"/>
              </w:rPr>
              <w:t>235</w:t>
            </w:r>
            <w:r w:rsidRPr="008970F4">
              <w:rPr>
                <w:rFonts w:ascii="Arial" w:eastAsia="Calibri" w:hAnsi="Arial" w:cs="Arial"/>
                <w:b/>
                <w:color w:val="000000"/>
                <w:sz w:val="16"/>
                <w:szCs w:val="16"/>
              </w:rPr>
              <w:t>.</w:t>
            </w:r>
            <w:r>
              <w:rPr>
                <w:rFonts w:ascii="Arial" w:eastAsia="Calibri" w:hAnsi="Arial" w:cs="Arial"/>
                <w:b/>
                <w:color w:val="000000"/>
                <w:sz w:val="16"/>
                <w:szCs w:val="16"/>
              </w:rPr>
              <w:t>199</w:t>
            </w:r>
          </w:p>
        </w:tc>
        <w:tc>
          <w:tcPr>
            <w:tcW w:w="1156" w:type="dxa"/>
            <w:tcBorders>
              <w:top w:val="single" w:sz="12" w:space="0" w:color="auto"/>
              <w:left w:val="nil"/>
              <w:bottom w:val="single" w:sz="12" w:space="0" w:color="auto"/>
              <w:right w:val="nil"/>
            </w:tcBorders>
            <w:shd w:val="clear" w:color="auto" w:fill="auto"/>
            <w:vAlign w:val="bottom"/>
          </w:tcPr>
          <w:p w14:paraId="0F0390A1" w14:textId="1DD85948" w:rsidR="005243D8" w:rsidRPr="00A31F86" w:rsidRDefault="005243D8" w:rsidP="005243D8">
            <w:pPr>
              <w:suppressAutoHyphens/>
              <w:autoSpaceDN w:val="0"/>
              <w:jc w:val="right"/>
              <w:rPr>
                <w:rFonts w:ascii="Arial" w:eastAsia="Calibri" w:hAnsi="Arial" w:cs="Arial"/>
                <w:b/>
                <w:bCs/>
                <w:color w:val="000000"/>
                <w:sz w:val="16"/>
                <w:szCs w:val="16"/>
              </w:rPr>
            </w:pPr>
            <w:r>
              <w:rPr>
                <w:rFonts w:ascii="Arial" w:eastAsia="Calibri" w:hAnsi="Arial" w:cs="Arial"/>
                <w:b/>
                <w:bCs/>
                <w:color w:val="000000"/>
                <w:sz w:val="16"/>
                <w:szCs w:val="16"/>
              </w:rPr>
              <w:t>239.600</w:t>
            </w:r>
          </w:p>
        </w:tc>
        <w:tc>
          <w:tcPr>
            <w:tcW w:w="1156" w:type="dxa"/>
            <w:tcBorders>
              <w:top w:val="single" w:sz="12" w:space="0" w:color="auto"/>
              <w:left w:val="nil"/>
              <w:bottom w:val="single" w:sz="12" w:space="0" w:color="auto"/>
              <w:right w:val="nil"/>
            </w:tcBorders>
            <w:vAlign w:val="bottom"/>
          </w:tcPr>
          <w:p w14:paraId="16D02577" w14:textId="4372560F" w:rsidR="005243D8" w:rsidRPr="00A31F86" w:rsidRDefault="005243D8" w:rsidP="005243D8">
            <w:pPr>
              <w:suppressAutoHyphens/>
              <w:autoSpaceDN w:val="0"/>
              <w:jc w:val="right"/>
              <w:rPr>
                <w:rFonts w:ascii="Arial" w:eastAsia="Calibri" w:hAnsi="Arial" w:cs="Arial"/>
                <w:b/>
                <w:bCs/>
                <w:color w:val="000000"/>
                <w:sz w:val="16"/>
                <w:szCs w:val="16"/>
              </w:rPr>
            </w:pPr>
            <w:r>
              <w:rPr>
                <w:rFonts w:ascii="Arial" w:hAnsi="Arial" w:cs="Arial"/>
                <w:b/>
                <w:bCs/>
                <w:sz w:val="16"/>
                <w:szCs w:val="16"/>
              </w:rPr>
              <w:t>228</w:t>
            </w:r>
            <w:r w:rsidRPr="00A31F86">
              <w:rPr>
                <w:rFonts w:ascii="Arial" w:hAnsi="Arial" w:cs="Arial"/>
                <w:b/>
                <w:bCs/>
                <w:sz w:val="16"/>
                <w:szCs w:val="16"/>
              </w:rPr>
              <w:t>.</w:t>
            </w:r>
            <w:r>
              <w:rPr>
                <w:rFonts w:ascii="Arial" w:hAnsi="Arial" w:cs="Arial"/>
                <w:b/>
                <w:bCs/>
                <w:sz w:val="16"/>
                <w:szCs w:val="16"/>
              </w:rPr>
              <w:t>858</w:t>
            </w:r>
          </w:p>
        </w:tc>
      </w:tr>
    </w:tbl>
    <w:p w14:paraId="15EC2279" w14:textId="15AA7D9B" w:rsidR="001B247D" w:rsidRPr="003D1614" w:rsidRDefault="001B247D" w:rsidP="001B247D">
      <w:pPr>
        <w:suppressAutoHyphens/>
        <w:autoSpaceDN w:val="0"/>
        <w:jc w:val="both"/>
        <w:outlineLvl w:val="0"/>
        <w:rPr>
          <w:rFonts w:ascii="Arial" w:eastAsia="Calibri" w:hAnsi="Arial" w:cs="Arial"/>
          <w:bCs/>
          <w:color w:val="000000" w:themeColor="text1"/>
          <w:sz w:val="20"/>
          <w:szCs w:val="20"/>
        </w:rPr>
      </w:pPr>
    </w:p>
    <w:p w14:paraId="74932043" w14:textId="77777777" w:rsidR="001B247D" w:rsidRPr="003D1614" w:rsidRDefault="001B247D" w:rsidP="001B247D">
      <w:pPr>
        <w:suppressAutoHyphens/>
        <w:autoSpaceDN w:val="0"/>
        <w:jc w:val="both"/>
        <w:outlineLvl w:val="0"/>
        <w:rPr>
          <w:rFonts w:ascii="Arial" w:eastAsia="Calibri" w:hAnsi="Arial" w:cs="Arial"/>
          <w:bCs/>
          <w:color w:val="000000" w:themeColor="text1"/>
          <w:sz w:val="20"/>
          <w:szCs w:val="20"/>
        </w:rPr>
        <w:sectPr w:rsidR="001B247D" w:rsidRPr="003D1614">
          <w:pgSz w:w="11906" w:h="16838"/>
          <w:pgMar w:top="1417" w:right="1417" w:bottom="1417" w:left="1417" w:header="708" w:footer="708" w:gutter="0"/>
          <w:cols w:space="708"/>
          <w:docGrid w:linePitch="360"/>
        </w:sectPr>
      </w:pPr>
    </w:p>
    <w:p w14:paraId="602A8BBA" w14:textId="77777777" w:rsidR="001B247D" w:rsidRPr="003D1614" w:rsidRDefault="001B247D" w:rsidP="001B247D">
      <w:pPr>
        <w:keepNext/>
        <w:tabs>
          <w:tab w:val="left" w:pos="567"/>
        </w:tabs>
        <w:suppressAutoHyphens/>
        <w:autoSpaceDN w:val="0"/>
        <w:jc w:val="both"/>
        <w:outlineLvl w:val="0"/>
        <w:rPr>
          <w:rFonts w:ascii="Arial" w:eastAsia="Times New Roman" w:hAnsi="Arial" w:cs="Arial"/>
          <w:b/>
          <w:bCs/>
          <w:color w:val="000000" w:themeColor="text1"/>
        </w:rPr>
      </w:pPr>
    </w:p>
    <w:p w14:paraId="5B3F5182" w14:textId="648B59A7" w:rsidR="001B247D" w:rsidRPr="003D1614" w:rsidRDefault="00D004B1" w:rsidP="001B247D">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3D1614">
        <w:rPr>
          <w:rFonts w:ascii="Arial" w:eastAsia="Times New Roman" w:hAnsi="Arial" w:cs="Arial"/>
          <w:b/>
          <w:bCs/>
          <w:color w:val="000000" w:themeColor="text1"/>
          <w:sz w:val="20"/>
          <w:szCs w:val="20"/>
        </w:rPr>
        <w:t>5</w:t>
      </w:r>
      <w:r w:rsidR="001B247D" w:rsidRPr="003D1614">
        <w:rPr>
          <w:rFonts w:ascii="Arial" w:eastAsia="Times New Roman" w:hAnsi="Arial" w:cs="Arial"/>
          <w:b/>
          <w:bCs/>
          <w:color w:val="000000" w:themeColor="text1"/>
          <w:sz w:val="20"/>
          <w:szCs w:val="20"/>
        </w:rPr>
        <w:t>.</w:t>
      </w:r>
      <w:r w:rsidR="001B247D" w:rsidRPr="003D1614">
        <w:rPr>
          <w:rFonts w:ascii="Arial" w:eastAsia="Times New Roman" w:hAnsi="Arial" w:cs="Arial"/>
          <w:b/>
          <w:bCs/>
          <w:color w:val="000000" w:themeColor="text1"/>
          <w:sz w:val="20"/>
          <w:szCs w:val="20"/>
        </w:rPr>
        <w:tab/>
        <w:t>Preuzeta imovina</w:t>
      </w:r>
    </w:p>
    <w:p w14:paraId="2726DA7E" w14:textId="77777777" w:rsidR="001B247D" w:rsidRPr="003D1614" w:rsidRDefault="001B247D" w:rsidP="001B247D">
      <w:pPr>
        <w:keepNext/>
        <w:suppressAutoHyphens/>
        <w:autoSpaceDN w:val="0"/>
        <w:jc w:val="both"/>
        <w:outlineLvl w:val="0"/>
        <w:rPr>
          <w:rFonts w:ascii="Arial" w:eastAsia="Times New Roman" w:hAnsi="Arial" w:cs="Arial"/>
          <w:b/>
          <w:bCs/>
          <w:color w:val="000000" w:themeColor="text1"/>
          <w:sz w:val="20"/>
          <w:szCs w:val="20"/>
        </w:rPr>
      </w:pPr>
    </w:p>
    <w:tbl>
      <w:tblPr>
        <w:tblW w:w="4968" w:type="pct"/>
        <w:tblLayout w:type="fixed"/>
        <w:tblCellMar>
          <w:left w:w="119" w:type="dxa"/>
          <w:right w:w="119" w:type="dxa"/>
        </w:tblCellMar>
        <w:tblLook w:val="0000" w:firstRow="0" w:lastRow="0" w:firstColumn="0" w:lastColumn="0" w:noHBand="0" w:noVBand="0"/>
      </w:tblPr>
      <w:tblGrid>
        <w:gridCol w:w="4932"/>
        <w:gridCol w:w="2043"/>
        <w:gridCol w:w="2039"/>
      </w:tblGrid>
      <w:tr w:rsidR="00737443" w:rsidRPr="003D1614" w14:paraId="54BD7008" w14:textId="77777777" w:rsidTr="00737443">
        <w:trPr>
          <w:trHeight w:val="240"/>
        </w:trPr>
        <w:tc>
          <w:tcPr>
            <w:tcW w:w="2736" w:type="pct"/>
            <w:vAlign w:val="bottom"/>
          </w:tcPr>
          <w:p w14:paraId="1898EDB1" w14:textId="77777777" w:rsidR="001B247D" w:rsidRPr="003D1614" w:rsidRDefault="001B247D" w:rsidP="001B247D">
            <w:pPr>
              <w:tabs>
                <w:tab w:val="left" w:pos="-720"/>
              </w:tabs>
              <w:suppressAutoHyphens/>
              <w:autoSpaceDN w:val="0"/>
              <w:rPr>
                <w:rFonts w:ascii="Arial" w:eastAsia="Times New Roman" w:hAnsi="Arial" w:cs="Arial"/>
                <w:color w:val="000000" w:themeColor="text1"/>
                <w:spacing w:val="-2"/>
                <w:sz w:val="20"/>
                <w:szCs w:val="20"/>
              </w:rPr>
            </w:pPr>
          </w:p>
        </w:tc>
        <w:tc>
          <w:tcPr>
            <w:tcW w:w="2264" w:type="pct"/>
            <w:gridSpan w:val="2"/>
            <w:vAlign w:val="bottom"/>
          </w:tcPr>
          <w:p w14:paraId="3DE35194" w14:textId="77777777" w:rsidR="001B247D" w:rsidRPr="003D1614" w:rsidRDefault="001B247D"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16" w:name="_Toc67328609"/>
            <w:r w:rsidRPr="003D1614">
              <w:rPr>
                <w:rFonts w:ascii="Arial" w:eastAsia="Times New Roman" w:hAnsi="Arial" w:cs="Arial"/>
                <w:b/>
                <w:color w:val="000000" w:themeColor="text1"/>
                <w:sz w:val="20"/>
                <w:szCs w:val="20"/>
              </w:rPr>
              <w:t>Grupa i Banka</w:t>
            </w:r>
            <w:bookmarkEnd w:id="416"/>
          </w:p>
        </w:tc>
      </w:tr>
      <w:tr w:rsidR="00737443" w:rsidRPr="003D1614" w14:paraId="64178E64" w14:textId="77777777" w:rsidTr="00737443">
        <w:trPr>
          <w:trHeight w:val="587"/>
        </w:trPr>
        <w:tc>
          <w:tcPr>
            <w:tcW w:w="2736" w:type="pct"/>
            <w:vAlign w:val="bottom"/>
          </w:tcPr>
          <w:p w14:paraId="027FD7E0" w14:textId="77777777" w:rsidR="001B247D" w:rsidRPr="003D1614" w:rsidRDefault="001B247D" w:rsidP="001B247D">
            <w:pPr>
              <w:tabs>
                <w:tab w:val="left" w:pos="-720"/>
              </w:tabs>
              <w:suppressAutoHyphens/>
              <w:autoSpaceDN w:val="0"/>
              <w:rPr>
                <w:rFonts w:ascii="Arial" w:eastAsia="Times New Roman" w:hAnsi="Arial" w:cs="Arial"/>
                <w:color w:val="000000" w:themeColor="text1"/>
                <w:spacing w:val="-2"/>
                <w:sz w:val="20"/>
                <w:szCs w:val="20"/>
              </w:rPr>
            </w:pPr>
          </w:p>
        </w:tc>
        <w:tc>
          <w:tcPr>
            <w:tcW w:w="1133" w:type="pct"/>
            <w:vAlign w:val="bottom"/>
          </w:tcPr>
          <w:p w14:paraId="7D894E3D" w14:textId="0B94075A" w:rsidR="001B247D" w:rsidRPr="003D1614" w:rsidRDefault="001B247D"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17" w:name="_Toc67328610"/>
            <w:r w:rsidRPr="003D1614">
              <w:rPr>
                <w:rFonts w:ascii="Arial" w:eastAsia="Times New Roman" w:hAnsi="Arial" w:cs="Arial"/>
                <w:b/>
                <w:color w:val="000000" w:themeColor="text1"/>
                <w:sz w:val="20"/>
                <w:szCs w:val="20"/>
              </w:rPr>
              <w:t>31. ožujka</w:t>
            </w:r>
          </w:p>
          <w:p w14:paraId="178B7E44" w14:textId="1C6032E2" w:rsidR="001B247D" w:rsidRPr="003D1614" w:rsidRDefault="001B247D"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 xml:space="preserve"> 202</w:t>
            </w:r>
            <w:r w:rsidR="00BD7974">
              <w:rPr>
                <w:rFonts w:ascii="Arial" w:eastAsia="Times New Roman" w:hAnsi="Arial" w:cs="Arial"/>
                <w:b/>
                <w:color w:val="000000" w:themeColor="text1"/>
                <w:sz w:val="20"/>
                <w:szCs w:val="20"/>
              </w:rPr>
              <w:t>4</w:t>
            </w:r>
            <w:r w:rsidRPr="003D1614">
              <w:rPr>
                <w:rFonts w:ascii="Arial" w:eastAsia="Times New Roman" w:hAnsi="Arial" w:cs="Arial"/>
                <w:b/>
                <w:color w:val="000000" w:themeColor="text1"/>
                <w:sz w:val="20"/>
                <w:szCs w:val="20"/>
              </w:rPr>
              <w:t>.</w:t>
            </w:r>
            <w:bookmarkEnd w:id="417"/>
          </w:p>
        </w:tc>
        <w:tc>
          <w:tcPr>
            <w:tcW w:w="1131" w:type="pct"/>
            <w:vAlign w:val="bottom"/>
          </w:tcPr>
          <w:p w14:paraId="5D77A3BC" w14:textId="77777777" w:rsidR="001B247D" w:rsidRPr="003D1614" w:rsidRDefault="001B247D"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18" w:name="_Toc67328611"/>
            <w:r w:rsidRPr="003D1614">
              <w:rPr>
                <w:rFonts w:ascii="Arial" w:eastAsia="Times New Roman" w:hAnsi="Arial" w:cs="Arial"/>
                <w:b/>
                <w:color w:val="000000" w:themeColor="text1"/>
                <w:sz w:val="20"/>
                <w:szCs w:val="20"/>
              </w:rPr>
              <w:t>31. prosinca</w:t>
            </w:r>
          </w:p>
          <w:p w14:paraId="51D14381" w14:textId="07F4C61F" w:rsidR="001B247D" w:rsidRPr="003D1614" w:rsidRDefault="001B247D"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 xml:space="preserve"> 202</w:t>
            </w:r>
            <w:r w:rsidR="00BD7974">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w:t>
            </w:r>
            <w:bookmarkEnd w:id="418"/>
          </w:p>
        </w:tc>
      </w:tr>
      <w:tr w:rsidR="00737443" w:rsidRPr="003D1614" w14:paraId="3FB85953" w14:textId="77777777" w:rsidTr="00737443">
        <w:trPr>
          <w:trHeight w:val="227"/>
        </w:trPr>
        <w:tc>
          <w:tcPr>
            <w:tcW w:w="2736" w:type="pct"/>
            <w:vAlign w:val="bottom"/>
          </w:tcPr>
          <w:p w14:paraId="76BE8D0F" w14:textId="77777777" w:rsidR="001B247D" w:rsidRPr="003D1614" w:rsidRDefault="001B247D" w:rsidP="001B247D">
            <w:pPr>
              <w:tabs>
                <w:tab w:val="left" w:pos="-720"/>
              </w:tabs>
              <w:suppressAutoHyphens/>
              <w:autoSpaceDN w:val="0"/>
              <w:rPr>
                <w:rFonts w:ascii="Arial" w:eastAsia="Times New Roman" w:hAnsi="Arial" w:cs="Arial"/>
                <w:color w:val="000000" w:themeColor="text1"/>
                <w:spacing w:val="-2"/>
                <w:sz w:val="20"/>
                <w:szCs w:val="20"/>
              </w:rPr>
            </w:pPr>
          </w:p>
        </w:tc>
        <w:tc>
          <w:tcPr>
            <w:tcW w:w="1133" w:type="pct"/>
            <w:vAlign w:val="bottom"/>
          </w:tcPr>
          <w:p w14:paraId="07366686" w14:textId="15DB5587" w:rsidR="001B247D" w:rsidRPr="003D1614" w:rsidRDefault="001B247D"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19" w:name="_Toc67328612"/>
            <w:r w:rsidRPr="003D1614">
              <w:rPr>
                <w:rFonts w:ascii="Arial" w:eastAsia="Times New Roman" w:hAnsi="Arial" w:cs="Arial"/>
                <w:b/>
                <w:color w:val="000000" w:themeColor="text1"/>
                <w:sz w:val="20"/>
                <w:szCs w:val="20"/>
              </w:rPr>
              <w:t xml:space="preserve">000 </w:t>
            </w:r>
            <w:bookmarkEnd w:id="419"/>
            <w:r w:rsidRPr="003D1614">
              <w:rPr>
                <w:rFonts w:ascii="Arial" w:eastAsia="Times New Roman" w:hAnsi="Arial" w:cs="Arial"/>
                <w:b/>
                <w:color w:val="000000" w:themeColor="text1"/>
                <w:sz w:val="20"/>
                <w:szCs w:val="20"/>
              </w:rPr>
              <w:t>eura</w:t>
            </w:r>
          </w:p>
        </w:tc>
        <w:tc>
          <w:tcPr>
            <w:tcW w:w="1131" w:type="pct"/>
            <w:vAlign w:val="bottom"/>
          </w:tcPr>
          <w:p w14:paraId="4D07CFB6" w14:textId="419DFCF6" w:rsidR="001B247D" w:rsidRPr="003D1614" w:rsidRDefault="001B247D" w:rsidP="001B247D">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20" w:name="_Toc67328613"/>
            <w:r w:rsidRPr="003D1614">
              <w:rPr>
                <w:rFonts w:ascii="Arial" w:eastAsia="Times New Roman" w:hAnsi="Arial" w:cs="Arial"/>
                <w:b/>
                <w:color w:val="000000" w:themeColor="text1"/>
                <w:sz w:val="20"/>
                <w:szCs w:val="20"/>
              </w:rPr>
              <w:t xml:space="preserve">000 </w:t>
            </w:r>
            <w:bookmarkEnd w:id="420"/>
            <w:r w:rsidRPr="003D1614">
              <w:rPr>
                <w:rFonts w:ascii="Arial" w:eastAsia="Times New Roman" w:hAnsi="Arial" w:cs="Arial"/>
                <w:b/>
                <w:color w:val="000000" w:themeColor="text1"/>
                <w:sz w:val="20"/>
                <w:szCs w:val="20"/>
              </w:rPr>
              <w:t>eura</w:t>
            </w:r>
          </w:p>
        </w:tc>
      </w:tr>
      <w:tr w:rsidR="00737443" w:rsidRPr="003D1614" w14:paraId="53B81E15" w14:textId="77777777" w:rsidTr="00737443">
        <w:trPr>
          <w:trHeight w:hRule="exact" w:val="113"/>
        </w:trPr>
        <w:tc>
          <w:tcPr>
            <w:tcW w:w="2736" w:type="pct"/>
            <w:vAlign w:val="bottom"/>
          </w:tcPr>
          <w:p w14:paraId="1E47A7AF" w14:textId="77777777" w:rsidR="001B247D" w:rsidRPr="003D1614" w:rsidRDefault="001B247D" w:rsidP="001B247D">
            <w:pPr>
              <w:tabs>
                <w:tab w:val="left" w:pos="-720"/>
              </w:tabs>
              <w:suppressAutoHyphens/>
              <w:autoSpaceDN w:val="0"/>
              <w:rPr>
                <w:rFonts w:ascii="Arial" w:eastAsia="Times New Roman" w:hAnsi="Arial" w:cs="Arial"/>
                <w:color w:val="000000" w:themeColor="text1"/>
                <w:spacing w:val="-2"/>
                <w:sz w:val="20"/>
                <w:szCs w:val="20"/>
              </w:rPr>
            </w:pPr>
          </w:p>
        </w:tc>
        <w:tc>
          <w:tcPr>
            <w:tcW w:w="1133" w:type="pct"/>
            <w:vAlign w:val="bottom"/>
          </w:tcPr>
          <w:p w14:paraId="3DF8B8F2" w14:textId="77777777" w:rsidR="001B247D" w:rsidRPr="003D1614" w:rsidRDefault="001B247D" w:rsidP="001B247D">
            <w:pPr>
              <w:tabs>
                <w:tab w:val="left" w:pos="-720"/>
              </w:tabs>
              <w:suppressAutoHyphens/>
              <w:autoSpaceDN w:val="0"/>
              <w:jc w:val="right"/>
              <w:rPr>
                <w:rFonts w:ascii="Arial" w:eastAsia="Times New Roman" w:hAnsi="Arial" w:cs="Arial"/>
                <w:b/>
                <w:color w:val="000000" w:themeColor="text1"/>
                <w:spacing w:val="-2"/>
                <w:sz w:val="20"/>
                <w:szCs w:val="20"/>
              </w:rPr>
            </w:pPr>
          </w:p>
        </w:tc>
        <w:tc>
          <w:tcPr>
            <w:tcW w:w="1131" w:type="pct"/>
            <w:vAlign w:val="bottom"/>
          </w:tcPr>
          <w:p w14:paraId="09DBE3A0" w14:textId="77777777" w:rsidR="001B247D" w:rsidRPr="003D1614" w:rsidRDefault="001B247D" w:rsidP="001B247D">
            <w:pPr>
              <w:tabs>
                <w:tab w:val="left" w:pos="-720"/>
              </w:tabs>
              <w:suppressAutoHyphens/>
              <w:autoSpaceDN w:val="0"/>
              <w:jc w:val="right"/>
              <w:rPr>
                <w:rFonts w:ascii="Arial" w:eastAsia="Times New Roman" w:hAnsi="Arial" w:cs="Arial"/>
                <w:b/>
                <w:color w:val="000000" w:themeColor="text1"/>
                <w:spacing w:val="-2"/>
                <w:sz w:val="20"/>
                <w:szCs w:val="20"/>
              </w:rPr>
            </w:pPr>
          </w:p>
        </w:tc>
      </w:tr>
      <w:tr w:rsidR="00125A6A" w:rsidRPr="003D1614" w14:paraId="1FFAF553" w14:textId="77777777" w:rsidTr="00E45A3C">
        <w:trPr>
          <w:trHeight w:val="263"/>
        </w:trPr>
        <w:tc>
          <w:tcPr>
            <w:tcW w:w="2736" w:type="pct"/>
            <w:vAlign w:val="bottom"/>
          </w:tcPr>
          <w:p w14:paraId="5966E4DE" w14:textId="77777777" w:rsidR="00125A6A" w:rsidRPr="003D1614" w:rsidRDefault="00125A6A" w:rsidP="00125A6A">
            <w:pPr>
              <w:tabs>
                <w:tab w:val="right" w:pos="1202"/>
              </w:tabs>
              <w:suppressAutoHyphens/>
              <w:autoSpaceDN w:val="0"/>
              <w:spacing w:line="301" w:lineRule="exact"/>
              <w:ind w:left="300"/>
              <w:outlineLvl w:val="0"/>
              <w:rPr>
                <w:rFonts w:ascii="Arial" w:eastAsia="Times New Roman" w:hAnsi="Arial" w:cs="Arial"/>
                <w:color w:val="000000" w:themeColor="text1"/>
                <w:sz w:val="20"/>
                <w:szCs w:val="20"/>
              </w:rPr>
            </w:pPr>
            <w:bookmarkStart w:id="421" w:name="_Toc67328614"/>
            <w:r w:rsidRPr="003D1614">
              <w:rPr>
                <w:rFonts w:ascii="Arial" w:eastAsia="Times New Roman" w:hAnsi="Arial" w:cs="Arial"/>
                <w:color w:val="000000" w:themeColor="text1"/>
                <w:sz w:val="20"/>
                <w:szCs w:val="20"/>
              </w:rPr>
              <w:t>Preuzeta imovina, neto</w:t>
            </w:r>
            <w:bookmarkEnd w:id="421"/>
          </w:p>
        </w:tc>
        <w:tc>
          <w:tcPr>
            <w:tcW w:w="1133" w:type="pct"/>
            <w:tcBorders>
              <w:bottom w:val="single" w:sz="2" w:space="0" w:color="auto"/>
            </w:tcBorders>
            <w:vAlign w:val="bottom"/>
          </w:tcPr>
          <w:p w14:paraId="5B66FF4D" w14:textId="37DFF3B6" w:rsidR="00125A6A" w:rsidRPr="001C7133" w:rsidRDefault="00307561" w:rsidP="00125A6A">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2.141</w:t>
            </w:r>
          </w:p>
        </w:tc>
        <w:tc>
          <w:tcPr>
            <w:tcW w:w="1131" w:type="pct"/>
            <w:tcBorders>
              <w:bottom w:val="single" w:sz="2" w:space="0" w:color="auto"/>
            </w:tcBorders>
            <w:vAlign w:val="bottom"/>
          </w:tcPr>
          <w:p w14:paraId="195D00F8" w14:textId="6370A6B0" w:rsidR="00125A6A" w:rsidRPr="00125A6A" w:rsidRDefault="00125A6A" w:rsidP="00125A6A">
            <w:pPr>
              <w:suppressAutoHyphens/>
              <w:autoSpaceDN w:val="0"/>
              <w:jc w:val="right"/>
              <w:rPr>
                <w:rFonts w:ascii="Arial" w:eastAsia="Times New Roman" w:hAnsi="Arial" w:cs="Arial"/>
                <w:color w:val="000000" w:themeColor="text1"/>
                <w:sz w:val="20"/>
                <w:szCs w:val="20"/>
              </w:rPr>
            </w:pPr>
            <w:r w:rsidRPr="00125A6A">
              <w:rPr>
                <w:rFonts w:ascii="Arial" w:hAnsi="Arial" w:cs="Arial"/>
                <w:color w:val="000000" w:themeColor="text1"/>
                <w:sz w:val="20"/>
                <w:szCs w:val="20"/>
              </w:rPr>
              <w:t>2.291</w:t>
            </w:r>
          </w:p>
        </w:tc>
      </w:tr>
      <w:tr w:rsidR="00125A6A" w:rsidRPr="003D1614" w14:paraId="0BB9609C" w14:textId="77777777" w:rsidTr="00E45A3C">
        <w:trPr>
          <w:trHeight w:val="299"/>
        </w:trPr>
        <w:tc>
          <w:tcPr>
            <w:tcW w:w="2736" w:type="pct"/>
            <w:vAlign w:val="bottom"/>
          </w:tcPr>
          <w:p w14:paraId="79A232B6" w14:textId="77777777" w:rsidR="00125A6A" w:rsidRPr="003D1614" w:rsidRDefault="00125A6A" w:rsidP="00125A6A">
            <w:pPr>
              <w:tabs>
                <w:tab w:val="left" w:pos="-720"/>
              </w:tabs>
              <w:suppressAutoHyphens/>
              <w:autoSpaceDN w:val="0"/>
              <w:rPr>
                <w:rFonts w:ascii="Arial" w:eastAsia="Times New Roman" w:hAnsi="Arial" w:cs="Arial"/>
                <w:b/>
                <w:bCs/>
                <w:color w:val="000000" w:themeColor="text1"/>
                <w:spacing w:val="-2"/>
                <w:sz w:val="20"/>
                <w:szCs w:val="20"/>
              </w:rPr>
            </w:pPr>
          </w:p>
        </w:tc>
        <w:tc>
          <w:tcPr>
            <w:tcW w:w="1133" w:type="pct"/>
            <w:tcBorders>
              <w:top w:val="single" w:sz="4" w:space="0" w:color="auto"/>
              <w:bottom w:val="single" w:sz="12" w:space="0" w:color="auto"/>
            </w:tcBorders>
            <w:vAlign w:val="bottom"/>
          </w:tcPr>
          <w:p w14:paraId="5E806DD8" w14:textId="512E1092" w:rsidR="00125A6A" w:rsidRPr="001C7133" w:rsidRDefault="00307561" w:rsidP="00125A6A">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2.141</w:t>
            </w:r>
          </w:p>
        </w:tc>
        <w:tc>
          <w:tcPr>
            <w:tcW w:w="1131" w:type="pct"/>
            <w:tcBorders>
              <w:top w:val="single" w:sz="4" w:space="0" w:color="auto"/>
              <w:bottom w:val="single" w:sz="12" w:space="0" w:color="auto"/>
            </w:tcBorders>
            <w:vAlign w:val="bottom"/>
          </w:tcPr>
          <w:p w14:paraId="0002EFE2" w14:textId="67C5F694" w:rsidR="00125A6A" w:rsidRPr="00125A6A" w:rsidRDefault="00125A6A" w:rsidP="00125A6A">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125A6A">
              <w:rPr>
                <w:rFonts w:ascii="Arial" w:hAnsi="Arial" w:cs="Arial"/>
                <w:b/>
                <w:bCs/>
                <w:color w:val="000000" w:themeColor="text1"/>
                <w:sz w:val="20"/>
              </w:rPr>
              <w:t>2.291</w:t>
            </w:r>
          </w:p>
        </w:tc>
      </w:tr>
    </w:tbl>
    <w:p w14:paraId="61BBFA4B" w14:textId="276F61DE" w:rsidR="001B247D" w:rsidRDefault="001B247D" w:rsidP="001B247D">
      <w:pPr>
        <w:keepNext/>
        <w:suppressAutoHyphens/>
        <w:autoSpaceDN w:val="0"/>
        <w:jc w:val="both"/>
        <w:outlineLvl w:val="0"/>
        <w:rPr>
          <w:rFonts w:ascii="Arial" w:eastAsia="Times New Roman" w:hAnsi="Arial" w:cs="Arial"/>
          <w:b/>
          <w:bCs/>
          <w:color w:val="000000" w:themeColor="text1"/>
          <w:sz w:val="20"/>
          <w:szCs w:val="20"/>
        </w:rPr>
      </w:pPr>
      <w:bookmarkStart w:id="422" w:name="_Hlk126912131"/>
    </w:p>
    <w:p w14:paraId="707D5D98" w14:textId="227533A4" w:rsidR="00AC71B1" w:rsidRPr="005D1219" w:rsidRDefault="00AC71B1" w:rsidP="00AC71B1">
      <w:pPr>
        <w:jc w:val="both"/>
        <w:rPr>
          <w:rFonts w:ascii="Arial" w:eastAsia="Times New Roman" w:hAnsi="Arial" w:cs="Arial"/>
          <w:color w:val="000000"/>
          <w:sz w:val="20"/>
          <w:szCs w:val="20"/>
          <w:lang w:eastAsia="hr-HR"/>
        </w:rPr>
      </w:pPr>
      <w:r w:rsidRPr="005D1219">
        <w:rPr>
          <w:rFonts w:ascii="Arial" w:eastAsia="Times New Roman" w:hAnsi="Arial" w:cs="Arial"/>
          <w:color w:val="000000"/>
          <w:sz w:val="20"/>
          <w:szCs w:val="20"/>
          <w:lang w:eastAsia="hr-HR"/>
        </w:rPr>
        <w:t>U izvještajnom razdoblju 202</w:t>
      </w:r>
      <w:r w:rsidR="001C09A3" w:rsidRPr="005D1219">
        <w:rPr>
          <w:rFonts w:ascii="Arial" w:eastAsia="Times New Roman" w:hAnsi="Arial" w:cs="Arial"/>
          <w:color w:val="000000"/>
          <w:sz w:val="20"/>
          <w:szCs w:val="20"/>
          <w:lang w:eastAsia="hr-HR"/>
        </w:rPr>
        <w:t>4</w:t>
      </w:r>
      <w:r w:rsidRPr="005D1219">
        <w:rPr>
          <w:rFonts w:ascii="Arial" w:eastAsia="Times New Roman" w:hAnsi="Arial" w:cs="Arial"/>
          <w:color w:val="000000"/>
          <w:sz w:val="20"/>
          <w:szCs w:val="20"/>
          <w:lang w:eastAsia="hr-HR"/>
        </w:rPr>
        <w:t>.</w:t>
      </w:r>
      <w:r w:rsidR="006554EB" w:rsidRPr="005D1219">
        <w:rPr>
          <w:rFonts w:ascii="Arial" w:eastAsia="Times New Roman" w:hAnsi="Arial" w:cs="Arial"/>
          <w:color w:val="000000"/>
          <w:sz w:val="20"/>
          <w:szCs w:val="20"/>
          <w:lang w:eastAsia="hr-HR"/>
        </w:rPr>
        <w:t xml:space="preserve"> </w:t>
      </w:r>
      <w:r w:rsidRPr="005D1219">
        <w:rPr>
          <w:rFonts w:ascii="Arial" w:eastAsia="Times New Roman" w:hAnsi="Arial" w:cs="Arial"/>
          <w:color w:val="000000"/>
          <w:sz w:val="20"/>
          <w:szCs w:val="20"/>
          <w:lang w:eastAsia="hr-HR"/>
        </w:rPr>
        <w:t xml:space="preserve">godine </w:t>
      </w:r>
      <w:r w:rsidR="001C09A3" w:rsidRPr="005D1219">
        <w:rPr>
          <w:rFonts w:ascii="Arial" w:eastAsia="Times New Roman" w:hAnsi="Arial" w:cs="Arial"/>
          <w:color w:val="000000"/>
          <w:sz w:val="20"/>
          <w:szCs w:val="20"/>
          <w:lang w:eastAsia="hr-HR"/>
        </w:rPr>
        <w:t>nije bilo</w:t>
      </w:r>
      <w:r w:rsidRPr="005D1219">
        <w:rPr>
          <w:rFonts w:ascii="Arial" w:eastAsia="Times New Roman" w:hAnsi="Arial" w:cs="Arial"/>
          <w:color w:val="000000"/>
          <w:sz w:val="20"/>
          <w:szCs w:val="20"/>
          <w:lang w:eastAsia="hr-HR"/>
        </w:rPr>
        <w:t xml:space="preserve"> preuzimanj</w:t>
      </w:r>
      <w:r w:rsidR="006554EB" w:rsidRPr="005D1219">
        <w:rPr>
          <w:rFonts w:ascii="Arial" w:eastAsia="Times New Roman" w:hAnsi="Arial" w:cs="Arial"/>
          <w:color w:val="000000"/>
          <w:sz w:val="20"/>
          <w:szCs w:val="20"/>
          <w:lang w:eastAsia="hr-HR"/>
        </w:rPr>
        <w:t>a</w:t>
      </w:r>
      <w:r w:rsidRPr="005D1219">
        <w:rPr>
          <w:rFonts w:ascii="Arial" w:eastAsia="Times New Roman" w:hAnsi="Arial" w:cs="Arial"/>
          <w:color w:val="000000"/>
          <w:sz w:val="20"/>
          <w:szCs w:val="20"/>
          <w:lang w:eastAsia="hr-HR"/>
        </w:rPr>
        <w:t xml:space="preserve"> nekretnina</w:t>
      </w:r>
      <w:r w:rsidR="00D12EF8" w:rsidRPr="005D1219">
        <w:rPr>
          <w:rFonts w:ascii="Arial" w:eastAsia="Times New Roman" w:hAnsi="Arial" w:cs="Arial"/>
          <w:color w:val="000000"/>
          <w:sz w:val="20"/>
          <w:szCs w:val="20"/>
          <w:lang w:eastAsia="hr-HR"/>
        </w:rPr>
        <w:t xml:space="preserve"> </w:t>
      </w:r>
      <w:r w:rsidRPr="005D1219">
        <w:rPr>
          <w:rFonts w:ascii="Arial" w:eastAsia="Times New Roman" w:hAnsi="Arial" w:cs="Arial"/>
          <w:color w:val="000000"/>
          <w:sz w:val="20"/>
          <w:szCs w:val="20"/>
          <w:lang w:eastAsia="hr-HR"/>
        </w:rPr>
        <w:t>(202</w:t>
      </w:r>
      <w:r w:rsidR="006554EB" w:rsidRPr="005D1219">
        <w:rPr>
          <w:rFonts w:ascii="Arial" w:eastAsia="Times New Roman" w:hAnsi="Arial" w:cs="Arial"/>
          <w:color w:val="000000"/>
          <w:sz w:val="20"/>
          <w:szCs w:val="20"/>
          <w:lang w:eastAsia="hr-HR"/>
        </w:rPr>
        <w:t>3</w:t>
      </w:r>
      <w:r w:rsidRPr="005D1219">
        <w:rPr>
          <w:rFonts w:ascii="Arial" w:eastAsia="Times New Roman" w:hAnsi="Arial" w:cs="Arial"/>
          <w:color w:val="000000"/>
          <w:sz w:val="20"/>
          <w:szCs w:val="20"/>
          <w:lang w:eastAsia="hr-HR"/>
        </w:rPr>
        <w:t xml:space="preserve">. godine obavljeno je preuzimanje nekretnina sadašnje vrijednosti </w:t>
      </w:r>
      <w:r w:rsidR="006554EB" w:rsidRPr="005D1219">
        <w:rPr>
          <w:rFonts w:ascii="Arial" w:eastAsia="Times New Roman" w:hAnsi="Arial" w:cs="Arial"/>
          <w:color w:val="000000"/>
          <w:sz w:val="20"/>
          <w:szCs w:val="20"/>
          <w:lang w:eastAsia="hr-HR"/>
        </w:rPr>
        <w:t>74</w:t>
      </w:r>
      <w:r w:rsidRPr="005D1219">
        <w:rPr>
          <w:rFonts w:ascii="Arial" w:eastAsia="Times New Roman" w:hAnsi="Arial" w:cs="Arial"/>
          <w:color w:val="000000"/>
          <w:sz w:val="20"/>
          <w:szCs w:val="20"/>
          <w:lang w:eastAsia="hr-HR"/>
        </w:rPr>
        <w:t xml:space="preserve"> tisuća eura, nabavne vrijednosti od </w:t>
      </w:r>
      <w:r w:rsidR="006554EB" w:rsidRPr="005D1219">
        <w:rPr>
          <w:rFonts w:ascii="Arial" w:eastAsia="Times New Roman" w:hAnsi="Arial" w:cs="Arial"/>
          <w:color w:val="000000"/>
          <w:sz w:val="20"/>
          <w:szCs w:val="20"/>
          <w:lang w:eastAsia="hr-HR"/>
        </w:rPr>
        <w:t>74</w:t>
      </w:r>
      <w:r w:rsidRPr="005D1219">
        <w:rPr>
          <w:rFonts w:ascii="Arial" w:eastAsia="Times New Roman" w:hAnsi="Arial" w:cs="Arial"/>
          <w:color w:val="000000"/>
          <w:sz w:val="20"/>
          <w:szCs w:val="20"/>
          <w:lang w:eastAsia="hr-HR"/>
        </w:rPr>
        <w:t xml:space="preserve"> tisuća eura i ispravka vrijednosti od 0 tisuća eura, a odnosi se na građevinske objekte). </w:t>
      </w:r>
    </w:p>
    <w:p w14:paraId="720F208F" w14:textId="77777777" w:rsidR="00AC71B1" w:rsidRPr="005D1219" w:rsidRDefault="00AC71B1" w:rsidP="00AC71B1">
      <w:pPr>
        <w:jc w:val="both"/>
        <w:rPr>
          <w:rFonts w:ascii="Arial" w:eastAsia="Times New Roman" w:hAnsi="Arial" w:cs="Arial"/>
          <w:color w:val="000000"/>
          <w:sz w:val="20"/>
          <w:szCs w:val="20"/>
          <w:lang w:eastAsia="hr-HR"/>
        </w:rPr>
      </w:pPr>
    </w:p>
    <w:p w14:paraId="3CCF4C5E" w14:textId="4035EA4B" w:rsidR="00AC71B1" w:rsidRPr="005D1219" w:rsidRDefault="00AC71B1" w:rsidP="00AC71B1">
      <w:pPr>
        <w:jc w:val="both"/>
        <w:rPr>
          <w:rFonts w:ascii="Arial" w:eastAsia="Times New Roman" w:hAnsi="Arial" w:cs="Arial"/>
          <w:color w:val="000000"/>
          <w:sz w:val="20"/>
          <w:szCs w:val="20"/>
          <w:lang w:eastAsia="hr-HR"/>
        </w:rPr>
      </w:pPr>
      <w:r w:rsidRPr="005D1219">
        <w:rPr>
          <w:rFonts w:ascii="Arial" w:eastAsia="Times New Roman" w:hAnsi="Arial" w:cs="Arial"/>
          <w:color w:val="000000"/>
          <w:sz w:val="20"/>
          <w:szCs w:val="20"/>
          <w:lang w:eastAsia="hr-HR"/>
        </w:rPr>
        <w:t xml:space="preserve">U </w:t>
      </w:r>
      <w:r w:rsidR="006554EB" w:rsidRPr="005D1219">
        <w:rPr>
          <w:rFonts w:ascii="Arial" w:eastAsia="Times New Roman" w:hAnsi="Arial" w:cs="Arial"/>
          <w:color w:val="000000"/>
          <w:sz w:val="20"/>
          <w:szCs w:val="20"/>
          <w:lang w:eastAsia="hr-HR"/>
        </w:rPr>
        <w:t>prvom kvartalu 2024. godine obavljena je</w:t>
      </w:r>
      <w:r w:rsidRPr="005D1219">
        <w:rPr>
          <w:rFonts w:ascii="Arial" w:eastAsia="Times New Roman" w:hAnsi="Arial" w:cs="Arial"/>
          <w:color w:val="000000"/>
          <w:sz w:val="20"/>
          <w:szCs w:val="20"/>
          <w:lang w:eastAsia="hr-HR"/>
        </w:rPr>
        <w:t xml:space="preserve"> prodaj</w:t>
      </w:r>
      <w:r w:rsidR="006554EB" w:rsidRPr="005D1219">
        <w:rPr>
          <w:rFonts w:ascii="Arial" w:eastAsia="Times New Roman" w:hAnsi="Arial" w:cs="Arial"/>
          <w:color w:val="000000"/>
          <w:sz w:val="20"/>
          <w:szCs w:val="20"/>
          <w:lang w:eastAsia="hr-HR"/>
        </w:rPr>
        <w:t>a</w:t>
      </w:r>
      <w:r w:rsidRPr="005D1219">
        <w:rPr>
          <w:rFonts w:ascii="Arial" w:eastAsia="Times New Roman" w:hAnsi="Arial" w:cs="Arial"/>
          <w:color w:val="000000"/>
          <w:sz w:val="20"/>
          <w:szCs w:val="20"/>
          <w:lang w:eastAsia="hr-HR"/>
        </w:rPr>
        <w:t xml:space="preserve"> preuzete imovine</w:t>
      </w:r>
      <w:r w:rsidR="006554EB" w:rsidRPr="005D1219">
        <w:rPr>
          <w:rFonts w:ascii="Arial" w:eastAsia="Times New Roman" w:hAnsi="Arial" w:cs="Arial"/>
          <w:color w:val="000000"/>
          <w:sz w:val="20"/>
          <w:szCs w:val="20"/>
          <w:lang w:eastAsia="hr-HR"/>
        </w:rPr>
        <w:t xml:space="preserve"> u iznosu sadašnje vrijednosti 150 tisuća eura, nabavne vrijednosti 218 tisuća eura i ispravka vrijednosti 6</w:t>
      </w:r>
      <w:r w:rsidR="00DD4C66">
        <w:rPr>
          <w:rFonts w:ascii="Arial" w:eastAsia="Times New Roman" w:hAnsi="Arial" w:cs="Arial"/>
          <w:color w:val="000000"/>
          <w:sz w:val="20"/>
          <w:szCs w:val="20"/>
          <w:lang w:eastAsia="hr-HR"/>
        </w:rPr>
        <w:t>8</w:t>
      </w:r>
      <w:r w:rsidR="006554EB" w:rsidRPr="005D1219">
        <w:rPr>
          <w:rFonts w:ascii="Arial" w:eastAsia="Times New Roman" w:hAnsi="Arial" w:cs="Arial"/>
          <w:color w:val="000000"/>
          <w:sz w:val="20"/>
          <w:szCs w:val="20"/>
          <w:lang w:eastAsia="hr-HR"/>
        </w:rPr>
        <w:t xml:space="preserve"> tisuća eura, a odnosi se na zemljište u iznosu od 2 tisuća eura, građevinske objekte u iznosu od 148 tisuća eura</w:t>
      </w:r>
      <w:r w:rsidRPr="005D1219">
        <w:rPr>
          <w:rFonts w:ascii="Arial" w:eastAsia="Times New Roman" w:hAnsi="Arial" w:cs="Arial"/>
          <w:color w:val="000000"/>
          <w:sz w:val="20"/>
          <w:szCs w:val="20"/>
          <w:lang w:eastAsia="hr-HR"/>
        </w:rPr>
        <w:t xml:space="preserve">  (202</w:t>
      </w:r>
      <w:r w:rsidR="006554EB" w:rsidRPr="005D1219">
        <w:rPr>
          <w:rFonts w:ascii="Arial" w:eastAsia="Times New Roman" w:hAnsi="Arial" w:cs="Arial"/>
          <w:color w:val="000000"/>
          <w:sz w:val="20"/>
          <w:szCs w:val="20"/>
          <w:lang w:eastAsia="hr-HR"/>
        </w:rPr>
        <w:t>3</w:t>
      </w:r>
      <w:r w:rsidRPr="005D1219">
        <w:rPr>
          <w:rFonts w:ascii="Arial" w:eastAsia="Times New Roman" w:hAnsi="Arial" w:cs="Arial"/>
          <w:color w:val="000000"/>
          <w:sz w:val="20"/>
          <w:szCs w:val="20"/>
          <w:lang w:eastAsia="hr-HR"/>
        </w:rPr>
        <w:t xml:space="preserve">. godine obavljena je prodaja preuzete imovine u iznosu sadašnje vrijednosti </w:t>
      </w:r>
      <w:r w:rsidR="006554EB" w:rsidRPr="005D1219">
        <w:rPr>
          <w:rFonts w:ascii="Arial" w:eastAsia="Times New Roman" w:hAnsi="Arial" w:cs="Arial"/>
          <w:color w:val="000000"/>
          <w:sz w:val="20"/>
          <w:szCs w:val="20"/>
          <w:lang w:eastAsia="hr-HR"/>
        </w:rPr>
        <w:t>892</w:t>
      </w:r>
      <w:r w:rsidRPr="005D1219">
        <w:rPr>
          <w:rFonts w:ascii="Arial" w:eastAsia="Times New Roman" w:hAnsi="Arial" w:cs="Arial"/>
          <w:color w:val="000000"/>
          <w:sz w:val="20"/>
          <w:szCs w:val="20"/>
          <w:lang w:eastAsia="hr-HR"/>
        </w:rPr>
        <w:t xml:space="preserve"> tisuća eura, nabavne vrijednosti 1</w:t>
      </w:r>
      <w:r w:rsidR="006554EB" w:rsidRPr="005D1219">
        <w:rPr>
          <w:rFonts w:ascii="Arial" w:eastAsia="Times New Roman" w:hAnsi="Arial" w:cs="Arial"/>
          <w:color w:val="000000"/>
          <w:sz w:val="20"/>
          <w:szCs w:val="20"/>
          <w:lang w:eastAsia="hr-HR"/>
        </w:rPr>
        <w:t>.536</w:t>
      </w:r>
      <w:r w:rsidRPr="005D1219">
        <w:rPr>
          <w:rFonts w:ascii="Arial" w:eastAsia="Times New Roman" w:hAnsi="Arial" w:cs="Arial"/>
          <w:color w:val="000000"/>
          <w:sz w:val="20"/>
          <w:szCs w:val="20"/>
          <w:lang w:eastAsia="hr-HR"/>
        </w:rPr>
        <w:t xml:space="preserve"> tisuća eura i ispravka vrijednosti </w:t>
      </w:r>
      <w:r w:rsidR="006554EB" w:rsidRPr="005D1219">
        <w:rPr>
          <w:rFonts w:ascii="Arial" w:eastAsia="Times New Roman" w:hAnsi="Arial" w:cs="Arial"/>
          <w:color w:val="000000"/>
          <w:sz w:val="20"/>
          <w:szCs w:val="20"/>
          <w:lang w:eastAsia="hr-HR"/>
        </w:rPr>
        <w:t xml:space="preserve">644 </w:t>
      </w:r>
      <w:r w:rsidRPr="005D1219">
        <w:rPr>
          <w:rFonts w:ascii="Arial" w:eastAsia="Times New Roman" w:hAnsi="Arial" w:cs="Arial"/>
          <w:color w:val="000000"/>
          <w:sz w:val="20"/>
          <w:szCs w:val="20"/>
          <w:lang w:eastAsia="hr-HR"/>
        </w:rPr>
        <w:t xml:space="preserve">tisuća eura, a odnosi se na zemljište u iznosu od </w:t>
      </w:r>
      <w:r w:rsidR="006554EB" w:rsidRPr="005D1219">
        <w:rPr>
          <w:rFonts w:ascii="Arial" w:eastAsia="Times New Roman" w:hAnsi="Arial" w:cs="Arial"/>
          <w:color w:val="000000"/>
          <w:sz w:val="20"/>
          <w:szCs w:val="20"/>
          <w:lang w:eastAsia="hr-HR"/>
        </w:rPr>
        <w:t>836</w:t>
      </w:r>
      <w:r w:rsidRPr="005D1219">
        <w:rPr>
          <w:rFonts w:ascii="Arial" w:eastAsia="Times New Roman" w:hAnsi="Arial" w:cs="Arial"/>
          <w:color w:val="000000"/>
          <w:sz w:val="20"/>
          <w:szCs w:val="20"/>
          <w:lang w:eastAsia="hr-HR"/>
        </w:rPr>
        <w:t xml:space="preserve"> tisuća eura</w:t>
      </w:r>
      <w:r w:rsidR="006554EB" w:rsidRPr="005D1219">
        <w:rPr>
          <w:rFonts w:ascii="Arial" w:eastAsia="Times New Roman" w:hAnsi="Arial" w:cs="Arial"/>
          <w:color w:val="000000"/>
          <w:sz w:val="20"/>
          <w:szCs w:val="20"/>
          <w:lang w:eastAsia="hr-HR"/>
        </w:rPr>
        <w:t>, građevinske objekte u iznosu od 27 tisuća eura i</w:t>
      </w:r>
      <w:r w:rsidRPr="005D1219">
        <w:rPr>
          <w:rFonts w:ascii="Arial" w:eastAsia="Times New Roman" w:hAnsi="Arial" w:cs="Arial"/>
          <w:color w:val="000000"/>
          <w:sz w:val="20"/>
          <w:szCs w:val="20"/>
          <w:lang w:eastAsia="hr-HR"/>
        </w:rPr>
        <w:t xml:space="preserve"> stambene objekte u iznosu 2</w:t>
      </w:r>
      <w:r w:rsidR="006554EB" w:rsidRPr="005D1219">
        <w:rPr>
          <w:rFonts w:ascii="Arial" w:eastAsia="Times New Roman" w:hAnsi="Arial" w:cs="Arial"/>
          <w:color w:val="000000"/>
          <w:sz w:val="20"/>
          <w:szCs w:val="20"/>
          <w:lang w:eastAsia="hr-HR"/>
        </w:rPr>
        <w:t>9</w:t>
      </w:r>
      <w:r w:rsidRPr="005D1219">
        <w:rPr>
          <w:rFonts w:ascii="Arial" w:eastAsia="Times New Roman" w:hAnsi="Arial" w:cs="Arial"/>
          <w:color w:val="000000"/>
          <w:sz w:val="20"/>
          <w:szCs w:val="20"/>
          <w:lang w:eastAsia="hr-HR"/>
        </w:rPr>
        <w:t xml:space="preserve"> tisuć</w:t>
      </w:r>
      <w:r w:rsidR="006554EB" w:rsidRPr="005D1219">
        <w:rPr>
          <w:rFonts w:ascii="Arial" w:eastAsia="Times New Roman" w:hAnsi="Arial" w:cs="Arial"/>
          <w:color w:val="000000"/>
          <w:sz w:val="20"/>
          <w:szCs w:val="20"/>
          <w:lang w:eastAsia="hr-HR"/>
        </w:rPr>
        <w:t>a</w:t>
      </w:r>
      <w:r w:rsidRPr="005D1219">
        <w:rPr>
          <w:rFonts w:ascii="Arial" w:eastAsia="Times New Roman" w:hAnsi="Arial" w:cs="Arial"/>
          <w:color w:val="000000"/>
          <w:sz w:val="20"/>
          <w:szCs w:val="20"/>
          <w:lang w:eastAsia="hr-HR"/>
        </w:rPr>
        <w:t xml:space="preserve"> eura).</w:t>
      </w:r>
    </w:p>
    <w:p w14:paraId="10A1EBDC" w14:textId="6E572887" w:rsidR="001B247D" w:rsidRPr="005D1219" w:rsidRDefault="001B247D" w:rsidP="001B247D">
      <w:pPr>
        <w:tabs>
          <w:tab w:val="left" w:pos="-1985"/>
        </w:tabs>
        <w:suppressAutoHyphens/>
        <w:autoSpaceDN w:val="0"/>
        <w:jc w:val="both"/>
        <w:rPr>
          <w:rFonts w:ascii="Arial" w:eastAsia="Times New Roman" w:hAnsi="Arial" w:cs="Arial"/>
          <w:color w:val="000000" w:themeColor="text1"/>
          <w:sz w:val="20"/>
          <w:szCs w:val="20"/>
        </w:rPr>
      </w:pPr>
    </w:p>
    <w:p w14:paraId="731FE4F6" w14:textId="3B42EAB0" w:rsidR="00AC71B1" w:rsidRPr="005D1219" w:rsidRDefault="00AC71B1" w:rsidP="00AC71B1">
      <w:pPr>
        <w:jc w:val="both"/>
        <w:rPr>
          <w:rFonts w:ascii="Arial" w:eastAsia="Times New Roman" w:hAnsi="Arial" w:cs="Arial"/>
          <w:color w:val="000000"/>
          <w:sz w:val="20"/>
          <w:szCs w:val="20"/>
          <w:lang w:eastAsia="hr-HR"/>
        </w:rPr>
      </w:pPr>
      <w:r w:rsidRPr="005D1219">
        <w:rPr>
          <w:rFonts w:ascii="Arial" w:eastAsia="Times New Roman" w:hAnsi="Arial" w:cs="Arial"/>
          <w:color w:val="000000"/>
          <w:sz w:val="20"/>
          <w:szCs w:val="20"/>
          <w:lang w:eastAsia="hr-HR"/>
        </w:rPr>
        <w:t>U 202</w:t>
      </w:r>
      <w:r w:rsidR="006554EB" w:rsidRPr="005D1219">
        <w:rPr>
          <w:rFonts w:ascii="Arial" w:eastAsia="Times New Roman" w:hAnsi="Arial" w:cs="Arial"/>
          <w:color w:val="000000"/>
          <w:sz w:val="20"/>
          <w:szCs w:val="20"/>
          <w:lang w:eastAsia="hr-HR"/>
        </w:rPr>
        <w:t>4</w:t>
      </w:r>
      <w:r w:rsidRPr="005D1219">
        <w:rPr>
          <w:rFonts w:ascii="Arial" w:eastAsia="Times New Roman" w:hAnsi="Arial" w:cs="Arial"/>
          <w:color w:val="000000"/>
          <w:sz w:val="20"/>
          <w:szCs w:val="20"/>
          <w:lang w:eastAsia="hr-HR"/>
        </w:rPr>
        <w:t>. godin</w:t>
      </w:r>
      <w:r w:rsidR="006554EB" w:rsidRPr="005D1219">
        <w:rPr>
          <w:rFonts w:ascii="Arial" w:eastAsia="Times New Roman" w:hAnsi="Arial" w:cs="Arial"/>
          <w:color w:val="000000"/>
          <w:sz w:val="20"/>
          <w:szCs w:val="20"/>
          <w:lang w:eastAsia="hr-HR"/>
        </w:rPr>
        <w:t>i</w:t>
      </w:r>
      <w:r w:rsidRPr="005D1219">
        <w:rPr>
          <w:rFonts w:ascii="Arial" w:eastAsia="Times New Roman" w:hAnsi="Arial" w:cs="Arial"/>
          <w:color w:val="000000"/>
          <w:sz w:val="20"/>
          <w:szCs w:val="20"/>
          <w:lang w:eastAsia="hr-HR"/>
        </w:rPr>
        <w:t xml:space="preserve"> obavljen je prijenos preuzete imovine u najam, na poziciju Ulaganje u nekretnine, u visini od </w:t>
      </w:r>
      <w:r w:rsidR="006554EB" w:rsidRPr="005D1219">
        <w:rPr>
          <w:rFonts w:ascii="Arial" w:eastAsia="Times New Roman" w:hAnsi="Arial" w:cs="Arial"/>
          <w:color w:val="000000"/>
          <w:sz w:val="20"/>
          <w:szCs w:val="20"/>
          <w:lang w:eastAsia="hr-HR"/>
        </w:rPr>
        <w:t xml:space="preserve">138 </w:t>
      </w:r>
      <w:r w:rsidRPr="005D1219">
        <w:rPr>
          <w:rFonts w:ascii="Arial" w:eastAsia="Times New Roman" w:hAnsi="Arial" w:cs="Arial"/>
          <w:color w:val="000000"/>
          <w:sz w:val="20"/>
          <w:szCs w:val="20"/>
          <w:lang w:eastAsia="hr-HR"/>
        </w:rPr>
        <w:t>tisuća eura (202</w:t>
      </w:r>
      <w:r w:rsidR="006554EB" w:rsidRPr="005D1219">
        <w:rPr>
          <w:rFonts w:ascii="Arial" w:eastAsia="Times New Roman" w:hAnsi="Arial" w:cs="Arial"/>
          <w:color w:val="000000"/>
          <w:sz w:val="20"/>
          <w:szCs w:val="20"/>
          <w:lang w:eastAsia="hr-HR"/>
        </w:rPr>
        <w:t>3</w:t>
      </w:r>
      <w:r w:rsidRPr="005D1219">
        <w:rPr>
          <w:rFonts w:ascii="Arial" w:eastAsia="Times New Roman" w:hAnsi="Arial" w:cs="Arial"/>
          <w:color w:val="000000"/>
          <w:sz w:val="20"/>
          <w:szCs w:val="20"/>
          <w:lang w:eastAsia="hr-HR"/>
        </w:rPr>
        <w:t>. godine: 1</w:t>
      </w:r>
      <w:r w:rsidR="006554EB" w:rsidRPr="005D1219">
        <w:rPr>
          <w:rFonts w:ascii="Arial" w:eastAsia="Times New Roman" w:hAnsi="Arial" w:cs="Arial"/>
          <w:color w:val="000000"/>
          <w:sz w:val="20"/>
          <w:szCs w:val="20"/>
          <w:lang w:eastAsia="hr-HR"/>
        </w:rPr>
        <w:t>40</w:t>
      </w:r>
      <w:r w:rsidRPr="005D1219">
        <w:rPr>
          <w:rFonts w:ascii="Arial" w:eastAsia="Times New Roman" w:hAnsi="Arial" w:cs="Arial"/>
          <w:color w:val="000000"/>
          <w:sz w:val="20"/>
          <w:szCs w:val="20"/>
          <w:lang w:eastAsia="hr-HR"/>
        </w:rPr>
        <w:t xml:space="preserve"> tisuća eura) što je iskazano u okviru Ostale imovine zbog nematerijalnog značaja. </w:t>
      </w:r>
    </w:p>
    <w:p w14:paraId="24FBA06F" w14:textId="4BB6BACC" w:rsidR="00AC71B1" w:rsidRPr="005D1219" w:rsidRDefault="00AC71B1" w:rsidP="00AC71B1">
      <w:pPr>
        <w:jc w:val="both"/>
        <w:rPr>
          <w:rFonts w:ascii="Arial" w:eastAsia="Times New Roman" w:hAnsi="Arial" w:cs="Arial"/>
          <w:color w:val="000000"/>
          <w:sz w:val="20"/>
          <w:szCs w:val="20"/>
          <w:lang w:eastAsia="hr-HR"/>
        </w:rPr>
      </w:pPr>
      <w:r w:rsidRPr="005D1219">
        <w:rPr>
          <w:rFonts w:ascii="Arial" w:eastAsia="Times New Roman" w:hAnsi="Arial" w:cs="Arial"/>
          <w:color w:val="000000"/>
          <w:sz w:val="20"/>
          <w:szCs w:val="20"/>
          <w:lang w:eastAsia="hr-HR"/>
        </w:rPr>
        <w:t>U izvještajnom razdoblju je na ovu imovinu obračunata amortizacija u visini od 2 tisuće eura (202</w:t>
      </w:r>
      <w:r w:rsidR="006554EB" w:rsidRPr="005D1219">
        <w:rPr>
          <w:rFonts w:ascii="Arial" w:eastAsia="Times New Roman" w:hAnsi="Arial" w:cs="Arial"/>
          <w:color w:val="000000"/>
          <w:sz w:val="20"/>
          <w:szCs w:val="20"/>
          <w:lang w:eastAsia="hr-HR"/>
        </w:rPr>
        <w:t>3</w:t>
      </w:r>
      <w:r w:rsidRPr="005D1219">
        <w:rPr>
          <w:rFonts w:ascii="Arial" w:eastAsia="Times New Roman" w:hAnsi="Arial" w:cs="Arial"/>
          <w:color w:val="000000"/>
          <w:sz w:val="20"/>
          <w:szCs w:val="20"/>
          <w:lang w:eastAsia="hr-HR"/>
        </w:rPr>
        <w:t xml:space="preserve">.: </w:t>
      </w:r>
      <w:r w:rsidR="006554EB" w:rsidRPr="005D1219">
        <w:rPr>
          <w:rFonts w:ascii="Arial" w:eastAsia="Times New Roman" w:hAnsi="Arial" w:cs="Arial"/>
          <w:color w:val="000000"/>
          <w:sz w:val="20"/>
          <w:szCs w:val="20"/>
          <w:lang w:eastAsia="hr-HR"/>
        </w:rPr>
        <w:t>9</w:t>
      </w:r>
      <w:r w:rsidRPr="005D1219">
        <w:rPr>
          <w:rFonts w:ascii="Arial" w:eastAsia="Times New Roman" w:hAnsi="Arial" w:cs="Arial"/>
          <w:color w:val="000000"/>
          <w:sz w:val="20"/>
          <w:szCs w:val="20"/>
          <w:lang w:eastAsia="hr-HR"/>
        </w:rPr>
        <w:t xml:space="preserve"> tisuća eura).</w:t>
      </w:r>
    </w:p>
    <w:p w14:paraId="2EE2230D" w14:textId="77777777" w:rsidR="001B247D" w:rsidRPr="005D1219" w:rsidRDefault="001B247D" w:rsidP="001B247D">
      <w:pPr>
        <w:tabs>
          <w:tab w:val="left" w:pos="-1985"/>
        </w:tabs>
        <w:suppressAutoHyphens/>
        <w:autoSpaceDN w:val="0"/>
        <w:jc w:val="both"/>
        <w:rPr>
          <w:rFonts w:ascii="Arial" w:eastAsia="Times New Roman" w:hAnsi="Arial" w:cs="Arial"/>
          <w:color w:val="000000" w:themeColor="text1"/>
          <w:sz w:val="20"/>
          <w:szCs w:val="20"/>
        </w:rPr>
      </w:pPr>
    </w:p>
    <w:p w14:paraId="614DEB73" w14:textId="0C10600A" w:rsidR="00AC71B1" w:rsidRPr="005D1219" w:rsidRDefault="00AC71B1" w:rsidP="00AC71B1">
      <w:pPr>
        <w:jc w:val="both"/>
        <w:rPr>
          <w:rFonts w:ascii="Arial" w:eastAsia="Times New Roman" w:hAnsi="Arial" w:cs="Arial"/>
          <w:color w:val="000000"/>
          <w:sz w:val="20"/>
          <w:szCs w:val="20"/>
          <w:lang w:eastAsia="hr-HR"/>
        </w:rPr>
      </w:pPr>
      <w:r w:rsidRPr="005D1219">
        <w:rPr>
          <w:rFonts w:ascii="Arial" w:eastAsia="Times New Roman" w:hAnsi="Arial" w:cs="Arial"/>
          <w:color w:val="000000"/>
          <w:sz w:val="20"/>
          <w:szCs w:val="20"/>
          <w:lang w:eastAsia="hr-HR"/>
        </w:rPr>
        <w:t xml:space="preserve">Fer vrijednost ukupne preuzete imovine na početku izvještajnog razdoblja iznosila je </w:t>
      </w:r>
      <w:r w:rsidR="00670706" w:rsidRPr="005D1219">
        <w:rPr>
          <w:rFonts w:ascii="Arial" w:eastAsia="Times New Roman" w:hAnsi="Arial" w:cs="Arial"/>
          <w:color w:val="000000"/>
          <w:sz w:val="20"/>
          <w:szCs w:val="20"/>
          <w:lang w:eastAsia="hr-HR"/>
        </w:rPr>
        <w:t>4.066</w:t>
      </w:r>
      <w:r w:rsidRPr="005D1219">
        <w:rPr>
          <w:rFonts w:ascii="Arial" w:eastAsia="Times New Roman" w:hAnsi="Arial" w:cs="Arial"/>
          <w:color w:val="000000"/>
          <w:sz w:val="20"/>
          <w:szCs w:val="20"/>
          <w:lang w:eastAsia="hr-HR"/>
        </w:rPr>
        <w:t xml:space="preserve"> tisuća eura, a na kraju izvještajnog razdoblja iznosi </w:t>
      </w:r>
      <w:r w:rsidR="00670706" w:rsidRPr="005D1219">
        <w:rPr>
          <w:rFonts w:ascii="Arial" w:eastAsia="Times New Roman" w:hAnsi="Arial" w:cs="Arial"/>
          <w:color w:val="000000"/>
          <w:sz w:val="20"/>
          <w:szCs w:val="20"/>
          <w:lang w:eastAsia="hr-HR"/>
        </w:rPr>
        <w:t>3.874</w:t>
      </w:r>
      <w:r w:rsidRPr="005D1219">
        <w:rPr>
          <w:rFonts w:ascii="Arial" w:eastAsia="Times New Roman" w:hAnsi="Arial" w:cs="Arial"/>
          <w:color w:val="000000"/>
          <w:sz w:val="20"/>
          <w:szCs w:val="20"/>
          <w:lang w:eastAsia="hr-HR"/>
        </w:rPr>
        <w:t xml:space="preserve"> tisuća EUR-a</w:t>
      </w:r>
      <w:r w:rsidR="00350ADB" w:rsidRPr="005D1219">
        <w:rPr>
          <w:rFonts w:ascii="Arial" w:eastAsia="Times New Roman" w:hAnsi="Arial" w:cs="Arial"/>
          <w:color w:val="000000"/>
          <w:sz w:val="20"/>
          <w:szCs w:val="20"/>
          <w:lang w:eastAsia="hr-HR"/>
        </w:rPr>
        <w:t>.</w:t>
      </w:r>
    </w:p>
    <w:p w14:paraId="6E14424C" w14:textId="77777777" w:rsidR="00AC71B1" w:rsidRPr="005D1219" w:rsidRDefault="00AC71B1" w:rsidP="00AC71B1">
      <w:pPr>
        <w:jc w:val="both"/>
        <w:rPr>
          <w:rFonts w:ascii="Arial" w:eastAsia="Times New Roman" w:hAnsi="Arial" w:cs="Arial"/>
          <w:color w:val="000000"/>
          <w:sz w:val="20"/>
          <w:szCs w:val="20"/>
          <w:lang w:eastAsia="hr-HR"/>
        </w:rPr>
      </w:pPr>
    </w:p>
    <w:p w14:paraId="538B9A87" w14:textId="37B85F42" w:rsidR="00AC71B1" w:rsidRPr="005D1219" w:rsidRDefault="00AC71B1" w:rsidP="00AC71B1">
      <w:pPr>
        <w:jc w:val="both"/>
        <w:rPr>
          <w:rFonts w:ascii="Arial" w:eastAsia="Times New Roman" w:hAnsi="Arial" w:cs="Arial"/>
          <w:color w:val="000000"/>
          <w:sz w:val="20"/>
          <w:szCs w:val="20"/>
          <w:lang w:eastAsia="hr-HR"/>
        </w:rPr>
      </w:pPr>
      <w:r w:rsidRPr="005D1219">
        <w:rPr>
          <w:rFonts w:ascii="Arial" w:eastAsia="Times New Roman" w:hAnsi="Arial" w:cs="Arial"/>
          <w:color w:val="000000"/>
          <w:sz w:val="20"/>
          <w:szCs w:val="20"/>
          <w:lang w:eastAsia="hr-HR"/>
        </w:rPr>
        <w:t>Iznos usklađenja za Grupu i Banku koji ima učinak na račun dobiti i gubitka u 202</w:t>
      </w:r>
      <w:r w:rsidR="00670706" w:rsidRPr="005D1219">
        <w:rPr>
          <w:rFonts w:ascii="Arial" w:eastAsia="Times New Roman" w:hAnsi="Arial" w:cs="Arial"/>
          <w:color w:val="000000"/>
          <w:sz w:val="20"/>
          <w:szCs w:val="20"/>
          <w:lang w:eastAsia="hr-HR"/>
        </w:rPr>
        <w:t>4</w:t>
      </w:r>
      <w:r w:rsidRPr="005D1219">
        <w:rPr>
          <w:rFonts w:ascii="Arial" w:eastAsia="Times New Roman" w:hAnsi="Arial" w:cs="Arial"/>
          <w:color w:val="000000"/>
          <w:sz w:val="20"/>
          <w:szCs w:val="20"/>
          <w:lang w:eastAsia="hr-HR"/>
        </w:rPr>
        <w:t>. godini iznosi 0 tisuća eura (202</w:t>
      </w:r>
      <w:r w:rsidR="00670706" w:rsidRPr="005D1219">
        <w:rPr>
          <w:rFonts w:ascii="Arial" w:eastAsia="Times New Roman" w:hAnsi="Arial" w:cs="Arial"/>
          <w:color w:val="000000"/>
          <w:sz w:val="20"/>
          <w:szCs w:val="20"/>
          <w:lang w:eastAsia="hr-HR"/>
        </w:rPr>
        <w:t>3</w:t>
      </w:r>
      <w:r w:rsidRPr="005D1219">
        <w:rPr>
          <w:rFonts w:ascii="Arial" w:eastAsia="Times New Roman" w:hAnsi="Arial" w:cs="Arial"/>
          <w:color w:val="000000"/>
          <w:sz w:val="20"/>
          <w:szCs w:val="20"/>
          <w:lang w:eastAsia="hr-HR"/>
        </w:rPr>
        <w:t xml:space="preserve">. godine: </w:t>
      </w:r>
      <w:r w:rsidR="00670706" w:rsidRPr="005D1219">
        <w:rPr>
          <w:rFonts w:ascii="Arial" w:eastAsia="Times New Roman" w:hAnsi="Arial" w:cs="Arial"/>
          <w:color w:val="000000"/>
          <w:sz w:val="20"/>
          <w:szCs w:val="20"/>
          <w:lang w:eastAsia="hr-HR"/>
        </w:rPr>
        <w:t>0</w:t>
      </w:r>
      <w:r w:rsidRPr="005D1219">
        <w:rPr>
          <w:rFonts w:ascii="Arial" w:eastAsia="Times New Roman" w:hAnsi="Arial" w:cs="Arial"/>
          <w:color w:val="000000"/>
          <w:sz w:val="20"/>
          <w:szCs w:val="20"/>
          <w:lang w:eastAsia="hr-HR"/>
        </w:rPr>
        <w:t xml:space="preserve"> tisuća eura).</w:t>
      </w:r>
    </w:p>
    <w:p w14:paraId="6D829E71" w14:textId="77777777" w:rsidR="001B247D" w:rsidRPr="005D1219" w:rsidRDefault="001B247D" w:rsidP="001B247D">
      <w:pPr>
        <w:tabs>
          <w:tab w:val="left" w:pos="-1985"/>
        </w:tabs>
        <w:suppressAutoHyphens/>
        <w:autoSpaceDN w:val="0"/>
        <w:jc w:val="both"/>
        <w:rPr>
          <w:rFonts w:ascii="Arial" w:eastAsia="Times New Roman" w:hAnsi="Arial" w:cs="Arial"/>
          <w:color w:val="000000" w:themeColor="text1"/>
          <w:sz w:val="20"/>
          <w:szCs w:val="20"/>
        </w:rPr>
      </w:pPr>
    </w:p>
    <w:p w14:paraId="334B28DC" w14:textId="77777777" w:rsidR="001B247D" w:rsidRPr="005D1219" w:rsidRDefault="001B247D" w:rsidP="001B247D">
      <w:pPr>
        <w:tabs>
          <w:tab w:val="left" w:pos="-1985"/>
        </w:tabs>
        <w:suppressAutoHyphens/>
        <w:autoSpaceDN w:val="0"/>
        <w:jc w:val="both"/>
        <w:rPr>
          <w:rFonts w:ascii="Arial" w:eastAsia="Times New Roman" w:hAnsi="Arial" w:cs="Arial"/>
          <w:color w:val="000000" w:themeColor="text1"/>
          <w:sz w:val="20"/>
          <w:szCs w:val="20"/>
        </w:rPr>
      </w:pPr>
    </w:p>
    <w:p w14:paraId="4388AFED" w14:textId="77777777" w:rsidR="00625051" w:rsidRPr="003D1614" w:rsidRDefault="00625051" w:rsidP="001B247D">
      <w:pPr>
        <w:suppressAutoHyphens/>
        <w:autoSpaceDN w:val="0"/>
        <w:jc w:val="both"/>
        <w:rPr>
          <w:rFonts w:ascii="Arial" w:eastAsia="Times New Roman" w:hAnsi="Arial" w:cs="Arial"/>
          <w:color w:val="000000"/>
          <w:sz w:val="20"/>
          <w:szCs w:val="20"/>
        </w:rPr>
      </w:pPr>
    </w:p>
    <w:bookmarkEnd w:id="422"/>
    <w:p w14:paraId="7565668F" w14:textId="77777777" w:rsidR="00625051" w:rsidRPr="003D1614" w:rsidRDefault="00625051" w:rsidP="001B247D">
      <w:pPr>
        <w:suppressAutoHyphens/>
        <w:autoSpaceDN w:val="0"/>
        <w:jc w:val="both"/>
        <w:outlineLvl w:val="0"/>
        <w:rPr>
          <w:rFonts w:ascii="Arial" w:eastAsia="Calibri" w:hAnsi="Arial" w:cs="Arial"/>
          <w:bCs/>
          <w:color w:val="000000" w:themeColor="text1"/>
          <w:sz w:val="20"/>
          <w:szCs w:val="20"/>
        </w:rPr>
        <w:sectPr w:rsidR="00625051" w:rsidRPr="003D1614">
          <w:pgSz w:w="11906" w:h="16838"/>
          <w:pgMar w:top="1417" w:right="1417" w:bottom="1417" w:left="1417" w:header="708" w:footer="708" w:gutter="0"/>
          <w:cols w:space="708"/>
          <w:docGrid w:linePitch="360"/>
        </w:sectPr>
      </w:pPr>
    </w:p>
    <w:p w14:paraId="2CBEC9D8" w14:textId="77777777" w:rsidR="00D004B1" w:rsidRPr="003D1614" w:rsidRDefault="00D004B1" w:rsidP="00D004B1">
      <w:pPr>
        <w:keepNext/>
        <w:suppressAutoHyphens/>
        <w:autoSpaceDN w:val="0"/>
        <w:jc w:val="both"/>
        <w:outlineLvl w:val="0"/>
        <w:rPr>
          <w:rFonts w:ascii="Arial" w:eastAsia="Times New Roman" w:hAnsi="Arial" w:cs="Arial"/>
          <w:b/>
          <w:bCs/>
          <w:color w:val="000000" w:themeColor="text1"/>
          <w:sz w:val="20"/>
          <w:szCs w:val="20"/>
        </w:rPr>
      </w:pPr>
    </w:p>
    <w:p w14:paraId="2E522DF3" w14:textId="71807656" w:rsidR="00D004B1" w:rsidRPr="003D1614" w:rsidRDefault="00D004B1" w:rsidP="00D004B1">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0E693B">
        <w:rPr>
          <w:rFonts w:ascii="Arial" w:eastAsia="Times New Roman" w:hAnsi="Arial" w:cs="Arial"/>
          <w:b/>
          <w:bCs/>
          <w:color w:val="000000" w:themeColor="text1"/>
          <w:sz w:val="20"/>
          <w:szCs w:val="20"/>
        </w:rPr>
        <w:t>6</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Ostala imovina</w:t>
      </w:r>
    </w:p>
    <w:p w14:paraId="21B98BE3" w14:textId="77777777" w:rsidR="00D004B1" w:rsidRPr="003D1614" w:rsidRDefault="00D004B1" w:rsidP="00D004B1">
      <w:pPr>
        <w:keepNext/>
        <w:tabs>
          <w:tab w:val="left" w:pos="567"/>
        </w:tabs>
        <w:suppressAutoHyphens/>
        <w:autoSpaceDN w:val="0"/>
        <w:jc w:val="both"/>
        <w:outlineLvl w:val="0"/>
        <w:rPr>
          <w:rFonts w:ascii="Arial" w:eastAsia="Times New Roman" w:hAnsi="Arial" w:cs="Arial"/>
          <w:b/>
          <w:bCs/>
          <w:color w:val="000000" w:themeColor="text1"/>
          <w:sz w:val="20"/>
          <w:szCs w:val="20"/>
        </w:rPr>
      </w:pPr>
    </w:p>
    <w:tbl>
      <w:tblPr>
        <w:tblW w:w="4956" w:type="pct"/>
        <w:tblLayout w:type="fixed"/>
        <w:tblCellMar>
          <w:left w:w="119" w:type="dxa"/>
          <w:right w:w="119" w:type="dxa"/>
        </w:tblCellMar>
        <w:tblLook w:val="0000" w:firstRow="0" w:lastRow="0" w:firstColumn="0" w:lastColumn="0" w:noHBand="0" w:noVBand="0"/>
      </w:tblPr>
      <w:tblGrid>
        <w:gridCol w:w="3410"/>
        <w:gridCol w:w="1376"/>
        <w:gridCol w:w="1417"/>
        <w:gridCol w:w="1374"/>
        <w:gridCol w:w="1415"/>
      </w:tblGrid>
      <w:tr w:rsidR="00D004B1" w:rsidRPr="00071D13" w14:paraId="65532752" w14:textId="77777777" w:rsidTr="00071D13">
        <w:trPr>
          <w:trHeight w:val="171"/>
        </w:trPr>
        <w:tc>
          <w:tcPr>
            <w:tcW w:w="1896" w:type="pct"/>
            <w:vAlign w:val="bottom"/>
          </w:tcPr>
          <w:p w14:paraId="66383750" w14:textId="77777777" w:rsidR="00D004B1" w:rsidRPr="00071D13" w:rsidRDefault="00D004B1" w:rsidP="00D004B1">
            <w:pPr>
              <w:tabs>
                <w:tab w:val="left" w:pos="-720"/>
              </w:tabs>
              <w:suppressAutoHyphens/>
              <w:autoSpaceDN w:val="0"/>
              <w:rPr>
                <w:rFonts w:ascii="Arial" w:eastAsia="Times New Roman" w:hAnsi="Arial" w:cs="Arial"/>
                <w:color w:val="000000" w:themeColor="text1"/>
                <w:spacing w:val="-2"/>
                <w:sz w:val="20"/>
                <w:szCs w:val="20"/>
              </w:rPr>
            </w:pPr>
          </w:p>
        </w:tc>
        <w:tc>
          <w:tcPr>
            <w:tcW w:w="1553" w:type="pct"/>
            <w:gridSpan w:val="2"/>
            <w:vAlign w:val="bottom"/>
          </w:tcPr>
          <w:p w14:paraId="15AEEC94" w14:textId="77777777" w:rsidR="00D004B1" w:rsidRPr="00071D13" w:rsidRDefault="00D004B1" w:rsidP="00D004B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23" w:name="_Toc67328617"/>
            <w:r w:rsidRPr="00071D13">
              <w:rPr>
                <w:rFonts w:ascii="Arial" w:eastAsia="Times New Roman" w:hAnsi="Arial" w:cs="Arial"/>
                <w:b/>
                <w:color w:val="000000" w:themeColor="text1"/>
                <w:sz w:val="20"/>
                <w:szCs w:val="20"/>
              </w:rPr>
              <w:t>Grupa</w:t>
            </w:r>
            <w:bookmarkEnd w:id="423"/>
          </w:p>
        </w:tc>
        <w:tc>
          <w:tcPr>
            <w:tcW w:w="1551" w:type="pct"/>
            <w:gridSpan w:val="2"/>
            <w:vAlign w:val="bottom"/>
          </w:tcPr>
          <w:p w14:paraId="72B6AE8C" w14:textId="77777777" w:rsidR="00D004B1" w:rsidRPr="00071D13" w:rsidRDefault="00D004B1" w:rsidP="00D004B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24" w:name="_Toc67328618"/>
            <w:r w:rsidRPr="00071D13">
              <w:rPr>
                <w:rFonts w:ascii="Arial" w:eastAsia="Times New Roman" w:hAnsi="Arial" w:cs="Arial"/>
                <w:b/>
                <w:color w:val="000000" w:themeColor="text1"/>
                <w:sz w:val="20"/>
                <w:szCs w:val="20"/>
              </w:rPr>
              <w:t>Banka</w:t>
            </w:r>
            <w:bookmarkEnd w:id="424"/>
          </w:p>
        </w:tc>
      </w:tr>
      <w:tr w:rsidR="00C81475" w:rsidRPr="00071D13" w14:paraId="2DFC81A3" w14:textId="77777777" w:rsidTr="00071D13">
        <w:trPr>
          <w:trHeight w:val="567"/>
        </w:trPr>
        <w:tc>
          <w:tcPr>
            <w:tcW w:w="1896" w:type="pct"/>
            <w:vAlign w:val="bottom"/>
          </w:tcPr>
          <w:p w14:paraId="4218555F" w14:textId="77777777" w:rsidR="00C81475" w:rsidRPr="00071D13" w:rsidRDefault="00C81475" w:rsidP="00C81475">
            <w:pPr>
              <w:tabs>
                <w:tab w:val="left" w:pos="-720"/>
              </w:tabs>
              <w:suppressAutoHyphens/>
              <w:autoSpaceDN w:val="0"/>
              <w:rPr>
                <w:rFonts w:ascii="Arial" w:eastAsia="Times New Roman" w:hAnsi="Arial" w:cs="Arial"/>
                <w:color w:val="000000" w:themeColor="text1"/>
                <w:spacing w:val="-2"/>
                <w:sz w:val="20"/>
                <w:szCs w:val="20"/>
              </w:rPr>
            </w:pPr>
          </w:p>
        </w:tc>
        <w:tc>
          <w:tcPr>
            <w:tcW w:w="765" w:type="pct"/>
            <w:vAlign w:val="bottom"/>
          </w:tcPr>
          <w:p w14:paraId="3A8FFC85" w14:textId="7FC56ACE" w:rsidR="00C81475" w:rsidRPr="00071D13" w:rsidRDefault="00C81475" w:rsidP="00C8147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25" w:name="_Toc67328619"/>
            <w:r w:rsidRPr="00071D13">
              <w:rPr>
                <w:rFonts w:ascii="Arial" w:eastAsia="Times New Roman" w:hAnsi="Arial" w:cs="Arial"/>
                <w:b/>
                <w:color w:val="000000" w:themeColor="text1"/>
                <w:sz w:val="20"/>
                <w:szCs w:val="20"/>
              </w:rPr>
              <w:t>31. ožujka 202</w:t>
            </w:r>
            <w:r w:rsidR="000519C0">
              <w:rPr>
                <w:rFonts w:ascii="Arial" w:eastAsia="Times New Roman" w:hAnsi="Arial" w:cs="Arial"/>
                <w:b/>
                <w:color w:val="000000" w:themeColor="text1"/>
                <w:sz w:val="20"/>
                <w:szCs w:val="20"/>
              </w:rPr>
              <w:t>4</w:t>
            </w:r>
            <w:r w:rsidRPr="00071D13">
              <w:rPr>
                <w:rFonts w:ascii="Arial" w:eastAsia="Times New Roman" w:hAnsi="Arial" w:cs="Arial"/>
                <w:b/>
                <w:color w:val="000000" w:themeColor="text1"/>
                <w:sz w:val="20"/>
                <w:szCs w:val="20"/>
              </w:rPr>
              <w:t>.</w:t>
            </w:r>
            <w:bookmarkEnd w:id="425"/>
          </w:p>
        </w:tc>
        <w:tc>
          <w:tcPr>
            <w:tcW w:w="788" w:type="pct"/>
            <w:vAlign w:val="bottom"/>
          </w:tcPr>
          <w:p w14:paraId="40D76072" w14:textId="51DA6E9A" w:rsidR="00C81475" w:rsidRPr="00071D13" w:rsidRDefault="00C81475" w:rsidP="00C8147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26" w:name="_Toc67328620"/>
            <w:r w:rsidRPr="00071D13">
              <w:rPr>
                <w:rFonts w:ascii="Arial" w:eastAsia="Times New Roman" w:hAnsi="Arial" w:cs="Arial"/>
                <w:b/>
                <w:color w:val="000000" w:themeColor="text1"/>
                <w:sz w:val="20"/>
                <w:szCs w:val="20"/>
              </w:rPr>
              <w:t>31. prosinca 202</w:t>
            </w:r>
            <w:r w:rsidR="000519C0">
              <w:rPr>
                <w:rFonts w:ascii="Arial" w:eastAsia="Times New Roman" w:hAnsi="Arial" w:cs="Arial"/>
                <w:b/>
                <w:color w:val="000000" w:themeColor="text1"/>
                <w:sz w:val="20"/>
                <w:szCs w:val="20"/>
              </w:rPr>
              <w:t>3</w:t>
            </w:r>
            <w:r w:rsidRPr="00071D13">
              <w:rPr>
                <w:rFonts w:ascii="Arial" w:eastAsia="Times New Roman" w:hAnsi="Arial" w:cs="Arial"/>
                <w:b/>
                <w:color w:val="000000" w:themeColor="text1"/>
                <w:sz w:val="20"/>
                <w:szCs w:val="20"/>
              </w:rPr>
              <w:t>.</w:t>
            </w:r>
            <w:bookmarkEnd w:id="426"/>
          </w:p>
        </w:tc>
        <w:tc>
          <w:tcPr>
            <w:tcW w:w="764" w:type="pct"/>
            <w:vAlign w:val="bottom"/>
          </w:tcPr>
          <w:p w14:paraId="219BBEFF" w14:textId="0E12837A" w:rsidR="00C81475" w:rsidRPr="00071D13" w:rsidRDefault="00C81475" w:rsidP="00C8147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071D13">
              <w:rPr>
                <w:rFonts w:ascii="Arial" w:eastAsia="Times New Roman" w:hAnsi="Arial" w:cs="Arial"/>
                <w:b/>
                <w:color w:val="000000" w:themeColor="text1"/>
                <w:sz w:val="20"/>
                <w:szCs w:val="20"/>
              </w:rPr>
              <w:t>31. ožujka 202</w:t>
            </w:r>
            <w:r w:rsidR="000519C0">
              <w:rPr>
                <w:rFonts w:ascii="Arial" w:eastAsia="Times New Roman" w:hAnsi="Arial" w:cs="Arial"/>
                <w:b/>
                <w:color w:val="000000" w:themeColor="text1"/>
                <w:sz w:val="20"/>
                <w:szCs w:val="20"/>
              </w:rPr>
              <w:t>4</w:t>
            </w:r>
            <w:r w:rsidRPr="00071D13">
              <w:rPr>
                <w:rFonts w:ascii="Arial" w:eastAsia="Times New Roman" w:hAnsi="Arial" w:cs="Arial"/>
                <w:b/>
                <w:color w:val="000000" w:themeColor="text1"/>
                <w:sz w:val="20"/>
                <w:szCs w:val="20"/>
              </w:rPr>
              <w:t>.</w:t>
            </w:r>
          </w:p>
        </w:tc>
        <w:tc>
          <w:tcPr>
            <w:tcW w:w="787" w:type="pct"/>
            <w:vAlign w:val="bottom"/>
          </w:tcPr>
          <w:p w14:paraId="6EFAFE59" w14:textId="3E309B83" w:rsidR="00C81475" w:rsidRPr="00071D13" w:rsidRDefault="00C81475" w:rsidP="00C81475">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071D13">
              <w:rPr>
                <w:rFonts w:ascii="Arial" w:eastAsia="Times New Roman" w:hAnsi="Arial" w:cs="Arial"/>
                <w:b/>
                <w:color w:val="000000" w:themeColor="text1"/>
                <w:sz w:val="20"/>
                <w:szCs w:val="20"/>
              </w:rPr>
              <w:t>31. prosinca 202</w:t>
            </w:r>
            <w:r w:rsidR="000519C0">
              <w:rPr>
                <w:rFonts w:ascii="Arial" w:eastAsia="Times New Roman" w:hAnsi="Arial" w:cs="Arial"/>
                <w:b/>
                <w:color w:val="000000" w:themeColor="text1"/>
                <w:sz w:val="20"/>
                <w:szCs w:val="20"/>
              </w:rPr>
              <w:t>3</w:t>
            </w:r>
            <w:r w:rsidRPr="00071D13">
              <w:rPr>
                <w:rFonts w:ascii="Arial" w:eastAsia="Times New Roman" w:hAnsi="Arial" w:cs="Arial"/>
                <w:b/>
                <w:color w:val="000000" w:themeColor="text1"/>
                <w:sz w:val="20"/>
                <w:szCs w:val="20"/>
              </w:rPr>
              <w:t>.</w:t>
            </w:r>
          </w:p>
        </w:tc>
      </w:tr>
      <w:tr w:rsidR="00D004B1" w:rsidRPr="00071D13" w14:paraId="4DC12A2D" w14:textId="77777777" w:rsidTr="00071D13">
        <w:trPr>
          <w:trHeight w:val="220"/>
        </w:trPr>
        <w:tc>
          <w:tcPr>
            <w:tcW w:w="1896" w:type="pct"/>
            <w:vAlign w:val="bottom"/>
          </w:tcPr>
          <w:p w14:paraId="4B0613DE" w14:textId="77777777" w:rsidR="00D004B1" w:rsidRPr="00071D13" w:rsidRDefault="00D004B1" w:rsidP="00D004B1">
            <w:pPr>
              <w:tabs>
                <w:tab w:val="left" w:pos="-720"/>
              </w:tabs>
              <w:suppressAutoHyphens/>
              <w:autoSpaceDN w:val="0"/>
              <w:rPr>
                <w:rFonts w:ascii="Arial" w:eastAsia="Times New Roman" w:hAnsi="Arial" w:cs="Arial"/>
                <w:color w:val="000000" w:themeColor="text1"/>
                <w:spacing w:val="-2"/>
                <w:sz w:val="20"/>
                <w:szCs w:val="20"/>
              </w:rPr>
            </w:pPr>
          </w:p>
        </w:tc>
        <w:tc>
          <w:tcPr>
            <w:tcW w:w="765" w:type="pct"/>
            <w:vAlign w:val="bottom"/>
          </w:tcPr>
          <w:p w14:paraId="43351AB1" w14:textId="56646FAF" w:rsidR="00D004B1" w:rsidRPr="00071D13" w:rsidRDefault="00D004B1" w:rsidP="00D004B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27" w:name="_Toc67328623"/>
            <w:r w:rsidRPr="00071D13">
              <w:rPr>
                <w:rFonts w:ascii="Arial" w:eastAsia="Times New Roman" w:hAnsi="Arial" w:cs="Arial"/>
                <w:b/>
                <w:color w:val="000000" w:themeColor="text1"/>
                <w:sz w:val="20"/>
                <w:szCs w:val="20"/>
              </w:rPr>
              <w:t>000 eura</w:t>
            </w:r>
            <w:bookmarkEnd w:id="427"/>
          </w:p>
        </w:tc>
        <w:tc>
          <w:tcPr>
            <w:tcW w:w="788" w:type="pct"/>
            <w:vAlign w:val="bottom"/>
          </w:tcPr>
          <w:p w14:paraId="674DD97B" w14:textId="0A39CBA5" w:rsidR="00D004B1" w:rsidRPr="00071D13" w:rsidRDefault="00D004B1" w:rsidP="00D004B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28" w:name="_Toc67328624"/>
            <w:r w:rsidRPr="00071D13">
              <w:rPr>
                <w:rFonts w:ascii="Arial" w:eastAsia="Times New Roman" w:hAnsi="Arial" w:cs="Arial"/>
                <w:b/>
                <w:color w:val="000000" w:themeColor="text1"/>
                <w:sz w:val="20"/>
                <w:szCs w:val="20"/>
              </w:rPr>
              <w:t>000 eura</w:t>
            </w:r>
            <w:bookmarkEnd w:id="428"/>
          </w:p>
        </w:tc>
        <w:tc>
          <w:tcPr>
            <w:tcW w:w="764" w:type="pct"/>
            <w:vAlign w:val="bottom"/>
          </w:tcPr>
          <w:p w14:paraId="309D3414" w14:textId="5980B37D" w:rsidR="00D004B1" w:rsidRPr="00071D13" w:rsidRDefault="00D004B1" w:rsidP="00D004B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29" w:name="_Toc67328625"/>
            <w:r w:rsidRPr="00071D13">
              <w:rPr>
                <w:rFonts w:ascii="Arial" w:eastAsia="Times New Roman" w:hAnsi="Arial" w:cs="Arial"/>
                <w:b/>
                <w:color w:val="000000" w:themeColor="text1"/>
                <w:sz w:val="20"/>
                <w:szCs w:val="20"/>
              </w:rPr>
              <w:t>000 eura</w:t>
            </w:r>
            <w:bookmarkEnd w:id="429"/>
          </w:p>
        </w:tc>
        <w:tc>
          <w:tcPr>
            <w:tcW w:w="787" w:type="pct"/>
            <w:vAlign w:val="bottom"/>
          </w:tcPr>
          <w:p w14:paraId="19E3A86D" w14:textId="1B5C0BD8" w:rsidR="00D004B1" w:rsidRPr="00071D13" w:rsidRDefault="00D004B1" w:rsidP="00D004B1">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30" w:name="_Toc67328626"/>
            <w:r w:rsidRPr="00071D13">
              <w:rPr>
                <w:rFonts w:ascii="Arial" w:eastAsia="Times New Roman" w:hAnsi="Arial" w:cs="Arial"/>
                <w:b/>
                <w:color w:val="000000" w:themeColor="text1"/>
                <w:sz w:val="20"/>
                <w:szCs w:val="20"/>
              </w:rPr>
              <w:t>000 eura</w:t>
            </w:r>
            <w:bookmarkEnd w:id="430"/>
          </w:p>
        </w:tc>
      </w:tr>
      <w:tr w:rsidR="00D004B1" w:rsidRPr="00071D13" w14:paraId="34995696" w14:textId="77777777" w:rsidTr="00071D13">
        <w:trPr>
          <w:trHeight w:val="231"/>
        </w:trPr>
        <w:tc>
          <w:tcPr>
            <w:tcW w:w="1896" w:type="pct"/>
            <w:vAlign w:val="bottom"/>
          </w:tcPr>
          <w:p w14:paraId="067BCC41" w14:textId="77777777" w:rsidR="00D004B1" w:rsidRPr="00071D13" w:rsidRDefault="00D004B1" w:rsidP="00D004B1">
            <w:pPr>
              <w:tabs>
                <w:tab w:val="left" w:pos="-720"/>
              </w:tabs>
              <w:suppressAutoHyphens/>
              <w:autoSpaceDN w:val="0"/>
              <w:rPr>
                <w:rFonts w:ascii="Arial" w:eastAsia="Times New Roman" w:hAnsi="Arial" w:cs="Arial"/>
                <w:color w:val="000000" w:themeColor="text1"/>
                <w:spacing w:val="-2"/>
                <w:sz w:val="20"/>
                <w:szCs w:val="20"/>
              </w:rPr>
            </w:pPr>
          </w:p>
        </w:tc>
        <w:tc>
          <w:tcPr>
            <w:tcW w:w="765" w:type="pct"/>
            <w:vAlign w:val="bottom"/>
          </w:tcPr>
          <w:p w14:paraId="56578D2A" w14:textId="77777777" w:rsidR="00D004B1" w:rsidRPr="00071D13" w:rsidRDefault="00D004B1" w:rsidP="00D004B1">
            <w:pPr>
              <w:tabs>
                <w:tab w:val="left" w:pos="-720"/>
              </w:tabs>
              <w:suppressAutoHyphens/>
              <w:autoSpaceDN w:val="0"/>
              <w:jc w:val="right"/>
              <w:rPr>
                <w:rFonts w:ascii="Arial" w:eastAsia="Times New Roman" w:hAnsi="Arial" w:cs="Arial"/>
                <w:b/>
                <w:color w:val="000000" w:themeColor="text1"/>
                <w:spacing w:val="-2"/>
                <w:sz w:val="20"/>
                <w:szCs w:val="20"/>
              </w:rPr>
            </w:pPr>
          </w:p>
        </w:tc>
        <w:tc>
          <w:tcPr>
            <w:tcW w:w="788" w:type="pct"/>
            <w:vAlign w:val="bottom"/>
          </w:tcPr>
          <w:p w14:paraId="77CF5CE5" w14:textId="77777777" w:rsidR="00D004B1" w:rsidRPr="00071D13" w:rsidRDefault="00D004B1" w:rsidP="00D004B1">
            <w:pPr>
              <w:tabs>
                <w:tab w:val="left" w:pos="-720"/>
              </w:tabs>
              <w:suppressAutoHyphens/>
              <w:autoSpaceDN w:val="0"/>
              <w:jc w:val="right"/>
              <w:rPr>
                <w:rFonts w:ascii="Arial" w:eastAsia="Times New Roman" w:hAnsi="Arial" w:cs="Arial"/>
                <w:b/>
                <w:color w:val="000000" w:themeColor="text1"/>
                <w:spacing w:val="-2"/>
                <w:sz w:val="20"/>
                <w:szCs w:val="20"/>
              </w:rPr>
            </w:pPr>
          </w:p>
        </w:tc>
        <w:tc>
          <w:tcPr>
            <w:tcW w:w="764" w:type="pct"/>
            <w:vAlign w:val="bottom"/>
          </w:tcPr>
          <w:p w14:paraId="692BB8D2" w14:textId="77777777" w:rsidR="00D004B1" w:rsidRPr="00071D13" w:rsidRDefault="00D004B1" w:rsidP="00D004B1">
            <w:pPr>
              <w:tabs>
                <w:tab w:val="left" w:pos="-720"/>
              </w:tabs>
              <w:suppressAutoHyphens/>
              <w:autoSpaceDN w:val="0"/>
              <w:jc w:val="right"/>
              <w:rPr>
                <w:rFonts w:ascii="Arial" w:eastAsia="Times New Roman" w:hAnsi="Arial" w:cs="Arial"/>
                <w:b/>
                <w:color w:val="000000" w:themeColor="text1"/>
                <w:spacing w:val="-2"/>
                <w:sz w:val="20"/>
                <w:szCs w:val="20"/>
              </w:rPr>
            </w:pPr>
          </w:p>
        </w:tc>
        <w:tc>
          <w:tcPr>
            <w:tcW w:w="787" w:type="pct"/>
            <w:vAlign w:val="bottom"/>
          </w:tcPr>
          <w:p w14:paraId="4D5E4567" w14:textId="77777777" w:rsidR="00D004B1" w:rsidRPr="00071D13" w:rsidRDefault="00D004B1" w:rsidP="00D004B1">
            <w:pPr>
              <w:tabs>
                <w:tab w:val="left" w:pos="-720"/>
              </w:tabs>
              <w:suppressAutoHyphens/>
              <w:autoSpaceDN w:val="0"/>
              <w:jc w:val="right"/>
              <w:rPr>
                <w:rFonts w:ascii="Arial" w:eastAsia="Times New Roman" w:hAnsi="Arial" w:cs="Arial"/>
                <w:b/>
                <w:color w:val="000000" w:themeColor="text1"/>
                <w:spacing w:val="-2"/>
                <w:sz w:val="20"/>
                <w:szCs w:val="20"/>
              </w:rPr>
            </w:pPr>
          </w:p>
        </w:tc>
      </w:tr>
      <w:tr w:rsidR="00641D49" w:rsidRPr="00071D13" w14:paraId="5573B11F" w14:textId="77777777" w:rsidTr="00071D13">
        <w:trPr>
          <w:trHeight w:val="278"/>
        </w:trPr>
        <w:tc>
          <w:tcPr>
            <w:tcW w:w="1896" w:type="pct"/>
            <w:vAlign w:val="bottom"/>
          </w:tcPr>
          <w:p w14:paraId="799B8DFB" w14:textId="77777777" w:rsidR="00641D49" w:rsidRPr="00071D13" w:rsidRDefault="00641D49" w:rsidP="00641D49">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31" w:name="_Toc67328627"/>
            <w:r w:rsidRPr="00071D13">
              <w:rPr>
                <w:rFonts w:ascii="Arial" w:eastAsia="Times New Roman" w:hAnsi="Arial" w:cs="Arial"/>
                <w:color w:val="000000" w:themeColor="text1"/>
                <w:sz w:val="20"/>
                <w:szCs w:val="20"/>
              </w:rPr>
              <w:t>Potraživanja po naknadama</w:t>
            </w:r>
            <w:bookmarkEnd w:id="431"/>
          </w:p>
        </w:tc>
        <w:tc>
          <w:tcPr>
            <w:tcW w:w="765" w:type="pct"/>
            <w:tcBorders>
              <w:top w:val="nil"/>
              <w:left w:val="nil"/>
              <w:bottom w:val="nil"/>
              <w:right w:val="nil"/>
            </w:tcBorders>
            <w:shd w:val="clear" w:color="auto" w:fill="auto"/>
            <w:vAlign w:val="bottom"/>
          </w:tcPr>
          <w:p w14:paraId="5FA2E00D" w14:textId="2FB8595E" w:rsidR="00641D49" w:rsidRPr="00071D13" w:rsidRDefault="00C320FB" w:rsidP="00641D49">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3.538</w:t>
            </w:r>
          </w:p>
        </w:tc>
        <w:tc>
          <w:tcPr>
            <w:tcW w:w="788" w:type="pct"/>
            <w:tcBorders>
              <w:top w:val="nil"/>
              <w:left w:val="nil"/>
              <w:bottom w:val="nil"/>
              <w:right w:val="nil"/>
            </w:tcBorders>
            <w:shd w:val="clear" w:color="auto" w:fill="auto"/>
            <w:vAlign w:val="bottom"/>
          </w:tcPr>
          <w:p w14:paraId="067A34F5" w14:textId="46F2E207" w:rsidR="00641D49" w:rsidRPr="000D3CE9" w:rsidRDefault="00641D49" w:rsidP="00641D49">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D3CE9">
              <w:rPr>
                <w:rFonts w:ascii="Arial" w:hAnsi="Arial" w:cs="Arial"/>
                <w:sz w:val="20"/>
              </w:rPr>
              <w:t xml:space="preserve"> 3.540 </w:t>
            </w:r>
          </w:p>
        </w:tc>
        <w:tc>
          <w:tcPr>
            <w:tcW w:w="764" w:type="pct"/>
            <w:tcBorders>
              <w:top w:val="nil"/>
              <w:left w:val="nil"/>
              <w:bottom w:val="nil"/>
              <w:right w:val="nil"/>
            </w:tcBorders>
            <w:shd w:val="clear" w:color="auto" w:fill="auto"/>
            <w:vAlign w:val="bottom"/>
          </w:tcPr>
          <w:p w14:paraId="194E5381" w14:textId="1E3DE718" w:rsidR="00641D49" w:rsidRPr="00071D13" w:rsidRDefault="00285DDD" w:rsidP="00641D49">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3.538</w:t>
            </w:r>
          </w:p>
        </w:tc>
        <w:tc>
          <w:tcPr>
            <w:tcW w:w="787" w:type="pct"/>
            <w:tcBorders>
              <w:top w:val="nil"/>
              <w:left w:val="nil"/>
              <w:bottom w:val="nil"/>
              <w:right w:val="nil"/>
            </w:tcBorders>
            <w:shd w:val="clear" w:color="auto" w:fill="auto"/>
            <w:vAlign w:val="bottom"/>
          </w:tcPr>
          <w:p w14:paraId="6CE62DB0" w14:textId="3D4CB980" w:rsidR="00641D49" w:rsidRPr="00641D49" w:rsidRDefault="00641D49" w:rsidP="00641D49">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641D49">
              <w:rPr>
                <w:rFonts w:ascii="Arial" w:hAnsi="Arial" w:cs="Arial"/>
                <w:sz w:val="20"/>
              </w:rPr>
              <w:t xml:space="preserve"> 3.540 </w:t>
            </w:r>
          </w:p>
        </w:tc>
      </w:tr>
      <w:tr w:rsidR="00641D49" w:rsidRPr="00071D13" w14:paraId="78950C3B" w14:textId="77777777" w:rsidTr="00071D13">
        <w:trPr>
          <w:trHeight w:val="259"/>
        </w:trPr>
        <w:tc>
          <w:tcPr>
            <w:tcW w:w="1896" w:type="pct"/>
            <w:vAlign w:val="bottom"/>
          </w:tcPr>
          <w:p w14:paraId="525ED996" w14:textId="77777777" w:rsidR="00641D49" w:rsidRPr="00071D13" w:rsidRDefault="00641D49" w:rsidP="00641D49">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32" w:name="_Toc67328632"/>
            <w:r w:rsidRPr="00071D13">
              <w:rPr>
                <w:rFonts w:ascii="Arial" w:eastAsia="Times New Roman" w:hAnsi="Arial" w:cs="Arial"/>
                <w:color w:val="000000" w:themeColor="text1"/>
                <w:sz w:val="20"/>
                <w:szCs w:val="20"/>
              </w:rPr>
              <w:t>Ostala potraživanja</w:t>
            </w:r>
            <w:bookmarkEnd w:id="432"/>
          </w:p>
        </w:tc>
        <w:tc>
          <w:tcPr>
            <w:tcW w:w="765" w:type="pct"/>
            <w:tcBorders>
              <w:top w:val="nil"/>
              <w:left w:val="nil"/>
              <w:bottom w:val="nil"/>
              <w:right w:val="nil"/>
            </w:tcBorders>
            <w:shd w:val="clear" w:color="auto" w:fill="auto"/>
            <w:vAlign w:val="bottom"/>
          </w:tcPr>
          <w:p w14:paraId="1BCE3BD7" w14:textId="3C3429CA" w:rsidR="00641D49" w:rsidRPr="00071D13" w:rsidRDefault="00C320FB" w:rsidP="00641D49">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1.929</w:t>
            </w:r>
          </w:p>
        </w:tc>
        <w:tc>
          <w:tcPr>
            <w:tcW w:w="788" w:type="pct"/>
            <w:tcBorders>
              <w:top w:val="nil"/>
              <w:left w:val="nil"/>
              <w:bottom w:val="nil"/>
              <w:right w:val="nil"/>
            </w:tcBorders>
            <w:shd w:val="clear" w:color="auto" w:fill="auto"/>
            <w:vAlign w:val="bottom"/>
          </w:tcPr>
          <w:p w14:paraId="51DA739B" w14:textId="24E1C9DE" w:rsidR="00641D49" w:rsidRPr="000D3CE9" w:rsidRDefault="00641D49" w:rsidP="00641D49">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D3CE9">
              <w:rPr>
                <w:rFonts w:ascii="Arial" w:hAnsi="Arial" w:cs="Arial"/>
                <w:sz w:val="20"/>
              </w:rPr>
              <w:t xml:space="preserve"> 1.925 </w:t>
            </w:r>
          </w:p>
        </w:tc>
        <w:tc>
          <w:tcPr>
            <w:tcW w:w="764" w:type="pct"/>
            <w:tcBorders>
              <w:top w:val="nil"/>
              <w:left w:val="nil"/>
              <w:bottom w:val="nil"/>
              <w:right w:val="nil"/>
            </w:tcBorders>
            <w:shd w:val="clear" w:color="auto" w:fill="auto"/>
            <w:vAlign w:val="bottom"/>
          </w:tcPr>
          <w:p w14:paraId="4491EC9B" w14:textId="7C9FFD9E" w:rsidR="00641D49" w:rsidRPr="00071D13" w:rsidRDefault="00285DDD" w:rsidP="00641D49">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1.929</w:t>
            </w:r>
          </w:p>
        </w:tc>
        <w:tc>
          <w:tcPr>
            <w:tcW w:w="787" w:type="pct"/>
            <w:tcBorders>
              <w:top w:val="nil"/>
              <w:left w:val="nil"/>
              <w:bottom w:val="nil"/>
              <w:right w:val="nil"/>
            </w:tcBorders>
            <w:shd w:val="clear" w:color="auto" w:fill="auto"/>
            <w:vAlign w:val="bottom"/>
          </w:tcPr>
          <w:p w14:paraId="2D2ED458" w14:textId="0299D179" w:rsidR="00641D49" w:rsidRPr="00641D49" w:rsidRDefault="00641D49" w:rsidP="00641D49">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641D49">
              <w:rPr>
                <w:rFonts w:ascii="Arial" w:hAnsi="Arial" w:cs="Arial"/>
                <w:sz w:val="20"/>
              </w:rPr>
              <w:t xml:space="preserve"> 1.925 </w:t>
            </w:r>
          </w:p>
        </w:tc>
      </w:tr>
      <w:tr w:rsidR="00641D49" w:rsidRPr="00071D13" w14:paraId="1C148589" w14:textId="77777777" w:rsidTr="00071D13">
        <w:trPr>
          <w:trHeight w:val="278"/>
        </w:trPr>
        <w:tc>
          <w:tcPr>
            <w:tcW w:w="1896" w:type="pct"/>
            <w:vAlign w:val="bottom"/>
          </w:tcPr>
          <w:p w14:paraId="09033297" w14:textId="77777777" w:rsidR="00641D49" w:rsidRPr="00071D13" w:rsidRDefault="00641D49" w:rsidP="00641D49">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33" w:name="_Toc67328637"/>
            <w:r w:rsidRPr="00071D13">
              <w:rPr>
                <w:rFonts w:ascii="Arial" w:eastAsia="Times New Roman" w:hAnsi="Arial" w:cs="Arial"/>
                <w:color w:val="000000" w:themeColor="text1"/>
                <w:sz w:val="20"/>
                <w:szCs w:val="20"/>
              </w:rPr>
              <w:t>Unaprijed plaćeni troškovi</w:t>
            </w:r>
            <w:bookmarkEnd w:id="433"/>
          </w:p>
        </w:tc>
        <w:tc>
          <w:tcPr>
            <w:tcW w:w="765" w:type="pct"/>
            <w:tcBorders>
              <w:top w:val="nil"/>
              <w:left w:val="nil"/>
              <w:bottom w:val="nil"/>
              <w:right w:val="nil"/>
            </w:tcBorders>
            <w:shd w:val="clear" w:color="auto" w:fill="auto"/>
            <w:vAlign w:val="bottom"/>
          </w:tcPr>
          <w:p w14:paraId="5AB887C5" w14:textId="2150F2A1" w:rsidR="00641D49" w:rsidRPr="00071D13" w:rsidRDefault="00C320FB" w:rsidP="00641D49">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750</w:t>
            </w:r>
          </w:p>
        </w:tc>
        <w:tc>
          <w:tcPr>
            <w:tcW w:w="788" w:type="pct"/>
            <w:tcBorders>
              <w:top w:val="nil"/>
              <w:left w:val="nil"/>
              <w:bottom w:val="nil"/>
              <w:right w:val="nil"/>
            </w:tcBorders>
            <w:shd w:val="clear" w:color="auto" w:fill="auto"/>
            <w:vAlign w:val="bottom"/>
          </w:tcPr>
          <w:p w14:paraId="743D8441" w14:textId="6E656215" w:rsidR="00641D49" w:rsidRPr="000D3CE9" w:rsidRDefault="00641D49" w:rsidP="00641D49">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D3CE9">
              <w:rPr>
                <w:rFonts w:ascii="Arial" w:hAnsi="Arial" w:cs="Arial"/>
                <w:sz w:val="20"/>
              </w:rPr>
              <w:t>492</w:t>
            </w:r>
          </w:p>
        </w:tc>
        <w:tc>
          <w:tcPr>
            <w:tcW w:w="764" w:type="pct"/>
            <w:tcBorders>
              <w:top w:val="nil"/>
              <w:left w:val="nil"/>
              <w:bottom w:val="nil"/>
              <w:right w:val="nil"/>
            </w:tcBorders>
            <w:shd w:val="clear" w:color="auto" w:fill="auto"/>
            <w:vAlign w:val="bottom"/>
          </w:tcPr>
          <w:p w14:paraId="77079CD5" w14:textId="749D4E3C" w:rsidR="00641D49" w:rsidRPr="00071D13" w:rsidRDefault="00285DDD" w:rsidP="00641D49">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725</w:t>
            </w:r>
          </w:p>
        </w:tc>
        <w:tc>
          <w:tcPr>
            <w:tcW w:w="787" w:type="pct"/>
            <w:tcBorders>
              <w:top w:val="nil"/>
              <w:left w:val="nil"/>
              <w:bottom w:val="nil"/>
              <w:right w:val="nil"/>
            </w:tcBorders>
            <w:shd w:val="clear" w:color="auto" w:fill="auto"/>
            <w:vAlign w:val="bottom"/>
          </w:tcPr>
          <w:p w14:paraId="7A1894E1" w14:textId="11B0719F" w:rsidR="00641D49" w:rsidRPr="00641D49" w:rsidRDefault="00641D49" w:rsidP="00641D49">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641D49">
              <w:rPr>
                <w:rFonts w:ascii="Arial" w:hAnsi="Arial" w:cs="Arial"/>
                <w:sz w:val="20"/>
              </w:rPr>
              <w:t xml:space="preserve"> 477 </w:t>
            </w:r>
          </w:p>
        </w:tc>
      </w:tr>
      <w:tr w:rsidR="00641D49" w:rsidRPr="00071D13" w14:paraId="51824975" w14:textId="77777777" w:rsidTr="00071D13">
        <w:trPr>
          <w:trHeight w:val="278"/>
        </w:trPr>
        <w:tc>
          <w:tcPr>
            <w:tcW w:w="1896" w:type="pct"/>
            <w:vAlign w:val="bottom"/>
          </w:tcPr>
          <w:p w14:paraId="5A538DBE" w14:textId="77777777" w:rsidR="00641D49" w:rsidRPr="00071D13" w:rsidRDefault="00641D49" w:rsidP="00641D49">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34" w:name="_Toc67328642"/>
            <w:r w:rsidRPr="00071D13">
              <w:rPr>
                <w:rFonts w:ascii="Arial" w:eastAsia="Times New Roman" w:hAnsi="Arial" w:cs="Arial"/>
                <w:color w:val="000000" w:themeColor="text1"/>
                <w:sz w:val="20"/>
                <w:szCs w:val="20"/>
              </w:rPr>
              <w:t>Obračunati prihodi</w:t>
            </w:r>
            <w:bookmarkEnd w:id="434"/>
            <w:r w:rsidRPr="00071D13">
              <w:rPr>
                <w:rFonts w:ascii="Arial" w:eastAsia="Times New Roman" w:hAnsi="Arial" w:cs="Arial"/>
                <w:color w:val="000000" w:themeColor="text1"/>
                <w:sz w:val="20"/>
                <w:szCs w:val="20"/>
              </w:rPr>
              <w:t xml:space="preserve"> </w:t>
            </w:r>
          </w:p>
        </w:tc>
        <w:tc>
          <w:tcPr>
            <w:tcW w:w="765" w:type="pct"/>
            <w:tcBorders>
              <w:top w:val="nil"/>
              <w:left w:val="nil"/>
              <w:bottom w:val="nil"/>
              <w:right w:val="nil"/>
            </w:tcBorders>
            <w:shd w:val="clear" w:color="auto" w:fill="auto"/>
            <w:vAlign w:val="bottom"/>
          </w:tcPr>
          <w:p w14:paraId="52719BF9" w14:textId="4107DCE6" w:rsidR="00641D49" w:rsidRPr="00071D13" w:rsidRDefault="00C320FB" w:rsidP="00641D49">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3.374</w:t>
            </w:r>
          </w:p>
        </w:tc>
        <w:tc>
          <w:tcPr>
            <w:tcW w:w="788" w:type="pct"/>
            <w:tcBorders>
              <w:top w:val="nil"/>
              <w:left w:val="nil"/>
              <w:bottom w:val="nil"/>
              <w:right w:val="nil"/>
            </w:tcBorders>
            <w:shd w:val="clear" w:color="auto" w:fill="auto"/>
            <w:vAlign w:val="bottom"/>
          </w:tcPr>
          <w:p w14:paraId="6B797326" w14:textId="79F7E612" w:rsidR="00641D49" w:rsidRPr="000D3CE9" w:rsidRDefault="00641D49" w:rsidP="00641D49">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D3CE9">
              <w:rPr>
                <w:rFonts w:ascii="Arial" w:hAnsi="Arial" w:cs="Arial"/>
                <w:sz w:val="20"/>
              </w:rPr>
              <w:t xml:space="preserve"> 3.057 </w:t>
            </w:r>
          </w:p>
        </w:tc>
        <w:tc>
          <w:tcPr>
            <w:tcW w:w="764" w:type="pct"/>
            <w:tcBorders>
              <w:top w:val="nil"/>
              <w:left w:val="nil"/>
              <w:bottom w:val="nil"/>
              <w:right w:val="nil"/>
            </w:tcBorders>
            <w:shd w:val="clear" w:color="auto" w:fill="auto"/>
            <w:vAlign w:val="bottom"/>
          </w:tcPr>
          <w:p w14:paraId="2D4374E3" w14:textId="4911D525" w:rsidR="00641D49" w:rsidRPr="00071D13" w:rsidRDefault="00285DDD" w:rsidP="00641D49">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3.374</w:t>
            </w:r>
          </w:p>
        </w:tc>
        <w:tc>
          <w:tcPr>
            <w:tcW w:w="787" w:type="pct"/>
            <w:tcBorders>
              <w:top w:val="nil"/>
              <w:left w:val="nil"/>
              <w:bottom w:val="nil"/>
              <w:right w:val="nil"/>
            </w:tcBorders>
            <w:shd w:val="clear" w:color="auto" w:fill="auto"/>
            <w:vAlign w:val="bottom"/>
          </w:tcPr>
          <w:p w14:paraId="0FE7FA84" w14:textId="5CC77263" w:rsidR="00641D49" w:rsidRPr="00641D49" w:rsidRDefault="00641D49" w:rsidP="00641D49">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641D49">
              <w:rPr>
                <w:rFonts w:ascii="Arial" w:hAnsi="Arial" w:cs="Arial"/>
                <w:sz w:val="20"/>
              </w:rPr>
              <w:t xml:space="preserve"> 3.057 </w:t>
            </w:r>
          </w:p>
        </w:tc>
      </w:tr>
      <w:tr w:rsidR="00641D49" w:rsidRPr="00071D13" w14:paraId="6E73BBC7" w14:textId="77777777" w:rsidTr="005D1219">
        <w:trPr>
          <w:trHeight w:val="278"/>
        </w:trPr>
        <w:tc>
          <w:tcPr>
            <w:tcW w:w="1896" w:type="pct"/>
          </w:tcPr>
          <w:p w14:paraId="7C0302EC" w14:textId="3218426C" w:rsidR="00641D49" w:rsidRPr="009D4F69" w:rsidRDefault="00641D49" w:rsidP="00641D49">
            <w:pPr>
              <w:tabs>
                <w:tab w:val="right" w:pos="1202"/>
              </w:tabs>
              <w:suppressAutoHyphens/>
              <w:autoSpaceDN w:val="0"/>
              <w:spacing w:line="301" w:lineRule="exact"/>
              <w:outlineLvl w:val="0"/>
              <w:rPr>
                <w:rFonts w:ascii="Arial" w:eastAsia="Times New Roman" w:hAnsi="Arial" w:cs="Arial"/>
                <w:color w:val="000000" w:themeColor="text1"/>
                <w:sz w:val="20"/>
                <w:szCs w:val="20"/>
              </w:rPr>
            </w:pPr>
            <w:r w:rsidRPr="005D1219">
              <w:rPr>
                <w:rFonts w:ascii="Arial" w:hAnsi="Arial" w:cs="Arial"/>
                <w:color w:val="000000" w:themeColor="text1"/>
                <w:sz w:val="20"/>
              </w:rPr>
              <w:t>Imovina iz ugovora o reosiguranju</w:t>
            </w:r>
          </w:p>
        </w:tc>
        <w:tc>
          <w:tcPr>
            <w:tcW w:w="765" w:type="pct"/>
            <w:tcBorders>
              <w:top w:val="nil"/>
              <w:left w:val="nil"/>
              <w:bottom w:val="nil"/>
              <w:right w:val="nil"/>
            </w:tcBorders>
            <w:shd w:val="clear" w:color="auto" w:fill="auto"/>
            <w:vAlign w:val="bottom"/>
          </w:tcPr>
          <w:p w14:paraId="1A9403C9" w14:textId="1B612029" w:rsidR="00641D49" w:rsidRPr="00071D13" w:rsidRDefault="00C320FB" w:rsidP="00641D49">
            <w:pPr>
              <w:tabs>
                <w:tab w:val="right" w:pos="1202"/>
              </w:tabs>
              <w:suppressAutoHyphens/>
              <w:autoSpaceDN w:val="0"/>
              <w:spacing w:line="301" w:lineRule="exact"/>
              <w:jc w:val="right"/>
              <w:outlineLvl w:val="0"/>
              <w:rPr>
                <w:rFonts w:ascii="Arial" w:hAnsi="Arial" w:cs="Arial"/>
                <w:sz w:val="20"/>
                <w:szCs w:val="20"/>
              </w:rPr>
            </w:pPr>
            <w:r>
              <w:rPr>
                <w:rFonts w:ascii="Arial" w:hAnsi="Arial" w:cs="Arial"/>
                <w:sz w:val="20"/>
                <w:szCs w:val="20"/>
              </w:rPr>
              <w:t>812</w:t>
            </w:r>
          </w:p>
        </w:tc>
        <w:tc>
          <w:tcPr>
            <w:tcW w:w="788" w:type="pct"/>
            <w:tcBorders>
              <w:top w:val="nil"/>
              <w:left w:val="nil"/>
              <w:bottom w:val="nil"/>
              <w:right w:val="nil"/>
            </w:tcBorders>
            <w:shd w:val="clear" w:color="auto" w:fill="auto"/>
            <w:vAlign w:val="bottom"/>
          </w:tcPr>
          <w:p w14:paraId="3B61E6CC" w14:textId="36424503" w:rsidR="00641D49" w:rsidRPr="000D3CE9" w:rsidRDefault="00641D49" w:rsidP="00641D49">
            <w:pPr>
              <w:tabs>
                <w:tab w:val="right" w:pos="1202"/>
              </w:tabs>
              <w:suppressAutoHyphens/>
              <w:autoSpaceDN w:val="0"/>
              <w:spacing w:line="301" w:lineRule="exact"/>
              <w:jc w:val="right"/>
              <w:outlineLvl w:val="0"/>
              <w:rPr>
                <w:rFonts w:ascii="Arial" w:hAnsi="Arial" w:cs="Arial"/>
                <w:sz w:val="20"/>
                <w:szCs w:val="20"/>
              </w:rPr>
            </w:pPr>
            <w:r w:rsidRPr="000D3CE9">
              <w:rPr>
                <w:rFonts w:ascii="Arial" w:hAnsi="Arial" w:cs="Arial"/>
                <w:sz w:val="20"/>
              </w:rPr>
              <w:t>733</w:t>
            </w:r>
          </w:p>
        </w:tc>
        <w:tc>
          <w:tcPr>
            <w:tcW w:w="764" w:type="pct"/>
            <w:tcBorders>
              <w:top w:val="nil"/>
              <w:left w:val="nil"/>
              <w:bottom w:val="nil"/>
              <w:right w:val="nil"/>
            </w:tcBorders>
            <w:shd w:val="clear" w:color="auto" w:fill="auto"/>
            <w:vAlign w:val="bottom"/>
          </w:tcPr>
          <w:p w14:paraId="35E00377" w14:textId="071A0C53" w:rsidR="00641D49" w:rsidRPr="00071D13" w:rsidRDefault="00285DDD" w:rsidP="00641D49">
            <w:pPr>
              <w:tabs>
                <w:tab w:val="right" w:pos="1202"/>
              </w:tabs>
              <w:suppressAutoHyphens/>
              <w:autoSpaceDN w:val="0"/>
              <w:spacing w:line="301" w:lineRule="exact"/>
              <w:jc w:val="right"/>
              <w:outlineLvl w:val="0"/>
              <w:rPr>
                <w:rFonts w:ascii="Arial" w:hAnsi="Arial" w:cs="Arial"/>
                <w:sz w:val="20"/>
                <w:szCs w:val="20"/>
              </w:rPr>
            </w:pPr>
            <w:r>
              <w:rPr>
                <w:rFonts w:ascii="Arial" w:hAnsi="Arial" w:cs="Arial"/>
                <w:sz w:val="20"/>
                <w:szCs w:val="20"/>
              </w:rPr>
              <w:t>-</w:t>
            </w:r>
          </w:p>
        </w:tc>
        <w:tc>
          <w:tcPr>
            <w:tcW w:w="787" w:type="pct"/>
            <w:tcBorders>
              <w:top w:val="nil"/>
              <w:left w:val="nil"/>
              <w:bottom w:val="nil"/>
              <w:right w:val="nil"/>
            </w:tcBorders>
            <w:shd w:val="clear" w:color="auto" w:fill="auto"/>
            <w:vAlign w:val="bottom"/>
          </w:tcPr>
          <w:p w14:paraId="6DF1C086" w14:textId="6A7C226B" w:rsidR="00641D49" w:rsidRPr="00641D49" w:rsidRDefault="00641D49" w:rsidP="00641D49">
            <w:pPr>
              <w:tabs>
                <w:tab w:val="right" w:pos="1202"/>
              </w:tabs>
              <w:suppressAutoHyphens/>
              <w:autoSpaceDN w:val="0"/>
              <w:spacing w:line="301" w:lineRule="exact"/>
              <w:jc w:val="right"/>
              <w:outlineLvl w:val="0"/>
              <w:rPr>
                <w:rFonts w:ascii="Arial" w:hAnsi="Arial" w:cs="Arial"/>
                <w:sz w:val="20"/>
                <w:szCs w:val="20"/>
              </w:rPr>
            </w:pPr>
            <w:r w:rsidRPr="00641D49">
              <w:rPr>
                <w:rFonts w:ascii="Arial" w:hAnsi="Arial" w:cs="Arial"/>
                <w:sz w:val="20"/>
              </w:rPr>
              <w:t>-</w:t>
            </w:r>
          </w:p>
        </w:tc>
      </w:tr>
      <w:tr w:rsidR="00641D49" w:rsidRPr="00071D13" w14:paraId="1469DF23" w14:textId="77777777" w:rsidTr="00071D13">
        <w:trPr>
          <w:trHeight w:val="278"/>
        </w:trPr>
        <w:tc>
          <w:tcPr>
            <w:tcW w:w="1896" w:type="pct"/>
            <w:vAlign w:val="bottom"/>
          </w:tcPr>
          <w:p w14:paraId="2871E8D0" w14:textId="18931A99" w:rsidR="00641D49" w:rsidRPr="00071D13" w:rsidRDefault="00641D49" w:rsidP="00641D49">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35" w:name="_Toc67328657"/>
            <w:r w:rsidRPr="00071D13">
              <w:rPr>
                <w:rFonts w:ascii="Arial" w:eastAsia="Times New Roman" w:hAnsi="Arial" w:cs="Arial"/>
                <w:color w:val="000000" w:themeColor="text1"/>
                <w:sz w:val="20"/>
                <w:szCs w:val="20"/>
              </w:rPr>
              <w:t>Potraživanja po naknadama za procjenu rizika</w:t>
            </w:r>
            <w:bookmarkEnd w:id="435"/>
          </w:p>
        </w:tc>
        <w:tc>
          <w:tcPr>
            <w:tcW w:w="765" w:type="pct"/>
            <w:tcBorders>
              <w:top w:val="nil"/>
              <w:left w:val="nil"/>
              <w:bottom w:val="nil"/>
              <w:right w:val="nil"/>
            </w:tcBorders>
            <w:shd w:val="clear" w:color="auto" w:fill="auto"/>
            <w:vAlign w:val="bottom"/>
          </w:tcPr>
          <w:p w14:paraId="34FD2B63" w14:textId="50CEB2B8" w:rsidR="00641D49" w:rsidRPr="00071D13" w:rsidRDefault="00C320FB" w:rsidP="00641D49">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34</w:t>
            </w:r>
          </w:p>
        </w:tc>
        <w:tc>
          <w:tcPr>
            <w:tcW w:w="788" w:type="pct"/>
            <w:tcBorders>
              <w:top w:val="nil"/>
              <w:left w:val="nil"/>
              <w:bottom w:val="nil"/>
              <w:right w:val="nil"/>
            </w:tcBorders>
            <w:shd w:val="clear" w:color="auto" w:fill="auto"/>
            <w:vAlign w:val="bottom"/>
          </w:tcPr>
          <w:p w14:paraId="6F7634CD" w14:textId="2D80ED7F" w:rsidR="00641D49" w:rsidRPr="000D3CE9" w:rsidRDefault="00641D49" w:rsidP="00641D49">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D3CE9">
              <w:rPr>
                <w:rFonts w:ascii="Arial" w:hAnsi="Arial" w:cs="Arial"/>
                <w:sz w:val="20"/>
              </w:rPr>
              <w:t xml:space="preserve"> 35 </w:t>
            </w:r>
          </w:p>
        </w:tc>
        <w:tc>
          <w:tcPr>
            <w:tcW w:w="764" w:type="pct"/>
            <w:tcBorders>
              <w:top w:val="nil"/>
              <w:left w:val="nil"/>
              <w:bottom w:val="nil"/>
              <w:right w:val="nil"/>
            </w:tcBorders>
            <w:shd w:val="clear" w:color="auto" w:fill="auto"/>
            <w:vAlign w:val="bottom"/>
          </w:tcPr>
          <w:p w14:paraId="24D49363" w14:textId="2EBB6D25" w:rsidR="00641D49" w:rsidRPr="00071D13" w:rsidRDefault="00285DDD" w:rsidP="00641D49">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787" w:type="pct"/>
            <w:tcBorders>
              <w:top w:val="nil"/>
              <w:left w:val="nil"/>
              <w:bottom w:val="nil"/>
              <w:right w:val="nil"/>
            </w:tcBorders>
            <w:shd w:val="clear" w:color="auto" w:fill="auto"/>
            <w:vAlign w:val="bottom"/>
          </w:tcPr>
          <w:p w14:paraId="0A26FAA2" w14:textId="41413F20" w:rsidR="00641D49" w:rsidRPr="00641D49" w:rsidRDefault="00641D49" w:rsidP="00641D49">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641D49">
              <w:rPr>
                <w:rFonts w:ascii="Arial" w:hAnsi="Arial" w:cs="Arial"/>
                <w:sz w:val="20"/>
              </w:rPr>
              <w:t>-</w:t>
            </w:r>
          </w:p>
        </w:tc>
      </w:tr>
      <w:tr w:rsidR="00641D49" w:rsidRPr="00071D13" w14:paraId="652E6308" w14:textId="77777777" w:rsidTr="00071D13">
        <w:trPr>
          <w:trHeight w:val="278"/>
        </w:trPr>
        <w:tc>
          <w:tcPr>
            <w:tcW w:w="1896" w:type="pct"/>
            <w:vAlign w:val="bottom"/>
          </w:tcPr>
          <w:p w14:paraId="3CA203BA" w14:textId="77777777" w:rsidR="00641D49" w:rsidRPr="00071D13" w:rsidRDefault="00641D49" w:rsidP="00641D49">
            <w:pPr>
              <w:tabs>
                <w:tab w:val="right" w:pos="1202"/>
              </w:tabs>
              <w:suppressAutoHyphens/>
              <w:autoSpaceDN w:val="0"/>
              <w:spacing w:line="301" w:lineRule="exact"/>
              <w:outlineLvl w:val="0"/>
              <w:rPr>
                <w:rFonts w:ascii="Arial" w:eastAsia="Times New Roman" w:hAnsi="Arial" w:cs="Arial"/>
                <w:color w:val="000000" w:themeColor="text1"/>
                <w:sz w:val="20"/>
                <w:szCs w:val="20"/>
              </w:rPr>
            </w:pPr>
            <w:r w:rsidRPr="00071D13">
              <w:rPr>
                <w:rFonts w:ascii="Arial" w:eastAsia="Times New Roman" w:hAnsi="Arial" w:cs="Arial"/>
                <w:color w:val="000000" w:themeColor="text1"/>
                <w:sz w:val="20"/>
                <w:szCs w:val="20"/>
              </w:rPr>
              <w:t>Odgođena porezna imovina</w:t>
            </w:r>
          </w:p>
        </w:tc>
        <w:tc>
          <w:tcPr>
            <w:tcW w:w="765" w:type="pct"/>
            <w:tcBorders>
              <w:top w:val="nil"/>
              <w:left w:val="nil"/>
              <w:bottom w:val="nil"/>
              <w:right w:val="nil"/>
            </w:tcBorders>
            <w:shd w:val="clear" w:color="auto" w:fill="auto"/>
            <w:vAlign w:val="bottom"/>
          </w:tcPr>
          <w:p w14:paraId="2E75D163" w14:textId="1BEE5E60" w:rsidR="00641D49" w:rsidRPr="00071D13" w:rsidRDefault="00C320FB" w:rsidP="00641D49">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126</w:t>
            </w:r>
          </w:p>
        </w:tc>
        <w:tc>
          <w:tcPr>
            <w:tcW w:w="788" w:type="pct"/>
            <w:tcBorders>
              <w:top w:val="nil"/>
              <w:left w:val="nil"/>
              <w:bottom w:val="nil"/>
              <w:right w:val="nil"/>
            </w:tcBorders>
            <w:shd w:val="clear" w:color="auto" w:fill="auto"/>
            <w:vAlign w:val="bottom"/>
          </w:tcPr>
          <w:p w14:paraId="78EE7C22" w14:textId="6BB3CDC2" w:rsidR="00641D49" w:rsidRPr="000D3CE9" w:rsidRDefault="00641D49" w:rsidP="00641D49">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D3CE9">
              <w:rPr>
                <w:rFonts w:ascii="Arial" w:hAnsi="Arial" w:cs="Arial"/>
                <w:sz w:val="20"/>
              </w:rPr>
              <w:t xml:space="preserve"> 140 </w:t>
            </w:r>
          </w:p>
        </w:tc>
        <w:tc>
          <w:tcPr>
            <w:tcW w:w="764" w:type="pct"/>
            <w:tcBorders>
              <w:top w:val="nil"/>
              <w:left w:val="nil"/>
              <w:bottom w:val="nil"/>
              <w:right w:val="nil"/>
            </w:tcBorders>
            <w:shd w:val="clear" w:color="auto" w:fill="auto"/>
            <w:vAlign w:val="bottom"/>
          </w:tcPr>
          <w:p w14:paraId="701D14E4" w14:textId="6460EE4C" w:rsidR="00641D49" w:rsidRPr="00071D13" w:rsidRDefault="00285DDD" w:rsidP="00641D49">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787" w:type="pct"/>
            <w:tcBorders>
              <w:top w:val="nil"/>
              <w:left w:val="nil"/>
              <w:bottom w:val="nil"/>
              <w:right w:val="nil"/>
            </w:tcBorders>
            <w:shd w:val="clear" w:color="auto" w:fill="auto"/>
            <w:vAlign w:val="bottom"/>
          </w:tcPr>
          <w:p w14:paraId="26B76870" w14:textId="783609BA" w:rsidR="00641D49" w:rsidRPr="00641D49" w:rsidRDefault="00641D49" w:rsidP="00641D49">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641D49">
              <w:rPr>
                <w:rFonts w:ascii="Arial" w:hAnsi="Arial" w:cs="Arial"/>
                <w:sz w:val="20"/>
              </w:rPr>
              <w:t>-</w:t>
            </w:r>
          </w:p>
        </w:tc>
      </w:tr>
      <w:tr w:rsidR="00C320FB" w:rsidRPr="00071D13" w14:paraId="193A772B" w14:textId="77777777" w:rsidTr="00071D13">
        <w:trPr>
          <w:trHeight w:val="278"/>
        </w:trPr>
        <w:tc>
          <w:tcPr>
            <w:tcW w:w="1896" w:type="pct"/>
            <w:vAlign w:val="bottom"/>
          </w:tcPr>
          <w:p w14:paraId="27709CA1" w14:textId="6FB2CDFD" w:rsidR="00C320FB" w:rsidRPr="00071D13" w:rsidRDefault="00C320FB" w:rsidP="00641D49">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36" w:name="_Hlk167111014"/>
            <w:r>
              <w:rPr>
                <w:rFonts w:ascii="Arial" w:eastAsia="Times New Roman" w:hAnsi="Arial" w:cs="Arial"/>
                <w:color w:val="000000" w:themeColor="text1"/>
                <w:sz w:val="20"/>
                <w:szCs w:val="20"/>
              </w:rPr>
              <w:t>Tekuća porezna obveza</w:t>
            </w:r>
          </w:p>
        </w:tc>
        <w:tc>
          <w:tcPr>
            <w:tcW w:w="765" w:type="pct"/>
            <w:tcBorders>
              <w:top w:val="nil"/>
              <w:left w:val="nil"/>
              <w:bottom w:val="nil"/>
              <w:right w:val="nil"/>
            </w:tcBorders>
            <w:shd w:val="clear" w:color="auto" w:fill="auto"/>
            <w:vAlign w:val="bottom"/>
          </w:tcPr>
          <w:p w14:paraId="2635903A" w14:textId="3272A802" w:rsidR="00C320FB" w:rsidRDefault="00C320FB" w:rsidP="00641D49">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14</w:t>
            </w:r>
          </w:p>
        </w:tc>
        <w:tc>
          <w:tcPr>
            <w:tcW w:w="788" w:type="pct"/>
            <w:tcBorders>
              <w:top w:val="nil"/>
              <w:left w:val="nil"/>
              <w:bottom w:val="nil"/>
              <w:right w:val="nil"/>
            </w:tcBorders>
            <w:shd w:val="clear" w:color="auto" w:fill="auto"/>
            <w:vAlign w:val="bottom"/>
          </w:tcPr>
          <w:p w14:paraId="6FEABC56" w14:textId="73A42532" w:rsidR="00C320FB" w:rsidRPr="000D3CE9" w:rsidRDefault="00C320FB" w:rsidP="00641D49">
            <w:pPr>
              <w:tabs>
                <w:tab w:val="right" w:pos="1202"/>
              </w:tabs>
              <w:suppressAutoHyphens/>
              <w:autoSpaceDN w:val="0"/>
              <w:spacing w:line="301" w:lineRule="exact"/>
              <w:jc w:val="right"/>
              <w:outlineLvl w:val="0"/>
              <w:rPr>
                <w:rFonts w:ascii="Arial" w:hAnsi="Arial" w:cs="Arial"/>
                <w:sz w:val="20"/>
              </w:rPr>
            </w:pPr>
            <w:r>
              <w:rPr>
                <w:rFonts w:ascii="Arial" w:hAnsi="Arial" w:cs="Arial"/>
                <w:sz w:val="20"/>
              </w:rPr>
              <w:t>-</w:t>
            </w:r>
          </w:p>
        </w:tc>
        <w:tc>
          <w:tcPr>
            <w:tcW w:w="764" w:type="pct"/>
            <w:tcBorders>
              <w:top w:val="nil"/>
              <w:left w:val="nil"/>
              <w:bottom w:val="nil"/>
              <w:right w:val="nil"/>
            </w:tcBorders>
            <w:shd w:val="clear" w:color="auto" w:fill="auto"/>
            <w:vAlign w:val="bottom"/>
          </w:tcPr>
          <w:p w14:paraId="1B482315" w14:textId="7B33F283" w:rsidR="00C320FB" w:rsidRDefault="00C320FB" w:rsidP="00641D49">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787" w:type="pct"/>
            <w:tcBorders>
              <w:top w:val="nil"/>
              <w:left w:val="nil"/>
              <w:bottom w:val="nil"/>
              <w:right w:val="nil"/>
            </w:tcBorders>
            <w:shd w:val="clear" w:color="auto" w:fill="auto"/>
            <w:vAlign w:val="bottom"/>
          </w:tcPr>
          <w:p w14:paraId="3976AF93" w14:textId="12EB7577" w:rsidR="00C320FB" w:rsidRPr="00641D49" w:rsidRDefault="00C320FB" w:rsidP="00641D49">
            <w:pPr>
              <w:tabs>
                <w:tab w:val="right" w:pos="1202"/>
              </w:tabs>
              <w:suppressAutoHyphens/>
              <w:autoSpaceDN w:val="0"/>
              <w:spacing w:line="301" w:lineRule="exact"/>
              <w:jc w:val="right"/>
              <w:outlineLvl w:val="0"/>
              <w:rPr>
                <w:rFonts w:ascii="Arial" w:hAnsi="Arial" w:cs="Arial"/>
                <w:sz w:val="20"/>
              </w:rPr>
            </w:pPr>
            <w:r>
              <w:rPr>
                <w:rFonts w:ascii="Arial" w:hAnsi="Arial" w:cs="Arial"/>
                <w:sz w:val="20"/>
              </w:rPr>
              <w:t>-</w:t>
            </w:r>
          </w:p>
        </w:tc>
      </w:tr>
      <w:tr w:rsidR="00641D49" w:rsidRPr="00071D13" w14:paraId="1BF3EFDB" w14:textId="77777777" w:rsidTr="00071D13">
        <w:trPr>
          <w:trHeight w:val="278"/>
        </w:trPr>
        <w:tc>
          <w:tcPr>
            <w:tcW w:w="1896" w:type="pct"/>
            <w:vAlign w:val="bottom"/>
          </w:tcPr>
          <w:p w14:paraId="3F9A1BA6" w14:textId="55DFECE2" w:rsidR="00641D49" w:rsidRPr="00071D13" w:rsidRDefault="00641D49" w:rsidP="00641D49">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37" w:name="_Toc67328662"/>
            <w:bookmarkEnd w:id="436"/>
            <w:r w:rsidRPr="00071D13">
              <w:rPr>
                <w:rFonts w:ascii="Arial" w:eastAsia="Times New Roman" w:hAnsi="Arial" w:cs="Arial"/>
                <w:color w:val="000000" w:themeColor="text1"/>
                <w:sz w:val="20"/>
                <w:szCs w:val="20"/>
              </w:rPr>
              <w:t>Imovina u najmu</w:t>
            </w:r>
            <w:bookmarkEnd w:id="437"/>
          </w:p>
        </w:tc>
        <w:tc>
          <w:tcPr>
            <w:tcW w:w="765" w:type="pct"/>
            <w:tcBorders>
              <w:top w:val="nil"/>
              <w:left w:val="nil"/>
              <w:bottom w:val="nil"/>
              <w:right w:val="nil"/>
            </w:tcBorders>
            <w:shd w:val="clear" w:color="auto" w:fill="auto"/>
            <w:vAlign w:val="bottom"/>
          </w:tcPr>
          <w:p w14:paraId="16237ECE" w14:textId="3640FBA2" w:rsidR="00641D49" w:rsidRPr="00071D13" w:rsidDel="004A2B3D" w:rsidRDefault="00C320FB" w:rsidP="00641D49">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1.827</w:t>
            </w:r>
          </w:p>
        </w:tc>
        <w:tc>
          <w:tcPr>
            <w:tcW w:w="788" w:type="pct"/>
            <w:tcBorders>
              <w:top w:val="nil"/>
              <w:left w:val="nil"/>
              <w:bottom w:val="nil"/>
              <w:right w:val="nil"/>
            </w:tcBorders>
            <w:shd w:val="clear" w:color="auto" w:fill="auto"/>
            <w:vAlign w:val="bottom"/>
          </w:tcPr>
          <w:p w14:paraId="6AC473F5" w14:textId="7997C444" w:rsidR="00641D49" w:rsidRPr="000D3CE9" w:rsidRDefault="00641D49" w:rsidP="00641D49">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D3CE9">
              <w:rPr>
                <w:rFonts w:ascii="Arial" w:hAnsi="Arial" w:cs="Arial"/>
                <w:sz w:val="20"/>
              </w:rPr>
              <w:t xml:space="preserve"> 2.032 </w:t>
            </w:r>
          </w:p>
        </w:tc>
        <w:tc>
          <w:tcPr>
            <w:tcW w:w="764" w:type="pct"/>
            <w:tcBorders>
              <w:top w:val="nil"/>
              <w:left w:val="nil"/>
              <w:bottom w:val="nil"/>
              <w:right w:val="nil"/>
            </w:tcBorders>
            <w:shd w:val="clear" w:color="auto" w:fill="auto"/>
            <w:vAlign w:val="bottom"/>
          </w:tcPr>
          <w:p w14:paraId="0DA17704" w14:textId="20516FE0" w:rsidR="00641D49" w:rsidRPr="00071D13" w:rsidDel="004A2B3D" w:rsidRDefault="00285DDD" w:rsidP="00641D49">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1.827</w:t>
            </w:r>
          </w:p>
        </w:tc>
        <w:tc>
          <w:tcPr>
            <w:tcW w:w="787" w:type="pct"/>
            <w:tcBorders>
              <w:top w:val="nil"/>
              <w:left w:val="nil"/>
              <w:bottom w:val="nil"/>
              <w:right w:val="nil"/>
            </w:tcBorders>
            <w:shd w:val="clear" w:color="auto" w:fill="auto"/>
            <w:vAlign w:val="bottom"/>
          </w:tcPr>
          <w:p w14:paraId="065F956B" w14:textId="066F25DB" w:rsidR="00641D49" w:rsidRPr="00641D49" w:rsidRDefault="00641D49" w:rsidP="00641D49">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641D49">
              <w:rPr>
                <w:rFonts w:ascii="Arial" w:hAnsi="Arial" w:cs="Arial"/>
                <w:sz w:val="20"/>
              </w:rPr>
              <w:t>2.032</w:t>
            </w:r>
          </w:p>
        </w:tc>
      </w:tr>
      <w:tr w:rsidR="00641D49" w:rsidRPr="00071D13" w14:paraId="36BE5C17" w14:textId="77777777" w:rsidTr="00071D13">
        <w:trPr>
          <w:trHeight w:val="278"/>
        </w:trPr>
        <w:tc>
          <w:tcPr>
            <w:tcW w:w="1896" w:type="pct"/>
            <w:vAlign w:val="bottom"/>
          </w:tcPr>
          <w:p w14:paraId="7845710F" w14:textId="7F9F2F0C" w:rsidR="00641D49" w:rsidRPr="00071D13" w:rsidRDefault="00641D49" w:rsidP="00641D49">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38" w:name="_Toc67328667"/>
            <w:r w:rsidRPr="00071D13">
              <w:rPr>
                <w:rFonts w:ascii="Arial" w:eastAsia="Times New Roman" w:hAnsi="Arial" w:cs="Arial"/>
                <w:color w:val="000000" w:themeColor="text1"/>
                <w:sz w:val="20"/>
                <w:szCs w:val="20"/>
              </w:rPr>
              <w:t>Ostala imovina</w:t>
            </w:r>
            <w:bookmarkEnd w:id="438"/>
          </w:p>
        </w:tc>
        <w:tc>
          <w:tcPr>
            <w:tcW w:w="765" w:type="pct"/>
            <w:tcBorders>
              <w:top w:val="nil"/>
              <w:left w:val="nil"/>
              <w:bottom w:val="nil"/>
              <w:right w:val="nil"/>
            </w:tcBorders>
            <w:shd w:val="clear" w:color="auto" w:fill="auto"/>
            <w:vAlign w:val="bottom"/>
          </w:tcPr>
          <w:p w14:paraId="1B0F37C0" w14:textId="6BA74625" w:rsidR="00641D49" w:rsidRPr="00071D13" w:rsidRDefault="00C320FB" w:rsidP="00641D49">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175</w:t>
            </w:r>
          </w:p>
        </w:tc>
        <w:tc>
          <w:tcPr>
            <w:tcW w:w="788" w:type="pct"/>
            <w:tcBorders>
              <w:top w:val="nil"/>
              <w:left w:val="nil"/>
              <w:bottom w:val="nil"/>
              <w:right w:val="nil"/>
            </w:tcBorders>
            <w:shd w:val="clear" w:color="auto" w:fill="auto"/>
            <w:vAlign w:val="bottom"/>
          </w:tcPr>
          <w:p w14:paraId="31DA786C" w14:textId="2564D556" w:rsidR="00641D49" w:rsidRPr="000D3CE9" w:rsidRDefault="00641D49" w:rsidP="00641D49">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D3CE9">
              <w:rPr>
                <w:rFonts w:ascii="Arial" w:hAnsi="Arial" w:cs="Arial"/>
                <w:sz w:val="20"/>
              </w:rPr>
              <w:t xml:space="preserve">  4.724</w:t>
            </w:r>
          </w:p>
        </w:tc>
        <w:tc>
          <w:tcPr>
            <w:tcW w:w="764" w:type="pct"/>
            <w:tcBorders>
              <w:top w:val="nil"/>
              <w:left w:val="nil"/>
              <w:bottom w:val="nil"/>
              <w:right w:val="nil"/>
            </w:tcBorders>
            <w:shd w:val="clear" w:color="auto" w:fill="auto"/>
            <w:vAlign w:val="bottom"/>
          </w:tcPr>
          <w:p w14:paraId="254A9F80" w14:textId="26E58B2C" w:rsidR="00641D49" w:rsidRPr="00071D13" w:rsidRDefault="00285DDD" w:rsidP="00641D49">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162</w:t>
            </w:r>
          </w:p>
        </w:tc>
        <w:tc>
          <w:tcPr>
            <w:tcW w:w="787" w:type="pct"/>
            <w:tcBorders>
              <w:top w:val="nil"/>
              <w:left w:val="nil"/>
              <w:bottom w:val="nil"/>
              <w:right w:val="nil"/>
            </w:tcBorders>
            <w:shd w:val="clear" w:color="auto" w:fill="auto"/>
            <w:vAlign w:val="bottom"/>
          </w:tcPr>
          <w:p w14:paraId="3AD5CA4A" w14:textId="72802DB9" w:rsidR="00641D49" w:rsidRPr="00641D49" w:rsidRDefault="00641D49" w:rsidP="00641D49">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641D49">
              <w:rPr>
                <w:rFonts w:ascii="Arial" w:hAnsi="Arial" w:cs="Arial"/>
                <w:sz w:val="20"/>
              </w:rPr>
              <w:t>4.719</w:t>
            </w:r>
          </w:p>
        </w:tc>
      </w:tr>
      <w:tr w:rsidR="00641D49" w:rsidRPr="00071D13" w14:paraId="2A50B7EB" w14:textId="77777777" w:rsidTr="00071D13">
        <w:trPr>
          <w:trHeight w:val="58"/>
        </w:trPr>
        <w:tc>
          <w:tcPr>
            <w:tcW w:w="1896" w:type="pct"/>
            <w:vAlign w:val="bottom"/>
          </w:tcPr>
          <w:p w14:paraId="3FDFA4B7" w14:textId="77777777" w:rsidR="00641D49" w:rsidRPr="00071D13" w:rsidRDefault="00641D49" w:rsidP="00641D49">
            <w:pPr>
              <w:tabs>
                <w:tab w:val="right" w:pos="1202"/>
              </w:tabs>
              <w:suppressAutoHyphens/>
              <w:autoSpaceDN w:val="0"/>
              <w:spacing w:line="340" w:lineRule="exact"/>
              <w:outlineLvl w:val="0"/>
              <w:rPr>
                <w:rFonts w:ascii="Arial" w:eastAsia="Times New Roman" w:hAnsi="Arial" w:cs="Arial"/>
                <w:color w:val="000000" w:themeColor="text1"/>
                <w:sz w:val="20"/>
                <w:szCs w:val="20"/>
              </w:rPr>
            </w:pPr>
          </w:p>
        </w:tc>
        <w:tc>
          <w:tcPr>
            <w:tcW w:w="765" w:type="pct"/>
            <w:tcBorders>
              <w:top w:val="single" w:sz="4" w:space="0" w:color="auto"/>
              <w:bottom w:val="single" w:sz="4" w:space="0" w:color="auto"/>
            </w:tcBorders>
            <w:vAlign w:val="bottom"/>
          </w:tcPr>
          <w:p w14:paraId="01BEC977" w14:textId="78C4BE13" w:rsidR="00641D49" w:rsidRPr="00071D13" w:rsidRDefault="00C320FB" w:rsidP="00641D49">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12.579</w:t>
            </w:r>
          </w:p>
        </w:tc>
        <w:tc>
          <w:tcPr>
            <w:tcW w:w="788" w:type="pct"/>
            <w:tcBorders>
              <w:top w:val="single" w:sz="4" w:space="0" w:color="auto"/>
              <w:bottom w:val="single" w:sz="4" w:space="0" w:color="auto"/>
            </w:tcBorders>
            <w:vAlign w:val="bottom"/>
          </w:tcPr>
          <w:p w14:paraId="0F438A90" w14:textId="7DC9FE76" w:rsidR="00641D49" w:rsidRPr="000D3CE9" w:rsidRDefault="00641D49" w:rsidP="00641D49">
            <w:pPr>
              <w:tabs>
                <w:tab w:val="right" w:pos="1202"/>
              </w:tabs>
              <w:suppressAutoHyphens/>
              <w:autoSpaceDN w:val="0"/>
              <w:spacing w:line="340" w:lineRule="exact"/>
              <w:jc w:val="right"/>
              <w:outlineLvl w:val="0"/>
              <w:rPr>
                <w:rFonts w:ascii="Arial" w:eastAsia="Times New Roman" w:hAnsi="Arial" w:cs="Arial"/>
                <w:bCs/>
                <w:color w:val="000000" w:themeColor="text1"/>
                <w:sz w:val="20"/>
                <w:szCs w:val="20"/>
              </w:rPr>
            </w:pPr>
            <w:r w:rsidRPr="000D3CE9">
              <w:rPr>
                <w:rFonts w:ascii="Arial" w:hAnsi="Arial" w:cs="Arial"/>
                <w:color w:val="000000" w:themeColor="text1"/>
                <w:sz w:val="20"/>
              </w:rPr>
              <w:t>16.678</w:t>
            </w:r>
          </w:p>
        </w:tc>
        <w:tc>
          <w:tcPr>
            <w:tcW w:w="764" w:type="pct"/>
            <w:tcBorders>
              <w:top w:val="single" w:sz="4" w:space="0" w:color="auto"/>
              <w:bottom w:val="single" w:sz="4" w:space="0" w:color="auto"/>
            </w:tcBorders>
            <w:vAlign w:val="bottom"/>
          </w:tcPr>
          <w:p w14:paraId="2D276FDC" w14:textId="7A53E02D" w:rsidR="00641D49" w:rsidRPr="00071D13" w:rsidRDefault="00285DDD" w:rsidP="00641D49">
            <w:pPr>
              <w:tabs>
                <w:tab w:val="right" w:pos="1202"/>
              </w:tabs>
              <w:suppressAutoHyphens/>
              <w:autoSpaceDN w:val="0"/>
              <w:spacing w:line="340" w:lineRule="exact"/>
              <w:jc w:val="right"/>
              <w:outlineLvl w:val="0"/>
              <w:rPr>
                <w:rFonts w:ascii="Arial" w:eastAsia="Times New Roman" w:hAnsi="Arial" w:cs="Arial"/>
                <w:bCs/>
                <w:color w:val="000000" w:themeColor="text1"/>
                <w:sz w:val="20"/>
                <w:szCs w:val="20"/>
              </w:rPr>
            </w:pPr>
            <w:r>
              <w:rPr>
                <w:rFonts w:ascii="Arial" w:eastAsia="Times New Roman" w:hAnsi="Arial" w:cs="Arial"/>
                <w:bCs/>
                <w:color w:val="000000" w:themeColor="text1"/>
                <w:sz w:val="20"/>
                <w:szCs w:val="20"/>
              </w:rPr>
              <w:t>11.555</w:t>
            </w:r>
          </w:p>
        </w:tc>
        <w:tc>
          <w:tcPr>
            <w:tcW w:w="787" w:type="pct"/>
            <w:tcBorders>
              <w:top w:val="single" w:sz="4" w:space="0" w:color="auto"/>
              <w:bottom w:val="single" w:sz="4" w:space="0" w:color="auto"/>
            </w:tcBorders>
            <w:vAlign w:val="bottom"/>
          </w:tcPr>
          <w:p w14:paraId="5CFB2895" w14:textId="1F065A39" w:rsidR="00641D49" w:rsidRPr="00641D49" w:rsidRDefault="00641D49" w:rsidP="00641D49">
            <w:pPr>
              <w:tabs>
                <w:tab w:val="right" w:pos="1202"/>
              </w:tabs>
              <w:suppressAutoHyphens/>
              <w:autoSpaceDN w:val="0"/>
              <w:spacing w:line="340" w:lineRule="exact"/>
              <w:jc w:val="right"/>
              <w:outlineLvl w:val="0"/>
              <w:rPr>
                <w:rFonts w:ascii="Arial" w:eastAsia="Times New Roman" w:hAnsi="Arial" w:cs="Arial"/>
                <w:bCs/>
                <w:color w:val="000000" w:themeColor="text1"/>
                <w:sz w:val="20"/>
                <w:szCs w:val="20"/>
              </w:rPr>
            </w:pPr>
            <w:r w:rsidRPr="00641D49">
              <w:rPr>
                <w:rFonts w:ascii="Arial" w:hAnsi="Arial" w:cs="Arial"/>
                <w:bCs/>
                <w:color w:val="000000" w:themeColor="text1"/>
                <w:sz w:val="20"/>
              </w:rPr>
              <w:t>15.750</w:t>
            </w:r>
          </w:p>
        </w:tc>
      </w:tr>
      <w:tr w:rsidR="00641D49" w:rsidRPr="00071D13" w14:paraId="7D148B92" w14:textId="77777777" w:rsidTr="00071D13">
        <w:trPr>
          <w:trHeight w:val="289"/>
        </w:trPr>
        <w:tc>
          <w:tcPr>
            <w:tcW w:w="1896" w:type="pct"/>
            <w:vAlign w:val="bottom"/>
          </w:tcPr>
          <w:p w14:paraId="75AC7966" w14:textId="7442DDFE" w:rsidR="00641D49" w:rsidRPr="00071D13" w:rsidRDefault="00641D49" w:rsidP="00641D49">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39" w:name="_Toc67328676"/>
            <w:r w:rsidRPr="00071D13">
              <w:rPr>
                <w:rFonts w:ascii="Arial" w:eastAsia="Times New Roman" w:hAnsi="Arial" w:cs="Arial"/>
                <w:color w:val="000000" w:themeColor="text1"/>
                <w:sz w:val="20"/>
                <w:szCs w:val="20"/>
              </w:rPr>
              <w:t>Rezerviranja za očekivane gubitke</w:t>
            </w:r>
            <w:bookmarkEnd w:id="439"/>
          </w:p>
        </w:tc>
        <w:tc>
          <w:tcPr>
            <w:tcW w:w="765" w:type="pct"/>
            <w:tcBorders>
              <w:bottom w:val="single" w:sz="4" w:space="0" w:color="auto"/>
            </w:tcBorders>
            <w:vAlign w:val="bottom"/>
          </w:tcPr>
          <w:p w14:paraId="74BA45BF" w14:textId="1C1FA1EE" w:rsidR="00641D49" w:rsidRPr="00071D13" w:rsidRDefault="00C320FB" w:rsidP="00641D49">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w:t>
            </w:r>
            <w:r w:rsidR="00783D0E">
              <w:rPr>
                <w:rFonts w:ascii="Arial" w:eastAsia="Times New Roman" w:hAnsi="Arial" w:cs="Arial"/>
                <w:color w:val="000000" w:themeColor="text1"/>
                <w:sz w:val="20"/>
                <w:szCs w:val="20"/>
              </w:rPr>
              <w:t>.</w:t>
            </w:r>
            <w:r>
              <w:rPr>
                <w:rFonts w:ascii="Arial" w:eastAsia="Times New Roman" w:hAnsi="Arial" w:cs="Arial"/>
                <w:color w:val="000000" w:themeColor="text1"/>
                <w:sz w:val="20"/>
                <w:szCs w:val="20"/>
              </w:rPr>
              <w:t>314)</w:t>
            </w:r>
          </w:p>
        </w:tc>
        <w:tc>
          <w:tcPr>
            <w:tcW w:w="788" w:type="pct"/>
            <w:tcBorders>
              <w:bottom w:val="single" w:sz="4" w:space="0" w:color="auto"/>
            </w:tcBorders>
            <w:vAlign w:val="bottom"/>
          </w:tcPr>
          <w:p w14:paraId="2912AECB" w14:textId="690B682F" w:rsidR="00641D49" w:rsidRPr="000D3CE9" w:rsidRDefault="00641D49" w:rsidP="00641D49">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0D3CE9">
              <w:rPr>
                <w:rFonts w:ascii="Arial" w:hAnsi="Arial" w:cs="Arial"/>
                <w:color w:val="000000" w:themeColor="text1"/>
                <w:sz w:val="20"/>
              </w:rPr>
              <w:t>(4.393)</w:t>
            </w:r>
          </w:p>
        </w:tc>
        <w:tc>
          <w:tcPr>
            <w:tcW w:w="764" w:type="pct"/>
            <w:tcBorders>
              <w:bottom w:val="single" w:sz="4" w:space="0" w:color="auto"/>
            </w:tcBorders>
            <w:vAlign w:val="bottom"/>
          </w:tcPr>
          <w:p w14:paraId="4CC865B5" w14:textId="2AD90BF1" w:rsidR="00641D49" w:rsidRPr="00071D13" w:rsidRDefault="00285DDD" w:rsidP="00641D49">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(4.305)</w:t>
            </w:r>
          </w:p>
        </w:tc>
        <w:tc>
          <w:tcPr>
            <w:tcW w:w="787" w:type="pct"/>
            <w:tcBorders>
              <w:bottom w:val="single" w:sz="4" w:space="0" w:color="auto"/>
            </w:tcBorders>
            <w:vAlign w:val="bottom"/>
          </w:tcPr>
          <w:p w14:paraId="3EF2A0ED" w14:textId="4C0665E4" w:rsidR="00641D49" w:rsidRPr="00641D49" w:rsidRDefault="00641D49" w:rsidP="00641D49">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641D49">
              <w:rPr>
                <w:rFonts w:ascii="Arial" w:hAnsi="Arial" w:cs="Arial"/>
                <w:color w:val="000000" w:themeColor="text1"/>
                <w:sz w:val="20"/>
              </w:rPr>
              <w:t>(4.385)</w:t>
            </w:r>
          </w:p>
        </w:tc>
      </w:tr>
      <w:tr w:rsidR="00641D49" w:rsidRPr="00071D13" w14:paraId="3796F0CC" w14:textId="77777777" w:rsidTr="00071D13">
        <w:trPr>
          <w:trHeight w:val="366"/>
        </w:trPr>
        <w:tc>
          <w:tcPr>
            <w:tcW w:w="1896" w:type="pct"/>
            <w:vAlign w:val="bottom"/>
          </w:tcPr>
          <w:p w14:paraId="183B5A53" w14:textId="77777777" w:rsidR="00641D49" w:rsidRPr="00071D13" w:rsidRDefault="00641D49" w:rsidP="00641D49">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765" w:type="pct"/>
            <w:tcBorders>
              <w:top w:val="single" w:sz="4" w:space="0" w:color="auto"/>
              <w:bottom w:val="single" w:sz="12" w:space="0" w:color="auto"/>
            </w:tcBorders>
            <w:vAlign w:val="bottom"/>
          </w:tcPr>
          <w:p w14:paraId="3804E66A" w14:textId="34C5D63D" w:rsidR="00641D49" w:rsidRPr="00071D13" w:rsidRDefault="00C320FB" w:rsidP="00641D49">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8.265</w:t>
            </w:r>
          </w:p>
        </w:tc>
        <w:tc>
          <w:tcPr>
            <w:tcW w:w="788" w:type="pct"/>
            <w:tcBorders>
              <w:top w:val="single" w:sz="4" w:space="0" w:color="auto"/>
              <w:bottom w:val="single" w:sz="12" w:space="0" w:color="auto"/>
            </w:tcBorders>
            <w:vAlign w:val="bottom"/>
          </w:tcPr>
          <w:p w14:paraId="2F083631" w14:textId="65A1E049" w:rsidR="00641D49" w:rsidRPr="000D3CE9" w:rsidRDefault="00641D49" w:rsidP="00641D49">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0D3CE9">
              <w:rPr>
                <w:rFonts w:ascii="Arial" w:hAnsi="Arial" w:cs="Arial"/>
                <w:b/>
                <w:bCs/>
                <w:color w:val="000000" w:themeColor="text1"/>
                <w:sz w:val="20"/>
              </w:rPr>
              <w:t>12.285</w:t>
            </w:r>
          </w:p>
        </w:tc>
        <w:tc>
          <w:tcPr>
            <w:tcW w:w="764" w:type="pct"/>
            <w:tcBorders>
              <w:top w:val="single" w:sz="4" w:space="0" w:color="auto"/>
              <w:bottom w:val="single" w:sz="12" w:space="0" w:color="auto"/>
            </w:tcBorders>
            <w:vAlign w:val="bottom"/>
          </w:tcPr>
          <w:p w14:paraId="6913CCCA" w14:textId="3EDAEE46" w:rsidR="00641D49" w:rsidRPr="00071D13" w:rsidRDefault="00285DDD" w:rsidP="00641D49">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7.250</w:t>
            </w:r>
          </w:p>
        </w:tc>
        <w:tc>
          <w:tcPr>
            <w:tcW w:w="787" w:type="pct"/>
            <w:tcBorders>
              <w:top w:val="single" w:sz="4" w:space="0" w:color="auto"/>
              <w:bottom w:val="single" w:sz="12" w:space="0" w:color="auto"/>
            </w:tcBorders>
            <w:vAlign w:val="bottom"/>
          </w:tcPr>
          <w:p w14:paraId="37A45D2A" w14:textId="3C1B3F44" w:rsidR="00641D49" w:rsidRPr="00641D49" w:rsidRDefault="00641D49" w:rsidP="00641D49">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641D49">
              <w:rPr>
                <w:rFonts w:ascii="Arial" w:hAnsi="Arial" w:cs="Arial"/>
                <w:b/>
                <w:bCs/>
                <w:color w:val="000000" w:themeColor="text1"/>
                <w:sz w:val="20"/>
              </w:rPr>
              <w:t>11.365</w:t>
            </w:r>
          </w:p>
        </w:tc>
      </w:tr>
    </w:tbl>
    <w:p w14:paraId="34A08219" w14:textId="77777777" w:rsidR="00D004B1" w:rsidRPr="003D1614" w:rsidRDefault="00D004B1" w:rsidP="00D004B1">
      <w:pPr>
        <w:keepNext/>
        <w:suppressAutoHyphens/>
        <w:autoSpaceDN w:val="0"/>
        <w:jc w:val="both"/>
        <w:outlineLvl w:val="0"/>
        <w:rPr>
          <w:rFonts w:ascii="Arial" w:eastAsia="Times New Roman" w:hAnsi="Arial" w:cs="Arial"/>
          <w:color w:val="000000" w:themeColor="text1"/>
          <w:sz w:val="20"/>
          <w:szCs w:val="20"/>
        </w:rPr>
      </w:pPr>
    </w:p>
    <w:p w14:paraId="0CABD792" w14:textId="1DDA9DEA" w:rsidR="00D004B1" w:rsidRPr="003D1614" w:rsidRDefault="00D004B1" w:rsidP="00D004B1">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Imovina u najmu je priznata sukladno primjeni standarda MSFI 16, a amortizacija tijekom godine iznosila je </w:t>
      </w:r>
      <w:r w:rsidR="00FE2FE2" w:rsidRPr="00FE2FE2">
        <w:rPr>
          <w:rFonts w:ascii="Arial" w:eastAsia="Times New Roman" w:hAnsi="Arial" w:cs="Arial"/>
          <w:color w:val="000000" w:themeColor="text1"/>
          <w:sz w:val="20"/>
          <w:szCs w:val="20"/>
        </w:rPr>
        <w:t>206</w:t>
      </w:r>
      <w:r w:rsidRPr="00FE2FE2">
        <w:rPr>
          <w:rFonts w:ascii="Arial" w:eastAsia="Times New Roman" w:hAnsi="Arial" w:cs="Arial"/>
          <w:color w:val="000000" w:themeColor="text1"/>
          <w:sz w:val="20"/>
          <w:szCs w:val="20"/>
        </w:rPr>
        <w:t xml:space="preserve"> tisuć</w:t>
      </w:r>
      <w:r w:rsidR="00C81475" w:rsidRPr="00FE2FE2">
        <w:rPr>
          <w:rFonts w:ascii="Arial" w:eastAsia="Times New Roman" w:hAnsi="Arial" w:cs="Arial"/>
          <w:color w:val="000000" w:themeColor="text1"/>
          <w:sz w:val="20"/>
          <w:szCs w:val="20"/>
        </w:rPr>
        <w:t>a</w:t>
      </w:r>
      <w:r w:rsidR="00C81475" w:rsidRPr="003D1614">
        <w:rPr>
          <w:rFonts w:ascii="Arial" w:eastAsia="Times New Roman" w:hAnsi="Arial" w:cs="Arial"/>
          <w:color w:val="000000" w:themeColor="text1"/>
          <w:sz w:val="20"/>
          <w:szCs w:val="20"/>
        </w:rPr>
        <w:t xml:space="preserve"> eura</w:t>
      </w:r>
      <w:r w:rsidRPr="003D1614">
        <w:rPr>
          <w:rFonts w:ascii="Arial" w:eastAsia="Times New Roman" w:hAnsi="Arial" w:cs="Arial"/>
          <w:color w:val="000000" w:themeColor="text1"/>
          <w:sz w:val="20"/>
          <w:szCs w:val="20"/>
        </w:rPr>
        <w:t xml:space="preserve"> za </w:t>
      </w:r>
      <w:r w:rsidRPr="00CC6C0B">
        <w:rPr>
          <w:rFonts w:ascii="Arial" w:eastAsia="Times New Roman" w:hAnsi="Arial" w:cs="Arial"/>
          <w:color w:val="000000" w:themeColor="text1"/>
          <w:sz w:val="20"/>
          <w:szCs w:val="20"/>
        </w:rPr>
        <w:t>Grupu i Banku.</w:t>
      </w:r>
    </w:p>
    <w:p w14:paraId="3779B164" w14:textId="77777777" w:rsidR="00D004B1" w:rsidRPr="003D1614" w:rsidRDefault="00D004B1" w:rsidP="00D004B1">
      <w:pPr>
        <w:keepNext/>
        <w:suppressAutoHyphens/>
        <w:autoSpaceDN w:val="0"/>
        <w:spacing w:before="12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Sljedeće tablice prikazuju informacije o kreditnoj kvaliteti financijske imovine koja se mjeri po amortiziranom trošku. Iznosi u tablici predstavljaju bruto knjigovodstvene iznose:</w:t>
      </w:r>
    </w:p>
    <w:p w14:paraId="52970964" w14:textId="77777777" w:rsidR="00D004B1" w:rsidRPr="005A713F" w:rsidRDefault="00D004B1" w:rsidP="00D004B1">
      <w:pPr>
        <w:keepNext/>
        <w:suppressAutoHyphens/>
        <w:autoSpaceDN w:val="0"/>
        <w:jc w:val="both"/>
        <w:outlineLvl w:val="0"/>
        <w:rPr>
          <w:rFonts w:ascii="Arial" w:eastAsia="Times New Roman" w:hAnsi="Arial" w:cs="Arial"/>
          <w:color w:val="000000" w:themeColor="text1"/>
          <w:sz w:val="18"/>
          <w:szCs w:val="18"/>
        </w:rPr>
      </w:pPr>
    </w:p>
    <w:tbl>
      <w:tblPr>
        <w:tblW w:w="9974" w:type="dxa"/>
        <w:tblInd w:w="-426" w:type="dxa"/>
        <w:tblLayout w:type="fixed"/>
        <w:tblLook w:val="04A0" w:firstRow="1" w:lastRow="0" w:firstColumn="1" w:lastColumn="0" w:noHBand="0" w:noVBand="1"/>
      </w:tblPr>
      <w:tblGrid>
        <w:gridCol w:w="1474"/>
        <w:gridCol w:w="850"/>
        <w:gridCol w:w="850"/>
        <w:gridCol w:w="850"/>
        <w:gridCol w:w="850"/>
        <w:gridCol w:w="850"/>
        <w:gridCol w:w="850"/>
        <w:gridCol w:w="850"/>
        <w:gridCol w:w="850"/>
        <w:gridCol w:w="850"/>
        <w:gridCol w:w="850"/>
      </w:tblGrid>
      <w:tr w:rsidR="00D004B1" w:rsidRPr="004608BF" w14:paraId="3496BE0D" w14:textId="77777777" w:rsidTr="004608BF">
        <w:trPr>
          <w:trHeight w:val="244"/>
        </w:trPr>
        <w:tc>
          <w:tcPr>
            <w:tcW w:w="1474" w:type="dxa"/>
            <w:tcBorders>
              <w:top w:val="nil"/>
              <w:left w:val="nil"/>
              <w:bottom w:val="nil"/>
              <w:right w:val="nil"/>
            </w:tcBorders>
            <w:shd w:val="clear" w:color="auto" w:fill="auto"/>
            <w:noWrap/>
            <w:vAlign w:val="bottom"/>
            <w:hideMark/>
          </w:tcPr>
          <w:p w14:paraId="075026C9" w14:textId="52DF7891" w:rsidR="00D004B1" w:rsidRPr="004608BF" w:rsidRDefault="00D004B1" w:rsidP="00D004B1">
            <w:pPr>
              <w:suppressAutoHyphens/>
              <w:autoSpaceDN w:val="0"/>
              <w:rPr>
                <w:rFonts w:ascii="Arial" w:eastAsia="Times New Roman" w:hAnsi="Arial" w:cs="Arial"/>
                <w:color w:val="000000" w:themeColor="text1"/>
                <w:sz w:val="14"/>
                <w:szCs w:val="14"/>
              </w:rPr>
            </w:pPr>
            <w:r w:rsidRPr="004608BF">
              <w:rPr>
                <w:rFonts w:ascii="Arial" w:eastAsia="Times New Roman" w:hAnsi="Arial" w:cs="Arial"/>
                <w:b/>
                <w:bCs/>
                <w:color w:val="000000" w:themeColor="text1"/>
                <w:sz w:val="14"/>
                <w:szCs w:val="14"/>
              </w:rPr>
              <w:t>31.</w:t>
            </w:r>
            <w:r w:rsidR="00C376D8">
              <w:rPr>
                <w:rFonts w:ascii="Arial" w:eastAsia="Times New Roman" w:hAnsi="Arial" w:cs="Arial"/>
                <w:b/>
                <w:bCs/>
                <w:color w:val="000000" w:themeColor="text1"/>
                <w:sz w:val="14"/>
                <w:szCs w:val="14"/>
              </w:rPr>
              <w:t xml:space="preserve"> </w:t>
            </w:r>
            <w:r w:rsidRPr="004608BF">
              <w:rPr>
                <w:rFonts w:ascii="Arial" w:eastAsia="Times New Roman" w:hAnsi="Arial" w:cs="Arial"/>
                <w:b/>
                <w:bCs/>
                <w:color w:val="000000" w:themeColor="text1"/>
                <w:sz w:val="14"/>
                <w:szCs w:val="14"/>
              </w:rPr>
              <w:t>ožujka 202</w:t>
            </w:r>
            <w:r w:rsidR="00126735">
              <w:rPr>
                <w:rFonts w:ascii="Arial" w:eastAsia="Times New Roman" w:hAnsi="Arial" w:cs="Arial"/>
                <w:b/>
                <w:bCs/>
                <w:color w:val="000000" w:themeColor="text1"/>
                <w:sz w:val="14"/>
                <w:szCs w:val="14"/>
              </w:rPr>
              <w:t>4</w:t>
            </w:r>
            <w:r w:rsidRPr="004608BF">
              <w:rPr>
                <w:rFonts w:ascii="Arial" w:eastAsia="Times New Roman" w:hAnsi="Arial" w:cs="Arial"/>
                <w:b/>
                <w:bCs/>
                <w:color w:val="000000" w:themeColor="text1"/>
                <w:sz w:val="14"/>
                <w:szCs w:val="14"/>
              </w:rPr>
              <w:t>.</w:t>
            </w:r>
          </w:p>
        </w:tc>
        <w:tc>
          <w:tcPr>
            <w:tcW w:w="850" w:type="dxa"/>
            <w:tcBorders>
              <w:top w:val="nil"/>
              <w:left w:val="nil"/>
              <w:bottom w:val="nil"/>
              <w:right w:val="nil"/>
            </w:tcBorders>
            <w:shd w:val="clear" w:color="auto" w:fill="auto"/>
            <w:noWrap/>
            <w:vAlign w:val="bottom"/>
            <w:hideMark/>
          </w:tcPr>
          <w:p w14:paraId="28EC9E40" w14:textId="77777777" w:rsidR="00D004B1" w:rsidRPr="004608BF" w:rsidRDefault="00D004B1" w:rsidP="00D004B1">
            <w:pPr>
              <w:suppressAutoHyphens/>
              <w:autoSpaceDN w:val="0"/>
              <w:rPr>
                <w:rFonts w:ascii="Arial" w:eastAsia="Times New Roman" w:hAnsi="Arial" w:cs="Arial"/>
                <w:color w:val="000000" w:themeColor="text1"/>
                <w:sz w:val="14"/>
                <w:szCs w:val="14"/>
              </w:rPr>
            </w:pPr>
          </w:p>
        </w:tc>
        <w:tc>
          <w:tcPr>
            <w:tcW w:w="850" w:type="dxa"/>
            <w:tcBorders>
              <w:top w:val="nil"/>
              <w:left w:val="nil"/>
              <w:bottom w:val="nil"/>
              <w:right w:val="nil"/>
            </w:tcBorders>
            <w:shd w:val="clear" w:color="auto" w:fill="auto"/>
            <w:noWrap/>
            <w:vAlign w:val="bottom"/>
            <w:hideMark/>
          </w:tcPr>
          <w:p w14:paraId="187FBDB1" w14:textId="77777777" w:rsidR="00D004B1" w:rsidRPr="004608BF" w:rsidRDefault="00D004B1" w:rsidP="00D004B1">
            <w:pPr>
              <w:suppressAutoHyphens/>
              <w:autoSpaceDN w:val="0"/>
              <w:jc w:val="right"/>
              <w:rPr>
                <w:rFonts w:ascii="Arial" w:eastAsia="Times New Roman" w:hAnsi="Arial" w:cs="Arial"/>
                <w:color w:val="000000" w:themeColor="text1"/>
                <w:sz w:val="14"/>
                <w:szCs w:val="14"/>
              </w:rPr>
            </w:pPr>
          </w:p>
        </w:tc>
        <w:tc>
          <w:tcPr>
            <w:tcW w:w="850" w:type="dxa"/>
            <w:tcBorders>
              <w:top w:val="nil"/>
              <w:left w:val="nil"/>
              <w:bottom w:val="nil"/>
              <w:right w:val="nil"/>
            </w:tcBorders>
            <w:shd w:val="clear" w:color="auto" w:fill="auto"/>
            <w:noWrap/>
            <w:vAlign w:val="bottom"/>
            <w:hideMark/>
          </w:tcPr>
          <w:p w14:paraId="779CEADE" w14:textId="77777777" w:rsidR="00D004B1" w:rsidRPr="004608BF" w:rsidRDefault="00D004B1" w:rsidP="00D004B1">
            <w:pPr>
              <w:suppressAutoHyphens/>
              <w:autoSpaceDN w:val="0"/>
              <w:jc w:val="right"/>
              <w:rPr>
                <w:rFonts w:ascii="Arial" w:eastAsia="Times New Roman" w:hAnsi="Arial" w:cs="Arial"/>
                <w:color w:val="000000" w:themeColor="text1"/>
                <w:sz w:val="14"/>
                <w:szCs w:val="14"/>
              </w:rPr>
            </w:pPr>
          </w:p>
        </w:tc>
        <w:tc>
          <w:tcPr>
            <w:tcW w:w="850" w:type="dxa"/>
            <w:tcBorders>
              <w:top w:val="nil"/>
              <w:left w:val="nil"/>
              <w:bottom w:val="nil"/>
              <w:right w:val="nil"/>
            </w:tcBorders>
            <w:vAlign w:val="bottom"/>
          </w:tcPr>
          <w:p w14:paraId="59EB2FFF"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2E9D3276"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Grupa</w:t>
            </w:r>
          </w:p>
        </w:tc>
        <w:tc>
          <w:tcPr>
            <w:tcW w:w="850" w:type="dxa"/>
            <w:tcBorders>
              <w:top w:val="nil"/>
              <w:left w:val="nil"/>
              <w:bottom w:val="nil"/>
              <w:right w:val="nil"/>
            </w:tcBorders>
            <w:shd w:val="clear" w:color="auto" w:fill="auto"/>
            <w:noWrap/>
            <w:vAlign w:val="bottom"/>
            <w:hideMark/>
          </w:tcPr>
          <w:p w14:paraId="5FA5B720"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736F33CB" w14:textId="77777777" w:rsidR="00D004B1" w:rsidRPr="004608BF" w:rsidRDefault="00D004B1" w:rsidP="00D004B1">
            <w:pPr>
              <w:suppressAutoHyphens/>
              <w:autoSpaceDN w:val="0"/>
              <w:jc w:val="right"/>
              <w:rPr>
                <w:rFonts w:ascii="Arial" w:eastAsia="Times New Roman" w:hAnsi="Arial" w:cs="Arial"/>
                <w:color w:val="000000" w:themeColor="text1"/>
                <w:sz w:val="14"/>
                <w:szCs w:val="14"/>
              </w:rPr>
            </w:pPr>
          </w:p>
        </w:tc>
        <w:tc>
          <w:tcPr>
            <w:tcW w:w="850" w:type="dxa"/>
            <w:tcBorders>
              <w:top w:val="nil"/>
              <w:left w:val="nil"/>
              <w:bottom w:val="nil"/>
              <w:right w:val="nil"/>
            </w:tcBorders>
            <w:shd w:val="clear" w:color="auto" w:fill="auto"/>
            <w:noWrap/>
            <w:vAlign w:val="bottom"/>
            <w:hideMark/>
          </w:tcPr>
          <w:p w14:paraId="0C22E58A" w14:textId="77777777" w:rsidR="00D004B1" w:rsidRPr="004608BF" w:rsidRDefault="00D004B1" w:rsidP="00D004B1">
            <w:pPr>
              <w:suppressAutoHyphens/>
              <w:autoSpaceDN w:val="0"/>
              <w:jc w:val="right"/>
              <w:rPr>
                <w:rFonts w:ascii="Arial" w:eastAsia="Times New Roman" w:hAnsi="Arial" w:cs="Arial"/>
                <w:color w:val="000000" w:themeColor="text1"/>
                <w:sz w:val="14"/>
                <w:szCs w:val="14"/>
              </w:rPr>
            </w:pPr>
          </w:p>
        </w:tc>
        <w:tc>
          <w:tcPr>
            <w:tcW w:w="850" w:type="dxa"/>
            <w:tcBorders>
              <w:top w:val="nil"/>
              <w:left w:val="nil"/>
              <w:bottom w:val="nil"/>
              <w:right w:val="nil"/>
            </w:tcBorders>
            <w:vAlign w:val="bottom"/>
          </w:tcPr>
          <w:p w14:paraId="31CC9D1A"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11B3AA3E"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Banka</w:t>
            </w:r>
          </w:p>
        </w:tc>
      </w:tr>
      <w:tr w:rsidR="00D004B1" w:rsidRPr="004608BF" w14:paraId="3133793B" w14:textId="77777777" w:rsidTr="004608BF">
        <w:trPr>
          <w:trHeight w:val="288"/>
        </w:trPr>
        <w:tc>
          <w:tcPr>
            <w:tcW w:w="1474" w:type="dxa"/>
            <w:tcBorders>
              <w:top w:val="nil"/>
              <w:left w:val="nil"/>
              <w:bottom w:val="nil"/>
              <w:right w:val="nil"/>
            </w:tcBorders>
            <w:shd w:val="clear" w:color="auto" w:fill="auto"/>
            <w:noWrap/>
            <w:vAlign w:val="bottom"/>
            <w:hideMark/>
          </w:tcPr>
          <w:p w14:paraId="1605D50A"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78CA8BB7"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Stupanj 1</w:t>
            </w:r>
          </w:p>
        </w:tc>
        <w:tc>
          <w:tcPr>
            <w:tcW w:w="850" w:type="dxa"/>
            <w:tcBorders>
              <w:top w:val="nil"/>
              <w:left w:val="nil"/>
              <w:bottom w:val="nil"/>
              <w:right w:val="nil"/>
            </w:tcBorders>
            <w:shd w:val="clear" w:color="auto" w:fill="auto"/>
            <w:noWrap/>
            <w:vAlign w:val="bottom"/>
            <w:hideMark/>
          </w:tcPr>
          <w:p w14:paraId="0D5ED655"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Stupanj 2</w:t>
            </w:r>
          </w:p>
        </w:tc>
        <w:tc>
          <w:tcPr>
            <w:tcW w:w="850" w:type="dxa"/>
            <w:tcBorders>
              <w:top w:val="nil"/>
              <w:left w:val="nil"/>
              <w:bottom w:val="nil"/>
              <w:right w:val="nil"/>
            </w:tcBorders>
            <w:shd w:val="clear" w:color="auto" w:fill="auto"/>
            <w:noWrap/>
            <w:vAlign w:val="bottom"/>
            <w:hideMark/>
          </w:tcPr>
          <w:p w14:paraId="0A512F42"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Stupanj 3</w:t>
            </w:r>
          </w:p>
        </w:tc>
        <w:tc>
          <w:tcPr>
            <w:tcW w:w="850" w:type="dxa"/>
            <w:tcBorders>
              <w:top w:val="nil"/>
              <w:left w:val="nil"/>
              <w:bottom w:val="nil"/>
              <w:right w:val="nil"/>
            </w:tcBorders>
            <w:vAlign w:val="bottom"/>
          </w:tcPr>
          <w:p w14:paraId="678EA92D"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POCI</w:t>
            </w:r>
          </w:p>
        </w:tc>
        <w:tc>
          <w:tcPr>
            <w:tcW w:w="850" w:type="dxa"/>
            <w:tcBorders>
              <w:top w:val="nil"/>
              <w:left w:val="nil"/>
              <w:bottom w:val="nil"/>
              <w:right w:val="nil"/>
            </w:tcBorders>
            <w:shd w:val="clear" w:color="auto" w:fill="auto"/>
            <w:noWrap/>
            <w:vAlign w:val="bottom"/>
            <w:hideMark/>
          </w:tcPr>
          <w:p w14:paraId="66FD1802"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Ukupno</w:t>
            </w:r>
          </w:p>
        </w:tc>
        <w:tc>
          <w:tcPr>
            <w:tcW w:w="850" w:type="dxa"/>
            <w:tcBorders>
              <w:top w:val="nil"/>
              <w:left w:val="nil"/>
              <w:bottom w:val="nil"/>
              <w:right w:val="nil"/>
            </w:tcBorders>
            <w:shd w:val="clear" w:color="auto" w:fill="auto"/>
            <w:noWrap/>
            <w:vAlign w:val="bottom"/>
            <w:hideMark/>
          </w:tcPr>
          <w:p w14:paraId="168EFDD0"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Stupanj 1</w:t>
            </w:r>
          </w:p>
        </w:tc>
        <w:tc>
          <w:tcPr>
            <w:tcW w:w="850" w:type="dxa"/>
            <w:tcBorders>
              <w:top w:val="nil"/>
              <w:left w:val="nil"/>
              <w:bottom w:val="nil"/>
              <w:right w:val="nil"/>
            </w:tcBorders>
            <w:shd w:val="clear" w:color="auto" w:fill="auto"/>
            <w:noWrap/>
            <w:vAlign w:val="bottom"/>
            <w:hideMark/>
          </w:tcPr>
          <w:p w14:paraId="06ABDC6C"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Stupanj 2</w:t>
            </w:r>
          </w:p>
        </w:tc>
        <w:tc>
          <w:tcPr>
            <w:tcW w:w="850" w:type="dxa"/>
            <w:tcBorders>
              <w:top w:val="nil"/>
              <w:left w:val="nil"/>
              <w:bottom w:val="nil"/>
              <w:right w:val="nil"/>
            </w:tcBorders>
            <w:shd w:val="clear" w:color="auto" w:fill="auto"/>
            <w:noWrap/>
            <w:vAlign w:val="bottom"/>
            <w:hideMark/>
          </w:tcPr>
          <w:p w14:paraId="0A33D622"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Stupanj 3</w:t>
            </w:r>
          </w:p>
        </w:tc>
        <w:tc>
          <w:tcPr>
            <w:tcW w:w="850" w:type="dxa"/>
            <w:tcBorders>
              <w:top w:val="nil"/>
              <w:left w:val="nil"/>
              <w:bottom w:val="nil"/>
              <w:right w:val="nil"/>
            </w:tcBorders>
            <w:vAlign w:val="bottom"/>
          </w:tcPr>
          <w:p w14:paraId="01AA80FD"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POCI</w:t>
            </w:r>
          </w:p>
        </w:tc>
        <w:tc>
          <w:tcPr>
            <w:tcW w:w="850" w:type="dxa"/>
            <w:tcBorders>
              <w:top w:val="nil"/>
              <w:left w:val="nil"/>
              <w:bottom w:val="nil"/>
              <w:right w:val="nil"/>
            </w:tcBorders>
            <w:shd w:val="clear" w:color="auto" w:fill="auto"/>
            <w:noWrap/>
            <w:vAlign w:val="bottom"/>
            <w:hideMark/>
          </w:tcPr>
          <w:p w14:paraId="05232AF4"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Ukupno</w:t>
            </w:r>
          </w:p>
        </w:tc>
      </w:tr>
      <w:tr w:rsidR="0010578D" w:rsidRPr="004608BF" w14:paraId="75BB3B09" w14:textId="77777777" w:rsidTr="004608BF">
        <w:trPr>
          <w:trHeight w:val="288"/>
        </w:trPr>
        <w:tc>
          <w:tcPr>
            <w:tcW w:w="1474" w:type="dxa"/>
            <w:tcBorders>
              <w:top w:val="nil"/>
              <w:left w:val="nil"/>
              <w:bottom w:val="nil"/>
              <w:right w:val="nil"/>
            </w:tcBorders>
            <w:shd w:val="clear" w:color="auto" w:fill="auto"/>
            <w:noWrap/>
            <w:vAlign w:val="bottom"/>
          </w:tcPr>
          <w:p w14:paraId="768AF5A4" w14:textId="77777777" w:rsidR="0010578D" w:rsidRPr="004608BF" w:rsidRDefault="0010578D"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tcPr>
          <w:p w14:paraId="4BFE8532" w14:textId="77777777" w:rsidR="0010578D" w:rsidRPr="004608BF" w:rsidRDefault="0010578D"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tcPr>
          <w:p w14:paraId="7E48A94D" w14:textId="77777777" w:rsidR="0010578D" w:rsidRPr="004608BF" w:rsidRDefault="0010578D"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tcPr>
          <w:p w14:paraId="4493DC85" w14:textId="77777777" w:rsidR="0010578D" w:rsidRPr="004608BF" w:rsidRDefault="0010578D"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vAlign w:val="bottom"/>
          </w:tcPr>
          <w:p w14:paraId="777FA35E" w14:textId="07EB77B6" w:rsidR="0010578D" w:rsidRPr="004608BF" w:rsidRDefault="00DB19D6" w:rsidP="00D004B1">
            <w:pPr>
              <w:suppressAutoHyphens/>
              <w:autoSpaceDN w:val="0"/>
              <w:jc w:val="right"/>
              <w:rPr>
                <w:rFonts w:ascii="Arial" w:eastAsia="Times New Roman" w:hAnsi="Arial" w:cs="Arial"/>
                <w:b/>
                <w:bCs/>
                <w:color w:val="000000" w:themeColor="text1"/>
                <w:sz w:val="14"/>
                <w:szCs w:val="14"/>
              </w:rPr>
            </w:pPr>
            <w:r>
              <w:rPr>
                <w:rFonts w:ascii="Arial" w:eastAsia="Times New Roman" w:hAnsi="Arial" w:cs="Arial"/>
                <w:b/>
                <w:bCs/>
                <w:color w:val="000000" w:themeColor="text1"/>
                <w:sz w:val="14"/>
                <w:szCs w:val="14"/>
              </w:rPr>
              <w:t>Stupanj 3</w:t>
            </w:r>
          </w:p>
        </w:tc>
        <w:tc>
          <w:tcPr>
            <w:tcW w:w="850" w:type="dxa"/>
            <w:tcBorders>
              <w:top w:val="nil"/>
              <w:left w:val="nil"/>
              <w:bottom w:val="nil"/>
              <w:right w:val="nil"/>
            </w:tcBorders>
            <w:shd w:val="clear" w:color="auto" w:fill="auto"/>
            <w:noWrap/>
            <w:vAlign w:val="bottom"/>
          </w:tcPr>
          <w:p w14:paraId="76AB512B" w14:textId="77777777" w:rsidR="0010578D" w:rsidRPr="004608BF" w:rsidRDefault="0010578D"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tcPr>
          <w:p w14:paraId="2555E0EC" w14:textId="77777777" w:rsidR="0010578D" w:rsidRPr="004608BF" w:rsidRDefault="0010578D"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tcPr>
          <w:p w14:paraId="6AA292C7" w14:textId="77777777" w:rsidR="0010578D" w:rsidRPr="004608BF" w:rsidRDefault="0010578D"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tcPr>
          <w:p w14:paraId="79E5BC59" w14:textId="77777777" w:rsidR="0010578D" w:rsidRPr="004608BF" w:rsidRDefault="0010578D"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vAlign w:val="bottom"/>
          </w:tcPr>
          <w:p w14:paraId="7D779D49" w14:textId="3D60810F" w:rsidR="0010578D" w:rsidRPr="004608BF" w:rsidRDefault="00DB19D6" w:rsidP="00D004B1">
            <w:pPr>
              <w:suppressAutoHyphens/>
              <w:autoSpaceDN w:val="0"/>
              <w:jc w:val="right"/>
              <w:rPr>
                <w:rFonts w:ascii="Arial" w:eastAsia="Times New Roman" w:hAnsi="Arial" w:cs="Arial"/>
                <w:b/>
                <w:bCs/>
                <w:color w:val="000000" w:themeColor="text1"/>
                <w:sz w:val="14"/>
                <w:szCs w:val="14"/>
              </w:rPr>
            </w:pPr>
            <w:r>
              <w:rPr>
                <w:rFonts w:ascii="Arial" w:eastAsia="Times New Roman" w:hAnsi="Arial" w:cs="Arial"/>
                <w:b/>
                <w:bCs/>
                <w:color w:val="000000" w:themeColor="text1"/>
                <w:sz w:val="14"/>
                <w:szCs w:val="14"/>
              </w:rPr>
              <w:t>Stupanj 3</w:t>
            </w:r>
          </w:p>
        </w:tc>
        <w:tc>
          <w:tcPr>
            <w:tcW w:w="850" w:type="dxa"/>
            <w:tcBorders>
              <w:top w:val="nil"/>
              <w:left w:val="nil"/>
              <w:bottom w:val="nil"/>
              <w:right w:val="nil"/>
            </w:tcBorders>
            <w:shd w:val="clear" w:color="auto" w:fill="auto"/>
            <w:noWrap/>
            <w:vAlign w:val="bottom"/>
          </w:tcPr>
          <w:p w14:paraId="70D9FC91" w14:textId="77777777" w:rsidR="0010578D" w:rsidRPr="004608BF" w:rsidRDefault="0010578D" w:rsidP="00D004B1">
            <w:pPr>
              <w:suppressAutoHyphens/>
              <w:autoSpaceDN w:val="0"/>
              <w:jc w:val="right"/>
              <w:rPr>
                <w:rFonts w:ascii="Arial" w:eastAsia="Times New Roman" w:hAnsi="Arial" w:cs="Arial"/>
                <w:b/>
                <w:bCs/>
                <w:color w:val="000000" w:themeColor="text1"/>
                <w:sz w:val="14"/>
                <w:szCs w:val="14"/>
              </w:rPr>
            </w:pPr>
          </w:p>
        </w:tc>
      </w:tr>
      <w:tr w:rsidR="00D004B1" w:rsidRPr="004608BF" w14:paraId="3F95EB4B" w14:textId="77777777" w:rsidTr="004608BF">
        <w:trPr>
          <w:trHeight w:val="288"/>
        </w:trPr>
        <w:tc>
          <w:tcPr>
            <w:tcW w:w="1474" w:type="dxa"/>
            <w:tcBorders>
              <w:top w:val="nil"/>
              <w:left w:val="nil"/>
              <w:bottom w:val="nil"/>
              <w:right w:val="nil"/>
            </w:tcBorders>
            <w:shd w:val="clear" w:color="auto" w:fill="auto"/>
            <w:noWrap/>
            <w:vAlign w:val="bottom"/>
            <w:hideMark/>
          </w:tcPr>
          <w:p w14:paraId="1EBEABCF" w14:textId="77777777" w:rsidR="00D004B1" w:rsidRPr="004608BF" w:rsidRDefault="00D004B1" w:rsidP="00D004B1">
            <w:pPr>
              <w:suppressAutoHyphens/>
              <w:autoSpaceDN w:val="0"/>
              <w:jc w:val="right"/>
              <w:rPr>
                <w:rFonts w:ascii="Arial" w:eastAsia="Times New Roman"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13D1F78F" w14:textId="766395AD"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7912F27D" w14:textId="64A8ADD9"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66ED9D2E" w14:textId="5D030D85"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000 eura</w:t>
            </w:r>
          </w:p>
        </w:tc>
        <w:tc>
          <w:tcPr>
            <w:tcW w:w="850" w:type="dxa"/>
            <w:tcBorders>
              <w:top w:val="nil"/>
              <w:left w:val="nil"/>
              <w:bottom w:val="nil"/>
              <w:right w:val="nil"/>
            </w:tcBorders>
            <w:vAlign w:val="bottom"/>
          </w:tcPr>
          <w:p w14:paraId="44B3E85E" w14:textId="52D9DCF7"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44E64540" w14:textId="6B11DD03"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50FB7FB1" w14:textId="0EBE6324"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5B5E822A" w14:textId="221F1202"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53B46F6E" w14:textId="0688128A"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000 eura</w:t>
            </w:r>
          </w:p>
        </w:tc>
        <w:tc>
          <w:tcPr>
            <w:tcW w:w="850" w:type="dxa"/>
            <w:tcBorders>
              <w:top w:val="nil"/>
              <w:left w:val="nil"/>
              <w:bottom w:val="nil"/>
              <w:right w:val="nil"/>
            </w:tcBorders>
            <w:vAlign w:val="bottom"/>
          </w:tcPr>
          <w:p w14:paraId="4C23B78F" w14:textId="6EC7B178"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000 eura</w:t>
            </w:r>
          </w:p>
        </w:tc>
        <w:tc>
          <w:tcPr>
            <w:tcW w:w="850" w:type="dxa"/>
            <w:tcBorders>
              <w:top w:val="nil"/>
              <w:left w:val="nil"/>
              <w:bottom w:val="nil"/>
              <w:right w:val="nil"/>
            </w:tcBorders>
            <w:shd w:val="clear" w:color="auto" w:fill="auto"/>
            <w:noWrap/>
            <w:vAlign w:val="bottom"/>
            <w:hideMark/>
          </w:tcPr>
          <w:p w14:paraId="1145D8AC" w14:textId="06B26573" w:rsidR="00D004B1" w:rsidRPr="004608BF" w:rsidRDefault="00D004B1" w:rsidP="00D004B1">
            <w:pPr>
              <w:suppressAutoHyphens/>
              <w:autoSpaceDN w:val="0"/>
              <w:jc w:val="right"/>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000 eura</w:t>
            </w:r>
          </w:p>
        </w:tc>
      </w:tr>
      <w:tr w:rsidR="00561C5F" w:rsidRPr="004608BF" w14:paraId="61DEECC7" w14:textId="77777777" w:rsidTr="005D1219">
        <w:trPr>
          <w:trHeight w:val="266"/>
        </w:trPr>
        <w:tc>
          <w:tcPr>
            <w:tcW w:w="1474" w:type="dxa"/>
            <w:tcBorders>
              <w:top w:val="nil"/>
              <w:left w:val="nil"/>
              <w:bottom w:val="nil"/>
              <w:right w:val="nil"/>
            </w:tcBorders>
            <w:shd w:val="clear" w:color="auto" w:fill="auto"/>
            <w:noWrap/>
            <w:vAlign w:val="bottom"/>
            <w:hideMark/>
          </w:tcPr>
          <w:p w14:paraId="7570678C" w14:textId="77777777" w:rsidR="00561C5F" w:rsidRPr="004608BF" w:rsidRDefault="00561C5F" w:rsidP="00561C5F">
            <w:pPr>
              <w:suppressAutoHyphens/>
              <w:autoSpaceDN w:val="0"/>
              <w:rPr>
                <w:rFonts w:ascii="Arial" w:eastAsia="Times New Roman" w:hAnsi="Arial" w:cs="Arial"/>
                <w:color w:val="000000" w:themeColor="text1"/>
                <w:sz w:val="14"/>
                <w:szCs w:val="14"/>
              </w:rPr>
            </w:pPr>
            <w:r w:rsidRPr="004608BF">
              <w:rPr>
                <w:rFonts w:ascii="Arial" w:eastAsia="Times New Roman" w:hAnsi="Arial" w:cs="Arial"/>
                <w:color w:val="000000" w:themeColor="text1"/>
                <w:sz w:val="14"/>
                <w:szCs w:val="14"/>
              </w:rPr>
              <w:t>Bruto iznos</w:t>
            </w:r>
          </w:p>
        </w:tc>
        <w:tc>
          <w:tcPr>
            <w:tcW w:w="850" w:type="dxa"/>
            <w:tcBorders>
              <w:top w:val="nil"/>
              <w:left w:val="nil"/>
              <w:bottom w:val="nil"/>
              <w:right w:val="nil"/>
            </w:tcBorders>
            <w:shd w:val="clear" w:color="auto" w:fill="auto"/>
            <w:noWrap/>
            <w:vAlign w:val="bottom"/>
          </w:tcPr>
          <w:p w14:paraId="744154C0" w14:textId="37AED286" w:rsidR="00561C5F" w:rsidRPr="004608BF" w:rsidRDefault="00783D0E" w:rsidP="00561C5F">
            <w:pPr>
              <w:suppressAutoHyphens/>
              <w:autoSpaceDN w:val="0"/>
              <w:jc w:val="right"/>
              <w:rPr>
                <w:rFonts w:ascii="Arial" w:eastAsia="Times New Roman" w:hAnsi="Arial" w:cs="Arial"/>
                <w:sz w:val="14"/>
                <w:szCs w:val="14"/>
              </w:rPr>
            </w:pPr>
            <w:r>
              <w:rPr>
                <w:rFonts w:ascii="Arial" w:eastAsia="Times New Roman" w:hAnsi="Arial" w:cs="Arial"/>
                <w:sz w:val="14"/>
                <w:szCs w:val="14"/>
              </w:rPr>
              <w:t>1.731</w:t>
            </w:r>
          </w:p>
        </w:tc>
        <w:tc>
          <w:tcPr>
            <w:tcW w:w="850" w:type="dxa"/>
            <w:tcBorders>
              <w:top w:val="nil"/>
              <w:left w:val="nil"/>
              <w:bottom w:val="nil"/>
              <w:right w:val="nil"/>
            </w:tcBorders>
            <w:shd w:val="clear" w:color="auto" w:fill="auto"/>
            <w:noWrap/>
            <w:vAlign w:val="bottom"/>
          </w:tcPr>
          <w:p w14:paraId="095D435D" w14:textId="5130D28E" w:rsidR="00561C5F" w:rsidRPr="004608BF" w:rsidRDefault="00783D0E" w:rsidP="00561C5F">
            <w:pPr>
              <w:suppressAutoHyphens/>
              <w:autoSpaceDN w:val="0"/>
              <w:jc w:val="right"/>
              <w:rPr>
                <w:rFonts w:ascii="Arial" w:eastAsia="Times New Roman" w:hAnsi="Arial" w:cs="Arial"/>
                <w:sz w:val="14"/>
                <w:szCs w:val="14"/>
              </w:rPr>
            </w:pPr>
            <w:r>
              <w:rPr>
                <w:rFonts w:ascii="Arial" w:eastAsia="Times New Roman" w:hAnsi="Arial" w:cs="Arial"/>
                <w:sz w:val="14"/>
                <w:szCs w:val="14"/>
              </w:rPr>
              <w:t>12</w:t>
            </w:r>
          </w:p>
        </w:tc>
        <w:tc>
          <w:tcPr>
            <w:tcW w:w="850" w:type="dxa"/>
            <w:tcBorders>
              <w:top w:val="nil"/>
              <w:left w:val="nil"/>
              <w:bottom w:val="nil"/>
              <w:right w:val="nil"/>
            </w:tcBorders>
            <w:shd w:val="clear" w:color="auto" w:fill="auto"/>
            <w:noWrap/>
            <w:vAlign w:val="bottom"/>
          </w:tcPr>
          <w:p w14:paraId="59EDF2C4" w14:textId="307C3ABA" w:rsidR="00561C5F" w:rsidRPr="004608BF" w:rsidRDefault="00783D0E" w:rsidP="00561C5F">
            <w:pPr>
              <w:suppressAutoHyphens/>
              <w:autoSpaceDN w:val="0"/>
              <w:jc w:val="right"/>
              <w:rPr>
                <w:rFonts w:ascii="Arial" w:eastAsia="Times New Roman" w:hAnsi="Arial" w:cs="Arial"/>
                <w:sz w:val="14"/>
                <w:szCs w:val="14"/>
              </w:rPr>
            </w:pPr>
            <w:r>
              <w:rPr>
                <w:rFonts w:ascii="Arial" w:eastAsia="Times New Roman" w:hAnsi="Arial" w:cs="Arial"/>
                <w:sz w:val="14"/>
                <w:szCs w:val="14"/>
              </w:rPr>
              <w:t>4.527</w:t>
            </w:r>
          </w:p>
        </w:tc>
        <w:tc>
          <w:tcPr>
            <w:tcW w:w="850" w:type="dxa"/>
            <w:tcBorders>
              <w:top w:val="nil"/>
              <w:left w:val="nil"/>
              <w:bottom w:val="nil"/>
              <w:right w:val="nil"/>
            </w:tcBorders>
            <w:vAlign w:val="bottom"/>
          </w:tcPr>
          <w:p w14:paraId="18873AF2" w14:textId="0EF94F04" w:rsidR="00561C5F" w:rsidRPr="004608BF" w:rsidRDefault="00783D0E" w:rsidP="00561C5F">
            <w:pPr>
              <w:suppressAutoHyphens/>
              <w:autoSpaceDN w:val="0"/>
              <w:jc w:val="right"/>
              <w:rPr>
                <w:rFonts w:ascii="Arial" w:eastAsia="Times New Roman" w:hAnsi="Arial" w:cs="Arial"/>
                <w:sz w:val="14"/>
                <w:szCs w:val="14"/>
              </w:rPr>
            </w:pPr>
            <w:r>
              <w:rPr>
                <w:rFonts w:ascii="Arial" w:eastAsia="Times New Roman" w:hAnsi="Arial" w:cs="Arial"/>
                <w:sz w:val="14"/>
                <w:szCs w:val="14"/>
              </w:rPr>
              <w:t>43</w:t>
            </w:r>
          </w:p>
        </w:tc>
        <w:tc>
          <w:tcPr>
            <w:tcW w:w="850" w:type="dxa"/>
            <w:tcBorders>
              <w:top w:val="nil"/>
              <w:left w:val="nil"/>
              <w:bottom w:val="nil"/>
              <w:right w:val="nil"/>
            </w:tcBorders>
            <w:shd w:val="clear" w:color="auto" w:fill="auto"/>
            <w:noWrap/>
            <w:vAlign w:val="bottom"/>
          </w:tcPr>
          <w:p w14:paraId="16ED256A" w14:textId="76A5BE2F" w:rsidR="00561C5F" w:rsidRPr="004608BF" w:rsidRDefault="00783D0E" w:rsidP="00561C5F">
            <w:pPr>
              <w:suppressAutoHyphens/>
              <w:autoSpaceDN w:val="0"/>
              <w:jc w:val="right"/>
              <w:rPr>
                <w:rFonts w:ascii="Arial" w:eastAsia="Times New Roman" w:hAnsi="Arial" w:cs="Arial"/>
                <w:b/>
                <w:bCs/>
                <w:sz w:val="14"/>
                <w:szCs w:val="14"/>
              </w:rPr>
            </w:pPr>
            <w:r>
              <w:rPr>
                <w:rFonts w:ascii="Arial" w:eastAsia="Times New Roman" w:hAnsi="Arial" w:cs="Arial"/>
                <w:b/>
                <w:bCs/>
                <w:sz w:val="14"/>
                <w:szCs w:val="14"/>
              </w:rPr>
              <w:t>6.313</w:t>
            </w:r>
          </w:p>
        </w:tc>
        <w:tc>
          <w:tcPr>
            <w:tcW w:w="850" w:type="dxa"/>
            <w:tcBorders>
              <w:top w:val="nil"/>
              <w:left w:val="nil"/>
              <w:bottom w:val="nil"/>
              <w:right w:val="nil"/>
            </w:tcBorders>
            <w:shd w:val="clear" w:color="auto" w:fill="auto"/>
            <w:noWrap/>
            <w:vAlign w:val="center"/>
          </w:tcPr>
          <w:p w14:paraId="22C122A2" w14:textId="3F015268" w:rsidR="00561C5F" w:rsidRPr="00F15DFA" w:rsidRDefault="00561C5F" w:rsidP="00561C5F">
            <w:pPr>
              <w:suppressAutoHyphens/>
              <w:autoSpaceDN w:val="0"/>
              <w:jc w:val="right"/>
              <w:rPr>
                <w:rFonts w:ascii="Arial" w:eastAsia="Times New Roman" w:hAnsi="Arial" w:cs="Arial"/>
                <w:sz w:val="14"/>
                <w:szCs w:val="14"/>
              </w:rPr>
            </w:pPr>
            <w:r w:rsidRPr="005D1219">
              <w:rPr>
                <w:rFonts w:ascii="Arial" w:hAnsi="Arial" w:cs="Arial"/>
                <w:sz w:val="14"/>
                <w:szCs w:val="14"/>
              </w:rPr>
              <w:t xml:space="preserve">                                     885 </w:t>
            </w:r>
          </w:p>
        </w:tc>
        <w:tc>
          <w:tcPr>
            <w:tcW w:w="850" w:type="dxa"/>
            <w:tcBorders>
              <w:top w:val="nil"/>
              <w:left w:val="nil"/>
              <w:bottom w:val="nil"/>
              <w:right w:val="nil"/>
            </w:tcBorders>
            <w:shd w:val="clear" w:color="auto" w:fill="auto"/>
            <w:noWrap/>
            <w:vAlign w:val="center"/>
          </w:tcPr>
          <w:p w14:paraId="665A737F" w14:textId="30C32491" w:rsidR="00561C5F" w:rsidRPr="00F15DFA" w:rsidRDefault="00561C5F" w:rsidP="00561C5F">
            <w:pPr>
              <w:suppressAutoHyphens/>
              <w:autoSpaceDN w:val="0"/>
              <w:jc w:val="right"/>
              <w:rPr>
                <w:rFonts w:ascii="Arial" w:eastAsia="Times New Roman" w:hAnsi="Arial" w:cs="Arial"/>
                <w:sz w:val="14"/>
                <w:szCs w:val="14"/>
              </w:rPr>
            </w:pPr>
            <w:r w:rsidRPr="005D1219">
              <w:rPr>
                <w:rFonts w:ascii="Arial" w:hAnsi="Arial" w:cs="Arial"/>
                <w:color w:val="000000"/>
                <w:sz w:val="14"/>
                <w:szCs w:val="14"/>
              </w:rPr>
              <w:t xml:space="preserve">                                                     12 </w:t>
            </w:r>
          </w:p>
        </w:tc>
        <w:tc>
          <w:tcPr>
            <w:tcW w:w="850" w:type="dxa"/>
            <w:tcBorders>
              <w:top w:val="nil"/>
              <w:left w:val="nil"/>
              <w:bottom w:val="nil"/>
              <w:right w:val="nil"/>
            </w:tcBorders>
            <w:shd w:val="clear" w:color="auto" w:fill="auto"/>
            <w:noWrap/>
            <w:vAlign w:val="center"/>
          </w:tcPr>
          <w:p w14:paraId="370DB664" w14:textId="495E9EC6" w:rsidR="00561C5F" w:rsidRPr="00F15DFA" w:rsidRDefault="00561C5F" w:rsidP="00561C5F">
            <w:pPr>
              <w:suppressAutoHyphens/>
              <w:autoSpaceDN w:val="0"/>
              <w:jc w:val="right"/>
              <w:rPr>
                <w:rFonts w:ascii="Arial" w:eastAsia="Times New Roman" w:hAnsi="Arial" w:cs="Arial"/>
                <w:sz w:val="14"/>
                <w:szCs w:val="14"/>
              </w:rPr>
            </w:pPr>
            <w:r w:rsidRPr="005D1219">
              <w:rPr>
                <w:rFonts w:ascii="Arial" w:hAnsi="Arial" w:cs="Arial"/>
                <w:color w:val="000000"/>
                <w:sz w:val="14"/>
                <w:szCs w:val="14"/>
              </w:rPr>
              <w:t xml:space="preserve">                                                                        4.527 </w:t>
            </w:r>
          </w:p>
        </w:tc>
        <w:tc>
          <w:tcPr>
            <w:tcW w:w="850" w:type="dxa"/>
            <w:tcBorders>
              <w:top w:val="nil"/>
              <w:left w:val="nil"/>
              <w:bottom w:val="nil"/>
              <w:right w:val="nil"/>
            </w:tcBorders>
            <w:shd w:val="clear" w:color="auto" w:fill="auto"/>
            <w:vAlign w:val="center"/>
          </w:tcPr>
          <w:p w14:paraId="241AD958" w14:textId="4DFDF270" w:rsidR="00561C5F" w:rsidRPr="00F15DFA" w:rsidRDefault="00561C5F" w:rsidP="00561C5F">
            <w:pPr>
              <w:suppressAutoHyphens/>
              <w:autoSpaceDN w:val="0"/>
              <w:jc w:val="right"/>
              <w:rPr>
                <w:rFonts w:ascii="Arial" w:eastAsia="Times New Roman" w:hAnsi="Arial" w:cs="Arial"/>
                <w:sz w:val="14"/>
                <w:szCs w:val="14"/>
              </w:rPr>
            </w:pPr>
            <w:r w:rsidRPr="005D1219">
              <w:rPr>
                <w:rFonts w:ascii="Arial" w:hAnsi="Arial" w:cs="Arial"/>
                <w:color w:val="000000"/>
                <w:sz w:val="14"/>
                <w:szCs w:val="14"/>
              </w:rPr>
              <w:t xml:space="preserve">                                                                         43 </w:t>
            </w:r>
          </w:p>
        </w:tc>
        <w:tc>
          <w:tcPr>
            <w:tcW w:w="850" w:type="dxa"/>
            <w:tcBorders>
              <w:top w:val="nil"/>
              <w:left w:val="nil"/>
              <w:bottom w:val="nil"/>
              <w:right w:val="nil"/>
            </w:tcBorders>
            <w:shd w:val="clear" w:color="auto" w:fill="auto"/>
            <w:noWrap/>
            <w:vAlign w:val="center"/>
          </w:tcPr>
          <w:p w14:paraId="3510D598" w14:textId="224A8ABB" w:rsidR="00561C5F" w:rsidRPr="00F15DFA" w:rsidRDefault="00561C5F" w:rsidP="00561C5F">
            <w:pPr>
              <w:suppressAutoHyphens/>
              <w:autoSpaceDN w:val="0"/>
              <w:jc w:val="right"/>
              <w:rPr>
                <w:rFonts w:ascii="Arial" w:eastAsia="Times New Roman" w:hAnsi="Arial" w:cs="Arial"/>
                <w:b/>
                <w:bCs/>
                <w:sz w:val="14"/>
                <w:szCs w:val="14"/>
              </w:rPr>
            </w:pPr>
            <w:r w:rsidRPr="005D1219">
              <w:rPr>
                <w:rFonts w:ascii="Arial" w:hAnsi="Arial" w:cs="Arial"/>
                <w:b/>
                <w:bCs/>
                <w:color w:val="000000"/>
                <w:sz w:val="14"/>
                <w:szCs w:val="14"/>
              </w:rPr>
              <w:t xml:space="preserve">                                5.467 </w:t>
            </w:r>
          </w:p>
        </w:tc>
      </w:tr>
      <w:tr w:rsidR="00561C5F" w:rsidRPr="004608BF" w14:paraId="2231BDF2" w14:textId="77777777" w:rsidTr="005D1219">
        <w:trPr>
          <w:trHeight w:val="284"/>
        </w:trPr>
        <w:tc>
          <w:tcPr>
            <w:tcW w:w="1474" w:type="dxa"/>
            <w:tcBorders>
              <w:top w:val="nil"/>
              <w:left w:val="nil"/>
              <w:bottom w:val="nil"/>
              <w:right w:val="nil"/>
            </w:tcBorders>
            <w:shd w:val="clear" w:color="auto" w:fill="auto"/>
            <w:noWrap/>
            <w:vAlign w:val="bottom"/>
            <w:hideMark/>
          </w:tcPr>
          <w:p w14:paraId="402E6FDA" w14:textId="77777777" w:rsidR="00561C5F" w:rsidRPr="004608BF" w:rsidRDefault="00561C5F" w:rsidP="00561C5F">
            <w:pPr>
              <w:suppressAutoHyphens/>
              <w:autoSpaceDN w:val="0"/>
              <w:rPr>
                <w:rFonts w:ascii="Arial" w:eastAsia="Times New Roman" w:hAnsi="Arial" w:cs="Arial"/>
                <w:color w:val="000000" w:themeColor="text1"/>
                <w:sz w:val="14"/>
                <w:szCs w:val="14"/>
              </w:rPr>
            </w:pPr>
            <w:r w:rsidRPr="004608BF">
              <w:rPr>
                <w:rFonts w:ascii="Arial" w:eastAsia="Times New Roman" w:hAnsi="Arial" w:cs="Arial"/>
                <w:color w:val="000000" w:themeColor="text1"/>
                <w:sz w:val="14"/>
                <w:szCs w:val="14"/>
              </w:rPr>
              <w:t>Rezerviranja</w:t>
            </w:r>
          </w:p>
        </w:tc>
        <w:tc>
          <w:tcPr>
            <w:tcW w:w="850" w:type="dxa"/>
            <w:tcBorders>
              <w:top w:val="nil"/>
              <w:left w:val="nil"/>
              <w:bottom w:val="nil"/>
              <w:right w:val="nil"/>
            </w:tcBorders>
            <w:shd w:val="clear" w:color="auto" w:fill="auto"/>
            <w:noWrap/>
            <w:vAlign w:val="bottom"/>
          </w:tcPr>
          <w:p w14:paraId="5085C4B4" w14:textId="622EE3B1" w:rsidR="00561C5F" w:rsidRPr="004608BF" w:rsidRDefault="00783D0E" w:rsidP="00561C5F">
            <w:pPr>
              <w:suppressAutoHyphens/>
              <w:autoSpaceDN w:val="0"/>
              <w:jc w:val="right"/>
              <w:rPr>
                <w:rFonts w:ascii="Arial" w:eastAsia="Times New Roman" w:hAnsi="Arial" w:cs="Arial"/>
                <w:sz w:val="14"/>
                <w:szCs w:val="14"/>
              </w:rPr>
            </w:pPr>
            <w:r>
              <w:rPr>
                <w:rFonts w:ascii="Arial" w:eastAsia="Times New Roman" w:hAnsi="Arial" w:cs="Arial"/>
                <w:sz w:val="14"/>
                <w:szCs w:val="14"/>
              </w:rPr>
              <w:t>(10)</w:t>
            </w:r>
          </w:p>
        </w:tc>
        <w:tc>
          <w:tcPr>
            <w:tcW w:w="850" w:type="dxa"/>
            <w:tcBorders>
              <w:top w:val="nil"/>
              <w:left w:val="nil"/>
              <w:bottom w:val="nil"/>
              <w:right w:val="nil"/>
            </w:tcBorders>
            <w:shd w:val="clear" w:color="auto" w:fill="auto"/>
            <w:noWrap/>
            <w:vAlign w:val="bottom"/>
          </w:tcPr>
          <w:p w14:paraId="36D8044F" w14:textId="33C83722" w:rsidR="00561C5F" w:rsidRPr="004608BF" w:rsidRDefault="00783D0E" w:rsidP="00561C5F">
            <w:pPr>
              <w:suppressAutoHyphens/>
              <w:autoSpaceDN w:val="0"/>
              <w:jc w:val="right"/>
              <w:rPr>
                <w:rFonts w:ascii="Arial" w:eastAsia="Times New Roman" w:hAnsi="Arial" w:cs="Arial"/>
                <w:sz w:val="14"/>
                <w:szCs w:val="14"/>
              </w:rPr>
            </w:pPr>
            <w:r>
              <w:rPr>
                <w:rFonts w:ascii="Arial" w:eastAsia="Times New Roman" w:hAnsi="Arial" w:cs="Arial"/>
                <w:sz w:val="14"/>
                <w:szCs w:val="14"/>
              </w:rPr>
              <w:t>(1)</w:t>
            </w:r>
          </w:p>
        </w:tc>
        <w:tc>
          <w:tcPr>
            <w:tcW w:w="850" w:type="dxa"/>
            <w:tcBorders>
              <w:top w:val="nil"/>
              <w:left w:val="nil"/>
              <w:bottom w:val="nil"/>
              <w:right w:val="nil"/>
            </w:tcBorders>
            <w:shd w:val="clear" w:color="auto" w:fill="auto"/>
            <w:noWrap/>
            <w:vAlign w:val="bottom"/>
          </w:tcPr>
          <w:p w14:paraId="182A1927" w14:textId="39C00AAE" w:rsidR="00561C5F" w:rsidRPr="004608BF" w:rsidRDefault="00783D0E" w:rsidP="00561C5F">
            <w:pPr>
              <w:suppressAutoHyphens/>
              <w:autoSpaceDN w:val="0"/>
              <w:jc w:val="right"/>
              <w:rPr>
                <w:rFonts w:ascii="Arial" w:eastAsia="Times New Roman" w:hAnsi="Arial" w:cs="Arial"/>
                <w:sz w:val="14"/>
                <w:szCs w:val="14"/>
              </w:rPr>
            </w:pPr>
            <w:r>
              <w:rPr>
                <w:rFonts w:ascii="Arial" w:eastAsia="Times New Roman" w:hAnsi="Arial" w:cs="Arial"/>
                <w:sz w:val="14"/>
                <w:szCs w:val="14"/>
              </w:rPr>
              <w:t>(4.268)</w:t>
            </w:r>
          </w:p>
        </w:tc>
        <w:tc>
          <w:tcPr>
            <w:tcW w:w="850" w:type="dxa"/>
            <w:tcBorders>
              <w:top w:val="nil"/>
              <w:left w:val="nil"/>
              <w:bottom w:val="nil"/>
              <w:right w:val="nil"/>
            </w:tcBorders>
            <w:vAlign w:val="bottom"/>
          </w:tcPr>
          <w:p w14:paraId="2213A777" w14:textId="79CC8F46" w:rsidR="00561C5F" w:rsidRPr="004608BF" w:rsidRDefault="00783D0E" w:rsidP="00561C5F">
            <w:pPr>
              <w:suppressAutoHyphens/>
              <w:autoSpaceDN w:val="0"/>
              <w:jc w:val="right"/>
              <w:rPr>
                <w:rFonts w:ascii="Arial" w:eastAsia="Times New Roman" w:hAnsi="Arial" w:cs="Arial"/>
                <w:sz w:val="14"/>
                <w:szCs w:val="14"/>
              </w:rPr>
            </w:pPr>
            <w:r>
              <w:rPr>
                <w:rFonts w:ascii="Arial" w:eastAsia="Times New Roman" w:hAnsi="Arial" w:cs="Arial"/>
                <w:sz w:val="14"/>
                <w:szCs w:val="14"/>
              </w:rPr>
              <w:t>(35)</w:t>
            </w:r>
          </w:p>
        </w:tc>
        <w:tc>
          <w:tcPr>
            <w:tcW w:w="850" w:type="dxa"/>
            <w:tcBorders>
              <w:top w:val="nil"/>
              <w:left w:val="nil"/>
              <w:bottom w:val="nil"/>
              <w:right w:val="nil"/>
            </w:tcBorders>
            <w:shd w:val="clear" w:color="auto" w:fill="auto"/>
            <w:noWrap/>
            <w:vAlign w:val="bottom"/>
          </w:tcPr>
          <w:p w14:paraId="670C3FD8" w14:textId="717477AA" w:rsidR="00561C5F" w:rsidRPr="004608BF" w:rsidRDefault="00783D0E" w:rsidP="00561C5F">
            <w:pPr>
              <w:suppressAutoHyphens/>
              <w:autoSpaceDN w:val="0"/>
              <w:jc w:val="right"/>
              <w:rPr>
                <w:rFonts w:ascii="Arial" w:eastAsia="Times New Roman" w:hAnsi="Arial" w:cs="Arial"/>
                <w:b/>
                <w:bCs/>
                <w:sz w:val="14"/>
                <w:szCs w:val="14"/>
              </w:rPr>
            </w:pPr>
            <w:r>
              <w:rPr>
                <w:rFonts w:ascii="Arial" w:eastAsia="Times New Roman" w:hAnsi="Arial" w:cs="Arial"/>
                <w:b/>
                <w:bCs/>
                <w:sz w:val="14"/>
                <w:szCs w:val="14"/>
              </w:rPr>
              <w:t>(4.314)</w:t>
            </w:r>
          </w:p>
        </w:tc>
        <w:tc>
          <w:tcPr>
            <w:tcW w:w="850" w:type="dxa"/>
            <w:tcBorders>
              <w:top w:val="nil"/>
              <w:left w:val="nil"/>
              <w:bottom w:val="nil"/>
              <w:right w:val="nil"/>
            </w:tcBorders>
            <w:shd w:val="clear" w:color="auto" w:fill="auto"/>
            <w:noWrap/>
            <w:vAlign w:val="center"/>
          </w:tcPr>
          <w:p w14:paraId="5BFA2379" w14:textId="20B8EBD2" w:rsidR="00561C5F" w:rsidRPr="00F15DFA" w:rsidRDefault="00561C5F" w:rsidP="00561C5F">
            <w:pPr>
              <w:suppressAutoHyphens/>
              <w:autoSpaceDN w:val="0"/>
              <w:jc w:val="right"/>
              <w:rPr>
                <w:rFonts w:ascii="Arial" w:eastAsia="Times New Roman" w:hAnsi="Arial" w:cs="Arial"/>
                <w:sz w:val="14"/>
                <w:szCs w:val="14"/>
              </w:rPr>
            </w:pPr>
            <w:r w:rsidRPr="005D1219">
              <w:rPr>
                <w:rFonts w:ascii="Arial" w:hAnsi="Arial" w:cs="Arial"/>
                <w:color w:val="000000"/>
                <w:sz w:val="14"/>
                <w:szCs w:val="14"/>
              </w:rPr>
              <w:t xml:space="preserve">                                        (1)</w:t>
            </w:r>
          </w:p>
        </w:tc>
        <w:tc>
          <w:tcPr>
            <w:tcW w:w="850" w:type="dxa"/>
            <w:tcBorders>
              <w:top w:val="nil"/>
              <w:left w:val="nil"/>
              <w:bottom w:val="nil"/>
              <w:right w:val="nil"/>
            </w:tcBorders>
            <w:shd w:val="clear" w:color="auto" w:fill="auto"/>
            <w:noWrap/>
            <w:vAlign w:val="center"/>
          </w:tcPr>
          <w:p w14:paraId="262FC947" w14:textId="713BA07E" w:rsidR="00561C5F" w:rsidRPr="00F15DFA" w:rsidRDefault="00561C5F" w:rsidP="00561C5F">
            <w:pPr>
              <w:suppressAutoHyphens/>
              <w:autoSpaceDN w:val="0"/>
              <w:jc w:val="right"/>
              <w:rPr>
                <w:rFonts w:ascii="Arial" w:eastAsia="Times New Roman" w:hAnsi="Arial" w:cs="Arial"/>
                <w:sz w:val="14"/>
                <w:szCs w:val="14"/>
              </w:rPr>
            </w:pPr>
            <w:r w:rsidRPr="005D1219">
              <w:rPr>
                <w:rFonts w:ascii="Arial" w:hAnsi="Arial" w:cs="Arial"/>
                <w:color w:val="000000"/>
                <w:sz w:val="14"/>
                <w:szCs w:val="14"/>
              </w:rPr>
              <w:t xml:space="preserve">                                                      (1)</w:t>
            </w:r>
          </w:p>
        </w:tc>
        <w:tc>
          <w:tcPr>
            <w:tcW w:w="850" w:type="dxa"/>
            <w:tcBorders>
              <w:top w:val="nil"/>
              <w:left w:val="nil"/>
              <w:bottom w:val="nil"/>
              <w:right w:val="nil"/>
            </w:tcBorders>
            <w:shd w:val="clear" w:color="auto" w:fill="auto"/>
            <w:noWrap/>
            <w:vAlign w:val="center"/>
          </w:tcPr>
          <w:p w14:paraId="124966FD" w14:textId="1788ED60" w:rsidR="00561C5F" w:rsidRPr="00F15DFA" w:rsidRDefault="00561C5F" w:rsidP="00561C5F">
            <w:pPr>
              <w:suppressAutoHyphens/>
              <w:autoSpaceDN w:val="0"/>
              <w:jc w:val="right"/>
              <w:rPr>
                <w:rFonts w:ascii="Arial" w:eastAsia="Times New Roman" w:hAnsi="Arial" w:cs="Arial"/>
                <w:sz w:val="14"/>
                <w:szCs w:val="14"/>
              </w:rPr>
            </w:pPr>
            <w:r w:rsidRPr="005D1219">
              <w:rPr>
                <w:rFonts w:ascii="Arial" w:hAnsi="Arial" w:cs="Arial"/>
                <w:color w:val="000000"/>
                <w:sz w:val="14"/>
                <w:szCs w:val="14"/>
              </w:rPr>
              <w:t xml:space="preserve">                                                                       (4.268)</w:t>
            </w:r>
          </w:p>
        </w:tc>
        <w:tc>
          <w:tcPr>
            <w:tcW w:w="850" w:type="dxa"/>
            <w:tcBorders>
              <w:top w:val="nil"/>
              <w:left w:val="nil"/>
              <w:bottom w:val="nil"/>
              <w:right w:val="nil"/>
            </w:tcBorders>
            <w:shd w:val="clear" w:color="auto" w:fill="auto"/>
            <w:vAlign w:val="center"/>
          </w:tcPr>
          <w:p w14:paraId="2500A23F" w14:textId="7B07290E" w:rsidR="00561C5F" w:rsidRPr="00F15DFA" w:rsidRDefault="00561C5F" w:rsidP="00561C5F">
            <w:pPr>
              <w:suppressAutoHyphens/>
              <w:autoSpaceDN w:val="0"/>
              <w:jc w:val="right"/>
              <w:rPr>
                <w:rFonts w:ascii="Arial" w:eastAsia="Times New Roman" w:hAnsi="Arial" w:cs="Arial"/>
                <w:sz w:val="14"/>
                <w:szCs w:val="14"/>
              </w:rPr>
            </w:pPr>
            <w:r w:rsidRPr="005D1219">
              <w:rPr>
                <w:rFonts w:ascii="Arial" w:hAnsi="Arial" w:cs="Arial"/>
                <w:color w:val="000000"/>
                <w:sz w:val="14"/>
                <w:szCs w:val="14"/>
              </w:rPr>
              <w:t xml:space="preserve">                                                                        (35)</w:t>
            </w:r>
          </w:p>
        </w:tc>
        <w:tc>
          <w:tcPr>
            <w:tcW w:w="850" w:type="dxa"/>
            <w:tcBorders>
              <w:top w:val="nil"/>
              <w:left w:val="nil"/>
              <w:bottom w:val="nil"/>
              <w:right w:val="nil"/>
            </w:tcBorders>
            <w:shd w:val="clear" w:color="auto" w:fill="auto"/>
            <w:noWrap/>
            <w:vAlign w:val="center"/>
          </w:tcPr>
          <w:p w14:paraId="245D166B" w14:textId="5CBEEC3B" w:rsidR="00561C5F" w:rsidRPr="00F15DFA" w:rsidRDefault="00561C5F" w:rsidP="00561C5F">
            <w:pPr>
              <w:suppressAutoHyphens/>
              <w:autoSpaceDN w:val="0"/>
              <w:jc w:val="right"/>
              <w:rPr>
                <w:rFonts w:ascii="Arial" w:eastAsia="Times New Roman" w:hAnsi="Arial" w:cs="Arial"/>
                <w:b/>
                <w:bCs/>
                <w:sz w:val="14"/>
                <w:szCs w:val="14"/>
              </w:rPr>
            </w:pPr>
            <w:r w:rsidRPr="005D1219">
              <w:rPr>
                <w:rFonts w:ascii="Arial" w:hAnsi="Arial" w:cs="Arial"/>
                <w:b/>
                <w:bCs/>
                <w:color w:val="000000"/>
                <w:sz w:val="14"/>
                <w:szCs w:val="14"/>
              </w:rPr>
              <w:t xml:space="preserve">                              (4.305)</w:t>
            </w:r>
          </w:p>
        </w:tc>
      </w:tr>
      <w:tr w:rsidR="00561C5F" w:rsidRPr="004608BF" w14:paraId="65F4CB76" w14:textId="77777777" w:rsidTr="004608BF">
        <w:trPr>
          <w:trHeight w:val="503"/>
        </w:trPr>
        <w:tc>
          <w:tcPr>
            <w:tcW w:w="1474" w:type="dxa"/>
            <w:tcBorders>
              <w:top w:val="nil"/>
              <w:left w:val="nil"/>
              <w:bottom w:val="nil"/>
              <w:right w:val="nil"/>
            </w:tcBorders>
            <w:shd w:val="clear" w:color="auto" w:fill="auto"/>
            <w:noWrap/>
            <w:vAlign w:val="bottom"/>
            <w:hideMark/>
          </w:tcPr>
          <w:p w14:paraId="6950B3CB" w14:textId="77777777" w:rsidR="00561C5F" w:rsidRPr="004608BF" w:rsidRDefault="00561C5F" w:rsidP="00561C5F">
            <w:pPr>
              <w:suppressAutoHyphens/>
              <w:autoSpaceDN w:val="0"/>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 xml:space="preserve">Stanje na dan </w:t>
            </w:r>
          </w:p>
          <w:p w14:paraId="580E6C81" w14:textId="591C2E9C" w:rsidR="00561C5F" w:rsidRPr="004608BF" w:rsidRDefault="00561C5F" w:rsidP="00561C5F">
            <w:pPr>
              <w:suppressAutoHyphens/>
              <w:autoSpaceDN w:val="0"/>
              <w:rPr>
                <w:rFonts w:ascii="Arial" w:eastAsia="Times New Roman" w:hAnsi="Arial" w:cs="Arial"/>
                <w:b/>
                <w:bCs/>
                <w:color w:val="000000" w:themeColor="text1"/>
                <w:sz w:val="14"/>
                <w:szCs w:val="14"/>
              </w:rPr>
            </w:pPr>
            <w:r w:rsidRPr="004608BF">
              <w:rPr>
                <w:rFonts w:ascii="Arial" w:eastAsia="Times New Roman" w:hAnsi="Arial" w:cs="Arial"/>
                <w:b/>
                <w:bCs/>
                <w:color w:val="000000" w:themeColor="text1"/>
                <w:sz w:val="14"/>
                <w:szCs w:val="14"/>
              </w:rPr>
              <w:t>31. ožujka 202</w:t>
            </w:r>
            <w:r>
              <w:rPr>
                <w:rFonts w:ascii="Arial" w:eastAsia="Times New Roman" w:hAnsi="Arial" w:cs="Arial"/>
                <w:b/>
                <w:bCs/>
                <w:color w:val="000000" w:themeColor="text1"/>
                <w:sz w:val="14"/>
                <w:szCs w:val="14"/>
              </w:rPr>
              <w:t>4</w:t>
            </w:r>
            <w:r w:rsidRPr="004608BF">
              <w:rPr>
                <w:rFonts w:ascii="Arial" w:eastAsia="Times New Roman" w:hAnsi="Arial" w:cs="Arial"/>
                <w:b/>
                <w:bCs/>
                <w:color w:val="000000" w:themeColor="text1"/>
                <w:sz w:val="14"/>
                <w:szCs w:val="14"/>
              </w:rPr>
              <w:t>.</w:t>
            </w:r>
          </w:p>
        </w:tc>
        <w:tc>
          <w:tcPr>
            <w:tcW w:w="850" w:type="dxa"/>
            <w:tcBorders>
              <w:top w:val="single" w:sz="4" w:space="0" w:color="auto"/>
              <w:left w:val="nil"/>
              <w:bottom w:val="single" w:sz="12" w:space="0" w:color="auto"/>
              <w:right w:val="nil"/>
            </w:tcBorders>
            <w:shd w:val="clear" w:color="auto" w:fill="auto"/>
            <w:noWrap/>
            <w:vAlign w:val="bottom"/>
          </w:tcPr>
          <w:p w14:paraId="3C657112" w14:textId="55F99A07" w:rsidR="00561C5F" w:rsidRPr="004608BF" w:rsidRDefault="00783D0E" w:rsidP="00561C5F">
            <w:pPr>
              <w:suppressAutoHyphens/>
              <w:autoSpaceDN w:val="0"/>
              <w:jc w:val="right"/>
              <w:rPr>
                <w:rFonts w:ascii="Arial" w:eastAsia="Times New Roman" w:hAnsi="Arial" w:cs="Arial"/>
                <w:b/>
                <w:bCs/>
                <w:sz w:val="14"/>
                <w:szCs w:val="14"/>
              </w:rPr>
            </w:pPr>
            <w:r>
              <w:rPr>
                <w:rFonts w:ascii="Arial" w:eastAsia="Times New Roman" w:hAnsi="Arial" w:cs="Arial"/>
                <w:b/>
                <w:bCs/>
                <w:sz w:val="14"/>
                <w:szCs w:val="14"/>
              </w:rPr>
              <w:t>1.721</w:t>
            </w:r>
          </w:p>
        </w:tc>
        <w:tc>
          <w:tcPr>
            <w:tcW w:w="850" w:type="dxa"/>
            <w:tcBorders>
              <w:top w:val="single" w:sz="4" w:space="0" w:color="auto"/>
              <w:left w:val="nil"/>
              <w:bottom w:val="single" w:sz="12" w:space="0" w:color="auto"/>
              <w:right w:val="nil"/>
            </w:tcBorders>
            <w:shd w:val="clear" w:color="auto" w:fill="auto"/>
            <w:noWrap/>
            <w:vAlign w:val="bottom"/>
          </w:tcPr>
          <w:p w14:paraId="1AAFA213" w14:textId="3078D0ED" w:rsidR="00561C5F" w:rsidRPr="004608BF" w:rsidRDefault="00783D0E" w:rsidP="00561C5F">
            <w:pPr>
              <w:suppressAutoHyphens/>
              <w:autoSpaceDN w:val="0"/>
              <w:jc w:val="right"/>
              <w:rPr>
                <w:rFonts w:ascii="Arial" w:eastAsia="Times New Roman" w:hAnsi="Arial" w:cs="Arial"/>
                <w:b/>
                <w:bCs/>
                <w:sz w:val="14"/>
                <w:szCs w:val="14"/>
              </w:rPr>
            </w:pPr>
            <w:r>
              <w:rPr>
                <w:rFonts w:ascii="Arial" w:eastAsia="Times New Roman" w:hAnsi="Arial" w:cs="Arial"/>
                <w:b/>
                <w:bCs/>
                <w:sz w:val="14"/>
                <w:szCs w:val="14"/>
              </w:rPr>
              <w:t>11</w:t>
            </w:r>
          </w:p>
        </w:tc>
        <w:tc>
          <w:tcPr>
            <w:tcW w:w="850" w:type="dxa"/>
            <w:tcBorders>
              <w:top w:val="single" w:sz="4" w:space="0" w:color="auto"/>
              <w:left w:val="nil"/>
              <w:bottom w:val="single" w:sz="12" w:space="0" w:color="auto"/>
              <w:right w:val="nil"/>
            </w:tcBorders>
            <w:shd w:val="clear" w:color="auto" w:fill="auto"/>
            <w:noWrap/>
            <w:vAlign w:val="bottom"/>
          </w:tcPr>
          <w:p w14:paraId="5EE960E8" w14:textId="20D0DFD6" w:rsidR="00561C5F" w:rsidRPr="004608BF" w:rsidRDefault="00783D0E" w:rsidP="00561C5F">
            <w:pPr>
              <w:suppressAutoHyphens/>
              <w:autoSpaceDN w:val="0"/>
              <w:jc w:val="right"/>
              <w:rPr>
                <w:rFonts w:ascii="Arial" w:eastAsia="Times New Roman" w:hAnsi="Arial" w:cs="Arial"/>
                <w:b/>
                <w:bCs/>
                <w:sz w:val="14"/>
                <w:szCs w:val="14"/>
              </w:rPr>
            </w:pPr>
            <w:r>
              <w:rPr>
                <w:rFonts w:ascii="Arial" w:eastAsia="Times New Roman" w:hAnsi="Arial" w:cs="Arial"/>
                <w:b/>
                <w:bCs/>
                <w:sz w:val="14"/>
                <w:szCs w:val="14"/>
              </w:rPr>
              <w:t>259</w:t>
            </w:r>
          </w:p>
        </w:tc>
        <w:tc>
          <w:tcPr>
            <w:tcW w:w="850" w:type="dxa"/>
            <w:tcBorders>
              <w:top w:val="single" w:sz="4" w:space="0" w:color="auto"/>
              <w:left w:val="nil"/>
              <w:bottom w:val="single" w:sz="12" w:space="0" w:color="auto"/>
              <w:right w:val="nil"/>
            </w:tcBorders>
            <w:vAlign w:val="bottom"/>
          </w:tcPr>
          <w:p w14:paraId="3A37925A" w14:textId="0827CA8B" w:rsidR="00561C5F" w:rsidRPr="004608BF" w:rsidRDefault="00783D0E" w:rsidP="00561C5F">
            <w:pPr>
              <w:suppressAutoHyphens/>
              <w:autoSpaceDN w:val="0"/>
              <w:jc w:val="right"/>
              <w:rPr>
                <w:rFonts w:ascii="Arial" w:eastAsia="Times New Roman" w:hAnsi="Arial" w:cs="Arial"/>
                <w:b/>
                <w:bCs/>
                <w:sz w:val="14"/>
                <w:szCs w:val="14"/>
              </w:rPr>
            </w:pPr>
            <w:r>
              <w:rPr>
                <w:rFonts w:ascii="Arial" w:eastAsia="Times New Roman" w:hAnsi="Arial" w:cs="Arial"/>
                <w:b/>
                <w:bCs/>
                <w:sz w:val="14"/>
                <w:szCs w:val="14"/>
              </w:rPr>
              <w:t>8</w:t>
            </w:r>
          </w:p>
        </w:tc>
        <w:tc>
          <w:tcPr>
            <w:tcW w:w="850" w:type="dxa"/>
            <w:tcBorders>
              <w:top w:val="single" w:sz="4" w:space="0" w:color="auto"/>
              <w:left w:val="nil"/>
              <w:bottom w:val="single" w:sz="12" w:space="0" w:color="auto"/>
              <w:right w:val="nil"/>
            </w:tcBorders>
            <w:shd w:val="clear" w:color="auto" w:fill="auto"/>
            <w:noWrap/>
            <w:vAlign w:val="bottom"/>
          </w:tcPr>
          <w:p w14:paraId="00F65A05" w14:textId="33AE6AD2" w:rsidR="00561C5F" w:rsidRPr="004608BF" w:rsidRDefault="00783D0E" w:rsidP="00561C5F">
            <w:pPr>
              <w:suppressAutoHyphens/>
              <w:autoSpaceDN w:val="0"/>
              <w:jc w:val="right"/>
              <w:rPr>
                <w:rFonts w:ascii="Arial" w:eastAsia="Times New Roman" w:hAnsi="Arial" w:cs="Arial"/>
                <w:b/>
                <w:bCs/>
                <w:sz w:val="14"/>
                <w:szCs w:val="14"/>
              </w:rPr>
            </w:pPr>
            <w:r>
              <w:rPr>
                <w:rFonts w:ascii="Arial" w:eastAsia="Times New Roman" w:hAnsi="Arial" w:cs="Arial"/>
                <w:b/>
                <w:bCs/>
                <w:sz w:val="14"/>
                <w:szCs w:val="14"/>
              </w:rPr>
              <w:t>1.999</w:t>
            </w:r>
          </w:p>
        </w:tc>
        <w:tc>
          <w:tcPr>
            <w:tcW w:w="850" w:type="dxa"/>
            <w:tcBorders>
              <w:top w:val="single" w:sz="4" w:space="0" w:color="auto"/>
              <w:left w:val="nil"/>
              <w:bottom w:val="single" w:sz="12" w:space="0" w:color="auto"/>
              <w:right w:val="nil"/>
            </w:tcBorders>
            <w:shd w:val="clear" w:color="auto" w:fill="auto"/>
            <w:noWrap/>
            <w:vAlign w:val="bottom"/>
          </w:tcPr>
          <w:p w14:paraId="05E824B2" w14:textId="56E08834" w:rsidR="00561C5F" w:rsidRPr="00F15DFA" w:rsidRDefault="00561C5F" w:rsidP="00561C5F">
            <w:pPr>
              <w:suppressAutoHyphens/>
              <w:autoSpaceDN w:val="0"/>
              <w:jc w:val="right"/>
              <w:rPr>
                <w:rFonts w:ascii="Arial" w:eastAsia="Times New Roman" w:hAnsi="Arial" w:cs="Arial"/>
                <w:b/>
                <w:bCs/>
                <w:sz w:val="14"/>
                <w:szCs w:val="14"/>
              </w:rPr>
            </w:pPr>
            <w:r w:rsidRPr="00F15DFA">
              <w:rPr>
                <w:rFonts w:ascii="Arial" w:eastAsia="Times New Roman" w:hAnsi="Arial" w:cs="Arial"/>
                <w:b/>
                <w:bCs/>
                <w:sz w:val="14"/>
                <w:szCs w:val="14"/>
              </w:rPr>
              <w:t>884</w:t>
            </w:r>
          </w:p>
        </w:tc>
        <w:tc>
          <w:tcPr>
            <w:tcW w:w="850" w:type="dxa"/>
            <w:tcBorders>
              <w:top w:val="single" w:sz="4" w:space="0" w:color="auto"/>
              <w:left w:val="nil"/>
              <w:bottom w:val="single" w:sz="12" w:space="0" w:color="auto"/>
              <w:right w:val="nil"/>
            </w:tcBorders>
            <w:shd w:val="clear" w:color="auto" w:fill="auto"/>
            <w:noWrap/>
            <w:vAlign w:val="bottom"/>
          </w:tcPr>
          <w:p w14:paraId="35D480F4" w14:textId="2E5751CA" w:rsidR="00561C5F" w:rsidRPr="00F15DFA" w:rsidRDefault="00561C5F" w:rsidP="00561C5F">
            <w:pPr>
              <w:suppressAutoHyphens/>
              <w:autoSpaceDN w:val="0"/>
              <w:jc w:val="right"/>
              <w:rPr>
                <w:rFonts w:ascii="Arial" w:eastAsia="Times New Roman" w:hAnsi="Arial" w:cs="Arial"/>
                <w:b/>
                <w:bCs/>
                <w:sz w:val="14"/>
                <w:szCs w:val="14"/>
              </w:rPr>
            </w:pPr>
            <w:r w:rsidRPr="00F15DFA">
              <w:rPr>
                <w:rFonts w:ascii="Arial" w:eastAsia="Times New Roman" w:hAnsi="Arial" w:cs="Arial"/>
                <w:b/>
                <w:bCs/>
                <w:sz w:val="14"/>
                <w:szCs w:val="14"/>
              </w:rPr>
              <w:t>11</w:t>
            </w:r>
          </w:p>
        </w:tc>
        <w:tc>
          <w:tcPr>
            <w:tcW w:w="850" w:type="dxa"/>
            <w:tcBorders>
              <w:top w:val="single" w:sz="4" w:space="0" w:color="auto"/>
              <w:left w:val="nil"/>
              <w:bottom w:val="single" w:sz="12" w:space="0" w:color="auto"/>
              <w:right w:val="nil"/>
            </w:tcBorders>
            <w:shd w:val="clear" w:color="auto" w:fill="auto"/>
            <w:noWrap/>
            <w:vAlign w:val="bottom"/>
          </w:tcPr>
          <w:p w14:paraId="3463F022" w14:textId="41665105" w:rsidR="00561C5F" w:rsidRPr="00F15DFA" w:rsidRDefault="00561C5F" w:rsidP="00561C5F">
            <w:pPr>
              <w:suppressAutoHyphens/>
              <w:autoSpaceDN w:val="0"/>
              <w:jc w:val="right"/>
              <w:rPr>
                <w:rFonts w:ascii="Arial" w:eastAsia="Times New Roman" w:hAnsi="Arial" w:cs="Arial"/>
                <w:b/>
                <w:bCs/>
                <w:sz w:val="14"/>
                <w:szCs w:val="14"/>
              </w:rPr>
            </w:pPr>
            <w:r w:rsidRPr="00F15DFA">
              <w:rPr>
                <w:rFonts w:ascii="Arial" w:eastAsia="Times New Roman" w:hAnsi="Arial" w:cs="Arial"/>
                <w:b/>
                <w:bCs/>
                <w:sz w:val="14"/>
                <w:szCs w:val="14"/>
              </w:rPr>
              <w:t>259</w:t>
            </w:r>
          </w:p>
        </w:tc>
        <w:tc>
          <w:tcPr>
            <w:tcW w:w="850" w:type="dxa"/>
            <w:tcBorders>
              <w:top w:val="single" w:sz="4" w:space="0" w:color="auto"/>
              <w:left w:val="nil"/>
              <w:bottom w:val="single" w:sz="12" w:space="0" w:color="auto"/>
              <w:right w:val="nil"/>
            </w:tcBorders>
            <w:vAlign w:val="bottom"/>
          </w:tcPr>
          <w:p w14:paraId="79001A9F" w14:textId="3B9815D8" w:rsidR="00561C5F" w:rsidRPr="00F15DFA" w:rsidRDefault="00561C5F" w:rsidP="00561C5F">
            <w:pPr>
              <w:suppressAutoHyphens/>
              <w:autoSpaceDN w:val="0"/>
              <w:jc w:val="right"/>
              <w:rPr>
                <w:rFonts w:ascii="Arial" w:eastAsia="Times New Roman" w:hAnsi="Arial" w:cs="Arial"/>
                <w:b/>
                <w:bCs/>
                <w:sz w:val="14"/>
                <w:szCs w:val="14"/>
              </w:rPr>
            </w:pPr>
            <w:r w:rsidRPr="00F15DFA">
              <w:rPr>
                <w:rFonts w:ascii="Arial" w:eastAsia="Times New Roman" w:hAnsi="Arial" w:cs="Arial"/>
                <w:b/>
                <w:bCs/>
                <w:sz w:val="14"/>
                <w:szCs w:val="14"/>
              </w:rPr>
              <w:t>8</w:t>
            </w:r>
          </w:p>
        </w:tc>
        <w:tc>
          <w:tcPr>
            <w:tcW w:w="850" w:type="dxa"/>
            <w:tcBorders>
              <w:top w:val="single" w:sz="4" w:space="0" w:color="auto"/>
              <w:left w:val="nil"/>
              <w:bottom w:val="single" w:sz="12" w:space="0" w:color="auto"/>
              <w:right w:val="nil"/>
            </w:tcBorders>
            <w:shd w:val="clear" w:color="auto" w:fill="auto"/>
            <w:noWrap/>
            <w:vAlign w:val="bottom"/>
          </w:tcPr>
          <w:p w14:paraId="140A308A" w14:textId="2489D458" w:rsidR="00561C5F" w:rsidRPr="00F15DFA" w:rsidRDefault="00561C5F" w:rsidP="00561C5F">
            <w:pPr>
              <w:suppressAutoHyphens/>
              <w:autoSpaceDN w:val="0"/>
              <w:jc w:val="right"/>
              <w:rPr>
                <w:rFonts w:ascii="Arial" w:eastAsia="Times New Roman" w:hAnsi="Arial" w:cs="Arial"/>
                <w:b/>
                <w:bCs/>
                <w:sz w:val="14"/>
                <w:szCs w:val="14"/>
              </w:rPr>
            </w:pPr>
            <w:r w:rsidRPr="00F15DFA">
              <w:rPr>
                <w:rFonts w:ascii="Arial" w:eastAsia="Times New Roman" w:hAnsi="Arial" w:cs="Arial"/>
                <w:b/>
                <w:bCs/>
                <w:sz w:val="14"/>
                <w:szCs w:val="14"/>
              </w:rPr>
              <w:t>1.162</w:t>
            </w:r>
          </w:p>
        </w:tc>
      </w:tr>
    </w:tbl>
    <w:p w14:paraId="1FA23458" w14:textId="77777777" w:rsidR="00D004B1" w:rsidRPr="003D1614" w:rsidRDefault="00D004B1" w:rsidP="001B247D">
      <w:pPr>
        <w:suppressAutoHyphens/>
        <w:autoSpaceDN w:val="0"/>
        <w:jc w:val="both"/>
        <w:outlineLvl w:val="0"/>
        <w:rPr>
          <w:rFonts w:ascii="Arial" w:eastAsia="Calibri" w:hAnsi="Arial" w:cs="Arial"/>
          <w:bCs/>
          <w:color w:val="000000" w:themeColor="text1"/>
          <w:sz w:val="20"/>
          <w:szCs w:val="20"/>
        </w:rPr>
      </w:pPr>
    </w:p>
    <w:tbl>
      <w:tblPr>
        <w:tblW w:w="10031" w:type="dxa"/>
        <w:tblInd w:w="-426" w:type="dxa"/>
        <w:tblLayout w:type="fixed"/>
        <w:tblLook w:val="04A0" w:firstRow="1" w:lastRow="0" w:firstColumn="1" w:lastColumn="0" w:noHBand="0" w:noVBand="1"/>
      </w:tblPr>
      <w:tblGrid>
        <w:gridCol w:w="1531"/>
        <w:gridCol w:w="850"/>
        <w:gridCol w:w="850"/>
        <w:gridCol w:w="850"/>
        <w:gridCol w:w="850"/>
        <w:gridCol w:w="850"/>
        <w:gridCol w:w="850"/>
        <w:gridCol w:w="850"/>
        <w:gridCol w:w="850"/>
        <w:gridCol w:w="850"/>
        <w:gridCol w:w="850"/>
      </w:tblGrid>
      <w:tr w:rsidR="005A713F" w:rsidRPr="003364B5" w14:paraId="1CC552AF" w14:textId="77777777" w:rsidTr="00E12A58">
        <w:trPr>
          <w:trHeight w:val="244"/>
        </w:trPr>
        <w:tc>
          <w:tcPr>
            <w:tcW w:w="1531" w:type="dxa"/>
            <w:tcBorders>
              <w:top w:val="nil"/>
              <w:left w:val="nil"/>
              <w:bottom w:val="nil"/>
              <w:right w:val="nil"/>
            </w:tcBorders>
            <w:shd w:val="clear" w:color="auto" w:fill="auto"/>
            <w:noWrap/>
            <w:vAlign w:val="bottom"/>
            <w:hideMark/>
          </w:tcPr>
          <w:p w14:paraId="41FB9549" w14:textId="77777777" w:rsidR="005A713F" w:rsidRPr="004B4498" w:rsidRDefault="005A713F" w:rsidP="00E12A58">
            <w:pPr>
              <w:rPr>
                <w:rFonts w:ascii="Arial" w:hAnsi="Arial" w:cs="Arial"/>
                <w:color w:val="000000" w:themeColor="text1"/>
                <w:sz w:val="14"/>
                <w:szCs w:val="14"/>
              </w:rPr>
            </w:pPr>
            <w:r w:rsidRPr="004B4498">
              <w:rPr>
                <w:rFonts w:ascii="Arial" w:hAnsi="Arial" w:cs="Arial"/>
                <w:b/>
                <w:bCs/>
                <w:color w:val="000000" w:themeColor="text1"/>
                <w:sz w:val="14"/>
                <w:szCs w:val="14"/>
              </w:rPr>
              <w:t>31. prosinca 202</w:t>
            </w:r>
            <w:r>
              <w:rPr>
                <w:rFonts w:ascii="Arial" w:hAnsi="Arial" w:cs="Arial"/>
                <w:b/>
                <w:bCs/>
                <w:color w:val="000000" w:themeColor="text1"/>
                <w:sz w:val="14"/>
                <w:szCs w:val="14"/>
              </w:rPr>
              <w:t>3</w:t>
            </w:r>
            <w:r w:rsidRPr="004B4498">
              <w:rPr>
                <w:rFonts w:ascii="Arial" w:hAnsi="Arial" w:cs="Arial"/>
                <w:b/>
                <w:bCs/>
                <w:color w:val="000000" w:themeColor="text1"/>
                <w:sz w:val="14"/>
                <w:szCs w:val="14"/>
              </w:rPr>
              <w:t>.</w:t>
            </w:r>
          </w:p>
        </w:tc>
        <w:tc>
          <w:tcPr>
            <w:tcW w:w="850" w:type="dxa"/>
            <w:tcBorders>
              <w:top w:val="nil"/>
              <w:left w:val="nil"/>
              <w:bottom w:val="nil"/>
              <w:right w:val="nil"/>
            </w:tcBorders>
            <w:shd w:val="clear" w:color="auto" w:fill="auto"/>
            <w:noWrap/>
            <w:vAlign w:val="bottom"/>
            <w:hideMark/>
          </w:tcPr>
          <w:p w14:paraId="6B9AE2F7" w14:textId="77777777" w:rsidR="005A713F" w:rsidRPr="004B4498" w:rsidRDefault="005A713F" w:rsidP="00E12A58">
            <w:pPr>
              <w:rPr>
                <w:rFonts w:ascii="Arial" w:hAnsi="Arial" w:cs="Arial"/>
                <w:color w:val="000000" w:themeColor="text1"/>
                <w:sz w:val="14"/>
                <w:szCs w:val="14"/>
              </w:rPr>
            </w:pPr>
          </w:p>
        </w:tc>
        <w:tc>
          <w:tcPr>
            <w:tcW w:w="850" w:type="dxa"/>
            <w:tcBorders>
              <w:top w:val="nil"/>
              <w:left w:val="nil"/>
              <w:bottom w:val="nil"/>
              <w:right w:val="nil"/>
            </w:tcBorders>
            <w:shd w:val="clear" w:color="auto" w:fill="auto"/>
            <w:noWrap/>
            <w:vAlign w:val="bottom"/>
            <w:hideMark/>
          </w:tcPr>
          <w:p w14:paraId="30020894" w14:textId="77777777" w:rsidR="005A713F" w:rsidRPr="004B4498" w:rsidRDefault="005A713F" w:rsidP="00E12A58">
            <w:pPr>
              <w:jc w:val="right"/>
              <w:rPr>
                <w:rFonts w:ascii="Arial" w:hAnsi="Arial" w:cs="Arial"/>
                <w:color w:val="000000" w:themeColor="text1"/>
                <w:sz w:val="14"/>
                <w:szCs w:val="14"/>
              </w:rPr>
            </w:pPr>
          </w:p>
        </w:tc>
        <w:tc>
          <w:tcPr>
            <w:tcW w:w="850" w:type="dxa"/>
            <w:tcBorders>
              <w:top w:val="nil"/>
              <w:left w:val="nil"/>
              <w:bottom w:val="nil"/>
              <w:right w:val="nil"/>
            </w:tcBorders>
            <w:shd w:val="clear" w:color="auto" w:fill="auto"/>
            <w:noWrap/>
            <w:vAlign w:val="bottom"/>
            <w:hideMark/>
          </w:tcPr>
          <w:p w14:paraId="590FF081" w14:textId="77777777" w:rsidR="005A713F" w:rsidRPr="004B4498" w:rsidRDefault="005A713F" w:rsidP="00E12A58">
            <w:pPr>
              <w:jc w:val="right"/>
              <w:rPr>
                <w:rFonts w:ascii="Arial" w:hAnsi="Arial" w:cs="Arial"/>
                <w:color w:val="000000" w:themeColor="text1"/>
                <w:sz w:val="14"/>
                <w:szCs w:val="14"/>
              </w:rPr>
            </w:pPr>
          </w:p>
        </w:tc>
        <w:tc>
          <w:tcPr>
            <w:tcW w:w="850" w:type="dxa"/>
            <w:tcBorders>
              <w:top w:val="nil"/>
              <w:left w:val="nil"/>
              <w:bottom w:val="nil"/>
              <w:right w:val="nil"/>
            </w:tcBorders>
            <w:vAlign w:val="bottom"/>
          </w:tcPr>
          <w:p w14:paraId="538A5D6D" w14:textId="77777777" w:rsidR="005A713F" w:rsidRPr="004B4498" w:rsidRDefault="005A713F" w:rsidP="00E12A58">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7E2F1342" w14:textId="77777777" w:rsidR="005A713F" w:rsidRPr="004B4498" w:rsidRDefault="005A713F" w:rsidP="00E12A58">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Grupa</w:t>
            </w:r>
          </w:p>
        </w:tc>
        <w:tc>
          <w:tcPr>
            <w:tcW w:w="850" w:type="dxa"/>
            <w:tcBorders>
              <w:top w:val="nil"/>
              <w:left w:val="nil"/>
              <w:bottom w:val="nil"/>
              <w:right w:val="nil"/>
            </w:tcBorders>
            <w:shd w:val="clear" w:color="auto" w:fill="auto"/>
            <w:noWrap/>
            <w:vAlign w:val="bottom"/>
            <w:hideMark/>
          </w:tcPr>
          <w:p w14:paraId="6F02C40F" w14:textId="77777777" w:rsidR="005A713F" w:rsidRPr="004B4498" w:rsidRDefault="005A713F" w:rsidP="00E12A58">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582861AB" w14:textId="77777777" w:rsidR="005A713F" w:rsidRPr="004B4498" w:rsidRDefault="005A713F" w:rsidP="00E12A58">
            <w:pPr>
              <w:jc w:val="right"/>
              <w:rPr>
                <w:rFonts w:ascii="Arial" w:hAnsi="Arial" w:cs="Arial"/>
                <w:color w:val="000000" w:themeColor="text1"/>
                <w:sz w:val="14"/>
                <w:szCs w:val="14"/>
              </w:rPr>
            </w:pPr>
          </w:p>
        </w:tc>
        <w:tc>
          <w:tcPr>
            <w:tcW w:w="850" w:type="dxa"/>
            <w:tcBorders>
              <w:top w:val="nil"/>
              <w:left w:val="nil"/>
              <w:bottom w:val="nil"/>
              <w:right w:val="nil"/>
            </w:tcBorders>
            <w:shd w:val="clear" w:color="auto" w:fill="auto"/>
            <w:noWrap/>
            <w:vAlign w:val="bottom"/>
            <w:hideMark/>
          </w:tcPr>
          <w:p w14:paraId="2037BE75" w14:textId="77777777" w:rsidR="005A713F" w:rsidRPr="004B4498" w:rsidRDefault="005A713F" w:rsidP="00E12A58">
            <w:pPr>
              <w:jc w:val="right"/>
              <w:rPr>
                <w:rFonts w:ascii="Arial" w:hAnsi="Arial" w:cs="Arial"/>
                <w:color w:val="000000" w:themeColor="text1"/>
                <w:sz w:val="14"/>
                <w:szCs w:val="14"/>
              </w:rPr>
            </w:pPr>
          </w:p>
        </w:tc>
        <w:tc>
          <w:tcPr>
            <w:tcW w:w="850" w:type="dxa"/>
            <w:tcBorders>
              <w:top w:val="nil"/>
              <w:left w:val="nil"/>
              <w:bottom w:val="nil"/>
              <w:right w:val="nil"/>
            </w:tcBorders>
            <w:vAlign w:val="bottom"/>
          </w:tcPr>
          <w:p w14:paraId="1592401C" w14:textId="77777777" w:rsidR="005A713F" w:rsidRPr="004B4498" w:rsidRDefault="005A713F" w:rsidP="00E12A58">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26B22F17" w14:textId="77777777" w:rsidR="005A713F" w:rsidRPr="004B4498" w:rsidRDefault="005A713F" w:rsidP="00E12A58">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Banka</w:t>
            </w:r>
          </w:p>
        </w:tc>
      </w:tr>
      <w:tr w:rsidR="005A713F" w:rsidRPr="003364B5" w14:paraId="7FB520D5" w14:textId="77777777" w:rsidTr="00E12A58">
        <w:trPr>
          <w:trHeight w:val="288"/>
        </w:trPr>
        <w:tc>
          <w:tcPr>
            <w:tcW w:w="1531" w:type="dxa"/>
            <w:tcBorders>
              <w:top w:val="nil"/>
              <w:left w:val="nil"/>
              <w:bottom w:val="nil"/>
              <w:right w:val="nil"/>
            </w:tcBorders>
            <w:shd w:val="clear" w:color="auto" w:fill="auto"/>
            <w:noWrap/>
            <w:vAlign w:val="bottom"/>
            <w:hideMark/>
          </w:tcPr>
          <w:p w14:paraId="5901C86F" w14:textId="77777777" w:rsidR="005A713F" w:rsidRPr="004B4498" w:rsidRDefault="005A713F" w:rsidP="00E12A58">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34732164" w14:textId="77777777" w:rsidR="005A713F" w:rsidRPr="004B4498" w:rsidRDefault="005A713F" w:rsidP="00E12A58">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Stupanj 1</w:t>
            </w:r>
          </w:p>
        </w:tc>
        <w:tc>
          <w:tcPr>
            <w:tcW w:w="850" w:type="dxa"/>
            <w:tcBorders>
              <w:top w:val="nil"/>
              <w:left w:val="nil"/>
              <w:bottom w:val="nil"/>
              <w:right w:val="nil"/>
            </w:tcBorders>
            <w:shd w:val="clear" w:color="auto" w:fill="auto"/>
            <w:noWrap/>
            <w:vAlign w:val="bottom"/>
            <w:hideMark/>
          </w:tcPr>
          <w:p w14:paraId="3FD4D5B7" w14:textId="77777777" w:rsidR="005A713F" w:rsidRPr="004B4498" w:rsidRDefault="005A713F" w:rsidP="00E12A58">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Stupanj 2</w:t>
            </w:r>
          </w:p>
        </w:tc>
        <w:tc>
          <w:tcPr>
            <w:tcW w:w="850" w:type="dxa"/>
            <w:tcBorders>
              <w:top w:val="nil"/>
              <w:left w:val="nil"/>
              <w:bottom w:val="nil"/>
              <w:right w:val="nil"/>
            </w:tcBorders>
            <w:shd w:val="clear" w:color="auto" w:fill="auto"/>
            <w:noWrap/>
            <w:vAlign w:val="bottom"/>
            <w:hideMark/>
          </w:tcPr>
          <w:p w14:paraId="6317A5E5" w14:textId="77777777" w:rsidR="005A713F" w:rsidRPr="004B4498" w:rsidRDefault="005A713F" w:rsidP="00E12A58">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Stupanj 3</w:t>
            </w:r>
          </w:p>
        </w:tc>
        <w:tc>
          <w:tcPr>
            <w:tcW w:w="850" w:type="dxa"/>
            <w:tcBorders>
              <w:top w:val="nil"/>
              <w:left w:val="nil"/>
              <w:bottom w:val="nil"/>
              <w:right w:val="nil"/>
            </w:tcBorders>
            <w:vAlign w:val="bottom"/>
          </w:tcPr>
          <w:p w14:paraId="1D4428EC" w14:textId="77777777" w:rsidR="005A713F" w:rsidRPr="004B4498" w:rsidRDefault="005A713F" w:rsidP="00E12A58">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POCI</w:t>
            </w:r>
          </w:p>
        </w:tc>
        <w:tc>
          <w:tcPr>
            <w:tcW w:w="850" w:type="dxa"/>
            <w:tcBorders>
              <w:top w:val="nil"/>
              <w:left w:val="nil"/>
              <w:bottom w:val="nil"/>
              <w:right w:val="nil"/>
            </w:tcBorders>
            <w:shd w:val="clear" w:color="auto" w:fill="auto"/>
            <w:noWrap/>
            <w:vAlign w:val="bottom"/>
            <w:hideMark/>
          </w:tcPr>
          <w:p w14:paraId="5AE29A55" w14:textId="77777777" w:rsidR="005A713F" w:rsidRPr="004B4498" w:rsidRDefault="005A713F" w:rsidP="00E12A58">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Ukupno</w:t>
            </w:r>
          </w:p>
        </w:tc>
        <w:tc>
          <w:tcPr>
            <w:tcW w:w="850" w:type="dxa"/>
            <w:tcBorders>
              <w:top w:val="nil"/>
              <w:left w:val="nil"/>
              <w:bottom w:val="nil"/>
              <w:right w:val="nil"/>
            </w:tcBorders>
            <w:shd w:val="clear" w:color="auto" w:fill="auto"/>
            <w:noWrap/>
            <w:vAlign w:val="bottom"/>
            <w:hideMark/>
          </w:tcPr>
          <w:p w14:paraId="42479C59" w14:textId="77777777" w:rsidR="005A713F" w:rsidRPr="004B4498" w:rsidRDefault="005A713F" w:rsidP="00E12A58">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Stupanj 1</w:t>
            </w:r>
          </w:p>
        </w:tc>
        <w:tc>
          <w:tcPr>
            <w:tcW w:w="850" w:type="dxa"/>
            <w:tcBorders>
              <w:top w:val="nil"/>
              <w:left w:val="nil"/>
              <w:bottom w:val="nil"/>
              <w:right w:val="nil"/>
            </w:tcBorders>
            <w:shd w:val="clear" w:color="auto" w:fill="auto"/>
            <w:noWrap/>
            <w:vAlign w:val="bottom"/>
            <w:hideMark/>
          </w:tcPr>
          <w:p w14:paraId="5045EAA2" w14:textId="77777777" w:rsidR="005A713F" w:rsidRPr="004B4498" w:rsidRDefault="005A713F" w:rsidP="00E12A58">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Stupanj 2</w:t>
            </w:r>
          </w:p>
        </w:tc>
        <w:tc>
          <w:tcPr>
            <w:tcW w:w="850" w:type="dxa"/>
            <w:tcBorders>
              <w:top w:val="nil"/>
              <w:left w:val="nil"/>
              <w:bottom w:val="nil"/>
              <w:right w:val="nil"/>
            </w:tcBorders>
            <w:shd w:val="clear" w:color="auto" w:fill="auto"/>
            <w:noWrap/>
            <w:vAlign w:val="bottom"/>
            <w:hideMark/>
          </w:tcPr>
          <w:p w14:paraId="25471CB3" w14:textId="77777777" w:rsidR="005A713F" w:rsidRPr="004B4498" w:rsidRDefault="005A713F" w:rsidP="00E12A58">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Stupanj 3</w:t>
            </w:r>
          </w:p>
        </w:tc>
        <w:tc>
          <w:tcPr>
            <w:tcW w:w="850" w:type="dxa"/>
            <w:tcBorders>
              <w:top w:val="nil"/>
              <w:left w:val="nil"/>
              <w:bottom w:val="nil"/>
              <w:right w:val="nil"/>
            </w:tcBorders>
            <w:vAlign w:val="bottom"/>
          </w:tcPr>
          <w:p w14:paraId="3424BC52" w14:textId="77777777" w:rsidR="005A713F" w:rsidRPr="004B4498" w:rsidRDefault="005A713F" w:rsidP="00E12A58">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POCI</w:t>
            </w:r>
          </w:p>
        </w:tc>
        <w:tc>
          <w:tcPr>
            <w:tcW w:w="850" w:type="dxa"/>
            <w:tcBorders>
              <w:top w:val="nil"/>
              <w:left w:val="nil"/>
              <w:bottom w:val="nil"/>
              <w:right w:val="nil"/>
            </w:tcBorders>
            <w:shd w:val="clear" w:color="auto" w:fill="auto"/>
            <w:noWrap/>
            <w:vAlign w:val="bottom"/>
            <w:hideMark/>
          </w:tcPr>
          <w:p w14:paraId="00595F99" w14:textId="77777777" w:rsidR="005A713F" w:rsidRPr="004B4498" w:rsidRDefault="005A713F" w:rsidP="00E12A58">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Ukupno</w:t>
            </w:r>
          </w:p>
        </w:tc>
      </w:tr>
      <w:tr w:rsidR="005A713F" w:rsidRPr="003364B5" w14:paraId="13A868BC" w14:textId="77777777" w:rsidTr="00E12A58">
        <w:trPr>
          <w:trHeight w:val="288"/>
        </w:trPr>
        <w:tc>
          <w:tcPr>
            <w:tcW w:w="1531" w:type="dxa"/>
            <w:tcBorders>
              <w:top w:val="nil"/>
              <w:left w:val="nil"/>
              <w:bottom w:val="nil"/>
              <w:right w:val="nil"/>
            </w:tcBorders>
            <w:shd w:val="clear" w:color="auto" w:fill="auto"/>
            <w:noWrap/>
            <w:vAlign w:val="bottom"/>
          </w:tcPr>
          <w:p w14:paraId="62B98AAF" w14:textId="77777777" w:rsidR="005A713F" w:rsidRPr="004B4498" w:rsidRDefault="005A713F" w:rsidP="00E12A58">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tcPr>
          <w:p w14:paraId="030A34D1" w14:textId="77777777" w:rsidR="005A713F" w:rsidRPr="004B4498" w:rsidRDefault="005A713F" w:rsidP="00E12A58">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tcPr>
          <w:p w14:paraId="3998F637" w14:textId="77777777" w:rsidR="005A713F" w:rsidRPr="004B4498" w:rsidRDefault="005A713F" w:rsidP="00E12A58">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tcPr>
          <w:p w14:paraId="3C2A6FFA" w14:textId="77777777" w:rsidR="005A713F" w:rsidRPr="004B4498" w:rsidRDefault="005A713F" w:rsidP="00E12A58">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vAlign w:val="bottom"/>
          </w:tcPr>
          <w:p w14:paraId="4316AC0D" w14:textId="77777777" w:rsidR="005A713F" w:rsidRPr="004B4498" w:rsidRDefault="005A713F" w:rsidP="00E12A58">
            <w:pPr>
              <w:jc w:val="right"/>
              <w:rPr>
                <w:rFonts w:ascii="Arial" w:hAnsi="Arial" w:cs="Arial"/>
                <w:b/>
                <w:bCs/>
                <w:color w:val="000000" w:themeColor="text1"/>
                <w:sz w:val="14"/>
                <w:szCs w:val="14"/>
              </w:rPr>
            </w:pPr>
            <w:r w:rsidRPr="00D87D1A">
              <w:rPr>
                <w:rFonts w:ascii="Arial" w:hAnsi="Arial" w:cs="Arial"/>
                <w:b/>
                <w:bCs/>
                <w:color w:val="000000" w:themeColor="text1"/>
                <w:sz w:val="14"/>
                <w:szCs w:val="14"/>
              </w:rPr>
              <w:t>Stupanj 3</w:t>
            </w:r>
          </w:p>
        </w:tc>
        <w:tc>
          <w:tcPr>
            <w:tcW w:w="850" w:type="dxa"/>
            <w:tcBorders>
              <w:top w:val="nil"/>
              <w:left w:val="nil"/>
              <w:bottom w:val="nil"/>
              <w:right w:val="nil"/>
            </w:tcBorders>
            <w:shd w:val="clear" w:color="auto" w:fill="auto"/>
            <w:noWrap/>
            <w:vAlign w:val="bottom"/>
          </w:tcPr>
          <w:p w14:paraId="57D34D95" w14:textId="77777777" w:rsidR="005A713F" w:rsidRPr="004B4498" w:rsidRDefault="005A713F" w:rsidP="00E12A58">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tcPr>
          <w:p w14:paraId="60542551" w14:textId="77777777" w:rsidR="005A713F" w:rsidRPr="004B4498" w:rsidRDefault="005A713F" w:rsidP="00E12A58">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tcPr>
          <w:p w14:paraId="17288C9D" w14:textId="77777777" w:rsidR="005A713F" w:rsidRPr="004B4498" w:rsidRDefault="005A713F" w:rsidP="00E12A58">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tcPr>
          <w:p w14:paraId="09A72400" w14:textId="77777777" w:rsidR="005A713F" w:rsidRPr="004B4498" w:rsidRDefault="005A713F" w:rsidP="00E12A58">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vAlign w:val="bottom"/>
          </w:tcPr>
          <w:p w14:paraId="6C1CD9FB" w14:textId="77777777" w:rsidR="005A713F" w:rsidRPr="004B4498" w:rsidRDefault="005A713F" w:rsidP="00E12A58">
            <w:pPr>
              <w:jc w:val="right"/>
              <w:rPr>
                <w:rFonts w:ascii="Arial" w:hAnsi="Arial" w:cs="Arial"/>
                <w:b/>
                <w:bCs/>
                <w:color w:val="000000" w:themeColor="text1"/>
                <w:sz w:val="14"/>
                <w:szCs w:val="14"/>
              </w:rPr>
            </w:pPr>
            <w:r w:rsidRPr="00D87D1A">
              <w:rPr>
                <w:rFonts w:ascii="Arial" w:hAnsi="Arial" w:cs="Arial"/>
                <w:b/>
                <w:bCs/>
                <w:color w:val="000000" w:themeColor="text1"/>
                <w:sz w:val="14"/>
                <w:szCs w:val="14"/>
              </w:rPr>
              <w:t>Stupanj 3</w:t>
            </w:r>
          </w:p>
        </w:tc>
        <w:tc>
          <w:tcPr>
            <w:tcW w:w="850" w:type="dxa"/>
            <w:tcBorders>
              <w:top w:val="nil"/>
              <w:left w:val="nil"/>
              <w:bottom w:val="nil"/>
              <w:right w:val="nil"/>
            </w:tcBorders>
            <w:shd w:val="clear" w:color="auto" w:fill="auto"/>
            <w:noWrap/>
            <w:vAlign w:val="bottom"/>
          </w:tcPr>
          <w:p w14:paraId="29E3650D" w14:textId="77777777" w:rsidR="005A713F" w:rsidRPr="004B4498" w:rsidRDefault="005A713F" w:rsidP="00E12A58">
            <w:pPr>
              <w:jc w:val="right"/>
              <w:rPr>
                <w:rFonts w:ascii="Arial" w:hAnsi="Arial" w:cs="Arial"/>
                <w:b/>
                <w:bCs/>
                <w:color w:val="000000" w:themeColor="text1"/>
                <w:sz w:val="14"/>
                <w:szCs w:val="14"/>
              </w:rPr>
            </w:pPr>
          </w:p>
        </w:tc>
      </w:tr>
      <w:tr w:rsidR="005A713F" w:rsidRPr="003364B5" w14:paraId="7ECA103E" w14:textId="77777777" w:rsidTr="00E12A58">
        <w:trPr>
          <w:trHeight w:val="288"/>
        </w:trPr>
        <w:tc>
          <w:tcPr>
            <w:tcW w:w="1531" w:type="dxa"/>
            <w:tcBorders>
              <w:top w:val="nil"/>
              <w:left w:val="nil"/>
              <w:bottom w:val="nil"/>
              <w:right w:val="nil"/>
            </w:tcBorders>
            <w:shd w:val="clear" w:color="auto" w:fill="auto"/>
            <w:noWrap/>
            <w:vAlign w:val="bottom"/>
            <w:hideMark/>
          </w:tcPr>
          <w:p w14:paraId="3EC6B2F0" w14:textId="77777777" w:rsidR="005A713F" w:rsidRPr="004B4498" w:rsidRDefault="005A713F" w:rsidP="00E12A58">
            <w:pPr>
              <w:jc w:val="right"/>
              <w:rPr>
                <w:rFonts w:ascii="Arial" w:hAnsi="Arial" w:cs="Arial"/>
                <w:b/>
                <w:bCs/>
                <w:color w:val="000000" w:themeColor="text1"/>
                <w:sz w:val="14"/>
                <w:szCs w:val="14"/>
              </w:rPr>
            </w:pPr>
          </w:p>
        </w:tc>
        <w:tc>
          <w:tcPr>
            <w:tcW w:w="850" w:type="dxa"/>
            <w:tcBorders>
              <w:top w:val="nil"/>
              <w:left w:val="nil"/>
              <w:bottom w:val="nil"/>
              <w:right w:val="nil"/>
            </w:tcBorders>
            <w:shd w:val="clear" w:color="auto" w:fill="auto"/>
            <w:noWrap/>
            <w:vAlign w:val="bottom"/>
            <w:hideMark/>
          </w:tcPr>
          <w:p w14:paraId="67CB7554" w14:textId="77777777" w:rsidR="005A713F" w:rsidRPr="004B4498" w:rsidRDefault="005A713F" w:rsidP="00E12A58">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 xml:space="preserve">000 </w:t>
            </w:r>
            <w:r>
              <w:rPr>
                <w:rFonts w:ascii="Arial" w:hAnsi="Arial" w:cs="Arial"/>
                <w:b/>
                <w:bCs/>
                <w:color w:val="000000" w:themeColor="text1"/>
                <w:sz w:val="14"/>
                <w:szCs w:val="14"/>
              </w:rPr>
              <w:t>eura</w:t>
            </w:r>
          </w:p>
        </w:tc>
        <w:tc>
          <w:tcPr>
            <w:tcW w:w="850" w:type="dxa"/>
            <w:tcBorders>
              <w:top w:val="nil"/>
              <w:left w:val="nil"/>
              <w:bottom w:val="nil"/>
              <w:right w:val="nil"/>
            </w:tcBorders>
            <w:shd w:val="clear" w:color="auto" w:fill="auto"/>
            <w:noWrap/>
            <w:vAlign w:val="bottom"/>
            <w:hideMark/>
          </w:tcPr>
          <w:p w14:paraId="0361170C" w14:textId="77777777" w:rsidR="005A713F" w:rsidRPr="004B4498" w:rsidRDefault="005A713F" w:rsidP="00E12A58">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 xml:space="preserve">000 </w:t>
            </w:r>
            <w:r>
              <w:rPr>
                <w:rFonts w:ascii="Arial" w:hAnsi="Arial" w:cs="Arial"/>
                <w:b/>
                <w:bCs/>
                <w:color w:val="000000" w:themeColor="text1"/>
                <w:sz w:val="14"/>
                <w:szCs w:val="14"/>
              </w:rPr>
              <w:t>eura</w:t>
            </w:r>
          </w:p>
        </w:tc>
        <w:tc>
          <w:tcPr>
            <w:tcW w:w="850" w:type="dxa"/>
            <w:tcBorders>
              <w:top w:val="nil"/>
              <w:left w:val="nil"/>
              <w:bottom w:val="nil"/>
              <w:right w:val="nil"/>
            </w:tcBorders>
            <w:shd w:val="clear" w:color="auto" w:fill="auto"/>
            <w:noWrap/>
            <w:vAlign w:val="bottom"/>
            <w:hideMark/>
          </w:tcPr>
          <w:p w14:paraId="3EBDE0AE" w14:textId="77777777" w:rsidR="005A713F" w:rsidRPr="004B4498" w:rsidRDefault="005A713F" w:rsidP="00E12A58">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 xml:space="preserve">000 </w:t>
            </w:r>
            <w:r>
              <w:rPr>
                <w:rFonts w:ascii="Arial" w:hAnsi="Arial" w:cs="Arial"/>
                <w:b/>
                <w:bCs/>
                <w:color w:val="000000" w:themeColor="text1"/>
                <w:sz w:val="14"/>
                <w:szCs w:val="14"/>
              </w:rPr>
              <w:t>eura</w:t>
            </w:r>
          </w:p>
        </w:tc>
        <w:tc>
          <w:tcPr>
            <w:tcW w:w="850" w:type="dxa"/>
            <w:tcBorders>
              <w:top w:val="nil"/>
              <w:left w:val="nil"/>
              <w:bottom w:val="nil"/>
              <w:right w:val="nil"/>
            </w:tcBorders>
            <w:shd w:val="clear" w:color="auto" w:fill="auto"/>
            <w:vAlign w:val="bottom"/>
          </w:tcPr>
          <w:p w14:paraId="15614B54" w14:textId="77777777" w:rsidR="005A713F" w:rsidRPr="004B4498" w:rsidRDefault="005A713F" w:rsidP="00E12A58">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 xml:space="preserve">000 </w:t>
            </w:r>
            <w:r>
              <w:rPr>
                <w:rFonts w:ascii="Arial" w:hAnsi="Arial" w:cs="Arial"/>
                <w:b/>
                <w:bCs/>
                <w:color w:val="000000" w:themeColor="text1"/>
                <w:sz w:val="14"/>
                <w:szCs w:val="14"/>
              </w:rPr>
              <w:t>eura</w:t>
            </w:r>
          </w:p>
        </w:tc>
        <w:tc>
          <w:tcPr>
            <w:tcW w:w="850" w:type="dxa"/>
            <w:tcBorders>
              <w:top w:val="nil"/>
              <w:left w:val="nil"/>
              <w:bottom w:val="nil"/>
              <w:right w:val="nil"/>
            </w:tcBorders>
            <w:shd w:val="clear" w:color="auto" w:fill="auto"/>
            <w:noWrap/>
            <w:vAlign w:val="bottom"/>
            <w:hideMark/>
          </w:tcPr>
          <w:p w14:paraId="5093A05E" w14:textId="77777777" w:rsidR="005A713F" w:rsidRPr="004B4498" w:rsidRDefault="005A713F" w:rsidP="00E12A58">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 xml:space="preserve">000 </w:t>
            </w:r>
            <w:r>
              <w:rPr>
                <w:rFonts w:ascii="Arial" w:hAnsi="Arial" w:cs="Arial"/>
                <w:b/>
                <w:bCs/>
                <w:color w:val="000000" w:themeColor="text1"/>
                <w:sz w:val="14"/>
                <w:szCs w:val="14"/>
              </w:rPr>
              <w:t>eura</w:t>
            </w:r>
          </w:p>
        </w:tc>
        <w:tc>
          <w:tcPr>
            <w:tcW w:w="850" w:type="dxa"/>
            <w:tcBorders>
              <w:top w:val="nil"/>
              <w:left w:val="nil"/>
              <w:bottom w:val="nil"/>
              <w:right w:val="nil"/>
            </w:tcBorders>
            <w:shd w:val="clear" w:color="auto" w:fill="auto"/>
            <w:noWrap/>
            <w:vAlign w:val="bottom"/>
            <w:hideMark/>
          </w:tcPr>
          <w:p w14:paraId="4A7C2198" w14:textId="77777777" w:rsidR="005A713F" w:rsidRPr="004B4498" w:rsidRDefault="005A713F" w:rsidP="00E12A58">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 xml:space="preserve">000 </w:t>
            </w:r>
            <w:r>
              <w:rPr>
                <w:rFonts w:ascii="Arial" w:hAnsi="Arial" w:cs="Arial"/>
                <w:b/>
                <w:bCs/>
                <w:color w:val="000000" w:themeColor="text1"/>
                <w:sz w:val="14"/>
                <w:szCs w:val="14"/>
              </w:rPr>
              <w:t>eura</w:t>
            </w:r>
          </w:p>
        </w:tc>
        <w:tc>
          <w:tcPr>
            <w:tcW w:w="850" w:type="dxa"/>
            <w:tcBorders>
              <w:top w:val="nil"/>
              <w:left w:val="nil"/>
              <w:bottom w:val="nil"/>
              <w:right w:val="nil"/>
            </w:tcBorders>
            <w:shd w:val="clear" w:color="auto" w:fill="auto"/>
            <w:noWrap/>
            <w:vAlign w:val="bottom"/>
            <w:hideMark/>
          </w:tcPr>
          <w:p w14:paraId="1721B031" w14:textId="77777777" w:rsidR="005A713F" w:rsidRPr="004B4498" w:rsidRDefault="005A713F" w:rsidP="00E12A58">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 xml:space="preserve">000 </w:t>
            </w:r>
            <w:r>
              <w:rPr>
                <w:rFonts w:ascii="Arial" w:hAnsi="Arial" w:cs="Arial"/>
                <w:b/>
                <w:bCs/>
                <w:color w:val="000000" w:themeColor="text1"/>
                <w:sz w:val="14"/>
                <w:szCs w:val="14"/>
              </w:rPr>
              <w:t>eura</w:t>
            </w:r>
          </w:p>
        </w:tc>
        <w:tc>
          <w:tcPr>
            <w:tcW w:w="850" w:type="dxa"/>
            <w:tcBorders>
              <w:top w:val="nil"/>
              <w:left w:val="nil"/>
              <w:bottom w:val="nil"/>
              <w:right w:val="nil"/>
            </w:tcBorders>
            <w:shd w:val="clear" w:color="auto" w:fill="auto"/>
            <w:noWrap/>
            <w:vAlign w:val="bottom"/>
            <w:hideMark/>
          </w:tcPr>
          <w:p w14:paraId="027117D4" w14:textId="77777777" w:rsidR="005A713F" w:rsidRPr="004B4498" w:rsidRDefault="005A713F" w:rsidP="00E12A58">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 xml:space="preserve">000 </w:t>
            </w:r>
            <w:r>
              <w:rPr>
                <w:rFonts w:ascii="Arial" w:hAnsi="Arial" w:cs="Arial"/>
                <w:b/>
                <w:bCs/>
                <w:color w:val="000000" w:themeColor="text1"/>
                <w:sz w:val="14"/>
                <w:szCs w:val="14"/>
              </w:rPr>
              <w:t>eura</w:t>
            </w:r>
          </w:p>
        </w:tc>
        <w:tc>
          <w:tcPr>
            <w:tcW w:w="850" w:type="dxa"/>
            <w:tcBorders>
              <w:top w:val="nil"/>
              <w:left w:val="nil"/>
              <w:bottom w:val="nil"/>
              <w:right w:val="nil"/>
            </w:tcBorders>
            <w:shd w:val="clear" w:color="auto" w:fill="auto"/>
            <w:vAlign w:val="bottom"/>
          </w:tcPr>
          <w:p w14:paraId="47ABD331" w14:textId="77777777" w:rsidR="005A713F" w:rsidRPr="004B4498" w:rsidRDefault="005A713F" w:rsidP="00E12A58">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 xml:space="preserve">000 </w:t>
            </w:r>
            <w:r>
              <w:rPr>
                <w:rFonts w:ascii="Arial" w:hAnsi="Arial" w:cs="Arial"/>
                <w:b/>
                <w:bCs/>
                <w:color w:val="000000" w:themeColor="text1"/>
                <w:sz w:val="14"/>
                <w:szCs w:val="14"/>
              </w:rPr>
              <w:t>eura</w:t>
            </w:r>
          </w:p>
        </w:tc>
        <w:tc>
          <w:tcPr>
            <w:tcW w:w="850" w:type="dxa"/>
            <w:tcBorders>
              <w:top w:val="nil"/>
              <w:left w:val="nil"/>
              <w:bottom w:val="nil"/>
              <w:right w:val="nil"/>
            </w:tcBorders>
            <w:shd w:val="clear" w:color="auto" w:fill="auto"/>
            <w:noWrap/>
            <w:vAlign w:val="bottom"/>
            <w:hideMark/>
          </w:tcPr>
          <w:p w14:paraId="25D1DAF8" w14:textId="77777777" w:rsidR="005A713F" w:rsidRPr="004B4498" w:rsidRDefault="005A713F" w:rsidP="00E12A58">
            <w:pPr>
              <w:jc w:val="right"/>
              <w:rPr>
                <w:rFonts w:ascii="Arial" w:hAnsi="Arial" w:cs="Arial"/>
                <w:b/>
                <w:bCs/>
                <w:color w:val="000000" w:themeColor="text1"/>
                <w:sz w:val="14"/>
                <w:szCs w:val="14"/>
              </w:rPr>
            </w:pPr>
            <w:r w:rsidRPr="004B4498">
              <w:rPr>
                <w:rFonts w:ascii="Arial" w:hAnsi="Arial" w:cs="Arial"/>
                <w:b/>
                <w:bCs/>
                <w:color w:val="000000" w:themeColor="text1"/>
                <w:sz w:val="14"/>
                <w:szCs w:val="14"/>
              </w:rPr>
              <w:t xml:space="preserve">000 </w:t>
            </w:r>
            <w:r>
              <w:rPr>
                <w:rFonts w:ascii="Arial" w:hAnsi="Arial" w:cs="Arial"/>
                <w:b/>
                <w:bCs/>
                <w:color w:val="000000" w:themeColor="text1"/>
                <w:sz w:val="14"/>
                <w:szCs w:val="14"/>
              </w:rPr>
              <w:t>eura</w:t>
            </w:r>
          </w:p>
        </w:tc>
      </w:tr>
      <w:tr w:rsidR="005A713F" w:rsidRPr="003364B5" w14:paraId="454BDE40" w14:textId="77777777" w:rsidTr="006D58C5">
        <w:trPr>
          <w:trHeight w:val="244"/>
        </w:trPr>
        <w:tc>
          <w:tcPr>
            <w:tcW w:w="1531" w:type="dxa"/>
            <w:tcBorders>
              <w:top w:val="nil"/>
              <w:left w:val="nil"/>
              <w:bottom w:val="nil"/>
              <w:right w:val="nil"/>
            </w:tcBorders>
            <w:shd w:val="clear" w:color="auto" w:fill="auto"/>
            <w:noWrap/>
            <w:vAlign w:val="bottom"/>
            <w:hideMark/>
          </w:tcPr>
          <w:p w14:paraId="28DE048C" w14:textId="77777777" w:rsidR="005A713F" w:rsidRPr="004B4498" w:rsidRDefault="005A713F" w:rsidP="00E12A58">
            <w:pPr>
              <w:rPr>
                <w:rFonts w:ascii="Arial" w:hAnsi="Arial" w:cs="Arial"/>
                <w:color w:val="000000" w:themeColor="text1"/>
                <w:sz w:val="14"/>
                <w:szCs w:val="14"/>
              </w:rPr>
            </w:pPr>
            <w:r w:rsidRPr="004B4498">
              <w:rPr>
                <w:rFonts w:ascii="Arial" w:hAnsi="Arial" w:cs="Arial"/>
                <w:color w:val="000000" w:themeColor="text1"/>
                <w:sz w:val="14"/>
                <w:szCs w:val="14"/>
              </w:rPr>
              <w:t>Bruto iznos</w:t>
            </w:r>
          </w:p>
        </w:tc>
        <w:tc>
          <w:tcPr>
            <w:tcW w:w="850" w:type="dxa"/>
            <w:tcBorders>
              <w:top w:val="nil"/>
              <w:left w:val="nil"/>
              <w:bottom w:val="nil"/>
              <w:right w:val="nil"/>
            </w:tcBorders>
            <w:shd w:val="clear" w:color="auto" w:fill="auto"/>
            <w:noWrap/>
            <w:vAlign w:val="bottom"/>
          </w:tcPr>
          <w:p w14:paraId="68614998" w14:textId="77777777" w:rsidR="005A713F" w:rsidRPr="00B119F0" w:rsidRDefault="005A713F" w:rsidP="00E12A58">
            <w:pPr>
              <w:jc w:val="right"/>
              <w:rPr>
                <w:rFonts w:ascii="Arial" w:hAnsi="Arial" w:cs="Arial"/>
                <w:sz w:val="14"/>
                <w:szCs w:val="14"/>
              </w:rPr>
            </w:pPr>
            <w:r w:rsidRPr="00F959D0">
              <w:rPr>
                <w:rFonts w:ascii="Arial" w:hAnsi="Arial" w:cs="Arial"/>
                <w:sz w:val="14"/>
                <w:szCs w:val="14"/>
              </w:rPr>
              <w:t xml:space="preserve"> 1.644 </w:t>
            </w:r>
          </w:p>
        </w:tc>
        <w:tc>
          <w:tcPr>
            <w:tcW w:w="850" w:type="dxa"/>
            <w:tcBorders>
              <w:top w:val="nil"/>
              <w:left w:val="nil"/>
              <w:bottom w:val="nil"/>
              <w:right w:val="nil"/>
            </w:tcBorders>
            <w:shd w:val="clear" w:color="auto" w:fill="auto"/>
            <w:noWrap/>
            <w:vAlign w:val="bottom"/>
          </w:tcPr>
          <w:p w14:paraId="77514B25" w14:textId="77777777" w:rsidR="005A713F" w:rsidRPr="00B119F0" w:rsidRDefault="005A713F" w:rsidP="00E12A58">
            <w:pPr>
              <w:jc w:val="right"/>
              <w:rPr>
                <w:rFonts w:ascii="Arial" w:hAnsi="Arial" w:cs="Arial"/>
                <w:sz w:val="14"/>
                <w:szCs w:val="14"/>
              </w:rPr>
            </w:pPr>
            <w:r w:rsidRPr="00F959D0">
              <w:rPr>
                <w:rFonts w:ascii="Arial" w:hAnsi="Arial" w:cs="Arial"/>
                <w:sz w:val="14"/>
                <w:szCs w:val="14"/>
              </w:rPr>
              <w:t xml:space="preserve"> 12 </w:t>
            </w:r>
          </w:p>
        </w:tc>
        <w:tc>
          <w:tcPr>
            <w:tcW w:w="850" w:type="dxa"/>
            <w:tcBorders>
              <w:top w:val="nil"/>
              <w:left w:val="nil"/>
              <w:bottom w:val="nil"/>
              <w:right w:val="nil"/>
            </w:tcBorders>
            <w:shd w:val="clear" w:color="auto" w:fill="auto"/>
            <w:noWrap/>
            <w:vAlign w:val="bottom"/>
          </w:tcPr>
          <w:p w14:paraId="04BCBF1C" w14:textId="77777777" w:rsidR="005A713F" w:rsidRPr="00B119F0" w:rsidRDefault="005A713F" w:rsidP="00E12A58">
            <w:pPr>
              <w:jc w:val="right"/>
              <w:rPr>
                <w:rFonts w:ascii="Arial" w:hAnsi="Arial" w:cs="Arial"/>
                <w:sz w:val="14"/>
                <w:szCs w:val="14"/>
              </w:rPr>
            </w:pPr>
            <w:r w:rsidRPr="00F959D0">
              <w:rPr>
                <w:rFonts w:ascii="Arial" w:hAnsi="Arial" w:cs="Arial"/>
                <w:sz w:val="14"/>
                <w:szCs w:val="14"/>
              </w:rPr>
              <w:t xml:space="preserve"> 4.535 </w:t>
            </w:r>
          </w:p>
        </w:tc>
        <w:tc>
          <w:tcPr>
            <w:tcW w:w="850" w:type="dxa"/>
            <w:tcBorders>
              <w:top w:val="nil"/>
              <w:left w:val="nil"/>
              <w:bottom w:val="nil"/>
              <w:right w:val="nil"/>
            </w:tcBorders>
            <w:vAlign w:val="bottom"/>
          </w:tcPr>
          <w:p w14:paraId="57FC419A" w14:textId="77777777" w:rsidR="005A713F" w:rsidRPr="00B119F0" w:rsidRDefault="005A713F" w:rsidP="00E12A58">
            <w:pPr>
              <w:jc w:val="right"/>
              <w:rPr>
                <w:rFonts w:ascii="Arial" w:hAnsi="Arial" w:cs="Arial"/>
                <w:sz w:val="14"/>
                <w:szCs w:val="14"/>
              </w:rPr>
            </w:pPr>
            <w:r w:rsidRPr="00F959D0">
              <w:rPr>
                <w:rFonts w:ascii="Arial" w:hAnsi="Arial" w:cs="Arial"/>
                <w:sz w:val="14"/>
                <w:szCs w:val="14"/>
              </w:rPr>
              <w:t xml:space="preserve"> 42 </w:t>
            </w:r>
          </w:p>
        </w:tc>
        <w:tc>
          <w:tcPr>
            <w:tcW w:w="850" w:type="dxa"/>
            <w:tcBorders>
              <w:top w:val="nil"/>
              <w:left w:val="nil"/>
              <w:bottom w:val="nil"/>
              <w:right w:val="nil"/>
            </w:tcBorders>
            <w:shd w:val="clear" w:color="auto" w:fill="auto"/>
            <w:noWrap/>
            <w:vAlign w:val="bottom"/>
          </w:tcPr>
          <w:p w14:paraId="036DA623" w14:textId="77777777" w:rsidR="005A713F" w:rsidRPr="00B119F0" w:rsidRDefault="005A713F" w:rsidP="00E12A58">
            <w:pPr>
              <w:jc w:val="right"/>
              <w:rPr>
                <w:rFonts w:ascii="Arial" w:hAnsi="Arial" w:cs="Arial"/>
                <w:b/>
                <w:bCs/>
                <w:sz w:val="14"/>
                <w:szCs w:val="14"/>
              </w:rPr>
            </w:pPr>
            <w:r w:rsidRPr="00F959D0">
              <w:rPr>
                <w:rFonts w:ascii="Arial" w:hAnsi="Arial" w:cs="Arial"/>
                <w:b/>
                <w:bCs/>
                <w:sz w:val="14"/>
                <w:szCs w:val="14"/>
              </w:rPr>
              <w:t xml:space="preserve"> 6.233 </w:t>
            </w:r>
          </w:p>
        </w:tc>
        <w:tc>
          <w:tcPr>
            <w:tcW w:w="850" w:type="dxa"/>
            <w:tcBorders>
              <w:top w:val="nil"/>
              <w:left w:val="nil"/>
              <w:bottom w:val="nil"/>
              <w:right w:val="nil"/>
            </w:tcBorders>
            <w:shd w:val="clear" w:color="auto" w:fill="auto"/>
            <w:noWrap/>
            <w:vAlign w:val="bottom"/>
          </w:tcPr>
          <w:p w14:paraId="208B437D" w14:textId="77777777" w:rsidR="005A713F" w:rsidRPr="00AA2D5F" w:rsidRDefault="005A713F" w:rsidP="00E12A58">
            <w:pPr>
              <w:jc w:val="right"/>
              <w:rPr>
                <w:rFonts w:ascii="Arial" w:hAnsi="Arial" w:cs="Arial"/>
                <w:sz w:val="14"/>
                <w:szCs w:val="14"/>
              </w:rPr>
            </w:pPr>
            <w:r w:rsidRPr="00F959D0">
              <w:rPr>
                <w:rFonts w:ascii="Arial" w:hAnsi="Arial" w:cs="Arial"/>
                <w:sz w:val="14"/>
                <w:szCs w:val="14"/>
              </w:rPr>
              <w:t xml:space="preserve"> 876 </w:t>
            </w:r>
          </w:p>
        </w:tc>
        <w:tc>
          <w:tcPr>
            <w:tcW w:w="850" w:type="dxa"/>
            <w:tcBorders>
              <w:top w:val="nil"/>
              <w:left w:val="nil"/>
              <w:bottom w:val="nil"/>
              <w:right w:val="nil"/>
            </w:tcBorders>
            <w:shd w:val="clear" w:color="auto" w:fill="auto"/>
            <w:noWrap/>
            <w:vAlign w:val="bottom"/>
          </w:tcPr>
          <w:p w14:paraId="19A8E3C9" w14:textId="77777777" w:rsidR="005A713F" w:rsidRPr="00AA2D5F" w:rsidRDefault="005A713F" w:rsidP="00E12A58">
            <w:pPr>
              <w:jc w:val="right"/>
              <w:rPr>
                <w:rFonts w:ascii="Arial" w:hAnsi="Arial" w:cs="Arial"/>
                <w:sz w:val="14"/>
                <w:szCs w:val="14"/>
              </w:rPr>
            </w:pPr>
            <w:r w:rsidRPr="00F959D0">
              <w:rPr>
                <w:rFonts w:ascii="Arial" w:hAnsi="Arial" w:cs="Arial"/>
                <w:sz w:val="14"/>
                <w:szCs w:val="14"/>
              </w:rPr>
              <w:t xml:space="preserve"> 12 </w:t>
            </w:r>
          </w:p>
        </w:tc>
        <w:tc>
          <w:tcPr>
            <w:tcW w:w="850" w:type="dxa"/>
            <w:tcBorders>
              <w:top w:val="nil"/>
              <w:left w:val="nil"/>
              <w:bottom w:val="nil"/>
              <w:right w:val="nil"/>
            </w:tcBorders>
            <w:shd w:val="clear" w:color="auto" w:fill="auto"/>
            <w:noWrap/>
            <w:vAlign w:val="bottom"/>
          </w:tcPr>
          <w:p w14:paraId="7F375388" w14:textId="77777777" w:rsidR="005A713F" w:rsidRPr="00AA2D5F" w:rsidRDefault="005A713F" w:rsidP="00E12A58">
            <w:pPr>
              <w:jc w:val="right"/>
              <w:rPr>
                <w:rFonts w:ascii="Arial" w:hAnsi="Arial" w:cs="Arial"/>
                <w:sz w:val="14"/>
                <w:szCs w:val="14"/>
              </w:rPr>
            </w:pPr>
            <w:r w:rsidRPr="00F959D0">
              <w:rPr>
                <w:rFonts w:ascii="Arial" w:hAnsi="Arial" w:cs="Arial"/>
                <w:sz w:val="14"/>
                <w:szCs w:val="14"/>
              </w:rPr>
              <w:t xml:space="preserve"> 4.535 </w:t>
            </w:r>
          </w:p>
        </w:tc>
        <w:tc>
          <w:tcPr>
            <w:tcW w:w="850" w:type="dxa"/>
            <w:tcBorders>
              <w:top w:val="nil"/>
              <w:left w:val="nil"/>
              <w:bottom w:val="nil"/>
              <w:right w:val="nil"/>
            </w:tcBorders>
            <w:vAlign w:val="bottom"/>
          </w:tcPr>
          <w:p w14:paraId="088C8D7C" w14:textId="77777777" w:rsidR="005A713F" w:rsidRPr="00AA2D5F" w:rsidRDefault="005A713F" w:rsidP="00E12A58">
            <w:pPr>
              <w:jc w:val="right"/>
              <w:rPr>
                <w:rFonts w:ascii="Arial" w:hAnsi="Arial" w:cs="Arial"/>
                <w:sz w:val="14"/>
                <w:szCs w:val="14"/>
              </w:rPr>
            </w:pPr>
            <w:r w:rsidRPr="00F959D0">
              <w:rPr>
                <w:rFonts w:ascii="Arial" w:hAnsi="Arial" w:cs="Arial"/>
                <w:sz w:val="14"/>
                <w:szCs w:val="14"/>
              </w:rPr>
              <w:t xml:space="preserve"> 42 </w:t>
            </w:r>
          </w:p>
        </w:tc>
        <w:tc>
          <w:tcPr>
            <w:tcW w:w="850" w:type="dxa"/>
            <w:tcBorders>
              <w:top w:val="nil"/>
              <w:left w:val="nil"/>
              <w:bottom w:val="nil"/>
              <w:right w:val="nil"/>
            </w:tcBorders>
            <w:shd w:val="clear" w:color="auto" w:fill="auto"/>
            <w:noWrap/>
            <w:vAlign w:val="bottom"/>
          </w:tcPr>
          <w:p w14:paraId="131C71F1" w14:textId="77777777" w:rsidR="005A713F" w:rsidRPr="00D87D1A" w:rsidRDefault="005A713F" w:rsidP="00E12A58">
            <w:pPr>
              <w:jc w:val="right"/>
              <w:rPr>
                <w:rFonts w:ascii="Arial" w:hAnsi="Arial" w:cs="Arial"/>
                <w:b/>
                <w:bCs/>
                <w:sz w:val="14"/>
                <w:szCs w:val="14"/>
              </w:rPr>
            </w:pPr>
            <w:r w:rsidRPr="00F959D0">
              <w:rPr>
                <w:rFonts w:ascii="Arial" w:hAnsi="Arial" w:cs="Arial"/>
                <w:b/>
                <w:bCs/>
                <w:sz w:val="14"/>
                <w:szCs w:val="14"/>
              </w:rPr>
              <w:t xml:space="preserve"> 5.465 </w:t>
            </w:r>
          </w:p>
        </w:tc>
      </w:tr>
      <w:tr w:rsidR="005A713F" w:rsidRPr="003364B5" w14:paraId="4313162F" w14:textId="77777777" w:rsidTr="006D58C5">
        <w:trPr>
          <w:trHeight w:val="277"/>
        </w:trPr>
        <w:tc>
          <w:tcPr>
            <w:tcW w:w="1531" w:type="dxa"/>
            <w:tcBorders>
              <w:top w:val="nil"/>
              <w:left w:val="nil"/>
              <w:bottom w:val="nil"/>
              <w:right w:val="nil"/>
            </w:tcBorders>
            <w:shd w:val="clear" w:color="auto" w:fill="auto"/>
            <w:noWrap/>
            <w:vAlign w:val="bottom"/>
            <w:hideMark/>
          </w:tcPr>
          <w:p w14:paraId="0A9A23D5" w14:textId="77777777" w:rsidR="005A713F" w:rsidRPr="004B4498" w:rsidRDefault="005A713F" w:rsidP="00E12A58">
            <w:pPr>
              <w:rPr>
                <w:rFonts w:ascii="Arial" w:hAnsi="Arial" w:cs="Arial"/>
                <w:color w:val="000000" w:themeColor="text1"/>
                <w:sz w:val="14"/>
                <w:szCs w:val="14"/>
              </w:rPr>
            </w:pPr>
            <w:r w:rsidRPr="004B4498">
              <w:rPr>
                <w:rFonts w:ascii="Arial" w:hAnsi="Arial" w:cs="Arial"/>
                <w:color w:val="000000" w:themeColor="text1"/>
                <w:sz w:val="14"/>
                <w:szCs w:val="14"/>
              </w:rPr>
              <w:t>Rezerviranja</w:t>
            </w:r>
          </w:p>
        </w:tc>
        <w:tc>
          <w:tcPr>
            <w:tcW w:w="850" w:type="dxa"/>
            <w:tcBorders>
              <w:top w:val="nil"/>
              <w:left w:val="nil"/>
              <w:bottom w:val="nil"/>
              <w:right w:val="nil"/>
            </w:tcBorders>
            <w:shd w:val="clear" w:color="auto" w:fill="auto"/>
            <w:noWrap/>
            <w:vAlign w:val="bottom"/>
          </w:tcPr>
          <w:p w14:paraId="565D490A" w14:textId="77777777" w:rsidR="005A713F" w:rsidRPr="00B119F0" w:rsidRDefault="005A713F" w:rsidP="00E12A58">
            <w:pPr>
              <w:jc w:val="right"/>
              <w:rPr>
                <w:rFonts w:ascii="Arial" w:hAnsi="Arial" w:cs="Arial"/>
                <w:sz w:val="14"/>
                <w:szCs w:val="14"/>
              </w:rPr>
            </w:pPr>
            <w:r w:rsidRPr="00F959D0">
              <w:rPr>
                <w:rFonts w:ascii="Arial" w:hAnsi="Arial" w:cs="Arial"/>
                <w:sz w:val="14"/>
                <w:szCs w:val="14"/>
              </w:rPr>
              <w:t xml:space="preserve"> (27)</w:t>
            </w:r>
          </w:p>
        </w:tc>
        <w:tc>
          <w:tcPr>
            <w:tcW w:w="850" w:type="dxa"/>
            <w:tcBorders>
              <w:top w:val="nil"/>
              <w:left w:val="nil"/>
              <w:bottom w:val="nil"/>
              <w:right w:val="nil"/>
            </w:tcBorders>
            <w:shd w:val="clear" w:color="auto" w:fill="auto"/>
            <w:noWrap/>
            <w:vAlign w:val="bottom"/>
          </w:tcPr>
          <w:p w14:paraId="53C7FA58" w14:textId="77777777" w:rsidR="005A713F" w:rsidRPr="00B119F0" w:rsidRDefault="005A713F" w:rsidP="00E12A58">
            <w:pPr>
              <w:jc w:val="right"/>
              <w:rPr>
                <w:rFonts w:ascii="Arial" w:hAnsi="Arial" w:cs="Arial"/>
                <w:sz w:val="14"/>
                <w:szCs w:val="14"/>
              </w:rPr>
            </w:pPr>
            <w:r w:rsidRPr="00F959D0">
              <w:rPr>
                <w:rFonts w:ascii="Arial" w:hAnsi="Arial" w:cs="Arial"/>
                <w:sz w:val="14"/>
                <w:szCs w:val="14"/>
              </w:rPr>
              <w:t xml:space="preserve"> (1)</w:t>
            </w:r>
          </w:p>
        </w:tc>
        <w:tc>
          <w:tcPr>
            <w:tcW w:w="850" w:type="dxa"/>
            <w:tcBorders>
              <w:top w:val="nil"/>
              <w:left w:val="nil"/>
              <w:bottom w:val="nil"/>
              <w:right w:val="nil"/>
            </w:tcBorders>
            <w:shd w:val="clear" w:color="auto" w:fill="auto"/>
            <w:noWrap/>
            <w:vAlign w:val="bottom"/>
          </w:tcPr>
          <w:p w14:paraId="39DBE985" w14:textId="77777777" w:rsidR="005A713F" w:rsidRPr="00B119F0" w:rsidRDefault="005A713F" w:rsidP="00E12A58">
            <w:pPr>
              <w:jc w:val="right"/>
              <w:rPr>
                <w:rFonts w:ascii="Arial" w:hAnsi="Arial" w:cs="Arial"/>
                <w:sz w:val="14"/>
                <w:szCs w:val="14"/>
              </w:rPr>
            </w:pPr>
            <w:r w:rsidRPr="00F959D0">
              <w:rPr>
                <w:rFonts w:ascii="Arial" w:hAnsi="Arial" w:cs="Arial"/>
                <w:sz w:val="14"/>
                <w:szCs w:val="14"/>
              </w:rPr>
              <w:t xml:space="preserve"> (4.330)</w:t>
            </w:r>
          </w:p>
        </w:tc>
        <w:tc>
          <w:tcPr>
            <w:tcW w:w="850" w:type="dxa"/>
            <w:tcBorders>
              <w:top w:val="nil"/>
              <w:left w:val="nil"/>
              <w:bottom w:val="nil"/>
              <w:right w:val="nil"/>
            </w:tcBorders>
            <w:vAlign w:val="bottom"/>
          </w:tcPr>
          <w:p w14:paraId="449A6E34" w14:textId="77777777" w:rsidR="005A713F" w:rsidRPr="00B119F0" w:rsidRDefault="005A713F" w:rsidP="00E12A58">
            <w:pPr>
              <w:jc w:val="right"/>
              <w:rPr>
                <w:rFonts w:ascii="Arial" w:hAnsi="Arial" w:cs="Arial"/>
                <w:sz w:val="14"/>
                <w:szCs w:val="14"/>
              </w:rPr>
            </w:pPr>
            <w:r w:rsidRPr="00F959D0">
              <w:rPr>
                <w:rFonts w:ascii="Arial" w:hAnsi="Arial" w:cs="Arial"/>
                <w:sz w:val="14"/>
                <w:szCs w:val="14"/>
              </w:rPr>
              <w:t xml:space="preserve"> (35)</w:t>
            </w:r>
          </w:p>
        </w:tc>
        <w:tc>
          <w:tcPr>
            <w:tcW w:w="850" w:type="dxa"/>
            <w:tcBorders>
              <w:top w:val="nil"/>
              <w:left w:val="nil"/>
              <w:bottom w:val="nil"/>
              <w:right w:val="nil"/>
            </w:tcBorders>
            <w:shd w:val="clear" w:color="auto" w:fill="auto"/>
            <w:noWrap/>
            <w:vAlign w:val="bottom"/>
          </w:tcPr>
          <w:p w14:paraId="7382A764" w14:textId="77777777" w:rsidR="005A713F" w:rsidRPr="00B119F0" w:rsidRDefault="005A713F" w:rsidP="00E12A58">
            <w:pPr>
              <w:jc w:val="right"/>
              <w:rPr>
                <w:rFonts w:ascii="Arial" w:hAnsi="Arial" w:cs="Arial"/>
                <w:b/>
                <w:bCs/>
                <w:sz w:val="14"/>
                <w:szCs w:val="14"/>
              </w:rPr>
            </w:pPr>
            <w:r w:rsidRPr="00F959D0">
              <w:rPr>
                <w:rFonts w:ascii="Arial" w:hAnsi="Arial" w:cs="Arial"/>
                <w:b/>
                <w:bCs/>
                <w:sz w:val="14"/>
                <w:szCs w:val="14"/>
              </w:rPr>
              <w:t xml:space="preserve"> (4.393)</w:t>
            </w:r>
          </w:p>
        </w:tc>
        <w:tc>
          <w:tcPr>
            <w:tcW w:w="850" w:type="dxa"/>
            <w:tcBorders>
              <w:top w:val="nil"/>
              <w:left w:val="nil"/>
              <w:bottom w:val="nil"/>
              <w:right w:val="nil"/>
            </w:tcBorders>
            <w:shd w:val="clear" w:color="auto" w:fill="auto"/>
            <w:noWrap/>
            <w:vAlign w:val="bottom"/>
          </w:tcPr>
          <w:p w14:paraId="765C93BF" w14:textId="77777777" w:rsidR="005A713F" w:rsidRPr="00AA2D5F" w:rsidRDefault="005A713F" w:rsidP="00E12A58">
            <w:pPr>
              <w:jc w:val="right"/>
              <w:rPr>
                <w:rFonts w:ascii="Arial" w:hAnsi="Arial" w:cs="Arial"/>
                <w:sz w:val="14"/>
                <w:szCs w:val="14"/>
              </w:rPr>
            </w:pPr>
            <w:r w:rsidRPr="00F959D0">
              <w:rPr>
                <w:rFonts w:ascii="Arial" w:hAnsi="Arial" w:cs="Arial"/>
                <w:sz w:val="14"/>
                <w:szCs w:val="14"/>
              </w:rPr>
              <w:t xml:space="preserve"> (19)</w:t>
            </w:r>
          </w:p>
        </w:tc>
        <w:tc>
          <w:tcPr>
            <w:tcW w:w="850" w:type="dxa"/>
            <w:tcBorders>
              <w:top w:val="nil"/>
              <w:left w:val="nil"/>
              <w:bottom w:val="nil"/>
              <w:right w:val="nil"/>
            </w:tcBorders>
            <w:shd w:val="clear" w:color="auto" w:fill="auto"/>
            <w:noWrap/>
            <w:vAlign w:val="bottom"/>
          </w:tcPr>
          <w:p w14:paraId="589D004B" w14:textId="77777777" w:rsidR="005A713F" w:rsidRPr="00AA2D5F" w:rsidRDefault="005A713F" w:rsidP="00E12A58">
            <w:pPr>
              <w:jc w:val="right"/>
              <w:rPr>
                <w:rFonts w:ascii="Arial" w:hAnsi="Arial" w:cs="Arial"/>
                <w:sz w:val="14"/>
                <w:szCs w:val="14"/>
              </w:rPr>
            </w:pPr>
            <w:r w:rsidRPr="00F959D0">
              <w:rPr>
                <w:rFonts w:ascii="Arial" w:hAnsi="Arial" w:cs="Arial"/>
                <w:sz w:val="14"/>
                <w:szCs w:val="14"/>
              </w:rPr>
              <w:t xml:space="preserve"> (1)</w:t>
            </w:r>
          </w:p>
        </w:tc>
        <w:tc>
          <w:tcPr>
            <w:tcW w:w="850" w:type="dxa"/>
            <w:tcBorders>
              <w:top w:val="nil"/>
              <w:left w:val="nil"/>
              <w:bottom w:val="nil"/>
              <w:right w:val="nil"/>
            </w:tcBorders>
            <w:shd w:val="clear" w:color="auto" w:fill="auto"/>
            <w:noWrap/>
            <w:vAlign w:val="bottom"/>
          </w:tcPr>
          <w:p w14:paraId="1A212B78" w14:textId="77777777" w:rsidR="005A713F" w:rsidRPr="00AA2D5F" w:rsidRDefault="005A713F" w:rsidP="00E12A58">
            <w:pPr>
              <w:jc w:val="right"/>
              <w:rPr>
                <w:rFonts w:ascii="Arial" w:hAnsi="Arial" w:cs="Arial"/>
                <w:sz w:val="14"/>
                <w:szCs w:val="14"/>
              </w:rPr>
            </w:pPr>
            <w:r w:rsidRPr="00F959D0">
              <w:rPr>
                <w:rFonts w:ascii="Arial" w:hAnsi="Arial" w:cs="Arial"/>
                <w:sz w:val="14"/>
                <w:szCs w:val="14"/>
              </w:rPr>
              <w:t xml:space="preserve"> (4.330)</w:t>
            </w:r>
          </w:p>
        </w:tc>
        <w:tc>
          <w:tcPr>
            <w:tcW w:w="850" w:type="dxa"/>
            <w:tcBorders>
              <w:top w:val="nil"/>
              <w:left w:val="nil"/>
              <w:bottom w:val="nil"/>
              <w:right w:val="nil"/>
            </w:tcBorders>
            <w:vAlign w:val="bottom"/>
          </w:tcPr>
          <w:p w14:paraId="058D557E" w14:textId="77777777" w:rsidR="005A713F" w:rsidRPr="00AA2D5F" w:rsidRDefault="005A713F" w:rsidP="00E12A58">
            <w:pPr>
              <w:jc w:val="right"/>
              <w:rPr>
                <w:rFonts w:ascii="Arial" w:hAnsi="Arial" w:cs="Arial"/>
                <w:sz w:val="14"/>
                <w:szCs w:val="14"/>
              </w:rPr>
            </w:pPr>
            <w:r w:rsidRPr="00F959D0">
              <w:rPr>
                <w:rFonts w:ascii="Arial" w:hAnsi="Arial" w:cs="Arial"/>
                <w:sz w:val="14"/>
                <w:szCs w:val="14"/>
              </w:rPr>
              <w:t xml:space="preserve"> (35)</w:t>
            </w:r>
          </w:p>
        </w:tc>
        <w:tc>
          <w:tcPr>
            <w:tcW w:w="850" w:type="dxa"/>
            <w:tcBorders>
              <w:top w:val="nil"/>
              <w:left w:val="nil"/>
              <w:bottom w:val="nil"/>
              <w:right w:val="nil"/>
            </w:tcBorders>
            <w:shd w:val="clear" w:color="auto" w:fill="auto"/>
            <w:noWrap/>
            <w:vAlign w:val="bottom"/>
          </w:tcPr>
          <w:p w14:paraId="1A156D69" w14:textId="77777777" w:rsidR="005A713F" w:rsidRPr="00D87D1A" w:rsidRDefault="005A713F" w:rsidP="00E12A58">
            <w:pPr>
              <w:jc w:val="right"/>
              <w:rPr>
                <w:rFonts w:ascii="Arial" w:hAnsi="Arial" w:cs="Arial"/>
                <w:b/>
                <w:bCs/>
                <w:sz w:val="14"/>
                <w:szCs w:val="14"/>
              </w:rPr>
            </w:pPr>
            <w:r w:rsidRPr="00F959D0">
              <w:rPr>
                <w:rFonts w:ascii="Arial" w:hAnsi="Arial" w:cs="Arial"/>
                <w:b/>
                <w:bCs/>
                <w:sz w:val="14"/>
                <w:szCs w:val="14"/>
              </w:rPr>
              <w:t xml:space="preserve"> (4.385)</w:t>
            </w:r>
          </w:p>
        </w:tc>
      </w:tr>
      <w:tr w:rsidR="005A713F" w:rsidRPr="003364B5" w14:paraId="4238BAAD" w14:textId="77777777" w:rsidTr="00E12A58">
        <w:trPr>
          <w:trHeight w:val="503"/>
        </w:trPr>
        <w:tc>
          <w:tcPr>
            <w:tcW w:w="1531" w:type="dxa"/>
            <w:tcBorders>
              <w:top w:val="nil"/>
              <w:left w:val="nil"/>
              <w:bottom w:val="nil"/>
              <w:right w:val="nil"/>
            </w:tcBorders>
            <w:shd w:val="clear" w:color="auto" w:fill="auto"/>
            <w:noWrap/>
            <w:vAlign w:val="bottom"/>
            <w:hideMark/>
          </w:tcPr>
          <w:p w14:paraId="4E46D606" w14:textId="77777777" w:rsidR="005A713F" w:rsidRPr="004B4498" w:rsidRDefault="005A713F" w:rsidP="00E12A58">
            <w:pPr>
              <w:rPr>
                <w:rFonts w:ascii="Arial" w:hAnsi="Arial" w:cs="Arial"/>
                <w:b/>
                <w:bCs/>
                <w:color w:val="000000" w:themeColor="text1"/>
                <w:sz w:val="14"/>
                <w:szCs w:val="14"/>
              </w:rPr>
            </w:pPr>
            <w:r w:rsidRPr="004B4498">
              <w:rPr>
                <w:rFonts w:ascii="Arial" w:hAnsi="Arial" w:cs="Arial"/>
                <w:b/>
                <w:bCs/>
                <w:color w:val="000000" w:themeColor="text1"/>
                <w:sz w:val="14"/>
                <w:szCs w:val="14"/>
              </w:rPr>
              <w:t>Stanje na dan 31. prosinca 202</w:t>
            </w:r>
            <w:r>
              <w:rPr>
                <w:rFonts w:ascii="Arial" w:hAnsi="Arial" w:cs="Arial"/>
                <w:b/>
                <w:bCs/>
                <w:color w:val="000000" w:themeColor="text1"/>
                <w:sz w:val="14"/>
                <w:szCs w:val="14"/>
              </w:rPr>
              <w:t>3</w:t>
            </w:r>
            <w:r w:rsidRPr="004B4498">
              <w:rPr>
                <w:rFonts w:ascii="Arial" w:hAnsi="Arial" w:cs="Arial"/>
                <w:b/>
                <w:bCs/>
                <w:color w:val="000000" w:themeColor="text1"/>
                <w:sz w:val="14"/>
                <w:szCs w:val="14"/>
              </w:rPr>
              <w:t xml:space="preserve">. </w:t>
            </w:r>
          </w:p>
        </w:tc>
        <w:tc>
          <w:tcPr>
            <w:tcW w:w="850" w:type="dxa"/>
            <w:tcBorders>
              <w:top w:val="single" w:sz="4" w:space="0" w:color="auto"/>
              <w:left w:val="nil"/>
              <w:bottom w:val="single" w:sz="12" w:space="0" w:color="auto"/>
              <w:right w:val="nil"/>
            </w:tcBorders>
            <w:shd w:val="clear" w:color="auto" w:fill="auto"/>
            <w:noWrap/>
            <w:vAlign w:val="bottom"/>
          </w:tcPr>
          <w:p w14:paraId="0E8D92ED" w14:textId="77777777" w:rsidR="005A713F" w:rsidRPr="00F959D0" w:rsidRDefault="005A713F" w:rsidP="00E12A58">
            <w:pPr>
              <w:jc w:val="right"/>
              <w:rPr>
                <w:rFonts w:ascii="Arial" w:hAnsi="Arial" w:cs="Arial"/>
                <w:b/>
                <w:bCs/>
                <w:sz w:val="14"/>
                <w:szCs w:val="14"/>
              </w:rPr>
            </w:pPr>
            <w:r w:rsidRPr="00F959D0">
              <w:rPr>
                <w:rFonts w:ascii="Arial" w:hAnsi="Arial" w:cs="Arial"/>
                <w:b/>
                <w:bCs/>
                <w:sz w:val="14"/>
                <w:szCs w:val="14"/>
              </w:rPr>
              <w:t xml:space="preserve"> 1.617 </w:t>
            </w:r>
          </w:p>
        </w:tc>
        <w:tc>
          <w:tcPr>
            <w:tcW w:w="850" w:type="dxa"/>
            <w:tcBorders>
              <w:top w:val="single" w:sz="4" w:space="0" w:color="auto"/>
              <w:left w:val="nil"/>
              <w:bottom w:val="single" w:sz="12" w:space="0" w:color="auto"/>
              <w:right w:val="nil"/>
            </w:tcBorders>
            <w:shd w:val="clear" w:color="auto" w:fill="auto"/>
            <w:noWrap/>
            <w:vAlign w:val="bottom"/>
          </w:tcPr>
          <w:p w14:paraId="684A5367" w14:textId="77777777" w:rsidR="005A713F" w:rsidRPr="00F959D0" w:rsidRDefault="005A713F" w:rsidP="00E12A58">
            <w:pPr>
              <w:jc w:val="right"/>
              <w:rPr>
                <w:rFonts w:ascii="Arial" w:hAnsi="Arial" w:cs="Arial"/>
                <w:b/>
                <w:bCs/>
                <w:sz w:val="14"/>
                <w:szCs w:val="14"/>
              </w:rPr>
            </w:pPr>
            <w:r w:rsidRPr="00F959D0">
              <w:rPr>
                <w:rFonts w:ascii="Arial" w:hAnsi="Arial" w:cs="Arial"/>
                <w:b/>
                <w:bCs/>
                <w:sz w:val="14"/>
                <w:szCs w:val="14"/>
              </w:rPr>
              <w:t xml:space="preserve"> 11 </w:t>
            </w:r>
          </w:p>
        </w:tc>
        <w:tc>
          <w:tcPr>
            <w:tcW w:w="850" w:type="dxa"/>
            <w:tcBorders>
              <w:top w:val="single" w:sz="4" w:space="0" w:color="auto"/>
              <w:left w:val="nil"/>
              <w:bottom w:val="single" w:sz="12" w:space="0" w:color="auto"/>
              <w:right w:val="nil"/>
            </w:tcBorders>
            <w:shd w:val="clear" w:color="auto" w:fill="auto"/>
            <w:noWrap/>
            <w:vAlign w:val="bottom"/>
          </w:tcPr>
          <w:p w14:paraId="066E974C" w14:textId="77777777" w:rsidR="005A713F" w:rsidRPr="00F959D0" w:rsidRDefault="005A713F" w:rsidP="00E12A58">
            <w:pPr>
              <w:jc w:val="right"/>
              <w:rPr>
                <w:rFonts w:ascii="Arial" w:hAnsi="Arial" w:cs="Arial"/>
                <w:b/>
                <w:bCs/>
                <w:sz w:val="14"/>
                <w:szCs w:val="14"/>
              </w:rPr>
            </w:pPr>
            <w:r w:rsidRPr="00F959D0">
              <w:rPr>
                <w:rFonts w:ascii="Arial" w:hAnsi="Arial" w:cs="Arial"/>
                <w:b/>
                <w:bCs/>
                <w:sz w:val="14"/>
                <w:szCs w:val="14"/>
              </w:rPr>
              <w:t xml:space="preserve"> 205 </w:t>
            </w:r>
          </w:p>
        </w:tc>
        <w:tc>
          <w:tcPr>
            <w:tcW w:w="850" w:type="dxa"/>
            <w:tcBorders>
              <w:top w:val="single" w:sz="4" w:space="0" w:color="auto"/>
              <w:left w:val="nil"/>
              <w:bottom w:val="single" w:sz="12" w:space="0" w:color="auto"/>
              <w:right w:val="nil"/>
            </w:tcBorders>
            <w:vAlign w:val="bottom"/>
          </w:tcPr>
          <w:p w14:paraId="5BAF0245" w14:textId="77777777" w:rsidR="005A713F" w:rsidRPr="00F959D0" w:rsidRDefault="005A713F" w:rsidP="00E12A58">
            <w:pPr>
              <w:jc w:val="right"/>
              <w:rPr>
                <w:rFonts w:ascii="Arial" w:hAnsi="Arial" w:cs="Arial"/>
                <w:b/>
                <w:bCs/>
                <w:sz w:val="14"/>
                <w:szCs w:val="14"/>
              </w:rPr>
            </w:pPr>
            <w:r w:rsidRPr="00F959D0">
              <w:rPr>
                <w:rFonts w:ascii="Arial" w:hAnsi="Arial" w:cs="Arial"/>
                <w:b/>
                <w:bCs/>
                <w:sz w:val="14"/>
                <w:szCs w:val="14"/>
              </w:rPr>
              <w:t xml:space="preserve"> 7 </w:t>
            </w:r>
          </w:p>
        </w:tc>
        <w:tc>
          <w:tcPr>
            <w:tcW w:w="850" w:type="dxa"/>
            <w:tcBorders>
              <w:top w:val="single" w:sz="4" w:space="0" w:color="auto"/>
              <w:left w:val="nil"/>
              <w:bottom w:val="single" w:sz="12" w:space="0" w:color="auto"/>
              <w:right w:val="nil"/>
            </w:tcBorders>
            <w:shd w:val="clear" w:color="auto" w:fill="auto"/>
            <w:noWrap/>
            <w:vAlign w:val="bottom"/>
          </w:tcPr>
          <w:p w14:paraId="63F6EBBA" w14:textId="77777777" w:rsidR="005A713F" w:rsidRPr="00B119F0" w:rsidRDefault="005A713F" w:rsidP="00E12A58">
            <w:pPr>
              <w:jc w:val="right"/>
              <w:rPr>
                <w:rFonts w:ascii="Arial" w:hAnsi="Arial" w:cs="Arial"/>
                <w:b/>
                <w:bCs/>
                <w:sz w:val="14"/>
                <w:szCs w:val="14"/>
              </w:rPr>
            </w:pPr>
            <w:r w:rsidRPr="00F959D0">
              <w:rPr>
                <w:rFonts w:ascii="Arial" w:hAnsi="Arial" w:cs="Arial"/>
                <w:b/>
                <w:bCs/>
                <w:sz w:val="14"/>
                <w:szCs w:val="14"/>
              </w:rPr>
              <w:t xml:space="preserve"> 1.840 </w:t>
            </w:r>
          </w:p>
        </w:tc>
        <w:tc>
          <w:tcPr>
            <w:tcW w:w="850" w:type="dxa"/>
            <w:tcBorders>
              <w:top w:val="single" w:sz="4" w:space="0" w:color="auto"/>
              <w:left w:val="nil"/>
              <w:bottom w:val="single" w:sz="12" w:space="0" w:color="auto"/>
              <w:right w:val="nil"/>
            </w:tcBorders>
            <w:shd w:val="clear" w:color="auto" w:fill="auto"/>
            <w:noWrap/>
            <w:vAlign w:val="bottom"/>
          </w:tcPr>
          <w:p w14:paraId="12BE3689" w14:textId="77777777" w:rsidR="005A713F" w:rsidRPr="00F959D0" w:rsidRDefault="005A713F" w:rsidP="00E12A58">
            <w:pPr>
              <w:jc w:val="right"/>
              <w:rPr>
                <w:rFonts w:ascii="Arial" w:hAnsi="Arial" w:cs="Arial"/>
                <w:b/>
                <w:bCs/>
                <w:sz w:val="14"/>
                <w:szCs w:val="14"/>
              </w:rPr>
            </w:pPr>
            <w:r w:rsidRPr="00F959D0">
              <w:rPr>
                <w:rFonts w:ascii="Arial" w:hAnsi="Arial" w:cs="Arial"/>
                <w:b/>
                <w:bCs/>
                <w:sz w:val="14"/>
                <w:szCs w:val="14"/>
              </w:rPr>
              <w:t xml:space="preserve"> 857 </w:t>
            </w:r>
          </w:p>
        </w:tc>
        <w:tc>
          <w:tcPr>
            <w:tcW w:w="850" w:type="dxa"/>
            <w:tcBorders>
              <w:top w:val="single" w:sz="4" w:space="0" w:color="auto"/>
              <w:left w:val="nil"/>
              <w:bottom w:val="single" w:sz="12" w:space="0" w:color="auto"/>
              <w:right w:val="nil"/>
            </w:tcBorders>
            <w:shd w:val="clear" w:color="auto" w:fill="auto"/>
            <w:noWrap/>
            <w:vAlign w:val="bottom"/>
          </w:tcPr>
          <w:p w14:paraId="263ED1D4" w14:textId="77777777" w:rsidR="005A713F" w:rsidRPr="00F959D0" w:rsidRDefault="005A713F" w:rsidP="00E12A58">
            <w:pPr>
              <w:jc w:val="right"/>
              <w:rPr>
                <w:rFonts w:ascii="Arial" w:hAnsi="Arial" w:cs="Arial"/>
                <w:b/>
                <w:bCs/>
                <w:sz w:val="14"/>
                <w:szCs w:val="14"/>
              </w:rPr>
            </w:pPr>
            <w:r w:rsidRPr="00F959D0">
              <w:rPr>
                <w:rFonts w:ascii="Arial" w:hAnsi="Arial" w:cs="Arial"/>
                <w:b/>
                <w:bCs/>
                <w:sz w:val="14"/>
                <w:szCs w:val="14"/>
              </w:rPr>
              <w:t xml:space="preserve"> 11 </w:t>
            </w:r>
          </w:p>
        </w:tc>
        <w:tc>
          <w:tcPr>
            <w:tcW w:w="850" w:type="dxa"/>
            <w:tcBorders>
              <w:top w:val="single" w:sz="4" w:space="0" w:color="auto"/>
              <w:left w:val="nil"/>
              <w:bottom w:val="single" w:sz="12" w:space="0" w:color="auto"/>
              <w:right w:val="nil"/>
            </w:tcBorders>
            <w:shd w:val="clear" w:color="auto" w:fill="auto"/>
            <w:noWrap/>
            <w:vAlign w:val="bottom"/>
          </w:tcPr>
          <w:p w14:paraId="5304845C" w14:textId="77777777" w:rsidR="005A713F" w:rsidRPr="00F959D0" w:rsidRDefault="005A713F" w:rsidP="00E12A58">
            <w:pPr>
              <w:jc w:val="right"/>
              <w:rPr>
                <w:rFonts w:ascii="Arial" w:hAnsi="Arial" w:cs="Arial"/>
                <w:b/>
                <w:bCs/>
                <w:sz w:val="14"/>
                <w:szCs w:val="14"/>
              </w:rPr>
            </w:pPr>
            <w:r w:rsidRPr="00F959D0">
              <w:rPr>
                <w:rFonts w:ascii="Arial" w:hAnsi="Arial" w:cs="Arial"/>
                <w:b/>
                <w:bCs/>
                <w:sz w:val="14"/>
                <w:szCs w:val="14"/>
              </w:rPr>
              <w:t xml:space="preserve"> 205 </w:t>
            </w:r>
          </w:p>
        </w:tc>
        <w:tc>
          <w:tcPr>
            <w:tcW w:w="850" w:type="dxa"/>
            <w:tcBorders>
              <w:top w:val="single" w:sz="4" w:space="0" w:color="auto"/>
              <w:left w:val="nil"/>
              <w:bottom w:val="single" w:sz="12" w:space="0" w:color="auto"/>
              <w:right w:val="nil"/>
            </w:tcBorders>
            <w:vAlign w:val="bottom"/>
          </w:tcPr>
          <w:p w14:paraId="6F56AF29" w14:textId="77777777" w:rsidR="005A713F" w:rsidRPr="00F959D0" w:rsidRDefault="005A713F" w:rsidP="00E12A58">
            <w:pPr>
              <w:jc w:val="right"/>
              <w:rPr>
                <w:rFonts w:ascii="Arial" w:hAnsi="Arial" w:cs="Arial"/>
                <w:b/>
                <w:bCs/>
                <w:sz w:val="14"/>
                <w:szCs w:val="14"/>
              </w:rPr>
            </w:pPr>
            <w:r w:rsidRPr="00F959D0">
              <w:rPr>
                <w:rFonts w:ascii="Arial" w:hAnsi="Arial" w:cs="Arial"/>
                <w:b/>
                <w:bCs/>
                <w:sz w:val="14"/>
                <w:szCs w:val="14"/>
              </w:rPr>
              <w:t xml:space="preserve"> 7 </w:t>
            </w:r>
          </w:p>
        </w:tc>
        <w:tc>
          <w:tcPr>
            <w:tcW w:w="850" w:type="dxa"/>
            <w:tcBorders>
              <w:top w:val="single" w:sz="4" w:space="0" w:color="auto"/>
              <w:left w:val="nil"/>
              <w:bottom w:val="single" w:sz="12" w:space="0" w:color="auto"/>
              <w:right w:val="nil"/>
            </w:tcBorders>
            <w:shd w:val="clear" w:color="auto" w:fill="auto"/>
            <w:noWrap/>
            <w:vAlign w:val="bottom"/>
          </w:tcPr>
          <w:p w14:paraId="6B8AADC1" w14:textId="77777777" w:rsidR="005A713F" w:rsidRPr="00D87D1A" w:rsidRDefault="005A713F" w:rsidP="00E12A58">
            <w:pPr>
              <w:jc w:val="right"/>
              <w:rPr>
                <w:rFonts w:ascii="Arial" w:hAnsi="Arial" w:cs="Arial"/>
                <w:b/>
                <w:bCs/>
                <w:sz w:val="14"/>
                <w:szCs w:val="14"/>
              </w:rPr>
            </w:pPr>
            <w:r w:rsidRPr="00F959D0">
              <w:rPr>
                <w:rFonts w:ascii="Arial" w:hAnsi="Arial" w:cs="Arial"/>
                <w:b/>
                <w:bCs/>
                <w:sz w:val="14"/>
                <w:szCs w:val="14"/>
              </w:rPr>
              <w:t xml:space="preserve"> 1.080 </w:t>
            </w:r>
          </w:p>
        </w:tc>
      </w:tr>
    </w:tbl>
    <w:p w14:paraId="2A512A44" w14:textId="0F7AE10F" w:rsidR="00D004B1" w:rsidRPr="003D1614" w:rsidRDefault="00D004B1" w:rsidP="001B247D">
      <w:pPr>
        <w:suppressAutoHyphens/>
        <w:autoSpaceDN w:val="0"/>
        <w:jc w:val="both"/>
        <w:outlineLvl w:val="0"/>
        <w:rPr>
          <w:rFonts w:ascii="Arial" w:eastAsia="Calibri" w:hAnsi="Arial" w:cs="Arial"/>
          <w:bCs/>
          <w:color w:val="000000" w:themeColor="text1"/>
          <w:sz w:val="20"/>
          <w:szCs w:val="20"/>
        </w:rPr>
      </w:pPr>
    </w:p>
    <w:p w14:paraId="698BC174" w14:textId="77777777" w:rsidR="00C81475" w:rsidRPr="003D1614" w:rsidRDefault="00C81475" w:rsidP="001B247D">
      <w:pPr>
        <w:suppressAutoHyphens/>
        <w:autoSpaceDN w:val="0"/>
        <w:jc w:val="both"/>
        <w:outlineLvl w:val="0"/>
        <w:rPr>
          <w:rFonts w:ascii="Arial" w:eastAsia="Calibri" w:hAnsi="Arial" w:cs="Arial"/>
          <w:bCs/>
          <w:color w:val="000000" w:themeColor="text1"/>
          <w:sz w:val="20"/>
          <w:szCs w:val="20"/>
        </w:rPr>
        <w:sectPr w:rsidR="00C81475" w:rsidRPr="003D1614">
          <w:pgSz w:w="11906" w:h="16838"/>
          <w:pgMar w:top="1417" w:right="1417" w:bottom="1417" w:left="1417" w:header="708" w:footer="708" w:gutter="0"/>
          <w:cols w:space="708"/>
          <w:docGrid w:linePitch="360"/>
        </w:sectPr>
      </w:pPr>
    </w:p>
    <w:p w14:paraId="15EA0B5E"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p w14:paraId="4EC2D07E" w14:textId="45C2972B" w:rsidR="00C81475" w:rsidRPr="003D1614" w:rsidRDefault="00C81475" w:rsidP="00C81475">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0E693B">
        <w:rPr>
          <w:rFonts w:ascii="Arial" w:eastAsia="Times New Roman" w:hAnsi="Arial" w:cs="Arial"/>
          <w:b/>
          <w:bCs/>
          <w:color w:val="000000" w:themeColor="text1"/>
          <w:sz w:val="20"/>
          <w:szCs w:val="20"/>
        </w:rPr>
        <w:t>6</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Ostala imovina (nastavak)</w:t>
      </w:r>
    </w:p>
    <w:p w14:paraId="22C54638"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p w14:paraId="0523A106"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U nastavku se daje pregled pozicija koje su izložene kreditnom riziku:</w:t>
      </w:r>
    </w:p>
    <w:p w14:paraId="42E50C04"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tbl>
      <w:tblPr>
        <w:tblW w:w="9659" w:type="dxa"/>
        <w:tblInd w:w="-142" w:type="dxa"/>
        <w:tblLook w:val="04A0" w:firstRow="1" w:lastRow="0" w:firstColumn="1" w:lastColumn="0" w:noHBand="0" w:noVBand="1"/>
      </w:tblPr>
      <w:tblGrid>
        <w:gridCol w:w="4111"/>
        <w:gridCol w:w="1387"/>
        <w:gridCol w:w="1387"/>
        <w:gridCol w:w="1387"/>
        <w:gridCol w:w="1387"/>
      </w:tblGrid>
      <w:tr w:rsidR="00C81475" w:rsidRPr="00AE4334" w14:paraId="2541EF76" w14:textId="77777777" w:rsidTr="00AE4334">
        <w:trPr>
          <w:trHeight w:val="309"/>
        </w:trPr>
        <w:tc>
          <w:tcPr>
            <w:tcW w:w="4111" w:type="dxa"/>
            <w:tcBorders>
              <w:top w:val="nil"/>
              <w:left w:val="nil"/>
              <w:bottom w:val="nil"/>
              <w:right w:val="nil"/>
            </w:tcBorders>
            <w:shd w:val="clear" w:color="auto" w:fill="auto"/>
            <w:vAlign w:val="bottom"/>
            <w:hideMark/>
          </w:tcPr>
          <w:p w14:paraId="680ACF11" w14:textId="77777777" w:rsidR="00C81475" w:rsidRPr="00AE4334" w:rsidRDefault="00C81475" w:rsidP="00C81475">
            <w:pPr>
              <w:suppressAutoHyphens/>
              <w:autoSpaceDN w:val="0"/>
              <w:rPr>
                <w:rFonts w:ascii="Arial" w:eastAsia="Times New Roman" w:hAnsi="Arial" w:cs="Arial"/>
                <w:color w:val="000000" w:themeColor="text1"/>
                <w:sz w:val="20"/>
                <w:szCs w:val="20"/>
              </w:rPr>
            </w:pPr>
          </w:p>
        </w:tc>
        <w:tc>
          <w:tcPr>
            <w:tcW w:w="2774" w:type="dxa"/>
            <w:gridSpan w:val="2"/>
            <w:tcBorders>
              <w:top w:val="nil"/>
              <w:left w:val="nil"/>
              <w:bottom w:val="nil"/>
              <w:right w:val="nil"/>
            </w:tcBorders>
            <w:shd w:val="clear" w:color="auto" w:fill="auto"/>
            <w:vAlign w:val="bottom"/>
            <w:hideMark/>
          </w:tcPr>
          <w:p w14:paraId="01B6A24F" w14:textId="77777777" w:rsidR="00C81475" w:rsidRPr="00AE4334" w:rsidRDefault="00C81475" w:rsidP="00C81475">
            <w:pPr>
              <w:suppressAutoHyphens/>
              <w:autoSpaceDN w:val="0"/>
              <w:jc w:val="right"/>
              <w:rPr>
                <w:rFonts w:ascii="Arial" w:eastAsia="Times New Roman" w:hAnsi="Arial" w:cs="Arial"/>
                <w:b/>
                <w:bCs/>
                <w:color w:val="000000" w:themeColor="text1"/>
                <w:sz w:val="20"/>
                <w:szCs w:val="20"/>
              </w:rPr>
            </w:pPr>
            <w:r w:rsidRPr="00AE4334">
              <w:rPr>
                <w:rFonts w:ascii="Arial" w:eastAsia="Times New Roman" w:hAnsi="Arial" w:cs="Arial"/>
                <w:b/>
                <w:bCs/>
                <w:color w:val="000000" w:themeColor="text1"/>
                <w:sz w:val="20"/>
                <w:szCs w:val="20"/>
              </w:rPr>
              <w:t>Grupa</w:t>
            </w:r>
          </w:p>
        </w:tc>
        <w:tc>
          <w:tcPr>
            <w:tcW w:w="2774" w:type="dxa"/>
            <w:gridSpan w:val="2"/>
            <w:tcBorders>
              <w:top w:val="nil"/>
              <w:left w:val="nil"/>
              <w:bottom w:val="nil"/>
              <w:right w:val="nil"/>
            </w:tcBorders>
            <w:shd w:val="clear" w:color="auto" w:fill="auto"/>
            <w:vAlign w:val="bottom"/>
            <w:hideMark/>
          </w:tcPr>
          <w:p w14:paraId="567D7016" w14:textId="77777777" w:rsidR="00C81475" w:rsidRPr="00AE4334" w:rsidRDefault="00C81475" w:rsidP="00C81475">
            <w:pPr>
              <w:suppressAutoHyphens/>
              <w:autoSpaceDN w:val="0"/>
              <w:jc w:val="right"/>
              <w:rPr>
                <w:rFonts w:ascii="Arial" w:eastAsia="Times New Roman" w:hAnsi="Arial" w:cs="Arial"/>
                <w:b/>
                <w:bCs/>
                <w:color w:val="000000" w:themeColor="text1"/>
                <w:sz w:val="20"/>
                <w:szCs w:val="20"/>
              </w:rPr>
            </w:pPr>
            <w:r w:rsidRPr="00AE4334">
              <w:rPr>
                <w:rFonts w:ascii="Arial" w:eastAsia="Times New Roman" w:hAnsi="Arial" w:cs="Arial"/>
                <w:b/>
                <w:bCs/>
                <w:color w:val="000000" w:themeColor="text1"/>
                <w:sz w:val="20"/>
                <w:szCs w:val="20"/>
              </w:rPr>
              <w:t>Banka</w:t>
            </w:r>
          </w:p>
        </w:tc>
      </w:tr>
      <w:tr w:rsidR="00C81475" w:rsidRPr="00AE4334" w14:paraId="679A8BA0" w14:textId="77777777" w:rsidTr="00AE4334">
        <w:trPr>
          <w:trHeight w:val="309"/>
        </w:trPr>
        <w:tc>
          <w:tcPr>
            <w:tcW w:w="4111" w:type="dxa"/>
            <w:tcBorders>
              <w:top w:val="nil"/>
              <w:left w:val="nil"/>
              <w:bottom w:val="nil"/>
              <w:right w:val="nil"/>
            </w:tcBorders>
            <w:shd w:val="clear" w:color="auto" w:fill="auto"/>
            <w:vAlign w:val="bottom"/>
            <w:hideMark/>
          </w:tcPr>
          <w:p w14:paraId="6D8C48D2" w14:textId="77777777" w:rsidR="00C81475" w:rsidRPr="00AE4334" w:rsidRDefault="00C81475" w:rsidP="00C81475">
            <w:pPr>
              <w:suppressAutoHyphens/>
              <w:autoSpaceDN w:val="0"/>
              <w:jc w:val="right"/>
              <w:rPr>
                <w:rFonts w:ascii="Arial" w:eastAsia="Times New Roman" w:hAnsi="Arial" w:cs="Arial"/>
                <w:b/>
                <w:bCs/>
                <w:color w:val="000000" w:themeColor="text1"/>
                <w:sz w:val="20"/>
                <w:szCs w:val="20"/>
              </w:rPr>
            </w:pPr>
          </w:p>
        </w:tc>
        <w:tc>
          <w:tcPr>
            <w:tcW w:w="1387" w:type="dxa"/>
            <w:tcBorders>
              <w:top w:val="nil"/>
              <w:left w:val="nil"/>
              <w:bottom w:val="nil"/>
              <w:right w:val="nil"/>
            </w:tcBorders>
            <w:shd w:val="clear" w:color="auto" w:fill="auto"/>
            <w:vAlign w:val="bottom"/>
            <w:hideMark/>
          </w:tcPr>
          <w:p w14:paraId="39D2A104" w14:textId="136F43B7" w:rsidR="00C81475" w:rsidRPr="00AE4334" w:rsidRDefault="00C81475" w:rsidP="00C81475">
            <w:pPr>
              <w:suppressAutoHyphens/>
              <w:autoSpaceDN w:val="0"/>
              <w:jc w:val="right"/>
              <w:rPr>
                <w:rFonts w:ascii="Arial" w:eastAsia="Times New Roman" w:hAnsi="Arial" w:cs="Arial"/>
                <w:b/>
                <w:bCs/>
                <w:color w:val="000000" w:themeColor="text1"/>
                <w:sz w:val="20"/>
                <w:szCs w:val="20"/>
              </w:rPr>
            </w:pPr>
            <w:r w:rsidRPr="00AE4334">
              <w:rPr>
                <w:rFonts w:ascii="Arial" w:eastAsia="Times New Roman" w:hAnsi="Arial" w:cs="Arial"/>
                <w:b/>
                <w:color w:val="000000" w:themeColor="text1"/>
                <w:sz w:val="20"/>
                <w:szCs w:val="20"/>
              </w:rPr>
              <w:t xml:space="preserve">31. ožujka </w:t>
            </w:r>
            <w:r w:rsidRPr="00AE4334">
              <w:rPr>
                <w:rFonts w:ascii="Arial" w:eastAsia="Times New Roman" w:hAnsi="Arial" w:cs="Arial"/>
                <w:b/>
                <w:bCs/>
                <w:color w:val="000000" w:themeColor="text1"/>
                <w:sz w:val="20"/>
                <w:szCs w:val="20"/>
              </w:rPr>
              <w:t>202</w:t>
            </w:r>
            <w:r w:rsidR="0063747D">
              <w:rPr>
                <w:rFonts w:ascii="Arial" w:eastAsia="Times New Roman" w:hAnsi="Arial" w:cs="Arial"/>
                <w:b/>
                <w:bCs/>
                <w:color w:val="000000" w:themeColor="text1"/>
                <w:sz w:val="20"/>
                <w:szCs w:val="20"/>
              </w:rPr>
              <w:t>4</w:t>
            </w:r>
            <w:r w:rsidRPr="00AE4334">
              <w:rPr>
                <w:rFonts w:ascii="Arial" w:eastAsia="Times New Roman" w:hAnsi="Arial" w:cs="Arial"/>
                <w:b/>
                <w:bCs/>
                <w:color w:val="000000" w:themeColor="text1"/>
                <w:sz w:val="20"/>
                <w:szCs w:val="20"/>
              </w:rPr>
              <w:t>.</w:t>
            </w:r>
          </w:p>
        </w:tc>
        <w:tc>
          <w:tcPr>
            <w:tcW w:w="1387" w:type="dxa"/>
            <w:tcBorders>
              <w:top w:val="nil"/>
              <w:left w:val="nil"/>
              <w:bottom w:val="nil"/>
              <w:right w:val="nil"/>
            </w:tcBorders>
            <w:shd w:val="clear" w:color="auto" w:fill="auto"/>
            <w:vAlign w:val="bottom"/>
            <w:hideMark/>
          </w:tcPr>
          <w:p w14:paraId="6077F2B0" w14:textId="66625D16" w:rsidR="00C81475" w:rsidRPr="00AE4334" w:rsidRDefault="00C81475" w:rsidP="00C81475">
            <w:pPr>
              <w:suppressAutoHyphens/>
              <w:autoSpaceDN w:val="0"/>
              <w:jc w:val="right"/>
              <w:rPr>
                <w:rFonts w:ascii="Arial" w:eastAsia="Times New Roman" w:hAnsi="Arial" w:cs="Arial"/>
                <w:b/>
                <w:bCs/>
                <w:color w:val="000000" w:themeColor="text1"/>
                <w:sz w:val="20"/>
                <w:szCs w:val="20"/>
              </w:rPr>
            </w:pPr>
            <w:r w:rsidRPr="00AE4334">
              <w:rPr>
                <w:rFonts w:ascii="Arial" w:eastAsia="Times New Roman" w:hAnsi="Arial" w:cs="Arial"/>
                <w:b/>
                <w:color w:val="000000" w:themeColor="text1"/>
                <w:sz w:val="20"/>
                <w:szCs w:val="20"/>
              </w:rPr>
              <w:t xml:space="preserve">31. prosinca </w:t>
            </w:r>
            <w:r w:rsidRPr="00AE4334">
              <w:rPr>
                <w:rFonts w:ascii="Arial" w:eastAsia="Times New Roman" w:hAnsi="Arial" w:cs="Arial"/>
                <w:b/>
                <w:bCs/>
                <w:color w:val="000000" w:themeColor="text1"/>
                <w:sz w:val="20"/>
                <w:szCs w:val="20"/>
              </w:rPr>
              <w:t>202</w:t>
            </w:r>
            <w:r w:rsidR="0063747D">
              <w:rPr>
                <w:rFonts w:ascii="Arial" w:eastAsia="Times New Roman" w:hAnsi="Arial" w:cs="Arial"/>
                <w:b/>
                <w:bCs/>
                <w:color w:val="000000" w:themeColor="text1"/>
                <w:sz w:val="20"/>
                <w:szCs w:val="20"/>
              </w:rPr>
              <w:t>3</w:t>
            </w:r>
            <w:r w:rsidRPr="00AE4334">
              <w:rPr>
                <w:rFonts w:ascii="Arial" w:eastAsia="Times New Roman" w:hAnsi="Arial" w:cs="Arial"/>
                <w:b/>
                <w:bCs/>
                <w:color w:val="000000" w:themeColor="text1"/>
                <w:sz w:val="20"/>
                <w:szCs w:val="20"/>
              </w:rPr>
              <w:t>.</w:t>
            </w:r>
          </w:p>
        </w:tc>
        <w:tc>
          <w:tcPr>
            <w:tcW w:w="1387" w:type="dxa"/>
            <w:tcBorders>
              <w:top w:val="nil"/>
              <w:left w:val="nil"/>
              <w:bottom w:val="nil"/>
              <w:right w:val="nil"/>
            </w:tcBorders>
            <w:shd w:val="clear" w:color="auto" w:fill="auto"/>
            <w:vAlign w:val="bottom"/>
            <w:hideMark/>
          </w:tcPr>
          <w:p w14:paraId="74A63AC7" w14:textId="3D8C4AF9" w:rsidR="00C81475" w:rsidRPr="00AE4334" w:rsidRDefault="00C81475" w:rsidP="00C81475">
            <w:pPr>
              <w:suppressAutoHyphens/>
              <w:autoSpaceDN w:val="0"/>
              <w:jc w:val="right"/>
              <w:rPr>
                <w:rFonts w:ascii="Arial" w:eastAsia="Times New Roman" w:hAnsi="Arial" w:cs="Arial"/>
                <w:b/>
                <w:bCs/>
                <w:color w:val="000000" w:themeColor="text1"/>
                <w:sz w:val="20"/>
                <w:szCs w:val="20"/>
              </w:rPr>
            </w:pPr>
            <w:r w:rsidRPr="00AE4334">
              <w:rPr>
                <w:rFonts w:ascii="Arial" w:eastAsia="Times New Roman" w:hAnsi="Arial" w:cs="Arial"/>
                <w:b/>
                <w:color w:val="000000" w:themeColor="text1"/>
                <w:sz w:val="20"/>
                <w:szCs w:val="20"/>
              </w:rPr>
              <w:t xml:space="preserve">31. ožujka </w:t>
            </w:r>
            <w:r w:rsidRPr="00AE4334">
              <w:rPr>
                <w:rFonts w:ascii="Arial" w:eastAsia="Times New Roman" w:hAnsi="Arial" w:cs="Arial"/>
                <w:b/>
                <w:bCs/>
                <w:color w:val="000000" w:themeColor="text1"/>
                <w:sz w:val="20"/>
                <w:szCs w:val="20"/>
              </w:rPr>
              <w:t>202</w:t>
            </w:r>
            <w:r w:rsidR="0063747D">
              <w:rPr>
                <w:rFonts w:ascii="Arial" w:eastAsia="Times New Roman" w:hAnsi="Arial" w:cs="Arial"/>
                <w:b/>
                <w:bCs/>
                <w:color w:val="000000" w:themeColor="text1"/>
                <w:sz w:val="20"/>
                <w:szCs w:val="20"/>
              </w:rPr>
              <w:t>4</w:t>
            </w:r>
            <w:r w:rsidRPr="00AE4334">
              <w:rPr>
                <w:rFonts w:ascii="Arial" w:eastAsia="Times New Roman" w:hAnsi="Arial" w:cs="Arial"/>
                <w:b/>
                <w:bCs/>
                <w:color w:val="000000" w:themeColor="text1"/>
                <w:sz w:val="20"/>
                <w:szCs w:val="20"/>
              </w:rPr>
              <w:t>.</w:t>
            </w:r>
          </w:p>
        </w:tc>
        <w:tc>
          <w:tcPr>
            <w:tcW w:w="1387" w:type="dxa"/>
            <w:tcBorders>
              <w:top w:val="nil"/>
              <w:left w:val="nil"/>
              <w:bottom w:val="nil"/>
              <w:right w:val="nil"/>
            </w:tcBorders>
            <w:shd w:val="clear" w:color="auto" w:fill="auto"/>
            <w:vAlign w:val="bottom"/>
            <w:hideMark/>
          </w:tcPr>
          <w:p w14:paraId="2829D343" w14:textId="5B756A50" w:rsidR="00C81475" w:rsidRPr="00AE4334" w:rsidRDefault="00C81475" w:rsidP="00C81475">
            <w:pPr>
              <w:suppressAutoHyphens/>
              <w:autoSpaceDN w:val="0"/>
              <w:jc w:val="right"/>
              <w:rPr>
                <w:rFonts w:ascii="Arial" w:eastAsia="Times New Roman" w:hAnsi="Arial" w:cs="Arial"/>
                <w:b/>
                <w:bCs/>
                <w:color w:val="000000" w:themeColor="text1"/>
                <w:sz w:val="20"/>
                <w:szCs w:val="20"/>
              </w:rPr>
            </w:pPr>
            <w:r w:rsidRPr="00AE4334">
              <w:rPr>
                <w:rFonts w:ascii="Arial" w:eastAsia="Times New Roman" w:hAnsi="Arial" w:cs="Arial"/>
                <w:b/>
                <w:color w:val="000000" w:themeColor="text1"/>
                <w:sz w:val="20"/>
                <w:szCs w:val="20"/>
              </w:rPr>
              <w:t xml:space="preserve">31. prosinca </w:t>
            </w:r>
            <w:r w:rsidRPr="00AE4334">
              <w:rPr>
                <w:rFonts w:ascii="Arial" w:eastAsia="Times New Roman" w:hAnsi="Arial" w:cs="Arial"/>
                <w:b/>
                <w:bCs/>
                <w:color w:val="000000" w:themeColor="text1"/>
                <w:sz w:val="20"/>
                <w:szCs w:val="20"/>
              </w:rPr>
              <w:t>202</w:t>
            </w:r>
            <w:r w:rsidR="0063747D">
              <w:rPr>
                <w:rFonts w:ascii="Arial" w:eastAsia="Times New Roman" w:hAnsi="Arial" w:cs="Arial"/>
                <w:b/>
                <w:bCs/>
                <w:color w:val="000000" w:themeColor="text1"/>
                <w:sz w:val="20"/>
                <w:szCs w:val="20"/>
              </w:rPr>
              <w:t>3</w:t>
            </w:r>
            <w:r w:rsidRPr="00AE4334">
              <w:rPr>
                <w:rFonts w:ascii="Arial" w:eastAsia="Times New Roman" w:hAnsi="Arial" w:cs="Arial"/>
                <w:b/>
                <w:bCs/>
                <w:color w:val="000000" w:themeColor="text1"/>
                <w:sz w:val="20"/>
                <w:szCs w:val="20"/>
              </w:rPr>
              <w:t>.</w:t>
            </w:r>
          </w:p>
        </w:tc>
      </w:tr>
      <w:tr w:rsidR="00C81475" w:rsidRPr="00AE4334" w14:paraId="346280AA" w14:textId="77777777" w:rsidTr="00AE4334">
        <w:trPr>
          <w:trHeight w:val="309"/>
        </w:trPr>
        <w:tc>
          <w:tcPr>
            <w:tcW w:w="4111" w:type="dxa"/>
            <w:tcBorders>
              <w:top w:val="nil"/>
              <w:left w:val="nil"/>
              <w:bottom w:val="nil"/>
              <w:right w:val="nil"/>
            </w:tcBorders>
            <w:shd w:val="clear" w:color="auto" w:fill="auto"/>
            <w:vAlign w:val="bottom"/>
            <w:hideMark/>
          </w:tcPr>
          <w:p w14:paraId="2EEB749C" w14:textId="77777777" w:rsidR="00C81475" w:rsidRPr="00AE4334" w:rsidRDefault="00C81475" w:rsidP="00C81475">
            <w:pPr>
              <w:suppressAutoHyphens/>
              <w:autoSpaceDN w:val="0"/>
              <w:jc w:val="right"/>
              <w:rPr>
                <w:rFonts w:ascii="Arial" w:eastAsia="Times New Roman" w:hAnsi="Arial" w:cs="Arial"/>
                <w:b/>
                <w:bCs/>
                <w:color w:val="000000" w:themeColor="text1"/>
                <w:sz w:val="20"/>
                <w:szCs w:val="20"/>
              </w:rPr>
            </w:pPr>
          </w:p>
        </w:tc>
        <w:tc>
          <w:tcPr>
            <w:tcW w:w="1387" w:type="dxa"/>
            <w:tcBorders>
              <w:top w:val="nil"/>
              <w:left w:val="nil"/>
              <w:bottom w:val="nil"/>
              <w:right w:val="nil"/>
            </w:tcBorders>
            <w:shd w:val="clear" w:color="auto" w:fill="auto"/>
            <w:vAlign w:val="bottom"/>
            <w:hideMark/>
          </w:tcPr>
          <w:p w14:paraId="19E54556" w14:textId="6111FBF5" w:rsidR="00C81475" w:rsidRPr="00AE4334" w:rsidRDefault="00C81475" w:rsidP="00C81475">
            <w:pPr>
              <w:suppressAutoHyphens/>
              <w:autoSpaceDN w:val="0"/>
              <w:jc w:val="right"/>
              <w:rPr>
                <w:rFonts w:ascii="Arial" w:eastAsia="Times New Roman" w:hAnsi="Arial" w:cs="Arial"/>
                <w:b/>
                <w:bCs/>
                <w:color w:val="000000" w:themeColor="text1"/>
                <w:sz w:val="20"/>
                <w:szCs w:val="20"/>
              </w:rPr>
            </w:pPr>
            <w:r w:rsidRPr="00AE4334">
              <w:rPr>
                <w:rFonts w:ascii="Arial" w:eastAsia="Times New Roman" w:hAnsi="Arial" w:cs="Arial"/>
                <w:b/>
                <w:bCs/>
                <w:color w:val="000000" w:themeColor="text1"/>
                <w:sz w:val="20"/>
                <w:szCs w:val="20"/>
              </w:rPr>
              <w:t>000 eura</w:t>
            </w:r>
          </w:p>
        </w:tc>
        <w:tc>
          <w:tcPr>
            <w:tcW w:w="1387" w:type="dxa"/>
            <w:tcBorders>
              <w:top w:val="nil"/>
              <w:left w:val="nil"/>
              <w:bottom w:val="nil"/>
              <w:right w:val="nil"/>
            </w:tcBorders>
            <w:shd w:val="clear" w:color="auto" w:fill="auto"/>
            <w:vAlign w:val="bottom"/>
            <w:hideMark/>
          </w:tcPr>
          <w:p w14:paraId="0BA1C4B8" w14:textId="1D234ECD" w:rsidR="00C81475" w:rsidRPr="00AE4334" w:rsidRDefault="00C81475" w:rsidP="00C81475">
            <w:pPr>
              <w:suppressAutoHyphens/>
              <w:autoSpaceDN w:val="0"/>
              <w:jc w:val="right"/>
              <w:rPr>
                <w:rFonts w:ascii="Arial" w:eastAsia="Times New Roman" w:hAnsi="Arial" w:cs="Arial"/>
                <w:b/>
                <w:bCs/>
                <w:color w:val="000000" w:themeColor="text1"/>
                <w:sz w:val="20"/>
                <w:szCs w:val="20"/>
              </w:rPr>
            </w:pPr>
            <w:r w:rsidRPr="00AE4334">
              <w:rPr>
                <w:rFonts w:ascii="Arial" w:eastAsia="Times New Roman" w:hAnsi="Arial" w:cs="Arial"/>
                <w:b/>
                <w:bCs/>
                <w:color w:val="000000" w:themeColor="text1"/>
                <w:sz w:val="20"/>
                <w:szCs w:val="20"/>
              </w:rPr>
              <w:t>000 eura</w:t>
            </w:r>
          </w:p>
        </w:tc>
        <w:tc>
          <w:tcPr>
            <w:tcW w:w="1387" w:type="dxa"/>
            <w:tcBorders>
              <w:top w:val="nil"/>
              <w:left w:val="nil"/>
              <w:bottom w:val="nil"/>
              <w:right w:val="nil"/>
            </w:tcBorders>
            <w:shd w:val="clear" w:color="auto" w:fill="auto"/>
            <w:vAlign w:val="bottom"/>
            <w:hideMark/>
          </w:tcPr>
          <w:p w14:paraId="58047D77" w14:textId="13C4C3CD" w:rsidR="00C81475" w:rsidRPr="00AE4334" w:rsidRDefault="00C81475" w:rsidP="00C81475">
            <w:pPr>
              <w:suppressAutoHyphens/>
              <w:autoSpaceDN w:val="0"/>
              <w:jc w:val="right"/>
              <w:rPr>
                <w:rFonts w:ascii="Arial" w:eastAsia="Times New Roman" w:hAnsi="Arial" w:cs="Arial"/>
                <w:b/>
                <w:bCs/>
                <w:color w:val="000000" w:themeColor="text1"/>
                <w:sz w:val="20"/>
                <w:szCs w:val="20"/>
              </w:rPr>
            </w:pPr>
            <w:r w:rsidRPr="00AE4334">
              <w:rPr>
                <w:rFonts w:ascii="Arial" w:eastAsia="Times New Roman" w:hAnsi="Arial" w:cs="Arial"/>
                <w:b/>
                <w:bCs/>
                <w:color w:val="000000" w:themeColor="text1"/>
                <w:sz w:val="20"/>
                <w:szCs w:val="20"/>
              </w:rPr>
              <w:t>000 eura</w:t>
            </w:r>
          </w:p>
        </w:tc>
        <w:tc>
          <w:tcPr>
            <w:tcW w:w="1387" w:type="dxa"/>
            <w:tcBorders>
              <w:top w:val="nil"/>
              <w:left w:val="nil"/>
              <w:bottom w:val="nil"/>
              <w:right w:val="nil"/>
            </w:tcBorders>
            <w:shd w:val="clear" w:color="auto" w:fill="auto"/>
            <w:vAlign w:val="bottom"/>
            <w:hideMark/>
          </w:tcPr>
          <w:p w14:paraId="3F4E2808" w14:textId="3161808E" w:rsidR="00C81475" w:rsidRPr="00AE4334" w:rsidRDefault="00C81475" w:rsidP="00C81475">
            <w:pPr>
              <w:suppressAutoHyphens/>
              <w:autoSpaceDN w:val="0"/>
              <w:jc w:val="right"/>
              <w:rPr>
                <w:rFonts w:ascii="Arial" w:eastAsia="Times New Roman" w:hAnsi="Arial" w:cs="Arial"/>
                <w:b/>
                <w:bCs/>
                <w:color w:val="000000" w:themeColor="text1"/>
                <w:sz w:val="20"/>
                <w:szCs w:val="20"/>
              </w:rPr>
            </w:pPr>
            <w:r w:rsidRPr="00AE4334">
              <w:rPr>
                <w:rFonts w:ascii="Arial" w:eastAsia="Times New Roman" w:hAnsi="Arial" w:cs="Arial"/>
                <w:b/>
                <w:bCs/>
                <w:color w:val="000000" w:themeColor="text1"/>
                <w:sz w:val="20"/>
                <w:szCs w:val="20"/>
              </w:rPr>
              <w:t>000 eura</w:t>
            </w:r>
          </w:p>
        </w:tc>
      </w:tr>
      <w:tr w:rsidR="00C81475" w:rsidRPr="00AE4334" w14:paraId="07430DE1" w14:textId="77777777" w:rsidTr="00AE4334">
        <w:trPr>
          <w:trHeight w:val="309"/>
        </w:trPr>
        <w:tc>
          <w:tcPr>
            <w:tcW w:w="4111" w:type="dxa"/>
            <w:tcBorders>
              <w:top w:val="nil"/>
              <w:left w:val="nil"/>
              <w:bottom w:val="nil"/>
              <w:right w:val="nil"/>
            </w:tcBorders>
            <w:shd w:val="clear" w:color="auto" w:fill="auto"/>
            <w:vAlign w:val="bottom"/>
            <w:hideMark/>
          </w:tcPr>
          <w:p w14:paraId="41EED7B8" w14:textId="77777777" w:rsidR="00C81475" w:rsidRPr="00AE4334" w:rsidRDefault="00C81475" w:rsidP="00C81475">
            <w:pPr>
              <w:suppressAutoHyphens/>
              <w:autoSpaceDN w:val="0"/>
              <w:jc w:val="right"/>
              <w:rPr>
                <w:rFonts w:ascii="Arial" w:eastAsia="Times New Roman" w:hAnsi="Arial" w:cs="Arial"/>
                <w:b/>
                <w:bCs/>
                <w:color w:val="000000" w:themeColor="text1"/>
                <w:sz w:val="20"/>
                <w:szCs w:val="20"/>
              </w:rPr>
            </w:pPr>
          </w:p>
        </w:tc>
        <w:tc>
          <w:tcPr>
            <w:tcW w:w="1387" w:type="dxa"/>
            <w:tcBorders>
              <w:top w:val="nil"/>
              <w:left w:val="nil"/>
              <w:bottom w:val="nil"/>
              <w:right w:val="nil"/>
            </w:tcBorders>
            <w:shd w:val="clear" w:color="auto" w:fill="auto"/>
            <w:vAlign w:val="bottom"/>
            <w:hideMark/>
          </w:tcPr>
          <w:p w14:paraId="02D67F25" w14:textId="77777777" w:rsidR="00C81475" w:rsidRPr="00AE4334" w:rsidRDefault="00C81475" w:rsidP="00C81475">
            <w:pPr>
              <w:suppressAutoHyphens/>
              <w:autoSpaceDN w:val="0"/>
              <w:rPr>
                <w:rFonts w:ascii="Arial" w:eastAsia="Times New Roman" w:hAnsi="Arial" w:cs="Arial"/>
                <w:color w:val="000000" w:themeColor="text1"/>
                <w:sz w:val="20"/>
                <w:szCs w:val="20"/>
              </w:rPr>
            </w:pPr>
          </w:p>
        </w:tc>
        <w:tc>
          <w:tcPr>
            <w:tcW w:w="1387" w:type="dxa"/>
            <w:tcBorders>
              <w:top w:val="nil"/>
              <w:left w:val="nil"/>
              <w:bottom w:val="nil"/>
              <w:right w:val="nil"/>
            </w:tcBorders>
            <w:shd w:val="clear" w:color="auto" w:fill="auto"/>
            <w:vAlign w:val="bottom"/>
            <w:hideMark/>
          </w:tcPr>
          <w:p w14:paraId="79D864FC" w14:textId="77777777" w:rsidR="00C81475" w:rsidRPr="00AE4334" w:rsidRDefault="00C81475" w:rsidP="00C81475">
            <w:pPr>
              <w:suppressAutoHyphens/>
              <w:autoSpaceDN w:val="0"/>
              <w:jc w:val="right"/>
              <w:rPr>
                <w:rFonts w:ascii="Arial" w:eastAsia="Times New Roman" w:hAnsi="Arial" w:cs="Arial"/>
                <w:color w:val="000000" w:themeColor="text1"/>
                <w:sz w:val="20"/>
                <w:szCs w:val="20"/>
              </w:rPr>
            </w:pPr>
          </w:p>
        </w:tc>
        <w:tc>
          <w:tcPr>
            <w:tcW w:w="1387" w:type="dxa"/>
            <w:tcBorders>
              <w:top w:val="nil"/>
              <w:left w:val="nil"/>
              <w:bottom w:val="nil"/>
              <w:right w:val="nil"/>
            </w:tcBorders>
            <w:shd w:val="clear" w:color="auto" w:fill="auto"/>
            <w:vAlign w:val="bottom"/>
            <w:hideMark/>
          </w:tcPr>
          <w:p w14:paraId="7DA720BD" w14:textId="77777777" w:rsidR="00C81475" w:rsidRPr="00AE4334" w:rsidRDefault="00C81475" w:rsidP="00C81475">
            <w:pPr>
              <w:suppressAutoHyphens/>
              <w:autoSpaceDN w:val="0"/>
              <w:jc w:val="right"/>
              <w:rPr>
                <w:rFonts w:ascii="Arial" w:eastAsia="Times New Roman" w:hAnsi="Arial" w:cs="Arial"/>
                <w:color w:val="000000" w:themeColor="text1"/>
                <w:sz w:val="20"/>
                <w:szCs w:val="20"/>
              </w:rPr>
            </w:pPr>
          </w:p>
        </w:tc>
        <w:tc>
          <w:tcPr>
            <w:tcW w:w="1387" w:type="dxa"/>
            <w:tcBorders>
              <w:top w:val="nil"/>
              <w:left w:val="nil"/>
              <w:bottom w:val="nil"/>
              <w:right w:val="nil"/>
            </w:tcBorders>
            <w:shd w:val="clear" w:color="auto" w:fill="auto"/>
            <w:vAlign w:val="bottom"/>
            <w:hideMark/>
          </w:tcPr>
          <w:p w14:paraId="0F9FF9E9" w14:textId="77777777" w:rsidR="00C81475" w:rsidRPr="00AE4334" w:rsidRDefault="00C81475" w:rsidP="00C81475">
            <w:pPr>
              <w:suppressAutoHyphens/>
              <w:autoSpaceDN w:val="0"/>
              <w:jc w:val="right"/>
              <w:rPr>
                <w:rFonts w:ascii="Arial" w:eastAsia="Times New Roman" w:hAnsi="Arial" w:cs="Arial"/>
                <w:color w:val="000000" w:themeColor="text1"/>
                <w:sz w:val="20"/>
                <w:szCs w:val="20"/>
              </w:rPr>
            </w:pPr>
          </w:p>
        </w:tc>
      </w:tr>
      <w:tr w:rsidR="00783D0E" w:rsidRPr="00AE4334" w14:paraId="5C578B76" w14:textId="77777777" w:rsidTr="00AE4334">
        <w:trPr>
          <w:trHeight w:val="303"/>
        </w:trPr>
        <w:tc>
          <w:tcPr>
            <w:tcW w:w="4111" w:type="dxa"/>
            <w:tcBorders>
              <w:top w:val="nil"/>
              <w:left w:val="nil"/>
              <w:bottom w:val="nil"/>
              <w:right w:val="nil"/>
            </w:tcBorders>
            <w:shd w:val="clear" w:color="auto" w:fill="auto"/>
            <w:vAlign w:val="bottom"/>
            <w:hideMark/>
          </w:tcPr>
          <w:p w14:paraId="327826FD" w14:textId="77777777" w:rsidR="00783D0E" w:rsidRPr="00AE4334" w:rsidRDefault="00783D0E" w:rsidP="00783D0E">
            <w:pPr>
              <w:suppressAutoHyphens/>
              <w:autoSpaceDN w:val="0"/>
              <w:rPr>
                <w:rFonts w:ascii="Arial" w:eastAsia="Times New Roman" w:hAnsi="Arial" w:cs="Arial"/>
                <w:color w:val="000000" w:themeColor="text1"/>
                <w:sz w:val="20"/>
                <w:szCs w:val="20"/>
              </w:rPr>
            </w:pPr>
            <w:r w:rsidRPr="00AE4334">
              <w:rPr>
                <w:rFonts w:ascii="Arial" w:eastAsia="Times New Roman" w:hAnsi="Arial" w:cs="Arial"/>
                <w:color w:val="000000" w:themeColor="text1"/>
                <w:sz w:val="20"/>
                <w:szCs w:val="20"/>
              </w:rPr>
              <w:t>Potraživanja po naknadama</w:t>
            </w:r>
          </w:p>
        </w:tc>
        <w:tc>
          <w:tcPr>
            <w:tcW w:w="1387" w:type="dxa"/>
            <w:tcBorders>
              <w:top w:val="nil"/>
              <w:left w:val="nil"/>
              <w:bottom w:val="nil"/>
              <w:right w:val="nil"/>
            </w:tcBorders>
            <w:shd w:val="clear" w:color="auto" w:fill="auto"/>
            <w:vAlign w:val="bottom"/>
          </w:tcPr>
          <w:p w14:paraId="467C7EDE" w14:textId="1728FB05" w:rsidR="00783D0E" w:rsidRPr="00AE4334" w:rsidRDefault="00783D0E" w:rsidP="00783D0E">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3.538</w:t>
            </w:r>
          </w:p>
        </w:tc>
        <w:tc>
          <w:tcPr>
            <w:tcW w:w="1387" w:type="dxa"/>
            <w:tcBorders>
              <w:top w:val="nil"/>
              <w:left w:val="nil"/>
              <w:bottom w:val="nil"/>
              <w:right w:val="nil"/>
            </w:tcBorders>
            <w:shd w:val="clear" w:color="auto" w:fill="auto"/>
            <w:vAlign w:val="bottom"/>
          </w:tcPr>
          <w:p w14:paraId="311BE503" w14:textId="5DD8699A" w:rsidR="00783D0E" w:rsidRPr="00AE4334" w:rsidRDefault="00783D0E" w:rsidP="00783D0E">
            <w:pPr>
              <w:suppressAutoHyphens/>
              <w:autoSpaceDN w:val="0"/>
              <w:jc w:val="right"/>
              <w:rPr>
                <w:rFonts w:ascii="Arial" w:eastAsia="Times New Roman" w:hAnsi="Arial" w:cs="Arial"/>
                <w:color w:val="000000" w:themeColor="text1"/>
                <w:sz w:val="20"/>
                <w:szCs w:val="20"/>
              </w:rPr>
            </w:pPr>
            <w:r w:rsidRPr="00976504">
              <w:rPr>
                <w:rFonts w:ascii="Arial" w:hAnsi="Arial" w:cs="Arial"/>
                <w:color w:val="000000" w:themeColor="text1"/>
                <w:sz w:val="20"/>
                <w:szCs w:val="20"/>
              </w:rPr>
              <w:t>3.540</w:t>
            </w:r>
          </w:p>
        </w:tc>
        <w:tc>
          <w:tcPr>
            <w:tcW w:w="1387" w:type="dxa"/>
            <w:tcBorders>
              <w:top w:val="nil"/>
              <w:left w:val="nil"/>
              <w:bottom w:val="nil"/>
              <w:right w:val="nil"/>
            </w:tcBorders>
            <w:shd w:val="clear" w:color="auto" w:fill="auto"/>
            <w:vAlign w:val="bottom"/>
          </w:tcPr>
          <w:p w14:paraId="162D802E" w14:textId="5375EDB1" w:rsidR="00783D0E" w:rsidRPr="00AE4334" w:rsidRDefault="00783D0E" w:rsidP="00783D0E">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3.538</w:t>
            </w:r>
          </w:p>
        </w:tc>
        <w:tc>
          <w:tcPr>
            <w:tcW w:w="1387" w:type="dxa"/>
            <w:tcBorders>
              <w:top w:val="nil"/>
              <w:left w:val="nil"/>
              <w:bottom w:val="nil"/>
              <w:right w:val="nil"/>
            </w:tcBorders>
            <w:shd w:val="clear" w:color="auto" w:fill="auto"/>
            <w:vAlign w:val="bottom"/>
          </w:tcPr>
          <w:p w14:paraId="6A9B2140" w14:textId="762C81B4" w:rsidR="00783D0E" w:rsidRPr="00AE4334" w:rsidRDefault="00783D0E" w:rsidP="00783D0E">
            <w:pPr>
              <w:suppressAutoHyphens/>
              <w:autoSpaceDN w:val="0"/>
              <w:jc w:val="right"/>
              <w:rPr>
                <w:rFonts w:ascii="Arial" w:eastAsia="Times New Roman" w:hAnsi="Arial" w:cs="Arial"/>
                <w:color w:val="000000" w:themeColor="text1"/>
                <w:sz w:val="20"/>
                <w:szCs w:val="20"/>
              </w:rPr>
            </w:pPr>
            <w:r w:rsidRPr="00976504">
              <w:rPr>
                <w:rFonts w:ascii="Arial" w:hAnsi="Arial" w:cs="Arial"/>
                <w:color w:val="000000" w:themeColor="text1"/>
                <w:sz w:val="20"/>
                <w:szCs w:val="20"/>
              </w:rPr>
              <w:t>3.540</w:t>
            </w:r>
          </w:p>
        </w:tc>
      </w:tr>
      <w:tr w:rsidR="00783D0E" w:rsidRPr="00AE4334" w14:paraId="3788B50A" w14:textId="77777777" w:rsidTr="00AE4334">
        <w:trPr>
          <w:trHeight w:val="303"/>
        </w:trPr>
        <w:tc>
          <w:tcPr>
            <w:tcW w:w="4111" w:type="dxa"/>
            <w:tcBorders>
              <w:top w:val="nil"/>
              <w:left w:val="nil"/>
              <w:bottom w:val="nil"/>
              <w:right w:val="nil"/>
            </w:tcBorders>
            <w:shd w:val="clear" w:color="auto" w:fill="auto"/>
            <w:vAlign w:val="bottom"/>
            <w:hideMark/>
          </w:tcPr>
          <w:p w14:paraId="258E0755" w14:textId="77777777" w:rsidR="00783D0E" w:rsidRPr="00AE4334" w:rsidRDefault="00783D0E" w:rsidP="00783D0E">
            <w:pPr>
              <w:suppressAutoHyphens/>
              <w:autoSpaceDN w:val="0"/>
              <w:rPr>
                <w:rFonts w:ascii="Arial" w:eastAsia="Times New Roman" w:hAnsi="Arial" w:cs="Arial"/>
                <w:color w:val="000000" w:themeColor="text1"/>
                <w:sz w:val="20"/>
                <w:szCs w:val="20"/>
              </w:rPr>
            </w:pPr>
            <w:r w:rsidRPr="00AE4334">
              <w:rPr>
                <w:rFonts w:ascii="Arial" w:eastAsia="Times New Roman" w:hAnsi="Arial" w:cs="Arial"/>
                <w:color w:val="000000" w:themeColor="text1"/>
                <w:sz w:val="20"/>
                <w:szCs w:val="20"/>
              </w:rPr>
              <w:t>Ostala potraživanja</w:t>
            </w:r>
          </w:p>
        </w:tc>
        <w:tc>
          <w:tcPr>
            <w:tcW w:w="1387" w:type="dxa"/>
            <w:tcBorders>
              <w:top w:val="nil"/>
              <w:left w:val="nil"/>
              <w:bottom w:val="nil"/>
              <w:right w:val="nil"/>
            </w:tcBorders>
            <w:shd w:val="clear" w:color="auto" w:fill="auto"/>
            <w:vAlign w:val="bottom"/>
          </w:tcPr>
          <w:p w14:paraId="54BC1D12" w14:textId="1A32B2EE" w:rsidR="00783D0E" w:rsidRPr="00AE4334" w:rsidRDefault="00783D0E" w:rsidP="00783D0E">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1.929</w:t>
            </w:r>
          </w:p>
        </w:tc>
        <w:tc>
          <w:tcPr>
            <w:tcW w:w="1387" w:type="dxa"/>
            <w:tcBorders>
              <w:top w:val="nil"/>
              <w:left w:val="nil"/>
              <w:bottom w:val="nil"/>
              <w:right w:val="nil"/>
            </w:tcBorders>
            <w:shd w:val="clear" w:color="auto" w:fill="auto"/>
            <w:vAlign w:val="bottom"/>
          </w:tcPr>
          <w:p w14:paraId="4FB42988" w14:textId="17D85A91" w:rsidR="00783D0E" w:rsidRPr="00AE4334" w:rsidRDefault="00783D0E" w:rsidP="00783D0E">
            <w:pPr>
              <w:suppressAutoHyphens/>
              <w:autoSpaceDN w:val="0"/>
              <w:jc w:val="right"/>
              <w:rPr>
                <w:rFonts w:ascii="Arial" w:eastAsia="Times New Roman" w:hAnsi="Arial" w:cs="Arial"/>
                <w:color w:val="000000" w:themeColor="text1"/>
                <w:sz w:val="20"/>
                <w:szCs w:val="20"/>
              </w:rPr>
            </w:pPr>
            <w:r w:rsidRPr="00976504">
              <w:rPr>
                <w:rFonts w:ascii="Arial" w:hAnsi="Arial" w:cs="Arial"/>
                <w:color w:val="000000" w:themeColor="text1"/>
                <w:sz w:val="20"/>
                <w:szCs w:val="20"/>
              </w:rPr>
              <w:t>1.925</w:t>
            </w:r>
          </w:p>
        </w:tc>
        <w:tc>
          <w:tcPr>
            <w:tcW w:w="1387" w:type="dxa"/>
            <w:tcBorders>
              <w:top w:val="nil"/>
              <w:left w:val="nil"/>
              <w:bottom w:val="nil"/>
              <w:right w:val="nil"/>
            </w:tcBorders>
            <w:shd w:val="clear" w:color="auto" w:fill="auto"/>
            <w:vAlign w:val="bottom"/>
          </w:tcPr>
          <w:p w14:paraId="4DAA391F" w14:textId="6083B675" w:rsidR="00783D0E" w:rsidRPr="00AE4334" w:rsidRDefault="00783D0E" w:rsidP="00783D0E">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1.929</w:t>
            </w:r>
          </w:p>
        </w:tc>
        <w:tc>
          <w:tcPr>
            <w:tcW w:w="1387" w:type="dxa"/>
            <w:tcBorders>
              <w:top w:val="nil"/>
              <w:left w:val="nil"/>
              <w:bottom w:val="nil"/>
              <w:right w:val="nil"/>
            </w:tcBorders>
            <w:shd w:val="clear" w:color="auto" w:fill="auto"/>
            <w:vAlign w:val="bottom"/>
          </w:tcPr>
          <w:p w14:paraId="165E37A0" w14:textId="46F92324" w:rsidR="00783D0E" w:rsidRPr="00AE4334" w:rsidRDefault="00783D0E" w:rsidP="00783D0E">
            <w:pPr>
              <w:suppressAutoHyphens/>
              <w:autoSpaceDN w:val="0"/>
              <w:jc w:val="right"/>
              <w:rPr>
                <w:rFonts w:ascii="Arial" w:eastAsia="Times New Roman" w:hAnsi="Arial" w:cs="Arial"/>
                <w:color w:val="000000" w:themeColor="text1"/>
                <w:sz w:val="20"/>
                <w:szCs w:val="20"/>
              </w:rPr>
            </w:pPr>
            <w:r w:rsidRPr="00976504">
              <w:rPr>
                <w:rFonts w:ascii="Arial" w:hAnsi="Arial" w:cs="Arial"/>
                <w:color w:val="000000" w:themeColor="text1"/>
                <w:sz w:val="20"/>
                <w:szCs w:val="20"/>
              </w:rPr>
              <w:t>1.925</w:t>
            </w:r>
          </w:p>
        </w:tc>
      </w:tr>
      <w:tr w:rsidR="00783D0E" w:rsidRPr="00AE4334" w14:paraId="4CDC57C1" w14:textId="77777777" w:rsidTr="00AE4334">
        <w:trPr>
          <w:trHeight w:val="303"/>
        </w:trPr>
        <w:tc>
          <w:tcPr>
            <w:tcW w:w="4111" w:type="dxa"/>
            <w:tcBorders>
              <w:top w:val="nil"/>
              <w:left w:val="nil"/>
              <w:bottom w:val="nil"/>
              <w:right w:val="nil"/>
            </w:tcBorders>
            <w:shd w:val="clear" w:color="auto" w:fill="auto"/>
            <w:noWrap/>
            <w:vAlign w:val="bottom"/>
          </w:tcPr>
          <w:p w14:paraId="28C52848" w14:textId="113A67E4" w:rsidR="00783D0E" w:rsidRPr="00AE4334" w:rsidRDefault="00783D0E" w:rsidP="00783D0E">
            <w:pPr>
              <w:suppressAutoHyphens/>
              <w:autoSpaceDN w:val="0"/>
              <w:rPr>
                <w:rFonts w:ascii="Arial" w:eastAsia="Times New Roman" w:hAnsi="Arial" w:cs="Arial"/>
                <w:color w:val="000000" w:themeColor="text1"/>
                <w:sz w:val="20"/>
                <w:szCs w:val="20"/>
              </w:rPr>
            </w:pPr>
            <w:r w:rsidRPr="00642A9C">
              <w:rPr>
                <w:rFonts w:ascii="Arial" w:eastAsia="Times New Roman" w:hAnsi="Arial" w:cs="Arial"/>
                <w:color w:val="000000" w:themeColor="text1"/>
                <w:sz w:val="20"/>
                <w:szCs w:val="20"/>
              </w:rPr>
              <w:t>Imovina iz ugovora o reosiguranju</w:t>
            </w:r>
          </w:p>
        </w:tc>
        <w:tc>
          <w:tcPr>
            <w:tcW w:w="1387" w:type="dxa"/>
            <w:tcBorders>
              <w:top w:val="nil"/>
              <w:left w:val="nil"/>
              <w:bottom w:val="nil"/>
              <w:right w:val="nil"/>
            </w:tcBorders>
            <w:shd w:val="clear" w:color="auto" w:fill="auto"/>
            <w:vAlign w:val="bottom"/>
          </w:tcPr>
          <w:p w14:paraId="2EA7149E" w14:textId="0BF38C15" w:rsidR="00783D0E" w:rsidRPr="00AE4334" w:rsidRDefault="00783D0E" w:rsidP="00783D0E">
            <w:pPr>
              <w:suppressAutoHyphens/>
              <w:autoSpaceDN w:val="0"/>
              <w:jc w:val="right"/>
              <w:rPr>
                <w:rFonts w:ascii="Arial" w:hAnsi="Arial" w:cs="Arial"/>
                <w:sz w:val="20"/>
                <w:szCs w:val="20"/>
              </w:rPr>
            </w:pPr>
            <w:r>
              <w:rPr>
                <w:rFonts w:ascii="Arial" w:hAnsi="Arial" w:cs="Arial"/>
                <w:sz w:val="20"/>
                <w:szCs w:val="20"/>
              </w:rPr>
              <w:t>812</w:t>
            </w:r>
          </w:p>
        </w:tc>
        <w:tc>
          <w:tcPr>
            <w:tcW w:w="1387" w:type="dxa"/>
            <w:tcBorders>
              <w:top w:val="nil"/>
              <w:left w:val="nil"/>
              <w:bottom w:val="nil"/>
              <w:right w:val="nil"/>
            </w:tcBorders>
            <w:shd w:val="clear" w:color="auto" w:fill="auto"/>
            <w:vAlign w:val="bottom"/>
          </w:tcPr>
          <w:p w14:paraId="5ACECFA8" w14:textId="3A21D07D" w:rsidR="00783D0E" w:rsidRPr="00AE4334" w:rsidRDefault="00783D0E" w:rsidP="00783D0E">
            <w:pPr>
              <w:suppressAutoHyphens/>
              <w:autoSpaceDN w:val="0"/>
              <w:jc w:val="right"/>
              <w:rPr>
                <w:rFonts w:ascii="Arial" w:hAnsi="Arial" w:cs="Arial"/>
                <w:sz w:val="20"/>
                <w:szCs w:val="20"/>
              </w:rPr>
            </w:pPr>
            <w:r>
              <w:rPr>
                <w:rFonts w:ascii="Arial" w:hAnsi="Arial" w:cs="Arial"/>
                <w:sz w:val="20"/>
                <w:szCs w:val="20"/>
              </w:rPr>
              <w:t>733</w:t>
            </w:r>
          </w:p>
        </w:tc>
        <w:tc>
          <w:tcPr>
            <w:tcW w:w="1387" w:type="dxa"/>
            <w:tcBorders>
              <w:top w:val="nil"/>
              <w:left w:val="nil"/>
              <w:bottom w:val="nil"/>
              <w:right w:val="nil"/>
            </w:tcBorders>
            <w:shd w:val="clear" w:color="auto" w:fill="auto"/>
            <w:vAlign w:val="bottom"/>
          </w:tcPr>
          <w:p w14:paraId="4B014D34" w14:textId="69FCE0D5" w:rsidR="00783D0E" w:rsidRPr="00AE4334" w:rsidRDefault="00783D0E" w:rsidP="00783D0E">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1387" w:type="dxa"/>
            <w:tcBorders>
              <w:top w:val="nil"/>
              <w:left w:val="nil"/>
              <w:bottom w:val="nil"/>
              <w:right w:val="nil"/>
            </w:tcBorders>
            <w:shd w:val="clear" w:color="auto" w:fill="auto"/>
            <w:vAlign w:val="bottom"/>
          </w:tcPr>
          <w:p w14:paraId="0BFB9052" w14:textId="2F2429A9" w:rsidR="00783D0E" w:rsidRPr="00AE4334" w:rsidRDefault="00783D0E" w:rsidP="00783D0E">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r>
      <w:tr w:rsidR="00783D0E" w:rsidRPr="00AE4334" w14:paraId="5A6C8094" w14:textId="77777777" w:rsidTr="00AE4334">
        <w:trPr>
          <w:trHeight w:val="340"/>
        </w:trPr>
        <w:tc>
          <w:tcPr>
            <w:tcW w:w="4111" w:type="dxa"/>
            <w:tcBorders>
              <w:top w:val="nil"/>
              <w:left w:val="nil"/>
              <w:bottom w:val="nil"/>
              <w:right w:val="nil"/>
            </w:tcBorders>
            <w:shd w:val="clear" w:color="auto" w:fill="auto"/>
            <w:vAlign w:val="bottom"/>
            <w:hideMark/>
          </w:tcPr>
          <w:p w14:paraId="635261EA" w14:textId="77777777" w:rsidR="00783D0E" w:rsidRPr="00AE4334" w:rsidRDefault="00783D0E" w:rsidP="00783D0E">
            <w:pPr>
              <w:suppressAutoHyphens/>
              <w:autoSpaceDN w:val="0"/>
              <w:rPr>
                <w:rFonts w:ascii="Arial" w:eastAsia="Times New Roman" w:hAnsi="Arial" w:cs="Arial"/>
                <w:color w:val="000000" w:themeColor="text1"/>
                <w:sz w:val="20"/>
                <w:szCs w:val="20"/>
              </w:rPr>
            </w:pPr>
            <w:r w:rsidRPr="00AE4334">
              <w:rPr>
                <w:rFonts w:ascii="Arial" w:eastAsia="Times New Roman" w:hAnsi="Arial" w:cs="Arial"/>
                <w:color w:val="000000" w:themeColor="text1"/>
                <w:sz w:val="20"/>
                <w:szCs w:val="20"/>
              </w:rPr>
              <w:t>Potraživanja po naknadama za procjenu rizika</w:t>
            </w:r>
          </w:p>
        </w:tc>
        <w:tc>
          <w:tcPr>
            <w:tcW w:w="1387" w:type="dxa"/>
            <w:tcBorders>
              <w:top w:val="nil"/>
              <w:left w:val="nil"/>
              <w:bottom w:val="single" w:sz="4" w:space="0" w:color="auto"/>
              <w:right w:val="nil"/>
            </w:tcBorders>
            <w:shd w:val="clear" w:color="auto" w:fill="auto"/>
            <w:vAlign w:val="bottom"/>
          </w:tcPr>
          <w:p w14:paraId="6A83412C" w14:textId="70190D68" w:rsidR="00783D0E" w:rsidRPr="00AE4334" w:rsidRDefault="00783D0E" w:rsidP="00783D0E">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34</w:t>
            </w:r>
          </w:p>
        </w:tc>
        <w:tc>
          <w:tcPr>
            <w:tcW w:w="1387" w:type="dxa"/>
            <w:tcBorders>
              <w:top w:val="nil"/>
              <w:left w:val="nil"/>
              <w:bottom w:val="single" w:sz="4" w:space="0" w:color="auto"/>
              <w:right w:val="nil"/>
            </w:tcBorders>
            <w:shd w:val="clear" w:color="auto" w:fill="auto"/>
            <w:vAlign w:val="bottom"/>
          </w:tcPr>
          <w:p w14:paraId="486815CB" w14:textId="62452C7E" w:rsidR="00783D0E" w:rsidRPr="00AE4334" w:rsidRDefault="00783D0E" w:rsidP="00783D0E">
            <w:pPr>
              <w:suppressAutoHyphens/>
              <w:autoSpaceDN w:val="0"/>
              <w:jc w:val="right"/>
              <w:rPr>
                <w:rFonts w:ascii="Arial" w:eastAsia="Times New Roman" w:hAnsi="Arial" w:cs="Arial"/>
                <w:color w:val="000000" w:themeColor="text1"/>
                <w:sz w:val="20"/>
                <w:szCs w:val="20"/>
              </w:rPr>
            </w:pPr>
            <w:r w:rsidRPr="00AE4334">
              <w:rPr>
                <w:rFonts w:ascii="Arial" w:hAnsi="Arial" w:cs="Arial"/>
                <w:sz w:val="20"/>
                <w:szCs w:val="20"/>
              </w:rPr>
              <w:t xml:space="preserve"> </w:t>
            </w:r>
            <w:r>
              <w:rPr>
                <w:rFonts w:ascii="Arial" w:hAnsi="Arial" w:cs="Arial"/>
                <w:sz w:val="20"/>
                <w:szCs w:val="20"/>
              </w:rPr>
              <w:t>35</w:t>
            </w:r>
            <w:r w:rsidRPr="00AE4334">
              <w:rPr>
                <w:rFonts w:ascii="Arial" w:hAnsi="Arial" w:cs="Arial"/>
                <w:sz w:val="20"/>
                <w:szCs w:val="20"/>
              </w:rPr>
              <w:t xml:space="preserve"> </w:t>
            </w:r>
          </w:p>
        </w:tc>
        <w:tc>
          <w:tcPr>
            <w:tcW w:w="1387" w:type="dxa"/>
            <w:tcBorders>
              <w:top w:val="nil"/>
              <w:left w:val="nil"/>
              <w:bottom w:val="single" w:sz="4" w:space="0" w:color="auto"/>
              <w:right w:val="nil"/>
            </w:tcBorders>
            <w:shd w:val="clear" w:color="auto" w:fill="auto"/>
            <w:vAlign w:val="bottom"/>
          </w:tcPr>
          <w:p w14:paraId="5C18DA4C" w14:textId="254E0ECC" w:rsidR="00783D0E" w:rsidRPr="00AE4334" w:rsidRDefault="00783D0E" w:rsidP="00783D0E">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c>
          <w:tcPr>
            <w:tcW w:w="1387" w:type="dxa"/>
            <w:tcBorders>
              <w:top w:val="nil"/>
              <w:left w:val="nil"/>
              <w:bottom w:val="single" w:sz="4" w:space="0" w:color="auto"/>
              <w:right w:val="nil"/>
            </w:tcBorders>
            <w:shd w:val="clear" w:color="auto" w:fill="auto"/>
            <w:vAlign w:val="bottom"/>
          </w:tcPr>
          <w:p w14:paraId="407B6F60" w14:textId="04CB87AF" w:rsidR="00783D0E" w:rsidRPr="00AE4334" w:rsidRDefault="00783D0E" w:rsidP="00783D0E">
            <w:pPr>
              <w:suppressAutoHyphens/>
              <w:autoSpaceDN w:val="0"/>
              <w:jc w:val="right"/>
              <w:rPr>
                <w:rFonts w:ascii="Arial" w:eastAsia="Times New Roman" w:hAnsi="Arial" w:cs="Arial"/>
                <w:color w:val="000000" w:themeColor="text1"/>
                <w:sz w:val="20"/>
                <w:szCs w:val="20"/>
              </w:rPr>
            </w:pPr>
            <w:r w:rsidRPr="00AE4334">
              <w:rPr>
                <w:rFonts w:ascii="Arial" w:eastAsia="Times New Roman" w:hAnsi="Arial" w:cs="Arial"/>
                <w:color w:val="000000" w:themeColor="text1"/>
                <w:sz w:val="20"/>
                <w:szCs w:val="20"/>
              </w:rPr>
              <w:t>-</w:t>
            </w:r>
          </w:p>
        </w:tc>
      </w:tr>
      <w:tr w:rsidR="00783D0E" w:rsidRPr="00AE4334" w14:paraId="14E521EB" w14:textId="77777777" w:rsidTr="00AE4334">
        <w:trPr>
          <w:trHeight w:val="340"/>
        </w:trPr>
        <w:tc>
          <w:tcPr>
            <w:tcW w:w="4111" w:type="dxa"/>
            <w:tcBorders>
              <w:top w:val="nil"/>
              <w:left w:val="nil"/>
              <w:bottom w:val="nil"/>
              <w:right w:val="nil"/>
            </w:tcBorders>
            <w:shd w:val="clear" w:color="auto" w:fill="auto"/>
            <w:vAlign w:val="bottom"/>
          </w:tcPr>
          <w:p w14:paraId="0F8D8B48" w14:textId="77777777" w:rsidR="00783D0E" w:rsidRPr="00AE4334" w:rsidRDefault="00783D0E" w:rsidP="00783D0E">
            <w:pPr>
              <w:suppressAutoHyphens/>
              <w:autoSpaceDN w:val="0"/>
              <w:rPr>
                <w:rFonts w:ascii="Arial" w:eastAsia="Times New Roman" w:hAnsi="Arial" w:cs="Arial"/>
                <w:color w:val="000000" w:themeColor="text1"/>
                <w:sz w:val="20"/>
                <w:szCs w:val="20"/>
              </w:rPr>
            </w:pPr>
          </w:p>
        </w:tc>
        <w:tc>
          <w:tcPr>
            <w:tcW w:w="1387" w:type="dxa"/>
            <w:tcBorders>
              <w:top w:val="nil"/>
              <w:left w:val="nil"/>
              <w:bottom w:val="single" w:sz="4" w:space="0" w:color="auto"/>
              <w:right w:val="nil"/>
            </w:tcBorders>
            <w:shd w:val="clear" w:color="auto" w:fill="auto"/>
            <w:vAlign w:val="bottom"/>
          </w:tcPr>
          <w:p w14:paraId="4424F0A5" w14:textId="1CFA0C7A" w:rsidR="00783D0E" w:rsidRPr="00AE4334" w:rsidRDefault="00783D0E" w:rsidP="00783D0E">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6.313</w:t>
            </w:r>
          </w:p>
        </w:tc>
        <w:tc>
          <w:tcPr>
            <w:tcW w:w="1387" w:type="dxa"/>
            <w:tcBorders>
              <w:top w:val="nil"/>
              <w:left w:val="nil"/>
              <w:bottom w:val="single" w:sz="4" w:space="0" w:color="auto"/>
              <w:right w:val="nil"/>
            </w:tcBorders>
            <w:shd w:val="clear" w:color="auto" w:fill="auto"/>
            <w:vAlign w:val="bottom"/>
          </w:tcPr>
          <w:p w14:paraId="5830B937" w14:textId="01048F33" w:rsidR="00783D0E" w:rsidRPr="00AE4334" w:rsidRDefault="00783D0E" w:rsidP="00783D0E">
            <w:pPr>
              <w:suppressAutoHyphens/>
              <w:autoSpaceDN w:val="0"/>
              <w:jc w:val="right"/>
              <w:rPr>
                <w:rFonts w:ascii="Arial" w:eastAsia="Times New Roman" w:hAnsi="Arial" w:cs="Arial"/>
                <w:color w:val="000000" w:themeColor="text1"/>
                <w:sz w:val="20"/>
                <w:szCs w:val="20"/>
              </w:rPr>
            </w:pPr>
            <w:r>
              <w:rPr>
                <w:rFonts w:ascii="Arial" w:hAnsi="Arial" w:cs="Arial"/>
                <w:sz w:val="20"/>
                <w:szCs w:val="20"/>
              </w:rPr>
              <w:t>6.233</w:t>
            </w:r>
            <w:r w:rsidRPr="00AE4334">
              <w:rPr>
                <w:rFonts w:ascii="Arial" w:hAnsi="Arial" w:cs="Arial"/>
                <w:sz w:val="20"/>
                <w:szCs w:val="20"/>
              </w:rPr>
              <w:t xml:space="preserve"> </w:t>
            </w:r>
          </w:p>
        </w:tc>
        <w:tc>
          <w:tcPr>
            <w:tcW w:w="1387" w:type="dxa"/>
            <w:tcBorders>
              <w:top w:val="nil"/>
              <w:left w:val="nil"/>
              <w:bottom w:val="single" w:sz="4" w:space="0" w:color="auto"/>
              <w:right w:val="nil"/>
            </w:tcBorders>
            <w:shd w:val="clear" w:color="auto" w:fill="auto"/>
            <w:vAlign w:val="bottom"/>
          </w:tcPr>
          <w:p w14:paraId="603E5390" w14:textId="57C604DE" w:rsidR="00783D0E" w:rsidRPr="00AE4334" w:rsidRDefault="00783D0E" w:rsidP="00783D0E">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5.467</w:t>
            </w:r>
          </w:p>
        </w:tc>
        <w:tc>
          <w:tcPr>
            <w:tcW w:w="1387" w:type="dxa"/>
            <w:tcBorders>
              <w:top w:val="nil"/>
              <w:left w:val="nil"/>
              <w:bottom w:val="single" w:sz="4" w:space="0" w:color="auto"/>
              <w:right w:val="nil"/>
            </w:tcBorders>
            <w:shd w:val="clear" w:color="auto" w:fill="auto"/>
            <w:vAlign w:val="bottom"/>
          </w:tcPr>
          <w:p w14:paraId="52189A52" w14:textId="664B5924" w:rsidR="00783D0E" w:rsidRPr="00AE4334" w:rsidRDefault="00783D0E" w:rsidP="00783D0E">
            <w:pPr>
              <w:suppressAutoHyphens/>
              <w:autoSpaceDN w:val="0"/>
              <w:jc w:val="right"/>
              <w:rPr>
                <w:rFonts w:ascii="Arial" w:eastAsia="Times New Roman" w:hAnsi="Arial" w:cs="Arial"/>
                <w:color w:val="000000" w:themeColor="text1"/>
                <w:sz w:val="20"/>
                <w:szCs w:val="20"/>
              </w:rPr>
            </w:pPr>
            <w:r w:rsidRPr="00AE4334">
              <w:rPr>
                <w:rFonts w:ascii="Arial" w:hAnsi="Arial" w:cs="Arial"/>
                <w:sz w:val="20"/>
                <w:szCs w:val="20"/>
              </w:rPr>
              <w:t xml:space="preserve"> 5.</w:t>
            </w:r>
            <w:r>
              <w:rPr>
                <w:rFonts w:ascii="Arial" w:hAnsi="Arial" w:cs="Arial"/>
                <w:sz w:val="20"/>
                <w:szCs w:val="20"/>
              </w:rPr>
              <w:t>465</w:t>
            </w:r>
            <w:r w:rsidRPr="00AE4334">
              <w:rPr>
                <w:rFonts w:ascii="Arial" w:hAnsi="Arial" w:cs="Arial"/>
                <w:sz w:val="20"/>
                <w:szCs w:val="20"/>
              </w:rPr>
              <w:t xml:space="preserve"> </w:t>
            </w:r>
          </w:p>
        </w:tc>
      </w:tr>
      <w:tr w:rsidR="00783D0E" w:rsidRPr="00AE4334" w14:paraId="39B50E4D" w14:textId="77777777" w:rsidTr="00AE4334">
        <w:trPr>
          <w:trHeight w:val="340"/>
        </w:trPr>
        <w:tc>
          <w:tcPr>
            <w:tcW w:w="4111" w:type="dxa"/>
            <w:tcBorders>
              <w:top w:val="nil"/>
              <w:left w:val="nil"/>
              <w:bottom w:val="nil"/>
              <w:right w:val="nil"/>
            </w:tcBorders>
            <w:shd w:val="clear" w:color="auto" w:fill="auto"/>
            <w:vAlign w:val="bottom"/>
          </w:tcPr>
          <w:p w14:paraId="3552FDF4" w14:textId="77777777" w:rsidR="00783D0E" w:rsidRPr="00AE4334" w:rsidRDefault="00783D0E" w:rsidP="00783D0E">
            <w:pPr>
              <w:suppressAutoHyphens/>
              <w:autoSpaceDN w:val="0"/>
              <w:rPr>
                <w:rFonts w:ascii="Arial" w:eastAsia="Times New Roman" w:hAnsi="Arial" w:cs="Arial"/>
                <w:color w:val="000000" w:themeColor="text1"/>
                <w:sz w:val="20"/>
                <w:szCs w:val="20"/>
              </w:rPr>
            </w:pPr>
            <w:r w:rsidRPr="00AE4334">
              <w:rPr>
                <w:rFonts w:ascii="Arial" w:eastAsia="Times New Roman" w:hAnsi="Arial" w:cs="Arial"/>
                <w:color w:val="000000" w:themeColor="text1"/>
                <w:sz w:val="20"/>
                <w:szCs w:val="20"/>
              </w:rPr>
              <w:t>Rezerviranja za očekivane gubitke</w:t>
            </w:r>
          </w:p>
        </w:tc>
        <w:tc>
          <w:tcPr>
            <w:tcW w:w="1387" w:type="dxa"/>
            <w:tcBorders>
              <w:top w:val="single" w:sz="4" w:space="0" w:color="auto"/>
              <w:left w:val="nil"/>
              <w:bottom w:val="nil"/>
              <w:right w:val="nil"/>
            </w:tcBorders>
            <w:shd w:val="clear" w:color="auto" w:fill="auto"/>
            <w:vAlign w:val="bottom"/>
          </w:tcPr>
          <w:p w14:paraId="4BE53B5A" w14:textId="1B40E9B0" w:rsidR="00783D0E" w:rsidRPr="00AE4334" w:rsidRDefault="00783D0E" w:rsidP="00783D0E">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(4.314)</w:t>
            </w:r>
          </w:p>
        </w:tc>
        <w:tc>
          <w:tcPr>
            <w:tcW w:w="1387" w:type="dxa"/>
            <w:tcBorders>
              <w:top w:val="single" w:sz="4" w:space="0" w:color="auto"/>
              <w:left w:val="nil"/>
              <w:bottom w:val="nil"/>
              <w:right w:val="nil"/>
            </w:tcBorders>
            <w:shd w:val="clear" w:color="auto" w:fill="auto"/>
            <w:vAlign w:val="bottom"/>
          </w:tcPr>
          <w:p w14:paraId="3422D100" w14:textId="580ECDE0" w:rsidR="00783D0E" w:rsidRPr="00AE4334" w:rsidRDefault="00783D0E" w:rsidP="00783D0E">
            <w:pPr>
              <w:suppressAutoHyphens/>
              <w:autoSpaceDN w:val="0"/>
              <w:jc w:val="right"/>
              <w:rPr>
                <w:rFonts w:ascii="Arial" w:eastAsia="Times New Roman" w:hAnsi="Arial" w:cs="Arial"/>
                <w:color w:val="000000" w:themeColor="text1"/>
                <w:sz w:val="20"/>
                <w:szCs w:val="20"/>
              </w:rPr>
            </w:pPr>
            <w:r w:rsidRPr="00AE4334">
              <w:rPr>
                <w:rFonts w:ascii="Arial" w:hAnsi="Arial" w:cs="Arial"/>
                <w:sz w:val="20"/>
                <w:szCs w:val="20"/>
              </w:rPr>
              <w:t xml:space="preserve"> (4.</w:t>
            </w:r>
            <w:r>
              <w:rPr>
                <w:rFonts w:ascii="Arial" w:hAnsi="Arial" w:cs="Arial"/>
                <w:sz w:val="20"/>
                <w:szCs w:val="20"/>
              </w:rPr>
              <w:t>393</w:t>
            </w:r>
            <w:r w:rsidRPr="00AE4334">
              <w:rPr>
                <w:rFonts w:ascii="Arial" w:hAnsi="Arial" w:cs="Arial"/>
                <w:sz w:val="20"/>
                <w:szCs w:val="20"/>
              </w:rPr>
              <w:t>)</w:t>
            </w:r>
          </w:p>
        </w:tc>
        <w:tc>
          <w:tcPr>
            <w:tcW w:w="1387" w:type="dxa"/>
            <w:tcBorders>
              <w:top w:val="single" w:sz="4" w:space="0" w:color="auto"/>
              <w:left w:val="nil"/>
              <w:bottom w:val="nil"/>
              <w:right w:val="nil"/>
            </w:tcBorders>
            <w:shd w:val="clear" w:color="auto" w:fill="auto"/>
            <w:vAlign w:val="bottom"/>
          </w:tcPr>
          <w:p w14:paraId="36B8B6A8" w14:textId="5EFBDE84" w:rsidR="00783D0E" w:rsidRPr="00AE4334" w:rsidRDefault="00783D0E" w:rsidP="00783D0E">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(4.305)</w:t>
            </w:r>
          </w:p>
        </w:tc>
        <w:tc>
          <w:tcPr>
            <w:tcW w:w="1387" w:type="dxa"/>
            <w:tcBorders>
              <w:top w:val="single" w:sz="4" w:space="0" w:color="auto"/>
              <w:left w:val="nil"/>
              <w:bottom w:val="nil"/>
              <w:right w:val="nil"/>
            </w:tcBorders>
            <w:shd w:val="clear" w:color="auto" w:fill="auto"/>
            <w:vAlign w:val="bottom"/>
          </w:tcPr>
          <w:p w14:paraId="674413B6" w14:textId="6FA0000D" w:rsidR="00783D0E" w:rsidRPr="00AE4334" w:rsidRDefault="00783D0E" w:rsidP="00783D0E">
            <w:pPr>
              <w:suppressAutoHyphens/>
              <w:autoSpaceDN w:val="0"/>
              <w:jc w:val="right"/>
              <w:rPr>
                <w:rFonts w:ascii="Arial" w:eastAsia="Times New Roman" w:hAnsi="Arial" w:cs="Arial"/>
                <w:color w:val="000000" w:themeColor="text1"/>
                <w:sz w:val="20"/>
                <w:szCs w:val="20"/>
              </w:rPr>
            </w:pPr>
            <w:r w:rsidRPr="00AE4334">
              <w:rPr>
                <w:rFonts w:ascii="Arial" w:hAnsi="Arial" w:cs="Arial"/>
                <w:sz w:val="20"/>
                <w:szCs w:val="20"/>
              </w:rPr>
              <w:t xml:space="preserve"> (4.</w:t>
            </w:r>
            <w:r>
              <w:rPr>
                <w:rFonts w:ascii="Arial" w:hAnsi="Arial" w:cs="Arial"/>
                <w:sz w:val="20"/>
                <w:szCs w:val="20"/>
              </w:rPr>
              <w:t>385</w:t>
            </w:r>
            <w:r w:rsidRPr="00AE4334">
              <w:rPr>
                <w:rFonts w:ascii="Arial" w:hAnsi="Arial" w:cs="Arial"/>
                <w:sz w:val="20"/>
                <w:szCs w:val="20"/>
              </w:rPr>
              <w:t>)</w:t>
            </w:r>
          </w:p>
        </w:tc>
      </w:tr>
      <w:tr w:rsidR="00783D0E" w:rsidRPr="00AE4334" w14:paraId="4CF50F8D" w14:textId="77777777" w:rsidTr="00AE4334">
        <w:trPr>
          <w:trHeight w:val="279"/>
        </w:trPr>
        <w:tc>
          <w:tcPr>
            <w:tcW w:w="4111" w:type="dxa"/>
            <w:tcBorders>
              <w:top w:val="nil"/>
              <w:left w:val="nil"/>
              <w:bottom w:val="nil"/>
              <w:right w:val="nil"/>
            </w:tcBorders>
            <w:shd w:val="clear" w:color="auto" w:fill="auto"/>
            <w:vAlign w:val="bottom"/>
            <w:hideMark/>
          </w:tcPr>
          <w:p w14:paraId="71F26A00" w14:textId="77777777" w:rsidR="00783D0E" w:rsidRPr="00AE4334" w:rsidRDefault="00783D0E" w:rsidP="00783D0E">
            <w:pPr>
              <w:suppressAutoHyphens/>
              <w:autoSpaceDN w:val="0"/>
              <w:rPr>
                <w:rFonts w:ascii="Arial" w:eastAsia="Times New Roman" w:hAnsi="Arial" w:cs="Arial"/>
                <w:b/>
                <w:bCs/>
                <w:color w:val="000000" w:themeColor="text1"/>
                <w:sz w:val="20"/>
                <w:szCs w:val="20"/>
              </w:rPr>
            </w:pPr>
            <w:r w:rsidRPr="00AE4334">
              <w:rPr>
                <w:rFonts w:ascii="Arial" w:eastAsia="Times New Roman" w:hAnsi="Arial" w:cs="Arial"/>
                <w:b/>
                <w:bCs/>
                <w:color w:val="000000" w:themeColor="text1"/>
                <w:sz w:val="20"/>
                <w:szCs w:val="20"/>
              </w:rPr>
              <w:t>Imovina koja je izložena kreditnom riziku</w:t>
            </w:r>
          </w:p>
        </w:tc>
        <w:tc>
          <w:tcPr>
            <w:tcW w:w="1387" w:type="dxa"/>
            <w:tcBorders>
              <w:top w:val="single" w:sz="4" w:space="0" w:color="auto"/>
              <w:left w:val="nil"/>
              <w:bottom w:val="single" w:sz="12" w:space="0" w:color="auto"/>
              <w:right w:val="nil"/>
            </w:tcBorders>
            <w:shd w:val="clear" w:color="auto" w:fill="auto"/>
            <w:vAlign w:val="bottom"/>
          </w:tcPr>
          <w:p w14:paraId="7BD96D85" w14:textId="61B6FAE5" w:rsidR="00783D0E" w:rsidRPr="00AE4334" w:rsidRDefault="00783D0E" w:rsidP="00783D0E">
            <w:pPr>
              <w:suppressAutoHyphens/>
              <w:autoSpaceDN w:val="0"/>
              <w:jc w:val="right"/>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1.999</w:t>
            </w:r>
          </w:p>
        </w:tc>
        <w:tc>
          <w:tcPr>
            <w:tcW w:w="1387" w:type="dxa"/>
            <w:tcBorders>
              <w:top w:val="single" w:sz="4" w:space="0" w:color="auto"/>
              <w:left w:val="nil"/>
              <w:bottom w:val="single" w:sz="12" w:space="0" w:color="auto"/>
              <w:right w:val="nil"/>
            </w:tcBorders>
            <w:shd w:val="clear" w:color="auto" w:fill="auto"/>
            <w:vAlign w:val="bottom"/>
          </w:tcPr>
          <w:p w14:paraId="5F4B7A54" w14:textId="352D2E82" w:rsidR="00783D0E" w:rsidRPr="00AE4334" w:rsidRDefault="00783D0E" w:rsidP="00783D0E">
            <w:pPr>
              <w:suppressAutoHyphens/>
              <w:autoSpaceDN w:val="0"/>
              <w:jc w:val="right"/>
              <w:rPr>
                <w:rFonts w:ascii="Arial" w:eastAsia="Times New Roman" w:hAnsi="Arial" w:cs="Arial"/>
                <w:b/>
                <w:bCs/>
                <w:color w:val="000000" w:themeColor="text1"/>
                <w:sz w:val="20"/>
                <w:szCs w:val="20"/>
              </w:rPr>
            </w:pPr>
            <w:r w:rsidRPr="00AE4334">
              <w:rPr>
                <w:rFonts w:ascii="Arial" w:hAnsi="Arial" w:cs="Arial"/>
                <w:b/>
                <w:bCs/>
                <w:sz w:val="20"/>
                <w:szCs w:val="20"/>
              </w:rPr>
              <w:t xml:space="preserve"> 1.</w:t>
            </w:r>
            <w:r>
              <w:rPr>
                <w:rFonts w:ascii="Arial" w:hAnsi="Arial" w:cs="Arial"/>
                <w:b/>
                <w:bCs/>
                <w:sz w:val="20"/>
                <w:szCs w:val="20"/>
              </w:rPr>
              <w:t>840</w:t>
            </w:r>
          </w:p>
        </w:tc>
        <w:tc>
          <w:tcPr>
            <w:tcW w:w="1387" w:type="dxa"/>
            <w:tcBorders>
              <w:top w:val="single" w:sz="4" w:space="0" w:color="auto"/>
              <w:left w:val="nil"/>
              <w:bottom w:val="single" w:sz="12" w:space="0" w:color="auto"/>
              <w:right w:val="nil"/>
            </w:tcBorders>
            <w:shd w:val="clear" w:color="auto" w:fill="auto"/>
            <w:vAlign w:val="bottom"/>
          </w:tcPr>
          <w:p w14:paraId="6DA0E1D2" w14:textId="205D7355" w:rsidR="00783D0E" w:rsidRPr="00AE4334" w:rsidRDefault="00783D0E" w:rsidP="00783D0E">
            <w:pPr>
              <w:suppressAutoHyphens/>
              <w:autoSpaceDN w:val="0"/>
              <w:jc w:val="right"/>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1.162</w:t>
            </w:r>
          </w:p>
        </w:tc>
        <w:tc>
          <w:tcPr>
            <w:tcW w:w="1387" w:type="dxa"/>
            <w:tcBorders>
              <w:top w:val="single" w:sz="4" w:space="0" w:color="auto"/>
              <w:left w:val="nil"/>
              <w:bottom w:val="single" w:sz="12" w:space="0" w:color="auto"/>
              <w:right w:val="nil"/>
            </w:tcBorders>
            <w:shd w:val="clear" w:color="auto" w:fill="auto"/>
            <w:vAlign w:val="bottom"/>
          </w:tcPr>
          <w:p w14:paraId="5004386A" w14:textId="5B30735C" w:rsidR="00783D0E" w:rsidRPr="00AE4334" w:rsidRDefault="00783D0E" w:rsidP="00783D0E">
            <w:pPr>
              <w:suppressAutoHyphens/>
              <w:autoSpaceDN w:val="0"/>
              <w:jc w:val="right"/>
              <w:rPr>
                <w:rFonts w:ascii="Arial" w:eastAsia="Times New Roman" w:hAnsi="Arial" w:cs="Arial"/>
                <w:b/>
                <w:bCs/>
                <w:color w:val="000000" w:themeColor="text1"/>
                <w:sz w:val="20"/>
                <w:szCs w:val="20"/>
              </w:rPr>
            </w:pPr>
            <w:r>
              <w:rPr>
                <w:rFonts w:ascii="Arial" w:hAnsi="Arial" w:cs="Arial"/>
                <w:b/>
                <w:bCs/>
                <w:sz w:val="20"/>
                <w:szCs w:val="20"/>
              </w:rPr>
              <w:t>1.080</w:t>
            </w:r>
            <w:r w:rsidRPr="00AE4334">
              <w:rPr>
                <w:rFonts w:ascii="Arial" w:hAnsi="Arial" w:cs="Arial"/>
                <w:b/>
                <w:bCs/>
                <w:sz w:val="20"/>
                <w:szCs w:val="20"/>
              </w:rPr>
              <w:t xml:space="preserve"> </w:t>
            </w:r>
          </w:p>
        </w:tc>
      </w:tr>
    </w:tbl>
    <w:p w14:paraId="70627447"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p w14:paraId="0C13C2C1"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Promjene na rezerviranjima za očekivane gubitke po ostaloj imovini mogu se prikazati:</w:t>
      </w:r>
    </w:p>
    <w:p w14:paraId="6D231C6F"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tbl>
      <w:tblPr>
        <w:tblW w:w="5327" w:type="pct"/>
        <w:tblInd w:w="-142" w:type="dxa"/>
        <w:tblLayout w:type="fixed"/>
        <w:tblLook w:val="04A0" w:firstRow="1" w:lastRow="0" w:firstColumn="1" w:lastColumn="0" w:noHBand="0" w:noVBand="1"/>
      </w:tblPr>
      <w:tblGrid>
        <w:gridCol w:w="4109"/>
        <w:gridCol w:w="1389"/>
        <w:gridCol w:w="1389"/>
        <w:gridCol w:w="1389"/>
        <w:gridCol w:w="1389"/>
      </w:tblGrid>
      <w:tr w:rsidR="00C81475" w:rsidRPr="009D1920" w14:paraId="7B8ACBDD" w14:textId="77777777" w:rsidTr="009D1920">
        <w:trPr>
          <w:trHeight w:val="247"/>
        </w:trPr>
        <w:tc>
          <w:tcPr>
            <w:tcW w:w="4109" w:type="dxa"/>
            <w:tcBorders>
              <w:top w:val="nil"/>
              <w:left w:val="nil"/>
              <w:bottom w:val="nil"/>
              <w:right w:val="nil"/>
            </w:tcBorders>
            <w:shd w:val="clear" w:color="auto" w:fill="auto"/>
            <w:noWrap/>
            <w:vAlign w:val="bottom"/>
            <w:hideMark/>
          </w:tcPr>
          <w:p w14:paraId="7706C29C" w14:textId="77777777" w:rsidR="00C81475" w:rsidRPr="009D1920" w:rsidRDefault="00C81475" w:rsidP="00C81475">
            <w:pPr>
              <w:suppressAutoHyphens/>
              <w:autoSpaceDN w:val="0"/>
              <w:rPr>
                <w:rFonts w:ascii="Arial" w:eastAsia="Calibri" w:hAnsi="Arial" w:cs="Arial"/>
                <w:color w:val="000000" w:themeColor="text1"/>
                <w:sz w:val="20"/>
                <w:szCs w:val="20"/>
              </w:rPr>
            </w:pPr>
          </w:p>
        </w:tc>
        <w:tc>
          <w:tcPr>
            <w:tcW w:w="2778" w:type="dxa"/>
            <w:gridSpan w:val="2"/>
            <w:tcBorders>
              <w:top w:val="nil"/>
              <w:left w:val="nil"/>
              <w:bottom w:val="nil"/>
              <w:right w:val="nil"/>
            </w:tcBorders>
            <w:shd w:val="clear" w:color="auto" w:fill="auto"/>
            <w:vAlign w:val="bottom"/>
            <w:hideMark/>
          </w:tcPr>
          <w:p w14:paraId="5964D747" w14:textId="77777777" w:rsidR="00C81475" w:rsidRPr="009D1920" w:rsidRDefault="00C81475" w:rsidP="00C81475">
            <w:pPr>
              <w:suppressAutoHyphens/>
              <w:autoSpaceDN w:val="0"/>
              <w:jc w:val="right"/>
              <w:rPr>
                <w:rFonts w:ascii="Arial" w:eastAsia="Calibri" w:hAnsi="Arial" w:cs="Arial"/>
                <w:b/>
                <w:bCs/>
                <w:color w:val="000000" w:themeColor="text1"/>
                <w:sz w:val="20"/>
                <w:szCs w:val="20"/>
              </w:rPr>
            </w:pPr>
            <w:r w:rsidRPr="009D1920">
              <w:rPr>
                <w:rFonts w:ascii="Arial" w:eastAsia="Calibri" w:hAnsi="Arial" w:cs="Arial"/>
                <w:b/>
                <w:bCs/>
                <w:color w:val="000000" w:themeColor="text1"/>
                <w:sz w:val="20"/>
                <w:szCs w:val="20"/>
              </w:rPr>
              <w:t>Grupa</w:t>
            </w:r>
          </w:p>
        </w:tc>
        <w:tc>
          <w:tcPr>
            <w:tcW w:w="2778" w:type="dxa"/>
            <w:gridSpan w:val="2"/>
            <w:tcBorders>
              <w:top w:val="nil"/>
              <w:left w:val="nil"/>
              <w:bottom w:val="nil"/>
              <w:right w:val="nil"/>
            </w:tcBorders>
            <w:shd w:val="clear" w:color="auto" w:fill="auto"/>
            <w:vAlign w:val="bottom"/>
            <w:hideMark/>
          </w:tcPr>
          <w:p w14:paraId="0CA39B55" w14:textId="77777777" w:rsidR="00C81475" w:rsidRPr="009D1920" w:rsidRDefault="00C81475" w:rsidP="00C81475">
            <w:pPr>
              <w:suppressAutoHyphens/>
              <w:autoSpaceDN w:val="0"/>
              <w:jc w:val="right"/>
              <w:rPr>
                <w:rFonts w:ascii="Arial" w:eastAsia="Calibri" w:hAnsi="Arial" w:cs="Arial"/>
                <w:b/>
                <w:bCs/>
                <w:color w:val="000000" w:themeColor="text1"/>
                <w:sz w:val="20"/>
                <w:szCs w:val="20"/>
              </w:rPr>
            </w:pPr>
            <w:r w:rsidRPr="009D1920">
              <w:rPr>
                <w:rFonts w:ascii="Arial" w:eastAsia="Calibri" w:hAnsi="Arial" w:cs="Arial"/>
                <w:b/>
                <w:bCs/>
                <w:color w:val="000000" w:themeColor="text1"/>
                <w:sz w:val="20"/>
                <w:szCs w:val="20"/>
              </w:rPr>
              <w:t>Banka</w:t>
            </w:r>
          </w:p>
        </w:tc>
      </w:tr>
      <w:tr w:rsidR="00C81475" w:rsidRPr="009D1920" w14:paraId="12131DFD" w14:textId="77777777" w:rsidTr="009D1920">
        <w:trPr>
          <w:trHeight w:val="247"/>
        </w:trPr>
        <w:tc>
          <w:tcPr>
            <w:tcW w:w="4109" w:type="dxa"/>
            <w:tcBorders>
              <w:top w:val="nil"/>
              <w:left w:val="nil"/>
              <w:bottom w:val="nil"/>
              <w:right w:val="nil"/>
            </w:tcBorders>
            <w:shd w:val="clear" w:color="auto" w:fill="auto"/>
            <w:noWrap/>
            <w:vAlign w:val="bottom"/>
          </w:tcPr>
          <w:p w14:paraId="16BBE223" w14:textId="77777777" w:rsidR="00C81475" w:rsidRPr="009D1920" w:rsidRDefault="00C81475" w:rsidP="00C81475">
            <w:pPr>
              <w:suppressAutoHyphens/>
              <w:autoSpaceDN w:val="0"/>
              <w:rPr>
                <w:rFonts w:ascii="Arial" w:eastAsia="Calibri" w:hAnsi="Arial" w:cs="Arial"/>
                <w:color w:val="000000" w:themeColor="text1"/>
                <w:sz w:val="20"/>
                <w:szCs w:val="20"/>
              </w:rPr>
            </w:pPr>
          </w:p>
        </w:tc>
        <w:tc>
          <w:tcPr>
            <w:tcW w:w="1389" w:type="dxa"/>
            <w:vAlign w:val="bottom"/>
          </w:tcPr>
          <w:p w14:paraId="40DF0E24" w14:textId="5F53F8AC" w:rsidR="00C81475" w:rsidRPr="009D1920" w:rsidRDefault="00C81475" w:rsidP="00C81475">
            <w:pPr>
              <w:tabs>
                <w:tab w:val="right" w:pos="1202"/>
              </w:tabs>
              <w:suppressAutoHyphens/>
              <w:autoSpaceDN w:val="0"/>
              <w:jc w:val="right"/>
              <w:outlineLvl w:val="0"/>
              <w:rPr>
                <w:rFonts w:ascii="Arial" w:eastAsia="Times New Roman" w:hAnsi="Arial" w:cs="Arial"/>
                <w:b/>
                <w:color w:val="000000" w:themeColor="text1"/>
                <w:sz w:val="20"/>
                <w:szCs w:val="20"/>
              </w:rPr>
            </w:pPr>
            <w:bookmarkStart w:id="440" w:name="_Toc67328685"/>
            <w:r w:rsidRPr="009D1920">
              <w:rPr>
                <w:rFonts w:ascii="Arial" w:eastAsia="Times New Roman" w:hAnsi="Arial" w:cs="Arial"/>
                <w:b/>
                <w:color w:val="000000" w:themeColor="text1"/>
                <w:sz w:val="20"/>
                <w:szCs w:val="20"/>
              </w:rPr>
              <w:t>1.1.-31.3.</w:t>
            </w:r>
            <w:bookmarkEnd w:id="440"/>
          </w:p>
          <w:p w14:paraId="482E421C" w14:textId="03506E2F" w:rsidR="00C81475" w:rsidRPr="009D1920" w:rsidRDefault="00C81475" w:rsidP="00C81475">
            <w:pPr>
              <w:tabs>
                <w:tab w:val="right" w:pos="1202"/>
              </w:tabs>
              <w:suppressAutoHyphens/>
              <w:autoSpaceDN w:val="0"/>
              <w:jc w:val="right"/>
              <w:outlineLvl w:val="0"/>
              <w:rPr>
                <w:rFonts w:ascii="Arial" w:eastAsia="Times New Roman" w:hAnsi="Arial" w:cs="Arial"/>
                <w:b/>
                <w:color w:val="000000" w:themeColor="text1"/>
                <w:sz w:val="20"/>
                <w:szCs w:val="20"/>
              </w:rPr>
            </w:pPr>
            <w:bookmarkStart w:id="441" w:name="_Toc67328686"/>
            <w:r w:rsidRPr="009D1920">
              <w:rPr>
                <w:rFonts w:ascii="Arial" w:eastAsia="Times New Roman" w:hAnsi="Arial" w:cs="Arial"/>
                <w:b/>
                <w:color w:val="000000" w:themeColor="text1"/>
                <w:sz w:val="20"/>
                <w:szCs w:val="20"/>
              </w:rPr>
              <w:t>202</w:t>
            </w:r>
            <w:r w:rsidR="000A0C91">
              <w:rPr>
                <w:rFonts w:ascii="Arial" w:eastAsia="Times New Roman" w:hAnsi="Arial" w:cs="Arial"/>
                <w:b/>
                <w:color w:val="000000" w:themeColor="text1"/>
                <w:sz w:val="20"/>
                <w:szCs w:val="20"/>
              </w:rPr>
              <w:t>4</w:t>
            </w:r>
            <w:r w:rsidRPr="009D1920">
              <w:rPr>
                <w:rFonts w:ascii="Arial" w:eastAsia="Times New Roman" w:hAnsi="Arial" w:cs="Arial"/>
                <w:b/>
                <w:color w:val="000000" w:themeColor="text1"/>
                <w:sz w:val="20"/>
                <w:szCs w:val="20"/>
              </w:rPr>
              <w:t>.</w:t>
            </w:r>
            <w:bookmarkEnd w:id="441"/>
          </w:p>
        </w:tc>
        <w:tc>
          <w:tcPr>
            <w:tcW w:w="1389" w:type="dxa"/>
            <w:vAlign w:val="bottom"/>
          </w:tcPr>
          <w:p w14:paraId="31AB0D81" w14:textId="77777777" w:rsidR="00C81475" w:rsidRPr="009D1920" w:rsidRDefault="00C81475" w:rsidP="00C81475">
            <w:pPr>
              <w:tabs>
                <w:tab w:val="right" w:pos="1202"/>
              </w:tabs>
              <w:suppressAutoHyphens/>
              <w:autoSpaceDN w:val="0"/>
              <w:jc w:val="right"/>
              <w:outlineLvl w:val="0"/>
              <w:rPr>
                <w:rFonts w:ascii="Arial" w:eastAsia="Times New Roman" w:hAnsi="Arial" w:cs="Arial"/>
                <w:b/>
                <w:color w:val="000000" w:themeColor="text1"/>
                <w:sz w:val="20"/>
                <w:szCs w:val="20"/>
              </w:rPr>
            </w:pPr>
            <w:bookmarkStart w:id="442" w:name="_Toc67328687"/>
            <w:r w:rsidRPr="009D1920">
              <w:rPr>
                <w:rFonts w:ascii="Arial" w:eastAsia="Times New Roman" w:hAnsi="Arial" w:cs="Arial"/>
                <w:b/>
                <w:color w:val="000000" w:themeColor="text1"/>
                <w:sz w:val="20"/>
                <w:szCs w:val="20"/>
              </w:rPr>
              <w:t>1.1.-31.12.</w:t>
            </w:r>
            <w:bookmarkEnd w:id="442"/>
          </w:p>
          <w:p w14:paraId="0A31E5D5" w14:textId="2134A0A6" w:rsidR="00C81475" w:rsidRPr="009D1920" w:rsidRDefault="00C81475" w:rsidP="00C81475">
            <w:pPr>
              <w:tabs>
                <w:tab w:val="right" w:pos="1202"/>
              </w:tabs>
              <w:suppressAutoHyphens/>
              <w:autoSpaceDN w:val="0"/>
              <w:jc w:val="right"/>
              <w:outlineLvl w:val="0"/>
              <w:rPr>
                <w:rFonts w:ascii="Arial" w:eastAsia="Times New Roman" w:hAnsi="Arial" w:cs="Arial"/>
                <w:b/>
                <w:color w:val="000000" w:themeColor="text1"/>
                <w:sz w:val="20"/>
                <w:szCs w:val="20"/>
              </w:rPr>
            </w:pPr>
            <w:bookmarkStart w:id="443" w:name="_Toc67328688"/>
            <w:r w:rsidRPr="009D1920">
              <w:rPr>
                <w:rFonts w:ascii="Arial" w:eastAsia="Times New Roman" w:hAnsi="Arial" w:cs="Arial"/>
                <w:b/>
                <w:color w:val="000000" w:themeColor="text1"/>
                <w:sz w:val="20"/>
                <w:szCs w:val="20"/>
              </w:rPr>
              <w:t>202</w:t>
            </w:r>
            <w:r w:rsidR="000A0C91">
              <w:rPr>
                <w:rFonts w:ascii="Arial" w:eastAsia="Times New Roman" w:hAnsi="Arial" w:cs="Arial"/>
                <w:b/>
                <w:color w:val="000000" w:themeColor="text1"/>
                <w:sz w:val="20"/>
                <w:szCs w:val="20"/>
              </w:rPr>
              <w:t>3</w:t>
            </w:r>
            <w:r w:rsidRPr="009D1920">
              <w:rPr>
                <w:rFonts w:ascii="Arial" w:eastAsia="Times New Roman" w:hAnsi="Arial" w:cs="Arial"/>
                <w:b/>
                <w:color w:val="000000" w:themeColor="text1"/>
                <w:sz w:val="20"/>
                <w:szCs w:val="20"/>
              </w:rPr>
              <w:t>.</w:t>
            </w:r>
            <w:bookmarkEnd w:id="443"/>
          </w:p>
        </w:tc>
        <w:tc>
          <w:tcPr>
            <w:tcW w:w="1389" w:type="dxa"/>
            <w:vAlign w:val="bottom"/>
          </w:tcPr>
          <w:p w14:paraId="79B2C7F0" w14:textId="77777777" w:rsidR="00C81475" w:rsidRPr="009D1920" w:rsidRDefault="00C81475" w:rsidP="00C81475">
            <w:pPr>
              <w:tabs>
                <w:tab w:val="right" w:pos="1202"/>
              </w:tabs>
              <w:suppressAutoHyphens/>
              <w:autoSpaceDN w:val="0"/>
              <w:jc w:val="right"/>
              <w:outlineLvl w:val="0"/>
              <w:rPr>
                <w:rFonts w:ascii="Arial" w:eastAsia="Times New Roman" w:hAnsi="Arial" w:cs="Arial"/>
                <w:b/>
                <w:color w:val="000000" w:themeColor="text1"/>
                <w:sz w:val="20"/>
                <w:szCs w:val="20"/>
              </w:rPr>
            </w:pPr>
            <w:r w:rsidRPr="009D1920">
              <w:rPr>
                <w:rFonts w:ascii="Arial" w:eastAsia="Times New Roman" w:hAnsi="Arial" w:cs="Arial"/>
                <w:b/>
                <w:color w:val="000000" w:themeColor="text1"/>
                <w:sz w:val="20"/>
                <w:szCs w:val="20"/>
              </w:rPr>
              <w:t>1.1.-31.3.</w:t>
            </w:r>
          </w:p>
          <w:p w14:paraId="4D7F05EF" w14:textId="6DC9D9E6" w:rsidR="00C81475" w:rsidRPr="009D1920" w:rsidRDefault="00C81475" w:rsidP="00C81475">
            <w:pPr>
              <w:tabs>
                <w:tab w:val="right" w:pos="1202"/>
              </w:tabs>
              <w:suppressAutoHyphens/>
              <w:autoSpaceDN w:val="0"/>
              <w:jc w:val="right"/>
              <w:outlineLvl w:val="0"/>
              <w:rPr>
                <w:rFonts w:ascii="Arial" w:eastAsia="Times New Roman" w:hAnsi="Arial" w:cs="Arial"/>
                <w:b/>
                <w:color w:val="000000" w:themeColor="text1"/>
                <w:sz w:val="20"/>
                <w:szCs w:val="20"/>
              </w:rPr>
            </w:pPr>
            <w:r w:rsidRPr="009D1920">
              <w:rPr>
                <w:rFonts w:ascii="Arial" w:eastAsia="Times New Roman" w:hAnsi="Arial" w:cs="Arial"/>
                <w:b/>
                <w:color w:val="000000" w:themeColor="text1"/>
                <w:sz w:val="20"/>
                <w:szCs w:val="20"/>
              </w:rPr>
              <w:t>202</w:t>
            </w:r>
            <w:r w:rsidR="000A0C91">
              <w:rPr>
                <w:rFonts w:ascii="Arial" w:eastAsia="Times New Roman" w:hAnsi="Arial" w:cs="Arial"/>
                <w:b/>
                <w:color w:val="000000" w:themeColor="text1"/>
                <w:sz w:val="20"/>
                <w:szCs w:val="20"/>
              </w:rPr>
              <w:t>4</w:t>
            </w:r>
            <w:r w:rsidRPr="009D1920">
              <w:rPr>
                <w:rFonts w:ascii="Arial" w:eastAsia="Times New Roman" w:hAnsi="Arial" w:cs="Arial"/>
                <w:b/>
                <w:color w:val="000000" w:themeColor="text1"/>
                <w:sz w:val="20"/>
                <w:szCs w:val="20"/>
              </w:rPr>
              <w:t>.</w:t>
            </w:r>
          </w:p>
        </w:tc>
        <w:tc>
          <w:tcPr>
            <w:tcW w:w="1389" w:type="dxa"/>
            <w:vAlign w:val="bottom"/>
          </w:tcPr>
          <w:p w14:paraId="2F57960F" w14:textId="77777777" w:rsidR="00C81475" w:rsidRPr="009D1920" w:rsidRDefault="00C81475" w:rsidP="00C81475">
            <w:pPr>
              <w:tabs>
                <w:tab w:val="right" w:pos="1202"/>
              </w:tabs>
              <w:suppressAutoHyphens/>
              <w:autoSpaceDN w:val="0"/>
              <w:jc w:val="right"/>
              <w:outlineLvl w:val="0"/>
              <w:rPr>
                <w:rFonts w:ascii="Arial" w:eastAsia="Times New Roman" w:hAnsi="Arial" w:cs="Arial"/>
                <w:b/>
                <w:color w:val="000000" w:themeColor="text1"/>
                <w:sz w:val="20"/>
                <w:szCs w:val="20"/>
              </w:rPr>
            </w:pPr>
            <w:r w:rsidRPr="009D1920">
              <w:rPr>
                <w:rFonts w:ascii="Arial" w:eastAsia="Times New Roman" w:hAnsi="Arial" w:cs="Arial"/>
                <w:b/>
                <w:color w:val="000000" w:themeColor="text1"/>
                <w:sz w:val="20"/>
                <w:szCs w:val="20"/>
              </w:rPr>
              <w:t>1.1.-31.12.</w:t>
            </w:r>
          </w:p>
          <w:p w14:paraId="1216DC6E" w14:textId="67B3329B" w:rsidR="00C81475" w:rsidRPr="009D1920" w:rsidRDefault="00C81475" w:rsidP="00C81475">
            <w:pPr>
              <w:tabs>
                <w:tab w:val="right" w:pos="1202"/>
              </w:tabs>
              <w:suppressAutoHyphens/>
              <w:autoSpaceDN w:val="0"/>
              <w:jc w:val="right"/>
              <w:outlineLvl w:val="0"/>
              <w:rPr>
                <w:rFonts w:ascii="Arial" w:eastAsia="Times New Roman" w:hAnsi="Arial" w:cs="Arial"/>
                <w:b/>
                <w:color w:val="000000" w:themeColor="text1"/>
                <w:sz w:val="20"/>
                <w:szCs w:val="20"/>
              </w:rPr>
            </w:pPr>
            <w:r w:rsidRPr="009D1920">
              <w:rPr>
                <w:rFonts w:ascii="Arial" w:eastAsia="Times New Roman" w:hAnsi="Arial" w:cs="Arial"/>
                <w:b/>
                <w:color w:val="000000" w:themeColor="text1"/>
                <w:sz w:val="20"/>
                <w:szCs w:val="20"/>
              </w:rPr>
              <w:t>202</w:t>
            </w:r>
            <w:r w:rsidR="000A0C91">
              <w:rPr>
                <w:rFonts w:ascii="Arial" w:eastAsia="Times New Roman" w:hAnsi="Arial" w:cs="Arial"/>
                <w:b/>
                <w:color w:val="000000" w:themeColor="text1"/>
                <w:sz w:val="20"/>
                <w:szCs w:val="20"/>
              </w:rPr>
              <w:t>3</w:t>
            </w:r>
            <w:r w:rsidRPr="009D1920">
              <w:rPr>
                <w:rFonts w:ascii="Arial" w:eastAsia="Times New Roman" w:hAnsi="Arial" w:cs="Arial"/>
                <w:b/>
                <w:color w:val="000000" w:themeColor="text1"/>
                <w:sz w:val="20"/>
                <w:szCs w:val="20"/>
              </w:rPr>
              <w:t>.</w:t>
            </w:r>
          </w:p>
        </w:tc>
      </w:tr>
      <w:tr w:rsidR="00C81475" w:rsidRPr="009D1920" w14:paraId="7CA781A0" w14:textId="77777777" w:rsidTr="009D1920">
        <w:trPr>
          <w:trHeight w:val="234"/>
        </w:trPr>
        <w:tc>
          <w:tcPr>
            <w:tcW w:w="4109" w:type="dxa"/>
            <w:tcBorders>
              <w:top w:val="nil"/>
              <w:left w:val="nil"/>
              <w:bottom w:val="nil"/>
              <w:right w:val="nil"/>
            </w:tcBorders>
            <w:shd w:val="clear" w:color="auto" w:fill="auto"/>
            <w:vAlign w:val="bottom"/>
            <w:hideMark/>
          </w:tcPr>
          <w:p w14:paraId="027224F7" w14:textId="77777777" w:rsidR="00C81475" w:rsidRPr="009D1920" w:rsidRDefault="00C81475" w:rsidP="00C81475">
            <w:pPr>
              <w:suppressAutoHyphens/>
              <w:autoSpaceDN w:val="0"/>
              <w:jc w:val="right"/>
              <w:rPr>
                <w:rFonts w:ascii="Arial" w:eastAsia="Calibri" w:hAnsi="Arial" w:cs="Arial"/>
                <w:b/>
                <w:bCs/>
                <w:color w:val="000000" w:themeColor="text1"/>
                <w:sz w:val="20"/>
                <w:szCs w:val="20"/>
              </w:rPr>
            </w:pPr>
          </w:p>
        </w:tc>
        <w:tc>
          <w:tcPr>
            <w:tcW w:w="1389" w:type="dxa"/>
            <w:tcBorders>
              <w:top w:val="nil"/>
              <w:left w:val="nil"/>
              <w:bottom w:val="nil"/>
              <w:right w:val="nil"/>
            </w:tcBorders>
            <w:shd w:val="clear" w:color="auto" w:fill="auto"/>
            <w:vAlign w:val="bottom"/>
            <w:hideMark/>
          </w:tcPr>
          <w:p w14:paraId="7000D817" w14:textId="474BB1B8" w:rsidR="00C81475" w:rsidRPr="009D1920" w:rsidRDefault="00C81475" w:rsidP="00C81475">
            <w:pPr>
              <w:suppressAutoHyphens/>
              <w:autoSpaceDN w:val="0"/>
              <w:jc w:val="right"/>
              <w:rPr>
                <w:rFonts w:ascii="Arial" w:eastAsia="Calibri" w:hAnsi="Arial" w:cs="Arial"/>
                <w:b/>
                <w:bCs/>
                <w:color w:val="000000" w:themeColor="text1"/>
                <w:sz w:val="20"/>
                <w:szCs w:val="20"/>
              </w:rPr>
            </w:pPr>
            <w:r w:rsidRPr="009D1920">
              <w:rPr>
                <w:rFonts w:ascii="Arial" w:eastAsia="Calibri" w:hAnsi="Arial" w:cs="Arial"/>
                <w:b/>
                <w:bCs/>
                <w:color w:val="000000" w:themeColor="text1"/>
                <w:sz w:val="20"/>
                <w:szCs w:val="20"/>
              </w:rPr>
              <w:t>000 eura</w:t>
            </w:r>
          </w:p>
        </w:tc>
        <w:tc>
          <w:tcPr>
            <w:tcW w:w="1389" w:type="dxa"/>
            <w:tcBorders>
              <w:top w:val="nil"/>
              <w:left w:val="nil"/>
              <w:bottom w:val="nil"/>
              <w:right w:val="nil"/>
            </w:tcBorders>
            <w:shd w:val="clear" w:color="auto" w:fill="auto"/>
            <w:vAlign w:val="bottom"/>
          </w:tcPr>
          <w:p w14:paraId="6B6EEBAF" w14:textId="64E4F5A4" w:rsidR="00C81475" w:rsidRPr="009D1920" w:rsidRDefault="00C81475" w:rsidP="00C81475">
            <w:pPr>
              <w:suppressAutoHyphens/>
              <w:autoSpaceDN w:val="0"/>
              <w:jc w:val="right"/>
              <w:rPr>
                <w:rFonts w:ascii="Arial" w:eastAsia="Calibri" w:hAnsi="Arial" w:cs="Arial"/>
                <w:b/>
                <w:bCs/>
                <w:color w:val="000000" w:themeColor="text1"/>
                <w:sz w:val="20"/>
                <w:szCs w:val="20"/>
              </w:rPr>
            </w:pPr>
            <w:r w:rsidRPr="009D1920">
              <w:rPr>
                <w:rFonts w:ascii="Arial" w:eastAsia="Calibri" w:hAnsi="Arial" w:cs="Arial"/>
                <w:b/>
                <w:bCs/>
                <w:color w:val="000000" w:themeColor="text1"/>
                <w:sz w:val="20"/>
                <w:szCs w:val="20"/>
              </w:rPr>
              <w:t>000 eura</w:t>
            </w:r>
          </w:p>
        </w:tc>
        <w:tc>
          <w:tcPr>
            <w:tcW w:w="1389" w:type="dxa"/>
            <w:tcBorders>
              <w:top w:val="nil"/>
              <w:left w:val="nil"/>
              <w:bottom w:val="nil"/>
              <w:right w:val="nil"/>
            </w:tcBorders>
            <w:shd w:val="clear" w:color="auto" w:fill="auto"/>
            <w:vAlign w:val="bottom"/>
            <w:hideMark/>
          </w:tcPr>
          <w:p w14:paraId="195476C3" w14:textId="129144A6" w:rsidR="00C81475" w:rsidRPr="009D1920" w:rsidRDefault="00C81475" w:rsidP="00C81475">
            <w:pPr>
              <w:suppressAutoHyphens/>
              <w:autoSpaceDN w:val="0"/>
              <w:jc w:val="right"/>
              <w:rPr>
                <w:rFonts w:ascii="Arial" w:eastAsia="Calibri" w:hAnsi="Arial" w:cs="Arial"/>
                <w:b/>
                <w:bCs/>
                <w:color w:val="000000" w:themeColor="text1"/>
                <w:sz w:val="20"/>
                <w:szCs w:val="20"/>
              </w:rPr>
            </w:pPr>
            <w:r w:rsidRPr="009D1920">
              <w:rPr>
                <w:rFonts w:ascii="Arial" w:eastAsia="Calibri" w:hAnsi="Arial" w:cs="Arial"/>
                <w:b/>
                <w:bCs/>
                <w:color w:val="000000" w:themeColor="text1"/>
                <w:sz w:val="20"/>
                <w:szCs w:val="20"/>
              </w:rPr>
              <w:t>000 eura</w:t>
            </w:r>
          </w:p>
        </w:tc>
        <w:tc>
          <w:tcPr>
            <w:tcW w:w="1389" w:type="dxa"/>
            <w:tcBorders>
              <w:top w:val="nil"/>
              <w:left w:val="nil"/>
              <w:right w:val="nil"/>
            </w:tcBorders>
            <w:shd w:val="clear" w:color="auto" w:fill="auto"/>
            <w:vAlign w:val="bottom"/>
          </w:tcPr>
          <w:p w14:paraId="585CD6C1" w14:textId="1B80CE59" w:rsidR="00C81475" w:rsidRPr="009D1920" w:rsidRDefault="00C81475" w:rsidP="00C81475">
            <w:pPr>
              <w:suppressAutoHyphens/>
              <w:autoSpaceDN w:val="0"/>
              <w:jc w:val="right"/>
              <w:rPr>
                <w:rFonts w:ascii="Arial" w:eastAsia="Calibri" w:hAnsi="Arial" w:cs="Arial"/>
                <w:b/>
                <w:bCs/>
                <w:color w:val="000000" w:themeColor="text1"/>
                <w:sz w:val="20"/>
                <w:szCs w:val="20"/>
              </w:rPr>
            </w:pPr>
            <w:r w:rsidRPr="009D1920">
              <w:rPr>
                <w:rFonts w:ascii="Arial" w:eastAsia="Calibri" w:hAnsi="Arial" w:cs="Arial"/>
                <w:b/>
                <w:bCs/>
                <w:color w:val="000000" w:themeColor="text1"/>
                <w:sz w:val="20"/>
                <w:szCs w:val="20"/>
              </w:rPr>
              <w:t>000 eura</w:t>
            </w:r>
          </w:p>
        </w:tc>
      </w:tr>
      <w:tr w:rsidR="00735D2B" w:rsidRPr="009D1920" w14:paraId="10499D87" w14:textId="77777777" w:rsidTr="00FE24D5">
        <w:trPr>
          <w:trHeight w:val="385"/>
        </w:trPr>
        <w:tc>
          <w:tcPr>
            <w:tcW w:w="4109" w:type="dxa"/>
            <w:tcBorders>
              <w:top w:val="nil"/>
              <w:left w:val="nil"/>
              <w:bottom w:val="nil"/>
              <w:right w:val="nil"/>
            </w:tcBorders>
            <w:shd w:val="clear" w:color="auto" w:fill="auto"/>
            <w:vAlign w:val="bottom"/>
          </w:tcPr>
          <w:p w14:paraId="4124DD52" w14:textId="77777777" w:rsidR="00735D2B" w:rsidRPr="009D1920" w:rsidRDefault="00735D2B" w:rsidP="00735D2B">
            <w:pPr>
              <w:suppressAutoHyphens/>
              <w:autoSpaceDN w:val="0"/>
              <w:rPr>
                <w:rFonts w:ascii="Arial" w:eastAsia="Calibri" w:hAnsi="Arial" w:cs="Arial"/>
                <w:color w:val="000000" w:themeColor="text1"/>
                <w:sz w:val="20"/>
                <w:szCs w:val="20"/>
              </w:rPr>
            </w:pPr>
            <w:r w:rsidRPr="009D1920">
              <w:rPr>
                <w:rFonts w:ascii="Arial" w:eastAsia="Calibri" w:hAnsi="Arial" w:cs="Arial"/>
                <w:color w:val="000000" w:themeColor="text1"/>
                <w:sz w:val="20"/>
                <w:szCs w:val="20"/>
              </w:rPr>
              <w:t>Stanje 1. siječnja</w:t>
            </w:r>
          </w:p>
        </w:tc>
        <w:tc>
          <w:tcPr>
            <w:tcW w:w="1389" w:type="dxa"/>
            <w:tcBorders>
              <w:top w:val="nil"/>
              <w:left w:val="nil"/>
              <w:bottom w:val="nil"/>
              <w:right w:val="nil"/>
            </w:tcBorders>
            <w:shd w:val="clear" w:color="auto" w:fill="auto"/>
            <w:noWrap/>
            <w:vAlign w:val="bottom"/>
          </w:tcPr>
          <w:p w14:paraId="3E4B78EB" w14:textId="7F721C15" w:rsidR="00735D2B" w:rsidRPr="009D1920" w:rsidRDefault="00B679D2" w:rsidP="00735D2B">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4.393</w:t>
            </w:r>
          </w:p>
        </w:tc>
        <w:tc>
          <w:tcPr>
            <w:tcW w:w="1389" w:type="dxa"/>
            <w:tcBorders>
              <w:top w:val="nil"/>
              <w:left w:val="nil"/>
              <w:bottom w:val="nil"/>
              <w:right w:val="nil"/>
            </w:tcBorders>
            <w:shd w:val="clear" w:color="auto" w:fill="auto"/>
            <w:vAlign w:val="bottom"/>
          </w:tcPr>
          <w:p w14:paraId="706A98F3" w14:textId="70CC1D84" w:rsidR="00735D2B" w:rsidRPr="009D1920" w:rsidRDefault="00735D2B" w:rsidP="00735D2B">
            <w:pPr>
              <w:suppressAutoHyphens/>
              <w:autoSpaceDN w:val="0"/>
              <w:jc w:val="right"/>
              <w:rPr>
                <w:rFonts w:ascii="Arial" w:eastAsia="Calibri" w:hAnsi="Arial" w:cs="Arial"/>
                <w:color w:val="000000" w:themeColor="text1"/>
                <w:sz w:val="20"/>
                <w:szCs w:val="20"/>
              </w:rPr>
            </w:pPr>
            <w:r w:rsidRPr="0077228B">
              <w:rPr>
                <w:rFonts w:ascii="Arial" w:eastAsia="Calibri" w:hAnsi="Arial" w:cs="Arial"/>
                <w:color w:val="000000" w:themeColor="text1"/>
                <w:sz w:val="20"/>
                <w:szCs w:val="20"/>
              </w:rPr>
              <w:t>4.691</w:t>
            </w:r>
          </w:p>
        </w:tc>
        <w:tc>
          <w:tcPr>
            <w:tcW w:w="1389" w:type="dxa"/>
            <w:tcBorders>
              <w:top w:val="nil"/>
              <w:left w:val="nil"/>
              <w:bottom w:val="nil"/>
              <w:right w:val="nil"/>
            </w:tcBorders>
            <w:shd w:val="clear" w:color="auto" w:fill="auto"/>
            <w:vAlign w:val="bottom"/>
          </w:tcPr>
          <w:p w14:paraId="447A8A5A" w14:textId="52D379E2" w:rsidR="00735D2B" w:rsidRPr="009D1920" w:rsidRDefault="00507083" w:rsidP="00735D2B">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4.385</w:t>
            </w:r>
          </w:p>
        </w:tc>
        <w:tc>
          <w:tcPr>
            <w:tcW w:w="1389" w:type="dxa"/>
            <w:tcBorders>
              <w:top w:val="nil"/>
              <w:left w:val="nil"/>
              <w:bottom w:val="nil"/>
              <w:right w:val="nil"/>
            </w:tcBorders>
            <w:shd w:val="clear" w:color="auto" w:fill="auto"/>
            <w:vAlign w:val="bottom"/>
          </w:tcPr>
          <w:p w14:paraId="2C1A8413" w14:textId="28381A02" w:rsidR="00735D2B" w:rsidRPr="009D1920" w:rsidRDefault="00735D2B" w:rsidP="00735D2B">
            <w:pPr>
              <w:suppressAutoHyphens/>
              <w:autoSpaceDN w:val="0"/>
              <w:jc w:val="right"/>
              <w:rPr>
                <w:rFonts w:ascii="Arial" w:eastAsia="Calibri" w:hAnsi="Arial" w:cs="Arial"/>
                <w:color w:val="000000" w:themeColor="text1"/>
                <w:sz w:val="20"/>
                <w:szCs w:val="20"/>
              </w:rPr>
            </w:pPr>
            <w:r w:rsidRPr="00976504">
              <w:rPr>
                <w:rFonts w:ascii="Arial" w:eastAsia="Calibri" w:hAnsi="Arial" w:cs="Arial"/>
                <w:color w:val="000000" w:themeColor="text1"/>
                <w:sz w:val="20"/>
                <w:szCs w:val="20"/>
              </w:rPr>
              <w:t>4.669</w:t>
            </w:r>
          </w:p>
        </w:tc>
      </w:tr>
      <w:tr w:rsidR="000B3C66" w:rsidRPr="009D1920" w14:paraId="06DABDF4" w14:textId="77777777" w:rsidTr="009D1920">
        <w:trPr>
          <w:trHeight w:val="385"/>
        </w:trPr>
        <w:tc>
          <w:tcPr>
            <w:tcW w:w="4109" w:type="dxa"/>
            <w:tcBorders>
              <w:top w:val="nil"/>
              <w:left w:val="nil"/>
              <w:bottom w:val="nil"/>
              <w:right w:val="nil"/>
            </w:tcBorders>
            <w:shd w:val="clear" w:color="auto" w:fill="auto"/>
            <w:vAlign w:val="bottom"/>
          </w:tcPr>
          <w:p w14:paraId="732D0899" w14:textId="66E8D2BA" w:rsidR="000B3C66" w:rsidRPr="009D1920" w:rsidRDefault="000B3C66" w:rsidP="000B3C66">
            <w:pPr>
              <w:suppressAutoHyphens/>
              <w:autoSpaceDN w:val="0"/>
              <w:rPr>
                <w:rFonts w:ascii="Arial" w:eastAsia="Calibri" w:hAnsi="Arial" w:cs="Arial"/>
                <w:color w:val="000000" w:themeColor="text1"/>
                <w:sz w:val="20"/>
                <w:szCs w:val="20"/>
              </w:rPr>
            </w:pPr>
            <w:r w:rsidRPr="009D1920">
              <w:rPr>
                <w:rFonts w:ascii="Arial" w:eastAsia="Calibri" w:hAnsi="Arial" w:cs="Arial"/>
                <w:color w:val="000000" w:themeColor="text1"/>
                <w:sz w:val="20"/>
                <w:szCs w:val="20"/>
              </w:rPr>
              <w:t>Neto (smanjenje) rezerviranja za očekivane gubitke po ostaloj imovini</w:t>
            </w:r>
          </w:p>
        </w:tc>
        <w:tc>
          <w:tcPr>
            <w:tcW w:w="1389" w:type="dxa"/>
            <w:tcBorders>
              <w:top w:val="nil"/>
              <w:left w:val="nil"/>
              <w:bottom w:val="nil"/>
              <w:right w:val="nil"/>
            </w:tcBorders>
            <w:shd w:val="clear" w:color="auto" w:fill="auto"/>
            <w:vAlign w:val="bottom"/>
          </w:tcPr>
          <w:p w14:paraId="21AFDD81" w14:textId="0CE916AB" w:rsidR="000B3C66" w:rsidRPr="009D1920" w:rsidRDefault="00B679D2" w:rsidP="000B3C66">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(8</w:t>
            </w:r>
            <w:r w:rsidR="002040A2">
              <w:rPr>
                <w:rFonts w:ascii="Arial" w:eastAsia="Calibri" w:hAnsi="Arial" w:cs="Arial"/>
                <w:color w:val="000000" w:themeColor="text1"/>
                <w:sz w:val="20"/>
                <w:szCs w:val="20"/>
              </w:rPr>
              <w:t>3</w:t>
            </w:r>
            <w:r>
              <w:rPr>
                <w:rFonts w:ascii="Arial" w:eastAsia="Calibri" w:hAnsi="Arial" w:cs="Arial"/>
                <w:color w:val="000000" w:themeColor="text1"/>
                <w:sz w:val="20"/>
                <w:szCs w:val="20"/>
              </w:rPr>
              <w:t>)</w:t>
            </w:r>
          </w:p>
        </w:tc>
        <w:tc>
          <w:tcPr>
            <w:tcW w:w="1389" w:type="dxa"/>
            <w:tcBorders>
              <w:top w:val="nil"/>
              <w:left w:val="nil"/>
              <w:bottom w:val="nil"/>
              <w:right w:val="nil"/>
            </w:tcBorders>
            <w:shd w:val="clear" w:color="auto" w:fill="auto"/>
            <w:vAlign w:val="bottom"/>
          </w:tcPr>
          <w:p w14:paraId="72D16485" w14:textId="6BA69E37" w:rsidR="000B3C66" w:rsidRPr="009D1920" w:rsidRDefault="000B3C66" w:rsidP="000B3C66">
            <w:pPr>
              <w:suppressAutoHyphens/>
              <w:autoSpaceDN w:val="0"/>
              <w:jc w:val="right"/>
              <w:rPr>
                <w:rFonts w:ascii="Arial" w:eastAsia="Calibri" w:hAnsi="Arial" w:cs="Arial"/>
                <w:color w:val="000000" w:themeColor="text1"/>
                <w:sz w:val="20"/>
                <w:szCs w:val="20"/>
              </w:rPr>
            </w:pPr>
            <w:r w:rsidRPr="0077228B">
              <w:rPr>
                <w:rFonts w:ascii="Arial" w:eastAsia="Calibri" w:hAnsi="Arial" w:cs="Arial"/>
                <w:color w:val="000000" w:themeColor="text1"/>
                <w:sz w:val="20"/>
                <w:szCs w:val="20"/>
              </w:rPr>
              <w:t>(195)</w:t>
            </w:r>
          </w:p>
        </w:tc>
        <w:tc>
          <w:tcPr>
            <w:tcW w:w="1389" w:type="dxa"/>
            <w:tcBorders>
              <w:top w:val="nil"/>
              <w:left w:val="nil"/>
              <w:bottom w:val="nil"/>
              <w:right w:val="nil"/>
            </w:tcBorders>
            <w:shd w:val="clear" w:color="auto" w:fill="auto"/>
            <w:vAlign w:val="bottom"/>
          </w:tcPr>
          <w:p w14:paraId="660A272B" w14:textId="079D04BE" w:rsidR="000B3C66" w:rsidRPr="009D1920" w:rsidRDefault="00C05581" w:rsidP="000B3C66">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(83)</w:t>
            </w:r>
          </w:p>
        </w:tc>
        <w:tc>
          <w:tcPr>
            <w:tcW w:w="1389" w:type="dxa"/>
            <w:tcBorders>
              <w:top w:val="nil"/>
              <w:left w:val="nil"/>
              <w:bottom w:val="nil"/>
              <w:right w:val="nil"/>
            </w:tcBorders>
            <w:shd w:val="clear" w:color="auto" w:fill="auto"/>
            <w:vAlign w:val="bottom"/>
          </w:tcPr>
          <w:p w14:paraId="2E8D8958" w14:textId="503B4BA4" w:rsidR="000B3C66" w:rsidRPr="009D1920" w:rsidRDefault="000B3C66" w:rsidP="000B3C66">
            <w:pPr>
              <w:suppressAutoHyphens/>
              <w:autoSpaceDN w:val="0"/>
              <w:jc w:val="right"/>
              <w:rPr>
                <w:rFonts w:ascii="Arial" w:eastAsia="Calibri" w:hAnsi="Arial" w:cs="Arial"/>
                <w:color w:val="000000" w:themeColor="text1"/>
                <w:sz w:val="20"/>
                <w:szCs w:val="20"/>
              </w:rPr>
            </w:pPr>
            <w:r w:rsidRPr="00976504">
              <w:rPr>
                <w:rFonts w:ascii="Arial" w:eastAsia="Calibri" w:hAnsi="Arial" w:cs="Arial"/>
                <w:color w:val="000000" w:themeColor="text1"/>
                <w:sz w:val="20"/>
                <w:szCs w:val="20"/>
              </w:rPr>
              <w:t>(193)</w:t>
            </w:r>
          </w:p>
        </w:tc>
      </w:tr>
      <w:tr w:rsidR="000B3C66" w:rsidRPr="009D1920" w14:paraId="578787B5" w14:textId="77777777" w:rsidTr="009D1920">
        <w:trPr>
          <w:trHeight w:val="385"/>
        </w:trPr>
        <w:tc>
          <w:tcPr>
            <w:tcW w:w="4109" w:type="dxa"/>
            <w:tcBorders>
              <w:top w:val="nil"/>
              <w:left w:val="nil"/>
              <w:bottom w:val="nil"/>
              <w:right w:val="nil"/>
            </w:tcBorders>
            <w:shd w:val="clear" w:color="auto" w:fill="auto"/>
            <w:vAlign w:val="bottom"/>
          </w:tcPr>
          <w:p w14:paraId="10B5E9F9" w14:textId="59012CE1" w:rsidR="000B3C66" w:rsidRPr="009D1920" w:rsidRDefault="000B3C66" w:rsidP="000B3C66">
            <w:pPr>
              <w:suppressAutoHyphens/>
              <w:autoSpaceDN w:val="0"/>
              <w:rPr>
                <w:rFonts w:ascii="Arial" w:eastAsia="Calibri" w:hAnsi="Arial" w:cs="Arial"/>
                <w:i/>
                <w:iCs/>
                <w:color w:val="000000" w:themeColor="text1"/>
                <w:sz w:val="20"/>
                <w:szCs w:val="20"/>
              </w:rPr>
            </w:pPr>
            <w:r w:rsidRPr="009D1920">
              <w:rPr>
                <w:rFonts w:ascii="Arial" w:eastAsia="Calibri" w:hAnsi="Arial" w:cs="Arial"/>
                <w:i/>
                <w:iCs/>
                <w:color w:val="000000" w:themeColor="text1"/>
                <w:sz w:val="20"/>
                <w:szCs w:val="20"/>
              </w:rPr>
              <w:t>Ukupno kroz dobit ili gubitak (bilješka 8)</w:t>
            </w:r>
          </w:p>
        </w:tc>
        <w:tc>
          <w:tcPr>
            <w:tcW w:w="1389" w:type="dxa"/>
            <w:tcBorders>
              <w:top w:val="single" w:sz="4" w:space="0" w:color="auto"/>
              <w:left w:val="nil"/>
              <w:bottom w:val="single" w:sz="4" w:space="0" w:color="auto"/>
              <w:right w:val="nil"/>
            </w:tcBorders>
            <w:shd w:val="clear" w:color="auto" w:fill="auto"/>
            <w:vAlign w:val="bottom"/>
          </w:tcPr>
          <w:p w14:paraId="2DDDAF01" w14:textId="65176394" w:rsidR="000B3C66" w:rsidRPr="009D1920" w:rsidRDefault="00B679D2" w:rsidP="000B3C66">
            <w:pPr>
              <w:suppressAutoHyphens/>
              <w:autoSpaceDN w:val="0"/>
              <w:jc w:val="right"/>
              <w:rPr>
                <w:rFonts w:ascii="Arial" w:eastAsia="Calibri" w:hAnsi="Arial" w:cs="Arial"/>
                <w:bCs/>
                <w:i/>
                <w:iCs/>
                <w:color w:val="000000" w:themeColor="text1"/>
                <w:sz w:val="20"/>
                <w:szCs w:val="20"/>
              </w:rPr>
            </w:pPr>
            <w:r>
              <w:rPr>
                <w:rFonts w:ascii="Arial" w:eastAsia="Calibri" w:hAnsi="Arial" w:cs="Arial"/>
                <w:bCs/>
                <w:i/>
                <w:iCs/>
                <w:color w:val="000000" w:themeColor="text1"/>
                <w:sz w:val="20"/>
                <w:szCs w:val="20"/>
              </w:rPr>
              <w:t>(8</w:t>
            </w:r>
            <w:r w:rsidR="002040A2">
              <w:rPr>
                <w:rFonts w:ascii="Arial" w:eastAsia="Calibri" w:hAnsi="Arial" w:cs="Arial"/>
                <w:bCs/>
                <w:i/>
                <w:iCs/>
                <w:color w:val="000000" w:themeColor="text1"/>
                <w:sz w:val="20"/>
                <w:szCs w:val="20"/>
              </w:rPr>
              <w:t>3</w:t>
            </w:r>
            <w:r>
              <w:rPr>
                <w:rFonts w:ascii="Arial" w:eastAsia="Calibri" w:hAnsi="Arial" w:cs="Arial"/>
                <w:bCs/>
                <w:i/>
                <w:iCs/>
                <w:color w:val="000000" w:themeColor="text1"/>
                <w:sz w:val="20"/>
                <w:szCs w:val="20"/>
              </w:rPr>
              <w:t>)</w:t>
            </w:r>
          </w:p>
        </w:tc>
        <w:tc>
          <w:tcPr>
            <w:tcW w:w="1389" w:type="dxa"/>
            <w:tcBorders>
              <w:top w:val="single" w:sz="4" w:space="0" w:color="auto"/>
              <w:left w:val="nil"/>
              <w:bottom w:val="single" w:sz="4" w:space="0" w:color="auto"/>
              <w:right w:val="nil"/>
            </w:tcBorders>
            <w:shd w:val="clear" w:color="auto" w:fill="auto"/>
            <w:vAlign w:val="bottom"/>
          </w:tcPr>
          <w:p w14:paraId="2C8F8006" w14:textId="02EA973D" w:rsidR="000B3C66" w:rsidRPr="009D1920" w:rsidRDefault="000B3C66" w:rsidP="000B3C66">
            <w:pPr>
              <w:suppressAutoHyphens/>
              <w:autoSpaceDN w:val="0"/>
              <w:jc w:val="right"/>
              <w:rPr>
                <w:rFonts w:ascii="Arial" w:eastAsia="Calibri" w:hAnsi="Arial" w:cs="Arial"/>
                <w:i/>
                <w:iCs/>
                <w:color w:val="000000" w:themeColor="text1"/>
                <w:sz w:val="20"/>
                <w:szCs w:val="20"/>
              </w:rPr>
            </w:pPr>
            <w:r w:rsidRPr="0077228B">
              <w:rPr>
                <w:rFonts w:ascii="Arial" w:eastAsia="Calibri" w:hAnsi="Arial" w:cs="Arial"/>
                <w:bCs/>
                <w:i/>
                <w:color w:val="000000" w:themeColor="text1"/>
                <w:sz w:val="20"/>
                <w:szCs w:val="20"/>
              </w:rPr>
              <w:t>(195)</w:t>
            </w:r>
          </w:p>
        </w:tc>
        <w:tc>
          <w:tcPr>
            <w:tcW w:w="1389" w:type="dxa"/>
            <w:tcBorders>
              <w:top w:val="single" w:sz="4" w:space="0" w:color="auto"/>
              <w:left w:val="nil"/>
              <w:bottom w:val="single" w:sz="4" w:space="0" w:color="auto"/>
              <w:right w:val="nil"/>
            </w:tcBorders>
            <w:shd w:val="clear" w:color="auto" w:fill="auto"/>
            <w:vAlign w:val="bottom"/>
          </w:tcPr>
          <w:p w14:paraId="182F24AC" w14:textId="6F4407EE" w:rsidR="000B3C66" w:rsidRPr="009D1920" w:rsidRDefault="00C05581" w:rsidP="000B3C66">
            <w:pPr>
              <w:suppressAutoHyphens/>
              <w:autoSpaceDN w:val="0"/>
              <w:jc w:val="right"/>
              <w:rPr>
                <w:rFonts w:ascii="Arial" w:eastAsia="Calibri" w:hAnsi="Arial" w:cs="Arial"/>
                <w:bCs/>
                <w:i/>
                <w:iCs/>
                <w:color w:val="000000" w:themeColor="text1"/>
                <w:sz w:val="20"/>
                <w:szCs w:val="20"/>
              </w:rPr>
            </w:pPr>
            <w:r>
              <w:rPr>
                <w:rFonts w:ascii="Arial" w:eastAsia="Calibri" w:hAnsi="Arial" w:cs="Arial"/>
                <w:bCs/>
                <w:i/>
                <w:iCs/>
                <w:color w:val="000000" w:themeColor="text1"/>
                <w:sz w:val="20"/>
                <w:szCs w:val="20"/>
              </w:rPr>
              <w:t>(83)</w:t>
            </w:r>
          </w:p>
        </w:tc>
        <w:tc>
          <w:tcPr>
            <w:tcW w:w="1389" w:type="dxa"/>
            <w:tcBorders>
              <w:top w:val="single" w:sz="4" w:space="0" w:color="auto"/>
              <w:left w:val="nil"/>
              <w:bottom w:val="single" w:sz="4" w:space="0" w:color="auto"/>
              <w:right w:val="nil"/>
            </w:tcBorders>
            <w:shd w:val="clear" w:color="auto" w:fill="auto"/>
            <w:vAlign w:val="bottom"/>
          </w:tcPr>
          <w:p w14:paraId="639EA0B1" w14:textId="41C1A02B" w:rsidR="000B3C66" w:rsidRPr="009D1920" w:rsidRDefault="000B3C66" w:rsidP="000B3C66">
            <w:pPr>
              <w:suppressAutoHyphens/>
              <w:autoSpaceDN w:val="0"/>
              <w:jc w:val="right"/>
              <w:rPr>
                <w:rFonts w:ascii="Arial" w:eastAsia="Calibri" w:hAnsi="Arial" w:cs="Arial"/>
                <w:i/>
                <w:iCs/>
                <w:color w:val="000000" w:themeColor="text1"/>
                <w:sz w:val="20"/>
                <w:szCs w:val="20"/>
              </w:rPr>
            </w:pPr>
            <w:r w:rsidRPr="00976504">
              <w:rPr>
                <w:rFonts w:ascii="Arial" w:eastAsia="Calibri" w:hAnsi="Arial" w:cs="Arial"/>
                <w:bCs/>
                <w:i/>
                <w:iCs/>
                <w:color w:val="000000" w:themeColor="text1"/>
                <w:sz w:val="20"/>
                <w:szCs w:val="20"/>
              </w:rPr>
              <w:t>(193)</w:t>
            </w:r>
          </w:p>
        </w:tc>
      </w:tr>
      <w:tr w:rsidR="000B3C66" w:rsidRPr="009D1920" w14:paraId="220FB25E" w14:textId="77777777" w:rsidTr="00E00DE1">
        <w:trPr>
          <w:trHeight w:val="385"/>
        </w:trPr>
        <w:tc>
          <w:tcPr>
            <w:tcW w:w="4109" w:type="dxa"/>
            <w:tcBorders>
              <w:top w:val="nil"/>
              <w:left w:val="nil"/>
              <w:bottom w:val="nil"/>
              <w:right w:val="nil"/>
            </w:tcBorders>
            <w:shd w:val="clear" w:color="auto" w:fill="auto"/>
            <w:vAlign w:val="bottom"/>
          </w:tcPr>
          <w:p w14:paraId="056E09B1" w14:textId="77777777" w:rsidR="000B3C66" w:rsidRPr="009D1920" w:rsidRDefault="000B3C66" w:rsidP="000B3C66">
            <w:pPr>
              <w:suppressAutoHyphens/>
              <w:autoSpaceDN w:val="0"/>
              <w:rPr>
                <w:rFonts w:ascii="Arial" w:eastAsia="Calibri" w:hAnsi="Arial" w:cs="Arial"/>
                <w:color w:val="000000" w:themeColor="text1"/>
                <w:sz w:val="20"/>
                <w:szCs w:val="20"/>
              </w:rPr>
            </w:pPr>
            <w:r w:rsidRPr="009D1920">
              <w:rPr>
                <w:rFonts w:ascii="Arial" w:eastAsia="Calibri" w:hAnsi="Arial" w:cs="Arial"/>
                <w:color w:val="000000" w:themeColor="text1"/>
                <w:sz w:val="20"/>
                <w:szCs w:val="20"/>
              </w:rPr>
              <w:t>Otpis</w:t>
            </w:r>
          </w:p>
        </w:tc>
        <w:tc>
          <w:tcPr>
            <w:tcW w:w="1389" w:type="dxa"/>
            <w:tcBorders>
              <w:top w:val="single" w:sz="4" w:space="0" w:color="auto"/>
              <w:left w:val="nil"/>
              <w:right w:val="nil"/>
            </w:tcBorders>
            <w:shd w:val="clear" w:color="auto" w:fill="auto"/>
            <w:vAlign w:val="bottom"/>
          </w:tcPr>
          <w:p w14:paraId="69768418" w14:textId="6EA544B2" w:rsidR="000B3C66" w:rsidRPr="009D1920" w:rsidRDefault="00EB1650" w:rsidP="000B3C66">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c>
          <w:tcPr>
            <w:tcW w:w="1389" w:type="dxa"/>
            <w:tcBorders>
              <w:top w:val="single" w:sz="4" w:space="0" w:color="auto"/>
              <w:left w:val="nil"/>
              <w:right w:val="nil"/>
            </w:tcBorders>
            <w:shd w:val="clear" w:color="auto" w:fill="auto"/>
            <w:vAlign w:val="bottom"/>
          </w:tcPr>
          <w:p w14:paraId="02B680C9" w14:textId="5276823C" w:rsidR="000B3C66" w:rsidRPr="009D1920" w:rsidRDefault="000B3C66" w:rsidP="000B3C66">
            <w:pPr>
              <w:suppressAutoHyphens/>
              <w:autoSpaceDN w:val="0"/>
              <w:jc w:val="right"/>
              <w:rPr>
                <w:rFonts w:ascii="Arial" w:eastAsia="Calibri" w:hAnsi="Arial" w:cs="Arial"/>
                <w:color w:val="000000" w:themeColor="text1"/>
                <w:sz w:val="20"/>
                <w:szCs w:val="20"/>
              </w:rPr>
            </w:pPr>
            <w:r w:rsidRPr="0077228B">
              <w:rPr>
                <w:rFonts w:ascii="Arial" w:eastAsia="Calibri" w:hAnsi="Arial" w:cs="Arial"/>
                <w:color w:val="000000" w:themeColor="text1"/>
                <w:sz w:val="20"/>
                <w:szCs w:val="20"/>
              </w:rPr>
              <w:t>(93)</w:t>
            </w:r>
          </w:p>
        </w:tc>
        <w:tc>
          <w:tcPr>
            <w:tcW w:w="1389" w:type="dxa"/>
            <w:tcBorders>
              <w:top w:val="single" w:sz="4" w:space="0" w:color="auto"/>
              <w:left w:val="nil"/>
              <w:right w:val="nil"/>
            </w:tcBorders>
            <w:shd w:val="clear" w:color="auto" w:fill="auto"/>
            <w:vAlign w:val="bottom"/>
          </w:tcPr>
          <w:p w14:paraId="2E77605C" w14:textId="3A481326" w:rsidR="000B3C66" w:rsidRPr="009D1920" w:rsidRDefault="00C05581" w:rsidP="000B3C66">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c>
          <w:tcPr>
            <w:tcW w:w="1389" w:type="dxa"/>
            <w:tcBorders>
              <w:top w:val="single" w:sz="4" w:space="0" w:color="auto"/>
              <w:left w:val="nil"/>
              <w:right w:val="nil"/>
            </w:tcBorders>
            <w:shd w:val="clear" w:color="auto" w:fill="auto"/>
            <w:vAlign w:val="bottom"/>
          </w:tcPr>
          <w:p w14:paraId="34B86BE3" w14:textId="44BC64C5" w:rsidR="000B3C66" w:rsidRPr="009D1920" w:rsidRDefault="000B3C66" w:rsidP="000B3C66">
            <w:pPr>
              <w:suppressAutoHyphens/>
              <w:autoSpaceDN w:val="0"/>
              <w:jc w:val="right"/>
              <w:rPr>
                <w:rFonts w:ascii="Arial" w:eastAsia="Calibri" w:hAnsi="Arial" w:cs="Arial"/>
                <w:color w:val="000000" w:themeColor="text1"/>
                <w:sz w:val="20"/>
                <w:szCs w:val="20"/>
              </w:rPr>
            </w:pPr>
            <w:r w:rsidRPr="00976504">
              <w:rPr>
                <w:rFonts w:ascii="Arial" w:eastAsia="Calibri" w:hAnsi="Arial" w:cs="Arial"/>
                <w:color w:val="000000" w:themeColor="text1"/>
                <w:sz w:val="20"/>
                <w:szCs w:val="20"/>
              </w:rPr>
              <w:t>(93)</w:t>
            </w:r>
          </w:p>
        </w:tc>
      </w:tr>
      <w:tr w:rsidR="000B3C66" w:rsidRPr="009D1920" w14:paraId="58D97051" w14:textId="77777777" w:rsidTr="00E00DE1">
        <w:trPr>
          <w:trHeight w:val="608"/>
        </w:trPr>
        <w:tc>
          <w:tcPr>
            <w:tcW w:w="4109" w:type="dxa"/>
            <w:tcBorders>
              <w:top w:val="nil"/>
              <w:left w:val="nil"/>
              <w:bottom w:val="nil"/>
              <w:right w:val="nil"/>
            </w:tcBorders>
            <w:shd w:val="clear" w:color="auto" w:fill="auto"/>
            <w:vAlign w:val="bottom"/>
          </w:tcPr>
          <w:p w14:paraId="7FBE50C3" w14:textId="77777777" w:rsidR="000B3C66" w:rsidRPr="009D1920" w:rsidRDefault="000B3C66" w:rsidP="000B3C66">
            <w:pPr>
              <w:suppressAutoHyphens/>
              <w:autoSpaceDN w:val="0"/>
              <w:rPr>
                <w:rFonts w:ascii="Arial" w:eastAsia="Calibri" w:hAnsi="Arial" w:cs="Arial"/>
                <w:color w:val="000000" w:themeColor="text1"/>
                <w:sz w:val="20"/>
                <w:szCs w:val="20"/>
              </w:rPr>
            </w:pPr>
            <w:r w:rsidRPr="009D1920">
              <w:rPr>
                <w:rFonts w:ascii="Arial" w:eastAsia="Calibri" w:hAnsi="Arial" w:cs="Arial"/>
                <w:color w:val="000000" w:themeColor="text1"/>
                <w:sz w:val="20"/>
                <w:szCs w:val="20"/>
              </w:rPr>
              <w:t>Neto dobit/gubitak od tečajnih razlika po rezerviranjima za očekivane gubitke</w:t>
            </w:r>
          </w:p>
        </w:tc>
        <w:tc>
          <w:tcPr>
            <w:tcW w:w="1389" w:type="dxa"/>
            <w:tcBorders>
              <w:left w:val="nil"/>
              <w:right w:val="nil"/>
            </w:tcBorders>
            <w:shd w:val="clear" w:color="auto" w:fill="auto"/>
            <w:vAlign w:val="bottom"/>
          </w:tcPr>
          <w:p w14:paraId="432D3D5A" w14:textId="32C38342" w:rsidR="000B3C66" w:rsidRPr="009D1920" w:rsidRDefault="00EB1650" w:rsidP="000B3C66">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2</w:t>
            </w:r>
          </w:p>
        </w:tc>
        <w:tc>
          <w:tcPr>
            <w:tcW w:w="1389" w:type="dxa"/>
            <w:tcBorders>
              <w:left w:val="nil"/>
              <w:right w:val="nil"/>
            </w:tcBorders>
            <w:shd w:val="clear" w:color="auto" w:fill="auto"/>
            <w:vAlign w:val="bottom"/>
          </w:tcPr>
          <w:p w14:paraId="399790EB" w14:textId="4ED84EC5" w:rsidR="000B3C66" w:rsidRPr="009D1920" w:rsidRDefault="000B3C66" w:rsidP="000B3C66">
            <w:pPr>
              <w:suppressAutoHyphens/>
              <w:autoSpaceDN w:val="0"/>
              <w:jc w:val="right"/>
              <w:rPr>
                <w:rFonts w:ascii="Arial" w:eastAsia="Calibri" w:hAnsi="Arial" w:cs="Arial"/>
                <w:color w:val="000000" w:themeColor="text1"/>
                <w:sz w:val="20"/>
                <w:szCs w:val="20"/>
              </w:rPr>
            </w:pPr>
            <w:r w:rsidRPr="0077228B">
              <w:rPr>
                <w:rFonts w:ascii="Arial" w:eastAsia="Calibri" w:hAnsi="Arial" w:cs="Arial"/>
                <w:color w:val="000000" w:themeColor="text1"/>
                <w:sz w:val="20"/>
                <w:szCs w:val="20"/>
              </w:rPr>
              <w:t>(2)</w:t>
            </w:r>
          </w:p>
        </w:tc>
        <w:tc>
          <w:tcPr>
            <w:tcW w:w="1389" w:type="dxa"/>
            <w:tcBorders>
              <w:left w:val="nil"/>
              <w:right w:val="nil"/>
            </w:tcBorders>
            <w:shd w:val="clear" w:color="auto" w:fill="auto"/>
            <w:vAlign w:val="bottom"/>
          </w:tcPr>
          <w:p w14:paraId="069F5E71" w14:textId="4D6CD3E2" w:rsidR="000B3C66" w:rsidRPr="009D1920" w:rsidRDefault="00C05581" w:rsidP="000B3C66">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2</w:t>
            </w:r>
          </w:p>
        </w:tc>
        <w:tc>
          <w:tcPr>
            <w:tcW w:w="1389" w:type="dxa"/>
            <w:tcBorders>
              <w:left w:val="nil"/>
              <w:right w:val="nil"/>
            </w:tcBorders>
            <w:shd w:val="clear" w:color="auto" w:fill="auto"/>
            <w:vAlign w:val="bottom"/>
          </w:tcPr>
          <w:p w14:paraId="2AF6CB13" w14:textId="42703308" w:rsidR="000B3C66" w:rsidRPr="009D1920" w:rsidRDefault="000B3C66" w:rsidP="000B3C66">
            <w:pPr>
              <w:suppressAutoHyphens/>
              <w:autoSpaceDN w:val="0"/>
              <w:jc w:val="right"/>
              <w:rPr>
                <w:rFonts w:ascii="Arial" w:eastAsia="Calibri" w:hAnsi="Arial" w:cs="Arial"/>
                <w:color w:val="000000" w:themeColor="text1"/>
                <w:sz w:val="20"/>
                <w:szCs w:val="20"/>
              </w:rPr>
            </w:pPr>
            <w:r w:rsidRPr="00976504">
              <w:rPr>
                <w:rFonts w:ascii="Arial" w:eastAsia="Calibri" w:hAnsi="Arial" w:cs="Arial"/>
                <w:color w:val="000000" w:themeColor="text1"/>
                <w:sz w:val="20"/>
                <w:szCs w:val="20"/>
              </w:rPr>
              <w:t>(2)</w:t>
            </w:r>
          </w:p>
        </w:tc>
      </w:tr>
      <w:tr w:rsidR="000B3C66" w:rsidRPr="009D1920" w14:paraId="62A540DD" w14:textId="77777777" w:rsidTr="00E00DE1">
        <w:trPr>
          <w:trHeight w:val="385"/>
        </w:trPr>
        <w:tc>
          <w:tcPr>
            <w:tcW w:w="4109" w:type="dxa"/>
            <w:tcBorders>
              <w:top w:val="nil"/>
              <w:left w:val="nil"/>
              <w:bottom w:val="nil"/>
              <w:right w:val="nil"/>
            </w:tcBorders>
            <w:shd w:val="clear" w:color="auto" w:fill="auto"/>
            <w:vAlign w:val="bottom"/>
          </w:tcPr>
          <w:p w14:paraId="28B6BA27" w14:textId="77777777" w:rsidR="000B3C66" w:rsidRPr="009D1920" w:rsidRDefault="000B3C66" w:rsidP="000B3C66">
            <w:pPr>
              <w:suppressAutoHyphens/>
              <w:autoSpaceDN w:val="0"/>
              <w:rPr>
                <w:rFonts w:ascii="Arial" w:eastAsia="Calibri" w:hAnsi="Arial" w:cs="Arial"/>
                <w:color w:val="000000" w:themeColor="text1"/>
                <w:sz w:val="20"/>
                <w:szCs w:val="20"/>
              </w:rPr>
            </w:pPr>
            <w:r w:rsidRPr="009D1920">
              <w:rPr>
                <w:rFonts w:ascii="Arial" w:eastAsia="Calibri" w:hAnsi="Arial" w:cs="Arial"/>
                <w:color w:val="000000" w:themeColor="text1"/>
                <w:sz w:val="20"/>
                <w:szCs w:val="20"/>
              </w:rPr>
              <w:t>Ostala usklađenja</w:t>
            </w:r>
          </w:p>
        </w:tc>
        <w:tc>
          <w:tcPr>
            <w:tcW w:w="1389" w:type="dxa"/>
            <w:tcBorders>
              <w:left w:val="nil"/>
              <w:bottom w:val="single" w:sz="4" w:space="0" w:color="auto"/>
              <w:right w:val="nil"/>
            </w:tcBorders>
            <w:shd w:val="clear" w:color="auto" w:fill="auto"/>
            <w:vAlign w:val="bottom"/>
          </w:tcPr>
          <w:p w14:paraId="05104523" w14:textId="4D540D37" w:rsidR="000B3C66" w:rsidRPr="009D1920" w:rsidRDefault="002040A2" w:rsidP="000B3C66">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2</w:t>
            </w:r>
          </w:p>
        </w:tc>
        <w:tc>
          <w:tcPr>
            <w:tcW w:w="1389" w:type="dxa"/>
            <w:tcBorders>
              <w:left w:val="nil"/>
              <w:bottom w:val="single" w:sz="4" w:space="0" w:color="auto"/>
              <w:right w:val="nil"/>
            </w:tcBorders>
            <w:shd w:val="clear" w:color="auto" w:fill="auto"/>
            <w:vAlign w:val="bottom"/>
          </w:tcPr>
          <w:p w14:paraId="5C38F075" w14:textId="1205A5ED" w:rsidR="000B3C66" w:rsidRPr="009D1920" w:rsidRDefault="000B3C66" w:rsidP="000B3C66">
            <w:pPr>
              <w:suppressAutoHyphens/>
              <w:autoSpaceDN w:val="0"/>
              <w:jc w:val="right"/>
              <w:rPr>
                <w:rFonts w:ascii="Arial" w:eastAsia="Calibri" w:hAnsi="Arial" w:cs="Arial"/>
                <w:color w:val="000000" w:themeColor="text1"/>
                <w:sz w:val="20"/>
                <w:szCs w:val="20"/>
              </w:rPr>
            </w:pPr>
            <w:r w:rsidRPr="0077228B">
              <w:rPr>
                <w:rFonts w:ascii="Arial" w:eastAsia="Calibri" w:hAnsi="Arial" w:cs="Arial"/>
                <w:color w:val="000000" w:themeColor="text1"/>
                <w:sz w:val="20"/>
                <w:szCs w:val="20"/>
              </w:rPr>
              <w:t>(</w:t>
            </w:r>
            <w:r>
              <w:rPr>
                <w:rFonts w:ascii="Arial" w:eastAsia="Calibri" w:hAnsi="Arial" w:cs="Arial"/>
                <w:color w:val="000000" w:themeColor="text1"/>
                <w:sz w:val="20"/>
                <w:szCs w:val="20"/>
              </w:rPr>
              <w:t>8</w:t>
            </w:r>
            <w:r w:rsidRPr="0077228B">
              <w:rPr>
                <w:rFonts w:ascii="Arial" w:eastAsia="Calibri" w:hAnsi="Arial" w:cs="Arial"/>
                <w:color w:val="000000" w:themeColor="text1"/>
                <w:sz w:val="20"/>
                <w:szCs w:val="20"/>
              </w:rPr>
              <w:t>)</w:t>
            </w:r>
          </w:p>
        </w:tc>
        <w:tc>
          <w:tcPr>
            <w:tcW w:w="1389" w:type="dxa"/>
            <w:tcBorders>
              <w:left w:val="nil"/>
              <w:bottom w:val="single" w:sz="4" w:space="0" w:color="auto"/>
              <w:right w:val="nil"/>
            </w:tcBorders>
            <w:shd w:val="clear" w:color="auto" w:fill="auto"/>
            <w:vAlign w:val="bottom"/>
          </w:tcPr>
          <w:p w14:paraId="0F6DA0CF" w14:textId="3FAA681E" w:rsidR="000B3C66" w:rsidRPr="009D1920" w:rsidRDefault="00604B66" w:rsidP="000B3C66">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1</w:t>
            </w:r>
          </w:p>
        </w:tc>
        <w:tc>
          <w:tcPr>
            <w:tcW w:w="1389" w:type="dxa"/>
            <w:tcBorders>
              <w:left w:val="nil"/>
              <w:bottom w:val="single" w:sz="4" w:space="0" w:color="auto"/>
              <w:right w:val="nil"/>
            </w:tcBorders>
            <w:shd w:val="clear" w:color="auto" w:fill="auto"/>
            <w:vAlign w:val="bottom"/>
          </w:tcPr>
          <w:p w14:paraId="7BBED2AD" w14:textId="0FCE0EF4" w:rsidR="000B3C66" w:rsidRPr="009D1920" w:rsidRDefault="000B3C66" w:rsidP="000B3C66">
            <w:pPr>
              <w:suppressAutoHyphens/>
              <w:autoSpaceDN w:val="0"/>
              <w:jc w:val="right"/>
              <w:rPr>
                <w:rFonts w:ascii="Arial" w:eastAsia="Calibri" w:hAnsi="Arial" w:cs="Arial"/>
                <w:color w:val="000000" w:themeColor="text1"/>
                <w:sz w:val="20"/>
                <w:szCs w:val="20"/>
              </w:rPr>
            </w:pPr>
            <w:r w:rsidRPr="00976504">
              <w:rPr>
                <w:rFonts w:ascii="Arial" w:eastAsia="Calibri" w:hAnsi="Arial" w:cs="Arial"/>
                <w:color w:val="000000" w:themeColor="text1"/>
                <w:sz w:val="20"/>
                <w:szCs w:val="20"/>
              </w:rPr>
              <w:t>4</w:t>
            </w:r>
          </w:p>
        </w:tc>
      </w:tr>
      <w:tr w:rsidR="000B3C66" w:rsidRPr="009D1920" w14:paraId="137472F8" w14:textId="77777777" w:rsidTr="00E00DE1">
        <w:trPr>
          <w:trHeight w:val="385"/>
        </w:trPr>
        <w:tc>
          <w:tcPr>
            <w:tcW w:w="4109" w:type="dxa"/>
            <w:tcBorders>
              <w:top w:val="nil"/>
              <w:left w:val="nil"/>
              <w:bottom w:val="nil"/>
              <w:right w:val="nil"/>
            </w:tcBorders>
            <w:shd w:val="clear" w:color="auto" w:fill="auto"/>
            <w:vAlign w:val="bottom"/>
          </w:tcPr>
          <w:p w14:paraId="78B64E99" w14:textId="77777777" w:rsidR="000B3C66" w:rsidRPr="009D1920" w:rsidRDefault="000B3C66" w:rsidP="000B3C66">
            <w:pPr>
              <w:suppressAutoHyphens/>
              <w:autoSpaceDN w:val="0"/>
              <w:rPr>
                <w:rFonts w:ascii="Arial" w:eastAsia="Calibri" w:hAnsi="Arial" w:cs="Arial"/>
                <w:b/>
                <w:bCs/>
                <w:color w:val="000000" w:themeColor="text1"/>
                <w:sz w:val="20"/>
                <w:szCs w:val="20"/>
              </w:rPr>
            </w:pPr>
            <w:r w:rsidRPr="009D1920">
              <w:rPr>
                <w:rFonts w:ascii="Arial" w:eastAsia="Calibri" w:hAnsi="Arial" w:cs="Arial"/>
                <w:b/>
                <w:bCs/>
                <w:color w:val="000000" w:themeColor="text1"/>
                <w:sz w:val="20"/>
                <w:szCs w:val="20"/>
              </w:rPr>
              <w:t>Stanje na kraju izvještajnog razdoblja</w:t>
            </w:r>
          </w:p>
        </w:tc>
        <w:tc>
          <w:tcPr>
            <w:tcW w:w="1389" w:type="dxa"/>
            <w:tcBorders>
              <w:top w:val="single" w:sz="4" w:space="0" w:color="auto"/>
              <w:left w:val="nil"/>
              <w:bottom w:val="single" w:sz="12" w:space="0" w:color="auto"/>
              <w:right w:val="nil"/>
            </w:tcBorders>
            <w:shd w:val="clear" w:color="auto" w:fill="auto"/>
            <w:noWrap/>
            <w:vAlign w:val="bottom"/>
          </w:tcPr>
          <w:p w14:paraId="04F24E81" w14:textId="6817A86D" w:rsidR="000B3C66" w:rsidRPr="009D1920" w:rsidRDefault="00EB1650" w:rsidP="000B3C66">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4.314</w:t>
            </w:r>
          </w:p>
        </w:tc>
        <w:tc>
          <w:tcPr>
            <w:tcW w:w="1389" w:type="dxa"/>
            <w:tcBorders>
              <w:top w:val="single" w:sz="4" w:space="0" w:color="auto"/>
              <w:left w:val="nil"/>
              <w:bottom w:val="single" w:sz="12" w:space="0" w:color="auto"/>
              <w:right w:val="nil"/>
            </w:tcBorders>
            <w:shd w:val="clear" w:color="auto" w:fill="auto"/>
            <w:vAlign w:val="bottom"/>
          </w:tcPr>
          <w:p w14:paraId="5EBA5559" w14:textId="11D3ACC6" w:rsidR="000B3C66" w:rsidRPr="009D1920" w:rsidRDefault="000B3C66" w:rsidP="000B3C66">
            <w:pPr>
              <w:suppressAutoHyphens/>
              <w:autoSpaceDN w:val="0"/>
              <w:jc w:val="right"/>
              <w:rPr>
                <w:rFonts w:ascii="Arial" w:eastAsia="Calibri" w:hAnsi="Arial" w:cs="Arial"/>
                <w:b/>
                <w:bCs/>
                <w:color w:val="000000" w:themeColor="text1"/>
                <w:sz w:val="20"/>
                <w:szCs w:val="20"/>
              </w:rPr>
            </w:pPr>
            <w:r w:rsidRPr="0077228B">
              <w:rPr>
                <w:rFonts w:ascii="Arial" w:eastAsia="Calibri" w:hAnsi="Arial" w:cs="Arial"/>
                <w:b/>
                <w:color w:val="000000" w:themeColor="text1"/>
                <w:sz w:val="20"/>
                <w:szCs w:val="20"/>
              </w:rPr>
              <w:t>4.393</w:t>
            </w:r>
          </w:p>
        </w:tc>
        <w:tc>
          <w:tcPr>
            <w:tcW w:w="1389" w:type="dxa"/>
            <w:tcBorders>
              <w:top w:val="single" w:sz="4" w:space="0" w:color="auto"/>
              <w:left w:val="nil"/>
              <w:bottom w:val="single" w:sz="12" w:space="0" w:color="auto"/>
              <w:right w:val="nil"/>
            </w:tcBorders>
            <w:shd w:val="clear" w:color="auto" w:fill="auto"/>
            <w:vAlign w:val="bottom"/>
          </w:tcPr>
          <w:p w14:paraId="2D6910CC" w14:textId="5394C966" w:rsidR="000B3C66" w:rsidRPr="009D1920" w:rsidRDefault="00604B66" w:rsidP="000B3C66">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4.305</w:t>
            </w:r>
          </w:p>
        </w:tc>
        <w:tc>
          <w:tcPr>
            <w:tcW w:w="1389" w:type="dxa"/>
            <w:tcBorders>
              <w:top w:val="single" w:sz="4" w:space="0" w:color="auto"/>
              <w:left w:val="nil"/>
              <w:bottom w:val="single" w:sz="12" w:space="0" w:color="auto"/>
              <w:right w:val="nil"/>
            </w:tcBorders>
            <w:shd w:val="clear" w:color="auto" w:fill="auto"/>
            <w:vAlign w:val="bottom"/>
          </w:tcPr>
          <w:p w14:paraId="32B6374E" w14:textId="4730E271" w:rsidR="000B3C66" w:rsidRPr="009D1920" w:rsidRDefault="000B3C66" w:rsidP="000B3C66">
            <w:pPr>
              <w:suppressAutoHyphens/>
              <w:autoSpaceDN w:val="0"/>
              <w:jc w:val="right"/>
              <w:rPr>
                <w:rFonts w:ascii="Arial" w:eastAsia="Calibri" w:hAnsi="Arial" w:cs="Arial"/>
                <w:b/>
                <w:bCs/>
                <w:color w:val="000000" w:themeColor="text1"/>
                <w:sz w:val="20"/>
                <w:szCs w:val="20"/>
              </w:rPr>
            </w:pPr>
            <w:r w:rsidRPr="00976504">
              <w:rPr>
                <w:rFonts w:ascii="Arial" w:eastAsia="Calibri" w:hAnsi="Arial" w:cs="Arial"/>
                <w:b/>
                <w:bCs/>
                <w:color w:val="000000" w:themeColor="text1"/>
                <w:sz w:val="20"/>
                <w:szCs w:val="20"/>
              </w:rPr>
              <w:t>4.385</w:t>
            </w:r>
          </w:p>
        </w:tc>
      </w:tr>
    </w:tbl>
    <w:p w14:paraId="756B6071"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p w14:paraId="7818C6B3" w14:textId="1B18A17D"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Neto dobit/gubitak od tečajnih razlika po rezerviranjima za očekivane gubitke prikazane su unutar Neto prihoda/(rashoda) od financijskih aktivnosti u Računu dobiti i gubitku.</w:t>
      </w:r>
    </w:p>
    <w:p w14:paraId="1AF7F4E1" w14:textId="357A259E"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pPr>
    </w:p>
    <w:p w14:paraId="292CC75E" w14:textId="77777777" w:rsidR="00C81475" w:rsidRPr="003D1614" w:rsidRDefault="00C81475" w:rsidP="00C81475">
      <w:pPr>
        <w:keepNext/>
        <w:suppressAutoHyphens/>
        <w:autoSpaceDN w:val="0"/>
        <w:jc w:val="both"/>
        <w:outlineLvl w:val="0"/>
        <w:rPr>
          <w:rFonts w:ascii="Arial" w:eastAsia="Times New Roman" w:hAnsi="Arial" w:cs="Arial"/>
          <w:color w:val="000000" w:themeColor="text1"/>
          <w:sz w:val="20"/>
          <w:szCs w:val="20"/>
        </w:rPr>
        <w:sectPr w:rsidR="00C81475" w:rsidRPr="003D1614">
          <w:pgSz w:w="11906" w:h="16838"/>
          <w:pgMar w:top="1417" w:right="1417" w:bottom="1417" w:left="1417" w:header="708" w:footer="708" w:gutter="0"/>
          <w:cols w:space="708"/>
          <w:docGrid w:linePitch="360"/>
        </w:sectPr>
      </w:pPr>
    </w:p>
    <w:p w14:paraId="044B68D4" w14:textId="77777777" w:rsidR="00FC2BEF" w:rsidRPr="003D1614" w:rsidRDefault="00FC2BEF" w:rsidP="00FC2BEF">
      <w:pPr>
        <w:keepNext/>
        <w:suppressAutoHyphens/>
        <w:autoSpaceDN w:val="0"/>
        <w:jc w:val="both"/>
        <w:outlineLvl w:val="0"/>
        <w:rPr>
          <w:rFonts w:ascii="Arial" w:eastAsia="Times New Roman" w:hAnsi="Arial" w:cs="Arial"/>
          <w:b/>
          <w:bCs/>
          <w:color w:val="000000" w:themeColor="text1"/>
          <w:sz w:val="20"/>
          <w:szCs w:val="20"/>
        </w:rPr>
      </w:pPr>
    </w:p>
    <w:p w14:paraId="5C014BE1" w14:textId="68F052BB" w:rsidR="00FC2BEF" w:rsidRPr="003D1614" w:rsidRDefault="00FC2BEF" w:rsidP="00FC2BEF">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0E693B">
        <w:rPr>
          <w:rFonts w:ascii="Arial" w:eastAsia="Times New Roman" w:hAnsi="Arial" w:cs="Arial"/>
          <w:b/>
          <w:bCs/>
          <w:color w:val="000000" w:themeColor="text1"/>
          <w:sz w:val="20"/>
          <w:szCs w:val="20"/>
        </w:rPr>
        <w:t>7</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Obveze po depozitima</w:t>
      </w:r>
    </w:p>
    <w:p w14:paraId="38C8DFCA" w14:textId="77777777" w:rsidR="00FC2BEF" w:rsidRPr="003D1614" w:rsidRDefault="00FC2BEF" w:rsidP="00FC2BEF">
      <w:pPr>
        <w:keepNext/>
        <w:suppressAutoHyphens/>
        <w:autoSpaceDN w:val="0"/>
        <w:jc w:val="both"/>
        <w:outlineLvl w:val="0"/>
        <w:rPr>
          <w:rFonts w:ascii="Arial" w:eastAsia="Times New Roman" w:hAnsi="Arial" w:cs="Arial"/>
          <w:b/>
          <w:bCs/>
          <w:color w:val="000000" w:themeColor="text1"/>
          <w:sz w:val="20"/>
          <w:szCs w:val="20"/>
        </w:rPr>
      </w:pPr>
    </w:p>
    <w:tbl>
      <w:tblPr>
        <w:tblW w:w="4934" w:type="pct"/>
        <w:tblLayout w:type="fixed"/>
        <w:tblCellMar>
          <w:left w:w="119" w:type="dxa"/>
          <w:right w:w="119" w:type="dxa"/>
        </w:tblCellMar>
        <w:tblLook w:val="0000" w:firstRow="0" w:lastRow="0" w:firstColumn="0" w:lastColumn="0" w:noHBand="0" w:noVBand="0"/>
      </w:tblPr>
      <w:tblGrid>
        <w:gridCol w:w="5776"/>
        <w:gridCol w:w="1588"/>
        <w:gridCol w:w="1588"/>
      </w:tblGrid>
      <w:tr w:rsidR="00FC2BEF" w:rsidRPr="005C2756" w14:paraId="4C8C87A7" w14:textId="77777777" w:rsidTr="005C2756">
        <w:trPr>
          <w:trHeight w:val="156"/>
        </w:trPr>
        <w:tc>
          <w:tcPr>
            <w:tcW w:w="3226" w:type="pct"/>
            <w:vAlign w:val="bottom"/>
          </w:tcPr>
          <w:p w14:paraId="0D3E1530" w14:textId="77777777" w:rsidR="00FC2BEF" w:rsidRPr="005C2756" w:rsidRDefault="00FC2BEF" w:rsidP="00FC2BEF">
            <w:pPr>
              <w:tabs>
                <w:tab w:val="left" w:pos="-1962"/>
              </w:tabs>
              <w:suppressAutoHyphens/>
              <w:autoSpaceDN w:val="0"/>
              <w:rPr>
                <w:rFonts w:ascii="Arial" w:eastAsia="Times New Roman" w:hAnsi="Arial" w:cs="Arial"/>
                <w:color w:val="000000" w:themeColor="text1"/>
                <w:spacing w:val="-3"/>
                <w:sz w:val="20"/>
                <w:szCs w:val="20"/>
              </w:rPr>
            </w:pPr>
          </w:p>
        </w:tc>
        <w:tc>
          <w:tcPr>
            <w:tcW w:w="1774" w:type="pct"/>
            <w:gridSpan w:val="2"/>
            <w:vAlign w:val="bottom"/>
          </w:tcPr>
          <w:p w14:paraId="21BF8CE2" w14:textId="77777777" w:rsidR="00FC2BEF" w:rsidRPr="005C2756"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44" w:name="_Toc67328693"/>
            <w:r w:rsidRPr="005C2756">
              <w:rPr>
                <w:rFonts w:ascii="Arial" w:eastAsia="Times New Roman" w:hAnsi="Arial" w:cs="Arial"/>
                <w:b/>
                <w:color w:val="000000" w:themeColor="text1"/>
                <w:sz w:val="20"/>
                <w:szCs w:val="20"/>
              </w:rPr>
              <w:t>Grupa i Banka</w:t>
            </w:r>
            <w:bookmarkEnd w:id="444"/>
          </w:p>
        </w:tc>
      </w:tr>
      <w:tr w:rsidR="00FC2BEF" w:rsidRPr="005C2756" w14:paraId="55710A76" w14:textId="77777777" w:rsidTr="005C2756">
        <w:trPr>
          <w:trHeight w:val="510"/>
        </w:trPr>
        <w:tc>
          <w:tcPr>
            <w:tcW w:w="3226" w:type="pct"/>
            <w:vAlign w:val="bottom"/>
          </w:tcPr>
          <w:p w14:paraId="463CEB6F" w14:textId="77777777" w:rsidR="00FC2BEF" w:rsidRPr="005C2756" w:rsidRDefault="00FC2BEF" w:rsidP="00FC2BEF">
            <w:pPr>
              <w:tabs>
                <w:tab w:val="left" w:pos="-1962"/>
              </w:tabs>
              <w:suppressAutoHyphens/>
              <w:autoSpaceDN w:val="0"/>
              <w:rPr>
                <w:rFonts w:ascii="Arial" w:eastAsia="Times New Roman" w:hAnsi="Arial" w:cs="Arial"/>
                <w:color w:val="000000" w:themeColor="text1"/>
                <w:spacing w:val="-3"/>
                <w:sz w:val="20"/>
                <w:szCs w:val="20"/>
              </w:rPr>
            </w:pPr>
          </w:p>
        </w:tc>
        <w:tc>
          <w:tcPr>
            <w:tcW w:w="887" w:type="pct"/>
            <w:vAlign w:val="bottom"/>
          </w:tcPr>
          <w:p w14:paraId="2A20CC08" w14:textId="65437148" w:rsidR="00FC2BEF" w:rsidRPr="005C2756"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45" w:name="_Toc67328694"/>
            <w:r w:rsidRPr="005C2756">
              <w:rPr>
                <w:rFonts w:ascii="Arial" w:eastAsia="Times New Roman" w:hAnsi="Arial" w:cs="Arial"/>
                <w:b/>
                <w:color w:val="000000" w:themeColor="text1"/>
                <w:sz w:val="20"/>
                <w:szCs w:val="20"/>
              </w:rPr>
              <w:t xml:space="preserve">31. ožujka </w:t>
            </w:r>
          </w:p>
          <w:p w14:paraId="4740060E" w14:textId="0E406917" w:rsidR="00FC2BEF" w:rsidRPr="005C2756"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5C2756">
              <w:rPr>
                <w:rFonts w:ascii="Arial" w:eastAsia="Times New Roman" w:hAnsi="Arial" w:cs="Arial"/>
                <w:b/>
                <w:color w:val="000000" w:themeColor="text1"/>
                <w:sz w:val="20"/>
                <w:szCs w:val="20"/>
              </w:rPr>
              <w:t>202</w:t>
            </w:r>
            <w:r w:rsidR="003C0138">
              <w:rPr>
                <w:rFonts w:ascii="Arial" w:eastAsia="Times New Roman" w:hAnsi="Arial" w:cs="Arial"/>
                <w:b/>
                <w:color w:val="000000" w:themeColor="text1"/>
                <w:sz w:val="20"/>
                <w:szCs w:val="20"/>
              </w:rPr>
              <w:t>4</w:t>
            </w:r>
            <w:r w:rsidRPr="005C2756">
              <w:rPr>
                <w:rFonts w:ascii="Arial" w:eastAsia="Times New Roman" w:hAnsi="Arial" w:cs="Arial"/>
                <w:b/>
                <w:color w:val="000000" w:themeColor="text1"/>
                <w:sz w:val="20"/>
                <w:szCs w:val="20"/>
              </w:rPr>
              <w:t>.</w:t>
            </w:r>
            <w:bookmarkEnd w:id="445"/>
          </w:p>
        </w:tc>
        <w:tc>
          <w:tcPr>
            <w:tcW w:w="887" w:type="pct"/>
            <w:vAlign w:val="bottom"/>
          </w:tcPr>
          <w:p w14:paraId="7E3514EF" w14:textId="58C18A1C" w:rsidR="00FC2BEF" w:rsidRPr="005C2756"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46" w:name="_Toc67328695"/>
            <w:r w:rsidRPr="005C2756">
              <w:rPr>
                <w:rFonts w:ascii="Arial" w:eastAsia="Times New Roman" w:hAnsi="Arial" w:cs="Arial"/>
                <w:b/>
                <w:color w:val="000000" w:themeColor="text1"/>
                <w:sz w:val="20"/>
                <w:szCs w:val="20"/>
              </w:rPr>
              <w:t>31. prosinca 202</w:t>
            </w:r>
            <w:r w:rsidR="003C0138">
              <w:rPr>
                <w:rFonts w:ascii="Arial" w:eastAsia="Times New Roman" w:hAnsi="Arial" w:cs="Arial"/>
                <w:b/>
                <w:color w:val="000000" w:themeColor="text1"/>
                <w:sz w:val="20"/>
                <w:szCs w:val="20"/>
              </w:rPr>
              <w:t>3</w:t>
            </w:r>
            <w:r w:rsidRPr="005C2756">
              <w:rPr>
                <w:rFonts w:ascii="Arial" w:eastAsia="Times New Roman" w:hAnsi="Arial" w:cs="Arial"/>
                <w:b/>
                <w:color w:val="000000" w:themeColor="text1"/>
                <w:sz w:val="20"/>
                <w:szCs w:val="20"/>
              </w:rPr>
              <w:t>.</w:t>
            </w:r>
            <w:bookmarkEnd w:id="446"/>
          </w:p>
        </w:tc>
      </w:tr>
      <w:tr w:rsidR="00FC2BEF" w:rsidRPr="005C2756" w14:paraId="0D840B9C" w14:textId="77777777" w:rsidTr="005C2756">
        <w:trPr>
          <w:trHeight w:val="300"/>
        </w:trPr>
        <w:tc>
          <w:tcPr>
            <w:tcW w:w="3226" w:type="pct"/>
            <w:vAlign w:val="bottom"/>
          </w:tcPr>
          <w:p w14:paraId="6CAB3199" w14:textId="77777777" w:rsidR="00FC2BEF" w:rsidRPr="005C2756" w:rsidRDefault="00FC2BEF" w:rsidP="00FC2BEF">
            <w:pPr>
              <w:tabs>
                <w:tab w:val="left" w:pos="-1962"/>
              </w:tabs>
              <w:suppressAutoHyphens/>
              <w:autoSpaceDN w:val="0"/>
              <w:rPr>
                <w:rFonts w:ascii="Arial" w:eastAsia="Times New Roman" w:hAnsi="Arial" w:cs="Arial"/>
                <w:color w:val="000000" w:themeColor="text1"/>
                <w:spacing w:val="-3"/>
                <w:sz w:val="20"/>
                <w:szCs w:val="20"/>
              </w:rPr>
            </w:pPr>
          </w:p>
        </w:tc>
        <w:tc>
          <w:tcPr>
            <w:tcW w:w="887" w:type="pct"/>
            <w:vAlign w:val="bottom"/>
          </w:tcPr>
          <w:p w14:paraId="7E9AA786" w14:textId="1AA4FA74" w:rsidR="00FC2BEF" w:rsidRPr="005C2756" w:rsidRDefault="00FC2BEF" w:rsidP="00FC2BEF">
            <w:pPr>
              <w:suppressAutoHyphens/>
              <w:autoSpaceDN w:val="0"/>
              <w:jc w:val="right"/>
              <w:rPr>
                <w:rFonts w:ascii="Arial" w:eastAsia="Times New Roman" w:hAnsi="Arial" w:cs="Arial"/>
                <w:b/>
                <w:color w:val="000000" w:themeColor="text1"/>
                <w:spacing w:val="-3"/>
                <w:sz w:val="20"/>
                <w:szCs w:val="20"/>
              </w:rPr>
            </w:pPr>
            <w:r w:rsidRPr="005C2756">
              <w:rPr>
                <w:rFonts w:ascii="Arial" w:eastAsia="Times New Roman" w:hAnsi="Arial" w:cs="Arial"/>
                <w:b/>
                <w:color w:val="000000" w:themeColor="text1"/>
                <w:spacing w:val="-3"/>
                <w:sz w:val="20"/>
                <w:szCs w:val="20"/>
              </w:rPr>
              <w:t>000 eura</w:t>
            </w:r>
          </w:p>
        </w:tc>
        <w:tc>
          <w:tcPr>
            <w:tcW w:w="887" w:type="pct"/>
            <w:vAlign w:val="bottom"/>
          </w:tcPr>
          <w:p w14:paraId="0E19C415" w14:textId="7EFBAB6A" w:rsidR="00FC2BEF" w:rsidRPr="005C2756" w:rsidRDefault="00FC2BEF" w:rsidP="00FC2BEF">
            <w:pPr>
              <w:suppressAutoHyphens/>
              <w:autoSpaceDN w:val="0"/>
              <w:jc w:val="right"/>
              <w:rPr>
                <w:rFonts w:ascii="Arial" w:eastAsia="Times New Roman" w:hAnsi="Arial" w:cs="Arial"/>
                <w:b/>
                <w:color w:val="000000" w:themeColor="text1"/>
                <w:spacing w:val="-3"/>
                <w:sz w:val="20"/>
                <w:szCs w:val="20"/>
              </w:rPr>
            </w:pPr>
            <w:r w:rsidRPr="005C2756">
              <w:rPr>
                <w:rFonts w:ascii="Arial" w:eastAsia="Times New Roman" w:hAnsi="Arial" w:cs="Arial"/>
                <w:b/>
                <w:color w:val="000000" w:themeColor="text1"/>
                <w:spacing w:val="-3"/>
                <w:sz w:val="20"/>
                <w:szCs w:val="20"/>
              </w:rPr>
              <w:t>000 eura</w:t>
            </w:r>
          </w:p>
        </w:tc>
      </w:tr>
      <w:tr w:rsidR="00FC2BEF" w:rsidRPr="005C2756" w14:paraId="7EB80B5B" w14:textId="77777777" w:rsidTr="005C2756">
        <w:trPr>
          <w:trHeight w:val="300"/>
        </w:trPr>
        <w:tc>
          <w:tcPr>
            <w:tcW w:w="3226" w:type="pct"/>
            <w:vAlign w:val="bottom"/>
          </w:tcPr>
          <w:p w14:paraId="1DBE1912" w14:textId="77777777" w:rsidR="00FC2BEF" w:rsidRPr="005C2756" w:rsidRDefault="00FC2BEF" w:rsidP="00FC2BEF">
            <w:pPr>
              <w:tabs>
                <w:tab w:val="left" w:pos="-1962"/>
              </w:tabs>
              <w:suppressAutoHyphens/>
              <w:autoSpaceDN w:val="0"/>
              <w:rPr>
                <w:rFonts w:ascii="Arial" w:eastAsia="Times New Roman" w:hAnsi="Arial" w:cs="Arial"/>
                <w:color w:val="000000" w:themeColor="text1"/>
                <w:spacing w:val="-3"/>
                <w:sz w:val="20"/>
                <w:szCs w:val="20"/>
              </w:rPr>
            </w:pPr>
          </w:p>
        </w:tc>
        <w:tc>
          <w:tcPr>
            <w:tcW w:w="887" w:type="pct"/>
            <w:vAlign w:val="bottom"/>
          </w:tcPr>
          <w:p w14:paraId="20D48043" w14:textId="77777777" w:rsidR="00FC2BEF" w:rsidRPr="005C2756" w:rsidRDefault="00FC2BEF" w:rsidP="00FC2BEF">
            <w:pPr>
              <w:suppressAutoHyphens/>
              <w:autoSpaceDN w:val="0"/>
              <w:jc w:val="right"/>
              <w:rPr>
                <w:rFonts w:ascii="Arial" w:eastAsia="Times New Roman" w:hAnsi="Arial" w:cs="Arial"/>
                <w:b/>
                <w:color w:val="000000" w:themeColor="text1"/>
                <w:spacing w:val="-3"/>
                <w:sz w:val="20"/>
                <w:szCs w:val="20"/>
              </w:rPr>
            </w:pPr>
          </w:p>
        </w:tc>
        <w:tc>
          <w:tcPr>
            <w:tcW w:w="887" w:type="pct"/>
            <w:vAlign w:val="bottom"/>
          </w:tcPr>
          <w:p w14:paraId="13495113" w14:textId="77777777" w:rsidR="00FC2BEF" w:rsidRPr="005C2756" w:rsidRDefault="00FC2BEF" w:rsidP="00FC2BEF">
            <w:pPr>
              <w:suppressAutoHyphens/>
              <w:autoSpaceDN w:val="0"/>
              <w:jc w:val="right"/>
              <w:rPr>
                <w:rFonts w:ascii="Arial" w:eastAsia="Times New Roman" w:hAnsi="Arial" w:cs="Arial"/>
                <w:b/>
                <w:color w:val="000000" w:themeColor="text1"/>
                <w:spacing w:val="-3"/>
                <w:sz w:val="20"/>
                <w:szCs w:val="20"/>
              </w:rPr>
            </w:pPr>
          </w:p>
        </w:tc>
      </w:tr>
      <w:tr w:rsidR="00A428C3" w:rsidRPr="005C2756" w14:paraId="21D68A2D" w14:textId="77777777" w:rsidTr="005C2756">
        <w:trPr>
          <w:trHeight w:val="120"/>
        </w:trPr>
        <w:tc>
          <w:tcPr>
            <w:tcW w:w="3226" w:type="pct"/>
            <w:vAlign w:val="bottom"/>
          </w:tcPr>
          <w:p w14:paraId="7598B0DE" w14:textId="336E4F25" w:rsidR="00A428C3" w:rsidRPr="005C2756" w:rsidRDefault="00A428C3" w:rsidP="00A428C3">
            <w:pPr>
              <w:tabs>
                <w:tab w:val="right" w:pos="1202"/>
              </w:tabs>
              <w:suppressAutoHyphens/>
              <w:autoSpaceDN w:val="0"/>
              <w:spacing w:line="301" w:lineRule="exact"/>
              <w:outlineLvl w:val="0"/>
              <w:rPr>
                <w:rFonts w:ascii="Arial" w:eastAsia="Times New Roman" w:hAnsi="Arial" w:cs="Arial"/>
                <w:color w:val="000000" w:themeColor="text1"/>
                <w:sz w:val="20"/>
                <w:szCs w:val="20"/>
              </w:rPr>
            </w:pPr>
            <w:r w:rsidRPr="005C2756">
              <w:rPr>
                <w:rFonts w:ascii="Arial" w:eastAsia="Times New Roman" w:hAnsi="Arial" w:cs="Arial"/>
                <w:color w:val="000000" w:themeColor="text1"/>
                <w:sz w:val="20"/>
                <w:szCs w:val="20"/>
              </w:rPr>
              <w:t>Depoziti banaka i depoziti stranih financijskih institucija</w:t>
            </w:r>
          </w:p>
        </w:tc>
        <w:tc>
          <w:tcPr>
            <w:tcW w:w="887" w:type="pct"/>
            <w:tcBorders>
              <w:top w:val="nil"/>
              <w:left w:val="nil"/>
              <w:bottom w:val="nil"/>
              <w:right w:val="nil"/>
            </w:tcBorders>
            <w:shd w:val="clear" w:color="auto" w:fill="auto"/>
            <w:vAlign w:val="bottom"/>
          </w:tcPr>
          <w:p w14:paraId="7DC63CF1" w14:textId="2C8BD8C3" w:rsidR="00A428C3" w:rsidRPr="005C2756" w:rsidRDefault="003B5439" w:rsidP="00A428C3">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44.387</w:t>
            </w:r>
          </w:p>
        </w:tc>
        <w:tc>
          <w:tcPr>
            <w:tcW w:w="887" w:type="pct"/>
            <w:tcBorders>
              <w:top w:val="nil"/>
              <w:left w:val="nil"/>
              <w:bottom w:val="nil"/>
              <w:right w:val="nil"/>
            </w:tcBorders>
            <w:shd w:val="clear" w:color="auto" w:fill="auto"/>
            <w:vAlign w:val="bottom"/>
          </w:tcPr>
          <w:p w14:paraId="391CD2FA" w14:textId="65DF6F1D" w:rsidR="00A428C3" w:rsidRPr="00A428C3" w:rsidRDefault="00A428C3" w:rsidP="00A428C3">
            <w:pPr>
              <w:tabs>
                <w:tab w:val="right" w:pos="1202"/>
              </w:tabs>
              <w:suppressAutoHyphens/>
              <w:autoSpaceDN w:val="0"/>
              <w:jc w:val="right"/>
              <w:outlineLvl w:val="0"/>
              <w:rPr>
                <w:rFonts w:ascii="Arial" w:eastAsia="Times New Roman" w:hAnsi="Arial" w:cs="Arial"/>
                <w:color w:val="000000" w:themeColor="text1"/>
                <w:sz w:val="20"/>
                <w:szCs w:val="20"/>
              </w:rPr>
            </w:pPr>
            <w:r w:rsidRPr="00A428C3">
              <w:rPr>
                <w:rFonts w:ascii="Arial" w:hAnsi="Arial" w:cs="Arial"/>
                <w:color w:val="000000" w:themeColor="text1"/>
                <w:sz w:val="20"/>
              </w:rPr>
              <w:t>56.500</w:t>
            </w:r>
          </w:p>
        </w:tc>
      </w:tr>
      <w:tr w:rsidR="00A428C3" w:rsidRPr="005C2756" w14:paraId="68297C7D" w14:textId="77777777" w:rsidTr="005C2756">
        <w:trPr>
          <w:trHeight w:val="120"/>
        </w:trPr>
        <w:tc>
          <w:tcPr>
            <w:tcW w:w="3226" w:type="pct"/>
            <w:vAlign w:val="bottom"/>
          </w:tcPr>
          <w:p w14:paraId="3E7FB385" w14:textId="6B54FAA0" w:rsidR="00A428C3" w:rsidRPr="005C2756" w:rsidRDefault="00A428C3" w:rsidP="00A428C3">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47" w:name="_Toc67328698"/>
            <w:r w:rsidRPr="005C2756">
              <w:rPr>
                <w:rFonts w:ascii="Arial" w:eastAsia="Times New Roman" w:hAnsi="Arial" w:cs="Arial"/>
                <w:color w:val="000000" w:themeColor="text1"/>
                <w:sz w:val="20"/>
                <w:szCs w:val="20"/>
              </w:rPr>
              <w:t>Redovni računi trgovačkih društava</w:t>
            </w:r>
            <w:bookmarkEnd w:id="447"/>
          </w:p>
        </w:tc>
        <w:tc>
          <w:tcPr>
            <w:tcW w:w="887" w:type="pct"/>
            <w:tcBorders>
              <w:top w:val="nil"/>
              <w:left w:val="nil"/>
              <w:bottom w:val="nil"/>
              <w:right w:val="nil"/>
            </w:tcBorders>
            <w:shd w:val="clear" w:color="auto" w:fill="auto"/>
            <w:vAlign w:val="bottom"/>
          </w:tcPr>
          <w:p w14:paraId="4416C09F" w14:textId="23DFF649" w:rsidR="00A428C3" w:rsidRPr="005C2756" w:rsidRDefault="00D83202" w:rsidP="00A428C3">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w:t>
            </w:r>
          </w:p>
        </w:tc>
        <w:tc>
          <w:tcPr>
            <w:tcW w:w="887" w:type="pct"/>
            <w:tcBorders>
              <w:top w:val="nil"/>
              <w:left w:val="nil"/>
              <w:bottom w:val="nil"/>
              <w:right w:val="nil"/>
            </w:tcBorders>
            <w:shd w:val="clear" w:color="auto" w:fill="auto"/>
            <w:vAlign w:val="bottom"/>
          </w:tcPr>
          <w:p w14:paraId="37E85C4B" w14:textId="45A8062D" w:rsidR="00A428C3" w:rsidRPr="00A428C3" w:rsidRDefault="00A428C3" w:rsidP="00A428C3">
            <w:pPr>
              <w:tabs>
                <w:tab w:val="right" w:pos="1202"/>
              </w:tabs>
              <w:suppressAutoHyphens/>
              <w:autoSpaceDN w:val="0"/>
              <w:jc w:val="right"/>
              <w:outlineLvl w:val="0"/>
              <w:rPr>
                <w:rFonts w:ascii="Arial" w:eastAsia="Times New Roman" w:hAnsi="Arial" w:cs="Arial"/>
                <w:color w:val="000000" w:themeColor="text1"/>
                <w:sz w:val="20"/>
                <w:szCs w:val="20"/>
              </w:rPr>
            </w:pPr>
            <w:r w:rsidRPr="00A428C3">
              <w:rPr>
                <w:rFonts w:ascii="Arial" w:hAnsi="Arial" w:cs="Arial"/>
                <w:color w:val="000000" w:themeColor="text1"/>
                <w:sz w:val="20"/>
              </w:rPr>
              <w:t>3</w:t>
            </w:r>
          </w:p>
        </w:tc>
      </w:tr>
      <w:tr w:rsidR="00A428C3" w:rsidRPr="005C2756" w14:paraId="146C2531" w14:textId="77777777" w:rsidTr="005C2756">
        <w:trPr>
          <w:trHeight w:val="120"/>
        </w:trPr>
        <w:tc>
          <w:tcPr>
            <w:tcW w:w="3226" w:type="pct"/>
            <w:vAlign w:val="bottom"/>
          </w:tcPr>
          <w:p w14:paraId="1A99C00C" w14:textId="5DFD95C0" w:rsidR="00A428C3" w:rsidRPr="005C2756" w:rsidRDefault="00A428C3" w:rsidP="00A428C3">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bookmarkStart w:id="448" w:name="_Toc67328700"/>
            <w:r w:rsidRPr="005C2756">
              <w:rPr>
                <w:rFonts w:ascii="Arial" w:eastAsia="Times New Roman" w:hAnsi="Arial" w:cs="Arial"/>
                <w:color w:val="000000" w:themeColor="text1"/>
                <w:spacing w:val="-2"/>
                <w:sz w:val="20"/>
                <w:szCs w:val="20"/>
              </w:rPr>
              <w:t>Račun Ministarstva financija RH</w:t>
            </w:r>
            <w:bookmarkEnd w:id="448"/>
          </w:p>
        </w:tc>
        <w:tc>
          <w:tcPr>
            <w:tcW w:w="887" w:type="pct"/>
            <w:tcBorders>
              <w:top w:val="nil"/>
              <w:left w:val="nil"/>
              <w:bottom w:val="nil"/>
              <w:right w:val="nil"/>
            </w:tcBorders>
            <w:shd w:val="clear" w:color="auto" w:fill="auto"/>
            <w:vAlign w:val="bottom"/>
          </w:tcPr>
          <w:p w14:paraId="176950C6" w14:textId="71213CCB" w:rsidR="00A428C3" w:rsidRPr="005C2756" w:rsidRDefault="00D83202" w:rsidP="00A428C3">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19.167</w:t>
            </w:r>
          </w:p>
        </w:tc>
        <w:tc>
          <w:tcPr>
            <w:tcW w:w="887" w:type="pct"/>
            <w:tcBorders>
              <w:top w:val="nil"/>
              <w:left w:val="nil"/>
              <w:bottom w:val="nil"/>
              <w:right w:val="nil"/>
            </w:tcBorders>
            <w:shd w:val="clear" w:color="auto" w:fill="auto"/>
            <w:vAlign w:val="bottom"/>
          </w:tcPr>
          <w:p w14:paraId="3E4C6930" w14:textId="132259D5" w:rsidR="00A428C3" w:rsidRPr="00A428C3" w:rsidRDefault="00A428C3" w:rsidP="00A428C3">
            <w:pPr>
              <w:tabs>
                <w:tab w:val="right" w:pos="1202"/>
              </w:tabs>
              <w:suppressAutoHyphens/>
              <w:autoSpaceDN w:val="0"/>
              <w:jc w:val="right"/>
              <w:outlineLvl w:val="0"/>
              <w:rPr>
                <w:rFonts w:ascii="Arial" w:eastAsia="Times New Roman" w:hAnsi="Arial" w:cs="Arial"/>
                <w:color w:val="000000" w:themeColor="text1"/>
                <w:sz w:val="20"/>
                <w:szCs w:val="20"/>
              </w:rPr>
            </w:pPr>
            <w:r w:rsidRPr="00A428C3">
              <w:rPr>
                <w:rFonts w:ascii="Arial" w:hAnsi="Arial" w:cs="Arial"/>
                <w:color w:val="000000" w:themeColor="text1"/>
                <w:sz w:val="20"/>
              </w:rPr>
              <w:t>24.385</w:t>
            </w:r>
          </w:p>
        </w:tc>
      </w:tr>
      <w:tr w:rsidR="00A428C3" w:rsidRPr="005C2756" w14:paraId="5377C70D" w14:textId="77777777" w:rsidTr="005C2756">
        <w:trPr>
          <w:trHeight w:val="120"/>
        </w:trPr>
        <w:tc>
          <w:tcPr>
            <w:tcW w:w="3226" w:type="pct"/>
            <w:vAlign w:val="bottom"/>
          </w:tcPr>
          <w:p w14:paraId="13DB789C" w14:textId="0F257EF6" w:rsidR="00A428C3" w:rsidRPr="005C2756" w:rsidRDefault="00A428C3" w:rsidP="00A428C3">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bookmarkStart w:id="449" w:name="_Toc67328702"/>
            <w:r w:rsidRPr="005C2756">
              <w:rPr>
                <w:rFonts w:ascii="Arial" w:eastAsia="Times New Roman" w:hAnsi="Arial" w:cs="Arial"/>
                <w:color w:val="000000" w:themeColor="text1"/>
                <w:spacing w:val="-2"/>
                <w:sz w:val="20"/>
                <w:szCs w:val="20"/>
              </w:rPr>
              <w:t>Namjenski računi trgovačkih društava</w:t>
            </w:r>
            <w:bookmarkEnd w:id="449"/>
            <w:r w:rsidRPr="005C2756">
              <w:rPr>
                <w:rFonts w:ascii="Arial" w:eastAsia="Times New Roman" w:hAnsi="Arial" w:cs="Arial"/>
                <w:color w:val="000000" w:themeColor="text1"/>
                <w:spacing w:val="-2"/>
                <w:sz w:val="20"/>
                <w:szCs w:val="20"/>
              </w:rPr>
              <w:t xml:space="preserve"> </w:t>
            </w:r>
          </w:p>
        </w:tc>
        <w:tc>
          <w:tcPr>
            <w:tcW w:w="887" w:type="pct"/>
            <w:tcBorders>
              <w:top w:val="nil"/>
              <w:left w:val="nil"/>
              <w:bottom w:val="nil"/>
              <w:right w:val="nil"/>
            </w:tcBorders>
            <w:shd w:val="clear" w:color="auto" w:fill="auto"/>
            <w:vAlign w:val="bottom"/>
          </w:tcPr>
          <w:p w14:paraId="65AEA7CD" w14:textId="64D89CE2" w:rsidR="00A428C3" w:rsidRPr="005C2756" w:rsidRDefault="00D83202" w:rsidP="00A428C3">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13.366</w:t>
            </w:r>
          </w:p>
        </w:tc>
        <w:tc>
          <w:tcPr>
            <w:tcW w:w="887" w:type="pct"/>
            <w:tcBorders>
              <w:top w:val="nil"/>
              <w:left w:val="nil"/>
              <w:bottom w:val="nil"/>
              <w:right w:val="nil"/>
            </w:tcBorders>
            <w:shd w:val="clear" w:color="auto" w:fill="auto"/>
            <w:vAlign w:val="bottom"/>
          </w:tcPr>
          <w:p w14:paraId="786846F9" w14:textId="6643FF09" w:rsidR="00A428C3" w:rsidRPr="00A428C3" w:rsidRDefault="00A428C3" w:rsidP="00A428C3">
            <w:pPr>
              <w:tabs>
                <w:tab w:val="right" w:pos="1202"/>
              </w:tabs>
              <w:suppressAutoHyphens/>
              <w:autoSpaceDN w:val="0"/>
              <w:jc w:val="right"/>
              <w:outlineLvl w:val="0"/>
              <w:rPr>
                <w:rFonts w:ascii="Arial" w:eastAsia="Times New Roman" w:hAnsi="Arial" w:cs="Arial"/>
                <w:color w:val="000000" w:themeColor="text1"/>
                <w:sz w:val="20"/>
                <w:szCs w:val="20"/>
              </w:rPr>
            </w:pPr>
            <w:r w:rsidRPr="00A428C3">
              <w:rPr>
                <w:rFonts w:ascii="Arial" w:hAnsi="Arial" w:cs="Arial"/>
                <w:color w:val="000000" w:themeColor="text1"/>
                <w:sz w:val="20"/>
              </w:rPr>
              <w:t>28.238</w:t>
            </w:r>
          </w:p>
        </w:tc>
      </w:tr>
      <w:tr w:rsidR="00A428C3" w:rsidRPr="005C2756" w14:paraId="28AD7B11" w14:textId="77777777" w:rsidTr="005C2756">
        <w:trPr>
          <w:trHeight w:val="120"/>
        </w:trPr>
        <w:tc>
          <w:tcPr>
            <w:tcW w:w="3226" w:type="pct"/>
            <w:vAlign w:val="bottom"/>
          </w:tcPr>
          <w:p w14:paraId="4677B05A" w14:textId="7BBFEF3A" w:rsidR="00A428C3" w:rsidRPr="005C2756" w:rsidRDefault="00A428C3" w:rsidP="00A428C3">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bookmarkStart w:id="450" w:name="_Toc67328704"/>
            <w:r w:rsidRPr="005C2756">
              <w:rPr>
                <w:rFonts w:ascii="Arial" w:eastAsia="Times New Roman" w:hAnsi="Arial" w:cs="Arial"/>
                <w:color w:val="000000" w:themeColor="text1"/>
                <w:spacing w:val="-2"/>
                <w:sz w:val="20"/>
                <w:szCs w:val="20"/>
              </w:rPr>
              <w:t>Posebni računi stranih financijskih institucija</w:t>
            </w:r>
            <w:bookmarkEnd w:id="450"/>
          </w:p>
        </w:tc>
        <w:tc>
          <w:tcPr>
            <w:tcW w:w="887" w:type="pct"/>
            <w:tcBorders>
              <w:top w:val="nil"/>
              <w:left w:val="nil"/>
              <w:bottom w:val="nil"/>
              <w:right w:val="nil"/>
            </w:tcBorders>
            <w:shd w:val="clear" w:color="auto" w:fill="auto"/>
            <w:vAlign w:val="bottom"/>
          </w:tcPr>
          <w:p w14:paraId="78B54AF4" w14:textId="5C65779E" w:rsidR="00A428C3" w:rsidRPr="005C2756" w:rsidRDefault="003F6BFF" w:rsidP="00A428C3">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w:t>
            </w:r>
          </w:p>
        </w:tc>
        <w:tc>
          <w:tcPr>
            <w:tcW w:w="887" w:type="pct"/>
            <w:tcBorders>
              <w:top w:val="nil"/>
              <w:left w:val="nil"/>
              <w:bottom w:val="nil"/>
              <w:right w:val="nil"/>
            </w:tcBorders>
            <w:shd w:val="clear" w:color="auto" w:fill="auto"/>
            <w:vAlign w:val="bottom"/>
          </w:tcPr>
          <w:p w14:paraId="5E095FCF" w14:textId="5743D580" w:rsidR="00A428C3" w:rsidRPr="00A428C3" w:rsidRDefault="00A428C3" w:rsidP="00A428C3">
            <w:pPr>
              <w:tabs>
                <w:tab w:val="right" w:pos="1202"/>
              </w:tabs>
              <w:suppressAutoHyphens/>
              <w:autoSpaceDN w:val="0"/>
              <w:jc w:val="right"/>
              <w:outlineLvl w:val="0"/>
              <w:rPr>
                <w:rFonts w:ascii="Arial" w:eastAsia="Times New Roman" w:hAnsi="Arial" w:cs="Arial"/>
                <w:color w:val="000000" w:themeColor="text1"/>
                <w:sz w:val="20"/>
                <w:szCs w:val="20"/>
              </w:rPr>
            </w:pPr>
            <w:r w:rsidRPr="00A428C3">
              <w:rPr>
                <w:rFonts w:ascii="Arial" w:hAnsi="Arial" w:cs="Arial"/>
                <w:color w:val="000000" w:themeColor="text1"/>
                <w:sz w:val="20"/>
              </w:rPr>
              <w:t>2</w:t>
            </w:r>
          </w:p>
        </w:tc>
      </w:tr>
      <w:tr w:rsidR="00A428C3" w:rsidRPr="005C2756" w14:paraId="746C5C41" w14:textId="77777777" w:rsidTr="005C2756">
        <w:trPr>
          <w:trHeight w:val="120"/>
        </w:trPr>
        <w:tc>
          <w:tcPr>
            <w:tcW w:w="3226" w:type="pct"/>
            <w:vAlign w:val="bottom"/>
          </w:tcPr>
          <w:p w14:paraId="2257001D" w14:textId="2A01B234" w:rsidR="00A428C3" w:rsidRPr="005C2756" w:rsidRDefault="00A428C3" w:rsidP="00A428C3">
            <w:pPr>
              <w:tabs>
                <w:tab w:val="right" w:pos="1202"/>
              </w:tabs>
              <w:suppressAutoHyphens/>
              <w:autoSpaceDN w:val="0"/>
              <w:spacing w:line="301" w:lineRule="exact"/>
              <w:outlineLvl w:val="0"/>
              <w:rPr>
                <w:rFonts w:ascii="Arial" w:eastAsia="Times New Roman" w:hAnsi="Arial" w:cs="Arial"/>
                <w:b/>
                <w:color w:val="000000" w:themeColor="text1"/>
                <w:spacing w:val="-2"/>
                <w:sz w:val="20"/>
                <w:szCs w:val="20"/>
              </w:rPr>
            </w:pPr>
            <w:bookmarkStart w:id="451" w:name="_Toc67328706"/>
            <w:r w:rsidRPr="005C2756">
              <w:rPr>
                <w:rFonts w:ascii="Arial" w:eastAsia="Times New Roman" w:hAnsi="Arial" w:cs="Arial"/>
                <w:color w:val="000000" w:themeColor="text1"/>
                <w:spacing w:val="-2"/>
                <w:sz w:val="20"/>
                <w:szCs w:val="20"/>
              </w:rPr>
              <w:t>Depoziti državnih institucija</w:t>
            </w:r>
            <w:bookmarkEnd w:id="451"/>
          </w:p>
        </w:tc>
        <w:tc>
          <w:tcPr>
            <w:tcW w:w="887" w:type="pct"/>
            <w:tcBorders>
              <w:top w:val="nil"/>
              <w:left w:val="nil"/>
              <w:bottom w:val="nil"/>
              <w:right w:val="nil"/>
            </w:tcBorders>
            <w:shd w:val="clear" w:color="auto" w:fill="auto"/>
            <w:vAlign w:val="bottom"/>
          </w:tcPr>
          <w:p w14:paraId="7EAC1034" w14:textId="32648BB6" w:rsidR="00A428C3" w:rsidRPr="005C2756" w:rsidRDefault="003F6BFF" w:rsidP="00A428C3">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69.399</w:t>
            </w:r>
          </w:p>
        </w:tc>
        <w:tc>
          <w:tcPr>
            <w:tcW w:w="887" w:type="pct"/>
            <w:tcBorders>
              <w:top w:val="nil"/>
              <w:left w:val="nil"/>
              <w:bottom w:val="nil"/>
              <w:right w:val="nil"/>
            </w:tcBorders>
            <w:shd w:val="clear" w:color="auto" w:fill="auto"/>
            <w:vAlign w:val="bottom"/>
          </w:tcPr>
          <w:p w14:paraId="29F69985" w14:textId="3D445FB0" w:rsidR="00A428C3" w:rsidRPr="00A428C3" w:rsidRDefault="00A428C3" w:rsidP="00A428C3">
            <w:pPr>
              <w:tabs>
                <w:tab w:val="right" w:pos="1202"/>
              </w:tabs>
              <w:suppressAutoHyphens/>
              <w:autoSpaceDN w:val="0"/>
              <w:jc w:val="right"/>
              <w:outlineLvl w:val="0"/>
              <w:rPr>
                <w:rFonts w:ascii="Arial" w:eastAsia="Times New Roman" w:hAnsi="Arial" w:cs="Arial"/>
                <w:color w:val="000000" w:themeColor="text1"/>
                <w:sz w:val="20"/>
                <w:szCs w:val="20"/>
              </w:rPr>
            </w:pPr>
            <w:r w:rsidRPr="00A428C3">
              <w:rPr>
                <w:rFonts w:ascii="Arial" w:hAnsi="Arial" w:cs="Arial"/>
                <w:color w:val="000000" w:themeColor="text1"/>
                <w:sz w:val="20"/>
              </w:rPr>
              <w:t>64.349</w:t>
            </w:r>
          </w:p>
        </w:tc>
      </w:tr>
      <w:tr w:rsidR="00A428C3" w:rsidRPr="005C2756" w14:paraId="4C4D0F94" w14:textId="77777777" w:rsidTr="005C2756">
        <w:trPr>
          <w:trHeight w:val="120"/>
        </w:trPr>
        <w:tc>
          <w:tcPr>
            <w:tcW w:w="3226" w:type="pct"/>
            <w:vAlign w:val="bottom"/>
          </w:tcPr>
          <w:p w14:paraId="7C1C1AC0" w14:textId="2B07E541" w:rsidR="00A428C3" w:rsidRPr="005C2756" w:rsidRDefault="00A428C3" w:rsidP="00A428C3">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bookmarkStart w:id="452" w:name="_Toc67328708"/>
            <w:r w:rsidRPr="005C2756">
              <w:rPr>
                <w:rFonts w:ascii="Arial" w:eastAsia="Times New Roman" w:hAnsi="Arial" w:cs="Arial"/>
                <w:color w:val="000000" w:themeColor="text1"/>
                <w:spacing w:val="-2"/>
                <w:sz w:val="20"/>
                <w:szCs w:val="20"/>
              </w:rPr>
              <w:t>Ostali depoziti</w:t>
            </w:r>
            <w:bookmarkEnd w:id="452"/>
          </w:p>
        </w:tc>
        <w:tc>
          <w:tcPr>
            <w:tcW w:w="887" w:type="pct"/>
            <w:tcBorders>
              <w:top w:val="nil"/>
              <w:left w:val="nil"/>
              <w:bottom w:val="single" w:sz="4" w:space="0" w:color="auto"/>
              <w:right w:val="nil"/>
            </w:tcBorders>
            <w:shd w:val="clear" w:color="auto" w:fill="auto"/>
            <w:vAlign w:val="bottom"/>
          </w:tcPr>
          <w:p w14:paraId="5D3B42BE" w14:textId="2FE52CA3" w:rsidR="00A428C3" w:rsidRPr="005C2756" w:rsidRDefault="00001D7B" w:rsidP="00A428C3">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32.115</w:t>
            </w:r>
          </w:p>
        </w:tc>
        <w:tc>
          <w:tcPr>
            <w:tcW w:w="887" w:type="pct"/>
            <w:tcBorders>
              <w:top w:val="nil"/>
              <w:left w:val="nil"/>
              <w:bottom w:val="single" w:sz="4" w:space="0" w:color="auto"/>
              <w:right w:val="nil"/>
            </w:tcBorders>
            <w:shd w:val="clear" w:color="auto" w:fill="auto"/>
            <w:vAlign w:val="bottom"/>
          </w:tcPr>
          <w:p w14:paraId="457C4AC4" w14:textId="40393566" w:rsidR="00A428C3" w:rsidRPr="00A428C3" w:rsidRDefault="00A428C3" w:rsidP="00A428C3">
            <w:pPr>
              <w:tabs>
                <w:tab w:val="right" w:pos="1202"/>
              </w:tabs>
              <w:suppressAutoHyphens/>
              <w:autoSpaceDN w:val="0"/>
              <w:jc w:val="right"/>
              <w:outlineLvl w:val="0"/>
              <w:rPr>
                <w:rFonts w:ascii="Arial" w:eastAsia="Times New Roman" w:hAnsi="Arial" w:cs="Arial"/>
                <w:color w:val="000000" w:themeColor="text1"/>
                <w:sz w:val="20"/>
                <w:szCs w:val="20"/>
              </w:rPr>
            </w:pPr>
            <w:r w:rsidRPr="00A428C3">
              <w:rPr>
                <w:rFonts w:ascii="Arial" w:hAnsi="Arial" w:cs="Arial"/>
                <w:color w:val="000000" w:themeColor="text1"/>
                <w:sz w:val="20"/>
              </w:rPr>
              <w:t>21.307</w:t>
            </w:r>
          </w:p>
        </w:tc>
      </w:tr>
      <w:tr w:rsidR="00A428C3" w:rsidRPr="005C2756" w14:paraId="69E81838" w14:textId="77777777" w:rsidTr="005C2756">
        <w:trPr>
          <w:trHeight w:val="120"/>
        </w:trPr>
        <w:tc>
          <w:tcPr>
            <w:tcW w:w="3226" w:type="pct"/>
            <w:vAlign w:val="bottom"/>
          </w:tcPr>
          <w:p w14:paraId="435B7A74" w14:textId="77777777" w:rsidR="00A428C3" w:rsidRPr="005C2756" w:rsidRDefault="00A428C3" w:rsidP="00A428C3">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p>
        </w:tc>
        <w:tc>
          <w:tcPr>
            <w:tcW w:w="887" w:type="pct"/>
            <w:tcBorders>
              <w:top w:val="nil"/>
              <w:left w:val="nil"/>
              <w:bottom w:val="single" w:sz="4" w:space="0" w:color="auto"/>
              <w:right w:val="nil"/>
            </w:tcBorders>
            <w:shd w:val="clear" w:color="auto" w:fill="auto"/>
            <w:vAlign w:val="bottom"/>
          </w:tcPr>
          <w:p w14:paraId="27759E3E" w14:textId="4F5B664C" w:rsidR="00A428C3" w:rsidRPr="005C2756" w:rsidRDefault="00001D7B" w:rsidP="00A428C3">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178.437</w:t>
            </w:r>
          </w:p>
        </w:tc>
        <w:tc>
          <w:tcPr>
            <w:tcW w:w="887" w:type="pct"/>
            <w:tcBorders>
              <w:top w:val="nil"/>
              <w:left w:val="nil"/>
              <w:bottom w:val="single" w:sz="4" w:space="0" w:color="auto"/>
              <w:right w:val="nil"/>
            </w:tcBorders>
            <w:shd w:val="clear" w:color="auto" w:fill="auto"/>
            <w:vAlign w:val="bottom"/>
          </w:tcPr>
          <w:p w14:paraId="66446BCA" w14:textId="529F51F9" w:rsidR="00A428C3" w:rsidRPr="00A428C3" w:rsidRDefault="00A428C3" w:rsidP="00A428C3">
            <w:pPr>
              <w:tabs>
                <w:tab w:val="right" w:pos="1202"/>
              </w:tabs>
              <w:suppressAutoHyphens/>
              <w:autoSpaceDN w:val="0"/>
              <w:jc w:val="right"/>
              <w:outlineLvl w:val="0"/>
              <w:rPr>
                <w:rFonts w:ascii="Arial" w:eastAsia="Times New Roman" w:hAnsi="Arial" w:cs="Arial"/>
                <w:color w:val="000000" w:themeColor="text1"/>
                <w:sz w:val="20"/>
                <w:szCs w:val="20"/>
              </w:rPr>
            </w:pPr>
            <w:r w:rsidRPr="00A428C3">
              <w:rPr>
                <w:rFonts w:ascii="Arial" w:hAnsi="Arial" w:cs="Arial"/>
                <w:color w:val="000000" w:themeColor="text1"/>
                <w:sz w:val="20"/>
                <w:szCs w:val="20"/>
              </w:rPr>
              <w:t>194.784</w:t>
            </w:r>
          </w:p>
        </w:tc>
      </w:tr>
      <w:tr w:rsidR="00A428C3" w:rsidRPr="005C2756" w14:paraId="25A7B747" w14:textId="77777777" w:rsidTr="005C2756">
        <w:trPr>
          <w:trHeight w:val="120"/>
        </w:trPr>
        <w:tc>
          <w:tcPr>
            <w:tcW w:w="3226" w:type="pct"/>
            <w:vAlign w:val="bottom"/>
          </w:tcPr>
          <w:p w14:paraId="07F61582" w14:textId="77777777" w:rsidR="00A428C3" w:rsidRPr="005C2756" w:rsidRDefault="00A428C3" w:rsidP="00A428C3">
            <w:pPr>
              <w:tabs>
                <w:tab w:val="right" w:pos="1202"/>
              </w:tabs>
              <w:suppressAutoHyphens/>
              <w:autoSpaceDN w:val="0"/>
              <w:spacing w:line="301" w:lineRule="exact"/>
              <w:outlineLvl w:val="0"/>
              <w:rPr>
                <w:rFonts w:ascii="Arial" w:eastAsia="Times New Roman" w:hAnsi="Arial" w:cs="Arial"/>
                <w:color w:val="000000" w:themeColor="text1"/>
                <w:spacing w:val="-2"/>
                <w:sz w:val="20"/>
                <w:szCs w:val="20"/>
              </w:rPr>
            </w:pPr>
            <w:r w:rsidRPr="005C2756">
              <w:rPr>
                <w:rFonts w:ascii="Arial" w:eastAsia="Times New Roman" w:hAnsi="Arial" w:cs="Arial"/>
                <w:color w:val="000000" w:themeColor="text1"/>
                <w:spacing w:val="-2"/>
                <w:sz w:val="20"/>
                <w:szCs w:val="20"/>
              </w:rPr>
              <w:t>Obračunata kamata</w:t>
            </w:r>
          </w:p>
        </w:tc>
        <w:tc>
          <w:tcPr>
            <w:tcW w:w="887" w:type="pct"/>
            <w:tcBorders>
              <w:top w:val="nil"/>
              <w:left w:val="nil"/>
              <w:bottom w:val="single" w:sz="4" w:space="0" w:color="auto"/>
              <w:right w:val="nil"/>
            </w:tcBorders>
            <w:shd w:val="clear" w:color="auto" w:fill="auto"/>
            <w:vAlign w:val="bottom"/>
          </w:tcPr>
          <w:p w14:paraId="06A3C4B1" w14:textId="4D08D225" w:rsidR="00A428C3" w:rsidRPr="005C2756" w:rsidRDefault="00001D7B" w:rsidP="00A428C3">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72</w:t>
            </w:r>
          </w:p>
        </w:tc>
        <w:tc>
          <w:tcPr>
            <w:tcW w:w="887" w:type="pct"/>
            <w:tcBorders>
              <w:top w:val="nil"/>
              <w:left w:val="nil"/>
              <w:bottom w:val="single" w:sz="4" w:space="0" w:color="auto"/>
              <w:right w:val="nil"/>
            </w:tcBorders>
            <w:shd w:val="clear" w:color="auto" w:fill="auto"/>
            <w:vAlign w:val="bottom"/>
          </w:tcPr>
          <w:p w14:paraId="53BD7113" w14:textId="5CE6BF78" w:rsidR="00A428C3" w:rsidRPr="00A428C3" w:rsidRDefault="00A428C3" w:rsidP="00A428C3">
            <w:pPr>
              <w:tabs>
                <w:tab w:val="right" w:pos="1202"/>
              </w:tabs>
              <w:suppressAutoHyphens/>
              <w:autoSpaceDN w:val="0"/>
              <w:jc w:val="right"/>
              <w:outlineLvl w:val="0"/>
              <w:rPr>
                <w:rFonts w:ascii="Arial" w:eastAsia="Times New Roman" w:hAnsi="Arial" w:cs="Arial"/>
                <w:color w:val="000000" w:themeColor="text1"/>
                <w:sz w:val="20"/>
                <w:szCs w:val="20"/>
              </w:rPr>
            </w:pPr>
            <w:r w:rsidRPr="00A428C3">
              <w:rPr>
                <w:rFonts w:ascii="Arial" w:hAnsi="Arial" w:cs="Arial"/>
                <w:color w:val="000000" w:themeColor="text1"/>
                <w:sz w:val="20"/>
                <w:szCs w:val="20"/>
              </w:rPr>
              <w:t>92</w:t>
            </w:r>
          </w:p>
        </w:tc>
      </w:tr>
      <w:tr w:rsidR="00A428C3" w:rsidRPr="005C2756" w14:paraId="162E3A1F" w14:textId="77777777" w:rsidTr="005C2756">
        <w:trPr>
          <w:trHeight w:val="120"/>
        </w:trPr>
        <w:tc>
          <w:tcPr>
            <w:tcW w:w="3226" w:type="pct"/>
            <w:vAlign w:val="bottom"/>
          </w:tcPr>
          <w:p w14:paraId="2E2EDC4F" w14:textId="77777777" w:rsidR="00A428C3" w:rsidRPr="005C2756" w:rsidRDefault="00A428C3" w:rsidP="00A428C3">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887" w:type="pct"/>
            <w:tcBorders>
              <w:top w:val="single" w:sz="4" w:space="0" w:color="auto"/>
              <w:bottom w:val="single" w:sz="12" w:space="0" w:color="auto"/>
            </w:tcBorders>
            <w:vAlign w:val="bottom"/>
          </w:tcPr>
          <w:p w14:paraId="56C6A168" w14:textId="6FE137C5" w:rsidR="00A428C3" w:rsidRPr="005C2756" w:rsidRDefault="00001D7B" w:rsidP="00A428C3">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178.509</w:t>
            </w:r>
          </w:p>
        </w:tc>
        <w:tc>
          <w:tcPr>
            <w:tcW w:w="887" w:type="pct"/>
            <w:tcBorders>
              <w:top w:val="single" w:sz="4" w:space="0" w:color="auto"/>
              <w:bottom w:val="single" w:sz="12" w:space="0" w:color="auto"/>
            </w:tcBorders>
            <w:vAlign w:val="bottom"/>
          </w:tcPr>
          <w:p w14:paraId="1D2B0367" w14:textId="56404A71" w:rsidR="00A428C3" w:rsidRPr="00A428C3" w:rsidRDefault="00A428C3" w:rsidP="00A428C3">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A428C3">
              <w:rPr>
                <w:rFonts w:ascii="Arial" w:hAnsi="Arial" w:cs="Arial"/>
                <w:b/>
                <w:bCs/>
                <w:color w:val="000000" w:themeColor="text1"/>
                <w:sz w:val="20"/>
              </w:rPr>
              <w:t>194.876</w:t>
            </w:r>
          </w:p>
        </w:tc>
      </w:tr>
    </w:tbl>
    <w:p w14:paraId="0678777B" w14:textId="77777777" w:rsidR="00FC2BEF" w:rsidRPr="003D1614" w:rsidRDefault="00FC2BEF" w:rsidP="00FC2BEF">
      <w:pPr>
        <w:suppressAutoHyphens/>
        <w:autoSpaceDN w:val="0"/>
        <w:jc w:val="both"/>
        <w:outlineLvl w:val="0"/>
        <w:rPr>
          <w:rFonts w:ascii="Arial" w:eastAsia="Times New Roman" w:hAnsi="Arial" w:cs="Arial"/>
          <w:color w:val="000000" w:themeColor="text1"/>
          <w:sz w:val="20"/>
          <w:szCs w:val="20"/>
        </w:rPr>
      </w:pPr>
    </w:p>
    <w:p w14:paraId="568C5058" w14:textId="275DFDC7" w:rsidR="00FC2BEF" w:rsidRPr="00FE2FE2" w:rsidRDefault="00C617B8" w:rsidP="00FC2BEF">
      <w:pPr>
        <w:suppressAutoHyphens/>
        <w:autoSpaceDN w:val="0"/>
        <w:jc w:val="both"/>
        <w:outlineLvl w:val="0"/>
        <w:rPr>
          <w:rFonts w:ascii="Arial" w:eastAsia="Times New Roman" w:hAnsi="Arial" w:cs="Arial"/>
          <w:color w:val="000000" w:themeColor="text1"/>
          <w:sz w:val="20"/>
          <w:szCs w:val="20"/>
        </w:rPr>
      </w:pPr>
      <w:bookmarkStart w:id="453" w:name="_Hlk33016533"/>
      <w:r w:rsidRPr="00C617B8">
        <w:rPr>
          <w:rFonts w:ascii="Arial" w:eastAsia="Times New Roman" w:hAnsi="Arial" w:cs="Arial"/>
          <w:color w:val="000000" w:themeColor="text1"/>
          <w:sz w:val="20"/>
          <w:szCs w:val="20"/>
        </w:rPr>
        <w:t xml:space="preserve">Depoziti banaka u izvještajnom razdoblju za 2024. godinu odnose se na </w:t>
      </w:r>
      <w:proofErr w:type="spellStart"/>
      <w:r w:rsidRPr="00C617B8">
        <w:rPr>
          <w:rFonts w:ascii="Arial" w:eastAsia="Times New Roman" w:hAnsi="Arial" w:cs="Arial"/>
          <w:color w:val="000000" w:themeColor="text1"/>
          <w:sz w:val="20"/>
          <w:szCs w:val="20"/>
        </w:rPr>
        <w:t>loro</w:t>
      </w:r>
      <w:proofErr w:type="spellEnd"/>
      <w:r w:rsidRPr="00C617B8">
        <w:rPr>
          <w:rFonts w:ascii="Arial" w:eastAsia="Times New Roman" w:hAnsi="Arial" w:cs="Arial"/>
          <w:color w:val="000000" w:themeColor="text1"/>
          <w:sz w:val="20"/>
          <w:szCs w:val="20"/>
        </w:rPr>
        <w:t xml:space="preserve"> depozite </w:t>
      </w:r>
      <w:proofErr w:type="spellStart"/>
      <w:r w:rsidRPr="00C617B8">
        <w:rPr>
          <w:rFonts w:ascii="Arial" w:eastAsia="Times New Roman" w:hAnsi="Arial" w:cs="Arial"/>
          <w:color w:val="000000" w:themeColor="text1"/>
          <w:sz w:val="20"/>
          <w:szCs w:val="20"/>
        </w:rPr>
        <w:t>Unicredit</w:t>
      </w:r>
      <w:proofErr w:type="spellEnd"/>
      <w:r w:rsidRPr="00C617B8">
        <w:rPr>
          <w:rFonts w:ascii="Arial" w:eastAsia="Times New Roman" w:hAnsi="Arial" w:cs="Arial"/>
          <w:color w:val="000000" w:themeColor="text1"/>
          <w:sz w:val="20"/>
          <w:szCs w:val="20"/>
        </w:rPr>
        <w:t xml:space="preserve"> </w:t>
      </w:r>
      <w:proofErr w:type="spellStart"/>
      <w:r w:rsidRPr="00C617B8">
        <w:rPr>
          <w:rFonts w:ascii="Arial" w:eastAsia="Times New Roman" w:hAnsi="Arial" w:cs="Arial"/>
          <w:color w:val="000000" w:themeColor="text1"/>
          <w:sz w:val="20"/>
          <w:szCs w:val="20"/>
        </w:rPr>
        <w:t>bank</w:t>
      </w:r>
      <w:proofErr w:type="spellEnd"/>
      <w:r w:rsidRPr="00C617B8">
        <w:rPr>
          <w:rFonts w:ascii="Arial" w:eastAsia="Times New Roman" w:hAnsi="Arial" w:cs="Arial"/>
          <w:color w:val="000000" w:themeColor="text1"/>
          <w:sz w:val="20"/>
          <w:szCs w:val="20"/>
        </w:rPr>
        <w:t xml:space="preserve"> </w:t>
      </w:r>
      <w:proofErr w:type="spellStart"/>
      <w:r w:rsidRPr="00C617B8">
        <w:rPr>
          <w:rFonts w:ascii="Arial" w:eastAsia="Times New Roman" w:hAnsi="Arial" w:cs="Arial"/>
          <w:color w:val="000000" w:themeColor="text1"/>
          <w:sz w:val="20"/>
          <w:szCs w:val="20"/>
        </w:rPr>
        <w:t>Austria</w:t>
      </w:r>
      <w:proofErr w:type="spellEnd"/>
      <w:r w:rsidRPr="00C617B8">
        <w:rPr>
          <w:rFonts w:ascii="Arial" w:eastAsia="Times New Roman" w:hAnsi="Arial" w:cs="Arial"/>
          <w:color w:val="000000" w:themeColor="text1"/>
          <w:sz w:val="20"/>
          <w:szCs w:val="20"/>
        </w:rPr>
        <w:t xml:space="preserve"> AG i </w:t>
      </w:r>
      <w:proofErr w:type="spellStart"/>
      <w:r w:rsidRPr="00C617B8">
        <w:rPr>
          <w:rFonts w:ascii="Arial" w:eastAsia="Times New Roman" w:hAnsi="Arial" w:cs="Arial"/>
          <w:color w:val="000000" w:themeColor="text1"/>
          <w:sz w:val="20"/>
          <w:szCs w:val="20"/>
        </w:rPr>
        <w:t>Bulgarian</w:t>
      </w:r>
      <w:proofErr w:type="spellEnd"/>
      <w:r w:rsidRPr="00C617B8">
        <w:rPr>
          <w:rFonts w:ascii="Arial" w:eastAsia="Times New Roman" w:hAnsi="Arial" w:cs="Arial"/>
          <w:color w:val="000000" w:themeColor="text1"/>
          <w:sz w:val="20"/>
          <w:szCs w:val="20"/>
        </w:rPr>
        <w:t xml:space="preserve"> </w:t>
      </w:r>
      <w:proofErr w:type="spellStart"/>
      <w:r w:rsidRPr="00C617B8">
        <w:rPr>
          <w:rFonts w:ascii="Arial" w:eastAsia="Times New Roman" w:hAnsi="Arial" w:cs="Arial"/>
          <w:color w:val="000000" w:themeColor="text1"/>
          <w:sz w:val="20"/>
          <w:szCs w:val="20"/>
        </w:rPr>
        <w:t>Developmetnt</w:t>
      </w:r>
      <w:proofErr w:type="spellEnd"/>
      <w:r w:rsidRPr="00C617B8">
        <w:rPr>
          <w:rFonts w:ascii="Arial" w:eastAsia="Times New Roman" w:hAnsi="Arial" w:cs="Arial"/>
          <w:color w:val="000000" w:themeColor="text1"/>
          <w:sz w:val="20"/>
          <w:szCs w:val="20"/>
        </w:rPr>
        <w:t xml:space="preserve"> Bank AD , kao i na kraju 2023. godine</w:t>
      </w:r>
      <w:r w:rsidR="00FC2BEF" w:rsidRPr="005D1219">
        <w:rPr>
          <w:rFonts w:ascii="Arial" w:eastAsia="Times New Roman" w:hAnsi="Arial" w:cs="Arial"/>
          <w:color w:val="000000" w:themeColor="text1"/>
          <w:sz w:val="20"/>
          <w:szCs w:val="20"/>
        </w:rPr>
        <w:t>.</w:t>
      </w:r>
    </w:p>
    <w:p w14:paraId="5FF335AE" w14:textId="77777777" w:rsidR="00FC2BEF" w:rsidRPr="005D1219" w:rsidRDefault="00FC2BEF" w:rsidP="00FC2BEF">
      <w:pPr>
        <w:suppressAutoHyphens/>
        <w:autoSpaceDN w:val="0"/>
        <w:jc w:val="both"/>
        <w:outlineLvl w:val="0"/>
        <w:rPr>
          <w:rFonts w:ascii="Arial" w:eastAsia="Times New Roman" w:hAnsi="Arial" w:cs="Arial"/>
          <w:b/>
          <w:bCs/>
          <w:color w:val="000000" w:themeColor="text1"/>
          <w:sz w:val="20"/>
          <w:szCs w:val="20"/>
        </w:rPr>
      </w:pPr>
    </w:p>
    <w:bookmarkEnd w:id="453"/>
    <w:p w14:paraId="105F3BC4" w14:textId="220AFD41" w:rsidR="00FC2BEF" w:rsidRPr="003D1614" w:rsidRDefault="00AC6504" w:rsidP="00FC2BEF">
      <w:pPr>
        <w:suppressAutoHyphens/>
        <w:autoSpaceDN w:val="0"/>
        <w:jc w:val="both"/>
        <w:outlineLvl w:val="0"/>
        <w:rPr>
          <w:rFonts w:ascii="Arial" w:eastAsia="Times New Roman" w:hAnsi="Arial" w:cs="Arial"/>
          <w:color w:val="000000" w:themeColor="text1"/>
          <w:sz w:val="20"/>
          <w:szCs w:val="20"/>
          <w:highlight w:val="yellow"/>
        </w:rPr>
      </w:pPr>
      <w:r>
        <w:rPr>
          <w:rFonts w:ascii="Arial" w:eastAsia="Times New Roman" w:hAnsi="Arial" w:cs="Arial"/>
          <w:color w:val="000000" w:themeColor="text1"/>
          <w:sz w:val="20"/>
          <w:szCs w:val="20"/>
        </w:rPr>
        <w:t>Račun</w:t>
      </w:r>
      <w:r w:rsidR="00FC2BEF" w:rsidRPr="003D1614">
        <w:rPr>
          <w:rFonts w:ascii="Arial" w:eastAsia="Times New Roman" w:hAnsi="Arial" w:cs="Arial"/>
          <w:color w:val="000000" w:themeColor="text1"/>
          <w:sz w:val="20"/>
          <w:szCs w:val="20"/>
        </w:rPr>
        <w:t xml:space="preserve"> Ministarstva financija Republike Hrvatske odnosi se na sredstva garantnog fonda temeljem uplaćenih premija za reosigurane poslove po poslovima osiguranja izvoza u iznosu </w:t>
      </w:r>
      <w:r w:rsidR="00FC2BEF" w:rsidRPr="00CC17FF">
        <w:rPr>
          <w:rFonts w:ascii="Arial" w:eastAsia="Times New Roman" w:hAnsi="Arial" w:cs="Arial"/>
          <w:color w:val="000000" w:themeColor="text1"/>
          <w:sz w:val="20"/>
          <w:szCs w:val="20"/>
        </w:rPr>
        <w:t>od</w:t>
      </w:r>
      <w:r w:rsidRPr="00CC17FF">
        <w:rPr>
          <w:rFonts w:ascii="Arial" w:eastAsia="Times New Roman" w:hAnsi="Arial" w:cs="Arial"/>
          <w:color w:val="000000" w:themeColor="text1"/>
          <w:sz w:val="20"/>
          <w:szCs w:val="20"/>
        </w:rPr>
        <w:t xml:space="preserve"> </w:t>
      </w:r>
      <w:r w:rsidRPr="005D1219">
        <w:rPr>
          <w:rFonts w:ascii="Arial" w:eastAsia="Times New Roman" w:hAnsi="Arial" w:cs="Arial"/>
          <w:color w:val="000000" w:themeColor="text1"/>
          <w:sz w:val="20"/>
          <w:szCs w:val="20"/>
        </w:rPr>
        <w:t>1</w:t>
      </w:r>
      <w:r w:rsidR="00CC17FF" w:rsidRPr="005D1219">
        <w:rPr>
          <w:rFonts w:ascii="Arial" w:eastAsia="Times New Roman" w:hAnsi="Arial" w:cs="Arial"/>
          <w:color w:val="000000" w:themeColor="text1"/>
          <w:sz w:val="20"/>
          <w:szCs w:val="20"/>
        </w:rPr>
        <w:t>9</w:t>
      </w:r>
      <w:r w:rsidR="00FC2BEF" w:rsidRPr="005D1219">
        <w:rPr>
          <w:rFonts w:ascii="Arial" w:eastAsia="Times New Roman" w:hAnsi="Arial" w:cs="Arial"/>
          <w:color w:val="000000" w:themeColor="text1"/>
          <w:sz w:val="20"/>
          <w:szCs w:val="20"/>
        </w:rPr>
        <w:t>.</w:t>
      </w:r>
      <w:r w:rsidR="00CC17FF" w:rsidRPr="005D1219">
        <w:rPr>
          <w:rFonts w:ascii="Arial" w:eastAsia="Times New Roman" w:hAnsi="Arial" w:cs="Arial"/>
          <w:color w:val="000000" w:themeColor="text1"/>
          <w:sz w:val="20"/>
          <w:szCs w:val="20"/>
        </w:rPr>
        <w:t>167</w:t>
      </w:r>
      <w:r w:rsidR="00CC17FF" w:rsidRPr="00CC17FF">
        <w:rPr>
          <w:rFonts w:ascii="Arial" w:eastAsia="Times New Roman" w:hAnsi="Arial" w:cs="Arial"/>
          <w:color w:val="000000" w:themeColor="text1"/>
          <w:sz w:val="20"/>
          <w:szCs w:val="20"/>
        </w:rPr>
        <w:t xml:space="preserve"> </w:t>
      </w:r>
      <w:r w:rsidR="00FC2BEF" w:rsidRPr="00CC17FF">
        <w:rPr>
          <w:rFonts w:ascii="Arial" w:eastAsia="Times New Roman" w:hAnsi="Arial" w:cs="Arial"/>
          <w:color w:val="000000" w:themeColor="text1"/>
          <w:sz w:val="20"/>
          <w:szCs w:val="20"/>
        </w:rPr>
        <w:t>tisuća</w:t>
      </w:r>
      <w:r w:rsidR="00FC2BEF" w:rsidRPr="003D1614">
        <w:rPr>
          <w:rFonts w:ascii="Arial" w:eastAsia="Times New Roman" w:hAnsi="Arial" w:cs="Arial"/>
          <w:color w:val="000000" w:themeColor="text1"/>
          <w:sz w:val="20"/>
          <w:szCs w:val="20"/>
        </w:rPr>
        <w:t xml:space="preserve"> </w:t>
      </w:r>
      <w:r w:rsidR="00CC17FF">
        <w:rPr>
          <w:rFonts w:ascii="Arial" w:eastAsia="Times New Roman" w:hAnsi="Arial" w:cs="Arial"/>
          <w:color w:val="000000" w:themeColor="text1"/>
          <w:sz w:val="20"/>
          <w:szCs w:val="20"/>
        </w:rPr>
        <w:t>e</w:t>
      </w:r>
      <w:r w:rsidR="00FC2BEF" w:rsidRPr="003D1614">
        <w:rPr>
          <w:rFonts w:ascii="Arial" w:eastAsia="Times New Roman" w:hAnsi="Arial" w:cs="Arial"/>
          <w:color w:val="000000" w:themeColor="text1"/>
          <w:sz w:val="20"/>
          <w:szCs w:val="20"/>
        </w:rPr>
        <w:t>ura (31. prosinca 202</w:t>
      </w:r>
      <w:r w:rsidR="00E71F64">
        <w:rPr>
          <w:rFonts w:ascii="Arial" w:eastAsia="Times New Roman" w:hAnsi="Arial" w:cs="Arial"/>
          <w:color w:val="000000" w:themeColor="text1"/>
          <w:sz w:val="20"/>
          <w:szCs w:val="20"/>
        </w:rPr>
        <w:t>3</w:t>
      </w:r>
      <w:r w:rsidR="00FC2BEF" w:rsidRPr="003D1614">
        <w:rPr>
          <w:rFonts w:ascii="Arial" w:eastAsia="Times New Roman" w:hAnsi="Arial" w:cs="Arial"/>
          <w:color w:val="000000" w:themeColor="text1"/>
          <w:sz w:val="20"/>
          <w:szCs w:val="20"/>
        </w:rPr>
        <w:t xml:space="preserve">.: </w:t>
      </w:r>
      <w:r w:rsidR="00FB4A90">
        <w:rPr>
          <w:rFonts w:ascii="Arial" w:eastAsia="Times New Roman" w:hAnsi="Arial" w:cs="Arial"/>
          <w:color w:val="000000" w:themeColor="text1"/>
          <w:sz w:val="20"/>
          <w:szCs w:val="20"/>
        </w:rPr>
        <w:t>24</w:t>
      </w:r>
      <w:r>
        <w:rPr>
          <w:rFonts w:ascii="Arial" w:eastAsia="Times New Roman" w:hAnsi="Arial" w:cs="Arial"/>
          <w:color w:val="000000" w:themeColor="text1"/>
          <w:sz w:val="20"/>
          <w:szCs w:val="20"/>
        </w:rPr>
        <w:t>.</w:t>
      </w:r>
      <w:r w:rsidR="00FB4A90">
        <w:rPr>
          <w:rFonts w:ascii="Arial" w:eastAsia="Times New Roman" w:hAnsi="Arial" w:cs="Arial"/>
          <w:color w:val="000000" w:themeColor="text1"/>
          <w:sz w:val="20"/>
          <w:szCs w:val="20"/>
        </w:rPr>
        <w:t>385</w:t>
      </w:r>
      <w:r w:rsidR="00FC2BEF" w:rsidRPr="003D1614">
        <w:rPr>
          <w:rFonts w:ascii="Arial" w:eastAsia="Times New Roman" w:hAnsi="Arial" w:cs="Arial"/>
          <w:color w:val="000000" w:themeColor="text1"/>
          <w:sz w:val="20"/>
          <w:szCs w:val="20"/>
        </w:rPr>
        <w:t xml:space="preserve"> tisuća eura). </w:t>
      </w:r>
    </w:p>
    <w:p w14:paraId="308482BB" w14:textId="77777777" w:rsidR="00FC2BEF" w:rsidRPr="003D1614" w:rsidRDefault="00FC2BEF" w:rsidP="00FC2BEF">
      <w:pPr>
        <w:suppressAutoHyphens/>
        <w:autoSpaceDN w:val="0"/>
        <w:jc w:val="both"/>
        <w:outlineLvl w:val="0"/>
        <w:rPr>
          <w:rFonts w:ascii="Arial" w:eastAsia="Times New Roman" w:hAnsi="Arial" w:cs="Arial"/>
          <w:color w:val="000000" w:themeColor="text1"/>
          <w:sz w:val="20"/>
          <w:szCs w:val="20"/>
          <w:highlight w:val="yellow"/>
        </w:rPr>
      </w:pPr>
    </w:p>
    <w:p w14:paraId="66980012" w14:textId="77777777" w:rsidR="00FC2BEF" w:rsidRPr="003D1614" w:rsidRDefault="00FC2BEF" w:rsidP="00FC2BEF">
      <w:pPr>
        <w:suppressAutoHyphens/>
        <w:autoSpaceDN w:val="0"/>
        <w:jc w:val="both"/>
        <w:outlineLvl w:val="0"/>
        <w:rPr>
          <w:rFonts w:ascii="Arial" w:eastAsia="Times New Roman" w:hAnsi="Arial" w:cs="Arial"/>
          <w:bCs/>
          <w:color w:val="000000" w:themeColor="text1"/>
          <w:sz w:val="20"/>
          <w:szCs w:val="20"/>
        </w:rPr>
      </w:pPr>
      <w:r w:rsidRPr="00AC6504">
        <w:rPr>
          <w:rFonts w:ascii="Arial" w:eastAsia="Times New Roman" w:hAnsi="Arial" w:cs="Arial"/>
          <w:color w:val="000000" w:themeColor="text1"/>
          <w:sz w:val="20"/>
          <w:szCs w:val="20"/>
        </w:rPr>
        <w:t xml:space="preserve">Depoziti po viđenju državnih institucija odnose se na poslove koje Banka obavlja u ime i za račun Ministarstva financija, </w:t>
      </w:r>
      <w:r w:rsidRPr="00AC6504">
        <w:rPr>
          <w:rFonts w:ascii="Arial" w:eastAsia="Times New Roman" w:hAnsi="Arial" w:cs="Arial"/>
          <w:bCs/>
          <w:color w:val="000000" w:themeColor="text1"/>
          <w:sz w:val="20"/>
          <w:szCs w:val="20"/>
        </w:rPr>
        <w:t>Ministarstva mora, prometa i infrastrukture, Ministarstva poljoprivrede, Ministarstva regionalnoga razvoja i fondova Europske unije, Vodovoda i kanalizacije d.o.o., Split i Hrvatske agencije za malo gospodarstvo, inovacije i investicije (HAMAG-BICRO).</w:t>
      </w:r>
    </w:p>
    <w:p w14:paraId="60CC8F03" w14:textId="77777777" w:rsidR="002B25E9" w:rsidRPr="003D1614" w:rsidRDefault="002B25E9" w:rsidP="00FC2BEF">
      <w:pPr>
        <w:suppressAutoHyphens/>
        <w:autoSpaceDN w:val="0"/>
        <w:jc w:val="both"/>
        <w:outlineLvl w:val="0"/>
        <w:rPr>
          <w:rFonts w:ascii="Arial" w:eastAsia="Times New Roman" w:hAnsi="Arial" w:cs="Arial"/>
          <w:bCs/>
          <w:color w:val="000000" w:themeColor="text1"/>
          <w:sz w:val="20"/>
          <w:szCs w:val="20"/>
        </w:rPr>
      </w:pPr>
    </w:p>
    <w:p w14:paraId="06AA16D7" w14:textId="5A9493A9" w:rsidR="00FC2BEF" w:rsidRPr="003D1614" w:rsidRDefault="00AC6504" w:rsidP="00FC2BEF">
      <w:pPr>
        <w:suppressAutoHyphens/>
        <w:autoSpaceDN w:val="0"/>
        <w:jc w:val="both"/>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N</w:t>
      </w:r>
      <w:r w:rsidR="00FC2BEF" w:rsidRPr="003D1614">
        <w:rPr>
          <w:rFonts w:ascii="Arial" w:eastAsia="Times New Roman" w:hAnsi="Arial" w:cs="Arial"/>
          <w:color w:val="000000" w:themeColor="text1"/>
          <w:sz w:val="20"/>
          <w:szCs w:val="20"/>
        </w:rPr>
        <w:t>amjenski računi trgovačkih društava odnose se na priljeve sredstva i raspolaganje sredstvima avansa uplaćenim na račun trgovačkog društva, a vezano na izdane garancije HBOR-a za povrat avansa za izvozni posao. Sredstva avansa koriste se isključivo namjenski u svrhu provedbe izvoznog ugovora, uz suglasnost HBOR-a.</w:t>
      </w:r>
    </w:p>
    <w:p w14:paraId="463AF711" w14:textId="77777777" w:rsidR="00FC2BEF" w:rsidRPr="003D1614" w:rsidRDefault="00FC2BEF" w:rsidP="00FC2BEF">
      <w:pPr>
        <w:suppressAutoHyphens/>
        <w:autoSpaceDN w:val="0"/>
        <w:jc w:val="both"/>
        <w:outlineLvl w:val="0"/>
        <w:rPr>
          <w:rFonts w:ascii="Arial" w:eastAsia="Times New Roman" w:hAnsi="Arial" w:cs="Arial"/>
          <w:b/>
          <w:bCs/>
          <w:noProof/>
          <w:sz w:val="20"/>
          <w:szCs w:val="20"/>
          <w:highlight w:val="yellow"/>
        </w:rPr>
      </w:pPr>
    </w:p>
    <w:p w14:paraId="5F253385" w14:textId="00B73007" w:rsidR="00FC2BEF" w:rsidRPr="003D1614" w:rsidRDefault="00AC6504" w:rsidP="00FC2BEF">
      <w:pPr>
        <w:suppressAutoHyphens/>
        <w:autoSpaceDN w:val="0"/>
        <w:jc w:val="both"/>
        <w:outlineLvl w:val="0"/>
        <w:rPr>
          <w:rFonts w:ascii="Arial" w:eastAsia="Times New Roman" w:hAnsi="Arial" w:cs="Arial"/>
          <w:bCs/>
          <w:noProof/>
          <w:sz w:val="20"/>
          <w:szCs w:val="20"/>
        </w:rPr>
      </w:pPr>
      <w:bookmarkStart w:id="454" w:name="_Hlk33017908"/>
      <w:r>
        <w:rPr>
          <w:rFonts w:ascii="Arial" w:eastAsia="Times New Roman" w:hAnsi="Arial" w:cs="Arial"/>
          <w:bCs/>
          <w:noProof/>
          <w:sz w:val="20"/>
          <w:szCs w:val="20"/>
        </w:rPr>
        <w:t>P</w:t>
      </w:r>
      <w:r w:rsidR="00FC2BEF" w:rsidRPr="003D1614">
        <w:rPr>
          <w:rFonts w:ascii="Arial" w:eastAsia="Times New Roman" w:hAnsi="Arial" w:cs="Arial"/>
          <w:bCs/>
          <w:noProof/>
          <w:sz w:val="20"/>
          <w:szCs w:val="20"/>
        </w:rPr>
        <w:t xml:space="preserve">osebni računi stranih financijskih institucija odnose se na sredstva ELENA granta, a odnosi se na prvu tranšu 40% iznosa ELENA granta po potpisu Ugovora o financiranju od 839 tisuća EUR, umanjenu za namjenski iskorištena sredstva </w:t>
      </w:r>
      <w:bookmarkStart w:id="455" w:name="_Hlk65835952"/>
      <w:r w:rsidR="00FC2BEF" w:rsidRPr="003D1614">
        <w:rPr>
          <w:rFonts w:ascii="Arial" w:eastAsia="Times New Roman" w:hAnsi="Arial" w:cs="Arial"/>
          <w:bCs/>
          <w:noProof/>
          <w:sz w:val="20"/>
          <w:szCs w:val="20"/>
        </w:rPr>
        <w:t>te stanje na računu na dan 31. ožujka 202</w:t>
      </w:r>
      <w:r w:rsidR="007322A1">
        <w:rPr>
          <w:rFonts w:ascii="Arial" w:eastAsia="Times New Roman" w:hAnsi="Arial" w:cs="Arial"/>
          <w:bCs/>
          <w:noProof/>
          <w:sz w:val="20"/>
          <w:szCs w:val="20"/>
        </w:rPr>
        <w:t>4</w:t>
      </w:r>
      <w:r w:rsidR="00FC2BEF" w:rsidRPr="003D1614">
        <w:rPr>
          <w:rFonts w:ascii="Arial" w:eastAsia="Times New Roman" w:hAnsi="Arial" w:cs="Arial"/>
          <w:bCs/>
          <w:noProof/>
          <w:sz w:val="20"/>
          <w:szCs w:val="20"/>
        </w:rPr>
        <w:t xml:space="preserve">. iznosi </w:t>
      </w:r>
      <w:r w:rsidRPr="005D1219">
        <w:rPr>
          <w:rFonts w:ascii="Arial" w:eastAsia="Times New Roman" w:hAnsi="Arial" w:cs="Arial"/>
          <w:bCs/>
          <w:noProof/>
          <w:sz w:val="20"/>
          <w:szCs w:val="20"/>
        </w:rPr>
        <w:t>2</w:t>
      </w:r>
      <w:r w:rsidR="00FC2BEF" w:rsidRPr="003D1614">
        <w:rPr>
          <w:rFonts w:ascii="Arial" w:eastAsia="Times New Roman" w:hAnsi="Arial" w:cs="Arial"/>
          <w:bCs/>
          <w:noProof/>
          <w:sz w:val="20"/>
          <w:szCs w:val="20"/>
        </w:rPr>
        <w:t xml:space="preserve"> tisuća eura </w:t>
      </w:r>
      <w:bookmarkEnd w:id="455"/>
      <w:r w:rsidR="00FC2BEF" w:rsidRPr="003D1614">
        <w:rPr>
          <w:rFonts w:ascii="Arial" w:eastAsia="Times New Roman" w:hAnsi="Arial" w:cs="Arial"/>
          <w:bCs/>
          <w:noProof/>
          <w:sz w:val="20"/>
          <w:szCs w:val="20"/>
        </w:rPr>
        <w:t>(31. prosinca 202</w:t>
      </w:r>
      <w:r w:rsidR="007322A1">
        <w:rPr>
          <w:rFonts w:ascii="Arial" w:eastAsia="Times New Roman" w:hAnsi="Arial" w:cs="Arial"/>
          <w:bCs/>
          <w:noProof/>
          <w:sz w:val="20"/>
          <w:szCs w:val="20"/>
        </w:rPr>
        <w:t>3</w:t>
      </w:r>
      <w:r w:rsidR="00FC2BEF" w:rsidRPr="003D1614">
        <w:rPr>
          <w:rFonts w:ascii="Arial" w:eastAsia="Times New Roman" w:hAnsi="Arial" w:cs="Arial"/>
          <w:bCs/>
          <w:noProof/>
          <w:sz w:val="20"/>
          <w:szCs w:val="20"/>
        </w:rPr>
        <w:t xml:space="preserve">.: </w:t>
      </w:r>
      <w:r>
        <w:rPr>
          <w:rFonts w:ascii="Arial" w:eastAsia="Times New Roman" w:hAnsi="Arial" w:cs="Arial"/>
          <w:bCs/>
          <w:noProof/>
          <w:sz w:val="20"/>
          <w:szCs w:val="20"/>
        </w:rPr>
        <w:t>2</w:t>
      </w:r>
      <w:r w:rsidR="00FC2BEF" w:rsidRPr="003D1614">
        <w:rPr>
          <w:rFonts w:ascii="Arial" w:eastAsia="Times New Roman" w:hAnsi="Arial" w:cs="Arial"/>
          <w:bCs/>
          <w:noProof/>
          <w:sz w:val="20"/>
          <w:szCs w:val="20"/>
        </w:rPr>
        <w:t xml:space="preserve"> tisuća eura).</w:t>
      </w:r>
    </w:p>
    <w:bookmarkEnd w:id="454"/>
    <w:p w14:paraId="3136682F" w14:textId="77777777" w:rsidR="00FC2BEF" w:rsidRPr="003D1614" w:rsidRDefault="00FC2BEF" w:rsidP="00FC2BEF">
      <w:pPr>
        <w:suppressAutoHyphens/>
        <w:autoSpaceDN w:val="0"/>
        <w:jc w:val="both"/>
        <w:outlineLvl w:val="0"/>
        <w:rPr>
          <w:rFonts w:ascii="Arial" w:eastAsia="Times New Roman" w:hAnsi="Arial" w:cs="Arial"/>
          <w:color w:val="000000" w:themeColor="text1"/>
          <w:sz w:val="20"/>
          <w:szCs w:val="20"/>
        </w:rPr>
      </w:pPr>
    </w:p>
    <w:p w14:paraId="2A01FBFC" w14:textId="09F6104D" w:rsidR="00C81475" w:rsidRPr="003D1614" w:rsidRDefault="00FC2BEF" w:rsidP="00FC2BEF">
      <w:pPr>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Na navedene depozite HBOR ne plaća kamatu.</w:t>
      </w:r>
    </w:p>
    <w:p w14:paraId="3FDC16BD" w14:textId="77777777" w:rsidR="00FC2BEF" w:rsidRPr="003D1614" w:rsidRDefault="00FC2BEF" w:rsidP="00FC2BEF">
      <w:pPr>
        <w:suppressAutoHyphens/>
        <w:autoSpaceDN w:val="0"/>
        <w:jc w:val="both"/>
        <w:outlineLvl w:val="0"/>
        <w:rPr>
          <w:rFonts w:ascii="Arial" w:eastAsia="Times New Roman" w:hAnsi="Arial" w:cs="Arial"/>
          <w:color w:val="000000" w:themeColor="text1"/>
          <w:sz w:val="20"/>
          <w:szCs w:val="20"/>
        </w:rPr>
      </w:pPr>
    </w:p>
    <w:p w14:paraId="0B9DD997" w14:textId="77777777" w:rsidR="00FC2BEF" w:rsidRPr="003D1614" w:rsidRDefault="00FC2BEF" w:rsidP="00FC2BEF">
      <w:pPr>
        <w:suppressAutoHyphens/>
        <w:autoSpaceDN w:val="0"/>
        <w:jc w:val="both"/>
        <w:outlineLvl w:val="0"/>
        <w:rPr>
          <w:rFonts w:ascii="Arial" w:eastAsia="Times New Roman" w:hAnsi="Arial" w:cs="Arial"/>
          <w:color w:val="000000" w:themeColor="text1"/>
          <w:sz w:val="20"/>
          <w:szCs w:val="20"/>
        </w:rPr>
        <w:sectPr w:rsidR="00FC2BEF" w:rsidRPr="003D1614">
          <w:pgSz w:w="11906" w:h="16838"/>
          <w:pgMar w:top="1417" w:right="1417" w:bottom="1417" w:left="1417" w:header="708" w:footer="708" w:gutter="0"/>
          <w:cols w:space="708"/>
          <w:docGrid w:linePitch="360"/>
        </w:sectPr>
      </w:pPr>
    </w:p>
    <w:p w14:paraId="3C758096" w14:textId="77777777" w:rsidR="00FC2BEF" w:rsidRPr="003D1614" w:rsidRDefault="00FC2BEF" w:rsidP="00FC2BEF">
      <w:pPr>
        <w:keepNext/>
        <w:suppressAutoHyphens/>
        <w:autoSpaceDN w:val="0"/>
        <w:jc w:val="both"/>
        <w:outlineLvl w:val="0"/>
        <w:rPr>
          <w:rFonts w:ascii="Arial" w:eastAsia="Times New Roman" w:hAnsi="Arial" w:cs="Arial"/>
          <w:b/>
          <w:bCs/>
          <w:color w:val="000000" w:themeColor="text1"/>
          <w:sz w:val="20"/>
          <w:szCs w:val="20"/>
        </w:rPr>
      </w:pPr>
    </w:p>
    <w:p w14:paraId="02D2E019" w14:textId="0E798781" w:rsidR="00FC2BEF" w:rsidRPr="003D1614" w:rsidRDefault="00FC2BEF" w:rsidP="00FC2BEF">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1</w:t>
      </w:r>
      <w:r w:rsidR="000E693B">
        <w:rPr>
          <w:rFonts w:ascii="Arial" w:eastAsia="Times New Roman" w:hAnsi="Arial" w:cs="Arial"/>
          <w:b/>
          <w:bCs/>
          <w:color w:val="000000" w:themeColor="text1"/>
          <w:sz w:val="20"/>
          <w:szCs w:val="20"/>
        </w:rPr>
        <w:t>8</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 xml:space="preserve">Obveze po kreditima </w:t>
      </w:r>
    </w:p>
    <w:p w14:paraId="6EEBDE3E" w14:textId="77777777" w:rsidR="00FC2BEF" w:rsidRPr="003D1614" w:rsidRDefault="00FC2BEF" w:rsidP="00FC2BEF">
      <w:pPr>
        <w:keepNext/>
        <w:suppressAutoHyphens/>
        <w:autoSpaceDN w:val="0"/>
        <w:jc w:val="both"/>
        <w:outlineLvl w:val="0"/>
        <w:rPr>
          <w:rFonts w:ascii="Arial" w:eastAsia="Times New Roman" w:hAnsi="Arial" w:cs="Arial"/>
          <w:b/>
          <w:bCs/>
          <w:color w:val="000000" w:themeColor="text1"/>
          <w:sz w:val="20"/>
          <w:szCs w:val="20"/>
        </w:rPr>
      </w:pPr>
    </w:p>
    <w:tbl>
      <w:tblPr>
        <w:tblW w:w="5000" w:type="pct"/>
        <w:tblLayout w:type="fixed"/>
        <w:tblCellMar>
          <w:left w:w="119" w:type="dxa"/>
          <w:right w:w="119" w:type="dxa"/>
        </w:tblCellMar>
        <w:tblLook w:val="0000" w:firstRow="0" w:lastRow="0" w:firstColumn="0" w:lastColumn="0" w:noHBand="0" w:noVBand="0"/>
      </w:tblPr>
      <w:tblGrid>
        <w:gridCol w:w="5578"/>
        <w:gridCol w:w="1745"/>
        <w:gridCol w:w="1749"/>
      </w:tblGrid>
      <w:tr w:rsidR="00FC2BEF" w:rsidRPr="00CE12FB" w14:paraId="031B4832" w14:textId="77777777" w:rsidTr="0064018A">
        <w:trPr>
          <w:trHeight w:val="185"/>
        </w:trPr>
        <w:tc>
          <w:tcPr>
            <w:tcW w:w="3074" w:type="pct"/>
            <w:vAlign w:val="bottom"/>
          </w:tcPr>
          <w:p w14:paraId="69B9F572" w14:textId="77777777" w:rsidR="00FC2BEF" w:rsidRPr="00CE12FB" w:rsidRDefault="00FC2BEF" w:rsidP="00FC2BEF">
            <w:pPr>
              <w:tabs>
                <w:tab w:val="left" w:pos="-1963"/>
              </w:tabs>
              <w:suppressAutoHyphens/>
              <w:autoSpaceDN w:val="0"/>
              <w:rPr>
                <w:rFonts w:ascii="Arial" w:eastAsia="Times New Roman" w:hAnsi="Arial" w:cs="Arial"/>
                <w:color w:val="000000" w:themeColor="text1"/>
                <w:spacing w:val="-3"/>
                <w:sz w:val="20"/>
                <w:szCs w:val="20"/>
              </w:rPr>
            </w:pPr>
          </w:p>
        </w:tc>
        <w:tc>
          <w:tcPr>
            <w:tcW w:w="1926" w:type="pct"/>
            <w:gridSpan w:val="2"/>
            <w:vAlign w:val="bottom"/>
          </w:tcPr>
          <w:p w14:paraId="1E0A102D" w14:textId="77777777" w:rsidR="00FC2BEF" w:rsidRPr="00CE12FB"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56" w:name="_Toc67328712"/>
            <w:r w:rsidRPr="00CE12FB">
              <w:rPr>
                <w:rFonts w:ascii="Arial" w:eastAsia="Times New Roman" w:hAnsi="Arial" w:cs="Arial"/>
                <w:b/>
                <w:color w:val="000000" w:themeColor="text1"/>
                <w:sz w:val="20"/>
                <w:szCs w:val="20"/>
              </w:rPr>
              <w:t>Grupa i Banka</w:t>
            </w:r>
            <w:bookmarkEnd w:id="456"/>
          </w:p>
        </w:tc>
      </w:tr>
      <w:tr w:rsidR="00FC2BEF" w:rsidRPr="00CE12FB" w14:paraId="4801C11A" w14:textId="77777777" w:rsidTr="00CE12FB">
        <w:trPr>
          <w:trHeight w:val="510"/>
        </w:trPr>
        <w:tc>
          <w:tcPr>
            <w:tcW w:w="3074" w:type="pct"/>
            <w:vAlign w:val="bottom"/>
          </w:tcPr>
          <w:p w14:paraId="48AD6255" w14:textId="77777777" w:rsidR="00FC2BEF" w:rsidRPr="00CE12FB" w:rsidRDefault="00FC2BEF" w:rsidP="00FC2BEF">
            <w:pPr>
              <w:tabs>
                <w:tab w:val="left" w:pos="-1963"/>
              </w:tabs>
              <w:suppressAutoHyphens/>
              <w:autoSpaceDN w:val="0"/>
              <w:jc w:val="center"/>
              <w:rPr>
                <w:rFonts w:ascii="Arial" w:eastAsia="Times New Roman" w:hAnsi="Arial" w:cs="Arial"/>
                <w:color w:val="000000" w:themeColor="text1"/>
                <w:spacing w:val="-3"/>
                <w:sz w:val="20"/>
                <w:szCs w:val="20"/>
              </w:rPr>
            </w:pPr>
          </w:p>
        </w:tc>
        <w:tc>
          <w:tcPr>
            <w:tcW w:w="962" w:type="pct"/>
            <w:vAlign w:val="bottom"/>
          </w:tcPr>
          <w:p w14:paraId="5816C936" w14:textId="77777777" w:rsidR="00FC2BEF" w:rsidRPr="00CE12FB"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CE12FB">
              <w:rPr>
                <w:rFonts w:ascii="Arial" w:eastAsia="Times New Roman" w:hAnsi="Arial" w:cs="Arial"/>
                <w:b/>
                <w:color w:val="000000" w:themeColor="text1"/>
                <w:sz w:val="20"/>
                <w:szCs w:val="20"/>
              </w:rPr>
              <w:t xml:space="preserve">31. ožujka </w:t>
            </w:r>
          </w:p>
          <w:p w14:paraId="6E6214F5" w14:textId="462D9DDB" w:rsidR="00FC2BEF" w:rsidRPr="00CE12FB"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CE12FB">
              <w:rPr>
                <w:rFonts w:ascii="Arial" w:eastAsia="Times New Roman" w:hAnsi="Arial" w:cs="Arial"/>
                <w:b/>
                <w:color w:val="000000" w:themeColor="text1"/>
                <w:sz w:val="20"/>
                <w:szCs w:val="20"/>
              </w:rPr>
              <w:t>202</w:t>
            </w:r>
            <w:r w:rsidR="00E13EA9">
              <w:rPr>
                <w:rFonts w:ascii="Arial" w:eastAsia="Times New Roman" w:hAnsi="Arial" w:cs="Arial"/>
                <w:b/>
                <w:color w:val="000000" w:themeColor="text1"/>
                <w:sz w:val="20"/>
                <w:szCs w:val="20"/>
              </w:rPr>
              <w:t>4</w:t>
            </w:r>
            <w:r w:rsidRPr="00CE12FB">
              <w:rPr>
                <w:rFonts w:ascii="Arial" w:eastAsia="Times New Roman" w:hAnsi="Arial" w:cs="Arial"/>
                <w:b/>
                <w:color w:val="000000" w:themeColor="text1"/>
                <w:sz w:val="20"/>
                <w:szCs w:val="20"/>
              </w:rPr>
              <w:t>.</w:t>
            </w:r>
          </w:p>
        </w:tc>
        <w:tc>
          <w:tcPr>
            <w:tcW w:w="964" w:type="pct"/>
            <w:vAlign w:val="bottom"/>
          </w:tcPr>
          <w:p w14:paraId="5ABE0CE6" w14:textId="2DFEFF02" w:rsidR="00FC2BEF" w:rsidRPr="00CE12FB"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CE12FB">
              <w:rPr>
                <w:rFonts w:ascii="Arial" w:eastAsia="Times New Roman" w:hAnsi="Arial" w:cs="Arial"/>
                <w:b/>
                <w:color w:val="000000" w:themeColor="text1"/>
                <w:sz w:val="20"/>
                <w:szCs w:val="20"/>
              </w:rPr>
              <w:t>31. prosinca 202</w:t>
            </w:r>
            <w:r w:rsidR="00E13EA9">
              <w:rPr>
                <w:rFonts w:ascii="Arial" w:eastAsia="Times New Roman" w:hAnsi="Arial" w:cs="Arial"/>
                <w:b/>
                <w:color w:val="000000" w:themeColor="text1"/>
                <w:sz w:val="20"/>
                <w:szCs w:val="20"/>
              </w:rPr>
              <w:t>3</w:t>
            </w:r>
            <w:r w:rsidRPr="00CE12FB">
              <w:rPr>
                <w:rFonts w:ascii="Arial" w:eastAsia="Times New Roman" w:hAnsi="Arial" w:cs="Arial"/>
                <w:b/>
                <w:color w:val="000000" w:themeColor="text1"/>
                <w:sz w:val="20"/>
                <w:szCs w:val="20"/>
              </w:rPr>
              <w:t>.</w:t>
            </w:r>
          </w:p>
        </w:tc>
      </w:tr>
      <w:tr w:rsidR="00FC2BEF" w:rsidRPr="00CE12FB" w14:paraId="3CD3C334" w14:textId="77777777" w:rsidTr="00CE12FB">
        <w:trPr>
          <w:trHeight w:val="168"/>
        </w:trPr>
        <w:tc>
          <w:tcPr>
            <w:tcW w:w="3074" w:type="pct"/>
            <w:vAlign w:val="bottom"/>
          </w:tcPr>
          <w:p w14:paraId="0659CB5B" w14:textId="77777777" w:rsidR="00FC2BEF" w:rsidRPr="00CE12FB" w:rsidRDefault="00FC2BEF" w:rsidP="00FC2BEF">
            <w:pPr>
              <w:tabs>
                <w:tab w:val="left" w:pos="-1963"/>
              </w:tabs>
              <w:suppressAutoHyphens/>
              <w:autoSpaceDN w:val="0"/>
              <w:jc w:val="center"/>
              <w:rPr>
                <w:rFonts w:ascii="Arial" w:eastAsia="Times New Roman" w:hAnsi="Arial" w:cs="Arial"/>
                <w:color w:val="000000" w:themeColor="text1"/>
                <w:spacing w:val="-3"/>
                <w:sz w:val="20"/>
                <w:szCs w:val="20"/>
              </w:rPr>
            </w:pPr>
          </w:p>
        </w:tc>
        <w:tc>
          <w:tcPr>
            <w:tcW w:w="962" w:type="pct"/>
            <w:vAlign w:val="bottom"/>
          </w:tcPr>
          <w:p w14:paraId="3DDB0B6B" w14:textId="4F150C30" w:rsidR="00FC2BEF" w:rsidRPr="00CE12FB"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CE12FB">
              <w:rPr>
                <w:rFonts w:ascii="Arial" w:eastAsia="Times New Roman" w:hAnsi="Arial" w:cs="Arial"/>
                <w:b/>
                <w:color w:val="000000" w:themeColor="text1"/>
                <w:spacing w:val="-3"/>
                <w:sz w:val="20"/>
                <w:szCs w:val="20"/>
              </w:rPr>
              <w:t>000 eura</w:t>
            </w:r>
          </w:p>
        </w:tc>
        <w:tc>
          <w:tcPr>
            <w:tcW w:w="964" w:type="pct"/>
            <w:vAlign w:val="bottom"/>
          </w:tcPr>
          <w:p w14:paraId="1751EBE7" w14:textId="03B6BA30" w:rsidR="00FC2BEF" w:rsidRPr="00CE12FB"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CE12FB">
              <w:rPr>
                <w:rFonts w:ascii="Arial" w:eastAsia="Times New Roman" w:hAnsi="Arial" w:cs="Arial"/>
                <w:b/>
                <w:color w:val="000000" w:themeColor="text1"/>
                <w:spacing w:val="-3"/>
                <w:sz w:val="20"/>
                <w:szCs w:val="20"/>
              </w:rPr>
              <w:t>000 eura</w:t>
            </w:r>
          </w:p>
        </w:tc>
      </w:tr>
      <w:tr w:rsidR="00FC2BEF" w:rsidRPr="00CE12FB" w14:paraId="2BF31DC6" w14:textId="77777777" w:rsidTr="00CE12FB">
        <w:trPr>
          <w:trHeight w:val="212"/>
        </w:trPr>
        <w:tc>
          <w:tcPr>
            <w:tcW w:w="3074" w:type="pct"/>
            <w:vAlign w:val="bottom"/>
          </w:tcPr>
          <w:p w14:paraId="22F463E8" w14:textId="77777777" w:rsidR="00FC2BEF" w:rsidRPr="00CE12FB" w:rsidRDefault="00FC2BEF" w:rsidP="00FC2BEF">
            <w:pPr>
              <w:tabs>
                <w:tab w:val="left" w:pos="-1963"/>
              </w:tabs>
              <w:suppressAutoHyphens/>
              <w:autoSpaceDN w:val="0"/>
              <w:jc w:val="center"/>
              <w:rPr>
                <w:rFonts w:ascii="Arial" w:eastAsia="Times New Roman" w:hAnsi="Arial" w:cs="Arial"/>
                <w:color w:val="000000" w:themeColor="text1"/>
                <w:spacing w:val="-3"/>
                <w:sz w:val="20"/>
                <w:szCs w:val="20"/>
              </w:rPr>
            </w:pPr>
          </w:p>
        </w:tc>
        <w:tc>
          <w:tcPr>
            <w:tcW w:w="962" w:type="pct"/>
            <w:vAlign w:val="bottom"/>
          </w:tcPr>
          <w:p w14:paraId="14A96FBC" w14:textId="77777777" w:rsidR="00FC2BEF" w:rsidRPr="00CE12FB" w:rsidRDefault="00FC2BEF" w:rsidP="00FC2BEF">
            <w:pPr>
              <w:suppressAutoHyphens/>
              <w:autoSpaceDN w:val="0"/>
              <w:jc w:val="right"/>
              <w:rPr>
                <w:rFonts w:ascii="Arial" w:eastAsia="Times New Roman" w:hAnsi="Arial" w:cs="Arial"/>
                <w:b/>
                <w:color w:val="000000" w:themeColor="text1"/>
                <w:spacing w:val="-3"/>
                <w:sz w:val="20"/>
                <w:szCs w:val="20"/>
              </w:rPr>
            </w:pPr>
          </w:p>
        </w:tc>
        <w:tc>
          <w:tcPr>
            <w:tcW w:w="964" w:type="pct"/>
            <w:vAlign w:val="bottom"/>
          </w:tcPr>
          <w:p w14:paraId="43303878" w14:textId="77777777" w:rsidR="00FC2BEF" w:rsidRPr="00CE12FB" w:rsidRDefault="00FC2BEF" w:rsidP="00FC2BEF">
            <w:pPr>
              <w:suppressAutoHyphens/>
              <w:autoSpaceDN w:val="0"/>
              <w:jc w:val="right"/>
              <w:rPr>
                <w:rFonts w:ascii="Arial" w:eastAsia="Times New Roman" w:hAnsi="Arial" w:cs="Arial"/>
                <w:b/>
                <w:color w:val="000000" w:themeColor="text1"/>
                <w:spacing w:val="-3"/>
                <w:sz w:val="20"/>
                <w:szCs w:val="20"/>
              </w:rPr>
            </w:pPr>
          </w:p>
        </w:tc>
      </w:tr>
      <w:tr w:rsidR="00C61525" w:rsidRPr="00CE12FB" w14:paraId="3D343B33" w14:textId="77777777" w:rsidTr="004D68D4">
        <w:trPr>
          <w:trHeight w:val="295"/>
        </w:trPr>
        <w:tc>
          <w:tcPr>
            <w:tcW w:w="3074" w:type="pct"/>
            <w:vAlign w:val="bottom"/>
          </w:tcPr>
          <w:p w14:paraId="28CA0807" w14:textId="77777777" w:rsidR="00C61525" w:rsidRPr="00CE12FB" w:rsidRDefault="00C61525" w:rsidP="00C61525">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57" w:name="_Toc67328717"/>
            <w:r w:rsidRPr="00CE12FB">
              <w:rPr>
                <w:rFonts w:ascii="Arial" w:eastAsia="Times New Roman" w:hAnsi="Arial" w:cs="Arial"/>
                <w:color w:val="000000" w:themeColor="text1"/>
                <w:sz w:val="20"/>
                <w:szCs w:val="20"/>
              </w:rPr>
              <w:t>Stanje 1. siječnja</w:t>
            </w:r>
            <w:bookmarkEnd w:id="457"/>
            <w:r w:rsidRPr="00CE12FB">
              <w:rPr>
                <w:rFonts w:ascii="Arial" w:eastAsia="Times New Roman" w:hAnsi="Arial" w:cs="Arial"/>
                <w:color w:val="000000" w:themeColor="text1"/>
                <w:sz w:val="20"/>
                <w:szCs w:val="20"/>
              </w:rPr>
              <w:t xml:space="preserve"> </w:t>
            </w:r>
          </w:p>
        </w:tc>
        <w:tc>
          <w:tcPr>
            <w:tcW w:w="962" w:type="pct"/>
            <w:tcBorders>
              <w:top w:val="nil"/>
              <w:left w:val="nil"/>
              <w:bottom w:val="nil"/>
              <w:right w:val="nil"/>
            </w:tcBorders>
            <w:shd w:val="clear" w:color="auto" w:fill="auto"/>
          </w:tcPr>
          <w:p w14:paraId="69A2B8E0" w14:textId="01204993" w:rsidR="00C61525" w:rsidRPr="00CE12FB" w:rsidRDefault="00026FC8" w:rsidP="00C61525">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2.248.771</w:t>
            </w:r>
          </w:p>
        </w:tc>
        <w:tc>
          <w:tcPr>
            <w:tcW w:w="964" w:type="pct"/>
            <w:tcBorders>
              <w:top w:val="nil"/>
              <w:left w:val="nil"/>
              <w:bottom w:val="nil"/>
              <w:right w:val="nil"/>
            </w:tcBorders>
            <w:shd w:val="clear" w:color="auto" w:fill="auto"/>
            <w:vAlign w:val="bottom"/>
          </w:tcPr>
          <w:p w14:paraId="229B5C64" w14:textId="5A40C64C" w:rsidR="00C61525" w:rsidRPr="00C61525" w:rsidRDefault="00C61525" w:rsidP="00C61525">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61525">
              <w:rPr>
                <w:rFonts w:ascii="Arial" w:hAnsi="Arial" w:cs="Arial"/>
                <w:color w:val="000000" w:themeColor="text1"/>
                <w:sz w:val="20"/>
              </w:rPr>
              <w:t>2.189.811</w:t>
            </w:r>
          </w:p>
        </w:tc>
      </w:tr>
      <w:tr w:rsidR="00C61525" w:rsidRPr="00CE12FB" w14:paraId="190F637D" w14:textId="77777777" w:rsidTr="004D68D4">
        <w:trPr>
          <w:trHeight w:val="311"/>
        </w:trPr>
        <w:tc>
          <w:tcPr>
            <w:tcW w:w="3074" w:type="pct"/>
            <w:vAlign w:val="bottom"/>
          </w:tcPr>
          <w:p w14:paraId="17CFE953" w14:textId="77777777" w:rsidR="00C61525" w:rsidRPr="00CE12FB" w:rsidRDefault="00C61525" w:rsidP="00C61525">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58" w:name="_Toc67328719"/>
            <w:r w:rsidRPr="00CE12FB">
              <w:rPr>
                <w:rFonts w:ascii="Arial" w:eastAsia="Times New Roman" w:hAnsi="Arial" w:cs="Arial"/>
                <w:color w:val="000000" w:themeColor="text1"/>
                <w:sz w:val="20"/>
                <w:szCs w:val="20"/>
              </w:rPr>
              <w:t>Novi krediti</w:t>
            </w:r>
            <w:bookmarkEnd w:id="458"/>
          </w:p>
        </w:tc>
        <w:tc>
          <w:tcPr>
            <w:tcW w:w="962" w:type="pct"/>
            <w:tcBorders>
              <w:top w:val="nil"/>
              <w:left w:val="nil"/>
              <w:bottom w:val="nil"/>
              <w:right w:val="nil"/>
            </w:tcBorders>
            <w:shd w:val="clear" w:color="auto" w:fill="auto"/>
          </w:tcPr>
          <w:p w14:paraId="1E36C7CE" w14:textId="3163C97F" w:rsidR="00C61525" w:rsidRPr="00CE12FB" w:rsidRDefault="00026FC8" w:rsidP="00C61525">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196.931</w:t>
            </w:r>
          </w:p>
        </w:tc>
        <w:tc>
          <w:tcPr>
            <w:tcW w:w="964" w:type="pct"/>
            <w:tcBorders>
              <w:top w:val="nil"/>
              <w:left w:val="nil"/>
              <w:bottom w:val="nil"/>
              <w:right w:val="nil"/>
            </w:tcBorders>
            <w:shd w:val="clear" w:color="auto" w:fill="auto"/>
            <w:vAlign w:val="bottom"/>
          </w:tcPr>
          <w:p w14:paraId="369BFB95" w14:textId="744E9498" w:rsidR="00C61525" w:rsidRPr="00C61525" w:rsidRDefault="00C61525" w:rsidP="00C61525">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61525">
              <w:rPr>
                <w:rFonts w:ascii="Arial" w:hAnsi="Arial" w:cs="Arial"/>
                <w:sz w:val="20"/>
              </w:rPr>
              <w:t xml:space="preserve"> 653.112 </w:t>
            </w:r>
          </w:p>
        </w:tc>
      </w:tr>
      <w:tr w:rsidR="00C61525" w:rsidRPr="00CE12FB" w14:paraId="5FF02E44" w14:textId="77777777" w:rsidTr="004D68D4">
        <w:trPr>
          <w:trHeight w:val="295"/>
        </w:trPr>
        <w:tc>
          <w:tcPr>
            <w:tcW w:w="3074" w:type="pct"/>
            <w:vAlign w:val="bottom"/>
          </w:tcPr>
          <w:p w14:paraId="7E687C83" w14:textId="77777777" w:rsidR="00C61525" w:rsidRPr="00CE12FB" w:rsidRDefault="00C61525" w:rsidP="00C61525">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59" w:name="_Toc67328721"/>
            <w:r w:rsidRPr="00CE12FB">
              <w:rPr>
                <w:rFonts w:ascii="Arial" w:eastAsia="Times New Roman" w:hAnsi="Arial" w:cs="Arial"/>
                <w:color w:val="000000" w:themeColor="text1"/>
                <w:sz w:val="20"/>
                <w:szCs w:val="20"/>
              </w:rPr>
              <w:t>Povrat kredita</w:t>
            </w:r>
            <w:bookmarkEnd w:id="459"/>
          </w:p>
        </w:tc>
        <w:tc>
          <w:tcPr>
            <w:tcW w:w="962" w:type="pct"/>
            <w:tcBorders>
              <w:top w:val="nil"/>
              <w:left w:val="nil"/>
              <w:bottom w:val="nil"/>
              <w:right w:val="nil"/>
            </w:tcBorders>
            <w:shd w:val="clear" w:color="auto" w:fill="auto"/>
          </w:tcPr>
          <w:p w14:paraId="097DA015" w14:textId="2874BFBA" w:rsidR="00C61525" w:rsidRPr="00CE12FB" w:rsidRDefault="00026FC8" w:rsidP="00C61525">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(222.033)</w:t>
            </w:r>
          </w:p>
        </w:tc>
        <w:tc>
          <w:tcPr>
            <w:tcW w:w="964" w:type="pct"/>
            <w:tcBorders>
              <w:top w:val="nil"/>
              <w:left w:val="nil"/>
              <w:bottom w:val="nil"/>
              <w:right w:val="nil"/>
            </w:tcBorders>
            <w:shd w:val="clear" w:color="auto" w:fill="auto"/>
            <w:vAlign w:val="bottom"/>
          </w:tcPr>
          <w:p w14:paraId="33730E16" w14:textId="06354727" w:rsidR="00C61525" w:rsidRPr="00C61525" w:rsidRDefault="00C61525" w:rsidP="00C61525">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61525">
              <w:rPr>
                <w:rFonts w:ascii="Arial" w:hAnsi="Arial" w:cs="Arial"/>
                <w:sz w:val="20"/>
              </w:rPr>
              <w:t xml:space="preserve"> (593.361)</w:t>
            </w:r>
          </w:p>
        </w:tc>
      </w:tr>
      <w:tr w:rsidR="00C61525" w:rsidRPr="00CE12FB" w14:paraId="48EF94CE" w14:textId="77777777" w:rsidTr="004D68D4">
        <w:trPr>
          <w:trHeight w:val="295"/>
        </w:trPr>
        <w:tc>
          <w:tcPr>
            <w:tcW w:w="3074" w:type="pct"/>
            <w:vAlign w:val="bottom"/>
          </w:tcPr>
          <w:p w14:paraId="1C2BE376" w14:textId="77777777" w:rsidR="00C61525" w:rsidRPr="00CE12FB" w:rsidRDefault="00C61525" w:rsidP="00C61525">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60" w:name="_Toc67328723"/>
            <w:r w:rsidRPr="00CE12FB">
              <w:rPr>
                <w:rFonts w:ascii="Arial" w:eastAsia="Times New Roman" w:hAnsi="Arial" w:cs="Arial"/>
                <w:color w:val="000000" w:themeColor="text1"/>
                <w:sz w:val="20"/>
                <w:szCs w:val="20"/>
              </w:rPr>
              <w:t>Neto dobit/gubitak od tečajnih razlika</w:t>
            </w:r>
            <w:bookmarkEnd w:id="460"/>
          </w:p>
        </w:tc>
        <w:tc>
          <w:tcPr>
            <w:tcW w:w="962" w:type="pct"/>
            <w:tcBorders>
              <w:top w:val="nil"/>
              <w:left w:val="nil"/>
              <w:bottom w:val="single" w:sz="4" w:space="0" w:color="auto"/>
              <w:right w:val="nil"/>
            </w:tcBorders>
            <w:shd w:val="clear" w:color="auto" w:fill="auto"/>
          </w:tcPr>
          <w:p w14:paraId="5AC1E9E7" w14:textId="22D0C8B1" w:rsidR="00C61525" w:rsidRPr="00CE12FB" w:rsidRDefault="00A74E41" w:rsidP="00C61525">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439</w:t>
            </w:r>
          </w:p>
        </w:tc>
        <w:tc>
          <w:tcPr>
            <w:tcW w:w="964" w:type="pct"/>
            <w:tcBorders>
              <w:top w:val="nil"/>
              <w:left w:val="nil"/>
              <w:bottom w:val="single" w:sz="4" w:space="0" w:color="auto"/>
              <w:right w:val="nil"/>
            </w:tcBorders>
            <w:shd w:val="clear" w:color="auto" w:fill="auto"/>
            <w:vAlign w:val="bottom"/>
          </w:tcPr>
          <w:p w14:paraId="5C371A0F" w14:textId="61D791B0" w:rsidR="00C61525" w:rsidRPr="00C61525" w:rsidRDefault="00C61525" w:rsidP="00C61525">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61525">
              <w:rPr>
                <w:rFonts w:ascii="Arial" w:hAnsi="Arial" w:cs="Arial"/>
                <w:sz w:val="20"/>
              </w:rPr>
              <w:t xml:space="preserve"> (791)</w:t>
            </w:r>
          </w:p>
        </w:tc>
      </w:tr>
      <w:tr w:rsidR="00C61525" w:rsidRPr="00CE12FB" w14:paraId="54FAA3F9" w14:textId="77777777" w:rsidTr="0067706A">
        <w:trPr>
          <w:trHeight w:val="295"/>
        </w:trPr>
        <w:tc>
          <w:tcPr>
            <w:tcW w:w="3074" w:type="pct"/>
            <w:vAlign w:val="bottom"/>
          </w:tcPr>
          <w:p w14:paraId="2A2C7722" w14:textId="77777777" w:rsidR="00C61525" w:rsidRPr="00CE12FB" w:rsidRDefault="00C61525" w:rsidP="00C61525">
            <w:pPr>
              <w:tabs>
                <w:tab w:val="right" w:pos="1202"/>
              </w:tabs>
              <w:suppressAutoHyphens/>
              <w:autoSpaceDN w:val="0"/>
              <w:spacing w:line="301" w:lineRule="exact"/>
              <w:outlineLvl w:val="0"/>
              <w:rPr>
                <w:rFonts w:ascii="Arial" w:eastAsia="Times New Roman" w:hAnsi="Arial" w:cs="Arial"/>
                <w:i/>
                <w:color w:val="000000" w:themeColor="text1"/>
                <w:sz w:val="20"/>
                <w:szCs w:val="20"/>
              </w:rPr>
            </w:pPr>
          </w:p>
        </w:tc>
        <w:tc>
          <w:tcPr>
            <w:tcW w:w="962" w:type="pct"/>
            <w:tcBorders>
              <w:top w:val="single" w:sz="4" w:space="0" w:color="auto"/>
              <w:bottom w:val="single" w:sz="12" w:space="0" w:color="auto"/>
            </w:tcBorders>
            <w:vAlign w:val="bottom"/>
          </w:tcPr>
          <w:p w14:paraId="06E31418" w14:textId="7942C6AA" w:rsidR="00C61525" w:rsidRPr="00CE12FB" w:rsidRDefault="00A74E41" w:rsidP="00C61525">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2.224.108</w:t>
            </w:r>
          </w:p>
        </w:tc>
        <w:tc>
          <w:tcPr>
            <w:tcW w:w="964" w:type="pct"/>
            <w:tcBorders>
              <w:top w:val="single" w:sz="4" w:space="0" w:color="auto"/>
              <w:bottom w:val="single" w:sz="12" w:space="0" w:color="auto"/>
            </w:tcBorders>
            <w:vAlign w:val="bottom"/>
          </w:tcPr>
          <w:p w14:paraId="50868DCC" w14:textId="72D7CA55" w:rsidR="00C61525" w:rsidRPr="00C61525" w:rsidRDefault="00C61525" w:rsidP="00C61525">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C61525">
              <w:rPr>
                <w:rFonts w:ascii="Arial" w:hAnsi="Arial" w:cs="Arial"/>
                <w:color w:val="000000" w:themeColor="text1"/>
                <w:sz w:val="20"/>
              </w:rPr>
              <w:t>2.248.771</w:t>
            </w:r>
          </w:p>
        </w:tc>
      </w:tr>
      <w:tr w:rsidR="00C61525" w:rsidRPr="00CE12FB" w14:paraId="6307CE49" w14:textId="77777777" w:rsidTr="0067706A">
        <w:trPr>
          <w:trHeight w:val="295"/>
        </w:trPr>
        <w:tc>
          <w:tcPr>
            <w:tcW w:w="3074" w:type="pct"/>
            <w:vAlign w:val="bottom"/>
          </w:tcPr>
          <w:p w14:paraId="2E7171A2" w14:textId="77777777" w:rsidR="00C61525" w:rsidRPr="00CE12FB" w:rsidRDefault="00C61525" w:rsidP="00C61525">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61" w:name="_Toc67328727"/>
            <w:r w:rsidRPr="00CE12FB">
              <w:rPr>
                <w:rFonts w:ascii="Arial" w:eastAsia="Times New Roman" w:hAnsi="Arial" w:cs="Arial"/>
                <w:color w:val="000000" w:themeColor="text1"/>
                <w:sz w:val="20"/>
                <w:szCs w:val="20"/>
              </w:rPr>
              <w:t>Obračunata kamata</w:t>
            </w:r>
            <w:bookmarkEnd w:id="461"/>
          </w:p>
        </w:tc>
        <w:tc>
          <w:tcPr>
            <w:tcW w:w="962" w:type="pct"/>
            <w:tcBorders>
              <w:top w:val="single" w:sz="12" w:space="0" w:color="auto"/>
              <w:left w:val="nil"/>
              <w:bottom w:val="nil"/>
              <w:right w:val="nil"/>
            </w:tcBorders>
            <w:shd w:val="clear" w:color="auto" w:fill="auto"/>
            <w:vAlign w:val="bottom"/>
          </w:tcPr>
          <w:p w14:paraId="51211616" w14:textId="773634D0" w:rsidR="00C61525" w:rsidRPr="00CE12FB" w:rsidRDefault="00A74E41" w:rsidP="00C61525">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8.481</w:t>
            </w:r>
          </w:p>
        </w:tc>
        <w:tc>
          <w:tcPr>
            <w:tcW w:w="964" w:type="pct"/>
            <w:tcBorders>
              <w:top w:val="single" w:sz="12" w:space="0" w:color="auto"/>
              <w:left w:val="nil"/>
              <w:bottom w:val="nil"/>
              <w:right w:val="nil"/>
            </w:tcBorders>
            <w:shd w:val="clear" w:color="auto" w:fill="auto"/>
            <w:vAlign w:val="bottom"/>
          </w:tcPr>
          <w:p w14:paraId="7D5939B5" w14:textId="7504B172" w:rsidR="00C61525" w:rsidRPr="00C61525" w:rsidRDefault="00C61525" w:rsidP="00C61525">
            <w:pPr>
              <w:tabs>
                <w:tab w:val="right" w:pos="1202"/>
              </w:tabs>
              <w:suppressAutoHyphens/>
              <w:autoSpaceDN w:val="0"/>
              <w:spacing w:line="301" w:lineRule="exact"/>
              <w:jc w:val="right"/>
              <w:outlineLvl w:val="0"/>
              <w:rPr>
                <w:rFonts w:ascii="Arial" w:eastAsia="Times New Roman" w:hAnsi="Arial" w:cs="Arial"/>
                <w:color w:val="000000" w:themeColor="text1"/>
                <w:spacing w:val="-2"/>
                <w:sz w:val="20"/>
                <w:szCs w:val="20"/>
              </w:rPr>
            </w:pPr>
            <w:r w:rsidRPr="00C61525">
              <w:rPr>
                <w:rFonts w:ascii="Arial" w:hAnsi="Arial" w:cs="Arial"/>
                <w:sz w:val="20"/>
              </w:rPr>
              <w:t xml:space="preserve"> 5.737 </w:t>
            </w:r>
          </w:p>
        </w:tc>
      </w:tr>
      <w:tr w:rsidR="00C61525" w:rsidRPr="00CE12FB" w14:paraId="6A357E48" w14:textId="77777777" w:rsidTr="0067706A">
        <w:trPr>
          <w:trHeight w:val="295"/>
        </w:trPr>
        <w:tc>
          <w:tcPr>
            <w:tcW w:w="3074" w:type="pct"/>
            <w:vAlign w:val="bottom"/>
          </w:tcPr>
          <w:p w14:paraId="3D81B856" w14:textId="77777777" w:rsidR="00C61525" w:rsidRPr="00CE12FB" w:rsidRDefault="00C61525" w:rsidP="00C61525">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62" w:name="_Toc67328729"/>
            <w:r w:rsidRPr="00CE12FB">
              <w:rPr>
                <w:rFonts w:ascii="Arial" w:eastAsia="Times New Roman" w:hAnsi="Arial" w:cs="Arial"/>
                <w:color w:val="000000" w:themeColor="text1"/>
                <w:sz w:val="20"/>
                <w:szCs w:val="20"/>
              </w:rPr>
              <w:t>Odgođena naknada</w:t>
            </w:r>
            <w:bookmarkEnd w:id="462"/>
          </w:p>
        </w:tc>
        <w:tc>
          <w:tcPr>
            <w:tcW w:w="962" w:type="pct"/>
            <w:tcBorders>
              <w:top w:val="nil"/>
              <w:left w:val="nil"/>
              <w:bottom w:val="single" w:sz="4" w:space="0" w:color="auto"/>
              <w:right w:val="nil"/>
            </w:tcBorders>
            <w:shd w:val="clear" w:color="auto" w:fill="auto"/>
            <w:vAlign w:val="bottom"/>
          </w:tcPr>
          <w:p w14:paraId="348991B6" w14:textId="6B83C0CF" w:rsidR="00C61525" w:rsidRPr="00CE12FB" w:rsidRDefault="00A74E41" w:rsidP="00C61525">
            <w:pPr>
              <w:suppressAutoHyphens/>
              <w:autoSpaceDN w:val="0"/>
              <w:jc w:val="right"/>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(3.260)</w:t>
            </w:r>
          </w:p>
        </w:tc>
        <w:tc>
          <w:tcPr>
            <w:tcW w:w="964" w:type="pct"/>
            <w:tcBorders>
              <w:top w:val="nil"/>
              <w:left w:val="nil"/>
              <w:bottom w:val="single" w:sz="4" w:space="0" w:color="auto"/>
              <w:right w:val="nil"/>
            </w:tcBorders>
            <w:shd w:val="clear" w:color="auto" w:fill="auto"/>
            <w:vAlign w:val="bottom"/>
          </w:tcPr>
          <w:p w14:paraId="1CA7BE1F" w14:textId="53CB2ADD" w:rsidR="00C61525" w:rsidRPr="00C61525" w:rsidRDefault="00C61525" w:rsidP="00C61525">
            <w:pPr>
              <w:tabs>
                <w:tab w:val="right" w:pos="1202"/>
              </w:tabs>
              <w:suppressAutoHyphens/>
              <w:autoSpaceDN w:val="0"/>
              <w:spacing w:line="301" w:lineRule="exact"/>
              <w:jc w:val="right"/>
              <w:outlineLvl w:val="0"/>
              <w:rPr>
                <w:rFonts w:ascii="Arial" w:eastAsia="Times New Roman" w:hAnsi="Arial" w:cs="Arial"/>
                <w:color w:val="000000" w:themeColor="text1"/>
                <w:spacing w:val="-2"/>
                <w:sz w:val="20"/>
                <w:szCs w:val="20"/>
              </w:rPr>
            </w:pPr>
            <w:r w:rsidRPr="00C61525">
              <w:rPr>
                <w:rFonts w:ascii="Arial" w:hAnsi="Arial" w:cs="Arial"/>
                <w:sz w:val="20"/>
              </w:rPr>
              <w:t xml:space="preserve"> (3.332)</w:t>
            </w:r>
          </w:p>
        </w:tc>
      </w:tr>
      <w:tr w:rsidR="00C61525" w:rsidRPr="00CE12FB" w14:paraId="23A6E059" w14:textId="77777777" w:rsidTr="0067706A">
        <w:trPr>
          <w:trHeight w:val="327"/>
        </w:trPr>
        <w:tc>
          <w:tcPr>
            <w:tcW w:w="3074" w:type="pct"/>
            <w:vAlign w:val="bottom"/>
          </w:tcPr>
          <w:p w14:paraId="213A73E3" w14:textId="77777777" w:rsidR="00C61525" w:rsidRPr="00CE12FB" w:rsidRDefault="00C61525" w:rsidP="00C61525">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962" w:type="pct"/>
            <w:tcBorders>
              <w:top w:val="single" w:sz="4" w:space="0" w:color="auto"/>
              <w:bottom w:val="single" w:sz="12" w:space="0" w:color="auto"/>
            </w:tcBorders>
            <w:vAlign w:val="bottom"/>
          </w:tcPr>
          <w:p w14:paraId="5A7C9C3C" w14:textId="2BB93BA5" w:rsidR="00C61525" w:rsidRPr="00CE12FB" w:rsidRDefault="00A74E41" w:rsidP="00C61525">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2.229.329</w:t>
            </w:r>
          </w:p>
        </w:tc>
        <w:tc>
          <w:tcPr>
            <w:tcW w:w="964" w:type="pct"/>
            <w:tcBorders>
              <w:top w:val="single" w:sz="4" w:space="0" w:color="auto"/>
              <w:bottom w:val="single" w:sz="12" w:space="0" w:color="auto"/>
            </w:tcBorders>
            <w:vAlign w:val="bottom"/>
          </w:tcPr>
          <w:p w14:paraId="7982A2A7" w14:textId="6E9032F9" w:rsidR="00C61525" w:rsidRPr="00C61525" w:rsidRDefault="00C61525" w:rsidP="00C61525">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C61525">
              <w:rPr>
                <w:rFonts w:ascii="Arial" w:hAnsi="Arial" w:cs="Arial"/>
                <w:b/>
                <w:bCs/>
                <w:color w:val="000000" w:themeColor="text1"/>
                <w:sz w:val="20"/>
              </w:rPr>
              <w:t>2.251.176</w:t>
            </w:r>
          </w:p>
        </w:tc>
      </w:tr>
    </w:tbl>
    <w:p w14:paraId="53F97D97" w14:textId="70E76669" w:rsidR="00FC2BEF" w:rsidRDefault="00FC2BEF" w:rsidP="00FC2BEF">
      <w:pPr>
        <w:tabs>
          <w:tab w:val="left" w:pos="-1843"/>
        </w:tabs>
        <w:suppressAutoHyphens/>
        <w:autoSpaceDN w:val="0"/>
        <w:jc w:val="both"/>
        <w:outlineLvl w:val="0"/>
        <w:rPr>
          <w:rFonts w:ascii="Arial" w:eastAsia="Times New Roman" w:hAnsi="Arial" w:cs="Arial"/>
          <w:b/>
          <w:color w:val="000000" w:themeColor="text1"/>
          <w:sz w:val="20"/>
          <w:szCs w:val="20"/>
        </w:rPr>
      </w:pPr>
    </w:p>
    <w:p w14:paraId="7850AC26" w14:textId="49E91E1F" w:rsidR="00344BAD" w:rsidRDefault="00344BAD" w:rsidP="00FC2BEF">
      <w:pPr>
        <w:tabs>
          <w:tab w:val="left" w:pos="-1843"/>
        </w:tabs>
        <w:suppressAutoHyphens/>
        <w:autoSpaceDN w:val="0"/>
        <w:jc w:val="both"/>
        <w:outlineLvl w:val="0"/>
        <w:rPr>
          <w:rFonts w:ascii="Arial" w:eastAsia="Times New Roman" w:hAnsi="Arial" w:cs="Arial"/>
          <w:b/>
          <w:color w:val="000000" w:themeColor="text1"/>
          <w:sz w:val="20"/>
          <w:szCs w:val="20"/>
        </w:rPr>
      </w:pPr>
    </w:p>
    <w:p w14:paraId="0F356FE5" w14:textId="77777777" w:rsidR="00344BAD" w:rsidRPr="003D1614" w:rsidRDefault="00344BAD" w:rsidP="00FC2BEF">
      <w:pPr>
        <w:tabs>
          <w:tab w:val="left" w:pos="-1843"/>
        </w:tabs>
        <w:suppressAutoHyphens/>
        <w:autoSpaceDN w:val="0"/>
        <w:jc w:val="both"/>
        <w:outlineLvl w:val="0"/>
        <w:rPr>
          <w:rFonts w:ascii="Arial" w:eastAsia="Times New Roman" w:hAnsi="Arial" w:cs="Arial"/>
          <w:b/>
          <w:color w:val="000000" w:themeColor="text1"/>
          <w:sz w:val="20"/>
          <w:szCs w:val="20"/>
        </w:rPr>
      </w:pPr>
    </w:p>
    <w:p w14:paraId="2553D9BB" w14:textId="77777777" w:rsidR="00FC2BEF" w:rsidRPr="003D1614" w:rsidRDefault="00FC2BEF" w:rsidP="00FC2BEF">
      <w:pPr>
        <w:suppressAutoHyphens/>
        <w:autoSpaceDN w:val="0"/>
        <w:jc w:val="both"/>
        <w:rPr>
          <w:rFonts w:ascii="Arial" w:eastAsia="Times New Roman" w:hAnsi="Arial" w:cs="Arial"/>
          <w:sz w:val="20"/>
          <w:szCs w:val="20"/>
          <w:lang w:eastAsia="hr-HR"/>
        </w:rPr>
      </w:pPr>
      <w:bookmarkStart w:id="463" w:name="_Hlk99027061"/>
    </w:p>
    <w:tbl>
      <w:tblPr>
        <w:tblW w:w="9128" w:type="dxa"/>
        <w:tblLayout w:type="fixed"/>
        <w:tblLook w:val="04A0" w:firstRow="1" w:lastRow="0" w:firstColumn="1" w:lastColumn="0" w:noHBand="0" w:noVBand="1"/>
      </w:tblPr>
      <w:tblGrid>
        <w:gridCol w:w="5613"/>
        <w:gridCol w:w="1757"/>
        <w:gridCol w:w="1758"/>
      </w:tblGrid>
      <w:tr w:rsidR="00FC2BEF" w:rsidRPr="003D1614" w14:paraId="67C4131B" w14:textId="77777777" w:rsidTr="0064018A">
        <w:trPr>
          <w:trHeight w:val="290"/>
        </w:trPr>
        <w:tc>
          <w:tcPr>
            <w:tcW w:w="5613" w:type="dxa"/>
            <w:tcBorders>
              <w:top w:val="nil"/>
              <w:left w:val="nil"/>
              <w:bottom w:val="nil"/>
              <w:right w:val="nil"/>
            </w:tcBorders>
            <w:shd w:val="clear" w:color="auto" w:fill="auto"/>
            <w:vAlign w:val="bottom"/>
            <w:hideMark/>
          </w:tcPr>
          <w:p w14:paraId="1CD4A68A" w14:textId="77777777" w:rsidR="00FC2BEF" w:rsidRPr="003D1614" w:rsidRDefault="00FC2BEF" w:rsidP="00FC2BEF">
            <w:pPr>
              <w:suppressAutoHyphens/>
              <w:autoSpaceDN w:val="0"/>
              <w:rPr>
                <w:rFonts w:ascii="Arial" w:eastAsia="Times New Roman" w:hAnsi="Arial" w:cs="Arial"/>
                <w:sz w:val="20"/>
                <w:szCs w:val="20"/>
              </w:rPr>
            </w:pPr>
            <w:bookmarkStart w:id="464" w:name="_Hlk99095251"/>
            <w:bookmarkEnd w:id="463"/>
          </w:p>
        </w:tc>
        <w:tc>
          <w:tcPr>
            <w:tcW w:w="3515" w:type="dxa"/>
            <w:gridSpan w:val="2"/>
            <w:tcBorders>
              <w:top w:val="nil"/>
              <w:left w:val="nil"/>
              <w:bottom w:val="nil"/>
              <w:right w:val="nil"/>
            </w:tcBorders>
            <w:shd w:val="clear" w:color="auto" w:fill="auto"/>
            <w:vAlign w:val="bottom"/>
            <w:hideMark/>
          </w:tcPr>
          <w:p w14:paraId="2505BA2D" w14:textId="77777777" w:rsidR="00FC2BEF" w:rsidRPr="003D1614" w:rsidRDefault="00FC2BEF" w:rsidP="00FC2BEF">
            <w:pPr>
              <w:suppressAutoHyphens/>
              <w:autoSpaceDN w:val="0"/>
              <w:jc w:val="right"/>
              <w:rPr>
                <w:rFonts w:ascii="Arial" w:eastAsia="Times New Roman" w:hAnsi="Arial" w:cs="Arial"/>
                <w:b/>
                <w:bCs/>
                <w:color w:val="000000"/>
                <w:sz w:val="20"/>
                <w:szCs w:val="20"/>
              </w:rPr>
            </w:pPr>
            <w:r w:rsidRPr="003D1614">
              <w:rPr>
                <w:rFonts w:ascii="Arial" w:eastAsia="Times New Roman" w:hAnsi="Arial" w:cs="Arial"/>
                <w:b/>
                <w:bCs/>
                <w:color w:val="000000"/>
                <w:sz w:val="20"/>
                <w:szCs w:val="20"/>
              </w:rPr>
              <w:t>Grupa i Banka</w:t>
            </w:r>
          </w:p>
        </w:tc>
      </w:tr>
      <w:tr w:rsidR="00FC2BEF" w:rsidRPr="003D1614" w14:paraId="28F0F23D" w14:textId="77777777" w:rsidTr="0064018A">
        <w:trPr>
          <w:trHeight w:val="290"/>
        </w:trPr>
        <w:tc>
          <w:tcPr>
            <w:tcW w:w="5613" w:type="dxa"/>
            <w:vMerge w:val="restart"/>
            <w:tcBorders>
              <w:top w:val="nil"/>
              <w:left w:val="nil"/>
              <w:bottom w:val="nil"/>
              <w:right w:val="nil"/>
            </w:tcBorders>
            <w:shd w:val="clear" w:color="auto" w:fill="auto"/>
            <w:vAlign w:val="bottom"/>
            <w:hideMark/>
          </w:tcPr>
          <w:p w14:paraId="681DECF1" w14:textId="77777777" w:rsidR="00FC2BEF" w:rsidRPr="003D1614" w:rsidRDefault="00FC2BEF" w:rsidP="00FC2BEF">
            <w:pPr>
              <w:suppressAutoHyphens/>
              <w:autoSpaceDN w:val="0"/>
              <w:jc w:val="right"/>
              <w:rPr>
                <w:rFonts w:ascii="Arial" w:eastAsia="Times New Roman" w:hAnsi="Arial" w:cs="Arial"/>
                <w:b/>
                <w:bCs/>
                <w:color w:val="000000"/>
                <w:sz w:val="20"/>
                <w:szCs w:val="20"/>
              </w:rPr>
            </w:pPr>
          </w:p>
        </w:tc>
        <w:tc>
          <w:tcPr>
            <w:tcW w:w="1757" w:type="dxa"/>
            <w:tcBorders>
              <w:top w:val="nil"/>
              <w:left w:val="nil"/>
              <w:bottom w:val="nil"/>
              <w:right w:val="nil"/>
            </w:tcBorders>
            <w:shd w:val="clear" w:color="auto" w:fill="auto"/>
            <w:vAlign w:val="bottom"/>
            <w:hideMark/>
          </w:tcPr>
          <w:p w14:paraId="5F17B63C" w14:textId="271E762E" w:rsidR="00FC2BEF" w:rsidRPr="003D1614" w:rsidRDefault="00FC2BEF" w:rsidP="00FC2BEF">
            <w:pPr>
              <w:suppressAutoHyphens/>
              <w:autoSpaceDN w:val="0"/>
              <w:jc w:val="right"/>
              <w:rPr>
                <w:rFonts w:ascii="Arial" w:eastAsia="Times New Roman" w:hAnsi="Arial" w:cs="Arial"/>
                <w:b/>
                <w:bCs/>
                <w:color w:val="000000"/>
                <w:sz w:val="20"/>
                <w:szCs w:val="20"/>
              </w:rPr>
            </w:pPr>
            <w:r w:rsidRPr="003D1614">
              <w:rPr>
                <w:rFonts w:ascii="Arial" w:eastAsia="Times New Roman" w:hAnsi="Arial" w:cs="Arial"/>
                <w:b/>
                <w:bCs/>
                <w:color w:val="000000"/>
                <w:sz w:val="20"/>
                <w:szCs w:val="20"/>
              </w:rPr>
              <w:t>31. ožujka</w:t>
            </w:r>
          </w:p>
        </w:tc>
        <w:tc>
          <w:tcPr>
            <w:tcW w:w="1758" w:type="dxa"/>
            <w:tcBorders>
              <w:top w:val="nil"/>
              <w:left w:val="nil"/>
              <w:bottom w:val="nil"/>
              <w:right w:val="nil"/>
            </w:tcBorders>
            <w:shd w:val="clear" w:color="auto" w:fill="auto"/>
            <w:vAlign w:val="bottom"/>
            <w:hideMark/>
          </w:tcPr>
          <w:p w14:paraId="2BB71016" w14:textId="77777777" w:rsidR="00FC2BEF" w:rsidRPr="003D1614" w:rsidRDefault="00FC2BEF" w:rsidP="00FC2BEF">
            <w:pPr>
              <w:suppressAutoHyphens/>
              <w:autoSpaceDN w:val="0"/>
              <w:jc w:val="right"/>
              <w:rPr>
                <w:rFonts w:ascii="Arial" w:eastAsia="Times New Roman" w:hAnsi="Arial" w:cs="Arial"/>
                <w:b/>
                <w:bCs/>
                <w:color w:val="000000"/>
                <w:sz w:val="20"/>
                <w:szCs w:val="20"/>
              </w:rPr>
            </w:pPr>
            <w:r w:rsidRPr="003D1614">
              <w:rPr>
                <w:rFonts w:ascii="Arial" w:eastAsia="Times New Roman" w:hAnsi="Arial" w:cs="Arial"/>
                <w:b/>
                <w:bCs/>
                <w:color w:val="000000"/>
                <w:sz w:val="20"/>
                <w:szCs w:val="20"/>
              </w:rPr>
              <w:t xml:space="preserve">31. prosinca </w:t>
            </w:r>
          </w:p>
        </w:tc>
      </w:tr>
      <w:tr w:rsidR="00FC2BEF" w:rsidRPr="003D1614" w14:paraId="5EED52E1" w14:textId="77777777" w:rsidTr="0064018A">
        <w:trPr>
          <w:trHeight w:val="290"/>
        </w:trPr>
        <w:tc>
          <w:tcPr>
            <w:tcW w:w="5613" w:type="dxa"/>
            <w:vMerge/>
            <w:tcBorders>
              <w:top w:val="nil"/>
              <w:left w:val="nil"/>
              <w:bottom w:val="nil"/>
              <w:right w:val="nil"/>
            </w:tcBorders>
            <w:vAlign w:val="bottom"/>
            <w:hideMark/>
          </w:tcPr>
          <w:p w14:paraId="3E89C442" w14:textId="77777777" w:rsidR="00FC2BEF" w:rsidRPr="003D1614" w:rsidRDefault="00FC2BEF" w:rsidP="00FC2BEF">
            <w:pPr>
              <w:suppressAutoHyphens/>
              <w:autoSpaceDN w:val="0"/>
              <w:rPr>
                <w:rFonts w:ascii="Arial" w:eastAsia="Times New Roman" w:hAnsi="Arial" w:cs="Arial"/>
                <w:b/>
                <w:bCs/>
                <w:color w:val="000000"/>
                <w:sz w:val="20"/>
                <w:szCs w:val="20"/>
              </w:rPr>
            </w:pPr>
          </w:p>
        </w:tc>
        <w:tc>
          <w:tcPr>
            <w:tcW w:w="1757" w:type="dxa"/>
            <w:tcBorders>
              <w:top w:val="nil"/>
              <w:left w:val="nil"/>
              <w:bottom w:val="nil"/>
              <w:right w:val="nil"/>
            </w:tcBorders>
            <w:shd w:val="clear" w:color="auto" w:fill="auto"/>
            <w:vAlign w:val="bottom"/>
            <w:hideMark/>
          </w:tcPr>
          <w:p w14:paraId="463AF75C" w14:textId="76D2CC2B" w:rsidR="00FC2BEF" w:rsidRPr="003D1614" w:rsidRDefault="00FC2BEF" w:rsidP="00FC2BEF">
            <w:pPr>
              <w:suppressAutoHyphens/>
              <w:autoSpaceDN w:val="0"/>
              <w:jc w:val="right"/>
              <w:rPr>
                <w:rFonts w:ascii="Arial" w:eastAsia="Times New Roman" w:hAnsi="Arial" w:cs="Arial"/>
                <w:b/>
                <w:bCs/>
                <w:color w:val="000000"/>
                <w:sz w:val="20"/>
                <w:szCs w:val="20"/>
              </w:rPr>
            </w:pPr>
            <w:r w:rsidRPr="003D1614">
              <w:rPr>
                <w:rFonts w:ascii="Arial" w:eastAsia="Times New Roman" w:hAnsi="Arial" w:cs="Arial"/>
                <w:b/>
                <w:bCs/>
                <w:color w:val="000000"/>
                <w:sz w:val="20"/>
                <w:szCs w:val="20"/>
              </w:rPr>
              <w:t xml:space="preserve"> 202</w:t>
            </w:r>
            <w:r w:rsidR="00C61525">
              <w:rPr>
                <w:rFonts w:ascii="Arial" w:eastAsia="Times New Roman" w:hAnsi="Arial" w:cs="Arial"/>
                <w:b/>
                <w:bCs/>
                <w:color w:val="000000"/>
                <w:sz w:val="20"/>
                <w:szCs w:val="20"/>
              </w:rPr>
              <w:t>4</w:t>
            </w:r>
            <w:r w:rsidRPr="003D1614">
              <w:rPr>
                <w:rFonts w:ascii="Arial" w:eastAsia="Times New Roman" w:hAnsi="Arial" w:cs="Arial"/>
                <w:b/>
                <w:bCs/>
                <w:color w:val="000000"/>
                <w:sz w:val="20"/>
                <w:szCs w:val="20"/>
              </w:rPr>
              <w:t>.</w:t>
            </w:r>
          </w:p>
        </w:tc>
        <w:tc>
          <w:tcPr>
            <w:tcW w:w="1758" w:type="dxa"/>
            <w:tcBorders>
              <w:top w:val="nil"/>
              <w:left w:val="nil"/>
              <w:bottom w:val="nil"/>
              <w:right w:val="nil"/>
            </w:tcBorders>
            <w:shd w:val="clear" w:color="auto" w:fill="auto"/>
            <w:vAlign w:val="bottom"/>
            <w:hideMark/>
          </w:tcPr>
          <w:p w14:paraId="5F306707" w14:textId="7D820990" w:rsidR="00FC2BEF" w:rsidRPr="003D1614" w:rsidRDefault="00FC2BEF" w:rsidP="00FC2BEF">
            <w:pPr>
              <w:suppressAutoHyphens/>
              <w:autoSpaceDN w:val="0"/>
              <w:jc w:val="right"/>
              <w:rPr>
                <w:rFonts w:ascii="Arial" w:eastAsia="Times New Roman" w:hAnsi="Arial" w:cs="Arial"/>
                <w:b/>
                <w:bCs/>
                <w:color w:val="000000"/>
                <w:sz w:val="20"/>
                <w:szCs w:val="20"/>
              </w:rPr>
            </w:pPr>
            <w:r w:rsidRPr="003D1614">
              <w:rPr>
                <w:rFonts w:ascii="Arial" w:eastAsia="Times New Roman" w:hAnsi="Arial" w:cs="Arial"/>
                <w:b/>
                <w:bCs/>
                <w:color w:val="000000"/>
                <w:sz w:val="20"/>
                <w:szCs w:val="20"/>
              </w:rPr>
              <w:t>202</w:t>
            </w:r>
            <w:r w:rsidR="00C61525">
              <w:rPr>
                <w:rFonts w:ascii="Arial" w:eastAsia="Times New Roman" w:hAnsi="Arial" w:cs="Arial"/>
                <w:b/>
                <w:bCs/>
                <w:color w:val="000000"/>
                <w:sz w:val="20"/>
                <w:szCs w:val="20"/>
              </w:rPr>
              <w:t>3</w:t>
            </w:r>
            <w:r w:rsidRPr="003D1614">
              <w:rPr>
                <w:rFonts w:ascii="Arial" w:eastAsia="Times New Roman" w:hAnsi="Arial" w:cs="Arial"/>
                <w:b/>
                <w:bCs/>
                <w:color w:val="000000"/>
                <w:sz w:val="20"/>
                <w:szCs w:val="20"/>
              </w:rPr>
              <w:t>.</w:t>
            </w:r>
          </w:p>
        </w:tc>
      </w:tr>
      <w:tr w:rsidR="00FC2BEF" w:rsidRPr="003D1614" w14:paraId="2DA30116" w14:textId="77777777" w:rsidTr="0064018A">
        <w:trPr>
          <w:trHeight w:val="290"/>
        </w:trPr>
        <w:tc>
          <w:tcPr>
            <w:tcW w:w="5613" w:type="dxa"/>
            <w:tcBorders>
              <w:top w:val="nil"/>
              <w:left w:val="nil"/>
              <w:bottom w:val="nil"/>
              <w:right w:val="nil"/>
            </w:tcBorders>
            <w:shd w:val="clear" w:color="auto" w:fill="auto"/>
            <w:vAlign w:val="bottom"/>
            <w:hideMark/>
          </w:tcPr>
          <w:p w14:paraId="51916BB0" w14:textId="77777777" w:rsidR="00FC2BEF" w:rsidRPr="003D1614" w:rsidRDefault="00FC2BEF" w:rsidP="00FC2BEF">
            <w:pPr>
              <w:suppressAutoHyphens/>
              <w:autoSpaceDN w:val="0"/>
              <w:jc w:val="right"/>
              <w:rPr>
                <w:rFonts w:ascii="Arial" w:eastAsia="Times New Roman" w:hAnsi="Arial" w:cs="Arial"/>
                <w:b/>
                <w:bCs/>
                <w:color w:val="000000"/>
                <w:sz w:val="20"/>
                <w:szCs w:val="20"/>
              </w:rPr>
            </w:pPr>
          </w:p>
        </w:tc>
        <w:tc>
          <w:tcPr>
            <w:tcW w:w="1757" w:type="dxa"/>
            <w:vAlign w:val="bottom"/>
            <w:hideMark/>
          </w:tcPr>
          <w:p w14:paraId="52DD12A2" w14:textId="52BAC55F" w:rsidR="00FC2BEF" w:rsidRPr="003D1614" w:rsidRDefault="00FC2BEF" w:rsidP="00FC2BEF">
            <w:pPr>
              <w:suppressAutoHyphens/>
              <w:autoSpaceDN w:val="0"/>
              <w:jc w:val="right"/>
              <w:rPr>
                <w:rFonts w:ascii="Arial" w:eastAsia="Times New Roman" w:hAnsi="Arial" w:cs="Arial"/>
                <w:b/>
                <w:bCs/>
                <w:color w:val="000000"/>
                <w:sz w:val="20"/>
                <w:szCs w:val="20"/>
              </w:rPr>
            </w:pPr>
            <w:r w:rsidRPr="003D1614">
              <w:rPr>
                <w:rFonts w:ascii="Arial" w:eastAsia="Times New Roman" w:hAnsi="Arial" w:cs="Arial"/>
                <w:b/>
                <w:color w:val="000000" w:themeColor="text1"/>
                <w:spacing w:val="-3"/>
                <w:sz w:val="20"/>
                <w:szCs w:val="20"/>
              </w:rPr>
              <w:t>000 eura</w:t>
            </w:r>
          </w:p>
        </w:tc>
        <w:tc>
          <w:tcPr>
            <w:tcW w:w="1758" w:type="dxa"/>
            <w:vAlign w:val="bottom"/>
            <w:hideMark/>
          </w:tcPr>
          <w:p w14:paraId="0620A693" w14:textId="5013ADC9" w:rsidR="00FC2BEF" w:rsidRPr="003D1614" w:rsidRDefault="00FC2BEF" w:rsidP="00FC2BEF">
            <w:pPr>
              <w:suppressAutoHyphens/>
              <w:autoSpaceDN w:val="0"/>
              <w:jc w:val="right"/>
              <w:rPr>
                <w:rFonts w:ascii="Arial" w:eastAsia="Times New Roman" w:hAnsi="Arial" w:cs="Arial"/>
                <w:b/>
                <w:bCs/>
                <w:color w:val="000000"/>
                <w:sz w:val="20"/>
                <w:szCs w:val="20"/>
              </w:rPr>
            </w:pPr>
            <w:r w:rsidRPr="003D1614">
              <w:rPr>
                <w:rFonts w:ascii="Arial" w:eastAsia="Times New Roman" w:hAnsi="Arial" w:cs="Arial"/>
                <w:b/>
                <w:color w:val="000000" w:themeColor="text1"/>
                <w:spacing w:val="-3"/>
                <w:sz w:val="20"/>
                <w:szCs w:val="20"/>
              </w:rPr>
              <w:t>000 eura</w:t>
            </w:r>
          </w:p>
        </w:tc>
      </w:tr>
      <w:tr w:rsidR="00CD770C" w:rsidRPr="003D1614" w14:paraId="6E499703" w14:textId="77777777" w:rsidTr="005D1219">
        <w:trPr>
          <w:trHeight w:val="340"/>
        </w:trPr>
        <w:tc>
          <w:tcPr>
            <w:tcW w:w="5613" w:type="dxa"/>
            <w:tcBorders>
              <w:top w:val="nil"/>
              <w:left w:val="nil"/>
              <w:bottom w:val="nil"/>
              <w:right w:val="nil"/>
            </w:tcBorders>
            <w:shd w:val="clear" w:color="auto" w:fill="auto"/>
            <w:vAlign w:val="bottom"/>
            <w:hideMark/>
          </w:tcPr>
          <w:p w14:paraId="616D7EDC" w14:textId="77777777" w:rsidR="00CD770C" w:rsidRPr="003D1614" w:rsidRDefault="00CD770C" w:rsidP="00CD770C">
            <w:pPr>
              <w:suppressAutoHyphens/>
              <w:autoSpaceDN w:val="0"/>
              <w:rPr>
                <w:rFonts w:ascii="Arial" w:eastAsia="Times New Roman" w:hAnsi="Arial" w:cs="Arial"/>
                <w:color w:val="000000"/>
                <w:sz w:val="20"/>
                <w:szCs w:val="20"/>
              </w:rPr>
            </w:pPr>
            <w:r w:rsidRPr="003D1614">
              <w:rPr>
                <w:rFonts w:ascii="Arial" w:eastAsia="Times New Roman" w:hAnsi="Arial" w:cs="Arial"/>
                <w:color w:val="000000"/>
                <w:sz w:val="20"/>
                <w:szCs w:val="20"/>
              </w:rPr>
              <w:t>Pozajmljena sredstva - strane financijske institucije</w:t>
            </w:r>
          </w:p>
        </w:tc>
        <w:tc>
          <w:tcPr>
            <w:tcW w:w="1757" w:type="dxa"/>
            <w:tcBorders>
              <w:top w:val="nil"/>
              <w:left w:val="nil"/>
              <w:bottom w:val="nil"/>
              <w:right w:val="nil"/>
            </w:tcBorders>
            <w:shd w:val="clear" w:color="auto" w:fill="auto"/>
            <w:vAlign w:val="bottom"/>
          </w:tcPr>
          <w:p w14:paraId="40A89DE8" w14:textId="477E94CC" w:rsidR="00CD770C" w:rsidRPr="00CD770C" w:rsidRDefault="00CD770C" w:rsidP="00CD770C">
            <w:pPr>
              <w:suppressAutoHyphens/>
              <w:autoSpaceDN w:val="0"/>
              <w:jc w:val="right"/>
              <w:rPr>
                <w:rFonts w:ascii="Arial" w:eastAsia="Times New Roman" w:hAnsi="Arial" w:cs="Arial"/>
                <w:color w:val="000000"/>
                <w:sz w:val="20"/>
                <w:szCs w:val="20"/>
              </w:rPr>
            </w:pPr>
            <w:r w:rsidRPr="005D1219">
              <w:rPr>
                <w:rFonts w:ascii="Arial" w:hAnsi="Arial" w:cs="Arial"/>
                <w:color w:val="000000"/>
                <w:sz w:val="20"/>
                <w:szCs w:val="20"/>
              </w:rPr>
              <w:t>1.850.608</w:t>
            </w:r>
          </w:p>
        </w:tc>
        <w:tc>
          <w:tcPr>
            <w:tcW w:w="1758" w:type="dxa"/>
            <w:tcBorders>
              <w:top w:val="nil"/>
              <w:left w:val="nil"/>
              <w:bottom w:val="nil"/>
              <w:right w:val="nil"/>
            </w:tcBorders>
            <w:shd w:val="clear" w:color="auto" w:fill="auto"/>
            <w:vAlign w:val="bottom"/>
          </w:tcPr>
          <w:p w14:paraId="1FBE9AE9" w14:textId="21DE6B00" w:rsidR="00CD770C" w:rsidRPr="00CE12FB" w:rsidRDefault="00CD770C" w:rsidP="00CD770C">
            <w:pPr>
              <w:suppressAutoHyphens/>
              <w:autoSpaceDN w:val="0"/>
              <w:jc w:val="right"/>
              <w:rPr>
                <w:rFonts w:ascii="Arial" w:eastAsia="Times New Roman" w:hAnsi="Arial" w:cs="Arial"/>
                <w:color w:val="000000"/>
                <w:sz w:val="20"/>
                <w:szCs w:val="20"/>
              </w:rPr>
            </w:pPr>
            <w:r w:rsidRPr="00531CE5">
              <w:rPr>
                <w:rFonts w:ascii="Arial" w:hAnsi="Arial" w:cs="Arial"/>
                <w:color w:val="000000"/>
                <w:sz w:val="20"/>
                <w:szCs w:val="20"/>
              </w:rPr>
              <w:t>1.833.548</w:t>
            </w:r>
          </w:p>
        </w:tc>
      </w:tr>
      <w:tr w:rsidR="00CD770C" w:rsidRPr="003D1614" w14:paraId="7D19AABC" w14:textId="77777777" w:rsidTr="005D1219">
        <w:trPr>
          <w:trHeight w:val="340"/>
        </w:trPr>
        <w:tc>
          <w:tcPr>
            <w:tcW w:w="5613" w:type="dxa"/>
            <w:tcBorders>
              <w:top w:val="nil"/>
              <w:left w:val="nil"/>
              <w:bottom w:val="nil"/>
              <w:right w:val="nil"/>
            </w:tcBorders>
            <w:shd w:val="clear" w:color="auto" w:fill="auto"/>
            <w:vAlign w:val="bottom"/>
            <w:hideMark/>
          </w:tcPr>
          <w:p w14:paraId="18333B0A" w14:textId="77777777" w:rsidR="00CD770C" w:rsidRPr="003D1614" w:rsidRDefault="00CD770C" w:rsidP="00CD770C">
            <w:pPr>
              <w:suppressAutoHyphens/>
              <w:autoSpaceDN w:val="0"/>
              <w:rPr>
                <w:rFonts w:ascii="Arial" w:eastAsia="Times New Roman" w:hAnsi="Arial" w:cs="Arial"/>
                <w:color w:val="000000"/>
                <w:sz w:val="20"/>
                <w:szCs w:val="20"/>
              </w:rPr>
            </w:pPr>
            <w:r w:rsidRPr="003D1614">
              <w:rPr>
                <w:rFonts w:ascii="Arial" w:eastAsia="Times New Roman" w:hAnsi="Arial" w:cs="Arial"/>
                <w:color w:val="000000"/>
                <w:sz w:val="20"/>
                <w:szCs w:val="20"/>
              </w:rPr>
              <w:t>Pozajmljena sredstva - domaće institucije</w:t>
            </w:r>
          </w:p>
        </w:tc>
        <w:tc>
          <w:tcPr>
            <w:tcW w:w="1757" w:type="dxa"/>
            <w:tcBorders>
              <w:top w:val="nil"/>
              <w:left w:val="nil"/>
              <w:bottom w:val="nil"/>
              <w:right w:val="nil"/>
            </w:tcBorders>
            <w:shd w:val="clear" w:color="auto" w:fill="auto"/>
            <w:vAlign w:val="bottom"/>
          </w:tcPr>
          <w:p w14:paraId="006CA64F" w14:textId="5E1F28C1" w:rsidR="00CD770C" w:rsidRPr="00CD770C" w:rsidRDefault="00CD770C" w:rsidP="00CD770C">
            <w:pPr>
              <w:suppressAutoHyphens/>
              <w:autoSpaceDN w:val="0"/>
              <w:jc w:val="right"/>
              <w:rPr>
                <w:rFonts w:ascii="Arial" w:eastAsia="Times New Roman" w:hAnsi="Arial" w:cs="Arial"/>
                <w:color w:val="000000"/>
                <w:sz w:val="20"/>
                <w:szCs w:val="20"/>
              </w:rPr>
            </w:pPr>
            <w:r w:rsidRPr="005D1219">
              <w:rPr>
                <w:rFonts w:ascii="Arial" w:hAnsi="Arial" w:cs="Arial"/>
                <w:color w:val="000000"/>
                <w:sz w:val="20"/>
                <w:szCs w:val="20"/>
              </w:rPr>
              <w:t>373.500</w:t>
            </w:r>
          </w:p>
        </w:tc>
        <w:tc>
          <w:tcPr>
            <w:tcW w:w="1758" w:type="dxa"/>
            <w:tcBorders>
              <w:top w:val="nil"/>
              <w:left w:val="nil"/>
              <w:bottom w:val="single" w:sz="8" w:space="0" w:color="auto"/>
              <w:right w:val="nil"/>
            </w:tcBorders>
            <w:shd w:val="clear" w:color="auto" w:fill="auto"/>
            <w:vAlign w:val="bottom"/>
          </w:tcPr>
          <w:p w14:paraId="6334D69A" w14:textId="773652B7" w:rsidR="00CD770C" w:rsidRPr="00CE12FB" w:rsidRDefault="00CD770C" w:rsidP="00CD770C">
            <w:pPr>
              <w:suppressAutoHyphens/>
              <w:autoSpaceDN w:val="0"/>
              <w:jc w:val="right"/>
              <w:rPr>
                <w:rFonts w:ascii="Arial" w:eastAsia="Times New Roman" w:hAnsi="Arial" w:cs="Arial"/>
                <w:color w:val="000000"/>
                <w:sz w:val="20"/>
                <w:szCs w:val="20"/>
              </w:rPr>
            </w:pPr>
            <w:r w:rsidRPr="00531CE5">
              <w:rPr>
                <w:rFonts w:ascii="Arial" w:hAnsi="Arial" w:cs="Arial"/>
                <w:color w:val="000000"/>
                <w:sz w:val="20"/>
                <w:szCs w:val="20"/>
              </w:rPr>
              <w:t>415.223</w:t>
            </w:r>
          </w:p>
        </w:tc>
      </w:tr>
      <w:tr w:rsidR="00CD770C" w:rsidRPr="003D1614" w14:paraId="561DFE8B" w14:textId="77777777" w:rsidTr="005D1219">
        <w:trPr>
          <w:trHeight w:val="340"/>
        </w:trPr>
        <w:tc>
          <w:tcPr>
            <w:tcW w:w="5613" w:type="dxa"/>
            <w:tcBorders>
              <w:top w:val="nil"/>
              <w:left w:val="nil"/>
              <w:bottom w:val="nil"/>
              <w:right w:val="nil"/>
            </w:tcBorders>
            <w:shd w:val="clear" w:color="auto" w:fill="auto"/>
            <w:vAlign w:val="bottom"/>
            <w:hideMark/>
          </w:tcPr>
          <w:p w14:paraId="5CB7DCF7" w14:textId="77777777" w:rsidR="00CD770C" w:rsidRPr="003D1614" w:rsidRDefault="00CD770C" w:rsidP="00CD770C">
            <w:pPr>
              <w:suppressAutoHyphens/>
              <w:autoSpaceDN w:val="0"/>
              <w:jc w:val="right"/>
              <w:rPr>
                <w:rFonts w:ascii="Arial" w:eastAsia="Times New Roman" w:hAnsi="Arial" w:cs="Arial"/>
                <w:color w:val="000000"/>
                <w:sz w:val="20"/>
                <w:szCs w:val="20"/>
              </w:rPr>
            </w:pPr>
          </w:p>
        </w:tc>
        <w:tc>
          <w:tcPr>
            <w:tcW w:w="1757" w:type="dxa"/>
            <w:tcBorders>
              <w:top w:val="single" w:sz="8" w:space="0" w:color="auto"/>
              <w:left w:val="nil"/>
              <w:bottom w:val="single" w:sz="12" w:space="0" w:color="auto"/>
              <w:right w:val="nil"/>
            </w:tcBorders>
            <w:shd w:val="clear" w:color="auto" w:fill="auto"/>
            <w:vAlign w:val="bottom"/>
          </w:tcPr>
          <w:p w14:paraId="14A4D483" w14:textId="6C6B5B5D" w:rsidR="00CD770C" w:rsidRPr="00CD770C" w:rsidRDefault="00CD770C" w:rsidP="00CD770C">
            <w:pPr>
              <w:suppressAutoHyphens/>
              <w:autoSpaceDN w:val="0"/>
              <w:jc w:val="right"/>
              <w:rPr>
                <w:rFonts w:ascii="Arial" w:eastAsia="Times New Roman" w:hAnsi="Arial" w:cs="Arial"/>
                <w:color w:val="000000"/>
                <w:sz w:val="20"/>
                <w:szCs w:val="20"/>
              </w:rPr>
            </w:pPr>
            <w:r w:rsidRPr="005D1219">
              <w:rPr>
                <w:rFonts w:ascii="Arial" w:hAnsi="Arial" w:cs="Arial"/>
                <w:color w:val="000000"/>
                <w:sz w:val="20"/>
                <w:szCs w:val="20"/>
              </w:rPr>
              <w:t>2.224.108</w:t>
            </w:r>
          </w:p>
        </w:tc>
        <w:tc>
          <w:tcPr>
            <w:tcW w:w="1758" w:type="dxa"/>
            <w:tcBorders>
              <w:top w:val="nil"/>
              <w:left w:val="nil"/>
              <w:bottom w:val="single" w:sz="12" w:space="0" w:color="auto"/>
              <w:right w:val="nil"/>
            </w:tcBorders>
            <w:shd w:val="clear" w:color="auto" w:fill="auto"/>
            <w:vAlign w:val="bottom"/>
          </w:tcPr>
          <w:p w14:paraId="127964D5" w14:textId="5B6AA52E" w:rsidR="00CD770C" w:rsidRPr="00CE12FB" w:rsidRDefault="00CD770C" w:rsidP="00CD770C">
            <w:pPr>
              <w:suppressAutoHyphens/>
              <w:autoSpaceDN w:val="0"/>
              <w:jc w:val="right"/>
              <w:rPr>
                <w:rFonts w:ascii="Arial" w:eastAsia="Times New Roman" w:hAnsi="Arial" w:cs="Arial"/>
                <w:color w:val="000000"/>
                <w:sz w:val="20"/>
                <w:szCs w:val="20"/>
              </w:rPr>
            </w:pPr>
            <w:r w:rsidRPr="00531CE5">
              <w:rPr>
                <w:rFonts w:ascii="Arial" w:hAnsi="Arial" w:cs="Arial"/>
                <w:color w:val="000000"/>
                <w:sz w:val="20"/>
                <w:szCs w:val="20"/>
              </w:rPr>
              <w:t>2.248.771</w:t>
            </w:r>
          </w:p>
        </w:tc>
      </w:tr>
      <w:tr w:rsidR="00CD770C" w:rsidRPr="003D1614" w14:paraId="5660EE0E" w14:textId="77777777" w:rsidTr="005D1219">
        <w:trPr>
          <w:trHeight w:val="340"/>
        </w:trPr>
        <w:tc>
          <w:tcPr>
            <w:tcW w:w="5613" w:type="dxa"/>
            <w:tcBorders>
              <w:top w:val="nil"/>
              <w:left w:val="nil"/>
              <w:bottom w:val="nil"/>
              <w:right w:val="nil"/>
            </w:tcBorders>
            <w:shd w:val="clear" w:color="auto" w:fill="auto"/>
            <w:vAlign w:val="bottom"/>
            <w:hideMark/>
          </w:tcPr>
          <w:p w14:paraId="57BAF90E" w14:textId="77777777" w:rsidR="00CD770C" w:rsidRPr="003D1614" w:rsidRDefault="00CD770C" w:rsidP="00CD770C">
            <w:pPr>
              <w:suppressAutoHyphens/>
              <w:autoSpaceDN w:val="0"/>
              <w:rPr>
                <w:rFonts w:ascii="Arial" w:eastAsia="Times New Roman" w:hAnsi="Arial" w:cs="Arial"/>
                <w:color w:val="000000"/>
                <w:sz w:val="20"/>
                <w:szCs w:val="20"/>
              </w:rPr>
            </w:pPr>
            <w:r w:rsidRPr="003D1614">
              <w:rPr>
                <w:rFonts w:ascii="Arial" w:eastAsia="Times New Roman" w:hAnsi="Arial" w:cs="Arial"/>
                <w:color w:val="000000"/>
                <w:sz w:val="20"/>
                <w:szCs w:val="20"/>
              </w:rPr>
              <w:t>Obračunata kamata</w:t>
            </w:r>
          </w:p>
        </w:tc>
        <w:tc>
          <w:tcPr>
            <w:tcW w:w="1757" w:type="dxa"/>
            <w:tcBorders>
              <w:top w:val="nil"/>
              <w:left w:val="nil"/>
              <w:bottom w:val="nil"/>
              <w:right w:val="nil"/>
            </w:tcBorders>
            <w:shd w:val="clear" w:color="auto" w:fill="auto"/>
            <w:vAlign w:val="bottom"/>
          </w:tcPr>
          <w:p w14:paraId="3AF170C4" w14:textId="6D9CE429" w:rsidR="00CD770C" w:rsidRPr="00CD770C" w:rsidRDefault="00CD770C" w:rsidP="00CD770C">
            <w:pPr>
              <w:suppressAutoHyphens/>
              <w:autoSpaceDN w:val="0"/>
              <w:jc w:val="right"/>
              <w:rPr>
                <w:rFonts w:ascii="Arial" w:eastAsia="Times New Roman" w:hAnsi="Arial" w:cs="Arial"/>
                <w:color w:val="000000"/>
                <w:sz w:val="20"/>
                <w:szCs w:val="20"/>
              </w:rPr>
            </w:pPr>
            <w:r w:rsidRPr="005D1219">
              <w:rPr>
                <w:rFonts w:ascii="Arial" w:hAnsi="Arial" w:cs="Arial"/>
                <w:color w:val="000000"/>
                <w:sz w:val="20"/>
                <w:szCs w:val="20"/>
              </w:rPr>
              <w:t xml:space="preserve">                            8.481 </w:t>
            </w:r>
          </w:p>
        </w:tc>
        <w:tc>
          <w:tcPr>
            <w:tcW w:w="1758" w:type="dxa"/>
            <w:tcBorders>
              <w:top w:val="single" w:sz="12" w:space="0" w:color="auto"/>
              <w:left w:val="nil"/>
              <w:right w:val="nil"/>
            </w:tcBorders>
            <w:shd w:val="clear" w:color="auto" w:fill="auto"/>
            <w:vAlign w:val="bottom"/>
          </w:tcPr>
          <w:p w14:paraId="5B7FF182" w14:textId="01475546" w:rsidR="00CD770C" w:rsidRPr="00CE12FB" w:rsidRDefault="00CD770C" w:rsidP="00CD770C">
            <w:pPr>
              <w:suppressAutoHyphens/>
              <w:autoSpaceDN w:val="0"/>
              <w:jc w:val="right"/>
              <w:rPr>
                <w:rFonts w:ascii="Arial" w:eastAsia="Times New Roman" w:hAnsi="Arial" w:cs="Arial"/>
                <w:color w:val="000000"/>
                <w:sz w:val="20"/>
                <w:szCs w:val="20"/>
              </w:rPr>
            </w:pPr>
            <w:r w:rsidRPr="00531CE5">
              <w:rPr>
                <w:rFonts w:ascii="Arial" w:hAnsi="Arial" w:cs="Arial"/>
                <w:color w:val="000000"/>
                <w:sz w:val="20"/>
                <w:szCs w:val="20"/>
              </w:rPr>
              <w:t>5.737</w:t>
            </w:r>
          </w:p>
        </w:tc>
      </w:tr>
      <w:tr w:rsidR="00CD770C" w:rsidRPr="003D1614" w14:paraId="2788509E" w14:textId="77777777" w:rsidTr="005D1219">
        <w:trPr>
          <w:trHeight w:val="340"/>
        </w:trPr>
        <w:tc>
          <w:tcPr>
            <w:tcW w:w="5613" w:type="dxa"/>
            <w:tcBorders>
              <w:top w:val="nil"/>
              <w:left w:val="nil"/>
              <w:bottom w:val="nil"/>
              <w:right w:val="nil"/>
            </w:tcBorders>
            <w:shd w:val="clear" w:color="auto" w:fill="auto"/>
            <w:vAlign w:val="bottom"/>
            <w:hideMark/>
          </w:tcPr>
          <w:p w14:paraId="5F996327" w14:textId="77777777" w:rsidR="00CD770C" w:rsidRPr="003D1614" w:rsidRDefault="00CD770C" w:rsidP="00CD770C">
            <w:pPr>
              <w:suppressAutoHyphens/>
              <w:autoSpaceDN w:val="0"/>
              <w:rPr>
                <w:rFonts w:ascii="Arial" w:eastAsia="Times New Roman" w:hAnsi="Arial" w:cs="Arial"/>
                <w:color w:val="000000"/>
                <w:sz w:val="20"/>
                <w:szCs w:val="20"/>
              </w:rPr>
            </w:pPr>
            <w:r w:rsidRPr="003D1614">
              <w:rPr>
                <w:rFonts w:ascii="Arial" w:eastAsia="Times New Roman" w:hAnsi="Arial" w:cs="Arial"/>
                <w:color w:val="000000"/>
                <w:sz w:val="20"/>
                <w:szCs w:val="20"/>
              </w:rPr>
              <w:t>Odgođena naknada</w:t>
            </w:r>
          </w:p>
        </w:tc>
        <w:tc>
          <w:tcPr>
            <w:tcW w:w="1757" w:type="dxa"/>
            <w:tcBorders>
              <w:top w:val="nil"/>
              <w:left w:val="nil"/>
              <w:bottom w:val="nil"/>
              <w:right w:val="nil"/>
            </w:tcBorders>
            <w:shd w:val="clear" w:color="auto" w:fill="auto"/>
            <w:vAlign w:val="bottom"/>
          </w:tcPr>
          <w:p w14:paraId="1A7DC7BB" w14:textId="36E9EFF5" w:rsidR="00CD770C" w:rsidRPr="00CD770C" w:rsidRDefault="00CD770C" w:rsidP="00CD770C">
            <w:pPr>
              <w:suppressAutoHyphens/>
              <w:autoSpaceDN w:val="0"/>
              <w:jc w:val="right"/>
              <w:rPr>
                <w:rFonts w:ascii="Arial" w:eastAsia="Times New Roman" w:hAnsi="Arial" w:cs="Arial"/>
                <w:color w:val="000000"/>
                <w:sz w:val="20"/>
                <w:szCs w:val="20"/>
              </w:rPr>
            </w:pPr>
            <w:r w:rsidRPr="005D1219">
              <w:rPr>
                <w:rFonts w:ascii="Arial" w:hAnsi="Arial" w:cs="Arial"/>
                <w:color w:val="000000"/>
                <w:sz w:val="20"/>
                <w:szCs w:val="20"/>
              </w:rPr>
              <w:t xml:space="preserve">                          (3.260)</w:t>
            </w:r>
          </w:p>
        </w:tc>
        <w:tc>
          <w:tcPr>
            <w:tcW w:w="1758" w:type="dxa"/>
            <w:tcBorders>
              <w:left w:val="nil"/>
              <w:bottom w:val="single" w:sz="8" w:space="0" w:color="auto"/>
              <w:right w:val="nil"/>
            </w:tcBorders>
            <w:shd w:val="clear" w:color="auto" w:fill="auto"/>
            <w:vAlign w:val="bottom"/>
          </w:tcPr>
          <w:p w14:paraId="66640E5F" w14:textId="772E9D98" w:rsidR="00CD770C" w:rsidRPr="00CE12FB" w:rsidRDefault="00CD770C" w:rsidP="00CD770C">
            <w:pPr>
              <w:suppressAutoHyphens/>
              <w:autoSpaceDN w:val="0"/>
              <w:jc w:val="right"/>
              <w:rPr>
                <w:rFonts w:ascii="Arial" w:eastAsia="Times New Roman" w:hAnsi="Arial" w:cs="Arial"/>
                <w:color w:val="000000"/>
                <w:sz w:val="20"/>
                <w:szCs w:val="20"/>
              </w:rPr>
            </w:pPr>
            <w:r w:rsidRPr="00531CE5">
              <w:rPr>
                <w:rFonts w:ascii="Arial" w:hAnsi="Arial" w:cs="Arial"/>
                <w:color w:val="000000"/>
                <w:sz w:val="20"/>
                <w:szCs w:val="20"/>
              </w:rPr>
              <w:t>(3.332)</w:t>
            </w:r>
          </w:p>
        </w:tc>
      </w:tr>
      <w:tr w:rsidR="00CD770C" w:rsidRPr="003D1614" w14:paraId="60AFE8C4" w14:textId="77777777" w:rsidTr="005D1219">
        <w:trPr>
          <w:trHeight w:val="300"/>
        </w:trPr>
        <w:tc>
          <w:tcPr>
            <w:tcW w:w="5613" w:type="dxa"/>
            <w:tcBorders>
              <w:top w:val="nil"/>
              <w:left w:val="nil"/>
              <w:bottom w:val="nil"/>
              <w:right w:val="nil"/>
            </w:tcBorders>
            <w:shd w:val="clear" w:color="auto" w:fill="auto"/>
            <w:vAlign w:val="bottom"/>
            <w:hideMark/>
          </w:tcPr>
          <w:p w14:paraId="33898BC6" w14:textId="77777777" w:rsidR="00CD770C" w:rsidRPr="003D1614" w:rsidRDefault="00CD770C" w:rsidP="00CD770C">
            <w:pPr>
              <w:suppressAutoHyphens/>
              <w:autoSpaceDN w:val="0"/>
              <w:jc w:val="right"/>
              <w:rPr>
                <w:rFonts w:ascii="Arial" w:eastAsia="Times New Roman" w:hAnsi="Arial" w:cs="Arial"/>
                <w:color w:val="000000"/>
                <w:sz w:val="20"/>
                <w:szCs w:val="20"/>
              </w:rPr>
            </w:pPr>
          </w:p>
        </w:tc>
        <w:tc>
          <w:tcPr>
            <w:tcW w:w="1757" w:type="dxa"/>
            <w:tcBorders>
              <w:top w:val="single" w:sz="8" w:space="0" w:color="auto"/>
              <w:left w:val="nil"/>
              <w:bottom w:val="single" w:sz="12" w:space="0" w:color="auto"/>
              <w:right w:val="nil"/>
            </w:tcBorders>
            <w:shd w:val="clear" w:color="auto" w:fill="auto"/>
            <w:vAlign w:val="bottom"/>
          </w:tcPr>
          <w:p w14:paraId="3EC4049F" w14:textId="47A7559B" w:rsidR="00CD770C" w:rsidRPr="00CD770C" w:rsidRDefault="00CD770C" w:rsidP="00CD770C">
            <w:pPr>
              <w:suppressAutoHyphens/>
              <w:autoSpaceDN w:val="0"/>
              <w:jc w:val="right"/>
              <w:rPr>
                <w:rFonts w:ascii="Arial" w:eastAsia="Times New Roman" w:hAnsi="Arial" w:cs="Arial"/>
                <w:b/>
                <w:bCs/>
                <w:color w:val="000000"/>
                <w:sz w:val="20"/>
                <w:szCs w:val="20"/>
              </w:rPr>
            </w:pPr>
            <w:r w:rsidRPr="005D1219">
              <w:rPr>
                <w:rFonts w:ascii="Arial" w:hAnsi="Arial" w:cs="Arial"/>
                <w:b/>
                <w:bCs/>
                <w:color w:val="000000"/>
                <w:sz w:val="20"/>
                <w:szCs w:val="20"/>
              </w:rPr>
              <w:t>2.229.329</w:t>
            </w:r>
          </w:p>
        </w:tc>
        <w:tc>
          <w:tcPr>
            <w:tcW w:w="1758" w:type="dxa"/>
            <w:tcBorders>
              <w:top w:val="nil"/>
              <w:left w:val="nil"/>
              <w:bottom w:val="single" w:sz="12" w:space="0" w:color="auto"/>
              <w:right w:val="nil"/>
            </w:tcBorders>
            <w:shd w:val="clear" w:color="auto" w:fill="auto"/>
            <w:vAlign w:val="bottom"/>
          </w:tcPr>
          <w:p w14:paraId="00F20B80" w14:textId="63CE879F" w:rsidR="00CD770C" w:rsidRPr="00CE12FB" w:rsidRDefault="00CD770C" w:rsidP="00CD770C">
            <w:pPr>
              <w:suppressAutoHyphens/>
              <w:autoSpaceDN w:val="0"/>
              <w:jc w:val="right"/>
              <w:rPr>
                <w:rFonts w:ascii="Arial" w:eastAsia="Times New Roman" w:hAnsi="Arial" w:cs="Arial"/>
                <w:b/>
                <w:bCs/>
                <w:color w:val="000000"/>
                <w:sz w:val="20"/>
                <w:szCs w:val="20"/>
              </w:rPr>
            </w:pPr>
            <w:r w:rsidRPr="00531CE5">
              <w:rPr>
                <w:rFonts w:ascii="Arial" w:hAnsi="Arial" w:cs="Arial"/>
                <w:b/>
                <w:bCs/>
                <w:color w:val="000000"/>
                <w:sz w:val="20"/>
                <w:szCs w:val="20"/>
              </w:rPr>
              <w:t>2.251.176</w:t>
            </w:r>
          </w:p>
        </w:tc>
      </w:tr>
      <w:bookmarkEnd w:id="464"/>
    </w:tbl>
    <w:p w14:paraId="57819B0B" w14:textId="77777777" w:rsidR="00FC2BEF" w:rsidRPr="003D1614" w:rsidRDefault="00FC2BEF" w:rsidP="00FC2BEF">
      <w:pPr>
        <w:keepNext/>
        <w:suppressAutoHyphens/>
        <w:autoSpaceDN w:val="0"/>
        <w:jc w:val="both"/>
        <w:outlineLvl w:val="0"/>
        <w:rPr>
          <w:rFonts w:ascii="Arial" w:eastAsia="Times New Roman" w:hAnsi="Arial" w:cs="Arial"/>
          <w:b/>
          <w:bCs/>
          <w:color w:val="000000" w:themeColor="text1"/>
          <w:sz w:val="20"/>
          <w:szCs w:val="20"/>
        </w:rPr>
      </w:pPr>
    </w:p>
    <w:p w14:paraId="2225D342" w14:textId="77777777" w:rsidR="00FC2BEF" w:rsidRPr="003D1614" w:rsidRDefault="00FC2BEF" w:rsidP="00FC2BEF">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(a) Pozajmljena sredstva stranih financijskih institucija odnose se na dugoročne kredite posebnih financijskih institucija, najvećim dijelom Europske investicijske banke (EIB) i Razvojne banke vijeća Europe (CEB).</w:t>
      </w:r>
    </w:p>
    <w:p w14:paraId="202651C9" w14:textId="77777777" w:rsidR="00FC2BEF" w:rsidRPr="003D1614" w:rsidRDefault="00FC2BEF" w:rsidP="00FC2BEF">
      <w:pPr>
        <w:keepNext/>
        <w:suppressAutoHyphens/>
        <w:autoSpaceDN w:val="0"/>
        <w:jc w:val="both"/>
        <w:outlineLvl w:val="0"/>
        <w:rPr>
          <w:rFonts w:ascii="Arial" w:eastAsia="Times New Roman" w:hAnsi="Arial" w:cs="Arial"/>
          <w:color w:val="000000" w:themeColor="text1"/>
          <w:sz w:val="20"/>
          <w:szCs w:val="20"/>
        </w:rPr>
      </w:pPr>
    </w:p>
    <w:p w14:paraId="7F94E7C9" w14:textId="0D092ED1" w:rsidR="00FC2BEF" w:rsidRPr="003D1614" w:rsidRDefault="00FC2BEF" w:rsidP="00FC2BEF">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(b) Pozajmljena sredstva domaćih institucija </w:t>
      </w:r>
      <w:proofErr w:type="spellStart"/>
      <w:r w:rsidR="004E1D97">
        <w:rPr>
          <w:rFonts w:ascii="Arial" w:eastAsia="Times New Roman" w:hAnsi="Arial" w:cs="Arial"/>
          <w:color w:val="000000" w:themeColor="text1"/>
          <w:sz w:val="20"/>
          <w:szCs w:val="20"/>
        </w:rPr>
        <w:t>navjećim</w:t>
      </w:r>
      <w:proofErr w:type="spellEnd"/>
      <w:r w:rsidR="004E1D97">
        <w:rPr>
          <w:rFonts w:ascii="Arial" w:eastAsia="Times New Roman" w:hAnsi="Arial" w:cs="Arial"/>
          <w:color w:val="000000" w:themeColor="text1"/>
          <w:sz w:val="20"/>
          <w:szCs w:val="20"/>
        </w:rPr>
        <w:t xml:space="preserve"> se dijelom </w:t>
      </w:r>
      <w:r w:rsidRPr="003D1614">
        <w:rPr>
          <w:rFonts w:ascii="Arial" w:eastAsia="Times New Roman" w:hAnsi="Arial" w:cs="Arial"/>
          <w:color w:val="000000" w:themeColor="text1"/>
          <w:sz w:val="20"/>
          <w:szCs w:val="20"/>
        </w:rPr>
        <w:t>odnose  na zajmove Ministarstva financija Republike Hrvatske.</w:t>
      </w:r>
    </w:p>
    <w:p w14:paraId="7818BF1C" w14:textId="68687E5E" w:rsidR="00FC2BEF" w:rsidRPr="003D1614" w:rsidRDefault="00FC2BEF" w:rsidP="00FC2BEF">
      <w:pPr>
        <w:keepNext/>
        <w:suppressAutoHyphens/>
        <w:autoSpaceDN w:val="0"/>
        <w:jc w:val="both"/>
        <w:outlineLvl w:val="0"/>
        <w:rPr>
          <w:rFonts w:ascii="Arial" w:eastAsia="Times New Roman" w:hAnsi="Arial" w:cs="Arial"/>
          <w:color w:val="000000" w:themeColor="text1"/>
          <w:sz w:val="20"/>
          <w:szCs w:val="20"/>
        </w:rPr>
      </w:pPr>
    </w:p>
    <w:p w14:paraId="1A68B8D1" w14:textId="77777777" w:rsidR="00FC2BEF" w:rsidRPr="003D1614" w:rsidRDefault="00FC2BEF" w:rsidP="00FC2BEF">
      <w:pPr>
        <w:keepNext/>
        <w:suppressAutoHyphens/>
        <w:autoSpaceDN w:val="0"/>
        <w:jc w:val="both"/>
        <w:outlineLvl w:val="0"/>
        <w:rPr>
          <w:rFonts w:ascii="Arial" w:eastAsia="Times New Roman" w:hAnsi="Arial" w:cs="Arial"/>
          <w:color w:val="000000" w:themeColor="text1"/>
          <w:sz w:val="20"/>
          <w:szCs w:val="20"/>
        </w:rPr>
        <w:sectPr w:rsidR="00FC2BEF" w:rsidRPr="003D1614">
          <w:pgSz w:w="11906" w:h="16838"/>
          <w:pgMar w:top="1417" w:right="1417" w:bottom="1417" w:left="1417" w:header="708" w:footer="708" w:gutter="0"/>
          <w:cols w:space="708"/>
          <w:docGrid w:linePitch="360"/>
        </w:sectPr>
      </w:pPr>
    </w:p>
    <w:p w14:paraId="3AB8D4A1" w14:textId="77777777" w:rsidR="00FC2BEF" w:rsidRPr="003D1614" w:rsidRDefault="00FC2BEF" w:rsidP="00FC2BEF">
      <w:pPr>
        <w:keepNext/>
        <w:suppressAutoHyphens/>
        <w:autoSpaceDN w:val="0"/>
        <w:jc w:val="both"/>
        <w:rPr>
          <w:rFonts w:ascii="Arial" w:eastAsia="Times New Roman" w:hAnsi="Arial" w:cs="Arial"/>
          <w:b/>
          <w:bCs/>
          <w:color w:val="000000" w:themeColor="text1"/>
          <w:sz w:val="20"/>
          <w:szCs w:val="20"/>
        </w:rPr>
      </w:pPr>
    </w:p>
    <w:p w14:paraId="5FC1E719" w14:textId="056A6923" w:rsidR="00FC2BEF" w:rsidRPr="003D1614" w:rsidRDefault="00FC2BEF" w:rsidP="00FC2BEF">
      <w:pPr>
        <w:tabs>
          <w:tab w:val="left" w:pos="567"/>
          <w:tab w:val="left" w:pos="851"/>
        </w:tabs>
        <w:suppressAutoHyphens/>
        <w:autoSpaceDN w:val="0"/>
        <w:jc w:val="both"/>
        <w:rPr>
          <w:rFonts w:ascii="Arial" w:eastAsia="Times New Roman" w:hAnsi="Arial" w:cs="Arial"/>
          <w:b/>
          <w:color w:val="000000" w:themeColor="text1"/>
          <w:sz w:val="20"/>
          <w:szCs w:val="20"/>
          <w:lang w:eastAsia="hr-HR"/>
        </w:rPr>
      </w:pPr>
      <w:r w:rsidRPr="003D1614">
        <w:rPr>
          <w:rFonts w:ascii="Arial" w:eastAsia="Calibri" w:hAnsi="Arial" w:cs="Arial"/>
          <w:b/>
          <w:color w:val="000000" w:themeColor="text1"/>
          <w:sz w:val="20"/>
          <w:szCs w:val="20"/>
        </w:rPr>
        <w:t>1</w:t>
      </w:r>
      <w:r w:rsidR="000E693B">
        <w:rPr>
          <w:rFonts w:ascii="Arial" w:eastAsia="Calibri" w:hAnsi="Arial" w:cs="Arial"/>
          <w:b/>
          <w:color w:val="000000" w:themeColor="text1"/>
          <w:sz w:val="20"/>
          <w:szCs w:val="20"/>
        </w:rPr>
        <w:t>9</w:t>
      </w:r>
      <w:r w:rsidRPr="003D1614">
        <w:rPr>
          <w:rFonts w:ascii="Arial" w:eastAsia="Calibri" w:hAnsi="Arial" w:cs="Arial"/>
          <w:b/>
          <w:color w:val="000000" w:themeColor="text1"/>
          <w:sz w:val="20"/>
          <w:szCs w:val="20"/>
        </w:rPr>
        <w:t>.</w:t>
      </w:r>
      <w:r w:rsidRPr="003D1614">
        <w:rPr>
          <w:rFonts w:ascii="Arial" w:eastAsia="Calibri" w:hAnsi="Arial" w:cs="Arial"/>
          <w:b/>
          <w:color w:val="000000" w:themeColor="text1"/>
          <w:sz w:val="20"/>
          <w:szCs w:val="20"/>
        </w:rPr>
        <w:tab/>
      </w:r>
      <w:bookmarkStart w:id="465" w:name="_Hlk8833804"/>
      <w:r w:rsidRPr="003D1614">
        <w:rPr>
          <w:rFonts w:ascii="Arial" w:eastAsia="Calibri" w:hAnsi="Arial" w:cs="Arial"/>
          <w:b/>
          <w:color w:val="000000" w:themeColor="text1"/>
          <w:sz w:val="20"/>
          <w:szCs w:val="20"/>
        </w:rPr>
        <w:t xml:space="preserve">Rezerviranja za </w:t>
      </w:r>
      <w:r w:rsidRPr="003D1614">
        <w:rPr>
          <w:rFonts w:ascii="Arial" w:eastAsia="Times New Roman" w:hAnsi="Arial" w:cs="Arial"/>
          <w:b/>
          <w:color w:val="000000" w:themeColor="text1"/>
          <w:sz w:val="20"/>
          <w:szCs w:val="20"/>
          <w:lang w:eastAsia="hr-HR"/>
        </w:rPr>
        <w:t>garancije, preuzete i ostale obveze</w:t>
      </w:r>
      <w:bookmarkEnd w:id="465"/>
    </w:p>
    <w:p w14:paraId="2CCB9648" w14:textId="77777777" w:rsidR="00FC2BEF" w:rsidRPr="003D1614" w:rsidRDefault="00FC2BEF" w:rsidP="00FC2BEF">
      <w:pPr>
        <w:suppressAutoHyphens/>
        <w:autoSpaceDN w:val="0"/>
        <w:jc w:val="both"/>
        <w:rPr>
          <w:rFonts w:ascii="Arial" w:eastAsia="Times New Roman" w:hAnsi="Arial" w:cs="Arial"/>
          <w:b/>
          <w:color w:val="000000" w:themeColor="text1"/>
          <w:sz w:val="20"/>
          <w:szCs w:val="20"/>
          <w:lang w:eastAsia="hr-HR"/>
        </w:rPr>
      </w:pPr>
    </w:p>
    <w:tbl>
      <w:tblPr>
        <w:tblW w:w="5063" w:type="pct"/>
        <w:tblLayout w:type="fixed"/>
        <w:tblCellMar>
          <w:left w:w="119" w:type="dxa"/>
          <w:right w:w="119" w:type="dxa"/>
        </w:tblCellMar>
        <w:tblLook w:val="0000" w:firstRow="0" w:lastRow="0" w:firstColumn="0" w:lastColumn="0" w:noHBand="0" w:noVBand="0"/>
      </w:tblPr>
      <w:tblGrid>
        <w:gridCol w:w="3574"/>
        <w:gridCol w:w="1402"/>
        <w:gridCol w:w="1416"/>
        <w:gridCol w:w="1376"/>
        <w:gridCol w:w="1418"/>
      </w:tblGrid>
      <w:tr w:rsidR="00AD5F37" w:rsidRPr="0067706A" w14:paraId="7FFD13C5" w14:textId="77777777" w:rsidTr="0067706A">
        <w:trPr>
          <w:trHeight w:val="236"/>
        </w:trPr>
        <w:tc>
          <w:tcPr>
            <w:tcW w:w="1945" w:type="pct"/>
            <w:vAlign w:val="bottom"/>
          </w:tcPr>
          <w:p w14:paraId="195106B9" w14:textId="77777777" w:rsidR="00FC2BEF" w:rsidRPr="0067706A" w:rsidRDefault="00FC2BEF" w:rsidP="00FC2BEF">
            <w:pPr>
              <w:tabs>
                <w:tab w:val="left" w:pos="-720"/>
              </w:tabs>
              <w:suppressAutoHyphens/>
              <w:autoSpaceDN w:val="0"/>
              <w:rPr>
                <w:rFonts w:ascii="Arial" w:eastAsia="Calibri" w:hAnsi="Arial" w:cs="Arial"/>
                <w:color w:val="000000" w:themeColor="text1"/>
                <w:spacing w:val="-2"/>
                <w:sz w:val="20"/>
                <w:szCs w:val="20"/>
              </w:rPr>
            </w:pPr>
            <w:bookmarkStart w:id="466" w:name="_Hlk9409130"/>
          </w:p>
        </w:tc>
        <w:tc>
          <w:tcPr>
            <w:tcW w:w="1534" w:type="pct"/>
            <w:gridSpan w:val="2"/>
            <w:vAlign w:val="bottom"/>
          </w:tcPr>
          <w:p w14:paraId="547BB462" w14:textId="77777777" w:rsidR="00FC2BEF" w:rsidRPr="0067706A"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67" w:name="_Toc67328766"/>
            <w:r w:rsidRPr="0067706A">
              <w:rPr>
                <w:rFonts w:ascii="Arial" w:eastAsia="Times New Roman" w:hAnsi="Arial" w:cs="Arial"/>
                <w:b/>
                <w:color w:val="000000" w:themeColor="text1"/>
                <w:sz w:val="20"/>
                <w:szCs w:val="20"/>
              </w:rPr>
              <w:t>Grupa</w:t>
            </w:r>
            <w:bookmarkEnd w:id="467"/>
          </w:p>
        </w:tc>
        <w:tc>
          <w:tcPr>
            <w:tcW w:w="1521" w:type="pct"/>
            <w:gridSpan w:val="2"/>
            <w:vAlign w:val="bottom"/>
          </w:tcPr>
          <w:p w14:paraId="28C3F0E4" w14:textId="77777777" w:rsidR="00FC2BEF" w:rsidRPr="0067706A"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68" w:name="_Toc67328767"/>
            <w:r w:rsidRPr="0067706A">
              <w:rPr>
                <w:rFonts w:ascii="Arial" w:eastAsia="Times New Roman" w:hAnsi="Arial" w:cs="Arial"/>
                <w:b/>
                <w:color w:val="000000" w:themeColor="text1"/>
                <w:sz w:val="20"/>
                <w:szCs w:val="20"/>
              </w:rPr>
              <w:t>Banka</w:t>
            </w:r>
            <w:bookmarkEnd w:id="468"/>
          </w:p>
        </w:tc>
      </w:tr>
      <w:tr w:rsidR="00AD5F37" w:rsidRPr="0067706A" w14:paraId="7D3D5060" w14:textId="77777777" w:rsidTr="0067706A">
        <w:trPr>
          <w:trHeight w:val="567"/>
        </w:trPr>
        <w:tc>
          <w:tcPr>
            <w:tcW w:w="1945" w:type="pct"/>
            <w:vAlign w:val="bottom"/>
          </w:tcPr>
          <w:p w14:paraId="2AEC6E92" w14:textId="77777777" w:rsidR="00FC2BEF" w:rsidRPr="0067706A" w:rsidRDefault="00FC2BEF" w:rsidP="00FC2BEF">
            <w:pPr>
              <w:tabs>
                <w:tab w:val="left" w:pos="-720"/>
              </w:tabs>
              <w:suppressAutoHyphens/>
              <w:autoSpaceDN w:val="0"/>
              <w:rPr>
                <w:rFonts w:ascii="Arial" w:eastAsia="Calibri" w:hAnsi="Arial" w:cs="Arial"/>
                <w:color w:val="000000" w:themeColor="text1"/>
                <w:spacing w:val="-2"/>
                <w:sz w:val="20"/>
                <w:szCs w:val="20"/>
              </w:rPr>
            </w:pPr>
          </w:p>
        </w:tc>
        <w:tc>
          <w:tcPr>
            <w:tcW w:w="763" w:type="pct"/>
            <w:vAlign w:val="bottom"/>
          </w:tcPr>
          <w:p w14:paraId="4B5A9036" w14:textId="4CBD1742" w:rsidR="00FC2BEF" w:rsidRPr="0067706A"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69" w:name="_Toc67328768"/>
            <w:r w:rsidRPr="0067706A">
              <w:rPr>
                <w:rFonts w:ascii="Arial" w:eastAsia="Times New Roman" w:hAnsi="Arial" w:cs="Arial"/>
                <w:b/>
                <w:color w:val="000000" w:themeColor="text1"/>
                <w:sz w:val="20"/>
                <w:szCs w:val="20"/>
              </w:rPr>
              <w:t>31. ožujka 202</w:t>
            </w:r>
            <w:r w:rsidR="004E1D97">
              <w:rPr>
                <w:rFonts w:ascii="Arial" w:eastAsia="Times New Roman" w:hAnsi="Arial" w:cs="Arial"/>
                <w:b/>
                <w:color w:val="000000" w:themeColor="text1"/>
                <w:sz w:val="20"/>
                <w:szCs w:val="20"/>
              </w:rPr>
              <w:t>4</w:t>
            </w:r>
            <w:r w:rsidRPr="0067706A">
              <w:rPr>
                <w:rFonts w:ascii="Arial" w:eastAsia="Times New Roman" w:hAnsi="Arial" w:cs="Arial"/>
                <w:b/>
                <w:color w:val="000000" w:themeColor="text1"/>
                <w:sz w:val="20"/>
                <w:szCs w:val="20"/>
              </w:rPr>
              <w:t>.</w:t>
            </w:r>
            <w:bookmarkEnd w:id="469"/>
          </w:p>
        </w:tc>
        <w:tc>
          <w:tcPr>
            <w:tcW w:w="771" w:type="pct"/>
            <w:vAlign w:val="bottom"/>
          </w:tcPr>
          <w:p w14:paraId="6C5B31CB" w14:textId="0F6A984A" w:rsidR="00FC2BEF" w:rsidRPr="0067706A"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70" w:name="_Toc67328769"/>
            <w:r w:rsidRPr="0067706A">
              <w:rPr>
                <w:rFonts w:ascii="Arial" w:eastAsia="Times New Roman" w:hAnsi="Arial" w:cs="Arial"/>
                <w:b/>
                <w:color w:val="000000" w:themeColor="text1"/>
                <w:sz w:val="20"/>
                <w:szCs w:val="20"/>
              </w:rPr>
              <w:t>31. prosinca 202</w:t>
            </w:r>
            <w:r w:rsidR="004E1D97">
              <w:rPr>
                <w:rFonts w:ascii="Arial" w:eastAsia="Times New Roman" w:hAnsi="Arial" w:cs="Arial"/>
                <w:b/>
                <w:color w:val="000000" w:themeColor="text1"/>
                <w:sz w:val="20"/>
                <w:szCs w:val="20"/>
              </w:rPr>
              <w:t>3</w:t>
            </w:r>
            <w:r w:rsidRPr="0067706A">
              <w:rPr>
                <w:rFonts w:ascii="Arial" w:eastAsia="Times New Roman" w:hAnsi="Arial" w:cs="Arial"/>
                <w:b/>
                <w:color w:val="000000" w:themeColor="text1"/>
                <w:sz w:val="20"/>
                <w:szCs w:val="20"/>
              </w:rPr>
              <w:t>.</w:t>
            </w:r>
            <w:bookmarkEnd w:id="470"/>
          </w:p>
        </w:tc>
        <w:tc>
          <w:tcPr>
            <w:tcW w:w="749" w:type="pct"/>
            <w:vAlign w:val="bottom"/>
          </w:tcPr>
          <w:p w14:paraId="01923236" w14:textId="6FE6C851" w:rsidR="00FC2BEF" w:rsidRPr="0067706A"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67706A">
              <w:rPr>
                <w:rFonts w:ascii="Arial" w:eastAsia="Times New Roman" w:hAnsi="Arial" w:cs="Arial"/>
                <w:b/>
                <w:color w:val="000000" w:themeColor="text1"/>
                <w:sz w:val="20"/>
                <w:szCs w:val="20"/>
              </w:rPr>
              <w:t>31. ožujka 202</w:t>
            </w:r>
            <w:r w:rsidR="004E1D97">
              <w:rPr>
                <w:rFonts w:ascii="Arial" w:eastAsia="Times New Roman" w:hAnsi="Arial" w:cs="Arial"/>
                <w:b/>
                <w:color w:val="000000" w:themeColor="text1"/>
                <w:sz w:val="20"/>
                <w:szCs w:val="20"/>
              </w:rPr>
              <w:t>4</w:t>
            </w:r>
            <w:r w:rsidRPr="0067706A">
              <w:rPr>
                <w:rFonts w:ascii="Arial" w:eastAsia="Times New Roman" w:hAnsi="Arial" w:cs="Arial"/>
                <w:b/>
                <w:color w:val="000000" w:themeColor="text1"/>
                <w:sz w:val="20"/>
                <w:szCs w:val="20"/>
              </w:rPr>
              <w:t>.</w:t>
            </w:r>
          </w:p>
        </w:tc>
        <w:tc>
          <w:tcPr>
            <w:tcW w:w="772" w:type="pct"/>
            <w:vAlign w:val="bottom"/>
          </w:tcPr>
          <w:p w14:paraId="609CDFA9" w14:textId="0BE93D14" w:rsidR="00FC2BEF" w:rsidRPr="0067706A"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67706A">
              <w:rPr>
                <w:rFonts w:ascii="Arial" w:eastAsia="Times New Roman" w:hAnsi="Arial" w:cs="Arial"/>
                <w:b/>
                <w:color w:val="000000" w:themeColor="text1"/>
                <w:sz w:val="20"/>
                <w:szCs w:val="20"/>
              </w:rPr>
              <w:t>31. prosinca 202</w:t>
            </w:r>
            <w:r w:rsidR="004E1D97">
              <w:rPr>
                <w:rFonts w:ascii="Arial" w:eastAsia="Times New Roman" w:hAnsi="Arial" w:cs="Arial"/>
                <w:b/>
                <w:color w:val="000000" w:themeColor="text1"/>
                <w:sz w:val="20"/>
                <w:szCs w:val="20"/>
              </w:rPr>
              <w:t>3</w:t>
            </w:r>
            <w:r w:rsidRPr="0067706A">
              <w:rPr>
                <w:rFonts w:ascii="Arial" w:eastAsia="Times New Roman" w:hAnsi="Arial" w:cs="Arial"/>
                <w:b/>
                <w:color w:val="000000" w:themeColor="text1"/>
                <w:sz w:val="20"/>
                <w:szCs w:val="20"/>
              </w:rPr>
              <w:t>.</w:t>
            </w:r>
          </w:p>
        </w:tc>
      </w:tr>
      <w:tr w:rsidR="00AD5F37" w:rsidRPr="0067706A" w14:paraId="040D7D0E" w14:textId="77777777" w:rsidTr="0067706A">
        <w:trPr>
          <w:trHeight w:val="223"/>
        </w:trPr>
        <w:tc>
          <w:tcPr>
            <w:tcW w:w="1945" w:type="pct"/>
            <w:vAlign w:val="bottom"/>
          </w:tcPr>
          <w:p w14:paraId="34417374" w14:textId="77777777" w:rsidR="00FC2BEF" w:rsidRPr="0067706A" w:rsidRDefault="00FC2BEF" w:rsidP="00FC2BEF">
            <w:pPr>
              <w:tabs>
                <w:tab w:val="left" w:pos="-720"/>
              </w:tabs>
              <w:suppressAutoHyphens/>
              <w:autoSpaceDN w:val="0"/>
              <w:rPr>
                <w:rFonts w:ascii="Arial" w:eastAsia="Calibri" w:hAnsi="Arial" w:cs="Arial"/>
                <w:color w:val="000000" w:themeColor="text1"/>
                <w:spacing w:val="-2"/>
                <w:sz w:val="20"/>
                <w:szCs w:val="20"/>
              </w:rPr>
            </w:pPr>
          </w:p>
        </w:tc>
        <w:tc>
          <w:tcPr>
            <w:tcW w:w="763" w:type="pct"/>
            <w:vAlign w:val="bottom"/>
          </w:tcPr>
          <w:p w14:paraId="4DF6F74A" w14:textId="0860ED2C" w:rsidR="00FC2BEF" w:rsidRPr="0067706A"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71" w:name="_Toc67328772"/>
            <w:r w:rsidRPr="0067706A">
              <w:rPr>
                <w:rFonts w:ascii="Arial" w:eastAsia="Times New Roman" w:hAnsi="Arial" w:cs="Arial"/>
                <w:b/>
                <w:color w:val="000000" w:themeColor="text1"/>
                <w:sz w:val="20"/>
                <w:szCs w:val="20"/>
              </w:rPr>
              <w:t>000 eura</w:t>
            </w:r>
            <w:bookmarkEnd w:id="471"/>
          </w:p>
        </w:tc>
        <w:tc>
          <w:tcPr>
            <w:tcW w:w="771" w:type="pct"/>
            <w:vAlign w:val="bottom"/>
          </w:tcPr>
          <w:p w14:paraId="1679BD08" w14:textId="5863A94E" w:rsidR="00FC2BEF" w:rsidRPr="0067706A"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72" w:name="_Toc67328773"/>
            <w:r w:rsidRPr="0067706A">
              <w:rPr>
                <w:rFonts w:ascii="Arial" w:eastAsia="Times New Roman" w:hAnsi="Arial" w:cs="Arial"/>
                <w:b/>
                <w:color w:val="000000" w:themeColor="text1"/>
                <w:sz w:val="20"/>
                <w:szCs w:val="20"/>
              </w:rPr>
              <w:t>000 eura</w:t>
            </w:r>
            <w:bookmarkEnd w:id="472"/>
          </w:p>
        </w:tc>
        <w:tc>
          <w:tcPr>
            <w:tcW w:w="749" w:type="pct"/>
            <w:vAlign w:val="bottom"/>
          </w:tcPr>
          <w:p w14:paraId="5755AC01" w14:textId="79BE323F" w:rsidR="00FC2BEF" w:rsidRPr="0067706A"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73" w:name="_Toc67328774"/>
            <w:r w:rsidRPr="0067706A">
              <w:rPr>
                <w:rFonts w:ascii="Arial" w:eastAsia="Times New Roman" w:hAnsi="Arial" w:cs="Arial"/>
                <w:b/>
                <w:color w:val="000000" w:themeColor="text1"/>
                <w:sz w:val="20"/>
                <w:szCs w:val="20"/>
              </w:rPr>
              <w:t>000 eura</w:t>
            </w:r>
            <w:bookmarkEnd w:id="473"/>
          </w:p>
        </w:tc>
        <w:tc>
          <w:tcPr>
            <w:tcW w:w="772" w:type="pct"/>
            <w:vAlign w:val="bottom"/>
          </w:tcPr>
          <w:p w14:paraId="0CB482E0" w14:textId="472AE732" w:rsidR="00FC2BEF" w:rsidRPr="0067706A" w:rsidRDefault="00FC2BEF" w:rsidP="00FC2BEF">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74" w:name="_Toc67328775"/>
            <w:r w:rsidRPr="0067706A">
              <w:rPr>
                <w:rFonts w:ascii="Arial" w:eastAsia="Times New Roman" w:hAnsi="Arial" w:cs="Arial"/>
                <w:b/>
                <w:color w:val="000000" w:themeColor="text1"/>
                <w:sz w:val="20"/>
                <w:szCs w:val="20"/>
              </w:rPr>
              <w:t>000 eura</w:t>
            </w:r>
            <w:bookmarkEnd w:id="474"/>
          </w:p>
        </w:tc>
      </w:tr>
      <w:tr w:rsidR="00AD5F37" w:rsidRPr="0067706A" w14:paraId="1D8867C7" w14:textId="77777777" w:rsidTr="0067706A">
        <w:trPr>
          <w:trHeight w:hRule="exact" w:val="111"/>
        </w:trPr>
        <w:tc>
          <w:tcPr>
            <w:tcW w:w="1945" w:type="pct"/>
            <w:vAlign w:val="bottom"/>
          </w:tcPr>
          <w:p w14:paraId="148345F9" w14:textId="77777777" w:rsidR="00FC2BEF" w:rsidRPr="0067706A" w:rsidRDefault="00FC2BEF" w:rsidP="00FC2BEF">
            <w:pPr>
              <w:tabs>
                <w:tab w:val="left" w:pos="-720"/>
              </w:tabs>
              <w:suppressAutoHyphens/>
              <w:autoSpaceDN w:val="0"/>
              <w:rPr>
                <w:rFonts w:ascii="Arial" w:eastAsia="Calibri" w:hAnsi="Arial" w:cs="Arial"/>
                <w:color w:val="000000" w:themeColor="text1"/>
                <w:spacing w:val="-2"/>
                <w:sz w:val="20"/>
                <w:szCs w:val="20"/>
              </w:rPr>
            </w:pPr>
          </w:p>
        </w:tc>
        <w:tc>
          <w:tcPr>
            <w:tcW w:w="763" w:type="pct"/>
            <w:vAlign w:val="bottom"/>
          </w:tcPr>
          <w:p w14:paraId="0B202AAA" w14:textId="77777777" w:rsidR="00FC2BEF" w:rsidRPr="0067706A" w:rsidRDefault="00FC2BEF" w:rsidP="00FC2BEF">
            <w:pPr>
              <w:tabs>
                <w:tab w:val="left" w:pos="-720"/>
              </w:tabs>
              <w:suppressAutoHyphens/>
              <w:autoSpaceDN w:val="0"/>
              <w:jc w:val="right"/>
              <w:rPr>
                <w:rFonts w:ascii="Arial" w:eastAsia="Calibri" w:hAnsi="Arial" w:cs="Arial"/>
                <w:b/>
                <w:color w:val="000000" w:themeColor="text1"/>
                <w:spacing w:val="-2"/>
                <w:sz w:val="20"/>
                <w:szCs w:val="20"/>
              </w:rPr>
            </w:pPr>
          </w:p>
        </w:tc>
        <w:tc>
          <w:tcPr>
            <w:tcW w:w="771" w:type="pct"/>
            <w:vAlign w:val="bottom"/>
          </w:tcPr>
          <w:p w14:paraId="6C1180FD" w14:textId="77777777" w:rsidR="00FC2BEF" w:rsidRPr="0067706A" w:rsidRDefault="00FC2BEF" w:rsidP="00FC2BEF">
            <w:pPr>
              <w:tabs>
                <w:tab w:val="left" w:pos="-720"/>
              </w:tabs>
              <w:suppressAutoHyphens/>
              <w:autoSpaceDN w:val="0"/>
              <w:jc w:val="right"/>
              <w:rPr>
                <w:rFonts w:ascii="Arial" w:eastAsia="Calibri" w:hAnsi="Arial" w:cs="Arial"/>
                <w:b/>
                <w:color w:val="000000" w:themeColor="text1"/>
                <w:spacing w:val="-2"/>
                <w:sz w:val="20"/>
                <w:szCs w:val="20"/>
              </w:rPr>
            </w:pPr>
          </w:p>
        </w:tc>
        <w:tc>
          <w:tcPr>
            <w:tcW w:w="749" w:type="pct"/>
            <w:vAlign w:val="bottom"/>
          </w:tcPr>
          <w:p w14:paraId="768E63D1" w14:textId="77777777" w:rsidR="00FC2BEF" w:rsidRPr="0067706A" w:rsidRDefault="00FC2BEF" w:rsidP="00FC2BEF">
            <w:pPr>
              <w:tabs>
                <w:tab w:val="left" w:pos="-720"/>
              </w:tabs>
              <w:suppressAutoHyphens/>
              <w:autoSpaceDN w:val="0"/>
              <w:jc w:val="right"/>
              <w:rPr>
                <w:rFonts w:ascii="Arial" w:eastAsia="Calibri" w:hAnsi="Arial" w:cs="Arial"/>
                <w:b/>
                <w:color w:val="000000" w:themeColor="text1"/>
                <w:spacing w:val="-2"/>
                <w:sz w:val="20"/>
                <w:szCs w:val="20"/>
              </w:rPr>
            </w:pPr>
          </w:p>
        </w:tc>
        <w:tc>
          <w:tcPr>
            <w:tcW w:w="772" w:type="pct"/>
            <w:vAlign w:val="bottom"/>
          </w:tcPr>
          <w:p w14:paraId="4F983725" w14:textId="77777777" w:rsidR="00FC2BEF" w:rsidRPr="0067706A" w:rsidRDefault="00FC2BEF" w:rsidP="00FC2BEF">
            <w:pPr>
              <w:tabs>
                <w:tab w:val="left" w:pos="-720"/>
              </w:tabs>
              <w:suppressAutoHyphens/>
              <w:autoSpaceDN w:val="0"/>
              <w:jc w:val="right"/>
              <w:rPr>
                <w:rFonts w:ascii="Arial" w:eastAsia="Calibri" w:hAnsi="Arial" w:cs="Arial"/>
                <w:b/>
                <w:color w:val="000000" w:themeColor="text1"/>
                <w:spacing w:val="-2"/>
                <w:sz w:val="20"/>
                <w:szCs w:val="20"/>
              </w:rPr>
            </w:pPr>
          </w:p>
        </w:tc>
      </w:tr>
      <w:tr w:rsidR="00503844" w:rsidRPr="0067706A" w14:paraId="55E4DE98" w14:textId="77777777" w:rsidTr="00E34D78">
        <w:trPr>
          <w:trHeight w:val="259"/>
        </w:trPr>
        <w:tc>
          <w:tcPr>
            <w:tcW w:w="1945" w:type="pct"/>
            <w:vAlign w:val="bottom"/>
          </w:tcPr>
          <w:p w14:paraId="1501EEE6" w14:textId="77777777" w:rsidR="00503844" w:rsidRPr="0067706A" w:rsidRDefault="00503844" w:rsidP="00503844">
            <w:pPr>
              <w:suppressAutoHyphens/>
              <w:autoSpaceDN w:val="0"/>
              <w:rPr>
                <w:rFonts w:ascii="Arial" w:eastAsia="Calibri" w:hAnsi="Arial" w:cs="Arial"/>
                <w:color w:val="000000" w:themeColor="text1"/>
                <w:sz w:val="20"/>
                <w:szCs w:val="20"/>
              </w:rPr>
            </w:pPr>
            <w:r w:rsidRPr="0067706A">
              <w:rPr>
                <w:rFonts w:ascii="Arial" w:eastAsia="Calibri" w:hAnsi="Arial" w:cs="Arial"/>
                <w:color w:val="000000" w:themeColor="text1"/>
                <w:sz w:val="20"/>
                <w:szCs w:val="20"/>
              </w:rPr>
              <w:t>Rezerviranje za garancije i preuzete obveze</w:t>
            </w:r>
          </w:p>
        </w:tc>
        <w:tc>
          <w:tcPr>
            <w:tcW w:w="763" w:type="pct"/>
            <w:vAlign w:val="bottom"/>
          </w:tcPr>
          <w:p w14:paraId="0636AA7A" w14:textId="473AFC23" w:rsidR="00503844" w:rsidRPr="0067706A" w:rsidRDefault="00CC17FF" w:rsidP="0050384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13.204</w:t>
            </w:r>
          </w:p>
        </w:tc>
        <w:tc>
          <w:tcPr>
            <w:tcW w:w="771" w:type="pct"/>
            <w:vAlign w:val="bottom"/>
          </w:tcPr>
          <w:p w14:paraId="7A36B148" w14:textId="689C1571" w:rsidR="00503844" w:rsidRPr="0067706A" w:rsidRDefault="00503844" w:rsidP="00503844">
            <w:pPr>
              <w:suppressAutoHyphens/>
              <w:autoSpaceDN w:val="0"/>
              <w:jc w:val="right"/>
              <w:rPr>
                <w:rFonts w:ascii="Arial" w:eastAsia="Calibri" w:hAnsi="Arial" w:cs="Arial"/>
                <w:color w:val="000000" w:themeColor="text1"/>
                <w:sz w:val="20"/>
                <w:szCs w:val="20"/>
              </w:rPr>
            </w:pPr>
            <w:r w:rsidRPr="00531CE5">
              <w:rPr>
                <w:rFonts w:ascii="Arial" w:eastAsia="Calibri" w:hAnsi="Arial" w:cs="Arial"/>
                <w:sz w:val="20"/>
                <w:szCs w:val="20"/>
              </w:rPr>
              <w:t>14.637</w:t>
            </w:r>
          </w:p>
        </w:tc>
        <w:tc>
          <w:tcPr>
            <w:tcW w:w="749" w:type="pct"/>
            <w:vAlign w:val="bottom"/>
          </w:tcPr>
          <w:p w14:paraId="1F3C0262" w14:textId="687D0BB9" w:rsidR="00503844" w:rsidRPr="0067706A" w:rsidRDefault="00EA23C8" w:rsidP="0050384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13.204</w:t>
            </w:r>
          </w:p>
        </w:tc>
        <w:tc>
          <w:tcPr>
            <w:tcW w:w="772" w:type="pct"/>
            <w:vAlign w:val="bottom"/>
          </w:tcPr>
          <w:p w14:paraId="5C341A61" w14:textId="3A8A1E08" w:rsidR="00503844" w:rsidRPr="0067706A" w:rsidRDefault="00503844" w:rsidP="00503844">
            <w:pPr>
              <w:suppressAutoHyphens/>
              <w:autoSpaceDN w:val="0"/>
              <w:jc w:val="right"/>
              <w:rPr>
                <w:rFonts w:ascii="Arial" w:eastAsia="Calibri" w:hAnsi="Arial" w:cs="Arial"/>
                <w:color w:val="000000" w:themeColor="text1"/>
                <w:sz w:val="20"/>
                <w:szCs w:val="20"/>
              </w:rPr>
            </w:pPr>
            <w:r w:rsidRPr="00531CE5">
              <w:rPr>
                <w:rFonts w:ascii="Arial" w:eastAsia="Calibri" w:hAnsi="Arial" w:cs="Arial"/>
                <w:sz w:val="20"/>
                <w:szCs w:val="20"/>
              </w:rPr>
              <w:t>14.637</w:t>
            </w:r>
          </w:p>
        </w:tc>
      </w:tr>
      <w:tr w:rsidR="00503844" w:rsidRPr="0067706A" w14:paraId="2F012A8F" w14:textId="77777777" w:rsidTr="00E34D78">
        <w:trPr>
          <w:trHeight w:val="259"/>
        </w:trPr>
        <w:tc>
          <w:tcPr>
            <w:tcW w:w="1945" w:type="pct"/>
            <w:vAlign w:val="bottom"/>
          </w:tcPr>
          <w:p w14:paraId="483C4183" w14:textId="77777777" w:rsidR="00503844" w:rsidRPr="0067706A" w:rsidRDefault="00503844" w:rsidP="00503844">
            <w:pPr>
              <w:suppressAutoHyphens/>
              <w:autoSpaceDN w:val="0"/>
              <w:rPr>
                <w:rFonts w:ascii="Arial" w:eastAsia="Calibri" w:hAnsi="Arial" w:cs="Arial"/>
                <w:color w:val="000000" w:themeColor="text1"/>
                <w:sz w:val="20"/>
                <w:szCs w:val="20"/>
              </w:rPr>
            </w:pPr>
            <w:r w:rsidRPr="0067706A">
              <w:rPr>
                <w:rFonts w:ascii="Arial" w:eastAsia="Calibri" w:hAnsi="Arial" w:cs="Arial"/>
                <w:color w:val="000000" w:themeColor="text1"/>
                <w:sz w:val="20"/>
                <w:szCs w:val="20"/>
              </w:rPr>
              <w:t>Rezerviranje za ostale obveze</w:t>
            </w:r>
          </w:p>
        </w:tc>
        <w:tc>
          <w:tcPr>
            <w:tcW w:w="763" w:type="pct"/>
            <w:tcBorders>
              <w:bottom w:val="single" w:sz="2" w:space="0" w:color="auto"/>
            </w:tcBorders>
            <w:vAlign w:val="bottom"/>
          </w:tcPr>
          <w:p w14:paraId="4AAA25B1" w14:textId="0FD088AB" w:rsidR="00503844" w:rsidRPr="0067706A" w:rsidRDefault="0089459E" w:rsidP="0050384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8.629</w:t>
            </w:r>
          </w:p>
        </w:tc>
        <w:tc>
          <w:tcPr>
            <w:tcW w:w="771" w:type="pct"/>
            <w:tcBorders>
              <w:bottom w:val="single" w:sz="4" w:space="0" w:color="auto"/>
            </w:tcBorders>
            <w:vAlign w:val="bottom"/>
          </w:tcPr>
          <w:p w14:paraId="7C74CEBD" w14:textId="6E728B4F" w:rsidR="00503844" w:rsidRPr="0067706A" w:rsidRDefault="00503844" w:rsidP="00503844">
            <w:pPr>
              <w:suppressAutoHyphens/>
              <w:autoSpaceDN w:val="0"/>
              <w:jc w:val="right"/>
              <w:rPr>
                <w:rFonts w:ascii="Arial" w:eastAsia="Calibri" w:hAnsi="Arial" w:cs="Arial"/>
                <w:bCs/>
                <w:color w:val="000000" w:themeColor="text1"/>
                <w:sz w:val="20"/>
                <w:szCs w:val="20"/>
              </w:rPr>
            </w:pPr>
            <w:r w:rsidRPr="00531CE5">
              <w:rPr>
                <w:rFonts w:ascii="Arial" w:eastAsia="Calibri" w:hAnsi="Arial" w:cs="Arial"/>
                <w:sz w:val="20"/>
                <w:szCs w:val="20"/>
              </w:rPr>
              <w:t>9.74</w:t>
            </w:r>
            <w:r>
              <w:rPr>
                <w:rFonts w:ascii="Arial" w:eastAsia="Calibri" w:hAnsi="Arial" w:cs="Arial"/>
                <w:sz w:val="20"/>
                <w:szCs w:val="20"/>
              </w:rPr>
              <w:t>5</w:t>
            </w:r>
          </w:p>
        </w:tc>
        <w:tc>
          <w:tcPr>
            <w:tcW w:w="749" w:type="pct"/>
            <w:tcBorders>
              <w:bottom w:val="single" w:sz="2" w:space="0" w:color="auto"/>
            </w:tcBorders>
            <w:vAlign w:val="bottom"/>
          </w:tcPr>
          <w:p w14:paraId="282C27E4" w14:textId="445015EE" w:rsidR="00503844" w:rsidRPr="0067706A" w:rsidRDefault="00A17E3F" w:rsidP="00503844">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8.629</w:t>
            </w:r>
          </w:p>
        </w:tc>
        <w:tc>
          <w:tcPr>
            <w:tcW w:w="772" w:type="pct"/>
            <w:tcBorders>
              <w:bottom w:val="single" w:sz="4" w:space="0" w:color="auto"/>
            </w:tcBorders>
            <w:vAlign w:val="bottom"/>
          </w:tcPr>
          <w:p w14:paraId="410319CA" w14:textId="568C3095" w:rsidR="00503844" w:rsidRPr="0067706A" w:rsidRDefault="00503844" w:rsidP="00503844">
            <w:pPr>
              <w:suppressAutoHyphens/>
              <w:autoSpaceDN w:val="0"/>
              <w:jc w:val="right"/>
              <w:rPr>
                <w:rFonts w:ascii="Arial" w:eastAsia="Calibri" w:hAnsi="Arial" w:cs="Arial"/>
                <w:bCs/>
                <w:color w:val="000000" w:themeColor="text1"/>
                <w:sz w:val="20"/>
                <w:szCs w:val="20"/>
              </w:rPr>
            </w:pPr>
            <w:r w:rsidRPr="00531CE5">
              <w:rPr>
                <w:rFonts w:ascii="Arial" w:eastAsia="Calibri" w:hAnsi="Arial" w:cs="Arial"/>
                <w:sz w:val="20"/>
                <w:szCs w:val="20"/>
              </w:rPr>
              <w:t>9.743</w:t>
            </w:r>
          </w:p>
        </w:tc>
      </w:tr>
      <w:tr w:rsidR="00503844" w:rsidRPr="0067706A" w14:paraId="45879DE3" w14:textId="77777777" w:rsidTr="0067706A">
        <w:trPr>
          <w:trHeight w:val="294"/>
        </w:trPr>
        <w:tc>
          <w:tcPr>
            <w:tcW w:w="1945" w:type="pct"/>
            <w:vAlign w:val="bottom"/>
          </w:tcPr>
          <w:p w14:paraId="5ACA7110" w14:textId="77777777" w:rsidR="00503844" w:rsidRPr="0067706A" w:rsidRDefault="00503844" w:rsidP="00503844">
            <w:pPr>
              <w:tabs>
                <w:tab w:val="left" w:pos="-720"/>
              </w:tabs>
              <w:suppressAutoHyphens/>
              <w:autoSpaceDN w:val="0"/>
              <w:rPr>
                <w:rFonts w:ascii="Arial" w:eastAsia="Calibri" w:hAnsi="Arial" w:cs="Arial"/>
                <w:b/>
                <w:bCs/>
                <w:color w:val="000000" w:themeColor="text1"/>
                <w:spacing w:val="-2"/>
                <w:sz w:val="20"/>
                <w:szCs w:val="20"/>
              </w:rPr>
            </w:pPr>
          </w:p>
        </w:tc>
        <w:tc>
          <w:tcPr>
            <w:tcW w:w="763" w:type="pct"/>
            <w:tcBorders>
              <w:top w:val="single" w:sz="4" w:space="0" w:color="auto"/>
              <w:bottom w:val="single" w:sz="12" w:space="0" w:color="auto"/>
            </w:tcBorders>
            <w:vAlign w:val="bottom"/>
          </w:tcPr>
          <w:p w14:paraId="236046BC" w14:textId="7B0563EC" w:rsidR="00503844" w:rsidRPr="0067706A" w:rsidRDefault="0089459E" w:rsidP="00503844">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21.833</w:t>
            </w:r>
          </w:p>
        </w:tc>
        <w:tc>
          <w:tcPr>
            <w:tcW w:w="771" w:type="pct"/>
            <w:tcBorders>
              <w:top w:val="single" w:sz="4" w:space="0" w:color="auto"/>
              <w:bottom w:val="single" w:sz="12" w:space="0" w:color="auto"/>
            </w:tcBorders>
            <w:vAlign w:val="bottom"/>
          </w:tcPr>
          <w:p w14:paraId="3F865E8F" w14:textId="2067B204" w:rsidR="00503844" w:rsidRPr="0067706A" w:rsidRDefault="00503844" w:rsidP="00503844">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531CE5">
              <w:rPr>
                <w:rFonts w:ascii="Arial" w:hAnsi="Arial" w:cs="Arial"/>
                <w:b/>
                <w:bCs/>
                <w:sz w:val="20"/>
                <w:szCs w:val="20"/>
              </w:rPr>
              <w:t>24.38</w:t>
            </w:r>
            <w:r>
              <w:rPr>
                <w:rFonts w:ascii="Arial" w:hAnsi="Arial" w:cs="Arial"/>
                <w:b/>
                <w:bCs/>
                <w:sz w:val="20"/>
                <w:szCs w:val="20"/>
              </w:rPr>
              <w:t>2</w:t>
            </w:r>
          </w:p>
        </w:tc>
        <w:tc>
          <w:tcPr>
            <w:tcW w:w="749" w:type="pct"/>
            <w:tcBorders>
              <w:top w:val="single" w:sz="4" w:space="0" w:color="auto"/>
              <w:bottom w:val="single" w:sz="12" w:space="0" w:color="auto"/>
            </w:tcBorders>
            <w:vAlign w:val="bottom"/>
          </w:tcPr>
          <w:p w14:paraId="20E659A2" w14:textId="108C39D6" w:rsidR="00503844" w:rsidRPr="0067706A" w:rsidRDefault="00A17E3F" w:rsidP="00503844">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21.833</w:t>
            </w:r>
          </w:p>
        </w:tc>
        <w:tc>
          <w:tcPr>
            <w:tcW w:w="772" w:type="pct"/>
            <w:tcBorders>
              <w:top w:val="single" w:sz="4" w:space="0" w:color="auto"/>
              <w:bottom w:val="single" w:sz="12" w:space="0" w:color="auto"/>
            </w:tcBorders>
            <w:vAlign w:val="bottom"/>
          </w:tcPr>
          <w:p w14:paraId="400972D8" w14:textId="74CF91C0" w:rsidR="00503844" w:rsidRPr="0067706A" w:rsidRDefault="00503844" w:rsidP="00503844">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531CE5">
              <w:rPr>
                <w:rFonts w:ascii="Arial" w:hAnsi="Arial" w:cs="Arial"/>
                <w:b/>
                <w:bCs/>
                <w:sz w:val="20"/>
                <w:szCs w:val="20"/>
              </w:rPr>
              <w:t>24.380</w:t>
            </w:r>
          </w:p>
        </w:tc>
      </w:tr>
      <w:bookmarkEnd w:id="466"/>
    </w:tbl>
    <w:p w14:paraId="7EC0E9FF" w14:textId="77777777" w:rsidR="00FC2BEF" w:rsidRPr="003D1614" w:rsidRDefault="00FC2BEF" w:rsidP="00FC2BEF">
      <w:pPr>
        <w:suppressAutoHyphens/>
        <w:autoSpaceDN w:val="0"/>
        <w:jc w:val="both"/>
        <w:rPr>
          <w:rFonts w:ascii="Arial" w:eastAsia="Times New Roman" w:hAnsi="Arial" w:cs="Arial"/>
          <w:b/>
          <w:color w:val="000000" w:themeColor="text1"/>
          <w:sz w:val="20"/>
          <w:szCs w:val="20"/>
          <w:lang w:eastAsia="hr-HR"/>
        </w:rPr>
      </w:pPr>
    </w:p>
    <w:p w14:paraId="49DDE85A" w14:textId="77777777" w:rsidR="00FC2BEF" w:rsidRPr="003D1614" w:rsidRDefault="00FC2BEF" w:rsidP="00FC2BE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Promjene na rezerviranjima za očekivane gubitke po garancijama, preuzetim i ostalim obvezama mogu se prikazati kako slijedi:</w:t>
      </w:r>
    </w:p>
    <w:p w14:paraId="6127A354" w14:textId="77777777" w:rsidR="00FC2BEF" w:rsidRPr="003D1614" w:rsidRDefault="00FC2BEF" w:rsidP="00FC2BEF">
      <w:pPr>
        <w:tabs>
          <w:tab w:val="left" w:pos="6036"/>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ab/>
      </w:r>
    </w:p>
    <w:tbl>
      <w:tblPr>
        <w:tblW w:w="5084" w:type="pct"/>
        <w:tblLayout w:type="fixed"/>
        <w:tblLook w:val="04A0" w:firstRow="1" w:lastRow="0" w:firstColumn="1" w:lastColumn="0" w:noHBand="0" w:noVBand="1"/>
      </w:tblPr>
      <w:tblGrid>
        <w:gridCol w:w="4260"/>
        <w:gridCol w:w="1241"/>
        <w:gridCol w:w="1241"/>
        <w:gridCol w:w="1241"/>
        <w:gridCol w:w="1241"/>
      </w:tblGrid>
      <w:tr w:rsidR="00FC2BEF" w:rsidRPr="00EA554B" w14:paraId="784BB328" w14:textId="77777777" w:rsidTr="00EA554B">
        <w:trPr>
          <w:trHeight w:val="251"/>
        </w:trPr>
        <w:tc>
          <w:tcPr>
            <w:tcW w:w="4260" w:type="dxa"/>
            <w:tcBorders>
              <w:top w:val="nil"/>
              <w:left w:val="nil"/>
              <w:bottom w:val="nil"/>
              <w:right w:val="nil"/>
            </w:tcBorders>
            <w:shd w:val="clear" w:color="auto" w:fill="auto"/>
            <w:noWrap/>
            <w:vAlign w:val="bottom"/>
            <w:hideMark/>
          </w:tcPr>
          <w:p w14:paraId="48B1B72A" w14:textId="77777777" w:rsidR="00FC2BEF" w:rsidRPr="00EA554B" w:rsidRDefault="00FC2BEF" w:rsidP="00FC2BEF">
            <w:pPr>
              <w:suppressAutoHyphens/>
              <w:autoSpaceDN w:val="0"/>
              <w:rPr>
                <w:rFonts w:ascii="Arial" w:eastAsia="Calibri" w:hAnsi="Arial" w:cs="Arial"/>
                <w:color w:val="000000" w:themeColor="text1"/>
                <w:sz w:val="20"/>
                <w:szCs w:val="20"/>
              </w:rPr>
            </w:pPr>
          </w:p>
        </w:tc>
        <w:tc>
          <w:tcPr>
            <w:tcW w:w="2482" w:type="dxa"/>
            <w:gridSpan w:val="2"/>
            <w:tcBorders>
              <w:top w:val="nil"/>
              <w:left w:val="nil"/>
              <w:bottom w:val="nil"/>
              <w:right w:val="nil"/>
            </w:tcBorders>
            <w:shd w:val="clear" w:color="auto" w:fill="auto"/>
            <w:vAlign w:val="bottom"/>
            <w:hideMark/>
          </w:tcPr>
          <w:p w14:paraId="64CCA471" w14:textId="77777777" w:rsidR="00FC2BEF" w:rsidRPr="00EA554B" w:rsidRDefault="00FC2BEF" w:rsidP="00FC2BEF">
            <w:pPr>
              <w:suppressAutoHyphens/>
              <w:autoSpaceDN w:val="0"/>
              <w:jc w:val="right"/>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Grupa</w:t>
            </w:r>
          </w:p>
        </w:tc>
        <w:tc>
          <w:tcPr>
            <w:tcW w:w="2482" w:type="dxa"/>
            <w:gridSpan w:val="2"/>
            <w:tcBorders>
              <w:top w:val="nil"/>
              <w:left w:val="nil"/>
              <w:bottom w:val="nil"/>
              <w:right w:val="nil"/>
            </w:tcBorders>
            <w:shd w:val="clear" w:color="auto" w:fill="auto"/>
            <w:vAlign w:val="bottom"/>
            <w:hideMark/>
          </w:tcPr>
          <w:p w14:paraId="19CD6941" w14:textId="77777777" w:rsidR="00FC2BEF" w:rsidRPr="00EA554B" w:rsidRDefault="00FC2BEF" w:rsidP="00FC2BEF">
            <w:pPr>
              <w:suppressAutoHyphens/>
              <w:autoSpaceDN w:val="0"/>
              <w:jc w:val="right"/>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Banka</w:t>
            </w:r>
          </w:p>
        </w:tc>
      </w:tr>
      <w:tr w:rsidR="00FC2BEF" w:rsidRPr="00EA554B" w14:paraId="1C506140" w14:textId="77777777" w:rsidTr="00EA554B">
        <w:trPr>
          <w:trHeight w:val="251"/>
        </w:trPr>
        <w:tc>
          <w:tcPr>
            <w:tcW w:w="4260" w:type="dxa"/>
            <w:tcBorders>
              <w:top w:val="nil"/>
              <w:left w:val="nil"/>
              <w:bottom w:val="nil"/>
              <w:right w:val="nil"/>
            </w:tcBorders>
            <w:shd w:val="clear" w:color="auto" w:fill="auto"/>
            <w:noWrap/>
            <w:vAlign w:val="bottom"/>
          </w:tcPr>
          <w:p w14:paraId="0B250FDA" w14:textId="77777777" w:rsidR="00FC2BEF" w:rsidRPr="00EA554B" w:rsidRDefault="00FC2BEF" w:rsidP="00FC2BEF">
            <w:pPr>
              <w:suppressAutoHyphens/>
              <w:autoSpaceDN w:val="0"/>
              <w:rPr>
                <w:rFonts w:ascii="Arial" w:eastAsia="Calibri" w:hAnsi="Arial" w:cs="Arial"/>
                <w:color w:val="000000" w:themeColor="text1"/>
                <w:sz w:val="20"/>
                <w:szCs w:val="20"/>
              </w:rPr>
            </w:pPr>
          </w:p>
        </w:tc>
        <w:tc>
          <w:tcPr>
            <w:tcW w:w="1241" w:type="dxa"/>
            <w:vAlign w:val="bottom"/>
          </w:tcPr>
          <w:p w14:paraId="27DDDDA9" w14:textId="06C29264" w:rsidR="00FC2BEF" w:rsidRPr="00EA554B" w:rsidRDefault="00FC2BEF" w:rsidP="00FC2BEF">
            <w:pPr>
              <w:tabs>
                <w:tab w:val="right" w:pos="1202"/>
              </w:tabs>
              <w:suppressAutoHyphens/>
              <w:autoSpaceDN w:val="0"/>
              <w:jc w:val="right"/>
              <w:outlineLvl w:val="0"/>
              <w:rPr>
                <w:rFonts w:ascii="Arial" w:eastAsia="Times New Roman" w:hAnsi="Arial" w:cs="Arial"/>
                <w:b/>
                <w:color w:val="000000" w:themeColor="text1"/>
                <w:sz w:val="20"/>
                <w:szCs w:val="20"/>
              </w:rPr>
            </w:pPr>
            <w:bookmarkStart w:id="475" w:name="_Toc67328780"/>
            <w:r w:rsidRPr="00EA554B">
              <w:rPr>
                <w:rFonts w:ascii="Arial" w:eastAsia="Times New Roman" w:hAnsi="Arial" w:cs="Arial"/>
                <w:b/>
                <w:color w:val="000000" w:themeColor="text1"/>
                <w:sz w:val="20"/>
                <w:szCs w:val="20"/>
              </w:rPr>
              <w:t>1.1.-31.3.</w:t>
            </w:r>
            <w:bookmarkEnd w:id="475"/>
          </w:p>
          <w:p w14:paraId="058D7078" w14:textId="255AEB63" w:rsidR="00FC2BEF" w:rsidRPr="00EA554B" w:rsidRDefault="00FC2BEF" w:rsidP="00FC2BEF">
            <w:pPr>
              <w:tabs>
                <w:tab w:val="right" w:pos="1202"/>
              </w:tabs>
              <w:suppressAutoHyphens/>
              <w:autoSpaceDN w:val="0"/>
              <w:jc w:val="right"/>
              <w:outlineLvl w:val="0"/>
              <w:rPr>
                <w:rFonts w:ascii="Arial" w:eastAsia="Times New Roman" w:hAnsi="Arial" w:cs="Arial"/>
                <w:b/>
                <w:color w:val="000000" w:themeColor="text1"/>
                <w:sz w:val="20"/>
                <w:szCs w:val="20"/>
              </w:rPr>
            </w:pPr>
            <w:bookmarkStart w:id="476" w:name="_Toc67328781"/>
            <w:r w:rsidRPr="00EA554B">
              <w:rPr>
                <w:rFonts w:ascii="Arial" w:eastAsia="Times New Roman" w:hAnsi="Arial" w:cs="Arial"/>
                <w:b/>
                <w:color w:val="000000" w:themeColor="text1"/>
                <w:sz w:val="20"/>
                <w:szCs w:val="20"/>
              </w:rPr>
              <w:t>202</w:t>
            </w:r>
            <w:r w:rsidR="00503844">
              <w:rPr>
                <w:rFonts w:ascii="Arial" w:eastAsia="Times New Roman" w:hAnsi="Arial" w:cs="Arial"/>
                <w:b/>
                <w:color w:val="000000" w:themeColor="text1"/>
                <w:sz w:val="20"/>
                <w:szCs w:val="20"/>
              </w:rPr>
              <w:t>4</w:t>
            </w:r>
            <w:r w:rsidRPr="00EA554B">
              <w:rPr>
                <w:rFonts w:ascii="Arial" w:eastAsia="Times New Roman" w:hAnsi="Arial" w:cs="Arial"/>
                <w:b/>
                <w:color w:val="000000" w:themeColor="text1"/>
                <w:sz w:val="20"/>
                <w:szCs w:val="20"/>
              </w:rPr>
              <w:t>.</w:t>
            </w:r>
            <w:bookmarkEnd w:id="476"/>
          </w:p>
        </w:tc>
        <w:tc>
          <w:tcPr>
            <w:tcW w:w="1241" w:type="dxa"/>
            <w:vAlign w:val="bottom"/>
          </w:tcPr>
          <w:p w14:paraId="1E20576E" w14:textId="77777777" w:rsidR="00FC2BEF" w:rsidRPr="00EA554B" w:rsidRDefault="00FC2BEF" w:rsidP="00FC2BEF">
            <w:pPr>
              <w:tabs>
                <w:tab w:val="right" w:pos="1202"/>
              </w:tabs>
              <w:suppressAutoHyphens/>
              <w:autoSpaceDN w:val="0"/>
              <w:jc w:val="right"/>
              <w:outlineLvl w:val="0"/>
              <w:rPr>
                <w:rFonts w:ascii="Arial" w:eastAsia="Times New Roman" w:hAnsi="Arial" w:cs="Arial"/>
                <w:b/>
                <w:color w:val="000000" w:themeColor="text1"/>
                <w:sz w:val="20"/>
                <w:szCs w:val="20"/>
              </w:rPr>
            </w:pPr>
            <w:bookmarkStart w:id="477" w:name="_Toc67328782"/>
            <w:r w:rsidRPr="00EA554B">
              <w:rPr>
                <w:rFonts w:ascii="Arial" w:eastAsia="Times New Roman" w:hAnsi="Arial" w:cs="Arial"/>
                <w:b/>
                <w:color w:val="000000" w:themeColor="text1"/>
                <w:sz w:val="20"/>
                <w:szCs w:val="20"/>
              </w:rPr>
              <w:t>1.1.-31.12.</w:t>
            </w:r>
            <w:bookmarkEnd w:id="477"/>
          </w:p>
          <w:p w14:paraId="59C6D467" w14:textId="39F0BD20" w:rsidR="00FC2BEF" w:rsidRPr="00EA554B" w:rsidRDefault="00FC2BEF" w:rsidP="00FC2BEF">
            <w:pPr>
              <w:tabs>
                <w:tab w:val="right" w:pos="1202"/>
              </w:tabs>
              <w:suppressAutoHyphens/>
              <w:autoSpaceDN w:val="0"/>
              <w:jc w:val="right"/>
              <w:outlineLvl w:val="0"/>
              <w:rPr>
                <w:rFonts w:ascii="Arial" w:eastAsia="Times New Roman" w:hAnsi="Arial" w:cs="Arial"/>
                <w:b/>
                <w:color w:val="000000" w:themeColor="text1"/>
                <w:sz w:val="20"/>
                <w:szCs w:val="20"/>
              </w:rPr>
            </w:pPr>
            <w:bookmarkStart w:id="478" w:name="_Toc67328783"/>
            <w:r w:rsidRPr="00EA554B">
              <w:rPr>
                <w:rFonts w:ascii="Arial" w:eastAsia="Times New Roman" w:hAnsi="Arial" w:cs="Arial"/>
                <w:b/>
                <w:color w:val="000000" w:themeColor="text1"/>
                <w:sz w:val="20"/>
                <w:szCs w:val="20"/>
              </w:rPr>
              <w:t>202</w:t>
            </w:r>
            <w:r w:rsidR="00503844">
              <w:rPr>
                <w:rFonts w:ascii="Arial" w:eastAsia="Times New Roman" w:hAnsi="Arial" w:cs="Arial"/>
                <w:b/>
                <w:color w:val="000000" w:themeColor="text1"/>
                <w:sz w:val="20"/>
                <w:szCs w:val="20"/>
              </w:rPr>
              <w:t>3</w:t>
            </w:r>
            <w:r w:rsidRPr="00EA554B">
              <w:rPr>
                <w:rFonts w:ascii="Arial" w:eastAsia="Times New Roman" w:hAnsi="Arial" w:cs="Arial"/>
                <w:b/>
                <w:color w:val="000000" w:themeColor="text1"/>
                <w:sz w:val="20"/>
                <w:szCs w:val="20"/>
              </w:rPr>
              <w:t>.</w:t>
            </w:r>
            <w:bookmarkEnd w:id="478"/>
          </w:p>
        </w:tc>
        <w:tc>
          <w:tcPr>
            <w:tcW w:w="1241" w:type="dxa"/>
            <w:vAlign w:val="bottom"/>
          </w:tcPr>
          <w:p w14:paraId="3BCF4B29" w14:textId="16E335DC" w:rsidR="00FC2BEF" w:rsidRPr="00EA554B" w:rsidRDefault="00FC2BEF" w:rsidP="00FC2BEF">
            <w:pPr>
              <w:tabs>
                <w:tab w:val="right" w:pos="1202"/>
              </w:tabs>
              <w:suppressAutoHyphens/>
              <w:autoSpaceDN w:val="0"/>
              <w:jc w:val="right"/>
              <w:outlineLvl w:val="0"/>
              <w:rPr>
                <w:rFonts w:ascii="Arial" w:eastAsia="Times New Roman" w:hAnsi="Arial" w:cs="Arial"/>
                <w:b/>
                <w:color w:val="000000" w:themeColor="text1"/>
                <w:sz w:val="20"/>
                <w:szCs w:val="20"/>
              </w:rPr>
            </w:pPr>
            <w:bookmarkStart w:id="479" w:name="_Toc67328784"/>
            <w:r w:rsidRPr="00EA554B">
              <w:rPr>
                <w:rFonts w:ascii="Arial" w:eastAsia="Times New Roman" w:hAnsi="Arial" w:cs="Arial"/>
                <w:b/>
                <w:color w:val="000000" w:themeColor="text1"/>
                <w:sz w:val="20"/>
                <w:szCs w:val="20"/>
              </w:rPr>
              <w:t>1.1.-31.3.</w:t>
            </w:r>
            <w:bookmarkEnd w:id="479"/>
          </w:p>
          <w:p w14:paraId="1A833246" w14:textId="5190C87A" w:rsidR="00FC2BEF" w:rsidRPr="00EA554B" w:rsidRDefault="00FC2BEF" w:rsidP="00FC2BEF">
            <w:pPr>
              <w:tabs>
                <w:tab w:val="right" w:pos="1202"/>
              </w:tabs>
              <w:suppressAutoHyphens/>
              <w:autoSpaceDN w:val="0"/>
              <w:jc w:val="right"/>
              <w:outlineLvl w:val="0"/>
              <w:rPr>
                <w:rFonts w:ascii="Arial" w:eastAsia="Times New Roman" w:hAnsi="Arial" w:cs="Arial"/>
                <w:b/>
                <w:color w:val="000000" w:themeColor="text1"/>
                <w:sz w:val="20"/>
                <w:szCs w:val="20"/>
              </w:rPr>
            </w:pPr>
            <w:bookmarkStart w:id="480" w:name="_Toc67328785"/>
            <w:r w:rsidRPr="00EA554B">
              <w:rPr>
                <w:rFonts w:ascii="Arial" w:eastAsia="Times New Roman" w:hAnsi="Arial" w:cs="Arial"/>
                <w:b/>
                <w:color w:val="000000" w:themeColor="text1"/>
                <w:sz w:val="20"/>
                <w:szCs w:val="20"/>
              </w:rPr>
              <w:t>202</w:t>
            </w:r>
            <w:r w:rsidR="0004135C">
              <w:rPr>
                <w:rFonts w:ascii="Arial" w:eastAsia="Times New Roman" w:hAnsi="Arial" w:cs="Arial"/>
                <w:b/>
                <w:color w:val="000000" w:themeColor="text1"/>
                <w:sz w:val="20"/>
                <w:szCs w:val="20"/>
              </w:rPr>
              <w:t>4</w:t>
            </w:r>
            <w:r w:rsidRPr="00EA554B">
              <w:rPr>
                <w:rFonts w:ascii="Arial" w:eastAsia="Times New Roman" w:hAnsi="Arial" w:cs="Arial"/>
                <w:b/>
                <w:color w:val="000000" w:themeColor="text1"/>
                <w:sz w:val="20"/>
                <w:szCs w:val="20"/>
              </w:rPr>
              <w:t>.</w:t>
            </w:r>
            <w:bookmarkEnd w:id="480"/>
          </w:p>
        </w:tc>
        <w:tc>
          <w:tcPr>
            <w:tcW w:w="1241" w:type="dxa"/>
            <w:vAlign w:val="bottom"/>
          </w:tcPr>
          <w:p w14:paraId="362C5AC2" w14:textId="77777777" w:rsidR="00FC2BEF" w:rsidRPr="00EA554B" w:rsidRDefault="00FC2BEF" w:rsidP="00FC2BEF">
            <w:pPr>
              <w:tabs>
                <w:tab w:val="right" w:pos="1202"/>
              </w:tabs>
              <w:suppressAutoHyphens/>
              <w:autoSpaceDN w:val="0"/>
              <w:jc w:val="right"/>
              <w:outlineLvl w:val="0"/>
              <w:rPr>
                <w:rFonts w:ascii="Arial" w:eastAsia="Times New Roman" w:hAnsi="Arial" w:cs="Arial"/>
                <w:b/>
                <w:color w:val="000000" w:themeColor="text1"/>
                <w:sz w:val="20"/>
                <w:szCs w:val="20"/>
              </w:rPr>
            </w:pPr>
            <w:bookmarkStart w:id="481" w:name="_Toc67328786"/>
            <w:r w:rsidRPr="00EA554B">
              <w:rPr>
                <w:rFonts w:ascii="Arial" w:eastAsia="Times New Roman" w:hAnsi="Arial" w:cs="Arial"/>
                <w:b/>
                <w:color w:val="000000" w:themeColor="text1"/>
                <w:sz w:val="20"/>
                <w:szCs w:val="20"/>
              </w:rPr>
              <w:t>1.1.-31.12.</w:t>
            </w:r>
            <w:bookmarkEnd w:id="481"/>
          </w:p>
          <w:p w14:paraId="5EA28836" w14:textId="7B0D3067" w:rsidR="00FC2BEF" w:rsidRPr="00EA554B" w:rsidRDefault="00FC2BEF" w:rsidP="00FC2BEF">
            <w:pPr>
              <w:tabs>
                <w:tab w:val="right" w:pos="1202"/>
              </w:tabs>
              <w:suppressAutoHyphens/>
              <w:autoSpaceDN w:val="0"/>
              <w:jc w:val="right"/>
              <w:outlineLvl w:val="0"/>
              <w:rPr>
                <w:rFonts w:ascii="Arial" w:eastAsia="Times New Roman" w:hAnsi="Arial" w:cs="Arial"/>
                <w:b/>
                <w:color w:val="000000" w:themeColor="text1"/>
                <w:sz w:val="20"/>
                <w:szCs w:val="20"/>
              </w:rPr>
            </w:pPr>
            <w:bookmarkStart w:id="482" w:name="_Toc67328787"/>
            <w:r w:rsidRPr="00EA554B">
              <w:rPr>
                <w:rFonts w:ascii="Arial" w:eastAsia="Times New Roman" w:hAnsi="Arial" w:cs="Arial"/>
                <w:b/>
                <w:color w:val="000000" w:themeColor="text1"/>
                <w:sz w:val="20"/>
                <w:szCs w:val="20"/>
              </w:rPr>
              <w:t>202</w:t>
            </w:r>
            <w:r w:rsidR="0004135C">
              <w:rPr>
                <w:rFonts w:ascii="Arial" w:eastAsia="Times New Roman" w:hAnsi="Arial" w:cs="Arial"/>
                <w:b/>
                <w:color w:val="000000" w:themeColor="text1"/>
                <w:sz w:val="20"/>
                <w:szCs w:val="20"/>
              </w:rPr>
              <w:t>3</w:t>
            </w:r>
            <w:r w:rsidRPr="00EA554B">
              <w:rPr>
                <w:rFonts w:ascii="Arial" w:eastAsia="Times New Roman" w:hAnsi="Arial" w:cs="Arial"/>
                <w:b/>
                <w:color w:val="000000" w:themeColor="text1"/>
                <w:sz w:val="20"/>
                <w:szCs w:val="20"/>
              </w:rPr>
              <w:t>.</w:t>
            </w:r>
            <w:bookmarkEnd w:id="482"/>
          </w:p>
        </w:tc>
      </w:tr>
      <w:tr w:rsidR="00FC2BEF" w:rsidRPr="00EA554B" w14:paraId="6E91E4BB" w14:textId="77777777" w:rsidTr="00EA554B">
        <w:trPr>
          <w:trHeight w:val="239"/>
        </w:trPr>
        <w:tc>
          <w:tcPr>
            <w:tcW w:w="4260" w:type="dxa"/>
            <w:tcBorders>
              <w:top w:val="nil"/>
              <w:left w:val="nil"/>
              <w:bottom w:val="nil"/>
              <w:right w:val="nil"/>
            </w:tcBorders>
            <w:shd w:val="clear" w:color="auto" w:fill="auto"/>
            <w:vAlign w:val="bottom"/>
            <w:hideMark/>
          </w:tcPr>
          <w:p w14:paraId="52AFA1BA" w14:textId="77777777" w:rsidR="00FC2BEF" w:rsidRPr="00EA554B" w:rsidRDefault="00FC2BEF" w:rsidP="00FC2BEF">
            <w:pPr>
              <w:suppressAutoHyphens/>
              <w:autoSpaceDN w:val="0"/>
              <w:jc w:val="right"/>
              <w:rPr>
                <w:rFonts w:ascii="Arial" w:eastAsia="Calibri" w:hAnsi="Arial" w:cs="Arial"/>
                <w:b/>
                <w:bCs/>
                <w:color w:val="000000" w:themeColor="text1"/>
                <w:sz w:val="20"/>
                <w:szCs w:val="20"/>
              </w:rPr>
            </w:pPr>
          </w:p>
        </w:tc>
        <w:tc>
          <w:tcPr>
            <w:tcW w:w="1241" w:type="dxa"/>
            <w:tcBorders>
              <w:top w:val="nil"/>
              <w:left w:val="nil"/>
              <w:bottom w:val="nil"/>
              <w:right w:val="nil"/>
            </w:tcBorders>
            <w:shd w:val="clear" w:color="auto" w:fill="auto"/>
            <w:vAlign w:val="bottom"/>
            <w:hideMark/>
          </w:tcPr>
          <w:p w14:paraId="36DC2F5E" w14:textId="5AE1045F" w:rsidR="00FC2BEF" w:rsidRPr="00EA554B" w:rsidRDefault="00FC2BEF" w:rsidP="00FC2BEF">
            <w:pPr>
              <w:suppressAutoHyphens/>
              <w:autoSpaceDN w:val="0"/>
              <w:jc w:val="right"/>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000 eura</w:t>
            </w:r>
          </w:p>
        </w:tc>
        <w:tc>
          <w:tcPr>
            <w:tcW w:w="1241" w:type="dxa"/>
            <w:tcBorders>
              <w:top w:val="nil"/>
              <w:left w:val="nil"/>
              <w:bottom w:val="nil"/>
              <w:right w:val="nil"/>
            </w:tcBorders>
            <w:shd w:val="clear" w:color="auto" w:fill="auto"/>
            <w:vAlign w:val="bottom"/>
          </w:tcPr>
          <w:p w14:paraId="3811F7F9" w14:textId="73EEA129" w:rsidR="00FC2BEF" w:rsidRPr="00EA554B" w:rsidRDefault="00FC2BEF" w:rsidP="00FC2BEF">
            <w:pPr>
              <w:suppressAutoHyphens/>
              <w:autoSpaceDN w:val="0"/>
              <w:jc w:val="right"/>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000 eura</w:t>
            </w:r>
          </w:p>
        </w:tc>
        <w:tc>
          <w:tcPr>
            <w:tcW w:w="1241" w:type="dxa"/>
            <w:tcBorders>
              <w:top w:val="nil"/>
              <w:left w:val="nil"/>
              <w:bottom w:val="nil"/>
              <w:right w:val="nil"/>
            </w:tcBorders>
            <w:shd w:val="clear" w:color="auto" w:fill="auto"/>
            <w:vAlign w:val="bottom"/>
            <w:hideMark/>
          </w:tcPr>
          <w:p w14:paraId="2462E898" w14:textId="19779985" w:rsidR="00FC2BEF" w:rsidRPr="00EA554B" w:rsidRDefault="00FC2BEF" w:rsidP="00FC2BEF">
            <w:pPr>
              <w:suppressAutoHyphens/>
              <w:autoSpaceDN w:val="0"/>
              <w:jc w:val="right"/>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000 eura</w:t>
            </w:r>
          </w:p>
        </w:tc>
        <w:tc>
          <w:tcPr>
            <w:tcW w:w="1241" w:type="dxa"/>
            <w:tcBorders>
              <w:top w:val="nil"/>
              <w:left w:val="nil"/>
              <w:right w:val="nil"/>
            </w:tcBorders>
            <w:shd w:val="clear" w:color="auto" w:fill="auto"/>
            <w:vAlign w:val="bottom"/>
          </w:tcPr>
          <w:p w14:paraId="0181E098" w14:textId="42995AF5" w:rsidR="00FC2BEF" w:rsidRPr="00EA554B" w:rsidRDefault="00FC2BEF" w:rsidP="00FC2BEF">
            <w:pPr>
              <w:suppressAutoHyphens/>
              <w:autoSpaceDN w:val="0"/>
              <w:jc w:val="right"/>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000 eura</w:t>
            </w:r>
          </w:p>
        </w:tc>
      </w:tr>
      <w:tr w:rsidR="00CC17FF" w:rsidRPr="00EA554B" w14:paraId="5D26775A" w14:textId="77777777" w:rsidTr="00713C54">
        <w:trPr>
          <w:trHeight w:val="392"/>
        </w:trPr>
        <w:tc>
          <w:tcPr>
            <w:tcW w:w="4260" w:type="dxa"/>
            <w:tcBorders>
              <w:top w:val="nil"/>
              <w:left w:val="nil"/>
              <w:right w:val="nil"/>
            </w:tcBorders>
            <w:shd w:val="clear" w:color="auto" w:fill="auto"/>
            <w:vAlign w:val="bottom"/>
          </w:tcPr>
          <w:p w14:paraId="6E00DF01" w14:textId="77777777" w:rsidR="00CC17FF" w:rsidRPr="00EA554B" w:rsidRDefault="00CC17FF" w:rsidP="00CC17FF">
            <w:pPr>
              <w:suppressAutoHyphens/>
              <w:autoSpaceDN w:val="0"/>
              <w:rPr>
                <w:rFonts w:ascii="Arial" w:eastAsia="Calibri" w:hAnsi="Arial" w:cs="Arial"/>
                <w:color w:val="000000" w:themeColor="text1"/>
                <w:sz w:val="20"/>
                <w:szCs w:val="20"/>
              </w:rPr>
            </w:pPr>
            <w:r w:rsidRPr="00EA554B">
              <w:rPr>
                <w:rFonts w:ascii="Arial" w:eastAsia="Calibri" w:hAnsi="Arial" w:cs="Arial"/>
                <w:color w:val="000000" w:themeColor="text1"/>
                <w:sz w:val="20"/>
                <w:szCs w:val="20"/>
              </w:rPr>
              <w:t xml:space="preserve">Stanje 1. siječnja </w:t>
            </w:r>
          </w:p>
        </w:tc>
        <w:tc>
          <w:tcPr>
            <w:tcW w:w="1241" w:type="dxa"/>
            <w:tcBorders>
              <w:top w:val="nil"/>
              <w:left w:val="nil"/>
              <w:bottom w:val="nil"/>
              <w:right w:val="nil"/>
            </w:tcBorders>
            <w:shd w:val="clear" w:color="auto" w:fill="auto"/>
            <w:noWrap/>
            <w:vAlign w:val="bottom"/>
          </w:tcPr>
          <w:p w14:paraId="32782585" w14:textId="08F6D4E0" w:rsidR="00CC17FF" w:rsidRPr="00EA554B" w:rsidRDefault="00CC17FF" w:rsidP="00CC17FF">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14.637</w:t>
            </w:r>
          </w:p>
        </w:tc>
        <w:tc>
          <w:tcPr>
            <w:tcW w:w="1241" w:type="dxa"/>
            <w:tcBorders>
              <w:top w:val="nil"/>
              <w:left w:val="nil"/>
              <w:right w:val="nil"/>
            </w:tcBorders>
            <w:shd w:val="clear" w:color="auto" w:fill="auto"/>
            <w:vAlign w:val="bottom"/>
          </w:tcPr>
          <w:p w14:paraId="46443868" w14:textId="3C59BD17" w:rsidR="00CC17FF" w:rsidRPr="00EA554B" w:rsidRDefault="00CC17FF" w:rsidP="00CC17FF">
            <w:pPr>
              <w:suppressAutoHyphens/>
              <w:autoSpaceDN w:val="0"/>
              <w:jc w:val="right"/>
              <w:rPr>
                <w:rFonts w:ascii="Arial" w:eastAsia="Calibri" w:hAnsi="Arial" w:cs="Arial"/>
                <w:color w:val="000000" w:themeColor="text1"/>
                <w:sz w:val="20"/>
                <w:szCs w:val="20"/>
              </w:rPr>
            </w:pPr>
            <w:r w:rsidRPr="00531CE5">
              <w:rPr>
                <w:rFonts w:ascii="Arial" w:eastAsia="Calibri" w:hAnsi="Arial" w:cs="Arial"/>
                <w:sz w:val="20"/>
                <w:szCs w:val="20"/>
              </w:rPr>
              <w:t>10.714</w:t>
            </w:r>
          </w:p>
        </w:tc>
        <w:tc>
          <w:tcPr>
            <w:tcW w:w="1241" w:type="dxa"/>
            <w:tcBorders>
              <w:top w:val="nil"/>
              <w:left w:val="nil"/>
              <w:bottom w:val="nil"/>
              <w:right w:val="nil"/>
            </w:tcBorders>
            <w:shd w:val="clear" w:color="auto" w:fill="auto"/>
            <w:vAlign w:val="bottom"/>
          </w:tcPr>
          <w:p w14:paraId="4234C67F" w14:textId="19F59BE3" w:rsidR="00CC17FF" w:rsidRPr="00EA554B" w:rsidRDefault="00CC17FF" w:rsidP="00CC17FF">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14.637</w:t>
            </w:r>
          </w:p>
        </w:tc>
        <w:tc>
          <w:tcPr>
            <w:tcW w:w="1241" w:type="dxa"/>
            <w:tcBorders>
              <w:top w:val="nil"/>
              <w:left w:val="nil"/>
              <w:right w:val="nil"/>
            </w:tcBorders>
            <w:shd w:val="clear" w:color="auto" w:fill="auto"/>
            <w:vAlign w:val="bottom"/>
          </w:tcPr>
          <w:p w14:paraId="7DAFD25F" w14:textId="2891DCC5" w:rsidR="00CC17FF" w:rsidRPr="00EA554B" w:rsidRDefault="00CC17FF" w:rsidP="00CC17FF">
            <w:pPr>
              <w:suppressAutoHyphens/>
              <w:autoSpaceDN w:val="0"/>
              <w:jc w:val="right"/>
              <w:rPr>
                <w:rFonts w:ascii="Arial" w:eastAsia="Calibri" w:hAnsi="Arial" w:cs="Arial"/>
                <w:color w:val="000000" w:themeColor="text1"/>
                <w:sz w:val="20"/>
                <w:szCs w:val="20"/>
              </w:rPr>
            </w:pPr>
            <w:r w:rsidRPr="00531CE5">
              <w:rPr>
                <w:rFonts w:ascii="Arial" w:eastAsia="Calibri" w:hAnsi="Arial" w:cs="Arial"/>
                <w:sz w:val="20"/>
                <w:szCs w:val="20"/>
              </w:rPr>
              <w:t>10.714</w:t>
            </w:r>
          </w:p>
        </w:tc>
      </w:tr>
      <w:tr w:rsidR="00CC17FF" w:rsidRPr="00EA554B" w14:paraId="644C8644" w14:textId="77777777" w:rsidTr="00713C54">
        <w:trPr>
          <w:trHeight w:val="392"/>
        </w:trPr>
        <w:tc>
          <w:tcPr>
            <w:tcW w:w="4260" w:type="dxa"/>
            <w:tcBorders>
              <w:top w:val="nil"/>
              <w:left w:val="nil"/>
              <w:bottom w:val="nil"/>
              <w:right w:val="nil"/>
            </w:tcBorders>
            <w:shd w:val="clear" w:color="auto" w:fill="auto"/>
            <w:vAlign w:val="bottom"/>
          </w:tcPr>
          <w:p w14:paraId="27BDA6D1" w14:textId="485B56F4" w:rsidR="00CC17FF" w:rsidRPr="00EA554B" w:rsidRDefault="00CC17FF" w:rsidP="00CC17FF">
            <w:pPr>
              <w:suppressAutoHyphens/>
              <w:autoSpaceDN w:val="0"/>
              <w:rPr>
                <w:rFonts w:ascii="Arial" w:eastAsia="Calibri" w:hAnsi="Arial" w:cs="Arial"/>
                <w:color w:val="000000" w:themeColor="text1"/>
                <w:sz w:val="20"/>
                <w:szCs w:val="20"/>
              </w:rPr>
            </w:pPr>
            <w:r w:rsidRPr="00EA554B">
              <w:rPr>
                <w:rFonts w:ascii="Arial" w:eastAsia="Calibri" w:hAnsi="Arial" w:cs="Arial"/>
                <w:color w:val="000000" w:themeColor="text1"/>
                <w:sz w:val="20"/>
                <w:szCs w:val="20"/>
              </w:rPr>
              <w:t xml:space="preserve">Neto </w:t>
            </w:r>
            <w:r w:rsidR="00FA397B">
              <w:rPr>
                <w:rFonts w:ascii="Arial" w:eastAsia="Calibri" w:hAnsi="Arial" w:cs="Arial"/>
                <w:color w:val="000000" w:themeColor="text1"/>
                <w:sz w:val="20"/>
                <w:szCs w:val="20"/>
              </w:rPr>
              <w:t>povećanje</w:t>
            </w:r>
            <w:r w:rsidRPr="00EA554B">
              <w:rPr>
                <w:rFonts w:ascii="Arial" w:eastAsia="Calibri" w:hAnsi="Arial" w:cs="Arial"/>
                <w:color w:val="000000" w:themeColor="text1"/>
                <w:sz w:val="20"/>
                <w:szCs w:val="20"/>
              </w:rPr>
              <w:t xml:space="preserve"> rezerviranja za očekivane gubitke po garancijama </w:t>
            </w:r>
          </w:p>
        </w:tc>
        <w:tc>
          <w:tcPr>
            <w:tcW w:w="1241" w:type="dxa"/>
            <w:tcBorders>
              <w:left w:val="nil"/>
              <w:bottom w:val="single" w:sz="4" w:space="0" w:color="auto"/>
              <w:right w:val="nil"/>
            </w:tcBorders>
            <w:shd w:val="clear" w:color="auto" w:fill="auto"/>
            <w:vAlign w:val="bottom"/>
          </w:tcPr>
          <w:p w14:paraId="31B561B7" w14:textId="00513B98" w:rsidR="00CC17FF" w:rsidRPr="00EA554B" w:rsidRDefault="00CC17FF" w:rsidP="00CC17FF">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881</w:t>
            </w:r>
          </w:p>
        </w:tc>
        <w:tc>
          <w:tcPr>
            <w:tcW w:w="1241" w:type="dxa"/>
            <w:tcBorders>
              <w:left w:val="nil"/>
              <w:bottom w:val="single" w:sz="4" w:space="0" w:color="auto"/>
              <w:right w:val="nil"/>
            </w:tcBorders>
            <w:shd w:val="clear" w:color="auto" w:fill="auto"/>
            <w:vAlign w:val="bottom"/>
          </w:tcPr>
          <w:p w14:paraId="16726F64" w14:textId="7EBF8DEE" w:rsidR="00CC17FF" w:rsidRPr="00EA554B" w:rsidRDefault="00CC17FF" w:rsidP="00CC17FF">
            <w:pPr>
              <w:suppressAutoHyphens/>
              <w:autoSpaceDN w:val="0"/>
              <w:jc w:val="right"/>
              <w:rPr>
                <w:rFonts w:ascii="Arial" w:eastAsia="Calibri" w:hAnsi="Arial" w:cs="Arial"/>
                <w:color w:val="000000" w:themeColor="text1"/>
                <w:sz w:val="20"/>
                <w:szCs w:val="20"/>
              </w:rPr>
            </w:pPr>
            <w:r w:rsidRPr="00531CE5">
              <w:rPr>
                <w:rFonts w:ascii="Arial" w:eastAsia="Calibri" w:hAnsi="Arial" w:cs="Arial"/>
                <w:sz w:val="20"/>
                <w:szCs w:val="20"/>
              </w:rPr>
              <w:t>2.375</w:t>
            </w:r>
          </w:p>
        </w:tc>
        <w:tc>
          <w:tcPr>
            <w:tcW w:w="1241" w:type="dxa"/>
            <w:tcBorders>
              <w:left w:val="nil"/>
              <w:bottom w:val="single" w:sz="4" w:space="0" w:color="auto"/>
              <w:right w:val="nil"/>
            </w:tcBorders>
            <w:shd w:val="clear" w:color="auto" w:fill="auto"/>
            <w:vAlign w:val="bottom"/>
          </w:tcPr>
          <w:p w14:paraId="3F2814DD" w14:textId="6EC76952" w:rsidR="00CC17FF" w:rsidRPr="00EA554B" w:rsidRDefault="00CC17FF" w:rsidP="00CC17FF">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881</w:t>
            </w:r>
          </w:p>
        </w:tc>
        <w:tc>
          <w:tcPr>
            <w:tcW w:w="1241" w:type="dxa"/>
            <w:tcBorders>
              <w:left w:val="nil"/>
              <w:bottom w:val="single" w:sz="4" w:space="0" w:color="auto"/>
              <w:right w:val="nil"/>
            </w:tcBorders>
            <w:shd w:val="clear" w:color="auto" w:fill="auto"/>
            <w:vAlign w:val="bottom"/>
          </w:tcPr>
          <w:p w14:paraId="7FB52B56" w14:textId="7147A98E" w:rsidR="00CC17FF" w:rsidRPr="00EA554B" w:rsidRDefault="00CC17FF" w:rsidP="00CC17FF">
            <w:pPr>
              <w:suppressAutoHyphens/>
              <w:autoSpaceDN w:val="0"/>
              <w:jc w:val="right"/>
              <w:rPr>
                <w:rFonts w:ascii="Arial" w:eastAsia="Calibri" w:hAnsi="Arial" w:cs="Arial"/>
                <w:color w:val="000000" w:themeColor="text1"/>
                <w:sz w:val="20"/>
                <w:szCs w:val="20"/>
              </w:rPr>
            </w:pPr>
            <w:r w:rsidRPr="00531CE5">
              <w:rPr>
                <w:rFonts w:ascii="Arial" w:eastAsia="Calibri" w:hAnsi="Arial" w:cs="Arial"/>
                <w:sz w:val="20"/>
                <w:szCs w:val="20"/>
              </w:rPr>
              <w:t>2.375</w:t>
            </w:r>
          </w:p>
        </w:tc>
      </w:tr>
      <w:tr w:rsidR="00CC17FF" w:rsidRPr="00EA554B" w14:paraId="54713311" w14:textId="77777777" w:rsidTr="00EA554B">
        <w:trPr>
          <w:trHeight w:val="392"/>
        </w:trPr>
        <w:tc>
          <w:tcPr>
            <w:tcW w:w="4260" w:type="dxa"/>
            <w:tcBorders>
              <w:top w:val="nil"/>
              <w:left w:val="nil"/>
              <w:bottom w:val="nil"/>
              <w:right w:val="nil"/>
            </w:tcBorders>
            <w:shd w:val="clear" w:color="auto" w:fill="auto"/>
            <w:vAlign w:val="bottom"/>
          </w:tcPr>
          <w:p w14:paraId="66C7BAA3" w14:textId="7F8D8875" w:rsidR="00CC17FF" w:rsidRPr="00EA554B" w:rsidRDefault="00CC17FF" w:rsidP="00CC17FF">
            <w:pPr>
              <w:suppressAutoHyphens/>
              <w:autoSpaceDN w:val="0"/>
              <w:rPr>
                <w:rFonts w:ascii="Arial" w:eastAsia="Calibri" w:hAnsi="Arial" w:cs="Arial"/>
                <w:i/>
                <w:iCs/>
                <w:color w:val="000000" w:themeColor="text1"/>
                <w:sz w:val="20"/>
                <w:szCs w:val="20"/>
              </w:rPr>
            </w:pPr>
            <w:r w:rsidRPr="00EA554B">
              <w:rPr>
                <w:rFonts w:ascii="Arial" w:eastAsia="Calibri" w:hAnsi="Arial" w:cs="Arial"/>
                <w:i/>
                <w:iCs/>
                <w:color w:val="000000" w:themeColor="text1"/>
                <w:sz w:val="20"/>
                <w:szCs w:val="20"/>
              </w:rPr>
              <w:t>Ukupno kroz dobit ili gubitak (bilješka 8)</w:t>
            </w:r>
          </w:p>
        </w:tc>
        <w:tc>
          <w:tcPr>
            <w:tcW w:w="1241" w:type="dxa"/>
            <w:tcBorders>
              <w:top w:val="single" w:sz="4" w:space="0" w:color="auto"/>
              <w:left w:val="nil"/>
              <w:bottom w:val="single" w:sz="4" w:space="0" w:color="auto"/>
              <w:right w:val="nil"/>
            </w:tcBorders>
            <w:shd w:val="clear" w:color="auto" w:fill="auto"/>
            <w:vAlign w:val="bottom"/>
          </w:tcPr>
          <w:p w14:paraId="174FFA8D" w14:textId="4767DBC2" w:rsidR="00CC17FF" w:rsidRPr="0067706A" w:rsidRDefault="00CC17FF" w:rsidP="00CC17FF">
            <w:pPr>
              <w:suppressAutoHyphens/>
              <w:autoSpaceDN w:val="0"/>
              <w:jc w:val="right"/>
              <w:rPr>
                <w:rFonts w:ascii="Arial" w:eastAsia="Calibri" w:hAnsi="Arial" w:cs="Arial"/>
                <w:bCs/>
                <w:i/>
                <w:iCs/>
                <w:color w:val="000000" w:themeColor="text1"/>
                <w:sz w:val="20"/>
                <w:szCs w:val="20"/>
              </w:rPr>
            </w:pPr>
            <w:r>
              <w:rPr>
                <w:rFonts w:ascii="Arial" w:eastAsia="Calibri" w:hAnsi="Arial" w:cs="Arial"/>
                <w:bCs/>
                <w:i/>
                <w:iCs/>
                <w:color w:val="000000" w:themeColor="text1"/>
                <w:sz w:val="20"/>
                <w:szCs w:val="20"/>
              </w:rPr>
              <w:t>881</w:t>
            </w:r>
          </w:p>
        </w:tc>
        <w:tc>
          <w:tcPr>
            <w:tcW w:w="1241" w:type="dxa"/>
            <w:tcBorders>
              <w:top w:val="single" w:sz="4" w:space="0" w:color="auto"/>
              <w:left w:val="nil"/>
              <w:bottom w:val="single" w:sz="4" w:space="0" w:color="auto"/>
              <w:right w:val="nil"/>
            </w:tcBorders>
            <w:shd w:val="clear" w:color="auto" w:fill="auto"/>
            <w:vAlign w:val="bottom"/>
          </w:tcPr>
          <w:p w14:paraId="724BA5F2" w14:textId="587797F4" w:rsidR="00CC17FF" w:rsidRPr="0067706A" w:rsidRDefault="00CC17FF" w:rsidP="00CC17FF">
            <w:pPr>
              <w:suppressAutoHyphens/>
              <w:autoSpaceDN w:val="0"/>
              <w:jc w:val="right"/>
              <w:rPr>
                <w:rFonts w:ascii="Arial" w:eastAsia="Calibri" w:hAnsi="Arial" w:cs="Arial"/>
                <w:i/>
                <w:iCs/>
                <w:color w:val="000000" w:themeColor="text1"/>
                <w:sz w:val="20"/>
                <w:szCs w:val="20"/>
              </w:rPr>
            </w:pPr>
            <w:r w:rsidRPr="00531CE5">
              <w:rPr>
                <w:rFonts w:ascii="Arial" w:eastAsia="Calibri" w:hAnsi="Arial" w:cs="Arial"/>
                <w:bCs/>
                <w:i/>
                <w:sz w:val="20"/>
                <w:szCs w:val="20"/>
              </w:rPr>
              <w:t>2.375</w:t>
            </w:r>
          </w:p>
        </w:tc>
        <w:tc>
          <w:tcPr>
            <w:tcW w:w="1241" w:type="dxa"/>
            <w:tcBorders>
              <w:top w:val="single" w:sz="4" w:space="0" w:color="auto"/>
              <w:left w:val="nil"/>
              <w:bottom w:val="single" w:sz="4" w:space="0" w:color="auto"/>
              <w:right w:val="nil"/>
            </w:tcBorders>
            <w:shd w:val="clear" w:color="auto" w:fill="auto"/>
            <w:vAlign w:val="bottom"/>
          </w:tcPr>
          <w:p w14:paraId="5B2A33FE" w14:textId="10A54678" w:rsidR="00CC17FF" w:rsidRPr="00EA554B" w:rsidRDefault="00CC17FF" w:rsidP="00CC17FF">
            <w:pPr>
              <w:suppressAutoHyphens/>
              <w:autoSpaceDN w:val="0"/>
              <w:jc w:val="right"/>
              <w:rPr>
                <w:rFonts w:ascii="Arial" w:eastAsia="Calibri" w:hAnsi="Arial" w:cs="Arial"/>
                <w:bCs/>
                <w:i/>
                <w:iCs/>
                <w:color w:val="000000" w:themeColor="text1"/>
                <w:sz w:val="20"/>
                <w:szCs w:val="20"/>
              </w:rPr>
            </w:pPr>
            <w:r>
              <w:rPr>
                <w:rFonts w:ascii="Arial" w:eastAsia="Calibri" w:hAnsi="Arial" w:cs="Arial"/>
                <w:bCs/>
                <w:i/>
                <w:iCs/>
                <w:color w:val="000000" w:themeColor="text1"/>
                <w:sz w:val="20"/>
                <w:szCs w:val="20"/>
              </w:rPr>
              <w:t>881</w:t>
            </w:r>
          </w:p>
        </w:tc>
        <w:tc>
          <w:tcPr>
            <w:tcW w:w="1241" w:type="dxa"/>
            <w:tcBorders>
              <w:top w:val="single" w:sz="4" w:space="0" w:color="auto"/>
              <w:left w:val="nil"/>
              <w:bottom w:val="single" w:sz="4" w:space="0" w:color="auto"/>
              <w:right w:val="nil"/>
            </w:tcBorders>
            <w:shd w:val="clear" w:color="auto" w:fill="auto"/>
            <w:vAlign w:val="bottom"/>
          </w:tcPr>
          <w:p w14:paraId="7D197382" w14:textId="7AB92F94" w:rsidR="00CC17FF" w:rsidRPr="00EA554B" w:rsidRDefault="00CC17FF" w:rsidP="00CC17FF">
            <w:pPr>
              <w:suppressAutoHyphens/>
              <w:autoSpaceDN w:val="0"/>
              <w:jc w:val="right"/>
              <w:rPr>
                <w:rFonts w:ascii="Arial" w:eastAsia="Calibri" w:hAnsi="Arial" w:cs="Arial"/>
                <w:i/>
                <w:iCs/>
                <w:color w:val="000000" w:themeColor="text1"/>
                <w:sz w:val="20"/>
                <w:szCs w:val="20"/>
              </w:rPr>
            </w:pPr>
            <w:r w:rsidRPr="00531CE5">
              <w:rPr>
                <w:rFonts w:ascii="Arial" w:eastAsia="Calibri" w:hAnsi="Arial" w:cs="Arial"/>
                <w:bCs/>
                <w:i/>
                <w:sz w:val="20"/>
                <w:szCs w:val="20"/>
              </w:rPr>
              <w:t>2.375</w:t>
            </w:r>
          </w:p>
        </w:tc>
      </w:tr>
      <w:tr w:rsidR="00CC17FF" w:rsidRPr="00EA554B" w14:paraId="1D308B24" w14:textId="77777777" w:rsidTr="00EA554B">
        <w:trPr>
          <w:trHeight w:val="392"/>
        </w:trPr>
        <w:tc>
          <w:tcPr>
            <w:tcW w:w="4260" w:type="dxa"/>
            <w:tcBorders>
              <w:top w:val="nil"/>
              <w:left w:val="nil"/>
              <w:bottom w:val="nil"/>
              <w:right w:val="nil"/>
            </w:tcBorders>
            <w:shd w:val="clear" w:color="auto" w:fill="auto"/>
            <w:vAlign w:val="bottom"/>
          </w:tcPr>
          <w:p w14:paraId="15C1024C" w14:textId="39BB6B97" w:rsidR="00CC17FF" w:rsidRPr="00EA554B" w:rsidRDefault="00CC17FF" w:rsidP="00CC17FF">
            <w:pPr>
              <w:suppressAutoHyphens/>
              <w:autoSpaceDN w:val="0"/>
              <w:rPr>
                <w:rFonts w:ascii="Arial" w:eastAsia="Calibri" w:hAnsi="Arial" w:cs="Arial"/>
                <w:iCs/>
                <w:color w:val="000000" w:themeColor="text1"/>
                <w:sz w:val="20"/>
                <w:szCs w:val="20"/>
              </w:rPr>
            </w:pPr>
            <w:r w:rsidRPr="00EA554B">
              <w:rPr>
                <w:rFonts w:ascii="Arial" w:eastAsia="Calibri" w:hAnsi="Arial" w:cs="Arial"/>
                <w:iCs/>
                <w:color w:val="000000" w:themeColor="text1"/>
                <w:sz w:val="20"/>
                <w:szCs w:val="20"/>
              </w:rPr>
              <w:t xml:space="preserve">Neto </w:t>
            </w:r>
            <w:r w:rsidR="00FA397B" w:rsidRPr="00EA554B">
              <w:rPr>
                <w:rFonts w:ascii="Arial" w:eastAsia="Calibri" w:hAnsi="Arial" w:cs="Arial"/>
                <w:iCs/>
                <w:color w:val="000000" w:themeColor="text1"/>
                <w:sz w:val="20"/>
                <w:szCs w:val="20"/>
              </w:rPr>
              <w:t>(</w:t>
            </w:r>
            <w:r w:rsidR="00FA397B" w:rsidRPr="00EA554B">
              <w:rPr>
                <w:rFonts w:ascii="Arial" w:eastAsia="Calibri" w:hAnsi="Arial" w:cs="Arial"/>
                <w:color w:val="000000" w:themeColor="text1"/>
                <w:sz w:val="20"/>
                <w:szCs w:val="20"/>
              </w:rPr>
              <w:t>smanjenje)</w:t>
            </w:r>
            <w:r w:rsidR="00FA397B">
              <w:rPr>
                <w:rFonts w:ascii="Arial" w:eastAsia="Calibri" w:hAnsi="Arial" w:cs="Arial"/>
                <w:color w:val="000000" w:themeColor="text1"/>
                <w:sz w:val="20"/>
                <w:szCs w:val="20"/>
              </w:rPr>
              <w:t>/</w:t>
            </w:r>
            <w:r w:rsidRPr="00EA554B">
              <w:rPr>
                <w:rFonts w:ascii="Arial" w:eastAsia="Calibri" w:hAnsi="Arial" w:cs="Arial"/>
                <w:iCs/>
                <w:color w:val="000000" w:themeColor="text1"/>
                <w:sz w:val="20"/>
                <w:szCs w:val="20"/>
              </w:rPr>
              <w:t>povećanje</w:t>
            </w:r>
            <w:r w:rsidR="00FA397B">
              <w:rPr>
                <w:rFonts w:ascii="Arial" w:eastAsia="Calibri" w:hAnsi="Arial" w:cs="Arial"/>
                <w:iCs/>
                <w:color w:val="000000" w:themeColor="text1"/>
                <w:sz w:val="20"/>
                <w:szCs w:val="20"/>
              </w:rPr>
              <w:t xml:space="preserve"> </w:t>
            </w:r>
            <w:r w:rsidRPr="00EA554B">
              <w:rPr>
                <w:rFonts w:ascii="Arial" w:eastAsia="Calibri" w:hAnsi="Arial" w:cs="Arial"/>
                <w:iCs/>
                <w:color w:val="000000" w:themeColor="text1"/>
                <w:sz w:val="20"/>
                <w:szCs w:val="20"/>
              </w:rPr>
              <w:t>rezerviranja za očekivane gubitke po preuzetim obvezama</w:t>
            </w:r>
          </w:p>
        </w:tc>
        <w:tc>
          <w:tcPr>
            <w:tcW w:w="1241" w:type="dxa"/>
            <w:tcBorders>
              <w:top w:val="single" w:sz="4" w:space="0" w:color="auto"/>
              <w:left w:val="nil"/>
              <w:bottom w:val="single" w:sz="4" w:space="0" w:color="auto"/>
              <w:right w:val="nil"/>
            </w:tcBorders>
            <w:shd w:val="clear" w:color="auto" w:fill="auto"/>
            <w:vAlign w:val="bottom"/>
          </w:tcPr>
          <w:p w14:paraId="2881DF66" w14:textId="76667B64" w:rsidR="00CC17FF" w:rsidRPr="00EA554B" w:rsidRDefault="00CC17FF" w:rsidP="00CC17FF">
            <w:pPr>
              <w:suppressAutoHyphens/>
              <w:autoSpaceDN w:val="0"/>
              <w:jc w:val="right"/>
              <w:rPr>
                <w:rFonts w:ascii="Arial" w:eastAsia="Calibri" w:hAnsi="Arial" w:cs="Arial"/>
                <w:bCs/>
                <w:color w:val="000000" w:themeColor="text1"/>
                <w:sz w:val="20"/>
                <w:szCs w:val="20"/>
              </w:rPr>
            </w:pPr>
            <w:r>
              <w:rPr>
                <w:rFonts w:ascii="Arial" w:eastAsia="Calibri" w:hAnsi="Arial" w:cs="Arial"/>
                <w:bCs/>
                <w:color w:val="000000" w:themeColor="text1"/>
                <w:sz w:val="20"/>
                <w:szCs w:val="20"/>
              </w:rPr>
              <w:t>(2.225)</w:t>
            </w:r>
          </w:p>
        </w:tc>
        <w:tc>
          <w:tcPr>
            <w:tcW w:w="1241" w:type="dxa"/>
            <w:tcBorders>
              <w:top w:val="single" w:sz="4" w:space="0" w:color="auto"/>
              <w:left w:val="nil"/>
              <w:bottom w:val="single" w:sz="4" w:space="0" w:color="auto"/>
              <w:right w:val="nil"/>
            </w:tcBorders>
            <w:shd w:val="clear" w:color="auto" w:fill="auto"/>
            <w:vAlign w:val="bottom"/>
          </w:tcPr>
          <w:p w14:paraId="196411F7" w14:textId="3CD5DE58" w:rsidR="00CC17FF" w:rsidRPr="00EA554B" w:rsidRDefault="00CC17FF" w:rsidP="00CC17FF">
            <w:pPr>
              <w:suppressAutoHyphens/>
              <w:autoSpaceDN w:val="0"/>
              <w:jc w:val="right"/>
              <w:rPr>
                <w:rFonts w:ascii="Arial" w:eastAsia="Calibri" w:hAnsi="Arial" w:cs="Arial"/>
                <w:color w:val="000000" w:themeColor="text1"/>
                <w:sz w:val="20"/>
                <w:szCs w:val="20"/>
              </w:rPr>
            </w:pPr>
            <w:r w:rsidRPr="00531CE5">
              <w:rPr>
                <w:rFonts w:ascii="Arial" w:eastAsia="Calibri" w:hAnsi="Arial" w:cs="Arial"/>
                <w:bCs/>
                <w:sz w:val="20"/>
                <w:szCs w:val="20"/>
              </w:rPr>
              <w:t>1.520</w:t>
            </w:r>
          </w:p>
        </w:tc>
        <w:tc>
          <w:tcPr>
            <w:tcW w:w="1241" w:type="dxa"/>
            <w:tcBorders>
              <w:top w:val="single" w:sz="4" w:space="0" w:color="auto"/>
              <w:left w:val="nil"/>
              <w:bottom w:val="single" w:sz="4" w:space="0" w:color="auto"/>
              <w:right w:val="nil"/>
            </w:tcBorders>
            <w:shd w:val="clear" w:color="auto" w:fill="auto"/>
            <w:vAlign w:val="bottom"/>
          </w:tcPr>
          <w:p w14:paraId="2F11F644" w14:textId="1C3824C1" w:rsidR="00CC17FF" w:rsidRPr="00EA554B" w:rsidRDefault="00CC17FF" w:rsidP="00CC17FF">
            <w:pPr>
              <w:suppressAutoHyphens/>
              <w:autoSpaceDN w:val="0"/>
              <w:jc w:val="right"/>
              <w:rPr>
                <w:rFonts w:ascii="Arial" w:eastAsia="Calibri" w:hAnsi="Arial" w:cs="Arial"/>
                <w:bCs/>
                <w:color w:val="000000" w:themeColor="text1"/>
                <w:sz w:val="20"/>
                <w:szCs w:val="20"/>
              </w:rPr>
            </w:pPr>
            <w:r>
              <w:rPr>
                <w:rFonts w:ascii="Arial" w:eastAsia="Calibri" w:hAnsi="Arial" w:cs="Arial"/>
                <w:bCs/>
                <w:color w:val="000000" w:themeColor="text1"/>
                <w:sz w:val="20"/>
                <w:szCs w:val="20"/>
              </w:rPr>
              <w:t>(2.225)</w:t>
            </w:r>
          </w:p>
        </w:tc>
        <w:tc>
          <w:tcPr>
            <w:tcW w:w="1241" w:type="dxa"/>
            <w:tcBorders>
              <w:top w:val="single" w:sz="4" w:space="0" w:color="auto"/>
              <w:left w:val="nil"/>
              <w:bottom w:val="single" w:sz="4" w:space="0" w:color="auto"/>
              <w:right w:val="nil"/>
            </w:tcBorders>
            <w:shd w:val="clear" w:color="auto" w:fill="auto"/>
            <w:vAlign w:val="bottom"/>
          </w:tcPr>
          <w:p w14:paraId="5F2157C2" w14:textId="529DE8FA" w:rsidR="00CC17FF" w:rsidRPr="00EA554B" w:rsidRDefault="00CC17FF" w:rsidP="00CC17FF">
            <w:pPr>
              <w:suppressAutoHyphens/>
              <w:autoSpaceDN w:val="0"/>
              <w:jc w:val="right"/>
              <w:rPr>
                <w:rFonts w:ascii="Arial" w:eastAsia="Calibri" w:hAnsi="Arial" w:cs="Arial"/>
                <w:color w:val="000000" w:themeColor="text1"/>
                <w:sz w:val="20"/>
                <w:szCs w:val="20"/>
              </w:rPr>
            </w:pPr>
            <w:r w:rsidRPr="00531CE5">
              <w:rPr>
                <w:rFonts w:ascii="Arial" w:eastAsia="Calibri" w:hAnsi="Arial" w:cs="Arial"/>
                <w:bCs/>
                <w:sz w:val="20"/>
                <w:szCs w:val="20"/>
              </w:rPr>
              <w:t>1.520</w:t>
            </w:r>
          </w:p>
        </w:tc>
      </w:tr>
      <w:tr w:rsidR="00CC17FF" w:rsidRPr="00EA554B" w14:paraId="51B9571B" w14:textId="77777777" w:rsidTr="00EA554B">
        <w:trPr>
          <w:trHeight w:val="392"/>
        </w:trPr>
        <w:tc>
          <w:tcPr>
            <w:tcW w:w="4260" w:type="dxa"/>
            <w:tcBorders>
              <w:top w:val="nil"/>
              <w:left w:val="nil"/>
              <w:bottom w:val="nil"/>
              <w:right w:val="nil"/>
            </w:tcBorders>
            <w:shd w:val="clear" w:color="auto" w:fill="auto"/>
            <w:vAlign w:val="bottom"/>
          </w:tcPr>
          <w:p w14:paraId="6A569980" w14:textId="169E5C9C" w:rsidR="00CC17FF" w:rsidRPr="00EA554B" w:rsidRDefault="00CC17FF" w:rsidP="00CC17FF">
            <w:pPr>
              <w:suppressAutoHyphens/>
              <w:autoSpaceDN w:val="0"/>
              <w:rPr>
                <w:rFonts w:ascii="Arial" w:eastAsia="Calibri" w:hAnsi="Arial" w:cs="Arial"/>
                <w:iCs/>
                <w:color w:val="000000" w:themeColor="text1"/>
                <w:sz w:val="20"/>
                <w:szCs w:val="20"/>
              </w:rPr>
            </w:pPr>
            <w:r w:rsidRPr="00EA554B">
              <w:rPr>
                <w:rFonts w:ascii="Arial" w:eastAsia="Calibri" w:hAnsi="Arial" w:cs="Arial"/>
                <w:i/>
                <w:iCs/>
                <w:color w:val="000000" w:themeColor="text1"/>
                <w:sz w:val="20"/>
                <w:szCs w:val="20"/>
              </w:rPr>
              <w:t>Ukupno kroz dobit ili gubitak (bilješka 8)</w:t>
            </w:r>
          </w:p>
        </w:tc>
        <w:tc>
          <w:tcPr>
            <w:tcW w:w="1241" w:type="dxa"/>
            <w:tcBorders>
              <w:top w:val="single" w:sz="4" w:space="0" w:color="auto"/>
              <w:left w:val="nil"/>
              <w:bottom w:val="single" w:sz="4" w:space="0" w:color="auto"/>
              <w:right w:val="nil"/>
            </w:tcBorders>
            <w:shd w:val="clear" w:color="auto" w:fill="auto"/>
            <w:vAlign w:val="bottom"/>
          </w:tcPr>
          <w:p w14:paraId="174BB0E6" w14:textId="5498925B" w:rsidR="00CC17FF" w:rsidRPr="0067706A" w:rsidRDefault="00CC17FF" w:rsidP="00CC17FF">
            <w:pPr>
              <w:suppressAutoHyphens/>
              <w:autoSpaceDN w:val="0"/>
              <w:jc w:val="right"/>
              <w:rPr>
                <w:rFonts w:ascii="Arial" w:eastAsia="Calibri" w:hAnsi="Arial" w:cs="Arial"/>
                <w:bCs/>
                <w:i/>
                <w:iCs/>
                <w:color w:val="000000" w:themeColor="text1"/>
                <w:sz w:val="20"/>
                <w:szCs w:val="20"/>
              </w:rPr>
            </w:pPr>
            <w:r>
              <w:rPr>
                <w:rFonts w:ascii="Arial" w:eastAsia="Calibri" w:hAnsi="Arial" w:cs="Arial"/>
                <w:bCs/>
                <w:i/>
                <w:iCs/>
                <w:color w:val="000000" w:themeColor="text1"/>
                <w:sz w:val="20"/>
                <w:szCs w:val="20"/>
              </w:rPr>
              <w:t>(2.225)</w:t>
            </w:r>
          </w:p>
        </w:tc>
        <w:tc>
          <w:tcPr>
            <w:tcW w:w="1241" w:type="dxa"/>
            <w:tcBorders>
              <w:top w:val="single" w:sz="4" w:space="0" w:color="auto"/>
              <w:left w:val="nil"/>
              <w:bottom w:val="single" w:sz="4" w:space="0" w:color="auto"/>
              <w:right w:val="nil"/>
            </w:tcBorders>
            <w:shd w:val="clear" w:color="auto" w:fill="auto"/>
            <w:vAlign w:val="bottom"/>
          </w:tcPr>
          <w:p w14:paraId="4DCE2286" w14:textId="1CED9CAF" w:rsidR="00CC17FF" w:rsidRPr="0067706A" w:rsidRDefault="00CC17FF" w:rsidP="00CC17FF">
            <w:pPr>
              <w:suppressAutoHyphens/>
              <w:autoSpaceDN w:val="0"/>
              <w:jc w:val="right"/>
              <w:rPr>
                <w:rFonts w:ascii="Arial" w:eastAsia="Calibri" w:hAnsi="Arial" w:cs="Arial"/>
                <w:i/>
                <w:iCs/>
                <w:color w:val="000000" w:themeColor="text1"/>
                <w:sz w:val="20"/>
                <w:szCs w:val="20"/>
              </w:rPr>
            </w:pPr>
            <w:r w:rsidRPr="00531CE5">
              <w:rPr>
                <w:rFonts w:ascii="Arial" w:eastAsia="Calibri" w:hAnsi="Arial" w:cs="Arial"/>
                <w:bCs/>
                <w:i/>
                <w:sz w:val="20"/>
                <w:szCs w:val="20"/>
              </w:rPr>
              <w:t>1.520</w:t>
            </w:r>
          </w:p>
        </w:tc>
        <w:tc>
          <w:tcPr>
            <w:tcW w:w="1241" w:type="dxa"/>
            <w:tcBorders>
              <w:top w:val="single" w:sz="4" w:space="0" w:color="auto"/>
              <w:left w:val="nil"/>
              <w:bottom w:val="single" w:sz="4" w:space="0" w:color="auto"/>
              <w:right w:val="nil"/>
            </w:tcBorders>
            <w:shd w:val="clear" w:color="auto" w:fill="auto"/>
            <w:vAlign w:val="bottom"/>
          </w:tcPr>
          <w:p w14:paraId="780F46A4" w14:textId="09FC6A9B" w:rsidR="00CC17FF" w:rsidRPr="00EA554B" w:rsidRDefault="00CC17FF" w:rsidP="00CC17FF">
            <w:pPr>
              <w:suppressAutoHyphens/>
              <w:autoSpaceDN w:val="0"/>
              <w:jc w:val="right"/>
              <w:rPr>
                <w:rFonts w:ascii="Arial" w:eastAsia="Calibri" w:hAnsi="Arial" w:cs="Arial"/>
                <w:bCs/>
                <w:i/>
                <w:iCs/>
                <w:color w:val="000000" w:themeColor="text1"/>
                <w:sz w:val="20"/>
                <w:szCs w:val="20"/>
              </w:rPr>
            </w:pPr>
            <w:r>
              <w:rPr>
                <w:rFonts w:ascii="Arial" w:eastAsia="Calibri" w:hAnsi="Arial" w:cs="Arial"/>
                <w:bCs/>
                <w:i/>
                <w:iCs/>
                <w:color w:val="000000" w:themeColor="text1"/>
                <w:sz w:val="20"/>
                <w:szCs w:val="20"/>
              </w:rPr>
              <w:t>(2.225)</w:t>
            </w:r>
          </w:p>
        </w:tc>
        <w:tc>
          <w:tcPr>
            <w:tcW w:w="1241" w:type="dxa"/>
            <w:tcBorders>
              <w:top w:val="single" w:sz="4" w:space="0" w:color="auto"/>
              <w:left w:val="nil"/>
              <w:bottom w:val="single" w:sz="4" w:space="0" w:color="auto"/>
              <w:right w:val="nil"/>
            </w:tcBorders>
            <w:shd w:val="clear" w:color="auto" w:fill="auto"/>
            <w:vAlign w:val="bottom"/>
          </w:tcPr>
          <w:p w14:paraId="7D160B38" w14:textId="7FB86FBE" w:rsidR="00CC17FF" w:rsidRPr="00EA554B" w:rsidRDefault="00CC17FF" w:rsidP="00CC17FF">
            <w:pPr>
              <w:suppressAutoHyphens/>
              <w:autoSpaceDN w:val="0"/>
              <w:jc w:val="right"/>
              <w:rPr>
                <w:rFonts w:ascii="Arial" w:eastAsia="Calibri" w:hAnsi="Arial" w:cs="Arial"/>
                <w:i/>
                <w:iCs/>
                <w:color w:val="000000" w:themeColor="text1"/>
                <w:sz w:val="20"/>
                <w:szCs w:val="20"/>
              </w:rPr>
            </w:pPr>
            <w:r w:rsidRPr="00531CE5">
              <w:rPr>
                <w:rFonts w:ascii="Arial" w:eastAsia="Calibri" w:hAnsi="Arial" w:cs="Arial"/>
                <w:bCs/>
                <w:i/>
                <w:sz w:val="20"/>
                <w:szCs w:val="20"/>
              </w:rPr>
              <w:t>1.520</w:t>
            </w:r>
          </w:p>
        </w:tc>
      </w:tr>
      <w:tr w:rsidR="00CC17FF" w:rsidRPr="00EA554B" w14:paraId="087D2A43" w14:textId="77777777" w:rsidTr="00713C54">
        <w:trPr>
          <w:trHeight w:val="392"/>
        </w:trPr>
        <w:tc>
          <w:tcPr>
            <w:tcW w:w="4260" w:type="dxa"/>
            <w:tcBorders>
              <w:top w:val="nil"/>
              <w:left w:val="nil"/>
              <w:bottom w:val="nil"/>
              <w:right w:val="nil"/>
            </w:tcBorders>
            <w:shd w:val="clear" w:color="auto" w:fill="auto"/>
            <w:vAlign w:val="bottom"/>
          </w:tcPr>
          <w:p w14:paraId="4E4F9913" w14:textId="77777777" w:rsidR="00CC17FF" w:rsidRPr="00EA554B" w:rsidRDefault="00CC17FF" w:rsidP="00CC17FF">
            <w:pPr>
              <w:suppressAutoHyphens/>
              <w:autoSpaceDN w:val="0"/>
              <w:rPr>
                <w:rFonts w:ascii="Arial" w:eastAsia="Calibri" w:hAnsi="Arial" w:cs="Arial"/>
                <w:color w:val="000000" w:themeColor="text1"/>
                <w:sz w:val="20"/>
                <w:szCs w:val="20"/>
              </w:rPr>
            </w:pPr>
            <w:r w:rsidRPr="00EA554B">
              <w:rPr>
                <w:rFonts w:ascii="Arial" w:eastAsia="Calibri" w:hAnsi="Arial" w:cs="Arial"/>
                <w:color w:val="000000" w:themeColor="text1"/>
                <w:sz w:val="20"/>
                <w:szCs w:val="20"/>
              </w:rPr>
              <w:t>Neto tečajne razlike po rezerviranjima za očekivane gubitke</w:t>
            </w:r>
          </w:p>
        </w:tc>
        <w:tc>
          <w:tcPr>
            <w:tcW w:w="1241" w:type="dxa"/>
            <w:tcBorders>
              <w:top w:val="single" w:sz="4" w:space="0" w:color="auto"/>
              <w:left w:val="nil"/>
              <w:bottom w:val="single" w:sz="4" w:space="0" w:color="auto"/>
              <w:right w:val="nil"/>
            </w:tcBorders>
            <w:shd w:val="clear" w:color="auto" w:fill="auto"/>
            <w:vAlign w:val="bottom"/>
          </w:tcPr>
          <w:p w14:paraId="5EB047D1" w14:textId="7C337D9A" w:rsidR="00CC17FF" w:rsidRPr="00EA554B" w:rsidRDefault="00CC17FF" w:rsidP="00CC17FF">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(89)</w:t>
            </w:r>
          </w:p>
        </w:tc>
        <w:tc>
          <w:tcPr>
            <w:tcW w:w="1241" w:type="dxa"/>
            <w:tcBorders>
              <w:top w:val="single" w:sz="4" w:space="0" w:color="auto"/>
              <w:left w:val="nil"/>
              <w:bottom w:val="single" w:sz="4" w:space="0" w:color="auto"/>
              <w:right w:val="nil"/>
            </w:tcBorders>
            <w:shd w:val="clear" w:color="auto" w:fill="auto"/>
            <w:vAlign w:val="bottom"/>
          </w:tcPr>
          <w:p w14:paraId="2BBFF591" w14:textId="464A5753" w:rsidR="00CC17FF" w:rsidRPr="00EA554B" w:rsidRDefault="00CC17FF" w:rsidP="00CC17FF">
            <w:pPr>
              <w:suppressAutoHyphens/>
              <w:autoSpaceDN w:val="0"/>
              <w:jc w:val="right"/>
              <w:rPr>
                <w:rFonts w:ascii="Arial" w:eastAsia="Calibri" w:hAnsi="Arial" w:cs="Arial"/>
                <w:color w:val="000000" w:themeColor="text1"/>
                <w:sz w:val="20"/>
                <w:szCs w:val="20"/>
              </w:rPr>
            </w:pPr>
            <w:r w:rsidRPr="00531CE5">
              <w:rPr>
                <w:rFonts w:ascii="Arial" w:eastAsia="Calibri" w:hAnsi="Arial" w:cs="Arial"/>
                <w:sz w:val="20"/>
                <w:szCs w:val="20"/>
              </w:rPr>
              <w:t>2</w:t>
            </w:r>
            <w:r>
              <w:rPr>
                <w:rFonts w:ascii="Arial" w:eastAsia="Calibri" w:hAnsi="Arial" w:cs="Arial"/>
                <w:sz w:val="20"/>
                <w:szCs w:val="20"/>
              </w:rPr>
              <w:t>8</w:t>
            </w:r>
          </w:p>
        </w:tc>
        <w:tc>
          <w:tcPr>
            <w:tcW w:w="1241" w:type="dxa"/>
            <w:tcBorders>
              <w:top w:val="single" w:sz="4" w:space="0" w:color="auto"/>
              <w:left w:val="nil"/>
              <w:bottom w:val="single" w:sz="4" w:space="0" w:color="auto"/>
              <w:right w:val="nil"/>
            </w:tcBorders>
            <w:shd w:val="clear" w:color="auto" w:fill="auto"/>
            <w:vAlign w:val="bottom"/>
          </w:tcPr>
          <w:p w14:paraId="7E3C90F1" w14:textId="79F0B73E" w:rsidR="00CC17FF" w:rsidRPr="00EA554B" w:rsidRDefault="00CC17FF" w:rsidP="00CC17FF">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(89)</w:t>
            </w:r>
          </w:p>
        </w:tc>
        <w:tc>
          <w:tcPr>
            <w:tcW w:w="1241" w:type="dxa"/>
            <w:tcBorders>
              <w:top w:val="single" w:sz="4" w:space="0" w:color="auto"/>
              <w:left w:val="nil"/>
              <w:bottom w:val="single" w:sz="4" w:space="0" w:color="auto"/>
              <w:right w:val="nil"/>
            </w:tcBorders>
            <w:shd w:val="clear" w:color="auto" w:fill="auto"/>
            <w:vAlign w:val="bottom"/>
          </w:tcPr>
          <w:p w14:paraId="74916283" w14:textId="636E83C9" w:rsidR="00CC17FF" w:rsidRPr="00EA554B" w:rsidRDefault="00CC17FF" w:rsidP="00CC17FF">
            <w:pPr>
              <w:suppressAutoHyphens/>
              <w:autoSpaceDN w:val="0"/>
              <w:jc w:val="right"/>
              <w:rPr>
                <w:rFonts w:ascii="Arial" w:eastAsia="Calibri" w:hAnsi="Arial" w:cs="Arial"/>
                <w:color w:val="000000" w:themeColor="text1"/>
                <w:sz w:val="20"/>
                <w:szCs w:val="20"/>
              </w:rPr>
            </w:pPr>
            <w:r w:rsidRPr="00531CE5">
              <w:rPr>
                <w:rFonts w:ascii="Arial" w:eastAsia="Calibri" w:hAnsi="Arial" w:cs="Arial"/>
                <w:sz w:val="20"/>
                <w:szCs w:val="20"/>
              </w:rPr>
              <w:t>2</w:t>
            </w:r>
            <w:r>
              <w:rPr>
                <w:rFonts w:ascii="Arial" w:eastAsia="Calibri" w:hAnsi="Arial" w:cs="Arial"/>
                <w:sz w:val="20"/>
                <w:szCs w:val="20"/>
              </w:rPr>
              <w:t>8</w:t>
            </w:r>
          </w:p>
        </w:tc>
      </w:tr>
      <w:tr w:rsidR="00CC17FF" w:rsidRPr="00EA554B" w14:paraId="5C886DD5" w14:textId="77777777" w:rsidTr="00713C54">
        <w:trPr>
          <w:trHeight w:val="392"/>
        </w:trPr>
        <w:tc>
          <w:tcPr>
            <w:tcW w:w="4260" w:type="dxa"/>
            <w:tcBorders>
              <w:top w:val="nil"/>
              <w:left w:val="nil"/>
              <w:bottom w:val="nil"/>
              <w:right w:val="nil"/>
            </w:tcBorders>
            <w:shd w:val="clear" w:color="auto" w:fill="auto"/>
            <w:vAlign w:val="bottom"/>
          </w:tcPr>
          <w:p w14:paraId="44CB0AC1" w14:textId="77777777" w:rsidR="00CC17FF" w:rsidRPr="00EA554B" w:rsidRDefault="00CC17FF" w:rsidP="00CC17FF">
            <w:pPr>
              <w:suppressAutoHyphens/>
              <w:autoSpaceDN w:val="0"/>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Stanje na kraju izvještajnog razdoblja – Rezerviranja za garancije i preuzete obveze</w:t>
            </w:r>
          </w:p>
        </w:tc>
        <w:tc>
          <w:tcPr>
            <w:tcW w:w="1241" w:type="dxa"/>
            <w:tcBorders>
              <w:top w:val="single" w:sz="4" w:space="0" w:color="auto"/>
              <w:left w:val="nil"/>
              <w:bottom w:val="single" w:sz="12" w:space="0" w:color="auto"/>
              <w:right w:val="nil"/>
            </w:tcBorders>
            <w:shd w:val="clear" w:color="auto" w:fill="auto"/>
            <w:noWrap/>
            <w:vAlign w:val="bottom"/>
          </w:tcPr>
          <w:p w14:paraId="3C6873B7" w14:textId="5E668743" w:rsidR="00CC17FF" w:rsidRPr="004A2725" w:rsidRDefault="00CC17FF" w:rsidP="00CC17FF">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13.204</w:t>
            </w:r>
          </w:p>
        </w:tc>
        <w:tc>
          <w:tcPr>
            <w:tcW w:w="1241" w:type="dxa"/>
            <w:tcBorders>
              <w:top w:val="single" w:sz="4" w:space="0" w:color="auto"/>
              <w:left w:val="nil"/>
              <w:bottom w:val="single" w:sz="12" w:space="0" w:color="auto"/>
              <w:right w:val="nil"/>
            </w:tcBorders>
            <w:shd w:val="clear" w:color="auto" w:fill="auto"/>
            <w:vAlign w:val="bottom"/>
          </w:tcPr>
          <w:p w14:paraId="0E2C1903" w14:textId="315E6419" w:rsidR="00CC17FF" w:rsidRPr="004A2725" w:rsidRDefault="00CC17FF" w:rsidP="00CC17FF">
            <w:pPr>
              <w:suppressAutoHyphens/>
              <w:autoSpaceDN w:val="0"/>
              <w:jc w:val="right"/>
              <w:rPr>
                <w:rFonts w:ascii="Arial" w:eastAsia="Calibri" w:hAnsi="Arial" w:cs="Arial"/>
                <w:b/>
                <w:bCs/>
                <w:color w:val="000000" w:themeColor="text1"/>
                <w:sz w:val="20"/>
                <w:szCs w:val="20"/>
              </w:rPr>
            </w:pPr>
            <w:r w:rsidRPr="00531CE5">
              <w:rPr>
                <w:rFonts w:ascii="Arial" w:eastAsia="Calibri" w:hAnsi="Arial" w:cs="Arial"/>
                <w:b/>
                <w:sz w:val="20"/>
                <w:szCs w:val="20"/>
              </w:rPr>
              <w:t>14.637</w:t>
            </w:r>
          </w:p>
        </w:tc>
        <w:tc>
          <w:tcPr>
            <w:tcW w:w="1241" w:type="dxa"/>
            <w:tcBorders>
              <w:top w:val="single" w:sz="4" w:space="0" w:color="auto"/>
              <w:left w:val="nil"/>
              <w:bottom w:val="single" w:sz="12" w:space="0" w:color="auto"/>
              <w:right w:val="nil"/>
            </w:tcBorders>
            <w:shd w:val="clear" w:color="auto" w:fill="auto"/>
            <w:vAlign w:val="bottom"/>
          </w:tcPr>
          <w:p w14:paraId="4CC84049" w14:textId="1E03EBA6" w:rsidR="00CC17FF" w:rsidRPr="00EA554B" w:rsidRDefault="00CC17FF" w:rsidP="00CC17FF">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13.204</w:t>
            </w:r>
          </w:p>
        </w:tc>
        <w:tc>
          <w:tcPr>
            <w:tcW w:w="1241" w:type="dxa"/>
            <w:tcBorders>
              <w:top w:val="single" w:sz="4" w:space="0" w:color="auto"/>
              <w:left w:val="nil"/>
              <w:bottom w:val="single" w:sz="12" w:space="0" w:color="auto"/>
              <w:right w:val="nil"/>
            </w:tcBorders>
            <w:shd w:val="clear" w:color="auto" w:fill="auto"/>
            <w:vAlign w:val="bottom"/>
          </w:tcPr>
          <w:p w14:paraId="39571333" w14:textId="411B50D3" w:rsidR="00CC17FF" w:rsidRPr="00EA554B" w:rsidRDefault="00CC17FF" w:rsidP="00CC17FF">
            <w:pPr>
              <w:suppressAutoHyphens/>
              <w:autoSpaceDN w:val="0"/>
              <w:jc w:val="right"/>
              <w:rPr>
                <w:rFonts w:ascii="Arial" w:eastAsia="Calibri" w:hAnsi="Arial" w:cs="Arial"/>
                <w:b/>
                <w:bCs/>
                <w:color w:val="000000" w:themeColor="text1"/>
                <w:sz w:val="20"/>
                <w:szCs w:val="20"/>
              </w:rPr>
            </w:pPr>
            <w:r w:rsidRPr="00531CE5">
              <w:rPr>
                <w:rFonts w:ascii="Arial" w:eastAsia="Calibri" w:hAnsi="Arial" w:cs="Arial"/>
                <w:b/>
                <w:sz w:val="20"/>
                <w:szCs w:val="20"/>
              </w:rPr>
              <w:t>14.637</w:t>
            </w:r>
          </w:p>
        </w:tc>
      </w:tr>
      <w:tr w:rsidR="00CC17FF" w:rsidRPr="00EA554B" w14:paraId="7418C048" w14:textId="77777777" w:rsidTr="00E56D77">
        <w:trPr>
          <w:trHeight w:val="392"/>
        </w:trPr>
        <w:tc>
          <w:tcPr>
            <w:tcW w:w="4260" w:type="dxa"/>
            <w:tcBorders>
              <w:top w:val="nil"/>
              <w:left w:val="nil"/>
              <w:bottom w:val="nil"/>
              <w:right w:val="nil"/>
            </w:tcBorders>
            <w:shd w:val="clear" w:color="auto" w:fill="auto"/>
            <w:vAlign w:val="bottom"/>
          </w:tcPr>
          <w:p w14:paraId="78EA6A34" w14:textId="77777777" w:rsidR="00CC17FF" w:rsidRPr="00EA554B" w:rsidRDefault="00CC17FF" w:rsidP="00CC17FF">
            <w:pPr>
              <w:suppressAutoHyphens/>
              <w:autoSpaceDN w:val="0"/>
              <w:rPr>
                <w:rFonts w:ascii="Arial" w:eastAsia="Calibri" w:hAnsi="Arial" w:cs="Arial"/>
                <w:color w:val="000000" w:themeColor="text1"/>
                <w:sz w:val="20"/>
                <w:szCs w:val="20"/>
              </w:rPr>
            </w:pPr>
            <w:r w:rsidRPr="00EA554B">
              <w:rPr>
                <w:rFonts w:ascii="Arial" w:eastAsia="Calibri" w:hAnsi="Arial" w:cs="Arial"/>
                <w:color w:val="000000" w:themeColor="text1"/>
                <w:sz w:val="20"/>
                <w:szCs w:val="20"/>
              </w:rPr>
              <w:t>Stanje 1. siječnja</w:t>
            </w:r>
          </w:p>
        </w:tc>
        <w:tc>
          <w:tcPr>
            <w:tcW w:w="1241" w:type="dxa"/>
            <w:tcBorders>
              <w:top w:val="single" w:sz="12" w:space="0" w:color="auto"/>
              <w:left w:val="nil"/>
              <w:right w:val="nil"/>
            </w:tcBorders>
            <w:shd w:val="clear" w:color="auto" w:fill="auto"/>
            <w:noWrap/>
            <w:vAlign w:val="bottom"/>
          </w:tcPr>
          <w:p w14:paraId="53F94753" w14:textId="46411885" w:rsidR="00CC17FF" w:rsidRPr="00EA0DC2" w:rsidRDefault="00276EFF" w:rsidP="00CC17FF">
            <w:pPr>
              <w:suppressAutoHyphens/>
              <w:autoSpaceDN w:val="0"/>
              <w:jc w:val="right"/>
              <w:rPr>
                <w:rFonts w:ascii="Arial" w:eastAsia="Calibri" w:hAnsi="Arial" w:cs="Arial"/>
                <w:color w:val="000000" w:themeColor="text1"/>
                <w:sz w:val="20"/>
                <w:szCs w:val="20"/>
              </w:rPr>
            </w:pPr>
            <w:r w:rsidRPr="00EA0DC2">
              <w:rPr>
                <w:rFonts w:ascii="Arial" w:eastAsia="Calibri" w:hAnsi="Arial" w:cs="Arial"/>
                <w:color w:val="000000" w:themeColor="text1"/>
                <w:sz w:val="20"/>
                <w:szCs w:val="20"/>
              </w:rPr>
              <w:t>9.745</w:t>
            </w:r>
          </w:p>
        </w:tc>
        <w:tc>
          <w:tcPr>
            <w:tcW w:w="1241" w:type="dxa"/>
            <w:tcBorders>
              <w:top w:val="single" w:sz="12" w:space="0" w:color="auto"/>
              <w:left w:val="nil"/>
              <w:right w:val="nil"/>
            </w:tcBorders>
            <w:shd w:val="clear" w:color="auto" w:fill="auto"/>
            <w:vAlign w:val="bottom"/>
          </w:tcPr>
          <w:p w14:paraId="1D320D80" w14:textId="25FD0E52" w:rsidR="00CC17FF" w:rsidRPr="00EA554B" w:rsidRDefault="00CC17FF" w:rsidP="00CC17FF">
            <w:pPr>
              <w:suppressAutoHyphens/>
              <w:autoSpaceDN w:val="0"/>
              <w:jc w:val="right"/>
              <w:rPr>
                <w:rFonts w:ascii="Arial" w:eastAsia="Calibri" w:hAnsi="Arial" w:cs="Arial"/>
                <w:color w:val="000000" w:themeColor="text1"/>
                <w:sz w:val="20"/>
                <w:szCs w:val="20"/>
              </w:rPr>
            </w:pPr>
            <w:r w:rsidRPr="00531CE5">
              <w:rPr>
                <w:rFonts w:ascii="Arial" w:eastAsia="Calibri" w:hAnsi="Arial" w:cs="Arial"/>
                <w:sz w:val="20"/>
                <w:szCs w:val="20"/>
              </w:rPr>
              <w:t>8.22</w:t>
            </w:r>
            <w:r>
              <w:rPr>
                <w:rFonts w:ascii="Arial" w:eastAsia="Calibri" w:hAnsi="Arial" w:cs="Arial"/>
                <w:sz w:val="20"/>
                <w:szCs w:val="20"/>
              </w:rPr>
              <w:t>7</w:t>
            </w:r>
          </w:p>
        </w:tc>
        <w:tc>
          <w:tcPr>
            <w:tcW w:w="1241" w:type="dxa"/>
            <w:tcBorders>
              <w:top w:val="single" w:sz="12" w:space="0" w:color="auto"/>
              <w:left w:val="nil"/>
              <w:right w:val="nil"/>
            </w:tcBorders>
            <w:shd w:val="clear" w:color="auto" w:fill="auto"/>
            <w:vAlign w:val="bottom"/>
          </w:tcPr>
          <w:p w14:paraId="243CB2E1" w14:textId="435FF9E6" w:rsidR="00CC17FF" w:rsidRPr="00EA554B" w:rsidRDefault="00CC17FF" w:rsidP="00CC17FF">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9.743</w:t>
            </w:r>
          </w:p>
        </w:tc>
        <w:tc>
          <w:tcPr>
            <w:tcW w:w="1241" w:type="dxa"/>
            <w:tcBorders>
              <w:top w:val="single" w:sz="12" w:space="0" w:color="auto"/>
              <w:left w:val="nil"/>
              <w:right w:val="nil"/>
            </w:tcBorders>
            <w:shd w:val="clear" w:color="auto" w:fill="auto"/>
            <w:vAlign w:val="bottom"/>
          </w:tcPr>
          <w:p w14:paraId="47A7313D" w14:textId="3ED758A3" w:rsidR="00CC17FF" w:rsidRPr="00EA554B" w:rsidRDefault="00CC17FF" w:rsidP="00CC17FF">
            <w:pPr>
              <w:suppressAutoHyphens/>
              <w:autoSpaceDN w:val="0"/>
              <w:jc w:val="right"/>
              <w:rPr>
                <w:rFonts w:ascii="Arial" w:eastAsia="Calibri" w:hAnsi="Arial" w:cs="Arial"/>
                <w:color w:val="000000" w:themeColor="text1"/>
                <w:sz w:val="20"/>
                <w:szCs w:val="20"/>
              </w:rPr>
            </w:pPr>
            <w:r w:rsidRPr="00531CE5">
              <w:rPr>
                <w:rFonts w:ascii="Arial" w:eastAsia="Calibri" w:hAnsi="Arial" w:cs="Arial"/>
                <w:sz w:val="20"/>
                <w:szCs w:val="20"/>
              </w:rPr>
              <w:t>8.222</w:t>
            </w:r>
          </w:p>
        </w:tc>
      </w:tr>
      <w:tr w:rsidR="0089459E" w:rsidRPr="00EA554B" w14:paraId="678A6C8B" w14:textId="77777777" w:rsidTr="00E56D77">
        <w:trPr>
          <w:trHeight w:val="392"/>
        </w:trPr>
        <w:tc>
          <w:tcPr>
            <w:tcW w:w="4260" w:type="dxa"/>
            <w:tcBorders>
              <w:top w:val="nil"/>
              <w:left w:val="nil"/>
              <w:bottom w:val="nil"/>
              <w:right w:val="nil"/>
            </w:tcBorders>
            <w:shd w:val="clear" w:color="auto" w:fill="auto"/>
            <w:vAlign w:val="bottom"/>
          </w:tcPr>
          <w:p w14:paraId="7495832A" w14:textId="13F0C13F" w:rsidR="0089459E" w:rsidRPr="00EA554B" w:rsidRDefault="0089459E" w:rsidP="0089459E">
            <w:pPr>
              <w:suppressAutoHyphens/>
              <w:autoSpaceDN w:val="0"/>
              <w:rPr>
                <w:rFonts w:ascii="Arial" w:eastAsia="Calibri" w:hAnsi="Arial" w:cs="Arial"/>
                <w:color w:val="000000" w:themeColor="text1"/>
                <w:sz w:val="20"/>
                <w:szCs w:val="20"/>
              </w:rPr>
            </w:pPr>
            <w:r w:rsidRPr="00EA554B">
              <w:rPr>
                <w:rFonts w:ascii="Arial" w:eastAsia="Calibri" w:hAnsi="Arial" w:cs="Arial"/>
                <w:color w:val="000000" w:themeColor="text1"/>
                <w:sz w:val="20"/>
                <w:szCs w:val="20"/>
              </w:rPr>
              <w:t>Neto (smanjenje)/povećanje rezerviranja za očekivane gubitke po ostalim obvezama</w:t>
            </w:r>
          </w:p>
        </w:tc>
        <w:tc>
          <w:tcPr>
            <w:tcW w:w="1241" w:type="dxa"/>
            <w:tcBorders>
              <w:left w:val="nil"/>
              <w:bottom w:val="single" w:sz="4" w:space="0" w:color="auto"/>
              <w:right w:val="nil"/>
            </w:tcBorders>
            <w:shd w:val="clear" w:color="auto" w:fill="auto"/>
            <w:noWrap/>
            <w:vAlign w:val="bottom"/>
          </w:tcPr>
          <w:p w14:paraId="26D5C996" w14:textId="1D97DF8A" w:rsidR="0089459E" w:rsidRPr="00EA554B" w:rsidRDefault="0089459E" w:rsidP="0089459E">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(1.114)</w:t>
            </w:r>
          </w:p>
        </w:tc>
        <w:tc>
          <w:tcPr>
            <w:tcW w:w="1241" w:type="dxa"/>
            <w:tcBorders>
              <w:left w:val="nil"/>
              <w:bottom w:val="single" w:sz="4" w:space="0" w:color="auto"/>
              <w:right w:val="nil"/>
            </w:tcBorders>
            <w:shd w:val="clear" w:color="auto" w:fill="auto"/>
            <w:vAlign w:val="bottom"/>
          </w:tcPr>
          <w:p w14:paraId="72A3458C" w14:textId="461482F5" w:rsidR="0089459E" w:rsidRPr="00EA554B" w:rsidRDefault="0089459E" w:rsidP="0089459E">
            <w:pPr>
              <w:suppressAutoHyphens/>
              <w:autoSpaceDN w:val="0"/>
              <w:jc w:val="right"/>
              <w:rPr>
                <w:rFonts w:ascii="Arial" w:eastAsia="Calibri" w:hAnsi="Arial" w:cs="Arial"/>
                <w:color w:val="000000" w:themeColor="text1"/>
                <w:sz w:val="20"/>
                <w:szCs w:val="20"/>
              </w:rPr>
            </w:pPr>
            <w:r>
              <w:rPr>
                <w:rFonts w:ascii="Arial" w:eastAsia="Calibri" w:hAnsi="Arial" w:cs="Arial"/>
                <w:sz w:val="20"/>
                <w:szCs w:val="20"/>
              </w:rPr>
              <w:t>71</w:t>
            </w:r>
          </w:p>
        </w:tc>
        <w:tc>
          <w:tcPr>
            <w:tcW w:w="1241" w:type="dxa"/>
            <w:tcBorders>
              <w:left w:val="nil"/>
              <w:bottom w:val="single" w:sz="4" w:space="0" w:color="auto"/>
              <w:right w:val="nil"/>
            </w:tcBorders>
            <w:shd w:val="clear" w:color="auto" w:fill="auto"/>
            <w:vAlign w:val="bottom"/>
          </w:tcPr>
          <w:p w14:paraId="7CB005B0" w14:textId="2FA51D47" w:rsidR="0089459E" w:rsidRPr="00EA554B" w:rsidRDefault="0089459E" w:rsidP="0089459E">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(1.114)</w:t>
            </w:r>
          </w:p>
        </w:tc>
        <w:tc>
          <w:tcPr>
            <w:tcW w:w="1241" w:type="dxa"/>
            <w:tcBorders>
              <w:left w:val="nil"/>
              <w:bottom w:val="single" w:sz="4" w:space="0" w:color="auto"/>
              <w:right w:val="nil"/>
            </w:tcBorders>
            <w:shd w:val="clear" w:color="auto" w:fill="auto"/>
            <w:vAlign w:val="bottom"/>
          </w:tcPr>
          <w:p w14:paraId="07D73EA1" w14:textId="7B666B4C" w:rsidR="0089459E" w:rsidRPr="00EA554B" w:rsidRDefault="0089459E" w:rsidP="0089459E">
            <w:pPr>
              <w:suppressAutoHyphens/>
              <w:autoSpaceDN w:val="0"/>
              <w:jc w:val="right"/>
              <w:rPr>
                <w:rFonts w:ascii="Arial" w:eastAsia="Calibri" w:hAnsi="Arial" w:cs="Arial"/>
                <w:color w:val="000000" w:themeColor="text1"/>
                <w:sz w:val="20"/>
                <w:szCs w:val="20"/>
              </w:rPr>
            </w:pPr>
            <w:r>
              <w:rPr>
                <w:rFonts w:ascii="Arial" w:eastAsia="Calibri" w:hAnsi="Arial" w:cs="Arial"/>
                <w:sz w:val="20"/>
                <w:szCs w:val="20"/>
              </w:rPr>
              <w:t>71</w:t>
            </w:r>
          </w:p>
        </w:tc>
      </w:tr>
      <w:tr w:rsidR="0089459E" w:rsidRPr="00EA554B" w14:paraId="7EDBA7AB" w14:textId="77777777" w:rsidTr="005D1219">
        <w:trPr>
          <w:trHeight w:val="392"/>
        </w:trPr>
        <w:tc>
          <w:tcPr>
            <w:tcW w:w="4260" w:type="dxa"/>
            <w:tcBorders>
              <w:top w:val="nil"/>
              <w:left w:val="nil"/>
              <w:bottom w:val="nil"/>
              <w:right w:val="nil"/>
            </w:tcBorders>
            <w:shd w:val="clear" w:color="auto" w:fill="auto"/>
            <w:vAlign w:val="bottom"/>
          </w:tcPr>
          <w:p w14:paraId="44730A54" w14:textId="21489069" w:rsidR="0089459E" w:rsidRPr="00EA554B" w:rsidRDefault="0089459E" w:rsidP="0089459E">
            <w:pPr>
              <w:suppressAutoHyphens/>
              <w:autoSpaceDN w:val="0"/>
              <w:rPr>
                <w:rFonts w:ascii="Arial" w:eastAsia="Calibri" w:hAnsi="Arial" w:cs="Arial"/>
                <w:i/>
                <w:iCs/>
                <w:color w:val="000000" w:themeColor="text1"/>
                <w:sz w:val="20"/>
                <w:szCs w:val="20"/>
              </w:rPr>
            </w:pPr>
            <w:r w:rsidRPr="00EA554B">
              <w:rPr>
                <w:rFonts w:ascii="Arial" w:eastAsia="Calibri" w:hAnsi="Arial" w:cs="Arial"/>
                <w:i/>
                <w:iCs/>
                <w:color w:val="000000" w:themeColor="text1"/>
                <w:sz w:val="20"/>
                <w:szCs w:val="20"/>
              </w:rPr>
              <w:t>Ukupno kroz dobit ili gubitak (bilješka 8)</w:t>
            </w:r>
          </w:p>
        </w:tc>
        <w:tc>
          <w:tcPr>
            <w:tcW w:w="1241" w:type="dxa"/>
            <w:tcBorders>
              <w:top w:val="single" w:sz="4" w:space="0" w:color="auto"/>
              <w:left w:val="nil"/>
              <w:bottom w:val="single" w:sz="4" w:space="0" w:color="auto"/>
              <w:right w:val="nil"/>
            </w:tcBorders>
            <w:shd w:val="clear" w:color="auto" w:fill="auto"/>
            <w:noWrap/>
            <w:vAlign w:val="bottom"/>
          </w:tcPr>
          <w:p w14:paraId="0C601FB2" w14:textId="666778B0" w:rsidR="0089459E" w:rsidRPr="0067706A" w:rsidRDefault="0089459E" w:rsidP="0089459E">
            <w:pPr>
              <w:suppressAutoHyphens/>
              <w:autoSpaceDN w:val="0"/>
              <w:jc w:val="right"/>
              <w:rPr>
                <w:rFonts w:ascii="Arial" w:eastAsia="Calibri" w:hAnsi="Arial" w:cs="Arial"/>
                <w:i/>
                <w:iCs/>
                <w:color w:val="000000" w:themeColor="text1"/>
                <w:sz w:val="20"/>
                <w:szCs w:val="20"/>
              </w:rPr>
            </w:pPr>
            <w:r>
              <w:rPr>
                <w:rFonts w:ascii="Arial" w:eastAsia="Calibri" w:hAnsi="Arial" w:cs="Arial"/>
                <w:i/>
                <w:iCs/>
                <w:color w:val="000000" w:themeColor="text1"/>
                <w:sz w:val="20"/>
                <w:szCs w:val="20"/>
              </w:rPr>
              <w:t>(1.114)</w:t>
            </w:r>
          </w:p>
        </w:tc>
        <w:tc>
          <w:tcPr>
            <w:tcW w:w="1241" w:type="dxa"/>
            <w:tcBorders>
              <w:top w:val="single" w:sz="4" w:space="0" w:color="auto"/>
              <w:left w:val="nil"/>
              <w:bottom w:val="single" w:sz="4" w:space="0" w:color="auto"/>
              <w:right w:val="nil"/>
            </w:tcBorders>
            <w:shd w:val="clear" w:color="auto" w:fill="auto"/>
            <w:vAlign w:val="bottom"/>
          </w:tcPr>
          <w:p w14:paraId="5EACA7B5" w14:textId="7F189858" w:rsidR="0089459E" w:rsidRPr="0067706A" w:rsidRDefault="0089459E" w:rsidP="0089459E">
            <w:pPr>
              <w:suppressAutoHyphens/>
              <w:autoSpaceDN w:val="0"/>
              <w:jc w:val="right"/>
              <w:rPr>
                <w:rFonts w:ascii="Arial" w:eastAsia="Calibri" w:hAnsi="Arial" w:cs="Arial"/>
                <w:i/>
                <w:iCs/>
                <w:color w:val="000000" w:themeColor="text1"/>
                <w:sz w:val="20"/>
                <w:szCs w:val="20"/>
              </w:rPr>
            </w:pPr>
            <w:r>
              <w:rPr>
                <w:rFonts w:ascii="Arial" w:eastAsia="Calibri" w:hAnsi="Arial" w:cs="Arial"/>
                <w:i/>
                <w:sz w:val="20"/>
                <w:szCs w:val="20"/>
              </w:rPr>
              <w:t>71</w:t>
            </w:r>
          </w:p>
        </w:tc>
        <w:tc>
          <w:tcPr>
            <w:tcW w:w="1241" w:type="dxa"/>
            <w:tcBorders>
              <w:top w:val="single" w:sz="4" w:space="0" w:color="auto"/>
              <w:left w:val="nil"/>
              <w:bottom w:val="single" w:sz="4" w:space="0" w:color="auto"/>
              <w:right w:val="nil"/>
            </w:tcBorders>
            <w:shd w:val="clear" w:color="auto" w:fill="auto"/>
            <w:vAlign w:val="bottom"/>
          </w:tcPr>
          <w:p w14:paraId="20AAC5DD" w14:textId="0A6D8CB7" w:rsidR="0089459E" w:rsidRPr="00EA554B" w:rsidRDefault="0089459E" w:rsidP="0089459E">
            <w:pPr>
              <w:suppressAutoHyphens/>
              <w:autoSpaceDN w:val="0"/>
              <w:jc w:val="right"/>
              <w:rPr>
                <w:rFonts w:ascii="Arial" w:eastAsia="Calibri" w:hAnsi="Arial" w:cs="Arial"/>
                <w:i/>
                <w:iCs/>
                <w:color w:val="000000" w:themeColor="text1"/>
                <w:sz w:val="20"/>
                <w:szCs w:val="20"/>
              </w:rPr>
            </w:pPr>
            <w:r>
              <w:rPr>
                <w:rFonts w:ascii="Arial" w:eastAsia="Calibri" w:hAnsi="Arial" w:cs="Arial"/>
                <w:i/>
                <w:iCs/>
                <w:color w:val="000000" w:themeColor="text1"/>
                <w:sz w:val="20"/>
                <w:szCs w:val="20"/>
              </w:rPr>
              <w:t>(1.114)</w:t>
            </w:r>
          </w:p>
        </w:tc>
        <w:tc>
          <w:tcPr>
            <w:tcW w:w="1241" w:type="dxa"/>
            <w:tcBorders>
              <w:top w:val="single" w:sz="4" w:space="0" w:color="auto"/>
              <w:left w:val="nil"/>
              <w:bottom w:val="single" w:sz="4" w:space="0" w:color="auto"/>
              <w:right w:val="nil"/>
            </w:tcBorders>
            <w:shd w:val="clear" w:color="auto" w:fill="auto"/>
            <w:vAlign w:val="bottom"/>
          </w:tcPr>
          <w:p w14:paraId="52757378" w14:textId="66D55AB9" w:rsidR="0089459E" w:rsidRPr="00EA554B" w:rsidRDefault="0089459E" w:rsidP="0089459E">
            <w:pPr>
              <w:suppressAutoHyphens/>
              <w:autoSpaceDN w:val="0"/>
              <w:jc w:val="right"/>
              <w:rPr>
                <w:rFonts w:ascii="Arial" w:eastAsia="Calibri" w:hAnsi="Arial" w:cs="Arial"/>
                <w:i/>
                <w:iCs/>
                <w:color w:val="000000" w:themeColor="text1"/>
                <w:sz w:val="20"/>
                <w:szCs w:val="20"/>
              </w:rPr>
            </w:pPr>
            <w:r>
              <w:rPr>
                <w:rFonts w:ascii="Arial" w:eastAsia="Calibri" w:hAnsi="Arial" w:cs="Arial"/>
                <w:i/>
                <w:sz w:val="20"/>
                <w:szCs w:val="20"/>
              </w:rPr>
              <w:t>71</w:t>
            </w:r>
          </w:p>
        </w:tc>
      </w:tr>
      <w:tr w:rsidR="0089459E" w:rsidRPr="00EA554B" w14:paraId="5635F620" w14:textId="77777777" w:rsidTr="00E821F0">
        <w:trPr>
          <w:trHeight w:val="303"/>
        </w:trPr>
        <w:tc>
          <w:tcPr>
            <w:tcW w:w="4260" w:type="dxa"/>
            <w:tcBorders>
              <w:top w:val="nil"/>
              <w:left w:val="nil"/>
              <w:bottom w:val="nil"/>
              <w:right w:val="nil"/>
            </w:tcBorders>
            <w:shd w:val="clear" w:color="auto" w:fill="auto"/>
            <w:vAlign w:val="bottom"/>
          </w:tcPr>
          <w:p w14:paraId="4BBC4C99" w14:textId="77777777" w:rsidR="0089459E" w:rsidRPr="00EA554B" w:rsidRDefault="0089459E" w:rsidP="0089459E">
            <w:pPr>
              <w:suppressAutoHyphens/>
              <w:autoSpaceDN w:val="0"/>
              <w:rPr>
                <w:rFonts w:ascii="Arial" w:eastAsia="Calibri" w:hAnsi="Arial" w:cs="Arial"/>
                <w:iCs/>
                <w:color w:val="000000" w:themeColor="text1"/>
                <w:sz w:val="20"/>
                <w:szCs w:val="20"/>
              </w:rPr>
            </w:pPr>
            <w:r w:rsidRPr="00EA554B">
              <w:rPr>
                <w:rFonts w:ascii="Arial" w:eastAsia="Calibri" w:hAnsi="Arial" w:cs="Arial"/>
                <w:iCs/>
                <w:color w:val="000000" w:themeColor="text1"/>
                <w:sz w:val="20"/>
                <w:szCs w:val="20"/>
              </w:rPr>
              <w:t xml:space="preserve">Nerealizirani </w:t>
            </w:r>
            <w:proofErr w:type="spellStart"/>
            <w:r w:rsidRPr="00EA554B">
              <w:rPr>
                <w:rFonts w:ascii="Arial" w:eastAsia="Calibri" w:hAnsi="Arial" w:cs="Arial"/>
                <w:iCs/>
                <w:color w:val="000000" w:themeColor="text1"/>
                <w:sz w:val="20"/>
                <w:szCs w:val="20"/>
              </w:rPr>
              <w:t>aktuarski</w:t>
            </w:r>
            <w:proofErr w:type="spellEnd"/>
            <w:r w:rsidRPr="00EA554B">
              <w:rPr>
                <w:rFonts w:ascii="Arial" w:eastAsia="Calibri" w:hAnsi="Arial" w:cs="Arial"/>
                <w:iCs/>
                <w:color w:val="000000" w:themeColor="text1"/>
                <w:sz w:val="20"/>
                <w:szCs w:val="20"/>
              </w:rPr>
              <w:t xml:space="preserve"> dobitak/(gubitak)</w:t>
            </w:r>
          </w:p>
        </w:tc>
        <w:tc>
          <w:tcPr>
            <w:tcW w:w="1241" w:type="dxa"/>
            <w:tcBorders>
              <w:top w:val="single" w:sz="4" w:space="0" w:color="auto"/>
              <w:left w:val="nil"/>
              <w:right w:val="nil"/>
            </w:tcBorders>
            <w:shd w:val="clear" w:color="auto" w:fill="auto"/>
            <w:noWrap/>
            <w:vAlign w:val="bottom"/>
          </w:tcPr>
          <w:p w14:paraId="11D35EA1" w14:textId="2A8DE3B0" w:rsidR="0089459E" w:rsidRPr="00EA554B" w:rsidRDefault="0089459E" w:rsidP="0089459E">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c>
          <w:tcPr>
            <w:tcW w:w="1241" w:type="dxa"/>
            <w:tcBorders>
              <w:top w:val="single" w:sz="4" w:space="0" w:color="auto"/>
              <w:left w:val="nil"/>
              <w:right w:val="nil"/>
            </w:tcBorders>
            <w:shd w:val="clear" w:color="auto" w:fill="auto"/>
            <w:vAlign w:val="bottom"/>
          </w:tcPr>
          <w:p w14:paraId="74E2002E" w14:textId="3212E82A" w:rsidR="0089459E" w:rsidRPr="00EA554B" w:rsidRDefault="0089459E" w:rsidP="0089459E">
            <w:pPr>
              <w:suppressAutoHyphens/>
              <w:autoSpaceDN w:val="0"/>
              <w:jc w:val="right"/>
              <w:rPr>
                <w:rFonts w:ascii="Arial" w:eastAsia="Calibri" w:hAnsi="Arial" w:cs="Arial"/>
                <w:color w:val="000000" w:themeColor="text1"/>
                <w:sz w:val="20"/>
                <w:szCs w:val="20"/>
              </w:rPr>
            </w:pPr>
            <w:r w:rsidRPr="00531CE5">
              <w:rPr>
                <w:rFonts w:ascii="Arial" w:eastAsia="Calibri" w:hAnsi="Arial" w:cs="Arial"/>
                <w:sz w:val="20"/>
                <w:szCs w:val="20"/>
              </w:rPr>
              <w:t>1.450</w:t>
            </w:r>
          </w:p>
        </w:tc>
        <w:tc>
          <w:tcPr>
            <w:tcW w:w="1241" w:type="dxa"/>
            <w:tcBorders>
              <w:top w:val="single" w:sz="4" w:space="0" w:color="auto"/>
              <w:left w:val="nil"/>
              <w:right w:val="nil"/>
            </w:tcBorders>
            <w:shd w:val="clear" w:color="auto" w:fill="auto"/>
            <w:vAlign w:val="bottom"/>
          </w:tcPr>
          <w:p w14:paraId="1D2DDFAC" w14:textId="73A8E2DF" w:rsidR="0089459E" w:rsidRPr="00EA554B" w:rsidRDefault="0089459E" w:rsidP="0089459E">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c>
          <w:tcPr>
            <w:tcW w:w="1241" w:type="dxa"/>
            <w:tcBorders>
              <w:top w:val="single" w:sz="4" w:space="0" w:color="auto"/>
              <w:left w:val="nil"/>
              <w:right w:val="nil"/>
            </w:tcBorders>
            <w:shd w:val="clear" w:color="auto" w:fill="auto"/>
            <w:vAlign w:val="bottom"/>
          </w:tcPr>
          <w:p w14:paraId="03EA7FD0" w14:textId="6AAF9430" w:rsidR="0089459E" w:rsidRPr="00EA554B" w:rsidRDefault="0089459E" w:rsidP="0089459E">
            <w:pPr>
              <w:suppressAutoHyphens/>
              <w:autoSpaceDN w:val="0"/>
              <w:jc w:val="right"/>
              <w:rPr>
                <w:rFonts w:ascii="Arial" w:eastAsia="Calibri" w:hAnsi="Arial" w:cs="Arial"/>
                <w:color w:val="000000" w:themeColor="text1"/>
                <w:sz w:val="20"/>
                <w:szCs w:val="20"/>
              </w:rPr>
            </w:pPr>
            <w:r w:rsidRPr="00531CE5">
              <w:rPr>
                <w:rFonts w:ascii="Arial" w:eastAsia="Calibri" w:hAnsi="Arial" w:cs="Arial"/>
                <w:sz w:val="20"/>
                <w:szCs w:val="20"/>
              </w:rPr>
              <w:t>1.450</w:t>
            </w:r>
          </w:p>
        </w:tc>
      </w:tr>
      <w:tr w:rsidR="0089459E" w:rsidRPr="00EA554B" w14:paraId="5CDD8A67" w14:textId="77777777" w:rsidTr="00E821F0">
        <w:trPr>
          <w:trHeight w:val="303"/>
        </w:trPr>
        <w:tc>
          <w:tcPr>
            <w:tcW w:w="4260" w:type="dxa"/>
            <w:tcBorders>
              <w:top w:val="nil"/>
              <w:left w:val="nil"/>
              <w:bottom w:val="nil"/>
              <w:right w:val="nil"/>
            </w:tcBorders>
            <w:shd w:val="clear" w:color="auto" w:fill="auto"/>
            <w:vAlign w:val="bottom"/>
          </w:tcPr>
          <w:p w14:paraId="5464D1AA" w14:textId="41036828" w:rsidR="0089459E" w:rsidRPr="00EA554B" w:rsidRDefault="0089459E" w:rsidP="0089459E">
            <w:pPr>
              <w:suppressAutoHyphens/>
              <w:autoSpaceDN w:val="0"/>
              <w:rPr>
                <w:rFonts w:ascii="Arial" w:eastAsia="Calibri" w:hAnsi="Arial" w:cs="Arial"/>
                <w:iCs/>
                <w:color w:val="000000" w:themeColor="text1"/>
                <w:sz w:val="20"/>
                <w:szCs w:val="20"/>
              </w:rPr>
            </w:pPr>
            <w:r>
              <w:rPr>
                <w:rFonts w:ascii="Arial" w:eastAsia="Calibri" w:hAnsi="Arial" w:cs="Arial"/>
                <w:iCs/>
                <w:color w:val="000000" w:themeColor="text1"/>
                <w:sz w:val="20"/>
                <w:szCs w:val="20"/>
              </w:rPr>
              <w:t>Ostala usklađenja</w:t>
            </w:r>
          </w:p>
        </w:tc>
        <w:tc>
          <w:tcPr>
            <w:tcW w:w="1241" w:type="dxa"/>
            <w:tcBorders>
              <w:left w:val="nil"/>
              <w:bottom w:val="single" w:sz="4" w:space="0" w:color="auto"/>
              <w:right w:val="nil"/>
            </w:tcBorders>
            <w:shd w:val="clear" w:color="auto" w:fill="auto"/>
            <w:noWrap/>
            <w:vAlign w:val="bottom"/>
          </w:tcPr>
          <w:p w14:paraId="3ACC4192" w14:textId="06E09999" w:rsidR="0089459E" w:rsidRPr="00EA554B" w:rsidRDefault="0089459E" w:rsidP="0089459E">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(2)</w:t>
            </w:r>
          </w:p>
        </w:tc>
        <w:tc>
          <w:tcPr>
            <w:tcW w:w="1241" w:type="dxa"/>
            <w:tcBorders>
              <w:left w:val="nil"/>
              <w:bottom w:val="single" w:sz="4" w:space="0" w:color="auto"/>
              <w:right w:val="nil"/>
            </w:tcBorders>
            <w:shd w:val="clear" w:color="auto" w:fill="auto"/>
            <w:vAlign w:val="bottom"/>
          </w:tcPr>
          <w:p w14:paraId="48FC5D93" w14:textId="1A614F47" w:rsidR="0089459E" w:rsidRPr="00EA554B" w:rsidRDefault="0089459E" w:rsidP="0089459E">
            <w:pPr>
              <w:suppressAutoHyphens/>
              <w:autoSpaceDN w:val="0"/>
              <w:jc w:val="right"/>
              <w:rPr>
                <w:rFonts w:ascii="Arial" w:eastAsia="Calibri" w:hAnsi="Arial" w:cs="Arial"/>
                <w:color w:val="000000" w:themeColor="text1"/>
                <w:sz w:val="20"/>
                <w:szCs w:val="20"/>
              </w:rPr>
            </w:pPr>
            <w:r>
              <w:rPr>
                <w:rFonts w:ascii="Arial" w:eastAsia="Calibri" w:hAnsi="Arial" w:cs="Arial"/>
                <w:sz w:val="20"/>
                <w:szCs w:val="20"/>
              </w:rPr>
              <w:t>(3)</w:t>
            </w:r>
          </w:p>
        </w:tc>
        <w:tc>
          <w:tcPr>
            <w:tcW w:w="1241" w:type="dxa"/>
            <w:tcBorders>
              <w:left w:val="nil"/>
              <w:bottom w:val="single" w:sz="4" w:space="0" w:color="auto"/>
              <w:right w:val="nil"/>
            </w:tcBorders>
            <w:shd w:val="clear" w:color="auto" w:fill="auto"/>
            <w:vAlign w:val="bottom"/>
          </w:tcPr>
          <w:p w14:paraId="149E9A96" w14:textId="4B96A09B" w:rsidR="0089459E" w:rsidRPr="00EA554B" w:rsidRDefault="0089459E" w:rsidP="0089459E">
            <w:pPr>
              <w:suppressAutoHyphens/>
              <w:autoSpaceDN w:val="0"/>
              <w:jc w:val="right"/>
              <w:rPr>
                <w:rFonts w:ascii="Arial" w:eastAsia="Calibri" w:hAnsi="Arial" w:cs="Arial"/>
                <w:color w:val="000000" w:themeColor="text1"/>
                <w:sz w:val="20"/>
                <w:szCs w:val="20"/>
              </w:rPr>
            </w:pPr>
            <w:r>
              <w:rPr>
                <w:rFonts w:ascii="Arial" w:eastAsia="Calibri" w:hAnsi="Arial" w:cs="Arial"/>
                <w:color w:val="000000" w:themeColor="text1"/>
                <w:sz w:val="20"/>
                <w:szCs w:val="20"/>
              </w:rPr>
              <w:t>-</w:t>
            </w:r>
          </w:p>
        </w:tc>
        <w:tc>
          <w:tcPr>
            <w:tcW w:w="1241" w:type="dxa"/>
            <w:tcBorders>
              <w:left w:val="nil"/>
              <w:bottom w:val="single" w:sz="4" w:space="0" w:color="auto"/>
              <w:right w:val="nil"/>
            </w:tcBorders>
            <w:shd w:val="clear" w:color="auto" w:fill="auto"/>
            <w:vAlign w:val="bottom"/>
          </w:tcPr>
          <w:p w14:paraId="239D193A" w14:textId="6CD4D38C" w:rsidR="0089459E" w:rsidRPr="00EA554B" w:rsidRDefault="0089459E" w:rsidP="0089459E">
            <w:pPr>
              <w:suppressAutoHyphens/>
              <w:autoSpaceDN w:val="0"/>
              <w:jc w:val="right"/>
              <w:rPr>
                <w:rFonts w:ascii="Arial" w:hAnsi="Arial" w:cs="Arial"/>
                <w:sz w:val="20"/>
                <w:szCs w:val="20"/>
              </w:rPr>
            </w:pPr>
            <w:r>
              <w:rPr>
                <w:rFonts w:ascii="Arial" w:eastAsia="Calibri" w:hAnsi="Arial" w:cs="Arial"/>
                <w:sz w:val="20"/>
                <w:szCs w:val="20"/>
              </w:rPr>
              <w:t>-</w:t>
            </w:r>
          </w:p>
        </w:tc>
      </w:tr>
      <w:tr w:rsidR="0089459E" w:rsidRPr="00EA554B" w14:paraId="14A8A312" w14:textId="77777777" w:rsidTr="00E821F0">
        <w:trPr>
          <w:trHeight w:val="392"/>
        </w:trPr>
        <w:tc>
          <w:tcPr>
            <w:tcW w:w="4260" w:type="dxa"/>
            <w:tcBorders>
              <w:top w:val="nil"/>
              <w:left w:val="nil"/>
              <w:bottom w:val="nil"/>
              <w:right w:val="nil"/>
            </w:tcBorders>
            <w:shd w:val="clear" w:color="auto" w:fill="auto"/>
            <w:vAlign w:val="bottom"/>
          </w:tcPr>
          <w:p w14:paraId="6F2FFFDD" w14:textId="77777777" w:rsidR="0089459E" w:rsidRPr="00EA554B" w:rsidRDefault="0089459E" w:rsidP="0089459E">
            <w:pPr>
              <w:suppressAutoHyphens/>
              <w:autoSpaceDN w:val="0"/>
              <w:rPr>
                <w:rFonts w:ascii="Arial" w:eastAsia="Calibri" w:hAnsi="Arial" w:cs="Arial"/>
                <w:b/>
                <w:bCs/>
                <w:color w:val="000000" w:themeColor="text1"/>
                <w:sz w:val="20"/>
                <w:szCs w:val="20"/>
              </w:rPr>
            </w:pPr>
            <w:r w:rsidRPr="00EA554B">
              <w:rPr>
                <w:rFonts w:ascii="Arial" w:eastAsia="Calibri" w:hAnsi="Arial" w:cs="Arial"/>
                <w:b/>
                <w:bCs/>
                <w:color w:val="000000" w:themeColor="text1"/>
                <w:sz w:val="20"/>
                <w:szCs w:val="20"/>
              </w:rPr>
              <w:t>Stanje na kraju izvještajnog razdoblja – Rezerviranja za očekivane gubitke po ostalim obvezama</w:t>
            </w:r>
          </w:p>
        </w:tc>
        <w:tc>
          <w:tcPr>
            <w:tcW w:w="1241" w:type="dxa"/>
            <w:tcBorders>
              <w:top w:val="single" w:sz="4" w:space="0" w:color="auto"/>
              <w:left w:val="nil"/>
              <w:bottom w:val="single" w:sz="12" w:space="0" w:color="auto"/>
              <w:right w:val="nil"/>
            </w:tcBorders>
            <w:shd w:val="clear" w:color="auto" w:fill="auto"/>
            <w:noWrap/>
            <w:vAlign w:val="bottom"/>
          </w:tcPr>
          <w:p w14:paraId="1F77C41D" w14:textId="4D4408FD" w:rsidR="0089459E" w:rsidRPr="004A2725" w:rsidRDefault="0089459E" w:rsidP="0089459E">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8.629</w:t>
            </w:r>
          </w:p>
        </w:tc>
        <w:tc>
          <w:tcPr>
            <w:tcW w:w="1241" w:type="dxa"/>
            <w:tcBorders>
              <w:top w:val="single" w:sz="4" w:space="0" w:color="auto"/>
              <w:left w:val="nil"/>
              <w:bottom w:val="single" w:sz="12" w:space="0" w:color="auto"/>
              <w:right w:val="nil"/>
            </w:tcBorders>
            <w:shd w:val="clear" w:color="auto" w:fill="auto"/>
            <w:vAlign w:val="bottom"/>
          </w:tcPr>
          <w:p w14:paraId="50AB45B4" w14:textId="6B0D0A04" w:rsidR="0089459E" w:rsidRPr="004A2725" w:rsidRDefault="0089459E" w:rsidP="0089459E">
            <w:pPr>
              <w:suppressAutoHyphens/>
              <w:autoSpaceDN w:val="0"/>
              <w:jc w:val="right"/>
              <w:rPr>
                <w:rFonts w:ascii="Arial" w:eastAsia="Calibri" w:hAnsi="Arial" w:cs="Arial"/>
                <w:b/>
                <w:bCs/>
                <w:color w:val="000000" w:themeColor="text1"/>
                <w:sz w:val="20"/>
                <w:szCs w:val="20"/>
              </w:rPr>
            </w:pPr>
            <w:r w:rsidRPr="00531CE5">
              <w:rPr>
                <w:rFonts w:ascii="Arial" w:eastAsia="Calibri" w:hAnsi="Arial" w:cs="Arial"/>
                <w:b/>
                <w:sz w:val="20"/>
                <w:szCs w:val="20"/>
              </w:rPr>
              <w:t>9.74</w:t>
            </w:r>
            <w:r>
              <w:rPr>
                <w:rFonts w:ascii="Arial" w:eastAsia="Calibri" w:hAnsi="Arial" w:cs="Arial"/>
                <w:b/>
                <w:sz w:val="20"/>
                <w:szCs w:val="20"/>
              </w:rPr>
              <w:t>5</w:t>
            </w:r>
          </w:p>
        </w:tc>
        <w:tc>
          <w:tcPr>
            <w:tcW w:w="1241" w:type="dxa"/>
            <w:tcBorders>
              <w:top w:val="single" w:sz="4" w:space="0" w:color="auto"/>
              <w:left w:val="nil"/>
              <w:bottom w:val="single" w:sz="12" w:space="0" w:color="auto"/>
              <w:right w:val="nil"/>
            </w:tcBorders>
            <w:shd w:val="clear" w:color="auto" w:fill="auto"/>
            <w:vAlign w:val="bottom"/>
          </w:tcPr>
          <w:p w14:paraId="559DFAEF" w14:textId="384CE0C1" w:rsidR="0089459E" w:rsidRPr="00EA554B" w:rsidRDefault="0089459E" w:rsidP="0089459E">
            <w:pPr>
              <w:suppressAutoHyphens/>
              <w:autoSpaceDN w:val="0"/>
              <w:jc w:val="right"/>
              <w:rPr>
                <w:rFonts w:ascii="Arial" w:eastAsia="Calibri" w:hAnsi="Arial" w:cs="Arial"/>
                <w:b/>
                <w:bCs/>
                <w:color w:val="000000" w:themeColor="text1"/>
                <w:sz w:val="20"/>
                <w:szCs w:val="20"/>
              </w:rPr>
            </w:pPr>
            <w:r>
              <w:rPr>
                <w:rFonts w:ascii="Arial" w:eastAsia="Calibri" w:hAnsi="Arial" w:cs="Arial"/>
                <w:b/>
                <w:bCs/>
                <w:color w:val="000000" w:themeColor="text1"/>
                <w:sz w:val="20"/>
                <w:szCs w:val="20"/>
              </w:rPr>
              <w:t>8.629</w:t>
            </w:r>
          </w:p>
        </w:tc>
        <w:tc>
          <w:tcPr>
            <w:tcW w:w="1241" w:type="dxa"/>
            <w:tcBorders>
              <w:top w:val="single" w:sz="4" w:space="0" w:color="auto"/>
              <w:left w:val="nil"/>
              <w:bottom w:val="single" w:sz="12" w:space="0" w:color="auto"/>
              <w:right w:val="nil"/>
            </w:tcBorders>
            <w:shd w:val="clear" w:color="auto" w:fill="auto"/>
            <w:vAlign w:val="bottom"/>
          </w:tcPr>
          <w:p w14:paraId="28B075EC" w14:textId="7C994A76" w:rsidR="0089459E" w:rsidRPr="00EA554B" w:rsidRDefault="0089459E" w:rsidP="0089459E">
            <w:pPr>
              <w:suppressAutoHyphens/>
              <w:autoSpaceDN w:val="0"/>
              <w:jc w:val="right"/>
              <w:rPr>
                <w:rFonts w:ascii="Arial" w:eastAsia="Calibri" w:hAnsi="Arial" w:cs="Arial"/>
                <w:b/>
                <w:bCs/>
                <w:color w:val="000000" w:themeColor="text1"/>
                <w:sz w:val="20"/>
                <w:szCs w:val="20"/>
              </w:rPr>
            </w:pPr>
            <w:r w:rsidRPr="00531CE5">
              <w:rPr>
                <w:rFonts w:ascii="Arial" w:eastAsia="Calibri" w:hAnsi="Arial" w:cs="Arial"/>
                <w:b/>
                <w:sz w:val="20"/>
                <w:szCs w:val="20"/>
              </w:rPr>
              <w:t>9.743</w:t>
            </w:r>
          </w:p>
        </w:tc>
      </w:tr>
    </w:tbl>
    <w:p w14:paraId="2484B631" w14:textId="77777777" w:rsidR="00FC2BEF" w:rsidRPr="003D1614" w:rsidRDefault="00FC2BEF" w:rsidP="00FC2BEF">
      <w:pPr>
        <w:suppressAutoHyphens/>
        <w:autoSpaceDN w:val="0"/>
        <w:jc w:val="both"/>
        <w:rPr>
          <w:rFonts w:ascii="Arial" w:eastAsia="Times New Roman" w:hAnsi="Arial" w:cs="Arial"/>
          <w:color w:val="000000" w:themeColor="text1"/>
          <w:sz w:val="20"/>
          <w:szCs w:val="20"/>
        </w:rPr>
      </w:pPr>
    </w:p>
    <w:p w14:paraId="124E48AD" w14:textId="77777777" w:rsidR="00FC2BEF" w:rsidRPr="003D1614" w:rsidRDefault="00FC2BEF" w:rsidP="00FC2BEF">
      <w:pPr>
        <w:suppressAutoHyphens/>
        <w:autoSpaceDN w:val="0"/>
        <w:jc w:val="both"/>
        <w:rPr>
          <w:rFonts w:ascii="Arial" w:eastAsia="Times New Roman" w:hAnsi="Arial" w:cs="Arial"/>
          <w:color w:val="000000" w:themeColor="text1"/>
          <w:sz w:val="20"/>
          <w:szCs w:val="20"/>
        </w:rPr>
      </w:pPr>
    </w:p>
    <w:p w14:paraId="5AED9BCA" w14:textId="556F1811" w:rsidR="00FC2BEF" w:rsidRPr="003D1614" w:rsidRDefault="00FC2BEF" w:rsidP="00FC2BEF">
      <w:pPr>
        <w:keepNext/>
        <w:suppressAutoHyphens/>
        <w:autoSpaceDN w:val="0"/>
        <w:jc w:val="both"/>
        <w:outlineLvl w:val="0"/>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Neto dobit/(gubitak) od tečajnih razlika po rezerviranjima za očekivane gubitke prikazana je unutar Neto prihoda/(rashoda) od financijskih aktivnosti u Računu dobiti i gubitka.</w:t>
      </w:r>
    </w:p>
    <w:p w14:paraId="21FB16D3" w14:textId="38A75D8B" w:rsidR="00FC2BEF" w:rsidRPr="003D1614" w:rsidRDefault="00FC2BEF" w:rsidP="00FC2BEF">
      <w:pPr>
        <w:keepNext/>
        <w:suppressAutoHyphens/>
        <w:autoSpaceDN w:val="0"/>
        <w:jc w:val="both"/>
        <w:outlineLvl w:val="0"/>
        <w:rPr>
          <w:rFonts w:ascii="Arial" w:eastAsia="Calibri" w:hAnsi="Arial" w:cs="Arial"/>
          <w:color w:val="000000" w:themeColor="text1"/>
          <w:sz w:val="20"/>
          <w:szCs w:val="20"/>
        </w:rPr>
      </w:pPr>
    </w:p>
    <w:p w14:paraId="07BC5C84" w14:textId="1249792E" w:rsidR="00FC2BEF" w:rsidRPr="003D1614" w:rsidRDefault="002479D0" w:rsidP="00641BB9">
      <w:pPr>
        <w:jc w:val="both"/>
        <w:rPr>
          <w:rFonts w:ascii="Arial" w:eastAsia="Times New Roman" w:hAnsi="Arial" w:cs="Arial"/>
          <w:color w:val="000000" w:themeColor="text1"/>
          <w:sz w:val="20"/>
          <w:szCs w:val="20"/>
        </w:rPr>
      </w:pPr>
      <w:r w:rsidRPr="002479D0">
        <w:rPr>
          <w:rFonts w:ascii="Arial" w:eastAsia="Times New Roman" w:hAnsi="Arial" w:cs="Arial"/>
          <w:sz w:val="20"/>
          <w:szCs w:val="20"/>
          <w:lang w:eastAsia="hr-HR"/>
        </w:rPr>
        <w:t xml:space="preserve">Od ukupnog iznosa rezerviranja za garancije i preuzete obveze na financijske institucije se odnosi iznos </w:t>
      </w:r>
      <w:r w:rsidRPr="00EA0DC2">
        <w:rPr>
          <w:rFonts w:ascii="Arial" w:eastAsia="Times New Roman" w:hAnsi="Arial" w:cs="Arial"/>
          <w:sz w:val="20"/>
          <w:szCs w:val="20"/>
          <w:lang w:eastAsia="hr-HR"/>
        </w:rPr>
        <w:t xml:space="preserve">od </w:t>
      </w:r>
      <w:r w:rsidR="00EC570B">
        <w:rPr>
          <w:rFonts w:ascii="Arial" w:eastAsia="Times New Roman" w:hAnsi="Arial" w:cs="Arial"/>
          <w:sz w:val="20"/>
          <w:szCs w:val="20"/>
          <w:lang w:eastAsia="hr-HR"/>
        </w:rPr>
        <w:t>473</w:t>
      </w:r>
      <w:r w:rsidRPr="00EA0DC2">
        <w:rPr>
          <w:rFonts w:ascii="Arial" w:eastAsia="Times New Roman" w:hAnsi="Arial" w:cs="Arial"/>
          <w:sz w:val="20"/>
          <w:szCs w:val="20"/>
          <w:lang w:eastAsia="hr-HR"/>
        </w:rPr>
        <w:t xml:space="preserve"> tisuća eura (31. prosinca 202</w:t>
      </w:r>
      <w:r w:rsidR="00B92350" w:rsidRPr="00EA0DC2">
        <w:rPr>
          <w:rFonts w:ascii="Arial" w:eastAsia="Times New Roman" w:hAnsi="Arial" w:cs="Arial"/>
          <w:sz w:val="20"/>
          <w:szCs w:val="20"/>
          <w:lang w:eastAsia="hr-HR"/>
        </w:rPr>
        <w:t>3</w:t>
      </w:r>
      <w:r w:rsidRPr="00EA0DC2">
        <w:rPr>
          <w:rFonts w:ascii="Arial" w:eastAsia="Times New Roman" w:hAnsi="Arial" w:cs="Arial"/>
          <w:sz w:val="20"/>
          <w:szCs w:val="20"/>
          <w:lang w:eastAsia="hr-HR"/>
        </w:rPr>
        <w:t xml:space="preserve">.: </w:t>
      </w:r>
      <w:r w:rsidR="00DB44A1" w:rsidRPr="00EA0DC2">
        <w:rPr>
          <w:rFonts w:ascii="Arial" w:eastAsia="Times New Roman" w:hAnsi="Arial" w:cs="Arial"/>
          <w:sz w:val="20"/>
          <w:szCs w:val="20"/>
          <w:lang w:eastAsia="hr-HR"/>
        </w:rPr>
        <w:t>816</w:t>
      </w:r>
      <w:r w:rsidRPr="00EA0DC2">
        <w:rPr>
          <w:rFonts w:ascii="Arial" w:eastAsia="Times New Roman" w:hAnsi="Arial" w:cs="Arial"/>
          <w:sz w:val="20"/>
          <w:szCs w:val="20"/>
          <w:lang w:eastAsia="hr-HR"/>
        </w:rPr>
        <w:t xml:space="preserve"> tisuća eura), domaća trgovačka društva iznos od </w:t>
      </w:r>
      <w:r w:rsidR="00EC570B">
        <w:rPr>
          <w:rFonts w:ascii="Arial" w:eastAsia="Times New Roman" w:hAnsi="Arial" w:cs="Arial"/>
          <w:sz w:val="20"/>
          <w:szCs w:val="20"/>
          <w:lang w:eastAsia="hr-HR"/>
        </w:rPr>
        <w:t>12.533</w:t>
      </w:r>
      <w:r w:rsidRPr="00EA0DC2">
        <w:rPr>
          <w:rFonts w:ascii="Arial" w:eastAsia="Times New Roman" w:hAnsi="Arial" w:cs="Arial"/>
          <w:sz w:val="20"/>
          <w:szCs w:val="20"/>
          <w:lang w:eastAsia="hr-HR"/>
        </w:rPr>
        <w:t xml:space="preserve">  tisuća eura (31. prosinca 202</w:t>
      </w:r>
      <w:r w:rsidR="00DB44A1" w:rsidRPr="00EA0DC2">
        <w:rPr>
          <w:rFonts w:ascii="Arial" w:eastAsia="Times New Roman" w:hAnsi="Arial" w:cs="Arial"/>
          <w:sz w:val="20"/>
          <w:szCs w:val="20"/>
          <w:lang w:eastAsia="hr-HR"/>
        </w:rPr>
        <w:t>3</w:t>
      </w:r>
      <w:r w:rsidRPr="00EA0DC2">
        <w:rPr>
          <w:rFonts w:ascii="Arial" w:eastAsia="Times New Roman" w:hAnsi="Arial" w:cs="Arial"/>
          <w:sz w:val="20"/>
          <w:szCs w:val="20"/>
          <w:lang w:eastAsia="hr-HR"/>
        </w:rPr>
        <w:t>.: 1</w:t>
      </w:r>
      <w:r w:rsidR="00DB44A1" w:rsidRPr="00EA0DC2">
        <w:rPr>
          <w:rFonts w:ascii="Arial" w:eastAsia="Times New Roman" w:hAnsi="Arial" w:cs="Arial"/>
          <w:sz w:val="20"/>
          <w:szCs w:val="20"/>
          <w:lang w:eastAsia="hr-HR"/>
        </w:rPr>
        <w:t>3</w:t>
      </w:r>
      <w:r w:rsidRPr="00EA0DC2">
        <w:rPr>
          <w:rFonts w:ascii="Arial" w:eastAsia="Times New Roman" w:hAnsi="Arial" w:cs="Arial"/>
          <w:sz w:val="20"/>
          <w:szCs w:val="20"/>
          <w:lang w:eastAsia="hr-HR"/>
        </w:rPr>
        <w:t>.</w:t>
      </w:r>
      <w:r w:rsidR="00DB44A1" w:rsidRPr="00EA0DC2">
        <w:rPr>
          <w:rFonts w:ascii="Arial" w:eastAsia="Times New Roman" w:hAnsi="Arial" w:cs="Arial"/>
          <w:sz w:val="20"/>
          <w:szCs w:val="20"/>
          <w:lang w:eastAsia="hr-HR"/>
        </w:rPr>
        <w:t>524</w:t>
      </w:r>
      <w:r w:rsidRPr="00EA0DC2">
        <w:rPr>
          <w:rFonts w:ascii="Arial" w:eastAsia="Times New Roman" w:hAnsi="Arial" w:cs="Arial"/>
          <w:sz w:val="20"/>
          <w:szCs w:val="20"/>
          <w:lang w:eastAsia="hr-HR"/>
        </w:rPr>
        <w:t xml:space="preserve">  tisuća eura), javni sektor iznos od </w:t>
      </w:r>
      <w:r w:rsidR="00EC570B">
        <w:rPr>
          <w:rFonts w:ascii="Arial" w:eastAsia="Times New Roman" w:hAnsi="Arial" w:cs="Arial"/>
          <w:sz w:val="20"/>
          <w:szCs w:val="20"/>
          <w:lang w:eastAsia="hr-HR"/>
        </w:rPr>
        <w:t xml:space="preserve">44 </w:t>
      </w:r>
      <w:r w:rsidRPr="00EA0DC2">
        <w:rPr>
          <w:rFonts w:ascii="Arial" w:eastAsia="Times New Roman" w:hAnsi="Arial" w:cs="Arial"/>
          <w:sz w:val="20"/>
          <w:szCs w:val="20"/>
          <w:lang w:eastAsia="hr-HR"/>
        </w:rPr>
        <w:t>tisuća eura (31. prosinca 202</w:t>
      </w:r>
      <w:r w:rsidR="00DB44A1" w:rsidRPr="00EA0DC2">
        <w:rPr>
          <w:rFonts w:ascii="Arial" w:eastAsia="Times New Roman" w:hAnsi="Arial" w:cs="Arial"/>
          <w:sz w:val="20"/>
          <w:szCs w:val="20"/>
          <w:lang w:eastAsia="hr-HR"/>
        </w:rPr>
        <w:t>3</w:t>
      </w:r>
      <w:r w:rsidRPr="00EA0DC2">
        <w:rPr>
          <w:rFonts w:ascii="Arial" w:eastAsia="Times New Roman" w:hAnsi="Arial" w:cs="Arial"/>
          <w:sz w:val="20"/>
          <w:szCs w:val="20"/>
          <w:lang w:eastAsia="hr-HR"/>
        </w:rPr>
        <w:t xml:space="preserve">.: </w:t>
      </w:r>
      <w:r w:rsidR="00DB44A1" w:rsidRPr="00EA0DC2">
        <w:rPr>
          <w:rFonts w:ascii="Arial" w:eastAsia="Times New Roman" w:hAnsi="Arial" w:cs="Arial"/>
          <w:sz w:val="20"/>
          <w:szCs w:val="20"/>
          <w:lang w:eastAsia="hr-HR"/>
        </w:rPr>
        <w:t>44</w:t>
      </w:r>
      <w:r w:rsidRPr="00EA0DC2">
        <w:rPr>
          <w:rFonts w:ascii="Arial" w:eastAsia="Times New Roman" w:hAnsi="Arial" w:cs="Arial"/>
          <w:sz w:val="20"/>
          <w:szCs w:val="20"/>
          <w:lang w:eastAsia="hr-HR"/>
        </w:rPr>
        <w:t xml:space="preserve"> tisuća eura), </w:t>
      </w:r>
      <w:r w:rsidRPr="005D1219">
        <w:rPr>
          <w:rFonts w:ascii="Arial" w:eastAsia="Times New Roman" w:hAnsi="Arial" w:cs="Arial"/>
          <w:sz w:val="20"/>
          <w:szCs w:val="20"/>
          <w:lang w:eastAsia="hr-HR"/>
        </w:rPr>
        <w:t>na državna trgovačka društva  25 tisuća eura  (31. prosinca 202</w:t>
      </w:r>
      <w:r w:rsidR="00E15EC0">
        <w:rPr>
          <w:rFonts w:ascii="Arial" w:eastAsia="Times New Roman" w:hAnsi="Arial" w:cs="Arial"/>
          <w:sz w:val="20"/>
          <w:szCs w:val="20"/>
          <w:lang w:eastAsia="hr-HR"/>
        </w:rPr>
        <w:t>3</w:t>
      </w:r>
      <w:r w:rsidRPr="005D1219">
        <w:rPr>
          <w:rFonts w:ascii="Arial" w:eastAsia="Times New Roman" w:hAnsi="Arial" w:cs="Arial"/>
          <w:sz w:val="20"/>
          <w:szCs w:val="20"/>
          <w:lang w:eastAsia="hr-HR"/>
        </w:rPr>
        <w:t>.: 0 tisuća eura)</w:t>
      </w:r>
      <w:r w:rsidRPr="00EA0DC2">
        <w:rPr>
          <w:rFonts w:ascii="Arial" w:eastAsia="Times New Roman" w:hAnsi="Arial" w:cs="Arial"/>
          <w:sz w:val="20"/>
          <w:szCs w:val="20"/>
          <w:lang w:eastAsia="hr-HR"/>
        </w:rPr>
        <w:t xml:space="preserve"> te na ostalo iznos od </w:t>
      </w:r>
      <w:r w:rsidR="00EC570B">
        <w:rPr>
          <w:rFonts w:ascii="Arial" w:eastAsia="Times New Roman" w:hAnsi="Arial" w:cs="Arial"/>
          <w:sz w:val="20"/>
          <w:szCs w:val="20"/>
          <w:lang w:eastAsia="hr-HR"/>
        </w:rPr>
        <w:t>129</w:t>
      </w:r>
      <w:r w:rsidRPr="00EA0DC2">
        <w:rPr>
          <w:rFonts w:ascii="Arial" w:eastAsia="Times New Roman" w:hAnsi="Arial" w:cs="Arial"/>
          <w:sz w:val="20"/>
          <w:szCs w:val="20"/>
          <w:lang w:eastAsia="hr-HR"/>
        </w:rPr>
        <w:t xml:space="preserve"> tisuća eura (31. prosinca 202</w:t>
      </w:r>
      <w:r w:rsidR="00641BB9" w:rsidRPr="00EA0DC2">
        <w:rPr>
          <w:rFonts w:ascii="Arial" w:eastAsia="Times New Roman" w:hAnsi="Arial" w:cs="Arial"/>
          <w:sz w:val="20"/>
          <w:szCs w:val="20"/>
          <w:lang w:eastAsia="hr-HR"/>
        </w:rPr>
        <w:t>3</w:t>
      </w:r>
      <w:r w:rsidRPr="00EA0DC2">
        <w:rPr>
          <w:rFonts w:ascii="Arial" w:eastAsia="Times New Roman" w:hAnsi="Arial" w:cs="Arial"/>
          <w:sz w:val="20"/>
          <w:szCs w:val="20"/>
          <w:lang w:eastAsia="hr-HR"/>
        </w:rPr>
        <w:t xml:space="preserve">.: </w:t>
      </w:r>
      <w:r w:rsidR="00641BB9" w:rsidRPr="00EA0DC2">
        <w:rPr>
          <w:rFonts w:ascii="Arial" w:eastAsia="Times New Roman" w:hAnsi="Arial" w:cs="Arial"/>
          <w:sz w:val="20"/>
          <w:szCs w:val="20"/>
          <w:lang w:eastAsia="hr-HR"/>
        </w:rPr>
        <w:t>253</w:t>
      </w:r>
      <w:r w:rsidRPr="00EA0DC2">
        <w:rPr>
          <w:rFonts w:ascii="Arial" w:eastAsia="Times New Roman" w:hAnsi="Arial" w:cs="Arial"/>
          <w:sz w:val="20"/>
          <w:szCs w:val="20"/>
          <w:lang w:eastAsia="hr-HR"/>
        </w:rPr>
        <w:t xml:space="preserve"> tisuća eura).</w:t>
      </w:r>
      <w:r w:rsidR="00AD5F37" w:rsidRPr="003D1614">
        <w:rPr>
          <w:rFonts w:ascii="Arial" w:eastAsia="Times New Roman" w:hAnsi="Arial" w:cs="Arial"/>
          <w:color w:val="000000" w:themeColor="text1"/>
          <w:sz w:val="20"/>
          <w:szCs w:val="20"/>
        </w:rPr>
        <w:t xml:space="preserve"> </w:t>
      </w:r>
    </w:p>
    <w:p w14:paraId="0BDB3184" w14:textId="77777777" w:rsidR="00AD5F37" w:rsidRPr="003D1614" w:rsidRDefault="00AD5F37" w:rsidP="00FC2BEF">
      <w:pPr>
        <w:keepNext/>
        <w:suppressAutoHyphens/>
        <w:autoSpaceDN w:val="0"/>
        <w:jc w:val="both"/>
        <w:outlineLvl w:val="0"/>
        <w:rPr>
          <w:rFonts w:ascii="Arial" w:eastAsia="Times New Roman" w:hAnsi="Arial" w:cs="Arial"/>
          <w:color w:val="000000" w:themeColor="text1"/>
          <w:sz w:val="20"/>
          <w:szCs w:val="20"/>
        </w:rPr>
        <w:sectPr w:rsidR="00AD5F37" w:rsidRPr="003D1614">
          <w:pgSz w:w="11906" w:h="16838"/>
          <w:pgMar w:top="1417" w:right="1417" w:bottom="1417" w:left="1417" w:header="708" w:footer="708" w:gutter="0"/>
          <w:cols w:space="708"/>
          <w:docGrid w:linePitch="360"/>
        </w:sectPr>
      </w:pPr>
    </w:p>
    <w:p w14:paraId="2ADA85AA" w14:textId="77777777" w:rsidR="00AD5F37" w:rsidRPr="003D1614" w:rsidRDefault="00AD5F37" w:rsidP="00AD5F37">
      <w:pPr>
        <w:keepNext/>
        <w:suppressAutoHyphens/>
        <w:autoSpaceDN w:val="0"/>
        <w:jc w:val="both"/>
        <w:outlineLvl w:val="0"/>
        <w:rPr>
          <w:rFonts w:ascii="Arial" w:eastAsia="Times New Roman" w:hAnsi="Arial" w:cs="Arial"/>
          <w:b/>
          <w:bCs/>
          <w:color w:val="000000" w:themeColor="text1"/>
          <w:sz w:val="20"/>
          <w:szCs w:val="20"/>
        </w:rPr>
      </w:pPr>
    </w:p>
    <w:p w14:paraId="1C46996F" w14:textId="0F8F832C" w:rsidR="00AD5F37" w:rsidRPr="003D1614" w:rsidRDefault="000E693B" w:rsidP="00AD5F37">
      <w:pPr>
        <w:keepNext/>
        <w:tabs>
          <w:tab w:val="left" w:pos="567"/>
        </w:tabs>
        <w:suppressAutoHyphens/>
        <w:autoSpaceDN w:val="0"/>
        <w:jc w:val="both"/>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20</w:t>
      </w:r>
      <w:r w:rsidR="00AD5F37" w:rsidRPr="003D1614">
        <w:rPr>
          <w:rFonts w:ascii="Arial" w:eastAsia="Times New Roman" w:hAnsi="Arial" w:cs="Arial"/>
          <w:b/>
          <w:bCs/>
          <w:color w:val="000000" w:themeColor="text1"/>
          <w:sz w:val="20"/>
          <w:szCs w:val="20"/>
        </w:rPr>
        <w:t>.</w:t>
      </w:r>
      <w:r w:rsidR="00AD5F37" w:rsidRPr="003D1614">
        <w:rPr>
          <w:rFonts w:ascii="Arial" w:eastAsia="Times New Roman" w:hAnsi="Arial" w:cs="Arial"/>
          <w:b/>
          <w:bCs/>
          <w:color w:val="000000" w:themeColor="text1"/>
          <w:sz w:val="20"/>
          <w:szCs w:val="20"/>
        </w:rPr>
        <w:tab/>
        <w:t>Ostale obveze</w:t>
      </w:r>
    </w:p>
    <w:p w14:paraId="5B790686" w14:textId="77777777" w:rsidR="00AD5F37" w:rsidRPr="003D1614" w:rsidRDefault="00AD5F37" w:rsidP="00AD5F37">
      <w:pPr>
        <w:tabs>
          <w:tab w:val="left" w:pos="-1843"/>
        </w:tabs>
        <w:suppressAutoHyphens/>
        <w:autoSpaceDN w:val="0"/>
        <w:rPr>
          <w:rFonts w:ascii="Arial" w:eastAsia="Times New Roman" w:hAnsi="Arial" w:cs="Arial"/>
          <w:b/>
          <w:color w:val="000000" w:themeColor="text1"/>
          <w:spacing w:val="-3"/>
          <w:sz w:val="20"/>
          <w:szCs w:val="20"/>
        </w:rPr>
      </w:pPr>
    </w:p>
    <w:tbl>
      <w:tblPr>
        <w:tblW w:w="4983" w:type="pct"/>
        <w:tblLayout w:type="fixed"/>
        <w:tblCellMar>
          <w:left w:w="119" w:type="dxa"/>
          <w:right w:w="119" w:type="dxa"/>
        </w:tblCellMar>
        <w:tblLook w:val="0000" w:firstRow="0" w:lastRow="0" w:firstColumn="0" w:lastColumn="0" w:noHBand="0" w:noVBand="0"/>
      </w:tblPr>
      <w:tblGrid>
        <w:gridCol w:w="3457"/>
        <w:gridCol w:w="1374"/>
        <w:gridCol w:w="1418"/>
        <w:gridCol w:w="1374"/>
        <w:gridCol w:w="1418"/>
      </w:tblGrid>
      <w:tr w:rsidR="00AD5F37" w:rsidRPr="00AB1D70" w14:paraId="011BC1BE" w14:textId="77777777" w:rsidTr="00AB1D70">
        <w:trPr>
          <w:trHeight w:val="216"/>
        </w:trPr>
        <w:tc>
          <w:tcPr>
            <w:tcW w:w="1912" w:type="pct"/>
            <w:vAlign w:val="bottom"/>
          </w:tcPr>
          <w:p w14:paraId="4CFC1C4B" w14:textId="77777777" w:rsidR="00AD5F37" w:rsidRPr="00AB1D70" w:rsidRDefault="00AD5F37" w:rsidP="00AD5F37">
            <w:pPr>
              <w:tabs>
                <w:tab w:val="left" w:pos="-1843"/>
              </w:tabs>
              <w:suppressAutoHyphens/>
              <w:autoSpaceDN w:val="0"/>
              <w:rPr>
                <w:rFonts w:ascii="Arial" w:eastAsia="Times New Roman" w:hAnsi="Arial" w:cs="Arial"/>
                <w:color w:val="000000" w:themeColor="text1"/>
                <w:spacing w:val="-2"/>
                <w:sz w:val="20"/>
                <w:szCs w:val="20"/>
              </w:rPr>
            </w:pPr>
          </w:p>
        </w:tc>
        <w:tc>
          <w:tcPr>
            <w:tcW w:w="1544" w:type="pct"/>
            <w:gridSpan w:val="2"/>
            <w:vAlign w:val="bottom"/>
          </w:tcPr>
          <w:p w14:paraId="7ED64C5F" w14:textId="77777777"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83" w:name="_Toc67328788"/>
            <w:r w:rsidRPr="00AB1D70">
              <w:rPr>
                <w:rFonts w:ascii="Arial" w:eastAsia="Times New Roman" w:hAnsi="Arial" w:cs="Arial"/>
                <w:b/>
                <w:color w:val="000000" w:themeColor="text1"/>
                <w:sz w:val="20"/>
                <w:szCs w:val="20"/>
              </w:rPr>
              <w:t>Grupa</w:t>
            </w:r>
            <w:bookmarkEnd w:id="483"/>
          </w:p>
        </w:tc>
        <w:tc>
          <w:tcPr>
            <w:tcW w:w="1544" w:type="pct"/>
            <w:gridSpan w:val="2"/>
            <w:vAlign w:val="bottom"/>
          </w:tcPr>
          <w:p w14:paraId="7E3CE4A0" w14:textId="77777777"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84" w:name="_Toc67328789"/>
            <w:r w:rsidRPr="00AB1D70">
              <w:rPr>
                <w:rFonts w:ascii="Arial" w:eastAsia="Times New Roman" w:hAnsi="Arial" w:cs="Arial"/>
                <w:b/>
                <w:color w:val="000000" w:themeColor="text1"/>
                <w:sz w:val="20"/>
                <w:szCs w:val="20"/>
              </w:rPr>
              <w:t>Banka</w:t>
            </w:r>
            <w:bookmarkEnd w:id="484"/>
          </w:p>
        </w:tc>
      </w:tr>
      <w:tr w:rsidR="00AD5F37" w:rsidRPr="00AB1D70" w14:paraId="63464D5D" w14:textId="77777777" w:rsidTr="00AB1D70">
        <w:trPr>
          <w:trHeight w:val="510"/>
        </w:trPr>
        <w:tc>
          <w:tcPr>
            <w:tcW w:w="1912" w:type="pct"/>
            <w:vAlign w:val="bottom"/>
          </w:tcPr>
          <w:p w14:paraId="20E453FE" w14:textId="77777777" w:rsidR="00AD5F37" w:rsidRPr="00AB1D70" w:rsidRDefault="00AD5F37" w:rsidP="00AD5F37">
            <w:pPr>
              <w:tabs>
                <w:tab w:val="left" w:pos="-1843"/>
              </w:tabs>
              <w:suppressAutoHyphens/>
              <w:autoSpaceDN w:val="0"/>
              <w:rPr>
                <w:rFonts w:ascii="Arial" w:eastAsia="Times New Roman" w:hAnsi="Arial" w:cs="Arial"/>
                <w:color w:val="000000" w:themeColor="text1"/>
                <w:spacing w:val="-2"/>
                <w:sz w:val="20"/>
                <w:szCs w:val="20"/>
              </w:rPr>
            </w:pPr>
          </w:p>
        </w:tc>
        <w:tc>
          <w:tcPr>
            <w:tcW w:w="760" w:type="pct"/>
            <w:vAlign w:val="bottom"/>
          </w:tcPr>
          <w:p w14:paraId="7276F311" w14:textId="53870690"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AB1D70">
              <w:rPr>
                <w:rFonts w:ascii="Arial" w:eastAsia="Times New Roman" w:hAnsi="Arial" w:cs="Arial"/>
                <w:b/>
                <w:color w:val="000000" w:themeColor="text1"/>
                <w:sz w:val="20"/>
                <w:szCs w:val="20"/>
              </w:rPr>
              <w:t>31. ožujka 202</w:t>
            </w:r>
            <w:r w:rsidR="00E3017F">
              <w:rPr>
                <w:rFonts w:ascii="Arial" w:eastAsia="Times New Roman" w:hAnsi="Arial" w:cs="Arial"/>
                <w:b/>
                <w:color w:val="000000" w:themeColor="text1"/>
                <w:sz w:val="20"/>
                <w:szCs w:val="20"/>
              </w:rPr>
              <w:t>4</w:t>
            </w:r>
            <w:r w:rsidRPr="00AB1D70">
              <w:rPr>
                <w:rFonts w:ascii="Arial" w:eastAsia="Times New Roman" w:hAnsi="Arial" w:cs="Arial"/>
                <w:b/>
                <w:color w:val="000000" w:themeColor="text1"/>
                <w:sz w:val="20"/>
                <w:szCs w:val="20"/>
              </w:rPr>
              <w:t>.</w:t>
            </w:r>
          </w:p>
        </w:tc>
        <w:tc>
          <w:tcPr>
            <w:tcW w:w="784" w:type="pct"/>
            <w:vAlign w:val="bottom"/>
          </w:tcPr>
          <w:p w14:paraId="5857B691" w14:textId="7E1395DB"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AB1D70">
              <w:rPr>
                <w:rFonts w:ascii="Arial" w:eastAsia="Times New Roman" w:hAnsi="Arial" w:cs="Arial"/>
                <w:b/>
                <w:color w:val="000000" w:themeColor="text1"/>
                <w:sz w:val="20"/>
                <w:szCs w:val="20"/>
              </w:rPr>
              <w:t>31. prosinca 202</w:t>
            </w:r>
            <w:r w:rsidR="00E3017F">
              <w:rPr>
                <w:rFonts w:ascii="Arial" w:eastAsia="Times New Roman" w:hAnsi="Arial" w:cs="Arial"/>
                <w:b/>
                <w:color w:val="000000" w:themeColor="text1"/>
                <w:sz w:val="20"/>
                <w:szCs w:val="20"/>
              </w:rPr>
              <w:t>3</w:t>
            </w:r>
            <w:r w:rsidRPr="00AB1D70">
              <w:rPr>
                <w:rFonts w:ascii="Arial" w:eastAsia="Times New Roman" w:hAnsi="Arial" w:cs="Arial"/>
                <w:b/>
                <w:color w:val="000000" w:themeColor="text1"/>
                <w:sz w:val="20"/>
                <w:szCs w:val="20"/>
              </w:rPr>
              <w:t>.</w:t>
            </w:r>
          </w:p>
        </w:tc>
        <w:tc>
          <w:tcPr>
            <w:tcW w:w="760" w:type="pct"/>
            <w:vAlign w:val="bottom"/>
          </w:tcPr>
          <w:p w14:paraId="3803C3C0" w14:textId="5068E0B4"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AB1D70">
              <w:rPr>
                <w:rFonts w:ascii="Arial" w:eastAsia="Times New Roman" w:hAnsi="Arial" w:cs="Arial"/>
                <w:b/>
                <w:color w:val="000000" w:themeColor="text1"/>
                <w:sz w:val="20"/>
                <w:szCs w:val="20"/>
              </w:rPr>
              <w:t>31. ožujka 202</w:t>
            </w:r>
            <w:r w:rsidR="00E3017F">
              <w:rPr>
                <w:rFonts w:ascii="Arial" w:eastAsia="Times New Roman" w:hAnsi="Arial" w:cs="Arial"/>
                <w:b/>
                <w:color w:val="000000" w:themeColor="text1"/>
                <w:sz w:val="20"/>
                <w:szCs w:val="20"/>
              </w:rPr>
              <w:t>4</w:t>
            </w:r>
            <w:r w:rsidRPr="00AB1D70">
              <w:rPr>
                <w:rFonts w:ascii="Arial" w:eastAsia="Times New Roman" w:hAnsi="Arial" w:cs="Arial"/>
                <w:b/>
                <w:color w:val="000000" w:themeColor="text1"/>
                <w:sz w:val="20"/>
                <w:szCs w:val="20"/>
              </w:rPr>
              <w:t>.</w:t>
            </w:r>
          </w:p>
        </w:tc>
        <w:tc>
          <w:tcPr>
            <w:tcW w:w="784" w:type="pct"/>
            <w:vAlign w:val="bottom"/>
          </w:tcPr>
          <w:p w14:paraId="037965E2" w14:textId="628133D4"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AB1D70">
              <w:rPr>
                <w:rFonts w:ascii="Arial" w:eastAsia="Times New Roman" w:hAnsi="Arial" w:cs="Arial"/>
                <w:b/>
                <w:color w:val="000000" w:themeColor="text1"/>
                <w:sz w:val="20"/>
                <w:szCs w:val="20"/>
              </w:rPr>
              <w:t>31. prosinca 202</w:t>
            </w:r>
            <w:r w:rsidR="00E3017F">
              <w:rPr>
                <w:rFonts w:ascii="Arial" w:eastAsia="Times New Roman" w:hAnsi="Arial" w:cs="Arial"/>
                <w:b/>
                <w:color w:val="000000" w:themeColor="text1"/>
                <w:sz w:val="20"/>
                <w:szCs w:val="20"/>
              </w:rPr>
              <w:t>3</w:t>
            </w:r>
            <w:r w:rsidRPr="00AB1D70">
              <w:rPr>
                <w:rFonts w:ascii="Arial" w:eastAsia="Times New Roman" w:hAnsi="Arial" w:cs="Arial"/>
                <w:b/>
                <w:color w:val="000000" w:themeColor="text1"/>
                <w:sz w:val="20"/>
                <w:szCs w:val="20"/>
              </w:rPr>
              <w:t>.</w:t>
            </w:r>
          </w:p>
        </w:tc>
      </w:tr>
      <w:tr w:rsidR="00AD5F37" w:rsidRPr="00AB1D70" w14:paraId="3657DEF1" w14:textId="77777777" w:rsidTr="00AB1D70">
        <w:trPr>
          <w:trHeight w:val="216"/>
        </w:trPr>
        <w:tc>
          <w:tcPr>
            <w:tcW w:w="1912" w:type="pct"/>
            <w:vAlign w:val="bottom"/>
          </w:tcPr>
          <w:p w14:paraId="1B12E6D1" w14:textId="77777777" w:rsidR="00AD5F37" w:rsidRPr="00AB1D70" w:rsidRDefault="00AD5F37" w:rsidP="00AD5F37">
            <w:pPr>
              <w:tabs>
                <w:tab w:val="left" w:pos="-1843"/>
              </w:tabs>
              <w:suppressAutoHyphens/>
              <w:autoSpaceDN w:val="0"/>
              <w:rPr>
                <w:rFonts w:ascii="Arial" w:eastAsia="Times New Roman" w:hAnsi="Arial" w:cs="Arial"/>
                <w:color w:val="000000" w:themeColor="text1"/>
                <w:spacing w:val="-2"/>
                <w:sz w:val="20"/>
                <w:szCs w:val="20"/>
              </w:rPr>
            </w:pPr>
          </w:p>
        </w:tc>
        <w:tc>
          <w:tcPr>
            <w:tcW w:w="760" w:type="pct"/>
            <w:vAlign w:val="bottom"/>
          </w:tcPr>
          <w:p w14:paraId="3F2DA755" w14:textId="5B53068C"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AB1D70">
              <w:rPr>
                <w:rFonts w:ascii="Arial" w:eastAsia="Times New Roman" w:hAnsi="Arial" w:cs="Arial"/>
                <w:b/>
                <w:color w:val="000000" w:themeColor="text1"/>
                <w:sz w:val="20"/>
                <w:szCs w:val="20"/>
              </w:rPr>
              <w:t>000 eura</w:t>
            </w:r>
          </w:p>
        </w:tc>
        <w:tc>
          <w:tcPr>
            <w:tcW w:w="784" w:type="pct"/>
            <w:vAlign w:val="bottom"/>
          </w:tcPr>
          <w:p w14:paraId="557945B0" w14:textId="760B98BF"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AB1D70">
              <w:rPr>
                <w:rFonts w:ascii="Arial" w:eastAsia="Times New Roman" w:hAnsi="Arial" w:cs="Arial"/>
                <w:b/>
                <w:color w:val="000000" w:themeColor="text1"/>
                <w:sz w:val="20"/>
                <w:szCs w:val="20"/>
              </w:rPr>
              <w:t>000 eura</w:t>
            </w:r>
          </w:p>
        </w:tc>
        <w:tc>
          <w:tcPr>
            <w:tcW w:w="760" w:type="pct"/>
            <w:vAlign w:val="bottom"/>
          </w:tcPr>
          <w:p w14:paraId="28735AAA" w14:textId="4D738A7F"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AB1D70">
              <w:rPr>
                <w:rFonts w:ascii="Arial" w:eastAsia="Times New Roman" w:hAnsi="Arial" w:cs="Arial"/>
                <w:b/>
                <w:color w:val="000000" w:themeColor="text1"/>
                <w:sz w:val="20"/>
                <w:szCs w:val="20"/>
              </w:rPr>
              <w:t>000 eura</w:t>
            </w:r>
          </w:p>
        </w:tc>
        <w:tc>
          <w:tcPr>
            <w:tcW w:w="784" w:type="pct"/>
            <w:vAlign w:val="bottom"/>
          </w:tcPr>
          <w:p w14:paraId="6C69EA8C" w14:textId="472D584E"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AB1D70">
              <w:rPr>
                <w:rFonts w:ascii="Arial" w:eastAsia="Times New Roman" w:hAnsi="Arial" w:cs="Arial"/>
                <w:b/>
                <w:color w:val="000000" w:themeColor="text1"/>
                <w:sz w:val="20"/>
                <w:szCs w:val="20"/>
              </w:rPr>
              <w:t>000 eura</w:t>
            </w:r>
          </w:p>
        </w:tc>
      </w:tr>
      <w:tr w:rsidR="00AD5F37" w:rsidRPr="00AB1D70" w14:paraId="216EAD84" w14:textId="77777777" w:rsidTr="00AB1D70">
        <w:trPr>
          <w:trHeight w:val="230"/>
        </w:trPr>
        <w:tc>
          <w:tcPr>
            <w:tcW w:w="1912" w:type="pct"/>
            <w:vAlign w:val="bottom"/>
          </w:tcPr>
          <w:p w14:paraId="6410948C" w14:textId="77777777" w:rsidR="00AD5F37" w:rsidRPr="00AB1D70" w:rsidRDefault="00AD5F37" w:rsidP="00AD5F37">
            <w:pPr>
              <w:tabs>
                <w:tab w:val="left" w:pos="-1843"/>
              </w:tabs>
              <w:suppressAutoHyphens/>
              <w:autoSpaceDN w:val="0"/>
              <w:rPr>
                <w:rFonts w:ascii="Arial" w:eastAsia="Times New Roman" w:hAnsi="Arial" w:cs="Arial"/>
                <w:color w:val="000000" w:themeColor="text1"/>
                <w:spacing w:val="-2"/>
                <w:sz w:val="20"/>
                <w:szCs w:val="20"/>
              </w:rPr>
            </w:pPr>
          </w:p>
        </w:tc>
        <w:tc>
          <w:tcPr>
            <w:tcW w:w="760" w:type="pct"/>
            <w:vAlign w:val="bottom"/>
          </w:tcPr>
          <w:p w14:paraId="6B1FA642" w14:textId="77777777"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Cs/>
                <w:color w:val="000000" w:themeColor="text1"/>
                <w:sz w:val="20"/>
                <w:szCs w:val="20"/>
              </w:rPr>
            </w:pPr>
          </w:p>
        </w:tc>
        <w:tc>
          <w:tcPr>
            <w:tcW w:w="784" w:type="pct"/>
            <w:vAlign w:val="bottom"/>
          </w:tcPr>
          <w:p w14:paraId="383A254B" w14:textId="77777777"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Cs/>
                <w:color w:val="000000" w:themeColor="text1"/>
                <w:sz w:val="20"/>
                <w:szCs w:val="20"/>
              </w:rPr>
            </w:pPr>
          </w:p>
        </w:tc>
        <w:tc>
          <w:tcPr>
            <w:tcW w:w="760" w:type="pct"/>
            <w:vAlign w:val="bottom"/>
          </w:tcPr>
          <w:p w14:paraId="29B576B4" w14:textId="77777777"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Cs/>
                <w:color w:val="000000" w:themeColor="text1"/>
                <w:sz w:val="20"/>
                <w:szCs w:val="20"/>
              </w:rPr>
            </w:pPr>
          </w:p>
        </w:tc>
        <w:tc>
          <w:tcPr>
            <w:tcW w:w="784" w:type="pct"/>
            <w:vAlign w:val="bottom"/>
          </w:tcPr>
          <w:p w14:paraId="3197A3AB" w14:textId="77777777" w:rsidR="00AD5F37" w:rsidRPr="00AB1D70" w:rsidRDefault="00AD5F37" w:rsidP="00AD5F37">
            <w:pPr>
              <w:tabs>
                <w:tab w:val="right" w:pos="1202"/>
              </w:tabs>
              <w:suppressAutoHyphens/>
              <w:autoSpaceDN w:val="0"/>
              <w:spacing w:line="240" w:lineRule="atLeast"/>
              <w:jc w:val="right"/>
              <w:outlineLvl w:val="0"/>
              <w:rPr>
                <w:rFonts w:ascii="Arial" w:eastAsia="Times New Roman" w:hAnsi="Arial" w:cs="Arial"/>
                <w:bCs/>
                <w:color w:val="000000" w:themeColor="text1"/>
                <w:sz w:val="20"/>
                <w:szCs w:val="20"/>
              </w:rPr>
            </w:pPr>
          </w:p>
        </w:tc>
      </w:tr>
      <w:tr w:rsidR="00CE79C8" w:rsidRPr="00AB1D70" w14:paraId="397DA92A" w14:textId="77777777" w:rsidTr="00AB1D70">
        <w:trPr>
          <w:trHeight w:val="113"/>
        </w:trPr>
        <w:tc>
          <w:tcPr>
            <w:tcW w:w="1912" w:type="pct"/>
            <w:vAlign w:val="bottom"/>
          </w:tcPr>
          <w:p w14:paraId="2E0364FD" w14:textId="77777777" w:rsidR="00CE79C8" w:rsidRPr="00AB1D70" w:rsidRDefault="00CE79C8" w:rsidP="00CE79C8">
            <w:pPr>
              <w:suppressAutoHyphens/>
              <w:autoSpaceDN w:val="0"/>
              <w:rPr>
                <w:rFonts w:ascii="Arial" w:eastAsia="Calibri" w:hAnsi="Arial" w:cs="Arial"/>
                <w:iCs/>
                <w:color w:val="000000" w:themeColor="text1"/>
                <w:sz w:val="20"/>
                <w:szCs w:val="20"/>
              </w:rPr>
            </w:pPr>
            <w:bookmarkStart w:id="485" w:name="_Toc67328798"/>
            <w:bookmarkStart w:id="486" w:name="_Hlk64901306"/>
            <w:r w:rsidRPr="00AB1D70">
              <w:rPr>
                <w:rFonts w:ascii="Arial" w:eastAsia="Calibri" w:hAnsi="Arial" w:cs="Arial"/>
                <w:iCs/>
                <w:color w:val="000000" w:themeColor="text1"/>
                <w:sz w:val="20"/>
                <w:szCs w:val="20"/>
              </w:rPr>
              <w:t>Obveze za subvencioniranje kamatne stope (a)</w:t>
            </w:r>
            <w:bookmarkEnd w:id="485"/>
            <w:r w:rsidRPr="00AB1D70">
              <w:rPr>
                <w:rFonts w:ascii="Arial" w:eastAsia="Calibri" w:hAnsi="Arial" w:cs="Arial"/>
                <w:iCs/>
                <w:color w:val="000000" w:themeColor="text1"/>
                <w:sz w:val="20"/>
                <w:szCs w:val="20"/>
              </w:rPr>
              <w:t xml:space="preserve">  </w:t>
            </w:r>
          </w:p>
        </w:tc>
        <w:tc>
          <w:tcPr>
            <w:tcW w:w="760" w:type="pct"/>
            <w:tcBorders>
              <w:top w:val="nil"/>
              <w:left w:val="nil"/>
              <w:bottom w:val="nil"/>
              <w:right w:val="nil"/>
            </w:tcBorders>
            <w:shd w:val="clear" w:color="auto" w:fill="auto"/>
            <w:vAlign w:val="bottom"/>
          </w:tcPr>
          <w:p w14:paraId="5346150D" w14:textId="7C174AC7" w:rsidR="00CE79C8" w:rsidRPr="00AB1D70" w:rsidRDefault="00CE79C8" w:rsidP="00CE79C8">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50.180</w:t>
            </w:r>
          </w:p>
        </w:tc>
        <w:tc>
          <w:tcPr>
            <w:tcW w:w="784" w:type="pct"/>
            <w:tcBorders>
              <w:top w:val="nil"/>
              <w:left w:val="nil"/>
              <w:bottom w:val="nil"/>
              <w:right w:val="nil"/>
            </w:tcBorders>
            <w:shd w:val="clear" w:color="auto" w:fill="auto"/>
            <w:vAlign w:val="bottom"/>
          </w:tcPr>
          <w:p w14:paraId="42A27714" w14:textId="4F5F35E6" w:rsidR="00CE79C8" w:rsidRPr="00C75E1D" w:rsidRDefault="00CE79C8" w:rsidP="00CE79C8">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C75E1D">
              <w:rPr>
                <w:rFonts w:ascii="Arial" w:hAnsi="Arial" w:cs="Arial"/>
                <w:sz w:val="20"/>
              </w:rPr>
              <w:t xml:space="preserve"> 34.851 </w:t>
            </w:r>
          </w:p>
        </w:tc>
        <w:tc>
          <w:tcPr>
            <w:tcW w:w="760" w:type="pct"/>
            <w:tcBorders>
              <w:top w:val="nil"/>
              <w:left w:val="nil"/>
              <w:bottom w:val="nil"/>
              <w:right w:val="nil"/>
            </w:tcBorders>
            <w:shd w:val="clear" w:color="auto" w:fill="auto"/>
            <w:vAlign w:val="bottom"/>
          </w:tcPr>
          <w:p w14:paraId="6DBF0E8F" w14:textId="32D7F9CA" w:rsidR="00CE79C8" w:rsidRPr="00AB1D70" w:rsidRDefault="00CE79C8" w:rsidP="00CE79C8">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50.180</w:t>
            </w:r>
          </w:p>
        </w:tc>
        <w:tc>
          <w:tcPr>
            <w:tcW w:w="784" w:type="pct"/>
            <w:tcBorders>
              <w:top w:val="nil"/>
              <w:left w:val="nil"/>
              <w:bottom w:val="nil"/>
              <w:right w:val="nil"/>
            </w:tcBorders>
            <w:shd w:val="clear" w:color="auto" w:fill="auto"/>
            <w:vAlign w:val="bottom"/>
          </w:tcPr>
          <w:p w14:paraId="559E6B0D" w14:textId="3BEEE729" w:rsidR="00CE79C8" w:rsidRPr="002C67DE" w:rsidRDefault="00CE79C8" w:rsidP="00CE79C8">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2C67DE">
              <w:rPr>
                <w:rFonts w:ascii="Arial" w:hAnsi="Arial" w:cs="Arial"/>
                <w:sz w:val="20"/>
              </w:rPr>
              <w:t xml:space="preserve"> 34.851 </w:t>
            </w:r>
          </w:p>
        </w:tc>
      </w:tr>
      <w:tr w:rsidR="00CE79C8" w:rsidRPr="00AB1D70" w14:paraId="63B5C45D" w14:textId="77777777" w:rsidTr="00AB1D70">
        <w:trPr>
          <w:trHeight w:val="227"/>
        </w:trPr>
        <w:tc>
          <w:tcPr>
            <w:tcW w:w="1912" w:type="pct"/>
            <w:vAlign w:val="bottom"/>
          </w:tcPr>
          <w:p w14:paraId="24CF8920" w14:textId="77777777" w:rsidR="00CE79C8" w:rsidRPr="00AB1D70" w:rsidRDefault="00CE79C8" w:rsidP="00CE79C8">
            <w:pPr>
              <w:suppressAutoHyphens/>
              <w:autoSpaceDN w:val="0"/>
              <w:rPr>
                <w:rFonts w:ascii="Arial" w:eastAsia="Calibri" w:hAnsi="Arial" w:cs="Arial"/>
                <w:iCs/>
                <w:color w:val="000000" w:themeColor="text1"/>
                <w:sz w:val="20"/>
                <w:szCs w:val="20"/>
              </w:rPr>
            </w:pPr>
            <w:bookmarkStart w:id="487" w:name="_Toc67328800"/>
            <w:bookmarkEnd w:id="486"/>
            <w:r w:rsidRPr="00AB1D70">
              <w:rPr>
                <w:rFonts w:ascii="Arial" w:eastAsia="Calibri" w:hAnsi="Arial" w:cs="Arial"/>
                <w:iCs/>
                <w:color w:val="000000" w:themeColor="text1"/>
                <w:sz w:val="20"/>
                <w:szCs w:val="20"/>
              </w:rPr>
              <w:t>Odgođeno priznavanje kamatnih prihoda (b)</w:t>
            </w:r>
            <w:bookmarkEnd w:id="487"/>
          </w:p>
        </w:tc>
        <w:tc>
          <w:tcPr>
            <w:tcW w:w="760" w:type="pct"/>
            <w:tcBorders>
              <w:top w:val="nil"/>
              <w:left w:val="nil"/>
              <w:bottom w:val="nil"/>
              <w:right w:val="nil"/>
            </w:tcBorders>
            <w:shd w:val="clear" w:color="auto" w:fill="auto"/>
            <w:vAlign w:val="bottom"/>
          </w:tcPr>
          <w:p w14:paraId="48CC546F" w14:textId="074338EF" w:rsidR="00CE79C8" w:rsidRPr="00AB1D70" w:rsidRDefault="00CE79C8" w:rsidP="00CE79C8">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35.27</w:t>
            </w:r>
            <w:r w:rsidR="00FA4520">
              <w:rPr>
                <w:rFonts w:ascii="Arial" w:eastAsia="Arial Unicode MS" w:hAnsi="Arial" w:cs="Arial"/>
                <w:color w:val="000000" w:themeColor="text1"/>
                <w:sz w:val="20"/>
                <w:szCs w:val="20"/>
              </w:rPr>
              <w:t>0</w:t>
            </w:r>
          </w:p>
        </w:tc>
        <w:tc>
          <w:tcPr>
            <w:tcW w:w="784" w:type="pct"/>
            <w:tcBorders>
              <w:top w:val="nil"/>
              <w:left w:val="nil"/>
              <w:bottom w:val="nil"/>
              <w:right w:val="nil"/>
            </w:tcBorders>
            <w:shd w:val="clear" w:color="auto" w:fill="auto"/>
            <w:vAlign w:val="bottom"/>
          </w:tcPr>
          <w:p w14:paraId="61D00EEC" w14:textId="2A78A43E" w:rsidR="00CE79C8" w:rsidRPr="00C75E1D" w:rsidRDefault="00CE79C8" w:rsidP="00CE79C8">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C75E1D">
              <w:rPr>
                <w:rFonts w:ascii="Arial" w:hAnsi="Arial" w:cs="Arial"/>
                <w:sz w:val="20"/>
              </w:rPr>
              <w:t xml:space="preserve"> 50.515 </w:t>
            </w:r>
          </w:p>
        </w:tc>
        <w:tc>
          <w:tcPr>
            <w:tcW w:w="760" w:type="pct"/>
            <w:tcBorders>
              <w:top w:val="nil"/>
              <w:left w:val="nil"/>
              <w:bottom w:val="nil"/>
              <w:right w:val="nil"/>
            </w:tcBorders>
            <w:shd w:val="clear" w:color="auto" w:fill="auto"/>
            <w:vAlign w:val="bottom"/>
          </w:tcPr>
          <w:p w14:paraId="05D96375" w14:textId="291E883F" w:rsidR="00CE79C8" w:rsidRPr="00AB1D70" w:rsidRDefault="00CE79C8" w:rsidP="00CE79C8">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35.27</w:t>
            </w:r>
            <w:r w:rsidR="00FA4520">
              <w:rPr>
                <w:rFonts w:ascii="Arial" w:eastAsia="Arial Unicode MS" w:hAnsi="Arial" w:cs="Arial"/>
                <w:color w:val="000000" w:themeColor="text1"/>
                <w:sz w:val="20"/>
                <w:szCs w:val="20"/>
              </w:rPr>
              <w:t>0</w:t>
            </w:r>
          </w:p>
        </w:tc>
        <w:tc>
          <w:tcPr>
            <w:tcW w:w="784" w:type="pct"/>
            <w:tcBorders>
              <w:top w:val="nil"/>
              <w:left w:val="nil"/>
              <w:bottom w:val="nil"/>
              <w:right w:val="nil"/>
            </w:tcBorders>
            <w:shd w:val="clear" w:color="auto" w:fill="auto"/>
            <w:vAlign w:val="bottom"/>
          </w:tcPr>
          <w:p w14:paraId="7FC92C4F" w14:textId="09A57133" w:rsidR="00CE79C8" w:rsidRPr="002C67DE" w:rsidRDefault="00CE79C8" w:rsidP="00CE79C8">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2C67DE">
              <w:rPr>
                <w:rFonts w:ascii="Arial" w:hAnsi="Arial" w:cs="Arial"/>
                <w:sz w:val="20"/>
              </w:rPr>
              <w:t xml:space="preserve"> 50.515 </w:t>
            </w:r>
          </w:p>
        </w:tc>
      </w:tr>
      <w:tr w:rsidR="00CE79C8" w:rsidRPr="00AB1D70" w14:paraId="4CA5B57D" w14:textId="77777777" w:rsidTr="00AB1D70">
        <w:trPr>
          <w:trHeight w:val="161"/>
        </w:trPr>
        <w:tc>
          <w:tcPr>
            <w:tcW w:w="1912" w:type="pct"/>
            <w:vAlign w:val="bottom"/>
          </w:tcPr>
          <w:p w14:paraId="4F3B12C1" w14:textId="77777777" w:rsidR="00CE79C8" w:rsidRPr="00AB1D70" w:rsidRDefault="00CE79C8" w:rsidP="00CE79C8">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88" w:name="_Toc67328802"/>
            <w:r w:rsidRPr="00AB1D70">
              <w:rPr>
                <w:rFonts w:ascii="Arial" w:eastAsia="Times New Roman" w:hAnsi="Arial" w:cs="Arial"/>
                <w:color w:val="000000" w:themeColor="text1"/>
                <w:sz w:val="20"/>
                <w:szCs w:val="20"/>
              </w:rPr>
              <w:t>Obveze za isplatu plaća i naknada</w:t>
            </w:r>
            <w:bookmarkEnd w:id="488"/>
          </w:p>
        </w:tc>
        <w:tc>
          <w:tcPr>
            <w:tcW w:w="760" w:type="pct"/>
            <w:tcBorders>
              <w:top w:val="nil"/>
              <w:left w:val="nil"/>
              <w:bottom w:val="nil"/>
              <w:right w:val="nil"/>
            </w:tcBorders>
            <w:shd w:val="clear" w:color="auto" w:fill="auto"/>
            <w:vAlign w:val="bottom"/>
          </w:tcPr>
          <w:p w14:paraId="284B5054" w14:textId="5C9D57BA" w:rsidR="00CE79C8" w:rsidRPr="00AB1D70" w:rsidRDefault="00FA4520" w:rsidP="00CE79C8">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1.442</w:t>
            </w:r>
          </w:p>
        </w:tc>
        <w:tc>
          <w:tcPr>
            <w:tcW w:w="784" w:type="pct"/>
            <w:tcBorders>
              <w:top w:val="nil"/>
              <w:left w:val="nil"/>
              <w:bottom w:val="nil"/>
              <w:right w:val="nil"/>
            </w:tcBorders>
            <w:shd w:val="clear" w:color="auto" w:fill="auto"/>
            <w:vAlign w:val="bottom"/>
          </w:tcPr>
          <w:p w14:paraId="6C5574AA" w14:textId="7D344887" w:rsidR="00CE79C8" w:rsidRPr="00C75E1D" w:rsidRDefault="00CE79C8" w:rsidP="00CE79C8">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C75E1D">
              <w:rPr>
                <w:rFonts w:ascii="Arial" w:hAnsi="Arial" w:cs="Arial"/>
                <w:sz w:val="20"/>
              </w:rPr>
              <w:t xml:space="preserve"> 1.363 </w:t>
            </w:r>
          </w:p>
        </w:tc>
        <w:tc>
          <w:tcPr>
            <w:tcW w:w="760" w:type="pct"/>
            <w:tcBorders>
              <w:top w:val="nil"/>
              <w:left w:val="nil"/>
              <w:bottom w:val="nil"/>
              <w:right w:val="nil"/>
            </w:tcBorders>
            <w:shd w:val="clear" w:color="auto" w:fill="auto"/>
            <w:vAlign w:val="bottom"/>
          </w:tcPr>
          <w:p w14:paraId="256988E8" w14:textId="474C6E7A" w:rsidR="00CE79C8" w:rsidRPr="00AB1D70" w:rsidRDefault="00CE79C8" w:rsidP="00CE79C8">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1.406</w:t>
            </w:r>
          </w:p>
        </w:tc>
        <w:tc>
          <w:tcPr>
            <w:tcW w:w="784" w:type="pct"/>
            <w:tcBorders>
              <w:top w:val="nil"/>
              <w:left w:val="nil"/>
              <w:bottom w:val="nil"/>
              <w:right w:val="nil"/>
            </w:tcBorders>
            <w:shd w:val="clear" w:color="auto" w:fill="auto"/>
            <w:vAlign w:val="bottom"/>
          </w:tcPr>
          <w:p w14:paraId="5CB5FC87" w14:textId="7BB435F7" w:rsidR="00CE79C8" w:rsidRPr="002C67DE" w:rsidRDefault="00CE79C8" w:rsidP="00CE79C8">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2C67DE">
              <w:rPr>
                <w:rFonts w:ascii="Arial" w:hAnsi="Arial" w:cs="Arial"/>
                <w:sz w:val="20"/>
              </w:rPr>
              <w:t xml:space="preserve"> 1.327 </w:t>
            </w:r>
          </w:p>
        </w:tc>
      </w:tr>
      <w:tr w:rsidR="00CE79C8" w:rsidRPr="00AB1D70" w14:paraId="1F718889" w14:textId="77777777" w:rsidTr="00AB1D70">
        <w:trPr>
          <w:trHeight w:val="241"/>
        </w:trPr>
        <w:tc>
          <w:tcPr>
            <w:tcW w:w="1912" w:type="pct"/>
            <w:vAlign w:val="bottom"/>
          </w:tcPr>
          <w:p w14:paraId="0C304C36" w14:textId="77777777" w:rsidR="00CE79C8" w:rsidRPr="00AB1D70" w:rsidRDefault="00CE79C8" w:rsidP="00CE79C8">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89" w:name="_Toc67328806"/>
            <w:r w:rsidRPr="00AB1D70">
              <w:rPr>
                <w:rFonts w:ascii="Arial" w:eastAsia="Times New Roman" w:hAnsi="Arial" w:cs="Arial"/>
                <w:color w:val="000000" w:themeColor="text1"/>
                <w:sz w:val="20"/>
                <w:szCs w:val="20"/>
              </w:rPr>
              <w:t>Obveze prema dobavljačima</w:t>
            </w:r>
            <w:bookmarkEnd w:id="489"/>
          </w:p>
        </w:tc>
        <w:tc>
          <w:tcPr>
            <w:tcW w:w="760" w:type="pct"/>
            <w:tcBorders>
              <w:top w:val="nil"/>
              <w:left w:val="nil"/>
              <w:bottom w:val="nil"/>
              <w:right w:val="nil"/>
            </w:tcBorders>
            <w:shd w:val="clear" w:color="auto" w:fill="auto"/>
            <w:vAlign w:val="bottom"/>
          </w:tcPr>
          <w:p w14:paraId="33E87841" w14:textId="060054CF" w:rsidR="00CE79C8" w:rsidRPr="00AB1D70" w:rsidRDefault="00FA4520" w:rsidP="00CE79C8">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172</w:t>
            </w:r>
          </w:p>
        </w:tc>
        <w:tc>
          <w:tcPr>
            <w:tcW w:w="784" w:type="pct"/>
            <w:tcBorders>
              <w:top w:val="nil"/>
              <w:left w:val="nil"/>
              <w:bottom w:val="nil"/>
              <w:right w:val="nil"/>
            </w:tcBorders>
            <w:shd w:val="clear" w:color="auto" w:fill="auto"/>
            <w:vAlign w:val="bottom"/>
          </w:tcPr>
          <w:p w14:paraId="785A17C6" w14:textId="04A9336E" w:rsidR="00CE79C8" w:rsidRPr="00C75E1D" w:rsidRDefault="00CE79C8" w:rsidP="00CE79C8">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C75E1D">
              <w:rPr>
                <w:rFonts w:ascii="Arial" w:hAnsi="Arial" w:cs="Arial"/>
                <w:sz w:val="20"/>
              </w:rPr>
              <w:t xml:space="preserve"> 184 </w:t>
            </w:r>
          </w:p>
        </w:tc>
        <w:tc>
          <w:tcPr>
            <w:tcW w:w="760" w:type="pct"/>
            <w:tcBorders>
              <w:top w:val="nil"/>
              <w:left w:val="nil"/>
              <w:bottom w:val="nil"/>
              <w:right w:val="nil"/>
            </w:tcBorders>
            <w:shd w:val="clear" w:color="auto" w:fill="auto"/>
            <w:vAlign w:val="bottom"/>
          </w:tcPr>
          <w:p w14:paraId="334EEFAE" w14:textId="6AC1D9DE" w:rsidR="00CE79C8" w:rsidRPr="00AB1D70" w:rsidRDefault="00CE79C8" w:rsidP="00CE79C8">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152</w:t>
            </w:r>
          </w:p>
        </w:tc>
        <w:tc>
          <w:tcPr>
            <w:tcW w:w="784" w:type="pct"/>
            <w:tcBorders>
              <w:top w:val="nil"/>
              <w:left w:val="nil"/>
              <w:bottom w:val="nil"/>
              <w:right w:val="nil"/>
            </w:tcBorders>
            <w:shd w:val="clear" w:color="auto" w:fill="auto"/>
            <w:vAlign w:val="bottom"/>
          </w:tcPr>
          <w:p w14:paraId="764DBDA6" w14:textId="1DDFA86C" w:rsidR="00CE79C8" w:rsidRPr="002C67DE" w:rsidRDefault="00CE79C8" w:rsidP="00CE79C8">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2C67DE">
              <w:rPr>
                <w:rFonts w:ascii="Arial" w:hAnsi="Arial" w:cs="Arial"/>
                <w:sz w:val="20"/>
              </w:rPr>
              <w:t xml:space="preserve"> 159 </w:t>
            </w:r>
          </w:p>
        </w:tc>
      </w:tr>
      <w:tr w:rsidR="00CE79C8" w:rsidRPr="00AB1D70" w14:paraId="56EBD9BF" w14:textId="77777777" w:rsidTr="00AB1D70">
        <w:trPr>
          <w:trHeight w:val="239"/>
        </w:trPr>
        <w:tc>
          <w:tcPr>
            <w:tcW w:w="1912" w:type="pct"/>
            <w:vAlign w:val="bottom"/>
          </w:tcPr>
          <w:p w14:paraId="618FB3BA" w14:textId="77777777" w:rsidR="00CE79C8" w:rsidRPr="00AB1D70" w:rsidRDefault="00CE79C8" w:rsidP="00CE79C8">
            <w:pPr>
              <w:suppressAutoHyphens/>
              <w:autoSpaceDN w:val="0"/>
              <w:rPr>
                <w:rFonts w:ascii="Arial" w:eastAsia="Calibri" w:hAnsi="Arial" w:cs="Arial"/>
                <w:iCs/>
                <w:color w:val="000000" w:themeColor="text1"/>
                <w:sz w:val="20"/>
                <w:szCs w:val="20"/>
              </w:rPr>
            </w:pPr>
            <w:bookmarkStart w:id="490" w:name="_Toc67328810"/>
            <w:r w:rsidRPr="00AB1D70">
              <w:rPr>
                <w:rFonts w:ascii="Arial" w:eastAsia="Calibri" w:hAnsi="Arial" w:cs="Arial"/>
                <w:iCs/>
                <w:color w:val="000000" w:themeColor="text1"/>
                <w:sz w:val="20"/>
                <w:szCs w:val="20"/>
              </w:rPr>
              <w:t>Obveze po više naplaćenim potraživanjima</w:t>
            </w:r>
            <w:bookmarkEnd w:id="490"/>
          </w:p>
        </w:tc>
        <w:tc>
          <w:tcPr>
            <w:tcW w:w="760" w:type="pct"/>
            <w:tcBorders>
              <w:top w:val="nil"/>
              <w:left w:val="nil"/>
              <w:bottom w:val="nil"/>
              <w:right w:val="nil"/>
            </w:tcBorders>
            <w:shd w:val="clear" w:color="auto" w:fill="auto"/>
            <w:vAlign w:val="bottom"/>
          </w:tcPr>
          <w:p w14:paraId="60EEDD1B" w14:textId="4864F312" w:rsidR="00CE79C8" w:rsidRPr="00AB1D70" w:rsidRDefault="00FA4520" w:rsidP="00CE79C8">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929</w:t>
            </w:r>
          </w:p>
        </w:tc>
        <w:tc>
          <w:tcPr>
            <w:tcW w:w="784" w:type="pct"/>
            <w:tcBorders>
              <w:top w:val="nil"/>
              <w:left w:val="nil"/>
              <w:bottom w:val="nil"/>
              <w:right w:val="nil"/>
            </w:tcBorders>
            <w:shd w:val="clear" w:color="auto" w:fill="auto"/>
            <w:vAlign w:val="bottom"/>
          </w:tcPr>
          <w:p w14:paraId="46A53C49" w14:textId="3E5DFA3E" w:rsidR="00CE79C8" w:rsidRPr="00C75E1D" w:rsidRDefault="00CE79C8" w:rsidP="00CE79C8">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C75E1D">
              <w:rPr>
                <w:rFonts w:ascii="Arial" w:hAnsi="Arial" w:cs="Arial"/>
                <w:sz w:val="20"/>
              </w:rPr>
              <w:t xml:space="preserve"> </w:t>
            </w:r>
            <w:r w:rsidR="00F53E8E" w:rsidRPr="00C75E1D">
              <w:rPr>
                <w:rFonts w:ascii="Arial" w:hAnsi="Arial" w:cs="Arial"/>
                <w:sz w:val="20"/>
              </w:rPr>
              <w:t>8</w:t>
            </w:r>
            <w:r w:rsidR="00F53E8E">
              <w:rPr>
                <w:rFonts w:ascii="Arial" w:hAnsi="Arial" w:cs="Arial"/>
                <w:sz w:val="20"/>
              </w:rPr>
              <w:t>70</w:t>
            </w:r>
          </w:p>
        </w:tc>
        <w:tc>
          <w:tcPr>
            <w:tcW w:w="760" w:type="pct"/>
            <w:tcBorders>
              <w:top w:val="nil"/>
              <w:left w:val="nil"/>
              <w:bottom w:val="nil"/>
              <w:right w:val="nil"/>
            </w:tcBorders>
            <w:shd w:val="clear" w:color="auto" w:fill="auto"/>
            <w:vAlign w:val="bottom"/>
          </w:tcPr>
          <w:p w14:paraId="4C069070" w14:textId="671209F4" w:rsidR="00CE79C8" w:rsidRPr="00AB1D70" w:rsidRDefault="00CE79C8" w:rsidP="00CE79C8">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929</w:t>
            </w:r>
          </w:p>
        </w:tc>
        <w:tc>
          <w:tcPr>
            <w:tcW w:w="784" w:type="pct"/>
            <w:tcBorders>
              <w:top w:val="nil"/>
              <w:left w:val="nil"/>
              <w:bottom w:val="nil"/>
              <w:right w:val="nil"/>
            </w:tcBorders>
            <w:shd w:val="clear" w:color="auto" w:fill="auto"/>
            <w:vAlign w:val="bottom"/>
          </w:tcPr>
          <w:p w14:paraId="32E00350" w14:textId="29CC7A2E" w:rsidR="00CE79C8" w:rsidRPr="002C67DE" w:rsidRDefault="00CE79C8" w:rsidP="00CE79C8">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2C67DE">
              <w:rPr>
                <w:rFonts w:ascii="Arial" w:hAnsi="Arial" w:cs="Arial"/>
                <w:sz w:val="20"/>
              </w:rPr>
              <w:t xml:space="preserve"> 870 </w:t>
            </w:r>
          </w:p>
        </w:tc>
      </w:tr>
      <w:tr w:rsidR="00CE79C8" w:rsidRPr="00AB1D70" w14:paraId="5868D13E" w14:textId="77777777" w:rsidTr="00AB1D70">
        <w:trPr>
          <w:trHeight w:val="239"/>
        </w:trPr>
        <w:tc>
          <w:tcPr>
            <w:tcW w:w="1912" w:type="pct"/>
            <w:vAlign w:val="bottom"/>
          </w:tcPr>
          <w:p w14:paraId="2FDF1E3A" w14:textId="689B5402" w:rsidR="00CE79C8" w:rsidRPr="00BF3C1A" w:rsidRDefault="00CE79C8" w:rsidP="00CE79C8">
            <w:pPr>
              <w:suppressAutoHyphens/>
              <w:autoSpaceDN w:val="0"/>
              <w:rPr>
                <w:rFonts w:ascii="Arial" w:eastAsia="Calibri" w:hAnsi="Arial" w:cs="Arial"/>
                <w:iCs/>
                <w:color w:val="000000" w:themeColor="text1"/>
                <w:sz w:val="20"/>
                <w:szCs w:val="20"/>
              </w:rPr>
            </w:pPr>
            <w:r w:rsidRPr="005D1219">
              <w:rPr>
                <w:rFonts w:ascii="Arial" w:hAnsi="Arial" w:cs="Arial"/>
                <w:color w:val="000000" w:themeColor="text1"/>
                <w:sz w:val="20"/>
              </w:rPr>
              <w:t>Obveze za preostalo pokriće</w:t>
            </w:r>
          </w:p>
        </w:tc>
        <w:tc>
          <w:tcPr>
            <w:tcW w:w="760" w:type="pct"/>
            <w:tcBorders>
              <w:top w:val="nil"/>
              <w:left w:val="nil"/>
              <w:bottom w:val="nil"/>
              <w:right w:val="nil"/>
            </w:tcBorders>
            <w:shd w:val="clear" w:color="auto" w:fill="auto"/>
            <w:vAlign w:val="bottom"/>
          </w:tcPr>
          <w:p w14:paraId="1D975D48" w14:textId="74A68ADE" w:rsidR="00CE79C8" w:rsidRPr="00AB1D70" w:rsidRDefault="00FA4520" w:rsidP="00CE79C8">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979</w:t>
            </w:r>
          </w:p>
        </w:tc>
        <w:tc>
          <w:tcPr>
            <w:tcW w:w="784" w:type="pct"/>
            <w:tcBorders>
              <w:top w:val="nil"/>
              <w:left w:val="nil"/>
              <w:bottom w:val="nil"/>
              <w:right w:val="nil"/>
            </w:tcBorders>
            <w:shd w:val="clear" w:color="auto" w:fill="auto"/>
            <w:vAlign w:val="bottom"/>
          </w:tcPr>
          <w:p w14:paraId="52E24E33" w14:textId="1467600D" w:rsidR="00CE79C8" w:rsidRPr="00C75E1D" w:rsidRDefault="00CE79C8" w:rsidP="00CE79C8">
            <w:pPr>
              <w:tabs>
                <w:tab w:val="right" w:pos="1202"/>
              </w:tabs>
              <w:suppressAutoHyphens/>
              <w:autoSpaceDN w:val="0"/>
              <w:spacing w:line="301" w:lineRule="exact"/>
              <w:jc w:val="right"/>
              <w:outlineLvl w:val="0"/>
              <w:rPr>
                <w:rFonts w:ascii="Arial" w:hAnsi="Arial" w:cs="Arial"/>
                <w:sz w:val="20"/>
                <w:szCs w:val="20"/>
              </w:rPr>
            </w:pPr>
            <w:r w:rsidRPr="00C75E1D">
              <w:rPr>
                <w:rFonts w:ascii="Arial" w:hAnsi="Arial" w:cs="Arial"/>
                <w:sz w:val="20"/>
              </w:rPr>
              <w:t>1.049</w:t>
            </w:r>
          </w:p>
        </w:tc>
        <w:tc>
          <w:tcPr>
            <w:tcW w:w="760" w:type="pct"/>
            <w:tcBorders>
              <w:top w:val="nil"/>
              <w:left w:val="nil"/>
              <w:bottom w:val="nil"/>
              <w:right w:val="nil"/>
            </w:tcBorders>
            <w:shd w:val="clear" w:color="auto" w:fill="auto"/>
            <w:vAlign w:val="bottom"/>
          </w:tcPr>
          <w:p w14:paraId="4EDED976" w14:textId="6A62E2B2" w:rsidR="00CE79C8" w:rsidRPr="00AB1D70" w:rsidRDefault="00CE79C8" w:rsidP="00CE79C8">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w:t>
            </w:r>
          </w:p>
        </w:tc>
        <w:tc>
          <w:tcPr>
            <w:tcW w:w="784" w:type="pct"/>
            <w:tcBorders>
              <w:top w:val="nil"/>
              <w:left w:val="nil"/>
              <w:bottom w:val="nil"/>
              <w:right w:val="nil"/>
            </w:tcBorders>
            <w:shd w:val="clear" w:color="auto" w:fill="auto"/>
            <w:vAlign w:val="bottom"/>
          </w:tcPr>
          <w:p w14:paraId="56496306" w14:textId="2477F61A" w:rsidR="00CE79C8" w:rsidRPr="002C67DE" w:rsidRDefault="00CE79C8" w:rsidP="00CE79C8">
            <w:pPr>
              <w:tabs>
                <w:tab w:val="right" w:pos="1202"/>
              </w:tabs>
              <w:suppressAutoHyphens/>
              <w:autoSpaceDN w:val="0"/>
              <w:spacing w:line="301" w:lineRule="exact"/>
              <w:jc w:val="right"/>
              <w:outlineLvl w:val="0"/>
              <w:rPr>
                <w:rFonts w:ascii="Arial" w:hAnsi="Arial" w:cs="Arial"/>
                <w:sz w:val="20"/>
                <w:szCs w:val="20"/>
              </w:rPr>
            </w:pPr>
            <w:r w:rsidRPr="002C67DE">
              <w:rPr>
                <w:rFonts w:ascii="Arial" w:hAnsi="Arial" w:cs="Arial"/>
                <w:sz w:val="20"/>
              </w:rPr>
              <w:t>-</w:t>
            </w:r>
          </w:p>
        </w:tc>
      </w:tr>
      <w:tr w:rsidR="00CE79C8" w:rsidRPr="00AB1D70" w14:paraId="3EED9AD2" w14:textId="77777777" w:rsidTr="00AB1D70">
        <w:trPr>
          <w:trHeight w:val="239"/>
        </w:trPr>
        <w:tc>
          <w:tcPr>
            <w:tcW w:w="1912" w:type="pct"/>
            <w:vAlign w:val="bottom"/>
          </w:tcPr>
          <w:p w14:paraId="6D479F39" w14:textId="397E6561" w:rsidR="00CE79C8" w:rsidRPr="00A615A7" w:rsidRDefault="00CE79C8" w:rsidP="00CE79C8">
            <w:pPr>
              <w:suppressAutoHyphens/>
              <w:autoSpaceDN w:val="0"/>
              <w:rPr>
                <w:rFonts w:ascii="Arial" w:eastAsia="Calibri" w:hAnsi="Arial" w:cs="Arial"/>
                <w:iCs/>
                <w:color w:val="000000" w:themeColor="text1"/>
                <w:sz w:val="20"/>
                <w:szCs w:val="20"/>
              </w:rPr>
            </w:pPr>
            <w:r w:rsidRPr="005D1219">
              <w:rPr>
                <w:rFonts w:ascii="Arial" w:hAnsi="Arial" w:cs="Arial"/>
                <w:color w:val="000000" w:themeColor="text1"/>
                <w:sz w:val="20"/>
              </w:rPr>
              <w:t>Obveze za nastale štete</w:t>
            </w:r>
          </w:p>
        </w:tc>
        <w:tc>
          <w:tcPr>
            <w:tcW w:w="760" w:type="pct"/>
            <w:tcBorders>
              <w:top w:val="nil"/>
              <w:left w:val="nil"/>
              <w:bottom w:val="nil"/>
              <w:right w:val="nil"/>
            </w:tcBorders>
            <w:shd w:val="clear" w:color="auto" w:fill="auto"/>
            <w:vAlign w:val="bottom"/>
          </w:tcPr>
          <w:p w14:paraId="6FB44657" w14:textId="24A3BA50" w:rsidR="00CE79C8" w:rsidRPr="00AB1D70" w:rsidRDefault="00FA4520" w:rsidP="00CE79C8">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1.287</w:t>
            </w:r>
          </w:p>
        </w:tc>
        <w:tc>
          <w:tcPr>
            <w:tcW w:w="784" w:type="pct"/>
            <w:tcBorders>
              <w:top w:val="nil"/>
              <w:left w:val="nil"/>
              <w:bottom w:val="nil"/>
              <w:right w:val="nil"/>
            </w:tcBorders>
            <w:shd w:val="clear" w:color="auto" w:fill="auto"/>
            <w:vAlign w:val="bottom"/>
          </w:tcPr>
          <w:p w14:paraId="71FB6287" w14:textId="5CDC7D35" w:rsidR="00CE79C8" w:rsidRPr="00C75E1D" w:rsidRDefault="00CE79C8" w:rsidP="00CE79C8">
            <w:pPr>
              <w:tabs>
                <w:tab w:val="right" w:pos="1202"/>
              </w:tabs>
              <w:suppressAutoHyphens/>
              <w:autoSpaceDN w:val="0"/>
              <w:spacing w:line="301" w:lineRule="exact"/>
              <w:jc w:val="right"/>
              <w:outlineLvl w:val="0"/>
              <w:rPr>
                <w:rFonts w:ascii="Arial" w:hAnsi="Arial" w:cs="Arial"/>
                <w:sz w:val="20"/>
                <w:szCs w:val="20"/>
              </w:rPr>
            </w:pPr>
            <w:r w:rsidRPr="00C75E1D">
              <w:rPr>
                <w:rFonts w:ascii="Arial" w:hAnsi="Arial" w:cs="Arial"/>
                <w:sz w:val="20"/>
              </w:rPr>
              <w:t>1.291</w:t>
            </w:r>
          </w:p>
        </w:tc>
        <w:tc>
          <w:tcPr>
            <w:tcW w:w="760" w:type="pct"/>
            <w:tcBorders>
              <w:top w:val="nil"/>
              <w:left w:val="nil"/>
              <w:bottom w:val="nil"/>
              <w:right w:val="nil"/>
            </w:tcBorders>
            <w:shd w:val="clear" w:color="auto" w:fill="auto"/>
            <w:vAlign w:val="bottom"/>
          </w:tcPr>
          <w:p w14:paraId="53FFB6AC" w14:textId="78E65128" w:rsidR="00CE79C8" w:rsidRPr="00AB1D70" w:rsidRDefault="00CE79C8" w:rsidP="00CE79C8">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w:t>
            </w:r>
          </w:p>
        </w:tc>
        <w:tc>
          <w:tcPr>
            <w:tcW w:w="784" w:type="pct"/>
            <w:tcBorders>
              <w:top w:val="nil"/>
              <w:left w:val="nil"/>
              <w:bottom w:val="nil"/>
              <w:right w:val="nil"/>
            </w:tcBorders>
            <w:shd w:val="clear" w:color="auto" w:fill="auto"/>
            <w:vAlign w:val="bottom"/>
          </w:tcPr>
          <w:p w14:paraId="140FD867" w14:textId="2929108C" w:rsidR="00CE79C8" w:rsidRPr="002C67DE" w:rsidRDefault="00CE79C8" w:rsidP="00CE79C8">
            <w:pPr>
              <w:tabs>
                <w:tab w:val="right" w:pos="1202"/>
              </w:tabs>
              <w:suppressAutoHyphens/>
              <w:autoSpaceDN w:val="0"/>
              <w:spacing w:line="301" w:lineRule="exact"/>
              <w:jc w:val="right"/>
              <w:outlineLvl w:val="0"/>
              <w:rPr>
                <w:rFonts w:ascii="Arial" w:hAnsi="Arial" w:cs="Arial"/>
                <w:sz w:val="20"/>
                <w:szCs w:val="20"/>
              </w:rPr>
            </w:pPr>
            <w:r w:rsidRPr="002C67DE">
              <w:rPr>
                <w:rFonts w:ascii="Arial" w:hAnsi="Arial" w:cs="Arial"/>
                <w:sz w:val="20"/>
              </w:rPr>
              <w:t>-</w:t>
            </w:r>
          </w:p>
        </w:tc>
      </w:tr>
      <w:tr w:rsidR="00CE79C8" w:rsidRPr="00AB1D70" w14:paraId="173B514F" w14:textId="77777777" w:rsidTr="00AB1D70">
        <w:trPr>
          <w:trHeight w:val="253"/>
        </w:trPr>
        <w:tc>
          <w:tcPr>
            <w:tcW w:w="1912" w:type="pct"/>
            <w:vAlign w:val="bottom"/>
          </w:tcPr>
          <w:p w14:paraId="606EBD5B" w14:textId="77777777" w:rsidR="00CE79C8" w:rsidRPr="00AB1D70" w:rsidRDefault="00CE79C8" w:rsidP="00CE79C8">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91" w:name="_Toc67328830"/>
            <w:r w:rsidRPr="00AB1D70">
              <w:rPr>
                <w:rFonts w:ascii="Arial" w:eastAsia="Times New Roman" w:hAnsi="Arial" w:cs="Arial"/>
                <w:color w:val="000000" w:themeColor="text1"/>
                <w:sz w:val="20"/>
                <w:szCs w:val="20"/>
              </w:rPr>
              <w:t>Odgođena porezna obveza</w:t>
            </w:r>
            <w:bookmarkEnd w:id="491"/>
          </w:p>
        </w:tc>
        <w:tc>
          <w:tcPr>
            <w:tcW w:w="760" w:type="pct"/>
            <w:tcBorders>
              <w:top w:val="nil"/>
              <w:left w:val="nil"/>
              <w:right w:val="nil"/>
            </w:tcBorders>
            <w:shd w:val="clear" w:color="auto" w:fill="auto"/>
            <w:vAlign w:val="bottom"/>
          </w:tcPr>
          <w:p w14:paraId="1363472B" w14:textId="382F4AEE" w:rsidR="00CE79C8" w:rsidRPr="00AB1D70" w:rsidRDefault="00FA4520" w:rsidP="00CE79C8">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w:t>
            </w:r>
          </w:p>
        </w:tc>
        <w:tc>
          <w:tcPr>
            <w:tcW w:w="784" w:type="pct"/>
            <w:tcBorders>
              <w:top w:val="nil"/>
              <w:left w:val="nil"/>
              <w:right w:val="nil"/>
            </w:tcBorders>
            <w:shd w:val="clear" w:color="auto" w:fill="auto"/>
            <w:vAlign w:val="bottom"/>
          </w:tcPr>
          <w:p w14:paraId="62AE00CE" w14:textId="48200273" w:rsidR="00CE79C8" w:rsidRPr="00C75E1D" w:rsidRDefault="00CE79C8" w:rsidP="00CE79C8">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C75E1D">
              <w:rPr>
                <w:rFonts w:ascii="Arial" w:hAnsi="Arial" w:cs="Arial"/>
                <w:sz w:val="20"/>
              </w:rPr>
              <w:t xml:space="preserve">20 </w:t>
            </w:r>
          </w:p>
        </w:tc>
        <w:tc>
          <w:tcPr>
            <w:tcW w:w="760" w:type="pct"/>
            <w:tcBorders>
              <w:top w:val="nil"/>
              <w:left w:val="nil"/>
              <w:right w:val="nil"/>
            </w:tcBorders>
            <w:shd w:val="clear" w:color="auto" w:fill="auto"/>
            <w:vAlign w:val="bottom"/>
          </w:tcPr>
          <w:p w14:paraId="4861C3EA" w14:textId="6E9BCDC0" w:rsidR="00CE79C8" w:rsidRPr="00AB1D70" w:rsidRDefault="00CE79C8" w:rsidP="00CE79C8">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w:t>
            </w:r>
          </w:p>
        </w:tc>
        <w:tc>
          <w:tcPr>
            <w:tcW w:w="784" w:type="pct"/>
            <w:tcBorders>
              <w:top w:val="nil"/>
              <w:left w:val="nil"/>
              <w:right w:val="nil"/>
            </w:tcBorders>
            <w:shd w:val="clear" w:color="auto" w:fill="auto"/>
            <w:vAlign w:val="bottom"/>
          </w:tcPr>
          <w:p w14:paraId="69A5C31E" w14:textId="4F8B7DBC" w:rsidR="00CE79C8" w:rsidRPr="002C67DE" w:rsidRDefault="00CE79C8" w:rsidP="00CE79C8">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2C67DE">
              <w:rPr>
                <w:rFonts w:ascii="Arial" w:hAnsi="Arial" w:cs="Arial"/>
                <w:sz w:val="20"/>
              </w:rPr>
              <w:t xml:space="preserve"> - </w:t>
            </w:r>
          </w:p>
        </w:tc>
      </w:tr>
      <w:tr w:rsidR="00CE79C8" w:rsidRPr="00AB1D70" w14:paraId="54E59DE7" w14:textId="77777777" w:rsidTr="00AB1D70">
        <w:trPr>
          <w:trHeight w:val="241"/>
        </w:trPr>
        <w:tc>
          <w:tcPr>
            <w:tcW w:w="1912" w:type="pct"/>
            <w:vAlign w:val="bottom"/>
          </w:tcPr>
          <w:p w14:paraId="59AAFD65" w14:textId="77777777" w:rsidR="00CE79C8" w:rsidRPr="00AB1D70" w:rsidRDefault="00CE79C8" w:rsidP="00CE79C8">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92" w:name="_Toc67328834"/>
            <w:r w:rsidRPr="00AB1D70">
              <w:rPr>
                <w:rFonts w:ascii="Arial" w:eastAsia="Times New Roman" w:hAnsi="Arial" w:cs="Arial"/>
                <w:color w:val="000000" w:themeColor="text1"/>
                <w:sz w:val="20"/>
                <w:szCs w:val="20"/>
              </w:rPr>
              <w:t>Porez na dobit-tekuća obveza</w:t>
            </w:r>
            <w:bookmarkEnd w:id="492"/>
          </w:p>
        </w:tc>
        <w:tc>
          <w:tcPr>
            <w:tcW w:w="760" w:type="pct"/>
            <w:tcBorders>
              <w:top w:val="nil"/>
              <w:left w:val="nil"/>
              <w:right w:val="nil"/>
            </w:tcBorders>
            <w:shd w:val="clear" w:color="auto" w:fill="auto"/>
            <w:vAlign w:val="bottom"/>
          </w:tcPr>
          <w:p w14:paraId="0FC7E04A" w14:textId="095A6B53" w:rsidR="00CE79C8" w:rsidRPr="00AB1D70" w:rsidRDefault="00FA4520" w:rsidP="00CE79C8">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w:t>
            </w:r>
          </w:p>
        </w:tc>
        <w:tc>
          <w:tcPr>
            <w:tcW w:w="784" w:type="pct"/>
            <w:tcBorders>
              <w:top w:val="nil"/>
              <w:left w:val="nil"/>
              <w:right w:val="nil"/>
            </w:tcBorders>
            <w:shd w:val="clear" w:color="auto" w:fill="auto"/>
            <w:vAlign w:val="bottom"/>
          </w:tcPr>
          <w:p w14:paraId="01F42D23" w14:textId="2F891284" w:rsidR="00CE79C8" w:rsidRPr="00C75E1D" w:rsidRDefault="00CE79C8" w:rsidP="00CE79C8">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C75E1D">
              <w:rPr>
                <w:rFonts w:ascii="Arial" w:hAnsi="Arial" w:cs="Arial"/>
                <w:sz w:val="20"/>
              </w:rPr>
              <w:t xml:space="preserve">10 </w:t>
            </w:r>
          </w:p>
        </w:tc>
        <w:tc>
          <w:tcPr>
            <w:tcW w:w="760" w:type="pct"/>
            <w:tcBorders>
              <w:top w:val="nil"/>
              <w:left w:val="nil"/>
              <w:right w:val="nil"/>
            </w:tcBorders>
            <w:shd w:val="clear" w:color="auto" w:fill="auto"/>
            <w:vAlign w:val="bottom"/>
          </w:tcPr>
          <w:p w14:paraId="0F743850" w14:textId="23C10F23" w:rsidR="00CE79C8" w:rsidRPr="00AB1D70" w:rsidRDefault="00CE79C8" w:rsidP="00CE79C8">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w:t>
            </w:r>
          </w:p>
        </w:tc>
        <w:tc>
          <w:tcPr>
            <w:tcW w:w="784" w:type="pct"/>
            <w:tcBorders>
              <w:top w:val="nil"/>
              <w:left w:val="nil"/>
              <w:right w:val="nil"/>
            </w:tcBorders>
            <w:shd w:val="clear" w:color="auto" w:fill="auto"/>
            <w:vAlign w:val="bottom"/>
          </w:tcPr>
          <w:p w14:paraId="78A10910" w14:textId="41E50C4F" w:rsidR="00CE79C8" w:rsidRPr="002C67DE" w:rsidRDefault="00CE79C8" w:rsidP="00CE79C8">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2C67DE">
              <w:rPr>
                <w:rFonts w:ascii="Arial" w:hAnsi="Arial" w:cs="Arial"/>
                <w:sz w:val="20"/>
              </w:rPr>
              <w:t xml:space="preserve"> - </w:t>
            </w:r>
          </w:p>
        </w:tc>
      </w:tr>
      <w:tr w:rsidR="00CE79C8" w:rsidRPr="00AB1D70" w14:paraId="7718A09A" w14:textId="77777777" w:rsidTr="00AB1D70">
        <w:trPr>
          <w:trHeight w:val="241"/>
        </w:trPr>
        <w:tc>
          <w:tcPr>
            <w:tcW w:w="1912" w:type="pct"/>
            <w:vAlign w:val="bottom"/>
          </w:tcPr>
          <w:p w14:paraId="07E780C3" w14:textId="77777777" w:rsidR="00CE79C8" w:rsidRPr="00AB1D70" w:rsidRDefault="00CE79C8" w:rsidP="00CE79C8">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93" w:name="_Toc67328838"/>
            <w:r w:rsidRPr="00AB1D70">
              <w:rPr>
                <w:rFonts w:ascii="Arial" w:eastAsia="Times New Roman" w:hAnsi="Arial" w:cs="Arial"/>
                <w:color w:val="000000" w:themeColor="text1"/>
                <w:sz w:val="20"/>
                <w:szCs w:val="20"/>
              </w:rPr>
              <w:t>Obveze po osnovi najma</w:t>
            </w:r>
            <w:bookmarkEnd w:id="493"/>
          </w:p>
        </w:tc>
        <w:tc>
          <w:tcPr>
            <w:tcW w:w="760" w:type="pct"/>
            <w:tcBorders>
              <w:top w:val="nil"/>
              <w:left w:val="nil"/>
              <w:right w:val="nil"/>
            </w:tcBorders>
            <w:shd w:val="clear" w:color="auto" w:fill="auto"/>
            <w:vAlign w:val="bottom"/>
          </w:tcPr>
          <w:p w14:paraId="57436426" w14:textId="7146B92B" w:rsidR="00CE79C8" w:rsidRPr="00AB1D70" w:rsidRDefault="00FA4520" w:rsidP="00CE79C8">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1.944</w:t>
            </w:r>
          </w:p>
        </w:tc>
        <w:tc>
          <w:tcPr>
            <w:tcW w:w="784" w:type="pct"/>
            <w:tcBorders>
              <w:top w:val="nil"/>
              <w:left w:val="nil"/>
              <w:right w:val="nil"/>
            </w:tcBorders>
            <w:shd w:val="clear" w:color="auto" w:fill="auto"/>
            <w:vAlign w:val="bottom"/>
          </w:tcPr>
          <w:p w14:paraId="4F65DF32" w14:textId="3F8D2B29" w:rsidR="00CE79C8" w:rsidRPr="00C75E1D" w:rsidRDefault="00CE79C8" w:rsidP="00CE79C8">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C75E1D">
              <w:rPr>
                <w:rFonts w:ascii="Arial" w:eastAsia="Arial Unicode MS" w:hAnsi="Arial" w:cs="Arial"/>
                <w:color w:val="000000" w:themeColor="text1"/>
                <w:sz w:val="20"/>
              </w:rPr>
              <w:t>2.043</w:t>
            </w:r>
          </w:p>
        </w:tc>
        <w:tc>
          <w:tcPr>
            <w:tcW w:w="760" w:type="pct"/>
            <w:tcBorders>
              <w:top w:val="nil"/>
              <w:left w:val="nil"/>
              <w:right w:val="nil"/>
            </w:tcBorders>
            <w:shd w:val="clear" w:color="auto" w:fill="auto"/>
            <w:vAlign w:val="bottom"/>
          </w:tcPr>
          <w:p w14:paraId="12304F64" w14:textId="22EE3606" w:rsidR="00CE79C8" w:rsidRPr="00AB1D70" w:rsidRDefault="00CE79C8" w:rsidP="00CE79C8">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1.835</w:t>
            </w:r>
          </w:p>
        </w:tc>
        <w:tc>
          <w:tcPr>
            <w:tcW w:w="784" w:type="pct"/>
            <w:tcBorders>
              <w:top w:val="nil"/>
              <w:left w:val="nil"/>
              <w:right w:val="nil"/>
            </w:tcBorders>
            <w:shd w:val="clear" w:color="auto" w:fill="auto"/>
            <w:vAlign w:val="bottom"/>
          </w:tcPr>
          <w:p w14:paraId="62627B14" w14:textId="6A39214A" w:rsidR="00CE79C8" w:rsidRPr="002C67DE" w:rsidRDefault="00CE79C8" w:rsidP="00CE79C8">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2C67DE">
              <w:rPr>
                <w:rFonts w:ascii="Arial" w:eastAsia="Arial Unicode MS" w:hAnsi="Arial" w:cs="Arial"/>
                <w:color w:val="000000" w:themeColor="text1"/>
                <w:sz w:val="20"/>
              </w:rPr>
              <w:t>2.042</w:t>
            </w:r>
          </w:p>
        </w:tc>
      </w:tr>
      <w:tr w:rsidR="00CE79C8" w:rsidRPr="00AB1D70" w14:paraId="33FA6CA1" w14:textId="77777777" w:rsidTr="00AB1D70">
        <w:trPr>
          <w:trHeight w:val="241"/>
        </w:trPr>
        <w:tc>
          <w:tcPr>
            <w:tcW w:w="1912" w:type="pct"/>
            <w:vAlign w:val="bottom"/>
          </w:tcPr>
          <w:p w14:paraId="06D63B32" w14:textId="77777777" w:rsidR="00CE79C8" w:rsidRPr="00AB1D70" w:rsidRDefault="00CE79C8" w:rsidP="00CE79C8">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494" w:name="_Toc67328842"/>
            <w:r w:rsidRPr="00AB1D70">
              <w:rPr>
                <w:rFonts w:ascii="Arial" w:eastAsia="Times New Roman" w:hAnsi="Arial" w:cs="Arial"/>
                <w:color w:val="000000" w:themeColor="text1"/>
                <w:sz w:val="20"/>
                <w:szCs w:val="20"/>
              </w:rPr>
              <w:t>Ostale obveze</w:t>
            </w:r>
            <w:bookmarkEnd w:id="494"/>
          </w:p>
        </w:tc>
        <w:tc>
          <w:tcPr>
            <w:tcW w:w="760" w:type="pct"/>
            <w:tcBorders>
              <w:left w:val="nil"/>
              <w:right w:val="nil"/>
            </w:tcBorders>
            <w:shd w:val="clear" w:color="auto" w:fill="auto"/>
            <w:vAlign w:val="bottom"/>
          </w:tcPr>
          <w:p w14:paraId="63A99B65" w14:textId="60E99773" w:rsidR="00CE79C8" w:rsidRPr="00AB1D70" w:rsidRDefault="00FA4520" w:rsidP="00CE79C8">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672</w:t>
            </w:r>
          </w:p>
        </w:tc>
        <w:tc>
          <w:tcPr>
            <w:tcW w:w="784" w:type="pct"/>
            <w:tcBorders>
              <w:left w:val="nil"/>
              <w:right w:val="nil"/>
            </w:tcBorders>
            <w:shd w:val="clear" w:color="auto" w:fill="auto"/>
            <w:vAlign w:val="bottom"/>
          </w:tcPr>
          <w:p w14:paraId="7CBB4E4D" w14:textId="3655FDA2" w:rsidR="00CE79C8" w:rsidRPr="00C75E1D" w:rsidRDefault="00CE79C8" w:rsidP="00CE79C8">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C75E1D">
              <w:rPr>
                <w:rFonts w:ascii="Arial" w:eastAsia="Arial Unicode MS" w:hAnsi="Arial" w:cs="Arial"/>
                <w:color w:val="000000" w:themeColor="text1"/>
                <w:sz w:val="20"/>
              </w:rPr>
              <w:t>92</w:t>
            </w:r>
            <w:r w:rsidR="00F53E8E">
              <w:rPr>
                <w:rFonts w:ascii="Arial" w:eastAsia="Arial Unicode MS" w:hAnsi="Arial" w:cs="Arial"/>
                <w:color w:val="000000" w:themeColor="text1"/>
                <w:sz w:val="20"/>
              </w:rPr>
              <w:t>7</w:t>
            </w:r>
          </w:p>
        </w:tc>
        <w:tc>
          <w:tcPr>
            <w:tcW w:w="760" w:type="pct"/>
            <w:tcBorders>
              <w:left w:val="nil"/>
              <w:right w:val="nil"/>
            </w:tcBorders>
            <w:shd w:val="clear" w:color="auto" w:fill="auto"/>
            <w:vAlign w:val="bottom"/>
          </w:tcPr>
          <w:p w14:paraId="38B7CD4B" w14:textId="4CBF9883" w:rsidR="00CE79C8" w:rsidRPr="00AB1D70" w:rsidRDefault="00CE79C8" w:rsidP="00CE79C8">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60</w:t>
            </w:r>
            <w:r w:rsidR="00FA4520">
              <w:rPr>
                <w:rFonts w:ascii="Arial" w:eastAsia="Arial Unicode MS" w:hAnsi="Arial" w:cs="Arial"/>
                <w:color w:val="000000" w:themeColor="text1"/>
                <w:sz w:val="20"/>
                <w:szCs w:val="20"/>
              </w:rPr>
              <w:t>8</w:t>
            </w:r>
          </w:p>
        </w:tc>
        <w:tc>
          <w:tcPr>
            <w:tcW w:w="784" w:type="pct"/>
            <w:tcBorders>
              <w:left w:val="nil"/>
              <w:right w:val="nil"/>
            </w:tcBorders>
            <w:shd w:val="clear" w:color="auto" w:fill="auto"/>
            <w:vAlign w:val="bottom"/>
          </w:tcPr>
          <w:p w14:paraId="7E4B90AE" w14:textId="394183DD" w:rsidR="00CE79C8" w:rsidRPr="002C67DE" w:rsidRDefault="00CE79C8" w:rsidP="00CE79C8">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sidRPr="002C67DE">
              <w:rPr>
                <w:rFonts w:ascii="Arial" w:eastAsia="Arial Unicode MS" w:hAnsi="Arial" w:cs="Arial"/>
                <w:color w:val="000000" w:themeColor="text1"/>
                <w:sz w:val="20"/>
              </w:rPr>
              <w:t>865</w:t>
            </w:r>
          </w:p>
        </w:tc>
      </w:tr>
      <w:tr w:rsidR="00CE79C8" w:rsidRPr="00AB1D70" w14:paraId="2DF55EB0" w14:textId="77777777" w:rsidTr="00AB1D70">
        <w:trPr>
          <w:trHeight w:val="241"/>
        </w:trPr>
        <w:tc>
          <w:tcPr>
            <w:tcW w:w="1912" w:type="pct"/>
            <w:vAlign w:val="bottom"/>
          </w:tcPr>
          <w:p w14:paraId="0427798E" w14:textId="19EBB1D9" w:rsidR="00CE79C8" w:rsidRPr="000B11D1" w:rsidRDefault="00CE79C8" w:rsidP="00CE79C8">
            <w:pPr>
              <w:tabs>
                <w:tab w:val="right" w:pos="1202"/>
              </w:tabs>
              <w:suppressAutoHyphens/>
              <w:autoSpaceDN w:val="0"/>
              <w:spacing w:line="301" w:lineRule="exact"/>
              <w:outlineLvl w:val="0"/>
              <w:rPr>
                <w:rFonts w:ascii="Arial" w:eastAsia="Times New Roman" w:hAnsi="Arial" w:cs="Arial"/>
                <w:color w:val="000000" w:themeColor="text1"/>
                <w:sz w:val="20"/>
                <w:szCs w:val="20"/>
              </w:rPr>
            </w:pPr>
            <w:r w:rsidRPr="005D1219">
              <w:rPr>
                <w:rFonts w:ascii="Arial" w:hAnsi="Arial" w:cs="Arial"/>
                <w:color w:val="000000" w:themeColor="text1"/>
                <w:sz w:val="20"/>
              </w:rPr>
              <w:t>Derivativne financijske obveze</w:t>
            </w:r>
          </w:p>
        </w:tc>
        <w:tc>
          <w:tcPr>
            <w:tcW w:w="760" w:type="pct"/>
            <w:tcBorders>
              <w:left w:val="nil"/>
              <w:right w:val="nil"/>
            </w:tcBorders>
            <w:shd w:val="clear" w:color="auto" w:fill="auto"/>
            <w:vAlign w:val="bottom"/>
          </w:tcPr>
          <w:p w14:paraId="796EEE43" w14:textId="245FD484" w:rsidR="00CE79C8" w:rsidRPr="00AB1D70" w:rsidRDefault="00FA4520" w:rsidP="00CE79C8">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36</w:t>
            </w:r>
          </w:p>
        </w:tc>
        <w:tc>
          <w:tcPr>
            <w:tcW w:w="784" w:type="pct"/>
            <w:tcBorders>
              <w:left w:val="nil"/>
              <w:right w:val="nil"/>
            </w:tcBorders>
            <w:shd w:val="clear" w:color="auto" w:fill="auto"/>
            <w:vAlign w:val="bottom"/>
          </w:tcPr>
          <w:p w14:paraId="2FB76A97" w14:textId="016ED45E" w:rsidR="00CE79C8" w:rsidRPr="00C75E1D" w:rsidRDefault="00CE79C8" w:rsidP="00CE79C8">
            <w:pPr>
              <w:tabs>
                <w:tab w:val="right" w:pos="1202"/>
              </w:tabs>
              <w:suppressAutoHyphens/>
              <w:autoSpaceDN w:val="0"/>
              <w:spacing w:line="301" w:lineRule="exact"/>
              <w:jc w:val="right"/>
              <w:outlineLvl w:val="0"/>
              <w:rPr>
                <w:rFonts w:ascii="Arial" w:hAnsi="Arial" w:cs="Arial"/>
                <w:sz w:val="20"/>
                <w:szCs w:val="20"/>
              </w:rPr>
            </w:pPr>
            <w:r w:rsidRPr="00C75E1D">
              <w:rPr>
                <w:rFonts w:ascii="Arial" w:eastAsia="Arial Unicode MS" w:hAnsi="Arial" w:cs="Arial"/>
                <w:color w:val="000000" w:themeColor="text1"/>
                <w:sz w:val="20"/>
              </w:rPr>
              <w:t>100</w:t>
            </w:r>
          </w:p>
        </w:tc>
        <w:tc>
          <w:tcPr>
            <w:tcW w:w="760" w:type="pct"/>
            <w:tcBorders>
              <w:left w:val="nil"/>
              <w:right w:val="nil"/>
            </w:tcBorders>
            <w:shd w:val="clear" w:color="auto" w:fill="auto"/>
            <w:vAlign w:val="bottom"/>
          </w:tcPr>
          <w:p w14:paraId="2A80EC36" w14:textId="4E21B28A" w:rsidR="00CE79C8" w:rsidRPr="00AB1D70" w:rsidRDefault="00CE79C8" w:rsidP="00CE79C8">
            <w:pPr>
              <w:tabs>
                <w:tab w:val="right" w:pos="1202"/>
              </w:tabs>
              <w:suppressAutoHyphens/>
              <w:autoSpaceDN w:val="0"/>
              <w:spacing w:line="301" w:lineRule="exact"/>
              <w:jc w:val="right"/>
              <w:outlineLvl w:val="0"/>
              <w:rPr>
                <w:rFonts w:ascii="Arial" w:eastAsia="Arial Unicode MS" w:hAnsi="Arial" w:cs="Arial"/>
                <w:color w:val="000000" w:themeColor="text1"/>
                <w:sz w:val="20"/>
                <w:szCs w:val="20"/>
              </w:rPr>
            </w:pPr>
            <w:r>
              <w:rPr>
                <w:rFonts w:ascii="Arial" w:eastAsia="Arial Unicode MS" w:hAnsi="Arial" w:cs="Arial"/>
                <w:color w:val="000000" w:themeColor="text1"/>
                <w:sz w:val="20"/>
                <w:szCs w:val="20"/>
              </w:rPr>
              <w:t>36</w:t>
            </w:r>
          </w:p>
        </w:tc>
        <w:tc>
          <w:tcPr>
            <w:tcW w:w="784" w:type="pct"/>
            <w:tcBorders>
              <w:left w:val="nil"/>
              <w:right w:val="nil"/>
            </w:tcBorders>
            <w:shd w:val="clear" w:color="auto" w:fill="auto"/>
            <w:vAlign w:val="bottom"/>
          </w:tcPr>
          <w:p w14:paraId="2EF2A6CA" w14:textId="216C8802" w:rsidR="00CE79C8" w:rsidRPr="002C67DE" w:rsidRDefault="00CE79C8" w:rsidP="00CE79C8">
            <w:pPr>
              <w:tabs>
                <w:tab w:val="right" w:pos="1202"/>
              </w:tabs>
              <w:suppressAutoHyphens/>
              <w:autoSpaceDN w:val="0"/>
              <w:spacing w:line="301" w:lineRule="exact"/>
              <w:jc w:val="right"/>
              <w:outlineLvl w:val="0"/>
              <w:rPr>
                <w:rFonts w:ascii="Arial" w:hAnsi="Arial" w:cs="Arial"/>
                <w:sz w:val="20"/>
                <w:szCs w:val="20"/>
              </w:rPr>
            </w:pPr>
            <w:r w:rsidRPr="002C67DE">
              <w:rPr>
                <w:rFonts w:ascii="Arial" w:eastAsia="Arial Unicode MS" w:hAnsi="Arial" w:cs="Arial"/>
                <w:color w:val="000000" w:themeColor="text1"/>
                <w:sz w:val="20"/>
              </w:rPr>
              <w:t>100</w:t>
            </w:r>
          </w:p>
        </w:tc>
      </w:tr>
      <w:tr w:rsidR="00CE79C8" w:rsidRPr="00AB1D70" w14:paraId="01E3B66A" w14:textId="77777777" w:rsidTr="00AB1D70">
        <w:trPr>
          <w:trHeight w:val="241"/>
        </w:trPr>
        <w:tc>
          <w:tcPr>
            <w:tcW w:w="1912" w:type="pct"/>
            <w:vAlign w:val="bottom"/>
          </w:tcPr>
          <w:p w14:paraId="29263B6D" w14:textId="77777777" w:rsidR="00CE79C8" w:rsidRPr="00AB1D70" w:rsidRDefault="00CE79C8" w:rsidP="00CE79C8">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760" w:type="pct"/>
            <w:tcBorders>
              <w:top w:val="single" w:sz="4" w:space="0" w:color="auto"/>
              <w:bottom w:val="single" w:sz="12" w:space="0" w:color="auto"/>
            </w:tcBorders>
            <w:vAlign w:val="bottom"/>
          </w:tcPr>
          <w:p w14:paraId="3AC27D65" w14:textId="0E315E4D" w:rsidR="00CE79C8" w:rsidRPr="00AB1D70" w:rsidRDefault="00FA4520" w:rsidP="00CE79C8">
            <w:pPr>
              <w:tabs>
                <w:tab w:val="right" w:pos="1202"/>
              </w:tabs>
              <w:suppressAutoHyphens/>
              <w:autoSpaceDN w:val="0"/>
              <w:spacing w:line="301" w:lineRule="exact"/>
              <w:jc w:val="right"/>
              <w:outlineLvl w:val="0"/>
              <w:rPr>
                <w:rFonts w:ascii="Arial" w:eastAsia="Arial Unicode MS" w:hAnsi="Arial" w:cs="Arial"/>
                <w:b/>
                <w:bCs/>
                <w:color w:val="000000" w:themeColor="text1"/>
                <w:sz w:val="20"/>
                <w:szCs w:val="20"/>
              </w:rPr>
            </w:pPr>
            <w:r>
              <w:rPr>
                <w:rFonts w:ascii="Arial" w:eastAsia="Arial Unicode MS" w:hAnsi="Arial" w:cs="Arial"/>
                <w:b/>
                <w:bCs/>
                <w:color w:val="000000" w:themeColor="text1"/>
                <w:sz w:val="20"/>
                <w:szCs w:val="20"/>
              </w:rPr>
              <w:t>92.911</w:t>
            </w:r>
          </w:p>
        </w:tc>
        <w:tc>
          <w:tcPr>
            <w:tcW w:w="784" w:type="pct"/>
            <w:tcBorders>
              <w:top w:val="single" w:sz="4" w:space="0" w:color="auto"/>
              <w:bottom w:val="single" w:sz="12" w:space="0" w:color="auto"/>
            </w:tcBorders>
            <w:vAlign w:val="bottom"/>
          </w:tcPr>
          <w:p w14:paraId="52515964" w14:textId="0B808D56" w:rsidR="00CE79C8" w:rsidRPr="00C75E1D" w:rsidRDefault="00CE79C8" w:rsidP="00CE79C8">
            <w:pPr>
              <w:tabs>
                <w:tab w:val="right" w:pos="1202"/>
              </w:tabs>
              <w:suppressAutoHyphens/>
              <w:autoSpaceDN w:val="0"/>
              <w:spacing w:line="301" w:lineRule="exact"/>
              <w:jc w:val="right"/>
              <w:outlineLvl w:val="0"/>
              <w:rPr>
                <w:rFonts w:ascii="Arial" w:eastAsia="Arial Unicode MS" w:hAnsi="Arial" w:cs="Arial"/>
                <w:b/>
                <w:bCs/>
                <w:color w:val="000000" w:themeColor="text1"/>
                <w:sz w:val="20"/>
                <w:szCs w:val="20"/>
              </w:rPr>
            </w:pPr>
            <w:r w:rsidRPr="00C75E1D">
              <w:rPr>
                <w:rFonts w:ascii="Arial" w:hAnsi="Arial" w:cs="Arial"/>
                <w:b/>
                <w:bCs/>
                <w:color w:val="000000" w:themeColor="text1"/>
                <w:sz w:val="20"/>
              </w:rPr>
              <w:t>93.223</w:t>
            </w:r>
          </w:p>
        </w:tc>
        <w:tc>
          <w:tcPr>
            <w:tcW w:w="760" w:type="pct"/>
            <w:tcBorders>
              <w:top w:val="single" w:sz="4" w:space="0" w:color="auto"/>
              <w:bottom w:val="single" w:sz="12" w:space="0" w:color="auto"/>
            </w:tcBorders>
            <w:vAlign w:val="bottom"/>
          </w:tcPr>
          <w:p w14:paraId="15DF3908" w14:textId="5BA25EB7" w:rsidR="00CE79C8" w:rsidRPr="00AB1D70" w:rsidRDefault="00CE79C8" w:rsidP="00CE79C8">
            <w:pPr>
              <w:tabs>
                <w:tab w:val="right" w:pos="1202"/>
              </w:tabs>
              <w:suppressAutoHyphens/>
              <w:autoSpaceDN w:val="0"/>
              <w:spacing w:line="301" w:lineRule="exact"/>
              <w:jc w:val="right"/>
              <w:outlineLvl w:val="0"/>
              <w:rPr>
                <w:rFonts w:ascii="Arial" w:eastAsia="Arial Unicode MS" w:hAnsi="Arial" w:cs="Arial"/>
                <w:b/>
                <w:bCs/>
                <w:color w:val="000000" w:themeColor="text1"/>
                <w:sz w:val="20"/>
                <w:szCs w:val="20"/>
              </w:rPr>
            </w:pPr>
            <w:r>
              <w:rPr>
                <w:rFonts w:ascii="Arial" w:eastAsia="Arial Unicode MS" w:hAnsi="Arial" w:cs="Arial"/>
                <w:b/>
                <w:bCs/>
                <w:color w:val="000000" w:themeColor="text1"/>
                <w:sz w:val="20"/>
                <w:szCs w:val="20"/>
              </w:rPr>
              <w:t>90.416</w:t>
            </w:r>
          </w:p>
        </w:tc>
        <w:tc>
          <w:tcPr>
            <w:tcW w:w="784" w:type="pct"/>
            <w:tcBorders>
              <w:top w:val="single" w:sz="4" w:space="0" w:color="auto"/>
              <w:bottom w:val="single" w:sz="12" w:space="0" w:color="auto"/>
            </w:tcBorders>
            <w:vAlign w:val="bottom"/>
          </w:tcPr>
          <w:p w14:paraId="2F9BAA5E" w14:textId="367A4163" w:rsidR="00CE79C8" w:rsidRPr="002C67DE" w:rsidRDefault="00CE79C8" w:rsidP="00CE79C8">
            <w:pPr>
              <w:tabs>
                <w:tab w:val="right" w:pos="1202"/>
              </w:tabs>
              <w:suppressAutoHyphens/>
              <w:autoSpaceDN w:val="0"/>
              <w:spacing w:line="301" w:lineRule="exact"/>
              <w:jc w:val="right"/>
              <w:outlineLvl w:val="0"/>
              <w:rPr>
                <w:rFonts w:ascii="Arial" w:eastAsia="Arial Unicode MS" w:hAnsi="Arial" w:cs="Arial"/>
                <w:b/>
                <w:bCs/>
                <w:color w:val="000000" w:themeColor="text1"/>
                <w:sz w:val="20"/>
                <w:szCs w:val="20"/>
              </w:rPr>
            </w:pPr>
            <w:r w:rsidRPr="002C67DE">
              <w:rPr>
                <w:rFonts w:ascii="Arial" w:hAnsi="Arial" w:cs="Arial"/>
                <w:b/>
                <w:bCs/>
                <w:color w:val="000000" w:themeColor="text1"/>
                <w:sz w:val="20"/>
              </w:rPr>
              <w:t>90.729</w:t>
            </w:r>
          </w:p>
        </w:tc>
      </w:tr>
    </w:tbl>
    <w:p w14:paraId="17D9A0F4" w14:textId="77777777" w:rsidR="00AD5F37" w:rsidRPr="003D1614" w:rsidRDefault="00AD5F37" w:rsidP="00AD5F37">
      <w:pPr>
        <w:tabs>
          <w:tab w:val="left" w:pos="-1843"/>
        </w:tabs>
        <w:suppressAutoHyphens/>
        <w:autoSpaceDN w:val="0"/>
        <w:rPr>
          <w:rFonts w:ascii="Arial" w:eastAsia="Times New Roman" w:hAnsi="Arial" w:cs="Arial"/>
          <w:b/>
          <w:color w:val="000000" w:themeColor="text1"/>
          <w:spacing w:val="-3"/>
          <w:sz w:val="20"/>
          <w:szCs w:val="20"/>
        </w:rPr>
      </w:pPr>
    </w:p>
    <w:p w14:paraId="13007D13" w14:textId="3D8D600D" w:rsidR="00AD5F37" w:rsidRPr="005D1219" w:rsidRDefault="00AD5F37" w:rsidP="00825AD5">
      <w:pPr>
        <w:pStyle w:val="ListParagraph"/>
        <w:numPr>
          <w:ilvl w:val="0"/>
          <w:numId w:val="34"/>
        </w:numPr>
        <w:autoSpaceDE w:val="0"/>
        <w:ind w:left="284" w:hanging="284"/>
        <w:jc w:val="both"/>
        <w:rPr>
          <w:rFonts w:ascii="Arial" w:eastAsia="Calibri" w:hAnsi="Arial" w:cs="Arial"/>
          <w:color w:val="000000" w:themeColor="text1"/>
          <w:sz w:val="20"/>
          <w:szCs w:val="20"/>
          <w:lang w:val="hr-HR"/>
        </w:rPr>
      </w:pPr>
      <w:r w:rsidRPr="005D1219">
        <w:rPr>
          <w:rFonts w:ascii="Arial" w:eastAsia="Calibri" w:hAnsi="Arial" w:cs="Arial"/>
          <w:color w:val="000000" w:themeColor="text1"/>
          <w:sz w:val="20"/>
          <w:szCs w:val="20"/>
          <w:lang w:val="hr-HR"/>
        </w:rPr>
        <w:t>Obveze za subvencioniranje kamatne stope odnose se na predujmove preuzete za subvencioniranje kamatnih stopa po kreditima, koji su odobreni uz nižu kamatnu stopu krajnjim korisnicima po programima koje HBOR provodi u ime i za račun Republike Hrvatske. Ove obveze odnose se na:</w:t>
      </w:r>
    </w:p>
    <w:p w14:paraId="03D92C83" w14:textId="77777777" w:rsidR="00825AD5" w:rsidRPr="00825AD5" w:rsidRDefault="00825AD5" w:rsidP="00825AD5">
      <w:pPr>
        <w:pStyle w:val="ListParagraph"/>
        <w:autoSpaceDE w:val="0"/>
        <w:jc w:val="both"/>
        <w:rPr>
          <w:rFonts w:ascii="Arial" w:eastAsia="Calibri" w:hAnsi="Arial" w:cs="Arial"/>
          <w:color w:val="000000" w:themeColor="text1"/>
          <w:sz w:val="20"/>
          <w:szCs w:val="20"/>
        </w:rPr>
      </w:pPr>
    </w:p>
    <w:p w14:paraId="48798451" w14:textId="60FE9080" w:rsidR="00AD5F37" w:rsidRPr="003D1614" w:rsidRDefault="00AD5F37" w:rsidP="00AD5F37">
      <w:pPr>
        <w:numPr>
          <w:ilvl w:val="0"/>
          <w:numId w:val="7"/>
        </w:numPr>
        <w:tabs>
          <w:tab w:val="left" w:pos="-1843"/>
        </w:tabs>
        <w:suppressAutoHyphens/>
        <w:autoSpaceDN w:val="0"/>
        <w:jc w:val="both"/>
        <w:rPr>
          <w:rFonts w:ascii="Arial" w:eastAsia="Times New Roman" w:hAnsi="Arial" w:cs="Arial"/>
          <w:color w:val="000000" w:themeColor="text1"/>
          <w:spacing w:val="-3"/>
          <w:sz w:val="20"/>
          <w:szCs w:val="20"/>
        </w:rPr>
      </w:pPr>
      <w:bookmarkStart w:id="495" w:name="_Hlk28592550"/>
      <w:r w:rsidRPr="003D1614">
        <w:rPr>
          <w:rFonts w:ascii="Arial" w:eastAsia="Times New Roman" w:hAnsi="Arial" w:cs="Arial"/>
          <w:color w:val="000000" w:themeColor="text1"/>
          <w:spacing w:val="-3"/>
          <w:sz w:val="20"/>
          <w:szCs w:val="20"/>
        </w:rPr>
        <w:t xml:space="preserve">Program povlaštenog financiranja po kreditnim programima HBOR-a u iznosu </w:t>
      </w:r>
      <w:r w:rsidRPr="00DD05B7">
        <w:rPr>
          <w:rFonts w:ascii="Arial" w:eastAsia="Times New Roman" w:hAnsi="Arial" w:cs="Arial"/>
          <w:color w:val="000000" w:themeColor="text1"/>
          <w:spacing w:val="-3"/>
          <w:sz w:val="20"/>
          <w:szCs w:val="20"/>
        </w:rPr>
        <w:t xml:space="preserve">od </w:t>
      </w:r>
      <w:r w:rsidR="00891F9B">
        <w:rPr>
          <w:rFonts w:ascii="Arial" w:eastAsia="Times New Roman" w:hAnsi="Arial" w:cs="Arial"/>
          <w:color w:val="000000" w:themeColor="text1"/>
          <w:sz w:val="20"/>
          <w:szCs w:val="20"/>
        </w:rPr>
        <w:t>27.404</w:t>
      </w:r>
      <w:r w:rsidR="00DD05B7" w:rsidRPr="00DD05B7">
        <w:rPr>
          <w:rFonts w:ascii="Arial" w:eastAsia="Times New Roman" w:hAnsi="Arial" w:cs="Arial"/>
          <w:color w:val="000000" w:themeColor="text1"/>
          <w:sz w:val="20"/>
          <w:szCs w:val="20"/>
        </w:rPr>
        <w:t xml:space="preserve"> </w:t>
      </w:r>
      <w:r w:rsidRPr="00DD05B7">
        <w:rPr>
          <w:rFonts w:ascii="Arial" w:eastAsia="Times New Roman" w:hAnsi="Arial" w:cs="Arial"/>
          <w:color w:val="000000" w:themeColor="text1"/>
          <w:spacing w:val="-3"/>
          <w:sz w:val="20"/>
          <w:szCs w:val="20"/>
        </w:rPr>
        <w:t>tisuća</w:t>
      </w:r>
      <w:r w:rsidRPr="003D1614">
        <w:rPr>
          <w:rFonts w:ascii="Arial" w:eastAsia="Times New Roman" w:hAnsi="Arial" w:cs="Arial"/>
          <w:color w:val="000000" w:themeColor="text1"/>
          <w:spacing w:val="-3"/>
          <w:sz w:val="20"/>
          <w:szCs w:val="20"/>
        </w:rPr>
        <w:t xml:space="preserve"> eura (31. prosinca 202</w:t>
      </w:r>
      <w:r w:rsidR="00D11A95">
        <w:rPr>
          <w:rFonts w:ascii="Arial" w:eastAsia="Times New Roman" w:hAnsi="Arial" w:cs="Arial"/>
          <w:color w:val="000000" w:themeColor="text1"/>
          <w:spacing w:val="-3"/>
          <w:sz w:val="20"/>
          <w:szCs w:val="20"/>
        </w:rPr>
        <w:t>3</w:t>
      </w:r>
      <w:r w:rsidRPr="003D1614">
        <w:rPr>
          <w:rFonts w:ascii="Arial" w:eastAsia="Times New Roman" w:hAnsi="Arial" w:cs="Arial"/>
          <w:color w:val="000000" w:themeColor="text1"/>
          <w:spacing w:val="-3"/>
          <w:sz w:val="20"/>
          <w:szCs w:val="20"/>
        </w:rPr>
        <w:t xml:space="preserve">.: </w:t>
      </w:r>
      <w:r w:rsidR="004F59BC">
        <w:rPr>
          <w:rFonts w:ascii="Arial" w:eastAsia="Times New Roman" w:hAnsi="Arial" w:cs="Arial"/>
          <w:color w:val="000000" w:themeColor="text1"/>
          <w:spacing w:val="-3"/>
          <w:sz w:val="20"/>
          <w:szCs w:val="20"/>
        </w:rPr>
        <w:t>18.429</w:t>
      </w:r>
      <w:r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pacing w:val="-3"/>
          <w:sz w:val="20"/>
          <w:szCs w:val="20"/>
        </w:rPr>
        <w:t>tisuća eura),</w:t>
      </w:r>
    </w:p>
    <w:p w14:paraId="306E3EC2" w14:textId="56418021" w:rsidR="00AD5F37" w:rsidRPr="003D1614" w:rsidRDefault="00AD5F37" w:rsidP="00AD5F37">
      <w:pPr>
        <w:numPr>
          <w:ilvl w:val="0"/>
          <w:numId w:val="7"/>
        </w:numPr>
        <w:tabs>
          <w:tab w:val="left" w:pos="-1843"/>
        </w:tabs>
        <w:suppressAutoHyphens/>
        <w:autoSpaceDN w:val="0"/>
        <w:jc w:val="both"/>
        <w:rPr>
          <w:rFonts w:ascii="Arial" w:eastAsia="Times New Roman" w:hAnsi="Arial" w:cs="Arial"/>
          <w:color w:val="000000" w:themeColor="text1"/>
          <w:spacing w:val="-3"/>
          <w:sz w:val="20"/>
          <w:szCs w:val="20"/>
        </w:rPr>
      </w:pPr>
      <w:r w:rsidRPr="003D1614">
        <w:rPr>
          <w:rFonts w:ascii="Arial" w:eastAsia="Times New Roman" w:hAnsi="Arial" w:cs="Arial"/>
          <w:color w:val="000000" w:themeColor="text1"/>
          <w:spacing w:val="-3"/>
          <w:sz w:val="20"/>
          <w:szCs w:val="20"/>
        </w:rPr>
        <w:t xml:space="preserve">Financijski instrument Fonda subvencija kamata po kreditima za mikro, male i srednje poslovne subjekte u iznosu </w:t>
      </w:r>
      <w:r w:rsidRPr="00DD05B7">
        <w:rPr>
          <w:rFonts w:ascii="Arial" w:eastAsia="Times New Roman" w:hAnsi="Arial" w:cs="Arial"/>
          <w:color w:val="000000" w:themeColor="text1"/>
          <w:spacing w:val="-3"/>
          <w:sz w:val="20"/>
          <w:szCs w:val="20"/>
        </w:rPr>
        <w:t>od</w:t>
      </w:r>
      <w:r w:rsidRPr="00DD05B7">
        <w:rPr>
          <w:rFonts w:ascii="Arial" w:eastAsia="Times New Roman" w:hAnsi="Arial" w:cs="Arial"/>
          <w:color w:val="000000" w:themeColor="text1"/>
          <w:sz w:val="20"/>
          <w:szCs w:val="20"/>
        </w:rPr>
        <w:t xml:space="preserve"> </w:t>
      </w:r>
      <w:r w:rsidR="00891F9B" w:rsidRPr="00EA0DC2">
        <w:rPr>
          <w:rFonts w:ascii="Arial" w:eastAsia="Times New Roman" w:hAnsi="Arial" w:cs="Arial"/>
          <w:color w:val="000000" w:themeColor="text1"/>
          <w:sz w:val="20"/>
          <w:szCs w:val="20"/>
        </w:rPr>
        <w:t>9.351</w:t>
      </w:r>
      <w:r w:rsidRPr="005D1219">
        <w:rPr>
          <w:rFonts w:ascii="Arial" w:eastAsia="Times New Roman" w:hAnsi="Arial" w:cs="Arial"/>
          <w:color w:val="000000" w:themeColor="text1"/>
          <w:sz w:val="20"/>
          <w:szCs w:val="20"/>
        </w:rPr>
        <w:t xml:space="preserve"> </w:t>
      </w:r>
      <w:r w:rsidRPr="005D1219">
        <w:rPr>
          <w:rFonts w:ascii="Arial" w:eastAsia="Times New Roman" w:hAnsi="Arial" w:cs="Arial"/>
          <w:color w:val="000000" w:themeColor="text1"/>
          <w:spacing w:val="-3"/>
          <w:sz w:val="20"/>
          <w:szCs w:val="20"/>
        </w:rPr>
        <w:t>tisuća</w:t>
      </w:r>
      <w:r w:rsidRPr="00DD05B7">
        <w:rPr>
          <w:rFonts w:ascii="Arial" w:eastAsia="Times New Roman" w:hAnsi="Arial" w:cs="Arial"/>
          <w:color w:val="000000" w:themeColor="text1"/>
          <w:spacing w:val="-3"/>
          <w:sz w:val="20"/>
          <w:szCs w:val="20"/>
        </w:rPr>
        <w:t xml:space="preserve"> eura </w:t>
      </w:r>
      <w:bookmarkStart w:id="496" w:name="_Hlk109394198"/>
      <w:r w:rsidRPr="00DD05B7">
        <w:rPr>
          <w:rFonts w:ascii="Arial" w:eastAsia="Times New Roman" w:hAnsi="Arial" w:cs="Arial"/>
          <w:color w:val="000000" w:themeColor="text1"/>
          <w:spacing w:val="-3"/>
          <w:sz w:val="20"/>
          <w:szCs w:val="20"/>
        </w:rPr>
        <w:t>(31. prosinca 202</w:t>
      </w:r>
      <w:r w:rsidR="004F59BC">
        <w:rPr>
          <w:rFonts w:ascii="Arial" w:eastAsia="Times New Roman" w:hAnsi="Arial" w:cs="Arial"/>
          <w:color w:val="000000" w:themeColor="text1"/>
          <w:spacing w:val="-3"/>
          <w:sz w:val="20"/>
          <w:szCs w:val="20"/>
        </w:rPr>
        <w:t>3</w:t>
      </w:r>
      <w:r w:rsidRPr="00DD05B7">
        <w:rPr>
          <w:rFonts w:ascii="Arial" w:eastAsia="Times New Roman" w:hAnsi="Arial" w:cs="Arial"/>
          <w:color w:val="000000" w:themeColor="text1"/>
          <w:spacing w:val="-3"/>
          <w:sz w:val="20"/>
          <w:szCs w:val="20"/>
        </w:rPr>
        <w:t xml:space="preserve">.: </w:t>
      </w:r>
      <w:r w:rsidR="00EE386D">
        <w:rPr>
          <w:rFonts w:ascii="Arial" w:eastAsia="Times New Roman" w:hAnsi="Arial" w:cs="Arial"/>
          <w:color w:val="000000" w:themeColor="text1"/>
          <w:spacing w:val="-3"/>
          <w:sz w:val="20"/>
          <w:szCs w:val="20"/>
        </w:rPr>
        <w:t>4.950</w:t>
      </w:r>
      <w:r w:rsidRPr="00DD05B7">
        <w:rPr>
          <w:rFonts w:ascii="Arial" w:eastAsia="Times New Roman" w:hAnsi="Arial" w:cs="Arial"/>
          <w:color w:val="000000" w:themeColor="text1"/>
          <w:spacing w:val="-3"/>
          <w:sz w:val="20"/>
          <w:szCs w:val="20"/>
        </w:rPr>
        <w:t xml:space="preserve"> tisuća</w:t>
      </w:r>
      <w:r w:rsidRPr="003D1614">
        <w:rPr>
          <w:rFonts w:ascii="Arial" w:eastAsia="Times New Roman" w:hAnsi="Arial" w:cs="Arial"/>
          <w:color w:val="000000" w:themeColor="text1"/>
          <w:spacing w:val="-3"/>
          <w:sz w:val="20"/>
          <w:szCs w:val="20"/>
        </w:rPr>
        <w:t xml:space="preserve"> eura),</w:t>
      </w:r>
      <w:bookmarkEnd w:id="496"/>
    </w:p>
    <w:p w14:paraId="106A6E93" w14:textId="29DD5B0A" w:rsidR="00AD5F37" w:rsidRPr="003D1614" w:rsidRDefault="00AD5F37" w:rsidP="00AD5F37">
      <w:pPr>
        <w:numPr>
          <w:ilvl w:val="0"/>
          <w:numId w:val="7"/>
        </w:numPr>
        <w:tabs>
          <w:tab w:val="left" w:pos="-1843"/>
        </w:tabs>
        <w:suppressAutoHyphens/>
        <w:autoSpaceDN w:val="0"/>
        <w:jc w:val="both"/>
        <w:rPr>
          <w:rFonts w:ascii="Arial" w:eastAsia="Times New Roman" w:hAnsi="Arial" w:cs="Arial"/>
          <w:color w:val="000000" w:themeColor="text1"/>
          <w:spacing w:val="-3"/>
          <w:sz w:val="20"/>
          <w:szCs w:val="20"/>
        </w:rPr>
      </w:pPr>
      <w:r w:rsidRPr="003D1614">
        <w:rPr>
          <w:rFonts w:ascii="Arial" w:eastAsia="Times New Roman" w:hAnsi="Arial" w:cs="Arial"/>
          <w:color w:val="000000" w:themeColor="text1"/>
          <w:spacing w:val="-3"/>
          <w:sz w:val="20"/>
          <w:szCs w:val="20"/>
        </w:rPr>
        <w:t xml:space="preserve">Financijski instrument Fonda subvencija kamata po kreditima subjektima srednje tržišne kapitalizacije i velikim poslovnim subjektima u </w:t>
      </w:r>
      <w:r w:rsidRPr="00EA0DC2">
        <w:rPr>
          <w:rFonts w:ascii="Arial" w:eastAsia="Times New Roman" w:hAnsi="Arial" w:cs="Arial"/>
          <w:color w:val="000000" w:themeColor="text1"/>
          <w:spacing w:val="-3"/>
          <w:sz w:val="20"/>
          <w:szCs w:val="20"/>
        </w:rPr>
        <w:t xml:space="preserve">iznosu </w:t>
      </w:r>
      <w:r w:rsidRPr="005D1219">
        <w:rPr>
          <w:rFonts w:ascii="Arial" w:eastAsia="Times New Roman" w:hAnsi="Arial" w:cs="Arial"/>
          <w:color w:val="000000" w:themeColor="text1"/>
          <w:spacing w:val="-3"/>
          <w:sz w:val="20"/>
          <w:szCs w:val="20"/>
        </w:rPr>
        <w:t xml:space="preserve">od </w:t>
      </w:r>
      <w:r w:rsidR="00DD05B7" w:rsidRPr="005D1219">
        <w:rPr>
          <w:rFonts w:ascii="Arial" w:eastAsia="Times New Roman" w:hAnsi="Arial" w:cs="Arial"/>
          <w:color w:val="000000" w:themeColor="text1"/>
          <w:spacing w:val="-3"/>
          <w:sz w:val="20"/>
          <w:szCs w:val="20"/>
        </w:rPr>
        <w:t>6.</w:t>
      </w:r>
      <w:r w:rsidR="00891F9B" w:rsidRPr="005D1219">
        <w:rPr>
          <w:rFonts w:ascii="Arial" w:eastAsia="Times New Roman" w:hAnsi="Arial" w:cs="Arial"/>
          <w:color w:val="000000" w:themeColor="text1"/>
          <w:spacing w:val="-3"/>
          <w:sz w:val="20"/>
          <w:szCs w:val="20"/>
        </w:rPr>
        <w:t>537</w:t>
      </w:r>
      <w:r w:rsidRPr="00EA0DC2">
        <w:rPr>
          <w:rFonts w:ascii="Arial" w:eastAsia="Times New Roman" w:hAnsi="Arial" w:cs="Arial"/>
          <w:color w:val="000000" w:themeColor="text1"/>
          <w:sz w:val="20"/>
          <w:szCs w:val="20"/>
        </w:rPr>
        <w:t xml:space="preserve"> </w:t>
      </w:r>
      <w:r w:rsidRPr="00EA0DC2">
        <w:rPr>
          <w:rFonts w:ascii="Arial" w:eastAsia="Times New Roman" w:hAnsi="Arial" w:cs="Arial"/>
          <w:color w:val="000000" w:themeColor="text1"/>
          <w:spacing w:val="-3"/>
          <w:sz w:val="20"/>
          <w:szCs w:val="20"/>
        </w:rPr>
        <w:t>tisu</w:t>
      </w:r>
      <w:r w:rsidRPr="003D1614">
        <w:rPr>
          <w:rFonts w:ascii="Arial" w:eastAsia="Times New Roman" w:hAnsi="Arial" w:cs="Arial"/>
          <w:color w:val="000000" w:themeColor="text1"/>
          <w:spacing w:val="-3"/>
          <w:sz w:val="20"/>
          <w:szCs w:val="20"/>
        </w:rPr>
        <w:t>ća eura (31. prosinca 202</w:t>
      </w:r>
      <w:r w:rsidR="00EE386D">
        <w:rPr>
          <w:rFonts w:ascii="Arial" w:eastAsia="Times New Roman" w:hAnsi="Arial" w:cs="Arial"/>
          <w:color w:val="000000" w:themeColor="text1"/>
          <w:spacing w:val="-3"/>
          <w:sz w:val="20"/>
          <w:szCs w:val="20"/>
        </w:rPr>
        <w:t>3</w:t>
      </w:r>
      <w:r w:rsidRPr="003D1614">
        <w:rPr>
          <w:rFonts w:ascii="Arial" w:eastAsia="Times New Roman" w:hAnsi="Arial" w:cs="Arial"/>
          <w:color w:val="000000" w:themeColor="text1"/>
          <w:spacing w:val="-3"/>
          <w:sz w:val="20"/>
          <w:szCs w:val="20"/>
        </w:rPr>
        <w:t xml:space="preserve">.: </w:t>
      </w:r>
      <w:r w:rsidR="006025A2">
        <w:rPr>
          <w:rFonts w:ascii="Arial" w:eastAsia="Times New Roman" w:hAnsi="Arial" w:cs="Arial"/>
          <w:color w:val="000000" w:themeColor="text1"/>
          <w:spacing w:val="-3"/>
          <w:sz w:val="20"/>
          <w:szCs w:val="20"/>
        </w:rPr>
        <w:t>5.393</w:t>
      </w:r>
      <w:r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pacing w:val="-3"/>
          <w:sz w:val="20"/>
          <w:szCs w:val="20"/>
        </w:rPr>
        <w:t xml:space="preserve"> tisuća eura),</w:t>
      </w:r>
    </w:p>
    <w:p w14:paraId="5E20A590" w14:textId="2BFA5B70" w:rsidR="00AD5F37" w:rsidRPr="003D1614" w:rsidRDefault="00AD5F37" w:rsidP="00AD5F37">
      <w:pPr>
        <w:numPr>
          <w:ilvl w:val="0"/>
          <w:numId w:val="7"/>
        </w:numPr>
        <w:tabs>
          <w:tab w:val="left" w:pos="-1843"/>
        </w:tabs>
        <w:suppressAutoHyphens/>
        <w:autoSpaceDN w:val="0"/>
        <w:jc w:val="both"/>
        <w:rPr>
          <w:rFonts w:ascii="Arial" w:eastAsia="Times New Roman" w:hAnsi="Arial" w:cs="Arial"/>
          <w:color w:val="000000" w:themeColor="text1"/>
          <w:spacing w:val="-3"/>
          <w:sz w:val="20"/>
          <w:szCs w:val="20"/>
        </w:rPr>
      </w:pPr>
      <w:r w:rsidRPr="003D1614">
        <w:rPr>
          <w:rFonts w:ascii="Arial" w:eastAsia="Times New Roman" w:hAnsi="Arial" w:cs="Arial"/>
          <w:color w:val="000000" w:themeColor="text1"/>
          <w:spacing w:val="-3"/>
          <w:sz w:val="20"/>
          <w:szCs w:val="20"/>
        </w:rPr>
        <w:t xml:space="preserve">Financijski instrument Fonda subvencija kamata po kreditima za subjekte javnog sektora u iznosu </w:t>
      </w:r>
      <w:r w:rsidRPr="00EA0DC2">
        <w:rPr>
          <w:rFonts w:ascii="Arial" w:eastAsia="Times New Roman" w:hAnsi="Arial" w:cs="Arial"/>
          <w:color w:val="000000" w:themeColor="text1"/>
          <w:spacing w:val="-3"/>
          <w:sz w:val="20"/>
          <w:szCs w:val="20"/>
        </w:rPr>
        <w:t xml:space="preserve">od </w:t>
      </w:r>
      <w:r w:rsidR="00DD05B7" w:rsidRPr="005D1219">
        <w:rPr>
          <w:rFonts w:ascii="Arial" w:eastAsia="Times New Roman" w:hAnsi="Arial" w:cs="Arial"/>
          <w:color w:val="000000" w:themeColor="text1"/>
          <w:spacing w:val="-3"/>
          <w:sz w:val="20"/>
          <w:szCs w:val="20"/>
        </w:rPr>
        <w:t>6</w:t>
      </w:r>
      <w:r w:rsidR="00825AD5" w:rsidRPr="005D1219">
        <w:rPr>
          <w:rFonts w:ascii="Arial" w:eastAsia="Times New Roman" w:hAnsi="Arial" w:cs="Arial"/>
          <w:color w:val="000000" w:themeColor="text1"/>
          <w:spacing w:val="-3"/>
          <w:sz w:val="20"/>
          <w:szCs w:val="20"/>
        </w:rPr>
        <w:t>.</w:t>
      </w:r>
      <w:r w:rsidR="00891F9B">
        <w:rPr>
          <w:rFonts w:ascii="Arial" w:eastAsia="Times New Roman" w:hAnsi="Arial" w:cs="Arial"/>
          <w:color w:val="000000" w:themeColor="text1"/>
          <w:spacing w:val="-3"/>
          <w:sz w:val="20"/>
          <w:szCs w:val="20"/>
        </w:rPr>
        <w:t>888</w:t>
      </w:r>
      <w:r w:rsidRPr="00EA0DC2">
        <w:rPr>
          <w:rFonts w:ascii="Arial" w:eastAsia="Times New Roman" w:hAnsi="Arial" w:cs="Arial"/>
          <w:color w:val="000000" w:themeColor="text1"/>
          <w:sz w:val="20"/>
          <w:szCs w:val="20"/>
        </w:rPr>
        <w:t xml:space="preserve"> </w:t>
      </w:r>
      <w:r w:rsidRPr="00EA0DC2">
        <w:rPr>
          <w:rFonts w:ascii="Arial" w:eastAsia="Times New Roman" w:hAnsi="Arial" w:cs="Arial"/>
          <w:color w:val="000000" w:themeColor="text1"/>
          <w:spacing w:val="-3"/>
          <w:sz w:val="20"/>
          <w:szCs w:val="20"/>
        </w:rPr>
        <w:t>tisuća</w:t>
      </w:r>
      <w:r w:rsidRPr="003D1614">
        <w:rPr>
          <w:rFonts w:ascii="Arial" w:eastAsia="Times New Roman" w:hAnsi="Arial" w:cs="Arial"/>
          <w:color w:val="000000" w:themeColor="text1"/>
          <w:spacing w:val="-3"/>
          <w:sz w:val="20"/>
          <w:szCs w:val="20"/>
        </w:rPr>
        <w:t xml:space="preserve"> eura (31. prosinca 202</w:t>
      </w:r>
      <w:r w:rsidR="006025A2">
        <w:rPr>
          <w:rFonts w:ascii="Arial" w:eastAsia="Times New Roman" w:hAnsi="Arial" w:cs="Arial"/>
          <w:color w:val="000000" w:themeColor="text1"/>
          <w:spacing w:val="-3"/>
          <w:sz w:val="20"/>
          <w:szCs w:val="20"/>
        </w:rPr>
        <w:t>3</w:t>
      </w:r>
      <w:r w:rsidRPr="003D1614">
        <w:rPr>
          <w:rFonts w:ascii="Arial" w:eastAsia="Times New Roman" w:hAnsi="Arial" w:cs="Arial"/>
          <w:color w:val="000000" w:themeColor="text1"/>
          <w:spacing w:val="-3"/>
          <w:sz w:val="20"/>
          <w:szCs w:val="20"/>
        </w:rPr>
        <w:t>.:</w:t>
      </w:r>
      <w:r w:rsidR="00825AD5">
        <w:rPr>
          <w:rFonts w:ascii="Arial" w:eastAsia="Times New Roman" w:hAnsi="Arial" w:cs="Arial"/>
          <w:color w:val="000000" w:themeColor="text1"/>
          <w:spacing w:val="-3"/>
          <w:sz w:val="20"/>
          <w:szCs w:val="20"/>
        </w:rPr>
        <w:t xml:space="preserve"> 6.</w:t>
      </w:r>
      <w:r w:rsidR="006025A2">
        <w:rPr>
          <w:rFonts w:ascii="Arial" w:eastAsia="Times New Roman" w:hAnsi="Arial" w:cs="Arial"/>
          <w:color w:val="000000" w:themeColor="text1"/>
          <w:spacing w:val="-3"/>
          <w:sz w:val="20"/>
          <w:szCs w:val="20"/>
        </w:rPr>
        <w:t>079</w:t>
      </w:r>
      <w:r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pacing w:val="-3"/>
          <w:sz w:val="20"/>
          <w:szCs w:val="20"/>
        </w:rPr>
        <w:t xml:space="preserve"> tisuća eura).</w:t>
      </w:r>
    </w:p>
    <w:bookmarkEnd w:id="495"/>
    <w:p w14:paraId="257C6CF1" w14:textId="77777777" w:rsidR="00AD5F37" w:rsidRPr="003D1614" w:rsidRDefault="00AD5F37" w:rsidP="00AD5F37">
      <w:pPr>
        <w:tabs>
          <w:tab w:val="left" w:pos="-1843"/>
        </w:tabs>
        <w:suppressAutoHyphens/>
        <w:autoSpaceDN w:val="0"/>
        <w:ind w:left="720"/>
        <w:jc w:val="both"/>
        <w:rPr>
          <w:rFonts w:ascii="Arial" w:eastAsia="Times New Roman" w:hAnsi="Arial" w:cs="Arial"/>
          <w:color w:val="000000" w:themeColor="text1"/>
          <w:sz w:val="20"/>
          <w:szCs w:val="24"/>
        </w:rPr>
      </w:pPr>
    </w:p>
    <w:p w14:paraId="20432694" w14:textId="76EBF12F" w:rsidR="00AD5F37" w:rsidRPr="003D1614" w:rsidRDefault="00AD5F37" w:rsidP="00AD5F37">
      <w:pPr>
        <w:tabs>
          <w:tab w:val="left" w:pos="-1843"/>
        </w:tabs>
        <w:suppressAutoHyphens/>
        <w:spacing w:after="120"/>
        <w:jc w:val="both"/>
        <w:rPr>
          <w:rFonts w:ascii="Arial" w:eastAsia="Times New Roman" w:hAnsi="Arial" w:cs="Arial"/>
          <w:color w:val="000000" w:themeColor="text1"/>
          <w:spacing w:val="-3"/>
          <w:sz w:val="20"/>
          <w:szCs w:val="20"/>
        </w:rPr>
        <w:sectPr w:rsidR="00AD5F37" w:rsidRPr="003D1614">
          <w:pgSz w:w="11906" w:h="16838"/>
          <w:pgMar w:top="1417" w:right="1417" w:bottom="1417" w:left="1417" w:header="708" w:footer="708" w:gutter="0"/>
          <w:cols w:space="708"/>
          <w:docGrid w:linePitch="360"/>
        </w:sectPr>
      </w:pPr>
      <w:r w:rsidRPr="003D1614">
        <w:rPr>
          <w:rFonts w:ascii="Arial" w:eastAsia="Times New Roman" w:hAnsi="Arial" w:cs="Arial"/>
          <w:color w:val="000000" w:themeColor="text1"/>
          <w:spacing w:val="-3"/>
          <w:sz w:val="20"/>
          <w:szCs w:val="20"/>
        </w:rPr>
        <w:t xml:space="preserve">(b) Odgođeno priznavanje kamatnih prihoda u iznosu od </w:t>
      </w:r>
      <w:r w:rsidR="00891F9B">
        <w:rPr>
          <w:rFonts w:ascii="Arial" w:eastAsia="Times New Roman" w:hAnsi="Arial" w:cs="Arial"/>
          <w:color w:val="000000" w:themeColor="text1"/>
          <w:spacing w:val="-3"/>
          <w:sz w:val="20"/>
          <w:szCs w:val="20"/>
        </w:rPr>
        <w:t>35.270</w:t>
      </w:r>
      <w:r w:rsidR="00994783"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pacing w:val="-3"/>
          <w:sz w:val="20"/>
          <w:szCs w:val="20"/>
        </w:rPr>
        <w:t xml:space="preserve">tisuća </w:t>
      </w:r>
      <w:r w:rsidR="00994783" w:rsidRPr="003D1614">
        <w:rPr>
          <w:rFonts w:ascii="Arial" w:eastAsia="Times New Roman" w:hAnsi="Arial" w:cs="Arial"/>
          <w:color w:val="000000" w:themeColor="text1"/>
          <w:spacing w:val="-3"/>
          <w:sz w:val="20"/>
          <w:szCs w:val="20"/>
        </w:rPr>
        <w:t>eura</w:t>
      </w:r>
      <w:r w:rsidRPr="003D1614">
        <w:rPr>
          <w:rFonts w:ascii="Arial" w:eastAsia="Times New Roman" w:hAnsi="Arial" w:cs="Arial"/>
          <w:color w:val="000000" w:themeColor="text1"/>
          <w:spacing w:val="-3"/>
          <w:sz w:val="20"/>
          <w:szCs w:val="20"/>
        </w:rPr>
        <w:t xml:space="preserve"> (31. prosinca </w:t>
      </w:r>
      <w:r w:rsidR="00994783" w:rsidRPr="003D1614">
        <w:rPr>
          <w:rFonts w:ascii="Arial" w:eastAsia="Times New Roman" w:hAnsi="Arial" w:cs="Arial"/>
          <w:color w:val="000000" w:themeColor="text1"/>
          <w:spacing w:val="-3"/>
          <w:sz w:val="20"/>
          <w:szCs w:val="20"/>
        </w:rPr>
        <w:t>202</w:t>
      </w:r>
      <w:r w:rsidR="00B405F5">
        <w:rPr>
          <w:rFonts w:ascii="Arial" w:eastAsia="Times New Roman" w:hAnsi="Arial" w:cs="Arial"/>
          <w:color w:val="000000" w:themeColor="text1"/>
          <w:spacing w:val="-3"/>
          <w:sz w:val="20"/>
          <w:szCs w:val="20"/>
        </w:rPr>
        <w:t>3</w:t>
      </w:r>
      <w:r w:rsidRPr="003D1614">
        <w:rPr>
          <w:rFonts w:ascii="Arial" w:eastAsia="Times New Roman" w:hAnsi="Arial" w:cs="Arial"/>
          <w:color w:val="000000" w:themeColor="text1"/>
          <w:spacing w:val="-3"/>
          <w:sz w:val="20"/>
          <w:szCs w:val="20"/>
        </w:rPr>
        <w:t xml:space="preserve">.: </w:t>
      </w:r>
      <w:r w:rsidR="00B405F5">
        <w:rPr>
          <w:rFonts w:ascii="Arial" w:eastAsia="Times New Roman" w:hAnsi="Arial" w:cs="Arial"/>
          <w:color w:val="000000" w:themeColor="text1"/>
          <w:spacing w:val="-3"/>
          <w:sz w:val="20"/>
          <w:szCs w:val="20"/>
        </w:rPr>
        <w:t>50.515</w:t>
      </w:r>
      <w:r w:rsidR="00994783"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pacing w:val="-3"/>
          <w:sz w:val="20"/>
          <w:szCs w:val="20"/>
        </w:rPr>
        <w:t xml:space="preserve">tisuća </w:t>
      </w:r>
      <w:r w:rsidR="00994783" w:rsidRPr="003D1614">
        <w:rPr>
          <w:rFonts w:ascii="Arial" w:eastAsia="Times New Roman" w:hAnsi="Arial" w:cs="Arial"/>
          <w:color w:val="000000" w:themeColor="text1"/>
          <w:spacing w:val="-3"/>
          <w:sz w:val="20"/>
          <w:szCs w:val="20"/>
        </w:rPr>
        <w:t>eura</w:t>
      </w:r>
      <w:r w:rsidRPr="003D1614">
        <w:rPr>
          <w:rFonts w:ascii="Arial" w:eastAsia="Times New Roman" w:hAnsi="Arial" w:cs="Arial"/>
          <w:color w:val="000000" w:themeColor="text1"/>
          <w:spacing w:val="-3"/>
          <w:sz w:val="20"/>
          <w:szCs w:val="20"/>
        </w:rPr>
        <w:t xml:space="preserve">) sastoji se od državne subvencije za kamate na kredite, koji su odobreni i povučeni od strane krajnjeg korisnika po nižoj kamatnoj stopi, ali još nisu u fazi otplate u iznosu od </w:t>
      </w:r>
      <w:r w:rsidR="00891F9B">
        <w:rPr>
          <w:rFonts w:ascii="Arial" w:eastAsia="Times New Roman" w:hAnsi="Arial" w:cs="Arial"/>
          <w:color w:val="000000" w:themeColor="text1"/>
          <w:spacing w:val="-3"/>
          <w:sz w:val="20"/>
          <w:szCs w:val="20"/>
        </w:rPr>
        <w:t>0</w:t>
      </w:r>
      <w:r w:rsidR="00994783"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pacing w:val="-3"/>
          <w:sz w:val="20"/>
          <w:szCs w:val="20"/>
        </w:rPr>
        <w:t xml:space="preserve">tisuća </w:t>
      </w:r>
      <w:r w:rsidR="00994783" w:rsidRPr="003D1614">
        <w:rPr>
          <w:rFonts w:ascii="Arial" w:eastAsia="Times New Roman" w:hAnsi="Arial" w:cs="Arial"/>
          <w:color w:val="000000" w:themeColor="text1"/>
          <w:spacing w:val="-3"/>
          <w:sz w:val="20"/>
          <w:szCs w:val="20"/>
        </w:rPr>
        <w:t>eura</w:t>
      </w:r>
      <w:r w:rsidRPr="003D1614">
        <w:rPr>
          <w:rFonts w:ascii="Arial" w:eastAsia="Times New Roman" w:hAnsi="Arial" w:cs="Arial"/>
          <w:color w:val="000000" w:themeColor="text1"/>
          <w:spacing w:val="-3"/>
          <w:sz w:val="20"/>
          <w:szCs w:val="20"/>
        </w:rPr>
        <w:t xml:space="preserve"> (31. prosinca </w:t>
      </w:r>
      <w:r w:rsidR="00994783" w:rsidRPr="003D1614">
        <w:rPr>
          <w:rFonts w:ascii="Arial" w:eastAsia="Times New Roman" w:hAnsi="Arial" w:cs="Arial"/>
          <w:color w:val="000000" w:themeColor="text1"/>
          <w:spacing w:val="-3"/>
          <w:sz w:val="20"/>
          <w:szCs w:val="20"/>
        </w:rPr>
        <w:t>202</w:t>
      </w:r>
      <w:r w:rsidR="003247D0">
        <w:rPr>
          <w:rFonts w:ascii="Arial" w:eastAsia="Times New Roman" w:hAnsi="Arial" w:cs="Arial"/>
          <w:color w:val="000000" w:themeColor="text1"/>
          <w:spacing w:val="-3"/>
          <w:sz w:val="20"/>
          <w:szCs w:val="20"/>
        </w:rPr>
        <w:t>3</w:t>
      </w:r>
      <w:r w:rsidRPr="003D1614">
        <w:rPr>
          <w:rFonts w:ascii="Arial" w:eastAsia="Times New Roman" w:hAnsi="Arial" w:cs="Arial"/>
          <w:color w:val="000000" w:themeColor="text1"/>
          <w:spacing w:val="-3"/>
          <w:sz w:val="20"/>
          <w:szCs w:val="20"/>
        </w:rPr>
        <w:t>.:</w:t>
      </w:r>
      <w:r w:rsidR="00825AD5">
        <w:rPr>
          <w:rFonts w:ascii="Arial" w:eastAsia="Times New Roman" w:hAnsi="Arial" w:cs="Arial"/>
          <w:color w:val="000000" w:themeColor="text1"/>
          <w:spacing w:val="-3"/>
          <w:sz w:val="20"/>
          <w:szCs w:val="20"/>
        </w:rPr>
        <w:t xml:space="preserve"> </w:t>
      </w:r>
      <w:r w:rsidR="003247D0">
        <w:rPr>
          <w:rFonts w:ascii="Arial" w:eastAsia="Times New Roman" w:hAnsi="Arial" w:cs="Arial"/>
          <w:color w:val="000000" w:themeColor="text1"/>
          <w:spacing w:val="-3"/>
          <w:sz w:val="20"/>
          <w:szCs w:val="20"/>
        </w:rPr>
        <w:t>13.532</w:t>
      </w:r>
      <w:r w:rsidR="00994783"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pacing w:val="-3"/>
          <w:sz w:val="20"/>
          <w:szCs w:val="20"/>
        </w:rPr>
        <w:t xml:space="preserve">tisuća </w:t>
      </w:r>
      <w:r w:rsidR="00994783" w:rsidRPr="003D1614">
        <w:rPr>
          <w:rFonts w:ascii="Arial" w:eastAsia="Times New Roman" w:hAnsi="Arial" w:cs="Arial"/>
          <w:color w:val="000000" w:themeColor="text1"/>
          <w:spacing w:val="-3"/>
          <w:sz w:val="20"/>
          <w:szCs w:val="20"/>
        </w:rPr>
        <w:t>eura</w:t>
      </w:r>
      <w:r w:rsidRPr="003D1614">
        <w:rPr>
          <w:rFonts w:ascii="Arial" w:eastAsia="Times New Roman" w:hAnsi="Arial" w:cs="Arial"/>
          <w:color w:val="000000" w:themeColor="text1"/>
          <w:spacing w:val="-3"/>
          <w:sz w:val="20"/>
          <w:szCs w:val="20"/>
        </w:rPr>
        <w:t xml:space="preserve">) te onih koji su u fazi otplate u iznosu od </w:t>
      </w:r>
      <w:r w:rsidR="00891F9B">
        <w:rPr>
          <w:rFonts w:ascii="Arial" w:eastAsia="Times New Roman" w:hAnsi="Arial" w:cs="Arial"/>
          <w:color w:val="000000" w:themeColor="text1"/>
          <w:spacing w:val="-3"/>
          <w:sz w:val="20"/>
          <w:szCs w:val="20"/>
        </w:rPr>
        <w:t>35.270</w:t>
      </w:r>
      <w:r w:rsidR="00994783"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pacing w:val="-3"/>
          <w:sz w:val="20"/>
          <w:szCs w:val="20"/>
        </w:rPr>
        <w:t xml:space="preserve">tisuća </w:t>
      </w:r>
      <w:r w:rsidR="00994783" w:rsidRPr="003D1614">
        <w:rPr>
          <w:rFonts w:ascii="Arial" w:eastAsia="Times New Roman" w:hAnsi="Arial" w:cs="Arial"/>
          <w:color w:val="000000" w:themeColor="text1"/>
          <w:spacing w:val="-3"/>
          <w:sz w:val="20"/>
          <w:szCs w:val="20"/>
        </w:rPr>
        <w:t>eura</w:t>
      </w:r>
      <w:r w:rsidRPr="003D1614">
        <w:rPr>
          <w:rFonts w:ascii="Arial" w:eastAsia="Times New Roman" w:hAnsi="Arial" w:cs="Arial"/>
          <w:color w:val="000000" w:themeColor="text1"/>
          <w:spacing w:val="-3"/>
          <w:sz w:val="20"/>
          <w:szCs w:val="20"/>
        </w:rPr>
        <w:t xml:space="preserve"> (31. prosinca </w:t>
      </w:r>
      <w:r w:rsidR="00994783" w:rsidRPr="003D1614">
        <w:rPr>
          <w:rFonts w:ascii="Arial" w:eastAsia="Times New Roman" w:hAnsi="Arial" w:cs="Arial"/>
          <w:color w:val="000000" w:themeColor="text1"/>
          <w:spacing w:val="-3"/>
          <w:sz w:val="20"/>
          <w:szCs w:val="20"/>
        </w:rPr>
        <w:t>202</w:t>
      </w:r>
      <w:r w:rsidR="003247D0">
        <w:rPr>
          <w:rFonts w:ascii="Arial" w:eastAsia="Times New Roman" w:hAnsi="Arial" w:cs="Arial"/>
          <w:color w:val="000000" w:themeColor="text1"/>
          <w:spacing w:val="-3"/>
          <w:sz w:val="20"/>
          <w:szCs w:val="20"/>
        </w:rPr>
        <w:t>3</w:t>
      </w:r>
      <w:r w:rsidRPr="003D1614">
        <w:rPr>
          <w:rFonts w:ascii="Arial" w:eastAsia="Times New Roman" w:hAnsi="Arial" w:cs="Arial"/>
          <w:color w:val="000000" w:themeColor="text1"/>
          <w:spacing w:val="-3"/>
          <w:sz w:val="20"/>
          <w:szCs w:val="20"/>
        </w:rPr>
        <w:t xml:space="preserve">.: </w:t>
      </w:r>
      <w:r w:rsidR="00636064">
        <w:rPr>
          <w:rFonts w:ascii="Arial" w:eastAsia="Times New Roman" w:hAnsi="Arial" w:cs="Arial"/>
          <w:color w:val="000000" w:themeColor="text1"/>
          <w:spacing w:val="-3"/>
          <w:sz w:val="20"/>
          <w:szCs w:val="20"/>
        </w:rPr>
        <w:t>36.983</w:t>
      </w:r>
      <w:r w:rsidR="00994783" w:rsidRPr="003D1614">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pacing w:val="-3"/>
          <w:sz w:val="20"/>
          <w:szCs w:val="20"/>
        </w:rPr>
        <w:t xml:space="preserve">tisuća </w:t>
      </w:r>
      <w:r w:rsidR="00994783" w:rsidRPr="003D1614">
        <w:rPr>
          <w:rFonts w:ascii="Arial" w:eastAsia="Times New Roman" w:hAnsi="Arial" w:cs="Arial"/>
          <w:color w:val="000000" w:themeColor="text1"/>
          <w:spacing w:val="-3"/>
          <w:sz w:val="20"/>
          <w:szCs w:val="20"/>
        </w:rPr>
        <w:t>eura</w:t>
      </w:r>
      <w:r w:rsidRPr="003D1614">
        <w:rPr>
          <w:rFonts w:ascii="Arial" w:eastAsia="Times New Roman" w:hAnsi="Arial" w:cs="Arial"/>
          <w:color w:val="000000" w:themeColor="text1"/>
          <w:spacing w:val="-3"/>
          <w:sz w:val="20"/>
          <w:szCs w:val="20"/>
        </w:rPr>
        <w:t xml:space="preserve">). </w:t>
      </w:r>
    </w:p>
    <w:p w14:paraId="6CE1F407" w14:textId="77777777" w:rsidR="00994783" w:rsidRPr="003D1614" w:rsidRDefault="00994783" w:rsidP="00994783">
      <w:pPr>
        <w:keepNext/>
        <w:suppressAutoHyphens/>
        <w:autoSpaceDN w:val="0"/>
        <w:jc w:val="both"/>
        <w:outlineLvl w:val="0"/>
        <w:rPr>
          <w:rFonts w:ascii="Arial" w:eastAsia="Times New Roman" w:hAnsi="Arial" w:cs="Arial"/>
          <w:b/>
          <w:bCs/>
          <w:color w:val="000000" w:themeColor="text1"/>
          <w:sz w:val="20"/>
          <w:szCs w:val="20"/>
        </w:rPr>
      </w:pPr>
    </w:p>
    <w:p w14:paraId="335BB072" w14:textId="3742D38E" w:rsidR="00994783" w:rsidRPr="003D1614" w:rsidRDefault="00994783" w:rsidP="00994783">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1</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Garancije i preuzete obveze</w:t>
      </w:r>
    </w:p>
    <w:p w14:paraId="5F8CE1A6" w14:textId="77777777" w:rsidR="00994783" w:rsidRPr="003D1614" w:rsidRDefault="00994783" w:rsidP="00994783">
      <w:pPr>
        <w:keepNext/>
        <w:suppressAutoHyphens/>
        <w:autoSpaceDN w:val="0"/>
        <w:jc w:val="both"/>
        <w:outlineLvl w:val="0"/>
        <w:rPr>
          <w:rFonts w:ascii="Arial" w:eastAsia="Times New Roman" w:hAnsi="Arial" w:cs="Arial"/>
          <w:b/>
          <w:bCs/>
          <w:color w:val="000000" w:themeColor="text1"/>
          <w:sz w:val="20"/>
          <w:szCs w:val="20"/>
        </w:rPr>
      </w:pPr>
    </w:p>
    <w:p w14:paraId="3AB98E26" w14:textId="77777777" w:rsidR="00994783" w:rsidRPr="003D1614" w:rsidRDefault="00994783" w:rsidP="00994783">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U okviru svog redovnog poslovanja, Grupa zaključuje ugovore o garancijama i preuzetim obvezama. Svrha ovih instrumenata je osigurati raspoloživost sredstava s obzirom na potrebe klijenata. </w:t>
      </w:r>
    </w:p>
    <w:p w14:paraId="7B8F1068" w14:textId="77777777" w:rsidR="00994783" w:rsidRPr="003D1614" w:rsidRDefault="00994783" w:rsidP="00994783">
      <w:pPr>
        <w:keepNext/>
        <w:suppressAutoHyphens/>
        <w:autoSpaceDN w:val="0"/>
        <w:jc w:val="both"/>
        <w:outlineLvl w:val="0"/>
        <w:rPr>
          <w:rFonts w:ascii="Arial" w:eastAsia="Times New Roman" w:hAnsi="Arial" w:cs="Arial"/>
          <w:bCs/>
          <w:color w:val="000000" w:themeColor="text1"/>
          <w:sz w:val="20"/>
          <w:szCs w:val="20"/>
        </w:rPr>
      </w:pPr>
    </w:p>
    <w:p w14:paraId="3A75665C" w14:textId="77777777" w:rsidR="00994783" w:rsidRPr="003D1614" w:rsidRDefault="00994783" w:rsidP="00994783">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Navedene obveze sadrže kreditni rizik te su stoga dio ukupnog rizika Grupe iako se ne prikazuju u Izvještaju o financijskom položaju.</w:t>
      </w:r>
    </w:p>
    <w:p w14:paraId="44E4A592" w14:textId="77777777" w:rsidR="00994783" w:rsidRPr="003D1614" w:rsidRDefault="00994783" w:rsidP="00994783">
      <w:pPr>
        <w:keepNext/>
        <w:suppressAutoHyphens/>
        <w:autoSpaceDN w:val="0"/>
        <w:jc w:val="both"/>
        <w:outlineLvl w:val="0"/>
        <w:rPr>
          <w:rFonts w:ascii="Arial" w:eastAsia="Times New Roman" w:hAnsi="Arial" w:cs="Arial"/>
          <w:bCs/>
          <w:color w:val="000000" w:themeColor="text1"/>
          <w:sz w:val="20"/>
          <w:szCs w:val="20"/>
        </w:rPr>
      </w:pPr>
    </w:p>
    <w:tbl>
      <w:tblPr>
        <w:tblW w:w="5000" w:type="pct"/>
        <w:tblLayout w:type="fixed"/>
        <w:tblCellMar>
          <w:left w:w="122" w:type="dxa"/>
          <w:right w:w="122" w:type="dxa"/>
        </w:tblCellMar>
        <w:tblLook w:val="0000" w:firstRow="0" w:lastRow="0" w:firstColumn="0" w:lastColumn="0" w:noHBand="0" w:noVBand="0"/>
      </w:tblPr>
      <w:tblGrid>
        <w:gridCol w:w="5362"/>
        <w:gridCol w:w="1854"/>
        <w:gridCol w:w="1856"/>
      </w:tblGrid>
      <w:tr w:rsidR="00994783" w:rsidRPr="003D1614" w14:paraId="14D92A48" w14:textId="77777777" w:rsidTr="00994783">
        <w:trPr>
          <w:trHeight w:val="277"/>
        </w:trPr>
        <w:tc>
          <w:tcPr>
            <w:tcW w:w="2955" w:type="pct"/>
            <w:vAlign w:val="bottom"/>
          </w:tcPr>
          <w:p w14:paraId="12B0BD31" w14:textId="77777777" w:rsidR="00994783" w:rsidRPr="003D1614" w:rsidRDefault="00994783" w:rsidP="00994783">
            <w:pPr>
              <w:tabs>
                <w:tab w:val="left" w:pos="-720"/>
              </w:tabs>
              <w:suppressAutoHyphens/>
              <w:autoSpaceDN w:val="0"/>
              <w:rPr>
                <w:rFonts w:ascii="Arial" w:eastAsia="Times New Roman" w:hAnsi="Arial" w:cs="Arial"/>
                <w:b/>
                <w:color w:val="000000" w:themeColor="text1"/>
                <w:spacing w:val="-3"/>
                <w:sz w:val="20"/>
                <w:szCs w:val="20"/>
              </w:rPr>
            </w:pPr>
            <w:r w:rsidRPr="003D1614">
              <w:rPr>
                <w:rFonts w:ascii="Arial" w:eastAsia="Times New Roman" w:hAnsi="Arial" w:cs="Arial"/>
                <w:b/>
                <w:color w:val="000000" w:themeColor="text1"/>
                <w:spacing w:val="-3"/>
                <w:sz w:val="20"/>
                <w:szCs w:val="20"/>
              </w:rPr>
              <w:t>Grupa i Banka</w:t>
            </w:r>
          </w:p>
        </w:tc>
        <w:tc>
          <w:tcPr>
            <w:tcW w:w="2045" w:type="pct"/>
            <w:gridSpan w:val="2"/>
            <w:vAlign w:val="bottom"/>
          </w:tcPr>
          <w:p w14:paraId="2156AA8A" w14:textId="77777777" w:rsidR="00994783" w:rsidRPr="003D1614" w:rsidRDefault="00994783"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p>
        </w:tc>
      </w:tr>
      <w:tr w:rsidR="00994783" w:rsidRPr="003D1614" w14:paraId="2A7F7A1E" w14:textId="77777777" w:rsidTr="00994783">
        <w:trPr>
          <w:trHeight w:val="202"/>
        </w:trPr>
        <w:tc>
          <w:tcPr>
            <w:tcW w:w="2955" w:type="pct"/>
            <w:vAlign w:val="bottom"/>
          </w:tcPr>
          <w:p w14:paraId="6A37BDD5" w14:textId="77777777" w:rsidR="00994783" w:rsidRPr="003D1614" w:rsidRDefault="00994783" w:rsidP="00994783">
            <w:pPr>
              <w:tabs>
                <w:tab w:val="left" w:pos="-720"/>
              </w:tabs>
              <w:suppressAutoHyphens/>
              <w:autoSpaceDN w:val="0"/>
              <w:jc w:val="right"/>
              <w:rPr>
                <w:rFonts w:ascii="Arial" w:eastAsia="Times New Roman" w:hAnsi="Arial" w:cs="Arial"/>
                <w:color w:val="000000" w:themeColor="text1"/>
                <w:spacing w:val="-3"/>
                <w:sz w:val="20"/>
                <w:szCs w:val="20"/>
              </w:rPr>
            </w:pPr>
          </w:p>
        </w:tc>
        <w:tc>
          <w:tcPr>
            <w:tcW w:w="1022" w:type="pct"/>
            <w:vAlign w:val="bottom"/>
          </w:tcPr>
          <w:p w14:paraId="777A7EA0" w14:textId="61077E18" w:rsidR="00994783" w:rsidRPr="003D1614" w:rsidRDefault="00994783"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97" w:name="_Toc67328859"/>
            <w:r w:rsidRPr="003D1614">
              <w:rPr>
                <w:rFonts w:ascii="Arial" w:eastAsia="Times New Roman" w:hAnsi="Arial" w:cs="Arial"/>
                <w:b/>
                <w:color w:val="000000" w:themeColor="text1"/>
                <w:sz w:val="20"/>
                <w:szCs w:val="20"/>
              </w:rPr>
              <w:t xml:space="preserve">31. </w:t>
            </w:r>
            <w:bookmarkEnd w:id="497"/>
            <w:r w:rsidRPr="003D1614">
              <w:rPr>
                <w:rFonts w:ascii="Arial" w:eastAsia="Times New Roman" w:hAnsi="Arial" w:cs="Arial"/>
                <w:b/>
                <w:color w:val="000000" w:themeColor="text1"/>
                <w:sz w:val="20"/>
                <w:szCs w:val="20"/>
              </w:rPr>
              <w:t>ožujka</w:t>
            </w:r>
          </w:p>
          <w:p w14:paraId="3158AFB2" w14:textId="3CE21B0D" w:rsidR="00994783" w:rsidRPr="003D1614" w:rsidRDefault="00994783"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 xml:space="preserve"> </w:t>
            </w:r>
            <w:bookmarkStart w:id="498" w:name="_Toc67328860"/>
            <w:r w:rsidRPr="003D1614">
              <w:rPr>
                <w:rFonts w:ascii="Arial" w:eastAsia="Times New Roman" w:hAnsi="Arial" w:cs="Arial"/>
                <w:b/>
                <w:color w:val="000000" w:themeColor="text1"/>
                <w:sz w:val="20"/>
                <w:szCs w:val="20"/>
              </w:rPr>
              <w:t>202</w:t>
            </w:r>
            <w:r w:rsidR="00531C08">
              <w:rPr>
                <w:rFonts w:ascii="Arial" w:eastAsia="Times New Roman" w:hAnsi="Arial" w:cs="Arial"/>
                <w:b/>
                <w:color w:val="000000" w:themeColor="text1"/>
                <w:sz w:val="20"/>
                <w:szCs w:val="20"/>
              </w:rPr>
              <w:t>4</w:t>
            </w:r>
            <w:r w:rsidRPr="003D1614">
              <w:rPr>
                <w:rFonts w:ascii="Arial" w:eastAsia="Times New Roman" w:hAnsi="Arial" w:cs="Arial"/>
                <w:b/>
                <w:color w:val="000000" w:themeColor="text1"/>
                <w:sz w:val="20"/>
                <w:szCs w:val="20"/>
              </w:rPr>
              <w:t>.</w:t>
            </w:r>
            <w:bookmarkEnd w:id="498"/>
          </w:p>
        </w:tc>
        <w:tc>
          <w:tcPr>
            <w:tcW w:w="1023" w:type="pct"/>
            <w:vAlign w:val="bottom"/>
          </w:tcPr>
          <w:p w14:paraId="325904F9" w14:textId="77777777" w:rsidR="00994783" w:rsidRPr="003D1614" w:rsidRDefault="00994783"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499" w:name="_Toc67328861"/>
            <w:r w:rsidRPr="003D1614">
              <w:rPr>
                <w:rFonts w:ascii="Arial" w:eastAsia="Times New Roman" w:hAnsi="Arial" w:cs="Arial"/>
                <w:b/>
                <w:color w:val="000000" w:themeColor="text1"/>
                <w:sz w:val="20"/>
                <w:szCs w:val="20"/>
              </w:rPr>
              <w:t>31. prosinca</w:t>
            </w:r>
            <w:bookmarkEnd w:id="499"/>
            <w:r w:rsidRPr="003D1614">
              <w:rPr>
                <w:rFonts w:ascii="Arial" w:eastAsia="Times New Roman" w:hAnsi="Arial" w:cs="Arial"/>
                <w:b/>
                <w:color w:val="000000" w:themeColor="text1"/>
                <w:sz w:val="20"/>
                <w:szCs w:val="20"/>
              </w:rPr>
              <w:t xml:space="preserve"> </w:t>
            </w:r>
          </w:p>
          <w:p w14:paraId="1C209EF9" w14:textId="4AC9098B" w:rsidR="00994783" w:rsidRPr="003D1614" w:rsidRDefault="00994783"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500" w:name="_Toc67328862"/>
            <w:r w:rsidRPr="003D1614">
              <w:rPr>
                <w:rFonts w:ascii="Arial" w:eastAsia="Times New Roman" w:hAnsi="Arial" w:cs="Arial"/>
                <w:b/>
                <w:color w:val="000000" w:themeColor="text1"/>
                <w:sz w:val="20"/>
                <w:szCs w:val="20"/>
              </w:rPr>
              <w:t>202</w:t>
            </w:r>
            <w:r w:rsidR="00531C08">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w:t>
            </w:r>
            <w:bookmarkEnd w:id="500"/>
          </w:p>
        </w:tc>
      </w:tr>
      <w:tr w:rsidR="00994783" w:rsidRPr="003D1614" w14:paraId="4B118B64" w14:textId="77777777" w:rsidTr="00994783">
        <w:trPr>
          <w:trHeight w:val="299"/>
        </w:trPr>
        <w:tc>
          <w:tcPr>
            <w:tcW w:w="2955" w:type="pct"/>
            <w:vAlign w:val="bottom"/>
          </w:tcPr>
          <w:p w14:paraId="777CAB8F" w14:textId="77777777" w:rsidR="00994783" w:rsidRPr="003D1614" w:rsidRDefault="00994783" w:rsidP="00994783">
            <w:pPr>
              <w:tabs>
                <w:tab w:val="left" w:pos="-720"/>
              </w:tabs>
              <w:suppressAutoHyphens/>
              <w:autoSpaceDN w:val="0"/>
              <w:ind w:right="4144"/>
              <w:jc w:val="right"/>
              <w:rPr>
                <w:rFonts w:ascii="Arial" w:eastAsia="Times New Roman" w:hAnsi="Arial" w:cs="Arial"/>
                <w:color w:val="000000" w:themeColor="text1"/>
                <w:sz w:val="20"/>
                <w:szCs w:val="20"/>
              </w:rPr>
            </w:pPr>
          </w:p>
        </w:tc>
        <w:tc>
          <w:tcPr>
            <w:tcW w:w="1022" w:type="pct"/>
            <w:vAlign w:val="bottom"/>
          </w:tcPr>
          <w:p w14:paraId="04CE84EA" w14:textId="705CCEC7" w:rsidR="00994783" w:rsidRPr="003D1614" w:rsidRDefault="00994783"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501" w:name="_Toc67328863"/>
            <w:r w:rsidRPr="003D1614">
              <w:rPr>
                <w:rFonts w:ascii="Arial" w:eastAsia="Times New Roman" w:hAnsi="Arial" w:cs="Arial"/>
                <w:b/>
                <w:color w:val="000000" w:themeColor="text1"/>
                <w:sz w:val="20"/>
                <w:szCs w:val="20"/>
              </w:rPr>
              <w:t>000 eura</w:t>
            </w:r>
            <w:bookmarkEnd w:id="501"/>
          </w:p>
        </w:tc>
        <w:tc>
          <w:tcPr>
            <w:tcW w:w="1023" w:type="pct"/>
            <w:vAlign w:val="bottom"/>
          </w:tcPr>
          <w:p w14:paraId="01CDB125" w14:textId="08338EEB" w:rsidR="00994783" w:rsidRPr="003D1614" w:rsidRDefault="00994783" w:rsidP="00994783">
            <w:pPr>
              <w:tabs>
                <w:tab w:val="right" w:pos="1202"/>
              </w:tabs>
              <w:suppressAutoHyphens/>
              <w:autoSpaceDN w:val="0"/>
              <w:spacing w:line="240" w:lineRule="atLeast"/>
              <w:jc w:val="right"/>
              <w:outlineLvl w:val="0"/>
              <w:rPr>
                <w:rFonts w:ascii="Arial" w:eastAsia="Times New Roman" w:hAnsi="Arial" w:cs="Arial"/>
                <w:b/>
                <w:color w:val="000000" w:themeColor="text1"/>
                <w:sz w:val="20"/>
                <w:szCs w:val="20"/>
              </w:rPr>
            </w:pPr>
            <w:bookmarkStart w:id="502" w:name="_Toc67328864"/>
            <w:r w:rsidRPr="003D1614">
              <w:rPr>
                <w:rFonts w:ascii="Arial" w:eastAsia="Times New Roman" w:hAnsi="Arial" w:cs="Arial"/>
                <w:b/>
                <w:color w:val="000000" w:themeColor="text1"/>
                <w:sz w:val="20"/>
                <w:szCs w:val="20"/>
              </w:rPr>
              <w:t>000 eura</w:t>
            </w:r>
            <w:bookmarkEnd w:id="502"/>
          </w:p>
        </w:tc>
      </w:tr>
      <w:tr w:rsidR="00994783" w:rsidRPr="003D1614" w14:paraId="03E10F47" w14:textId="77777777" w:rsidTr="00994783">
        <w:trPr>
          <w:trHeight w:hRule="exact" w:val="218"/>
        </w:trPr>
        <w:tc>
          <w:tcPr>
            <w:tcW w:w="2955" w:type="pct"/>
            <w:vAlign w:val="bottom"/>
          </w:tcPr>
          <w:p w14:paraId="7B1D68F3" w14:textId="77777777" w:rsidR="00994783" w:rsidRPr="003D1614" w:rsidRDefault="00994783" w:rsidP="00994783">
            <w:pPr>
              <w:tabs>
                <w:tab w:val="left" w:pos="-720"/>
              </w:tabs>
              <w:suppressAutoHyphens/>
              <w:autoSpaceDN w:val="0"/>
              <w:ind w:right="4144"/>
              <w:jc w:val="right"/>
              <w:rPr>
                <w:rFonts w:ascii="Arial" w:eastAsia="Times New Roman" w:hAnsi="Arial" w:cs="Arial"/>
                <w:color w:val="000000" w:themeColor="text1"/>
                <w:sz w:val="20"/>
                <w:szCs w:val="20"/>
              </w:rPr>
            </w:pPr>
          </w:p>
        </w:tc>
        <w:tc>
          <w:tcPr>
            <w:tcW w:w="1022" w:type="pct"/>
            <w:vAlign w:val="bottom"/>
          </w:tcPr>
          <w:p w14:paraId="32501928" w14:textId="77777777" w:rsidR="00994783" w:rsidRPr="003D1614" w:rsidRDefault="00994783" w:rsidP="00994783">
            <w:pPr>
              <w:suppressAutoHyphens/>
              <w:autoSpaceDN w:val="0"/>
              <w:jc w:val="right"/>
              <w:rPr>
                <w:rFonts w:ascii="Arial" w:eastAsia="Times New Roman" w:hAnsi="Arial" w:cs="Arial"/>
                <w:b/>
                <w:color w:val="000000" w:themeColor="text1"/>
                <w:sz w:val="20"/>
                <w:szCs w:val="20"/>
              </w:rPr>
            </w:pPr>
          </w:p>
        </w:tc>
        <w:tc>
          <w:tcPr>
            <w:tcW w:w="1023" w:type="pct"/>
            <w:vAlign w:val="bottom"/>
          </w:tcPr>
          <w:p w14:paraId="45E1D624" w14:textId="77777777" w:rsidR="00994783" w:rsidRPr="003D1614" w:rsidRDefault="00994783" w:rsidP="00994783">
            <w:pPr>
              <w:suppressAutoHyphens/>
              <w:autoSpaceDN w:val="0"/>
              <w:jc w:val="right"/>
              <w:rPr>
                <w:rFonts w:ascii="Arial" w:eastAsia="Times New Roman" w:hAnsi="Arial" w:cs="Arial"/>
                <w:b/>
                <w:color w:val="000000" w:themeColor="text1"/>
                <w:sz w:val="20"/>
                <w:szCs w:val="20"/>
              </w:rPr>
            </w:pPr>
          </w:p>
        </w:tc>
      </w:tr>
      <w:tr w:rsidR="00F275DE" w:rsidRPr="003D1614" w14:paraId="439934B3" w14:textId="77777777" w:rsidTr="00825AD5">
        <w:tblPrEx>
          <w:tblCellMar>
            <w:left w:w="107" w:type="dxa"/>
            <w:right w:w="107" w:type="dxa"/>
          </w:tblCellMar>
        </w:tblPrEx>
        <w:trPr>
          <w:trHeight w:hRule="exact" w:val="255"/>
        </w:trPr>
        <w:tc>
          <w:tcPr>
            <w:tcW w:w="2955" w:type="pct"/>
            <w:vAlign w:val="bottom"/>
          </w:tcPr>
          <w:p w14:paraId="6C13D55B" w14:textId="5809028D" w:rsidR="00F275DE" w:rsidRPr="003D1614" w:rsidRDefault="00F275DE" w:rsidP="00F275DE">
            <w:pPr>
              <w:tabs>
                <w:tab w:val="right" w:pos="1202"/>
              </w:tabs>
              <w:suppressAutoHyphens/>
              <w:autoSpaceDN w:val="0"/>
              <w:outlineLvl w:val="0"/>
              <w:rPr>
                <w:rFonts w:ascii="Arial" w:eastAsia="Times New Roman" w:hAnsi="Arial" w:cs="Arial"/>
                <w:color w:val="000000" w:themeColor="text1"/>
                <w:sz w:val="20"/>
                <w:szCs w:val="20"/>
              </w:rPr>
            </w:pPr>
            <w:bookmarkStart w:id="503" w:name="_Toc67328865"/>
            <w:r w:rsidRPr="003D1614">
              <w:rPr>
                <w:rFonts w:ascii="Arial" w:eastAsia="Times New Roman" w:hAnsi="Arial" w:cs="Arial"/>
                <w:color w:val="000000" w:themeColor="text1"/>
                <w:sz w:val="20"/>
                <w:szCs w:val="20"/>
              </w:rPr>
              <w:t xml:space="preserve">Izdane garancije </w:t>
            </w:r>
            <w:bookmarkEnd w:id="503"/>
          </w:p>
        </w:tc>
        <w:tc>
          <w:tcPr>
            <w:tcW w:w="1022" w:type="pct"/>
            <w:tcBorders>
              <w:top w:val="nil"/>
              <w:left w:val="nil"/>
              <w:bottom w:val="nil"/>
              <w:right w:val="nil"/>
            </w:tcBorders>
            <w:shd w:val="clear" w:color="auto" w:fill="auto"/>
            <w:vAlign w:val="bottom"/>
          </w:tcPr>
          <w:p w14:paraId="4FECF799" w14:textId="43F54A65" w:rsidR="00F275DE" w:rsidRPr="00825AD5" w:rsidRDefault="00CA1117" w:rsidP="00F275DE">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36.431</w:t>
            </w:r>
          </w:p>
        </w:tc>
        <w:tc>
          <w:tcPr>
            <w:tcW w:w="1023" w:type="pct"/>
            <w:tcBorders>
              <w:top w:val="nil"/>
              <w:left w:val="nil"/>
              <w:bottom w:val="nil"/>
              <w:right w:val="nil"/>
            </w:tcBorders>
            <w:shd w:val="clear" w:color="auto" w:fill="auto"/>
            <w:vAlign w:val="bottom"/>
          </w:tcPr>
          <w:p w14:paraId="50E38604" w14:textId="1BA5F4D7" w:rsidR="00F275DE" w:rsidRPr="00F275DE" w:rsidRDefault="00F275DE" w:rsidP="00F275DE">
            <w:pPr>
              <w:tabs>
                <w:tab w:val="right" w:pos="1202"/>
              </w:tabs>
              <w:suppressAutoHyphens/>
              <w:autoSpaceDN w:val="0"/>
              <w:jc w:val="right"/>
              <w:outlineLvl w:val="0"/>
              <w:rPr>
                <w:rFonts w:ascii="Arial" w:eastAsia="Times New Roman" w:hAnsi="Arial" w:cs="Arial"/>
                <w:color w:val="000000" w:themeColor="text1"/>
                <w:sz w:val="20"/>
                <w:szCs w:val="20"/>
              </w:rPr>
            </w:pPr>
            <w:r w:rsidRPr="00F275DE">
              <w:rPr>
                <w:rFonts w:ascii="Arial" w:hAnsi="Arial" w:cs="Arial"/>
                <w:sz w:val="20"/>
              </w:rPr>
              <w:t xml:space="preserve"> 52.623 </w:t>
            </w:r>
          </w:p>
        </w:tc>
      </w:tr>
      <w:tr w:rsidR="00F275DE" w:rsidRPr="003D1614" w14:paraId="78578E7F" w14:textId="77777777" w:rsidTr="00825AD5">
        <w:tblPrEx>
          <w:tblCellMar>
            <w:left w:w="107" w:type="dxa"/>
            <w:right w:w="107" w:type="dxa"/>
          </w:tblCellMar>
        </w:tblPrEx>
        <w:trPr>
          <w:trHeight w:hRule="exact" w:val="255"/>
        </w:trPr>
        <w:tc>
          <w:tcPr>
            <w:tcW w:w="2955" w:type="pct"/>
            <w:vAlign w:val="bottom"/>
          </w:tcPr>
          <w:p w14:paraId="67878A6C" w14:textId="77777777" w:rsidR="00F275DE" w:rsidRPr="003D1614" w:rsidRDefault="00F275DE" w:rsidP="00F275DE">
            <w:pPr>
              <w:tabs>
                <w:tab w:val="right" w:pos="1202"/>
              </w:tabs>
              <w:suppressAutoHyphens/>
              <w:autoSpaceDN w:val="0"/>
              <w:outlineLvl w:val="0"/>
              <w:rPr>
                <w:rFonts w:ascii="Arial" w:eastAsia="Times New Roman" w:hAnsi="Arial" w:cs="Arial"/>
                <w:color w:val="000000" w:themeColor="text1"/>
                <w:sz w:val="20"/>
                <w:szCs w:val="20"/>
              </w:rPr>
            </w:pPr>
            <w:bookmarkStart w:id="504" w:name="_Toc67328868"/>
            <w:r w:rsidRPr="003D1614">
              <w:rPr>
                <w:rFonts w:ascii="Arial" w:eastAsia="Times New Roman" w:hAnsi="Arial" w:cs="Arial"/>
                <w:color w:val="000000" w:themeColor="text1"/>
                <w:sz w:val="20"/>
                <w:szCs w:val="20"/>
              </w:rPr>
              <w:t>Izdane garancije u devizama</w:t>
            </w:r>
            <w:bookmarkEnd w:id="504"/>
            <w:r w:rsidRPr="003D1614">
              <w:rPr>
                <w:rFonts w:ascii="Arial" w:eastAsia="Times New Roman" w:hAnsi="Arial" w:cs="Arial"/>
                <w:strike/>
                <w:color w:val="000000" w:themeColor="text1"/>
                <w:sz w:val="20"/>
                <w:szCs w:val="20"/>
              </w:rPr>
              <w:t xml:space="preserve"> </w:t>
            </w:r>
          </w:p>
        </w:tc>
        <w:tc>
          <w:tcPr>
            <w:tcW w:w="1022" w:type="pct"/>
            <w:tcBorders>
              <w:top w:val="nil"/>
              <w:left w:val="nil"/>
              <w:bottom w:val="nil"/>
              <w:right w:val="nil"/>
            </w:tcBorders>
            <w:shd w:val="clear" w:color="auto" w:fill="auto"/>
            <w:vAlign w:val="bottom"/>
          </w:tcPr>
          <w:p w14:paraId="55D63171" w14:textId="3ED2822A" w:rsidR="00F275DE" w:rsidRPr="00825AD5" w:rsidRDefault="00ED52C2" w:rsidP="00F275DE">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7.425</w:t>
            </w:r>
          </w:p>
        </w:tc>
        <w:tc>
          <w:tcPr>
            <w:tcW w:w="1023" w:type="pct"/>
            <w:tcBorders>
              <w:top w:val="nil"/>
              <w:left w:val="nil"/>
              <w:bottom w:val="nil"/>
              <w:right w:val="nil"/>
            </w:tcBorders>
            <w:shd w:val="clear" w:color="auto" w:fill="auto"/>
            <w:vAlign w:val="bottom"/>
          </w:tcPr>
          <w:p w14:paraId="15339E96" w14:textId="6DBE222B" w:rsidR="00F275DE" w:rsidRPr="00F275DE" w:rsidRDefault="00F275DE" w:rsidP="00F275DE">
            <w:pPr>
              <w:tabs>
                <w:tab w:val="right" w:pos="1202"/>
              </w:tabs>
              <w:suppressAutoHyphens/>
              <w:autoSpaceDN w:val="0"/>
              <w:jc w:val="right"/>
              <w:outlineLvl w:val="0"/>
              <w:rPr>
                <w:rFonts w:ascii="Arial" w:eastAsia="Times New Roman" w:hAnsi="Arial" w:cs="Arial"/>
                <w:color w:val="000000" w:themeColor="text1"/>
                <w:sz w:val="20"/>
                <w:szCs w:val="20"/>
              </w:rPr>
            </w:pPr>
            <w:r w:rsidRPr="00F275DE">
              <w:rPr>
                <w:rFonts w:ascii="Arial" w:hAnsi="Arial" w:cs="Arial"/>
                <w:sz w:val="20"/>
              </w:rPr>
              <w:t xml:space="preserve"> 7.716 </w:t>
            </w:r>
          </w:p>
        </w:tc>
      </w:tr>
      <w:tr w:rsidR="00F275DE" w:rsidRPr="003D1614" w14:paraId="61C5E41E" w14:textId="77777777" w:rsidTr="00825AD5">
        <w:tblPrEx>
          <w:tblCellMar>
            <w:left w:w="107" w:type="dxa"/>
            <w:right w:w="107" w:type="dxa"/>
          </w:tblCellMar>
        </w:tblPrEx>
        <w:trPr>
          <w:trHeight w:hRule="exact" w:val="255"/>
        </w:trPr>
        <w:tc>
          <w:tcPr>
            <w:tcW w:w="2955" w:type="pct"/>
            <w:vAlign w:val="bottom"/>
          </w:tcPr>
          <w:p w14:paraId="52028C35" w14:textId="77777777" w:rsidR="00F275DE" w:rsidRPr="003D1614" w:rsidRDefault="00F275DE" w:rsidP="00F275DE">
            <w:pPr>
              <w:tabs>
                <w:tab w:val="right" w:pos="1202"/>
              </w:tabs>
              <w:suppressAutoHyphens/>
              <w:autoSpaceDN w:val="0"/>
              <w:outlineLvl w:val="0"/>
              <w:rPr>
                <w:rFonts w:ascii="Arial" w:eastAsia="Times New Roman" w:hAnsi="Arial" w:cs="Arial"/>
                <w:color w:val="000000" w:themeColor="text1"/>
                <w:sz w:val="20"/>
                <w:szCs w:val="20"/>
              </w:rPr>
            </w:pPr>
            <w:bookmarkStart w:id="505" w:name="_Toc67328871"/>
            <w:r w:rsidRPr="003D1614">
              <w:rPr>
                <w:rFonts w:ascii="Arial" w:eastAsia="Times New Roman" w:hAnsi="Arial" w:cs="Arial"/>
                <w:color w:val="000000" w:themeColor="text1"/>
                <w:sz w:val="20"/>
                <w:szCs w:val="20"/>
              </w:rPr>
              <w:t>Preuzete obveze po kreditima</w:t>
            </w:r>
            <w:bookmarkEnd w:id="505"/>
          </w:p>
        </w:tc>
        <w:tc>
          <w:tcPr>
            <w:tcW w:w="1022" w:type="pct"/>
            <w:tcBorders>
              <w:top w:val="nil"/>
              <w:left w:val="nil"/>
              <w:bottom w:val="nil"/>
              <w:right w:val="nil"/>
            </w:tcBorders>
            <w:shd w:val="clear" w:color="auto" w:fill="auto"/>
            <w:vAlign w:val="bottom"/>
          </w:tcPr>
          <w:p w14:paraId="46C9A0A6" w14:textId="4FF16652" w:rsidR="00F275DE" w:rsidRPr="00825AD5" w:rsidRDefault="00ED52C2" w:rsidP="00F275DE">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556.993</w:t>
            </w:r>
          </w:p>
        </w:tc>
        <w:tc>
          <w:tcPr>
            <w:tcW w:w="1023" w:type="pct"/>
            <w:tcBorders>
              <w:top w:val="nil"/>
              <w:left w:val="nil"/>
              <w:bottom w:val="nil"/>
              <w:right w:val="nil"/>
            </w:tcBorders>
            <w:shd w:val="clear" w:color="auto" w:fill="auto"/>
            <w:vAlign w:val="bottom"/>
          </w:tcPr>
          <w:p w14:paraId="4024E083" w14:textId="36BC44FF" w:rsidR="00F275DE" w:rsidRPr="00F275DE" w:rsidRDefault="00F275DE" w:rsidP="00F275DE">
            <w:pPr>
              <w:tabs>
                <w:tab w:val="right" w:pos="1202"/>
              </w:tabs>
              <w:suppressAutoHyphens/>
              <w:autoSpaceDN w:val="0"/>
              <w:jc w:val="right"/>
              <w:outlineLvl w:val="0"/>
              <w:rPr>
                <w:rFonts w:ascii="Arial" w:eastAsia="Times New Roman" w:hAnsi="Arial" w:cs="Arial"/>
                <w:color w:val="000000" w:themeColor="text1"/>
                <w:sz w:val="20"/>
                <w:szCs w:val="20"/>
              </w:rPr>
            </w:pPr>
            <w:r w:rsidRPr="00F275DE">
              <w:rPr>
                <w:rFonts w:ascii="Arial" w:hAnsi="Arial" w:cs="Arial"/>
                <w:sz w:val="20"/>
              </w:rPr>
              <w:t xml:space="preserve"> 445.273 </w:t>
            </w:r>
          </w:p>
        </w:tc>
      </w:tr>
      <w:tr w:rsidR="00F275DE" w:rsidRPr="003D1614" w14:paraId="3EE20641" w14:textId="77777777" w:rsidTr="00825AD5">
        <w:tblPrEx>
          <w:tblCellMar>
            <w:left w:w="107" w:type="dxa"/>
            <w:right w:w="107" w:type="dxa"/>
          </w:tblCellMar>
        </w:tblPrEx>
        <w:trPr>
          <w:trHeight w:hRule="exact" w:val="255"/>
        </w:trPr>
        <w:tc>
          <w:tcPr>
            <w:tcW w:w="2955" w:type="pct"/>
            <w:vAlign w:val="bottom"/>
          </w:tcPr>
          <w:p w14:paraId="7E0DB3E1" w14:textId="77777777" w:rsidR="00F275DE" w:rsidRPr="003D1614" w:rsidRDefault="00F275DE" w:rsidP="00F275DE">
            <w:pPr>
              <w:tabs>
                <w:tab w:val="right" w:pos="1202"/>
              </w:tabs>
              <w:suppressAutoHyphens/>
              <w:autoSpaceDN w:val="0"/>
              <w:outlineLvl w:val="0"/>
              <w:rPr>
                <w:rFonts w:ascii="Arial" w:eastAsia="Times New Roman" w:hAnsi="Arial" w:cs="Arial"/>
                <w:color w:val="000000" w:themeColor="text1"/>
                <w:sz w:val="20"/>
                <w:szCs w:val="20"/>
              </w:rPr>
            </w:pPr>
            <w:bookmarkStart w:id="506" w:name="_Toc67328877"/>
            <w:r w:rsidRPr="003D1614">
              <w:rPr>
                <w:rFonts w:ascii="Arial" w:eastAsia="Times New Roman" w:hAnsi="Arial" w:cs="Arial"/>
                <w:color w:val="000000" w:themeColor="text1"/>
                <w:sz w:val="20"/>
                <w:szCs w:val="20"/>
              </w:rPr>
              <w:t>Upisani a neuplaćeni kapital EIF-a</w:t>
            </w:r>
            <w:bookmarkEnd w:id="506"/>
            <w:r w:rsidRPr="003D1614">
              <w:rPr>
                <w:rFonts w:ascii="Arial" w:eastAsia="Times New Roman" w:hAnsi="Arial" w:cs="Arial"/>
                <w:color w:val="000000" w:themeColor="text1"/>
                <w:sz w:val="20"/>
                <w:szCs w:val="20"/>
              </w:rPr>
              <w:t xml:space="preserve"> </w:t>
            </w:r>
          </w:p>
        </w:tc>
        <w:tc>
          <w:tcPr>
            <w:tcW w:w="1022" w:type="pct"/>
            <w:tcBorders>
              <w:top w:val="nil"/>
              <w:left w:val="nil"/>
              <w:bottom w:val="nil"/>
              <w:right w:val="nil"/>
            </w:tcBorders>
            <w:shd w:val="clear" w:color="auto" w:fill="auto"/>
            <w:vAlign w:val="bottom"/>
          </w:tcPr>
          <w:p w14:paraId="6EBAB067" w14:textId="22F3EE9E" w:rsidR="00F275DE" w:rsidRPr="00825AD5" w:rsidRDefault="00ED52C2" w:rsidP="00F275DE">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10.400</w:t>
            </w:r>
          </w:p>
        </w:tc>
        <w:tc>
          <w:tcPr>
            <w:tcW w:w="1023" w:type="pct"/>
            <w:tcBorders>
              <w:top w:val="nil"/>
              <w:left w:val="nil"/>
              <w:bottom w:val="nil"/>
              <w:right w:val="nil"/>
            </w:tcBorders>
            <w:shd w:val="clear" w:color="auto" w:fill="auto"/>
            <w:vAlign w:val="bottom"/>
          </w:tcPr>
          <w:p w14:paraId="0B0E4E64" w14:textId="25CB050B" w:rsidR="00F275DE" w:rsidRPr="00F275DE" w:rsidRDefault="00F275DE" w:rsidP="00F275DE">
            <w:pPr>
              <w:tabs>
                <w:tab w:val="right" w:pos="1202"/>
              </w:tabs>
              <w:suppressAutoHyphens/>
              <w:autoSpaceDN w:val="0"/>
              <w:jc w:val="right"/>
              <w:outlineLvl w:val="0"/>
              <w:rPr>
                <w:rFonts w:ascii="Arial" w:eastAsia="Times New Roman" w:hAnsi="Arial" w:cs="Arial"/>
                <w:color w:val="000000" w:themeColor="text1"/>
                <w:sz w:val="20"/>
                <w:szCs w:val="20"/>
              </w:rPr>
            </w:pPr>
            <w:r w:rsidRPr="00F275DE">
              <w:rPr>
                <w:rFonts w:ascii="Arial" w:hAnsi="Arial" w:cs="Arial"/>
                <w:sz w:val="20"/>
              </w:rPr>
              <w:t xml:space="preserve"> 10.400 </w:t>
            </w:r>
          </w:p>
        </w:tc>
      </w:tr>
      <w:tr w:rsidR="00F275DE" w:rsidRPr="003D1614" w14:paraId="7FB607BE" w14:textId="77777777" w:rsidTr="00825AD5">
        <w:tblPrEx>
          <w:tblCellMar>
            <w:left w:w="107" w:type="dxa"/>
            <w:right w:w="107" w:type="dxa"/>
          </w:tblCellMar>
        </w:tblPrEx>
        <w:trPr>
          <w:trHeight w:hRule="exact" w:val="255"/>
        </w:trPr>
        <w:tc>
          <w:tcPr>
            <w:tcW w:w="2955" w:type="pct"/>
            <w:vAlign w:val="bottom"/>
          </w:tcPr>
          <w:p w14:paraId="0016C0BC" w14:textId="77777777" w:rsidR="00F275DE" w:rsidRPr="003D1614" w:rsidRDefault="00F275DE" w:rsidP="00F275DE">
            <w:pPr>
              <w:tabs>
                <w:tab w:val="right" w:pos="1202"/>
              </w:tabs>
              <w:suppressAutoHyphens/>
              <w:autoSpaceDN w:val="0"/>
              <w:outlineLvl w:val="0"/>
              <w:rPr>
                <w:rFonts w:ascii="Arial" w:eastAsia="Times New Roman" w:hAnsi="Arial" w:cs="Arial"/>
                <w:color w:val="000000" w:themeColor="text1"/>
                <w:sz w:val="20"/>
                <w:szCs w:val="20"/>
              </w:rPr>
            </w:pPr>
            <w:bookmarkStart w:id="507" w:name="_Toc67328880"/>
            <w:r w:rsidRPr="003D1614">
              <w:rPr>
                <w:rFonts w:ascii="Arial" w:eastAsia="Times New Roman" w:hAnsi="Arial" w:cs="Arial"/>
                <w:color w:val="000000" w:themeColor="text1"/>
                <w:sz w:val="20"/>
                <w:szCs w:val="20"/>
              </w:rPr>
              <w:t>Ugovorena obveza EIF CROGIP</w:t>
            </w:r>
            <w:bookmarkEnd w:id="507"/>
          </w:p>
        </w:tc>
        <w:tc>
          <w:tcPr>
            <w:tcW w:w="1022" w:type="pct"/>
            <w:tcBorders>
              <w:top w:val="nil"/>
              <w:left w:val="nil"/>
              <w:bottom w:val="nil"/>
              <w:right w:val="nil"/>
            </w:tcBorders>
            <w:shd w:val="clear" w:color="auto" w:fill="auto"/>
            <w:vAlign w:val="bottom"/>
          </w:tcPr>
          <w:p w14:paraId="03ECACF7" w14:textId="49F24289" w:rsidR="00F275DE" w:rsidRPr="00825AD5" w:rsidRDefault="00ED52C2" w:rsidP="00F275DE">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30.460</w:t>
            </w:r>
          </w:p>
        </w:tc>
        <w:tc>
          <w:tcPr>
            <w:tcW w:w="1023" w:type="pct"/>
            <w:tcBorders>
              <w:top w:val="nil"/>
              <w:left w:val="nil"/>
              <w:bottom w:val="nil"/>
              <w:right w:val="nil"/>
            </w:tcBorders>
            <w:shd w:val="clear" w:color="auto" w:fill="auto"/>
            <w:vAlign w:val="bottom"/>
          </w:tcPr>
          <w:p w14:paraId="29B429D8" w14:textId="5F4EFFD4" w:rsidR="00F275DE" w:rsidRPr="00F275DE" w:rsidRDefault="00F275DE" w:rsidP="00F275DE">
            <w:pPr>
              <w:tabs>
                <w:tab w:val="right" w:pos="1202"/>
              </w:tabs>
              <w:suppressAutoHyphens/>
              <w:autoSpaceDN w:val="0"/>
              <w:jc w:val="right"/>
              <w:outlineLvl w:val="0"/>
              <w:rPr>
                <w:rFonts w:ascii="Arial" w:eastAsia="Times New Roman" w:hAnsi="Arial" w:cs="Arial"/>
                <w:color w:val="000000" w:themeColor="text1"/>
                <w:sz w:val="20"/>
                <w:szCs w:val="20"/>
              </w:rPr>
            </w:pPr>
            <w:r w:rsidRPr="00F275DE">
              <w:rPr>
                <w:rFonts w:ascii="Arial" w:hAnsi="Arial" w:cs="Arial"/>
                <w:sz w:val="20"/>
              </w:rPr>
              <w:t xml:space="preserve"> 31.460 </w:t>
            </w:r>
          </w:p>
        </w:tc>
      </w:tr>
      <w:tr w:rsidR="00F275DE" w:rsidRPr="003D1614" w14:paraId="7D56469A" w14:textId="77777777" w:rsidTr="00825AD5">
        <w:tblPrEx>
          <w:tblCellMar>
            <w:left w:w="107" w:type="dxa"/>
            <w:right w:w="107" w:type="dxa"/>
          </w:tblCellMar>
        </w:tblPrEx>
        <w:trPr>
          <w:trHeight w:hRule="exact" w:val="255"/>
        </w:trPr>
        <w:tc>
          <w:tcPr>
            <w:tcW w:w="2955" w:type="pct"/>
            <w:vAlign w:val="bottom"/>
          </w:tcPr>
          <w:p w14:paraId="05540E92" w14:textId="77777777" w:rsidR="00F275DE" w:rsidRPr="003D1614" w:rsidRDefault="00F275DE" w:rsidP="00F275DE">
            <w:pPr>
              <w:tabs>
                <w:tab w:val="right" w:pos="1202"/>
              </w:tabs>
              <w:suppressAutoHyphens/>
              <w:autoSpaceDN w:val="0"/>
              <w:outlineLvl w:val="0"/>
              <w:rPr>
                <w:rFonts w:ascii="Arial" w:eastAsia="Times New Roman" w:hAnsi="Arial" w:cs="Arial"/>
                <w:color w:val="000000" w:themeColor="text1"/>
                <w:sz w:val="20"/>
                <w:szCs w:val="20"/>
              </w:rPr>
            </w:pPr>
            <w:bookmarkStart w:id="508" w:name="_Toc67328883"/>
            <w:r w:rsidRPr="003D1614">
              <w:rPr>
                <w:rFonts w:ascii="Arial" w:eastAsia="Times New Roman" w:hAnsi="Arial" w:cs="Arial"/>
                <w:color w:val="000000" w:themeColor="text1"/>
                <w:sz w:val="20"/>
                <w:szCs w:val="20"/>
              </w:rPr>
              <w:t>Ugovorena obveza EIF FRC2</w:t>
            </w:r>
            <w:bookmarkEnd w:id="508"/>
          </w:p>
        </w:tc>
        <w:tc>
          <w:tcPr>
            <w:tcW w:w="1022" w:type="pct"/>
            <w:tcBorders>
              <w:top w:val="nil"/>
              <w:left w:val="nil"/>
              <w:bottom w:val="nil"/>
              <w:right w:val="nil"/>
            </w:tcBorders>
            <w:shd w:val="clear" w:color="auto" w:fill="auto"/>
            <w:vAlign w:val="bottom"/>
          </w:tcPr>
          <w:p w14:paraId="04BFA4F9" w14:textId="5868A3E2" w:rsidR="00F275DE" w:rsidRPr="00825AD5" w:rsidRDefault="00941BE8" w:rsidP="00F275DE">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67</w:t>
            </w:r>
          </w:p>
        </w:tc>
        <w:tc>
          <w:tcPr>
            <w:tcW w:w="1023" w:type="pct"/>
            <w:tcBorders>
              <w:top w:val="nil"/>
              <w:left w:val="nil"/>
              <w:bottom w:val="nil"/>
              <w:right w:val="nil"/>
            </w:tcBorders>
            <w:shd w:val="clear" w:color="auto" w:fill="auto"/>
            <w:vAlign w:val="bottom"/>
          </w:tcPr>
          <w:p w14:paraId="4728A532" w14:textId="03E0AC0F" w:rsidR="00F275DE" w:rsidRPr="00F275DE" w:rsidRDefault="00F275DE" w:rsidP="00F275DE">
            <w:pPr>
              <w:tabs>
                <w:tab w:val="right" w:pos="1202"/>
              </w:tabs>
              <w:suppressAutoHyphens/>
              <w:autoSpaceDN w:val="0"/>
              <w:jc w:val="right"/>
              <w:outlineLvl w:val="0"/>
              <w:rPr>
                <w:rFonts w:ascii="Arial" w:eastAsia="Times New Roman" w:hAnsi="Arial" w:cs="Arial"/>
                <w:color w:val="000000" w:themeColor="text1"/>
                <w:sz w:val="20"/>
                <w:szCs w:val="20"/>
              </w:rPr>
            </w:pPr>
            <w:r w:rsidRPr="00F275DE">
              <w:rPr>
                <w:rFonts w:ascii="Arial" w:hAnsi="Arial" w:cs="Arial"/>
                <w:sz w:val="20"/>
              </w:rPr>
              <w:t xml:space="preserve"> 81 </w:t>
            </w:r>
          </w:p>
        </w:tc>
      </w:tr>
      <w:tr w:rsidR="00F275DE" w:rsidRPr="003D1614" w14:paraId="6C3A175B" w14:textId="77777777" w:rsidTr="00825AD5">
        <w:tblPrEx>
          <w:tblCellMar>
            <w:left w:w="107" w:type="dxa"/>
            <w:right w:w="107" w:type="dxa"/>
          </w:tblCellMar>
        </w:tblPrEx>
        <w:trPr>
          <w:trHeight w:val="161"/>
        </w:trPr>
        <w:tc>
          <w:tcPr>
            <w:tcW w:w="2955" w:type="pct"/>
            <w:vAlign w:val="bottom"/>
          </w:tcPr>
          <w:p w14:paraId="71DF812C" w14:textId="77777777" w:rsidR="00F275DE" w:rsidRPr="003D1614" w:rsidRDefault="00F275DE" w:rsidP="00F275DE">
            <w:pPr>
              <w:tabs>
                <w:tab w:val="right" w:pos="1202"/>
              </w:tabs>
              <w:suppressAutoHyphens/>
              <w:autoSpaceDN w:val="0"/>
              <w:outlineLvl w:val="0"/>
              <w:rPr>
                <w:rFonts w:ascii="Arial" w:eastAsia="Times New Roman" w:hAnsi="Arial" w:cs="Arial"/>
                <w:color w:val="000000" w:themeColor="text1"/>
                <w:sz w:val="20"/>
                <w:szCs w:val="20"/>
              </w:rPr>
            </w:pPr>
          </w:p>
        </w:tc>
        <w:tc>
          <w:tcPr>
            <w:tcW w:w="1022" w:type="pct"/>
            <w:tcBorders>
              <w:top w:val="single" w:sz="4" w:space="0" w:color="auto"/>
              <w:bottom w:val="single" w:sz="4" w:space="0" w:color="auto"/>
            </w:tcBorders>
            <w:vAlign w:val="bottom"/>
          </w:tcPr>
          <w:p w14:paraId="266B5F4F" w14:textId="5FA29152" w:rsidR="00F275DE" w:rsidRPr="00825AD5" w:rsidRDefault="00941BE8" w:rsidP="00F275DE">
            <w:pPr>
              <w:tabs>
                <w:tab w:val="right" w:pos="1202"/>
              </w:tabs>
              <w:suppressAutoHyphens/>
              <w:autoSpaceDN w:val="0"/>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641.776</w:t>
            </w:r>
          </w:p>
        </w:tc>
        <w:tc>
          <w:tcPr>
            <w:tcW w:w="1023" w:type="pct"/>
            <w:tcBorders>
              <w:top w:val="single" w:sz="4" w:space="0" w:color="auto"/>
              <w:bottom w:val="single" w:sz="4" w:space="0" w:color="auto"/>
            </w:tcBorders>
            <w:vAlign w:val="bottom"/>
          </w:tcPr>
          <w:p w14:paraId="003429F4" w14:textId="67463C40" w:rsidR="00F275DE" w:rsidRPr="00F275DE" w:rsidRDefault="00F275DE" w:rsidP="00F275DE">
            <w:pPr>
              <w:tabs>
                <w:tab w:val="right" w:pos="1202"/>
              </w:tabs>
              <w:suppressAutoHyphens/>
              <w:autoSpaceDN w:val="0"/>
              <w:jc w:val="right"/>
              <w:outlineLvl w:val="0"/>
              <w:rPr>
                <w:rFonts w:ascii="Arial" w:eastAsia="Times New Roman" w:hAnsi="Arial" w:cs="Arial"/>
                <w:color w:val="000000" w:themeColor="text1"/>
                <w:sz w:val="20"/>
                <w:szCs w:val="20"/>
              </w:rPr>
            </w:pPr>
            <w:r w:rsidRPr="00F275DE">
              <w:rPr>
                <w:rFonts w:ascii="Arial" w:hAnsi="Arial" w:cs="Arial"/>
                <w:color w:val="000000" w:themeColor="text1"/>
                <w:sz w:val="20"/>
              </w:rPr>
              <w:t>547.553</w:t>
            </w:r>
          </w:p>
        </w:tc>
      </w:tr>
      <w:tr w:rsidR="00F275DE" w:rsidRPr="003D1614" w14:paraId="654964A2" w14:textId="77777777" w:rsidTr="00825AD5">
        <w:tblPrEx>
          <w:tblCellMar>
            <w:left w:w="107" w:type="dxa"/>
            <w:right w:w="107" w:type="dxa"/>
          </w:tblCellMar>
        </w:tblPrEx>
        <w:trPr>
          <w:trHeight w:val="232"/>
        </w:trPr>
        <w:tc>
          <w:tcPr>
            <w:tcW w:w="2955" w:type="pct"/>
            <w:vAlign w:val="bottom"/>
          </w:tcPr>
          <w:p w14:paraId="0B9EF43A" w14:textId="77777777" w:rsidR="00F275DE" w:rsidRPr="003D1614" w:rsidRDefault="00F275DE" w:rsidP="00F275DE">
            <w:pPr>
              <w:tabs>
                <w:tab w:val="right" w:pos="1202"/>
              </w:tabs>
              <w:suppressAutoHyphens/>
              <w:autoSpaceDN w:val="0"/>
              <w:spacing w:line="301" w:lineRule="exact"/>
              <w:outlineLvl w:val="0"/>
              <w:rPr>
                <w:rFonts w:ascii="Arial" w:eastAsia="Times New Roman" w:hAnsi="Arial" w:cs="Arial"/>
                <w:color w:val="000000" w:themeColor="text1"/>
                <w:sz w:val="20"/>
                <w:szCs w:val="20"/>
              </w:rPr>
            </w:pPr>
            <w:bookmarkStart w:id="509" w:name="_Toc67328891"/>
            <w:r w:rsidRPr="003D1614">
              <w:rPr>
                <w:rFonts w:ascii="Arial" w:eastAsia="Times New Roman" w:hAnsi="Arial" w:cs="Arial"/>
                <w:color w:val="000000" w:themeColor="text1"/>
                <w:sz w:val="20"/>
                <w:szCs w:val="20"/>
              </w:rPr>
              <w:t>Rezerviranja za garancije i preuzete obveze</w:t>
            </w:r>
            <w:bookmarkEnd w:id="509"/>
          </w:p>
        </w:tc>
        <w:tc>
          <w:tcPr>
            <w:tcW w:w="1022" w:type="pct"/>
            <w:tcBorders>
              <w:top w:val="single" w:sz="4" w:space="0" w:color="auto"/>
              <w:bottom w:val="single" w:sz="4" w:space="0" w:color="auto"/>
            </w:tcBorders>
            <w:vAlign w:val="bottom"/>
          </w:tcPr>
          <w:p w14:paraId="6C0C01CD" w14:textId="50A12B51" w:rsidR="00F275DE" w:rsidRPr="00825AD5" w:rsidRDefault="00941BE8" w:rsidP="00F275D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(13.204)</w:t>
            </w:r>
          </w:p>
        </w:tc>
        <w:tc>
          <w:tcPr>
            <w:tcW w:w="1023" w:type="pct"/>
            <w:tcBorders>
              <w:top w:val="single" w:sz="4" w:space="0" w:color="auto"/>
              <w:bottom w:val="single" w:sz="4" w:space="0" w:color="auto"/>
            </w:tcBorders>
            <w:vAlign w:val="bottom"/>
          </w:tcPr>
          <w:p w14:paraId="23AE002C" w14:textId="7BFE268F" w:rsidR="00F275DE" w:rsidRPr="00F275DE" w:rsidRDefault="00F275DE" w:rsidP="00F275DE">
            <w:pPr>
              <w:tabs>
                <w:tab w:val="right" w:pos="1202"/>
              </w:tabs>
              <w:suppressAutoHyphens/>
              <w:autoSpaceDN w:val="0"/>
              <w:spacing w:line="301" w:lineRule="exact"/>
              <w:jc w:val="right"/>
              <w:outlineLvl w:val="0"/>
              <w:rPr>
                <w:rFonts w:ascii="Arial" w:eastAsia="Times New Roman" w:hAnsi="Arial" w:cs="Arial"/>
                <w:color w:val="000000" w:themeColor="text1"/>
                <w:sz w:val="20"/>
                <w:szCs w:val="20"/>
              </w:rPr>
            </w:pPr>
            <w:r w:rsidRPr="00F275DE">
              <w:rPr>
                <w:rFonts w:ascii="Arial" w:hAnsi="Arial" w:cs="Arial"/>
                <w:color w:val="000000" w:themeColor="text1"/>
                <w:sz w:val="20"/>
              </w:rPr>
              <w:t>(14.637)</w:t>
            </w:r>
          </w:p>
        </w:tc>
      </w:tr>
      <w:tr w:rsidR="00F275DE" w:rsidRPr="003D1614" w14:paraId="3B621004" w14:textId="77777777" w:rsidTr="00825AD5">
        <w:tblPrEx>
          <w:tblCellMar>
            <w:left w:w="107" w:type="dxa"/>
            <w:right w:w="107" w:type="dxa"/>
          </w:tblCellMar>
        </w:tblPrEx>
        <w:trPr>
          <w:trHeight w:val="232"/>
        </w:trPr>
        <w:tc>
          <w:tcPr>
            <w:tcW w:w="2955" w:type="pct"/>
            <w:vAlign w:val="bottom"/>
          </w:tcPr>
          <w:p w14:paraId="4BA69416" w14:textId="77777777" w:rsidR="00F275DE" w:rsidRPr="003D1614" w:rsidRDefault="00F275DE" w:rsidP="00F275DE">
            <w:pPr>
              <w:tabs>
                <w:tab w:val="right" w:pos="1202"/>
              </w:tabs>
              <w:suppressAutoHyphens/>
              <w:autoSpaceDN w:val="0"/>
              <w:spacing w:line="340" w:lineRule="exact"/>
              <w:outlineLvl w:val="0"/>
              <w:rPr>
                <w:rFonts w:ascii="Arial" w:eastAsia="Times New Roman" w:hAnsi="Arial" w:cs="Arial"/>
                <w:b/>
                <w:bCs/>
                <w:color w:val="000000" w:themeColor="text1"/>
                <w:sz w:val="20"/>
                <w:szCs w:val="20"/>
              </w:rPr>
            </w:pPr>
          </w:p>
        </w:tc>
        <w:tc>
          <w:tcPr>
            <w:tcW w:w="1022" w:type="pct"/>
            <w:tcBorders>
              <w:top w:val="single" w:sz="4" w:space="0" w:color="auto"/>
              <w:bottom w:val="single" w:sz="12" w:space="0" w:color="auto"/>
            </w:tcBorders>
            <w:vAlign w:val="bottom"/>
          </w:tcPr>
          <w:p w14:paraId="508BE5C9" w14:textId="743EED8C" w:rsidR="00F275DE" w:rsidRPr="00825AD5" w:rsidRDefault="00941BE8" w:rsidP="00F275DE">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628.572</w:t>
            </w:r>
          </w:p>
        </w:tc>
        <w:tc>
          <w:tcPr>
            <w:tcW w:w="1023" w:type="pct"/>
            <w:tcBorders>
              <w:top w:val="single" w:sz="4" w:space="0" w:color="auto"/>
              <w:bottom w:val="single" w:sz="12" w:space="0" w:color="auto"/>
            </w:tcBorders>
            <w:vAlign w:val="bottom"/>
          </w:tcPr>
          <w:p w14:paraId="21FB2909" w14:textId="674F0F43" w:rsidR="00F275DE" w:rsidRPr="00F275DE" w:rsidRDefault="00F275DE" w:rsidP="00F275DE">
            <w:pPr>
              <w:tabs>
                <w:tab w:val="right" w:pos="1202"/>
              </w:tabs>
              <w:suppressAutoHyphens/>
              <w:autoSpaceDN w:val="0"/>
              <w:spacing w:line="340" w:lineRule="exact"/>
              <w:jc w:val="right"/>
              <w:outlineLvl w:val="0"/>
              <w:rPr>
                <w:rFonts w:ascii="Arial" w:eastAsia="Times New Roman" w:hAnsi="Arial" w:cs="Arial"/>
                <w:b/>
                <w:bCs/>
                <w:color w:val="000000" w:themeColor="text1"/>
                <w:sz w:val="20"/>
                <w:szCs w:val="20"/>
              </w:rPr>
            </w:pPr>
            <w:r w:rsidRPr="00F275DE">
              <w:rPr>
                <w:rFonts w:ascii="Arial" w:hAnsi="Arial" w:cs="Arial"/>
                <w:b/>
                <w:bCs/>
                <w:color w:val="000000" w:themeColor="text1"/>
                <w:sz w:val="20"/>
              </w:rPr>
              <w:t>532.916</w:t>
            </w:r>
          </w:p>
        </w:tc>
      </w:tr>
    </w:tbl>
    <w:p w14:paraId="3C0D49D0" w14:textId="77777777" w:rsidR="00994783" w:rsidRPr="003D1614" w:rsidRDefault="00994783" w:rsidP="00994783">
      <w:pPr>
        <w:suppressAutoHyphens/>
        <w:autoSpaceDN w:val="0"/>
        <w:jc w:val="both"/>
        <w:outlineLvl w:val="0"/>
        <w:rPr>
          <w:rFonts w:ascii="Arial" w:eastAsia="Times New Roman" w:hAnsi="Arial" w:cs="Arial"/>
          <w:color w:val="000000" w:themeColor="text1"/>
          <w:sz w:val="20"/>
          <w:szCs w:val="20"/>
        </w:rPr>
      </w:pPr>
    </w:p>
    <w:p w14:paraId="64D57AAA" w14:textId="77777777" w:rsidR="00994783" w:rsidRPr="003D1614" w:rsidRDefault="00994783" w:rsidP="00994783">
      <w:pPr>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Sljedeće tablice prikazuju informacije o kreditnoj kvaliteti garancija i preuzetih obveza. Za preuzete obveze po kreditima i ugovore o financijskim jamstvima, iznosi u tablici predstavljaju odobrene ili zajamčene iznose:</w:t>
      </w:r>
    </w:p>
    <w:p w14:paraId="6CCFBE3F" w14:textId="77777777" w:rsidR="00994783" w:rsidRPr="003D1614" w:rsidRDefault="00994783" w:rsidP="00994783">
      <w:pPr>
        <w:suppressAutoHyphens/>
        <w:autoSpaceDN w:val="0"/>
        <w:jc w:val="both"/>
        <w:outlineLvl w:val="0"/>
        <w:rPr>
          <w:rFonts w:ascii="Arial" w:eastAsia="Times New Roman" w:hAnsi="Arial" w:cs="Arial"/>
          <w:color w:val="000000" w:themeColor="text1"/>
          <w:sz w:val="20"/>
          <w:szCs w:val="20"/>
        </w:rPr>
      </w:pPr>
    </w:p>
    <w:tbl>
      <w:tblPr>
        <w:tblW w:w="9498" w:type="dxa"/>
        <w:tblLook w:val="04A0" w:firstRow="1" w:lastRow="0" w:firstColumn="1" w:lastColumn="0" w:noHBand="0" w:noVBand="1"/>
      </w:tblPr>
      <w:tblGrid>
        <w:gridCol w:w="1843"/>
        <w:gridCol w:w="992"/>
        <w:gridCol w:w="1134"/>
        <w:gridCol w:w="1134"/>
        <w:gridCol w:w="1134"/>
        <w:gridCol w:w="993"/>
        <w:gridCol w:w="1134"/>
        <w:gridCol w:w="1134"/>
      </w:tblGrid>
      <w:tr w:rsidR="00D43EB6" w:rsidRPr="004775A2" w14:paraId="6EBF4FEE" w14:textId="77777777" w:rsidTr="00873D32">
        <w:trPr>
          <w:trHeight w:val="355"/>
        </w:trPr>
        <w:tc>
          <w:tcPr>
            <w:tcW w:w="1843" w:type="dxa"/>
            <w:tcBorders>
              <w:top w:val="nil"/>
              <w:left w:val="nil"/>
              <w:bottom w:val="nil"/>
              <w:right w:val="nil"/>
            </w:tcBorders>
            <w:shd w:val="clear" w:color="auto" w:fill="auto"/>
            <w:noWrap/>
            <w:vAlign w:val="bottom"/>
            <w:hideMark/>
          </w:tcPr>
          <w:p w14:paraId="78C265B4" w14:textId="0DB82B13" w:rsidR="00D43EB6" w:rsidRPr="004775A2" w:rsidRDefault="00D43EB6" w:rsidP="00D43EB6">
            <w:pPr>
              <w:suppressAutoHyphens/>
              <w:autoSpaceDN w:val="0"/>
              <w:rPr>
                <w:rFonts w:ascii="Arial" w:eastAsia="Times New Roman" w:hAnsi="Arial" w:cs="Arial"/>
                <w:b/>
                <w:color w:val="000000" w:themeColor="text1"/>
                <w:sz w:val="17"/>
                <w:szCs w:val="17"/>
              </w:rPr>
            </w:pPr>
            <w:r w:rsidRPr="004775A2">
              <w:rPr>
                <w:rFonts w:ascii="Arial" w:eastAsia="Times New Roman" w:hAnsi="Arial" w:cs="Arial"/>
                <w:b/>
                <w:color w:val="000000" w:themeColor="text1"/>
                <w:sz w:val="17"/>
                <w:szCs w:val="17"/>
              </w:rPr>
              <w:t xml:space="preserve">31. ožujka 2024.    </w:t>
            </w:r>
          </w:p>
        </w:tc>
        <w:tc>
          <w:tcPr>
            <w:tcW w:w="992" w:type="dxa"/>
            <w:tcBorders>
              <w:top w:val="nil"/>
              <w:left w:val="nil"/>
              <w:bottom w:val="nil"/>
              <w:right w:val="nil"/>
            </w:tcBorders>
            <w:shd w:val="clear" w:color="auto" w:fill="auto"/>
            <w:noWrap/>
            <w:vAlign w:val="bottom"/>
            <w:hideMark/>
          </w:tcPr>
          <w:p w14:paraId="54C49D1B" w14:textId="77777777" w:rsidR="00D43EB6" w:rsidRPr="004775A2" w:rsidRDefault="00D43EB6" w:rsidP="00D43EB6">
            <w:pPr>
              <w:suppressAutoHyphens/>
              <w:autoSpaceDN w:val="0"/>
              <w:rPr>
                <w:rFonts w:ascii="Arial" w:eastAsia="Times New Roman" w:hAnsi="Arial" w:cs="Arial"/>
                <w:color w:val="000000" w:themeColor="text1"/>
                <w:sz w:val="17"/>
                <w:szCs w:val="17"/>
              </w:rPr>
            </w:pPr>
          </w:p>
        </w:tc>
        <w:tc>
          <w:tcPr>
            <w:tcW w:w="1134" w:type="dxa"/>
            <w:tcBorders>
              <w:top w:val="nil"/>
              <w:left w:val="nil"/>
              <w:bottom w:val="nil"/>
              <w:right w:val="nil"/>
            </w:tcBorders>
            <w:shd w:val="clear" w:color="auto" w:fill="auto"/>
            <w:noWrap/>
            <w:vAlign w:val="bottom"/>
            <w:hideMark/>
          </w:tcPr>
          <w:p w14:paraId="15CBF23F" w14:textId="77777777" w:rsidR="00D43EB6" w:rsidRPr="004775A2" w:rsidRDefault="00D43EB6" w:rsidP="00D43EB6">
            <w:pPr>
              <w:suppressAutoHyphens/>
              <w:autoSpaceDN w:val="0"/>
              <w:rPr>
                <w:rFonts w:ascii="Arial" w:eastAsia="Times New Roman" w:hAnsi="Arial" w:cs="Arial"/>
                <w:color w:val="000000" w:themeColor="text1"/>
                <w:sz w:val="17"/>
                <w:szCs w:val="17"/>
              </w:rPr>
            </w:pPr>
          </w:p>
        </w:tc>
        <w:tc>
          <w:tcPr>
            <w:tcW w:w="1134" w:type="dxa"/>
            <w:tcBorders>
              <w:top w:val="nil"/>
              <w:left w:val="nil"/>
              <w:bottom w:val="nil"/>
              <w:right w:val="nil"/>
            </w:tcBorders>
            <w:shd w:val="clear" w:color="auto" w:fill="auto"/>
            <w:noWrap/>
            <w:vAlign w:val="bottom"/>
            <w:hideMark/>
          </w:tcPr>
          <w:p w14:paraId="4C1921C5" w14:textId="77777777" w:rsidR="00D43EB6" w:rsidRPr="004775A2" w:rsidRDefault="00D43EB6" w:rsidP="00D43EB6">
            <w:pPr>
              <w:suppressAutoHyphens/>
              <w:autoSpaceDN w:val="0"/>
              <w:rPr>
                <w:rFonts w:ascii="Arial" w:eastAsia="Times New Roman" w:hAnsi="Arial" w:cs="Arial"/>
                <w:color w:val="000000" w:themeColor="text1"/>
                <w:sz w:val="17"/>
                <w:szCs w:val="17"/>
              </w:rPr>
            </w:pPr>
          </w:p>
        </w:tc>
        <w:tc>
          <w:tcPr>
            <w:tcW w:w="2127" w:type="dxa"/>
            <w:gridSpan w:val="2"/>
            <w:tcBorders>
              <w:top w:val="nil"/>
              <w:left w:val="nil"/>
              <w:bottom w:val="nil"/>
              <w:right w:val="nil"/>
            </w:tcBorders>
            <w:vAlign w:val="bottom"/>
          </w:tcPr>
          <w:p w14:paraId="7B3155F5" w14:textId="77777777" w:rsidR="00D43EB6" w:rsidRPr="004775A2" w:rsidRDefault="00D43EB6" w:rsidP="00D43EB6">
            <w:pPr>
              <w:suppressAutoHyphens/>
              <w:autoSpaceDN w:val="0"/>
              <w:jc w:val="right"/>
              <w:rPr>
                <w:rFonts w:ascii="Arial" w:eastAsia="Times New Roman" w:hAnsi="Arial" w:cs="Arial"/>
                <w:b/>
                <w:bCs/>
                <w:color w:val="000000" w:themeColor="text1"/>
                <w:sz w:val="17"/>
                <w:szCs w:val="17"/>
              </w:rPr>
            </w:pPr>
          </w:p>
        </w:tc>
        <w:tc>
          <w:tcPr>
            <w:tcW w:w="1134" w:type="dxa"/>
            <w:tcBorders>
              <w:top w:val="nil"/>
              <w:left w:val="nil"/>
              <w:bottom w:val="nil"/>
              <w:right w:val="nil"/>
            </w:tcBorders>
            <w:shd w:val="clear" w:color="auto" w:fill="auto"/>
            <w:noWrap/>
            <w:vAlign w:val="bottom"/>
          </w:tcPr>
          <w:p w14:paraId="4123D489" w14:textId="6AD62A61" w:rsidR="00D43EB6" w:rsidRPr="004775A2" w:rsidRDefault="00D43EB6" w:rsidP="00D43EB6">
            <w:pPr>
              <w:suppressAutoHyphens/>
              <w:autoSpaceDN w:val="0"/>
              <w:jc w:val="right"/>
              <w:rPr>
                <w:rFonts w:ascii="Arial" w:eastAsia="Times New Roman" w:hAnsi="Arial" w:cs="Arial"/>
                <w:b/>
                <w:bCs/>
                <w:color w:val="000000" w:themeColor="text1"/>
                <w:sz w:val="17"/>
                <w:szCs w:val="17"/>
              </w:rPr>
            </w:pPr>
          </w:p>
        </w:tc>
        <w:tc>
          <w:tcPr>
            <w:tcW w:w="1134" w:type="dxa"/>
            <w:tcBorders>
              <w:top w:val="nil"/>
              <w:left w:val="nil"/>
              <w:bottom w:val="nil"/>
              <w:right w:val="nil"/>
            </w:tcBorders>
            <w:shd w:val="clear" w:color="auto" w:fill="auto"/>
            <w:vAlign w:val="bottom"/>
          </w:tcPr>
          <w:p w14:paraId="2EBB9E94" w14:textId="576FBBCE" w:rsidR="00D43EB6" w:rsidRPr="004775A2" w:rsidRDefault="00D43EB6" w:rsidP="00D43EB6">
            <w:pPr>
              <w:suppressAutoHyphens/>
              <w:autoSpaceDN w:val="0"/>
              <w:jc w:val="right"/>
              <w:rPr>
                <w:rFonts w:ascii="Arial" w:eastAsia="Times New Roman" w:hAnsi="Arial" w:cs="Arial"/>
                <w:b/>
                <w:bCs/>
                <w:color w:val="000000" w:themeColor="text1"/>
                <w:sz w:val="17"/>
                <w:szCs w:val="17"/>
              </w:rPr>
            </w:pPr>
            <w:r w:rsidRPr="004775A2">
              <w:rPr>
                <w:rFonts w:ascii="Arial" w:eastAsia="Times New Roman" w:hAnsi="Arial" w:cs="Arial"/>
                <w:b/>
                <w:bCs/>
                <w:color w:val="000000" w:themeColor="text1"/>
                <w:sz w:val="17"/>
                <w:szCs w:val="17"/>
              </w:rPr>
              <w:t>Grupa i Banka</w:t>
            </w:r>
          </w:p>
        </w:tc>
      </w:tr>
      <w:tr w:rsidR="00D43EB6" w:rsidRPr="004775A2" w14:paraId="3F428346" w14:textId="77777777" w:rsidTr="00873D32">
        <w:trPr>
          <w:trHeight w:val="280"/>
        </w:trPr>
        <w:tc>
          <w:tcPr>
            <w:tcW w:w="1843" w:type="dxa"/>
            <w:tcBorders>
              <w:top w:val="nil"/>
              <w:left w:val="nil"/>
              <w:bottom w:val="nil"/>
              <w:right w:val="nil"/>
            </w:tcBorders>
            <w:shd w:val="clear" w:color="auto" w:fill="auto"/>
            <w:vAlign w:val="bottom"/>
            <w:hideMark/>
          </w:tcPr>
          <w:p w14:paraId="3C6A5832" w14:textId="77777777" w:rsidR="00D43EB6" w:rsidRPr="004775A2" w:rsidRDefault="00D43EB6" w:rsidP="00D43EB6">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vAlign w:val="bottom"/>
            <w:hideMark/>
          </w:tcPr>
          <w:p w14:paraId="56C63E05" w14:textId="77777777" w:rsidR="00D43EB6" w:rsidRPr="004775A2" w:rsidRDefault="00D43EB6" w:rsidP="00D43EB6">
            <w:pPr>
              <w:suppressAutoHyphens/>
              <w:autoSpaceDN w:val="0"/>
              <w:jc w:val="right"/>
              <w:rPr>
                <w:rFonts w:ascii="Arial" w:eastAsia="Times New Roman" w:hAnsi="Arial" w:cs="Arial"/>
                <w:b/>
                <w:bCs/>
                <w:color w:val="000000" w:themeColor="text1"/>
                <w:sz w:val="17"/>
                <w:szCs w:val="17"/>
              </w:rPr>
            </w:pPr>
            <w:r w:rsidRPr="004775A2">
              <w:rPr>
                <w:rFonts w:ascii="Arial" w:eastAsia="Times New Roman" w:hAnsi="Arial" w:cs="Arial"/>
                <w:b/>
                <w:bCs/>
                <w:color w:val="000000" w:themeColor="text1"/>
                <w:sz w:val="17"/>
                <w:szCs w:val="17"/>
              </w:rPr>
              <w:t>Stupanj 1</w:t>
            </w:r>
          </w:p>
        </w:tc>
        <w:tc>
          <w:tcPr>
            <w:tcW w:w="1134" w:type="dxa"/>
            <w:tcBorders>
              <w:top w:val="nil"/>
              <w:left w:val="nil"/>
              <w:bottom w:val="nil"/>
              <w:right w:val="nil"/>
            </w:tcBorders>
            <w:shd w:val="clear" w:color="auto" w:fill="auto"/>
            <w:vAlign w:val="bottom"/>
            <w:hideMark/>
          </w:tcPr>
          <w:p w14:paraId="0E462714" w14:textId="77777777" w:rsidR="00D43EB6" w:rsidRPr="004775A2" w:rsidRDefault="00D43EB6" w:rsidP="00D43EB6">
            <w:pPr>
              <w:suppressAutoHyphens/>
              <w:autoSpaceDN w:val="0"/>
              <w:jc w:val="right"/>
              <w:rPr>
                <w:rFonts w:ascii="Arial" w:eastAsia="Times New Roman" w:hAnsi="Arial" w:cs="Arial"/>
                <w:b/>
                <w:bCs/>
                <w:color w:val="000000" w:themeColor="text1"/>
                <w:sz w:val="17"/>
                <w:szCs w:val="17"/>
              </w:rPr>
            </w:pPr>
            <w:r w:rsidRPr="004775A2">
              <w:rPr>
                <w:rFonts w:ascii="Arial" w:eastAsia="Times New Roman" w:hAnsi="Arial" w:cs="Arial"/>
                <w:b/>
                <w:bCs/>
                <w:color w:val="000000" w:themeColor="text1"/>
                <w:sz w:val="17"/>
                <w:szCs w:val="17"/>
              </w:rPr>
              <w:t>Stupanj 2</w:t>
            </w:r>
          </w:p>
        </w:tc>
        <w:tc>
          <w:tcPr>
            <w:tcW w:w="1134" w:type="dxa"/>
            <w:tcBorders>
              <w:top w:val="nil"/>
              <w:left w:val="nil"/>
              <w:bottom w:val="nil"/>
              <w:right w:val="nil"/>
            </w:tcBorders>
            <w:shd w:val="clear" w:color="auto" w:fill="auto"/>
            <w:vAlign w:val="bottom"/>
            <w:hideMark/>
          </w:tcPr>
          <w:p w14:paraId="3455D4E7" w14:textId="77777777" w:rsidR="00D43EB6" w:rsidRPr="004775A2" w:rsidRDefault="00D43EB6" w:rsidP="00D43EB6">
            <w:pPr>
              <w:suppressAutoHyphens/>
              <w:autoSpaceDN w:val="0"/>
              <w:jc w:val="right"/>
              <w:rPr>
                <w:rFonts w:ascii="Arial" w:eastAsia="Times New Roman" w:hAnsi="Arial" w:cs="Arial"/>
                <w:b/>
                <w:bCs/>
                <w:color w:val="000000" w:themeColor="text1"/>
                <w:sz w:val="17"/>
                <w:szCs w:val="17"/>
              </w:rPr>
            </w:pPr>
            <w:r w:rsidRPr="004775A2">
              <w:rPr>
                <w:rFonts w:ascii="Arial" w:eastAsia="Times New Roman" w:hAnsi="Arial" w:cs="Arial"/>
                <w:b/>
                <w:bCs/>
                <w:color w:val="000000" w:themeColor="text1"/>
                <w:sz w:val="17"/>
                <w:szCs w:val="17"/>
              </w:rPr>
              <w:t>Stupanj 3</w:t>
            </w:r>
          </w:p>
        </w:tc>
        <w:tc>
          <w:tcPr>
            <w:tcW w:w="2127" w:type="dxa"/>
            <w:gridSpan w:val="2"/>
            <w:tcBorders>
              <w:top w:val="nil"/>
              <w:left w:val="nil"/>
              <w:bottom w:val="nil"/>
              <w:right w:val="nil"/>
            </w:tcBorders>
            <w:shd w:val="clear" w:color="auto" w:fill="auto"/>
            <w:vAlign w:val="bottom"/>
            <w:hideMark/>
          </w:tcPr>
          <w:p w14:paraId="5BD562F4" w14:textId="77777777" w:rsidR="00D43EB6" w:rsidRPr="004775A2" w:rsidRDefault="00D43EB6" w:rsidP="00D43EB6">
            <w:pPr>
              <w:suppressAutoHyphens/>
              <w:autoSpaceDN w:val="0"/>
              <w:jc w:val="center"/>
              <w:rPr>
                <w:rFonts w:ascii="Arial" w:eastAsia="Times New Roman" w:hAnsi="Arial" w:cs="Arial"/>
                <w:b/>
                <w:bCs/>
                <w:color w:val="000000" w:themeColor="text1"/>
                <w:sz w:val="17"/>
                <w:szCs w:val="17"/>
              </w:rPr>
            </w:pPr>
            <w:r w:rsidRPr="004775A2">
              <w:rPr>
                <w:rFonts w:ascii="Arial" w:eastAsia="Times New Roman" w:hAnsi="Arial" w:cs="Arial"/>
                <w:b/>
                <w:bCs/>
                <w:color w:val="000000" w:themeColor="text1"/>
                <w:sz w:val="17"/>
                <w:szCs w:val="17"/>
              </w:rPr>
              <w:t>POCI</w:t>
            </w:r>
          </w:p>
        </w:tc>
        <w:tc>
          <w:tcPr>
            <w:tcW w:w="1134" w:type="dxa"/>
            <w:tcBorders>
              <w:top w:val="nil"/>
              <w:left w:val="nil"/>
              <w:bottom w:val="nil"/>
              <w:right w:val="nil"/>
            </w:tcBorders>
            <w:vAlign w:val="bottom"/>
          </w:tcPr>
          <w:p w14:paraId="24421DF5" w14:textId="77777777" w:rsidR="00D43EB6" w:rsidRPr="004775A2" w:rsidRDefault="00D43EB6" w:rsidP="00D43EB6">
            <w:pPr>
              <w:suppressAutoHyphens/>
              <w:autoSpaceDN w:val="0"/>
              <w:jc w:val="right"/>
              <w:rPr>
                <w:rFonts w:ascii="Arial" w:eastAsia="Times New Roman" w:hAnsi="Arial" w:cs="Arial"/>
                <w:b/>
                <w:bCs/>
                <w:color w:val="000000" w:themeColor="text1"/>
                <w:sz w:val="17"/>
                <w:szCs w:val="17"/>
              </w:rPr>
            </w:pPr>
            <w:r w:rsidRPr="004775A2">
              <w:rPr>
                <w:rFonts w:ascii="Arial" w:eastAsia="Times New Roman" w:hAnsi="Arial" w:cs="Arial"/>
                <w:b/>
                <w:bCs/>
                <w:color w:val="000000" w:themeColor="text1"/>
                <w:sz w:val="17"/>
                <w:szCs w:val="17"/>
              </w:rPr>
              <w:t>Bez Stupnja</w:t>
            </w:r>
          </w:p>
        </w:tc>
        <w:tc>
          <w:tcPr>
            <w:tcW w:w="1134" w:type="dxa"/>
            <w:tcBorders>
              <w:top w:val="nil"/>
              <w:left w:val="nil"/>
              <w:bottom w:val="nil"/>
              <w:right w:val="nil"/>
            </w:tcBorders>
            <w:shd w:val="clear" w:color="auto" w:fill="auto"/>
            <w:vAlign w:val="bottom"/>
            <w:hideMark/>
          </w:tcPr>
          <w:p w14:paraId="17840863" w14:textId="22EB974C" w:rsidR="00D43EB6" w:rsidRPr="004775A2" w:rsidRDefault="00D43EB6" w:rsidP="00D43EB6">
            <w:pPr>
              <w:suppressAutoHyphens/>
              <w:autoSpaceDN w:val="0"/>
              <w:jc w:val="right"/>
              <w:rPr>
                <w:rFonts w:ascii="Arial" w:eastAsia="Times New Roman" w:hAnsi="Arial" w:cs="Arial"/>
                <w:b/>
                <w:bCs/>
                <w:color w:val="000000" w:themeColor="text1"/>
                <w:sz w:val="17"/>
                <w:szCs w:val="17"/>
              </w:rPr>
            </w:pPr>
            <w:r w:rsidRPr="004775A2">
              <w:rPr>
                <w:rFonts w:ascii="Arial" w:eastAsia="Times New Roman" w:hAnsi="Arial" w:cs="Arial"/>
                <w:b/>
                <w:bCs/>
                <w:color w:val="000000" w:themeColor="text1"/>
                <w:sz w:val="17"/>
                <w:szCs w:val="17"/>
              </w:rPr>
              <w:t>Ukupno</w:t>
            </w:r>
          </w:p>
        </w:tc>
      </w:tr>
      <w:tr w:rsidR="004775A2" w:rsidRPr="004775A2" w14:paraId="5C1FA8A2" w14:textId="77777777" w:rsidTr="00873D32">
        <w:trPr>
          <w:trHeight w:val="280"/>
        </w:trPr>
        <w:tc>
          <w:tcPr>
            <w:tcW w:w="1843" w:type="dxa"/>
            <w:tcBorders>
              <w:top w:val="nil"/>
              <w:left w:val="nil"/>
              <w:bottom w:val="nil"/>
              <w:right w:val="nil"/>
            </w:tcBorders>
            <w:shd w:val="clear" w:color="auto" w:fill="auto"/>
            <w:vAlign w:val="bottom"/>
          </w:tcPr>
          <w:p w14:paraId="0B5E74AF" w14:textId="77777777" w:rsidR="00D43EB6" w:rsidRPr="004775A2" w:rsidRDefault="00D43EB6" w:rsidP="00D43EB6">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vAlign w:val="bottom"/>
          </w:tcPr>
          <w:p w14:paraId="41AF13D3" w14:textId="77777777" w:rsidR="00D43EB6" w:rsidRPr="004775A2" w:rsidRDefault="00D43EB6" w:rsidP="00D43EB6">
            <w:pPr>
              <w:suppressAutoHyphens/>
              <w:autoSpaceDN w:val="0"/>
              <w:jc w:val="right"/>
              <w:rPr>
                <w:rFonts w:ascii="Arial" w:eastAsia="Times New Roman" w:hAnsi="Arial" w:cs="Arial"/>
                <w:b/>
                <w:bCs/>
                <w:color w:val="000000" w:themeColor="text1"/>
                <w:sz w:val="17"/>
                <w:szCs w:val="17"/>
              </w:rPr>
            </w:pPr>
          </w:p>
        </w:tc>
        <w:tc>
          <w:tcPr>
            <w:tcW w:w="1134" w:type="dxa"/>
            <w:tcBorders>
              <w:top w:val="nil"/>
              <w:left w:val="nil"/>
              <w:bottom w:val="nil"/>
              <w:right w:val="nil"/>
            </w:tcBorders>
            <w:shd w:val="clear" w:color="auto" w:fill="auto"/>
            <w:vAlign w:val="bottom"/>
          </w:tcPr>
          <w:p w14:paraId="74984C9B" w14:textId="77777777" w:rsidR="00D43EB6" w:rsidRPr="004775A2" w:rsidRDefault="00D43EB6" w:rsidP="00D43EB6">
            <w:pPr>
              <w:suppressAutoHyphens/>
              <w:autoSpaceDN w:val="0"/>
              <w:jc w:val="right"/>
              <w:rPr>
                <w:rFonts w:ascii="Arial" w:eastAsia="Times New Roman" w:hAnsi="Arial" w:cs="Arial"/>
                <w:b/>
                <w:bCs/>
                <w:color w:val="000000" w:themeColor="text1"/>
                <w:sz w:val="17"/>
                <w:szCs w:val="17"/>
              </w:rPr>
            </w:pPr>
          </w:p>
        </w:tc>
        <w:tc>
          <w:tcPr>
            <w:tcW w:w="1134" w:type="dxa"/>
            <w:tcBorders>
              <w:top w:val="nil"/>
              <w:left w:val="nil"/>
              <w:bottom w:val="nil"/>
              <w:right w:val="nil"/>
            </w:tcBorders>
            <w:shd w:val="clear" w:color="auto" w:fill="auto"/>
            <w:vAlign w:val="bottom"/>
          </w:tcPr>
          <w:p w14:paraId="11BFD70A" w14:textId="77777777" w:rsidR="00D43EB6" w:rsidRPr="004775A2" w:rsidRDefault="00D43EB6" w:rsidP="00D43EB6">
            <w:pPr>
              <w:suppressAutoHyphens/>
              <w:autoSpaceDN w:val="0"/>
              <w:jc w:val="right"/>
              <w:rPr>
                <w:rFonts w:ascii="Arial" w:eastAsia="Times New Roman" w:hAnsi="Arial" w:cs="Arial"/>
                <w:b/>
                <w:bCs/>
                <w:color w:val="000000" w:themeColor="text1"/>
                <w:sz w:val="17"/>
                <w:szCs w:val="17"/>
              </w:rPr>
            </w:pPr>
          </w:p>
        </w:tc>
        <w:tc>
          <w:tcPr>
            <w:tcW w:w="1134" w:type="dxa"/>
            <w:tcBorders>
              <w:top w:val="nil"/>
              <w:left w:val="nil"/>
              <w:bottom w:val="nil"/>
              <w:right w:val="nil"/>
            </w:tcBorders>
            <w:shd w:val="clear" w:color="auto" w:fill="auto"/>
            <w:vAlign w:val="bottom"/>
          </w:tcPr>
          <w:p w14:paraId="1C85D065" w14:textId="34781169" w:rsidR="00D43EB6" w:rsidRPr="004775A2" w:rsidRDefault="00D43EB6" w:rsidP="00D43EB6">
            <w:pPr>
              <w:suppressAutoHyphens/>
              <w:autoSpaceDN w:val="0"/>
              <w:jc w:val="right"/>
              <w:rPr>
                <w:rFonts w:ascii="Arial" w:eastAsia="Times New Roman" w:hAnsi="Arial" w:cs="Arial"/>
                <w:b/>
                <w:bCs/>
                <w:color w:val="000000" w:themeColor="text1"/>
                <w:sz w:val="17"/>
                <w:szCs w:val="17"/>
              </w:rPr>
            </w:pPr>
            <w:r w:rsidRPr="004775A2">
              <w:rPr>
                <w:rFonts w:ascii="Arial" w:hAnsi="Arial" w:cs="Arial"/>
                <w:b/>
                <w:bCs/>
                <w:color w:val="000000" w:themeColor="text1"/>
                <w:sz w:val="17"/>
                <w:szCs w:val="17"/>
              </w:rPr>
              <w:t>Stupanj 2</w:t>
            </w:r>
          </w:p>
        </w:tc>
        <w:tc>
          <w:tcPr>
            <w:tcW w:w="993" w:type="dxa"/>
            <w:tcBorders>
              <w:top w:val="nil"/>
              <w:left w:val="nil"/>
              <w:bottom w:val="nil"/>
              <w:right w:val="nil"/>
            </w:tcBorders>
            <w:shd w:val="clear" w:color="auto" w:fill="auto"/>
            <w:vAlign w:val="bottom"/>
          </w:tcPr>
          <w:p w14:paraId="07A95083" w14:textId="7D40A95B" w:rsidR="00D43EB6" w:rsidRPr="004775A2" w:rsidRDefault="00D43EB6" w:rsidP="00D43EB6">
            <w:pPr>
              <w:suppressAutoHyphens/>
              <w:autoSpaceDN w:val="0"/>
              <w:jc w:val="right"/>
              <w:rPr>
                <w:rFonts w:ascii="Arial" w:eastAsia="Times New Roman" w:hAnsi="Arial" w:cs="Arial"/>
                <w:b/>
                <w:bCs/>
                <w:color w:val="000000" w:themeColor="text1"/>
                <w:sz w:val="17"/>
                <w:szCs w:val="17"/>
              </w:rPr>
            </w:pPr>
            <w:r w:rsidRPr="004775A2">
              <w:rPr>
                <w:rFonts w:ascii="Arial" w:hAnsi="Arial" w:cs="Arial"/>
                <w:b/>
                <w:bCs/>
                <w:color w:val="000000" w:themeColor="text1"/>
                <w:sz w:val="17"/>
                <w:szCs w:val="17"/>
              </w:rPr>
              <w:t>Stupanj 3</w:t>
            </w:r>
          </w:p>
        </w:tc>
        <w:tc>
          <w:tcPr>
            <w:tcW w:w="1134" w:type="dxa"/>
            <w:tcBorders>
              <w:top w:val="nil"/>
              <w:left w:val="nil"/>
              <w:bottom w:val="nil"/>
              <w:right w:val="nil"/>
            </w:tcBorders>
            <w:vAlign w:val="bottom"/>
          </w:tcPr>
          <w:p w14:paraId="058255B6" w14:textId="77777777" w:rsidR="00D43EB6" w:rsidRPr="004775A2" w:rsidRDefault="00D43EB6" w:rsidP="00D43EB6">
            <w:pPr>
              <w:suppressAutoHyphens/>
              <w:autoSpaceDN w:val="0"/>
              <w:jc w:val="right"/>
              <w:rPr>
                <w:rFonts w:ascii="Arial" w:eastAsia="Times New Roman" w:hAnsi="Arial" w:cs="Arial"/>
                <w:b/>
                <w:bCs/>
                <w:color w:val="000000" w:themeColor="text1"/>
                <w:sz w:val="17"/>
                <w:szCs w:val="17"/>
              </w:rPr>
            </w:pPr>
          </w:p>
        </w:tc>
        <w:tc>
          <w:tcPr>
            <w:tcW w:w="1134" w:type="dxa"/>
            <w:tcBorders>
              <w:top w:val="nil"/>
              <w:left w:val="nil"/>
              <w:bottom w:val="nil"/>
              <w:right w:val="nil"/>
            </w:tcBorders>
            <w:shd w:val="clear" w:color="auto" w:fill="auto"/>
            <w:vAlign w:val="bottom"/>
          </w:tcPr>
          <w:p w14:paraId="741EC95B" w14:textId="77777777" w:rsidR="00D43EB6" w:rsidRPr="004775A2" w:rsidRDefault="00D43EB6" w:rsidP="00D43EB6">
            <w:pPr>
              <w:suppressAutoHyphens/>
              <w:autoSpaceDN w:val="0"/>
              <w:jc w:val="right"/>
              <w:rPr>
                <w:rFonts w:ascii="Arial" w:eastAsia="Times New Roman" w:hAnsi="Arial" w:cs="Arial"/>
                <w:b/>
                <w:bCs/>
                <w:color w:val="000000" w:themeColor="text1"/>
                <w:sz w:val="17"/>
                <w:szCs w:val="17"/>
              </w:rPr>
            </w:pPr>
          </w:p>
        </w:tc>
      </w:tr>
      <w:tr w:rsidR="00D43EB6" w:rsidRPr="004775A2" w14:paraId="5B3932A6" w14:textId="77777777" w:rsidTr="00873D32">
        <w:trPr>
          <w:trHeight w:val="280"/>
        </w:trPr>
        <w:tc>
          <w:tcPr>
            <w:tcW w:w="1843" w:type="dxa"/>
            <w:tcBorders>
              <w:top w:val="nil"/>
              <w:left w:val="nil"/>
              <w:bottom w:val="nil"/>
              <w:right w:val="nil"/>
            </w:tcBorders>
            <w:shd w:val="clear" w:color="auto" w:fill="auto"/>
            <w:vAlign w:val="bottom"/>
          </w:tcPr>
          <w:p w14:paraId="75B2EEF1" w14:textId="77777777" w:rsidR="00D43EB6" w:rsidRPr="004775A2" w:rsidRDefault="00D43EB6" w:rsidP="00D43EB6">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vAlign w:val="bottom"/>
          </w:tcPr>
          <w:p w14:paraId="6C857D92" w14:textId="0B73AD11" w:rsidR="00D43EB6" w:rsidRPr="004775A2" w:rsidRDefault="00D43EB6" w:rsidP="00D43EB6">
            <w:pPr>
              <w:suppressAutoHyphens/>
              <w:autoSpaceDN w:val="0"/>
              <w:jc w:val="right"/>
              <w:rPr>
                <w:rFonts w:ascii="Arial" w:eastAsia="Times New Roman" w:hAnsi="Arial" w:cs="Arial"/>
                <w:b/>
                <w:bCs/>
                <w:color w:val="000000" w:themeColor="text1"/>
                <w:sz w:val="17"/>
                <w:szCs w:val="17"/>
              </w:rPr>
            </w:pPr>
            <w:r w:rsidRPr="004775A2">
              <w:rPr>
                <w:rFonts w:ascii="Arial" w:eastAsia="Times New Roman" w:hAnsi="Arial" w:cs="Arial"/>
                <w:b/>
                <w:bCs/>
                <w:color w:val="000000" w:themeColor="text1"/>
                <w:sz w:val="17"/>
                <w:szCs w:val="17"/>
              </w:rPr>
              <w:t>000 eura</w:t>
            </w:r>
          </w:p>
        </w:tc>
        <w:tc>
          <w:tcPr>
            <w:tcW w:w="1134" w:type="dxa"/>
            <w:tcBorders>
              <w:top w:val="nil"/>
              <w:left w:val="nil"/>
              <w:bottom w:val="nil"/>
              <w:right w:val="nil"/>
            </w:tcBorders>
            <w:shd w:val="clear" w:color="auto" w:fill="auto"/>
            <w:vAlign w:val="bottom"/>
          </w:tcPr>
          <w:p w14:paraId="582F4B24" w14:textId="2B6D26A4" w:rsidR="00D43EB6" w:rsidRPr="004775A2" w:rsidRDefault="00D43EB6" w:rsidP="00D43EB6">
            <w:pPr>
              <w:suppressAutoHyphens/>
              <w:autoSpaceDN w:val="0"/>
              <w:jc w:val="right"/>
              <w:rPr>
                <w:rFonts w:ascii="Arial" w:eastAsia="Times New Roman" w:hAnsi="Arial" w:cs="Arial"/>
                <w:b/>
                <w:bCs/>
                <w:color w:val="000000" w:themeColor="text1"/>
                <w:sz w:val="17"/>
                <w:szCs w:val="17"/>
              </w:rPr>
            </w:pPr>
            <w:r w:rsidRPr="004775A2">
              <w:rPr>
                <w:rFonts w:ascii="Arial" w:eastAsia="Times New Roman" w:hAnsi="Arial" w:cs="Arial"/>
                <w:b/>
                <w:bCs/>
                <w:color w:val="000000" w:themeColor="text1"/>
                <w:sz w:val="17"/>
                <w:szCs w:val="17"/>
              </w:rPr>
              <w:t>000 eura</w:t>
            </w:r>
          </w:p>
        </w:tc>
        <w:tc>
          <w:tcPr>
            <w:tcW w:w="1134" w:type="dxa"/>
            <w:tcBorders>
              <w:top w:val="nil"/>
              <w:left w:val="nil"/>
              <w:bottom w:val="nil"/>
              <w:right w:val="nil"/>
            </w:tcBorders>
            <w:shd w:val="clear" w:color="auto" w:fill="auto"/>
            <w:vAlign w:val="bottom"/>
          </w:tcPr>
          <w:p w14:paraId="29627CB8" w14:textId="0D428DF2" w:rsidR="00D43EB6" w:rsidRPr="004775A2" w:rsidRDefault="00D43EB6" w:rsidP="00D43EB6">
            <w:pPr>
              <w:suppressAutoHyphens/>
              <w:autoSpaceDN w:val="0"/>
              <w:jc w:val="right"/>
              <w:rPr>
                <w:rFonts w:ascii="Arial" w:eastAsia="Times New Roman" w:hAnsi="Arial" w:cs="Arial"/>
                <w:b/>
                <w:bCs/>
                <w:color w:val="000000" w:themeColor="text1"/>
                <w:sz w:val="17"/>
                <w:szCs w:val="17"/>
              </w:rPr>
            </w:pPr>
            <w:r w:rsidRPr="004775A2">
              <w:rPr>
                <w:rFonts w:ascii="Arial" w:eastAsia="Times New Roman" w:hAnsi="Arial" w:cs="Arial"/>
                <w:b/>
                <w:bCs/>
                <w:color w:val="000000" w:themeColor="text1"/>
                <w:sz w:val="17"/>
                <w:szCs w:val="17"/>
              </w:rPr>
              <w:t>000 eura</w:t>
            </w:r>
          </w:p>
        </w:tc>
        <w:tc>
          <w:tcPr>
            <w:tcW w:w="1134" w:type="dxa"/>
            <w:tcBorders>
              <w:top w:val="nil"/>
              <w:left w:val="nil"/>
              <w:bottom w:val="nil"/>
              <w:right w:val="nil"/>
            </w:tcBorders>
            <w:shd w:val="clear" w:color="auto" w:fill="auto"/>
            <w:vAlign w:val="bottom"/>
          </w:tcPr>
          <w:p w14:paraId="3B09DC8C" w14:textId="77777777" w:rsidR="00D43EB6" w:rsidRPr="004775A2" w:rsidRDefault="00D43EB6" w:rsidP="00D43EB6">
            <w:pPr>
              <w:suppressAutoHyphens/>
              <w:autoSpaceDN w:val="0"/>
              <w:jc w:val="right"/>
              <w:rPr>
                <w:rFonts w:ascii="Arial" w:eastAsia="Times New Roman" w:hAnsi="Arial" w:cs="Arial"/>
                <w:b/>
                <w:bCs/>
                <w:color w:val="000000" w:themeColor="text1"/>
                <w:sz w:val="17"/>
                <w:szCs w:val="17"/>
              </w:rPr>
            </w:pPr>
            <w:r w:rsidRPr="004775A2">
              <w:rPr>
                <w:rFonts w:ascii="Arial" w:eastAsia="Times New Roman" w:hAnsi="Arial" w:cs="Arial"/>
                <w:b/>
                <w:bCs/>
                <w:color w:val="000000" w:themeColor="text1"/>
                <w:sz w:val="17"/>
                <w:szCs w:val="17"/>
              </w:rPr>
              <w:t>000 eura</w:t>
            </w:r>
          </w:p>
        </w:tc>
        <w:tc>
          <w:tcPr>
            <w:tcW w:w="993" w:type="dxa"/>
            <w:tcBorders>
              <w:top w:val="nil"/>
              <w:left w:val="nil"/>
              <w:bottom w:val="nil"/>
              <w:right w:val="nil"/>
            </w:tcBorders>
            <w:shd w:val="clear" w:color="auto" w:fill="auto"/>
            <w:vAlign w:val="bottom"/>
          </w:tcPr>
          <w:p w14:paraId="4257741D" w14:textId="1E46A837" w:rsidR="00D43EB6" w:rsidRPr="004775A2" w:rsidRDefault="00D43EB6" w:rsidP="00D43EB6">
            <w:pPr>
              <w:suppressAutoHyphens/>
              <w:autoSpaceDN w:val="0"/>
              <w:jc w:val="right"/>
              <w:rPr>
                <w:rFonts w:ascii="Arial" w:eastAsia="Times New Roman" w:hAnsi="Arial" w:cs="Arial"/>
                <w:b/>
                <w:bCs/>
                <w:color w:val="000000" w:themeColor="text1"/>
                <w:sz w:val="17"/>
                <w:szCs w:val="17"/>
              </w:rPr>
            </w:pPr>
            <w:r w:rsidRPr="004775A2">
              <w:rPr>
                <w:rFonts w:ascii="Arial" w:eastAsia="Times New Roman" w:hAnsi="Arial" w:cs="Arial"/>
                <w:b/>
                <w:bCs/>
                <w:color w:val="000000" w:themeColor="text1"/>
                <w:sz w:val="17"/>
                <w:szCs w:val="17"/>
              </w:rPr>
              <w:t>000 eura</w:t>
            </w:r>
          </w:p>
        </w:tc>
        <w:tc>
          <w:tcPr>
            <w:tcW w:w="1134" w:type="dxa"/>
            <w:tcBorders>
              <w:top w:val="nil"/>
              <w:left w:val="nil"/>
              <w:bottom w:val="nil"/>
              <w:right w:val="nil"/>
            </w:tcBorders>
            <w:vAlign w:val="bottom"/>
          </w:tcPr>
          <w:p w14:paraId="300E4B23" w14:textId="120AA853" w:rsidR="00D43EB6" w:rsidRPr="004775A2" w:rsidRDefault="00D43EB6" w:rsidP="00D43EB6">
            <w:pPr>
              <w:suppressAutoHyphens/>
              <w:autoSpaceDN w:val="0"/>
              <w:jc w:val="right"/>
              <w:rPr>
                <w:rFonts w:ascii="Arial" w:eastAsia="Times New Roman" w:hAnsi="Arial" w:cs="Arial"/>
                <w:b/>
                <w:bCs/>
                <w:color w:val="000000" w:themeColor="text1"/>
                <w:sz w:val="17"/>
                <w:szCs w:val="17"/>
              </w:rPr>
            </w:pPr>
            <w:r w:rsidRPr="004775A2">
              <w:rPr>
                <w:rFonts w:ascii="Arial" w:eastAsia="Times New Roman" w:hAnsi="Arial" w:cs="Arial"/>
                <w:b/>
                <w:bCs/>
                <w:color w:val="000000" w:themeColor="text1"/>
                <w:sz w:val="17"/>
                <w:szCs w:val="17"/>
              </w:rPr>
              <w:t>000 eura</w:t>
            </w:r>
          </w:p>
        </w:tc>
        <w:tc>
          <w:tcPr>
            <w:tcW w:w="1134" w:type="dxa"/>
            <w:tcBorders>
              <w:top w:val="nil"/>
              <w:left w:val="nil"/>
              <w:bottom w:val="nil"/>
              <w:right w:val="nil"/>
            </w:tcBorders>
            <w:shd w:val="clear" w:color="auto" w:fill="auto"/>
            <w:vAlign w:val="bottom"/>
          </w:tcPr>
          <w:p w14:paraId="2F6545F2" w14:textId="0D2C84B1" w:rsidR="00D43EB6" w:rsidRPr="004775A2" w:rsidRDefault="00D43EB6" w:rsidP="00D43EB6">
            <w:pPr>
              <w:suppressAutoHyphens/>
              <w:autoSpaceDN w:val="0"/>
              <w:jc w:val="right"/>
              <w:rPr>
                <w:rFonts w:ascii="Arial" w:eastAsia="Times New Roman" w:hAnsi="Arial" w:cs="Arial"/>
                <w:b/>
                <w:bCs/>
                <w:color w:val="000000" w:themeColor="text1"/>
                <w:sz w:val="17"/>
                <w:szCs w:val="17"/>
              </w:rPr>
            </w:pPr>
            <w:r w:rsidRPr="004775A2">
              <w:rPr>
                <w:rFonts w:ascii="Arial" w:eastAsia="Times New Roman" w:hAnsi="Arial" w:cs="Arial"/>
                <w:b/>
                <w:bCs/>
                <w:color w:val="000000" w:themeColor="text1"/>
                <w:sz w:val="17"/>
                <w:szCs w:val="17"/>
              </w:rPr>
              <w:t>000 eura</w:t>
            </w:r>
          </w:p>
        </w:tc>
      </w:tr>
      <w:tr w:rsidR="00D43EB6" w:rsidRPr="004775A2" w14:paraId="1F6BB14B" w14:textId="77777777" w:rsidTr="00873D32">
        <w:trPr>
          <w:trHeight w:hRule="exact" w:val="130"/>
        </w:trPr>
        <w:tc>
          <w:tcPr>
            <w:tcW w:w="1843" w:type="dxa"/>
            <w:tcBorders>
              <w:top w:val="nil"/>
              <w:left w:val="nil"/>
              <w:bottom w:val="nil"/>
              <w:right w:val="nil"/>
            </w:tcBorders>
            <w:shd w:val="clear" w:color="auto" w:fill="auto"/>
            <w:vAlign w:val="bottom"/>
            <w:hideMark/>
          </w:tcPr>
          <w:p w14:paraId="3C58ED10" w14:textId="77777777" w:rsidR="00D43EB6" w:rsidRPr="004775A2" w:rsidRDefault="00D43EB6" w:rsidP="00D43EB6">
            <w:pPr>
              <w:suppressAutoHyphens/>
              <w:autoSpaceDN w:val="0"/>
              <w:jc w:val="right"/>
              <w:rPr>
                <w:rFonts w:ascii="Arial" w:eastAsia="Times New Roman" w:hAnsi="Arial" w:cs="Arial"/>
                <w:b/>
                <w:bCs/>
                <w:color w:val="000000" w:themeColor="text1"/>
                <w:sz w:val="17"/>
                <w:szCs w:val="17"/>
              </w:rPr>
            </w:pPr>
          </w:p>
        </w:tc>
        <w:tc>
          <w:tcPr>
            <w:tcW w:w="992" w:type="dxa"/>
            <w:tcBorders>
              <w:top w:val="nil"/>
              <w:left w:val="nil"/>
              <w:bottom w:val="nil"/>
              <w:right w:val="nil"/>
            </w:tcBorders>
            <w:shd w:val="clear" w:color="auto" w:fill="auto"/>
            <w:vAlign w:val="bottom"/>
            <w:hideMark/>
          </w:tcPr>
          <w:p w14:paraId="3A8B41B9" w14:textId="77777777" w:rsidR="00D43EB6" w:rsidRPr="004775A2" w:rsidRDefault="00D43EB6" w:rsidP="00D43EB6">
            <w:pPr>
              <w:suppressAutoHyphens/>
              <w:autoSpaceDN w:val="0"/>
              <w:rPr>
                <w:rFonts w:ascii="Arial" w:eastAsia="Times New Roman" w:hAnsi="Arial" w:cs="Arial"/>
                <w:color w:val="000000" w:themeColor="text1"/>
                <w:sz w:val="17"/>
                <w:szCs w:val="17"/>
              </w:rPr>
            </w:pPr>
          </w:p>
        </w:tc>
        <w:tc>
          <w:tcPr>
            <w:tcW w:w="1134" w:type="dxa"/>
            <w:tcBorders>
              <w:top w:val="nil"/>
              <w:left w:val="nil"/>
              <w:bottom w:val="nil"/>
              <w:right w:val="nil"/>
            </w:tcBorders>
            <w:shd w:val="clear" w:color="auto" w:fill="auto"/>
            <w:vAlign w:val="bottom"/>
            <w:hideMark/>
          </w:tcPr>
          <w:p w14:paraId="0B6537EB" w14:textId="77777777" w:rsidR="00D43EB6" w:rsidRPr="004775A2" w:rsidRDefault="00D43EB6" w:rsidP="00D43EB6">
            <w:pPr>
              <w:suppressAutoHyphens/>
              <w:autoSpaceDN w:val="0"/>
              <w:jc w:val="right"/>
              <w:rPr>
                <w:rFonts w:ascii="Arial" w:eastAsia="Times New Roman" w:hAnsi="Arial" w:cs="Arial"/>
                <w:color w:val="000000" w:themeColor="text1"/>
                <w:sz w:val="17"/>
                <w:szCs w:val="17"/>
              </w:rPr>
            </w:pPr>
          </w:p>
        </w:tc>
        <w:tc>
          <w:tcPr>
            <w:tcW w:w="1134" w:type="dxa"/>
            <w:tcBorders>
              <w:top w:val="nil"/>
              <w:left w:val="nil"/>
              <w:bottom w:val="nil"/>
              <w:right w:val="nil"/>
            </w:tcBorders>
            <w:shd w:val="clear" w:color="auto" w:fill="auto"/>
            <w:vAlign w:val="bottom"/>
            <w:hideMark/>
          </w:tcPr>
          <w:p w14:paraId="451EE074" w14:textId="77777777" w:rsidR="00D43EB6" w:rsidRPr="004775A2" w:rsidRDefault="00D43EB6" w:rsidP="00D43EB6">
            <w:pPr>
              <w:suppressAutoHyphens/>
              <w:autoSpaceDN w:val="0"/>
              <w:jc w:val="right"/>
              <w:rPr>
                <w:rFonts w:ascii="Arial" w:eastAsia="Times New Roman" w:hAnsi="Arial" w:cs="Arial"/>
                <w:color w:val="000000" w:themeColor="text1"/>
                <w:sz w:val="17"/>
                <w:szCs w:val="17"/>
              </w:rPr>
            </w:pPr>
          </w:p>
        </w:tc>
        <w:tc>
          <w:tcPr>
            <w:tcW w:w="2127" w:type="dxa"/>
            <w:gridSpan w:val="2"/>
            <w:tcBorders>
              <w:top w:val="nil"/>
              <w:left w:val="nil"/>
              <w:bottom w:val="nil"/>
              <w:right w:val="nil"/>
            </w:tcBorders>
            <w:shd w:val="clear" w:color="auto" w:fill="auto"/>
            <w:vAlign w:val="bottom"/>
            <w:hideMark/>
          </w:tcPr>
          <w:p w14:paraId="4C9590D1" w14:textId="77777777" w:rsidR="00D43EB6" w:rsidRPr="004775A2" w:rsidRDefault="00D43EB6" w:rsidP="00D43EB6">
            <w:pPr>
              <w:suppressAutoHyphens/>
              <w:autoSpaceDN w:val="0"/>
              <w:jc w:val="right"/>
              <w:rPr>
                <w:rFonts w:ascii="Arial" w:eastAsia="Times New Roman" w:hAnsi="Arial" w:cs="Arial"/>
                <w:color w:val="000000" w:themeColor="text1"/>
                <w:sz w:val="17"/>
                <w:szCs w:val="17"/>
              </w:rPr>
            </w:pPr>
          </w:p>
        </w:tc>
        <w:tc>
          <w:tcPr>
            <w:tcW w:w="1134" w:type="dxa"/>
            <w:tcBorders>
              <w:top w:val="nil"/>
              <w:left w:val="nil"/>
              <w:bottom w:val="nil"/>
              <w:right w:val="nil"/>
            </w:tcBorders>
            <w:vAlign w:val="bottom"/>
          </w:tcPr>
          <w:p w14:paraId="20E17121" w14:textId="77777777" w:rsidR="00D43EB6" w:rsidRPr="004775A2" w:rsidRDefault="00D43EB6" w:rsidP="00D43EB6">
            <w:pPr>
              <w:suppressAutoHyphens/>
              <w:autoSpaceDN w:val="0"/>
              <w:rPr>
                <w:rFonts w:ascii="Arial" w:eastAsia="Times New Roman" w:hAnsi="Arial" w:cs="Arial"/>
                <w:color w:val="000000" w:themeColor="text1"/>
                <w:sz w:val="17"/>
                <w:szCs w:val="17"/>
              </w:rPr>
            </w:pPr>
          </w:p>
        </w:tc>
        <w:tc>
          <w:tcPr>
            <w:tcW w:w="1134" w:type="dxa"/>
            <w:tcBorders>
              <w:top w:val="nil"/>
              <w:left w:val="nil"/>
              <w:bottom w:val="nil"/>
              <w:right w:val="nil"/>
            </w:tcBorders>
            <w:shd w:val="clear" w:color="auto" w:fill="auto"/>
            <w:vAlign w:val="bottom"/>
            <w:hideMark/>
          </w:tcPr>
          <w:p w14:paraId="03BDB23E" w14:textId="77777777" w:rsidR="00D43EB6" w:rsidRPr="004775A2" w:rsidRDefault="00D43EB6" w:rsidP="00D43EB6">
            <w:pPr>
              <w:suppressAutoHyphens/>
              <w:autoSpaceDN w:val="0"/>
              <w:jc w:val="right"/>
              <w:rPr>
                <w:rFonts w:ascii="Arial" w:eastAsia="Times New Roman" w:hAnsi="Arial" w:cs="Arial"/>
                <w:color w:val="000000" w:themeColor="text1"/>
                <w:sz w:val="17"/>
                <w:szCs w:val="17"/>
              </w:rPr>
            </w:pPr>
          </w:p>
        </w:tc>
      </w:tr>
      <w:tr w:rsidR="00873D32" w:rsidRPr="004775A2" w14:paraId="319F72D0" w14:textId="77777777" w:rsidTr="00873D32">
        <w:trPr>
          <w:trHeight w:val="327"/>
        </w:trPr>
        <w:tc>
          <w:tcPr>
            <w:tcW w:w="1843" w:type="dxa"/>
            <w:tcBorders>
              <w:top w:val="nil"/>
              <w:left w:val="nil"/>
              <w:bottom w:val="nil"/>
              <w:right w:val="nil"/>
            </w:tcBorders>
            <w:shd w:val="clear" w:color="auto" w:fill="auto"/>
            <w:noWrap/>
            <w:vAlign w:val="bottom"/>
            <w:hideMark/>
          </w:tcPr>
          <w:p w14:paraId="017D49A4" w14:textId="77777777" w:rsidR="00873D32" w:rsidRPr="004775A2" w:rsidRDefault="00873D32" w:rsidP="00D43EB6">
            <w:pPr>
              <w:suppressAutoHyphens/>
              <w:autoSpaceDN w:val="0"/>
              <w:rPr>
                <w:rFonts w:ascii="Arial" w:eastAsia="Times New Roman" w:hAnsi="Arial" w:cs="Arial"/>
                <w:color w:val="000000" w:themeColor="text1"/>
                <w:sz w:val="17"/>
                <w:szCs w:val="17"/>
              </w:rPr>
            </w:pPr>
            <w:r w:rsidRPr="004775A2">
              <w:rPr>
                <w:rFonts w:ascii="Arial" w:eastAsia="Times New Roman" w:hAnsi="Arial" w:cs="Arial"/>
                <w:color w:val="000000" w:themeColor="text1"/>
                <w:sz w:val="17"/>
                <w:szCs w:val="17"/>
              </w:rPr>
              <w:t>Bruto iznos</w:t>
            </w:r>
          </w:p>
        </w:tc>
        <w:tc>
          <w:tcPr>
            <w:tcW w:w="992" w:type="dxa"/>
            <w:tcBorders>
              <w:top w:val="nil"/>
              <w:left w:val="nil"/>
              <w:bottom w:val="nil"/>
              <w:right w:val="nil"/>
            </w:tcBorders>
            <w:shd w:val="clear" w:color="auto" w:fill="auto"/>
            <w:noWrap/>
            <w:vAlign w:val="bottom"/>
          </w:tcPr>
          <w:p w14:paraId="3E7EBF51" w14:textId="496C04FC" w:rsidR="00873D32" w:rsidRPr="004775A2" w:rsidRDefault="00D6221C" w:rsidP="00D43EB6">
            <w:pPr>
              <w:suppressAutoHyphens/>
              <w:autoSpaceDN w:val="0"/>
              <w:jc w:val="right"/>
              <w:rPr>
                <w:rFonts w:ascii="Arial" w:eastAsia="Times New Roman" w:hAnsi="Arial" w:cs="Arial"/>
                <w:sz w:val="17"/>
                <w:szCs w:val="17"/>
              </w:rPr>
            </w:pPr>
            <w:r>
              <w:rPr>
                <w:rFonts w:ascii="Arial" w:eastAsia="Times New Roman" w:hAnsi="Arial" w:cs="Arial"/>
                <w:sz w:val="17"/>
                <w:szCs w:val="17"/>
              </w:rPr>
              <w:t>555.664</w:t>
            </w:r>
          </w:p>
        </w:tc>
        <w:tc>
          <w:tcPr>
            <w:tcW w:w="1134" w:type="dxa"/>
            <w:tcBorders>
              <w:top w:val="nil"/>
              <w:left w:val="nil"/>
              <w:bottom w:val="nil"/>
              <w:right w:val="nil"/>
            </w:tcBorders>
            <w:shd w:val="clear" w:color="auto" w:fill="auto"/>
            <w:noWrap/>
            <w:vAlign w:val="bottom"/>
          </w:tcPr>
          <w:p w14:paraId="1F7E5CBF" w14:textId="562A83FB" w:rsidR="00873D32" w:rsidRPr="004775A2" w:rsidRDefault="00D6221C" w:rsidP="00D43EB6">
            <w:pPr>
              <w:suppressAutoHyphens/>
              <w:autoSpaceDN w:val="0"/>
              <w:jc w:val="right"/>
              <w:rPr>
                <w:rFonts w:ascii="Arial" w:eastAsia="Times New Roman" w:hAnsi="Arial" w:cs="Arial"/>
                <w:sz w:val="17"/>
                <w:szCs w:val="17"/>
              </w:rPr>
            </w:pPr>
            <w:r>
              <w:rPr>
                <w:rFonts w:ascii="Arial" w:eastAsia="Times New Roman" w:hAnsi="Arial" w:cs="Arial"/>
                <w:sz w:val="17"/>
                <w:szCs w:val="17"/>
              </w:rPr>
              <w:t>35.187</w:t>
            </w:r>
          </w:p>
        </w:tc>
        <w:tc>
          <w:tcPr>
            <w:tcW w:w="1134" w:type="dxa"/>
            <w:tcBorders>
              <w:top w:val="nil"/>
              <w:left w:val="nil"/>
              <w:bottom w:val="nil"/>
              <w:right w:val="nil"/>
            </w:tcBorders>
            <w:shd w:val="clear" w:color="auto" w:fill="auto"/>
            <w:noWrap/>
            <w:vAlign w:val="bottom"/>
          </w:tcPr>
          <w:p w14:paraId="4DB8D3EB" w14:textId="478F3BCD" w:rsidR="00873D32" w:rsidRPr="004775A2" w:rsidRDefault="00D6221C" w:rsidP="00D43EB6">
            <w:pPr>
              <w:suppressAutoHyphens/>
              <w:autoSpaceDN w:val="0"/>
              <w:jc w:val="right"/>
              <w:rPr>
                <w:rFonts w:ascii="Arial" w:eastAsia="Times New Roman" w:hAnsi="Arial" w:cs="Arial"/>
                <w:sz w:val="17"/>
                <w:szCs w:val="17"/>
              </w:rPr>
            </w:pPr>
            <w:r>
              <w:rPr>
                <w:rFonts w:ascii="Arial" w:eastAsia="Times New Roman" w:hAnsi="Arial" w:cs="Arial"/>
                <w:sz w:val="17"/>
                <w:szCs w:val="17"/>
              </w:rPr>
              <w:t>4.013</w:t>
            </w:r>
          </w:p>
        </w:tc>
        <w:tc>
          <w:tcPr>
            <w:tcW w:w="1134" w:type="dxa"/>
            <w:tcBorders>
              <w:top w:val="nil"/>
              <w:left w:val="nil"/>
              <w:bottom w:val="nil"/>
              <w:right w:val="nil"/>
            </w:tcBorders>
            <w:shd w:val="clear" w:color="auto" w:fill="auto"/>
            <w:noWrap/>
            <w:vAlign w:val="bottom"/>
          </w:tcPr>
          <w:p w14:paraId="1D5984AF" w14:textId="0C1FA8C9" w:rsidR="00873D32" w:rsidRPr="004775A2" w:rsidRDefault="00D6221C" w:rsidP="00D43EB6">
            <w:pPr>
              <w:suppressAutoHyphens/>
              <w:autoSpaceDN w:val="0"/>
              <w:jc w:val="right"/>
              <w:rPr>
                <w:rFonts w:ascii="Arial" w:eastAsia="Times New Roman" w:hAnsi="Arial" w:cs="Arial"/>
                <w:sz w:val="17"/>
                <w:szCs w:val="17"/>
              </w:rPr>
            </w:pPr>
            <w:r>
              <w:rPr>
                <w:rFonts w:ascii="Arial" w:eastAsia="Times New Roman" w:hAnsi="Arial" w:cs="Arial"/>
                <w:sz w:val="17"/>
                <w:szCs w:val="17"/>
              </w:rPr>
              <w:t>-</w:t>
            </w:r>
          </w:p>
        </w:tc>
        <w:tc>
          <w:tcPr>
            <w:tcW w:w="993" w:type="dxa"/>
            <w:tcBorders>
              <w:top w:val="nil"/>
              <w:left w:val="nil"/>
              <w:bottom w:val="nil"/>
              <w:right w:val="nil"/>
            </w:tcBorders>
            <w:shd w:val="clear" w:color="auto" w:fill="auto"/>
            <w:vAlign w:val="bottom"/>
          </w:tcPr>
          <w:p w14:paraId="46A6B19E" w14:textId="1321A0BA" w:rsidR="00873D32" w:rsidRPr="004775A2" w:rsidRDefault="00D6221C" w:rsidP="00D43EB6">
            <w:pPr>
              <w:suppressAutoHyphens/>
              <w:autoSpaceDN w:val="0"/>
              <w:jc w:val="right"/>
              <w:rPr>
                <w:rFonts w:ascii="Arial" w:eastAsia="Times New Roman" w:hAnsi="Arial" w:cs="Arial"/>
                <w:sz w:val="17"/>
                <w:szCs w:val="17"/>
              </w:rPr>
            </w:pPr>
            <w:r>
              <w:rPr>
                <w:rFonts w:ascii="Arial" w:eastAsia="Times New Roman" w:hAnsi="Arial" w:cs="Arial"/>
                <w:sz w:val="17"/>
                <w:szCs w:val="17"/>
              </w:rPr>
              <w:t>5.985</w:t>
            </w:r>
          </w:p>
        </w:tc>
        <w:tc>
          <w:tcPr>
            <w:tcW w:w="1134" w:type="dxa"/>
            <w:tcBorders>
              <w:top w:val="nil"/>
              <w:left w:val="nil"/>
              <w:bottom w:val="nil"/>
              <w:right w:val="nil"/>
            </w:tcBorders>
            <w:vAlign w:val="bottom"/>
          </w:tcPr>
          <w:p w14:paraId="03F8CCAC" w14:textId="359AD6C0" w:rsidR="00873D32" w:rsidRPr="004775A2" w:rsidRDefault="00D6221C" w:rsidP="00D43EB6">
            <w:pPr>
              <w:suppressAutoHyphens/>
              <w:autoSpaceDN w:val="0"/>
              <w:jc w:val="right"/>
              <w:rPr>
                <w:rFonts w:ascii="Arial" w:eastAsia="Times New Roman" w:hAnsi="Arial" w:cs="Arial"/>
                <w:sz w:val="17"/>
                <w:szCs w:val="17"/>
              </w:rPr>
            </w:pPr>
            <w:r>
              <w:rPr>
                <w:rFonts w:ascii="Arial" w:eastAsia="Times New Roman" w:hAnsi="Arial" w:cs="Arial"/>
                <w:sz w:val="17"/>
                <w:szCs w:val="17"/>
              </w:rPr>
              <w:t>-</w:t>
            </w:r>
          </w:p>
        </w:tc>
        <w:tc>
          <w:tcPr>
            <w:tcW w:w="1134" w:type="dxa"/>
            <w:tcBorders>
              <w:top w:val="nil"/>
              <w:left w:val="nil"/>
              <w:bottom w:val="nil"/>
              <w:right w:val="nil"/>
            </w:tcBorders>
            <w:shd w:val="clear" w:color="auto" w:fill="auto"/>
            <w:noWrap/>
            <w:vAlign w:val="bottom"/>
          </w:tcPr>
          <w:p w14:paraId="7AD0A6E4" w14:textId="768184AA" w:rsidR="00873D32" w:rsidRPr="004775A2" w:rsidRDefault="00D6221C" w:rsidP="00D43EB6">
            <w:pPr>
              <w:suppressAutoHyphens/>
              <w:autoSpaceDN w:val="0"/>
              <w:jc w:val="right"/>
              <w:rPr>
                <w:rFonts w:ascii="Arial" w:eastAsia="Times New Roman" w:hAnsi="Arial" w:cs="Arial"/>
                <w:b/>
                <w:bCs/>
                <w:sz w:val="17"/>
                <w:szCs w:val="17"/>
              </w:rPr>
            </w:pPr>
            <w:r>
              <w:rPr>
                <w:rFonts w:ascii="Arial" w:eastAsia="Times New Roman" w:hAnsi="Arial" w:cs="Arial"/>
                <w:b/>
                <w:bCs/>
                <w:sz w:val="17"/>
                <w:szCs w:val="17"/>
              </w:rPr>
              <w:t>600.849</w:t>
            </w:r>
          </w:p>
        </w:tc>
      </w:tr>
      <w:tr w:rsidR="00873D32" w:rsidRPr="004775A2" w14:paraId="571E214F" w14:textId="77777777" w:rsidTr="00873D32">
        <w:trPr>
          <w:trHeight w:val="337"/>
        </w:trPr>
        <w:tc>
          <w:tcPr>
            <w:tcW w:w="1843" w:type="dxa"/>
            <w:tcBorders>
              <w:top w:val="nil"/>
              <w:left w:val="nil"/>
              <w:bottom w:val="nil"/>
              <w:right w:val="nil"/>
            </w:tcBorders>
            <w:shd w:val="clear" w:color="auto" w:fill="auto"/>
            <w:noWrap/>
            <w:vAlign w:val="bottom"/>
            <w:hideMark/>
          </w:tcPr>
          <w:p w14:paraId="4D046450" w14:textId="77777777" w:rsidR="00873D32" w:rsidRPr="004775A2" w:rsidRDefault="00873D32" w:rsidP="00D43EB6">
            <w:pPr>
              <w:suppressAutoHyphens/>
              <w:autoSpaceDN w:val="0"/>
              <w:rPr>
                <w:rFonts w:ascii="Arial" w:eastAsia="Times New Roman" w:hAnsi="Arial" w:cs="Arial"/>
                <w:color w:val="000000" w:themeColor="text1"/>
                <w:sz w:val="17"/>
                <w:szCs w:val="17"/>
              </w:rPr>
            </w:pPr>
            <w:r w:rsidRPr="004775A2">
              <w:rPr>
                <w:rFonts w:ascii="Arial" w:eastAsia="Times New Roman" w:hAnsi="Arial" w:cs="Arial"/>
                <w:color w:val="000000" w:themeColor="text1"/>
                <w:sz w:val="17"/>
                <w:szCs w:val="17"/>
              </w:rPr>
              <w:t>Rezerviranja</w:t>
            </w:r>
          </w:p>
        </w:tc>
        <w:tc>
          <w:tcPr>
            <w:tcW w:w="992" w:type="dxa"/>
            <w:tcBorders>
              <w:top w:val="nil"/>
              <w:left w:val="nil"/>
              <w:bottom w:val="nil"/>
              <w:right w:val="nil"/>
            </w:tcBorders>
            <w:shd w:val="clear" w:color="auto" w:fill="auto"/>
            <w:noWrap/>
            <w:vAlign w:val="bottom"/>
          </w:tcPr>
          <w:p w14:paraId="3C89273B" w14:textId="4C357575" w:rsidR="00873D32" w:rsidRPr="004775A2" w:rsidRDefault="00D6221C" w:rsidP="00D43EB6">
            <w:pPr>
              <w:suppressAutoHyphens/>
              <w:autoSpaceDN w:val="0"/>
              <w:jc w:val="right"/>
              <w:rPr>
                <w:rFonts w:ascii="Arial" w:eastAsia="Times New Roman" w:hAnsi="Arial" w:cs="Arial"/>
                <w:sz w:val="17"/>
                <w:szCs w:val="17"/>
              </w:rPr>
            </w:pPr>
            <w:r>
              <w:rPr>
                <w:rFonts w:ascii="Arial" w:eastAsia="Times New Roman" w:hAnsi="Arial" w:cs="Arial"/>
                <w:sz w:val="17"/>
                <w:szCs w:val="17"/>
              </w:rPr>
              <w:t>(1.995)</w:t>
            </w:r>
          </w:p>
        </w:tc>
        <w:tc>
          <w:tcPr>
            <w:tcW w:w="1134" w:type="dxa"/>
            <w:tcBorders>
              <w:top w:val="nil"/>
              <w:left w:val="nil"/>
              <w:bottom w:val="nil"/>
              <w:right w:val="nil"/>
            </w:tcBorders>
            <w:shd w:val="clear" w:color="auto" w:fill="auto"/>
            <w:noWrap/>
            <w:vAlign w:val="bottom"/>
          </w:tcPr>
          <w:p w14:paraId="74B2D7ED" w14:textId="57D63151" w:rsidR="00873D32" w:rsidRPr="004775A2" w:rsidRDefault="00D6221C" w:rsidP="00D43EB6">
            <w:pPr>
              <w:suppressAutoHyphens/>
              <w:autoSpaceDN w:val="0"/>
              <w:jc w:val="right"/>
              <w:rPr>
                <w:rFonts w:ascii="Arial" w:eastAsia="Times New Roman" w:hAnsi="Arial" w:cs="Arial"/>
                <w:sz w:val="17"/>
                <w:szCs w:val="17"/>
              </w:rPr>
            </w:pPr>
            <w:r>
              <w:rPr>
                <w:rFonts w:ascii="Arial" w:eastAsia="Times New Roman" w:hAnsi="Arial" w:cs="Arial"/>
                <w:sz w:val="17"/>
                <w:szCs w:val="17"/>
              </w:rPr>
              <w:t>(9.609)</w:t>
            </w:r>
          </w:p>
        </w:tc>
        <w:tc>
          <w:tcPr>
            <w:tcW w:w="1134" w:type="dxa"/>
            <w:tcBorders>
              <w:top w:val="nil"/>
              <w:left w:val="nil"/>
              <w:bottom w:val="nil"/>
              <w:right w:val="nil"/>
            </w:tcBorders>
            <w:shd w:val="clear" w:color="auto" w:fill="auto"/>
            <w:noWrap/>
            <w:vAlign w:val="bottom"/>
          </w:tcPr>
          <w:p w14:paraId="0C12829B" w14:textId="5D94B377" w:rsidR="00873D32" w:rsidRPr="004775A2" w:rsidRDefault="00D6221C" w:rsidP="00D43EB6">
            <w:pPr>
              <w:suppressAutoHyphens/>
              <w:autoSpaceDN w:val="0"/>
              <w:jc w:val="right"/>
              <w:rPr>
                <w:rFonts w:ascii="Arial" w:eastAsia="Times New Roman" w:hAnsi="Arial" w:cs="Arial"/>
                <w:sz w:val="17"/>
                <w:szCs w:val="17"/>
              </w:rPr>
            </w:pPr>
            <w:r>
              <w:rPr>
                <w:rFonts w:ascii="Arial" w:eastAsia="Times New Roman" w:hAnsi="Arial" w:cs="Arial"/>
                <w:sz w:val="17"/>
                <w:szCs w:val="17"/>
              </w:rPr>
              <w:t>(1.441)</w:t>
            </w:r>
          </w:p>
        </w:tc>
        <w:tc>
          <w:tcPr>
            <w:tcW w:w="1134" w:type="dxa"/>
            <w:tcBorders>
              <w:top w:val="nil"/>
              <w:left w:val="nil"/>
              <w:bottom w:val="nil"/>
              <w:right w:val="nil"/>
            </w:tcBorders>
            <w:shd w:val="clear" w:color="auto" w:fill="auto"/>
            <w:noWrap/>
            <w:vAlign w:val="bottom"/>
          </w:tcPr>
          <w:p w14:paraId="4AF6EB19" w14:textId="6C3DC3FA" w:rsidR="00873D32" w:rsidRPr="004775A2" w:rsidRDefault="00D6221C" w:rsidP="00D43EB6">
            <w:pPr>
              <w:suppressAutoHyphens/>
              <w:autoSpaceDN w:val="0"/>
              <w:jc w:val="right"/>
              <w:rPr>
                <w:rFonts w:ascii="Arial" w:eastAsia="Times New Roman" w:hAnsi="Arial" w:cs="Arial"/>
                <w:sz w:val="17"/>
                <w:szCs w:val="17"/>
              </w:rPr>
            </w:pPr>
            <w:r>
              <w:rPr>
                <w:rFonts w:ascii="Arial" w:eastAsia="Times New Roman" w:hAnsi="Arial" w:cs="Arial"/>
                <w:sz w:val="17"/>
                <w:szCs w:val="17"/>
              </w:rPr>
              <w:t>-</w:t>
            </w:r>
          </w:p>
        </w:tc>
        <w:tc>
          <w:tcPr>
            <w:tcW w:w="993" w:type="dxa"/>
            <w:tcBorders>
              <w:top w:val="nil"/>
              <w:left w:val="nil"/>
              <w:bottom w:val="nil"/>
              <w:right w:val="nil"/>
            </w:tcBorders>
            <w:shd w:val="clear" w:color="auto" w:fill="auto"/>
            <w:vAlign w:val="bottom"/>
          </w:tcPr>
          <w:p w14:paraId="3D29302D" w14:textId="5C882780" w:rsidR="00873D32" w:rsidRPr="004775A2" w:rsidRDefault="00D6221C" w:rsidP="00D43EB6">
            <w:pPr>
              <w:suppressAutoHyphens/>
              <w:autoSpaceDN w:val="0"/>
              <w:jc w:val="right"/>
              <w:rPr>
                <w:rFonts w:ascii="Arial" w:eastAsia="Times New Roman" w:hAnsi="Arial" w:cs="Arial"/>
                <w:sz w:val="17"/>
                <w:szCs w:val="17"/>
              </w:rPr>
            </w:pPr>
            <w:r>
              <w:rPr>
                <w:rFonts w:ascii="Arial" w:eastAsia="Times New Roman" w:hAnsi="Arial" w:cs="Arial"/>
                <w:sz w:val="17"/>
                <w:szCs w:val="17"/>
              </w:rPr>
              <w:t>(159)</w:t>
            </w:r>
          </w:p>
        </w:tc>
        <w:tc>
          <w:tcPr>
            <w:tcW w:w="1134" w:type="dxa"/>
            <w:tcBorders>
              <w:top w:val="nil"/>
              <w:left w:val="nil"/>
              <w:bottom w:val="nil"/>
              <w:right w:val="nil"/>
            </w:tcBorders>
            <w:vAlign w:val="bottom"/>
          </w:tcPr>
          <w:p w14:paraId="702A0D34" w14:textId="3F54E2E5" w:rsidR="00873D32" w:rsidRPr="004775A2" w:rsidRDefault="00D6221C" w:rsidP="00D43EB6">
            <w:pPr>
              <w:suppressAutoHyphens/>
              <w:autoSpaceDN w:val="0"/>
              <w:jc w:val="right"/>
              <w:rPr>
                <w:rFonts w:ascii="Arial" w:eastAsia="Times New Roman" w:hAnsi="Arial" w:cs="Arial"/>
                <w:sz w:val="17"/>
                <w:szCs w:val="17"/>
              </w:rPr>
            </w:pPr>
            <w:r>
              <w:rPr>
                <w:rFonts w:ascii="Arial" w:eastAsia="Times New Roman" w:hAnsi="Arial" w:cs="Arial"/>
                <w:sz w:val="17"/>
                <w:szCs w:val="17"/>
              </w:rPr>
              <w:t>-</w:t>
            </w:r>
          </w:p>
        </w:tc>
        <w:tc>
          <w:tcPr>
            <w:tcW w:w="1134" w:type="dxa"/>
            <w:tcBorders>
              <w:top w:val="nil"/>
              <w:left w:val="nil"/>
              <w:bottom w:val="nil"/>
              <w:right w:val="nil"/>
            </w:tcBorders>
            <w:shd w:val="clear" w:color="auto" w:fill="auto"/>
            <w:noWrap/>
            <w:vAlign w:val="bottom"/>
          </w:tcPr>
          <w:p w14:paraId="18498272" w14:textId="024FA2BA" w:rsidR="00873D32" w:rsidRPr="004775A2" w:rsidRDefault="00D6221C" w:rsidP="00D43EB6">
            <w:pPr>
              <w:suppressAutoHyphens/>
              <w:autoSpaceDN w:val="0"/>
              <w:jc w:val="right"/>
              <w:rPr>
                <w:rFonts w:ascii="Arial" w:eastAsia="Times New Roman" w:hAnsi="Arial" w:cs="Arial"/>
                <w:b/>
                <w:bCs/>
                <w:sz w:val="17"/>
                <w:szCs w:val="17"/>
              </w:rPr>
            </w:pPr>
            <w:r>
              <w:rPr>
                <w:rFonts w:ascii="Arial" w:eastAsia="Times New Roman" w:hAnsi="Arial" w:cs="Arial"/>
                <w:b/>
                <w:bCs/>
                <w:sz w:val="17"/>
                <w:szCs w:val="17"/>
              </w:rPr>
              <w:t>(13.204)</w:t>
            </w:r>
          </w:p>
        </w:tc>
      </w:tr>
      <w:tr w:rsidR="00873D32" w:rsidRPr="004775A2" w14:paraId="76E526C2" w14:textId="77777777" w:rsidTr="00873D32">
        <w:trPr>
          <w:trHeight w:val="355"/>
        </w:trPr>
        <w:tc>
          <w:tcPr>
            <w:tcW w:w="1843" w:type="dxa"/>
            <w:tcBorders>
              <w:top w:val="nil"/>
              <w:left w:val="nil"/>
              <w:bottom w:val="nil"/>
              <w:right w:val="nil"/>
            </w:tcBorders>
            <w:shd w:val="clear" w:color="auto" w:fill="auto"/>
            <w:noWrap/>
            <w:vAlign w:val="bottom"/>
            <w:hideMark/>
          </w:tcPr>
          <w:p w14:paraId="39F0C1FF" w14:textId="77777777" w:rsidR="00873D32" w:rsidRPr="004775A2" w:rsidRDefault="00873D32" w:rsidP="00D43EB6">
            <w:pPr>
              <w:suppressAutoHyphens/>
              <w:autoSpaceDN w:val="0"/>
              <w:rPr>
                <w:rFonts w:ascii="Arial" w:eastAsia="Times New Roman" w:hAnsi="Arial" w:cs="Arial"/>
                <w:b/>
                <w:bCs/>
                <w:color w:val="000000" w:themeColor="text1"/>
                <w:sz w:val="17"/>
                <w:szCs w:val="17"/>
              </w:rPr>
            </w:pPr>
            <w:r w:rsidRPr="004775A2">
              <w:rPr>
                <w:rFonts w:ascii="Arial" w:eastAsia="Times New Roman" w:hAnsi="Arial" w:cs="Arial"/>
                <w:b/>
                <w:bCs/>
                <w:color w:val="000000" w:themeColor="text1"/>
                <w:sz w:val="17"/>
                <w:szCs w:val="17"/>
              </w:rPr>
              <w:t xml:space="preserve">Stanje na dan </w:t>
            </w:r>
          </w:p>
          <w:p w14:paraId="644F157F" w14:textId="073C39F7" w:rsidR="00873D32" w:rsidRPr="004775A2" w:rsidRDefault="00873D32" w:rsidP="00D43EB6">
            <w:pPr>
              <w:suppressAutoHyphens/>
              <w:autoSpaceDN w:val="0"/>
              <w:rPr>
                <w:rFonts w:ascii="Arial" w:eastAsia="Times New Roman" w:hAnsi="Arial" w:cs="Arial"/>
                <w:b/>
                <w:bCs/>
                <w:color w:val="000000" w:themeColor="text1"/>
                <w:sz w:val="17"/>
                <w:szCs w:val="17"/>
              </w:rPr>
            </w:pPr>
            <w:r w:rsidRPr="004775A2">
              <w:rPr>
                <w:rFonts w:ascii="Arial" w:eastAsia="Times New Roman" w:hAnsi="Arial" w:cs="Arial"/>
                <w:b/>
                <w:bCs/>
                <w:color w:val="000000" w:themeColor="text1"/>
                <w:sz w:val="17"/>
                <w:szCs w:val="17"/>
              </w:rPr>
              <w:t xml:space="preserve">31. ožujka 2024.    </w:t>
            </w:r>
          </w:p>
        </w:tc>
        <w:tc>
          <w:tcPr>
            <w:tcW w:w="992" w:type="dxa"/>
            <w:tcBorders>
              <w:top w:val="single" w:sz="4" w:space="0" w:color="auto"/>
              <w:left w:val="nil"/>
              <w:bottom w:val="single" w:sz="8" w:space="0" w:color="auto"/>
              <w:right w:val="nil"/>
            </w:tcBorders>
            <w:shd w:val="clear" w:color="auto" w:fill="auto"/>
            <w:vAlign w:val="bottom"/>
          </w:tcPr>
          <w:p w14:paraId="48F89C60" w14:textId="2B0FDE70" w:rsidR="00873D32" w:rsidRPr="004775A2" w:rsidRDefault="00D6221C" w:rsidP="00D43EB6">
            <w:pPr>
              <w:suppressAutoHyphens/>
              <w:autoSpaceDN w:val="0"/>
              <w:jc w:val="right"/>
              <w:rPr>
                <w:rFonts w:ascii="Arial" w:eastAsia="Times New Roman" w:hAnsi="Arial" w:cs="Arial"/>
                <w:b/>
                <w:bCs/>
                <w:sz w:val="17"/>
                <w:szCs w:val="17"/>
              </w:rPr>
            </w:pPr>
            <w:r>
              <w:rPr>
                <w:rFonts w:ascii="Arial" w:eastAsia="Times New Roman" w:hAnsi="Arial" w:cs="Arial"/>
                <w:b/>
                <w:bCs/>
                <w:sz w:val="17"/>
                <w:szCs w:val="17"/>
              </w:rPr>
              <w:t>553.669</w:t>
            </w:r>
          </w:p>
        </w:tc>
        <w:tc>
          <w:tcPr>
            <w:tcW w:w="1134" w:type="dxa"/>
            <w:tcBorders>
              <w:top w:val="single" w:sz="4" w:space="0" w:color="auto"/>
              <w:left w:val="nil"/>
              <w:bottom w:val="single" w:sz="8" w:space="0" w:color="auto"/>
              <w:right w:val="nil"/>
            </w:tcBorders>
            <w:shd w:val="clear" w:color="auto" w:fill="auto"/>
            <w:vAlign w:val="bottom"/>
          </w:tcPr>
          <w:p w14:paraId="0493F6A8" w14:textId="06CD1741" w:rsidR="00873D32" w:rsidRPr="004775A2" w:rsidRDefault="00D6221C" w:rsidP="00D43EB6">
            <w:pPr>
              <w:suppressAutoHyphens/>
              <w:autoSpaceDN w:val="0"/>
              <w:jc w:val="right"/>
              <w:rPr>
                <w:rFonts w:ascii="Arial" w:eastAsia="Times New Roman" w:hAnsi="Arial" w:cs="Arial"/>
                <w:b/>
                <w:bCs/>
                <w:sz w:val="17"/>
                <w:szCs w:val="17"/>
              </w:rPr>
            </w:pPr>
            <w:r>
              <w:rPr>
                <w:rFonts w:ascii="Arial" w:eastAsia="Times New Roman" w:hAnsi="Arial" w:cs="Arial"/>
                <w:b/>
                <w:bCs/>
                <w:sz w:val="17"/>
                <w:szCs w:val="17"/>
              </w:rPr>
              <w:t>25.578</w:t>
            </w:r>
          </w:p>
        </w:tc>
        <w:tc>
          <w:tcPr>
            <w:tcW w:w="1134" w:type="dxa"/>
            <w:tcBorders>
              <w:top w:val="single" w:sz="4" w:space="0" w:color="auto"/>
              <w:left w:val="nil"/>
              <w:bottom w:val="single" w:sz="8" w:space="0" w:color="auto"/>
              <w:right w:val="nil"/>
            </w:tcBorders>
            <w:shd w:val="clear" w:color="auto" w:fill="auto"/>
            <w:vAlign w:val="bottom"/>
          </w:tcPr>
          <w:p w14:paraId="3B6A2E19" w14:textId="48D34653" w:rsidR="00873D32" w:rsidRPr="004775A2" w:rsidRDefault="00D6221C" w:rsidP="00D43EB6">
            <w:pPr>
              <w:suppressAutoHyphens/>
              <w:autoSpaceDN w:val="0"/>
              <w:jc w:val="right"/>
              <w:rPr>
                <w:rFonts w:ascii="Arial" w:eastAsia="Times New Roman" w:hAnsi="Arial" w:cs="Arial"/>
                <w:b/>
                <w:bCs/>
                <w:sz w:val="17"/>
                <w:szCs w:val="17"/>
              </w:rPr>
            </w:pPr>
            <w:r>
              <w:rPr>
                <w:rFonts w:ascii="Arial" w:eastAsia="Times New Roman" w:hAnsi="Arial" w:cs="Arial"/>
                <w:b/>
                <w:bCs/>
                <w:sz w:val="17"/>
                <w:szCs w:val="17"/>
              </w:rPr>
              <w:t>2.572</w:t>
            </w:r>
          </w:p>
        </w:tc>
        <w:tc>
          <w:tcPr>
            <w:tcW w:w="1134" w:type="dxa"/>
            <w:tcBorders>
              <w:top w:val="single" w:sz="4" w:space="0" w:color="auto"/>
              <w:left w:val="nil"/>
              <w:bottom w:val="single" w:sz="8" w:space="0" w:color="auto"/>
              <w:right w:val="nil"/>
            </w:tcBorders>
            <w:shd w:val="clear" w:color="auto" w:fill="auto"/>
            <w:vAlign w:val="bottom"/>
          </w:tcPr>
          <w:p w14:paraId="593BDCB7" w14:textId="18944842" w:rsidR="00873D32" w:rsidRPr="004775A2" w:rsidRDefault="00D6221C" w:rsidP="00D43EB6">
            <w:pPr>
              <w:suppressAutoHyphens/>
              <w:autoSpaceDN w:val="0"/>
              <w:jc w:val="right"/>
              <w:rPr>
                <w:rFonts w:ascii="Arial" w:eastAsia="Times New Roman" w:hAnsi="Arial" w:cs="Arial"/>
                <w:b/>
                <w:bCs/>
                <w:sz w:val="17"/>
                <w:szCs w:val="17"/>
              </w:rPr>
            </w:pPr>
            <w:r>
              <w:rPr>
                <w:rFonts w:ascii="Arial" w:eastAsia="Times New Roman" w:hAnsi="Arial" w:cs="Arial"/>
                <w:b/>
                <w:bCs/>
                <w:sz w:val="17"/>
                <w:szCs w:val="17"/>
              </w:rPr>
              <w:t>-</w:t>
            </w:r>
          </w:p>
        </w:tc>
        <w:tc>
          <w:tcPr>
            <w:tcW w:w="993" w:type="dxa"/>
            <w:tcBorders>
              <w:top w:val="single" w:sz="4" w:space="0" w:color="auto"/>
              <w:left w:val="nil"/>
              <w:bottom w:val="single" w:sz="8" w:space="0" w:color="auto"/>
              <w:right w:val="nil"/>
            </w:tcBorders>
            <w:shd w:val="clear" w:color="auto" w:fill="auto"/>
            <w:vAlign w:val="bottom"/>
          </w:tcPr>
          <w:p w14:paraId="73774F38" w14:textId="40A61A89" w:rsidR="00873D32" w:rsidRPr="004775A2" w:rsidRDefault="00D6221C" w:rsidP="00D43EB6">
            <w:pPr>
              <w:suppressAutoHyphens/>
              <w:autoSpaceDN w:val="0"/>
              <w:jc w:val="right"/>
              <w:rPr>
                <w:rFonts w:ascii="Arial" w:eastAsia="Times New Roman" w:hAnsi="Arial" w:cs="Arial"/>
                <w:b/>
                <w:bCs/>
                <w:sz w:val="17"/>
                <w:szCs w:val="17"/>
              </w:rPr>
            </w:pPr>
            <w:r>
              <w:rPr>
                <w:rFonts w:ascii="Arial" w:eastAsia="Times New Roman" w:hAnsi="Arial" w:cs="Arial"/>
                <w:b/>
                <w:bCs/>
                <w:sz w:val="17"/>
                <w:szCs w:val="17"/>
              </w:rPr>
              <w:t>5.826</w:t>
            </w:r>
          </w:p>
        </w:tc>
        <w:tc>
          <w:tcPr>
            <w:tcW w:w="1134" w:type="dxa"/>
            <w:tcBorders>
              <w:top w:val="single" w:sz="4" w:space="0" w:color="auto"/>
              <w:left w:val="nil"/>
              <w:bottom w:val="single" w:sz="8" w:space="0" w:color="auto"/>
              <w:right w:val="nil"/>
            </w:tcBorders>
            <w:vAlign w:val="bottom"/>
          </w:tcPr>
          <w:p w14:paraId="432704E4" w14:textId="36913EF6" w:rsidR="00873D32" w:rsidRPr="004775A2" w:rsidRDefault="00D6221C" w:rsidP="00D43EB6">
            <w:pPr>
              <w:suppressAutoHyphens/>
              <w:autoSpaceDN w:val="0"/>
              <w:jc w:val="right"/>
              <w:rPr>
                <w:rFonts w:ascii="Arial" w:eastAsia="Times New Roman" w:hAnsi="Arial" w:cs="Arial"/>
                <w:b/>
                <w:bCs/>
                <w:sz w:val="17"/>
                <w:szCs w:val="17"/>
              </w:rPr>
            </w:pPr>
            <w:r>
              <w:rPr>
                <w:rFonts w:ascii="Arial" w:eastAsia="Times New Roman" w:hAnsi="Arial" w:cs="Arial"/>
                <w:b/>
                <w:bCs/>
                <w:sz w:val="17"/>
                <w:szCs w:val="17"/>
              </w:rPr>
              <w:t>-</w:t>
            </w:r>
          </w:p>
        </w:tc>
        <w:tc>
          <w:tcPr>
            <w:tcW w:w="1134" w:type="dxa"/>
            <w:tcBorders>
              <w:top w:val="single" w:sz="4" w:space="0" w:color="auto"/>
              <w:left w:val="nil"/>
              <w:bottom w:val="single" w:sz="8" w:space="0" w:color="auto"/>
              <w:right w:val="nil"/>
            </w:tcBorders>
            <w:shd w:val="clear" w:color="auto" w:fill="auto"/>
            <w:vAlign w:val="bottom"/>
          </w:tcPr>
          <w:p w14:paraId="4AF367E2" w14:textId="73F63901" w:rsidR="00873D32" w:rsidRPr="004775A2" w:rsidRDefault="00D6221C" w:rsidP="00D43EB6">
            <w:pPr>
              <w:suppressAutoHyphens/>
              <w:autoSpaceDN w:val="0"/>
              <w:jc w:val="right"/>
              <w:rPr>
                <w:rFonts w:ascii="Arial" w:eastAsia="Times New Roman" w:hAnsi="Arial" w:cs="Arial"/>
                <w:b/>
                <w:bCs/>
                <w:sz w:val="17"/>
                <w:szCs w:val="17"/>
              </w:rPr>
            </w:pPr>
            <w:r>
              <w:rPr>
                <w:rFonts w:ascii="Arial" w:eastAsia="Times New Roman" w:hAnsi="Arial" w:cs="Arial"/>
                <w:b/>
                <w:bCs/>
                <w:sz w:val="17"/>
                <w:szCs w:val="17"/>
              </w:rPr>
              <w:t>587.645</w:t>
            </w:r>
          </w:p>
        </w:tc>
      </w:tr>
    </w:tbl>
    <w:p w14:paraId="500CE2A0" w14:textId="77777777" w:rsidR="00994783" w:rsidRPr="003D1614" w:rsidRDefault="00994783" w:rsidP="00994783">
      <w:pPr>
        <w:suppressAutoHyphens/>
        <w:autoSpaceDN w:val="0"/>
        <w:jc w:val="both"/>
        <w:outlineLvl w:val="0"/>
        <w:rPr>
          <w:rFonts w:ascii="Arial" w:eastAsia="Times New Roman" w:hAnsi="Arial" w:cs="Arial"/>
          <w:color w:val="000000" w:themeColor="text1"/>
          <w:sz w:val="20"/>
          <w:szCs w:val="20"/>
        </w:rPr>
      </w:pPr>
    </w:p>
    <w:p w14:paraId="195F0199" w14:textId="77777777" w:rsidR="00994783" w:rsidRPr="003D1614" w:rsidRDefault="00994783" w:rsidP="00994783">
      <w:pPr>
        <w:suppressAutoHyphens/>
        <w:autoSpaceDN w:val="0"/>
        <w:jc w:val="both"/>
        <w:outlineLvl w:val="0"/>
        <w:rPr>
          <w:rFonts w:ascii="Arial" w:eastAsia="Times New Roman" w:hAnsi="Arial" w:cs="Arial"/>
          <w:color w:val="000000" w:themeColor="text1"/>
          <w:sz w:val="20"/>
          <w:szCs w:val="20"/>
        </w:rPr>
      </w:pPr>
    </w:p>
    <w:tbl>
      <w:tblPr>
        <w:tblW w:w="9506" w:type="dxa"/>
        <w:tblLook w:val="04A0" w:firstRow="1" w:lastRow="0" w:firstColumn="1" w:lastColumn="0" w:noHBand="0" w:noVBand="1"/>
      </w:tblPr>
      <w:tblGrid>
        <w:gridCol w:w="1797"/>
        <w:gridCol w:w="1077"/>
        <w:gridCol w:w="1077"/>
        <w:gridCol w:w="1152"/>
        <w:gridCol w:w="1002"/>
        <w:gridCol w:w="1077"/>
        <w:gridCol w:w="1247"/>
        <w:gridCol w:w="1077"/>
      </w:tblGrid>
      <w:tr w:rsidR="002E7102" w:rsidRPr="004775A2" w14:paraId="04686ADD" w14:textId="77777777" w:rsidTr="00873D32">
        <w:trPr>
          <w:trHeight w:val="355"/>
        </w:trPr>
        <w:tc>
          <w:tcPr>
            <w:tcW w:w="1797" w:type="dxa"/>
            <w:tcBorders>
              <w:top w:val="nil"/>
              <w:left w:val="nil"/>
              <w:bottom w:val="nil"/>
              <w:right w:val="nil"/>
            </w:tcBorders>
            <w:shd w:val="clear" w:color="auto" w:fill="auto"/>
            <w:noWrap/>
            <w:vAlign w:val="bottom"/>
            <w:hideMark/>
          </w:tcPr>
          <w:p w14:paraId="074B2B39" w14:textId="77777777" w:rsidR="002E7102" w:rsidRPr="004775A2" w:rsidRDefault="002E7102" w:rsidP="00E12A58">
            <w:pPr>
              <w:rPr>
                <w:rFonts w:ascii="Arial" w:hAnsi="Arial" w:cs="Arial"/>
                <w:b/>
                <w:color w:val="000000" w:themeColor="text1"/>
                <w:sz w:val="17"/>
                <w:szCs w:val="17"/>
              </w:rPr>
            </w:pPr>
            <w:r w:rsidRPr="004775A2">
              <w:rPr>
                <w:rFonts w:ascii="Arial" w:hAnsi="Arial" w:cs="Arial"/>
                <w:b/>
                <w:color w:val="000000" w:themeColor="text1"/>
                <w:sz w:val="17"/>
                <w:szCs w:val="17"/>
              </w:rPr>
              <w:t xml:space="preserve">31. prosinca 2023.    </w:t>
            </w:r>
          </w:p>
        </w:tc>
        <w:tc>
          <w:tcPr>
            <w:tcW w:w="1077" w:type="dxa"/>
            <w:tcBorders>
              <w:top w:val="nil"/>
              <w:left w:val="nil"/>
              <w:bottom w:val="nil"/>
              <w:right w:val="nil"/>
            </w:tcBorders>
            <w:shd w:val="clear" w:color="auto" w:fill="auto"/>
            <w:noWrap/>
            <w:vAlign w:val="bottom"/>
            <w:hideMark/>
          </w:tcPr>
          <w:p w14:paraId="69C5E952" w14:textId="77777777" w:rsidR="002E7102" w:rsidRPr="004775A2" w:rsidRDefault="002E7102" w:rsidP="00E12A58">
            <w:pPr>
              <w:rPr>
                <w:rFonts w:ascii="Arial" w:hAnsi="Arial" w:cs="Arial"/>
                <w:color w:val="000000" w:themeColor="text1"/>
                <w:sz w:val="17"/>
                <w:szCs w:val="17"/>
              </w:rPr>
            </w:pPr>
          </w:p>
        </w:tc>
        <w:tc>
          <w:tcPr>
            <w:tcW w:w="1077" w:type="dxa"/>
            <w:tcBorders>
              <w:top w:val="nil"/>
              <w:left w:val="nil"/>
              <w:bottom w:val="nil"/>
              <w:right w:val="nil"/>
            </w:tcBorders>
            <w:shd w:val="clear" w:color="auto" w:fill="auto"/>
            <w:noWrap/>
            <w:vAlign w:val="bottom"/>
            <w:hideMark/>
          </w:tcPr>
          <w:p w14:paraId="6894D0CB" w14:textId="77777777" w:rsidR="002E7102" w:rsidRPr="004775A2" w:rsidRDefault="002E7102" w:rsidP="00E12A58">
            <w:pPr>
              <w:rPr>
                <w:rFonts w:ascii="Arial" w:hAnsi="Arial" w:cs="Arial"/>
                <w:color w:val="000000" w:themeColor="text1"/>
                <w:sz w:val="17"/>
                <w:szCs w:val="17"/>
              </w:rPr>
            </w:pPr>
          </w:p>
        </w:tc>
        <w:tc>
          <w:tcPr>
            <w:tcW w:w="1152" w:type="dxa"/>
            <w:tcBorders>
              <w:top w:val="nil"/>
              <w:left w:val="nil"/>
              <w:bottom w:val="nil"/>
              <w:right w:val="nil"/>
            </w:tcBorders>
            <w:shd w:val="clear" w:color="auto" w:fill="auto"/>
            <w:noWrap/>
            <w:vAlign w:val="bottom"/>
            <w:hideMark/>
          </w:tcPr>
          <w:p w14:paraId="301AEC11" w14:textId="77777777" w:rsidR="002E7102" w:rsidRPr="004775A2" w:rsidRDefault="002E7102" w:rsidP="00E12A58">
            <w:pPr>
              <w:rPr>
                <w:rFonts w:ascii="Arial" w:hAnsi="Arial" w:cs="Arial"/>
                <w:color w:val="000000" w:themeColor="text1"/>
                <w:sz w:val="17"/>
                <w:szCs w:val="17"/>
              </w:rPr>
            </w:pPr>
          </w:p>
        </w:tc>
        <w:tc>
          <w:tcPr>
            <w:tcW w:w="2079" w:type="dxa"/>
            <w:gridSpan w:val="2"/>
            <w:tcBorders>
              <w:top w:val="nil"/>
              <w:left w:val="nil"/>
              <w:bottom w:val="nil"/>
              <w:right w:val="nil"/>
            </w:tcBorders>
            <w:vAlign w:val="bottom"/>
          </w:tcPr>
          <w:p w14:paraId="13DF065F" w14:textId="77777777" w:rsidR="002E7102" w:rsidRPr="004775A2" w:rsidRDefault="002E7102" w:rsidP="00E12A58">
            <w:pPr>
              <w:jc w:val="right"/>
              <w:rPr>
                <w:rFonts w:ascii="Arial" w:hAnsi="Arial" w:cs="Arial"/>
                <w:b/>
                <w:bCs/>
                <w:color w:val="000000" w:themeColor="text1"/>
                <w:sz w:val="17"/>
                <w:szCs w:val="17"/>
              </w:rPr>
            </w:pPr>
          </w:p>
        </w:tc>
        <w:tc>
          <w:tcPr>
            <w:tcW w:w="1247" w:type="dxa"/>
            <w:tcBorders>
              <w:top w:val="nil"/>
              <w:left w:val="nil"/>
              <w:bottom w:val="nil"/>
              <w:right w:val="nil"/>
            </w:tcBorders>
            <w:vAlign w:val="bottom"/>
          </w:tcPr>
          <w:p w14:paraId="6E0414D8" w14:textId="77777777" w:rsidR="002E7102" w:rsidRPr="004775A2" w:rsidRDefault="002E7102" w:rsidP="00E12A58">
            <w:pPr>
              <w:jc w:val="right"/>
              <w:rPr>
                <w:rFonts w:ascii="Arial" w:hAnsi="Arial" w:cs="Arial"/>
                <w:b/>
                <w:bCs/>
                <w:color w:val="000000" w:themeColor="text1"/>
                <w:sz w:val="17"/>
                <w:szCs w:val="17"/>
              </w:rPr>
            </w:pPr>
          </w:p>
        </w:tc>
        <w:tc>
          <w:tcPr>
            <w:tcW w:w="1077" w:type="dxa"/>
            <w:tcBorders>
              <w:top w:val="nil"/>
              <w:left w:val="nil"/>
              <w:bottom w:val="nil"/>
              <w:right w:val="nil"/>
            </w:tcBorders>
            <w:shd w:val="clear" w:color="auto" w:fill="auto"/>
            <w:noWrap/>
            <w:vAlign w:val="bottom"/>
            <w:hideMark/>
          </w:tcPr>
          <w:p w14:paraId="2DA0945C" w14:textId="77777777" w:rsidR="002E7102" w:rsidRPr="004775A2" w:rsidRDefault="002E7102" w:rsidP="00E12A58">
            <w:pPr>
              <w:jc w:val="right"/>
              <w:rPr>
                <w:rFonts w:ascii="Arial" w:hAnsi="Arial" w:cs="Arial"/>
                <w:b/>
                <w:bCs/>
                <w:color w:val="000000" w:themeColor="text1"/>
                <w:sz w:val="17"/>
                <w:szCs w:val="17"/>
              </w:rPr>
            </w:pPr>
            <w:r w:rsidRPr="004775A2">
              <w:rPr>
                <w:rFonts w:ascii="Arial" w:hAnsi="Arial" w:cs="Arial"/>
                <w:b/>
                <w:bCs/>
                <w:color w:val="000000" w:themeColor="text1"/>
                <w:sz w:val="17"/>
                <w:szCs w:val="17"/>
              </w:rPr>
              <w:t>Grupa i Banka</w:t>
            </w:r>
          </w:p>
        </w:tc>
      </w:tr>
      <w:tr w:rsidR="002E7102" w:rsidRPr="004775A2" w14:paraId="5F8A53DB" w14:textId="77777777" w:rsidTr="00873D32">
        <w:trPr>
          <w:trHeight w:val="280"/>
        </w:trPr>
        <w:tc>
          <w:tcPr>
            <w:tcW w:w="1797" w:type="dxa"/>
            <w:tcBorders>
              <w:top w:val="nil"/>
              <w:left w:val="nil"/>
              <w:bottom w:val="nil"/>
              <w:right w:val="nil"/>
            </w:tcBorders>
            <w:shd w:val="clear" w:color="auto" w:fill="auto"/>
            <w:vAlign w:val="bottom"/>
            <w:hideMark/>
          </w:tcPr>
          <w:p w14:paraId="34D840CE" w14:textId="77777777" w:rsidR="002E7102" w:rsidRPr="004775A2" w:rsidRDefault="002E7102" w:rsidP="00E12A58">
            <w:pPr>
              <w:jc w:val="right"/>
              <w:rPr>
                <w:rFonts w:ascii="Arial" w:hAnsi="Arial" w:cs="Arial"/>
                <w:b/>
                <w:bCs/>
                <w:color w:val="000000" w:themeColor="text1"/>
                <w:sz w:val="17"/>
                <w:szCs w:val="17"/>
              </w:rPr>
            </w:pPr>
          </w:p>
        </w:tc>
        <w:tc>
          <w:tcPr>
            <w:tcW w:w="1077" w:type="dxa"/>
            <w:tcBorders>
              <w:top w:val="nil"/>
              <w:left w:val="nil"/>
              <w:bottom w:val="nil"/>
              <w:right w:val="nil"/>
            </w:tcBorders>
            <w:shd w:val="clear" w:color="auto" w:fill="auto"/>
            <w:vAlign w:val="bottom"/>
            <w:hideMark/>
          </w:tcPr>
          <w:p w14:paraId="673AF23B" w14:textId="77777777" w:rsidR="002E7102" w:rsidRPr="004775A2" w:rsidRDefault="002E7102" w:rsidP="00E12A58">
            <w:pPr>
              <w:jc w:val="right"/>
              <w:rPr>
                <w:rFonts w:ascii="Arial" w:hAnsi="Arial" w:cs="Arial"/>
                <w:b/>
                <w:bCs/>
                <w:color w:val="000000" w:themeColor="text1"/>
                <w:sz w:val="17"/>
                <w:szCs w:val="17"/>
              </w:rPr>
            </w:pPr>
            <w:r w:rsidRPr="004775A2">
              <w:rPr>
                <w:rFonts w:ascii="Arial" w:hAnsi="Arial" w:cs="Arial"/>
                <w:b/>
                <w:bCs/>
                <w:color w:val="000000" w:themeColor="text1"/>
                <w:sz w:val="17"/>
                <w:szCs w:val="17"/>
              </w:rPr>
              <w:t>Stupanj 1</w:t>
            </w:r>
          </w:p>
        </w:tc>
        <w:tc>
          <w:tcPr>
            <w:tcW w:w="1077" w:type="dxa"/>
            <w:tcBorders>
              <w:top w:val="nil"/>
              <w:left w:val="nil"/>
              <w:bottom w:val="nil"/>
              <w:right w:val="nil"/>
            </w:tcBorders>
            <w:shd w:val="clear" w:color="auto" w:fill="auto"/>
            <w:vAlign w:val="bottom"/>
            <w:hideMark/>
          </w:tcPr>
          <w:p w14:paraId="5B6BA1A4" w14:textId="77777777" w:rsidR="002E7102" w:rsidRPr="004775A2" w:rsidRDefault="002E7102" w:rsidP="00E12A58">
            <w:pPr>
              <w:jc w:val="right"/>
              <w:rPr>
                <w:rFonts w:ascii="Arial" w:hAnsi="Arial" w:cs="Arial"/>
                <w:b/>
                <w:bCs/>
                <w:color w:val="000000" w:themeColor="text1"/>
                <w:sz w:val="17"/>
                <w:szCs w:val="17"/>
              </w:rPr>
            </w:pPr>
            <w:r w:rsidRPr="004775A2">
              <w:rPr>
                <w:rFonts w:ascii="Arial" w:hAnsi="Arial" w:cs="Arial"/>
                <w:b/>
                <w:bCs/>
                <w:color w:val="000000" w:themeColor="text1"/>
                <w:sz w:val="17"/>
                <w:szCs w:val="17"/>
              </w:rPr>
              <w:t>Stupanj 2</w:t>
            </w:r>
          </w:p>
        </w:tc>
        <w:tc>
          <w:tcPr>
            <w:tcW w:w="1152" w:type="dxa"/>
            <w:tcBorders>
              <w:top w:val="nil"/>
              <w:left w:val="nil"/>
              <w:bottom w:val="nil"/>
              <w:right w:val="nil"/>
            </w:tcBorders>
            <w:shd w:val="clear" w:color="auto" w:fill="auto"/>
            <w:vAlign w:val="bottom"/>
            <w:hideMark/>
          </w:tcPr>
          <w:p w14:paraId="4B24F31C" w14:textId="77777777" w:rsidR="002E7102" w:rsidRPr="004775A2" w:rsidRDefault="002E7102" w:rsidP="00E12A58">
            <w:pPr>
              <w:jc w:val="right"/>
              <w:rPr>
                <w:rFonts w:ascii="Arial" w:hAnsi="Arial" w:cs="Arial"/>
                <w:b/>
                <w:bCs/>
                <w:color w:val="000000" w:themeColor="text1"/>
                <w:sz w:val="17"/>
                <w:szCs w:val="17"/>
              </w:rPr>
            </w:pPr>
            <w:r w:rsidRPr="004775A2">
              <w:rPr>
                <w:rFonts w:ascii="Arial" w:hAnsi="Arial" w:cs="Arial"/>
                <w:b/>
                <w:bCs/>
                <w:color w:val="000000" w:themeColor="text1"/>
                <w:sz w:val="17"/>
                <w:szCs w:val="17"/>
              </w:rPr>
              <w:t>Stupanj 3</w:t>
            </w:r>
          </w:p>
        </w:tc>
        <w:tc>
          <w:tcPr>
            <w:tcW w:w="2079" w:type="dxa"/>
            <w:gridSpan w:val="2"/>
            <w:tcBorders>
              <w:top w:val="nil"/>
              <w:left w:val="nil"/>
              <w:bottom w:val="nil"/>
              <w:right w:val="nil"/>
            </w:tcBorders>
            <w:vAlign w:val="bottom"/>
          </w:tcPr>
          <w:p w14:paraId="638F4D8A" w14:textId="77777777" w:rsidR="002E7102" w:rsidRPr="004775A2" w:rsidRDefault="002E7102" w:rsidP="00E12A58">
            <w:pPr>
              <w:jc w:val="center"/>
              <w:rPr>
                <w:rFonts w:ascii="Arial" w:hAnsi="Arial" w:cs="Arial"/>
                <w:b/>
                <w:bCs/>
                <w:color w:val="000000" w:themeColor="text1"/>
                <w:sz w:val="17"/>
                <w:szCs w:val="17"/>
              </w:rPr>
            </w:pPr>
            <w:r w:rsidRPr="004775A2">
              <w:rPr>
                <w:rFonts w:ascii="Arial" w:hAnsi="Arial" w:cs="Arial"/>
                <w:b/>
                <w:bCs/>
                <w:color w:val="000000" w:themeColor="text1"/>
                <w:sz w:val="17"/>
                <w:szCs w:val="17"/>
              </w:rPr>
              <w:t>POCI</w:t>
            </w:r>
          </w:p>
        </w:tc>
        <w:tc>
          <w:tcPr>
            <w:tcW w:w="1247" w:type="dxa"/>
            <w:tcBorders>
              <w:top w:val="nil"/>
              <w:left w:val="nil"/>
              <w:bottom w:val="nil"/>
              <w:right w:val="nil"/>
            </w:tcBorders>
            <w:vAlign w:val="bottom"/>
          </w:tcPr>
          <w:p w14:paraId="0B9E9535" w14:textId="77777777" w:rsidR="002E7102" w:rsidRPr="004775A2" w:rsidRDefault="002E7102" w:rsidP="00E12A58">
            <w:pPr>
              <w:jc w:val="right"/>
              <w:rPr>
                <w:rFonts w:ascii="Arial" w:hAnsi="Arial" w:cs="Arial"/>
                <w:b/>
                <w:bCs/>
                <w:color w:val="000000" w:themeColor="text1"/>
                <w:sz w:val="17"/>
                <w:szCs w:val="17"/>
              </w:rPr>
            </w:pPr>
            <w:r w:rsidRPr="004775A2">
              <w:rPr>
                <w:rFonts w:ascii="Arial" w:hAnsi="Arial" w:cs="Arial"/>
                <w:b/>
                <w:bCs/>
                <w:color w:val="000000" w:themeColor="text1"/>
                <w:sz w:val="17"/>
                <w:szCs w:val="17"/>
              </w:rPr>
              <w:t>Bez Stupnja</w:t>
            </w:r>
          </w:p>
        </w:tc>
        <w:tc>
          <w:tcPr>
            <w:tcW w:w="1077" w:type="dxa"/>
            <w:tcBorders>
              <w:top w:val="nil"/>
              <w:left w:val="nil"/>
              <w:bottom w:val="nil"/>
              <w:right w:val="nil"/>
            </w:tcBorders>
            <w:shd w:val="clear" w:color="auto" w:fill="auto"/>
            <w:vAlign w:val="bottom"/>
            <w:hideMark/>
          </w:tcPr>
          <w:p w14:paraId="5DCEBF36" w14:textId="0AFCAC97" w:rsidR="002E7102" w:rsidRPr="004775A2" w:rsidRDefault="004775A2" w:rsidP="00E12A58">
            <w:pPr>
              <w:jc w:val="right"/>
              <w:rPr>
                <w:rFonts w:ascii="Arial" w:hAnsi="Arial" w:cs="Arial"/>
                <w:b/>
                <w:bCs/>
                <w:color w:val="000000" w:themeColor="text1"/>
                <w:sz w:val="17"/>
                <w:szCs w:val="17"/>
              </w:rPr>
            </w:pPr>
            <w:r>
              <w:rPr>
                <w:rFonts w:ascii="Arial" w:hAnsi="Arial" w:cs="Arial"/>
                <w:b/>
                <w:bCs/>
                <w:color w:val="000000" w:themeColor="text1"/>
                <w:sz w:val="17"/>
                <w:szCs w:val="17"/>
              </w:rPr>
              <w:t>Ukupno</w:t>
            </w:r>
          </w:p>
        </w:tc>
      </w:tr>
      <w:tr w:rsidR="002E7102" w:rsidRPr="004775A2" w14:paraId="5DB7A613" w14:textId="77777777" w:rsidTr="00873D32">
        <w:trPr>
          <w:trHeight w:val="280"/>
        </w:trPr>
        <w:tc>
          <w:tcPr>
            <w:tcW w:w="1797" w:type="dxa"/>
            <w:tcBorders>
              <w:top w:val="nil"/>
              <w:left w:val="nil"/>
              <w:bottom w:val="nil"/>
              <w:right w:val="nil"/>
            </w:tcBorders>
            <w:shd w:val="clear" w:color="auto" w:fill="auto"/>
            <w:vAlign w:val="bottom"/>
          </w:tcPr>
          <w:p w14:paraId="58BFDF36" w14:textId="77777777" w:rsidR="002E7102" w:rsidRPr="004775A2" w:rsidRDefault="002E7102" w:rsidP="00E12A58">
            <w:pPr>
              <w:jc w:val="right"/>
              <w:rPr>
                <w:rFonts w:ascii="Arial" w:hAnsi="Arial" w:cs="Arial"/>
                <w:b/>
                <w:bCs/>
                <w:color w:val="000000" w:themeColor="text1"/>
                <w:sz w:val="17"/>
                <w:szCs w:val="17"/>
              </w:rPr>
            </w:pPr>
          </w:p>
        </w:tc>
        <w:tc>
          <w:tcPr>
            <w:tcW w:w="1077" w:type="dxa"/>
            <w:tcBorders>
              <w:top w:val="nil"/>
              <w:left w:val="nil"/>
              <w:bottom w:val="nil"/>
              <w:right w:val="nil"/>
            </w:tcBorders>
            <w:shd w:val="clear" w:color="auto" w:fill="auto"/>
            <w:vAlign w:val="bottom"/>
          </w:tcPr>
          <w:p w14:paraId="53E2EE9C" w14:textId="77777777" w:rsidR="002E7102" w:rsidRPr="004775A2" w:rsidRDefault="002E7102" w:rsidP="00E12A58">
            <w:pPr>
              <w:jc w:val="right"/>
              <w:rPr>
                <w:rFonts w:ascii="Arial" w:hAnsi="Arial" w:cs="Arial"/>
                <w:b/>
                <w:bCs/>
                <w:color w:val="000000" w:themeColor="text1"/>
                <w:sz w:val="17"/>
                <w:szCs w:val="17"/>
              </w:rPr>
            </w:pPr>
          </w:p>
        </w:tc>
        <w:tc>
          <w:tcPr>
            <w:tcW w:w="1077" w:type="dxa"/>
            <w:tcBorders>
              <w:top w:val="nil"/>
              <w:left w:val="nil"/>
              <w:bottom w:val="nil"/>
              <w:right w:val="nil"/>
            </w:tcBorders>
            <w:shd w:val="clear" w:color="auto" w:fill="auto"/>
            <w:vAlign w:val="bottom"/>
          </w:tcPr>
          <w:p w14:paraId="43E8C843" w14:textId="77777777" w:rsidR="002E7102" w:rsidRPr="004775A2" w:rsidRDefault="002E7102" w:rsidP="00E12A58">
            <w:pPr>
              <w:jc w:val="right"/>
              <w:rPr>
                <w:rFonts w:ascii="Arial" w:hAnsi="Arial" w:cs="Arial"/>
                <w:b/>
                <w:bCs/>
                <w:color w:val="000000" w:themeColor="text1"/>
                <w:sz w:val="17"/>
                <w:szCs w:val="17"/>
              </w:rPr>
            </w:pPr>
          </w:p>
        </w:tc>
        <w:tc>
          <w:tcPr>
            <w:tcW w:w="1152" w:type="dxa"/>
            <w:tcBorders>
              <w:top w:val="nil"/>
              <w:left w:val="nil"/>
              <w:bottom w:val="nil"/>
              <w:right w:val="nil"/>
            </w:tcBorders>
            <w:shd w:val="clear" w:color="auto" w:fill="auto"/>
            <w:vAlign w:val="bottom"/>
          </w:tcPr>
          <w:p w14:paraId="54579A44" w14:textId="77777777" w:rsidR="002E7102" w:rsidRPr="004775A2" w:rsidRDefault="002E7102" w:rsidP="00E12A58">
            <w:pPr>
              <w:jc w:val="right"/>
              <w:rPr>
                <w:rFonts w:ascii="Arial" w:hAnsi="Arial" w:cs="Arial"/>
                <w:b/>
                <w:bCs/>
                <w:color w:val="000000" w:themeColor="text1"/>
                <w:sz w:val="17"/>
                <w:szCs w:val="17"/>
              </w:rPr>
            </w:pPr>
          </w:p>
        </w:tc>
        <w:tc>
          <w:tcPr>
            <w:tcW w:w="1002" w:type="dxa"/>
            <w:tcBorders>
              <w:top w:val="nil"/>
              <w:left w:val="nil"/>
              <w:bottom w:val="nil"/>
              <w:right w:val="nil"/>
            </w:tcBorders>
            <w:shd w:val="clear" w:color="auto" w:fill="auto"/>
            <w:vAlign w:val="bottom"/>
          </w:tcPr>
          <w:p w14:paraId="3FC5FA12" w14:textId="77777777" w:rsidR="002E7102" w:rsidRPr="004775A2" w:rsidRDefault="002E7102" w:rsidP="00E12A58">
            <w:pPr>
              <w:jc w:val="right"/>
              <w:rPr>
                <w:rFonts w:ascii="Arial" w:hAnsi="Arial" w:cs="Arial"/>
                <w:b/>
                <w:bCs/>
                <w:color w:val="000000" w:themeColor="text1"/>
                <w:sz w:val="17"/>
                <w:szCs w:val="17"/>
              </w:rPr>
            </w:pPr>
            <w:r w:rsidRPr="004775A2">
              <w:rPr>
                <w:rFonts w:ascii="Arial" w:hAnsi="Arial" w:cs="Arial"/>
                <w:b/>
                <w:bCs/>
                <w:color w:val="000000" w:themeColor="text1"/>
                <w:sz w:val="17"/>
                <w:szCs w:val="17"/>
              </w:rPr>
              <w:t>Stupanj 2</w:t>
            </w:r>
          </w:p>
        </w:tc>
        <w:tc>
          <w:tcPr>
            <w:tcW w:w="1077" w:type="dxa"/>
            <w:tcBorders>
              <w:top w:val="nil"/>
              <w:left w:val="nil"/>
              <w:bottom w:val="nil"/>
              <w:right w:val="nil"/>
            </w:tcBorders>
            <w:shd w:val="clear" w:color="auto" w:fill="auto"/>
            <w:vAlign w:val="bottom"/>
          </w:tcPr>
          <w:p w14:paraId="29175670" w14:textId="77777777" w:rsidR="002E7102" w:rsidRPr="004775A2" w:rsidRDefault="002E7102" w:rsidP="00E12A58">
            <w:pPr>
              <w:jc w:val="right"/>
              <w:rPr>
                <w:rFonts w:ascii="Arial" w:hAnsi="Arial" w:cs="Arial"/>
                <w:b/>
                <w:bCs/>
                <w:color w:val="000000" w:themeColor="text1"/>
                <w:sz w:val="17"/>
                <w:szCs w:val="17"/>
              </w:rPr>
            </w:pPr>
            <w:r w:rsidRPr="004775A2">
              <w:rPr>
                <w:rFonts w:ascii="Arial" w:hAnsi="Arial" w:cs="Arial"/>
                <w:b/>
                <w:bCs/>
                <w:color w:val="000000" w:themeColor="text1"/>
                <w:sz w:val="17"/>
                <w:szCs w:val="17"/>
              </w:rPr>
              <w:t>Stupanj 3</w:t>
            </w:r>
          </w:p>
        </w:tc>
        <w:tc>
          <w:tcPr>
            <w:tcW w:w="1247" w:type="dxa"/>
            <w:tcBorders>
              <w:top w:val="nil"/>
              <w:left w:val="nil"/>
              <w:bottom w:val="nil"/>
              <w:right w:val="nil"/>
            </w:tcBorders>
            <w:shd w:val="clear" w:color="auto" w:fill="auto"/>
            <w:vAlign w:val="bottom"/>
          </w:tcPr>
          <w:p w14:paraId="7F5BCE9D" w14:textId="77777777" w:rsidR="002E7102" w:rsidRPr="004775A2" w:rsidRDefault="002E7102" w:rsidP="00E12A58">
            <w:pPr>
              <w:jc w:val="right"/>
              <w:rPr>
                <w:rFonts w:ascii="Arial" w:hAnsi="Arial" w:cs="Arial"/>
                <w:b/>
                <w:bCs/>
                <w:color w:val="000000" w:themeColor="text1"/>
                <w:sz w:val="17"/>
                <w:szCs w:val="17"/>
              </w:rPr>
            </w:pPr>
          </w:p>
        </w:tc>
        <w:tc>
          <w:tcPr>
            <w:tcW w:w="1077" w:type="dxa"/>
            <w:tcBorders>
              <w:top w:val="nil"/>
              <w:left w:val="nil"/>
              <w:bottom w:val="nil"/>
              <w:right w:val="nil"/>
            </w:tcBorders>
            <w:shd w:val="clear" w:color="auto" w:fill="auto"/>
            <w:vAlign w:val="bottom"/>
          </w:tcPr>
          <w:p w14:paraId="00126BA1" w14:textId="77777777" w:rsidR="002E7102" w:rsidRPr="004775A2" w:rsidRDefault="002E7102" w:rsidP="00E12A58">
            <w:pPr>
              <w:jc w:val="right"/>
              <w:rPr>
                <w:rFonts w:ascii="Arial" w:hAnsi="Arial" w:cs="Arial"/>
                <w:b/>
                <w:bCs/>
                <w:color w:val="000000" w:themeColor="text1"/>
                <w:sz w:val="17"/>
                <w:szCs w:val="17"/>
              </w:rPr>
            </w:pPr>
          </w:p>
        </w:tc>
      </w:tr>
      <w:tr w:rsidR="002E7102" w:rsidRPr="004775A2" w14:paraId="509EFBCC" w14:textId="77777777" w:rsidTr="00873D32">
        <w:trPr>
          <w:trHeight w:val="280"/>
        </w:trPr>
        <w:tc>
          <w:tcPr>
            <w:tcW w:w="1797" w:type="dxa"/>
            <w:tcBorders>
              <w:top w:val="nil"/>
              <w:left w:val="nil"/>
              <w:bottom w:val="nil"/>
              <w:right w:val="nil"/>
            </w:tcBorders>
            <w:shd w:val="clear" w:color="auto" w:fill="auto"/>
            <w:vAlign w:val="bottom"/>
          </w:tcPr>
          <w:p w14:paraId="696B15A5" w14:textId="77777777" w:rsidR="002E7102" w:rsidRPr="004775A2" w:rsidRDefault="002E7102" w:rsidP="00E12A58">
            <w:pPr>
              <w:jc w:val="right"/>
              <w:rPr>
                <w:rFonts w:ascii="Arial" w:hAnsi="Arial" w:cs="Arial"/>
                <w:b/>
                <w:bCs/>
                <w:color w:val="000000" w:themeColor="text1"/>
                <w:sz w:val="17"/>
                <w:szCs w:val="17"/>
              </w:rPr>
            </w:pPr>
          </w:p>
        </w:tc>
        <w:tc>
          <w:tcPr>
            <w:tcW w:w="1077" w:type="dxa"/>
            <w:tcBorders>
              <w:top w:val="nil"/>
              <w:left w:val="nil"/>
              <w:bottom w:val="nil"/>
              <w:right w:val="nil"/>
            </w:tcBorders>
            <w:shd w:val="clear" w:color="auto" w:fill="auto"/>
            <w:vAlign w:val="bottom"/>
          </w:tcPr>
          <w:p w14:paraId="4C2A5440" w14:textId="77777777" w:rsidR="002E7102" w:rsidRPr="004775A2" w:rsidRDefault="002E7102" w:rsidP="00E12A58">
            <w:pPr>
              <w:jc w:val="right"/>
              <w:rPr>
                <w:rFonts w:ascii="Arial" w:hAnsi="Arial" w:cs="Arial"/>
                <w:b/>
                <w:bCs/>
                <w:color w:val="000000" w:themeColor="text1"/>
                <w:sz w:val="17"/>
                <w:szCs w:val="17"/>
              </w:rPr>
            </w:pPr>
            <w:r w:rsidRPr="004775A2">
              <w:rPr>
                <w:rFonts w:ascii="Arial" w:hAnsi="Arial" w:cs="Arial"/>
                <w:b/>
                <w:bCs/>
                <w:color w:val="000000" w:themeColor="text1"/>
                <w:sz w:val="17"/>
                <w:szCs w:val="17"/>
              </w:rPr>
              <w:t>000 eura</w:t>
            </w:r>
          </w:p>
        </w:tc>
        <w:tc>
          <w:tcPr>
            <w:tcW w:w="1077" w:type="dxa"/>
            <w:tcBorders>
              <w:top w:val="nil"/>
              <w:left w:val="nil"/>
              <w:bottom w:val="nil"/>
              <w:right w:val="nil"/>
            </w:tcBorders>
            <w:shd w:val="clear" w:color="auto" w:fill="auto"/>
            <w:vAlign w:val="bottom"/>
          </w:tcPr>
          <w:p w14:paraId="0EEEF804" w14:textId="77777777" w:rsidR="002E7102" w:rsidRPr="004775A2" w:rsidRDefault="002E7102" w:rsidP="00E12A58">
            <w:pPr>
              <w:jc w:val="right"/>
              <w:rPr>
                <w:rFonts w:ascii="Arial" w:hAnsi="Arial" w:cs="Arial"/>
                <w:b/>
                <w:bCs/>
                <w:color w:val="000000" w:themeColor="text1"/>
                <w:sz w:val="17"/>
                <w:szCs w:val="17"/>
              </w:rPr>
            </w:pPr>
            <w:r w:rsidRPr="004775A2">
              <w:rPr>
                <w:rFonts w:ascii="Arial" w:hAnsi="Arial" w:cs="Arial"/>
                <w:b/>
                <w:bCs/>
                <w:color w:val="000000" w:themeColor="text1"/>
                <w:sz w:val="17"/>
                <w:szCs w:val="17"/>
              </w:rPr>
              <w:t>000 eura</w:t>
            </w:r>
          </w:p>
        </w:tc>
        <w:tc>
          <w:tcPr>
            <w:tcW w:w="1152" w:type="dxa"/>
            <w:tcBorders>
              <w:top w:val="nil"/>
              <w:left w:val="nil"/>
              <w:bottom w:val="nil"/>
              <w:right w:val="nil"/>
            </w:tcBorders>
            <w:shd w:val="clear" w:color="auto" w:fill="auto"/>
            <w:vAlign w:val="bottom"/>
          </w:tcPr>
          <w:p w14:paraId="00AD5FFD" w14:textId="77777777" w:rsidR="002E7102" w:rsidRPr="004775A2" w:rsidRDefault="002E7102" w:rsidP="00E12A58">
            <w:pPr>
              <w:jc w:val="right"/>
              <w:rPr>
                <w:rFonts w:ascii="Arial" w:hAnsi="Arial" w:cs="Arial"/>
                <w:b/>
                <w:bCs/>
                <w:color w:val="000000" w:themeColor="text1"/>
                <w:sz w:val="17"/>
                <w:szCs w:val="17"/>
              </w:rPr>
            </w:pPr>
            <w:r w:rsidRPr="004775A2">
              <w:rPr>
                <w:rFonts w:ascii="Arial" w:hAnsi="Arial" w:cs="Arial"/>
                <w:b/>
                <w:bCs/>
                <w:color w:val="000000" w:themeColor="text1"/>
                <w:sz w:val="17"/>
                <w:szCs w:val="17"/>
              </w:rPr>
              <w:t>000 eura</w:t>
            </w:r>
          </w:p>
        </w:tc>
        <w:tc>
          <w:tcPr>
            <w:tcW w:w="1002" w:type="dxa"/>
            <w:tcBorders>
              <w:top w:val="nil"/>
              <w:left w:val="nil"/>
              <w:bottom w:val="nil"/>
              <w:right w:val="nil"/>
            </w:tcBorders>
            <w:vAlign w:val="bottom"/>
          </w:tcPr>
          <w:p w14:paraId="164818AC" w14:textId="77777777" w:rsidR="002E7102" w:rsidRPr="004775A2" w:rsidRDefault="002E7102" w:rsidP="00E12A58">
            <w:pPr>
              <w:jc w:val="right"/>
              <w:rPr>
                <w:rFonts w:ascii="Arial" w:hAnsi="Arial" w:cs="Arial"/>
                <w:b/>
                <w:bCs/>
                <w:color w:val="000000" w:themeColor="text1"/>
                <w:sz w:val="17"/>
                <w:szCs w:val="17"/>
              </w:rPr>
            </w:pPr>
            <w:r w:rsidRPr="004775A2">
              <w:rPr>
                <w:rFonts w:ascii="Arial" w:hAnsi="Arial" w:cs="Arial"/>
                <w:b/>
                <w:bCs/>
                <w:color w:val="000000" w:themeColor="text1"/>
                <w:sz w:val="17"/>
                <w:szCs w:val="17"/>
              </w:rPr>
              <w:t>000 eura</w:t>
            </w:r>
          </w:p>
        </w:tc>
        <w:tc>
          <w:tcPr>
            <w:tcW w:w="1077" w:type="dxa"/>
            <w:tcBorders>
              <w:top w:val="nil"/>
              <w:left w:val="nil"/>
              <w:bottom w:val="nil"/>
              <w:right w:val="nil"/>
            </w:tcBorders>
            <w:shd w:val="clear" w:color="auto" w:fill="auto"/>
            <w:vAlign w:val="bottom"/>
          </w:tcPr>
          <w:p w14:paraId="66E734F5" w14:textId="77777777" w:rsidR="002E7102" w:rsidRPr="004775A2" w:rsidRDefault="002E7102" w:rsidP="00E12A58">
            <w:pPr>
              <w:jc w:val="right"/>
              <w:rPr>
                <w:rFonts w:ascii="Arial" w:hAnsi="Arial" w:cs="Arial"/>
                <w:b/>
                <w:bCs/>
                <w:color w:val="000000" w:themeColor="text1"/>
                <w:sz w:val="17"/>
                <w:szCs w:val="17"/>
              </w:rPr>
            </w:pPr>
            <w:r w:rsidRPr="004775A2">
              <w:rPr>
                <w:rFonts w:ascii="Arial" w:hAnsi="Arial" w:cs="Arial"/>
                <w:b/>
                <w:bCs/>
                <w:color w:val="000000" w:themeColor="text1"/>
                <w:sz w:val="17"/>
                <w:szCs w:val="17"/>
              </w:rPr>
              <w:t>000 eura</w:t>
            </w:r>
          </w:p>
        </w:tc>
        <w:tc>
          <w:tcPr>
            <w:tcW w:w="1247" w:type="dxa"/>
            <w:tcBorders>
              <w:top w:val="nil"/>
              <w:left w:val="nil"/>
              <w:bottom w:val="nil"/>
              <w:right w:val="nil"/>
            </w:tcBorders>
            <w:shd w:val="clear" w:color="auto" w:fill="auto"/>
            <w:vAlign w:val="bottom"/>
          </w:tcPr>
          <w:p w14:paraId="4EE7825E" w14:textId="77777777" w:rsidR="002E7102" w:rsidRPr="004775A2" w:rsidRDefault="002E7102" w:rsidP="00E12A58">
            <w:pPr>
              <w:jc w:val="right"/>
              <w:rPr>
                <w:rFonts w:ascii="Arial" w:hAnsi="Arial" w:cs="Arial"/>
                <w:b/>
                <w:bCs/>
                <w:color w:val="000000" w:themeColor="text1"/>
                <w:sz w:val="17"/>
                <w:szCs w:val="17"/>
              </w:rPr>
            </w:pPr>
            <w:r w:rsidRPr="004775A2">
              <w:rPr>
                <w:rFonts w:ascii="Arial" w:hAnsi="Arial" w:cs="Arial"/>
                <w:b/>
                <w:bCs/>
                <w:color w:val="000000" w:themeColor="text1"/>
                <w:sz w:val="17"/>
                <w:szCs w:val="17"/>
              </w:rPr>
              <w:t>000 eura</w:t>
            </w:r>
          </w:p>
        </w:tc>
        <w:tc>
          <w:tcPr>
            <w:tcW w:w="1077" w:type="dxa"/>
            <w:tcBorders>
              <w:top w:val="nil"/>
              <w:left w:val="nil"/>
              <w:bottom w:val="nil"/>
              <w:right w:val="nil"/>
            </w:tcBorders>
            <w:shd w:val="clear" w:color="auto" w:fill="auto"/>
            <w:vAlign w:val="bottom"/>
          </w:tcPr>
          <w:p w14:paraId="22812CC3" w14:textId="77777777" w:rsidR="002E7102" w:rsidRPr="004775A2" w:rsidRDefault="002E7102" w:rsidP="00E12A58">
            <w:pPr>
              <w:jc w:val="right"/>
              <w:rPr>
                <w:rFonts w:ascii="Arial" w:hAnsi="Arial" w:cs="Arial"/>
                <w:b/>
                <w:bCs/>
                <w:color w:val="000000" w:themeColor="text1"/>
                <w:sz w:val="17"/>
                <w:szCs w:val="17"/>
              </w:rPr>
            </w:pPr>
            <w:r w:rsidRPr="004775A2">
              <w:rPr>
                <w:rFonts w:ascii="Arial" w:hAnsi="Arial" w:cs="Arial"/>
                <w:b/>
                <w:bCs/>
                <w:color w:val="000000" w:themeColor="text1"/>
                <w:sz w:val="17"/>
                <w:szCs w:val="17"/>
              </w:rPr>
              <w:t>000 eura</w:t>
            </w:r>
          </w:p>
        </w:tc>
      </w:tr>
      <w:tr w:rsidR="002E7102" w:rsidRPr="004775A2" w14:paraId="0D3147FE" w14:textId="77777777" w:rsidTr="00873D32">
        <w:trPr>
          <w:trHeight w:hRule="exact" w:val="130"/>
        </w:trPr>
        <w:tc>
          <w:tcPr>
            <w:tcW w:w="1797" w:type="dxa"/>
            <w:tcBorders>
              <w:top w:val="nil"/>
              <w:left w:val="nil"/>
              <w:bottom w:val="nil"/>
              <w:right w:val="nil"/>
            </w:tcBorders>
            <w:shd w:val="clear" w:color="auto" w:fill="auto"/>
            <w:vAlign w:val="bottom"/>
            <w:hideMark/>
          </w:tcPr>
          <w:p w14:paraId="7E2E9B78" w14:textId="77777777" w:rsidR="002E7102" w:rsidRPr="004775A2" w:rsidRDefault="002E7102" w:rsidP="00E12A58">
            <w:pPr>
              <w:jc w:val="right"/>
              <w:rPr>
                <w:rFonts w:ascii="Arial" w:hAnsi="Arial" w:cs="Arial"/>
                <w:b/>
                <w:bCs/>
                <w:color w:val="000000" w:themeColor="text1"/>
                <w:sz w:val="17"/>
                <w:szCs w:val="17"/>
              </w:rPr>
            </w:pPr>
          </w:p>
        </w:tc>
        <w:tc>
          <w:tcPr>
            <w:tcW w:w="1077" w:type="dxa"/>
            <w:tcBorders>
              <w:top w:val="nil"/>
              <w:left w:val="nil"/>
              <w:bottom w:val="nil"/>
              <w:right w:val="nil"/>
            </w:tcBorders>
            <w:shd w:val="clear" w:color="auto" w:fill="auto"/>
            <w:vAlign w:val="bottom"/>
            <w:hideMark/>
          </w:tcPr>
          <w:p w14:paraId="5D0F4D0B" w14:textId="77777777" w:rsidR="002E7102" w:rsidRPr="004775A2" w:rsidRDefault="002E7102" w:rsidP="00E12A58">
            <w:pPr>
              <w:rPr>
                <w:rFonts w:ascii="Arial" w:hAnsi="Arial" w:cs="Arial"/>
                <w:color w:val="000000" w:themeColor="text1"/>
                <w:sz w:val="17"/>
                <w:szCs w:val="17"/>
              </w:rPr>
            </w:pPr>
          </w:p>
        </w:tc>
        <w:tc>
          <w:tcPr>
            <w:tcW w:w="1077" w:type="dxa"/>
            <w:tcBorders>
              <w:top w:val="nil"/>
              <w:left w:val="nil"/>
              <w:bottom w:val="nil"/>
              <w:right w:val="nil"/>
            </w:tcBorders>
            <w:shd w:val="clear" w:color="auto" w:fill="auto"/>
            <w:vAlign w:val="bottom"/>
            <w:hideMark/>
          </w:tcPr>
          <w:p w14:paraId="2F0B81FA" w14:textId="77777777" w:rsidR="002E7102" w:rsidRPr="004775A2" w:rsidRDefault="002E7102" w:rsidP="00E12A58">
            <w:pPr>
              <w:jc w:val="right"/>
              <w:rPr>
                <w:rFonts w:ascii="Arial" w:hAnsi="Arial" w:cs="Arial"/>
                <w:color w:val="000000" w:themeColor="text1"/>
                <w:sz w:val="17"/>
                <w:szCs w:val="17"/>
              </w:rPr>
            </w:pPr>
          </w:p>
        </w:tc>
        <w:tc>
          <w:tcPr>
            <w:tcW w:w="1152" w:type="dxa"/>
            <w:tcBorders>
              <w:top w:val="nil"/>
              <w:left w:val="nil"/>
              <w:bottom w:val="nil"/>
              <w:right w:val="nil"/>
            </w:tcBorders>
            <w:shd w:val="clear" w:color="auto" w:fill="auto"/>
            <w:vAlign w:val="bottom"/>
            <w:hideMark/>
          </w:tcPr>
          <w:p w14:paraId="67862BA2" w14:textId="77777777" w:rsidR="002E7102" w:rsidRPr="004775A2" w:rsidRDefault="002E7102" w:rsidP="00E12A58">
            <w:pPr>
              <w:jc w:val="right"/>
              <w:rPr>
                <w:rFonts w:ascii="Arial" w:hAnsi="Arial" w:cs="Arial"/>
                <w:color w:val="000000" w:themeColor="text1"/>
                <w:sz w:val="17"/>
                <w:szCs w:val="17"/>
              </w:rPr>
            </w:pPr>
          </w:p>
        </w:tc>
        <w:tc>
          <w:tcPr>
            <w:tcW w:w="1002" w:type="dxa"/>
            <w:tcBorders>
              <w:top w:val="nil"/>
              <w:left w:val="nil"/>
              <w:bottom w:val="nil"/>
              <w:right w:val="nil"/>
            </w:tcBorders>
            <w:vAlign w:val="bottom"/>
          </w:tcPr>
          <w:p w14:paraId="2144E18F" w14:textId="77777777" w:rsidR="002E7102" w:rsidRPr="004775A2" w:rsidRDefault="002E7102" w:rsidP="00E12A58">
            <w:pPr>
              <w:jc w:val="right"/>
              <w:rPr>
                <w:rFonts w:ascii="Arial" w:hAnsi="Arial" w:cs="Arial"/>
                <w:color w:val="000000" w:themeColor="text1"/>
                <w:sz w:val="17"/>
                <w:szCs w:val="17"/>
              </w:rPr>
            </w:pPr>
          </w:p>
        </w:tc>
        <w:tc>
          <w:tcPr>
            <w:tcW w:w="1077" w:type="dxa"/>
            <w:tcBorders>
              <w:top w:val="nil"/>
              <w:left w:val="nil"/>
              <w:bottom w:val="nil"/>
              <w:right w:val="nil"/>
            </w:tcBorders>
            <w:shd w:val="clear" w:color="auto" w:fill="auto"/>
            <w:vAlign w:val="bottom"/>
            <w:hideMark/>
          </w:tcPr>
          <w:p w14:paraId="6A8E0084" w14:textId="77777777" w:rsidR="002E7102" w:rsidRPr="004775A2" w:rsidRDefault="002E7102" w:rsidP="00E12A58">
            <w:pPr>
              <w:jc w:val="right"/>
              <w:rPr>
                <w:rFonts w:ascii="Arial" w:hAnsi="Arial" w:cs="Arial"/>
                <w:color w:val="000000" w:themeColor="text1"/>
                <w:sz w:val="17"/>
                <w:szCs w:val="17"/>
              </w:rPr>
            </w:pPr>
          </w:p>
        </w:tc>
        <w:tc>
          <w:tcPr>
            <w:tcW w:w="1247" w:type="dxa"/>
            <w:tcBorders>
              <w:top w:val="nil"/>
              <w:left w:val="nil"/>
              <w:bottom w:val="nil"/>
              <w:right w:val="nil"/>
            </w:tcBorders>
            <w:vAlign w:val="bottom"/>
          </w:tcPr>
          <w:p w14:paraId="64B6B26D" w14:textId="77777777" w:rsidR="002E7102" w:rsidRPr="004775A2" w:rsidRDefault="002E7102" w:rsidP="00E12A58">
            <w:pPr>
              <w:rPr>
                <w:rFonts w:ascii="Arial" w:hAnsi="Arial" w:cs="Arial"/>
                <w:color w:val="000000" w:themeColor="text1"/>
                <w:sz w:val="17"/>
                <w:szCs w:val="17"/>
              </w:rPr>
            </w:pPr>
          </w:p>
        </w:tc>
        <w:tc>
          <w:tcPr>
            <w:tcW w:w="1077" w:type="dxa"/>
            <w:tcBorders>
              <w:top w:val="nil"/>
              <w:left w:val="nil"/>
              <w:bottom w:val="nil"/>
              <w:right w:val="nil"/>
            </w:tcBorders>
            <w:shd w:val="clear" w:color="auto" w:fill="auto"/>
            <w:vAlign w:val="bottom"/>
            <w:hideMark/>
          </w:tcPr>
          <w:p w14:paraId="4FE7DDB5" w14:textId="77777777" w:rsidR="002E7102" w:rsidRPr="004775A2" w:rsidRDefault="002E7102" w:rsidP="00E12A58">
            <w:pPr>
              <w:jc w:val="right"/>
              <w:rPr>
                <w:rFonts w:ascii="Arial" w:hAnsi="Arial" w:cs="Arial"/>
                <w:color w:val="000000" w:themeColor="text1"/>
                <w:sz w:val="17"/>
                <w:szCs w:val="17"/>
              </w:rPr>
            </w:pPr>
          </w:p>
        </w:tc>
      </w:tr>
      <w:tr w:rsidR="002E7102" w:rsidRPr="004775A2" w14:paraId="0FEEA56C" w14:textId="77777777" w:rsidTr="00873D32">
        <w:trPr>
          <w:trHeight w:val="327"/>
        </w:trPr>
        <w:tc>
          <w:tcPr>
            <w:tcW w:w="1797" w:type="dxa"/>
            <w:tcBorders>
              <w:top w:val="nil"/>
              <w:left w:val="nil"/>
              <w:bottom w:val="nil"/>
              <w:right w:val="nil"/>
            </w:tcBorders>
            <w:shd w:val="clear" w:color="auto" w:fill="auto"/>
            <w:noWrap/>
            <w:vAlign w:val="bottom"/>
            <w:hideMark/>
          </w:tcPr>
          <w:p w14:paraId="36A38994" w14:textId="77777777" w:rsidR="002E7102" w:rsidRPr="004775A2" w:rsidRDefault="002E7102" w:rsidP="00E12A58">
            <w:pPr>
              <w:rPr>
                <w:rFonts w:ascii="Arial" w:hAnsi="Arial" w:cs="Arial"/>
                <w:color w:val="000000" w:themeColor="text1"/>
                <w:sz w:val="17"/>
                <w:szCs w:val="17"/>
              </w:rPr>
            </w:pPr>
            <w:r w:rsidRPr="004775A2">
              <w:rPr>
                <w:rFonts w:ascii="Arial" w:hAnsi="Arial" w:cs="Arial"/>
                <w:color w:val="000000" w:themeColor="text1"/>
                <w:sz w:val="17"/>
                <w:szCs w:val="17"/>
              </w:rPr>
              <w:t>Bruto iznos</w:t>
            </w:r>
          </w:p>
        </w:tc>
        <w:tc>
          <w:tcPr>
            <w:tcW w:w="1077" w:type="dxa"/>
            <w:tcBorders>
              <w:top w:val="nil"/>
              <w:left w:val="nil"/>
              <w:bottom w:val="nil"/>
              <w:right w:val="nil"/>
            </w:tcBorders>
            <w:shd w:val="clear" w:color="auto" w:fill="auto"/>
            <w:noWrap/>
            <w:vAlign w:val="bottom"/>
          </w:tcPr>
          <w:p w14:paraId="3AE1D659" w14:textId="77777777" w:rsidR="002E7102" w:rsidRPr="004775A2" w:rsidRDefault="002E7102" w:rsidP="00E12A58">
            <w:pPr>
              <w:jc w:val="right"/>
              <w:rPr>
                <w:rFonts w:ascii="Arial" w:hAnsi="Arial" w:cs="Arial"/>
                <w:sz w:val="17"/>
                <w:szCs w:val="17"/>
              </w:rPr>
            </w:pPr>
            <w:r w:rsidRPr="004775A2">
              <w:rPr>
                <w:rFonts w:ascii="Arial" w:hAnsi="Arial" w:cs="Arial"/>
                <w:sz w:val="17"/>
                <w:szCs w:val="17"/>
              </w:rPr>
              <w:t xml:space="preserve"> 445.908 </w:t>
            </w:r>
          </w:p>
        </w:tc>
        <w:tc>
          <w:tcPr>
            <w:tcW w:w="1077" w:type="dxa"/>
            <w:tcBorders>
              <w:top w:val="nil"/>
              <w:left w:val="nil"/>
              <w:bottom w:val="nil"/>
              <w:right w:val="nil"/>
            </w:tcBorders>
            <w:shd w:val="clear" w:color="auto" w:fill="auto"/>
            <w:noWrap/>
            <w:vAlign w:val="bottom"/>
          </w:tcPr>
          <w:p w14:paraId="04E8D72C" w14:textId="77777777" w:rsidR="002E7102" w:rsidRPr="004775A2" w:rsidRDefault="002E7102" w:rsidP="00E12A58">
            <w:pPr>
              <w:jc w:val="right"/>
              <w:rPr>
                <w:rFonts w:ascii="Arial" w:hAnsi="Arial" w:cs="Arial"/>
                <w:sz w:val="17"/>
                <w:szCs w:val="17"/>
              </w:rPr>
            </w:pPr>
            <w:r w:rsidRPr="004775A2">
              <w:rPr>
                <w:rFonts w:ascii="Arial" w:hAnsi="Arial" w:cs="Arial"/>
                <w:sz w:val="17"/>
                <w:szCs w:val="17"/>
              </w:rPr>
              <w:t xml:space="preserve"> 21.676 </w:t>
            </w:r>
          </w:p>
        </w:tc>
        <w:tc>
          <w:tcPr>
            <w:tcW w:w="1152" w:type="dxa"/>
            <w:tcBorders>
              <w:top w:val="nil"/>
              <w:left w:val="nil"/>
              <w:bottom w:val="nil"/>
              <w:right w:val="nil"/>
            </w:tcBorders>
            <w:shd w:val="clear" w:color="auto" w:fill="auto"/>
            <w:noWrap/>
            <w:vAlign w:val="bottom"/>
          </w:tcPr>
          <w:p w14:paraId="7393675B" w14:textId="77777777" w:rsidR="002E7102" w:rsidRPr="004775A2" w:rsidRDefault="002E7102" w:rsidP="00E12A58">
            <w:pPr>
              <w:jc w:val="right"/>
              <w:rPr>
                <w:rFonts w:ascii="Arial" w:hAnsi="Arial" w:cs="Arial"/>
                <w:sz w:val="17"/>
                <w:szCs w:val="17"/>
              </w:rPr>
            </w:pPr>
            <w:r w:rsidRPr="004775A2">
              <w:rPr>
                <w:rFonts w:ascii="Arial" w:hAnsi="Arial" w:cs="Arial"/>
                <w:sz w:val="17"/>
                <w:szCs w:val="17"/>
              </w:rPr>
              <w:t xml:space="preserve"> 25.014 </w:t>
            </w:r>
          </w:p>
        </w:tc>
        <w:tc>
          <w:tcPr>
            <w:tcW w:w="1002" w:type="dxa"/>
            <w:tcBorders>
              <w:top w:val="nil"/>
              <w:left w:val="nil"/>
              <w:bottom w:val="nil"/>
              <w:right w:val="nil"/>
            </w:tcBorders>
            <w:vAlign w:val="bottom"/>
          </w:tcPr>
          <w:p w14:paraId="78F10CFC" w14:textId="77777777" w:rsidR="002E7102" w:rsidRPr="004775A2" w:rsidRDefault="002E7102" w:rsidP="00E12A58">
            <w:pPr>
              <w:jc w:val="right"/>
              <w:rPr>
                <w:rFonts w:ascii="Arial" w:hAnsi="Arial" w:cs="Arial"/>
                <w:sz w:val="17"/>
                <w:szCs w:val="17"/>
              </w:rPr>
            </w:pPr>
            <w:r w:rsidRPr="004775A2">
              <w:rPr>
                <w:rFonts w:ascii="Arial" w:hAnsi="Arial" w:cs="Arial"/>
                <w:sz w:val="17"/>
                <w:szCs w:val="17"/>
              </w:rPr>
              <w:t>-</w:t>
            </w:r>
          </w:p>
        </w:tc>
        <w:tc>
          <w:tcPr>
            <w:tcW w:w="1077" w:type="dxa"/>
            <w:tcBorders>
              <w:top w:val="nil"/>
              <w:left w:val="nil"/>
              <w:bottom w:val="nil"/>
              <w:right w:val="nil"/>
            </w:tcBorders>
            <w:shd w:val="clear" w:color="auto" w:fill="auto"/>
            <w:noWrap/>
            <w:vAlign w:val="bottom"/>
          </w:tcPr>
          <w:p w14:paraId="528C145C" w14:textId="77777777" w:rsidR="002E7102" w:rsidRPr="004775A2" w:rsidRDefault="002E7102" w:rsidP="00E12A58">
            <w:pPr>
              <w:jc w:val="right"/>
              <w:rPr>
                <w:rFonts w:ascii="Arial" w:hAnsi="Arial" w:cs="Arial"/>
                <w:sz w:val="17"/>
                <w:szCs w:val="17"/>
              </w:rPr>
            </w:pPr>
            <w:r w:rsidRPr="004775A2">
              <w:rPr>
                <w:rFonts w:ascii="Arial" w:hAnsi="Arial" w:cs="Arial"/>
                <w:sz w:val="17"/>
                <w:szCs w:val="17"/>
              </w:rPr>
              <w:t xml:space="preserve"> 13.014 </w:t>
            </w:r>
          </w:p>
        </w:tc>
        <w:tc>
          <w:tcPr>
            <w:tcW w:w="1247" w:type="dxa"/>
            <w:tcBorders>
              <w:top w:val="nil"/>
              <w:left w:val="nil"/>
              <w:bottom w:val="nil"/>
              <w:right w:val="nil"/>
            </w:tcBorders>
            <w:vAlign w:val="bottom"/>
          </w:tcPr>
          <w:p w14:paraId="62F5EE27" w14:textId="77777777" w:rsidR="002E7102" w:rsidRPr="004775A2" w:rsidRDefault="002E7102" w:rsidP="00E12A58">
            <w:pPr>
              <w:jc w:val="right"/>
              <w:rPr>
                <w:rFonts w:ascii="Arial" w:hAnsi="Arial" w:cs="Arial"/>
                <w:sz w:val="17"/>
                <w:szCs w:val="17"/>
              </w:rPr>
            </w:pPr>
            <w:r w:rsidRPr="004775A2">
              <w:rPr>
                <w:rFonts w:ascii="Arial" w:hAnsi="Arial" w:cs="Arial"/>
                <w:sz w:val="17"/>
                <w:szCs w:val="17"/>
              </w:rPr>
              <w:t xml:space="preserve"> - </w:t>
            </w:r>
          </w:p>
        </w:tc>
        <w:tc>
          <w:tcPr>
            <w:tcW w:w="1077" w:type="dxa"/>
            <w:tcBorders>
              <w:top w:val="nil"/>
              <w:left w:val="nil"/>
              <w:bottom w:val="nil"/>
              <w:right w:val="nil"/>
            </w:tcBorders>
            <w:shd w:val="clear" w:color="auto" w:fill="auto"/>
            <w:noWrap/>
            <w:vAlign w:val="bottom"/>
          </w:tcPr>
          <w:p w14:paraId="0FBE3B1E" w14:textId="77777777" w:rsidR="002E7102" w:rsidRPr="004775A2" w:rsidRDefault="002E7102" w:rsidP="00E12A58">
            <w:pPr>
              <w:jc w:val="right"/>
              <w:rPr>
                <w:rFonts w:ascii="Arial" w:hAnsi="Arial" w:cs="Arial"/>
                <w:b/>
                <w:bCs/>
                <w:sz w:val="17"/>
                <w:szCs w:val="17"/>
              </w:rPr>
            </w:pPr>
            <w:r w:rsidRPr="004775A2">
              <w:rPr>
                <w:rFonts w:ascii="Arial" w:hAnsi="Arial" w:cs="Arial"/>
                <w:b/>
                <w:bCs/>
                <w:sz w:val="17"/>
                <w:szCs w:val="17"/>
              </w:rPr>
              <w:t xml:space="preserve"> 505.612 </w:t>
            </w:r>
          </w:p>
        </w:tc>
      </w:tr>
      <w:tr w:rsidR="002E7102" w:rsidRPr="004775A2" w14:paraId="0CF1423A" w14:textId="77777777" w:rsidTr="00873D32">
        <w:trPr>
          <w:trHeight w:val="337"/>
        </w:trPr>
        <w:tc>
          <w:tcPr>
            <w:tcW w:w="1797" w:type="dxa"/>
            <w:tcBorders>
              <w:top w:val="nil"/>
              <w:left w:val="nil"/>
              <w:bottom w:val="nil"/>
              <w:right w:val="nil"/>
            </w:tcBorders>
            <w:shd w:val="clear" w:color="auto" w:fill="auto"/>
            <w:noWrap/>
            <w:vAlign w:val="bottom"/>
            <w:hideMark/>
          </w:tcPr>
          <w:p w14:paraId="514CEA90" w14:textId="77777777" w:rsidR="002E7102" w:rsidRPr="004775A2" w:rsidRDefault="002E7102" w:rsidP="00E12A58">
            <w:pPr>
              <w:rPr>
                <w:rFonts w:ascii="Arial" w:hAnsi="Arial" w:cs="Arial"/>
                <w:color w:val="000000" w:themeColor="text1"/>
                <w:sz w:val="17"/>
                <w:szCs w:val="17"/>
              </w:rPr>
            </w:pPr>
            <w:r w:rsidRPr="004775A2">
              <w:rPr>
                <w:rFonts w:ascii="Arial" w:hAnsi="Arial" w:cs="Arial"/>
                <w:color w:val="000000" w:themeColor="text1"/>
                <w:sz w:val="17"/>
                <w:szCs w:val="17"/>
              </w:rPr>
              <w:t>Rezerviranja</w:t>
            </w:r>
          </w:p>
        </w:tc>
        <w:tc>
          <w:tcPr>
            <w:tcW w:w="1077" w:type="dxa"/>
            <w:tcBorders>
              <w:top w:val="nil"/>
              <w:left w:val="nil"/>
              <w:bottom w:val="nil"/>
              <w:right w:val="nil"/>
            </w:tcBorders>
            <w:shd w:val="clear" w:color="auto" w:fill="auto"/>
            <w:noWrap/>
            <w:vAlign w:val="bottom"/>
          </w:tcPr>
          <w:p w14:paraId="0ECF7759" w14:textId="77777777" w:rsidR="002E7102" w:rsidRPr="004775A2" w:rsidRDefault="002E7102" w:rsidP="00E12A58">
            <w:pPr>
              <w:jc w:val="right"/>
              <w:rPr>
                <w:rFonts w:ascii="Arial" w:hAnsi="Arial" w:cs="Arial"/>
                <w:sz w:val="17"/>
                <w:szCs w:val="17"/>
              </w:rPr>
            </w:pPr>
            <w:r w:rsidRPr="004775A2">
              <w:rPr>
                <w:rFonts w:ascii="Arial" w:hAnsi="Arial" w:cs="Arial"/>
                <w:sz w:val="17"/>
                <w:szCs w:val="17"/>
              </w:rPr>
              <w:t xml:space="preserve"> (4.243)</w:t>
            </w:r>
          </w:p>
        </w:tc>
        <w:tc>
          <w:tcPr>
            <w:tcW w:w="1077" w:type="dxa"/>
            <w:tcBorders>
              <w:top w:val="nil"/>
              <w:left w:val="nil"/>
              <w:bottom w:val="nil"/>
              <w:right w:val="nil"/>
            </w:tcBorders>
            <w:shd w:val="clear" w:color="auto" w:fill="auto"/>
            <w:noWrap/>
            <w:vAlign w:val="bottom"/>
          </w:tcPr>
          <w:p w14:paraId="48224D6D" w14:textId="77777777" w:rsidR="002E7102" w:rsidRPr="004775A2" w:rsidRDefault="002E7102" w:rsidP="00E12A58">
            <w:pPr>
              <w:jc w:val="right"/>
              <w:rPr>
                <w:rFonts w:ascii="Arial" w:hAnsi="Arial" w:cs="Arial"/>
                <w:sz w:val="17"/>
                <w:szCs w:val="17"/>
              </w:rPr>
            </w:pPr>
            <w:r w:rsidRPr="004775A2">
              <w:rPr>
                <w:rFonts w:ascii="Arial" w:hAnsi="Arial" w:cs="Arial"/>
                <w:sz w:val="17"/>
                <w:szCs w:val="17"/>
              </w:rPr>
              <w:t xml:space="preserve"> (5.380)</w:t>
            </w:r>
          </w:p>
        </w:tc>
        <w:tc>
          <w:tcPr>
            <w:tcW w:w="1152" w:type="dxa"/>
            <w:tcBorders>
              <w:top w:val="nil"/>
              <w:left w:val="nil"/>
              <w:bottom w:val="nil"/>
              <w:right w:val="nil"/>
            </w:tcBorders>
            <w:shd w:val="clear" w:color="auto" w:fill="auto"/>
            <w:noWrap/>
            <w:vAlign w:val="bottom"/>
          </w:tcPr>
          <w:p w14:paraId="67011BFF" w14:textId="77777777" w:rsidR="002E7102" w:rsidRPr="004775A2" w:rsidRDefault="002E7102" w:rsidP="00E12A58">
            <w:pPr>
              <w:jc w:val="right"/>
              <w:rPr>
                <w:rFonts w:ascii="Arial" w:hAnsi="Arial" w:cs="Arial"/>
                <w:sz w:val="17"/>
                <w:szCs w:val="17"/>
              </w:rPr>
            </w:pPr>
            <w:r w:rsidRPr="004775A2">
              <w:rPr>
                <w:rFonts w:ascii="Arial" w:hAnsi="Arial" w:cs="Arial"/>
                <w:sz w:val="17"/>
                <w:szCs w:val="17"/>
              </w:rPr>
              <w:t xml:space="preserve"> (4.574)</w:t>
            </w:r>
          </w:p>
        </w:tc>
        <w:tc>
          <w:tcPr>
            <w:tcW w:w="1002" w:type="dxa"/>
            <w:tcBorders>
              <w:top w:val="nil"/>
              <w:left w:val="nil"/>
              <w:bottom w:val="nil"/>
              <w:right w:val="nil"/>
            </w:tcBorders>
            <w:vAlign w:val="bottom"/>
          </w:tcPr>
          <w:p w14:paraId="309BF7D4" w14:textId="77777777" w:rsidR="002E7102" w:rsidRPr="004775A2" w:rsidRDefault="002E7102" w:rsidP="00E12A58">
            <w:pPr>
              <w:jc w:val="right"/>
              <w:rPr>
                <w:rFonts w:ascii="Arial" w:hAnsi="Arial" w:cs="Arial"/>
                <w:sz w:val="17"/>
                <w:szCs w:val="17"/>
              </w:rPr>
            </w:pPr>
            <w:r w:rsidRPr="004775A2">
              <w:rPr>
                <w:rFonts w:ascii="Arial" w:hAnsi="Arial" w:cs="Arial"/>
                <w:sz w:val="17"/>
                <w:szCs w:val="17"/>
              </w:rPr>
              <w:t>-</w:t>
            </w:r>
          </w:p>
        </w:tc>
        <w:tc>
          <w:tcPr>
            <w:tcW w:w="1077" w:type="dxa"/>
            <w:tcBorders>
              <w:top w:val="nil"/>
              <w:left w:val="nil"/>
              <w:bottom w:val="nil"/>
              <w:right w:val="nil"/>
            </w:tcBorders>
            <w:shd w:val="clear" w:color="auto" w:fill="auto"/>
            <w:noWrap/>
            <w:vAlign w:val="bottom"/>
          </w:tcPr>
          <w:p w14:paraId="6A7F52F5" w14:textId="77777777" w:rsidR="002E7102" w:rsidRPr="004775A2" w:rsidRDefault="002E7102" w:rsidP="00E12A58">
            <w:pPr>
              <w:jc w:val="right"/>
              <w:rPr>
                <w:rFonts w:ascii="Arial" w:hAnsi="Arial" w:cs="Arial"/>
                <w:sz w:val="17"/>
                <w:szCs w:val="17"/>
              </w:rPr>
            </w:pPr>
            <w:r w:rsidRPr="004775A2">
              <w:rPr>
                <w:rFonts w:ascii="Arial" w:hAnsi="Arial" w:cs="Arial"/>
                <w:sz w:val="17"/>
                <w:szCs w:val="17"/>
              </w:rPr>
              <w:t xml:space="preserve"> (440)</w:t>
            </w:r>
          </w:p>
        </w:tc>
        <w:tc>
          <w:tcPr>
            <w:tcW w:w="1247" w:type="dxa"/>
            <w:tcBorders>
              <w:top w:val="nil"/>
              <w:left w:val="nil"/>
              <w:bottom w:val="nil"/>
              <w:right w:val="nil"/>
            </w:tcBorders>
            <w:vAlign w:val="bottom"/>
          </w:tcPr>
          <w:p w14:paraId="319E8421" w14:textId="77777777" w:rsidR="002E7102" w:rsidRPr="004775A2" w:rsidRDefault="002E7102" w:rsidP="00E12A58">
            <w:pPr>
              <w:jc w:val="right"/>
              <w:rPr>
                <w:rFonts w:ascii="Arial" w:hAnsi="Arial" w:cs="Arial"/>
                <w:sz w:val="17"/>
                <w:szCs w:val="17"/>
              </w:rPr>
            </w:pPr>
            <w:r w:rsidRPr="004775A2">
              <w:rPr>
                <w:rFonts w:ascii="Arial" w:hAnsi="Arial" w:cs="Arial"/>
                <w:sz w:val="17"/>
                <w:szCs w:val="17"/>
              </w:rPr>
              <w:t xml:space="preserve"> - </w:t>
            </w:r>
          </w:p>
        </w:tc>
        <w:tc>
          <w:tcPr>
            <w:tcW w:w="1077" w:type="dxa"/>
            <w:tcBorders>
              <w:top w:val="nil"/>
              <w:left w:val="nil"/>
              <w:bottom w:val="nil"/>
              <w:right w:val="nil"/>
            </w:tcBorders>
            <w:shd w:val="clear" w:color="auto" w:fill="auto"/>
            <w:noWrap/>
            <w:vAlign w:val="bottom"/>
          </w:tcPr>
          <w:p w14:paraId="293FBAE2" w14:textId="77777777" w:rsidR="002E7102" w:rsidRPr="004775A2" w:rsidRDefault="002E7102" w:rsidP="00E12A58">
            <w:pPr>
              <w:jc w:val="right"/>
              <w:rPr>
                <w:rFonts w:ascii="Arial" w:hAnsi="Arial" w:cs="Arial"/>
                <w:b/>
                <w:bCs/>
                <w:sz w:val="17"/>
                <w:szCs w:val="17"/>
              </w:rPr>
            </w:pPr>
            <w:r w:rsidRPr="004775A2">
              <w:rPr>
                <w:rFonts w:ascii="Arial" w:hAnsi="Arial" w:cs="Arial"/>
                <w:b/>
                <w:bCs/>
                <w:sz w:val="17"/>
                <w:szCs w:val="17"/>
              </w:rPr>
              <w:t xml:space="preserve"> (14.637)</w:t>
            </w:r>
          </w:p>
        </w:tc>
      </w:tr>
      <w:tr w:rsidR="002E7102" w:rsidRPr="004775A2" w14:paraId="101BD87D" w14:textId="77777777" w:rsidTr="00873D32">
        <w:trPr>
          <w:trHeight w:val="355"/>
        </w:trPr>
        <w:tc>
          <w:tcPr>
            <w:tcW w:w="1797" w:type="dxa"/>
            <w:tcBorders>
              <w:top w:val="nil"/>
              <w:left w:val="nil"/>
              <w:bottom w:val="nil"/>
              <w:right w:val="nil"/>
            </w:tcBorders>
            <w:shd w:val="clear" w:color="auto" w:fill="auto"/>
            <w:noWrap/>
            <w:vAlign w:val="bottom"/>
            <w:hideMark/>
          </w:tcPr>
          <w:p w14:paraId="1E86618C" w14:textId="77777777" w:rsidR="002E7102" w:rsidRPr="004775A2" w:rsidRDefault="002E7102" w:rsidP="00E12A58">
            <w:pPr>
              <w:rPr>
                <w:rFonts w:ascii="Arial" w:hAnsi="Arial" w:cs="Arial"/>
                <w:b/>
                <w:bCs/>
                <w:color w:val="000000" w:themeColor="text1"/>
                <w:sz w:val="17"/>
                <w:szCs w:val="17"/>
              </w:rPr>
            </w:pPr>
            <w:r w:rsidRPr="004775A2">
              <w:rPr>
                <w:rFonts w:ascii="Arial" w:hAnsi="Arial" w:cs="Arial"/>
                <w:b/>
                <w:bCs/>
                <w:color w:val="000000" w:themeColor="text1"/>
                <w:sz w:val="17"/>
                <w:szCs w:val="17"/>
              </w:rPr>
              <w:t xml:space="preserve">Stanje na dan </w:t>
            </w:r>
          </w:p>
          <w:p w14:paraId="2458ED5C" w14:textId="77777777" w:rsidR="002E7102" w:rsidRPr="004775A2" w:rsidRDefault="002E7102" w:rsidP="00E12A58">
            <w:pPr>
              <w:rPr>
                <w:rFonts w:ascii="Arial" w:hAnsi="Arial" w:cs="Arial"/>
                <w:b/>
                <w:bCs/>
                <w:color w:val="000000" w:themeColor="text1"/>
                <w:sz w:val="17"/>
                <w:szCs w:val="17"/>
              </w:rPr>
            </w:pPr>
            <w:r w:rsidRPr="004775A2">
              <w:rPr>
                <w:rFonts w:ascii="Arial" w:hAnsi="Arial" w:cs="Arial"/>
                <w:b/>
                <w:bCs/>
                <w:color w:val="000000" w:themeColor="text1"/>
                <w:sz w:val="17"/>
                <w:szCs w:val="17"/>
              </w:rPr>
              <w:t xml:space="preserve">31. prosinca 2023.    </w:t>
            </w:r>
          </w:p>
        </w:tc>
        <w:tc>
          <w:tcPr>
            <w:tcW w:w="1077" w:type="dxa"/>
            <w:tcBorders>
              <w:top w:val="single" w:sz="4" w:space="0" w:color="auto"/>
              <w:left w:val="nil"/>
              <w:bottom w:val="single" w:sz="8" w:space="0" w:color="auto"/>
              <w:right w:val="nil"/>
            </w:tcBorders>
            <w:shd w:val="clear" w:color="auto" w:fill="auto"/>
            <w:vAlign w:val="bottom"/>
          </w:tcPr>
          <w:p w14:paraId="0296B06D" w14:textId="77777777" w:rsidR="002E7102" w:rsidRPr="004775A2" w:rsidRDefault="002E7102" w:rsidP="00E12A58">
            <w:pPr>
              <w:jc w:val="right"/>
              <w:rPr>
                <w:rFonts w:ascii="Arial" w:hAnsi="Arial" w:cs="Arial"/>
                <w:b/>
                <w:bCs/>
                <w:sz w:val="17"/>
                <w:szCs w:val="17"/>
              </w:rPr>
            </w:pPr>
            <w:r w:rsidRPr="004775A2">
              <w:rPr>
                <w:rFonts w:ascii="Arial" w:hAnsi="Arial" w:cs="Arial"/>
                <w:b/>
                <w:bCs/>
                <w:sz w:val="17"/>
                <w:szCs w:val="17"/>
              </w:rPr>
              <w:t xml:space="preserve"> 441.665 </w:t>
            </w:r>
          </w:p>
        </w:tc>
        <w:tc>
          <w:tcPr>
            <w:tcW w:w="1077" w:type="dxa"/>
            <w:tcBorders>
              <w:top w:val="single" w:sz="4" w:space="0" w:color="auto"/>
              <w:left w:val="nil"/>
              <w:bottom w:val="single" w:sz="8" w:space="0" w:color="auto"/>
              <w:right w:val="nil"/>
            </w:tcBorders>
            <w:shd w:val="clear" w:color="auto" w:fill="auto"/>
            <w:vAlign w:val="bottom"/>
          </w:tcPr>
          <w:p w14:paraId="69FAFC71" w14:textId="77777777" w:rsidR="002E7102" w:rsidRPr="004775A2" w:rsidRDefault="002E7102" w:rsidP="00E12A58">
            <w:pPr>
              <w:jc w:val="right"/>
              <w:rPr>
                <w:rFonts w:ascii="Arial" w:hAnsi="Arial" w:cs="Arial"/>
                <w:b/>
                <w:bCs/>
                <w:sz w:val="17"/>
                <w:szCs w:val="17"/>
              </w:rPr>
            </w:pPr>
            <w:r w:rsidRPr="004775A2">
              <w:rPr>
                <w:rFonts w:ascii="Arial" w:hAnsi="Arial" w:cs="Arial"/>
                <w:b/>
                <w:bCs/>
                <w:sz w:val="17"/>
                <w:szCs w:val="17"/>
              </w:rPr>
              <w:t xml:space="preserve"> 16.296 </w:t>
            </w:r>
          </w:p>
        </w:tc>
        <w:tc>
          <w:tcPr>
            <w:tcW w:w="1152" w:type="dxa"/>
            <w:tcBorders>
              <w:top w:val="single" w:sz="4" w:space="0" w:color="auto"/>
              <w:left w:val="nil"/>
              <w:bottom w:val="single" w:sz="8" w:space="0" w:color="auto"/>
              <w:right w:val="nil"/>
            </w:tcBorders>
            <w:shd w:val="clear" w:color="auto" w:fill="auto"/>
            <w:vAlign w:val="bottom"/>
          </w:tcPr>
          <w:p w14:paraId="5CB379C1" w14:textId="77777777" w:rsidR="002E7102" w:rsidRPr="004775A2" w:rsidRDefault="002E7102" w:rsidP="00E12A58">
            <w:pPr>
              <w:jc w:val="right"/>
              <w:rPr>
                <w:rFonts w:ascii="Arial" w:hAnsi="Arial" w:cs="Arial"/>
                <w:b/>
                <w:bCs/>
                <w:sz w:val="17"/>
                <w:szCs w:val="17"/>
              </w:rPr>
            </w:pPr>
            <w:r w:rsidRPr="004775A2">
              <w:rPr>
                <w:rFonts w:ascii="Arial" w:hAnsi="Arial" w:cs="Arial"/>
                <w:b/>
                <w:bCs/>
                <w:sz w:val="17"/>
                <w:szCs w:val="17"/>
              </w:rPr>
              <w:t xml:space="preserve"> 20.440 </w:t>
            </w:r>
          </w:p>
        </w:tc>
        <w:tc>
          <w:tcPr>
            <w:tcW w:w="1002" w:type="dxa"/>
            <w:tcBorders>
              <w:top w:val="single" w:sz="4" w:space="0" w:color="auto"/>
              <w:left w:val="nil"/>
              <w:bottom w:val="single" w:sz="8" w:space="0" w:color="auto"/>
              <w:right w:val="nil"/>
            </w:tcBorders>
            <w:vAlign w:val="bottom"/>
          </w:tcPr>
          <w:p w14:paraId="6C52D7DF" w14:textId="77777777" w:rsidR="002E7102" w:rsidRPr="004775A2" w:rsidRDefault="002E7102" w:rsidP="00E12A58">
            <w:pPr>
              <w:jc w:val="right"/>
              <w:rPr>
                <w:rFonts w:ascii="Arial" w:hAnsi="Arial" w:cs="Arial"/>
                <w:b/>
                <w:bCs/>
                <w:sz w:val="17"/>
                <w:szCs w:val="17"/>
              </w:rPr>
            </w:pPr>
            <w:r w:rsidRPr="004775A2">
              <w:rPr>
                <w:rFonts w:ascii="Arial" w:hAnsi="Arial" w:cs="Arial"/>
                <w:b/>
                <w:bCs/>
                <w:sz w:val="17"/>
                <w:szCs w:val="17"/>
              </w:rPr>
              <w:t>-</w:t>
            </w:r>
          </w:p>
        </w:tc>
        <w:tc>
          <w:tcPr>
            <w:tcW w:w="1077" w:type="dxa"/>
            <w:tcBorders>
              <w:top w:val="single" w:sz="4" w:space="0" w:color="auto"/>
              <w:left w:val="nil"/>
              <w:bottom w:val="single" w:sz="8" w:space="0" w:color="auto"/>
              <w:right w:val="nil"/>
            </w:tcBorders>
            <w:shd w:val="clear" w:color="auto" w:fill="auto"/>
            <w:vAlign w:val="bottom"/>
          </w:tcPr>
          <w:p w14:paraId="41308265" w14:textId="77777777" w:rsidR="002E7102" w:rsidRPr="004775A2" w:rsidRDefault="002E7102" w:rsidP="00E12A58">
            <w:pPr>
              <w:jc w:val="right"/>
              <w:rPr>
                <w:rFonts w:ascii="Arial" w:hAnsi="Arial" w:cs="Arial"/>
                <w:b/>
                <w:bCs/>
                <w:sz w:val="17"/>
                <w:szCs w:val="17"/>
              </w:rPr>
            </w:pPr>
            <w:r w:rsidRPr="004775A2">
              <w:rPr>
                <w:rFonts w:ascii="Arial" w:hAnsi="Arial" w:cs="Arial"/>
                <w:b/>
                <w:bCs/>
                <w:sz w:val="17"/>
                <w:szCs w:val="17"/>
              </w:rPr>
              <w:t xml:space="preserve"> 12.574 </w:t>
            </w:r>
          </w:p>
        </w:tc>
        <w:tc>
          <w:tcPr>
            <w:tcW w:w="1247" w:type="dxa"/>
            <w:tcBorders>
              <w:top w:val="single" w:sz="4" w:space="0" w:color="auto"/>
              <w:left w:val="nil"/>
              <w:bottom w:val="single" w:sz="8" w:space="0" w:color="auto"/>
              <w:right w:val="nil"/>
            </w:tcBorders>
            <w:vAlign w:val="bottom"/>
          </w:tcPr>
          <w:p w14:paraId="7D07243F" w14:textId="77777777" w:rsidR="002E7102" w:rsidRPr="004775A2" w:rsidRDefault="002E7102" w:rsidP="00E12A58">
            <w:pPr>
              <w:jc w:val="right"/>
              <w:rPr>
                <w:rFonts w:ascii="Arial" w:hAnsi="Arial" w:cs="Arial"/>
                <w:b/>
                <w:bCs/>
                <w:sz w:val="17"/>
                <w:szCs w:val="17"/>
              </w:rPr>
            </w:pPr>
            <w:r w:rsidRPr="004775A2">
              <w:rPr>
                <w:rFonts w:ascii="Arial" w:hAnsi="Arial" w:cs="Arial"/>
                <w:b/>
                <w:bCs/>
                <w:sz w:val="17"/>
                <w:szCs w:val="17"/>
              </w:rPr>
              <w:t xml:space="preserve"> - </w:t>
            </w:r>
          </w:p>
        </w:tc>
        <w:tc>
          <w:tcPr>
            <w:tcW w:w="1077" w:type="dxa"/>
            <w:tcBorders>
              <w:top w:val="single" w:sz="4" w:space="0" w:color="auto"/>
              <w:left w:val="nil"/>
              <w:bottom w:val="single" w:sz="8" w:space="0" w:color="auto"/>
              <w:right w:val="nil"/>
            </w:tcBorders>
            <w:shd w:val="clear" w:color="auto" w:fill="auto"/>
            <w:vAlign w:val="bottom"/>
          </w:tcPr>
          <w:p w14:paraId="160670A3" w14:textId="77777777" w:rsidR="002E7102" w:rsidRPr="004775A2" w:rsidRDefault="002E7102" w:rsidP="00E12A58">
            <w:pPr>
              <w:jc w:val="right"/>
              <w:rPr>
                <w:rFonts w:ascii="Arial" w:hAnsi="Arial" w:cs="Arial"/>
                <w:b/>
                <w:bCs/>
                <w:sz w:val="17"/>
                <w:szCs w:val="17"/>
              </w:rPr>
            </w:pPr>
            <w:r w:rsidRPr="004775A2">
              <w:rPr>
                <w:rFonts w:ascii="Arial" w:hAnsi="Arial" w:cs="Arial"/>
                <w:b/>
                <w:bCs/>
                <w:sz w:val="17"/>
                <w:szCs w:val="17"/>
              </w:rPr>
              <w:t xml:space="preserve"> 490.975 </w:t>
            </w:r>
          </w:p>
        </w:tc>
      </w:tr>
    </w:tbl>
    <w:p w14:paraId="62A1688E" w14:textId="77777777" w:rsidR="00994783" w:rsidRPr="003D1614" w:rsidRDefault="00994783" w:rsidP="00994783">
      <w:pPr>
        <w:suppressAutoHyphens/>
        <w:autoSpaceDN w:val="0"/>
        <w:jc w:val="both"/>
        <w:outlineLvl w:val="0"/>
        <w:rPr>
          <w:rFonts w:ascii="Arial" w:eastAsia="Times New Roman" w:hAnsi="Arial" w:cs="Arial"/>
          <w:color w:val="000000" w:themeColor="text1"/>
          <w:sz w:val="20"/>
          <w:szCs w:val="20"/>
        </w:rPr>
      </w:pPr>
    </w:p>
    <w:p w14:paraId="22D4F353" w14:textId="5E877873" w:rsidR="0064018A" w:rsidRPr="00E456DF" w:rsidRDefault="0064018A" w:rsidP="00994783">
      <w:pPr>
        <w:suppressAutoHyphens/>
        <w:autoSpaceDN w:val="0"/>
        <w:jc w:val="both"/>
        <w:outlineLvl w:val="0"/>
        <w:rPr>
          <w:rFonts w:ascii="Arial" w:eastAsia="Times New Roman" w:hAnsi="Arial" w:cs="Arial"/>
          <w:b/>
          <w:bCs/>
          <w:color w:val="FF0000"/>
          <w:sz w:val="20"/>
          <w:szCs w:val="20"/>
        </w:rPr>
      </w:pPr>
    </w:p>
    <w:p w14:paraId="34BE7326" w14:textId="77777777" w:rsidR="0064018A" w:rsidRPr="003D1614" w:rsidRDefault="0064018A" w:rsidP="00994783">
      <w:pPr>
        <w:suppressAutoHyphens/>
        <w:autoSpaceDN w:val="0"/>
        <w:jc w:val="both"/>
        <w:outlineLvl w:val="0"/>
        <w:rPr>
          <w:rFonts w:ascii="Arial" w:eastAsia="Times New Roman" w:hAnsi="Arial" w:cs="Arial"/>
          <w:color w:val="000000" w:themeColor="text1"/>
          <w:sz w:val="20"/>
          <w:szCs w:val="20"/>
        </w:rPr>
        <w:sectPr w:rsidR="0064018A" w:rsidRPr="003D1614">
          <w:pgSz w:w="11906" w:h="16838"/>
          <w:pgMar w:top="1417" w:right="1417" w:bottom="1417" w:left="1417" w:header="708" w:footer="708" w:gutter="0"/>
          <w:cols w:space="708"/>
          <w:docGrid w:linePitch="360"/>
        </w:sectPr>
      </w:pPr>
    </w:p>
    <w:p w14:paraId="0EED2B4B" w14:textId="77777777" w:rsidR="0064018A" w:rsidRPr="003D1614" w:rsidRDefault="0064018A" w:rsidP="0064018A">
      <w:pPr>
        <w:keepNext/>
        <w:suppressAutoHyphens/>
        <w:autoSpaceDN w:val="0"/>
        <w:jc w:val="both"/>
        <w:outlineLvl w:val="0"/>
        <w:rPr>
          <w:rFonts w:ascii="Arial" w:eastAsia="Times New Roman" w:hAnsi="Arial" w:cs="Arial"/>
          <w:b/>
          <w:bCs/>
          <w:color w:val="000000" w:themeColor="text1"/>
          <w:sz w:val="20"/>
          <w:szCs w:val="20"/>
        </w:rPr>
      </w:pPr>
    </w:p>
    <w:p w14:paraId="3BA29245" w14:textId="2EBBC2DB" w:rsidR="0064018A" w:rsidRPr="003D1614" w:rsidRDefault="0064018A" w:rsidP="0064018A">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1</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Garancije i preuzete obveze (nastavak)</w:t>
      </w:r>
    </w:p>
    <w:p w14:paraId="66D2397B" w14:textId="77777777" w:rsidR="0064018A" w:rsidRPr="003D1614" w:rsidRDefault="0064018A" w:rsidP="0064018A">
      <w:pPr>
        <w:suppressAutoHyphens/>
        <w:autoSpaceDN w:val="0"/>
        <w:jc w:val="both"/>
        <w:outlineLvl w:val="0"/>
        <w:rPr>
          <w:rFonts w:ascii="Arial" w:eastAsia="Times New Roman" w:hAnsi="Arial" w:cs="Arial"/>
          <w:i/>
          <w:color w:val="000000" w:themeColor="text1"/>
          <w:sz w:val="20"/>
          <w:szCs w:val="20"/>
        </w:rPr>
      </w:pPr>
    </w:p>
    <w:p w14:paraId="29F40A69" w14:textId="77777777" w:rsidR="0064018A" w:rsidRPr="003D1614" w:rsidRDefault="0064018A" w:rsidP="0064018A">
      <w:pPr>
        <w:suppressAutoHyphens/>
        <w:autoSpaceDN w:val="0"/>
        <w:jc w:val="both"/>
        <w:outlineLvl w:val="0"/>
        <w:rPr>
          <w:rFonts w:ascii="Arial" w:eastAsia="Times New Roman" w:hAnsi="Arial" w:cs="Arial"/>
          <w:i/>
          <w:color w:val="000000" w:themeColor="text1"/>
          <w:sz w:val="20"/>
          <w:szCs w:val="20"/>
        </w:rPr>
      </w:pPr>
      <w:r w:rsidRPr="003D1614">
        <w:rPr>
          <w:rFonts w:ascii="Arial" w:eastAsia="Times New Roman" w:hAnsi="Arial" w:cs="Arial"/>
          <w:i/>
          <w:color w:val="000000" w:themeColor="text1"/>
          <w:sz w:val="20"/>
          <w:szCs w:val="20"/>
        </w:rPr>
        <w:t>Garancije</w:t>
      </w:r>
    </w:p>
    <w:p w14:paraId="1240391C" w14:textId="77777777" w:rsidR="0064018A" w:rsidRPr="003D1614" w:rsidRDefault="0064018A" w:rsidP="0064018A">
      <w:pPr>
        <w:suppressAutoHyphens/>
        <w:autoSpaceDN w:val="0"/>
        <w:jc w:val="both"/>
        <w:outlineLvl w:val="0"/>
        <w:rPr>
          <w:rFonts w:ascii="Arial" w:eastAsia="Times New Roman" w:hAnsi="Arial" w:cs="Arial"/>
          <w:color w:val="000000" w:themeColor="text1"/>
          <w:sz w:val="20"/>
          <w:szCs w:val="20"/>
        </w:rPr>
      </w:pPr>
    </w:p>
    <w:p w14:paraId="44DBAE47" w14:textId="77777777" w:rsidR="0064018A" w:rsidRPr="003D1614" w:rsidRDefault="0064018A" w:rsidP="0064018A">
      <w:pPr>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Garancije i akreditivi predstavljaju obvezu Banke da izvrši plaćanja u ime klijenta u slučaju nemogućnosti klijenta da podmiri svoje obveze prema trećim stranama ili u slučaju nastanka određenih događaja, obično vezanih za izvoz i/ili uvoz dobara te za ostale ugovorene svrhe. Garancije i akreditivi nose isti kreditni rizik kao i krediti. </w:t>
      </w:r>
    </w:p>
    <w:p w14:paraId="3AB9C218" w14:textId="77777777" w:rsidR="0064018A" w:rsidRPr="003D1614" w:rsidRDefault="0064018A" w:rsidP="0064018A">
      <w:pPr>
        <w:suppressAutoHyphens/>
        <w:autoSpaceDN w:val="0"/>
        <w:jc w:val="both"/>
        <w:outlineLvl w:val="0"/>
        <w:rPr>
          <w:rFonts w:ascii="Arial" w:eastAsia="Times New Roman" w:hAnsi="Arial" w:cs="Arial"/>
          <w:bCs/>
          <w:color w:val="000000" w:themeColor="text1"/>
          <w:sz w:val="20"/>
          <w:szCs w:val="20"/>
        </w:rPr>
      </w:pPr>
    </w:p>
    <w:p w14:paraId="0357E691" w14:textId="2D427ECD" w:rsidR="0064018A" w:rsidRPr="003D1614" w:rsidRDefault="0064018A" w:rsidP="0064018A">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Garancije Banke s</w:t>
      </w:r>
      <w:r w:rsidRPr="00DC3EA5">
        <w:rPr>
          <w:rFonts w:ascii="Arial" w:eastAsia="Times New Roman" w:hAnsi="Arial" w:cs="Arial"/>
          <w:color w:val="000000" w:themeColor="text1"/>
          <w:sz w:val="20"/>
          <w:szCs w:val="20"/>
        </w:rPr>
        <w:t xml:space="preserve">u </w:t>
      </w:r>
      <w:r w:rsidR="00D06C57">
        <w:rPr>
          <w:rFonts w:ascii="Arial" w:eastAsia="Times New Roman" w:hAnsi="Arial" w:cs="Arial"/>
          <w:color w:val="000000" w:themeColor="text1"/>
          <w:sz w:val="20"/>
          <w:szCs w:val="20"/>
        </w:rPr>
        <w:t>4</w:t>
      </w:r>
      <w:r w:rsidRPr="003D1614">
        <w:rPr>
          <w:rFonts w:ascii="Arial" w:eastAsia="Times New Roman" w:hAnsi="Arial" w:cs="Arial"/>
          <w:color w:val="000000" w:themeColor="text1"/>
          <w:sz w:val="20"/>
          <w:szCs w:val="20"/>
        </w:rPr>
        <w:t xml:space="preserve">% pokrivene jamstvima, depozitima i bankarskim garancijama. </w:t>
      </w:r>
    </w:p>
    <w:p w14:paraId="5E3505F7" w14:textId="77777777" w:rsidR="0064018A" w:rsidRPr="003D1614" w:rsidRDefault="0064018A" w:rsidP="0064018A">
      <w:pPr>
        <w:suppressAutoHyphens/>
        <w:autoSpaceDN w:val="0"/>
        <w:jc w:val="both"/>
        <w:outlineLvl w:val="0"/>
        <w:rPr>
          <w:rFonts w:ascii="Arial" w:eastAsia="Times New Roman" w:hAnsi="Arial" w:cs="Arial"/>
          <w:color w:val="000000" w:themeColor="text1"/>
          <w:sz w:val="20"/>
          <w:szCs w:val="20"/>
        </w:rPr>
      </w:pPr>
    </w:p>
    <w:p w14:paraId="3332C4E6" w14:textId="77777777" w:rsidR="0064018A" w:rsidRPr="003D1614" w:rsidRDefault="0064018A" w:rsidP="0064018A">
      <w:pPr>
        <w:suppressAutoHyphens/>
        <w:autoSpaceDN w:val="0"/>
        <w:jc w:val="both"/>
        <w:outlineLvl w:val="0"/>
        <w:rPr>
          <w:rFonts w:ascii="Arial" w:eastAsia="Times New Roman" w:hAnsi="Arial" w:cs="Arial"/>
          <w:i/>
          <w:color w:val="000000" w:themeColor="text1"/>
          <w:sz w:val="20"/>
          <w:szCs w:val="20"/>
        </w:rPr>
      </w:pPr>
      <w:r w:rsidRPr="003D1614">
        <w:rPr>
          <w:rFonts w:ascii="Arial" w:eastAsia="Times New Roman" w:hAnsi="Arial" w:cs="Arial"/>
          <w:i/>
          <w:color w:val="000000" w:themeColor="text1"/>
          <w:sz w:val="20"/>
          <w:szCs w:val="20"/>
        </w:rPr>
        <w:t>Preuzete obveze po kreditima</w:t>
      </w:r>
    </w:p>
    <w:p w14:paraId="3DB8822C" w14:textId="77777777" w:rsidR="0064018A" w:rsidRPr="003D1614" w:rsidRDefault="0064018A" w:rsidP="0064018A">
      <w:pPr>
        <w:suppressAutoHyphens/>
        <w:autoSpaceDN w:val="0"/>
        <w:jc w:val="both"/>
        <w:outlineLvl w:val="0"/>
        <w:rPr>
          <w:rFonts w:ascii="Arial" w:eastAsia="Times New Roman" w:hAnsi="Arial" w:cs="Arial"/>
          <w:color w:val="000000" w:themeColor="text1"/>
          <w:sz w:val="20"/>
          <w:szCs w:val="20"/>
        </w:rPr>
      </w:pPr>
    </w:p>
    <w:p w14:paraId="6A66AAEC" w14:textId="77777777" w:rsidR="0064018A" w:rsidRPr="003D1614" w:rsidRDefault="0064018A" w:rsidP="0064018A">
      <w:pPr>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Po ugovorenim neiskorištenim kreditima, Banka je preuzela ugovornu obvezu za isplatom sredstava kredita i revolving kredita. Ugovorom je najčešće definiran krajnji datum korištenja kredita ili je navedena druga klauzula prestanka obveze. Korištenje ugovorenih sredstava obavlja se u nekoliko povlačenja u ovisnosti o namjeni kredita, fazi projekta ili isplatnoj dokumentaciji. Ukupni ugovoreni iznos kredita ne mora biti povučen zbog čega ukupan ugovoreni iznos ne predstavlja nužno buduće zahtjeve za isplatom.</w:t>
      </w:r>
    </w:p>
    <w:p w14:paraId="7FB810DF" w14:textId="77777777" w:rsidR="0064018A" w:rsidRPr="003D1614" w:rsidRDefault="0064018A" w:rsidP="0064018A">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Ugovoreni neiskorišteni krediti sadrže manji potencijalni kreditni rizik jer većina preuzetih obveza po kreditima ovisi o udovoljavanju posebnih kreditnih uvjeta za povlačenje sredstava od strane korisnika. </w:t>
      </w:r>
    </w:p>
    <w:p w14:paraId="536C45DA" w14:textId="77777777" w:rsidR="0064018A" w:rsidRPr="003D1614" w:rsidRDefault="0064018A" w:rsidP="0064018A">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Banka prati rokove dospijeća ugovorenih preuzetih obveza.  </w:t>
      </w:r>
    </w:p>
    <w:p w14:paraId="0E24CC4E" w14:textId="7F87F9EA" w:rsidR="0064018A" w:rsidRPr="003D1614" w:rsidRDefault="0064018A" w:rsidP="00994783">
      <w:pPr>
        <w:suppressAutoHyphens/>
        <w:autoSpaceDN w:val="0"/>
        <w:jc w:val="both"/>
        <w:outlineLvl w:val="0"/>
        <w:rPr>
          <w:rFonts w:ascii="Arial" w:eastAsia="Times New Roman" w:hAnsi="Arial" w:cs="Arial"/>
          <w:color w:val="000000" w:themeColor="text1"/>
          <w:sz w:val="20"/>
          <w:szCs w:val="20"/>
        </w:rPr>
      </w:pPr>
    </w:p>
    <w:p w14:paraId="66589D70" w14:textId="77777777" w:rsidR="0064018A" w:rsidRPr="003D1614" w:rsidRDefault="0064018A" w:rsidP="00994783">
      <w:pPr>
        <w:suppressAutoHyphens/>
        <w:autoSpaceDN w:val="0"/>
        <w:jc w:val="both"/>
        <w:outlineLvl w:val="0"/>
        <w:rPr>
          <w:rFonts w:ascii="Arial" w:eastAsia="Times New Roman" w:hAnsi="Arial" w:cs="Arial"/>
          <w:color w:val="000000" w:themeColor="text1"/>
          <w:sz w:val="20"/>
          <w:szCs w:val="20"/>
        </w:rPr>
        <w:sectPr w:rsidR="0064018A" w:rsidRPr="003D1614">
          <w:pgSz w:w="11906" w:h="16838"/>
          <w:pgMar w:top="1417" w:right="1417" w:bottom="1417" w:left="1417" w:header="708" w:footer="708" w:gutter="0"/>
          <w:cols w:space="708"/>
          <w:docGrid w:linePitch="360"/>
        </w:sectPr>
      </w:pPr>
    </w:p>
    <w:p w14:paraId="3698C2D4" w14:textId="77777777" w:rsidR="0064018A" w:rsidRPr="003D1614" w:rsidRDefault="0064018A" w:rsidP="0064018A">
      <w:pPr>
        <w:tabs>
          <w:tab w:val="left" w:pos="567"/>
        </w:tabs>
        <w:suppressAutoHyphens/>
        <w:autoSpaceDN w:val="0"/>
        <w:jc w:val="both"/>
        <w:outlineLvl w:val="0"/>
        <w:rPr>
          <w:rFonts w:ascii="Arial" w:eastAsia="Times New Roman" w:hAnsi="Arial" w:cs="Arial"/>
          <w:b/>
          <w:color w:val="000000" w:themeColor="text1"/>
          <w:sz w:val="20"/>
          <w:szCs w:val="20"/>
        </w:rPr>
      </w:pPr>
    </w:p>
    <w:p w14:paraId="1D7715DC" w14:textId="4DDD6132" w:rsidR="0064018A" w:rsidRPr="003D1614" w:rsidRDefault="0064018A" w:rsidP="0064018A">
      <w:pPr>
        <w:tabs>
          <w:tab w:val="left" w:pos="567"/>
        </w:tabs>
        <w:suppressAutoHyphens/>
        <w:autoSpaceDN w:val="0"/>
        <w:jc w:val="both"/>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2</w:t>
      </w:r>
      <w:r w:rsidRPr="003D1614">
        <w:rPr>
          <w:rFonts w:ascii="Arial" w:eastAsia="Times New Roman" w:hAnsi="Arial" w:cs="Arial"/>
          <w:b/>
          <w:color w:val="000000" w:themeColor="text1"/>
          <w:sz w:val="20"/>
          <w:szCs w:val="20"/>
        </w:rPr>
        <w:t>.</w:t>
      </w:r>
      <w:r w:rsidRPr="003D1614">
        <w:rPr>
          <w:rFonts w:ascii="Arial" w:eastAsia="Times New Roman" w:hAnsi="Arial" w:cs="Arial"/>
          <w:b/>
          <w:color w:val="000000" w:themeColor="text1"/>
          <w:sz w:val="20"/>
          <w:szCs w:val="20"/>
        </w:rPr>
        <w:tab/>
        <w:t>Transakcije s povezanim stranama</w:t>
      </w:r>
    </w:p>
    <w:p w14:paraId="7C8E6066" w14:textId="77777777" w:rsidR="0064018A" w:rsidRPr="003D1614" w:rsidRDefault="0064018A" w:rsidP="0064018A">
      <w:pPr>
        <w:suppressAutoHyphens/>
        <w:autoSpaceDN w:val="0"/>
        <w:jc w:val="both"/>
        <w:outlineLvl w:val="0"/>
        <w:rPr>
          <w:rFonts w:ascii="Arial" w:eastAsia="Times New Roman" w:hAnsi="Arial" w:cs="Arial"/>
          <w:b/>
          <w:color w:val="000000" w:themeColor="text1"/>
          <w:sz w:val="20"/>
          <w:szCs w:val="20"/>
        </w:rPr>
      </w:pPr>
    </w:p>
    <w:p w14:paraId="7D153431"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Povezane strane su društva koja izravno ili neizravno putem jednog ili više posrednika kontroliraju izvještajno društvo ili su pod njegovom kontrolom.</w:t>
      </w:r>
    </w:p>
    <w:p w14:paraId="318047D8"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p>
    <w:p w14:paraId="2150EFAE"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Najveći dio transakcija s povezanim stranama čine transakcije s Republikom Hrvatskom, 100%-</w:t>
      </w:r>
      <w:proofErr w:type="spellStart"/>
      <w:r w:rsidRPr="003D1614">
        <w:rPr>
          <w:rFonts w:ascii="Arial" w:eastAsia="Times New Roman" w:hAnsi="Arial" w:cs="Arial"/>
          <w:bCs/>
          <w:color w:val="000000" w:themeColor="text1"/>
          <w:sz w:val="20"/>
          <w:szCs w:val="20"/>
        </w:rPr>
        <w:t>tnim</w:t>
      </w:r>
      <w:proofErr w:type="spellEnd"/>
      <w:r w:rsidRPr="003D1614">
        <w:rPr>
          <w:rFonts w:ascii="Arial" w:eastAsia="Times New Roman" w:hAnsi="Arial" w:cs="Arial"/>
          <w:bCs/>
          <w:color w:val="000000" w:themeColor="text1"/>
          <w:sz w:val="20"/>
          <w:szCs w:val="20"/>
        </w:rPr>
        <w:t xml:space="preserve"> vlasnikom Banke i državnim trgovačkim društvima nad kojima Republika Hrvatska ima kontrolni utjecaj.</w:t>
      </w:r>
    </w:p>
    <w:p w14:paraId="3907A141"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p>
    <w:p w14:paraId="74C2198B"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Sve iskazane transakcije obavljene su po uobičajenim/redovnim uvjetima Banke. </w:t>
      </w:r>
    </w:p>
    <w:p w14:paraId="555AEF04"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p>
    <w:p w14:paraId="1C9060AB" w14:textId="41C6F7DB"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Na dan 31. ožujka 202</w:t>
      </w:r>
      <w:r w:rsidR="00E456DF">
        <w:rPr>
          <w:rFonts w:ascii="Arial" w:eastAsia="Times New Roman" w:hAnsi="Arial" w:cs="Arial"/>
          <w:bCs/>
          <w:color w:val="000000" w:themeColor="text1"/>
          <w:sz w:val="20"/>
          <w:szCs w:val="20"/>
        </w:rPr>
        <w:t>4</w:t>
      </w:r>
      <w:r w:rsidRPr="003D1614">
        <w:rPr>
          <w:rFonts w:ascii="Arial" w:eastAsia="Times New Roman" w:hAnsi="Arial" w:cs="Arial"/>
          <w:bCs/>
          <w:color w:val="000000" w:themeColor="text1"/>
          <w:sz w:val="20"/>
          <w:szCs w:val="20"/>
        </w:rPr>
        <w:t>. i 31. prosinca 202</w:t>
      </w:r>
      <w:r w:rsidR="00E456DF">
        <w:rPr>
          <w:rFonts w:ascii="Arial" w:eastAsia="Times New Roman" w:hAnsi="Arial" w:cs="Arial"/>
          <w:bCs/>
          <w:color w:val="000000" w:themeColor="text1"/>
          <w:sz w:val="20"/>
          <w:szCs w:val="20"/>
        </w:rPr>
        <w:t>3</w:t>
      </w:r>
      <w:r w:rsidRPr="003D1614">
        <w:rPr>
          <w:rFonts w:ascii="Arial" w:eastAsia="Times New Roman" w:hAnsi="Arial" w:cs="Arial"/>
          <w:bCs/>
          <w:color w:val="000000" w:themeColor="text1"/>
          <w:sz w:val="20"/>
          <w:szCs w:val="20"/>
        </w:rPr>
        <w:t xml:space="preserve">., stanja koja proizlaze iz transakcija s povezanim stranama, uključujući ključne članove rukovodstva, obuhvaćaju sljedeće: </w:t>
      </w:r>
    </w:p>
    <w:p w14:paraId="69D94F65"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p>
    <w:p w14:paraId="50C7B646" w14:textId="77777777" w:rsidR="0064018A" w:rsidRPr="003D1614" w:rsidRDefault="0064018A" w:rsidP="0064018A">
      <w:pPr>
        <w:keepNext/>
        <w:numPr>
          <w:ilvl w:val="0"/>
          <w:numId w:val="8"/>
        </w:numPr>
        <w:suppressAutoHyphens/>
        <w:autoSpaceDN w:val="0"/>
        <w:ind w:left="567" w:hanging="567"/>
        <w:jc w:val="both"/>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Transakcije s povezanim stranama</w:t>
      </w:r>
    </w:p>
    <w:p w14:paraId="18A87A71" w14:textId="77777777" w:rsidR="0064018A" w:rsidRPr="003D1614" w:rsidRDefault="0064018A" w:rsidP="0064018A">
      <w:pPr>
        <w:keepNext/>
        <w:suppressAutoHyphens/>
        <w:autoSpaceDN w:val="0"/>
        <w:ind w:left="357"/>
        <w:jc w:val="both"/>
        <w:outlineLvl w:val="0"/>
        <w:rPr>
          <w:rFonts w:ascii="Arial" w:eastAsia="Times New Roman" w:hAnsi="Arial" w:cs="Arial"/>
          <w:bCs/>
          <w:color w:val="000000" w:themeColor="text1"/>
          <w:sz w:val="20"/>
          <w:szCs w:val="20"/>
        </w:rPr>
      </w:pPr>
    </w:p>
    <w:p w14:paraId="126E00D1" w14:textId="77777777" w:rsidR="0064018A" w:rsidRPr="003D1614" w:rsidRDefault="0064018A" w:rsidP="0064018A">
      <w:pPr>
        <w:keepNext/>
        <w:suppressAutoHyphens/>
        <w:autoSpaceDN w:val="0"/>
        <w:ind w:left="357"/>
        <w:jc w:val="both"/>
        <w:outlineLvl w:val="0"/>
        <w:rPr>
          <w:rFonts w:ascii="Arial" w:eastAsia="Times New Roman" w:hAnsi="Arial" w:cs="Arial"/>
          <w:bCs/>
          <w:color w:val="000000" w:themeColor="text1"/>
          <w:sz w:val="20"/>
          <w:szCs w:val="20"/>
        </w:rPr>
      </w:pPr>
    </w:p>
    <w:tbl>
      <w:tblPr>
        <w:tblW w:w="4886" w:type="pct"/>
        <w:jc w:val="center"/>
        <w:tblLayout w:type="fixed"/>
        <w:tblCellMar>
          <w:left w:w="113" w:type="dxa"/>
          <w:right w:w="85" w:type="dxa"/>
        </w:tblCellMar>
        <w:tblLook w:val="00A0" w:firstRow="1" w:lastRow="0" w:firstColumn="1" w:lastColumn="0" w:noHBand="0" w:noVBand="0"/>
      </w:tblPr>
      <w:tblGrid>
        <w:gridCol w:w="3639"/>
        <w:gridCol w:w="1305"/>
        <w:gridCol w:w="1304"/>
        <w:gridCol w:w="1302"/>
        <w:gridCol w:w="6"/>
        <w:gridCol w:w="1309"/>
      </w:tblGrid>
      <w:tr w:rsidR="00252822" w:rsidRPr="00A3297B" w14:paraId="7F53732E" w14:textId="77777777" w:rsidTr="00422DD5">
        <w:trPr>
          <w:trHeight w:hRule="exact" w:val="284"/>
          <w:jc w:val="center"/>
        </w:trPr>
        <w:tc>
          <w:tcPr>
            <w:tcW w:w="3639" w:type="dxa"/>
            <w:vAlign w:val="bottom"/>
          </w:tcPr>
          <w:p w14:paraId="2EB8B963" w14:textId="77777777" w:rsidR="00252822" w:rsidRPr="00A3297B" w:rsidRDefault="00252822" w:rsidP="00422DD5">
            <w:pPr>
              <w:tabs>
                <w:tab w:val="right" w:pos="1202"/>
              </w:tabs>
              <w:suppressAutoHyphens/>
              <w:autoSpaceDN w:val="0"/>
              <w:outlineLvl w:val="0"/>
              <w:rPr>
                <w:rFonts w:ascii="Arial" w:eastAsia="Calibri" w:hAnsi="Arial" w:cs="Arial"/>
                <w:color w:val="000000" w:themeColor="text1"/>
                <w:sz w:val="18"/>
                <w:szCs w:val="18"/>
              </w:rPr>
            </w:pPr>
            <w:bookmarkStart w:id="510" w:name="_Toc67328969"/>
            <w:r w:rsidRPr="00A3297B">
              <w:rPr>
                <w:rFonts w:ascii="Arial" w:eastAsia="Calibri" w:hAnsi="Arial" w:cs="Arial"/>
                <w:b/>
                <w:color w:val="000000" w:themeColor="text1"/>
                <w:sz w:val="18"/>
                <w:szCs w:val="18"/>
              </w:rPr>
              <w:t>Grupa</w:t>
            </w:r>
            <w:bookmarkEnd w:id="510"/>
          </w:p>
        </w:tc>
        <w:tc>
          <w:tcPr>
            <w:tcW w:w="1305" w:type="dxa"/>
            <w:vAlign w:val="bottom"/>
          </w:tcPr>
          <w:p w14:paraId="7FACE480" w14:textId="77777777" w:rsidR="00252822" w:rsidRPr="00A3297B" w:rsidRDefault="00252822"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511" w:name="_Toc67328970"/>
            <w:r w:rsidRPr="00A3297B">
              <w:rPr>
                <w:rFonts w:ascii="Arial" w:eastAsia="Calibri" w:hAnsi="Arial" w:cs="Arial"/>
                <w:b/>
                <w:bCs/>
                <w:iCs/>
                <w:color w:val="000000" w:themeColor="text1"/>
                <w:sz w:val="18"/>
                <w:szCs w:val="18"/>
              </w:rPr>
              <w:t>Izloženost</w:t>
            </w:r>
            <w:bookmarkEnd w:id="511"/>
          </w:p>
        </w:tc>
        <w:tc>
          <w:tcPr>
            <w:tcW w:w="1304" w:type="dxa"/>
            <w:vAlign w:val="bottom"/>
          </w:tcPr>
          <w:p w14:paraId="26C70507" w14:textId="77777777" w:rsidR="00252822" w:rsidRPr="00A3297B" w:rsidRDefault="00252822"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512" w:name="_Toc67328971"/>
            <w:r w:rsidRPr="00A3297B">
              <w:rPr>
                <w:rFonts w:ascii="Arial" w:eastAsia="Calibri" w:hAnsi="Arial" w:cs="Arial"/>
                <w:b/>
                <w:bCs/>
                <w:iCs/>
                <w:color w:val="000000" w:themeColor="text1"/>
                <w:sz w:val="18"/>
                <w:szCs w:val="18"/>
              </w:rPr>
              <w:t>Obveze</w:t>
            </w:r>
            <w:bookmarkEnd w:id="512"/>
          </w:p>
        </w:tc>
        <w:tc>
          <w:tcPr>
            <w:tcW w:w="1308" w:type="dxa"/>
            <w:gridSpan w:val="2"/>
            <w:vAlign w:val="bottom"/>
          </w:tcPr>
          <w:p w14:paraId="3C18A134" w14:textId="77777777" w:rsidR="00252822" w:rsidRPr="00A3297B" w:rsidRDefault="00252822"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513" w:name="_Toc67328972"/>
            <w:r w:rsidRPr="00A3297B">
              <w:rPr>
                <w:rFonts w:ascii="Arial" w:eastAsia="Calibri" w:hAnsi="Arial" w:cs="Arial"/>
                <w:b/>
                <w:bCs/>
                <w:iCs/>
                <w:color w:val="000000" w:themeColor="text1"/>
                <w:sz w:val="18"/>
                <w:szCs w:val="18"/>
              </w:rPr>
              <w:t>Izloženost</w:t>
            </w:r>
            <w:bookmarkEnd w:id="513"/>
          </w:p>
        </w:tc>
        <w:tc>
          <w:tcPr>
            <w:tcW w:w="1309" w:type="dxa"/>
            <w:vAlign w:val="bottom"/>
          </w:tcPr>
          <w:p w14:paraId="17ED228E" w14:textId="77777777" w:rsidR="00252822" w:rsidRPr="00A3297B" w:rsidRDefault="00252822"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514" w:name="_Toc67328973"/>
            <w:r w:rsidRPr="00A3297B">
              <w:rPr>
                <w:rFonts w:ascii="Arial" w:eastAsia="Calibri" w:hAnsi="Arial" w:cs="Arial"/>
                <w:b/>
                <w:bCs/>
                <w:iCs/>
                <w:color w:val="000000" w:themeColor="text1"/>
                <w:sz w:val="18"/>
                <w:szCs w:val="18"/>
              </w:rPr>
              <w:t>Obveze</w:t>
            </w:r>
            <w:bookmarkEnd w:id="514"/>
          </w:p>
        </w:tc>
      </w:tr>
      <w:tr w:rsidR="00252822" w:rsidRPr="00A3297B" w14:paraId="07FBF4C6" w14:textId="77777777" w:rsidTr="00422DD5">
        <w:trPr>
          <w:trHeight w:hRule="exact" w:val="454"/>
          <w:jc w:val="center"/>
        </w:trPr>
        <w:tc>
          <w:tcPr>
            <w:tcW w:w="3639" w:type="dxa"/>
            <w:vAlign w:val="bottom"/>
          </w:tcPr>
          <w:p w14:paraId="3F76A47F" w14:textId="77777777" w:rsidR="00252822" w:rsidRPr="00A3297B" w:rsidRDefault="00252822" w:rsidP="00422DD5">
            <w:pPr>
              <w:tabs>
                <w:tab w:val="right" w:pos="1202"/>
              </w:tabs>
              <w:suppressAutoHyphens/>
              <w:autoSpaceDN w:val="0"/>
              <w:outlineLvl w:val="0"/>
              <w:rPr>
                <w:rFonts w:ascii="Arial" w:eastAsia="Calibri" w:hAnsi="Arial" w:cs="Arial"/>
                <w:color w:val="000000" w:themeColor="text1"/>
                <w:sz w:val="18"/>
                <w:szCs w:val="18"/>
              </w:rPr>
            </w:pPr>
          </w:p>
        </w:tc>
        <w:tc>
          <w:tcPr>
            <w:tcW w:w="1305" w:type="dxa"/>
            <w:vAlign w:val="bottom"/>
          </w:tcPr>
          <w:p w14:paraId="45916E7C" w14:textId="77777777" w:rsidR="00252822" w:rsidRPr="00A3297B" w:rsidRDefault="00252822"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515" w:name="_Toc67328974"/>
            <w:r w:rsidRPr="00A3297B">
              <w:rPr>
                <w:rFonts w:ascii="Arial" w:eastAsia="Calibri" w:hAnsi="Arial" w:cs="Arial"/>
                <w:b/>
                <w:bCs/>
                <w:iCs/>
                <w:color w:val="000000" w:themeColor="text1"/>
                <w:sz w:val="18"/>
                <w:szCs w:val="18"/>
              </w:rPr>
              <w:t>31. ožujka 202</w:t>
            </w:r>
            <w:r>
              <w:rPr>
                <w:rFonts w:ascii="Arial" w:eastAsia="Calibri" w:hAnsi="Arial" w:cs="Arial"/>
                <w:b/>
                <w:bCs/>
                <w:iCs/>
                <w:color w:val="000000" w:themeColor="text1"/>
                <w:sz w:val="18"/>
                <w:szCs w:val="18"/>
              </w:rPr>
              <w:t>4</w:t>
            </w:r>
            <w:r w:rsidRPr="00A3297B">
              <w:rPr>
                <w:rFonts w:ascii="Arial" w:eastAsia="Calibri" w:hAnsi="Arial" w:cs="Arial"/>
                <w:b/>
                <w:bCs/>
                <w:iCs/>
                <w:color w:val="000000" w:themeColor="text1"/>
                <w:sz w:val="18"/>
                <w:szCs w:val="18"/>
              </w:rPr>
              <w:t>.</w:t>
            </w:r>
            <w:bookmarkEnd w:id="515"/>
          </w:p>
        </w:tc>
        <w:tc>
          <w:tcPr>
            <w:tcW w:w="1304" w:type="dxa"/>
            <w:vAlign w:val="bottom"/>
          </w:tcPr>
          <w:p w14:paraId="7748566C" w14:textId="77777777" w:rsidR="00252822" w:rsidRPr="00A3297B" w:rsidRDefault="00252822" w:rsidP="00422DD5">
            <w:pPr>
              <w:tabs>
                <w:tab w:val="right" w:pos="1202"/>
              </w:tabs>
              <w:suppressAutoHyphens/>
              <w:autoSpaceDN w:val="0"/>
              <w:jc w:val="right"/>
              <w:outlineLvl w:val="0"/>
              <w:rPr>
                <w:rFonts w:ascii="Arial" w:eastAsia="Calibri" w:hAnsi="Arial" w:cs="Arial"/>
                <w:b/>
                <w:bCs/>
                <w:iCs/>
                <w:color w:val="000000" w:themeColor="text1"/>
                <w:sz w:val="18"/>
                <w:szCs w:val="18"/>
              </w:rPr>
            </w:pPr>
            <w:r w:rsidRPr="00A3297B">
              <w:rPr>
                <w:rFonts w:ascii="Arial" w:eastAsia="Calibri" w:hAnsi="Arial" w:cs="Arial"/>
                <w:b/>
                <w:bCs/>
                <w:iCs/>
                <w:color w:val="000000" w:themeColor="text1"/>
                <w:sz w:val="18"/>
                <w:szCs w:val="18"/>
              </w:rPr>
              <w:t>31. ožujka 202</w:t>
            </w:r>
            <w:r>
              <w:rPr>
                <w:rFonts w:ascii="Arial" w:eastAsia="Calibri" w:hAnsi="Arial" w:cs="Arial"/>
                <w:b/>
                <w:bCs/>
                <w:iCs/>
                <w:color w:val="000000" w:themeColor="text1"/>
                <w:sz w:val="18"/>
                <w:szCs w:val="18"/>
              </w:rPr>
              <w:t>4</w:t>
            </w:r>
            <w:r w:rsidRPr="00A3297B">
              <w:rPr>
                <w:rFonts w:ascii="Arial" w:eastAsia="Calibri" w:hAnsi="Arial" w:cs="Arial"/>
                <w:b/>
                <w:bCs/>
                <w:iCs/>
                <w:color w:val="000000" w:themeColor="text1"/>
                <w:sz w:val="18"/>
                <w:szCs w:val="18"/>
              </w:rPr>
              <w:t>.</w:t>
            </w:r>
          </w:p>
        </w:tc>
        <w:tc>
          <w:tcPr>
            <w:tcW w:w="1302" w:type="dxa"/>
            <w:vAlign w:val="bottom"/>
          </w:tcPr>
          <w:p w14:paraId="2D286319" w14:textId="77777777" w:rsidR="00252822" w:rsidRPr="00A3297B" w:rsidRDefault="00252822" w:rsidP="00422DD5">
            <w:pPr>
              <w:tabs>
                <w:tab w:val="right" w:pos="1202"/>
              </w:tabs>
              <w:suppressAutoHyphens/>
              <w:autoSpaceDN w:val="0"/>
              <w:jc w:val="right"/>
              <w:outlineLvl w:val="0"/>
              <w:rPr>
                <w:rFonts w:ascii="Arial" w:eastAsia="Calibri" w:hAnsi="Arial" w:cs="Arial"/>
                <w:b/>
                <w:bCs/>
                <w:iCs/>
                <w:color w:val="000000" w:themeColor="text1"/>
                <w:sz w:val="18"/>
                <w:szCs w:val="18"/>
              </w:rPr>
            </w:pPr>
            <w:r w:rsidRPr="00A3297B">
              <w:rPr>
                <w:rFonts w:ascii="Arial" w:eastAsia="Calibri" w:hAnsi="Arial" w:cs="Arial"/>
                <w:b/>
                <w:bCs/>
                <w:iCs/>
                <w:color w:val="000000" w:themeColor="text1"/>
                <w:sz w:val="18"/>
                <w:szCs w:val="18"/>
              </w:rPr>
              <w:t>31. prosinca 202</w:t>
            </w:r>
            <w:r>
              <w:rPr>
                <w:rFonts w:ascii="Arial" w:eastAsia="Calibri" w:hAnsi="Arial" w:cs="Arial"/>
                <w:b/>
                <w:bCs/>
                <w:iCs/>
                <w:color w:val="000000" w:themeColor="text1"/>
                <w:sz w:val="18"/>
                <w:szCs w:val="18"/>
              </w:rPr>
              <w:t>3.</w:t>
            </w:r>
          </w:p>
        </w:tc>
        <w:tc>
          <w:tcPr>
            <w:tcW w:w="1315" w:type="dxa"/>
            <w:gridSpan w:val="2"/>
            <w:vAlign w:val="bottom"/>
          </w:tcPr>
          <w:p w14:paraId="016E8549" w14:textId="77777777" w:rsidR="00252822" w:rsidRPr="00A3297B" w:rsidRDefault="00252822"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516" w:name="_Toc67328977"/>
            <w:r w:rsidRPr="00A3297B">
              <w:rPr>
                <w:rFonts w:ascii="Arial" w:eastAsia="Calibri" w:hAnsi="Arial" w:cs="Arial"/>
                <w:b/>
                <w:bCs/>
                <w:iCs/>
                <w:color w:val="000000" w:themeColor="text1"/>
                <w:sz w:val="18"/>
                <w:szCs w:val="18"/>
              </w:rPr>
              <w:t>31. prosinca 202</w:t>
            </w:r>
            <w:r>
              <w:rPr>
                <w:rFonts w:ascii="Arial" w:eastAsia="Calibri" w:hAnsi="Arial" w:cs="Arial"/>
                <w:b/>
                <w:bCs/>
                <w:iCs/>
                <w:color w:val="000000" w:themeColor="text1"/>
                <w:sz w:val="18"/>
                <w:szCs w:val="18"/>
              </w:rPr>
              <w:t>3</w:t>
            </w:r>
            <w:r w:rsidRPr="00A3297B">
              <w:rPr>
                <w:rFonts w:ascii="Arial" w:eastAsia="Calibri" w:hAnsi="Arial" w:cs="Arial"/>
                <w:b/>
                <w:bCs/>
                <w:iCs/>
                <w:color w:val="000000" w:themeColor="text1"/>
                <w:sz w:val="18"/>
                <w:szCs w:val="18"/>
              </w:rPr>
              <w:t>.</w:t>
            </w:r>
            <w:bookmarkEnd w:id="516"/>
          </w:p>
        </w:tc>
      </w:tr>
      <w:tr w:rsidR="00252822" w:rsidRPr="00A3297B" w14:paraId="6D84DFB9" w14:textId="77777777" w:rsidTr="00422DD5">
        <w:trPr>
          <w:trHeight w:hRule="exact" w:val="284"/>
          <w:jc w:val="center"/>
        </w:trPr>
        <w:tc>
          <w:tcPr>
            <w:tcW w:w="3639" w:type="dxa"/>
            <w:vAlign w:val="bottom"/>
          </w:tcPr>
          <w:p w14:paraId="67EA0CB2" w14:textId="77777777" w:rsidR="00252822" w:rsidRPr="00A3297B" w:rsidRDefault="00252822" w:rsidP="00422DD5">
            <w:pPr>
              <w:tabs>
                <w:tab w:val="right" w:pos="1202"/>
              </w:tabs>
              <w:suppressAutoHyphens/>
              <w:autoSpaceDN w:val="0"/>
              <w:outlineLvl w:val="0"/>
              <w:rPr>
                <w:rFonts w:ascii="Arial" w:eastAsia="Calibri" w:hAnsi="Arial" w:cs="Arial"/>
                <w:color w:val="000000" w:themeColor="text1"/>
                <w:sz w:val="18"/>
                <w:szCs w:val="18"/>
              </w:rPr>
            </w:pPr>
          </w:p>
        </w:tc>
        <w:tc>
          <w:tcPr>
            <w:tcW w:w="1305" w:type="dxa"/>
            <w:tcBorders>
              <w:top w:val="nil"/>
              <w:left w:val="nil"/>
              <w:bottom w:val="nil"/>
              <w:right w:val="nil"/>
            </w:tcBorders>
            <w:vAlign w:val="bottom"/>
          </w:tcPr>
          <w:p w14:paraId="18F5F9EC" w14:textId="77777777" w:rsidR="00252822" w:rsidRPr="00A3297B" w:rsidRDefault="00252822"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517" w:name="_Toc67328978"/>
            <w:r w:rsidRPr="00A3297B">
              <w:rPr>
                <w:rFonts w:ascii="Arial" w:eastAsia="Calibri" w:hAnsi="Arial" w:cs="Arial"/>
                <w:b/>
                <w:bCs/>
                <w:color w:val="000000" w:themeColor="text1"/>
                <w:sz w:val="18"/>
                <w:szCs w:val="18"/>
              </w:rPr>
              <w:t>000 eura</w:t>
            </w:r>
            <w:bookmarkEnd w:id="517"/>
          </w:p>
        </w:tc>
        <w:tc>
          <w:tcPr>
            <w:tcW w:w="1304" w:type="dxa"/>
            <w:tcBorders>
              <w:top w:val="nil"/>
              <w:left w:val="nil"/>
              <w:bottom w:val="nil"/>
              <w:right w:val="nil"/>
            </w:tcBorders>
            <w:vAlign w:val="bottom"/>
          </w:tcPr>
          <w:p w14:paraId="2F818816" w14:textId="77777777" w:rsidR="00252822" w:rsidRPr="00A3297B" w:rsidRDefault="00252822"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518" w:name="_Toc67328979"/>
            <w:r w:rsidRPr="00A3297B">
              <w:rPr>
                <w:rFonts w:ascii="Arial" w:eastAsia="Calibri" w:hAnsi="Arial" w:cs="Arial"/>
                <w:b/>
                <w:bCs/>
                <w:color w:val="000000" w:themeColor="text1"/>
                <w:sz w:val="18"/>
                <w:szCs w:val="18"/>
              </w:rPr>
              <w:t>000 eura</w:t>
            </w:r>
            <w:bookmarkEnd w:id="518"/>
          </w:p>
        </w:tc>
        <w:tc>
          <w:tcPr>
            <w:tcW w:w="1302" w:type="dxa"/>
            <w:tcBorders>
              <w:top w:val="nil"/>
              <w:left w:val="nil"/>
              <w:bottom w:val="nil"/>
              <w:right w:val="nil"/>
            </w:tcBorders>
            <w:vAlign w:val="bottom"/>
          </w:tcPr>
          <w:p w14:paraId="174E740F" w14:textId="77777777" w:rsidR="00252822" w:rsidRPr="00A3297B" w:rsidRDefault="00252822"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519" w:name="_Toc67328980"/>
            <w:r w:rsidRPr="00A3297B">
              <w:rPr>
                <w:rFonts w:ascii="Arial" w:eastAsia="Calibri" w:hAnsi="Arial" w:cs="Arial"/>
                <w:b/>
                <w:bCs/>
                <w:color w:val="000000" w:themeColor="text1"/>
                <w:sz w:val="18"/>
                <w:szCs w:val="18"/>
              </w:rPr>
              <w:t>000 eura</w:t>
            </w:r>
            <w:bookmarkEnd w:id="519"/>
          </w:p>
        </w:tc>
        <w:tc>
          <w:tcPr>
            <w:tcW w:w="1315" w:type="dxa"/>
            <w:gridSpan w:val="2"/>
            <w:tcBorders>
              <w:top w:val="nil"/>
              <w:left w:val="nil"/>
              <w:bottom w:val="nil"/>
              <w:right w:val="nil"/>
            </w:tcBorders>
            <w:vAlign w:val="bottom"/>
          </w:tcPr>
          <w:p w14:paraId="37C7228A" w14:textId="77777777" w:rsidR="00252822" w:rsidRPr="00A3297B" w:rsidRDefault="00252822"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520" w:name="_Toc67328981"/>
            <w:r w:rsidRPr="00A3297B">
              <w:rPr>
                <w:rFonts w:ascii="Arial" w:eastAsia="Calibri" w:hAnsi="Arial" w:cs="Arial"/>
                <w:b/>
                <w:bCs/>
                <w:color w:val="000000" w:themeColor="text1"/>
                <w:sz w:val="18"/>
                <w:szCs w:val="18"/>
              </w:rPr>
              <w:t>000 eura</w:t>
            </w:r>
            <w:bookmarkEnd w:id="520"/>
          </w:p>
        </w:tc>
      </w:tr>
      <w:tr w:rsidR="00252822" w:rsidRPr="00A3297B" w14:paraId="17E2B8B6" w14:textId="77777777" w:rsidTr="00422DD5">
        <w:trPr>
          <w:trHeight w:hRule="exact" w:val="284"/>
          <w:jc w:val="center"/>
        </w:trPr>
        <w:tc>
          <w:tcPr>
            <w:tcW w:w="3639" w:type="dxa"/>
            <w:vAlign w:val="bottom"/>
          </w:tcPr>
          <w:p w14:paraId="1D87A303" w14:textId="77777777" w:rsidR="00252822" w:rsidRPr="00A3297B" w:rsidRDefault="00252822" w:rsidP="00422DD5">
            <w:pPr>
              <w:tabs>
                <w:tab w:val="right" w:pos="1202"/>
              </w:tabs>
              <w:suppressAutoHyphens/>
              <w:autoSpaceDN w:val="0"/>
              <w:outlineLvl w:val="0"/>
              <w:rPr>
                <w:rFonts w:ascii="Arial" w:eastAsia="Calibri" w:hAnsi="Arial" w:cs="Arial"/>
                <w:color w:val="000000" w:themeColor="text1"/>
                <w:sz w:val="18"/>
                <w:szCs w:val="18"/>
              </w:rPr>
            </w:pPr>
            <w:bookmarkStart w:id="521" w:name="_Toc67328982"/>
            <w:r w:rsidRPr="00A3297B">
              <w:rPr>
                <w:rFonts w:ascii="Arial" w:eastAsia="Calibri" w:hAnsi="Arial" w:cs="Arial"/>
                <w:color w:val="000000" w:themeColor="text1"/>
                <w:sz w:val="18"/>
                <w:szCs w:val="18"/>
              </w:rPr>
              <w:t>Vlasnik</w:t>
            </w:r>
            <w:bookmarkEnd w:id="521"/>
          </w:p>
        </w:tc>
        <w:tc>
          <w:tcPr>
            <w:tcW w:w="1305" w:type="dxa"/>
            <w:shd w:val="clear" w:color="auto" w:fill="auto"/>
            <w:vAlign w:val="bottom"/>
          </w:tcPr>
          <w:p w14:paraId="778565A8" w14:textId="77777777" w:rsidR="00252822" w:rsidRPr="00A3297B" w:rsidRDefault="00252822" w:rsidP="00422DD5">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900DAF">
              <w:rPr>
                <w:rFonts w:ascii="Arial" w:eastAsia="Times New Roman" w:hAnsi="Arial" w:cs="Arial"/>
                <w:color w:val="000000"/>
                <w:sz w:val="18"/>
                <w:szCs w:val="18"/>
              </w:rPr>
              <w:t>288.280</w:t>
            </w:r>
          </w:p>
        </w:tc>
        <w:tc>
          <w:tcPr>
            <w:tcW w:w="1304" w:type="dxa"/>
            <w:shd w:val="clear" w:color="auto" w:fill="auto"/>
            <w:vAlign w:val="bottom"/>
          </w:tcPr>
          <w:p w14:paraId="5399C761" w14:textId="77777777" w:rsidR="00252822" w:rsidRPr="00A3297B" w:rsidRDefault="00252822" w:rsidP="00422DD5">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900DAF">
              <w:rPr>
                <w:rFonts w:ascii="Arial" w:eastAsia="Times New Roman" w:hAnsi="Arial" w:cs="Arial"/>
                <w:color w:val="000000"/>
                <w:sz w:val="18"/>
                <w:szCs w:val="18"/>
              </w:rPr>
              <w:t>376.340</w:t>
            </w:r>
          </w:p>
        </w:tc>
        <w:tc>
          <w:tcPr>
            <w:tcW w:w="1302" w:type="dxa"/>
            <w:shd w:val="clear" w:color="auto" w:fill="auto"/>
            <w:vAlign w:val="bottom"/>
          </w:tcPr>
          <w:p w14:paraId="4D82BD10" w14:textId="77777777" w:rsidR="00252822" w:rsidRPr="00A3297B" w:rsidRDefault="00252822" w:rsidP="00422DD5">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F959D0">
              <w:rPr>
                <w:rFonts w:ascii="Arial" w:hAnsi="Arial" w:cs="Arial"/>
                <w:sz w:val="18"/>
                <w:szCs w:val="18"/>
              </w:rPr>
              <w:t xml:space="preserve"> 280.436 </w:t>
            </w:r>
          </w:p>
        </w:tc>
        <w:tc>
          <w:tcPr>
            <w:tcW w:w="1315" w:type="dxa"/>
            <w:gridSpan w:val="2"/>
            <w:shd w:val="clear" w:color="auto" w:fill="auto"/>
            <w:vAlign w:val="bottom"/>
          </w:tcPr>
          <w:p w14:paraId="2B9BED13" w14:textId="77777777" w:rsidR="00252822" w:rsidRPr="00A3297B" w:rsidRDefault="00252822" w:rsidP="00422DD5">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F959D0">
              <w:rPr>
                <w:rFonts w:ascii="Arial" w:hAnsi="Arial" w:cs="Arial"/>
                <w:sz w:val="18"/>
                <w:szCs w:val="18"/>
              </w:rPr>
              <w:t xml:space="preserve"> 506.144 </w:t>
            </w:r>
          </w:p>
        </w:tc>
      </w:tr>
      <w:tr w:rsidR="00252822" w:rsidRPr="00A3297B" w14:paraId="6CEEF6D8" w14:textId="77777777" w:rsidTr="00422DD5">
        <w:trPr>
          <w:trHeight w:hRule="exact" w:val="284"/>
          <w:jc w:val="center"/>
        </w:trPr>
        <w:tc>
          <w:tcPr>
            <w:tcW w:w="3639" w:type="dxa"/>
            <w:vAlign w:val="bottom"/>
          </w:tcPr>
          <w:p w14:paraId="6FD4EA8B" w14:textId="77777777" w:rsidR="00252822" w:rsidRPr="00A3297B" w:rsidRDefault="00252822" w:rsidP="00422DD5">
            <w:pPr>
              <w:tabs>
                <w:tab w:val="right" w:pos="1202"/>
              </w:tabs>
              <w:suppressAutoHyphens/>
              <w:autoSpaceDN w:val="0"/>
              <w:outlineLvl w:val="0"/>
              <w:rPr>
                <w:rFonts w:ascii="Arial" w:eastAsia="Calibri" w:hAnsi="Arial" w:cs="Arial"/>
                <w:color w:val="000000" w:themeColor="text1"/>
                <w:sz w:val="18"/>
                <w:szCs w:val="18"/>
              </w:rPr>
            </w:pPr>
            <w:bookmarkStart w:id="522" w:name="_Toc67328987"/>
            <w:r w:rsidRPr="00A3297B">
              <w:rPr>
                <w:rFonts w:ascii="Arial" w:eastAsia="Calibri" w:hAnsi="Arial" w:cs="Arial"/>
                <w:color w:val="000000" w:themeColor="text1"/>
                <w:sz w:val="18"/>
                <w:szCs w:val="18"/>
              </w:rPr>
              <w:t>Državni fondovi, izvršna tijela i agencije</w:t>
            </w:r>
            <w:bookmarkEnd w:id="522"/>
          </w:p>
        </w:tc>
        <w:tc>
          <w:tcPr>
            <w:tcW w:w="1305" w:type="dxa"/>
            <w:shd w:val="clear" w:color="auto" w:fill="auto"/>
            <w:vAlign w:val="bottom"/>
          </w:tcPr>
          <w:p w14:paraId="5636BAD3" w14:textId="77777777" w:rsidR="00252822" w:rsidRPr="00A3297B" w:rsidRDefault="00252822" w:rsidP="00422DD5">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900DAF">
              <w:rPr>
                <w:rFonts w:ascii="Arial" w:eastAsia="Times New Roman" w:hAnsi="Arial" w:cs="Arial"/>
                <w:color w:val="000000"/>
                <w:sz w:val="18"/>
                <w:szCs w:val="18"/>
              </w:rPr>
              <w:t>662.566</w:t>
            </w:r>
          </w:p>
        </w:tc>
        <w:tc>
          <w:tcPr>
            <w:tcW w:w="1304" w:type="dxa"/>
            <w:shd w:val="clear" w:color="auto" w:fill="auto"/>
            <w:vAlign w:val="bottom"/>
          </w:tcPr>
          <w:p w14:paraId="0CAA12E3" w14:textId="77777777" w:rsidR="00252822" w:rsidRPr="00A3297B" w:rsidRDefault="00252822" w:rsidP="00422DD5">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900DAF">
              <w:rPr>
                <w:rFonts w:ascii="Arial" w:eastAsia="Times New Roman" w:hAnsi="Arial" w:cs="Arial"/>
                <w:color w:val="000000"/>
                <w:sz w:val="18"/>
                <w:szCs w:val="18"/>
              </w:rPr>
              <w:t>30.305</w:t>
            </w:r>
          </w:p>
        </w:tc>
        <w:tc>
          <w:tcPr>
            <w:tcW w:w="1302" w:type="dxa"/>
            <w:shd w:val="clear" w:color="auto" w:fill="auto"/>
            <w:vAlign w:val="bottom"/>
          </w:tcPr>
          <w:p w14:paraId="73A346F5" w14:textId="77777777" w:rsidR="00252822" w:rsidRPr="00A3297B" w:rsidRDefault="00252822" w:rsidP="00422DD5">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F959D0">
              <w:rPr>
                <w:rFonts w:ascii="Arial" w:hAnsi="Arial" w:cs="Arial"/>
                <w:sz w:val="18"/>
                <w:szCs w:val="18"/>
              </w:rPr>
              <w:t xml:space="preserve"> 672.036 </w:t>
            </w:r>
          </w:p>
        </w:tc>
        <w:tc>
          <w:tcPr>
            <w:tcW w:w="1315" w:type="dxa"/>
            <w:gridSpan w:val="2"/>
            <w:shd w:val="clear" w:color="auto" w:fill="auto"/>
            <w:vAlign w:val="bottom"/>
          </w:tcPr>
          <w:p w14:paraId="59E6238E" w14:textId="77777777" w:rsidR="00252822" w:rsidRPr="00A3297B" w:rsidRDefault="00252822" w:rsidP="00422DD5">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F959D0">
              <w:rPr>
                <w:rFonts w:ascii="Arial" w:hAnsi="Arial" w:cs="Arial"/>
                <w:sz w:val="18"/>
                <w:szCs w:val="18"/>
              </w:rPr>
              <w:t xml:space="preserve"> 18.982 </w:t>
            </w:r>
          </w:p>
        </w:tc>
      </w:tr>
      <w:tr w:rsidR="00252822" w:rsidRPr="00A3297B" w14:paraId="5E887999" w14:textId="77777777" w:rsidTr="00422DD5">
        <w:trPr>
          <w:trHeight w:hRule="exact" w:val="284"/>
          <w:jc w:val="center"/>
        </w:trPr>
        <w:tc>
          <w:tcPr>
            <w:tcW w:w="3639" w:type="dxa"/>
            <w:vAlign w:val="bottom"/>
          </w:tcPr>
          <w:p w14:paraId="2680AAC4" w14:textId="77777777" w:rsidR="00252822" w:rsidRPr="00A3297B" w:rsidRDefault="00252822" w:rsidP="00422DD5">
            <w:pPr>
              <w:tabs>
                <w:tab w:val="right" w:pos="1202"/>
              </w:tabs>
              <w:suppressAutoHyphens/>
              <w:autoSpaceDN w:val="0"/>
              <w:outlineLvl w:val="0"/>
              <w:rPr>
                <w:rFonts w:ascii="Arial" w:eastAsia="Calibri" w:hAnsi="Arial" w:cs="Arial"/>
                <w:color w:val="000000" w:themeColor="text1"/>
                <w:sz w:val="18"/>
                <w:szCs w:val="18"/>
              </w:rPr>
            </w:pPr>
            <w:bookmarkStart w:id="523" w:name="_Toc67328992"/>
            <w:r w:rsidRPr="00A3297B">
              <w:rPr>
                <w:rFonts w:ascii="Arial" w:eastAsia="Calibri" w:hAnsi="Arial" w:cs="Arial"/>
                <w:color w:val="000000" w:themeColor="text1"/>
                <w:sz w:val="18"/>
                <w:szCs w:val="18"/>
              </w:rPr>
              <w:t>Državna trgovačka društva</w:t>
            </w:r>
            <w:bookmarkEnd w:id="523"/>
          </w:p>
        </w:tc>
        <w:tc>
          <w:tcPr>
            <w:tcW w:w="1305" w:type="dxa"/>
            <w:shd w:val="clear" w:color="auto" w:fill="auto"/>
            <w:vAlign w:val="bottom"/>
          </w:tcPr>
          <w:p w14:paraId="3123E311" w14:textId="77777777" w:rsidR="00252822" w:rsidRPr="00A3297B" w:rsidRDefault="00252822" w:rsidP="00422DD5">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900DAF">
              <w:rPr>
                <w:rFonts w:ascii="Arial" w:eastAsia="Times New Roman" w:hAnsi="Arial" w:cs="Arial"/>
                <w:color w:val="000000"/>
                <w:sz w:val="18"/>
                <w:szCs w:val="18"/>
              </w:rPr>
              <w:t>159.540</w:t>
            </w:r>
          </w:p>
        </w:tc>
        <w:tc>
          <w:tcPr>
            <w:tcW w:w="1304" w:type="dxa"/>
            <w:shd w:val="clear" w:color="auto" w:fill="auto"/>
            <w:vAlign w:val="bottom"/>
          </w:tcPr>
          <w:p w14:paraId="48CAD00D" w14:textId="77777777" w:rsidR="00252822" w:rsidRPr="00A3297B" w:rsidRDefault="00252822" w:rsidP="00422DD5">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900DAF">
              <w:rPr>
                <w:rFonts w:ascii="Arial" w:eastAsia="Times New Roman" w:hAnsi="Arial" w:cs="Arial"/>
                <w:color w:val="000000"/>
                <w:sz w:val="18"/>
                <w:szCs w:val="18"/>
              </w:rPr>
              <w:t>1.068</w:t>
            </w:r>
          </w:p>
        </w:tc>
        <w:tc>
          <w:tcPr>
            <w:tcW w:w="1302" w:type="dxa"/>
            <w:shd w:val="clear" w:color="auto" w:fill="auto"/>
            <w:vAlign w:val="bottom"/>
          </w:tcPr>
          <w:p w14:paraId="279C6A80" w14:textId="77777777" w:rsidR="00252822" w:rsidRPr="00A3297B" w:rsidRDefault="00252822" w:rsidP="00422DD5">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F959D0">
              <w:rPr>
                <w:rFonts w:ascii="Arial" w:hAnsi="Arial" w:cs="Arial"/>
                <w:sz w:val="18"/>
                <w:szCs w:val="18"/>
              </w:rPr>
              <w:t xml:space="preserve"> 181.913 </w:t>
            </w:r>
          </w:p>
        </w:tc>
        <w:tc>
          <w:tcPr>
            <w:tcW w:w="1315" w:type="dxa"/>
            <w:gridSpan w:val="2"/>
            <w:shd w:val="clear" w:color="auto" w:fill="auto"/>
            <w:vAlign w:val="bottom"/>
          </w:tcPr>
          <w:p w14:paraId="36AE79EE" w14:textId="77777777" w:rsidR="00252822" w:rsidRPr="00A3297B" w:rsidRDefault="00252822" w:rsidP="00422DD5">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F959D0">
              <w:rPr>
                <w:rFonts w:ascii="Arial" w:hAnsi="Arial" w:cs="Arial"/>
                <w:sz w:val="18"/>
                <w:szCs w:val="18"/>
              </w:rPr>
              <w:t xml:space="preserve"> 988 </w:t>
            </w:r>
          </w:p>
        </w:tc>
      </w:tr>
      <w:tr w:rsidR="00252822" w:rsidRPr="00A3297B" w14:paraId="170C5142" w14:textId="77777777" w:rsidTr="00422DD5">
        <w:trPr>
          <w:trHeight w:hRule="exact" w:val="284"/>
          <w:jc w:val="center"/>
        </w:trPr>
        <w:tc>
          <w:tcPr>
            <w:tcW w:w="3639" w:type="dxa"/>
            <w:vAlign w:val="bottom"/>
          </w:tcPr>
          <w:p w14:paraId="34ADD021" w14:textId="77777777" w:rsidR="00252822" w:rsidRPr="00A3297B" w:rsidRDefault="00252822" w:rsidP="00422DD5">
            <w:pPr>
              <w:tabs>
                <w:tab w:val="right" w:pos="1202"/>
              </w:tabs>
              <w:suppressAutoHyphens/>
              <w:autoSpaceDN w:val="0"/>
              <w:outlineLvl w:val="0"/>
              <w:rPr>
                <w:rFonts w:ascii="Arial" w:eastAsia="Calibri" w:hAnsi="Arial" w:cs="Arial"/>
                <w:bCs/>
                <w:color w:val="000000" w:themeColor="text1"/>
                <w:sz w:val="18"/>
                <w:szCs w:val="18"/>
              </w:rPr>
            </w:pPr>
            <w:bookmarkStart w:id="524" w:name="_Toc67329002"/>
            <w:r w:rsidRPr="00A3297B">
              <w:rPr>
                <w:rFonts w:ascii="Arial" w:eastAsia="Calibri" w:hAnsi="Arial" w:cs="Arial"/>
                <w:bCs/>
                <w:color w:val="000000" w:themeColor="text1"/>
                <w:sz w:val="18"/>
                <w:szCs w:val="18"/>
              </w:rPr>
              <w:t>Ključni članovi rukovodstva</w:t>
            </w:r>
            <w:bookmarkEnd w:id="524"/>
          </w:p>
        </w:tc>
        <w:tc>
          <w:tcPr>
            <w:tcW w:w="1305" w:type="dxa"/>
            <w:tcBorders>
              <w:bottom w:val="single" w:sz="4" w:space="0" w:color="000000"/>
            </w:tcBorders>
            <w:shd w:val="clear" w:color="auto" w:fill="auto"/>
            <w:vAlign w:val="bottom"/>
          </w:tcPr>
          <w:p w14:paraId="0B164AE6" w14:textId="77777777" w:rsidR="00252822" w:rsidRPr="00A3297B" w:rsidRDefault="00252822" w:rsidP="00422DD5">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900DAF">
              <w:rPr>
                <w:rFonts w:ascii="Arial" w:eastAsia="Times New Roman" w:hAnsi="Arial" w:cs="Arial"/>
                <w:color w:val="000000"/>
                <w:sz w:val="18"/>
                <w:szCs w:val="18"/>
              </w:rPr>
              <w:t>263</w:t>
            </w:r>
          </w:p>
        </w:tc>
        <w:tc>
          <w:tcPr>
            <w:tcW w:w="1304" w:type="dxa"/>
            <w:tcBorders>
              <w:bottom w:val="single" w:sz="4" w:space="0" w:color="000000"/>
            </w:tcBorders>
            <w:shd w:val="clear" w:color="auto" w:fill="auto"/>
            <w:vAlign w:val="bottom"/>
          </w:tcPr>
          <w:p w14:paraId="714402EA" w14:textId="77777777" w:rsidR="00252822" w:rsidRPr="00A3297B" w:rsidRDefault="00252822" w:rsidP="00422DD5">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900DAF">
              <w:rPr>
                <w:rFonts w:ascii="Arial" w:eastAsia="Times New Roman" w:hAnsi="Arial" w:cs="Arial"/>
                <w:color w:val="000000"/>
                <w:sz w:val="18"/>
                <w:szCs w:val="18"/>
              </w:rPr>
              <w:t>415</w:t>
            </w:r>
          </w:p>
        </w:tc>
        <w:tc>
          <w:tcPr>
            <w:tcW w:w="1302" w:type="dxa"/>
            <w:tcBorders>
              <w:bottom w:val="single" w:sz="4" w:space="0" w:color="000000"/>
            </w:tcBorders>
            <w:shd w:val="clear" w:color="auto" w:fill="auto"/>
            <w:vAlign w:val="bottom"/>
          </w:tcPr>
          <w:p w14:paraId="5930AF09" w14:textId="77777777" w:rsidR="00252822" w:rsidRPr="00A3297B" w:rsidRDefault="00252822" w:rsidP="00422DD5">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F959D0">
              <w:rPr>
                <w:rFonts w:ascii="Arial" w:hAnsi="Arial" w:cs="Arial"/>
                <w:sz w:val="18"/>
                <w:szCs w:val="18"/>
              </w:rPr>
              <w:t xml:space="preserve"> 272 </w:t>
            </w:r>
          </w:p>
        </w:tc>
        <w:tc>
          <w:tcPr>
            <w:tcW w:w="1315" w:type="dxa"/>
            <w:gridSpan w:val="2"/>
            <w:tcBorders>
              <w:bottom w:val="single" w:sz="4" w:space="0" w:color="000000"/>
            </w:tcBorders>
            <w:shd w:val="clear" w:color="auto" w:fill="auto"/>
            <w:vAlign w:val="bottom"/>
          </w:tcPr>
          <w:p w14:paraId="3BB7D8FE" w14:textId="77777777" w:rsidR="00252822" w:rsidRPr="00A3297B" w:rsidRDefault="00252822" w:rsidP="00422DD5">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F959D0">
              <w:rPr>
                <w:rFonts w:ascii="Arial" w:hAnsi="Arial" w:cs="Arial"/>
                <w:sz w:val="18"/>
                <w:szCs w:val="18"/>
              </w:rPr>
              <w:t xml:space="preserve"> 423 </w:t>
            </w:r>
          </w:p>
        </w:tc>
      </w:tr>
      <w:tr w:rsidR="00252822" w:rsidRPr="00A3297B" w14:paraId="51DAB437" w14:textId="77777777" w:rsidTr="00422DD5">
        <w:trPr>
          <w:trHeight w:val="329"/>
          <w:jc w:val="center"/>
        </w:trPr>
        <w:tc>
          <w:tcPr>
            <w:tcW w:w="3639" w:type="dxa"/>
            <w:vAlign w:val="bottom"/>
          </w:tcPr>
          <w:p w14:paraId="4E96014E" w14:textId="77777777" w:rsidR="00252822" w:rsidRPr="00A3297B" w:rsidRDefault="00252822" w:rsidP="00422DD5">
            <w:pPr>
              <w:tabs>
                <w:tab w:val="right" w:pos="1202"/>
              </w:tabs>
              <w:suppressAutoHyphens/>
              <w:autoSpaceDN w:val="0"/>
              <w:outlineLvl w:val="0"/>
              <w:rPr>
                <w:rFonts w:ascii="Arial" w:eastAsia="Calibri" w:hAnsi="Arial" w:cs="Arial"/>
                <w:b/>
                <w:color w:val="000000" w:themeColor="text1"/>
                <w:sz w:val="18"/>
                <w:szCs w:val="18"/>
              </w:rPr>
            </w:pPr>
            <w:bookmarkStart w:id="525" w:name="_Toc67329007"/>
            <w:r w:rsidRPr="00A3297B">
              <w:rPr>
                <w:rFonts w:ascii="Arial" w:eastAsia="Calibri" w:hAnsi="Arial" w:cs="Arial"/>
                <w:b/>
                <w:color w:val="000000" w:themeColor="text1"/>
                <w:sz w:val="18"/>
                <w:szCs w:val="18"/>
              </w:rPr>
              <w:t>Ukupno</w:t>
            </w:r>
            <w:bookmarkEnd w:id="525"/>
          </w:p>
        </w:tc>
        <w:tc>
          <w:tcPr>
            <w:tcW w:w="1305" w:type="dxa"/>
            <w:tcBorders>
              <w:top w:val="single" w:sz="4" w:space="0" w:color="auto"/>
              <w:bottom w:val="single" w:sz="12" w:space="0" w:color="auto"/>
            </w:tcBorders>
            <w:shd w:val="clear" w:color="auto" w:fill="auto"/>
            <w:vAlign w:val="bottom"/>
          </w:tcPr>
          <w:p w14:paraId="6BBCED3E" w14:textId="77777777" w:rsidR="00252822" w:rsidRPr="00A3297B" w:rsidRDefault="00252822" w:rsidP="00422DD5">
            <w:pPr>
              <w:tabs>
                <w:tab w:val="right" w:pos="1202"/>
              </w:tabs>
              <w:suppressAutoHyphens/>
              <w:autoSpaceDN w:val="0"/>
              <w:jc w:val="right"/>
              <w:outlineLvl w:val="0"/>
              <w:rPr>
                <w:rFonts w:ascii="Arial" w:eastAsia="Times New Roman" w:hAnsi="Arial" w:cs="Arial"/>
                <w:b/>
                <w:bCs/>
                <w:color w:val="000000" w:themeColor="text1"/>
                <w:sz w:val="18"/>
                <w:szCs w:val="18"/>
              </w:rPr>
            </w:pPr>
            <w:r w:rsidRPr="00900DAF">
              <w:rPr>
                <w:rFonts w:ascii="Arial" w:eastAsia="Times New Roman" w:hAnsi="Arial" w:cs="Arial"/>
                <w:b/>
                <w:bCs/>
                <w:color w:val="000000" w:themeColor="text1"/>
                <w:sz w:val="18"/>
                <w:szCs w:val="18"/>
              </w:rPr>
              <w:t>1.110.649</w:t>
            </w:r>
          </w:p>
        </w:tc>
        <w:tc>
          <w:tcPr>
            <w:tcW w:w="1304" w:type="dxa"/>
            <w:tcBorders>
              <w:top w:val="single" w:sz="4" w:space="0" w:color="auto"/>
              <w:bottom w:val="single" w:sz="12" w:space="0" w:color="auto"/>
            </w:tcBorders>
            <w:shd w:val="clear" w:color="auto" w:fill="auto"/>
            <w:vAlign w:val="bottom"/>
          </w:tcPr>
          <w:p w14:paraId="49E6508B" w14:textId="77777777" w:rsidR="00252822" w:rsidRPr="00A3297B" w:rsidRDefault="00252822" w:rsidP="00422DD5">
            <w:pPr>
              <w:tabs>
                <w:tab w:val="right" w:pos="1202"/>
              </w:tabs>
              <w:suppressAutoHyphens/>
              <w:autoSpaceDN w:val="0"/>
              <w:jc w:val="right"/>
              <w:outlineLvl w:val="0"/>
              <w:rPr>
                <w:rFonts w:ascii="Arial" w:eastAsia="Times New Roman" w:hAnsi="Arial" w:cs="Arial"/>
                <w:b/>
                <w:bCs/>
                <w:color w:val="000000" w:themeColor="text1"/>
                <w:sz w:val="18"/>
                <w:szCs w:val="18"/>
              </w:rPr>
            </w:pPr>
            <w:r w:rsidRPr="00900DAF">
              <w:rPr>
                <w:rFonts w:ascii="Arial" w:eastAsia="Times New Roman" w:hAnsi="Arial" w:cs="Arial"/>
                <w:b/>
                <w:bCs/>
                <w:color w:val="000000" w:themeColor="text1"/>
                <w:sz w:val="18"/>
                <w:szCs w:val="18"/>
              </w:rPr>
              <w:t>408.128</w:t>
            </w:r>
          </w:p>
        </w:tc>
        <w:tc>
          <w:tcPr>
            <w:tcW w:w="1302" w:type="dxa"/>
            <w:tcBorders>
              <w:top w:val="single" w:sz="4" w:space="0" w:color="auto"/>
              <w:bottom w:val="single" w:sz="12" w:space="0" w:color="auto"/>
            </w:tcBorders>
            <w:shd w:val="clear" w:color="auto" w:fill="auto"/>
            <w:vAlign w:val="bottom"/>
          </w:tcPr>
          <w:p w14:paraId="23ACC96D" w14:textId="77777777" w:rsidR="00252822" w:rsidRPr="00A3297B" w:rsidRDefault="00252822" w:rsidP="00422DD5">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F959D0">
              <w:rPr>
                <w:rFonts w:ascii="Arial" w:hAnsi="Arial" w:cs="Arial"/>
                <w:b/>
                <w:bCs/>
                <w:sz w:val="18"/>
                <w:szCs w:val="18"/>
              </w:rPr>
              <w:t>1.134.657</w:t>
            </w:r>
          </w:p>
        </w:tc>
        <w:tc>
          <w:tcPr>
            <w:tcW w:w="1315" w:type="dxa"/>
            <w:gridSpan w:val="2"/>
            <w:tcBorders>
              <w:top w:val="single" w:sz="4" w:space="0" w:color="auto"/>
              <w:bottom w:val="single" w:sz="12" w:space="0" w:color="auto"/>
            </w:tcBorders>
            <w:shd w:val="clear" w:color="auto" w:fill="auto"/>
            <w:vAlign w:val="bottom"/>
          </w:tcPr>
          <w:p w14:paraId="36B827C6" w14:textId="77777777" w:rsidR="00252822" w:rsidRPr="00A3297B" w:rsidRDefault="00252822" w:rsidP="00422DD5">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F959D0">
              <w:rPr>
                <w:rFonts w:ascii="Arial" w:hAnsi="Arial" w:cs="Arial"/>
                <w:b/>
                <w:bCs/>
                <w:sz w:val="18"/>
                <w:szCs w:val="18"/>
              </w:rPr>
              <w:t>526.537</w:t>
            </w:r>
          </w:p>
        </w:tc>
      </w:tr>
    </w:tbl>
    <w:p w14:paraId="7E7E247B" w14:textId="77777777" w:rsidR="0064018A" w:rsidRPr="003D1614" w:rsidRDefault="0064018A" w:rsidP="0064018A">
      <w:pPr>
        <w:keepNext/>
        <w:suppressAutoHyphens/>
        <w:autoSpaceDN w:val="0"/>
        <w:ind w:left="357"/>
        <w:jc w:val="both"/>
        <w:outlineLvl w:val="0"/>
        <w:rPr>
          <w:rFonts w:ascii="Arial" w:eastAsia="Times New Roman" w:hAnsi="Arial" w:cs="Arial"/>
          <w:bCs/>
          <w:color w:val="000000" w:themeColor="text1"/>
          <w:sz w:val="20"/>
          <w:szCs w:val="20"/>
        </w:rPr>
      </w:pPr>
    </w:p>
    <w:p w14:paraId="484A8F8C" w14:textId="77777777" w:rsidR="0064018A" w:rsidRPr="003D1614" w:rsidRDefault="0064018A" w:rsidP="0064018A">
      <w:pPr>
        <w:keepNext/>
        <w:suppressAutoHyphens/>
        <w:autoSpaceDN w:val="0"/>
        <w:ind w:left="357"/>
        <w:jc w:val="both"/>
        <w:outlineLvl w:val="0"/>
        <w:rPr>
          <w:rFonts w:ascii="Arial" w:eastAsia="Times New Roman" w:hAnsi="Arial" w:cs="Arial"/>
          <w:bCs/>
          <w:color w:val="000000" w:themeColor="text1"/>
          <w:sz w:val="20"/>
          <w:szCs w:val="20"/>
        </w:rPr>
      </w:pPr>
    </w:p>
    <w:tbl>
      <w:tblPr>
        <w:tblW w:w="4839" w:type="pct"/>
        <w:jc w:val="center"/>
        <w:tblLayout w:type="fixed"/>
        <w:tblCellMar>
          <w:left w:w="113" w:type="dxa"/>
          <w:right w:w="85" w:type="dxa"/>
        </w:tblCellMar>
        <w:tblLook w:val="00A0" w:firstRow="1" w:lastRow="0" w:firstColumn="1" w:lastColumn="0" w:noHBand="0" w:noVBand="0"/>
      </w:tblPr>
      <w:tblGrid>
        <w:gridCol w:w="3565"/>
        <w:gridCol w:w="1350"/>
        <w:gridCol w:w="1351"/>
        <w:gridCol w:w="1215"/>
        <w:gridCol w:w="1299"/>
      </w:tblGrid>
      <w:tr w:rsidR="00E76E63" w:rsidRPr="0040073C" w14:paraId="402E80B9" w14:textId="77777777" w:rsidTr="00422DD5">
        <w:trPr>
          <w:cantSplit/>
          <w:trHeight w:val="14"/>
          <w:jc w:val="center"/>
        </w:trPr>
        <w:tc>
          <w:tcPr>
            <w:tcW w:w="3565" w:type="dxa"/>
            <w:vAlign w:val="bottom"/>
          </w:tcPr>
          <w:p w14:paraId="622E49AB" w14:textId="77777777" w:rsidR="00E76E63" w:rsidRPr="0040073C" w:rsidRDefault="00E76E63" w:rsidP="00422DD5">
            <w:pPr>
              <w:tabs>
                <w:tab w:val="right" w:pos="1202"/>
              </w:tabs>
              <w:suppressAutoHyphens/>
              <w:autoSpaceDN w:val="0"/>
              <w:outlineLvl w:val="0"/>
              <w:rPr>
                <w:rFonts w:ascii="Arial" w:eastAsia="Calibri" w:hAnsi="Arial" w:cs="Arial"/>
                <w:color w:val="000000" w:themeColor="text1"/>
                <w:sz w:val="18"/>
                <w:szCs w:val="18"/>
              </w:rPr>
            </w:pPr>
            <w:bookmarkStart w:id="526" w:name="_Toc67329012"/>
            <w:r w:rsidRPr="0040073C">
              <w:rPr>
                <w:rFonts w:ascii="Arial" w:eastAsia="Calibri" w:hAnsi="Arial" w:cs="Arial"/>
                <w:b/>
                <w:color w:val="000000" w:themeColor="text1"/>
                <w:sz w:val="18"/>
                <w:szCs w:val="18"/>
              </w:rPr>
              <w:t>Grupa</w:t>
            </w:r>
            <w:bookmarkEnd w:id="526"/>
          </w:p>
        </w:tc>
        <w:tc>
          <w:tcPr>
            <w:tcW w:w="1350" w:type="dxa"/>
            <w:vAlign w:val="bottom"/>
          </w:tcPr>
          <w:p w14:paraId="24CD10DF" w14:textId="77777777" w:rsidR="00E76E63" w:rsidRPr="0040073C" w:rsidRDefault="00E76E63"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527" w:name="_Toc67329013"/>
            <w:r w:rsidRPr="0040073C">
              <w:rPr>
                <w:rFonts w:ascii="Arial" w:eastAsia="Calibri" w:hAnsi="Arial" w:cs="Arial"/>
                <w:b/>
                <w:bCs/>
                <w:iCs/>
                <w:color w:val="000000" w:themeColor="text1"/>
                <w:sz w:val="18"/>
                <w:szCs w:val="18"/>
              </w:rPr>
              <w:t>Prihodi</w:t>
            </w:r>
            <w:bookmarkEnd w:id="527"/>
          </w:p>
        </w:tc>
        <w:tc>
          <w:tcPr>
            <w:tcW w:w="1351" w:type="dxa"/>
            <w:vAlign w:val="bottom"/>
          </w:tcPr>
          <w:p w14:paraId="6A0CF621" w14:textId="77777777" w:rsidR="00E76E63" w:rsidRPr="0040073C" w:rsidRDefault="00E76E63"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528" w:name="_Toc67329014"/>
            <w:r w:rsidRPr="0040073C">
              <w:rPr>
                <w:rFonts w:ascii="Arial" w:eastAsia="Calibri" w:hAnsi="Arial" w:cs="Arial"/>
                <w:b/>
                <w:bCs/>
                <w:iCs/>
                <w:color w:val="000000" w:themeColor="text1"/>
                <w:sz w:val="18"/>
                <w:szCs w:val="18"/>
              </w:rPr>
              <w:t>Rashodi</w:t>
            </w:r>
            <w:bookmarkEnd w:id="528"/>
          </w:p>
        </w:tc>
        <w:tc>
          <w:tcPr>
            <w:tcW w:w="1215" w:type="dxa"/>
            <w:vAlign w:val="bottom"/>
          </w:tcPr>
          <w:p w14:paraId="0E4B35E5" w14:textId="77777777" w:rsidR="00E76E63" w:rsidRPr="0040073C" w:rsidRDefault="00E76E63"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529" w:name="_Toc67329015"/>
            <w:r w:rsidRPr="0040073C">
              <w:rPr>
                <w:rFonts w:ascii="Arial" w:eastAsia="Calibri" w:hAnsi="Arial" w:cs="Arial"/>
                <w:b/>
                <w:bCs/>
                <w:iCs/>
                <w:color w:val="000000" w:themeColor="text1"/>
                <w:sz w:val="18"/>
                <w:szCs w:val="18"/>
              </w:rPr>
              <w:t>Prihodi</w:t>
            </w:r>
            <w:bookmarkEnd w:id="529"/>
          </w:p>
        </w:tc>
        <w:tc>
          <w:tcPr>
            <w:tcW w:w="1299" w:type="dxa"/>
            <w:vAlign w:val="bottom"/>
          </w:tcPr>
          <w:p w14:paraId="765F46DD" w14:textId="77777777" w:rsidR="00E76E63" w:rsidRPr="0040073C" w:rsidRDefault="00E76E63"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530" w:name="_Toc67329016"/>
            <w:r w:rsidRPr="0040073C">
              <w:rPr>
                <w:rFonts w:ascii="Arial" w:eastAsia="Calibri" w:hAnsi="Arial" w:cs="Arial"/>
                <w:b/>
                <w:bCs/>
                <w:iCs/>
                <w:color w:val="000000" w:themeColor="text1"/>
                <w:sz w:val="18"/>
                <w:szCs w:val="18"/>
              </w:rPr>
              <w:t>Rashodi</w:t>
            </w:r>
            <w:bookmarkEnd w:id="530"/>
          </w:p>
        </w:tc>
      </w:tr>
      <w:tr w:rsidR="00E76E63" w:rsidRPr="0040073C" w14:paraId="7087FE03" w14:textId="77777777" w:rsidTr="00422DD5">
        <w:trPr>
          <w:cantSplit/>
          <w:trHeight w:hRule="exact" w:val="454"/>
          <w:jc w:val="center"/>
        </w:trPr>
        <w:tc>
          <w:tcPr>
            <w:tcW w:w="3565" w:type="dxa"/>
            <w:vAlign w:val="bottom"/>
          </w:tcPr>
          <w:p w14:paraId="530D1D89" w14:textId="77777777" w:rsidR="00E76E63" w:rsidRPr="0040073C" w:rsidRDefault="00E76E63" w:rsidP="00422DD5">
            <w:pPr>
              <w:tabs>
                <w:tab w:val="right" w:pos="1202"/>
              </w:tabs>
              <w:suppressAutoHyphens/>
              <w:autoSpaceDN w:val="0"/>
              <w:outlineLvl w:val="0"/>
              <w:rPr>
                <w:rFonts w:ascii="Arial" w:eastAsia="Calibri" w:hAnsi="Arial" w:cs="Arial"/>
                <w:b/>
                <w:color w:val="000000" w:themeColor="text1"/>
                <w:sz w:val="18"/>
                <w:szCs w:val="18"/>
              </w:rPr>
            </w:pPr>
          </w:p>
        </w:tc>
        <w:tc>
          <w:tcPr>
            <w:tcW w:w="1350" w:type="dxa"/>
            <w:vAlign w:val="bottom"/>
          </w:tcPr>
          <w:p w14:paraId="3932F2ED" w14:textId="77777777" w:rsidR="00E76E63" w:rsidRPr="0040073C" w:rsidRDefault="00E76E63"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531" w:name="_Toc67329017"/>
            <w:r w:rsidRPr="0040073C">
              <w:rPr>
                <w:rFonts w:ascii="Arial" w:eastAsia="Calibri" w:hAnsi="Arial" w:cs="Arial"/>
                <w:b/>
                <w:bCs/>
                <w:iCs/>
                <w:color w:val="000000" w:themeColor="text1"/>
                <w:sz w:val="18"/>
                <w:szCs w:val="18"/>
              </w:rPr>
              <w:t>1.1. – 31.3. 202</w:t>
            </w:r>
            <w:r>
              <w:rPr>
                <w:rFonts w:ascii="Arial" w:eastAsia="Calibri" w:hAnsi="Arial" w:cs="Arial"/>
                <w:b/>
                <w:bCs/>
                <w:iCs/>
                <w:color w:val="000000" w:themeColor="text1"/>
                <w:sz w:val="18"/>
                <w:szCs w:val="18"/>
              </w:rPr>
              <w:t>4</w:t>
            </w:r>
            <w:r w:rsidRPr="0040073C">
              <w:rPr>
                <w:rFonts w:ascii="Arial" w:eastAsia="Calibri" w:hAnsi="Arial" w:cs="Arial"/>
                <w:b/>
                <w:bCs/>
                <w:iCs/>
                <w:color w:val="000000" w:themeColor="text1"/>
                <w:sz w:val="18"/>
                <w:szCs w:val="18"/>
              </w:rPr>
              <w:t>.</w:t>
            </w:r>
            <w:bookmarkEnd w:id="531"/>
          </w:p>
        </w:tc>
        <w:tc>
          <w:tcPr>
            <w:tcW w:w="1351" w:type="dxa"/>
            <w:vAlign w:val="bottom"/>
          </w:tcPr>
          <w:p w14:paraId="729E45FC" w14:textId="77777777" w:rsidR="00E76E63" w:rsidRPr="0040073C" w:rsidRDefault="00E76E63"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532" w:name="_Toc67329018"/>
            <w:r w:rsidRPr="0040073C">
              <w:rPr>
                <w:rFonts w:ascii="Arial" w:eastAsia="Calibri" w:hAnsi="Arial" w:cs="Arial"/>
                <w:b/>
                <w:bCs/>
                <w:iCs/>
                <w:color w:val="000000" w:themeColor="text1"/>
                <w:sz w:val="18"/>
                <w:szCs w:val="18"/>
              </w:rPr>
              <w:t>1.1. – 31.3. 202</w:t>
            </w:r>
            <w:r>
              <w:rPr>
                <w:rFonts w:ascii="Arial" w:eastAsia="Calibri" w:hAnsi="Arial" w:cs="Arial"/>
                <w:b/>
                <w:bCs/>
                <w:iCs/>
                <w:color w:val="000000" w:themeColor="text1"/>
                <w:sz w:val="18"/>
                <w:szCs w:val="18"/>
              </w:rPr>
              <w:t>4</w:t>
            </w:r>
            <w:r w:rsidRPr="0040073C">
              <w:rPr>
                <w:rFonts w:ascii="Arial" w:eastAsia="Calibri" w:hAnsi="Arial" w:cs="Arial"/>
                <w:b/>
                <w:bCs/>
                <w:iCs/>
                <w:color w:val="000000" w:themeColor="text1"/>
                <w:sz w:val="18"/>
                <w:szCs w:val="18"/>
              </w:rPr>
              <w:t>.</w:t>
            </w:r>
            <w:bookmarkEnd w:id="532"/>
          </w:p>
        </w:tc>
        <w:tc>
          <w:tcPr>
            <w:tcW w:w="1215" w:type="dxa"/>
            <w:vAlign w:val="bottom"/>
          </w:tcPr>
          <w:p w14:paraId="3CEFD739" w14:textId="77777777" w:rsidR="00E76E63" w:rsidRPr="0040073C" w:rsidRDefault="00E76E63"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533" w:name="_Toc67329019"/>
            <w:r w:rsidRPr="0040073C">
              <w:rPr>
                <w:rFonts w:ascii="Arial" w:eastAsia="Calibri" w:hAnsi="Arial" w:cs="Arial"/>
                <w:b/>
                <w:bCs/>
                <w:iCs/>
                <w:color w:val="000000" w:themeColor="text1"/>
                <w:sz w:val="18"/>
                <w:szCs w:val="18"/>
              </w:rPr>
              <w:t>1.1. – 31.3. 202</w:t>
            </w:r>
            <w:r>
              <w:rPr>
                <w:rFonts w:ascii="Arial" w:eastAsia="Calibri" w:hAnsi="Arial" w:cs="Arial"/>
                <w:b/>
                <w:bCs/>
                <w:iCs/>
                <w:color w:val="000000" w:themeColor="text1"/>
                <w:sz w:val="18"/>
                <w:szCs w:val="18"/>
              </w:rPr>
              <w:t>3</w:t>
            </w:r>
            <w:r w:rsidRPr="0040073C">
              <w:rPr>
                <w:rFonts w:ascii="Arial" w:eastAsia="Calibri" w:hAnsi="Arial" w:cs="Arial"/>
                <w:b/>
                <w:bCs/>
                <w:iCs/>
                <w:color w:val="000000" w:themeColor="text1"/>
                <w:sz w:val="18"/>
                <w:szCs w:val="18"/>
              </w:rPr>
              <w:t>.</w:t>
            </w:r>
            <w:bookmarkEnd w:id="533"/>
          </w:p>
        </w:tc>
        <w:tc>
          <w:tcPr>
            <w:tcW w:w="1299" w:type="dxa"/>
            <w:vAlign w:val="bottom"/>
          </w:tcPr>
          <w:p w14:paraId="58207727" w14:textId="77777777" w:rsidR="00E76E63" w:rsidRPr="0040073C" w:rsidRDefault="00E76E63"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534" w:name="_Toc67329020"/>
            <w:r w:rsidRPr="0040073C">
              <w:rPr>
                <w:rFonts w:ascii="Arial" w:eastAsia="Calibri" w:hAnsi="Arial" w:cs="Arial"/>
                <w:b/>
                <w:bCs/>
                <w:iCs/>
                <w:color w:val="000000" w:themeColor="text1"/>
                <w:sz w:val="18"/>
                <w:szCs w:val="18"/>
              </w:rPr>
              <w:t>1.1. – 31.3. 202</w:t>
            </w:r>
            <w:r>
              <w:rPr>
                <w:rFonts w:ascii="Arial" w:eastAsia="Calibri" w:hAnsi="Arial" w:cs="Arial"/>
                <w:b/>
                <w:bCs/>
                <w:iCs/>
                <w:color w:val="000000" w:themeColor="text1"/>
                <w:sz w:val="18"/>
                <w:szCs w:val="18"/>
              </w:rPr>
              <w:t>3</w:t>
            </w:r>
            <w:r w:rsidRPr="0040073C">
              <w:rPr>
                <w:rFonts w:ascii="Arial" w:eastAsia="Calibri" w:hAnsi="Arial" w:cs="Arial"/>
                <w:b/>
                <w:bCs/>
                <w:iCs/>
                <w:color w:val="000000" w:themeColor="text1"/>
                <w:sz w:val="18"/>
                <w:szCs w:val="18"/>
              </w:rPr>
              <w:t>.</w:t>
            </w:r>
            <w:bookmarkEnd w:id="534"/>
          </w:p>
        </w:tc>
      </w:tr>
      <w:tr w:rsidR="00E76E63" w:rsidRPr="0040073C" w14:paraId="7DBC07DE" w14:textId="77777777" w:rsidTr="00422DD5">
        <w:trPr>
          <w:cantSplit/>
          <w:trHeight w:hRule="exact" w:val="284"/>
          <w:jc w:val="center"/>
        </w:trPr>
        <w:tc>
          <w:tcPr>
            <w:tcW w:w="3565" w:type="dxa"/>
            <w:vAlign w:val="bottom"/>
          </w:tcPr>
          <w:p w14:paraId="2C28BA0B" w14:textId="77777777" w:rsidR="00E76E63" w:rsidRPr="0040073C" w:rsidRDefault="00E76E63" w:rsidP="00422DD5">
            <w:pPr>
              <w:tabs>
                <w:tab w:val="right" w:pos="1202"/>
              </w:tabs>
              <w:suppressAutoHyphens/>
              <w:autoSpaceDN w:val="0"/>
              <w:outlineLvl w:val="0"/>
              <w:rPr>
                <w:rFonts w:ascii="Arial" w:eastAsia="Calibri" w:hAnsi="Arial" w:cs="Arial"/>
                <w:b/>
                <w:color w:val="000000" w:themeColor="text1"/>
                <w:sz w:val="18"/>
                <w:szCs w:val="18"/>
              </w:rPr>
            </w:pPr>
          </w:p>
        </w:tc>
        <w:tc>
          <w:tcPr>
            <w:tcW w:w="1350" w:type="dxa"/>
            <w:tcBorders>
              <w:top w:val="nil"/>
              <w:left w:val="nil"/>
              <w:bottom w:val="nil"/>
              <w:right w:val="nil"/>
            </w:tcBorders>
            <w:vAlign w:val="bottom"/>
          </w:tcPr>
          <w:p w14:paraId="317602B3" w14:textId="77777777" w:rsidR="00E76E63" w:rsidRPr="0040073C" w:rsidRDefault="00E76E63"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535" w:name="_Toc67329021"/>
            <w:r w:rsidRPr="0040073C">
              <w:rPr>
                <w:rFonts w:ascii="Arial" w:eastAsia="Calibri" w:hAnsi="Arial" w:cs="Arial"/>
                <w:b/>
                <w:bCs/>
                <w:color w:val="000000" w:themeColor="text1"/>
                <w:sz w:val="18"/>
                <w:szCs w:val="18"/>
              </w:rPr>
              <w:t>000 eura</w:t>
            </w:r>
            <w:bookmarkEnd w:id="535"/>
          </w:p>
        </w:tc>
        <w:tc>
          <w:tcPr>
            <w:tcW w:w="1351" w:type="dxa"/>
            <w:tcBorders>
              <w:top w:val="nil"/>
              <w:left w:val="nil"/>
              <w:bottom w:val="nil"/>
              <w:right w:val="nil"/>
            </w:tcBorders>
            <w:vAlign w:val="bottom"/>
          </w:tcPr>
          <w:p w14:paraId="17526A8A" w14:textId="77777777" w:rsidR="00E76E63" w:rsidRPr="0040073C" w:rsidRDefault="00E76E63"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536" w:name="_Toc67329022"/>
            <w:r w:rsidRPr="0040073C">
              <w:rPr>
                <w:rFonts w:ascii="Arial" w:eastAsia="Calibri" w:hAnsi="Arial" w:cs="Arial"/>
                <w:b/>
                <w:bCs/>
                <w:color w:val="000000" w:themeColor="text1"/>
                <w:sz w:val="18"/>
                <w:szCs w:val="18"/>
              </w:rPr>
              <w:t>000 eura</w:t>
            </w:r>
            <w:bookmarkEnd w:id="536"/>
          </w:p>
        </w:tc>
        <w:tc>
          <w:tcPr>
            <w:tcW w:w="1215" w:type="dxa"/>
            <w:tcBorders>
              <w:top w:val="nil"/>
              <w:left w:val="nil"/>
              <w:bottom w:val="nil"/>
              <w:right w:val="nil"/>
            </w:tcBorders>
            <w:vAlign w:val="bottom"/>
          </w:tcPr>
          <w:p w14:paraId="4FCDFDFC" w14:textId="77777777" w:rsidR="00E76E63" w:rsidRPr="0040073C" w:rsidRDefault="00E76E63"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537" w:name="_Toc67329023"/>
            <w:r w:rsidRPr="0040073C">
              <w:rPr>
                <w:rFonts w:ascii="Arial" w:eastAsia="Calibri" w:hAnsi="Arial" w:cs="Arial"/>
                <w:b/>
                <w:bCs/>
                <w:color w:val="000000" w:themeColor="text1"/>
                <w:sz w:val="18"/>
                <w:szCs w:val="18"/>
              </w:rPr>
              <w:t>000 eura</w:t>
            </w:r>
            <w:bookmarkEnd w:id="537"/>
          </w:p>
        </w:tc>
        <w:tc>
          <w:tcPr>
            <w:tcW w:w="1299" w:type="dxa"/>
            <w:tcBorders>
              <w:top w:val="nil"/>
              <w:left w:val="nil"/>
              <w:bottom w:val="nil"/>
              <w:right w:val="nil"/>
            </w:tcBorders>
            <w:vAlign w:val="bottom"/>
          </w:tcPr>
          <w:p w14:paraId="2C957BD3" w14:textId="77777777" w:rsidR="00E76E63" w:rsidRPr="0040073C" w:rsidRDefault="00E76E63" w:rsidP="00422DD5">
            <w:pPr>
              <w:tabs>
                <w:tab w:val="right" w:pos="1202"/>
              </w:tabs>
              <w:suppressAutoHyphens/>
              <w:autoSpaceDN w:val="0"/>
              <w:jc w:val="right"/>
              <w:outlineLvl w:val="0"/>
              <w:rPr>
                <w:rFonts w:ascii="Arial" w:eastAsia="Calibri" w:hAnsi="Arial" w:cs="Arial"/>
                <w:b/>
                <w:bCs/>
                <w:iCs/>
                <w:color w:val="000000" w:themeColor="text1"/>
                <w:sz w:val="18"/>
                <w:szCs w:val="18"/>
              </w:rPr>
            </w:pPr>
            <w:bookmarkStart w:id="538" w:name="_Toc67329024"/>
            <w:r w:rsidRPr="0040073C">
              <w:rPr>
                <w:rFonts w:ascii="Arial" w:eastAsia="Calibri" w:hAnsi="Arial" w:cs="Arial"/>
                <w:b/>
                <w:bCs/>
                <w:color w:val="000000" w:themeColor="text1"/>
                <w:sz w:val="18"/>
                <w:szCs w:val="18"/>
              </w:rPr>
              <w:t>000 eura</w:t>
            </w:r>
            <w:bookmarkEnd w:id="538"/>
          </w:p>
        </w:tc>
      </w:tr>
      <w:tr w:rsidR="00E76E63" w:rsidRPr="0040073C" w14:paraId="5B8A825E" w14:textId="77777777" w:rsidTr="00422DD5">
        <w:trPr>
          <w:cantSplit/>
          <w:trHeight w:hRule="exact" w:val="284"/>
          <w:jc w:val="center"/>
        </w:trPr>
        <w:tc>
          <w:tcPr>
            <w:tcW w:w="3565" w:type="dxa"/>
            <w:vAlign w:val="bottom"/>
          </w:tcPr>
          <w:p w14:paraId="3186D506" w14:textId="77777777" w:rsidR="00E76E63" w:rsidRPr="0040073C" w:rsidRDefault="00E76E63" w:rsidP="00422DD5">
            <w:pPr>
              <w:tabs>
                <w:tab w:val="right" w:pos="1202"/>
              </w:tabs>
              <w:suppressAutoHyphens/>
              <w:autoSpaceDN w:val="0"/>
              <w:outlineLvl w:val="0"/>
              <w:rPr>
                <w:rFonts w:ascii="Arial" w:eastAsia="Calibri" w:hAnsi="Arial" w:cs="Arial"/>
                <w:color w:val="000000" w:themeColor="text1"/>
                <w:sz w:val="18"/>
                <w:szCs w:val="18"/>
              </w:rPr>
            </w:pPr>
            <w:bookmarkStart w:id="539" w:name="_Toc67329025"/>
            <w:r w:rsidRPr="0040073C">
              <w:rPr>
                <w:rFonts w:ascii="Arial" w:eastAsia="Calibri" w:hAnsi="Arial" w:cs="Arial"/>
                <w:color w:val="000000" w:themeColor="text1"/>
                <w:sz w:val="18"/>
                <w:szCs w:val="18"/>
              </w:rPr>
              <w:t>Vlasnik</w:t>
            </w:r>
            <w:bookmarkEnd w:id="539"/>
          </w:p>
        </w:tc>
        <w:tc>
          <w:tcPr>
            <w:tcW w:w="1350" w:type="dxa"/>
            <w:shd w:val="clear" w:color="auto" w:fill="auto"/>
            <w:vAlign w:val="bottom"/>
          </w:tcPr>
          <w:p w14:paraId="1CA706F2" w14:textId="77777777" w:rsidR="00E76E63" w:rsidRPr="0040073C" w:rsidRDefault="00E76E63" w:rsidP="00422DD5">
            <w:pPr>
              <w:tabs>
                <w:tab w:val="right" w:pos="1202"/>
              </w:tabs>
              <w:suppressAutoHyphens/>
              <w:autoSpaceDN w:val="0"/>
              <w:jc w:val="right"/>
              <w:outlineLvl w:val="0"/>
              <w:rPr>
                <w:rFonts w:ascii="Arial" w:eastAsia="Times New Roman" w:hAnsi="Arial" w:cs="Arial"/>
                <w:bCs/>
                <w:iCs/>
                <w:color w:val="000000" w:themeColor="text1"/>
                <w:sz w:val="18"/>
                <w:szCs w:val="18"/>
              </w:rPr>
            </w:pPr>
            <w:r w:rsidRPr="00900DAF">
              <w:rPr>
                <w:rFonts w:ascii="Arial" w:eastAsia="Times New Roman" w:hAnsi="Arial" w:cs="Arial"/>
                <w:bCs/>
                <w:iCs/>
                <w:color w:val="000000" w:themeColor="text1"/>
                <w:sz w:val="18"/>
                <w:szCs w:val="18"/>
              </w:rPr>
              <w:t>2.051</w:t>
            </w:r>
          </w:p>
        </w:tc>
        <w:tc>
          <w:tcPr>
            <w:tcW w:w="1351" w:type="dxa"/>
            <w:shd w:val="clear" w:color="auto" w:fill="auto"/>
            <w:vAlign w:val="bottom"/>
          </w:tcPr>
          <w:p w14:paraId="4EC23B7E" w14:textId="77777777" w:rsidR="00E76E63" w:rsidRPr="0040073C" w:rsidRDefault="00E76E63" w:rsidP="00422DD5">
            <w:pPr>
              <w:tabs>
                <w:tab w:val="right" w:pos="1202"/>
              </w:tabs>
              <w:suppressAutoHyphens/>
              <w:autoSpaceDN w:val="0"/>
              <w:jc w:val="right"/>
              <w:outlineLvl w:val="0"/>
              <w:rPr>
                <w:rFonts w:ascii="Arial" w:eastAsia="Times New Roman" w:hAnsi="Arial" w:cs="Arial"/>
                <w:bCs/>
                <w:iCs/>
                <w:color w:val="000000" w:themeColor="text1"/>
                <w:sz w:val="18"/>
                <w:szCs w:val="18"/>
              </w:rPr>
            </w:pPr>
            <w:r w:rsidRPr="00900DAF">
              <w:rPr>
                <w:rFonts w:ascii="Arial" w:eastAsia="Times New Roman" w:hAnsi="Arial" w:cs="Arial"/>
                <w:bCs/>
                <w:iCs/>
                <w:color w:val="000000" w:themeColor="text1"/>
                <w:sz w:val="18"/>
                <w:szCs w:val="18"/>
              </w:rPr>
              <w:t>3.368</w:t>
            </w:r>
          </w:p>
        </w:tc>
        <w:tc>
          <w:tcPr>
            <w:tcW w:w="1215" w:type="dxa"/>
            <w:shd w:val="clear" w:color="auto" w:fill="auto"/>
            <w:vAlign w:val="bottom"/>
          </w:tcPr>
          <w:p w14:paraId="0C7138DA" w14:textId="77777777" w:rsidR="00E76E63" w:rsidRPr="0040073C" w:rsidRDefault="00E76E63" w:rsidP="00422DD5">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40073C">
              <w:rPr>
                <w:rFonts w:ascii="Arial" w:hAnsi="Arial" w:cs="Arial"/>
                <w:sz w:val="18"/>
                <w:szCs w:val="18"/>
              </w:rPr>
              <w:t>1.667</w:t>
            </w:r>
          </w:p>
        </w:tc>
        <w:tc>
          <w:tcPr>
            <w:tcW w:w="1299" w:type="dxa"/>
            <w:shd w:val="clear" w:color="auto" w:fill="auto"/>
            <w:vAlign w:val="bottom"/>
          </w:tcPr>
          <w:p w14:paraId="6E9EC222" w14:textId="77777777" w:rsidR="00E76E63" w:rsidRPr="0040073C" w:rsidRDefault="00E76E63" w:rsidP="00422DD5">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40073C">
              <w:rPr>
                <w:rFonts w:ascii="Arial" w:hAnsi="Arial" w:cs="Arial"/>
                <w:sz w:val="18"/>
                <w:szCs w:val="18"/>
              </w:rPr>
              <w:t>602</w:t>
            </w:r>
          </w:p>
        </w:tc>
      </w:tr>
      <w:tr w:rsidR="00E76E63" w:rsidRPr="0040073C" w14:paraId="74B739E0" w14:textId="77777777" w:rsidTr="00422DD5">
        <w:trPr>
          <w:cantSplit/>
          <w:trHeight w:hRule="exact" w:val="284"/>
          <w:jc w:val="center"/>
        </w:trPr>
        <w:tc>
          <w:tcPr>
            <w:tcW w:w="3565" w:type="dxa"/>
            <w:vAlign w:val="bottom"/>
          </w:tcPr>
          <w:p w14:paraId="6BB83F44" w14:textId="77777777" w:rsidR="00E76E63" w:rsidRPr="0040073C" w:rsidRDefault="00E76E63" w:rsidP="00422DD5">
            <w:pPr>
              <w:tabs>
                <w:tab w:val="right" w:pos="1202"/>
              </w:tabs>
              <w:suppressAutoHyphens/>
              <w:autoSpaceDN w:val="0"/>
              <w:outlineLvl w:val="0"/>
              <w:rPr>
                <w:rFonts w:ascii="Arial" w:eastAsia="Calibri" w:hAnsi="Arial" w:cs="Arial"/>
                <w:color w:val="000000" w:themeColor="text1"/>
                <w:sz w:val="18"/>
                <w:szCs w:val="18"/>
              </w:rPr>
            </w:pPr>
            <w:bookmarkStart w:id="540" w:name="_Toc67329030"/>
            <w:r w:rsidRPr="0040073C">
              <w:rPr>
                <w:rFonts w:ascii="Arial" w:eastAsia="Calibri" w:hAnsi="Arial" w:cs="Arial"/>
                <w:color w:val="000000" w:themeColor="text1"/>
                <w:sz w:val="18"/>
                <w:szCs w:val="18"/>
              </w:rPr>
              <w:t>Državni fondovi, izvršna tijela i agencije</w:t>
            </w:r>
            <w:bookmarkEnd w:id="540"/>
          </w:p>
        </w:tc>
        <w:tc>
          <w:tcPr>
            <w:tcW w:w="1350" w:type="dxa"/>
            <w:shd w:val="clear" w:color="auto" w:fill="auto"/>
            <w:vAlign w:val="bottom"/>
          </w:tcPr>
          <w:p w14:paraId="165FFBDB" w14:textId="77777777" w:rsidR="00E76E63" w:rsidRPr="0040073C" w:rsidRDefault="00E76E63" w:rsidP="00422DD5">
            <w:pPr>
              <w:tabs>
                <w:tab w:val="right" w:pos="1202"/>
              </w:tabs>
              <w:suppressAutoHyphens/>
              <w:autoSpaceDN w:val="0"/>
              <w:jc w:val="right"/>
              <w:outlineLvl w:val="0"/>
              <w:rPr>
                <w:rFonts w:ascii="Arial" w:eastAsia="Times New Roman" w:hAnsi="Arial" w:cs="Arial"/>
                <w:bCs/>
                <w:iCs/>
                <w:color w:val="000000" w:themeColor="text1"/>
                <w:sz w:val="18"/>
                <w:szCs w:val="18"/>
              </w:rPr>
            </w:pPr>
            <w:r w:rsidRPr="00900DAF">
              <w:rPr>
                <w:rFonts w:ascii="Arial" w:eastAsia="Times New Roman" w:hAnsi="Arial" w:cs="Arial"/>
                <w:bCs/>
                <w:iCs/>
                <w:color w:val="000000" w:themeColor="text1"/>
                <w:sz w:val="18"/>
                <w:szCs w:val="18"/>
              </w:rPr>
              <w:t>3.608</w:t>
            </w:r>
          </w:p>
        </w:tc>
        <w:tc>
          <w:tcPr>
            <w:tcW w:w="1351" w:type="dxa"/>
            <w:shd w:val="clear" w:color="auto" w:fill="auto"/>
            <w:vAlign w:val="bottom"/>
          </w:tcPr>
          <w:p w14:paraId="7B4DC69D" w14:textId="77777777" w:rsidR="00E76E63" w:rsidRPr="0040073C" w:rsidRDefault="00E76E63" w:rsidP="00422DD5">
            <w:pPr>
              <w:tabs>
                <w:tab w:val="right" w:pos="1202"/>
              </w:tabs>
              <w:suppressAutoHyphens/>
              <w:autoSpaceDN w:val="0"/>
              <w:jc w:val="right"/>
              <w:outlineLvl w:val="0"/>
              <w:rPr>
                <w:rFonts w:ascii="Arial" w:eastAsia="Times New Roman" w:hAnsi="Arial" w:cs="Arial"/>
                <w:bCs/>
                <w:iCs/>
                <w:color w:val="000000" w:themeColor="text1"/>
                <w:sz w:val="18"/>
                <w:szCs w:val="18"/>
              </w:rPr>
            </w:pPr>
            <w:r w:rsidRPr="00900DAF">
              <w:rPr>
                <w:rFonts w:ascii="Arial" w:eastAsia="Times New Roman" w:hAnsi="Arial" w:cs="Arial"/>
                <w:bCs/>
                <w:iCs/>
                <w:color w:val="000000" w:themeColor="text1"/>
                <w:sz w:val="18"/>
                <w:szCs w:val="18"/>
              </w:rPr>
              <w:t>17</w:t>
            </w:r>
          </w:p>
        </w:tc>
        <w:tc>
          <w:tcPr>
            <w:tcW w:w="1215" w:type="dxa"/>
            <w:shd w:val="clear" w:color="auto" w:fill="auto"/>
            <w:vAlign w:val="bottom"/>
          </w:tcPr>
          <w:p w14:paraId="71C96EDE" w14:textId="77777777" w:rsidR="00E76E63" w:rsidRPr="0040073C" w:rsidRDefault="00E76E63" w:rsidP="00422DD5">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40073C">
              <w:rPr>
                <w:rFonts w:ascii="Arial" w:hAnsi="Arial" w:cs="Arial"/>
                <w:sz w:val="18"/>
                <w:szCs w:val="18"/>
              </w:rPr>
              <w:t>3.854</w:t>
            </w:r>
          </w:p>
        </w:tc>
        <w:tc>
          <w:tcPr>
            <w:tcW w:w="1299" w:type="dxa"/>
            <w:shd w:val="clear" w:color="auto" w:fill="auto"/>
            <w:vAlign w:val="bottom"/>
          </w:tcPr>
          <w:p w14:paraId="57AF21F9" w14:textId="77777777" w:rsidR="00E76E63" w:rsidRPr="0040073C" w:rsidRDefault="00E76E63" w:rsidP="00422DD5">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40073C">
              <w:rPr>
                <w:rFonts w:ascii="Arial" w:hAnsi="Arial" w:cs="Arial"/>
                <w:sz w:val="18"/>
                <w:szCs w:val="18"/>
              </w:rPr>
              <w:t>33</w:t>
            </w:r>
          </w:p>
        </w:tc>
      </w:tr>
      <w:tr w:rsidR="00E76E63" w:rsidRPr="0040073C" w14:paraId="257B73B6" w14:textId="77777777" w:rsidTr="00422DD5">
        <w:trPr>
          <w:cantSplit/>
          <w:trHeight w:hRule="exact" w:val="284"/>
          <w:jc w:val="center"/>
        </w:trPr>
        <w:tc>
          <w:tcPr>
            <w:tcW w:w="3565" w:type="dxa"/>
            <w:vAlign w:val="bottom"/>
          </w:tcPr>
          <w:p w14:paraId="34344036" w14:textId="77777777" w:rsidR="00E76E63" w:rsidRPr="0040073C" w:rsidRDefault="00E76E63" w:rsidP="00422DD5">
            <w:pPr>
              <w:tabs>
                <w:tab w:val="right" w:pos="1202"/>
              </w:tabs>
              <w:suppressAutoHyphens/>
              <w:autoSpaceDN w:val="0"/>
              <w:outlineLvl w:val="0"/>
              <w:rPr>
                <w:rFonts w:ascii="Arial" w:eastAsia="Calibri" w:hAnsi="Arial" w:cs="Arial"/>
                <w:color w:val="000000" w:themeColor="text1"/>
                <w:sz w:val="18"/>
                <w:szCs w:val="18"/>
              </w:rPr>
            </w:pPr>
            <w:bookmarkStart w:id="541" w:name="_Toc67329035"/>
            <w:r w:rsidRPr="0040073C">
              <w:rPr>
                <w:rFonts w:ascii="Arial" w:eastAsia="Calibri" w:hAnsi="Arial" w:cs="Arial"/>
                <w:color w:val="000000" w:themeColor="text1"/>
                <w:sz w:val="18"/>
                <w:szCs w:val="18"/>
              </w:rPr>
              <w:t>Državna trgovačka društva</w:t>
            </w:r>
            <w:bookmarkEnd w:id="541"/>
          </w:p>
        </w:tc>
        <w:tc>
          <w:tcPr>
            <w:tcW w:w="1350" w:type="dxa"/>
            <w:shd w:val="clear" w:color="auto" w:fill="auto"/>
            <w:vAlign w:val="bottom"/>
          </w:tcPr>
          <w:p w14:paraId="53901894" w14:textId="77777777" w:rsidR="00E76E63" w:rsidRPr="0040073C" w:rsidRDefault="00E76E63" w:rsidP="00422DD5">
            <w:pPr>
              <w:tabs>
                <w:tab w:val="right" w:pos="1202"/>
              </w:tabs>
              <w:suppressAutoHyphens/>
              <w:autoSpaceDN w:val="0"/>
              <w:jc w:val="right"/>
              <w:outlineLvl w:val="0"/>
              <w:rPr>
                <w:rFonts w:ascii="Arial" w:eastAsia="Times New Roman" w:hAnsi="Arial" w:cs="Arial"/>
                <w:bCs/>
                <w:iCs/>
                <w:color w:val="000000" w:themeColor="text1"/>
                <w:sz w:val="18"/>
                <w:szCs w:val="18"/>
              </w:rPr>
            </w:pPr>
            <w:r w:rsidRPr="00900DAF">
              <w:rPr>
                <w:rFonts w:ascii="Arial" w:eastAsia="Times New Roman" w:hAnsi="Arial" w:cs="Arial"/>
                <w:bCs/>
                <w:iCs/>
                <w:color w:val="000000" w:themeColor="text1"/>
                <w:sz w:val="18"/>
                <w:szCs w:val="18"/>
              </w:rPr>
              <w:t>7.888</w:t>
            </w:r>
          </w:p>
        </w:tc>
        <w:tc>
          <w:tcPr>
            <w:tcW w:w="1351" w:type="dxa"/>
            <w:shd w:val="clear" w:color="auto" w:fill="auto"/>
            <w:vAlign w:val="bottom"/>
          </w:tcPr>
          <w:p w14:paraId="5A0BD21C" w14:textId="77777777" w:rsidR="00E76E63" w:rsidRPr="0040073C" w:rsidRDefault="00E76E63" w:rsidP="00422DD5">
            <w:pPr>
              <w:tabs>
                <w:tab w:val="right" w:pos="1202"/>
              </w:tabs>
              <w:suppressAutoHyphens/>
              <w:autoSpaceDN w:val="0"/>
              <w:jc w:val="right"/>
              <w:outlineLvl w:val="0"/>
              <w:rPr>
                <w:rFonts w:ascii="Arial" w:eastAsia="Times New Roman" w:hAnsi="Arial" w:cs="Arial"/>
                <w:bCs/>
                <w:iCs/>
                <w:color w:val="000000" w:themeColor="text1"/>
                <w:sz w:val="18"/>
                <w:szCs w:val="18"/>
              </w:rPr>
            </w:pPr>
            <w:r w:rsidRPr="00900DAF">
              <w:rPr>
                <w:rFonts w:ascii="Arial" w:eastAsia="Times New Roman" w:hAnsi="Arial" w:cs="Arial"/>
                <w:bCs/>
                <w:iCs/>
                <w:color w:val="000000" w:themeColor="text1"/>
                <w:sz w:val="18"/>
                <w:szCs w:val="18"/>
              </w:rPr>
              <w:t>813</w:t>
            </w:r>
          </w:p>
        </w:tc>
        <w:tc>
          <w:tcPr>
            <w:tcW w:w="1215" w:type="dxa"/>
            <w:shd w:val="clear" w:color="auto" w:fill="auto"/>
            <w:vAlign w:val="bottom"/>
          </w:tcPr>
          <w:p w14:paraId="12886F0A" w14:textId="77777777" w:rsidR="00E76E63" w:rsidRPr="0040073C" w:rsidRDefault="00E76E63" w:rsidP="00422DD5">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40073C">
              <w:rPr>
                <w:rFonts w:ascii="Arial" w:hAnsi="Arial" w:cs="Arial"/>
                <w:sz w:val="18"/>
                <w:szCs w:val="18"/>
              </w:rPr>
              <w:t>2.465</w:t>
            </w:r>
          </w:p>
        </w:tc>
        <w:tc>
          <w:tcPr>
            <w:tcW w:w="1299" w:type="dxa"/>
            <w:shd w:val="clear" w:color="auto" w:fill="auto"/>
            <w:vAlign w:val="bottom"/>
          </w:tcPr>
          <w:p w14:paraId="17189792" w14:textId="77777777" w:rsidR="00E76E63" w:rsidRPr="0040073C" w:rsidRDefault="00E76E63" w:rsidP="00422DD5">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40073C">
              <w:rPr>
                <w:rFonts w:ascii="Arial" w:hAnsi="Arial" w:cs="Arial"/>
                <w:sz w:val="18"/>
                <w:szCs w:val="18"/>
              </w:rPr>
              <w:t>3.616</w:t>
            </w:r>
          </w:p>
        </w:tc>
      </w:tr>
      <w:tr w:rsidR="00E76E63" w:rsidRPr="0040073C" w14:paraId="2B9A34CA" w14:textId="77777777" w:rsidTr="00422DD5">
        <w:trPr>
          <w:cantSplit/>
          <w:trHeight w:hRule="exact" w:val="284"/>
          <w:jc w:val="center"/>
        </w:trPr>
        <w:tc>
          <w:tcPr>
            <w:tcW w:w="3565" w:type="dxa"/>
            <w:vAlign w:val="bottom"/>
          </w:tcPr>
          <w:p w14:paraId="0C12E563" w14:textId="77777777" w:rsidR="00E76E63" w:rsidRPr="0040073C" w:rsidRDefault="00E76E63" w:rsidP="00422DD5">
            <w:pPr>
              <w:tabs>
                <w:tab w:val="right" w:pos="1202"/>
              </w:tabs>
              <w:suppressAutoHyphens/>
              <w:autoSpaceDN w:val="0"/>
              <w:outlineLvl w:val="0"/>
              <w:rPr>
                <w:rFonts w:ascii="Arial" w:eastAsia="Calibri" w:hAnsi="Arial" w:cs="Arial"/>
                <w:color w:val="000000" w:themeColor="text1"/>
                <w:sz w:val="18"/>
                <w:szCs w:val="18"/>
              </w:rPr>
            </w:pPr>
            <w:r w:rsidRPr="0087267F">
              <w:rPr>
                <w:rFonts w:ascii="Arial" w:eastAsia="Calibri" w:hAnsi="Arial" w:cs="Arial"/>
                <w:color w:val="000000" w:themeColor="text1"/>
                <w:sz w:val="18"/>
                <w:szCs w:val="18"/>
              </w:rPr>
              <w:t>Ključni članovi rukovodstva</w:t>
            </w:r>
          </w:p>
        </w:tc>
        <w:tc>
          <w:tcPr>
            <w:tcW w:w="1350" w:type="dxa"/>
            <w:shd w:val="clear" w:color="auto" w:fill="auto"/>
            <w:vAlign w:val="bottom"/>
          </w:tcPr>
          <w:p w14:paraId="4BF6B964" w14:textId="77777777" w:rsidR="00E76E63" w:rsidRPr="0040073C" w:rsidRDefault="00E76E63" w:rsidP="00422DD5">
            <w:pPr>
              <w:tabs>
                <w:tab w:val="right" w:pos="1202"/>
              </w:tabs>
              <w:suppressAutoHyphens/>
              <w:autoSpaceDN w:val="0"/>
              <w:jc w:val="right"/>
              <w:outlineLvl w:val="0"/>
              <w:rPr>
                <w:rFonts w:ascii="Arial" w:hAnsi="Arial" w:cs="Arial"/>
                <w:sz w:val="18"/>
                <w:szCs w:val="18"/>
              </w:rPr>
            </w:pPr>
            <w:r w:rsidRPr="00900DAF">
              <w:rPr>
                <w:rFonts w:ascii="Arial" w:hAnsi="Arial" w:cs="Arial"/>
                <w:sz w:val="18"/>
                <w:szCs w:val="18"/>
              </w:rPr>
              <w:t>2</w:t>
            </w:r>
          </w:p>
        </w:tc>
        <w:tc>
          <w:tcPr>
            <w:tcW w:w="1351" w:type="dxa"/>
            <w:shd w:val="clear" w:color="auto" w:fill="auto"/>
            <w:vAlign w:val="bottom"/>
          </w:tcPr>
          <w:p w14:paraId="53331488" w14:textId="77777777" w:rsidR="00E76E63" w:rsidRPr="0040073C" w:rsidRDefault="00E76E63" w:rsidP="00422DD5">
            <w:pPr>
              <w:tabs>
                <w:tab w:val="right" w:pos="1202"/>
              </w:tabs>
              <w:suppressAutoHyphens/>
              <w:autoSpaceDN w:val="0"/>
              <w:jc w:val="right"/>
              <w:outlineLvl w:val="0"/>
              <w:rPr>
                <w:rFonts w:ascii="Arial" w:hAnsi="Arial" w:cs="Arial"/>
                <w:sz w:val="18"/>
                <w:szCs w:val="18"/>
              </w:rPr>
            </w:pPr>
            <w:r w:rsidRPr="00900DAF">
              <w:rPr>
                <w:rFonts w:ascii="Arial" w:hAnsi="Arial" w:cs="Arial"/>
                <w:sz w:val="18"/>
                <w:szCs w:val="18"/>
              </w:rPr>
              <w:t>352</w:t>
            </w:r>
          </w:p>
        </w:tc>
        <w:tc>
          <w:tcPr>
            <w:tcW w:w="1215" w:type="dxa"/>
            <w:shd w:val="clear" w:color="auto" w:fill="auto"/>
            <w:vAlign w:val="bottom"/>
          </w:tcPr>
          <w:p w14:paraId="69A79220" w14:textId="77777777" w:rsidR="00E76E63" w:rsidRPr="0040073C" w:rsidRDefault="00E76E63" w:rsidP="00422DD5">
            <w:pPr>
              <w:tabs>
                <w:tab w:val="right" w:pos="1202"/>
              </w:tabs>
              <w:suppressAutoHyphens/>
              <w:autoSpaceDN w:val="0"/>
              <w:spacing w:line="280" w:lineRule="exact"/>
              <w:jc w:val="right"/>
              <w:outlineLvl w:val="0"/>
              <w:rPr>
                <w:rFonts w:ascii="Arial" w:eastAsia="Times New Roman" w:hAnsi="Arial" w:cs="Arial"/>
                <w:color w:val="000000"/>
                <w:sz w:val="18"/>
                <w:szCs w:val="18"/>
              </w:rPr>
            </w:pPr>
            <w:r>
              <w:rPr>
                <w:rFonts w:ascii="Arial" w:hAnsi="Arial" w:cs="Arial"/>
                <w:sz w:val="18"/>
                <w:szCs w:val="18"/>
              </w:rPr>
              <w:t>2</w:t>
            </w:r>
          </w:p>
        </w:tc>
        <w:tc>
          <w:tcPr>
            <w:tcW w:w="1299" w:type="dxa"/>
            <w:shd w:val="clear" w:color="auto" w:fill="auto"/>
            <w:vAlign w:val="bottom"/>
          </w:tcPr>
          <w:p w14:paraId="5C9DC4F8" w14:textId="77777777" w:rsidR="00E76E63" w:rsidRPr="0040073C" w:rsidRDefault="00E76E63" w:rsidP="00422DD5">
            <w:pPr>
              <w:tabs>
                <w:tab w:val="right" w:pos="1202"/>
              </w:tabs>
              <w:suppressAutoHyphens/>
              <w:autoSpaceDN w:val="0"/>
              <w:spacing w:line="280" w:lineRule="exact"/>
              <w:jc w:val="right"/>
              <w:outlineLvl w:val="0"/>
              <w:rPr>
                <w:rFonts w:ascii="Arial" w:eastAsia="Times New Roman" w:hAnsi="Arial" w:cs="Arial"/>
                <w:color w:val="000000"/>
                <w:sz w:val="18"/>
                <w:szCs w:val="18"/>
              </w:rPr>
            </w:pPr>
            <w:r>
              <w:rPr>
                <w:rFonts w:ascii="Arial" w:hAnsi="Arial" w:cs="Arial"/>
                <w:sz w:val="18"/>
                <w:szCs w:val="18"/>
              </w:rPr>
              <w:t>358</w:t>
            </w:r>
          </w:p>
        </w:tc>
      </w:tr>
      <w:tr w:rsidR="00E76E63" w:rsidRPr="0040073C" w14:paraId="0D1B07F9" w14:textId="77777777" w:rsidTr="00422DD5">
        <w:trPr>
          <w:cantSplit/>
          <w:trHeight w:val="323"/>
          <w:jc w:val="center"/>
        </w:trPr>
        <w:tc>
          <w:tcPr>
            <w:tcW w:w="3565" w:type="dxa"/>
            <w:vAlign w:val="bottom"/>
          </w:tcPr>
          <w:p w14:paraId="55E7E2ED" w14:textId="77777777" w:rsidR="00E76E63" w:rsidRPr="0040073C" w:rsidRDefault="00E76E63" w:rsidP="00422DD5">
            <w:pPr>
              <w:tabs>
                <w:tab w:val="right" w:pos="1202"/>
              </w:tabs>
              <w:suppressAutoHyphens/>
              <w:autoSpaceDN w:val="0"/>
              <w:outlineLvl w:val="0"/>
              <w:rPr>
                <w:rFonts w:ascii="Arial" w:eastAsia="Calibri" w:hAnsi="Arial" w:cs="Arial"/>
                <w:b/>
                <w:color w:val="000000" w:themeColor="text1"/>
                <w:sz w:val="18"/>
                <w:szCs w:val="18"/>
              </w:rPr>
            </w:pPr>
            <w:bookmarkStart w:id="542" w:name="_Toc67329050"/>
            <w:r w:rsidRPr="0040073C">
              <w:rPr>
                <w:rFonts w:ascii="Arial" w:eastAsia="Calibri" w:hAnsi="Arial" w:cs="Arial"/>
                <w:b/>
                <w:color w:val="000000" w:themeColor="text1"/>
                <w:sz w:val="18"/>
                <w:szCs w:val="18"/>
              </w:rPr>
              <w:t>Ukupno</w:t>
            </w:r>
            <w:bookmarkEnd w:id="542"/>
          </w:p>
        </w:tc>
        <w:tc>
          <w:tcPr>
            <w:tcW w:w="1350" w:type="dxa"/>
            <w:tcBorders>
              <w:top w:val="single" w:sz="4" w:space="0" w:color="auto"/>
              <w:bottom w:val="single" w:sz="12" w:space="0" w:color="auto"/>
            </w:tcBorders>
            <w:shd w:val="clear" w:color="auto" w:fill="auto"/>
            <w:vAlign w:val="bottom"/>
          </w:tcPr>
          <w:p w14:paraId="3BF98B1E" w14:textId="77777777" w:rsidR="00E76E63" w:rsidRPr="0040073C" w:rsidRDefault="00E76E63" w:rsidP="00422DD5">
            <w:pPr>
              <w:tabs>
                <w:tab w:val="right" w:pos="1202"/>
              </w:tabs>
              <w:suppressAutoHyphens/>
              <w:autoSpaceDN w:val="0"/>
              <w:jc w:val="right"/>
              <w:outlineLvl w:val="0"/>
              <w:rPr>
                <w:rFonts w:ascii="Arial" w:eastAsia="Times New Roman" w:hAnsi="Arial" w:cs="Arial"/>
                <w:b/>
                <w:bCs/>
                <w:color w:val="000000" w:themeColor="text1"/>
                <w:sz w:val="18"/>
                <w:szCs w:val="18"/>
              </w:rPr>
            </w:pPr>
            <w:r w:rsidRPr="00900DAF">
              <w:rPr>
                <w:rFonts w:ascii="Arial" w:eastAsia="Times New Roman" w:hAnsi="Arial" w:cs="Arial"/>
                <w:b/>
                <w:bCs/>
                <w:color w:val="000000" w:themeColor="text1"/>
                <w:sz w:val="18"/>
                <w:szCs w:val="18"/>
              </w:rPr>
              <w:t>13.549</w:t>
            </w:r>
          </w:p>
        </w:tc>
        <w:tc>
          <w:tcPr>
            <w:tcW w:w="1351" w:type="dxa"/>
            <w:tcBorders>
              <w:top w:val="single" w:sz="4" w:space="0" w:color="auto"/>
              <w:bottom w:val="single" w:sz="12" w:space="0" w:color="auto"/>
            </w:tcBorders>
            <w:shd w:val="clear" w:color="auto" w:fill="auto"/>
            <w:vAlign w:val="bottom"/>
          </w:tcPr>
          <w:p w14:paraId="6F5AE2C0" w14:textId="77777777" w:rsidR="00E76E63" w:rsidRPr="0040073C" w:rsidRDefault="00E76E63" w:rsidP="00422DD5">
            <w:pPr>
              <w:tabs>
                <w:tab w:val="right" w:pos="1202"/>
              </w:tabs>
              <w:suppressAutoHyphens/>
              <w:autoSpaceDN w:val="0"/>
              <w:jc w:val="right"/>
              <w:outlineLvl w:val="0"/>
              <w:rPr>
                <w:rFonts w:ascii="Arial" w:eastAsia="Times New Roman" w:hAnsi="Arial" w:cs="Arial"/>
                <w:b/>
                <w:bCs/>
                <w:color w:val="000000" w:themeColor="text1"/>
                <w:sz w:val="18"/>
                <w:szCs w:val="18"/>
              </w:rPr>
            </w:pPr>
            <w:r w:rsidRPr="00900DAF">
              <w:rPr>
                <w:rFonts w:ascii="Arial" w:eastAsia="Times New Roman" w:hAnsi="Arial" w:cs="Arial"/>
                <w:b/>
                <w:bCs/>
                <w:color w:val="000000" w:themeColor="text1"/>
                <w:sz w:val="18"/>
                <w:szCs w:val="18"/>
              </w:rPr>
              <w:t>4.550</w:t>
            </w:r>
          </w:p>
        </w:tc>
        <w:tc>
          <w:tcPr>
            <w:tcW w:w="1215" w:type="dxa"/>
            <w:tcBorders>
              <w:top w:val="single" w:sz="4" w:space="0" w:color="auto"/>
              <w:bottom w:val="single" w:sz="12" w:space="0" w:color="auto"/>
            </w:tcBorders>
            <w:shd w:val="clear" w:color="auto" w:fill="auto"/>
            <w:vAlign w:val="bottom"/>
          </w:tcPr>
          <w:p w14:paraId="0CB9CC53" w14:textId="77777777" w:rsidR="00E76E63" w:rsidRPr="0040073C" w:rsidRDefault="00E76E63" w:rsidP="00422DD5">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40073C">
              <w:rPr>
                <w:rFonts w:ascii="Arial" w:hAnsi="Arial" w:cs="Arial"/>
                <w:b/>
                <w:bCs/>
                <w:sz w:val="18"/>
                <w:szCs w:val="18"/>
              </w:rPr>
              <w:t>7.988</w:t>
            </w:r>
          </w:p>
        </w:tc>
        <w:tc>
          <w:tcPr>
            <w:tcW w:w="1299" w:type="dxa"/>
            <w:tcBorders>
              <w:top w:val="single" w:sz="4" w:space="0" w:color="auto"/>
              <w:bottom w:val="single" w:sz="12" w:space="0" w:color="auto"/>
            </w:tcBorders>
            <w:shd w:val="clear" w:color="auto" w:fill="auto"/>
            <w:vAlign w:val="bottom"/>
          </w:tcPr>
          <w:p w14:paraId="4EE04745" w14:textId="77777777" w:rsidR="00E76E63" w:rsidRPr="0040073C" w:rsidRDefault="00E76E63" w:rsidP="00422DD5">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40073C">
              <w:rPr>
                <w:rFonts w:ascii="Arial" w:hAnsi="Arial" w:cs="Arial"/>
                <w:b/>
                <w:bCs/>
                <w:sz w:val="18"/>
                <w:szCs w:val="18"/>
              </w:rPr>
              <w:t>4.609</w:t>
            </w:r>
          </w:p>
        </w:tc>
      </w:tr>
    </w:tbl>
    <w:p w14:paraId="1E8B701C" w14:textId="522F3772" w:rsidR="0064018A" w:rsidRPr="003D1614" w:rsidRDefault="0064018A" w:rsidP="00994783">
      <w:pPr>
        <w:suppressAutoHyphens/>
        <w:autoSpaceDN w:val="0"/>
        <w:jc w:val="both"/>
        <w:outlineLvl w:val="0"/>
        <w:rPr>
          <w:rFonts w:ascii="Arial" w:eastAsia="Times New Roman" w:hAnsi="Arial" w:cs="Arial"/>
          <w:color w:val="000000" w:themeColor="text1"/>
          <w:sz w:val="20"/>
          <w:szCs w:val="20"/>
        </w:rPr>
      </w:pPr>
    </w:p>
    <w:p w14:paraId="50ECDEFE" w14:textId="77777777" w:rsidR="0064018A" w:rsidRPr="003D1614" w:rsidRDefault="0064018A" w:rsidP="00994783">
      <w:pPr>
        <w:suppressAutoHyphens/>
        <w:autoSpaceDN w:val="0"/>
        <w:jc w:val="both"/>
        <w:outlineLvl w:val="0"/>
        <w:rPr>
          <w:rFonts w:ascii="Arial" w:eastAsia="Times New Roman" w:hAnsi="Arial" w:cs="Arial"/>
          <w:color w:val="000000" w:themeColor="text1"/>
          <w:sz w:val="20"/>
          <w:szCs w:val="20"/>
        </w:rPr>
        <w:sectPr w:rsidR="0064018A" w:rsidRPr="003D1614">
          <w:pgSz w:w="11906" w:h="16838"/>
          <w:pgMar w:top="1417" w:right="1417" w:bottom="1417" w:left="1417" w:header="708" w:footer="708" w:gutter="0"/>
          <w:cols w:space="708"/>
          <w:docGrid w:linePitch="360"/>
        </w:sectPr>
      </w:pPr>
    </w:p>
    <w:p w14:paraId="348833AC"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p>
    <w:p w14:paraId="68332AFE" w14:textId="67E6A4EE" w:rsidR="0064018A" w:rsidRPr="003D1614" w:rsidRDefault="0064018A" w:rsidP="0064018A">
      <w:pPr>
        <w:keepNext/>
        <w:tabs>
          <w:tab w:val="left" w:pos="567"/>
          <w:tab w:val="left" w:pos="709"/>
        </w:tabs>
        <w:suppressAutoHyphens/>
        <w:autoSpaceDN w:val="0"/>
        <w:jc w:val="both"/>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2</w:t>
      </w:r>
      <w:r w:rsidRPr="003D1614">
        <w:rPr>
          <w:rFonts w:ascii="Arial" w:eastAsia="Times New Roman" w:hAnsi="Arial" w:cs="Arial"/>
          <w:b/>
          <w:color w:val="000000" w:themeColor="text1"/>
          <w:sz w:val="20"/>
          <w:szCs w:val="20"/>
        </w:rPr>
        <w:t>.</w:t>
      </w:r>
      <w:r w:rsidRPr="003D1614">
        <w:rPr>
          <w:rFonts w:ascii="Arial" w:eastAsia="Times New Roman" w:hAnsi="Arial" w:cs="Arial"/>
          <w:b/>
          <w:color w:val="000000" w:themeColor="text1"/>
          <w:sz w:val="20"/>
          <w:szCs w:val="20"/>
        </w:rPr>
        <w:tab/>
        <w:t>Transakcije s povezanim stranama (nastavak)</w:t>
      </w:r>
    </w:p>
    <w:p w14:paraId="0E05467E" w14:textId="77777777" w:rsidR="0064018A" w:rsidRPr="003D1614" w:rsidRDefault="0064018A" w:rsidP="0064018A">
      <w:pPr>
        <w:tabs>
          <w:tab w:val="right" w:pos="284"/>
          <w:tab w:val="left" w:pos="426"/>
        </w:tabs>
        <w:suppressAutoHyphens/>
        <w:autoSpaceDN w:val="0"/>
        <w:outlineLvl w:val="0"/>
        <w:rPr>
          <w:rFonts w:ascii="Arial" w:eastAsia="Times New Roman" w:hAnsi="Arial" w:cs="Arial"/>
          <w:color w:val="000000" w:themeColor="text1"/>
          <w:sz w:val="20"/>
          <w:szCs w:val="20"/>
        </w:rPr>
      </w:pPr>
    </w:p>
    <w:p w14:paraId="7B6DF8AE" w14:textId="77777777" w:rsidR="0064018A" w:rsidRPr="003D1614" w:rsidRDefault="0064018A" w:rsidP="0064018A">
      <w:pPr>
        <w:tabs>
          <w:tab w:val="right" w:pos="284"/>
          <w:tab w:val="left" w:pos="567"/>
        </w:tabs>
        <w:suppressAutoHyphens/>
        <w:autoSpaceDN w:val="0"/>
        <w:outlineLvl w:val="0"/>
        <w:rPr>
          <w:rFonts w:ascii="Arial" w:eastAsia="Times New Roman" w:hAnsi="Arial" w:cs="Arial"/>
          <w:color w:val="000000" w:themeColor="text1"/>
          <w:sz w:val="20"/>
          <w:szCs w:val="20"/>
        </w:rPr>
      </w:pPr>
      <w:bookmarkStart w:id="543" w:name="_Toc67329055"/>
      <w:r w:rsidRPr="003D1614">
        <w:rPr>
          <w:rFonts w:ascii="Arial" w:eastAsia="Times New Roman" w:hAnsi="Arial" w:cs="Arial"/>
          <w:color w:val="000000" w:themeColor="text1"/>
          <w:sz w:val="20"/>
          <w:szCs w:val="20"/>
        </w:rPr>
        <w:t>a)</w:t>
      </w:r>
      <w:r w:rsidRPr="003D1614">
        <w:rPr>
          <w:rFonts w:ascii="Arial" w:eastAsia="Times New Roman" w:hAnsi="Arial" w:cs="Arial"/>
          <w:color w:val="000000" w:themeColor="text1"/>
          <w:sz w:val="20"/>
          <w:szCs w:val="20"/>
        </w:rPr>
        <w:tab/>
      </w:r>
      <w:r w:rsidRPr="003D1614">
        <w:rPr>
          <w:rFonts w:ascii="Arial" w:eastAsia="Times New Roman" w:hAnsi="Arial" w:cs="Arial"/>
          <w:color w:val="000000" w:themeColor="text1"/>
          <w:sz w:val="20"/>
          <w:szCs w:val="20"/>
        </w:rPr>
        <w:tab/>
        <w:t>Transakcije s povezanim stranama (nastavak)</w:t>
      </w:r>
      <w:bookmarkEnd w:id="543"/>
    </w:p>
    <w:p w14:paraId="44EA3228" w14:textId="77777777" w:rsidR="0064018A" w:rsidRPr="003D1614" w:rsidRDefault="0064018A" w:rsidP="0064018A">
      <w:pPr>
        <w:keepNext/>
        <w:suppressAutoHyphens/>
        <w:autoSpaceDN w:val="0"/>
        <w:ind w:left="357"/>
        <w:jc w:val="both"/>
        <w:outlineLvl w:val="0"/>
        <w:rPr>
          <w:rFonts w:ascii="Arial" w:eastAsia="Times New Roman" w:hAnsi="Arial" w:cs="Arial"/>
          <w:bCs/>
          <w:color w:val="000000" w:themeColor="text1"/>
          <w:sz w:val="20"/>
          <w:szCs w:val="20"/>
        </w:rPr>
      </w:pPr>
    </w:p>
    <w:p w14:paraId="6793079D" w14:textId="77777777" w:rsidR="0064018A" w:rsidRPr="003D1614" w:rsidRDefault="0064018A" w:rsidP="0064018A">
      <w:pPr>
        <w:keepNext/>
        <w:suppressAutoHyphens/>
        <w:autoSpaceDN w:val="0"/>
        <w:ind w:left="357"/>
        <w:jc w:val="both"/>
        <w:outlineLvl w:val="0"/>
        <w:rPr>
          <w:rFonts w:ascii="Arial" w:eastAsia="Times New Roman" w:hAnsi="Arial" w:cs="Arial"/>
          <w:bCs/>
          <w:color w:val="000000" w:themeColor="text1"/>
          <w:sz w:val="20"/>
          <w:szCs w:val="20"/>
        </w:rPr>
      </w:pPr>
    </w:p>
    <w:tbl>
      <w:tblPr>
        <w:tblW w:w="4886" w:type="pct"/>
        <w:jc w:val="center"/>
        <w:tblLayout w:type="fixed"/>
        <w:tblCellMar>
          <w:left w:w="113" w:type="dxa"/>
          <w:right w:w="85" w:type="dxa"/>
        </w:tblCellMar>
        <w:tblLook w:val="00A0" w:firstRow="1" w:lastRow="0" w:firstColumn="1" w:lastColumn="0" w:noHBand="0" w:noVBand="0"/>
      </w:tblPr>
      <w:tblGrid>
        <w:gridCol w:w="3639"/>
        <w:gridCol w:w="1305"/>
        <w:gridCol w:w="1304"/>
        <w:gridCol w:w="1302"/>
        <w:gridCol w:w="6"/>
        <w:gridCol w:w="1309"/>
      </w:tblGrid>
      <w:tr w:rsidR="0064018A" w:rsidRPr="003D1614" w14:paraId="2EAFD21E" w14:textId="77777777" w:rsidTr="003A487C">
        <w:trPr>
          <w:trHeight w:hRule="exact" w:val="284"/>
          <w:jc w:val="center"/>
        </w:trPr>
        <w:tc>
          <w:tcPr>
            <w:tcW w:w="3639" w:type="dxa"/>
            <w:vAlign w:val="bottom"/>
          </w:tcPr>
          <w:p w14:paraId="0E97FF22" w14:textId="77777777" w:rsidR="0064018A" w:rsidRPr="003D1614" w:rsidRDefault="0064018A" w:rsidP="0064018A">
            <w:pPr>
              <w:tabs>
                <w:tab w:val="right" w:pos="1202"/>
              </w:tabs>
              <w:suppressAutoHyphens/>
              <w:autoSpaceDN w:val="0"/>
              <w:outlineLvl w:val="0"/>
              <w:rPr>
                <w:rFonts w:ascii="Arial" w:eastAsia="Calibri" w:hAnsi="Arial" w:cs="Arial"/>
                <w:color w:val="000000" w:themeColor="text1"/>
                <w:sz w:val="18"/>
                <w:szCs w:val="18"/>
              </w:rPr>
            </w:pPr>
            <w:bookmarkStart w:id="544" w:name="_Toc67329056"/>
            <w:r w:rsidRPr="003D1614">
              <w:rPr>
                <w:rFonts w:ascii="Arial" w:eastAsia="Calibri" w:hAnsi="Arial" w:cs="Arial"/>
                <w:b/>
                <w:color w:val="000000" w:themeColor="text1"/>
                <w:sz w:val="18"/>
                <w:szCs w:val="18"/>
              </w:rPr>
              <w:t>Banka</w:t>
            </w:r>
            <w:bookmarkEnd w:id="544"/>
          </w:p>
        </w:tc>
        <w:tc>
          <w:tcPr>
            <w:tcW w:w="1305" w:type="dxa"/>
            <w:vAlign w:val="center"/>
          </w:tcPr>
          <w:p w14:paraId="782380CF"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45" w:name="_Toc67329057"/>
            <w:r w:rsidRPr="003D1614">
              <w:rPr>
                <w:rFonts w:ascii="Arial" w:eastAsia="Calibri" w:hAnsi="Arial" w:cs="Arial"/>
                <w:b/>
                <w:bCs/>
                <w:iCs/>
                <w:color w:val="000000" w:themeColor="text1"/>
                <w:sz w:val="18"/>
                <w:szCs w:val="18"/>
              </w:rPr>
              <w:t>Izloženost</w:t>
            </w:r>
            <w:bookmarkEnd w:id="545"/>
          </w:p>
        </w:tc>
        <w:tc>
          <w:tcPr>
            <w:tcW w:w="1304" w:type="dxa"/>
            <w:vAlign w:val="center"/>
          </w:tcPr>
          <w:p w14:paraId="05116DA7"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46" w:name="_Toc67329058"/>
            <w:r w:rsidRPr="003D1614">
              <w:rPr>
                <w:rFonts w:ascii="Arial" w:eastAsia="Calibri" w:hAnsi="Arial" w:cs="Arial"/>
                <w:b/>
                <w:bCs/>
                <w:iCs/>
                <w:color w:val="000000" w:themeColor="text1"/>
                <w:sz w:val="18"/>
                <w:szCs w:val="18"/>
              </w:rPr>
              <w:t>Obveze</w:t>
            </w:r>
            <w:bookmarkEnd w:id="546"/>
          </w:p>
        </w:tc>
        <w:tc>
          <w:tcPr>
            <w:tcW w:w="1308" w:type="dxa"/>
            <w:gridSpan w:val="2"/>
            <w:vAlign w:val="center"/>
          </w:tcPr>
          <w:p w14:paraId="08A85B3D"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47" w:name="_Toc67329059"/>
            <w:r w:rsidRPr="003D1614">
              <w:rPr>
                <w:rFonts w:ascii="Arial" w:eastAsia="Calibri" w:hAnsi="Arial" w:cs="Arial"/>
                <w:b/>
                <w:bCs/>
                <w:iCs/>
                <w:color w:val="000000" w:themeColor="text1"/>
                <w:sz w:val="18"/>
                <w:szCs w:val="18"/>
              </w:rPr>
              <w:t>Izloženost</w:t>
            </w:r>
            <w:bookmarkEnd w:id="547"/>
          </w:p>
        </w:tc>
        <w:tc>
          <w:tcPr>
            <w:tcW w:w="1309" w:type="dxa"/>
            <w:vAlign w:val="center"/>
          </w:tcPr>
          <w:p w14:paraId="3DC0F626"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48" w:name="_Toc67329060"/>
            <w:r w:rsidRPr="003D1614">
              <w:rPr>
                <w:rFonts w:ascii="Arial" w:eastAsia="Calibri" w:hAnsi="Arial" w:cs="Arial"/>
                <w:b/>
                <w:bCs/>
                <w:iCs/>
                <w:color w:val="000000" w:themeColor="text1"/>
                <w:sz w:val="18"/>
                <w:szCs w:val="18"/>
              </w:rPr>
              <w:t>Obveze</w:t>
            </w:r>
            <w:bookmarkEnd w:id="548"/>
          </w:p>
        </w:tc>
      </w:tr>
      <w:tr w:rsidR="003A487C" w:rsidRPr="003D1614" w14:paraId="101F18BC" w14:textId="77777777" w:rsidTr="003A487C">
        <w:trPr>
          <w:trHeight w:hRule="exact" w:val="510"/>
          <w:jc w:val="center"/>
        </w:trPr>
        <w:tc>
          <w:tcPr>
            <w:tcW w:w="3639" w:type="dxa"/>
            <w:vAlign w:val="bottom"/>
          </w:tcPr>
          <w:p w14:paraId="2A1C9939" w14:textId="77777777" w:rsidR="003A487C" w:rsidRPr="003D1614" w:rsidRDefault="003A487C" w:rsidP="003A487C">
            <w:pPr>
              <w:tabs>
                <w:tab w:val="right" w:pos="1202"/>
              </w:tabs>
              <w:suppressAutoHyphens/>
              <w:autoSpaceDN w:val="0"/>
              <w:outlineLvl w:val="0"/>
              <w:rPr>
                <w:rFonts w:ascii="Arial" w:eastAsia="Calibri" w:hAnsi="Arial" w:cs="Arial"/>
                <w:color w:val="000000" w:themeColor="text1"/>
                <w:sz w:val="18"/>
                <w:szCs w:val="18"/>
              </w:rPr>
            </w:pPr>
          </w:p>
        </w:tc>
        <w:tc>
          <w:tcPr>
            <w:tcW w:w="1305" w:type="dxa"/>
            <w:vAlign w:val="bottom"/>
          </w:tcPr>
          <w:p w14:paraId="262EEEC2" w14:textId="0652D894"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iCs/>
                <w:color w:val="000000" w:themeColor="text1"/>
                <w:sz w:val="18"/>
                <w:szCs w:val="18"/>
              </w:rPr>
              <w:t>31. ožujka 202</w:t>
            </w:r>
            <w:r w:rsidR="003B7899">
              <w:rPr>
                <w:rFonts w:ascii="Arial" w:eastAsia="Calibri" w:hAnsi="Arial" w:cs="Arial"/>
                <w:b/>
                <w:bCs/>
                <w:iCs/>
                <w:color w:val="000000" w:themeColor="text1"/>
                <w:sz w:val="18"/>
                <w:szCs w:val="18"/>
              </w:rPr>
              <w:t>4</w:t>
            </w:r>
            <w:r w:rsidRPr="003D1614">
              <w:rPr>
                <w:rFonts w:ascii="Arial" w:eastAsia="Calibri" w:hAnsi="Arial" w:cs="Arial"/>
                <w:b/>
                <w:bCs/>
                <w:iCs/>
                <w:color w:val="000000" w:themeColor="text1"/>
                <w:sz w:val="18"/>
                <w:szCs w:val="18"/>
              </w:rPr>
              <w:t>.</w:t>
            </w:r>
          </w:p>
        </w:tc>
        <w:tc>
          <w:tcPr>
            <w:tcW w:w="1304" w:type="dxa"/>
            <w:vAlign w:val="bottom"/>
          </w:tcPr>
          <w:p w14:paraId="718A5427" w14:textId="02EB4857"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iCs/>
                <w:color w:val="000000" w:themeColor="text1"/>
                <w:sz w:val="18"/>
                <w:szCs w:val="18"/>
              </w:rPr>
              <w:t>31. ožujka 202</w:t>
            </w:r>
            <w:r w:rsidR="00A80063">
              <w:rPr>
                <w:rFonts w:ascii="Arial" w:eastAsia="Calibri" w:hAnsi="Arial" w:cs="Arial"/>
                <w:b/>
                <w:bCs/>
                <w:iCs/>
                <w:color w:val="000000" w:themeColor="text1"/>
                <w:sz w:val="18"/>
                <w:szCs w:val="18"/>
              </w:rPr>
              <w:t>4</w:t>
            </w:r>
            <w:r w:rsidRPr="003D1614">
              <w:rPr>
                <w:rFonts w:ascii="Arial" w:eastAsia="Calibri" w:hAnsi="Arial" w:cs="Arial"/>
                <w:b/>
                <w:bCs/>
                <w:iCs/>
                <w:color w:val="000000" w:themeColor="text1"/>
                <w:sz w:val="18"/>
                <w:szCs w:val="18"/>
              </w:rPr>
              <w:t>.</w:t>
            </w:r>
          </w:p>
        </w:tc>
        <w:tc>
          <w:tcPr>
            <w:tcW w:w="1302" w:type="dxa"/>
            <w:vAlign w:val="bottom"/>
          </w:tcPr>
          <w:p w14:paraId="62CB478A" w14:textId="7F29F144"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iCs/>
                <w:color w:val="000000" w:themeColor="text1"/>
                <w:sz w:val="18"/>
                <w:szCs w:val="18"/>
              </w:rPr>
              <w:t>31. prosinca 202</w:t>
            </w:r>
            <w:r w:rsidR="003B7899">
              <w:rPr>
                <w:rFonts w:ascii="Arial" w:eastAsia="Calibri" w:hAnsi="Arial" w:cs="Arial"/>
                <w:b/>
                <w:bCs/>
                <w:iCs/>
                <w:color w:val="000000" w:themeColor="text1"/>
                <w:sz w:val="18"/>
                <w:szCs w:val="18"/>
              </w:rPr>
              <w:t>3</w:t>
            </w:r>
            <w:r w:rsidR="00274D1A">
              <w:rPr>
                <w:rFonts w:ascii="Arial" w:eastAsia="Calibri" w:hAnsi="Arial" w:cs="Arial"/>
                <w:b/>
                <w:bCs/>
                <w:iCs/>
                <w:color w:val="000000" w:themeColor="text1"/>
                <w:sz w:val="18"/>
                <w:szCs w:val="18"/>
              </w:rPr>
              <w:t>.</w:t>
            </w:r>
          </w:p>
        </w:tc>
        <w:tc>
          <w:tcPr>
            <w:tcW w:w="1315" w:type="dxa"/>
            <w:gridSpan w:val="2"/>
            <w:vAlign w:val="bottom"/>
          </w:tcPr>
          <w:p w14:paraId="2B845E36" w14:textId="230B7B8E"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iCs/>
                <w:color w:val="000000" w:themeColor="text1"/>
                <w:sz w:val="18"/>
                <w:szCs w:val="18"/>
              </w:rPr>
              <w:t>31. prosinca 202</w:t>
            </w:r>
            <w:r w:rsidR="003B7899">
              <w:rPr>
                <w:rFonts w:ascii="Arial" w:eastAsia="Calibri" w:hAnsi="Arial" w:cs="Arial"/>
                <w:b/>
                <w:bCs/>
                <w:iCs/>
                <w:color w:val="000000" w:themeColor="text1"/>
                <w:sz w:val="18"/>
                <w:szCs w:val="18"/>
              </w:rPr>
              <w:t>3</w:t>
            </w:r>
            <w:r w:rsidRPr="003D1614">
              <w:rPr>
                <w:rFonts w:ascii="Arial" w:eastAsia="Calibri" w:hAnsi="Arial" w:cs="Arial"/>
                <w:b/>
                <w:bCs/>
                <w:iCs/>
                <w:color w:val="000000" w:themeColor="text1"/>
                <w:sz w:val="18"/>
                <w:szCs w:val="18"/>
              </w:rPr>
              <w:t>.</w:t>
            </w:r>
          </w:p>
        </w:tc>
      </w:tr>
      <w:tr w:rsidR="003A487C" w:rsidRPr="003D1614" w14:paraId="1A15254D" w14:textId="77777777" w:rsidTr="003A487C">
        <w:trPr>
          <w:trHeight w:hRule="exact" w:val="284"/>
          <w:jc w:val="center"/>
        </w:trPr>
        <w:tc>
          <w:tcPr>
            <w:tcW w:w="3639" w:type="dxa"/>
            <w:vAlign w:val="bottom"/>
          </w:tcPr>
          <w:p w14:paraId="140492FB" w14:textId="77777777" w:rsidR="003A487C" w:rsidRPr="003D1614" w:rsidRDefault="003A487C" w:rsidP="003A487C">
            <w:pPr>
              <w:tabs>
                <w:tab w:val="right" w:pos="1202"/>
              </w:tabs>
              <w:suppressAutoHyphens/>
              <w:autoSpaceDN w:val="0"/>
              <w:outlineLvl w:val="0"/>
              <w:rPr>
                <w:rFonts w:ascii="Arial" w:eastAsia="Calibri" w:hAnsi="Arial" w:cs="Arial"/>
                <w:color w:val="000000" w:themeColor="text1"/>
                <w:sz w:val="18"/>
                <w:szCs w:val="18"/>
              </w:rPr>
            </w:pPr>
          </w:p>
        </w:tc>
        <w:tc>
          <w:tcPr>
            <w:tcW w:w="1305" w:type="dxa"/>
            <w:tcBorders>
              <w:top w:val="nil"/>
              <w:left w:val="nil"/>
              <w:bottom w:val="nil"/>
              <w:right w:val="nil"/>
            </w:tcBorders>
            <w:vAlign w:val="bottom"/>
          </w:tcPr>
          <w:p w14:paraId="0E8760E2" w14:textId="5B231BA5"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c>
          <w:tcPr>
            <w:tcW w:w="1304" w:type="dxa"/>
            <w:tcBorders>
              <w:top w:val="nil"/>
              <w:left w:val="nil"/>
              <w:bottom w:val="nil"/>
              <w:right w:val="nil"/>
            </w:tcBorders>
            <w:vAlign w:val="bottom"/>
          </w:tcPr>
          <w:p w14:paraId="7A9C6C54" w14:textId="2ED3EE45"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c>
          <w:tcPr>
            <w:tcW w:w="1302" w:type="dxa"/>
            <w:tcBorders>
              <w:top w:val="nil"/>
              <w:left w:val="nil"/>
              <w:bottom w:val="nil"/>
              <w:right w:val="nil"/>
            </w:tcBorders>
            <w:vAlign w:val="bottom"/>
          </w:tcPr>
          <w:p w14:paraId="5DF4D57D" w14:textId="31565E44"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c>
          <w:tcPr>
            <w:tcW w:w="1315" w:type="dxa"/>
            <w:gridSpan w:val="2"/>
            <w:tcBorders>
              <w:top w:val="nil"/>
              <w:left w:val="nil"/>
              <w:bottom w:val="nil"/>
              <w:right w:val="nil"/>
            </w:tcBorders>
            <w:vAlign w:val="bottom"/>
          </w:tcPr>
          <w:p w14:paraId="14AF09BC" w14:textId="7BF3870D"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r>
      <w:tr w:rsidR="00D06C57" w:rsidRPr="003D1614" w14:paraId="2633C0AA" w14:textId="77777777" w:rsidTr="00A778F6">
        <w:trPr>
          <w:trHeight w:hRule="exact" w:val="284"/>
          <w:jc w:val="center"/>
        </w:trPr>
        <w:tc>
          <w:tcPr>
            <w:tcW w:w="3639" w:type="dxa"/>
            <w:vAlign w:val="bottom"/>
          </w:tcPr>
          <w:p w14:paraId="3844B0B2" w14:textId="77777777" w:rsidR="00D06C57" w:rsidRPr="003D1614" w:rsidRDefault="00D06C57" w:rsidP="00D06C57">
            <w:pPr>
              <w:tabs>
                <w:tab w:val="right" w:pos="1202"/>
              </w:tabs>
              <w:suppressAutoHyphens/>
              <w:autoSpaceDN w:val="0"/>
              <w:outlineLvl w:val="0"/>
              <w:rPr>
                <w:rFonts w:ascii="Arial" w:eastAsia="Calibri" w:hAnsi="Arial" w:cs="Arial"/>
                <w:color w:val="000000" w:themeColor="text1"/>
                <w:sz w:val="18"/>
                <w:szCs w:val="18"/>
              </w:rPr>
            </w:pPr>
            <w:bookmarkStart w:id="549" w:name="_Toc67329069"/>
            <w:r w:rsidRPr="003D1614">
              <w:rPr>
                <w:rFonts w:ascii="Arial" w:eastAsia="Calibri" w:hAnsi="Arial" w:cs="Arial"/>
                <w:color w:val="000000" w:themeColor="text1"/>
                <w:sz w:val="18"/>
                <w:szCs w:val="18"/>
              </w:rPr>
              <w:t>Vlasnik</w:t>
            </w:r>
            <w:bookmarkEnd w:id="549"/>
          </w:p>
        </w:tc>
        <w:tc>
          <w:tcPr>
            <w:tcW w:w="1305" w:type="dxa"/>
            <w:shd w:val="clear" w:color="auto" w:fill="auto"/>
            <w:vAlign w:val="bottom"/>
          </w:tcPr>
          <w:p w14:paraId="3E3B7F92" w14:textId="5AFCE26C" w:rsidR="00D06C57" w:rsidRPr="00A778F6" w:rsidRDefault="00D06C57" w:rsidP="00D06C5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572FC">
              <w:rPr>
                <w:rFonts w:ascii="Arial" w:eastAsia="Times New Roman" w:hAnsi="Arial" w:cs="Arial"/>
                <w:color w:val="000000"/>
                <w:sz w:val="18"/>
                <w:szCs w:val="18"/>
              </w:rPr>
              <w:t>288.280</w:t>
            </w:r>
          </w:p>
        </w:tc>
        <w:tc>
          <w:tcPr>
            <w:tcW w:w="1304" w:type="dxa"/>
            <w:shd w:val="clear" w:color="auto" w:fill="auto"/>
            <w:vAlign w:val="bottom"/>
          </w:tcPr>
          <w:p w14:paraId="0B99D4E4" w14:textId="32873A01" w:rsidR="00D06C57" w:rsidRPr="00A778F6" w:rsidRDefault="00D06C57" w:rsidP="00D06C5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572FC">
              <w:rPr>
                <w:rFonts w:ascii="Arial" w:eastAsia="Times New Roman" w:hAnsi="Arial" w:cs="Arial"/>
                <w:color w:val="000000"/>
                <w:sz w:val="18"/>
                <w:szCs w:val="18"/>
              </w:rPr>
              <w:t>376.340</w:t>
            </w:r>
          </w:p>
        </w:tc>
        <w:tc>
          <w:tcPr>
            <w:tcW w:w="1302" w:type="dxa"/>
            <w:shd w:val="clear" w:color="auto" w:fill="auto"/>
            <w:vAlign w:val="bottom"/>
          </w:tcPr>
          <w:p w14:paraId="2788E1EE" w14:textId="47AF88B9" w:rsidR="00D06C57" w:rsidRPr="00DC547E" w:rsidRDefault="00D06C57" w:rsidP="00D06C5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F959D0">
              <w:rPr>
                <w:rFonts w:ascii="Arial" w:hAnsi="Arial" w:cs="Arial"/>
                <w:sz w:val="18"/>
                <w:szCs w:val="18"/>
              </w:rPr>
              <w:t>280.436</w:t>
            </w:r>
          </w:p>
        </w:tc>
        <w:tc>
          <w:tcPr>
            <w:tcW w:w="1315" w:type="dxa"/>
            <w:gridSpan w:val="2"/>
            <w:shd w:val="clear" w:color="auto" w:fill="auto"/>
            <w:vAlign w:val="bottom"/>
          </w:tcPr>
          <w:p w14:paraId="49503CA7" w14:textId="56F1ABDE" w:rsidR="00D06C57" w:rsidRPr="00DC547E" w:rsidRDefault="00D06C57" w:rsidP="00D06C5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F959D0">
              <w:rPr>
                <w:rFonts w:ascii="Arial" w:hAnsi="Arial" w:cs="Arial"/>
                <w:sz w:val="18"/>
                <w:szCs w:val="18"/>
              </w:rPr>
              <w:t>506.144</w:t>
            </w:r>
          </w:p>
        </w:tc>
      </w:tr>
      <w:tr w:rsidR="00D06C57" w:rsidRPr="003D1614" w14:paraId="6F606A7D" w14:textId="77777777" w:rsidTr="00A778F6">
        <w:trPr>
          <w:trHeight w:hRule="exact" w:val="284"/>
          <w:jc w:val="center"/>
        </w:trPr>
        <w:tc>
          <w:tcPr>
            <w:tcW w:w="3639" w:type="dxa"/>
            <w:vAlign w:val="bottom"/>
          </w:tcPr>
          <w:p w14:paraId="2A73061D" w14:textId="77777777" w:rsidR="00D06C57" w:rsidRPr="003D1614" w:rsidRDefault="00D06C57" w:rsidP="00D06C57">
            <w:pPr>
              <w:tabs>
                <w:tab w:val="right" w:pos="1202"/>
              </w:tabs>
              <w:suppressAutoHyphens/>
              <w:autoSpaceDN w:val="0"/>
              <w:outlineLvl w:val="0"/>
              <w:rPr>
                <w:rFonts w:ascii="Arial" w:eastAsia="Calibri" w:hAnsi="Arial" w:cs="Arial"/>
                <w:color w:val="000000" w:themeColor="text1"/>
                <w:sz w:val="18"/>
                <w:szCs w:val="18"/>
              </w:rPr>
            </w:pPr>
            <w:bookmarkStart w:id="550" w:name="_Toc67329074"/>
            <w:r w:rsidRPr="003D1614">
              <w:rPr>
                <w:rFonts w:ascii="Arial" w:eastAsia="Calibri" w:hAnsi="Arial" w:cs="Arial"/>
                <w:color w:val="000000" w:themeColor="text1"/>
                <w:sz w:val="18"/>
                <w:szCs w:val="18"/>
              </w:rPr>
              <w:t>Državni fondovi, izvršna tijela i agencije</w:t>
            </w:r>
            <w:bookmarkEnd w:id="550"/>
          </w:p>
        </w:tc>
        <w:tc>
          <w:tcPr>
            <w:tcW w:w="1305" w:type="dxa"/>
            <w:shd w:val="clear" w:color="auto" w:fill="auto"/>
            <w:vAlign w:val="bottom"/>
          </w:tcPr>
          <w:p w14:paraId="19BE3D89" w14:textId="08C8FA01" w:rsidR="00D06C57" w:rsidRPr="00A778F6" w:rsidRDefault="00D06C57" w:rsidP="00D06C5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572FC">
              <w:rPr>
                <w:rFonts w:ascii="Arial" w:eastAsia="Times New Roman" w:hAnsi="Arial" w:cs="Arial"/>
                <w:color w:val="000000"/>
                <w:sz w:val="18"/>
                <w:szCs w:val="18"/>
              </w:rPr>
              <w:t>656.270</w:t>
            </w:r>
          </w:p>
        </w:tc>
        <w:tc>
          <w:tcPr>
            <w:tcW w:w="1304" w:type="dxa"/>
            <w:shd w:val="clear" w:color="auto" w:fill="auto"/>
            <w:vAlign w:val="bottom"/>
          </w:tcPr>
          <w:p w14:paraId="324B70AF" w14:textId="212BB056" w:rsidR="00D06C57" w:rsidRPr="00A778F6" w:rsidRDefault="00D06C57" w:rsidP="00D06C5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572FC">
              <w:rPr>
                <w:rFonts w:ascii="Arial" w:eastAsia="Times New Roman" w:hAnsi="Arial" w:cs="Arial"/>
                <w:color w:val="000000"/>
                <w:sz w:val="18"/>
                <w:szCs w:val="18"/>
              </w:rPr>
              <w:t>30.302</w:t>
            </w:r>
          </w:p>
        </w:tc>
        <w:tc>
          <w:tcPr>
            <w:tcW w:w="1302" w:type="dxa"/>
            <w:shd w:val="clear" w:color="auto" w:fill="auto"/>
            <w:vAlign w:val="bottom"/>
          </w:tcPr>
          <w:p w14:paraId="132EC118" w14:textId="177254AA" w:rsidR="00D06C57" w:rsidRPr="00DC547E" w:rsidRDefault="00D06C57" w:rsidP="00D06C5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F959D0">
              <w:rPr>
                <w:rFonts w:ascii="Arial" w:hAnsi="Arial" w:cs="Arial"/>
                <w:sz w:val="18"/>
                <w:szCs w:val="18"/>
              </w:rPr>
              <w:t>665.950</w:t>
            </w:r>
          </w:p>
        </w:tc>
        <w:tc>
          <w:tcPr>
            <w:tcW w:w="1315" w:type="dxa"/>
            <w:gridSpan w:val="2"/>
            <w:shd w:val="clear" w:color="auto" w:fill="auto"/>
            <w:vAlign w:val="bottom"/>
          </w:tcPr>
          <w:p w14:paraId="03B26F31" w14:textId="1E4D8946" w:rsidR="00D06C57" w:rsidRPr="00DC547E" w:rsidRDefault="00D06C57" w:rsidP="00D06C5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F959D0">
              <w:rPr>
                <w:rFonts w:ascii="Arial" w:hAnsi="Arial" w:cs="Arial"/>
                <w:sz w:val="18"/>
                <w:szCs w:val="18"/>
              </w:rPr>
              <w:t>18.973</w:t>
            </w:r>
          </w:p>
        </w:tc>
      </w:tr>
      <w:tr w:rsidR="00D06C57" w:rsidRPr="003D1614" w14:paraId="4C92FD98" w14:textId="77777777" w:rsidTr="00A778F6">
        <w:trPr>
          <w:trHeight w:hRule="exact" w:val="284"/>
          <w:jc w:val="center"/>
        </w:trPr>
        <w:tc>
          <w:tcPr>
            <w:tcW w:w="3639" w:type="dxa"/>
            <w:vAlign w:val="bottom"/>
          </w:tcPr>
          <w:p w14:paraId="60E22662" w14:textId="77777777" w:rsidR="00D06C57" w:rsidRPr="003D1614" w:rsidRDefault="00D06C57" w:rsidP="00D06C57">
            <w:pPr>
              <w:tabs>
                <w:tab w:val="right" w:pos="1202"/>
              </w:tabs>
              <w:suppressAutoHyphens/>
              <w:autoSpaceDN w:val="0"/>
              <w:outlineLvl w:val="0"/>
              <w:rPr>
                <w:rFonts w:ascii="Arial" w:eastAsia="Calibri" w:hAnsi="Arial" w:cs="Arial"/>
                <w:color w:val="000000" w:themeColor="text1"/>
                <w:sz w:val="18"/>
                <w:szCs w:val="18"/>
              </w:rPr>
            </w:pPr>
            <w:bookmarkStart w:id="551" w:name="_Toc67329079"/>
            <w:r w:rsidRPr="003D1614">
              <w:rPr>
                <w:rFonts w:ascii="Arial" w:eastAsia="Calibri" w:hAnsi="Arial" w:cs="Arial"/>
                <w:color w:val="000000" w:themeColor="text1"/>
                <w:sz w:val="18"/>
                <w:szCs w:val="18"/>
              </w:rPr>
              <w:t>Državna trgovačka društva</w:t>
            </w:r>
            <w:bookmarkEnd w:id="551"/>
          </w:p>
        </w:tc>
        <w:tc>
          <w:tcPr>
            <w:tcW w:w="1305" w:type="dxa"/>
            <w:shd w:val="clear" w:color="auto" w:fill="auto"/>
            <w:vAlign w:val="bottom"/>
          </w:tcPr>
          <w:p w14:paraId="5EE769DF" w14:textId="2418A105" w:rsidR="00D06C57" w:rsidRPr="00A778F6" w:rsidRDefault="00D06C57" w:rsidP="00D06C5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572FC">
              <w:rPr>
                <w:rFonts w:ascii="Arial" w:eastAsia="Times New Roman" w:hAnsi="Arial" w:cs="Arial"/>
                <w:color w:val="000000"/>
                <w:sz w:val="18"/>
                <w:szCs w:val="18"/>
              </w:rPr>
              <w:t>159.540</w:t>
            </w:r>
          </w:p>
        </w:tc>
        <w:tc>
          <w:tcPr>
            <w:tcW w:w="1304" w:type="dxa"/>
            <w:shd w:val="clear" w:color="auto" w:fill="auto"/>
            <w:vAlign w:val="bottom"/>
          </w:tcPr>
          <w:p w14:paraId="6ED57BE8" w14:textId="5FE6051F" w:rsidR="00D06C57" w:rsidRPr="00A778F6" w:rsidRDefault="00D06C57" w:rsidP="00D06C5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572FC">
              <w:rPr>
                <w:rFonts w:ascii="Arial" w:eastAsia="Times New Roman" w:hAnsi="Arial" w:cs="Arial"/>
                <w:color w:val="000000"/>
                <w:sz w:val="18"/>
                <w:szCs w:val="18"/>
              </w:rPr>
              <w:t>1.068</w:t>
            </w:r>
          </w:p>
        </w:tc>
        <w:tc>
          <w:tcPr>
            <w:tcW w:w="1302" w:type="dxa"/>
            <w:shd w:val="clear" w:color="auto" w:fill="auto"/>
            <w:vAlign w:val="bottom"/>
          </w:tcPr>
          <w:p w14:paraId="0EFF62B4" w14:textId="27568DB3" w:rsidR="00D06C57" w:rsidRPr="00DC547E" w:rsidRDefault="00D06C57" w:rsidP="00D06C5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F959D0">
              <w:rPr>
                <w:rFonts w:ascii="Arial" w:hAnsi="Arial" w:cs="Arial"/>
                <w:sz w:val="18"/>
                <w:szCs w:val="18"/>
              </w:rPr>
              <w:t>181.912</w:t>
            </w:r>
          </w:p>
        </w:tc>
        <w:tc>
          <w:tcPr>
            <w:tcW w:w="1315" w:type="dxa"/>
            <w:gridSpan w:val="2"/>
            <w:shd w:val="clear" w:color="auto" w:fill="auto"/>
            <w:vAlign w:val="bottom"/>
          </w:tcPr>
          <w:p w14:paraId="767A4AC2" w14:textId="569239D0" w:rsidR="00D06C57" w:rsidRPr="00DC547E" w:rsidRDefault="00D06C57" w:rsidP="00D06C5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F959D0">
              <w:rPr>
                <w:rFonts w:ascii="Arial" w:hAnsi="Arial" w:cs="Arial"/>
                <w:sz w:val="18"/>
                <w:szCs w:val="18"/>
              </w:rPr>
              <w:t>987</w:t>
            </w:r>
          </w:p>
        </w:tc>
      </w:tr>
      <w:tr w:rsidR="00D06C57" w:rsidRPr="003D1614" w14:paraId="1AD2256F" w14:textId="77777777" w:rsidTr="00A778F6">
        <w:trPr>
          <w:trHeight w:hRule="exact" w:val="284"/>
          <w:jc w:val="center"/>
        </w:trPr>
        <w:tc>
          <w:tcPr>
            <w:tcW w:w="3639" w:type="dxa"/>
            <w:vAlign w:val="bottom"/>
          </w:tcPr>
          <w:p w14:paraId="3E1799A5" w14:textId="77777777" w:rsidR="00D06C57" w:rsidRPr="003D1614" w:rsidRDefault="00D06C57" w:rsidP="00D06C57">
            <w:pPr>
              <w:tabs>
                <w:tab w:val="right" w:pos="1202"/>
              </w:tabs>
              <w:suppressAutoHyphens/>
              <w:autoSpaceDN w:val="0"/>
              <w:outlineLvl w:val="0"/>
              <w:rPr>
                <w:rFonts w:ascii="Arial" w:eastAsia="Calibri" w:hAnsi="Arial" w:cs="Arial"/>
                <w:color w:val="000000" w:themeColor="text1"/>
                <w:sz w:val="18"/>
                <w:szCs w:val="18"/>
              </w:rPr>
            </w:pPr>
            <w:bookmarkStart w:id="552" w:name="_Toc67329084"/>
            <w:r w:rsidRPr="003D1614">
              <w:rPr>
                <w:rFonts w:ascii="Arial" w:eastAsia="Calibri" w:hAnsi="Arial" w:cs="Arial"/>
                <w:color w:val="000000" w:themeColor="text1"/>
                <w:sz w:val="18"/>
                <w:szCs w:val="18"/>
              </w:rPr>
              <w:t>Ovisna društva</w:t>
            </w:r>
            <w:bookmarkEnd w:id="552"/>
          </w:p>
        </w:tc>
        <w:tc>
          <w:tcPr>
            <w:tcW w:w="1305" w:type="dxa"/>
            <w:shd w:val="clear" w:color="auto" w:fill="auto"/>
            <w:vAlign w:val="bottom"/>
          </w:tcPr>
          <w:p w14:paraId="2A6E1839" w14:textId="165F5AF8" w:rsidR="00D06C57" w:rsidRPr="00A778F6" w:rsidRDefault="00D06C57" w:rsidP="00D06C5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572FC">
              <w:rPr>
                <w:rFonts w:ascii="Arial" w:eastAsia="Times New Roman" w:hAnsi="Arial" w:cs="Arial"/>
                <w:color w:val="000000"/>
                <w:sz w:val="18"/>
                <w:szCs w:val="18"/>
              </w:rPr>
              <w:t>7.449</w:t>
            </w:r>
          </w:p>
        </w:tc>
        <w:tc>
          <w:tcPr>
            <w:tcW w:w="1304" w:type="dxa"/>
            <w:shd w:val="clear" w:color="auto" w:fill="auto"/>
            <w:vAlign w:val="bottom"/>
          </w:tcPr>
          <w:p w14:paraId="5CA40EE8" w14:textId="6331945D" w:rsidR="00D06C57" w:rsidRPr="00A778F6" w:rsidRDefault="00D06C57" w:rsidP="00D06C57">
            <w:pPr>
              <w:tabs>
                <w:tab w:val="right" w:pos="1202"/>
              </w:tabs>
              <w:suppressAutoHyphens/>
              <w:autoSpaceDN w:val="0"/>
              <w:spacing w:line="28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w:t>
            </w:r>
          </w:p>
        </w:tc>
        <w:tc>
          <w:tcPr>
            <w:tcW w:w="1302" w:type="dxa"/>
            <w:shd w:val="clear" w:color="auto" w:fill="auto"/>
            <w:vAlign w:val="bottom"/>
          </w:tcPr>
          <w:p w14:paraId="1CDCD012" w14:textId="78BE5BF0" w:rsidR="00D06C57" w:rsidRPr="00DC547E" w:rsidRDefault="00D06C57" w:rsidP="00D06C5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F959D0">
              <w:rPr>
                <w:rFonts w:ascii="Arial" w:hAnsi="Arial" w:cs="Arial"/>
                <w:sz w:val="18"/>
                <w:szCs w:val="18"/>
              </w:rPr>
              <w:t>7.449</w:t>
            </w:r>
          </w:p>
        </w:tc>
        <w:tc>
          <w:tcPr>
            <w:tcW w:w="1315" w:type="dxa"/>
            <w:gridSpan w:val="2"/>
            <w:shd w:val="clear" w:color="auto" w:fill="auto"/>
            <w:vAlign w:val="bottom"/>
          </w:tcPr>
          <w:p w14:paraId="5E270AB2" w14:textId="7AD26BE7" w:rsidR="00D06C57" w:rsidRPr="00DC547E" w:rsidRDefault="00D06C57" w:rsidP="00D06C57">
            <w:pPr>
              <w:tabs>
                <w:tab w:val="right" w:pos="1202"/>
              </w:tabs>
              <w:suppressAutoHyphens/>
              <w:autoSpaceDN w:val="0"/>
              <w:spacing w:line="280" w:lineRule="exact"/>
              <w:jc w:val="right"/>
              <w:outlineLvl w:val="0"/>
              <w:rPr>
                <w:rFonts w:ascii="Arial" w:eastAsia="Times New Roman" w:hAnsi="Arial" w:cs="Arial"/>
                <w:color w:val="000000"/>
                <w:sz w:val="18"/>
                <w:szCs w:val="18"/>
              </w:rPr>
            </w:pPr>
            <w:r>
              <w:rPr>
                <w:rFonts w:ascii="Arial" w:hAnsi="Arial" w:cs="Arial"/>
                <w:sz w:val="18"/>
                <w:szCs w:val="18"/>
              </w:rPr>
              <w:t>-</w:t>
            </w:r>
          </w:p>
        </w:tc>
      </w:tr>
      <w:tr w:rsidR="00D06C57" w:rsidRPr="003D1614" w14:paraId="053CD557" w14:textId="77777777" w:rsidTr="001D7052">
        <w:trPr>
          <w:trHeight w:hRule="exact" w:val="284"/>
          <w:jc w:val="center"/>
        </w:trPr>
        <w:tc>
          <w:tcPr>
            <w:tcW w:w="3639" w:type="dxa"/>
            <w:vAlign w:val="bottom"/>
          </w:tcPr>
          <w:p w14:paraId="283A50CB" w14:textId="77777777" w:rsidR="00D06C57" w:rsidRPr="003D1614" w:rsidRDefault="00D06C57" w:rsidP="00D06C57">
            <w:pPr>
              <w:tabs>
                <w:tab w:val="right" w:pos="1202"/>
              </w:tabs>
              <w:suppressAutoHyphens/>
              <w:autoSpaceDN w:val="0"/>
              <w:outlineLvl w:val="0"/>
              <w:rPr>
                <w:rFonts w:ascii="Arial" w:eastAsia="Calibri" w:hAnsi="Arial" w:cs="Arial"/>
                <w:bCs/>
                <w:color w:val="000000" w:themeColor="text1"/>
                <w:sz w:val="18"/>
                <w:szCs w:val="18"/>
              </w:rPr>
            </w:pPr>
            <w:bookmarkStart w:id="553" w:name="_Toc67329094"/>
            <w:r w:rsidRPr="003D1614">
              <w:rPr>
                <w:rFonts w:ascii="Arial" w:eastAsia="Calibri" w:hAnsi="Arial" w:cs="Arial"/>
                <w:bCs/>
                <w:color w:val="000000" w:themeColor="text1"/>
                <w:sz w:val="18"/>
                <w:szCs w:val="18"/>
              </w:rPr>
              <w:t>Ključni članovi rukovodstva</w:t>
            </w:r>
            <w:bookmarkEnd w:id="553"/>
          </w:p>
        </w:tc>
        <w:tc>
          <w:tcPr>
            <w:tcW w:w="1305" w:type="dxa"/>
            <w:tcBorders>
              <w:bottom w:val="single" w:sz="4" w:space="0" w:color="000000"/>
            </w:tcBorders>
            <w:shd w:val="clear" w:color="auto" w:fill="auto"/>
            <w:vAlign w:val="bottom"/>
          </w:tcPr>
          <w:p w14:paraId="603A5223" w14:textId="00159D70" w:rsidR="00D06C57" w:rsidRPr="00A778F6" w:rsidRDefault="00D06C57" w:rsidP="00D06C5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572FC">
              <w:rPr>
                <w:rFonts w:ascii="Arial" w:eastAsia="Times New Roman" w:hAnsi="Arial" w:cs="Arial"/>
                <w:color w:val="000000"/>
                <w:sz w:val="18"/>
                <w:szCs w:val="18"/>
              </w:rPr>
              <w:t>263</w:t>
            </w:r>
          </w:p>
        </w:tc>
        <w:tc>
          <w:tcPr>
            <w:tcW w:w="1304" w:type="dxa"/>
            <w:tcBorders>
              <w:bottom w:val="single" w:sz="4" w:space="0" w:color="000000"/>
            </w:tcBorders>
            <w:shd w:val="clear" w:color="auto" w:fill="auto"/>
            <w:vAlign w:val="bottom"/>
          </w:tcPr>
          <w:p w14:paraId="386DF31D" w14:textId="58458982" w:rsidR="00D06C57" w:rsidRPr="00A778F6" w:rsidRDefault="00D06C57" w:rsidP="00D06C5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572FC">
              <w:rPr>
                <w:rFonts w:ascii="Arial" w:eastAsia="Times New Roman" w:hAnsi="Arial" w:cs="Arial"/>
                <w:color w:val="000000"/>
                <w:sz w:val="18"/>
                <w:szCs w:val="18"/>
              </w:rPr>
              <w:t>396</w:t>
            </w:r>
          </w:p>
        </w:tc>
        <w:tc>
          <w:tcPr>
            <w:tcW w:w="1302" w:type="dxa"/>
            <w:tcBorders>
              <w:bottom w:val="single" w:sz="4" w:space="0" w:color="000000"/>
            </w:tcBorders>
            <w:shd w:val="clear" w:color="auto" w:fill="auto"/>
          </w:tcPr>
          <w:p w14:paraId="6D1476AD" w14:textId="2B2EF2C4" w:rsidR="00D06C57" w:rsidRPr="00DC547E" w:rsidRDefault="00D06C57" w:rsidP="00D06C57">
            <w:pPr>
              <w:tabs>
                <w:tab w:val="right" w:pos="1202"/>
              </w:tabs>
              <w:suppressAutoHyphens/>
              <w:autoSpaceDN w:val="0"/>
              <w:spacing w:line="280" w:lineRule="exact"/>
              <w:jc w:val="right"/>
              <w:outlineLvl w:val="0"/>
              <w:rPr>
                <w:rFonts w:ascii="Arial" w:eastAsia="Times New Roman" w:hAnsi="Arial" w:cs="Arial"/>
                <w:color w:val="000000"/>
                <w:sz w:val="18"/>
                <w:szCs w:val="18"/>
              </w:rPr>
            </w:pPr>
            <w:r>
              <w:rPr>
                <w:rFonts w:ascii="Arial" w:eastAsia="Calibri" w:hAnsi="Arial" w:cs="Arial"/>
                <w:bCs/>
                <w:iCs/>
                <w:color w:val="000000" w:themeColor="text1"/>
                <w:sz w:val="18"/>
                <w:szCs w:val="18"/>
              </w:rPr>
              <w:t>272</w:t>
            </w:r>
          </w:p>
        </w:tc>
        <w:tc>
          <w:tcPr>
            <w:tcW w:w="1315" w:type="dxa"/>
            <w:gridSpan w:val="2"/>
            <w:tcBorders>
              <w:bottom w:val="single" w:sz="4" w:space="0" w:color="000000"/>
            </w:tcBorders>
            <w:shd w:val="clear" w:color="auto" w:fill="auto"/>
          </w:tcPr>
          <w:p w14:paraId="4519AE34" w14:textId="584ADDBE" w:rsidR="00D06C57" w:rsidRPr="00DC547E" w:rsidRDefault="00D06C57" w:rsidP="00D06C57">
            <w:pPr>
              <w:tabs>
                <w:tab w:val="right" w:pos="1202"/>
              </w:tabs>
              <w:suppressAutoHyphens/>
              <w:autoSpaceDN w:val="0"/>
              <w:spacing w:line="280" w:lineRule="exact"/>
              <w:jc w:val="right"/>
              <w:outlineLvl w:val="0"/>
              <w:rPr>
                <w:rFonts w:ascii="Arial" w:eastAsia="Times New Roman" w:hAnsi="Arial" w:cs="Arial"/>
                <w:color w:val="000000"/>
                <w:sz w:val="18"/>
                <w:szCs w:val="18"/>
              </w:rPr>
            </w:pPr>
            <w:r>
              <w:rPr>
                <w:rFonts w:ascii="Arial" w:eastAsia="Calibri" w:hAnsi="Arial" w:cs="Arial"/>
                <w:bCs/>
                <w:iCs/>
                <w:color w:val="000000" w:themeColor="text1"/>
                <w:sz w:val="18"/>
                <w:szCs w:val="18"/>
              </w:rPr>
              <w:t>403</w:t>
            </w:r>
          </w:p>
        </w:tc>
      </w:tr>
      <w:tr w:rsidR="00D06C57" w:rsidRPr="003D1614" w14:paraId="29CD4963" w14:textId="77777777" w:rsidTr="00A778F6">
        <w:trPr>
          <w:trHeight w:val="329"/>
          <w:jc w:val="center"/>
        </w:trPr>
        <w:tc>
          <w:tcPr>
            <w:tcW w:w="3639" w:type="dxa"/>
            <w:vAlign w:val="bottom"/>
          </w:tcPr>
          <w:p w14:paraId="09D112EC" w14:textId="77777777" w:rsidR="00D06C57" w:rsidRPr="003D1614" w:rsidRDefault="00D06C57" w:rsidP="00D06C57">
            <w:pPr>
              <w:tabs>
                <w:tab w:val="right" w:pos="1202"/>
              </w:tabs>
              <w:suppressAutoHyphens/>
              <w:autoSpaceDN w:val="0"/>
              <w:outlineLvl w:val="0"/>
              <w:rPr>
                <w:rFonts w:ascii="Arial" w:eastAsia="Calibri" w:hAnsi="Arial" w:cs="Arial"/>
                <w:b/>
                <w:color w:val="000000" w:themeColor="text1"/>
                <w:sz w:val="18"/>
                <w:szCs w:val="18"/>
              </w:rPr>
            </w:pPr>
            <w:bookmarkStart w:id="554" w:name="_Toc67329099"/>
            <w:r w:rsidRPr="003D1614">
              <w:rPr>
                <w:rFonts w:ascii="Arial" w:eastAsia="Calibri" w:hAnsi="Arial" w:cs="Arial"/>
                <w:b/>
                <w:color w:val="000000" w:themeColor="text1"/>
                <w:sz w:val="18"/>
                <w:szCs w:val="18"/>
              </w:rPr>
              <w:t>Ukupno</w:t>
            </w:r>
            <w:bookmarkEnd w:id="554"/>
          </w:p>
        </w:tc>
        <w:tc>
          <w:tcPr>
            <w:tcW w:w="1305" w:type="dxa"/>
            <w:tcBorders>
              <w:top w:val="single" w:sz="4" w:space="0" w:color="auto"/>
              <w:bottom w:val="single" w:sz="12" w:space="0" w:color="auto"/>
              <w:right w:val="nil"/>
            </w:tcBorders>
            <w:shd w:val="clear" w:color="auto" w:fill="auto"/>
            <w:vAlign w:val="bottom"/>
          </w:tcPr>
          <w:p w14:paraId="34CF9092" w14:textId="7EB9266D" w:rsidR="00D06C57" w:rsidRPr="00A778F6" w:rsidRDefault="00D06C57" w:rsidP="00D06C57">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B572FC">
              <w:rPr>
                <w:rFonts w:ascii="Arial" w:eastAsia="Times New Roman" w:hAnsi="Arial" w:cs="Arial"/>
                <w:b/>
                <w:bCs/>
                <w:color w:val="000000"/>
                <w:sz w:val="18"/>
                <w:szCs w:val="18"/>
              </w:rPr>
              <w:t>1.111.802</w:t>
            </w:r>
          </w:p>
        </w:tc>
        <w:tc>
          <w:tcPr>
            <w:tcW w:w="1304" w:type="dxa"/>
            <w:tcBorders>
              <w:top w:val="single" w:sz="4" w:space="0" w:color="auto"/>
              <w:left w:val="nil"/>
              <w:bottom w:val="single" w:sz="12" w:space="0" w:color="auto"/>
              <w:right w:val="nil"/>
            </w:tcBorders>
            <w:shd w:val="clear" w:color="auto" w:fill="auto"/>
            <w:vAlign w:val="bottom"/>
          </w:tcPr>
          <w:p w14:paraId="19EA0AA8" w14:textId="20042826" w:rsidR="00D06C57" w:rsidRPr="00A778F6" w:rsidRDefault="00D06C57" w:rsidP="00D06C57">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B572FC">
              <w:rPr>
                <w:rFonts w:ascii="Arial" w:eastAsia="Times New Roman" w:hAnsi="Arial" w:cs="Arial"/>
                <w:b/>
                <w:bCs/>
                <w:color w:val="000000"/>
                <w:sz w:val="18"/>
                <w:szCs w:val="18"/>
              </w:rPr>
              <w:t>408.106</w:t>
            </w:r>
          </w:p>
        </w:tc>
        <w:tc>
          <w:tcPr>
            <w:tcW w:w="1302" w:type="dxa"/>
            <w:tcBorders>
              <w:top w:val="single" w:sz="4" w:space="0" w:color="auto"/>
              <w:bottom w:val="single" w:sz="12" w:space="0" w:color="auto"/>
              <w:right w:val="nil"/>
            </w:tcBorders>
            <w:shd w:val="clear" w:color="auto" w:fill="auto"/>
            <w:vAlign w:val="bottom"/>
          </w:tcPr>
          <w:p w14:paraId="42A78BCC" w14:textId="16D17903" w:rsidR="00D06C57" w:rsidRPr="00DC547E" w:rsidRDefault="00D06C57" w:rsidP="00D06C57">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B4142B">
              <w:rPr>
                <w:rFonts w:ascii="Arial" w:hAnsi="Arial" w:cs="Arial"/>
                <w:b/>
                <w:color w:val="000000" w:themeColor="text1"/>
                <w:sz w:val="18"/>
                <w:szCs w:val="18"/>
              </w:rPr>
              <w:t>1.136.019</w:t>
            </w:r>
          </w:p>
        </w:tc>
        <w:tc>
          <w:tcPr>
            <w:tcW w:w="1315" w:type="dxa"/>
            <w:gridSpan w:val="2"/>
            <w:tcBorders>
              <w:top w:val="single" w:sz="4" w:space="0" w:color="auto"/>
              <w:left w:val="nil"/>
              <w:bottom w:val="single" w:sz="12" w:space="0" w:color="auto"/>
              <w:right w:val="nil"/>
            </w:tcBorders>
            <w:shd w:val="clear" w:color="auto" w:fill="auto"/>
            <w:vAlign w:val="bottom"/>
          </w:tcPr>
          <w:p w14:paraId="30AAF6DD" w14:textId="3A9F583F" w:rsidR="00D06C57" w:rsidRPr="00DC547E" w:rsidRDefault="00D06C57" w:rsidP="00D06C57">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B4142B">
              <w:rPr>
                <w:rFonts w:ascii="Arial" w:hAnsi="Arial" w:cs="Arial"/>
                <w:b/>
                <w:color w:val="000000" w:themeColor="text1"/>
                <w:sz w:val="18"/>
                <w:szCs w:val="18"/>
              </w:rPr>
              <w:t>526.507</w:t>
            </w:r>
          </w:p>
        </w:tc>
      </w:tr>
    </w:tbl>
    <w:p w14:paraId="43853148" w14:textId="77777777" w:rsidR="0064018A" w:rsidRPr="003D1614" w:rsidRDefault="0064018A" w:rsidP="0064018A">
      <w:pPr>
        <w:keepNext/>
        <w:suppressAutoHyphens/>
        <w:autoSpaceDN w:val="0"/>
        <w:jc w:val="both"/>
        <w:outlineLvl w:val="0"/>
        <w:rPr>
          <w:rFonts w:ascii="Arial" w:eastAsia="Times New Roman" w:hAnsi="Arial" w:cs="Arial"/>
          <w:bCs/>
          <w:color w:val="000000" w:themeColor="text1"/>
          <w:sz w:val="20"/>
          <w:szCs w:val="20"/>
        </w:rPr>
      </w:pPr>
    </w:p>
    <w:p w14:paraId="67C07A96" w14:textId="77777777" w:rsidR="0064018A" w:rsidRPr="003D1614" w:rsidRDefault="0064018A" w:rsidP="0064018A">
      <w:pPr>
        <w:keepNext/>
        <w:suppressAutoHyphens/>
        <w:autoSpaceDN w:val="0"/>
        <w:jc w:val="both"/>
        <w:rPr>
          <w:rFonts w:ascii="Arial" w:eastAsia="Times New Roman" w:hAnsi="Arial" w:cs="Arial"/>
          <w:bCs/>
          <w:color w:val="000000" w:themeColor="text1"/>
          <w:sz w:val="20"/>
          <w:szCs w:val="20"/>
          <w:highlight w:val="yellow"/>
        </w:rPr>
      </w:pPr>
    </w:p>
    <w:tbl>
      <w:tblPr>
        <w:tblW w:w="4825" w:type="pct"/>
        <w:jc w:val="center"/>
        <w:tblLayout w:type="fixed"/>
        <w:tblCellMar>
          <w:left w:w="113" w:type="dxa"/>
          <w:right w:w="85" w:type="dxa"/>
        </w:tblCellMar>
        <w:tblLook w:val="00A0" w:firstRow="1" w:lastRow="0" w:firstColumn="1" w:lastColumn="0" w:noHBand="0" w:noVBand="0"/>
      </w:tblPr>
      <w:tblGrid>
        <w:gridCol w:w="3639"/>
        <w:gridCol w:w="1278"/>
        <w:gridCol w:w="1279"/>
        <w:gridCol w:w="1279"/>
        <w:gridCol w:w="1279"/>
      </w:tblGrid>
      <w:tr w:rsidR="0064018A" w:rsidRPr="003D1614" w14:paraId="1C4B34CB" w14:textId="77777777" w:rsidTr="003A487C">
        <w:trPr>
          <w:trHeight w:val="14"/>
          <w:jc w:val="center"/>
        </w:trPr>
        <w:tc>
          <w:tcPr>
            <w:tcW w:w="3639" w:type="dxa"/>
            <w:vAlign w:val="bottom"/>
          </w:tcPr>
          <w:p w14:paraId="5E2BA7C1" w14:textId="77777777" w:rsidR="0064018A" w:rsidRPr="003D1614" w:rsidRDefault="0064018A" w:rsidP="0064018A">
            <w:pPr>
              <w:tabs>
                <w:tab w:val="right" w:pos="1202"/>
              </w:tabs>
              <w:suppressAutoHyphens/>
              <w:autoSpaceDN w:val="0"/>
              <w:outlineLvl w:val="0"/>
              <w:rPr>
                <w:rFonts w:ascii="Arial" w:eastAsia="Calibri" w:hAnsi="Arial" w:cs="Arial"/>
                <w:color w:val="000000" w:themeColor="text1"/>
                <w:sz w:val="18"/>
                <w:szCs w:val="18"/>
              </w:rPr>
            </w:pPr>
            <w:bookmarkStart w:id="555" w:name="_Toc67329104"/>
            <w:r w:rsidRPr="003D1614">
              <w:rPr>
                <w:rFonts w:ascii="Arial" w:eastAsia="Calibri" w:hAnsi="Arial" w:cs="Arial"/>
                <w:b/>
                <w:color w:val="000000" w:themeColor="text1"/>
                <w:sz w:val="18"/>
                <w:szCs w:val="18"/>
              </w:rPr>
              <w:t>Banka</w:t>
            </w:r>
            <w:bookmarkEnd w:id="555"/>
          </w:p>
        </w:tc>
        <w:tc>
          <w:tcPr>
            <w:tcW w:w="1278" w:type="dxa"/>
            <w:vAlign w:val="center"/>
          </w:tcPr>
          <w:p w14:paraId="4BCF7A18"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56" w:name="_Toc67329105"/>
            <w:r w:rsidRPr="003D1614">
              <w:rPr>
                <w:rFonts w:ascii="Arial" w:eastAsia="Calibri" w:hAnsi="Arial" w:cs="Arial"/>
                <w:b/>
                <w:bCs/>
                <w:iCs/>
                <w:color w:val="000000" w:themeColor="text1"/>
                <w:sz w:val="18"/>
                <w:szCs w:val="18"/>
              </w:rPr>
              <w:t>Prihodi</w:t>
            </w:r>
            <w:bookmarkEnd w:id="556"/>
          </w:p>
        </w:tc>
        <w:tc>
          <w:tcPr>
            <w:tcW w:w="1279" w:type="dxa"/>
            <w:vAlign w:val="center"/>
          </w:tcPr>
          <w:p w14:paraId="718BC288"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57" w:name="_Toc67329106"/>
            <w:r w:rsidRPr="003D1614">
              <w:rPr>
                <w:rFonts w:ascii="Arial" w:eastAsia="Calibri" w:hAnsi="Arial" w:cs="Arial"/>
                <w:b/>
                <w:bCs/>
                <w:iCs/>
                <w:color w:val="000000" w:themeColor="text1"/>
                <w:sz w:val="18"/>
                <w:szCs w:val="18"/>
              </w:rPr>
              <w:t>Rashodi</w:t>
            </w:r>
            <w:bookmarkEnd w:id="557"/>
          </w:p>
        </w:tc>
        <w:tc>
          <w:tcPr>
            <w:tcW w:w="1279" w:type="dxa"/>
            <w:vAlign w:val="center"/>
          </w:tcPr>
          <w:p w14:paraId="19B2D71E"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58" w:name="_Toc67329107"/>
            <w:r w:rsidRPr="003D1614">
              <w:rPr>
                <w:rFonts w:ascii="Arial" w:eastAsia="Calibri" w:hAnsi="Arial" w:cs="Arial"/>
                <w:b/>
                <w:bCs/>
                <w:iCs/>
                <w:color w:val="000000" w:themeColor="text1"/>
                <w:sz w:val="18"/>
                <w:szCs w:val="18"/>
              </w:rPr>
              <w:t>Prihodi</w:t>
            </w:r>
            <w:bookmarkEnd w:id="558"/>
          </w:p>
        </w:tc>
        <w:tc>
          <w:tcPr>
            <w:tcW w:w="1279" w:type="dxa"/>
            <w:vAlign w:val="center"/>
          </w:tcPr>
          <w:p w14:paraId="7CF3492D" w14:textId="77777777" w:rsidR="0064018A" w:rsidRPr="003D1614" w:rsidRDefault="0064018A" w:rsidP="0064018A">
            <w:pPr>
              <w:tabs>
                <w:tab w:val="right" w:pos="1202"/>
              </w:tabs>
              <w:suppressAutoHyphens/>
              <w:autoSpaceDN w:val="0"/>
              <w:jc w:val="right"/>
              <w:outlineLvl w:val="0"/>
              <w:rPr>
                <w:rFonts w:ascii="Arial" w:eastAsia="Calibri" w:hAnsi="Arial" w:cs="Arial"/>
                <w:b/>
                <w:bCs/>
                <w:iCs/>
                <w:color w:val="000000" w:themeColor="text1"/>
                <w:sz w:val="18"/>
                <w:szCs w:val="18"/>
              </w:rPr>
            </w:pPr>
            <w:bookmarkStart w:id="559" w:name="_Toc67329108"/>
            <w:r w:rsidRPr="003D1614">
              <w:rPr>
                <w:rFonts w:ascii="Arial" w:eastAsia="Calibri" w:hAnsi="Arial" w:cs="Arial"/>
                <w:b/>
                <w:bCs/>
                <w:iCs/>
                <w:color w:val="000000" w:themeColor="text1"/>
                <w:sz w:val="18"/>
                <w:szCs w:val="18"/>
              </w:rPr>
              <w:t>Rashodi</w:t>
            </w:r>
            <w:bookmarkEnd w:id="559"/>
          </w:p>
        </w:tc>
      </w:tr>
      <w:tr w:rsidR="003A487C" w:rsidRPr="003D1614" w14:paraId="6424D866" w14:textId="77777777" w:rsidTr="003A487C">
        <w:trPr>
          <w:trHeight w:hRule="exact" w:val="454"/>
          <w:jc w:val="center"/>
        </w:trPr>
        <w:tc>
          <w:tcPr>
            <w:tcW w:w="3639" w:type="dxa"/>
            <w:vAlign w:val="bottom"/>
          </w:tcPr>
          <w:p w14:paraId="0C350386" w14:textId="77777777" w:rsidR="003A487C" w:rsidRPr="003D1614" w:rsidRDefault="003A487C" w:rsidP="003A487C">
            <w:pPr>
              <w:tabs>
                <w:tab w:val="right" w:pos="1202"/>
              </w:tabs>
              <w:suppressAutoHyphens/>
              <w:autoSpaceDN w:val="0"/>
              <w:outlineLvl w:val="0"/>
              <w:rPr>
                <w:rFonts w:ascii="Arial" w:eastAsia="Calibri" w:hAnsi="Arial" w:cs="Arial"/>
                <w:b/>
                <w:color w:val="000000" w:themeColor="text1"/>
                <w:sz w:val="18"/>
                <w:szCs w:val="18"/>
              </w:rPr>
            </w:pPr>
          </w:p>
        </w:tc>
        <w:tc>
          <w:tcPr>
            <w:tcW w:w="1278" w:type="dxa"/>
            <w:vAlign w:val="bottom"/>
          </w:tcPr>
          <w:p w14:paraId="68D4F2DC" w14:textId="4F5E5D07"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iCs/>
                <w:color w:val="000000" w:themeColor="text1"/>
                <w:sz w:val="18"/>
                <w:szCs w:val="18"/>
              </w:rPr>
              <w:t>1.1. – 31.3. 202</w:t>
            </w:r>
            <w:r w:rsidR="00A80063">
              <w:rPr>
                <w:rFonts w:ascii="Arial" w:eastAsia="Calibri" w:hAnsi="Arial" w:cs="Arial"/>
                <w:b/>
                <w:bCs/>
                <w:iCs/>
                <w:color w:val="000000" w:themeColor="text1"/>
                <w:sz w:val="18"/>
                <w:szCs w:val="18"/>
              </w:rPr>
              <w:t>4</w:t>
            </w:r>
            <w:r w:rsidRPr="003D1614">
              <w:rPr>
                <w:rFonts w:ascii="Arial" w:eastAsia="Calibri" w:hAnsi="Arial" w:cs="Arial"/>
                <w:b/>
                <w:bCs/>
                <w:iCs/>
                <w:color w:val="000000" w:themeColor="text1"/>
                <w:sz w:val="18"/>
                <w:szCs w:val="18"/>
              </w:rPr>
              <w:t>.</w:t>
            </w:r>
          </w:p>
        </w:tc>
        <w:tc>
          <w:tcPr>
            <w:tcW w:w="1279" w:type="dxa"/>
            <w:vAlign w:val="bottom"/>
          </w:tcPr>
          <w:p w14:paraId="4C75D131" w14:textId="275DF28F"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iCs/>
                <w:color w:val="000000" w:themeColor="text1"/>
                <w:sz w:val="18"/>
                <w:szCs w:val="18"/>
              </w:rPr>
              <w:t>1.1. – 31.3. 202</w:t>
            </w:r>
            <w:r w:rsidR="00A80063">
              <w:rPr>
                <w:rFonts w:ascii="Arial" w:eastAsia="Calibri" w:hAnsi="Arial" w:cs="Arial"/>
                <w:b/>
                <w:bCs/>
                <w:iCs/>
                <w:color w:val="000000" w:themeColor="text1"/>
                <w:sz w:val="18"/>
                <w:szCs w:val="18"/>
              </w:rPr>
              <w:t>4</w:t>
            </w:r>
            <w:r w:rsidRPr="003D1614">
              <w:rPr>
                <w:rFonts w:ascii="Arial" w:eastAsia="Calibri" w:hAnsi="Arial" w:cs="Arial"/>
                <w:b/>
                <w:bCs/>
                <w:iCs/>
                <w:color w:val="000000" w:themeColor="text1"/>
                <w:sz w:val="18"/>
                <w:szCs w:val="18"/>
              </w:rPr>
              <w:t>.</w:t>
            </w:r>
          </w:p>
        </w:tc>
        <w:tc>
          <w:tcPr>
            <w:tcW w:w="1279" w:type="dxa"/>
            <w:vAlign w:val="bottom"/>
          </w:tcPr>
          <w:p w14:paraId="5EE71486" w14:textId="6672A39D" w:rsidR="003A487C" w:rsidRPr="003D1614" w:rsidRDefault="00D80505"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iCs/>
                <w:color w:val="000000" w:themeColor="text1"/>
                <w:sz w:val="18"/>
                <w:szCs w:val="18"/>
              </w:rPr>
              <w:t>1.1. – 31.3</w:t>
            </w:r>
            <w:r>
              <w:rPr>
                <w:rFonts w:ascii="Arial" w:eastAsia="Calibri" w:hAnsi="Arial" w:cs="Arial"/>
                <w:b/>
                <w:bCs/>
                <w:iCs/>
                <w:color w:val="000000" w:themeColor="text1"/>
                <w:sz w:val="18"/>
                <w:szCs w:val="18"/>
              </w:rPr>
              <w:t xml:space="preserve">. </w:t>
            </w:r>
            <w:r w:rsidR="003A487C" w:rsidRPr="003D1614">
              <w:rPr>
                <w:rFonts w:ascii="Arial" w:eastAsia="Calibri" w:hAnsi="Arial" w:cs="Arial"/>
                <w:b/>
                <w:bCs/>
                <w:iCs/>
                <w:color w:val="000000" w:themeColor="text1"/>
                <w:sz w:val="18"/>
                <w:szCs w:val="18"/>
              </w:rPr>
              <w:t>202</w:t>
            </w:r>
            <w:r w:rsidR="00A80063">
              <w:rPr>
                <w:rFonts w:ascii="Arial" w:eastAsia="Calibri" w:hAnsi="Arial" w:cs="Arial"/>
                <w:b/>
                <w:bCs/>
                <w:iCs/>
                <w:color w:val="000000" w:themeColor="text1"/>
                <w:sz w:val="18"/>
                <w:szCs w:val="18"/>
              </w:rPr>
              <w:t>3</w:t>
            </w:r>
            <w:r w:rsidR="003A487C" w:rsidRPr="003D1614">
              <w:rPr>
                <w:rFonts w:ascii="Arial" w:eastAsia="Calibri" w:hAnsi="Arial" w:cs="Arial"/>
                <w:b/>
                <w:bCs/>
                <w:iCs/>
                <w:color w:val="000000" w:themeColor="text1"/>
                <w:sz w:val="18"/>
                <w:szCs w:val="18"/>
              </w:rPr>
              <w:t>.</w:t>
            </w:r>
          </w:p>
        </w:tc>
        <w:tc>
          <w:tcPr>
            <w:tcW w:w="1279" w:type="dxa"/>
            <w:vAlign w:val="bottom"/>
          </w:tcPr>
          <w:p w14:paraId="620B3CB5" w14:textId="4724B6BC" w:rsidR="003A487C" w:rsidRPr="003D1614" w:rsidRDefault="00D80505"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iCs/>
                <w:color w:val="000000" w:themeColor="text1"/>
                <w:sz w:val="18"/>
                <w:szCs w:val="18"/>
              </w:rPr>
              <w:t>1.1. – 31.3</w:t>
            </w:r>
            <w:r>
              <w:rPr>
                <w:rFonts w:ascii="Arial" w:eastAsia="Calibri" w:hAnsi="Arial" w:cs="Arial"/>
                <w:b/>
                <w:bCs/>
                <w:iCs/>
                <w:color w:val="000000" w:themeColor="text1"/>
                <w:sz w:val="18"/>
                <w:szCs w:val="18"/>
              </w:rPr>
              <w:t xml:space="preserve">. </w:t>
            </w:r>
            <w:r w:rsidR="003A487C" w:rsidRPr="003D1614">
              <w:rPr>
                <w:rFonts w:ascii="Arial" w:eastAsia="Calibri" w:hAnsi="Arial" w:cs="Arial"/>
                <w:b/>
                <w:bCs/>
                <w:iCs/>
                <w:color w:val="000000" w:themeColor="text1"/>
                <w:sz w:val="18"/>
                <w:szCs w:val="18"/>
              </w:rPr>
              <w:t>202</w:t>
            </w:r>
            <w:r w:rsidR="00A80063">
              <w:rPr>
                <w:rFonts w:ascii="Arial" w:eastAsia="Calibri" w:hAnsi="Arial" w:cs="Arial"/>
                <w:b/>
                <w:bCs/>
                <w:iCs/>
                <w:color w:val="000000" w:themeColor="text1"/>
                <w:sz w:val="18"/>
                <w:szCs w:val="18"/>
              </w:rPr>
              <w:t>3</w:t>
            </w:r>
            <w:r w:rsidR="003A487C" w:rsidRPr="003D1614">
              <w:rPr>
                <w:rFonts w:ascii="Arial" w:eastAsia="Calibri" w:hAnsi="Arial" w:cs="Arial"/>
                <w:b/>
                <w:bCs/>
                <w:iCs/>
                <w:color w:val="000000" w:themeColor="text1"/>
                <w:sz w:val="18"/>
                <w:szCs w:val="18"/>
              </w:rPr>
              <w:t>.</w:t>
            </w:r>
          </w:p>
        </w:tc>
      </w:tr>
      <w:tr w:rsidR="003A487C" w:rsidRPr="003D1614" w14:paraId="49463AEF" w14:textId="77777777" w:rsidTr="003A487C">
        <w:trPr>
          <w:trHeight w:hRule="exact" w:val="284"/>
          <w:jc w:val="center"/>
        </w:trPr>
        <w:tc>
          <w:tcPr>
            <w:tcW w:w="3639" w:type="dxa"/>
            <w:vAlign w:val="bottom"/>
          </w:tcPr>
          <w:p w14:paraId="748EA96D" w14:textId="77777777" w:rsidR="003A487C" w:rsidRPr="003D1614" w:rsidRDefault="003A487C" w:rsidP="003A487C">
            <w:pPr>
              <w:tabs>
                <w:tab w:val="right" w:pos="1202"/>
              </w:tabs>
              <w:suppressAutoHyphens/>
              <w:autoSpaceDN w:val="0"/>
              <w:outlineLvl w:val="0"/>
              <w:rPr>
                <w:rFonts w:ascii="Arial" w:eastAsia="Calibri" w:hAnsi="Arial" w:cs="Arial"/>
                <w:b/>
                <w:color w:val="000000" w:themeColor="text1"/>
                <w:sz w:val="18"/>
                <w:szCs w:val="18"/>
              </w:rPr>
            </w:pPr>
          </w:p>
        </w:tc>
        <w:tc>
          <w:tcPr>
            <w:tcW w:w="1278" w:type="dxa"/>
            <w:tcBorders>
              <w:top w:val="nil"/>
              <w:left w:val="nil"/>
              <w:bottom w:val="nil"/>
              <w:right w:val="nil"/>
            </w:tcBorders>
            <w:vAlign w:val="bottom"/>
          </w:tcPr>
          <w:p w14:paraId="2006BBC7" w14:textId="57704FE8"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c>
          <w:tcPr>
            <w:tcW w:w="1279" w:type="dxa"/>
            <w:tcBorders>
              <w:top w:val="nil"/>
              <w:left w:val="nil"/>
              <w:bottom w:val="nil"/>
              <w:right w:val="nil"/>
            </w:tcBorders>
            <w:vAlign w:val="bottom"/>
          </w:tcPr>
          <w:p w14:paraId="3D5E7A77" w14:textId="1166AC03"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c>
          <w:tcPr>
            <w:tcW w:w="1279" w:type="dxa"/>
            <w:tcBorders>
              <w:top w:val="nil"/>
              <w:left w:val="nil"/>
              <w:bottom w:val="nil"/>
              <w:right w:val="nil"/>
            </w:tcBorders>
            <w:vAlign w:val="bottom"/>
          </w:tcPr>
          <w:p w14:paraId="6C8CF168" w14:textId="2DCFFEB8"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c>
          <w:tcPr>
            <w:tcW w:w="1279" w:type="dxa"/>
            <w:tcBorders>
              <w:top w:val="nil"/>
              <w:left w:val="nil"/>
              <w:bottom w:val="nil"/>
              <w:right w:val="nil"/>
            </w:tcBorders>
            <w:vAlign w:val="bottom"/>
          </w:tcPr>
          <w:p w14:paraId="76161C3D" w14:textId="7FB02C64" w:rsidR="003A487C" w:rsidRPr="003D1614" w:rsidRDefault="003A487C" w:rsidP="003A487C">
            <w:pPr>
              <w:tabs>
                <w:tab w:val="right" w:pos="1202"/>
              </w:tabs>
              <w:suppressAutoHyphens/>
              <w:autoSpaceDN w:val="0"/>
              <w:jc w:val="right"/>
              <w:outlineLvl w:val="0"/>
              <w:rPr>
                <w:rFonts w:ascii="Arial" w:eastAsia="Calibri" w:hAnsi="Arial" w:cs="Arial"/>
                <w:b/>
                <w:bCs/>
                <w:iCs/>
                <w:color w:val="000000" w:themeColor="text1"/>
                <w:sz w:val="18"/>
                <w:szCs w:val="18"/>
              </w:rPr>
            </w:pPr>
            <w:r w:rsidRPr="003D1614">
              <w:rPr>
                <w:rFonts w:ascii="Arial" w:eastAsia="Calibri" w:hAnsi="Arial" w:cs="Arial"/>
                <w:b/>
                <w:bCs/>
                <w:color w:val="000000" w:themeColor="text1"/>
                <w:sz w:val="18"/>
                <w:szCs w:val="18"/>
              </w:rPr>
              <w:t>000 eura</w:t>
            </w:r>
          </w:p>
        </w:tc>
      </w:tr>
      <w:tr w:rsidR="00D06C57" w:rsidRPr="00DC547E" w14:paraId="18850810" w14:textId="77777777" w:rsidTr="00A778F6">
        <w:trPr>
          <w:trHeight w:hRule="exact" w:val="284"/>
          <w:jc w:val="center"/>
        </w:trPr>
        <w:tc>
          <w:tcPr>
            <w:tcW w:w="3639" w:type="dxa"/>
            <w:vAlign w:val="bottom"/>
          </w:tcPr>
          <w:p w14:paraId="264FB685" w14:textId="046255F4" w:rsidR="00D06C57" w:rsidRPr="003D1614" w:rsidRDefault="00D06C57" w:rsidP="00D06C57">
            <w:pPr>
              <w:tabs>
                <w:tab w:val="right" w:pos="1202"/>
              </w:tabs>
              <w:suppressAutoHyphens/>
              <w:autoSpaceDN w:val="0"/>
              <w:outlineLvl w:val="0"/>
              <w:rPr>
                <w:rFonts w:ascii="Arial" w:eastAsia="Calibri" w:hAnsi="Arial" w:cs="Arial"/>
                <w:color w:val="000000" w:themeColor="text1"/>
                <w:sz w:val="18"/>
                <w:szCs w:val="18"/>
              </w:rPr>
            </w:pPr>
            <w:bookmarkStart w:id="560" w:name="_Toc67329117"/>
            <w:r w:rsidRPr="003D1614">
              <w:rPr>
                <w:rFonts w:ascii="Arial" w:eastAsia="Calibri" w:hAnsi="Arial" w:cs="Arial"/>
                <w:color w:val="000000" w:themeColor="text1"/>
                <w:sz w:val="18"/>
                <w:szCs w:val="18"/>
              </w:rPr>
              <w:t>Vlasnik</w:t>
            </w:r>
            <w:bookmarkEnd w:id="560"/>
          </w:p>
        </w:tc>
        <w:tc>
          <w:tcPr>
            <w:tcW w:w="1278" w:type="dxa"/>
            <w:shd w:val="clear" w:color="auto" w:fill="auto"/>
            <w:vAlign w:val="bottom"/>
          </w:tcPr>
          <w:p w14:paraId="5B19E208" w14:textId="3F9E29B2" w:rsidR="00D06C57" w:rsidRPr="00A778F6" w:rsidRDefault="00D06C57" w:rsidP="00D06C5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572FC">
              <w:rPr>
                <w:rFonts w:ascii="Arial" w:eastAsia="Times New Roman" w:hAnsi="Arial" w:cs="Arial"/>
                <w:color w:val="000000"/>
                <w:sz w:val="18"/>
                <w:szCs w:val="18"/>
              </w:rPr>
              <w:t>2.051</w:t>
            </w:r>
          </w:p>
        </w:tc>
        <w:tc>
          <w:tcPr>
            <w:tcW w:w="1279" w:type="dxa"/>
            <w:shd w:val="clear" w:color="auto" w:fill="auto"/>
            <w:vAlign w:val="bottom"/>
          </w:tcPr>
          <w:p w14:paraId="0B014552" w14:textId="31B27219" w:rsidR="00D06C57" w:rsidRPr="00A778F6" w:rsidRDefault="00D06C57" w:rsidP="00D06C5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572FC">
              <w:rPr>
                <w:rFonts w:ascii="Arial" w:eastAsia="Times New Roman" w:hAnsi="Arial" w:cs="Arial"/>
                <w:color w:val="000000"/>
                <w:sz w:val="18"/>
                <w:szCs w:val="18"/>
              </w:rPr>
              <w:t>3.368</w:t>
            </w:r>
          </w:p>
        </w:tc>
        <w:tc>
          <w:tcPr>
            <w:tcW w:w="1279" w:type="dxa"/>
            <w:shd w:val="clear" w:color="auto" w:fill="auto"/>
            <w:vAlign w:val="bottom"/>
          </w:tcPr>
          <w:p w14:paraId="4ACD0A4B" w14:textId="74184349" w:rsidR="00D06C57" w:rsidRPr="00DC547E" w:rsidRDefault="00D06C57" w:rsidP="00D06C5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778F6">
              <w:rPr>
                <w:rFonts w:ascii="Arial" w:eastAsia="Times New Roman" w:hAnsi="Arial" w:cs="Arial"/>
                <w:color w:val="000000"/>
                <w:sz w:val="18"/>
                <w:szCs w:val="18"/>
              </w:rPr>
              <w:t>1.667</w:t>
            </w:r>
          </w:p>
        </w:tc>
        <w:tc>
          <w:tcPr>
            <w:tcW w:w="1279" w:type="dxa"/>
            <w:shd w:val="clear" w:color="auto" w:fill="auto"/>
            <w:vAlign w:val="bottom"/>
          </w:tcPr>
          <w:p w14:paraId="3710BF3B" w14:textId="1631EE94" w:rsidR="00D06C57" w:rsidRPr="00DC547E" w:rsidRDefault="00D06C57" w:rsidP="00D06C5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778F6">
              <w:rPr>
                <w:rFonts w:ascii="Arial" w:eastAsia="Times New Roman" w:hAnsi="Arial" w:cs="Arial"/>
                <w:color w:val="000000"/>
                <w:sz w:val="18"/>
                <w:szCs w:val="18"/>
              </w:rPr>
              <w:t>601</w:t>
            </w:r>
          </w:p>
        </w:tc>
      </w:tr>
      <w:tr w:rsidR="00D06C57" w:rsidRPr="00DC547E" w14:paraId="237289E8" w14:textId="77777777" w:rsidTr="00A778F6">
        <w:trPr>
          <w:trHeight w:hRule="exact" w:val="284"/>
          <w:jc w:val="center"/>
        </w:trPr>
        <w:tc>
          <w:tcPr>
            <w:tcW w:w="3639" w:type="dxa"/>
            <w:vAlign w:val="bottom"/>
          </w:tcPr>
          <w:p w14:paraId="4293082F" w14:textId="4CEA4F4E" w:rsidR="00D06C57" w:rsidRPr="003D1614" w:rsidRDefault="00D06C57" w:rsidP="00D06C57">
            <w:pPr>
              <w:tabs>
                <w:tab w:val="right" w:pos="1202"/>
              </w:tabs>
              <w:suppressAutoHyphens/>
              <w:autoSpaceDN w:val="0"/>
              <w:outlineLvl w:val="0"/>
              <w:rPr>
                <w:rFonts w:ascii="Arial" w:eastAsia="Calibri" w:hAnsi="Arial" w:cs="Arial"/>
                <w:color w:val="000000" w:themeColor="text1"/>
                <w:sz w:val="18"/>
                <w:szCs w:val="18"/>
              </w:rPr>
            </w:pPr>
            <w:bookmarkStart w:id="561" w:name="_Toc67329122"/>
            <w:r w:rsidRPr="003D1614">
              <w:rPr>
                <w:rFonts w:ascii="Arial" w:eastAsia="Calibri" w:hAnsi="Arial" w:cs="Arial"/>
                <w:color w:val="000000" w:themeColor="text1"/>
                <w:sz w:val="18"/>
                <w:szCs w:val="18"/>
              </w:rPr>
              <w:t>Državni fondovi, izvršna tijela i agencije</w:t>
            </w:r>
            <w:bookmarkEnd w:id="561"/>
          </w:p>
        </w:tc>
        <w:tc>
          <w:tcPr>
            <w:tcW w:w="1278" w:type="dxa"/>
            <w:shd w:val="clear" w:color="auto" w:fill="auto"/>
            <w:vAlign w:val="bottom"/>
          </w:tcPr>
          <w:p w14:paraId="1DADB9A9" w14:textId="25CFFA28" w:rsidR="00D06C57" w:rsidRPr="00A778F6" w:rsidRDefault="00D06C57" w:rsidP="00D06C5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572FC">
              <w:rPr>
                <w:rFonts w:ascii="Arial" w:eastAsia="Times New Roman" w:hAnsi="Arial" w:cs="Arial"/>
                <w:color w:val="000000"/>
                <w:sz w:val="18"/>
                <w:szCs w:val="18"/>
              </w:rPr>
              <w:t>3.545</w:t>
            </w:r>
          </w:p>
        </w:tc>
        <w:tc>
          <w:tcPr>
            <w:tcW w:w="1279" w:type="dxa"/>
            <w:shd w:val="clear" w:color="auto" w:fill="auto"/>
            <w:vAlign w:val="bottom"/>
          </w:tcPr>
          <w:p w14:paraId="2CB83FEB" w14:textId="36BC988A" w:rsidR="00D06C57" w:rsidRPr="00A778F6" w:rsidRDefault="00D06C57" w:rsidP="00D06C5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572FC">
              <w:rPr>
                <w:rFonts w:ascii="Arial" w:eastAsia="Times New Roman" w:hAnsi="Arial" w:cs="Arial"/>
                <w:color w:val="000000"/>
                <w:sz w:val="18"/>
                <w:szCs w:val="18"/>
              </w:rPr>
              <w:t>12</w:t>
            </w:r>
          </w:p>
        </w:tc>
        <w:tc>
          <w:tcPr>
            <w:tcW w:w="1279" w:type="dxa"/>
            <w:shd w:val="clear" w:color="auto" w:fill="auto"/>
            <w:vAlign w:val="bottom"/>
          </w:tcPr>
          <w:p w14:paraId="3378E4B3" w14:textId="0D631CF1" w:rsidR="00D06C57" w:rsidRPr="00DC547E" w:rsidRDefault="00D06C57" w:rsidP="00D06C5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778F6">
              <w:rPr>
                <w:rFonts w:ascii="Arial" w:eastAsia="Times New Roman" w:hAnsi="Arial" w:cs="Arial"/>
                <w:color w:val="000000"/>
                <w:sz w:val="18"/>
                <w:szCs w:val="18"/>
              </w:rPr>
              <w:t>3.684</w:t>
            </w:r>
          </w:p>
        </w:tc>
        <w:tc>
          <w:tcPr>
            <w:tcW w:w="1279" w:type="dxa"/>
            <w:shd w:val="clear" w:color="auto" w:fill="auto"/>
            <w:vAlign w:val="bottom"/>
          </w:tcPr>
          <w:p w14:paraId="3FEA880F" w14:textId="00BE2F71" w:rsidR="00D06C57" w:rsidRPr="00DC547E" w:rsidRDefault="00D06C57" w:rsidP="00D06C5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778F6">
              <w:rPr>
                <w:rFonts w:ascii="Arial" w:eastAsia="Times New Roman" w:hAnsi="Arial" w:cs="Arial"/>
                <w:color w:val="000000"/>
                <w:sz w:val="18"/>
                <w:szCs w:val="18"/>
              </w:rPr>
              <w:t>28</w:t>
            </w:r>
          </w:p>
        </w:tc>
      </w:tr>
      <w:tr w:rsidR="00D06C57" w:rsidRPr="00DC547E" w14:paraId="18D7D9FB" w14:textId="77777777" w:rsidTr="00A778F6">
        <w:trPr>
          <w:trHeight w:hRule="exact" w:val="284"/>
          <w:jc w:val="center"/>
        </w:trPr>
        <w:tc>
          <w:tcPr>
            <w:tcW w:w="3639" w:type="dxa"/>
            <w:vAlign w:val="bottom"/>
          </w:tcPr>
          <w:p w14:paraId="7C2156AE" w14:textId="6F15344C" w:rsidR="00D06C57" w:rsidRPr="003D1614" w:rsidRDefault="00D06C57" w:rsidP="00D06C57">
            <w:pPr>
              <w:tabs>
                <w:tab w:val="right" w:pos="1202"/>
              </w:tabs>
              <w:suppressAutoHyphens/>
              <w:autoSpaceDN w:val="0"/>
              <w:outlineLvl w:val="0"/>
              <w:rPr>
                <w:rFonts w:ascii="Arial" w:eastAsia="Calibri" w:hAnsi="Arial" w:cs="Arial"/>
                <w:color w:val="000000" w:themeColor="text1"/>
                <w:sz w:val="18"/>
                <w:szCs w:val="18"/>
              </w:rPr>
            </w:pPr>
            <w:bookmarkStart w:id="562" w:name="_Toc67329127"/>
            <w:r w:rsidRPr="003D1614">
              <w:rPr>
                <w:rFonts w:ascii="Arial" w:eastAsia="Calibri" w:hAnsi="Arial" w:cs="Arial"/>
                <w:color w:val="000000" w:themeColor="text1"/>
                <w:sz w:val="18"/>
                <w:szCs w:val="18"/>
              </w:rPr>
              <w:t>Državna trgovačka društva</w:t>
            </w:r>
            <w:bookmarkEnd w:id="562"/>
          </w:p>
        </w:tc>
        <w:tc>
          <w:tcPr>
            <w:tcW w:w="1278" w:type="dxa"/>
            <w:shd w:val="clear" w:color="auto" w:fill="auto"/>
            <w:vAlign w:val="bottom"/>
          </w:tcPr>
          <w:p w14:paraId="26074367" w14:textId="7C34AEF6" w:rsidR="00D06C57" w:rsidRPr="00A778F6" w:rsidRDefault="00D06C57" w:rsidP="00D06C5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572FC">
              <w:rPr>
                <w:rFonts w:ascii="Arial" w:eastAsia="Times New Roman" w:hAnsi="Arial" w:cs="Arial"/>
                <w:color w:val="000000"/>
                <w:sz w:val="18"/>
                <w:szCs w:val="18"/>
              </w:rPr>
              <w:t>7.888</w:t>
            </w:r>
          </w:p>
        </w:tc>
        <w:tc>
          <w:tcPr>
            <w:tcW w:w="1279" w:type="dxa"/>
            <w:shd w:val="clear" w:color="auto" w:fill="auto"/>
            <w:vAlign w:val="bottom"/>
          </w:tcPr>
          <w:p w14:paraId="7FB1995C" w14:textId="0C29027D" w:rsidR="00D06C57" w:rsidRPr="00A778F6" w:rsidRDefault="00D06C57" w:rsidP="00D06C5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572FC">
              <w:rPr>
                <w:rFonts w:ascii="Arial" w:eastAsia="Times New Roman" w:hAnsi="Arial" w:cs="Arial"/>
                <w:color w:val="000000"/>
                <w:sz w:val="18"/>
                <w:szCs w:val="18"/>
              </w:rPr>
              <w:t>810</w:t>
            </w:r>
          </w:p>
        </w:tc>
        <w:tc>
          <w:tcPr>
            <w:tcW w:w="1279" w:type="dxa"/>
            <w:shd w:val="clear" w:color="auto" w:fill="auto"/>
            <w:vAlign w:val="bottom"/>
          </w:tcPr>
          <w:p w14:paraId="5B55618C" w14:textId="4D21A927" w:rsidR="00D06C57" w:rsidRPr="00DC547E" w:rsidRDefault="00D06C57" w:rsidP="00D06C5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778F6">
              <w:rPr>
                <w:rFonts w:ascii="Arial" w:eastAsia="Times New Roman" w:hAnsi="Arial" w:cs="Arial"/>
                <w:color w:val="000000"/>
                <w:sz w:val="18"/>
                <w:szCs w:val="18"/>
              </w:rPr>
              <w:t>2.465</w:t>
            </w:r>
          </w:p>
        </w:tc>
        <w:tc>
          <w:tcPr>
            <w:tcW w:w="1279" w:type="dxa"/>
            <w:shd w:val="clear" w:color="auto" w:fill="auto"/>
            <w:vAlign w:val="bottom"/>
          </w:tcPr>
          <w:p w14:paraId="758C0CE6" w14:textId="67562BFA" w:rsidR="00D06C57" w:rsidRPr="00DC547E" w:rsidRDefault="00D06C57" w:rsidP="00D06C5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A778F6">
              <w:rPr>
                <w:rFonts w:ascii="Arial" w:eastAsia="Times New Roman" w:hAnsi="Arial" w:cs="Arial"/>
                <w:color w:val="000000"/>
                <w:sz w:val="18"/>
                <w:szCs w:val="18"/>
              </w:rPr>
              <w:t>3.614</w:t>
            </w:r>
          </w:p>
        </w:tc>
      </w:tr>
      <w:tr w:rsidR="00D06C57" w:rsidRPr="00DC547E" w14:paraId="2107665C" w14:textId="77777777" w:rsidTr="006D4635">
        <w:trPr>
          <w:trHeight w:hRule="exact" w:val="284"/>
          <w:jc w:val="center"/>
        </w:trPr>
        <w:tc>
          <w:tcPr>
            <w:tcW w:w="3639" w:type="dxa"/>
            <w:vAlign w:val="bottom"/>
          </w:tcPr>
          <w:p w14:paraId="3D3EDB1E" w14:textId="77777777" w:rsidR="00D06C57" w:rsidRPr="003D1614" w:rsidRDefault="00D06C57" w:rsidP="00D06C57">
            <w:pPr>
              <w:tabs>
                <w:tab w:val="right" w:pos="1202"/>
              </w:tabs>
              <w:suppressAutoHyphens/>
              <w:autoSpaceDN w:val="0"/>
              <w:outlineLvl w:val="0"/>
              <w:rPr>
                <w:rFonts w:ascii="Arial" w:eastAsia="Calibri" w:hAnsi="Arial" w:cs="Arial"/>
                <w:bCs/>
                <w:color w:val="000000" w:themeColor="text1"/>
                <w:sz w:val="18"/>
                <w:szCs w:val="18"/>
              </w:rPr>
            </w:pPr>
            <w:bookmarkStart w:id="563" w:name="_Toc67329142"/>
            <w:r w:rsidRPr="003D1614">
              <w:rPr>
                <w:rFonts w:ascii="Arial" w:eastAsia="Calibri" w:hAnsi="Arial" w:cs="Arial"/>
                <w:bCs/>
                <w:color w:val="000000" w:themeColor="text1"/>
                <w:sz w:val="18"/>
                <w:szCs w:val="18"/>
              </w:rPr>
              <w:t>Ključni članovi rukovodstva</w:t>
            </w:r>
            <w:bookmarkEnd w:id="563"/>
          </w:p>
        </w:tc>
        <w:tc>
          <w:tcPr>
            <w:tcW w:w="1278" w:type="dxa"/>
            <w:tcBorders>
              <w:bottom w:val="single" w:sz="4" w:space="0" w:color="000000"/>
            </w:tcBorders>
            <w:shd w:val="clear" w:color="auto" w:fill="auto"/>
          </w:tcPr>
          <w:p w14:paraId="2F68E664" w14:textId="1C513746" w:rsidR="00D06C57" w:rsidRPr="00A778F6" w:rsidRDefault="00D06C57" w:rsidP="00D06C57">
            <w:pPr>
              <w:tabs>
                <w:tab w:val="right" w:pos="1202"/>
              </w:tabs>
              <w:suppressAutoHyphens/>
              <w:autoSpaceDN w:val="0"/>
              <w:spacing w:line="280" w:lineRule="exact"/>
              <w:jc w:val="right"/>
              <w:outlineLvl w:val="0"/>
              <w:rPr>
                <w:rFonts w:ascii="Arial" w:eastAsia="Times New Roman" w:hAnsi="Arial" w:cs="Arial"/>
                <w:color w:val="000000"/>
                <w:sz w:val="18"/>
                <w:szCs w:val="18"/>
              </w:rPr>
            </w:pPr>
            <w:r>
              <w:rPr>
                <w:rFonts w:ascii="Arial" w:eastAsia="Times New Roman" w:hAnsi="Arial" w:cs="Arial"/>
                <w:color w:val="000000"/>
                <w:sz w:val="18"/>
                <w:szCs w:val="18"/>
              </w:rPr>
              <w:t>2</w:t>
            </w:r>
          </w:p>
        </w:tc>
        <w:tc>
          <w:tcPr>
            <w:tcW w:w="1279" w:type="dxa"/>
            <w:tcBorders>
              <w:bottom w:val="single" w:sz="4" w:space="0" w:color="000000"/>
            </w:tcBorders>
            <w:shd w:val="clear" w:color="auto" w:fill="auto"/>
          </w:tcPr>
          <w:p w14:paraId="665B51A8" w14:textId="72C2454E" w:rsidR="00D06C57" w:rsidRPr="00A778F6" w:rsidRDefault="00D06C57" w:rsidP="00D06C5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B572FC">
              <w:rPr>
                <w:rFonts w:ascii="Arial" w:eastAsia="Times New Roman" w:hAnsi="Arial" w:cs="Arial"/>
                <w:color w:val="000000"/>
                <w:sz w:val="18"/>
                <w:szCs w:val="18"/>
              </w:rPr>
              <w:t>289</w:t>
            </w:r>
          </w:p>
        </w:tc>
        <w:tc>
          <w:tcPr>
            <w:tcW w:w="1279" w:type="dxa"/>
            <w:tcBorders>
              <w:bottom w:val="single" w:sz="4" w:space="0" w:color="000000"/>
            </w:tcBorders>
            <w:shd w:val="clear" w:color="auto" w:fill="auto"/>
          </w:tcPr>
          <w:p w14:paraId="5858973C" w14:textId="3AE8F1B2" w:rsidR="00D06C57" w:rsidRPr="00DC547E" w:rsidRDefault="00D06C57" w:rsidP="00D06C5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DC3EA5">
              <w:rPr>
                <w:rFonts w:ascii="Arial" w:eastAsia="Times New Roman" w:hAnsi="Arial" w:cs="Arial"/>
                <w:color w:val="000000"/>
                <w:sz w:val="18"/>
                <w:szCs w:val="18"/>
              </w:rPr>
              <w:t>2</w:t>
            </w:r>
          </w:p>
        </w:tc>
        <w:tc>
          <w:tcPr>
            <w:tcW w:w="1279" w:type="dxa"/>
            <w:tcBorders>
              <w:bottom w:val="single" w:sz="4" w:space="0" w:color="000000"/>
            </w:tcBorders>
            <w:shd w:val="clear" w:color="auto" w:fill="auto"/>
          </w:tcPr>
          <w:p w14:paraId="59AEC6A4" w14:textId="4C252BFA" w:rsidR="00D06C57" w:rsidRPr="00DC547E" w:rsidRDefault="00D06C57" w:rsidP="00D06C57">
            <w:pPr>
              <w:tabs>
                <w:tab w:val="right" w:pos="1202"/>
              </w:tabs>
              <w:suppressAutoHyphens/>
              <w:autoSpaceDN w:val="0"/>
              <w:spacing w:line="280" w:lineRule="exact"/>
              <w:jc w:val="right"/>
              <w:outlineLvl w:val="0"/>
              <w:rPr>
                <w:rFonts w:ascii="Arial" w:eastAsia="Times New Roman" w:hAnsi="Arial" w:cs="Arial"/>
                <w:color w:val="000000"/>
                <w:sz w:val="18"/>
                <w:szCs w:val="18"/>
              </w:rPr>
            </w:pPr>
            <w:r w:rsidRPr="00DC3EA5">
              <w:rPr>
                <w:rFonts w:ascii="Arial" w:eastAsia="Times New Roman" w:hAnsi="Arial" w:cs="Arial"/>
                <w:color w:val="000000"/>
                <w:sz w:val="18"/>
                <w:szCs w:val="18"/>
              </w:rPr>
              <w:t>297</w:t>
            </w:r>
          </w:p>
        </w:tc>
      </w:tr>
      <w:tr w:rsidR="00D06C57" w:rsidRPr="00DC547E" w14:paraId="54415C31" w14:textId="77777777" w:rsidTr="0087267F">
        <w:trPr>
          <w:trHeight w:val="371"/>
          <w:jc w:val="center"/>
        </w:trPr>
        <w:tc>
          <w:tcPr>
            <w:tcW w:w="3639" w:type="dxa"/>
            <w:vAlign w:val="bottom"/>
          </w:tcPr>
          <w:p w14:paraId="33EE96AA" w14:textId="77777777" w:rsidR="00D06C57" w:rsidRPr="003D1614" w:rsidRDefault="00D06C57" w:rsidP="00D06C57">
            <w:pPr>
              <w:tabs>
                <w:tab w:val="right" w:pos="1202"/>
              </w:tabs>
              <w:suppressAutoHyphens/>
              <w:autoSpaceDN w:val="0"/>
              <w:outlineLvl w:val="0"/>
              <w:rPr>
                <w:rFonts w:ascii="Arial" w:eastAsia="Calibri" w:hAnsi="Arial" w:cs="Arial"/>
                <w:b/>
                <w:color w:val="000000" w:themeColor="text1"/>
                <w:sz w:val="18"/>
                <w:szCs w:val="18"/>
              </w:rPr>
            </w:pPr>
            <w:bookmarkStart w:id="564" w:name="_Toc67329147"/>
            <w:r w:rsidRPr="003D1614">
              <w:rPr>
                <w:rFonts w:ascii="Arial" w:eastAsia="Calibri" w:hAnsi="Arial" w:cs="Arial"/>
                <w:b/>
                <w:color w:val="000000" w:themeColor="text1"/>
                <w:sz w:val="18"/>
                <w:szCs w:val="18"/>
              </w:rPr>
              <w:t>Ukupno</w:t>
            </w:r>
            <w:bookmarkEnd w:id="564"/>
          </w:p>
        </w:tc>
        <w:tc>
          <w:tcPr>
            <w:tcW w:w="1278" w:type="dxa"/>
            <w:tcBorders>
              <w:top w:val="single" w:sz="4" w:space="0" w:color="auto"/>
              <w:bottom w:val="single" w:sz="12" w:space="0" w:color="auto"/>
              <w:right w:val="nil"/>
            </w:tcBorders>
            <w:shd w:val="clear" w:color="auto" w:fill="auto"/>
            <w:vAlign w:val="bottom"/>
          </w:tcPr>
          <w:p w14:paraId="6316B6EC" w14:textId="21E9A91D" w:rsidR="00D06C57" w:rsidRPr="00A778F6" w:rsidRDefault="00D06C57" w:rsidP="00D06C57">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B572FC">
              <w:rPr>
                <w:rFonts w:ascii="Arial" w:eastAsia="Times New Roman" w:hAnsi="Arial" w:cs="Arial"/>
                <w:b/>
                <w:bCs/>
                <w:color w:val="000000"/>
                <w:sz w:val="18"/>
                <w:szCs w:val="18"/>
              </w:rPr>
              <w:t>13.486</w:t>
            </w:r>
          </w:p>
        </w:tc>
        <w:tc>
          <w:tcPr>
            <w:tcW w:w="1279" w:type="dxa"/>
            <w:tcBorders>
              <w:top w:val="single" w:sz="4" w:space="0" w:color="auto"/>
              <w:left w:val="nil"/>
              <w:bottom w:val="single" w:sz="12" w:space="0" w:color="auto"/>
              <w:right w:val="nil"/>
            </w:tcBorders>
            <w:shd w:val="clear" w:color="auto" w:fill="auto"/>
            <w:vAlign w:val="bottom"/>
          </w:tcPr>
          <w:p w14:paraId="79745A4A" w14:textId="1C09870B" w:rsidR="00D06C57" w:rsidRPr="00A778F6" w:rsidRDefault="00D06C57" w:rsidP="00D06C57">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B572FC">
              <w:rPr>
                <w:rFonts w:ascii="Arial" w:eastAsia="Times New Roman" w:hAnsi="Arial" w:cs="Arial"/>
                <w:b/>
                <w:bCs/>
                <w:color w:val="000000"/>
                <w:sz w:val="18"/>
                <w:szCs w:val="18"/>
              </w:rPr>
              <w:t>4.479</w:t>
            </w:r>
          </w:p>
        </w:tc>
        <w:tc>
          <w:tcPr>
            <w:tcW w:w="1279" w:type="dxa"/>
            <w:tcBorders>
              <w:top w:val="single" w:sz="4" w:space="0" w:color="auto"/>
              <w:bottom w:val="single" w:sz="12" w:space="0" w:color="auto"/>
              <w:right w:val="nil"/>
            </w:tcBorders>
            <w:shd w:val="clear" w:color="auto" w:fill="auto"/>
            <w:vAlign w:val="bottom"/>
          </w:tcPr>
          <w:p w14:paraId="7FB8D1EC" w14:textId="60406CE3" w:rsidR="00D06C57" w:rsidRPr="00DC547E" w:rsidRDefault="00D06C57" w:rsidP="00D06C57">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87267F">
              <w:rPr>
                <w:rFonts w:ascii="Arial" w:eastAsia="Times New Roman" w:hAnsi="Arial" w:cs="Arial"/>
                <w:b/>
                <w:bCs/>
                <w:color w:val="000000"/>
                <w:sz w:val="18"/>
                <w:szCs w:val="18"/>
              </w:rPr>
              <w:t xml:space="preserve"> 7.818 </w:t>
            </w:r>
          </w:p>
        </w:tc>
        <w:tc>
          <w:tcPr>
            <w:tcW w:w="1279" w:type="dxa"/>
            <w:tcBorders>
              <w:top w:val="single" w:sz="4" w:space="0" w:color="auto"/>
              <w:left w:val="nil"/>
              <w:bottom w:val="single" w:sz="12" w:space="0" w:color="auto"/>
              <w:right w:val="nil"/>
            </w:tcBorders>
            <w:shd w:val="clear" w:color="auto" w:fill="auto"/>
            <w:vAlign w:val="bottom"/>
          </w:tcPr>
          <w:p w14:paraId="705A537A" w14:textId="419D0AB1" w:rsidR="00D06C57" w:rsidRPr="00DC547E" w:rsidRDefault="00D06C57" w:rsidP="00D06C57">
            <w:pPr>
              <w:tabs>
                <w:tab w:val="right" w:pos="1202"/>
              </w:tabs>
              <w:suppressAutoHyphens/>
              <w:autoSpaceDN w:val="0"/>
              <w:spacing w:line="280" w:lineRule="exact"/>
              <w:jc w:val="right"/>
              <w:outlineLvl w:val="0"/>
              <w:rPr>
                <w:rFonts w:ascii="Arial" w:eastAsia="Times New Roman" w:hAnsi="Arial" w:cs="Arial"/>
                <w:b/>
                <w:bCs/>
                <w:color w:val="000000"/>
                <w:sz w:val="18"/>
                <w:szCs w:val="18"/>
              </w:rPr>
            </w:pPr>
            <w:r w:rsidRPr="0087267F">
              <w:rPr>
                <w:rFonts w:ascii="Arial" w:eastAsia="Times New Roman" w:hAnsi="Arial" w:cs="Arial"/>
                <w:b/>
                <w:bCs/>
                <w:color w:val="000000"/>
                <w:sz w:val="18"/>
                <w:szCs w:val="18"/>
              </w:rPr>
              <w:t xml:space="preserve"> 4.540 </w:t>
            </w:r>
          </w:p>
        </w:tc>
      </w:tr>
    </w:tbl>
    <w:p w14:paraId="6A7A9ACA" w14:textId="77777777" w:rsidR="0064018A" w:rsidRPr="003D1614" w:rsidRDefault="0064018A" w:rsidP="0064018A">
      <w:pPr>
        <w:keepNext/>
        <w:suppressAutoHyphens/>
        <w:autoSpaceDN w:val="0"/>
        <w:jc w:val="both"/>
        <w:rPr>
          <w:rFonts w:ascii="Arial" w:eastAsia="Times New Roman" w:hAnsi="Arial" w:cs="Arial"/>
          <w:bCs/>
          <w:color w:val="000000" w:themeColor="text1"/>
          <w:sz w:val="20"/>
          <w:szCs w:val="20"/>
          <w:highlight w:val="yellow"/>
        </w:rPr>
      </w:pPr>
    </w:p>
    <w:p w14:paraId="7C913329" w14:textId="77777777" w:rsidR="0064018A" w:rsidRPr="003D1614" w:rsidRDefault="0064018A"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pPr>
      <w:bookmarkStart w:id="565" w:name="_Toc67329152"/>
      <w:r w:rsidRPr="003D1614">
        <w:rPr>
          <w:rFonts w:ascii="Arial" w:eastAsia="Times New Roman" w:hAnsi="Arial" w:cs="Arial"/>
          <w:color w:val="000000" w:themeColor="text1"/>
          <w:sz w:val="20"/>
          <w:szCs w:val="20"/>
        </w:rPr>
        <w:t xml:space="preserve">Imovina sadrži kredite ostalim korisnicima, dužničke vrijednosne papire po amortiziranom trošku, financijsku imovinu po fer vrijednosti kroz ostalu sveobuhvatnu dobit, ostalu imovinu i </w:t>
      </w:r>
      <w:proofErr w:type="spellStart"/>
      <w:r w:rsidRPr="003D1614">
        <w:rPr>
          <w:rFonts w:ascii="Arial" w:eastAsia="Times New Roman" w:hAnsi="Arial" w:cs="Arial"/>
          <w:color w:val="000000" w:themeColor="text1"/>
          <w:sz w:val="20"/>
          <w:szCs w:val="20"/>
        </w:rPr>
        <w:t>izvanbilačnu</w:t>
      </w:r>
      <w:proofErr w:type="spellEnd"/>
      <w:r w:rsidRPr="003D1614">
        <w:rPr>
          <w:rFonts w:ascii="Arial" w:eastAsia="Times New Roman" w:hAnsi="Arial" w:cs="Arial"/>
          <w:color w:val="000000" w:themeColor="text1"/>
          <w:sz w:val="20"/>
          <w:szCs w:val="20"/>
        </w:rPr>
        <w:t xml:space="preserve"> izloženost koja se odnosi na preuzete obveze.</w:t>
      </w:r>
      <w:bookmarkEnd w:id="565"/>
    </w:p>
    <w:p w14:paraId="6964AECB" w14:textId="77777777" w:rsidR="0064018A" w:rsidRPr="003D1614" w:rsidRDefault="0064018A"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pPr>
    </w:p>
    <w:p w14:paraId="5692882C" w14:textId="77777777" w:rsidR="0064018A" w:rsidRPr="003D1614" w:rsidRDefault="0064018A"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pPr>
      <w:bookmarkStart w:id="566" w:name="_Toc67329153"/>
      <w:r w:rsidRPr="003D1614">
        <w:rPr>
          <w:rFonts w:ascii="Arial" w:eastAsia="Times New Roman" w:hAnsi="Arial" w:cs="Arial"/>
          <w:color w:val="000000" w:themeColor="text1"/>
          <w:sz w:val="20"/>
          <w:szCs w:val="20"/>
        </w:rPr>
        <w:t>Obveze sadrže obveze po depozitima, obveze za plaće, rezerviranja u ime otpremnina i jubilarnih nagrada ključnih članova rukovodstva te ostale obveze.</w:t>
      </w:r>
      <w:bookmarkEnd w:id="566"/>
    </w:p>
    <w:p w14:paraId="4E7EE570" w14:textId="77777777" w:rsidR="0064018A" w:rsidRPr="003D1614" w:rsidRDefault="0064018A" w:rsidP="0064018A">
      <w:pPr>
        <w:tabs>
          <w:tab w:val="right" w:pos="284"/>
          <w:tab w:val="left" w:pos="426"/>
        </w:tabs>
        <w:suppressAutoHyphens/>
        <w:autoSpaceDN w:val="0"/>
        <w:outlineLvl w:val="0"/>
        <w:rPr>
          <w:rFonts w:ascii="Arial" w:eastAsia="Times New Roman" w:hAnsi="Arial" w:cs="Arial"/>
          <w:color w:val="000000" w:themeColor="text1"/>
          <w:sz w:val="20"/>
          <w:szCs w:val="20"/>
        </w:rPr>
      </w:pPr>
    </w:p>
    <w:p w14:paraId="7534D147" w14:textId="77777777" w:rsidR="0064018A" w:rsidRPr="003D1614" w:rsidRDefault="0064018A"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pPr>
      <w:bookmarkStart w:id="567" w:name="_Toc67329154"/>
      <w:r w:rsidRPr="003D1614">
        <w:rPr>
          <w:rFonts w:ascii="Arial" w:eastAsia="Times New Roman" w:hAnsi="Arial" w:cs="Arial"/>
          <w:color w:val="000000" w:themeColor="text1"/>
          <w:sz w:val="20"/>
          <w:szCs w:val="20"/>
        </w:rPr>
        <w:t>Prihodi sadrže prihode od kamata i naknada, te prihode od ukidanja umanjenja vrijednosti i rezerviranja.</w:t>
      </w:r>
      <w:bookmarkEnd w:id="567"/>
    </w:p>
    <w:p w14:paraId="064D7799" w14:textId="77777777" w:rsidR="0064018A" w:rsidRPr="003D1614" w:rsidRDefault="0064018A"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pPr>
    </w:p>
    <w:p w14:paraId="64F1E426" w14:textId="5D0CED5D" w:rsidR="0064018A" w:rsidRPr="003D1614" w:rsidRDefault="0064018A"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pPr>
      <w:bookmarkStart w:id="568" w:name="_Toc67329155"/>
      <w:r w:rsidRPr="003D1614">
        <w:rPr>
          <w:rFonts w:ascii="Arial" w:eastAsia="Times New Roman" w:hAnsi="Arial" w:cs="Arial"/>
          <w:color w:val="000000" w:themeColor="text1"/>
          <w:sz w:val="20"/>
          <w:szCs w:val="20"/>
        </w:rPr>
        <w:t>Rashodi sadrže rashode za plaće ključnih članova rukovodstva, gubitak od umanjenja vrijednosti i rezerviranja.</w:t>
      </w:r>
      <w:bookmarkEnd w:id="568"/>
    </w:p>
    <w:p w14:paraId="5D4D4958" w14:textId="77777777" w:rsidR="003A487C" w:rsidRPr="003D1614" w:rsidRDefault="003A487C" w:rsidP="0064018A">
      <w:pPr>
        <w:tabs>
          <w:tab w:val="right" w:pos="1202"/>
          <w:tab w:val="left" w:pos="9180"/>
        </w:tabs>
        <w:suppressAutoHyphens/>
        <w:autoSpaceDN w:val="0"/>
        <w:jc w:val="both"/>
        <w:outlineLvl w:val="0"/>
        <w:rPr>
          <w:rFonts w:ascii="Arial" w:eastAsia="Times New Roman" w:hAnsi="Arial" w:cs="Arial"/>
          <w:color w:val="000000" w:themeColor="text1"/>
          <w:sz w:val="20"/>
          <w:szCs w:val="20"/>
        </w:rPr>
        <w:sectPr w:rsidR="003A487C" w:rsidRPr="003D1614">
          <w:pgSz w:w="11906" w:h="16838"/>
          <w:pgMar w:top="1417" w:right="1417" w:bottom="1417" w:left="1417" w:header="708" w:footer="708" w:gutter="0"/>
          <w:cols w:space="708"/>
          <w:docGrid w:linePitch="360"/>
        </w:sectPr>
      </w:pPr>
    </w:p>
    <w:p w14:paraId="192EC374" w14:textId="77777777" w:rsidR="003A487C" w:rsidRPr="003D1614" w:rsidRDefault="003A487C" w:rsidP="003A487C">
      <w:pPr>
        <w:keepNext/>
        <w:tabs>
          <w:tab w:val="left" w:pos="567"/>
          <w:tab w:val="left" w:pos="709"/>
        </w:tabs>
        <w:suppressAutoHyphens/>
        <w:autoSpaceDN w:val="0"/>
        <w:jc w:val="both"/>
        <w:outlineLvl w:val="0"/>
        <w:rPr>
          <w:rFonts w:ascii="Arial" w:eastAsia="Times New Roman" w:hAnsi="Arial" w:cs="Arial"/>
          <w:b/>
          <w:color w:val="000000" w:themeColor="text1"/>
          <w:sz w:val="20"/>
          <w:szCs w:val="20"/>
        </w:rPr>
      </w:pPr>
    </w:p>
    <w:p w14:paraId="320CFF6D" w14:textId="6B7D19F6" w:rsidR="003A487C" w:rsidRPr="003D1614" w:rsidRDefault="003A487C" w:rsidP="003A487C">
      <w:pPr>
        <w:keepNext/>
        <w:tabs>
          <w:tab w:val="left" w:pos="567"/>
          <w:tab w:val="left" w:pos="709"/>
        </w:tabs>
        <w:suppressAutoHyphens/>
        <w:autoSpaceDN w:val="0"/>
        <w:jc w:val="both"/>
        <w:outlineLvl w:val="0"/>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2</w:t>
      </w:r>
      <w:r w:rsidRPr="003D1614">
        <w:rPr>
          <w:rFonts w:ascii="Arial" w:eastAsia="Times New Roman" w:hAnsi="Arial" w:cs="Arial"/>
          <w:b/>
          <w:color w:val="000000" w:themeColor="text1"/>
          <w:sz w:val="20"/>
          <w:szCs w:val="20"/>
        </w:rPr>
        <w:t>.</w:t>
      </w:r>
      <w:r w:rsidRPr="003D1614">
        <w:rPr>
          <w:rFonts w:ascii="Arial" w:eastAsia="Times New Roman" w:hAnsi="Arial" w:cs="Arial"/>
          <w:b/>
          <w:color w:val="000000" w:themeColor="text1"/>
          <w:sz w:val="20"/>
          <w:szCs w:val="20"/>
        </w:rPr>
        <w:tab/>
        <w:t>Transakcije s povezanim stranama (nastavak)</w:t>
      </w:r>
    </w:p>
    <w:p w14:paraId="37AFBA9C" w14:textId="77777777" w:rsidR="003A487C" w:rsidRPr="003D1614" w:rsidRDefault="003A487C" w:rsidP="003A487C">
      <w:pPr>
        <w:tabs>
          <w:tab w:val="right" w:pos="284"/>
          <w:tab w:val="left" w:pos="426"/>
        </w:tabs>
        <w:suppressAutoHyphens/>
        <w:autoSpaceDN w:val="0"/>
        <w:outlineLvl w:val="0"/>
        <w:rPr>
          <w:rFonts w:ascii="Arial" w:eastAsia="Times New Roman" w:hAnsi="Arial" w:cs="Arial"/>
          <w:color w:val="000000" w:themeColor="text1"/>
          <w:sz w:val="20"/>
          <w:szCs w:val="20"/>
        </w:rPr>
      </w:pPr>
    </w:p>
    <w:p w14:paraId="6B96CD7C" w14:textId="77777777" w:rsidR="003A487C" w:rsidRPr="003D1614" w:rsidRDefault="003A487C" w:rsidP="003A487C">
      <w:pPr>
        <w:tabs>
          <w:tab w:val="right" w:pos="1202"/>
          <w:tab w:val="left" w:pos="9180"/>
        </w:tabs>
        <w:suppressAutoHyphens/>
        <w:autoSpaceDN w:val="0"/>
        <w:jc w:val="both"/>
        <w:outlineLvl w:val="0"/>
        <w:rPr>
          <w:rFonts w:ascii="Arial" w:eastAsia="Times New Roman" w:hAnsi="Arial" w:cs="Arial"/>
          <w:color w:val="000000" w:themeColor="text1"/>
          <w:sz w:val="20"/>
          <w:szCs w:val="20"/>
        </w:rPr>
      </w:pPr>
    </w:p>
    <w:p w14:paraId="1355ED95" w14:textId="77777777" w:rsidR="003A487C" w:rsidRPr="003D1614" w:rsidRDefault="003A487C" w:rsidP="003A487C">
      <w:pPr>
        <w:tabs>
          <w:tab w:val="right" w:pos="284"/>
          <w:tab w:val="left" w:pos="567"/>
        </w:tabs>
        <w:suppressAutoHyphens/>
        <w:autoSpaceDN w:val="0"/>
        <w:outlineLvl w:val="0"/>
        <w:rPr>
          <w:rFonts w:ascii="Arial" w:eastAsia="Times New Roman" w:hAnsi="Arial" w:cs="Arial"/>
          <w:color w:val="000000" w:themeColor="text1"/>
          <w:sz w:val="20"/>
          <w:szCs w:val="20"/>
        </w:rPr>
      </w:pPr>
      <w:bookmarkStart w:id="569" w:name="_Toc67329156"/>
      <w:r w:rsidRPr="003D1614">
        <w:rPr>
          <w:rFonts w:ascii="Arial" w:eastAsia="Times New Roman" w:hAnsi="Arial" w:cs="Arial"/>
          <w:color w:val="000000" w:themeColor="text1"/>
          <w:sz w:val="20"/>
          <w:szCs w:val="20"/>
        </w:rPr>
        <w:t>b)</w:t>
      </w:r>
      <w:r w:rsidRPr="003D1614">
        <w:rPr>
          <w:rFonts w:ascii="Arial" w:eastAsia="Times New Roman" w:hAnsi="Arial" w:cs="Arial"/>
          <w:color w:val="000000" w:themeColor="text1"/>
          <w:sz w:val="20"/>
          <w:szCs w:val="20"/>
        </w:rPr>
        <w:tab/>
      </w:r>
      <w:r w:rsidRPr="003D1614">
        <w:rPr>
          <w:rFonts w:ascii="Arial" w:eastAsia="Times New Roman" w:hAnsi="Arial" w:cs="Arial"/>
          <w:color w:val="000000" w:themeColor="text1"/>
          <w:sz w:val="20"/>
          <w:szCs w:val="20"/>
        </w:rPr>
        <w:tab/>
        <w:t>Primljeni instrumenti osiguranja</w:t>
      </w:r>
      <w:bookmarkEnd w:id="569"/>
    </w:p>
    <w:p w14:paraId="62883762" w14:textId="77777777" w:rsidR="003A487C" w:rsidRPr="003D1614" w:rsidRDefault="003A487C" w:rsidP="003A487C">
      <w:pPr>
        <w:tabs>
          <w:tab w:val="right" w:pos="284"/>
          <w:tab w:val="left" w:pos="567"/>
        </w:tabs>
        <w:suppressAutoHyphens/>
        <w:autoSpaceDN w:val="0"/>
        <w:outlineLvl w:val="0"/>
        <w:rPr>
          <w:rFonts w:ascii="Arial" w:eastAsia="Times New Roman" w:hAnsi="Arial" w:cs="Arial"/>
          <w:color w:val="000000" w:themeColor="text1"/>
          <w:sz w:val="20"/>
          <w:szCs w:val="20"/>
        </w:rPr>
      </w:pPr>
    </w:p>
    <w:tbl>
      <w:tblPr>
        <w:tblW w:w="4997" w:type="pct"/>
        <w:tblLayout w:type="fixed"/>
        <w:tblCellMar>
          <w:left w:w="56" w:type="dxa"/>
          <w:right w:w="56" w:type="dxa"/>
        </w:tblCellMar>
        <w:tblLook w:val="00A0" w:firstRow="1" w:lastRow="0" w:firstColumn="1" w:lastColumn="0" w:noHBand="0" w:noVBand="0"/>
      </w:tblPr>
      <w:tblGrid>
        <w:gridCol w:w="2337"/>
        <w:gridCol w:w="1681"/>
        <w:gridCol w:w="1685"/>
        <w:gridCol w:w="1681"/>
        <w:gridCol w:w="1683"/>
      </w:tblGrid>
      <w:tr w:rsidR="003A487C" w:rsidRPr="003D1614" w14:paraId="1E750A6B" w14:textId="77777777" w:rsidTr="00AD0393">
        <w:trPr>
          <w:trHeight w:val="240"/>
        </w:trPr>
        <w:tc>
          <w:tcPr>
            <w:tcW w:w="1289" w:type="pct"/>
            <w:vAlign w:val="bottom"/>
          </w:tcPr>
          <w:p w14:paraId="1EC184AB" w14:textId="7777777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p>
        </w:tc>
        <w:tc>
          <w:tcPr>
            <w:tcW w:w="1856" w:type="pct"/>
            <w:gridSpan w:val="2"/>
            <w:vAlign w:val="bottom"/>
          </w:tcPr>
          <w:p w14:paraId="010B5457" w14:textId="7777777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70" w:name="_Toc67329157"/>
            <w:r w:rsidRPr="003D1614">
              <w:rPr>
                <w:rFonts w:ascii="Arial" w:eastAsia="Times New Roman" w:hAnsi="Arial" w:cs="Arial"/>
                <w:b/>
                <w:color w:val="000000" w:themeColor="text1"/>
                <w:sz w:val="18"/>
                <w:szCs w:val="18"/>
              </w:rPr>
              <w:t>Grupa</w:t>
            </w:r>
            <w:bookmarkEnd w:id="570"/>
          </w:p>
        </w:tc>
        <w:tc>
          <w:tcPr>
            <w:tcW w:w="1855" w:type="pct"/>
            <w:gridSpan w:val="2"/>
            <w:vAlign w:val="bottom"/>
          </w:tcPr>
          <w:p w14:paraId="2AAF3445" w14:textId="7777777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71" w:name="_Toc67329158"/>
            <w:r w:rsidRPr="003D1614">
              <w:rPr>
                <w:rFonts w:ascii="Arial" w:eastAsia="Times New Roman" w:hAnsi="Arial" w:cs="Arial"/>
                <w:b/>
                <w:color w:val="000000" w:themeColor="text1"/>
                <w:sz w:val="18"/>
                <w:szCs w:val="18"/>
              </w:rPr>
              <w:t>Banka</w:t>
            </w:r>
            <w:bookmarkEnd w:id="571"/>
          </w:p>
        </w:tc>
      </w:tr>
      <w:tr w:rsidR="003A487C" w:rsidRPr="003D1614" w14:paraId="33AAA590" w14:textId="77777777" w:rsidTr="00AD0393">
        <w:trPr>
          <w:trHeight w:val="167"/>
        </w:trPr>
        <w:tc>
          <w:tcPr>
            <w:tcW w:w="1289" w:type="pct"/>
            <w:vAlign w:val="bottom"/>
          </w:tcPr>
          <w:p w14:paraId="0B1D7790" w14:textId="7777777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p>
        </w:tc>
        <w:tc>
          <w:tcPr>
            <w:tcW w:w="927" w:type="pct"/>
            <w:vAlign w:val="bottom"/>
          </w:tcPr>
          <w:p w14:paraId="381630CC" w14:textId="7777777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72" w:name="_Toc67329159"/>
            <w:r w:rsidRPr="003D1614">
              <w:rPr>
                <w:rFonts w:ascii="Arial" w:eastAsia="Times New Roman" w:hAnsi="Arial" w:cs="Arial"/>
                <w:b/>
                <w:color w:val="000000" w:themeColor="text1"/>
                <w:sz w:val="18"/>
                <w:szCs w:val="18"/>
              </w:rPr>
              <w:t>31. ožujka</w:t>
            </w:r>
          </w:p>
          <w:p w14:paraId="538085F6" w14:textId="637B770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 xml:space="preserve"> 202</w:t>
            </w:r>
            <w:r w:rsidR="00803164">
              <w:rPr>
                <w:rFonts w:ascii="Arial" w:eastAsia="Times New Roman" w:hAnsi="Arial" w:cs="Arial"/>
                <w:b/>
                <w:color w:val="000000" w:themeColor="text1"/>
                <w:sz w:val="18"/>
                <w:szCs w:val="18"/>
              </w:rPr>
              <w:t>4</w:t>
            </w:r>
            <w:r w:rsidRPr="003D1614">
              <w:rPr>
                <w:rFonts w:ascii="Arial" w:eastAsia="Times New Roman" w:hAnsi="Arial" w:cs="Arial"/>
                <w:b/>
                <w:color w:val="000000" w:themeColor="text1"/>
                <w:sz w:val="18"/>
                <w:szCs w:val="18"/>
              </w:rPr>
              <w:t>.</w:t>
            </w:r>
            <w:bookmarkEnd w:id="572"/>
          </w:p>
        </w:tc>
        <w:tc>
          <w:tcPr>
            <w:tcW w:w="929" w:type="pct"/>
            <w:vAlign w:val="bottom"/>
          </w:tcPr>
          <w:p w14:paraId="04A00793" w14:textId="7777777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73" w:name="_Toc67329160"/>
            <w:r w:rsidRPr="003D1614">
              <w:rPr>
                <w:rFonts w:ascii="Arial" w:eastAsia="Times New Roman" w:hAnsi="Arial" w:cs="Arial"/>
                <w:b/>
                <w:color w:val="000000" w:themeColor="text1"/>
                <w:sz w:val="18"/>
                <w:szCs w:val="18"/>
              </w:rPr>
              <w:t xml:space="preserve">31. prosinca </w:t>
            </w:r>
          </w:p>
          <w:p w14:paraId="0A4F3C11" w14:textId="3EAA32E8"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202</w:t>
            </w:r>
            <w:r w:rsidR="00803164">
              <w:rPr>
                <w:rFonts w:ascii="Arial" w:eastAsia="Times New Roman" w:hAnsi="Arial" w:cs="Arial"/>
                <w:b/>
                <w:color w:val="000000" w:themeColor="text1"/>
                <w:sz w:val="18"/>
                <w:szCs w:val="18"/>
              </w:rPr>
              <w:t>3</w:t>
            </w:r>
            <w:r w:rsidRPr="003D1614">
              <w:rPr>
                <w:rFonts w:ascii="Arial" w:eastAsia="Times New Roman" w:hAnsi="Arial" w:cs="Arial"/>
                <w:b/>
                <w:color w:val="000000" w:themeColor="text1"/>
                <w:sz w:val="18"/>
                <w:szCs w:val="18"/>
              </w:rPr>
              <w:t>.</w:t>
            </w:r>
            <w:bookmarkEnd w:id="573"/>
          </w:p>
        </w:tc>
        <w:tc>
          <w:tcPr>
            <w:tcW w:w="927" w:type="pct"/>
            <w:vAlign w:val="bottom"/>
          </w:tcPr>
          <w:p w14:paraId="1AF4CEFA" w14:textId="7777777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31. ožujka</w:t>
            </w:r>
          </w:p>
          <w:p w14:paraId="0E8057DC" w14:textId="56DCADE4"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 xml:space="preserve"> 202</w:t>
            </w:r>
            <w:r w:rsidR="00490FB6">
              <w:rPr>
                <w:rFonts w:ascii="Arial" w:eastAsia="Times New Roman" w:hAnsi="Arial" w:cs="Arial"/>
                <w:b/>
                <w:color w:val="000000" w:themeColor="text1"/>
                <w:sz w:val="18"/>
                <w:szCs w:val="18"/>
              </w:rPr>
              <w:t>4</w:t>
            </w:r>
            <w:r w:rsidRPr="003D1614">
              <w:rPr>
                <w:rFonts w:ascii="Arial" w:eastAsia="Times New Roman" w:hAnsi="Arial" w:cs="Arial"/>
                <w:b/>
                <w:color w:val="000000" w:themeColor="text1"/>
                <w:sz w:val="18"/>
                <w:szCs w:val="18"/>
              </w:rPr>
              <w:t>.</w:t>
            </w:r>
          </w:p>
        </w:tc>
        <w:tc>
          <w:tcPr>
            <w:tcW w:w="928" w:type="pct"/>
            <w:vAlign w:val="bottom"/>
          </w:tcPr>
          <w:p w14:paraId="6CB7566E" w14:textId="77777777"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574" w:name="_Toc67329162"/>
            <w:r w:rsidRPr="003D1614">
              <w:rPr>
                <w:rFonts w:ascii="Arial" w:eastAsia="Times New Roman" w:hAnsi="Arial" w:cs="Arial"/>
                <w:b/>
                <w:color w:val="000000" w:themeColor="text1"/>
                <w:sz w:val="18"/>
                <w:szCs w:val="18"/>
              </w:rPr>
              <w:t xml:space="preserve">31. prosinca </w:t>
            </w:r>
          </w:p>
          <w:p w14:paraId="507BAD0D" w14:textId="5043497D" w:rsidR="003A487C" w:rsidRPr="003D1614" w:rsidRDefault="003A487C" w:rsidP="003A487C">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202</w:t>
            </w:r>
            <w:r w:rsidR="00490FB6">
              <w:rPr>
                <w:rFonts w:ascii="Arial" w:eastAsia="Times New Roman" w:hAnsi="Arial" w:cs="Arial"/>
                <w:b/>
                <w:color w:val="000000" w:themeColor="text1"/>
                <w:sz w:val="18"/>
                <w:szCs w:val="18"/>
              </w:rPr>
              <w:t>3</w:t>
            </w:r>
            <w:r w:rsidRPr="003D1614">
              <w:rPr>
                <w:rFonts w:ascii="Arial" w:eastAsia="Times New Roman" w:hAnsi="Arial" w:cs="Arial"/>
                <w:b/>
                <w:color w:val="000000" w:themeColor="text1"/>
                <w:sz w:val="18"/>
                <w:szCs w:val="18"/>
              </w:rPr>
              <w:t>.</w:t>
            </w:r>
            <w:bookmarkEnd w:id="574"/>
          </w:p>
        </w:tc>
      </w:tr>
      <w:tr w:rsidR="003A487C" w:rsidRPr="003D1614" w14:paraId="21D23376" w14:textId="77777777" w:rsidTr="00AD0393">
        <w:trPr>
          <w:trHeight w:val="293"/>
        </w:trPr>
        <w:tc>
          <w:tcPr>
            <w:tcW w:w="1289" w:type="pct"/>
            <w:vAlign w:val="bottom"/>
          </w:tcPr>
          <w:p w14:paraId="349E56FC" w14:textId="77777777" w:rsidR="003A487C" w:rsidRPr="003D1614" w:rsidRDefault="003A487C" w:rsidP="003A487C">
            <w:pPr>
              <w:tabs>
                <w:tab w:val="right" w:pos="1202"/>
              </w:tabs>
              <w:suppressAutoHyphens/>
              <w:autoSpaceDN w:val="0"/>
              <w:spacing w:line="301" w:lineRule="exact"/>
              <w:outlineLvl w:val="0"/>
              <w:rPr>
                <w:rFonts w:ascii="Arial" w:eastAsia="Times New Roman" w:hAnsi="Arial" w:cs="Arial"/>
                <w:color w:val="000000" w:themeColor="text1"/>
                <w:sz w:val="18"/>
                <w:szCs w:val="18"/>
              </w:rPr>
            </w:pPr>
          </w:p>
        </w:tc>
        <w:tc>
          <w:tcPr>
            <w:tcW w:w="927" w:type="pct"/>
            <w:vAlign w:val="bottom"/>
          </w:tcPr>
          <w:p w14:paraId="397BDAF0" w14:textId="643F6984" w:rsidR="003A487C" w:rsidRPr="003D1614" w:rsidRDefault="003A487C" w:rsidP="003A487C">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bookmarkStart w:id="575" w:name="_Toc67329163"/>
            <w:r w:rsidRPr="003D1614">
              <w:rPr>
                <w:rFonts w:ascii="Arial" w:eastAsia="Times New Roman" w:hAnsi="Arial" w:cs="Arial"/>
                <w:b/>
                <w:bCs/>
                <w:color w:val="000000" w:themeColor="text1"/>
                <w:sz w:val="18"/>
                <w:szCs w:val="18"/>
              </w:rPr>
              <w:t>000 eura</w:t>
            </w:r>
            <w:bookmarkEnd w:id="575"/>
          </w:p>
        </w:tc>
        <w:tc>
          <w:tcPr>
            <w:tcW w:w="929" w:type="pct"/>
            <w:vAlign w:val="bottom"/>
          </w:tcPr>
          <w:p w14:paraId="5F8AF769" w14:textId="61AA98C0" w:rsidR="003A487C" w:rsidRPr="003D1614" w:rsidRDefault="003A487C" w:rsidP="003A487C">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bookmarkStart w:id="576" w:name="_Toc67329164"/>
            <w:r w:rsidRPr="003D1614">
              <w:rPr>
                <w:rFonts w:ascii="Arial" w:eastAsia="Times New Roman" w:hAnsi="Arial" w:cs="Arial"/>
                <w:b/>
                <w:bCs/>
                <w:color w:val="000000" w:themeColor="text1"/>
                <w:sz w:val="18"/>
                <w:szCs w:val="18"/>
              </w:rPr>
              <w:t>000 eura</w:t>
            </w:r>
            <w:bookmarkEnd w:id="576"/>
          </w:p>
        </w:tc>
        <w:tc>
          <w:tcPr>
            <w:tcW w:w="927" w:type="pct"/>
            <w:vAlign w:val="bottom"/>
          </w:tcPr>
          <w:p w14:paraId="71426942" w14:textId="3A681253" w:rsidR="003A487C" w:rsidRPr="003D1614" w:rsidRDefault="003A487C" w:rsidP="003A487C">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bookmarkStart w:id="577" w:name="_Toc67329165"/>
            <w:r w:rsidRPr="003D1614">
              <w:rPr>
                <w:rFonts w:ascii="Arial" w:eastAsia="Times New Roman" w:hAnsi="Arial" w:cs="Arial"/>
                <w:b/>
                <w:bCs/>
                <w:color w:val="000000" w:themeColor="text1"/>
                <w:sz w:val="18"/>
                <w:szCs w:val="18"/>
              </w:rPr>
              <w:t>000 eura</w:t>
            </w:r>
            <w:bookmarkEnd w:id="577"/>
          </w:p>
        </w:tc>
        <w:tc>
          <w:tcPr>
            <w:tcW w:w="928" w:type="pct"/>
            <w:vAlign w:val="bottom"/>
          </w:tcPr>
          <w:p w14:paraId="1BCCFB52" w14:textId="077A7EDE" w:rsidR="003A487C" w:rsidRPr="003D1614" w:rsidRDefault="003A487C" w:rsidP="003A487C">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bookmarkStart w:id="578" w:name="_Toc67329166"/>
            <w:r w:rsidRPr="003D1614">
              <w:rPr>
                <w:rFonts w:ascii="Arial" w:eastAsia="Times New Roman" w:hAnsi="Arial" w:cs="Arial"/>
                <w:b/>
                <w:bCs/>
                <w:color w:val="000000" w:themeColor="text1"/>
                <w:sz w:val="18"/>
                <w:szCs w:val="18"/>
              </w:rPr>
              <w:t>000 eura</w:t>
            </w:r>
            <w:bookmarkEnd w:id="578"/>
          </w:p>
        </w:tc>
      </w:tr>
      <w:tr w:rsidR="003A487C" w:rsidRPr="003D1614" w14:paraId="146CA9B8" w14:textId="77777777" w:rsidTr="00AD0393">
        <w:trPr>
          <w:trHeight w:val="182"/>
        </w:trPr>
        <w:tc>
          <w:tcPr>
            <w:tcW w:w="1289" w:type="pct"/>
            <w:vAlign w:val="bottom"/>
          </w:tcPr>
          <w:p w14:paraId="180CF1F6" w14:textId="77777777" w:rsidR="003A487C" w:rsidRPr="003D1614" w:rsidRDefault="003A487C" w:rsidP="003A487C">
            <w:pPr>
              <w:tabs>
                <w:tab w:val="right" w:pos="1202"/>
              </w:tabs>
              <w:suppressAutoHyphens/>
              <w:autoSpaceDN w:val="0"/>
              <w:spacing w:line="120" w:lineRule="exact"/>
              <w:outlineLvl w:val="0"/>
              <w:rPr>
                <w:rFonts w:ascii="Arial" w:eastAsia="Times New Roman" w:hAnsi="Arial" w:cs="Arial"/>
                <w:b/>
                <w:color w:val="000000" w:themeColor="text1"/>
                <w:sz w:val="18"/>
                <w:szCs w:val="18"/>
              </w:rPr>
            </w:pPr>
          </w:p>
        </w:tc>
        <w:tc>
          <w:tcPr>
            <w:tcW w:w="927" w:type="pct"/>
            <w:vAlign w:val="bottom"/>
          </w:tcPr>
          <w:p w14:paraId="43AB37C5" w14:textId="77777777" w:rsidR="003A487C" w:rsidRPr="003D1614" w:rsidRDefault="003A487C" w:rsidP="003A487C">
            <w:pPr>
              <w:tabs>
                <w:tab w:val="right" w:pos="1202"/>
              </w:tabs>
              <w:suppressAutoHyphens/>
              <w:autoSpaceDN w:val="0"/>
              <w:spacing w:line="120" w:lineRule="exact"/>
              <w:jc w:val="right"/>
              <w:outlineLvl w:val="0"/>
              <w:rPr>
                <w:rFonts w:ascii="Arial" w:eastAsia="Times New Roman" w:hAnsi="Arial" w:cs="Arial"/>
                <w:bCs/>
                <w:color w:val="000000" w:themeColor="text1"/>
                <w:sz w:val="18"/>
                <w:szCs w:val="18"/>
              </w:rPr>
            </w:pPr>
          </w:p>
        </w:tc>
        <w:tc>
          <w:tcPr>
            <w:tcW w:w="929" w:type="pct"/>
            <w:vAlign w:val="bottom"/>
          </w:tcPr>
          <w:p w14:paraId="1A874C65" w14:textId="77777777" w:rsidR="003A487C" w:rsidRPr="003D1614" w:rsidRDefault="003A487C" w:rsidP="003A487C">
            <w:pPr>
              <w:tabs>
                <w:tab w:val="right" w:pos="1202"/>
              </w:tabs>
              <w:suppressAutoHyphens/>
              <w:autoSpaceDN w:val="0"/>
              <w:spacing w:line="120" w:lineRule="exact"/>
              <w:jc w:val="right"/>
              <w:outlineLvl w:val="0"/>
              <w:rPr>
                <w:rFonts w:ascii="Arial" w:eastAsia="Times New Roman" w:hAnsi="Arial" w:cs="Arial"/>
                <w:bCs/>
                <w:color w:val="000000" w:themeColor="text1"/>
                <w:sz w:val="18"/>
                <w:szCs w:val="18"/>
              </w:rPr>
            </w:pPr>
          </w:p>
        </w:tc>
        <w:tc>
          <w:tcPr>
            <w:tcW w:w="927" w:type="pct"/>
            <w:vAlign w:val="bottom"/>
          </w:tcPr>
          <w:p w14:paraId="538A91A3" w14:textId="77777777" w:rsidR="003A487C" w:rsidRPr="003D1614" w:rsidRDefault="003A487C" w:rsidP="003A487C">
            <w:pPr>
              <w:tabs>
                <w:tab w:val="right" w:pos="1202"/>
              </w:tabs>
              <w:suppressAutoHyphens/>
              <w:autoSpaceDN w:val="0"/>
              <w:spacing w:line="120" w:lineRule="exact"/>
              <w:jc w:val="right"/>
              <w:outlineLvl w:val="0"/>
              <w:rPr>
                <w:rFonts w:ascii="Arial" w:eastAsia="Times New Roman" w:hAnsi="Arial" w:cs="Arial"/>
                <w:bCs/>
                <w:color w:val="000000" w:themeColor="text1"/>
                <w:sz w:val="18"/>
                <w:szCs w:val="18"/>
              </w:rPr>
            </w:pPr>
          </w:p>
        </w:tc>
        <w:tc>
          <w:tcPr>
            <w:tcW w:w="928" w:type="pct"/>
            <w:vAlign w:val="bottom"/>
          </w:tcPr>
          <w:p w14:paraId="0601F6FB" w14:textId="77777777" w:rsidR="003A487C" w:rsidRPr="003D1614" w:rsidRDefault="003A487C" w:rsidP="003A487C">
            <w:pPr>
              <w:tabs>
                <w:tab w:val="right" w:pos="1202"/>
              </w:tabs>
              <w:suppressAutoHyphens/>
              <w:autoSpaceDN w:val="0"/>
              <w:spacing w:line="120" w:lineRule="exact"/>
              <w:jc w:val="right"/>
              <w:outlineLvl w:val="0"/>
              <w:rPr>
                <w:rFonts w:ascii="Arial" w:eastAsia="Times New Roman" w:hAnsi="Arial" w:cs="Arial"/>
                <w:bCs/>
                <w:color w:val="000000" w:themeColor="text1"/>
                <w:sz w:val="18"/>
                <w:szCs w:val="18"/>
              </w:rPr>
            </w:pPr>
          </w:p>
        </w:tc>
      </w:tr>
      <w:tr w:rsidR="00E76E63" w:rsidRPr="003D1614" w14:paraId="26CCDC8F" w14:textId="77777777" w:rsidTr="00A778F6">
        <w:trPr>
          <w:trHeight w:val="293"/>
        </w:trPr>
        <w:tc>
          <w:tcPr>
            <w:tcW w:w="1289" w:type="pct"/>
            <w:vAlign w:val="bottom"/>
          </w:tcPr>
          <w:p w14:paraId="27B7A39B" w14:textId="77777777" w:rsidR="00E76E63" w:rsidRPr="003D1614" w:rsidRDefault="00E76E63" w:rsidP="00E76E6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79" w:name="_Toc67329167"/>
            <w:r w:rsidRPr="003D1614">
              <w:rPr>
                <w:rFonts w:ascii="Arial" w:eastAsia="Times New Roman" w:hAnsi="Arial" w:cs="Arial"/>
                <w:color w:val="000000" w:themeColor="text1"/>
                <w:sz w:val="18"/>
                <w:szCs w:val="18"/>
              </w:rPr>
              <w:t>Republika Hrvatska</w:t>
            </w:r>
            <w:bookmarkEnd w:id="579"/>
          </w:p>
        </w:tc>
        <w:tc>
          <w:tcPr>
            <w:tcW w:w="927" w:type="pct"/>
            <w:vAlign w:val="bottom"/>
          </w:tcPr>
          <w:p w14:paraId="4B0C27C8" w14:textId="24AFBD88" w:rsidR="00E76E63" w:rsidRPr="003D1614" w:rsidRDefault="00E76E63" w:rsidP="00E76E6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900DAF">
              <w:rPr>
                <w:rFonts w:ascii="Arial" w:eastAsia="Times New Roman" w:hAnsi="Arial" w:cs="Arial"/>
                <w:color w:val="000000" w:themeColor="text1"/>
                <w:sz w:val="18"/>
                <w:szCs w:val="18"/>
              </w:rPr>
              <w:t>1.113.117</w:t>
            </w:r>
          </w:p>
        </w:tc>
        <w:tc>
          <w:tcPr>
            <w:tcW w:w="929" w:type="pct"/>
            <w:vAlign w:val="bottom"/>
          </w:tcPr>
          <w:p w14:paraId="2C5EFF85" w14:textId="2251C2FB" w:rsidR="00E76E63" w:rsidRPr="00803164" w:rsidRDefault="00E76E63" w:rsidP="00E76E6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803164">
              <w:rPr>
                <w:rFonts w:ascii="Arial" w:hAnsi="Arial" w:cs="Arial"/>
                <w:color w:val="000000" w:themeColor="text1"/>
                <w:sz w:val="18"/>
                <w:szCs w:val="18"/>
              </w:rPr>
              <w:t>1.132.205</w:t>
            </w:r>
          </w:p>
        </w:tc>
        <w:tc>
          <w:tcPr>
            <w:tcW w:w="927" w:type="pct"/>
            <w:vAlign w:val="bottom"/>
          </w:tcPr>
          <w:p w14:paraId="537D5F51" w14:textId="300406A5" w:rsidR="00E76E63" w:rsidRPr="00803164" w:rsidRDefault="00E76E63" w:rsidP="00E76E6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1D5596">
              <w:rPr>
                <w:rFonts w:ascii="Arial" w:eastAsia="Times New Roman" w:hAnsi="Arial" w:cs="Arial"/>
                <w:color w:val="000000" w:themeColor="text1"/>
                <w:sz w:val="18"/>
                <w:szCs w:val="18"/>
              </w:rPr>
              <w:t>1.110.514</w:t>
            </w:r>
          </w:p>
        </w:tc>
        <w:tc>
          <w:tcPr>
            <w:tcW w:w="928" w:type="pct"/>
            <w:vAlign w:val="bottom"/>
          </w:tcPr>
          <w:p w14:paraId="0BBE83A4" w14:textId="6206F351" w:rsidR="00E76E63" w:rsidRPr="00803164" w:rsidRDefault="00E76E63" w:rsidP="00E76E6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803164">
              <w:rPr>
                <w:rFonts w:ascii="Arial" w:hAnsi="Arial" w:cs="Arial"/>
                <w:bCs/>
                <w:sz w:val="18"/>
                <w:szCs w:val="18"/>
              </w:rPr>
              <w:t>1.129.860</w:t>
            </w:r>
          </w:p>
        </w:tc>
      </w:tr>
      <w:tr w:rsidR="00E76E63" w:rsidRPr="003D1614" w14:paraId="51E71486" w14:textId="77777777" w:rsidTr="000D0174">
        <w:trPr>
          <w:trHeight w:val="293"/>
        </w:trPr>
        <w:tc>
          <w:tcPr>
            <w:tcW w:w="1289" w:type="pct"/>
            <w:vAlign w:val="bottom"/>
          </w:tcPr>
          <w:p w14:paraId="1C361359" w14:textId="77777777" w:rsidR="00E76E63" w:rsidRPr="003D1614" w:rsidRDefault="00E76E63" w:rsidP="00E76E63">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80" w:name="_Toc67329172"/>
            <w:r w:rsidRPr="003D1614">
              <w:rPr>
                <w:rFonts w:ascii="Arial" w:eastAsia="Times New Roman" w:hAnsi="Arial" w:cs="Arial"/>
                <w:color w:val="000000" w:themeColor="text1"/>
                <w:sz w:val="18"/>
                <w:szCs w:val="18"/>
              </w:rPr>
              <w:t>Državne agencije</w:t>
            </w:r>
            <w:bookmarkEnd w:id="580"/>
          </w:p>
        </w:tc>
        <w:tc>
          <w:tcPr>
            <w:tcW w:w="927" w:type="pct"/>
            <w:tcBorders>
              <w:bottom w:val="single" w:sz="8" w:space="0" w:color="auto"/>
            </w:tcBorders>
            <w:vAlign w:val="bottom"/>
          </w:tcPr>
          <w:p w14:paraId="6190F60D" w14:textId="0506BFD6" w:rsidR="00E76E63" w:rsidRPr="003D1614" w:rsidRDefault="00E76E63" w:rsidP="00E76E6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900DAF">
              <w:rPr>
                <w:rFonts w:ascii="Arial" w:eastAsia="Times New Roman" w:hAnsi="Arial" w:cs="Arial"/>
                <w:color w:val="000000" w:themeColor="text1"/>
                <w:sz w:val="18"/>
                <w:szCs w:val="18"/>
              </w:rPr>
              <w:t>103.200</w:t>
            </w:r>
          </w:p>
        </w:tc>
        <w:tc>
          <w:tcPr>
            <w:tcW w:w="929" w:type="pct"/>
            <w:tcBorders>
              <w:bottom w:val="single" w:sz="6" w:space="0" w:color="auto"/>
            </w:tcBorders>
            <w:vAlign w:val="bottom"/>
          </w:tcPr>
          <w:p w14:paraId="113C3DD2" w14:textId="03142BE9" w:rsidR="00E76E63" w:rsidRPr="00803164" w:rsidRDefault="00E76E63" w:rsidP="00E76E6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803164">
              <w:rPr>
                <w:rFonts w:ascii="Arial" w:hAnsi="Arial" w:cs="Arial"/>
                <w:color w:val="000000" w:themeColor="text1"/>
                <w:sz w:val="18"/>
                <w:szCs w:val="18"/>
              </w:rPr>
              <w:t>106.553</w:t>
            </w:r>
          </w:p>
        </w:tc>
        <w:tc>
          <w:tcPr>
            <w:tcW w:w="927" w:type="pct"/>
            <w:tcBorders>
              <w:bottom w:val="single" w:sz="8" w:space="0" w:color="auto"/>
            </w:tcBorders>
            <w:vAlign w:val="bottom"/>
          </w:tcPr>
          <w:p w14:paraId="4F1C66BF" w14:textId="257FABE7" w:rsidR="00E76E63" w:rsidRPr="00803164" w:rsidRDefault="00E76E63" w:rsidP="00E76E6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1D5596">
              <w:rPr>
                <w:rFonts w:ascii="Arial" w:eastAsia="Times New Roman" w:hAnsi="Arial" w:cs="Arial"/>
                <w:color w:val="000000" w:themeColor="text1"/>
                <w:sz w:val="18"/>
                <w:szCs w:val="18"/>
              </w:rPr>
              <w:t>103.200</w:t>
            </w:r>
          </w:p>
        </w:tc>
        <w:tc>
          <w:tcPr>
            <w:tcW w:w="928" w:type="pct"/>
            <w:tcBorders>
              <w:bottom w:val="single" w:sz="6" w:space="0" w:color="auto"/>
            </w:tcBorders>
            <w:vAlign w:val="bottom"/>
          </w:tcPr>
          <w:p w14:paraId="0F9E95D7" w14:textId="12494BB3" w:rsidR="00E76E63" w:rsidRPr="00803164" w:rsidRDefault="00E76E63" w:rsidP="00E76E63">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803164">
              <w:rPr>
                <w:rFonts w:ascii="Arial" w:hAnsi="Arial" w:cs="Arial"/>
                <w:bCs/>
                <w:sz w:val="18"/>
                <w:szCs w:val="18"/>
              </w:rPr>
              <w:t>106.553</w:t>
            </w:r>
          </w:p>
        </w:tc>
      </w:tr>
      <w:tr w:rsidR="00E76E63" w:rsidRPr="003D1614" w14:paraId="219CE32C" w14:textId="77777777" w:rsidTr="000D0174">
        <w:trPr>
          <w:trHeight w:val="305"/>
        </w:trPr>
        <w:tc>
          <w:tcPr>
            <w:tcW w:w="1289" w:type="pct"/>
            <w:vAlign w:val="bottom"/>
          </w:tcPr>
          <w:p w14:paraId="290B3418" w14:textId="77777777" w:rsidR="00E76E63" w:rsidRPr="003D1614" w:rsidRDefault="00E76E63" w:rsidP="00E76E63">
            <w:pPr>
              <w:tabs>
                <w:tab w:val="right" w:pos="1202"/>
              </w:tabs>
              <w:suppressAutoHyphens/>
              <w:autoSpaceDN w:val="0"/>
              <w:spacing w:line="301" w:lineRule="exact"/>
              <w:outlineLvl w:val="0"/>
              <w:rPr>
                <w:rFonts w:ascii="Arial" w:eastAsia="Times New Roman" w:hAnsi="Arial" w:cs="Arial"/>
                <w:b/>
                <w:color w:val="000000" w:themeColor="text1"/>
                <w:sz w:val="18"/>
                <w:szCs w:val="18"/>
              </w:rPr>
            </w:pPr>
            <w:bookmarkStart w:id="581" w:name="_Toc67329177"/>
            <w:r w:rsidRPr="003D1614">
              <w:rPr>
                <w:rFonts w:ascii="Arial" w:eastAsia="Times New Roman" w:hAnsi="Arial" w:cs="Arial"/>
                <w:b/>
                <w:color w:val="000000" w:themeColor="text1"/>
                <w:sz w:val="18"/>
                <w:szCs w:val="18"/>
              </w:rPr>
              <w:t>Ukupno</w:t>
            </w:r>
            <w:bookmarkEnd w:id="581"/>
          </w:p>
        </w:tc>
        <w:tc>
          <w:tcPr>
            <w:tcW w:w="927" w:type="pct"/>
            <w:tcBorders>
              <w:top w:val="single" w:sz="8" w:space="0" w:color="auto"/>
              <w:bottom w:val="single" w:sz="12" w:space="0" w:color="auto"/>
            </w:tcBorders>
            <w:vAlign w:val="bottom"/>
          </w:tcPr>
          <w:p w14:paraId="2DDA4746" w14:textId="6EFA1569" w:rsidR="00E76E63" w:rsidRPr="00DC547E" w:rsidRDefault="00E76E63" w:rsidP="00E76E6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900DAF">
              <w:rPr>
                <w:rFonts w:ascii="Arial" w:eastAsia="Times New Roman" w:hAnsi="Arial" w:cs="Arial"/>
                <w:b/>
                <w:bCs/>
                <w:color w:val="000000" w:themeColor="text1"/>
                <w:sz w:val="18"/>
                <w:szCs w:val="18"/>
              </w:rPr>
              <w:t>1.216.317</w:t>
            </w:r>
          </w:p>
        </w:tc>
        <w:tc>
          <w:tcPr>
            <w:tcW w:w="929" w:type="pct"/>
            <w:tcBorders>
              <w:top w:val="single" w:sz="6" w:space="0" w:color="auto"/>
              <w:bottom w:val="single" w:sz="12" w:space="0" w:color="auto"/>
            </w:tcBorders>
            <w:vAlign w:val="bottom"/>
          </w:tcPr>
          <w:p w14:paraId="29ED1801" w14:textId="72DF037B" w:rsidR="00E76E63" w:rsidRPr="00803164" w:rsidRDefault="00E76E63" w:rsidP="00E76E6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803164">
              <w:rPr>
                <w:rFonts w:ascii="Arial" w:hAnsi="Arial" w:cs="Arial"/>
                <w:b/>
                <w:bCs/>
                <w:color w:val="000000" w:themeColor="text1"/>
                <w:sz w:val="18"/>
                <w:szCs w:val="18"/>
              </w:rPr>
              <w:t>1.238.758</w:t>
            </w:r>
          </w:p>
        </w:tc>
        <w:tc>
          <w:tcPr>
            <w:tcW w:w="927" w:type="pct"/>
            <w:tcBorders>
              <w:top w:val="single" w:sz="8" w:space="0" w:color="auto"/>
              <w:bottom w:val="single" w:sz="12" w:space="0" w:color="auto"/>
            </w:tcBorders>
            <w:vAlign w:val="bottom"/>
          </w:tcPr>
          <w:p w14:paraId="07BEB476" w14:textId="2DF28D18" w:rsidR="00E76E63" w:rsidRPr="00803164" w:rsidRDefault="00E76E63" w:rsidP="00E76E6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1D5596">
              <w:rPr>
                <w:rFonts w:ascii="Arial" w:eastAsia="Times New Roman" w:hAnsi="Arial" w:cs="Arial"/>
                <w:b/>
                <w:bCs/>
                <w:color w:val="000000" w:themeColor="text1"/>
                <w:sz w:val="18"/>
                <w:szCs w:val="18"/>
              </w:rPr>
              <w:t>1.213.714</w:t>
            </w:r>
          </w:p>
        </w:tc>
        <w:tc>
          <w:tcPr>
            <w:tcW w:w="928" w:type="pct"/>
            <w:tcBorders>
              <w:top w:val="single" w:sz="6" w:space="0" w:color="auto"/>
              <w:bottom w:val="single" w:sz="12" w:space="0" w:color="auto"/>
            </w:tcBorders>
            <w:vAlign w:val="bottom"/>
          </w:tcPr>
          <w:p w14:paraId="3A1DBB08" w14:textId="466413D7" w:rsidR="00E76E63" w:rsidRPr="00803164" w:rsidRDefault="00E76E63" w:rsidP="00E76E63">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803164">
              <w:rPr>
                <w:rFonts w:ascii="Arial" w:hAnsi="Arial" w:cs="Arial"/>
                <w:b/>
                <w:bCs/>
                <w:sz w:val="18"/>
                <w:szCs w:val="18"/>
              </w:rPr>
              <w:t>1.236.413</w:t>
            </w:r>
          </w:p>
        </w:tc>
      </w:tr>
    </w:tbl>
    <w:p w14:paraId="1AC3CA7B" w14:textId="77777777" w:rsidR="003A487C" w:rsidRPr="003D1614" w:rsidRDefault="003A487C" w:rsidP="003A487C">
      <w:pPr>
        <w:suppressAutoHyphens/>
        <w:autoSpaceDN w:val="0"/>
        <w:jc w:val="both"/>
        <w:outlineLvl w:val="0"/>
        <w:rPr>
          <w:rFonts w:ascii="Arial" w:eastAsia="Times New Roman" w:hAnsi="Arial" w:cs="Arial"/>
          <w:b/>
          <w:color w:val="000000" w:themeColor="text1"/>
          <w:sz w:val="20"/>
          <w:szCs w:val="20"/>
        </w:rPr>
      </w:pPr>
    </w:p>
    <w:p w14:paraId="643B8CB3" w14:textId="77777777" w:rsidR="003A487C" w:rsidRPr="003D1614" w:rsidRDefault="003A487C" w:rsidP="003A487C">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Primljeni instrumenti osiguranja odnose se na prvorazredne instrumente osiguranja zaprimljene u svrhu osiguranja plasmana Banke, a čine ih: jamstvo Republike Hrvatske, jamstvo HAMAG-BICRO-a, polica osiguranja od političkih i/ili komercijalnih rizika te zakonska jamstva u slučaju kada za obveze klijenta zakonskim aktima jamči Republika Hrvatska ili druga državna tijela. </w:t>
      </w:r>
    </w:p>
    <w:p w14:paraId="5B919BD2" w14:textId="77777777" w:rsidR="003A487C" w:rsidRPr="003D1614" w:rsidRDefault="003A487C" w:rsidP="003A487C">
      <w:pPr>
        <w:keepNext/>
        <w:suppressAutoHyphens/>
        <w:autoSpaceDN w:val="0"/>
        <w:jc w:val="both"/>
        <w:outlineLvl w:val="0"/>
        <w:rPr>
          <w:rFonts w:ascii="Arial" w:eastAsia="Times New Roman" w:hAnsi="Arial" w:cs="Arial"/>
          <w:bCs/>
          <w:color w:val="000000" w:themeColor="text1"/>
          <w:sz w:val="20"/>
          <w:szCs w:val="20"/>
        </w:rPr>
      </w:pPr>
    </w:p>
    <w:p w14:paraId="7C13BD99" w14:textId="77777777" w:rsidR="003A487C" w:rsidRPr="003D1614" w:rsidRDefault="003A487C" w:rsidP="003A487C">
      <w:pPr>
        <w:keepNext/>
        <w:suppressAutoHyphens/>
        <w:autoSpaceDN w:val="0"/>
        <w:jc w:val="both"/>
        <w:outlineLvl w:val="0"/>
        <w:rPr>
          <w:rFonts w:ascii="Arial" w:eastAsia="Times New Roman" w:hAnsi="Arial" w:cs="Arial"/>
          <w:color w:val="000000" w:themeColor="text1"/>
          <w:sz w:val="20"/>
          <w:szCs w:val="16"/>
        </w:rPr>
      </w:pPr>
      <w:r w:rsidRPr="003D1614">
        <w:rPr>
          <w:rFonts w:ascii="Arial" w:eastAsia="Times New Roman" w:hAnsi="Arial" w:cs="Arial"/>
          <w:bCs/>
          <w:color w:val="000000" w:themeColor="text1"/>
          <w:sz w:val="20"/>
          <w:szCs w:val="20"/>
        </w:rPr>
        <w:t xml:space="preserve">Temeljem Ugovora o </w:t>
      </w:r>
      <w:proofErr w:type="spellStart"/>
      <w:r w:rsidRPr="003D1614">
        <w:rPr>
          <w:rFonts w:ascii="Arial" w:eastAsia="Times New Roman" w:hAnsi="Arial" w:cs="Arial"/>
          <w:bCs/>
          <w:color w:val="000000" w:themeColor="text1"/>
          <w:sz w:val="20"/>
          <w:szCs w:val="20"/>
        </w:rPr>
        <w:t>kvotnom</w:t>
      </w:r>
      <w:proofErr w:type="spellEnd"/>
      <w:r w:rsidRPr="003D1614">
        <w:rPr>
          <w:rFonts w:ascii="Arial" w:eastAsia="Times New Roman" w:hAnsi="Arial" w:cs="Arial"/>
          <w:bCs/>
          <w:color w:val="000000" w:themeColor="text1"/>
          <w:sz w:val="20"/>
          <w:szCs w:val="20"/>
        </w:rPr>
        <w:t xml:space="preserve"> reosiguranju između HBOR-a, u ime i za račun Republike Hrvatske, i HKO d.d. provodi se reosiguranje, odnosno, pokriva razmjerni dio (</w:t>
      </w:r>
      <w:proofErr w:type="spellStart"/>
      <w:r w:rsidRPr="003D1614">
        <w:rPr>
          <w:rFonts w:ascii="Arial" w:eastAsia="Times New Roman" w:hAnsi="Arial" w:cs="Arial"/>
          <w:bCs/>
          <w:color w:val="000000" w:themeColor="text1"/>
          <w:sz w:val="20"/>
          <w:szCs w:val="20"/>
        </w:rPr>
        <w:t>kvotno</w:t>
      </w:r>
      <w:proofErr w:type="spellEnd"/>
      <w:r w:rsidRPr="003D1614">
        <w:rPr>
          <w:rFonts w:ascii="Arial" w:eastAsia="Times New Roman" w:hAnsi="Arial" w:cs="Arial"/>
          <w:bCs/>
          <w:color w:val="000000" w:themeColor="text1"/>
          <w:sz w:val="20"/>
          <w:szCs w:val="20"/>
        </w:rPr>
        <w:t xml:space="preserve"> reosiguranje) političkih i komercijalnih rizika kod izvoznih kredita i potraživanja nastalih prilikom izvoza roba i usluga. Reosiguratelj pokriva sve </w:t>
      </w:r>
      <w:proofErr w:type="spellStart"/>
      <w:r w:rsidRPr="003D1614">
        <w:rPr>
          <w:rFonts w:ascii="Arial" w:eastAsia="Times New Roman" w:hAnsi="Arial" w:cs="Arial"/>
          <w:bCs/>
          <w:color w:val="000000" w:themeColor="text1"/>
          <w:sz w:val="20"/>
          <w:szCs w:val="20"/>
        </w:rPr>
        <w:t>neutržive</w:t>
      </w:r>
      <w:proofErr w:type="spellEnd"/>
      <w:r w:rsidRPr="003D1614">
        <w:rPr>
          <w:rFonts w:ascii="Arial" w:eastAsia="Times New Roman" w:hAnsi="Arial" w:cs="Arial"/>
          <w:bCs/>
          <w:color w:val="000000" w:themeColor="text1"/>
          <w:sz w:val="20"/>
          <w:szCs w:val="20"/>
        </w:rPr>
        <w:t xml:space="preserve"> (netržišne) rizike koje je preuzeo Osiguratelj odnosno Hrvatsko kreditno osiguranje, dioničko društvo za osiguranje u rasponu </w:t>
      </w:r>
      <w:r w:rsidRPr="009E280E">
        <w:rPr>
          <w:rFonts w:ascii="Arial" w:eastAsia="Times New Roman" w:hAnsi="Arial" w:cs="Arial"/>
          <w:bCs/>
          <w:color w:val="000000" w:themeColor="text1"/>
          <w:sz w:val="20"/>
          <w:szCs w:val="20"/>
        </w:rPr>
        <w:t>od 15% do 90</w:t>
      </w:r>
      <w:r w:rsidRPr="003D1614">
        <w:rPr>
          <w:rFonts w:ascii="Arial" w:eastAsia="Times New Roman" w:hAnsi="Arial" w:cs="Arial"/>
          <w:bCs/>
          <w:color w:val="000000" w:themeColor="text1"/>
          <w:sz w:val="20"/>
          <w:szCs w:val="20"/>
        </w:rPr>
        <w:t>% osigurane svote.</w:t>
      </w:r>
      <w:r w:rsidRPr="003D1614" w:rsidDel="00F947BE">
        <w:rPr>
          <w:rFonts w:ascii="Arial" w:eastAsia="Times New Roman" w:hAnsi="Arial" w:cs="Arial"/>
          <w:color w:val="000000" w:themeColor="text1"/>
          <w:sz w:val="20"/>
          <w:szCs w:val="16"/>
        </w:rPr>
        <w:t xml:space="preserve"> </w:t>
      </w:r>
    </w:p>
    <w:p w14:paraId="1C5D8F85" w14:textId="77777777" w:rsidR="003A487C" w:rsidRPr="003D1614" w:rsidRDefault="003A487C" w:rsidP="003A487C">
      <w:pPr>
        <w:keepNext/>
        <w:suppressAutoHyphens/>
        <w:autoSpaceDN w:val="0"/>
        <w:jc w:val="both"/>
        <w:outlineLvl w:val="0"/>
        <w:rPr>
          <w:rFonts w:ascii="Arial" w:eastAsia="Times New Roman" w:hAnsi="Arial" w:cs="Arial"/>
          <w:color w:val="000000" w:themeColor="text1"/>
          <w:sz w:val="20"/>
          <w:szCs w:val="16"/>
        </w:rPr>
      </w:pPr>
    </w:p>
    <w:p w14:paraId="4C579B63" w14:textId="77777777" w:rsidR="003A487C" w:rsidRPr="00AE0E70" w:rsidRDefault="003A487C" w:rsidP="003A487C">
      <w:pPr>
        <w:tabs>
          <w:tab w:val="left" w:pos="426"/>
        </w:tabs>
        <w:suppressAutoHyphens/>
        <w:autoSpaceDN w:val="0"/>
        <w:rPr>
          <w:rFonts w:ascii="Arial" w:eastAsia="Times New Roman" w:hAnsi="Arial" w:cs="Arial"/>
          <w:color w:val="000000" w:themeColor="text1"/>
          <w:sz w:val="20"/>
          <w:szCs w:val="20"/>
        </w:rPr>
      </w:pPr>
      <w:r w:rsidRPr="00E76E63">
        <w:rPr>
          <w:rFonts w:ascii="Arial" w:eastAsia="Times New Roman" w:hAnsi="Arial" w:cs="Arial"/>
          <w:color w:val="000000" w:themeColor="text1"/>
          <w:sz w:val="20"/>
          <w:szCs w:val="20"/>
        </w:rPr>
        <w:t>c)</w:t>
      </w:r>
      <w:r w:rsidRPr="00E76E63">
        <w:rPr>
          <w:rFonts w:ascii="Arial" w:eastAsia="Times New Roman" w:hAnsi="Arial" w:cs="Arial"/>
          <w:color w:val="000000" w:themeColor="text1"/>
          <w:sz w:val="20"/>
          <w:szCs w:val="20"/>
        </w:rPr>
        <w:tab/>
        <w:t xml:space="preserve">Plaće ključnih članova rukovodstva </w:t>
      </w:r>
    </w:p>
    <w:p w14:paraId="57F0F609" w14:textId="77777777" w:rsidR="003A487C" w:rsidRPr="00E76E63" w:rsidRDefault="003A487C" w:rsidP="003A487C">
      <w:pPr>
        <w:tabs>
          <w:tab w:val="left" w:pos="426"/>
        </w:tabs>
        <w:suppressAutoHyphens/>
        <w:autoSpaceDN w:val="0"/>
        <w:rPr>
          <w:rFonts w:ascii="Arial" w:eastAsia="Times New Roman" w:hAnsi="Arial" w:cs="Arial"/>
          <w:color w:val="000000" w:themeColor="text1"/>
          <w:sz w:val="20"/>
          <w:szCs w:val="20"/>
        </w:rPr>
      </w:pPr>
      <w:r w:rsidRPr="000E1F3A">
        <w:rPr>
          <w:rFonts w:ascii="Arial" w:eastAsia="Times New Roman" w:hAnsi="Arial" w:cs="Arial"/>
          <w:color w:val="000000" w:themeColor="text1"/>
          <w:sz w:val="20"/>
          <w:szCs w:val="20"/>
        </w:rPr>
        <w:t xml:space="preserve"> </w:t>
      </w:r>
    </w:p>
    <w:p w14:paraId="521BA5A3" w14:textId="77777777" w:rsidR="003A487C" w:rsidRPr="00E76E63" w:rsidRDefault="003A487C" w:rsidP="003A487C">
      <w:pPr>
        <w:suppressAutoHyphens/>
        <w:autoSpaceDN w:val="0"/>
        <w:jc w:val="both"/>
        <w:outlineLvl w:val="0"/>
        <w:rPr>
          <w:rFonts w:ascii="Arial" w:eastAsia="Times New Roman" w:hAnsi="Arial" w:cs="Arial"/>
          <w:bCs/>
          <w:color w:val="000000" w:themeColor="text1"/>
          <w:sz w:val="20"/>
          <w:szCs w:val="20"/>
        </w:rPr>
      </w:pPr>
      <w:r w:rsidRPr="00E76E63">
        <w:rPr>
          <w:rFonts w:ascii="Arial" w:eastAsia="Times New Roman" w:hAnsi="Arial" w:cs="Arial"/>
          <w:bCs/>
          <w:color w:val="000000" w:themeColor="text1"/>
          <w:sz w:val="20"/>
          <w:szCs w:val="20"/>
        </w:rPr>
        <w:t xml:space="preserve">Ključni članovi rukovodstva Grupe i Banke uključuju članove Uprave, izvršne direktore, predstojnika Ureda Uprave, direktore, pomoćnika direktora, savjetnike Uprave te prokurista. </w:t>
      </w:r>
    </w:p>
    <w:p w14:paraId="09AE4D69" w14:textId="0501F618" w:rsidR="003A487C" w:rsidRPr="00E76E63" w:rsidRDefault="003A487C" w:rsidP="003A487C">
      <w:pPr>
        <w:suppressAutoHyphens/>
        <w:autoSpaceDN w:val="0"/>
        <w:jc w:val="both"/>
        <w:outlineLvl w:val="0"/>
        <w:rPr>
          <w:rFonts w:ascii="Arial" w:eastAsia="Times New Roman" w:hAnsi="Arial" w:cs="Arial"/>
          <w:bCs/>
          <w:color w:val="000000" w:themeColor="text1"/>
          <w:sz w:val="20"/>
          <w:szCs w:val="20"/>
        </w:rPr>
      </w:pPr>
      <w:r w:rsidRPr="00E76E63">
        <w:rPr>
          <w:rFonts w:ascii="Arial" w:eastAsia="Times New Roman" w:hAnsi="Arial" w:cs="Arial"/>
          <w:bCs/>
          <w:color w:val="000000" w:themeColor="text1"/>
          <w:sz w:val="20"/>
          <w:szCs w:val="20"/>
        </w:rPr>
        <w:t xml:space="preserve">Plaće uključuju redovan rad, godišnji odmor, državni praznik, plaćeni dopust, naknadu plaće za vrijeme bolovanja, minuli rad te isplate prema ugovorima. Iznos plaće za Grupu u izvještajnom razdoblju iznosi </w:t>
      </w:r>
      <w:r w:rsidR="0087267F" w:rsidRPr="005D1219">
        <w:rPr>
          <w:rFonts w:ascii="Arial" w:eastAsia="Times New Roman" w:hAnsi="Arial" w:cs="Arial"/>
          <w:bCs/>
          <w:color w:val="000000" w:themeColor="text1"/>
          <w:sz w:val="20"/>
          <w:szCs w:val="20"/>
        </w:rPr>
        <w:t>3</w:t>
      </w:r>
      <w:r w:rsidR="00E76E63">
        <w:rPr>
          <w:rFonts w:ascii="Arial" w:eastAsia="Times New Roman" w:hAnsi="Arial" w:cs="Arial"/>
          <w:bCs/>
          <w:color w:val="000000" w:themeColor="text1"/>
          <w:sz w:val="20"/>
          <w:szCs w:val="20"/>
        </w:rPr>
        <w:t>47</w:t>
      </w:r>
      <w:r w:rsidRPr="00E76E63">
        <w:rPr>
          <w:rFonts w:ascii="Arial" w:eastAsia="Times New Roman" w:hAnsi="Arial" w:cs="Arial"/>
          <w:bCs/>
          <w:color w:val="000000" w:themeColor="text1"/>
          <w:sz w:val="20"/>
          <w:szCs w:val="20"/>
        </w:rPr>
        <w:t xml:space="preserve"> tisuća eura (1.1. do 31.3.202</w:t>
      </w:r>
      <w:r w:rsidR="00490FB6" w:rsidRPr="00E76E63">
        <w:rPr>
          <w:rFonts w:ascii="Arial" w:eastAsia="Times New Roman" w:hAnsi="Arial" w:cs="Arial"/>
          <w:bCs/>
          <w:color w:val="000000" w:themeColor="text1"/>
          <w:sz w:val="20"/>
          <w:szCs w:val="20"/>
        </w:rPr>
        <w:t>3</w:t>
      </w:r>
      <w:r w:rsidRPr="00E76E63">
        <w:rPr>
          <w:rFonts w:ascii="Arial" w:eastAsia="Times New Roman" w:hAnsi="Arial" w:cs="Arial"/>
          <w:bCs/>
          <w:color w:val="000000" w:themeColor="text1"/>
          <w:sz w:val="20"/>
          <w:szCs w:val="20"/>
        </w:rPr>
        <w:t xml:space="preserve">.: </w:t>
      </w:r>
      <w:r w:rsidR="00490FB6" w:rsidRPr="00E76E63">
        <w:rPr>
          <w:rFonts w:ascii="Arial" w:eastAsia="Times New Roman" w:hAnsi="Arial" w:cs="Arial"/>
          <w:bCs/>
          <w:color w:val="000000" w:themeColor="text1"/>
          <w:sz w:val="20"/>
          <w:szCs w:val="20"/>
        </w:rPr>
        <w:t>355</w:t>
      </w:r>
      <w:r w:rsidRPr="00E76E63">
        <w:rPr>
          <w:rFonts w:ascii="Arial" w:eastAsia="Times New Roman" w:hAnsi="Arial" w:cs="Arial"/>
          <w:bCs/>
          <w:color w:val="000000" w:themeColor="text1"/>
          <w:sz w:val="20"/>
          <w:szCs w:val="20"/>
        </w:rPr>
        <w:t xml:space="preserve"> tisuća eura), a za Banku iznosi </w:t>
      </w:r>
      <w:r w:rsidR="00E76E63">
        <w:rPr>
          <w:rFonts w:ascii="Arial" w:eastAsia="Times New Roman" w:hAnsi="Arial" w:cs="Arial"/>
          <w:bCs/>
          <w:color w:val="000000" w:themeColor="text1"/>
          <w:sz w:val="20"/>
          <w:szCs w:val="20"/>
        </w:rPr>
        <w:t>289</w:t>
      </w:r>
      <w:r w:rsidRPr="005D1219">
        <w:rPr>
          <w:rFonts w:ascii="Arial" w:eastAsia="Times New Roman" w:hAnsi="Arial" w:cs="Arial"/>
          <w:bCs/>
          <w:color w:val="000000" w:themeColor="text1"/>
          <w:sz w:val="20"/>
          <w:szCs w:val="20"/>
        </w:rPr>
        <w:t xml:space="preserve"> t</w:t>
      </w:r>
      <w:r w:rsidRPr="00E76E63">
        <w:rPr>
          <w:rFonts w:ascii="Arial" w:eastAsia="Times New Roman" w:hAnsi="Arial" w:cs="Arial"/>
          <w:bCs/>
          <w:color w:val="000000" w:themeColor="text1"/>
          <w:sz w:val="20"/>
          <w:szCs w:val="20"/>
        </w:rPr>
        <w:t>isuća eura (1.1. do 31.3.202</w:t>
      </w:r>
      <w:r w:rsidR="00490FB6" w:rsidRPr="00E76E63">
        <w:rPr>
          <w:rFonts w:ascii="Arial" w:eastAsia="Times New Roman" w:hAnsi="Arial" w:cs="Arial"/>
          <w:bCs/>
          <w:color w:val="000000" w:themeColor="text1"/>
          <w:sz w:val="20"/>
          <w:szCs w:val="20"/>
        </w:rPr>
        <w:t>3</w:t>
      </w:r>
      <w:r w:rsidRPr="00E76E63">
        <w:rPr>
          <w:rFonts w:ascii="Arial" w:eastAsia="Times New Roman" w:hAnsi="Arial" w:cs="Arial"/>
          <w:bCs/>
          <w:color w:val="000000" w:themeColor="text1"/>
          <w:sz w:val="20"/>
          <w:szCs w:val="20"/>
        </w:rPr>
        <w:t xml:space="preserve">.: </w:t>
      </w:r>
      <w:r w:rsidR="00A778F6" w:rsidRPr="00AE0E70">
        <w:rPr>
          <w:rFonts w:ascii="Arial" w:eastAsia="Times New Roman" w:hAnsi="Arial" w:cs="Arial"/>
          <w:bCs/>
          <w:color w:val="000000" w:themeColor="text1"/>
          <w:sz w:val="20"/>
          <w:szCs w:val="20"/>
        </w:rPr>
        <w:t>2</w:t>
      </w:r>
      <w:r w:rsidR="00490FB6" w:rsidRPr="00AE0E70">
        <w:rPr>
          <w:rFonts w:ascii="Arial" w:eastAsia="Times New Roman" w:hAnsi="Arial" w:cs="Arial"/>
          <w:bCs/>
          <w:color w:val="000000" w:themeColor="text1"/>
          <w:sz w:val="20"/>
          <w:szCs w:val="20"/>
        </w:rPr>
        <w:t>9</w:t>
      </w:r>
      <w:r w:rsidR="00A778F6" w:rsidRPr="000E1F3A">
        <w:rPr>
          <w:rFonts w:ascii="Arial" w:eastAsia="Times New Roman" w:hAnsi="Arial" w:cs="Arial"/>
          <w:bCs/>
          <w:color w:val="000000" w:themeColor="text1"/>
          <w:sz w:val="20"/>
          <w:szCs w:val="20"/>
        </w:rPr>
        <w:t>7</w:t>
      </w:r>
      <w:r w:rsidRPr="00E76E63">
        <w:rPr>
          <w:rFonts w:ascii="Arial" w:eastAsia="Times New Roman" w:hAnsi="Arial" w:cs="Arial"/>
          <w:bCs/>
          <w:color w:val="000000" w:themeColor="text1"/>
          <w:sz w:val="20"/>
          <w:szCs w:val="20"/>
        </w:rPr>
        <w:t xml:space="preserve"> tisuća eura).</w:t>
      </w:r>
    </w:p>
    <w:p w14:paraId="7EDC7DE5" w14:textId="77777777" w:rsidR="003A487C" w:rsidRPr="00E76E63" w:rsidRDefault="003A487C" w:rsidP="003A487C">
      <w:pPr>
        <w:suppressAutoHyphens/>
        <w:autoSpaceDN w:val="0"/>
        <w:jc w:val="both"/>
        <w:outlineLvl w:val="0"/>
        <w:rPr>
          <w:rFonts w:ascii="Arial" w:eastAsia="Times New Roman" w:hAnsi="Arial" w:cs="Arial"/>
          <w:bCs/>
          <w:color w:val="000000" w:themeColor="text1"/>
          <w:sz w:val="20"/>
          <w:szCs w:val="20"/>
        </w:rPr>
      </w:pPr>
    </w:p>
    <w:p w14:paraId="0527E8B9" w14:textId="4702AB3D" w:rsidR="009277A2" w:rsidRPr="003D1614" w:rsidRDefault="003A487C" w:rsidP="00266799">
      <w:pPr>
        <w:tabs>
          <w:tab w:val="left" w:pos="426"/>
        </w:tabs>
        <w:suppressAutoHyphens/>
        <w:autoSpaceDN w:val="0"/>
        <w:jc w:val="both"/>
        <w:rPr>
          <w:rFonts w:ascii="Arial" w:eastAsia="Times New Roman" w:hAnsi="Arial" w:cs="Arial"/>
          <w:color w:val="000000" w:themeColor="text1"/>
          <w:sz w:val="20"/>
          <w:szCs w:val="20"/>
        </w:rPr>
        <w:sectPr w:rsidR="009277A2" w:rsidRPr="003D1614">
          <w:pgSz w:w="11906" w:h="16838"/>
          <w:pgMar w:top="1417" w:right="1417" w:bottom="1417" w:left="1417" w:header="708" w:footer="708" w:gutter="0"/>
          <w:cols w:space="708"/>
          <w:docGrid w:linePitch="360"/>
        </w:sectPr>
      </w:pPr>
      <w:r w:rsidRPr="00E76E63">
        <w:rPr>
          <w:rFonts w:ascii="Arial" w:eastAsia="Times New Roman" w:hAnsi="Arial" w:cs="Arial"/>
          <w:color w:val="000000" w:themeColor="text1"/>
          <w:sz w:val="20"/>
          <w:szCs w:val="20"/>
        </w:rPr>
        <w:t xml:space="preserve">Nagrade za rad članovima Nadzornog odbora iznosile su u izvještajnom razdoblju  za Grupu </w:t>
      </w:r>
      <w:r w:rsidR="00E76E63">
        <w:rPr>
          <w:rFonts w:ascii="Arial" w:eastAsia="Times New Roman" w:hAnsi="Arial" w:cs="Arial"/>
          <w:color w:val="000000" w:themeColor="text1"/>
          <w:sz w:val="20"/>
          <w:szCs w:val="20"/>
        </w:rPr>
        <w:t>5</w:t>
      </w:r>
      <w:r w:rsidRPr="00E76E63">
        <w:rPr>
          <w:rFonts w:ascii="Arial" w:eastAsia="Times New Roman" w:hAnsi="Arial" w:cs="Arial"/>
          <w:color w:val="000000" w:themeColor="text1"/>
          <w:sz w:val="20"/>
          <w:szCs w:val="20"/>
        </w:rPr>
        <w:t xml:space="preserve"> tisuća eura (</w:t>
      </w:r>
      <w:r w:rsidR="009277A2" w:rsidRPr="00AE0E70">
        <w:rPr>
          <w:rFonts w:ascii="Arial" w:eastAsia="Times New Roman" w:hAnsi="Arial" w:cs="Arial"/>
          <w:color w:val="000000" w:themeColor="text1"/>
          <w:sz w:val="20"/>
          <w:szCs w:val="20"/>
        </w:rPr>
        <w:t>1.1. do 31.3.202</w:t>
      </w:r>
      <w:r w:rsidR="00490FB6" w:rsidRPr="00AE0E70">
        <w:rPr>
          <w:rFonts w:ascii="Arial" w:eastAsia="Times New Roman" w:hAnsi="Arial" w:cs="Arial"/>
          <w:color w:val="000000" w:themeColor="text1"/>
          <w:sz w:val="20"/>
          <w:szCs w:val="20"/>
        </w:rPr>
        <w:t>3</w:t>
      </w:r>
      <w:r w:rsidR="009277A2" w:rsidRPr="000E1F3A">
        <w:rPr>
          <w:rFonts w:ascii="Arial" w:eastAsia="Times New Roman" w:hAnsi="Arial" w:cs="Arial"/>
          <w:color w:val="000000" w:themeColor="text1"/>
          <w:sz w:val="20"/>
          <w:szCs w:val="20"/>
        </w:rPr>
        <w:t xml:space="preserve">.: </w:t>
      </w:r>
      <w:r w:rsidR="0087267F" w:rsidRPr="00E76E63">
        <w:rPr>
          <w:rFonts w:ascii="Arial" w:eastAsia="Times New Roman" w:hAnsi="Arial" w:cs="Arial"/>
          <w:bCs/>
          <w:color w:val="000000" w:themeColor="text1"/>
          <w:sz w:val="20"/>
          <w:szCs w:val="20"/>
        </w:rPr>
        <w:t>3</w:t>
      </w:r>
      <w:r w:rsidRPr="00E76E63">
        <w:rPr>
          <w:rFonts w:ascii="Arial" w:eastAsia="Times New Roman" w:hAnsi="Arial" w:cs="Arial"/>
          <w:color w:val="000000" w:themeColor="text1"/>
          <w:sz w:val="20"/>
          <w:szCs w:val="20"/>
        </w:rPr>
        <w:t xml:space="preserve"> tisuća eura), a za Banku </w:t>
      </w:r>
      <w:r w:rsidRPr="005D1219">
        <w:rPr>
          <w:rFonts w:ascii="Arial" w:eastAsia="Times New Roman" w:hAnsi="Arial" w:cs="Arial"/>
          <w:color w:val="000000" w:themeColor="text1"/>
          <w:sz w:val="20"/>
          <w:szCs w:val="20"/>
        </w:rPr>
        <w:t>0</w:t>
      </w:r>
      <w:r w:rsidRPr="00E76E63">
        <w:rPr>
          <w:rFonts w:ascii="Arial" w:eastAsia="Times New Roman" w:hAnsi="Arial" w:cs="Arial"/>
          <w:color w:val="000000" w:themeColor="text1"/>
          <w:sz w:val="20"/>
          <w:szCs w:val="20"/>
        </w:rPr>
        <w:t xml:space="preserve"> tisuća eura (1.1. do 31.3.202</w:t>
      </w:r>
      <w:r w:rsidR="00490FB6" w:rsidRPr="00AE0E70">
        <w:rPr>
          <w:rFonts w:ascii="Arial" w:eastAsia="Times New Roman" w:hAnsi="Arial" w:cs="Arial"/>
          <w:color w:val="000000" w:themeColor="text1"/>
          <w:sz w:val="20"/>
          <w:szCs w:val="20"/>
        </w:rPr>
        <w:t>3</w:t>
      </w:r>
      <w:r w:rsidRPr="00AE0E70">
        <w:rPr>
          <w:rFonts w:ascii="Arial" w:eastAsia="Times New Roman" w:hAnsi="Arial" w:cs="Arial"/>
          <w:color w:val="000000" w:themeColor="text1"/>
          <w:sz w:val="20"/>
          <w:szCs w:val="20"/>
        </w:rPr>
        <w:t xml:space="preserve">.: </w:t>
      </w:r>
      <w:r w:rsidR="00A778F6" w:rsidRPr="000E1F3A">
        <w:rPr>
          <w:rFonts w:ascii="Arial" w:eastAsia="Times New Roman" w:hAnsi="Arial" w:cs="Arial"/>
          <w:bCs/>
          <w:color w:val="000000" w:themeColor="text1"/>
          <w:sz w:val="20"/>
          <w:szCs w:val="20"/>
        </w:rPr>
        <w:t>0</w:t>
      </w:r>
      <w:r w:rsidRPr="00E76E63">
        <w:rPr>
          <w:rFonts w:ascii="Arial" w:eastAsia="Times New Roman" w:hAnsi="Arial" w:cs="Arial"/>
          <w:color w:val="000000" w:themeColor="text1"/>
          <w:sz w:val="20"/>
          <w:szCs w:val="20"/>
        </w:rPr>
        <w:t xml:space="preserve"> tisuća eura) i odnose se na članove nadzornih odbora u  ovisnom društvu koje imenuje HBOR.</w:t>
      </w:r>
    </w:p>
    <w:p w14:paraId="1A914363" w14:textId="77777777" w:rsidR="00CD630B" w:rsidRPr="003D1614" w:rsidRDefault="00CD630B" w:rsidP="00CD630B">
      <w:pPr>
        <w:keepNext/>
        <w:suppressAutoHyphens/>
        <w:autoSpaceDN w:val="0"/>
        <w:jc w:val="both"/>
        <w:outlineLvl w:val="0"/>
        <w:rPr>
          <w:rFonts w:ascii="Arial" w:eastAsia="Times New Roman" w:hAnsi="Arial" w:cs="Arial"/>
          <w:b/>
          <w:bCs/>
          <w:color w:val="000000" w:themeColor="text1"/>
          <w:sz w:val="20"/>
          <w:szCs w:val="20"/>
        </w:rPr>
      </w:pPr>
    </w:p>
    <w:p w14:paraId="51D2FBCA" w14:textId="4B2E979D" w:rsidR="00CD630B" w:rsidRPr="003D1614" w:rsidRDefault="00CD630B" w:rsidP="00CD630B">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w:t>
      </w:r>
    </w:p>
    <w:p w14:paraId="26125185" w14:textId="77777777" w:rsidR="00CD630B" w:rsidRPr="003D1614" w:rsidRDefault="00CD630B" w:rsidP="00CD630B">
      <w:pPr>
        <w:keepNext/>
        <w:suppressAutoHyphens/>
        <w:autoSpaceDN w:val="0"/>
        <w:jc w:val="both"/>
        <w:outlineLvl w:val="0"/>
        <w:rPr>
          <w:rFonts w:ascii="Arial" w:eastAsia="Times New Roman" w:hAnsi="Arial" w:cs="Arial"/>
          <w:b/>
          <w:bCs/>
          <w:color w:val="000000" w:themeColor="text1"/>
          <w:sz w:val="20"/>
          <w:szCs w:val="20"/>
        </w:rPr>
      </w:pPr>
    </w:p>
    <w:p w14:paraId="27CE2CB1"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Temeljem Zakona o Hrvatskoj banci za obnovu i razvitak, Banka je dužna rizike u poslovanju svoditi na najmanju mjeru rukovodeći se načelima bankarskog poslovanja. </w:t>
      </w:r>
    </w:p>
    <w:p w14:paraId="2B953FD2"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17BE13A3"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Banka u procesu upravljanja rizicima kontinuirano utvrđuje, procjenjuje, odnosno mjeri, prati, ovladava i kontrolira rizike kojima je u poslovanju izložena ili bi mogla biti izložena te o njima izvještava nadležna tijela.  Navedenim postupcima i pripadajućim internim aktima osiguran je sveobuhvatan i cjelovit sustav upravljanja rizicima.  </w:t>
      </w:r>
    </w:p>
    <w:p w14:paraId="72041E77" w14:textId="77777777" w:rsidR="00CD630B" w:rsidRPr="003D1614" w:rsidRDefault="00CD630B" w:rsidP="00CD630B">
      <w:pPr>
        <w:widowControl w:val="0"/>
        <w:suppressAutoHyphens/>
        <w:autoSpaceDN w:val="0"/>
        <w:jc w:val="both"/>
        <w:rPr>
          <w:rFonts w:ascii="Arial" w:eastAsia="Times New Roman" w:hAnsi="Arial" w:cs="Arial"/>
          <w:color w:val="000000" w:themeColor="text1"/>
          <w:sz w:val="20"/>
          <w:szCs w:val="20"/>
        </w:rPr>
      </w:pPr>
    </w:p>
    <w:p w14:paraId="2311BBA9" w14:textId="77777777" w:rsidR="00CD630B" w:rsidRPr="003D1614" w:rsidRDefault="00CD630B" w:rsidP="00CD630B">
      <w:pPr>
        <w:widowControl w:val="0"/>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color w:val="000000" w:themeColor="text1"/>
          <w:sz w:val="20"/>
          <w:szCs w:val="20"/>
        </w:rPr>
        <w:t xml:space="preserve">Najznačajniji rizici kojima je banka u svakodnevnom poslovanju izložena su kreditni rizik, rizik likvidnosti, kamatni rizik, valutni rizik, operativni rizik i rizik eksternalizacije. Navedenim rizicima svakodnevno se upravlja temeljem politika, pravilnika, metodologija, uputa i sustava limita, kontrola te odluka/zaključaka Nadzornog odbora, Uprave i odbora za upravljanje rizicima. </w:t>
      </w:r>
    </w:p>
    <w:p w14:paraId="7A5902C1"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43CBA771"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Banka provodi analize osjetljivosti i analize scenarija pod pretpostavkom promjene jednoga, odnosno više faktora rizika u redovnim i stresnim okolnostima te se o rezultatima izvještavaju nadležna tijela HBOR-a. Kontinuirano se razvijaju sustavi proaktivnog upravljanja rizicima radi smanjenja potencijalnih budućih rizika.</w:t>
      </w:r>
    </w:p>
    <w:p w14:paraId="76E3614E"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p>
    <w:p w14:paraId="0C18E394" w14:textId="72F9FA73" w:rsidR="00CD630B" w:rsidRPr="003D1614" w:rsidRDefault="00CD630B" w:rsidP="00CD630B">
      <w:pPr>
        <w:tabs>
          <w:tab w:val="left" w:pos="567"/>
          <w:tab w:val="left" w:pos="709"/>
        </w:tabs>
        <w:suppressAutoHyphens/>
        <w:autoSpaceDN w:val="0"/>
        <w:spacing w:line="300" w:lineRule="exact"/>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.1.</w:t>
      </w:r>
      <w:r w:rsidRPr="003D1614">
        <w:rPr>
          <w:rFonts w:ascii="Arial" w:eastAsia="Times New Roman" w:hAnsi="Arial" w:cs="Arial"/>
          <w:b/>
          <w:color w:val="000000" w:themeColor="text1"/>
          <w:sz w:val="20"/>
          <w:szCs w:val="20"/>
        </w:rPr>
        <w:tab/>
        <w:t>Pregled najvažnijih rizika</w:t>
      </w:r>
    </w:p>
    <w:p w14:paraId="31DF4A28"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5E2CAC82"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 xml:space="preserve">Kreditni rizik </w:t>
      </w:r>
    </w:p>
    <w:p w14:paraId="72E2D81B"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03897EB2" w14:textId="30026CAE" w:rsidR="00CD630B" w:rsidRPr="003D1614" w:rsidRDefault="00CD630B" w:rsidP="00CD630B">
      <w:pPr>
        <w:suppressAutoHyphens/>
        <w:autoSpaceDN w:val="0"/>
        <w:jc w:val="both"/>
        <w:rPr>
          <w:rFonts w:ascii="Arial" w:eastAsia="Times New Roman" w:hAnsi="Arial" w:cs="Arial"/>
          <w:color w:val="000000" w:themeColor="text1"/>
          <w:sz w:val="20"/>
          <w:szCs w:val="20"/>
        </w:rPr>
      </w:pPr>
      <w:bookmarkStart w:id="582" w:name="_Hlk517963905"/>
      <w:r w:rsidRPr="003D1614">
        <w:rPr>
          <w:rFonts w:ascii="Arial" w:eastAsia="Times New Roman" w:hAnsi="Arial" w:cs="Arial"/>
          <w:color w:val="000000" w:themeColor="text1"/>
          <w:sz w:val="20"/>
          <w:szCs w:val="20"/>
        </w:rPr>
        <w:t>Banka kontrolira kreditni rizik putem kreditn</w:t>
      </w:r>
      <w:r w:rsidR="000F5D1C">
        <w:rPr>
          <w:rFonts w:ascii="Arial" w:eastAsia="Times New Roman" w:hAnsi="Arial" w:cs="Arial"/>
          <w:color w:val="000000" w:themeColor="text1"/>
          <w:sz w:val="20"/>
          <w:szCs w:val="20"/>
        </w:rPr>
        <w:t>e</w:t>
      </w:r>
      <w:r w:rsidRPr="003D1614">
        <w:rPr>
          <w:rFonts w:ascii="Arial" w:eastAsia="Times New Roman" w:hAnsi="Arial" w:cs="Arial"/>
          <w:color w:val="000000" w:themeColor="text1"/>
          <w:sz w:val="20"/>
          <w:szCs w:val="20"/>
        </w:rPr>
        <w:t xml:space="preserve"> politik</w:t>
      </w:r>
      <w:r w:rsidR="000F5D1C">
        <w:rPr>
          <w:rFonts w:ascii="Arial" w:eastAsia="Times New Roman" w:hAnsi="Arial" w:cs="Arial"/>
          <w:color w:val="000000" w:themeColor="text1"/>
          <w:sz w:val="20"/>
          <w:szCs w:val="20"/>
        </w:rPr>
        <w:t>e</w:t>
      </w:r>
      <w:r w:rsidRPr="003D1614">
        <w:rPr>
          <w:rFonts w:ascii="Arial" w:eastAsia="Times New Roman" w:hAnsi="Arial" w:cs="Arial"/>
          <w:color w:val="000000" w:themeColor="text1"/>
          <w:sz w:val="20"/>
          <w:szCs w:val="20"/>
        </w:rPr>
        <w:t xml:space="preserve"> i pravilnika o upravljanju ovim rizikom u kojima su propisani sustavi unutarnjih kontrola s ciljem preventivnog djelovanja na rizik.</w:t>
      </w:r>
    </w:p>
    <w:bookmarkEnd w:id="582"/>
    <w:p w14:paraId="4CCE21F2"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1AF90BFF"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bookmarkStart w:id="583" w:name="_Hlk517961382"/>
      <w:r w:rsidRPr="003D1614">
        <w:rPr>
          <w:rFonts w:ascii="Arial" w:eastAsia="Times New Roman" w:hAnsi="Arial" w:cs="Arial"/>
          <w:color w:val="000000" w:themeColor="text1"/>
          <w:sz w:val="20"/>
          <w:szCs w:val="20"/>
        </w:rPr>
        <w:t>Sustav upravljanja kreditnim rizikom čini najvažniji dio poslovne politike Banke i bitan je čimbenik njezine strategije poslovanja.</w:t>
      </w:r>
    </w:p>
    <w:bookmarkEnd w:id="583"/>
    <w:p w14:paraId="5F4DE943"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4AFA8EF3"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bookmarkStart w:id="584" w:name="_Hlk517961445"/>
      <w:r w:rsidRPr="003D1614">
        <w:rPr>
          <w:rFonts w:ascii="Arial" w:eastAsia="Times New Roman" w:hAnsi="Arial" w:cs="Arial"/>
          <w:b/>
          <w:color w:val="000000" w:themeColor="text1"/>
          <w:sz w:val="20"/>
          <w:szCs w:val="20"/>
        </w:rPr>
        <w:t>Rizik likvidnosti, valutni rizik i kamatni rizik</w:t>
      </w:r>
    </w:p>
    <w:p w14:paraId="094AD16E"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16511193"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Kroz djelovanje Odbora za upravljanje aktivom i pasivom, Banka osigurava adekvatno upravljanje rizikom likvidnosti te valutnim rizikom i kamatnim rizikom. Upravljanje ovim rizicima podrazumijeva svođenje kamatnog i valutnog rizika te rizika likvidnosti na najmanju mjeru. Izravnim i neizravnim uključivanjem većine organizacijskih jedinica Banke u rad Odbora za upravljanje aktivom i pasivom nastoji se osigurati kvalitetan, integriran i sveobuhvatan sustav upravljanja navedenim rizicima. </w:t>
      </w:r>
    </w:p>
    <w:bookmarkEnd w:id="584"/>
    <w:p w14:paraId="3F1BF91D"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F3096AB"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Rizik likvidnosti</w:t>
      </w:r>
    </w:p>
    <w:p w14:paraId="7610DC62"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7FE399A1"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bookmarkStart w:id="585" w:name="_Hlk517961744"/>
      <w:r w:rsidRPr="003D1614">
        <w:rPr>
          <w:rFonts w:ascii="Arial" w:eastAsia="Times New Roman" w:hAnsi="Arial" w:cs="Arial"/>
          <w:color w:val="000000" w:themeColor="text1"/>
          <w:sz w:val="20"/>
          <w:szCs w:val="20"/>
        </w:rPr>
        <w:t xml:space="preserve">Temeljna načela i principi upravljanja rizikom likvidnosti HBOR-a utvrđeni su internim aktima te odlukama i zaključcima Nadzornog odbora, Uprave i Odbora za upravljanje aktivom i pasivom. </w:t>
      </w:r>
    </w:p>
    <w:p w14:paraId="5989A368"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104EB89B" w14:textId="3C78D6D8"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 svrhu upravljanja rizikom likvidnosti, Banka je uspostavila sustav limita i signala ranog upozorenja te prati i kontrolira njihovo poštivanje, održava potrebnu razinu rezerve likvidnosti, kontinuirano prati tekuću i planiranu likvidnost, osigurava dostatna </w:t>
      </w:r>
      <w:proofErr w:type="spellStart"/>
      <w:r w:rsidR="000F5D1C">
        <w:rPr>
          <w:rFonts w:ascii="Arial" w:eastAsia="Times New Roman" w:hAnsi="Arial" w:cs="Arial"/>
          <w:color w:val="000000" w:themeColor="text1"/>
          <w:sz w:val="20"/>
          <w:szCs w:val="20"/>
        </w:rPr>
        <w:t>eurska</w:t>
      </w:r>
      <w:proofErr w:type="spellEnd"/>
      <w:r w:rsidRPr="003D1614">
        <w:rPr>
          <w:rFonts w:ascii="Arial" w:eastAsia="Times New Roman" w:hAnsi="Arial" w:cs="Arial"/>
          <w:color w:val="000000" w:themeColor="text1"/>
          <w:sz w:val="20"/>
          <w:szCs w:val="20"/>
        </w:rPr>
        <w:t xml:space="preserve"> i devizna sredstva potrebna za pravovremeno podmirenje obveza te za isplate po odobrenim kreditima i planiranim odobrenjima kredita. Pri upravljanju rizikom likvidnosti nastoji se postići ročna usklađenost postojećih i planiranih plasmana i njihovih izvora. Banka nema depozite građana te nije izložena značajnijim dnevnim oscilacijama likvidnosti. </w:t>
      </w:r>
      <w:bookmarkEnd w:id="585"/>
    </w:p>
    <w:p w14:paraId="4A24FB89" w14:textId="07D2873F"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06ED8F07" w14:textId="2F896231"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Praćenje rizika likvidnosti Banka provodi i kroz analize scenarija ili analize osjetljivosti pod pretpostavkom redovnih i stresnih uvjeta poslovanja. Pravilnikom o upravljanju rizikom likvidnosti utvrđeni su i postupci u slučaju naznake</w:t>
      </w:r>
      <w:r w:rsidR="000F5D1C">
        <w:rPr>
          <w:rFonts w:ascii="Arial" w:eastAsia="Times New Roman" w:hAnsi="Arial" w:cs="Arial"/>
          <w:color w:val="000000" w:themeColor="text1"/>
          <w:sz w:val="20"/>
          <w:szCs w:val="20"/>
        </w:rPr>
        <w:t>,</w:t>
      </w:r>
      <w:r w:rsidRPr="003D1614">
        <w:rPr>
          <w:rFonts w:ascii="Arial" w:eastAsia="Times New Roman" w:hAnsi="Arial" w:cs="Arial"/>
          <w:color w:val="000000" w:themeColor="text1"/>
          <w:sz w:val="20"/>
          <w:szCs w:val="20"/>
        </w:rPr>
        <w:t xml:space="preserve"> kao i nastupa krize likvidnosti. </w:t>
      </w:r>
    </w:p>
    <w:p w14:paraId="329B3283"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46FC8E16" w14:textId="61E3C4F9"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DC8BEC6"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sectPr w:rsidR="00CD630B" w:rsidRPr="003D1614">
          <w:pgSz w:w="11906" w:h="16838"/>
          <w:pgMar w:top="1417" w:right="1417" w:bottom="1417" w:left="1417" w:header="708" w:footer="708" w:gutter="0"/>
          <w:cols w:space="708"/>
          <w:docGrid w:linePitch="360"/>
        </w:sectPr>
      </w:pPr>
    </w:p>
    <w:p w14:paraId="641220E8" w14:textId="77777777" w:rsidR="00CD630B" w:rsidRPr="003D1614" w:rsidRDefault="00CD630B" w:rsidP="00CD630B">
      <w:pPr>
        <w:suppressAutoHyphens/>
        <w:autoSpaceDN w:val="0"/>
        <w:rPr>
          <w:rFonts w:ascii="Arial" w:eastAsia="Times New Roman" w:hAnsi="Arial" w:cs="Arial"/>
          <w:color w:val="000000" w:themeColor="text1"/>
          <w:sz w:val="20"/>
          <w:szCs w:val="20"/>
        </w:rPr>
      </w:pPr>
    </w:p>
    <w:p w14:paraId="268558A6" w14:textId="4B9C09CC" w:rsidR="00CD630B" w:rsidRPr="003D1614" w:rsidRDefault="00CD630B" w:rsidP="00CD630B">
      <w:pPr>
        <w:tabs>
          <w:tab w:val="left" w:pos="567"/>
        </w:tabs>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lang w:eastAsia="hr-HR"/>
        </w:rPr>
        <w:t>2</w:t>
      </w:r>
      <w:r w:rsidR="000E693B">
        <w:rPr>
          <w:rFonts w:ascii="Arial" w:eastAsia="Times New Roman" w:hAnsi="Arial" w:cs="Arial"/>
          <w:b/>
          <w:color w:val="000000" w:themeColor="text1"/>
          <w:sz w:val="20"/>
          <w:szCs w:val="20"/>
          <w:lang w:eastAsia="hr-HR"/>
        </w:rPr>
        <w:t>3</w:t>
      </w:r>
      <w:r w:rsidRPr="003D1614">
        <w:rPr>
          <w:rFonts w:ascii="Arial" w:eastAsia="Times New Roman" w:hAnsi="Arial" w:cs="Arial"/>
          <w:b/>
          <w:color w:val="000000" w:themeColor="text1"/>
          <w:sz w:val="20"/>
          <w:szCs w:val="20"/>
          <w:lang w:eastAsia="hr-HR"/>
        </w:rPr>
        <w:t>.</w:t>
      </w:r>
      <w:r w:rsidRPr="003D1614">
        <w:rPr>
          <w:rFonts w:ascii="Arial" w:eastAsia="Times New Roman" w:hAnsi="Arial" w:cs="Arial"/>
          <w:b/>
          <w:color w:val="000000" w:themeColor="text1"/>
          <w:sz w:val="20"/>
          <w:szCs w:val="20"/>
        </w:rPr>
        <w:tab/>
        <w:t>Upravljanje rizicima (nastavak)</w:t>
      </w:r>
    </w:p>
    <w:p w14:paraId="64A6A627"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68411BCE" w14:textId="30B6C655" w:rsidR="00CD630B" w:rsidRPr="003D1614" w:rsidRDefault="00CD630B" w:rsidP="00CD630B">
      <w:pPr>
        <w:tabs>
          <w:tab w:val="left" w:pos="567"/>
        </w:tabs>
        <w:suppressAutoHyphens/>
        <w:autoSpaceDN w:val="0"/>
        <w:spacing w:line="300" w:lineRule="exact"/>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.1.</w:t>
      </w:r>
      <w:r w:rsidRPr="003D1614">
        <w:rPr>
          <w:rFonts w:ascii="Arial" w:eastAsia="Times New Roman" w:hAnsi="Arial" w:cs="Arial"/>
          <w:b/>
          <w:color w:val="000000" w:themeColor="text1"/>
          <w:sz w:val="20"/>
          <w:szCs w:val="20"/>
        </w:rPr>
        <w:tab/>
        <w:t>Pregled najvažnijih rizika (nastavak)</w:t>
      </w:r>
    </w:p>
    <w:p w14:paraId="0D196526" w14:textId="77777777" w:rsidR="00CD630B" w:rsidRPr="003D1614" w:rsidRDefault="00CD630B" w:rsidP="00CD630B">
      <w:pPr>
        <w:suppressAutoHyphens/>
        <w:autoSpaceDN w:val="0"/>
        <w:jc w:val="both"/>
        <w:rPr>
          <w:rFonts w:ascii="Arial" w:eastAsia="Calibri" w:hAnsi="Arial" w:cs="Arial"/>
          <w:b/>
          <w:bCs/>
          <w:color w:val="000000" w:themeColor="text1"/>
          <w:spacing w:val="-3"/>
          <w:sz w:val="20"/>
          <w:szCs w:val="20"/>
        </w:rPr>
      </w:pPr>
      <w:bookmarkStart w:id="586" w:name="_Hlk517961811"/>
    </w:p>
    <w:bookmarkEnd w:id="586"/>
    <w:p w14:paraId="224A21BF"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Kamatni rizik</w:t>
      </w:r>
    </w:p>
    <w:p w14:paraId="10FD660B"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64407CAD" w14:textId="225B05B8"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Temeljna načela i principi upravljanja kamatnim rizikom Banke utvrđeni su internim aktima te odlukama i zaključcima Uprave i Odbora za upravljanje aktivom i pasivom. Za mjerenje i praćenje kamatnog rizika Banka provodi analizu kamatnog jaza. Kamatni se jaz izrađuje za određena razdoblja prema mogućnosti promjene kamatnih stopa i koristi se za sagledavanje osjetljivost Banke na promjene kamatnih stopa u redovnim i stresnim uvjetima poslovanja. </w:t>
      </w:r>
      <w:bookmarkStart w:id="587" w:name="_Hlk135054308"/>
      <w:r w:rsidRPr="003D1614">
        <w:rPr>
          <w:rFonts w:ascii="Arial" w:eastAsia="Times New Roman" w:hAnsi="Arial" w:cs="Arial"/>
          <w:color w:val="000000" w:themeColor="text1"/>
          <w:sz w:val="20"/>
          <w:szCs w:val="20"/>
        </w:rPr>
        <w:t>Provod</w:t>
      </w:r>
      <w:r w:rsidR="00352FF0">
        <w:rPr>
          <w:rFonts w:ascii="Arial" w:eastAsia="Times New Roman" w:hAnsi="Arial" w:cs="Arial"/>
          <w:color w:val="000000" w:themeColor="text1"/>
          <w:sz w:val="20"/>
          <w:szCs w:val="20"/>
        </w:rPr>
        <w:t>e</w:t>
      </w:r>
      <w:r w:rsidRPr="003D1614">
        <w:rPr>
          <w:rFonts w:ascii="Arial" w:eastAsia="Times New Roman" w:hAnsi="Arial" w:cs="Arial"/>
          <w:color w:val="000000" w:themeColor="text1"/>
          <w:sz w:val="20"/>
          <w:szCs w:val="20"/>
        </w:rPr>
        <w:t xml:space="preserve"> se</w:t>
      </w:r>
      <w:r w:rsidR="00352FF0">
        <w:rPr>
          <w:rFonts w:ascii="Arial" w:eastAsia="Times New Roman" w:hAnsi="Arial" w:cs="Arial"/>
          <w:color w:val="000000" w:themeColor="text1"/>
          <w:sz w:val="20"/>
          <w:szCs w:val="20"/>
        </w:rPr>
        <w:t xml:space="preserve"> BPV (</w:t>
      </w:r>
      <w:proofErr w:type="spellStart"/>
      <w:r w:rsidR="00352FF0">
        <w:rPr>
          <w:rFonts w:ascii="Arial" w:eastAsia="Times New Roman" w:hAnsi="Arial" w:cs="Arial"/>
          <w:color w:val="000000" w:themeColor="text1"/>
          <w:sz w:val="20"/>
          <w:szCs w:val="20"/>
        </w:rPr>
        <w:t>basis</w:t>
      </w:r>
      <w:proofErr w:type="spellEnd"/>
      <w:r w:rsidR="00352FF0">
        <w:rPr>
          <w:rFonts w:ascii="Arial" w:eastAsia="Times New Roman" w:hAnsi="Arial" w:cs="Arial"/>
          <w:color w:val="000000" w:themeColor="text1"/>
          <w:sz w:val="20"/>
          <w:szCs w:val="20"/>
        </w:rPr>
        <w:t xml:space="preserve"> </w:t>
      </w:r>
      <w:proofErr w:type="spellStart"/>
      <w:r w:rsidR="00352FF0">
        <w:rPr>
          <w:rFonts w:ascii="Arial" w:eastAsia="Times New Roman" w:hAnsi="Arial" w:cs="Arial"/>
          <w:color w:val="000000" w:themeColor="text1"/>
          <w:sz w:val="20"/>
          <w:szCs w:val="20"/>
        </w:rPr>
        <w:t>point</w:t>
      </w:r>
      <w:proofErr w:type="spellEnd"/>
      <w:r w:rsidR="00352FF0">
        <w:rPr>
          <w:rFonts w:ascii="Arial" w:eastAsia="Times New Roman" w:hAnsi="Arial" w:cs="Arial"/>
          <w:color w:val="000000" w:themeColor="text1"/>
          <w:sz w:val="20"/>
          <w:szCs w:val="20"/>
        </w:rPr>
        <w:t xml:space="preserve"> </w:t>
      </w:r>
      <w:proofErr w:type="spellStart"/>
      <w:r w:rsidR="00352FF0">
        <w:rPr>
          <w:rFonts w:ascii="Arial" w:eastAsia="Times New Roman" w:hAnsi="Arial" w:cs="Arial"/>
          <w:color w:val="000000" w:themeColor="text1"/>
          <w:sz w:val="20"/>
          <w:szCs w:val="20"/>
        </w:rPr>
        <w:t>value</w:t>
      </w:r>
      <w:proofErr w:type="spellEnd"/>
      <w:r w:rsidR="00352FF0">
        <w:rPr>
          <w:rFonts w:ascii="Arial" w:eastAsia="Times New Roman" w:hAnsi="Arial" w:cs="Arial"/>
          <w:color w:val="000000" w:themeColor="text1"/>
          <w:sz w:val="20"/>
          <w:szCs w:val="20"/>
        </w:rPr>
        <w:t>) izračuni i izračuni ekonomske vrijednosti knjige banke t</w:t>
      </w:r>
      <w:r w:rsidRPr="003D1614">
        <w:rPr>
          <w:rFonts w:ascii="Arial" w:eastAsia="Times New Roman" w:hAnsi="Arial" w:cs="Arial"/>
          <w:color w:val="000000" w:themeColor="text1"/>
          <w:sz w:val="20"/>
          <w:szCs w:val="20"/>
        </w:rPr>
        <w:t xml:space="preserve">e se izrađuju projekcije kretanja prosječnih ponderiranih kamatnih stopa izvora i plasmana. </w:t>
      </w:r>
      <w:bookmarkEnd w:id="587"/>
      <w:r w:rsidRPr="003D1614">
        <w:rPr>
          <w:rFonts w:ascii="Arial" w:eastAsia="Times New Roman" w:hAnsi="Arial" w:cs="Arial"/>
          <w:color w:val="000000" w:themeColor="text1"/>
          <w:sz w:val="20"/>
          <w:szCs w:val="20"/>
        </w:rPr>
        <w:t>Pored usklađivanja kamatnih stopa izvora i plasmana prate se trenutni tržišni uvjeti i prognoze kretanja osnovnih tržišnih pokazatelja.</w:t>
      </w:r>
    </w:p>
    <w:p w14:paraId="18FBDA08"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10E82EF0"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Valutni rizik</w:t>
      </w:r>
    </w:p>
    <w:p w14:paraId="365D7259"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39F88CE9"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Temeljna načela i principi upravljanja valutnim rizikom HBOR-a utvrđeni su internim aktima te odlukama i zaključcima Uprave i Odbora za upravljanje aktivom i pasivom. Postavljene su metode za mjerenje, odnosno procjenu, praćenje i upravljanje valutnim rizikom, utvrđeni su limiti i signali ranog upozorenja, postupci u slučaju naznake, kao i nastupa krize te su definirana izvješća potrebna za cjelovito ovladavanje ovim rizikom. </w:t>
      </w:r>
    </w:p>
    <w:p w14:paraId="0F42928D"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07FCDEC7"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Za mjerenje izloženosti valutnom riziku prati se otvorenost devizne pozicije. Osim dnevnog praćenja otvorenosti devizne pozicije i projiciranja njezinog kretanja, za potrebe procjene i mjerenja valutnog rizika izračunava se rizična vrijednost te redovito izvještava nadležna tijela o najvećim potencijalnim gubicima po značajnim valutama. Provode se analize osjetljivosti pod pretpostavkom redovnih i stresnih uvjeta poslovanja. </w:t>
      </w:r>
    </w:p>
    <w:p w14:paraId="0AFB2A93"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609CF84E"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 xml:space="preserve">Operativni rizik </w:t>
      </w:r>
    </w:p>
    <w:p w14:paraId="00EEBD4E"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7A085C45" w14:textId="1F67BE42" w:rsidR="00CD630B" w:rsidRPr="003D1614" w:rsidRDefault="00CD630B" w:rsidP="00CD630B">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HBOR ima uspostavljen okvir za upravljanje operativnim rizikom koji je usklađen sa regulativom HNB-a </w:t>
      </w:r>
      <w:r w:rsidR="00224821">
        <w:rPr>
          <w:rFonts w:ascii="Arial" w:eastAsia="Calibri" w:hAnsi="Arial" w:cs="Arial"/>
          <w:color w:val="000000" w:themeColor="text1"/>
          <w:sz w:val="20"/>
          <w:szCs w:val="20"/>
        </w:rPr>
        <w:t xml:space="preserve">u mjeri </w:t>
      </w:r>
      <w:r w:rsidRPr="003D1614">
        <w:rPr>
          <w:rFonts w:ascii="Arial" w:eastAsia="Calibri" w:hAnsi="Arial" w:cs="Arial"/>
          <w:color w:val="000000" w:themeColor="text1"/>
          <w:sz w:val="20"/>
          <w:szCs w:val="20"/>
        </w:rPr>
        <w:t>primjenjivoj na poslovanje Banke kao posebne financijske institucije te sa dobrim bankarskim praksama u dijelu upravljanja rizicima.</w:t>
      </w:r>
    </w:p>
    <w:p w14:paraId="4381B477" w14:textId="77777777" w:rsidR="00CD630B" w:rsidRPr="003D1614" w:rsidRDefault="00CD630B" w:rsidP="00CD630B">
      <w:pPr>
        <w:suppressAutoHyphens/>
        <w:autoSpaceDN w:val="0"/>
        <w:jc w:val="both"/>
        <w:rPr>
          <w:rFonts w:ascii="Arial" w:eastAsia="Calibri" w:hAnsi="Arial" w:cs="Arial"/>
          <w:color w:val="000000" w:themeColor="text1"/>
          <w:sz w:val="20"/>
          <w:szCs w:val="20"/>
        </w:rPr>
      </w:pPr>
    </w:p>
    <w:p w14:paraId="2FD97453"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Temeljna načela upravljanja operativnim rizikom utvrđena su Politikom upravljanja operativnim rizikom kao krovnim aktom, kojom je uspostavljena struktura upravljanja i odgovornosti u sustavu, utvrđen pristup za izračun kapitalnog zahtjeva za operativni rizik, uspostavljen sustav izvještavanja te načini utvrđivanja, ovladavanja i praćenja izloženosti operativnom riziku.</w:t>
      </w:r>
    </w:p>
    <w:p w14:paraId="44505830" w14:textId="4C70308E" w:rsidR="00CD630B" w:rsidRPr="003D1614" w:rsidRDefault="00CD630B" w:rsidP="00CD630B">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color w:val="000000" w:themeColor="text1"/>
          <w:sz w:val="20"/>
          <w:szCs w:val="20"/>
        </w:rPr>
        <w:t xml:space="preserve">Sustavom upravljanja obuhvaćen je i operativni rizik kod poslovnih promjena, , </w:t>
      </w:r>
      <w:r w:rsidR="00861197">
        <w:rPr>
          <w:rFonts w:ascii="Arial" w:eastAsia="Times New Roman" w:hAnsi="Arial" w:cs="Arial"/>
          <w:color w:val="000000" w:themeColor="text1"/>
          <w:sz w:val="20"/>
          <w:szCs w:val="20"/>
        </w:rPr>
        <w:t xml:space="preserve">novih proizvoda i značajnih izmjena postojećih proizvoda </w:t>
      </w:r>
      <w:r w:rsidRPr="003D1614">
        <w:rPr>
          <w:rFonts w:ascii="Arial" w:eastAsia="Times New Roman" w:hAnsi="Arial" w:cs="Arial"/>
          <w:color w:val="000000" w:themeColor="text1"/>
          <w:sz w:val="20"/>
          <w:szCs w:val="20"/>
        </w:rPr>
        <w:t>te operativni rizik koji se javlja pri eksternalizaciji aktivnosti.</w:t>
      </w:r>
    </w:p>
    <w:p w14:paraId="59540094"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p>
    <w:p w14:paraId="6280D50D" w14:textId="4E533CFC"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Za praćenje i nadziranje rada informacijskog sustava zadužen je Odbor za upravljanje informacijskim sustavom čiji je cilj upravljanje resursima informacijskog sustava uz uspostavljanje odgovarajuće razine učinkovitosti i sigurnosti informacijskog sustava kako bi se osiguralo, između ostalog, primjereno upravljanje rizicima koji proizlaze iz korištenja informacijske tehnologije. Nadzor nad sigurnošću informacijskog sustava obavlja funkcija Voditelja sigurnosti informacijskog sustava. U okviru ove funkcije uspostavljen je sustav upravljanja kontinuitetom poslovanja HBOR-a.</w:t>
      </w:r>
    </w:p>
    <w:p w14:paraId="6A577094" w14:textId="3786C039"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4789181C" w14:textId="300E4757" w:rsidR="00CD630B" w:rsidRPr="003D1614" w:rsidRDefault="00D46535" w:rsidP="00CD630B">
      <w:pPr>
        <w:suppressAutoHyphens/>
        <w:autoSpaceDN w:val="0"/>
        <w:jc w:val="both"/>
        <w:rPr>
          <w:rFonts w:ascii="Arial" w:eastAsia="Times New Roman" w:hAnsi="Arial" w:cs="Arial"/>
          <w:color w:val="000000" w:themeColor="text1"/>
          <w:sz w:val="20"/>
          <w:szCs w:val="20"/>
        </w:rPr>
      </w:pPr>
      <w:bookmarkStart w:id="588" w:name="_Hlk135055567"/>
      <w:r>
        <w:rPr>
          <w:rFonts w:ascii="Arial" w:eastAsia="SimSun" w:hAnsi="Arial" w:cs="Arial"/>
          <w:sz w:val="20"/>
          <w:szCs w:val="20"/>
        </w:rPr>
        <w:t>U 202</w:t>
      </w:r>
      <w:r w:rsidR="00861197">
        <w:rPr>
          <w:rFonts w:ascii="Arial" w:eastAsia="SimSun" w:hAnsi="Arial" w:cs="Arial"/>
          <w:sz w:val="20"/>
          <w:szCs w:val="20"/>
        </w:rPr>
        <w:t>4</w:t>
      </w:r>
      <w:r>
        <w:rPr>
          <w:rFonts w:ascii="Arial" w:eastAsia="SimSun" w:hAnsi="Arial" w:cs="Arial"/>
          <w:sz w:val="20"/>
          <w:szCs w:val="20"/>
        </w:rPr>
        <w:t xml:space="preserve">. godini nisu identificirani </w:t>
      </w:r>
      <w:r w:rsidR="00861197">
        <w:rPr>
          <w:rFonts w:ascii="Arial" w:eastAsia="SimSun" w:hAnsi="Arial" w:cs="Arial"/>
          <w:sz w:val="20"/>
          <w:szCs w:val="20"/>
        </w:rPr>
        <w:t xml:space="preserve">novi </w:t>
      </w:r>
      <w:r>
        <w:rPr>
          <w:rFonts w:ascii="Arial" w:eastAsia="SimSun" w:hAnsi="Arial" w:cs="Arial"/>
          <w:sz w:val="20"/>
          <w:szCs w:val="20"/>
        </w:rPr>
        <w:t>događaji operativnog rizika koji bi značajno utjecali na izloženost HBOR-a operativnom riziku. Događaj iz prethodnog razdoblja (potres u Zagrebu 2020., uslijed kojeg je oštećena glavna poslovna zgrada HBOR-a) imat će utjecaj u 202</w:t>
      </w:r>
      <w:r w:rsidR="00861197">
        <w:rPr>
          <w:rFonts w:ascii="Arial" w:eastAsia="SimSun" w:hAnsi="Arial" w:cs="Arial"/>
          <w:sz w:val="20"/>
          <w:szCs w:val="20"/>
        </w:rPr>
        <w:t>4</w:t>
      </w:r>
      <w:r>
        <w:rPr>
          <w:rFonts w:ascii="Arial" w:eastAsia="SimSun" w:hAnsi="Arial" w:cs="Arial"/>
          <w:sz w:val="20"/>
          <w:szCs w:val="20"/>
        </w:rPr>
        <w:t>. godini jer su započeli pripremni radovi za obnovu zgrade, a efekti tog događaja kontinuirano se bilježe u bazu događaja operativnog rizika.</w:t>
      </w:r>
      <w:bookmarkEnd w:id="588"/>
    </w:p>
    <w:p w14:paraId="1043F5E1"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0C02D4E2" w14:textId="77777777" w:rsidR="00CB08E0" w:rsidRDefault="00CB08E0" w:rsidP="00CD630B">
      <w:pPr>
        <w:suppressAutoHyphens/>
        <w:autoSpaceDN w:val="0"/>
        <w:jc w:val="both"/>
        <w:rPr>
          <w:rFonts w:ascii="Arial" w:eastAsia="Times New Roman" w:hAnsi="Arial" w:cs="Arial"/>
          <w:color w:val="000000" w:themeColor="text1"/>
          <w:sz w:val="20"/>
          <w:szCs w:val="20"/>
        </w:rPr>
        <w:sectPr w:rsidR="00CB08E0">
          <w:pgSz w:w="11906" w:h="16838"/>
          <w:pgMar w:top="1417" w:right="1417" w:bottom="1417" w:left="1417" w:header="708" w:footer="708" w:gutter="0"/>
          <w:cols w:space="708"/>
          <w:docGrid w:linePitch="360"/>
        </w:sectPr>
      </w:pPr>
    </w:p>
    <w:p w14:paraId="50C97907" w14:textId="77777777" w:rsidR="00CD630B" w:rsidRPr="003D1614" w:rsidRDefault="00CD630B" w:rsidP="00CD630B">
      <w:pPr>
        <w:suppressAutoHyphens/>
        <w:autoSpaceDN w:val="0"/>
        <w:rPr>
          <w:rFonts w:ascii="Arial" w:eastAsia="Times New Roman" w:hAnsi="Arial" w:cs="Arial"/>
          <w:color w:val="000000" w:themeColor="text1"/>
          <w:sz w:val="20"/>
          <w:szCs w:val="20"/>
        </w:rPr>
      </w:pPr>
    </w:p>
    <w:p w14:paraId="5C34E4BF" w14:textId="28D79EFC" w:rsidR="00CD630B" w:rsidRPr="003D1614" w:rsidRDefault="00CD630B" w:rsidP="00CD630B">
      <w:pPr>
        <w:tabs>
          <w:tab w:val="left" w:pos="567"/>
        </w:tabs>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lang w:eastAsia="hr-HR"/>
        </w:rPr>
        <w:t>2</w:t>
      </w:r>
      <w:r w:rsidR="000E693B">
        <w:rPr>
          <w:rFonts w:ascii="Arial" w:eastAsia="Times New Roman" w:hAnsi="Arial" w:cs="Arial"/>
          <w:b/>
          <w:color w:val="000000" w:themeColor="text1"/>
          <w:sz w:val="20"/>
          <w:szCs w:val="20"/>
          <w:lang w:eastAsia="hr-HR"/>
        </w:rPr>
        <w:t>3</w:t>
      </w:r>
      <w:r w:rsidRPr="003D1614">
        <w:rPr>
          <w:rFonts w:ascii="Arial" w:eastAsia="Times New Roman" w:hAnsi="Arial" w:cs="Arial"/>
          <w:b/>
          <w:color w:val="000000" w:themeColor="text1"/>
          <w:sz w:val="20"/>
          <w:szCs w:val="20"/>
          <w:lang w:eastAsia="hr-HR"/>
        </w:rPr>
        <w:t>.</w:t>
      </w:r>
      <w:r w:rsidRPr="003D1614">
        <w:rPr>
          <w:rFonts w:ascii="Arial" w:eastAsia="Times New Roman" w:hAnsi="Arial" w:cs="Arial"/>
          <w:b/>
          <w:color w:val="000000" w:themeColor="text1"/>
          <w:sz w:val="20"/>
          <w:szCs w:val="20"/>
        </w:rPr>
        <w:tab/>
        <w:t>Upravljanje rizicima (nastavak)</w:t>
      </w:r>
    </w:p>
    <w:p w14:paraId="7438601B"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31CBDB27" w14:textId="1F0EE90F" w:rsidR="00CD630B" w:rsidRPr="003D1614" w:rsidRDefault="00CD630B" w:rsidP="00CD630B">
      <w:pPr>
        <w:tabs>
          <w:tab w:val="left" w:pos="567"/>
        </w:tabs>
        <w:suppressAutoHyphens/>
        <w:autoSpaceDN w:val="0"/>
        <w:spacing w:line="300" w:lineRule="exact"/>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.1.</w:t>
      </w:r>
      <w:r w:rsidRPr="003D1614">
        <w:rPr>
          <w:rFonts w:ascii="Arial" w:eastAsia="Times New Roman" w:hAnsi="Arial" w:cs="Arial"/>
          <w:b/>
          <w:color w:val="000000" w:themeColor="text1"/>
          <w:sz w:val="20"/>
          <w:szCs w:val="20"/>
        </w:rPr>
        <w:tab/>
        <w:t>Pregled najvažnijih rizika (nastavak)</w:t>
      </w:r>
    </w:p>
    <w:p w14:paraId="0BB67993" w14:textId="74A33E02" w:rsidR="00CD630B" w:rsidRPr="003D1614" w:rsidRDefault="00CD630B" w:rsidP="00CD630B">
      <w:pPr>
        <w:suppressAutoHyphens/>
        <w:autoSpaceDN w:val="0"/>
        <w:jc w:val="both"/>
        <w:rPr>
          <w:rFonts w:ascii="Arial" w:eastAsia="Calibri" w:hAnsi="Arial" w:cs="Arial"/>
          <w:color w:val="000000" w:themeColor="text1"/>
          <w:sz w:val="20"/>
          <w:szCs w:val="20"/>
        </w:rPr>
      </w:pPr>
    </w:p>
    <w:p w14:paraId="717ED92B"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p>
    <w:p w14:paraId="2A5E476D"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Rizik eksternalizacije</w:t>
      </w:r>
    </w:p>
    <w:p w14:paraId="7DE6DD5C"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1CC71E8A" w14:textId="04C10A6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HBOR upravlja rizikom eksternalizacije temeljem internih akata usklađenih s regulativom HNB-a </w:t>
      </w:r>
      <w:r w:rsidR="00861197">
        <w:rPr>
          <w:rFonts w:ascii="Arial" w:eastAsia="Times New Roman" w:hAnsi="Arial" w:cs="Arial"/>
          <w:color w:val="000000" w:themeColor="text1"/>
          <w:sz w:val="20"/>
          <w:szCs w:val="20"/>
        </w:rPr>
        <w:t>u mjeri</w:t>
      </w:r>
      <w:r w:rsidR="00E502AF">
        <w:rPr>
          <w:rFonts w:ascii="Arial" w:eastAsia="Times New Roman" w:hAnsi="Arial" w:cs="Arial"/>
          <w:color w:val="000000" w:themeColor="text1"/>
          <w:sz w:val="20"/>
          <w:szCs w:val="20"/>
        </w:rPr>
        <w:t xml:space="preserve"> </w:t>
      </w:r>
      <w:r w:rsidRPr="003D1614">
        <w:rPr>
          <w:rFonts w:ascii="Arial" w:eastAsia="Times New Roman" w:hAnsi="Arial" w:cs="Arial"/>
          <w:color w:val="000000" w:themeColor="text1"/>
          <w:sz w:val="20"/>
          <w:szCs w:val="20"/>
        </w:rPr>
        <w:t>primjenjivo</w:t>
      </w:r>
      <w:r w:rsidR="00E502AF">
        <w:rPr>
          <w:rFonts w:ascii="Arial" w:eastAsia="Times New Roman" w:hAnsi="Arial" w:cs="Arial"/>
          <w:color w:val="000000" w:themeColor="text1"/>
          <w:sz w:val="20"/>
          <w:szCs w:val="20"/>
        </w:rPr>
        <w:t>j</w:t>
      </w:r>
      <w:r w:rsidRPr="003D1614">
        <w:rPr>
          <w:rFonts w:ascii="Arial" w:eastAsia="Times New Roman" w:hAnsi="Arial" w:cs="Arial"/>
          <w:color w:val="000000" w:themeColor="text1"/>
          <w:sz w:val="20"/>
          <w:szCs w:val="20"/>
        </w:rPr>
        <w:t xml:space="preserve"> na HBOR kao posebnu financijsku instituciju. Internim aktima kojima je propisano upravljanje ovim rizikom utvrđeni su postupci provođenja eksternaliziranih aktivnosti, upravljanje odnosima s pružateljima usluga te svođenje rizika </w:t>
      </w:r>
      <w:r w:rsidR="00E502AF">
        <w:rPr>
          <w:rFonts w:ascii="Arial" w:eastAsia="Times New Roman" w:hAnsi="Arial" w:cs="Arial"/>
          <w:color w:val="000000" w:themeColor="text1"/>
          <w:sz w:val="20"/>
          <w:szCs w:val="20"/>
        </w:rPr>
        <w:t xml:space="preserve">koji proizlaze iz eksternalizacije </w:t>
      </w:r>
      <w:r w:rsidRPr="003D1614">
        <w:rPr>
          <w:rFonts w:ascii="Arial" w:eastAsia="Times New Roman" w:hAnsi="Arial" w:cs="Arial"/>
          <w:color w:val="000000" w:themeColor="text1"/>
          <w:sz w:val="20"/>
          <w:szCs w:val="20"/>
        </w:rPr>
        <w:t>na najmanju mjeru.</w:t>
      </w:r>
    </w:p>
    <w:p w14:paraId="1DEB6163"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6A03D0DA"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Uspostavljena je centralna evidencija o eksternaliziranim aktivnostima, a o materijalno značajnim eksternalizacijama godišnje se izvještava Uprava i Nadzorni odbor Banke.  </w:t>
      </w:r>
    </w:p>
    <w:p w14:paraId="2F703CBF"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7432159A" w14:textId="4073B466"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5DC1EE12" w14:textId="6491A1C4" w:rsidR="00CD630B" w:rsidRPr="003D1614" w:rsidRDefault="00CD630B" w:rsidP="00CD630B">
      <w:pPr>
        <w:tabs>
          <w:tab w:val="left" w:pos="567"/>
        </w:tabs>
        <w:suppressAutoHyphens/>
        <w:autoSpaceDN w:val="0"/>
        <w:spacing w:line="300" w:lineRule="exact"/>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.2.</w:t>
      </w:r>
      <w:r w:rsidRPr="003D1614">
        <w:rPr>
          <w:rFonts w:ascii="Arial" w:eastAsia="Times New Roman" w:hAnsi="Arial" w:cs="Arial"/>
          <w:b/>
          <w:color w:val="000000" w:themeColor="text1"/>
          <w:sz w:val="20"/>
          <w:szCs w:val="20"/>
        </w:rPr>
        <w:tab/>
        <w:t>Strategija i sustavi upravljanja rizicima</w:t>
      </w:r>
    </w:p>
    <w:p w14:paraId="73D70C31" w14:textId="77777777" w:rsidR="00CD630B" w:rsidRPr="003D1614" w:rsidRDefault="00CD630B" w:rsidP="00CD630B">
      <w:pPr>
        <w:suppressAutoHyphens/>
        <w:autoSpaceDN w:val="0"/>
        <w:spacing w:before="120" w:line="300" w:lineRule="exact"/>
        <w:jc w:val="both"/>
        <w:rPr>
          <w:rFonts w:ascii="Arial" w:eastAsia="Times New Roman" w:hAnsi="Arial" w:cs="Arial"/>
          <w:color w:val="000000" w:themeColor="text1"/>
          <w:sz w:val="20"/>
          <w:szCs w:val="20"/>
        </w:rPr>
      </w:pPr>
      <w:r w:rsidRPr="003D1614">
        <w:rPr>
          <w:rFonts w:ascii="Arial" w:eastAsia="Times New Roman" w:hAnsi="Arial" w:cs="Arial"/>
          <w:b/>
          <w:color w:val="000000" w:themeColor="text1"/>
          <w:sz w:val="20"/>
          <w:szCs w:val="20"/>
        </w:rPr>
        <w:t xml:space="preserve">Nadzorni odbor </w:t>
      </w:r>
      <w:r w:rsidRPr="003D1614">
        <w:rPr>
          <w:rFonts w:ascii="Arial" w:eastAsia="Times New Roman" w:hAnsi="Arial" w:cs="Arial"/>
          <w:color w:val="000000" w:themeColor="text1"/>
          <w:sz w:val="20"/>
          <w:szCs w:val="20"/>
        </w:rPr>
        <w:t>odgovoran je za nadgledanje primjerenosti i učinkovitosti procesa upravljanja rizicima u Grupi. Nadzorni odbor donosi Strategiju upravljanja rizicima HBOR-a kojom se uspostavljaju osnovna načela i standardi upravljanja rizicima te se definira sklonost preuzimanju rizika.</w:t>
      </w:r>
    </w:p>
    <w:p w14:paraId="1BFBA3F9" w14:textId="77777777" w:rsidR="00CD630B" w:rsidRPr="003D1614" w:rsidRDefault="00CD630B" w:rsidP="00CD630B">
      <w:pPr>
        <w:suppressAutoHyphens/>
        <w:autoSpaceDN w:val="0"/>
        <w:spacing w:before="120" w:line="300" w:lineRule="exact"/>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 xml:space="preserve">Uprava Banke </w:t>
      </w:r>
      <w:r w:rsidRPr="003D1614">
        <w:rPr>
          <w:rFonts w:ascii="Arial" w:eastAsia="Times New Roman" w:hAnsi="Arial" w:cs="Arial"/>
          <w:color w:val="000000" w:themeColor="text1"/>
          <w:sz w:val="20"/>
          <w:szCs w:val="20"/>
        </w:rPr>
        <w:t>odgovorna je za provođenje strategije upravljanja rizicima te uspostavljanje učinkovitog i pouzdanog sustava upravljanja svim rizicima. Za potrebu ostvarenja svoje funkcije Uprava je svoja ovlaštenja za upravljanje rizicima delegirala na tri odbora.</w:t>
      </w:r>
      <w:r w:rsidRPr="003D1614">
        <w:rPr>
          <w:rFonts w:ascii="Arial" w:eastAsia="Times New Roman" w:hAnsi="Arial" w:cs="Arial"/>
          <w:b/>
          <w:color w:val="000000" w:themeColor="text1"/>
          <w:sz w:val="20"/>
          <w:szCs w:val="20"/>
        </w:rPr>
        <w:t xml:space="preserve"> </w:t>
      </w:r>
    </w:p>
    <w:p w14:paraId="1FCE37CA" w14:textId="77777777" w:rsidR="00CD630B" w:rsidRPr="003D1614" w:rsidRDefault="00CD630B" w:rsidP="00CD630B">
      <w:pPr>
        <w:keepNext/>
        <w:widowControl w:val="0"/>
        <w:tabs>
          <w:tab w:val="left" w:pos="426"/>
        </w:tabs>
        <w:suppressAutoHyphens/>
        <w:autoSpaceDN w:val="0"/>
        <w:spacing w:before="240" w:line="300" w:lineRule="exact"/>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Odbori za upravljanje rizicima</w:t>
      </w:r>
    </w:p>
    <w:p w14:paraId="453EF9EE" w14:textId="77777777" w:rsidR="00CD630B" w:rsidRPr="003D1614" w:rsidRDefault="00CD630B" w:rsidP="00CD630B">
      <w:pPr>
        <w:numPr>
          <w:ilvl w:val="0"/>
          <w:numId w:val="9"/>
        </w:numPr>
        <w:suppressAutoHyphens/>
        <w:autoSpaceDN w:val="0"/>
        <w:spacing w:before="120" w:line="300" w:lineRule="exact"/>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Odbor za upravljanje aktivom i pasivom</w:t>
      </w:r>
      <w:r w:rsidRPr="003D1614">
        <w:rPr>
          <w:rFonts w:ascii="Arial" w:eastAsia="Times New Roman" w:hAnsi="Arial" w:cs="Arial"/>
          <w:color w:val="000000" w:themeColor="text1"/>
          <w:sz w:val="20"/>
          <w:szCs w:val="20"/>
        </w:rPr>
        <w:t xml:space="preserve"> – upravlja rizikom likvidnosti, kamatnim rizikom i valutnim rizikom sukladno odredbama: Pravilnika o upravljanju rizikom likvidnosti, Pravilnika o upravljanju valutnim rizikom, Procedura upravljanja kamatnim rizikom, Pravilnika o knjizi trgovanja,  Politika upravljanja aktivom i pasivom te ostalih akata Banke kojima je regulirano ovo područje,</w:t>
      </w:r>
      <w:r w:rsidRPr="003D1614">
        <w:rPr>
          <w:rFonts w:ascii="Arial" w:eastAsia="Times New Roman" w:hAnsi="Arial" w:cs="Arial"/>
          <w:b/>
          <w:color w:val="000000" w:themeColor="text1"/>
          <w:sz w:val="20"/>
          <w:szCs w:val="20"/>
        </w:rPr>
        <w:t xml:space="preserve"> </w:t>
      </w:r>
    </w:p>
    <w:p w14:paraId="1C06E61F" w14:textId="77777777" w:rsidR="00CD630B" w:rsidRPr="003D1614" w:rsidRDefault="00CD630B" w:rsidP="00CD630B">
      <w:pPr>
        <w:numPr>
          <w:ilvl w:val="0"/>
          <w:numId w:val="9"/>
        </w:numPr>
        <w:suppressAutoHyphens/>
        <w:autoSpaceDN w:val="0"/>
        <w:spacing w:before="120" w:line="300" w:lineRule="exact"/>
        <w:jc w:val="both"/>
        <w:rPr>
          <w:rFonts w:ascii="Arial" w:eastAsia="Times New Roman" w:hAnsi="Arial" w:cs="Arial"/>
          <w:color w:val="000000" w:themeColor="text1"/>
          <w:sz w:val="20"/>
          <w:szCs w:val="20"/>
        </w:rPr>
      </w:pPr>
      <w:r w:rsidRPr="003D1614">
        <w:rPr>
          <w:rFonts w:ascii="Arial" w:eastAsia="Times New Roman" w:hAnsi="Arial" w:cs="Arial"/>
          <w:b/>
          <w:color w:val="000000" w:themeColor="text1"/>
          <w:sz w:val="20"/>
          <w:szCs w:val="20"/>
        </w:rPr>
        <w:t xml:space="preserve">Odbor za procjenu i mjerenje kreditnog rizika </w:t>
      </w:r>
      <w:r w:rsidRPr="003D1614">
        <w:rPr>
          <w:rFonts w:ascii="Arial" w:eastAsia="Times New Roman" w:hAnsi="Arial" w:cs="Arial"/>
          <w:color w:val="000000" w:themeColor="text1"/>
          <w:sz w:val="20"/>
          <w:szCs w:val="20"/>
        </w:rPr>
        <w:t>– upravlja kreditnim rizikom u okviru propisanih Kreditnih politika, Pravilnika o upravljanju kreditnim rizikom, metodologija i ostalih internih akata koji obuhvaćaju problematiku vezanu uz kreditni rizik,</w:t>
      </w:r>
    </w:p>
    <w:p w14:paraId="4FB6F1C0" w14:textId="7CB8C989" w:rsidR="00CD630B" w:rsidRPr="009F38FC" w:rsidRDefault="00CD630B" w:rsidP="009F38FC">
      <w:pPr>
        <w:numPr>
          <w:ilvl w:val="0"/>
          <w:numId w:val="9"/>
        </w:numPr>
        <w:suppressAutoHyphens/>
        <w:autoSpaceDN w:val="0"/>
        <w:spacing w:before="120" w:line="300" w:lineRule="exact"/>
        <w:jc w:val="both"/>
        <w:rPr>
          <w:rFonts w:ascii="Arial" w:eastAsia="Times New Roman" w:hAnsi="Arial" w:cs="Arial"/>
          <w:color w:val="000000" w:themeColor="text1"/>
          <w:sz w:val="20"/>
          <w:szCs w:val="20"/>
        </w:rPr>
      </w:pPr>
      <w:r w:rsidRPr="009F38FC">
        <w:rPr>
          <w:rFonts w:ascii="Arial" w:eastAsia="Times New Roman" w:hAnsi="Arial" w:cs="Arial"/>
          <w:b/>
          <w:color w:val="000000" w:themeColor="text1"/>
          <w:sz w:val="20"/>
          <w:szCs w:val="20"/>
        </w:rPr>
        <w:t xml:space="preserve">Odbor za upravljanje informacijskim sustavom HBOR-a </w:t>
      </w:r>
      <w:r w:rsidRPr="00CB08E0">
        <w:rPr>
          <w:rFonts w:ascii="Arial" w:eastAsia="Times New Roman" w:hAnsi="Arial" w:cs="Arial"/>
          <w:color w:val="000000" w:themeColor="text1"/>
          <w:sz w:val="20"/>
          <w:szCs w:val="20"/>
        </w:rPr>
        <w:t>– upravlja resursima informacijskog sustava uz primjereno upravljanje rizicima koji proizlaze iz korištenja informacijske tehnologije</w:t>
      </w:r>
      <w:r w:rsidR="00CB08E0">
        <w:rPr>
          <w:rFonts w:ascii="Arial" w:eastAsia="Times New Roman" w:hAnsi="Arial" w:cs="Arial"/>
          <w:color w:val="000000" w:themeColor="text1"/>
          <w:sz w:val="20"/>
          <w:szCs w:val="20"/>
        </w:rPr>
        <w:t>.</w:t>
      </w:r>
    </w:p>
    <w:p w14:paraId="147736A2" w14:textId="77777777" w:rsidR="00CD630B" w:rsidRPr="003D1614" w:rsidRDefault="00CD630B" w:rsidP="00CD630B">
      <w:pPr>
        <w:suppressAutoHyphens/>
        <w:autoSpaceDN w:val="0"/>
        <w:spacing w:before="120" w:line="300" w:lineRule="exact"/>
        <w:jc w:val="both"/>
        <w:rPr>
          <w:rFonts w:ascii="Arial" w:eastAsia="Times New Roman" w:hAnsi="Arial" w:cs="Arial"/>
          <w:color w:val="000000" w:themeColor="text1"/>
          <w:sz w:val="20"/>
          <w:szCs w:val="20"/>
        </w:rPr>
        <w:sectPr w:rsidR="00CD630B" w:rsidRPr="003D1614">
          <w:pgSz w:w="11906" w:h="16838"/>
          <w:pgMar w:top="1417" w:right="1417" w:bottom="1417" w:left="1417" w:header="708" w:footer="708" w:gutter="0"/>
          <w:cols w:space="708"/>
          <w:docGrid w:linePitch="360"/>
        </w:sectPr>
      </w:pPr>
    </w:p>
    <w:p w14:paraId="438A5E94"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E5B3F84" w14:textId="5A17B2C0" w:rsidR="00CD630B" w:rsidRPr="003D1614" w:rsidRDefault="00CD630B" w:rsidP="00CD630B">
      <w:pPr>
        <w:tabs>
          <w:tab w:val="left" w:pos="567"/>
        </w:tabs>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lang w:eastAsia="hr-HR"/>
        </w:rPr>
        <w:t>2</w:t>
      </w:r>
      <w:r w:rsidR="000E693B">
        <w:rPr>
          <w:rFonts w:ascii="Arial" w:eastAsia="Times New Roman" w:hAnsi="Arial" w:cs="Arial"/>
          <w:b/>
          <w:color w:val="000000" w:themeColor="text1"/>
          <w:sz w:val="20"/>
          <w:szCs w:val="20"/>
          <w:lang w:eastAsia="hr-HR"/>
        </w:rPr>
        <w:t>3</w:t>
      </w:r>
      <w:r w:rsidRPr="003D1614">
        <w:rPr>
          <w:rFonts w:ascii="Arial" w:eastAsia="Times New Roman" w:hAnsi="Arial" w:cs="Arial"/>
          <w:b/>
          <w:color w:val="000000" w:themeColor="text1"/>
          <w:sz w:val="20"/>
          <w:szCs w:val="20"/>
          <w:lang w:eastAsia="hr-HR"/>
        </w:rPr>
        <w:t>.</w:t>
      </w:r>
      <w:r w:rsidRPr="003D1614">
        <w:rPr>
          <w:rFonts w:ascii="Arial" w:eastAsia="Times New Roman" w:hAnsi="Arial" w:cs="Arial"/>
          <w:b/>
          <w:color w:val="000000" w:themeColor="text1"/>
          <w:sz w:val="20"/>
          <w:szCs w:val="20"/>
        </w:rPr>
        <w:tab/>
        <w:t>Upravljanje rizicima (nastavak)</w:t>
      </w:r>
    </w:p>
    <w:p w14:paraId="7DA06611"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0D78A672" w14:textId="2FC9F890" w:rsidR="00CD630B" w:rsidRPr="003D1614" w:rsidRDefault="00CD630B" w:rsidP="00CD630B">
      <w:pPr>
        <w:tabs>
          <w:tab w:val="left" w:pos="567"/>
        </w:tabs>
        <w:suppressAutoHyphens/>
        <w:autoSpaceDN w:val="0"/>
        <w:spacing w:line="300" w:lineRule="exact"/>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.2.</w:t>
      </w:r>
      <w:r w:rsidRPr="003D1614">
        <w:rPr>
          <w:rFonts w:ascii="Arial" w:eastAsia="Times New Roman" w:hAnsi="Arial" w:cs="Arial"/>
          <w:b/>
          <w:color w:val="000000" w:themeColor="text1"/>
          <w:sz w:val="20"/>
          <w:szCs w:val="20"/>
        </w:rPr>
        <w:tab/>
        <w:t>Strategija i sustavi upravljanja rizicima (nastavak)</w:t>
      </w:r>
    </w:p>
    <w:p w14:paraId="483AFB77" w14:textId="77777777" w:rsidR="00CD630B" w:rsidRPr="003D1614" w:rsidRDefault="00CD630B" w:rsidP="00CD630B">
      <w:pPr>
        <w:keepNext/>
        <w:widowControl w:val="0"/>
        <w:tabs>
          <w:tab w:val="left" w:pos="426"/>
        </w:tabs>
        <w:suppressAutoHyphens/>
        <w:autoSpaceDN w:val="0"/>
        <w:spacing w:line="300" w:lineRule="exact"/>
        <w:rPr>
          <w:rFonts w:ascii="Arial" w:eastAsia="Times New Roman" w:hAnsi="Arial" w:cs="Arial"/>
          <w:b/>
          <w:color w:val="000000" w:themeColor="text1"/>
          <w:sz w:val="20"/>
          <w:szCs w:val="20"/>
        </w:rPr>
      </w:pPr>
    </w:p>
    <w:p w14:paraId="2F9C08C2" w14:textId="19CDECFC" w:rsidR="00CD630B" w:rsidRPr="003D1614" w:rsidRDefault="00CD630B" w:rsidP="00CD630B">
      <w:pPr>
        <w:keepNext/>
        <w:widowControl w:val="0"/>
        <w:tabs>
          <w:tab w:val="left" w:pos="426"/>
        </w:tabs>
        <w:suppressAutoHyphens/>
        <w:autoSpaceDN w:val="0"/>
        <w:spacing w:line="300" w:lineRule="exact"/>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Sektor upravljanja rizicima</w:t>
      </w:r>
    </w:p>
    <w:p w14:paraId="1008B586"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39288E40"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Sektor upravljanja rizicima je stalna funkcija kontrole rizika, funkcionalno i organizacijski neovisna o poslovnim procesima i aktivnostima u kojima rizik nastaje odnosno koje prati i nadzire. Odgovoran je za kontrolu, utvrđivanje, mjerenje odnosno procjenu i nadzor rizika kojima je HBOR u svom poslovanju izložen ili bi mogao biti izložen.</w:t>
      </w:r>
    </w:p>
    <w:p w14:paraId="63E60C68"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0B76E5D9"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Svoju funkciju Sektor upravljanja rizicima ostvaruje analizom te procjenom, odnosno mjerenjem rizika, razvojem pravilnika, politika i metodologija za upravljanje rizicima, nadzorom i praćenjem njihove primjene, predlaganjem i kontrolom poštivanja usvojenih limita izloženosti, davanjem prijedloga i preporuka za primjereno upravljanje rizicima te izvješćivanjem nadležnih tijela. </w:t>
      </w:r>
    </w:p>
    <w:p w14:paraId="6B5C772B"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31DC85D9" w14:textId="533673D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Strategija upravljanja rizicima usmjerena je prema postizanju i održavanju kvalitetnog i učinkovitog sustava upravljanja rizicima, na daljnji razvoj i unapređenje tog sustava u smjeru usklađenja s bankovnom regulativom te relevantnim preporukama i smjernicama, uvažavajući specifičnosti HBOR-a kao razvojne i izvozne banke i posebne financijske institucije</w:t>
      </w:r>
    </w:p>
    <w:p w14:paraId="6A3B774B"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065C5B15" w14:textId="77777777" w:rsidR="00CD630B" w:rsidRPr="003D1614" w:rsidRDefault="00CD630B" w:rsidP="00CD630B">
      <w:pPr>
        <w:keepNext/>
        <w:widowControl w:val="0"/>
        <w:tabs>
          <w:tab w:val="left" w:pos="426"/>
        </w:tabs>
        <w:suppressAutoHyphens/>
        <w:autoSpaceDN w:val="0"/>
        <w:spacing w:line="300" w:lineRule="exact"/>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Mjerenje rizika i sustavi izvješćivanja</w:t>
      </w:r>
    </w:p>
    <w:p w14:paraId="201ED826" w14:textId="77777777" w:rsidR="00CD630B" w:rsidRPr="003D1614" w:rsidRDefault="00CD630B" w:rsidP="00CD630B">
      <w:pPr>
        <w:keepNext/>
        <w:widowControl w:val="0"/>
        <w:tabs>
          <w:tab w:val="left" w:pos="426"/>
        </w:tabs>
        <w:suppressAutoHyphens/>
        <w:autoSpaceDN w:val="0"/>
        <w:spacing w:line="300" w:lineRule="exact"/>
        <w:rPr>
          <w:rFonts w:ascii="Arial" w:eastAsia="Times New Roman" w:hAnsi="Arial" w:cs="Arial"/>
          <w:b/>
          <w:color w:val="000000" w:themeColor="text1"/>
          <w:sz w:val="20"/>
          <w:szCs w:val="20"/>
        </w:rPr>
      </w:pPr>
    </w:p>
    <w:p w14:paraId="5A56E107"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 procjeni, odnosno mjerenju rizika uvažavaju se povijesni podaci, planovi poslovanja, trenutni i očekivani tržišni uvjeti te specifičnosti Banke kao posebne financijske institucije.</w:t>
      </w:r>
    </w:p>
    <w:p w14:paraId="52039E5C"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6FDF20F0"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Rezultati procjene odnosno mjerenja, provedenih analiza te testiranja otpornosti na stres izlažu se na sjednicama odbora za upravljanje rizicima i Uprave. U svrhu praćenja i kontrole rizika utvrđeni su sustavi limita za upravljanje kreditnim rizikom, rizikom likvidnosti, kamatnim rizikom i valutnim rizikom. </w:t>
      </w:r>
    </w:p>
    <w:p w14:paraId="5DFF7825"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CB0FF15" w14:textId="76F93778"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Nadležna tijela sustavno se izvještava o: kvaliteti kreditnog portfelja, velikoj izloženosti i najvišoj dopuštenoj izloženosti, adekvatnosti kapitala, naplati potraživanja i rizičnih plasmana, promjenama internih rejtinga poslovnih banaka i poduzetim aktivnostima u slučaju njihova pogoršanja, nizu pokazatelja stanja i projekcija likvidnosti, projekcijama otvorenosti devizne pozicije, utjecaju promjena deviznih tečajeva i kamatnih stopa na rezultat poslovanja, kamatnom jazu, </w:t>
      </w:r>
      <w:bookmarkStart w:id="589" w:name="_Hlk135055819"/>
      <w:r w:rsidR="00D46535">
        <w:rPr>
          <w:rFonts w:ascii="Arial" w:eastAsia="Times New Roman" w:hAnsi="Arial" w:cs="Arial"/>
          <w:color w:val="000000" w:themeColor="text1"/>
          <w:sz w:val="20"/>
          <w:szCs w:val="20"/>
        </w:rPr>
        <w:t xml:space="preserve">ekonomskoj vrijednosti knjige Banke, </w:t>
      </w:r>
      <w:bookmarkEnd w:id="589"/>
      <w:r w:rsidRPr="003D1614">
        <w:rPr>
          <w:rFonts w:ascii="Arial" w:eastAsia="Times New Roman" w:hAnsi="Arial" w:cs="Arial"/>
          <w:color w:val="000000" w:themeColor="text1"/>
          <w:sz w:val="20"/>
          <w:szCs w:val="20"/>
        </w:rPr>
        <w:t>projekcijama prosječnih ponderiranih kamatnih stopa na izvore i plasmane financijskih institucija i sl. Dinamika izvještavanja te metodologije mjerenja i procjene rizika propisani su internim aktima Banke.</w:t>
      </w:r>
    </w:p>
    <w:p w14:paraId="790259C9"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60E3A253"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sectPr w:rsidR="00CD630B" w:rsidRPr="003D1614">
          <w:pgSz w:w="11906" w:h="16838"/>
          <w:pgMar w:top="1417" w:right="1417" w:bottom="1417" w:left="1417" w:header="708" w:footer="708" w:gutter="0"/>
          <w:cols w:space="708"/>
          <w:docGrid w:linePitch="360"/>
        </w:sectPr>
      </w:pPr>
    </w:p>
    <w:p w14:paraId="49E34B6A"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FD0FD39" w14:textId="3BB421EE" w:rsidR="00CD630B" w:rsidRPr="003D1614" w:rsidRDefault="00CD630B" w:rsidP="00CD630B">
      <w:pPr>
        <w:tabs>
          <w:tab w:val="left" w:pos="567"/>
        </w:tabs>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lang w:eastAsia="hr-HR"/>
        </w:rPr>
        <w:t>2</w:t>
      </w:r>
      <w:r w:rsidR="000E693B">
        <w:rPr>
          <w:rFonts w:ascii="Arial" w:eastAsia="Times New Roman" w:hAnsi="Arial" w:cs="Arial"/>
          <w:b/>
          <w:color w:val="000000" w:themeColor="text1"/>
          <w:sz w:val="20"/>
          <w:szCs w:val="20"/>
          <w:lang w:eastAsia="hr-HR"/>
        </w:rPr>
        <w:t>3</w:t>
      </w:r>
      <w:r w:rsidRPr="003D1614">
        <w:rPr>
          <w:rFonts w:ascii="Arial" w:eastAsia="Times New Roman" w:hAnsi="Arial" w:cs="Arial"/>
          <w:b/>
          <w:color w:val="000000" w:themeColor="text1"/>
          <w:sz w:val="20"/>
          <w:szCs w:val="20"/>
          <w:lang w:eastAsia="hr-HR"/>
        </w:rPr>
        <w:t>.</w:t>
      </w:r>
      <w:r w:rsidRPr="003D1614">
        <w:rPr>
          <w:rFonts w:ascii="Arial" w:eastAsia="Times New Roman" w:hAnsi="Arial" w:cs="Arial"/>
          <w:b/>
          <w:color w:val="000000" w:themeColor="text1"/>
          <w:sz w:val="20"/>
          <w:szCs w:val="20"/>
        </w:rPr>
        <w:tab/>
        <w:t>Upravljanje rizicima (nastavak)</w:t>
      </w:r>
    </w:p>
    <w:p w14:paraId="7F8F33C4"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85D4444" w14:textId="2777E28C" w:rsidR="00CD630B" w:rsidRPr="003D1614" w:rsidRDefault="00CD630B" w:rsidP="00CD630B">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 xml:space="preserve">Kreditni rizik </w:t>
      </w:r>
    </w:p>
    <w:p w14:paraId="1D10BA46"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5C6D38B"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Banka kontrolira kreditni rizik putem kreditnih politika o upravljanju ovim rizikom u kojima su utvrđeni sustavi unutarnjih kontrola s ciljem preventivnog djelovanja na rizik.</w:t>
      </w:r>
    </w:p>
    <w:p w14:paraId="57AE333E"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50F0B0C2"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Sustav upravljanja kreditnim rizikom čini najvažniji dio poslovne politike Banke i bitan je činitelj njezine strategije poslovanja, zbog čega je ovo područje regulirano Politikom o upravljanju kreditnim rizikom i Pravilnikom o upravljanju kreditnim rizikom, koji se primjenjuje na sve faze kreditnog procesa (od razvoja novih bankarskih proizvoda, odnosno od zahtjeva za kredit, praćenja poslovanja klijenta do konačne otplate kredita). </w:t>
      </w:r>
    </w:p>
    <w:p w14:paraId="3CB9D725"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407F8A05"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Uz Politiku i Pravilnik o upravljanju kreditnim rizikom propisane su metodologije kao zasebni interni akti namijenjeni ocjeni poslovanja različitih ciljanih skupina klijenata.</w:t>
      </w:r>
    </w:p>
    <w:p w14:paraId="77DECB03"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75EE503E" w14:textId="2D86B694" w:rsidR="00CD630B" w:rsidRPr="003D1614" w:rsidRDefault="00CD630B" w:rsidP="005D1219">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 slučaju izravnog kreditiranja, za ocjenjivanje kreditne sposobnosti koristi se Metodologija za ocjenu kreditnog rizika </w:t>
      </w:r>
      <w:r w:rsidR="006658CB">
        <w:rPr>
          <w:rFonts w:ascii="Arial" w:eastAsia="Times New Roman" w:hAnsi="Arial" w:cs="Arial"/>
          <w:color w:val="000000" w:themeColor="text1"/>
          <w:sz w:val="20"/>
          <w:szCs w:val="20"/>
        </w:rPr>
        <w:t>koja se sastoji od:</w:t>
      </w:r>
    </w:p>
    <w:p w14:paraId="7F7F8C4A" w14:textId="77777777" w:rsidR="00AB5312" w:rsidRPr="006B630F" w:rsidRDefault="00AB5312" w:rsidP="00AB5312">
      <w:pPr>
        <w:numPr>
          <w:ilvl w:val="0"/>
          <w:numId w:val="10"/>
        </w:numPr>
        <w:suppressAutoHyphens/>
        <w:autoSpaceDN w:val="0"/>
        <w:ind w:left="567" w:hanging="283"/>
        <w:contextualSpacing/>
        <w:jc w:val="both"/>
        <w:rPr>
          <w:rFonts w:ascii="Arial" w:eastAsia="Times New Roman" w:hAnsi="Arial" w:cs="Arial"/>
          <w:color w:val="000000" w:themeColor="text1"/>
          <w:sz w:val="20"/>
          <w:szCs w:val="20"/>
        </w:rPr>
      </w:pPr>
      <w:r w:rsidRPr="006B630F">
        <w:rPr>
          <w:rFonts w:ascii="Arial" w:eastAsia="Times New Roman" w:hAnsi="Arial" w:cs="Arial"/>
          <w:color w:val="000000" w:themeColor="text1"/>
          <w:sz w:val="20"/>
          <w:szCs w:val="20"/>
        </w:rPr>
        <w:t xml:space="preserve">Metodologije za ocjenu kreditnog rejtinga trgovačkih društava, </w:t>
      </w:r>
    </w:p>
    <w:p w14:paraId="5B35FEEC" w14:textId="77777777" w:rsidR="00AB5312" w:rsidRPr="006B630F" w:rsidRDefault="00AB5312" w:rsidP="00AB5312">
      <w:pPr>
        <w:numPr>
          <w:ilvl w:val="0"/>
          <w:numId w:val="10"/>
        </w:numPr>
        <w:suppressAutoHyphens/>
        <w:autoSpaceDN w:val="0"/>
        <w:ind w:left="567" w:hanging="283"/>
        <w:contextualSpacing/>
        <w:jc w:val="both"/>
        <w:rPr>
          <w:rFonts w:ascii="Arial" w:eastAsia="Times New Roman" w:hAnsi="Arial" w:cs="Arial"/>
          <w:color w:val="000000" w:themeColor="text1"/>
          <w:sz w:val="20"/>
          <w:szCs w:val="20"/>
        </w:rPr>
      </w:pPr>
      <w:r w:rsidRPr="006B630F">
        <w:rPr>
          <w:rFonts w:ascii="Arial" w:eastAsia="Times New Roman" w:hAnsi="Arial" w:cs="Arial"/>
          <w:color w:val="000000" w:themeColor="text1"/>
          <w:sz w:val="20"/>
          <w:szCs w:val="20"/>
        </w:rPr>
        <w:t xml:space="preserve">Metodologije za ocjenu poslovanja klijenata koji poslovne knjige vode po Zakonu o porezu na dohodak, </w:t>
      </w:r>
    </w:p>
    <w:p w14:paraId="4181904E" w14:textId="77777777" w:rsidR="00AB5312" w:rsidRPr="006B630F" w:rsidRDefault="00AB5312" w:rsidP="00AB5312">
      <w:pPr>
        <w:numPr>
          <w:ilvl w:val="0"/>
          <w:numId w:val="10"/>
        </w:numPr>
        <w:suppressAutoHyphens/>
        <w:autoSpaceDN w:val="0"/>
        <w:ind w:left="567" w:hanging="283"/>
        <w:contextualSpacing/>
        <w:jc w:val="both"/>
        <w:rPr>
          <w:rFonts w:ascii="Arial" w:eastAsia="Times New Roman" w:hAnsi="Arial" w:cs="Arial"/>
          <w:color w:val="000000" w:themeColor="text1"/>
          <w:sz w:val="20"/>
          <w:szCs w:val="20"/>
        </w:rPr>
      </w:pPr>
      <w:r w:rsidRPr="006B630F">
        <w:rPr>
          <w:rFonts w:ascii="Arial" w:eastAsia="Times New Roman" w:hAnsi="Arial" w:cs="Arial"/>
          <w:color w:val="000000" w:themeColor="text1"/>
          <w:sz w:val="20"/>
          <w:szCs w:val="20"/>
        </w:rPr>
        <w:t xml:space="preserve">Metodologije kreditnog bodovanja, </w:t>
      </w:r>
    </w:p>
    <w:p w14:paraId="2289E1BF" w14:textId="77777777" w:rsidR="00AB5312" w:rsidRPr="006B630F" w:rsidRDefault="00AB5312" w:rsidP="00AB5312">
      <w:pPr>
        <w:numPr>
          <w:ilvl w:val="0"/>
          <w:numId w:val="10"/>
        </w:numPr>
        <w:suppressAutoHyphens/>
        <w:autoSpaceDN w:val="0"/>
        <w:ind w:left="567" w:hanging="283"/>
        <w:contextualSpacing/>
        <w:jc w:val="both"/>
        <w:rPr>
          <w:rFonts w:ascii="Arial" w:eastAsia="Times New Roman" w:hAnsi="Arial" w:cs="Arial"/>
          <w:color w:val="000000" w:themeColor="text1"/>
          <w:sz w:val="20"/>
          <w:szCs w:val="20"/>
        </w:rPr>
      </w:pPr>
      <w:r w:rsidRPr="006B630F">
        <w:rPr>
          <w:rFonts w:ascii="Arial" w:eastAsia="Times New Roman" w:hAnsi="Arial" w:cs="Arial"/>
          <w:color w:val="000000" w:themeColor="text1"/>
          <w:sz w:val="20"/>
          <w:szCs w:val="20"/>
        </w:rPr>
        <w:t xml:space="preserve">Metodologije za projektno financiranje, </w:t>
      </w:r>
    </w:p>
    <w:p w14:paraId="1EA614F6" w14:textId="77777777" w:rsidR="00AB5312" w:rsidRPr="006B630F" w:rsidRDefault="00AB5312" w:rsidP="00AB5312">
      <w:pPr>
        <w:numPr>
          <w:ilvl w:val="0"/>
          <w:numId w:val="10"/>
        </w:numPr>
        <w:suppressAutoHyphens/>
        <w:autoSpaceDN w:val="0"/>
        <w:ind w:left="567" w:hanging="283"/>
        <w:contextualSpacing/>
        <w:jc w:val="both"/>
        <w:rPr>
          <w:rFonts w:ascii="Arial" w:eastAsia="Times New Roman" w:hAnsi="Arial" w:cs="Arial"/>
          <w:color w:val="000000" w:themeColor="text1"/>
          <w:sz w:val="20"/>
          <w:szCs w:val="20"/>
        </w:rPr>
      </w:pPr>
      <w:r w:rsidRPr="006B630F">
        <w:rPr>
          <w:rFonts w:ascii="Arial" w:eastAsia="Times New Roman" w:hAnsi="Arial" w:cs="Arial"/>
          <w:color w:val="000000" w:themeColor="text1"/>
          <w:sz w:val="20"/>
          <w:szCs w:val="20"/>
        </w:rPr>
        <w:t xml:space="preserve">Metodologije za ocjenu rizičnosti grana djelatnosti i, </w:t>
      </w:r>
    </w:p>
    <w:p w14:paraId="647EDA29" w14:textId="77777777" w:rsidR="00AB5312" w:rsidRDefault="00AB5312" w:rsidP="00AB5312">
      <w:pPr>
        <w:numPr>
          <w:ilvl w:val="0"/>
          <w:numId w:val="10"/>
        </w:numPr>
        <w:suppressAutoHyphens/>
        <w:autoSpaceDN w:val="0"/>
        <w:ind w:left="567" w:hanging="283"/>
        <w:contextualSpacing/>
        <w:jc w:val="both"/>
        <w:rPr>
          <w:rFonts w:ascii="Arial" w:eastAsia="Times New Roman" w:hAnsi="Arial" w:cs="Arial"/>
          <w:color w:val="000000" w:themeColor="text1"/>
          <w:sz w:val="20"/>
          <w:szCs w:val="20"/>
        </w:rPr>
      </w:pPr>
      <w:r w:rsidRPr="006B630F">
        <w:rPr>
          <w:rFonts w:ascii="Arial" w:eastAsia="Times New Roman" w:hAnsi="Arial" w:cs="Arial"/>
          <w:color w:val="000000" w:themeColor="text1"/>
          <w:sz w:val="20"/>
          <w:szCs w:val="20"/>
        </w:rPr>
        <w:t>Metodologije za ocjenu instrumenata osiguranja</w:t>
      </w:r>
      <w:r>
        <w:rPr>
          <w:rFonts w:ascii="Arial" w:eastAsia="Times New Roman" w:hAnsi="Arial" w:cs="Arial"/>
          <w:color w:val="000000" w:themeColor="text1"/>
          <w:sz w:val="20"/>
          <w:szCs w:val="20"/>
        </w:rPr>
        <w:t>.</w:t>
      </w:r>
    </w:p>
    <w:p w14:paraId="71844AF5" w14:textId="77777777" w:rsidR="00AB5312" w:rsidRDefault="00AB5312" w:rsidP="00AB5312">
      <w:pPr>
        <w:suppressAutoHyphens/>
        <w:autoSpaceDN w:val="0"/>
        <w:ind w:left="567"/>
        <w:contextualSpacing/>
        <w:jc w:val="both"/>
        <w:rPr>
          <w:rFonts w:ascii="Arial" w:eastAsia="Times New Roman" w:hAnsi="Arial" w:cs="Arial"/>
          <w:color w:val="000000" w:themeColor="text1"/>
          <w:sz w:val="20"/>
          <w:szCs w:val="20"/>
        </w:rPr>
      </w:pPr>
    </w:p>
    <w:p w14:paraId="7B3C80B4" w14:textId="77777777" w:rsidR="00AB5312" w:rsidRDefault="00AB5312" w:rsidP="00AB5312">
      <w:pPr>
        <w:tabs>
          <w:tab w:val="left" w:pos="778"/>
        </w:tabs>
        <w:suppressAutoHyphens/>
        <w:autoSpaceDN w:val="0"/>
        <w:jc w:val="both"/>
        <w:rPr>
          <w:rFonts w:ascii="Arial" w:eastAsia="Times New Roman" w:hAnsi="Arial" w:cs="Arial"/>
          <w:color w:val="000000" w:themeColor="text1"/>
          <w:sz w:val="20"/>
          <w:szCs w:val="20"/>
        </w:rPr>
      </w:pPr>
      <w:r w:rsidRPr="006B630F">
        <w:rPr>
          <w:rFonts w:ascii="Arial" w:eastAsia="Times New Roman" w:hAnsi="Arial" w:cs="Arial"/>
          <w:color w:val="000000" w:themeColor="text1"/>
          <w:sz w:val="20"/>
          <w:szCs w:val="20"/>
        </w:rPr>
        <w:t>Metodologij</w:t>
      </w:r>
      <w:r>
        <w:rPr>
          <w:rFonts w:ascii="Arial" w:eastAsia="Times New Roman" w:hAnsi="Arial" w:cs="Arial"/>
          <w:color w:val="000000" w:themeColor="text1"/>
          <w:sz w:val="20"/>
          <w:szCs w:val="20"/>
        </w:rPr>
        <w:t>a</w:t>
      </w:r>
      <w:r w:rsidRPr="006B630F">
        <w:rPr>
          <w:rFonts w:ascii="Arial" w:eastAsia="Times New Roman" w:hAnsi="Arial" w:cs="Arial"/>
          <w:color w:val="000000" w:themeColor="text1"/>
          <w:sz w:val="20"/>
          <w:szCs w:val="20"/>
        </w:rPr>
        <w:t xml:space="preserve"> za ocjenu kreditnog rejtinga trgovačkih društava</w:t>
      </w:r>
      <w:r>
        <w:rPr>
          <w:rFonts w:ascii="Arial" w:eastAsia="Times New Roman" w:hAnsi="Arial" w:cs="Arial"/>
          <w:color w:val="000000" w:themeColor="text1"/>
          <w:sz w:val="20"/>
          <w:szCs w:val="20"/>
        </w:rPr>
        <w:t xml:space="preserve"> </w:t>
      </w:r>
      <w:r w:rsidRPr="007A7E34">
        <w:rPr>
          <w:rFonts w:ascii="Arial" w:eastAsia="Times New Roman" w:hAnsi="Arial" w:cs="Arial"/>
          <w:color w:val="000000" w:themeColor="text1"/>
          <w:sz w:val="20"/>
          <w:szCs w:val="20"/>
        </w:rPr>
        <w:t>se sastoji od tri modela za ocjenu kreditnog rizika klijenta temeljenoj na veličini klijenta i njegovog postojećeg poslovanja</w:t>
      </w:r>
      <w:r>
        <w:rPr>
          <w:rFonts w:ascii="Arial" w:eastAsia="Times New Roman" w:hAnsi="Arial" w:cs="Arial"/>
          <w:color w:val="000000" w:themeColor="text1"/>
          <w:sz w:val="20"/>
          <w:szCs w:val="20"/>
        </w:rPr>
        <w:t xml:space="preserve">, a </w:t>
      </w:r>
      <w:r w:rsidRPr="007A7E34">
        <w:rPr>
          <w:rFonts w:ascii="Arial" w:eastAsia="Times New Roman" w:hAnsi="Arial" w:cs="Arial"/>
          <w:color w:val="000000" w:themeColor="text1"/>
          <w:sz w:val="20"/>
          <w:szCs w:val="20"/>
        </w:rPr>
        <w:t xml:space="preserve">Metodologija za ocjenu poslovanja klijenata koji poslovne knjige vode po Zakonu o porezu na dohodak se koristi za ocjenu kreditnog rizika obrtnika, poljoprivrednika, slobodnih zanimanja i sl., </w:t>
      </w:r>
      <w:r>
        <w:rPr>
          <w:rFonts w:ascii="Arial" w:eastAsia="Times New Roman" w:hAnsi="Arial" w:cs="Arial"/>
          <w:color w:val="000000" w:themeColor="text1"/>
          <w:sz w:val="20"/>
          <w:szCs w:val="20"/>
        </w:rPr>
        <w:t xml:space="preserve">također </w:t>
      </w:r>
      <w:r w:rsidRPr="007A7E34">
        <w:rPr>
          <w:rFonts w:ascii="Arial" w:eastAsia="Times New Roman" w:hAnsi="Arial" w:cs="Arial"/>
          <w:color w:val="000000" w:themeColor="text1"/>
          <w:sz w:val="20"/>
          <w:szCs w:val="20"/>
        </w:rPr>
        <w:t>temeljem njihovog postojećeg poslovanja</w:t>
      </w:r>
      <w:r>
        <w:rPr>
          <w:rFonts w:ascii="Arial" w:eastAsia="Times New Roman" w:hAnsi="Arial" w:cs="Arial"/>
          <w:color w:val="000000" w:themeColor="text1"/>
          <w:sz w:val="20"/>
          <w:szCs w:val="20"/>
        </w:rPr>
        <w:t>.</w:t>
      </w:r>
    </w:p>
    <w:p w14:paraId="0C979899" w14:textId="77777777" w:rsidR="00CD630B" w:rsidRPr="003D1614" w:rsidRDefault="00CD630B" w:rsidP="00CD630B">
      <w:pPr>
        <w:tabs>
          <w:tab w:val="left" w:pos="567"/>
        </w:tabs>
        <w:suppressAutoHyphens/>
        <w:autoSpaceDN w:val="0"/>
        <w:spacing w:line="300" w:lineRule="exact"/>
        <w:rPr>
          <w:rFonts w:ascii="Arial" w:eastAsia="Calibri" w:hAnsi="Arial" w:cs="Arial"/>
          <w:b/>
          <w:color w:val="000000" w:themeColor="text1"/>
          <w:sz w:val="20"/>
          <w:szCs w:val="20"/>
        </w:rPr>
      </w:pPr>
    </w:p>
    <w:p w14:paraId="79AE88E4" w14:textId="77777777" w:rsidR="00CD630B" w:rsidRPr="003D1614" w:rsidRDefault="00CD630B" w:rsidP="00CD630B">
      <w:pPr>
        <w:suppressAutoHyphens/>
        <w:autoSpaceDN w:val="0"/>
        <w:jc w:val="both"/>
        <w:rPr>
          <w:rFonts w:ascii="Arial" w:eastAsia="Calibri" w:hAnsi="Arial" w:cs="Arial"/>
          <w:b/>
          <w:bCs/>
          <w:color w:val="000000" w:themeColor="text1"/>
          <w:spacing w:val="-3"/>
          <w:sz w:val="20"/>
          <w:szCs w:val="20"/>
        </w:rPr>
      </w:pPr>
    </w:p>
    <w:p w14:paraId="7E76F236" w14:textId="77777777" w:rsidR="007D4BBB" w:rsidRDefault="007D4BBB" w:rsidP="008B473B">
      <w:pPr>
        <w:suppressAutoHyphens/>
        <w:autoSpaceDN w:val="0"/>
        <w:jc w:val="both"/>
        <w:rPr>
          <w:rFonts w:ascii="Arial" w:eastAsia="Times New Roman" w:hAnsi="Arial" w:cs="Arial"/>
          <w:color w:val="000000" w:themeColor="text1"/>
          <w:sz w:val="20"/>
          <w:szCs w:val="20"/>
        </w:rPr>
      </w:pPr>
    </w:p>
    <w:p w14:paraId="3B735C73" w14:textId="77777777" w:rsidR="007D4BBB" w:rsidRDefault="007D4BBB" w:rsidP="008B473B">
      <w:pPr>
        <w:suppressAutoHyphens/>
        <w:autoSpaceDN w:val="0"/>
        <w:jc w:val="both"/>
        <w:rPr>
          <w:rFonts w:ascii="Arial" w:eastAsia="Times New Roman" w:hAnsi="Arial" w:cs="Arial"/>
          <w:color w:val="000000" w:themeColor="text1"/>
          <w:sz w:val="20"/>
          <w:szCs w:val="20"/>
        </w:rPr>
      </w:pPr>
    </w:p>
    <w:p w14:paraId="691F7706" w14:textId="77777777" w:rsidR="007D4BBB" w:rsidRDefault="007D4BBB" w:rsidP="008B473B">
      <w:pPr>
        <w:suppressAutoHyphens/>
        <w:autoSpaceDN w:val="0"/>
        <w:jc w:val="both"/>
        <w:rPr>
          <w:rFonts w:ascii="Arial" w:eastAsia="Times New Roman" w:hAnsi="Arial" w:cs="Arial"/>
          <w:color w:val="000000" w:themeColor="text1"/>
          <w:sz w:val="20"/>
          <w:szCs w:val="20"/>
        </w:rPr>
      </w:pPr>
    </w:p>
    <w:p w14:paraId="0BB36B99" w14:textId="77777777" w:rsidR="007D4BBB" w:rsidRDefault="007D4BBB" w:rsidP="008B473B">
      <w:pPr>
        <w:suppressAutoHyphens/>
        <w:autoSpaceDN w:val="0"/>
        <w:jc w:val="both"/>
        <w:rPr>
          <w:rFonts w:ascii="Arial" w:eastAsia="Times New Roman" w:hAnsi="Arial" w:cs="Arial"/>
          <w:color w:val="000000" w:themeColor="text1"/>
          <w:sz w:val="20"/>
          <w:szCs w:val="20"/>
        </w:rPr>
      </w:pPr>
    </w:p>
    <w:p w14:paraId="3C150D80" w14:textId="77777777" w:rsidR="007D4BBB" w:rsidRDefault="007D4BBB" w:rsidP="008B473B">
      <w:pPr>
        <w:suppressAutoHyphens/>
        <w:autoSpaceDN w:val="0"/>
        <w:jc w:val="both"/>
        <w:rPr>
          <w:rFonts w:ascii="Arial" w:eastAsia="Times New Roman" w:hAnsi="Arial" w:cs="Arial"/>
          <w:color w:val="000000" w:themeColor="text1"/>
          <w:sz w:val="20"/>
          <w:szCs w:val="20"/>
        </w:rPr>
      </w:pPr>
    </w:p>
    <w:p w14:paraId="20F5F950" w14:textId="77777777" w:rsidR="007D4BBB" w:rsidRDefault="007D4BBB" w:rsidP="008B473B">
      <w:pPr>
        <w:suppressAutoHyphens/>
        <w:autoSpaceDN w:val="0"/>
        <w:jc w:val="both"/>
        <w:rPr>
          <w:rFonts w:ascii="Arial" w:eastAsia="Times New Roman" w:hAnsi="Arial" w:cs="Arial"/>
          <w:color w:val="000000" w:themeColor="text1"/>
          <w:sz w:val="20"/>
          <w:szCs w:val="20"/>
        </w:rPr>
      </w:pPr>
    </w:p>
    <w:p w14:paraId="630E78AD" w14:textId="77777777" w:rsidR="007D4BBB" w:rsidRDefault="007D4BBB" w:rsidP="008B473B">
      <w:pPr>
        <w:suppressAutoHyphens/>
        <w:autoSpaceDN w:val="0"/>
        <w:jc w:val="both"/>
        <w:rPr>
          <w:rFonts w:ascii="Arial" w:eastAsia="Times New Roman" w:hAnsi="Arial" w:cs="Arial"/>
          <w:color w:val="000000" w:themeColor="text1"/>
          <w:sz w:val="20"/>
          <w:szCs w:val="20"/>
        </w:rPr>
      </w:pPr>
    </w:p>
    <w:p w14:paraId="38B1BF4C" w14:textId="77777777" w:rsidR="007D4BBB" w:rsidRDefault="007D4BBB" w:rsidP="008B473B">
      <w:pPr>
        <w:suppressAutoHyphens/>
        <w:autoSpaceDN w:val="0"/>
        <w:jc w:val="both"/>
        <w:rPr>
          <w:rFonts w:ascii="Arial" w:eastAsia="Times New Roman" w:hAnsi="Arial" w:cs="Arial"/>
          <w:color w:val="000000" w:themeColor="text1"/>
          <w:sz w:val="20"/>
          <w:szCs w:val="20"/>
        </w:rPr>
      </w:pPr>
    </w:p>
    <w:p w14:paraId="495B7B28" w14:textId="77777777" w:rsidR="007D4BBB" w:rsidRDefault="007D4BBB" w:rsidP="008B473B">
      <w:pPr>
        <w:suppressAutoHyphens/>
        <w:autoSpaceDN w:val="0"/>
        <w:jc w:val="both"/>
        <w:rPr>
          <w:rFonts w:ascii="Arial" w:eastAsia="Times New Roman" w:hAnsi="Arial" w:cs="Arial"/>
          <w:color w:val="000000" w:themeColor="text1"/>
          <w:sz w:val="20"/>
          <w:szCs w:val="20"/>
        </w:rPr>
      </w:pPr>
    </w:p>
    <w:p w14:paraId="26CE005B" w14:textId="77777777" w:rsidR="007D4BBB" w:rsidRDefault="007D4BBB" w:rsidP="008B473B">
      <w:pPr>
        <w:suppressAutoHyphens/>
        <w:autoSpaceDN w:val="0"/>
        <w:jc w:val="both"/>
        <w:rPr>
          <w:rFonts w:ascii="Arial" w:eastAsia="Times New Roman" w:hAnsi="Arial" w:cs="Arial"/>
          <w:color w:val="000000" w:themeColor="text1"/>
          <w:sz w:val="20"/>
          <w:szCs w:val="20"/>
        </w:rPr>
      </w:pPr>
    </w:p>
    <w:p w14:paraId="6C4B3F62" w14:textId="77777777" w:rsidR="007D4BBB" w:rsidRDefault="007D4BBB" w:rsidP="008B473B">
      <w:pPr>
        <w:suppressAutoHyphens/>
        <w:autoSpaceDN w:val="0"/>
        <w:jc w:val="both"/>
        <w:rPr>
          <w:rFonts w:ascii="Arial" w:eastAsia="Times New Roman" w:hAnsi="Arial" w:cs="Arial"/>
          <w:color w:val="000000" w:themeColor="text1"/>
          <w:sz w:val="20"/>
          <w:szCs w:val="20"/>
        </w:rPr>
      </w:pPr>
    </w:p>
    <w:p w14:paraId="25D73A11" w14:textId="77777777" w:rsidR="007D4BBB" w:rsidRDefault="007D4BBB" w:rsidP="008B473B">
      <w:pPr>
        <w:suppressAutoHyphens/>
        <w:autoSpaceDN w:val="0"/>
        <w:jc w:val="both"/>
        <w:rPr>
          <w:rFonts w:ascii="Arial" w:eastAsia="Times New Roman" w:hAnsi="Arial" w:cs="Arial"/>
          <w:color w:val="000000" w:themeColor="text1"/>
          <w:sz w:val="20"/>
          <w:szCs w:val="20"/>
        </w:rPr>
      </w:pPr>
    </w:p>
    <w:p w14:paraId="1919B454" w14:textId="77777777" w:rsidR="007D4BBB" w:rsidRDefault="007D4BBB" w:rsidP="008B473B">
      <w:pPr>
        <w:suppressAutoHyphens/>
        <w:autoSpaceDN w:val="0"/>
        <w:jc w:val="both"/>
        <w:rPr>
          <w:rFonts w:ascii="Arial" w:eastAsia="Times New Roman" w:hAnsi="Arial" w:cs="Arial"/>
          <w:color w:val="000000" w:themeColor="text1"/>
          <w:sz w:val="20"/>
          <w:szCs w:val="20"/>
        </w:rPr>
      </w:pPr>
    </w:p>
    <w:p w14:paraId="30E008B6" w14:textId="77777777" w:rsidR="007D4BBB" w:rsidRDefault="007D4BBB" w:rsidP="008B473B">
      <w:pPr>
        <w:suppressAutoHyphens/>
        <w:autoSpaceDN w:val="0"/>
        <w:jc w:val="both"/>
        <w:rPr>
          <w:rFonts w:ascii="Arial" w:eastAsia="Times New Roman" w:hAnsi="Arial" w:cs="Arial"/>
          <w:color w:val="000000" w:themeColor="text1"/>
          <w:sz w:val="20"/>
          <w:szCs w:val="20"/>
        </w:rPr>
      </w:pPr>
    </w:p>
    <w:p w14:paraId="2A443E27" w14:textId="77777777" w:rsidR="007D4BBB" w:rsidRDefault="007D4BBB" w:rsidP="008B473B">
      <w:pPr>
        <w:suppressAutoHyphens/>
        <w:autoSpaceDN w:val="0"/>
        <w:jc w:val="both"/>
        <w:rPr>
          <w:rFonts w:ascii="Arial" w:eastAsia="Times New Roman" w:hAnsi="Arial" w:cs="Arial"/>
          <w:color w:val="000000" w:themeColor="text1"/>
          <w:sz w:val="20"/>
          <w:szCs w:val="20"/>
        </w:rPr>
      </w:pPr>
    </w:p>
    <w:p w14:paraId="08D56AF7" w14:textId="77777777" w:rsidR="007D4BBB" w:rsidRDefault="007D4BBB" w:rsidP="008B473B">
      <w:pPr>
        <w:suppressAutoHyphens/>
        <w:autoSpaceDN w:val="0"/>
        <w:jc w:val="both"/>
        <w:rPr>
          <w:rFonts w:ascii="Arial" w:eastAsia="Times New Roman" w:hAnsi="Arial" w:cs="Arial"/>
          <w:color w:val="000000" w:themeColor="text1"/>
          <w:sz w:val="20"/>
          <w:szCs w:val="20"/>
        </w:rPr>
      </w:pPr>
    </w:p>
    <w:p w14:paraId="72851366" w14:textId="77777777" w:rsidR="007D4BBB" w:rsidRDefault="007D4BBB" w:rsidP="008B473B">
      <w:pPr>
        <w:suppressAutoHyphens/>
        <w:autoSpaceDN w:val="0"/>
        <w:jc w:val="both"/>
        <w:rPr>
          <w:rFonts w:ascii="Arial" w:eastAsia="Times New Roman" w:hAnsi="Arial" w:cs="Arial"/>
          <w:color w:val="000000" w:themeColor="text1"/>
          <w:sz w:val="20"/>
          <w:szCs w:val="20"/>
        </w:rPr>
      </w:pPr>
    </w:p>
    <w:p w14:paraId="794998AD" w14:textId="77777777" w:rsidR="007D4BBB" w:rsidRDefault="007D4BBB" w:rsidP="008B473B">
      <w:pPr>
        <w:suppressAutoHyphens/>
        <w:autoSpaceDN w:val="0"/>
        <w:jc w:val="both"/>
        <w:rPr>
          <w:rFonts w:ascii="Arial" w:eastAsia="Times New Roman" w:hAnsi="Arial" w:cs="Arial"/>
          <w:color w:val="000000" w:themeColor="text1"/>
          <w:sz w:val="20"/>
          <w:szCs w:val="20"/>
        </w:rPr>
      </w:pPr>
    </w:p>
    <w:p w14:paraId="347B96D6" w14:textId="77777777" w:rsidR="007D4BBB" w:rsidRDefault="007D4BBB" w:rsidP="008B473B">
      <w:pPr>
        <w:suppressAutoHyphens/>
        <w:autoSpaceDN w:val="0"/>
        <w:jc w:val="both"/>
        <w:rPr>
          <w:rFonts w:ascii="Arial" w:eastAsia="Times New Roman" w:hAnsi="Arial" w:cs="Arial"/>
          <w:color w:val="000000" w:themeColor="text1"/>
          <w:sz w:val="20"/>
          <w:szCs w:val="20"/>
        </w:rPr>
      </w:pPr>
    </w:p>
    <w:p w14:paraId="0173B26F" w14:textId="77777777" w:rsidR="007D4BBB" w:rsidRDefault="007D4BBB" w:rsidP="008B473B">
      <w:pPr>
        <w:suppressAutoHyphens/>
        <w:autoSpaceDN w:val="0"/>
        <w:jc w:val="both"/>
        <w:rPr>
          <w:rFonts w:ascii="Arial" w:eastAsia="Times New Roman" w:hAnsi="Arial" w:cs="Arial"/>
          <w:color w:val="000000" w:themeColor="text1"/>
          <w:sz w:val="20"/>
          <w:szCs w:val="20"/>
        </w:rPr>
      </w:pPr>
    </w:p>
    <w:p w14:paraId="2D92378D" w14:textId="77777777" w:rsidR="007D4BBB" w:rsidRDefault="007D4BBB" w:rsidP="008B473B">
      <w:pPr>
        <w:suppressAutoHyphens/>
        <w:autoSpaceDN w:val="0"/>
        <w:jc w:val="both"/>
        <w:rPr>
          <w:rFonts w:ascii="Arial" w:eastAsia="Times New Roman" w:hAnsi="Arial" w:cs="Arial"/>
          <w:color w:val="000000" w:themeColor="text1"/>
          <w:sz w:val="20"/>
          <w:szCs w:val="20"/>
        </w:rPr>
      </w:pPr>
    </w:p>
    <w:p w14:paraId="415180AE" w14:textId="77777777" w:rsidR="007D4BBB" w:rsidRDefault="007D4BBB" w:rsidP="008B473B">
      <w:pPr>
        <w:suppressAutoHyphens/>
        <w:autoSpaceDN w:val="0"/>
        <w:jc w:val="both"/>
        <w:rPr>
          <w:rFonts w:ascii="Arial" w:eastAsia="Times New Roman" w:hAnsi="Arial" w:cs="Arial"/>
          <w:color w:val="000000" w:themeColor="text1"/>
          <w:sz w:val="20"/>
          <w:szCs w:val="20"/>
        </w:rPr>
      </w:pPr>
    </w:p>
    <w:p w14:paraId="331AE631" w14:textId="77777777" w:rsidR="007D4BBB" w:rsidRDefault="007D4BBB" w:rsidP="008B473B">
      <w:pPr>
        <w:suppressAutoHyphens/>
        <w:autoSpaceDN w:val="0"/>
        <w:jc w:val="both"/>
        <w:rPr>
          <w:rFonts w:ascii="Arial" w:eastAsia="Times New Roman" w:hAnsi="Arial" w:cs="Arial"/>
          <w:color w:val="000000" w:themeColor="text1"/>
          <w:sz w:val="20"/>
          <w:szCs w:val="20"/>
        </w:rPr>
      </w:pPr>
    </w:p>
    <w:p w14:paraId="02A2F6D0" w14:textId="77777777" w:rsidR="007D4BBB" w:rsidRDefault="007D4BBB" w:rsidP="008B473B">
      <w:pPr>
        <w:suppressAutoHyphens/>
        <w:autoSpaceDN w:val="0"/>
        <w:jc w:val="both"/>
        <w:rPr>
          <w:rFonts w:ascii="Arial" w:eastAsia="Times New Roman" w:hAnsi="Arial" w:cs="Arial"/>
          <w:color w:val="000000" w:themeColor="text1"/>
          <w:sz w:val="20"/>
          <w:szCs w:val="20"/>
        </w:rPr>
      </w:pPr>
    </w:p>
    <w:p w14:paraId="1326C413" w14:textId="77777777" w:rsidR="007D4BBB" w:rsidRPr="003D1614" w:rsidRDefault="007D4BBB" w:rsidP="007D4BBB">
      <w:pPr>
        <w:tabs>
          <w:tab w:val="left" w:pos="567"/>
        </w:tabs>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lang w:eastAsia="hr-HR"/>
        </w:rPr>
        <w:t>2</w:t>
      </w:r>
      <w:r>
        <w:rPr>
          <w:rFonts w:ascii="Arial" w:eastAsia="Times New Roman" w:hAnsi="Arial" w:cs="Arial"/>
          <w:b/>
          <w:color w:val="000000" w:themeColor="text1"/>
          <w:sz w:val="20"/>
          <w:szCs w:val="20"/>
          <w:lang w:eastAsia="hr-HR"/>
        </w:rPr>
        <w:t>3</w:t>
      </w:r>
      <w:r w:rsidRPr="003D1614">
        <w:rPr>
          <w:rFonts w:ascii="Arial" w:eastAsia="Times New Roman" w:hAnsi="Arial" w:cs="Arial"/>
          <w:b/>
          <w:color w:val="000000" w:themeColor="text1"/>
          <w:sz w:val="20"/>
          <w:szCs w:val="20"/>
          <w:lang w:eastAsia="hr-HR"/>
        </w:rPr>
        <w:t>.</w:t>
      </w:r>
      <w:r w:rsidRPr="003D1614">
        <w:rPr>
          <w:rFonts w:ascii="Arial" w:eastAsia="Times New Roman" w:hAnsi="Arial" w:cs="Arial"/>
          <w:b/>
          <w:color w:val="000000" w:themeColor="text1"/>
          <w:sz w:val="20"/>
          <w:szCs w:val="20"/>
        </w:rPr>
        <w:tab/>
        <w:t>Upravljanje rizicima (nastavak)</w:t>
      </w:r>
    </w:p>
    <w:p w14:paraId="513CC2DA" w14:textId="77777777" w:rsidR="007D4BBB" w:rsidRPr="003D1614" w:rsidRDefault="007D4BBB" w:rsidP="007D4BBB">
      <w:pPr>
        <w:suppressAutoHyphens/>
        <w:autoSpaceDN w:val="0"/>
        <w:jc w:val="both"/>
        <w:rPr>
          <w:rFonts w:ascii="Arial" w:eastAsia="Times New Roman" w:hAnsi="Arial" w:cs="Arial"/>
          <w:color w:val="000000" w:themeColor="text1"/>
          <w:sz w:val="20"/>
          <w:szCs w:val="20"/>
        </w:rPr>
      </w:pPr>
    </w:p>
    <w:p w14:paraId="66B550CF" w14:textId="29CF2ED4" w:rsidR="007D4BBB" w:rsidRDefault="007D4BBB" w:rsidP="007D4BBB">
      <w:pPr>
        <w:suppressAutoHyphens/>
        <w:autoSpaceDN w:val="0"/>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w:t>
      </w:r>
      <w:r>
        <w:rPr>
          <w:rFonts w:ascii="Arial" w:eastAsia="Calibri" w:hAnsi="Arial" w:cs="Arial"/>
          <w:b/>
          <w:color w:val="000000" w:themeColor="text1"/>
          <w:sz w:val="20"/>
          <w:szCs w:val="20"/>
        </w:rPr>
        <w:t xml:space="preserve"> (nastavak)</w:t>
      </w:r>
    </w:p>
    <w:p w14:paraId="6B721C2F" w14:textId="77777777" w:rsidR="007D4BBB" w:rsidRDefault="007D4BBB" w:rsidP="007D4BBB">
      <w:pPr>
        <w:suppressAutoHyphens/>
        <w:autoSpaceDN w:val="0"/>
        <w:jc w:val="both"/>
        <w:rPr>
          <w:rFonts w:ascii="Arial" w:eastAsia="Times New Roman" w:hAnsi="Arial" w:cs="Arial"/>
          <w:color w:val="000000" w:themeColor="text1"/>
          <w:sz w:val="20"/>
          <w:szCs w:val="20"/>
        </w:rPr>
      </w:pPr>
    </w:p>
    <w:p w14:paraId="18F0999D" w14:textId="40E33000" w:rsidR="008B473B" w:rsidRPr="003D1614" w:rsidRDefault="008B473B" w:rsidP="008B473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Metodologijom kreditnog bodovanja </w:t>
      </w:r>
      <w:r w:rsidRPr="007A7E34">
        <w:rPr>
          <w:rFonts w:ascii="Arial" w:eastAsia="Times New Roman" w:hAnsi="Arial" w:cs="Arial"/>
          <w:color w:val="000000" w:themeColor="text1"/>
          <w:sz w:val="20"/>
          <w:szCs w:val="20"/>
        </w:rPr>
        <w:t>se koristi u procesu odobravanja plasmana klijentima kod buduće bruto izloženosti klijentima</w:t>
      </w:r>
      <w:r>
        <w:rPr>
          <w:rFonts w:ascii="Arial" w:eastAsia="Times New Roman" w:hAnsi="Arial" w:cs="Arial"/>
          <w:color w:val="000000" w:themeColor="text1"/>
          <w:sz w:val="20"/>
          <w:szCs w:val="20"/>
        </w:rPr>
        <w:t xml:space="preserve"> i grupama povezanih osoba</w:t>
      </w:r>
      <w:r w:rsidRPr="007A7E34">
        <w:rPr>
          <w:rFonts w:ascii="Arial" w:eastAsia="Times New Roman" w:hAnsi="Arial" w:cs="Arial"/>
          <w:color w:val="000000" w:themeColor="text1"/>
          <w:sz w:val="20"/>
          <w:szCs w:val="20"/>
        </w:rPr>
        <w:t xml:space="preserve"> prema kojima će HBOR biti izložen do i u visini 400</w:t>
      </w:r>
      <w:r w:rsidR="004E5017">
        <w:rPr>
          <w:rFonts w:ascii="Arial" w:eastAsia="Times New Roman" w:hAnsi="Arial" w:cs="Arial"/>
          <w:color w:val="000000" w:themeColor="text1"/>
          <w:sz w:val="20"/>
          <w:szCs w:val="20"/>
        </w:rPr>
        <w:t xml:space="preserve"> tisuća</w:t>
      </w:r>
      <w:r w:rsidRPr="007A7E34">
        <w:rPr>
          <w:rFonts w:ascii="Arial" w:eastAsia="Times New Roman" w:hAnsi="Arial" w:cs="Arial"/>
          <w:color w:val="000000" w:themeColor="text1"/>
          <w:sz w:val="20"/>
          <w:szCs w:val="20"/>
        </w:rPr>
        <w:t xml:space="preserve"> EUR</w:t>
      </w:r>
      <w:r w:rsidRPr="003D1614">
        <w:rPr>
          <w:rFonts w:ascii="Arial" w:eastAsia="Times New Roman" w:hAnsi="Arial" w:cs="Arial"/>
          <w:color w:val="000000" w:themeColor="text1"/>
          <w:sz w:val="20"/>
          <w:szCs w:val="20"/>
        </w:rPr>
        <w:t>.</w:t>
      </w:r>
    </w:p>
    <w:p w14:paraId="6141E5D6" w14:textId="77777777" w:rsidR="008B473B" w:rsidRPr="00476A0D" w:rsidRDefault="008B473B" w:rsidP="008B473B">
      <w:pPr>
        <w:suppressAutoHyphens/>
        <w:autoSpaceDN w:val="0"/>
        <w:jc w:val="both"/>
        <w:rPr>
          <w:rFonts w:ascii="Arial" w:eastAsia="Times New Roman" w:hAnsi="Arial" w:cs="Arial"/>
          <w:color w:val="000000" w:themeColor="text1"/>
          <w:sz w:val="20"/>
          <w:szCs w:val="20"/>
        </w:rPr>
      </w:pPr>
    </w:p>
    <w:p w14:paraId="381B3FB9" w14:textId="77777777" w:rsidR="008B473B" w:rsidRDefault="008B473B" w:rsidP="008B473B">
      <w:pPr>
        <w:suppressAutoHyphens/>
        <w:autoSpaceDN w:val="0"/>
        <w:jc w:val="both"/>
        <w:rPr>
          <w:rFonts w:ascii="Arial" w:eastAsia="Times New Roman" w:hAnsi="Arial" w:cs="Arial"/>
          <w:color w:val="000000" w:themeColor="text1"/>
          <w:sz w:val="20"/>
          <w:szCs w:val="20"/>
        </w:rPr>
      </w:pPr>
      <w:r w:rsidRPr="00476A0D">
        <w:rPr>
          <w:rFonts w:ascii="Arial" w:eastAsia="Times New Roman" w:hAnsi="Arial" w:cs="Arial"/>
          <w:color w:val="000000" w:themeColor="text1"/>
          <w:sz w:val="20"/>
          <w:szCs w:val="20"/>
        </w:rPr>
        <w:t xml:space="preserve">Metodologija za projektno financiranje koristi se za ocjenu kreditnog rizika projekta temeljem podataka iz investicijske studije odnosno poslovnog plana klijenta. Koristi se u procesu odobravanja plasmana klijentima </w:t>
      </w:r>
      <w:r>
        <w:rPr>
          <w:rFonts w:ascii="Arial" w:eastAsia="Times New Roman" w:hAnsi="Arial" w:cs="Arial"/>
          <w:color w:val="000000" w:themeColor="text1"/>
          <w:sz w:val="20"/>
          <w:szCs w:val="20"/>
        </w:rPr>
        <w:t xml:space="preserve">ili grupama povezanih osoba </w:t>
      </w:r>
      <w:r w:rsidRPr="00476A0D">
        <w:rPr>
          <w:rFonts w:ascii="Arial" w:eastAsia="Times New Roman" w:hAnsi="Arial" w:cs="Arial"/>
          <w:color w:val="000000" w:themeColor="text1"/>
          <w:sz w:val="20"/>
          <w:szCs w:val="20"/>
        </w:rPr>
        <w:t>kod buduće bruto izloženosti prema kojima će HBOR biti izložen iznad 400 tisuća EUR-a na bazi 3 modela ocjene vezane za djelatnost investicije</w:t>
      </w:r>
      <w:r>
        <w:rPr>
          <w:rFonts w:ascii="Arial" w:eastAsia="Times New Roman" w:hAnsi="Arial" w:cs="Arial"/>
          <w:color w:val="000000" w:themeColor="text1"/>
          <w:sz w:val="20"/>
          <w:szCs w:val="20"/>
        </w:rPr>
        <w:t xml:space="preserve">: </w:t>
      </w:r>
    </w:p>
    <w:p w14:paraId="08687527" w14:textId="77777777" w:rsidR="008B473B" w:rsidRPr="007A7E34" w:rsidRDefault="008B473B" w:rsidP="008B473B">
      <w:pPr>
        <w:numPr>
          <w:ilvl w:val="0"/>
          <w:numId w:val="10"/>
        </w:numPr>
        <w:suppressAutoHyphens/>
        <w:autoSpaceDN w:val="0"/>
        <w:ind w:left="567" w:hanging="283"/>
        <w:contextualSpacing/>
        <w:jc w:val="both"/>
        <w:rPr>
          <w:rFonts w:ascii="Arial" w:eastAsia="Times New Roman" w:hAnsi="Arial" w:cs="Arial"/>
          <w:color w:val="000000" w:themeColor="text1"/>
          <w:sz w:val="20"/>
          <w:szCs w:val="20"/>
        </w:rPr>
      </w:pPr>
      <w:r w:rsidRPr="007A7E34">
        <w:rPr>
          <w:rFonts w:ascii="Arial" w:eastAsia="Times New Roman" w:hAnsi="Arial" w:cs="Arial"/>
          <w:color w:val="000000" w:themeColor="text1"/>
          <w:sz w:val="20"/>
          <w:szCs w:val="20"/>
        </w:rPr>
        <w:t xml:space="preserve">uslužne djelatnosti (npr. izgradnja hotela, objekti namijenjeni iznajmljivanju), </w:t>
      </w:r>
    </w:p>
    <w:p w14:paraId="2A62FD96" w14:textId="77777777" w:rsidR="008B473B" w:rsidRPr="007A7E34" w:rsidRDefault="008B473B" w:rsidP="008B473B">
      <w:pPr>
        <w:numPr>
          <w:ilvl w:val="0"/>
          <w:numId w:val="10"/>
        </w:numPr>
        <w:suppressAutoHyphens/>
        <w:autoSpaceDN w:val="0"/>
        <w:ind w:left="567" w:hanging="283"/>
        <w:contextualSpacing/>
        <w:jc w:val="both"/>
        <w:rPr>
          <w:rFonts w:ascii="Arial" w:eastAsia="Times New Roman" w:hAnsi="Arial" w:cs="Arial"/>
          <w:color w:val="000000" w:themeColor="text1"/>
          <w:sz w:val="20"/>
          <w:szCs w:val="20"/>
        </w:rPr>
      </w:pPr>
      <w:r w:rsidRPr="007A7E34">
        <w:rPr>
          <w:rFonts w:ascii="Arial" w:eastAsia="Times New Roman" w:hAnsi="Arial" w:cs="Arial"/>
          <w:color w:val="000000" w:themeColor="text1"/>
          <w:sz w:val="20"/>
          <w:szCs w:val="20"/>
        </w:rPr>
        <w:t>obnovljivi izvori energije</w:t>
      </w:r>
      <w:r>
        <w:rPr>
          <w:rFonts w:ascii="Arial" w:eastAsia="Times New Roman" w:hAnsi="Arial" w:cs="Arial"/>
          <w:color w:val="000000" w:themeColor="text1"/>
          <w:sz w:val="20"/>
          <w:szCs w:val="20"/>
        </w:rPr>
        <w:t>,</w:t>
      </w:r>
    </w:p>
    <w:p w14:paraId="32A7219C" w14:textId="0FEF2711" w:rsidR="008B473B" w:rsidRDefault="008B473B" w:rsidP="008B473B">
      <w:pPr>
        <w:numPr>
          <w:ilvl w:val="0"/>
          <w:numId w:val="10"/>
        </w:numPr>
        <w:suppressAutoHyphens/>
        <w:autoSpaceDN w:val="0"/>
        <w:ind w:left="567" w:hanging="283"/>
        <w:contextualSpacing/>
        <w:jc w:val="both"/>
        <w:rPr>
          <w:rFonts w:ascii="Arial" w:eastAsia="Times New Roman" w:hAnsi="Arial" w:cs="Arial"/>
          <w:color w:val="000000" w:themeColor="text1"/>
          <w:sz w:val="20"/>
          <w:szCs w:val="20"/>
        </w:rPr>
      </w:pPr>
      <w:r w:rsidRPr="007A7E34">
        <w:rPr>
          <w:rFonts w:ascii="Arial" w:eastAsia="Times New Roman" w:hAnsi="Arial" w:cs="Arial"/>
          <w:color w:val="000000" w:themeColor="text1"/>
          <w:sz w:val="20"/>
          <w:szCs w:val="20"/>
        </w:rPr>
        <w:t>ostale industrije koje ne pripadaju u prethodna dva modela.</w:t>
      </w:r>
    </w:p>
    <w:p w14:paraId="32080728" w14:textId="77777777" w:rsidR="008868C8" w:rsidRPr="00476A0D" w:rsidRDefault="008868C8" w:rsidP="005D1219">
      <w:pPr>
        <w:suppressAutoHyphens/>
        <w:autoSpaceDN w:val="0"/>
        <w:ind w:left="567"/>
        <w:contextualSpacing/>
        <w:jc w:val="both"/>
        <w:rPr>
          <w:rFonts w:ascii="Arial" w:eastAsia="Times New Roman" w:hAnsi="Arial" w:cs="Arial"/>
          <w:color w:val="000000" w:themeColor="text1"/>
          <w:sz w:val="20"/>
          <w:szCs w:val="20"/>
        </w:rPr>
      </w:pPr>
    </w:p>
    <w:p w14:paraId="37C687F1" w14:textId="77777777" w:rsidR="00CD630B" w:rsidRPr="003D1614" w:rsidRDefault="00CD630B" w:rsidP="00CD630B">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color w:val="000000" w:themeColor="text1"/>
          <w:sz w:val="20"/>
          <w:szCs w:val="20"/>
        </w:rPr>
        <w:t>Sukladno Zakonu o HBOR-u Banka dio svojih plasmana odobrava putem poslovnih banaka i leasing društava pri čemu se za ocjenu banaka primjenjuju Metodologija za ocjenu i odabir banaka i Metodologija za ocjenu i odabir inozemnih banaka, a za ocjenu leasing društava Metodologija za ocjenu i odabir leasing društava. Radi lakše dostupnosti sredstava HBOR-a, dio svojih plasmana plasira se po modelu podjele rizika prema kojem u financiranju klijenata sudjeluje poslovna banka i HBOR u unaprijed dogovorenim omjerima financiranja.</w:t>
      </w:r>
    </w:p>
    <w:p w14:paraId="5659FECB"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482C6110" w14:textId="77777777" w:rsidR="00CB08E0" w:rsidRDefault="00CD630B" w:rsidP="00CD630B">
      <w:pPr>
        <w:suppressAutoHyphens/>
        <w:autoSpaceDN w:val="0"/>
        <w:jc w:val="both"/>
        <w:rPr>
          <w:rFonts w:ascii="Arial" w:eastAsia="Times New Roman" w:hAnsi="Arial" w:cs="Arial"/>
          <w:color w:val="000000" w:themeColor="text1"/>
          <w:sz w:val="20"/>
          <w:szCs w:val="20"/>
        </w:rPr>
        <w:sectPr w:rsidR="00CB08E0">
          <w:pgSz w:w="11906" w:h="16838"/>
          <w:pgMar w:top="1417" w:right="1417" w:bottom="1417" w:left="1417" w:header="708" w:footer="708" w:gutter="0"/>
          <w:cols w:space="708"/>
          <w:docGrid w:linePitch="360"/>
        </w:sectPr>
      </w:pPr>
      <w:r w:rsidRPr="003D1614">
        <w:rPr>
          <w:rFonts w:ascii="Arial" w:eastAsia="Times New Roman" w:hAnsi="Arial" w:cs="Arial"/>
          <w:color w:val="000000" w:themeColor="text1"/>
          <w:sz w:val="20"/>
          <w:szCs w:val="20"/>
        </w:rPr>
        <w:t xml:space="preserve">Banka kao razvojna financijska institucija podupire rast i razvoj hrvatskog gospodarstva kroz investicijsko ulaganje. Iz tog razloga klijenti se najčešće javljaju sa zahtjevima za kreditno praćenje razvojnih investicijskih projekata. Kako bi se rizik sveo na najmanju mjeru i što objektivnije procijenilo koji projekti su ekonomski održivi te osiguravaju povrat uloženog, Banka stalno unapređuje postojeća </w:t>
      </w:r>
    </w:p>
    <w:p w14:paraId="2A36F643" w14:textId="77777777" w:rsidR="00CB08E0" w:rsidRDefault="00CB08E0" w:rsidP="00CD630B">
      <w:pPr>
        <w:suppressAutoHyphens/>
        <w:autoSpaceDN w:val="0"/>
        <w:jc w:val="both"/>
        <w:rPr>
          <w:rFonts w:ascii="Arial" w:eastAsia="Times New Roman" w:hAnsi="Arial" w:cs="Arial"/>
          <w:color w:val="000000" w:themeColor="text1"/>
          <w:sz w:val="20"/>
          <w:szCs w:val="20"/>
        </w:rPr>
      </w:pPr>
    </w:p>
    <w:p w14:paraId="19924015" w14:textId="77777777" w:rsidR="00CB08E0" w:rsidRPr="003D1614" w:rsidRDefault="00CB08E0" w:rsidP="00CB08E0">
      <w:pPr>
        <w:tabs>
          <w:tab w:val="left" w:pos="567"/>
        </w:tabs>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lang w:eastAsia="hr-HR"/>
        </w:rPr>
        <w:t>2</w:t>
      </w:r>
      <w:r>
        <w:rPr>
          <w:rFonts w:ascii="Arial" w:eastAsia="Times New Roman" w:hAnsi="Arial" w:cs="Arial"/>
          <w:b/>
          <w:color w:val="000000" w:themeColor="text1"/>
          <w:sz w:val="20"/>
          <w:szCs w:val="20"/>
          <w:lang w:eastAsia="hr-HR"/>
        </w:rPr>
        <w:t>3</w:t>
      </w:r>
      <w:r w:rsidRPr="003D1614">
        <w:rPr>
          <w:rFonts w:ascii="Arial" w:eastAsia="Times New Roman" w:hAnsi="Arial" w:cs="Arial"/>
          <w:b/>
          <w:color w:val="000000" w:themeColor="text1"/>
          <w:sz w:val="20"/>
          <w:szCs w:val="20"/>
          <w:lang w:eastAsia="hr-HR"/>
        </w:rPr>
        <w:t>.</w:t>
      </w:r>
      <w:r w:rsidRPr="003D1614">
        <w:rPr>
          <w:rFonts w:ascii="Arial" w:eastAsia="Times New Roman" w:hAnsi="Arial" w:cs="Arial"/>
          <w:b/>
          <w:color w:val="000000" w:themeColor="text1"/>
          <w:sz w:val="20"/>
          <w:szCs w:val="20"/>
        </w:rPr>
        <w:tab/>
        <w:t>Upravljanje rizicima (nastavak)</w:t>
      </w:r>
    </w:p>
    <w:p w14:paraId="1AB13402" w14:textId="77777777" w:rsidR="00CB08E0" w:rsidRPr="003D1614" w:rsidRDefault="00CB08E0" w:rsidP="00CB08E0">
      <w:pPr>
        <w:suppressAutoHyphens/>
        <w:autoSpaceDN w:val="0"/>
        <w:jc w:val="both"/>
        <w:rPr>
          <w:rFonts w:ascii="Arial" w:eastAsia="Times New Roman" w:hAnsi="Arial" w:cs="Arial"/>
          <w:color w:val="000000" w:themeColor="text1"/>
          <w:sz w:val="20"/>
          <w:szCs w:val="20"/>
        </w:rPr>
      </w:pPr>
    </w:p>
    <w:p w14:paraId="1B24E40E" w14:textId="2860B27D" w:rsidR="00CB08E0" w:rsidRDefault="00CB08E0" w:rsidP="00CB08E0">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 xml:space="preserve">Kreditni rizik </w:t>
      </w:r>
      <w:r>
        <w:rPr>
          <w:rFonts w:ascii="Arial" w:eastAsia="Calibri" w:hAnsi="Arial" w:cs="Arial"/>
          <w:b/>
          <w:color w:val="000000" w:themeColor="text1"/>
          <w:sz w:val="20"/>
          <w:szCs w:val="20"/>
        </w:rPr>
        <w:t>(nastavak)</w:t>
      </w:r>
    </w:p>
    <w:p w14:paraId="4C8549EC" w14:textId="77777777" w:rsidR="00CB08E0" w:rsidRPr="003D1614" w:rsidRDefault="00CB08E0" w:rsidP="00CB08E0">
      <w:pPr>
        <w:tabs>
          <w:tab w:val="left" w:pos="567"/>
        </w:tabs>
        <w:suppressAutoHyphens/>
        <w:autoSpaceDN w:val="0"/>
        <w:spacing w:line="300" w:lineRule="exact"/>
        <w:rPr>
          <w:rFonts w:ascii="Arial" w:eastAsia="Calibri" w:hAnsi="Arial" w:cs="Arial"/>
          <w:b/>
          <w:color w:val="000000" w:themeColor="text1"/>
          <w:sz w:val="20"/>
          <w:szCs w:val="20"/>
        </w:rPr>
      </w:pPr>
    </w:p>
    <w:p w14:paraId="55908E35" w14:textId="7D07AAF8"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organizacijsko-tehnološka rješenja, izvještaje i akte te daje prijedloge novih organizacijskih propisa i provedbenih uputa.</w:t>
      </w:r>
    </w:p>
    <w:p w14:paraId="742268AF" w14:textId="6716E66D"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3F4EA2C5" w14:textId="681E57FE"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Stalnim praćenjem i ocjenjivanjem poslovanja klijenata nastoje se pravovremeno uočiti poteškoće u njihovom poslovanju. Kod klijenata koji su suočeni s problemima Banka pronalazi primjerene načine naplate potraživanja sagledavajući mogućnosti novih uvjeta otplate potraživanja s ciljem nastavka proizvodnog procesa i povećanja zapošljavanja. Posebno se uočavaju i prate uzroci loših plasmana te se postupci za njihovu prevenciju ugrađuju u procedure rada u svrhu smanjenja udjela rizičnih plasmana.</w:t>
      </w:r>
    </w:p>
    <w:p w14:paraId="250FBC09"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5B5919E8" w14:textId="201CB5CC"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U svrhu praćenja i kontrole rizika utvrđeni su sustavi limita za upravljanje kreditnim rizikom.</w:t>
      </w:r>
      <w:r w:rsidRPr="003D1614">
        <w:rPr>
          <w:rFonts w:ascii="Arial" w:eastAsia="Times New Roman" w:hAnsi="Arial" w:cs="Arial"/>
          <w:b/>
          <w:color w:val="000000" w:themeColor="text1"/>
          <w:sz w:val="20"/>
          <w:szCs w:val="20"/>
        </w:rPr>
        <w:t xml:space="preserve"> </w:t>
      </w:r>
      <w:r w:rsidRPr="003D1614">
        <w:rPr>
          <w:rFonts w:ascii="Arial" w:eastAsia="Times New Roman" w:hAnsi="Arial" w:cs="Arial"/>
          <w:color w:val="000000" w:themeColor="text1"/>
          <w:sz w:val="20"/>
          <w:szCs w:val="20"/>
        </w:rPr>
        <w:t>Utvrđeni su limiti velike izloženosti i maksimalno dozvoljeni iznos kreditne izloženosti prema pojedinom korisniku i s njim povezanim osobama.</w:t>
      </w:r>
    </w:p>
    <w:p w14:paraId="08772216" w14:textId="5D636AB3"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74B2C3B4" w14:textId="0A88B0A4" w:rsidR="00CD630B" w:rsidRPr="003D1614" w:rsidRDefault="00CD630B" w:rsidP="00CD630B">
      <w:pPr>
        <w:tabs>
          <w:tab w:val="left" w:pos="567"/>
          <w:tab w:val="left" w:pos="851"/>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.3.1.</w:t>
      </w:r>
      <w:r w:rsidRPr="003D1614">
        <w:rPr>
          <w:rFonts w:ascii="Arial" w:eastAsia="Calibri" w:hAnsi="Arial" w:cs="Arial"/>
          <w:b/>
          <w:color w:val="000000" w:themeColor="text1"/>
          <w:sz w:val="20"/>
          <w:szCs w:val="20"/>
        </w:rPr>
        <w:tab/>
        <w:t>Rizik povezan s kreditnim odobrenjima</w:t>
      </w:r>
    </w:p>
    <w:p w14:paraId="090AC608"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1B7B2899" w14:textId="08B429D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Klijentima banke omogućeno je izdavanje garancija i akreditiva (pokriće je moguće i iz kredita), po identičnoj proceduri koja je propisana za izravne klijente kod odobravanja kredita.</w:t>
      </w:r>
    </w:p>
    <w:p w14:paraId="5ED13EB6"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1C5FB0C0" w14:textId="77777777" w:rsidR="00CD630B" w:rsidRPr="003D1614" w:rsidRDefault="00CD630B" w:rsidP="00CD630B">
      <w:pPr>
        <w:tabs>
          <w:tab w:val="left" w:pos="2694"/>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Sve garancije prate se prema rokovima važnosti, a akreditivi s odgođenim polaganjem pokrića prema dospijećima. Ukoliko dođe do poziva za plaćanje Banka je obvezna izvršiti plaćanje u ime klijenta. Takve obveze Banku izlažu rizicima koji su slični kreditnima, a umanjuju se istim postupcima koji se primjenjuju na kredite.</w:t>
      </w:r>
    </w:p>
    <w:p w14:paraId="1E0C670E" w14:textId="77777777" w:rsidR="00CD630B" w:rsidRPr="003D1614" w:rsidRDefault="00CD630B" w:rsidP="00CD630B">
      <w:pPr>
        <w:suppressAutoHyphens/>
        <w:autoSpaceDN w:val="0"/>
        <w:jc w:val="both"/>
        <w:rPr>
          <w:rFonts w:ascii="Arial" w:eastAsia="Calibri" w:hAnsi="Arial" w:cs="Arial"/>
          <w:b/>
          <w:bCs/>
          <w:color w:val="000000" w:themeColor="text1"/>
          <w:spacing w:val="-3"/>
          <w:sz w:val="20"/>
          <w:szCs w:val="20"/>
        </w:rPr>
      </w:pPr>
    </w:p>
    <w:p w14:paraId="5CDA4B7E" w14:textId="7F71653D" w:rsidR="00CD630B" w:rsidRPr="003D1614" w:rsidRDefault="00CD630B" w:rsidP="00CD630B">
      <w:pPr>
        <w:tabs>
          <w:tab w:val="left" w:pos="851"/>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w:t>
      </w:r>
      <w:r w:rsidRPr="003D1614">
        <w:rPr>
          <w:rFonts w:ascii="Arial" w:eastAsia="Calibri" w:hAnsi="Arial" w:cs="Arial"/>
          <w:b/>
          <w:color w:val="000000" w:themeColor="text1"/>
          <w:sz w:val="20"/>
          <w:szCs w:val="20"/>
        </w:rPr>
        <w:tab/>
        <w:t xml:space="preserve">Procjena umanjenja vrijednosti </w:t>
      </w:r>
    </w:p>
    <w:p w14:paraId="3D8EFE96"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31C983DB" w14:textId="69921CEC" w:rsidR="00CD630B" w:rsidRPr="003D1614" w:rsidRDefault="00CD630B" w:rsidP="00CD630B">
      <w:pPr>
        <w:suppressAutoHyphens/>
        <w:autoSpaceDN w:val="0"/>
        <w:jc w:val="both"/>
        <w:rPr>
          <w:rFonts w:ascii="Arial" w:eastAsia="Times New Roman" w:hAnsi="Arial" w:cs="Arial"/>
          <w:color w:val="000000" w:themeColor="text1"/>
          <w:sz w:val="20"/>
          <w:szCs w:val="20"/>
        </w:rPr>
      </w:pPr>
      <w:bookmarkStart w:id="590" w:name="_Hlk166076360"/>
      <w:r w:rsidRPr="003D1614">
        <w:rPr>
          <w:rFonts w:ascii="Arial" w:eastAsia="Times New Roman" w:hAnsi="Arial" w:cs="Arial"/>
          <w:color w:val="000000" w:themeColor="text1"/>
          <w:sz w:val="20"/>
          <w:szCs w:val="20"/>
        </w:rPr>
        <w:t xml:space="preserve">Umanjenje vrijednosti formira se u skladu s Međunarodnim standardom financijskog izvještavanja 9, </w:t>
      </w:r>
      <w:r w:rsidR="00F333D2">
        <w:rPr>
          <w:rFonts w:ascii="Arial" w:eastAsia="Times New Roman" w:hAnsi="Arial" w:cs="Arial"/>
          <w:color w:val="000000" w:themeColor="text1"/>
          <w:sz w:val="20"/>
          <w:szCs w:val="20"/>
        </w:rPr>
        <w:t xml:space="preserve"> bankarskom regulativom</w:t>
      </w:r>
      <w:r w:rsidRPr="003D1614">
        <w:rPr>
          <w:rFonts w:ascii="Arial" w:eastAsia="Times New Roman" w:hAnsi="Arial" w:cs="Arial"/>
          <w:color w:val="000000" w:themeColor="text1"/>
          <w:sz w:val="20"/>
          <w:szCs w:val="20"/>
        </w:rPr>
        <w:t xml:space="preserve"> primjenjiv</w:t>
      </w:r>
      <w:r w:rsidR="001F1A14">
        <w:rPr>
          <w:rFonts w:ascii="Arial" w:eastAsia="Times New Roman" w:hAnsi="Arial" w:cs="Arial"/>
          <w:color w:val="000000" w:themeColor="text1"/>
          <w:sz w:val="20"/>
          <w:szCs w:val="20"/>
        </w:rPr>
        <w:t>o</w:t>
      </w:r>
      <w:r w:rsidRPr="003D1614">
        <w:rPr>
          <w:rFonts w:ascii="Arial" w:eastAsia="Times New Roman" w:hAnsi="Arial" w:cs="Arial"/>
          <w:color w:val="000000" w:themeColor="text1"/>
          <w:sz w:val="20"/>
          <w:szCs w:val="20"/>
        </w:rPr>
        <w:t>m na HBOR i internim pravilnicima i metodologijama rada.</w:t>
      </w:r>
    </w:p>
    <w:bookmarkEnd w:id="590"/>
    <w:p w14:paraId="1AD4275A"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57F66369"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 obzirom na procijenjenu razinu kreditnog rizika te način izračuna očekivanih kreditnih gubitaka, klijenti se razvrstavaju u sljedeće kategorije:</w:t>
      </w:r>
      <w:bookmarkStart w:id="591" w:name="_Hlk498950823"/>
    </w:p>
    <w:bookmarkEnd w:id="591"/>
    <w:p w14:paraId="2250AA6F" w14:textId="6DAAFE03" w:rsidR="00CD630B" w:rsidRPr="003D1614" w:rsidRDefault="00CD630B" w:rsidP="00CD630B">
      <w:pPr>
        <w:numPr>
          <w:ilvl w:val="0"/>
          <w:numId w:val="12"/>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1. stupanj </w:t>
      </w:r>
      <w:r w:rsidR="00592958">
        <w:rPr>
          <w:rFonts w:ascii="Arial" w:eastAsia="Times New Roman" w:hAnsi="Arial" w:cs="Arial"/>
          <w:color w:val="000000" w:themeColor="text1"/>
          <w:sz w:val="20"/>
          <w:szCs w:val="20"/>
        </w:rPr>
        <w:t>–</w:t>
      </w:r>
      <w:r w:rsidRPr="003D1614">
        <w:rPr>
          <w:rFonts w:ascii="Arial" w:eastAsia="Times New Roman" w:hAnsi="Arial" w:cs="Arial"/>
          <w:color w:val="000000" w:themeColor="text1"/>
          <w:sz w:val="20"/>
          <w:szCs w:val="20"/>
        </w:rPr>
        <w:t xml:space="preserve"> obuhvaća</w:t>
      </w:r>
      <w:r w:rsidR="00592958">
        <w:rPr>
          <w:rFonts w:ascii="Arial" w:eastAsia="Times New Roman" w:hAnsi="Arial" w:cs="Arial"/>
          <w:color w:val="000000" w:themeColor="text1"/>
          <w:sz w:val="20"/>
          <w:szCs w:val="20"/>
        </w:rPr>
        <w:t xml:space="preserve"> izloženosti prema</w:t>
      </w:r>
      <w:r w:rsidRPr="003D1614">
        <w:rPr>
          <w:rFonts w:ascii="Arial" w:eastAsia="Times New Roman" w:hAnsi="Arial" w:cs="Arial"/>
          <w:color w:val="000000" w:themeColor="text1"/>
          <w:sz w:val="20"/>
          <w:szCs w:val="20"/>
        </w:rPr>
        <w:t xml:space="preserve"> klijent</w:t>
      </w:r>
      <w:r w:rsidR="00592958">
        <w:rPr>
          <w:rFonts w:ascii="Arial" w:eastAsia="Times New Roman" w:hAnsi="Arial" w:cs="Arial"/>
          <w:color w:val="000000" w:themeColor="text1"/>
          <w:sz w:val="20"/>
          <w:szCs w:val="20"/>
        </w:rPr>
        <w:t>ima</w:t>
      </w:r>
      <w:r w:rsidRPr="003D1614">
        <w:rPr>
          <w:rFonts w:ascii="Arial" w:eastAsia="Times New Roman" w:hAnsi="Arial" w:cs="Arial"/>
          <w:color w:val="000000" w:themeColor="text1"/>
          <w:sz w:val="20"/>
          <w:szCs w:val="20"/>
        </w:rPr>
        <w:t xml:space="preserve"> niskog kreditnog rizika kod kojih  nije došlo do značajnog povećanja kreditnog rizika,</w:t>
      </w:r>
    </w:p>
    <w:p w14:paraId="0BA71E66" w14:textId="456808CA" w:rsidR="00CD630B" w:rsidRPr="003D1614" w:rsidRDefault="00CD630B" w:rsidP="00CD630B">
      <w:pPr>
        <w:numPr>
          <w:ilvl w:val="0"/>
          <w:numId w:val="12"/>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2. stupanj </w:t>
      </w:r>
      <w:r w:rsidR="00252DFA">
        <w:rPr>
          <w:rFonts w:ascii="Arial" w:eastAsia="Times New Roman" w:hAnsi="Arial" w:cs="Arial"/>
          <w:color w:val="000000" w:themeColor="text1"/>
          <w:sz w:val="20"/>
          <w:szCs w:val="20"/>
        </w:rPr>
        <w:t>–</w:t>
      </w:r>
      <w:r w:rsidRPr="003D1614">
        <w:rPr>
          <w:rFonts w:ascii="Arial" w:eastAsia="Times New Roman" w:hAnsi="Arial" w:cs="Arial"/>
          <w:color w:val="000000" w:themeColor="text1"/>
          <w:sz w:val="20"/>
          <w:szCs w:val="20"/>
        </w:rPr>
        <w:t xml:space="preserve"> obuhvaća</w:t>
      </w:r>
      <w:r w:rsidR="00252DFA">
        <w:rPr>
          <w:rFonts w:ascii="Arial" w:eastAsia="Times New Roman" w:hAnsi="Arial" w:cs="Arial"/>
          <w:color w:val="000000" w:themeColor="text1"/>
          <w:sz w:val="20"/>
          <w:szCs w:val="20"/>
        </w:rPr>
        <w:t xml:space="preserve"> izloženosti prema</w:t>
      </w:r>
      <w:r w:rsidRPr="003D1614">
        <w:rPr>
          <w:rFonts w:ascii="Arial" w:eastAsia="Times New Roman" w:hAnsi="Arial" w:cs="Arial"/>
          <w:color w:val="000000" w:themeColor="text1"/>
          <w:sz w:val="20"/>
          <w:szCs w:val="20"/>
        </w:rPr>
        <w:t xml:space="preserve"> klijent</w:t>
      </w:r>
      <w:r w:rsidR="00252DFA">
        <w:rPr>
          <w:rFonts w:ascii="Arial" w:eastAsia="Times New Roman" w:hAnsi="Arial" w:cs="Arial"/>
          <w:color w:val="000000" w:themeColor="text1"/>
          <w:sz w:val="20"/>
          <w:szCs w:val="20"/>
        </w:rPr>
        <w:t>ima</w:t>
      </w:r>
      <w:r w:rsidRPr="003D1614">
        <w:rPr>
          <w:rFonts w:ascii="Arial" w:eastAsia="Times New Roman" w:hAnsi="Arial" w:cs="Arial"/>
          <w:color w:val="000000" w:themeColor="text1"/>
          <w:sz w:val="20"/>
          <w:szCs w:val="20"/>
        </w:rPr>
        <w:t xml:space="preserve"> kod kojih je došlo do značajnog povećanja kreditnog rizika nakon početnog priznavanja,</w:t>
      </w:r>
    </w:p>
    <w:p w14:paraId="2545D9C4" w14:textId="2C8B3660" w:rsidR="00CD630B" w:rsidRPr="003D1614" w:rsidRDefault="00CD630B" w:rsidP="00CD630B">
      <w:pPr>
        <w:numPr>
          <w:ilvl w:val="0"/>
          <w:numId w:val="12"/>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3. stupanj </w:t>
      </w:r>
      <w:r w:rsidR="00252DFA">
        <w:rPr>
          <w:rFonts w:ascii="Arial" w:eastAsia="Times New Roman" w:hAnsi="Arial" w:cs="Arial"/>
          <w:color w:val="000000" w:themeColor="text1"/>
          <w:sz w:val="20"/>
          <w:szCs w:val="20"/>
        </w:rPr>
        <w:t>–</w:t>
      </w:r>
      <w:r w:rsidRPr="003D1614">
        <w:rPr>
          <w:rFonts w:ascii="Arial" w:eastAsia="Times New Roman" w:hAnsi="Arial" w:cs="Arial"/>
          <w:color w:val="000000" w:themeColor="text1"/>
          <w:sz w:val="20"/>
          <w:szCs w:val="20"/>
        </w:rPr>
        <w:t xml:space="preserve"> obuhvaća</w:t>
      </w:r>
      <w:r w:rsidR="00252DFA">
        <w:rPr>
          <w:rFonts w:ascii="Arial" w:eastAsia="Times New Roman" w:hAnsi="Arial" w:cs="Arial"/>
          <w:color w:val="000000" w:themeColor="text1"/>
          <w:sz w:val="20"/>
          <w:szCs w:val="20"/>
        </w:rPr>
        <w:t xml:space="preserve"> izloženosti prema</w:t>
      </w:r>
      <w:r w:rsidRPr="003D1614">
        <w:rPr>
          <w:rFonts w:ascii="Arial" w:eastAsia="Times New Roman" w:hAnsi="Arial" w:cs="Arial"/>
          <w:color w:val="000000" w:themeColor="text1"/>
          <w:sz w:val="20"/>
          <w:szCs w:val="20"/>
        </w:rPr>
        <w:t xml:space="preserve"> klijent</w:t>
      </w:r>
      <w:r w:rsidR="00252DFA">
        <w:rPr>
          <w:rFonts w:ascii="Arial" w:eastAsia="Times New Roman" w:hAnsi="Arial" w:cs="Arial"/>
          <w:color w:val="000000" w:themeColor="text1"/>
          <w:sz w:val="20"/>
          <w:szCs w:val="20"/>
        </w:rPr>
        <w:t>ima</w:t>
      </w:r>
      <w:r w:rsidRPr="003D1614">
        <w:rPr>
          <w:rFonts w:ascii="Arial" w:eastAsia="Times New Roman" w:hAnsi="Arial" w:cs="Arial"/>
          <w:color w:val="000000" w:themeColor="text1"/>
          <w:sz w:val="20"/>
          <w:szCs w:val="20"/>
        </w:rPr>
        <w:t xml:space="preserve"> u statusu neispunjavanja obveza odnosno  kod kojih postoje objektivni dokazi o umanjenju vrijednosti </w:t>
      </w:r>
    </w:p>
    <w:p w14:paraId="03BFFC37" w14:textId="0F22E7A7" w:rsidR="00CD630B" w:rsidRPr="003D1614" w:rsidRDefault="00CD630B" w:rsidP="00CD630B">
      <w:pPr>
        <w:numPr>
          <w:ilvl w:val="0"/>
          <w:numId w:val="12"/>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te zasebnu kategoriju </w:t>
      </w:r>
      <w:r w:rsidR="00252DFA">
        <w:rPr>
          <w:rFonts w:ascii="Arial" w:eastAsia="Times New Roman" w:hAnsi="Arial" w:cs="Arial"/>
          <w:color w:val="000000" w:themeColor="text1"/>
          <w:sz w:val="20"/>
          <w:szCs w:val="20"/>
        </w:rPr>
        <w:t>–</w:t>
      </w:r>
      <w:r w:rsidRPr="003D1614">
        <w:rPr>
          <w:rFonts w:ascii="Arial" w:eastAsia="Times New Roman" w:hAnsi="Arial" w:cs="Arial"/>
          <w:color w:val="000000" w:themeColor="text1"/>
          <w:sz w:val="20"/>
          <w:szCs w:val="20"/>
        </w:rPr>
        <w:t xml:space="preserve"> </w:t>
      </w:r>
      <w:r w:rsidR="00252DFA">
        <w:rPr>
          <w:rFonts w:ascii="Arial" w:eastAsia="Times New Roman" w:hAnsi="Arial" w:cs="Arial"/>
          <w:color w:val="000000" w:themeColor="text1"/>
          <w:sz w:val="20"/>
          <w:szCs w:val="20"/>
        </w:rPr>
        <w:t xml:space="preserve">čini </w:t>
      </w:r>
      <w:r w:rsidRPr="003D1614">
        <w:rPr>
          <w:rFonts w:ascii="Arial" w:eastAsia="Times New Roman" w:hAnsi="Arial" w:cs="Arial"/>
          <w:color w:val="000000" w:themeColor="text1"/>
          <w:sz w:val="20"/>
          <w:szCs w:val="20"/>
        </w:rPr>
        <w:t>kupljen</w:t>
      </w:r>
      <w:r w:rsidR="00252DFA">
        <w:rPr>
          <w:rFonts w:ascii="Arial" w:eastAsia="Times New Roman" w:hAnsi="Arial" w:cs="Arial"/>
          <w:color w:val="000000" w:themeColor="text1"/>
          <w:sz w:val="20"/>
          <w:szCs w:val="20"/>
        </w:rPr>
        <w:t>a</w:t>
      </w:r>
      <w:r w:rsidRPr="003D1614">
        <w:rPr>
          <w:rFonts w:ascii="Arial" w:eastAsia="Times New Roman" w:hAnsi="Arial" w:cs="Arial"/>
          <w:color w:val="000000" w:themeColor="text1"/>
          <w:sz w:val="20"/>
          <w:szCs w:val="20"/>
        </w:rPr>
        <w:t xml:space="preserve"> ili stvoren</w:t>
      </w:r>
      <w:r w:rsidR="00252DFA">
        <w:rPr>
          <w:rFonts w:ascii="Arial" w:eastAsia="Times New Roman" w:hAnsi="Arial" w:cs="Arial"/>
          <w:color w:val="000000" w:themeColor="text1"/>
          <w:sz w:val="20"/>
          <w:szCs w:val="20"/>
        </w:rPr>
        <w:t>a</w:t>
      </w:r>
      <w:r w:rsidRPr="003D1614">
        <w:rPr>
          <w:rFonts w:ascii="Arial" w:eastAsia="Times New Roman" w:hAnsi="Arial" w:cs="Arial"/>
          <w:color w:val="000000" w:themeColor="text1"/>
          <w:sz w:val="20"/>
          <w:szCs w:val="20"/>
        </w:rPr>
        <w:t xml:space="preserve"> kreditno umanjen</w:t>
      </w:r>
      <w:r w:rsidR="00252DFA">
        <w:rPr>
          <w:rFonts w:ascii="Arial" w:eastAsia="Times New Roman" w:hAnsi="Arial" w:cs="Arial"/>
          <w:color w:val="000000" w:themeColor="text1"/>
          <w:sz w:val="20"/>
          <w:szCs w:val="20"/>
        </w:rPr>
        <w:t>a</w:t>
      </w:r>
      <w:r w:rsidRPr="003D1614">
        <w:rPr>
          <w:rFonts w:ascii="Arial" w:eastAsia="Times New Roman" w:hAnsi="Arial" w:cs="Arial"/>
          <w:color w:val="000000" w:themeColor="text1"/>
          <w:sz w:val="20"/>
          <w:szCs w:val="20"/>
        </w:rPr>
        <w:t xml:space="preserve"> financijsk</w:t>
      </w:r>
      <w:r w:rsidR="00252DFA">
        <w:rPr>
          <w:rFonts w:ascii="Arial" w:eastAsia="Times New Roman" w:hAnsi="Arial" w:cs="Arial"/>
          <w:color w:val="000000" w:themeColor="text1"/>
          <w:sz w:val="20"/>
          <w:szCs w:val="20"/>
        </w:rPr>
        <w:t>a</w:t>
      </w:r>
      <w:r w:rsidRPr="003D1614">
        <w:rPr>
          <w:rFonts w:ascii="Arial" w:eastAsia="Times New Roman" w:hAnsi="Arial" w:cs="Arial"/>
          <w:color w:val="000000" w:themeColor="text1"/>
          <w:sz w:val="20"/>
          <w:szCs w:val="20"/>
        </w:rPr>
        <w:t xml:space="preserve"> imovin</w:t>
      </w:r>
      <w:r w:rsidR="00252DFA">
        <w:rPr>
          <w:rFonts w:ascii="Arial" w:eastAsia="Times New Roman" w:hAnsi="Arial" w:cs="Arial"/>
          <w:color w:val="000000" w:themeColor="text1"/>
          <w:sz w:val="20"/>
          <w:szCs w:val="20"/>
        </w:rPr>
        <w:t>a</w:t>
      </w:r>
      <w:r w:rsidRPr="003D1614">
        <w:rPr>
          <w:rFonts w:ascii="Arial" w:eastAsia="Times New Roman" w:hAnsi="Arial" w:cs="Arial"/>
          <w:color w:val="000000" w:themeColor="text1"/>
          <w:sz w:val="20"/>
          <w:szCs w:val="20"/>
        </w:rPr>
        <w:t xml:space="preserve"> (eng. </w:t>
      </w:r>
      <w:proofErr w:type="spellStart"/>
      <w:r w:rsidRPr="003D1614">
        <w:rPr>
          <w:rFonts w:ascii="Arial" w:eastAsia="Times New Roman" w:hAnsi="Arial" w:cs="Arial"/>
          <w:color w:val="000000" w:themeColor="text1"/>
          <w:sz w:val="20"/>
          <w:szCs w:val="20"/>
        </w:rPr>
        <w:t>Purchased</w:t>
      </w:r>
      <w:proofErr w:type="spellEnd"/>
      <w:r w:rsidRPr="003D1614">
        <w:rPr>
          <w:rFonts w:ascii="Arial" w:eastAsia="Times New Roman" w:hAnsi="Arial" w:cs="Arial"/>
          <w:color w:val="000000" w:themeColor="text1"/>
          <w:sz w:val="20"/>
          <w:szCs w:val="20"/>
        </w:rPr>
        <w:t xml:space="preserve"> </w:t>
      </w:r>
      <w:proofErr w:type="spellStart"/>
      <w:r w:rsidRPr="003D1614">
        <w:rPr>
          <w:rFonts w:ascii="Arial" w:eastAsia="Times New Roman" w:hAnsi="Arial" w:cs="Arial"/>
          <w:color w:val="000000" w:themeColor="text1"/>
          <w:sz w:val="20"/>
          <w:szCs w:val="20"/>
        </w:rPr>
        <w:t>or</w:t>
      </w:r>
      <w:proofErr w:type="spellEnd"/>
      <w:r w:rsidRPr="003D1614">
        <w:rPr>
          <w:rFonts w:ascii="Arial" w:eastAsia="Times New Roman" w:hAnsi="Arial" w:cs="Arial"/>
          <w:color w:val="000000" w:themeColor="text1"/>
          <w:sz w:val="20"/>
          <w:szCs w:val="20"/>
        </w:rPr>
        <w:t xml:space="preserve"> </w:t>
      </w:r>
      <w:proofErr w:type="spellStart"/>
      <w:r w:rsidRPr="003D1614">
        <w:rPr>
          <w:rFonts w:ascii="Arial" w:eastAsia="Times New Roman" w:hAnsi="Arial" w:cs="Arial"/>
          <w:color w:val="000000" w:themeColor="text1"/>
          <w:sz w:val="20"/>
          <w:szCs w:val="20"/>
        </w:rPr>
        <w:t>originated</w:t>
      </w:r>
      <w:proofErr w:type="spellEnd"/>
      <w:r w:rsidRPr="003D1614">
        <w:rPr>
          <w:rFonts w:ascii="Arial" w:eastAsia="Times New Roman" w:hAnsi="Arial" w:cs="Arial"/>
          <w:color w:val="000000" w:themeColor="text1"/>
          <w:sz w:val="20"/>
          <w:szCs w:val="20"/>
        </w:rPr>
        <w:t xml:space="preserve"> </w:t>
      </w:r>
      <w:proofErr w:type="spellStart"/>
      <w:r w:rsidRPr="003D1614">
        <w:rPr>
          <w:rFonts w:ascii="Arial" w:eastAsia="Times New Roman" w:hAnsi="Arial" w:cs="Arial"/>
          <w:color w:val="000000" w:themeColor="text1"/>
          <w:sz w:val="20"/>
          <w:szCs w:val="20"/>
        </w:rPr>
        <w:t>credit</w:t>
      </w:r>
      <w:proofErr w:type="spellEnd"/>
      <w:r w:rsidRPr="003D1614">
        <w:rPr>
          <w:rFonts w:ascii="Arial" w:eastAsia="Times New Roman" w:hAnsi="Arial" w:cs="Arial"/>
          <w:color w:val="000000" w:themeColor="text1"/>
          <w:sz w:val="20"/>
          <w:szCs w:val="20"/>
        </w:rPr>
        <w:t xml:space="preserve"> </w:t>
      </w:r>
      <w:proofErr w:type="spellStart"/>
      <w:r w:rsidRPr="003D1614">
        <w:rPr>
          <w:rFonts w:ascii="Arial" w:eastAsia="Times New Roman" w:hAnsi="Arial" w:cs="Arial"/>
          <w:color w:val="000000" w:themeColor="text1"/>
          <w:sz w:val="20"/>
          <w:szCs w:val="20"/>
        </w:rPr>
        <w:t>impaired</w:t>
      </w:r>
      <w:proofErr w:type="spellEnd"/>
      <w:r w:rsidRPr="003D1614">
        <w:rPr>
          <w:rFonts w:ascii="Arial" w:eastAsia="Times New Roman" w:hAnsi="Arial" w:cs="Arial"/>
          <w:color w:val="000000" w:themeColor="text1"/>
          <w:sz w:val="20"/>
          <w:szCs w:val="20"/>
        </w:rPr>
        <w:t xml:space="preserve"> </w:t>
      </w:r>
      <w:proofErr w:type="spellStart"/>
      <w:r w:rsidRPr="003D1614">
        <w:rPr>
          <w:rFonts w:ascii="Arial" w:eastAsia="Times New Roman" w:hAnsi="Arial" w:cs="Arial"/>
          <w:color w:val="000000" w:themeColor="text1"/>
          <w:sz w:val="20"/>
          <w:szCs w:val="20"/>
        </w:rPr>
        <w:t>asset</w:t>
      </w:r>
      <w:proofErr w:type="spellEnd"/>
      <w:r w:rsidRPr="003D1614">
        <w:rPr>
          <w:rFonts w:ascii="Arial" w:eastAsia="Times New Roman" w:hAnsi="Arial" w:cs="Arial"/>
          <w:color w:val="000000" w:themeColor="text1"/>
          <w:sz w:val="20"/>
          <w:szCs w:val="20"/>
        </w:rPr>
        <w:t>, POCI).</w:t>
      </w:r>
    </w:p>
    <w:p w14:paraId="76E725F6"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sectPr w:rsidR="00CD630B" w:rsidRPr="003D1614">
          <w:pgSz w:w="11906" w:h="16838"/>
          <w:pgMar w:top="1417" w:right="1417" w:bottom="1417" w:left="1417" w:header="708" w:footer="708" w:gutter="0"/>
          <w:cols w:space="708"/>
          <w:docGrid w:linePitch="360"/>
        </w:sectPr>
      </w:pPr>
    </w:p>
    <w:p w14:paraId="2CED2F44"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223B1155" w14:textId="5B8D7FC2" w:rsidR="00CD630B" w:rsidRPr="003D1614" w:rsidRDefault="00CD630B" w:rsidP="00CD630B">
      <w:pPr>
        <w:tabs>
          <w:tab w:val="left" w:pos="567"/>
        </w:tabs>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lang w:eastAsia="hr-HR"/>
        </w:rPr>
        <w:t>2</w:t>
      </w:r>
      <w:r w:rsidR="000E693B">
        <w:rPr>
          <w:rFonts w:ascii="Arial" w:eastAsia="Times New Roman" w:hAnsi="Arial" w:cs="Arial"/>
          <w:b/>
          <w:color w:val="000000" w:themeColor="text1"/>
          <w:sz w:val="20"/>
          <w:szCs w:val="20"/>
          <w:lang w:eastAsia="hr-HR"/>
        </w:rPr>
        <w:t>3</w:t>
      </w:r>
      <w:r w:rsidRPr="003D1614">
        <w:rPr>
          <w:rFonts w:ascii="Arial" w:eastAsia="Times New Roman" w:hAnsi="Arial" w:cs="Arial"/>
          <w:b/>
          <w:color w:val="000000" w:themeColor="text1"/>
          <w:sz w:val="20"/>
          <w:szCs w:val="20"/>
          <w:lang w:eastAsia="hr-HR"/>
        </w:rPr>
        <w:t>.</w:t>
      </w:r>
      <w:r w:rsidRPr="003D1614">
        <w:rPr>
          <w:rFonts w:ascii="Arial" w:eastAsia="Times New Roman" w:hAnsi="Arial" w:cs="Arial"/>
          <w:b/>
          <w:color w:val="000000" w:themeColor="text1"/>
          <w:sz w:val="20"/>
          <w:szCs w:val="20"/>
        </w:rPr>
        <w:tab/>
        <w:t>Upravljanje rizicima (nastavak)</w:t>
      </w:r>
    </w:p>
    <w:p w14:paraId="4F14A43F"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65EDF1D5" w14:textId="4EC9AA7B" w:rsidR="00CD630B" w:rsidRPr="003D1614" w:rsidRDefault="00CD630B" w:rsidP="00CD630B">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74635643"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773B6C72" w14:textId="31428E9E" w:rsidR="00CD630B" w:rsidRPr="003D1614" w:rsidRDefault="00CD630B" w:rsidP="00CD630B">
      <w:pPr>
        <w:tabs>
          <w:tab w:val="left" w:pos="851"/>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w:t>
      </w:r>
      <w:r w:rsidRPr="003D1614">
        <w:rPr>
          <w:rFonts w:ascii="Arial" w:eastAsia="Calibri" w:hAnsi="Arial" w:cs="Arial"/>
          <w:b/>
          <w:color w:val="000000" w:themeColor="text1"/>
          <w:sz w:val="20"/>
          <w:szCs w:val="20"/>
        </w:rPr>
        <w:tab/>
        <w:t>Procjena umanjenja vrijednosti (nastavak)</w:t>
      </w:r>
    </w:p>
    <w:p w14:paraId="3E25C8F0"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3DBC4088"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Tijekom ugovornog odnosa s klijentom procjenjuje se razina očekivanih kreditnih gubitaka klijenta. Procjena se provodi praćenjem slijedeća tri kriterija:</w:t>
      </w:r>
    </w:p>
    <w:p w14:paraId="7A0489A1" w14:textId="77777777" w:rsidR="00CD630B" w:rsidRPr="003D1614" w:rsidRDefault="00CD630B" w:rsidP="00CD630B">
      <w:pPr>
        <w:numPr>
          <w:ilvl w:val="0"/>
          <w:numId w:val="13"/>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kreditne sposobnosti dužnika</w:t>
      </w:r>
    </w:p>
    <w:p w14:paraId="5663FF48" w14:textId="77777777" w:rsidR="00CD630B" w:rsidRPr="003D1614" w:rsidRDefault="00CD630B" w:rsidP="00CD630B">
      <w:pPr>
        <w:numPr>
          <w:ilvl w:val="0"/>
          <w:numId w:val="13"/>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urednosti podmirivanja obveza i</w:t>
      </w:r>
    </w:p>
    <w:p w14:paraId="6F7304BF" w14:textId="7157ADC2" w:rsidR="00CD630B" w:rsidRPr="003D1614" w:rsidRDefault="00CD630B" w:rsidP="00CD630B">
      <w:pPr>
        <w:numPr>
          <w:ilvl w:val="0"/>
          <w:numId w:val="13"/>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kvalitete instrumenata osiguranja.</w:t>
      </w:r>
    </w:p>
    <w:p w14:paraId="61527DE5"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34B4953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Za cijelo vrijeme trajanja ugovornog odnosa procjenjuje se kreditna sposobnost dužnika s ciljem utvrđivanja moguće promjene financijskog položaja klijenta (dužnika) odnosno vjerojatnosti pogoršanja njegove kreditne sposobnosti. Kod utvrđivanja kreditne sposobnosti klijenta uzima se u obzir i grupa povezanih osoba zbog efekta zaraze odnosno mogućnosti prelijevanja rizika između povezanih osoba. Kreditna sposobnost klijenta se prati putem:</w:t>
      </w:r>
    </w:p>
    <w:p w14:paraId="0ECDC683" w14:textId="77777777" w:rsidR="0088484F" w:rsidRPr="003D1614" w:rsidRDefault="0088484F" w:rsidP="0088484F">
      <w:pPr>
        <w:numPr>
          <w:ilvl w:val="0"/>
          <w:numId w:val="14"/>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promjene financijskog rejtinga klijenta i s njim povezanih osoba, </w:t>
      </w:r>
    </w:p>
    <w:p w14:paraId="07454D69" w14:textId="77777777" w:rsidR="0088484F" w:rsidRPr="003D1614" w:rsidRDefault="0088484F" w:rsidP="0088484F">
      <w:pPr>
        <w:numPr>
          <w:ilvl w:val="0"/>
          <w:numId w:val="14"/>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kriterija kojima je svrha utvrđivanje financijskih poteškoća klijenta,</w:t>
      </w:r>
    </w:p>
    <w:p w14:paraId="08B76301" w14:textId="77777777" w:rsidR="0088484F" w:rsidRPr="003D1614" w:rsidRDefault="0088484F" w:rsidP="0088484F">
      <w:pPr>
        <w:numPr>
          <w:ilvl w:val="0"/>
          <w:numId w:val="14"/>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kriterija s Liste za pojačano praćenje klijenta te</w:t>
      </w:r>
    </w:p>
    <w:p w14:paraId="7E5DD721" w14:textId="77777777" w:rsidR="0088484F" w:rsidRPr="003D1614" w:rsidRDefault="0088484F" w:rsidP="0088484F">
      <w:pPr>
        <w:numPr>
          <w:ilvl w:val="0"/>
          <w:numId w:val="14"/>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kriterija za uočavanje povećanog kreditnog rizika.</w:t>
      </w:r>
    </w:p>
    <w:p w14:paraId="71130EE9"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032FFFA7" w14:textId="491DA4D8" w:rsidR="0088484F"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Klijent se smatra urednim ako sve svoje obveze podmiruje u cijelosti (glavnica, kamate, provizije, naknade i druge troškove) u ugovorenim iznosima i ugovorenim rokovima dospijeća pri čemu se svi plasmani i </w:t>
      </w:r>
      <w:proofErr w:type="spellStart"/>
      <w:r w:rsidRPr="003D1614">
        <w:rPr>
          <w:rFonts w:ascii="Arial" w:eastAsia="Times New Roman" w:hAnsi="Arial" w:cs="Arial"/>
          <w:color w:val="000000" w:themeColor="text1"/>
          <w:sz w:val="20"/>
          <w:szCs w:val="20"/>
        </w:rPr>
        <w:t>izvanbilančne</w:t>
      </w:r>
      <w:proofErr w:type="spellEnd"/>
      <w:r w:rsidRPr="003D1614">
        <w:rPr>
          <w:rFonts w:ascii="Arial" w:eastAsia="Times New Roman" w:hAnsi="Arial" w:cs="Arial"/>
          <w:color w:val="000000" w:themeColor="text1"/>
          <w:sz w:val="20"/>
          <w:szCs w:val="20"/>
        </w:rPr>
        <w:t xml:space="preserve"> obveze jednog klijenta promatraju kao jedan</w:t>
      </w:r>
      <w:r w:rsidR="00146ADB">
        <w:rPr>
          <w:rFonts w:ascii="Arial" w:eastAsia="Times New Roman" w:hAnsi="Arial" w:cs="Arial"/>
          <w:color w:val="000000" w:themeColor="text1"/>
          <w:sz w:val="20"/>
          <w:szCs w:val="20"/>
        </w:rPr>
        <w:t>, a samo iznimno i povremeno po isteku dospijeća, pod uvjetom da:</w:t>
      </w:r>
    </w:p>
    <w:p w14:paraId="666A44A0" w14:textId="77777777" w:rsidR="00762A27" w:rsidRPr="000146FE" w:rsidRDefault="00762A27" w:rsidP="00762A27">
      <w:pPr>
        <w:pStyle w:val="ListParagraph"/>
        <w:numPr>
          <w:ilvl w:val="0"/>
          <w:numId w:val="35"/>
        </w:numPr>
        <w:suppressAutoHyphens w:val="0"/>
        <w:autoSpaceDN/>
        <w:spacing w:line="276" w:lineRule="auto"/>
        <w:jc w:val="both"/>
        <w:rPr>
          <w:rFonts w:ascii="Arial" w:hAnsi="Arial"/>
          <w:sz w:val="20"/>
          <w:lang w:val="hr-HR"/>
        </w:rPr>
      </w:pPr>
      <w:r w:rsidRPr="000146FE">
        <w:rPr>
          <w:rFonts w:ascii="Arial" w:hAnsi="Arial"/>
          <w:sz w:val="20"/>
          <w:lang w:val="hr-HR"/>
        </w:rPr>
        <w:t>zakašnjenje u podmirivanju obveza dužnika nije duže od 90 dana</w:t>
      </w:r>
      <w:r w:rsidRPr="000146FE">
        <w:rPr>
          <w:rFonts w:ascii="Arial" w:hAnsi="Arial" w:cs="Arial"/>
          <w:sz w:val="20"/>
          <w:szCs w:val="20"/>
          <w:lang w:val="hr-HR"/>
        </w:rPr>
        <w:t xml:space="preserve"> i </w:t>
      </w:r>
    </w:p>
    <w:p w14:paraId="15D78F16" w14:textId="77777777" w:rsidR="00762A27" w:rsidRPr="000146FE" w:rsidRDefault="00762A27" w:rsidP="00762A27">
      <w:pPr>
        <w:pStyle w:val="ListParagraph"/>
        <w:numPr>
          <w:ilvl w:val="0"/>
          <w:numId w:val="35"/>
        </w:numPr>
        <w:suppressAutoHyphens w:val="0"/>
        <w:autoSpaceDN/>
        <w:spacing w:line="276" w:lineRule="auto"/>
        <w:jc w:val="both"/>
        <w:rPr>
          <w:rFonts w:ascii="Arial" w:hAnsi="Arial"/>
          <w:sz w:val="20"/>
          <w:lang w:val="hr-HR"/>
        </w:rPr>
      </w:pPr>
      <w:r w:rsidRPr="000146FE">
        <w:rPr>
          <w:rFonts w:ascii="Arial" w:hAnsi="Arial"/>
          <w:sz w:val="20"/>
          <w:lang w:val="hr-HR"/>
        </w:rPr>
        <w:t>nije materijalno značajno.</w:t>
      </w:r>
    </w:p>
    <w:p w14:paraId="636F58A5"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1A8ADE0" w14:textId="30E1E4B2"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Procjena instrumenata osiguranja temelji se na njihovoj kvaliteti, procjeni vrijednosti i rokovima naplativosti.</w:t>
      </w:r>
    </w:p>
    <w:p w14:paraId="650F45BF" w14:textId="15F39C5C"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BA46ACC" w14:textId="23407892" w:rsidR="0088484F" w:rsidRPr="003D1614" w:rsidRDefault="0088484F" w:rsidP="0088484F">
      <w:pPr>
        <w:tabs>
          <w:tab w:val="left" w:pos="993"/>
          <w:tab w:val="left" w:pos="1276"/>
        </w:tabs>
        <w:suppressAutoHyphens/>
        <w:autoSpaceDN w:val="0"/>
        <w:spacing w:line="300" w:lineRule="exact"/>
        <w:jc w:val="both"/>
        <w:rPr>
          <w:rFonts w:ascii="Arial" w:eastAsia="Calibri" w:hAnsi="Arial" w:cs="Arial"/>
          <w:b/>
          <w:color w:val="000000" w:themeColor="text1"/>
          <w:sz w:val="20"/>
          <w:szCs w:val="20"/>
        </w:rPr>
      </w:pPr>
      <w:bookmarkStart w:id="592" w:name="_Hlk513704657"/>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.3.2.1.</w:t>
      </w:r>
      <w:r w:rsidRPr="003D1614">
        <w:rPr>
          <w:rFonts w:ascii="Arial" w:eastAsia="Calibri" w:hAnsi="Arial" w:cs="Arial"/>
          <w:b/>
          <w:color w:val="000000" w:themeColor="text1"/>
          <w:sz w:val="20"/>
          <w:szCs w:val="20"/>
        </w:rPr>
        <w:tab/>
        <w:t xml:space="preserve">Definicija statusa neispunjenja ugovornih obveza (engl. </w:t>
      </w:r>
      <w:proofErr w:type="spellStart"/>
      <w:r w:rsidRPr="003D1614">
        <w:rPr>
          <w:rFonts w:ascii="Arial" w:eastAsia="Calibri" w:hAnsi="Arial" w:cs="Arial"/>
          <w:b/>
          <w:color w:val="000000" w:themeColor="text1"/>
          <w:sz w:val="20"/>
          <w:szCs w:val="20"/>
        </w:rPr>
        <w:t>default</w:t>
      </w:r>
      <w:proofErr w:type="spellEnd"/>
      <w:r w:rsidRPr="003D1614">
        <w:rPr>
          <w:rFonts w:ascii="Arial" w:eastAsia="Calibri" w:hAnsi="Arial" w:cs="Arial"/>
          <w:b/>
          <w:color w:val="000000" w:themeColor="text1"/>
          <w:sz w:val="20"/>
          <w:szCs w:val="20"/>
        </w:rPr>
        <w:t xml:space="preserve">) i izlaska iz statusa neispunjenja obveza (oporavka) </w:t>
      </w:r>
    </w:p>
    <w:bookmarkEnd w:id="592"/>
    <w:p w14:paraId="7DA200E7"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B09943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Status neispunjenja obveza pojedinog klijenta je nastao kada je ispunjen jedan od sljedećih uvjeta ili oba sljedeća uvjeta:</w:t>
      </w:r>
    </w:p>
    <w:p w14:paraId="49886E14" w14:textId="77777777" w:rsidR="0088484F" w:rsidRPr="003D1614" w:rsidRDefault="0088484F" w:rsidP="0088484F">
      <w:pPr>
        <w:numPr>
          <w:ilvl w:val="0"/>
          <w:numId w:val="15"/>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ocjenjuje se vjerojatnim da klijent neće u cijelosti podmiriti svoje obveze prema HBOR-u ne uzimajući u obzir mogućnost naplate iz instrumenata osiguranja,</w:t>
      </w:r>
    </w:p>
    <w:p w14:paraId="11F3DC85" w14:textId="77777777" w:rsidR="0088484F" w:rsidRPr="003D1614" w:rsidRDefault="0088484F" w:rsidP="0088484F">
      <w:pPr>
        <w:numPr>
          <w:ilvl w:val="0"/>
          <w:numId w:val="15"/>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klijent više od 90 dana nije ispunio svoju dospjelu obvezu po bilo kojoj značajnoj kreditnoj obvezi.</w:t>
      </w:r>
    </w:p>
    <w:p w14:paraId="535F9955"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58A2281" w14:textId="129A069E"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Prag značajnosti iznosi </w:t>
      </w:r>
      <w:r w:rsidR="0016387E">
        <w:rPr>
          <w:rFonts w:ascii="Arial" w:eastAsia="Times New Roman" w:hAnsi="Arial" w:cs="Arial"/>
          <w:color w:val="000000" w:themeColor="text1"/>
          <w:sz w:val="20"/>
          <w:szCs w:val="20"/>
        </w:rPr>
        <w:t>100 eura</w:t>
      </w:r>
      <w:r w:rsidRPr="003D1614">
        <w:rPr>
          <w:rFonts w:ascii="Arial" w:eastAsia="Times New Roman" w:hAnsi="Arial" w:cs="Arial"/>
          <w:color w:val="000000" w:themeColor="text1"/>
          <w:sz w:val="20"/>
          <w:szCs w:val="20"/>
        </w:rPr>
        <w:t xml:space="preserve"> za stanovništvo, a za ostale klijente </w:t>
      </w:r>
      <w:r w:rsidR="0016387E">
        <w:rPr>
          <w:rFonts w:ascii="Arial" w:eastAsia="Times New Roman" w:hAnsi="Arial" w:cs="Arial"/>
          <w:color w:val="000000" w:themeColor="text1"/>
          <w:sz w:val="20"/>
          <w:szCs w:val="20"/>
        </w:rPr>
        <w:t>500 eura</w:t>
      </w:r>
      <w:r w:rsidRPr="003D1614">
        <w:rPr>
          <w:rFonts w:ascii="Arial" w:eastAsia="Times New Roman" w:hAnsi="Arial" w:cs="Arial"/>
          <w:color w:val="000000" w:themeColor="text1"/>
          <w:sz w:val="20"/>
          <w:szCs w:val="20"/>
        </w:rPr>
        <w:t>, računa se na nivou klijenta zbrajanjem dospjelih obveza po svim plasmanima klijenta.</w:t>
      </w:r>
    </w:p>
    <w:p w14:paraId="6F5A736C"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7C0AD7CA"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 procjeni vjerojatnosti da dužnik neće u cijelosti podmiriti svoje obveze uzimaju se u obzir slijedeći elementi:</w:t>
      </w:r>
    </w:p>
    <w:p w14:paraId="47054D67" w14:textId="475EC6AA" w:rsidR="0088484F" w:rsidRPr="003D1614" w:rsidRDefault="0088484F" w:rsidP="0088484F">
      <w:pPr>
        <w:numPr>
          <w:ilvl w:val="0"/>
          <w:numId w:val="16"/>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priznato je umanjenje vrijednosti</w:t>
      </w:r>
      <w:r w:rsidR="002D6529">
        <w:rPr>
          <w:rFonts w:ascii="Arial" w:eastAsia="Times New Roman" w:hAnsi="Arial" w:cs="Arial"/>
          <w:color w:val="000000" w:themeColor="text1"/>
          <w:sz w:val="20"/>
          <w:szCs w:val="20"/>
        </w:rPr>
        <w:t xml:space="preserve"> i rezerviranja</w:t>
      </w:r>
      <w:r w:rsidRPr="003D1614">
        <w:rPr>
          <w:rFonts w:ascii="Arial" w:eastAsia="Times New Roman" w:hAnsi="Arial" w:cs="Arial"/>
          <w:color w:val="000000" w:themeColor="text1"/>
          <w:sz w:val="20"/>
          <w:szCs w:val="20"/>
        </w:rPr>
        <w:t xml:space="preserve"> za </w:t>
      </w:r>
      <w:r w:rsidR="002D6529">
        <w:rPr>
          <w:rFonts w:ascii="Arial" w:eastAsia="Times New Roman" w:hAnsi="Arial" w:cs="Arial"/>
          <w:color w:val="000000" w:themeColor="text1"/>
          <w:sz w:val="20"/>
          <w:szCs w:val="20"/>
        </w:rPr>
        <w:t xml:space="preserve">očekivane </w:t>
      </w:r>
      <w:r w:rsidRPr="003D1614">
        <w:rPr>
          <w:rFonts w:ascii="Arial" w:eastAsia="Times New Roman" w:hAnsi="Arial" w:cs="Arial"/>
          <w:color w:val="000000" w:themeColor="text1"/>
          <w:sz w:val="20"/>
          <w:szCs w:val="20"/>
        </w:rPr>
        <w:t xml:space="preserve">kreditne gubitke zbog uočenoga značajnog pogoršanja kreditne kvalitete dužnika, </w:t>
      </w:r>
    </w:p>
    <w:p w14:paraId="31774D59" w14:textId="77777777" w:rsidR="0088484F" w:rsidRPr="003D1614" w:rsidRDefault="0088484F" w:rsidP="0088484F">
      <w:pPr>
        <w:numPr>
          <w:ilvl w:val="0"/>
          <w:numId w:val="16"/>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prodaja kreditne izloženosti uz značajan ekonomski gubitak,</w:t>
      </w:r>
    </w:p>
    <w:p w14:paraId="48DF1C82" w14:textId="77777777" w:rsidR="0088484F" w:rsidRPr="003D1614" w:rsidRDefault="0088484F" w:rsidP="0088484F">
      <w:pPr>
        <w:numPr>
          <w:ilvl w:val="0"/>
          <w:numId w:val="16"/>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reprogramiranje ili restrukturiranje kreditne izloženosti zbog financijskih poteškoća dužnika,</w:t>
      </w:r>
    </w:p>
    <w:p w14:paraId="32558483" w14:textId="77777777" w:rsidR="0088484F" w:rsidRPr="003D1614" w:rsidRDefault="0088484F" w:rsidP="0088484F">
      <w:pPr>
        <w:numPr>
          <w:ilvl w:val="0"/>
          <w:numId w:val="16"/>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stečajni ili sličan postupak (PSN, likvidacija) nad dužnikom,</w:t>
      </w:r>
    </w:p>
    <w:p w14:paraId="15C974E7" w14:textId="77777777" w:rsidR="0088484F" w:rsidRPr="003D1614" w:rsidRDefault="0088484F" w:rsidP="0088484F">
      <w:pPr>
        <w:numPr>
          <w:ilvl w:val="0"/>
          <w:numId w:val="16"/>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imenovana posebna uprava, ukinuto odobrenje za rad, pokrenute mjere rane intervencije,</w:t>
      </w:r>
    </w:p>
    <w:p w14:paraId="7ABA3B49" w14:textId="1149CEA2" w:rsidR="00CB08E0" w:rsidRDefault="0088484F" w:rsidP="0088484F">
      <w:pPr>
        <w:numPr>
          <w:ilvl w:val="0"/>
          <w:numId w:val="16"/>
        </w:numPr>
        <w:suppressAutoHyphens/>
        <w:autoSpaceDN w:val="0"/>
        <w:jc w:val="both"/>
        <w:rPr>
          <w:rFonts w:ascii="Arial" w:eastAsia="Times New Roman" w:hAnsi="Arial" w:cs="Arial"/>
          <w:color w:val="000000" w:themeColor="text1"/>
          <w:sz w:val="20"/>
          <w:szCs w:val="20"/>
        </w:rPr>
        <w:sectPr w:rsidR="00CB08E0">
          <w:pgSz w:w="11906" w:h="16838"/>
          <w:pgMar w:top="1417" w:right="1417" w:bottom="1417" w:left="1417" w:header="708" w:footer="708" w:gutter="0"/>
          <w:cols w:space="708"/>
          <w:docGrid w:linePitch="360"/>
        </w:sectPr>
      </w:pPr>
      <w:r w:rsidRPr="003D1614">
        <w:rPr>
          <w:rFonts w:ascii="Arial" w:eastAsia="Times New Roman" w:hAnsi="Arial" w:cs="Arial"/>
          <w:color w:val="000000" w:themeColor="text1"/>
          <w:sz w:val="20"/>
          <w:szCs w:val="20"/>
        </w:rPr>
        <w:t>otkaz ugovo</w:t>
      </w:r>
      <w:r w:rsidR="00CB08E0">
        <w:rPr>
          <w:rFonts w:ascii="Arial" w:eastAsia="Times New Roman" w:hAnsi="Arial" w:cs="Arial"/>
          <w:color w:val="000000" w:themeColor="text1"/>
          <w:sz w:val="20"/>
          <w:szCs w:val="20"/>
        </w:rPr>
        <w:t>ra,</w:t>
      </w:r>
    </w:p>
    <w:p w14:paraId="7911BBC4" w14:textId="77777777" w:rsidR="00CB08E0" w:rsidRDefault="00CB08E0" w:rsidP="00CB08E0">
      <w:pPr>
        <w:keepNext/>
        <w:tabs>
          <w:tab w:val="left" w:pos="567"/>
        </w:tabs>
        <w:jc w:val="both"/>
        <w:rPr>
          <w:rFonts w:ascii="Arial" w:hAnsi="Arial" w:cs="Arial"/>
          <w:b/>
          <w:bCs/>
          <w:color w:val="000000" w:themeColor="text1"/>
          <w:sz w:val="20"/>
          <w:szCs w:val="20"/>
          <w:lang w:eastAsia="hr-HR"/>
        </w:rPr>
      </w:pPr>
    </w:p>
    <w:p w14:paraId="26BEF89C" w14:textId="3B2E44CA" w:rsidR="00CB08E0" w:rsidRPr="005D1219" w:rsidRDefault="00CB08E0" w:rsidP="005D1219">
      <w:pPr>
        <w:keepNext/>
        <w:tabs>
          <w:tab w:val="left" w:pos="567"/>
        </w:tabs>
        <w:jc w:val="both"/>
        <w:rPr>
          <w:rFonts w:ascii="Arial" w:hAnsi="Arial" w:cs="Arial"/>
          <w:b/>
          <w:bCs/>
          <w:color w:val="000000" w:themeColor="text1"/>
          <w:sz w:val="20"/>
          <w:szCs w:val="20"/>
        </w:rPr>
      </w:pPr>
      <w:r w:rsidRPr="005D1219">
        <w:rPr>
          <w:rFonts w:ascii="Arial" w:hAnsi="Arial" w:cs="Arial"/>
          <w:b/>
          <w:bCs/>
          <w:color w:val="000000" w:themeColor="text1"/>
          <w:sz w:val="20"/>
          <w:szCs w:val="20"/>
          <w:lang w:eastAsia="hr-HR"/>
        </w:rPr>
        <w:t>23.</w:t>
      </w:r>
      <w:r w:rsidRPr="005D1219">
        <w:rPr>
          <w:rFonts w:ascii="Arial" w:hAnsi="Arial" w:cs="Arial"/>
          <w:b/>
          <w:bCs/>
          <w:color w:val="000000" w:themeColor="text1"/>
          <w:sz w:val="20"/>
          <w:szCs w:val="20"/>
        </w:rPr>
        <w:tab/>
        <w:t>Upravljanje rizicima (nastavak)</w:t>
      </w:r>
    </w:p>
    <w:p w14:paraId="07544195" w14:textId="77777777" w:rsidR="00CB08E0" w:rsidRPr="00CB08E0" w:rsidRDefault="00CB08E0" w:rsidP="005D1219">
      <w:pPr>
        <w:pStyle w:val="ListParagraph"/>
        <w:jc w:val="both"/>
        <w:rPr>
          <w:rFonts w:ascii="Arial" w:hAnsi="Arial" w:cs="Arial"/>
          <w:color w:val="000000" w:themeColor="text1"/>
          <w:sz w:val="20"/>
          <w:szCs w:val="20"/>
        </w:rPr>
      </w:pPr>
    </w:p>
    <w:p w14:paraId="46649A7D" w14:textId="77777777" w:rsidR="00CB08E0" w:rsidRPr="005D1219" w:rsidRDefault="00CB08E0" w:rsidP="005D1219">
      <w:pPr>
        <w:tabs>
          <w:tab w:val="left" w:pos="567"/>
        </w:tabs>
        <w:spacing w:line="300" w:lineRule="exact"/>
        <w:rPr>
          <w:rFonts w:ascii="Arial" w:eastAsia="Calibri" w:hAnsi="Arial" w:cs="Arial"/>
          <w:b/>
          <w:color w:val="000000" w:themeColor="text1"/>
          <w:sz w:val="20"/>
          <w:szCs w:val="20"/>
        </w:rPr>
      </w:pPr>
      <w:r w:rsidRPr="005D1219">
        <w:rPr>
          <w:rFonts w:ascii="Arial" w:eastAsia="Calibri" w:hAnsi="Arial" w:cs="Arial"/>
          <w:b/>
          <w:color w:val="000000" w:themeColor="text1"/>
          <w:sz w:val="20"/>
          <w:szCs w:val="20"/>
        </w:rPr>
        <w:t>23.3.</w:t>
      </w:r>
      <w:r w:rsidRPr="005D1219">
        <w:rPr>
          <w:rFonts w:ascii="Arial" w:eastAsia="Calibri" w:hAnsi="Arial" w:cs="Arial"/>
          <w:b/>
          <w:color w:val="000000" w:themeColor="text1"/>
          <w:sz w:val="20"/>
          <w:szCs w:val="20"/>
        </w:rPr>
        <w:tab/>
        <w:t>Kreditni rizik (nastavak)</w:t>
      </w:r>
    </w:p>
    <w:p w14:paraId="1C879171" w14:textId="77777777" w:rsidR="00CB08E0" w:rsidRPr="005D1219" w:rsidRDefault="00CB08E0" w:rsidP="005D1219">
      <w:pPr>
        <w:spacing w:line="300" w:lineRule="exact"/>
        <w:jc w:val="both"/>
        <w:rPr>
          <w:rFonts w:ascii="Arial" w:eastAsia="Calibri" w:hAnsi="Arial" w:cs="Arial"/>
          <w:b/>
          <w:color w:val="000000" w:themeColor="text1"/>
          <w:sz w:val="20"/>
          <w:szCs w:val="20"/>
        </w:rPr>
      </w:pPr>
    </w:p>
    <w:p w14:paraId="17E36256" w14:textId="77777777" w:rsidR="00CB08E0" w:rsidRPr="005D1219" w:rsidRDefault="00CB08E0" w:rsidP="005D1219">
      <w:pPr>
        <w:tabs>
          <w:tab w:val="left" w:pos="851"/>
        </w:tabs>
        <w:spacing w:line="300" w:lineRule="exact"/>
        <w:jc w:val="both"/>
        <w:rPr>
          <w:rFonts w:ascii="Arial" w:eastAsia="Calibri" w:hAnsi="Arial" w:cs="Arial"/>
          <w:b/>
          <w:color w:val="000000" w:themeColor="text1"/>
          <w:sz w:val="20"/>
          <w:szCs w:val="20"/>
        </w:rPr>
      </w:pPr>
      <w:r w:rsidRPr="005D1219">
        <w:rPr>
          <w:rFonts w:ascii="Arial" w:eastAsia="Calibri" w:hAnsi="Arial" w:cs="Arial"/>
          <w:b/>
          <w:color w:val="000000" w:themeColor="text1"/>
          <w:sz w:val="20"/>
          <w:szCs w:val="20"/>
        </w:rPr>
        <w:t>23.3.2.</w:t>
      </w:r>
      <w:r w:rsidRPr="005D1219">
        <w:rPr>
          <w:rFonts w:ascii="Arial" w:eastAsia="Calibri" w:hAnsi="Arial" w:cs="Arial"/>
          <w:b/>
          <w:color w:val="000000" w:themeColor="text1"/>
          <w:sz w:val="20"/>
          <w:szCs w:val="20"/>
        </w:rPr>
        <w:tab/>
        <w:t>Procjena umanjenja vrijednosti (nastavak)</w:t>
      </w:r>
    </w:p>
    <w:p w14:paraId="09403F42" w14:textId="77777777" w:rsidR="00CB08E0" w:rsidRPr="005D1219" w:rsidRDefault="00CB08E0" w:rsidP="005D1219">
      <w:pPr>
        <w:spacing w:line="300" w:lineRule="exact"/>
        <w:jc w:val="both"/>
        <w:rPr>
          <w:rFonts w:ascii="Arial" w:eastAsia="Calibri" w:hAnsi="Arial" w:cs="Arial"/>
          <w:b/>
          <w:color w:val="000000" w:themeColor="text1"/>
          <w:sz w:val="20"/>
          <w:szCs w:val="20"/>
        </w:rPr>
      </w:pPr>
    </w:p>
    <w:p w14:paraId="00C77B6E" w14:textId="77777777" w:rsidR="00CB08E0" w:rsidRPr="005D1219" w:rsidRDefault="00CB08E0" w:rsidP="005D1219">
      <w:pPr>
        <w:spacing w:after="120" w:line="300" w:lineRule="exact"/>
        <w:jc w:val="both"/>
        <w:rPr>
          <w:rFonts w:ascii="Arial" w:eastAsia="Calibri" w:hAnsi="Arial" w:cs="Arial"/>
          <w:b/>
          <w:color w:val="000000" w:themeColor="text1"/>
          <w:sz w:val="20"/>
          <w:szCs w:val="20"/>
        </w:rPr>
      </w:pPr>
      <w:r w:rsidRPr="005D1219">
        <w:rPr>
          <w:rFonts w:ascii="Arial" w:eastAsia="Calibri" w:hAnsi="Arial" w:cs="Arial"/>
          <w:b/>
          <w:color w:val="000000" w:themeColor="text1"/>
          <w:sz w:val="20"/>
          <w:szCs w:val="20"/>
        </w:rPr>
        <w:t xml:space="preserve">23.3.2.1. Definicija statusa neispunjenja ugovornih obveza (engl. </w:t>
      </w:r>
      <w:proofErr w:type="spellStart"/>
      <w:r w:rsidRPr="005D1219">
        <w:rPr>
          <w:rFonts w:ascii="Arial" w:eastAsia="Calibri" w:hAnsi="Arial" w:cs="Arial"/>
          <w:b/>
          <w:color w:val="000000" w:themeColor="text1"/>
          <w:sz w:val="20"/>
          <w:szCs w:val="20"/>
        </w:rPr>
        <w:t>default</w:t>
      </w:r>
      <w:proofErr w:type="spellEnd"/>
      <w:r w:rsidRPr="005D1219">
        <w:rPr>
          <w:rFonts w:ascii="Arial" w:eastAsia="Calibri" w:hAnsi="Arial" w:cs="Arial"/>
          <w:b/>
          <w:color w:val="000000" w:themeColor="text1"/>
          <w:sz w:val="20"/>
          <w:szCs w:val="20"/>
        </w:rPr>
        <w:t>) i izlaska iz statusa neispunjenja obveza (oporavka) (nastavak)</w:t>
      </w:r>
    </w:p>
    <w:p w14:paraId="3DC24572" w14:textId="55A1F8A2" w:rsidR="0088484F" w:rsidRDefault="0088484F" w:rsidP="0088484F">
      <w:pPr>
        <w:numPr>
          <w:ilvl w:val="0"/>
          <w:numId w:val="16"/>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plaćanje po garanciji</w:t>
      </w:r>
      <w:r w:rsidR="00C50D04">
        <w:rPr>
          <w:rFonts w:ascii="Arial" w:eastAsia="Times New Roman" w:hAnsi="Arial" w:cs="Arial"/>
          <w:color w:val="000000" w:themeColor="text1"/>
          <w:sz w:val="20"/>
          <w:szCs w:val="20"/>
        </w:rPr>
        <w:t xml:space="preserve"> od strane HBOR-a,</w:t>
      </w:r>
    </w:p>
    <w:p w14:paraId="2AEBC149" w14:textId="00889DFE" w:rsidR="00C50D04" w:rsidRPr="003D1614" w:rsidRDefault="00C50D04" w:rsidP="0088484F">
      <w:pPr>
        <w:numPr>
          <w:ilvl w:val="0"/>
          <w:numId w:val="16"/>
        </w:numPr>
        <w:suppressAutoHyphens/>
        <w:autoSpaceDN w:val="0"/>
        <w:jc w:val="both"/>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procjenjuje se da će status neispunjenja obveza povezane osobe uzrokovati status neispunjenja obveza dužnika.</w:t>
      </w:r>
    </w:p>
    <w:p w14:paraId="6867EB99"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8E98BA1"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Osim navedenog, prilikom utvrđivanja statusa neispunjenja obveza uzimaju se u obzir i odnosi unutar grupe povezanih osoba ako postoji status neispunjavanja obveza kod jednog dužnika unutar grupe povezanih osoba koji dovodi do učinka širenja statusa neispunjavanja obveza na druge subjekte unutar te grupe. </w:t>
      </w:r>
    </w:p>
    <w:p w14:paraId="529E591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FCD54CD"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Svi</w:t>
      </w:r>
      <w:r w:rsidRPr="003D1614">
        <w:rPr>
          <w:rFonts w:ascii="Arial" w:eastAsia="Times New Roman" w:hAnsi="Arial" w:cs="Arial"/>
          <w:b/>
          <w:color w:val="000000" w:themeColor="text1"/>
          <w:sz w:val="20"/>
          <w:szCs w:val="20"/>
        </w:rPr>
        <w:t xml:space="preserve"> </w:t>
      </w:r>
      <w:r w:rsidRPr="003D1614">
        <w:rPr>
          <w:rFonts w:ascii="Arial" w:eastAsia="Times New Roman" w:hAnsi="Arial" w:cs="Arial"/>
          <w:color w:val="000000" w:themeColor="text1"/>
          <w:sz w:val="20"/>
          <w:szCs w:val="20"/>
        </w:rPr>
        <w:t>financijski instrumenti klijenta u statusu neispunjenja obveza se klasificiraju u 3. stupanj.</w:t>
      </w:r>
    </w:p>
    <w:p w14:paraId="233AF6D8"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281C830E"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Plasmani klijentima u statusu neispunjenja obveza zbog materijalnog kašnjenja u plaćanju obveza preko 90 dana mogu se klasificirati u ozdravljene/rehabilitirane ukoliko je prošlo 150 dana od trenutka ne postojanja okidača za status neispunjenja obveza. U razdoblju kušnje od 150 dana klijent ne smije kasniti u plaćanju obveza preko 30 dana u materijalno značajnom iznosu.</w:t>
      </w:r>
    </w:p>
    <w:p w14:paraId="68DC679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6A7F9600"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Po proteku 150 dana ozdravljenim klijentima se smatraju samo klijenti za koje je utvrđeno da nisu u financijskim poteškoćama. Ako postoje naznake ponovnog ulaska u status neispunjenja obveza, status se ne mijenja sve do stvarnog i trajnog poboljšanja kreditne kvalitete klijenta.</w:t>
      </w:r>
    </w:p>
    <w:p w14:paraId="3BAA5F08"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20C985D" w14:textId="1D8DBDD8"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Restrukturirane izloženosti kojima su uzrok financijske poteškoće i problemi u otplati </w:t>
      </w:r>
      <w:r w:rsidR="00E7409C">
        <w:rPr>
          <w:rFonts w:ascii="Arial" w:eastAsia="Times New Roman" w:hAnsi="Arial" w:cs="Arial"/>
          <w:color w:val="000000" w:themeColor="text1"/>
          <w:sz w:val="20"/>
          <w:szCs w:val="20"/>
        </w:rPr>
        <w:t xml:space="preserve">klijenta </w:t>
      </w:r>
      <w:r w:rsidRPr="003D1614">
        <w:rPr>
          <w:rFonts w:ascii="Arial" w:eastAsia="Times New Roman" w:hAnsi="Arial" w:cs="Arial"/>
          <w:color w:val="000000" w:themeColor="text1"/>
          <w:sz w:val="20"/>
          <w:szCs w:val="20"/>
        </w:rPr>
        <w:t>se mogu klasificirati kao ozdravljene/rehabilitirane nakon  godine</w:t>
      </w:r>
      <w:r w:rsidR="00E7409C">
        <w:rPr>
          <w:rFonts w:ascii="Arial" w:eastAsia="Times New Roman" w:hAnsi="Arial" w:cs="Arial"/>
          <w:color w:val="000000" w:themeColor="text1"/>
          <w:sz w:val="20"/>
          <w:szCs w:val="20"/>
        </w:rPr>
        <w:t xml:space="preserve"> dana</w:t>
      </w:r>
      <w:r w:rsidRPr="003D1614">
        <w:rPr>
          <w:rFonts w:ascii="Arial" w:eastAsia="Times New Roman" w:hAnsi="Arial" w:cs="Arial"/>
          <w:color w:val="000000" w:themeColor="text1"/>
          <w:sz w:val="20"/>
          <w:szCs w:val="20"/>
        </w:rPr>
        <w:t xml:space="preserve"> od posljednjeg među događajima:</w:t>
      </w:r>
    </w:p>
    <w:p w14:paraId="083DF531" w14:textId="77777777" w:rsidR="0088484F" w:rsidRPr="003D1614" w:rsidRDefault="0088484F" w:rsidP="0088484F">
      <w:pPr>
        <w:numPr>
          <w:ilvl w:val="0"/>
          <w:numId w:val="17"/>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od dana restrukturiranja,</w:t>
      </w:r>
    </w:p>
    <w:p w14:paraId="4BF3FE44" w14:textId="77777777" w:rsidR="0088484F" w:rsidRPr="003D1614" w:rsidRDefault="0088484F" w:rsidP="0088484F">
      <w:pPr>
        <w:numPr>
          <w:ilvl w:val="0"/>
          <w:numId w:val="17"/>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od datuma dodjele statusa neispunjenja obveza,</w:t>
      </w:r>
    </w:p>
    <w:p w14:paraId="6A6E49A5" w14:textId="77777777" w:rsidR="0088484F" w:rsidRPr="003D1614" w:rsidRDefault="0088484F" w:rsidP="0088484F">
      <w:pPr>
        <w:numPr>
          <w:ilvl w:val="0"/>
          <w:numId w:val="17"/>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od proteka počeka ukoliko je odobren u sklopu restrukturiranja.</w:t>
      </w:r>
    </w:p>
    <w:p w14:paraId="240C4211"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054F5B13" w14:textId="61B8C223"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Tijekom razdoblja kušnje od  godine </w:t>
      </w:r>
      <w:r w:rsidR="007A26AB">
        <w:rPr>
          <w:rFonts w:ascii="Arial" w:eastAsia="Times New Roman" w:hAnsi="Arial" w:cs="Arial"/>
          <w:color w:val="000000" w:themeColor="text1"/>
          <w:sz w:val="20"/>
          <w:szCs w:val="20"/>
        </w:rPr>
        <w:t xml:space="preserve">dana </w:t>
      </w:r>
      <w:r w:rsidRPr="003D1614">
        <w:rPr>
          <w:rFonts w:ascii="Arial" w:eastAsia="Times New Roman" w:hAnsi="Arial" w:cs="Arial"/>
          <w:color w:val="000000" w:themeColor="text1"/>
          <w:sz w:val="20"/>
          <w:szCs w:val="20"/>
        </w:rPr>
        <w:t>u izloženosti u statusu ispunjavanja obveza se mogu klasificirati izloženosti kojima su ispunjeni svi sljedeći uvjeti :</w:t>
      </w:r>
    </w:p>
    <w:p w14:paraId="506593A9" w14:textId="77777777" w:rsidR="0088484F" w:rsidRPr="003D1614" w:rsidRDefault="0088484F" w:rsidP="0088484F">
      <w:pPr>
        <w:numPr>
          <w:ilvl w:val="0"/>
          <w:numId w:val="18"/>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dužnik je uredno platio po dospijeću najmanje iznos restrukturiranih obveza u visini dospjelih u trenutku provedbe restrukturiranja,</w:t>
      </w:r>
    </w:p>
    <w:p w14:paraId="63DE973B" w14:textId="77777777" w:rsidR="0088484F" w:rsidRPr="003D1614" w:rsidRDefault="0088484F" w:rsidP="0088484F">
      <w:pPr>
        <w:numPr>
          <w:ilvl w:val="0"/>
          <w:numId w:val="18"/>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dužnik je redovito plaćao dospjele obveze u skladu s planom otplate (ili uz kašnjenje do 30 dana),</w:t>
      </w:r>
    </w:p>
    <w:p w14:paraId="6D5C8E4B" w14:textId="77777777" w:rsidR="0088484F" w:rsidRPr="003D1614" w:rsidRDefault="0088484F" w:rsidP="0088484F">
      <w:pPr>
        <w:numPr>
          <w:ilvl w:val="0"/>
          <w:numId w:val="18"/>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nema vjerojatnosti stupanja u status neispunjenja obveza,</w:t>
      </w:r>
    </w:p>
    <w:p w14:paraId="12CBC79D" w14:textId="77777777" w:rsidR="0088484F" w:rsidRPr="003D1614" w:rsidRDefault="0088484F" w:rsidP="0088484F">
      <w:pPr>
        <w:numPr>
          <w:ilvl w:val="0"/>
          <w:numId w:val="18"/>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nema dospjelih nepodmirenih obveza nakon restrukturiranja,</w:t>
      </w:r>
    </w:p>
    <w:p w14:paraId="2EB588F5" w14:textId="77777777" w:rsidR="0088484F" w:rsidRDefault="0088484F" w:rsidP="0088484F">
      <w:pPr>
        <w:numPr>
          <w:ilvl w:val="0"/>
          <w:numId w:val="18"/>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nema sumnje da dužnik neće plaćati i nadalje svoje obveze po dospijeću. </w:t>
      </w:r>
    </w:p>
    <w:p w14:paraId="27919F79" w14:textId="77777777" w:rsidR="007A26AB" w:rsidRPr="003D1614" w:rsidRDefault="007A26AB" w:rsidP="005D1219">
      <w:pPr>
        <w:suppressAutoHyphens/>
        <w:autoSpaceDN w:val="0"/>
        <w:ind w:left="720"/>
        <w:jc w:val="both"/>
        <w:rPr>
          <w:rFonts w:ascii="Arial" w:eastAsia="Times New Roman" w:hAnsi="Arial" w:cs="Arial"/>
          <w:color w:val="000000" w:themeColor="text1"/>
          <w:sz w:val="20"/>
          <w:szCs w:val="20"/>
        </w:rPr>
      </w:pPr>
    </w:p>
    <w:p w14:paraId="0553FE51" w14:textId="07FC9B2D"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Svi ovi uvjeti trebaju biti zadovoljeni i za nove plasmane istom klijentu. </w:t>
      </w:r>
      <w:proofErr w:type="spellStart"/>
      <w:r w:rsidRPr="003D1614">
        <w:rPr>
          <w:rFonts w:ascii="Arial" w:eastAsia="Times New Roman" w:hAnsi="Arial" w:cs="Arial"/>
          <w:color w:val="000000" w:themeColor="text1"/>
          <w:sz w:val="20"/>
          <w:szCs w:val="20"/>
        </w:rPr>
        <w:t>Reklasificirati</w:t>
      </w:r>
      <w:proofErr w:type="spellEnd"/>
      <w:r w:rsidRPr="003D1614">
        <w:rPr>
          <w:rFonts w:ascii="Arial" w:eastAsia="Times New Roman" w:hAnsi="Arial" w:cs="Arial"/>
          <w:color w:val="000000" w:themeColor="text1"/>
          <w:sz w:val="20"/>
          <w:szCs w:val="20"/>
        </w:rPr>
        <w:t xml:space="preserve"> se u ozdravljene mogu samo plasmani klijent</w:t>
      </w:r>
      <w:r w:rsidR="006B48DE">
        <w:rPr>
          <w:rFonts w:ascii="Arial" w:eastAsia="Times New Roman" w:hAnsi="Arial" w:cs="Arial"/>
          <w:color w:val="000000" w:themeColor="text1"/>
          <w:sz w:val="20"/>
          <w:szCs w:val="20"/>
        </w:rPr>
        <w:t>a</w:t>
      </w:r>
      <w:r w:rsidRPr="003D1614">
        <w:rPr>
          <w:rFonts w:ascii="Arial" w:eastAsia="Times New Roman" w:hAnsi="Arial" w:cs="Arial"/>
          <w:color w:val="000000" w:themeColor="text1"/>
          <w:sz w:val="20"/>
          <w:szCs w:val="20"/>
        </w:rPr>
        <w:t xml:space="preserve"> koji nije u financijskim poteškoćama.</w:t>
      </w:r>
    </w:p>
    <w:p w14:paraId="02501EB4"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56B6987C"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Financijski instrumenti rehabilitiranih/ozdravljenih klijenata se nakon ispunjenja svih uvjeta iz razdoblja kušnje klasificiraju u </w:t>
      </w:r>
      <w:proofErr w:type="spellStart"/>
      <w:r w:rsidRPr="003D1614">
        <w:rPr>
          <w:rFonts w:ascii="Arial" w:eastAsia="Times New Roman" w:hAnsi="Arial" w:cs="Arial"/>
          <w:color w:val="000000" w:themeColor="text1"/>
          <w:sz w:val="20"/>
          <w:szCs w:val="20"/>
        </w:rPr>
        <w:t>prihodujuće</w:t>
      </w:r>
      <w:proofErr w:type="spellEnd"/>
      <w:r w:rsidRPr="003D1614">
        <w:rPr>
          <w:rFonts w:ascii="Arial" w:eastAsia="Times New Roman" w:hAnsi="Arial" w:cs="Arial"/>
          <w:color w:val="000000" w:themeColor="text1"/>
          <w:sz w:val="20"/>
          <w:szCs w:val="20"/>
        </w:rPr>
        <w:t xml:space="preserve"> izloženosti. Svi plasmani klijenata nakon </w:t>
      </w:r>
      <w:proofErr w:type="spellStart"/>
      <w:r w:rsidRPr="003D1614">
        <w:rPr>
          <w:rFonts w:ascii="Arial" w:eastAsia="Times New Roman" w:hAnsi="Arial" w:cs="Arial"/>
          <w:color w:val="000000" w:themeColor="text1"/>
          <w:sz w:val="20"/>
          <w:szCs w:val="20"/>
        </w:rPr>
        <w:t>reprograma</w:t>
      </w:r>
      <w:proofErr w:type="spellEnd"/>
      <w:r w:rsidRPr="003D1614">
        <w:rPr>
          <w:rFonts w:ascii="Arial" w:eastAsia="Times New Roman" w:hAnsi="Arial" w:cs="Arial"/>
          <w:color w:val="000000" w:themeColor="text1"/>
          <w:sz w:val="20"/>
          <w:szCs w:val="20"/>
        </w:rPr>
        <w:t>/</w:t>
      </w:r>
      <w:proofErr w:type="spellStart"/>
      <w:r w:rsidRPr="003D1614">
        <w:rPr>
          <w:rFonts w:ascii="Arial" w:eastAsia="Times New Roman" w:hAnsi="Arial" w:cs="Arial"/>
          <w:color w:val="000000" w:themeColor="text1"/>
          <w:sz w:val="20"/>
          <w:szCs w:val="20"/>
        </w:rPr>
        <w:t>restrukuriranja</w:t>
      </w:r>
      <w:proofErr w:type="spellEnd"/>
      <w:r w:rsidRPr="003D1614">
        <w:rPr>
          <w:rFonts w:ascii="Arial" w:eastAsia="Times New Roman" w:hAnsi="Arial" w:cs="Arial"/>
          <w:color w:val="000000" w:themeColor="text1"/>
          <w:sz w:val="20"/>
          <w:szCs w:val="20"/>
        </w:rPr>
        <w:t xml:space="preserve"> smatraju se reprogramiranima (engl. </w:t>
      </w:r>
      <w:proofErr w:type="spellStart"/>
      <w:r w:rsidRPr="003D1614">
        <w:rPr>
          <w:rFonts w:ascii="Arial" w:eastAsia="Times New Roman" w:hAnsi="Arial" w:cs="Arial"/>
          <w:color w:val="000000" w:themeColor="text1"/>
          <w:sz w:val="20"/>
          <w:szCs w:val="20"/>
        </w:rPr>
        <w:t>Forbearance</w:t>
      </w:r>
      <w:proofErr w:type="spellEnd"/>
      <w:r w:rsidRPr="003D1614">
        <w:rPr>
          <w:rFonts w:ascii="Arial" w:eastAsia="Times New Roman" w:hAnsi="Arial" w:cs="Arial"/>
          <w:color w:val="000000" w:themeColor="text1"/>
          <w:sz w:val="20"/>
          <w:szCs w:val="20"/>
        </w:rPr>
        <w:t xml:space="preserve">) još dvije godine od kad su klasificirani kao </w:t>
      </w:r>
      <w:proofErr w:type="spellStart"/>
      <w:r w:rsidRPr="003D1614">
        <w:rPr>
          <w:rFonts w:ascii="Arial" w:eastAsia="Times New Roman" w:hAnsi="Arial" w:cs="Arial"/>
          <w:color w:val="000000" w:themeColor="text1"/>
          <w:sz w:val="20"/>
          <w:szCs w:val="20"/>
        </w:rPr>
        <w:t>prihodujuće</w:t>
      </w:r>
      <w:proofErr w:type="spellEnd"/>
      <w:r w:rsidRPr="003D1614">
        <w:rPr>
          <w:rFonts w:ascii="Arial" w:eastAsia="Times New Roman" w:hAnsi="Arial" w:cs="Arial"/>
          <w:color w:val="000000" w:themeColor="text1"/>
          <w:sz w:val="20"/>
          <w:szCs w:val="20"/>
        </w:rPr>
        <w:t xml:space="preserve"> izloženosti i u tom periodu se klasificiraju u 2. stupanj rizika. </w:t>
      </w:r>
    </w:p>
    <w:p w14:paraId="3604B6A0"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397403D" w14:textId="00D9B464"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Svi klijenti kojima nisu odobreni ustupci zbog financijskih poteškoća, a HBOR-ova izloženost prema njima je prestala biti </w:t>
      </w:r>
      <w:proofErr w:type="spellStart"/>
      <w:r w:rsidRPr="003D1614">
        <w:rPr>
          <w:rFonts w:ascii="Arial" w:eastAsia="Times New Roman" w:hAnsi="Arial" w:cs="Arial"/>
          <w:color w:val="000000" w:themeColor="text1"/>
          <w:sz w:val="20"/>
          <w:szCs w:val="20"/>
        </w:rPr>
        <w:t>neprihodujuća</w:t>
      </w:r>
      <w:proofErr w:type="spellEnd"/>
      <w:r w:rsidRPr="003D1614">
        <w:rPr>
          <w:rFonts w:ascii="Arial" w:eastAsia="Times New Roman" w:hAnsi="Arial" w:cs="Arial"/>
          <w:color w:val="000000" w:themeColor="text1"/>
          <w:sz w:val="20"/>
          <w:szCs w:val="20"/>
        </w:rPr>
        <w:t>, nakon ozdravljenja klasificiraju se u 1. stupanj rizika.</w:t>
      </w:r>
    </w:p>
    <w:p w14:paraId="4863BE6A"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sectPr w:rsidR="0088484F" w:rsidRPr="003D1614">
          <w:pgSz w:w="11906" w:h="16838"/>
          <w:pgMar w:top="1417" w:right="1417" w:bottom="1417" w:left="1417" w:header="708" w:footer="708" w:gutter="0"/>
          <w:cols w:space="708"/>
          <w:docGrid w:linePitch="360"/>
        </w:sectPr>
      </w:pPr>
    </w:p>
    <w:p w14:paraId="5CFD4336"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7B08435C" w14:textId="02D27AF5" w:rsidR="0088484F" w:rsidRPr="003D1614" w:rsidRDefault="0088484F" w:rsidP="0088484F">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070D0AF9"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A6AB153" w14:textId="7419C13C"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0A217FD8" w14:textId="77777777" w:rsidR="0088484F" w:rsidRPr="003D1614" w:rsidRDefault="0088484F" w:rsidP="0088484F">
      <w:pPr>
        <w:tabs>
          <w:tab w:val="left" w:pos="851"/>
        </w:tabs>
        <w:suppressAutoHyphens/>
        <w:autoSpaceDN w:val="0"/>
        <w:spacing w:line="300" w:lineRule="exact"/>
        <w:jc w:val="both"/>
        <w:rPr>
          <w:rFonts w:ascii="Arial" w:eastAsia="Calibri" w:hAnsi="Arial" w:cs="Arial"/>
          <w:b/>
          <w:color w:val="000000" w:themeColor="text1"/>
          <w:sz w:val="20"/>
          <w:szCs w:val="20"/>
        </w:rPr>
      </w:pPr>
    </w:p>
    <w:p w14:paraId="423227E8" w14:textId="5CB66BE3" w:rsidR="0088484F" w:rsidRPr="003D1614" w:rsidRDefault="0088484F" w:rsidP="0088484F">
      <w:pPr>
        <w:tabs>
          <w:tab w:val="left" w:pos="851"/>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w:t>
      </w:r>
      <w:r w:rsidRPr="003D1614">
        <w:rPr>
          <w:rFonts w:ascii="Arial" w:eastAsia="Calibri" w:hAnsi="Arial" w:cs="Arial"/>
          <w:b/>
          <w:color w:val="000000" w:themeColor="text1"/>
          <w:sz w:val="20"/>
          <w:szCs w:val="20"/>
        </w:rPr>
        <w:tab/>
        <w:t>Procjena umanjenja vrijednosti (nastavak)</w:t>
      </w:r>
    </w:p>
    <w:p w14:paraId="1931D017" w14:textId="77777777" w:rsidR="0088484F" w:rsidRPr="003D1614" w:rsidRDefault="0088484F" w:rsidP="0088484F">
      <w:pPr>
        <w:keepNext/>
        <w:tabs>
          <w:tab w:val="left" w:pos="426"/>
        </w:tabs>
        <w:suppressAutoHyphens/>
        <w:autoSpaceDN w:val="0"/>
        <w:jc w:val="both"/>
        <w:rPr>
          <w:rFonts w:ascii="Arial" w:eastAsia="Times New Roman" w:hAnsi="Arial" w:cs="Arial"/>
          <w:b/>
          <w:bCs/>
          <w:color w:val="000000" w:themeColor="text1"/>
          <w:sz w:val="20"/>
          <w:szCs w:val="20"/>
          <w:lang w:eastAsia="hr-HR"/>
        </w:rPr>
      </w:pPr>
    </w:p>
    <w:p w14:paraId="2708CFE8" w14:textId="3E0142DC" w:rsidR="0088484F" w:rsidRPr="003D1614" w:rsidRDefault="0088484F" w:rsidP="0088484F">
      <w:pPr>
        <w:tabs>
          <w:tab w:val="left" w:pos="567"/>
          <w:tab w:val="left" w:pos="851"/>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.3.2.2.</w:t>
      </w:r>
      <w:r w:rsidRPr="003D1614">
        <w:rPr>
          <w:rFonts w:ascii="Arial" w:eastAsia="Calibri" w:hAnsi="Arial" w:cs="Arial"/>
          <w:b/>
          <w:color w:val="000000" w:themeColor="text1"/>
          <w:sz w:val="20"/>
          <w:szCs w:val="20"/>
        </w:rPr>
        <w:tab/>
        <w:t>Bančin postupak procjene internog rejtinga i vjerojatnosti neispunjenja ugovornih obveza (PD)</w:t>
      </w:r>
    </w:p>
    <w:p w14:paraId="181CD10C"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248C8411"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Za modeliranje PD-ja koristi se pristup temeljen na TTC (engl. </w:t>
      </w:r>
      <w:proofErr w:type="spellStart"/>
      <w:r w:rsidRPr="003D1614">
        <w:rPr>
          <w:rFonts w:ascii="Arial" w:eastAsia="Times New Roman" w:hAnsi="Arial" w:cs="Arial"/>
          <w:color w:val="000000" w:themeColor="text1"/>
          <w:sz w:val="20"/>
          <w:szCs w:val="20"/>
        </w:rPr>
        <w:t>Through-the-Cycle</w:t>
      </w:r>
      <w:proofErr w:type="spellEnd"/>
      <w:r w:rsidRPr="003D1614">
        <w:rPr>
          <w:rFonts w:ascii="Arial" w:eastAsia="Times New Roman" w:hAnsi="Arial" w:cs="Arial"/>
          <w:color w:val="000000" w:themeColor="text1"/>
          <w:sz w:val="20"/>
          <w:szCs w:val="20"/>
        </w:rPr>
        <w:t xml:space="preserve">) migracijskim matricama za izloženosti u homogenim skupinama izravnih korisnika i ostalo. Definirane su rizične skupine (eng. </w:t>
      </w:r>
      <w:proofErr w:type="spellStart"/>
      <w:r w:rsidRPr="003D1614">
        <w:rPr>
          <w:rFonts w:ascii="Arial" w:eastAsia="Times New Roman" w:hAnsi="Arial" w:cs="Arial"/>
          <w:color w:val="000000" w:themeColor="text1"/>
          <w:sz w:val="20"/>
          <w:szCs w:val="20"/>
        </w:rPr>
        <w:t>bucket</w:t>
      </w:r>
      <w:proofErr w:type="spellEnd"/>
      <w:r w:rsidRPr="003D1614">
        <w:rPr>
          <w:rFonts w:ascii="Arial" w:eastAsia="Times New Roman" w:hAnsi="Arial" w:cs="Arial"/>
          <w:color w:val="000000" w:themeColor="text1"/>
          <w:sz w:val="20"/>
          <w:szCs w:val="20"/>
        </w:rPr>
        <w:t xml:space="preserve">) te se provodi analiza kretanja izloženosti između navedenih skupina. </w:t>
      </w:r>
    </w:p>
    <w:p w14:paraId="3DB33753"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F5E3901"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Za navedene izloženosti, rizične skupine su definirane temeljem dana kašnjenja i statusa restrukturiranih izloženosti. Modeliranju PD-ja prethodi prikupljanje podataka za prethodno relevantno razdoblje.</w:t>
      </w:r>
    </w:p>
    <w:p w14:paraId="7CBDAAA2"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3480FCD"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 modeliranju PD-ja, analizira se kretanje izloženosti između sljedećih skupina:</w:t>
      </w:r>
    </w:p>
    <w:p w14:paraId="4E92E431" w14:textId="77777777" w:rsidR="0088484F" w:rsidRPr="003D1614" w:rsidRDefault="0088484F" w:rsidP="0088484F">
      <w:pPr>
        <w:numPr>
          <w:ilvl w:val="0"/>
          <w:numId w:val="19"/>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od 0 do 30 dana kašnjenja - skupina 1,</w:t>
      </w:r>
    </w:p>
    <w:p w14:paraId="744918E5" w14:textId="77777777" w:rsidR="0088484F" w:rsidRPr="003D1614" w:rsidRDefault="0088484F" w:rsidP="0088484F">
      <w:pPr>
        <w:numPr>
          <w:ilvl w:val="0"/>
          <w:numId w:val="19"/>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od 31 do 90 dana kašnjenja - skupina 2,</w:t>
      </w:r>
    </w:p>
    <w:p w14:paraId="334CF504" w14:textId="77777777" w:rsidR="0088484F" w:rsidRPr="003D1614" w:rsidRDefault="0088484F" w:rsidP="0088484F">
      <w:pPr>
        <w:numPr>
          <w:ilvl w:val="0"/>
          <w:numId w:val="19"/>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više od 90 dana kašnjenja i restrukturiranje – događaj statusa neispunjenja obveza (</w:t>
      </w:r>
      <w:proofErr w:type="spellStart"/>
      <w:r w:rsidRPr="003D1614">
        <w:rPr>
          <w:rFonts w:ascii="Arial" w:eastAsia="Times New Roman" w:hAnsi="Arial" w:cs="Arial"/>
          <w:color w:val="000000" w:themeColor="text1"/>
          <w:sz w:val="20"/>
          <w:szCs w:val="20"/>
        </w:rPr>
        <w:t>defaulta</w:t>
      </w:r>
      <w:proofErr w:type="spellEnd"/>
      <w:r w:rsidRPr="003D1614">
        <w:rPr>
          <w:rFonts w:ascii="Arial" w:eastAsia="Times New Roman" w:hAnsi="Arial" w:cs="Arial"/>
          <w:color w:val="000000" w:themeColor="text1"/>
          <w:sz w:val="20"/>
          <w:szCs w:val="20"/>
        </w:rPr>
        <w:t>).</w:t>
      </w:r>
    </w:p>
    <w:p w14:paraId="2A605C9E"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DCDDBC9"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Temeljem matrica kretanja izloženosti iz skupine u skupinu, izračunava se 12-mjesečna vrijednost PD-ja. Daljnjim množenjem matrica izračunavaju se granične vrijednosti PD-ja putem kojih se kreira vektor. Vektor graničnih vrijednosti PD-ja predstavlja osnovu pomoću koje se izračunava vrijednost cjeloživotnog PD-ja. Vrijednost cjeloživotnog PD-ja ovisi o tenoru, odnosno preostalom razdoblju do dospijeća pojedine izloženosti.</w:t>
      </w:r>
    </w:p>
    <w:p w14:paraId="6D75854F"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508818FD" w14:textId="77777777" w:rsidR="0088484F" w:rsidRPr="003D1614" w:rsidRDefault="0088484F" w:rsidP="0088484F">
      <w:pPr>
        <w:tabs>
          <w:tab w:val="left" w:pos="2694"/>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Pristup temeljen na vanjskom rejtingu koji objavljuju vanjske kreditne rejting agencije korišten je prilikom izračuna PD-ja za izloženosti iz homogenih skupina financijske institucije te središnja država i lokalna i područna (regionalna) samouprava.</w:t>
      </w:r>
    </w:p>
    <w:p w14:paraId="10339454"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25CE1C01"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Za izloženosti prema domaćim financijskim institucijama, obzirom da ne postoji vanjski rejting za sve financijske institucije u portfelju Grupe, postojeći interni rejtinzi domaćih financijskih institucija mapirani su na vanjski rejting pri čemu se kao polazna točka mapiranja koristi financijska institucija koja ima vanjski rejting, slijedom čega je interni rejting u Grupi izjednačen s rejtingom S&amp;P-a "BBB+". Time je utvrđena gornja granica za domaće financijske institucije na razini rejtinga države. Distribucija vrijednosti PD-ja za preostale interne rejtinge određuje se metodom linearne interpolacije.</w:t>
      </w:r>
    </w:p>
    <w:p w14:paraId="6F1522C2"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8E368DC"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Za izloženosti prema inozemnim financijskim institucijama koriste se rejtinzi vanjskih kreditnih rejting agencija i sukladno tome primjenjuje odgovarajuća vrijednost PD-ja iz njihovih matrica, a ako nema onda se koristi interni rejting, odnosno primjenjuju se pravila istovjetna domaćim financijskim institucijama.</w:t>
      </w:r>
    </w:p>
    <w:p w14:paraId="673A877A"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B6C3F11" w14:textId="48FAF2B4" w:rsidR="0088484F" w:rsidRPr="003D1614" w:rsidRDefault="0088484F" w:rsidP="0088484F">
      <w:pPr>
        <w:tabs>
          <w:tab w:val="left" w:pos="2694"/>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Vrijednost 12-mjesečnog PD-ja procjenjuje se množenjem TTC matrice sa samom sobom. Vrijednost cjeloživotnog PD-ja predstavlja kumulativnu vrijednost graničnih vrijednosti PD-ja, odnosno zbroj graničnih vrijednosti PD-ja, ovisno o tenoru izloženosti.</w:t>
      </w:r>
    </w:p>
    <w:p w14:paraId="5E3DB031" w14:textId="7F9D289B" w:rsidR="0088484F" w:rsidRPr="003D1614" w:rsidRDefault="0088484F" w:rsidP="0088484F">
      <w:pPr>
        <w:tabs>
          <w:tab w:val="left" w:pos="2694"/>
        </w:tabs>
        <w:suppressAutoHyphens/>
        <w:autoSpaceDN w:val="0"/>
        <w:jc w:val="both"/>
        <w:rPr>
          <w:rFonts w:ascii="Arial" w:eastAsia="Times New Roman" w:hAnsi="Arial" w:cs="Arial"/>
          <w:color w:val="000000" w:themeColor="text1"/>
          <w:sz w:val="20"/>
          <w:szCs w:val="20"/>
        </w:rPr>
      </w:pPr>
    </w:p>
    <w:p w14:paraId="66FA828B" w14:textId="77777777" w:rsidR="0088484F" w:rsidRPr="003D1614" w:rsidRDefault="0088484F" w:rsidP="0088484F">
      <w:pPr>
        <w:tabs>
          <w:tab w:val="left" w:pos="2694"/>
        </w:tabs>
        <w:suppressAutoHyphens/>
        <w:autoSpaceDN w:val="0"/>
        <w:jc w:val="both"/>
        <w:rPr>
          <w:rFonts w:ascii="Arial" w:eastAsia="Times New Roman" w:hAnsi="Arial" w:cs="Arial"/>
          <w:color w:val="000000" w:themeColor="text1"/>
          <w:sz w:val="20"/>
          <w:szCs w:val="20"/>
        </w:rPr>
        <w:sectPr w:rsidR="0088484F" w:rsidRPr="003D1614">
          <w:pgSz w:w="11906" w:h="16838"/>
          <w:pgMar w:top="1417" w:right="1417" w:bottom="1417" w:left="1417" w:header="708" w:footer="708" w:gutter="0"/>
          <w:cols w:space="708"/>
          <w:docGrid w:linePitch="360"/>
        </w:sectPr>
      </w:pPr>
    </w:p>
    <w:p w14:paraId="0923DC53" w14:textId="77777777" w:rsidR="0088484F" w:rsidRPr="003D1614" w:rsidRDefault="0088484F" w:rsidP="0088484F">
      <w:pPr>
        <w:suppressAutoHyphens/>
        <w:autoSpaceDN w:val="0"/>
        <w:jc w:val="both"/>
        <w:rPr>
          <w:rFonts w:ascii="Arial" w:eastAsia="Calibri" w:hAnsi="Arial" w:cs="Arial"/>
          <w:bCs/>
          <w:color w:val="000000" w:themeColor="text1"/>
          <w:spacing w:val="-3"/>
          <w:sz w:val="20"/>
          <w:szCs w:val="20"/>
        </w:rPr>
      </w:pPr>
    </w:p>
    <w:p w14:paraId="3FC81E9D" w14:textId="23D09AE6" w:rsidR="0088484F" w:rsidRPr="003D1614" w:rsidRDefault="0088484F" w:rsidP="0088484F">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7B4B4B4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294696B" w14:textId="06EFF553" w:rsidR="0088484F" w:rsidRPr="003D1614" w:rsidRDefault="0088484F" w:rsidP="0088484F">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629CFA5F"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3B3DF9CF" w14:textId="153F54F6" w:rsidR="0088484F" w:rsidRPr="003D1614" w:rsidRDefault="0088484F" w:rsidP="0088484F">
      <w:pPr>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w:t>
      </w:r>
      <w:r w:rsidRPr="003D1614">
        <w:rPr>
          <w:rFonts w:ascii="Arial" w:eastAsia="Calibri" w:hAnsi="Arial" w:cs="Arial"/>
          <w:b/>
          <w:color w:val="000000" w:themeColor="text1"/>
          <w:sz w:val="20"/>
          <w:szCs w:val="20"/>
        </w:rPr>
        <w:tab/>
        <w:t>Procjena umanjenja vrijednosti (nastavak)</w:t>
      </w:r>
    </w:p>
    <w:p w14:paraId="53A5583C" w14:textId="77777777"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p>
    <w:p w14:paraId="0936CE11" w14:textId="775365B6"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 xml:space="preserve">.3.2.3. Izloženost u trenutku nastanka statusa neispunjenja obveza </w:t>
      </w:r>
    </w:p>
    <w:p w14:paraId="168C149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6FF3B27"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Za potrebe modeliranja izloženosti u trenutku nastanka statusa neispunjenja obveza (engl. </w:t>
      </w:r>
      <w:proofErr w:type="spellStart"/>
      <w:r w:rsidRPr="003D1614">
        <w:rPr>
          <w:rFonts w:ascii="Arial" w:eastAsia="Times New Roman" w:hAnsi="Arial" w:cs="Arial"/>
          <w:color w:val="000000" w:themeColor="text1"/>
          <w:sz w:val="20"/>
          <w:szCs w:val="20"/>
        </w:rPr>
        <w:t>Exposure</w:t>
      </w:r>
      <w:proofErr w:type="spellEnd"/>
      <w:r w:rsidRPr="003D1614">
        <w:rPr>
          <w:rFonts w:ascii="Arial" w:eastAsia="Times New Roman" w:hAnsi="Arial" w:cs="Arial"/>
          <w:color w:val="000000" w:themeColor="text1"/>
          <w:sz w:val="20"/>
          <w:szCs w:val="20"/>
        </w:rPr>
        <w:t xml:space="preserve"> at </w:t>
      </w:r>
      <w:proofErr w:type="spellStart"/>
      <w:r w:rsidRPr="003D1614">
        <w:rPr>
          <w:rFonts w:ascii="Arial" w:eastAsia="Times New Roman" w:hAnsi="Arial" w:cs="Arial"/>
          <w:color w:val="000000" w:themeColor="text1"/>
          <w:sz w:val="20"/>
          <w:szCs w:val="20"/>
        </w:rPr>
        <w:t>Default</w:t>
      </w:r>
      <w:proofErr w:type="spellEnd"/>
      <w:r w:rsidRPr="003D1614">
        <w:rPr>
          <w:rFonts w:ascii="Arial" w:eastAsia="Times New Roman" w:hAnsi="Arial" w:cs="Arial"/>
          <w:color w:val="000000" w:themeColor="text1"/>
          <w:sz w:val="20"/>
          <w:szCs w:val="20"/>
        </w:rPr>
        <w:t xml:space="preserve">, dalje: EAD), odnosno za potrebe izračuna kreditnog konverzijskog parametra (dalje: CCF, eng. Credit </w:t>
      </w:r>
      <w:proofErr w:type="spellStart"/>
      <w:r w:rsidRPr="003D1614">
        <w:rPr>
          <w:rFonts w:ascii="Arial" w:eastAsia="Times New Roman" w:hAnsi="Arial" w:cs="Arial"/>
          <w:color w:val="000000" w:themeColor="text1"/>
          <w:sz w:val="20"/>
          <w:szCs w:val="20"/>
        </w:rPr>
        <w:t>Conversion</w:t>
      </w:r>
      <w:proofErr w:type="spellEnd"/>
      <w:r w:rsidRPr="003D1614">
        <w:rPr>
          <w:rFonts w:ascii="Arial" w:eastAsia="Times New Roman" w:hAnsi="Arial" w:cs="Arial"/>
          <w:color w:val="000000" w:themeColor="text1"/>
          <w:sz w:val="20"/>
          <w:szCs w:val="20"/>
        </w:rPr>
        <w:t xml:space="preserve"> </w:t>
      </w:r>
      <w:proofErr w:type="spellStart"/>
      <w:r w:rsidRPr="003D1614">
        <w:rPr>
          <w:rFonts w:ascii="Arial" w:eastAsia="Times New Roman" w:hAnsi="Arial" w:cs="Arial"/>
          <w:color w:val="000000" w:themeColor="text1"/>
          <w:sz w:val="20"/>
          <w:szCs w:val="20"/>
        </w:rPr>
        <w:t>Factor</w:t>
      </w:r>
      <w:proofErr w:type="spellEnd"/>
      <w:r w:rsidRPr="003D1614">
        <w:rPr>
          <w:rFonts w:ascii="Arial" w:eastAsia="Times New Roman" w:hAnsi="Arial" w:cs="Arial"/>
          <w:color w:val="000000" w:themeColor="text1"/>
          <w:sz w:val="20"/>
          <w:szCs w:val="20"/>
        </w:rPr>
        <w:t>) i omjera prijevremene otplate, razmatraju se podaci za proteklo petogodišnje razdoblje.</w:t>
      </w:r>
    </w:p>
    <w:p w14:paraId="588D0D86"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364CBD06"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Temeljem navedenih povijesnih podataka utvrđen je omjer prijevremene naplate približno jednak nuli te kreditni konverzijski faktor jednak 1.</w:t>
      </w:r>
    </w:p>
    <w:p w14:paraId="38FC65DF"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5DCFBE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EAD se izračunava za svaki ugovor. Dva su pristupa izračunu EAD-a</w:t>
      </w:r>
      <w:r w:rsidRPr="003D1614">
        <w:rPr>
          <w:rFonts w:ascii="Arial" w:eastAsia="Times New Roman" w:hAnsi="Arial" w:cs="Arial"/>
          <w:sz w:val="24"/>
          <w:szCs w:val="24"/>
        </w:rPr>
        <w:t xml:space="preserve"> </w:t>
      </w:r>
      <w:r w:rsidRPr="003D1614">
        <w:rPr>
          <w:rFonts w:ascii="Arial" w:eastAsia="Times New Roman" w:hAnsi="Arial" w:cs="Arial"/>
          <w:color w:val="000000" w:themeColor="text1"/>
          <w:sz w:val="20"/>
          <w:szCs w:val="20"/>
        </w:rPr>
        <w:t>ako za izloženost:</w:t>
      </w:r>
    </w:p>
    <w:p w14:paraId="49B95364" w14:textId="77777777" w:rsidR="0088484F" w:rsidRPr="003D1614" w:rsidRDefault="0088484F" w:rsidP="0088484F">
      <w:pPr>
        <w:numPr>
          <w:ilvl w:val="0"/>
          <w:numId w:val="2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postoji plan otplate - temeljem novčanog toka iz plana otplate,</w:t>
      </w:r>
    </w:p>
    <w:p w14:paraId="65C1082E" w14:textId="77777777" w:rsidR="0088484F" w:rsidRPr="003D1614" w:rsidRDefault="0088484F" w:rsidP="0088484F">
      <w:pPr>
        <w:numPr>
          <w:ilvl w:val="0"/>
          <w:numId w:val="2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ne postoji plan otplate - temeljem iznosa izloženosti na izvještajni datum.</w:t>
      </w:r>
    </w:p>
    <w:p w14:paraId="3963B948"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1C7E090"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Za izloženosti klasificirane u 1. stupanj rizika te za dospjele izloženosti EAD je jednak trenutnoj izloženosti. </w:t>
      </w:r>
    </w:p>
    <w:p w14:paraId="2BFED340"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69FAF70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Za nedospjele izloženosti, cjeloživotni EAD se izračunava temeljem plana otplate, uvažavajući iznose i razdoblje dospijeća, a maksimalno do posljednjeg datuma dospijeća izloženosti (tenora). </w:t>
      </w:r>
    </w:p>
    <w:p w14:paraId="5BE4550F" w14:textId="77777777"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p>
    <w:p w14:paraId="61A00826" w14:textId="0CD9DC9E"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.3.2.4. Gubitak u trenutku nastanka statusa neispunjenja obveza</w:t>
      </w:r>
    </w:p>
    <w:p w14:paraId="536582A1" w14:textId="77777777" w:rsidR="0088484F" w:rsidRPr="003D1614" w:rsidRDefault="0088484F" w:rsidP="0088484F">
      <w:pPr>
        <w:suppressAutoHyphens/>
        <w:autoSpaceDE w:val="0"/>
        <w:autoSpaceDN w:val="0"/>
        <w:adjustRightInd w:val="0"/>
        <w:jc w:val="both"/>
        <w:rPr>
          <w:rFonts w:ascii="Arial" w:eastAsia="Times New Roman" w:hAnsi="Arial" w:cs="Arial"/>
          <w:color w:val="000000" w:themeColor="text1"/>
          <w:sz w:val="20"/>
          <w:szCs w:val="20"/>
        </w:rPr>
      </w:pPr>
    </w:p>
    <w:p w14:paraId="785138BF"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Za skupine izravnih korisnika i ostalo, gubitak u trenutku nastanka statusa neispunjenja obveza (engl. </w:t>
      </w:r>
      <w:proofErr w:type="spellStart"/>
      <w:r w:rsidRPr="003D1614">
        <w:rPr>
          <w:rFonts w:ascii="Arial" w:eastAsia="Times New Roman" w:hAnsi="Arial" w:cs="Arial"/>
          <w:color w:val="000000" w:themeColor="text1"/>
          <w:sz w:val="20"/>
          <w:szCs w:val="20"/>
        </w:rPr>
        <w:t>Loss</w:t>
      </w:r>
      <w:proofErr w:type="spellEnd"/>
      <w:r w:rsidRPr="003D1614">
        <w:rPr>
          <w:rFonts w:ascii="Arial" w:eastAsia="Times New Roman" w:hAnsi="Arial" w:cs="Arial"/>
          <w:color w:val="000000" w:themeColor="text1"/>
          <w:sz w:val="20"/>
          <w:szCs w:val="20"/>
        </w:rPr>
        <w:t xml:space="preserve"> </w:t>
      </w:r>
      <w:proofErr w:type="spellStart"/>
      <w:r w:rsidRPr="003D1614">
        <w:rPr>
          <w:rFonts w:ascii="Arial" w:eastAsia="Times New Roman" w:hAnsi="Arial" w:cs="Arial"/>
          <w:color w:val="000000" w:themeColor="text1"/>
          <w:sz w:val="20"/>
          <w:szCs w:val="20"/>
        </w:rPr>
        <w:t>Given</w:t>
      </w:r>
      <w:proofErr w:type="spellEnd"/>
      <w:r w:rsidRPr="003D1614">
        <w:rPr>
          <w:rFonts w:ascii="Arial" w:eastAsia="Times New Roman" w:hAnsi="Arial" w:cs="Arial"/>
          <w:color w:val="000000" w:themeColor="text1"/>
          <w:sz w:val="20"/>
          <w:szCs w:val="20"/>
        </w:rPr>
        <w:t xml:space="preserve"> </w:t>
      </w:r>
      <w:proofErr w:type="spellStart"/>
      <w:r w:rsidRPr="003D1614">
        <w:rPr>
          <w:rFonts w:ascii="Arial" w:eastAsia="Times New Roman" w:hAnsi="Arial" w:cs="Arial"/>
          <w:color w:val="000000" w:themeColor="text1"/>
          <w:sz w:val="20"/>
          <w:szCs w:val="20"/>
        </w:rPr>
        <w:t>Default</w:t>
      </w:r>
      <w:proofErr w:type="spellEnd"/>
      <w:r w:rsidRPr="003D1614">
        <w:rPr>
          <w:rFonts w:ascii="Arial" w:eastAsia="Times New Roman" w:hAnsi="Arial" w:cs="Arial"/>
          <w:color w:val="000000" w:themeColor="text1"/>
          <w:sz w:val="20"/>
          <w:szCs w:val="20"/>
        </w:rPr>
        <w:t xml:space="preserve">, dalje: LGD) se procjenjuje temeljem transakcija nakon datuma nastanka statusa neispunjenja obveza klijenta. Svaka se transakcija diskontira na datum nastanka statusa neispunjenja obveza odgovarajućom diskontnom stopom, a diskontni faktor ovisi o proteklom vremenu. Pojedinačnoj izloženosti se pribrajaju sva povećanja nakon datuma nastanka statusa neispunjenja obveza. Rezultat navedenog izračuna je stopa naplate za svaku izloženost u nekoj homogenoj skupini, a ukupnu stopu naplate za pojedinu homogenu skupinu čini težinski prosjek stopa naplate svih pojedinačnih izloženosti. </w:t>
      </w:r>
    </w:p>
    <w:p w14:paraId="5EFAE48E"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5A1F0E73"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 izračun LGD-a također je uzeta u obzir i vjerojatnost izlaska iz statusa neispunjenja obveza. </w:t>
      </w:r>
    </w:p>
    <w:p w14:paraId="747A3D12" w14:textId="77777777" w:rsidR="0088484F" w:rsidRPr="003D1614" w:rsidRDefault="0088484F" w:rsidP="0088484F">
      <w:pPr>
        <w:suppressAutoHyphens/>
        <w:autoSpaceDE w:val="0"/>
        <w:autoSpaceDN w:val="0"/>
        <w:adjustRightInd w:val="0"/>
        <w:jc w:val="both"/>
        <w:rPr>
          <w:rFonts w:ascii="Arial" w:eastAsia="Times New Roman" w:hAnsi="Arial" w:cs="Arial"/>
          <w:color w:val="000000" w:themeColor="text1"/>
          <w:sz w:val="20"/>
          <w:szCs w:val="20"/>
        </w:rPr>
      </w:pPr>
    </w:p>
    <w:p w14:paraId="1085DFF1" w14:textId="1D12DD3E" w:rsidR="0088484F" w:rsidRPr="003D1614" w:rsidRDefault="0088484F" w:rsidP="0088484F">
      <w:pPr>
        <w:suppressAutoHyphens/>
        <w:autoSpaceDE w:val="0"/>
        <w:autoSpaceDN w:val="0"/>
        <w:adjustRightInd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Kao podloga za određivanje LGD-a za skupine središnja država i lokalna i područna (regionalna) samouprava i financijske institucije koristi se izvještaj vanjskih kreditnih rejting agencija. U godišnjim izvještajima o stopama nastanka statusa neispunjenja obveza i naplate, kreditne rejting agencije objavljuju i povijesne i tržišne stope naplate. Tržišna stopa naplate je tržišna cijena obveznice u odnosu na njezinu vrijednost neposredno prije </w:t>
      </w:r>
      <w:proofErr w:type="spellStart"/>
      <w:r w:rsidRPr="003D1614">
        <w:rPr>
          <w:rFonts w:ascii="Arial" w:eastAsia="Times New Roman" w:hAnsi="Arial" w:cs="Arial"/>
          <w:color w:val="000000" w:themeColor="text1"/>
          <w:sz w:val="20"/>
          <w:szCs w:val="20"/>
        </w:rPr>
        <w:t>defaulta</w:t>
      </w:r>
      <w:proofErr w:type="spellEnd"/>
      <w:r w:rsidRPr="003D1614">
        <w:rPr>
          <w:rFonts w:ascii="Arial" w:eastAsia="Times New Roman" w:hAnsi="Arial" w:cs="Arial"/>
          <w:color w:val="000000" w:themeColor="text1"/>
          <w:sz w:val="20"/>
          <w:szCs w:val="20"/>
        </w:rPr>
        <w:t xml:space="preserve"> ili u trenutku </w:t>
      </w:r>
      <w:proofErr w:type="spellStart"/>
      <w:r w:rsidRPr="003D1614">
        <w:rPr>
          <w:rFonts w:ascii="Arial" w:eastAsia="Times New Roman" w:hAnsi="Arial" w:cs="Arial"/>
          <w:color w:val="000000" w:themeColor="text1"/>
          <w:sz w:val="20"/>
          <w:szCs w:val="20"/>
        </w:rPr>
        <w:t>defaulta</w:t>
      </w:r>
      <w:proofErr w:type="spellEnd"/>
      <w:r w:rsidRPr="003D1614">
        <w:rPr>
          <w:rFonts w:ascii="Arial" w:eastAsia="Times New Roman" w:hAnsi="Arial" w:cs="Arial"/>
          <w:color w:val="000000" w:themeColor="text1"/>
          <w:sz w:val="20"/>
          <w:szCs w:val="20"/>
        </w:rPr>
        <w:t xml:space="preserve"> obveznice. Temeljem tržišnih stopa naplate za neosigurani nadređeni dug („senior </w:t>
      </w:r>
      <w:proofErr w:type="spellStart"/>
      <w:r w:rsidRPr="003D1614">
        <w:rPr>
          <w:rFonts w:ascii="Arial" w:eastAsia="Times New Roman" w:hAnsi="Arial" w:cs="Arial"/>
          <w:color w:val="000000" w:themeColor="text1"/>
          <w:sz w:val="20"/>
          <w:szCs w:val="20"/>
        </w:rPr>
        <w:t>unsecured</w:t>
      </w:r>
      <w:proofErr w:type="spellEnd"/>
      <w:r w:rsidRPr="003D1614">
        <w:rPr>
          <w:rFonts w:ascii="Arial" w:eastAsia="Times New Roman" w:hAnsi="Arial" w:cs="Arial"/>
          <w:color w:val="000000" w:themeColor="text1"/>
          <w:sz w:val="20"/>
          <w:szCs w:val="20"/>
        </w:rPr>
        <w:t xml:space="preserve"> </w:t>
      </w:r>
      <w:proofErr w:type="spellStart"/>
      <w:r w:rsidRPr="003D1614">
        <w:rPr>
          <w:rFonts w:ascii="Arial" w:eastAsia="Times New Roman" w:hAnsi="Arial" w:cs="Arial"/>
          <w:color w:val="000000" w:themeColor="text1"/>
          <w:sz w:val="20"/>
          <w:szCs w:val="20"/>
        </w:rPr>
        <w:t>debt</w:t>
      </w:r>
      <w:proofErr w:type="spellEnd"/>
      <w:r w:rsidRPr="003D1614">
        <w:rPr>
          <w:rFonts w:ascii="Arial" w:eastAsia="Times New Roman" w:hAnsi="Arial" w:cs="Arial"/>
          <w:color w:val="000000" w:themeColor="text1"/>
          <w:sz w:val="20"/>
          <w:szCs w:val="20"/>
        </w:rPr>
        <w:t xml:space="preserve">“), određuje se stopa naplate ponderirana izdavateljem obveznica (eng. </w:t>
      </w:r>
      <w:proofErr w:type="spellStart"/>
      <w:r w:rsidRPr="003D1614">
        <w:rPr>
          <w:rFonts w:ascii="Arial" w:eastAsia="Times New Roman" w:hAnsi="Arial" w:cs="Arial"/>
          <w:color w:val="000000" w:themeColor="text1"/>
          <w:sz w:val="20"/>
          <w:szCs w:val="20"/>
        </w:rPr>
        <w:t>issuer-weighted</w:t>
      </w:r>
      <w:proofErr w:type="spellEnd"/>
      <w:r w:rsidRPr="003D1614">
        <w:rPr>
          <w:rFonts w:ascii="Arial" w:eastAsia="Times New Roman" w:hAnsi="Arial" w:cs="Arial"/>
          <w:color w:val="000000" w:themeColor="text1"/>
          <w:sz w:val="20"/>
          <w:szCs w:val="20"/>
        </w:rPr>
        <w:t xml:space="preserve"> </w:t>
      </w:r>
      <w:proofErr w:type="spellStart"/>
      <w:r w:rsidRPr="003D1614">
        <w:rPr>
          <w:rFonts w:ascii="Arial" w:eastAsia="Times New Roman" w:hAnsi="Arial" w:cs="Arial"/>
          <w:color w:val="000000" w:themeColor="text1"/>
          <w:sz w:val="20"/>
          <w:szCs w:val="20"/>
        </w:rPr>
        <w:t>recovery</w:t>
      </w:r>
      <w:proofErr w:type="spellEnd"/>
      <w:r w:rsidRPr="003D1614">
        <w:rPr>
          <w:rFonts w:ascii="Arial" w:eastAsia="Times New Roman" w:hAnsi="Arial" w:cs="Arial"/>
          <w:color w:val="000000" w:themeColor="text1"/>
          <w:sz w:val="20"/>
          <w:szCs w:val="20"/>
        </w:rPr>
        <w:t xml:space="preserve"> rate). </w:t>
      </w:r>
    </w:p>
    <w:p w14:paraId="77BE5502" w14:textId="5BD0247D" w:rsidR="0088484F" w:rsidRPr="003D1614" w:rsidRDefault="0088484F" w:rsidP="0088484F">
      <w:pPr>
        <w:suppressAutoHyphens/>
        <w:autoSpaceDE w:val="0"/>
        <w:autoSpaceDN w:val="0"/>
        <w:adjustRightInd w:val="0"/>
        <w:jc w:val="both"/>
        <w:rPr>
          <w:rFonts w:ascii="Arial" w:eastAsia="Times New Roman" w:hAnsi="Arial" w:cs="Arial"/>
          <w:color w:val="000000" w:themeColor="text1"/>
          <w:sz w:val="20"/>
          <w:szCs w:val="20"/>
        </w:rPr>
      </w:pPr>
    </w:p>
    <w:p w14:paraId="421E1463" w14:textId="77777777" w:rsidR="0088484F" w:rsidRPr="003D1614" w:rsidRDefault="0088484F" w:rsidP="0088484F">
      <w:pPr>
        <w:suppressAutoHyphens/>
        <w:autoSpaceDE w:val="0"/>
        <w:autoSpaceDN w:val="0"/>
        <w:adjustRightInd w:val="0"/>
        <w:jc w:val="both"/>
        <w:rPr>
          <w:rFonts w:ascii="Arial" w:eastAsia="Times New Roman" w:hAnsi="Arial" w:cs="Arial"/>
          <w:color w:val="000000" w:themeColor="text1"/>
          <w:sz w:val="20"/>
          <w:szCs w:val="20"/>
        </w:rPr>
        <w:sectPr w:rsidR="0088484F" w:rsidRPr="003D1614">
          <w:pgSz w:w="11906" w:h="16838"/>
          <w:pgMar w:top="1417" w:right="1417" w:bottom="1417" w:left="1417" w:header="708" w:footer="708" w:gutter="0"/>
          <w:cols w:space="708"/>
          <w:docGrid w:linePitch="360"/>
        </w:sectPr>
      </w:pPr>
    </w:p>
    <w:p w14:paraId="3B119382" w14:textId="77777777" w:rsidR="0088484F" w:rsidRPr="003D1614" w:rsidRDefault="0088484F" w:rsidP="0088484F">
      <w:pPr>
        <w:suppressAutoHyphens/>
        <w:autoSpaceDE w:val="0"/>
        <w:autoSpaceDN w:val="0"/>
        <w:adjustRightInd w:val="0"/>
        <w:jc w:val="both"/>
        <w:rPr>
          <w:rFonts w:ascii="Arial" w:eastAsia="Times New Roman" w:hAnsi="Arial" w:cs="Arial"/>
          <w:color w:val="000000" w:themeColor="text1"/>
          <w:sz w:val="20"/>
          <w:szCs w:val="20"/>
        </w:rPr>
      </w:pPr>
    </w:p>
    <w:p w14:paraId="2C54B014" w14:textId="6E44B462" w:rsidR="0088484F" w:rsidRPr="003D1614" w:rsidRDefault="0088484F" w:rsidP="0088484F">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47F3BE8A"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6CE194B7" w14:textId="27630A85" w:rsidR="0088484F" w:rsidRPr="003D1614" w:rsidRDefault="0088484F" w:rsidP="0088484F">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25130F7E"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67461489" w14:textId="538B80D1" w:rsidR="0088484F" w:rsidRPr="003D1614" w:rsidRDefault="0088484F" w:rsidP="0088484F">
      <w:pPr>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 Procjena umanjenja vrijednosti (nastavak)</w:t>
      </w:r>
    </w:p>
    <w:p w14:paraId="068EBBB7" w14:textId="77777777"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p>
    <w:p w14:paraId="2CC41D32" w14:textId="1F5A2779"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 xml:space="preserve">.3.2.5. Značajno povećanje kreditnog rizika </w:t>
      </w:r>
    </w:p>
    <w:p w14:paraId="7AA0C61A"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04DCC378" w14:textId="277FE18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 svrhu utvrđivanja povećanog kreditnog rizika </w:t>
      </w:r>
      <w:r w:rsidR="00B9782D">
        <w:rPr>
          <w:rFonts w:ascii="Arial" w:eastAsia="Times New Roman" w:hAnsi="Arial" w:cs="Arial"/>
          <w:color w:val="000000" w:themeColor="text1"/>
          <w:sz w:val="20"/>
          <w:szCs w:val="20"/>
        </w:rPr>
        <w:t xml:space="preserve">klijenata </w:t>
      </w:r>
      <w:r w:rsidRPr="003D1614">
        <w:rPr>
          <w:rFonts w:ascii="Arial" w:eastAsia="Times New Roman" w:hAnsi="Arial" w:cs="Arial"/>
          <w:color w:val="000000" w:themeColor="text1"/>
          <w:sz w:val="20"/>
          <w:szCs w:val="20"/>
        </w:rPr>
        <w:t xml:space="preserve">kontinuirano, a najmanje jednom godišnje prate se promjene za sve klijente Banke. Svi plasmani klijentu kod kojeg je utvrđen povećan kreditni rizik ili </w:t>
      </w:r>
      <w:r w:rsidR="00B9782D">
        <w:rPr>
          <w:rFonts w:ascii="Arial" w:eastAsia="Times New Roman" w:hAnsi="Arial" w:cs="Arial"/>
          <w:color w:val="000000" w:themeColor="text1"/>
          <w:sz w:val="20"/>
          <w:szCs w:val="20"/>
        </w:rPr>
        <w:t xml:space="preserve">plasmani </w:t>
      </w:r>
      <w:r w:rsidRPr="003D1614">
        <w:rPr>
          <w:rFonts w:ascii="Arial" w:eastAsia="Times New Roman" w:hAnsi="Arial" w:cs="Arial"/>
          <w:color w:val="000000" w:themeColor="text1"/>
          <w:sz w:val="20"/>
          <w:szCs w:val="20"/>
        </w:rPr>
        <w:t xml:space="preserve">u slučaju individualno značajnih klijenata čija je izloženost iznad </w:t>
      </w:r>
      <w:r w:rsidR="0016387E">
        <w:rPr>
          <w:rFonts w:ascii="Arial" w:eastAsia="Times New Roman" w:hAnsi="Arial" w:cs="Arial"/>
          <w:color w:val="000000" w:themeColor="text1"/>
          <w:sz w:val="20"/>
          <w:szCs w:val="20"/>
        </w:rPr>
        <w:t>400</w:t>
      </w:r>
      <w:r w:rsidRPr="003D1614">
        <w:rPr>
          <w:rFonts w:ascii="Arial" w:eastAsia="Times New Roman" w:hAnsi="Arial" w:cs="Arial"/>
          <w:color w:val="000000" w:themeColor="text1"/>
          <w:sz w:val="20"/>
          <w:szCs w:val="20"/>
        </w:rPr>
        <w:t xml:space="preserve"> tisuća </w:t>
      </w:r>
      <w:r w:rsidR="0016387E">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 xml:space="preserve">, a nalaze se na Listi za pojačano praćenje, klasificiraju </w:t>
      </w:r>
      <w:r w:rsidR="00050921">
        <w:rPr>
          <w:rFonts w:ascii="Arial" w:eastAsia="Times New Roman" w:hAnsi="Arial" w:cs="Arial"/>
          <w:color w:val="000000" w:themeColor="text1"/>
          <w:sz w:val="20"/>
          <w:szCs w:val="20"/>
        </w:rPr>
        <w:t xml:space="preserve">na sljedeći izvještajni datum </w:t>
      </w:r>
      <w:r w:rsidRPr="003D1614">
        <w:rPr>
          <w:rFonts w:ascii="Arial" w:eastAsia="Times New Roman" w:hAnsi="Arial" w:cs="Arial"/>
          <w:color w:val="000000" w:themeColor="text1"/>
          <w:sz w:val="20"/>
          <w:szCs w:val="20"/>
        </w:rPr>
        <w:t xml:space="preserve">u 2. stupanj </w:t>
      </w:r>
      <w:r w:rsidR="00050921">
        <w:rPr>
          <w:rFonts w:ascii="Arial" w:eastAsia="Times New Roman" w:hAnsi="Arial" w:cs="Arial"/>
          <w:color w:val="000000" w:themeColor="text1"/>
          <w:sz w:val="20"/>
          <w:szCs w:val="20"/>
        </w:rPr>
        <w:t xml:space="preserve">kreditnog rizika </w:t>
      </w:r>
      <w:r w:rsidRPr="003D1614">
        <w:rPr>
          <w:rFonts w:ascii="Arial" w:eastAsia="Times New Roman" w:hAnsi="Arial" w:cs="Arial"/>
          <w:color w:val="000000" w:themeColor="text1"/>
          <w:sz w:val="20"/>
          <w:szCs w:val="20"/>
        </w:rPr>
        <w:t xml:space="preserve">temeljem uočenih kriterija </w:t>
      </w:r>
      <w:r w:rsidR="00050921">
        <w:rPr>
          <w:rFonts w:ascii="Arial" w:eastAsia="Times New Roman" w:hAnsi="Arial" w:cs="Arial"/>
          <w:color w:val="000000" w:themeColor="text1"/>
          <w:sz w:val="20"/>
          <w:szCs w:val="20"/>
        </w:rPr>
        <w:t xml:space="preserve">praćenja klijenata, </w:t>
      </w:r>
      <w:r w:rsidRPr="003D1614">
        <w:rPr>
          <w:rFonts w:ascii="Arial" w:eastAsia="Times New Roman" w:hAnsi="Arial" w:cs="Arial"/>
          <w:color w:val="000000" w:themeColor="text1"/>
          <w:sz w:val="20"/>
          <w:szCs w:val="20"/>
        </w:rPr>
        <w:t>kao na primjer:</w:t>
      </w:r>
    </w:p>
    <w:p w14:paraId="244374FD" w14:textId="6FFBC4EB" w:rsidR="0088484F" w:rsidRPr="003D1614" w:rsidRDefault="0088484F" w:rsidP="0088484F">
      <w:pPr>
        <w:numPr>
          <w:ilvl w:val="0"/>
          <w:numId w:val="21"/>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kašnjenje u podmirenju bilo koje značajne dospjele obveze prema HBOR-u duže od 30 dana (a kraće od 90 dana), </w:t>
      </w:r>
    </w:p>
    <w:p w14:paraId="4AEBCFB2" w14:textId="77777777" w:rsidR="0088484F" w:rsidRPr="003D1614" w:rsidRDefault="0088484F" w:rsidP="0088484F">
      <w:pPr>
        <w:numPr>
          <w:ilvl w:val="0"/>
          <w:numId w:val="21"/>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klijent je u financijskim poteškoćama, ali nije u statusu neispunjenja obveza, </w:t>
      </w:r>
    </w:p>
    <w:p w14:paraId="538BCBEF" w14:textId="77777777" w:rsidR="0088484F" w:rsidRPr="003D1614" w:rsidRDefault="0088484F" w:rsidP="0088484F">
      <w:pPr>
        <w:numPr>
          <w:ilvl w:val="0"/>
          <w:numId w:val="21"/>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pogoršanje rejtinga, nizak kreditni rejting klijenta,</w:t>
      </w:r>
    </w:p>
    <w:p w14:paraId="351B7BB9" w14:textId="77777777" w:rsidR="0088484F" w:rsidRPr="003D1614" w:rsidRDefault="0088484F" w:rsidP="0088484F">
      <w:pPr>
        <w:numPr>
          <w:ilvl w:val="0"/>
          <w:numId w:val="21"/>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nepoštivanje ugovornih odredbi</w:t>
      </w:r>
    </w:p>
    <w:p w14:paraId="7A663142" w14:textId="77777777" w:rsidR="0088484F" w:rsidRPr="003D1614" w:rsidRDefault="0088484F" w:rsidP="0088484F">
      <w:pPr>
        <w:numPr>
          <w:ilvl w:val="0"/>
          <w:numId w:val="21"/>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gubitak ključnih kupaca ili dobavljača i sl.</w:t>
      </w:r>
    </w:p>
    <w:p w14:paraId="3D7CB500"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74389CEF"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Izlazak iz statusa povećanog kreditnog rizika uvjetovan je nepostojanjem svih kriterija koji su svrstali klijenta u predmetni status po njegovom događaju, a provjera svih pokazatelja provodi se najmanje jednom godišnje u okviru godišnjeg praćenja klijenta. Deaktiviranje dijela pokazatelja moguće je provesti nakon šest mjeseci. Pokazatelji povećanog kreditnog rizika su aktivni godinu dana, nakon čega ih je potrebno provjeriti te temeljem rezultata praćenja ponovo aktivirati odnosno deaktivirati. Rezultat promjene je reklasifikacija financijskih instrumenata klijenta u 1. stupanj odnosno njihovim ostankom u 2. stupnju rizika.</w:t>
      </w:r>
    </w:p>
    <w:p w14:paraId="3AE97828"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29B36FC6"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Financijski instrumenti klijenta s investicijskim rejtingom vanjskih kreditnih rejting agencija smatraju se financijskim instrumentima niskog kreditnog rizika. Sve izloženosti prema Republici Hrvatskoj i jedinicama lokalne i područne (regionalne) samouprave (JLP(R)S), HNB-u, Europskoj investicijskoj banci (EIB) te ostalim razvojnim bankama smatraju se također financijskim instrumentima klijenata niskog kreditnog rizika. Financijski instrumenti klijenata niskog kreditnog rizika se uvijek raspoređuju u 1. stupanj.</w:t>
      </w:r>
    </w:p>
    <w:p w14:paraId="63D3BF37" w14:textId="77777777" w:rsidR="0088484F" w:rsidRPr="003D1614" w:rsidRDefault="0088484F" w:rsidP="0088484F">
      <w:pPr>
        <w:keepNext/>
        <w:tabs>
          <w:tab w:val="left" w:pos="426"/>
        </w:tabs>
        <w:suppressAutoHyphens/>
        <w:autoSpaceDN w:val="0"/>
        <w:jc w:val="both"/>
        <w:rPr>
          <w:rFonts w:ascii="Arial" w:eastAsia="Times New Roman" w:hAnsi="Arial" w:cs="Arial"/>
          <w:b/>
          <w:bCs/>
          <w:color w:val="000000" w:themeColor="text1"/>
          <w:sz w:val="20"/>
          <w:szCs w:val="20"/>
          <w:lang w:eastAsia="hr-HR"/>
        </w:rPr>
      </w:pPr>
    </w:p>
    <w:p w14:paraId="4D5B9B56" w14:textId="4E8B139C"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.3.2.6. Svrstavanje financijske imovine koja se mjeri na skupnoj osnovi</w:t>
      </w:r>
    </w:p>
    <w:p w14:paraId="4E6323D5"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C628A4E" w14:textId="712B8A2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Kreditni rizik se procjenjuje na skupnoj osnovi za sve izloženosti prema klijentima klasificiranim u 1. i 2. stupanj rizika te </w:t>
      </w:r>
      <w:r w:rsidR="0071767F">
        <w:rPr>
          <w:rFonts w:ascii="Arial" w:eastAsia="Times New Roman" w:hAnsi="Arial" w:cs="Arial"/>
          <w:color w:val="000000" w:themeColor="text1"/>
          <w:sz w:val="20"/>
          <w:szCs w:val="20"/>
        </w:rPr>
        <w:t xml:space="preserve">svi financijski instrumenti uključujući POCI imovinu </w:t>
      </w:r>
      <w:r w:rsidRPr="003D1614">
        <w:rPr>
          <w:rFonts w:ascii="Arial" w:eastAsia="Times New Roman" w:hAnsi="Arial" w:cs="Arial"/>
          <w:color w:val="000000" w:themeColor="text1"/>
          <w:sz w:val="20"/>
          <w:szCs w:val="20"/>
        </w:rPr>
        <w:t xml:space="preserve">u 3. stupnju rizika koji pripadaju portfelju malih kredita. </w:t>
      </w:r>
      <w:r w:rsidR="00170237">
        <w:rPr>
          <w:rFonts w:ascii="Arial" w:eastAsia="Times New Roman" w:hAnsi="Arial" w:cs="Arial"/>
          <w:color w:val="000000" w:themeColor="text1"/>
          <w:sz w:val="20"/>
          <w:szCs w:val="20"/>
        </w:rPr>
        <w:t xml:space="preserve">Na skupnoj osnovi se procjenjuje rizik </w:t>
      </w:r>
      <w:r w:rsidR="00170237" w:rsidRPr="003D1614">
        <w:rPr>
          <w:rFonts w:ascii="Arial" w:eastAsia="Times New Roman" w:hAnsi="Arial" w:cs="Arial"/>
          <w:color w:val="000000" w:themeColor="text1"/>
          <w:sz w:val="20"/>
          <w:szCs w:val="20"/>
        </w:rPr>
        <w:t>POCI imovin</w:t>
      </w:r>
      <w:r w:rsidR="00170237">
        <w:rPr>
          <w:rFonts w:ascii="Arial" w:eastAsia="Times New Roman" w:hAnsi="Arial" w:cs="Arial"/>
          <w:color w:val="000000" w:themeColor="text1"/>
          <w:sz w:val="20"/>
          <w:szCs w:val="20"/>
        </w:rPr>
        <w:t>e</w:t>
      </w:r>
      <w:r w:rsidR="00170237" w:rsidRPr="003D1614">
        <w:rPr>
          <w:rFonts w:ascii="Arial" w:eastAsia="Times New Roman" w:hAnsi="Arial" w:cs="Arial"/>
          <w:color w:val="000000" w:themeColor="text1"/>
          <w:sz w:val="20"/>
          <w:szCs w:val="20"/>
        </w:rPr>
        <w:t xml:space="preserve"> klijenata </w:t>
      </w:r>
      <w:r w:rsidR="00170237">
        <w:rPr>
          <w:rFonts w:ascii="Arial" w:eastAsia="Times New Roman" w:hAnsi="Arial" w:cs="Arial"/>
          <w:color w:val="000000" w:themeColor="text1"/>
          <w:sz w:val="20"/>
          <w:szCs w:val="20"/>
        </w:rPr>
        <w:t>koji nisu u statusu neispunjenja obveza</w:t>
      </w:r>
      <w:r w:rsidR="00170237" w:rsidRPr="003D1614">
        <w:rPr>
          <w:rFonts w:ascii="Arial" w:eastAsia="Times New Roman" w:hAnsi="Arial" w:cs="Arial"/>
          <w:color w:val="000000" w:themeColor="text1"/>
          <w:sz w:val="20"/>
          <w:szCs w:val="20"/>
        </w:rPr>
        <w:t>.</w:t>
      </w:r>
    </w:p>
    <w:p w14:paraId="7B60A9B3"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65B304A"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Za potrebe određivanja značajnog povećanja kreditnog rizika i priznavanja rezervacija za umanjenje vrijednosti na skupnoj osnovi, financijski instrumenti su grupirani u sljedeće skupine, i to na temelju zajedničkih obilježja kreditnog rizika, radi lakše procjene značajnog povećanja kreditnog rizika:</w:t>
      </w:r>
    </w:p>
    <w:p w14:paraId="33584EE4" w14:textId="77777777" w:rsidR="0088484F" w:rsidRPr="003D1614" w:rsidRDefault="0088484F" w:rsidP="0088484F">
      <w:pPr>
        <w:numPr>
          <w:ilvl w:val="0"/>
          <w:numId w:val="22"/>
        </w:numPr>
        <w:tabs>
          <w:tab w:val="left" w:pos="8640"/>
        </w:tabs>
        <w:suppressAutoHyphens/>
        <w:autoSpaceDN w:val="0"/>
        <w:ind w:right="57"/>
        <w:contextualSpacing/>
        <w:jc w:val="both"/>
        <w:rPr>
          <w:rFonts w:ascii="Arial" w:eastAsia="PMingLiU" w:hAnsi="Arial" w:cs="Arial"/>
          <w:color w:val="000000" w:themeColor="text1"/>
          <w:sz w:val="20"/>
          <w:szCs w:val="20"/>
          <w:lang w:eastAsia="hr-HR" w:bidi="hr-HR"/>
        </w:rPr>
      </w:pPr>
      <w:r w:rsidRPr="003D1614">
        <w:rPr>
          <w:rFonts w:ascii="Arial" w:eastAsia="PMingLiU" w:hAnsi="Arial" w:cs="Arial"/>
          <w:color w:val="000000" w:themeColor="text1"/>
          <w:sz w:val="20"/>
          <w:szCs w:val="20"/>
          <w:lang w:eastAsia="hr-HR" w:bidi="hr-HR"/>
        </w:rPr>
        <w:t>financijske institucije,</w:t>
      </w:r>
    </w:p>
    <w:p w14:paraId="3E6C7D76" w14:textId="77777777" w:rsidR="0088484F" w:rsidRPr="003D1614" w:rsidRDefault="0088484F" w:rsidP="0088484F">
      <w:pPr>
        <w:numPr>
          <w:ilvl w:val="0"/>
          <w:numId w:val="22"/>
        </w:numPr>
        <w:tabs>
          <w:tab w:val="left" w:pos="8640"/>
        </w:tabs>
        <w:suppressAutoHyphens/>
        <w:autoSpaceDN w:val="0"/>
        <w:ind w:right="57"/>
        <w:contextualSpacing/>
        <w:jc w:val="both"/>
        <w:rPr>
          <w:rFonts w:ascii="Arial" w:eastAsia="PMingLiU" w:hAnsi="Arial" w:cs="Arial"/>
          <w:color w:val="000000" w:themeColor="text1"/>
          <w:sz w:val="20"/>
          <w:szCs w:val="20"/>
          <w:lang w:eastAsia="hr-HR" w:bidi="hr-HR"/>
        </w:rPr>
      </w:pPr>
      <w:r w:rsidRPr="003D1614">
        <w:rPr>
          <w:rFonts w:ascii="Arial" w:eastAsia="PMingLiU" w:hAnsi="Arial" w:cs="Arial"/>
          <w:color w:val="000000" w:themeColor="text1"/>
          <w:sz w:val="20"/>
          <w:szCs w:val="20"/>
          <w:lang w:eastAsia="hr-HR" w:bidi="hr-HR"/>
        </w:rPr>
        <w:t>središnja država i lokalna i područna (regionalna) samouprava,</w:t>
      </w:r>
    </w:p>
    <w:p w14:paraId="5B14A580" w14:textId="00FC66B9" w:rsidR="0088484F" w:rsidRPr="003D1614" w:rsidRDefault="0088484F" w:rsidP="0088484F">
      <w:pPr>
        <w:numPr>
          <w:ilvl w:val="0"/>
          <w:numId w:val="22"/>
        </w:numPr>
        <w:tabs>
          <w:tab w:val="left" w:pos="8640"/>
        </w:tabs>
        <w:suppressAutoHyphens/>
        <w:autoSpaceDN w:val="0"/>
        <w:ind w:right="57"/>
        <w:contextualSpacing/>
        <w:jc w:val="both"/>
        <w:rPr>
          <w:rFonts w:ascii="Arial" w:eastAsia="PMingLiU" w:hAnsi="Arial" w:cs="Arial"/>
          <w:color w:val="000000" w:themeColor="text1"/>
          <w:sz w:val="20"/>
          <w:szCs w:val="20"/>
          <w:lang w:eastAsia="hr-HR" w:bidi="hr-HR"/>
        </w:rPr>
      </w:pPr>
      <w:r w:rsidRPr="003D1614">
        <w:rPr>
          <w:rFonts w:ascii="Arial" w:eastAsia="PMingLiU" w:hAnsi="Arial" w:cs="Arial"/>
          <w:color w:val="000000" w:themeColor="text1"/>
          <w:sz w:val="20"/>
          <w:szCs w:val="20"/>
          <w:lang w:eastAsia="hr-HR" w:bidi="hr-HR"/>
        </w:rPr>
        <w:t>izravni korisnici – veliki,</w:t>
      </w:r>
    </w:p>
    <w:p w14:paraId="310A953B" w14:textId="77777777" w:rsidR="0088484F" w:rsidRPr="003D1614" w:rsidRDefault="0088484F" w:rsidP="0088484F">
      <w:pPr>
        <w:numPr>
          <w:ilvl w:val="0"/>
          <w:numId w:val="22"/>
        </w:numPr>
        <w:tabs>
          <w:tab w:val="left" w:pos="8640"/>
        </w:tabs>
        <w:ind w:right="57"/>
        <w:contextualSpacing/>
        <w:jc w:val="both"/>
        <w:rPr>
          <w:rFonts w:ascii="Arial" w:eastAsia="PMingLiU" w:hAnsi="Arial" w:cs="Arial"/>
          <w:color w:val="000000" w:themeColor="text1"/>
          <w:sz w:val="20"/>
          <w:szCs w:val="20"/>
          <w:lang w:eastAsia="hr-HR" w:bidi="hr-HR"/>
        </w:rPr>
      </w:pPr>
      <w:r w:rsidRPr="003D1614">
        <w:rPr>
          <w:rFonts w:ascii="Arial" w:eastAsia="PMingLiU" w:hAnsi="Arial" w:cs="Arial"/>
          <w:color w:val="000000" w:themeColor="text1"/>
          <w:sz w:val="20"/>
          <w:szCs w:val="20"/>
          <w:lang w:eastAsia="hr-HR" w:bidi="hr-HR"/>
        </w:rPr>
        <w:t xml:space="preserve">izravni korisnici – mali i srednji, </w:t>
      </w:r>
    </w:p>
    <w:p w14:paraId="7E0BC408" w14:textId="77777777" w:rsidR="0088484F" w:rsidRPr="003D1614" w:rsidRDefault="0088484F" w:rsidP="0088484F">
      <w:pPr>
        <w:numPr>
          <w:ilvl w:val="0"/>
          <w:numId w:val="22"/>
        </w:numPr>
        <w:tabs>
          <w:tab w:val="left" w:pos="8640"/>
        </w:tabs>
        <w:ind w:right="57"/>
        <w:contextualSpacing/>
        <w:jc w:val="both"/>
        <w:rPr>
          <w:rFonts w:ascii="Arial" w:eastAsia="PMingLiU" w:hAnsi="Arial" w:cs="Arial"/>
          <w:color w:val="000000" w:themeColor="text1"/>
          <w:sz w:val="20"/>
          <w:szCs w:val="20"/>
          <w:lang w:eastAsia="hr-HR" w:bidi="hr-HR"/>
        </w:rPr>
      </w:pPr>
      <w:r w:rsidRPr="003D1614">
        <w:rPr>
          <w:rFonts w:ascii="Arial" w:eastAsia="PMingLiU" w:hAnsi="Arial" w:cs="Arial"/>
          <w:color w:val="000000" w:themeColor="text1"/>
          <w:sz w:val="20"/>
          <w:szCs w:val="20"/>
          <w:lang w:eastAsia="hr-HR" w:bidi="hr-HR"/>
        </w:rPr>
        <w:t xml:space="preserve">izravni korisnici – mikro, </w:t>
      </w:r>
    </w:p>
    <w:p w14:paraId="246C71AD" w14:textId="77777777" w:rsidR="0088484F" w:rsidRPr="003D1614" w:rsidRDefault="0088484F" w:rsidP="0088484F">
      <w:pPr>
        <w:numPr>
          <w:ilvl w:val="0"/>
          <w:numId w:val="22"/>
        </w:numPr>
        <w:tabs>
          <w:tab w:val="left" w:pos="8640"/>
        </w:tabs>
        <w:ind w:right="57"/>
        <w:contextualSpacing/>
        <w:jc w:val="both"/>
        <w:rPr>
          <w:rFonts w:ascii="Arial" w:eastAsia="PMingLiU" w:hAnsi="Arial" w:cs="Arial"/>
          <w:color w:val="000000" w:themeColor="text1"/>
          <w:sz w:val="20"/>
          <w:szCs w:val="20"/>
          <w:lang w:eastAsia="hr-HR" w:bidi="hr-HR"/>
        </w:rPr>
      </w:pPr>
      <w:r w:rsidRPr="003D1614">
        <w:rPr>
          <w:rFonts w:ascii="Arial" w:eastAsia="PMingLiU" w:hAnsi="Arial" w:cs="Arial"/>
          <w:color w:val="000000" w:themeColor="text1"/>
          <w:sz w:val="20"/>
          <w:szCs w:val="20"/>
          <w:lang w:eastAsia="hr-HR" w:bidi="hr-HR"/>
        </w:rPr>
        <w:t>izravni korisnici – stanovništvo,</w:t>
      </w:r>
    </w:p>
    <w:p w14:paraId="6DFD7F53" w14:textId="54953D7A" w:rsidR="0088484F" w:rsidRPr="003D1614" w:rsidRDefault="0088484F" w:rsidP="0088484F">
      <w:pPr>
        <w:numPr>
          <w:ilvl w:val="0"/>
          <w:numId w:val="22"/>
        </w:numPr>
        <w:tabs>
          <w:tab w:val="left" w:pos="8640"/>
        </w:tabs>
        <w:ind w:right="57"/>
        <w:contextualSpacing/>
        <w:jc w:val="both"/>
        <w:rPr>
          <w:rFonts w:ascii="Arial" w:eastAsia="PMingLiU" w:hAnsi="Arial" w:cs="Arial"/>
          <w:color w:val="000000" w:themeColor="text1"/>
          <w:sz w:val="20"/>
          <w:szCs w:val="20"/>
          <w:lang w:eastAsia="hr-HR" w:bidi="hr-HR"/>
        </w:rPr>
      </w:pPr>
      <w:r w:rsidRPr="003D1614">
        <w:rPr>
          <w:rFonts w:ascii="Arial" w:eastAsia="PMingLiU" w:hAnsi="Arial" w:cs="Arial"/>
          <w:color w:val="000000" w:themeColor="text1"/>
          <w:sz w:val="20"/>
          <w:szCs w:val="20"/>
          <w:lang w:eastAsia="hr-HR" w:bidi="hr-HR"/>
        </w:rPr>
        <w:t>ostalo.</w:t>
      </w:r>
    </w:p>
    <w:p w14:paraId="7F891125"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05DEEC6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sectPr w:rsidR="0088484F" w:rsidRPr="003D1614">
          <w:pgSz w:w="11906" w:h="16838"/>
          <w:pgMar w:top="1417" w:right="1417" w:bottom="1417" w:left="1417" w:header="708" w:footer="708" w:gutter="0"/>
          <w:cols w:space="708"/>
          <w:docGrid w:linePitch="360"/>
        </w:sectPr>
      </w:pPr>
    </w:p>
    <w:p w14:paraId="7D19F741"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682F669B" w14:textId="5B32E660" w:rsidR="0088484F" w:rsidRPr="003D1614" w:rsidRDefault="0088484F" w:rsidP="0088484F">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7D803B05"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3B65328A" w14:textId="49C7A87C" w:rsidR="0088484F" w:rsidRPr="003D1614" w:rsidRDefault="0088484F" w:rsidP="0088484F">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3450BE90"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8AB5968" w14:textId="4E9E7E48" w:rsidR="0088484F" w:rsidRPr="003D1614" w:rsidRDefault="0088484F" w:rsidP="0088484F">
      <w:pPr>
        <w:tabs>
          <w:tab w:val="left" w:pos="851"/>
          <w:tab w:val="left" w:pos="1134"/>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w:t>
      </w:r>
      <w:r w:rsidRPr="003D1614">
        <w:rPr>
          <w:rFonts w:ascii="Arial" w:eastAsia="Calibri" w:hAnsi="Arial" w:cs="Arial"/>
          <w:b/>
          <w:color w:val="000000" w:themeColor="text1"/>
          <w:sz w:val="20"/>
          <w:szCs w:val="20"/>
        </w:rPr>
        <w:tab/>
        <w:t>Procjena umanjenja vrijednosti (nastavak)</w:t>
      </w:r>
    </w:p>
    <w:p w14:paraId="00919C03"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6D1ADF87" w14:textId="337DD84D"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.3.2.6. Svrstavanje financijske imovine koja se mjeri na skupnoj osnovi (nastavak)</w:t>
      </w:r>
    </w:p>
    <w:p w14:paraId="4044C066"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2895E8BD"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Grupiranjem financijskih instrumenata u homogene skupine se osigurava da se u slučaju značajnog povećanja kreditnog rizika ispuni cilj priznavanja očekivanih kreditnih gubitaka tijekom cijelog vijeka trajanja financijskog instrumenta, čak i ako dokaz takvog značajnog povećanja kreditnog rizika još uvijek nije dostupan na razini pojedinog instrumenta.</w:t>
      </w:r>
    </w:p>
    <w:p w14:paraId="1A0E72C7"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37560726" w14:textId="10AFE459" w:rsidR="0088484F" w:rsidRPr="003D1614" w:rsidRDefault="0088484F" w:rsidP="0088484F">
      <w:pPr>
        <w:tabs>
          <w:tab w:val="left" w:pos="851"/>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.3.3.</w:t>
      </w:r>
      <w:r w:rsidRPr="003D1614">
        <w:rPr>
          <w:rFonts w:ascii="Arial" w:eastAsia="Calibri" w:hAnsi="Arial" w:cs="Arial"/>
          <w:b/>
          <w:color w:val="000000" w:themeColor="text1"/>
          <w:sz w:val="20"/>
          <w:szCs w:val="20"/>
        </w:rPr>
        <w:tab/>
        <w:t>Analiza inputa za ECL model u okviru utjecaja makroekonomskih uvjeta na PD</w:t>
      </w:r>
    </w:p>
    <w:p w14:paraId="7A5D01E3"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5D1E4D6F"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Prilikom uključivanja informacija o budućnosti, koriste se dostupni izvori (HNB, DZS) o makroekonomskim uvjetima kako bi se projicirao njihov utjecaj na sadašnju vrijednost rizičnih parametara.</w:t>
      </w:r>
    </w:p>
    <w:p w14:paraId="6E8D91C9"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81EAC87"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Temeljem povijesne analize utjecaja makroekonomskih uvjeta i dostupnim makroekonomskim prognozama, utvrđuje se potencijalni utjecaj budućeg kretanja makroekonomskih uvjeta na vrijednost rizičnih parametara koristeći scenarije s pripadajućim vjerojatnostima nastanka pojedinog scenarija.</w:t>
      </w:r>
    </w:p>
    <w:p w14:paraId="5BCD8F15"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77F702E0"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Kod procjene očekivanih kreditnih gubitaka primjenom ranijih iskustava o kreditnim gubicima, podaci o ranijim stopama kreditnog gubitka se primjenjuju na cjelokupni portfelj izravnih kredita, a primjenom određene metode omogućeno je povezivanje pojedine skupine financijskih instrumenata s podacima o ranijem iskustvu o kreditnim gubicima u skupinama financijskih instrumenata sličnih karakteristika kreditnog rizika, kao i s važnim odgovarajućim podacima koji odražavaju postojeće stanje. </w:t>
      </w:r>
    </w:p>
    <w:p w14:paraId="5A363AF1"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6D801B38"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Očekivani kreditni gubici odražavaju očekivanja Banke u pogledu kreditnih gubitaka. Međutim, kada pri procjeni očekivanih kreditnih gubitaka razmatra sve razumne i pouzdane podatke koji su dostupni bez nepotrebnih troškova i napora, Banka razmatra i odgovarajuće tržišne podatke o kreditnom riziku određenog financijskog instrumenta ili sličnih financijskih instrumenata. </w:t>
      </w:r>
    </w:p>
    <w:p w14:paraId="66A13438" w14:textId="77777777" w:rsidR="0088484F" w:rsidRPr="003D1614" w:rsidRDefault="0088484F" w:rsidP="0088484F">
      <w:pPr>
        <w:tabs>
          <w:tab w:val="left" w:pos="851"/>
        </w:tabs>
        <w:suppressAutoHyphens/>
        <w:autoSpaceDN w:val="0"/>
        <w:spacing w:line="300" w:lineRule="exact"/>
        <w:jc w:val="both"/>
        <w:rPr>
          <w:rFonts w:ascii="Arial" w:eastAsia="Times New Roman" w:hAnsi="Arial" w:cs="Arial"/>
          <w:color w:val="000000" w:themeColor="text1"/>
          <w:sz w:val="20"/>
          <w:szCs w:val="20"/>
        </w:rPr>
      </w:pPr>
    </w:p>
    <w:p w14:paraId="5B1D83E9" w14:textId="4F35C867" w:rsidR="00CD630B"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Banka za potrebe izračuna očekivanih kreditnih gubitaka koristi veći broj makroekonomskih uvjeta od kojih je za jedan (</w:t>
      </w:r>
      <w:bookmarkStart w:id="593" w:name="_Hlk65485396"/>
      <w:r w:rsidRPr="003D1614">
        <w:rPr>
          <w:rFonts w:ascii="Arial" w:eastAsia="Times New Roman" w:hAnsi="Arial" w:cs="Arial"/>
          <w:color w:val="000000" w:themeColor="text1"/>
          <w:sz w:val="20"/>
          <w:szCs w:val="20"/>
        </w:rPr>
        <w:t xml:space="preserve">realna stopa rasta BDP-a) </w:t>
      </w:r>
      <w:bookmarkEnd w:id="593"/>
      <w:r w:rsidRPr="003D1614">
        <w:rPr>
          <w:rFonts w:ascii="Arial" w:eastAsia="Times New Roman" w:hAnsi="Arial" w:cs="Arial"/>
          <w:color w:val="000000" w:themeColor="text1"/>
          <w:sz w:val="20"/>
          <w:szCs w:val="20"/>
        </w:rPr>
        <w:t>utvrđena korelacija ukupnog PD-ja za cjelokupni portfelj izravnih kredita.</w:t>
      </w:r>
    </w:p>
    <w:p w14:paraId="5D55F24F" w14:textId="453D97D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086EB615" w14:textId="4DA98B3E"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Kako bi se odredio utjecaj budućih makroekonomskih uvjeta na očekivane kreditne gubitke, putem analize na temelju povijesnih podataka, utvrđuje se veza između makroekonomskih uvjeta i PD-ja. Nakon toga, procjenjuje se utjecaj makroekonomskih prognoza na vrijednosti PD-ja i računa se koeficijent pomoću kojeg se korigira procijenjena vrijednost PD-ja u dva scenarija, optimistični i pesimistični.</w:t>
      </w:r>
    </w:p>
    <w:p w14:paraId="7C4F9739"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3FB8DA6A"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7262ADB4" w14:textId="1A8371FE" w:rsidR="00CD630B" w:rsidRPr="003D1614" w:rsidRDefault="00CD630B" w:rsidP="00CD630B">
      <w:pPr>
        <w:suppressAutoHyphens/>
        <w:autoSpaceDN w:val="0"/>
        <w:jc w:val="both"/>
        <w:rPr>
          <w:rFonts w:ascii="Arial" w:eastAsia="Times New Roman" w:hAnsi="Arial" w:cs="Arial"/>
          <w:color w:val="000000" w:themeColor="text1"/>
          <w:sz w:val="20"/>
          <w:szCs w:val="20"/>
        </w:rPr>
        <w:sectPr w:rsidR="00CD630B" w:rsidRPr="003D1614">
          <w:pgSz w:w="11906" w:h="16838"/>
          <w:pgMar w:top="1417" w:right="1417" w:bottom="1417" w:left="1417" w:header="708" w:footer="708" w:gutter="0"/>
          <w:cols w:space="708"/>
          <w:docGrid w:linePitch="360"/>
        </w:sectPr>
      </w:pPr>
    </w:p>
    <w:p w14:paraId="1C84F34F" w14:textId="77777777"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p>
    <w:p w14:paraId="3376D97E" w14:textId="64E902E6" w:rsidR="0088484F" w:rsidRPr="003D1614" w:rsidRDefault="0088484F" w:rsidP="0088484F">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71828EA9"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38A7EC12" w14:textId="46117610" w:rsidR="0088484F" w:rsidRPr="003D1614" w:rsidRDefault="0088484F" w:rsidP="0088484F">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218FA8EE"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F50814A" w14:textId="2544DCB0" w:rsidR="0088484F" w:rsidRPr="003D1614" w:rsidRDefault="0088484F" w:rsidP="0088484F">
      <w:pPr>
        <w:suppressAutoHyphens/>
        <w:autoSpaceDN w:val="0"/>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lang w:eastAsia="hr-HR"/>
        </w:rPr>
        <w:t>2</w:t>
      </w:r>
      <w:r w:rsidR="000E693B">
        <w:rPr>
          <w:rFonts w:ascii="Arial" w:eastAsia="Calibri" w:hAnsi="Arial" w:cs="Arial"/>
          <w:b/>
          <w:color w:val="000000" w:themeColor="text1"/>
          <w:sz w:val="20"/>
          <w:szCs w:val="20"/>
          <w:lang w:eastAsia="hr-HR"/>
        </w:rPr>
        <w:t>3</w:t>
      </w:r>
      <w:r w:rsidRPr="003D1614">
        <w:rPr>
          <w:rFonts w:ascii="Arial" w:eastAsia="Calibri" w:hAnsi="Arial" w:cs="Arial"/>
          <w:b/>
          <w:color w:val="000000" w:themeColor="text1"/>
          <w:sz w:val="20"/>
          <w:szCs w:val="20"/>
          <w:lang w:eastAsia="hr-HR"/>
        </w:rPr>
        <w:t>.3.4.</w:t>
      </w:r>
      <w:r w:rsidRPr="003D1614">
        <w:rPr>
          <w:rFonts w:ascii="Arial" w:eastAsia="Calibri" w:hAnsi="Arial" w:cs="Arial"/>
          <w:b/>
          <w:color w:val="000000" w:themeColor="text1"/>
          <w:sz w:val="20"/>
          <w:szCs w:val="20"/>
          <w:lang w:eastAsia="hr-HR"/>
        </w:rPr>
        <w:tab/>
      </w:r>
      <w:r w:rsidRPr="003D1614">
        <w:rPr>
          <w:rFonts w:ascii="Arial" w:eastAsia="Calibri" w:hAnsi="Arial" w:cs="Arial"/>
          <w:b/>
          <w:color w:val="000000" w:themeColor="text1"/>
          <w:sz w:val="20"/>
          <w:szCs w:val="20"/>
        </w:rPr>
        <w:t xml:space="preserve">Kvantitativna analiza pouzdanosti informacija koje se koriste za izračun rezervacije za ECL </w:t>
      </w:r>
    </w:p>
    <w:p w14:paraId="6E7CAAA7"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3FABC067"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Za primjenu makroekonomskih faktora Banka koristi metodologiju sa nivoom pouzdanosti od 90%.</w:t>
      </w:r>
    </w:p>
    <w:p w14:paraId="3B011373" w14:textId="77777777" w:rsidR="0088484F" w:rsidRPr="003D1614" w:rsidRDefault="0088484F" w:rsidP="0088484F">
      <w:pPr>
        <w:keepNext/>
        <w:tabs>
          <w:tab w:val="left" w:pos="426"/>
        </w:tabs>
        <w:suppressAutoHyphens/>
        <w:autoSpaceDN w:val="0"/>
        <w:jc w:val="both"/>
        <w:rPr>
          <w:rFonts w:ascii="Arial" w:eastAsia="Times New Roman" w:hAnsi="Arial" w:cs="Arial"/>
          <w:b/>
          <w:bCs/>
          <w:color w:val="000000" w:themeColor="text1"/>
          <w:sz w:val="20"/>
          <w:szCs w:val="20"/>
          <w:lang w:eastAsia="hr-HR"/>
        </w:rPr>
      </w:pPr>
    </w:p>
    <w:p w14:paraId="3353E910" w14:textId="034F8F2A" w:rsidR="0088484F" w:rsidRPr="003D1614" w:rsidRDefault="0088484F" w:rsidP="0088484F">
      <w:pPr>
        <w:tabs>
          <w:tab w:val="left" w:pos="851"/>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.3.5.</w:t>
      </w:r>
      <w:r w:rsidRPr="003D1614">
        <w:rPr>
          <w:rFonts w:ascii="Arial" w:eastAsia="Calibri" w:hAnsi="Arial" w:cs="Arial"/>
          <w:b/>
          <w:color w:val="000000" w:themeColor="text1"/>
          <w:sz w:val="20"/>
          <w:szCs w:val="20"/>
        </w:rPr>
        <w:tab/>
        <w:t>Pregled modificiranih i restrukturiranih kredita</w:t>
      </w:r>
    </w:p>
    <w:p w14:paraId="3520CCD3"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465E9577"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Modifikacijom se smatra svaka izmjena ugovornih odredbi koja rezultira izmjenom ugovorenih novčanih tokova od financijske imovine.</w:t>
      </w:r>
    </w:p>
    <w:p w14:paraId="3598D5C4"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Izmjena uvjeta po plasmanu obuhvaća promjene određenih ugovorom definiranih uvjeta najčešće radi prilagodbe promjenama u provedbi investicije, a moguće i tijekom otplate, koje nisu uzrokovane financijskim poteškoćama klijenta. Najčešće bi izmijenjeni uvjeti bili prihvaćeni kod odobrenja da su bili poznati ili su rezultat okolnosti koje nisu pod kontrolom klijenta.</w:t>
      </w:r>
    </w:p>
    <w:p w14:paraId="434D8A62"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10C2A4B3"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Sve promjene ugovornih obveza kojima se čini ustupak klijentu, a koji je u financijskim poteškoćama smatraju se </w:t>
      </w:r>
      <w:proofErr w:type="spellStart"/>
      <w:r w:rsidRPr="003D1614">
        <w:rPr>
          <w:rFonts w:ascii="Arial" w:eastAsia="Times New Roman" w:hAnsi="Arial" w:cs="Arial"/>
          <w:color w:val="000000" w:themeColor="text1"/>
          <w:sz w:val="20"/>
          <w:szCs w:val="20"/>
        </w:rPr>
        <w:t>reprogramom</w:t>
      </w:r>
      <w:proofErr w:type="spellEnd"/>
      <w:r w:rsidRPr="003D1614">
        <w:rPr>
          <w:rFonts w:ascii="Arial" w:eastAsia="Times New Roman" w:hAnsi="Arial" w:cs="Arial"/>
          <w:color w:val="000000" w:themeColor="text1"/>
          <w:sz w:val="20"/>
          <w:szCs w:val="20"/>
        </w:rPr>
        <w:t xml:space="preserve"> ili restrukturiranjem. Ustupak se može odnositi na bilo koju od sljedećih mjera:</w:t>
      </w:r>
    </w:p>
    <w:p w14:paraId="16352B5D" w14:textId="77777777" w:rsidR="0088484F" w:rsidRPr="003D1614" w:rsidRDefault="0088484F" w:rsidP="0088484F">
      <w:pPr>
        <w:numPr>
          <w:ilvl w:val="0"/>
          <w:numId w:val="23"/>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izmjena ranijih uvjeta ugovora za koje se smatra da ih klijent ne može ispuniti a dovode do gubitka njegove sposobnosti podmirivanja obveza i koji ne bi bili odobreni da dužnik nema financijske poteškoće (npr. smanjenje kamatne stope, smanjenje ili otpis kamatnog prihoda, promjena visine glavnice, promjena tj. produženje rokova otplate i sl.)</w:t>
      </w:r>
    </w:p>
    <w:p w14:paraId="10CD5B71" w14:textId="77777777" w:rsidR="0088484F" w:rsidRPr="003D1614" w:rsidRDefault="0088484F" w:rsidP="0088484F">
      <w:pPr>
        <w:numPr>
          <w:ilvl w:val="0"/>
          <w:numId w:val="23"/>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potpuno ili djelomično refinanciranje plasmana koje ne bi bilo odobreno da dužnik nema financijske poteškoće.</w:t>
      </w:r>
    </w:p>
    <w:p w14:paraId="3139AA8F"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0C5105BF"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Dokaz o ustupku uključuje sljedeće:</w:t>
      </w:r>
    </w:p>
    <w:p w14:paraId="1B56230A" w14:textId="77777777" w:rsidR="0088484F" w:rsidRPr="003D1614" w:rsidRDefault="0088484F" w:rsidP="0088484F">
      <w:pPr>
        <w:numPr>
          <w:ilvl w:val="0"/>
          <w:numId w:val="24"/>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razliku u korist klijenta između izmijenjenih uvjeta ugovora i ranijih uvjeta ugovora,</w:t>
      </w:r>
    </w:p>
    <w:p w14:paraId="528B0861" w14:textId="77777777" w:rsidR="0088484F" w:rsidRPr="003D1614" w:rsidRDefault="0088484F" w:rsidP="0088484F">
      <w:pPr>
        <w:numPr>
          <w:ilvl w:val="0"/>
          <w:numId w:val="24"/>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uvrštenje povoljnijih uvjeta u izmijenjeni ugovor u odnosu na uvjete koje bi mogli postići drugi dužnici sa sličnim profilom rizičnosti u portfelju Banke.</w:t>
      </w:r>
    </w:p>
    <w:p w14:paraId="3ACD5199" w14:textId="77777777" w:rsidR="0088484F" w:rsidRPr="003D1614" w:rsidRDefault="0088484F" w:rsidP="0088484F">
      <w:pPr>
        <w:suppressAutoHyphens/>
        <w:autoSpaceDN w:val="0"/>
        <w:spacing w:line="300" w:lineRule="exact"/>
        <w:rPr>
          <w:rFonts w:ascii="Arial" w:eastAsia="Calibri" w:hAnsi="Arial" w:cs="Arial"/>
          <w:b/>
          <w:color w:val="000000" w:themeColor="text1"/>
          <w:sz w:val="20"/>
          <w:szCs w:val="20"/>
        </w:rPr>
      </w:pPr>
    </w:p>
    <w:p w14:paraId="1D183FFD" w14:textId="746ED1E9" w:rsidR="0088484F" w:rsidRPr="003D1614" w:rsidRDefault="0088484F" w:rsidP="0088484F">
      <w:pPr>
        <w:suppressAutoHyphens/>
        <w:autoSpaceDN w:val="0"/>
        <w:jc w:val="both"/>
        <w:rPr>
          <w:rFonts w:ascii="Arial" w:eastAsia="Times New Roman" w:hAnsi="Arial" w:cs="Arial"/>
          <w:color w:val="000000" w:themeColor="text1"/>
          <w:sz w:val="20"/>
          <w:szCs w:val="20"/>
        </w:rPr>
      </w:pPr>
      <w:proofErr w:type="spellStart"/>
      <w:r w:rsidRPr="003D1614">
        <w:rPr>
          <w:rFonts w:ascii="Arial" w:eastAsia="Times New Roman" w:hAnsi="Arial" w:cs="Arial"/>
          <w:color w:val="000000" w:themeColor="text1"/>
          <w:sz w:val="20"/>
          <w:szCs w:val="20"/>
        </w:rPr>
        <w:t>Reprogramom</w:t>
      </w:r>
      <w:proofErr w:type="spellEnd"/>
      <w:r w:rsidRPr="003D1614">
        <w:rPr>
          <w:rFonts w:ascii="Arial" w:eastAsia="Times New Roman" w:hAnsi="Arial" w:cs="Arial"/>
          <w:color w:val="000000" w:themeColor="text1"/>
          <w:sz w:val="20"/>
          <w:szCs w:val="20"/>
        </w:rPr>
        <w:t xml:space="preserve"> se smatra promjena prvobitno ugovorenih uvjeta kreditiranja zbog privremenih financijskih poteškoća klijenta. Restrukturiranjem se smatra promjena prvobitno ugovorenih uvjeta kreditiranja zbog značajnih financijskih poteškoća klijenta, kojemu je potrebno financijsko, poslovno i operativno restrukturiranje, odnosno klijentu koji se već nalazi u statusu neispunjenja obveza.</w:t>
      </w:r>
    </w:p>
    <w:p w14:paraId="49FAA991" w14:textId="77777777" w:rsidR="00CD630B" w:rsidRPr="003D1614" w:rsidRDefault="00CD630B" w:rsidP="00CD630B">
      <w:pPr>
        <w:suppressAutoHyphens/>
        <w:autoSpaceDN w:val="0"/>
        <w:jc w:val="both"/>
        <w:rPr>
          <w:rFonts w:ascii="Arial" w:eastAsia="Times New Roman" w:hAnsi="Arial" w:cs="Arial"/>
          <w:color w:val="000000" w:themeColor="text1"/>
          <w:sz w:val="20"/>
          <w:szCs w:val="20"/>
        </w:rPr>
      </w:pPr>
    </w:p>
    <w:p w14:paraId="10EBD048" w14:textId="4BB0753E" w:rsidR="0088484F" w:rsidRPr="003D1614" w:rsidRDefault="0088484F" w:rsidP="0088484F">
      <w:pPr>
        <w:tabs>
          <w:tab w:val="left" w:pos="851"/>
        </w:tabs>
        <w:suppressAutoHyphens/>
        <w:autoSpaceDN w:val="0"/>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.3.6.</w:t>
      </w:r>
      <w:r w:rsidRPr="003D1614">
        <w:rPr>
          <w:rFonts w:ascii="Arial" w:eastAsia="Calibri" w:hAnsi="Arial" w:cs="Arial"/>
          <w:b/>
          <w:color w:val="000000" w:themeColor="text1"/>
          <w:sz w:val="20"/>
          <w:szCs w:val="20"/>
        </w:rPr>
        <w:tab/>
        <w:t>Analiza koncentracije rizika</w:t>
      </w:r>
    </w:p>
    <w:p w14:paraId="41A21FC4"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03A9723B"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Banka kroz razvojne programe kreditiranja obuhvaća područje cijele Republike Hrvatske s naglaskom na potpomognuta područja. Kreditni rizik rasprostranjen je po geografskim područjima, djelatnostima, sektorima te kreditnim programima. Banka nastoji izbjeći pretjeranu koncentraciju kreditnog rizika te povoljnijim uvjetima i novim kreditnim programima (proizvodima) potaknuti razvoj slabije razvijenih područja Republike Hrvatske u skladu s državnom strategijom razvoja pojedinih djelatnosti. </w:t>
      </w:r>
    </w:p>
    <w:p w14:paraId="168FF49D"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2BA7E0D6"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Kreditiranjem različitih grana djelatnosti uz poticanje proizvodnje i razvoja s ciljem razvoja hrvatske privrede Banka stvara bolju bazu za povrate kredita i smanjenje rizika.</w:t>
      </w:r>
    </w:p>
    <w:p w14:paraId="62693540"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792CCB56" w14:textId="6DE0D17E"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5D1219">
        <w:rPr>
          <w:rFonts w:ascii="Arial" w:eastAsia="Times New Roman" w:hAnsi="Arial" w:cs="Arial"/>
          <w:color w:val="000000" w:themeColor="text1"/>
          <w:sz w:val="20"/>
          <w:szCs w:val="20"/>
        </w:rPr>
        <w:t xml:space="preserve">Najveća kreditna izloženost prema jednom dužniku na 31. </w:t>
      </w:r>
      <w:r w:rsidR="00617755" w:rsidRPr="005D1219">
        <w:rPr>
          <w:rFonts w:ascii="Arial" w:eastAsia="Times New Roman" w:hAnsi="Arial" w:cs="Arial"/>
          <w:color w:val="000000" w:themeColor="text1"/>
          <w:sz w:val="20"/>
          <w:szCs w:val="20"/>
        </w:rPr>
        <w:t>ožujka</w:t>
      </w:r>
      <w:r w:rsidRPr="005D1219">
        <w:rPr>
          <w:rFonts w:ascii="Arial" w:eastAsia="Times New Roman" w:hAnsi="Arial" w:cs="Arial"/>
          <w:color w:val="000000" w:themeColor="text1"/>
          <w:sz w:val="20"/>
          <w:szCs w:val="20"/>
        </w:rPr>
        <w:t xml:space="preserve"> 202</w:t>
      </w:r>
      <w:r w:rsidR="004F6394" w:rsidRPr="005D1219">
        <w:rPr>
          <w:rFonts w:ascii="Arial" w:eastAsia="Times New Roman" w:hAnsi="Arial" w:cs="Arial"/>
          <w:color w:val="000000" w:themeColor="text1"/>
          <w:sz w:val="20"/>
          <w:szCs w:val="20"/>
        </w:rPr>
        <w:t>4</w:t>
      </w:r>
      <w:r w:rsidRPr="005D1219">
        <w:rPr>
          <w:rFonts w:ascii="Arial" w:eastAsia="Times New Roman" w:hAnsi="Arial" w:cs="Arial"/>
          <w:color w:val="000000" w:themeColor="text1"/>
          <w:sz w:val="20"/>
          <w:szCs w:val="20"/>
        </w:rPr>
        <w:t>. za Grupu</w:t>
      </w:r>
      <w:r w:rsidR="00DC5FA6" w:rsidRPr="005D1219">
        <w:rPr>
          <w:rFonts w:ascii="Arial" w:eastAsia="Times New Roman" w:hAnsi="Arial" w:cs="Arial"/>
          <w:color w:val="000000" w:themeColor="text1"/>
          <w:sz w:val="20"/>
          <w:szCs w:val="20"/>
        </w:rPr>
        <w:t xml:space="preserve"> iznosi </w:t>
      </w:r>
      <w:r w:rsidR="00B042CA" w:rsidRPr="00B042CA">
        <w:rPr>
          <w:rFonts w:ascii="Arial" w:eastAsia="Times New Roman" w:hAnsi="Arial" w:cs="Arial"/>
          <w:color w:val="000000" w:themeColor="text1"/>
          <w:sz w:val="20"/>
          <w:szCs w:val="20"/>
        </w:rPr>
        <w:t xml:space="preserve">349.437 </w:t>
      </w:r>
      <w:r w:rsidR="00DC5FA6" w:rsidRPr="005D1219">
        <w:rPr>
          <w:rFonts w:ascii="Arial" w:eastAsia="Times New Roman" w:hAnsi="Arial" w:cs="Arial"/>
          <w:color w:val="000000" w:themeColor="text1"/>
          <w:sz w:val="20"/>
          <w:szCs w:val="20"/>
        </w:rPr>
        <w:t>tisuća</w:t>
      </w:r>
      <w:r w:rsidR="0006181E" w:rsidRPr="005D1219">
        <w:rPr>
          <w:rFonts w:ascii="Arial" w:eastAsia="Times New Roman" w:hAnsi="Arial" w:cs="Arial"/>
          <w:color w:val="000000" w:themeColor="text1"/>
          <w:sz w:val="20"/>
          <w:szCs w:val="20"/>
        </w:rPr>
        <w:t xml:space="preserve"> eura</w:t>
      </w:r>
      <w:r w:rsidR="00DC5FA6" w:rsidRPr="005D1219">
        <w:rPr>
          <w:rFonts w:ascii="Arial" w:eastAsia="Times New Roman" w:hAnsi="Arial" w:cs="Arial"/>
          <w:color w:val="000000" w:themeColor="text1"/>
          <w:sz w:val="20"/>
          <w:szCs w:val="20"/>
        </w:rPr>
        <w:t xml:space="preserve"> (31. prosinca 202</w:t>
      </w:r>
      <w:r w:rsidR="004F6394" w:rsidRPr="005D1219">
        <w:rPr>
          <w:rFonts w:ascii="Arial" w:eastAsia="Times New Roman" w:hAnsi="Arial" w:cs="Arial"/>
          <w:color w:val="000000" w:themeColor="text1"/>
          <w:sz w:val="20"/>
          <w:szCs w:val="20"/>
        </w:rPr>
        <w:t>3</w:t>
      </w:r>
      <w:r w:rsidR="00DC5FA6" w:rsidRPr="005D1219">
        <w:rPr>
          <w:rFonts w:ascii="Arial" w:eastAsia="Times New Roman" w:hAnsi="Arial" w:cs="Arial"/>
          <w:color w:val="000000" w:themeColor="text1"/>
          <w:sz w:val="20"/>
          <w:szCs w:val="20"/>
        </w:rPr>
        <w:t xml:space="preserve">.: </w:t>
      </w:r>
      <w:r w:rsidR="004F6394" w:rsidRPr="005D1219">
        <w:rPr>
          <w:rFonts w:ascii="Arial" w:eastAsia="Times New Roman" w:hAnsi="Arial" w:cs="Arial"/>
          <w:color w:val="000000" w:themeColor="text1"/>
          <w:sz w:val="20"/>
          <w:szCs w:val="20"/>
        </w:rPr>
        <w:t>272</w:t>
      </w:r>
      <w:r w:rsidR="00DC5FA6" w:rsidRPr="005D1219">
        <w:rPr>
          <w:rFonts w:ascii="Arial" w:eastAsia="Times New Roman" w:hAnsi="Arial" w:cs="Arial"/>
          <w:color w:val="000000" w:themeColor="text1"/>
          <w:sz w:val="20"/>
          <w:szCs w:val="20"/>
        </w:rPr>
        <w:t>.</w:t>
      </w:r>
      <w:r w:rsidR="004F6394" w:rsidRPr="005D1219">
        <w:rPr>
          <w:rFonts w:ascii="Arial" w:eastAsia="Times New Roman" w:hAnsi="Arial" w:cs="Arial"/>
          <w:color w:val="000000" w:themeColor="text1"/>
          <w:sz w:val="20"/>
          <w:szCs w:val="20"/>
        </w:rPr>
        <w:t>844</w:t>
      </w:r>
      <w:r w:rsidR="00DC5FA6" w:rsidRPr="005D1219">
        <w:rPr>
          <w:rFonts w:ascii="Arial" w:eastAsia="Times New Roman" w:hAnsi="Arial" w:cs="Arial"/>
          <w:color w:val="000000" w:themeColor="text1"/>
          <w:sz w:val="20"/>
          <w:szCs w:val="20"/>
        </w:rPr>
        <w:t xml:space="preserve"> tisuća eura), a za </w:t>
      </w:r>
      <w:r w:rsidRPr="005D1219">
        <w:rPr>
          <w:rFonts w:ascii="Arial" w:eastAsia="Times New Roman" w:hAnsi="Arial" w:cs="Arial"/>
          <w:color w:val="000000" w:themeColor="text1"/>
          <w:sz w:val="20"/>
          <w:szCs w:val="20"/>
        </w:rPr>
        <w:t xml:space="preserve">Banku iznosi </w:t>
      </w:r>
      <w:r w:rsidR="00B042CA" w:rsidRPr="005D1219">
        <w:rPr>
          <w:rFonts w:ascii="Arial" w:eastAsia="Times New Roman" w:hAnsi="Arial" w:cs="Arial"/>
          <w:color w:val="000000" w:themeColor="text1"/>
          <w:sz w:val="20"/>
          <w:szCs w:val="20"/>
        </w:rPr>
        <w:t xml:space="preserve">349.437 </w:t>
      </w:r>
      <w:r w:rsidRPr="005D1219">
        <w:rPr>
          <w:rFonts w:ascii="Arial" w:eastAsia="Times New Roman" w:hAnsi="Arial" w:cs="Arial"/>
          <w:color w:val="000000" w:themeColor="text1"/>
          <w:sz w:val="20"/>
          <w:szCs w:val="20"/>
        </w:rPr>
        <w:t xml:space="preserve">tisuća </w:t>
      </w:r>
      <w:r w:rsidR="00617755" w:rsidRPr="005D1219">
        <w:rPr>
          <w:rFonts w:ascii="Arial" w:eastAsia="Times New Roman" w:hAnsi="Arial" w:cs="Arial"/>
          <w:color w:val="000000" w:themeColor="text1"/>
          <w:sz w:val="20"/>
          <w:szCs w:val="20"/>
        </w:rPr>
        <w:t xml:space="preserve">eura </w:t>
      </w:r>
      <w:r w:rsidRPr="005D1219">
        <w:rPr>
          <w:rFonts w:ascii="Arial" w:eastAsia="Times New Roman" w:hAnsi="Arial" w:cs="Arial"/>
          <w:color w:val="000000" w:themeColor="text1"/>
          <w:sz w:val="20"/>
          <w:szCs w:val="20"/>
        </w:rPr>
        <w:t>(31. prosinca 202</w:t>
      </w:r>
      <w:r w:rsidR="004F6394" w:rsidRPr="005D1219">
        <w:rPr>
          <w:rFonts w:ascii="Arial" w:eastAsia="Times New Roman" w:hAnsi="Arial" w:cs="Arial"/>
          <w:color w:val="000000" w:themeColor="text1"/>
          <w:sz w:val="20"/>
          <w:szCs w:val="20"/>
        </w:rPr>
        <w:t>3</w:t>
      </w:r>
      <w:r w:rsidRPr="005D1219">
        <w:rPr>
          <w:rFonts w:ascii="Arial" w:eastAsia="Times New Roman" w:hAnsi="Arial" w:cs="Arial"/>
          <w:color w:val="000000" w:themeColor="text1"/>
          <w:sz w:val="20"/>
          <w:szCs w:val="20"/>
        </w:rPr>
        <w:t xml:space="preserve">.: </w:t>
      </w:r>
      <w:bookmarkStart w:id="594" w:name="_Hlk135731405"/>
      <w:r w:rsidR="00200889" w:rsidRPr="005D1219">
        <w:rPr>
          <w:rFonts w:ascii="Arial" w:eastAsia="Times New Roman" w:hAnsi="Arial" w:cs="Arial"/>
          <w:color w:val="000000" w:themeColor="text1"/>
          <w:sz w:val="20"/>
          <w:szCs w:val="20"/>
        </w:rPr>
        <w:t>269</w:t>
      </w:r>
      <w:r w:rsidR="00617755" w:rsidRPr="005D1219">
        <w:rPr>
          <w:rFonts w:ascii="Arial" w:eastAsia="Times New Roman" w:hAnsi="Arial" w:cs="Arial"/>
          <w:color w:val="000000" w:themeColor="text1"/>
          <w:sz w:val="20"/>
          <w:szCs w:val="20"/>
        </w:rPr>
        <w:t>.</w:t>
      </w:r>
      <w:r w:rsidR="00200889" w:rsidRPr="005D1219">
        <w:rPr>
          <w:rFonts w:ascii="Arial" w:eastAsia="Times New Roman" w:hAnsi="Arial" w:cs="Arial"/>
          <w:color w:val="000000" w:themeColor="text1"/>
          <w:sz w:val="20"/>
          <w:szCs w:val="20"/>
        </w:rPr>
        <w:t>949</w:t>
      </w:r>
      <w:r w:rsidR="00617755" w:rsidRPr="005D1219">
        <w:rPr>
          <w:rFonts w:ascii="Arial" w:eastAsia="Times New Roman" w:hAnsi="Arial" w:cs="Arial"/>
          <w:color w:val="000000" w:themeColor="text1"/>
          <w:sz w:val="20"/>
          <w:szCs w:val="20"/>
        </w:rPr>
        <w:t xml:space="preserve"> </w:t>
      </w:r>
      <w:bookmarkEnd w:id="594"/>
      <w:r w:rsidR="00617755" w:rsidRPr="005D1219">
        <w:rPr>
          <w:rFonts w:ascii="Arial" w:eastAsia="Times New Roman" w:hAnsi="Arial" w:cs="Arial"/>
          <w:color w:val="000000" w:themeColor="text1"/>
          <w:sz w:val="20"/>
          <w:szCs w:val="20"/>
        </w:rPr>
        <w:t>tisuća eura</w:t>
      </w:r>
      <w:r w:rsidRPr="005D1219">
        <w:rPr>
          <w:rFonts w:ascii="Arial" w:eastAsia="Times New Roman" w:hAnsi="Arial" w:cs="Arial"/>
          <w:color w:val="000000" w:themeColor="text1"/>
          <w:sz w:val="20"/>
          <w:szCs w:val="20"/>
        </w:rPr>
        <w:t>), bez uzimanja u obzir primljenih instrumenata osiguranja.</w:t>
      </w:r>
    </w:p>
    <w:p w14:paraId="4681A272"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p>
    <w:p w14:paraId="7641C128"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pPr>
      <w:r w:rsidRPr="003D1614">
        <w:rPr>
          <w:rFonts w:ascii="Arial" w:eastAsia="Calibri" w:hAnsi="Arial" w:cs="Arial"/>
          <w:color w:val="000000" w:themeColor="text1"/>
          <w:sz w:val="20"/>
          <w:szCs w:val="20"/>
        </w:rPr>
        <w:t xml:space="preserve">Banka kao posebna financijska institucija provodi svoju razvojnu ulogu odobravajući plasmane krajnjim korisnicima kredita putem financijskih institucija s kojima ima sklopljene ugovore o poslovnoj suradnji. </w:t>
      </w:r>
    </w:p>
    <w:p w14:paraId="539C2240" w14:textId="77777777" w:rsidR="0088484F" w:rsidRPr="003D1614" w:rsidRDefault="0088484F" w:rsidP="0088484F">
      <w:pPr>
        <w:suppressAutoHyphens/>
        <w:autoSpaceDE w:val="0"/>
        <w:autoSpaceDN w:val="0"/>
        <w:rPr>
          <w:rFonts w:ascii="Arial" w:eastAsia="Calibri" w:hAnsi="Arial" w:cs="Arial"/>
          <w:b/>
          <w:bCs/>
          <w:color w:val="000000" w:themeColor="text1"/>
          <w:sz w:val="20"/>
          <w:szCs w:val="20"/>
        </w:rPr>
      </w:pPr>
    </w:p>
    <w:p w14:paraId="468C7F04" w14:textId="77777777" w:rsidR="0088484F" w:rsidRPr="003D1614" w:rsidRDefault="0088484F" w:rsidP="0088484F">
      <w:pPr>
        <w:suppressAutoHyphens/>
        <w:autoSpaceDN w:val="0"/>
        <w:jc w:val="both"/>
        <w:rPr>
          <w:rFonts w:ascii="Arial" w:eastAsia="Times New Roman" w:hAnsi="Arial" w:cs="Arial"/>
          <w:color w:val="000000" w:themeColor="text1"/>
          <w:sz w:val="20"/>
          <w:szCs w:val="20"/>
        </w:rPr>
        <w:sectPr w:rsidR="0088484F" w:rsidRPr="003D1614">
          <w:pgSz w:w="11906" w:h="16838"/>
          <w:pgMar w:top="1417" w:right="1417" w:bottom="1417" w:left="1417" w:header="708" w:footer="708" w:gutter="0"/>
          <w:cols w:space="708"/>
          <w:docGrid w:linePitch="360"/>
        </w:sectPr>
      </w:pPr>
    </w:p>
    <w:p w14:paraId="505600D0" w14:textId="77777777" w:rsidR="003311C4" w:rsidRPr="003D1614" w:rsidRDefault="003311C4" w:rsidP="003311C4">
      <w:pPr>
        <w:suppressAutoHyphens/>
        <w:autoSpaceDN w:val="0"/>
        <w:spacing w:line="300" w:lineRule="exact"/>
        <w:rPr>
          <w:rFonts w:ascii="Arial" w:eastAsia="Calibri" w:hAnsi="Arial" w:cs="Arial"/>
          <w:b/>
          <w:color w:val="000000" w:themeColor="text1"/>
          <w:sz w:val="20"/>
          <w:szCs w:val="20"/>
        </w:rPr>
      </w:pPr>
    </w:p>
    <w:p w14:paraId="0E6A1092" w14:textId="3D86EEA2" w:rsidR="003311C4" w:rsidRPr="003D1614" w:rsidRDefault="003311C4" w:rsidP="003311C4">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160A5ED3"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26E47775" w14:textId="7A60E694" w:rsidR="003311C4" w:rsidRPr="003D1614" w:rsidRDefault="003311C4" w:rsidP="003311C4">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25C77CD3"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44FF7302" w14:textId="6ABA9D21" w:rsidR="003311C4" w:rsidRPr="003D1614" w:rsidRDefault="003311C4" w:rsidP="003311C4">
      <w:pPr>
        <w:tabs>
          <w:tab w:val="left" w:pos="851"/>
        </w:tabs>
        <w:suppressAutoHyphens/>
        <w:autoSpaceDE w:val="0"/>
        <w:autoSpaceDN w:val="0"/>
        <w:rPr>
          <w:rFonts w:ascii="Arial" w:eastAsia="Calibri" w:hAnsi="Arial" w:cs="Arial"/>
          <w:b/>
          <w:bCs/>
          <w:color w:val="000000" w:themeColor="text1"/>
          <w:sz w:val="20"/>
          <w:szCs w:val="20"/>
        </w:rPr>
      </w:pPr>
      <w:r w:rsidRPr="003D1614">
        <w:rPr>
          <w:rFonts w:ascii="Arial" w:eastAsia="Calibri" w:hAnsi="Arial" w:cs="Arial"/>
          <w:b/>
          <w:bCs/>
          <w:color w:val="000000" w:themeColor="text1"/>
          <w:sz w:val="20"/>
          <w:szCs w:val="20"/>
        </w:rPr>
        <w:t>2</w:t>
      </w:r>
      <w:r w:rsidR="000E693B">
        <w:rPr>
          <w:rFonts w:ascii="Arial" w:eastAsia="Calibri" w:hAnsi="Arial" w:cs="Arial"/>
          <w:b/>
          <w:bCs/>
          <w:color w:val="000000" w:themeColor="text1"/>
          <w:sz w:val="20"/>
          <w:szCs w:val="20"/>
        </w:rPr>
        <w:t>3</w:t>
      </w:r>
      <w:r w:rsidRPr="003D1614">
        <w:rPr>
          <w:rFonts w:ascii="Arial" w:eastAsia="Calibri" w:hAnsi="Arial" w:cs="Arial"/>
          <w:b/>
          <w:bCs/>
          <w:color w:val="000000" w:themeColor="text1"/>
          <w:sz w:val="20"/>
          <w:szCs w:val="20"/>
        </w:rPr>
        <w:t>.3.7.</w:t>
      </w:r>
      <w:r w:rsidRPr="003D1614">
        <w:rPr>
          <w:rFonts w:ascii="Arial" w:eastAsia="Calibri" w:hAnsi="Arial" w:cs="Arial"/>
          <w:b/>
          <w:bCs/>
          <w:color w:val="000000" w:themeColor="text1"/>
          <w:sz w:val="20"/>
          <w:szCs w:val="20"/>
        </w:rPr>
        <w:tab/>
        <w:t>Model podjele rizika</w:t>
      </w:r>
    </w:p>
    <w:p w14:paraId="16EBEC5F"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73D7A76A" w14:textId="77777777" w:rsidR="003311C4" w:rsidRPr="003D1614" w:rsidRDefault="003311C4" w:rsidP="003311C4">
      <w:pPr>
        <w:suppressAutoHyphens/>
        <w:autoSpaceDE w:val="0"/>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Model podjele rizika je način provedbe programa kreditiranja HBOR-a u suradnji s poslovnim bankama, pri čemu HBOR snosi dio rizika izravnog kredita (npr. 50%), dok za drugi dio kredita (neovisno je li isti financiran iz sredstava HBOR-a ili sredstava poslovne banke) rizik snosi poslovna banka. </w:t>
      </w:r>
    </w:p>
    <w:p w14:paraId="333E8279" w14:textId="77777777" w:rsidR="003311C4" w:rsidRPr="003D1614" w:rsidRDefault="003311C4" w:rsidP="003311C4">
      <w:pPr>
        <w:suppressAutoHyphens/>
        <w:autoSpaceDE w:val="0"/>
        <w:autoSpaceDN w:val="0"/>
        <w:jc w:val="both"/>
        <w:rPr>
          <w:rFonts w:ascii="Arial" w:eastAsia="Calibri" w:hAnsi="Arial" w:cs="Arial"/>
          <w:color w:val="000000" w:themeColor="text1"/>
          <w:sz w:val="20"/>
          <w:szCs w:val="20"/>
        </w:rPr>
      </w:pPr>
    </w:p>
    <w:p w14:paraId="73EE2E41" w14:textId="12D97793" w:rsidR="00AD5F37" w:rsidRPr="003D1614" w:rsidRDefault="003311C4" w:rsidP="003311C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Krediti po modelima podjele rizika po kreditnim programima HBOR-a (prvenstveno krediti za investicije i restrukturiranja, a manjim djelom za likvidnost) se provode na način da su poslovne banke uključene u transakcije i nadalje agenti (administrativni, platni i agenti osiguranja), ali HBOR provodi uobičajenu proceduru kao i za bilo koji drugi izravni kredit te unosi, kako izloženosti tako i kolaterale, u poslovne knjige nakon ugovaranja odnosno provedbe osiguranja plasmana.</w:t>
      </w:r>
    </w:p>
    <w:p w14:paraId="3BCD07F0" w14:textId="43B64B3E"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6AD88A0E"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10352CC1" w14:textId="7E42F5F1" w:rsidR="003311C4" w:rsidRPr="003D1614" w:rsidRDefault="003311C4" w:rsidP="003311C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 HBOR-u praćenje klijenata prema kojima HBOR ima bruto izloženost višu od </w:t>
      </w:r>
      <w:r w:rsidR="0006181E">
        <w:rPr>
          <w:rFonts w:ascii="Arial" w:eastAsia="Times New Roman" w:hAnsi="Arial" w:cs="Arial"/>
          <w:color w:val="000000" w:themeColor="text1"/>
          <w:sz w:val="20"/>
          <w:szCs w:val="20"/>
        </w:rPr>
        <w:t>400</w:t>
      </w:r>
      <w:r w:rsidRPr="003D1614">
        <w:rPr>
          <w:rFonts w:ascii="Arial" w:eastAsia="Times New Roman" w:hAnsi="Arial" w:cs="Arial"/>
          <w:color w:val="000000" w:themeColor="text1"/>
          <w:sz w:val="20"/>
          <w:szCs w:val="20"/>
        </w:rPr>
        <w:t xml:space="preserve"> tisuća </w:t>
      </w:r>
      <w:proofErr w:type="spellStart"/>
      <w:r w:rsidR="0006181E">
        <w:rPr>
          <w:rFonts w:ascii="Arial" w:eastAsia="Times New Roman" w:hAnsi="Arial" w:cs="Arial"/>
          <w:color w:val="000000" w:themeColor="text1"/>
          <w:sz w:val="20"/>
          <w:szCs w:val="20"/>
        </w:rPr>
        <w:t>eura</w:t>
      </w:r>
      <w:r w:rsidRPr="003D1614">
        <w:rPr>
          <w:rFonts w:ascii="Arial" w:eastAsia="Times New Roman" w:hAnsi="Arial" w:cs="Arial"/>
          <w:color w:val="000000" w:themeColor="text1"/>
          <w:sz w:val="20"/>
          <w:szCs w:val="20"/>
        </w:rPr>
        <w:t>a</w:t>
      </w:r>
      <w:proofErr w:type="spellEnd"/>
      <w:r w:rsidRPr="003D1614">
        <w:rPr>
          <w:rFonts w:ascii="Arial" w:eastAsia="Times New Roman" w:hAnsi="Arial" w:cs="Arial"/>
          <w:color w:val="000000" w:themeColor="text1"/>
          <w:sz w:val="20"/>
          <w:szCs w:val="20"/>
        </w:rPr>
        <w:t xml:space="preserve"> po proceduri za izravne kredite, a obzirom da Banka često nema izravan kontakt s klijentom sve potrebne informacije za potrebe praćenja koristi kvartalna izvješća ili se informira kod poslovne banke.</w:t>
      </w:r>
    </w:p>
    <w:p w14:paraId="6302B0B8"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7565B4B4" w14:textId="4EB726B3" w:rsidR="003311C4" w:rsidRPr="003D1614" w:rsidRDefault="003311C4" w:rsidP="003311C4">
      <w:pPr>
        <w:tabs>
          <w:tab w:val="left" w:pos="851"/>
        </w:tabs>
        <w:suppressAutoHyphens/>
        <w:autoSpaceDN w:val="0"/>
        <w:spacing w:line="300" w:lineRule="exact"/>
        <w:rPr>
          <w:rFonts w:ascii="Arial" w:eastAsia="Calibri" w:hAnsi="Arial" w:cs="Arial"/>
          <w:b/>
          <w:color w:val="000000" w:themeColor="text1"/>
          <w:sz w:val="20"/>
          <w:szCs w:val="20"/>
        </w:rPr>
      </w:pPr>
      <w:bookmarkStart w:id="595" w:name="_Hlk96425018"/>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.3.8.</w:t>
      </w:r>
      <w:r w:rsidRPr="003D1614">
        <w:rPr>
          <w:rFonts w:ascii="Arial" w:eastAsia="Calibri" w:hAnsi="Arial" w:cs="Arial"/>
          <w:b/>
          <w:color w:val="000000" w:themeColor="text1"/>
          <w:sz w:val="20"/>
          <w:szCs w:val="20"/>
        </w:rPr>
        <w:tab/>
        <w:t>Instrumenti osiguranja i ostala poboljšanja kvalitete kredita (kreditne sposobnosti)</w:t>
      </w:r>
    </w:p>
    <w:bookmarkEnd w:id="595"/>
    <w:p w14:paraId="59D24EC2"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74243B92"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Instrumenti osiguranja plasmana Banke su:</w:t>
      </w:r>
    </w:p>
    <w:p w14:paraId="2D0E3ABD" w14:textId="77777777" w:rsidR="003311C4" w:rsidRPr="003D1614" w:rsidRDefault="003311C4" w:rsidP="003311C4">
      <w:pPr>
        <w:numPr>
          <w:ilvl w:val="0"/>
          <w:numId w:val="25"/>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obvezni (mjenice i zadužnice),</w:t>
      </w:r>
    </w:p>
    <w:p w14:paraId="15F03151" w14:textId="77777777" w:rsidR="003311C4" w:rsidRPr="003D1614" w:rsidRDefault="003311C4" w:rsidP="003311C4">
      <w:pPr>
        <w:numPr>
          <w:ilvl w:val="0"/>
          <w:numId w:val="25"/>
        </w:numPr>
        <w:suppressAutoHyphens/>
        <w:autoSpaceDE w:val="0"/>
        <w:autoSpaceDN w:val="0"/>
        <w:adjustRightInd w:val="0"/>
        <w:ind w:right="-2"/>
        <w:jc w:val="both"/>
        <w:rPr>
          <w:rFonts w:ascii="Arial" w:eastAsia="Times New Roman" w:hAnsi="Arial" w:cs="Arial"/>
          <w:b/>
          <w:color w:val="000000" w:themeColor="text1"/>
          <w:sz w:val="20"/>
          <w:szCs w:val="20"/>
        </w:rPr>
      </w:pPr>
      <w:r w:rsidRPr="003D1614">
        <w:rPr>
          <w:rFonts w:ascii="Arial" w:eastAsia="Times New Roman" w:hAnsi="Arial" w:cs="Arial"/>
          <w:color w:val="000000" w:themeColor="text1"/>
          <w:sz w:val="20"/>
          <w:szCs w:val="20"/>
        </w:rPr>
        <w:t>uobičajeni (nekretnine, brodovi, zrakoplovi, bankarska garancija, jamstvo Republike Hrvatske, jamstvo jedinica lokalne i područne (regionalne) samouprave, jamstvo HAMAG-BICRO-a, polica osiguranja od političkih i/ili komercijalnih rizika), te</w:t>
      </w:r>
    </w:p>
    <w:p w14:paraId="3AA09CEF" w14:textId="77777777" w:rsidR="003311C4" w:rsidRPr="003D1614" w:rsidRDefault="003311C4" w:rsidP="003311C4">
      <w:pPr>
        <w:numPr>
          <w:ilvl w:val="0"/>
          <w:numId w:val="25"/>
        </w:numPr>
        <w:suppressAutoHyphens/>
        <w:autoSpaceDE w:val="0"/>
        <w:autoSpaceDN w:val="0"/>
        <w:adjustRightInd w:val="0"/>
        <w:ind w:right="-2"/>
        <w:jc w:val="both"/>
        <w:rPr>
          <w:rFonts w:ascii="Arial" w:eastAsia="Times New Roman" w:hAnsi="Arial" w:cs="Arial"/>
          <w:b/>
          <w:color w:val="000000" w:themeColor="text1"/>
          <w:sz w:val="20"/>
          <w:szCs w:val="20"/>
        </w:rPr>
      </w:pPr>
      <w:r w:rsidRPr="003D1614">
        <w:rPr>
          <w:rFonts w:ascii="Arial" w:eastAsia="Times New Roman" w:hAnsi="Arial" w:cs="Arial"/>
          <w:color w:val="000000" w:themeColor="text1"/>
          <w:sz w:val="20"/>
          <w:szCs w:val="20"/>
        </w:rPr>
        <w:t xml:space="preserve">ostali instrumenti osiguranja (pokretna imovina, mjenice ili jamstva drugih trgovačkih društva solidnog boniteta, prijenos vlasništva ili zalog dionica odnosno udjela trgovačkog društva, pljenidba novčanih potraživanja odnosno cesija naplativih potraživanja, pljenidba depozita, </w:t>
      </w:r>
      <w:proofErr w:type="spellStart"/>
      <w:r w:rsidRPr="003D1614">
        <w:rPr>
          <w:rFonts w:ascii="Arial" w:eastAsia="Times New Roman" w:hAnsi="Arial" w:cs="Arial"/>
          <w:color w:val="000000" w:themeColor="text1"/>
          <w:sz w:val="20"/>
          <w:szCs w:val="20"/>
        </w:rPr>
        <w:t>vinkuliranje</w:t>
      </w:r>
      <w:proofErr w:type="spellEnd"/>
      <w:r w:rsidRPr="003D1614">
        <w:rPr>
          <w:rFonts w:ascii="Arial" w:eastAsia="Times New Roman" w:hAnsi="Arial" w:cs="Arial"/>
          <w:color w:val="000000" w:themeColor="text1"/>
          <w:sz w:val="20"/>
          <w:szCs w:val="20"/>
        </w:rPr>
        <w:t xml:space="preserve"> police osiguranja imovine i/ili osoba, zalog na žigu ili robnoj marki i sl.).</w:t>
      </w:r>
    </w:p>
    <w:p w14:paraId="3EB1529E"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33BB506A" w14:textId="77777777" w:rsidR="003311C4" w:rsidRPr="003D1614" w:rsidRDefault="003311C4" w:rsidP="003311C4">
      <w:pPr>
        <w:suppressAutoHyphens/>
        <w:autoSpaceDE w:val="0"/>
        <w:autoSpaceDN w:val="0"/>
        <w:adjustRightInd w:val="0"/>
        <w:ind w:right="-1"/>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Svi plasmani Banke moraju biti osigurani obveznim instrumentima osiguranja. Plasmani manjih iznosa moraju biti osigurani barem jednim obveznim instrumentom osiguranja. Izbor prihvatljivih instrumenata osiguranja ne ovisi samo o postignutom omjeru osiguranja nego i o utvrđenim rizicima, pri čemu prednost imaju brže utrživi i vrjedniji instrumenti osiguranja.</w:t>
      </w:r>
    </w:p>
    <w:p w14:paraId="3408C441"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4F5DD1F8" w14:textId="77777777" w:rsidR="003311C4" w:rsidRPr="003D1614" w:rsidRDefault="003311C4" w:rsidP="003311C4">
      <w:pPr>
        <w:suppressAutoHyphens/>
        <w:autoSpaceDE w:val="0"/>
        <w:autoSpaceDN w:val="0"/>
        <w:adjustRightInd w:val="0"/>
        <w:ind w:right="-2"/>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Prihvatljivi uobičajeni i ostali instrumenti osiguranja razvrstani su prema kvaliteti u pet skupina. Ocjena instrumenata osiguranja temelji se na njihovoj kvaliteti koja se utvrđuje na bazi njihove tržišne </w:t>
      </w:r>
      <w:proofErr w:type="spellStart"/>
      <w:r w:rsidRPr="003D1614">
        <w:rPr>
          <w:rFonts w:ascii="Arial" w:eastAsia="Times New Roman" w:hAnsi="Arial" w:cs="Arial"/>
          <w:color w:val="000000" w:themeColor="text1"/>
          <w:sz w:val="20"/>
          <w:szCs w:val="20"/>
        </w:rPr>
        <w:t>unovčivosti</w:t>
      </w:r>
      <w:proofErr w:type="spellEnd"/>
      <w:r w:rsidRPr="003D1614">
        <w:rPr>
          <w:rFonts w:ascii="Arial" w:eastAsia="Times New Roman" w:hAnsi="Arial" w:cs="Arial"/>
          <w:color w:val="000000" w:themeColor="text1"/>
          <w:sz w:val="20"/>
          <w:szCs w:val="20"/>
        </w:rPr>
        <w:t xml:space="preserve">, dokumentiranosti i mogućnosti nadzora od strane Banke te mogućnosti prisilne naplate. </w:t>
      </w:r>
    </w:p>
    <w:p w14:paraId="5D4D078F" w14:textId="77777777" w:rsidR="003311C4" w:rsidRPr="003D1614" w:rsidRDefault="003311C4" w:rsidP="003311C4">
      <w:pPr>
        <w:suppressAutoHyphens/>
        <w:autoSpaceDE w:val="0"/>
        <w:autoSpaceDN w:val="0"/>
        <w:adjustRightInd w:val="0"/>
        <w:ind w:right="-2"/>
        <w:jc w:val="both"/>
        <w:rPr>
          <w:rFonts w:ascii="Arial" w:eastAsia="Times New Roman" w:hAnsi="Arial" w:cs="Arial"/>
          <w:color w:val="000000" w:themeColor="text1"/>
          <w:sz w:val="20"/>
          <w:szCs w:val="20"/>
        </w:rPr>
      </w:pPr>
    </w:p>
    <w:p w14:paraId="6F27EB70" w14:textId="77777777" w:rsidR="003311C4" w:rsidRPr="003D1614" w:rsidRDefault="003311C4" w:rsidP="003311C4">
      <w:pPr>
        <w:suppressAutoHyphens/>
        <w:autoSpaceDE w:val="0"/>
        <w:autoSpaceDN w:val="0"/>
        <w:adjustRightInd w:val="0"/>
        <w:ind w:right="-2"/>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Pri donošenju odluke o odobrenju kredita slaba se kreditna sposobnost ne može zamijeniti kvalitetom instrumenata osiguranja, osim u slučajevima osiguranja prvorazrednim instrumentima osiguranja: jamstvom Republike Hrvatske, jamstvom lokalne/područne (regionalne) samouprave (JLPS), jamstvom HAMAG-BICRO-a, policom osiguranja kredita i kada za obveze klijenta zakonskim aktima jamče Republika Hrvatska, JLPS ili druga državna tijela.</w:t>
      </w:r>
    </w:p>
    <w:p w14:paraId="4371672F" w14:textId="60FC0842"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068B6375"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sectPr w:rsidR="003311C4" w:rsidRPr="003D1614">
          <w:pgSz w:w="11906" w:h="16838"/>
          <w:pgMar w:top="1417" w:right="1417" w:bottom="1417" w:left="1417" w:header="708" w:footer="708" w:gutter="0"/>
          <w:cols w:space="708"/>
          <w:docGrid w:linePitch="360"/>
        </w:sectPr>
      </w:pPr>
    </w:p>
    <w:p w14:paraId="2C73396D" w14:textId="77777777" w:rsidR="003311C4" w:rsidRPr="003D1614" w:rsidRDefault="003311C4" w:rsidP="003311C4">
      <w:pPr>
        <w:suppressAutoHyphens/>
        <w:autoSpaceDN w:val="0"/>
        <w:spacing w:line="300" w:lineRule="exact"/>
        <w:rPr>
          <w:rFonts w:ascii="Arial" w:eastAsia="Calibri" w:hAnsi="Arial" w:cs="Arial"/>
          <w:b/>
          <w:color w:val="000000" w:themeColor="text1"/>
          <w:sz w:val="20"/>
          <w:szCs w:val="20"/>
        </w:rPr>
      </w:pPr>
    </w:p>
    <w:p w14:paraId="5B6ECDBB" w14:textId="39DAF541" w:rsidR="003311C4" w:rsidRPr="003D1614" w:rsidRDefault="003311C4" w:rsidP="003311C4">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44D7758C"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18C543F1" w14:textId="29FBBDA9" w:rsidR="003311C4" w:rsidRPr="003D1614" w:rsidRDefault="003311C4" w:rsidP="003311C4">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5CA93582"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6276A20D" w14:textId="75BE99E2" w:rsidR="003311C4" w:rsidRPr="003D1614" w:rsidRDefault="003311C4" w:rsidP="003311C4">
      <w:pPr>
        <w:tabs>
          <w:tab w:val="left" w:pos="851"/>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.3.8.</w:t>
      </w:r>
      <w:r w:rsidRPr="003D1614">
        <w:rPr>
          <w:rFonts w:ascii="Arial" w:eastAsia="Calibri" w:hAnsi="Arial" w:cs="Arial"/>
          <w:b/>
          <w:color w:val="000000" w:themeColor="text1"/>
          <w:sz w:val="20"/>
          <w:szCs w:val="20"/>
        </w:rPr>
        <w:tab/>
        <w:t>Instrumenti osiguranja i ostala poboljšanja kvalitete kredita (kreditne sposobnosti) (nastavak)</w:t>
      </w:r>
    </w:p>
    <w:p w14:paraId="7C33C727"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696C1BBA" w14:textId="77777777" w:rsidR="003311C4" w:rsidRPr="003D1614" w:rsidRDefault="003311C4" w:rsidP="003311C4">
      <w:pPr>
        <w:suppressAutoHyphens/>
        <w:autoSpaceDE w:val="0"/>
        <w:autoSpaceDN w:val="0"/>
        <w:adjustRightInd w:val="0"/>
        <w:ind w:right="-2"/>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U svrhu ublažavanja kreditnog rizika i smanjenja troškova poslovanja, a sukladno Zakonu o HBOR-u, dio svojih plasmana Banka odobrava putem financijskih institucija. Za osiguranje plasmana odobrenih krajnjim korisnicima putem financijskih institucija Banka uzima obvezne instrumente osiguranja od poslovnih banaka i leasing društava. Financijska institucija ih je dužna deponirati temeljem</w:t>
      </w:r>
      <w:r w:rsidRPr="003D1614">
        <w:rPr>
          <w:rFonts w:ascii="Arial" w:eastAsia="Calibri" w:hAnsi="Arial" w:cs="Arial"/>
          <w:color w:val="000000" w:themeColor="text1"/>
          <w:sz w:val="20"/>
          <w:szCs w:val="20"/>
        </w:rPr>
        <w:t xml:space="preserve"> Ugovora o međusobnoj poslovnoj suradnji, a ne za svaki pojedinačni plasman krajnjem korisniku zaključen temeljem tog Ugovora. U svakom pojedinačnom ugovoru o plasmanu za krajnjeg korisnika ugovara se pravo korištenja obveznih instrumenata osiguranja </w:t>
      </w:r>
      <w:r w:rsidRPr="003D1614">
        <w:rPr>
          <w:rFonts w:ascii="Arial" w:eastAsia="Times New Roman" w:hAnsi="Arial" w:cs="Arial"/>
          <w:color w:val="000000" w:themeColor="text1"/>
          <w:sz w:val="20"/>
          <w:szCs w:val="20"/>
        </w:rPr>
        <w:t xml:space="preserve">deponiranih uz Ugovor o međusobnoj poslovnoj suradnji. Obzirom da financijske institucije snose rizik povrata plasmana krajnjeg korisnika ostavljena im je mogućnost ugovaranja dostatnih instrumenata osiguranja od krajnjeg korisnika kredita/leasinga. </w:t>
      </w:r>
    </w:p>
    <w:p w14:paraId="73709272"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40AF247D" w14:textId="77777777" w:rsidR="003311C4" w:rsidRPr="003D1614" w:rsidRDefault="003311C4" w:rsidP="003311C4">
      <w:pPr>
        <w:suppressAutoHyphens/>
        <w:autoSpaceDE w:val="0"/>
        <w:autoSpaceDN w:val="0"/>
        <w:adjustRightInd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Kod odobrenja kredita putem poslovnih banaka, ovisno o njezinom internom rejtingu, zasniva se i </w:t>
      </w:r>
      <w:proofErr w:type="spellStart"/>
      <w:r w:rsidRPr="003D1614">
        <w:rPr>
          <w:rFonts w:ascii="Arial" w:eastAsia="Times New Roman" w:hAnsi="Arial" w:cs="Arial"/>
          <w:color w:val="000000" w:themeColor="text1"/>
          <w:sz w:val="20"/>
          <w:szCs w:val="20"/>
        </w:rPr>
        <w:t>nadhipoteka</w:t>
      </w:r>
      <w:proofErr w:type="spellEnd"/>
      <w:r w:rsidRPr="003D1614">
        <w:rPr>
          <w:rFonts w:ascii="Arial" w:eastAsia="Times New Roman" w:hAnsi="Arial" w:cs="Arial"/>
          <w:color w:val="000000" w:themeColor="text1"/>
          <w:sz w:val="20"/>
          <w:szCs w:val="20"/>
        </w:rPr>
        <w:t xml:space="preserve">. Tada poslovna banka prenosi vlasništvo na predmetu osiguranja u svoju korist, uz zasnivanje založnog prava u korist Banke ili zasniva hipoteku na predmetu osiguranja u svoju korist, uz </w:t>
      </w:r>
      <w:proofErr w:type="spellStart"/>
      <w:r w:rsidRPr="003D1614">
        <w:rPr>
          <w:rFonts w:ascii="Arial" w:eastAsia="Times New Roman" w:hAnsi="Arial" w:cs="Arial"/>
          <w:color w:val="000000" w:themeColor="text1"/>
          <w:sz w:val="20"/>
          <w:szCs w:val="20"/>
        </w:rPr>
        <w:t>nadhipoteku</w:t>
      </w:r>
      <w:proofErr w:type="spellEnd"/>
      <w:r w:rsidRPr="003D1614">
        <w:rPr>
          <w:rFonts w:ascii="Arial" w:eastAsia="Times New Roman" w:hAnsi="Arial" w:cs="Arial"/>
          <w:color w:val="000000" w:themeColor="text1"/>
          <w:sz w:val="20"/>
          <w:szCs w:val="20"/>
        </w:rPr>
        <w:t xml:space="preserve"> u korist Banke.</w:t>
      </w:r>
    </w:p>
    <w:p w14:paraId="1A1799AB"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166EE8D3" w14:textId="77777777" w:rsidR="003311C4" w:rsidRPr="003D1614" w:rsidRDefault="003311C4" w:rsidP="003311C4">
      <w:pPr>
        <w:suppressAutoHyphens/>
        <w:autoSpaceDE w:val="0"/>
        <w:autoSpaceDN w:val="0"/>
        <w:adjustRightInd w:val="0"/>
        <w:ind w:right="-2"/>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Potpisom Ugovora o međusobnoj poslovnoj suradnji ugovara se prijenos tražbina poslovne banke iz ugovora</w:t>
      </w:r>
      <w:r w:rsidRPr="003D1614">
        <w:rPr>
          <w:rFonts w:ascii="Arial" w:eastAsia="Calibri" w:hAnsi="Arial" w:cs="Arial"/>
          <w:color w:val="000000" w:themeColor="text1"/>
          <w:sz w:val="20"/>
          <w:szCs w:val="20"/>
        </w:rPr>
        <w:t xml:space="preserve"> o kreditu s krajnjim korisnikom kredita na HBOR. Ugovorom poslovna banka ovlašćuje HBOR </w:t>
      </w:r>
      <w:r w:rsidRPr="003D1614">
        <w:rPr>
          <w:rFonts w:ascii="Arial" w:eastAsia="Times New Roman" w:hAnsi="Arial" w:cs="Arial"/>
          <w:color w:val="000000" w:themeColor="text1"/>
          <w:sz w:val="20"/>
          <w:szCs w:val="20"/>
        </w:rPr>
        <w:t>da može jednostranom pisanom izjavom obavijestiti poslovnu banku da, u slučaju nelikvidnosti poslovne banke ili prijetećeg stečaja, neurednog ispunjavanja, odnosno neispunjavanja obveza iz ugovora o međubankarskom kreditu te otvaranja stečaja ili redovne likvidacije poslovne banke, nastupa ustupanje potraživanja prema krajnjem korisniku s poslovne banke na HBOR s učinkom cesije umjesto ispunjenja.</w:t>
      </w:r>
    </w:p>
    <w:p w14:paraId="37E6A6DE"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269C5FAD" w14:textId="77777777" w:rsidR="003311C4" w:rsidRPr="003D1614" w:rsidRDefault="003311C4" w:rsidP="003311C4">
      <w:pPr>
        <w:suppressAutoHyphens/>
        <w:autoSpaceDE w:val="0"/>
        <w:autoSpaceDN w:val="0"/>
        <w:adjustRightInd w:val="0"/>
        <w:ind w:right="-2"/>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Također, poslovna banka ovlašćuje HBOR da se temeljem ugovora o međusobnoj poslovnoj suradnji i navedene izjave može bez ikakve njezine daljnje suglasnosti ili odobrenja upisati u sve javne registre, knjige i upisnike umjesto poslovne banke na mjesto vjerovnika po provedenim osiguranjima za ustupljene tražbine te u svim drugim postupcima stupiti na mjesto vjerovnika. </w:t>
      </w:r>
    </w:p>
    <w:p w14:paraId="580F3F32" w14:textId="77777777" w:rsidR="003311C4" w:rsidRPr="003D1614" w:rsidRDefault="003311C4" w:rsidP="003311C4">
      <w:pPr>
        <w:widowControl w:val="0"/>
        <w:suppressAutoHyphens/>
        <w:autoSpaceDN w:val="0"/>
        <w:jc w:val="both"/>
        <w:rPr>
          <w:rFonts w:ascii="Arial" w:eastAsia="Times New Roman" w:hAnsi="Arial" w:cs="Arial"/>
          <w:color w:val="000000" w:themeColor="text1"/>
          <w:sz w:val="20"/>
          <w:szCs w:val="20"/>
        </w:rPr>
      </w:pPr>
    </w:p>
    <w:p w14:paraId="5BF848B7" w14:textId="77777777" w:rsidR="003311C4" w:rsidRPr="003D1614" w:rsidRDefault="003311C4" w:rsidP="003311C4">
      <w:pPr>
        <w:suppressAutoHyphens/>
        <w:autoSpaceDE w:val="0"/>
        <w:autoSpaceDN w:val="0"/>
        <w:adjustRightInd w:val="0"/>
        <w:ind w:right="-2"/>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Od trenutka ustupanja, krajnji korisnik kredita je u obvezi sva plaćanja po ustupljenoj tražbini izvršavati izravno HBOR-u. Ako u tom slučaju poslovna banka eventualno primi neke uplate na ime naplate ustupljenog potraživanja, obvezna je sve što primi bez odgode proslijediti HBOR-u.</w:t>
      </w:r>
    </w:p>
    <w:p w14:paraId="5F0A6F5E" w14:textId="77777777" w:rsidR="003311C4" w:rsidRPr="003D1614" w:rsidRDefault="003311C4" w:rsidP="003311C4">
      <w:pPr>
        <w:widowControl w:val="0"/>
        <w:suppressAutoHyphens/>
        <w:autoSpaceDN w:val="0"/>
        <w:jc w:val="both"/>
        <w:rPr>
          <w:rFonts w:ascii="Arial" w:eastAsia="Times New Roman" w:hAnsi="Arial" w:cs="Arial"/>
          <w:color w:val="000000" w:themeColor="text1"/>
          <w:sz w:val="20"/>
          <w:szCs w:val="20"/>
        </w:rPr>
      </w:pPr>
    </w:p>
    <w:p w14:paraId="2E5F4FA7" w14:textId="77777777" w:rsidR="003311C4" w:rsidRPr="003D1614" w:rsidRDefault="003311C4" w:rsidP="003311C4">
      <w:pPr>
        <w:suppressAutoHyphens/>
        <w:autoSpaceDE w:val="0"/>
        <w:autoSpaceDN w:val="0"/>
        <w:adjustRightInd w:val="0"/>
        <w:ind w:right="-1"/>
        <w:jc w:val="both"/>
        <w:rPr>
          <w:rFonts w:ascii="Arial" w:eastAsia="Times New Roman" w:hAnsi="Arial" w:cs="Arial"/>
          <w:color w:val="000000" w:themeColor="text1"/>
          <w:sz w:val="20"/>
          <w:szCs w:val="20"/>
        </w:rPr>
      </w:pPr>
      <w:r w:rsidRPr="003D1614">
        <w:rPr>
          <w:rFonts w:ascii="Arial" w:eastAsia="Calibri" w:hAnsi="Arial" w:cs="Arial"/>
          <w:color w:val="000000" w:themeColor="text1"/>
          <w:sz w:val="20"/>
          <w:szCs w:val="20"/>
        </w:rPr>
        <w:t xml:space="preserve">Svi izravni plasmani uglavnom su osigurani prijenosom vlasništva ili hipotekom na nekretninama te, ako je to moguće, kao osiguranje od kreditnog rizika Banka pribavlja jamstvo Hrvatske agencije za malo gospodarstvo, inovacije i investicije (HAMAG-BICRO), jamstvo EIF-a (Europski investicijski fond), jamstvo jedinice lokalne i područne (regionalne) </w:t>
      </w:r>
      <w:r w:rsidRPr="003D1614">
        <w:rPr>
          <w:rFonts w:ascii="Arial" w:eastAsia="Times New Roman" w:hAnsi="Arial" w:cs="Arial"/>
          <w:color w:val="000000" w:themeColor="text1"/>
          <w:sz w:val="20"/>
          <w:szCs w:val="20"/>
        </w:rPr>
        <w:t xml:space="preserve">samouprave, jamstvo Republike Hrvatske i slično. </w:t>
      </w:r>
    </w:p>
    <w:p w14:paraId="197F7FBB"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3FD5C24A" w14:textId="65CB5DDD" w:rsidR="003311C4" w:rsidRPr="003D1614" w:rsidRDefault="003311C4" w:rsidP="003311C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Banka je ovlaštena izvršiti verifikaciju procjene vrijednosti i tako utvrđena procjena se smatra konačnom vrijednosti instrumenta osiguranja.</w:t>
      </w:r>
    </w:p>
    <w:p w14:paraId="45DCD162" w14:textId="18F81AD3"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3A4D580C"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sectPr w:rsidR="003311C4" w:rsidRPr="003D1614">
          <w:pgSz w:w="11906" w:h="16838"/>
          <w:pgMar w:top="1417" w:right="1417" w:bottom="1417" w:left="1417" w:header="708" w:footer="708" w:gutter="0"/>
          <w:cols w:space="708"/>
          <w:docGrid w:linePitch="360"/>
        </w:sectPr>
      </w:pPr>
    </w:p>
    <w:p w14:paraId="0EFAE2BD" w14:textId="77777777" w:rsidR="003311C4" w:rsidRPr="003D1614" w:rsidRDefault="003311C4" w:rsidP="003311C4">
      <w:pPr>
        <w:suppressAutoHyphens/>
        <w:autoSpaceDN w:val="0"/>
        <w:spacing w:line="300" w:lineRule="exact"/>
        <w:rPr>
          <w:rFonts w:ascii="Arial" w:eastAsia="Calibri" w:hAnsi="Arial" w:cs="Arial"/>
          <w:b/>
          <w:color w:val="000000" w:themeColor="text1"/>
          <w:sz w:val="20"/>
          <w:szCs w:val="20"/>
        </w:rPr>
      </w:pPr>
    </w:p>
    <w:p w14:paraId="49D9315E" w14:textId="3CA93762" w:rsidR="003311C4" w:rsidRPr="003D1614" w:rsidRDefault="003311C4" w:rsidP="003311C4">
      <w:pPr>
        <w:keepNext/>
        <w:tabs>
          <w:tab w:val="left" w:pos="567"/>
        </w:tabs>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lang w:eastAsia="hr-HR"/>
        </w:rPr>
        <w:t>2</w:t>
      </w:r>
      <w:r w:rsidR="000E693B">
        <w:rPr>
          <w:rFonts w:ascii="Arial" w:eastAsia="Times New Roman" w:hAnsi="Arial" w:cs="Arial"/>
          <w:b/>
          <w:bCs/>
          <w:color w:val="000000" w:themeColor="text1"/>
          <w:sz w:val="20"/>
          <w:szCs w:val="20"/>
          <w:lang w:eastAsia="hr-HR"/>
        </w:rPr>
        <w:t>3</w:t>
      </w:r>
      <w:r w:rsidRPr="003D1614">
        <w:rPr>
          <w:rFonts w:ascii="Arial" w:eastAsia="Times New Roman" w:hAnsi="Arial" w:cs="Arial"/>
          <w:b/>
          <w:bCs/>
          <w:color w:val="000000" w:themeColor="text1"/>
          <w:sz w:val="20"/>
          <w:szCs w:val="20"/>
          <w:lang w:eastAsia="hr-HR"/>
        </w:rPr>
        <w:t>.</w:t>
      </w:r>
      <w:r w:rsidRPr="003D1614">
        <w:rPr>
          <w:rFonts w:ascii="Arial" w:eastAsia="Times New Roman" w:hAnsi="Arial" w:cs="Arial"/>
          <w:b/>
          <w:bCs/>
          <w:color w:val="000000" w:themeColor="text1"/>
          <w:sz w:val="20"/>
          <w:szCs w:val="20"/>
        </w:rPr>
        <w:tab/>
        <w:t>Upravljanje rizicima (nastavak)</w:t>
      </w:r>
    </w:p>
    <w:p w14:paraId="2C47D2A5"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5A68C235" w14:textId="1FC6AD6D" w:rsidR="003311C4" w:rsidRPr="003D1614" w:rsidRDefault="003311C4" w:rsidP="003311C4">
      <w:pPr>
        <w:tabs>
          <w:tab w:val="left" w:pos="567"/>
        </w:tabs>
        <w:suppressAutoHyphens/>
        <w:autoSpaceDN w:val="0"/>
        <w:spacing w:line="300" w:lineRule="exact"/>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ab/>
        <w:t>Kreditni rizik (nastavak)</w:t>
      </w:r>
    </w:p>
    <w:p w14:paraId="7FEF42EB"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18E71F25" w14:textId="7A914313" w:rsidR="003311C4" w:rsidRPr="003D1614" w:rsidRDefault="003311C4" w:rsidP="003311C4">
      <w:pPr>
        <w:tabs>
          <w:tab w:val="left" w:pos="851"/>
        </w:tabs>
        <w:suppressAutoHyphens/>
        <w:autoSpaceDN w:val="0"/>
        <w:spacing w:line="300" w:lineRule="exact"/>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sidR="000E693B">
        <w:rPr>
          <w:rFonts w:ascii="Arial" w:eastAsia="Calibri" w:hAnsi="Arial" w:cs="Arial"/>
          <w:b/>
          <w:color w:val="000000" w:themeColor="text1"/>
          <w:sz w:val="20"/>
          <w:szCs w:val="20"/>
        </w:rPr>
        <w:t>3</w:t>
      </w:r>
      <w:r w:rsidRPr="003D1614">
        <w:rPr>
          <w:rFonts w:ascii="Arial" w:eastAsia="Calibri" w:hAnsi="Arial" w:cs="Arial"/>
          <w:b/>
          <w:color w:val="000000" w:themeColor="text1"/>
          <w:sz w:val="20"/>
          <w:szCs w:val="20"/>
        </w:rPr>
        <w:t>.3.8.</w:t>
      </w:r>
      <w:r w:rsidRPr="003D1614">
        <w:rPr>
          <w:rFonts w:ascii="Arial" w:eastAsia="Calibri" w:hAnsi="Arial" w:cs="Arial"/>
          <w:b/>
          <w:color w:val="000000" w:themeColor="text1"/>
          <w:sz w:val="20"/>
          <w:szCs w:val="20"/>
        </w:rPr>
        <w:tab/>
        <w:t>Instrumenti osiguranja i ostala poboljšanja kvalitete kredita (kreditne sposobnosti) (nastavak)</w:t>
      </w:r>
    </w:p>
    <w:p w14:paraId="35616B81"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75660409" w14:textId="77777777" w:rsidR="003311C4" w:rsidRPr="003D1614" w:rsidRDefault="003311C4" w:rsidP="003311C4">
      <w:pPr>
        <w:suppressAutoHyphens/>
        <w:autoSpaceDE w:val="0"/>
        <w:autoSpaceDN w:val="0"/>
        <w:adjustRightInd w:val="0"/>
        <w:ind w:right="-1"/>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Ovisno o vrsti instrumenta osiguranja, kreditnom programu, općim uvjetima osiguranja ili odluci nadležnog tijela, Banka je odredila potreban omjer plasmana i osiguranja. </w:t>
      </w:r>
    </w:p>
    <w:p w14:paraId="65B5B4BE" w14:textId="77777777" w:rsidR="003311C4" w:rsidRPr="003D1614" w:rsidRDefault="003311C4" w:rsidP="003311C4">
      <w:pPr>
        <w:keepNext/>
        <w:tabs>
          <w:tab w:val="left" w:pos="426"/>
        </w:tabs>
        <w:suppressAutoHyphens/>
        <w:autoSpaceDN w:val="0"/>
        <w:jc w:val="both"/>
        <w:rPr>
          <w:rFonts w:ascii="Arial" w:eastAsia="Times New Roman" w:hAnsi="Arial" w:cs="Arial"/>
          <w:b/>
          <w:bCs/>
          <w:color w:val="000000" w:themeColor="text1"/>
          <w:sz w:val="20"/>
          <w:szCs w:val="20"/>
          <w:lang w:eastAsia="hr-HR"/>
        </w:rPr>
      </w:pPr>
    </w:p>
    <w:p w14:paraId="06E3D763" w14:textId="3CFE9F50" w:rsidR="003311C4" w:rsidRPr="003D1614" w:rsidRDefault="003311C4" w:rsidP="003311C4">
      <w:pPr>
        <w:suppressAutoHyphens/>
        <w:autoSpaceDE w:val="0"/>
        <w:autoSpaceDN w:val="0"/>
        <w:adjustRightInd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Za nekretnine je potreban omjer iznosa plasmana i procijenjene prometne vrijednosti nekretnine 1:1,3, osim kod ulaganja na otocima, potpomognutim područjima gdje je taj omjer 1:1,2. Za pokretnine je potreban omjer iznosa plasmana i procijenjene prometne vrijednosti pokretnine 1:2. </w:t>
      </w:r>
      <w:r w:rsidRPr="003D1614">
        <w:rPr>
          <w:rFonts w:ascii="Arial" w:eastAsia="Arial" w:hAnsi="Arial" w:cs="Arial"/>
          <w:color w:val="000000" w:themeColor="text1"/>
          <w:sz w:val="20"/>
          <w:szCs w:val="20"/>
        </w:rPr>
        <w:t xml:space="preserve">Za slučaj predlaganja nižeg omjera vrijednosti osiguranja od propisanog, obrazlažu se razlozi i opravdanosti odstupanja od propisanog. </w:t>
      </w:r>
    </w:p>
    <w:p w14:paraId="6DCA95D4" w14:textId="77777777" w:rsidR="003311C4" w:rsidRPr="003D1614" w:rsidRDefault="003311C4" w:rsidP="003311C4">
      <w:pPr>
        <w:suppressAutoHyphens/>
        <w:autoSpaceDE w:val="0"/>
        <w:autoSpaceDN w:val="0"/>
        <w:adjustRightInd w:val="0"/>
        <w:jc w:val="both"/>
        <w:rPr>
          <w:rFonts w:ascii="Arial" w:eastAsia="Times New Roman" w:hAnsi="Arial" w:cs="Arial"/>
          <w:color w:val="000000" w:themeColor="text1"/>
          <w:sz w:val="20"/>
          <w:szCs w:val="20"/>
        </w:rPr>
      </w:pPr>
    </w:p>
    <w:p w14:paraId="0FE2CDF2" w14:textId="77777777" w:rsidR="003311C4" w:rsidRPr="003D1614" w:rsidRDefault="003311C4" w:rsidP="003311C4">
      <w:pPr>
        <w:suppressAutoHyphens/>
        <w:autoSpaceDE w:val="0"/>
        <w:autoSpaceDN w:val="0"/>
        <w:adjustRightInd w:val="0"/>
        <w:ind w:right="-1"/>
        <w:jc w:val="both"/>
        <w:rPr>
          <w:rFonts w:ascii="Arial" w:eastAsia="Calibri" w:hAnsi="Arial" w:cs="Arial"/>
          <w:color w:val="000000" w:themeColor="text1"/>
          <w:sz w:val="20"/>
          <w:szCs w:val="20"/>
        </w:rPr>
      </w:pPr>
      <w:r w:rsidRPr="003D1614">
        <w:rPr>
          <w:rFonts w:ascii="Arial" w:eastAsia="Times New Roman" w:hAnsi="Arial" w:cs="Arial"/>
          <w:color w:val="000000" w:themeColor="text1"/>
          <w:sz w:val="20"/>
          <w:szCs w:val="20"/>
        </w:rPr>
        <w:t>Banka kontinuirano prati vrijednost instrumenata osiguranja ponovnom procjenom ili potvrdom/verifikacijom vrijednosti. Praćenje vrijednosti založene nekretnine obavlja se za poslovne nekretnine jednom godišnje, a za stambene</w:t>
      </w:r>
      <w:r w:rsidRPr="003D1614">
        <w:rPr>
          <w:rFonts w:ascii="Arial" w:eastAsia="Calibri" w:hAnsi="Arial" w:cs="Arial"/>
          <w:color w:val="000000" w:themeColor="text1"/>
          <w:sz w:val="20"/>
          <w:szCs w:val="20"/>
        </w:rPr>
        <w:t xml:space="preserve"> nekretnine svake tri godine. Banka ima formiranu posebnu organizacijsku jedinicu za:</w:t>
      </w:r>
    </w:p>
    <w:p w14:paraId="0B036DFF" w14:textId="77777777" w:rsidR="003311C4" w:rsidRPr="003D1614" w:rsidRDefault="003311C4" w:rsidP="003311C4">
      <w:pPr>
        <w:numPr>
          <w:ilvl w:val="0"/>
          <w:numId w:val="26"/>
        </w:numPr>
        <w:tabs>
          <w:tab w:val="right" w:pos="9129"/>
        </w:tabs>
        <w:suppressAutoHyphens/>
        <w:autoSpaceDN w:val="0"/>
        <w:ind w:right="-1"/>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procjenu vrijednosti i verifikaciju već procijenjenih vrijednosti ponuđenih instrumenata osiguranja (nekretnine i pokretnine), </w:t>
      </w:r>
    </w:p>
    <w:p w14:paraId="1D9F8224" w14:textId="77777777" w:rsidR="003311C4" w:rsidRPr="003D1614" w:rsidRDefault="003311C4" w:rsidP="003311C4">
      <w:pPr>
        <w:numPr>
          <w:ilvl w:val="0"/>
          <w:numId w:val="26"/>
        </w:numPr>
        <w:tabs>
          <w:tab w:val="right" w:pos="9129"/>
        </w:tabs>
        <w:suppressAutoHyphens/>
        <w:autoSpaceDN w:val="0"/>
        <w:ind w:right="-1"/>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tehničko-tehnološku analizu investicijskih projekata kao i </w:t>
      </w:r>
    </w:p>
    <w:p w14:paraId="0B5062E4" w14:textId="77777777" w:rsidR="003311C4" w:rsidRPr="003D1614" w:rsidRDefault="003311C4" w:rsidP="003311C4">
      <w:pPr>
        <w:numPr>
          <w:ilvl w:val="0"/>
          <w:numId w:val="26"/>
        </w:numPr>
        <w:tabs>
          <w:tab w:val="right" w:pos="9129"/>
        </w:tabs>
        <w:suppressAutoHyphens/>
        <w:autoSpaceDN w:val="0"/>
        <w:ind w:right="-1"/>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financijski nadzor nad korištenjem sredstava kredita u svrhu izvedbe investicijskog projekta.</w:t>
      </w:r>
    </w:p>
    <w:p w14:paraId="25EE8711" w14:textId="77777777" w:rsidR="003311C4" w:rsidRPr="003D1614" w:rsidRDefault="003311C4" w:rsidP="003311C4">
      <w:pPr>
        <w:suppressAutoHyphens/>
        <w:autoSpaceDE w:val="0"/>
        <w:autoSpaceDN w:val="0"/>
        <w:adjustRightInd w:val="0"/>
        <w:ind w:right="-1"/>
        <w:jc w:val="both"/>
        <w:rPr>
          <w:rFonts w:ascii="Arial" w:eastAsia="Times New Roman" w:hAnsi="Arial" w:cs="Arial"/>
          <w:color w:val="000000" w:themeColor="text1"/>
          <w:sz w:val="20"/>
          <w:szCs w:val="20"/>
        </w:rPr>
      </w:pPr>
    </w:p>
    <w:p w14:paraId="4AC06088" w14:textId="77777777" w:rsidR="003311C4" w:rsidRPr="003D1614" w:rsidRDefault="003311C4" w:rsidP="003311C4">
      <w:pPr>
        <w:suppressAutoHyphens/>
        <w:autoSpaceDE w:val="0"/>
        <w:autoSpaceDN w:val="0"/>
        <w:adjustRightInd w:val="0"/>
        <w:ind w:right="-1"/>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U slučaju nemogućnosti naplate iz redovnog poslovanja Banka pokreće raspoložive instrumente osiguranja u svrhu naplate svojih potraživanja. To podrazumijeva pokretanje naplate iz obveznih instrumenata osiguranja zatim iz prvorazrednih bezuvjetnih na prvi poziv naplativih instrumenata, a zatim iz zaloga ili fiducije nad nekretninama ili pokretninama, uključujući i njihovo preuzimanje u vlasništvo Banke sa svrhom smanjenja ili naplate potraživanja. Preuzetu imovinu Banka ne koristi za svoje poslovne namjene.</w:t>
      </w:r>
    </w:p>
    <w:p w14:paraId="51441493" w14:textId="77777777" w:rsidR="003311C4" w:rsidRPr="003D1614" w:rsidRDefault="003311C4" w:rsidP="003311C4">
      <w:pPr>
        <w:suppressAutoHyphens/>
        <w:autoSpaceDE w:val="0"/>
        <w:autoSpaceDN w:val="0"/>
        <w:adjustRightInd w:val="0"/>
        <w:ind w:right="-1"/>
        <w:jc w:val="both"/>
        <w:rPr>
          <w:rFonts w:ascii="Arial" w:eastAsia="Times New Roman" w:hAnsi="Arial" w:cs="Arial"/>
          <w:color w:val="000000" w:themeColor="text1"/>
          <w:sz w:val="20"/>
          <w:szCs w:val="20"/>
        </w:rPr>
      </w:pPr>
    </w:p>
    <w:p w14:paraId="3BD63D12" w14:textId="77777777" w:rsidR="003311C4" w:rsidRPr="003D1614" w:rsidRDefault="003311C4" w:rsidP="003311C4">
      <w:pPr>
        <w:suppressAutoHyphens/>
        <w:autoSpaceDE w:val="0"/>
        <w:autoSpaceDN w:val="0"/>
        <w:adjustRightInd w:val="0"/>
        <w:ind w:right="-1"/>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Kod modela podjele rizika, osiguranje se provodi ovisno o modelu: </w:t>
      </w:r>
    </w:p>
    <w:p w14:paraId="24F1A412" w14:textId="77777777" w:rsidR="003311C4" w:rsidRPr="003D1614" w:rsidRDefault="003311C4" w:rsidP="003311C4">
      <w:pPr>
        <w:numPr>
          <w:ilvl w:val="0"/>
          <w:numId w:val="27"/>
        </w:numPr>
        <w:suppressAutoHyphens/>
        <w:autoSpaceDN w:val="0"/>
        <w:ind w:left="709" w:right="-1" w:hanging="349"/>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poslovna banka - sukladno vlastitim internim aktima i dobrim bankarskim praksama te se ne primjenjuju akti HBOR-a i njima propisani omjeri osiguranja,</w:t>
      </w:r>
    </w:p>
    <w:p w14:paraId="653019C8" w14:textId="77777777" w:rsidR="003311C4" w:rsidRPr="003D1614" w:rsidRDefault="003311C4" w:rsidP="003311C4">
      <w:pPr>
        <w:numPr>
          <w:ilvl w:val="0"/>
          <w:numId w:val="27"/>
        </w:numPr>
        <w:suppressAutoHyphens/>
        <w:autoSpaceDE w:val="0"/>
        <w:autoSpaceDN w:val="0"/>
        <w:adjustRightInd w:val="0"/>
        <w:ind w:left="709" w:right="-1" w:hanging="349"/>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ili poslovna banka i HBOR - svaka za svoj dio kredita provodi osiguranje sukladno vlastitim aktima odlukama i/ili procedurama,</w:t>
      </w:r>
    </w:p>
    <w:p w14:paraId="015A064C" w14:textId="77777777" w:rsidR="003311C4" w:rsidRPr="003D1614" w:rsidRDefault="003311C4" w:rsidP="003311C4">
      <w:pPr>
        <w:numPr>
          <w:ilvl w:val="0"/>
          <w:numId w:val="27"/>
        </w:numPr>
        <w:suppressAutoHyphens/>
        <w:autoSpaceDE w:val="0"/>
        <w:autoSpaceDN w:val="0"/>
        <w:adjustRightInd w:val="0"/>
        <w:ind w:left="709" w:right="-1" w:hanging="349"/>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kod kredita za likvidnost poduzetnicima koji su snažno pogođeni krizom izazvanom pandemijom </w:t>
      </w:r>
      <w:proofErr w:type="spellStart"/>
      <w:r w:rsidRPr="003D1614">
        <w:rPr>
          <w:rFonts w:ascii="Arial" w:eastAsia="Calibri" w:hAnsi="Arial" w:cs="Arial"/>
          <w:color w:val="000000" w:themeColor="text1"/>
          <w:sz w:val="20"/>
          <w:szCs w:val="20"/>
        </w:rPr>
        <w:t>koronavirusa</w:t>
      </w:r>
      <w:proofErr w:type="spellEnd"/>
      <w:r w:rsidRPr="003D1614">
        <w:rPr>
          <w:rFonts w:ascii="Arial" w:eastAsia="Calibri" w:hAnsi="Arial" w:cs="Arial"/>
          <w:color w:val="000000" w:themeColor="text1"/>
          <w:sz w:val="20"/>
          <w:szCs w:val="20"/>
        </w:rPr>
        <w:t xml:space="preserve"> za osiguranje kredita su uzimani isti instrumenti koje je uzela banka, uz pokriće kredita instrumentima osiguranja najmanje 50%,</w:t>
      </w:r>
    </w:p>
    <w:p w14:paraId="75B02FA7" w14:textId="77777777" w:rsidR="003311C4" w:rsidRPr="003D1614" w:rsidRDefault="003311C4" w:rsidP="003311C4">
      <w:pPr>
        <w:numPr>
          <w:ilvl w:val="0"/>
          <w:numId w:val="27"/>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a kod kredita za likvidnost poduzetnicima koji su pogođeni krizom izazvanom agresijom na Ukrajinu za osiguranje kredita su uzimani također isti instrumenti ali uz pokriće kredita instrumentima osiguranja najmanje 70%.</w:t>
      </w:r>
    </w:p>
    <w:p w14:paraId="032113A8" w14:textId="77777777" w:rsidR="003311C4" w:rsidRPr="003D1614" w:rsidRDefault="003311C4" w:rsidP="003311C4">
      <w:pPr>
        <w:suppressAutoHyphens/>
        <w:autoSpaceDE w:val="0"/>
        <w:autoSpaceDN w:val="0"/>
        <w:adjustRightInd w:val="0"/>
        <w:ind w:right="-1"/>
        <w:contextualSpacing/>
        <w:jc w:val="both"/>
        <w:rPr>
          <w:rFonts w:ascii="Arial" w:eastAsia="Calibri" w:hAnsi="Arial" w:cs="Arial"/>
          <w:b/>
          <w:color w:val="000000" w:themeColor="text1"/>
          <w:sz w:val="20"/>
          <w:szCs w:val="20"/>
        </w:rPr>
      </w:pPr>
    </w:p>
    <w:p w14:paraId="26FBC7F5" w14:textId="77777777" w:rsidR="003311C4" w:rsidRPr="003D1614" w:rsidRDefault="003311C4" w:rsidP="003311C4">
      <w:pPr>
        <w:suppressAutoHyphens/>
        <w:autoSpaceDE w:val="0"/>
        <w:autoSpaceDN w:val="0"/>
        <w:adjustRightInd w:val="0"/>
        <w:ind w:right="-1"/>
        <w:contextualSpacing/>
        <w:jc w:val="both"/>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Otpisi</w:t>
      </w:r>
    </w:p>
    <w:p w14:paraId="2432D720" w14:textId="77777777" w:rsidR="003311C4" w:rsidRPr="003D1614" w:rsidRDefault="003311C4" w:rsidP="003311C4">
      <w:pPr>
        <w:suppressAutoHyphens/>
        <w:autoSpaceDE w:val="0"/>
        <w:autoSpaceDN w:val="0"/>
        <w:ind w:right="-1"/>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Otpis se provodi sukladno Metodologiji otpisa potraživanja.</w:t>
      </w:r>
    </w:p>
    <w:p w14:paraId="4D73BE4A" w14:textId="77777777" w:rsidR="003311C4" w:rsidRPr="003D1614" w:rsidRDefault="003311C4" w:rsidP="003311C4">
      <w:pPr>
        <w:suppressAutoHyphens/>
        <w:autoSpaceDE w:val="0"/>
        <w:autoSpaceDN w:val="0"/>
        <w:ind w:right="-1"/>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Kriteriji razmatranja otpisa potraživanja mogu se grupirati u 3 osnovne skupine:</w:t>
      </w:r>
    </w:p>
    <w:p w14:paraId="6C580AA6" w14:textId="77777777" w:rsidR="003311C4" w:rsidRPr="003D1614" w:rsidRDefault="003311C4" w:rsidP="003311C4">
      <w:pPr>
        <w:suppressAutoHyphens/>
        <w:autoSpaceDE w:val="0"/>
        <w:autoSpaceDN w:val="0"/>
        <w:ind w:right="-1" w:firstLine="680"/>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A. iscrpljenost svih raspoloživih oblika redovne i prisilne naplate;</w:t>
      </w:r>
    </w:p>
    <w:p w14:paraId="089D867B" w14:textId="77777777" w:rsidR="003311C4" w:rsidRPr="003D1614" w:rsidRDefault="003311C4" w:rsidP="003311C4">
      <w:pPr>
        <w:suppressAutoHyphens/>
        <w:autoSpaceDE w:val="0"/>
        <w:autoSpaceDN w:val="0"/>
        <w:ind w:right="-1" w:firstLine="680"/>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B. ostvarivanje nagodbe, prodaje potraživanja ili restrukturiranja plasmana;</w:t>
      </w:r>
    </w:p>
    <w:p w14:paraId="1E3CE00C" w14:textId="77777777" w:rsidR="003311C4" w:rsidRPr="003D1614" w:rsidRDefault="003311C4" w:rsidP="003311C4">
      <w:pPr>
        <w:suppressAutoHyphens/>
        <w:autoSpaceDN w:val="0"/>
        <w:ind w:right="-1" w:firstLine="680"/>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C. teško socijalno i/ili zdravstveno stanje dužnika (i/ili sudužnika, jamca).</w:t>
      </w:r>
    </w:p>
    <w:p w14:paraId="206BEB27" w14:textId="77777777" w:rsidR="003311C4" w:rsidRPr="003D1614" w:rsidRDefault="003311C4" w:rsidP="003311C4">
      <w:pPr>
        <w:suppressAutoHyphens/>
        <w:autoSpaceDE w:val="0"/>
        <w:autoSpaceDN w:val="0"/>
        <w:adjustRightInd w:val="0"/>
        <w:ind w:right="426"/>
        <w:jc w:val="both"/>
        <w:rPr>
          <w:rFonts w:ascii="Arial" w:eastAsia="Times New Roman" w:hAnsi="Arial" w:cs="Arial"/>
          <w:color w:val="000000" w:themeColor="text1"/>
          <w:sz w:val="20"/>
          <w:szCs w:val="20"/>
        </w:rPr>
      </w:pPr>
    </w:p>
    <w:p w14:paraId="4158240B" w14:textId="77777777" w:rsidR="003311C4" w:rsidRPr="003D1614" w:rsidRDefault="003311C4" w:rsidP="003311C4">
      <w:pPr>
        <w:suppressAutoHyphens/>
        <w:autoSpaceDN w:val="0"/>
        <w:jc w:val="both"/>
        <w:rPr>
          <w:rFonts w:ascii="Arial" w:eastAsia="Times New Roman" w:hAnsi="Arial" w:cs="Arial"/>
          <w:color w:val="000000" w:themeColor="text1"/>
          <w:sz w:val="20"/>
          <w:szCs w:val="20"/>
        </w:rPr>
        <w:sectPr w:rsidR="003311C4" w:rsidRPr="003D1614">
          <w:pgSz w:w="11906" w:h="16838"/>
          <w:pgMar w:top="1417" w:right="1417" w:bottom="1417" w:left="1417" w:header="708" w:footer="708" w:gutter="0"/>
          <w:cols w:space="708"/>
          <w:docGrid w:linePitch="360"/>
        </w:sectPr>
      </w:pPr>
    </w:p>
    <w:p w14:paraId="2C9D6EDE"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2EB317B6" w14:textId="4281A27D"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27A16B86"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76A6B550" w14:textId="6F3DE55C"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7486C2C2"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70EA80B0"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Koncentracija rizika i maksimalna izloženost kreditnom riziku</w:t>
      </w:r>
    </w:p>
    <w:p w14:paraId="6F57D5A6" w14:textId="77777777" w:rsidR="00A13103" w:rsidRPr="003D1614" w:rsidRDefault="00A13103" w:rsidP="00A13103">
      <w:pPr>
        <w:suppressAutoHyphens/>
        <w:autoSpaceDN w:val="0"/>
        <w:jc w:val="both"/>
        <w:rPr>
          <w:rFonts w:ascii="Arial" w:eastAsia="Times New Roman" w:hAnsi="Arial" w:cs="Arial"/>
          <w:color w:val="000000" w:themeColor="text1"/>
          <w:sz w:val="20"/>
          <w:szCs w:val="20"/>
        </w:rPr>
      </w:pPr>
    </w:p>
    <w:p w14:paraId="17AC28EF" w14:textId="77777777" w:rsidR="00A13103" w:rsidRPr="003D1614" w:rsidRDefault="00A13103" w:rsidP="00A13103">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Tabela u nastavku prikazuje neto najveću izloženost kreditnom riziku prema pozicijama izvještaja o financijskom položaju i garancija i preuzetih obveza na dan izvještavanja, bez umanjenja za vrijednost sredstava osiguranja naplate:</w:t>
      </w:r>
    </w:p>
    <w:p w14:paraId="42AB1464" w14:textId="77777777" w:rsidR="00A13103" w:rsidRPr="003D1614" w:rsidRDefault="00A13103" w:rsidP="00A13103">
      <w:pPr>
        <w:suppressAutoHyphens/>
        <w:autoSpaceDN w:val="0"/>
        <w:jc w:val="both"/>
        <w:rPr>
          <w:rFonts w:ascii="Arial" w:eastAsia="Times New Roman" w:hAnsi="Arial" w:cs="Arial"/>
          <w:color w:val="000000" w:themeColor="text1"/>
          <w:sz w:val="20"/>
          <w:szCs w:val="20"/>
        </w:rPr>
      </w:pPr>
    </w:p>
    <w:p w14:paraId="383A29AE" w14:textId="77777777" w:rsidR="00A13103" w:rsidRPr="003D1614" w:rsidRDefault="00A13103" w:rsidP="00A13103">
      <w:pPr>
        <w:suppressAutoHyphens/>
        <w:autoSpaceDN w:val="0"/>
        <w:jc w:val="both"/>
        <w:rPr>
          <w:rFonts w:ascii="Arial" w:eastAsia="Times New Roman" w:hAnsi="Arial" w:cs="Arial"/>
          <w:color w:val="000000" w:themeColor="text1"/>
          <w:sz w:val="20"/>
          <w:szCs w:val="20"/>
        </w:rPr>
      </w:pPr>
    </w:p>
    <w:tbl>
      <w:tblPr>
        <w:tblW w:w="4944" w:type="pct"/>
        <w:tblLayout w:type="fixed"/>
        <w:tblCellMar>
          <w:left w:w="0" w:type="dxa"/>
          <w:right w:w="57" w:type="dxa"/>
        </w:tblCellMar>
        <w:tblLook w:val="0000" w:firstRow="0" w:lastRow="0" w:firstColumn="0" w:lastColumn="0" w:noHBand="0" w:noVBand="0"/>
      </w:tblPr>
      <w:tblGrid>
        <w:gridCol w:w="3714"/>
        <w:gridCol w:w="1313"/>
        <w:gridCol w:w="1315"/>
        <w:gridCol w:w="1313"/>
        <w:gridCol w:w="1315"/>
      </w:tblGrid>
      <w:tr w:rsidR="00CF7B3C" w:rsidRPr="003D1614" w14:paraId="1D40EFF6" w14:textId="77777777" w:rsidTr="0008792D">
        <w:trPr>
          <w:trHeight w:val="235"/>
        </w:trPr>
        <w:tc>
          <w:tcPr>
            <w:tcW w:w="2070" w:type="pct"/>
          </w:tcPr>
          <w:p w14:paraId="31BEABC0" w14:textId="77777777" w:rsidR="00CF7B3C" w:rsidRPr="003D1614" w:rsidRDefault="00CF7B3C" w:rsidP="0008792D">
            <w:pPr>
              <w:suppressAutoHyphens/>
              <w:autoSpaceDN w:val="0"/>
              <w:spacing w:line="360" w:lineRule="auto"/>
              <w:jc w:val="both"/>
              <w:rPr>
                <w:rFonts w:ascii="Arial" w:eastAsia="Times New Roman" w:hAnsi="Arial" w:cs="Arial"/>
                <w:bCs/>
                <w:color w:val="000000" w:themeColor="text1"/>
                <w:sz w:val="18"/>
                <w:szCs w:val="18"/>
              </w:rPr>
            </w:pPr>
          </w:p>
        </w:tc>
        <w:tc>
          <w:tcPr>
            <w:tcW w:w="1465" w:type="pct"/>
            <w:gridSpan w:val="2"/>
          </w:tcPr>
          <w:p w14:paraId="7ACFB3F2" w14:textId="77777777" w:rsidR="00CF7B3C" w:rsidRPr="003D1614" w:rsidRDefault="00CF7B3C" w:rsidP="0008792D">
            <w:pPr>
              <w:suppressAutoHyphens/>
              <w:autoSpaceDN w:val="0"/>
              <w:spacing w:line="360" w:lineRule="auto"/>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Grupa</w:t>
            </w:r>
          </w:p>
        </w:tc>
        <w:tc>
          <w:tcPr>
            <w:tcW w:w="1465" w:type="pct"/>
            <w:gridSpan w:val="2"/>
          </w:tcPr>
          <w:p w14:paraId="0D374AE5" w14:textId="77777777" w:rsidR="00CF7B3C" w:rsidRPr="003D1614" w:rsidRDefault="00CF7B3C" w:rsidP="0008792D">
            <w:pPr>
              <w:suppressAutoHyphens/>
              <w:autoSpaceDN w:val="0"/>
              <w:spacing w:line="360" w:lineRule="auto"/>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Banka</w:t>
            </w:r>
          </w:p>
        </w:tc>
      </w:tr>
      <w:tr w:rsidR="00CF7B3C" w:rsidRPr="003D1614" w14:paraId="269D54BD" w14:textId="77777777" w:rsidTr="0008792D">
        <w:trPr>
          <w:trHeight w:val="764"/>
        </w:trPr>
        <w:tc>
          <w:tcPr>
            <w:tcW w:w="2070" w:type="pct"/>
          </w:tcPr>
          <w:p w14:paraId="5F426FC1" w14:textId="77777777" w:rsidR="00CF7B3C" w:rsidRPr="003D1614" w:rsidRDefault="00CF7B3C" w:rsidP="0008792D">
            <w:pPr>
              <w:suppressAutoHyphens/>
              <w:autoSpaceDN w:val="0"/>
              <w:rPr>
                <w:rFonts w:ascii="Arial" w:eastAsia="Times New Roman" w:hAnsi="Arial" w:cs="Arial"/>
                <w:color w:val="000000" w:themeColor="text1"/>
                <w:sz w:val="18"/>
                <w:szCs w:val="18"/>
              </w:rPr>
            </w:pPr>
            <w:r w:rsidRPr="003D1614">
              <w:rPr>
                <w:rFonts w:ascii="Arial" w:eastAsia="Times New Roman" w:hAnsi="Arial" w:cs="Arial"/>
                <w:b/>
                <w:bCs/>
                <w:color w:val="000000" w:themeColor="text1"/>
                <w:sz w:val="18"/>
                <w:szCs w:val="18"/>
              </w:rPr>
              <w:br w:type="page"/>
            </w:r>
          </w:p>
        </w:tc>
        <w:tc>
          <w:tcPr>
            <w:tcW w:w="732" w:type="pct"/>
            <w:vAlign w:val="center"/>
          </w:tcPr>
          <w:p w14:paraId="12C63295" w14:textId="77777777" w:rsidR="00CF7B3C" w:rsidRPr="003D1614" w:rsidRDefault="00CF7B3C" w:rsidP="0008792D">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Neto najveća izloženost</w:t>
            </w:r>
          </w:p>
          <w:p w14:paraId="588F2E15" w14:textId="77777777" w:rsidR="00CF7B3C" w:rsidRPr="003D1614" w:rsidRDefault="00CF7B3C" w:rsidP="0008792D">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31. ožujka 202</w:t>
            </w:r>
            <w:r>
              <w:rPr>
                <w:rFonts w:ascii="Arial" w:eastAsia="Times New Roman" w:hAnsi="Arial" w:cs="Arial"/>
                <w:b/>
                <w:color w:val="000000" w:themeColor="text1"/>
                <w:sz w:val="18"/>
                <w:szCs w:val="18"/>
              </w:rPr>
              <w:t>4</w:t>
            </w:r>
            <w:r w:rsidRPr="003D1614">
              <w:rPr>
                <w:rFonts w:ascii="Arial" w:eastAsia="Times New Roman" w:hAnsi="Arial" w:cs="Arial"/>
                <w:b/>
                <w:color w:val="000000" w:themeColor="text1"/>
                <w:sz w:val="18"/>
                <w:szCs w:val="18"/>
              </w:rPr>
              <w:t>.</w:t>
            </w:r>
          </w:p>
        </w:tc>
        <w:tc>
          <w:tcPr>
            <w:tcW w:w="733" w:type="pct"/>
            <w:vAlign w:val="center"/>
          </w:tcPr>
          <w:p w14:paraId="07E7BF10" w14:textId="77777777" w:rsidR="00CF7B3C" w:rsidRPr="003D1614" w:rsidRDefault="00CF7B3C" w:rsidP="0008792D">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Neto najveća izloženost</w:t>
            </w:r>
          </w:p>
          <w:p w14:paraId="60997DB6" w14:textId="77777777" w:rsidR="00CF7B3C" w:rsidRPr="003D1614" w:rsidRDefault="00CF7B3C" w:rsidP="0008792D">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31. prosinca 202</w:t>
            </w:r>
            <w:r>
              <w:rPr>
                <w:rFonts w:ascii="Arial" w:eastAsia="Times New Roman" w:hAnsi="Arial" w:cs="Arial"/>
                <w:b/>
                <w:color w:val="000000" w:themeColor="text1"/>
                <w:sz w:val="18"/>
                <w:szCs w:val="18"/>
              </w:rPr>
              <w:t>3</w:t>
            </w:r>
            <w:r w:rsidRPr="003D1614">
              <w:rPr>
                <w:rFonts w:ascii="Arial" w:eastAsia="Times New Roman" w:hAnsi="Arial" w:cs="Arial"/>
                <w:b/>
                <w:color w:val="000000" w:themeColor="text1"/>
                <w:sz w:val="18"/>
                <w:szCs w:val="18"/>
              </w:rPr>
              <w:t>.</w:t>
            </w:r>
          </w:p>
        </w:tc>
        <w:tc>
          <w:tcPr>
            <w:tcW w:w="732" w:type="pct"/>
            <w:vAlign w:val="center"/>
          </w:tcPr>
          <w:p w14:paraId="7B789218" w14:textId="77777777" w:rsidR="00CF7B3C" w:rsidRPr="003D1614" w:rsidRDefault="00CF7B3C" w:rsidP="0008792D">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Neto najveća izloženost</w:t>
            </w:r>
          </w:p>
          <w:p w14:paraId="5B89A0E6" w14:textId="77777777" w:rsidR="00CF7B3C" w:rsidRPr="003D1614" w:rsidRDefault="00CF7B3C" w:rsidP="0008792D">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31. ožujka  202</w:t>
            </w:r>
            <w:r>
              <w:rPr>
                <w:rFonts w:ascii="Arial" w:eastAsia="Times New Roman" w:hAnsi="Arial" w:cs="Arial"/>
                <w:b/>
                <w:color w:val="000000" w:themeColor="text1"/>
                <w:sz w:val="18"/>
                <w:szCs w:val="18"/>
              </w:rPr>
              <w:t>4</w:t>
            </w:r>
            <w:r w:rsidRPr="003D1614">
              <w:rPr>
                <w:rFonts w:ascii="Arial" w:eastAsia="Times New Roman" w:hAnsi="Arial" w:cs="Arial"/>
                <w:b/>
                <w:color w:val="000000" w:themeColor="text1"/>
                <w:sz w:val="18"/>
                <w:szCs w:val="18"/>
              </w:rPr>
              <w:t>.</w:t>
            </w:r>
          </w:p>
        </w:tc>
        <w:tc>
          <w:tcPr>
            <w:tcW w:w="733" w:type="pct"/>
            <w:vAlign w:val="center"/>
          </w:tcPr>
          <w:p w14:paraId="49EE6CE6" w14:textId="77777777" w:rsidR="00CF7B3C" w:rsidRPr="003D1614" w:rsidRDefault="00CF7B3C" w:rsidP="0008792D">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Neto najveća izloženost</w:t>
            </w:r>
          </w:p>
          <w:p w14:paraId="5AD4891F" w14:textId="77777777" w:rsidR="00CF7B3C" w:rsidRPr="003D1614" w:rsidRDefault="00CF7B3C" w:rsidP="0008792D">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31. prosinca 202</w:t>
            </w:r>
            <w:r>
              <w:rPr>
                <w:rFonts w:ascii="Arial" w:eastAsia="Times New Roman" w:hAnsi="Arial" w:cs="Arial"/>
                <w:b/>
                <w:color w:val="000000" w:themeColor="text1"/>
                <w:sz w:val="18"/>
                <w:szCs w:val="18"/>
              </w:rPr>
              <w:t>3</w:t>
            </w:r>
            <w:r w:rsidRPr="003D1614">
              <w:rPr>
                <w:rFonts w:ascii="Arial" w:eastAsia="Times New Roman" w:hAnsi="Arial" w:cs="Arial"/>
                <w:b/>
                <w:color w:val="000000" w:themeColor="text1"/>
                <w:sz w:val="18"/>
                <w:szCs w:val="18"/>
              </w:rPr>
              <w:t>.</w:t>
            </w:r>
          </w:p>
        </w:tc>
      </w:tr>
      <w:tr w:rsidR="00CF7B3C" w:rsidRPr="003D1614" w14:paraId="1150C148" w14:textId="77777777" w:rsidTr="0008792D">
        <w:tc>
          <w:tcPr>
            <w:tcW w:w="2070" w:type="pct"/>
          </w:tcPr>
          <w:p w14:paraId="7CC88E67" w14:textId="77777777" w:rsidR="00CF7B3C" w:rsidRPr="003D1614" w:rsidRDefault="00CF7B3C" w:rsidP="0008792D">
            <w:pPr>
              <w:suppressAutoHyphens/>
              <w:autoSpaceDN w:val="0"/>
              <w:rPr>
                <w:rFonts w:ascii="Arial" w:eastAsia="Times New Roman" w:hAnsi="Arial" w:cs="Arial"/>
                <w:color w:val="000000" w:themeColor="text1"/>
                <w:sz w:val="18"/>
                <w:szCs w:val="18"/>
              </w:rPr>
            </w:pPr>
          </w:p>
        </w:tc>
        <w:tc>
          <w:tcPr>
            <w:tcW w:w="732" w:type="pct"/>
          </w:tcPr>
          <w:p w14:paraId="350C0B04" w14:textId="77777777" w:rsidR="00CF7B3C" w:rsidRPr="003D1614" w:rsidRDefault="00CF7B3C" w:rsidP="0008792D">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c>
          <w:tcPr>
            <w:tcW w:w="733" w:type="pct"/>
          </w:tcPr>
          <w:p w14:paraId="2A0F6D33" w14:textId="77777777" w:rsidR="00CF7B3C" w:rsidRPr="003D1614" w:rsidRDefault="00CF7B3C" w:rsidP="0008792D">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c>
          <w:tcPr>
            <w:tcW w:w="732" w:type="pct"/>
          </w:tcPr>
          <w:p w14:paraId="2CDD01B7" w14:textId="77777777" w:rsidR="00CF7B3C" w:rsidRPr="003D1614" w:rsidRDefault="00CF7B3C" w:rsidP="0008792D">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c>
          <w:tcPr>
            <w:tcW w:w="733" w:type="pct"/>
          </w:tcPr>
          <w:p w14:paraId="35978832" w14:textId="77777777" w:rsidR="00CF7B3C" w:rsidRPr="003D1614" w:rsidRDefault="00CF7B3C" w:rsidP="0008792D">
            <w:pPr>
              <w:suppressAutoHyphens/>
              <w:autoSpaceDN w:val="0"/>
              <w:jc w:val="right"/>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000 eura</w:t>
            </w:r>
          </w:p>
        </w:tc>
      </w:tr>
      <w:tr w:rsidR="00CF7B3C" w:rsidRPr="003D1614" w14:paraId="319C5AF8" w14:textId="77777777" w:rsidTr="0008792D">
        <w:tc>
          <w:tcPr>
            <w:tcW w:w="2070" w:type="pct"/>
          </w:tcPr>
          <w:p w14:paraId="621395D6" w14:textId="77777777" w:rsidR="00CF7B3C" w:rsidRPr="003D1614" w:rsidRDefault="00CF7B3C" w:rsidP="0008792D">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596" w:name="_Toc67329182"/>
            <w:r w:rsidRPr="003D1614">
              <w:rPr>
                <w:rFonts w:ascii="Arial" w:eastAsia="Times New Roman" w:hAnsi="Arial" w:cs="Arial"/>
                <w:b/>
                <w:bCs/>
                <w:color w:val="000000" w:themeColor="text1"/>
                <w:sz w:val="18"/>
                <w:szCs w:val="18"/>
              </w:rPr>
              <w:t>Imovina</w:t>
            </w:r>
            <w:bookmarkEnd w:id="596"/>
          </w:p>
        </w:tc>
        <w:tc>
          <w:tcPr>
            <w:tcW w:w="732" w:type="pct"/>
          </w:tcPr>
          <w:p w14:paraId="246812CD"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733" w:type="pct"/>
          </w:tcPr>
          <w:p w14:paraId="47A61711"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732" w:type="pct"/>
          </w:tcPr>
          <w:p w14:paraId="49CFC3C9"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733" w:type="pct"/>
          </w:tcPr>
          <w:p w14:paraId="4296E357"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r>
      <w:tr w:rsidR="00AE0E70" w:rsidRPr="003D1614" w14:paraId="2EA9084C" w14:textId="77777777" w:rsidTr="0008792D">
        <w:tc>
          <w:tcPr>
            <w:tcW w:w="2070" w:type="pct"/>
          </w:tcPr>
          <w:p w14:paraId="565AB82E" w14:textId="77777777" w:rsidR="00AE0E70" w:rsidRPr="003D1614" w:rsidRDefault="00AE0E70" w:rsidP="00AE0E70">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97" w:name="_Toc67329183"/>
            <w:r w:rsidRPr="003D1614">
              <w:rPr>
                <w:rFonts w:ascii="Arial" w:eastAsia="Times New Roman" w:hAnsi="Arial" w:cs="Arial"/>
                <w:color w:val="000000" w:themeColor="text1"/>
                <w:sz w:val="18"/>
                <w:szCs w:val="18"/>
              </w:rPr>
              <w:t>Novčana sredstva i računi kod banaka</w:t>
            </w:r>
            <w:bookmarkEnd w:id="597"/>
          </w:p>
        </w:tc>
        <w:tc>
          <w:tcPr>
            <w:tcW w:w="732" w:type="pct"/>
            <w:tcBorders>
              <w:top w:val="nil"/>
              <w:left w:val="nil"/>
              <w:bottom w:val="nil"/>
              <w:right w:val="nil"/>
            </w:tcBorders>
            <w:shd w:val="clear" w:color="auto" w:fill="auto"/>
            <w:vAlign w:val="bottom"/>
          </w:tcPr>
          <w:p w14:paraId="71589F9D" w14:textId="4A3DEB5C" w:rsidR="00AE0E70" w:rsidRPr="003D1614" w:rsidRDefault="00AE0E70" w:rsidP="00AE0E70">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77.372</w:t>
            </w:r>
          </w:p>
        </w:tc>
        <w:tc>
          <w:tcPr>
            <w:tcW w:w="733" w:type="pct"/>
            <w:shd w:val="clear" w:color="auto" w:fill="auto"/>
            <w:vAlign w:val="bottom"/>
          </w:tcPr>
          <w:p w14:paraId="6FF0413E" w14:textId="77777777" w:rsidR="00AE0E70" w:rsidRPr="000276E6" w:rsidRDefault="00AE0E70" w:rsidP="00AE0E70">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0276E6">
              <w:rPr>
                <w:rFonts w:ascii="Arial" w:hAnsi="Arial" w:cs="Arial"/>
                <w:sz w:val="18"/>
                <w:szCs w:val="18"/>
              </w:rPr>
              <w:t>42.133</w:t>
            </w:r>
          </w:p>
        </w:tc>
        <w:tc>
          <w:tcPr>
            <w:tcW w:w="732" w:type="pct"/>
            <w:tcBorders>
              <w:top w:val="nil"/>
              <w:left w:val="nil"/>
              <w:bottom w:val="nil"/>
              <w:right w:val="nil"/>
            </w:tcBorders>
            <w:shd w:val="clear" w:color="auto" w:fill="auto"/>
            <w:vAlign w:val="bottom"/>
          </w:tcPr>
          <w:p w14:paraId="6F03E76C" w14:textId="77777777" w:rsidR="00AE0E70" w:rsidRPr="00617755" w:rsidRDefault="00AE0E70" w:rsidP="00AE0E70">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Pr>
                <w:rFonts w:ascii="Arial" w:eastAsia="Times New Roman" w:hAnsi="Arial" w:cs="Arial"/>
                <w:snapToGrid w:val="0"/>
                <w:color w:val="000000" w:themeColor="text1"/>
                <w:sz w:val="18"/>
                <w:szCs w:val="18"/>
              </w:rPr>
              <w:t>76.953</w:t>
            </w:r>
          </w:p>
        </w:tc>
        <w:tc>
          <w:tcPr>
            <w:tcW w:w="733" w:type="pct"/>
            <w:shd w:val="clear" w:color="auto" w:fill="auto"/>
            <w:vAlign w:val="bottom"/>
          </w:tcPr>
          <w:p w14:paraId="03D21CD7" w14:textId="77777777" w:rsidR="00AE0E70" w:rsidRPr="00FB65D9" w:rsidRDefault="00AE0E70" w:rsidP="00AE0E70">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FB65D9">
              <w:rPr>
                <w:rFonts w:ascii="Arial" w:hAnsi="Arial" w:cs="Arial"/>
                <w:color w:val="000000" w:themeColor="text1"/>
                <w:sz w:val="18"/>
                <w:szCs w:val="18"/>
              </w:rPr>
              <w:t xml:space="preserve"> 41.543 </w:t>
            </w:r>
          </w:p>
        </w:tc>
      </w:tr>
      <w:tr w:rsidR="00AE0E70" w:rsidRPr="003D1614" w14:paraId="055F464A" w14:textId="77777777" w:rsidTr="0008792D">
        <w:tc>
          <w:tcPr>
            <w:tcW w:w="2070" w:type="pct"/>
          </w:tcPr>
          <w:p w14:paraId="25B01B2F" w14:textId="77777777" w:rsidR="00AE0E70" w:rsidRPr="003D1614" w:rsidRDefault="00AE0E70" w:rsidP="00AE0E70">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98" w:name="_Toc67329188"/>
            <w:r w:rsidRPr="003D1614">
              <w:rPr>
                <w:rFonts w:ascii="Arial" w:eastAsia="Times New Roman" w:hAnsi="Arial" w:cs="Arial"/>
                <w:color w:val="000000" w:themeColor="text1"/>
                <w:sz w:val="18"/>
                <w:szCs w:val="18"/>
              </w:rPr>
              <w:t>Depoziti kod drugih banaka</w:t>
            </w:r>
            <w:bookmarkEnd w:id="598"/>
          </w:p>
        </w:tc>
        <w:tc>
          <w:tcPr>
            <w:tcW w:w="732" w:type="pct"/>
            <w:tcBorders>
              <w:top w:val="nil"/>
              <w:left w:val="nil"/>
              <w:bottom w:val="nil"/>
              <w:right w:val="nil"/>
            </w:tcBorders>
            <w:shd w:val="clear" w:color="auto" w:fill="auto"/>
            <w:vAlign w:val="bottom"/>
          </w:tcPr>
          <w:p w14:paraId="700FB02A" w14:textId="447B1824" w:rsidR="00AE0E70" w:rsidRPr="003D1614" w:rsidRDefault="00AE0E70" w:rsidP="00AE0E70">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129.200</w:t>
            </w:r>
          </w:p>
        </w:tc>
        <w:tc>
          <w:tcPr>
            <w:tcW w:w="733" w:type="pct"/>
            <w:shd w:val="clear" w:color="auto" w:fill="auto"/>
            <w:vAlign w:val="bottom"/>
          </w:tcPr>
          <w:p w14:paraId="24E63026" w14:textId="77777777" w:rsidR="00AE0E70" w:rsidRPr="000276E6" w:rsidRDefault="00AE0E70" w:rsidP="00AE0E70">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0276E6">
              <w:rPr>
                <w:rFonts w:ascii="Arial" w:hAnsi="Arial" w:cs="Arial"/>
                <w:sz w:val="18"/>
                <w:szCs w:val="18"/>
              </w:rPr>
              <w:t>71.761</w:t>
            </w:r>
          </w:p>
        </w:tc>
        <w:tc>
          <w:tcPr>
            <w:tcW w:w="732" w:type="pct"/>
            <w:tcBorders>
              <w:top w:val="nil"/>
              <w:left w:val="nil"/>
              <w:bottom w:val="nil"/>
              <w:right w:val="nil"/>
            </w:tcBorders>
            <w:shd w:val="clear" w:color="auto" w:fill="auto"/>
            <w:vAlign w:val="bottom"/>
          </w:tcPr>
          <w:p w14:paraId="2DD1E312" w14:textId="77777777" w:rsidR="00AE0E70" w:rsidRPr="00617755" w:rsidRDefault="00AE0E70" w:rsidP="00AE0E70">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Pr>
                <w:rFonts w:ascii="Arial" w:eastAsia="Times New Roman" w:hAnsi="Arial" w:cs="Arial"/>
                <w:snapToGrid w:val="0"/>
                <w:color w:val="000000" w:themeColor="text1"/>
                <w:sz w:val="18"/>
                <w:szCs w:val="18"/>
              </w:rPr>
              <w:t>126.896</w:t>
            </w:r>
          </w:p>
        </w:tc>
        <w:tc>
          <w:tcPr>
            <w:tcW w:w="733" w:type="pct"/>
            <w:shd w:val="clear" w:color="auto" w:fill="auto"/>
            <w:vAlign w:val="bottom"/>
          </w:tcPr>
          <w:p w14:paraId="6800E508" w14:textId="77777777" w:rsidR="00AE0E70" w:rsidRPr="00FB65D9" w:rsidRDefault="00AE0E70" w:rsidP="00AE0E70">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FB65D9">
              <w:rPr>
                <w:rFonts w:ascii="Arial" w:hAnsi="Arial" w:cs="Arial"/>
                <w:color w:val="000000" w:themeColor="text1"/>
                <w:sz w:val="18"/>
                <w:szCs w:val="18"/>
              </w:rPr>
              <w:t xml:space="preserve"> 69.456 </w:t>
            </w:r>
          </w:p>
        </w:tc>
      </w:tr>
      <w:tr w:rsidR="00AE0E70" w:rsidRPr="003D1614" w14:paraId="2BC3D182" w14:textId="77777777" w:rsidTr="0008792D">
        <w:tc>
          <w:tcPr>
            <w:tcW w:w="2070" w:type="pct"/>
          </w:tcPr>
          <w:p w14:paraId="33184B51" w14:textId="77777777" w:rsidR="00AE0E70" w:rsidRPr="003D1614" w:rsidRDefault="00AE0E70" w:rsidP="00AE0E70">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599" w:name="_Toc67329193"/>
            <w:r w:rsidRPr="003D1614">
              <w:rPr>
                <w:rFonts w:ascii="Arial" w:eastAsia="Times New Roman" w:hAnsi="Arial" w:cs="Arial"/>
                <w:color w:val="000000" w:themeColor="text1"/>
                <w:sz w:val="18"/>
                <w:szCs w:val="18"/>
              </w:rPr>
              <w:t>Krediti financijskim institucijama</w:t>
            </w:r>
            <w:bookmarkEnd w:id="599"/>
          </w:p>
        </w:tc>
        <w:tc>
          <w:tcPr>
            <w:tcW w:w="732" w:type="pct"/>
            <w:tcBorders>
              <w:top w:val="nil"/>
              <w:left w:val="nil"/>
              <w:bottom w:val="nil"/>
              <w:right w:val="nil"/>
            </w:tcBorders>
            <w:shd w:val="clear" w:color="auto" w:fill="auto"/>
            <w:vAlign w:val="bottom"/>
          </w:tcPr>
          <w:p w14:paraId="460E3260" w14:textId="4159F040" w:rsidR="00AE0E70" w:rsidRPr="003D1614" w:rsidRDefault="00AE0E70" w:rsidP="00AE0E70">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1.138.066</w:t>
            </w:r>
          </w:p>
        </w:tc>
        <w:tc>
          <w:tcPr>
            <w:tcW w:w="733" w:type="pct"/>
            <w:shd w:val="clear" w:color="auto" w:fill="auto"/>
            <w:vAlign w:val="bottom"/>
          </w:tcPr>
          <w:p w14:paraId="29AF5F73" w14:textId="77777777" w:rsidR="00AE0E70" w:rsidRPr="000276E6" w:rsidRDefault="00AE0E70" w:rsidP="00AE0E70">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0276E6">
              <w:rPr>
                <w:rFonts w:ascii="Arial" w:hAnsi="Arial" w:cs="Arial"/>
                <w:sz w:val="18"/>
                <w:szCs w:val="18"/>
              </w:rPr>
              <w:t>1.248.881</w:t>
            </w:r>
          </w:p>
        </w:tc>
        <w:tc>
          <w:tcPr>
            <w:tcW w:w="732" w:type="pct"/>
            <w:tcBorders>
              <w:top w:val="nil"/>
              <w:left w:val="nil"/>
              <w:bottom w:val="nil"/>
              <w:right w:val="nil"/>
            </w:tcBorders>
            <w:shd w:val="clear" w:color="auto" w:fill="auto"/>
            <w:vAlign w:val="bottom"/>
          </w:tcPr>
          <w:p w14:paraId="47ED78B2" w14:textId="77777777" w:rsidR="00AE0E70" w:rsidRPr="00617755" w:rsidRDefault="00AE0E70" w:rsidP="00AE0E70">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Pr>
                <w:rFonts w:ascii="Arial" w:eastAsia="Times New Roman" w:hAnsi="Arial" w:cs="Arial"/>
                <w:snapToGrid w:val="0"/>
                <w:color w:val="000000" w:themeColor="text1"/>
                <w:sz w:val="18"/>
                <w:szCs w:val="18"/>
              </w:rPr>
              <w:t>1.138.066</w:t>
            </w:r>
          </w:p>
        </w:tc>
        <w:tc>
          <w:tcPr>
            <w:tcW w:w="733" w:type="pct"/>
            <w:shd w:val="clear" w:color="auto" w:fill="auto"/>
            <w:vAlign w:val="bottom"/>
          </w:tcPr>
          <w:p w14:paraId="7C3C2E29" w14:textId="77777777" w:rsidR="00AE0E70" w:rsidRPr="00FB65D9" w:rsidRDefault="00AE0E70" w:rsidP="00AE0E70">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FB65D9">
              <w:rPr>
                <w:rFonts w:ascii="Arial" w:hAnsi="Arial" w:cs="Arial"/>
                <w:color w:val="000000" w:themeColor="text1"/>
                <w:sz w:val="18"/>
                <w:szCs w:val="18"/>
              </w:rPr>
              <w:t xml:space="preserve"> 1.248.881 </w:t>
            </w:r>
          </w:p>
        </w:tc>
      </w:tr>
      <w:tr w:rsidR="00AE0E70" w:rsidRPr="003D1614" w14:paraId="11FAECD3" w14:textId="77777777" w:rsidTr="0008792D">
        <w:tc>
          <w:tcPr>
            <w:tcW w:w="2070" w:type="pct"/>
          </w:tcPr>
          <w:p w14:paraId="12493063" w14:textId="77777777" w:rsidR="00AE0E70" w:rsidRPr="003D1614" w:rsidRDefault="00AE0E70" w:rsidP="00AE0E70">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00" w:name="_Toc67329198"/>
            <w:r w:rsidRPr="003D1614">
              <w:rPr>
                <w:rFonts w:ascii="Arial" w:eastAsia="Times New Roman" w:hAnsi="Arial" w:cs="Arial"/>
                <w:color w:val="000000" w:themeColor="text1"/>
                <w:sz w:val="18"/>
                <w:szCs w:val="18"/>
              </w:rPr>
              <w:t>Krediti ostalim korisnicima</w:t>
            </w:r>
            <w:bookmarkEnd w:id="600"/>
          </w:p>
        </w:tc>
        <w:tc>
          <w:tcPr>
            <w:tcW w:w="732" w:type="pct"/>
            <w:tcBorders>
              <w:top w:val="nil"/>
              <w:left w:val="nil"/>
              <w:bottom w:val="nil"/>
              <w:right w:val="nil"/>
            </w:tcBorders>
            <w:shd w:val="clear" w:color="auto" w:fill="auto"/>
            <w:vAlign w:val="bottom"/>
          </w:tcPr>
          <w:p w14:paraId="1CD1F65F" w14:textId="3262928E" w:rsidR="00AE0E70" w:rsidRPr="003D1614" w:rsidRDefault="00AE0E70" w:rsidP="00AE0E70">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2.337.844</w:t>
            </w:r>
          </w:p>
        </w:tc>
        <w:tc>
          <w:tcPr>
            <w:tcW w:w="733" w:type="pct"/>
            <w:shd w:val="clear" w:color="auto" w:fill="auto"/>
            <w:vAlign w:val="bottom"/>
          </w:tcPr>
          <w:p w14:paraId="3DE55B07" w14:textId="77777777" w:rsidR="00AE0E70" w:rsidRPr="000276E6" w:rsidRDefault="00AE0E70" w:rsidP="00AE0E70">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0276E6">
              <w:rPr>
                <w:rFonts w:ascii="Arial" w:hAnsi="Arial" w:cs="Arial"/>
                <w:sz w:val="18"/>
                <w:szCs w:val="18"/>
              </w:rPr>
              <w:t>2.351.196</w:t>
            </w:r>
          </w:p>
        </w:tc>
        <w:tc>
          <w:tcPr>
            <w:tcW w:w="732" w:type="pct"/>
            <w:tcBorders>
              <w:top w:val="nil"/>
              <w:left w:val="nil"/>
              <w:bottom w:val="nil"/>
              <w:right w:val="nil"/>
            </w:tcBorders>
            <w:shd w:val="clear" w:color="auto" w:fill="auto"/>
            <w:vAlign w:val="bottom"/>
          </w:tcPr>
          <w:p w14:paraId="22E1DE15" w14:textId="77777777" w:rsidR="00AE0E70" w:rsidRPr="00617755" w:rsidRDefault="00AE0E70" w:rsidP="00AE0E70">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Pr>
                <w:rFonts w:ascii="Arial" w:eastAsia="Times New Roman" w:hAnsi="Arial" w:cs="Arial"/>
                <w:snapToGrid w:val="0"/>
                <w:color w:val="000000" w:themeColor="text1"/>
                <w:sz w:val="18"/>
                <w:szCs w:val="18"/>
              </w:rPr>
              <w:t>2.337.844</w:t>
            </w:r>
          </w:p>
        </w:tc>
        <w:tc>
          <w:tcPr>
            <w:tcW w:w="733" w:type="pct"/>
            <w:shd w:val="clear" w:color="auto" w:fill="auto"/>
            <w:vAlign w:val="bottom"/>
          </w:tcPr>
          <w:p w14:paraId="4E118A7E" w14:textId="77777777" w:rsidR="00AE0E70" w:rsidRPr="00FB65D9" w:rsidRDefault="00AE0E70" w:rsidP="00AE0E70">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FB65D9">
              <w:rPr>
                <w:rFonts w:ascii="Arial" w:hAnsi="Arial" w:cs="Arial"/>
                <w:color w:val="000000" w:themeColor="text1"/>
                <w:sz w:val="18"/>
                <w:szCs w:val="18"/>
              </w:rPr>
              <w:t xml:space="preserve"> 2.351.196 </w:t>
            </w:r>
          </w:p>
        </w:tc>
      </w:tr>
      <w:tr w:rsidR="00AE0E70" w:rsidRPr="003D1614" w14:paraId="19679BEF" w14:textId="77777777" w:rsidTr="0008792D">
        <w:tc>
          <w:tcPr>
            <w:tcW w:w="2070" w:type="pct"/>
          </w:tcPr>
          <w:p w14:paraId="625C2774" w14:textId="77777777" w:rsidR="00AE0E70" w:rsidRPr="003D1614" w:rsidRDefault="00AE0E70" w:rsidP="00AE0E70">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01" w:name="_Toc67329203"/>
            <w:r w:rsidRPr="003D1614">
              <w:rPr>
                <w:rFonts w:ascii="Arial" w:eastAsia="Times New Roman" w:hAnsi="Arial" w:cs="Arial"/>
                <w:color w:val="000000" w:themeColor="text1"/>
                <w:sz w:val="18"/>
                <w:szCs w:val="18"/>
              </w:rPr>
              <w:t>Financijska imovina po fer vrijednosti kroz dobit ili gubitak</w:t>
            </w:r>
            <w:bookmarkEnd w:id="601"/>
            <w:r w:rsidRPr="003D1614">
              <w:rPr>
                <w:rFonts w:ascii="Arial" w:eastAsia="Times New Roman" w:hAnsi="Arial" w:cs="Arial"/>
                <w:color w:val="000000" w:themeColor="text1"/>
                <w:sz w:val="18"/>
                <w:szCs w:val="18"/>
              </w:rPr>
              <w:t xml:space="preserve">      </w:t>
            </w:r>
          </w:p>
        </w:tc>
        <w:tc>
          <w:tcPr>
            <w:tcW w:w="732" w:type="pct"/>
            <w:tcBorders>
              <w:top w:val="nil"/>
              <w:left w:val="nil"/>
              <w:bottom w:val="nil"/>
              <w:right w:val="nil"/>
            </w:tcBorders>
            <w:shd w:val="clear" w:color="auto" w:fill="auto"/>
            <w:vAlign w:val="bottom"/>
          </w:tcPr>
          <w:p w14:paraId="04626DF4" w14:textId="0A9D1A1F" w:rsidR="00AE0E70" w:rsidRPr="003D1614" w:rsidRDefault="00AE0E70" w:rsidP="00AE0E70">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33.397</w:t>
            </w:r>
          </w:p>
        </w:tc>
        <w:tc>
          <w:tcPr>
            <w:tcW w:w="733" w:type="pct"/>
            <w:shd w:val="clear" w:color="auto" w:fill="auto"/>
            <w:vAlign w:val="bottom"/>
          </w:tcPr>
          <w:p w14:paraId="4F20D0D4" w14:textId="77777777" w:rsidR="00AE0E70" w:rsidRPr="000276E6" w:rsidRDefault="00AE0E70" w:rsidP="00AE0E70">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0276E6">
              <w:rPr>
                <w:rFonts w:ascii="Arial" w:hAnsi="Arial" w:cs="Arial"/>
                <w:sz w:val="18"/>
                <w:szCs w:val="18"/>
              </w:rPr>
              <w:t>33.709</w:t>
            </w:r>
          </w:p>
        </w:tc>
        <w:tc>
          <w:tcPr>
            <w:tcW w:w="732" w:type="pct"/>
            <w:tcBorders>
              <w:top w:val="nil"/>
              <w:left w:val="nil"/>
              <w:bottom w:val="nil"/>
              <w:right w:val="nil"/>
            </w:tcBorders>
            <w:shd w:val="clear" w:color="auto" w:fill="auto"/>
            <w:vAlign w:val="bottom"/>
          </w:tcPr>
          <w:p w14:paraId="38F82EC8" w14:textId="77777777" w:rsidR="00AE0E70" w:rsidRPr="00617755" w:rsidRDefault="00AE0E70" w:rsidP="00AE0E70">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Pr>
                <w:rFonts w:ascii="Arial" w:eastAsia="Times New Roman" w:hAnsi="Arial" w:cs="Arial"/>
                <w:snapToGrid w:val="0"/>
                <w:color w:val="000000" w:themeColor="text1"/>
                <w:sz w:val="18"/>
                <w:szCs w:val="18"/>
              </w:rPr>
              <w:t>33.397</w:t>
            </w:r>
          </w:p>
        </w:tc>
        <w:tc>
          <w:tcPr>
            <w:tcW w:w="733" w:type="pct"/>
            <w:shd w:val="clear" w:color="auto" w:fill="auto"/>
            <w:vAlign w:val="bottom"/>
          </w:tcPr>
          <w:p w14:paraId="2427795D" w14:textId="77777777" w:rsidR="00AE0E70" w:rsidRPr="00FB65D9" w:rsidRDefault="00AE0E70" w:rsidP="00AE0E70">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FB65D9">
              <w:rPr>
                <w:rFonts w:ascii="Arial" w:hAnsi="Arial" w:cs="Arial"/>
                <w:color w:val="000000" w:themeColor="text1"/>
                <w:sz w:val="18"/>
                <w:szCs w:val="18"/>
              </w:rPr>
              <w:t>33.709</w:t>
            </w:r>
          </w:p>
        </w:tc>
      </w:tr>
      <w:tr w:rsidR="00AE0E70" w:rsidRPr="003D1614" w14:paraId="606F1E5B" w14:textId="77777777" w:rsidTr="0008792D">
        <w:tc>
          <w:tcPr>
            <w:tcW w:w="2070" w:type="pct"/>
          </w:tcPr>
          <w:p w14:paraId="36D5EDAD" w14:textId="77777777" w:rsidR="00AE0E70" w:rsidRPr="003D1614" w:rsidRDefault="00AE0E70" w:rsidP="00AE0E70">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02" w:name="_Toc67329208"/>
            <w:r w:rsidRPr="003D1614">
              <w:rPr>
                <w:rFonts w:ascii="Arial" w:eastAsia="Times New Roman" w:hAnsi="Arial" w:cs="Arial"/>
                <w:color w:val="000000" w:themeColor="text1"/>
                <w:sz w:val="18"/>
                <w:szCs w:val="18"/>
              </w:rPr>
              <w:t>Financijska imovina po fer vrijednosti kroz ostalu sveobuhvatnu dobit</w:t>
            </w:r>
            <w:bookmarkEnd w:id="602"/>
            <w:r w:rsidRPr="003D1614">
              <w:rPr>
                <w:rFonts w:ascii="Arial" w:eastAsia="Times New Roman" w:hAnsi="Arial" w:cs="Arial"/>
                <w:color w:val="000000" w:themeColor="text1"/>
                <w:sz w:val="18"/>
                <w:szCs w:val="18"/>
              </w:rPr>
              <w:t xml:space="preserve">        </w:t>
            </w:r>
          </w:p>
        </w:tc>
        <w:tc>
          <w:tcPr>
            <w:tcW w:w="732" w:type="pct"/>
            <w:tcBorders>
              <w:top w:val="nil"/>
              <w:left w:val="nil"/>
              <w:bottom w:val="nil"/>
              <w:right w:val="nil"/>
            </w:tcBorders>
            <w:shd w:val="clear" w:color="auto" w:fill="auto"/>
            <w:vAlign w:val="bottom"/>
          </w:tcPr>
          <w:p w14:paraId="480BD51F" w14:textId="47FFC425" w:rsidR="00AE0E70" w:rsidRPr="003D1614" w:rsidRDefault="00AE0E70" w:rsidP="00AE0E70">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238.125</w:t>
            </w:r>
          </w:p>
        </w:tc>
        <w:tc>
          <w:tcPr>
            <w:tcW w:w="733" w:type="pct"/>
            <w:shd w:val="clear" w:color="auto" w:fill="auto"/>
            <w:vAlign w:val="bottom"/>
          </w:tcPr>
          <w:p w14:paraId="08FBE6D9" w14:textId="77777777" w:rsidR="00AE0E70" w:rsidRPr="000276E6" w:rsidRDefault="00AE0E70" w:rsidP="00AE0E70">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0276E6">
              <w:rPr>
                <w:rFonts w:ascii="Arial" w:hAnsi="Arial" w:cs="Arial"/>
                <w:sz w:val="18"/>
                <w:szCs w:val="18"/>
              </w:rPr>
              <w:t>227.434</w:t>
            </w:r>
          </w:p>
        </w:tc>
        <w:tc>
          <w:tcPr>
            <w:tcW w:w="732" w:type="pct"/>
            <w:tcBorders>
              <w:top w:val="nil"/>
              <w:left w:val="nil"/>
              <w:bottom w:val="nil"/>
              <w:right w:val="nil"/>
            </w:tcBorders>
            <w:shd w:val="clear" w:color="auto" w:fill="auto"/>
            <w:vAlign w:val="bottom"/>
          </w:tcPr>
          <w:p w14:paraId="42D3CB7A" w14:textId="77777777" w:rsidR="00AE0E70" w:rsidRPr="00617755" w:rsidRDefault="00AE0E70" w:rsidP="00AE0E70">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Pr>
                <w:rFonts w:ascii="Arial" w:eastAsia="Times New Roman" w:hAnsi="Arial" w:cs="Arial"/>
                <w:snapToGrid w:val="0"/>
                <w:color w:val="000000" w:themeColor="text1"/>
                <w:sz w:val="18"/>
                <w:szCs w:val="18"/>
              </w:rPr>
              <w:t>231.835</w:t>
            </w:r>
          </w:p>
        </w:tc>
        <w:tc>
          <w:tcPr>
            <w:tcW w:w="733" w:type="pct"/>
            <w:shd w:val="clear" w:color="auto" w:fill="auto"/>
            <w:vAlign w:val="bottom"/>
          </w:tcPr>
          <w:p w14:paraId="5231ED72" w14:textId="77777777" w:rsidR="00AE0E70" w:rsidRPr="00FB65D9" w:rsidRDefault="00AE0E70" w:rsidP="00AE0E70">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FB65D9">
              <w:rPr>
                <w:rFonts w:ascii="Arial" w:hAnsi="Arial" w:cs="Arial"/>
                <w:color w:val="000000" w:themeColor="text1"/>
                <w:sz w:val="18"/>
                <w:szCs w:val="18"/>
              </w:rPr>
              <w:t>221.093</w:t>
            </w:r>
          </w:p>
        </w:tc>
      </w:tr>
      <w:tr w:rsidR="00AE0E70" w:rsidRPr="003D1614" w14:paraId="380E143C" w14:textId="77777777" w:rsidTr="0008792D">
        <w:tc>
          <w:tcPr>
            <w:tcW w:w="2070" w:type="pct"/>
          </w:tcPr>
          <w:p w14:paraId="21EC7123" w14:textId="77777777" w:rsidR="00AE0E70" w:rsidRPr="003D1614" w:rsidRDefault="00AE0E70" w:rsidP="00AE0E70">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03" w:name="_Toc67329218"/>
            <w:r w:rsidRPr="003D1614">
              <w:rPr>
                <w:rFonts w:ascii="Arial" w:eastAsia="Times New Roman" w:hAnsi="Arial" w:cs="Arial"/>
                <w:color w:val="000000" w:themeColor="text1"/>
                <w:sz w:val="18"/>
                <w:szCs w:val="18"/>
              </w:rPr>
              <w:t>Ostala imovina</w:t>
            </w:r>
            <w:bookmarkEnd w:id="603"/>
          </w:p>
        </w:tc>
        <w:tc>
          <w:tcPr>
            <w:tcW w:w="732" w:type="pct"/>
            <w:tcBorders>
              <w:top w:val="nil"/>
              <w:left w:val="nil"/>
              <w:bottom w:val="single" w:sz="4" w:space="0" w:color="auto"/>
              <w:right w:val="nil"/>
            </w:tcBorders>
            <w:shd w:val="clear" w:color="auto" w:fill="auto"/>
            <w:vAlign w:val="bottom"/>
          </w:tcPr>
          <w:p w14:paraId="06BD0AA9" w14:textId="3A1491B7" w:rsidR="00AE0E70" w:rsidRPr="003D1614" w:rsidRDefault="00AE0E70" w:rsidP="00AE0E70">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1.999</w:t>
            </w:r>
          </w:p>
        </w:tc>
        <w:tc>
          <w:tcPr>
            <w:tcW w:w="733" w:type="pct"/>
            <w:tcBorders>
              <w:bottom w:val="single" w:sz="6" w:space="0" w:color="auto"/>
            </w:tcBorders>
            <w:shd w:val="clear" w:color="auto" w:fill="auto"/>
            <w:vAlign w:val="bottom"/>
          </w:tcPr>
          <w:p w14:paraId="1D4E98B0" w14:textId="77777777" w:rsidR="00AE0E70" w:rsidRPr="000276E6" w:rsidRDefault="00AE0E70" w:rsidP="00AE0E70">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0276E6">
              <w:rPr>
                <w:rFonts w:ascii="Arial" w:hAnsi="Arial" w:cs="Arial"/>
                <w:sz w:val="18"/>
                <w:szCs w:val="18"/>
              </w:rPr>
              <w:t>1.840</w:t>
            </w:r>
          </w:p>
        </w:tc>
        <w:tc>
          <w:tcPr>
            <w:tcW w:w="732" w:type="pct"/>
            <w:tcBorders>
              <w:top w:val="nil"/>
              <w:left w:val="nil"/>
              <w:bottom w:val="single" w:sz="4" w:space="0" w:color="auto"/>
              <w:right w:val="nil"/>
            </w:tcBorders>
            <w:shd w:val="clear" w:color="auto" w:fill="auto"/>
            <w:vAlign w:val="bottom"/>
          </w:tcPr>
          <w:p w14:paraId="6B44609E" w14:textId="77777777" w:rsidR="00AE0E70" w:rsidRPr="00617755" w:rsidRDefault="00AE0E70" w:rsidP="00AE0E70">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Pr>
                <w:rFonts w:ascii="Arial" w:eastAsia="Times New Roman" w:hAnsi="Arial" w:cs="Arial"/>
                <w:snapToGrid w:val="0"/>
                <w:color w:val="000000" w:themeColor="text1"/>
                <w:sz w:val="18"/>
                <w:szCs w:val="18"/>
              </w:rPr>
              <w:t>1.162</w:t>
            </w:r>
          </w:p>
        </w:tc>
        <w:tc>
          <w:tcPr>
            <w:tcW w:w="733" w:type="pct"/>
            <w:tcBorders>
              <w:bottom w:val="single" w:sz="6" w:space="0" w:color="auto"/>
            </w:tcBorders>
            <w:shd w:val="clear" w:color="auto" w:fill="auto"/>
            <w:vAlign w:val="bottom"/>
          </w:tcPr>
          <w:p w14:paraId="393B6E95" w14:textId="77777777" w:rsidR="00AE0E70" w:rsidRPr="00FB65D9" w:rsidRDefault="00AE0E70" w:rsidP="00AE0E70">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FB65D9">
              <w:rPr>
                <w:rFonts w:ascii="Arial" w:hAnsi="Arial" w:cs="Arial"/>
                <w:color w:val="000000" w:themeColor="text1"/>
                <w:sz w:val="18"/>
                <w:szCs w:val="18"/>
              </w:rPr>
              <w:t xml:space="preserve"> 1.080 </w:t>
            </w:r>
          </w:p>
        </w:tc>
      </w:tr>
      <w:tr w:rsidR="00AE0E70" w:rsidRPr="003D1614" w14:paraId="7EB2874F" w14:textId="77777777" w:rsidTr="0008792D">
        <w:trPr>
          <w:trHeight w:val="327"/>
        </w:trPr>
        <w:tc>
          <w:tcPr>
            <w:tcW w:w="2070" w:type="pct"/>
            <w:vAlign w:val="bottom"/>
          </w:tcPr>
          <w:p w14:paraId="0F2B0DED" w14:textId="77777777" w:rsidR="00AE0E70" w:rsidRPr="003D1614" w:rsidRDefault="00AE0E70" w:rsidP="00AE0E70">
            <w:pPr>
              <w:tabs>
                <w:tab w:val="right" w:pos="1202"/>
              </w:tabs>
              <w:suppressAutoHyphens/>
              <w:autoSpaceDN w:val="0"/>
              <w:spacing w:line="340" w:lineRule="exact"/>
              <w:outlineLvl w:val="0"/>
              <w:rPr>
                <w:rFonts w:ascii="Arial" w:eastAsia="Times New Roman" w:hAnsi="Arial" w:cs="Arial"/>
                <w:b/>
                <w:bCs/>
                <w:color w:val="000000" w:themeColor="text1"/>
                <w:sz w:val="18"/>
                <w:szCs w:val="18"/>
              </w:rPr>
            </w:pPr>
            <w:bookmarkStart w:id="604" w:name="_Toc67329223"/>
            <w:r w:rsidRPr="003D1614">
              <w:rPr>
                <w:rFonts w:ascii="Arial" w:eastAsia="Times New Roman" w:hAnsi="Arial" w:cs="Arial"/>
                <w:b/>
                <w:bCs/>
                <w:color w:val="000000" w:themeColor="text1"/>
                <w:sz w:val="18"/>
                <w:szCs w:val="18"/>
              </w:rPr>
              <w:t>Ukupno</w:t>
            </w:r>
            <w:bookmarkEnd w:id="604"/>
          </w:p>
        </w:tc>
        <w:tc>
          <w:tcPr>
            <w:tcW w:w="732" w:type="pct"/>
            <w:tcBorders>
              <w:top w:val="single" w:sz="4" w:space="0" w:color="auto"/>
              <w:bottom w:val="single" w:sz="12" w:space="0" w:color="auto"/>
            </w:tcBorders>
            <w:vAlign w:val="bottom"/>
          </w:tcPr>
          <w:p w14:paraId="01C2058F" w14:textId="4226DDE4" w:rsidR="00AE0E70" w:rsidRPr="003D1614" w:rsidRDefault="00AE0E70" w:rsidP="00AE0E70">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3.956.003</w:t>
            </w:r>
          </w:p>
        </w:tc>
        <w:tc>
          <w:tcPr>
            <w:tcW w:w="733" w:type="pct"/>
            <w:tcBorders>
              <w:top w:val="single" w:sz="6" w:space="0" w:color="auto"/>
              <w:bottom w:val="single" w:sz="12" w:space="0" w:color="auto"/>
            </w:tcBorders>
            <w:vAlign w:val="bottom"/>
          </w:tcPr>
          <w:p w14:paraId="0B5BE4DE" w14:textId="77777777" w:rsidR="00AE0E70" w:rsidRPr="000276E6" w:rsidRDefault="00AE0E70" w:rsidP="00AE0E70">
            <w:pPr>
              <w:tabs>
                <w:tab w:val="right" w:pos="1202"/>
              </w:tabs>
              <w:suppressAutoHyphens/>
              <w:autoSpaceDN w:val="0"/>
              <w:spacing w:line="301" w:lineRule="exact"/>
              <w:jc w:val="right"/>
              <w:outlineLvl w:val="0"/>
              <w:rPr>
                <w:rFonts w:ascii="Arial" w:eastAsia="Times New Roman" w:hAnsi="Arial" w:cs="Arial"/>
                <w:b/>
                <w:bCs/>
                <w:snapToGrid w:val="0"/>
                <w:color w:val="000000" w:themeColor="text1"/>
                <w:sz w:val="18"/>
                <w:szCs w:val="18"/>
              </w:rPr>
            </w:pPr>
            <w:r w:rsidRPr="000276E6">
              <w:rPr>
                <w:rFonts w:ascii="Arial" w:hAnsi="Arial" w:cs="Arial"/>
                <w:b/>
                <w:bCs/>
                <w:color w:val="000000" w:themeColor="text1"/>
                <w:sz w:val="18"/>
                <w:szCs w:val="18"/>
              </w:rPr>
              <w:t>3.976.954</w:t>
            </w:r>
          </w:p>
        </w:tc>
        <w:tc>
          <w:tcPr>
            <w:tcW w:w="732" w:type="pct"/>
            <w:tcBorders>
              <w:top w:val="single" w:sz="4" w:space="0" w:color="auto"/>
              <w:bottom w:val="single" w:sz="12" w:space="0" w:color="auto"/>
            </w:tcBorders>
            <w:vAlign w:val="bottom"/>
          </w:tcPr>
          <w:p w14:paraId="5F67C8AE" w14:textId="77777777" w:rsidR="00AE0E70" w:rsidRPr="003D1614" w:rsidRDefault="00AE0E70" w:rsidP="00AE0E70">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3.946.153</w:t>
            </w:r>
          </w:p>
        </w:tc>
        <w:tc>
          <w:tcPr>
            <w:tcW w:w="733" w:type="pct"/>
            <w:tcBorders>
              <w:top w:val="single" w:sz="6" w:space="0" w:color="auto"/>
              <w:bottom w:val="single" w:sz="12" w:space="0" w:color="auto"/>
            </w:tcBorders>
            <w:vAlign w:val="bottom"/>
          </w:tcPr>
          <w:p w14:paraId="2B8A963E" w14:textId="77777777" w:rsidR="00AE0E70" w:rsidRPr="00FB65D9" w:rsidRDefault="00AE0E70" w:rsidP="00AE0E70">
            <w:pPr>
              <w:tabs>
                <w:tab w:val="right" w:pos="1202"/>
              </w:tabs>
              <w:suppressAutoHyphens/>
              <w:autoSpaceDN w:val="0"/>
              <w:spacing w:line="301" w:lineRule="exact"/>
              <w:jc w:val="right"/>
              <w:outlineLvl w:val="0"/>
              <w:rPr>
                <w:rFonts w:ascii="Arial" w:eastAsia="Times New Roman" w:hAnsi="Arial" w:cs="Arial"/>
                <w:b/>
                <w:bCs/>
                <w:snapToGrid w:val="0"/>
                <w:color w:val="000000" w:themeColor="text1"/>
                <w:sz w:val="18"/>
                <w:szCs w:val="18"/>
              </w:rPr>
            </w:pPr>
            <w:r w:rsidRPr="00FB65D9">
              <w:rPr>
                <w:rFonts w:ascii="Arial" w:hAnsi="Arial" w:cs="Arial"/>
                <w:b/>
                <w:bCs/>
                <w:color w:val="000000" w:themeColor="text1"/>
                <w:sz w:val="18"/>
                <w:szCs w:val="18"/>
              </w:rPr>
              <w:t>3.966.958</w:t>
            </w:r>
          </w:p>
        </w:tc>
      </w:tr>
      <w:tr w:rsidR="00AE0E70" w:rsidRPr="003D1614" w14:paraId="1BDF52F1" w14:textId="77777777" w:rsidTr="0008792D">
        <w:tc>
          <w:tcPr>
            <w:tcW w:w="2070" w:type="pct"/>
          </w:tcPr>
          <w:p w14:paraId="21FDEA25" w14:textId="77777777" w:rsidR="00AE0E70" w:rsidRPr="003D1614" w:rsidRDefault="00AE0E70" w:rsidP="00AE0E70">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05" w:name="_Toc67329228"/>
            <w:r w:rsidRPr="003D1614">
              <w:rPr>
                <w:rFonts w:ascii="Arial" w:eastAsia="Times New Roman" w:hAnsi="Arial" w:cs="Arial"/>
                <w:b/>
                <w:bCs/>
                <w:color w:val="000000" w:themeColor="text1"/>
                <w:sz w:val="18"/>
                <w:szCs w:val="18"/>
              </w:rPr>
              <w:t>Garancije i preuzete obveze</w:t>
            </w:r>
            <w:bookmarkEnd w:id="605"/>
          </w:p>
        </w:tc>
        <w:tc>
          <w:tcPr>
            <w:tcW w:w="732" w:type="pct"/>
            <w:tcBorders>
              <w:top w:val="single" w:sz="12" w:space="0" w:color="auto"/>
            </w:tcBorders>
            <w:vAlign w:val="bottom"/>
          </w:tcPr>
          <w:p w14:paraId="250C5E71" w14:textId="77777777" w:rsidR="00AE0E70" w:rsidRPr="003D1614" w:rsidRDefault="00AE0E70" w:rsidP="00AE0E70">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733" w:type="pct"/>
            <w:tcBorders>
              <w:top w:val="single" w:sz="12" w:space="0" w:color="auto"/>
            </w:tcBorders>
            <w:vAlign w:val="bottom"/>
          </w:tcPr>
          <w:p w14:paraId="668FD616" w14:textId="77777777" w:rsidR="00AE0E70" w:rsidRPr="000276E6" w:rsidRDefault="00AE0E70" w:rsidP="00AE0E70">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p>
        </w:tc>
        <w:tc>
          <w:tcPr>
            <w:tcW w:w="732" w:type="pct"/>
            <w:tcBorders>
              <w:top w:val="single" w:sz="12" w:space="0" w:color="auto"/>
            </w:tcBorders>
            <w:vAlign w:val="bottom"/>
          </w:tcPr>
          <w:p w14:paraId="3714FD4F" w14:textId="77777777" w:rsidR="00AE0E70" w:rsidRPr="003D1614" w:rsidRDefault="00AE0E70" w:rsidP="00AE0E70">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733" w:type="pct"/>
            <w:tcBorders>
              <w:top w:val="single" w:sz="12" w:space="0" w:color="auto"/>
            </w:tcBorders>
            <w:vAlign w:val="bottom"/>
          </w:tcPr>
          <w:p w14:paraId="3B468815" w14:textId="77777777" w:rsidR="00AE0E70" w:rsidRPr="00FB65D9" w:rsidRDefault="00AE0E70" w:rsidP="00AE0E70">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p>
        </w:tc>
      </w:tr>
      <w:tr w:rsidR="00AE0E70" w:rsidRPr="003D1614" w14:paraId="0DD7F8A5" w14:textId="77777777" w:rsidTr="0008792D">
        <w:tc>
          <w:tcPr>
            <w:tcW w:w="2070" w:type="pct"/>
          </w:tcPr>
          <w:p w14:paraId="617D9BB3" w14:textId="77777777" w:rsidR="00AE0E70" w:rsidRPr="00711634" w:rsidRDefault="00AE0E70" w:rsidP="00AE0E70">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06" w:name="_Toc67329229"/>
            <w:r w:rsidRPr="00711634">
              <w:rPr>
                <w:rFonts w:ascii="Arial" w:eastAsia="Times New Roman" w:hAnsi="Arial" w:cs="Arial"/>
                <w:color w:val="000000" w:themeColor="text1"/>
                <w:sz w:val="18"/>
                <w:szCs w:val="18"/>
              </w:rPr>
              <w:t>Izdane garancije</w:t>
            </w:r>
            <w:bookmarkEnd w:id="606"/>
          </w:p>
        </w:tc>
        <w:tc>
          <w:tcPr>
            <w:tcW w:w="732" w:type="pct"/>
            <w:tcBorders>
              <w:top w:val="nil"/>
              <w:left w:val="nil"/>
              <w:bottom w:val="nil"/>
              <w:right w:val="nil"/>
            </w:tcBorders>
            <w:shd w:val="clear" w:color="auto" w:fill="auto"/>
            <w:vAlign w:val="bottom"/>
          </w:tcPr>
          <w:p w14:paraId="2ACB0C0D" w14:textId="681B4772" w:rsidR="00AE0E70" w:rsidRPr="002973F3" w:rsidRDefault="00AE0E70" w:rsidP="00AE0E70">
            <w:pPr>
              <w:tabs>
                <w:tab w:val="right" w:pos="1202"/>
              </w:tabs>
              <w:suppressAutoHyphens/>
              <w:autoSpaceDN w:val="0"/>
              <w:spacing w:line="301" w:lineRule="exact"/>
              <w:jc w:val="right"/>
              <w:outlineLvl w:val="0"/>
              <w:rPr>
                <w:rFonts w:ascii="Arial" w:eastAsia="Times New Roman" w:hAnsi="Arial" w:cs="Arial"/>
                <w:color w:val="000000" w:themeColor="text1"/>
                <w:sz w:val="18"/>
                <w:szCs w:val="18"/>
                <w:highlight w:val="yellow"/>
              </w:rPr>
            </w:pPr>
            <w:r w:rsidRPr="006959D8">
              <w:rPr>
                <w:rFonts w:ascii="Arial" w:eastAsia="Times New Roman" w:hAnsi="Arial" w:cs="Arial"/>
                <w:color w:val="000000" w:themeColor="text1"/>
                <w:sz w:val="18"/>
                <w:szCs w:val="18"/>
              </w:rPr>
              <w:t>27.472</w:t>
            </w:r>
          </w:p>
        </w:tc>
        <w:tc>
          <w:tcPr>
            <w:tcW w:w="733" w:type="pct"/>
            <w:shd w:val="clear" w:color="auto" w:fill="auto"/>
            <w:vAlign w:val="bottom"/>
          </w:tcPr>
          <w:p w14:paraId="4A9A2963" w14:textId="77777777" w:rsidR="00AE0E70" w:rsidRPr="000276E6" w:rsidRDefault="00AE0E70" w:rsidP="00AE0E70">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0276E6">
              <w:rPr>
                <w:rFonts w:ascii="Arial" w:hAnsi="Arial" w:cs="Arial"/>
                <w:sz w:val="18"/>
                <w:szCs w:val="18"/>
              </w:rPr>
              <w:t>44.545</w:t>
            </w:r>
          </w:p>
        </w:tc>
        <w:tc>
          <w:tcPr>
            <w:tcW w:w="732" w:type="pct"/>
            <w:tcBorders>
              <w:top w:val="nil"/>
              <w:left w:val="nil"/>
              <w:bottom w:val="nil"/>
              <w:right w:val="nil"/>
            </w:tcBorders>
            <w:shd w:val="clear" w:color="auto" w:fill="auto"/>
            <w:vAlign w:val="bottom"/>
          </w:tcPr>
          <w:p w14:paraId="17328C91" w14:textId="77777777" w:rsidR="00AE0E70" w:rsidRPr="00773909" w:rsidRDefault="00AE0E70" w:rsidP="00AE0E70">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73909">
              <w:rPr>
                <w:rFonts w:ascii="Arial" w:eastAsia="Times New Roman" w:hAnsi="Arial" w:cs="Arial"/>
                <w:color w:val="000000" w:themeColor="text1"/>
                <w:sz w:val="18"/>
                <w:szCs w:val="18"/>
              </w:rPr>
              <w:t>27.472</w:t>
            </w:r>
          </w:p>
        </w:tc>
        <w:tc>
          <w:tcPr>
            <w:tcW w:w="733" w:type="pct"/>
            <w:shd w:val="clear" w:color="auto" w:fill="auto"/>
            <w:vAlign w:val="bottom"/>
          </w:tcPr>
          <w:p w14:paraId="094742BD" w14:textId="77777777" w:rsidR="00AE0E70" w:rsidRPr="00FB65D9" w:rsidRDefault="00AE0E70" w:rsidP="00AE0E70">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FB65D9">
              <w:rPr>
                <w:rFonts w:ascii="Arial" w:hAnsi="Arial" w:cs="Arial"/>
                <w:snapToGrid w:val="0"/>
                <w:color w:val="000000" w:themeColor="text1"/>
                <w:sz w:val="18"/>
                <w:szCs w:val="18"/>
              </w:rPr>
              <w:t xml:space="preserve"> 44.545 </w:t>
            </w:r>
          </w:p>
        </w:tc>
      </w:tr>
      <w:tr w:rsidR="00AE0E70" w:rsidRPr="003D1614" w14:paraId="681B6C37" w14:textId="77777777" w:rsidTr="0008792D">
        <w:tc>
          <w:tcPr>
            <w:tcW w:w="2070" w:type="pct"/>
          </w:tcPr>
          <w:p w14:paraId="316A9D52" w14:textId="77777777" w:rsidR="00AE0E70" w:rsidRPr="00711634" w:rsidRDefault="00AE0E70" w:rsidP="00AE0E70">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07" w:name="_Toc67329234"/>
            <w:r w:rsidRPr="00711634">
              <w:rPr>
                <w:rFonts w:ascii="Arial" w:eastAsia="Times New Roman" w:hAnsi="Arial" w:cs="Arial"/>
                <w:color w:val="000000" w:themeColor="text1"/>
                <w:sz w:val="18"/>
                <w:szCs w:val="18"/>
              </w:rPr>
              <w:t>Izdane garancije u devizama</w:t>
            </w:r>
            <w:bookmarkEnd w:id="607"/>
          </w:p>
        </w:tc>
        <w:tc>
          <w:tcPr>
            <w:tcW w:w="732" w:type="pct"/>
            <w:tcBorders>
              <w:top w:val="nil"/>
              <w:left w:val="nil"/>
              <w:bottom w:val="nil"/>
              <w:right w:val="nil"/>
            </w:tcBorders>
            <w:shd w:val="clear" w:color="auto" w:fill="auto"/>
            <w:vAlign w:val="bottom"/>
          </w:tcPr>
          <w:p w14:paraId="62222249" w14:textId="7990D586" w:rsidR="00AE0E70" w:rsidRPr="002973F3" w:rsidRDefault="00AE0E70" w:rsidP="00AE0E70">
            <w:pPr>
              <w:tabs>
                <w:tab w:val="right" w:pos="1202"/>
              </w:tabs>
              <w:suppressAutoHyphens/>
              <w:autoSpaceDN w:val="0"/>
              <w:spacing w:line="301" w:lineRule="exact"/>
              <w:jc w:val="right"/>
              <w:outlineLvl w:val="0"/>
              <w:rPr>
                <w:rFonts w:ascii="Arial" w:eastAsia="Times New Roman" w:hAnsi="Arial" w:cs="Arial"/>
                <w:color w:val="000000" w:themeColor="text1"/>
                <w:sz w:val="18"/>
                <w:szCs w:val="18"/>
                <w:highlight w:val="yellow"/>
              </w:rPr>
            </w:pPr>
            <w:r w:rsidRPr="006959D8">
              <w:rPr>
                <w:rFonts w:ascii="Arial" w:eastAsia="Times New Roman" w:hAnsi="Arial" w:cs="Arial"/>
                <w:color w:val="000000" w:themeColor="text1"/>
                <w:sz w:val="18"/>
                <w:szCs w:val="18"/>
              </w:rPr>
              <w:t>5.155</w:t>
            </w:r>
          </w:p>
        </w:tc>
        <w:tc>
          <w:tcPr>
            <w:tcW w:w="733" w:type="pct"/>
            <w:shd w:val="clear" w:color="auto" w:fill="auto"/>
            <w:vAlign w:val="bottom"/>
          </w:tcPr>
          <w:p w14:paraId="528A4002" w14:textId="77777777" w:rsidR="00AE0E70" w:rsidRPr="000276E6" w:rsidRDefault="00AE0E70" w:rsidP="00AE0E70">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0276E6">
              <w:rPr>
                <w:rFonts w:ascii="Arial" w:hAnsi="Arial" w:cs="Arial"/>
                <w:sz w:val="18"/>
                <w:szCs w:val="18"/>
              </w:rPr>
              <w:t>5.357</w:t>
            </w:r>
          </w:p>
        </w:tc>
        <w:tc>
          <w:tcPr>
            <w:tcW w:w="732" w:type="pct"/>
            <w:tcBorders>
              <w:top w:val="nil"/>
              <w:left w:val="nil"/>
              <w:bottom w:val="nil"/>
              <w:right w:val="nil"/>
            </w:tcBorders>
            <w:shd w:val="clear" w:color="auto" w:fill="auto"/>
            <w:vAlign w:val="bottom"/>
          </w:tcPr>
          <w:p w14:paraId="1CC65F60" w14:textId="77777777" w:rsidR="00AE0E70" w:rsidRPr="00773909" w:rsidRDefault="00AE0E70" w:rsidP="00AE0E70">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73909">
              <w:rPr>
                <w:rFonts w:ascii="Arial" w:eastAsia="Times New Roman" w:hAnsi="Arial" w:cs="Arial"/>
                <w:color w:val="000000" w:themeColor="text1"/>
                <w:sz w:val="18"/>
                <w:szCs w:val="18"/>
              </w:rPr>
              <w:t>5.155</w:t>
            </w:r>
          </w:p>
        </w:tc>
        <w:tc>
          <w:tcPr>
            <w:tcW w:w="733" w:type="pct"/>
            <w:shd w:val="clear" w:color="auto" w:fill="auto"/>
            <w:vAlign w:val="bottom"/>
          </w:tcPr>
          <w:p w14:paraId="0145A6C4" w14:textId="77777777" w:rsidR="00AE0E70" w:rsidRPr="00FB65D9" w:rsidRDefault="00AE0E70" w:rsidP="00AE0E70">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FB65D9">
              <w:rPr>
                <w:rFonts w:ascii="Arial" w:hAnsi="Arial" w:cs="Arial"/>
                <w:snapToGrid w:val="0"/>
                <w:color w:val="000000" w:themeColor="text1"/>
                <w:sz w:val="18"/>
                <w:szCs w:val="18"/>
              </w:rPr>
              <w:t xml:space="preserve"> 5.357 </w:t>
            </w:r>
          </w:p>
        </w:tc>
      </w:tr>
      <w:tr w:rsidR="00AE0E70" w:rsidRPr="003D1614" w14:paraId="780F287A" w14:textId="77777777" w:rsidTr="0008792D">
        <w:tc>
          <w:tcPr>
            <w:tcW w:w="2070" w:type="pct"/>
          </w:tcPr>
          <w:p w14:paraId="7F1370F7" w14:textId="77777777" w:rsidR="00AE0E70" w:rsidRPr="003D1614" w:rsidRDefault="00AE0E70" w:rsidP="00AE0E70">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08" w:name="_Toc67329244"/>
            <w:r w:rsidRPr="003D1614">
              <w:rPr>
                <w:rFonts w:ascii="Arial" w:eastAsia="Times New Roman" w:hAnsi="Arial" w:cs="Arial"/>
                <w:color w:val="000000" w:themeColor="text1"/>
                <w:sz w:val="18"/>
                <w:szCs w:val="18"/>
              </w:rPr>
              <w:t>Preuzete obveze po kreditima</w:t>
            </w:r>
            <w:bookmarkEnd w:id="608"/>
          </w:p>
        </w:tc>
        <w:tc>
          <w:tcPr>
            <w:tcW w:w="732" w:type="pct"/>
            <w:tcBorders>
              <w:top w:val="nil"/>
              <w:left w:val="nil"/>
              <w:bottom w:val="nil"/>
              <w:right w:val="nil"/>
            </w:tcBorders>
            <w:shd w:val="clear" w:color="auto" w:fill="auto"/>
            <w:vAlign w:val="bottom"/>
          </w:tcPr>
          <w:p w14:paraId="27E1AA1E" w14:textId="445C7236" w:rsidR="00AE0E70" w:rsidRPr="003D1614" w:rsidRDefault="00AE0E70" w:rsidP="00AE0E70">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555.018</w:t>
            </w:r>
          </w:p>
        </w:tc>
        <w:tc>
          <w:tcPr>
            <w:tcW w:w="733" w:type="pct"/>
            <w:tcBorders>
              <w:bottom w:val="single" w:sz="6" w:space="0" w:color="auto"/>
            </w:tcBorders>
            <w:shd w:val="clear" w:color="auto" w:fill="auto"/>
            <w:vAlign w:val="bottom"/>
          </w:tcPr>
          <w:p w14:paraId="17481A71" w14:textId="77777777" w:rsidR="00AE0E70" w:rsidRPr="000276E6" w:rsidRDefault="00AE0E70" w:rsidP="00AE0E70">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0276E6">
              <w:rPr>
                <w:rFonts w:ascii="Arial" w:hAnsi="Arial" w:cs="Arial"/>
                <w:sz w:val="18"/>
                <w:szCs w:val="18"/>
              </w:rPr>
              <w:t>441.073</w:t>
            </w:r>
          </w:p>
        </w:tc>
        <w:tc>
          <w:tcPr>
            <w:tcW w:w="732" w:type="pct"/>
            <w:tcBorders>
              <w:top w:val="nil"/>
              <w:left w:val="nil"/>
              <w:bottom w:val="nil"/>
              <w:right w:val="nil"/>
            </w:tcBorders>
            <w:shd w:val="clear" w:color="auto" w:fill="auto"/>
            <w:vAlign w:val="bottom"/>
          </w:tcPr>
          <w:p w14:paraId="442B16D9" w14:textId="77777777" w:rsidR="00AE0E70" w:rsidRPr="00773909" w:rsidRDefault="00AE0E70" w:rsidP="00AE0E70">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773909">
              <w:rPr>
                <w:rFonts w:ascii="Arial" w:eastAsia="Times New Roman" w:hAnsi="Arial" w:cs="Arial"/>
                <w:color w:val="000000" w:themeColor="text1"/>
                <w:sz w:val="18"/>
                <w:szCs w:val="18"/>
              </w:rPr>
              <w:t>555.018</w:t>
            </w:r>
          </w:p>
        </w:tc>
        <w:tc>
          <w:tcPr>
            <w:tcW w:w="733" w:type="pct"/>
            <w:tcBorders>
              <w:bottom w:val="single" w:sz="6" w:space="0" w:color="auto"/>
            </w:tcBorders>
            <w:shd w:val="clear" w:color="auto" w:fill="auto"/>
            <w:vAlign w:val="bottom"/>
          </w:tcPr>
          <w:p w14:paraId="44186CB5" w14:textId="77777777" w:rsidR="00AE0E70" w:rsidRPr="00FB65D9" w:rsidRDefault="00AE0E70" w:rsidP="00AE0E70">
            <w:pPr>
              <w:tabs>
                <w:tab w:val="right" w:pos="1202"/>
              </w:tabs>
              <w:suppressAutoHyphens/>
              <w:autoSpaceDN w:val="0"/>
              <w:spacing w:line="301" w:lineRule="exact"/>
              <w:jc w:val="right"/>
              <w:outlineLvl w:val="0"/>
              <w:rPr>
                <w:rFonts w:ascii="Arial" w:eastAsia="Times New Roman" w:hAnsi="Arial" w:cs="Arial"/>
                <w:snapToGrid w:val="0"/>
                <w:color w:val="000000" w:themeColor="text1"/>
                <w:sz w:val="18"/>
                <w:szCs w:val="18"/>
              </w:rPr>
            </w:pPr>
            <w:r w:rsidRPr="00FB65D9">
              <w:rPr>
                <w:rFonts w:ascii="Arial" w:hAnsi="Arial" w:cs="Arial"/>
                <w:snapToGrid w:val="0"/>
                <w:color w:val="000000" w:themeColor="text1"/>
                <w:sz w:val="18"/>
                <w:szCs w:val="18"/>
              </w:rPr>
              <w:t xml:space="preserve"> 441.073 </w:t>
            </w:r>
          </w:p>
        </w:tc>
      </w:tr>
      <w:tr w:rsidR="00AE0E70" w:rsidRPr="003D1614" w14:paraId="1F9090A2" w14:textId="77777777" w:rsidTr="0008792D">
        <w:tc>
          <w:tcPr>
            <w:tcW w:w="2070" w:type="pct"/>
          </w:tcPr>
          <w:p w14:paraId="7890D085" w14:textId="77777777" w:rsidR="00AE0E70" w:rsidRPr="003D1614" w:rsidRDefault="00AE0E70" w:rsidP="00AE0E70">
            <w:pPr>
              <w:tabs>
                <w:tab w:val="right" w:pos="1202"/>
              </w:tabs>
              <w:suppressAutoHyphens/>
              <w:autoSpaceDN w:val="0"/>
              <w:spacing w:line="340" w:lineRule="exact"/>
              <w:outlineLvl w:val="0"/>
              <w:rPr>
                <w:rFonts w:ascii="Arial" w:eastAsia="Times New Roman" w:hAnsi="Arial" w:cs="Arial"/>
                <w:b/>
                <w:bCs/>
                <w:color w:val="000000" w:themeColor="text1"/>
                <w:sz w:val="18"/>
                <w:szCs w:val="18"/>
              </w:rPr>
            </w:pPr>
            <w:bookmarkStart w:id="609" w:name="_Toc67329254"/>
            <w:r w:rsidRPr="003D1614">
              <w:rPr>
                <w:rFonts w:ascii="Arial" w:eastAsia="Times New Roman" w:hAnsi="Arial" w:cs="Arial"/>
                <w:b/>
                <w:bCs/>
                <w:color w:val="000000" w:themeColor="text1"/>
                <w:sz w:val="18"/>
                <w:szCs w:val="18"/>
              </w:rPr>
              <w:t>Ukupno</w:t>
            </w:r>
            <w:bookmarkEnd w:id="609"/>
          </w:p>
        </w:tc>
        <w:tc>
          <w:tcPr>
            <w:tcW w:w="732" w:type="pct"/>
            <w:tcBorders>
              <w:top w:val="single" w:sz="4" w:space="0" w:color="auto"/>
              <w:bottom w:val="single" w:sz="12" w:space="0" w:color="auto"/>
            </w:tcBorders>
            <w:vAlign w:val="bottom"/>
          </w:tcPr>
          <w:p w14:paraId="669C766D" w14:textId="29965743" w:rsidR="00AE0E70" w:rsidRPr="003D1614" w:rsidRDefault="00AE0E70" w:rsidP="00AE0E70">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587.645</w:t>
            </w:r>
          </w:p>
        </w:tc>
        <w:tc>
          <w:tcPr>
            <w:tcW w:w="733" w:type="pct"/>
            <w:tcBorders>
              <w:top w:val="single" w:sz="6" w:space="0" w:color="auto"/>
              <w:bottom w:val="single" w:sz="12" w:space="0" w:color="auto"/>
            </w:tcBorders>
            <w:vAlign w:val="bottom"/>
          </w:tcPr>
          <w:p w14:paraId="1B781408" w14:textId="77777777" w:rsidR="00AE0E70" w:rsidRPr="000276E6" w:rsidRDefault="00AE0E70" w:rsidP="00AE0E70">
            <w:pPr>
              <w:tabs>
                <w:tab w:val="right" w:pos="1202"/>
              </w:tabs>
              <w:suppressAutoHyphens/>
              <w:autoSpaceDN w:val="0"/>
              <w:spacing w:line="301" w:lineRule="exact"/>
              <w:jc w:val="right"/>
              <w:outlineLvl w:val="0"/>
              <w:rPr>
                <w:rFonts w:ascii="Arial" w:eastAsia="Times New Roman" w:hAnsi="Arial" w:cs="Arial"/>
                <w:b/>
                <w:bCs/>
                <w:snapToGrid w:val="0"/>
                <w:color w:val="000000" w:themeColor="text1"/>
                <w:sz w:val="18"/>
                <w:szCs w:val="18"/>
              </w:rPr>
            </w:pPr>
            <w:r w:rsidRPr="000276E6">
              <w:rPr>
                <w:rFonts w:ascii="Arial" w:hAnsi="Arial" w:cs="Arial"/>
                <w:b/>
                <w:bCs/>
                <w:color w:val="000000" w:themeColor="text1"/>
                <w:sz w:val="18"/>
                <w:szCs w:val="18"/>
              </w:rPr>
              <w:t>490.975</w:t>
            </w:r>
          </w:p>
        </w:tc>
        <w:tc>
          <w:tcPr>
            <w:tcW w:w="732" w:type="pct"/>
            <w:tcBorders>
              <w:top w:val="single" w:sz="4" w:space="0" w:color="auto"/>
              <w:bottom w:val="single" w:sz="12" w:space="0" w:color="auto"/>
            </w:tcBorders>
            <w:vAlign w:val="bottom"/>
          </w:tcPr>
          <w:p w14:paraId="68A547FA" w14:textId="77777777" w:rsidR="00AE0E70" w:rsidRPr="003D1614" w:rsidRDefault="00AE0E70" w:rsidP="00AE0E70">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587.645</w:t>
            </w:r>
          </w:p>
        </w:tc>
        <w:tc>
          <w:tcPr>
            <w:tcW w:w="733" w:type="pct"/>
            <w:tcBorders>
              <w:top w:val="single" w:sz="6" w:space="0" w:color="auto"/>
              <w:bottom w:val="single" w:sz="12" w:space="0" w:color="auto"/>
            </w:tcBorders>
            <w:vAlign w:val="bottom"/>
          </w:tcPr>
          <w:p w14:paraId="27C73031" w14:textId="77777777" w:rsidR="00AE0E70" w:rsidRPr="00FB65D9" w:rsidRDefault="00AE0E70" w:rsidP="00AE0E70">
            <w:pPr>
              <w:tabs>
                <w:tab w:val="right" w:pos="1202"/>
              </w:tabs>
              <w:suppressAutoHyphens/>
              <w:autoSpaceDN w:val="0"/>
              <w:spacing w:line="301" w:lineRule="exact"/>
              <w:jc w:val="right"/>
              <w:outlineLvl w:val="0"/>
              <w:rPr>
                <w:rFonts w:ascii="Arial" w:eastAsia="Times New Roman" w:hAnsi="Arial" w:cs="Arial"/>
                <w:b/>
                <w:bCs/>
                <w:snapToGrid w:val="0"/>
                <w:color w:val="000000" w:themeColor="text1"/>
                <w:sz w:val="18"/>
                <w:szCs w:val="18"/>
              </w:rPr>
            </w:pPr>
            <w:r w:rsidRPr="00FB65D9">
              <w:rPr>
                <w:rFonts w:ascii="Arial" w:hAnsi="Arial" w:cs="Arial"/>
                <w:b/>
                <w:bCs/>
                <w:snapToGrid w:val="0"/>
                <w:color w:val="000000" w:themeColor="text1"/>
                <w:sz w:val="18"/>
                <w:szCs w:val="18"/>
              </w:rPr>
              <w:t>490.975</w:t>
            </w:r>
          </w:p>
        </w:tc>
      </w:tr>
      <w:tr w:rsidR="00AE0E70" w:rsidRPr="003D1614" w14:paraId="4B15AE33" w14:textId="77777777" w:rsidTr="0008792D">
        <w:trPr>
          <w:trHeight w:val="421"/>
        </w:trPr>
        <w:tc>
          <w:tcPr>
            <w:tcW w:w="2070" w:type="pct"/>
            <w:vAlign w:val="bottom"/>
          </w:tcPr>
          <w:p w14:paraId="08095F9C" w14:textId="77777777" w:rsidR="00AE0E70" w:rsidRPr="003D1614" w:rsidRDefault="00AE0E70" w:rsidP="00AE0E70">
            <w:pPr>
              <w:tabs>
                <w:tab w:val="right" w:pos="1202"/>
              </w:tabs>
              <w:suppressAutoHyphens/>
              <w:autoSpaceDN w:val="0"/>
              <w:spacing w:line="340" w:lineRule="exact"/>
              <w:outlineLvl w:val="0"/>
              <w:rPr>
                <w:rFonts w:ascii="Arial" w:eastAsia="Times New Roman" w:hAnsi="Arial" w:cs="Arial"/>
                <w:b/>
                <w:bCs/>
                <w:color w:val="000000" w:themeColor="text1"/>
                <w:sz w:val="18"/>
                <w:szCs w:val="18"/>
              </w:rPr>
            </w:pPr>
            <w:bookmarkStart w:id="610" w:name="_Toc67329259"/>
            <w:r w:rsidRPr="003D1614">
              <w:rPr>
                <w:rFonts w:ascii="Arial" w:eastAsia="Times New Roman" w:hAnsi="Arial" w:cs="Arial"/>
                <w:b/>
                <w:bCs/>
                <w:color w:val="000000" w:themeColor="text1"/>
                <w:sz w:val="18"/>
                <w:szCs w:val="18"/>
              </w:rPr>
              <w:t>Ukupna izloženost kreditnom riziku</w:t>
            </w:r>
            <w:bookmarkEnd w:id="610"/>
          </w:p>
        </w:tc>
        <w:tc>
          <w:tcPr>
            <w:tcW w:w="732" w:type="pct"/>
            <w:tcBorders>
              <w:top w:val="single" w:sz="12" w:space="0" w:color="auto"/>
              <w:bottom w:val="single" w:sz="12" w:space="0" w:color="auto"/>
            </w:tcBorders>
            <w:vAlign w:val="bottom"/>
          </w:tcPr>
          <w:p w14:paraId="6AA5A575" w14:textId="079E706C" w:rsidR="00AE0E70" w:rsidRPr="003D1614" w:rsidRDefault="00AE0E70" w:rsidP="00AE0E70">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4.543.648</w:t>
            </w:r>
          </w:p>
        </w:tc>
        <w:tc>
          <w:tcPr>
            <w:tcW w:w="733" w:type="pct"/>
            <w:tcBorders>
              <w:top w:val="single" w:sz="12" w:space="0" w:color="auto"/>
              <w:bottom w:val="single" w:sz="12" w:space="0" w:color="auto"/>
            </w:tcBorders>
            <w:vAlign w:val="bottom"/>
          </w:tcPr>
          <w:p w14:paraId="6FC965C6" w14:textId="77777777" w:rsidR="00AE0E70" w:rsidRPr="000276E6" w:rsidRDefault="00AE0E70" w:rsidP="00AE0E70">
            <w:pPr>
              <w:tabs>
                <w:tab w:val="right" w:pos="1202"/>
              </w:tabs>
              <w:suppressAutoHyphens/>
              <w:autoSpaceDN w:val="0"/>
              <w:spacing w:line="301" w:lineRule="exact"/>
              <w:jc w:val="right"/>
              <w:outlineLvl w:val="0"/>
              <w:rPr>
                <w:rFonts w:ascii="Arial" w:eastAsia="Times New Roman" w:hAnsi="Arial" w:cs="Arial"/>
                <w:b/>
                <w:bCs/>
                <w:snapToGrid w:val="0"/>
                <w:color w:val="000000" w:themeColor="text1"/>
                <w:sz w:val="18"/>
                <w:szCs w:val="18"/>
              </w:rPr>
            </w:pPr>
            <w:r w:rsidRPr="000276E6">
              <w:rPr>
                <w:rFonts w:ascii="Arial" w:hAnsi="Arial" w:cs="Arial"/>
                <w:b/>
                <w:bCs/>
                <w:color w:val="000000" w:themeColor="text1"/>
                <w:sz w:val="18"/>
                <w:szCs w:val="18"/>
              </w:rPr>
              <w:t>4.467.929</w:t>
            </w:r>
          </w:p>
        </w:tc>
        <w:tc>
          <w:tcPr>
            <w:tcW w:w="732" w:type="pct"/>
            <w:tcBorders>
              <w:top w:val="single" w:sz="12" w:space="0" w:color="auto"/>
              <w:bottom w:val="single" w:sz="12" w:space="0" w:color="auto"/>
            </w:tcBorders>
            <w:vAlign w:val="bottom"/>
          </w:tcPr>
          <w:p w14:paraId="1C5248D4" w14:textId="77777777" w:rsidR="00AE0E70" w:rsidRPr="003D1614" w:rsidRDefault="00AE0E70" w:rsidP="00AE0E70">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4.533.798</w:t>
            </w:r>
          </w:p>
        </w:tc>
        <w:tc>
          <w:tcPr>
            <w:tcW w:w="733" w:type="pct"/>
            <w:tcBorders>
              <w:top w:val="single" w:sz="12" w:space="0" w:color="auto"/>
              <w:bottom w:val="single" w:sz="12" w:space="0" w:color="auto"/>
            </w:tcBorders>
            <w:vAlign w:val="bottom"/>
          </w:tcPr>
          <w:p w14:paraId="1BC0B613" w14:textId="77777777" w:rsidR="00AE0E70" w:rsidRPr="00FB65D9" w:rsidRDefault="00AE0E70" w:rsidP="00AE0E70">
            <w:pPr>
              <w:tabs>
                <w:tab w:val="right" w:pos="1202"/>
              </w:tabs>
              <w:suppressAutoHyphens/>
              <w:autoSpaceDN w:val="0"/>
              <w:spacing w:line="301" w:lineRule="exact"/>
              <w:jc w:val="right"/>
              <w:outlineLvl w:val="0"/>
              <w:rPr>
                <w:rFonts w:ascii="Arial" w:eastAsia="Times New Roman" w:hAnsi="Arial" w:cs="Arial"/>
                <w:b/>
                <w:bCs/>
                <w:snapToGrid w:val="0"/>
                <w:color w:val="000000" w:themeColor="text1"/>
                <w:sz w:val="18"/>
                <w:szCs w:val="18"/>
              </w:rPr>
            </w:pPr>
            <w:r w:rsidRPr="00FB65D9">
              <w:rPr>
                <w:rFonts w:ascii="Arial" w:hAnsi="Arial" w:cs="Arial"/>
                <w:b/>
                <w:bCs/>
                <w:color w:val="000000" w:themeColor="text1"/>
                <w:sz w:val="18"/>
                <w:szCs w:val="18"/>
              </w:rPr>
              <w:t>4.457.933</w:t>
            </w:r>
          </w:p>
        </w:tc>
      </w:tr>
    </w:tbl>
    <w:p w14:paraId="65D73D96" w14:textId="77777777" w:rsidR="00A13103" w:rsidRPr="003D1614" w:rsidRDefault="00A13103" w:rsidP="00A13103">
      <w:pPr>
        <w:suppressAutoHyphens/>
        <w:autoSpaceDN w:val="0"/>
        <w:jc w:val="both"/>
        <w:rPr>
          <w:rFonts w:ascii="Arial" w:eastAsia="Times New Roman" w:hAnsi="Arial" w:cs="Arial"/>
          <w:i/>
          <w:color w:val="000000" w:themeColor="text1"/>
          <w:sz w:val="20"/>
          <w:szCs w:val="20"/>
        </w:rPr>
      </w:pPr>
    </w:p>
    <w:p w14:paraId="04503B47" w14:textId="77777777" w:rsidR="00A13103" w:rsidRPr="003D1614" w:rsidRDefault="00A13103" w:rsidP="003311C4">
      <w:pPr>
        <w:suppressAutoHyphens/>
        <w:autoSpaceDN w:val="0"/>
        <w:jc w:val="both"/>
        <w:rPr>
          <w:rFonts w:ascii="Arial" w:eastAsia="Times New Roman" w:hAnsi="Arial" w:cs="Arial"/>
          <w:color w:val="000000" w:themeColor="text1"/>
          <w:sz w:val="20"/>
          <w:szCs w:val="20"/>
        </w:rPr>
        <w:sectPr w:rsidR="00A13103" w:rsidRPr="003D1614">
          <w:pgSz w:w="11906" w:h="16838"/>
          <w:pgMar w:top="1417" w:right="1417" w:bottom="1417" w:left="1417" w:header="708" w:footer="708" w:gutter="0"/>
          <w:cols w:space="708"/>
          <w:docGrid w:linePitch="360"/>
        </w:sectPr>
      </w:pPr>
    </w:p>
    <w:p w14:paraId="53045E0A"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6998859D" w14:textId="5165A020"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1B4ACC07" w14:textId="77777777" w:rsidR="00A13103" w:rsidRPr="003D1614" w:rsidRDefault="00A13103" w:rsidP="00A13103">
      <w:pPr>
        <w:suppressAutoHyphens/>
        <w:autoSpaceDN w:val="0"/>
        <w:jc w:val="both"/>
        <w:rPr>
          <w:rFonts w:ascii="Arial" w:eastAsia="Times New Roman" w:hAnsi="Arial" w:cs="Arial"/>
          <w:b/>
          <w:color w:val="000000" w:themeColor="text1"/>
          <w:sz w:val="20"/>
          <w:szCs w:val="20"/>
        </w:rPr>
      </w:pPr>
    </w:p>
    <w:p w14:paraId="1F81E2EA" w14:textId="608B4568" w:rsidR="00A13103" w:rsidRPr="003D1614" w:rsidRDefault="00A13103" w:rsidP="00A13103">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2</w:t>
      </w:r>
      <w:r w:rsidR="000E693B">
        <w:rPr>
          <w:rFonts w:ascii="Arial" w:eastAsia="Times New Roman" w:hAnsi="Arial" w:cs="Arial"/>
          <w:b/>
          <w:color w:val="000000" w:themeColor="text1"/>
          <w:sz w:val="20"/>
          <w:szCs w:val="20"/>
        </w:rPr>
        <w:t>3</w:t>
      </w:r>
      <w:r w:rsidRPr="003D1614">
        <w:rPr>
          <w:rFonts w:ascii="Arial" w:eastAsia="Times New Roman" w:hAnsi="Arial" w:cs="Arial"/>
          <w:b/>
          <w:color w:val="000000" w:themeColor="text1"/>
          <w:sz w:val="20"/>
          <w:szCs w:val="20"/>
        </w:rPr>
        <w:t xml:space="preserve">.3. </w:t>
      </w:r>
      <w:r w:rsidRPr="003D1614">
        <w:rPr>
          <w:rFonts w:ascii="Arial" w:eastAsia="Times New Roman" w:hAnsi="Arial" w:cs="Arial"/>
          <w:b/>
          <w:color w:val="000000" w:themeColor="text1"/>
          <w:sz w:val="20"/>
          <w:szCs w:val="20"/>
        </w:rPr>
        <w:tab/>
        <w:t>Kreditni rizik (nastavak)</w:t>
      </w:r>
    </w:p>
    <w:p w14:paraId="54EAF197" w14:textId="77777777" w:rsidR="00A13103" w:rsidRPr="003D1614" w:rsidRDefault="00A13103" w:rsidP="00A13103">
      <w:pPr>
        <w:suppressAutoHyphens/>
        <w:autoSpaceDN w:val="0"/>
        <w:jc w:val="both"/>
        <w:rPr>
          <w:rFonts w:ascii="Arial" w:eastAsia="Times New Roman" w:hAnsi="Arial" w:cs="Arial"/>
          <w:b/>
          <w:color w:val="000000" w:themeColor="text1"/>
          <w:sz w:val="20"/>
          <w:szCs w:val="20"/>
        </w:rPr>
      </w:pPr>
    </w:p>
    <w:p w14:paraId="54430BBD" w14:textId="77777777" w:rsidR="00A13103" w:rsidRPr="003D1614" w:rsidRDefault="00A13103" w:rsidP="00A13103">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Koncentracija rizika i maksimalna izloženost kreditnom riziku (nastavak)</w:t>
      </w:r>
    </w:p>
    <w:p w14:paraId="2B26425B" w14:textId="77777777" w:rsidR="00A13103" w:rsidRPr="003D1614" w:rsidRDefault="00A13103" w:rsidP="00A13103">
      <w:pPr>
        <w:keepNext/>
        <w:suppressAutoHyphens/>
        <w:autoSpaceDN w:val="0"/>
        <w:jc w:val="both"/>
        <w:outlineLvl w:val="0"/>
        <w:rPr>
          <w:rFonts w:ascii="Arial" w:eastAsia="Times New Roman" w:hAnsi="Arial" w:cs="Arial"/>
          <w:color w:val="000000" w:themeColor="text1"/>
          <w:sz w:val="20"/>
          <w:szCs w:val="20"/>
        </w:rPr>
      </w:pPr>
    </w:p>
    <w:p w14:paraId="75CC57B9" w14:textId="77777777" w:rsidR="00A13103" w:rsidRPr="003D1614" w:rsidRDefault="00A13103" w:rsidP="00A13103">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Koncentracija imovine i garancija te preuzetih obveza prema zemljopisnim segmentima, neto izloženost, </w:t>
      </w:r>
      <w:r w:rsidRPr="003D1614">
        <w:rPr>
          <w:rFonts w:ascii="Arial" w:eastAsia="Times New Roman" w:hAnsi="Arial" w:cs="Arial"/>
          <w:bCs/>
          <w:color w:val="000000" w:themeColor="text1"/>
          <w:sz w:val="20"/>
          <w:szCs w:val="20"/>
        </w:rPr>
        <w:t>bez umanjenja za vrijednost sredstava osiguranja naplate</w:t>
      </w:r>
      <w:r w:rsidRPr="003D1614">
        <w:rPr>
          <w:rFonts w:ascii="Arial" w:eastAsia="Times New Roman" w:hAnsi="Arial" w:cs="Arial"/>
          <w:color w:val="000000" w:themeColor="text1"/>
          <w:sz w:val="20"/>
          <w:szCs w:val="20"/>
        </w:rPr>
        <w:t xml:space="preserve">: </w:t>
      </w:r>
    </w:p>
    <w:p w14:paraId="3B4E5D07" w14:textId="77777777" w:rsidR="00A13103" w:rsidRPr="003D1614" w:rsidRDefault="00A13103" w:rsidP="00A13103">
      <w:pPr>
        <w:keepNext/>
        <w:suppressAutoHyphens/>
        <w:autoSpaceDN w:val="0"/>
        <w:jc w:val="both"/>
        <w:outlineLvl w:val="0"/>
        <w:rPr>
          <w:rFonts w:ascii="Arial" w:eastAsia="Times New Roman" w:hAnsi="Arial" w:cs="Arial"/>
          <w:color w:val="000000" w:themeColor="text1"/>
          <w:sz w:val="20"/>
          <w:szCs w:val="20"/>
        </w:rPr>
      </w:pPr>
    </w:p>
    <w:p w14:paraId="4853A318" w14:textId="77777777" w:rsidR="00A13103" w:rsidRPr="003D1614" w:rsidRDefault="00A13103" w:rsidP="00A13103">
      <w:pPr>
        <w:keepNext/>
        <w:suppressAutoHyphens/>
        <w:autoSpaceDN w:val="0"/>
        <w:jc w:val="both"/>
        <w:outlineLvl w:val="0"/>
        <w:rPr>
          <w:rFonts w:ascii="Arial" w:eastAsia="Times New Roman" w:hAnsi="Arial" w:cs="Arial"/>
          <w:color w:val="000000" w:themeColor="text1"/>
          <w:sz w:val="20"/>
          <w:szCs w:val="20"/>
        </w:rPr>
      </w:pPr>
    </w:p>
    <w:tbl>
      <w:tblPr>
        <w:tblW w:w="4985" w:type="pct"/>
        <w:tblLayout w:type="fixed"/>
        <w:tblCellMar>
          <w:left w:w="30" w:type="dxa"/>
          <w:right w:w="30" w:type="dxa"/>
        </w:tblCellMar>
        <w:tblLook w:val="0000" w:firstRow="0" w:lastRow="0" w:firstColumn="0" w:lastColumn="0" w:noHBand="0" w:noVBand="0"/>
      </w:tblPr>
      <w:tblGrid>
        <w:gridCol w:w="4619"/>
        <w:gridCol w:w="1107"/>
        <w:gridCol w:w="1107"/>
        <w:gridCol w:w="1107"/>
        <w:gridCol w:w="1105"/>
      </w:tblGrid>
      <w:tr w:rsidR="000E1F3A" w:rsidRPr="003D1614" w14:paraId="21F47D43" w14:textId="77777777" w:rsidTr="00422DD5">
        <w:trPr>
          <w:cantSplit/>
          <w:trHeight w:val="265"/>
          <w:tblHeader/>
        </w:trPr>
        <w:tc>
          <w:tcPr>
            <w:tcW w:w="2553" w:type="pct"/>
          </w:tcPr>
          <w:p w14:paraId="337A83E5" w14:textId="77777777" w:rsidR="000E1F3A" w:rsidRPr="003D1614" w:rsidRDefault="000E1F3A" w:rsidP="00422DD5">
            <w:pPr>
              <w:tabs>
                <w:tab w:val="right" w:pos="1202"/>
              </w:tabs>
              <w:suppressAutoHyphens/>
              <w:autoSpaceDN w:val="0"/>
              <w:spacing w:line="240" w:lineRule="atLeast"/>
              <w:outlineLvl w:val="0"/>
              <w:rPr>
                <w:rFonts w:ascii="Arial" w:eastAsia="Times New Roman" w:hAnsi="Arial" w:cs="Arial"/>
                <w:b/>
                <w:color w:val="000000" w:themeColor="text1"/>
                <w:sz w:val="18"/>
                <w:szCs w:val="18"/>
              </w:rPr>
            </w:pPr>
            <w:bookmarkStart w:id="611" w:name="_Toc67329264"/>
            <w:bookmarkStart w:id="612" w:name="_Hlk499021691"/>
            <w:r w:rsidRPr="003D1614">
              <w:rPr>
                <w:rFonts w:ascii="Arial" w:eastAsia="Times New Roman" w:hAnsi="Arial" w:cs="Arial"/>
                <w:b/>
                <w:color w:val="000000" w:themeColor="text1"/>
                <w:sz w:val="18"/>
                <w:szCs w:val="18"/>
              </w:rPr>
              <w:t>Grupa</w:t>
            </w:r>
            <w:bookmarkEnd w:id="611"/>
          </w:p>
          <w:p w14:paraId="7E22C2A0" w14:textId="77777777" w:rsidR="000E1F3A" w:rsidRPr="003D1614" w:rsidRDefault="000E1F3A" w:rsidP="00422DD5">
            <w:pPr>
              <w:tabs>
                <w:tab w:val="right" w:pos="1202"/>
              </w:tabs>
              <w:suppressAutoHyphens/>
              <w:autoSpaceDN w:val="0"/>
              <w:spacing w:line="240" w:lineRule="atLeast"/>
              <w:outlineLvl w:val="0"/>
              <w:rPr>
                <w:rFonts w:ascii="Arial" w:eastAsia="Times New Roman" w:hAnsi="Arial" w:cs="Arial"/>
                <w:b/>
                <w:color w:val="000000" w:themeColor="text1"/>
                <w:sz w:val="18"/>
                <w:szCs w:val="18"/>
              </w:rPr>
            </w:pPr>
          </w:p>
          <w:p w14:paraId="16917D8C" w14:textId="77777777" w:rsidR="000E1F3A" w:rsidRPr="003D1614" w:rsidRDefault="000E1F3A" w:rsidP="00422DD5">
            <w:pPr>
              <w:tabs>
                <w:tab w:val="right" w:pos="1202"/>
              </w:tabs>
              <w:suppressAutoHyphens/>
              <w:autoSpaceDN w:val="0"/>
              <w:spacing w:line="240" w:lineRule="atLeast"/>
              <w:outlineLvl w:val="0"/>
              <w:rPr>
                <w:rFonts w:ascii="Arial" w:eastAsia="Times New Roman" w:hAnsi="Arial" w:cs="Arial"/>
                <w:b/>
                <w:color w:val="000000" w:themeColor="text1"/>
                <w:sz w:val="18"/>
                <w:szCs w:val="18"/>
              </w:rPr>
            </w:pPr>
            <w:bookmarkStart w:id="613" w:name="_Toc67329265"/>
            <w:r w:rsidRPr="003D1614">
              <w:rPr>
                <w:rFonts w:ascii="Arial" w:eastAsia="Times New Roman" w:hAnsi="Arial" w:cs="Arial"/>
                <w:b/>
                <w:color w:val="000000" w:themeColor="text1"/>
                <w:sz w:val="18"/>
                <w:szCs w:val="18"/>
              </w:rPr>
              <w:t>31. ožujka 202</w:t>
            </w:r>
            <w:r>
              <w:rPr>
                <w:rFonts w:ascii="Arial" w:eastAsia="Times New Roman" w:hAnsi="Arial" w:cs="Arial"/>
                <w:b/>
                <w:color w:val="000000" w:themeColor="text1"/>
                <w:sz w:val="18"/>
                <w:szCs w:val="18"/>
              </w:rPr>
              <w:t>4</w:t>
            </w:r>
            <w:r w:rsidRPr="003D1614">
              <w:rPr>
                <w:rFonts w:ascii="Arial" w:eastAsia="Times New Roman" w:hAnsi="Arial" w:cs="Arial"/>
                <w:b/>
                <w:color w:val="000000" w:themeColor="text1"/>
                <w:sz w:val="18"/>
                <w:szCs w:val="18"/>
              </w:rPr>
              <w:t>.</w:t>
            </w:r>
            <w:bookmarkEnd w:id="613"/>
            <w:r w:rsidRPr="003D1614">
              <w:rPr>
                <w:rFonts w:ascii="Arial" w:eastAsia="Times New Roman" w:hAnsi="Arial" w:cs="Arial"/>
                <w:b/>
                <w:color w:val="000000" w:themeColor="text1"/>
                <w:sz w:val="18"/>
                <w:szCs w:val="18"/>
              </w:rPr>
              <w:t xml:space="preserve"> </w:t>
            </w:r>
          </w:p>
        </w:tc>
        <w:tc>
          <w:tcPr>
            <w:tcW w:w="612" w:type="pct"/>
            <w:vAlign w:val="bottom"/>
          </w:tcPr>
          <w:p w14:paraId="668A1C6E" w14:textId="77777777" w:rsidR="000E1F3A" w:rsidRPr="003D1614" w:rsidRDefault="000E1F3A"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14" w:name="_Toc67329266"/>
            <w:r w:rsidRPr="003D1614">
              <w:rPr>
                <w:rFonts w:ascii="Arial" w:eastAsia="Times New Roman" w:hAnsi="Arial" w:cs="Arial"/>
                <w:b/>
                <w:color w:val="000000" w:themeColor="text1"/>
                <w:sz w:val="18"/>
                <w:szCs w:val="18"/>
              </w:rPr>
              <w:t>Republika Hrvatska</w:t>
            </w:r>
            <w:bookmarkEnd w:id="614"/>
          </w:p>
        </w:tc>
        <w:tc>
          <w:tcPr>
            <w:tcW w:w="612" w:type="pct"/>
            <w:vAlign w:val="bottom"/>
          </w:tcPr>
          <w:p w14:paraId="5B71871E" w14:textId="77777777" w:rsidR="000E1F3A" w:rsidRPr="003D1614" w:rsidRDefault="000E1F3A"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15" w:name="_Toc67329267"/>
            <w:r w:rsidRPr="003D1614">
              <w:rPr>
                <w:rFonts w:ascii="Arial" w:eastAsia="Times New Roman" w:hAnsi="Arial" w:cs="Arial"/>
                <w:b/>
                <w:color w:val="000000" w:themeColor="text1"/>
                <w:sz w:val="18"/>
                <w:szCs w:val="18"/>
              </w:rPr>
              <w:t>Zemlje Europske unije</w:t>
            </w:r>
            <w:bookmarkEnd w:id="615"/>
          </w:p>
        </w:tc>
        <w:tc>
          <w:tcPr>
            <w:tcW w:w="612" w:type="pct"/>
            <w:vAlign w:val="bottom"/>
          </w:tcPr>
          <w:p w14:paraId="2D597DF7" w14:textId="77777777" w:rsidR="000E1F3A" w:rsidRPr="003D1614" w:rsidRDefault="000E1F3A"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16" w:name="_Toc67329268"/>
            <w:r w:rsidRPr="003D1614">
              <w:rPr>
                <w:rFonts w:ascii="Arial" w:eastAsia="Times New Roman" w:hAnsi="Arial" w:cs="Arial"/>
                <w:b/>
                <w:color w:val="000000" w:themeColor="text1"/>
                <w:sz w:val="18"/>
                <w:szCs w:val="18"/>
              </w:rPr>
              <w:t>Ostale</w:t>
            </w:r>
            <w:bookmarkEnd w:id="616"/>
            <w:r w:rsidRPr="003D1614">
              <w:rPr>
                <w:rFonts w:ascii="Arial" w:eastAsia="Times New Roman" w:hAnsi="Arial" w:cs="Arial"/>
                <w:b/>
                <w:color w:val="000000" w:themeColor="text1"/>
                <w:sz w:val="18"/>
                <w:szCs w:val="18"/>
              </w:rPr>
              <w:t xml:space="preserve"> </w:t>
            </w:r>
          </w:p>
          <w:p w14:paraId="5D422E11" w14:textId="77777777" w:rsidR="000E1F3A" w:rsidRPr="003D1614" w:rsidRDefault="000E1F3A"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17" w:name="_Toc67329269"/>
            <w:r w:rsidRPr="003D1614">
              <w:rPr>
                <w:rFonts w:ascii="Arial" w:eastAsia="Times New Roman" w:hAnsi="Arial" w:cs="Arial"/>
                <w:b/>
                <w:color w:val="000000" w:themeColor="text1"/>
                <w:sz w:val="18"/>
                <w:szCs w:val="18"/>
              </w:rPr>
              <w:t>zemlje</w:t>
            </w:r>
            <w:bookmarkEnd w:id="617"/>
            <w:r w:rsidRPr="003D1614">
              <w:rPr>
                <w:rFonts w:ascii="Arial" w:eastAsia="Times New Roman" w:hAnsi="Arial" w:cs="Arial"/>
                <w:b/>
                <w:color w:val="000000" w:themeColor="text1"/>
                <w:sz w:val="18"/>
                <w:szCs w:val="18"/>
              </w:rPr>
              <w:t xml:space="preserve"> </w:t>
            </w:r>
          </w:p>
        </w:tc>
        <w:tc>
          <w:tcPr>
            <w:tcW w:w="611" w:type="pct"/>
            <w:vAlign w:val="bottom"/>
          </w:tcPr>
          <w:p w14:paraId="4EEE2B00" w14:textId="77777777" w:rsidR="000E1F3A" w:rsidRPr="003D1614" w:rsidRDefault="000E1F3A"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18" w:name="_Toc67329270"/>
            <w:r w:rsidRPr="003D1614">
              <w:rPr>
                <w:rFonts w:ascii="Arial" w:eastAsia="Times New Roman" w:hAnsi="Arial" w:cs="Arial"/>
                <w:b/>
                <w:color w:val="000000" w:themeColor="text1"/>
                <w:sz w:val="18"/>
                <w:szCs w:val="18"/>
              </w:rPr>
              <w:t>Ukupno</w:t>
            </w:r>
            <w:bookmarkEnd w:id="618"/>
          </w:p>
        </w:tc>
      </w:tr>
      <w:tr w:rsidR="000E1F3A" w:rsidRPr="003D1614" w14:paraId="18628E2C" w14:textId="77777777" w:rsidTr="00422DD5">
        <w:trPr>
          <w:cantSplit/>
          <w:trHeight w:val="265"/>
          <w:tblHeader/>
        </w:trPr>
        <w:tc>
          <w:tcPr>
            <w:tcW w:w="2553" w:type="pct"/>
          </w:tcPr>
          <w:p w14:paraId="3B763A26" w14:textId="77777777" w:rsidR="000E1F3A" w:rsidRPr="003D1614" w:rsidRDefault="000E1F3A" w:rsidP="00422DD5">
            <w:pPr>
              <w:suppressAutoHyphens/>
              <w:autoSpaceDN w:val="0"/>
              <w:ind w:left="113" w:hanging="113"/>
              <w:rPr>
                <w:rFonts w:ascii="Arial" w:eastAsia="Times New Roman" w:hAnsi="Arial" w:cs="Arial"/>
                <w:color w:val="000000" w:themeColor="text1"/>
                <w:sz w:val="18"/>
                <w:szCs w:val="18"/>
              </w:rPr>
            </w:pPr>
          </w:p>
        </w:tc>
        <w:tc>
          <w:tcPr>
            <w:tcW w:w="612" w:type="pct"/>
            <w:vAlign w:val="bottom"/>
          </w:tcPr>
          <w:p w14:paraId="41A1903B" w14:textId="77777777" w:rsidR="000E1F3A" w:rsidRPr="003D1614" w:rsidRDefault="000E1F3A"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19" w:name="_Toc67329271"/>
            <w:r w:rsidRPr="003D1614">
              <w:rPr>
                <w:rFonts w:ascii="Arial" w:eastAsia="Times New Roman" w:hAnsi="Arial" w:cs="Arial"/>
                <w:b/>
                <w:color w:val="000000" w:themeColor="text1"/>
                <w:sz w:val="18"/>
                <w:szCs w:val="18"/>
              </w:rPr>
              <w:t>000 eura</w:t>
            </w:r>
            <w:bookmarkEnd w:id="619"/>
          </w:p>
        </w:tc>
        <w:tc>
          <w:tcPr>
            <w:tcW w:w="612" w:type="pct"/>
            <w:vAlign w:val="bottom"/>
          </w:tcPr>
          <w:p w14:paraId="6E270BC3" w14:textId="77777777" w:rsidR="000E1F3A" w:rsidRPr="003D1614" w:rsidRDefault="000E1F3A"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20" w:name="_Toc67329272"/>
            <w:r w:rsidRPr="003D1614">
              <w:rPr>
                <w:rFonts w:ascii="Arial" w:eastAsia="Times New Roman" w:hAnsi="Arial" w:cs="Arial"/>
                <w:b/>
                <w:color w:val="000000" w:themeColor="text1"/>
                <w:sz w:val="18"/>
                <w:szCs w:val="18"/>
              </w:rPr>
              <w:t>000 eura</w:t>
            </w:r>
            <w:bookmarkEnd w:id="620"/>
          </w:p>
        </w:tc>
        <w:tc>
          <w:tcPr>
            <w:tcW w:w="612" w:type="pct"/>
            <w:vAlign w:val="bottom"/>
          </w:tcPr>
          <w:p w14:paraId="6AFB19FE" w14:textId="77777777" w:rsidR="000E1F3A" w:rsidRPr="003D1614" w:rsidRDefault="000E1F3A"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21" w:name="_Toc67329273"/>
            <w:r w:rsidRPr="003D1614">
              <w:rPr>
                <w:rFonts w:ascii="Arial" w:eastAsia="Times New Roman" w:hAnsi="Arial" w:cs="Arial"/>
                <w:b/>
                <w:color w:val="000000" w:themeColor="text1"/>
                <w:sz w:val="18"/>
                <w:szCs w:val="18"/>
              </w:rPr>
              <w:t>000 eura</w:t>
            </w:r>
            <w:bookmarkEnd w:id="621"/>
          </w:p>
        </w:tc>
        <w:tc>
          <w:tcPr>
            <w:tcW w:w="611" w:type="pct"/>
            <w:vAlign w:val="bottom"/>
          </w:tcPr>
          <w:p w14:paraId="3E2123AE" w14:textId="77777777" w:rsidR="000E1F3A" w:rsidRPr="003D1614" w:rsidRDefault="000E1F3A"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22" w:name="_Toc67329274"/>
            <w:r w:rsidRPr="003D1614">
              <w:rPr>
                <w:rFonts w:ascii="Arial" w:eastAsia="Times New Roman" w:hAnsi="Arial" w:cs="Arial"/>
                <w:b/>
                <w:color w:val="000000" w:themeColor="text1"/>
                <w:sz w:val="18"/>
                <w:szCs w:val="18"/>
              </w:rPr>
              <w:t>000 eura</w:t>
            </w:r>
            <w:bookmarkEnd w:id="622"/>
          </w:p>
        </w:tc>
      </w:tr>
      <w:tr w:rsidR="000E1F3A" w:rsidRPr="003D1614" w14:paraId="65D85048" w14:textId="77777777" w:rsidTr="00422DD5">
        <w:trPr>
          <w:cantSplit/>
          <w:trHeight w:val="265"/>
          <w:tblHeader/>
        </w:trPr>
        <w:tc>
          <w:tcPr>
            <w:tcW w:w="2553" w:type="pct"/>
          </w:tcPr>
          <w:p w14:paraId="17F4FE29" w14:textId="77777777" w:rsidR="000E1F3A" w:rsidRPr="003D1614" w:rsidRDefault="000E1F3A" w:rsidP="00422DD5">
            <w:pPr>
              <w:suppressAutoHyphens/>
              <w:autoSpaceDN w:val="0"/>
              <w:ind w:left="113" w:hanging="113"/>
              <w:rPr>
                <w:rFonts w:ascii="Arial" w:eastAsia="Times New Roman" w:hAnsi="Arial" w:cs="Arial"/>
                <w:color w:val="000000" w:themeColor="text1"/>
                <w:sz w:val="18"/>
                <w:szCs w:val="18"/>
              </w:rPr>
            </w:pPr>
          </w:p>
        </w:tc>
        <w:tc>
          <w:tcPr>
            <w:tcW w:w="612" w:type="pct"/>
          </w:tcPr>
          <w:p w14:paraId="2CC72C02" w14:textId="77777777" w:rsidR="000E1F3A" w:rsidRPr="003D1614" w:rsidRDefault="000E1F3A" w:rsidP="00422DD5">
            <w:pPr>
              <w:suppressAutoHyphens/>
              <w:autoSpaceDN w:val="0"/>
              <w:jc w:val="right"/>
              <w:rPr>
                <w:rFonts w:ascii="Arial" w:eastAsia="Times New Roman" w:hAnsi="Arial" w:cs="Arial"/>
                <w:color w:val="000000" w:themeColor="text1"/>
                <w:sz w:val="18"/>
                <w:szCs w:val="18"/>
              </w:rPr>
            </w:pPr>
          </w:p>
        </w:tc>
        <w:tc>
          <w:tcPr>
            <w:tcW w:w="612" w:type="pct"/>
          </w:tcPr>
          <w:p w14:paraId="6FF01CA5" w14:textId="77777777" w:rsidR="000E1F3A" w:rsidRPr="003D1614" w:rsidRDefault="000E1F3A" w:rsidP="00422DD5">
            <w:pPr>
              <w:suppressAutoHyphens/>
              <w:autoSpaceDN w:val="0"/>
              <w:jc w:val="right"/>
              <w:rPr>
                <w:rFonts w:ascii="Arial" w:eastAsia="Times New Roman" w:hAnsi="Arial" w:cs="Arial"/>
                <w:color w:val="000000" w:themeColor="text1"/>
                <w:sz w:val="18"/>
                <w:szCs w:val="18"/>
              </w:rPr>
            </w:pPr>
          </w:p>
        </w:tc>
        <w:tc>
          <w:tcPr>
            <w:tcW w:w="612" w:type="pct"/>
          </w:tcPr>
          <w:p w14:paraId="6987D090" w14:textId="77777777" w:rsidR="000E1F3A" w:rsidRPr="003D1614" w:rsidRDefault="000E1F3A" w:rsidP="00422DD5">
            <w:pPr>
              <w:suppressAutoHyphens/>
              <w:autoSpaceDN w:val="0"/>
              <w:jc w:val="right"/>
              <w:rPr>
                <w:rFonts w:ascii="Arial" w:eastAsia="Times New Roman" w:hAnsi="Arial" w:cs="Arial"/>
                <w:color w:val="000000" w:themeColor="text1"/>
                <w:sz w:val="18"/>
                <w:szCs w:val="18"/>
              </w:rPr>
            </w:pPr>
          </w:p>
        </w:tc>
        <w:tc>
          <w:tcPr>
            <w:tcW w:w="611" w:type="pct"/>
          </w:tcPr>
          <w:p w14:paraId="1A591070" w14:textId="77777777" w:rsidR="000E1F3A" w:rsidRPr="003D1614" w:rsidRDefault="000E1F3A" w:rsidP="00422DD5">
            <w:pPr>
              <w:suppressAutoHyphens/>
              <w:autoSpaceDN w:val="0"/>
              <w:jc w:val="center"/>
              <w:rPr>
                <w:rFonts w:ascii="Arial" w:eastAsia="Times New Roman" w:hAnsi="Arial" w:cs="Arial"/>
                <w:color w:val="000000" w:themeColor="text1"/>
                <w:sz w:val="18"/>
                <w:szCs w:val="18"/>
              </w:rPr>
            </w:pPr>
          </w:p>
        </w:tc>
      </w:tr>
      <w:tr w:rsidR="000E1F3A" w:rsidRPr="003D1614" w14:paraId="571BE0D7" w14:textId="77777777" w:rsidTr="00422DD5">
        <w:trPr>
          <w:cantSplit/>
          <w:trHeight w:val="265"/>
          <w:tblHeader/>
        </w:trPr>
        <w:tc>
          <w:tcPr>
            <w:tcW w:w="2553" w:type="pct"/>
          </w:tcPr>
          <w:p w14:paraId="368CD1D1" w14:textId="77777777" w:rsidR="000E1F3A" w:rsidRPr="003D1614" w:rsidRDefault="000E1F3A" w:rsidP="00422DD5">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23" w:name="_Toc67329275"/>
            <w:r w:rsidRPr="003D1614">
              <w:rPr>
                <w:rFonts w:ascii="Arial" w:eastAsia="Times New Roman" w:hAnsi="Arial" w:cs="Arial"/>
                <w:b/>
                <w:bCs/>
                <w:color w:val="000000" w:themeColor="text1"/>
                <w:sz w:val="18"/>
                <w:szCs w:val="18"/>
              </w:rPr>
              <w:t>Imovina</w:t>
            </w:r>
            <w:bookmarkEnd w:id="623"/>
          </w:p>
        </w:tc>
        <w:tc>
          <w:tcPr>
            <w:tcW w:w="612" w:type="pct"/>
          </w:tcPr>
          <w:p w14:paraId="535A1BD6" w14:textId="77777777" w:rsidR="000E1F3A" w:rsidRPr="003D1614" w:rsidRDefault="000E1F3A" w:rsidP="00422DD5">
            <w:pPr>
              <w:suppressAutoHyphens/>
              <w:autoSpaceDN w:val="0"/>
              <w:jc w:val="right"/>
              <w:rPr>
                <w:rFonts w:ascii="Arial" w:eastAsia="Times New Roman" w:hAnsi="Arial" w:cs="Arial"/>
                <w:color w:val="000000" w:themeColor="text1"/>
                <w:sz w:val="18"/>
                <w:szCs w:val="18"/>
              </w:rPr>
            </w:pPr>
          </w:p>
        </w:tc>
        <w:tc>
          <w:tcPr>
            <w:tcW w:w="612" w:type="pct"/>
          </w:tcPr>
          <w:p w14:paraId="42EAC393" w14:textId="77777777" w:rsidR="000E1F3A" w:rsidRPr="003D1614" w:rsidRDefault="000E1F3A" w:rsidP="00422DD5">
            <w:pPr>
              <w:suppressAutoHyphens/>
              <w:autoSpaceDN w:val="0"/>
              <w:jc w:val="right"/>
              <w:rPr>
                <w:rFonts w:ascii="Arial" w:eastAsia="Times New Roman" w:hAnsi="Arial" w:cs="Arial"/>
                <w:color w:val="000000" w:themeColor="text1"/>
                <w:sz w:val="18"/>
                <w:szCs w:val="18"/>
              </w:rPr>
            </w:pPr>
          </w:p>
        </w:tc>
        <w:tc>
          <w:tcPr>
            <w:tcW w:w="612" w:type="pct"/>
          </w:tcPr>
          <w:p w14:paraId="435DA848" w14:textId="77777777" w:rsidR="000E1F3A" w:rsidRPr="003D1614" w:rsidRDefault="000E1F3A" w:rsidP="00422DD5">
            <w:pPr>
              <w:suppressAutoHyphens/>
              <w:autoSpaceDN w:val="0"/>
              <w:jc w:val="right"/>
              <w:rPr>
                <w:rFonts w:ascii="Arial" w:eastAsia="Times New Roman" w:hAnsi="Arial" w:cs="Arial"/>
                <w:color w:val="000000" w:themeColor="text1"/>
                <w:sz w:val="18"/>
                <w:szCs w:val="18"/>
              </w:rPr>
            </w:pPr>
          </w:p>
        </w:tc>
        <w:tc>
          <w:tcPr>
            <w:tcW w:w="611" w:type="pct"/>
          </w:tcPr>
          <w:p w14:paraId="7B0DAFBD" w14:textId="77777777" w:rsidR="000E1F3A" w:rsidRPr="003D1614" w:rsidRDefault="000E1F3A" w:rsidP="00422DD5">
            <w:pPr>
              <w:suppressAutoHyphens/>
              <w:autoSpaceDN w:val="0"/>
              <w:jc w:val="center"/>
              <w:rPr>
                <w:rFonts w:ascii="Arial" w:eastAsia="Times New Roman" w:hAnsi="Arial" w:cs="Arial"/>
                <w:color w:val="000000" w:themeColor="text1"/>
                <w:sz w:val="18"/>
                <w:szCs w:val="18"/>
              </w:rPr>
            </w:pPr>
          </w:p>
        </w:tc>
      </w:tr>
      <w:tr w:rsidR="000E1F3A" w:rsidRPr="003D1614" w14:paraId="29B2C07B" w14:textId="77777777" w:rsidTr="00422DD5">
        <w:trPr>
          <w:cantSplit/>
          <w:trHeight w:val="265"/>
          <w:tblHeader/>
        </w:trPr>
        <w:tc>
          <w:tcPr>
            <w:tcW w:w="2553" w:type="pct"/>
            <w:vAlign w:val="bottom"/>
          </w:tcPr>
          <w:p w14:paraId="638D899F" w14:textId="77777777" w:rsidR="000E1F3A" w:rsidRPr="003D1614" w:rsidRDefault="000E1F3A" w:rsidP="00422DD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24" w:name="_Toc67329276"/>
            <w:r w:rsidRPr="003D1614">
              <w:rPr>
                <w:rFonts w:ascii="Arial" w:eastAsia="Times New Roman" w:hAnsi="Arial" w:cs="Arial"/>
                <w:color w:val="000000" w:themeColor="text1"/>
                <w:sz w:val="18"/>
                <w:szCs w:val="18"/>
              </w:rPr>
              <w:t>Novčana sredstva i računi kod banaka</w:t>
            </w:r>
            <w:bookmarkEnd w:id="624"/>
          </w:p>
        </w:tc>
        <w:tc>
          <w:tcPr>
            <w:tcW w:w="612" w:type="pct"/>
            <w:tcBorders>
              <w:top w:val="nil"/>
              <w:left w:val="nil"/>
              <w:bottom w:val="nil"/>
              <w:right w:val="nil"/>
            </w:tcBorders>
            <w:shd w:val="clear" w:color="auto" w:fill="auto"/>
            <w:vAlign w:val="bottom"/>
          </w:tcPr>
          <w:p w14:paraId="47E579B8"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76.277</w:t>
            </w:r>
          </w:p>
        </w:tc>
        <w:tc>
          <w:tcPr>
            <w:tcW w:w="612" w:type="pct"/>
            <w:tcBorders>
              <w:top w:val="nil"/>
              <w:left w:val="nil"/>
              <w:bottom w:val="nil"/>
              <w:right w:val="nil"/>
            </w:tcBorders>
            <w:shd w:val="clear" w:color="auto" w:fill="auto"/>
            <w:vAlign w:val="bottom"/>
          </w:tcPr>
          <w:p w14:paraId="497B6355"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255</w:t>
            </w:r>
          </w:p>
        </w:tc>
        <w:tc>
          <w:tcPr>
            <w:tcW w:w="612" w:type="pct"/>
            <w:tcBorders>
              <w:top w:val="nil"/>
              <w:left w:val="nil"/>
              <w:bottom w:val="nil"/>
              <w:right w:val="nil"/>
            </w:tcBorders>
            <w:shd w:val="clear" w:color="auto" w:fill="auto"/>
            <w:vAlign w:val="bottom"/>
          </w:tcPr>
          <w:p w14:paraId="1D9E8567"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840</w:t>
            </w:r>
          </w:p>
        </w:tc>
        <w:tc>
          <w:tcPr>
            <w:tcW w:w="611" w:type="pct"/>
            <w:tcBorders>
              <w:top w:val="nil"/>
              <w:left w:val="nil"/>
              <w:bottom w:val="nil"/>
              <w:right w:val="nil"/>
            </w:tcBorders>
            <w:shd w:val="clear" w:color="auto" w:fill="auto"/>
            <w:vAlign w:val="bottom"/>
          </w:tcPr>
          <w:p w14:paraId="65708BDE"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77.372</w:t>
            </w:r>
          </w:p>
        </w:tc>
      </w:tr>
      <w:tr w:rsidR="000E1F3A" w:rsidRPr="003D1614" w14:paraId="53058195" w14:textId="77777777" w:rsidTr="00422DD5">
        <w:trPr>
          <w:cantSplit/>
          <w:trHeight w:val="265"/>
          <w:tblHeader/>
        </w:trPr>
        <w:tc>
          <w:tcPr>
            <w:tcW w:w="2553" w:type="pct"/>
            <w:vAlign w:val="bottom"/>
          </w:tcPr>
          <w:p w14:paraId="498EF9B0" w14:textId="77777777" w:rsidR="000E1F3A" w:rsidRPr="003D1614" w:rsidRDefault="000E1F3A" w:rsidP="00422DD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25" w:name="_Toc67329281"/>
            <w:r w:rsidRPr="003D1614">
              <w:rPr>
                <w:rFonts w:ascii="Arial" w:eastAsia="Times New Roman" w:hAnsi="Arial" w:cs="Arial"/>
                <w:color w:val="000000" w:themeColor="text1"/>
                <w:sz w:val="18"/>
                <w:szCs w:val="18"/>
              </w:rPr>
              <w:t>Depoziti kod drugih banaka</w:t>
            </w:r>
            <w:bookmarkEnd w:id="625"/>
          </w:p>
        </w:tc>
        <w:tc>
          <w:tcPr>
            <w:tcW w:w="612" w:type="pct"/>
            <w:tcBorders>
              <w:top w:val="nil"/>
              <w:left w:val="nil"/>
              <w:bottom w:val="nil"/>
              <w:right w:val="nil"/>
            </w:tcBorders>
            <w:shd w:val="clear" w:color="auto" w:fill="auto"/>
            <w:vAlign w:val="bottom"/>
          </w:tcPr>
          <w:p w14:paraId="0D0DA7F6"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66.586</w:t>
            </w:r>
          </w:p>
        </w:tc>
        <w:tc>
          <w:tcPr>
            <w:tcW w:w="612" w:type="pct"/>
            <w:tcBorders>
              <w:top w:val="nil"/>
              <w:left w:val="nil"/>
              <w:bottom w:val="nil"/>
              <w:right w:val="nil"/>
            </w:tcBorders>
            <w:shd w:val="clear" w:color="auto" w:fill="auto"/>
            <w:vAlign w:val="bottom"/>
          </w:tcPr>
          <w:p w14:paraId="5FF145BB"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62.614</w:t>
            </w:r>
          </w:p>
        </w:tc>
        <w:tc>
          <w:tcPr>
            <w:tcW w:w="612" w:type="pct"/>
            <w:tcBorders>
              <w:top w:val="nil"/>
              <w:left w:val="nil"/>
              <w:bottom w:val="nil"/>
              <w:right w:val="nil"/>
            </w:tcBorders>
            <w:shd w:val="clear" w:color="auto" w:fill="auto"/>
            <w:vAlign w:val="bottom"/>
          </w:tcPr>
          <w:p w14:paraId="460D0E12"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7DE19B08"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129.200</w:t>
            </w:r>
          </w:p>
        </w:tc>
      </w:tr>
      <w:tr w:rsidR="000E1F3A" w:rsidRPr="003D1614" w14:paraId="4C0E3BE6" w14:textId="77777777" w:rsidTr="00422DD5">
        <w:trPr>
          <w:cantSplit/>
          <w:trHeight w:val="265"/>
          <w:tblHeader/>
        </w:trPr>
        <w:tc>
          <w:tcPr>
            <w:tcW w:w="2553" w:type="pct"/>
            <w:vAlign w:val="bottom"/>
          </w:tcPr>
          <w:p w14:paraId="15491EC0" w14:textId="77777777" w:rsidR="000E1F3A" w:rsidRPr="003D1614" w:rsidRDefault="000E1F3A" w:rsidP="00422DD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26" w:name="_Toc67329286"/>
            <w:r w:rsidRPr="003D1614">
              <w:rPr>
                <w:rFonts w:ascii="Arial" w:eastAsia="Times New Roman" w:hAnsi="Arial" w:cs="Arial"/>
                <w:color w:val="000000" w:themeColor="text1"/>
                <w:sz w:val="18"/>
                <w:szCs w:val="18"/>
              </w:rPr>
              <w:t>Krediti financijskim institucijama</w:t>
            </w:r>
            <w:bookmarkEnd w:id="626"/>
          </w:p>
        </w:tc>
        <w:tc>
          <w:tcPr>
            <w:tcW w:w="612" w:type="pct"/>
            <w:tcBorders>
              <w:top w:val="nil"/>
              <w:left w:val="nil"/>
              <w:bottom w:val="nil"/>
              <w:right w:val="nil"/>
            </w:tcBorders>
            <w:shd w:val="clear" w:color="auto" w:fill="auto"/>
            <w:vAlign w:val="bottom"/>
          </w:tcPr>
          <w:p w14:paraId="312D7BA0"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1.138.066</w:t>
            </w:r>
          </w:p>
        </w:tc>
        <w:tc>
          <w:tcPr>
            <w:tcW w:w="612" w:type="pct"/>
            <w:tcBorders>
              <w:top w:val="nil"/>
              <w:left w:val="nil"/>
              <w:bottom w:val="nil"/>
              <w:right w:val="nil"/>
            </w:tcBorders>
            <w:shd w:val="clear" w:color="auto" w:fill="auto"/>
            <w:vAlign w:val="bottom"/>
          </w:tcPr>
          <w:p w14:paraId="38EC74BA"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12" w:type="pct"/>
            <w:tcBorders>
              <w:top w:val="nil"/>
              <w:left w:val="nil"/>
              <w:bottom w:val="nil"/>
              <w:right w:val="nil"/>
            </w:tcBorders>
            <w:shd w:val="clear" w:color="auto" w:fill="auto"/>
            <w:vAlign w:val="bottom"/>
          </w:tcPr>
          <w:p w14:paraId="6246E7F9"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553E2495"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1.138.066</w:t>
            </w:r>
          </w:p>
        </w:tc>
      </w:tr>
      <w:tr w:rsidR="000E1F3A" w:rsidRPr="003D1614" w14:paraId="23182CF5" w14:textId="77777777" w:rsidTr="00422DD5">
        <w:trPr>
          <w:cantSplit/>
          <w:trHeight w:val="265"/>
          <w:tblHeader/>
        </w:trPr>
        <w:tc>
          <w:tcPr>
            <w:tcW w:w="2553" w:type="pct"/>
            <w:vAlign w:val="bottom"/>
          </w:tcPr>
          <w:p w14:paraId="591CC33D" w14:textId="77777777" w:rsidR="000E1F3A" w:rsidRPr="003D1614" w:rsidRDefault="000E1F3A" w:rsidP="00422DD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27" w:name="_Toc67329291"/>
            <w:r w:rsidRPr="003D1614">
              <w:rPr>
                <w:rFonts w:ascii="Arial" w:eastAsia="Times New Roman" w:hAnsi="Arial" w:cs="Arial"/>
                <w:color w:val="000000" w:themeColor="text1"/>
                <w:sz w:val="18"/>
                <w:szCs w:val="18"/>
              </w:rPr>
              <w:t>Krediti ostalim korisnicima</w:t>
            </w:r>
            <w:bookmarkEnd w:id="627"/>
          </w:p>
        </w:tc>
        <w:tc>
          <w:tcPr>
            <w:tcW w:w="612" w:type="pct"/>
            <w:tcBorders>
              <w:top w:val="nil"/>
              <w:left w:val="nil"/>
              <w:bottom w:val="nil"/>
              <w:right w:val="nil"/>
            </w:tcBorders>
            <w:shd w:val="clear" w:color="auto" w:fill="auto"/>
            <w:vAlign w:val="bottom"/>
          </w:tcPr>
          <w:p w14:paraId="3F7AEF73"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2.333.183</w:t>
            </w:r>
          </w:p>
        </w:tc>
        <w:tc>
          <w:tcPr>
            <w:tcW w:w="612" w:type="pct"/>
            <w:tcBorders>
              <w:top w:val="nil"/>
              <w:left w:val="nil"/>
              <w:bottom w:val="nil"/>
              <w:right w:val="nil"/>
            </w:tcBorders>
            <w:shd w:val="clear" w:color="auto" w:fill="auto"/>
            <w:vAlign w:val="bottom"/>
          </w:tcPr>
          <w:p w14:paraId="6A40E504"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12" w:type="pct"/>
            <w:tcBorders>
              <w:top w:val="nil"/>
              <w:left w:val="nil"/>
              <w:bottom w:val="nil"/>
              <w:right w:val="nil"/>
            </w:tcBorders>
            <w:shd w:val="clear" w:color="auto" w:fill="auto"/>
            <w:vAlign w:val="bottom"/>
          </w:tcPr>
          <w:p w14:paraId="569ECD47"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4.661</w:t>
            </w:r>
          </w:p>
        </w:tc>
        <w:tc>
          <w:tcPr>
            <w:tcW w:w="611" w:type="pct"/>
            <w:tcBorders>
              <w:top w:val="nil"/>
              <w:left w:val="nil"/>
              <w:bottom w:val="nil"/>
              <w:right w:val="nil"/>
            </w:tcBorders>
            <w:shd w:val="clear" w:color="auto" w:fill="auto"/>
            <w:vAlign w:val="bottom"/>
          </w:tcPr>
          <w:p w14:paraId="2535FC2E"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2.337.844</w:t>
            </w:r>
          </w:p>
        </w:tc>
      </w:tr>
      <w:tr w:rsidR="000E1F3A" w:rsidRPr="003D1614" w14:paraId="0A9FC328" w14:textId="77777777" w:rsidTr="00422DD5">
        <w:trPr>
          <w:cantSplit/>
          <w:trHeight w:val="265"/>
          <w:tblHeader/>
        </w:trPr>
        <w:tc>
          <w:tcPr>
            <w:tcW w:w="2553" w:type="pct"/>
            <w:vAlign w:val="bottom"/>
          </w:tcPr>
          <w:p w14:paraId="718167FA" w14:textId="77777777" w:rsidR="000E1F3A" w:rsidRPr="003D1614" w:rsidRDefault="000E1F3A" w:rsidP="00422DD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28" w:name="_Toc67329296"/>
            <w:r w:rsidRPr="003D1614">
              <w:rPr>
                <w:rFonts w:ascii="Arial" w:eastAsia="Times New Roman" w:hAnsi="Arial" w:cs="Arial"/>
                <w:color w:val="000000" w:themeColor="text1"/>
                <w:sz w:val="18"/>
                <w:szCs w:val="18"/>
              </w:rPr>
              <w:t>Financijska imovina po fer vrijednosti kroz dobit ili gubitak</w:t>
            </w:r>
            <w:bookmarkEnd w:id="628"/>
          </w:p>
        </w:tc>
        <w:tc>
          <w:tcPr>
            <w:tcW w:w="612" w:type="pct"/>
            <w:tcBorders>
              <w:top w:val="nil"/>
              <w:left w:val="nil"/>
              <w:bottom w:val="nil"/>
              <w:right w:val="nil"/>
            </w:tcBorders>
            <w:shd w:val="clear" w:color="auto" w:fill="auto"/>
            <w:vAlign w:val="bottom"/>
          </w:tcPr>
          <w:p w14:paraId="0C7ECBC6"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33.397</w:t>
            </w:r>
          </w:p>
        </w:tc>
        <w:tc>
          <w:tcPr>
            <w:tcW w:w="612" w:type="pct"/>
            <w:tcBorders>
              <w:top w:val="nil"/>
              <w:left w:val="nil"/>
              <w:bottom w:val="nil"/>
              <w:right w:val="nil"/>
            </w:tcBorders>
            <w:shd w:val="clear" w:color="auto" w:fill="auto"/>
            <w:vAlign w:val="bottom"/>
          </w:tcPr>
          <w:p w14:paraId="775C1868" w14:textId="4BECEF17" w:rsidR="000E1F3A" w:rsidRPr="003D1614" w:rsidRDefault="008D7364"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12" w:type="pct"/>
            <w:tcBorders>
              <w:top w:val="nil"/>
              <w:left w:val="nil"/>
              <w:bottom w:val="nil"/>
              <w:right w:val="nil"/>
            </w:tcBorders>
            <w:shd w:val="clear" w:color="auto" w:fill="auto"/>
            <w:vAlign w:val="bottom"/>
          </w:tcPr>
          <w:p w14:paraId="232157CD" w14:textId="5B9D106F" w:rsidR="000E1F3A" w:rsidRPr="003D1614" w:rsidRDefault="008D7364"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51321D6D"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33.397</w:t>
            </w:r>
          </w:p>
        </w:tc>
      </w:tr>
      <w:tr w:rsidR="000E1F3A" w:rsidRPr="003D1614" w14:paraId="3C57AB08" w14:textId="77777777" w:rsidTr="00422DD5">
        <w:trPr>
          <w:cantSplit/>
          <w:trHeight w:val="265"/>
          <w:tblHeader/>
        </w:trPr>
        <w:tc>
          <w:tcPr>
            <w:tcW w:w="2553" w:type="pct"/>
          </w:tcPr>
          <w:p w14:paraId="2E0E7FDE" w14:textId="77777777" w:rsidR="000E1F3A" w:rsidRPr="003D1614" w:rsidRDefault="000E1F3A" w:rsidP="00422DD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29" w:name="_Toc67329301"/>
            <w:r w:rsidRPr="003D1614">
              <w:rPr>
                <w:rFonts w:ascii="Arial" w:eastAsia="Times New Roman" w:hAnsi="Arial" w:cs="Arial"/>
                <w:color w:val="000000" w:themeColor="text1"/>
                <w:sz w:val="18"/>
                <w:szCs w:val="18"/>
              </w:rPr>
              <w:t>Financijska imovina po fer vrijednosti kroz ostalu sveobuhvatnu dobit</w:t>
            </w:r>
            <w:bookmarkEnd w:id="629"/>
            <w:r w:rsidRPr="003D1614">
              <w:rPr>
                <w:rFonts w:ascii="Arial" w:eastAsia="Times New Roman" w:hAnsi="Arial" w:cs="Arial"/>
                <w:color w:val="000000" w:themeColor="text1"/>
                <w:sz w:val="18"/>
                <w:szCs w:val="18"/>
              </w:rPr>
              <w:t xml:space="preserve">  </w:t>
            </w:r>
          </w:p>
        </w:tc>
        <w:tc>
          <w:tcPr>
            <w:tcW w:w="612" w:type="pct"/>
            <w:tcBorders>
              <w:top w:val="nil"/>
              <w:left w:val="nil"/>
              <w:bottom w:val="nil"/>
              <w:right w:val="nil"/>
            </w:tcBorders>
            <w:shd w:val="clear" w:color="auto" w:fill="auto"/>
            <w:vAlign w:val="bottom"/>
          </w:tcPr>
          <w:p w14:paraId="7D4C332C"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237.930</w:t>
            </w:r>
          </w:p>
        </w:tc>
        <w:tc>
          <w:tcPr>
            <w:tcW w:w="612" w:type="pct"/>
            <w:tcBorders>
              <w:top w:val="nil"/>
              <w:left w:val="nil"/>
              <w:bottom w:val="nil"/>
              <w:right w:val="nil"/>
            </w:tcBorders>
            <w:shd w:val="clear" w:color="auto" w:fill="auto"/>
            <w:vAlign w:val="bottom"/>
          </w:tcPr>
          <w:p w14:paraId="6F5422C8"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195</w:t>
            </w:r>
          </w:p>
        </w:tc>
        <w:tc>
          <w:tcPr>
            <w:tcW w:w="612" w:type="pct"/>
            <w:tcBorders>
              <w:top w:val="nil"/>
              <w:left w:val="nil"/>
              <w:bottom w:val="nil"/>
              <w:right w:val="nil"/>
            </w:tcBorders>
            <w:shd w:val="clear" w:color="auto" w:fill="auto"/>
            <w:vAlign w:val="bottom"/>
          </w:tcPr>
          <w:p w14:paraId="09C73FFB"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3BEE3442"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238.125</w:t>
            </w:r>
          </w:p>
        </w:tc>
      </w:tr>
      <w:tr w:rsidR="000E1F3A" w:rsidRPr="003D1614" w14:paraId="0468F8A8" w14:textId="77777777" w:rsidTr="00422DD5">
        <w:trPr>
          <w:cantSplit/>
          <w:trHeight w:val="265"/>
          <w:tblHeader/>
        </w:trPr>
        <w:tc>
          <w:tcPr>
            <w:tcW w:w="2553" w:type="pct"/>
            <w:vAlign w:val="bottom"/>
          </w:tcPr>
          <w:p w14:paraId="0A4930B2" w14:textId="77777777" w:rsidR="000E1F3A" w:rsidRPr="003D1614" w:rsidRDefault="000E1F3A" w:rsidP="00422DD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30" w:name="_Toc67329311"/>
            <w:r w:rsidRPr="003D1614">
              <w:rPr>
                <w:rFonts w:ascii="Arial" w:eastAsia="Times New Roman" w:hAnsi="Arial" w:cs="Arial"/>
                <w:color w:val="000000" w:themeColor="text1"/>
                <w:sz w:val="18"/>
                <w:szCs w:val="18"/>
              </w:rPr>
              <w:t>Ostala imovina</w:t>
            </w:r>
            <w:bookmarkEnd w:id="630"/>
          </w:p>
        </w:tc>
        <w:tc>
          <w:tcPr>
            <w:tcW w:w="612" w:type="pct"/>
            <w:tcBorders>
              <w:top w:val="nil"/>
              <w:left w:val="nil"/>
              <w:bottom w:val="single" w:sz="4" w:space="0" w:color="auto"/>
              <w:right w:val="nil"/>
            </w:tcBorders>
            <w:shd w:val="clear" w:color="auto" w:fill="auto"/>
            <w:vAlign w:val="bottom"/>
          </w:tcPr>
          <w:p w14:paraId="34DDC786"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1.197</w:t>
            </w:r>
          </w:p>
        </w:tc>
        <w:tc>
          <w:tcPr>
            <w:tcW w:w="612" w:type="pct"/>
            <w:tcBorders>
              <w:top w:val="nil"/>
              <w:left w:val="nil"/>
              <w:bottom w:val="single" w:sz="4" w:space="0" w:color="auto"/>
              <w:right w:val="nil"/>
            </w:tcBorders>
            <w:shd w:val="clear" w:color="auto" w:fill="auto"/>
            <w:vAlign w:val="bottom"/>
          </w:tcPr>
          <w:p w14:paraId="3B3C35A0"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800</w:t>
            </w:r>
          </w:p>
        </w:tc>
        <w:tc>
          <w:tcPr>
            <w:tcW w:w="612" w:type="pct"/>
            <w:tcBorders>
              <w:top w:val="nil"/>
              <w:left w:val="nil"/>
              <w:bottom w:val="single" w:sz="4" w:space="0" w:color="auto"/>
              <w:right w:val="nil"/>
            </w:tcBorders>
            <w:shd w:val="clear" w:color="auto" w:fill="auto"/>
            <w:vAlign w:val="bottom"/>
          </w:tcPr>
          <w:p w14:paraId="0FE1FBB7"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w:t>
            </w:r>
          </w:p>
        </w:tc>
        <w:tc>
          <w:tcPr>
            <w:tcW w:w="611" w:type="pct"/>
            <w:tcBorders>
              <w:top w:val="nil"/>
              <w:left w:val="nil"/>
              <w:bottom w:val="single" w:sz="4" w:space="0" w:color="auto"/>
              <w:right w:val="nil"/>
            </w:tcBorders>
            <w:shd w:val="clear" w:color="auto" w:fill="auto"/>
            <w:vAlign w:val="bottom"/>
          </w:tcPr>
          <w:p w14:paraId="6B8264FC"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1.999</w:t>
            </w:r>
          </w:p>
        </w:tc>
      </w:tr>
      <w:tr w:rsidR="000E1F3A" w:rsidRPr="003D1614" w14:paraId="4D7ED9E5" w14:textId="77777777" w:rsidTr="00422DD5">
        <w:trPr>
          <w:cantSplit/>
          <w:trHeight w:val="315"/>
          <w:tblHeader/>
        </w:trPr>
        <w:tc>
          <w:tcPr>
            <w:tcW w:w="2553" w:type="pct"/>
            <w:vAlign w:val="bottom"/>
          </w:tcPr>
          <w:p w14:paraId="4A180817" w14:textId="77777777" w:rsidR="000E1F3A" w:rsidRPr="003D1614" w:rsidRDefault="000E1F3A" w:rsidP="00422DD5">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31" w:name="_Toc67329316"/>
            <w:r w:rsidRPr="003D1614">
              <w:rPr>
                <w:rFonts w:ascii="Arial" w:eastAsia="Times New Roman" w:hAnsi="Arial" w:cs="Arial"/>
                <w:b/>
                <w:bCs/>
                <w:color w:val="000000" w:themeColor="text1"/>
                <w:sz w:val="18"/>
                <w:szCs w:val="18"/>
              </w:rPr>
              <w:t>Ukupno</w:t>
            </w:r>
            <w:bookmarkEnd w:id="631"/>
            <w:r w:rsidRPr="003D1614">
              <w:rPr>
                <w:rFonts w:ascii="Arial" w:eastAsia="Times New Roman" w:hAnsi="Arial" w:cs="Arial"/>
                <w:b/>
                <w:bCs/>
                <w:color w:val="000000" w:themeColor="text1"/>
                <w:sz w:val="18"/>
                <w:szCs w:val="18"/>
              </w:rPr>
              <w:t xml:space="preserve"> </w:t>
            </w:r>
          </w:p>
        </w:tc>
        <w:tc>
          <w:tcPr>
            <w:tcW w:w="612" w:type="pct"/>
            <w:tcBorders>
              <w:top w:val="nil"/>
              <w:left w:val="nil"/>
              <w:bottom w:val="single" w:sz="8" w:space="0" w:color="auto"/>
              <w:right w:val="nil"/>
            </w:tcBorders>
            <w:shd w:val="clear" w:color="auto" w:fill="auto"/>
            <w:vAlign w:val="bottom"/>
          </w:tcPr>
          <w:p w14:paraId="16FB4A00"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3.886.636</w:t>
            </w:r>
          </w:p>
        </w:tc>
        <w:tc>
          <w:tcPr>
            <w:tcW w:w="612" w:type="pct"/>
            <w:tcBorders>
              <w:top w:val="nil"/>
              <w:left w:val="nil"/>
              <w:bottom w:val="single" w:sz="8" w:space="0" w:color="auto"/>
              <w:right w:val="nil"/>
            </w:tcBorders>
            <w:shd w:val="clear" w:color="auto" w:fill="auto"/>
            <w:vAlign w:val="bottom"/>
          </w:tcPr>
          <w:p w14:paraId="4152AE34"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63.864</w:t>
            </w:r>
          </w:p>
        </w:tc>
        <w:tc>
          <w:tcPr>
            <w:tcW w:w="612" w:type="pct"/>
            <w:tcBorders>
              <w:top w:val="nil"/>
              <w:left w:val="nil"/>
              <w:bottom w:val="single" w:sz="8" w:space="0" w:color="auto"/>
              <w:right w:val="nil"/>
            </w:tcBorders>
            <w:shd w:val="clear" w:color="auto" w:fill="auto"/>
            <w:vAlign w:val="bottom"/>
          </w:tcPr>
          <w:p w14:paraId="1BF1D051"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5.503</w:t>
            </w:r>
          </w:p>
        </w:tc>
        <w:tc>
          <w:tcPr>
            <w:tcW w:w="611" w:type="pct"/>
            <w:tcBorders>
              <w:top w:val="nil"/>
              <w:left w:val="nil"/>
              <w:bottom w:val="single" w:sz="8" w:space="0" w:color="auto"/>
              <w:right w:val="nil"/>
            </w:tcBorders>
            <w:shd w:val="clear" w:color="auto" w:fill="auto"/>
            <w:vAlign w:val="bottom"/>
          </w:tcPr>
          <w:p w14:paraId="26D17B95"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3.956.003</w:t>
            </w:r>
          </w:p>
        </w:tc>
      </w:tr>
      <w:tr w:rsidR="000E1F3A" w:rsidRPr="003D1614" w14:paraId="07455623" w14:textId="77777777" w:rsidTr="00422DD5">
        <w:tblPrEx>
          <w:tblCellMar>
            <w:left w:w="31" w:type="dxa"/>
            <w:right w:w="31" w:type="dxa"/>
          </w:tblCellMar>
        </w:tblPrEx>
        <w:trPr>
          <w:cantSplit/>
          <w:trHeight w:val="265"/>
          <w:tblHeader/>
        </w:trPr>
        <w:tc>
          <w:tcPr>
            <w:tcW w:w="2553" w:type="pct"/>
            <w:vAlign w:val="bottom"/>
          </w:tcPr>
          <w:p w14:paraId="167A0D12" w14:textId="77777777" w:rsidR="000E1F3A" w:rsidRPr="003D1614" w:rsidRDefault="000E1F3A" w:rsidP="00422DD5">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p>
        </w:tc>
        <w:tc>
          <w:tcPr>
            <w:tcW w:w="612" w:type="pct"/>
            <w:tcBorders>
              <w:top w:val="single" w:sz="12" w:space="0" w:color="auto"/>
            </w:tcBorders>
            <w:vAlign w:val="bottom"/>
          </w:tcPr>
          <w:p w14:paraId="63542E13"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2" w:type="pct"/>
            <w:tcBorders>
              <w:top w:val="single" w:sz="12" w:space="0" w:color="auto"/>
            </w:tcBorders>
            <w:vAlign w:val="bottom"/>
          </w:tcPr>
          <w:p w14:paraId="2F787422"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2" w:type="pct"/>
            <w:tcBorders>
              <w:top w:val="single" w:sz="12" w:space="0" w:color="auto"/>
            </w:tcBorders>
            <w:vAlign w:val="bottom"/>
          </w:tcPr>
          <w:p w14:paraId="3B0BFF0A"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1" w:type="pct"/>
            <w:tcBorders>
              <w:top w:val="single" w:sz="12" w:space="0" w:color="auto"/>
            </w:tcBorders>
            <w:vAlign w:val="bottom"/>
          </w:tcPr>
          <w:p w14:paraId="5643EF6F"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r>
      <w:tr w:rsidR="000E1F3A" w:rsidRPr="003D1614" w14:paraId="0145B1B7" w14:textId="77777777" w:rsidTr="00422DD5">
        <w:tblPrEx>
          <w:tblCellMar>
            <w:left w:w="31" w:type="dxa"/>
            <w:right w:w="31" w:type="dxa"/>
          </w:tblCellMar>
        </w:tblPrEx>
        <w:trPr>
          <w:cantSplit/>
          <w:trHeight w:val="265"/>
          <w:tblHeader/>
        </w:trPr>
        <w:tc>
          <w:tcPr>
            <w:tcW w:w="2553" w:type="pct"/>
          </w:tcPr>
          <w:p w14:paraId="0A0623E8" w14:textId="77777777" w:rsidR="000E1F3A" w:rsidRPr="003D1614" w:rsidRDefault="000E1F3A" w:rsidP="00422DD5">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32" w:name="_Toc67329321"/>
            <w:r w:rsidRPr="003D1614">
              <w:rPr>
                <w:rFonts w:ascii="Arial" w:eastAsia="Times New Roman" w:hAnsi="Arial" w:cs="Arial"/>
                <w:b/>
                <w:bCs/>
                <w:color w:val="000000" w:themeColor="text1"/>
                <w:sz w:val="18"/>
                <w:szCs w:val="18"/>
              </w:rPr>
              <w:t>Garancije i preuzete obveze</w:t>
            </w:r>
            <w:bookmarkEnd w:id="632"/>
          </w:p>
        </w:tc>
        <w:tc>
          <w:tcPr>
            <w:tcW w:w="612" w:type="pct"/>
            <w:vAlign w:val="bottom"/>
          </w:tcPr>
          <w:p w14:paraId="289C2EAF"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2" w:type="pct"/>
            <w:vAlign w:val="bottom"/>
          </w:tcPr>
          <w:p w14:paraId="0AB7BA48"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2" w:type="pct"/>
            <w:vAlign w:val="bottom"/>
          </w:tcPr>
          <w:p w14:paraId="4572134E"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11" w:type="pct"/>
            <w:vAlign w:val="bottom"/>
          </w:tcPr>
          <w:p w14:paraId="445B6530"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r>
      <w:tr w:rsidR="000E1F3A" w:rsidRPr="003D1614" w14:paraId="07AD346D" w14:textId="77777777" w:rsidTr="00422DD5">
        <w:tblPrEx>
          <w:tblCellMar>
            <w:left w:w="31" w:type="dxa"/>
            <w:right w:w="31" w:type="dxa"/>
          </w:tblCellMar>
        </w:tblPrEx>
        <w:trPr>
          <w:cantSplit/>
          <w:trHeight w:val="265"/>
          <w:tblHeader/>
        </w:trPr>
        <w:tc>
          <w:tcPr>
            <w:tcW w:w="2553" w:type="pct"/>
          </w:tcPr>
          <w:p w14:paraId="69BF73B3" w14:textId="77777777" w:rsidR="000E1F3A" w:rsidRPr="003D1614" w:rsidRDefault="000E1F3A" w:rsidP="00422DD5">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33" w:name="_Toc67329322"/>
            <w:r w:rsidRPr="003D1614">
              <w:rPr>
                <w:rFonts w:ascii="Arial" w:eastAsia="Times New Roman" w:hAnsi="Arial" w:cs="Arial"/>
                <w:color w:val="000000" w:themeColor="text1"/>
                <w:sz w:val="18"/>
                <w:szCs w:val="18"/>
              </w:rPr>
              <w:t>Izdane garancije</w:t>
            </w:r>
            <w:bookmarkEnd w:id="633"/>
          </w:p>
        </w:tc>
        <w:tc>
          <w:tcPr>
            <w:tcW w:w="612" w:type="pct"/>
            <w:tcBorders>
              <w:top w:val="nil"/>
              <w:left w:val="nil"/>
              <w:bottom w:val="nil"/>
              <w:right w:val="nil"/>
            </w:tcBorders>
            <w:shd w:val="clear" w:color="auto" w:fill="auto"/>
            <w:vAlign w:val="bottom"/>
          </w:tcPr>
          <w:p w14:paraId="70C67909"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27.472</w:t>
            </w:r>
          </w:p>
        </w:tc>
        <w:tc>
          <w:tcPr>
            <w:tcW w:w="612" w:type="pct"/>
            <w:tcBorders>
              <w:top w:val="nil"/>
              <w:left w:val="nil"/>
              <w:bottom w:val="nil"/>
              <w:right w:val="nil"/>
            </w:tcBorders>
            <w:shd w:val="clear" w:color="auto" w:fill="auto"/>
            <w:vAlign w:val="bottom"/>
          </w:tcPr>
          <w:p w14:paraId="091E3FDD"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12" w:type="pct"/>
            <w:tcBorders>
              <w:top w:val="nil"/>
              <w:left w:val="nil"/>
              <w:bottom w:val="nil"/>
              <w:right w:val="nil"/>
            </w:tcBorders>
            <w:shd w:val="clear" w:color="auto" w:fill="auto"/>
            <w:vAlign w:val="bottom"/>
          </w:tcPr>
          <w:p w14:paraId="6884C2D8"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4833D633"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27.472</w:t>
            </w:r>
          </w:p>
        </w:tc>
      </w:tr>
      <w:tr w:rsidR="000E1F3A" w:rsidRPr="003D1614" w14:paraId="579590D5" w14:textId="77777777" w:rsidTr="00422DD5">
        <w:tblPrEx>
          <w:tblCellMar>
            <w:left w:w="31" w:type="dxa"/>
            <w:right w:w="31" w:type="dxa"/>
          </w:tblCellMar>
        </w:tblPrEx>
        <w:trPr>
          <w:cantSplit/>
          <w:trHeight w:val="265"/>
          <w:tblHeader/>
        </w:trPr>
        <w:tc>
          <w:tcPr>
            <w:tcW w:w="2553" w:type="pct"/>
            <w:vAlign w:val="bottom"/>
          </w:tcPr>
          <w:p w14:paraId="1AC10188" w14:textId="77777777" w:rsidR="000E1F3A" w:rsidRPr="003D1614" w:rsidRDefault="000E1F3A" w:rsidP="00422DD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34" w:name="_Toc67329327"/>
            <w:r w:rsidRPr="003D1614">
              <w:rPr>
                <w:rFonts w:ascii="Arial" w:eastAsia="Times New Roman" w:hAnsi="Arial" w:cs="Arial"/>
                <w:color w:val="000000" w:themeColor="text1"/>
                <w:sz w:val="18"/>
                <w:szCs w:val="18"/>
              </w:rPr>
              <w:t>Izdane garancije u devizama</w:t>
            </w:r>
            <w:bookmarkEnd w:id="634"/>
          </w:p>
        </w:tc>
        <w:tc>
          <w:tcPr>
            <w:tcW w:w="612" w:type="pct"/>
            <w:tcBorders>
              <w:top w:val="nil"/>
              <w:left w:val="nil"/>
              <w:bottom w:val="nil"/>
              <w:right w:val="nil"/>
            </w:tcBorders>
            <w:shd w:val="clear" w:color="auto" w:fill="auto"/>
            <w:vAlign w:val="bottom"/>
          </w:tcPr>
          <w:p w14:paraId="79648044"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5.155</w:t>
            </w:r>
          </w:p>
        </w:tc>
        <w:tc>
          <w:tcPr>
            <w:tcW w:w="612" w:type="pct"/>
            <w:tcBorders>
              <w:top w:val="nil"/>
              <w:left w:val="nil"/>
              <w:bottom w:val="nil"/>
              <w:right w:val="nil"/>
            </w:tcBorders>
            <w:shd w:val="clear" w:color="auto" w:fill="auto"/>
            <w:vAlign w:val="bottom"/>
          </w:tcPr>
          <w:p w14:paraId="1F99A3F2"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12" w:type="pct"/>
            <w:tcBorders>
              <w:top w:val="nil"/>
              <w:left w:val="nil"/>
              <w:bottom w:val="nil"/>
              <w:right w:val="nil"/>
            </w:tcBorders>
            <w:shd w:val="clear" w:color="auto" w:fill="auto"/>
            <w:vAlign w:val="bottom"/>
          </w:tcPr>
          <w:p w14:paraId="64333C79"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1CA3EBB0"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5.155</w:t>
            </w:r>
          </w:p>
        </w:tc>
      </w:tr>
      <w:tr w:rsidR="000E1F3A" w:rsidRPr="003D1614" w14:paraId="425C134F" w14:textId="77777777" w:rsidTr="00422DD5">
        <w:tblPrEx>
          <w:tblCellMar>
            <w:left w:w="31" w:type="dxa"/>
            <w:right w:w="31" w:type="dxa"/>
          </w:tblCellMar>
        </w:tblPrEx>
        <w:trPr>
          <w:cantSplit/>
          <w:trHeight w:val="265"/>
          <w:tblHeader/>
        </w:trPr>
        <w:tc>
          <w:tcPr>
            <w:tcW w:w="2553" w:type="pct"/>
            <w:vAlign w:val="bottom"/>
          </w:tcPr>
          <w:p w14:paraId="1FE229AD" w14:textId="77777777" w:rsidR="000E1F3A" w:rsidRPr="003D1614" w:rsidRDefault="000E1F3A" w:rsidP="00422DD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35" w:name="_Toc67329337"/>
            <w:r w:rsidRPr="003D1614">
              <w:rPr>
                <w:rFonts w:ascii="Arial" w:eastAsia="Times New Roman" w:hAnsi="Arial" w:cs="Arial"/>
                <w:color w:val="000000" w:themeColor="text1"/>
                <w:sz w:val="18"/>
                <w:szCs w:val="18"/>
              </w:rPr>
              <w:t>Preuzete obveze po kreditima</w:t>
            </w:r>
            <w:bookmarkEnd w:id="635"/>
          </w:p>
        </w:tc>
        <w:tc>
          <w:tcPr>
            <w:tcW w:w="612" w:type="pct"/>
            <w:tcBorders>
              <w:top w:val="nil"/>
              <w:left w:val="nil"/>
              <w:bottom w:val="single" w:sz="4" w:space="0" w:color="auto"/>
              <w:right w:val="nil"/>
            </w:tcBorders>
            <w:shd w:val="clear" w:color="auto" w:fill="auto"/>
            <w:vAlign w:val="bottom"/>
          </w:tcPr>
          <w:p w14:paraId="426593B6"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551.236</w:t>
            </w:r>
          </w:p>
        </w:tc>
        <w:tc>
          <w:tcPr>
            <w:tcW w:w="612" w:type="pct"/>
            <w:tcBorders>
              <w:top w:val="nil"/>
              <w:left w:val="nil"/>
              <w:bottom w:val="single" w:sz="4" w:space="0" w:color="auto"/>
              <w:right w:val="nil"/>
            </w:tcBorders>
            <w:shd w:val="clear" w:color="auto" w:fill="auto"/>
            <w:vAlign w:val="bottom"/>
          </w:tcPr>
          <w:p w14:paraId="4DE079FE"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806</w:t>
            </w:r>
          </w:p>
        </w:tc>
        <w:tc>
          <w:tcPr>
            <w:tcW w:w="612" w:type="pct"/>
            <w:tcBorders>
              <w:top w:val="nil"/>
              <w:left w:val="nil"/>
              <w:bottom w:val="single" w:sz="4" w:space="0" w:color="auto"/>
              <w:right w:val="nil"/>
            </w:tcBorders>
            <w:shd w:val="clear" w:color="auto" w:fill="auto"/>
            <w:vAlign w:val="bottom"/>
          </w:tcPr>
          <w:p w14:paraId="37B4ED0D"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2.976</w:t>
            </w:r>
          </w:p>
        </w:tc>
        <w:tc>
          <w:tcPr>
            <w:tcW w:w="611" w:type="pct"/>
            <w:tcBorders>
              <w:top w:val="nil"/>
              <w:left w:val="nil"/>
              <w:bottom w:val="single" w:sz="4" w:space="0" w:color="auto"/>
              <w:right w:val="nil"/>
            </w:tcBorders>
            <w:shd w:val="clear" w:color="auto" w:fill="auto"/>
            <w:vAlign w:val="bottom"/>
          </w:tcPr>
          <w:p w14:paraId="32F6D527"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555.018</w:t>
            </w:r>
          </w:p>
        </w:tc>
      </w:tr>
      <w:tr w:rsidR="000E1F3A" w:rsidRPr="003D1614" w14:paraId="5A9F840F" w14:textId="77777777" w:rsidTr="00422DD5">
        <w:tblPrEx>
          <w:tblCellMar>
            <w:left w:w="31" w:type="dxa"/>
            <w:right w:w="31" w:type="dxa"/>
          </w:tblCellMar>
        </w:tblPrEx>
        <w:trPr>
          <w:cantSplit/>
          <w:trHeight w:val="393"/>
          <w:tblHeader/>
        </w:trPr>
        <w:tc>
          <w:tcPr>
            <w:tcW w:w="2553" w:type="pct"/>
            <w:vAlign w:val="bottom"/>
          </w:tcPr>
          <w:p w14:paraId="615D84E1" w14:textId="77777777" w:rsidR="000E1F3A" w:rsidRPr="003D1614" w:rsidRDefault="000E1F3A" w:rsidP="00422DD5">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36" w:name="_Toc67329347"/>
            <w:r w:rsidRPr="003D1614">
              <w:rPr>
                <w:rFonts w:ascii="Arial" w:eastAsia="Times New Roman" w:hAnsi="Arial" w:cs="Arial"/>
                <w:b/>
                <w:bCs/>
                <w:color w:val="000000" w:themeColor="text1"/>
                <w:sz w:val="18"/>
                <w:szCs w:val="18"/>
              </w:rPr>
              <w:t>Ukupno</w:t>
            </w:r>
            <w:bookmarkEnd w:id="636"/>
          </w:p>
        </w:tc>
        <w:tc>
          <w:tcPr>
            <w:tcW w:w="612" w:type="pct"/>
            <w:tcBorders>
              <w:top w:val="single" w:sz="4" w:space="0" w:color="auto"/>
              <w:left w:val="nil"/>
              <w:bottom w:val="single" w:sz="12" w:space="0" w:color="auto"/>
              <w:right w:val="nil"/>
            </w:tcBorders>
            <w:shd w:val="clear" w:color="auto" w:fill="auto"/>
            <w:vAlign w:val="bottom"/>
          </w:tcPr>
          <w:p w14:paraId="5BBF9B01"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583.863</w:t>
            </w:r>
          </w:p>
        </w:tc>
        <w:tc>
          <w:tcPr>
            <w:tcW w:w="612" w:type="pct"/>
            <w:tcBorders>
              <w:top w:val="single" w:sz="4" w:space="0" w:color="auto"/>
              <w:left w:val="nil"/>
              <w:bottom w:val="single" w:sz="12" w:space="0" w:color="auto"/>
              <w:right w:val="nil"/>
            </w:tcBorders>
            <w:shd w:val="clear" w:color="auto" w:fill="auto"/>
            <w:vAlign w:val="bottom"/>
          </w:tcPr>
          <w:p w14:paraId="60AA6B73"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806</w:t>
            </w:r>
          </w:p>
        </w:tc>
        <w:tc>
          <w:tcPr>
            <w:tcW w:w="612" w:type="pct"/>
            <w:tcBorders>
              <w:top w:val="single" w:sz="4" w:space="0" w:color="auto"/>
              <w:left w:val="nil"/>
              <w:bottom w:val="single" w:sz="12" w:space="0" w:color="auto"/>
              <w:right w:val="nil"/>
            </w:tcBorders>
            <w:shd w:val="clear" w:color="auto" w:fill="auto"/>
            <w:vAlign w:val="bottom"/>
          </w:tcPr>
          <w:p w14:paraId="04E8FECF"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2.976</w:t>
            </w:r>
          </w:p>
        </w:tc>
        <w:tc>
          <w:tcPr>
            <w:tcW w:w="611" w:type="pct"/>
            <w:tcBorders>
              <w:top w:val="single" w:sz="4" w:space="0" w:color="auto"/>
              <w:left w:val="nil"/>
              <w:bottom w:val="single" w:sz="12" w:space="0" w:color="auto"/>
              <w:right w:val="nil"/>
            </w:tcBorders>
            <w:shd w:val="clear" w:color="auto" w:fill="auto"/>
            <w:vAlign w:val="bottom"/>
          </w:tcPr>
          <w:p w14:paraId="7984117B"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587.645</w:t>
            </w:r>
          </w:p>
        </w:tc>
      </w:tr>
      <w:tr w:rsidR="000E1F3A" w:rsidRPr="003D1614" w14:paraId="79A04333" w14:textId="77777777" w:rsidTr="00422DD5">
        <w:tblPrEx>
          <w:tblCellMar>
            <w:left w:w="31" w:type="dxa"/>
            <w:right w:w="31" w:type="dxa"/>
          </w:tblCellMar>
        </w:tblPrEx>
        <w:trPr>
          <w:cantSplit/>
          <w:trHeight w:hRule="exact" w:val="120"/>
          <w:tblHeader/>
        </w:trPr>
        <w:tc>
          <w:tcPr>
            <w:tcW w:w="2553" w:type="pct"/>
            <w:vAlign w:val="bottom"/>
          </w:tcPr>
          <w:p w14:paraId="349A0E57" w14:textId="77777777" w:rsidR="000E1F3A" w:rsidRPr="003D1614" w:rsidRDefault="000E1F3A" w:rsidP="00422DD5">
            <w:pPr>
              <w:tabs>
                <w:tab w:val="right" w:pos="1202"/>
              </w:tabs>
              <w:suppressAutoHyphens/>
              <w:autoSpaceDN w:val="0"/>
              <w:spacing w:line="301" w:lineRule="exact"/>
              <w:outlineLvl w:val="0"/>
              <w:rPr>
                <w:rFonts w:ascii="Arial" w:eastAsia="Times New Roman" w:hAnsi="Arial" w:cs="Arial"/>
                <w:color w:val="000000" w:themeColor="text1"/>
                <w:sz w:val="18"/>
                <w:szCs w:val="18"/>
              </w:rPr>
            </w:pPr>
          </w:p>
        </w:tc>
        <w:tc>
          <w:tcPr>
            <w:tcW w:w="612" w:type="pct"/>
            <w:tcBorders>
              <w:top w:val="single" w:sz="12" w:space="0" w:color="auto"/>
            </w:tcBorders>
            <w:vAlign w:val="bottom"/>
          </w:tcPr>
          <w:p w14:paraId="1524DFBF"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4.47</w:t>
            </w:r>
          </w:p>
        </w:tc>
        <w:tc>
          <w:tcPr>
            <w:tcW w:w="612" w:type="pct"/>
            <w:tcBorders>
              <w:top w:val="single" w:sz="12" w:space="0" w:color="auto"/>
            </w:tcBorders>
            <w:vAlign w:val="bottom"/>
          </w:tcPr>
          <w:p w14:paraId="42A86872"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612" w:type="pct"/>
            <w:tcBorders>
              <w:top w:val="single" w:sz="12" w:space="0" w:color="auto"/>
            </w:tcBorders>
            <w:vAlign w:val="bottom"/>
          </w:tcPr>
          <w:p w14:paraId="51BBB0E2"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c>
          <w:tcPr>
            <w:tcW w:w="611" w:type="pct"/>
            <w:tcBorders>
              <w:top w:val="single" w:sz="12" w:space="0" w:color="auto"/>
            </w:tcBorders>
            <w:vAlign w:val="bottom"/>
          </w:tcPr>
          <w:p w14:paraId="287DB548"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p>
        </w:tc>
      </w:tr>
      <w:tr w:rsidR="000E1F3A" w:rsidRPr="003D1614" w14:paraId="3C1966DB" w14:textId="77777777" w:rsidTr="00422DD5">
        <w:tblPrEx>
          <w:tblCellMar>
            <w:left w:w="31" w:type="dxa"/>
            <w:right w:w="31" w:type="dxa"/>
          </w:tblCellMar>
        </w:tblPrEx>
        <w:trPr>
          <w:cantSplit/>
          <w:trHeight w:val="375"/>
          <w:tblHeader/>
        </w:trPr>
        <w:tc>
          <w:tcPr>
            <w:tcW w:w="2553" w:type="pct"/>
            <w:vAlign w:val="bottom"/>
          </w:tcPr>
          <w:p w14:paraId="143EF6A3" w14:textId="77777777" w:rsidR="000E1F3A" w:rsidRPr="003D1614" w:rsidRDefault="000E1F3A" w:rsidP="00422DD5">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37" w:name="_Toc67329352"/>
            <w:r w:rsidRPr="003D1614">
              <w:rPr>
                <w:rFonts w:ascii="Arial" w:eastAsia="Times New Roman" w:hAnsi="Arial" w:cs="Arial"/>
                <w:b/>
                <w:bCs/>
                <w:color w:val="000000" w:themeColor="text1"/>
                <w:sz w:val="18"/>
                <w:szCs w:val="18"/>
              </w:rPr>
              <w:t>Ukupna izloženost kreditnom riziku</w:t>
            </w:r>
            <w:bookmarkEnd w:id="637"/>
          </w:p>
        </w:tc>
        <w:tc>
          <w:tcPr>
            <w:tcW w:w="612" w:type="pct"/>
            <w:tcBorders>
              <w:top w:val="nil"/>
              <w:left w:val="nil"/>
              <w:bottom w:val="single" w:sz="12" w:space="0" w:color="auto"/>
              <w:right w:val="nil"/>
            </w:tcBorders>
            <w:shd w:val="clear" w:color="auto" w:fill="auto"/>
            <w:vAlign w:val="bottom"/>
          </w:tcPr>
          <w:p w14:paraId="4E888F79"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4.470.499</w:t>
            </w:r>
          </w:p>
        </w:tc>
        <w:tc>
          <w:tcPr>
            <w:tcW w:w="612" w:type="pct"/>
            <w:tcBorders>
              <w:top w:val="nil"/>
              <w:left w:val="nil"/>
              <w:bottom w:val="single" w:sz="12" w:space="0" w:color="auto"/>
              <w:right w:val="nil"/>
            </w:tcBorders>
            <w:shd w:val="clear" w:color="auto" w:fill="auto"/>
            <w:vAlign w:val="bottom"/>
          </w:tcPr>
          <w:p w14:paraId="67F50100"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64.670</w:t>
            </w:r>
          </w:p>
        </w:tc>
        <w:tc>
          <w:tcPr>
            <w:tcW w:w="612" w:type="pct"/>
            <w:tcBorders>
              <w:top w:val="nil"/>
              <w:left w:val="nil"/>
              <w:bottom w:val="single" w:sz="12" w:space="0" w:color="auto"/>
              <w:right w:val="nil"/>
            </w:tcBorders>
            <w:shd w:val="clear" w:color="auto" w:fill="auto"/>
            <w:vAlign w:val="bottom"/>
          </w:tcPr>
          <w:p w14:paraId="3D345A5B"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8.479</w:t>
            </w:r>
          </w:p>
        </w:tc>
        <w:tc>
          <w:tcPr>
            <w:tcW w:w="611" w:type="pct"/>
            <w:tcBorders>
              <w:top w:val="nil"/>
              <w:left w:val="nil"/>
              <w:bottom w:val="single" w:sz="12" w:space="0" w:color="auto"/>
              <w:right w:val="nil"/>
            </w:tcBorders>
            <w:shd w:val="clear" w:color="auto" w:fill="auto"/>
            <w:vAlign w:val="bottom"/>
          </w:tcPr>
          <w:p w14:paraId="1C7B2A7B" w14:textId="77777777" w:rsidR="000E1F3A" w:rsidRPr="003D1614" w:rsidRDefault="000E1F3A" w:rsidP="00422DD5">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4.543.648</w:t>
            </w:r>
          </w:p>
        </w:tc>
      </w:tr>
      <w:bookmarkEnd w:id="612"/>
    </w:tbl>
    <w:p w14:paraId="09CF89BD" w14:textId="77777777" w:rsidR="00A13103" w:rsidRPr="003D1614" w:rsidRDefault="00A13103" w:rsidP="00A13103">
      <w:pPr>
        <w:suppressAutoHyphens/>
        <w:autoSpaceDN w:val="0"/>
        <w:rPr>
          <w:rFonts w:ascii="Arial" w:eastAsia="Times New Roman" w:hAnsi="Arial" w:cs="Arial"/>
          <w:b/>
          <w:bCs/>
          <w:color w:val="000000" w:themeColor="text1"/>
          <w:sz w:val="20"/>
          <w:szCs w:val="20"/>
        </w:rPr>
      </w:pPr>
    </w:p>
    <w:p w14:paraId="0129C3E8" w14:textId="4B303C7C" w:rsidR="003311C4" w:rsidRPr="003D1614" w:rsidRDefault="003311C4" w:rsidP="003311C4">
      <w:pPr>
        <w:suppressAutoHyphens/>
        <w:autoSpaceDN w:val="0"/>
        <w:jc w:val="both"/>
        <w:rPr>
          <w:rFonts w:ascii="Arial" w:eastAsia="Times New Roman" w:hAnsi="Arial" w:cs="Arial"/>
          <w:color w:val="000000" w:themeColor="text1"/>
          <w:sz w:val="20"/>
          <w:szCs w:val="20"/>
        </w:rPr>
      </w:pPr>
    </w:p>
    <w:p w14:paraId="2EC0B873" w14:textId="77777777" w:rsidR="00A13103" w:rsidRPr="003D1614" w:rsidRDefault="00A13103" w:rsidP="003311C4">
      <w:pPr>
        <w:suppressAutoHyphens/>
        <w:autoSpaceDN w:val="0"/>
        <w:jc w:val="both"/>
        <w:rPr>
          <w:rFonts w:ascii="Arial" w:eastAsia="Times New Roman" w:hAnsi="Arial" w:cs="Arial"/>
          <w:color w:val="000000" w:themeColor="text1"/>
          <w:sz w:val="20"/>
          <w:szCs w:val="20"/>
        </w:rPr>
        <w:sectPr w:rsidR="00A13103" w:rsidRPr="003D1614">
          <w:pgSz w:w="11906" w:h="16838"/>
          <w:pgMar w:top="1417" w:right="1417" w:bottom="1417" w:left="1417" w:header="708" w:footer="708" w:gutter="0"/>
          <w:cols w:space="708"/>
          <w:docGrid w:linePitch="360"/>
        </w:sectPr>
      </w:pPr>
    </w:p>
    <w:p w14:paraId="3653209D"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2E16FF61" w14:textId="4AD7DBEB"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434FE5A2"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6B2956EF" w14:textId="262387CC"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2BF8FBEC"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p>
    <w:p w14:paraId="09E55232" w14:textId="77777777" w:rsidR="00A13103" w:rsidRPr="003D1614" w:rsidRDefault="00A13103" w:rsidP="00A13103">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Koncentracija rizika i maksimalna izloženost kreditnom riziku (nastavak)</w:t>
      </w:r>
    </w:p>
    <w:p w14:paraId="3D8F0A40" w14:textId="77777777" w:rsidR="00A13103" w:rsidRPr="003D1614" w:rsidRDefault="00A13103" w:rsidP="00A13103">
      <w:pPr>
        <w:keepNext/>
        <w:suppressAutoHyphens/>
        <w:autoSpaceDN w:val="0"/>
        <w:jc w:val="both"/>
        <w:outlineLvl w:val="0"/>
        <w:rPr>
          <w:rFonts w:ascii="Arial" w:eastAsia="Times New Roman" w:hAnsi="Arial" w:cs="Arial"/>
          <w:color w:val="000000" w:themeColor="text1"/>
          <w:sz w:val="20"/>
          <w:szCs w:val="20"/>
        </w:rPr>
      </w:pPr>
    </w:p>
    <w:p w14:paraId="33891B08" w14:textId="77777777" w:rsidR="00A13103" w:rsidRPr="003D1614" w:rsidRDefault="00A13103" w:rsidP="00A13103">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Koncentracija imovine i garancija te preuzetih obveza prema zemljopisnim segmentima, neto izloženost, </w:t>
      </w:r>
      <w:r w:rsidRPr="003D1614">
        <w:rPr>
          <w:rFonts w:ascii="Arial" w:eastAsia="Times New Roman" w:hAnsi="Arial" w:cs="Arial"/>
          <w:bCs/>
          <w:color w:val="000000" w:themeColor="text1"/>
          <w:sz w:val="20"/>
          <w:szCs w:val="20"/>
        </w:rPr>
        <w:t>bez umanjenja za vrijednost sredstava osiguranja naplate</w:t>
      </w:r>
      <w:r w:rsidRPr="003D1614">
        <w:rPr>
          <w:rFonts w:ascii="Arial" w:eastAsia="Times New Roman" w:hAnsi="Arial" w:cs="Arial"/>
          <w:color w:val="000000" w:themeColor="text1"/>
          <w:sz w:val="20"/>
          <w:szCs w:val="20"/>
        </w:rPr>
        <w:t xml:space="preserve"> (nastavak): </w:t>
      </w:r>
    </w:p>
    <w:p w14:paraId="148D4621" w14:textId="3270E85F" w:rsidR="00A13103" w:rsidRPr="003D1614" w:rsidRDefault="00A13103" w:rsidP="003311C4">
      <w:pPr>
        <w:suppressAutoHyphens/>
        <w:autoSpaceDN w:val="0"/>
        <w:jc w:val="both"/>
        <w:rPr>
          <w:rFonts w:ascii="Arial" w:eastAsia="Times New Roman" w:hAnsi="Arial" w:cs="Arial"/>
          <w:color w:val="000000" w:themeColor="text1"/>
          <w:sz w:val="20"/>
          <w:szCs w:val="20"/>
        </w:rPr>
      </w:pPr>
    </w:p>
    <w:p w14:paraId="308F6120" w14:textId="078DCF96" w:rsidR="00A13103" w:rsidRPr="003D1614" w:rsidRDefault="00A13103" w:rsidP="003311C4">
      <w:pPr>
        <w:suppressAutoHyphens/>
        <w:autoSpaceDN w:val="0"/>
        <w:jc w:val="both"/>
        <w:rPr>
          <w:rFonts w:ascii="Arial" w:eastAsia="Times New Roman" w:hAnsi="Arial" w:cs="Arial"/>
          <w:color w:val="000000" w:themeColor="text1"/>
          <w:sz w:val="20"/>
          <w:szCs w:val="20"/>
        </w:rPr>
      </w:pPr>
    </w:p>
    <w:tbl>
      <w:tblPr>
        <w:tblW w:w="4985" w:type="pct"/>
        <w:tblLayout w:type="fixed"/>
        <w:tblCellMar>
          <w:left w:w="30" w:type="dxa"/>
          <w:right w:w="30" w:type="dxa"/>
        </w:tblCellMar>
        <w:tblLook w:val="0000" w:firstRow="0" w:lastRow="0" w:firstColumn="0" w:lastColumn="0" w:noHBand="0" w:noVBand="0"/>
      </w:tblPr>
      <w:tblGrid>
        <w:gridCol w:w="4619"/>
        <w:gridCol w:w="1107"/>
        <w:gridCol w:w="1107"/>
        <w:gridCol w:w="1107"/>
        <w:gridCol w:w="1105"/>
      </w:tblGrid>
      <w:tr w:rsidR="004A1D81" w:rsidRPr="009C411C" w14:paraId="3F934888" w14:textId="77777777" w:rsidTr="00E12A58">
        <w:trPr>
          <w:cantSplit/>
          <w:trHeight w:val="265"/>
          <w:tblHeader/>
        </w:trPr>
        <w:tc>
          <w:tcPr>
            <w:tcW w:w="2552" w:type="pct"/>
          </w:tcPr>
          <w:p w14:paraId="208DCD74" w14:textId="77777777" w:rsidR="004A1D81" w:rsidRPr="009C411C" w:rsidRDefault="004A1D81" w:rsidP="00E12A58">
            <w:pPr>
              <w:tabs>
                <w:tab w:val="right" w:pos="1202"/>
              </w:tabs>
              <w:spacing w:line="240" w:lineRule="atLeast"/>
              <w:outlineLvl w:val="0"/>
              <w:rPr>
                <w:rFonts w:ascii="Arial" w:hAnsi="Arial" w:cs="Arial"/>
                <w:b/>
                <w:color w:val="000000" w:themeColor="text1"/>
                <w:sz w:val="18"/>
                <w:szCs w:val="18"/>
              </w:rPr>
            </w:pPr>
            <w:r w:rsidRPr="009C411C">
              <w:rPr>
                <w:rFonts w:ascii="Arial" w:hAnsi="Arial" w:cs="Arial"/>
                <w:b/>
                <w:color w:val="000000" w:themeColor="text1"/>
                <w:sz w:val="18"/>
                <w:szCs w:val="18"/>
              </w:rPr>
              <w:t>Grupa</w:t>
            </w:r>
          </w:p>
          <w:p w14:paraId="7B0FADA2" w14:textId="77777777" w:rsidR="004A1D81" w:rsidRPr="009C411C" w:rsidRDefault="004A1D81" w:rsidP="00E12A58">
            <w:pPr>
              <w:tabs>
                <w:tab w:val="right" w:pos="1202"/>
              </w:tabs>
              <w:spacing w:line="240" w:lineRule="atLeast"/>
              <w:outlineLvl w:val="0"/>
              <w:rPr>
                <w:rFonts w:ascii="Arial" w:hAnsi="Arial" w:cs="Arial"/>
                <w:b/>
                <w:color w:val="000000" w:themeColor="text1"/>
                <w:sz w:val="18"/>
                <w:szCs w:val="18"/>
              </w:rPr>
            </w:pPr>
          </w:p>
          <w:p w14:paraId="23851F88" w14:textId="77777777" w:rsidR="004A1D81" w:rsidRPr="009C411C" w:rsidRDefault="004A1D81" w:rsidP="00E12A58">
            <w:pPr>
              <w:tabs>
                <w:tab w:val="right" w:pos="1202"/>
              </w:tabs>
              <w:spacing w:line="240" w:lineRule="atLeast"/>
              <w:outlineLvl w:val="0"/>
              <w:rPr>
                <w:rFonts w:ascii="Arial" w:hAnsi="Arial" w:cs="Arial"/>
                <w:b/>
                <w:color w:val="000000" w:themeColor="text1"/>
                <w:sz w:val="18"/>
                <w:szCs w:val="18"/>
              </w:rPr>
            </w:pPr>
            <w:r w:rsidRPr="009C411C">
              <w:rPr>
                <w:rFonts w:ascii="Arial" w:hAnsi="Arial" w:cs="Arial"/>
                <w:b/>
                <w:color w:val="000000" w:themeColor="text1"/>
                <w:sz w:val="18"/>
                <w:szCs w:val="18"/>
              </w:rPr>
              <w:t>31. prosinca 202</w:t>
            </w:r>
            <w:r>
              <w:rPr>
                <w:rFonts w:ascii="Arial" w:hAnsi="Arial" w:cs="Arial"/>
                <w:b/>
                <w:color w:val="000000" w:themeColor="text1"/>
                <w:sz w:val="18"/>
                <w:szCs w:val="18"/>
              </w:rPr>
              <w:t>3</w:t>
            </w:r>
            <w:r w:rsidRPr="009C411C">
              <w:rPr>
                <w:rFonts w:ascii="Arial" w:hAnsi="Arial" w:cs="Arial"/>
                <w:b/>
                <w:color w:val="000000" w:themeColor="text1"/>
                <w:sz w:val="18"/>
                <w:szCs w:val="18"/>
              </w:rPr>
              <w:t xml:space="preserve">. </w:t>
            </w:r>
          </w:p>
        </w:tc>
        <w:tc>
          <w:tcPr>
            <w:tcW w:w="612" w:type="pct"/>
            <w:vAlign w:val="bottom"/>
          </w:tcPr>
          <w:p w14:paraId="45176BAA" w14:textId="77777777" w:rsidR="004A1D81" w:rsidRPr="009C411C" w:rsidRDefault="004A1D81" w:rsidP="00E12A58">
            <w:pPr>
              <w:tabs>
                <w:tab w:val="right" w:pos="1202"/>
              </w:tabs>
              <w:spacing w:line="240" w:lineRule="atLeast"/>
              <w:jc w:val="right"/>
              <w:outlineLvl w:val="0"/>
              <w:rPr>
                <w:rFonts w:ascii="Arial" w:hAnsi="Arial" w:cs="Arial"/>
                <w:b/>
                <w:color w:val="000000" w:themeColor="text1"/>
                <w:sz w:val="18"/>
                <w:szCs w:val="18"/>
              </w:rPr>
            </w:pPr>
            <w:r w:rsidRPr="009C411C">
              <w:rPr>
                <w:rFonts w:ascii="Arial" w:hAnsi="Arial" w:cs="Arial"/>
                <w:b/>
                <w:color w:val="000000" w:themeColor="text1"/>
                <w:sz w:val="18"/>
                <w:szCs w:val="18"/>
              </w:rPr>
              <w:t>Republika Hrvatska</w:t>
            </w:r>
          </w:p>
        </w:tc>
        <w:tc>
          <w:tcPr>
            <w:tcW w:w="612" w:type="pct"/>
            <w:vAlign w:val="bottom"/>
          </w:tcPr>
          <w:p w14:paraId="2E8A28A2" w14:textId="77777777" w:rsidR="004A1D81" w:rsidRPr="009C411C" w:rsidRDefault="004A1D81" w:rsidP="00E12A58">
            <w:pPr>
              <w:tabs>
                <w:tab w:val="right" w:pos="1202"/>
              </w:tabs>
              <w:spacing w:line="240" w:lineRule="atLeast"/>
              <w:jc w:val="right"/>
              <w:outlineLvl w:val="0"/>
              <w:rPr>
                <w:rFonts w:ascii="Arial" w:hAnsi="Arial" w:cs="Arial"/>
                <w:b/>
                <w:color w:val="000000" w:themeColor="text1"/>
                <w:sz w:val="18"/>
                <w:szCs w:val="18"/>
              </w:rPr>
            </w:pPr>
            <w:r w:rsidRPr="009C411C">
              <w:rPr>
                <w:rFonts w:ascii="Arial" w:hAnsi="Arial" w:cs="Arial"/>
                <w:b/>
                <w:color w:val="000000" w:themeColor="text1"/>
                <w:sz w:val="18"/>
                <w:szCs w:val="18"/>
              </w:rPr>
              <w:t>Zemlje Europske unije</w:t>
            </w:r>
          </w:p>
        </w:tc>
        <w:tc>
          <w:tcPr>
            <w:tcW w:w="612" w:type="pct"/>
            <w:vAlign w:val="bottom"/>
          </w:tcPr>
          <w:p w14:paraId="05459A75" w14:textId="77777777" w:rsidR="004A1D81" w:rsidRPr="009C411C" w:rsidRDefault="004A1D81" w:rsidP="00E12A58">
            <w:pPr>
              <w:tabs>
                <w:tab w:val="right" w:pos="1202"/>
              </w:tabs>
              <w:spacing w:line="240" w:lineRule="atLeast"/>
              <w:jc w:val="right"/>
              <w:outlineLvl w:val="0"/>
              <w:rPr>
                <w:rFonts w:ascii="Arial" w:hAnsi="Arial" w:cs="Arial"/>
                <w:b/>
                <w:color w:val="000000" w:themeColor="text1"/>
                <w:sz w:val="18"/>
                <w:szCs w:val="18"/>
              </w:rPr>
            </w:pPr>
            <w:r w:rsidRPr="009C411C">
              <w:rPr>
                <w:rFonts w:ascii="Arial" w:hAnsi="Arial" w:cs="Arial"/>
                <w:b/>
                <w:color w:val="000000" w:themeColor="text1"/>
                <w:sz w:val="18"/>
                <w:szCs w:val="18"/>
              </w:rPr>
              <w:t xml:space="preserve">Ostale </w:t>
            </w:r>
          </w:p>
          <w:p w14:paraId="5A43388B" w14:textId="77777777" w:rsidR="004A1D81" w:rsidRPr="009C411C" w:rsidRDefault="004A1D81" w:rsidP="00E12A58">
            <w:pPr>
              <w:tabs>
                <w:tab w:val="right" w:pos="1202"/>
              </w:tabs>
              <w:spacing w:line="240" w:lineRule="atLeast"/>
              <w:jc w:val="right"/>
              <w:outlineLvl w:val="0"/>
              <w:rPr>
                <w:rFonts w:ascii="Arial" w:hAnsi="Arial" w:cs="Arial"/>
                <w:b/>
                <w:color w:val="000000" w:themeColor="text1"/>
                <w:sz w:val="18"/>
                <w:szCs w:val="18"/>
              </w:rPr>
            </w:pPr>
            <w:r w:rsidRPr="009C411C">
              <w:rPr>
                <w:rFonts w:ascii="Arial" w:hAnsi="Arial" w:cs="Arial"/>
                <w:b/>
                <w:color w:val="000000" w:themeColor="text1"/>
                <w:sz w:val="18"/>
                <w:szCs w:val="18"/>
              </w:rPr>
              <w:t xml:space="preserve">zemlje </w:t>
            </w:r>
          </w:p>
        </w:tc>
        <w:tc>
          <w:tcPr>
            <w:tcW w:w="611" w:type="pct"/>
            <w:vAlign w:val="bottom"/>
          </w:tcPr>
          <w:p w14:paraId="5FDD159E" w14:textId="77777777" w:rsidR="004A1D81" w:rsidRPr="009C411C" w:rsidRDefault="004A1D81" w:rsidP="00E12A58">
            <w:pPr>
              <w:tabs>
                <w:tab w:val="right" w:pos="1202"/>
              </w:tabs>
              <w:spacing w:line="240" w:lineRule="atLeast"/>
              <w:jc w:val="right"/>
              <w:outlineLvl w:val="0"/>
              <w:rPr>
                <w:rFonts w:ascii="Arial" w:hAnsi="Arial" w:cs="Arial"/>
                <w:b/>
                <w:color w:val="000000" w:themeColor="text1"/>
                <w:sz w:val="18"/>
                <w:szCs w:val="18"/>
              </w:rPr>
            </w:pPr>
            <w:r w:rsidRPr="009C411C">
              <w:rPr>
                <w:rFonts w:ascii="Arial" w:hAnsi="Arial" w:cs="Arial"/>
                <w:b/>
                <w:color w:val="000000" w:themeColor="text1"/>
                <w:sz w:val="18"/>
                <w:szCs w:val="18"/>
              </w:rPr>
              <w:t>Ukupno</w:t>
            </w:r>
          </w:p>
        </w:tc>
      </w:tr>
      <w:tr w:rsidR="004A1D81" w:rsidRPr="009C411C" w14:paraId="2D8408C6" w14:textId="77777777" w:rsidTr="00E12A58">
        <w:trPr>
          <w:cantSplit/>
          <w:trHeight w:val="265"/>
          <w:tblHeader/>
        </w:trPr>
        <w:tc>
          <w:tcPr>
            <w:tcW w:w="2552" w:type="pct"/>
          </w:tcPr>
          <w:p w14:paraId="10526619" w14:textId="77777777" w:rsidR="004A1D81" w:rsidRPr="009C411C" w:rsidRDefault="004A1D81" w:rsidP="00E12A58">
            <w:pPr>
              <w:ind w:left="113" w:hanging="113"/>
              <w:rPr>
                <w:rFonts w:ascii="Arial" w:hAnsi="Arial" w:cs="Arial"/>
                <w:color w:val="000000" w:themeColor="text1"/>
                <w:sz w:val="18"/>
                <w:szCs w:val="18"/>
              </w:rPr>
            </w:pPr>
          </w:p>
        </w:tc>
        <w:tc>
          <w:tcPr>
            <w:tcW w:w="612" w:type="pct"/>
          </w:tcPr>
          <w:p w14:paraId="442374A5" w14:textId="77777777" w:rsidR="004A1D81" w:rsidRPr="009C411C" w:rsidRDefault="004A1D81" w:rsidP="00E12A58">
            <w:pPr>
              <w:tabs>
                <w:tab w:val="right" w:pos="1202"/>
              </w:tabs>
              <w:spacing w:line="240" w:lineRule="atLeast"/>
              <w:jc w:val="right"/>
              <w:outlineLvl w:val="0"/>
              <w:rPr>
                <w:rFonts w:ascii="Arial" w:hAnsi="Arial" w:cs="Arial"/>
                <w:b/>
                <w:color w:val="000000" w:themeColor="text1"/>
                <w:sz w:val="18"/>
                <w:szCs w:val="18"/>
              </w:rPr>
            </w:pPr>
            <w:r w:rsidRPr="009C411C">
              <w:rPr>
                <w:rFonts w:ascii="Arial" w:hAnsi="Arial" w:cs="Arial"/>
                <w:b/>
                <w:color w:val="000000" w:themeColor="text1"/>
                <w:sz w:val="18"/>
                <w:szCs w:val="18"/>
              </w:rPr>
              <w:t xml:space="preserve">000 </w:t>
            </w:r>
            <w:r>
              <w:rPr>
                <w:rFonts w:ascii="Arial" w:hAnsi="Arial" w:cs="Arial"/>
                <w:b/>
                <w:color w:val="000000" w:themeColor="text1"/>
                <w:sz w:val="18"/>
                <w:szCs w:val="18"/>
              </w:rPr>
              <w:t>eura</w:t>
            </w:r>
          </w:p>
        </w:tc>
        <w:tc>
          <w:tcPr>
            <w:tcW w:w="612" w:type="pct"/>
          </w:tcPr>
          <w:p w14:paraId="1F3EB430" w14:textId="77777777" w:rsidR="004A1D81" w:rsidRPr="009C411C" w:rsidRDefault="004A1D81" w:rsidP="00E12A58">
            <w:pPr>
              <w:tabs>
                <w:tab w:val="right" w:pos="1202"/>
              </w:tabs>
              <w:spacing w:line="240" w:lineRule="atLeast"/>
              <w:jc w:val="right"/>
              <w:outlineLvl w:val="0"/>
              <w:rPr>
                <w:rFonts w:ascii="Arial" w:hAnsi="Arial" w:cs="Arial"/>
                <w:b/>
                <w:color w:val="000000" w:themeColor="text1"/>
                <w:sz w:val="18"/>
                <w:szCs w:val="18"/>
              </w:rPr>
            </w:pPr>
            <w:r w:rsidRPr="009C411C">
              <w:rPr>
                <w:rFonts w:ascii="Arial" w:hAnsi="Arial" w:cs="Arial"/>
                <w:b/>
                <w:color w:val="000000" w:themeColor="text1"/>
                <w:sz w:val="18"/>
                <w:szCs w:val="18"/>
              </w:rPr>
              <w:t>000</w:t>
            </w:r>
            <w:r>
              <w:rPr>
                <w:rFonts w:ascii="Arial" w:hAnsi="Arial" w:cs="Arial"/>
                <w:b/>
                <w:color w:val="000000" w:themeColor="text1"/>
                <w:sz w:val="18"/>
                <w:szCs w:val="18"/>
              </w:rPr>
              <w:t xml:space="preserve"> eura</w:t>
            </w:r>
          </w:p>
        </w:tc>
        <w:tc>
          <w:tcPr>
            <w:tcW w:w="612" w:type="pct"/>
          </w:tcPr>
          <w:p w14:paraId="43934B89" w14:textId="77777777" w:rsidR="004A1D81" w:rsidRPr="009C411C" w:rsidRDefault="004A1D81" w:rsidP="00E12A58">
            <w:pPr>
              <w:tabs>
                <w:tab w:val="right" w:pos="1202"/>
              </w:tabs>
              <w:spacing w:line="240" w:lineRule="atLeast"/>
              <w:jc w:val="right"/>
              <w:outlineLvl w:val="0"/>
              <w:rPr>
                <w:rFonts w:ascii="Arial" w:hAnsi="Arial" w:cs="Arial"/>
                <w:b/>
                <w:color w:val="000000" w:themeColor="text1"/>
                <w:sz w:val="18"/>
                <w:szCs w:val="18"/>
              </w:rPr>
            </w:pPr>
            <w:r w:rsidRPr="009C411C">
              <w:rPr>
                <w:rFonts w:ascii="Arial" w:hAnsi="Arial" w:cs="Arial"/>
                <w:b/>
                <w:color w:val="000000" w:themeColor="text1"/>
                <w:sz w:val="18"/>
                <w:szCs w:val="18"/>
              </w:rPr>
              <w:t xml:space="preserve">000 </w:t>
            </w:r>
            <w:r>
              <w:rPr>
                <w:rFonts w:ascii="Arial" w:hAnsi="Arial" w:cs="Arial"/>
                <w:b/>
                <w:color w:val="000000" w:themeColor="text1"/>
                <w:sz w:val="18"/>
                <w:szCs w:val="18"/>
              </w:rPr>
              <w:t>eura</w:t>
            </w:r>
          </w:p>
        </w:tc>
        <w:tc>
          <w:tcPr>
            <w:tcW w:w="611" w:type="pct"/>
          </w:tcPr>
          <w:p w14:paraId="04C5A628" w14:textId="77777777" w:rsidR="004A1D81" w:rsidRPr="009C411C" w:rsidRDefault="004A1D81" w:rsidP="00E12A58">
            <w:pPr>
              <w:tabs>
                <w:tab w:val="right" w:pos="1202"/>
              </w:tabs>
              <w:spacing w:line="240" w:lineRule="atLeast"/>
              <w:jc w:val="right"/>
              <w:outlineLvl w:val="0"/>
              <w:rPr>
                <w:rFonts w:ascii="Arial" w:hAnsi="Arial" w:cs="Arial"/>
                <w:b/>
                <w:color w:val="000000" w:themeColor="text1"/>
                <w:sz w:val="18"/>
                <w:szCs w:val="18"/>
              </w:rPr>
            </w:pPr>
            <w:r w:rsidRPr="009C411C">
              <w:rPr>
                <w:rFonts w:ascii="Arial" w:hAnsi="Arial" w:cs="Arial"/>
                <w:b/>
                <w:color w:val="000000" w:themeColor="text1"/>
                <w:sz w:val="18"/>
                <w:szCs w:val="18"/>
              </w:rPr>
              <w:t>000</w:t>
            </w:r>
            <w:r>
              <w:rPr>
                <w:rFonts w:ascii="Arial" w:hAnsi="Arial" w:cs="Arial"/>
                <w:b/>
                <w:color w:val="000000" w:themeColor="text1"/>
                <w:sz w:val="18"/>
                <w:szCs w:val="18"/>
              </w:rPr>
              <w:t xml:space="preserve"> eura</w:t>
            </w:r>
          </w:p>
        </w:tc>
      </w:tr>
      <w:tr w:rsidR="004A1D81" w:rsidRPr="009C411C" w14:paraId="2587C447" w14:textId="77777777" w:rsidTr="00E12A58">
        <w:trPr>
          <w:cantSplit/>
          <w:trHeight w:val="265"/>
          <w:tblHeader/>
        </w:trPr>
        <w:tc>
          <w:tcPr>
            <w:tcW w:w="2552" w:type="pct"/>
          </w:tcPr>
          <w:p w14:paraId="3D516F45" w14:textId="77777777" w:rsidR="004A1D81" w:rsidRPr="009C411C" w:rsidRDefault="004A1D81" w:rsidP="00E12A58">
            <w:pPr>
              <w:ind w:left="113" w:hanging="113"/>
              <w:rPr>
                <w:rFonts w:ascii="Arial" w:hAnsi="Arial" w:cs="Arial"/>
                <w:color w:val="000000" w:themeColor="text1"/>
                <w:sz w:val="18"/>
                <w:szCs w:val="18"/>
              </w:rPr>
            </w:pPr>
          </w:p>
        </w:tc>
        <w:tc>
          <w:tcPr>
            <w:tcW w:w="612" w:type="pct"/>
          </w:tcPr>
          <w:p w14:paraId="78266DA6" w14:textId="77777777" w:rsidR="004A1D81" w:rsidRPr="009C411C" w:rsidRDefault="004A1D81" w:rsidP="00E12A58">
            <w:pPr>
              <w:jc w:val="right"/>
              <w:rPr>
                <w:rFonts w:ascii="Arial" w:hAnsi="Arial" w:cs="Arial"/>
                <w:color w:val="000000" w:themeColor="text1"/>
                <w:sz w:val="18"/>
                <w:szCs w:val="18"/>
              </w:rPr>
            </w:pPr>
          </w:p>
        </w:tc>
        <w:tc>
          <w:tcPr>
            <w:tcW w:w="612" w:type="pct"/>
          </w:tcPr>
          <w:p w14:paraId="7549735C" w14:textId="77777777" w:rsidR="004A1D81" w:rsidRPr="009C411C" w:rsidRDefault="004A1D81" w:rsidP="00E12A58">
            <w:pPr>
              <w:jc w:val="right"/>
              <w:rPr>
                <w:rFonts w:ascii="Arial" w:hAnsi="Arial" w:cs="Arial"/>
                <w:color w:val="000000" w:themeColor="text1"/>
                <w:sz w:val="18"/>
                <w:szCs w:val="18"/>
              </w:rPr>
            </w:pPr>
          </w:p>
        </w:tc>
        <w:tc>
          <w:tcPr>
            <w:tcW w:w="612" w:type="pct"/>
          </w:tcPr>
          <w:p w14:paraId="1DDB8C95" w14:textId="77777777" w:rsidR="004A1D81" w:rsidRPr="009C411C" w:rsidRDefault="004A1D81" w:rsidP="00E12A58">
            <w:pPr>
              <w:jc w:val="right"/>
              <w:rPr>
                <w:rFonts w:ascii="Arial" w:hAnsi="Arial" w:cs="Arial"/>
                <w:color w:val="000000" w:themeColor="text1"/>
                <w:sz w:val="18"/>
                <w:szCs w:val="18"/>
              </w:rPr>
            </w:pPr>
          </w:p>
        </w:tc>
        <w:tc>
          <w:tcPr>
            <w:tcW w:w="611" w:type="pct"/>
          </w:tcPr>
          <w:p w14:paraId="0AACE2DC" w14:textId="77777777" w:rsidR="004A1D81" w:rsidRPr="009C411C" w:rsidRDefault="004A1D81" w:rsidP="00E12A58">
            <w:pPr>
              <w:jc w:val="center"/>
              <w:rPr>
                <w:rFonts w:ascii="Arial" w:hAnsi="Arial" w:cs="Arial"/>
                <w:color w:val="000000" w:themeColor="text1"/>
                <w:sz w:val="18"/>
                <w:szCs w:val="18"/>
              </w:rPr>
            </w:pPr>
          </w:p>
        </w:tc>
      </w:tr>
      <w:tr w:rsidR="004A1D81" w:rsidRPr="009C411C" w14:paraId="463EECF7" w14:textId="77777777" w:rsidTr="00E12A58">
        <w:trPr>
          <w:cantSplit/>
          <w:trHeight w:val="265"/>
          <w:tblHeader/>
        </w:trPr>
        <w:tc>
          <w:tcPr>
            <w:tcW w:w="2552" w:type="pct"/>
          </w:tcPr>
          <w:p w14:paraId="64818DAA" w14:textId="77777777" w:rsidR="004A1D81" w:rsidRPr="009C411C" w:rsidRDefault="004A1D81" w:rsidP="00E12A58">
            <w:pPr>
              <w:tabs>
                <w:tab w:val="right" w:pos="1202"/>
              </w:tabs>
              <w:spacing w:line="301" w:lineRule="exact"/>
              <w:outlineLvl w:val="0"/>
              <w:rPr>
                <w:rFonts w:ascii="Arial" w:hAnsi="Arial" w:cs="Arial"/>
                <w:b/>
                <w:bCs/>
                <w:color w:val="000000" w:themeColor="text1"/>
                <w:sz w:val="18"/>
                <w:szCs w:val="18"/>
              </w:rPr>
            </w:pPr>
            <w:r w:rsidRPr="009C411C">
              <w:rPr>
                <w:rFonts w:ascii="Arial" w:hAnsi="Arial" w:cs="Arial"/>
                <w:b/>
                <w:bCs/>
                <w:color w:val="000000" w:themeColor="text1"/>
                <w:sz w:val="18"/>
                <w:szCs w:val="18"/>
              </w:rPr>
              <w:t>Imovina</w:t>
            </w:r>
          </w:p>
        </w:tc>
        <w:tc>
          <w:tcPr>
            <w:tcW w:w="612" w:type="pct"/>
          </w:tcPr>
          <w:p w14:paraId="5924A399" w14:textId="77777777" w:rsidR="004A1D81" w:rsidRPr="009C411C" w:rsidRDefault="004A1D81" w:rsidP="00E12A58">
            <w:pPr>
              <w:jc w:val="right"/>
              <w:rPr>
                <w:rFonts w:ascii="Arial" w:hAnsi="Arial" w:cs="Arial"/>
                <w:color w:val="000000" w:themeColor="text1"/>
                <w:sz w:val="18"/>
                <w:szCs w:val="18"/>
              </w:rPr>
            </w:pPr>
          </w:p>
        </w:tc>
        <w:tc>
          <w:tcPr>
            <w:tcW w:w="612" w:type="pct"/>
          </w:tcPr>
          <w:p w14:paraId="6DA5138C" w14:textId="77777777" w:rsidR="004A1D81" w:rsidRPr="009C411C" w:rsidRDefault="004A1D81" w:rsidP="00E12A58">
            <w:pPr>
              <w:jc w:val="right"/>
              <w:rPr>
                <w:rFonts w:ascii="Arial" w:hAnsi="Arial" w:cs="Arial"/>
                <w:color w:val="000000" w:themeColor="text1"/>
                <w:sz w:val="18"/>
                <w:szCs w:val="18"/>
              </w:rPr>
            </w:pPr>
          </w:p>
        </w:tc>
        <w:tc>
          <w:tcPr>
            <w:tcW w:w="612" w:type="pct"/>
          </w:tcPr>
          <w:p w14:paraId="70EBE26F" w14:textId="77777777" w:rsidR="004A1D81" w:rsidRPr="009C411C" w:rsidRDefault="004A1D81" w:rsidP="00E12A58">
            <w:pPr>
              <w:jc w:val="right"/>
              <w:rPr>
                <w:rFonts w:ascii="Arial" w:hAnsi="Arial" w:cs="Arial"/>
                <w:color w:val="000000" w:themeColor="text1"/>
                <w:sz w:val="18"/>
                <w:szCs w:val="18"/>
              </w:rPr>
            </w:pPr>
          </w:p>
        </w:tc>
        <w:tc>
          <w:tcPr>
            <w:tcW w:w="611" w:type="pct"/>
          </w:tcPr>
          <w:p w14:paraId="245AB0D7" w14:textId="77777777" w:rsidR="004A1D81" w:rsidRPr="009C411C" w:rsidRDefault="004A1D81" w:rsidP="00E12A58">
            <w:pPr>
              <w:jc w:val="center"/>
              <w:rPr>
                <w:rFonts w:ascii="Arial" w:hAnsi="Arial" w:cs="Arial"/>
                <w:color w:val="000000" w:themeColor="text1"/>
                <w:sz w:val="18"/>
                <w:szCs w:val="18"/>
              </w:rPr>
            </w:pPr>
          </w:p>
        </w:tc>
      </w:tr>
      <w:tr w:rsidR="004A1D81" w:rsidRPr="009C411C" w14:paraId="78E2FDE8" w14:textId="77777777" w:rsidTr="00E12A58">
        <w:trPr>
          <w:cantSplit/>
          <w:trHeight w:val="265"/>
          <w:tblHeader/>
        </w:trPr>
        <w:tc>
          <w:tcPr>
            <w:tcW w:w="2552" w:type="pct"/>
            <w:vAlign w:val="bottom"/>
          </w:tcPr>
          <w:p w14:paraId="771596CB" w14:textId="77777777" w:rsidR="004A1D81" w:rsidRPr="009C411C" w:rsidRDefault="004A1D81" w:rsidP="00E12A58">
            <w:pPr>
              <w:tabs>
                <w:tab w:val="right" w:pos="1202"/>
              </w:tabs>
              <w:spacing w:line="301" w:lineRule="exact"/>
              <w:outlineLvl w:val="0"/>
              <w:rPr>
                <w:rFonts w:ascii="Arial" w:hAnsi="Arial" w:cs="Arial"/>
                <w:color w:val="000000" w:themeColor="text1"/>
                <w:sz w:val="18"/>
                <w:szCs w:val="18"/>
              </w:rPr>
            </w:pPr>
            <w:r w:rsidRPr="009C411C">
              <w:rPr>
                <w:rFonts w:ascii="Arial" w:hAnsi="Arial" w:cs="Arial"/>
                <w:color w:val="000000" w:themeColor="text1"/>
                <w:sz w:val="18"/>
                <w:szCs w:val="18"/>
              </w:rPr>
              <w:t>Novčana sredstva i računi kod banaka</w:t>
            </w:r>
          </w:p>
        </w:tc>
        <w:tc>
          <w:tcPr>
            <w:tcW w:w="612" w:type="pct"/>
            <w:tcBorders>
              <w:top w:val="nil"/>
              <w:left w:val="nil"/>
              <w:bottom w:val="nil"/>
              <w:right w:val="nil"/>
            </w:tcBorders>
            <w:shd w:val="clear" w:color="auto" w:fill="auto"/>
            <w:vAlign w:val="bottom"/>
          </w:tcPr>
          <w:p w14:paraId="1246EC80" w14:textId="77777777" w:rsidR="004A1D81" w:rsidRPr="009C411C" w:rsidRDefault="004A1D81" w:rsidP="00E12A58">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41.828</w:t>
            </w:r>
          </w:p>
        </w:tc>
        <w:tc>
          <w:tcPr>
            <w:tcW w:w="612" w:type="pct"/>
            <w:tcBorders>
              <w:top w:val="nil"/>
              <w:left w:val="nil"/>
              <w:bottom w:val="nil"/>
              <w:right w:val="nil"/>
            </w:tcBorders>
            <w:shd w:val="clear" w:color="auto" w:fill="auto"/>
            <w:vAlign w:val="bottom"/>
          </w:tcPr>
          <w:p w14:paraId="45EB9CA1" w14:textId="77777777" w:rsidR="004A1D81" w:rsidRPr="009C411C" w:rsidRDefault="004A1D81" w:rsidP="00E12A58">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 xml:space="preserve"> 215 </w:t>
            </w:r>
          </w:p>
        </w:tc>
        <w:tc>
          <w:tcPr>
            <w:tcW w:w="612" w:type="pct"/>
            <w:tcBorders>
              <w:top w:val="nil"/>
              <w:left w:val="nil"/>
              <w:bottom w:val="nil"/>
              <w:right w:val="nil"/>
            </w:tcBorders>
            <w:shd w:val="clear" w:color="auto" w:fill="auto"/>
            <w:vAlign w:val="bottom"/>
          </w:tcPr>
          <w:p w14:paraId="7AE493D1" w14:textId="77777777" w:rsidR="004A1D81" w:rsidRPr="009C411C" w:rsidRDefault="004A1D81" w:rsidP="00E12A58">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 xml:space="preserve"> 90 </w:t>
            </w:r>
          </w:p>
        </w:tc>
        <w:tc>
          <w:tcPr>
            <w:tcW w:w="611" w:type="pct"/>
            <w:tcBorders>
              <w:top w:val="nil"/>
              <w:left w:val="nil"/>
              <w:bottom w:val="nil"/>
              <w:right w:val="nil"/>
            </w:tcBorders>
            <w:shd w:val="clear" w:color="auto" w:fill="auto"/>
            <w:vAlign w:val="bottom"/>
          </w:tcPr>
          <w:p w14:paraId="2E07B622" w14:textId="77777777" w:rsidR="004A1D81" w:rsidRPr="009C411C" w:rsidRDefault="004A1D81" w:rsidP="00E12A58">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42.133</w:t>
            </w:r>
          </w:p>
        </w:tc>
      </w:tr>
      <w:tr w:rsidR="004A1D81" w:rsidRPr="009C411C" w14:paraId="2A16F615" w14:textId="77777777" w:rsidTr="00E12A58">
        <w:trPr>
          <w:cantSplit/>
          <w:trHeight w:val="265"/>
          <w:tblHeader/>
        </w:trPr>
        <w:tc>
          <w:tcPr>
            <w:tcW w:w="2552" w:type="pct"/>
            <w:vAlign w:val="bottom"/>
          </w:tcPr>
          <w:p w14:paraId="37339907" w14:textId="77777777" w:rsidR="004A1D81" w:rsidRPr="009C411C" w:rsidRDefault="004A1D81" w:rsidP="00E12A58">
            <w:pPr>
              <w:tabs>
                <w:tab w:val="right" w:pos="1202"/>
              </w:tabs>
              <w:spacing w:line="301" w:lineRule="exact"/>
              <w:outlineLvl w:val="0"/>
              <w:rPr>
                <w:rFonts w:ascii="Arial" w:hAnsi="Arial" w:cs="Arial"/>
                <w:color w:val="000000" w:themeColor="text1"/>
                <w:sz w:val="18"/>
                <w:szCs w:val="18"/>
              </w:rPr>
            </w:pPr>
            <w:r w:rsidRPr="009C411C">
              <w:rPr>
                <w:rFonts w:ascii="Arial" w:hAnsi="Arial" w:cs="Arial"/>
                <w:color w:val="000000" w:themeColor="text1"/>
                <w:sz w:val="18"/>
                <w:szCs w:val="18"/>
              </w:rPr>
              <w:t>Depoziti kod drugih banaka</w:t>
            </w:r>
          </w:p>
        </w:tc>
        <w:tc>
          <w:tcPr>
            <w:tcW w:w="612" w:type="pct"/>
            <w:tcBorders>
              <w:top w:val="nil"/>
              <w:left w:val="nil"/>
              <w:bottom w:val="nil"/>
              <w:right w:val="nil"/>
            </w:tcBorders>
            <w:shd w:val="clear" w:color="auto" w:fill="auto"/>
            <w:vAlign w:val="bottom"/>
          </w:tcPr>
          <w:p w14:paraId="5182832C" w14:textId="77777777" w:rsidR="004A1D81" w:rsidRPr="009C411C" w:rsidRDefault="004A1D81" w:rsidP="00E12A58">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38.119</w:t>
            </w:r>
          </w:p>
        </w:tc>
        <w:tc>
          <w:tcPr>
            <w:tcW w:w="612" w:type="pct"/>
            <w:tcBorders>
              <w:top w:val="nil"/>
              <w:left w:val="nil"/>
              <w:bottom w:val="nil"/>
              <w:right w:val="nil"/>
            </w:tcBorders>
            <w:shd w:val="clear" w:color="auto" w:fill="auto"/>
            <w:vAlign w:val="bottom"/>
          </w:tcPr>
          <w:p w14:paraId="16EF22D4" w14:textId="77777777" w:rsidR="004A1D81" w:rsidRPr="009C411C" w:rsidRDefault="004A1D81" w:rsidP="00E12A58">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 xml:space="preserve"> 33.642 </w:t>
            </w:r>
          </w:p>
        </w:tc>
        <w:tc>
          <w:tcPr>
            <w:tcW w:w="612" w:type="pct"/>
            <w:tcBorders>
              <w:top w:val="nil"/>
              <w:left w:val="nil"/>
              <w:bottom w:val="nil"/>
              <w:right w:val="nil"/>
            </w:tcBorders>
            <w:shd w:val="clear" w:color="auto" w:fill="auto"/>
            <w:vAlign w:val="bottom"/>
          </w:tcPr>
          <w:p w14:paraId="6F17CB72" w14:textId="77777777" w:rsidR="004A1D81" w:rsidRPr="009C411C" w:rsidRDefault="004A1D81" w:rsidP="00E12A58">
            <w:pPr>
              <w:tabs>
                <w:tab w:val="right" w:pos="1202"/>
              </w:tabs>
              <w:spacing w:line="301" w:lineRule="exact"/>
              <w:jc w:val="right"/>
              <w:outlineLvl w:val="0"/>
              <w:rPr>
                <w:rFonts w:ascii="Arial" w:hAnsi="Arial" w:cs="Arial"/>
                <w:color w:val="000000" w:themeColor="text1"/>
                <w:sz w:val="18"/>
                <w:szCs w:val="18"/>
              </w:rPr>
            </w:pPr>
            <w:r>
              <w:rPr>
                <w:rFonts w:ascii="Arial"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7EE4C999" w14:textId="77777777" w:rsidR="004A1D81" w:rsidRPr="009C411C" w:rsidRDefault="004A1D81" w:rsidP="00E12A58">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71.761</w:t>
            </w:r>
          </w:p>
        </w:tc>
      </w:tr>
      <w:tr w:rsidR="004A1D81" w:rsidRPr="009C411C" w14:paraId="2BB857A7" w14:textId="77777777" w:rsidTr="00E12A58">
        <w:trPr>
          <w:cantSplit/>
          <w:trHeight w:val="265"/>
          <w:tblHeader/>
        </w:trPr>
        <w:tc>
          <w:tcPr>
            <w:tcW w:w="2552" w:type="pct"/>
            <w:vAlign w:val="bottom"/>
          </w:tcPr>
          <w:p w14:paraId="4DEB5513" w14:textId="77777777" w:rsidR="004A1D81" w:rsidRPr="009C411C" w:rsidRDefault="004A1D81" w:rsidP="00E12A58">
            <w:pPr>
              <w:tabs>
                <w:tab w:val="right" w:pos="1202"/>
              </w:tabs>
              <w:spacing w:line="301" w:lineRule="exact"/>
              <w:outlineLvl w:val="0"/>
              <w:rPr>
                <w:rFonts w:ascii="Arial" w:hAnsi="Arial" w:cs="Arial"/>
                <w:color w:val="000000" w:themeColor="text1"/>
                <w:sz w:val="18"/>
                <w:szCs w:val="18"/>
              </w:rPr>
            </w:pPr>
            <w:r w:rsidRPr="009C411C">
              <w:rPr>
                <w:rFonts w:ascii="Arial" w:hAnsi="Arial" w:cs="Arial"/>
                <w:color w:val="000000" w:themeColor="text1"/>
                <w:sz w:val="18"/>
                <w:szCs w:val="18"/>
              </w:rPr>
              <w:t>Krediti financijskim institucijama</w:t>
            </w:r>
          </w:p>
        </w:tc>
        <w:tc>
          <w:tcPr>
            <w:tcW w:w="612" w:type="pct"/>
            <w:tcBorders>
              <w:top w:val="nil"/>
              <w:left w:val="nil"/>
              <w:bottom w:val="nil"/>
              <w:right w:val="nil"/>
            </w:tcBorders>
            <w:shd w:val="clear" w:color="auto" w:fill="auto"/>
            <w:vAlign w:val="bottom"/>
          </w:tcPr>
          <w:p w14:paraId="582BA4C0" w14:textId="77777777" w:rsidR="004A1D81" w:rsidRPr="009C411C" w:rsidRDefault="004A1D81" w:rsidP="00E12A58">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 xml:space="preserve"> 1.248.881 </w:t>
            </w:r>
          </w:p>
        </w:tc>
        <w:tc>
          <w:tcPr>
            <w:tcW w:w="612" w:type="pct"/>
            <w:tcBorders>
              <w:top w:val="nil"/>
              <w:left w:val="nil"/>
              <w:bottom w:val="nil"/>
              <w:right w:val="nil"/>
            </w:tcBorders>
            <w:shd w:val="clear" w:color="auto" w:fill="auto"/>
            <w:vAlign w:val="bottom"/>
          </w:tcPr>
          <w:p w14:paraId="1D5C3457" w14:textId="77777777" w:rsidR="004A1D81" w:rsidRPr="009C411C" w:rsidRDefault="004A1D81" w:rsidP="00E12A58">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 xml:space="preserve"> -   </w:t>
            </w:r>
          </w:p>
        </w:tc>
        <w:tc>
          <w:tcPr>
            <w:tcW w:w="612" w:type="pct"/>
            <w:tcBorders>
              <w:top w:val="nil"/>
              <w:left w:val="nil"/>
              <w:bottom w:val="nil"/>
              <w:right w:val="nil"/>
            </w:tcBorders>
            <w:shd w:val="clear" w:color="auto" w:fill="auto"/>
            <w:vAlign w:val="bottom"/>
          </w:tcPr>
          <w:p w14:paraId="7550B83B" w14:textId="77777777" w:rsidR="004A1D81" w:rsidRPr="009C411C" w:rsidRDefault="004A1D81" w:rsidP="00E12A58">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34B8AC57" w14:textId="77777777" w:rsidR="004A1D81" w:rsidRPr="009C411C" w:rsidRDefault="004A1D81" w:rsidP="00E12A58">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 xml:space="preserve"> 1.248.881 </w:t>
            </w:r>
          </w:p>
        </w:tc>
      </w:tr>
      <w:tr w:rsidR="004A1D81" w:rsidRPr="009C411C" w14:paraId="2C2CEA51" w14:textId="77777777" w:rsidTr="00E12A58">
        <w:trPr>
          <w:cantSplit/>
          <w:trHeight w:val="265"/>
          <w:tblHeader/>
        </w:trPr>
        <w:tc>
          <w:tcPr>
            <w:tcW w:w="2552" w:type="pct"/>
            <w:vAlign w:val="bottom"/>
          </w:tcPr>
          <w:p w14:paraId="5A077789" w14:textId="77777777" w:rsidR="004A1D81" w:rsidRPr="009C411C" w:rsidRDefault="004A1D81" w:rsidP="00E12A58">
            <w:pPr>
              <w:tabs>
                <w:tab w:val="right" w:pos="1202"/>
              </w:tabs>
              <w:spacing w:line="301" w:lineRule="exact"/>
              <w:outlineLvl w:val="0"/>
              <w:rPr>
                <w:rFonts w:ascii="Arial" w:hAnsi="Arial" w:cs="Arial"/>
                <w:color w:val="000000" w:themeColor="text1"/>
                <w:sz w:val="18"/>
                <w:szCs w:val="18"/>
              </w:rPr>
            </w:pPr>
            <w:r w:rsidRPr="009C411C">
              <w:rPr>
                <w:rFonts w:ascii="Arial" w:hAnsi="Arial" w:cs="Arial"/>
                <w:color w:val="000000" w:themeColor="text1"/>
                <w:sz w:val="18"/>
                <w:szCs w:val="18"/>
              </w:rPr>
              <w:t>Krediti ostalim korisnicima</w:t>
            </w:r>
          </w:p>
        </w:tc>
        <w:tc>
          <w:tcPr>
            <w:tcW w:w="612" w:type="pct"/>
            <w:tcBorders>
              <w:top w:val="nil"/>
              <w:left w:val="nil"/>
              <w:bottom w:val="nil"/>
              <w:right w:val="nil"/>
            </w:tcBorders>
            <w:shd w:val="clear" w:color="auto" w:fill="auto"/>
            <w:vAlign w:val="bottom"/>
          </w:tcPr>
          <w:p w14:paraId="6B81A2C0" w14:textId="77777777" w:rsidR="004A1D81" w:rsidRPr="009C411C" w:rsidRDefault="004A1D81" w:rsidP="00E12A58">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 xml:space="preserve"> 2.351.196 </w:t>
            </w:r>
          </w:p>
        </w:tc>
        <w:tc>
          <w:tcPr>
            <w:tcW w:w="612" w:type="pct"/>
            <w:tcBorders>
              <w:top w:val="nil"/>
              <w:left w:val="nil"/>
              <w:bottom w:val="nil"/>
              <w:right w:val="nil"/>
            </w:tcBorders>
            <w:shd w:val="clear" w:color="auto" w:fill="auto"/>
            <w:vAlign w:val="bottom"/>
          </w:tcPr>
          <w:p w14:paraId="674D93BD" w14:textId="77777777" w:rsidR="004A1D81" w:rsidRPr="009C411C" w:rsidRDefault="004A1D81" w:rsidP="00E12A58">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 xml:space="preserve"> -   </w:t>
            </w:r>
          </w:p>
        </w:tc>
        <w:tc>
          <w:tcPr>
            <w:tcW w:w="612" w:type="pct"/>
            <w:tcBorders>
              <w:top w:val="nil"/>
              <w:left w:val="nil"/>
              <w:bottom w:val="nil"/>
              <w:right w:val="nil"/>
            </w:tcBorders>
            <w:shd w:val="clear" w:color="auto" w:fill="auto"/>
            <w:vAlign w:val="bottom"/>
          </w:tcPr>
          <w:p w14:paraId="26299A65" w14:textId="77777777" w:rsidR="004A1D81" w:rsidRPr="009C411C" w:rsidRDefault="004A1D81" w:rsidP="00E12A58">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2514DB47" w14:textId="77777777" w:rsidR="004A1D81" w:rsidRPr="009C411C" w:rsidRDefault="004A1D81" w:rsidP="00E12A58">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 xml:space="preserve"> 2.351.196 </w:t>
            </w:r>
          </w:p>
        </w:tc>
      </w:tr>
      <w:tr w:rsidR="004A1D81" w:rsidRPr="009C411C" w14:paraId="0B89FD33" w14:textId="77777777" w:rsidTr="00E12A58">
        <w:trPr>
          <w:cantSplit/>
          <w:trHeight w:val="265"/>
          <w:tblHeader/>
        </w:trPr>
        <w:tc>
          <w:tcPr>
            <w:tcW w:w="2552" w:type="pct"/>
            <w:vAlign w:val="bottom"/>
          </w:tcPr>
          <w:p w14:paraId="5225EFC1" w14:textId="77777777" w:rsidR="004A1D81" w:rsidRPr="009C411C" w:rsidRDefault="004A1D81" w:rsidP="00E12A58">
            <w:pPr>
              <w:tabs>
                <w:tab w:val="right" w:pos="1202"/>
              </w:tabs>
              <w:spacing w:line="301" w:lineRule="exact"/>
              <w:outlineLvl w:val="0"/>
              <w:rPr>
                <w:rFonts w:ascii="Arial" w:hAnsi="Arial" w:cs="Arial"/>
                <w:color w:val="000000" w:themeColor="text1"/>
                <w:sz w:val="18"/>
                <w:szCs w:val="18"/>
              </w:rPr>
            </w:pPr>
            <w:r w:rsidRPr="009C411C">
              <w:rPr>
                <w:rFonts w:ascii="Arial" w:hAnsi="Arial" w:cs="Arial"/>
                <w:color w:val="000000" w:themeColor="text1"/>
                <w:sz w:val="18"/>
                <w:szCs w:val="18"/>
              </w:rPr>
              <w:t>Financijska imovina po fer vrijednosti kroz dobit ili gubitak</w:t>
            </w:r>
          </w:p>
        </w:tc>
        <w:tc>
          <w:tcPr>
            <w:tcW w:w="612" w:type="pct"/>
            <w:tcBorders>
              <w:top w:val="nil"/>
              <w:left w:val="nil"/>
              <w:bottom w:val="nil"/>
              <w:right w:val="nil"/>
            </w:tcBorders>
            <w:shd w:val="clear" w:color="auto" w:fill="auto"/>
            <w:vAlign w:val="bottom"/>
          </w:tcPr>
          <w:p w14:paraId="146BA026" w14:textId="77777777" w:rsidR="004A1D81" w:rsidRPr="009C411C" w:rsidRDefault="004A1D81" w:rsidP="00E12A58">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 xml:space="preserve"> 33.709 </w:t>
            </w:r>
          </w:p>
        </w:tc>
        <w:tc>
          <w:tcPr>
            <w:tcW w:w="612" w:type="pct"/>
            <w:tcBorders>
              <w:top w:val="nil"/>
              <w:left w:val="nil"/>
              <w:bottom w:val="nil"/>
              <w:right w:val="nil"/>
            </w:tcBorders>
            <w:shd w:val="clear" w:color="auto" w:fill="auto"/>
            <w:vAlign w:val="bottom"/>
          </w:tcPr>
          <w:p w14:paraId="7FEB8DE5" w14:textId="77777777" w:rsidR="004A1D81" w:rsidRPr="009C411C" w:rsidRDefault="004A1D81" w:rsidP="00E12A58">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w:t>
            </w:r>
          </w:p>
        </w:tc>
        <w:tc>
          <w:tcPr>
            <w:tcW w:w="612" w:type="pct"/>
            <w:tcBorders>
              <w:top w:val="nil"/>
              <w:left w:val="nil"/>
              <w:bottom w:val="nil"/>
              <w:right w:val="nil"/>
            </w:tcBorders>
            <w:shd w:val="clear" w:color="auto" w:fill="auto"/>
            <w:vAlign w:val="bottom"/>
          </w:tcPr>
          <w:p w14:paraId="0AAF7DF6" w14:textId="77777777" w:rsidR="004A1D81" w:rsidRPr="009C411C" w:rsidRDefault="004A1D81" w:rsidP="00E12A58">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097FEBE9" w14:textId="77777777" w:rsidR="004A1D81" w:rsidRPr="009C411C" w:rsidRDefault="004A1D81" w:rsidP="00E12A58">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33.709</w:t>
            </w:r>
          </w:p>
        </w:tc>
      </w:tr>
      <w:tr w:rsidR="004A1D81" w:rsidRPr="009C411C" w14:paraId="1A25B06E" w14:textId="77777777" w:rsidTr="00E12A58">
        <w:trPr>
          <w:cantSplit/>
          <w:trHeight w:val="265"/>
          <w:tblHeader/>
        </w:trPr>
        <w:tc>
          <w:tcPr>
            <w:tcW w:w="2552" w:type="pct"/>
          </w:tcPr>
          <w:p w14:paraId="47C33FCE" w14:textId="77777777" w:rsidR="004A1D81" w:rsidRPr="009C411C" w:rsidRDefault="004A1D81" w:rsidP="00E12A58">
            <w:pPr>
              <w:tabs>
                <w:tab w:val="right" w:pos="1202"/>
              </w:tabs>
              <w:spacing w:line="301" w:lineRule="exact"/>
              <w:outlineLvl w:val="0"/>
              <w:rPr>
                <w:rFonts w:ascii="Arial" w:hAnsi="Arial" w:cs="Arial"/>
                <w:color w:val="000000" w:themeColor="text1"/>
                <w:sz w:val="18"/>
                <w:szCs w:val="18"/>
              </w:rPr>
            </w:pPr>
            <w:r w:rsidRPr="009C411C">
              <w:rPr>
                <w:rFonts w:ascii="Arial" w:hAnsi="Arial" w:cs="Arial"/>
                <w:color w:val="000000" w:themeColor="text1"/>
                <w:sz w:val="18"/>
                <w:szCs w:val="18"/>
              </w:rPr>
              <w:t xml:space="preserve">Financijska imovina po fer vrijednosti kroz ostalu sveobuhvatnu dobit  </w:t>
            </w:r>
          </w:p>
        </w:tc>
        <w:tc>
          <w:tcPr>
            <w:tcW w:w="612" w:type="pct"/>
            <w:tcBorders>
              <w:top w:val="nil"/>
              <w:left w:val="nil"/>
              <w:bottom w:val="nil"/>
              <w:right w:val="nil"/>
            </w:tcBorders>
            <w:shd w:val="clear" w:color="auto" w:fill="auto"/>
            <w:vAlign w:val="bottom"/>
          </w:tcPr>
          <w:p w14:paraId="2873971B" w14:textId="77777777" w:rsidR="004A1D81" w:rsidRPr="009C411C" w:rsidRDefault="004A1D81" w:rsidP="00E12A58">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227.239</w:t>
            </w:r>
          </w:p>
        </w:tc>
        <w:tc>
          <w:tcPr>
            <w:tcW w:w="612" w:type="pct"/>
            <w:tcBorders>
              <w:top w:val="nil"/>
              <w:left w:val="nil"/>
              <w:bottom w:val="nil"/>
              <w:right w:val="nil"/>
            </w:tcBorders>
            <w:shd w:val="clear" w:color="auto" w:fill="auto"/>
            <w:vAlign w:val="bottom"/>
          </w:tcPr>
          <w:p w14:paraId="7578B568" w14:textId="77777777" w:rsidR="004A1D81" w:rsidRPr="009C411C" w:rsidRDefault="004A1D81" w:rsidP="00E12A58">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195</w:t>
            </w:r>
          </w:p>
        </w:tc>
        <w:tc>
          <w:tcPr>
            <w:tcW w:w="612" w:type="pct"/>
            <w:tcBorders>
              <w:top w:val="nil"/>
              <w:left w:val="nil"/>
              <w:bottom w:val="nil"/>
              <w:right w:val="nil"/>
            </w:tcBorders>
            <w:shd w:val="clear" w:color="auto" w:fill="auto"/>
            <w:vAlign w:val="bottom"/>
          </w:tcPr>
          <w:p w14:paraId="32D44560" w14:textId="77777777" w:rsidR="004A1D81" w:rsidRPr="009C411C" w:rsidRDefault="004A1D81" w:rsidP="00E12A58">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w:t>
            </w:r>
          </w:p>
        </w:tc>
        <w:tc>
          <w:tcPr>
            <w:tcW w:w="611" w:type="pct"/>
            <w:tcBorders>
              <w:top w:val="nil"/>
              <w:left w:val="nil"/>
              <w:bottom w:val="nil"/>
              <w:right w:val="nil"/>
            </w:tcBorders>
            <w:shd w:val="clear" w:color="auto" w:fill="auto"/>
            <w:vAlign w:val="bottom"/>
          </w:tcPr>
          <w:p w14:paraId="1476519D" w14:textId="77777777" w:rsidR="004A1D81" w:rsidRPr="009C411C" w:rsidRDefault="004A1D81" w:rsidP="00E12A58">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227.434</w:t>
            </w:r>
          </w:p>
        </w:tc>
      </w:tr>
      <w:tr w:rsidR="004A1D81" w:rsidRPr="009C411C" w14:paraId="61959BCF" w14:textId="77777777" w:rsidTr="00E12A58">
        <w:trPr>
          <w:cantSplit/>
          <w:trHeight w:val="265"/>
          <w:tblHeader/>
        </w:trPr>
        <w:tc>
          <w:tcPr>
            <w:tcW w:w="2552" w:type="pct"/>
            <w:vAlign w:val="bottom"/>
          </w:tcPr>
          <w:p w14:paraId="32EE2EDF" w14:textId="77777777" w:rsidR="004A1D81" w:rsidRPr="009C411C" w:rsidRDefault="004A1D81" w:rsidP="00E12A58">
            <w:pPr>
              <w:tabs>
                <w:tab w:val="right" w:pos="1202"/>
              </w:tabs>
              <w:spacing w:line="301" w:lineRule="exact"/>
              <w:outlineLvl w:val="0"/>
              <w:rPr>
                <w:rFonts w:ascii="Arial" w:hAnsi="Arial" w:cs="Arial"/>
                <w:color w:val="000000" w:themeColor="text1"/>
                <w:sz w:val="18"/>
                <w:szCs w:val="18"/>
              </w:rPr>
            </w:pPr>
            <w:r w:rsidRPr="009C411C">
              <w:rPr>
                <w:rFonts w:ascii="Arial" w:hAnsi="Arial" w:cs="Arial"/>
                <w:color w:val="000000" w:themeColor="text1"/>
                <w:sz w:val="18"/>
                <w:szCs w:val="18"/>
              </w:rPr>
              <w:t>Ostala imovina</w:t>
            </w:r>
          </w:p>
        </w:tc>
        <w:tc>
          <w:tcPr>
            <w:tcW w:w="612" w:type="pct"/>
            <w:tcBorders>
              <w:top w:val="nil"/>
              <w:left w:val="nil"/>
              <w:bottom w:val="single" w:sz="4" w:space="0" w:color="auto"/>
              <w:right w:val="nil"/>
            </w:tcBorders>
            <w:shd w:val="clear" w:color="auto" w:fill="auto"/>
            <w:vAlign w:val="bottom"/>
          </w:tcPr>
          <w:p w14:paraId="768902B7" w14:textId="77777777" w:rsidR="004A1D81" w:rsidRPr="009C411C" w:rsidRDefault="004A1D81" w:rsidP="00E12A58">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1.153</w:t>
            </w:r>
          </w:p>
        </w:tc>
        <w:tc>
          <w:tcPr>
            <w:tcW w:w="612" w:type="pct"/>
            <w:tcBorders>
              <w:top w:val="nil"/>
              <w:left w:val="nil"/>
              <w:bottom w:val="single" w:sz="4" w:space="0" w:color="auto"/>
              <w:right w:val="nil"/>
            </w:tcBorders>
            <w:shd w:val="clear" w:color="auto" w:fill="auto"/>
            <w:vAlign w:val="bottom"/>
          </w:tcPr>
          <w:p w14:paraId="013A214B" w14:textId="77777777" w:rsidR="004A1D81" w:rsidRPr="009C411C" w:rsidRDefault="004A1D81" w:rsidP="00E12A58">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683</w:t>
            </w:r>
          </w:p>
        </w:tc>
        <w:tc>
          <w:tcPr>
            <w:tcW w:w="612" w:type="pct"/>
            <w:tcBorders>
              <w:top w:val="nil"/>
              <w:left w:val="nil"/>
              <w:bottom w:val="single" w:sz="4" w:space="0" w:color="auto"/>
              <w:right w:val="nil"/>
            </w:tcBorders>
            <w:shd w:val="clear" w:color="auto" w:fill="auto"/>
            <w:vAlign w:val="bottom"/>
          </w:tcPr>
          <w:p w14:paraId="2E1BE2A2" w14:textId="77777777" w:rsidR="004A1D81" w:rsidRPr="009C411C" w:rsidRDefault="004A1D81" w:rsidP="00E12A58">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4</w:t>
            </w:r>
          </w:p>
        </w:tc>
        <w:tc>
          <w:tcPr>
            <w:tcW w:w="611" w:type="pct"/>
            <w:tcBorders>
              <w:top w:val="nil"/>
              <w:left w:val="nil"/>
              <w:bottom w:val="single" w:sz="4" w:space="0" w:color="auto"/>
              <w:right w:val="nil"/>
            </w:tcBorders>
            <w:shd w:val="clear" w:color="auto" w:fill="auto"/>
            <w:vAlign w:val="bottom"/>
          </w:tcPr>
          <w:p w14:paraId="7ED23704" w14:textId="77777777" w:rsidR="004A1D81" w:rsidRPr="009C411C" w:rsidRDefault="004A1D81" w:rsidP="00E12A58">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1.840</w:t>
            </w:r>
          </w:p>
        </w:tc>
      </w:tr>
      <w:tr w:rsidR="004A1D81" w:rsidRPr="009C411C" w14:paraId="2E561FC3" w14:textId="77777777" w:rsidTr="00E12A58">
        <w:trPr>
          <w:cantSplit/>
          <w:trHeight w:val="315"/>
          <w:tblHeader/>
        </w:trPr>
        <w:tc>
          <w:tcPr>
            <w:tcW w:w="2552" w:type="pct"/>
            <w:vAlign w:val="bottom"/>
          </w:tcPr>
          <w:p w14:paraId="43874677" w14:textId="77777777" w:rsidR="004A1D81" w:rsidRPr="009C411C" w:rsidRDefault="004A1D81" w:rsidP="00E12A58">
            <w:pPr>
              <w:tabs>
                <w:tab w:val="right" w:pos="1202"/>
              </w:tabs>
              <w:spacing w:line="301" w:lineRule="exact"/>
              <w:outlineLvl w:val="0"/>
              <w:rPr>
                <w:rFonts w:ascii="Arial" w:hAnsi="Arial" w:cs="Arial"/>
                <w:b/>
                <w:bCs/>
                <w:color w:val="000000" w:themeColor="text1"/>
                <w:sz w:val="18"/>
                <w:szCs w:val="18"/>
              </w:rPr>
            </w:pPr>
            <w:r w:rsidRPr="009C411C">
              <w:rPr>
                <w:rFonts w:ascii="Arial" w:hAnsi="Arial" w:cs="Arial"/>
                <w:b/>
                <w:bCs/>
                <w:color w:val="000000" w:themeColor="text1"/>
                <w:sz w:val="18"/>
                <w:szCs w:val="18"/>
              </w:rPr>
              <w:t xml:space="preserve">Ukupno </w:t>
            </w:r>
          </w:p>
        </w:tc>
        <w:tc>
          <w:tcPr>
            <w:tcW w:w="612" w:type="pct"/>
            <w:tcBorders>
              <w:top w:val="nil"/>
              <w:left w:val="nil"/>
              <w:bottom w:val="single" w:sz="8" w:space="0" w:color="auto"/>
              <w:right w:val="nil"/>
            </w:tcBorders>
            <w:shd w:val="clear" w:color="auto" w:fill="auto"/>
            <w:vAlign w:val="bottom"/>
          </w:tcPr>
          <w:p w14:paraId="37A71D25" w14:textId="77777777" w:rsidR="004A1D81" w:rsidRPr="009C411C" w:rsidRDefault="004A1D81" w:rsidP="00E12A58">
            <w:pPr>
              <w:tabs>
                <w:tab w:val="right" w:pos="1202"/>
              </w:tabs>
              <w:spacing w:line="301" w:lineRule="exact"/>
              <w:jc w:val="right"/>
              <w:outlineLvl w:val="0"/>
              <w:rPr>
                <w:rFonts w:ascii="Arial" w:hAnsi="Arial" w:cs="Arial"/>
                <w:b/>
                <w:bCs/>
                <w:color w:val="000000" w:themeColor="text1"/>
                <w:sz w:val="18"/>
                <w:szCs w:val="18"/>
              </w:rPr>
            </w:pPr>
            <w:r w:rsidRPr="00F959D0">
              <w:rPr>
                <w:rFonts w:ascii="Arial" w:hAnsi="Arial" w:cs="Arial"/>
                <w:b/>
                <w:bCs/>
                <w:color w:val="000000" w:themeColor="text1"/>
                <w:sz w:val="18"/>
                <w:szCs w:val="18"/>
              </w:rPr>
              <w:t>3.942.125</w:t>
            </w:r>
          </w:p>
        </w:tc>
        <w:tc>
          <w:tcPr>
            <w:tcW w:w="612" w:type="pct"/>
            <w:tcBorders>
              <w:top w:val="nil"/>
              <w:left w:val="nil"/>
              <w:bottom w:val="single" w:sz="8" w:space="0" w:color="auto"/>
              <w:right w:val="nil"/>
            </w:tcBorders>
            <w:shd w:val="clear" w:color="auto" w:fill="auto"/>
            <w:vAlign w:val="bottom"/>
          </w:tcPr>
          <w:p w14:paraId="2115ED15" w14:textId="77777777" w:rsidR="004A1D81" w:rsidRPr="009C411C" w:rsidRDefault="004A1D81" w:rsidP="00E12A58">
            <w:pPr>
              <w:tabs>
                <w:tab w:val="right" w:pos="1202"/>
              </w:tabs>
              <w:spacing w:line="301" w:lineRule="exact"/>
              <w:jc w:val="right"/>
              <w:outlineLvl w:val="0"/>
              <w:rPr>
                <w:rFonts w:ascii="Arial" w:hAnsi="Arial" w:cs="Arial"/>
                <w:b/>
                <w:bCs/>
                <w:color w:val="000000" w:themeColor="text1"/>
                <w:sz w:val="18"/>
                <w:szCs w:val="18"/>
              </w:rPr>
            </w:pPr>
            <w:r w:rsidRPr="00F959D0">
              <w:rPr>
                <w:rFonts w:ascii="Arial" w:hAnsi="Arial" w:cs="Arial"/>
                <w:b/>
                <w:bCs/>
                <w:color w:val="000000" w:themeColor="text1"/>
                <w:sz w:val="18"/>
                <w:szCs w:val="18"/>
              </w:rPr>
              <w:t>34.735</w:t>
            </w:r>
          </w:p>
        </w:tc>
        <w:tc>
          <w:tcPr>
            <w:tcW w:w="612" w:type="pct"/>
            <w:tcBorders>
              <w:top w:val="nil"/>
              <w:left w:val="nil"/>
              <w:bottom w:val="single" w:sz="8" w:space="0" w:color="auto"/>
              <w:right w:val="nil"/>
            </w:tcBorders>
            <w:shd w:val="clear" w:color="auto" w:fill="auto"/>
            <w:vAlign w:val="bottom"/>
          </w:tcPr>
          <w:p w14:paraId="613513E5" w14:textId="77777777" w:rsidR="004A1D81" w:rsidRPr="009C411C" w:rsidRDefault="004A1D81" w:rsidP="00E12A58">
            <w:pPr>
              <w:tabs>
                <w:tab w:val="right" w:pos="1202"/>
              </w:tabs>
              <w:spacing w:line="301" w:lineRule="exact"/>
              <w:jc w:val="right"/>
              <w:outlineLvl w:val="0"/>
              <w:rPr>
                <w:rFonts w:ascii="Arial" w:hAnsi="Arial" w:cs="Arial"/>
                <w:b/>
                <w:bCs/>
                <w:color w:val="000000" w:themeColor="text1"/>
                <w:sz w:val="18"/>
                <w:szCs w:val="18"/>
              </w:rPr>
            </w:pPr>
            <w:r w:rsidRPr="00F959D0">
              <w:rPr>
                <w:rFonts w:ascii="Arial" w:hAnsi="Arial" w:cs="Arial"/>
                <w:b/>
                <w:bCs/>
                <w:color w:val="000000" w:themeColor="text1"/>
                <w:sz w:val="18"/>
                <w:szCs w:val="18"/>
              </w:rPr>
              <w:t>94</w:t>
            </w:r>
          </w:p>
        </w:tc>
        <w:tc>
          <w:tcPr>
            <w:tcW w:w="611" w:type="pct"/>
            <w:tcBorders>
              <w:top w:val="nil"/>
              <w:left w:val="nil"/>
              <w:bottom w:val="single" w:sz="8" w:space="0" w:color="auto"/>
              <w:right w:val="nil"/>
            </w:tcBorders>
            <w:shd w:val="clear" w:color="auto" w:fill="auto"/>
            <w:vAlign w:val="bottom"/>
          </w:tcPr>
          <w:p w14:paraId="4C492D27" w14:textId="77777777" w:rsidR="004A1D81" w:rsidRPr="009C411C" w:rsidRDefault="004A1D81" w:rsidP="00E12A58">
            <w:pPr>
              <w:tabs>
                <w:tab w:val="right" w:pos="1202"/>
              </w:tabs>
              <w:spacing w:line="301" w:lineRule="exact"/>
              <w:jc w:val="right"/>
              <w:outlineLvl w:val="0"/>
              <w:rPr>
                <w:rFonts w:ascii="Arial" w:hAnsi="Arial" w:cs="Arial"/>
                <w:b/>
                <w:bCs/>
                <w:color w:val="000000" w:themeColor="text1"/>
                <w:sz w:val="18"/>
                <w:szCs w:val="18"/>
              </w:rPr>
            </w:pPr>
            <w:r w:rsidRPr="00F959D0">
              <w:rPr>
                <w:rFonts w:ascii="Arial" w:hAnsi="Arial" w:cs="Arial"/>
                <w:b/>
                <w:bCs/>
                <w:color w:val="000000" w:themeColor="text1"/>
                <w:sz w:val="18"/>
                <w:szCs w:val="18"/>
              </w:rPr>
              <w:t>3.976.954</w:t>
            </w:r>
          </w:p>
        </w:tc>
      </w:tr>
      <w:tr w:rsidR="004A1D81" w:rsidRPr="009C411C" w14:paraId="18A9A63A" w14:textId="77777777" w:rsidTr="00E12A58">
        <w:tblPrEx>
          <w:tblCellMar>
            <w:left w:w="31" w:type="dxa"/>
            <w:right w:w="31" w:type="dxa"/>
          </w:tblCellMar>
        </w:tblPrEx>
        <w:trPr>
          <w:cantSplit/>
          <w:trHeight w:val="265"/>
          <w:tblHeader/>
        </w:trPr>
        <w:tc>
          <w:tcPr>
            <w:tcW w:w="2552" w:type="pct"/>
            <w:vAlign w:val="bottom"/>
          </w:tcPr>
          <w:p w14:paraId="390D5993" w14:textId="77777777" w:rsidR="004A1D81" w:rsidRPr="009C411C" w:rsidRDefault="004A1D81" w:rsidP="00E12A58">
            <w:pPr>
              <w:tabs>
                <w:tab w:val="right" w:pos="1202"/>
              </w:tabs>
              <w:spacing w:line="301" w:lineRule="exact"/>
              <w:outlineLvl w:val="0"/>
              <w:rPr>
                <w:rFonts w:ascii="Arial" w:hAnsi="Arial" w:cs="Arial"/>
                <w:b/>
                <w:bCs/>
                <w:color w:val="000000" w:themeColor="text1"/>
                <w:sz w:val="18"/>
                <w:szCs w:val="18"/>
              </w:rPr>
            </w:pPr>
          </w:p>
        </w:tc>
        <w:tc>
          <w:tcPr>
            <w:tcW w:w="612" w:type="pct"/>
            <w:tcBorders>
              <w:top w:val="single" w:sz="12" w:space="0" w:color="auto"/>
            </w:tcBorders>
            <w:vAlign w:val="bottom"/>
          </w:tcPr>
          <w:p w14:paraId="50323F28" w14:textId="77777777" w:rsidR="004A1D81" w:rsidRPr="009C411C" w:rsidRDefault="004A1D81" w:rsidP="00E12A58">
            <w:pPr>
              <w:tabs>
                <w:tab w:val="right" w:pos="1202"/>
              </w:tabs>
              <w:spacing w:line="301" w:lineRule="exact"/>
              <w:jc w:val="right"/>
              <w:outlineLvl w:val="0"/>
              <w:rPr>
                <w:rFonts w:ascii="Arial" w:hAnsi="Arial" w:cs="Arial"/>
                <w:color w:val="000000" w:themeColor="text1"/>
                <w:sz w:val="18"/>
                <w:szCs w:val="18"/>
              </w:rPr>
            </w:pPr>
          </w:p>
        </w:tc>
        <w:tc>
          <w:tcPr>
            <w:tcW w:w="612" w:type="pct"/>
            <w:tcBorders>
              <w:top w:val="single" w:sz="12" w:space="0" w:color="auto"/>
            </w:tcBorders>
            <w:vAlign w:val="bottom"/>
          </w:tcPr>
          <w:p w14:paraId="32ADCACE" w14:textId="77777777" w:rsidR="004A1D81" w:rsidRPr="009C411C" w:rsidRDefault="004A1D81" w:rsidP="00E12A58">
            <w:pPr>
              <w:tabs>
                <w:tab w:val="right" w:pos="1202"/>
              </w:tabs>
              <w:spacing w:line="301" w:lineRule="exact"/>
              <w:jc w:val="right"/>
              <w:outlineLvl w:val="0"/>
              <w:rPr>
                <w:rFonts w:ascii="Arial" w:hAnsi="Arial" w:cs="Arial"/>
                <w:color w:val="000000" w:themeColor="text1"/>
                <w:sz w:val="18"/>
                <w:szCs w:val="18"/>
              </w:rPr>
            </w:pPr>
          </w:p>
        </w:tc>
        <w:tc>
          <w:tcPr>
            <w:tcW w:w="612" w:type="pct"/>
            <w:tcBorders>
              <w:top w:val="single" w:sz="12" w:space="0" w:color="auto"/>
            </w:tcBorders>
            <w:vAlign w:val="bottom"/>
          </w:tcPr>
          <w:p w14:paraId="504A228B" w14:textId="77777777" w:rsidR="004A1D81" w:rsidRPr="009C411C" w:rsidRDefault="004A1D81" w:rsidP="00E12A58">
            <w:pPr>
              <w:tabs>
                <w:tab w:val="right" w:pos="1202"/>
              </w:tabs>
              <w:spacing w:line="301" w:lineRule="exact"/>
              <w:jc w:val="right"/>
              <w:outlineLvl w:val="0"/>
              <w:rPr>
                <w:rFonts w:ascii="Arial" w:hAnsi="Arial" w:cs="Arial"/>
                <w:color w:val="000000" w:themeColor="text1"/>
                <w:sz w:val="18"/>
                <w:szCs w:val="18"/>
              </w:rPr>
            </w:pPr>
          </w:p>
        </w:tc>
        <w:tc>
          <w:tcPr>
            <w:tcW w:w="611" w:type="pct"/>
            <w:tcBorders>
              <w:top w:val="single" w:sz="12" w:space="0" w:color="auto"/>
            </w:tcBorders>
            <w:vAlign w:val="bottom"/>
          </w:tcPr>
          <w:p w14:paraId="471C02F1" w14:textId="77777777" w:rsidR="004A1D81" w:rsidRPr="009C411C" w:rsidRDefault="004A1D81" w:rsidP="00E12A58">
            <w:pPr>
              <w:tabs>
                <w:tab w:val="right" w:pos="1202"/>
              </w:tabs>
              <w:spacing w:line="301" w:lineRule="exact"/>
              <w:jc w:val="right"/>
              <w:outlineLvl w:val="0"/>
              <w:rPr>
                <w:rFonts w:ascii="Arial" w:hAnsi="Arial" w:cs="Arial"/>
                <w:color w:val="000000" w:themeColor="text1"/>
                <w:sz w:val="18"/>
                <w:szCs w:val="18"/>
              </w:rPr>
            </w:pPr>
          </w:p>
        </w:tc>
      </w:tr>
      <w:tr w:rsidR="004A1D81" w:rsidRPr="009C411C" w14:paraId="2A66C413" w14:textId="77777777" w:rsidTr="00E12A58">
        <w:tblPrEx>
          <w:tblCellMar>
            <w:left w:w="31" w:type="dxa"/>
            <w:right w:w="31" w:type="dxa"/>
          </w:tblCellMar>
        </w:tblPrEx>
        <w:trPr>
          <w:cantSplit/>
          <w:trHeight w:val="265"/>
          <w:tblHeader/>
        </w:trPr>
        <w:tc>
          <w:tcPr>
            <w:tcW w:w="2552" w:type="pct"/>
          </w:tcPr>
          <w:p w14:paraId="3F5ACE45" w14:textId="77777777" w:rsidR="004A1D81" w:rsidRPr="009C411C" w:rsidRDefault="004A1D81" w:rsidP="00E12A58">
            <w:pPr>
              <w:tabs>
                <w:tab w:val="right" w:pos="1202"/>
              </w:tabs>
              <w:spacing w:line="301" w:lineRule="exact"/>
              <w:outlineLvl w:val="0"/>
              <w:rPr>
                <w:rFonts w:ascii="Arial" w:hAnsi="Arial" w:cs="Arial"/>
                <w:b/>
                <w:bCs/>
                <w:color w:val="000000" w:themeColor="text1"/>
                <w:sz w:val="18"/>
                <w:szCs w:val="18"/>
              </w:rPr>
            </w:pPr>
            <w:r w:rsidRPr="009C411C">
              <w:rPr>
                <w:rFonts w:ascii="Arial" w:hAnsi="Arial" w:cs="Arial"/>
                <w:b/>
                <w:bCs/>
                <w:color w:val="000000" w:themeColor="text1"/>
                <w:sz w:val="18"/>
                <w:szCs w:val="18"/>
              </w:rPr>
              <w:t>Garancije i preuzete obveze</w:t>
            </w:r>
          </w:p>
        </w:tc>
        <w:tc>
          <w:tcPr>
            <w:tcW w:w="612" w:type="pct"/>
            <w:vAlign w:val="bottom"/>
          </w:tcPr>
          <w:p w14:paraId="19A806AF" w14:textId="77777777" w:rsidR="004A1D81" w:rsidRPr="009C411C" w:rsidRDefault="004A1D81" w:rsidP="00E12A58">
            <w:pPr>
              <w:tabs>
                <w:tab w:val="right" w:pos="1202"/>
              </w:tabs>
              <w:spacing w:line="301" w:lineRule="exact"/>
              <w:jc w:val="right"/>
              <w:outlineLvl w:val="0"/>
              <w:rPr>
                <w:rFonts w:ascii="Arial" w:hAnsi="Arial" w:cs="Arial"/>
                <w:color w:val="000000" w:themeColor="text1"/>
                <w:sz w:val="18"/>
                <w:szCs w:val="18"/>
              </w:rPr>
            </w:pPr>
          </w:p>
        </w:tc>
        <w:tc>
          <w:tcPr>
            <w:tcW w:w="612" w:type="pct"/>
            <w:vAlign w:val="bottom"/>
          </w:tcPr>
          <w:p w14:paraId="5E152457" w14:textId="77777777" w:rsidR="004A1D81" w:rsidRPr="009C411C" w:rsidRDefault="004A1D81" w:rsidP="00E12A58">
            <w:pPr>
              <w:tabs>
                <w:tab w:val="right" w:pos="1202"/>
              </w:tabs>
              <w:spacing w:line="301" w:lineRule="exact"/>
              <w:jc w:val="right"/>
              <w:outlineLvl w:val="0"/>
              <w:rPr>
                <w:rFonts w:ascii="Arial" w:hAnsi="Arial" w:cs="Arial"/>
                <w:color w:val="000000" w:themeColor="text1"/>
                <w:sz w:val="18"/>
                <w:szCs w:val="18"/>
              </w:rPr>
            </w:pPr>
          </w:p>
        </w:tc>
        <w:tc>
          <w:tcPr>
            <w:tcW w:w="612" w:type="pct"/>
            <w:vAlign w:val="bottom"/>
          </w:tcPr>
          <w:p w14:paraId="6C20035B" w14:textId="77777777" w:rsidR="004A1D81" w:rsidRPr="009C411C" w:rsidRDefault="004A1D81" w:rsidP="00E12A58">
            <w:pPr>
              <w:tabs>
                <w:tab w:val="right" w:pos="1202"/>
              </w:tabs>
              <w:spacing w:line="301" w:lineRule="exact"/>
              <w:jc w:val="right"/>
              <w:outlineLvl w:val="0"/>
              <w:rPr>
                <w:rFonts w:ascii="Arial" w:hAnsi="Arial" w:cs="Arial"/>
                <w:color w:val="000000" w:themeColor="text1"/>
                <w:sz w:val="18"/>
                <w:szCs w:val="18"/>
              </w:rPr>
            </w:pPr>
          </w:p>
        </w:tc>
        <w:tc>
          <w:tcPr>
            <w:tcW w:w="611" w:type="pct"/>
            <w:vAlign w:val="bottom"/>
          </w:tcPr>
          <w:p w14:paraId="232DAD86" w14:textId="77777777" w:rsidR="004A1D81" w:rsidRPr="009C411C" w:rsidRDefault="004A1D81" w:rsidP="00E12A58">
            <w:pPr>
              <w:tabs>
                <w:tab w:val="right" w:pos="1202"/>
              </w:tabs>
              <w:spacing w:line="301" w:lineRule="exact"/>
              <w:jc w:val="right"/>
              <w:outlineLvl w:val="0"/>
              <w:rPr>
                <w:rFonts w:ascii="Arial" w:hAnsi="Arial" w:cs="Arial"/>
                <w:color w:val="000000" w:themeColor="text1"/>
                <w:sz w:val="18"/>
                <w:szCs w:val="18"/>
              </w:rPr>
            </w:pPr>
          </w:p>
        </w:tc>
      </w:tr>
      <w:tr w:rsidR="004A1D81" w:rsidRPr="009C411C" w14:paraId="58570D21" w14:textId="77777777" w:rsidTr="00E12A58">
        <w:tblPrEx>
          <w:tblCellMar>
            <w:left w:w="31" w:type="dxa"/>
            <w:right w:w="31" w:type="dxa"/>
          </w:tblCellMar>
        </w:tblPrEx>
        <w:trPr>
          <w:cantSplit/>
          <w:trHeight w:val="265"/>
          <w:tblHeader/>
        </w:trPr>
        <w:tc>
          <w:tcPr>
            <w:tcW w:w="2552" w:type="pct"/>
          </w:tcPr>
          <w:p w14:paraId="437CD0F0" w14:textId="77777777" w:rsidR="004A1D81" w:rsidRPr="009C411C" w:rsidRDefault="004A1D81" w:rsidP="00E12A58">
            <w:pPr>
              <w:tabs>
                <w:tab w:val="right" w:pos="1202"/>
              </w:tabs>
              <w:spacing w:line="301" w:lineRule="exact"/>
              <w:outlineLvl w:val="0"/>
              <w:rPr>
                <w:rFonts w:ascii="Arial" w:hAnsi="Arial" w:cs="Arial"/>
                <w:b/>
                <w:bCs/>
                <w:color w:val="000000" w:themeColor="text1"/>
                <w:sz w:val="18"/>
                <w:szCs w:val="18"/>
              </w:rPr>
            </w:pPr>
            <w:r w:rsidRPr="009C411C">
              <w:rPr>
                <w:rFonts w:ascii="Arial" w:hAnsi="Arial" w:cs="Arial"/>
                <w:color w:val="000000" w:themeColor="text1"/>
                <w:sz w:val="18"/>
                <w:szCs w:val="18"/>
              </w:rPr>
              <w:t xml:space="preserve">Izdane garancije </w:t>
            </w:r>
          </w:p>
        </w:tc>
        <w:tc>
          <w:tcPr>
            <w:tcW w:w="612" w:type="pct"/>
            <w:tcBorders>
              <w:top w:val="nil"/>
              <w:left w:val="nil"/>
              <w:bottom w:val="nil"/>
              <w:right w:val="nil"/>
            </w:tcBorders>
            <w:shd w:val="clear" w:color="auto" w:fill="auto"/>
            <w:vAlign w:val="bottom"/>
          </w:tcPr>
          <w:p w14:paraId="26685E55" w14:textId="77777777" w:rsidR="004A1D81" w:rsidRPr="009C411C" w:rsidRDefault="004A1D81" w:rsidP="00E12A58">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 xml:space="preserve"> 44.545 </w:t>
            </w:r>
          </w:p>
        </w:tc>
        <w:tc>
          <w:tcPr>
            <w:tcW w:w="612" w:type="pct"/>
            <w:tcBorders>
              <w:top w:val="nil"/>
              <w:left w:val="nil"/>
              <w:bottom w:val="nil"/>
              <w:right w:val="nil"/>
            </w:tcBorders>
            <w:shd w:val="clear" w:color="auto" w:fill="auto"/>
            <w:vAlign w:val="bottom"/>
          </w:tcPr>
          <w:p w14:paraId="0CF79FE0" w14:textId="77777777" w:rsidR="004A1D81" w:rsidRPr="009C411C" w:rsidRDefault="004A1D81" w:rsidP="00E12A58">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 xml:space="preserve"> -   </w:t>
            </w:r>
          </w:p>
        </w:tc>
        <w:tc>
          <w:tcPr>
            <w:tcW w:w="612" w:type="pct"/>
            <w:tcBorders>
              <w:top w:val="nil"/>
              <w:left w:val="nil"/>
              <w:bottom w:val="nil"/>
              <w:right w:val="nil"/>
            </w:tcBorders>
            <w:shd w:val="clear" w:color="auto" w:fill="auto"/>
            <w:vAlign w:val="bottom"/>
          </w:tcPr>
          <w:p w14:paraId="12BD024F" w14:textId="77777777" w:rsidR="004A1D81" w:rsidRPr="009C411C" w:rsidRDefault="004A1D81" w:rsidP="00E12A58">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780E516F" w14:textId="77777777" w:rsidR="004A1D81" w:rsidRPr="009C411C" w:rsidRDefault="004A1D81" w:rsidP="00E12A58">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44.545</w:t>
            </w:r>
          </w:p>
        </w:tc>
      </w:tr>
      <w:tr w:rsidR="004A1D81" w:rsidRPr="009C411C" w14:paraId="13E27A65" w14:textId="77777777" w:rsidTr="00E12A58">
        <w:tblPrEx>
          <w:tblCellMar>
            <w:left w:w="31" w:type="dxa"/>
            <w:right w:w="31" w:type="dxa"/>
          </w:tblCellMar>
        </w:tblPrEx>
        <w:trPr>
          <w:cantSplit/>
          <w:trHeight w:val="265"/>
          <w:tblHeader/>
        </w:trPr>
        <w:tc>
          <w:tcPr>
            <w:tcW w:w="2552" w:type="pct"/>
            <w:vAlign w:val="bottom"/>
          </w:tcPr>
          <w:p w14:paraId="1E9F83EE" w14:textId="77777777" w:rsidR="004A1D81" w:rsidRPr="009C411C" w:rsidRDefault="004A1D81" w:rsidP="00E12A58">
            <w:pPr>
              <w:tabs>
                <w:tab w:val="right" w:pos="1202"/>
              </w:tabs>
              <w:spacing w:line="301" w:lineRule="exact"/>
              <w:outlineLvl w:val="0"/>
              <w:rPr>
                <w:rFonts w:ascii="Arial" w:hAnsi="Arial" w:cs="Arial"/>
                <w:color w:val="000000" w:themeColor="text1"/>
                <w:sz w:val="18"/>
                <w:szCs w:val="18"/>
              </w:rPr>
            </w:pPr>
            <w:r w:rsidRPr="009C411C">
              <w:rPr>
                <w:rFonts w:ascii="Arial" w:hAnsi="Arial" w:cs="Arial"/>
                <w:color w:val="000000" w:themeColor="text1"/>
                <w:sz w:val="18"/>
                <w:szCs w:val="18"/>
              </w:rPr>
              <w:t>Izdane garancije u devizama</w:t>
            </w:r>
          </w:p>
        </w:tc>
        <w:tc>
          <w:tcPr>
            <w:tcW w:w="612" w:type="pct"/>
            <w:tcBorders>
              <w:top w:val="nil"/>
              <w:left w:val="nil"/>
              <w:bottom w:val="nil"/>
              <w:right w:val="nil"/>
            </w:tcBorders>
            <w:shd w:val="clear" w:color="auto" w:fill="auto"/>
            <w:vAlign w:val="bottom"/>
          </w:tcPr>
          <w:p w14:paraId="68950C3D" w14:textId="77777777" w:rsidR="004A1D81" w:rsidRPr="009C411C" w:rsidRDefault="004A1D81" w:rsidP="00E12A58">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 xml:space="preserve"> 5.357 </w:t>
            </w:r>
          </w:p>
        </w:tc>
        <w:tc>
          <w:tcPr>
            <w:tcW w:w="612" w:type="pct"/>
            <w:tcBorders>
              <w:top w:val="nil"/>
              <w:left w:val="nil"/>
              <w:bottom w:val="nil"/>
              <w:right w:val="nil"/>
            </w:tcBorders>
            <w:shd w:val="clear" w:color="auto" w:fill="auto"/>
            <w:vAlign w:val="bottom"/>
          </w:tcPr>
          <w:p w14:paraId="390364A4" w14:textId="77777777" w:rsidR="004A1D81" w:rsidRPr="009C411C" w:rsidRDefault="004A1D81" w:rsidP="00E12A58">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 xml:space="preserve"> -   </w:t>
            </w:r>
          </w:p>
        </w:tc>
        <w:tc>
          <w:tcPr>
            <w:tcW w:w="612" w:type="pct"/>
            <w:tcBorders>
              <w:top w:val="nil"/>
              <w:left w:val="nil"/>
              <w:bottom w:val="nil"/>
              <w:right w:val="nil"/>
            </w:tcBorders>
            <w:shd w:val="clear" w:color="auto" w:fill="auto"/>
            <w:vAlign w:val="bottom"/>
          </w:tcPr>
          <w:p w14:paraId="5238B14F" w14:textId="77777777" w:rsidR="004A1D81" w:rsidRPr="009C411C" w:rsidRDefault="004A1D81" w:rsidP="00E12A58">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 xml:space="preserve"> -   </w:t>
            </w:r>
          </w:p>
        </w:tc>
        <w:tc>
          <w:tcPr>
            <w:tcW w:w="611" w:type="pct"/>
            <w:tcBorders>
              <w:top w:val="nil"/>
              <w:left w:val="nil"/>
              <w:bottom w:val="nil"/>
              <w:right w:val="nil"/>
            </w:tcBorders>
            <w:shd w:val="clear" w:color="auto" w:fill="auto"/>
            <w:vAlign w:val="bottom"/>
          </w:tcPr>
          <w:p w14:paraId="63F6F359" w14:textId="77777777" w:rsidR="004A1D81" w:rsidRPr="009C411C" w:rsidRDefault="004A1D81" w:rsidP="00E12A58">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5.357</w:t>
            </w:r>
          </w:p>
        </w:tc>
      </w:tr>
      <w:tr w:rsidR="004A1D81" w:rsidRPr="009C411C" w14:paraId="3265FBF2" w14:textId="77777777" w:rsidTr="00E12A58">
        <w:tblPrEx>
          <w:tblCellMar>
            <w:left w:w="31" w:type="dxa"/>
            <w:right w:w="31" w:type="dxa"/>
          </w:tblCellMar>
        </w:tblPrEx>
        <w:trPr>
          <w:cantSplit/>
          <w:trHeight w:val="265"/>
          <w:tblHeader/>
        </w:trPr>
        <w:tc>
          <w:tcPr>
            <w:tcW w:w="2552" w:type="pct"/>
            <w:vAlign w:val="bottom"/>
          </w:tcPr>
          <w:p w14:paraId="727E3F18" w14:textId="77777777" w:rsidR="004A1D81" w:rsidRPr="009C411C" w:rsidRDefault="004A1D81" w:rsidP="00E12A58">
            <w:pPr>
              <w:tabs>
                <w:tab w:val="right" w:pos="1202"/>
              </w:tabs>
              <w:spacing w:line="301" w:lineRule="exact"/>
              <w:outlineLvl w:val="0"/>
              <w:rPr>
                <w:rFonts w:ascii="Arial" w:hAnsi="Arial" w:cs="Arial"/>
                <w:color w:val="000000" w:themeColor="text1"/>
                <w:sz w:val="18"/>
                <w:szCs w:val="18"/>
              </w:rPr>
            </w:pPr>
            <w:r w:rsidRPr="009C411C">
              <w:rPr>
                <w:rFonts w:ascii="Arial" w:hAnsi="Arial" w:cs="Arial"/>
                <w:color w:val="000000" w:themeColor="text1"/>
                <w:sz w:val="18"/>
                <w:szCs w:val="18"/>
              </w:rPr>
              <w:t>Preuzete obveze po kreditima</w:t>
            </w:r>
          </w:p>
        </w:tc>
        <w:tc>
          <w:tcPr>
            <w:tcW w:w="612" w:type="pct"/>
            <w:tcBorders>
              <w:top w:val="nil"/>
              <w:left w:val="nil"/>
              <w:bottom w:val="single" w:sz="4" w:space="0" w:color="auto"/>
              <w:right w:val="nil"/>
            </w:tcBorders>
            <w:shd w:val="clear" w:color="auto" w:fill="auto"/>
            <w:vAlign w:val="bottom"/>
          </w:tcPr>
          <w:p w14:paraId="704763B7" w14:textId="77777777" w:rsidR="004A1D81" w:rsidRPr="009C411C" w:rsidRDefault="004A1D81" w:rsidP="00E12A58">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 xml:space="preserve"> 432.651 </w:t>
            </w:r>
          </w:p>
        </w:tc>
        <w:tc>
          <w:tcPr>
            <w:tcW w:w="612" w:type="pct"/>
            <w:tcBorders>
              <w:top w:val="nil"/>
              <w:left w:val="nil"/>
              <w:bottom w:val="single" w:sz="4" w:space="0" w:color="auto"/>
              <w:right w:val="nil"/>
            </w:tcBorders>
            <w:shd w:val="clear" w:color="auto" w:fill="auto"/>
            <w:vAlign w:val="bottom"/>
          </w:tcPr>
          <w:p w14:paraId="7DC9682D" w14:textId="77777777" w:rsidR="004A1D81" w:rsidRPr="009C411C" w:rsidRDefault="004A1D81" w:rsidP="00E12A58">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 xml:space="preserve"> 821 </w:t>
            </w:r>
          </w:p>
        </w:tc>
        <w:tc>
          <w:tcPr>
            <w:tcW w:w="612" w:type="pct"/>
            <w:tcBorders>
              <w:top w:val="nil"/>
              <w:left w:val="nil"/>
              <w:bottom w:val="single" w:sz="4" w:space="0" w:color="auto"/>
              <w:right w:val="nil"/>
            </w:tcBorders>
            <w:shd w:val="clear" w:color="auto" w:fill="auto"/>
            <w:vAlign w:val="bottom"/>
          </w:tcPr>
          <w:p w14:paraId="32AE7A90" w14:textId="77777777" w:rsidR="004A1D81" w:rsidRPr="009C411C" w:rsidRDefault="004A1D81" w:rsidP="00E12A58">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 xml:space="preserve"> 7.601 </w:t>
            </w:r>
          </w:p>
        </w:tc>
        <w:tc>
          <w:tcPr>
            <w:tcW w:w="611" w:type="pct"/>
            <w:tcBorders>
              <w:top w:val="nil"/>
              <w:left w:val="nil"/>
              <w:bottom w:val="single" w:sz="4" w:space="0" w:color="auto"/>
              <w:right w:val="nil"/>
            </w:tcBorders>
            <w:shd w:val="clear" w:color="auto" w:fill="auto"/>
            <w:vAlign w:val="bottom"/>
          </w:tcPr>
          <w:p w14:paraId="6AA0B5A9" w14:textId="77777777" w:rsidR="004A1D81" w:rsidRPr="009C411C" w:rsidRDefault="004A1D81" w:rsidP="00E12A58">
            <w:pPr>
              <w:tabs>
                <w:tab w:val="right" w:pos="1202"/>
              </w:tabs>
              <w:spacing w:line="301" w:lineRule="exact"/>
              <w:jc w:val="right"/>
              <w:outlineLvl w:val="0"/>
              <w:rPr>
                <w:rFonts w:ascii="Arial" w:hAnsi="Arial" w:cs="Arial"/>
                <w:color w:val="000000" w:themeColor="text1"/>
                <w:sz w:val="18"/>
                <w:szCs w:val="18"/>
              </w:rPr>
            </w:pPr>
            <w:r w:rsidRPr="00F959D0">
              <w:rPr>
                <w:rFonts w:ascii="Arial" w:hAnsi="Arial" w:cs="Arial"/>
                <w:color w:val="000000" w:themeColor="text1"/>
                <w:sz w:val="18"/>
                <w:szCs w:val="18"/>
              </w:rPr>
              <w:t>441.073</w:t>
            </w:r>
          </w:p>
        </w:tc>
      </w:tr>
      <w:tr w:rsidR="004A1D81" w:rsidRPr="009C411C" w14:paraId="7A5F281C" w14:textId="77777777" w:rsidTr="00E12A58">
        <w:tblPrEx>
          <w:tblCellMar>
            <w:left w:w="31" w:type="dxa"/>
            <w:right w:w="31" w:type="dxa"/>
          </w:tblCellMar>
        </w:tblPrEx>
        <w:trPr>
          <w:cantSplit/>
          <w:trHeight w:val="393"/>
          <w:tblHeader/>
        </w:trPr>
        <w:tc>
          <w:tcPr>
            <w:tcW w:w="2552" w:type="pct"/>
            <w:vAlign w:val="bottom"/>
          </w:tcPr>
          <w:p w14:paraId="0D7F4DCE" w14:textId="77777777" w:rsidR="004A1D81" w:rsidRPr="009C411C" w:rsidRDefault="004A1D81" w:rsidP="00E12A58">
            <w:pPr>
              <w:tabs>
                <w:tab w:val="right" w:pos="1202"/>
              </w:tabs>
              <w:spacing w:line="301" w:lineRule="exact"/>
              <w:outlineLvl w:val="0"/>
              <w:rPr>
                <w:rFonts w:ascii="Arial" w:hAnsi="Arial" w:cs="Arial"/>
                <w:color w:val="000000" w:themeColor="text1"/>
                <w:sz w:val="18"/>
                <w:szCs w:val="18"/>
              </w:rPr>
            </w:pPr>
            <w:r w:rsidRPr="009C411C">
              <w:rPr>
                <w:rFonts w:ascii="Arial" w:hAnsi="Arial" w:cs="Arial"/>
                <w:b/>
                <w:bCs/>
                <w:color w:val="000000" w:themeColor="text1"/>
                <w:sz w:val="18"/>
                <w:szCs w:val="18"/>
              </w:rPr>
              <w:t>Ukupno</w:t>
            </w:r>
          </w:p>
        </w:tc>
        <w:tc>
          <w:tcPr>
            <w:tcW w:w="612" w:type="pct"/>
            <w:tcBorders>
              <w:top w:val="single" w:sz="4" w:space="0" w:color="auto"/>
              <w:left w:val="nil"/>
              <w:bottom w:val="single" w:sz="12" w:space="0" w:color="auto"/>
              <w:right w:val="nil"/>
            </w:tcBorders>
            <w:shd w:val="clear" w:color="auto" w:fill="auto"/>
            <w:vAlign w:val="bottom"/>
          </w:tcPr>
          <w:p w14:paraId="67D897F9" w14:textId="77777777" w:rsidR="004A1D81" w:rsidRPr="00634DB6" w:rsidRDefault="004A1D81" w:rsidP="00E12A58">
            <w:pPr>
              <w:tabs>
                <w:tab w:val="right" w:pos="1202"/>
              </w:tabs>
              <w:spacing w:line="301" w:lineRule="exact"/>
              <w:jc w:val="right"/>
              <w:outlineLvl w:val="0"/>
              <w:rPr>
                <w:rFonts w:ascii="Arial" w:hAnsi="Arial" w:cs="Arial"/>
                <w:b/>
                <w:bCs/>
                <w:color w:val="000000" w:themeColor="text1"/>
                <w:sz w:val="18"/>
                <w:szCs w:val="18"/>
              </w:rPr>
            </w:pPr>
            <w:r w:rsidRPr="00F959D0">
              <w:rPr>
                <w:rFonts w:ascii="Arial" w:hAnsi="Arial" w:cs="Arial"/>
                <w:b/>
                <w:bCs/>
                <w:color w:val="000000" w:themeColor="text1"/>
                <w:sz w:val="18"/>
                <w:szCs w:val="18"/>
              </w:rPr>
              <w:t>482.553</w:t>
            </w:r>
          </w:p>
        </w:tc>
        <w:tc>
          <w:tcPr>
            <w:tcW w:w="612" w:type="pct"/>
            <w:tcBorders>
              <w:top w:val="single" w:sz="4" w:space="0" w:color="auto"/>
              <w:left w:val="nil"/>
              <w:bottom w:val="single" w:sz="12" w:space="0" w:color="auto"/>
              <w:right w:val="nil"/>
            </w:tcBorders>
            <w:shd w:val="clear" w:color="auto" w:fill="auto"/>
            <w:vAlign w:val="bottom"/>
          </w:tcPr>
          <w:p w14:paraId="7B4B17E0" w14:textId="77777777" w:rsidR="004A1D81" w:rsidRPr="00634DB6" w:rsidRDefault="004A1D81" w:rsidP="00E12A58">
            <w:pPr>
              <w:tabs>
                <w:tab w:val="right" w:pos="1202"/>
              </w:tabs>
              <w:spacing w:line="301" w:lineRule="exact"/>
              <w:jc w:val="right"/>
              <w:outlineLvl w:val="0"/>
              <w:rPr>
                <w:rFonts w:ascii="Arial" w:hAnsi="Arial" w:cs="Arial"/>
                <w:b/>
                <w:bCs/>
                <w:color w:val="000000" w:themeColor="text1"/>
                <w:sz w:val="18"/>
                <w:szCs w:val="18"/>
              </w:rPr>
            </w:pPr>
            <w:r w:rsidRPr="00F959D0">
              <w:rPr>
                <w:rFonts w:ascii="Arial" w:hAnsi="Arial" w:cs="Arial"/>
                <w:b/>
                <w:bCs/>
                <w:color w:val="000000" w:themeColor="text1"/>
                <w:sz w:val="18"/>
                <w:szCs w:val="18"/>
              </w:rPr>
              <w:t>821</w:t>
            </w:r>
          </w:p>
        </w:tc>
        <w:tc>
          <w:tcPr>
            <w:tcW w:w="612" w:type="pct"/>
            <w:tcBorders>
              <w:top w:val="single" w:sz="4" w:space="0" w:color="auto"/>
              <w:left w:val="nil"/>
              <w:bottom w:val="single" w:sz="12" w:space="0" w:color="auto"/>
              <w:right w:val="nil"/>
            </w:tcBorders>
            <w:shd w:val="clear" w:color="auto" w:fill="auto"/>
            <w:vAlign w:val="bottom"/>
          </w:tcPr>
          <w:p w14:paraId="0ADFE636" w14:textId="77777777" w:rsidR="004A1D81" w:rsidRPr="00634DB6" w:rsidRDefault="004A1D81" w:rsidP="00E12A58">
            <w:pPr>
              <w:tabs>
                <w:tab w:val="right" w:pos="1202"/>
              </w:tabs>
              <w:spacing w:line="301" w:lineRule="exact"/>
              <w:jc w:val="right"/>
              <w:outlineLvl w:val="0"/>
              <w:rPr>
                <w:rFonts w:ascii="Arial" w:hAnsi="Arial" w:cs="Arial"/>
                <w:b/>
                <w:bCs/>
                <w:color w:val="000000" w:themeColor="text1"/>
                <w:sz w:val="18"/>
                <w:szCs w:val="18"/>
              </w:rPr>
            </w:pPr>
            <w:r w:rsidRPr="00F959D0">
              <w:rPr>
                <w:rFonts w:ascii="Arial" w:hAnsi="Arial" w:cs="Arial"/>
                <w:b/>
                <w:bCs/>
                <w:color w:val="000000" w:themeColor="text1"/>
                <w:sz w:val="18"/>
                <w:szCs w:val="18"/>
              </w:rPr>
              <w:t>7.601</w:t>
            </w:r>
          </w:p>
        </w:tc>
        <w:tc>
          <w:tcPr>
            <w:tcW w:w="611" w:type="pct"/>
            <w:tcBorders>
              <w:top w:val="single" w:sz="4" w:space="0" w:color="auto"/>
              <w:left w:val="nil"/>
              <w:bottom w:val="single" w:sz="12" w:space="0" w:color="auto"/>
              <w:right w:val="nil"/>
            </w:tcBorders>
            <w:shd w:val="clear" w:color="auto" w:fill="auto"/>
            <w:vAlign w:val="bottom"/>
          </w:tcPr>
          <w:p w14:paraId="4A8F6694" w14:textId="77777777" w:rsidR="004A1D81" w:rsidRPr="00634DB6" w:rsidRDefault="004A1D81" w:rsidP="00E12A58">
            <w:pPr>
              <w:tabs>
                <w:tab w:val="right" w:pos="1202"/>
              </w:tabs>
              <w:spacing w:line="301" w:lineRule="exact"/>
              <w:jc w:val="right"/>
              <w:outlineLvl w:val="0"/>
              <w:rPr>
                <w:rFonts w:ascii="Arial" w:hAnsi="Arial" w:cs="Arial"/>
                <w:b/>
                <w:bCs/>
                <w:color w:val="000000" w:themeColor="text1"/>
                <w:sz w:val="18"/>
                <w:szCs w:val="18"/>
              </w:rPr>
            </w:pPr>
            <w:r w:rsidRPr="00F959D0">
              <w:rPr>
                <w:rFonts w:ascii="Arial" w:hAnsi="Arial" w:cs="Arial"/>
                <w:b/>
                <w:bCs/>
                <w:color w:val="000000" w:themeColor="text1"/>
                <w:sz w:val="18"/>
                <w:szCs w:val="18"/>
              </w:rPr>
              <w:t>490.975</w:t>
            </w:r>
          </w:p>
        </w:tc>
      </w:tr>
      <w:tr w:rsidR="004A1D81" w:rsidRPr="009C411C" w14:paraId="65D751E6" w14:textId="77777777" w:rsidTr="00E12A58">
        <w:tblPrEx>
          <w:tblCellMar>
            <w:left w:w="31" w:type="dxa"/>
            <w:right w:w="31" w:type="dxa"/>
          </w:tblCellMar>
        </w:tblPrEx>
        <w:trPr>
          <w:cantSplit/>
          <w:trHeight w:hRule="exact" w:val="120"/>
          <w:tblHeader/>
        </w:trPr>
        <w:tc>
          <w:tcPr>
            <w:tcW w:w="2552" w:type="pct"/>
            <w:vAlign w:val="bottom"/>
          </w:tcPr>
          <w:p w14:paraId="2F92AD0A" w14:textId="77777777" w:rsidR="004A1D81" w:rsidRPr="009C411C" w:rsidRDefault="004A1D81" w:rsidP="00E12A58">
            <w:pPr>
              <w:tabs>
                <w:tab w:val="right" w:pos="1202"/>
              </w:tabs>
              <w:spacing w:line="301" w:lineRule="exact"/>
              <w:outlineLvl w:val="0"/>
              <w:rPr>
                <w:rFonts w:ascii="Arial" w:hAnsi="Arial" w:cs="Arial"/>
                <w:color w:val="000000" w:themeColor="text1"/>
                <w:sz w:val="18"/>
                <w:szCs w:val="18"/>
              </w:rPr>
            </w:pPr>
          </w:p>
        </w:tc>
        <w:tc>
          <w:tcPr>
            <w:tcW w:w="612" w:type="pct"/>
            <w:tcBorders>
              <w:top w:val="single" w:sz="12" w:space="0" w:color="auto"/>
            </w:tcBorders>
            <w:vAlign w:val="bottom"/>
          </w:tcPr>
          <w:p w14:paraId="29051DA5" w14:textId="77777777" w:rsidR="004A1D81" w:rsidRPr="00F959D0" w:rsidRDefault="004A1D81" w:rsidP="00E12A58">
            <w:pPr>
              <w:tabs>
                <w:tab w:val="right" w:pos="1202"/>
              </w:tabs>
              <w:spacing w:line="301" w:lineRule="exact"/>
              <w:jc w:val="right"/>
              <w:outlineLvl w:val="0"/>
              <w:rPr>
                <w:rFonts w:ascii="Arial" w:hAnsi="Arial" w:cs="Arial"/>
                <w:color w:val="000000" w:themeColor="text1"/>
                <w:sz w:val="18"/>
                <w:szCs w:val="18"/>
              </w:rPr>
            </w:pPr>
          </w:p>
        </w:tc>
        <w:tc>
          <w:tcPr>
            <w:tcW w:w="612" w:type="pct"/>
            <w:tcBorders>
              <w:top w:val="single" w:sz="12" w:space="0" w:color="auto"/>
            </w:tcBorders>
            <w:vAlign w:val="bottom"/>
          </w:tcPr>
          <w:p w14:paraId="444F0195" w14:textId="77777777" w:rsidR="004A1D81" w:rsidRPr="00F959D0" w:rsidRDefault="004A1D81" w:rsidP="00E12A58">
            <w:pPr>
              <w:tabs>
                <w:tab w:val="right" w:pos="1202"/>
              </w:tabs>
              <w:spacing w:line="301" w:lineRule="exact"/>
              <w:jc w:val="right"/>
              <w:outlineLvl w:val="0"/>
              <w:rPr>
                <w:rFonts w:ascii="Arial" w:hAnsi="Arial" w:cs="Arial"/>
                <w:color w:val="000000" w:themeColor="text1"/>
                <w:sz w:val="18"/>
                <w:szCs w:val="18"/>
              </w:rPr>
            </w:pPr>
          </w:p>
        </w:tc>
        <w:tc>
          <w:tcPr>
            <w:tcW w:w="612" w:type="pct"/>
            <w:tcBorders>
              <w:top w:val="single" w:sz="12" w:space="0" w:color="auto"/>
            </w:tcBorders>
            <w:vAlign w:val="bottom"/>
          </w:tcPr>
          <w:p w14:paraId="25FC8546" w14:textId="77777777" w:rsidR="004A1D81" w:rsidRPr="00F959D0" w:rsidRDefault="004A1D81" w:rsidP="00E12A58">
            <w:pPr>
              <w:tabs>
                <w:tab w:val="right" w:pos="1202"/>
              </w:tabs>
              <w:spacing w:line="301" w:lineRule="exact"/>
              <w:jc w:val="right"/>
              <w:outlineLvl w:val="0"/>
              <w:rPr>
                <w:rFonts w:ascii="Arial" w:hAnsi="Arial" w:cs="Arial"/>
                <w:color w:val="000000" w:themeColor="text1"/>
                <w:sz w:val="18"/>
                <w:szCs w:val="18"/>
              </w:rPr>
            </w:pPr>
          </w:p>
        </w:tc>
        <w:tc>
          <w:tcPr>
            <w:tcW w:w="611" w:type="pct"/>
            <w:tcBorders>
              <w:top w:val="single" w:sz="12" w:space="0" w:color="auto"/>
            </w:tcBorders>
            <w:vAlign w:val="bottom"/>
          </w:tcPr>
          <w:p w14:paraId="6391A798" w14:textId="77777777" w:rsidR="004A1D81" w:rsidRPr="00F959D0" w:rsidRDefault="004A1D81" w:rsidP="00E12A58">
            <w:pPr>
              <w:tabs>
                <w:tab w:val="right" w:pos="1202"/>
              </w:tabs>
              <w:spacing w:line="301" w:lineRule="exact"/>
              <w:jc w:val="right"/>
              <w:outlineLvl w:val="0"/>
              <w:rPr>
                <w:rFonts w:ascii="Arial" w:hAnsi="Arial" w:cs="Arial"/>
                <w:color w:val="000000" w:themeColor="text1"/>
                <w:sz w:val="18"/>
                <w:szCs w:val="18"/>
              </w:rPr>
            </w:pPr>
          </w:p>
        </w:tc>
      </w:tr>
      <w:tr w:rsidR="004A1D81" w:rsidRPr="009C411C" w14:paraId="03C611A2" w14:textId="77777777" w:rsidTr="00E12A58">
        <w:tblPrEx>
          <w:tblCellMar>
            <w:left w:w="31" w:type="dxa"/>
            <w:right w:w="31" w:type="dxa"/>
          </w:tblCellMar>
        </w:tblPrEx>
        <w:trPr>
          <w:cantSplit/>
          <w:trHeight w:val="375"/>
          <w:tblHeader/>
        </w:trPr>
        <w:tc>
          <w:tcPr>
            <w:tcW w:w="2552" w:type="pct"/>
            <w:vAlign w:val="bottom"/>
          </w:tcPr>
          <w:p w14:paraId="106DE309" w14:textId="77777777" w:rsidR="004A1D81" w:rsidRPr="009C411C" w:rsidRDefault="004A1D81" w:rsidP="00E12A58">
            <w:pPr>
              <w:tabs>
                <w:tab w:val="right" w:pos="1202"/>
              </w:tabs>
              <w:spacing w:line="301" w:lineRule="exact"/>
              <w:outlineLvl w:val="0"/>
              <w:rPr>
                <w:rFonts w:ascii="Arial" w:hAnsi="Arial" w:cs="Arial"/>
                <w:b/>
                <w:bCs/>
                <w:color w:val="000000" w:themeColor="text1"/>
                <w:sz w:val="18"/>
                <w:szCs w:val="18"/>
              </w:rPr>
            </w:pPr>
            <w:r w:rsidRPr="009C411C">
              <w:rPr>
                <w:rFonts w:ascii="Arial" w:hAnsi="Arial" w:cs="Arial"/>
                <w:b/>
                <w:bCs/>
                <w:color w:val="000000" w:themeColor="text1"/>
                <w:sz w:val="18"/>
                <w:szCs w:val="18"/>
              </w:rPr>
              <w:t>Ukupna izloženost kreditnom riziku</w:t>
            </w:r>
          </w:p>
        </w:tc>
        <w:tc>
          <w:tcPr>
            <w:tcW w:w="612" w:type="pct"/>
            <w:tcBorders>
              <w:top w:val="nil"/>
              <w:left w:val="nil"/>
              <w:bottom w:val="single" w:sz="12" w:space="0" w:color="auto"/>
              <w:right w:val="nil"/>
            </w:tcBorders>
            <w:shd w:val="clear" w:color="auto" w:fill="auto"/>
            <w:vAlign w:val="bottom"/>
          </w:tcPr>
          <w:p w14:paraId="62AB9B1F" w14:textId="77777777" w:rsidR="004A1D81" w:rsidRPr="00634DB6" w:rsidRDefault="004A1D81" w:rsidP="00E12A58">
            <w:pPr>
              <w:tabs>
                <w:tab w:val="right" w:pos="1202"/>
              </w:tabs>
              <w:spacing w:line="301" w:lineRule="exact"/>
              <w:jc w:val="right"/>
              <w:outlineLvl w:val="0"/>
              <w:rPr>
                <w:rFonts w:ascii="Arial" w:hAnsi="Arial" w:cs="Arial"/>
                <w:b/>
                <w:bCs/>
                <w:color w:val="000000" w:themeColor="text1"/>
                <w:sz w:val="18"/>
                <w:szCs w:val="18"/>
              </w:rPr>
            </w:pPr>
            <w:r w:rsidRPr="00F959D0">
              <w:rPr>
                <w:rFonts w:ascii="Arial" w:hAnsi="Arial" w:cs="Arial"/>
                <w:b/>
                <w:bCs/>
                <w:color w:val="000000" w:themeColor="text1"/>
                <w:sz w:val="18"/>
                <w:szCs w:val="18"/>
              </w:rPr>
              <w:t>4.424.678</w:t>
            </w:r>
          </w:p>
        </w:tc>
        <w:tc>
          <w:tcPr>
            <w:tcW w:w="612" w:type="pct"/>
            <w:tcBorders>
              <w:top w:val="nil"/>
              <w:left w:val="nil"/>
              <w:bottom w:val="single" w:sz="12" w:space="0" w:color="auto"/>
              <w:right w:val="nil"/>
            </w:tcBorders>
            <w:shd w:val="clear" w:color="auto" w:fill="auto"/>
            <w:vAlign w:val="bottom"/>
          </w:tcPr>
          <w:p w14:paraId="6C6ADFB5" w14:textId="77777777" w:rsidR="004A1D81" w:rsidRPr="00634DB6" w:rsidRDefault="004A1D81" w:rsidP="00E12A58">
            <w:pPr>
              <w:tabs>
                <w:tab w:val="right" w:pos="1202"/>
              </w:tabs>
              <w:spacing w:line="301" w:lineRule="exact"/>
              <w:jc w:val="right"/>
              <w:outlineLvl w:val="0"/>
              <w:rPr>
                <w:rFonts w:ascii="Arial" w:hAnsi="Arial" w:cs="Arial"/>
                <w:b/>
                <w:bCs/>
                <w:color w:val="000000" w:themeColor="text1"/>
                <w:sz w:val="18"/>
                <w:szCs w:val="18"/>
              </w:rPr>
            </w:pPr>
            <w:r w:rsidRPr="00F959D0">
              <w:rPr>
                <w:rFonts w:ascii="Arial" w:hAnsi="Arial" w:cs="Arial"/>
                <w:b/>
                <w:bCs/>
                <w:color w:val="000000" w:themeColor="text1"/>
                <w:sz w:val="18"/>
                <w:szCs w:val="18"/>
              </w:rPr>
              <w:t>35.556</w:t>
            </w:r>
          </w:p>
        </w:tc>
        <w:tc>
          <w:tcPr>
            <w:tcW w:w="612" w:type="pct"/>
            <w:tcBorders>
              <w:top w:val="nil"/>
              <w:left w:val="nil"/>
              <w:bottom w:val="single" w:sz="12" w:space="0" w:color="auto"/>
              <w:right w:val="nil"/>
            </w:tcBorders>
            <w:shd w:val="clear" w:color="auto" w:fill="auto"/>
            <w:vAlign w:val="bottom"/>
          </w:tcPr>
          <w:p w14:paraId="5B150EB9" w14:textId="77777777" w:rsidR="004A1D81" w:rsidRPr="00634DB6" w:rsidRDefault="004A1D81" w:rsidP="00E12A58">
            <w:pPr>
              <w:tabs>
                <w:tab w:val="right" w:pos="1202"/>
              </w:tabs>
              <w:spacing w:line="301" w:lineRule="exact"/>
              <w:jc w:val="right"/>
              <w:outlineLvl w:val="0"/>
              <w:rPr>
                <w:rFonts w:ascii="Arial" w:hAnsi="Arial" w:cs="Arial"/>
                <w:b/>
                <w:bCs/>
                <w:color w:val="000000" w:themeColor="text1"/>
                <w:sz w:val="18"/>
                <w:szCs w:val="18"/>
              </w:rPr>
            </w:pPr>
            <w:r w:rsidRPr="00F959D0">
              <w:rPr>
                <w:rFonts w:ascii="Arial" w:hAnsi="Arial" w:cs="Arial"/>
                <w:b/>
                <w:bCs/>
                <w:color w:val="000000" w:themeColor="text1"/>
                <w:sz w:val="18"/>
                <w:szCs w:val="18"/>
              </w:rPr>
              <w:t>7.695</w:t>
            </w:r>
          </w:p>
        </w:tc>
        <w:tc>
          <w:tcPr>
            <w:tcW w:w="611" w:type="pct"/>
            <w:tcBorders>
              <w:top w:val="nil"/>
              <w:left w:val="nil"/>
              <w:bottom w:val="single" w:sz="12" w:space="0" w:color="auto"/>
              <w:right w:val="nil"/>
            </w:tcBorders>
            <w:shd w:val="clear" w:color="auto" w:fill="auto"/>
            <w:vAlign w:val="bottom"/>
          </w:tcPr>
          <w:p w14:paraId="51E2C5AB" w14:textId="77777777" w:rsidR="004A1D81" w:rsidRPr="00634DB6" w:rsidRDefault="004A1D81" w:rsidP="00E12A58">
            <w:pPr>
              <w:tabs>
                <w:tab w:val="right" w:pos="1202"/>
              </w:tabs>
              <w:spacing w:line="301" w:lineRule="exact"/>
              <w:jc w:val="right"/>
              <w:outlineLvl w:val="0"/>
              <w:rPr>
                <w:rFonts w:ascii="Arial" w:hAnsi="Arial" w:cs="Arial"/>
                <w:b/>
                <w:bCs/>
                <w:color w:val="000000" w:themeColor="text1"/>
                <w:sz w:val="18"/>
                <w:szCs w:val="18"/>
              </w:rPr>
            </w:pPr>
            <w:r w:rsidRPr="00F959D0">
              <w:rPr>
                <w:rFonts w:ascii="Arial" w:hAnsi="Arial" w:cs="Arial"/>
                <w:b/>
                <w:bCs/>
                <w:color w:val="000000" w:themeColor="text1"/>
                <w:sz w:val="18"/>
                <w:szCs w:val="18"/>
              </w:rPr>
              <w:t>4.467.929</w:t>
            </w:r>
          </w:p>
        </w:tc>
      </w:tr>
    </w:tbl>
    <w:p w14:paraId="6661617E" w14:textId="0CE65173" w:rsidR="00A13103" w:rsidRPr="003D1614" w:rsidRDefault="00A13103" w:rsidP="003311C4">
      <w:pPr>
        <w:suppressAutoHyphens/>
        <w:autoSpaceDN w:val="0"/>
        <w:jc w:val="both"/>
        <w:rPr>
          <w:rFonts w:ascii="Arial" w:eastAsia="Times New Roman" w:hAnsi="Arial" w:cs="Arial"/>
          <w:color w:val="000000" w:themeColor="text1"/>
          <w:sz w:val="20"/>
          <w:szCs w:val="20"/>
        </w:rPr>
      </w:pPr>
    </w:p>
    <w:p w14:paraId="1ED31C8F" w14:textId="77777777" w:rsidR="001A0FCB" w:rsidRPr="003D1614" w:rsidRDefault="001A0FCB" w:rsidP="003311C4">
      <w:pPr>
        <w:suppressAutoHyphens/>
        <w:autoSpaceDN w:val="0"/>
        <w:jc w:val="both"/>
        <w:rPr>
          <w:rFonts w:ascii="Arial" w:eastAsia="Times New Roman" w:hAnsi="Arial" w:cs="Arial"/>
          <w:color w:val="000000" w:themeColor="text1"/>
          <w:sz w:val="20"/>
          <w:szCs w:val="20"/>
        </w:rPr>
      </w:pPr>
    </w:p>
    <w:p w14:paraId="23FB5E83" w14:textId="77777777" w:rsidR="001A0FCB" w:rsidRPr="003D1614" w:rsidRDefault="001A0FCB" w:rsidP="003311C4">
      <w:pPr>
        <w:suppressAutoHyphens/>
        <w:autoSpaceDN w:val="0"/>
        <w:jc w:val="both"/>
        <w:rPr>
          <w:rFonts w:ascii="Arial" w:eastAsia="Times New Roman" w:hAnsi="Arial" w:cs="Arial"/>
          <w:color w:val="000000" w:themeColor="text1"/>
          <w:sz w:val="20"/>
          <w:szCs w:val="20"/>
        </w:rPr>
        <w:sectPr w:rsidR="001A0FCB" w:rsidRPr="003D1614">
          <w:pgSz w:w="11906" w:h="16838"/>
          <w:pgMar w:top="1417" w:right="1417" w:bottom="1417" w:left="1417" w:header="708" w:footer="708" w:gutter="0"/>
          <w:cols w:space="708"/>
          <w:docGrid w:linePitch="360"/>
        </w:sectPr>
      </w:pPr>
    </w:p>
    <w:p w14:paraId="15E3F9EC"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572C5C69" w14:textId="4C9DB12C"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5BE219A9"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0BFF495B" w14:textId="75AD9FC3"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5BADDD2E"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380B2599"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Koncentracija rizika i maksimalna izloženost kreditnom riziku (nastavak)</w:t>
      </w:r>
    </w:p>
    <w:p w14:paraId="1EAE2A0A" w14:textId="77777777" w:rsidR="001A0FCB" w:rsidRPr="003D1614" w:rsidRDefault="001A0FCB" w:rsidP="001A0FCB">
      <w:pPr>
        <w:keepNext/>
        <w:suppressAutoHyphens/>
        <w:autoSpaceDN w:val="0"/>
        <w:jc w:val="both"/>
        <w:outlineLvl w:val="0"/>
        <w:rPr>
          <w:rFonts w:ascii="Arial" w:eastAsia="Times New Roman" w:hAnsi="Arial" w:cs="Arial"/>
          <w:color w:val="000000" w:themeColor="text1"/>
          <w:sz w:val="20"/>
          <w:szCs w:val="20"/>
        </w:rPr>
      </w:pPr>
    </w:p>
    <w:p w14:paraId="1A8F71BD" w14:textId="77777777" w:rsidR="001A0FCB" w:rsidRPr="003D1614" w:rsidRDefault="001A0FCB" w:rsidP="001A0FCB">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Koncentracija imovine i garancija te preuzetih obveza prema zemljopisnim segmentima, neto izloženost, </w:t>
      </w:r>
      <w:r w:rsidRPr="003D1614">
        <w:rPr>
          <w:rFonts w:ascii="Arial" w:eastAsia="Times New Roman" w:hAnsi="Arial" w:cs="Arial"/>
          <w:bCs/>
          <w:color w:val="000000" w:themeColor="text1"/>
          <w:sz w:val="20"/>
          <w:szCs w:val="20"/>
        </w:rPr>
        <w:t>bez umanjenja za vrijednost sredstava osiguranja naplate</w:t>
      </w:r>
      <w:r w:rsidRPr="003D1614">
        <w:rPr>
          <w:rFonts w:ascii="Arial" w:eastAsia="Times New Roman" w:hAnsi="Arial" w:cs="Arial"/>
          <w:color w:val="000000" w:themeColor="text1"/>
          <w:sz w:val="20"/>
          <w:szCs w:val="20"/>
        </w:rPr>
        <w:t xml:space="preserve"> (nastavak): </w:t>
      </w:r>
    </w:p>
    <w:p w14:paraId="0C0B2AAB" w14:textId="77777777" w:rsidR="001A0FCB" w:rsidRPr="003D1614" w:rsidRDefault="001A0FCB" w:rsidP="001A0FCB">
      <w:pPr>
        <w:keepNext/>
        <w:suppressAutoHyphens/>
        <w:autoSpaceDN w:val="0"/>
        <w:jc w:val="both"/>
        <w:outlineLvl w:val="0"/>
        <w:rPr>
          <w:rFonts w:ascii="Arial" w:eastAsia="Times New Roman" w:hAnsi="Arial" w:cs="Arial"/>
          <w:color w:val="000000" w:themeColor="text1"/>
          <w:sz w:val="20"/>
          <w:szCs w:val="20"/>
        </w:rPr>
      </w:pPr>
    </w:p>
    <w:p w14:paraId="23708EC8" w14:textId="77777777" w:rsidR="001A0FCB" w:rsidRPr="003D1614" w:rsidRDefault="001A0FCB" w:rsidP="001A0FCB">
      <w:pPr>
        <w:keepNext/>
        <w:suppressAutoHyphens/>
        <w:autoSpaceDN w:val="0"/>
        <w:jc w:val="both"/>
        <w:outlineLvl w:val="0"/>
        <w:rPr>
          <w:rFonts w:ascii="Arial" w:eastAsia="Times New Roman" w:hAnsi="Arial" w:cs="Arial"/>
          <w:color w:val="000000" w:themeColor="text1"/>
          <w:sz w:val="20"/>
          <w:szCs w:val="20"/>
        </w:rPr>
      </w:pPr>
    </w:p>
    <w:tbl>
      <w:tblPr>
        <w:tblW w:w="5000" w:type="pct"/>
        <w:tblLayout w:type="fixed"/>
        <w:tblCellMar>
          <w:left w:w="30" w:type="dxa"/>
          <w:right w:w="30" w:type="dxa"/>
        </w:tblCellMar>
        <w:tblLook w:val="0000" w:firstRow="0" w:lastRow="0" w:firstColumn="0" w:lastColumn="0" w:noHBand="0" w:noVBand="0"/>
      </w:tblPr>
      <w:tblGrid>
        <w:gridCol w:w="4538"/>
        <w:gridCol w:w="1134"/>
        <w:gridCol w:w="1134"/>
        <w:gridCol w:w="1134"/>
        <w:gridCol w:w="1132"/>
      </w:tblGrid>
      <w:tr w:rsidR="00CF7B3C" w:rsidRPr="003D1614" w14:paraId="4BEB4F85" w14:textId="77777777" w:rsidTr="0008792D">
        <w:trPr>
          <w:cantSplit/>
          <w:trHeight w:val="784"/>
          <w:tblHeader/>
        </w:trPr>
        <w:tc>
          <w:tcPr>
            <w:tcW w:w="2501" w:type="pct"/>
          </w:tcPr>
          <w:p w14:paraId="17A46AAC" w14:textId="77777777" w:rsidR="00CF7B3C" w:rsidRPr="003D1614" w:rsidRDefault="00CF7B3C" w:rsidP="0008792D">
            <w:pPr>
              <w:tabs>
                <w:tab w:val="right" w:pos="1202"/>
              </w:tabs>
              <w:suppressAutoHyphens/>
              <w:autoSpaceDN w:val="0"/>
              <w:spacing w:line="240" w:lineRule="atLeast"/>
              <w:outlineLvl w:val="0"/>
              <w:rPr>
                <w:rFonts w:ascii="Arial" w:eastAsia="Times New Roman" w:hAnsi="Arial" w:cs="Arial"/>
                <w:b/>
                <w:color w:val="000000" w:themeColor="text1"/>
                <w:sz w:val="18"/>
                <w:szCs w:val="18"/>
              </w:rPr>
            </w:pPr>
            <w:bookmarkStart w:id="638" w:name="_Toc67329450"/>
            <w:r w:rsidRPr="003D1614">
              <w:rPr>
                <w:rFonts w:ascii="Arial" w:eastAsia="Times New Roman" w:hAnsi="Arial" w:cs="Arial"/>
                <w:b/>
                <w:color w:val="000000" w:themeColor="text1"/>
                <w:sz w:val="18"/>
                <w:szCs w:val="18"/>
              </w:rPr>
              <w:t>Banka</w:t>
            </w:r>
            <w:bookmarkEnd w:id="638"/>
          </w:p>
          <w:p w14:paraId="199D1750" w14:textId="77777777" w:rsidR="00CF7B3C" w:rsidRPr="003D1614" w:rsidRDefault="00CF7B3C" w:rsidP="0008792D">
            <w:pPr>
              <w:tabs>
                <w:tab w:val="right" w:pos="1202"/>
              </w:tabs>
              <w:suppressAutoHyphens/>
              <w:autoSpaceDN w:val="0"/>
              <w:spacing w:line="240" w:lineRule="atLeast"/>
              <w:outlineLvl w:val="0"/>
              <w:rPr>
                <w:rFonts w:ascii="Arial" w:eastAsia="Times New Roman" w:hAnsi="Arial" w:cs="Arial"/>
                <w:b/>
                <w:color w:val="000000" w:themeColor="text1"/>
                <w:sz w:val="18"/>
                <w:szCs w:val="18"/>
              </w:rPr>
            </w:pPr>
          </w:p>
          <w:p w14:paraId="3A940ED6" w14:textId="77777777" w:rsidR="00CF7B3C" w:rsidRPr="003D1614" w:rsidRDefault="00CF7B3C" w:rsidP="0008792D">
            <w:pPr>
              <w:tabs>
                <w:tab w:val="right" w:pos="1202"/>
              </w:tabs>
              <w:suppressAutoHyphens/>
              <w:autoSpaceDN w:val="0"/>
              <w:spacing w:line="240" w:lineRule="atLeast"/>
              <w:outlineLvl w:val="0"/>
              <w:rPr>
                <w:rFonts w:ascii="Arial" w:eastAsia="Times New Roman" w:hAnsi="Arial" w:cs="Arial"/>
                <w:b/>
                <w:color w:val="000000" w:themeColor="text1"/>
                <w:sz w:val="18"/>
                <w:szCs w:val="18"/>
              </w:rPr>
            </w:pPr>
            <w:bookmarkStart w:id="639" w:name="_Toc67329451"/>
            <w:r w:rsidRPr="003D1614">
              <w:rPr>
                <w:rFonts w:ascii="Arial" w:eastAsia="Calibri" w:hAnsi="Arial" w:cs="Arial"/>
                <w:b/>
                <w:bCs/>
                <w:iCs/>
                <w:color w:val="000000" w:themeColor="text1"/>
                <w:sz w:val="18"/>
                <w:szCs w:val="18"/>
              </w:rPr>
              <w:t xml:space="preserve">31. ožujka </w:t>
            </w:r>
            <w:r w:rsidRPr="003D1614">
              <w:rPr>
                <w:rFonts w:ascii="Arial" w:eastAsia="Times New Roman" w:hAnsi="Arial" w:cs="Arial"/>
                <w:b/>
                <w:color w:val="000000" w:themeColor="text1"/>
                <w:sz w:val="18"/>
                <w:szCs w:val="18"/>
              </w:rPr>
              <w:t>202</w:t>
            </w:r>
            <w:r>
              <w:rPr>
                <w:rFonts w:ascii="Arial" w:eastAsia="Times New Roman" w:hAnsi="Arial" w:cs="Arial"/>
                <w:b/>
                <w:color w:val="000000" w:themeColor="text1"/>
                <w:sz w:val="18"/>
                <w:szCs w:val="18"/>
              </w:rPr>
              <w:t>4</w:t>
            </w:r>
            <w:r w:rsidRPr="003D1614">
              <w:rPr>
                <w:rFonts w:ascii="Arial" w:eastAsia="Times New Roman" w:hAnsi="Arial" w:cs="Arial"/>
                <w:b/>
                <w:color w:val="000000" w:themeColor="text1"/>
                <w:sz w:val="18"/>
                <w:szCs w:val="18"/>
              </w:rPr>
              <w:t>.</w:t>
            </w:r>
            <w:bookmarkEnd w:id="639"/>
            <w:r w:rsidRPr="003D1614">
              <w:rPr>
                <w:rFonts w:ascii="Arial" w:eastAsia="Times New Roman" w:hAnsi="Arial" w:cs="Arial"/>
                <w:b/>
                <w:color w:val="000000" w:themeColor="text1"/>
                <w:sz w:val="18"/>
                <w:szCs w:val="18"/>
              </w:rPr>
              <w:t xml:space="preserve"> </w:t>
            </w:r>
          </w:p>
        </w:tc>
        <w:tc>
          <w:tcPr>
            <w:tcW w:w="625" w:type="pct"/>
            <w:vAlign w:val="bottom"/>
          </w:tcPr>
          <w:p w14:paraId="5D09F91D"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40" w:name="_Toc67329452"/>
            <w:r w:rsidRPr="003D1614">
              <w:rPr>
                <w:rFonts w:ascii="Arial" w:eastAsia="Times New Roman" w:hAnsi="Arial" w:cs="Arial"/>
                <w:b/>
                <w:color w:val="000000" w:themeColor="text1"/>
                <w:sz w:val="18"/>
                <w:szCs w:val="18"/>
              </w:rPr>
              <w:t>Republika Hrvatska</w:t>
            </w:r>
            <w:bookmarkEnd w:id="640"/>
          </w:p>
        </w:tc>
        <w:tc>
          <w:tcPr>
            <w:tcW w:w="625" w:type="pct"/>
            <w:vAlign w:val="bottom"/>
          </w:tcPr>
          <w:p w14:paraId="62A6B16A"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41" w:name="_Toc67329453"/>
            <w:r w:rsidRPr="003D1614">
              <w:rPr>
                <w:rFonts w:ascii="Arial" w:eastAsia="Times New Roman" w:hAnsi="Arial" w:cs="Arial"/>
                <w:b/>
                <w:color w:val="000000" w:themeColor="text1"/>
                <w:sz w:val="18"/>
                <w:szCs w:val="18"/>
              </w:rPr>
              <w:t>Zemlje Europske unije</w:t>
            </w:r>
            <w:bookmarkEnd w:id="641"/>
          </w:p>
        </w:tc>
        <w:tc>
          <w:tcPr>
            <w:tcW w:w="625" w:type="pct"/>
            <w:vAlign w:val="bottom"/>
          </w:tcPr>
          <w:p w14:paraId="2FF10E38"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42" w:name="_Toc67329454"/>
            <w:r w:rsidRPr="003D1614">
              <w:rPr>
                <w:rFonts w:ascii="Arial" w:eastAsia="Times New Roman" w:hAnsi="Arial" w:cs="Arial"/>
                <w:b/>
                <w:color w:val="000000" w:themeColor="text1"/>
                <w:sz w:val="18"/>
                <w:szCs w:val="18"/>
              </w:rPr>
              <w:t>Ostale</w:t>
            </w:r>
            <w:bookmarkEnd w:id="642"/>
            <w:r w:rsidRPr="003D1614">
              <w:rPr>
                <w:rFonts w:ascii="Arial" w:eastAsia="Times New Roman" w:hAnsi="Arial" w:cs="Arial"/>
                <w:b/>
                <w:color w:val="000000" w:themeColor="text1"/>
                <w:sz w:val="18"/>
                <w:szCs w:val="18"/>
              </w:rPr>
              <w:t xml:space="preserve"> </w:t>
            </w:r>
          </w:p>
          <w:p w14:paraId="4DBB4499"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43" w:name="_Toc67329455"/>
            <w:r w:rsidRPr="003D1614">
              <w:rPr>
                <w:rFonts w:ascii="Arial" w:eastAsia="Times New Roman" w:hAnsi="Arial" w:cs="Arial"/>
                <w:b/>
                <w:color w:val="000000" w:themeColor="text1"/>
                <w:sz w:val="18"/>
                <w:szCs w:val="18"/>
              </w:rPr>
              <w:t>zemlje</w:t>
            </w:r>
            <w:bookmarkEnd w:id="643"/>
            <w:r w:rsidRPr="003D1614">
              <w:rPr>
                <w:rFonts w:ascii="Arial" w:eastAsia="Times New Roman" w:hAnsi="Arial" w:cs="Arial"/>
                <w:b/>
                <w:color w:val="000000" w:themeColor="text1"/>
                <w:sz w:val="18"/>
                <w:szCs w:val="18"/>
              </w:rPr>
              <w:t xml:space="preserve"> </w:t>
            </w:r>
          </w:p>
        </w:tc>
        <w:tc>
          <w:tcPr>
            <w:tcW w:w="624" w:type="pct"/>
            <w:vAlign w:val="bottom"/>
          </w:tcPr>
          <w:p w14:paraId="24437BA6"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44" w:name="_Toc67329456"/>
            <w:r w:rsidRPr="003D1614">
              <w:rPr>
                <w:rFonts w:ascii="Arial" w:eastAsia="Times New Roman" w:hAnsi="Arial" w:cs="Arial"/>
                <w:b/>
                <w:color w:val="000000" w:themeColor="text1"/>
                <w:sz w:val="18"/>
                <w:szCs w:val="18"/>
              </w:rPr>
              <w:t>Ukupno</w:t>
            </w:r>
            <w:bookmarkEnd w:id="644"/>
          </w:p>
        </w:tc>
      </w:tr>
      <w:tr w:rsidR="00CF7B3C" w:rsidRPr="003D1614" w14:paraId="09BEA80A" w14:textId="77777777" w:rsidTr="0008792D">
        <w:trPr>
          <w:cantSplit/>
          <w:trHeight w:val="250"/>
          <w:tblHeader/>
        </w:trPr>
        <w:tc>
          <w:tcPr>
            <w:tcW w:w="2501" w:type="pct"/>
          </w:tcPr>
          <w:p w14:paraId="1D566E58" w14:textId="77777777" w:rsidR="00CF7B3C" w:rsidRPr="003D1614" w:rsidRDefault="00CF7B3C" w:rsidP="0008792D">
            <w:pPr>
              <w:suppressAutoHyphens/>
              <w:autoSpaceDN w:val="0"/>
              <w:ind w:left="113" w:hanging="113"/>
              <w:rPr>
                <w:rFonts w:ascii="Arial" w:eastAsia="Times New Roman" w:hAnsi="Arial" w:cs="Arial"/>
                <w:color w:val="000000" w:themeColor="text1"/>
                <w:sz w:val="18"/>
                <w:szCs w:val="18"/>
              </w:rPr>
            </w:pPr>
          </w:p>
        </w:tc>
        <w:tc>
          <w:tcPr>
            <w:tcW w:w="625" w:type="pct"/>
            <w:vAlign w:val="bottom"/>
          </w:tcPr>
          <w:p w14:paraId="17D3F552"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45" w:name="_Toc67329457"/>
            <w:r w:rsidRPr="003D1614">
              <w:rPr>
                <w:rFonts w:ascii="Arial" w:eastAsia="Times New Roman" w:hAnsi="Arial" w:cs="Arial"/>
                <w:b/>
                <w:color w:val="000000" w:themeColor="text1"/>
                <w:sz w:val="18"/>
                <w:szCs w:val="18"/>
              </w:rPr>
              <w:t>000 eura</w:t>
            </w:r>
            <w:bookmarkEnd w:id="645"/>
          </w:p>
        </w:tc>
        <w:tc>
          <w:tcPr>
            <w:tcW w:w="625" w:type="pct"/>
            <w:vAlign w:val="bottom"/>
          </w:tcPr>
          <w:p w14:paraId="39770BFA"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46" w:name="_Toc67329458"/>
            <w:r w:rsidRPr="003D1614">
              <w:rPr>
                <w:rFonts w:ascii="Arial" w:eastAsia="Times New Roman" w:hAnsi="Arial" w:cs="Arial"/>
                <w:b/>
                <w:color w:val="000000" w:themeColor="text1"/>
                <w:sz w:val="18"/>
                <w:szCs w:val="18"/>
              </w:rPr>
              <w:t>000 eura</w:t>
            </w:r>
            <w:bookmarkEnd w:id="646"/>
          </w:p>
        </w:tc>
        <w:tc>
          <w:tcPr>
            <w:tcW w:w="625" w:type="pct"/>
            <w:vAlign w:val="bottom"/>
          </w:tcPr>
          <w:p w14:paraId="271350B6"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47" w:name="_Toc67329459"/>
            <w:r w:rsidRPr="003D1614">
              <w:rPr>
                <w:rFonts w:ascii="Arial" w:eastAsia="Times New Roman" w:hAnsi="Arial" w:cs="Arial"/>
                <w:b/>
                <w:color w:val="000000" w:themeColor="text1"/>
                <w:sz w:val="18"/>
                <w:szCs w:val="18"/>
              </w:rPr>
              <w:t>000 eura</w:t>
            </w:r>
            <w:bookmarkEnd w:id="647"/>
          </w:p>
        </w:tc>
        <w:tc>
          <w:tcPr>
            <w:tcW w:w="624" w:type="pct"/>
            <w:vAlign w:val="bottom"/>
          </w:tcPr>
          <w:p w14:paraId="2B0C1642"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48" w:name="_Toc67329460"/>
            <w:r w:rsidRPr="003D1614">
              <w:rPr>
                <w:rFonts w:ascii="Arial" w:eastAsia="Times New Roman" w:hAnsi="Arial" w:cs="Arial"/>
                <w:b/>
                <w:color w:val="000000" w:themeColor="text1"/>
                <w:sz w:val="18"/>
                <w:szCs w:val="18"/>
              </w:rPr>
              <w:t>000 eura</w:t>
            </w:r>
            <w:bookmarkEnd w:id="648"/>
          </w:p>
        </w:tc>
      </w:tr>
      <w:tr w:rsidR="00CF7B3C" w:rsidRPr="003D1614" w14:paraId="4D885728" w14:textId="77777777" w:rsidTr="0008792D">
        <w:trPr>
          <w:cantSplit/>
          <w:trHeight w:val="250"/>
          <w:tblHeader/>
        </w:trPr>
        <w:tc>
          <w:tcPr>
            <w:tcW w:w="2501" w:type="pct"/>
          </w:tcPr>
          <w:p w14:paraId="724134BD" w14:textId="77777777" w:rsidR="00CF7B3C" w:rsidRPr="003D1614" w:rsidRDefault="00CF7B3C" w:rsidP="0008792D">
            <w:pPr>
              <w:suppressAutoHyphens/>
              <w:autoSpaceDN w:val="0"/>
              <w:ind w:left="113" w:hanging="113"/>
              <w:rPr>
                <w:rFonts w:ascii="Arial" w:eastAsia="Times New Roman" w:hAnsi="Arial" w:cs="Arial"/>
                <w:color w:val="000000" w:themeColor="text1"/>
                <w:sz w:val="18"/>
                <w:szCs w:val="18"/>
              </w:rPr>
            </w:pPr>
          </w:p>
        </w:tc>
        <w:tc>
          <w:tcPr>
            <w:tcW w:w="625" w:type="pct"/>
          </w:tcPr>
          <w:p w14:paraId="4A911DD6" w14:textId="77777777" w:rsidR="00CF7B3C" w:rsidRPr="003D1614" w:rsidRDefault="00CF7B3C" w:rsidP="0008792D">
            <w:pPr>
              <w:suppressAutoHyphens/>
              <w:autoSpaceDN w:val="0"/>
              <w:jc w:val="right"/>
              <w:rPr>
                <w:rFonts w:ascii="Arial" w:eastAsia="Times New Roman" w:hAnsi="Arial" w:cs="Arial"/>
                <w:color w:val="000000" w:themeColor="text1"/>
                <w:sz w:val="18"/>
                <w:szCs w:val="18"/>
              </w:rPr>
            </w:pPr>
          </w:p>
        </w:tc>
        <w:tc>
          <w:tcPr>
            <w:tcW w:w="625" w:type="pct"/>
          </w:tcPr>
          <w:p w14:paraId="3C32793A" w14:textId="77777777" w:rsidR="00CF7B3C" w:rsidRPr="003D1614" w:rsidRDefault="00CF7B3C" w:rsidP="0008792D">
            <w:pPr>
              <w:suppressAutoHyphens/>
              <w:autoSpaceDN w:val="0"/>
              <w:jc w:val="right"/>
              <w:rPr>
                <w:rFonts w:ascii="Arial" w:eastAsia="Times New Roman" w:hAnsi="Arial" w:cs="Arial"/>
                <w:color w:val="000000" w:themeColor="text1"/>
                <w:sz w:val="18"/>
                <w:szCs w:val="18"/>
              </w:rPr>
            </w:pPr>
          </w:p>
        </w:tc>
        <w:tc>
          <w:tcPr>
            <w:tcW w:w="625" w:type="pct"/>
          </w:tcPr>
          <w:p w14:paraId="776181C8" w14:textId="77777777" w:rsidR="00CF7B3C" w:rsidRPr="003D1614" w:rsidRDefault="00CF7B3C" w:rsidP="0008792D">
            <w:pPr>
              <w:suppressAutoHyphens/>
              <w:autoSpaceDN w:val="0"/>
              <w:jc w:val="right"/>
              <w:rPr>
                <w:rFonts w:ascii="Arial" w:eastAsia="Times New Roman" w:hAnsi="Arial" w:cs="Arial"/>
                <w:color w:val="000000" w:themeColor="text1"/>
                <w:sz w:val="18"/>
                <w:szCs w:val="18"/>
              </w:rPr>
            </w:pPr>
          </w:p>
        </w:tc>
        <w:tc>
          <w:tcPr>
            <w:tcW w:w="624" w:type="pct"/>
          </w:tcPr>
          <w:p w14:paraId="72BCBC15" w14:textId="77777777" w:rsidR="00CF7B3C" w:rsidRPr="003D1614" w:rsidRDefault="00CF7B3C" w:rsidP="0008792D">
            <w:pPr>
              <w:suppressAutoHyphens/>
              <w:autoSpaceDN w:val="0"/>
              <w:jc w:val="center"/>
              <w:rPr>
                <w:rFonts w:ascii="Arial" w:eastAsia="Times New Roman" w:hAnsi="Arial" w:cs="Arial"/>
                <w:color w:val="000000" w:themeColor="text1"/>
                <w:sz w:val="18"/>
                <w:szCs w:val="18"/>
              </w:rPr>
            </w:pPr>
          </w:p>
        </w:tc>
      </w:tr>
      <w:tr w:rsidR="00CF7B3C" w:rsidRPr="003D1614" w14:paraId="58483E66" w14:textId="77777777" w:rsidTr="0008792D">
        <w:trPr>
          <w:cantSplit/>
          <w:trHeight w:val="92"/>
          <w:tblHeader/>
        </w:trPr>
        <w:tc>
          <w:tcPr>
            <w:tcW w:w="2501" w:type="pct"/>
          </w:tcPr>
          <w:p w14:paraId="0284782B" w14:textId="77777777" w:rsidR="00CF7B3C" w:rsidRPr="003D1614" w:rsidRDefault="00CF7B3C" w:rsidP="0008792D">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49" w:name="_Toc67329461"/>
            <w:r w:rsidRPr="003D1614">
              <w:rPr>
                <w:rFonts w:ascii="Arial" w:eastAsia="Times New Roman" w:hAnsi="Arial" w:cs="Arial"/>
                <w:b/>
                <w:bCs/>
                <w:color w:val="000000" w:themeColor="text1"/>
                <w:sz w:val="18"/>
                <w:szCs w:val="18"/>
              </w:rPr>
              <w:t>Imovina</w:t>
            </w:r>
            <w:bookmarkEnd w:id="649"/>
          </w:p>
        </w:tc>
        <w:tc>
          <w:tcPr>
            <w:tcW w:w="625" w:type="pct"/>
          </w:tcPr>
          <w:p w14:paraId="2F02CCE8" w14:textId="77777777" w:rsidR="00CF7B3C" w:rsidRPr="003D1614" w:rsidRDefault="00CF7B3C" w:rsidP="0008792D">
            <w:pPr>
              <w:suppressAutoHyphens/>
              <w:autoSpaceDN w:val="0"/>
              <w:jc w:val="right"/>
              <w:rPr>
                <w:rFonts w:ascii="Arial" w:eastAsia="Times New Roman" w:hAnsi="Arial" w:cs="Arial"/>
                <w:color w:val="000000" w:themeColor="text1"/>
                <w:sz w:val="18"/>
                <w:szCs w:val="18"/>
              </w:rPr>
            </w:pPr>
          </w:p>
        </w:tc>
        <w:tc>
          <w:tcPr>
            <w:tcW w:w="625" w:type="pct"/>
          </w:tcPr>
          <w:p w14:paraId="197BBE79" w14:textId="77777777" w:rsidR="00CF7B3C" w:rsidRPr="003D1614" w:rsidRDefault="00CF7B3C" w:rsidP="0008792D">
            <w:pPr>
              <w:suppressAutoHyphens/>
              <w:autoSpaceDN w:val="0"/>
              <w:jc w:val="right"/>
              <w:rPr>
                <w:rFonts w:ascii="Arial" w:eastAsia="Times New Roman" w:hAnsi="Arial" w:cs="Arial"/>
                <w:color w:val="000000" w:themeColor="text1"/>
                <w:sz w:val="18"/>
                <w:szCs w:val="18"/>
              </w:rPr>
            </w:pPr>
          </w:p>
        </w:tc>
        <w:tc>
          <w:tcPr>
            <w:tcW w:w="625" w:type="pct"/>
          </w:tcPr>
          <w:p w14:paraId="3B46D870" w14:textId="77777777" w:rsidR="00CF7B3C" w:rsidRPr="003D1614" w:rsidRDefault="00CF7B3C" w:rsidP="0008792D">
            <w:pPr>
              <w:suppressAutoHyphens/>
              <w:autoSpaceDN w:val="0"/>
              <w:jc w:val="right"/>
              <w:rPr>
                <w:rFonts w:ascii="Arial" w:eastAsia="Times New Roman" w:hAnsi="Arial" w:cs="Arial"/>
                <w:color w:val="000000" w:themeColor="text1"/>
                <w:sz w:val="18"/>
                <w:szCs w:val="18"/>
              </w:rPr>
            </w:pPr>
          </w:p>
        </w:tc>
        <w:tc>
          <w:tcPr>
            <w:tcW w:w="624" w:type="pct"/>
          </w:tcPr>
          <w:p w14:paraId="27EA082C" w14:textId="77777777" w:rsidR="00CF7B3C" w:rsidRPr="003D1614" w:rsidRDefault="00CF7B3C" w:rsidP="0008792D">
            <w:pPr>
              <w:suppressAutoHyphens/>
              <w:autoSpaceDN w:val="0"/>
              <w:jc w:val="center"/>
              <w:rPr>
                <w:rFonts w:ascii="Arial" w:eastAsia="Times New Roman" w:hAnsi="Arial" w:cs="Arial"/>
                <w:color w:val="000000" w:themeColor="text1"/>
                <w:sz w:val="18"/>
                <w:szCs w:val="18"/>
              </w:rPr>
            </w:pPr>
          </w:p>
        </w:tc>
      </w:tr>
      <w:tr w:rsidR="00CF7B3C" w:rsidRPr="003D1614" w14:paraId="6AD38551" w14:textId="77777777" w:rsidTr="0008792D">
        <w:trPr>
          <w:cantSplit/>
          <w:trHeight w:val="250"/>
          <w:tblHeader/>
        </w:trPr>
        <w:tc>
          <w:tcPr>
            <w:tcW w:w="2501" w:type="pct"/>
            <w:vAlign w:val="bottom"/>
          </w:tcPr>
          <w:p w14:paraId="668EB4A8" w14:textId="77777777" w:rsidR="00CF7B3C" w:rsidRPr="003D1614" w:rsidRDefault="00CF7B3C" w:rsidP="0008792D">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50" w:name="_Toc67329462"/>
            <w:r w:rsidRPr="003D1614">
              <w:rPr>
                <w:rFonts w:ascii="Arial" w:eastAsia="Times New Roman" w:hAnsi="Arial" w:cs="Arial"/>
                <w:color w:val="000000" w:themeColor="text1"/>
                <w:sz w:val="18"/>
                <w:szCs w:val="18"/>
              </w:rPr>
              <w:t>Novčana sredstva i računi kod banaka</w:t>
            </w:r>
            <w:bookmarkEnd w:id="650"/>
          </w:p>
        </w:tc>
        <w:tc>
          <w:tcPr>
            <w:tcW w:w="625" w:type="pct"/>
            <w:tcBorders>
              <w:top w:val="nil"/>
              <w:left w:val="nil"/>
              <w:bottom w:val="nil"/>
              <w:right w:val="nil"/>
            </w:tcBorders>
            <w:shd w:val="clear" w:color="auto" w:fill="auto"/>
            <w:vAlign w:val="bottom"/>
          </w:tcPr>
          <w:p w14:paraId="0BB57690"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75.858</w:t>
            </w:r>
          </w:p>
        </w:tc>
        <w:tc>
          <w:tcPr>
            <w:tcW w:w="625" w:type="pct"/>
            <w:tcBorders>
              <w:top w:val="nil"/>
              <w:left w:val="nil"/>
              <w:bottom w:val="nil"/>
              <w:right w:val="nil"/>
            </w:tcBorders>
            <w:shd w:val="clear" w:color="auto" w:fill="auto"/>
            <w:vAlign w:val="bottom"/>
          </w:tcPr>
          <w:p w14:paraId="4B922A82"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255</w:t>
            </w:r>
          </w:p>
        </w:tc>
        <w:tc>
          <w:tcPr>
            <w:tcW w:w="625" w:type="pct"/>
            <w:tcBorders>
              <w:top w:val="nil"/>
              <w:left w:val="nil"/>
              <w:bottom w:val="nil"/>
              <w:right w:val="nil"/>
            </w:tcBorders>
            <w:shd w:val="clear" w:color="auto" w:fill="auto"/>
            <w:vAlign w:val="bottom"/>
          </w:tcPr>
          <w:p w14:paraId="41759FE8"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840</w:t>
            </w:r>
          </w:p>
        </w:tc>
        <w:tc>
          <w:tcPr>
            <w:tcW w:w="624" w:type="pct"/>
            <w:tcBorders>
              <w:top w:val="nil"/>
              <w:left w:val="nil"/>
              <w:bottom w:val="nil"/>
              <w:right w:val="nil"/>
            </w:tcBorders>
            <w:shd w:val="clear" w:color="auto" w:fill="auto"/>
            <w:vAlign w:val="bottom"/>
          </w:tcPr>
          <w:p w14:paraId="58846996"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76.953</w:t>
            </w:r>
          </w:p>
        </w:tc>
      </w:tr>
      <w:tr w:rsidR="00CF7B3C" w:rsidRPr="003D1614" w14:paraId="08FE8CC8" w14:textId="77777777" w:rsidTr="0008792D">
        <w:trPr>
          <w:cantSplit/>
          <w:trHeight w:val="250"/>
          <w:tblHeader/>
        </w:trPr>
        <w:tc>
          <w:tcPr>
            <w:tcW w:w="2501" w:type="pct"/>
            <w:vAlign w:val="bottom"/>
          </w:tcPr>
          <w:p w14:paraId="4FAE6EDC" w14:textId="77777777" w:rsidR="00CF7B3C" w:rsidRPr="003D1614" w:rsidRDefault="00CF7B3C" w:rsidP="0008792D">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51" w:name="_Toc67329467"/>
            <w:r w:rsidRPr="003D1614">
              <w:rPr>
                <w:rFonts w:ascii="Arial" w:eastAsia="Times New Roman" w:hAnsi="Arial" w:cs="Arial"/>
                <w:color w:val="000000" w:themeColor="text1"/>
                <w:sz w:val="18"/>
                <w:szCs w:val="18"/>
              </w:rPr>
              <w:t>Depoziti kod drugih banaka</w:t>
            </w:r>
            <w:bookmarkEnd w:id="651"/>
          </w:p>
        </w:tc>
        <w:tc>
          <w:tcPr>
            <w:tcW w:w="625" w:type="pct"/>
            <w:tcBorders>
              <w:top w:val="nil"/>
              <w:left w:val="nil"/>
              <w:bottom w:val="nil"/>
              <w:right w:val="nil"/>
            </w:tcBorders>
            <w:shd w:val="clear" w:color="auto" w:fill="auto"/>
            <w:vAlign w:val="bottom"/>
          </w:tcPr>
          <w:p w14:paraId="71DFC044"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64.282</w:t>
            </w:r>
          </w:p>
        </w:tc>
        <w:tc>
          <w:tcPr>
            <w:tcW w:w="625" w:type="pct"/>
            <w:tcBorders>
              <w:top w:val="nil"/>
              <w:left w:val="nil"/>
              <w:bottom w:val="nil"/>
              <w:right w:val="nil"/>
            </w:tcBorders>
            <w:shd w:val="clear" w:color="auto" w:fill="auto"/>
            <w:vAlign w:val="bottom"/>
          </w:tcPr>
          <w:p w14:paraId="2FDFE272"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62.614</w:t>
            </w:r>
          </w:p>
        </w:tc>
        <w:tc>
          <w:tcPr>
            <w:tcW w:w="625" w:type="pct"/>
            <w:tcBorders>
              <w:top w:val="nil"/>
              <w:left w:val="nil"/>
              <w:bottom w:val="nil"/>
              <w:right w:val="nil"/>
            </w:tcBorders>
            <w:shd w:val="clear" w:color="auto" w:fill="auto"/>
            <w:vAlign w:val="bottom"/>
          </w:tcPr>
          <w:p w14:paraId="3AFEFF10"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24" w:type="pct"/>
            <w:tcBorders>
              <w:top w:val="nil"/>
              <w:left w:val="nil"/>
              <w:bottom w:val="nil"/>
              <w:right w:val="nil"/>
            </w:tcBorders>
            <w:shd w:val="clear" w:color="auto" w:fill="auto"/>
            <w:vAlign w:val="bottom"/>
          </w:tcPr>
          <w:p w14:paraId="638BE5DF"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126.896</w:t>
            </w:r>
          </w:p>
        </w:tc>
      </w:tr>
      <w:tr w:rsidR="00CF7B3C" w:rsidRPr="003D1614" w14:paraId="5D7D59CC" w14:textId="77777777" w:rsidTr="0008792D">
        <w:trPr>
          <w:cantSplit/>
          <w:trHeight w:val="250"/>
          <w:tblHeader/>
        </w:trPr>
        <w:tc>
          <w:tcPr>
            <w:tcW w:w="2501" w:type="pct"/>
            <w:vAlign w:val="bottom"/>
          </w:tcPr>
          <w:p w14:paraId="286B964C" w14:textId="77777777" w:rsidR="00CF7B3C" w:rsidRPr="003D1614" w:rsidRDefault="00CF7B3C" w:rsidP="0008792D">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52" w:name="_Toc67329472"/>
            <w:r w:rsidRPr="003D1614">
              <w:rPr>
                <w:rFonts w:ascii="Arial" w:eastAsia="Times New Roman" w:hAnsi="Arial" w:cs="Arial"/>
                <w:color w:val="000000" w:themeColor="text1"/>
                <w:sz w:val="18"/>
                <w:szCs w:val="18"/>
              </w:rPr>
              <w:t>Krediti financijskim institucijama</w:t>
            </w:r>
            <w:bookmarkEnd w:id="652"/>
          </w:p>
        </w:tc>
        <w:tc>
          <w:tcPr>
            <w:tcW w:w="625" w:type="pct"/>
            <w:tcBorders>
              <w:top w:val="nil"/>
              <w:left w:val="nil"/>
              <w:bottom w:val="nil"/>
              <w:right w:val="nil"/>
            </w:tcBorders>
            <w:shd w:val="clear" w:color="auto" w:fill="auto"/>
            <w:vAlign w:val="bottom"/>
          </w:tcPr>
          <w:p w14:paraId="42719995"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1.138.066</w:t>
            </w:r>
          </w:p>
        </w:tc>
        <w:tc>
          <w:tcPr>
            <w:tcW w:w="625" w:type="pct"/>
            <w:tcBorders>
              <w:top w:val="nil"/>
              <w:left w:val="nil"/>
              <w:bottom w:val="nil"/>
              <w:right w:val="nil"/>
            </w:tcBorders>
            <w:shd w:val="clear" w:color="auto" w:fill="auto"/>
            <w:vAlign w:val="bottom"/>
          </w:tcPr>
          <w:p w14:paraId="1B1DB6E8"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25" w:type="pct"/>
            <w:tcBorders>
              <w:top w:val="nil"/>
              <w:left w:val="nil"/>
              <w:bottom w:val="nil"/>
              <w:right w:val="nil"/>
            </w:tcBorders>
            <w:shd w:val="clear" w:color="auto" w:fill="auto"/>
            <w:vAlign w:val="bottom"/>
          </w:tcPr>
          <w:p w14:paraId="5DFEAA96"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24" w:type="pct"/>
            <w:tcBorders>
              <w:top w:val="nil"/>
              <w:left w:val="nil"/>
              <w:bottom w:val="nil"/>
              <w:right w:val="nil"/>
            </w:tcBorders>
            <w:shd w:val="clear" w:color="auto" w:fill="auto"/>
            <w:vAlign w:val="bottom"/>
          </w:tcPr>
          <w:p w14:paraId="0DE32133"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1.138.066</w:t>
            </w:r>
          </w:p>
        </w:tc>
      </w:tr>
      <w:tr w:rsidR="00CF7B3C" w:rsidRPr="003D1614" w14:paraId="5CD6463B" w14:textId="77777777" w:rsidTr="0008792D">
        <w:trPr>
          <w:cantSplit/>
          <w:trHeight w:val="250"/>
          <w:tblHeader/>
        </w:trPr>
        <w:tc>
          <w:tcPr>
            <w:tcW w:w="2501" w:type="pct"/>
            <w:vAlign w:val="bottom"/>
          </w:tcPr>
          <w:p w14:paraId="2CEAD0C2" w14:textId="77777777" w:rsidR="00CF7B3C" w:rsidRPr="003D1614" w:rsidRDefault="00CF7B3C" w:rsidP="0008792D">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53" w:name="_Toc67329477"/>
            <w:r w:rsidRPr="003D1614">
              <w:rPr>
                <w:rFonts w:ascii="Arial" w:eastAsia="Times New Roman" w:hAnsi="Arial" w:cs="Arial"/>
                <w:color w:val="000000" w:themeColor="text1"/>
                <w:sz w:val="18"/>
                <w:szCs w:val="18"/>
              </w:rPr>
              <w:t>Krediti ostalim korisnicima</w:t>
            </w:r>
            <w:bookmarkEnd w:id="653"/>
          </w:p>
        </w:tc>
        <w:tc>
          <w:tcPr>
            <w:tcW w:w="625" w:type="pct"/>
            <w:tcBorders>
              <w:top w:val="nil"/>
              <w:left w:val="nil"/>
              <w:bottom w:val="nil"/>
              <w:right w:val="nil"/>
            </w:tcBorders>
            <w:shd w:val="clear" w:color="auto" w:fill="auto"/>
            <w:vAlign w:val="bottom"/>
          </w:tcPr>
          <w:p w14:paraId="475780A9"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2.333.183</w:t>
            </w:r>
          </w:p>
        </w:tc>
        <w:tc>
          <w:tcPr>
            <w:tcW w:w="625" w:type="pct"/>
            <w:tcBorders>
              <w:top w:val="nil"/>
              <w:left w:val="nil"/>
              <w:bottom w:val="nil"/>
              <w:right w:val="nil"/>
            </w:tcBorders>
            <w:shd w:val="clear" w:color="auto" w:fill="auto"/>
            <w:vAlign w:val="bottom"/>
          </w:tcPr>
          <w:p w14:paraId="02EFB99A"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25" w:type="pct"/>
            <w:tcBorders>
              <w:top w:val="nil"/>
              <w:left w:val="nil"/>
              <w:bottom w:val="nil"/>
              <w:right w:val="nil"/>
            </w:tcBorders>
            <w:shd w:val="clear" w:color="auto" w:fill="auto"/>
            <w:vAlign w:val="bottom"/>
          </w:tcPr>
          <w:p w14:paraId="41AFF321"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4.661</w:t>
            </w:r>
          </w:p>
        </w:tc>
        <w:tc>
          <w:tcPr>
            <w:tcW w:w="624" w:type="pct"/>
            <w:tcBorders>
              <w:top w:val="nil"/>
              <w:left w:val="nil"/>
              <w:bottom w:val="nil"/>
              <w:right w:val="nil"/>
            </w:tcBorders>
            <w:shd w:val="clear" w:color="auto" w:fill="auto"/>
            <w:vAlign w:val="bottom"/>
          </w:tcPr>
          <w:p w14:paraId="160F1CF3"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2.337.844</w:t>
            </w:r>
          </w:p>
        </w:tc>
      </w:tr>
      <w:tr w:rsidR="00CF7B3C" w:rsidRPr="003D1614" w14:paraId="4B692EB9" w14:textId="77777777" w:rsidTr="0008792D">
        <w:trPr>
          <w:cantSplit/>
          <w:trHeight w:val="250"/>
          <w:tblHeader/>
        </w:trPr>
        <w:tc>
          <w:tcPr>
            <w:tcW w:w="2501" w:type="pct"/>
            <w:vAlign w:val="bottom"/>
          </w:tcPr>
          <w:p w14:paraId="235128DE" w14:textId="77777777" w:rsidR="00CF7B3C" w:rsidRPr="003D1614" w:rsidRDefault="00CF7B3C" w:rsidP="0008792D">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54" w:name="_Toc67329482"/>
            <w:r w:rsidRPr="003D1614">
              <w:rPr>
                <w:rFonts w:ascii="Arial" w:eastAsia="Times New Roman" w:hAnsi="Arial" w:cs="Arial"/>
                <w:color w:val="000000" w:themeColor="text1"/>
                <w:sz w:val="18"/>
                <w:szCs w:val="18"/>
              </w:rPr>
              <w:t>Financijska imovina po fer vrijednosti kroz dobit ili gubitak</w:t>
            </w:r>
            <w:bookmarkEnd w:id="654"/>
          </w:p>
        </w:tc>
        <w:tc>
          <w:tcPr>
            <w:tcW w:w="625" w:type="pct"/>
            <w:tcBorders>
              <w:top w:val="nil"/>
              <w:left w:val="nil"/>
              <w:bottom w:val="nil"/>
              <w:right w:val="nil"/>
            </w:tcBorders>
            <w:shd w:val="clear" w:color="auto" w:fill="auto"/>
            <w:vAlign w:val="bottom"/>
          </w:tcPr>
          <w:p w14:paraId="7B99818B"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33.397</w:t>
            </w:r>
          </w:p>
        </w:tc>
        <w:tc>
          <w:tcPr>
            <w:tcW w:w="625" w:type="pct"/>
            <w:tcBorders>
              <w:top w:val="nil"/>
              <w:left w:val="nil"/>
              <w:bottom w:val="nil"/>
              <w:right w:val="nil"/>
            </w:tcBorders>
            <w:shd w:val="clear" w:color="auto" w:fill="auto"/>
            <w:vAlign w:val="bottom"/>
          </w:tcPr>
          <w:p w14:paraId="4B0BBAD7"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25" w:type="pct"/>
            <w:tcBorders>
              <w:top w:val="nil"/>
              <w:left w:val="nil"/>
              <w:bottom w:val="nil"/>
              <w:right w:val="nil"/>
            </w:tcBorders>
            <w:shd w:val="clear" w:color="auto" w:fill="auto"/>
            <w:vAlign w:val="bottom"/>
          </w:tcPr>
          <w:p w14:paraId="1C0BA200"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24" w:type="pct"/>
            <w:tcBorders>
              <w:top w:val="nil"/>
              <w:left w:val="nil"/>
              <w:bottom w:val="nil"/>
              <w:right w:val="nil"/>
            </w:tcBorders>
            <w:shd w:val="clear" w:color="auto" w:fill="auto"/>
            <w:vAlign w:val="bottom"/>
          </w:tcPr>
          <w:p w14:paraId="05528FF4"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33.397</w:t>
            </w:r>
          </w:p>
        </w:tc>
      </w:tr>
      <w:tr w:rsidR="00CF7B3C" w:rsidRPr="003D1614" w14:paraId="3763B8E0" w14:textId="77777777" w:rsidTr="0008792D">
        <w:trPr>
          <w:cantSplit/>
          <w:trHeight w:val="250"/>
          <w:tblHeader/>
        </w:trPr>
        <w:tc>
          <w:tcPr>
            <w:tcW w:w="2501" w:type="pct"/>
          </w:tcPr>
          <w:p w14:paraId="1D325A0F" w14:textId="77777777" w:rsidR="00CF7B3C" w:rsidRPr="003D1614" w:rsidRDefault="00CF7B3C" w:rsidP="0008792D">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55" w:name="_Toc67329487"/>
            <w:r w:rsidRPr="003D1614">
              <w:rPr>
                <w:rFonts w:ascii="Arial" w:eastAsia="Times New Roman" w:hAnsi="Arial" w:cs="Arial"/>
                <w:color w:val="000000" w:themeColor="text1"/>
                <w:sz w:val="18"/>
                <w:szCs w:val="18"/>
              </w:rPr>
              <w:t>Financijska imovina po fer vrijednosti kroz ostalu sveobuhvatnu dobit</w:t>
            </w:r>
            <w:bookmarkEnd w:id="655"/>
            <w:r w:rsidRPr="003D1614">
              <w:rPr>
                <w:rFonts w:ascii="Arial" w:eastAsia="Times New Roman" w:hAnsi="Arial" w:cs="Arial"/>
                <w:color w:val="000000" w:themeColor="text1"/>
                <w:sz w:val="18"/>
                <w:szCs w:val="18"/>
              </w:rPr>
              <w:t xml:space="preserve">        </w:t>
            </w:r>
          </w:p>
        </w:tc>
        <w:tc>
          <w:tcPr>
            <w:tcW w:w="625" w:type="pct"/>
            <w:tcBorders>
              <w:top w:val="nil"/>
              <w:left w:val="nil"/>
              <w:bottom w:val="nil"/>
              <w:right w:val="nil"/>
            </w:tcBorders>
            <w:shd w:val="clear" w:color="auto" w:fill="auto"/>
            <w:vAlign w:val="bottom"/>
          </w:tcPr>
          <w:p w14:paraId="2FB5A5AD"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231.640</w:t>
            </w:r>
          </w:p>
        </w:tc>
        <w:tc>
          <w:tcPr>
            <w:tcW w:w="625" w:type="pct"/>
            <w:tcBorders>
              <w:top w:val="nil"/>
              <w:left w:val="nil"/>
              <w:bottom w:val="nil"/>
              <w:right w:val="nil"/>
            </w:tcBorders>
            <w:shd w:val="clear" w:color="auto" w:fill="auto"/>
            <w:vAlign w:val="bottom"/>
          </w:tcPr>
          <w:p w14:paraId="66A1A879"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195</w:t>
            </w:r>
          </w:p>
        </w:tc>
        <w:tc>
          <w:tcPr>
            <w:tcW w:w="625" w:type="pct"/>
            <w:tcBorders>
              <w:top w:val="nil"/>
              <w:left w:val="nil"/>
              <w:bottom w:val="nil"/>
              <w:right w:val="nil"/>
            </w:tcBorders>
            <w:shd w:val="clear" w:color="auto" w:fill="auto"/>
            <w:vAlign w:val="bottom"/>
          </w:tcPr>
          <w:p w14:paraId="62C926DC"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24" w:type="pct"/>
            <w:tcBorders>
              <w:top w:val="nil"/>
              <w:left w:val="nil"/>
              <w:bottom w:val="nil"/>
              <w:right w:val="nil"/>
            </w:tcBorders>
            <w:shd w:val="clear" w:color="auto" w:fill="auto"/>
            <w:vAlign w:val="bottom"/>
          </w:tcPr>
          <w:p w14:paraId="59E4BE41"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231.835</w:t>
            </w:r>
          </w:p>
        </w:tc>
      </w:tr>
      <w:tr w:rsidR="00CF7B3C" w:rsidRPr="003D1614" w14:paraId="396A611B" w14:textId="77777777" w:rsidTr="0008792D">
        <w:trPr>
          <w:cantSplit/>
          <w:trHeight w:val="250"/>
          <w:tblHeader/>
        </w:trPr>
        <w:tc>
          <w:tcPr>
            <w:tcW w:w="2501" w:type="pct"/>
            <w:vAlign w:val="bottom"/>
          </w:tcPr>
          <w:p w14:paraId="07B84D7C" w14:textId="77777777" w:rsidR="00CF7B3C" w:rsidRPr="003D1614" w:rsidRDefault="00CF7B3C" w:rsidP="0008792D">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56" w:name="_Toc67329492"/>
            <w:r w:rsidRPr="003D1614">
              <w:rPr>
                <w:rFonts w:ascii="Arial" w:eastAsia="Times New Roman" w:hAnsi="Arial" w:cs="Arial"/>
                <w:color w:val="000000" w:themeColor="text1"/>
                <w:sz w:val="18"/>
                <w:szCs w:val="18"/>
              </w:rPr>
              <w:t>Ostala imovina</w:t>
            </w:r>
            <w:bookmarkEnd w:id="656"/>
          </w:p>
        </w:tc>
        <w:tc>
          <w:tcPr>
            <w:tcW w:w="625" w:type="pct"/>
            <w:tcBorders>
              <w:top w:val="nil"/>
              <w:left w:val="nil"/>
              <w:bottom w:val="nil"/>
              <w:right w:val="nil"/>
            </w:tcBorders>
            <w:shd w:val="clear" w:color="auto" w:fill="auto"/>
            <w:vAlign w:val="bottom"/>
          </w:tcPr>
          <w:p w14:paraId="448134EF"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360</w:t>
            </w:r>
          </w:p>
        </w:tc>
        <w:tc>
          <w:tcPr>
            <w:tcW w:w="625" w:type="pct"/>
            <w:tcBorders>
              <w:top w:val="nil"/>
              <w:left w:val="nil"/>
              <w:bottom w:val="nil"/>
              <w:right w:val="nil"/>
            </w:tcBorders>
            <w:shd w:val="clear" w:color="auto" w:fill="auto"/>
            <w:vAlign w:val="bottom"/>
          </w:tcPr>
          <w:p w14:paraId="2BD89914"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800</w:t>
            </w:r>
          </w:p>
        </w:tc>
        <w:tc>
          <w:tcPr>
            <w:tcW w:w="625" w:type="pct"/>
            <w:tcBorders>
              <w:top w:val="nil"/>
              <w:left w:val="nil"/>
              <w:bottom w:val="nil"/>
              <w:right w:val="nil"/>
            </w:tcBorders>
            <w:shd w:val="clear" w:color="auto" w:fill="auto"/>
            <w:vAlign w:val="bottom"/>
          </w:tcPr>
          <w:p w14:paraId="2F756F74"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w:t>
            </w:r>
          </w:p>
        </w:tc>
        <w:tc>
          <w:tcPr>
            <w:tcW w:w="624" w:type="pct"/>
            <w:tcBorders>
              <w:top w:val="nil"/>
              <w:left w:val="nil"/>
              <w:bottom w:val="nil"/>
              <w:right w:val="nil"/>
            </w:tcBorders>
            <w:shd w:val="clear" w:color="auto" w:fill="auto"/>
            <w:vAlign w:val="bottom"/>
          </w:tcPr>
          <w:p w14:paraId="47419127"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1.162</w:t>
            </w:r>
          </w:p>
        </w:tc>
      </w:tr>
      <w:tr w:rsidR="00CF7B3C" w:rsidRPr="003D1614" w14:paraId="1EB6F3C5" w14:textId="77777777" w:rsidTr="0008792D">
        <w:trPr>
          <w:cantSplit/>
          <w:trHeight w:hRule="exact" w:val="391"/>
          <w:tblHeader/>
        </w:trPr>
        <w:tc>
          <w:tcPr>
            <w:tcW w:w="2501" w:type="pct"/>
            <w:vAlign w:val="bottom"/>
          </w:tcPr>
          <w:p w14:paraId="411C1DC7" w14:textId="77777777" w:rsidR="00CF7B3C" w:rsidRPr="003D1614" w:rsidRDefault="00CF7B3C" w:rsidP="0008792D">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57" w:name="_Toc67329497"/>
            <w:r w:rsidRPr="003D1614">
              <w:rPr>
                <w:rFonts w:ascii="Arial" w:eastAsia="Times New Roman" w:hAnsi="Arial" w:cs="Arial"/>
                <w:b/>
                <w:bCs/>
                <w:color w:val="000000" w:themeColor="text1"/>
                <w:sz w:val="18"/>
                <w:szCs w:val="18"/>
              </w:rPr>
              <w:t>Ukupno</w:t>
            </w:r>
            <w:bookmarkEnd w:id="657"/>
            <w:r w:rsidRPr="003D1614">
              <w:rPr>
                <w:rFonts w:ascii="Arial" w:eastAsia="Times New Roman" w:hAnsi="Arial" w:cs="Arial"/>
                <w:b/>
                <w:bCs/>
                <w:color w:val="000000" w:themeColor="text1"/>
                <w:sz w:val="18"/>
                <w:szCs w:val="18"/>
              </w:rPr>
              <w:t xml:space="preserve"> </w:t>
            </w:r>
          </w:p>
        </w:tc>
        <w:tc>
          <w:tcPr>
            <w:tcW w:w="625" w:type="pct"/>
            <w:tcBorders>
              <w:top w:val="single" w:sz="8" w:space="0" w:color="auto"/>
              <w:left w:val="nil"/>
              <w:bottom w:val="single" w:sz="8" w:space="0" w:color="auto"/>
              <w:right w:val="nil"/>
            </w:tcBorders>
            <w:shd w:val="clear" w:color="auto" w:fill="auto"/>
            <w:vAlign w:val="bottom"/>
          </w:tcPr>
          <w:p w14:paraId="6EAF3461"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3.876.786</w:t>
            </w:r>
          </w:p>
        </w:tc>
        <w:tc>
          <w:tcPr>
            <w:tcW w:w="625" w:type="pct"/>
            <w:tcBorders>
              <w:top w:val="single" w:sz="8" w:space="0" w:color="auto"/>
              <w:left w:val="nil"/>
              <w:bottom w:val="single" w:sz="8" w:space="0" w:color="auto"/>
              <w:right w:val="nil"/>
            </w:tcBorders>
            <w:shd w:val="clear" w:color="auto" w:fill="auto"/>
            <w:vAlign w:val="bottom"/>
          </w:tcPr>
          <w:p w14:paraId="52796C51"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63.864</w:t>
            </w:r>
          </w:p>
        </w:tc>
        <w:tc>
          <w:tcPr>
            <w:tcW w:w="625" w:type="pct"/>
            <w:tcBorders>
              <w:top w:val="single" w:sz="8" w:space="0" w:color="auto"/>
              <w:left w:val="nil"/>
              <w:bottom w:val="single" w:sz="8" w:space="0" w:color="auto"/>
              <w:right w:val="nil"/>
            </w:tcBorders>
            <w:shd w:val="clear" w:color="auto" w:fill="auto"/>
            <w:vAlign w:val="bottom"/>
          </w:tcPr>
          <w:p w14:paraId="173D3BAA"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5.503</w:t>
            </w:r>
          </w:p>
        </w:tc>
        <w:tc>
          <w:tcPr>
            <w:tcW w:w="624" w:type="pct"/>
            <w:tcBorders>
              <w:top w:val="single" w:sz="8" w:space="0" w:color="auto"/>
              <w:left w:val="nil"/>
              <w:bottom w:val="single" w:sz="8" w:space="0" w:color="auto"/>
              <w:right w:val="nil"/>
            </w:tcBorders>
            <w:shd w:val="clear" w:color="auto" w:fill="auto"/>
            <w:vAlign w:val="bottom"/>
          </w:tcPr>
          <w:p w14:paraId="2326B33D"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3.946.153</w:t>
            </w:r>
          </w:p>
        </w:tc>
      </w:tr>
      <w:tr w:rsidR="00CF7B3C" w:rsidRPr="003D1614" w14:paraId="676A31EC" w14:textId="77777777" w:rsidTr="0008792D">
        <w:tblPrEx>
          <w:tblCellMar>
            <w:left w:w="31" w:type="dxa"/>
            <w:right w:w="31" w:type="dxa"/>
          </w:tblCellMar>
        </w:tblPrEx>
        <w:trPr>
          <w:cantSplit/>
          <w:trHeight w:val="250"/>
          <w:tblHeader/>
        </w:trPr>
        <w:tc>
          <w:tcPr>
            <w:tcW w:w="2501" w:type="pct"/>
            <w:vAlign w:val="bottom"/>
          </w:tcPr>
          <w:p w14:paraId="6BB2806A" w14:textId="77777777" w:rsidR="00CF7B3C" w:rsidRPr="003D1614" w:rsidRDefault="00CF7B3C" w:rsidP="0008792D">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p>
        </w:tc>
        <w:tc>
          <w:tcPr>
            <w:tcW w:w="625" w:type="pct"/>
            <w:tcBorders>
              <w:top w:val="single" w:sz="12" w:space="0" w:color="auto"/>
            </w:tcBorders>
            <w:vAlign w:val="bottom"/>
          </w:tcPr>
          <w:p w14:paraId="39F55706"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5" w:type="pct"/>
            <w:tcBorders>
              <w:top w:val="single" w:sz="12" w:space="0" w:color="auto"/>
            </w:tcBorders>
            <w:vAlign w:val="bottom"/>
          </w:tcPr>
          <w:p w14:paraId="1418460B"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5" w:type="pct"/>
            <w:tcBorders>
              <w:top w:val="single" w:sz="12" w:space="0" w:color="auto"/>
            </w:tcBorders>
            <w:vAlign w:val="bottom"/>
          </w:tcPr>
          <w:p w14:paraId="0243C4B4"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4" w:type="pct"/>
            <w:tcBorders>
              <w:top w:val="single" w:sz="12" w:space="0" w:color="auto"/>
            </w:tcBorders>
            <w:vAlign w:val="bottom"/>
          </w:tcPr>
          <w:p w14:paraId="7CDDE369"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r>
      <w:tr w:rsidR="00CF7B3C" w:rsidRPr="003D1614" w14:paraId="273E3898" w14:textId="77777777" w:rsidTr="0008792D">
        <w:tblPrEx>
          <w:tblCellMar>
            <w:left w:w="31" w:type="dxa"/>
            <w:right w:w="31" w:type="dxa"/>
          </w:tblCellMar>
        </w:tblPrEx>
        <w:trPr>
          <w:cantSplit/>
          <w:trHeight w:val="250"/>
          <w:tblHeader/>
        </w:trPr>
        <w:tc>
          <w:tcPr>
            <w:tcW w:w="2501" w:type="pct"/>
          </w:tcPr>
          <w:p w14:paraId="700A2889" w14:textId="77777777" w:rsidR="00CF7B3C" w:rsidRPr="003D1614" w:rsidRDefault="00CF7B3C" w:rsidP="0008792D">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58" w:name="_Toc67329502"/>
            <w:r w:rsidRPr="003D1614">
              <w:rPr>
                <w:rFonts w:ascii="Arial" w:eastAsia="Times New Roman" w:hAnsi="Arial" w:cs="Arial"/>
                <w:b/>
                <w:bCs/>
                <w:color w:val="000000" w:themeColor="text1"/>
                <w:sz w:val="18"/>
                <w:szCs w:val="18"/>
              </w:rPr>
              <w:t>Garancije i preuzete obveze</w:t>
            </w:r>
            <w:bookmarkEnd w:id="658"/>
          </w:p>
        </w:tc>
        <w:tc>
          <w:tcPr>
            <w:tcW w:w="625" w:type="pct"/>
            <w:vAlign w:val="bottom"/>
          </w:tcPr>
          <w:p w14:paraId="50C20EFF"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5" w:type="pct"/>
            <w:vAlign w:val="bottom"/>
          </w:tcPr>
          <w:p w14:paraId="3FC636F6"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5" w:type="pct"/>
            <w:vAlign w:val="bottom"/>
          </w:tcPr>
          <w:p w14:paraId="32374B8B"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c>
          <w:tcPr>
            <w:tcW w:w="624" w:type="pct"/>
            <w:vAlign w:val="bottom"/>
          </w:tcPr>
          <w:p w14:paraId="0E59D49D"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p>
        </w:tc>
      </w:tr>
      <w:tr w:rsidR="00CF7B3C" w:rsidRPr="003D1614" w14:paraId="765946D5" w14:textId="77777777" w:rsidTr="0008792D">
        <w:tblPrEx>
          <w:tblCellMar>
            <w:left w:w="31" w:type="dxa"/>
            <w:right w:w="31" w:type="dxa"/>
          </w:tblCellMar>
        </w:tblPrEx>
        <w:trPr>
          <w:cantSplit/>
          <w:trHeight w:val="250"/>
          <w:tblHeader/>
        </w:trPr>
        <w:tc>
          <w:tcPr>
            <w:tcW w:w="2501" w:type="pct"/>
          </w:tcPr>
          <w:p w14:paraId="190DE37B" w14:textId="77777777" w:rsidR="00CF7B3C" w:rsidRPr="003D1614" w:rsidRDefault="00CF7B3C" w:rsidP="0008792D">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59" w:name="_Toc67329503"/>
            <w:r w:rsidRPr="003D1614">
              <w:rPr>
                <w:rFonts w:ascii="Arial" w:eastAsia="Times New Roman" w:hAnsi="Arial" w:cs="Arial"/>
                <w:color w:val="000000" w:themeColor="text1"/>
                <w:sz w:val="18"/>
                <w:szCs w:val="18"/>
              </w:rPr>
              <w:t xml:space="preserve">Izdane garancije </w:t>
            </w:r>
            <w:bookmarkEnd w:id="659"/>
          </w:p>
        </w:tc>
        <w:tc>
          <w:tcPr>
            <w:tcW w:w="625" w:type="pct"/>
            <w:tcBorders>
              <w:top w:val="nil"/>
              <w:left w:val="nil"/>
              <w:bottom w:val="nil"/>
              <w:right w:val="nil"/>
            </w:tcBorders>
            <w:shd w:val="clear" w:color="auto" w:fill="auto"/>
            <w:vAlign w:val="bottom"/>
          </w:tcPr>
          <w:p w14:paraId="44DCAB5E"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27.472</w:t>
            </w:r>
          </w:p>
        </w:tc>
        <w:tc>
          <w:tcPr>
            <w:tcW w:w="625" w:type="pct"/>
            <w:tcBorders>
              <w:top w:val="nil"/>
              <w:left w:val="nil"/>
              <w:bottom w:val="nil"/>
              <w:right w:val="nil"/>
            </w:tcBorders>
            <w:shd w:val="clear" w:color="auto" w:fill="auto"/>
            <w:vAlign w:val="bottom"/>
          </w:tcPr>
          <w:p w14:paraId="60A70C23"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25" w:type="pct"/>
            <w:tcBorders>
              <w:top w:val="nil"/>
              <w:left w:val="nil"/>
              <w:bottom w:val="nil"/>
              <w:right w:val="nil"/>
            </w:tcBorders>
            <w:shd w:val="clear" w:color="auto" w:fill="auto"/>
            <w:vAlign w:val="bottom"/>
          </w:tcPr>
          <w:p w14:paraId="03899680"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24" w:type="pct"/>
            <w:tcBorders>
              <w:top w:val="nil"/>
              <w:left w:val="nil"/>
              <w:bottom w:val="nil"/>
              <w:right w:val="nil"/>
            </w:tcBorders>
            <w:shd w:val="clear" w:color="auto" w:fill="auto"/>
            <w:vAlign w:val="bottom"/>
          </w:tcPr>
          <w:p w14:paraId="505F62AC"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27.472</w:t>
            </w:r>
          </w:p>
        </w:tc>
      </w:tr>
      <w:tr w:rsidR="00CF7B3C" w:rsidRPr="003D1614" w14:paraId="7C393B62" w14:textId="77777777" w:rsidTr="0008792D">
        <w:tblPrEx>
          <w:tblCellMar>
            <w:left w:w="31" w:type="dxa"/>
            <w:right w:w="31" w:type="dxa"/>
          </w:tblCellMar>
        </w:tblPrEx>
        <w:trPr>
          <w:cantSplit/>
          <w:trHeight w:val="250"/>
          <w:tblHeader/>
        </w:trPr>
        <w:tc>
          <w:tcPr>
            <w:tcW w:w="2501" w:type="pct"/>
            <w:vAlign w:val="bottom"/>
          </w:tcPr>
          <w:p w14:paraId="59FF5E3A" w14:textId="77777777" w:rsidR="00CF7B3C" w:rsidRPr="003D1614" w:rsidRDefault="00CF7B3C" w:rsidP="0008792D">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60" w:name="_Toc67329508"/>
            <w:r w:rsidRPr="003D1614">
              <w:rPr>
                <w:rFonts w:ascii="Arial" w:eastAsia="Times New Roman" w:hAnsi="Arial" w:cs="Arial"/>
                <w:color w:val="000000" w:themeColor="text1"/>
                <w:sz w:val="18"/>
                <w:szCs w:val="18"/>
              </w:rPr>
              <w:t>Izdane garancije u devizama</w:t>
            </w:r>
            <w:bookmarkEnd w:id="660"/>
          </w:p>
        </w:tc>
        <w:tc>
          <w:tcPr>
            <w:tcW w:w="625" w:type="pct"/>
            <w:tcBorders>
              <w:top w:val="nil"/>
              <w:left w:val="nil"/>
              <w:bottom w:val="nil"/>
              <w:right w:val="nil"/>
            </w:tcBorders>
            <w:shd w:val="clear" w:color="auto" w:fill="auto"/>
            <w:vAlign w:val="bottom"/>
          </w:tcPr>
          <w:p w14:paraId="34CEB2DC"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5.155</w:t>
            </w:r>
          </w:p>
        </w:tc>
        <w:tc>
          <w:tcPr>
            <w:tcW w:w="625" w:type="pct"/>
            <w:tcBorders>
              <w:top w:val="nil"/>
              <w:left w:val="nil"/>
              <w:bottom w:val="nil"/>
              <w:right w:val="nil"/>
            </w:tcBorders>
            <w:shd w:val="clear" w:color="auto" w:fill="auto"/>
            <w:vAlign w:val="bottom"/>
          </w:tcPr>
          <w:p w14:paraId="78B068F3"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25" w:type="pct"/>
            <w:tcBorders>
              <w:top w:val="nil"/>
              <w:left w:val="nil"/>
              <w:bottom w:val="nil"/>
              <w:right w:val="nil"/>
            </w:tcBorders>
            <w:shd w:val="clear" w:color="auto" w:fill="auto"/>
            <w:vAlign w:val="bottom"/>
          </w:tcPr>
          <w:p w14:paraId="22B739F9"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624" w:type="pct"/>
            <w:tcBorders>
              <w:top w:val="nil"/>
              <w:left w:val="nil"/>
              <w:bottom w:val="nil"/>
              <w:right w:val="nil"/>
            </w:tcBorders>
            <w:shd w:val="clear" w:color="auto" w:fill="auto"/>
            <w:vAlign w:val="bottom"/>
          </w:tcPr>
          <w:p w14:paraId="6A37DD7F"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5.155</w:t>
            </w:r>
          </w:p>
        </w:tc>
      </w:tr>
      <w:tr w:rsidR="00CF7B3C" w:rsidRPr="003D1614" w14:paraId="1D969402" w14:textId="77777777" w:rsidTr="0008792D">
        <w:tblPrEx>
          <w:tblCellMar>
            <w:left w:w="31" w:type="dxa"/>
            <w:right w:w="31" w:type="dxa"/>
          </w:tblCellMar>
        </w:tblPrEx>
        <w:trPr>
          <w:cantSplit/>
          <w:trHeight w:val="250"/>
          <w:tblHeader/>
        </w:trPr>
        <w:tc>
          <w:tcPr>
            <w:tcW w:w="2501" w:type="pct"/>
            <w:vAlign w:val="bottom"/>
          </w:tcPr>
          <w:p w14:paraId="3AA80E2C" w14:textId="77777777" w:rsidR="00CF7B3C" w:rsidRPr="003D1614" w:rsidRDefault="00CF7B3C" w:rsidP="0008792D">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61" w:name="_Toc67329518"/>
            <w:r w:rsidRPr="003D1614">
              <w:rPr>
                <w:rFonts w:ascii="Arial" w:eastAsia="Times New Roman" w:hAnsi="Arial" w:cs="Arial"/>
                <w:color w:val="000000" w:themeColor="text1"/>
                <w:sz w:val="18"/>
                <w:szCs w:val="18"/>
              </w:rPr>
              <w:t>Preuzete obveze po kreditima</w:t>
            </w:r>
            <w:bookmarkEnd w:id="661"/>
          </w:p>
        </w:tc>
        <w:tc>
          <w:tcPr>
            <w:tcW w:w="625" w:type="pct"/>
            <w:tcBorders>
              <w:top w:val="nil"/>
              <w:left w:val="nil"/>
              <w:bottom w:val="single" w:sz="4" w:space="0" w:color="auto"/>
              <w:right w:val="nil"/>
            </w:tcBorders>
            <w:shd w:val="clear" w:color="auto" w:fill="auto"/>
            <w:vAlign w:val="bottom"/>
          </w:tcPr>
          <w:p w14:paraId="5C34734B"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551.236</w:t>
            </w:r>
          </w:p>
        </w:tc>
        <w:tc>
          <w:tcPr>
            <w:tcW w:w="625" w:type="pct"/>
            <w:tcBorders>
              <w:top w:val="nil"/>
              <w:left w:val="nil"/>
              <w:bottom w:val="single" w:sz="4" w:space="0" w:color="auto"/>
              <w:right w:val="nil"/>
            </w:tcBorders>
            <w:shd w:val="clear" w:color="auto" w:fill="auto"/>
            <w:vAlign w:val="bottom"/>
          </w:tcPr>
          <w:p w14:paraId="6337DEC2"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806</w:t>
            </w:r>
          </w:p>
        </w:tc>
        <w:tc>
          <w:tcPr>
            <w:tcW w:w="625" w:type="pct"/>
            <w:tcBorders>
              <w:top w:val="nil"/>
              <w:left w:val="nil"/>
              <w:bottom w:val="single" w:sz="4" w:space="0" w:color="auto"/>
              <w:right w:val="nil"/>
            </w:tcBorders>
            <w:shd w:val="clear" w:color="auto" w:fill="auto"/>
            <w:vAlign w:val="bottom"/>
          </w:tcPr>
          <w:p w14:paraId="7169A27F"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2.976</w:t>
            </w:r>
          </w:p>
        </w:tc>
        <w:tc>
          <w:tcPr>
            <w:tcW w:w="624" w:type="pct"/>
            <w:tcBorders>
              <w:top w:val="nil"/>
              <w:left w:val="nil"/>
              <w:bottom w:val="single" w:sz="4" w:space="0" w:color="auto"/>
              <w:right w:val="nil"/>
            </w:tcBorders>
            <w:shd w:val="clear" w:color="auto" w:fill="auto"/>
            <w:vAlign w:val="bottom"/>
          </w:tcPr>
          <w:p w14:paraId="7C8BE329"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555.018</w:t>
            </w:r>
          </w:p>
        </w:tc>
      </w:tr>
      <w:tr w:rsidR="00CF7B3C" w:rsidRPr="003D1614" w14:paraId="4EFEC8EA" w14:textId="77777777" w:rsidTr="0008792D">
        <w:tblPrEx>
          <w:tblCellMar>
            <w:left w:w="31" w:type="dxa"/>
            <w:right w:w="31" w:type="dxa"/>
          </w:tblCellMar>
        </w:tblPrEx>
        <w:trPr>
          <w:cantSplit/>
          <w:trHeight w:val="399"/>
          <w:tblHeader/>
        </w:trPr>
        <w:tc>
          <w:tcPr>
            <w:tcW w:w="2501" w:type="pct"/>
            <w:vAlign w:val="bottom"/>
          </w:tcPr>
          <w:p w14:paraId="34B8CACC" w14:textId="77777777" w:rsidR="00CF7B3C" w:rsidRPr="003D1614" w:rsidRDefault="00CF7B3C" w:rsidP="0008792D">
            <w:pPr>
              <w:tabs>
                <w:tab w:val="right" w:pos="1202"/>
              </w:tabs>
              <w:suppressAutoHyphens/>
              <w:autoSpaceDN w:val="0"/>
              <w:spacing w:line="301" w:lineRule="exact"/>
              <w:outlineLvl w:val="0"/>
              <w:rPr>
                <w:rFonts w:ascii="Arial" w:eastAsia="Times New Roman" w:hAnsi="Arial" w:cs="Arial"/>
                <w:b/>
                <w:bCs/>
                <w:color w:val="000000" w:themeColor="text1"/>
                <w:sz w:val="18"/>
                <w:szCs w:val="18"/>
              </w:rPr>
            </w:pPr>
            <w:bookmarkStart w:id="662" w:name="_Toc67329528"/>
            <w:r w:rsidRPr="003D1614">
              <w:rPr>
                <w:rFonts w:ascii="Arial" w:eastAsia="Times New Roman" w:hAnsi="Arial" w:cs="Arial"/>
                <w:b/>
                <w:bCs/>
                <w:color w:val="000000" w:themeColor="text1"/>
                <w:sz w:val="18"/>
                <w:szCs w:val="18"/>
              </w:rPr>
              <w:t>Ukupno</w:t>
            </w:r>
            <w:bookmarkEnd w:id="662"/>
          </w:p>
        </w:tc>
        <w:tc>
          <w:tcPr>
            <w:tcW w:w="625" w:type="pct"/>
            <w:tcBorders>
              <w:top w:val="single" w:sz="4" w:space="0" w:color="auto"/>
              <w:left w:val="nil"/>
              <w:bottom w:val="single" w:sz="12" w:space="0" w:color="auto"/>
              <w:right w:val="nil"/>
            </w:tcBorders>
            <w:shd w:val="clear" w:color="auto" w:fill="auto"/>
            <w:vAlign w:val="bottom"/>
          </w:tcPr>
          <w:p w14:paraId="3048C52F"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583.863</w:t>
            </w:r>
          </w:p>
        </w:tc>
        <w:tc>
          <w:tcPr>
            <w:tcW w:w="625" w:type="pct"/>
            <w:tcBorders>
              <w:top w:val="single" w:sz="4" w:space="0" w:color="auto"/>
              <w:left w:val="nil"/>
              <w:bottom w:val="single" w:sz="12" w:space="0" w:color="auto"/>
              <w:right w:val="nil"/>
            </w:tcBorders>
            <w:shd w:val="clear" w:color="auto" w:fill="auto"/>
            <w:vAlign w:val="bottom"/>
          </w:tcPr>
          <w:p w14:paraId="72C16414"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806</w:t>
            </w:r>
          </w:p>
        </w:tc>
        <w:tc>
          <w:tcPr>
            <w:tcW w:w="625" w:type="pct"/>
            <w:tcBorders>
              <w:top w:val="single" w:sz="4" w:space="0" w:color="auto"/>
              <w:left w:val="nil"/>
              <w:bottom w:val="single" w:sz="12" w:space="0" w:color="auto"/>
              <w:right w:val="nil"/>
            </w:tcBorders>
            <w:shd w:val="clear" w:color="auto" w:fill="auto"/>
            <w:vAlign w:val="bottom"/>
          </w:tcPr>
          <w:p w14:paraId="00294277"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2.976</w:t>
            </w:r>
          </w:p>
        </w:tc>
        <w:tc>
          <w:tcPr>
            <w:tcW w:w="624" w:type="pct"/>
            <w:tcBorders>
              <w:top w:val="single" w:sz="4" w:space="0" w:color="auto"/>
              <w:left w:val="nil"/>
              <w:bottom w:val="single" w:sz="12" w:space="0" w:color="auto"/>
              <w:right w:val="nil"/>
            </w:tcBorders>
            <w:shd w:val="clear" w:color="auto" w:fill="auto"/>
            <w:vAlign w:val="bottom"/>
          </w:tcPr>
          <w:p w14:paraId="49E7719F"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587.645</w:t>
            </w:r>
          </w:p>
        </w:tc>
      </w:tr>
      <w:tr w:rsidR="00CF7B3C" w:rsidRPr="003D1614" w14:paraId="13C656B7" w14:textId="77777777" w:rsidTr="0008792D">
        <w:tblPrEx>
          <w:tblCellMar>
            <w:left w:w="31" w:type="dxa"/>
            <w:right w:w="31" w:type="dxa"/>
          </w:tblCellMar>
        </w:tblPrEx>
        <w:trPr>
          <w:cantSplit/>
          <w:trHeight w:hRule="exact" w:val="113"/>
          <w:tblHeader/>
        </w:trPr>
        <w:tc>
          <w:tcPr>
            <w:tcW w:w="2501" w:type="pct"/>
            <w:vAlign w:val="bottom"/>
          </w:tcPr>
          <w:p w14:paraId="1F6E8D4E" w14:textId="77777777" w:rsidR="00CF7B3C" w:rsidRPr="003D1614" w:rsidRDefault="00CF7B3C" w:rsidP="0008792D">
            <w:pPr>
              <w:tabs>
                <w:tab w:val="right" w:pos="1202"/>
              </w:tabs>
              <w:suppressAutoHyphens/>
              <w:autoSpaceDN w:val="0"/>
              <w:outlineLvl w:val="0"/>
              <w:rPr>
                <w:rFonts w:ascii="Arial" w:eastAsia="Times New Roman" w:hAnsi="Arial" w:cs="Arial"/>
                <w:b/>
                <w:bCs/>
                <w:color w:val="000000" w:themeColor="text1"/>
                <w:sz w:val="18"/>
                <w:szCs w:val="18"/>
              </w:rPr>
            </w:pPr>
          </w:p>
        </w:tc>
        <w:tc>
          <w:tcPr>
            <w:tcW w:w="625" w:type="pct"/>
            <w:tcBorders>
              <w:top w:val="single" w:sz="12" w:space="0" w:color="auto"/>
            </w:tcBorders>
            <w:vAlign w:val="bottom"/>
          </w:tcPr>
          <w:p w14:paraId="6F2FAA12" w14:textId="77777777" w:rsidR="00CF7B3C" w:rsidRPr="003D1614" w:rsidRDefault="00CF7B3C" w:rsidP="0008792D">
            <w:pPr>
              <w:tabs>
                <w:tab w:val="right" w:pos="1202"/>
              </w:tabs>
              <w:suppressAutoHyphens/>
              <w:autoSpaceDN w:val="0"/>
              <w:jc w:val="center"/>
              <w:outlineLvl w:val="0"/>
              <w:rPr>
                <w:rFonts w:ascii="Arial" w:eastAsia="Times New Roman" w:hAnsi="Arial" w:cs="Arial"/>
                <w:b/>
                <w:color w:val="000000" w:themeColor="text1"/>
                <w:sz w:val="18"/>
                <w:szCs w:val="18"/>
              </w:rPr>
            </w:pPr>
          </w:p>
        </w:tc>
        <w:tc>
          <w:tcPr>
            <w:tcW w:w="625" w:type="pct"/>
            <w:tcBorders>
              <w:top w:val="single" w:sz="12" w:space="0" w:color="auto"/>
            </w:tcBorders>
            <w:vAlign w:val="bottom"/>
          </w:tcPr>
          <w:p w14:paraId="129C7259" w14:textId="77777777" w:rsidR="00CF7B3C" w:rsidRPr="003D1614" w:rsidRDefault="00CF7B3C" w:rsidP="0008792D">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25" w:type="pct"/>
            <w:tcBorders>
              <w:top w:val="single" w:sz="12" w:space="0" w:color="auto"/>
            </w:tcBorders>
            <w:vAlign w:val="bottom"/>
          </w:tcPr>
          <w:p w14:paraId="16DB72E9" w14:textId="77777777" w:rsidR="00CF7B3C" w:rsidRPr="003D1614" w:rsidRDefault="00CF7B3C" w:rsidP="0008792D">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24" w:type="pct"/>
            <w:tcBorders>
              <w:top w:val="single" w:sz="12" w:space="0" w:color="auto"/>
            </w:tcBorders>
            <w:vAlign w:val="bottom"/>
          </w:tcPr>
          <w:p w14:paraId="7BD41F6B" w14:textId="77777777" w:rsidR="00CF7B3C" w:rsidRPr="003D1614" w:rsidRDefault="00CF7B3C" w:rsidP="0008792D">
            <w:pPr>
              <w:tabs>
                <w:tab w:val="right" w:pos="1202"/>
              </w:tabs>
              <w:suppressAutoHyphens/>
              <w:autoSpaceDN w:val="0"/>
              <w:jc w:val="right"/>
              <w:outlineLvl w:val="0"/>
              <w:rPr>
                <w:rFonts w:ascii="Arial" w:eastAsia="Times New Roman" w:hAnsi="Arial" w:cs="Arial"/>
                <w:b/>
                <w:color w:val="000000" w:themeColor="text1"/>
                <w:sz w:val="18"/>
                <w:szCs w:val="18"/>
              </w:rPr>
            </w:pPr>
          </w:p>
        </w:tc>
      </w:tr>
      <w:tr w:rsidR="00CF7B3C" w:rsidRPr="003D1614" w14:paraId="6FCD7EAE" w14:textId="77777777" w:rsidTr="0008792D">
        <w:tblPrEx>
          <w:tblCellMar>
            <w:left w:w="31" w:type="dxa"/>
            <w:right w:w="31" w:type="dxa"/>
          </w:tblCellMar>
        </w:tblPrEx>
        <w:trPr>
          <w:cantSplit/>
          <w:trHeight w:val="70"/>
          <w:tblHeader/>
        </w:trPr>
        <w:tc>
          <w:tcPr>
            <w:tcW w:w="2501" w:type="pct"/>
            <w:vAlign w:val="bottom"/>
          </w:tcPr>
          <w:p w14:paraId="3AF97449" w14:textId="77777777" w:rsidR="00CF7B3C" w:rsidRPr="003D1614" w:rsidRDefault="00CF7B3C" w:rsidP="0008792D">
            <w:pPr>
              <w:tabs>
                <w:tab w:val="right" w:pos="1202"/>
              </w:tabs>
              <w:suppressAutoHyphens/>
              <w:autoSpaceDN w:val="0"/>
              <w:spacing w:before="120" w:line="300" w:lineRule="exact"/>
              <w:jc w:val="both"/>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Ukupna izloženost kreditnom riziku</w:t>
            </w:r>
          </w:p>
        </w:tc>
        <w:tc>
          <w:tcPr>
            <w:tcW w:w="625" w:type="pct"/>
            <w:tcBorders>
              <w:top w:val="nil"/>
              <w:left w:val="nil"/>
              <w:bottom w:val="single" w:sz="12" w:space="0" w:color="auto"/>
              <w:right w:val="nil"/>
            </w:tcBorders>
            <w:shd w:val="clear" w:color="auto" w:fill="auto"/>
            <w:vAlign w:val="bottom"/>
          </w:tcPr>
          <w:p w14:paraId="0EEEEB24"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4.460.649</w:t>
            </w:r>
          </w:p>
        </w:tc>
        <w:tc>
          <w:tcPr>
            <w:tcW w:w="625" w:type="pct"/>
            <w:tcBorders>
              <w:top w:val="nil"/>
              <w:left w:val="nil"/>
              <w:bottom w:val="single" w:sz="12" w:space="0" w:color="auto"/>
              <w:right w:val="nil"/>
            </w:tcBorders>
            <w:shd w:val="clear" w:color="auto" w:fill="auto"/>
            <w:vAlign w:val="bottom"/>
          </w:tcPr>
          <w:p w14:paraId="7EBF76A7"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64.670</w:t>
            </w:r>
          </w:p>
        </w:tc>
        <w:tc>
          <w:tcPr>
            <w:tcW w:w="625" w:type="pct"/>
            <w:tcBorders>
              <w:top w:val="nil"/>
              <w:left w:val="nil"/>
              <w:bottom w:val="single" w:sz="12" w:space="0" w:color="auto"/>
              <w:right w:val="nil"/>
            </w:tcBorders>
            <w:shd w:val="clear" w:color="auto" w:fill="auto"/>
            <w:vAlign w:val="bottom"/>
          </w:tcPr>
          <w:p w14:paraId="1237D5D0"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8.479</w:t>
            </w:r>
          </w:p>
        </w:tc>
        <w:tc>
          <w:tcPr>
            <w:tcW w:w="624" w:type="pct"/>
            <w:tcBorders>
              <w:top w:val="nil"/>
              <w:left w:val="nil"/>
              <w:bottom w:val="single" w:sz="12" w:space="0" w:color="auto"/>
              <w:right w:val="nil"/>
            </w:tcBorders>
            <w:shd w:val="clear" w:color="auto" w:fill="auto"/>
            <w:vAlign w:val="bottom"/>
          </w:tcPr>
          <w:p w14:paraId="03124AD5"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4.533.798</w:t>
            </w:r>
          </w:p>
        </w:tc>
      </w:tr>
    </w:tbl>
    <w:p w14:paraId="0362F523" w14:textId="0662FEBC" w:rsidR="001A0FCB" w:rsidRPr="003D1614" w:rsidRDefault="001A0FCB" w:rsidP="003311C4">
      <w:pPr>
        <w:suppressAutoHyphens/>
        <w:autoSpaceDN w:val="0"/>
        <w:jc w:val="both"/>
        <w:rPr>
          <w:rFonts w:ascii="Arial" w:eastAsia="Times New Roman" w:hAnsi="Arial" w:cs="Arial"/>
          <w:color w:val="000000" w:themeColor="text1"/>
          <w:sz w:val="20"/>
          <w:szCs w:val="20"/>
        </w:rPr>
        <w:sectPr w:rsidR="001A0FCB" w:rsidRPr="003D1614">
          <w:pgSz w:w="11906" w:h="16838"/>
          <w:pgMar w:top="1417" w:right="1417" w:bottom="1417" w:left="1417" w:header="708" w:footer="708" w:gutter="0"/>
          <w:cols w:space="708"/>
          <w:docGrid w:linePitch="360"/>
        </w:sectPr>
      </w:pPr>
    </w:p>
    <w:p w14:paraId="3A579401"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4CD5BECF" w14:textId="7195EEEB" w:rsidR="001A0FCB" w:rsidRPr="003D1614" w:rsidRDefault="001A0FCB" w:rsidP="001A0FCB">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3F05D9E0"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5E843593" w14:textId="116A7E54" w:rsidR="001A0FCB" w:rsidRPr="003D1614" w:rsidRDefault="001A0FCB" w:rsidP="001A0FCB">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11082205"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000DD696"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Koncentracija rizika i maksimalna izloženost kreditnom riziku (nastavak)</w:t>
      </w:r>
    </w:p>
    <w:p w14:paraId="2DEDF7E2" w14:textId="77777777" w:rsidR="001A0FCB" w:rsidRPr="003D1614" w:rsidRDefault="001A0FCB" w:rsidP="001A0FCB">
      <w:pPr>
        <w:keepNext/>
        <w:suppressAutoHyphens/>
        <w:autoSpaceDN w:val="0"/>
        <w:jc w:val="both"/>
        <w:outlineLvl w:val="0"/>
        <w:rPr>
          <w:rFonts w:ascii="Arial" w:eastAsia="Times New Roman" w:hAnsi="Arial" w:cs="Arial"/>
          <w:color w:val="000000" w:themeColor="text1"/>
          <w:sz w:val="20"/>
          <w:szCs w:val="20"/>
        </w:rPr>
      </w:pPr>
    </w:p>
    <w:p w14:paraId="1D4B6635" w14:textId="77777777" w:rsidR="001A0FCB" w:rsidRPr="003D1614" w:rsidRDefault="001A0FCB" w:rsidP="001A0FCB">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Koncentracija imovine i garancija te preuzetih obveza prema zemljopisnim segmentima, neto izloženost, </w:t>
      </w:r>
      <w:r w:rsidRPr="003D1614">
        <w:rPr>
          <w:rFonts w:ascii="Arial" w:eastAsia="Times New Roman" w:hAnsi="Arial" w:cs="Arial"/>
          <w:bCs/>
          <w:color w:val="000000" w:themeColor="text1"/>
          <w:sz w:val="20"/>
          <w:szCs w:val="20"/>
        </w:rPr>
        <w:t>bez umanjenja za vrijednost sredstava osiguranja naplate</w:t>
      </w:r>
      <w:r w:rsidRPr="003D1614">
        <w:rPr>
          <w:rFonts w:ascii="Arial" w:eastAsia="Times New Roman" w:hAnsi="Arial" w:cs="Arial"/>
          <w:color w:val="000000" w:themeColor="text1"/>
          <w:sz w:val="20"/>
          <w:szCs w:val="20"/>
        </w:rPr>
        <w:t xml:space="preserve"> (nastavak): </w:t>
      </w:r>
    </w:p>
    <w:p w14:paraId="7ACF725B" w14:textId="11714C55" w:rsidR="001A0FCB" w:rsidRPr="003D1614" w:rsidRDefault="001A0FCB" w:rsidP="003311C4">
      <w:pPr>
        <w:suppressAutoHyphens/>
        <w:autoSpaceDN w:val="0"/>
        <w:jc w:val="both"/>
        <w:rPr>
          <w:rFonts w:ascii="Arial" w:eastAsia="Times New Roman" w:hAnsi="Arial" w:cs="Arial"/>
          <w:color w:val="000000" w:themeColor="text1"/>
          <w:sz w:val="20"/>
          <w:szCs w:val="20"/>
        </w:rPr>
      </w:pPr>
    </w:p>
    <w:p w14:paraId="428A0F47" w14:textId="71C7F3E3" w:rsidR="001A0FCB" w:rsidRPr="003D1614" w:rsidRDefault="001A0FCB" w:rsidP="003311C4">
      <w:pPr>
        <w:suppressAutoHyphens/>
        <w:autoSpaceDN w:val="0"/>
        <w:jc w:val="both"/>
        <w:rPr>
          <w:rFonts w:ascii="Arial" w:eastAsia="Times New Roman" w:hAnsi="Arial" w:cs="Arial"/>
          <w:color w:val="000000" w:themeColor="text1"/>
          <w:sz w:val="20"/>
          <w:szCs w:val="20"/>
        </w:rPr>
      </w:pPr>
    </w:p>
    <w:tbl>
      <w:tblPr>
        <w:tblW w:w="5000" w:type="pct"/>
        <w:tblLayout w:type="fixed"/>
        <w:tblCellMar>
          <w:left w:w="30" w:type="dxa"/>
          <w:right w:w="30" w:type="dxa"/>
        </w:tblCellMar>
        <w:tblLook w:val="0000" w:firstRow="0" w:lastRow="0" w:firstColumn="0" w:lastColumn="0" w:noHBand="0" w:noVBand="0"/>
      </w:tblPr>
      <w:tblGrid>
        <w:gridCol w:w="4538"/>
        <w:gridCol w:w="1134"/>
        <w:gridCol w:w="1134"/>
        <w:gridCol w:w="1134"/>
        <w:gridCol w:w="1132"/>
      </w:tblGrid>
      <w:tr w:rsidR="00245EE4" w:rsidRPr="009C411C" w14:paraId="3379DC55" w14:textId="77777777" w:rsidTr="00E12A58">
        <w:trPr>
          <w:cantSplit/>
          <w:trHeight w:val="784"/>
          <w:tblHeader/>
        </w:trPr>
        <w:tc>
          <w:tcPr>
            <w:tcW w:w="2501" w:type="pct"/>
          </w:tcPr>
          <w:p w14:paraId="6D130A3F" w14:textId="77777777" w:rsidR="00245EE4" w:rsidRPr="009C411C" w:rsidRDefault="00245EE4" w:rsidP="00E12A58">
            <w:pPr>
              <w:pStyle w:val="TH"/>
              <w:rPr>
                <w:rFonts w:cs="Arial"/>
                <w:color w:val="000000" w:themeColor="text1"/>
                <w:sz w:val="18"/>
                <w:szCs w:val="18"/>
                <w:lang w:val="hr-HR"/>
              </w:rPr>
            </w:pPr>
            <w:r w:rsidRPr="009C411C">
              <w:rPr>
                <w:rFonts w:cs="Arial"/>
                <w:color w:val="000000" w:themeColor="text1"/>
                <w:sz w:val="18"/>
                <w:szCs w:val="18"/>
                <w:lang w:val="hr-HR"/>
              </w:rPr>
              <w:t>Banka</w:t>
            </w:r>
          </w:p>
          <w:p w14:paraId="0E7D0169" w14:textId="77777777" w:rsidR="00245EE4" w:rsidRPr="009C411C" w:rsidRDefault="00245EE4" w:rsidP="00E12A58">
            <w:pPr>
              <w:pStyle w:val="TH"/>
              <w:rPr>
                <w:rFonts w:cs="Arial"/>
                <w:color w:val="000000" w:themeColor="text1"/>
                <w:sz w:val="18"/>
                <w:szCs w:val="18"/>
                <w:lang w:val="hr-HR"/>
              </w:rPr>
            </w:pPr>
          </w:p>
          <w:p w14:paraId="6CABC99F" w14:textId="77777777" w:rsidR="00245EE4" w:rsidRPr="009C411C" w:rsidRDefault="00245EE4" w:rsidP="00E12A58">
            <w:pPr>
              <w:pStyle w:val="TH"/>
              <w:rPr>
                <w:rFonts w:cs="Arial"/>
                <w:color w:val="000000" w:themeColor="text1"/>
                <w:sz w:val="18"/>
                <w:szCs w:val="18"/>
                <w:lang w:val="hr-HR"/>
              </w:rPr>
            </w:pPr>
            <w:r w:rsidRPr="009C411C">
              <w:rPr>
                <w:rFonts w:eastAsia="Calibri" w:cs="Arial"/>
                <w:bCs/>
                <w:iCs/>
                <w:color w:val="000000" w:themeColor="text1"/>
                <w:sz w:val="18"/>
                <w:szCs w:val="18"/>
                <w:lang w:val="hr-HR"/>
              </w:rPr>
              <w:t xml:space="preserve">31. prosinca </w:t>
            </w:r>
            <w:r w:rsidRPr="009C411C">
              <w:rPr>
                <w:rFonts w:cs="Arial"/>
                <w:color w:val="000000" w:themeColor="text1"/>
                <w:sz w:val="18"/>
                <w:szCs w:val="18"/>
                <w:lang w:val="hr-HR"/>
              </w:rPr>
              <w:t>202</w:t>
            </w:r>
            <w:r>
              <w:rPr>
                <w:rFonts w:cs="Arial"/>
                <w:color w:val="000000" w:themeColor="text1"/>
                <w:sz w:val="18"/>
                <w:szCs w:val="18"/>
                <w:lang w:val="hr-HR"/>
              </w:rPr>
              <w:t>3</w:t>
            </w:r>
            <w:r w:rsidRPr="009C411C">
              <w:rPr>
                <w:rFonts w:cs="Arial"/>
                <w:color w:val="000000" w:themeColor="text1"/>
                <w:sz w:val="18"/>
                <w:szCs w:val="18"/>
                <w:lang w:val="hr-HR"/>
              </w:rPr>
              <w:t xml:space="preserve">. </w:t>
            </w:r>
          </w:p>
        </w:tc>
        <w:tc>
          <w:tcPr>
            <w:tcW w:w="625" w:type="pct"/>
            <w:vAlign w:val="bottom"/>
          </w:tcPr>
          <w:p w14:paraId="1562C69C" w14:textId="77777777" w:rsidR="00245EE4" w:rsidRPr="009C411C" w:rsidRDefault="00245EE4" w:rsidP="00E12A58">
            <w:pPr>
              <w:pStyle w:val="TH"/>
              <w:jc w:val="right"/>
              <w:rPr>
                <w:rFonts w:cs="Arial"/>
                <w:color w:val="000000" w:themeColor="text1"/>
                <w:sz w:val="18"/>
                <w:szCs w:val="18"/>
                <w:lang w:val="hr-HR"/>
              </w:rPr>
            </w:pPr>
            <w:r w:rsidRPr="009C411C">
              <w:rPr>
                <w:rFonts w:cs="Arial"/>
                <w:color w:val="000000" w:themeColor="text1"/>
                <w:sz w:val="18"/>
                <w:szCs w:val="18"/>
                <w:lang w:val="hr-HR"/>
              </w:rPr>
              <w:t>Republika Hrvatska</w:t>
            </w:r>
          </w:p>
        </w:tc>
        <w:tc>
          <w:tcPr>
            <w:tcW w:w="625" w:type="pct"/>
            <w:vAlign w:val="bottom"/>
          </w:tcPr>
          <w:p w14:paraId="096A0D3E" w14:textId="77777777" w:rsidR="00245EE4" w:rsidRPr="009C411C" w:rsidRDefault="00245EE4" w:rsidP="00E12A58">
            <w:pPr>
              <w:pStyle w:val="TH"/>
              <w:jc w:val="right"/>
              <w:rPr>
                <w:rFonts w:cs="Arial"/>
                <w:color w:val="000000" w:themeColor="text1"/>
                <w:sz w:val="18"/>
                <w:szCs w:val="18"/>
                <w:lang w:val="hr-HR"/>
              </w:rPr>
            </w:pPr>
            <w:r w:rsidRPr="009C411C">
              <w:rPr>
                <w:rFonts w:cs="Arial"/>
                <w:color w:val="000000" w:themeColor="text1"/>
                <w:sz w:val="18"/>
                <w:szCs w:val="18"/>
                <w:lang w:val="hr-HR"/>
              </w:rPr>
              <w:t>Zemlje Europske unije</w:t>
            </w:r>
          </w:p>
        </w:tc>
        <w:tc>
          <w:tcPr>
            <w:tcW w:w="625" w:type="pct"/>
            <w:vAlign w:val="bottom"/>
          </w:tcPr>
          <w:p w14:paraId="448AAA56" w14:textId="77777777" w:rsidR="00245EE4" w:rsidRPr="009C411C" w:rsidRDefault="00245EE4" w:rsidP="00E12A58">
            <w:pPr>
              <w:pStyle w:val="TH"/>
              <w:jc w:val="right"/>
              <w:rPr>
                <w:rFonts w:cs="Arial"/>
                <w:color w:val="000000" w:themeColor="text1"/>
                <w:sz w:val="18"/>
                <w:szCs w:val="18"/>
                <w:lang w:val="hr-HR"/>
              </w:rPr>
            </w:pPr>
            <w:r w:rsidRPr="009C411C">
              <w:rPr>
                <w:rFonts w:cs="Arial"/>
                <w:color w:val="000000" w:themeColor="text1"/>
                <w:sz w:val="18"/>
                <w:szCs w:val="18"/>
                <w:lang w:val="hr-HR"/>
              </w:rPr>
              <w:t xml:space="preserve">Ostale </w:t>
            </w:r>
          </w:p>
          <w:p w14:paraId="16B58288" w14:textId="77777777" w:rsidR="00245EE4" w:rsidRPr="009C411C" w:rsidRDefault="00245EE4" w:rsidP="00E12A58">
            <w:pPr>
              <w:pStyle w:val="TH"/>
              <w:jc w:val="right"/>
              <w:rPr>
                <w:rFonts w:cs="Arial"/>
                <w:color w:val="000000" w:themeColor="text1"/>
                <w:sz w:val="18"/>
                <w:szCs w:val="18"/>
                <w:lang w:val="hr-HR"/>
              </w:rPr>
            </w:pPr>
            <w:r w:rsidRPr="009C411C">
              <w:rPr>
                <w:rFonts w:cs="Arial"/>
                <w:color w:val="000000" w:themeColor="text1"/>
                <w:sz w:val="18"/>
                <w:szCs w:val="18"/>
                <w:lang w:val="hr-HR"/>
              </w:rPr>
              <w:t xml:space="preserve">zemlje </w:t>
            </w:r>
          </w:p>
        </w:tc>
        <w:tc>
          <w:tcPr>
            <w:tcW w:w="624" w:type="pct"/>
            <w:vAlign w:val="bottom"/>
          </w:tcPr>
          <w:p w14:paraId="4C5D545A" w14:textId="77777777" w:rsidR="00245EE4" w:rsidRPr="009C411C" w:rsidRDefault="00245EE4" w:rsidP="00E12A58">
            <w:pPr>
              <w:pStyle w:val="TH"/>
              <w:jc w:val="right"/>
              <w:rPr>
                <w:rFonts w:cs="Arial"/>
                <w:color w:val="000000" w:themeColor="text1"/>
                <w:sz w:val="18"/>
                <w:szCs w:val="18"/>
                <w:lang w:val="hr-HR"/>
              </w:rPr>
            </w:pPr>
            <w:r w:rsidRPr="009C411C">
              <w:rPr>
                <w:rFonts w:cs="Arial"/>
                <w:color w:val="000000" w:themeColor="text1"/>
                <w:sz w:val="18"/>
                <w:szCs w:val="18"/>
                <w:lang w:val="hr-HR"/>
              </w:rPr>
              <w:t>Ukupno</w:t>
            </w:r>
          </w:p>
        </w:tc>
      </w:tr>
      <w:tr w:rsidR="00245EE4" w:rsidRPr="009C411C" w14:paraId="7367B354" w14:textId="77777777" w:rsidTr="00E12A58">
        <w:trPr>
          <w:cantSplit/>
          <w:trHeight w:val="250"/>
          <w:tblHeader/>
        </w:trPr>
        <w:tc>
          <w:tcPr>
            <w:tcW w:w="2501" w:type="pct"/>
          </w:tcPr>
          <w:p w14:paraId="65068856" w14:textId="77777777" w:rsidR="00245EE4" w:rsidRPr="009C411C" w:rsidRDefault="00245EE4" w:rsidP="00E12A58">
            <w:pPr>
              <w:ind w:left="113" w:hanging="113"/>
              <w:rPr>
                <w:rFonts w:ascii="Arial" w:hAnsi="Arial" w:cs="Arial"/>
                <w:color w:val="000000" w:themeColor="text1"/>
                <w:sz w:val="18"/>
                <w:szCs w:val="18"/>
              </w:rPr>
            </w:pPr>
          </w:p>
        </w:tc>
        <w:tc>
          <w:tcPr>
            <w:tcW w:w="625" w:type="pct"/>
          </w:tcPr>
          <w:p w14:paraId="46A934D1" w14:textId="77777777" w:rsidR="00245EE4" w:rsidRPr="00DF6358" w:rsidRDefault="00245EE4" w:rsidP="00E12A58">
            <w:pPr>
              <w:pStyle w:val="TH"/>
              <w:jc w:val="right"/>
              <w:rPr>
                <w:rFonts w:cs="Arial"/>
                <w:color w:val="000000" w:themeColor="text1"/>
                <w:sz w:val="18"/>
                <w:szCs w:val="18"/>
                <w:lang w:val="hr-HR"/>
              </w:rPr>
            </w:pPr>
            <w:r w:rsidRPr="00DF6358">
              <w:rPr>
                <w:rFonts w:cs="Arial"/>
                <w:color w:val="000000" w:themeColor="text1"/>
                <w:sz w:val="18"/>
                <w:szCs w:val="18"/>
                <w:lang w:val="hr-HR"/>
              </w:rPr>
              <w:t>000 eura</w:t>
            </w:r>
          </w:p>
        </w:tc>
        <w:tc>
          <w:tcPr>
            <w:tcW w:w="625" w:type="pct"/>
          </w:tcPr>
          <w:p w14:paraId="645C0D24" w14:textId="77777777" w:rsidR="00245EE4" w:rsidRPr="00DF6358" w:rsidRDefault="00245EE4" w:rsidP="00E12A58">
            <w:pPr>
              <w:pStyle w:val="TH"/>
              <w:jc w:val="right"/>
              <w:rPr>
                <w:rFonts w:cs="Arial"/>
                <w:color w:val="000000" w:themeColor="text1"/>
                <w:sz w:val="18"/>
                <w:szCs w:val="18"/>
                <w:lang w:val="hr-HR"/>
              </w:rPr>
            </w:pPr>
            <w:r w:rsidRPr="00DF6358">
              <w:rPr>
                <w:rFonts w:cs="Arial"/>
                <w:color w:val="000000" w:themeColor="text1"/>
                <w:sz w:val="18"/>
                <w:szCs w:val="18"/>
                <w:lang w:val="hr-HR"/>
              </w:rPr>
              <w:t>000 eura</w:t>
            </w:r>
          </w:p>
        </w:tc>
        <w:tc>
          <w:tcPr>
            <w:tcW w:w="625" w:type="pct"/>
          </w:tcPr>
          <w:p w14:paraId="3A710867" w14:textId="77777777" w:rsidR="00245EE4" w:rsidRPr="00DF6358" w:rsidRDefault="00245EE4" w:rsidP="00E12A58">
            <w:pPr>
              <w:pStyle w:val="TH"/>
              <w:jc w:val="right"/>
              <w:rPr>
                <w:rFonts w:cs="Arial"/>
                <w:color w:val="000000" w:themeColor="text1"/>
                <w:sz w:val="18"/>
                <w:szCs w:val="18"/>
                <w:lang w:val="hr-HR"/>
              </w:rPr>
            </w:pPr>
            <w:r w:rsidRPr="00DF6358">
              <w:rPr>
                <w:rFonts w:cs="Arial"/>
                <w:color w:val="000000" w:themeColor="text1"/>
                <w:sz w:val="18"/>
                <w:szCs w:val="18"/>
                <w:lang w:val="hr-HR"/>
              </w:rPr>
              <w:t>000 eura</w:t>
            </w:r>
          </w:p>
        </w:tc>
        <w:tc>
          <w:tcPr>
            <w:tcW w:w="624" w:type="pct"/>
          </w:tcPr>
          <w:p w14:paraId="1D5C2798" w14:textId="77777777" w:rsidR="00245EE4" w:rsidRPr="00DF6358" w:rsidRDefault="00245EE4" w:rsidP="00E12A58">
            <w:pPr>
              <w:pStyle w:val="TH"/>
              <w:jc w:val="right"/>
              <w:rPr>
                <w:rFonts w:cs="Arial"/>
                <w:color w:val="000000" w:themeColor="text1"/>
                <w:sz w:val="18"/>
                <w:szCs w:val="18"/>
                <w:lang w:val="hr-HR"/>
              </w:rPr>
            </w:pPr>
            <w:r w:rsidRPr="00DF6358">
              <w:rPr>
                <w:rFonts w:cs="Arial"/>
                <w:color w:val="000000" w:themeColor="text1"/>
                <w:sz w:val="18"/>
                <w:szCs w:val="18"/>
                <w:lang w:val="hr-HR"/>
              </w:rPr>
              <w:t>000 eura</w:t>
            </w:r>
          </w:p>
        </w:tc>
      </w:tr>
      <w:tr w:rsidR="00245EE4" w:rsidRPr="009C411C" w14:paraId="07602CD7" w14:textId="77777777" w:rsidTr="00E12A58">
        <w:trPr>
          <w:cantSplit/>
          <w:trHeight w:val="250"/>
          <w:tblHeader/>
        </w:trPr>
        <w:tc>
          <w:tcPr>
            <w:tcW w:w="2501" w:type="pct"/>
          </w:tcPr>
          <w:p w14:paraId="6C5797CC" w14:textId="77777777" w:rsidR="00245EE4" w:rsidRPr="009C411C" w:rsidRDefault="00245EE4" w:rsidP="00E12A58">
            <w:pPr>
              <w:ind w:left="113" w:hanging="113"/>
              <w:rPr>
                <w:rFonts w:ascii="Arial" w:hAnsi="Arial" w:cs="Arial"/>
                <w:color w:val="000000" w:themeColor="text1"/>
                <w:sz w:val="18"/>
                <w:szCs w:val="18"/>
              </w:rPr>
            </w:pPr>
          </w:p>
        </w:tc>
        <w:tc>
          <w:tcPr>
            <w:tcW w:w="625" w:type="pct"/>
          </w:tcPr>
          <w:p w14:paraId="776757BB" w14:textId="77777777" w:rsidR="00245EE4" w:rsidRPr="009C411C" w:rsidRDefault="00245EE4" w:rsidP="00E12A58">
            <w:pPr>
              <w:jc w:val="right"/>
              <w:rPr>
                <w:rFonts w:ascii="Arial" w:hAnsi="Arial" w:cs="Arial"/>
                <w:color w:val="000000" w:themeColor="text1"/>
                <w:sz w:val="18"/>
                <w:szCs w:val="18"/>
              </w:rPr>
            </w:pPr>
          </w:p>
        </w:tc>
        <w:tc>
          <w:tcPr>
            <w:tcW w:w="625" w:type="pct"/>
          </w:tcPr>
          <w:p w14:paraId="529D8D0E" w14:textId="77777777" w:rsidR="00245EE4" w:rsidRPr="009C411C" w:rsidRDefault="00245EE4" w:rsidP="00E12A58">
            <w:pPr>
              <w:jc w:val="right"/>
              <w:rPr>
                <w:rFonts w:ascii="Arial" w:hAnsi="Arial" w:cs="Arial"/>
                <w:color w:val="000000" w:themeColor="text1"/>
                <w:sz w:val="18"/>
                <w:szCs w:val="18"/>
              </w:rPr>
            </w:pPr>
          </w:p>
        </w:tc>
        <w:tc>
          <w:tcPr>
            <w:tcW w:w="625" w:type="pct"/>
          </w:tcPr>
          <w:p w14:paraId="01393020" w14:textId="77777777" w:rsidR="00245EE4" w:rsidRPr="009C411C" w:rsidRDefault="00245EE4" w:rsidP="00E12A58">
            <w:pPr>
              <w:jc w:val="right"/>
              <w:rPr>
                <w:rFonts w:ascii="Arial" w:hAnsi="Arial" w:cs="Arial"/>
                <w:color w:val="000000" w:themeColor="text1"/>
                <w:sz w:val="18"/>
                <w:szCs w:val="18"/>
              </w:rPr>
            </w:pPr>
          </w:p>
        </w:tc>
        <w:tc>
          <w:tcPr>
            <w:tcW w:w="624" w:type="pct"/>
          </w:tcPr>
          <w:p w14:paraId="09F7ED88" w14:textId="77777777" w:rsidR="00245EE4" w:rsidRPr="009C411C" w:rsidRDefault="00245EE4" w:rsidP="00E12A58">
            <w:pPr>
              <w:jc w:val="center"/>
              <w:rPr>
                <w:rFonts w:ascii="Arial" w:hAnsi="Arial" w:cs="Arial"/>
                <w:color w:val="000000" w:themeColor="text1"/>
                <w:sz w:val="18"/>
                <w:szCs w:val="18"/>
              </w:rPr>
            </w:pPr>
          </w:p>
        </w:tc>
      </w:tr>
      <w:tr w:rsidR="00245EE4" w:rsidRPr="009C411C" w14:paraId="6EF48A58" w14:textId="77777777" w:rsidTr="00E12A58">
        <w:trPr>
          <w:cantSplit/>
          <w:trHeight w:val="92"/>
          <w:tblHeader/>
        </w:trPr>
        <w:tc>
          <w:tcPr>
            <w:tcW w:w="2501" w:type="pct"/>
          </w:tcPr>
          <w:p w14:paraId="0FA4D617" w14:textId="77777777" w:rsidR="00245EE4" w:rsidRPr="009C411C" w:rsidRDefault="00245EE4" w:rsidP="00E12A58">
            <w:pPr>
              <w:pStyle w:val="TT"/>
              <w:rPr>
                <w:rFonts w:cs="Arial"/>
                <w:b/>
                <w:bCs/>
                <w:color w:val="000000" w:themeColor="text1"/>
                <w:sz w:val="18"/>
                <w:szCs w:val="18"/>
                <w:lang w:val="hr-HR"/>
              </w:rPr>
            </w:pPr>
            <w:r w:rsidRPr="009C411C">
              <w:rPr>
                <w:rFonts w:cs="Arial"/>
                <w:b/>
                <w:bCs/>
                <w:color w:val="000000" w:themeColor="text1"/>
                <w:sz w:val="18"/>
                <w:szCs w:val="18"/>
                <w:lang w:val="hr-HR"/>
              </w:rPr>
              <w:t>Imovina</w:t>
            </w:r>
          </w:p>
        </w:tc>
        <w:tc>
          <w:tcPr>
            <w:tcW w:w="625" w:type="pct"/>
          </w:tcPr>
          <w:p w14:paraId="41B5DF00" w14:textId="77777777" w:rsidR="00245EE4" w:rsidRPr="009C411C" w:rsidRDefault="00245EE4" w:rsidP="00E12A58">
            <w:pPr>
              <w:jc w:val="right"/>
              <w:rPr>
                <w:rFonts w:ascii="Arial" w:hAnsi="Arial" w:cs="Arial"/>
                <w:color w:val="000000" w:themeColor="text1"/>
                <w:sz w:val="18"/>
                <w:szCs w:val="18"/>
              </w:rPr>
            </w:pPr>
          </w:p>
        </w:tc>
        <w:tc>
          <w:tcPr>
            <w:tcW w:w="625" w:type="pct"/>
          </w:tcPr>
          <w:p w14:paraId="7938CC64" w14:textId="77777777" w:rsidR="00245EE4" w:rsidRPr="009C411C" w:rsidRDefault="00245EE4" w:rsidP="00E12A58">
            <w:pPr>
              <w:jc w:val="right"/>
              <w:rPr>
                <w:rFonts w:ascii="Arial" w:hAnsi="Arial" w:cs="Arial"/>
                <w:color w:val="000000" w:themeColor="text1"/>
                <w:sz w:val="18"/>
                <w:szCs w:val="18"/>
              </w:rPr>
            </w:pPr>
          </w:p>
        </w:tc>
        <w:tc>
          <w:tcPr>
            <w:tcW w:w="625" w:type="pct"/>
          </w:tcPr>
          <w:p w14:paraId="13060221" w14:textId="77777777" w:rsidR="00245EE4" w:rsidRPr="009C411C" w:rsidRDefault="00245EE4" w:rsidP="00E12A58">
            <w:pPr>
              <w:jc w:val="right"/>
              <w:rPr>
                <w:rFonts w:ascii="Arial" w:hAnsi="Arial" w:cs="Arial"/>
                <w:color w:val="000000" w:themeColor="text1"/>
                <w:sz w:val="18"/>
                <w:szCs w:val="18"/>
              </w:rPr>
            </w:pPr>
          </w:p>
        </w:tc>
        <w:tc>
          <w:tcPr>
            <w:tcW w:w="624" w:type="pct"/>
          </w:tcPr>
          <w:p w14:paraId="688C71BF" w14:textId="77777777" w:rsidR="00245EE4" w:rsidRPr="009C411C" w:rsidRDefault="00245EE4" w:rsidP="00E12A58">
            <w:pPr>
              <w:jc w:val="center"/>
              <w:rPr>
                <w:rFonts w:ascii="Arial" w:hAnsi="Arial" w:cs="Arial"/>
                <w:color w:val="000000" w:themeColor="text1"/>
                <w:sz w:val="18"/>
                <w:szCs w:val="18"/>
              </w:rPr>
            </w:pPr>
          </w:p>
        </w:tc>
      </w:tr>
      <w:tr w:rsidR="00245EE4" w:rsidRPr="009C411C" w14:paraId="1AFB63C7" w14:textId="77777777" w:rsidTr="00E12A58">
        <w:trPr>
          <w:cantSplit/>
          <w:trHeight w:val="250"/>
          <w:tblHeader/>
        </w:trPr>
        <w:tc>
          <w:tcPr>
            <w:tcW w:w="2501" w:type="pct"/>
            <w:vAlign w:val="bottom"/>
          </w:tcPr>
          <w:p w14:paraId="366C49A1" w14:textId="77777777" w:rsidR="00245EE4" w:rsidRPr="009C411C" w:rsidRDefault="00245EE4" w:rsidP="00E12A58">
            <w:pPr>
              <w:pStyle w:val="TT"/>
              <w:rPr>
                <w:rFonts w:cs="Arial"/>
                <w:color w:val="000000" w:themeColor="text1"/>
                <w:sz w:val="18"/>
                <w:szCs w:val="18"/>
                <w:lang w:val="hr-HR"/>
              </w:rPr>
            </w:pPr>
            <w:r w:rsidRPr="009C411C">
              <w:rPr>
                <w:rFonts w:cs="Arial"/>
                <w:color w:val="000000" w:themeColor="text1"/>
                <w:sz w:val="18"/>
                <w:szCs w:val="18"/>
                <w:lang w:val="hr-HR"/>
              </w:rPr>
              <w:t>Novčana sredstva i računi kod banaka</w:t>
            </w:r>
          </w:p>
        </w:tc>
        <w:tc>
          <w:tcPr>
            <w:tcW w:w="625" w:type="pct"/>
            <w:tcBorders>
              <w:top w:val="nil"/>
              <w:left w:val="nil"/>
              <w:bottom w:val="nil"/>
              <w:right w:val="nil"/>
            </w:tcBorders>
            <w:shd w:val="clear" w:color="auto" w:fill="auto"/>
            <w:vAlign w:val="bottom"/>
          </w:tcPr>
          <w:p w14:paraId="73518279" w14:textId="77777777" w:rsidR="00245EE4" w:rsidRPr="009C411C" w:rsidRDefault="00245EE4" w:rsidP="00E12A58">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41.238 </w:t>
            </w:r>
          </w:p>
        </w:tc>
        <w:tc>
          <w:tcPr>
            <w:tcW w:w="625" w:type="pct"/>
            <w:tcBorders>
              <w:top w:val="nil"/>
              <w:left w:val="nil"/>
              <w:bottom w:val="nil"/>
              <w:right w:val="nil"/>
            </w:tcBorders>
            <w:shd w:val="clear" w:color="auto" w:fill="auto"/>
            <w:vAlign w:val="bottom"/>
          </w:tcPr>
          <w:p w14:paraId="190745C2" w14:textId="77777777" w:rsidR="00245EE4" w:rsidRPr="009C411C" w:rsidRDefault="00245EE4" w:rsidP="00E12A58">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215 </w:t>
            </w:r>
          </w:p>
        </w:tc>
        <w:tc>
          <w:tcPr>
            <w:tcW w:w="625" w:type="pct"/>
            <w:tcBorders>
              <w:top w:val="nil"/>
              <w:left w:val="nil"/>
              <w:bottom w:val="nil"/>
              <w:right w:val="nil"/>
            </w:tcBorders>
            <w:shd w:val="clear" w:color="auto" w:fill="auto"/>
            <w:vAlign w:val="bottom"/>
          </w:tcPr>
          <w:p w14:paraId="470BE93C" w14:textId="77777777" w:rsidR="00245EE4" w:rsidRPr="009C411C" w:rsidRDefault="00245EE4" w:rsidP="00E12A58">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90 </w:t>
            </w:r>
          </w:p>
        </w:tc>
        <w:tc>
          <w:tcPr>
            <w:tcW w:w="624" w:type="pct"/>
            <w:tcBorders>
              <w:top w:val="nil"/>
              <w:left w:val="nil"/>
              <w:bottom w:val="nil"/>
              <w:right w:val="nil"/>
            </w:tcBorders>
            <w:shd w:val="clear" w:color="auto" w:fill="auto"/>
            <w:vAlign w:val="bottom"/>
          </w:tcPr>
          <w:p w14:paraId="2EFF80C2" w14:textId="77777777" w:rsidR="00245EE4" w:rsidRPr="009C411C" w:rsidRDefault="00245EE4" w:rsidP="00E12A58">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41.543 </w:t>
            </w:r>
          </w:p>
        </w:tc>
      </w:tr>
      <w:tr w:rsidR="00245EE4" w:rsidRPr="009C411C" w14:paraId="75C6AE53" w14:textId="77777777" w:rsidTr="00E12A58">
        <w:trPr>
          <w:cantSplit/>
          <w:trHeight w:val="250"/>
          <w:tblHeader/>
        </w:trPr>
        <w:tc>
          <w:tcPr>
            <w:tcW w:w="2501" w:type="pct"/>
            <w:vAlign w:val="bottom"/>
          </w:tcPr>
          <w:p w14:paraId="392F7FD7" w14:textId="77777777" w:rsidR="00245EE4" w:rsidRPr="009C411C" w:rsidRDefault="00245EE4" w:rsidP="00E12A58">
            <w:pPr>
              <w:pStyle w:val="TT"/>
              <w:rPr>
                <w:rFonts w:cs="Arial"/>
                <w:color w:val="000000" w:themeColor="text1"/>
                <w:sz w:val="18"/>
                <w:szCs w:val="18"/>
                <w:lang w:val="hr-HR"/>
              </w:rPr>
            </w:pPr>
            <w:r w:rsidRPr="009C411C">
              <w:rPr>
                <w:rFonts w:cs="Arial"/>
                <w:color w:val="000000" w:themeColor="text1"/>
                <w:sz w:val="18"/>
                <w:szCs w:val="18"/>
                <w:lang w:val="hr-HR"/>
              </w:rPr>
              <w:t>Depoziti kod drugih banaka</w:t>
            </w:r>
          </w:p>
        </w:tc>
        <w:tc>
          <w:tcPr>
            <w:tcW w:w="625" w:type="pct"/>
            <w:tcBorders>
              <w:top w:val="nil"/>
              <w:left w:val="nil"/>
              <w:bottom w:val="nil"/>
              <w:right w:val="nil"/>
            </w:tcBorders>
            <w:shd w:val="clear" w:color="auto" w:fill="auto"/>
            <w:vAlign w:val="bottom"/>
          </w:tcPr>
          <w:p w14:paraId="6E483DEF" w14:textId="77777777" w:rsidR="00245EE4" w:rsidRPr="009C411C" w:rsidRDefault="00245EE4" w:rsidP="00E12A58">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35.814 </w:t>
            </w:r>
          </w:p>
        </w:tc>
        <w:tc>
          <w:tcPr>
            <w:tcW w:w="625" w:type="pct"/>
            <w:tcBorders>
              <w:top w:val="nil"/>
              <w:left w:val="nil"/>
              <w:bottom w:val="nil"/>
              <w:right w:val="nil"/>
            </w:tcBorders>
            <w:shd w:val="clear" w:color="auto" w:fill="auto"/>
            <w:vAlign w:val="bottom"/>
          </w:tcPr>
          <w:p w14:paraId="647CEA11" w14:textId="77777777" w:rsidR="00245EE4" w:rsidRPr="009C411C" w:rsidRDefault="00245EE4" w:rsidP="00E12A58">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33.642 </w:t>
            </w:r>
          </w:p>
        </w:tc>
        <w:tc>
          <w:tcPr>
            <w:tcW w:w="625" w:type="pct"/>
            <w:tcBorders>
              <w:top w:val="nil"/>
              <w:left w:val="nil"/>
              <w:bottom w:val="nil"/>
              <w:right w:val="nil"/>
            </w:tcBorders>
            <w:shd w:val="clear" w:color="auto" w:fill="auto"/>
            <w:vAlign w:val="bottom"/>
          </w:tcPr>
          <w:p w14:paraId="272C6BEA" w14:textId="77777777" w:rsidR="00245EE4" w:rsidRPr="009C411C" w:rsidRDefault="00245EE4" w:rsidP="00E12A58">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   </w:t>
            </w:r>
          </w:p>
        </w:tc>
        <w:tc>
          <w:tcPr>
            <w:tcW w:w="624" w:type="pct"/>
            <w:tcBorders>
              <w:top w:val="nil"/>
              <w:left w:val="nil"/>
              <w:bottom w:val="nil"/>
              <w:right w:val="nil"/>
            </w:tcBorders>
            <w:shd w:val="clear" w:color="auto" w:fill="auto"/>
            <w:vAlign w:val="bottom"/>
          </w:tcPr>
          <w:p w14:paraId="6E34AC66" w14:textId="77777777" w:rsidR="00245EE4" w:rsidRPr="009C411C" w:rsidRDefault="00245EE4" w:rsidP="00E12A58">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69.456 </w:t>
            </w:r>
          </w:p>
        </w:tc>
      </w:tr>
      <w:tr w:rsidR="00245EE4" w:rsidRPr="009C411C" w14:paraId="700556B3" w14:textId="77777777" w:rsidTr="00E12A58">
        <w:trPr>
          <w:cantSplit/>
          <w:trHeight w:val="250"/>
          <w:tblHeader/>
        </w:trPr>
        <w:tc>
          <w:tcPr>
            <w:tcW w:w="2501" w:type="pct"/>
            <w:vAlign w:val="bottom"/>
          </w:tcPr>
          <w:p w14:paraId="621AAE4C" w14:textId="77777777" w:rsidR="00245EE4" w:rsidRPr="009C411C" w:rsidRDefault="00245EE4" w:rsidP="00E12A58">
            <w:pPr>
              <w:pStyle w:val="TT"/>
              <w:rPr>
                <w:rFonts w:cs="Arial"/>
                <w:color w:val="000000" w:themeColor="text1"/>
                <w:sz w:val="18"/>
                <w:szCs w:val="18"/>
                <w:lang w:val="hr-HR"/>
              </w:rPr>
            </w:pPr>
            <w:r w:rsidRPr="009C411C">
              <w:rPr>
                <w:rFonts w:cs="Arial"/>
                <w:color w:val="000000" w:themeColor="text1"/>
                <w:sz w:val="18"/>
                <w:szCs w:val="18"/>
                <w:lang w:val="hr-HR"/>
              </w:rPr>
              <w:t>Krediti financijskim institucijama</w:t>
            </w:r>
          </w:p>
        </w:tc>
        <w:tc>
          <w:tcPr>
            <w:tcW w:w="625" w:type="pct"/>
            <w:tcBorders>
              <w:top w:val="nil"/>
              <w:left w:val="nil"/>
              <w:bottom w:val="nil"/>
              <w:right w:val="nil"/>
            </w:tcBorders>
            <w:shd w:val="clear" w:color="auto" w:fill="auto"/>
            <w:vAlign w:val="bottom"/>
          </w:tcPr>
          <w:p w14:paraId="349D7519" w14:textId="77777777" w:rsidR="00245EE4" w:rsidRPr="009C411C" w:rsidRDefault="00245EE4" w:rsidP="00E12A58">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1.248.881 </w:t>
            </w:r>
          </w:p>
        </w:tc>
        <w:tc>
          <w:tcPr>
            <w:tcW w:w="625" w:type="pct"/>
            <w:tcBorders>
              <w:top w:val="nil"/>
              <w:left w:val="nil"/>
              <w:bottom w:val="nil"/>
              <w:right w:val="nil"/>
            </w:tcBorders>
            <w:shd w:val="clear" w:color="auto" w:fill="auto"/>
            <w:vAlign w:val="bottom"/>
          </w:tcPr>
          <w:p w14:paraId="17A2119B" w14:textId="77777777" w:rsidR="00245EE4" w:rsidRPr="009C411C" w:rsidRDefault="00245EE4" w:rsidP="00E12A58">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   </w:t>
            </w:r>
          </w:p>
        </w:tc>
        <w:tc>
          <w:tcPr>
            <w:tcW w:w="625" w:type="pct"/>
            <w:tcBorders>
              <w:top w:val="nil"/>
              <w:left w:val="nil"/>
              <w:bottom w:val="nil"/>
              <w:right w:val="nil"/>
            </w:tcBorders>
            <w:shd w:val="clear" w:color="auto" w:fill="auto"/>
            <w:vAlign w:val="bottom"/>
          </w:tcPr>
          <w:p w14:paraId="3F8A32C3" w14:textId="77777777" w:rsidR="00245EE4" w:rsidRPr="009C411C" w:rsidRDefault="00245EE4" w:rsidP="00E12A58">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   </w:t>
            </w:r>
          </w:p>
        </w:tc>
        <w:tc>
          <w:tcPr>
            <w:tcW w:w="624" w:type="pct"/>
            <w:tcBorders>
              <w:top w:val="nil"/>
              <w:left w:val="nil"/>
              <w:bottom w:val="nil"/>
              <w:right w:val="nil"/>
            </w:tcBorders>
            <w:shd w:val="clear" w:color="auto" w:fill="auto"/>
            <w:vAlign w:val="bottom"/>
          </w:tcPr>
          <w:p w14:paraId="33CA394F" w14:textId="77777777" w:rsidR="00245EE4" w:rsidRPr="009C411C" w:rsidRDefault="00245EE4" w:rsidP="00E12A58">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1.248.881 </w:t>
            </w:r>
          </w:p>
        </w:tc>
      </w:tr>
      <w:tr w:rsidR="00245EE4" w:rsidRPr="009C411C" w14:paraId="620C47EB" w14:textId="77777777" w:rsidTr="00E12A58">
        <w:trPr>
          <w:cantSplit/>
          <w:trHeight w:val="250"/>
          <w:tblHeader/>
        </w:trPr>
        <w:tc>
          <w:tcPr>
            <w:tcW w:w="2501" w:type="pct"/>
            <w:vAlign w:val="bottom"/>
          </w:tcPr>
          <w:p w14:paraId="17DC0A6A" w14:textId="77777777" w:rsidR="00245EE4" w:rsidRPr="009C411C" w:rsidRDefault="00245EE4" w:rsidP="00E12A58">
            <w:pPr>
              <w:pStyle w:val="TT"/>
              <w:rPr>
                <w:rFonts w:cs="Arial"/>
                <w:color w:val="000000" w:themeColor="text1"/>
                <w:sz w:val="18"/>
                <w:szCs w:val="18"/>
                <w:lang w:val="hr-HR"/>
              </w:rPr>
            </w:pPr>
            <w:r w:rsidRPr="009C411C">
              <w:rPr>
                <w:rFonts w:cs="Arial"/>
                <w:color w:val="000000" w:themeColor="text1"/>
                <w:sz w:val="18"/>
                <w:szCs w:val="18"/>
                <w:lang w:val="hr-HR"/>
              </w:rPr>
              <w:t>Krediti ostalim korisnicima</w:t>
            </w:r>
          </w:p>
        </w:tc>
        <w:tc>
          <w:tcPr>
            <w:tcW w:w="625" w:type="pct"/>
            <w:tcBorders>
              <w:top w:val="nil"/>
              <w:left w:val="nil"/>
              <w:bottom w:val="nil"/>
              <w:right w:val="nil"/>
            </w:tcBorders>
            <w:shd w:val="clear" w:color="auto" w:fill="auto"/>
            <w:vAlign w:val="bottom"/>
          </w:tcPr>
          <w:p w14:paraId="6F8841DF" w14:textId="77777777" w:rsidR="00245EE4" w:rsidRPr="009C411C" w:rsidRDefault="00245EE4" w:rsidP="00E12A58">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2.351.196 </w:t>
            </w:r>
          </w:p>
        </w:tc>
        <w:tc>
          <w:tcPr>
            <w:tcW w:w="625" w:type="pct"/>
            <w:tcBorders>
              <w:top w:val="nil"/>
              <w:left w:val="nil"/>
              <w:bottom w:val="nil"/>
              <w:right w:val="nil"/>
            </w:tcBorders>
            <w:shd w:val="clear" w:color="auto" w:fill="auto"/>
            <w:vAlign w:val="bottom"/>
          </w:tcPr>
          <w:p w14:paraId="5953FF26" w14:textId="77777777" w:rsidR="00245EE4" w:rsidRPr="009C411C" w:rsidRDefault="00245EE4" w:rsidP="00E12A58">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   </w:t>
            </w:r>
          </w:p>
        </w:tc>
        <w:tc>
          <w:tcPr>
            <w:tcW w:w="625" w:type="pct"/>
            <w:tcBorders>
              <w:top w:val="nil"/>
              <w:left w:val="nil"/>
              <w:bottom w:val="nil"/>
              <w:right w:val="nil"/>
            </w:tcBorders>
            <w:shd w:val="clear" w:color="auto" w:fill="auto"/>
            <w:vAlign w:val="bottom"/>
          </w:tcPr>
          <w:p w14:paraId="06702774" w14:textId="77777777" w:rsidR="00245EE4" w:rsidRPr="009C411C" w:rsidRDefault="00245EE4" w:rsidP="00E12A58">
            <w:pPr>
              <w:pStyle w:val="TT"/>
              <w:jc w:val="right"/>
              <w:rPr>
                <w:rFonts w:cs="Arial"/>
                <w:color w:val="000000" w:themeColor="text1"/>
                <w:sz w:val="18"/>
                <w:szCs w:val="18"/>
                <w:lang w:val="hr-HR"/>
              </w:rPr>
            </w:pPr>
          </w:p>
        </w:tc>
        <w:tc>
          <w:tcPr>
            <w:tcW w:w="624" w:type="pct"/>
            <w:tcBorders>
              <w:top w:val="nil"/>
              <w:left w:val="nil"/>
              <w:bottom w:val="nil"/>
              <w:right w:val="nil"/>
            </w:tcBorders>
            <w:shd w:val="clear" w:color="auto" w:fill="auto"/>
            <w:vAlign w:val="bottom"/>
          </w:tcPr>
          <w:p w14:paraId="17A64E08" w14:textId="77777777" w:rsidR="00245EE4" w:rsidRPr="009C411C" w:rsidRDefault="00245EE4" w:rsidP="00E12A58">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2.351.196 </w:t>
            </w:r>
          </w:p>
        </w:tc>
      </w:tr>
      <w:tr w:rsidR="00245EE4" w:rsidRPr="009C411C" w14:paraId="317A259B" w14:textId="77777777" w:rsidTr="00E12A58">
        <w:trPr>
          <w:cantSplit/>
          <w:trHeight w:val="250"/>
          <w:tblHeader/>
        </w:trPr>
        <w:tc>
          <w:tcPr>
            <w:tcW w:w="2501" w:type="pct"/>
            <w:vAlign w:val="bottom"/>
          </w:tcPr>
          <w:p w14:paraId="0C2FF95C" w14:textId="77777777" w:rsidR="00245EE4" w:rsidRPr="009C411C" w:rsidRDefault="00245EE4" w:rsidP="00E12A58">
            <w:pPr>
              <w:pStyle w:val="TT"/>
              <w:rPr>
                <w:rFonts w:cs="Arial"/>
                <w:color w:val="000000" w:themeColor="text1"/>
                <w:sz w:val="18"/>
                <w:szCs w:val="18"/>
                <w:lang w:val="hr-HR"/>
              </w:rPr>
            </w:pPr>
            <w:r w:rsidRPr="009C411C">
              <w:rPr>
                <w:rFonts w:cs="Arial"/>
                <w:color w:val="000000" w:themeColor="text1"/>
                <w:sz w:val="18"/>
                <w:szCs w:val="18"/>
                <w:lang w:val="hr-HR"/>
              </w:rPr>
              <w:t>Financijska imovina po fer vrijednosti kroz dobit ili gubitak</w:t>
            </w:r>
          </w:p>
        </w:tc>
        <w:tc>
          <w:tcPr>
            <w:tcW w:w="625" w:type="pct"/>
            <w:tcBorders>
              <w:top w:val="nil"/>
              <w:left w:val="nil"/>
              <w:bottom w:val="nil"/>
              <w:right w:val="nil"/>
            </w:tcBorders>
            <w:shd w:val="clear" w:color="auto" w:fill="auto"/>
            <w:vAlign w:val="bottom"/>
          </w:tcPr>
          <w:p w14:paraId="277E02FC" w14:textId="77777777" w:rsidR="00245EE4" w:rsidRPr="009C411C" w:rsidRDefault="00245EE4" w:rsidP="00E12A58">
            <w:pPr>
              <w:pStyle w:val="TT"/>
              <w:jc w:val="right"/>
              <w:rPr>
                <w:rFonts w:cs="Arial"/>
                <w:color w:val="000000" w:themeColor="text1"/>
                <w:sz w:val="18"/>
                <w:szCs w:val="18"/>
                <w:lang w:val="hr-HR"/>
              </w:rPr>
            </w:pPr>
            <w:r w:rsidRPr="00F959D0">
              <w:rPr>
                <w:rFonts w:cs="Arial"/>
                <w:color w:val="000000" w:themeColor="text1"/>
                <w:sz w:val="18"/>
                <w:szCs w:val="18"/>
                <w:lang w:val="hr-HR"/>
              </w:rPr>
              <w:t>33.709</w:t>
            </w:r>
          </w:p>
        </w:tc>
        <w:tc>
          <w:tcPr>
            <w:tcW w:w="625" w:type="pct"/>
            <w:tcBorders>
              <w:top w:val="nil"/>
              <w:left w:val="nil"/>
              <w:bottom w:val="nil"/>
              <w:right w:val="nil"/>
            </w:tcBorders>
            <w:shd w:val="clear" w:color="auto" w:fill="auto"/>
            <w:vAlign w:val="bottom"/>
          </w:tcPr>
          <w:p w14:paraId="284538BE" w14:textId="77777777" w:rsidR="00245EE4" w:rsidRPr="009C411C" w:rsidRDefault="00245EE4" w:rsidP="00E12A58">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   </w:t>
            </w:r>
          </w:p>
        </w:tc>
        <w:tc>
          <w:tcPr>
            <w:tcW w:w="625" w:type="pct"/>
            <w:tcBorders>
              <w:top w:val="nil"/>
              <w:left w:val="nil"/>
              <w:bottom w:val="nil"/>
              <w:right w:val="nil"/>
            </w:tcBorders>
            <w:shd w:val="clear" w:color="auto" w:fill="auto"/>
            <w:vAlign w:val="bottom"/>
          </w:tcPr>
          <w:p w14:paraId="029E9789" w14:textId="77777777" w:rsidR="00245EE4" w:rsidRPr="009C411C" w:rsidRDefault="00245EE4" w:rsidP="00E12A58">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   </w:t>
            </w:r>
          </w:p>
        </w:tc>
        <w:tc>
          <w:tcPr>
            <w:tcW w:w="624" w:type="pct"/>
            <w:tcBorders>
              <w:top w:val="nil"/>
              <w:left w:val="nil"/>
              <w:bottom w:val="nil"/>
              <w:right w:val="nil"/>
            </w:tcBorders>
            <w:shd w:val="clear" w:color="auto" w:fill="auto"/>
            <w:vAlign w:val="bottom"/>
          </w:tcPr>
          <w:p w14:paraId="19281353" w14:textId="77777777" w:rsidR="00245EE4" w:rsidRPr="009C411C" w:rsidRDefault="00245EE4" w:rsidP="00E12A58">
            <w:pPr>
              <w:pStyle w:val="TT"/>
              <w:jc w:val="right"/>
              <w:rPr>
                <w:rFonts w:cs="Arial"/>
                <w:color w:val="000000" w:themeColor="text1"/>
                <w:sz w:val="18"/>
                <w:szCs w:val="18"/>
                <w:lang w:val="hr-HR"/>
              </w:rPr>
            </w:pPr>
            <w:r w:rsidRPr="00F959D0">
              <w:rPr>
                <w:rFonts w:cs="Arial"/>
                <w:color w:val="000000" w:themeColor="text1"/>
                <w:sz w:val="18"/>
                <w:szCs w:val="18"/>
                <w:lang w:val="hr-HR"/>
              </w:rPr>
              <w:t>33.709</w:t>
            </w:r>
          </w:p>
        </w:tc>
      </w:tr>
      <w:tr w:rsidR="00245EE4" w:rsidRPr="009C411C" w14:paraId="511CBFBD" w14:textId="77777777" w:rsidTr="00E12A58">
        <w:trPr>
          <w:cantSplit/>
          <w:trHeight w:val="250"/>
          <w:tblHeader/>
        </w:trPr>
        <w:tc>
          <w:tcPr>
            <w:tcW w:w="2501" w:type="pct"/>
          </w:tcPr>
          <w:p w14:paraId="36017C9B" w14:textId="77777777" w:rsidR="00245EE4" w:rsidRPr="009C411C" w:rsidRDefault="00245EE4" w:rsidP="00E12A58">
            <w:pPr>
              <w:pStyle w:val="TT"/>
              <w:rPr>
                <w:rFonts w:cs="Arial"/>
                <w:color w:val="000000" w:themeColor="text1"/>
                <w:sz w:val="18"/>
                <w:szCs w:val="18"/>
                <w:lang w:val="hr-HR"/>
              </w:rPr>
            </w:pPr>
            <w:r w:rsidRPr="009C411C">
              <w:rPr>
                <w:rFonts w:cs="Arial"/>
                <w:color w:val="000000" w:themeColor="text1"/>
                <w:sz w:val="18"/>
                <w:szCs w:val="18"/>
                <w:lang w:val="hr-HR"/>
              </w:rPr>
              <w:t xml:space="preserve">Financijska imovina po fer vrijednosti kroz ostalu sveobuhvatnu dobit        </w:t>
            </w:r>
          </w:p>
        </w:tc>
        <w:tc>
          <w:tcPr>
            <w:tcW w:w="625" w:type="pct"/>
            <w:tcBorders>
              <w:top w:val="nil"/>
              <w:left w:val="nil"/>
              <w:right w:val="nil"/>
            </w:tcBorders>
            <w:shd w:val="clear" w:color="auto" w:fill="auto"/>
            <w:vAlign w:val="bottom"/>
          </w:tcPr>
          <w:p w14:paraId="72162338" w14:textId="77777777" w:rsidR="00245EE4" w:rsidRPr="009C411C" w:rsidRDefault="00245EE4" w:rsidP="00E12A58">
            <w:pPr>
              <w:pStyle w:val="TT"/>
              <w:jc w:val="right"/>
              <w:rPr>
                <w:rFonts w:cs="Arial"/>
                <w:color w:val="000000" w:themeColor="text1"/>
                <w:sz w:val="18"/>
                <w:szCs w:val="18"/>
                <w:lang w:val="hr-HR"/>
              </w:rPr>
            </w:pPr>
            <w:r w:rsidRPr="00F959D0">
              <w:rPr>
                <w:rFonts w:cs="Arial"/>
                <w:color w:val="000000" w:themeColor="text1"/>
                <w:sz w:val="18"/>
                <w:szCs w:val="18"/>
                <w:lang w:val="hr-HR"/>
              </w:rPr>
              <w:t>220.898</w:t>
            </w:r>
          </w:p>
        </w:tc>
        <w:tc>
          <w:tcPr>
            <w:tcW w:w="625" w:type="pct"/>
            <w:tcBorders>
              <w:top w:val="nil"/>
              <w:left w:val="nil"/>
              <w:right w:val="nil"/>
            </w:tcBorders>
            <w:shd w:val="clear" w:color="auto" w:fill="auto"/>
            <w:vAlign w:val="bottom"/>
          </w:tcPr>
          <w:p w14:paraId="5651FE2C" w14:textId="77777777" w:rsidR="00245EE4" w:rsidRPr="009C411C" w:rsidRDefault="00245EE4" w:rsidP="00E12A58">
            <w:pPr>
              <w:pStyle w:val="TT"/>
              <w:jc w:val="right"/>
              <w:rPr>
                <w:rFonts w:cs="Arial"/>
                <w:color w:val="000000" w:themeColor="text1"/>
                <w:sz w:val="18"/>
                <w:szCs w:val="18"/>
                <w:lang w:val="hr-HR"/>
              </w:rPr>
            </w:pPr>
            <w:r w:rsidRPr="00F959D0">
              <w:rPr>
                <w:rFonts w:cs="Arial"/>
                <w:color w:val="000000" w:themeColor="text1"/>
                <w:sz w:val="18"/>
                <w:szCs w:val="18"/>
                <w:lang w:val="hr-HR"/>
              </w:rPr>
              <w:t>195</w:t>
            </w:r>
          </w:p>
        </w:tc>
        <w:tc>
          <w:tcPr>
            <w:tcW w:w="625" w:type="pct"/>
            <w:tcBorders>
              <w:top w:val="nil"/>
              <w:left w:val="nil"/>
              <w:right w:val="nil"/>
            </w:tcBorders>
            <w:shd w:val="clear" w:color="auto" w:fill="auto"/>
            <w:vAlign w:val="bottom"/>
          </w:tcPr>
          <w:p w14:paraId="2290CE4E" w14:textId="77777777" w:rsidR="00245EE4" w:rsidRPr="009C411C" w:rsidRDefault="00245EE4" w:rsidP="00E12A58">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   </w:t>
            </w:r>
          </w:p>
        </w:tc>
        <w:tc>
          <w:tcPr>
            <w:tcW w:w="624" w:type="pct"/>
            <w:tcBorders>
              <w:top w:val="nil"/>
              <w:left w:val="nil"/>
              <w:right w:val="nil"/>
            </w:tcBorders>
            <w:shd w:val="clear" w:color="auto" w:fill="auto"/>
            <w:vAlign w:val="bottom"/>
          </w:tcPr>
          <w:p w14:paraId="28474487" w14:textId="77777777" w:rsidR="00245EE4" w:rsidRPr="009C411C" w:rsidRDefault="00245EE4" w:rsidP="00E12A58">
            <w:pPr>
              <w:pStyle w:val="TT"/>
              <w:jc w:val="right"/>
              <w:rPr>
                <w:rFonts w:cs="Arial"/>
                <w:color w:val="000000" w:themeColor="text1"/>
                <w:sz w:val="18"/>
                <w:szCs w:val="18"/>
                <w:lang w:val="hr-HR"/>
              </w:rPr>
            </w:pPr>
            <w:r w:rsidRPr="00F959D0">
              <w:rPr>
                <w:rFonts w:cs="Arial"/>
                <w:color w:val="000000" w:themeColor="text1"/>
                <w:sz w:val="18"/>
                <w:szCs w:val="18"/>
                <w:lang w:val="hr-HR"/>
              </w:rPr>
              <w:t>221.093</w:t>
            </w:r>
          </w:p>
        </w:tc>
      </w:tr>
      <w:tr w:rsidR="00245EE4" w:rsidRPr="009C411C" w14:paraId="4BD2F248" w14:textId="77777777" w:rsidTr="00E12A58">
        <w:trPr>
          <w:cantSplit/>
          <w:trHeight w:val="250"/>
          <w:tblHeader/>
        </w:trPr>
        <w:tc>
          <w:tcPr>
            <w:tcW w:w="2501" w:type="pct"/>
            <w:vAlign w:val="bottom"/>
          </w:tcPr>
          <w:p w14:paraId="56F4A78D" w14:textId="77777777" w:rsidR="00245EE4" w:rsidRPr="009C411C" w:rsidRDefault="00245EE4" w:rsidP="00E12A58">
            <w:pPr>
              <w:pStyle w:val="TT"/>
              <w:rPr>
                <w:rFonts w:cs="Arial"/>
                <w:color w:val="000000" w:themeColor="text1"/>
                <w:sz w:val="18"/>
                <w:szCs w:val="18"/>
                <w:lang w:val="hr-HR"/>
              </w:rPr>
            </w:pPr>
            <w:r w:rsidRPr="009C411C">
              <w:rPr>
                <w:rFonts w:cs="Arial"/>
                <w:color w:val="000000" w:themeColor="text1"/>
                <w:sz w:val="18"/>
                <w:szCs w:val="18"/>
                <w:lang w:val="hr-HR"/>
              </w:rPr>
              <w:t>Ostala imovina</w:t>
            </w:r>
          </w:p>
        </w:tc>
        <w:tc>
          <w:tcPr>
            <w:tcW w:w="625" w:type="pct"/>
            <w:tcBorders>
              <w:top w:val="nil"/>
              <w:left w:val="nil"/>
              <w:bottom w:val="single" w:sz="6" w:space="0" w:color="auto"/>
              <w:right w:val="nil"/>
            </w:tcBorders>
            <w:shd w:val="clear" w:color="auto" w:fill="auto"/>
            <w:vAlign w:val="bottom"/>
          </w:tcPr>
          <w:p w14:paraId="02CCA9AA" w14:textId="77777777" w:rsidR="00245EE4" w:rsidRPr="009C411C" w:rsidRDefault="00245EE4" w:rsidP="00E12A58">
            <w:pPr>
              <w:pStyle w:val="TT"/>
              <w:jc w:val="right"/>
              <w:rPr>
                <w:rFonts w:cs="Arial"/>
                <w:color w:val="000000" w:themeColor="text1"/>
                <w:sz w:val="18"/>
                <w:szCs w:val="18"/>
                <w:lang w:val="hr-HR"/>
              </w:rPr>
            </w:pPr>
            <w:r w:rsidRPr="00F959D0">
              <w:rPr>
                <w:rFonts w:cs="Arial"/>
                <w:color w:val="000000" w:themeColor="text1"/>
                <w:sz w:val="18"/>
                <w:szCs w:val="18"/>
                <w:lang w:val="hr-HR"/>
              </w:rPr>
              <w:t>393</w:t>
            </w:r>
          </w:p>
        </w:tc>
        <w:tc>
          <w:tcPr>
            <w:tcW w:w="625" w:type="pct"/>
            <w:tcBorders>
              <w:top w:val="nil"/>
              <w:left w:val="nil"/>
              <w:bottom w:val="single" w:sz="6" w:space="0" w:color="auto"/>
              <w:right w:val="nil"/>
            </w:tcBorders>
            <w:shd w:val="clear" w:color="auto" w:fill="auto"/>
            <w:vAlign w:val="bottom"/>
          </w:tcPr>
          <w:p w14:paraId="00957F48" w14:textId="77777777" w:rsidR="00245EE4" w:rsidRPr="009C411C" w:rsidRDefault="00245EE4" w:rsidP="00E12A58">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683 </w:t>
            </w:r>
          </w:p>
        </w:tc>
        <w:tc>
          <w:tcPr>
            <w:tcW w:w="625" w:type="pct"/>
            <w:tcBorders>
              <w:top w:val="nil"/>
              <w:left w:val="nil"/>
              <w:bottom w:val="single" w:sz="6" w:space="0" w:color="auto"/>
              <w:right w:val="nil"/>
            </w:tcBorders>
            <w:shd w:val="clear" w:color="auto" w:fill="auto"/>
            <w:vAlign w:val="bottom"/>
          </w:tcPr>
          <w:p w14:paraId="02409A32" w14:textId="77777777" w:rsidR="00245EE4" w:rsidRPr="009C411C" w:rsidRDefault="00245EE4" w:rsidP="00E12A58">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4 </w:t>
            </w:r>
          </w:p>
        </w:tc>
        <w:tc>
          <w:tcPr>
            <w:tcW w:w="624" w:type="pct"/>
            <w:tcBorders>
              <w:top w:val="nil"/>
              <w:left w:val="nil"/>
              <w:bottom w:val="single" w:sz="6" w:space="0" w:color="auto"/>
              <w:right w:val="nil"/>
            </w:tcBorders>
            <w:shd w:val="clear" w:color="auto" w:fill="auto"/>
            <w:vAlign w:val="bottom"/>
          </w:tcPr>
          <w:p w14:paraId="03681AA6" w14:textId="77777777" w:rsidR="00245EE4" w:rsidRPr="009C411C" w:rsidRDefault="00245EE4" w:rsidP="00E12A58">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1.080 </w:t>
            </w:r>
          </w:p>
        </w:tc>
      </w:tr>
      <w:tr w:rsidR="00245EE4" w:rsidRPr="009C411C" w14:paraId="188AB9FB" w14:textId="77777777" w:rsidTr="00E12A58">
        <w:trPr>
          <w:cantSplit/>
          <w:trHeight w:hRule="exact" w:val="391"/>
          <w:tblHeader/>
        </w:trPr>
        <w:tc>
          <w:tcPr>
            <w:tcW w:w="2501" w:type="pct"/>
            <w:vAlign w:val="bottom"/>
          </w:tcPr>
          <w:p w14:paraId="76A59BFA" w14:textId="77777777" w:rsidR="00245EE4" w:rsidRPr="009C411C" w:rsidRDefault="00245EE4" w:rsidP="00E12A58">
            <w:pPr>
              <w:pStyle w:val="TT"/>
              <w:rPr>
                <w:rFonts w:cs="Arial"/>
                <w:b/>
                <w:bCs/>
                <w:color w:val="000000" w:themeColor="text1"/>
                <w:sz w:val="18"/>
                <w:szCs w:val="18"/>
                <w:lang w:val="hr-HR"/>
              </w:rPr>
            </w:pPr>
            <w:r w:rsidRPr="009C411C">
              <w:rPr>
                <w:rFonts w:cs="Arial"/>
                <w:b/>
                <w:bCs/>
                <w:color w:val="000000" w:themeColor="text1"/>
                <w:sz w:val="18"/>
                <w:szCs w:val="18"/>
                <w:lang w:val="hr-HR"/>
              </w:rPr>
              <w:t xml:space="preserve">Ukupno </w:t>
            </w:r>
          </w:p>
        </w:tc>
        <w:tc>
          <w:tcPr>
            <w:tcW w:w="625" w:type="pct"/>
            <w:tcBorders>
              <w:top w:val="single" w:sz="6" w:space="0" w:color="auto"/>
              <w:left w:val="nil"/>
              <w:bottom w:val="single" w:sz="8" w:space="0" w:color="auto"/>
              <w:right w:val="nil"/>
            </w:tcBorders>
            <w:shd w:val="clear" w:color="auto" w:fill="auto"/>
            <w:vAlign w:val="bottom"/>
          </w:tcPr>
          <w:p w14:paraId="4A5DB52A" w14:textId="77777777" w:rsidR="00245EE4" w:rsidRPr="009C411C" w:rsidRDefault="00245EE4" w:rsidP="00E12A58">
            <w:pPr>
              <w:tabs>
                <w:tab w:val="right" w:pos="1202"/>
              </w:tabs>
              <w:spacing w:line="301" w:lineRule="exact"/>
              <w:jc w:val="right"/>
              <w:outlineLvl w:val="0"/>
              <w:rPr>
                <w:rFonts w:ascii="Arial" w:hAnsi="Arial" w:cs="Arial"/>
                <w:b/>
                <w:bCs/>
                <w:color w:val="000000" w:themeColor="text1"/>
                <w:sz w:val="18"/>
                <w:szCs w:val="18"/>
              </w:rPr>
            </w:pPr>
            <w:r w:rsidRPr="00F959D0">
              <w:rPr>
                <w:rFonts w:ascii="Arial" w:hAnsi="Arial" w:cs="Arial"/>
                <w:b/>
                <w:bCs/>
                <w:color w:val="000000" w:themeColor="text1"/>
                <w:sz w:val="18"/>
                <w:szCs w:val="18"/>
              </w:rPr>
              <w:t>3.932.129</w:t>
            </w:r>
          </w:p>
        </w:tc>
        <w:tc>
          <w:tcPr>
            <w:tcW w:w="625" w:type="pct"/>
            <w:tcBorders>
              <w:top w:val="single" w:sz="6" w:space="0" w:color="auto"/>
              <w:left w:val="nil"/>
              <w:bottom w:val="single" w:sz="8" w:space="0" w:color="auto"/>
              <w:right w:val="nil"/>
            </w:tcBorders>
            <w:shd w:val="clear" w:color="auto" w:fill="auto"/>
            <w:vAlign w:val="bottom"/>
          </w:tcPr>
          <w:p w14:paraId="07FBE31A" w14:textId="77777777" w:rsidR="00245EE4" w:rsidRPr="009C411C" w:rsidRDefault="00245EE4" w:rsidP="00E12A58">
            <w:pPr>
              <w:tabs>
                <w:tab w:val="right" w:pos="1202"/>
              </w:tabs>
              <w:spacing w:line="301" w:lineRule="exact"/>
              <w:jc w:val="right"/>
              <w:outlineLvl w:val="0"/>
              <w:rPr>
                <w:rFonts w:ascii="Arial" w:hAnsi="Arial" w:cs="Arial"/>
                <w:b/>
                <w:bCs/>
                <w:color w:val="000000" w:themeColor="text1"/>
                <w:sz w:val="18"/>
                <w:szCs w:val="18"/>
              </w:rPr>
            </w:pPr>
            <w:r w:rsidRPr="00F959D0">
              <w:rPr>
                <w:rFonts w:ascii="Arial" w:hAnsi="Arial" w:cs="Arial"/>
                <w:b/>
                <w:bCs/>
                <w:color w:val="000000" w:themeColor="text1"/>
                <w:sz w:val="18"/>
                <w:szCs w:val="18"/>
              </w:rPr>
              <w:t>34.735</w:t>
            </w:r>
          </w:p>
        </w:tc>
        <w:tc>
          <w:tcPr>
            <w:tcW w:w="625" w:type="pct"/>
            <w:tcBorders>
              <w:top w:val="single" w:sz="6" w:space="0" w:color="auto"/>
              <w:left w:val="nil"/>
              <w:bottom w:val="single" w:sz="8" w:space="0" w:color="auto"/>
              <w:right w:val="nil"/>
            </w:tcBorders>
            <w:shd w:val="clear" w:color="auto" w:fill="auto"/>
            <w:vAlign w:val="bottom"/>
          </w:tcPr>
          <w:p w14:paraId="654423ED" w14:textId="77777777" w:rsidR="00245EE4" w:rsidRPr="009C411C" w:rsidRDefault="00245EE4" w:rsidP="00E12A58">
            <w:pPr>
              <w:tabs>
                <w:tab w:val="right" w:pos="1202"/>
              </w:tabs>
              <w:spacing w:line="301" w:lineRule="exact"/>
              <w:jc w:val="right"/>
              <w:outlineLvl w:val="0"/>
              <w:rPr>
                <w:rFonts w:ascii="Arial" w:hAnsi="Arial" w:cs="Arial"/>
                <w:b/>
                <w:bCs/>
                <w:color w:val="000000" w:themeColor="text1"/>
                <w:sz w:val="18"/>
                <w:szCs w:val="18"/>
              </w:rPr>
            </w:pPr>
            <w:r w:rsidRPr="00F959D0">
              <w:rPr>
                <w:rFonts w:ascii="Arial" w:hAnsi="Arial" w:cs="Arial"/>
                <w:b/>
                <w:bCs/>
                <w:color w:val="000000" w:themeColor="text1"/>
                <w:sz w:val="18"/>
                <w:szCs w:val="18"/>
              </w:rPr>
              <w:t>94</w:t>
            </w:r>
          </w:p>
        </w:tc>
        <w:tc>
          <w:tcPr>
            <w:tcW w:w="624" w:type="pct"/>
            <w:tcBorders>
              <w:top w:val="single" w:sz="6" w:space="0" w:color="auto"/>
              <w:left w:val="nil"/>
              <w:bottom w:val="single" w:sz="8" w:space="0" w:color="auto"/>
              <w:right w:val="nil"/>
            </w:tcBorders>
            <w:shd w:val="clear" w:color="auto" w:fill="auto"/>
            <w:vAlign w:val="bottom"/>
          </w:tcPr>
          <w:p w14:paraId="02231FE1" w14:textId="77777777" w:rsidR="00245EE4" w:rsidRPr="009C411C" w:rsidRDefault="00245EE4" w:rsidP="00E12A58">
            <w:pPr>
              <w:tabs>
                <w:tab w:val="right" w:pos="1202"/>
              </w:tabs>
              <w:spacing w:line="301" w:lineRule="exact"/>
              <w:jc w:val="right"/>
              <w:outlineLvl w:val="0"/>
              <w:rPr>
                <w:rFonts w:ascii="Arial" w:hAnsi="Arial" w:cs="Arial"/>
                <w:b/>
                <w:bCs/>
                <w:color w:val="000000" w:themeColor="text1"/>
                <w:sz w:val="18"/>
                <w:szCs w:val="18"/>
              </w:rPr>
            </w:pPr>
            <w:r w:rsidRPr="00F959D0">
              <w:rPr>
                <w:rFonts w:ascii="Arial" w:hAnsi="Arial" w:cs="Arial"/>
                <w:b/>
                <w:bCs/>
                <w:color w:val="000000" w:themeColor="text1"/>
                <w:sz w:val="18"/>
                <w:szCs w:val="18"/>
              </w:rPr>
              <w:t>3.966.958</w:t>
            </w:r>
          </w:p>
        </w:tc>
      </w:tr>
      <w:tr w:rsidR="00245EE4" w:rsidRPr="009C411C" w14:paraId="0419DA27" w14:textId="77777777" w:rsidTr="00E12A58">
        <w:tblPrEx>
          <w:tblCellMar>
            <w:left w:w="31" w:type="dxa"/>
            <w:right w:w="31" w:type="dxa"/>
          </w:tblCellMar>
        </w:tblPrEx>
        <w:trPr>
          <w:cantSplit/>
          <w:trHeight w:val="250"/>
          <w:tblHeader/>
        </w:trPr>
        <w:tc>
          <w:tcPr>
            <w:tcW w:w="2501" w:type="pct"/>
            <w:vAlign w:val="bottom"/>
          </w:tcPr>
          <w:p w14:paraId="1D0D915A" w14:textId="77777777" w:rsidR="00245EE4" w:rsidRPr="009C411C" w:rsidRDefault="00245EE4" w:rsidP="00E12A58">
            <w:pPr>
              <w:pStyle w:val="TT"/>
              <w:rPr>
                <w:rFonts w:cs="Arial"/>
                <w:b/>
                <w:bCs/>
                <w:color w:val="000000" w:themeColor="text1"/>
                <w:sz w:val="18"/>
                <w:szCs w:val="18"/>
                <w:lang w:val="hr-HR"/>
              </w:rPr>
            </w:pPr>
          </w:p>
        </w:tc>
        <w:tc>
          <w:tcPr>
            <w:tcW w:w="625" w:type="pct"/>
            <w:tcBorders>
              <w:top w:val="single" w:sz="12" w:space="0" w:color="auto"/>
            </w:tcBorders>
            <w:vAlign w:val="bottom"/>
          </w:tcPr>
          <w:p w14:paraId="2C8DF8E5" w14:textId="77777777" w:rsidR="00245EE4" w:rsidRPr="009C411C" w:rsidRDefault="00245EE4" w:rsidP="00E12A58">
            <w:pPr>
              <w:pStyle w:val="TT"/>
              <w:jc w:val="right"/>
              <w:rPr>
                <w:rFonts w:cs="Arial"/>
                <w:color w:val="000000" w:themeColor="text1"/>
                <w:sz w:val="18"/>
                <w:szCs w:val="18"/>
                <w:lang w:val="hr-HR"/>
              </w:rPr>
            </w:pPr>
          </w:p>
        </w:tc>
        <w:tc>
          <w:tcPr>
            <w:tcW w:w="625" w:type="pct"/>
            <w:tcBorders>
              <w:top w:val="single" w:sz="12" w:space="0" w:color="auto"/>
            </w:tcBorders>
            <w:vAlign w:val="bottom"/>
          </w:tcPr>
          <w:p w14:paraId="5D9242CE" w14:textId="77777777" w:rsidR="00245EE4" w:rsidRPr="009C411C" w:rsidRDefault="00245EE4" w:rsidP="00E12A58">
            <w:pPr>
              <w:pStyle w:val="TT"/>
              <w:jc w:val="right"/>
              <w:rPr>
                <w:rFonts w:cs="Arial"/>
                <w:color w:val="000000" w:themeColor="text1"/>
                <w:sz w:val="18"/>
                <w:szCs w:val="18"/>
                <w:lang w:val="hr-HR"/>
              </w:rPr>
            </w:pPr>
          </w:p>
        </w:tc>
        <w:tc>
          <w:tcPr>
            <w:tcW w:w="625" w:type="pct"/>
            <w:tcBorders>
              <w:top w:val="single" w:sz="12" w:space="0" w:color="auto"/>
            </w:tcBorders>
            <w:vAlign w:val="bottom"/>
          </w:tcPr>
          <w:p w14:paraId="4F19BBF7" w14:textId="77777777" w:rsidR="00245EE4" w:rsidRPr="009C411C" w:rsidRDefault="00245EE4" w:rsidP="00E12A58">
            <w:pPr>
              <w:pStyle w:val="TT"/>
              <w:jc w:val="right"/>
              <w:rPr>
                <w:rFonts w:cs="Arial"/>
                <w:color w:val="000000" w:themeColor="text1"/>
                <w:sz w:val="18"/>
                <w:szCs w:val="18"/>
                <w:lang w:val="hr-HR"/>
              </w:rPr>
            </w:pPr>
          </w:p>
        </w:tc>
        <w:tc>
          <w:tcPr>
            <w:tcW w:w="624" w:type="pct"/>
            <w:tcBorders>
              <w:top w:val="single" w:sz="12" w:space="0" w:color="auto"/>
            </w:tcBorders>
            <w:vAlign w:val="bottom"/>
          </w:tcPr>
          <w:p w14:paraId="294CD87C" w14:textId="77777777" w:rsidR="00245EE4" w:rsidRPr="009C411C" w:rsidRDefault="00245EE4" w:rsidP="00E12A58">
            <w:pPr>
              <w:pStyle w:val="TT"/>
              <w:jc w:val="right"/>
              <w:rPr>
                <w:rFonts w:cs="Arial"/>
                <w:color w:val="000000" w:themeColor="text1"/>
                <w:sz w:val="18"/>
                <w:szCs w:val="18"/>
                <w:lang w:val="hr-HR"/>
              </w:rPr>
            </w:pPr>
          </w:p>
        </w:tc>
      </w:tr>
      <w:tr w:rsidR="00245EE4" w:rsidRPr="009C411C" w14:paraId="3D66BA5C" w14:textId="77777777" w:rsidTr="00E12A58">
        <w:tblPrEx>
          <w:tblCellMar>
            <w:left w:w="31" w:type="dxa"/>
            <w:right w:w="31" w:type="dxa"/>
          </w:tblCellMar>
        </w:tblPrEx>
        <w:trPr>
          <w:cantSplit/>
          <w:trHeight w:val="250"/>
          <w:tblHeader/>
        </w:trPr>
        <w:tc>
          <w:tcPr>
            <w:tcW w:w="2501" w:type="pct"/>
          </w:tcPr>
          <w:p w14:paraId="6ED2BA1F" w14:textId="77777777" w:rsidR="00245EE4" w:rsidRPr="009C411C" w:rsidRDefault="00245EE4" w:rsidP="00E12A58">
            <w:pPr>
              <w:pStyle w:val="TT"/>
              <w:rPr>
                <w:rFonts w:cs="Arial"/>
                <w:b/>
                <w:bCs/>
                <w:color w:val="000000" w:themeColor="text1"/>
                <w:sz w:val="18"/>
                <w:szCs w:val="18"/>
                <w:lang w:val="hr-HR"/>
              </w:rPr>
            </w:pPr>
            <w:r w:rsidRPr="009C411C">
              <w:rPr>
                <w:rFonts w:cs="Arial"/>
                <w:b/>
                <w:bCs/>
                <w:color w:val="000000" w:themeColor="text1"/>
                <w:sz w:val="18"/>
                <w:szCs w:val="18"/>
                <w:lang w:val="hr-HR"/>
              </w:rPr>
              <w:t>Garancije i preuzete obveze</w:t>
            </w:r>
          </w:p>
        </w:tc>
        <w:tc>
          <w:tcPr>
            <w:tcW w:w="625" w:type="pct"/>
            <w:vAlign w:val="bottom"/>
          </w:tcPr>
          <w:p w14:paraId="253B1AB2" w14:textId="77777777" w:rsidR="00245EE4" w:rsidRPr="009C411C" w:rsidRDefault="00245EE4" w:rsidP="00E12A58">
            <w:pPr>
              <w:pStyle w:val="TT"/>
              <w:jc w:val="right"/>
              <w:rPr>
                <w:rFonts w:cs="Arial"/>
                <w:color w:val="000000" w:themeColor="text1"/>
                <w:sz w:val="18"/>
                <w:szCs w:val="18"/>
                <w:lang w:val="hr-HR"/>
              </w:rPr>
            </w:pPr>
          </w:p>
        </w:tc>
        <w:tc>
          <w:tcPr>
            <w:tcW w:w="625" w:type="pct"/>
            <w:vAlign w:val="bottom"/>
          </w:tcPr>
          <w:p w14:paraId="677BD3A3" w14:textId="77777777" w:rsidR="00245EE4" w:rsidRPr="009C411C" w:rsidRDefault="00245EE4" w:rsidP="00E12A58">
            <w:pPr>
              <w:pStyle w:val="TT"/>
              <w:jc w:val="right"/>
              <w:rPr>
                <w:rFonts w:cs="Arial"/>
                <w:color w:val="000000" w:themeColor="text1"/>
                <w:sz w:val="18"/>
                <w:szCs w:val="18"/>
                <w:lang w:val="hr-HR"/>
              </w:rPr>
            </w:pPr>
          </w:p>
        </w:tc>
        <w:tc>
          <w:tcPr>
            <w:tcW w:w="625" w:type="pct"/>
            <w:vAlign w:val="bottom"/>
          </w:tcPr>
          <w:p w14:paraId="1472FE2B" w14:textId="77777777" w:rsidR="00245EE4" w:rsidRPr="009C411C" w:rsidRDefault="00245EE4" w:rsidP="00E12A58">
            <w:pPr>
              <w:pStyle w:val="TT"/>
              <w:jc w:val="right"/>
              <w:rPr>
                <w:rFonts w:cs="Arial"/>
                <w:color w:val="000000" w:themeColor="text1"/>
                <w:sz w:val="18"/>
                <w:szCs w:val="18"/>
                <w:lang w:val="hr-HR"/>
              </w:rPr>
            </w:pPr>
          </w:p>
        </w:tc>
        <w:tc>
          <w:tcPr>
            <w:tcW w:w="624" w:type="pct"/>
            <w:vAlign w:val="bottom"/>
          </w:tcPr>
          <w:p w14:paraId="1A8D64F5" w14:textId="77777777" w:rsidR="00245EE4" w:rsidRPr="009C411C" w:rsidRDefault="00245EE4" w:rsidP="00E12A58">
            <w:pPr>
              <w:pStyle w:val="TT"/>
              <w:jc w:val="right"/>
              <w:rPr>
                <w:rFonts w:cs="Arial"/>
                <w:color w:val="000000" w:themeColor="text1"/>
                <w:sz w:val="18"/>
                <w:szCs w:val="18"/>
                <w:lang w:val="hr-HR"/>
              </w:rPr>
            </w:pPr>
          </w:p>
        </w:tc>
      </w:tr>
      <w:tr w:rsidR="00245EE4" w:rsidRPr="009C411C" w14:paraId="2E1149C3" w14:textId="77777777" w:rsidTr="00E12A58">
        <w:tblPrEx>
          <w:tblCellMar>
            <w:left w:w="31" w:type="dxa"/>
            <w:right w:w="31" w:type="dxa"/>
          </w:tblCellMar>
        </w:tblPrEx>
        <w:trPr>
          <w:cantSplit/>
          <w:trHeight w:val="250"/>
          <w:tblHeader/>
        </w:trPr>
        <w:tc>
          <w:tcPr>
            <w:tcW w:w="2501" w:type="pct"/>
          </w:tcPr>
          <w:p w14:paraId="29082D78" w14:textId="77777777" w:rsidR="00245EE4" w:rsidRPr="009C411C" w:rsidRDefault="00245EE4" w:rsidP="00E12A58">
            <w:pPr>
              <w:tabs>
                <w:tab w:val="right" w:pos="1202"/>
              </w:tabs>
              <w:spacing w:line="301" w:lineRule="exact"/>
              <w:outlineLvl w:val="0"/>
              <w:rPr>
                <w:rFonts w:ascii="Arial" w:hAnsi="Arial" w:cs="Arial"/>
                <w:b/>
                <w:bCs/>
                <w:color w:val="000000" w:themeColor="text1"/>
                <w:sz w:val="18"/>
                <w:szCs w:val="18"/>
              </w:rPr>
            </w:pPr>
            <w:r w:rsidRPr="009C411C">
              <w:rPr>
                <w:rFonts w:ascii="Arial" w:hAnsi="Arial" w:cs="Arial"/>
                <w:color w:val="000000" w:themeColor="text1"/>
                <w:sz w:val="18"/>
                <w:szCs w:val="18"/>
              </w:rPr>
              <w:t xml:space="preserve">Izdane garancije </w:t>
            </w:r>
          </w:p>
        </w:tc>
        <w:tc>
          <w:tcPr>
            <w:tcW w:w="625" w:type="pct"/>
            <w:tcBorders>
              <w:top w:val="nil"/>
              <w:left w:val="nil"/>
              <w:bottom w:val="nil"/>
              <w:right w:val="nil"/>
            </w:tcBorders>
            <w:shd w:val="clear" w:color="auto" w:fill="auto"/>
            <w:vAlign w:val="bottom"/>
          </w:tcPr>
          <w:p w14:paraId="39C52A76" w14:textId="77777777" w:rsidR="00245EE4" w:rsidRPr="009C411C" w:rsidRDefault="00245EE4" w:rsidP="00E12A58">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44.545 </w:t>
            </w:r>
          </w:p>
        </w:tc>
        <w:tc>
          <w:tcPr>
            <w:tcW w:w="625" w:type="pct"/>
            <w:tcBorders>
              <w:top w:val="nil"/>
              <w:left w:val="nil"/>
              <w:bottom w:val="nil"/>
              <w:right w:val="nil"/>
            </w:tcBorders>
            <w:shd w:val="clear" w:color="auto" w:fill="auto"/>
            <w:vAlign w:val="bottom"/>
          </w:tcPr>
          <w:p w14:paraId="5BFAD0D9" w14:textId="77777777" w:rsidR="00245EE4" w:rsidRPr="009C411C" w:rsidRDefault="00245EE4" w:rsidP="00E12A58">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   </w:t>
            </w:r>
          </w:p>
        </w:tc>
        <w:tc>
          <w:tcPr>
            <w:tcW w:w="625" w:type="pct"/>
            <w:tcBorders>
              <w:top w:val="nil"/>
              <w:left w:val="nil"/>
              <w:bottom w:val="nil"/>
              <w:right w:val="nil"/>
            </w:tcBorders>
            <w:shd w:val="clear" w:color="auto" w:fill="auto"/>
            <w:vAlign w:val="bottom"/>
          </w:tcPr>
          <w:p w14:paraId="402B08D2" w14:textId="77777777" w:rsidR="00245EE4" w:rsidRPr="009C411C" w:rsidRDefault="00245EE4" w:rsidP="00E12A58">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   </w:t>
            </w:r>
          </w:p>
        </w:tc>
        <w:tc>
          <w:tcPr>
            <w:tcW w:w="624" w:type="pct"/>
            <w:tcBorders>
              <w:top w:val="nil"/>
              <w:left w:val="nil"/>
              <w:bottom w:val="nil"/>
              <w:right w:val="nil"/>
            </w:tcBorders>
            <w:shd w:val="clear" w:color="auto" w:fill="auto"/>
            <w:vAlign w:val="bottom"/>
          </w:tcPr>
          <w:p w14:paraId="4DFE4105" w14:textId="77777777" w:rsidR="00245EE4" w:rsidRPr="009C411C" w:rsidRDefault="00245EE4" w:rsidP="00E12A58">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44.545 </w:t>
            </w:r>
          </w:p>
        </w:tc>
      </w:tr>
      <w:tr w:rsidR="00245EE4" w:rsidRPr="009C411C" w14:paraId="06DD460B" w14:textId="77777777" w:rsidTr="00E12A58">
        <w:tblPrEx>
          <w:tblCellMar>
            <w:left w:w="31" w:type="dxa"/>
            <w:right w:w="31" w:type="dxa"/>
          </w:tblCellMar>
        </w:tblPrEx>
        <w:trPr>
          <w:cantSplit/>
          <w:trHeight w:val="250"/>
          <w:tblHeader/>
        </w:trPr>
        <w:tc>
          <w:tcPr>
            <w:tcW w:w="2501" w:type="pct"/>
            <w:vAlign w:val="bottom"/>
          </w:tcPr>
          <w:p w14:paraId="68479BB9" w14:textId="77777777" w:rsidR="00245EE4" w:rsidRPr="009C411C" w:rsidRDefault="00245EE4" w:rsidP="00E12A58">
            <w:pPr>
              <w:tabs>
                <w:tab w:val="right" w:pos="1202"/>
              </w:tabs>
              <w:spacing w:line="301" w:lineRule="exact"/>
              <w:outlineLvl w:val="0"/>
              <w:rPr>
                <w:rFonts w:ascii="Arial" w:hAnsi="Arial" w:cs="Arial"/>
                <w:color w:val="000000" w:themeColor="text1"/>
                <w:sz w:val="18"/>
                <w:szCs w:val="18"/>
              </w:rPr>
            </w:pPr>
            <w:r w:rsidRPr="009C411C">
              <w:rPr>
                <w:rFonts w:ascii="Arial" w:hAnsi="Arial" w:cs="Arial"/>
                <w:color w:val="000000" w:themeColor="text1"/>
                <w:sz w:val="18"/>
                <w:szCs w:val="18"/>
              </w:rPr>
              <w:t>Izdane garancije u devizama</w:t>
            </w:r>
          </w:p>
        </w:tc>
        <w:tc>
          <w:tcPr>
            <w:tcW w:w="625" w:type="pct"/>
            <w:tcBorders>
              <w:top w:val="nil"/>
              <w:left w:val="nil"/>
              <w:bottom w:val="nil"/>
              <w:right w:val="nil"/>
            </w:tcBorders>
            <w:shd w:val="clear" w:color="auto" w:fill="auto"/>
            <w:vAlign w:val="bottom"/>
          </w:tcPr>
          <w:p w14:paraId="1E2DF8E7" w14:textId="77777777" w:rsidR="00245EE4" w:rsidRPr="009C411C" w:rsidRDefault="00245EE4" w:rsidP="00E12A58">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5.357 </w:t>
            </w:r>
          </w:p>
        </w:tc>
        <w:tc>
          <w:tcPr>
            <w:tcW w:w="625" w:type="pct"/>
            <w:tcBorders>
              <w:top w:val="nil"/>
              <w:left w:val="nil"/>
              <w:bottom w:val="nil"/>
              <w:right w:val="nil"/>
            </w:tcBorders>
            <w:shd w:val="clear" w:color="auto" w:fill="auto"/>
            <w:vAlign w:val="bottom"/>
          </w:tcPr>
          <w:p w14:paraId="64B27096" w14:textId="77777777" w:rsidR="00245EE4" w:rsidRPr="009C411C" w:rsidRDefault="00245EE4" w:rsidP="00E12A58">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   </w:t>
            </w:r>
          </w:p>
        </w:tc>
        <w:tc>
          <w:tcPr>
            <w:tcW w:w="625" w:type="pct"/>
            <w:tcBorders>
              <w:top w:val="nil"/>
              <w:left w:val="nil"/>
              <w:bottom w:val="nil"/>
              <w:right w:val="nil"/>
            </w:tcBorders>
            <w:shd w:val="clear" w:color="auto" w:fill="auto"/>
            <w:vAlign w:val="bottom"/>
          </w:tcPr>
          <w:p w14:paraId="2C960CF3" w14:textId="77777777" w:rsidR="00245EE4" w:rsidRPr="009C411C" w:rsidRDefault="00245EE4" w:rsidP="00E12A58">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   </w:t>
            </w:r>
          </w:p>
        </w:tc>
        <w:tc>
          <w:tcPr>
            <w:tcW w:w="624" w:type="pct"/>
            <w:tcBorders>
              <w:top w:val="nil"/>
              <w:left w:val="nil"/>
              <w:bottom w:val="nil"/>
              <w:right w:val="nil"/>
            </w:tcBorders>
            <w:shd w:val="clear" w:color="auto" w:fill="auto"/>
            <w:vAlign w:val="bottom"/>
          </w:tcPr>
          <w:p w14:paraId="137B93AE" w14:textId="77777777" w:rsidR="00245EE4" w:rsidRPr="009C411C" w:rsidRDefault="00245EE4" w:rsidP="00E12A58">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5.357 </w:t>
            </w:r>
          </w:p>
        </w:tc>
      </w:tr>
      <w:tr w:rsidR="00245EE4" w:rsidRPr="009C411C" w14:paraId="50EC1109" w14:textId="77777777" w:rsidTr="00E12A58">
        <w:tblPrEx>
          <w:tblCellMar>
            <w:left w:w="31" w:type="dxa"/>
            <w:right w:w="31" w:type="dxa"/>
          </w:tblCellMar>
        </w:tblPrEx>
        <w:trPr>
          <w:cantSplit/>
          <w:trHeight w:val="250"/>
          <w:tblHeader/>
        </w:trPr>
        <w:tc>
          <w:tcPr>
            <w:tcW w:w="2501" w:type="pct"/>
            <w:vAlign w:val="bottom"/>
          </w:tcPr>
          <w:p w14:paraId="71D4C093" w14:textId="77777777" w:rsidR="00245EE4" w:rsidRPr="009C411C" w:rsidRDefault="00245EE4" w:rsidP="00E12A58">
            <w:pPr>
              <w:tabs>
                <w:tab w:val="right" w:pos="1202"/>
              </w:tabs>
              <w:spacing w:line="301" w:lineRule="exact"/>
              <w:outlineLvl w:val="0"/>
              <w:rPr>
                <w:rFonts w:ascii="Arial" w:hAnsi="Arial" w:cs="Arial"/>
                <w:color w:val="000000" w:themeColor="text1"/>
                <w:sz w:val="18"/>
                <w:szCs w:val="18"/>
              </w:rPr>
            </w:pPr>
            <w:r w:rsidRPr="009C411C">
              <w:rPr>
                <w:rFonts w:ascii="Arial" w:hAnsi="Arial" w:cs="Arial"/>
                <w:color w:val="000000" w:themeColor="text1"/>
                <w:sz w:val="18"/>
                <w:szCs w:val="18"/>
              </w:rPr>
              <w:t>Preuzete obveze po kreditima</w:t>
            </w:r>
          </w:p>
        </w:tc>
        <w:tc>
          <w:tcPr>
            <w:tcW w:w="625" w:type="pct"/>
            <w:tcBorders>
              <w:top w:val="nil"/>
              <w:left w:val="nil"/>
              <w:bottom w:val="single" w:sz="4" w:space="0" w:color="auto"/>
              <w:right w:val="nil"/>
            </w:tcBorders>
            <w:shd w:val="clear" w:color="auto" w:fill="auto"/>
            <w:vAlign w:val="bottom"/>
          </w:tcPr>
          <w:p w14:paraId="09ECCA88" w14:textId="77777777" w:rsidR="00245EE4" w:rsidRPr="009C411C" w:rsidRDefault="00245EE4" w:rsidP="00E12A58">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432.651 </w:t>
            </w:r>
          </w:p>
        </w:tc>
        <w:tc>
          <w:tcPr>
            <w:tcW w:w="625" w:type="pct"/>
            <w:tcBorders>
              <w:top w:val="nil"/>
              <w:left w:val="nil"/>
              <w:bottom w:val="single" w:sz="4" w:space="0" w:color="auto"/>
              <w:right w:val="nil"/>
            </w:tcBorders>
            <w:shd w:val="clear" w:color="auto" w:fill="auto"/>
            <w:vAlign w:val="bottom"/>
          </w:tcPr>
          <w:p w14:paraId="5C227216" w14:textId="77777777" w:rsidR="00245EE4" w:rsidRPr="009C411C" w:rsidRDefault="00245EE4" w:rsidP="00E12A58">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821 </w:t>
            </w:r>
          </w:p>
        </w:tc>
        <w:tc>
          <w:tcPr>
            <w:tcW w:w="625" w:type="pct"/>
            <w:tcBorders>
              <w:top w:val="nil"/>
              <w:left w:val="nil"/>
              <w:bottom w:val="single" w:sz="4" w:space="0" w:color="auto"/>
              <w:right w:val="nil"/>
            </w:tcBorders>
            <w:shd w:val="clear" w:color="auto" w:fill="auto"/>
            <w:vAlign w:val="bottom"/>
          </w:tcPr>
          <w:p w14:paraId="307F960D" w14:textId="77777777" w:rsidR="00245EE4" w:rsidRPr="009C411C" w:rsidRDefault="00245EE4" w:rsidP="00E12A58">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7.601 </w:t>
            </w:r>
          </w:p>
        </w:tc>
        <w:tc>
          <w:tcPr>
            <w:tcW w:w="624" w:type="pct"/>
            <w:tcBorders>
              <w:top w:val="nil"/>
              <w:left w:val="nil"/>
              <w:bottom w:val="single" w:sz="4" w:space="0" w:color="auto"/>
              <w:right w:val="nil"/>
            </w:tcBorders>
            <w:shd w:val="clear" w:color="auto" w:fill="auto"/>
            <w:vAlign w:val="bottom"/>
          </w:tcPr>
          <w:p w14:paraId="29AC4552" w14:textId="77777777" w:rsidR="00245EE4" w:rsidRPr="009C411C" w:rsidRDefault="00245EE4" w:rsidP="00E12A58">
            <w:pPr>
              <w:pStyle w:val="TT"/>
              <w:jc w:val="right"/>
              <w:rPr>
                <w:rFonts w:cs="Arial"/>
                <w:color w:val="000000" w:themeColor="text1"/>
                <w:sz w:val="18"/>
                <w:szCs w:val="18"/>
                <w:lang w:val="hr-HR"/>
              </w:rPr>
            </w:pPr>
            <w:r w:rsidRPr="00F959D0">
              <w:rPr>
                <w:rFonts w:cs="Arial"/>
                <w:color w:val="000000" w:themeColor="text1"/>
                <w:sz w:val="18"/>
                <w:szCs w:val="18"/>
                <w:lang w:val="hr-HR"/>
              </w:rPr>
              <w:t xml:space="preserve"> 441.073 </w:t>
            </w:r>
          </w:p>
        </w:tc>
      </w:tr>
      <w:tr w:rsidR="00245EE4" w:rsidRPr="009C411C" w14:paraId="41CB729A" w14:textId="77777777" w:rsidTr="00E12A58">
        <w:tblPrEx>
          <w:tblCellMar>
            <w:left w:w="31" w:type="dxa"/>
            <w:right w:w="31" w:type="dxa"/>
          </w:tblCellMar>
        </w:tblPrEx>
        <w:trPr>
          <w:cantSplit/>
          <w:trHeight w:val="399"/>
          <w:tblHeader/>
        </w:trPr>
        <w:tc>
          <w:tcPr>
            <w:tcW w:w="2501" w:type="pct"/>
            <w:vAlign w:val="bottom"/>
          </w:tcPr>
          <w:p w14:paraId="0B567398" w14:textId="77777777" w:rsidR="00245EE4" w:rsidRPr="009C411C" w:rsidRDefault="00245EE4" w:rsidP="00E12A58">
            <w:pPr>
              <w:pStyle w:val="TT"/>
              <w:rPr>
                <w:rFonts w:cs="Arial"/>
                <w:b/>
                <w:bCs/>
                <w:color w:val="000000" w:themeColor="text1"/>
                <w:sz w:val="18"/>
                <w:szCs w:val="18"/>
                <w:lang w:val="hr-HR"/>
              </w:rPr>
            </w:pPr>
            <w:r w:rsidRPr="009C411C">
              <w:rPr>
                <w:rFonts w:cs="Arial"/>
                <w:b/>
                <w:bCs/>
                <w:color w:val="000000" w:themeColor="text1"/>
                <w:sz w:val="18"/>
                <w:szCs w:val="18"/>
                <w:lang w:val="hr-HR"/>
              </w:rPr>
              <w:t>Ukupno</w:t>
            </w:r>
          </w:p>
        </w:tc>
        <w:tc>
          <w:tcPr>
            <w:tcW w:w="625" w:type="pct"/>
            <w:tcBorders>
              <w:top w:val="single" w:sz="4" w:space="0" w:color="auto"/>
              <w:left w:val="nil"/>
              <w:bottom w:val="single" w:sz="12" w:space="0" w:color="auto"/>
              <w:right w:val="nil"/>
            </w:tcBorders>
            <w:shd w:val="clear" w:color="auto" w:fill="auto"/>
            <w:vAlign w:val="bottom"/>
          </w:tcPr>
          <w:p w14:paraId="0E9D4239" w14:textId="77777777" w:rsidR="00245EE4" w:rsidRPr="006F3C83" w:rsidRDefault="00245EE4" w:rsidP="00E12A58">
            <w:pPr>
              <w:pStyle w:val="TT"/>
              <w:jc w:val="right"/>
              <w:rPr>
                <w:rFonts w:cs="Arial"/>
                <w:b/>
                <w:bCs/>
                <w:color w:val="000000" w:themeColor="text1"/>
                <w:sz w:val="18"/>
                <w:szCs w:val="18"/>
                <w:lang w:val="hr-HR"/>
              </w:rPr>
            </w:pPr>
            <w:r w:rsidRPr="00F959D0">
              <w:rPr>
                <w:rFonts w:cs="Arial"/>
                <w:b/>
                <w:bCs/>
                <w:color w:val="000000" w:themeColor="text1"/>
                <w:sz w:val="18"/>
                <w:szCs w:val="18"/>
                <w:lang w:val="hr-HR"/>
              </w:rPr>
              <w:t xml:space="preserve"> 482.553 </w:t>
            </w:r>
          </w:p>
        </w:tc>
        <w:tc>
          <w:tcPr>
            <w:tcW w:w="625" w:type="pct"/>
            <w:tcBorders>
              <w:top w:val="single" w:sz="4" w:space="0" w:color="auto"/>
              <w:left w:val="nil"/>
              <w:bottom w:val="single" w:sz="12" w:space="0" w:color="auto"/>
              <w:right w:val="nil"/>
            </w:tcBorders>
            <w:shd w:val="clear" w:color="auto" w:fill="auto"/>
            <w:vAlign w:val="bottom"/>
          </w:tcPr>
          <w:p w14:paraId="42023A6E" w14:textId="77777777" w:rsidR="00245EE4" w:rsidRPr="006F3C83" w:rsidRDefault="00245EE4" w:rsidP="00E12A58">
            <w:pPr>
              <w:pStyle w:val="TT"/>
              <w:jc w:val="right"/>
              <w:rPr>
                <w:rFonts w:cs="Arial"/>
                <w:b/>
                <w:bCs/>
                <w:color w:val="000000" w:themeColor="text1"/>
                <w:sz w:val="18"/>
                <w:szCs w:val="18"/>
                <w:lang w:val="hr-HR"/>
              </w:rPr>
            </w:pPr>
            <w:r w:rsidRPr="00F959D0">
              <w:rPr>
                <w:rFonts w:cs="Arial"/>
                <w:b/>
                <w:bCs/>
                <w:color w:val="000000" w:themeColor="text1"/>
                <w:sz w:val="18"/>
                <w:szCs w:val="18"/>
                <w:lang w:val="hr-HR"/>
              </w:rPr>
              <w:t xml:space="preserve"> 821 </w:t>
            </w:r>
          </w:p>
        </w:tc>
        <w:tc>
          <w:tcPr>
            <w:tcW w:w="625" w:type="pct"/>
            <w:tcBorders>
              <w:top w:val="single" w:sz="4" w:space="0" w:color="auto"/>
              <w:left w:val="nil"/>
              <w:bottom w:val="single" w:sz="12" w:space="0" w:color="auto"/>
              <w:right w:val="nil"/>
            </w:tcBorders>
            <w:shd w:val="clear" w:color="auto" w:fill="auto"/>
            <w:vAlign w:val="bottom"/>
          </w:tcPr>
          <w:p w14:paraId="6A8870DD" w14:textId="77777777" w:rsidR="00245EE4" w:rsidRPr="006F3C83" w:rsidRDefault="00245EE4" w:rsidP="00E12A58">
            <w:pPr>
              <w:pStyle w:val="TT"/>
              <w:jc w:val="right"/>
              <w:rPr>
                <w:rFonts w:cs="Arial"/>
                <w:b/>
                <w:bCs/>
                <w:color w:val="000000" w:themeColor="text1"/>
                <w:sz w:val="18"/>
                <w:szCs w:val="18"/>
                <w:lang w:val="hr-HR"/>
              </w:rPr>
            </w:pPr>
            <w:r w:rsidRPr="00F959D0">
              <w:rPr>
                <w:rFonts w:cs="Arial"/>
                <w:b/>
                <w:bCs/>
                <w:color w:val="000000" w:themeColor="text1"/>
                <w:sz w:val="18"/>
                <w:szCs w:val="18"/>
                <w:lang w:val="hr-HR"/>
              </w:rPr>
              <w:t xml:space="preserve"> 7.601 </w:t>
            </w:r>
          </w:p>
        </w:tc>
        <w:tc>
          <w:tcPr>
            <w:tcW w:w="624" w:type="pct"/>
            <w:tcBorders>
              <w:top w:val="single" w:sz="4" w:space="0" w:color="auto"/>
              <w:left w:val="nil"/>
              <w:bottom w:val="single" w:sz="12" w:space="0" w:color="auto"/>
              <w:right w:val="nil"/>
            </w:tcBorders>
            <w:shd w:val="clear" w:color="auto" w:fill="auto"/>
            <w:vAlign w:val="bottom"/>
          </w:tcPr>
          <w:p w14:paraId="0F5EC580" w14:textId="77777777" w:rsidR="00245EE4" w:rsidRPr="006F3C83" w:rsidRDefault="00245EE4" w:rsidP="00E12A58">
            <w:pPr>
              <w:pStyle w:val="TT"/>
              <w:jc w:val="right"/>
              <w:rPr>
                <w:rFonts w:cs="Arial"/>
                <w:b/>
                <w:bCs/>
                <w:color w:val="000000" w:themeColor="text1"/>
                <w:sz w:val="18"/>
                <w:szCs w:val="18"/>
                <w:lang w:val="hr-HR"/>
              </w:rPr>
            </w:pPr>
            <w:r w:rsidRPr="00F959D0">
              <w:rPr>
                <w:rFonts w:cs="Arial"/>
                <w:b/>
                <w:bCs/>
                <w:color w:val="000000" w:themeColor="text1"/>
                <w:sz w:val="18"/>
                <w:szCs w:val="18"/>
                <w:lang w:val="hr-HR"/>
              </w:rPr>
              <w:t xml:space="preserve"> 490.975 </w:t>
            </w:r>
          </w:p>
        </w:tc>
      </w:tr>
      <w:tr w:rsidR="00245EE4" w:rsidRPr="009C411C" w14:paraId="729C61A0" w14:textId="77777777" w:rsidTr="00E12A58">
        <w:tblPrEx>
          <w:tblCellMar>
            <w:left w:w="31" w:type="dxa"/>
            <w:right w:w="31" w:type="dxa"/>
          </w:tblCellMar>
        </w:tblPrEx>
        <w:trPr>
          <w:cantSplit/>
          <w:trHeight w:hRule="exact" w:val="113"/>
          <w:tblHeader/>
        </w:trPr>
        <w:tc>
          <w:tcPr>
            <w:tcW w:w="2501" w:type="pct"/>
            <w:vAlign w:val="bottom"/>
          </w:tcPr>
          <w:p w14:paraId="34F85324" w14:textId="77777777" w:rsidR="00245EE4" w:rsidRPr="009C411C" w:rsidRDefault="00245EE4" w:rsidP="00E12A58">
            <w:pPr>
              <w:pStyle w:val="TT"/>
              <w:spacing w:line="240" w:lineRule="auto"/>
              <w:rPr>
                <w:rFonts w:cs="Arial"/>
                <w:b/>
                <w:bCs/>
                <w:color w:val="000000" w:themeColor="text1"/>
                <w:sz w:val="18"/>
                <w:szCs w:val="18"/>
                <w:lang w:val="hr-HR"/>
              </w:rPr>
            </w:pPr>
          </w:p>
        </w:tc>
        <w:tc>
          <w:tcPr>
            <w:tcW w:w="625" w:type="pct"/>
            <w:tcBorders>
              <w:top w:val="single" w:sz="12" w:space="0" w:color="auto"/>
            </w:tcBorders>
            <w:vAlign w:val="bottom"/>
          </w:tcPr>
          <w:p w14:paraId="359A53B6" w14:textId="77777777" w:rsidR="00245EE4" w:rsidRPr="006F3C83" w:rsidRDefault="00245EE4" w:rsidP="00E12A58">
            <w:pPr>
              <w:tabs>
                <w:tab w:val="right" w:pos="1202"/>
              </w:tabs>
              <w:jc w:val="right"/>
              <w:outlineLvl w:val="0"/>
              <w:rPr>
                <w:rFonts w:ascii="Arial" w:hAnsi="Arial" w:cs="Arial"/>
                <w:b/>
                <w:bCs/>
                <w:color w:val="000000" w:themeColor="text1"/>
                <w:sz w:val="18"/>
                <w:szCs w:val="18"/>
              </w:rPr>
            </w:pPr>
          </w:p>
        </w:tc>
        <w:tc>
          <w:tcPr>
            <w:tcW w:w="625" w:type="pct"/>
            <w:tcBorders>
              <w:top w:val="single" w:sz="12" w:space="0" w:color="auto"/>
            </w:tcBorders>
            <w:vAlign w:val="bottom"/>
          </w:tcPr>
          <w:p w14:paraId="7C8A3977" w14:textId="77777777" w:rsidR="00245EE4" w:rsidRPr="006F3C83" w:rsidRDefault="00245EE4" w:rsidP="00E12A58">
            <w:pPr>
              <w:tabs>
                <w:tab w:val="right" w:pos="1202"/>
              </w:tabs>
              <w:jc w:val="right"/>
              <w:outlineLvl w:val="0"/>
              <w:rPr>
                <w:rFonts w:ascii="Arial" w:hAnsi="Arial" w:cs="Arial"/>
                <w:b/>
                <w:bCs/>
                <w:color w:val="000000" w:themeColor="text1"/>
                <w:sz w:val="18"/>
                <w:szCs w:val="18"/>
              </w:rPr>
            </w:pPr>
          </w:p>
        </w:tc>
        <w:tc>
          <w:tcPr>
            <w:tcW w:w="625" w:type="pct"/>
            <w:tcBorders>
              <w:top w:val="single" w:sz="12" w:space="0" w:color="auto"/>
            </w:tcBorders>
            <w:vAlign w:val="bottom"/>
          </w:tcPr>
          <w:p w14:paraId="5DCB8DF4" w14:textId="77777777" w:rsidR="00245EE4" w:rsidRPr="006F3C83" w:rsidRDefault="00245EE4" w:rsidP="00E12A58">
            <w:pPr>
              <w:tabs>
                <w:tab w:val="right" w:pos="1202"/>
              </w:tabs>
              <w:jc w:val="right"/>
              <w:outlineLvl w:val="0"/>
              <w:rPr>
                <w:rFonts w:ascii="Arial" w:hAnsi="Arial" w:cs="Arial"/>
                <w:b/>
                <w:bCs/>
                <w:color w:val="000000" w:themeColor="text1"/>
                <w:sz w:val="18"/>
                <w:szCs w:val="18"/>
              </w:rPr>
            </w:pPr>
          </w:p>
        </w:tc>
        <w:tc>
          <w:tcPr>
            <w:tcW w:w="624" w:type="pct"/>
            <w:tcBorders>
              <w:top w:val="single" w:sz="12" w:space="0" w:color="auto"/>
            </w:tcBorders>
            <w:vAlign w:val="bottom"/>
          </w:tcPr>
          <w:p w14:paraId="6511B011" w14:textId="77777777" w:rsidR="00245EE4" w:rsidRPr="006F3C83" w:rsidRDefault="00245EE4" w:rsidP="00E12A58">
            <w:pPr>
              <w:tabs>
                <w:tab w:val="right" w:pos="1202"/>
              </w:tabs>
              <w:jc w:val="right"/>
              <w:outlineLvl w:val="0"/>
              <w:rPr>
                <w:rFonts w:ascii="Arial" w:hAnsi="Arial" w:cs="Arial"/>
                <w:b/>
                <w:bCs/>
                <w:color w:val="000000" w:themeColor="text1"/>
                <w:sz w:val="18"/>
                <w:szCs w:val="18"/>
              </w:rPr>
            </w:pPr>
          </w:p>
        </w:tc>
      </w:tr>
      <w:tr w:rsidR="00245EE4" w:rsidRPr="006F3C83" w14:paraId="528C2E26" w14:textId="77777777" w:rsidTr="00E12A58">
        <w:tblPrEx>
          <w:tblCellMar>
            <w:left w:w="31" w:type="dxa"/>
            <w:right w:w="31" w:type="dxa"/>
          </w:tblCellMar>
        </w:tblPrEx>
        <w:trPr>
          <w:cantSplit/>
          <w:trHeight w:val="70"/>
          <w:tblHeader/>
        </w:trPr>
        <w:tc>
          <w:tcPr>
            <w:tcW w:w="2501" w:type="pct"/>
            <w:vAlign w:val="bottom"/>
          </w:tcPr>
          <w:p w14:paraId="745A3514" w14:textId="77777777" w:rsidR="00245EE4" w:rsidRPr="009C411C" w:rsidRDefault="00245EE4" w:rsidP="00E12A58">
            <w:pPr>
              <w:pStyle w:val="TT"/>
              <w:spacing w:before="120" w:line="300" w:lineRule="exact"/>
              <w:jc w:val="both"/>
              <w:outlineLvl w:val="9"/>
              <w:rPr>
                <w:rFonts w:cs="Arial"/>
                <w:b/>
                <w:bCs/>
                <w:color w:val="000000" w:themeColor="text1"/>
                <w:sz w:val="18"/>
                <w:szCs w:val="18"/>
                <w:lang w:val="hr-HR"/>
              </w:rPr>
            </w:pPr>
            <w:r w:rsidRPr="009C411C">
              <w:rPr>
                <w:rFonts w:cs="Arial"/>
                <w:b/>
                <w:bCs/>
                <w:color w:val="000000" w:themeColor="text1"/>
                <w:sz w:val="18"/>
                <w:szCs w:val="18"/>
                <w:lang w:val="hr-HR"/>
              </w:rPr>
              <w:t>Ukupna izloženost kreditnom riziku</w:t>
            </w:r>
          </w:p>
        </w:tc>
        <w:tc>
          <w:tcPr>
            <w:tcW w:w="625" w:type="pct"/>
            <w:tcBorders>
              <w:top w:val="nil"/>
              <w:left w:val="nil"/>
              <w:bottom w:val="single" w:sz="12" w:space="0" w:color="auto"/>
              <w:right w:val="nil"/>
            </w:tcBorders>
            <w:shd w:val="clear" w:color="auto" w:fill="auto"/>
            <w:vAlign w:val="bottom"/>
          </w:tcPr>
          <w:p w14:paraId="43B32724" w14:textId="77777777" w:rsidR="00245EE4" w:rsidRPr="006F3C83" w:rsidRDefault="00245EE4" w:rsidP="00E12A58">
            <w:pPr>
              <w:tabs>
                <w:tab w:val="right" w:pos="1202"/>
              </w:tabs>
              <w:spacing w:line="301" w:lineRule="exact"/>
              <w:jc w:val="right"/>
              <w:outlineLvl w:val="0"/>
              <w:rPr>
                <w:rFonts w:ascii="Arial" w:hAnsi="Arial" w:cs="Arial"/>
                <w:b/>
                <w:bCs/>
                <w:color w:val="000000" w:themeColor="text1"/>
                <w:sz w:val="18"/>
                <w:szCs w:val="18"/>
              </w:rPr>
            </w:pPr>
            <w:r w:rsidRPr="00F959D0">
              <w:rPr>
                <w:rFonts w:ascii="Arial" w:hAnsi="Arial" w:cs="Arial"/>
                <w:b/>
                <w:bCs/>
                <w:color w:val="000000" w:themeColor="text1"/>
                <w:sz w:val="18"/>
                <w:szCs w:val="18"/>
              </w:rPr>
              <w:t xml:space="preserve"> 4.414.682 </w:t>
            </w:r>
          </w:p>
        </w:tc>
        <w:tc>
          <w:tcPr>
            <w:tcW w:w="625" w:type="pct"/>
            <w:tcBorders>
              <w:top w:val="nil"/>
              <w:left w:val="nil"/>
              <w:bottom w:val="single" w:sz="12" w:space="0" w:color="auto"/>
              <w:right w:val="nil"/>
            </w:tcBorders>
            <w:shd w:val="clear" w:color="auto" w:fill="auto"/>
            <w:vAlign w:val="bottom"/>
          </w:tcPr>
          <w:p w14:paraId="4AF1790D" w14:textId="77777777" w:rsidR="00245EE4" w:rsidRPr="006F3C83" w:rsidRDefault="00245EE4" w:rsidP="00E12A58">
            <w:pPr>
              <w:tabs>
                <w:tab w:val="right" w:pos="1202"/>
              </w:tabs>
              <w:spacing w:line="301" w:lineRule="exact"/>
              <w:jc w:val="right"/>
              <w:outlineLvl w:val="0"/>
              <w:rPr>
                <w:rFonts w:ascii="Arial" w:hAnsi="Arial" w:cs="Arial"/>
                <w:b/>
                <w:bCs/>
                <w:color w:val="000000" w:themeColor="text1"/>
                <w:sz w:val="18"/>
                <w:szCs w:val="18"/>
              </w:rPr>
            </w:pPr>
            <w:r w:rsidRPr="00F959D0">
              <w:rPr>
                <w:rFonts w:ascii="Arial" w:hAnsi="Arial" w:cs="Arial"/>
                <w:b/>
                <w:bCs/>
                <w:color w:val="000000" w:themeColor="text1"/>
                <w:sz w:val="18"/>
                <w:szCs w:val="18"/>
              </w:rPr>
              <w:t xml:space="preserve"> 35.556 </w:t>
            </w:r>
          </w:p>
        </w:tc>
        <w:tc>
          <w:tcPr>
            <w:tcW w:w="625" w:type="pct"/>
            <w:tcBorders>
              <w:top w:val="nil"/>
              <w:left w:val="nil"/>
              <w:bottom w:val="single" w:sz="12" w:space="0" w:color="auto"/>
              <w:right w:val="nil"/>
            </w:tcBorders>
            <w:shd w:val="clear" w:color="auto" w:fill="auto"/>
            <w:vAlign w:val="bottom"/>
          </w:tcPr>
          <w:p w14:paraId="2CBDD3EC" w14:textId="77777777" w:rsidR="00245EE4" w:rsidRPr="006F3C83" w:rsidRDefault="00245EE4" w:rsidP="00E12A58">
            <w:pPr>
              <w:tabs>
                <w:tab w:val="right" w:pos="1202"/>
              </w:tabs>
              <w:spacing w:line="301" w:lineRule="exact"/>
              <w:jc w:val="right"/>
              <w:outlineLvl w:val="0"/>
              <w:rPr>
                <w:rFonts w:ascii="Arial" w:hAnsi="Arial" w:cs="Arial"/>
                <w:b/>
                <w:bCs/>
                <w:color w:val="000000" w:themeColor="text1"/>
                <w:sz w:val="18"/>
                <w:szCs w:val="18"/>
              </w:rPr>
            </w:pPr>
            <w:r w:rsidRPr="00F959D0">
              <w:rPr>
                <w:rFonts w:ascii="Arial" w:hAnsi="Arial" w:cs="Arial"/>
                <w:b/>
                <w:bCs/>
                <w:color w:val="000000" w:themeColor="text1"/>
                <w:sz w:val="18"/>
                <w:szCs w:val="18"/>
              </w:rPr>
              <w:t xml:space="preserve"> 7.695 </w:t>
            </w:r>
          </w:p>
        </w:tc>
        <w:tc>
          <w:tcPr>
            <w:tcW w:w="624" w:type="pct"/>
            <w:tcBorders>
              <w:top w:val="nil"/>
              <w:left w:val="nil"/>
              <w:bottom w:val="single" w:sz="12" w:space="0" w:color="auto"/>
              <w:right w:val="nil"/>
            </w:tcBorders>
            <w:shd w:val="clear" w:color="auto" w:fill="auto"/>
            <w:vAlign w:val="bottom"/>
          </w:tcPr>
          <w:p w14:paraId="0977C34E" w14:textId="77777777" w:rsidR="00245EE4" w:rsidRPr="006F3C83" w:rsidRDefault="00245EE4" w:rsidP="00E12A58">
            <w:pPr>
              <w:tabs>
                <w:tab w:val="right" w:pos="1202"/>
              </w:tabs>
              <w:spacing w:line="301" w:lineRule="exact"/>
              <w:jc w:val="right"/>
              <w:outlineLvl w:val="0"/>
              <w:rPr>
                <w:rFonts w:ascii="Arial" w:hAnsi="Arial" w:cs="Arial"/>
                <w:b/>
                <w:bCs/>
                <w:color w:val="000000" w:themeColor="text1"/>
                <w:sz w:val="18"/>
                <w:szCs w:val="18"/>
              </w:rPr>
            </w:pPr>
            <w:r w:rsidRPr="00F959D0">
              <w:rPr>
                <w:rFonts w:ascii="Arial" w:hAnsi="Arial" w:cs="Arial"/>
                <w:b/>
                <w:bCs/>
                <w:color w:val="000000" w:themeColor="text1"/>
                <w:sz w:val="18"/>
                <w:szCs w:val="18"/>
              </w:rPr>
              <w:t xml:space="preserve"> 4.457.933 </w:t>
            </w:r>
          </w:p>
        </w:tc>
      </w:tr>
    </w:tbl>
    <w:p w14:paraId="1EE44FDE" w14:textId="08D06065" w:rsidR="001A0FCB" w:rsidRPr="003D1614" w:rsidRDefault="001A0FCB" w:rsidP="003311C4">
      <w:pPr>
        <w:suppressAutoHyphens/>
        <w:autoSpaceDN w:val="0"/>
        <w:jc w:val="both"/>
        <w:rPr>
          <w:rFonts w:ascii="Arial" w:eastAsia="Times New Roman" w:hAnsi="Arial" w:cs="Arial"/>
          <w:color w:val="000000" w:themeColor="text1"/>
          <w:sz w:val="20"/>
          <w:szCs w:val="20"/>
        </w:rPr>
      </w:pPr>
    </w:p>
    <w:p w14:paraId="792A38E2" w14:textId="77777777" w:rsidR="001A0FCB" w:rsidRPr="003D1614" w:rsidRDefault="001A0FCB" w:rsidP="003311C4">
      <w:pPr>
        <w:suppressAutoHyphens/>
        <w:autoSpaceDN w:val="0"/>
        <w:jc w:val="both"/>
        <w:rPr>
          <w:rFonts w:ascii="Arial" w:eastAsia="Times New Roman" w:hAnsi="Arial" w:cs="Arial"/>
          <w:color w:val="000000" w:themeColor="text1"/>
          <w:sz w:val="20"/>
          <w:szCs w:val="20"/>
        </w:rPr>
        <w:sectPr w:rsidR="001A0FCB" w:rsidRPr="003D1614">
          <w:pgSz w:w="11906" w:h="16838"/>
          <w:pgMar w:top="1417" w:right="1417" w:bottom="1417" w:left="1417" w:header="708" w:footer="708" w:gutter="0"/>
          <w:cols w:space="708"/>
          <w:docGrid w:linePitch="360"/>
        </w:sectPr>
      </w:pPr>
    </w:p>
    <w:p w14:paraId="464EE674"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5BEBB90B" w14:textId="01C1761D" w:rsidR="001A0FCB" w:rsidRPr="003D1614" w:rsidRDefault="001A0FCB" w:rsidP="001A0FCB">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7D26D114"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552FF6A8" w14:textId="36C829BD" w:rsidR="001A0FCB" w:rsidRPr="003D1614" w:rsidRDefault="001A0FCB" w:rsidP="001A0FCB">
      <w:pPr>
        <w:keepNext/>
        <w:tabs>
          <w:tab w:val="left" w:pos="567"/>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2C1677C1"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74FCF017"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Koncentracija rizika i maksimalna izloženost kreditnom riziku (nastavak)</w:t>
      </w:r>
    </w:p>
    <w:p w14:paraId="26939F6A" w14:textId="77777777" w:rsidR="001A0FCB" w:rsidRPr="003D1614" w:rsidRDefault="001A0FCB" w:rsidP="001A0FCB">
      <w:pPr>
        <w:tabs>
          <w:tab w:val="right" w:pos="1202"/>
        </w:tabs>
        <w:suppressAutoHyphens/>
        <w:autoSpaceDN w:val="0"/>
        <w:outlineLvl w:val="0"/>
        <w:rPr>
          <w:rFonts w:ascii="Arial" w:eastAsia="Times New Roman" w:hAnsi="Arial" w:cs="Arial"/>
          <w:color w:val="000000" w:themeColor="text1"/>
          <w:sz w:val="20"/>
          <w:szCs w:val="20"/>
        </w:rPr>
      </w:pPr>
    </w:p>
    <w:p w14:paraId="08575F22" w14:textId="77777777" w:rsidR="001A0FCB" w:rsidRPr="003D1614" w:rsidRDefault="001A0FCB" w:rsidP="001A0FCB">
      <w:pPr>
        <w:tabs>
          <w:tab w:val="right" w:pos="1202"/>
        </w:tabs>
        <w:suppressAutoHyphens/>
        <w:autoSpaceDN w:val="0"/>
        <w:jc w:val="both"/>
        <w:outlineLvl w:val="0"/>
        <w:rPr>
          <w:rFonts w:ascii="Arial" w:eastAsia="Times New Roman" w:hAnsi="Arial" w:cs="Arial"/>
          <w:color w:val="000000" w:themeColor="text1"/>
          <w:sz w:val="20"/>
          <w:szCs w:val="20"/>
        </w:rPr>
      </w:pPr>
      <w:bookmarkStart w:id="663" w:name="_Toc67329624"/>
      <w:r w:rsidRPr="003D1614">
        <w:rPr>
          <w:rFonts w:ascii="Arial" w:eastAsia="Times New Roman" w:hAnsi="Arial" w:cs="Arial"/>
          <w:color w:val="000000" w:themeColor="text1"/>
          <w:sz w:val="20"/>
          <w:szCs w:val="20"/>
        </w:rPr>
        <w:t>Koncentracija imovine i garancija te preuzetih obveza prema industrijskim granama, neto</w:t>
      </w:r>
      <w:r w:rsidRPr="003D1614">
        <w:rPr>
          <w:rFonts w:ascii="Arial" w:eastAsia="Times New Roman" w:hAnsi="Arial" w:cs="Arial"/>
          <w:b/>
          <w:color w:val="000000" w:themeColor="text1"/>
          <w:sz w:val="20"/>
          <w:szCs w:val="20"/>
        </w:rPr>
        <w:t xml:space="preserve"> </w:t>
      </w:r>
      <w:r w:rsidRPr="003D1614">
        <w:rPr>
          <w:rFonts w:ascii="Arial" w:eastAsia="Times New Roman" w:hAnsi="Arial" w:cs="Arial"/>
          <w:color w:val="000000" w:themeColor="text1"/>
          <w:sz w:val="20"/>
          <w:szCs w:val="20"/>
        </w:rPr>
        <w:t>izloženost, prije i nakon uzimanja u obzir primljenih instrumenata osiguranja:</w:t>
      </w:r>
      <w:bookmarkEnd w:id="663"/>
    </w:p>
    <w:p w14:paraId="1AE9429E" w14:textId="60CB8E50" w:rsidR="001A0FCB" w:rsidRPr="003D1614" w:rsidRDefault="001A0FCB" w:rsidP="001A0FCB">
      <w:pPr>
        <w:tabs>
          <w:tab w:val="right" w:pos="1202"/>
        </w:tabs>
        <w:suppressAutoHyphens/>
        <w:autoSpaceDN w:val="0"/>
        <w:outlineLvl w:val="0"/>
        <w:rPr>
          <w:rFonts w:ascii="Arial" w:eastAsia="Times New Roman" w:hAnsi="Arial" w:cs="Arial"/>
          <w:color w:val="000000" w:themeColor="text1"/>
          <w:sz w:val="20"/>
          <w:szCs w:val="20"/>
        </w:rPr>
      </w:pPr>
    </w:p>
    <w:p w14:paraId="7C1F7CEF" w14:textId="77777777" w:rsidR="001A0FCB" w:rsidRPr="003D1614" w:rsidRDefault="001A0FCB" w:rsidP="001A0FCB">
      <w:pPr>
        <w:tabs>
          <w:tab w:val="right" w:pos="1202"/>
        </w:tabs>
        <w:suppressAutoHyphens/>
        <w:autoSpaceDN w:val="0"/>
        <w:outlineLvl w:val="0"/>
        <w:rPr>
          <w:rFonts w:ascii="Arial" w:eastAsia="Times New Roman" w:hAnsi="Arial" w:cs="Arial"/>
          <w:color w:val="000000" w:themeColor="text1"/>
          <w:sz w:val="20"/>
          <w:szCs w:val="20"/>
        </w:rPr>
      </w:pPr>
    </w:p>
    <w:tbl>
      <w:tblPr>
        <w:tblpPr w:leftFromText="181" w:rightFromText="181" w:vertAnchor="text" w:tblpY="1"/>
        <w:tblOverlap w:val="never"/>
        <w:tblW w:w="4948" w:type="pct"/>
        <w:tblLayout w:type="fixed"/>
        <w:tblCellMar>
          <w:left w:w="30" w:type="dxa"/>
          <w:right w:w="30" w:type="dxa"/>
        </w:tblCellMar>
        <w:tblLook w:val="0000" w:firstRow="0" w:lastRow="0" w:firstColumn="0" w:lastColumn="0" w:noHBand="0" w:noVBand="0"/>
      </w:tblPr>
      <w:tblGrid>
        <w:gridCol w:w="4508"/>
        <w:gridCol w:w="1101"/>
        <w:gridCol w:w="1101"/>
        <w:gridCol w:w="1135"/>
        <w:gridCol w:w="1133"/>
      </w:tblGrid>
      <w:tr w:rsidR="001A0FCB" w:rsidRPr="003D1614" w14:paraId="1579532E" w14:textId="77777777" w:rsidTr="00617755">
        <w:trPr>
          <w:cantSplit/>
          <w:trHeight w:val="709"/>
          <w:tblHeader/>
        </w:trPr>
        <w:tc>
          <w:tcPr>
            <w:tcW w:w="2511" w:type="pct"/>
            <w:vAlign w:val="bottom"/>
          </w:tcPr>
          <w:p w14:paraId="07742E85" w14:textId="77777777" w:rsidR="001A0FCB" w:rsidRPr="003D1614" w:rsidRDefault="001A0FCB" w:rsidP="001A0FCB">
            <w:pPr>
              <w:tabs>
                <w:tab w:val="right" w:pos="1202"/>
              </w:tabs>
              <w:suppressAutoHyphens/>
              <w:autoSpaceDN w:val="0"/>
              <w:spacing w:line="240" w:lineRule="atLeast"/>
              <w:outlineLvl w:val="0"/>
              <w:rPr>
                <w:rFonts w:ascii="Arial" w:eastAsia="Times New Roman" w:hAnsi="Arial" w:cs="Arial"/>
                <w:b/>
                <w:color w:val="000000" w:themeColor="text1"/>
                <w:sz w:val="18"/>
                <w:szCs w:val="18"/>
              </w:rPr>
            </w:pPr>
            <w:bookmarkStart w:id="664" w:name="_Toc67329625"/>
            <w:r w:rsidRPr="003D1614">
              <w:rPr>
                <w:rFonts w:ascii="Arial" w:eastAsia="Times New Roman" w:hAnsi="Arial" w:cs="Arial"/>
                <w:b/>
                <w:color w:val="000000" w:themeColor="text1"/>
                <w:sz w:val="18"/>
                <w:szCs w:val="18"/>
              </w:rPr>
              <w:t>Grupa</w:t>
            </w:r>
            <w:bookmarkEnd w:id="664"/>
          </w:p>
        </w:tc>
        <w:tc>
          <w:tcPr>
            <w:tcW w:w="613" w:type="pct"/>
            <w:vAlign w:val="bottom"/>
          </w:tcPr>
          <w:p w14:paraId="0F29595E" w14:textId="7777777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65" w:name="_Toc67329626"/>
            <w:r w:rsidRPr="003D1614">
              <w:rPr>
                <w:rFonts w:ascii="Arial" w:eastAsia="Times New Roman" w:hAnsi="Arial" w:cs="Arial"/>
                <w:b/>
                <w:color w:val="000000" w:themeColor="text1"/>
                <w:sz w:val="18"/>
                <w:szCs w:val="18"/>
              </w:rPr>
              <w:t>Neto najveća izloženost</w:t>
            </w:r>
            <w:bookmarkEnd w:id="665"/>
          </w:p>
        </w:tc>
        <w:tc>
          <w:tcPr>
            <w:tcW w:w="613" w:type="pct"/>
            <w:vAlign w:val="bottom"/>
          </w:tcPr>
          <w:p w14:paraId="405635B4" w14:textId="7777777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66" w:name="_Toc67329627"/>
            <w:r w:rsidRPr="003D1614">
              <w:rPr>
                <w:rFonts w:ascii="Arial" w:eastAsia="Times New Roman" w:hAnsi="Arial" w:cs="Arial"/>
                <w:b/>
                <w:color w:val="000000" w:themeColor="text1"/>
                <w:sz w:val="18"/>
                <w:szCs w:val="18"/>
              </w:rPr>
              <w:t>Neto najveća izloženost nakon umanjenja za sredstva osiguranja</w:t>
            </w:r>
            <w:bookmarkEnd w:id="666"/>
          </w:p>
        </w:tc>
        <w:tc>
          <w:tcPr>
            <w:tcW w:w="632" w:type="pct"/>
            <w:vAlign w:val="bottom"/>
          </w:tcPr>
          <w:p w14:paraId="465709F7" w14:textId="7777777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67" w:name="_Toc67329628"/>
            <w:r w:rsidRPr="003D1614">
              <w:rPr>
                <w:rFonts w:ascii="Arial" w:eastAsia="Times New Roman" w:hAnsi="Arial" w:cs="Arial"/>
                <w:b/>
                <w:color w:val="000000" w:themeColor="text1"/>
                <w:sz w:val="18"/>
                <w:szCs w:val="18"/>
              </w:rPr>
              <w:t>Neto najveća izloženost</w:t>
            </w:r>
            <w:bookmarkEnd w:id="667"/>
          </w:p>
        </w:tc>
        <w:tc>
          <w:tcPr>
            <w:tcW w:w="631" w:type="pct"/>
            <w:vAlign w:val="bottom"/>
          </w:tcPr>
          <w:p w14:paraId="14261ED3" w14:textId="7777777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68" w:name="_Toc67329629"/>
            <w:r w:rsidRPr="003D1614">
              <w:rPr>
                <w:rFonts w:ascii="Arial" w:eastAsia="Times New Roman" w:hAnsi="Arial" w:cs="Arial"/>
                <w:b/>
                <w:color w:val="000000" w:themeColor="text1"/>
                <w:sz w:val="18"/>
                <w:szCs w:val="18"/>
              </w:rPr>
              <w:t>Neto najveća izloženost  nakon umanjenja za sredstva osiguranja</w:t>
            </w:r>
            <w:bookmarkEnd w:id="668"/>
          </w:p>
        </w:tc>
      </w:tr>
      <w:tr w:rsidR="001A0FCB" w:rsidRPr="003D1614" w14:paraId="47AC4B4D" w14:textId="77777777" w:rsidTr="00617755">
        <w:trPr>
          <w:cantSplit/>
          <w:trHeight w:val="250"/>
          <w:tblHeader/>
        </w:trPr>
        <w:tc>
          <w:tcPr>
            <w:tcW w:w="2511" w:type="pct"/>
          </w:tcPr>
          <w:p w14:paraId="6A78CCF9" w14:textId="77777777" w:rsidR="001A0FCB" w:rsidRPr="003D1614" w:rsidRDefault="001A0FCB" w:rsidP="001A0FCB">
            <w:pPr>
              <w:suppressAutoHyphens/>
              <w:autoSpaceDN w:val="0"/>
              <w:ind w:left="113" w:hanging="113"/>
              <w:rPr>
                <w:rFonts w:ascii="Arial" w:eastAsia="Times New Roman" w:hAnsi="Arial" w:cs="Arial"/>
                <w:color w:val="000000" w:themeColor="text1"/>
                <w:sz w:val="18"/>
                <w:szCs w:val="18"/>
              </w:rPr>
            </w:pPr>
          </w:p>
        </w:tc>
        <w:tc>
          <w:tcPr>
            <w:tcW w:w="613" w:type="pct"/>
            <w:vAlign w:val="bottom"/>
          </w:tcPr>
          <w:p w14:paraId="375C4E50" w14:textId="00A4E663"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69" w:name="_Toc67329630"/>
            <w:r w:rsidRPr="003D1614">
              <w:rPr>
                <w:rFonts w:ascii="Arial" w:eastAsia="Times New Roman" w:hAnsi="Arial" w:cs="Arial"/>
                <w:b/>
                <w:color w:val="000000" w:themeColor="text1"/>
                <w:sz w:val="18"/>
                <w:szCs w:val="18"/>
              </w:rPr>
              <w:t>31. ožujka 202</w:t>
            </w:r>
            <w:r w:rsidR="000A03CA">
              <w:rPr>
                <w:rFonts w:ascii="Arial" w:eastAsia="Times New Roman" w:hAnsi="Arial" w:cs="Arial"/>
                <w:b/>
                <w:color w:val="000000" w:themeColor="text1"/>
                <w:sz w:val="18"/>
                <w:szCs w:val="18"/>
              </w:rPr>
              <w:t>4</w:t>
            </w:r>
            <w:r w:rsidRPr="003D1614">
              <w:rPr>
                <w:rFonts w:ascii="Arial" w:eastAsia="Times New Roman" w:hAnsi="Arial" w:cs="Arial"/>
                <w:b/>
                <w:color w:val="000000" w:themeColor="text1"/>
                <w:sz w:val="18"/>
                <w:szCs w:val="18"/>
              </w:rPr>
              <w:t>.</w:t>
            </w:r>
            <w:bookmarkEnd w:id="669"/>
          </w:p>
        </w:tc>
        <w:tc>
          <w:tcPr>
            <w:tcW w:w="613" w:type="pct"/>
            <w:vAlign w:val="bottom"/>
          </w:tcPr>
          <w:p w14:paraId="6B353571" w14:textId="7238891D"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70" w:name="_Toc67329631"/>
            <w:r w:rsidRPr="003D1614">
              <w:rPr>
                <w:rFonts w:ascii="Arial" w:eastAsia="Times New Roman" w:hAnsi="Arial" w:cs="Arial"/>
                <w:b/>
                <w:color w:val="000000" w:themeColor="text1"/>
                <w:sz w:val="18"/>
                <w:szCs w:val="18"/>
              </w:rPr>
              <w:t>31. ožujka 202</w:t>
            </w:r>
            <w:r w:rsidR="000A03CA">
              <w:rPr>
                <w:rFonts w:ascii="Arial" w:eastAsia="Times New Roman" w:hAnsi="Arial" w:cs="Arial"/>
                <w:b/>
                <w:color w:val="000000" w:themeColor="text1"/>
                <w:sz w:val="18"/>
                <w:szCs w:val="18"/>
              </w:rPr>
              <w:t>4</w:t>
            </w:r>
            <w:r w:rsidRPr="003D1614">
              <w:rPr>
                <w:rFonts w:ascii="Arial" w:eastAsia="Times New Roman" w:hAnsi="Arial" w:cs="Arial"/>
                <w:b/>
                <w:color w:val="000000" w:themeColor="text1"/>
                <w:sz w:val="18"/>
                <w:szCs w:val="18"/>
              </w:rPr>
              <w:t>.</w:t>
            </w:r>
            <w:bookmarkEnd w:id="670"/>
          </w:p>
        </w:tc>
        <w:tc>
          <w:tcPr>
            <w:tcW w:w="632" w:type="pct"/>
            <w:vAlign w:val="bottom"/>
          </w:tcPr>
          <w:p w14:paraId="73501CD8" w14:textId="4AD8342C"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71" w:name="_Toc67329632"/>
            <w:r w:rsidRPr="003D1614">
              <w:rPr>
                <w:rFonts w:ascii="Arial" w:eastAsia="Times New Roman" w:hAnsi="Arial" w:cs="Arial"/>
                <w:b/>
                <w:color w:val="000000" w:themeColor="text1"/>
                <w:sz w:val="18"/>
                <w:szCs w:val="18"/>
              </w:rPr>
              <w:t>31. prosinca 202</w:t>
            </w:r>
            <w:r w:rsidR="000A03CA">
              <w:rPr>
                <w:rFonts w:ascii="Arial" w:eastAsia="Times New Roman" w:hAnsi="Arial" w:cs="Arial"/>
                <w:b/>
                <w:color w:val="000000" w:themeColor="text1"/>
                <w:sz w:val="18"/>
                <w:szCs w:val="18"/>
              </w:rPr>
              <w:t>3</w:t>
            </w:r>
            <w:r w:rsidRPr="003D1614">
              <w:rPr>
                <w:rFonts w:ascii="Arial" w:eastAsia="Times New Roman" w:hAnsi="Arial" w:cs="Arial"/>
                <w:b/>
                <w:color w:val="000000" w:themeColor="text1"/>
                <w:sz w:val="18"/>
                <w:szCs w:val="18"/>
              </w:rPr>
              <w:t>.</w:t>
            </w:r>
            <w:bookmarkEnd w:id="671"/>
          </w:p>
        </w:tc>
        <w:tc>
          <w:tcPr>
            <w:tcW w:w="631" w:type="pct"/>
            <w:vAlign w:val="bottom"/>
          </w:tcPr>
          <w:p w14:paraId="636F80C7" w14:textId="109E985F"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72" w:name="_Toc67329633"/>
            <w:r w:rsidRPr="003D1614">
              <w:rPr>
                <w:rFonts w:ascii="Arial" w:eastAsia="Times New Roman" w:hAnsi="Arial" w:cs="Arial"/>
                <w:b/>
                <w:color w:val="000000" w:themeColor="text1"/>
                <w:sz w:val="18"/>
                <w:szCs w:val="18"/>
              </w:rPr>
              <w:t>31. prosinca 202</w:t>
            </w:r>
            <w:r w:rsidR="000A03CA">
              <w:rPr>
                <w:rFonts w:ascii="Arial" w:eastAsia="Times New Roman" w:hAnsi="Arial" w:cs="Arial"/>
                <w:b/>
                <w:color w:val="000000" w:themeColor="text1"/>
                <w:sz w:val="18"/>
                <w:szCs w:val="18"/>
              </w:rPr>
              <w:t>3</w:t>
            </w:r>
            <w:r w:rsidRPr="003D1614">
              <w:rPr>
                <w:rFonts w:ascii="Arial" w:eastAsia="Times New Roman" w:hAnsi="Arial" w:cs="Arial"/>
                <w:b/>
                <w:color w:val="000000" w:themeColor="text1"/>
                <w:sz w:val="18"/>
                <w:szCs w:val="18"/>
              </w:rPr>
              <w:t>.</w:t>
            </w:r>
            <w:bookmarkEnd w:id="672"/>
          </w:p>
        </w:tc>
      </w:tr>
      <w:tr w:rsidR="001A0FCB" w:rsidRPr="003D1614" w14:paraId="1A53B032" w14:textId="77777777" w:rsidTr="00617755">
        <w:trPr>
          <w:cantSplit/>
          <w:trHeight w:val="250"/>
          <w:tblHeader/>
        </w:trPr>
        <w:tc>
          <w:tcPr>
            <w:tcW w:w="2511" w:type="pct"/>
          </w:tcPr>
          <w:p w14:paraId="37D1B03A" w14:textId="77777777" w:rsidR="001A0FCB" w:rsidRPr="003D1614" w:rsidRDefault="001A0FCB" w:rsidP="001A0FCB">
            <w:pPr>
              <w:suppressAutoHyphens/>
              <w:autoSpaceDN w:val="0"/>
              <w:ind w:left="113" w:hanging="113"/>
              <w:rPr>
                <w:rFonts w:ascii="Arial" w:eastAsia="Times New Roman" w:hAnsi="Arial" w:cs="Arial"/>
                <w:color w:val="000000" w:themeColor="text1"/>
                <w:sz w:val="18"/>
                <w:szCs w:val="18"/>
              </w:rPr>
            </w:pPr>
          </w:p>
        </w:tc>
        <w:tc>
          <w:tcPr>
            <w:tcW w:w="613" w:type="pct"/>
            <w:vAlign w:val="bottom"/>
          </w:tcPr>
          <w:p w14:paraId="02626017" w14:textId="7043A597"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73" w:name="_Toc67329634"/>
            <w:r w:rsidRPr="003D1614">
              <w:rPr>
                <w:rFonts w:ascii="Arial" w:eastAsia="Times New Roman" w:hAnsi="Arial" w:cs="Arial"/>
                <w:b/>
                <w:color w:val="000000" w:themeColor="text1"/>
                <w:sz w:val="18"/>
                <w:szCs w:val="18"/>
              </w:rPr>
              <w:t>000 eura</w:t>
            </w:r>
            <w:bookmarkEnd w:id="673"/>
          </w:p>
        </w:tc>
        <w:tc>
          <w:tcPr>
            <w:tcW w:w="613" w:type="pct"/>
            <w:vAlign w:val="bottom"/>
          </w:tcPr>
          <w:p w14:paraId="130CFC9E" w14:textId="48C4A863"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74" w:name="_Toc67329635"/>
            <w:r w:rsidRPr="003D1614">
              <w:rPr>
                <w:rFonts w:ascii="Arial" w:eastAsia="Times New Roman" w:hAnsi="Arial" w:cs="Arial"/>
                <w:b/>
                <w:color w:val="000000" w:themeColor="text1"/>
                <w:sz w:val="18"/>
                <w:szCs w:val="18"/>
              </w:rPr>
              <w:t>000 eura</w:t>
            </w:r>
            <w:bookmarkEnd w:id="674"/>
          </w:p>
        </w:tc>
        <w:tc>
          <w:tcPr>
            <w:tcW w:w="632" w:type="pct"/>
            <w:vAlign w:val="bottom"/>
          </w:tcPr>
          <w:p w14:paraId="7443FDF5" w14:textId="1930097B"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75" w:name="_Toc67329636"/>
            <w:r w:rsidRPr="003D1614">
              <w:rPr>
                <w:rFonts w:ascii="Arial" w:eastAsia="Times New Roman" w:hAnsi="Arial" w:cs="Arial"/>
                <w:b/>
                <w:color w:val="000000" w:themeColor="text1"/>
                <w:sz w:val="18"/>
                <w:szCs w:val="18"/>
              </w:rPr>
              <w:t>000 eura</w:t>
            </w:r>
            <w:bookmarkEnd w:id="675"/>
          </w:p>
        </w:tc>
        <w:tc>
          <w:tcPr>
            <w:tcW w:w="631" w:type="pct"/>
            <w:vAlign w:val="bottom"/>
          </w:tcPr>
          <w:p w14:paraId="6F729890" w14:textId="333EDE2D" w:rsidR="001A0FCB" w:rsidRPr="003D1614" w:rsidRDefault="001A0FCB" w:rsidP="001A0FCB">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76" w:name="_Toc67329637"/>
            <w:r w:rsidRPr="003D1614">
              <w:rPr>
                <w:rFonts w:ascii="Arial" w:eastAsia="Times New Roman" w:hAnsi="Arial" w:cs="Arial"/>
                <w:b/>
                <w:color w:val="000000" w:themeColor="text1"/>
                <w:sz w:val="18"/>
                <w:szCs w:val="18"/>
              </w:rPr>
              <w:t>000 eura</w:t>
            </w:r>
            <w:bookmarkEnd w:id="676"/>
          </w:p>
        </w:tc>
      </w:tr>
      <w:tr w:rsidR="001A0FCB" w:rsidRPr="003D1614" w14:paraId="5083C9A8" w14:textId="77777777" w:rsidTr="00617755">
        <w:trPr>
          <w:cantSplit/>
          <w:trHeight w:val="56"/>
          <w:tblHeader/>
        </w:trPr>
        <w:tc>
          <w:tcPr>
            <w:tcW w:w="2511" w:type="pct"/>
            <w:vAlign w:val="bottom"/>
          </w:tcPr>
          <w:p w14:paraId="179B2696" w14:textId="77777777" w:rsidR="001A0FCB" w:rsidRPr="003D1614" w:rsidRDefault="001A0FCB" w:rsidP="001A0FCB">
            <w:pPr>
              <w:suppressAutoHyphens/>
              <w:autoSpaceDN w:val="0"/>
              <w:ind w:left="113" w:hanging="113"/>
              <w:jc w:val="right"/>
              <w:rPr>
                <w:rFonts w:ascii="Arial" w:eastAsia="Times New Roman" w:hAnsi="Arial" w:cs="Arial"/>
                <w:color w:val="000000" w:themeColor="text1"/>
                <w:sz w:val="18"/>
                <w:szCs w:val="18"/>
              </w:rPr>
            </w:pPr>
          </w:p>
        </w:tc>
        <w:tc>
          <w:tcPr>
            <w:tcW w:w="613" w:type="pct"/>
          </w:tcPr>
          <w:p w14:paraId="362419B7" w14:textId="77777777" w:rsidR="001A0FCB" w:rsidRPr="003D1614" w:rsidRDefault="001A0FCB" w:rsidP="001A0FCB">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13" w:type="pct"/>
          </w:tcPr>
          <w:p w14:paraId="21FB576D" w14:textId="77777777" w:rsidR="001A0FCB" w:rsidRPr="003D1614" w:rsidRDefault="001A0FCB" w:rsidP="001A0FCB">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32" w:type="pct"/>
          </w:tcPr>
          <w:p w14:paraId="4255B130" w14:textId="77777777" w:rsidR="001A0FCB" w:rsidRPr="003D1614" w:rsidRDefault="001A0FCB" w:rsidP="001A0FCB">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31" w:type="pct"/>
          </w:tcPr>
          <w:p w14:paraId="6C7B47F1" w14:textId="77777777" w:rsidR="001A0FCB" w:rsidRPr="003D1614" w:rsidRDefault="001A0FCB" w:rsidP="001A0FCB">
            <w:pPr>
              <w:tabs>
                <w:tab w:val="right" w:pos="1202"/>
              </w:tabs>
              <w:suppressAutoHyphens/>
              <w:autoSpaceDN w:val="0"/>
              <w:jc w:val="right"/>
              <w:outlineLvl w:val="0"/>
              <w:rPr>
                <w:rFonts w:ascii="Arial" w:eastAsia="Times New Roman" w:hAnsi="Arial" w:cs="Arial"/>
                <w:b/>
                <w:color w:val="000000" w:themeColor="text1"/>
                <w:sz w:val="18"/>
                <w:szCs w:val="18"/>
              </w:rPr>
            </w:pPr>
          </w:p>
        </w:tc>
      </w:tr>
      <w:tr w:rsidR="000E1F3A" w:rsidRPr="003D1614" w14:paraId="6E0BBEDC" w14:textId="77777777" w:rsidTr="002A06D3">
        <w:trPr>
          <w:cantSplit/>
          <w:trHeight w:val="250"/>
          <w:tblHeader/>
        </w:trPr>
        <w:tc>
          <w:tcPr>
            <w:tcW w:w="2511" w:type="pct"/>
            <w:vAlign w:val="bottom"/>
          </w:tcPr>
          <w:p w14:paraId="6ADC1B74" w14:textId="77777777" w:rsidR="000E1F3A" w:rsidRPr="003D1614" w:rsidRDefault="000E1F3A" w:rsidP="000E1F3A">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77" w:name="_Toc67329638"/>
            <w:r w:rsidRPr="003D1614">
              <w:rPr>
                <w:rFonts w:ascii="Arial" w:eastAsia="Times New Roman" w:hAnsi="Arial" w:cs="Arial"/>
                <w:color w:val="000000" w:themeColor="text1"/>
                <w:sz w:val="18"/>
                <w:szCs w:val="18"/>
              </w:rPr>
              <w:t>Financijske djelatnosti i djelatnosti osiguranja</w:t>
            </w:r>
            <w:bookmarkEnd w:id="677"/>
          </w:p>
        </w:tc>
        <w:tc>
          <w:tcPr>
            <w:tcW w:w="613" w:type="pct"/>
            <w:tcBorders>
              <w:top w:val="nil"/>
              <w:left w:val="nil"/>
              <w:bottom w:val="nil"/>
              <w:right w:val="nil"/>
            </w:tcBorders>
            <w:shd w:val="clear" w:color="auto" w:fill="auto"/>
            <w:vAlign w:val="bottom"/>
          </w:tcPr>
          <w:p w14:paraId="191620C9" w14:textId="660D4E16" w:rsidR="000E1F3A" w:rsidRPr="003D1614"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1.645.317</w:t>
            </w:r>
          </w:p>
        </w:tc>
        <w:tc>
          <w:tcPr>
            <w:tcW w:w="613" w:type="pct"/>
            <w:tcBorders>
              <w:top w:val="nil"/>
              <w:left w:val="nil"/>
              <w:bottom w:val="nil"/>
              <w:right w:val="nil"/>
            </w:tcBorders>
            <w:shd w:val="clear" w:color="auto" w:fill="auto"/>
            <w:vAlign w:val="bottom"/>
          </w:tcPr>
          <w:p w14:paraId="00F48B60" w14:textId="277983ED" w:rsidR="000E1F3A" w:rsidRPr="003D1614"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w:t>
            </w:r>
          </w:p>
        </w:tc>
        <w:tc>
          <w:tcPr>
            <w:tcW w:w="632" w:type="pct"/>
            <w:tcBorders>
              <w:top w:val="nil"/>
              <w:left w:val="nil"/>
              <w:bottom w:val="nil"/>
              <w:right w:val="nil"/>
            </w:tcBorders>
            <w:shd w:val="clear" w:color="auto" w:fill="auto"/>
            <w:vAlign w:val="bottom"/>
          </w:tcPr>
          <w:p w14:paraId="409398DF" w14:textId="2E963C01" w:rsidR="000E1F3A" w:rsidRPr="00617755"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1.567.846</w:t>
            </w:r>
          </w:p>
        </w:tc>
        <w:tc>
          <w:tcPr>
            <w:tcW w:w="631" w:type="pct"/>
            <w:tcBorders>
              <w:top w:val="nil"/>
              <w:left w:val="nil"/>
              <w:bottom w:val="nil"/>
              <w:right w:val="nil"/>
            </w:tcBorders>
            <w:shd w:val="clear" w:color="auto" w:fill="auto"/>
            <w:vAlign w:val="bottom"/>
          </w:tcPr>
          <w:p w14:paraId="795C8949" w14:textId="1FC0F08C" w:rsidR="000E1F3A" w:rsidRPr="00617755"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w:t>
            </w:r>
          </w:p>
        </w:tc>
      </w:tr>
      <w:tr w:rsidR="000E1F3A" w:rsidRPr="003D1614" w14:paraId="3AA5C46F" w14:textId="77777777" w:rsidTr="002A06D3">
        <w:trPr>
          <w:cantSplit/>
          <w:trHeight w:val="250"/>
          <w:tblHeader/>
        </w:trPr>
        <w:tc>
          <w:tcPr>
            <w:tcW w:w="2511" w:type="pct"/>
            <w:vAlign w:val="bottom"/>
          </w:tcPr>
          <w:p w14:paraId="53A5FC2D" w14:textId="77777777" w:rsidR="000E1F3A" w:rsidRPr="003D1614" w:rsidRDefault="000E1F3A" w:rsidP="000E1F3A">
            <w:pPr>
              <w:tabs>
                <w:tab w:val="right" w:pos="1202"/>
              </w:tabs>
              <w:suppressAutoHyphens/>
              <w:autoSpaceDN w:val="0"/>
              <w:outlineLvl w:val="0"/>
              <w:rPr>
                <w:rFonts w:ascii="Arial" w:eastAsia="Times New Roman" w:hAnsi="Arial" w:cs="Arial"/>
                <w:color w:val="000000" w:themeColor="text1"/>
                <w:sz w:val="18"/>
                <w:szCs w:val="18"/>
              </w:rPr>
            </w:pPr>
            <w:bookmarkStart w:id="678" w:name="_Toc67329643"/>
            <w:r w:rsidRPr="003D1614">
              <w:rPr>
                <w:rFonts w:ascii="Arial" w:eastAsia="Times New Roman" w:hAnsi="Arial" w:cs="Arial"/>
                <w:color w:val="000000" w:themeColor="text1"/>
                <w:sz w:val="18"/>
                <w:szCs w:val="18"/>
              </w:rPr>
              <w:t>Vodoopskrba, opskrba električnom energijom i ostala infrastruktura</w:t>
            </w:r>
            <w:bookmarkEnd w:id="678"/>
          </w:p>
        </w:tc>
        <w:tc>
          <w:tcPr>
            <w:tcW w:w="613" w:type="pct"/>
            <w:tcBorders>
              <w:top w:val="nil"/>
              <w:left w:val="nil"/>
              <w:bottom w:val="nil"/>
              <w:right w:val="nil"/>
            </w:tcBorders>
            <w:shd w:val="clear" w:color="auto" w:fill="auto"/>
            <w:vAlign w:val="bottom"/>
          </w:tcPr>
          <w:p w14:paraId="21C826BD" w14:textId="7BC6DE15" w:rsidR="000E1F3A" w:rsidRPr="003D1614"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314.745</w:t>
            </w:r>
          </w:p>
        </w:tc>
        <w:tc>
          <w:tcPr>
            <w:tcW w:w="613" w:type="pct"/>
            <w:tcBorders>
              <w:top w:val="nil"/>
              <w:left w:val="nil"/>
              <w:bottom w:val="nil"/>
              <w:right w:val="nil"/>
            </w:tcBorders>
            <w:shd w:val="clear" w:color="auto" w:fill="auto"/>
            <w:vAlign w:val="bottom"/>
          </w:tcPr>
          <w:p w14:paraId="1682D2B7" w14:textId="1742B44E" w:rsidR="000E1F3A" w:rsidRPr="003D1614"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184.770</w:t>
            </w:r>
          </w:p>
        </w:tc>
        <w:tc>
          <w:tcPr>
            <w:tcW w:w="632" w:type="pct"/>
            <w:tcBorders>
              <w:top w:val="nil"/>
              <w:left w:val="nil"/>
              <w:bottom w:val="nil"/>
              <w:right w:val="nil"/>
            </w:tcBorders>
            <w:shd w:val="clear" w:color="auto" w:fill="auto"/>
            <w:vAlign w:val="bottom"/>
          </w:tcPr>
          <w:p w14:paraId="33DA76D8" w14:textId="67B9452F" w:rsidR="000E1F3A" w:rsidRPr="00617755"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336.728</w:t>
            </w:r>
          </w:p>
        </w:tc>
        <w:tc>
          <w:tcPr>
            <w:tcW w:w="631" w:type="pct"/>
            <w:tcBorders>
              <w:top w:val="nil"/>
              <w:left w:val="nil"/>
              <w:bottom w:val="nil"/>
              <w:right w:val="nil"/>
            </w:tcBorders>
            <w:shd w:val="clear" w:color="auto" w:fill="auto"/>
            <w:vAlign w:val="bottom"/>
          </w:tcPr>
          <w:p w14:paraId="5F0E176E" w14:textId="1E136559" w:rsidR="000E1F3A" w:rsidRPr="00617755"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178.496</w:t>
            </w:r>
          </w:p>
        </w:tc>
      </w:tr>
      <w:tr w:rsidR="000E1F3A" w:rsidRPr="003D1614" w14:paraId="0FF25884" w14:textId="77777777" w:rsidTr="002A06D3">
        <w:trPr>
          <w:cantSplit/>
          <w:trHeight w:val="250"/>
          <w:tblHeader/>
        </w:trPr>
        <w:tc>
          <w:tcPr>
            <w:tcW w:w="2511" w:type="pct"/>
            <w:vAlign w:val="bottom"/>
          </w:tcPr>
          <w:p w14:paraId="046D9844" w14:textId="77777777" w:rsidR="000E1F3A" w:rsidRPr="003D1614" w:rsidRDefault="000E1F3A" w:rsidP="000E1F3A">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79" w:name="_Toc67329648"/>
            <w:r w:rsidRPr="003D1614">
              <w:rPr>
                <w:rFonts w:ascii="Arial" w:eastAsia="Times New Roman" w:hAnsi="Arial" w:cs="Arial"/>
                <w:color w:val="000000" w:themeColor="text1"/>
                <w:sz w:val="18"/>
                <w:szCs w:val="18"/>
              </w:rPr>
              <w:t>Turizam</w:t>
            </w:r>
            <w:bookmarkEnd w:id="679"/>
          </w:p>
        </w:tc>
        <w:tc>
          <w:tcPr>
            <w:tcW w:w="613" w:type="pct"/>
            <w:tcBorders>
              <w:top w:val="nil"/>
              <w:left w:val="nil"/>
              <w:bottom w:val="nil"/>
              <w:right w:val="nil"/>
            </w:tcBorders>
            <w:shd w:val="clear" w:color="auto" w:fill="auto"/>
            <w:vAlign w:val="bottom"/>
          </w:tcPr>
          <w:p w14:paraId="7B77162E" w14:textId="750BE4BB" w:rsidR="000E1F3A" w:rsidRPr="003D1614"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416.695</w:t>
            </w:r>
          </w:p>
        </w:tc>
        <w:tc>
          <w:tcPr>
            <w:tcW w:w="613" w:type="pct"/>
            <w:tcBorders>
              <w:top w:val="nil"/>
              <w:left w:val="nil"/>
              <w:bottom w:val="nil"/>
              <w:right w:val="nil"/>
            </w:tcBorders>
            <w:shd w:val="clear" w:color="auto" w:fill="auto"/>
            <w:vAlign w:val="bottom"/>
          </w:tcPr>
          <w:p w14:paraId="229AECBB" w14:textId="6452D650" w:rsidR="000E1F3A" w:rsidRPr="003D1614"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18.289</w:t>
            </w:r>
          </w:p>
        </w:tc>
        <w:tc>
          <w:tcPr>
            <w:tcW w:w="632" w:type="pct"/>
            <w:tcBorders>
              <w:top w:val="nil"/>
              <w:left w:val="nil"/>
              <w:bottom w:val="nil"/>
              <w:right w:val="nil"/>
            </w:tcBorders>
            <w:shd w:val="clear" w:color="auto" w:fill="auto"/>
            <w:vAlign w:val="bottom"/>
          </w:tcPr>
          <w:p w14:paraId="2C788BE4" w14:textId="1BF8DAE8" w:rsidR="000E1F3A" w:rsidRPr="00617755"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421.616</w:t>
            </w:r>
          </w:p>
        </w:tc>
        <w:tc>
          <w:tcPr>
            <w:tcW w:w="631" w:type="pct"/>
            <w:tcBorders>
              <w:top w:val="nil"/>
              <w:left w:val="nil"/>
              <w:bottom w:val="nil"/>
              <w:right w:val="nil"/>
            </w:tcBorders>
            <w:shd w:val="clear" w:color="auto" w:fill="auto"/>
            <w:vAlign w:val="bottom"/>
          </w:tcPr>
          <w:p w14:paraId="279B6805" w14:textId="5EA06F8A" w:rsidR="000E1F3A" w:rsidRPr="00617755"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15.995</w:t>
            </w:r>
          </w:p>
        </w:tc>
      </w:tr>
      <w:tr w:rsidR="000E1F3A" w:rsidRPr="003D1614" w14:paraId="1E3B7ECF" w14:textId="77777777" w:rsidTr="002A06D3">
        <w:trPr>
          <w:cantSplit/>
          <w:trHeight w:val="250"/>
          <w:tblHeader/>
        </w:trPr>
        <w:tc>
          <w:tcPr>
            <w:tcW w:w="2511" w:type="pct"/>
            <w:vAlign w:val="bottom"/>
          </w:tcPr>
          <w:p w14:paraId="5F3A8B7B" w14:textId="77777777" w:rsidR="000E1F3A" w:rsidRPr="003D1614" w:rsidRDefault="000E1F3A" w:rsidP="000E1F3A">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80" w:name="_Toc67329653"/>
            <w:r w:rsidRPr="003D1614">
              <w:rPr>
                <w:rFonts w:ascii="Arial" w:eastAsia="Times New Roman" w:hAnsi="Arial" w:cs="Arial"/>
                <w:color w:val="000000" w:themeColor="text1"/>
                <w:sz w:val="18"/>
                <w:szCs w:val="18"/>
              </w:rPr>
              <w:t>Prijevoz, skladištenje i veze</w:t>
            </w:r>
            <w:bookmarkEnd w:id="680"/>
          </w:p>
        </w:tc>
        <w:tc>
          <w:tcPr>
            <w:tcW w:w="613" w:type="pct"/>
            <w:tcBorders>
              <w:top w:val="nil"/>
              <w:left w:val="nil"/>
              <w:bottom w:val="nil"/>
              <w:right w:val="nil"/>
            </w:tcBorders>
            <w:shd w:val="clear" w:color="auto" w:fill="auto"/>
            <w:vAlign w:val="bottom"/>
          </w:tcPr>
          <w:p w14:paraId="6405CB1E" w14:textId="58F4A8FB" w:rsidR="000E1F3A" w:rsidRPr="003D1614"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385.000</w:t>
            </w:r>
          </w:p>
        </w:tc>
        <w:tc>
          <w:tcPr>
            <w:tcW w:w="613" w:type="pct"/>
            <w:tcBorders>
              <w:top w:val="nil"/>
              <w:left w:val="nil"/>
              <w:bottom w:val="nil"/>
              <w:right w:val="nil"/>
            </w:tcBorders>
            <w:shd w:val="clear" w:color="auto" w:fill="auto"/>
            <w:vAlign w:val="bottom"/>
          </w:tcPr>
          <w:p w14:paraId="4D4E2B25" w14:textId="3D0390EE" w:rsidR="000E1F3A" w:rsidRPr="003D1614"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56.109</w:t>
            </w:r>
          </w:p>
        </w:tc>
        <w:tc>
          <w:tcPr>
            <w:tcW w:w="632" w:type="pct"/>
            <w:tcBorders>
              <w:top w:val="nil"/>
              <w:left w:val="nil"/>
              <w:bottom w:val="nil"/>
              <w:right w:val="nil"/>
            </w:tcBorders>
            <w:shd w:val="clear" w:color="auto" w:fill="auto"/>
            <w:vAlign w:val="bottom"/>
          </w:tcPr>
          <w:p w14:paraId="4AD9FDD6" w14:textId="0376248A" w:rsidR="000E1F3A" w:rsidRPr="00617755"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386.616</w:t>
            </w:r>
          </w:p>
        </w:tc>
        <w:tc>
          <w:tcPr>
            <w:tcW w:w="631" w:type="pct"/>
            <w:tcBorders>
              <w:top w:val="nil"/>
              <w:left w:val="nil"/>
              <w:bottom w:val="nil"/>
              <w:right w:val="nil"/>
            </w:tcBorders>
            <w:shd w:val="clear" w:color="auto" w:fill="auto"/>
            <w:vAlign w:val="bottom"/>
          </w:tcPr>
          <w:p w14:paraId="27EBDAF4" w14:textId="39A15515" w:rsidR="000E1F3A" w:rsidRPr="00617755"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62.267</w:t>
            </w:r>
          </w:p>
        </w:tc>
      </w:tr>
      <w:tr w:rsidR="000E1F3A" w:rsidRPr="003D1614" w14:paraId="7DE3534B" w14:textId="77777777" w:rsidTr="002A06D3">
        <w:trPr>
          <w:cantSplit/>
          <w:trHeight w:val="250"/>
          <w:tblHeader/>
        </w:trPr>
        <w:tc>
          <w:tcPr>
            <w:tcW w:w="2511" w:type="pct"/>
            <w:vAlign w:val="bottom"/>
          </w:tcPr>
          <w:p w14:paraId="6B7C9F91" w14:textId="77777777" w:rsidR="000E1F3A" w:rsidRPr="003D1614" w:rsidRDefault="000E1F3A" w:rsidP="000E1F3A">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81" w:name="_Toc67329658"/>
            <w:r w:rsidRPr="003D1614">
              <w:rPr>
                <w:rFonts w:ascii="Arial" w:eastAsia="Times New Roman" w:hAnsi="Arial" w:cs="Arial"/>
                <w:color w:val="000000" w:themeColor="text1"/>
                <w:sz w:val="18"/>
                <w:szCs w:val="18"/>
              </w:rPr>
              <w:t>Brodogradnja</w:t>
            </w:r>
            <w:bookmarkEnd w:id="681"/>
          </w:p>
        </w:tc>
        <w:tc>
          <w:tcPr>
            <w:tcW w:w="613" w:type="pct"/>
            <w:tcBorders>
              <w:top w:val="nil"/>
              <w:left w:val="nil"/>
              <w:bottom w:val="nil"/>
              <w:right w:val="nil"/>
            </w:tcBorders>
            <w:shd w:val="clear" w:color="auto" w:fill="auto"/>
            <w:vAlign w:val="bottom"/>
          </w:tcPr>
          <w:p w14:paraId="27026BBF" w14:textId="4CDBDBF1" w:rsidR="000E1F3A" w:rsidRPr="003D1614"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161.122</w:t>
            </w:r>
          </w:p>
        </w:tc>
        <w:tc>
          <w:tcPr>
            <w:tcW w:w="613" w:type="pct"/>
            <w:tcBorders>
              <w:top w:val="nil"/>
              <w:left w:val="nil"/>
              <w:bottom w:val="nil"/>
              <w:right w:val="nil"/>
            </w:tcBorders>
            <w:shd w:val="clear" w:color="auto" w:fill="auto"/>
            <w:vAlign w:val="bottom"/>
          </w:tcPr>
          <w:p w14:paraId="22EC51C9" w14:textId="29919274" w:rsidR="000E1F3A" w:rsidRPr="003D1614"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18.136</w:t>
            </w:r>
          </w:p>
        </w:tc>
        <w:tc>
          <w:tcPr>
            <w:tcW w:w="632" w:type="pct"/>
            <w:tcBorders>
              <w:top w:val="nil"/>
              <w:left w:val="nil"/>
              <w:bottom w:val="nil"/>
              <w:right w:val="nil"/>
            </w:tcBorders>
            <w:shd w:val="clear" w:color="auto" w:fill="auto"/>
            <w:vAlign w:val="bottom"/>
          </w:tcPr>
          <w:p w14:paraId="5F0A45DD" w14:textId="155AB719" w:rsidR="000E1F3A" w:rsidRPr="00617755"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162.243</w:t>
            </w:r>
          </w:p>
        </w:tc>
        <w:tc>
          <w:tcPr>
            <w:tcW w:w="631" w:type="pct"/>
            <w:tcBorders>
              <w:top w:val="nil"/>
              <w:left w:val="nil"/>
              <w:bottom w:val="nil"/>
              <w:right w:val="nil"/>
            </w:tcBorders>
            <w:shd w:val="clear" w:color="auto" w:fill="auto"/>
            <w:vAlign w:val="bottom"/>
          </w:tcPr>
          <w:p w14:paraId="282711D1" w14:textId="28424E47" w:rsidR="000E1F3A" w:rsidRPr="00617755"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17.674</w:t>
            </w:r>
          </w:p>
        </w:tc>
      </w:tr>
      <w:tr w:rsidR="000E1F3A" w:rsidRPr="003D1614" w14:paraId="6AAFFF7A" w14:textId="77777777" w:rsidTr="002A06D3">
        <w:trPr>
          <w:cantSplit/>
          <w:trHeight w:val="250"/>
          <w:tblHeader/>
        </w:trPr>
        <w:tc>
          <w:tcPr>
            <w:tcW w:w="2511" w:type="pct"/>
            <w:vAlign w:val="bottom"/>
          </w:tcPr>
          <w:p w14:paraId="14FF5252" w14:textId="77777777" w:rsidR="000E1F3A" w:rsidRPr="003D1614" w:rsidDel="00FF5490" w:rsidRDefault="000E1F3A" w:rsidP="000E1F3A">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82" w:name="_Toc67329663"/>
            <w:r w:rsidRPr="003D1614">
              <w:rPr>
                <w:rFonts w:ascii="Arial" w:eastAsia="Times New Roman" w:hAnsi="Arial" w:cs="Arial"/>
                <w:color w:val="000000" w:themeColor="text1"/>
                <w:sz w:val="18"/>
                <w:szCs w:val="18"/>
              </w:rPr>
              <w:t>Poljoprivreda i ribarstvo</w:t>
            </w:r>
            <w:bookmarkEnd w:id="682"/>
          </w:p>
        </w:tc>
        <w:tc>
          <w:tcPr>
            <w:tcW w:w="613" w:type="pct"/>
            <w:tcBorders>
              <w:top w:val="nil"/>
              <w:left w:val="nil"/>
              <w:bottom w:val="nil"/>
              <w:right w:val="nil"/>
            </w:tcBorders>
            <w:shd w:val="clear" w:color="auto" w:fill="auto"/>
            <w:vAlign w:val="bottom"/>
          </w:tcPr>
          <w:p w14:paraId="2205C0D3" w14:textId="50AC472E" w:rsidR="000E1F3A" w:rsidRPr="003D1614"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102.505</w:t>
            </w:r>
          </w:p>
        </w:tc>
        <w:tc>
          <w:tcPr>
            <w:tcW w:w="613" w:type="pct"/>
            <w:tcBorders>
              <w:top w:val="nil"/>
              <w:left w:val="nil"/>
              <w:bottom w:val="nil"/>
              <w:right w:val="nil"/>
            </w:tcBorders>
            <w:shd w:val="clear" w:color="auto" w:fill="auto"/>
            <w:vAlign w:val="bottom"/>
          </w:tcPr>
          <w:p w14:paraId="51C3187F" w14:textId="7C337DC8" w:rsidR="000E1F3A" w:rsidRPr="003D1614"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29.723</w:t>
            </w:r>
          </w:p>
        </w:tc>
        <w:tc>
          <w:tcPr>
            <w:tcW w:w="632" w:type="pct"/>
            <w:tcBorders>
              <w:top w:val="nil"/>
              <w:left w:val="nil"/>
              <w:bottom w:val="nil"/>
              <w:right w:val="nil"/>
            </w:tcBorders>
            <w:shd w:val="clear" w:color="auto" w:fill="auto"/>
            <w:vAlign w:val="bottom"/>
          </w:tcPr>
          <w:p w14:paraId="448FA2AB" w14:textId="2D65A79E" w:rsidR="000E1F3A" w:rsidRPr="00617755"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100.210</w:t>
            </w:r>
          </w:p>
        </w:tc>
        <w:tc>
          <w:tcPr>
            <w:tcW w:w="631" w:type="pct"/>
            <w:tcBorders>
              <w:top w:val="nil"/>
              <w:left w:val="nil"/>
              <w:bottom w:val="nil"/>
              <w:right w:val="nil"/>
            </w:tcBorders>
            <w:shd w:val="clear" w:color="auto" w:fill="auto"/>
            <w:vAlign w:val="bottom"/>
          </w:tcPr>
          <w:p w14:paraId="55604E7D" w14:textId="2969CEE9" w:rsidR="000E1F3A" w:rsidRPr="00617755"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31.167</w:t>
            </w:r>
          </w:p>
        </w:tc>
      </w:tr>
      <w:tr w:rsidR="000E1F3A" w:rsidRPr="003D1614" w14:paraId="1193FB68" w14:textId="77777777" w:rsidTr="002A06D3">
        <w:trPr>
          <w:cantSplit/>
          <w:trHeight w:val="250"/>
          <w:tblHeader/>
        </w:trPr>
        <w:tc>
          <w:tcPr>
            <w:tcW w:w="2511" w:type="pct"/>
            <w:vAlign w:val="bottom"/>
          </w:tcPr>
          <w:p w14:paraId="7CE8E500" w14:textId="77777777" w:rsidR="000E1F3A" w:rsidRPr="003D1614" w:rsidDel="00FF5490" w:rsidRDefault="000E1F3A" w:rsidP="000E1F3A">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83" w:name="_Toc67329668"/>
            <w:r w:rsidRPr="003D1614">
              <w:rPr>
                <w:rFonts w:ascii="Arial" w:eastAsia="Times New Roman" w:hAnsi="Arial" w:cs="Arial"/>
                <w:color w:val="000000" w:themeColor="text1"/>
                <w:sz w:val="18"/>
                <w:szCs w:val="18"/>
              </w:rPr>
              <w:t>Proizvodnja prehrambenih proizvoda</w:t>
            </w:r>
            <w:bookmarkEnd w:id="683"/>
          </w:p>
        </w:tc>
        <w:tc>
          <w:tcPr>
            <w:tcW w:w="613" w:type="pct"/>
            <w:tcBorders>
              <w:top w:val="nil"/>
              <w:left w:val="nil"/>
              <w:bottom w:val="nil"/>
              <w:right w:val="nil"/>
            </w:tcBorders>
            <w:shd w:val="clear" w:color="auto" w:fill="auto"/>
            <w:vAlign w:val="bottom"/>
          </w:tcPr>
          <w:p w14:paraId="0DA6309B" w14:textId="5E6D6C32" w:rsidR="000E1F3A" w:rsidRPr="003D1614"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125.342</w:t>
            </w:r>
          </w:p>
        </w:tc>
        <w:tc>
          <w:tcPr>
            <w:tcW w:w="613" w:type="pct"/>
            <w:tcBorders>
              <w:top w:val="nil"/>
              <w:left w:val="nil"/>
              <w:bottom w:val="nil"/>
              <w:right w:val="nil"/>
            </w:tcBorders>
            <w:shd w:val="clear" w:color="auto" w:fill="auto"/>
            <w:vAlign w:val="bottom"/>
          </w:tcPr>
          <w:p w14:paraId="3BA36AAC" w14:textId="26DCB4D3" w:rsidR="000E1F3A" w:rsidRPr="003D1614"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23.764</w:t>
            </w:r>
          </w:p>
        </w:tc>
        <w:tc>
          <w:tcPr>
            <w:tcW w:w="632" w:type="pct"/>
            <w:tcBorders>
              <w:top w:val="nil"/>
              <w:left w:val="nil"/>
              <w:bottom w:val="nil"/>
              <w:right w:val="nil"/>
            </w:tcBorders>
            <w:shd w:val="clear" w:color="auto" w:fill="auto"/>
            <w:vAlign w:val="bottom"/>
          </w:tcPr>
          <w:p w14:paraId="07402373" w14:textId="607ED4FC" w:rsidR="000E1F3A" w:rsidRPr="00617755"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141.837</w:t>
            </w:r>
          </w:p>
        </w:tc>
        <w:tc>
          <w:tcPr>
            <w:tcW w:w="631" w:type="pct"/>
            <w:tcBorders>
              <w:top w:val="nil"/>
              <w:left w:val="nil"/>
              <w:bottom w:val="nil"/>
              <w:right w:val="nil"/>
            </w:tcBorders>
            <w:shd w:val="clear" w:color="auto" w:fill="auto"/>
            <w:vAlign w:val="bottom"/>
          </w:tcPr>
          <w:p w14:paraId="429CB9E2" w14:textId="122A2189" w:rsidR="000E1F3A" w:rsidRPr="00617755"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32.135</w:t>
            </w:r>
          </w:p>
        </w:tc>
      </w:tr>
      <w:tr w:rsidR="000E1F3A" w:rsidRPr="003D1614" w14:paraId="7881E3E2" w14:textId="77777777" w:rsidTr="002A06D3">
        <w:trPr>
          <w:cantSplit/>
          <w:trHeight w:val="250"/>
          <w:tblHeader/>
        </w:trPr>
        <w:tc>
          <w:tcPr>
            <w:tcW w:w="2511" w:type="pct"/>
            <w:vAlign w:val="bottom"/>
          </w:tcPr>
          <w:p w14:paraId="75207243" w14:textId="77777777" w:rsidR="000E1F3A" w:rsidRPr="003D1614" w:rsidDel="00FF5490" w:rsidRDefault="000E1F3A" w:rsidP="000E1F3A">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84" w:name="_Toc67329673"/>
            <w:r w:rsidRPr="003D1614">
              <w:rPr>
                <w:rFonts w:ascii="Arial" w:eastAsia="Times New Roman" w:hAnsi="Arial" w:cs="Arial"/>
                <w:color w:val="000000" w:themeColor="text1"/>
                <w:sz w:val="18"/>
                <w:szCs w:val="18"/>
              </w:rPr>
              <w:t>Građevinarstvo</w:t>
            </w:r>
            <w:bookmarkEnd w:id="684"/>
          </w:p>
        </w:tc>
        <w:tc>
          <w:tcPr>
            <w:tcW w:w="613" w:type="pct"/>
            <w:tcBorders>
              <w:top w:val="nil"/>
              <w:left w:val="nil"/>
              <w:bottom w:val="nil"/>
              <w:right w:val="nil"/>
            </w:tcBorders>
            <w:shd w:val="clear" w:color="auto" w:fill="auto"/>
            <w:vAlign w:val="bottom"/>
          </w:tcPr>
          <w:p w14:paraId="78CC57FE" w14:textId="7C11C363" w:rsidR="000E1F3A" w:rsidRPr="003D1614"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404.746</w:t>
            </w:r>
          </w:p>
        </w:tc>
        <w:tc>
          <w:tcPr>
            <w:tcW w:w="613" w:type="pct"/>
            <w:tcBorders>
              <w:top w:val="nil"/>
              <w:left w:val="nil"/>
              <w:bottom w:val="nil"/>
              <w:right w:val="nil"/>
            </w:tcBorders>
            <w:shd w:val="clear" w:color="auto" w:fill="auto"/>
            <w:vAlign w:val="bottom"/>
          </w:tcPr>
          <w:p w14:paraId="52589B97" w14:textId="5081AAC5" w:rsidR="000E1F3A" w:rsidRPr="003D1614"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13.580</w:t>
            </w:r>
          </w:p>
        </w:tc>
        <w:tc>
          <w:tcPr>
            <w:tcW w:w="632" w:type="pct"/>
            <w:tcBorders>
              <w:top w:val="nil"/>
              <w:left w:val="nil"/>
              <w:bottom w:val="nil"/>
              <w:right w:val="nil"/>
            </w:tcBorders>
            <w:shd w:val="clear" w:color="auto" w:fill="auto"/>
            <w:vAlign w:val="bottom"/>
          </w:tcPr>
          <w:p w14:paraId="2C55D47C" w14:textId="63BCFF24" w:rsidR="000E1F3A" w:rsidRPr="00617755"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405.426</w:t>
            </w:r>
          </w:p>
        </w:tc>
        <w:tc>
          <w:tcPr>
            <w:tcW w:w="631" w:type="pct"/>
            <w:tcBorders>
              <w:top w:val="nil"/>
              <w:left w:val="nil"/>
              <w:bottom w:val="nil"/>
              <w:right w:val="nil"/>
            </w:tcBorders>
            <w:shd w:val="clear" w:color="auto" w:fill="auto"/>
            <w:vAlign w:val="bottom"/>
          </w:tcPr>
          <w:p w14:paraId="73C570B6" w14:textId="3FEDB78F" w:rsidR="000E1F3A" w:rsidRPr="00617755"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25.985</w:t>
            </w:r>
          </w:p>
        </w:tc>
      </w:tr>
      <w:tr w:rsidR="000E1F3A" w:rsidRPr="003D1614" w14:paraId="62572A88" w14:textId="77777777" w:rsidTr="002A06D3">
        <w:trPr>
          <w:cantSplit/>
          <w:trHeight w:val="250"/>
          <w:tblHeader/>
        </w:trPr>
        <w:tc>
          <w:tcPr>
            <w:tcW w:w="2511" w:type="pct"/>
            <w:vAlign w:val="bottom"/>
          </w:tcPr>
          <w:p w14:paraId="2A10595A" w14:textId="77777777" w:rsidR="000E1F3A" w:rsidRPr="003D1614" w:rsidDel="00FF5490" w:rsidRDefault="000E1F3A" w:rsidP="000E1F3A">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85" w:name="_Toc67329678"/>
            <w:r w:rsidRPr="003D1614">
              <w:rPr>
                <w:rFonts w:ascii="Arial" w:eastAsia="Times New Roman" w:hAnsi="Arial" w:cs="Arial"/>
                <w:color w:val="000000" w:themeColor="text1"/>
                <w:sz w:val="18"/>
                <w:szCs w:val="18"/>
              </w:rPr>
              <w:t>Ostala industrija</w:t>
            </w:r>
            <w:bookmarkEnd w:id="685"/>
          </w:p>
        </w:tc>
        <w:tc>
          <w:tcPr>
            <w:tcW w:w="613" w:type="pct"/>
            <w:tcBorders>
              <w:top w:val="nil"/>
              <w:left w:val="nil"/>
              <w:bottom w:val="nil"/>
              <w:right w:val="nil"/>
            </w:tcBorders>
            <w:shd w:val="clear" w:color="auto" w:fill="auto"/>
            <w:vAlign w:val="bottom"/>
          </w:tcPr>
          <w:p w14:paraId="50409C19" w14:textId="19812082" w:rsidR="000E1F3A" w:rsidRPr="003D1614"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170.011</w:t>
            </w:r>
          </w:p>
        </w:tc>
        <w:tc>
          <w:tcPr>
            <w:tcW w:w="613" w:type="pct"/>
            <w:tcBorders>
              <w:top w:val="nil"/>
              <w:left w:val="nil"/>
              <w:bottom w:val="nil"/>
              <w:right w:val="nil"/>
            </w:tcBorders>
            <w:shd w:val="clear" w:color="auto" w:fill="auto"/>
            <w:vAlign w:val="bottom"/>
          </w:tcPr>
          <w:p w14:paraId="59B15315" w14:textId="09C8E602" w:rsidR="000E1F3A" w:rsidRPr="003D1614"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43.995</w:t>
            </w:r>
          </w:p>
        </w:tc>
        <w:tc>
          <w:tcPr>
            <w:tcW w:w="632" w:type="pct"/>
            <w:tcBorders>
              <w:top w:val="nil"/>
              <w:left w:val="nil"/>
              <w:bottom w:val="nil"/>
              <w:right w:val="nil"/>
            </w:tcBorders>
            <w:shd w:val="clear" w:color="auto" w:fill="auto"/>
            <w:vAlign w:val="bottom"/>
          </w:tcPr>
          <w:p w14:paraId="02CD2AF8" w14:textId="47A953E6" w:rsidR="000E1F3A" w:rsidRPr="003D1614"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174.079</w:t>
            </w:r>
          </w:p>
        </w:tc>
        <w:tc>
          <w:tcPr>
            <w:tcW w:w="631" w:type="pct"/>
            <w:tcBorders>
              <w:top w:val="nil"/>
              <w:left w:val="nil"/>
              <w:bottom w:val="nil"/>
              <w:right w:val="nil"/>
            </w:tcBorders>
            <w:shd w:val="clear" w:color="auto" w:fill="auto"/>
            <w:vAlign w:val="bottom"/>
          </w:tcPr>
          <w:p w14:paraId="13F61382" w14:textId="3690F516" w:rsidR="000E1F3A" w:rsidRPr="003D1614"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56.170</w:t>
            </w:r>
          </w:p>
        </w:tc>
      </w:tr>
      <w:tr w:rsidR="000E1F3A" w:rsidRPr="003D1614" w14:paraId="39A54E0A" w14:textId="77777777" w:rsidTr="002A06D3">
        <w:trPr>
          <w:cantSplit/>
          <w:trHeight w:val="250"/>
          <w:tblHeader/>
        </w:trPr>
        <w:tc>
          <w:tcPr>
            <w:tcW w:w="2511" w:type="pct"/>
            <w:vAlign w:val="bottom"/>
          </w:tcPr>
          <w:p w14:paraId="45079F1D" w14:textId="77777777" w:rsidR="000E1F3A" w:rsidRPr="003D1614" w:rsidDel="00FF5490" w:rsidRDefault="000E1F3A" w:rsidP="000E1F3A">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86" w:name="_Toc67329683"/>
            <w:r w:rsidRPr="003D1614">
              <w:rPr>
                <w:rFonts w:ascii="Arial" w:eastAsia="Times New Roman" w:hAnsi="Arial" w:cs="Arial"/>
                <w:color w:val="000000" w:themeColor="text1"/>
                <w:sz w:val="18"/>
                <w:szCs w:val="18"/>
              </w:rPr>
              <w:t>Javna uprava</w:t>
            </w:r>
            <w:bookmarkEnd w:id="686"/>
          </w:p>
        </w:tc>
        <w:tc>
          <w:tcPr>
            <w:tcW w:w="613" w:type="pct"/>
            <w:tcBorders>
              <w:top w:val="nil"/>
              <w:left w:val="nil"/>
              <w:bottom w:val="nil"/>
              <w:right w:val="nil"/>
            </w:tcBorders>
            <w:shd w:val="clear" w:color="auto" w:fill="auto"/>
            <w:vAlign w:val="bottom"/>
          </w:tcPr>
          <w:p w14:paraId="506FF11A" w14:textId="7B2C98D7" w:rsidR="000E1F3A" w:rsidRPr="003D1614"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248.002</w:t>
            </w:r>
          </w:p>
        </w:tc>
        <w:tc>
          <w:tcPr>
            <w:tcW w:w="613" w:type="pct"/>
            <w:tcBorders>
              <w:top w:val="nil"/>
              <w:left w:val="nil"/>
              <w:bottom w:val="nil"/>
              <w:right w:val="nil"/>
            </w:tcBorders>
            <w:shd w:val="clear" w:color="auto" w:fill="auto"/>
            <w:vAlign w:val="bottom"/>
          </w:tcPr>
          <w:p w14:paraId="71815CEA" w14:textId="78F06032" w:rsidR="000E1F3A" w:rsidRPr="003D1614"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247.576</w:t>
            </w:r>
          </w:p>
        </w:tc>
        <w:tc>
          <w:tcPr>
            <w:tcW w:w="632" w:type="pct"/>
            <w:tcBorders>
              <w:top w:val="nil"/>
              <w:left w:val="nil"/>
              <w:bottom w:val="nil"/>
              <w:right w:val="nil"/>
            </w:tcBorders>
            <w:shd w:val="clear" w:color="auto" w:fill="auto"/>
            <w:vAlign w:val="bottom"/>
          </w:tcPr>
          <w:p w14:paraId="0AD6817C" w14:textId="7B39E211" w:rsidR="000E1F3A" w:rsidRPr="00617755"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238.315</w:t>
            </w:r>
          </w:p>
        </w:tc>
        <w:tc>
          <w:tcPr>
            <w:tcW w:w="631" w:type="pct"/>
            <w:tcBorders>
              <w:top w:val="nil"/>
              <w:left w:val="nil"/>
              <w:bottom w:val="nil"/>
              <w:right w:val="nil"/>
            </w:tcBorders>
            <w:shd w:val="clear" w:color="auto" w:fill="auto"/>
            <w:vAlign w:val="bottom"/>
          </w:tcPr>
          <w:p w14:paraId="62322AEA" w14:textId="5976A1BE" w:rsidR="000E1F3A" w:rsidRPr="00617755"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237.890</w:t>
            </w:r>
          </w:p>
        </w:tc>
      </w:tr>
      <w:tr w:rsidR="000E1F3A" w:rsidRPr="003D1614" w14:paraId="370A3DF0" w14:textId="77777777" w:rsidTr="002A06D3">
        <w:trPr>
          <w:cantSplit/>
          <w:trHeight w:val="250"/>
          <w:tblHeader/>
        </w:trPr>
        <w:tc>
          <w:tcPr>
            <w:tcW w:w="2511" w:type="pct"/>
            <w:vAlign w:val="bottom"/>
          </w:tcPr>
          <w:p w14:paraId="15AFB937" w14:textId="77777777" w:rsidR="000E1F3A" w:rsidRPr="003D1614" w:rsidDel="00FF5490" w:rsidRDefault="000E1F3A" w:rsidP="000E1F3A">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87" w:name="_Toc67329688"/>
            <w:r w:rsidRPr="003D1614">
              <w:rPr>
                <w:rFonts w:ascii="Arial" w:eastAsia="Times New Roman" w:hAnsi="Arial" w:cs="Arial"/>
                <w:color w:val="000000" w:themeColor="text1"/>
                <w:sz w:val="18"/>
                <w:szCs w:val="18"/>
              </w:rPr>
              <w:t>Obrazovanje</w:t>
            </w:r>
            <w:bookmarkEnd w:id="687"/>
          </w:p>
        </w:tc>
        <w:tc>
          <w:tcPr>
            <w:tcW w:w="613" w:type="pct"/>
            <w:tcBorders>
              <w:top w:val="nil"/>
              <w:left w:val="nil"/>
              <w:bottom w:val="nil"/>
              <w:right w:val="nil"/>
            </w:tcBorders>
            <w:shd w:val="clear" w:color="auto" w:fill="auto"/>
            <w:vAlign w:val="bottom"/>
          </w:tcPr>
          <w:p w14:paraId="116135D2" w14:textId="38A7542D" w:rsidR="000E1F3A" w:rsidRPr="003D1614"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8.645</w:t>
            </w:r>
          </w:p>
        </w:tc>
        <w:tc>
          <w:tcPr>
            <w:tcW w:w="613" w:type="pct"/>
            <w:tcBorders>
              <w:top w:val="nil"/>
              <w:left w:val="nil"/>
              <w:bottom w:val="nil"/>
              <w:right w:val="nil"/>
            </w:tcBorders>
            <w:shd w:val="clear" w:color="auto" w:fill="auto"/>
            <w:vAlign w:val="bottom"/>
          </w:tcPr>
          <w:p w14:paraId="595A6DAA" w14:textId="06551F7D" w:rsidR="000E1F3A" w:rsidRPr="003D1614"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8.271</w:t>
            </w:r>
          </w:p>
        </w:tc>
        <w:tc>
          <w:tcPr>
            <w:tcW w:w="632" w:type="pct"/>
            <w:tcBorders>
              <w:top w:val="nil"/>
              <w:left w:val="nil"/>
              <w:bottom w:val="nil"/>
              <w:right w:val="nil"/>
            </w:tcBorders>
            <w:shd w:val="clear" w:color="auto" w:fill="auto"/>
            <w:vAlign w:val="bottom"/>
          </w:tcPr>
          <w:p w14:paraId="7D2DEB52" w14:textId="0E44189D" w:rsidR="000E1F3A" w:rsidRPr="00617755"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10.128</w:t>
            </w:r>
          </w:p>
        </w:tc>
        <w:tc>
          <w:tcPr>
            <w:tcW w:w="631" w:type="pct"/>
            <w:tcBorders>
              <w:top w:val="nil"/>
              <w:left w:val="nil"/>
              <w:bottom w:val="nil"/>
              <w:right w:val="nil"/>
            </w:tcBorders>
            <w:shd w:val="clear" w:color="auto" w:fill="auto"/>
            <w:vAlign w:val="bottom"/>
          </w:tcPr>
          <w:p w14:paraId="65A99D73" w14:textId="3B590323" w:rsidR="000E1F3A" w:rsidRPr="00617755"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9.737</w:t>
            </w:r>
          </w:p>
        </w:tc>
      </w:tr>
      <w:tr w:rsidR="000E1F3A" w:rsidRPr="003D1614" w14:paraId="101A9E8A" w14:textId="77777777" w:rsidTr="002A06D3">
        <w:trPr>
          <w:cantSplit/>
          <w:trHeight w:val="395"/>
          <w:tblHeader/>
        </w:trPr>
        <w:tc>
          <w:tcPr>
            <w:tcW w:w="2511" w:type="pct"/>
            <w:vAlign w:val="bottom"/>
          </w:tcPr>
          <w:p w14:paraId="1EF6EF04" w14:textId="77777777" w:rsidR="000E1F3A" w:rsidRPr="003D1614" w:rsidRDefault="000E1F3A" w:rsidP="000E1F3A">
            <w:pPr>
              <w:tabs>
                <w:tab w:val="right" w:pos="1202"/>
              </w:tabs>
              <w:suppressAutoHyphens/>
              <w:autoSpaceDN w:val="0"/>
              <w:outlineLvl w:val="0"/>
              <w:rPr>
                <w:rFonts w:ascii="Arial" w:eastAsia="Times New Roman" w:hAnsi="Arial" w:cs="Arial"/>
                <w:color w:val="000000" w:themeColor="text1"/>
                <w:sz w:val="18"/>
                <w:szCs w:val="18"/>
              </w:rPr>
            </w:pPr>
            <w:bookmarkStart w:id="688" w:name="_Toc67329693"/>
            <w:r w:rsidRPr="003D1614">
              <w:rPr>
                <w:rFonts w:ascii="Arial" w:eastAsia="Times New Roman" w:hAnsi="Arial" w:cs="Arial"/>
                <w:color w:val="000000" w:themeColor="text1"/>
                <w:sz w:val="18"/>
                <w:szCs w:val="18"/>
              </w:rPr>
              <w:t>Proizvodnja metala i gotovih metalnih proizvoda, osim strojeva i opreme</w:t>
            </w:r>
            <w:bookmarkEnd w:id="688"/>
            <w:r w:rsidRPr="003D1614">
              <w:rPr>
                <w:rFonts w:ascii="Arial" w:eastAsia="Times New Roman" w:hAnsi="Arial" w:cs="Arial"/>
                <w:color w:val="000000" w:themeColor="text1"/>
                <w:sz w:val="18"/>
                <w:szCs w:val="18"/>
              </w:rPr>
              <w:t xml:space="preserve"> </w:t>
            </w:r>
          </w:p>
        </w:tc>
        <w:tc>
          <w:tcPr>
            <w:tcW w:w="613" w:type="pct"/>
            <w:tcBorders>
              <w:top w:val="nil"/>
              <w:left w:val="nil"/>
              <w:bottom w:val="nil"/>
              <w:right w:val="nil"/>
            </w:tcBorders>
            <w:shd w:val="clear" w:color="auto" w:fill="auto"/>
            <w:vAlign w:val="bottom"/>
          </w:tcPr>
          <w:p w14:paraId="023C233B" w14:textId="0AA5A96C" w:rsidR="000E1F3A" w:rsidRPr="003D1614"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50.683</w:t>
            </w:r>
          </w:p>
        </w:tc>
        <w:tc>
          <w:tcPr>
            <w:tcW w:w="613" w:type="pct"/>
            <w:tcBorders>
              <w:top w:val="nil"/>
              <w:left w:val="nil"/>
              <w:bottom w:val="nil"/>
              <w:right w:val="nil"/>
            </w:tcBorders>
            <w:shd w:val="clear" w:color="auto" w:fill="auto"/>
            <w:vAlign w:val="bottom"/>
          </w:tcPr>
          <w:p w14:paraId="58203971" w14:textId="106151C1" w:rsidR="000E1F3A" w:rsidRPr="003D1614"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10.181</w:t>
            </w:r>
          </w:p>
        </w:tc>
        <w:tc>
          <w:tcPr>
            <w:tcW w:w="632" w:type="pct"/>
            <w:tcBorders>
              <w:top w:val="nil"/>
              <w:left w:val="nil"/>
              <w:bottom w:val="nil"/>
              <w:right w:val="nil"/>
            </w:tcBorders>
            <w:shd w:val="clear" w:color="auto" w:fill="auto"/>
            <w:vAlign w:val="bottom"/>
          </w:tcPr>
          <w:p w14:paraId="674887EE" w14:textId="2F08991E" w:rsidR="000E1F3A" w:rsidRPr="00617755"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51.337</w:t>
            </w:r>
          </w:p>
        </w:tc>
        <w:tc>
          <w:tcPr>
            <w:tcW w:w="631" w:type="pct"/>
            <w:tcBorders>
              <w:top w:val="nil"/>
              <w:left w:val="nil"/>
              <w:bottom w:val="nil"/>
              <w:right w:val="nil"/>
            </w:tcBorders>
            <w:shd w:val="clear" w:color="auto" w:fill="auto"/>
            <w:vAlign w:val="bottom"/>
          </w:tcPr>
          <w:p w14:paraId="6493AB2C" w14:textId="71BF7761" w:rsidR="000E1F3A" w:rsidRPr="00617755"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6.961</w:t>
            </w:r>
          </w:p>
        </w:tc>
      </w:tr>
      <w:tr w:rsidR="000E1F3A" w:rsidRPr="003D1614" w14:paraId="318AF931" w14:textId="77777777" w:rsidTr="002A06D3">
        <w:trPr>
          <w:cantSplit/>
          <w:trHeight w:val="250"/>
          <w:tblHeader/>
        </w:trPr>
        <w:tc>
          <w:tcPr>
            <w:tcW w:w="2511" w:type="pct"/>
            <w:vAlign w:val="bottom"/>
          </w:tcPr>
          <w:p w14:paraId="6840C8A8" w14:textId="77777777" w:rsidR="000E1F3A" w:rsidRPr="003D1614" w:rsidRDefault="000E1F3A" w:rsidP="000E1F3A">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89" w:name="_Toc67329698"/>
            <w:r w:rsidRPr="003D1614">
              <w:rPr>
                <w:rFonts w:ascii="Arial" w:eastAsia="Times New Roman" w:hAnsi="Arial" w:cs="Arial"/>
                <w:color w:val="000000" w:themeColor="text1"/>
                <w:sz w:val="18"/>
                <w:szCs w:val="18"/>
              </w:rPr>
              <w:t>Proizvodnja kemikalija i kemijskih proizvoda</w:t>
            </w:r>
            <w:bookmarkEnd w:id="689"/>
          </w:p>
        </w:tc>
        <w:tc>
          <w:tcPr>
            <w:tcW w:w="613" w:type="pct"/>
            <w:tcBorders>
              <w:top w:val="nil"/>
              <w:left w:val="nil"/>
              <w:bottom w:val="nil"/>
              <w:right w:val="nil"/>
            </w:tcBorders>
            <w:shd w:val="clear" w:color="auto" w:fill="auto"/>
            <w:vAlign w:val="bottom"/>
          </w:tcPr>
          <w:p w14:paraId="185EBB89" w14:textId="008A1177" w:rsidR="000E1F3A" w:rsidRPr="003D1614"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14.238</w:t>
            </w:r>
          </w:p>
        </w:tc>
        <w:tc>
          <w:tcPr>
            <w:tcW w:w="613" w:type="pct"/>
            <w:tcBorders>
              <w:top w:val="nil"/>
              <w:left w:val="nil"/>
              <w:bottom w:val="nil"/>
              <w:right w:val="nil"/>
            </w:tcBorders>
            <w:shd w:val="clear" w:color="auto" w:fill="auto"/>
            <w:vAlign w:val="bottom"/>
          </w:tcPr>
          <w:p w14:paraId="054D3CD5" w14:textId="4BCCA61F" w:rsidR="000E1F3A" w:rsidRPr="003D1614"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1.235</w:t>
            </w:r>
          </w:p>
        </w:tc>
        <w:tc>
          <w:tcPr>
            <w:tcW w:w="632" w:type="pct"/>
            <w:tcBorders>
              <w:top w:val="nil"/>
              <w:left w:val="nil"/>
              <w:bottom w:val="nil"/>
              <w:right w:val="nil"/>
            </w:tcBorders>
            <w:shd w:val="clear" w:color="auto" w:fill="auto"/>
            <w:vAlign w:val="bottom"/>
          </w:tcPr>
          <w:p w14:paraId="7F23647B" w14:textId="7DE8F1B1" w:rsidR="000E1F3A" w:rsidRPr="00617755"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14.881</w:t>
            </w:r>
          </w:p>
        </w:tc>
        <w:tc>
          <w:tcPr>
            <w:tcW w:w="631" w:type="pct"/>
            <w:tcBorders>
              <w:top w:val="nil"/>
              <w:left w:val="nil"/>
              <w:bottom w:val="nil"/>
              <w:right w:val="nil"/>
            </w:tcBorders>
            <w:shd w:val="clear" w:color="auto" w:fill="auto"/>
            <w:vAlign w:val="bottom"/>
          </w:tcPr>
          <w:p w14:paraId="0BD2D03A" w14:textId="78D948B6" w:rsidR="000E1F3A" w:rsidRPr="00617755"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1.239</w:t>
            </w:r>
          </w:p>
        </w:tc>
      </w:tr>
      <w:tr w:rsidR="000E1F3A" w:rsidRPr="003D1614" w14:paraId="54D9337E" w14:textId="77777777" w:rsidTr="002A06D3">
        <w:trPr>
          <w:cantSplit/>
          <w:trHeight w:val="250"/>
          <w:tblHeader/>
        </w:trPr>
        <w:tc>
          <w:tcPr>
            <w:tcW w:w="2511" w:type="pct"/>
            <w:vAlign w:val="bottom"/>
          </w:tcPr>
          <w:p w14:paraId="3B86A883" w14:textId="77777777" w:rsidR="000E1F3A" w:rsidRPr="003D1614" w:rsidRDefault="000E1F3A" w:rsidP="000E1F3A">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90" w:name="_Toc67329703"/>
            <w:r w:rsidRPr="003D1614">
              <w:rPr>
                <w:rFonts w:ascii="Arial" w:eastAsia="Times New Roman" w:hAnsi="Arial" w:cs="Arial"/>
                <w:color w:val="000000" w:themeColor="text1"/>
                <w:sz w:val="18"/>
                <w:szCs w:val="18"/>
              </w:rPr>
              <w:t>Proizvodnja ostalih nemetalnih mineralnih proizvoda</w:t>
            </w:r>
            <w:bookmarkEnd w:id="690"/>
            <w:r w:rsidRPr="003D1614">
              <w:rPr>
                <w:rFonts w:ascii="Arial" w:eastAsia="Times New Roman" w:hAnsi="Arial" w:cs="Arial"/>
                <w:color w:val="000000" w:themeColor="text1"/>
                <w:sz w:val="18"/>
                <w:szCs w:val="18"/>
              </w:rPr>
              <w:t xml:space="preserve"> </w:t>
            </w:r>
          </w:p>
        </w:tc>
        <w:tc>
          <w:tcPr>
            <w:tcW w:w="613" w:type="pct"/>
            <w:tcBorders>
              <w:top w:val="nil"/>
              <w:left w:val="nil"/>
              <w:bottom w:val="nil"/>
              <w:right w:val="nil"/>
            </w:tcBorders>
            <w:shd w:val="clear" w:color="auto" w:fill="auto"/>
            <w:vAlign w:val="bottom"/>
          </w:tcPr>
          <w:p w14:paraId="37FB9005" w14:textId="050DCD55" w:rsidR="000E1F3A" w:rsidRPr="003D1614"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35.733</w:t>
            </w:r>
          </w:p>
        </w:tc>
        <w:tc>
          <w:tcPr>
            <w:tcW w:w="613" w:type="pct"/>
            <w:tcBorders>
              <w:top w:val="nil"/>
              <w:left w:val="nil"/>
              <w:bottom w:val="nil"/>
              <w:right w:val="nil"/>
            </w:tcBorders>
            <w:shd w:val="clear" w:color="auto" w:fill="auto"/>
            <w:vAlign w:val="bottom"/>
          </w:tcPr>
          <w:p w14:paraId="48D0CEE8" w14:textId="7D8ADB31" w:rsidR="000E1F3A" w:rsidRPr="003D1614"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8.846</w:t>
            </w:r>
          </w:p>
        </w:tc>
        <w:tc>
          <w:tcPr>
            <w:tcW w:w="632" w:type="pct"/>
            <w:tcBorders>
              <w:top w:val="nil"/>
              <w:left w:val="nil"/>
              <w:bottom w:val="nil"/>
              <w:right w:val="nil"/>
            </w:tcBorders>
            <w:shd w:val="clear" w:color="auto" w:fill="auto"/>
            <w:vAlign w:val="bottom"/>
          </w:tcPr>
          <w:p w14:paraId="0D9E71E0" w14:textId="76C09E77" w:rsidR="000E1F3A" w:rsidRPr="00617755"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36.124</w:t>
            </w:r>
          </w:p>
        </w:tc>
        <w:tc>
          <w:tcPr>
            <w:tcW w:w="631" w:type="pct"/>
            <w:tcBorders>
              <w:top w:val="nil"/>
              <w:left w:val="nil"/>
              <w:bottom w:val="nil"/>
              <w:right w:val="nil"/>
            </w:tcBorders>
            <w:shd w:val="clear" w:color="auto" w:fill="auto"/>
            <w:vAlign w:val="bottom"/>
          </w:tcPr>
          <w:p w14:paraId="12835ED1" w14:textId="5C4F88F7" w:rsidR="000E1F3A" w:rsidRPr="00617755"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8.176</w:t>
            </w:r>
          </w:p>
        </w:tc>
      </w:tr>
      <w:tr w:rsidR="000E1F3A" w:rsidRPr="003D1614" w14:paraId="759005FC" w14:textId="77777777" w:rsidTr="002A06D3">
        <w:trPr>
          <w:cantSplit/>
          <w:trHeight w:val="250"/>
          <w:tblHeader/>
        </w:trPr>
        <w:tc>
          <w:tcPr>
            <w:tcW w:w="2511" w:type="pct"/>
            <w:vAlign w:val="bottom"/>
          </w:tcPr>
          <w:p w14:paraId="2B995220" w14:textId="77777777" w:rsidR="000E1F3A" w:rsidRPr="003D1614" w:rsidRDefault="000E1F3A" w:rsidP="000E1F3A">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91" w:name="_Toc67329708"/>
            <w:r w:rsidRPr="003D1614">
              <w:rPr>
                <w:rFonts w:ascii="Arial" w:eastAsia="Times New Roman" w:hAnsi="Arial" w:cs="Arial"/>
                <w:color w:val="000000" w:themeColor="text1"/>
                <w:sz w:val="18"/>
                <w:szCs w:val="18"/>
              </w:rPr>
              <w:t>Proizvodnja farmaceutskih pripravaka</w:t>
            </w:r>
            <w:bookmarkEnd w:id="691"/>
          </w:p>
        </w:tc>
        <w:tc>
          <w:tcPr>
            <w:tcW w:w="613" w:type="pct"/>
            <w:tcBorders>
              <w:top w:val="nil"/>
              <w:left w:val="nil"/>
              <w:bottom w:val="nil"/>
              <w:right w:val="nil"/>
            </w:tcBorders>
            <w:shd w:val="clear" w:color="auto" w:fill="auto"/>
            <w:vAlign w:val="bottom"/>
          </w:tcPr>
          <w:p w14:paraId="33F057F0" w14:textId="5307D22C" w:rsidR="000E1F3A" w:rsidRPr="003D1614"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66.206</w:t>
            </w:r>
          </w:p>
        </w:tc>
        <w:tc>
          <w:tcPr>
            <w:tcW w:w="613" w:type="pct"/>
            <w:tcBorders>
              <w:top w:val="nil"/>
              <w:left w:val="nil"/>
              <w:bottom w:val="nil"/>
              <w:right w:val="nil"/>
            </w:tcBorders>
            <w:shd w:val="clear" w:color="auto" w:fill="auto"/>
            <w:vAlign w:val="bottom"/>
          </w:tcPr>
          <w:p w14:paraId="266A6283" w14:textId="6E16C70F" w:rsidR="000E1F3A" w:rsidRPr="003D1614"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6.547</w:t>
            </w:r>
          </w:p>
        </w:tc>
        <w:tc>
          <w:tcPr>
            <w:tcW w:w="632" w:type="pct"/>
            <w:tcBorders>
              <w:top w:val="nil"/>
              <w:left w:val="nil"/>
              <w:bottom w:val="nil"/>
              <w:right w:val="nil"/>
            </w:tcBorders>
            <w:shd w:val="clear" w:color="auto" w:fill="auto"/>
            <w:vAlign w:val="bottom"/>
          </w:tcPr>
          <w:p w14:paraId="5A520AA3" w14:textId="0DF8D76E" w:rsidR="000E1F3A" w:rsidRPr="00617755"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67.491</w:t>
            </w:r>
          </w:p>
        </w:tc>
        <w:tc>
          <w:tcPr>
            <w:tcW w:w="631" w:type="pct"/>
            <w:tcBorders>
              <w:top w:val="nil"/>
              <w:left w:val="nil"/>
              <w:bottom w:val="nil"/>
              <w:right w:val="nil"/>
            </w:tcBorders>
            <w:shd w:val="clear" w:color="auto" w:fill="auto"/>
            <w:vAlign w:val="bottom"/>
          </w:tcPr>
          <w:p w14:paraId="186F0142" w14:textId="60914A95" w:rsidR="000E1F3A" w:rsidRPr="00617755"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7.555</w:t>
            </w:r>
          </w:p>
        </w:tc>
      </w:tr>
      <w:tr w:rsidR="000E1F3A" w:rsidRPr="003D1614" w14:paraId="0EBBCBB8" w14:textId="77777777" w:rsidTr="002A06D3">
        <w:trPr>
          <w:cantSplit/>
          <w:trHeight w:val="250"/>
          <w:tblHeader/>
        </w:trPr>
        <w:tc>
          <w:tcPr>
            <w:tcW w:w="2511" w:type="pct"/>
            <w:vAlign w:val="bottom"/>
          </w:tcPr>
          <w:p w14:paraId="3142798D" w14:textId="77777777" w:rsidR="000E1F3A" w:rsidRPr="003D1614" w:rsidRDefault="000E1F3A" w:rsidP="000E1F3A">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92" w:name="_Toc67329713"/>
            <w:r w:rsidRPr="003D1614">
              <w:rPr>
                <w:rFonts w:ascii="Arial" w:eastAsia="Times New Roman" w:hAnsi="Arial" w:cs="Arial"/>
                <w:color w:val="000000" w:themeColor="text1"/>
                <w:sz w:val="18"/>
                <w:szCs w:val="18"/>
              </w:rPr>
              <w:t>Proizvodnja motornih vozila, prikolica i poluprikolica</w:t>
            </w:r>
            <w:bookmarkEnd w:id="692"/>
          </w:p>
        </w:tc>
        <w:tc>
          <w:tcPr>
            <w:tcW w:w="613" w:type="pct"/>
            <w:tcBorders>
              <w:top w:val="nil"/>
              <w:left w:val="nil"/>
              <w:bottom w:val="nil"/>
              <w:right w:val="nil"/>
            </w:tcBorders>
            <w:shd w:val="clear" w:color="auto" w:fill="auto"/>
            <w:vAlign w:val="bottom"/>
          </w:tcPr>
          <w:p w14:paraId="5E3DEA5E" w14:textId="7ADF8BEC" w:rsidR="000E1F3A" w:rsidRPr="003D1614"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12.570</w:t>
            </w:r>
          </w:p>
        </w:tc>
        <w:tc>
          <w:tcPr>
            <w:tcW w:w="613" w:type="pct"/>
            <w:tcBorders>
              <w:top w:val="nil"/>
              <w:left w:val="nil"/>
              <w:bottom w:val="nil"/>
              <w:right w:val="nil"/>
            </w:tcBorders>
            <w:shd w:val="clear" w:color="auto" w:fill="auto"/>
            <w:vAlign w:val="bottom"/>
          </w:tcPr>
          <w:p w14:paraId="0854F151" w14:textId="6D07D824" w:rsidR="000E1F3A" w:rsidRPr="003D1614"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433</w:t>
            </w:r>
          </w:p>
        </w:tc>
        <w:tc>
          <w:tcPr>
            <w:tcW w:w="632" w:type="pct"/>
            <w:tcBorders>
              <w:top w:val="nil"/>
              <w:left w:val="nil"/>
              <w:bottom w:val="nil"/>
              <w:right w:val="nil"/>
            </w:tcBorders>
            <w:shd w:val="clear" w:color="auto" w:fill="auto"/>
            <w:vAlign w:val="bottom"/>
          </w:tcPr>
          <w:p w14:paraId="3DBA69BF" w14:textId="7FFCB97B" w:rsidR="000E1F3A" w:rsidRPr="00617755"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13.173</w:t>
            </w:r>
          </w:p>
        </w:tc>
        <w:tc>
          <w:tcPr>
            <w:tcW w:w="631" w:type="pct"/>
            <w:tcBorders>
              <w:top w:val="nil"/>
              <w:left w:val="nil"/>
              <w:bottom w:val="nil"/>
              <w:right w:val="nil"/>
            </w:tcBorders>
            <w:shd w:val="clear" w:color="auto" w:fill="auto"/>
            <w:vAlign w:val="bottom"/>
          </w:tcPr>
          <w:p w14:paraId="33779C81" w14:textId="37635F0F" w:rsidR="000E1F3A" w:rsidRPr="00617755"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454</w:t>
            </w:r>
          </w:p>
        </w:tc>
      </w:tr>
      <w:tr w:rsidR="000E1F3A" w:rsidRPr="003D1614" w14:paraId="252B9070" w14:textId="77777777" w:rsidTr="002A06D3">
        <w:trPr>
          <w:cantSplit/>
          <w:trHeight w:val="250"/>
          <w:tblHeader/>
        </w:trPr>
        <w:tc>
          <w:tcPr>
            <w:tcW w:w="2511" w:type="pct"/>
            <w:vAlign w:val="bottom"/>
          </w:tcPr>
          <w:p w14:paraId="558316ED" w14:textId="77777777" w:rsidR="000E1F3A" w:rsidRPr="003D1614" w:rsidRDefault="000E1F3A" w:rsidP="000E1F3A">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Proizvodnja električne opreme</w:t>
            </w:r>
          </w:p>
        </w:tc>
        <w:tc>
          <w:tcPr>
            <w:tcW w:w="613" w:type="pct"/>
            <w:tcBorders>
              <w:top w:val="nil"/>
              <w:left w:val="nil"/>
              <w:bottom w:val="nil"/>
              <w:right w:val="nil"/>
            </w:tcBorders>
            <w:shd w:val="clear" w:color="auto" w:fill="auto"/>
            <w:vAlign w:val="bottom"/>
          </w:tcPr>
          <w:p w14:paraId="21136E12" w14:textId="60FBBD36" w:rsidR="000E1F3A" w:rsidRPr="003D1614"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17.965</w:t>
            </w:r>
          </w:p>
        </w:tc>
        <w:tc>
          <w:tcPr>
            <w:tcW w:w="613" w:type="pct"/>
            <w:tcBorders>
              <w:top w:val="nil"/>
              <w:left w:val="nil"/>
              <w:bottom w:val="nil"/>
              <w:right w:val="nil"/>
            </w:tcBorders>
            <w:shd w:val="clear" w:color="auto" w:fill="auto"/>
            <w:vAlign w:val="bottom"/>
          </w:tcPr>
          <w:p w14:paraId="01727891" w14:textId="34969C41" w:rsidR="000E1F3A" w:rsidRPr="003D1614"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4.487</w:t>
            </w:r>
          </w:p>
        </w:tc>
        <w:tc>
          <w:tcPr>
            <w:tcW w:w="632" w:type="pct"/>
            <w:tcBorders>
              <w:top w:val="nil"/>
              <w:left w:val="nil"/>
              <w:bottom w:val="nil"/>
              <w:right w:val="nil"/>
            </w:tcBorders>
            <w:shd w:val="clear" w:color="auto" w:fill="auto"/>
            <w:vAlign w:val="bottom"/>
          </w:tcPr>
          <w:p w14:paraId="1F8805DB" w14:textId="6869F4F1" w:rsidR="000E1F3A" w:rsidRPr="003D1614"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18.582</w:t>
            </w:r>
          </w:p>
        </w:tc>
        <w:tc>
          <w:tcPr>
            <w:tcW w:w="631" w:type="pct"/>
            <w:tcBorders>
              <w:top w:val="nil"/>
              <w:left w:val="nil"/>
              <w:bottom w:val="nil"/>
              <w:right w:val="nil"/>
            </w:tcBorders>
            <w:shd w:val="clear" w:color="auto" w:fill="auto"/>
            <w:vAlign w:val="bottom"/>
          </w:tcPr>
          <w:p w14:paraId="4055585C" w14:textId="02B00850" w:rsidR="000E1F3A" w:rsidRPr="003D1614"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6.264</w:t>
            </w:r>
          </w:p>
        </w:tc>
      </w:tr>
      <w:tr w:rsidR="000E1F3A" w:rsidRPr="003D1614" w14:paraId="74074CEB" w14:textId="77777777" w:rsidTr="002A06D3">
        <w:trPr>
          <w:cantSplit/>
          <w:trHeight w:val="250"/>
          <w:tblHeader/>
        </w:trPr>
        <w:tc>
          <w:tcPr>
            <w:tcW w:w="2511" w:type="pct"/>
            <w:vAlign w:val="bottom"/>
          </w:tcPr>
          <w:p w14:paraId="1350CDBD" w14:textId="77777777" w:rsidR="000E1F3A" w:rsidRPr="003D1614" w:rsidRDefault="000E1F3A" w:rsidP="000E1F3A">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Proizvodnja strojeva i uređaja</w:t>
            </w:r>
          </w:p>
        </w:tc>
        <w:tc>
          <w:tcPr>
            <w:tcW w:w="613" w:type="pct"/>
            <w:tcBorders>
              <w:top w:val="nil"/>
              <w:left w:val="nil"/>
              <w:bottom w:val="nil"/>
              <w:right w:val="nil"/>
            </w:tcBorders>
            <w:shd w:val="clear" w:color="auto" w:fill="auto"/>
            <w:vAlign w:val="bottom"/>
          </w:tcPr>
          <w:p w14:paraId="1DF19637" w14:textId="10F54913" w:rsidR="000E1F3A" w:rsidRPr="003D1614"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32.940</w:t>
            </w:r>
          </w:p>
        </w:tc>
        <w:tc>
          <w:tcPr>
            <w:tcW w:w="613" w:type="pct"/>
            <w:tcBorders>
              <w:top w:val="nil"/>
              <w:left w:val="nil"/>
              <w:bottom w:val="nil"/>
              <w:right w:val="nil"/>
            </w:tcBorders>
            <w:shd w:val="clear" w:color="auto" w:fill="auto"/>
            <w:vAlign w:val="bottom"/>
          </w:tcPr>
          <w:p w14:paraId="581C8B8E" w14:textId="2D01211D" w:rsidR="000E1F3A" w:rsidRPr="003D1614"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2.975</w:t>
            </w:r>
          </w:p>
        </w:tc>
        <w:tc>
          <w:tcPr>
            <w:tcW w:w="632" w:type="pct"/>
            <w:tcBorders>
              <w:top w:val="nil"/>
              <w:left w:val="nil"/>
              <w:bottom w:val="nil"/>
              <w:right w:val="nil"/>
            </w:tcBorders>
            <w:shd w:val="clear" w:color="auto" w:fill="auto"/>
            <w:vAlign w:val="bottom"/>
          </w:tcPr>
          <w:p w14:paraId="5A229CAD" w14:textId="26328500" w:rsidR="000E1F3A" w:rsidRPr="003D1614"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30.898</w:t>
            </w:r>
          </w:p>
        </w:tc>
        <w:tc>
          <w:tcPr>
            <w:tcW w:w="631" w:type="pct"/>
            <w:tcBorders>
              <w:top w:val="nil"/>
              <w:left w:val="nil"/>
              <w:bottom w:val="nil"/>
              <w:right w:val="nil"/>
            </w:tcBorders>
            <w:shd w:val="clear" w:color="auto" w:fill="auto"/>
            <w:vAlign w:val="bottom"/>
          </w:tcPr>
          <w:p w14:paraId="7CE18DBB" w14:textId="594B89E9" w:rsidR="000E1F3A" w:rsidRPr="003D1614"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3.016</w:t>
            </w:r>
          </w:p>
        </w:tc>
      </w:tr>
      <w:tr w:rsidR="000E1F3A" w:rsidRPr="003D1614" w14:paraId="5AF4D95C" w14:textId="77777777" w:rsidTr="002A06D3">
        <w:trPr>
          <w:cantSplit/>
          <w:trHeight w:val="250"/>
          <w:tblHeader/>
        </w:trPr>
        <w:tc>
          <w:tcPr>
            <w:tcW w:w="2511" w:type="pct"/>
            <w:vAlign w:val="bottom"/>
          </w:tcPr>
          <w:p w14:paraId="571EDBAA" w14:textId="77777777" w:rsidR="000E1F3A" w:rsidRPr="003D1614" w:rsidRDefault="000E1F3A" w:rsidP="000E1F3A">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693" w:name="_Toc67329718"/>
            <w:r w:rsidRPr="003D1614">
              <w:rPr>
                <w:rFonts w:ascii="Arial" w:eastAsia="Times New Roman" w:hAnsi="Arial" w:cs="Arial"/>
                <w:color w:val="000000" w:themeColor="text1"/>
                <w:sz w:val="18"/>
                <w:szCs w:val="18"/>
              </w:rPr>
              <w:t>Ostalo</w:t>
            </w:r>
            <w:bookmarkEnd w:id="693"/>
          </w:p>
        </w:tc>
        <w:tc>
          <w:tcPr>
            <w:tcW w:w="613" w:type="pct"/>
            <w:tcBorders>
              <w:top w:val="nil"/>
              <w:left w:val="nil"/>
              <w:bottom w:val="nil"/>
              <w:right w:val="nil"/>
            </w:tcBorders>
            <w:shd w:val="clear" w:color="auto" w:fill="auto"/>
            <w:vAlign w:val="bottom"/>
          </w:tcPr>
          <w:p w14:paraId="55DDF22E" w14:textId="1F602CC1" w:rsidR="000E1F3A" w:rsidRPr="003D1614"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331.183</w:t>
            </w:r>
          </w:p>
        </w:tc>
        <w:tc>
          <w:tcPr>
            <w:tcW w:w="613" w:type="pct"/>
            <w:tcBorders>
              <w:top w:val="nil"/>
              <w:left w:val="nil"/>
              <w:bottom w:val="nil"/>
              <w:right w:val="nil"/>
            </w:tcBorders>
            <w:shd w:val="clear" w:color="auto" w:fill="auto"/>
            <w:vAlign w:val="bottom"/>
          </w:tcPr>
          <w:p w14:paraId="3EA0BE5B" w14:textId="47A1AC13" w:rsidR="000E1F3A" w:rsidRPr="003D1614"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123.044</w:t>
            </w:r>
          </w:p>
        </w:tc>
        <w:tc>
          <w:tcPr>
            <w:tcW w:w="632" w:type="pct"/>
            <w:tcBorders>
              <w:top w:val="nil"/>
              <w:left w:val="nil"/>
              <w:bottom w:val="nil"/>
              <w:right w:val="nil"/>
            </w:tcBorders>
            <w:shd w:val="clear" w:color="auto" w:fill="auto"/>
            <w:vAlign w:val="bottom"/>
          </w:tcPr>
          <w:p w14:paraId="37B37543" w14:textId="2A21EA6D" w:rsidR="000E1F3A" w:rsidRPr="00617755"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290.399</w:t>
            </w:r>
          </w:p>
        </w:tc>
        <w:tc>
          <w:tcPr>
            <w:tcW w:w="631" w:type="pct"/>
            <w:tcBorders>
              <w:top w:val="nil"/>
              <w:left w:val="nil"/>
              <w:bottom w:val="nil"/>
              <w:right w:val="nil"/>
            </w:tcBorders>
            <w:shd w:val="clear" w:color="auto" w:fill="auto"/>
            <w:vAlign w:val="bottom"/>
          </w:tcPr>
          <w:p w14:paraId="7AA65AC3" w14:textId="7D95ED0C" w:rsidR="000E1F3A" w:rsidRPr="00617755" w:rsidRDefault="000E1F3A" w:rsidP="000E1F3A">
            <w:pPr>
              <w:tabs>
                <w:tab w:val="right" w:pos="1202"/>
              </w:tabs>
              <w:suppressAutoHyphens/>
              <w:autoSpaceDN w:val="0"/>
              <w:spacing w:line="301" w:lineRule="exact"/>
              <w:jc w:val="right"/>
              <w:outlineLvl w:val="0"/>
              <w:rPr>
                <w:rFonts w:ascii="Arial" w:eastAsia="Times New Roman" w:hAnsi="Arial" w:cs="Arial"/>
                <w:sz w:val="18"/>
                <w:szCs w:val="18"/>
              </w:rPr>
            </w:pPr>
            <w:r w:rsidRPr="00F959D0">
              <w:rPr>
                <w:rFonts w:ascii="Arial" w:hAnsi="Arial" w:cs="Arial"/>
                <w:sz w:val="18"/>
                <w:szCs w:val="18"/>
              </w:rPr>
              <w:t>80.471</w:t>
            </w:r>
          </w:p>
        </w:tc>
      </w:tr>
      <w:tr w:rsidR="000E1F3A" w:rsidRPr="003D1614" w14:paraId="33921512" w14:textId="77777777" w:rsidTr="00161DBA">
        <w:tblPrEx>
          <w:tblCellMar>
            <w:left w:w="31" w:type="dxa"/>
            <w:right w:w="31" w:type="dxa"/>
          </w:tblCellMar>
        </w:tblPrEx>
        <w:trPr>
          <w:cantSplit/>
          <w:trHeight w:hRule="exact" w:val="113"/>
          <w:tblHeader/>
        </w:trPr>
        <w:tc>
          <w:tcPr>
            <w:tcW w:w="2511" w:type="pct"/>
            <w:vAlign w:val="bottom"/>
          </w:tcPr>
          <w:p w14:paraId="7E437543" w14:textId="77777777" w:rsidR="000E1F3A" w:rsidRPr="003D1614" w:rsidRDefault="000E1F3A" w:rsidP="000E1F3A">
            <w:pPr>
              <w:suppressAutoHyphens/>
              <w:autoSpaceDN w:val="0"/>
              <w:rPr>
                <w:rFonts w:ascii="Arial" w:eastAsia="Times New Roman" w:hAnsi="Arial" w:cs="Arial"/>
                <w:b/>
                <w:bCs/>
                <w:color w:val="000000" w:themeColor="text1"/>
                <w:sz w:val="18"/>
                <w:szCs w:val="18"/>
              </w:rPr>
            </w:pPr>
          </w:p>
        </w:tc>
        <w:tc>
          <w:tcPr>
            <w:tcW w:w="613" w:type="pct"/>
            <w:tcBorders>
              <w:top w:val="single" w:sz="8" w:space="0" w:color="auto"/>
            </w:tcBorders>
            <w:shd w:val="clear" w:color="auto" w:fill="auto"/>
          </w:tcPr>
          <w:p w14:paraId="7CF6792E" w14:textId="77777777" w:rsidR="000E1F3A" w:rsidRPr="003D1614" w:rsidRDefault="000E1F3A" w:rsidP="000E1F3A">
            <w:pPr>
              <w:tabs>
                <w:tab w:val="right" w:pos="1202"/>
              </w:tabs>
              <w:suppressAutoHyphens/>
              <w:autoSpaceDN w:val="0"/>
              <w:jc w:val="right"/>
              <w:outlineLvl w:val="0"/>
              <w:rPr>
                <w:rFonts w:ascii="Arial" w:eastAsia="Times New Roman" w:hAnsi="Arial" w:cs="Arial"/>
                <w:noProof/>
                <w:color w:val="000000" w:themeColor="text1"/>
                <w:sz w:val="18"/>
                <w:szCs w:val="18"/>
                <w:lang w:eastAsia="hr-HR"/>
              </w:rPr>
            </w:pPr>
          </w:p>
        </w:tc>
        <w:tc>
          <w:tcPr>
            <w:tcW w:w="613" w:type="pct"/>
            <w:tcBorders>
              <w:top w:val="single" w:sz="8" w:space="0" w:color="auto"/>
            </w:tcBorders>
            <w:shd w:val="clear" w:color="auto" w:fill="auto"/>
          </w:tcPr>
          <w:p w14:paraId="1693E501" w14:textId="77777777" w:rsidR="000E1F3A" w:rsidRPr="003D1614" w:rsidRDefault="000E1F3A" w:rsidP="000E1F3A">
            <w:pPr>
              <w:tabs>
                <w:tab w:val="right" w:pos="1202"/>
              </w:tabs>
              <w:suppressAutoHyphens/>
              <w:autoSpaceDN w:val="0"/>
              <w:jc w:val="right"/>
              <w:outlineLvl w:val="0"/>
              <w:rPr>
                <w:rFonts w:ascii="Arial" w:eastAsia="Times New Roman" w:hAnsi="Arial" w:cs="Arial"/>
                <w:noProof/>
                <w:color w:val="000000" w:themeColor="text1"/>
                <w:sz w:val="18"/>
                <w:szCs w:val="18"/>
                <w:lang w:eastAsia="hr-HR"/>
              </w:rPr>
            </w:pPr>
          </w:p>
        </w:tc>
        <w:tc>
          <w:tcPr>
            <w:tcW w:w="632" w:type="pct"/>
            <w:tcBorders>
              <w:top w:val="single" w:sz="8" w:space="0" w:color="auto"/>
            </w:tcBorders>
            <w:shd w:val="clear" w:color="auto" w:fill="auto"/>
          </w:tcPr>
          <w:p w14:paraId="42C5249D" w14:textId="77777777" w:rsidR="000E1F3A" w:rsidRPr="003D1614" w:rsidRDefault="000E1F3A" w:rsidP="000E1F3A">
            <w:pPr>
              <w:tabs>
                <w:tab w:val="right" w:pos="1202"/>
              </w:tabs>
              <w:suppressAutoHyphens/>
              <w:autoSpaceDN w:val="0"/>
              <w:jc w:val="right"/>
              <w:outlineLvl w:val="0"/>
              <w:rPr>
                <w:rFonts w:ascii="Arial" w:eastAsia="Times New Roman" w:hAnsi="Arial" w:cs="Arial"/>
                <w:noProof/>
                <w:color w:val="000000" w:themeColor="text1"/>
                <w:sz w:val="18"/>
                <w:szCs w:val="18"/>
                <w:lang w:eastAsia="hr-HR"/>
              </w:rPr>
            </w:pPr>
          </w:p>
        </w:tc>
        <w:tc>
          <w:tcPr>
            <w:tcW w:w="631" w:type="pct"/>
            <w:tcBorders>
              <w:top w:val="single" w:sz="8" w:space="0" w:color="auto"/>
            </w:tcBorders>
            <w:shd w:val="clear" w:color="auto" w:fill="auto"/>
          </w:tcPr>
          <w:p w14:paraId="201A7F4B" w14:textId="77777777" w:rsidR="000E1F3A" w:rsidRPr="003D1614" w:rsidRDefault="000E1F3A" w:rsidP="000E1F3A">
            <w:pPr>
              <w:tabs>
                <w:tab w:val="right" w:pos="1202"/>
              </w:tabs>
              <w:suppressAutoHyphens/>
              <w:autoSpaceDN w:val="0"/>
              <w:jc w:val="right"/>
              <w:outlineLvl w:val="0"/>
              <w:rPr>
                <w:rFonts w:ascii="Arial" w:eastAsia="Times New Roman" w:hAnsi="Arial" w:cs="Arial"/>
                <w:noProof/>
                <w:color w:val="000000" w:themeColor="text1"/>
                <w:sz w:val="18"/>
                <w:szCs w:val="18"/>
                <w:lang w:eastAsia="hr-HR"/>
              </w:rPr>
            </w:pPr>
          </w:p>
        </w:tc>
      </w:tr>
      <w:tr w:rsidR="000E1F3A" w:rsidRPr="003D1614" w14:paraId="37AFC818" w14:textId="77777777" w:rsidTr="004C335F">
        <w:tblPrEx>
          <w:tblCellMar>
            <w:left w:w="31" w:type="dxa"/>
            <w:right w:w="31" w:type="dxa"/>
          </w:tblCellMar>
        </w:tblPrEx>
        <w:trPr>
          <w:cantSplit/>
          <w:trHeight w:val="110"/>
          <w:tblHeader/>
        </w:trPr>
        <w:tc>
          <w:tcPr>
            <w:tcW w:w="2511" w:type="pct"/>
            <w:vAlign w:val="bottom"/>
          </w:tcPr>
          <w:p w14:paraId="063F2F8E" w14:textId="77777777" w:rsidR="000E1F3A" w:rsidRPr="003D1614" w:rsidRDefault="000E1F3A" w:rsidP="000E1F3A">
            <w:pPr>
              <w:suppressAutoHyphens/>
              <w:autoSpaceDN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Ukupna izloženost kreditnom riziku</w:t>
            </w:r>
          </w:p>
        </w:tc>
        <w:tc>
          <w:tcPr>
            <w:tcW w:w="613" w:type="pct"/>
            <w:tcBorders>
              <w:left w:val="nil"/>
              <w:bottom w:val="single" w:sz="12" w:space="0" w:color="auto"/>
              <w:right w:val="nil"/>
            </w:tcBorders>
            <w:shd w:val="clear" w:color="auto" w:fill="auto"/>
          </w:tcPr>
          <w:p w14:paraId="41101029" w14:textId="20532514" w:rsidR="000E1F3A" w:rsidRPr="003D1614" w:rsidRDefault="000E1F3A" w:rsidP="000E1F3A">
            <w:pPr>
              <w:tabs>
                <w:tab w:val="right" w:pos="1202"/>
              </w:tabs>
              <w:suppressAutoHyphens/>
              <w:autoSpaceDN w:val="0"/>
              <w:jc w:val="right"/>
              <w:outlineLvl w:val="0"/>
              <w:rPr>
                <w:rFonts w:ascii="Arial" w:eastAsia="Times New Roman" w:hAnsi="Arial" w:cs="Arial"/>
                <w:b/>
                <w:bCs/>
                <w:noProof/>
                <w:color w:val="000000" w:themeColor="text1"/>
                <w:sz w:val="18"/>
                <w:szCs w:val="18"/>
                <w:lang w:eastAsia="hr-HR"/>
              </w:rPr>
            </w:pPr>
            <w:r>
              <w:rPr>
                <w:rFonts w:ascii="Arial" w:eastAsia="Times New Roman" w:hAnsi="Arial" w:cs="Arial"/>
                <w:b/>
                <w:bCs/>
                <w:noProof/>
                <w:color w:val="000000" w:themeColor="text1"/>
                <w:sz w:val="18"/>
                <w:szCs w:val="18"/>
                <w:lang w:eastAsia="hr-HR"/>
              </w:rPr>
              <w:t>4.543.648</w:t>
            </w:r>
          </w:p>
        </w:tc>
        <w:tc>
          <w:tcPr>
            <w:tcW w:w="613" w:type="pct"/>
            <w:tcBorders>
              <w:left w:val="nil"/>
              <w:bottom w:val="single" w:sz="12" w:space="0" w:color="auto"/>
              <w:right w:val="nil"/>
            </w:tcBorders>
            <w:shd w:val="clear" w:color="auto" w:fill="auto"/>
          </w:tcPr>
          <w:p w14:paraId="2048C9DE" w14:textId="30C23161" w:rsidR="000E1F3A" w:rsidRPr="003D1614" w:rsidRDefault="000E1F3A" w:rsidP="000E1F3A">
            <w:pPr>
              <w:tabs>
                <w:tab w:val="right" w:pos="1202"/>
              </w:tabs>
              <w:suppressAutoHyphens/>
              <w:autoSpaceDN w:val="0"/>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801.961</w:t>
            </w:r>
          </w:p>
        </w:tc>
        <w:tc>
          <w:tcPr>
            <w:tcW w:w="632" w:type="pct"/>
            <w:tcBorders>
              <w:left w:val="nil"/>
              <w:bottom w:val="single" w:sz="12" w:space="0" w:color="auto"/>
              <w:right w:val="nil"/>
            </w:tcBorders>
            <w:shd w:val="clear" w:color="auto" w:fill="auto"/>
            <w:vAlign w:val="bottom"/>
          </w:tcPr>
          <w:p w14:paraId="2374FC61" w14:textId="3DDCA9AF" w:rsidR="000E1F3A" w:rsidRPr="003D1614" w:rsidRDefault="000E1F3A" w:rsidP="000E1F3A">
            <w:pPr>
              <w:tabs>
                <w:tab w:val="right" w:pos="1202"/>
              </w:tabs>
              <w:suppressAutoHyphens/>
              <w:autoSpaceDN w:val="0"/>
              <w:jc w:val="right"/>
              <w:outlineLvl w:val="0"/>
              <w:rPr>
                <w:rFonts w:ascii="Arial" w:eastAsia="Times New Roman" w:hAnsi="Arial" w:cs="Arial"/>
                <w:b/>
                <w:noProof/>
                <w:color w:val="000000" w:themeColor="text1"/>
                <w:sz w:val="18"/>
                <w:szCs w:val="18"/>
                <w:lang w:eastAsia="hr-HR"/>
              </w:rPr>
            </w:pPr>
            <w:r w:rsidRPr="00BF3671">
              <w:rPr>
                <w:rFonts w:ascii="Arial" w:hAnsi="Arial" w:cs="Arial"/>
                <w:b/>
                <w:bCs/>
                <w:noProof/>
                <w:color w:val="000000" w:themeColor="text1"/>
                <w:sz w:val="18"/>
                <w:szCs w:val="18"/>
                <w:lang w:eastAsia="hr-HR"/>
              </w:rPr>
              <w:t>4.467.929</w:t>
            </w:r>
          </w:p>
        </w:tc>
        <w:tc>
          <w:tcPr>
            <w:tcW w:w="631" w:type="pct"/>
            <w:tcBorders>
              <w:left w:val="nil"/>
              <w:bottom w:val="single" w:sz="12" w:space="0" w:color="auto"/>
              <w:right w:val="nil"/>
            </w:tcBorders>
            <w:shd w:val="clear" w:color="auto" w:fill="auto"/>
            <w:vAlign w:val="bottom"/>
          </w:tcPr>
          <w:p w14:paraId="5A02C797" w14:textId="551563FA" w:rsidR="000E1F3A" w:rsidRPr="003D1614" w:rsidRDefault="000E1F3A" w:rsidP="000E1F3A">
            <w:pPr>
              <w:tabs>
                <w:tab w:val="right" w:pos="1202"/>
              </w:tabs>
              <w:suppressAutoHyphens/>
              <w:autoSpaceDN w:val="0"/>
              <w:jc w:val="right"/>
              <w:outlineLvl w:val="0"/>
              <w:rPr>
                <w:rFonts w:ascii="Arial" w:eastAsia="Times New Roman" w:hAnsi="Arial" w:cs="Arial"/>
                <w:b/>
                <w:color w:val="000000" w:themeColor="text1"/>
                <w:sz w:val="18"/>
                <w:szCs w:val="18"/>
              </w:rPr>
            </w:pPr>
            <w:r w:rsidRPr="00BF3671">
              <w:rPr>
                <w:rFonts w:ascii="Arial" w:hAnsi="Arial" w:cs="Arial"/>
                <w:b/>
                <w:bCs/>
                <w:color w:val="000000" w:themeColor="text1"/>
                <w:sz w:val="18"/>
                <w:szCs w:val="18"/>
              </w:rPr>
              <w:t>781.652</w:t>
            </w:r>
          </w:p>
        </w:tc>
      </w:tr>
    </w:tbl>
    <w:p w14:paraId="3D0EBB0A" w14:textId="36474E26" w:rsidR="001A0FCB" w:rsidRPr="003D1614" w:rsidRDefault="001A0FCB" w:rsidP="003311C4">
      <w:pPr>
        <w:suppressAutoHyphens/>
        <w:autoSpaceDN w:val="0"/>
        <w:jc w:val="both"/>
        <w:rPr>
          <w:rFonts w:ascii="Arial" w:eastAsia="Times New Roman" w:hAnsi="Arial" w:cs="Arial"/>
          <w:color w:val="000000" w:themeColor="text1"/>
          <w:sz w:val="20"/>
          <w:szCs w:val="20"/>
        </w:rPr>
      </w:pPr>
    </w:p>
    <w:p w14:paraId="263E86CE" w14:textId="77777777" w:rsidR="001A0FCB" w:rsidRPr="003D1614" w:rsidRDefault="001A0FCB" w:rsidP="003311C4">
      <w:pPr>
        <w:suppressAutoHyphens/>
        <w:autoSpaceDN w:val="0"/>
        <w:jc w:val="both"/>
        <w:rPr>
          <w:rFonts w:ascii="Arial" w:eastAsia="Times New Roman" w:hAnsi="Arial" w:cs="Arial"/>
          <w:color w:val="000000" w:themeColor="text1"/>
          <w:sz w:val="20"/>
          <w:szCs w:val="20"/>
        </w:rPr>
        <w:sectPr w:rsidR="001A0FCB" w:rsidRPr="003D1614">
          <w:pgSz w:w="11906" w:h="16838"/>
          <w:pgMar w:top="1417" w:right="1417" w:bottom="1417" w:left="1417" w:header="708" w:footer="708" w:gutter="0"/>
          <w:cols w:space="708"/>
          <w:docGrid w:linePitch="360"/>
        </w:sectPr>
      </w:pPr>
    </w:p>
    <w:p w14:paraId="05321DDF"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6EB0B5B9" w14:textId="7660694A"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0C385F83"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69B4EE3E" w14:textId="7B18F941"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5D24AF91"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63702EDB"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Koncentracija rizika i maksimalna izloženost kreditnom riziku (nastavak)</w:t>
      </w:r>
    </w:p>
    <w:p w14:paraId="61C277F3"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7C8090CC" w14:textId="77777777" w:rsidR="001A0FCB" w:rsidRPr="003D1614" w:rsidRDefault="001A0FCB" w:rsidP="001A0FCB">
      <w:pPr>
        <w:tabs>
          <w:tab w:val="right" w:pos="1202"/>
        </w:tabs>
        <w:suppressAutoHyphens/>
        <w:autoSpaceDN w:val="0"/>
        <w:jc w:val="both"/>
        <w:outlineLvl w:val="0"/>
        <w:rPr>
          <w:rFonts w:ascii="Arial" w:eastAsia="Times New Roman" w:hAnsi="Arial" w:cs="Arial"/>
          <w:color w:val="000000" w:themeColor="text1"/>
          <w:sz w:val="20"/>
          <w:szCs w:val="20"/>
        </w:rPr>
      </w:pPr>
      <w:bookmarkStart w:id="694" w:name="_Toc67329727"/>
      <w:r w:rsidRPr="003D1614">
        <w:rPr>
          <w:rFonts w:ascii="Arial" w:eastAsia="Times New Roman" w:hAnsi="Arial" w:cs="Arial"/>
          <w:color w:val="000000" w:themeColor="text1"/>
          <w:sz w:val="20"/>
          <w:szCs w:val="20"/>
        </w:rPr>
        <w:t>Koncentracija imovine i garancija te preuzetih obveza prema industrijskim granama, neto</w:t>
      </w:r>
      <w:r w:rsidRPr="003D1614">
        <w:rPr>
          <w:rFonts w:ascii="Arial" w:eastAsia="Times New Roman" w:hAnsi="Arial" w:cs="Arial"/>
          <w:b/>
          <w:color w:val="000000" w:themeColor="text1"/>
          <w:sz w:val="20"/>
          <w:szCs w:val="20"/>
        </w:rPr>
        <w:t xml:space="preserve"> </w:t>
      </w:r>
      <w:r w:rsidRPr="003D1614">
        <w:rPr>
          <w:rFonts w:ascii="Arial" w:eastAsia="Times New Roman" w:hAnsi="Arial" w:cs="Arial"/>
          <w:color w:val="000000" w:themeColor="text1"/>
          <w:sz w:val="20"/>
          <w:szCs w:val="20"/>
        </w:rPr>
        <w:t>izloženost, prije i nakon uzimanja u obzir primljenih instrumenata osiguranja:</w:t>
      </w:r>
      <w:bookmarkEnd w:id="694"/>
    </w:p>
    <w:p w14:paraId="6157C0A0" w14:textId="77777777" w:rsidR="001A0FCB" w:rsidRPr="003D1614" w:rsidRDefault="001A0FCB" w:rsidP="001A0FCB">
      <w:pPr>
        <w:keepNext/>
        <w:suppressAutoHyphens/>
        <w:autoSpaceDN w:val="0"/>
        <w:jc w:val="both"/>
        <w:outlineLvl w:val="0"/>
        <w:rPr>
          <w:rFonts w:ascii="Arial" w:eastAsia="Times New Roman" w:hAnsi="Arial" w:cs="Arial"/>
          <w:bCs/>
          <w:color w:val="000000" w:themeColor="text1"/>
          <w:sz w:val="20"/>
          <w:szCs w:val="20"/>
        </w:rPr>
      </w:pPr>
    </w:p>
    <w:tbl>
      <w:tblPr>
        <w:tblpPr w:leftFromText="180" w:rightFromText="180" w:vertAnchor="text" w:horzAnchor="margin" w:tblpY="290"/>
        <w:tblOverlap w:val="never"/>
        <w:tblW w:w="4911" w:type="pct"/>
        <w:tblLayout w:type="fixed"/>
        <w:tblCellMar>
          <w:left w:w="30" w:type="dxa"/>
          <w:right w:w="30" w:type="dxa"/>
        </w:tblCellMar>
        <w:tblLook w:val="0000" w:firstRow="0" w:lastRow="0" w:firstColumn="0" w:lastColumn="0" w:noHBand="0" w:noVBand="0"/>
      </w:tblPr>
      <w:tblGrid>
        <w:gridCol w:w="4652"/>
        <w:gridCol w:w="1134"/>
        <w:gridCol w:w="1134"/>
        <w:gridCol w:w="1134"/>
        <w:gridCol w:w="1134"/>
      </w:tblGrid>
      <w:tr w:rsidR="00CF7B3C" w:rsidRPr="003D1614" w14:paraId="0AB31D7B" w14:textId="77777777" w:rsidTr="0008792D">
        <w:trPr>
          <w:cantSplit/>
          <w:trHeight w:val="250"/>
          <w:tblHeader/>
        </w:trPr>
        <w:tc>
          <w:tcPr>
            <w:tcW w:w="2532" w:type="pct"/>
            <w:vAlign w:val="bottom"/>
          </w:tcPr>
          <w:p w14:paraId="181659D8" w14:textId="77777777" w:rsidR="00CF7B3C" w:rsidRPr="003D1614" w:rsidRDefault="00CF7B3C" w:rsidP="0008792D">
            <w:pPr>
              <w:tabs>
                <w:tab w:val="right" w:pos="1202"/>
              </w:tabs>
              <w:suppressAutoHyphens/>
              <w:autoSpaceDN w:val="0"/>
              <w:spacing w:line="240" w:lineRule="atLeast"/>
              <w:outlineLvl w:val="0"/>
              <w:rPr>
                <w:rFonts w:ascii="Arial" w:eastAsia="Times New Roman" w:hAnsi="Arial" w:cs="Arial"/>
                <w:b/>
                <w:color w:val="000000" w:themeColor="text1"/>
                <w:sz w:val="18"/>
                <w:szCs w:val="18"/>
              </w:rPr>
            </w:pPr>
            <w:bookmarkStart w:id="695" w:name="_Toc67329728"/>
            <w:r w:rsidRPr="003D1614">
              <w:rPr>
                <w:rFonts w:ascii="Arial" w:eastAsia="Times New Roman" w:hAnsi="Arial" w:cs="Arial"/>
                <w:b/>
                <w:color w:val="000000" w:themeColor="text1"/>
                <w:sz w:val="18"/>
                <w:szCs w:val="18"/>
              </w:rPr>
              <w:t>Banka</w:t>
            </w:r>
            <w:bookmarkEnd w:id="695"/>
          </w:p>
        </w:tc>
        <w:tc>
          <w:tcPr>
            <w:tcW w:w="617" w:type="pct"/>
            <w:vAlign w:val="bottom"/>
          </w:tcPr>
          <w:p w14:paraId="2C815FAE"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96" w:name="_Toc67329729"/>
            <w:r w:rsidRPr="003D1614">
              <w:rPr>
                <w:rFonts w:ascii="Arial" w:eastAsia="Times New Roman" w:hAnsi="Arial" w:cs="Arial"/>
                <w:b/>
                <w:color w:val="000000" w:themeColor="text1"/>
                <w:sz w:val="18"/>
                <w:szCs w:val="18"/>
              </w:rPr>
              <w:t>Neto najveća izloženost</w:t>
            </w:r>
            <w:bookmarkEnd w:id="696"/>
          </w:p>
        </w:tc>
        <w:tc>
          <w:tcPr>
            <w:tcW w:w="617" w:type="pct"/>
            <w:vAlign w:val="bottom"/>
          </w:tcPr>
          <w:p w14:paraId="7A405021"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97" w:name="_Toc67329730"/>
            <w:r w:rsidRPr="003D1614">
              <w:rPr>
                <w:rFonts w:ascii="Arial" w:eastAsia="Times New Roman" w:hAnsi="Arial" w:cs="Arial"/>
                <w:b/>
                <w:color w:val="000000" w:themeColor="text1"/>
                <w:sz w:val="18"/>
                <w:szCs w:val="18"/>
              </w:rPr>
              <w:t xml:space="preserve">Neto najveća izloženost </w:t>
            </w:r>
            <w:r w:rsidRPr="003D1614">
              <w:rPr>
                <w:rFonts w:ascii="Arial" w:eastAsia="Times New Roman" w:hAnsi="Arial" w:cs="Arial"/>
                <w:color w:val="000000" w:themeColor="text1"/>
                <w:sz w:val="18"/>
                <w:szCs w:val="18"/>
              </w:rPr>
              <w:t xml:space="preserve"> </w:t>
            </w:r>
            <w:r w:rsidRPr="003D1614">
              <w:rPr>
                <w:rFonts w:ascii="Arial" w:eastAsia="Times New Roman" w:hAnsi="Arial" w:cs="Arial"/>
                <w:b/>
                <w:color w:val="000000" w:themeColor="text1"/>
                <w:sz w:val="18"/>
                <w:szCs w:val="18"/>
              </w:rPr>
              <w:t>nakon umanjenja za sredstva osiguranja</w:t>
            </w:r>
            <w:bookmarkEnd w:id="697"/>
          </w:p>
        </w:tc>
        <w:tc>
          <w:tcPr>
            <w:tcW w:w="617" w:type="pct"/>
            <w:vAlign w:val="bottom"/>
          </w:tcPr>
          <w:p w14:paraId="104EEB7E"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98" w:name="_Toc67329731"/>
            <w:r w:rsidRPr="003D1614">
              <w:rPr>
                <w:rFonts w:ascii="Arial" w:eastAsia="Times New Roman" w:hAnsi="Arial" w:cs="Arial"/>
                <w:b/>
                <w:color w:val="000000" w:themeColor="text1"/>
                <w:sz w:val="18"/>
                <w:szCs w:val="18"/>
              </w:rPr>
              <w:t>Neto najveća izloženost</w:t>
            </w:r>
            <w:bookmarkEnd w:id="698"/>
          </w:p>
        </w:tc>
        <w:tc>
          <w:tcPr>
            <w:tcW w:w="617" w:type="pct"/>
            <w:vAlign w:val="bottom"/>
          </w:tcPr>
          <w:p w14:paraId="3EACEAA9"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699" w:name="_Toc67329732"/>
            <w:r w:rsidRPr="003D1614">
              <w:rPr>
                <w:rFonts w:ascii="Arial" w:eastAsia="Times New Roman" w:hAnsi="Arial" w:cs="Arial"/>
                <w:b/>
                <w:color w:val="000000" w:themeColor="text1"/>
                <w:sz w:val="18"/>
                <w:szCs w:val="18"/>
              </w:rPr>
              <w:t>Neto najveća izloženost  nakon umanjenja za sredstva osiguranja</w:t>
            </w:r>
            <w:bookmarkEnd w:id="699"/>
          </w:p>
        </w:tc>
      </w:tr>
      <w:tr w:rsidR="00CF7B3C" w:rsidRPr="003D1614" w14:paraId="35A98093" w14:textId="77777777" w:rsidTr="0008792D">
        <w:trPr>
          <w:cantSplit/>
          <w:trHeight w:val="250"/>
          <w:tblHeader/>
        </w:trPr>
        <w:tc>
          <w:tcPr>
            <w:tcW w:w="2532" w:type="pct"/>
          </w:tcPr>
          <w:p w14:paraId="147EA11F" w14:textId="77777777" w:rsidR="00CF7B3C" w:rsidRPr="003D1614" w:rsidRDefault="00CF7B3C" w:rsidP="0008792D">
            <w:pPr>
              <w:suppressAutoHyphens/>
              <w:autoSpaceDN w:val="0"/>
              <w:ind w:left="113" w:hanging="113"/>
              <w:rPr>
                <w:rFonts w:ascii="Arial" w:eastAsia="Times New Roman" w:hAnsi="Arial" w:cs="Arial"/>
                <w:color w:val="000000" w:themeColor="text1"/>
                <w:sz w:val="18"/>
                <w:szCs w:val="18"/>
              </w:rPr>
            </w:pPr>
          </w:p>
        </w:tc>
        <w:tc>
          <w:tcPr>
            <w:tcW w:w="617" w:type="pct"/>
            <w:vAlign w:val="bottom"/>
          </w:tcPr>
          <w:p w14:paraId="58F7E6E5"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31. ožujka 202</w:t>
            </w:r>
            <w:r>
              <w:rPr>
                <w:rFonts w:ascii="Arial" w:eastAsia="Times New Roman" w:hAnsi="Arial" w:cs="Arial"/>
                <w:b/>
                <w:color w:val="000000" w:themeColor="text1"/>
                <w:sz w:val="18"/>
                <w:szCs w:val="18"/>
              </w:rPr>
              <w:t>4</w:t>
            </w:r>
            <w:r w:rsidRPr="003D1614">
              <w:rPr>
                <w:rFonts w:ascii="Arial" w:eastAsia="Times New Roman" w:hAnsi="Arial" w:cs="Arial"/>
                <w:b/>
                <w:color w:val="000000" w:themeColor="text1"/>
                <w:sz w:val="18"/>
                <w:szCs w:val="18"/>
              </w:rPr>
              <w:t>.</w:t>
            </w:r>
          </w:p>
        </w:tc>
        <w:tc>
          <w:tcPr>
            <w:tcW w:w="617" w:type="pct"/>
            <w:vAlign w:val="bottom"/>
          </w:tcPr>
          <w:p w14:paraId="3961C7B8"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31. ožujka 202</w:t>
            </w:r>
            <w:r>
              <w:rPr>
                <w:rFonts w:ascii="Arial" w:eastAsia="Times New Roman" w:hAnsi="Arial" w:cs="Arial"/>
                <w:b/>
                <w:color w:val="000000" w:themeColor="text1"/>
                <w:sz w:val="18"/>
                <w:szCs w:val="18"/>
              </w:rPr>
              <w:t>4</w:t>
            </w:r>
            <w:r w:rsidRPr="003D1614">
              <w:rPr>
                <w:rFonts w:ascii="Arial" w:eastAsia="Times New Roman" w:hAnsi="Arial" w:cs="Arial"/>
                <w:b/>
                <w:color w:val="000000" w:themeColor="text1"/>
                <w:sz w:val="18"/>
                <w:szCs w:val="18"/>
              </w:rPr>
              <w:t>.</w:t>
            </w:r>
          </w:p>
        </w:tc>
        <w:tc>
          <w:tcPr>
            <w:tcW w:w="617" w:type="pct"/>
            <w:vAlign w:val="bottom"/>
          </w:tcPr>
          <w:p w14:paraId="7737A03A"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31. prosinca 202</w:t>
            </w:r>
            <w:r>
              <w:rPr>
                <w:rFonts w:ascii="Arial" w:eastAsia="Times New Roman" w:hAnsi="Arial" w:cs="Arial"/>
                <w:b/>
                <w:color w:val="000000" w:themeColor="text1"/>
                <w:sz w:val="18"/>
                <w:szCs w:val="18"/>
              </w:rPr>
              <w:t>3</w:t>
            </w:r>
            <w:r w:rsidRPr="003D1614">
              <w:rPr>
                <w:rFonts w:ascii="Arial" w:eastAsia="Times New Roman" w:hAnsi="Arial" w:cs="Arial"/>
                <w:b/>
                <w:color w:val="000000" w:themeColor="text1"/>
                <w:sz w:val="18"/>
                <w:szCs w:val="18"/>
              </w:rPr>
              <w:t>.</w:t>
            </w:r>
          </w:p>
        </w:tc>
        <w:tc>
          <w:tcPr>
            <w:tcW w:w="617" w:type="pct"/>
            <w:vAlign w:val="bottom"/>
          </w:tcPr>
          <w:p w14:paraId="2C0ACEBA"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31. prosinca 202</w:t>
            </w:r>
            <w:r>
              <w:rPr>
                <w:rFonts w:ascii="Arial" w:eastAsia="Times New Roman" w:hAnsi="Arial" w:cs="Arial"/>
                <w:b/>
                <w:color w:val="000000" w:themeColor="text1"/>
                <w:sz w:val="18"/>
                <w:szCs w:val="18"/>
              </w:rPr>
              <w:t>3</w:t>
            </w:r>
            <w:r w:rsidRPr="003D1614">
              <w:rPr>
                <w:rFonts w:ascii="Arial" w:eastAsia="Times New Roman" w:hAnsi="Arial" w:cs="Arial"/>
                <w:b/>
                <w:color w:val="000000" w:themeColor="text1"/>
                <w:sz w:val="18"/>
                <w:szCs w:val="18"/>
              </w:rPr>
              <w:t>.</w:t>
            </w:r>
          </w:p>
        </w:tc>
      </w:tr>
      <w:tr w:rsidR="00CF7B3C" w:rsidRPr="003D1614" w14:paraId="296A9ACB" w14:textId="77777777" w:rsidTr="0008792D">
        <w:trPr>
          <w:cantSplit/>
          <w:trHeight w:val="250"/>
          <w:tblHeader/>
        </w:trPr>
        <w:tc>
          <w:tcPr>
            <w:tcW w:w="2532" w:type="pct"/>
          </w:tcPr>
          <w:p w14:paraId="42B65A6C" w14:textId="77777777" w:rsidR="00CF7B3C" w:rsidRPr="003D1614" w:rsidRDefault="00CF7B3C" w:rsidP="0008792D">
            <w:pPr>
              <w:suppressAutoHyphens/>
              <w:autoSpaceDN w:val="0"/>
              <w:ind w:left="113" w:hanging="113"/>
              <w:rPr>
                <w:rFonts w:ascii="Arial" w:eastAsia="Times New Roman" w:hAnsi="Arial" w:cs="Arial"/>
                <w:color w:val="000000" w:themeColor="text1"/>
                <w:sz w:val="18"/>
                <w:szCs w:val="18"/>
              </w:rPr>
            </w:pPr>
          </w:p>
        </w:tc>
        <w:tc>
          <w:tcPr>
            <w:tcW w:w="617" w:type="pct"/>
            <w:vAlign w:val="bottom"/>
          </w:tcPr>
          <w:p w14:paraId="68B7C4F6"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700" w:name="_Toc67329737"/>
            <w:r w:rsidRPr="003D1614">
              <w:rPr>
                <w:rFonts w:ascii="Arial" w:eastAsia="Times New Roman" w:hAnsi="Arial" w:cs="Arial"/>
                <w:b/>
                <w:color w:val="000000" w:themeColor="text1"/>
                <w:sz w:val="18"/>
                <w:szCs w:val="18"/>
              </w:rPr>
              <w:t>000 eura</w:t>
            </w:r>
            <w:bookmarkEnd w:id="700"/>
          </w:p>
        </w:tc>
        <w:tc>
          <w:tcPr>
            <w:tcW w:w="617" w:type="pct"/>
            <w:vAlign w:val="bottom"/>
          </w:tcPr>
          <w:p w14:paraId="6D0C0880"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701" w:name="_Toc67329738"/>
            <w:r w:rsidRPr="003D1614">
              <w:rPr>
                <w:rFonts w:ascii="Arial" w:eastAsia="Times New Roman" w:hAnsi="Arial" w:cs="Arial"/>
                <w:b/>
                <w:color w:val="000000" w:themeColor="text1"/>
                <w:sz w:val="18"/>
                <w:szCs w:val="18"/>
              </w:rPr>
              <w:t>000 eura</w:t>
            </w:r>
            <w:bookmarkEnd w:id="701"/>
          </w:p>
        </w:tc>
        <w:tc>
          <w:tcPr>
            <w:tcW w:w="617" w:type="pct"/>
            <w:vAlign w:val="bottom"/>
          </w:tcPr>
          <w:p w14:paraId="01AF0F5D"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702" w:name="_Toc67329739"/>
            <w:r w:rsidRPr="003D1614">
              <w:rPr>
                <w:rFonts w:ascii="Arial" w:eastAsia="Times New Roman" w:hAnsi="Arial" w:cs="Arial"/>
                <w:b/>
                <w:color w:val="000000" w:themeColor="text1"/>
                <w:sz w:val="18"/>
                <w:szCs w:val="18"/>
              </w:rPr>
              <w:t>000 eura</w:t>
            </w:r>
            <w:bookmarkEnd w:id="702"/>
          </w:p>
        </w:tc>
        <w:tc>
          <w:tcPr>
            <w:tcW w:w="617" w:type="pct"/>
            <w:vAlign w:val="bottom"/>
          </w:tcPr>
          <w:p w14:paraId="33ED15D0" w14:textId="77777777" w:rsidR="00CF7B3C" w:rsidRPr="003D1614" w:rsidRDefault="00CF7B3C" w:rsidP="0008792D">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703" w:name="_Toc67329740"/>
            <w:r w:rsidRPr="003D1614">
              <w:rPr>
                <w:rFonts w:ascii="Arial" w:eastAsia="Times New Roman" w:hAnsi="Arial" w:cs="Arial"/>
                <w:b/>
                <w:color w:val="000000" w:themeColor="text1"/>
                <w:sz w:val="18"/>
                <w:szCs w:val="18"/>
              </w:rPr>
              <w:t>000 eura</w:t>
            </w:r>
            <w:bookmarkEnd w:id="703"/>
          </w:p>
        </w:tc>
      </w:tr>
      <w:tr w:rsidR="00CF7B3C" w:rsidRPr="003D1614" w14:paraId="385D5562" w14:textId="77777777" w:rsidTr="0008792D">
        <w:trPr>
          <w:cantSplit/>
          <w:trHeight w:val="56"/>
          <w:tblHeader/>
        </w:trPr>
        <w:tc>
          <w:tcPr>
            <w:tcW w:w="2532" w:type="pct"/>
            <w:vAlign w:val="bottom"/>
          </w:tcPr>
          <w:p w14:paraId="79C11A23" w14:textId="77777777" w:rsidR="00CF7B3C" w:rsidRPr="003D1614" w:rsidRDefault="00CF7B3C" w:rsidP="0008792D">
            <w:pPr>
              <w:suppressAutoHyphens/>
              <w:autoSpaceDN w:val="0"/>
              <w:ind w:left="113" w:hanging="113"/>
              <w:jc w:val="right"/>
              <w:rPr>
                <w:rFonts w:ascii="Arial" w:eastAsia="Times New Roman" w:hAnsi="Arial" w:cs="Arial"/>
                <w:color w:val="000000" w:themeColor="text1"/>
                <w:sz w:val="18"/>
                <w:szCs w:val="18"/>
              </w:rPr>
            </w:pPr>
          </w:p>
        </w:tc>
        <w:tc>
          <w:tcPr>
            <w:tcW w:w="617" w:type="pct"/>
            <w:vAlign w:val="bottom"/>
          </w:tcPr>
          <w:p w14:paraId="001499FE" w14:textId="77777777" w:rsidR="00CF7B3C" w:rsidRPr="003D1614" w:rsidRDefault="00CF7B3C" w:rsidP="0008792D">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17" w:type="pct"/>
            <w:vAlign w:val="bottom"/>
          </w:tcPr>
          <w:p w14:paraId="316460B1" w14:textId="77777777" w:rsidR="00CF7B3C" w:rsidRPr="003D1614" w:rsidRDefault="00CF7B3C" w:rsidP="0008792D">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17" w:type="pct"/>
            <w:vAlign w:val="bottom"/>
          </w:tcPr>
          <w:p w14:paraId="72DE41B6" w14:textId="77777777" w:rsidR="00CF7B3C" w:rsidRPr="003D1614" w:rsidRDefault="00CF7B3C" w:rsidP="0008792D">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17" w:type="pct"/>
            <w:vAlign w:val="bottom"/>
          </w:tcPr>
          <w:p w14:paraId="538BE1AC" w14:textId="77777777" w:rsidR="00CF7B3C" w:rsidRPr="003D1614" w:rsidRDefault="00CF7B3C" w:rsidP="0008792D">
            <w:pPr>
              <w:tabs>
                <w:tab w:val="right" w:pos="1202"/>
              </w:tabs>
              <w:suppressAutoHyphens/>
              <w:autoSpaceDN w:val="0"/>
              <w:jc w:val="right"/>
              <w:outlineLvl w:val="0"/>
              <w:rPr>
                <w:rFonts w:ascii="Arial" w:eastAsia="Times New Roman" w:hAnsi="Arial" w:cs="Arial"/>
                <w:b/>
                <w:color w:val="000000" w:themeColor="text1"/>
                <w:sz w:val="18"/>
                <w:szCs w:val="18"/>
              </w:rPr>
            </w:pPr>
          </w:p>
        </w:tc>
      </w:tr>
      <w:tr w:rsidR="00CF7B3C" w:rsidRPr="003D1614" w14:paraId="3598552F" w14:textId="77777777" w:rsidTr="0008792D">
        <w:trPr>
          <w:cantSplit/>
          <w:trHeight w:val="250"/>
          <w:tblHeader/>
        </w:trPr>
        <w:tc>
          <w:tcPr>
            <w:tcW w:w="2532" w:type="pct"/>
            <w:vAlign w:val="center"/>
          </w:tcPr>
          <w:p w14:paraId="6FA15888" w14:textId="77777777" w:rsidR="00CF7B3C" w:rsidRPr="003D1614" w:rsidRDefault="00CF7B3C" w:rsidP="0008792D">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04" w:name="_Toc67329741"/>
            <w:r w:rsidRPr="003D1614">
              <w:rPr>
                <w:rFonts w:ascii="Arial" w:eastAsia="Times New Roman" w:hAnsi="Arial" w:cs="Arial"/>
                <w:color w:val="000000" w:themeColor="text1"/>
                <w:sz w:val="18"/>
                <w:szCs w:val="18"/>
              </w:rPr>
              <w:t>Financijske djelatnosti i djelatnosti osiguranja</w:t>
            </w:r>
            <w:bookmarkEnd w:id="704"/>
          </w:p>
        </w:tc>
        <w:tc>
          <w:tcPr>
            <w:tcW w:w="617" w:type="pct"/>
            <w:tcBorders>
              <w:top w:val="nil"/>
              <w:left w:val="nil"/>
              <w:bottom w:val="nil"/>
              <w:right w:val="nil"/>
            </w:tcBorders>
            <w:shd w:val="clear" w:color="auto" w:fill="auto"/>
            <w:vAlign w:val="bottom"/>
          </w:tcPr>
          <w:p w14:paraId="1BCE41A2"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1.642.593</w:t>
            </w:r>
          </w:p>
        </w:tc>
        <w:tc>
          <w:tcPr>
            <w:tcW w:w="617" w:type="pct"/>
            <w:tcBorders>
              <w:top w:val="nil"/>
              <w:left w:val="nil"/>
              <w:bottom w:val="nil"/>
              <w:right w:val="nil"/>
            </w:tcBorders>
            <w:shd w:val="clear" w:color="auto" w:fill="auto"/>
            <w:vAlign w:val="bottom"/>
          </w:tcPr>
          <w:p w14:paraId="52B8B0CD"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w:t>
            </w:r>
          </w:p>
        </w:tc>
        <w:tc>
          <w:tcPr>
            <w:tcW w:w="617" w:type="pct"/>
            <w:tcBorders>
              <w:top w:val="nil"/>
              <w:left w:val="nil"/>
              <w:bottom w:val="nil"/>
              <w:right w:val="nil"/>
            </w:tcBorders>
            <w:shd w:val="clear" w:color="auto" w:fill="auto"/>
            <w:vAlign w:val="bottom"/>
          </w:tcPr>
          <w:p w14:paraId="12639738" w14:textId="77777777" w:rsidR="00CF7B3C" w:rsidRPr="00617755"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1.564.952</w:t>
            </w:r>
          </w:p>
        </w:tc>
        <w:tc>
          <w:tcPr>
            <w:tcW w:w="617" w:type="pct"/>
            <w:tcBorders>
              <w:top w:val="nil"/>
              <w:left w:val="nil"/>
              <w:bottom w:val="nil"/>
              <w:right w:val="nil"/>
            </w:tcBorders>
            <w:shd w:val="clear" w:color="auto" w:fill="auto"/>
            <w:vAlign w:val="bottom"/>
          </w:tcPr>
          <w:p w14:paraId="11AD04A8" w14:textId="77777777" w:rsidR="00CF7B3C" w:rsidRPr="00617755"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hAnsi="Arial" w:cs="Arial"/>
                <w:sz w:val="18"/>
                <w:szCs w:val="18"/>
              </w:rPr>
              <w:t>-</w:t>
            </w:r>
          </w:p>
        </w:tc>
      </w:tr>
      <w:tr w:rsidR="00CF7B3C" w:rsidRPr="003D1614" w14:paraId="7FA1AA54" w14:textId="77777777" w:rsidTr="0008792D">
        <w:trPr>
          <w:cantSplit/>
          <w:trHeight w:val="250"/>
          <w:tblHeader/>
        </w:trPr>
        <w:tc>
          <w:tcPr>
            <w:tcW w:w="2532" w:type="pct"/>
            <w:vAlign w:val="center"/>
          </w:tcPr>
          <w:p w14:paraId="3008AFBC" w14:textId="77777777" w:rsidR="00CF7B3C" w:rsidRPr="003D1614" w:rsidRDefault="00CF7B3C" w:rsidP="0008792D">
            <w:pPr>
              <w:tabs>
                <w:tab w:val="right" w:pos="1202"/>
              </w:tabs>
              <w:suppressAutoHyphens/>
              <w:autoSpaceDN w:val="0"/>
              <w:outlineLvl w:val="0"/>
              <w:rPr>
                <w:rFonts w:ascii="Arial" w:eastAsia="Times New Roman" w:hAnsi="Arial" w:cs="Arial"/>
                <w:color w:val="000000" w:themeColor="text1"/>
                <w:sz w:val="18"/>
                <w:szCs w:val="18"/>
              </w:rPr>
            </w:pPr>
            <w:bookmarkStart w:id="705" w:name="_Toc67329746"/>
            <w:r w:rsidRPr="003D1614">
              <w:rPr>
                <w:rFonts w:ascii="Arial" w:eastAsia="Calibri" w:hAnsi="Arial" w:cs="Arial"/>
                <w:color w:val="000000" w:themeColor="text1"/>
                <w:sz w:val="18"/>
                <w:szCs w:val="18"/>
              </w:rPr>
              <w:t>Vodoopskrba, opskrba električnom energijom i ostala infrastruktura</w:t>
            </w:r>
            <w:bookmarkEnd w:id="705"/>
          </w:p>
        </w:tc>
        <w:tc>
          <w:tcPr>
            <w:tcW w:w="617" w:type="pct"/>
            <w:tcBorders>
              <w:top w:val="nil"/>
              <w:left w:val="nil"/>
              <w:bottom w:val="nil"/>
              <w:right w:val="nil"/>
            </w:tcBorders>
            <w:shd w:val="clear" w:color="auto" w:fill="auto"/>
            <w:vAlign w:val="bottom"/>
          </w:tcPr>
          <w:p w14:paraId="584A99F5"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314.745</w:t>
            </w:r>
          </w:p>
        </w:tc>
        <w:tc>
          <w:tcPr>
            <w:tcW w:w="617" w:type="pct"/>
            <w:tcBorders>
              <w:top w:val="nil"/>
              <w:left w:val="nil"/>
              <w:bottom w:val="nil"/>
              <w:right w:val="nil"/>
            </w:tcBorders>
            <w:shd w:val="clear" w:color="auto" w:fill="auto"/>
            <w:vAlign w:val="bottom"/>
          </w:tcPr>
          <w:p w14:paraId="410143F7"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184.770</w:t>
            </w:r>
          </w:p>
        </w:tc>
        <w:tc>
          <w:tcPr>
            <w:tcW w:w="617" w:type="pct"/>
            <w:tcBorders>
              <w:top w:val="nil"/>
              <w:left w:val="nil"/>
              <w:bottom w:val="nil"/>
              <w:right w:val="nil"/>
            </w:tcBorders>
            <w:shd w:val="clear" w:color="auto" w:fill="auto"/>
            <w:vAlign w:val="bottom"/>
          </w:tcPr>
          <w:p w14:paraId="68992D26" w14:textId="77777777" w:rsidR="00CF7B3C" w:rsidRPr="00617755"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336.728</w:t>
            </w:r>
          </w:p>
        </w:tc>
        <w:tc>
          <w:tcPr>
            <w:tcW w:w="617" w:type="pct"/>
            <w:tcBorders>
              <w:top w:val="nil"/>
              <w:left w:val="nil"/>
              <w:bottom w:val="nil"/>
              <w:right w:val="nil"/>
            </w:tcBorders>
            <w:shd w:val="clear" w:color="auto" w:fill="auto"/>
            <w:vAlign w:val="bottom"/>
          </w:tcPr>
          <w:p w14:paraId="57660383" w14:textId="77777777" w:rsidR="00CF7B3C" w:rsidRPr="00617755"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178.496</w:t>
            </w:r>
          </w:p>
        </w:tc>
      </w:tr>
      <w:tr w:rsidR="00CF7B3C" w:rsidRPr="003D1614" w14:paraId="0D824DD6" w14:textId="77777777" w:rsidTr="0008792D">
        <w:trPr>
          <w:cantSplit/>
          <w:trHeight w:val="250"/>
          <w:tblHeader/>
        </w:trPr>
        <w:tc>
          <w:tcPr>
            <w:tcW w:w="2532" w:type="pct"/>
            <w:vAlign w:val="center"/>
          </w:tcPr>
          <w:p w14:paraId="78104E60" w14:textId="77777777" w:rsidR="00CF7B3C" w:rsidRPr="003D1614" w:rsidRDefault="00CF7B3C" w:rsidP="0008792D">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06" w:name="_Toc67329751"/>
            <w:r w:rsidRPr="003D1614">
              <w:rPr>
                <w:rFonts w:ascii="Arial" w:eastAsia="Times New Roman" w:hAnsi="Arial" w:cs="Arial"/>
                <w:color w:val="000000" w:themeColor="text1"/>
                <w:sz w:val="18"/>
                <w:szCs w:val="18"/>
              </w:rPr>
              <w:t>Turizam</w:t>
            </w:r>
            <w:bookmarkEnd w:id="706"/>
          </w:p>
        </w:tc>
        <w:tc>
          <w:tcPr>
            <w:tcW w:w="617" w:type="pct"/>
            <w:tcBorders>
              <w:top w:val="nil"/>
              <w:left w:val="nil"/>
              <w:bottom w:val="nil"/>
              <w:right w:val="nil"/>
            </w:tcBorders>
            <w:shd w:val="clear" w:color="auto" w:fill="auto"/>
            <w:vAlign w:val="bottom"/>
          </w:tcPr>
          <w:p w14:paraId="249BAE71"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416.695</w:t>
            </w:r>
          </w:p>
        </w:tc>
        <w:tc>
          <w:tcPr>
            <w:tcW w:w="617" w:type="pct"/>
            <w:tcBorders>
              <w:top w:val="nil"/>
              <w:left w:val="nil"/>
              <w:bottom w:val="nil"/>
              <w:right w:val="nil"/>
            </w:tcBorders>
            <w:shd w:val="clear" w:color="auto" w:fill="auto"/>
            <w:vAlign w:val="bottom"/>
          </w:tcPr>
          <w:p w14:paraId="037FD861"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18.289</w:t>
            </w:r>
          </w:p>
        </w:tc>
        <w:tc>
          <w:tcPr>
            <w:tcW w:w="617" w:type="pct"/>
            <w:tcBorders>
              <w:top w:val="nil"/>
              <w:left w:val="nil"/>
              <w:bottom w:val="nil"/>
              <w:right w:val="nil"/>
            </w:tcBorders>
            <w:shd w:val="clear" w:color="auto" w:fill="auto"/>
            <w:vAlign w:val="bottom"/>
          </w:tcPr>
          <w:p w14:paraId="5A9CC4F9" w14:textId="77777777" w:rsidR="00CF7B3C" w:rsidRPr="00617755"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421.616</w:t>
            </w:r>
          </w:p>
        </w:tc>
        <w:tc>
          <w:tcPr>
            <w:tcW w:w="617" w:type="pct"/>
            <w:tcBorders>
              <w:top w:val="nil"/>
              <w:left w:val="nil"/>
              <w:bottom w:val="nil"/>
              <w:right w:val="nil"/>
            </w:tcBorders>
            <w:shd w:val="clear" w:color="auto" w:fill="auto"/>
            <w:vAlign w:val="bottom"/>
          </w:tcPr>
          <w:p w14:paraId="4B3D6617" w14:textId="77777777" w:rsidR="00CF7B3C" w:rsidRPr="00617755"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15.995</w:t>
            </w:r>
          </w:p>
        </w:tc>
      </w:tr>
      <w:tr w:rsidR="00CF7B3C" w:rsidRPr="003D1614" w14:paraId="46765D62" w14:textId="77777777" w:rsidTr="0008792D">
        <w:trPr>
          <w:cantSplit/>
          <w:trHeight w:val="250"/>
          <w:tblHeader/>
        </w:trPr>
        <w:tc>
          <w:tcPr>
            <w:tcW w:w="2532" w:type="pct"/>
            <w:vAlign w:val="center"/>
          </w:tcPr>
          <w:p w14:paraId="5AF0B72C" w14:textId="77777777" w:rsidR="00CF7B3C" w:rsidRPr="003D1614" w:rsidRDefault="00CF7B3C" w:rsidP="0008792D">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07" w:name="_Toc67329756"/>
            <w:r w:rsidRPr="003D1614">
              <w:rPr>
                <w:rFonts w:ascii="Arial" w:eastAsia="Times New Roman" w:hAnsi="Arial" w:cs="Arial"/>
                <w:color w:val="000000" w:themeColor="text1"/>
                <w:sz w:val="18"/>
                <w:szCs w:val="18"/>
              </w:rPr>
              <w:t>Prijevoz, skladištenje i veze</w:t>
            </w:r>
            <w:bookmarkEnd w:id="707"/>
          </w:p>
        </w:tc>
        <w:tc>
          <w:tcPr>
            <w:tcW w:w="617" w:type="pct"/>
            <w:tcBorders>
              <w:top w:val="nil"/>
              <w:left w:val="nil"/>
              <w:bottom w:val="nil"/>
              <w:right w:val="nil"/>
            </w:tcBorders>
            <w:shd w:val="clear" w:color="auto" w:fill="auto"/>
            <w:vAlign w:val="bottom"/>
          </w:tcPr>
          <w:p w14:paraId="5FB0082C"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384.993</w:t>
            </w:r>
          </w:p>
        </w:tc>
        <w:tc>
          <w:tcPr>
            <w:tcW w:w="617" w:type="pct"/>
            <w:tcBorders>
              <w:top w:val="nil"/>
              <w:left w:val="nil"/>
              <w:bottom w:val="nil"/>
              <w:right w:val="nil"/>
            </w:tcBorders>
            <w:shd w:val="clear" w:color="auto" w:fill="auto"/>
            <w:vAlign w:val="bottom"/>
          </w:tcPr>
          <w:p w14:paraId="7F365D1E"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56.102</w:t>
            </w:r>
          </w:p>
        </w:tc>
        <w:tc>
          <w:tcPr>
            <w:tcW w:w="617" w:type="pct"/>
            <w:tcBorders>
              <w:top w:val="nil"/>
              <w:left w:val="nil"/>
              <w:bottom w:val="nil"/>
              <w:right w:val="nil"/>
            </w:tcBorders>
            <w:shd w:val="clear" w:color="auto" w:fill="auto"/>
            <w:vAlign w:val="bottom"/>
          </w:tcPr>
          <w:p w14:paraId="639F3FA2" w14:textId="77777777" w:rsidR="00CF7B3C" w:rsidRPr="00617755"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386.609</w:t>
            </w:r>
          </w:p>
        </w:tc>
        <w:tc>
          <w:tcPr>
            <w:tcW w:w="617" w:type="pct"/>
            <w:tcBorders>
              <w:top w:val="nil"/>
              <w:left w:val="nil"/>
              <w:bottom w:val="nil"/>
              <w:right w:val="nil"/>
            </w:tcBorders>
            <w:shd w:val="clear" w:color="auto" w:fill="auto"/>
            <w:vAlign w:val="bottom"/>
          </w:tcPr>
          <w:p w14:paraId="6F590DE1" w14:textId="77777777" w:rsidR="00CF7B3C" w:rsidRPr="00617755"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62.260</w:t>
            </w:r>
          </w:p>
        </w:tc>
      </w:tr>
      <w:tr w:rsidR="00CF7B3C" w:rsidRPr="003D1614" w14:paraId="17017D48" w14:textId="77777777" w:rsidTr="0008792D">
        <w:trPr>
          <w:cantSplit/>
          <w:trHeight w:val="250"/>
          <w:tblHeader/>
        </w:trPr>
        <w:tc>
          <w:tcPr>
            <w:tcW w:w="2532" w:type="pct"/>
            <w:vAlign w:val="center"/>
          </w:tcPr>
          <w:p w14:paraId="45E96120" w14:textId="77777777" w:rsidR="00CF7B3C" w:rsidRPr="003D1614" w:rsidDel="00FF5490" w:rsidRDefault="00CF7B3C" w:rsidP="0008792D">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08" w:name="_Toc67329761"/>
            <w:r w:rsidRPr="003D1614">
              <w:rPr>
                <w:rFonts w:ascii="Arial" w:eastAsia="Times New Roman" w:hAnsi="Arial" w:cs="Arial"/>
                <w:color w:val="000000" w:themeColor="text1"/>
                <w:sz w:val="18"/>
                <w:szCs w:val="18"/>
              </w:rPr>
              <w:t>Brodogradnja</w:t>
            </w:r>
            <w:bookmarkEnd w:id="708"/>
          </w:p>
        </w:tc>
        <w:tc>
          <w:tcPr>
            <w:tcW w:w="617" w:type="pct"/>
            <w:tcBorders>
              <w:top w:val="nil"/>
              <w:left w:val="nil"/>
              <w:bottom w:val="nil"/>
              <w:right w:val="nil"/>
            </w:tcBorders>
            <w:shd w:val="clear" w:color="auto" w:fill="auto"/>
            <w:vAlign w:val="bottom"/>
          </w:tcPr>
          <w:p w14:paraId="253FF160"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161.122</w:t>
            </w:r>
          </w:p>
        </w:tc>
        <w:tc>
          <w:tcPr>
            <w:tcW w:w="617" w:type="pct"/>
            <w:tcBorders>
              <w:top w:val="nil"/>
              <w:left w:val="nil"/>
              <w:bottom w:val="nil"/>
              <w:right w:val="nil"/>
            </w:tcBorders>
            <w:shd w:val="clear" w:color="auto" w:fill="auto"/>
            <w:vAlign w:val="bottom"/>
          </w:tcPr>
          <w:p w14:paraId="211BC72B"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18.136</w:t>
            </w:r>
          </w:p>
        </w:tc>
        <w:tc>
          <w:tcPr>
            <w:tcW w:w="617" w:type="pct"/>
            <w:tcBorders>
              <w:top w:val="nil"/>
              <w:left w:val="nil"/>
              <w:bottom w:val="nil"/>
              <w:right w:val="nil"/>
            </w:tcBorders>
            <w:shd w:val="clear" w:color="auto" w:fill="auto"/>
            <w:vAlign w:val="bottom"/>
          </w:tcPr>
          <w:p w14:paraId="41B4878D" w14:textId="77777777" w:rsidR="00CF7B3C" w:rsidRPr="00617755"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162.243</w:t>
            </w:r>
          </w:p>
        </w:tc>
        <w:tc>
          <w:tcPr>
            <w:tcW w:w="617" w:type="pct"/>
            <w:tcBorders>
              <w:top w:val="nil"/>
              <w:left w:val="nil"/>
              <w:bottom w:val="nil"/>
              <w:right w:val="nil"/>
            </w:tcBorders>
            <w:shd w:val="clear" w:color="auto" w:fill="auto"/>
            <w:vAlign w:val="bottom"/>
          </w:tcPr>
          <w:p w14:paraId="45C0F846" w14:textId="77777777" w:rsidR="00CF7B3C" w:rsidRPr="00617755"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17.674</w:t>
            </w:r>
          </w:p>
        </w:tc>
      </w:tr>
      <w:tr w:rsidR="00CF7B3C" w:rsidRPr="003D1614" w14:paraId="486052DE" w14:textId="77777777" w:rsidTr="0008792D">
        <w:trPr>
          <w:cantSplit/>
          <w:trHeight w:val="250"/>
          <w:tblHeader/>
        </w:trPr>
        <w:tc>
          <w:tcPr>
            <w:tcW w:w="2532" w:type="pct"/>
            <w:vAlign w:val="center"/>
          </w:tcPr>
          <w:p w14:paraId="2F30038E" w14:textId="77777777" w:rsidR="00CF7B3C" w:rsidRPr="003D1614" w:rsidDel="00FF5490" w:rsidRDefault="00CF7B3C" w:rsidP="0008792D">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09" w:name="_Toc67329766"/>
            <w:r w:rsidRPr="003D1614">
              <w:rPr>
                <w:rFonts w:ascii="Arial" w:eastAsia="Times New Roman" w:hAnsi="Arial" w:cs="Arial"/>
                <w:color w:val="000000" w:themeColor="text1"/>
                <w:sz w:val="18"/>
                <w:szCs w:val="18"/>
              </w:rPr>
              <w:t>Poljoprivreda i ribarstvo</w:t>
            </w:r>
            <w:bookmarkEnd w:id="709"/>
          </w:p>
        </w:tc>
        <w:tc>
          <w:tcPr>
            <w:tcW w:w="617" w:type="pct"/>
            <w:tcBorders>
              <w:top w:val="nil"/>
              <w:left w:val="nil"/>
              <w:bottom w:val="nil"/>
              <w:right w:val="nil"/>
            </w:tcBorders>
            <w:shd w:val="clear" w:color="auto" w:fill="auto"/>
            <w:vAlign w:val="bottom"/>
          </w:tcPr>
          <w:p w14:paraId="6005349A"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102.503</w:t>
            </w:r>
          </w:p>
        </w:tc>
        <w:tc>
          <w:tcPr>
            <w:tcW w:w="617" w:type="pct"/>
            <w:tcBorders>
              <w:top w:val="nil"/>
              <w:left w:val="nil"/>
              <w:bottom w:val="nil"/>
              <w:right w:val="nil"/>
            </w:tcBorders>
            <w:shd w:val="clear" w:color="auto" w:fill="auto"/>
            <w:vAlign w:val="bottom"/>
          </w:tcPr>
          <w:p w14:paraId="42BFE5DE"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29.721</w:t>
            </w:r>
          </w:p>
        </w:tc>
        <w:tc>
          <w:tcPr>
            <w:tcW w:w="617" w:type="pct"/>
            <w:tcBorders>
              <w:top w:val="nil"/>
              <w:left w:val="nil"/>
              <w:bottom w:val="nil"/>
              <w:right w:val="nil"/>
            </w:tcBorders>
            <w:shd w:val="clear" w:color="auto" w:fill="auto"/>
            <w:vAlign w:val="bottom"/>
          </w:tcPr>
          <w:p w14:paraId="56E23B08" w14:textId="77777777" w:rsidR="00CF7B3C" w:rsidRPr="00617755"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100.207</w:t>
            </w:r>
          </w:p>
        </w:tc>
        <w:tc>
          <w:tcPr>
            <w:tcW w:w="617" w:type="pct"/>
            <w:tcBorders>
              <w:top w:val="nil"/>
              <w:left w:val="nil"/>
              <w:bottom w:val="nil"/>
              <w:right w:val="nil"/>
            </w:tcBorders>
            <w:shd w:val="clear" w:color="auto" w:fill="auto"/>
            <w:vAlign w:val="bottom"/>
          </w:tcPr>
          <w:p w14:paraId="3FFF8363" w14:textId="77777777" w:rsidR="00CF7B3C" w:rsidRPr="00617755"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31.165</w:t>
            </w:r>
          </w:p>
        </w:tc>
      </w:tr>
      <w:tr w:rsidR="00CF7B3C" w:rsidRPr="003D1614" w14:paraId="3E1A951F" w14:textId="77777777" w:rsidTr="0008792D">
        <w:trPr>
          <w:cantSplit/>
          <w:trHeight w:val="250"/>
          <w:tblHeader/>
        </w:trPr>
        <w:tc>
          <w:tcPr>
            <w:tcW w:w="2532" w:type="pct"/>
            <w:vAlign w:val="center"/>
          </w:tcPr>
          <w:p w14:paraId="3257E9B0" w14:textId="77777777" w:rsidR="00CF7B3C" w:rsidRPr="003D1614" w:rsidDel="00FF5490" w:rsidRDefault="00CF7B3C" w:rsidP="0008792D">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10" w:name="_Toc67329771"/>
            <w:r w:rsidRPr="003D1614">
              <w:rPr>
                <w:rFonts w:ascii="Arial" w:eastAsia="Times New Roman" w:hAnsi="Arial" w:cs="Arial"/>
                <w:color w:val="000000" w:themeColor="text1"/>
                <w:sz w:val="18"/>
                <w:szCs w:val="18"/>
              </w:rPr>
              <w:t>Proizvodnja prehrambenih proizvoda</w:t>
            </w:r>
            <w:bookmarkEnd w:id="710"/>
          </w:p>
        </w:tc>
        <w:tc>
          <w:tcPr>
            <w:tcW w:w="617" w:type="pct"/>
            <w:tcBorders>
              <w:top w:val="nil"/>
              <w:left w:val="nil"/>
              <w:bottom w:val="nil"/>
              <w:right w:val="nil"/>
            </w:tcBorders>
            <w:shd w:val="clear" w:color="auto" w:fill="auto"/>
            <w:vAlign w:val="bottom"/>
          </w:tcPr>
          <w:p w14:paraId="71ACD303"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125.315</w:t>
            </w:r>
          </w:p>
        </w:tc>
        <w:tc>
          <w:tcPr>
            <w:tcW w:w="617" w:type="pct"/>
            <w:tcBorders>
              <w:top w:val="nil"/>
              <w:left w:val="nil"/>
              <w:bottom w:val="nil"/>
              <w:right w:val="nil"/>
            </w:tcBorders>
            <w:shd w:val="clear" w:color="auto" w:fill="auto"/>
            <w:vAlign w:val="bottom"/>
          </w:tcPr>
          <w:p w14:paraId="0E27FE46"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23.737</w:t>
            </w:r>
          </w:p>
        </w:tc>
        <w:tc>
          <w:tcPr>
            <w:tcW w:w="617" w:type="pct"/>
            <w:tcBorders>
              <w:top w:val="nil"/>
              <w:left w:val="nil"/>
              <w:bottom w:val="nil"/>
              <w:right w:val="nil"/>
            </w:tcBorders>
            <w:shd w:val="clear" w:color="auto" w:fill="auto"/>
            <w:vAlign w:val="bottom"/>
          </w:tcPr>
          <w:p w14:paraId="2F52715D" w14:textId="77777777" w:rsidR="00CF7B3C" w:rsidRPr="00617755"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141.809</w:t>
            </w:r>
          </w:p>
        </w:tc>
        <w:tc>
          <w:tcPr>
            <w:tcW w:w="617" w:type="pct"/>
            <w:tcBorders>
              <w:top w:val="nil"/>
              <w:left w:val="nil"/>
              <w:bottom w:val="nil"/>
              <w:right w:val="nil"/>
            </w:tcBorders>
            <w:shd w:val="clear" w:color="auto" w:fill="auto"/>
            <w:vAlign w:val="bottom"/>
          </w:tcPr>
          <w:p w14:paraId="08D3BD87" w14:textId="77777777" w:rsidR="00CF7B3C" w:rsidRPr="00617755"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32.107</w:t>
            </w:r>
          </w:p>
        </w:tc>
      </w:tr>
      <w:tr w:rsidR="00CF7B3C" w:rsidRPr="003D1614" w14:paraId="2908DF4B" w14:textId="77777777" w:rsidTr="0008792D">
        <w:trPr>
          <w:cantSplit/>
          <w:trHeight w:val="250"/>
          <w:tblHeader/>
        </w:trPr>
        <w:tc>
          <w:tcPr>
            <w:tcW w:w="2532" w:type="pct"/>
            <w:vAlign w:val="center"/>
          </w:tcPr>
          <w:p w14:paraId="1CD79F21" w14:textId="77777777" w:rsidR="00CF7B3C" w:rsidRPr="003D1614" w:rsidDel="00FF5490" w:rsidRDefault="00CF7B3C" w:rsidP="0008792D">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11" w:name="_Toc67329776"/>
            <w:r w:rsidRPr="003D1614">
              <w:rPr>
                <w:rFonts w:ascii="Arial" w:eastAsia="Times New Roman" w:hAnsi="Arial" w:cs="Arial"/>
                <w:color w:val="000000" w:themeColor="text1"/>
                <w:sz w:val="18"/>
                <w:szCs w:val="18"/>
              </w:rPr>
              <w:t>Građevinarstvo</w:t>
            </w:r>
            <w:bookmarkEnd w:id="711"/>
          </w:p>
        </w:tc>
        <w:tc>
          <w:tcPr>
            <w:tcW w:w="617" w:type="pct"/>
            <w:tcBorders>
              <w:top w:val="nil"/>
              <w:left w:val="nil"/>
              <w:bottom w:val="nil"/>
              <w:right w:val="nil"/>
            </w:tcBorders>
            <w:shd w:val="clear" w:color="auto" w:fill="auto"/>
            <w:vAlign w:val="bottom"/>
          </w:tcPr>
          <w:p w14:paraId="170078CD"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404.592</w:t>
            </w:r>
          </w:p>
        </w:tc>
        <w:tc>
          <w:tcPr>
            <w:tcW w:w="617" w:type="pct"/>
            <w:tcBorders>
              <w:top w:val="nil"/>
              <w:left w:val="nil"/>
              <w:bottom w:val="nil"/>
              <w:right w:val="nil"/>
            </w:tcBorders>
            <w:shd w:val="clear" w:color="auto" w:fill="auto"/>
            <w:vAlign w:val="bottom"/>
          </w:tcPr>
          <w:p w14:paraId="082712B7"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13.427</w:t>
            </w:r>
          </w:p>
        </w:tc>
        <w:tc>
          <w:tcPr>
            <w:tcW w:w="617" w:type="pct"/>
            <w:tcBorders>
              <w:top w:val="nil"/>
              <w:left w:val="nil"/>
              <w:bottom w:val="nil"/>
              <w:right w:val="nil"/>
            </w:tcBorders>
            <w:shd w:val="clear" w:color="auto" w:fill="auto"/>
            <w:vAlign w:val="bottom"/>
          </w:tcPr>
          <w:p w14:paraId="5E059978" w14:textId="77777777" w:rsidR="00CF7B3C" w:rsidRPr="00617755"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405.272</w:t>
            </w:r>
          </w:p>
        </w:tc>
        <w:tc>
          <w:tcPr>
            <w:tcW w:w="617" w:type="pct"/>
            <w:tcBorders>
              <w:top w:val="nil"/>
              <w:left w:val="nil"/>
              <w:bottom w:val="nil"/>
              <w:right w:val="nil"/>
            </w:tcBorders>
            <w:shd w:val="clear" w:color="auto" w:fill="auto"/>
            <w:vAlign w:val="bottom"/>
          </w:tcPr>
          <w:p w14:paraId="17DD8A21" w14:textId="77777777" w:rsidR="00CF7B3C" w:rsidRPr="00617755"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25.832</w:t>
            </w:r>
          </w:p>
        </w:tc>
      </w:tr>
      <w:tr w:rsidR="00CF7B3C" w:rsidRPr="003D1614" w14:paraId="2858E3FC" w14:textId="77777777" w:rsidTr="0008792D">
        <w:trPr>
          <w:cantSplit/>
          <w:trHeight w:val="250"/>
          <w:tblHeader/>
        </w:trPr>
        <w:tc>
          <w:tcPr>
            <w:tcW w:w="2532" w:type="pct"/>
            <w:vAlign w:val="center"/>
          </w:tcPr>
          <w:p w14:paraId="546B08C7" w14:textId="77777777" w:rsidR="00CF7B3C" w:rsidRPr="003D1614" w:rsidDel="00FF5490" w:rsidRDefault="00CF7B3C" w:rsidP="0008792D">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12" w:name="_Toc67329781"/>
            <w:r w:rsidRPr="003D1614">
              <w:rPr>
                <w:rFonts w:ascii="Arial" w:eastAsia="Times New Roman" w:hAnsi="Arial" w:cs="Arial"/>
                <w:color w:val="000000" w:themeColor="text1"/>
                <w:sz w:val="18"/>
                <w:szCs w:val="18"/>
              </w:rPr>
              <w:t>Ostala industrija</w:t>
            </w:r>
            <w:bookmarkEnd w:id="712"/>
          </w:p>
        </w:tc>
        <w:tc>
          <w:tcPr>
            <w:tcW w:w="617" w:type="pct"/>
            <w:tcBorders>
              <w:top w:val="nil"/>
              <w:left w:val="nil"/>
              <w:bottom w:val="nil"/>
              <w:right w:val="nil"/>
            </w:tcBorders>
            <w:shd w:val="clear" w:color="auto" w:fill="auto"/>
            <w:vAlign w:val="bottom"/>
          </w:tcPr>
          <w:p w14:paraId="293C8D8A"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169.947</w:t>
            </w:r>
          </w:p>
        </w:tc>
        <w:tc>
          <w:tcPr>
            <w:tcW w:w="617" w:type="pct"/>
            <w:tcBorders>
              <w:top w:val="nil"/>
              <w:left w:val="nil"/>
              <w:bottom w:val="nil"/>
              <w:right w:val="nil"/>
            </w:tcBorders>
            <w:shd w:val="clear" w:color="auto" w:fill="auto"/>
            <w:vAlign w:val="bottom"/>
          </w:tcPr>
          <w:p w14:paraId="130EB968"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43.931</w:t>
            </w:r>
          </w:p>
        </w:tc>
        <w:tc>
          <w:tcPr>
            <w:tcW w:w="617" w:type="pct"/>
            <w:tcBorders>
              <w:top w:val="nil"/>
              <w:left w:val="nil"/>
              <w:bottom w:val="nil"/>
              <w:right w:val="nil"/>
            </w:tcBorders>
            <w:shd w:val="clear" w:color="auto" w:fill="auto"/>
            <w:vAlign w:val="bottom"/>
          </w:tcPr>
          <w:p w14:paraId="36EB8F31"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174.015</w:t>
            </w:r>
          </w:p>
        </w:tc>
        <w:tc>
          <w:tcPr>
            <w:tcW w:w="617" w:type="pct"/>
            <w:tcBorders>
              <w:top w:val="nil"/>
              <w:left w:val="nil"/>
              <w:bottom w:val="nil"/>
              <w:right w:val="nil"/>
            </w:tcBorders>
            <w:shd w:val="clear" w:color="auto" w:fill="auto"/>
            <w:vAlign w:val="bottom"/>
          </w:tcPr>
          <w:p w14:paraId="05E11E6D"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56.106</w:t>
            </w:r>
          </w:p>
        </w:tc>
      </w:tr>
      <w:tr w:rsidR="00CF7B3C" w:rsidRPr="003D1614" w14:paraId="12EE0A72" w14:textId="77777777" w:rsidTr="0008792D">
        <w:trPr>
          <w:cantSplit/>
          <w:trHeight w:val="250"/>
          <w:tblHeader/>
        </w:trPr>
        <w:tc>
          <w:tcPr>
            <w:tcW w:w="2532" w:type="pct"/>
            <w:vAlign w:val="center"/>
          </w:tcPr>
          <w:p w14:paraId="752F10B6" w14:textId="77777777" w:rsidR="00CF7B3C" w:rsidRPr="003D1614" w:rsidDel="00FF5490" w:rsidRDefault="00CF7B3C" w:rsidP="0008792D">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13" w:name="_Toc67329786"/>
            <w:r w:rsidRPr="003D1614">
              <w:rPr>
                <w:rFonts w:ascii="Arial" w:eastAsia="Times New Roman" w:hAnsi="Arial" w:cs="Arial"/>
                <w:color w:val="000000" w:themeColor="text1"/>
                <w:sz w:val="18"/>
                <w:szCs w:val="18"/>
              </w:rPr>
              <w:t>Javna uprava</w:t>
            </w:r>
            <w:bookmarkEnd w:id="713"/>
          </w:p>
        </w:tc>
        <w:tc>
          <w:tcPr>
            <w:tcW w:w="617" w:type="pct"/>
            <w:tcBorders>
              <w:top w:val="nil"/>
              <w:left w:val="nil"/>
              <w:bottom w:val="nil"/>
              <w:right w:val="nil"/>
            </w:tcBorders>
            <w:shd w:val="clear" w:color="auto" w:fill="auto"/>
            <w:vAlign w:val="bottom"/>
          </w:tcPr>
          <w:p w14:paraId="29A111FA"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241.713</w:t>
            </w:r>
          </w:p>
        </w:tc>
        <w:tc>
          <w:tcPr>
            <w:tcW w:w="617" w:type="pct"/>
            <w:tcBorders>
              <w:top w:val="nil"/>
              <w:left w:val="nil"/>
              <w:bottom w:val="nil"/>
              <w:right w:val="nil"/>
            </w:tcBorders>
            <w:shd w:val="clear" w:color="auto" w:fill="auto"/>
            <w:vAlign w:val="bottom"/>
          </w:tcPr>
          <w:p w14:paraId="233B610A"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241.286</w:t>
            </w:r>
          </w:p>
        </w:tc>
        <w:tc>
          <w:tcPr>
            <w:tcW w:w="617" w:type="pct"/>
            <w:tcBorders>
              <w:top w:val="nil"/>
              <w:left w:val="nil"/>
              <w:bottom w:val="nil"/>
              <w:right w:val="nil"/>
            </w:tcBorders>
            <w:shd w:val="clear" w:color="auto" w:fill="auto"/>
            <w:vAlign w:val="bottom"/>
          </w:tcPr>
          <w:p w14:paraId="38067F78" w14:textId="77777777" w:rsidR="00CF7B3C" w:rsidRPr="00617755"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231.974</w:t>
            </w:r>
          </w:p>
        </w:tc>
        <w:tc>
          <w:tcPr>
            <w:tcW w:w="617" w:type="pct"/>
            <w:tcBorders>
              <w:top w:val="nil"/>
              <w:left w:val="nil"/>
              <w:bottom w:val="nil"/>
              <w:right w:val="nil"/>
            </w:tcBorders>
            <w:shd w:val="clear" w:color="auto" w:fill="auto"/>
            <w:vAlign w:val="bottom"/>
          </w:tcPr>
          <w:p w14:paraId="6C54F954" w14:textId="77777777" w:rsidR="00CF7B3C" w:rsidRPr="00617755"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231.548</w:t>
            </w:r>
          </w:p>
        </w:tc>
      </w:tr>
      <w:tr w:rsidR="00CF7B3C" w:rsidRPr="003D1614" w14:paraId="77E1DA4A" w14:textId="77777777" w:rsidTr="0008792D">
        <w:trPr>
          <w:cantSplit/>
          <w:trHeight w:val="250"/>
          <w:tblHeader/>
        </w:trPr>
        <w:tc>
          <w:tcPr>
            <w:tcW w:w="2532" w:type="pct"/>
            <w:vAlign w:val="center"/>
          </w:tcPr>
          <w:p w14:paraId="511385DD" w14:textId="77777777" w:rsidR="00CF7B3C" w:rsidRPr="003D1614" w:rsidDel="00FF5490" w:rsidRDefault="00CF7B3C" w:rsidP="0008792D">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14" w:name="_Toc67329791"/>
            <w:r w:rsidRPr="003D1614">
              <w:rPr>
                <w:rFonts w:ascii="Arial" w:eastAsia="Times New Roman" w:hAnsi="Arial" w:cs="Arial"/>
                <w:color w:val="000000" w:themeColor="text1"/>
                <w:sz w:val="18"/>
                <w:szCs w:val="18"/>
              </w:rPr>
              <w:t>Obrazovanje</w:t>
            </w:r>
            <w:bookmarkEnd w:id="714"/>
          </w:p>
        </w:tc>
        <w:tc>
          <w:tcPr>
            <w:tcW w:w="617" w:type="pct"/>
            <w:tcBorders>
              <w:top w:val="nil"/>
              <w:left w:val="nil"/>
              <w:bottom w:val="nil"/>
              <w:right w:val="nil"/>
            </w:tcBorders>
            <w:shd w:val="clear" w:color="auto" w:fill="auto"/>
            <w:vAlign w:val="bottom"/>
          </w:tcPr>
          <w:p w14:paraId="75034FF1"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8.645</w:t>
            </w:r>
          </w:p>
        </w:tc>
        <w:tc>
          <w:tcPr>
            <w:tcW w:w="617" w:type="pct"/>
            <w:tcBorders>
              <w:top w:val="nil"/>
              <w:left w:val="nil"/>
              <w:bottom w:val="nil"/>
              <w:right w:val="nil"/>
            </w:tcBorders>
            <w:shd w:val="clear" w:color="auto" w:fill="auto"/>
            <w:vAlign w:val="bottom"/>
          </w:tcPr>
          <w:p w14:paraId="1B1EB688"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8.271</w:t>
            </w:r>
          </w:p>
        </w:tc>
        <w:tc>
          <w:tcPr>
            <w:tcW w:w="617" w:type="pct"/>
            <w:tcBorders>
              <w:top w:val="nil"/>
              <w:left w:val="nil"/>
              <w:bottom w:val="nil"/>
              <w:right w:val="nil"/>
            </w:tcBorders>
            <w:shd w:val="clear" w:color="auto" w:fill="auto"/>
            <w:vAlign w:val="bottom"/>
          </w:tcPr>
          <w:p w14:paraId="044D3B21" w14:textId="77777777" w:rsidR="00CF7B3C" w:rsidRPr="00617755"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10.128</w:t>
            </w:r>
          </w:p>
        </w:tc>
        <w:tc>
          <w:tcPr>
            <w:tcW w:w="617" w:type="pct"/>
            <w:tcBorders>
              <w:top w:val="nil"/>
              <w:left w:val="nil"/>
              <w:bottom w:val="nil"/>
              <w:right w:val="nil"/>
            </w:tcBorders>
            <w:shd w:val="clear" w:color="auto" w:fill="auto"/>
            <w:vAlign w:val="bottom"/>
          </w:tcPr>
          <w:p w14:paraId="21E20B8D" w14:textId="77777777" w:rsidR="00CF7B3C" w:rsidRPr="00617755"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9.737</w:t>
            </w:r>
          </w:p>
        </w:tc>
      </w:tr>
      <w:tr w:rsidR="00CF7B3C" w:rsidRPr="003D1614" w14:paraId="5944E10E" w14:textId="77777777" w:rsidTr="0008792D">
        <w:trPr>
          <w:cantSplit/>
          <w:trHeight w:val="20"/>
          <w:tblHeader/>
        </w:trPr>
        <w:tc>
          <w:tcPr>
            <w:tcW w:w="2532" w:type="pct"/>
            <w:vAlign w:val="center"/>
          </w:tcPr>
          <w:p w14:paraId="2E804052" w14:textId="77777777" w:rsidR="00CF7B3C" w:rsidRPr="003D1614" w:rsidRDefault="00CF7B3C" w:rsidP="0008792D">
            <w:pPr>
              <w:tabs>
                <w:tab w:val="right" w:pos="1202"/>
              </w:tabs>
              <w:suppressAutoHyphens/>
              <w:autoSpaceDN w:val="0"/>
              <w:outlineLvl w:val="0"/>
              <w:rPr>
                <w:rFonts w:ascii="Arial" w:eastAsia="Times New Roman" w:hAnsi="Arial" w:cs="Arial"/>
                <w:color w:val="000000" w:themeColor="text1"/>
                <w:sz w:val="18"/>
                <w:szCs w:val="18"/>
              </w:rPr>
            </w:pPr>
            <w:bookmarkStart w:id="715" w:name="_Toc67329796"/>
            <w:r w:rsidRPr="003D1614">
              <w:rPr>
                <w:rFonts w:ascii="Arial" w:eastAsia="Calibri" w:hAnsi="Arial" w:cs="Arial"/>
                <w:color w:val="000000" w:themeColor="text1"/>
                <w:sz w:val="18"/>
                <w:szCs w:val="18"/>
              </w:rPr>
              <w:t>Proizvodnja metala i gotovih metalnih proizvoda, osim strojeva i opreme</w:t>
            </w:r>
            <w:bookmarkEnd w:id="715"/>
            <w:r w:rsidRPr="003D1614">
              <w:rPr>
                <w:rFonts w:ascii="Arial" w:eastAsia="Times New Roman" w:hAnsi="Arial" w:cs="Arial"/>
                <w:color w:val="000000" w:themeColor="text1"/>
                <w:sz w:val="18"/>
                <w:szCs w:val="18"/>
              </w:rPr>
              <w:t xml:space="preserve"> </w:t>
            </w:r>
          </w:p>
        </w:tc>
        <w:tc>
          <w:tcPr>
            <w:tcW w:w="617" w:type="pct"/>
            <w:tcBorders>
              <w:top w:val="nil"/>
              <w:left w:val="nil"/>
              <w:bottom w:val="nil"/>
              <w:right w:val="nil"/>
            </w:tcBorders>
            <w:shd w:val="clear" w:color="auto" w:fill="auto"/>
            <w:vAlign w:val="bottom"/>
          </w:tcPr>
          <w:p w14:paraId="093051F3"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50.676</w:t>
            </w:r>
          </w:p>
        </w:tc>
        <w:tc>
          <w:tcPr>
            <w:tcW w:w="617" w:type="pct"/>
            <w:tcBorders>
              <w:top w:val="nil"/>
              <w:left w:val="nil"/>
              <w:bottom w:val="nil"/>
              <w:right w:val="nil"/>
            </w:tcBorders>
            <w:shd w:val="clear" w:color="auto" w:fill="auto"/>
            <w:vAlign w:val="bottom"/>
          </w:tcPr>
          <w:p w14:paraId="1DC487AF"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10.174</w:t>
            </w:r>
          </w:p>
        </w:tc>
        <w:tc>
          <w:tcPr>
            <w:tcW w:w="617" w:type="pct"/>
            <w:tcBorders>
              <w:top w:val="nil"/>
              <w:left w:val="nil"/>
              <w:bottom w:val="nil"/>
              <w:right w:val="nil"/>
            </w:tcBorders>
            <w:shd w:val="clear" w:color="auto" w:fill="auto"/>
            <w:vAlign w:val="bottom"/>
          </w:tcPr>
          <w:p w14:paraId="17960517" w14:textId="77777777" w:rsidR="00CF7B3C" w:rsidRPr="00617755"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51.331</w:t>
            </w:r>
          </w:p>
        </w:tc>
        <w:tc>
          <w:tcPr>
            <w:tcW w:w="617" w:type="pct"/>
            <w:tcBorders>
              <w:top w:val="nil"/>
              <w:left w:val="nil"/>
              <w:bottom w:val="nil"/>
              <w:right w:val="nil"/>
            </w:tcBorders>
            <w:shd w:val="clear" w:color="auto" w:fill="auto"/>
            <w:vAlign w:val="bottom"/>
          </w:tcPr>
          <w:p w14:paraId="714E05E4" w14:textId="77777777" w:rsidR="00CF7B3C" w:rsidRPr="00617755"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6.955</w:t>
            </w:r>
          </w:p>
        </w:tc>
      </w:tr>
      <w:tr w:rsidR="00CF7B3C" w:rsidRPr="003D1614" w14:paraId="61FC9A38" w14:textId="77777777" w:rsidTr="0008792D">
        <w:trPr>
          <w:cantSplit/>
          <w:trHeight w:val="250"/>
          <w:tblHeader/>
        </w:trPr>
        <w:tc>
          <w:tcPr>
            <w:tcW w:w="2532" w:type="pct"/>
            <w:vAlign w:val="center"/>
          </w:tcPr>
          <w:p w14:paraId="427ABF36" w14:textId="77777777" w:rsidR="00CF7B3C" w:rsidRPr="003D1614" w:rsidRDefault="00CF7B3C" w:rsidP="0008792D">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16" w:name="_Toc67329801"/>
            <w:r w:rsidRPr="003D1614">
              <w:rPr>
                <w:rFonts w:ascii="Arial" w:eastAsia="Times New Roman" w:hAnsi="Arial" w:cs="Arial"/>
                <w:color w:val="000000" w:themeColor="text1"/>
                <w:sz w:val="18"/>
                <w:szCs w:val="18"/>
              </w:rPr>
              <w:t>Proizvodnja kemikalija i kemijskih proizvoda</w:t>
            </w:r>
            <w:bookmarkEnd w:id="716"/>
          </w:p>
        </w:tc>
        <w:tc>
          <w:tcPr>
            <w:tcW w:w="617" w:type="pct"/>
            <w:tcBorders>
              <w:top w:val="nil"/>
              <w:left w:val="nil"/>
              <w:bottom w:val="nil"/>
              <w:right w:val="nil"/>
            </w:tcBorders>
            <w:shd w:val="clear" w:color="auto" w:fill="auto"/>
            <w:vAlign w:val="bottom"/>
          </w:tcPr>
          <w:p w14:paraId="7A064E62"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14.238</w:t>
            </w:r>
          </w:p>
        </w:tc>
        <w:tc>
          <w:tcPr>
            <w:tcW w:w="617" w:type="pct"/>
            <w:tcBorders>
              <w:top w:val="nil"/>
              <w:left w:val="nil"/>
              <w:bottom w:val="nil"/>
              <w:right w:val="nil"/>
            </w:tcBorders>
            <w:shd w:val="clear" w:color="auto" w:fill="auto"/>
            <w:vAlign w:val="bottom"/>
          </w:tcPr>
          <w:p w14:paraId="5EFA08A6"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1.235</w:t>
            </w:r>
          </w:p>
        </w:tc>
        <w:tc>
          <w:tcPr>
            <w:tcW w:w="617" w:type="pct"/>
            <w:tcBorders>
              <w:top w:val="nil"/>
              <w:left w:val="nil"/>
              <w:bottom w:val="nil"/>
              <w:right w:val="nil"/>
            </w:tcBorders>
            <w:shd w:val="clear" w:color="auto" w:fill="auto"/>
            <w:vAlign w:val="bottom"/>
          </w:tcPr>
          <w:p w14:paraId="392ABCAB" w14:textId="77777777" w:rsidR="00CF7B3C" w:rsidRPr="00617755"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14.881</w:t>
            </w:r>
          </w:p>
        </w:tc>
        <w:tc>
          <w:tcPr>
            <w:tcW w:w="617" w:type="pct"/>
            <w:tcBorders>
              <w:top w:val="nil"/>
              <w:left w:val="nil"/>
              <w:bottom w:val="nil"/>
              <w:right w:val="nil"/>
            </w:tcBorders>
            <w:shd w:val="clear" w:color="auto" w:fill="auto"/>
            <w:vAlign w:val="bottom"/>
          </w:tcPr>
          <w:p w14:paraId="3794C955" w14:textId="77777777" w:rsidR="00CF7B3C" w:rsidRPr="00617755"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1.239</w:t>
            </w:r>
          </w:p>
        </w:tc>
      </w:tr>
      <w:tr w:rsidR="00CF7B3C" w:rsidRPr="003D1614" w14:paraId="64FCBA20" w14:textId="77777777" w:rsidTr="0008792D">
        <w:trPr>
          <w:cantSplit/>
          <w:trHeight w:val="250"/>
          <w:tblHeader/>
        </w:trPr>
        <w:tc>
          <w:tcPr>
            <w:tcW w:w="2532" w:type="pct"/>
            <w:vAlign w:val="center"/>
          </w:tcPr>
          <w:p w14:paraId="32B5361A" w14:textId="77777777" w:rsidR="00CF7B3C" w:rsidRPr="003D1614" w:rsidRDefault="00CF7B3C" w:rsidP="0008792D">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17" w:name="_Toc67329806"/>
            <w:r w:rsidRPr="003D1614">
              <w:rPr>
                <w:rFonts w:ascii="Arial" w:eastAsia="Times New Roman" w:hAnsi="Arial" w:cs="Arial"/>
                <w:color w:val="000000" w:themeColor="text1"/>
                <w:sz w:val="18"/>
                <w:szCs w:val="18"/>
              </w:rPr>
              <w:t>Proizvodnja ostalih nemetalnih mineralnih proizvoda</w:t>
            </w:r>
            <w:bookmarkEnd w:id="717"/>
            <w:r w:rsidRPr="003D1614">
              <w:rPr>
                <w:rFonts w:ascii="Arial" w:eastAsia="Times New Roman" w:hAnsi="Arial" w:cs="Arial"/>
                <w:color w:val="000000" w:themeColor="text1"/>
                <w:sz w:val="18"/>
                <w:szCs w:val="18"/>
              </w:rPr>
              <w:t xml:space="preserve"> </w:t>
            </w:r>
          </w:p>
        </w:tc>
        <w:tc>
          <w:tcPr>
            <w:tcW w:w="617" w:type="pct"/>
            <w:tcBorders>
              <w:top w:val="nil"/>
              <w:left w:val="nil"/>
              <w:bottom w:val="nil"/>
              <w:right w:val="nil"/>
            </w:tcBorders>
            <w:shd w:val="clear" w:color="auto" w:fill="auto"/>
            <w:vAlign w:val="bottom"/>
          </w:tcPr>
          <w:p w14:paraId="6CE96287"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35.733</w:t>
            </w:r>
          </w:p>
        </w:tc>
        <w:tc>
          <w:tcPr>
            <w:tcW w:w="617" w:type="pct"/>
            <w:tcBorders>
              <w:top w:val="nil"/>
              <w:left w:val="nil"/>
              <w:bottom w:val="nil"/>
              <w:right w:val="nil"/>
            </w:tcBorders>
            <w:shd w:val="clear" w:color="auto" w:fill="auto"/>
            <w:vAlign w:val="bottom"/>
          </w:tcPr>
          <w:p w14:paraId="5075C223"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8.846</w:t>
            </w:r>
          </w:p>
        </w:tc>
        <w:tc>
          <w:tcPr>
            <w:tcW w:w="617" w:type="pct"/>
            <w:tcBorders>
              <w:top w:val="nil"/>
              <w:left w:val="nil"/>
              <w:bottom w:val="nil"/>
              <w:right w:val="nil"/>
            </w:tcBorders>
            <w:shd w:val="clear" w:color="auto" w:fill="auto"/>
            <w:vAlign w:val="bottom"/>
          </w:tcPr>
          <w:p w14:paraId="50A5A489" w14:textId="77777777" w:rsidR="00CF7B3C" w:rsidRPr="00617755"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36.124</w:t>
            </w:r>
          </w:p>
        </w:tc>
        <w:tc>
          <w:tcPr>
            <w:tcW w:w="617" w:type="pct"/>
            <w:tcBorders>
              <w:top w:val="nil"/>
              <w:left w:val="nil"/>
              <w:bottom w:val="nil"/>
              <w:right w:val="nil"/>
            </w:tcBorders>
            <w:shd w:val="clear" w:color="auto" w:fill="auto"/>
            <w:vAlign w:val="bottom"/>
          </w:tcPr>
          <w:p w14:paraId="7DA60437" w14:textId="77777777" w:rsidR="00CF7B3C" w:rsidRPr="00617755"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8.176</w:t>
            </w:r>
          </w:p>
        </w:tc>
      </w:tr>
      <w:tr w:rsidR="00CF7B3C" w:rsidRPr="003D1614" w14:paraId="1EAF721E" w14:textId="77777777" w:rsidTr="0008792D">
        <w:trPr>
          <w:cantSplit/>
          <w:trHeight w:val="250"/>
          <w:tblHeader/>
        </w:trPr>
        <w:tc>
          <w:tcPr>
            <w:tcW w:w="2532" w:type="pct"/>
            <w:vAlign w:val="center"/>
          </w:tcPr>
          <w:p w14:paraId="4E7D391D" w14:textId="77777777" w:rsidR="00CF7B3C" w:rsidRPr="003D1614" w:rsidRDefault="00CF7B3C" w:rsidP="0008792D">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18" w:name="_Toc67329811"/>
            <w:r w:rsidRPr="003D1614">
              <w:rPr>
                <w:rFonts w:ascii="Arial" w:eastAsia="Times New Roman" w:hAnsi="Arial" w:cs="Arial"/>
                <w:color w:val="000000" w:themeColor="text1"/>
                <w:sz w:val="18"/>
                <w:szCs w:val="18"/>
              </w:rPr>
              <w:t>Proizvodnja farmaceutskih pripravaka</w:t>
            </w:r>
            <w:bookmarkEnd w:id="718"/>
          </w:p>
        </w:tc>
        <w:tc>
          <w:tcPr>
            <w:tcW w:w="617" w:type="pct"/>
            <w:tcBorders>
              <w:top w:val="nil"/>
              <w:left w:val="nil"/>
              <w:bottom w:val="nil"/>
              <w:right w:val="nil"/>
            </w:tcBorders>
            <w:shd w:val="clear" w:color="auto" w:fill="auto"/>
            <w:vAlign w:val="bottom"/>
          </w:tcPr>
          <w:p w14:paraId="3504DF0F"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66.086</w:t>
            </w:r>
          </w:p>
        </w:tc>
        <w:tc>
          <w:tcPr>
            <w:tcW w:w="617" w:type="pct"/>
            <w:tcBorders>
              <w:top w:val="nil"/>
              <w:left w:val="nil"/>
              <w:bottom w:val="nil"/>
              <w:right w:val="nil"/>
            </w:tcBorders>
            <w:shd w:val="clear" w:color="auto" w:fill="auto"/>
            <w:vAlign w:val="bottom"/>
          </w:tcPr>
          <w:p w14:paraId="16EE0DE8"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6.427</w:t>
            </w:r>
          </w:p>
        </w:tc>
        <w:tc>
          <w:tcPr>
            <w:tcW w:w="617" w:type="pct"/>
            <w:tcBorders>
              <w:top w:val="nil"/>
              <w:left w:val="nil"/>
              <w:bottom w:val="nil"/>
              <w:right w:val="nil"/>
            </w:tcBorders>
            <w:shd w:val="clear" w:color="auto" w:fill="auto"/>
            <w:vAlign w:val="bottom"/>
          </w:tcPr>
          <w:p w14:paraId="45982D63" w14:textId="77777777" w:rsidR="00CF7B3C" w:rsidRPr="00617755"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67.371</w:t>
            </w:r>
          </w:p>
        </w:tc>
        <w:tc>
          <w:tcPr>
            <w:tcW w:w="617" w:type="pct"/>
            <w:tcBorders>
              <w:top w:val="nil"/>
              <w:left w:val="nil"/>
              <w:bottom w:val="nil"/>
              <w:right w:val="nil"/>
            </w:tcBorders>
            <w:shd w:val="clear" w:color="auto" w:fill="auto"/>
            <w:vAlign w:val="bottom"/>
          </w:tcPr>
          <w:p w14:paraId="7A11F9F7" w14:textId="77777777" w:rsidR="00CF7B3C" w:rsidRPr="00617755"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7.435</w:t>
            </w:r>
          </w:p>
        </w:tc>
      </w:tr>
      <w:tr w:rsidR="00CF7B3C" w:rsidRPr="003D1614" w14:paraId="4502B988" w14:textId="77777777" w:rsidTr="0008792D">
        <w:trPr>
          <w:cantSplit/>
          <w:trHeight w:val="250"/>
          <w:tblHeader/>
        </w:trPr>
        <w:tc>
          <w:tcPr>
            <w:tcW w:w="2532" w:type="pct"/>
            <w:vAlign w:val="center"/>
          </w:tcPr>
          <w:p w14:paraId="4BB9A644" w14:textId="77777777" w:rsidR="00CF7B3C" w:rsidRPr="003D1614" w:rsidRDefault="00CF7B3C" w:rsidP="0008792D">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19" w:name="_Toc67329816"/>
            <w:r w:rsidRPr="003D1614">
              <w:rPr>
                <w:rFonts w:ascii="Arial" w:eastAsia="Times New Roman" w:hAnsi="Arial" w:cs="Arial"/>
                <w:color w:val="000000" w:themeColor="text1"/>
                <w:sz w:val="18"/>
                <w:szCs w:val="18"/>
              </w:rPr>
              <w:t>Proizvodnja motornih vozila, prikolica i poluprikolica</w:t>
            </w:r>
            <w:bookmarkEnd w:id="719"/>
          </w:p>
        </w:tc>
        <w:tc>
          <w:tcPr>
            <w:tcW w:w="617" w:type="pct"/>
            <w:tcBorders>
              <w:top w:val="nil"/>
              <w:left w:val="nil"/>
              <w:bottom w:val="nil"/>
              <w:right w:val="nil"/>
            </w:tcBorders>
            <w:shd w:val="clear" w:color="auto" w:fill="auto"/>
            <w:vAlign w:val="bottom"/>
          </w:tcPr>
          <w:p w14:paraId="2C2C4F7A"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12.570</w:t>
            </w:r>
          </w:p>
        </w:tc>
        <w:tc>
          <w:tcPr>
            <w:tcW w:w="617" w:type="pct"/>
            <w:tcBorders>
              <w:top w:val="nil"/>
              <w:left w:val="nil"/>
              <w:bottom w:val="nil"/>
              <w:right w:val="nil"/>
            </w:tcBorders>
            <w:shd w:val="clear" w:color="auto" w:fill="auto"/>
            <w:vAlign w:val="bottom"/>
          </w:tcPr>
          <w:p w14:paraId="3AF1CDD1"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433</w:t>
            </w:r>
          </w:p>
        </w:tc>
        <w:tc>
          <w:tcPr>
            <w:tcW w:w="617" w:type="pct"/>
            <w:tcBorders>
              <w:top w:val="nil"/>
              <w:left w:val="nil"/>
              <w:bottom w:val="nil"/>
              <w:right w:val="nil"/>
            </w:tcBorders>
            <w:shd w:val="clear" w:color="auto" w:fill="auto"/>
            <w:vAlign w:val="bottom"/>
          </w:tcPr>
          <w:p w14:paraId="6971A43D" w14:textId="77777777" w:rsidR="00CF7B3C" w:rsidRPr="00617755"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13.173</w:t>
            </w:r>
          </w:p>
        </w:tc>
        <w:tc>
          <w:tcPr>
            <w:tcW w:w="617" w:type="pct"/>
            <w:tcBorders>
              <w:top w:val="nil"/>
              <w:left w:val="nil"/>
              <w:bottom w:val="nil"/>
              <w:right w:val="nil"/>
            </w:tcBorders>
            <w:shd w:val="clear" w:color="auto" w:fill="auto"/>
            <w:vAlign w:val="bottom"/>
          </w:tcPr>
          <w:p w14:paraId="47B6A5C8" w14:textId="77777777" w:rsidR="00CF7B3C" w:rsidRPr="00617755"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454</w:t>
            </w:r>
          </w:p>
        </w:tc>
      </w:tr>
      <w:tr w:rsidR="00CF7B3C" w:rsidRPr="003D1614" w14:paraId="7B227B1A" w14:textId="77777777" w:rsidTr="0008792D">
        <w:trPr>
          <w:cantSplit/>
          <w:trHeight w:val="250"/>
          <w:tblHeader/>
        </w:trPr>
        <w:tc>
          <w:tcPr>
            <w:tcW w:w="2532" w:type="pct"/>
            <w:vAlign w:val="center"/>
          </w:tcPr>
          <w:p w14:paraId="14946203" w14:textId="77777777" w:rsidR="00CF7B3C" w:rsidRPr="003D1614" w:rsidRDefault="00CF7B3C" w:rsidP="0008792D">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Proizvodnja električne opreme</w:t>
            </w:r>
          </w:p>
        </w:tc>
        <w:tc>
          <w:tcPr>
            <w:tcW w:w="617" w:type="pct"/>
            <w:tcBorders>
              <w:top w:val="nil"/>
              <w:left w:val="nil"/>
              <w:bottom w:val="nil"/>
              <w:right w:val="nil"/>
            </w:tcBorders>
            <w:shd w:val="clear" w:color="auto" w:fill="auto"/>
            <w:vAlign w:val="bottom"/>
          </w:tcPr>
          <w:p w14:paraId="1B80CB22"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17.965</w:t>
            </w:r>
          </w:p>
        </w:tc>
        <w:tc>
          <w:tcPr>
            <w:tcW w:w="617" w:type="pct"/>
            <w:tcBorders>
              <w:top w:val="nil"/>
              <w:left w:val="nil"/>
              <w:bottom w:val="nil"/>
              <w:right w:val="nil"/>
            </w:tcBorders>
            <w:shd w:val="clear" w:color="auto" w:fill="auto"/>
            <w:vAlign w:val="bottom"/>
          </w:tcPr>
          <w:p w14:paraId="36FD9A1D"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4.487</w:t>
            </w:r>
          </w:p>
        </w:tc>
        <w:tc>
          <w:tcPr>
            <w:tcW w:w="617" w:type="pct"/>
            <w:tcBorders>
              <w:top w:val="nil"/>
              <w:left w:val="nil"/>
              <w:bottom w:val="nil"/>
              <w:right w:val="nil"/>
            </w:tcBorders>
            <w:shd w:val="clear" w:color="auto" w:fill="auto"/>
            <w:vAlign w:val="bottom"/>
          </w:tcPr>
          <w:p w14:paraId="3A0E1E4E"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18.582</w:t>
            </w:r>
          </w:p>
        </w:tc>
        <w:tc>
          <w:tcPr>
            <w:tcW w:w="617" w:type="pct"/>
            <w:tcBorders>
              <w:top w:val="nil"/>
              <w:left w:val="nil"/>
              <w:bottom w:val="nil"/>
              <w:right w:val="nil"/>
            </w:tcBorders>
            <w:shd w:val="clear" w:color="auto" w:fill="auto"/>
            <w:vAlign w:val="bottom"/>
          </w:tcPr>
          <w:p w14:paraId="4AAD7306"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6.264</w:t>
            </w:r>
          </w:p>
        </w:tc>
      </w:tr>
      <w:tr w:rsidR="00CF7B3C" w:rsidRPr="003D1614" w14:paraId="798916BE" w14:textId="77777777" w:rsidTr="0008792D">
        <w:trPr>
          <w:cantSplit/>
          <w:trHeight w:val="250"/>
          <w:tblHeader/>
        </w:trPr>
        <w:tc>
          <w:tcPr>
            <w:tcW w:w="2532" w:type="pct"/>
            <w:vAlign w:val="center"/>
          </w:tcPr>
          <w:p w14:paraId="74D9910C" w14:textId="77777777" w:rsidR="00CF7B3C" w:rsidRPr="003D1614" w:rsidRDefault="00CF7B3C" w:rsidP="0008792D">
            <w:pPr>
              <w:tabs>
                <w:tab w:val="right" w:pos="1202"/>
              </w:tabs>
              <w:suppressAutoHyphens/>
              <w:autoSpaceDN w:val="0"/>
              <w:spacing w:line="301" w:lineRule="exact"/>
              <w:outlineLvl w:val="0"/>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Proizvodnja strojeva i uređaja</w:t>
            </w:r>
          </w:p>
        </w:tc>
        <w:tc>
          <w:tcPr>
            <w:tcW w:w="617" w:type="pct"/>
            <w:tcBorders>
              <w:top w:val="nil"/>
              <w:left w:val="nil"/>
              <w:bottom w:val="nil"/>
              <w:right w:val="nil"/>
            </w:tcBorders>
            <w:shd w:val="clear" w:color="auto" w:fill="auto"/>
            <w:vAlign w:val="bottom"/>
          </w:tcPr>
          <w:p w14:paraId="599E7C42"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32.940</w:t>
            </w:r>
          </w:p>
        </w:tc>
        <w:tc>
          <w:tcPr>
            <w:tcW w:w="617" w:type="pct"/>
            <w:tcBorders>
              <w:top w:val="nil"/>
              <w:left w:val="nil"/>
              <w:bottom w:val="nil"/>
              <w:right w:val="nil"/>
            </w:tcBorders>
            <w:shd w:val="clear" w:color="auto" w:fill="auto"/>
            <w:vAlign w:val="bottom"/>
          </w:tcPr>
          <w:p w14:paraId="3011D668"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2.975</w:t>
            </w:r>
          </w:p>
        </w:tc>
        <w:tc>
          <w:tcPr>
            <w:tcW w:w="617" w:type="pct"/>
            <w:tcBorders>
              <w:top w:val="nil"/>
              <w:left w:val="nil"/>
              <w:bottom w:val="nil"/>
              <w:right w:val="nil"/>
            </w:tcBorders>
            <w:shd w:val="clear" w:color="auto" w:fill="auto"/>
            <w:vAlign w:val="bottom"/>
          </w:tcPr>
          <w:p w14:paraId="375B12DF"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30.898</w:t>
            </w:r>
          </w:p>
        </w:tc>
        <w:tc>
          <w:tcPr>
            <w:tcW w:w="617" w:type="pct"/>
            <w:tcBorders>
              <w:top w:val="nil"/>
              <w:left w:val="nil"/>
              <w:bottom w:val="nil"/>
              <w:right w:val="nil"/>
            </w:tcBorders>
            <w:shd w:val="clear" w:color="auto" w:fill="auto"/>
            <w:vAlign w:val="bottom"/>
          </w:tcPr>
          <w:p w14:paraId="3BEFCC9A"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3.016</w:t>
            </w:r>
          </w:p>
        </w:tc>
      </w:tr>
      <w:tr w:rsidR="00CF7B3C" w:rsidRPr="003D1614" w14:paraId="573EDED6" w14:textId="77777777" w:rsidTr="0008792D">
        <w:trPr>
          <w:cantSplit/>
          <w:trHeight w:val="250"/>
          <w:tblHeader/>
        </w:trPr>
        <w:tc>
          <w:tcPr>
            <w:tcW w:w="2532" w:type="pct"/>
            <w:vAlign w:val="bottom"/>
          </w:tcPr>
          <w:p w14:paraId="1B3A7F52" w14:textId="77777777" w:rsidR="00CF7B3C" w:rsidRPr="003D1614" w:rsidRDefault="00CF7B3C" w:rsidP="0008792D">
            <w:pPr>
              <w:tabs>
                <w:tab w:val="right" w:pos="1202"/>
              </w:tabs>
              <w:suppressAutoHyphens/>
              <w:autoSpaceDN w:val="0"/>
              <w:spacing w:line="301" w:lineRule="exact"/>
              <w:outlineLvl w:val="0"/>
              <w:rPr>
                <w:rFonts w:ascii="Arial" w:eastAsia="Times New Roman" w:hAnsi="Arial" w:cs="Arial"/>
                <w:color w:val="000000" w:themeColor="text1"/>
                <w:sz w:val="18"/>
                <w:szCs w:val="18"/>
              </w:rPr>
            </w:pPr>
            <w:bookmarkStart w:id="720" w:name="_Toc67329821"/>
            <w:r w:rsidRPr="003D1614">
              <w:rPr>
                <w:rFonts w:ascii="Arial" w:eastAsia="Times New Roman" w:hAnsi="Arial" w:cs="Arial"/>
                <w:color w:val="000000" w:themeColor="text1"/>
                <w:sz w:val="18"/>
                <w:szCs w:val="18"/>
              </w:rPr>
              <w:t>Ostalo</w:t>
            </w:r>
            <w:bookmarkEnd w:id="720"/>
          </w:p>
        </w:tc>
        <w:tc>
          <w:tcPr>
            <w:tcW w:w="617" w:type="pct"/>
            <w:tcBorders>
              <w:top w:val="nil"/>
              <w:left w:val="nil"/>
              <w:bottom w:val="nil"/>
              <w:right w:val="nil"/>
            </w:tcBorders>
            <w:shd w:val="clear" w:color="auto" w:fill="auto"/>
            <w:vAlign w:val="bottom"/>
          </w:tcPr>
          <w:p w14:paraId="2E332FDA"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330.727</w:t>
            </w:r>
          </w:p>
        </w:tc>
        <w:tc>
          <w:tcPr>
            <w:tcW w:w="617" w:type="pct"/>
            <w:tcBorders>
              <w:top w:val="nil"/>
              <w:left w:val="nil"/>
              <w:bottom w:val="nil"/>
              <w:right w:val="nil"/>
            </w:tcBorders>
            <w:shd w:val="clear" w:color="auto" w:fill="auto"/>
            <w:vAlign w:val="bottom"/>
          </w:tcPr>
          <w:p w14:paraId="7CBF8779" w14:textId="77777777" w:rsidR="00CF7B3C" w:rsidRPr="003D1614"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Pr>
                <w:rFonts w:ascii="Arial" w:eastAsia="Times New Roman" w:hAnsi="Arial" w:cs="Arial"/>
                <w:sz w:val="18"/>
                <w:szCs w:val="18"/>
              </w:rPr>
              <w:t>122.588</w:t>
            </w:r>
          </w:p>
        </w:tc>
        <w:tc>
          <w:tcPr>
            <w:tcW w:w="617" w:type="pct"/>
            <w:tcBorders>
              <w:top w:val="nil"/>
              <w:left w:val="nil"/>
              <w:bottom w:val="nil"/>
              <w:right w:val="nil"/>
            </w:tcBorders>
            <w:shd w:val="clear" w:color="auto" w:fill="auto"/>
            <w:vAlign w:val="bottom"/>
          </w:tcPr>
          <w:p w14:paraId="5ABD1F85" w14:textId="77777777" w:rsidR="00CF7B3C" w:rsidRPr="00617755"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290.020</w:t>
            </w:r>
          </w:p>
        </w:tc>
        <w:tc>
          <w:tcPr>
            <w:tcW w:w="617" w:type="pct"/>
            <w:tcBorders>
              <w:top w:val="nil"/>
              <w:left w:val="nil"/>
              <w:bottom w:val="nil"/>
              <w:right w:val="nil"/>
            </w:tcBorders>
            <w:shd w:val="clear" w:color="auto" w:fill="auto"/>
            <w:vAlign w:val="bottom"/>
          </w:tcPr>
          <w:p w14:paraId="246F272E" w14:textId="77777777" w:rsidR="00CF7B3C" w:rsidRPr="00617755" w:rsidRDefault="00CF7B3C" w:rsidP="0008792D">
            <w:pPr>
              <w:tabs>
                <w:tab w:val="right" w:pos="1202"/>
              </w:tabs>
              <w:suppressAutoHyphens/>
              <w:autoSpaceDN w:val="0"/>
              <w:spacing w:line="301" w:lineRule="exact"/>
              <w:jc w:val="right"/>
              <w:outlineLvl w:val="0"/>
              <w:rPr>
                <w:rFonts w:ascii="Arial" w:eastAsia="Times New Roman" w:hAnsi="Arial" w:cs="Arial"/>
                <w:sz w:val="18"/>
                <w:szCs w:val="18"/>
              </w:rPr>
            </w:pPr>
            <w:r w:rsidRPr="00AD7F10">
              <w:rPr>
                <w:rFonts w:ascii="Arial" w:hAnsi="Arial" w:cs="Arial"/>
                <w:sz w:val="18"/>
                <w:szCs w:val="18"/>
              </w:rPr>
              <w:t>80.092</w:t>
            </w:r>
          </w:p>
        </w:tc>
      </w:tr>
      <w:tr w:rsidR="00CF7B3C" w:rsidRPr="003D1614" w14:paraId="406410EE" w14:textId="77777777" w:rsidTr="0008792D">
        <w:tblPrEx>
          <w:tblCellMar>
            <w:left w:w="31" w:type="dxa"/>
            <w:right w:w="31" w:type="dxa"/>
          </w:tblCellMar>
        </w:tblPrEx>
        <w:trPr>
          <w:cantSplit/>
          <w:trHeight w:hRule="exact" w:val="90"/>
          <w:tblHeader/>
        </w:trPr>
        <w:tc>
          <w:tcPr>
            <w:tcW w:w="2532" w:type="pct"/>
            <w:vAlign w:val="center"/>
          </w:tcPr>
          <w:p w14:paraId="21F78A64" w14:textId="77777777" w:rsidR="00CF7B3C" w:rsidRPr="003D1614" w:rsidRDefault="00CF7B3C" w:rsidP="0008792D">
            <w:pPr>
              <w:suppressAutoHyphens/>
              <w:autoSpaceDN w:val="0"/>
              <w:rPr>
                <w:rFonts w:ascii="Arial" w:eastAsia="Times New Roman" w:hAnsi="Arial" w:cs="Arial"/>
                <w:b/>
                <w:bCs/>
                <w:color w:val="000000" w:themeColor="text1"/>
                <w:sz w:val="18"/>
                <w:szCs w:val="18"/>
              </w:rPr>
            </w:pPr>
          </w:p>
        </w:tc>
        <w:tc>
          <w:tcPr>
            <w:tcW w:w="617" w:type="pct"/>
            <w:tcBorders>
              <w:top w:val="single" w:sz="8" w:space="0" w:color="auto"/>
            </w:tcBorders>
            <w:shd w:val="clear" w:color="auto" w:fill="auto"/>
            <w:vAlign w:val="bottom"/>
          </w:tcPr>
          <w:p w14:paraId="3084DF38" w14:textId="77777777" w:rsidR="00CF7B3C" w:rsidRPr="003D1614" w:rsidRDefault="00CF7B3C" w:rsidP="0008792D">
            <w:pPr>
              <w:tabs>
                <w:tab w:val="right" w:pos="1202"/>
              </w:tabs>
              <w:suppressAutoHyphens/>
              <w:autoSpaceDN w:val="0"/>
              <w:jc w:val="right"/>
              <w:outlineLvl w:val="0"/>
              <w:rPr>
                <w:rFonts w:ascii="Arial" w:eastAsia="Times New Roman" w:hAnsi="Arial" w:cs="Arial"/>
                <w:noProof/>
                <w:color w:val="000000" w:themeColor="text1"/>
                <w:sz w:val="18"/>
                <w:szCs w:val="18"/>
                <w:lang w:eastAsia="hr-HR"/>
              </w:rPr>
            </w:pPr>
          </w:p>
        </w:tc>
        <w:tc>
          <w:tcPr>
            <w:tcW w:w="617" w:type="pct"/>
            <w:tcBorders>
              <w:top w:val="single" w:sz="8" w:space="0" w:color="auto"/>
            </w:tcBorders>
            <w:shd w:val="clear" w:color="auto" w:fill="auto"/>
            <w:vAlign w:val="bottom"/>
          </w:tcPr>
          <w:p w14:paraId="7474265B" w14:textId="77777777" w:rsidR="00CF7B3C" w:rsidRPr="003D1614" w:rsidRDefault="00CF7B3C" w:rsidP="0008792D">
            <w:pPr>
              <w:tabs>
                <w:tab w:val="right" w:pos="1202"/>
              </w:tabs>
              <w:suppressAutoHyphens/>
              <w:autoSpaceDN w:val="0"/>
              <w:jc w:val="right"/>
              <w:outlineLvl w:val="0"/>
              <w:rPr>
                <w:rFonts w:ascii="Arial" w:eastAsia="Times New Roman" w:hAnsi="Arial" w:cs="Arial"/>
                <w:b/>
                <w:color w:val="000000" w:themeColor="text1"/>
                <w:sz w:val="18"/>
                <w:szCs w:val="18"/>
              </w:rPr>
            </w:pPr>
          </w:p>
        </w:tc>
        <w:tc>
          <w:tcPr>
            <w:tcW w:w="617" w:type="pct"/>
            <w:tcBorders>
              <w:top w:val="single" w:sz="8" w:space="0" w:color="auto"/>
            </w:tcBorders>
            <w:shd w:val="clear" w:color="auto" w:fill="auto"/>
          </w:tcPr>
          <w:p w14:paraId="26F0680C" w14:textId="77777777" w:rsidR="00CF7B3C" w:rsidRPr="003D1614" w:rsidRDefault="00CF7B3C" w:rsidP="0008792D">
            <w:pPr>
              <w:tabs>
                <w:tab w:val="right" w:pos="1202"/>
              </w:tabs>
              <w:suppressAutoHyphens/>
              <w:autoSpaceDN w:val="0"/>
              <w:jc w:val="right"/>
              <w:outlineLvl w:val="0"/>
              <w:rPr>
                <w:rFonts w:ascii="Arial" w:eastAsia="Times New Roman" w:hAnsi="Arial" w:cs="Arial"/>
                <w:noProof/>
                <w:color w:val="000000" w:themeColor="text1"/>
                <w:sz w:val="18"/>
                <w:szCs w:val="18"/>
                <w:lang w:eastAsia="hr-HR"/>
              </w:rPr>
            </w:pPr>
          </w:p>
        </w:tc>
        <w:tc>
          <w:tcPr>
            <w:tcW w:w="617" w:type="pct"/>
            <w:tcBorders>
              <w:top w:val="single" w:sz="8" w:space="0" w:color="auto"/>
            </w:tcBorders>
            <w:shd w:val="clear" w:color="auto" w:fill="auto"/>
          </w:tcPr>
          <w:p w14:paraId="6FD458EB" w14:textId="77777777" w:rsidR="00CF7B3C" w:rsidRPr="003D1614" w:rsidRDefault="00CF7B3C" w:rsidP="0008792D">
            <w:pPr>
              <w:tabs>
                <w:tab w:val="right" w:pos="1202"/>
              </w:tabs>
              <w:suppressAutoHyphens/>
              <w:autoSpaceDN w:val="0"/>
              <w:jc w:val="right"/>
              <w:outlineLvl w:val="0"/>
              <w:rPr>
                <w:rFonts w:ascii="Arial" w:eastAsia="Times New Roman" w:hAnsi="Arial" w:cs="Arial"/>
                <w:b/>
                <w:color w:val="000000" w:themeColor="text1"/>
                <w:sz w:val="18"/>
                <w:szCs w:val="18"/>
              </w:rPr>
            </w:pPr>
          </w:p>
        </w:tc>
      </w:tr>
      <w:tr w:rsidR="00CF7B3C" w:rsidRPr="003D1614" w14:paraId="2447A451" w14:textId="77777777" w:rsidTr="0008792D">
        <w:tblPrEx>
          <w:tblCellMar>
            <w:left w:w="31" w:type="dxa"/>
            <w:right w:w="31" w:type="dxa"/>
          </w:tblCellMar>
        </w:tblPrEx>
        <w:trPr>
          <w:cantSplit/>
          <w:trHeight w:val="322"/>
          <w:tblHeader/>
        </w:trPr>
        <w:tc>
          <w:tcPr>
            <w:tcW w:w="2532" w:type="pct"/>
            <w:vAlign w:val="bottom"/>
          </w:tcPr>
          <w:p w14:paraId="59EA411E" w14:textId="77777777" w:rsidR="00CF7B3C" w:rsidRPr="003D1614" w:rsidRDefault="00CF7B3C" w:rsidP="0008792D">
            <w:pPr>
              <w:suppressAutoHyphens/>
              <w:autoSpaceDN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Ukupna izloženost kreditnom riziku</w:t>
            </w:r>
          </w:p>
        </w:tc>
        <w:tc>
          <w:tcPr>
            <w:tcW w:w="617" w:type="pct"/>
            <w:tcBorders>
              <w:left w:val="nil"/>
              <w:bottom w:val="single" w:sz="12" w:space="0" w:color="auto"/>
              <w:right w:val="nil"/>
            </w:tcBorders>
            <w:shd w:val="clear" w:color="auto" w:fill="auto"/>
            <w:vAlign w:val="bottom"/>
          </w:tcPr>
          <w:p w14:paraId="0AD100C1" w14:textId="77777777" w:rsidR="00CF7B3C" w:rsidRPr="003D1614" w:rsidRDefault="00CF7B3C" w:rsidP="0008792D">
            <w:pPr>
              <w:tabs>
                <w:tab w:val="right" w:pos="1202"/>
              </w:tabs>
              <w:suppressAutoHyphens/>
              <w:autoSpaceDN w:val="0"/>
              <w:jc w:val="right"/>
              <w:outlineLvl w:val="0"/>
              <w:rPr>
                <w:rFonts w:ascii="Arial" w:eastAsia="Times New Roman" w:hAnsi="Arial" w:cs="Arial"/>
                <w:b/>
                <w:bCs/>
                <w:noProof/>
                <w:color w:val="000000" w:themeColor="text1"/>
                <w:sz w:val="18"/>
                <w:szCs w:val="18"/>
                <w:lang w:eastAsia="hr-HR"/>
              </w:rPr>
            </w:pPr>
            <w:r>
              <w:rPr>
                <w:rFonts w:ascii="Arial" w:eastAsia="Times New Roman" w:hAnsi="Arial" w:cs="Arial"/>
                <w:b/>
                <w:bCs/>
                <w:noProof/>
                <w:color w:val="000000" w:themeColor="text1"/>
                <w:sz w:val="18"/>
                <w:szCs w:val="18"/>
                <w:lang w:eastAsia="hr-HR"/>
              </w:rPr>
              <w:t>4.533.798</w:t>
            </w:r>
          </w:p>
        </w:tc>
        <w:tc>
          <w:tcPr>
            <w:tcW w:w="617" w:type="pct"/>
            <w:tcBorders>
              <w:left w:val="nil"/>
              <w:bottom w:val="single" w:sz="12" w:space="0" w:color="auto"/>
              <w:right w:val="nil"/>
            </w:tcBorders>
            <w:shd w:val="clear" w:color="auto" w:fill="auto"/>
            <w:vAlign w:val="bottom"/>
          </w:tcPr>
          <w:p w14:paraId="0F16B253" w14:textId="77777777" w:rsidR="00CF7B3C" w:rsidRPr="003D1614" w:rsidRDefault="00CF7B3C" w:rsidP="0008792D">
            <w:pPr>
              <w:tabs>
                <w:tab w:val="right" w:pos="1202"/>
              </w:tabs>
              <w:suppressAutoHyphens/>
              <w:autoSpaceDN w:val="0"/>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794.835</w:t>
            </w:r>
          </w:p>
        </w:tc>
        <w:tc>
          <w:tcPr>
            <w:tcW w:w="617" w:type="pct"/>
            <w:tcBorders>
              <w:left w:val="nil"/>
              <w:bottom w:val="single" w:sz="12" w:space="0" w:color="auto"/>
              <w:right w:val="nil"/>
            </w:tcBorders>
            <w:shd w:val="clear" w:color="auto" w:fill="auto"/>
            <w:vAlign w:val="bottom"/>
          </w:tcPr>
          <w:p w14:paraId="74C3D531" w14:textId="77777777" w:rsidR="00CF7B3C" w:rsidRPr="003D1614" w:rsidRDefault="00CF7B3C" w:rsidP="0008792D">
            <w:pPr>
              <w:tabs>
                <w:tab w:val="right" w:pos="1202"/>
              </w:tabs>
              <w:suppressAutoHyphens/>
              <w:autoSpaceDN w:val="0"/>
              <w:jc w:val="right"/>
              <w:outlineLvl w:val="0"/>
              <w:rPr>
                <w:rFonts w:ascii="Arial" w:eastAsia="Times New Roman" w:hAnsi="Arial" w:cs="Arial"/>
                <w:b/>
                <w:noProof/>
                <w:color w:val="000000" w:themeColor="text1"/>
                <w:sz w:val="18"/>
                <w:szCs w:val="18"/>
                <w:lang w:eastAsia="hr-HR"/>
              </w:rPr>
            </w:pPr>
            <w:r w:rsidRPr="006F3C83">
              <w:rPr>
                <w:rFonts w:ascii="Arial" w:hAnsi="Arial" w:cs="Arial"/>
                <w:b/>
                <w:bCs/>
                <w:noProof/>
                <w:color w:val="000000" w:themeColor="text1"/>
                <w:sz w:val="18"/>
                <w:szCs w:val="18"/>
                <w:lang w:eastAsia="hr-HR"/>
              </w:rPr>
              <w:t>4.457.933</w:t>
            </w:r>
          </w:p>
        </w:tc>
        <w:tc>
          <w:tcPr>
            <w:tcW w:w="617" w:type="pct"/>
            <w:tcBorders>
              <w:left w:val="nil"/>
              <w:bottom w:val="single" w:sz="12" w:space="0" w:color="auto"/>
              <w:right w:val="nil"/>
            </w:tcBorders>
            <w:shd w:val="clear" w:color="auto" w:fill="auto"/>
            <w:vAlign w:val="bottom"/>
          </w:tcPr>
          <w:p w14:paraId="17D6BE1A" w14:textId="77777777" w:rsidR="00CF7B3C" w:rsidRPr="003D1614" w:rsidRDefault="00CF7B3C" w:rsidP="0008792D">
            <w:pPr>
              <w:tabs>
                <w:tab w:val="right" w:pos="1202"/>
              </w:tabs>
              <w:suppressAutoHyphens/>
              <w:autoSpaceDN w:val="0"/>
              <w:jc w:val="right"/>
              <w:outlineLvl w:val="0"/>
              <w:rPr>
                <w:rFonts w:ascii="Arial" w:eastAsia="Times New Roman" w:hAnsi="Arial" w:cs="Arial"/>
                <w:b/>
                <w:color w:val="000000" w:themeColor="text1"/>
                <w:sz w:val="18"/>
                <w:szCs w:val="18"/>
              </w:rPr>
            </w:pPr>
            <w:r w:rsidRPr="006F3C83">
              <w:rPr>
                <w:rFonts w:ascii="Arial" w:hAnsi="Arial" w:cs="Arial"/>
                <w:b/>
                <w:bCs/>
                <w:color w:val="000000" w:themeColor="text1"/>
                <w:sz w:val="18"/>
                <w:szCs w:val="18"/>
              </w:rPr>
              <w:t>774.551</w:t>
            </w:r>
          </w:p>
        </w:tc>
      </w:tr>
    </w:tbl>
    <w:p w14:paraId="04E66E91" w14:textId="77777777" w:rsidR="00CF7B3C" w:rsidRDefault="00CF7B3C" w:rsidP="001A0FCB">
      <w:pPr>
        <w:keepNext/>
        <w:suppressAutoHyphens/>
        <w:autoSpaceDN w:val="0"/>
        <w:jc w:val="both"/>
        <w:outlineLvl w:val="0"/>
        <w:rPr>
          <w:rFonts w:ascii="Arial" w:eastAsia="Times New Roman" w:hAnsi="Arial" w:cs="Arial"/>
          <w:bCs/>
          <w:color w:val="000000" w:themeColor="text1"/>
          <w:sz w:val="20"/>
          <w:szCs w:val="20"/>
        </w:rPr>
      </w:pPr>
    </w:p>
    <w:p w14:paraId="430CD6E9" w14:textId="77777777" w:rsidR="00CF7B3C" w:rsidRDefault="00CF7B3C" w:rsidP="001A0FCB">
      <w:pPr>
        <w:keepNext/>
        <w:suppressAutoHyphens/>
        <w:autoSpaceDN w:val="0"/>
        <w:jc w:val="both"/>
        <w:outlineLvl w:val="0"/>
        <w:rPr>
          <w:rFonts w:ascii="Arial" w:eastAsia="Times New Roman" w:hAnsi="Arial" w:cs="Arial"/>
          <w:bCs/>
          <w:color w:val="000000" w:themeColor="text1"/>
          <w:sz w:val="20"/>
          <w:szCs w:val="20"/>
        </w:rPr>
      </w:pPr>
    </w:p>
    <w:p w14:paraId="68503C75" w14:textId="13ABDB68" w:rsidR="001A0FCB" w:rsidRPr="003D1614" w:rsidRDefault="001A0FCB" w:rsidP="001A0FCB">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Koncentracija imovine i garancija i preuzetih obveza prema industrijskim granama za obje godine sastavljena je sukladno Nacionalnoj klasifikaciji djelatnosti iz 2007. godine („NKD 2007.“). </w:t>
      </w:r>
    </w:p>
    <w:p w14:paraId="692C3FE0"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619B5960" w14:textId="05C75B76" w:rsidR="001A0FCB" w:rsidRPr="003D1614" w:rsidRDefault="001A0FCB" w:rsidP="001A0FCB">
      <w:pPr>
        <w:suppressAutoHyphens/>
        <w:autoSpaceDN w:val="0"/>
        <w:jc w:val="both"/>
        <w:rPr>
          <w:rFonts w:ascii="Arial" w:eastAsia="Times New Roman" w:hAnsi="Arial" w:cs="Arial"/>
          <w:color w:val="000000" w:themeColor="text1"/>
          <w:sz w:val="20"/>
          <w:szCs w:val="20"/>
        </w:rPr>
        <w:sectPr w:rsidR="001A0FCB" w:rsidRPr="003D1614" w:rsidSect="00623DBA">
          <w:pgSz w:w="11907" w:h="16840" w:code="9"/>
          <w:pgMar w:top="1418" w:right="1134" w:bottom="1134" w:left="1418" w:header="851" w:footer="851" w:gutter="0"/>
          <w:cols w:space="720"/>
          <w:noEndnote/>
        </w:sectPr>
      </w:pPr>
      <w:r w:rsidRPr="003D1614">
        <w:rPr>
          <w:rFonts w:ascii="Arial" w:eastAsia="Times New Roman" w:hAnsi="Arial" w:cs="Arial"/>
          <w:color w:val="000000" w:themeColor="text1"/>
          <w:sz w:val="20"/>
          <w:szCs w:val="20"/>
        </w:rPr>
        <w:t>Pri sastavljanju bilješke primjenjuje se kombinirani pristup koji uvažava djelatnosti dužnika, zadržava nazive djelatnosti drugačije od onih u Nacionalnoj klasifikaciji djelatnosti te objedinjuje slične djelatnosti</w:t>
      </w:r>
      <w:r w:rsidR="00CF7B3C">
        <w:rPr>
          <w:rFonts w:ascii="Arial" w:eastAsia="Times New Roman" w:hAnsi="Arial" w:cs="Arial"/>
          <w:color w:val="000000" w:themeColor="text1"/>
          <w:sz w:val="20"/>
          <w:szCs w:val="20"/>
        </w:rPr>
        <w:t>.</w:t>
      </w:r>
    </w:p>
    <w:p w14:paraId="493F509A"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1D03FE16" w14:textId="30494989" w:rsidR="001A0FCB" w:rsidRPr="003D1614" w:rsidRDefault="003278A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001A0FCB" w:rsidRPr="003D1614">
        <w:rPr>
          <w:rFonts w:ascii="Arial" w:eastAsia="Times New Roman" w:hAnsi="Arial" w:cs="Arial"/>
          <w:b/>
          <w:bCs/>
          <w:color w:val="000000" w:themeColor="text1"/>
          <w:sz w:val="20"/>
          <w:szCs w:val="20"/>
        </w:rPr>
        <w:t>.</w:t>
      </w:r>
      <w:r w:rsidR="001A0FCB" w:rsidRPr="003D1614">
        <w:rPr>
          <w:rFonts w:ascii="Arial" w:eastAsia="Times New Roman" w:hAnsi="Arial" w:cs="Arial"/>
          <w:b/>
          <w:bCs/>
          <w:color w:val="000000" w:themeColor="text1"/>
          <w:sz w:val="20"/>
          <w:szCs w:val="20"/>
        </w:rPr>
        <w:tab/>
        <w:t>Upravljanje rizicima (nastavak)</w:t>
      </w:r>
    </w:p>
    <w:p w14:paraId="3D37592D"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0F64DC42" w14:textId="648FF20F" w:rsidR="001A0FCB" w:rsidRPr="003D1614" w:rsidRDefault="003278AB" w:rsidP="001A0FC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001A0FCB" w:rsidRPr="003D1614">
        <w:rPr>
          <w:rFonts w:ascii="Arial" w:eastAsia="Times New Roman" w:hAnsi="Arial" w:cs="Arial"/>
          <w:b/>
          <w:bCs/>
          <w:color w:val="000000" w:themeColor="text1"/>
          <w:sz w:val="20"/>
          <w:szCs w:val="20"/>
        </w:rPr>
        <w:t xml:space="preserve">.3. </w:t>
      </w:r>
      <w:r w:rsidR="001A0FCB" w:rsidRPr="003D1614">
        <w:rPr>
          <w:rFonts w:ascii="Arial" w:eastAsia="Times New Roman" w:hAnsi="Arial" w:cs="Arial"/>
          <w:b/>
          <w:bCs/>
          <w:color w:val="000000" w:themeColor="text1"/>
          <w:sz w:val="20"/>
          <w:szCs w:val="20"/>
        </w:rPr>
        <w:tab/>
        <w:t>Kreditni rizik (nastavak)</w:t>
      </w:r>
    </w:p>
    <w:p w14:paraId="2B627957"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p>
    <w:p w14:paraId="7BD5BC45" w14:textId="77777777" w:rsidR="001A0FCB" w:rsidRPr="003D1614" w:rsidRDefault="001A0FCB" w:rsidP="001A0FCB">
      <w:pPr>
        <w:keepNext/>
        <w:suppressAutoHyphens/>
        <w:autoSpaceDN w:val="0"/>
        <w:jc w:val="both"/>
        <w:outlineLvl w:val="0"/>
        <w:rPr>
          <w:rFonts w:ascii="Arial" w:eastAsia="Times New Roman" w:hAnsi="Arial" w:cs="Arial"/>
          <w:b/>
          <w:bCs/>
          <w:color w:val="000000" w:themeColor="text1"/>
          <w:sz w:val="20"/>
          <w:szCs w:val="20"/>
        </w:rPr>
      </w:pPr>
      <w:r w:rsidRPr="005D1219">
        <w:rPr>
          <w:rFonts w:ascii="Arial" w:eastAsia="Times New Roman" w:hAnsi="Arial" w:cs="Arial"/>
          <w:b/>
          <w:bCs/>
          <w:color w:val="000000" w:themeColor="text1"/>
          <w:sz w:val="20"/>
          <w:szCs w:val="20"/>
        </w:rPr>
        <w:t>Koncentracija rizika i maksimalna izloženost kreditnom riziku (nastavak)</w:t>
      </w:r>
    </w:p>
    <w:p w14:paraId="51A48FB6" w14:textId="77777777" w:rsidR="001A0FCB" w:rsidRPr="003D1614" w:rsidRDefault="001A0FCB" w:rsidP="001A0FCB">
      <w:pPr>
        <w:tabs>
          <w:tab w:val="right" w:pos="9129"/>
        </w:tabs>
        <w:suppressAutoHyphens/>
        <w:autoSpaceDN w:val="0"/>
        <w:jc w:val="both"/>
        <w:rPr>
          <w:rFonts w:ascii="Arial" w:eastAsia="Times New Roman" w:hAnsi="Arial" w:cs="Arial"/>
          <w:bCs/>
          <w:color w:val="000000" w:themeColor="text1"/>
          <w:sz w:val="20"/>
          <w:szCs w:val="20"/>
        </w:rPr>
      </w:pPr>
    </w:p>
    <w:p w14:paraId="312A21A5" w14:textId="47FD00BA" w:rsidR="001A0FCB" w:rsidRPr="003D1614" w:rsidRDefault="001A0FCB" w:rsidP="001A0FCB">
      <w:pPr>
        <w:tabs>
          <w:tab w:val="right" w:pos="9129"/>
        </w:tabs>
        <w:suppressAutoHyphens/>
        <w:autoSpaceDN w:val="0"/>
        <w:jc w:val="both"/>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Fer vrijednost instrumenata osiguranja </w:t>
      </w:r>
      <w:bookmarkStart w:id="721" w:name="_Hlk28596413"/>
      <w:r w:rsidRPr="003D1614">
        <w:rPr>
          <w:rFonts w:ascii="Arial" w:eastAsia="Times New Roman" w:hAnsi="Arial" w:cs="Arial"/>
          <w:bCs/>
          <w:color w:val="000000" w:themeColor="text1"/>
          <w:sz w:val="20"/>
          <w:szCs w:val="20"/>
        </w:rPr>
        <w:t>na dan 31. ožujka 202</w:t>
      </w:r>
      <w:r w:rsidR="00243D53">
        <w:rPr>
          <w:rFonts w:ascii="Arial" w:eastAsia="Times New Roman" w:hAnsi="Arial" w:cs="Arial"/>
          <w:bCs/>
          <w:color w:val="000000" w:themeColor="text1"/>
          <w:sz w:val="20"/>
          <w:szCs w:val="20"/>
        </w:rPr>
        <w:t>4</w:t>
      </w:r>
      <w:r w:rsidRPr="003D1614">
        <w:rPr>
          <w:rFonts w:ascii="Arial" w:eastAsia="Times New Roman" w:hAnsi="Arial" w:cs="Arial"/>
          <w:bCs/>
          <w:color w:val="000000" w:themeColor="text1"/>
          <w:sz w:val="20"/>
          <w:szCs w:val="20"/>
        </w:rPr>
        <w:t xml:space="preserve">. </w:t>
      </w:r>
      <w:bookmarkEnd w:id="721"/>
      <w:r w:rsidRPr="003D1614">
        <w:rPr>
          <w:rFonts w:ascii="Arial" w:eastAsia="Times New Roman" w:hAnsi="Arial" w:cs="Arial"/>
          <w:bCs/>
          <w:color w:val="000000" w:themeColor="text1"/>
          <w:sz w:val="20"/>
          <w:szCs w:val="20"/>
        </w:rPr>
        <w:t xml:space="preserve">za Grupu iznosi </w:t>
      </w:r>
      <w:bookmarkStart w:id="722" w:name="_Hlk135731852"/>
      <w:r w:rsidR="00C320FB" w:rsidRPr="00C320FB">
        <w:rPr>
          <w:rFonts w:ascii="Arial" w:eastAsia="Times New Roman" w:hAnsi="Arial" w:cs="Arial"/>
          <w:bCs/>
          <w:color w:val="000000" w:themeColor="text1"/>
          <w:sz w:val="20"/>
          <w:szCs w:val="20"/>
        </w:rPr>
        <w:t xml:space="preserve">3.741.687 </w:t>
      </w:r>
      <w:bookmarkEnd w:id="722"/>
      <w:r w:rsidRPr="003D1614">
        <w:rPr>
          <w:rFonts w:ascii="Arial" w:eastAsia="Times New Roman" w:hAnsi="Arial" w:cs="Arial"/>
          <w:bCs/>
          <w:color w:val="000000" w:themeColor="text1"/>
          <w:sz w:val="20"/>
          <w:szCs w:val="20"/>
        </w:rPr>
        <w:t>tisuća eura (31. prosinca 202</w:t>
      </w:r>
      <w:r w:rsidR="00243D53">
        <w:rPr>
          <w:rFonts w:ascii="Arial" w:eastAsia="Times New Roman" w:hAnsi="Arial" w:cs="Arial"/>
          <w:bCs/>
          <w:color w:val="000000" w:themeColor="text1"/>
          <w:sz w:val="20"/>
          <w:szCs w:val="20"/>
        </w:rPr>
        <w:t>3</w:t>
      </w:r>
      <w:r w:rsidRPr="003D1614">
        <w:rPr>
          <w:rFonts w:ascii="Arial" w:eastAsia="Times New Roman" w:hAnsi="Arial" w:cs="Arial"/>
          <w:bCs/>
          <w:color w:val="000000" w:themeColor="text1"/>
          <w:sz w:val="20"/>
          <w:szCs w:val="20"/>
        </w:rPr>
        <w:t xml:space="preserve">.: </w:t>
      </w:r>
      <w:bookmarkStart w:id="723" w:name="_Hlk135731872"/>
      <w:r w:rsidR="00911029" w:rsidRPr="00911029">
        <w:rPr>
          <w:rFonts w:ascii="Arial" w:eastAsia="Times New Roman" w:hAnsi="Arial" w:cs="Arial"/>
          <w:bCs/>
          <w:color w:val="000000" w:themeColor="text1"/>
          <w:sz w:val="20"/>
          <w:szCs w:val="20"/>
        </w:rPr>
        <w:t>3.</w:t>
      </w:r>
      <w:r w:rsidR="002E263E">
        <w:rPr>
          <w:rFonts w:ascii="Arial" w:eastAsia="Times New Roman" w:hAnsi="Arial" w:cs="Arial"/>
          <w:bCs/>
          <w:color w:val="000000" w:themeColor="text1"/>
          <w:sz w:val="20"/>
          <w:szCs w:val="20"/>
        </w:rPr>
        <w:t>686.277</w:t>
      </w:r>
      <w:bookmarkEnd w:id="723"/>
      <w:r w:rsidR="002E263E">
        <w:rPr>
          <w:rFonts w:ascii="Arial" w:eastAsia="Times New Roman" w:hAnsi="Arial" w:cs="Arial"/>
          <w:bCs/>
          <w:color w:val="000000" w:themeColor="text1"/>
          <w:sz w:val="20"/>
          <w:szCs w:val="20"/>
        </w:rPr>
        <w:t xml:space="preserve"> </w:t>
      </w:r>
      <w:r w:rsidRPr="003D1614">
        <w:rPr>
          <w:rFonts w:ascii="Arial" w:eastAsia="Times New Roman" w:hAnsi="Arial" w:cs="Arial"/>
          <w:bCs/>
          <w:color w:val="000000" w:themeColor="text1"/>
          <w:sz w:val="20"/>
          <w:szCs w:val="20"/>
        </w:rPr>
        <w:t xml:space="preserve">tisuća eura), a za Banku iznosi </w:t>
      </w:r>
      <w:bookmarkStart w:id="724" w:name="_Hlk135731861"/>
      <w:r w:rsidR="00C320FB" w:rsidRPr="00C320FB">
        <w:rPr>
          <w:rFonts w:ascii="Arial" w:eastAsia="Times New Roman" w:hAnsi="Arial" w:cs="Arial"/>
          <w:bCs/>
          <w:color w:val="000000" w:themeColor="text1"/>
          <w:sz w:val="20"/>
          <w:szCs w:val="20"/>
        </w:rPr>
        <w:t xml:space="preserve">3.738.963 </w:t>
      </w:r>
      <w:bookmarkEnd w:id="724"/>
      <w:r w:rsidRPr="003D1614">
        <w:rPr>
          <w:rFonts w:ascii="Arial" w:eastAsia="Times New Roman" w:hAnsi="Arial" w:cs="Arial"/>
          <w:bCs/>
          <w:color w:val="000000" w:themeColor="text1"/>
          <w:sz w:val="20"/>
          <w:szCs w:val="20"/>
        </w:rPr>
        <w:t>tisuća eura (31. prosinca 202</w:t>
      </w:r>
      <w:r w:rsidR="002E263E">
        <w:rPr>
          <w:rFonts w:ascii="Arial" w:eastAsia="Times New Roman" w:hAnsi="Arial" w:cs="Arial"/>
          <w:bCs/>
          <w:color w:val="000000" w:themeColor="text1"/>
          <w:sz w:val="20"/>
          <w:szCs w:val="20"/>
        </w:rPr>
        <w:t>3</w:t>
      </w:r>
      <w:r w:rsidRPr="003D1614">
        <w:rPr>
          <w:rFonts w:ascii="Arial" w:eastAsia="Times New Roman" w:hAnsi="Arial" w:cs="Arial"/>
          <w:bCs/>
          <w:color w:val="000000" w:themeColor="text1"/>
          <w:sz w:val="20"/>
          <w:szCs w:val="20"/>
        </w:rPr>
        <w:t xml:space="preserve">.: </w:t>
      </w:r>
      <w:bookmarkStart w:id="725" w:name="_Hlk135731881"/>
      <w:r w:rsidR="00911029" w:rsidRPr="00911029">
        <w:rPr>
          <w:rFonts w:ascii="Arial" w:eastAsia="Times New Roman" w:hAnsi="Arial" w:cs="Arial"/>
          <w:bCs/>
          <w:color w:val="000000" w:themeColor="text1"/>
          <w:sz w:val="20"/>
          <w:szCs w:val="20"/>
        </w:rPr>
        <w:t>3.</w:t>
      </w:r>
      <w:r w:rsidR="002E263E">
        <w:rPr>
          <w:rFonts w:ascii="Arial" w:eastAsia="Times New Roman" w:hAnsi="Arial" w:cs="Arial"/>
          <w:bCs/>
          <w:color w:val="000000" w:themeColor="text1"/>
          <w:sz w:val="20"/>
          <w:szCs w:val="20"/>
        </w:rPr>
        <w:t>6</w:t>
      </w:r>
      <w:r w:rsidR="00C953B3">
        <w:rPr>
          <w:rFonts w:ascii="Arial" w:eastAsia="Times New Roman" w:hAnsi="Arial" w:cs="Arial"/>
          <w:bCs/>
          <w:color w:val="000000" w:themeColor="text1"/>
          <w:sz w:val="20"/>
          <w:szCs w:val="20"/>
        </w:rPr>
        <w:t>83.382</w:t>
      </w:r>
      <w:r w:rsidRPr="003D1614">
        <w:rPr>
          <w:rFonts w:ascii="Arial" w:eastAsia="Times New Roman" w:hAnsi="Arial" w:cs="Arial"/>
          <w:bCs/>
          <w:color w:val="000000" w:themeColor="text1"/>
          <w:sz w:val="20"/>
          <w:szCs w:val="20"/>
        </w:rPr>
        <w:t xml:space="preserve"> </w:t>
      </w:r>
      <w:bookmarkEnd w:id="725"/>
      <w:r w:rsidRPr="003D1614">
        <w:rPr>
          <w:rFonts w:ascii="Arial" w:eastAsia="Times New Roman" w:hAnsi="Arial" w:cs="Arial"/>
          <w:bCs/>
          <w:color w:val="000000" w:themeColor="text1"/>
          <w:sz w:val="20"/>
          <w:szCs w:val="20"/>
        </w:rPr>
        <w:t>tisuća eura).</w:t>
      </w:r>
    </w:p>
    <w:p w14:paraId="38597954" w14:textId="77777777" w:rsidR="001A0FCB" w:rsidRPr="003D1614" w:rsidRDefault="001A0FCB" w:rsidP="001A0FCB">
      <w:pPr>
        <w:tabs>
          <w:tab w:val="right" w:pos="9129"/>
        </w:tabs>
        <w:suppressAutoHyphens/>
        <w:autoSpaceDN w:val="0"/>
        <w:jc w:val="both"/>
        <w:rPr>
          <w:rFonts w:ascii="Arial" w:eastAsia="Times New Roman" w:hAnsi="Arial" w:cs="Arial"/>
          <w:bCs/>
          <w:color w:val="000000" w:themeColor="text1"/>
          <w:sz w:val="20"/>
          <w:szCs w:val="20"/>
          <w:highlight w:val="yellow"/>
        </w:rPr>
      </w:pPr>
    </w:p>
    <w:p w14:paraId="5B9062CE" w14:textId="0F1FDD75" w:rsidR="001A0FCB" w:rsidRPr="003D1614" w:rsidRDefault="001A0FCB" w:rsidP="001A0FCB">
      <w:pPr>
        <w:tabs>
          <w:tab w:val="right" w:pos="9129"/>
        </w:tabs>
        <w:suppressAutoHyphens/>
        <w:autoSpaceDN w:val="0"/>
        <w:jc w:val="both"/>
        <w:rPr>
          <w:rFonts w:ascii="Arial" w:eastAsia="Calibri" w:hAnsi="Arial" w:cs="Arial"/>
          <w:color w:val="000000" w:themeColor="text1"/>
          <w:sz w:val="20"/>
          <w:szCs w:val="20"/>
        </w:rPr>
      </w:pPr>
      <w:r w:rsidRPr="003D1614">
        <w:rPr>
          <w:rFonts w:ascii="Arial" w:eastAsia="Calibri" w:hAnsi="Arial" w:cs="Arial"/>
          <w:bCs/>
          <w:color w:val="000000" w:themeColor="text1"/>
          <w:sz w:val="20"/>
          <w:szCs w:val="20"/>
        </w:rPr>
        <w:t xml:space="preserve">Neto najveća izloženost </w:t>
      </w:r>
      <w:r w:rsidRPr="003D1614">
        <w:rPr>
          <w:rFonts w:ascii="Arial" w:eastAsia="Times New Roman" w:hAnsi="Arial" w:cs="Arial"/>
          <w:bCs/>
          <w:color w:val="000000" w:themeColor="text1"/>
          <w:sz w:val="20"/>
          <w:szCs w:val="20"/>
        </w:rPr>
        <w:t>na dan 31. ožujka 202</w:t>
      </w:r>
      <w:r w:rsidR="00C953B3">
        <w:rPr>
          <w:rFonts w:ascii="Arial" w:eastAsia="Times New Roman" w:hAnsi="Arial" w:cs="Arial"/>
          <w:bCs/>
          <w:color w:val="000000" w:themeColor="text1"/>
          <w:sz w:val="20"/>
          <w:szCs w:val="20"/>
        </w:rPr>
        <w:t>4</w:t>
      </w:r>
      <w:r w:rsidRPr="003D1614">
        <w:rPr>
          <w:rFonts w:ascii="Arial" w:eastAsia="Times New Roman" w:hAnsi="Arial" w:cs="Arial"/>
          <w:bCs/>
          <w:color w:val="000000" w:themeColor="text1"/>
          <w:sz w:val="20"/>
          <w:szCs w:val="20"/>
        </w:rPr>
        <w:t xml:space="preserve">. </w:t>
      </w:r>
      <w:r w:rsidRPr="003D1614">
        <w:rPr>
          <w:rFonts w:ascii="Arial" w:eastAsia="Calibri" w:hAnsi="Arial" w:cs="Arial"/>
          <w:bCs/>
          <w:color w:val="000000" w:themeColor="text1"/>
          <w:sz w:val="20"/>
          <w:szCs w:val="20"/>
        </w:rPr>
        <w:t>za Grupu iznosi</w:t>
      </w:r>
      <w:bookmarkStart w:id="726" w:name="_Hlk28596462"/>
      <w:r w:rsidRPr="003D1614">
        <w:rPr>
          <w:rFonts w:ascii="Arial" w:eastAsia="Calibri" w:hAnsi="Arial" w:cs="Arial"/>
          <w:bCs/>
          <w:color w:val="000000" w:themeColor="text1"/>
          <w:sz w:val="20"/>
          <w:szCs w:val="20"/>
        </w:rPr>
        <w:t xml:space="preserve"> </w:t>
      </w:r>
      <w:bookmarkStart w:id="727" w:name="_Hlk135731888"/>
      <w:bookmarkEnd w:id="726"/>
      <w:r w:rsidR="00C320FB" w:rsidRPr="00C320FB">
        <w:rPr>
          <w:rFonts w:ascii="Arial" w:eastAsia="Calibri" w:hAnsi="Arial" w:cs="Arial"/>
          <w:bCs/>
          <w:color w:val="000000" w:themeColor="text1"/>
          <w:sz w:val="20"/>
          <w:szCs w:val="20"/>
        </w:rPr>
        <w:t xml:space="preserve">801.961 </w:t>
      </w:r>
      <w:bookmarkEnd w:id="727"/>
      <w:r w:rsidRPr="003D1614">
        <w:rPr>
          <w:rFonts w:ascii="Arial" w:eastAsia="Calibri" w:hAnsi="Arial" w:cs="Arial"/>
          <w:color w:val="000000" w:themeColor="text1"/>
          <w:sz w:val="20"/>
          <w:szCs w:val="20"/>
        </w:rPr>
        <w:t>tisuća eura (31. prosinca 202</w:t>
      </w:r>
      <w:r w:rsidR="00C953B3">
        <w:rPr>
          <w:rFonts w:ascii="Arial" w:eastAsia="Calibri" w:hAnsi="Arial" w:cs="Arial"/>
          <w:color w:val="000000" w:themeColor="text1"/>
          <w:sz w:val="20"/>
          <w:szCs w:val="20"/>
        </w:rPr>
        <w:t>3</w:t>
      </w:r>
      <w:r w:rsidRPr="003D1614">
        <w:rPr>
          <w:rFonts w:ascii="Arial" w:eastAsia="Calibri" w:hAnsi="Arial" w:cs="Arial"/>
          <w:color w:val="000000" w:themeColor="text1"/>
          <w:sz w:val="20"/>
          <w:szCs w:val="20"/>
        </w:rPr>
        <w:t xml:space="preserve">.: </w:t>
      </w:r>
      <w:bookmarkStart w:id="728" w:name="_Hlk135731899"/>
      <w:r w:rsidR="00911029" w:rsidRPr="00911029">
        <w:rPr>
          <w:rFonts w:ascii="Arial" w:eastAsia="Times New Roman" w:hAnsi="Arial" w:cs="Arial"/>
          <w:bCs/>
          <w:color w:val="000000" w:themeColor="text1"/>
          <w:sz w:val="20"/>
          <w:szCs w:val="20"/>
        </w:rPr>
        <w:t>7</w:t>
      </w:r>
      <w:r w:rsidR="00F460C4">
        <w:rPr>
          <w:rFonts w:ascii="Arial" w:eastAsia="Times New Roman" w:hAnsi="Arial" w:cs="Arial"/>
          <w:bCs/>
          <w:color w:val="000000" w:themeColor="text1"/>
          <w:sz w:val="20"/>
          <w:szCs w:val="20"/>
        </w:rPr>
        <w:t>81.652</w:t>
      </w:r>
      <w:r w:rsidR="00911029" w:rsidRPr="00911029">
        <w:rPr>
          <w:rFonts w:ascii="Arial" w:eastAsia="Times New Roman" w:hAnsi="Arial" w:cs="Arial"/>
          <w:bCs/>
          <w:color w:val="000000" w:themeColor="text1"/>
          <w:sz w:val="20"/>
          <w:szCs w:val="20"/>
        </w:rPr>
        <w:t xml:space="preserve"> </w:t>
      </w:r>
      <w:bookmarkEnd w:id="728"/>
      <w:r w:rsidRPr="003D1614">
        <w:rPr>
          <w:rFonts w:ascii="Arial" w:eastAsia="Calibri" w:hAnsi="Arial" w:cs="Arial"/>
          <w:color w:val="000000" w:themeColor="text1"/>
          <w:sz w:val="20"/>
          <w:szCs w:val="20"/>
        </w:rPr>
        <w:t xml:space="preserve">tisuća eura), a za Banku </w:t>
      </w:r>
      <w:bookmarkStart w:id="729" w:name="_Hlk135731907"/>
      <w:r w:rsidR="00C320FB" w:rsidRPr="00C320FB">
        <w:rPr>
          <w:rFonts w:ascii="Arial" w:eastAsia="Calibri" w:hAnsi="Arial" w:cs="Arial"/>
          <w:color w:val="000000" w:themeColor="text1"/>
          <w:sz w:val="20"/>
          <w:szCs w:val="20"/>
        </w:rPr>
        <w:t>794.835</w:t>
      </w:r>
      <w:r w:rsidR="00C320FB">
        <w:rPr>
          <w:rFonts w:ascii="Arial" w:eastAsia="Calibri" w:hAnsi="Arial" w:cs="Arial"/>
          <w:color w:val="000000" w:themeColor="text1"/>
          <w:sz w:val="20"/>
          <w:szCs w:val="20"/>
        </w:rPr>
        <w:t xml:space="preserve"> </w:t>
      </w:r>
      <w:bookmarkEnd w:id="729"/>
      <w:r w:rsidRPr="003D1614">
        <w:rPr>
          <w:rFonts w:ascii="Arial" w:eastAsia="Calibri" w:hAnsi="Arial" w:cs="Arial"/>
          <w:color w:val="000000" w:themeColor="text1"/>
          <w:sz w:val="20"/>
          <w:szCs w:val="20"/>
        </w:rPr>
        <w:t>tisuća eura (31. prosinca 202</w:t>
      </w:r>
      <w:r w:rsidR="00C953B3">
        <w:rPr>
          <w:rFonts w:ascii="Arial" w:eastAsia="Calibri" w:hAnsi="Arial" w:cs="Arial"/>
          <w:color w:val="000000" w:themeColor="text1"/>
          <w:sz w:val="20"/>
          <w:szCs w:val="20"/>
        </w:rPr>
        <w:t>3</w:t>
      </w:r>
      <w:r w:rsidRPr="003D1614">
        <w:rPr>
          <w:rFonts w:ascii="Arial" w:eastAsia="Calibri" w:hAnsi="Arial" w:cs="Arial"/>
          <w:color w:val="000000" w:themeColor="text1"/>
          <w:sz w:val="20"/>
          <w:szCs w:val="20"/>
        </w:rPr>
        <w:t xml:space="preserve">.: </w:t>
      </w:r>
      <w:bookmarkStart w:id="730" w:name="_Hlk135731916"/>
      <w:r w:rsidR="00911029" w:rsidRPr="00911029">
        <w:rPr>
          <w:rFonts w:ascii="Arial" w:eastAsia="Times New Roman" w:hAnsi="Arial" w:cs="Arial"/>
          <w:bCs/>
          <w:color w:val="000000" w:themeColor="text1"/>
          <w:sz w:val="20"/>
          <w:szCs w:val="20"/>
        </w:rPr>
        <w:t>7</w:t>
      </w:r>
      <w:r w:rsidR="00F460C4">
        <w:rPr>
          <w:rFonts w:ascii="Arial" w:eastAsia="Times New Roman" w:hAnsi="Arial" w:cs="Arial"/>
          <w:bCs/>
          <w:color w:val="000000" w:themeColor="text1"/>
          <w:sz w:val="20"/>
          <w:szCs w:val="20"/>
        </w:rPr>
        <w:t>74.551</w:t>
      </w:r>
      <w:r w:rsidR="003278AB" w:rsidRPr="003D1614">
        <w:rPr>
          <w:rFonts w:ascii="Arial" w:eastAsia="Times New Roman" w:hAnsi="Arial" w:cs="Arial"/>
          <w:bCs/>
          <w:color w:val="000000" w:themeColor="text1"/>
          <w:sz w:val="20"/>
          <w:szCs w:val="20"/>
        </w:rPr>
        <w:t xml:space="preserve"> </w:t>
      </w:r>
      <w:bookmarkEnd w:id="730"/>
      <w:r w:rsidRPr="003D1614">
        <w:rPr>
          <w:rFonts w:ascii="Arial" w:eastAsia="Calibri" w:hAnsi="Arial" w:cs="Arial"/>
          <w:color w:val="000000" w:themeColor="text1"/>
          <w:sz w:val="20"/>
          <w:szCs w:val="20"/>
        </w:rPr>
        <w:t>tisuća eura).</w:t>
      </w:r>
    </w:p>
    <w:p w14:paraId="4D2B6A21" w14:textId="77777777" w:rsidR="001A0FCB" w:rsidRPr="003D1614" w:rsidRDefault="001A0FCB" w:rsidP="001A0FCB">
      <w:pPr>
        <w:tabs>
          <w:tab w:val="right" w:pos="9129"/>
        </w:tabs>
        <w:suppressAutoHyphens/>
        <w:autoSpaceDN w:val="0"/>
        <w:jc w:val="both"/>
        <w:rPr>
          <w:rFonts w:ascii="Arial" w:eastAsia="Calibri" w:hAnsi="Arial" w:cs="Arial"/>
          <w:color w:val="000000" w:themeColor="text1"/>
          <w:sz w:val="20"/>
          <w:szCs w:val="20"/>
          <w:highlight w:val="yellow"/>
        </w:rPr>
      </w:pPr>
    </w:p>
    <w:p w14:paraId="5CCA0DB6" w14:textId="0376949A" w:rsidR="00C320FB" w:rsidRPr="003D1614" w:rsidRDefault="00C320FB" w:rsidP="001A0FCB">
      <w:pPr>
        <w:suppressAutoHyphens/>
        <w:autoSpaceDN w:val="0"/>
        <w:jc w:val="both"/>
        <w:rPr>
          <w:rFonts w:ascii="Arial" w:eastAsia="Times New Roman" w:hAnsi="Arial" w:cs="Arial"/>
          <w:b/>
          <w:bCs/>
          <w:color w:val="000000" w:themeColor="text1"/>
          <w:sz w:val="20"/>
          <w:szCs w:val="20"/>
        </w:rPr>
      </w:pPr>
      <w:bookmarkStart w:id="731" w:name="_Hlk28596620"/>
      <w:r w:rsidRPr="00C320FB">
        <w:rPr>
          <w:rFonts w:ascii="Arial" w:eastAsia="Calibri" w:hAnsi="Arial" w:cs="Arial"/>
          <w:bCs/>
          <w:color w:val="000000" w:themeColor="text1"/>
          <w:sz w:val="20"/>
          <w:szCs w:val="20"/>
        </w:rPr>
        <w:t>U ukupnoj neto najvećoj izloženosti nakon umanjenja za sredstva osiguranja na dan 31. ožujka 2024. iznos kreditnog rizika od 433.883 tisuća eura za Grupu (31. prosinca 2023.: 418.339 tisuća eura) i 427.895 tisuća eura za Banku (31. prosinca 2023.: 412.301 tisuća eura) nije pokriven uobičajenim instrumentima osiguranja, ali se odnosi na potraživanja i primljena sredstva od Republike Hrvatske za Grupu i Banku u iznosu od 56.242 tisuća eura (31. prosinca 2023.: 58.915 tisuća eura), jedinica lokalne i područne (regionalne) samouprave u iznosu od 123.359 tisuća eura (31. prosinca 2023.: 115.038 tisuća eura), državnih trgovačkih društava za čije obveze Republika Hrvatska odgovara solidarno i neograničeno u iznosu od 16.732 tisuća eura (31. prosinca 2023.: 17.529 tisuća eura), republičkih fondova u iznosu od 3 tisuća eura (31. prosinca 2023.: 4 tisuća eura), obveznica RH i trezorskih zapisa Ministarstva financija u iznosu od 237.547 tisuća eura za Grupu i 231.559 tisuća eura za Banku (31. prosinca 2023: 226.853 tisuća eura za Grupu i 220.815 tisuća eura za Banku).</w:t>
      </w:r>
      <w:bookmarkEnd w:id="731"/>
    </w:p>
    <w:p w14:paraId="4D0CA77C" w14:textId="77777777" w:rsidR="001A0FCB" w:rsidRPr="003D1614" w:rsidRDefault="001A0FCB" w:rsidP="001A0FCB">
      <w:pPr>
        <w:tabs>
          <w:tab w:val="left" w:pos="6924"/>
        </w:tabs>
        <w:suppressAutoHyphens/>
        <w:autoSpaceDN w:val="0"/>
        <w:jc w:val="both"/>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ab/>
      </w:r>
    </w:p>
    <w:p w14:paraId="79821071" w14:textId="77777777" w:rsidR="001A0FCB" w:rsidRPr="003D1614" w:rsidRDefault="001A0FCB" w:rsidP="001A0FCB">
      <w:pPr>
        <w:tabs>
          <w:tab w:val="right" w:pos="9129"/>
        </w:tabs>
        <w:suppressAutoHyphens/>
        <w:autoSpaceDN w:val="0"/>
        <w:jc w:val="both"/>
        <w:rPr>
          <w:rFonts w:ascii="Arial" w:eastAsia="Calibri" w:hAnsi="Arial" w:cs="Arial"/>
          <w:bCs/>
          <w:color w:val="000000" w:themeColor="text1"/>
          <w:sz w:val="20"/>
          <w:szCs w:val="20"/>
        </w:rPr>
      </w:pPr>
      <w:r w:rsidRPr="003D1614">
        <w:rPr>
          <w:rFonts w:ascii="Arial" w:eastAsia="Calibri" w:hAnsi="Arial" w:cs="Arial"/>
          <w:bCs/>
          <w:color w:val="000000" w:themeColor="text1"/>
          <w:sz w:val="20"/>
          <w:szCs w:val="20"/>
        </w:rPr>
        <w:t xml:space="preserve">Dio plasmana koji imaju iskazanu neto izloženost odnosi se na plasmane koji su privremeno djelomično pokriveni instrumentima osiguranja te je daljnje plasiranje po odobrenom plasmanu obustavljeno sve do pribavljanja instrumenata osiguranja potrebnih za udovoljavanje potrebnog omjera vrijednosti predmeta osiguranja i plasmana. </w:t>
      </w:r>
    </w:p>
    <w:p w14:paraId="0DBDBB6F" w14:textId="77777777" w:rsidR="001A0FCB" w:rsidRPr="003D1614" w:rsidRDefault="001A0FCB" w:rsidP="001A0FCB">
      <w:pPr>
        <w:tabs>
          <w:tab w:val="right" w:pos="9129"/>
        </w:tabs>
        <w:suppressAutoHyphens/>
        <w:autoSpaceDN w:val="0"/>
        <w:jc w:val="both"/>
        <w:rPr>
          <w:rFonts w:ascii="Arial" w:eastAsia="Calibri" w:hAnsi="Arial" w:cs="Arial"/>
          <w:bCs/>
          <w:color w:val="000000" w:themeColor="text1"/>
          <w:sz w:val="20"/>
          <w:szCs w:val="20"/>
        </w:rPr>
      </w:pPr>
    </w:p>
    <w:p w14:paraId="41A9FF6F" w14:textId="77777777" w:rsidR="003278AB" w:rsidRPr="003D1614" w:rsidRDefault="001A0FCB" w:rsidP="001A0FCB">
      <w:pPr>
        <w:suppressAutoHyphens/>
        <w:autoSpaceDN w:val="0"/>
        <w:jc w:val="both"/>
        <w:rPr>
          <w:rFonts w:ascii="Arial" w:eastAsia="Calibri" w:hAnsi="Arial" w:cs="Arial"/>
          <w:bCs/>
          <w:color w:val="000000" w:themeColor="text1"/>
          <w:sz w:val="20"/>
          <w:szCs w:val="20"/>
        </w:rPr>
      </w:pPr>
      <w:r w:rsidRPr="003D1614">
        <w:rPr>
          <w:rFonts w:ascii="Arial" w:eastAsia="Calibri" w:hAnsi="Arial" w:cs="Arial"/>
          <w:bCs/>
          <w:color w:val="000000" w:themeColor="text1"/>
          <w:sz w:val="20"/>
          <w:szCs w:val="20"/>
        </w:rPr>
        <w:t>Djelatnost financijskog posredovanja najvećim dijelom uključuje poslovne banke.</w:t>
      </w:r>
    </w:p>
    <w:p w14:paraId="23D6B7FC" w14:textId="77777777" w:rsidR="003278AB" w:rsidRPr="003D1614" w:rsidRDefault="003278AB" w:rsidP="001A0FCB">
      <w:pPr>
        <w:suppressAutoHyphens/>
        <w:autoSpaceDN w:val="0"/>
        <w:jc w:val="both"/>
        <w:rPr>
          <w:rFonts w:ascii="Arial" w:eastAsia="Calibri" w:hAnsi="Arial" w:cs="Arial"/>
          <w:bCs/>
          <w:color w:val="000000" w:themeColor="text1"/>
          <w:sz w:val="20"/>
          <w:szCs w:val="20"/>
        </w:rPr>
      </w:pPr>
    </w:p>
    <w:p w14:paraId="314F61B5" w14:textId="77777777" w:rsidR="003278AB" w:rsidRPr="003D1614" w:rsidRDefault="003278AB" w:rsidP="001A0FCB">
      <w:pPr>
        <w:suppressAutoHyphens/>
        <w:autoSpaceDN w:val="0"/>
        <w:jc w:val="both"/>
        <w:rPr>
          <w:rFonts w:ascii="Arial" w:eastAsia="Calibri" w:hAnsi="Arial" w:cs="Arial"/>
          <w:bCs/>
          <w:color w:val="000000" w:themeColor="text1"/>
          <w:sz w:val="20"/>
          <w:szCs w:val="20"/>
        </w:rPr>
      </w:pPr>
    </w:p>
    <w:p w14:paraId="4D642B81" w14:textId="77777777" w:rsidR="003278AB" w:rsidRPr="003D1614" w:rsidRDefault="003278AB" w:rsidP="001A0FCB">
      <w:pPr>
        <w:suppressAutoHyphens/>
        <w:autoSpaceDN w:val="0"/>
        <w:jc w:val="both"/>
        <w:rPr>
          <w:rFonts w:ascii="Arial" w:eastAsia="Calibri" w:hAnsi="Arial" w:cs="Arial"/>
          <w:bCs/>
          <w:color w:val="000000" w:themeColor="text1"/>
          <w:sz w:val="20"/>
          <w:szCs w:val="20"/>
        </w:rPr>
        <w:sectPr w:rsidR="003278AB" w:rsidRPr="003D1614">
          <w:pgSz w:w="11906" w:h="16838"/>
          <w:pgMar w:top="1417" w:right="1417" w:bottom="1417" w:left="1417" w:header="708" w:footer="708" w:gutter="0"/>
          <w:cols w:space="708"/>
          <w:docGrid w:linePitch="360"/>
        </w:sectPr>
      </w:pPr>
    </w:p>
    <w:p w14:paraId="2E98320D" w14:textId="7A06B0DD"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lastRenderedPageBreak/>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w:t>
      </w:r>
      <w:r w:rsidRPr="003D1614">
        <w:rPr>
          <w:rFonts w:ascii="Arial" w:eastAsia="Times New Roman" w:hAnsi="Arial" w:cs="Arial"/>
          <w:b/>
          <w:bCs/>
          <w:color w:val="000000" w:themeColor="text1"/>
          <w:sz w:val="18"/>
          <w:szCs w:val="18"/>
        </w:rPr>
        <w:tab/>
        <w:t>Upravljanje rizicima (nastavak)</w:t>
      </w:r>
    </w:p>
    <w:p w14:paraId="1FC4DC1D" w14:textId="63B840C8"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 xml:space="preserve">.3. </w:t>
      </w:r>
      <w:r w:rsidRPr="003D1614">
        <w:rPr>
          <w:rFonts w:ascii="Arial" w:eastAsia="Times New Roman" w:hAnsi="Arial" w:cs="Arial"/>
          <w:b/>
          <w:bCs/>
          <w:color w:val="000000" w:themeColor="text1"/>
          <w:sz w:val="18"/>
          <w:szCs w:val="18"/>
        </w:rPr>
        <w:tab/>
        <w:t>Kreditni rizik (nastavak)</w:t>
      </w:r>
    </w:p>
    <w:p w14:paraId="5E3D11A3" w14:textId="77777777"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Kvaliteta kreditnog rizika prema vrsti financijske imovine </w:t>
      </w:r>
    </w:p>
    <w:p w14:paraId="67DA7088" w14:textId="77777777" w:rsidR="003278AB" w:rsidRPr="003D1614" w:rsidRDefault="003278AB" w:rsidP="003278AB">
      <w:pPr>
        <w:suppressAutoHyphens/>
        <w:autoSpaceDN w:val="0"/>
        <w:jc w:val="both"/>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Analiza kreditnog rizika, neto izloženost, prije i nakon uzimanja u obzir primljenih instrumenata osiguranja, prema vrsti financijske imovine na pozicijama imovine i garancija i preuzetih obveza prema rizičnim skupinama:</w:t>
      </w:r>
    </w:p>
    <w:tbl>
      <w:tblPr>
        <w:tblW w:w="5566" w:type="pct"/>
        <w:jc w:val="center"/>
        <w:tblLayout w:type="fixed"/>
        <w:tblLook w:val="0000" w:firstRow="0" w:lastRow="0" w:firstColumn="0" w:lastColumn="0" w:noHBand="0" w:noVBand="0"/>
      </w:tblPr>
      <w:tblGrid>
        <w:gridCol w:w="1560"/>
        <w:gridCol w:w="957"/>
        <w:gridCol w:w="929"/>
        <w:gridCol w:w="920"/>
        <w:gridCol w:w="889"/>
        <w:gridCol w:w="973"/>
        <w:gridCol w:w="973"/>
        <w:gridCol w:w="1032"/>
        <w:gridCol w:w="1026"/>
        <w:gridCol w:w="1026"/>
        <w:gridCol w:w="1026"/>
        <w:gridCol w:w="1026"/>
        <w:gridCol w:w="998"/>
        <w:gridCol w:w="1132"/>
        <w:gridCol w:w="1122"/>
      </w:tblGrid>
      <w:tr w:rsidR="000E1F3A" w:rsidRPr="003D1614" w14:paraId="31639CCD" w14:textId="77777777" w:rsidTr="00422DD5">
        <w:trPr>
          <w:trHeight w:val="1607"/>
          <w:jc w:val="center"/>
        </w:trPr>
        <w:tc>
          <w:tcPr>
            <w:tcW w:w="500" w:type="pct"/>
          </w:tcPr>
          <w:p w14:paraId="0A6895FC" w14:textId="77777777" w:rsidR="000E1F3A" w:rsidRPr="003D1614" w:rsidRDefault="000E1F3A" w:rsidP="00422DD5">
            <w:pPr>
              <w:suppressAutoHyphens/>
              <w:autoSpaceDN w:val="0"/>
              <w:rPr>
                <w:rFonts w:ascii="Arial" w:eastAsia="Calibri" w:hAnsi="Arial" w:cs="Arial"/>
                <w:b/>
                <w:bCs/>
                <w:color w:val="000000" w:themeColor="text1"/>
                <w:sz w:val="14"/>
                <w:szCs w:val="14"/>
              </w:rPr>
            </w:pPr>
            <w:bookmarkStart w:id="732" w:name="_Hlk530060318"/>
            <w:r w:rsidRPr="003D1614">
              <w:rPr>
                <w:rFonts w:ascii="Arial" w:eastAsia="Calibri" w:hAnsi="Arial" w:cs="Arial"/>
                <w:b/>
                <w:bCs/>
                <w:color w:val="000000" w:themeColor="text1"/>
                <w:sz w:val="14"/>
                <w:szCs w:val="14"/>
              </w:rPr>
              <w:br w:type="page"/>
              <w:t>Grupa</w:t>
            </w:r>
          </w:p>
          <w:p w14:paraId="694EA8CE" w14:textId="77777777" w:rsidR="000E1F3A" w:rsidRPr="003D1614" w:rsidRDefault="000E1F3A" w:rsidP="00422DD5">
            <w:pPr>
              <w:suppressAutoHyphens/>
              <w:autoSpaceDN w:val="0"/>
              <w:rPr>
                <w:rFonts w:ascii="Arial" w:eastAsia="Calibri" w:hAnsi="Arial" w:cs="Arial"/>
                <w:b/>
                <w:bCs/>
                <w:color w:val="000000" w:themeColor="text1"/>
                <w:sz w:val="14"/>
                <w:szCs w:val="14"/>
              </w:rPr>
            </w:pPr>
          </w:p>
          <w:p w14:paraId="09AED2E3" w14:textId="77777777" w:rsidR="000E1F3A" w:rsidRPr="003D1614" w:rsidRDefault="000E1F3A" w:rsidP="00422DD5">
            <w:pPr>
              <w:suppressAutoHyphens/>
              <w:autoSpaceDN w:val="0"/>
              <w:rPr>
                <w:rFonts w:ascii="Arial" w:eastAsia="Calibri" w:hAnsi="Arial" w:cs="Arial"/>
                <w:color w:val="000000" w:themeColor="text1"/>
                <w:sz w:val="14"/>
                <w:szCs w:val="14"/>
              </w:rPr>
            </w:pPr>
            <w:r w:rsidRPr="003D1614">
              <w:rPr>
                <w:rFonts w:ascii="Arial" w:eastAsia="Calibri" w:hAnsi="Arial" w:cs="Arial"/>
                <w:b/>
                <w:bCs/>
                <w:color w:val="000000" w:themeColor="text1"/>
                <w:sz w:val="14"/>
                <w:szCs w:val="14"/>
              </w:rPr>
              <w:t>31. ožujka 202</w:t>
            </w:r>
            <w:r>
              <w:rPr>
                <w:rFonts w:ascii="Arial" w:eastAsia="Calibri" w:hAnsi="Arial" w:cs="Arial"/>
                <w:b/>
                <w:bCs/>
                <w:color w:val="000000" w:themeColor="text1"/>
                <w:sz w:val="14"/>
                <w:szCs w:val="14"/>
              </w:rPr>
              <w:t>4</w:t>
            </w:r>
            <w:r w:rsidRPr="003D1614">
              <w:rPr>
                <w:rFonts w:ascii="Arial" w:eastAsia="Calibri" w:hAnsi="Arial" w:cs="Arial"/>
                <w:b/>
                <w:bCs/>
                <w:color w:val="000000" w:themeColor="text1"/>
                <w:sz w:val="14"/>
                <w:szCs w:val="14"/>
              </w:rPr>
              <w:t xml:space="preserve">. </w:t>
            </w:r>
          </w:p>
        </w:tc>
        <w:tc>
          <w:tcPr>
            <w:tcW w:w="307" w:type="pct"/>
            <w:vAlign w:val="bottom"/>
          </w:tcPr>
          <w:p w14:paraId="12DCFF19"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 xml:space="preserve">Neto  izloženost portfelja - </w:t>
            </w:r>
            <w:r>
              <w:rPr>
                <w:rFonts w:ascii="Arial" w:eastAsia="Calibri" w:hAnsi="Arial" w:cs="Arial"/>
                <w:b/>
                <w:color w:val="000000" w:themeColor="text1"/>
                <w:sz w:val="14"/>
                <w:szCs w:val="14"/>
              </w:rPr>
              <w:t>S</w:t>
            </w:r>
            <w:r w:rsidRPr="003D1614">
              <w:rPr>
                <w:rFonts w:ascii="Arial" w:eastAsia="Calibri" w:hAnsi="Arial" w:cs="Arial"/>
                <w:b/>
                <w:color w:val="000000" w:themeColor="text1"/>
                <w:sz w:val="14"/>
                <w:szCs w:val="14"/>
              </w:rPr>
              <w:t>tupanj 1</w:t>
            </w:r>
          </w:p>
        </w:tc>
        <w:tc>
          <w:tcPr>
            <w:tcW w:w="298" w:type="pct"/>
            <w:vAlign w:val="bottom"/>
          </w:tcPr>
          <w:p w14:paraId="43331123"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 xml:space="preserve">Neto izloženost portfelja - </w:t>
            </w:r>
            <w:r>
              <w:rPr>
                <w:rFonts w:ascii="Arial" w:eastAsia="Calibri" w:hAnsi="Arial" w:cs="Arial"/>
                <w:b/>
                <w:color w:val="000000" w:themeColor="text1"/>
                <w:sz w:val="14"/>
                <w:szCs w:val="14"/>
              </w:rPr>
              <w:t>S</w:t>
            </w:r>
            <w:r w:rsidRPr="003D1614">
              <w:rPr>
                <w:rFonts w:ascii="Arial" w:eastAsia="Calibri" w:hAnsi="Arial" w:cs="Arial"/>
                <w:b/>
                <w:color w:val="000000" w:themeColor="text1"/>
                <w:sz w:val="14"/>
                <w:szCs w:val="14"/>
              </w:rPr>
              <w:t>tupanj 2</w:t>
            </w:r>
          </w:p>
        </w:tc>
        <w:tc>
          <w:tcPr>
            <w:tcW w:w="295" w:type="pct"/>
            <w:vAlign w:val="bottom"/>
          </w:tcPr>
          <w:p w14:paraId="19254841"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 xml:space="preserve">Neto izloženost portfelja - </w:t>
            </w:r>
            <w:r>
              <w:rPr>
                <w:rFonts w:ascii="Arial" w:eastAsia="Calibri" w:hAnsi="Arial" w:cs="Arial"/>
                <w:b/>
                <w:color w:val="000000" w:themeColor="text1"/>
                <w:sz w:val="14"/>
                <w:szCs w:val="14"/>
              </w:rPr>
              <w:t>S</w:t>
            </w:r>
            <w:r w:rsidRPr="003D1614">
              <w:rPr>
                <w:rFonts w:ascii="Arial" w:eastAsia="Calibri" w:hAnsi="Arial" w:cs="Arial"/>
                <w:b/>
                <w:color w:val="000000" w:themeColor="text1"/>
                <w:sz w:val="14"/>
                <w:szCs w:val="14"/>
              </w:rPr>
              <w:t>tupanj 3</w:t>
            </w:r>
          </w:p>
        </w:tc>
        <w:tc>
          <w:tcPr>
            <w:tcW w:w="597" w:type="pct"/>
            <w:gridSpan w:val="2"/>
            <w:vAlign w:val="bottom"/>
          </w:tcPr>
          <w:p w14:paraId="4651A59A" w14:textId="77777777" w:rsidR="000E1F3A"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w:t>
            </w:r>
          </w:p>
          <w:p w14:paraId="454AE36E" w14:textId="77777777" w:rsidR="000E1F3A"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 xml:space="preserve"> portfelja rizične </w:t>
            </w:r>
          </w:p>
          <w:p w14:paraId="6503CEAC"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skupine POCI</w:t>
            </w:r>
          </w:p>
        </w:tc>
        <w:tc>
          <w:tcPr>
            <w:tcW w:w="312" w:type="pct"/>
            <w:vAlign w:val="bottom"/>
          </w:tcPr>
          <w:p w14:paraId="5E1C82E9"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sidRPr="003D1614">
              <w:rPr>
                <w:rFonts w:ascii="Arial" w:eastAsia="Calibri" w:hAnsi="Arial" w:cs="Arial"/>
                <w:b/>
                <w:color w:val="000000" w:themeColor="text1"/>
                <w:sz w:val="14"/>
                <w:szCs w:val="14"/>
              </w:rPr>
              <w:t>Financijska imovina koja se ne raspoređuje u rizične skupine po MSFI-ju 9</w:t>
            </w:r>
          </w:p>
        </w:tc>
        <w:tc>
          <w:tcPr>
            <w:tcW w:w="331" w:type="pct"/>
            <w:vAlign w:val="bottom"/>
          </w:tcPr>
          <w:p w14:paraId="06D70A1A"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ukupnog portfelja</w:t>
            </w:r>
          </w:p>
        </w:tc>
        <w:tc>
          <w:tcPr>
            <w:tcW w:w="329" w:type="pct"/>
            <w:vAlign w:val="bottom"/>
          </w:tcPr>
          <w:p w14:paraId="02AB38AD"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 xml:space="preserve">Neto izloženost portfelja nakon umanjenja za instrumente osiguranja- </w:t>
            </w:r>
            <w:r>
              <w:rPr>
                <w:rFonts w:ascii="Arial" w:eastAsia="Calibri" w:hAnsi="Arial" w:cs="Arial"/>
                <w:b/>
                <w:color w:val="000000" w:themeColor="text1"/>
                <w:sz w:val="14"/>
                <w:szCs w:val="14"/>
              </w:rPr>
              <w:t>S</w:t>
            </w:r>
            <w:r w:rsidRPr="003D1614">
              <w:rPr>
                <w:rFonts w:ascii="Arial" w:eastAsia="Calibri" w:hAnsi="Arial" w:cs="Arial"/>
                <w:b/>
                <w:color w:val="000000" w:themeColor="text1"/>
                <w:sz w:val="14"/>
                <w:szCs w:val="14"/>
              </w:rPr>
              <w:t>tupanj 1</w:t>
            </w:r>
          </w:p>
        </w:tc>
        <w:tc>
          <w:tcPr>
            <w:tcW w:w="329" w:type="pct"/>
            <w:vAlign w:val="bottom"/>
          </w:tcPr>
          <w:p w14:paraId="7DAA0548"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 xml:space="preserve">Neto izloženost portfelja nakon umanjenja za instrumente osiguranja- </w:t>
            </w:r>
            <w:r>
              <w:rPr>
                <w:rFonts w:ascii="Arial" w:eastAsia="Calibri" w:hAnsi="Arial" w:cs="Arial"/>
                <w:b/>
                <w:color w:val="000000" w:themeColor="text1"/>
                <w:sz w:val="14"/>
                <w:szCs w:val="14"/>
              </w:rPr>
              <w:t>S</w:t>
            </w:r>
            <w:r w:rsidRPr="003D1614">
              <w:rPr>
                <w:rFonts w:ascii="Arial" w:eastAsia="Calibri" w:hAnsi="Arial" w:cs="Arial"/>
                <w:b/>
                <w:color w:val="000000" w:themeColor="text1"/>
                <w:sz w:val="14"/>
                <w:szCs w:val="14"/>
              </w:rPr>
              <w:t>tupanj 2</w:t>
            </w:r>
          </w:p>
        </w:tc>
        <w:tc>
          <w:tcPr>
            <w:tcW w:w="329" w:type="pct"/>
            <w:vAlign w:val="bottom"/>
          </w:tcPr>
          <w:p w14:paraId="7E99A373"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 xml:space="preserve">Neto izloženost portfelja nakon umanjenja za instrumente osiguranja- </w:t>
            </w:r>
            <w:r>
              <w:rPr>
                <w:rFonts w:ascii="Arial" w:eastAsia="Calibri" w:hAnsi="Arial" w:cs="Arial"/>
                <w:b/>
                <w:color w:val="000000" w:themeColor="text1"/>
                <w:sz w:val="14"/>
                <w:szCs w:val="14"/>
              </w:rPr>
              <w:t>S</w:t>
            </w:r>
            <w:r w:rsidRPr="003D1614">
              <w:rPr>
                <w:rFonts w:ascii="Arial" w:eastAsia="Calibri" w:hAnsi="Arial" w:cs="Arial"/>
                <w:b/>
                <w:color w:val="000000" w:themeColor="text1"/>
                <w:sz w:val="14"/>
                <w:szCs w:val="14"/>
              </w:rPr>
              <w:t>tupanj 3</w:t>
            </w:r>
          </w:p>
        </w:tc>
        <w:tc>
          <w:tcPr>
            <w:tcW w:w="649" w:type="pct"/>
            <w:gridSpan w:val="2"/>
            <w:vAlign w:val="bottom"/>
          </w:tcPr>
          <w:p w14:paraId="67207321"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portfelja nakon umanjenja za instrumente osiguranja- rizične skupine POCI</w:t>
            </w:r>
          </w:p>
        </w:tc>
        <w:tc>
          <w:tcPr>
            <w:tcW w:w="363" w:type="pct"/>
            <w:vAlign w:val="bottom"/>
          </w:tcPr>
          <w:p w14:paraId="62ED98AB"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Financijska imovina  koja se ne raspoređuje u rizične skupine po MSFI-ju 9 nakon umanjenja za instrumente osiguranja</w:t>
            </w:r>
          </w:p>
        </w:tc>
        <w:tc>
          <w:tcPr>
            <w:tcW w:w="360" w:type="pct"/>
            <w:vAlign w:val="bottom"/>
          </w:tcPr>
          <w:p w14:paraId="5006D699"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Neto izloženost ukupnog portfelja nakon umanjenja za</w:t>
            </w:r>
            <w:r>
              <w:rPr>
                <w:rFonts w:ascii="Arial" w:eastAsia="Calibri" w:hAnsi="Arial" w:cs="Arial"/>
                <w:b/>
                <w:color w:val="000000" w:themeColor="text1"/>
                <w:sz w:val="14"/>
                <w:szCs w:val="14"/>
              </w:rPr>
              <w:t xml:space="preserve"> </w:t>
            </w:r>
            <w:r w:rsidRPr="003D1614">
              <w:rPr>
                <w:rFonts w:ascii="Arial" w:eastAsia="Calibri" w:hAnsi="Arial" w:cs="Arial"/>
                <w:b/>
                <w:color w:val="000000" w:themeColor="text1"/>
                <w:sz w:val="14"/>
                <w:szCs w:val="14"/>
              </w:rPr>
              <w:t>instrumente osiguranja</w:t>
            </w:r>
          </w:p>
        </w:tc>
      </w:tr>
      <w:tr w:rsidR="000E1F3A" w:rsidRPr="003D1614" w14:paraId="2C7C08BA" w14:textId="77777777" w:rsidTr="00422DD5">
        <w:trPr>
          <w:trHeight w:val="176"/>
          <w:jc w:val="center"/>
        </w:trPr>
        <w:tc>
          <w:tcPr>
            <w:tcW w:w="500" w:type="pct"/>
          </w:tcPr>
          <w:p w14:paraId="5583298E" w14:textId="77777777" w:rsidR="000E1F3A" w:rsidRPr="003D1614" w:rsidRDefault="000E1F3A" w:rsidP="00422DD5">
            <w:pPr>
              <w:suppressAutoHyphens/>
              <w:autoSpaceDN w:val="0"/>
              <w:rPr>
                <w:rFonts w:ascii="Arial" w:eastAsia="Calibri" w:hAnsi="Arial" w:cs="Arial"/>
                <w:b/>
                <w:bCs/>
                <w:color w:val="000000" w:themeColor="text1"/>
                <w:sz w:val="14"/>
                <w:szCs w:val="14"/>
              </w:rPr>
            </w:pPr>
          </w:p>
        </w:tc>
        <w:tc>
          <w:tcPr>
            <w:tcW w:w="307" w:type="pct"/>
            <w:vAlign w:val="bottom"/>
          </w:tcPr>
          <w:p w14:paraId="23DE188F"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p>
        </w:tc>
        <w:tc>
          <w:tcPr>
            <w:tcW w:w="298" w:type="pct"/>
            <w:vAlign w:val="bottom"/>
          </w:tcPr>
          <w:p w14:paraId="1A60F5FA"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p>
        </w:tc>
        <w:tc>
          <w:tcPr>
            <w:tcW w:w="295" w:type="pct"/>
            <w:vAlign w:val="bottom"/>
          </w:tcPr>
          <w:p w14:paraId="14C92B00"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p>
        </w:tc>
        <w:tc>
          <w:tcPr>
            <w:tcW w:w="285" w:type="pct"/>
            <w:vAlign w:val="bottom"/>
          </w:tcPr>
          <w:p w14:paraId="048354CD"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2</w:t>
            </w:r>
          </w:p>
        </w:tc>
        <w:tc>
          <w:tcPr>
            <w:tcW w:w="312" w:type="pct"/>
          </w:tcPr>
          <w:p w14:paraId="3D58FFFC"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3</w:t>
            </w:r>
          </w:p>
        </w:tc>
        <w:tc>
          <w:tcPr>
            <w:tcW w:w="312" w:type="pct"/>
            <w:vAlign w:val="bottom"/>
          </w:tcPr>
          <w:p w14:paraId="1A613347"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p>
        </w:tc>
        <w:tc>
          <w:tcPr>
            <w:tcW w:w="331" w:type="pct"/>
            <w:vAlign w:val="bottom"/>
          </w:tcPr>
          <w:p w14:paraId="1DF8DE45"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p>
        </w:tc>
        <w:tc>
          <w:tcPr>
            <w:tcW w:w="329" w:type="pct"/>
            <w:vAlign w:val="bottom"/>
          </w:tcPr>
          <w:p w14:paraId="6F73CEBC"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p>
        </w:tc>
        <w:tc>
          <w:tcPr>
            <w:tcW w:w="329" w:type="pct"/>
            <w:vAlign w:val="bottom"/>
          </w:tcPr>
          <w:p w14:paraId="48CF020D"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p>
        </w:tc>
        <w:tc>
          <w:tcPr>
            <w:tcW w:w="329" w:type="pct"/>
            <w:vAlign w:val="bottom"/>
          </w:tcPr>
          <w:p w14:paraId="488E7B06"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p>
        </w:tc>
        <w:tc>
          <w:tcPr>
            <w:tcW w:w="329" w:type="pct"/>
            <w:vAlign w:val="bottom"/>
          </w:tcPr>
          <w:p w14:paraId="1D1267E7"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2</w:t>
            </w:r>
          </w:p>
        </w:tc>
        <w:tc>
          <w:tcPr>
            <w:tcW w:w="320" w:type="pct"/>
          </w:tcPr>
          <w:p w14:paraId="6628D0C6"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3</w:t>
            </w:r>
          </w:p>
        </w:tc>
        <w:tc>
          <w:tcPr>
            <w:tcW w:w="363" w:type="pct"/>
            <w:vAlign w:val="bottom"/>
          </w:tcPr>
          <w:p w14:paraId="46DE1D30"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p>
        </w:tc>
        <w:tc>
          <w:tcPr>
            <w:tcW w:w="360" w:type="pct"/>
            <w:vAlign w:val="bottom"/>
          </w:tcPr>
          <w:p w14:paraId="52128B6F"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p>
        </w:tc>
      </w:tr>
      <w:tr w:rsidR="000E1F3A" w:rsidRPr="003D1614" w14:paraId="6D498FB5" w14:textId="77777777" w:rsidTr="00422DD5">
        <w:trPr>
          <w:trHeight w:val="160"/>
          <w:jc w:val="center"/>
        </w:trPr>
        <w:tc>
          <w:tcPr>
            <w:tcW w:w="500" w:type="pct"/>
          </w:tcPr>
          <w:p w14:paraId="2D679486" w14:textId="77777777" w:rsidR="000E1F3A" w:rsidRPr="003D1614" w:rsidRDefault="000E1F3A" w:rsidP="00422DD5">
            <w:pPr>
              <w:suppressAutoHyphens/>
              <w:autoSpaceDN w:val="0"/>
              <w:rPr>
                <w:rFonts w:ascii="Arial" w:eastAsia="Calibri" w:hAnsi="Arial" w:cs="Arial"/>
                <w:b/>
                <w:bCs/>
                <w:color w:val="000000" w:themeColor="text1"/>
                <w:sz w:val="14"/>
                <w:szCs w:val="14"/>
              </w:rPr>
            </w:pPr>
          </w:p>
        </w:tc>
        <w:tc>
          <w:tcPr>
            <w:tcW w:w="307" w:type="pct"/>
          </w:tcPr>
          <w:p w14:paraId="79B9A10F"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298" w:type="pct"/>
          </w:tcPr>
          <w:p w14:paraId="6164A81F"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295" w:type="pct"/>
          </w:tcPr>
          <w:p w14:paraId="6D9287D9"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285" w:type="pct"/>
          </w:tcPr>
          <w:p w14:paraId="297280D3"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12" w:type="pct"/>
          </w:tcPr>
          <w:p w14:paraId="28C4F532"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12" w:type="pct"/>
          </w:tcPr>
          <w:p w14:paraId="26FF5123"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31" w:type="pct"/>
          </w:tcPr>
          <w:p w14:paraId="2BD87A9E"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29" w:type="pct"/>
          </w:tcPr>
          <w:p w14:paraId="2AE4BD24"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29" w:type="pct"/>
          </w:tcPr>
          <w:p w14:paraId="2438DB55"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29" w:type="pct"/>
          </w:tcPr>
          <w:p w14:paraId="344309C5"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29" w:type="pct"/>
          </w:tcPr>
          <w:p w14:paraId="0ADAA5C2"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20" w:type="pct"/>
          </w:tcPr>
          <w:p w14:paraId="0115B921"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63" w:type="pct"/>
          </w:tcPr>
          <w:p w14:paraId="396BDC90"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c>
          <w:tcPr>
            <w:tcW w:w="360" w:type="pct"/>
          </w:tcPr>
          <w:p w14:paraId="79F95547" w14:textId="77777777" w:rsidR="000E1F3A" w:rsidRPr="003D1614" w:rsidRDefault="000E1F3A" w:rsidP="00422DD5">
            <w:pPr>
              <w:suppressAutoHyphens/>
              <w:autoSpaceDN w:val="0"/>
              <w:jc w:val="right"/>
              <w:rPr>
                <w:rFonts w:ascii="Arial" w:eastAsia="Calibri" w:hAnsi="Arial" w:cs="Arial"/>
                <w:b/>
                <w:color w:val="000000" w:themeColor="text1"/>
                <w:sz w:val="14"/>
                <w:szCs w:val="14"/>
              </w:rPr>
            </w:pPr>
            <w:r w:rsidRPr="003D1614">
              <w:rPr>
                <w:rFonts w:ascii="Arial" w:eastAsia="Calibri" w:hAnsi="Arial" w:cs="Arial"/>
                <w:b/>
                <w:color w:val="000000" w:themeColor="text1"/>
                <w:sz w:val="14"/>
                <w:szCs w:val="14"/>
              </w:rPr>
              <w:t>000 eura</w:t>
            </w:r>
          </w:p>
        </w:tc>
      </w:tr>
      <w:tr w:rsidR="000E1F3A" w:rsidRPr="003D1614" w14:paraId="74D649FF" w14:textId="77777777" w:rsidTr="00422DD5">
        <w:trPr>
          <w:trHeight w:val="113"/>
          <w:jc w:val="center"/>
        </w:trPr>
        <w:tc>
          <w:tcPr>
            <w:tcW w:w="500" w:type="pct"/>
          </w:tcPr>
          <w:p w14:paraId="3A1B09F7" w14:textId="77777777" w:rsidR="000E1F3A" w:rsidRPr="003D1614" w:rsidRDefault="000E1F3A" w:rsidP="00422DD5">
            <w:pPr>
              <w:tabs>
                <w:tab w:val="right" w:pos="1202"/>
              </w:tabs>
              <w:suppressAutoHyphens/>
              <w:autoSpaceDN w:val="0"/>
              <w:outlineLvl w:val="0"/>
              <w:rPr>
                <w:rFonts w:ascii="Arial" w:eastAsia="Calibri" w:hAnsi="Arial" w:cs="Arial"/>
                <w:b/>
                <w:bCs/>
                <w:color w:val="000000" w:themeColor="text1"/>
                <w:sz w:val="14"/>
                <w:szCs w:val="14"/>
              </w:rPr>
            </w:pPr>
            <w:bookmarkStart w:id="733" w:name="_Toc67329830"/>
            <w:r w:rsidRPr="003D1614">
              <w:rPr>
                <w:rFonts w:ascii="Arial" w:eastAsia="Calibri" w:hAnsi="Arial" w:cs="Arial"/>
                <w:b/>
                <w:bCs/>
                <w:color w:val="000000" w:themeColor="text1"/>
                <w:sz w:val="14"/>
                <w:szCs w:val="14"/>
              </w:rPr>
              <w:t>Imovina</w:t>
            </w:r>
            <w:bookmarkEnd w:id="733"/>
          </w:p>
        </w:tc>
        <w:tc>
          <w:tcPr>
            <w:tcW w:w="307" w:type="pct"/>
            <w:vAlign w:val="bottom"/>
          </w:tcPr>
          <w:p w14:paraId="3A5A2245" w14:textId="77777777" w:rsidR="000E1F3A" w:rsidRPr="003D1614" w:rsidRDefault="000E1F3A" w:rsidP="00422DD5">
            <w:pPr>
              <w:tabs>
                <w:tab w:val="right" w:pos="1202"/>
              </w:tabs>
              <w:suppressAutoHyphens/>
              <w:autoSpaceDN w:val="0"/>
              <w:jc w:val="right"/>
              <w:outlineLvl w:val="0"/>
              <w:rPr>
                <w:rFonts w:ascii="Arial" w:eastAsia="Calibri" w:hAnsi="Arial" w:cs="Arial"/>
                <w:b/>
                <w:bCs/>
                <w:color w:val="000000" w:themeColor="text1"/>
                <w:sz w:val="14"/>
                <w:szCs w:val="14"/>
              </w:rPr>
            </w:pPr>
          </w:p>
        </w:tc>
        <w:tc>
          <w:tcPr>
            <w:tcW w:w="298" w:type="pct"/>
            <w:vAlign w:val="bottom"/>
          </w:tcPr>
          <w:p w14:paraId="2EE18D3B" w14:textId="77777777" w:rsidR="000E1F3A" w:rsidRPr="003D1614" w:rsidRDefault="000E1F3A" w:rsidP="00422DD5">
            <w:pPr>
              <w:tabs>
                <w:tab w:val="right" w:pos="1202"/>
              </w:tabs>
              <w:suppressAutoHyphens/>
              <w:autoSpaceDN w:val="0"/>
              <w:jc w:val="right"/>
              <w:outlineLvl w:val="0"/>
              <w:rPr>
                <w:rFonts w:ascii="Arial" w:eastAsia="Calibri" w:hAnsi="Arial" w:cs="Arial"/>
                <w:b/>
                <w:bCs/>
                <w:color w:val="000000" w:themeColor="text1"/>
                <w:sz w:val="14"/>
                <w:szCs w:val="14"/>
              </w:rPr>
            </w:pPr>
          </w:p>
        </w:tc>
        <w:tc>
          <w:tcPr>
            <w:tcW w:w="295" w:type="pct"/>
            <w:vAlign w:val="bottom"/>
          </w:tcPr>
          <w:p w14:paraId="1DF3D3F2" w14:textId="77777777" w:rsidR="000E1F3A" w:rsidRPr="003D1614" w:rsidRDefault="000E1F3A" w:rsidP="00422DD5">
            <w:pPr>
              <w:tabs>
                <w:tab w:val="right" w:pos="1202"/>
              </w:tabs>
              <w:suppressAutoHyphens/>
              <w:autoSpaceDN w:val="0"/>
              <w:jc w:val="right"/>
              <w:outlineLvl w:val="0"/>
              <w:rPr>
                <w:rFonts w:ascii="Arial" w:eastAsia="Calibri" w:hAnsi="Arial" w:cs="Arial"/>
                <w:b/>
                <w:bCs/>
                <w:color w:val="000000" w:themeColor="text1"/>
                <w:sz w:val="14"/>
                <w:szCs w:val="14"/>
              </w:rPr>
            </w:pPr>
          </w:p>
        </w:tc>
        <w:tc>
          <w:tcPr>
            <w:tcW w:w="285" w:type="pct"/>
            <w:vAlign w:val="bottom"/>
          </w:tcPr>
          <w:p w14:paraId="2E16B7A4" w14:textId="77777777" w:rsidR="000E1F3A" w:rsidRPr="003D1614" w:rsidRDefault="000E1F3A" w:rsidP="00422DD5">
            <w:pPr>
              <w:tabs>
                <w:tab w:val="right" w:pos="1202"/>
              </w:tabs>
              <w:suppressAutoHyphens/>
              <w:autoSpaceDN w:val="0"/>
              <w:jc w:val="right"/>
              <w:outlineLvl w:val="0"/>
              <w:rPr>
                <w:rFonts w:ascii="Arial" w:eastAsia="Calibri" w:hAnsi="Arial" w:cs="Arial"/>
                <w:b/>
                <w:bCs/>
                <w:color w:val="000000" w:themeColor="text1"/>
                <w:sz w:val="14"/>
                <w:szCs w:val="14"/>
              </w:rPr>
            </w:pPr>
          </w:p>
        </w:tc>
        <w:tc>
          <w:tcPr>
            <w:tcW w:w="312" w:type="pct"/>
          </w:tcPr>
          <w:p w14:paraId="388FE86B" w14:textId="77777777" w:rsidR="000E1F3A" w:rsidRPr="003D1614" w:rsidRDefault="000E1F3A" w:rsidP="00422DD5">
            <w:pPr>
              <w:tabs>
                <w:tab w:val="right" w:pos="1202"/>
              </w:tabs>
              <w:suppressAutoHyphens/>
              <w:autoSpaceDN w:val="0"/>
              <w:jc w:val="right"/>
              <w:outlineLvl w:val="0"/>
              <w:rPr>
                <w:rFonts w:ascii="Arial" w:eastAsia="Calibri" w:hAnsi="Arial" w:cs="Arial"/>
                <w:b/>
                <w:bCs/>
                <w:color w:val="000000" w:themeColor="text1"/>
                <w:sz w:val="14"/>
                <w:szCs w:val="14"/>
              </w:rPr>
            </w:pPr>
          </w:p>
        </w:tc>
        <w:tc>
          <w:tcPr>
            <w:tcW w:w="312" w:type="pct"/>
            <w:vAlign w:val="bottom"/>
          </w:tcPr>
          <w:p w14:paraId="03D4228C" w14:textId="77777777" w:rsidR="000E1F3A" w:rsidRPr="003D1614" w:rsidRDefault="000E1F3A" w:rsidP="00422DD5">
            <w:pPr>
              <w:tabs>
                <w:tab w:val="right" w:pos="1202"/>
              </w:tabs>
              <w:suppressAutoHyphens/>
              <w:autoSpaceDN w:val="0"/>
              <w:jc w:val="right"/>
              <w:outlineLvl w:val="0"/>
              <w:rPr>
                <w:rFonts w:ascii="Arial" w:eastAsia="Calibri" w:hAnsi="Arial" w:cs="Arial"/>
                <w:b/>
                <w:bCs/>
                <w:color w:val="000000" w:themeColor="text1"/>
                <w:sz w:val="14"/>
                <w:szCs w:val="14"/>
              </w:rPr>
            </w:pPr>
          </w:p>
        </w:tc>
        <w:tc>
          <w:tcPr>
            <w:tcW w:w="331" w:type="pct"/>
            <w:vAlign w:val="bottom"/>
          </w:tcPr>
          <w:p w14:paraId="7C3E07E2" w14:textId="77777777" w:rsidR="000E1F3A" w:rsidRPr="003D1614" w:rsidRDefault="000E1F3A" w:rsidP="00422DD5">
            <w:pPr>
              <w:tabs>
                <w:tab w:val="right" w:pos="1202"/>
              </w:tabs>
              <w:suppressAutoHyphens/>
              <w:autoSpaceDN w:val="0"/>
              <w:jc w:val="right"/>
              <w:outlineLvl w:val="0"/>
              <w:rPr>
                <w:rFonts w:ascii="Arial" w:eastAsia="Calibri" w:hAnsi="Arial" w:cs="Arial"/>
                <w:b/>
                <w:bCs/>
                <w:color w:val="000000" w:themeColor="text1"/>
                <w:sz w:val="14"/>
                <w:szCs w:val="14"/>
              </w:rPr>
            </w:pPr>
          </w:p>
        </w:tc>
        <w:tc>
          <w:tcPr>
            <w:tcW w:w="329" w:type="pct"/>
            <w:vAlign w:val="bottom"/>
          </w:tcPr>
          <w:p w14:paraId="72C15DB0" w14:textId="77777777" w:rsidR="000E1F3A" w:rsidRPr="003D1614" w:rsidRDefault="000E1F3A" w:rsidP="00422DD5">
            <w:pPr>
              <w:tabs>
                <w:tab w:val="right" w:pos="1202"/>
              </w:tabs>
              <w:suppressAutoHyphens/>
              <w:autoSpaceDN w:val="0"/>
              <w:jc w:val="right"/>
              <w:outlineLvl w:val="0"/>
              <w:rPr>
                <w:rFonts w:ascii="Arial" w:eastAsia="Calibri" w:hAnsi="Arial" w:cs="Arial"/>
                <w:b/>
                <w:bCs/>
                <w:color w:val="000000" w:themeColor="text1"/>
                <w:sz w:val="14"/>
                <w:szCs w:val="14"/>
              </w:rPr>
            </w:pPr>
          </w:p>
        </w:tc>
        <w:tc>
          <w:tcPr>
            <w:tcW w:w="329" w:type="pct"/>
            <w:vAlign w:val="bottom"/>
          </w:tcPr>
          <w:p w14:paraId="7F341B0D" w14:textId="77777777" w:rsidR="000E1F3A" w:rsidRPr="003D1614" w:rsidRDefault="000E1F3A" w:rsidP="00422DD5">
            <w:pPr>
              <w:tabs>
                <w:tab w:val="right" w:pos="1202"/>
              </w:tabs>
              <w:suppressAutoHyphens/>
              <w:autoSpaceDN w:val="0"/>
              <w:jc w:val="right"/>
              <w:outlineLvl w:val="0"/>
              <w:rPr>
                <w:rFonts w:ascii="Arial" w:eastAsia="Calibri" w:hAnsi="Arial" w:cs="Arial"/>
                <w:b/>
                <w:bCs/>
                <w:color w:val="000000" w:themeColor="text1"/>
                <w:sz w:val="14"/>
                <w:szCs w:val="14"/>
              </w:rPr>
            </w:pPr>
          </w:p>
        </w:tc>
        <w:tc>
          <w:tcPr>
            <w:tcW w:w="329" w:type="pct"/>
            <w:vAlign w:val="bottom"/>
          </w:tcPr>
          <w:p w14:paraId="0CFEB424" w14:textId="77777777" w:rsidR="000E1F3A" w:rsidRPr="003D1614" w:rsidRDefault="000E1F3A" w:rsidP="00422DD5">
            <w:pPr>
              <w:tabs>
                <w:tab w:val="right" w:pos="1202"/>
              </w:tabs>
              <w:suppressAutoHyphens/>
              <w:autoSpaceDN w:val="0"/>
              <w:jc w:val="right"/>
              <w:outlineLvl w:val="0"/>
              <w:rPr>
                <w:rFonts w:ascii="Arial" w:eastAsia="Calibri" w:hAnsi="Arial" w:cs="Arial"/>
                <w:b/>
                <w:bCs/>
                <w:color w:val="000000" w:themeColor="text1"/>
                <w:sz w:val="14"/>
                <w:szCs w:val="14"/>
              </w:rPr>
            </w:pPr>
          </w:p>
        </w:tc>
        <w:tc>
          <w:tcPr>
            <w:tcW w:w="329" w:type="pct"/>
            <w:vAlign w:val="bottom"/>
          </w:tcPr>
          <w:p w14:paraId="22518AA4" w14:textId="77777777" w:rsidR="000E1F3A" w:rsidRPr="003D1614" w:rsidRDefault="000E1F3A" w:rsidP="00422DD5">
            <w:pPr>
              <w:tabs>
                <w:tab w:val="right" w:pos="1202"/>
              </w:tabs>
              <w:suppressAutoHyphens/>
              <w:autoSpaceDN w:val="0"/>
              <w:jc w:val="right"/>
              <w:outlineLvl w:val="0"/>
              <w:rPr>
                <w:rFonts w:ascii="Arial" w:eastAsia="Calibri" w:hAnsi="Arial" w:cs="Arial"/>
                <w:b/>
                <w:bCs/>
                <w:color w:val="000000" w:themeColor="text1"/>
                <w:sz w:val="14"/>
                <w:szCs w:val="14"/>
              </w:rPr>
            </w:pPr>
          </w:p>
        </w:tc>
        <w:tc>
          <w:tcPr>
            <w:tcW w:w="320" w:type="pct"/>
          </w:tcPr>
          <w:p w14:paraId="2D408CF2" w14:textId="77777777" w:rsidR="000E1F3A" w:rsidRPr="003D1614" w:rsidRDefault="000E1F3A" w:rsidP="00422DD5">
            <w:pPr>
              <w:tabs>
                <w:tab w:val="right" w:pos="1202"/>
              </w:tabs>
              <w:suppressAutoHyphens/>
              <w:autoSpaceDN w:val="0"/>
              <w:jc w:val="right"/>
              <w:outlineLvl w:val="0"/>
              <w:rPr>
                <w:rFonts w:ascii="Arial" w:eastAsia="Calibri" w:hAnsi="Arial" w:cs="Arial"/>
                <w:b/>
                <w:bCs/>
                <w:color w:val="000000" w:themeColor="text1"/>
                <w:sz w:val="14"/>
                <w:szCs w:val="14"/>
              </w:rPr>
            </w:pPr>
          </w:p>
        </w:tc>
        <w:tc>
          <w:tcPr>
            <w:tcW w:w="363" w:type="pct"/>
            <w:vAlign w:val="bottom"/>
          </w:tcPr>
          <w:p w14:paraId="206BF1D0" w14:textId="77777777" w:rsidR="000E1F3A" w:rsidRPr="003D1614" w:rsidRDefault="000E1F3A" w:rsidP="00422DD5">
            <w:pPr>
              <w:tabs>
                <w:tab w:val="right" w:pos="1202"/>
              </w:tabs>
              <w:suppressAutoHyphens/>
              <w:autoSpaceDN w:val="0"/>
              <w:jc w:val="right"/>
              <w:outlineLvl w:val="0"/>
              <w:rPr>
                <w:rFonts w:ascii="Arial" w:eastAsia="Calibri" w:hAnsi="Arial" w:cs="Arial"/>
                <w:b/>
                <w:bCs/>
                <w:color w:val="000000" w:themeColor="text1"/>
                <w:sz w:val="14"/>
                <w:szCs w:val="14"/>
              </w:rPr>
            </w:pPr>
          </w:p>
        </w:tc>
        <w:tc>
          <w:tcPr>
            <w:tcW w:w="360" w:type="pct"/>
            <w:vAlign w:val="bottom"/>
          </w:tcPr>
          <w:p w14:paraId="6828807E" w14:textId="77777777" w:rsidR="000E1F3A" w:rsidRPr="003D1614" w:rsidRDefault="000E1F3A" w:rsidP="00422DD5">
            <w:pPr>
              <w:tabs>
                <w:tab w:val="right" w:pos="1202"/>
              </w:tabs>
              <w:suppressAutoHyphens/>
              <w:autoSpaceDN w:val="0"/>
              <w:jc w:val="right"/>
              <w:outlineLvl w:val="0"/>
              <w:rPr>
                <w:rFonts w:ascii="Arial" w:eastAsia="Calibri" w:hAnsi="Arial" w:cs="Arial"/>
                <w:b/>
                <w:bCs/>
                <w:color w:val="000000" w:themeColor="text1"/>
                <w:sz w:val="14"/>
                <w:szCs w:val="14"/>
              </w:rPr>
            </w:pPr>
          </w:p>
        </w:tc>
      </w:tr>
      <w:tr w:rsidR="000E1F3A" w:rsidRPr="003D1614" w14:paraId="56A03C70" w14:textId="77777777" w:rsidTr="00422DD5">
        <w:trPr>
          <w:trHeight w:val="189"/>
          <w:jc w:val="center"/>
        </w:trPr>
        <w:tc>
          <w:tcPr>
            <w:tcW w:w="500" w:type="pct"/>
            <w:vAlign w:val="bottom"/>
          </w:tcPr>
          <w:p w14:paraId="5BE1AEE0" w14:textId="77777777" w:rsidR="000E1F3A" w:rsidRPr="003D1614" w:rsidRDefault="000E1F3A" w:rsidP="00422DD5">
            <w:pPr>
              <w:tabs>
                <w:tab w:val="right" w:pos="1202"/>
              </w:tabs>
              <w:suppressAutoHyphens/>
              <w:autoSpaceDN w:val="0"/>
              <w:outlineLvl w:val="0"/>
              <w:rPr>
                <w:rFonts w:ascii="Arial" w:eastAsia="Calibri" w:hAnsi="Arial" w:cs="Arial"/>
                <w:color w:val="000000" w:themeColor="text1"/>
                <w:sz w:val="14"/>
                <w:szCs w:val="14"/>
              </w:rPr>
            </w:pPr>
            <w:bookmarkStart w:id="734" w:name="_Toc67329831"/>
            <w:r w:rsidRPr="003D1614">
              <w:rPr>
                <w:rFonts w:ascii="Arial" w:eastAsia="Calibri" w:hAnsi="Arial" w:cs="Arial"/>
                <w:color w:val="000000" w:themeColor="text1"/>
                <w:sz w:val="14"/>
                <w:szCs w:val="14"/>
              </w:rPr>
              <w:t>Novčana sredstva i računi kod banaka</w:t>
            </w:r>
            <w:bookmarkEnd w:id="734"/>
          </w:p>
        </w:tc>
        <w:tc>
          <w:tcPr>
            <w:tcW w:w="307" w:type="pct"/>
            <w:tcBorders>
              <w:top w:val="nil"/>
              <w:left w:val="nil"/>
              <w:bottom w:val="nil"/>
              <w:right w:val="nil"/>
            </w:tcBorders>
            <w:shd w:val="clear" w:color="auto" w:fill="auto"/>
            <w:vAlign w:val="bottom"/>
          </w:tcPr>
          <w:p w14:paraId="7BFEAF4C"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77.372</w:t>
            </w:r>
          </w:p>
        </w:tc>
        <w:tc>
          <w:tcPr>
            <w:tcW w:w="298" w:type="pct"/>
            <w:tcBorders>
              <w:top w:val="nil"/>
              <w:left w:val="nil"/>
              <w:bottom w:val="nil"/>
              <w:right w:val="nil"/>
            </w:tcBorders>
            <w:shd w:val="clear" w:color="auto" w:fill="auto"/>
            <w:vAlign w:val="bottom"/>
          </w:tcPr>
          <w:p w14:paraId="7497F456"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5" w:type="pct"/>
            <w:tcBorders>
              <w:top w:val="nil"/>
              <w:left w:val="nil"/>
              <w:bottom w:val="nil"/>
              <w:right w:val="nil"/>
            </w:tcBorders>
            <w:shd w:val="clear" w:color="auto" w:fill="auto"/>
            <w:vAlign w:val="bottom"/>
          </w:tcPr>
          <w:p w14:paraId="04857FA8"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85" w:type="pct"/>
            <w:tcBorders>
              <w:top w:val="nil"/>
              <w:left w:val="nil"/>
              <w:bottom w:val="nil"/>
              <w:right w:val="nil"/>
            </w:tcBorders>
            <w:shd w:val="clear" w:color="auto" w:fill="auto"/>
            <w:vAlign w:val="bottom"/>
          </w:tcPr>
          <w:p w14:paraId="107EFF9D"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vAlign w:val="bottom"/>
          </w:tcPr>
          <w:p w14:paraId="7320EA9F" w14:textId="77777777" w:rsidR="000E1F3A" w:rsidRPr="002A06D3"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50D5C5A1"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1" w:type="pct"/>
            <w:tcBorders>
              <w:top w:val="nil"/>
              <w:left w:val="nil"/>
              <w:bottom w:val="nil"/>
              <w:right w:val="nil"/>
            </w:tcBorders>
            <w:shd w:val="clear" w:color="auto" w:fill="auto"/>
            <w:vAlign w:val="bottom"/>
          </w:tcPr>
          <w:p w14:paraId="340B92AC"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77.372</w:t>
            </w:r>
          </w:p>
        </w:tc>
        <w:tc>
          <w:tcPr>
            <w:tcW w:w="329" w:type="pct"/>
            <w:tcBorders>
              <w:top w:val="nil"/>
              <w:left w:val="nil"/>
              <w:bottom w:val="nil"/>
              <w:right w:val="nil"/>
            </w:tcBorders>
            <w:vAlign w:val="bottom"/>
          </w:tcPr>
          <w:p w14:paraId="3B069A84"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07627F1E"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68B3481C"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40E24C70"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vAlign w:val="bottom"/>
          </w:tcPr>
          <w:p w14:paraId="449B3E9A" w14:textId="77777777" w:rsidR="000E1F3A" w:rsidRPr="002A06D3"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3" w:type="pct"/>
            <w:tcBorders>
              <w:top w:val="nil"/>
              <w:left w:val="nil"/>
              <w:bottom w:val="nil"/>
              <w:right w:val="nil"/>
            </w:tcBorders>
            <w:vAlign w:val="bottom"/>
          </w:tcPr>
          <w:p w14:paraId="12BD7297"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0" w:type="pct"/>
            <w:tcBorders>
              <w:top w:val="nil"/>
              <w:left w:val="nil"/>
              <w:bottom w:val="nil"/>
              <w:right w:val="nil"/>
            </w:tcBorders>
            <w:vAlign w:val="bottom"/>
          </w:tcPr>
          <w:p w14:paraId="08E1B9C4"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r>
      <w:tr w:rsidR="000E1F3A" w:rsidRPr="003D1614" w14:paraId="3BF8DFFD" w14:textId="77777777" w:rsidTr="00422DD5">
        <w:trPr>
          <w:trHeight w:val="189"/>
          <w:jc w:val="center"/>
        </w:trPr>
        <w:tc>
          <w:tcPr>
            <w:tcW w:w="500" w:type="pct"/>
            <w:vAlign w:val="bottom"/>
          </w:tcPr>
          <w:p w14:paraId="5C3B8348" w14:textId="77777777" w:rsidR="000E1F3A" w:rsidRPr="003D1614" w:rsidRDefault="000E1F3A" w:rsidP="00422DD5">
            <w:pPr>
              <w:tabs>
                <w:tab w:val="right" w:pos="1202"/>
              </w:tabs>
              <w:suppressAutoHyphens/>
              <w:autoSpaceDN w:val="0"/>
              <w:outlineLvl w:val="0"/>
              <w:rPr>
                <w:rFonts w:ascii="Arial" w:eastAsia="Calibri" w:hAnsi="Arial" w:cs="Arial"/>
                <w:color w:val="000000" w:themeColor="text1"/>
                <w:sz w:val="14"/>
                <w:szCs w:val="14"/>
              </w:rPr>
            </w:pPr>
            <w:bookmarkStart w:id="735" w:name="_Toc67329832"/>
            <w:r w:rsidRPr="003D1614">
              <w:rPr>
                <w:rFonts w:ascii="Arial" w:eastAsia="Calibri" w:hAnsi="Arial" w:cs="Arial"/>
                <w:color w:val="000000" w:themeColor="text1"/>
                <w:sz w:val="14"/>
                <w:szCs w:val="14"/>
              </w:rPr>
              <w:t>Depoziti kod drugih banaka</w:t>
            </w:r>
            <w:bookmarkEnd w:id="735"/>
          </w:p>
        </w:tc>
        <w:tc>
          <w:tcPr>
            <w:tcW w:w="307" w:type="pct"/>
            <w:tcBorders>
              <w:top w:val="nil"/>
              <w:left w:val="nil"/>
              <w:bottom w:val="nil"/>
              <w:right w:val="nil"/>
            </w:tcBorders>
            <w:shd w:val="clear" w:color="auto" w:fill="auto"/>
            <w:vAlign w:val="bottom"/>
          </w:tcPr>
          <w:p w14:paraId="72283EE4"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129.200</w:t>
            </w:r>
          </w:p>
        </w:tc>
        <w:tc>
          <w:tcPr>
            <w:tcW w:w="298" w:type="pct"/>
            <w:tcBorders>
              <w:top w:val="nil"/>
              <w:left w:val="nil"/>
              <w:bottom w:val="nil"/>
              <w:right w:val="nil"/>
            </w:tcBorders>
            <w:shd w:val="clear" w:color="auto" w:fill="auto"/>
            <w:vAlign w:val="bottom"/>
          </w:tcPr>
          <w:p w14:paraId="0D019396"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5" w:type="pct"/>
            <w:tcBorders>
              <w:top w:val="nil"/>
              <w:left w:val="nil"/>
              <w:bottom w:val="nil"/>
              <w:right w:val="nil"/>
            </w:tcBorders>
            <w:shd w:val="clear" w:color="auto" w:fill="auto"/>
            <w:vAlign w:val="bottom"/>
          </w:tcPr>
          <w:p w14:paraId="1087A48E"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85" w:type="pct"/>
            <w:tcBorders>
              <w:top w:val="nil"/>
              <w:left w:val="nil"/>
              <w:bottom w:val="nil"/>
              <w:right w:val="nil"/>
            </w:tcBorders>
            <w:shd w:val="clear" w:color="auto" w:fill="auto"/>
            <w:vAlign w:val="bottom"/>
          </w:tcPr>
          <w:p w14:paraId="3EC0A4DE"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vAlign w:val="bottom"/>
          </w:tcPr>
          <w:p w14:paraId="7F81A4D9" w14:textId="77777777" w:rsidR="000E1F3A" w:rsidRPr="002A06D3"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2B9E0E9F"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1" w:type="pct"/>
            <w:tcBorders>
              <w:top w:val="nil"/>
              <w:left w:val="nil"/>
              <w:bottom w:val="nil"/>
              <w:right w:val="nil"/>
            </w:tcBorders>
            <w:shd w:val="clear" w:color="auto" w:fill="auto"/>
            <w:vAlign w:val="bottom"/>
          </w:tcPr>
          <w:p w14:paraId="69A3B1EA"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129.200</w:t>
            </w:r>
          </w:p>
        </w:tc>
        <w:tc>
          <w:tcPr>
            <w:tcW w:w="329" w:type="pct"/>
            <w:tcBorders>
              <w:top w:val="nil"/>
              <w:left w:val="nil"/>
              <w:bottom w:val="nil"/>
              <w:right w:val="nil"/>
            </w:tcBorders>
            <w:vAlign w:val="bottom"/>
          </w:tcPr>
          <w:p w14:paraId="47ED5B23"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77CE3497"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3CC46DC1"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56B36A57"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vAlign w:val="bottom"/>
          </w:tcPr>
          <w:p w14:paraId="3C0374A8" w14:textId="77777777" w:rsidR="000E1F3A" w:rsidRPr="002A06D3"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3" w:type="pct"/>
            <w:tcBorders>
              <w:top w:val="nil"/>
              <w:left w:val="nil"/>
              <w:bottom w:val="nil"/>
              <w:right w:val="nil"/>
            </w:tcBorders>
            <w:vAlign w:val="bottom"/>
          </w:tcPr>
          <w:p w14:paraId="6B9F1DD5"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0" w:type="pct"/>
            <w:tcBorders>
              <w:top w:val="nil"/>
              <w:left w:val="nil"/>
              <w:bottom w:val="nil"/>
              <w:right w:val="nil"/>
            </w:tcBorders>
            <w:vAlign w:val="bottom"/>
          </w:tcPr>
          <w:p w14:paraId="5248552F"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r>
      <w:tr w:rsidR="000E1F3A" w:rsidRPr="003D1614" w14:paraId="3229BFF3" w14:textId="77777777" w:rsidTr="00422DD5">
        <w:trPr>
          <w:trHeight w:val="189"/>
          <w:jc w:val="center"/>
        </w:trPr>
        <w:tc>
          <w:tcPr>
            <w:tcW w:w="500" w:type="pct"/>
            <w:vAlign w:val="bottom"/>
          </w:tcPr>
          <w:p w14:paraId="55B5C6AC" w14:textId="77777777" w:rsidR="000E1F3A" w:rsidRPr="003D1614" w:rsidRDefault="000E1F3A" w:rsidP="00422DD5">
            <w:pPr>
              <w:tabs>
                <w:tab w:val="right" w:pos="1202"/>
              </w:tabs>
              <w:suppressAutoHyphens/>
              <w:autoSpaceDN w:val="0"/>
              <w:outlineLvl w:val="0"/>
              <w:rPr>
                <w:rFonts w:ascii="Arial" w:eastAsia="Calibri" w:hAnsi="Arial" w:cs="Arial"/>
                <w:color w:val="000000" w:themeColor="text1"/>
                <w:sz w:val="14"/>
                <w:szCs w:val="14"/>
              </w:rPr>
            </w:pPr>
            <w:bookmarkStart w:id="736" w:name="_Toc67329833"/>
            <w:r w:rsidRPr="003D1614">
              <w:rPr>
                <w:rFonts w:ascii="Arial" w:eastAsia="Calibri" w:hAnsi="Arial" w:cs="Arial"/>
                <w:color w:val="000000" w:themeColor="text1"/>
                <w:sz w:val="14"/>
                <w:szCs w:val="14"/>
              </w:rPr>
              <w:t>Krediti financijskim institucijama</w:t>
            </w:r>
            <w:bookmarkEnd w:id="736"/>
          </w:p>
        </w:tc>
        <w:tc>
          <w:tcPr>
            <w:tcW w:w="307" w:type="pct"/>
            <w:tcBorders>
              <w:top w:val="nil"/>
              <w:left w:val="nil"/>
              <w:bottom w:val="nil"/>
              <w:right w:val="nil"/>
            </w:tcBorders>
            <w:shd w:val="clear" w:color="auto" w:fill="auto"/>
            <w:vAlign w:val="bottom"/>
          </w:tcPr>
          <w:p w14:paraId="3993A58D"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1.123.303</w:t>
            </w:r>
          </w:p>
        </w:tc>
        <w:tc>
          <w:tcPr>
            <w:tcW w:w="298" w:type="pct"/>
            <w:tcBorders>
              <w:top w:val="nil"/>
              <w:left w:val="nil"/>
              <w:bottom w:val="nil"/>
              <w:right w:val="nil"/>
            </w:tcBorders>
            <w:shd w:val="clear" w:color="auto" w:fill="auto"/>
            <w:vAlign w:val="bottom"/>
          </w:tcPr>
          <w:p w14:paraId="7042EFBB"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14.484</w:t>
            </w:r>
          </w:p>
        </w:tc>
        <w:tc>
          <w:tcPr>
            <w:tcW w:w="295" w:type="pct"/>
            <w:tcBorders>
              <w:top w:val="nil"/>
              <w:left w:val="nil"/>
              <w:bottom w:val="nil"/>
              <w:right w:val="nil"/>
            </w:tcBorders>
            <w:shd w:val="clear" w:color="auto" w:fill="auto"/>
            <w:vAlign w:val="bottom"/>
          </w:tcPr>
          <w:p w14:paraId="52F3CD26"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279</w:t>
            </w:r>
          </w:p>
        </w:tc>
        <w:tc>
          <w:tcPr>
            <w:tcW w:w="285" w:type="pct"/>
            <w:tcBorders>
              <w:top w:val="nil"/>
              <w:left w:val="nil"/>
              <w:bottom w:val="nil"/>
              <w:right w:val="nil"/>
            </w:tcBorders>
            <w:shd w:val="clear" w:color="auto" w:fill="auto"/>
            <w:vAlign w:val="bottom"/>
          </w:tcPr>
          <w:p w14:paraId="6E11FA27"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vAlign w:val="bottom"/>
          </w:tcPr>
          <w:p w14:paraId="42B691B8" w14:textId="77777777" w:rsidR="000E1F3A" w:rsidRPr="002A06D3"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71011AE1"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1" w:type="pct"/>
            <w:tcBorders>
              <w:top w:val="nil"/>
              <w:left w:val="nil"/>
              <w:bottom w:val="nil"/>
              <w:right w:val="nil"/>
            </w:tcBorders>
            <w:shd w:val="clear" w:color="auto" w:fill="auto"/>
            <w:vAlign w:val="bottom"/>
          </w:tcPr>
          <w:p w14:paraId="52711E2D"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1.138.066</w:t>
            </w:r>
          </w:p>
        </w:tc>
        <w:tc>
          <w:tcPr>
            <w:tcW w:w="329" w:type="pct"/>
            <w:tcBorders>
              <w:top w:val="nil"/>
              <w:left w:val="nil"/>
              <w:bottom w:val="nil"/>
              <w:right w:val="nil"/>
            </w:tcBorders>
            <w:vAlign w:val="bottom"/>
          </w:tcPr>
          <w:p w14:paraId="589F88AD"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7B4B3700"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0F89F942"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3B2C0F00"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vAlign w:val="bottom"/>
          </w:tcPr>
          <w:p w14:paraId="24484B6B" w14:textId="77777777" w:rsidR="000E1F3A" w:rsidRPr="002A06D3"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3" w:type="pct"/>
            <w:tcBorders>
              <w:top w:val="nil"/>
              <w:left w:val="nil"/>
              <w:bottom w:val="nil"/>
              <w:right w:val="nil"/>
            </w:tcBorders>
            <w:vAlign w:val="bottom"/>
          </w:tcPr>
          <w:p w14:paraId="0482083D"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0" w:type="pct"/>
            <w:tcBorders>
              <w:top w:val="nil"/>
              <w:left w:val="nil"/>
              <w:bottom w:val="nil"/>
              <w:right w:val="nil"/>
            </w:tcBorders>
            <w:vAlign w:val="bottom"/>
          </w:tcPr>
          <w:p w14:paraId="0B82C0C3"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r>
      <w:tr w:rsidR="000E1F3A" w:rsidRPr="003D1614" w14:paraId="059AC886" w14:textId="77777777" w:rsidTr="00422DD5">
        <w:trPr>
          <w:trHeight w:val="189"/>
          <w:jc w:val="center"/>
        </w:trPr>
        <w:tc>
          <w:tcPr>
            <w:tcW w:w="500" w:type="pct"/>
            <w:vAlign w:val="bottom"/>
          </w:tcPr>
          <w:p w14:paraId="06B58F38" w14:textId="77777777" w:rsidR="000E1F3A" w:rsidRPr="003D1614" w:rsidRDefault="000E1F3A" w:rsidP="00422DD5">
            <w:pPr>
              <w:tabs>
                <w:tab w:val="right" w:pos="1202"/>
              </w:tabs>
              <w:suppressAutoHyphens/>
              <w:autoSpaceDN w:val="0"/>
              <w:outlineLvl w:val="0"/>
              <w:rPr>
                <w:rFonts w:ascii="Arial" w:eastAsia="Calibri" w:hAnsi="Arial" w:cs="Arial"/>
                <w:color w:val="000000" w:themeColor="text1"/>
                <w:sz w:val="14"/>
                <w:szCs w:val="14"/>
              </w:rPr>
            </w:pPr>
            <w:bookmarkStart w:id="737" w:name="_Toc67329834"/>
            <w:r w:rsidRPr="003D1614">
              <w:rPr>
                <w:rFonts w:ascii="Arial" w:eastAsia="Calibri" w:hAnsi="Arial" w:cs="Arial"/>
                <w:color w:val="000000" w:themeColor="text1"/>
                <w:sz w:val="14"/>
                <w:szCs w:val="14"/>
              </w:rPr>
              <w:t>Krediti ostalim korisnicima</w:t>
            </w:r>
            <w:bookmarkEnd w:id="737"/>
          </w:p>
        </w:tc>
        <w:tc>
          <w:tcPr>
            <w:tcW w:w="307" w:type="pct"/>
            <w:tcBorders>
              <w:top w:val="nil"/>
              <w:left w:val="nil"/>
              <w:bottom w:val="nil"/>
              <w:right w:val="nil"/>
            </w:tcBorders>
            <w:shd w:val="clear" w:color="auto" w:fill="auto"/>
            <w:vAlign w:val="bottom"/>
          </w:tcPr>
          <w:p w14:paraId="7E4404D2"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1.786.628</w:t>
            </w:r>
          </w:p>
        </w:tc>
        <w:tc>
          <w:tcPr>
            <w:tcW w:w="298" w:type="pct"/>
            <w:tcBorders>
              <w:top w:val="nil"/>
              <w:left w:val="nil"/>
              <w:bottom w:val="nil"/>
              <w:right w:val="nil"/>
            </w:tcBorders>
            <w:shd w:val="clear" w:color="auto" w:fill="auto"/>
            <w:vAlign w:val="bottom"/>
          </w:tcPr>
          <w:p w14:paraId="1279F64F"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206.083</w:t>
            </w:r>
          </w:p>
        </w:tc>
        <w:tc>
          <w:tcPr>
            <w:tcW w:w="295" w:type="pct"/>
            <w:tcBorders>
              <w:top w:val="nil"/>
              <w:left w:val="nil"/>
              <w:bottom w:val="nil"/>
              <w:right w:val="nil"/>
            </w:tcBorders>
            <w:shd w:val="clear" w:color="auto" w:fill="auto"/>
            <w:vAlign w:val="bottom"/>
          </w:tcPr>
          <w:p w14:paraId="6BEAFEA7"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158.243</w:t>
            </w:r>
          </w:p>
        </w:tc>
        <w:tc>
          <w:tcPr>
            <w:tcW w:w="285" w:type="pct"/>
            <w:tcBorders>
              <w:top w:val="nil"/>
              <w:left w:val="nil"/>
              <w:bottom w:val="nil"/>
              <w:right w:val="nil"/>
            </w:tcBorders>
            <w:shd w:val="clear" w:color="auto" w:fill="auto"/>
            <w:vAlign w:val="bottom"/>
          </w:tcPr>
          <w:p w14:paraId="31383139"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11.574</w:t>
            </w:r>
          </w:p>
        </w:tc>
        <w:tc>
          <w:tcPr>
            <w:tcW w:w="312" w:type="pct"/>
            <w:tcBorders>
              <w:top w:val="nil"/>
              <w:left w:val="nil"/>
              <w:bottom w:val="nil"/>
              <w:right w:val="nil"/>
            </w:tcBorders>
            <w:vAlign w:val="bottom"/>
          </w:tcPr>
          <w:p w14:paraId="53C5288E" w14:textId="77777777" w:rsidR="000E1F3A" w:rsidRPr="002A06D3"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175.316</w:t>
            </w:r>
          </w:p>
        </w:tc>
        <w:tc>
          <w:tcPr>
            <w:tcW w:w="312" w:type="pct"/>
            <w:tcBorders>
              <w:top w:val="nil"/>
              <w:left w:val="nil"/>
              <w:bottom w:val="nil"/>
              <w:right w:val="nil"/>
            </w:tcBorders>
            <w:shd w:val="clear" w:color="auto" w:fill="auto"/>
            <w:vAlign w:val="bottom"/>
          </w:tcPr>
          <w:p w14:paraId="4DB1A90D"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1" w:type="pct"/>
            <w:tcBorders>
              <w:top w:val="nil"/>
              <w:left w:val="nil"/>
              <w:bottom w:val="nil"/>
              <w:right w:val="nil"/>
            </w:tcBorders>
            <w:shd w:val="clear" w:color="auto" w:fill="auto"/>
            <w:vAlign w:val="bottom"/>
          </w:tcPr>
          <w:p w14:paraId="33AF2CEB"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2.337.844</w:t>
            </w:r>
          </w:p>
        </w:tc>
        <w:tc>
          <w:tcPr>
            <w:tcW w:w="329" w:type="pct"/>
            <w:tcBorders>
              <w:top w:val="nil"/>
              <w:left w:val="nil"/>
              <w:bottom w:val="nil"/>
              <w:right w:val="nil"/>
            </w:tcBorders>
            <w:vAlign w:val="bottom"/>
          </w:tcPr>
          <w:p w14:paraId="625AFB00"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342.633</w:t>
            </w:r>
          </w:p>
        </w:tc>
        <w:tc>
          <w:tcPr>
            <w:tcW w:w="329" w:type="pct"/>
            <w:tcBorders>
              <w:top w:val="nil"/>
              <w:left w:val="nil"/>
              <w:bottom w:val="nil"/>
              <w:right w:val="nil"/>
            </w:tcBorders>
            <w:vAlign w:val="bottom"/>
          </w:tcPr>
          <w:p w14:paraId="575C21B7"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27.869</w:t>
            </w:r>
          </w:p>
        </w:tc>
        <w:tc>
          <w:tcPr>
            <w:tcW w:w="329" w:type="pct"/>
            <w:tcBorders>
              <w:top w:val="nil"/>
              <w:left w:val="nil"/>
              <w:bottom w:val="nil"/>
              <w:right w:val="nil"/>
            </w:tcBorders>
            <w:vAlign w:val="bottom"/>
          </w:tcPr>
          <w:p w14:paraId="048646D8"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8.312</w:t>
            </w:r>
          </w:p>
        </w:tc>
        <w:tc>
          <w:tcPr>
            <w:tcW w:w="329" w:type="pct"/>
            <w:tcBorders>
              <w:top w:val="nil"/>
              <w:left w:val="nil"/>
              <w:bottom w:val="nil"/>
              <w:right w:val="nil"/>
            </w:tcBorders>
            <w:vAlign w:val="bottom"/>
          </w:tcPr>
          <w:p w14:paraId="2E588C62"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56</w:t>
            </w:r>
          </w:p>
        </w:tc>
        <w:tc>
          <w:tcPr>
            <w:tcW w:w="320" w:type="pct"/>
            <w:tcBorders>
              <w:top w:val="nil"/>
              <w:left w:val="nil"/>
              <w:bottom w:val="nil"/>
              <w:right w:val="nil"/>
            </w:tcBorders>
            <w:vAlign w:val="bottom"/>
          </w:tcPr>
          <w:p w14:paraId="160E631F" w14:textId="77777777" w:rsidR="000E1F3A" w:rsidRPr="002A06D3"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9.789</w:t>
            </w:r>
          </w:p>
        </w:tc>
        <w:tc>
          <w:tcPr>
            <w:tcW w:w="363" w:type="pct"/>
            <w:tcBorders>
              <w:top w:val="nil"/>
              <w:left w:val="nil"/>
              <w:bottom w:val="nil"/>
              <w:right w:val="nil"/>
            </w:tcBorders>
            <w:vAlign w:val="bottom"/>
          </w:tcPr>
          <w:p w14:paraId="40FD55BB"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0" w:type="pct"/>
            <w:tcBorders>
              <w:top w:val="nil"/>
              <w:left w:val="nil"/>
              <w:bottom w:val="nil"/>
              <w:right w:val="nil"/>
            </w:tcBorders>
            <w:vAlign w:val="bottom"/>
          </w:tcPr>
          <w:p w14:paraId="51CECCFC"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388.659</w:t>
            </w:r>
          </w:p>
        </w:tc>
      </w:tr>
      <w:tr w:rsidR="000E1F3A" w:rsidRPr="003D1614" w14:paraId="7BE623AE" w14:textId="77777777" w:rsidTr="00422DD5">
        <w:trPr>
          <w:trHeight w:val="189"/>
          <w:jc w:val="center"/>
        </w:trPr>
        <w:tc>
          <w:tcPr>
            <w:tcW w:w="500" w:type="pct"/>
            <w:vAlign w:val="bottom"/>
          </w:tcPr>
          <w:p w14:paraId="1E0B8284" w14:textId="77777777" w:rsidR="000E1F3A" w:rsidRPr="003D1614" w:rsidRDefault="000E1F3A" w:rsidP="00422DD5">
            <w:pPr>
              <w:tabs>
                <w:tab w:val="right" w:pos="1202"/>
              </w:tabs>
              <w:suppressAutoHyphens/>
              <w:autoSpaceDN w:val="0"/>
              <w:outlineLvl w:val="0"/>
              <w:rPr>
                <w:rFonts w:ascii="Arial" w:eastAsia="Calibri" w:hAnsi="Arial" w:cs="Arial"/>
                <w:color w:val="000000" w:themeColor="text1"/>
                <w:sz w:val="14"/>
                <w:szCs w:val="14"/>
              </w:rPr>
            </w:pPr>
            <w:bookmarkStart w:id="738" w:name="_Toc67329835"/>
            <w:r w:rsidRPr="003D1614">
              <w:rPr>
                <w:rFonts w:ascii="Arial" w:eastAsia="Calibri" w:hAnsi="Arial" w:cs="Arial"/>
                <w:color w:val="000000" w:themeColor="text1"/>
                <w:sz w:val="14"/>
                <w:szCs w:val="14"/>
              </w:rPr>
              <w:t>Financijska imovina po fer vrijednosti kroz dobit ili gubitak</w:t>
            </w:r>
            <w:bookmarkEnd w:id="738"/>
          </w:p>
        </w:tc>
        <w:tc>
          <w:tcPr>
            <w:tcW w:w="307" w:type="pct"/>
            <w:tcBorders>
              <w:top w:val="nil"/>
              <w:left w:val="nil"/>
              <w:bottom w:val="nil"/>
              <w:right w:val="nil"/>
            </w:tcBorders>
            <w:shd w:val="clear" w:color="auto" w:fill="auto"/>
            <w:vAlign w:val="bottom"/>
          </w:tcPr>
          <w:p w14:paraId="3A9AC085"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8" w:type="pct"/>
            <w:tcBorders>
              <w:top w:val="nil"/>
              <w:left w:val="nil"/>
              <w:bottom w:val="nil"/>
              <w:right w:val="nil"/>
            </w:tcBorders>
            <w:shd w:val="clear" w:color="auto" w:fill="auto"/>
            <w:vAlign w:val="bottom"/>
          </w:tcPr>
          <w:p w14:paraId="5DD87B7E"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5" w:type="pct"/>
            <w:tcBorders>
              <w:top w:val="nil"/>
              <w:left w:val="nil"/>
              <w:bottom w:val="nil"/>
              <w:right w:val="nil"/>
            </w:tcBorders>
            <w:shd w:val="clear" w:color="auto" w:fill="auto"/>
            <w:vAlign w:val="bottom"/>
          </w:tcPr>
          <w:p w14:paraId="55066E0F"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85" w:type="pct"/>
            <w:tcBorders>
              <w:top w:val="nil"/>
              <w:left w:val="nil"/>
              <w:bottom w:val="nil"/>
              <w:right w:val="nil"/>
            </w:tcBorders>
            <w:shd w:val="clear" w:color="auto" w:fill="auto"/>
            <w:vAlign w:val="bottom"/>
          </w:tcPr>
          <w:p w14:paraId="72B914C1"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vAlign w:val="bottom"/>
          </w:tcPr>
          <w:p w14:paraId="415E321D" w14:textId="77777777" w:rsidR="000E1F3A" w:rsidRPr="002A06D3"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55B56211"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33.397</w:t>
            </w:r>
          </w:p>
        </w:tc>
        <w:tc>
          <w:tcPr>
            <w:tcW w:w="331" w:type="pct"/>
            <w:tcBorders>
              <w:top w:val="nil"/>
              <w:left w:val="nil"/>
              <w:bottom w:val="nil"/>
              <w:right w:val="nil"/>
            </w:tcBorders>
            <w:shd w:val="clear" w:color="auto" w:fill="auto"/>
            <w:vAlign w:val="bottom"/>
          </w:tcPr>
          <w:p w14:paraId="2A8016B8"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33.397</w:t>
            </w:r>
          </w:p>
        </w:tc>
        <w:tc>
          <w:tcPr>
            <w:tcW w:w="329" w:type="pct"/>
            <w:tcBorders>
              <w:top w:val="nil"/>
              <w:left w:val="nil"/>
              <w:bottom w:val="nil"/>
              <w:right w:val="nil"/>
            </w:tcBorders>
            <w:vAlign w:val="bottom"/>
          </w:tcPr>
          <w:p w14:paraId="0EF463F1"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50AAD8E2"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454F491E"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0DB4D6C6"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vAlign w:val="bottom"/>
          </w:tcPr>
          <w:p w14:paraId="6DA0195B" w14:textId="77777777" w:rsidR="000E1F3A" w:rsidRPr="002A06D3"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3" w:type="pct"/>
            <w:tcBorders>
              <w:top w:val="nil"/>
              <w:left w:val="nil"/>
              <w:bottom w:val="nil"/>
              <w:right w:val="nil"/>
            </w:tcBorders>
            <w:shd w:val="clear" w:color="auto" w:fill="auto"/>
            <w:vAlign w:val="bottom"/>
          </w:tcPr>
          <w:p w14:paraId="31F9B770"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30</w:t>
            </w:r>
          </w:p>
        </w:tc>
        <w:tc>
          <w:tcPr>
            <w:tcW w:w="360" w:type="pct"/>
            <w:tcBorders>
              <w:top w:val="nil"/>
              <w:left w:val="nil"/>
              <w:bottom w:val="nil"/>
              <w:right w:val="nil"/>
            </w:tcBorders>
            <w:shd w:val="clear" w:color="auto" w:fill="auto"/>
            <w:vAlign w:val="bottom"/>
          </w:tcPr>
          <w:p w14:paraId="53FF156F"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30</w:t>
            </w:r>
          </w:p>
        </w:tc>
      </w:tr>
      <w:tr w:rsidR="000E1F3A" w:rsidRPr="003D1614" w14:paraId="5F131184" w14:textId="77777777" w:rsidTr="00422DD5">
        <w:trPr>
          <w:trHeight w:val="189"/>
          <w:jc w:val="center"/>
        </w:trPr>
        <w:tc>
          <w:tcPr>
            <w:tcW w:w="500" w:type="pct"/>
            <w:vAlign w:val="bottom"/>
          </w:tcPr>
          <w:p w14:paraId="46F3BAAE" w14:textId="77777777" w:rsidR="000E1F3A" w:rsidRPr="003D1614" w:rsidRDefault="000E1F3A" w:rsidP="00422DD5">
            <w:pPr>
              <w:tabs>
                <w:tab w:val="right" w:pos="1202"/>
              </w:tabs>
              <w:suppressAutoHyphens/>
              <w:autoSpaceDN w:val="0"/>
              <w:outlineLvl w:val="0"/>
              <w:rPr>
                <w:rFonts w:ascii="Arial" w:eastAsia="Calibri" w:hAnsi="Arial" w:cs="Arial"/>
                <w:color w:val="000000" w:themeColor="text1"/>
                <w:sz w:val="14"/>
                <w:szCs w:val="14"/>
              </w:rPr>
            </w:pPr>
            <w:bookmarkStart w:id="739" w:name="_Toc67329836"/>
            <w:r w:rsidRPr="003D1614">
              <w:rPr>
                <w:rFonts w:ascii="Arial" w:eastAsia="Calibri" w:hAnsi="Arial" w:cs="Arial"/>
                <w:color w:val="000000" w:themeColor="text1"/>
                <w:sz w:val="14"/>
                <w:szCs w:val="14"/>
              </w:rPr>
              <w:t>Financijska imovina po fer vrijednosti kroz ostalu sveobuhvatnu dobit</w:t>
            </w:r>
            <w:bookmarkEnd w:id="739"/>
          </w:p>
        </w:tc>
        <w:tc>
          <w:tcPr>
            <w:tcW w:w="307" w:type="pct"/>
            <w:tcBorders>
              <w:top w:val="nil"/>
              <w:left w:val="nil"/>
              <w:bottom w:val="nil"/>
              <w:right w:val="nil"/>
            </w:tcBorders>
            <w:shd w:val="clear" w:color="auto" w:fill="auto"/>
            <w:vAlign w:val="bottom"/>
          </w:tcPr>
          <w:p w14:paraId="0F4D716B"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237.930</w:t>
            </w:r>
          </w:p>
        </w:tc>
        <w:tc>
          <w:tcPr>
            <w:tcW w:w="298" w:type="pct"/>
            <w:tcBorders>
              <w:top w:val="nil"/>
              <w:left w:val="nil"/>
              <w:bottom w:val="nil"/>
              <w:right w:val="nil"/>
            </w:tcBorders>
            <w:shd w:val="clear" w:color="auto" w:fill="auto"/>
            <w:vAlign w:val="bottom"/>
          </w:tcPr>
          <w:p w14:paraId="2904BEEF"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5" w:type="pct"/>
            <w:tcBorders>
              <w:top w:val="nil"/>
              <w:left w:val="nil"/>
              <w:bottom w:val="nil"/>
              <w:right w:val="nil"/>
            </w:tcBorders>
            <w:shd w:val="clear" w:color="auto" w:fill="auto"/>
            <w:vAlign w:val="bottom"/>
          </w:tcPr>
          <w:p w14:paraId="361D9EFB"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195</w:t>
            </w:r>
          </w:p>
        </w:tc>
        <w:tc>
          <w:tcPr>
            <w:tcW w:w="285" w:type="pct"/>
            <w:tcBorders>
              <w:top w:val="nil"/>
              <w:left w:val="nil"/>
              <w:bottom w:val="nil"/>
              <w:right w:val="nil"/>
            </w:tcBorders>
            <w:shd w:val="clear" w:color="auto" w:fill="auto"/>
            <w:vAlign w:val="bottom"/>
          </w:tcPr>
          <w:p w14:paraId="2968D9F4"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vAlign w:val="bottom"/>
          </w:tcPr>
          <w:p w14:paraId="367E2628" w14:textId="77777777" w:rsidR="000E1F3A" w:rsidRPr="002A06D3"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208A8F12"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1" w:type="pct"/>
            <w:tcBorders>
              <w:top w:val="nil"/>
              <w:left w:val="nil"/>
              <w:bottom w:val="nil"/>
              <w:right w:val="nil"/>
            </w:tcBorders>
            <w:shd w:val="clear" w:color="auto" w:fill="auto"/>
            <w:vAlign w:val="bottom"/>
          </w:tcPr>
          <w:p w14:paraId="7E9F6467"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238.125</w:t>
            </w:r>
          </w:p>
        </w:tc>
        <w:tc>
          <w:tcPr>
            <w:tcW w:w="329" w:type="pct"/>
            <w:tcBorders>
              <w:top w:val="nil"/>
              <w:left w:val="nil"/>
              <w:bottom w:val="nil"/>
              <w:right w:val="nil"/>
            </w:tcBorders>
            <w:shd w:val="clear" w:color="auto" w:fill="auto"/>
            <w:vAlign w:val="bottom"/>
          </w:tcPr>
          <w:p w14:paraId="43DBAC78"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237.930</w:t>
            </w:r>
          </w:p>
        </w:tc>
        <w:tc>
          <w:tcPr>
            <w:tcW w:w="329" w:type="pct"/>
            <w:tcBorders>
              <w:top w:val="nil"/>
              <w:left w:val="nil"/>
              <w:bottom w:val="nil"/>
              <w:right w:val="nil"/>
            </w:tcBorders>
            <w:shd w:val="clear" w:color="auto" w:fill="auto"/>
            <w:vAlign w:val="bottom"/>
          </w:tcPr>
          <w:p w14:paraId="5D74448B"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shd w:val="clear" w:color="auto" w:fill="auto"/>
            <w:vAlign w:val="bottom"/>
          </w:tcPr>
          <w:p w14:paraId="5076773D"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195</w:t>
            </w:r>
          </w:p>
        </w:tc>
        <w:tc>
          <w:tcPr>
            <w:tcW w:w="329" w:type="pct"/>
            <w:tcBorders>
              <w:top w:val="nil"/>
              <w:left w:val="nil"/>
              <w:bottom w:val="nil"/>
              <w:right w:val="nil"/>
            </w:tcBorders>
            <w:shd w:val="clear" w:color="auto" w:fill="auto"/>
            <w:vAlign w:val="bottom"/>
          </w:tcPr>
          <w:p w14:paraId="6BC94AD4"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vAlign w:val="bottom"/>
          </w:tcPr>
          <w:p w14:paraId="2448A7E5" w14:textId="77777777" w:rsidR="000E1F3A" w:rsidRPr="002A06D3"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3" w:type="pct"/>
            <w:tcBorders>
              <w:top w:val="nil"/>
              <w:left w:val="nil"/>
              <w:bottom w:val="nil"/>
              <w:right w:val="nil"/>
            </w:tcBorders>
            <w:shd w:val="clear" w:color="auto" w:fill="auto"/>
            <w:vAlign w:val="bottom"/>
          </w:tcPr>
          <w:p w14:paraId="125DBFDB"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0" w:type="pct"/>
            <w:tcBorders>
              <w:top w:val="nil"/>
              <w:left w:val="nil"/>
              <w:bottom w:val="nil"/>
              <w:right w:val="nil"/>
            </w:tcBorders>
            <w:shd w:val="clear" w:color="auto" w:fill="auto"/>
            <w:vAlign w:val="bottom"/>
          </w:tcPr>
          <w:p w14:paraId="3195E8DC"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238.125</w:t>
            </w:r>
          </w:p>
        </w:tc>
      </w:tr>
      <w:tr w:rsidR="000E1F3A" w:rsidRPr="003D1614" w14:paraId="02C6A0BC" w14:textId="77777777" w:rsidTr="00422DD5">
        <w:trPr>
          <w:trHeight w:val="189"/>
          <w:jc w:val="center"/>
        </w:trPr>
        <w:tc>
          <w:tcPr>
            <w:tcW w:w="500" w:type="pct"/>
            <w:vAlign w:val="bottom"/>
          </w:tcPr>
          <w:p w14:paraId="7993EDBC" w14:textId="77777777" w:rsidR="000E1F3A" w:rsidRPr="003D1614" w:rsidRDefault="000E1F3A" w:rsidP="00422DD5">
            <w:pPr>
              <w:tabs>
                <w:tab w:val="right" w:pos="1202"/>
              </w:tabs>
              <w:suppressAutoHyphens/>
              <w:autoSpaceDN w:val="0"/>
              <w:outlineLvl w:val="0"/>
              <w:rPr>
                <w:rFonts w:ascii="Arial" w:eastAsia="Calibri" w:hAnsi="Arial" w:cs="Arial"/>
                <w:color w:val="000000" w:themeColor="text1"/>
                <w:sz w:val="14"/>
                <w:szCs w:val="14"/>
              </w:rPr>
            </w:pPr>
            <w:bookmarkStart w:id="740" w:name="_Toc67329838"/>
            <w:r w:rsidRPr="003D1614">
              <w:rPr>
                <w:rFonts w:ascii="Arial" w:eastAsia="Calibri" w:hAnsi="Arial" w:cs="Arial"/>
                <w:color w:val="000000" w:themeColor="text1"/>
                <w:sz w:val="14"/>
                <w:szCs w:val="14"/>
              </w:rPr>
              <w:t>Ostala imovina</w:t>
            </w:r>
            <w:bookmarkEnd w:id="740"/>
          </w:p>
        </w:tc>
        <w:tc>
          <w:tcPr>
            <w:tcW w:w="307" w:type="pct"/>
            <w:tcBorders>
              <w:top w:val="nil"/>
              <w:left w:val="nil"/>
              <w:bottom w:val="single" w:sz="8" w:space="0" w:color="auto"/>
              <w:right w:val="nil"/>
            </w:tcBorders>
            <w:shd w:val="clear" w:color="auto" w:fill="auto"/>
            <w:vAlign w:val="bottom"/>
          </w:tcPr>
          <w:p w14:paraId="3B143E02"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1.721</w:t>
            </w:r>
          </w:p>
        </w:tc>
        <w:tc>
          <w:tcPr>
            <w:tcW w:w="298" w:type="pct"/>
            <w:tcBorders>
              <w:top w:val="nil"/>
              <w:left w:val="nil"/>
              <w:bottom w:val="single" w:sz="8" w:space="0" w:color="auto"/>
              <w:right w:val="nil"/>
            </w:tcBorders>
            <w:shd w:val="clear" w:color="auto" w:fill="auto"/>
            <w:vAlign w:val="bottom"/>
          </w:tcPr>
          <w:p w14:paraId="129B9E2F"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11</w:t>
            </w:r>
          </w:p>
        </w:tc>
        <w:tc>
          <w:tcPr>
            <w:tcW w:w="295" w:type="pct"/>
            <w:tcBorders>
              <w:top w:val="nil"/>
              <w:left w:val="nil"/>
              <w:bottom w:val="single" w:sz="8" w:space="0" w:color="auto"/>
              <w:right w:val="nil"/>
            </w:tcBorders>
            <w:shd w:val="clear" w:color="auto" w:fill="auto"/>
            <w:vAlign w:val="bottom"/>
          </w:tcPr>
          <w:p w14:paraId="7710212D"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259</w:t>
            </w:r>
          </w:p>
        </w:tc>
        <w:tc>
          <w:tcPr>
            <w:tcW w:w="285" w:type="pct"/>
            <w:tcBorders>
              <w:top w:val="nil"/>
              <w:left w:val="nil"/>
              <w:bottom w:val="single" w:sz="8" w:space="0" w:color="auto"/>
              <w:right w:val="nil"/>
            </w:tcBorders>
            <w:shd w:val="clear" w:color="auto" w:fill="auto"/>
            <w:vAlign w:val="bottom"/>
          </w:tcPr>
          <w:p w14:paraId="40D5ACB7"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single" w:sz="8" w:space="0" w:color="auto"/>
              <w:right w:val="nil"/>
            </w:tcBorders>
          </w:tcPr>
          <w:p w14:paraId="604FBB93" w14:textId="77777777" w:rsidR="000E1F3A" w:rsidRPr="002A06D3"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8</w:t>
            </w:r>
          </w:p>
        </w:tc>
        <w:tc>
          <w:tcPr>
            <w:tcW w:w="312" w:type="pct"/>
            <w:tcBorders>
              <w:top w:val="nil"/>
              <w:left w:val="nil"/>
              <w:bottom w:val="single" w:sz="8" w:space="0" w:color="auto"/>
              <w:right w:val="nil"/>
            </w:tcBorders>
            <w:shd w:val="clear" w:color="auto" w:fill="auto"/>
            <w:vAlign w:val="bottom"/>
          </w:tcPr>
          <w:p w14:paraId="6DDBE119"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1" w:type="pct"/>
            <w:tcBorders>
              <w:top w:val="nil"/>
              <w:left w:val="nil"/>
              <w:bottom w:val="single" w:sz="8" w:space="0" w:color="auto"/>
              <w:right w:val="nil"/>
            </w:tcBorders>
            <w:shd w:val="clear" w:color="auto" w:fill="auto"/>
            <w:vAlign w:val="bottom"/>
          </w:tcPr>
          <w:p w14:paraId="27576F19"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1.999</w:t>
            </w:r>
          </w:p>
        </w:tc>
        <w:tc>
          <w:tcPr>
            <w:tcW w:w="329" w:type="pct"/>
            <w:tcBorders>
              <w:top w:val="nil"/>
              <w:left w:val="nil"/>
              <w:bottom w:val="single" w:sz="8" w:space="0" w:color="auto"/>
              <w:right w:val="nil"/>
            </w:tcBorders>
            <w:vAlign w:val="bottom"/>
          </w:tcPr>
          <w:p w14:paraId="604DE507" w14:textId="772F81D4"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90</w:t>
            </w:r>
            <w:r w:rsidR="008D7364">
              <w:rPr>
                <w:rFonts w:ascii="Arial" w:eastAsia="Calibri" w:hAnsi="Arial" w:cs="Arial"/>
                <w:color w:val="000000" w:themeColor="text1"/>
                <w:sz w:val="14"/>
                <w:szCs w:val="14"/>
              </w:rPr>
              <w:t>4</w:t>
            </w:r>
          </w:p>
        </w:tc>
        <w:tc>
          <w:tcPr>
            <w:tcW w:w="329" w:type="pct"/>
            <w:tcBorders>
              <w:top w:val="nil"/>
              <w:left w:val="nil"/>
              <w:bottom w:val="single" w:sz="8" w:space="0" w:color="auto"/>
              <w:right w:val="nil"/>
            </w:tcBorders>
            <w:vAlign w:val="bottom"/>
          </w:tcPr>
          <w:p w14:paraId="27581A4E"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11</w:t>
            </w:r>
          </w:p>
        </w:tc>
        <w:tc>
          <w:tcPr>
            <w:tcW w:w="329" w:type="pct"/>
            <w:tcBorders>
              <w:top w:val="nil"/>
              <w:left w:val="nil"/>
              <w:bottom w:val="single" w:sz="8" w:space="0" w:color="auto"/>
              <w:right w:val="nil"/>
            </w:tcBorders>
            <w:vAlign w:val="bottom"/>
          </w:tcPr>
          <w:p w14:paraId="79F5F73A" w14:textId="74949075"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17</w:t>
            </w:r>
            <w:r w:rsidR="008D7364">
              <w:rPr>
                <w:rFonts w:ascii="Arial" w:eastAsia="Calibri" w:hAnsi="Arial" w:cs="Arial"/>
                <w:color w:val="000000" w:themeColor="text1"/>
                <w:sz w:val="14"/>
                <w:szCs w:val="14"/>
              </w:rPr>
              <w:t>4</w:t>
            </w:r>
          </w:p>
        </w:tc>
        <w:tc>
          <w:tcPr>
            <w:tcW w:w="329" w:type="pct"/>
            <w:tcBorders>
              <w:top w:val="nil"/>
              <w:left w:val="nil"/>
              <w:bottom w:val="single" w:sz="8" w:space="0" w:color="auto"/>
              <w:right w:val="nil"/>
            </w:tcBorders>
            <w:vAlign w:val="bottom"/>
          </w:tcPr>
          <w:p w14:paraId="6C1A648D"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0" w:type="pct"/>
            <w:tcBorders>
              <w:top w:val="nil"/>
              <w:left w:val="nil"/>
              <w:bottom w:val="single" w:sz="8" w:space="0" w:color="auto"/>
              <w:right w:val="nil"/>
            </w:tcBorders>
          </w:tcPr>
          <w:p w14:paraId="4B90786C" w14:textId="77777777" w:rsidR="000E1F3A"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8</w:t>
            </w:r>
          </w:p>
        </w:tc>
        <w:tc>
          <w:tcPr>
            <w:tcW w:w="363" w:type="pct"/>
            <w:tcBorders>
              <w:top w:val="nil"/>
              <w:left w:val="nil"/>
              <w:bottom w:val="single" w:sz="8" w:space="0" w:color="auto"/>
              <w:right w:val="nil"/>
            </w:tcBorders>
            <w:vAlign w:val="bottom"/>
          </w:tcPr>
          <w:p w14:paraId="0068A32D"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0" w:type="pct"/>
            <w:tcBorders>
              <w:top w:val="nil"/>
              <w:left w:val="nil"/>
              <w:bottom w:val="single" w:sz="8" w:space="0" w:color="auto"/>
              <w:right w:val="nil"/>
            </w:tcBorders>
            <w:vAlign w:val="bottom"/>
          </w:tcPr>
          <w:p w14:paraId="4948A3F4"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1.097</w:t>
            </w:r>
          </w:p>
        </w:tc>
      </w:tr>
      <w:tr w:rsidR="000E1F3A" w:rsidRPr="003D1614" w14:paraId="175A1105" w14:textId="77777777" w:rsidTr="00422DD5">
        <w:trPr>
          <w:trHeight w:val="201"/>
          <w:jc w:val="center"/>
        </w:trPr>
        <w:tc>
          <w:tcPr>
            <w:tcW w:w="500" w:type="pct"/>
            <w:vAlign w:val="bottom"/>
          </w:tcPr>
          <w:p w14:paraId="19110D0A" w14:textId="77777777" w:rsidR="000E1F3A" w:rsidRPr="003D1614" w:rsidRDefault="000E1F3A" w:rsidP="00422DD5">
            <w:pPr>
              <w:tabs>
                <w:tab w:val="right" w:pos="1202"/>
              </w:tabs>
              <w:suppressAutoHyphens/>
              <w:autoSpaceDN w:val="0"/>
              <w:outlineLvl w:val="0"/>
              <w:rPr>
                <w:rFonts w:ascii="Arial" w:eastAsia="Calibri" w:hAnsi="Arial" w:cs="Arial"/>
                <w:b/>
                <w:bCs/>
                <w:color w:val="000000" w:themeColor="text1"/>
                <w:sz w:val="14"/>
                <w:szCs w:val="14"/>
              </w:rPr>
            </w:pPr>
            <w:bookmarkStart w:id="741" w:name="_Toc67329839"/>
            <w:r w:rsidRPr="003D1614">
              <w:rPr>
                <w:rFonts w:ascii="Arial" w:eastAsia="Calibri" w:hAnsi="Arial" w:cs="Arial"/>
                <w:b/>
                <w:bCs/>
                <w:color w:val="000000" w:themeColor="text1"/>
                <w:sz w:val="14"/>
                <w:szCs w:val="14"/>
              </w:rPr>
              <w:t>Ukupno</w:t>
            </w:r>
            <w:bookmarkEnd w:id="741"/>
          </w:p>
        </w:tc>
        <w:tc>
          <w:tcPr>
            <w:tcW w:w="307" w:type="pct"/>
            <w:tcBorders>
              <w:top w:val="nil"/>
              <w:left w:val="nil"/>
              <w:bottom w:val="single" w:sz="12" w:space="0" w:color="auto"/>
              <w:right w:val="nil"/>
            </w:tcBorders>
            <w:shd w:val="clear" w:color="auto" w:fill="auto"/>
            <w:vAlign w:val="bottom"/>
          </w:tcPr>
          <w:p w14:paraId="3E2DE9B7" w14:textId="77777777" w:rsidR="000E1F3A" w:rsidRPr="003D1614" w:rsidRDefault="000E1F3A" w:rsidP="00422DD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3.356.154</w:t>
            </w:r>
          </w:p>
        </w:tc>
        <w:tc>
          <w:tcPr>
            <w:tcW w:w="298" w:type="pct"/>
            <w:tcBorders>
              <w:top w:val="nil"/>
              <w:left w:val="nil"/>
              <w:bottom w:val="single" w:sz="12" w:space="0" w:color="auto"/>
              <w:right w:val="nil"/>
            </w:tcBorders>
            <w:shd w:val="clear" w:color="auto" w:fill="auto"/>
            <w:vAlign w:val="bottom"/>
          </w:tcPr>
          <w:p w14:paraId="026BDAFD" w14:textId="77777777" w:rsidR="000E1F3A" w:rsidRPr="003D1614" w:rsidRDefault="000E1F3A" w:rsidP="00422DD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220.578</w:t>
            </w:r>
          </w:p>
        </w:tc>
        <w:tc>
          <w:tcPr>
            <w:tcW w:w="295" w:type="pct"/>
            <w:tcBorders>
              <w:top w:val="nil"/>
              <w:left w:val="nil"/>
              <w:bottom w:val="single" w:sz="12" w:space="0" w:color="auto"/>
              <w:right w:val="nil"/>
            </w:tcBorders>
            <w:shd w:val="clear" w:color="auto" w:fill="auto"/>
            <w:vAlign w:val="bottom"/>
          </w:tcPr>
          <w:p w14:paraId="7EBCD6A7" w14:textId="77777777" w:rsidR="000E1F3A" w:rsidRPr="003D1614" w:rsidRDefault="000E1F3A" w:rsidP="00422DD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158.976</w:t>
            </w:r>
          </w:p>
        </w:tc>
        <w:tc>
          <w:tcPr>
            <w:tcW w:w="285" w:type="pct"/>
            <w:tcBorders>
              <w:top w:val="nil"/>
              <w:left w:val="nil"/>
              <w:bottom w:val="single" w:sz="12" w:space="0" w:color="auto"/>
              <w:right w:val="nil"/>
            </w:tcBorders>
            <w:shd w:val="clear" w:color="auto" w:fill="auto"/>
            <w:vAlign w:val="bottom"/>
          </w:tcPr>
          <w:p w14:paraId="2D83AE19" w14:textId="77777777" w:rsidR="000E1F3A" w:rsidRPr="003D1614" w:rsidRDefault="000E1F3A" w:rsidP="00422DD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11.574</w:t>
            </w:r>
          </w:p>
        </w:tc>
        <w:tc>
          <w:tcPr>
            <w:tcW w:w="312" w:type="pct"/>
            <w:tcBorders>
              <w:top w:val="nil"/>
              <w:left w:val="nil"/>
              <w:bottom w:val="single" w:sz="12" w:space="0" w:color="auto"/>
              <w:right w:val="nil"/>
            </w:tcBorders>
            <w:vAlign w:val="bottom"/>
          </w:tcPr>
          <w:p w14:paraId="2FBAAF01" w14:textId="77777777" w:rsidR="000E1F3A" w:rsidRPr="002A06D3" w:rsidRDefault="000E1F3A" w:rsidP="00422DD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175.324</w:t>
            </w:r>
          </w:p>
        </w:tc>
        <w:tc>
          <w:tcPr>
            <w:tcW w:w="312" w:type="pct"/>
            <w:tcBorders>
              <w:top w:val="nil"/>
              <w:left w:val="nil"/>
              <w:bottom w:val="single" w:sz="12" w:space="0" w:color="auto"/>
              <w:right w:val="nil"/>
            </w:tcBorders>
            <w:shd w:val="clear" w:color="auto" w:fill="auto"/>
            <w:vAlign w:val="bottom"/>
          </w:tcPr>
          <w:p w14:paraId="27D87C80" w14:textId="77777777" w:rsidR="000E1F3A" w:rsidRPr="003D1614" w:rsidRDefault="000E1F3A" w:rsidP="00422DD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33.397</w:t>
            </w:r>
          </w:p>
        </w:tc>
        <w:tc>
          <w:tcPr>
            <w:tcW w:w="331" w:type="pct"/>
            <w:tcBorders>
              <w:top w:val="nil"/>
              <w:left w:val="nil"/>
              <w:bottom w:val="single" w:sz="12" w:space="0" w:color="auto"/>
              <w:right w:val="nil"/>
            </w:tcBorders>
            <w:shd w:val="clear" w:color="auto" w:fill="auto"/>
            <w:vAlign w:val="bottom"/>
          </w:tcPr>
          <w:p w14:paraId="372D0AC0" w14:textId="77777777" w:rsidR="000E1F3A" w:rsidRPr="003D1614" w:rsidRDefault="000E1F3A" w:rsidP="00422DD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3.956.003</w:t>
            </w:r>
          </w:p>
        </w:tc>
        <w:tc>
          <w:tcPr>
            <w:tcW w:w="329" w:type="pct"/>
            <w:tcBorders>
              <w:top w:val="nil"/>
              <w:left w:val="nil"/>
              <w:bottom w:val="single" w:sz="12" w:space="0" w:color="auto"/>
              <w:right w:val="nil"/>
            </w:tcBorders>
            <w:vAlign w:val="bottom"/>
          </w:tcPr>
          <w:p w14:paraId="56022FD4" w14:textId="0276CED2" w:rsidR="000E1F3A" w:rsidRPr="003D1614" w:rsidRDefault="000E1F3A" w:rsidP="00422DD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581.46</w:t>
            </w:r>
            <w:r w:rsidR="008D7364">
              <w:rPr>
                <w:rFonts w:ascii="Arial" w:eastAsia="Calibri" w:hAnsi="Arial" w:cs="Arial"/>
                <w:b/>
                <w:bCs/>
                <w:color w:val="000000" w:themeColor="text1"/>
                <w:sz w:val="14"/>
                <w:szCs w:val="14"/>
              </w:rPr>
              <w:t>7</w:t>
            </w:r>
          </w:p>
        </w:tc>
        <w:tc>
          <w:tcPr>
            <w:tcW w:w="329" w:type="pct"/>
            <w:tcBorders>
              <w:top w:val="nil"/>
              <w:left w:val="nil"/>
              <w:bottom w:val="single" w:sz="12" w:space="0" w:color="auto"/>
              <w:right w:val="nil"/>
            </w:tcBorders>
            <w:vAlign w:val="bottom"/>
          </w:tcPr>
          <w:p w14:paraId="2CF1CE2E" w14:textId="77777777" w:rsidR="000E1F3A" w:rsidRPr="003D1614" w:rsidRDefault="000E1F3A" w:rsidP="00422DD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27.880</w:t>
            </w:r>
          </w:p>
        </w:tc>
        <w:tc>
          <w:tcPr>
            <w:tcW w:w="329" w:type="pct"/>
            <w:tcBorders>
              <w:top w:val="nil"/>
              <w:left w:val="nil"/>
              <w:bottom w:val="single" w:sz="12" w:space="0" w:color="auto"/>
              <w:right w:val="nil"/>
            </w:tcBorders>
            <w:vAlign w:val="bottom"/>
          </w:tcPr>
          <w:p w14:paraId="537F7F58" w14:textId="22E8FA93" w:rsidR="000E1F3A" w:rsidRPr="003D1614" w:rsidRDefault="000E1F3A" w:rsidP="00422DD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8.68</w:t>
            </w:r>
            <w:r w:rsidR="008D7364">
              <w:rPr>
                <w:rFonts w:ascii="Arial" w:eastAsia="Calibri" w:hAnsi="Arial" w:cs="Arial"/>
                <w:b/>
                <w:bCs/>
                <w:color w:val="000000" w:themeColor="text1"/>
                <w:sz w:val="14"/>
                <w:szCs w:val="14"/>
              </w:rPr>
              <w:t>1</w:t>
            </w:r>
          </w:p>
        </w:tc>
        <w:tc>
          <w:tcPr>
            <w:tcW w:w="329" w:type="pct"/>
            <w:tcBorders>
              <w:top w:val="nil"/>
              <w:left w:val="nil"/>
              <w:bottom w:val="single" w:sz="12" w:space="0" w:color="auto"/>
              <w:right w:val="nil"/>
            </w:tcBorders>
            <w:vAlign w:val="bottom"/>
          </w:tcPr>
          <w:p w14:paraId="5D453B7E" w14:textId="77777777" w:rsidR="000E1F3A" w:rsidRPr="003D1614" w:rsidRDefault="000E1F3A" w:rsidP="00422DD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56</w:t>
            </w:r>
          </w:p>
        </w:tc>
        <w:tc>
          <w:tcPr>
            <w:tcW w:w="320" w:type="pct"/>
            <w:tcBorders>
              <w:top w:val="nil"/>
              <w:left w:val="nil"/>
              <w:bottom w:val="single" w:sz="12" w:space="0" w:color="auto"/>
              <w:right w:val="nil"/>
            </w:tcBorders>
            <w:vAlign w:val="bottom"/>
          </w:tcPr>
          <w:p w14:paraId="44083986" w14:textId="77777777" w:rsidR="000E1F3A" w:rsidRPr="002A06D3" w:rsidRDefault="000E1F3A" w:rsidP="00422DD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9.797</w:t>
            </w:r>
          </w:p>
        </w:tc>
        <w:tc>
          <w:tcPr>
            <w:tcW w:w="363" w:type="pct"/>
            <w:tcBorders>
              <w:top w:val="nil"/>
              <w:left w:val="nil"/>
              <w:bottom w:val="single" w:sz="12" w:space="0" w:color="auto"/>
              <w:right w:val="nil"/>
            </w:tcBorders>
            <w:vAlign w:val="bottom"/>
          </w:tcPr>
          <w:p w14:paraId="0A93A0FA" w14:textId="77777777" w:rsidR="000E1F3A" w:rsidRPr="003D1614" w:rsidRDefault="000E1F3A" w:rsidP="00422DD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30</w:t>
            </w:r>
          </w:p>
        </w:tc>
        <w:tc>
          <w:tcPr>
            <w:tcW w:w="360" w:type="pct"/>
            <w:tcBorders>
              <w:top w:val="nil"/>
              <w:left w:val="nil"/>
              <w:bottom w:val="single" w:sz="12" w:space="0" w:color="auto"/>
              <w:right w:val="nil"/>
            </w:tcBorders>
            <w:vAlign w:val="bottom"/>
          </w:tcPr>
          <w:p w14:paraId="5C933B62" w14:textId="77777777" w:rsidR="000E1F3A" w:rsidRPr="003D1614" w:rsidRDefault="000E1F3A" w:rsidP="00422DD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627.911</w:t>
            </w:r>
          </w:p>
        </w:tc>
      </w:tr>
      <w:tr w:rsidR="000E1F3A" w:rsidRPr="003D1614" w14:paraId="1DA73DED" w14:textId="77777777" w:rsidTr="00422DD5">
        <w:trPr>
          <w:trHeight w:val="168"/>
          <w:jc w:val="center"/>
        </w:trPr>
        <w:tc>
          <w:tcPr>
            <w:tcW w:w="500" w:type="pct"/>
            <w:vAlign w:val="bottom"/>
          </w:tcPr>
          <w:p w14:paraId="754BAE4D" w14:textId="77777777" w:rsidR="000E1F3A" w:rsidRPr="003D1614" w:rsidRDefault="000E1F3A" w:rsidP="00422DD5">
            <w:pPr>
              <w:tabs>
                <w:tab w:val="right" w:pos="1202"/>
              </w:tabs>
              <w:suppressAutoHyphens/>
              <w:autoSpaceDN w:val="0"/>
              <w:outlineLvl w:val="0"/>
              <w:rPr>
                <w:rFonts w:ascii="Arial" w:eastAsia="Calibri" w:hAnsi="Arial" w:cs="Arial"/>
                <w:b/>
                <w:bCs/>
                <w:color w:val="000000" w:themeColor="text1"/>
                <w:sz w:val="14"/>
                <w:szCs w:val="14"/>
              </w:rPr>
            </w:pPr>
            <w:bookmarkStart w:id="742" w:name="_Toc67329840"/>
            <w:r w:rsidRPr="003D1614">
              <w:rPr>
                <w:rFonts w:ascii="Arial" w:eastAsia="Calibri" w:hAnsi="Arial" w:cs="Arial"/>
                <w:b/>
                <w:bCs/>
                <w:color w:val="000000" w:themeColor="text1"/>
                <w:sz w:val="14"/>
                <w:szCs w:val="14"/>
              </w:rPr>
              <w:t>Garancije i preuzete obveze</w:t>
            </w:r>
            <w:bookmarkEnd w:id="742"/>
          </w:p>
        </w:tc>
        <w:tc>
          <w:tcPr>
            <w:tcW w:w="307" w:type="pct"/>
            <w:tcBorders>
              <w:top w:val="nil"/>
              <w:left w:val="nil"/>
              <w:bottom w:val="nil"/>
              <w:right w:val="nil"/>
            </w:tcBorders>
            <w:shd w:val="clear" w:color="auto" w:fill="auto"/>
            <w:vAlign w:val="bottom"/>
          </w:tcPr>
          <w:p w14:paraId="736AB6BB"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p>
        </w:tc>
        <w:tc>
          <w:tcPr>
            <w:tcW w:w="298" w:type="pct"/>
            <w:tcBorders>
              <w:top w:val="nil"/>
              <w:left w:val="nil"/>
              <w:bottom w:val="nil"/>
              <w:right w:val="nil"/>
            </w:tcBorders>
            <w:shd w:val="clear" w:color="auto" w:fill="auto"/>
            <w:vAlign w:val="bottom"/>
          </w:tcPr>
          <w:p w14:paraId="5FF12063"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p>
        </w:tc>
        <w:tc>
          <w:tcPr>
            <w:tcW w:w="295" w:type="pct"/>
            <w:tcBorders>
              <w:top w:val="nil"/>
              <w:left w:val="nil"/>
              <w:bottom w:val="nil"/>
              <w:right w:val="nil"/>
            </w:tcBorders>
            <w:shd w:val="clear" w:color="auto" w:fill="auto"/>
            <w:vAlign w:val="bottom"/>
          </w:tcPr>
          <w:p w14:paraId="40746AEE"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p>
        </w:tc>
        <w:tc>
          <w:tcPr>
            <w:tcW w:w="285" w:type="pct"/>
            <w:tcBorders>
              <w:top w:val="nil"/>
              <w:left w:val="nil"/>
              <w:bottom w:val="nil"/>
              <w:right w:val="nil"/>
            </w:tcBorders>
            <w:shd w:val="clear" w:color="auto" w:fill="auto"/>
            <w:vAlign w:val="bottom"/>
          </w:tcPr>
          <w:p w14:paraId="4D36F4B1"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p>
        </w:tc>
        <w:tc>
          <w:tcPr>
            <w:tcW w:w="312" w:type="pct"/>
            <w:tcBorders>
              <w:top w:val="nil"/>
              <w:left w:val="nil"/>
              <w:bottom w:val="nil"/>
              <w:right w:val="nil"/>
            </w:tcBorders>
          </w:tcPr>
          <w:p w14:paraId="50560809" w14:textId="77777777" w:rsidR="000E1F3A" w:rsidRPr="003D1614" w:rsidRDefault="000E1F3A" w:rsidP="00422DD5">
            <w:pPr>
              <w:suppressAutoHyphens/>
              <w:autoSpaceDN w:val="0"/>
              <w:rPr>
                <w:rFonts w:ascii="Arial" w:eastAsia="Calibri" w:hAnsi="Arial" w:cs="Arial"/>
                <w:color w:val="000000" w:themeColor="text1"/>
                <w:sz w:val="14"/>
                <w:szCs w:val="14"/>
              </w:rPr>
            </w:pPr>
          </w:p>
        </w:tc>
        <w:tc>
          <w:tcPr>
            <w:tcW w:w="312" w:type="pct"/>
            <w:tcBorders>
              <w:top w:val="nil"/>
              <w:left w:val="nil"/>
              <w:bottom w:val="nil"/>
              <w:right w:val="nil"/>
            </w:tcBorders>
            <w:shd w:val="clear" w:color="auto" w:fill="auto"/>
            <w:vAlign w:val="bottom"/>
          </w:tcPr>
          <w:p w14:paraId="0F7F2407"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p>
        </w:tc>
        <w:tc>
          <w:tcPr>
            <w:tcW w:w="331" w:type="pct"/>
            <w:tcBorders>
              <w:top w:val="nil"/>
              <w:left w:val="nil"/>
              <w:bottom w:val="nil"/>
              <w:right w:val="nil"/>
            </w:tcBorders>
            <w:shd w:val="clear" w:color="auto" w:fill="auto"/>
            <w:vAlign w:val="bottom"/>
          </w:tcPr>
          <w:p w14:paraId="1B95E375"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6043BAD8"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2163EB47"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1145D179"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3E81B7CB"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p>
        </w:tc>
        <w:tc>
          <w:tcPr>
            <w:tcW w:w="320" w:type="pct"/>
            <w:tcBorders>
              <w:top w:val="nil"/>
              <w:left w:val="nil"/>
              <w:bottom w:val="nil"/>
              <w:right w:val="nil"/>
            </w:tcBorders>
          </w:tcPr>
          <w:p w14:paraId="1174C05D" w14:textId="77777777" w:rsidR="000E1F3A" w:rsidRPr="003D1614" w:rsidRDefault="000E1F3A" w:rsidP="00422DD5">
            <w:pPr>
              <w:suppressAutoHyphens/>
              <w:autoSpaceDN w:val="0"/>
              <w:rPr>
                <w:rFonts w:ascii="Arial" w:eastAsia="Calibri" w:hAnsi="Arial" w:cs="Arial"/>
                <w:color w:val="000000" w:themeColor="text1"/>
                <w:sz w:val="14"/>
                <w:szCs w:val="14"/>
              </w:rPr>
            </w:pPr>
          </w:p>
        </w:tc>
        <w:tc>
          <w:tcPr>
            <w:tcW w:w="363" w:type="pct"/>
            <w:tcBorders>
              <w:top w:val="nil"/>
              <w:left w:val="nil"/>
              <w:bottom w:val="nil"/>
              <w:right w:val="nil"/>
            </w:tcBorders>
            <w:vAlign w:val="bottom"/>
          </w:tcPr>
          <w:p w14:paraId="47046C8D"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p>
        </w:tc>
        <w:tc>
          <w:tcPr>
            <w:tcW w:w="360" w:type="pct"/>
            <w:tcBorders>
              <w:top w:val="nil"/>
              <w:left w:val="nil"/>
              <w:bottom w:val="nil"/>
              <w:right w:val="nil"/>
            </w:tcBorders>
            <w:vAlign w:val="bottom"/>
          </w:tcPr>
          <w:p w14:paraId="0FC542FB"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p>
        </w:tc>
      </w:tr>
      <w:tr w:rsidR="000E1F3A" w:rsidRPr="003D1614" w14:paraId="796B73F6" w14:textId="77777777" w:rsidTr="00422DD5">
        <w:trPr>
          <w:trHeight w:val="189"/>
          <w:jc w:val="center"/>
        </w:trPr>
        <w:tc>
          <w:tcPr>
            <w:tcW w:w="500" w:type="pct"/>
            <w:vAlign w:val="bottom"/>
          </w:tcPr>
          <w:p w14:paraId="33FF5D0E" w14:textId="77777777" w:rsidR="000E1F3A" w:rsidRPr="003D1614" w:rsidRDefault="000E1F3A" w:rsidP="00422DD5">
            <w:pPr>
              <w:tabs>
                <w:tab w:val="right" w:pos="1202"/>
              </w:tabs>
              <w:suppressAutoHyphens/>
              <w:autoSpaceDN w:val="0"/>
              <w:outlineLvl w:val="0"/>
              <w:rPr>
                <w:rFonts w:ascii="Arial" w:eastAsia="Calibri" w:hAnsi="Arial" w:cs="Arial"/>
                <w:b/>
                <w:bCs/>
                <w:color w:val="000000" w:themeColor="text1"/>
                <w:sz w:val="14"/>
                <w:szCs w:val="14"/>
              </w:rPr>
            </w:pPr>
            <w:bookmarkStart w:id="743" w:name="_Toc67329841"/>
            <w:r w:rsidRPr="003D1614">
              <w:rPr>
                <w:rFonts w:ascii="Arial" w:eastAsia="Calibri" w:hAnsi="Arial" w:cs="Arial"/>
                <w:color w:val="000000" w:themeColor="text1"/>
                <w:sz w:val="14"/>
                <w:szCs w:val="14"/>
              </w:rPr>
              <w:t>Izdane garancije</w:t>
            </w:r>
            <w:bookmarkEnd w:id="743"/>
          </w:p>
        </w:tc>
        <w:tc>
          <w:tcPr>
            <w:tcW w:w="307" w:type="pct"/>
            <w:tcBorders>
              <w:top w:val="nil"/>
              <w:left w:val="nil"/>
              <w:bottom w:val="nil"/>
              <w:right w:val="nil"/>
            </w:tcBorders>
            <w:shd w:val="clear" w:color="auto" w:fill="auto"/>
            <w:vAlign w:val="bottom"/>
          </w:tcPr>
          <w:p w14:paraId="66A19F27"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8.415</w:t>
            </w:r>
          </w:p>
        </w:tc>
        <w:tc>
          <w:tcPr>
            <w:tcW w:w="298" w:type="pct"/>
            <w:tcBorders>
              <w:top w:val="nil"/>
              <w:left w:val="nil"/>
              <w:bottom w:val="nil"/>
              <w:right w:val="nil"/>
            </w:tcBorders>
            <w:shd w:val="clear" w:color="auto" w:fill="auto"/>
            <w:vAlign w:val="bottom"/>
          </w:tcPr>
          <w:p w14:paraId="6163766E"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16.546</w:t>
            </w:r>
          </w:p>
        </w:tc>
        <w:tc>
          <w:tcPr>
            <w:tcW w:w="295" w:type="pct"/>
            <w:tcBorders>
              <w:top w:val="nil"/>
              <w:left w:val="nil"/>
              <w:bottom w:val="nil"/>
              <w:right w:val="nil"/>
            </w:tcBorders>
            <w:shd w:val="clear" w:color="auto" w:fill="auto"/>
            <w:vAlign w:val="bottom"/>
          </w:tcPr>
          <w:p w14:paraId="3FC33CF1"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2.511</w:t>
            </w:r>
          </w:p>
        </w:tc>
        <w:tc>
          <w:tcPr>
            <w:tcW w:w="285" w:type="pct"/>
            <w:tcBorders>
              <w:top w:val="nil"/>
              <w:left w:val="nil"/>
              <w:bottom w:val="nil"/>
              <w:right w:val="nil"/>
            </w:tcBorders>
            <w:shd w:val="clear" w:color="auto" w:fill="auto"/>
            <w:vAlign w:val="bottom"/>
          </w:tcPr>
          <w:p w14:paraId="4005C15E"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vAlign w:val="bottom"/>
          </w:tcPr>
          <w:p w14:paraId="37D8087E" w14:textId="77777777" w:rsidR="000E1F3A" w:rsidRPr="002A06D3"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75CA9F57"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1" w:type="pct"/>
            <w:tcBorders>
              <w:top w:val="nil"/>
              <w:left w:val="nil"/>
              <w:bottom w:val="nil"/>
              <w:right w:val="nil"/>
            </w:tcBorders>
            <w:shd w:val="clear" w:color="auto" w:fill="auto"/>
            <w:vAlign w:val="bottom"/>
          </w:tcPr>
          <w:p w14:paraId="794FB713"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27.472</w:t>
            </w:r>
          </w:p>
        </w:tc>
        <w:tc>
          <w:tcPr>
            <w:tcW w:w="329" w:type="pct"/>
            <w:tcBorders>
              <w:top w:val="nil"/>
              <w:left w:val="nil"/>
              <w:bottom w:val="nil"/>
              <w:right w:val="nil"/>
            </w:tcBorders>
            <w:vAlign w:val="bottom"/>
          </w:tcPr>
          <w:p w14:paraId="022F5874"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7.985</w:t>
            </w:r>
          </w:p>
        </w:tc>
        <w:tc>
          <w:tcPr>
            <w:tcW w:w="329" w:type="pct"/>
            <w:tcBorders>
              <w:top w:val="nil"/>
              <w:left w:val="nil"/>
              <w:bottom w:val="nil"/>
              <w:right w:val="nil"/>
            </w:tcBorders>
            <w:vAlign w:val="bottom"/>
          </w:tcPr>
          <w:p w14:paraId="6D611A0D"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11.715</w:t>
            </w:r>
          </w:p>
        </w:tc>
        <w:tc>
          <w:tcPr>
            <w:tcW w:w="329" w:type="pct"/>
            <w:tcBorders>
              <w:top w:val="nil"/>
              <w:left w:val="nil"/>
              <w:bottom w:val="nil"/>
              <w:right w:val="nil"/>
            </w:tcBorders>
            <w:vAlign w:val="bottom"/>
          </w:tcPr>
          <w:p w14:paraId="4131629B"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1.948</w:t>
            </w:r>
          </w:p>
        </w:tc>
        <w:tc>
          <w:tcPr>
            <w:tcW w:w="329" w:type="pct"/>
            <w:tcBorders>
              <w:top w:val="nil"/>
              <w:left w:val="nil"/>
              <w:bottom w:val="nil"/>
              <w:right w:val="nil"/>
            </w:tcBorders>
            <w:vAlign w:val="bottom"/>
          </w:tcPr>
          <w:p w14:paraId="1EA0A4DC"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vAlign w:val="bottom"/>
          </w:tcPr>
          <w:p w14:paraId="13E14984" w14:textId="77777777" w:rsidR="000E1F3A" w:rsidRPr="002A06D3"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3" w:type="pct"/>
            <w:tcBorders>
              <w:top w:val="nil"/>
              <w:left w:val="nil"/>
              <w:bottom w:val="nil"/>
              <w:right w:val="nil"/>
            </w:tcBorders>
            <w:vAlign w:val="bottom"/>
          </w:tcPr>
          <w:p w14:paraId="44CE0C44"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0" w:type="pct"/>
            <w:tcBorders>
              <w:top w:val="nil"/>
              <w:left w:val="nil"/>
              <w:bottom w:val="nil"/>
              <w:right w:val="nil"/>
            </w:tcBorders>
            <w:vAlign w:val="bottom"/>
          </w:tcPr>
          <w:p w14:paraId="2FB97933"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21.648</w:t>
            </w:r>
          </w:p>
        </w:tc>
      </w:tr>
      <w:tr w:rsidR="000E1F3A" w:rsidRPr="003D1614" w14:paraId="69921269" w14:textId="77777777" w:rsidTr="00422DD5">
        <w:trPr>
          <w:trHeight w:val="189"/>
          <w:jc w:val="center"/>
        </w:trPr>
        <w:tc>
          <w:tcPr>
            <w:tcW w:w="500" w:type="pct"/>
            <w:vAlign w:val="bottom"/>
          </w:tcPr>
          <w:p w14:paraId="2A4CADCA" w14:textId="77777777" w:rsidR="000E1F3A" w:rsidRPr="003D1614" w:rsidRDefault="000E1F3A" w:rsidP="00422DD5">
            <w:pPr>
              <w:tabs>
                <w:tab w:val="right" w:pos="1202"/>
              </w:tabs>
              <w:suppressAutoHyphens/>
              <w:autoSpaceDN w:val="0"/>
              <w:outlineLvl w:val="0"/>
              <w:rPr>
                <w:rFonts w:ascii="Arial" w:eastAsia="Calibri" w:hAnsi="Arial" w:cs="Arial"/>
                <w:color w:val="000000" w:themeColor="text1"/>
                <w:sz w:val="14"/>
                <w:szCs w:val="14"/>
              </w:rPr>
            </w:pPr>
            <w:bookmarkStart w:id="744" w:name="_Toc67329842"/>
            <w:r w:rsidRPr="003D1614">
              <w:rPr>
                <w:rFonts w:ascii="Arial" w:eastAsia="Calibri" w:hAnsi="Arial" w:cs="Arial"/>
                <w:color w:val="000000" w:themeColor="text1"/>
                <w:sz w:val="14"/>
                <w:szCs w:val="14"/>
              </w:rPr>
              <w:t>Izdane garancije u devizama</w:t>
            </w:r>
            <w:bookmarkEnd w:id="744"/>
          </w:p>
        </w:tc>
        <w:tc>
          <w:tcPr>
            <w:tcW w:w="307" w:type="pct"/>
            <w:tcBorders>
              <w:top w:val="nil"/>
              <w:left w:val="nil"/>
              <w:bottom w:val="nil"/>
              <w:right w:val="nil"/>
            </w:tcBorders>
            <w:shd w:val="clear" w:color="auto" w:fill="auto"/>
            <w:vAlign w:val="bottom"/>
          </w:tcPr>
          <w:p w14:paraId="5AB3D6F4"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54</w:t>
            </w:r>
          </w:p>
        </w:tc>
        <w:tc>
          <w:tcPr>
            <w:tcW w:w="298" w:type="pct"/>
            <w:tcBorders>
              <w:top w:val="nil"/>
              <w:left w:val="nil"/>
              <w:bottom w:val="nil"/>
              <w:right w:val="nil"/>
            </w:tcBorders>
            <w:shd w:val="clear" w:color="auto" w:fill="auto"/>
            <w:vAlign w:val="bottom"/>
          </w:tcPr>
          <w:p w14:paraId="404A2DCD"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5.101</w:t>
            </w:r>
          </w:p>
        </w:tc>
        <w:tc>
          <w:tcPr>
            <w:tcW w:w="295" w:type="pct"/>
            <w:tcBorders>
              <w:top w:val="nil"/>
              <w:left w:val="nil"/>
              <w:bottom w:val="nil"/>
              <w:right w:val="nil"/>
            </w:tcBorders>
            <w:shd w:val="clear" w:color="auto" w:fill="auto"/>
            <w:vAlign w:val="bottom"/>
          </w:tcPr>
          <w:p w14:paraId="78CBDF2C"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85" w:type="pct"/>
            <w:tcBorders>
              <w:top w:val="nil"/>
              <w:left w:val="nil"/>
              <w:bottom w:val="nil"/>
              <w:right w:val="nil"/>
            </w:tcBorders>
            <w:shd w:val="clear" w:color="auto" w:fill="auto"/>
            <w:vAlign w:val="bottom"/>
          </w:tcPr>
          <w:p w14:paraId="403D82AF"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vAlign w:val="bottom"/>
          </w:tcPr>
          <w:p w14:paraId="12CB5C67" w14:textId="77777777" w:rsidR="000E1F3A" w:rsidRPr="002A06D3"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1EA49351"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1" w:type="pct"/>
            <w:tcBorders>
              <w:top w:val="nil"/>
              <w:left w:val="nil"/>
              <w:bottom w:val="nil"/>
              <w:right w:val="nil"/>
            </w:tcBorders>
            <w:shd w:val="clear" w:color="auto" w:fill="auto"/>
            <w:vAlign w:val="bottom"/>
          </w:tcPr>
          <w:p w14:paraId="2AB4513C"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5.155</w:t>
            </w:r>
          </w:p>
        </w:tc>
        <w:tc>
          <w:tcPr>
            <w:tcW w:w="329" w:type="pct"/>
            <w:tcBorders>
              <w:top w:val="nil"/>
              <w:left w:val="nil"/>
              <w:bottom w:val="nil"/>
              <w:right w:val="nil"/>
            </w:tcBorders>
            <w:vAlign w:val="bottom"/>
          </w:tcPr>
          <w:p w14:paraId="629D3739"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16</w:t>
            </w:r>
          </w:p>
        </w:tc>
        <w:tc>
          <w:tcPr>
            <w:tcW w:w="329" w:type="pct"/>
            <w:tcBorders>
              <w:top w:val="nil"/>
              <w:left w:val="nil"/>
              <w:bottom w:val="nil"/>
              <w:right w:val="nil"/>
            </w:tcBorders>
            <w:vAlign w:val="bottom"/>
          </w:tcPr>
          <w:p w14:paraId="445C6A09"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2.808</w:t>
            </w:r>
          </w:p>
        </w:tc>
        <w:tc>
          <w:tcPr>
            <w:tcW w:w="329" w:type="pct"/>
            <w:tcBorders>
              <w:top w:val="nil"/>
              <w:left w:val="nil"/>
              <w:bottom w:val="nil"/>
              <w:right w:val="nil"/>
            </w:tcBorders>
            <w:vAlign w:val="bottom"/>
          </w:tcPr>
          <w:p w14:paraId="285CBD6D"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08DBD67E"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0" w:type="pct"/>
            <w:tcBorders>
              <w:top w:val="nil"/>
              <w:left w:val="nil"/>
              <w:bottom w:val="nil"/>
              <w:right w:val="nil"/>
            </w:tcBorders>
            <w:vAlign w:val="bottom"/>
          </w:tcPr>
          <w:p w14:paraId="74C055B8" w14:textId="77777777" w:rsidR="000E1F3A" w:rsidRPr="002A06D3"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3" w:type="pct"/>
            <w:tcBorders>
              <w:top w:val="nil"/>
              <w:left w:val="nil"/>
              <w:bottom w:val="nil"/>
              <w:right w:val="nil"/>
            </w:tcBorders>
            <w:vAlign w:val="bottom"/>
          </w:tcPr>
          <w:p w14:paraId="11A56BA8"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0" w:type="pct"/>
            <w:tcBorders>
              <w:top w:val="nil"/>
              <w:left w:val="nil"/>
              <w:bottom w:val="nil"/>
              <w:right w:val="nil"/>
            </w:tcBorders>
            <w:vAlign w:val="bottom"/>
          </w:tcPr>
          <w:p w14:paraId="121FD098"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2.824</w:t>
            </w:r>
          </w:p>
        </w:tc>
      </w:tr>
      <w:tr w:rsidR="000E1F3A" w:rsidRPr="003D1614" w14:paraId="5E3D8CE7" w14:textId="77777777" w:rsidTr="00422DD5">
        <w:trPr>
          <w:trHeight w:val="189"/>
          <w:jc w:val="center"/>
        </w:trPr>
        <w:tc>
          <w:tcPr>
            <w:tcW w:w="500" w:type="pct"/>
            <w:vAlign w:val="bottom"/>
          </w:tcPr>
          <w:p w14:paraId="23D93304" w14:textId="77777777" w:rsidR="000E1F3A" w:rsidRPr="003D1614" w:rsidRDefault="000E1F3A" w:rsidP="00422DD5">
            <w:pPr>
              <w:tabs>
                <w:tab w:val="right" w:pos="1202"/>
              </w:tabs>
              <w:suppressAutoHyphens/>
              <w:autoSpaceDN w:val="0"/>
              <w:outlineLvl w:val="0"/>
              <w:rPr>
                <w:rFonts w:ascii="Arial" w:eastAsia="Calibri" w:hAnsi="Arial" w:cs="Arial"/>
                <w:color w:val="000000" w:themeColor="text1"/>
                <w:sz w:val="14"/>
                <w:szCs w:val="14"/>
              </w:rPr>
            </w:pPr>
            <w:bookmarkStart w:id="745" w:name="_Toc67329844"/>
            <w:r w:rsidRPr="003D1614">
              <w:rPr>
                <w:rFonts w:ascii="Arial" w:eastAsia="Calibri" w:hAnsi="Arial" w:cs="Arial"/>
                <w:color w:val="000000" w:themeColor="text1"/>
                <w:sz w:val="14"/>
                <w:szCs w:val="14"/>
              </w:rPr>
              <w:t>Preuzete obveze po kreditima</w:t>
            </w:r>
            <w:bookmarkEnd w:id="745"/>
          </w:p>
        </w:tc>
        <w:tc>
          <w:tcPr>
            <w:tcW w:w="307" w:type="pct"/>
            <w:tcBorders>
              <w:top w:val="nil"/>
              <w:left w:val="nil"/>
              <w:bottom w:val="single" w:sz="6" w:space="0" w:color="auto"/>
              <w:right w:val="nil"/>
            </w:tcBorders>
            <w:shd w:val="clear" w:color="auto" w:fill="auto"/>
            <w:vAlign w:val="bottom"/>
          </w:tcPr>
          <w:p w14:paraId="5E86F75E"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545.200</w:t>
            </w:r>
          </w:p>
        </w:tc>
        <w:tc>
          <w:tcPr>
            <w:tcW w:w="298" w:type="pct"/>
            <w:tcBorders>
              <w:top w:val="nil"/>
              <w:left w:val="nil"/>
              <w:bottom w:val="single" w:sz="6" w:space="0" w:color="auto"/>
              <w:right w:val="nil"/>
            </w:tcBorders>
            <w:shd w:val="clear" w:color="auto" w:fill="auto"/>
            <w:vAlign w:val="bottom"/>
          </w:tcPr>
          <w:p w14:paraId="7ACCC5F5"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3.931</w:t>
            </w:r>
          </w:p>
        </w:tc>
        <w:tc>
          <w:tcPr>
            <w:tcW w:w="295" w:type="pct"/>
            <w:tcBorders>
              <w:top w:val="nil"/>
              <w:left w:val="nil"/>
              <w:bottom w:val="single" w:sz="6" w:space="0" w:color="auto"/>
              <w:right w:val="nil"/>
            </w:tcBorders>
            <w:shd w:val="clear" w:color="auto" w:fill="auto"/>
            <w:vAlign w:val="bottom"/>
          </w:tcPr>
          <w:p w14:paraId="1CD34F07"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61</w:t>
            </w:r>
          </w:p>
        </w:tc>
        <w:tc>
          <w:tcPr>
            <w:tcW w:w="285" w:type="pct"/>
            <w:tcBorders>
              <w:top w:val="nil"/>
              <w:left w:val="nil"/>
              <w:bottom w:val="single" w:sz="6" w:space="0" w:color="auto"/>
              <w:right w:val="nil"/>
            </w:tcBorders>
            <w:shd w:val="clear" w:color="auto" w:fill="auto"/>
            <w:vAlign w:val="bottom"/>
          </w:tcPr>
          <w:p w14:paraId="718B7F4E"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single" w:sz="6" w:space="0" w:color="auto"/>
              <w:right w:val="nil"/>
            </w:tcBorders>
            <w:vAlign w:val="bottom"/>
          </w:tcPr>
          <w:p w14:paraId="0F9FC348" w14:textId="77777777" w:rsidR="000E1F3A" w:rsidRPr="002A06D3"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5.826</w:t>
            </w:r>
          </w:p>
        </w:tc>
        <w:tc>
          <w:tcPr>
            <w:tcW w:w="312" w:type="pct"/>
            <w:tcBorders>
              <w:top w:val="nil"/>
              <w:left w:val="nil"/>
              <w:bottom w:val="single" w:sz="6" w:space="0" w:color="auto"/>
              <w:right w:val="nil"/>
            </w:tcBorders>
            <w:shd w:val="clear" w:color="auto" w:fill="auto"/>
            <w:vAlign w:val="bottom"/>
          </w:tcPr>
          <w:p w14:paraId="7F136304"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1" w:type="pct"/>
            <w:tcBorders>
              <w:top w:val="nil"/>
              <w:left w:val="nil"/>
              <w:bottom w:val="single" w:sz="6" w:space="0" w:color="auto"/>
              <w:right w:val="nil"/>
            </w:tcBorders>
            <w:shd w:val="clear" w:color="auto" w:fill="auto"/>
            <w:vAlign w:val="bottom"/>
          </w:tcPr>
          <w:p w14:paraId="25CA83B2"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555.018</w:t>
            </w:r>
          </w:p>
        </w:tc>
        <w:tc>
          <w:tcPr>
            <w:tcW w:w="329" w:type="pct"/>
            <w:tcBorders>
              <w:top w:val="nil"/>
              <w:left w:val="nil"/>
              <w:bottom w:val="single" w:sz="6" w:space="0" w:color="auto"/>
              <w:right w:val="nil"/>
            </w:tcBorders>
            <w:vAlign w:val="bottom"/>
          </w:tcPr>
          <w:p w14:paraId="652B0539"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147.163</w:t>
            </w:r>
          </w:p>
        </w:tc>
        <w:tc>
          <w:tcPr>
            <w:tcW w:w="329" w:type="pct"/>
            <w:tcBorders>
              <w:top w:val="nil"/>
              <w:left w:val="nil"/>
              <w:bottom w:val="single" w:sz="6" w:space="0" w:color="auto"/>
              <w:right w:val="nil"/>
            </w:tcBorders>
            <w:vAlign w:val="bottom"/>
          </w:tcPr>
          <w:p w14:paraId="3E745970"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2.332</w:t>
            </w:r>
          </w:p>
        </w:tc>
        <w:tc>
          <w:tcPr>
            <w:tcW w:w="329" w:type="pct"/>
            <w:tcBorders>
              <w:top w:val="nil"/>
              <w:left w:val="nil"/>
              <w:bottom w:val="single" w:sz="6" w:space="0" w:color="auto"/>
              <w:right w:val="nil"/>
            </w:tcBorders>
            <w:vAlign w:val="bottom"/>
          </w:tcPr>
          <w:p w14:paraId="1097EF96"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20</w:t>
            </w:r>
          </w:p>
        </w:tc>
        <w:tc>
          <w:tcPr>
            <w:tcW w:w="329" w:type="pct"/>
            <w:tcBorders>
              <w:top w:val="nil"/>
              <w:left w:val="nil"/>
              <w:bottom w:val="single" w:sz="6" w:space="0" w:color="auto"/>
              <w:right w:val="nil"/>
            </w:tcBorders>
            <w:vAlign w:val="bottom"/>
          </w:tcPr>
          <w:p w14:paraId="2FCF156D"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0" w:type="pct"/>
            <w:tcBorders>
              <w:top w:val="nil"/>
              <w:left w:val="nil"/>
              <w:bottom w:val="single" w:sz="6" w:space="0" w:color="auto"/>
              <w:right w:val="nil"/>
            </w:tcBorders>
            <w:vAlign w:val="bottom"/>
          </w:tcPr>
          <w:p w14:paraId="3675B876" w14:textId="77777777" w:rsidR="000E1F3A" w:rsidRPr="002A06D3"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63</w:t>
            </w:r>
          </w:p>
        </w:tc>
        <w:tc>
          <w:tcPr>
            <w:tcW w:w="363" w:type="pct"/>
            <w:tcBorders>
              <w:top w:val="nil"/>
              <w:left w:val="nil"/>
              <w:bottom w:val="single" w:sz="6" w:space="0" w:color="auto"/>
              <w:right w:val="nil"/>
            </w:tcBorders>
            <w:vAlign w:val="bottom"/>
          </w:tcPr>
          <w:p w14:paraId="5D3253BE"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60" w:type="pct"/>
            <w:tcBorders>
              <w:top w:val="nil"/>
              <w:left w:val="nil"/>
              <w:bottom w:val="single" w:sz="6" w:space="0" w:color="auto"/>
              <w:right w:val="nil"/>
            </w:tcBorders>
            <w:vAlign w:val="bottom"/>
          </w:tcPr>
          <w:p w14:paraId="6EC387CC" w14:textId="77777777" w:rsidR="000E1F3A" w:rsidRPr="003D1614" w:rsidRDefault="000E1F3A" w:rsidP="00422DD5">
            <w:pPr>
              <w:suppressAutoHyphens/>
              <w:autoSpaceDN w:val="0"/>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149.578</w:t>
            </w:r>
          </w:p>
        </w:tc>
      </w:tr>
      <w:tr w:rsidR="000E1F3A" w:rsidRPr="003D1614" w14:paraId="24F82DB4" w14:textId="77777777" w:rsidTr="00422DD5">
        <w:trPr>
          <w:trHeight w:val="170"/>
          <w:jc w:val="center"/>
        </w:trPr>
        <w:tc>
          <w:tcPr>
            <w:tcW w:w="500" w:type="pct"/>
            <w:vAlign w:val="bottom"/>
          </w:tcPr>
          <w:p w14:paraId="7A53540E" w14:textId="77777777" w:rsidR="000E1F3A" w:rsidRPr="003D1614" w:rsidRDefault="000E1F3A" w:rsidP="00422DD5">
            <w:pPr>
              <w:tabs>
                <w:tab w:val="right" w:pos="1202"/>
              </w:tabs>
              <w:suppressAutoHyphens/>
              <w:autoSpaceDN w:val="0"/>
              <w:outlineLvl w:val="0"/>
              <w:rPr>
                <w:rFonts w:ascii="Arial" w:eastAsia="Calibri" w:hAnsi="Arial" w:cs="Arial"/>
                <w:b/>
                <w:bCs/>
                <w:color w:val="000000" w:themeColor="text1"/>
                <w:sz w:val="14"/>
                <w:szCs w:val="14"/>
              </w:rPr>
            </w:pPr>
            <w:bookmarkStart w:id="746" w:name="_Toc67329846"/>
            <w:r w:rsidRPr="003D1614">
              <w:rPr>
                <w:rFonts w:ascii="Arial" w:eastAsia="Calibri" w:hAnsi="Arial" w:cs="Arial"/>
                <w:b/>
                <w:bCs/>
                <w:color w:val="000000" w:themeColor="text1"/>
                <w:sz w:val="14"/>
                <w:szCs w:val="14"/>
              </w:rPr>
              <w:t>Ukupno</w:t>
            </w:r>
            <w:bookmarkEnd w:id="746"/>
          </w:p>
        </w:tc>
        <w:tc>
          <w:tcPr>
            <w:tcW w:w="307" w:type="pct"/>
            <w:tcBorders>
              <w:top w:val="single" w:sz="6" w:space="0" w:color="auto"/>
              <w:left w:val="nil"/>
              <w:bottom w:val="single" w:sz="12" w:space="0" w:color="auto"/>
              <w:right w:val="nil"/>
            </w:tcBorders>
            <w:shd w:val="clear" w:color="auto" w:fill="auto"/>
            <w:vAlign w:val="bottom"/>
          </w:tcPr>
          <w:p w14:paraId="69CC8AA1" w14:textId="77777777" w:rsidR="000E1F3A" w:rsidRPr="003D1614" w:rsidRDefault="000E1F3A" w:rsidP="00422DD5">
            <w:pPr>
              <w:suppressAutoHyphens/>
              <w:autoSpaceDN w:val="0"/>
              <w:jc w:val="right"/>
              <w:rPr>
                <w:rFonts w:ascii="Arial" w:eastAsia="Calibri" w:hAnsi="Arial" w:cs="Arial"/>
                <w:b/>
                <w:bCs/>
                <w:color w:val="000000" w:themeColor="text1"/>
                <w:sz w:val="14"/>
                <w:szCs w:val="14"/>
              </w:rPr>
            </w:pPr>
            <w:r>
              <w:rPr>
                <w:rFonts w:ascii="Arial" w:eastAsia="Calibri" w:hAnsi="Arial" w:cs="Arial"/>
                <w:b/>
                <w:bCs/>
                <w:sz w:val="14"/>
                <w:szCs w:val="14"/>
              </w:rPr>
              <w:t>553.669</w:t>
            </w:r>
          </w:p>
        </w:tc>
        <w:tc>
          <w:tcPr>
            <w:tcW w:w="298" w:type="pct"/>
            <w:tcBorders>
              <w:top w:val="single" w:sz="6" w:space="0" w:color="auto"/>
              <w:left w:val="nil"/>
              <w:bottom w:val="single" w:sz="12" w:space="0" w:color="auto"/>
              <w:right w:val="nil"/>
            </w:tcBorders>
            <w:shd w:val="clear" w:color="auto" w:fill="auto"/>
            <w:vAlign w:val="bottom"/>
          </w:tcPr>
          <w:p w14:paraId="66EF31E8" w14:textId="77777777" w:rsidR="000E1F3A" w:rsidRPr="003D1614" w:rsidRDefault="000E1F3A" w:rsidP="00422DD5">
            <w:pPr>
              <w:suppressAutoHyphens/>
              <w:autoSpaceDN w:val="0"/>
              <w:jc w:val="right"/>
              <w:rPr>
                <w:rFonts w:ascii="Arial" w:eastAsia="Calibri" w:hAnsi="Arial" w:cs="Arial"/>
                <w:b/>
                <w:bCs/>
                <w:color w:val="000000" w:themeColor="text1"/>
                <w:sz w:val="14"/>
                <w:szCs w:val="14"/>
              </w:rPr>
            </w:pPr>
            <w:r>
              <w:rPr>
                <w:rFonts w:ascii="Arial" w:eastAsia="Calibri" w:hAnsi="Arial" w:cs="Arial"/>
                <w:b/>
                <w:bCs/>
                <w:sz w:val="14"/>
                <w:szCs w:val="14"/>
              </w:rPr>
              <w:t>25.578</w:t>
            </w:r>
          </w:p>
        </w:tc>
        <w:tc>
          <w:tcPr>
            <w:tcW w:w="295" w:type="pct"/>
            <w:tcBorders>
              <w:top w:val="single" w:sz="6" w:space="0" w:color="auto"/>
              <w:left w:val="nil"/>
              <w:bottom w:val="single" w:sz="12" w:space="0" w:color="auto"/>
              <w:right w:val="nil"/>
            </w:tcBorders>
            <w:shd w:val="clear" w:color="auto" w:fill="auto"/>
            <w:vAlign w:val="bottom"/>
          </w:tcPr>
          <w:p w14:paraId="015A6EF2" w14:textId="77777777" w:rsidR="000E1F3A" w:rsidRPr="003D1614" w:rsidRDefault="000E1F3A" w:rsidP="00422DD5">
            <w:pPr>
              <w:suppressAutoHyphens/>
              <w:autoSpaceDN w:val="0"/>
              <w:jc w:val="right"/>
              <w:rPr>
                <w:rFonts w:ascii="Arial" w:eastAsia="Calibri" w:hAnsi="Arial" w:cs="Arial"/>
                <w:b/>
                <w:bCs/>
                <w:color w:val="000000" w:themeColor="text1"/>
                <w:sz w:val="14"/>
                <w:szCs w:val="14"/>
              </w:rPr>
            </w:pPr>
            <w:r>
              <w:rPr>
                <w:rFonts w:ascii="Arial" w:eastAsia="Calibri" w:hAnsi="Arial" w:cs="Arial"/>
                <w:b/>
                <w:bCs/>
                <w:sz w:val="14"/>
                <w:szCs w:val="14"/>
              </w:rPr>
              <w:t>2.572</w:t>
            </w:r>
          </w:p>
        </w:tc>
        <w:tc>
          <w:tcPr>
            <w:tcW w:w="285" w:type="pct"/>
            <w:tcBorders>
              <w:top w:val="single" w:sz="6" w:space="0" w:color="auto"/>
              <w:left w:val="nil"/>
              <w:bottom w:val="single" w:sz="12" w:space="0" w:color="auto"/>
              <w:right w:val="nil"/>
            </w:tcBorders>
            <w:shd w:val="clear" w:color="auto" w:fill="auto"/>
            <w:vAlign w:val="bottom"/>
          </w:tcPr>
          <w:p w14:paraId="055EEF58" w14:textId="77777777" w:rsidR="000E1F3A" w:rsidRPr="003D1614" w:rsidRDefault="000E1F3A" w:rsidP="00422DD5">
            <w:pPr>
              <w:suppressAutoHyphens/>
              <w:autoSpaceDN w:val="0"/>
              <w:jc w:val="right"/>
              <w:rPr>
                <w:rFonts w:ascii="Arial" w:eastAsia="Calibri" w:hAnsi="Arial" w:cs="Arial"/>
                <w:b/>
                <w:bCs/>
                <w:color w:val="000000" w:themeColor="text1"/>
                <w:sz w:val="14"/>
                <w:szCs w:val="14"/>
              </w:rPr>
            </w:pPr>
            <w:r>
              <w:rPr>
                <w:rFonts w:ascii="Arial" w:eastAsia="Calibri" w:hAnsi="Arial" w:cs="Arial"/>
                <w:b/>
                <w:bCs/>
                <w:sz w:val="14"/>
                <w:szCs w:val="14"/>
              </w:rPr>
              <w:t>-</w:t>
            </w:r>
          </w:p>
        </w:tc>
        <w:tc>
          <w:tcPr>
            <w:tcW w:w="312" w:type="pct"/>
            <w:tcBorders>
              <w:top w:val="single" w:sz="6" w:space="0" w:color="auto"/>
              <w:left w:val="nil"/>
              <w:bottom w:val="single" w:sz="12" w:space="0" w:color="auto"/>
              <w:right w:val="nil"/>
            </w:tcBorders>
            <w:vAlign w:val="bottom"/>
          </w:tcPr>
          <w:p w14:paraId="2610A3A4" w14:textId="77777777" w:rsidR="000E1F3A" w:rsidRPr="002A06D3" w:rsidRDefault="000E1F3A" w:rsidP="00422DD5">
            <w:pPr>
              <w:suppressAutoHyphens/>
              <w:autoSpaceDN w:val="0"/>
              <w:jc w:val="right"/>
              <w:rPr>
                <w:rFonts w:ascii="Arial" w:eastAsia="Calibri" w:hAnsi="Arial" w:cs="Arial"/>
                <w:b/>
                <w:bCs/>
                <w:color w:val="000000" w:themeColor="text1"/>
                <w:sz w:val="14"/>
                <w:szCs w:val="14"/>
              </w:rPr>
            </w:pPr>
            <w:r>
              <w:rPr>
                <w:rFonts w:ascii="Arial" w:eastAsia="Calibri" w:hAnsi="Arial" w:cs="Arial"/>
                <w:b/>
                <w:bCs/>
                <w:sz w:val="14"/>
                <w:szCs w:val="14"/>
              </w:rPr>
              <w:t>5.826</w:t>
            </w:r>
          </w:p>
        </w:tc>
        <w:tc>
          <w:tcPr>
            <w:tcW w:w="312" w:type="pct"/>
            <w:tcBorders>
              <w:top w:val="single" w:sz="6" w:space="0" w:color="auto"/>
              <w:left w:val="nil"/>
              <w:bottom w:val="single" w:sz="12" w:space="0" w:color="auto"/>
              <w:right w:val="nil"/>
            </w:tcBorders>
            <w:shd w:val="clear" w:color="auto" w:fill="auto"/>
            <w:vAlign w:val="bottom"/>
          </w:tcPr>
          <w:p w14:paraId="6762910B" w14:textId="77777777" w:rsidR="000E1F3A" w:rsidRPr="003D1614" w:rsidRDefault="000E1F3A" w:rsidP="00422DD5">
            <w:pPr>
              <w:suppressAutoHyphens/>
              <w:autoSpaceDN w:val="0"/>
              <w:jc w:val="right"/>
              <w:rPr>
                <w:rFonts w:ascii="Arial" w:eastAsia="Calibri" w:hAnsi="Arial" w:cs="Arial"/>
                <w:b/>
                <w:bCs/>
                <w:color w:val="000000" w:themeColor="text1"/>
                <w:sz w:val="14"/>
                <w:szCs w:val="14"/>
              </w:rPr>
            </w:pPr>
            <w:r>
              <w:rPr>
                <w:rFonts w:ascii="Arial" w:eastAsia="Calibri" w:hAnsi="Arial" w:cs="Arial"/>
                <w:b/>
                <w:bCs/>
                <w:sz w:val="14"/>
                <w:szCs w:val="14"/>
              </w:rPr>
              <w:t>-</w:t>
            </w:r>
          </w:p>
        </w:tc>
        <w:tc>
          <w:tcPr>
            <w:tcW w:w="331" w:type="pct"/>
            <w:tcBorders>
              <w:top w:val="single" w:sz="6" w:space="0" w:color="auto"/>
              <w:left w:val="nil"/>
              <w:bottom w:val="single" w:sz="12" w:space="0" w:color="auto"/>
              <w:right w:val="nil"/>
            </w:tcBorders>
            <w:shd w:val="clear" w:color="auto" w:fill="auto"/>
            <w:vAlign w:val="bottom"/>
          </w:tcPr>
          <w:p w14:paraId="4B6331F8" w14:textId="77777777" w:rsidR="000E1F3A" w:rsidRPr="003D1614" w:rsidRDefault="000E1F3A" w:rsidP="00422DD5">
            <w:pPr>
              <w:suppressAutoHyphens/>
              <w:autoSpaceDN w:val="0"/>
              <w:jc w:val="right"/>
              <w:rPr>
                <w:rFonts w:ascii="Arial" w:eastAsia="Calibri" w:hAnsi="Arial" w:cs="Arial"/>
                <w:b/>
                <w:bCs/>
                <w:color w:val="000000" w:themeColor="text1"/>
                <w:sz w:val="14"/>
                <w:szCs w:val="14"/>
              </w:rPr>
            </w:pPr>
            <w:r>
              <w:rPr>
                <w:rFonts w:ascii="Arial" w:eastAsia="Calibri" w:hAnsi="Arial" w:cs="Arial"/>
                <w:b/>
                <w:bCs/>
                <w:sz w:val="14"/>
                <w:szCs w:val="14"/>
              </w:rPr>
              <w:t>587.645</w:t>
            </w:r>
          </w:p>
        </w:tc>
        <w:tc>
          <w:tcPr>
            <w:tcW w:w="329" w:type="pct"/>
            <w:tcBorders>
              <w:top w:val="single" w:sz="6" w:space="0" w:color="auto"/>
              <w:left w:val="nil"/>
              <w:bottom w:val="single" w:sz="12" w:space="0" w:color="auto"/>
              <w:right w:val="nil"/>
            </w:tcBorders>
            <w:vAlign w:val="bottom"/>
          </w:tcPr>
          <w:p w14:paraId="3780C685" w14:textId="77777777" w:rsidR="000E1F3A" w:rsidRPr="003D1614" w:rsidRDefault="000E1F3A" w:rsidP="00422DD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155.164</w:t>
            </w:r>
          </w:p>
        </w:tc>
        <w:tc>
          <w:tcPr>
            <w:tcW w:w="329" w:type="pct"/>
            <w:tcBorders>
              <w:top w:val="single" w:sz="6" w:space="0" w:color="auto"/>
              <w:left w:val="nil"/>
              <w:bottom w:val="single" w:sz="12" w:space="0" w:color="auto"/>
              <w:right w:val="nil"/>
            </w:tcBorders>
            <w:vAlign w:val="bottom"/>
          </w:tcPr>
          <w:p w14:paraId="624CA478" w14:textId="77777777" w:rsidR="000E1F3A" w:rsidRPr="003D1614" w:rsidRDefault="000E1F3A" w:rsidP="00422DD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16.855</w:t>
            </w:r>
          </w:p>
        </w:tc>
        <w:tc>
          <w:tcPr>
            <w:tcW w:w="329" w:type="pct"/>
            <w:tcBorders>
              <w:top w:val="single" w:sz="6" w:space="0" w:color="auto"/>
              <w:left w:val="nil"/>
              <w:bottom w:val="single" w:sz="12" w:space="0" w:color="auto"/>
              <w:right w:val="nil"/>
            </w:tcBorders>
            <w:vAlign w:val="bottom"/>
          </w:tcPr>
          <w:p w14:paraId="314E8CBA" w14:textId="77777777" w:rsidR="000E1F3A" w:rsidRPr="003D1614" w:rsidRDefault="000E1F3A" w:rsidP="00422DD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1.968</w:t>
            </w:r>
          </w:p>
        </w:tc>
        <w:tc>
          <w:tcPr>
            <w:tcW w:w="329" w:type="pct"/>
            <w:tcBorders>
              <w:top w:val="single" w:sz="6" w:space="0" w:color="auto"/>
              <w:left w:val="nil"/>
              <w:bottom w:val="single" w:sz="12" w:space="0" w:color="auto"/>
              <w:right w:val="nil"/>
            </w:tcBorders>
            <w:vAlign w:val="bottom"/>
          </w:tcPr>
          <w:p w14:paraId="2D797C16" w14:textId="77777777" w:rsidR="000E1F3A" w:rsidRPr="003D1614" w:rsidRDefault="000E1F3A" w:rsidP="00422DD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w:t>
            </w:r>
          </w:p>
        </w:tc>
        <w:tc>
          <w:tcPr>
            <w:tcW w:w="320" w:type="pct"/>
            <w:tcBorders>
              <w:top w:val="single" w:sz="6" w:space="0" w:color="auto"/>
              <w:left w:val="nil"/>
              <w:bottom w:val="single" w:sz="12" w:space="0" w:color="auto"/>
              <w:right w:val="nil"/>
            </w:tcBorders>
            <w:vAlign w:val="bottom"/>
          </w:tcPr>
          <w:p w14:paraId="289A1A88" w14:textId="77777777" w:rsidR="000E1F3A" w:rsidRPr="002A06D3" w:rsidRDefault="000E1F3A" w:rsidP="00422DD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63</w:t>
            </w:r>
          </w:p>
        </w:tc>
        <w:tc>
          <w:tcPr>
            <w:tcW w:w="363" w:type="pct"/>
            <w:tcBorders>
              <w:top w:val="single" w:sz="6" w:space="0" w:color="auto"/>
              <w:left w:val="nil"/>
              <w:bottom w:val="single" w:sz="12" w:space="0" w:color="auto"/>
              <w:right w:val="nil"/>
            </w:tcBorders>
            <w:vAlign w:val="bottom"/>
          </w:tcPr>
          <w:p w14:paraId="3AF89246" w14:textId="77777777" w:rsidR="000E1F3A" w:rsidRPr="003D1614" w:rsidRDefault="000E1F3A" w:rsidP="00422DD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w:t>
            </w:r>
          </w:p>
        </w:tc>
        <w:tc>
          <w:tcPr>
            <w:tcW w:w="360" w:type="pct"/>
            <w:tcBorders>
              <w:top w:val="single" w:sz="6" w:space="0" w:color="auto"/>
              <w:left w:val="nil"/>
              <w:bottom w:val="single" w:sz="12" w:space="0" w:color="auto"/>
              <w:right w:val="nil"/>
            </w:tcBorders>
            <w:vAlign w:val="bottom"/>
          </w:tcPr>
          <w:p w14:paraId="6D104A1D" w14:textId="77777777" w:rsidR="000E1F3A" w:rsidRPr="003D1614" w:rsidRDefault="000E1F3A" w:rsidP="00422DD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174.050</w:t>
            </w:r>
          </w:p>
        </w:tc>
      </w:tr>
      <w:tr w:rsidR="000E1F3A" w:rsidRPr="003D1614" w14:paraId="05FFF342" w14:textId="77777777" w:rsidTr="00422DD5">
        <w:trPr>
          <w:trHeight w:val="55"/>
          <w:jc w:val="center"/>
        </w:trPr>
        <w:tc>
          <w:tcPr>
            <w:tcW w:w="500" w:type="pct"/>
            <w:vAlign w:val="bottom"/>
          </w:tcPr>
          <w:p w14:paraId="5FFE0CE8" w14:textId="77777777" w:rsidR="000E1F3A" w:rsidRPr="003D1614" w:rsidRDefault="000E1F3A" w:rsidP="00422DD5">
            <w:pPr>
              <w:tabs>
                <w:tab w:val="right" w:pos="1202"/>
              </w:tabs>
              <w:suppressAutoHyphens/>
              <w:autoSpaceDN w:val="0"/>
              <w:outlineLvl w:val="0"/>
              <w:rPr>
                <w:rFonts w:ascii="Arial" w:eastAsia="Calibri" w:hAnsi="Arial" w:cs="Arial"/>
                <w:b/>
                <w:bCs/>
                <w:color w:val="000000" w:themeColor="text1"/>
                <w:sz w:val="14"/>
                <w:szCs w:val="14"/>
              </w:rPr>
            </w:pPr>
            <w:bookmarkStart w:id="747" w:name="_Toc67329847"/>
            <w:r w:rsidRPr="003D1614">
              <w:rPr>
                <w:rFonts w:ascii="Arial" w:eastAsia="Calibri" w:hAnsi="Arial" w:cs="Arial"/>
                <w:b/>
                <w:bCs/>
                <w:color w:val="000000" w:themeColor="text1"/>
                <w:sz w:val="14"/>
                <w:szCs w:val="14"/>
              </w:rPr>
              <w:t>Ukupna izloženost kreditnom riziku</w:t>
            </w:r>
            <w:bookmarkEnd w:id="747"/>
          </w:p>
        </w:tc>
        <w:tc>
          <w:tcPr>
            <w:tcW w:w="307" w:type="pct"/>
            <w:tcBorders>
              <w:top w:val="nil"/>
              <w:left w:val="nil"/>
              <w:bottom w:val="single" w:sz="12" w:space="0" w:color="auto"/>
              <w:right w:val="nil"/>
            </w:tcBorders>
            <w:shd w:val="clear" w:color="auto" w:fill="auto"/>
            <w:vAlign w:val="bottom"/>
          </w:tcPr>
          <w:p w14:paraId="30421B2A" w14:textId="77777777" w:rsidR="000E1F3A" w:rsidRPr="003D1614" w:rsidRDefault="000E1F3A" w:rsidP="00422DD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3.909.823</w:t>
            </w:r>
          </w:p>
        </w:tc>
        <w:tc>
          <w:tcPr>
            <w:tcW w:w="298" w:type="pct"/>
            <w:tcBorders>
              <w:top w:val="nil"/>
              <w:left w:val="nil"/>
              <w:bottom w:val="single" w:sz="12" w:space="0" w:color="auto"/>
              <w:right w:val="nil"/>
            </w:tcBorders>
            <w:shd w:val="clear" w:color="auto" w:fill="auto"/>
            <w:vAlign w:val="bottom"/>
          </w:tcPr>
          <w:p w14:paraId="7318EFE6" w14:textId="77777777" w:rsidR="000E1F3A" w:rsidRPr="003D1614" w:rsidRDefault="000E1F3A" w:rsidP="00422DD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246.156</w:t>
            </w:r>
          </w:p>
        </w:tc>
        <w:tc>
          <w:tcPr>
            <w:tcW w:w="295" w:type="pct"/>
            <w:tcBorders>
              <w:top w:val="nil"/>
              <w:left w:val="nil"/>
              <w:bottom w:val="single" w:sz="12" w:space="0" w:color="auto"/>
              <w:right w:val="nil"/>
            </w:tcBorders>
            <w:shd w:val="clear" w:color="auto" w:fill="auto"/>
            <w:vAlign w:val="bottom"/>
          </w:tcPr>
          <w:p w14:paraId="1EB83C00" w14:textId="77777777" w:rsidR="000E1F3A" w:rsidRPr="003D1614" w:rsidRDefault="000E1F3A" w:rsidP="00422DD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161.548</w:t>
            </w:r>
          </w:p>
        </w:tc>
        <w:tc>
          <w:tcPr>
            <w:tcW w:w="285" w:type="pct"/>
            <w:tcBorders>
              <w:top w:val="nil"/>
              <w:left w:val="nil"/>
              <w:bottom w:val="single" w:sz="12" w:space="0" w:color="auto"/>
              <w:right w:val="nil"/>
            </w:tcBorders>
            <w:shd w:val="clear" w:color="auto" w:fill="auto"/>
            <w:vAlign w:val="bottom"/>
          </w:tcPr>
          <w:p w14:paraId="1CE27FC7" w14:textId="77777777" w:rsidR="000E1F3A" w:rsidRPr="003D1614" w:rsidRDefault="000E1F3A" w:rsidP="00422DD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11.574</w:t>
            </w:r>
          </w:p>
        </w:tc>
        <w:tc>
          <w:tcPr>
            <w:tcW w:w="312" w:type="pct"/>
            <w:tcBorders>
              <w:top w:val="nil"/>
              <w:left w:val="nil"/>
              <w:bottom w:val="single" w:sz="12" w:space="0" w:color="auto"/>
              <w:right w:val="nil"/>
            </w:tcBorders>
            <w:vAlign w:val="bottom"/>
          </w:tcPr>
          <w:p w14:paraId="384CBC7A" w14:textId="77777777" w:rsidR="000E1F3A" w:rsidRPr="002A06D3" w:rsidRDefault="000E1F3A" w:rsidP="00422DD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181.150</w:t>
            </w:r>
          </w:p>
        </w:tc>
        <w:tc>
          <w:tcPr>
            <w:tcW w:w="312" w:type="pct"/>
            <w:tcBorders>
              <w:top w:val="nil"/>
              <w:left w:val="nil"/>
              <w:bottom w:val="single" w:sz="12" w:space="0" w:color="auto"/>
              <w:right w:val="nil"/>
            </w:tcBorders>
            <w:shd w:val="clear" w:color="auto" w:fill="auto"/>
            <w:vAlign w:val="bottom"/>
          </w:tcPr>
          <w:p w14:paraId="72E75D39" w14:textId="77777777" w:rsidR="000E1F3A" w:rsidRPr="003D1614" w:rsidRDefault="000E1F3A" w:rsidP="00422DD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33.397</w:t>
            </w:r>
          </w:p>
        </w:tc>
        <w:tc>
          <w:tcPr>
            <w:tcW w:w="331" w:type="pct"/>
            <w:tcBorders>
              <w:top w:val="nil"/>
              <w:left w:val="nil"/>
              <w:bottom w:val="single" w:sz="12" w:space="0" w:color="auto"/>
              <w:right w:val="nil"/>
            </w:tcBorders>
            <w:shd w:val="clear" w:color="auto" w:fill="auto"/>
            <w:vAlign w:val="bottom"/>
          </w:tcPr>
          <w:p w14:paraId="30F049CC" w14:textId="77777777" w:rsidR="000E1F3A" w:rsidRPr="003D1614" w:rsidRDefault="000E1F3A" w:rsidP="00422DD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4.543.648</w:t>
            </w:r>
          </w:p>
        </w:tc>
        <w:tc>
          <w:tcPr>
            <w:tcW w:w="329" w:type="pct"/>
            <w:tcBorders>
              <w:top w:val="nil"/>
              <w:left w:val="nil"/>
              <w:bottom w:val="single" w:sz="12" w:space="0" w:color="auto"/>
              <w:right w:val="nil"/>
            </w:tcBorders>
            <w:vAlign w:val="bottom"/>
          </w:tcPr>
          <w:p w14:paraId="0D4BD4C7" w14:textId="77777777" w:rsidR="000E1F3A" w:rsidRPr="003D1614" w:rsidRDefault="000E1F3A" w:rsidP="00422DD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736.631</w:t>
            </w:r>
          </w:p>
        </w:tc>
        <w:tc>
          <w:tcPr>
            <w:tcW w:w="329" w:type="pct"/>
            <w:tcBorders>
              <w:top w:val="nil"/>
              <w:left w:val="nil"/>
              <w:bottom w:val="single" w:sz="12" w:space="0" w:color="auto"/>
              <w:right w:val="nil"/>
            </w:tcBorders>
            <w:vAlign w:val="bottom"/>
          </w:tcPr>
          <w:p w14:paraId="312E9C94" w14:textId="77777777" w:rsidR="000E1F3A" w:rsidRPr="003D1614" w:rsidRDefault="000E1F3A" w:rsidP="00422DD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44.735</w:t>
            </w:r>
          </w:p>
        </w:tc>
        <w:tc>
          <w:tcPr>
            <w:tcW w:w="329" w:type="pct"/>
            <w:tcBorders>
              <w:top w:val="nil"/>
              <w:left w:val="nil"/>
              <w:bottom w:val="single" w:sz="12" w:space="0" w:color="auto"/>
              <w:right w:val="nil"/>
            </w:tcBorders>
            <w:vAlign w:val="bottom"/>
          </w:tcPr>
          <w:p w14:paraId="64399BC7" w14:textId="77777777" w:rsidR="000E1F3A" w:rsidRPr="003D1614" w:rsidRDefault="000E1F3A" w:rsidP="00422DD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10.649</w:t>
            </w:r>
          </w:p>
        </w:tc>
        <w:tc>
          <w:tcPr>
            <w:tcW w:w="329" w:type="pct"/>
            <w:tcBorders>
              <w:top w:val="nil"/>
              <w:left w:val="nil"/>
              <w:bottom w:val="single" w:sz="12" w:space="0" w:color="auto"/>
              <w:right w:val="nil"/>
            </w:tcBorders>
            <w:vAlign w:val="bottom"/>
          </w:tcPr>
          <w:p w14:paraId="1119FC1C" w14:textId="77777777" w:rsidR="000E1F3A" w:rsidRPr="003D1614" w:rsidRDefault="000E1F3A" w:rsidP="00422DD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56</w:t>
            </w:r>
          </w:p>
        </w:tc>
        <w:tc>
          <w:tcPr>
            <w:tcW w:w="320" w:type="pct"/>
            <w:tcBorders>
              <w:top w:val="nil"/>
              <w:left w:val="nil"/>
              <w:bottom w:val="single" w:sz="12" w:space="0" w:color="auto"/>
              <w:right w:val="nil"/>
            </w:tcBorders>
            <w:vAlign w:val="bottom"/>
          </w:tcPr>
          <w:p w14:paraId="2CE97758" w14:textId="77777777" w:rsidR="000E1F3A" w:rsidRPr="002A06D3" w:rsidRDefault="000E1F3A" w:rsidP="00422DD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9.860</w:t>
            </w:r>
          </w:p>
        </w:tc>
        <w:tc>
          <w:tcPr>
            <w:tcW w:w="363" w:type="pct"/>
            <w:tcBorders>
              <w:top w:val="nil"/>
              <w:left w:val="nil"/>
              <w:bottom w:val="single" w:sz="12" w:space="0" w:color="auto"/>
              <w:right w:val="nil"/>
            </w:tcBorders>
            <w:vAlign w:val="bottom"/>
          </w:tcPr>
          <w:p w14:paraId="13943527" w14:textId="77777777" w:rsidR="000E1F3A" w:rsidRPr="003D1614" w:rsidRDefault="000E1F3A" w:rsidP="00422DD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30</w:t>
            </w:r>
          </w:p>
        </w:tc>
        <w:tc>
          <w:tcPr>
            <w:tcW w:w="360" w:type="pct"/>
            <w:tcBorders>
              <w:top w:val="nil"/>
              <w:left w:val="nil"/>
              <w:bottom w:val="single" w:sz="12" w:space="0" w:color="auto"/>
              <w:right w:val="nil"/>
            </w:tcBorders>
            <w:vAlign w:val="bottom"/>
          </w:tcPr>
          <w:p w14:paraId="37C7C5E7" w14:textId="77777777" w:rsidR="000E1F3A" w:rsidRPr="003D1614" w:rsidRDefault="000E1F3A" w:rsidP="00422DD5">
            <w:pPr>
              <w:suppressAutoHyphens/>
              <w:autoSpaceDN w:val="0"/>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801.961</w:t>
            </w:r>
          </w:p>
        </w:tc>
      </w:tr>
      <w:bookmarkEnd w:id="732"/>
    </w:tbl>
    <w:p w14:paraId="04FE65E8" w14:textId="77777777" w:rsidR="003278AB" w:rsidRPr="003D1614" w:rsidRDefault="003278AB" w:rsidP="003278AB">
      <w:pPr>
        <w:rPr>
          <w:rFonts w:ascii="Arial" w:eastAsia="Calibri" w:hAnsi="Arial" w:cs="Arial"/>
          <w:bCs/>
          <w:color w:val="000000" w:themeColor="text1"/>
          <w:sz w:val="20"/>
          <w:szCs w:val="20"/>
        </w:rPr>
      </w:pPr>
    </w:p>
    <w:p w14:paraId="2CFEC3D5" w14:textId="09CAA5D2" w:rsidR="003278AB" w:rsidRPr="003D1614" w:rsidRDefault="003278AB" w:rsidP="003278AB">
      <w:pPr>
        <w:rPr>
          <w:rFonts w:ascii="Arial" w:eastAsia="Calibri" w:hAnsi="Arial" w:cs="Arial"/>
          <w:sz w:val="20"/>
          <w:szCs w:val="20"/>
        </w:rPr>
        <w:sectPr w:rsidR="003278AB" w:rsidRPr="003D1614" w:rsidSect="003278AB">
          <w:pgSz w:w="16838" w:h="11906" w:orient="landscape"/>
          <w:pgMar w:top="1417" w:right="1417" w:bottom="1417" w:left="1417" w:header="708" w:footer="708" w:gutter="0"/>
          <w:cols w:space="708"/>
          <w:docGrid w:linePitch="360"/>
        </w:sectPr>
      </w:pPr>
    </w:p>
    <w:p w14:paraId="538E4393" w14:textId="6A7644C5"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lastRenderedPageBreak/>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w:t>
      </w:r>
      <w:r w:rsidRPr="003D1614">
        <w:rPr>
          <w:rFonts w:ascii="Arial" w:eastAsia="Times New Roman" w:hAnsi="Arial" w:cs="Arial"/>
          <w:b/>
          <w:bCs/>
          <w:color w:val="000000" w:themeColor="text1"/>
          <w:sz w:val="18"/>
          <w:szCs w:val="18"/>
        </w:rPr>
        <w:tab/>
        <w:t>Upravljanje rizicima (nastavak)</w:t>
      </w:r>
    </w:p>
    <w:p w14:paraId="13C337F2" w14:textId="67DB00BE"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 xml:space="preserve">.3. </w:t>
      </w:r>
      <w:r w:rsidRPr="003D1614">
        <w:rPr>
          <w:rFonts w:ascii="Arial" w:eastAsia="Times New Roman" w:hAnsi="Arial" w:cs="Arial"/>
          <w:b/>
          <w:bCs/>
          <w:color w:val="000000" w:themeColor="text1"/>
          <w:sz w:val="18"/>
          <w:szCs w:val="18"/>
        </w:rPr>
        <w:tab/>
        <w:t>Kreditni rizik (nastavak)</w:t>
      </w:r>
    </w:p>
    <w:p w14:paraId="4345F4B6" w14:textId="77777777"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Kvaliteta kreditnog rizika prema vrsti financijske imovine </w:t>
      </w:r>
    </w:p>
    <w:p w14:paraId="6DC9D3FD" w14:textId="77777777" w:rsidR="003278AB" w:rsidRPr="003D1614" w:rsidRDefault="003278AB" w:rsidP="003278AB">
      <w:pPr>
        <w:suppressAutoHyphens/>
        <w:autoSpaceDN w:val="0"/>
        <w:jc w:val="both"/>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Analiza kreditnog rizika, neto izloženost, prije i nakon uzimanja u obzir primljenih instrumenata osiguranja, prema vrsti financijske imovine na pozicijama imovine i garancija i preuzetih obveza prema rizičnim skupinama:</w:t>
      </w:r>
    </w:p>
    <w:tbl>
      <w:tblPr>
        <w:tblW w:w="5542" w:type="pct"/>
        <w:jc w:val="center"/>
        <w:tblLayout w:type="fixed"/>
        <w:tblLook w:val="0000" w:firstRow="0" w:lastRow="0" w:firstColumn="0" w:lastColumn="0" w:noHBand="0" w:noVBand="0"/>
      </w:tblPr>
      <w:tblGrid>
        <w:gridCol w:w="1668"/>
        <w:gridCol w:w="932"/>
        <w:gridCol w:w="926"/>
        <w:gridCol w:w="917"/>
        <w:gridCol w:w="892"/>
        <w:gridCol w:w="903"/>
        <w:gridCol w:w="987"/>
        <w:gridCol w:w="1034"/>
        <w:gridCol w:w="1018"/>
        <w:gridCol w:w="1021"/>
        <w:gridCol w:w="1021"/>
        <w:gridCol w:w="1021"/>
        <w:gridCol w:w="1024"/>
        <w:gridCol w:w="1152"/>
        <w:gridCol w:w="1006"/>
      </w:tblGrid>
      <w:tr w:rsidR="004D48F3" w:rsidRPr="00F12E3D" w14:paraId="205B682D" w14:textId="77777777" w:rsidTr="003C557A">
        <w:trPr>
          <w:trHeight w:val="1607"/>
          <w:jc w:val="center"/>
        </w:trPr>
        <w:tc>
          <w:tcPr>
            <w:tcW w:w="537" w:type="pct"/>
          </w:tcPr>
          <w:p w14:paraId="613693D3" w14:textId="77777777" w:rsidR="004D48F3" w:rsidRPr="00F12E3D" w:rsidRDefault="004D48F3" w:rsidP="00CA7F04">
            <w:pPr>
              <w:rPr>
                <w:rFonts w:ascii="Arial" w:eastAsia="Calibri" w:hAnsi="Arial" w:cs="Arial"/>
                <w:b/>
                <w:bCs/>
                <w:color w:val="000000" w:themeColor="text1"/>
                <w:sz w:val="14"/>
                <w:szCs w:val="14"/>
              </w:rPr>
            </w:pPr>
            <w:r w:rsidRPr="00F12E3D">
              <w:rPr>
                <w:rFonts w:ascii="Arial" w:eastAsia="Calibri" w:hAnsi="Arial" w:cs="Arial"/>
                <w:b/>
                <w:bCs/>
                <w:color w:val="000000" w:themeColor="text1"/>
                <w:sz w:val="14"/>
                <w:szCs w:val="14"/>
              </w:rPr>
              <w:br w:type="page"/>
              <w:t>Grupa</w:t>
            </w:r>
          </w:p>
          <w:p w14:paraId="05D1F24D" w14:textId="77777777" w:rsidR="004D48F3" w:rsidRPr="00F12E3D" w:rsidRDefault="004D48F3" w:rsidP="00CA7F04">
            <w:pPr>
              <w:rPr>
                <w:rFonts w:ascii="Arial" w:eastAsia="Calibri" w:hAnsi="Arial" w:cs="Arial"/>
                <w:b/>
                <w:bCs/>
                <w:color w:val="000000" w:themeColor="text1"/>
                <w:sz w:val="14"/>
                <w:szCs w:val="14"/>
              </w:rPr>
            </w:pPr>
          </w:p>
          <w:p w14:paraId="624935FC" w14:textId="77777777" w:rsidR="004D48F3" w:rsidRPr="00F12E3D" w:rsidRDefault="004D48F3" w:rsidP="00CA7F04">
            <w:pPr>
              <w:rPr>
                <w:rFonts w:ascii="Arial" w:eastAsia="Calibri" w:hAnsi="Arial" w:cs="Arial"/>
                <w:color w:val="000000" w:themeColor="text1"/>
                <w:sz w:val="14"/>
                <w:szCs w:val="14"/>
              </w:rPr>
            </w:pPr>
            <w:r w:rsidRPr="00F12E3D">
              <w:rPr>
                <w:rFonts w:ascii="Arial" w:eastAsia="Calibri" w:hAnsi="Arial" w:cs="Arial"/>
                <w:b/>
                <w:bCs/>
                <w:color w:val="000000" w:themeColor="text1"/>
                <w:sz w:val="14"/>
                <w:szCs w:val="14"/>
              </w:rPr>
              <w:t xml:space="preserve">31. prosinca 2023. </w:t>
            </w:r>
          </w:p>
        </w:tc>
        <w:tc>
          <w:tcPr>
            <w:tcW w:w="300" w:type="pct"/>
            <w:vAlign w:val="bottom"/>
          </w:tcPr>
          <w:p w14:paraId="2DA8DF5D" w14:textId="258D14F1" w:rsidR="004D48F3" w:rsidRPr="004D48F3" w:rsidRDefault="004D48F3" w:rsidP="00CA7F04">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 xml:space="preserve">Neto  izloženost portfelja - </w:t>
            </w:r>
            <w:r>
              <w:rPr>
                <w:rFonts w:ascii="Arial" w:eastAsia="Calibri" w:hAnsi="Arial" w:cs="Arial"/>
                <w:b/>
                <w:color w:val="000000" w:themeColor="text1"/>
                <w:sz w:val="14"/>
                <w:szCs w:val="14"/>
              </w:rPr>
              <w:t>S</w:t>
            </w:r>
            <w:r w:rsidRPr="004D48F3">
              <w:rPr>
                <w:rFonts w:ascii="Arial" w:eastAsia="Calibri" w:hAnsi="Arial" w:cs="Arial"/>
                <w:b/>
                <w:color w:val="000000" w:themeColor="text1"/>
                <w:sz w:val="14"/>
                <w:szCs w:val="14"/>
              </w:rPr>
              <w:t>tupanj 1</w:t>
            </w:r>
          </w:p>
        </w:tc>
        <w:tc>
          <w:tcPr>
            <w:tcW w:w="298" w:type="pct"/>
            <w:vAlign w:val="bottom"/>
          </w:tcPr>
          <w:p w14:paraId="428DABF5" w14:textId="4B7DB206" w:rsidR="004D48F3" w:rsidRPr="004D48F3" w:rsidRDefault="004D48F3" w:rsidP="00CA7F04">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 xml:space="preserve">Neto izloženost portfelja - </w:t>
            </w:r>
            <w:r>
              <w:rPr>
                <w:rFonts w:ascii="Arial" w:eastAsia="Calibri" w:hAnsi="Arial" w:cs="Arial"/>
                <w:b/>
                <w:color w:val="000000" w:themeColor="text1"/>
                <w:sz w:val="14"/>
                <w:szCs w:val="14"/>
              </w:rPr>
              <w:t>S</w:t>
            </w:r>
            <w:r w:rsidRPr="004D48F3">
              <w:rPr>
                <w:rFonts w:ascii="Arial" w:eastAsia="Calibri" w:hAnsi="Arial" w:cs="Arial"/>
                <w:b/>
                <w:color w:val="000000" w:themeColor="text1"/>
                <w:sz w:val="14"/>
                <w:szCs w:val="14"/>
              </w:rPr>
              <w:t>tupanj 2</w:t>
            </w:r>
          </w:p>
        </w:tc>
        <w:tc>
          <w:tcPr>
            <w:tcW w:w="295" w:type="pct"/>
            <w:vAlign w:val="bottom"/>
          </w:tcPr>
          <w:p w14:paraId="500AA02F" w14:textId="59D5116B" w:rsidR="004D48F3" w:rsidRPr="004D48F3" w:rsidRDefault="004D48F3" w:rsidP="00CA7F04">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 xml:space="preserve">Neto izloženost portfelja - </w:t>
            </w:r>
            <w:r>
              <w:rPr>
                <w:rFonts w:ascii="Arial" w:eastAsia="Calibri" w:hAnsi="Arial" w:cs="Arial"/>
                <w:b/>
                <w:color w:val="000000" w:themeColor="text1"/>
                <w:sz w:val="14"/>
                <w:szCs w:val="14"/>
              </w:rPr>
              <w:t>S</w:t>
            </w:r>
            <w:r w:rsidRPr="004D48F3">
              <w:rPr>
                <w:rFonts w:ascii="Arial" w:eastAsia="Calibri" w:hAnsi="Arial" w:cs="Arial"/>
                <w:b/>
                <w:color w:val="000000" w:themeColor="text1"/>
                <w:sz w:val="14"/>
                <w:szCs w:val="14"/>
              </w:rPr>
              <w:t>tupanj 3</w:t>
            </w:r>
          </w:p>
        </w:tc>
        <w:tc>
          <w:tcPr>
            <w:tcW w:w="578" w:type="pct"/>
            <w:gridSpan w:val="2"/>
            <w:vAlign w:val="bottom"/>
          </w:tcPr>
          <w:p w14:paraId="42AFFE2B" w14:textId="77777777" w:rsidR="004D48F3" w:rsidRPr="004D48F3" w:rsidRDefault="004D48F3" w:rsidP="00CA7F04">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Neto izloženost portfelja rizične skupine POCI</w:t>
            </w:r>
          </w:p>
        </w:tc>
        <w:tc>
          <w:tcPr>
            <w:tcW w:w="318" w:type="pct"/>
            <w:vAlign w:val="bottom"/>
          </w:tcPr>
          <w:p w14:paraId="74B6A251" w14:textId="77777777" w:rsidR="004D48F3" w:rsidRPr="004D48F3" w:rsidRDefault="004D48F3" w:rsidP="00CA7F04">
            <w:pPr>
              <w:jc w:val="right"/>
              <w:rPr>
                <w:rFonts w:ascii="Arial" w:eastAsia="Calibri" w:hAnsi="Arial" w:cs="Arial"/>
                <w:color w:val="000000" w:themeColor="text1"/>
                <w:sz w:val="14"/>
                <w:szCs w:val="14"/>
              </w:rPr>
            </w:pPr>
            <w:r w:rsidRPr="004D48F3">
              <w:rPr>
                <w:rFonts w:ascii="Arial" w:eastAsia="Calibri" w:hAnsi="Arial" w:cs="Arial"/>
                <w:b/>
                <w:color w:val="000000" w:themeColor="text1"/>
                <w:sz w:val="14"/>
                <w:szCs w:val="14"/>
              </w:rPr>
              <w:t>Financijska imovina koja se ne raspoređuje u rizične skupine po MSFI-ju 9</w:t>
            </w:r>
          </w:p>
        </w:tc>
        <w:tc>
          <w:tcPr>
            <w:tcW w:w="333" w:type="pct"/>
            <w:vAlign w:val="bottom"/>
          </w:tcPr>
          <w:p w14:paraId="1D7DF071" w14:textId="77777777" w:rsidR="004D48F3" w:rsidRPr="004D48F3" w:rsidRDefault="004D48F3" w:rsidP="00CA7F04">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Neto izloženost ukupnog portfelja</w:t>
            </w:r>
          </w:p>
        </w:tc>
        <w:tc>
          <w:tcPr>
            <w:tcW w:w="328" w:type="pct"/>
            <w:vAlign w:val="bottom"/>
          </w:tcPr>
          <w:p w14:paraId="037DF200" w14:textId="449638F1" w:rsidR="004D48F3" w:rsidRPr="004D48F3" w:rsidRDefault="004D48F3" w:rsidP="00CA7F04">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 xml:space="preserve">Neto izloženost portfelja nakon umanjenja za instrumente osiguranja- </w:t>
            </w:r>
            <w:r>
              <w:rPr>
                <w:rFonts w:ascii="Arial" w:eastAsia="Calibri" w:hAnsi="Arial" w:cs="Arial"/>
                <w:b/>
                <w:color w:val="000000" w:themeColor="text1"/>
                <w:sz w:val="14"/>
                <w:szCs w:val="14"/>
              </w:rPr>
              <w:t>S</w:t>
            </w:r>
            <w:r w:rsidRPr="004D48F3">
              <w:rPr>
                <w:rFonts w:ascii="Arial" w:eastAsia="Calibri" w:hAnsi="Arial" w:cs="Arial"/>
                <w:b/>
                <w:color w:val="000000" w:themeColor="text1"/>
                <w:sz w:val="14"/>
                <w:szCs w:val="14"/>
              </w:rPr>
              <w:t>tupanj 1</w:t>
            </w:r>
          </w:p>
        </w:tc>
        <w:tc>
          <w:tcPr>
            <w:tcW w:w="329" w:type="pct"/>
            <w:vAlign w:val="bottom"/>
          </w:tcPr>
          <w:p w14:paraId="11B9A067" w14:textId="4ACAF623" w:rsidR="004D48F3" w:rsidRPr="004D48F3" w:rsidRDefault="004D48F3" w:rsidP="00CA7F04">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 xml:space="preserve">Neto izloženost portfelja nakon umanjenja za instrumente osiguranja- </w:t>
            </w:r>
            <w:r>
              <w:rPr>
                <w:rFonts w:ascii="Arial" w:eastAsia="Calibri" w:hAnsi="Arial" w:cs="Arial"/>
                <w:b/>
                <w:color w:val="000000" w:themeColor="text1"/>
                <w:sz w:val="14"/>
                <w:szCs w:val="14"/>
              </w:rPr>
              <w:t>S</w:t>
            </w:r>
            <w:r w:rsidRPr="004D48F3">
              <w:rPr>
                <w:rFonts w:ascii="Arial" w:eastAsia="Calibri" w:hAnsi="Arial" w:cs="Arial"/>
                <w:b/>
                <w:color w:val="000000" w:themeColor="text1"/>
                <w:sz w:val="14"/>
                <w:szCs w:val="14"/>
              </w:rPr>
              <w:t>tupanj 2</w:t>
            </w:r>
          </w:p>
        </w:tc>
        <w:tc>
          <w:tcPr>
            <w:tcW w:w="329" w:type="pct"/>
            <w:vAlign w:val="bottom"/>
          </w:tcPr>
          <w:p w14:paraId="194B3DF3" w14:textId="3B0A3996" w:rsidR="004D48F3" w:rsidRPr="004D48F3" w:rsidRDefault="004D48F3" w:rsidP="00CA7F04">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 xml:space="preserve">Neto izloženost portfelja nakon umanjenja za instrumente osiguranja- </w:t>
            </w:r>
            <w:r>
              <w:rPr>
                <w:rFonts w:ascii="Arial" w:eastAsia="Calibri" w:hAnsi="Arial" w:cs="Arial"/>
                <w:b/>
                <w:color w:val="000000" w:themeColor="text1"/>
                <w:sz w:val="14"/>
                <w:szCs w:val="14"/>
              </w:rPr>
              <w:t>S</w:t>
            </w:r>
            <w:r w:rsidRPr="004D48F3">
              <w:rPr>
                <w:rFonts w:ascii="Arial" w:eastAsia="Calibri" w:hAnsi="Arial" w:cs="Arial"/>
                <w:b/>
                <w:color w:val="000000" w:themeColor="text1"/>
                <w:sz w:val="14"/>
                <w:szCs w:val="14"/>
              </w:rPr>
              <w:t>tupanj 3</w:t>
            </w:r>
          </w:p>
        </w:tc>
        <w:tc>
          <w:tcPr>
            <w:tcW w:w="659" w:type="pct"/>
            <w:gridSpan w:val="2"/>
            <w:vAlign w:val="bottom"/>
          </w:tcPr>
          <w:p w14:paraId="76946565" w14:textId="77777777" w:rsidR="004D48F3" w:rsidRPr="004D48F3" w:rsidRDefault="004D48F3" w:rsidP="00CA7F04">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Neto izloženost portfelja nakon umanjenja za instrumente osiguranja- rizične skupine POCI</w:t>
            </w:r>
          </w:p>
        </w:tc>
        <w:tc>
          <w:tcPr>
            <w:tcW w:w="371" w:type="pct"/>
            <w:vAlign w:val="bottom"/>
          </w:tcPr>
          <w:p w14:paraId="3602D6E4" w14:textId="77777777" w:rsidR="004D48F3" w:rsidRPr="004D48F3" w:rsidRDefault="004D48F3" w:rsidP="00CA7F04">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Financijska imovina  koja se ne raspoređuje u rizične skupine po MSFI-ju 9 nakon umanjenja za instrumente osiguranja</w:t>
            </w:r>
          </w:p>
        </w:tc>
        <w:tc>
          <w:tcPr>
            <w:tcW w:w="324" w:type="pct"/>
            <w:vAlign w:val="bottom"/>
          </w:tcPr>
          <w:p w14:paraId="25FAC4C4" w14:textId="77777777" w:rsidR="004D48F3" w:rsidRPr="00F12E3D" w:rsidRDefault="004D48F3" w:rsidP="00CA7F04">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Neto izloženost ukupnog portfelja nakon umanjenja za instrumente osiguranja</w:t>
            </w:r>
          </w:p>
        </w:tc>
      </w:tr>
      <w:tr w:rsidR="004D48F3" w:rsidRPr="00F12E3D" w14:paraId="054813A6" w14:textId="77777777" w:rsidTr="003C557A">
        <w:trPr>
          <w:trHeight w:val="187"/>
          <w:jc w:val="center"/>
        </w:trPr>
        <w:tc>
          <w:tcPr>
            <w:tcW w:w="537" w:type="pct"/>
            <w:vAlign w:val="bottom"/>
          </w:tcPr>
          <w:p w14:paraId="6DB83912" w14:textId="77777777" w:rsidR="004D48F3" w:rsidRPr="00F12E3D" w:rsidRDefault="004D48F3" w:rsidP="00CA7F04">
            <w:pPr>
              <w:rPr>
                <w:rFonts w:ascii="Arial" w:eastAsia="Calibri" w:hAnsi="Arial" w:cs="Arial"/>
                <w:b/>
                <w:bCs/>
                <w:color w:val="000000" w:themeColor="text1"/>
                <w:sz w:val="14"/>
                <w:szCs w:val="14"/>
              </w:rPr>
            </w:pPr>
          </w:p>
        </w:tc>
        <w:tc>
          <w:tcPr>
            <w:tcW w:w="300" w:type="pct"/>
            <w:vAlign w:val="bottom"/>
          </w:tcPr>
          <w:p w14:paraId="4F72669E" w14:textId="77777777" w:rsidR="004D48F3" w:rsidRPr="004D48F3" w:rsidRDefault="004D48F3" w:rsidP="00CA7F04">
            <w:pPr>
              <w:jc w:val="right"/>
              <w:rPr>
                <w:rFonts w:ascii="Arial" w:eastAsia="Calibri" w:hAnsi="Arial" w:cs="Arial"/>
                <w:b/>
                <w:color w:val="000000" w:themeColor="text1"/>
                <w:sz w:val="14"/>
                <w:szCs w:val="14"/>
              </w:rPr>
            </w:pPr>
          </w:p>
        </w:tc>
        <w:tc>
          <w:tcPr>
            <w:tcW w:w="298" w:type="pct"/>
            <w:vAlign w:val="bottom"/>
          </w:tcPr>
          <w:p w14:paraId="72D797A2" w14:textId="77777777" w:rsidR="004D48F3" w:rsidRPr="004D48F3" w:rsidRDefault="004D48F3" w:rsidP="00CA7F04">
            <w:pPr>
              <w:jc w:val="right"/>
              <w:rPr>
                <w:rFonts w:ascii="Arial" w:eastAsia="Calibri" w:hAnsi="Arial" w:cs="Arial"/>
                <w:b/>
                <w:color w:val="000000" w:themeColor="text1"/>
                <w:sz w:val="14"/>
                <w:szCs w:val="14"/>
              </w:rPr>
            </w:pPr>
          </w:p>
        </w:tc>
        <w:tc>
          <w:tcPr>
            <w:tcW w:w="295" w:type="pct"/>
            <w:vAlign w:val="bottom"/>
          </w:tcPr>
          <w:p w14:paraId="53E112B1" w14:textId="77777777" w:rsidR="004D48F3" w:rsidRPr="004D48F3" w:rsidRDefault="004D48F3" w:rsidP="00CA7F04">
            <w:pPr>
              <w:jc w:val="right"/>
              <w:rPr>
                <w:rFonts w:ascii="Arial" w:eastAsia="Calibri" w:hAnsi="Arial" w:cs="Arial"/>
                <w:b/>
                <w:color w:val="000000" w:themeColor="text1"/>
                <w:sz w:val="14"/>
                <w:szCs w:val="14"/>
              </w:rPr>
            </w:pPr>
          </w:p>
        </w:tc>
        <w:tc>
          <w:tcPr>
            <w:tcW w:w="287" w:type="pct"/>
            <w:vAlign w:val="bottom"/>
          </w:tcPr>
          <w:p w14:paraId="7C96FF6B" w14:textId="77777777" w:rsidR="004D48F3" w:rsidRPr="004D48F3" w:rsidRDefault="004D48F3" w:rsidP="00CA7F04">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Stupanj 2</w:t>
            </w:r>
          </w:p>
        </w:tc>
        <w:tc>
          <w:tcPr>
            <w:tcW w:w="291" w:type="pct"/>
            <w:vAlign w:val="bottom"/>
          </w:tcPr>
          <w:p w14:paraId="47D19405" w14:textId="77777777" w:rsidR="004D48F3" w:rsidRPr="004D48F3" w:rsidRDefault="004D48F3" w:rsidP="00CA7F04">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Stupanj 3</w:t>
            </w:r>
          </w:p>
        </w:tc>
        <w:tc>
          <w:tcPr>
            <w:tcW w:w="318" w:type="pct"/>
            <w:vAlign w:val="bottom"/>
          </w:tcPr>
          <w:p w14:paraId="4E28703D" w14:textId="77777777" w:rsidR="004D48F3" w:rsidRPr="004D48F3" w:rsidRDefault="004D48F3" w:rsidP="00CA7F04">
            <w:pPr>
              <w:jc w:val="right"/>
              <w:rPr>
                <w:rFonts w:ascii="Arial" w:eastAsia="Calibri" w:hAnsi="Arial" w:cs="Arial"/>
                <w:b/>
                <w:color w:val="000000" w:themeColor="text1"/>
                <w:sz w:val="14"/>
                <w:szCs w:val="14"/>
              </w:rPr>
            </w:pPr>
          </w:p>
        </w:tc>
        <w:tc>
          <w:tcPr>
            <w:tcW w:w="333" w:type="pct"/>
            <w:vAlign w:val="bottom"/>
          </w:tcPr>
          <w:p w14:paraId="0066A7A2" w14:textId="77777777" w:rsidR="004D48F3" w:rsidRPr="004D48F3" w:rsidRDefault="004D48F3" w:rsidP="00CA7F04">
            <w:pPr>
              <w:jc w:val="right"/>
              <w:rPr>
                <w:rFonts w:ascii="Arial" w:eastAsia="Calibri" w:hAnsi="Arial" w:cs="Arial"/>
                <w:b/>
                <w:color w:val="000000" w:themeColor="text1"/>
                <w:sz w:val="14"/>
                <w:szCs w:val="14"/>
              </w:rPr>
            </w:pPr>
          </w:p>
        </w:tc>
        <w:tc>
          <w:tcPr>
            <w:tcW w:w="328" w:type="pct"/>
            <w:vAlign w:val="bottom"/>
          </w:tcPr>
          <w:p w14:paraId="7D39B2A9" w14:textId="77777777" w:rsidR="004D48F3" w:rsidRPr="004D48F3" w:rsidRDefault="004D48F3" w:rsidP="00CA7F04">
            <w:pPr>
              <w:jc w:val="right"/>
              <w:rPr>
                <w:rFonts w:ascii="Arial" w:eastAsia="Calibri" w:hAnsi="Arial" w:cs="Arial"/>
                <w:b/>
                <w:color w:val="000000" w:themeColor="text1"/>
                <w:sz w:val="14"/>
                <w:szCs w:val="14"/>
              </w:rPr>
            </w:pPr>
          </w:p>
        </w:tc>
        <w:tc>
          <w:tcPr>
            <w:tcW w:w="329" w:type="pct"/>
            <w:vAlign w:val="bottom"/>
          </w:tcPr>
          <w:p w14:paraId="2988022C" w14:textId="77777777" w:rsidR="004D48F3" w:rsidRPr="004D48F3" w:rsidRDefault="004D48F3" w:rsidP="00CA7F04">
            <w:pPr>
              <w:jc w:val="right"/>
              <w:rPr>
                <w:rFonts w:ascii="Arial" w:eastAsia="Calibri" w:hAnsi="Arial" w:cs="Arial"/>
                <w:b/>
                <w:color w:val="000000" w:themeColor="text1"/>
                <w:sz w:val="14"/>
                <w:szCs w:val="14"/>
              </w:rPr>
            </w:pPr>
          </w:p>
        </w:tc>
        <w:tc>
          <w:tcPr>
            <w:tcW w:w="329" w:type="pct"/>
            <w:vAlign w:val="bottom"/>
          </w:tcPr>
          <w:p w14:paraId="61C80EC0" w14:textId="77777777" w:rsidR="004D48F3" w:rsidRPr="004D48F3" w:rsidRDefault="004D48F3" w:rsidP="00CA7F04">
            <w:pPr>
              <w:jc w:val="right"/>
              <w:rPr>
                <w:rFonts w:ascii="Arial" w:eastAsia="Calibri" w:hAnsi="Arial" w:cs="Arial"/>
                <w:b/>
                <w:color w:val="000000" w:themeColor="text1"/>
                <w:sz w:val="14"/>
                <w:szCs w:val="14"/>
              </w:rPr>
            </w:pPr>
          </w:p>
        </w:tc>
        <w:tc>
          <w:tcPr>
            <w:tcW w:w="329" w:type="pct"/>
            <w:vAlign w:val="bottom"/>
          </w:tcPr>
          <w:p w14:paraId="52EAC180" w14:textId="77777777" w:rsidR="004D48F3" w:rsidRPr="004D48F3" w:rsidRDefault="004D48F3" w:rsidP="00CA7F04">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Stupanj 2</w:t>
            </w:r>
          </w:p>
        </w:tc>
        <w:tc>
          <w:tcPr>
            <w:tcW w:w="330" w:type="pct"/>
            <w:vAlign w:val="bottom"/>
          </w:tcPr>
          <w:p w14:paraId="130E3EF8" w14:textId="77777777" w:rsidR="004D48F3" w:rsidRPr="004D48F3" w:rsidRDefault="004D48F3" w:rsidP="00CA7F04">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Stupanj 3</w:t>
            </w:r>
          </w:p>
        </w:tc>
        <w:tc>
          <w:tcPr>
            <w:tcW w:w="371" w:type="pct"/>
            <w:vAlign w:val="bottom"/>
          </w:tcPr>
          <w:p w14:paraId="2492600D" w14:textId="77777777" w:rsidR="004D48F3" w:rsidRPr="004D48F3" w:rsidRDefault="004D48F3" w:rsidP="00CA7F04">
            <w:pPr>
              <w:jc w:val="right"/>
              <w:rPr>
                <w:rFonts w:ascii="Arial" w:eastAsia="Calibri" w:hAnsi="Arial" w:cs="Arial"/>
                <w:b/>
                <w:color w:val="000000" w:themeColor="text1"/>
                <w:sz w:val="14"/>
                <w:szCs w:val="14"/>
              </w:rPr>
            </w:pPr>
          </w:p>
        </w:tc>
        <w:tc>
          <w:tcPr>
            <w:tcW w:w="324" w:type="pct"/>
            <w:vAlign w:val="bottom"/>
          </w:tcPr>
          <w:p w14:paraId="1E7B8FCB" w14:textId="77777777" w:rsidR="004D48F3" w:rsidRPr="00F12E3D" w:rsidRDefault="004D48F3" w:rsidP="00CA7F04">
            <w:pPr>
              <w:jc w:val="right"/>
              <w:rPr>
                <w:rFonts w:ascii="Arial" w:eastAsia="Calibri" w:hAnsi="Arial" w:cs="Arial"/>
                <w:b/>
                <w:color w:val="000000" w:themeColor="text1"/>
                <w:sz w:val="14"/>
                <w:szCs w:val="14"/>
              </w:rPr>
            </w:pPr>
          </w:p>
        </w:tc>
      </w:tr>
      <w:tr w:rsidR="004D48F3" w:rsidRPr="00F12E3D" w14:paraId="4F78AA3A" w14:textId="77777777" w:rsidTr="003C557A">
        <w:trPr>
          <w:trHeight w:val="160"/>
          <w:jc w:val="center"/>
        </w:trPr>
        <w:tc>
          <w:tcPr>
            <w:tcW w:w="537" w:type="pct"/>
          </w:tcPr>
          <w:p w14:paraId="392683EC" w14:textId="77777777" w:rsidR="004D48F3" w:rsidRPr="00F12E3D" w:rsidRDefault="004D48F3" w:rsidP="00CA7F04">
            <w:pPr>
              <w:rPr>
                <w:rFonts w:ascii="Arial" w:eastAsia="Calibri" w:hAnsi="Arial" w:cs="Arial"/>
                <w:b/>
                <w:bCs/>
                <w:color w:val="000000" w:themeColor="text1"/>
                <w:sz w:val="14"/>
                <w:szCs w:val="14"/>
              </w:rPr>
            </w:pPr>
          </w:p>
        </w:tc>
        <w:tc>
          <w:tcPr>
            <w:tcW w:w="300" w:type="pct"/>
          </w:tcPr>
          <w:p w14:paraId="159FCC8E" w14:textId="77777777" w:rsidR="004D48F3" w:rsidRPr="004D48F3" w:rsidRDefault="004D48F3" w:rsidP="00CA7F04">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000 eura</w:t>
            </w:r>
          </w:p>
        </w:tc>
        <w:tc>
          <w:tcPr>
            <w:tcW w:w="298" w:type="pct"/>
          </w:tcPr>
          <w:p w14:paraId="2E771291" w14:textId="77777777" w:rsidR="004D48F3" w:rsidRPr="004D48F3" w:rsidRDefault="004D48F3" w:rsidP="00CA7F04">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000 eura</w:t>
            </w:r>
          </w:p>
        </w:tc>
        <w:tc>
          <w:tcPr>
            <w:tcW w:w="295" w:type="pct"/>
          </w:tcPr>
          <w:p w14:paraId="29101A3F" w14:textId="77777777" w:rsidR="004D48F3" w:rsidRPr="004D48F3" w:rsidRDefault="004D48F3" w:rsidP="00CA7F04">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000 eura</w:t>
            </w:r>
          </w:p>
        </w:tc>
        <w:tc>
          <w:tcPr>
            <w:tcW w:w="287" w:type="pct"/>
          </w:tcPr>
          <w:p w14:paraId="69CBA6FF" w14:textId="77777777" w:rsidR="004D48F3" w:rsidRPr="004D48F3" w:rsidRDefault="004D48F3" w:rsidP="00CA7F04">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000 eura</w:t>
            </w:r>
          </w:p>
        </w:tc>
        <w:tc>
          <w:tcPr>
            <w:tcW w:w="291" w:type="pct"/>
          </w:tcPr>
          <w:p w14:paraId="44D262BF" w14:textId="77777777" w:rsidR="004D48F3" w:rsidRPr="004D48F3" w:rsidRDefault="004D48F3" w:rsidP="00CA7F04">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000 eura</w:t>
            </w:r>
          </w:p>
        </w:tc>
        <w:tc>
          <w:tcPr>
            <w:tcW w:w="318" w:type="pct"/>
          </w:tcPr>
          <w:p w14:paraId="5623189F" w14:textId="77777777" w:rsidR="004D48F3" w:rsidRPr="004D48F3" w:rsidRDefault="004D48F3" w:rsidP="00CA7F04">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000 eura</w:t>
            </w:r>
          </w:p>
        </w:tc>
        <w:tc>
          <w:tcPr>
            <w:tcW w:w="333" w:type="pct"/>
          </w:tcPr>
          <w:p w14:paraId="1B74606F" w14:textId="77777777" w:rsidR="004D48F3" w:rsidRPr="004D48F3" w:rsidRDefault="004D48F3" w:rsidP="00CA7F04">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000 eura</w:t>
            </w:r>
          </w:p>
        </w:tc>
        <w:tc>
          <w:tcPr>
            <w:tcW w:w="328" w:type="pct"/>
          </w:tcPr>
          <w:p w14:paraId="5AA43F8A" w14:textId="77777777" w:rsidR="004D48F3" w:rsidRPr="004D48F3" w:rsidRDefault="004D48F3" w:rsidP="00CA7F04">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000 eura</w:t>
            </w:r>
          </w:p>
        </w:tc>
        <w:tc>
          <w:tcPr>
            <w:tcW w:w="329" w:type="pct"/>
          </w:tcPr>
          <w:p w14:paraId="6A267A54" w14:textId="77777777" w:rsidR="004D48F3" w:rsidRPr="004D48F3" w:rsidRDefault="004D48F3" w:rsidP="00CA7F04">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000 eura</w:t>
            </w:r>
          </w:p>
        </w:tc>
        <w:tc>
          <w:tcPr>
            <w:tcW w:w="329" w:type="pct"/>
          </w:tcPr>
          <w:p w14:paraId="612FE99E" w14:textId="77777777" w:rsidR="004D48F3" w:rsidRPr="004D48F3" w:rsidRDefault="004D48F3" w:rsidP="00CA7F04">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000 eura</w:t>
            </w:r>
          </w:p>
        </w:tc>
        <w:tc>
          <w:tcPr>
            <w:tcW w:w="329" w:type="pct"/>
          </w:tcPr>
          <w:p w14:paraId="06222AF8" w14:textId="77777777" w:rsidR="004D48F3" w:rsidRPr="004D48F3" w:rsidRDefault="004D48F3" w:rsidP="00CA7F04">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000 eura</w:t>
            </w:r>
          </w:p>
        </w:tc>
        <w:tc>
          <w:tcPr>
            <w:tcW w:w="330" w:type="pct"/>
          </w:tcPr>
          <w:p w14:paraId="67D71407" w14:textId="77777777" w:rsidR="004D48F3" w:rsidRPr="004D48F3" w:rsidRDefault="004D48F3" w:rsidP="00CA7F04">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000 eura</w:t>
            </w:r>
          </w:p>
        </w:tc>
        <w:tc>
          <w:tcPr>
            <w:tcW w:w="371" w:type="pct"/>
          </w:tcPr>
          <w:p w14:paraId="412849A1" w14:textId="77777777" w:rsidR="004D48F3" w:rsidRPr="004D48F3" w:rsidRDefault="004D48F3" w:rsidP="00CA7F04">
            <w:pPr>
              <w:jc w:val="right"/>
              <w:rPr>
                <w:rFonts w:ascii="Arial" w:eastAsia="Calibri" w:hAnsi="Arial" w:cs="Arial"/>
                <w:b/>
                <w:color w:val="000000" w:themeColor="text1"/>
                <w:sz w:val="14"/>
                <w:szCs w:val="14"/>
              </w:rPr>
            </w:pPr>
            <w:r w:rsidRPr="004D48F3">
              <w:rPr>
                <w:rFonts w:ascii="Arial" w:eastAsia="Calibri" w:hAnsi="Arial" w:cs="Arial"/>
                <w:b/>
                <w:color w:val="000000" w:themeColor="text1"/>
                <w:sz w:val="14"/>
                <w:szCs w:val="14"/>
              </w:rPr>
              <w:t>000 eura</w:t>
            </w:r>
          </w:p>
        </w:tc>
        <w:tc>
          <w:tcPr>
            <w:tcW w:w="324" w:type="pct"/>
          </w:tcPr>
          <w:p w14:paraId="419D6D58" w14:textId="77777777" w:rsidR="004D48F3" w:rsidRPr="00F12E3D" w:rsidRDefault="004D48F3" w:rsidP="00CA7F04">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r>
      <w:tr w:rsidR="004D48F3" w:rsidRPr="00F12E3D" w14:paraId="061800A4" w14:textId="77777777" w:rsidTr="003C557A">
        <w:trPr>
          <w:trHeight w:val="117"/>
          <w:jc w:val="center"/>
        </w:trPr>
        <w:tc>
          <w:tcPr>
            <w:tcW w:w="537" w:type="pct"/>
            <w:vAlign w:val="bottom"/>
          </w:tcPr>
          <w:p w14:paraId="63274411" w14:textId="77777777" w:rsidR="004D48F3" w:rsidRPr="003A2506" w:rsidRDefault="004D48F3" w:rsidP="00CA7F04">
            <w:pPr>
              <w:tabs>
                <w:tab w:val="right" w:pos="1202"/>
              </w:tabs>
              <w:spacing w:line="200" w:lineRule="exact"/>
              <w:outlineLvl w:val="0"/>
              <w:rPr>
                <w:rFonts w:ascii="Arial" w:eastAsia="Calibri" w:hAnsi="Arial" w:cs="Arial"/>
                <w:b/>
                <w:bCs/>
                <w:color w:val="000000" w:themeColor="text1"/>
                <w:sz w:val="14"/>
                <w:szCs w:val="14"/>
              </w:rPr>
            </w:pPr>
            <w:r w:rsidRPr="003A2506">
              <w:rPr>
                <w:rFonts w:ascii="Arial" w:eastAsia="Calibri" w:hAnsi="Arial" w:cs="Arial"/>
                <w:b/>
                <w:bCs/>
                <w:color w:val="000000" w:themeColor="text1"/>
                <w:sz w:val="14"/>
                <w:szCs w:val="14"/>
              </w:rPr>
              <w:t>Imovina</w:t>
            </w:r>
          </w:p>
        </w:tc>
        <w:tc>
          <w:tcPr>
            <w:tcW w:w="300" w:type="pct"/>
            <w:vAlign w:val="bottom"/>
          </w:tcPr>
          <w:p w14:paraId="746B2793" w14:textId="77777777" w:rsidR="004D48F3" w:rsidRPr="004D48F3" w:rsidRDefault="004D48F3" w:rsidP="00CA7F04">
            <w:pPr>
              <w:jc w:val="right"/>
              <w:rPr>
                <w:rFonts w:ascii="Arial" w:eastAsia="Calibri" w:hAnsi="Arial" w:cs="Arial"/>
                <w:color w:val="000000" w:themeColor="text1"/>
                <w:sz w:val="14"/>
                <w:szCs w:val="14"/>
              </w:rPr>
            </w:pPr>
          </w:p>
        </w:tc>
        <w:tc>
          <w:tcPr>
            <w:tcW w:w="298" w:type="pct"/>
            <w:vAlign w:val="bottom"/>
          </w:tcPr>
          <w:p w14:paraId="4DDA25B7" w14:textId="77777777" w:rsidR="004D48F3" w:rsidRPr="004D48F3" w:rsidRDefault="004D48F3" w:rsidP="00CA7F04">
            <w:pPr>
              <w:jc w:val="right"/>
              <w:rPr>
                <w:rFonts w:ascii="Arial" w:eastAsia="Calibri" w:hAnsi="Arial" w:cs="Arial"/>
                <w:color w:val="000000" w:themeColor="text1"/>
                <w:sz w:val="14"/>
                <w:szCs w:val="14"/>
              </w:rPr>
            </w:pPr>
          </w:p>
        </w:tc>
        <w:tc>
          <w:tcPr>
            <w:tcW w:w="295" w:type="pct"/>
            <w:vAlign w:val="bottom"/>
          </w:tcPr>
          <w:p w14:paraId="44E5CC4D" w14:textId="77777777" w:rsidR="004D48F3" w:rsidRPr="004D48F3" w:rsidRDefault="004D48F3" w:rsidP="00CA7F04">
            <w:pPr>
              <w:jc w:val="right"/>
              <w:rPr>
                <w:rFonts w:ascii="Arial" w:eastAsia="Calibri" w:hAnsi="Arial" w:cs="Arial"/>
                <w:color w:val="000000" w:themeColor="text1"/>
                <w:sz w:val="14"/>
                <w:szCs w:val="14"/>
              </w:rPr>
            </w:pPr>
          </w:p>
        </w:tc>
        <w:tc>
          <w:tcPr>
            <w:tcW w:w="287" w:type="pct"/>
            <w:vAlign w:val="bottom"/>
          </w:tcPr>
          <w:p w14:paraId="3EDB7240" w14:textId="77777777" w:rsidR="004D48F3" w:rsidRPr="004D48F3" w:rsidRDefault="004D48F3" w:rsidP="00CA7F04">
            <w:pPr>
              <w:jc w:val="right"/>
              <w:rPr>
                <w:rFonts w:ascii="Arial" w:eastAsia="Calibri" w:hAnsi="Arial" w:cs="Arial"/>
                <w:color w:val="000000" w:themeColor="text1"/>
                <w:sz w:val="14"/>
                <w:szCs w:val="14"/>
              </w:rPr>
            </w:pPr>
          </w:p>
        </w:tc>
        <w:tc>
          <w:tcPr>
            <w:tcW w:w="291" w:type="pct"/>
            <w:vAlign w:val="bottom"/>
          </w:tcPr>
          <w:p w14:paraId="03BAD7A5" w14:textId="77777777" w:rsidR="004D48F3" w:rsidRPr="004D48F3" w:rsidRDefault="004D48F3" w:rsidP="00CA7F04">
            <w:pPr>
              <w:jc w:val="right"/>
              <w:rPr>
                <w:rFonts w:ascii="Arial" w:eastAsia="Calibri" w:hAnsi="Arial" w:cs="Arial"/>
                <w:color w:val="000000" w:themeColor="text1"/>
                <w:sz w:val="14"/>
                <w:szCs w:val="14"/>
              </w:rPr>
            </w:pPr>
          </w:p>
        </w:tc>
        <w:tc>
          <w:tcPr>
            <w:tcW w:w="318" w:type="pct"/>
            <w:vAlign w:val="bottom"/>
          </w:tcPr>
          <w:p w14:paraId="31EF98FA" w14:textId="77777777" w:rsidR="004D48F3" w:rsidRPr="004D48F3" w:rsidRDefault="004D48F3" w:rsidP="00CA7F04">
            <w:pPr>
              <w:jc w:val="right"/>
              <w:rPr>
                <w:rFonts w:ascii="Arial" w:eastAsia="Calibri" w:hAnsi="Arial" w:cs="Arial"/>
                <w:color w:val="000000" w:themeColor="text1"/>
                <w:sz w:val="14"/>
                <w:szCs w:val="14"/>
              </w:rPr>
            </w:pPr>
          </w:p>
        </w:tc>
        <w:tc>
          <w:tcPr>
            <w:tcW w:w="333" w:type="pct"/>
            <w:vAlign w:val="bottom"/>
          </w:tcPr>
          <w:p w14:paraId="4FCC85F6" w14:textId="77777777" w:rsidR="004D48F3" w:rsidRPr="004D48F3" w:rsidRDefault="004D48F3" w:rsidP="00CA7F04">
            <w:pPr>
              <w:jc w:val="right"/>
              <w:rPr>
                <w:rFonts w:ascii="Arial" w:eastAsia="Calibri" w:hAnsi="Arial" w:cs="Arial"/>
                <w:color w:val="000000" w:themeColor="text1"/>
                <w:sz w:val="14"/>
                <w:szCs w:val="14"/>
              </w:rPr>
            </w:pPr>
          </w:p>
        </w:tc>
        <w:tc>
          <w:tcPr>
            <w:tcW w:w="328" w:type="pct"/>
            <w:vAlign w:val="bottom"/>
          </w:tcPr>
          <w:p w14:paraId="743C11B8" w14:textId="77777777" w:rsidR="004D48F3" w:rsidRPr="004D48F3" w:rsidRDefault="004D48F3" w:rsidP="00CA7F04">
            <w:pPr>
              <w:jc w:val="right"/>
              <w:rPr>
                <w:rFonts w:ascii="Arial" w:eastAsia="Calibri" w:hAnsi="Arial" w:cs="Arial"/>
                <w:color w:val="000000" w:themeColor="text1"/>
                <w:sz w:val="14"/>
                <w:szCs w:val="14"/>
              </w:rPr>
            </w:pPr>
          </w:p>
        </w:tc>
        <w:tc>
          <w:tcPr>
            <w:tcW w:w="329" w:type="pct"/>
            <w:vAlign w:val="bottom"/>
          </w:tcPr>
          <w:p w14:paraId="3F80BA80" w14:textId="77777777" w:rsidR="004D48F3" w:rsidRPr="004D48F3" w:rsidRDefault="004D48F3" w:rsidP="00CA7F04">
            <w:pPr>
              <w:jc w:val="right"/>
              <w:rPr>
                <w:rFonts w:ascii="Arial" w:eastAsia="Calibri" w:hAnsi="Arial" w:cs="Arial"/>
                <w:color w:val="000000" w:themeColor="text1"/>
                <w:sz w:val="14"/>
                <w:szCs w:val="14"/>
              </w:rPr>
            </w:pPr>
          </w:p>
        </w:tc>
        <w:tc>
          <w:tcPr>
            <w:tcW w:w="329" w:type="pct"/>
            <w:vAlign w:val="bottom"/>
          </w:tcPr>
          <w:p w14:paraId="487FA7AD" w14:textId="77777777" w:rsidR="004D48F3" w:rsidRPr="004D48F3" w:rsidRDefault="004D48F3" w:rsidP="00CA7F04">
            <w:pPr>
              <w:jc w:val="right"/>
              <w:rPr>
                <w:rFonts w:ascii="Arial" w:eastAsia="Calibri" w:hAnsi="Arial" w:cs="Arial"/>
                <w:color w:val="000000" w:themeColor="text1"/>
                <w:sz w:val="14"/>
                <w:szCs w:val="14"/>
              </w:rPr>
            </w:pPr>
          </w:p>
        </w:tc>
        <w:tc>
          <w:tcPr>
            <w:tcW w:w="329" w:type="pct"/>
            <w:vAlign w:val="bottom"/>
          </w:tcPr>
          <w:p w14:paraId="64507641" w14:textId="77777777" w:rsidR="004D48F3" w:rsidRPr="004D48F3" w:rsidRDefault="004D48F3" w:rsidP="00CA7F04">
            <w:pPr>
              <w:jc w:val="right"/>
              <w:rPr>
                <w:rFonts w:ascii="Arial" w:eastAsia="Calibri" w:hAnsi="Arial" w:cs="Arial"/>
                <w:color w:val="000000" w:themeColor="text1"/>
                <w:sz w:val="14"/>
                <w:szCs w:val="14"/>
              </w:rPr>
            </w:pPr>
          </w:p>
        </w:tc>
        <w:tc>
          <w:tcPr>
            <w:tcW w:w="330" w:type="pct"/>
            <w:vAlign w:val="bottom"/>
          </w:tcPr>
          <w:p w14:paraId="7DD596B8" w14:textId="77777777" w:rsidR="004D48F3" w:rsidRPr="004D48F3" w:rsidRDefault="004D48F3" w:rsidP="00CA7F04">
            <w:pPr>
              <w:jc w:val="right"/>
              <w:rPr>
                <w:rFonts w:ascii="Arial" w:eastAsia="Calibri" w:hAnsi="Arial" w:cs="Arial"/>
                <w:color w:val="000000" w:themeColor="text1"/>
                <w:sz w:val="14"/>
                <w:szCs w:val="14"/>
              </w:rPr>
            </w:pPr>
          </w:p>
        </w:tc>
        <w:tc>
          <w:tcPr>
            <w:tcW w:w="371" w:type="pct"/>
            <w:vAlign w:val="bottom"/>
          </w:tcPr>
          <w:p w14:paraId="0603FB65" w14:textId="77777777" w:rsidR="004D48F3" w:rsidRPr="004D48F3" w:rsidRDefault="004D48F3" w:rsidP="00CA7F04">
            <w:pPr>
              <w:jc w:val="right"/>
              <w:rPr>
                <w:rFonts w:ascii="Arial" w:eastAsia="Calibri" w:hAnsi="Arial" w:cs="Arial"/>
                <w:color w:val="000000" w:themeColor="text1"/>
                <w:sz w:val="14"/>
                <w:szCs w:val="14"/>
              </w:rPr>
            </w:pPr>
          </w:p>
        </w:tc>
        <w:tc>
          <w:tcPr>
            <w:tcW w:w="324" w:type="pct"/>
            <w:vAlign w:val="bottom"/>
          </w:tcPr>
          <w:p w14:paraId="61D0108E" w14:textId="77777777" w:rsidR="004D48F3" w:rsidRPr="00F959D0" w:rsidRDefault="004D48F3" w:rsidP="00CA7F04">
            <w:pPr>
              <w:jc w:val="right"/>
              <w:rPr>
                <w:rFonts w:ascii="Arial" w:eastAsia="Calibri" w:hAnsi="Arial" w:cs="Arial"/>
                <w:color w:val="000000" w:themeColor="text1"/>
                <w:sz w:val="14"/>
                <w:szCs w:val="14"/>
              </w:rPr>
            </w:pPr>
          </w:p>
        </w:tc>
      </w:tr>
      <w:tr w:rsidR="004D48F3" w:rsidRPr="00F12E3D" w14:paraId="685F4D15" w14:textId="77777777" w:rsidTr="003C557A">
        <w:trPr>
          <w:trHeight w:val="189"/>
          <w:jc w:val="center"/>
        </w:trPr>
        <w:tc>
          <w:tcPr>
            <w:tcW w:w="537" w:type="pct"/>
            <w:vAlign w:val="bottom"/>
          </w:tcPr>
          <w:p w14:paraId="61DD3A04" w14:textId="77777777" w:rsidR="004D48F3" w:rsidRPr="00F12E3D" w:rsidRDefault="004D48F3" w:rsidP="00CA7F04">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Novčana sredstva i računi kod banaka</w:t>
            </w:r>
          </w:p>
        </w:tc>
        <w:tc>
          <w:tcPr>
            <w:tcW w:w="300" w:type="pct"/>
            <w:tcBorders>
              <w:top w:val="nil"/>
              <w:left w:val="nil"/>
              <w:bottom w:val="nil"/>
              <w:right w:val="nil"/>
            </w:tcBorders>
            <w:shd w:val="clear" w:color="auto" w:fill="auto"/>
            <w:vAlign w:val="bottom"/>
          </w:tcPr>
          <w:p w14:paraId="7F078C42" w14:textId="77777777" w:rsidR="004D48F3" w:rsidRPr="003A2506" w:rsidRDefault="004D48F3" w:rsidP="00CA7F04">
            <w:pPr>
              <w:jc w:val="right"/>
              <w:rPr>
                <w:rFonts w:ascii="Arial" w:eastAsia="Calibri" w:hAnsi="Arial" w:cs="Arial"/>
                <w:color w:val="000000" w:themeColor="text1"/>
                <w:sz w:val="14"/>
                <w:szCs w:val="14"/>
              </w:rPr>
            </w:pPr>
            <w:r w:rsidRPr="0088632B">
              <w:rPr>
                <w:rFonts w:ascii="Arial" w:eastAsia="Calibri" w:hAnsi="Arial" w:cs="Arial"/>
                <w:color w:val="000000" w:themeColor="text1"/>
                <w:sz w:val="14"/>
                <w:szCs w:val="14"/>
              </w:rPr>
              <w:t>42.133</w:t>
            </w:r>
          </w:p>
        </w:tc>
        <w:tc>
          <w:tcPr>
            <w:tcW w:w="298" w:type="pct"/>
            <w:tcBorders>
              <w:top w:val="nil"/>
              <w:left w:val="nil"/>
              <w:bottom w:val="nil"/>
              <w:right w:val="nil"/>
            </w:tcBorders>
            <w:shd w:val="clear" w:color="auto" w:fill="auto"/>
            <w:vAlign w:val="bottom"/>
          </w:tcPr>
          <w:p w14:paraId="5F9CB3E4"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5" w:type="pct"/>
            <w:tcBorders>
              <w:top w:val="nil"/>
              <w:left w:val="nil"/>
              <w:bottom w:val="nil"/>
              <w:right w:val="nil"/>
            </w:tcBorders>
            <w:shd w:val="clear" w:color="auto" w:fill="auto"/>
            <w:vAlign w:val="bottom"/>
          </w:tcPr>
          <w:p w14:paraId="19AE0BAB"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87" w:type="pct"/>
            <w:tcBorders>
              <w:top w:val="nil"/>
              <w:left w:val="nil"/>
              <w:bottom w:val="nil"/>
              <w:right w:val="nil"/>
            </w:tcBorders>
            <w:shd w:val="clear" w:color="auto" w:fill="auto"/>
            <w:vAlign w:val="bottom"/>
          </w:tcPr>
          <w:p w14:paraId="450270CB"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1" w:type="pct"/>
            <w:tcBorders>
              <w:top w:val="nil"/>
              <w:left w:val="nil"/>
              <w:bottom w:val="nil"/>
              <w:right w:val="nil"/>
            </w:tcBorders>
            <w:shd w:val="clear" w:color="auto" w:fill="auto"/>
            <w:vAlign w:val="bottom"/>
          </w:tcPr>
          <w:p w14:paraId="09ADF524"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8" w:type="pct"/>
            <w:tcBorders>
              <w:top w:val="nil"/>
              <w:left w:val="nil"/>
              <w:bottom w:val="nil"/>
              <w:right w:val="nil"/>
            </w:tcBorders>
            <w:shd w:val="clear" w:color="auto" w:fill="auto"/>
            <w:vAlign w:val="bottom"/>
          </w:tcPr>
          <w:p w14:paraId="71A20DF0"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70FDA24D" w14:textId="77777777" w:rsidR="004D48F3" w:rsidRPr="003A2506" w:rsidRDefault="004D48F3" w:rsidP="00CA7F04">
            <w:pPr>
              <w:jc w:val="right"/>
              <w:rPr>
                <w:rFonts w:ascii="Arial" w:eastAsia="Calibri" w:hAnsi="Arial" w:cs="Arial"/>
                <w:color w:val="000000" w:themeColor="text1"/>
                <w:sz w:val="14"/>
                <w:szCs w:val="14"/>
              </w:rPr>
            </w:pPr>
            <w:r w:rsidRPr="0088632B">
              <w:rPr>
                <w:rFonts w:ascii="Arial" w:eastAsia="Calibri" w:hAnsi="Arial" w:cs="Arial"/>
                <w:color w:val="000000" w:themeColor="text1"/>
                <w:sz w:val="14"/>
                <w:szCs w:val="14"/>
              </w:rPr>
              <w:t>42.133</w:t>
            </w:r>
          </w:p>
        </w:tc>
        <w:tc>
          <w:tcPr>
            <w:tcW w:w="328" w:type="pct"/>
            <w:tcBorders>
              <w:top w:val="nil"/>
              <w:left w:val="nil"/>
              <w:bottom w:val="nil"/>
              <w:right w:val="nil"/>
            </w:tcBorders>
            <w:shd w:val="clear" w:color="auto" w:fill="auto"/>
            <w:vAlign w:val="bottom"/>
          </w:tcPr>
          <w:p w14:paraId="4D485663" w14:textId="77777777" w:rsidR="004D48F3" w:rsidRPr="003A2506" w:rsidRDefault="004D48F3" w:rsidP="00CA7F04">
            <w:pPr>
              <w:jc w:val="right"/>
              <w:rPr>
                <w:rFonts w:ascii="Arial" w:eastAsia="Calibri" w:hAnsi="Arial" w:cs="Arial"/>
                <w:color w:val="000000" w:themeColor="text1"/>
                <w:sz w:val="14"/>
                <w:szCs w:val="14"/>
              </w:rPr>
            </w:pPr>
            <w:r w:rsidRPr="00D33446">
              <w:rPr>
                <w:rFonts w:ascii="Arial" w:hAnsi="Arial" w:cs="Arial"/>
                <w:sz w:val="14"/>
                <w:szCs w:val="14"/>
              </w:rPr>
              <w:t xml:space="preserve"> - </w:t>
            </w:r>
          </w:p>
        </w:tc>
        <w:tc>
          <w:tcPr>
            <w:tcW w:w="329" w:type="pct"/>
            <w:tcBorders>
              <w:top w:val="nil"/>
              <w:left w:val="nil"/>
              <w:bottom w:val="nil"/>
              <w:right w:val="nil"/>
            </w:tcBorders>
            <w:shd w:val="clear" w:color="auto" w:fill="auto"/>
            <w:vAlign w:val="bottom"/>
          </w:tcPr>
          <w:p w14:paraId="6B26FBE3" w14:textId="77777777" w:rsidR="004D48F3" w:rsidRPr="003A2506" w:rsidRDefault="004D48F3" w:rsidP="00CA7F04">
            <w:pPr>
              <w:jc w:val="right"/>
              <w:rPr>
                <w:rFonts w:ascii="Arial" w:eastAsia="Calibri" w:hAnsi="Arial" w:cs="Arial"/>
                <w:color w:val="000000" w:themeColor="text1"/>
                <w:sz w:val="14"/>
                <w:szCs w:val="14"/>
              </w:rPr>
            </w:pPr>
            <w:r w:rsidRPr="00D33446">
              <w:rPr>
                <w:rFonts w:ascii="Arial" w:hAnsi="Arial" w:cs="Arial"/>
                <w:sz w:val="14"/>
                <w:szCs w:val="14"/>
              </w:rPr>
              <w:t xml:space="preserve"> - </w:t>
            </w:r>
          </w:p>
        </w:tc>
        <w:tc>
          <w:tcPr>
            <w:tcW w:w="329" w:type="pct"/>
            <w:tcBorders>
              <w:top w:val="nil"/>
              <w:left w:val="nil"/>
              <w:bottom w:val="nil"/>
              <w:right w:val="nil"/>
            </w:tcBorders>
            <w:shd w:val="clear" w:color="auto" w:fill="auto"/>
            <w:vAlign w:val="bottom"/>
          </w:tcPr>
          <w:p w14:paraId="519A3132" w14:textId="77777777" w:rsidR="004D48F3" w:rsidRPr="003A2506" w:rsidRDefault="004D48F3" w:rsidP="00CA7F04">
            <w:pPr>
              <w:jc w:val="right"/>
              <w:rPr>
                <w:rFonts w:ascii="Arial" w:eastAsia="Calibri" w:hAnsi="Arial" w:cs="Arial"/>
                <w:color w:val="000000" w:themeColor="text1"/>
                <w:sz w:val="14"/>
                <w:szCs w:val="14"/>
              </w:rPr>
            </w:pPr>
            <w:r w:rsidRPr="00D33446">
              <w:rPr>
                <w:rFonts w:ascii="Arial" w:hAnsi="Arial" w:cs="Arial"/>
                <w:sz w:val="14"/>
                <w:szCs w:val="14"/>
              </w:rPr>
              <w:t xml:space="preserve"> - </w:t>
            </w:r>
          </w:p>
        </w:tc>
        <w:tc>
          <w:tcPr>
            <w:tcW w:w="329" w:type="pct"/>
            <w:tcBorders>
              <w:top w:val="nil"/>
              <w:left w:val="nil"/>
              <w:bottom w:val="nil"/>
              <w:right w:val="nil"/>
            </w:tcBorders>
            <w:shd w:val="clear" w:color="auto" w:fill="auto"/>
            <w:vAlign w:val="bottom"/>
          </w:tcPr>
          <w:p w14:paraId="235E1D36"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hAnsi="Arial" w:cs="Arial"/>
                <w:sz w:val="14"/>
                <w:szCs w:val="14"/>
              </w:rPr>
              <w:t xml:space="preserve"> - </w:t>
            </w:r>
          </w:p>
        </w:tc>
        <w:tc>
          <w:tcPr>
            <w:tcW w:w="330" w:type="pct"/>
            <w:tcBorders>
              <w:top w:val="nil"/>
              <w:left w:val="nil"/>
              <w:bottom w:val="nil"/>
              <w:right w:val="nil"/>
            </w:tcBorders>
            <w:vAlign w:val="bottom"/>
          </w:tcPr>
          <w:p w14:paraId="6C93767C"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w:t>
            </w:r>
          </w:p>
        </w:tc>
        <w:tc>
          <w:tcPr>
            <w:tcW w:w="371" w:type="pct"/>
            <w:tcBorders>
              <w:top w:val="nil"/>
              <w:left w:val="nil"/>
              <w:bottom w:val="nil"/>
              <w:right w:val="nil"/>
            </w:tcBorders>
            <w:shd w:val="clear" w:color="auto" w:fill="auto"/>
            <w:vAlign w:val="bottom"/>
          </w:tcPr>
          <w:p w14:paraId="70355307" w14:textId="77777777" w:rsidR="004D48F3" w:rsidRPr="003A2506" w:rsidRDefault="004D48F3" w:rsidP="00CA7F04">
            <w:pPr>
              <w:jc w:val="right"/>
              <w:rPr>
                <w:rFonts w:ascii="Arial" w:eastAsia="Calibri" w:hAnsi="Arial" w:cs="Arial"/>
                <w:color w:val="000000" w:themeColor="text1"/>
                <w:sz w:val="14"/>
                <w:szCs w:val="14"/>
              </w:rPr>
            </w:pPr>
            <w:r w:rsidRPr="00D33446">
              <w:rPr>
                <w:rFonts w:ascii="Arial" w:hAnsi="Arial" w:cs="Arial"/>
                <w:sz w:val="14"/>
                <w:szCs w:val="14"/>
              </w:rPr>
              <w:t xml:space="preserve"> - </w:t>
            </w:r>
          </w:p>
        </w:tc>
        <w:tc>
          <w:tcPr>
            <w:tcW w:w="324" w:type="pct"/>
            <w:tcBorders>
              <w:top w:val="nil"/>
              <w:left w:val="nil"/>
              <w:bottom w:val="nil"/>
              <w:right w:val="nil"/>
            </w:tcBorders>
            <w:shd w:val="clear" w:color="auto" w:fill="auto"/>
            <w:vAlign w:val="bottom"/>
          </w:tcPr>
          <w:p w14:paraId="48BF279B" w14:textId="77777777" w:rsidR="004D48F3" w:rsidRPr="003A2506" w:rsidRDefault="004D48F3" w:rsidP="00CA7F04">
            <w:pPr>
              <w:jc w:val="right"/>
              <w:rPr>
                <w:rFonts w:ascii="Arial" w:eastAsia="Calibri" w:hAnsi="Arial" w:cs="Arial"/>
                <w:color w:val="000000" w:themeColor="text1"/>
                <w:sz w:val="14"/>
                <w:szCs w:val="14"/>
              </w:rPr>
            </w:pPr>
            <w:r w:rsidRPr="00D33446">
              <w:rPr>
                <w:rFonts w:ascii="Arial" w:hAnsi="Arial" w:cs="Arial"/>
                <w:sz w:val="14"/>
                <w:szCs w:val="14"/>
              </w:rPr>
              <w:t xml:space="preserve"> - </w:t>
            </w:r>
          </w:p>
        </w:tc>
      </w:tr>
      <w:tr w:rsidR="004D48F3" w:rsidRPr="00F12E3D" w14:paraId="3B222EC3" w14:textId="77777777" w:rsidTr="003C557A">
        <w:trPr>
          <w:trHeight w:val="189"/>
          <w:jc w:val="center"/>
        </w:trPr>
        <w:tc>
          <w:tcPr>
            <w:tcW w:w="537" w:type="pct"/>
            <w:vAlign w:val="bottom"/>
          </w:tcPr>
          <w:p w14:paraId="2B1D0E6C" w14:textId="77777777" w:rsidR="004D48F3" w:rsidRPr="00F12E3D" w:rsidRDefault="004D48F3" w:rsidP="00CA7F04">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Depoziti kod drugih banaka</w:t>
            </w:r>
          </w:p>
        </w:tc>
        <w:tc>
          <w:tcPr>
            <w:tcW w:w="300" w:type="pct"/>
            <w:tcBorders>
              <w:top w:val="nil"/>
              <w:left w:val="nil"/>
              <w:bottom w:val="nil"/>
              <w:right w:val="nil"/>
            </w:tcBorders>
            <w:shd w:val="clear" w:color="auto" w:fill="auto"/>
            <w:vAlign w:val="bottom"/>
          </w:tcPr>
          <w:p w14:paraId="14BF1F60"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71.761</w:t>
            </w:r>
          </w:p>
        </w:tc>
        <w:tc>
          <w:tcPr>
            <w:tcW w:w="298" w:type="pct"/>
            <w:tcBorders>
              <w:top w:val="nil"/>
              <w:left w:val="nil"/>
              <w:bottom w:val="nil"/>
              <w:right w:val="nil"/>
            </w:tcBorders>
            <w:shd w:val="clear" w:color="auto" w:fill="auto"/>
            <w:vAlign w:val="bottom"/>
          </w:tcPr>
          <w:p w14:paraId="03236D10"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5" w:type="pct"/>
            <w:tcBorders>
              <w:top w:val="nil"/>
              <w:left w:val="nil"/>
              <w:bottom w:val="nil"/>
              <w:right w:val="nil"/>
            </w:tcBorders>
            <w:shd w:val="clear" w:color="auto" w:fill="auto"/>
            <w:vAlign w:val="bottom"/>
          </w:tcPr>
          <w:p w14:paraId="011BA15C"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87" w:type="pct"/>
            <w:tcBorders>
              <w:top w:val="nil"/>
              <w:left w:val="nil"/>
              <w:bottom w:val="nil"/>
              <w:right w:val="nil"/>
            </w:tcBorders>
            <w:shd w:val="clear" w:color="auto" w:fill="auto"/>
            <w:vAlign w:val="bottom"/>
          </w:tcPr>
          <w:p w14:paraId="1C09EFCA"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1" w:type="pct"/>
            <w:tcBorders>
              <w:top w:val="nil"/>
              <w:left w:val="nil"/>
              <w:bottom w:val="nil"/>
              <w:right w:val="nil"/>
            </w:tcBorders>
            <w:shd w:val="clear" w:color="auto" w:fill="auto"/>
            <w:vAlign w:val="bottom"/>
          </w:tcPr>
          <w:p w14:paraId="4440C6AF"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8" w:type="pct"/>
            <w:tcBorders>
              <w:top w:val="nil"/>
              <w:left w:val="nil"/>
              <w:bottom w:val="nil"/>
              <w:right w:val="nil"/>
            </w:tcBorders>
            <w:shd w:val="clear" w:color="auto" w:fill="auto"/>
            <w:vAlign w:val="bottom"/>
          </w:tcPr>
          <w:p w14:paraId="0412F804"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66C1515F"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71.761</w:t>
            </w:r>
          </w:p>
        </w:tc>
        <w:tc>
          <w:tcPr>
            <w:tcW w:w="328" w:type="pct"/>
            <w:tcBorders>
              <w:top w:val="nil"/>
              <w:left w:val="nil"/>
              <w:bottom w:val="nil"/>
              <w:right w:val="nil"/>
            </w:tcBorders>
            <w:shd w:val="clear" w:color="auto" w:fill="auto"/>
            <w:vAlign w:val="bottom"/>
          </w:tcPr>
          <w:p w14:paraId="215B91E4" w14:textId="77777777" w:rsidR="004D48F3" w:rsidRPr="003A2506" w:rsidRDefault="004D48F3" w:rsidP="00CA7F04">
            <w:pPr>
              <w:jc w:val="right"/>
              <w:rPr>
                <w:rFonts w:ascii="Arial" w:eastAsia="Calibri" w:hAnsi="Arial" w:cs="Arial"/>
                <w:color w:val="000000" w:themeColor="text1"/>
                <w:sz w:val="14"/>
                <w:szCs w:val="14"/>
              </w:rPr>
            </w:pPr>
            <w:r w:rsidRPr="00D33446">
              <w:rPr>
                <w:rFonts w:ascii="Arial" w:hAnsi="Arial" w:cs="Arial"/>
                <w:sz w:val="14"/>
                <w:szCs w:val="14"/>
              </w:rPr>
              <w:t xml:space="preserve"> - </w:t>
            </w:r>
          </w:p>
        </w:tc>
        <w:tc>
          <w:tcPr>
            <w:tcW w:w="329" w:type="pct"/>
            <w:tcBorders>
              <w:top w:val="nil"/>
              <w:left w:val="nil"/>
              <w:bottom w:val="nil"/>
              <w:right w:val="nil"/>
            </w:tcBorders>
            <w:shd w:val="clear" w:color="auto" w:fill="auto"/>
            <w:vAlign w:val="bottom"/>
          </w:tcPr>
          <w:p w14:paraId="50F88C47" w14:textId="77777777" w:rsidR="004D48F3" w:rsidRPr="003A2506" w:rsidRDefault="004D48F3" w:rsidP="00CA7F04">
            <w:pPr>
              <w:jc w:val="right"/>
              <w:rPr>
                <w:rFonts w:ascii="Arial" w:eastAsia="Calibri" w:hAnsi="Arial" w:cs="Arial"/>
                <w:color w:val="000000" w:themeColor="text1"/>
                <w:sz w:val="14"/>
                <w:szCs w:val="14"/>
              </w:rPr>
            </w:pPr>
            <w:r w:rsidRPr="00D33446">
              <w:rPr>
                <w:rFonts w:ascii="Arial" w:hAnsi="Arial" w:cs="Arial"/>
                <w:sz w:val="14"/>
                <w:szCs w:val="14"/>
              </w:rPr>
              <w:t xml:space="preserve"> - </w:t>
            </w:r>
          </w:p>
        </w:tc>
        <w:tc>
          <w:tcPr>
            <w:tcW w:w="329" w:type="pct"/>
            <w:tcBorders>
              <w:top w:val="nil"/>
              <w:left w:val="nil"/>
              <w:bottom w:val="nil"/>
              <w:right w:val="nil"/>
            </w:tcBorders>
            <w:shd w:val="clear" w:color="auto" w:fill="auto"/>
            <w:vAlign w:val="bottom"/>
          </w:tcPr>
          <w:p w14:paraId="6A2A5F53" w14:textId="77777777" w:rsidR="004D48F3" w:rsidRPr="003A2506" w:rsidRDefault="004D48F3" w:rsidP="00CA7F04">
            <w:pPr>
              <w:jc w:val="right"/>
              <w:rPr>
                <w:rFonts w:ascii="Arial" w:eastAsia="Calibri" w:hAnsi="Arial" w:cs="Arial"/>
                <w:color w:val="000000" w:themeColor="text1"/>
                <w:sz w:val="14"/>
                <w:szCs w:val="14"/>
              </w:rPr>
            </w:pPr>
            <w:r w:rsidRPr="00D33446">
              <w:rPr>
                <w:rFonts w:ascii="Arial" w:hAnsi="Arial" w:cs="Arial"/>
                <w:sz w:val="14"/>
                <w:szCs w:val="14"/>
              </w:rPr>
              <w:t xml:space="preserve"> - </w:t>
            </w:r>
          </w:p>
        </w:tc>
        <w:tc>
          <w:tcPr>
            <w:tcW w:w="329" w:type="pct"/>
            <w:tcBorders>
              <w:top w:val="nil"/>
              <w:left w:val="nil"/>
              <w:bottom w:val="nil"/>
              <w:right w:val="nil"/>
            </w:tcBorders>
            <w:shd w:val="clear" w:color="auto" w:fill="auto"/>
            <w:vAlign w:val="bottom"/>
          </w:tcPr>
          <w:p w14:paraId="7697E3B1"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hAnsi="Arial" w:cs="Arial"/>
                <w:sz w:val="14"/>
                <w:szCs w:val="14"/>
              </w:rPr>
              <w:t xml:space="preserve"> - </w:t>
            </w:r>
          </w:p>
        </w:tc>
        <w:tc>
          <w:tcPr>
            <w:tcW w:w="330" w:type="pct"/>
            <w:tcBorders>
              <w:top w:val="nil"/>
              <w:left w:val="nil"/>
              <w:bottom w:val="nil"/>
              <w:right w:val="nil"/>
            </w:tcBorders>
            <w:vAlign w:val="bottom"/>
          </w:tcPr>
          <w:p w14:paraId="3C06F6C3"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w:t>
            </w:r>
          </w:p>
        </w:tc>
        <w:tc>
          <w:tcPr>
            <w:tcW w:w="371" w:type="pct"/>
            <w:tcBorders>
              <w:top w:val="nil"/>
              <w:left w:val="nil"/>
              <w:bottom w:val="nil"/>
              <w:right w:val="nil"/>
            </w:tcBorders>
            <w:shd w:val="clear" w:color="auto" w:fill="auto"/>
            <w:vAlign w:val="bottom"/>
          </w:tcPr>
          <w:p w14:paraId="72355B3F" w14:textId="77777777" w:rsidR="004D48F3" w:rsidRPr="003A2506" w:rsidRDefault="004D48F3" w:rsidP="00CA7F04">
            <w:pPr>
              <w:jc w:val="right"/>
              <w:rPr>
                <w:rFonts w:ascii="Arial" w:eastAsia="Calibri" w:hAnsi="Arial" w:cs="Arial"/>
                <w:color w:val="000000" w:themeColor="text1"/>
                <w:sz w:val="14"/>
                <w:szCs w:val="14"/>
              </w:rPr>
            </w:pPr>
            <w:r w:rsidRPr="00D33446">
              <w:rPr>
                <w:rFonts w:ascii="Arial" w:hAnsi="Arial" w:cs="Arial"/>
                <w:sz w:val="14"/>
                <w:szCs w:val="14"/>
              </w:rPr>
              <w:t xml:space="preserve"> - </w:t>
            </w:r>
          </w:p>
        </w:tc>
        <w:tc>
          <w:tcPr>
            <w:tcW w:w="324" w:type="pct"/>
            <w:tcBorders>
              <w:top w:val="nil"/>
              <w:left w:val="nil"/>
              <w:bottom w:val="nil"/>
              <w:right w:val="nil"/>
            </w:tcBorders>
            <w:shd w:val="clear" w:color="auto" w:fill="auto"/>
            <w:vAlign w:val="bottom"/>
          </w:tcPr>
          <w:p w14:paraId="03FA79E0" w14:textId="77777777" w:rsidR="004D48F3" w:rsidRPr="003A2506" w:rsidRDefault="004D48F3" w:rsidP="00CA7F04">
            <w:pPr>
              <w:jc w:val="right"/>
              <w:rPr>
                <w:rFonts w:ascii="Arial" w:eastAsia="Calibri" w:hAnsi="Arial" w:cs="Arial"/>
                <w:color w:val="000000" w:themeColor="text1"/>
                <w:sz w:val="14"/>
                <w:szCs w:val="14"/>
              </w:rPr>
            </w:pPr>
            <w:r w:rsidRPr="00D33446">
              <w:rPr>
                <w:rFonts w:ascii="Arial" w:hAnsi="Arial" w:cs="Arial"/>
                <w:sz w:val="14"/>
                <w:szCs w:val="14"/>
              </w:rPr>
              <w:t xml:space="preserve"> - </w:t>
            </w:r>
          </w:p>
        </w:tc>
      </w:tr>
      <w:tr w:rsidR="004D48F3" w:rsidRPr="00F12E3D" w14:paraId="693F02B3" w14:textId="77777777" w:rsidTr="003C557A">
        <w:trPr>
          <w:trHeight w:val="189"/>
          <w:jc w:val="center"/>
        </w:trPr>
        <w:tc>
          <w:tcPr>
            <w:tcW w:w="537" w:type="pct"/>
            <w:vAlign w:val="bottom"/>
          </w:tcPr>
          <w:p w14:paraId="2968C502" w14:textId="77777777" w:rsidR="004D48F3" w:rsidRPr="00F12E3D" w:rsidRDefault="004D48F3" w:rsidP="00CA7F04">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Krediti financijskim institucijama</w:t>
            </w:r>
          </w:p>
        </w:tc>
        <w:tc>
          <w:tcPr>
            <w:tcW w:w="300" w:type="pct"/>
            <w:tcBorders>
              <w:top w:val="nil"/>
              <w:left w:val="nil"/>
              <w:bottom w:val="nil"/>
              <w:right w:val="nil"/>
            </w:tcBorders>
            <w:shd w:val="clear" w:color="auto" w:fill="auto"/>
            <w:vAlign w:val="bottom"/>
          </w:tcPr>
          <w:p w14:paraId="335AB339"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1.233.889 </w:t>
            </w:r>
          </w:p>
        </w:tc>
        <w:tc>
          <w:tcPr>
            <w:tcW w:w="298" w:type="pct"/>
            <w:tcBorders>
              <w:top w:val="nil"/>
              <w:left w:val="nil"/>
              <w:bottom w:val="nil"/>
              <w:right w:val="nil"/>
            </w:tcBorders>
            <w:shd w:val="clear" w:color="auto" w:fill="auto"/>
            <w:vAlign w:val="bottom"/>
          </w:tcPr>
          <w:p w14:paraId="399A4ED9"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14.713 </w:t>
            </w:r>
          </w:p>
        </w:tc>
        <w:tc>
          <w:tcPr>
            <w:tcW w:w="295" w:type="pct"/>
            <w:tcBorders>
              <w:top w:val="nil"/>
              <w:left w:val="nil"/>
              <w:bottom w:val="nil"/>
              <w:right w:val="nil"/>
            </w:tcBorders>
            <w:shd w:val="clear" w:color="auto" w:fill="auto"/>
            <w:vAlign w:val="bottom"/>
          </w:tcPr>
          <w:p w14:paraId="6FCFBD0F"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279 </w:t>
            </w:r>
          </w:p>
        </w:tc>
        <w:tc>
          <w:tcPr>
            <w:tcW w:w="287" w:type="pct"/>
            <w:tcBorders>
              <w:top w:val="nil"/>
              <w:left w:val="nil"/>
              <w:bottom w:val="nil"/>
              <w:right w:val="nil"/>
            </w:tcBorders>
            <w:shd w:val="clear" w:color="auto" w:fill="auto"/>
            <w:vAlign w:val="bottom"/>
          </w:tcPr>
          <w:p w14:paraId="0F94EDAD"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291" w:type="pct"/>
            <w:tcBorders>
              <w:top w:val="nil"/>
              <w:left w:val="nil"/>
              <w:bottom w:val="nil"/>
              <w:right w:val="nil"/>
            </w:tcBorders>
            <w:shd w:val="clear" w:color="auto" w:fill="auto"/>
            <w:vAlign w:val="bottom"/>
          </w:tcPr>
          <w:p w14:paraId="5F6EB7D3"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8" w:type="pct"/>
            <w:tcBorders>
              <w:top w:val="nil"/>
              <w:left w:val="nil"/>
              <w:bottom w:val="nil"/>
              <w:right w:val="nil"/>
            </w:tcBorders>
            <w:shd w:val="clear" w:color="auto" w:fill="auto"/>
            <w:vAlign w:val="bottom"/>
          </w:tcPr>
          <w:p w14:paraId="358EF969"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33" w:type="pct"/>
            <w:tcBorders>
              <w:top w:val="nil"/>
              <w:left w:val="nil"/>
              <w:bottom w:val="nil"/>
              <w:right w:val="nil"/>
            </w:tcBorders>
            <w:shd w:val="clear" w:color="auto" w:fill="auto"/>
            <w:vAlign w:val="bottom"/>
          </w:tcPr>
          <w:p w14:paraId="4903103A"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1.248.881 </w:t>
            </w:r>
          </w:p>
        </w:tc>
        <w:tc>
          <w:tcPr>
            <w:tcW w:w="328" w:type="pct"/>
            <w:tcBorders>
              <w:top w:val="nil"/>
              <w:left w:val="nil"/>
              <w:bottom w:val="nil"/>
              <w:right w:val="nil"/>
            </w:tcBorders>
            <w:vAlign w:val="bottom"/>
          </w:tcPr>
          <w:p w14:paraId="15926E2B"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2D992D15"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686340B7"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42B68E43"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30" w:type="pct"/>
            <w:tcBorders>
              <w:top w:val="nil"/>
              <w:left w:val="nil"/>
              <w:bottom w:val="nil"/>
              <w:right w:val="nil"/>
            </w:tcBorders>
            <w:vAlign w:val="bottom"/>
          </w:tcPr>
          <w:p w14:paraId="707C7BC0"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72A465AA"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24" w:type="pct"/>
            <w:tcBorders>
              <w:top w:val="nil"/>
              <w:left w:val="nil"/>
              <w:bottom w:val="nil"/>
              <w:right w:val="nil"/>
            </w:tcBorders>
            <w:vAlign w:val="bottom"/>
          </w:tcPr>
          <w:p w14:paraId="27DD20C6"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r>
      <w:tr w:rsidR="004D48F3" w:rsidRPr="00F12E3D" w14:paraId="236B5737" w14:textId="77777777" w:rsidTr="003C557A">
        <w:trPr>
          <w:trHeight w:val="189"/>
          <w:jc w:val="center"/>
        </w:trPr>
        <w:tc>
          <w:tcPr>
            <w:tcW w:w="537" w:type="pct"/>
            <w:vAlign w:val="bottom"/>
          </w:tcPr>
          <w:p w14:paraId="315784C4" w14:textId="77777777" w:rsidR="004D48F3" w:rsidRPr="00F12E3D" w:rsidRDefault="004D48F3" w:rsidP="00CA7F04">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Krediti ostalim korisnicima</w:t>
            </w:r>
          </w:p>
        </w:tc>
        <w:tc>
          <w:tcPr>
            <w:tcW w:w="300" w:type="pct"/>
            <w:tcBorders>
              <w:top w:val="nil"/>
              <w:left w:val="nil"/>
              <w:bottom w:val="nil"/>
              <w:right w:val="nil"/>
            </w:tcBorders>
            <w:shd w:val="clear" w:color="auto" w:fill="auto"/>
            <w:vAlign w:val="bottom"/>
          </w:tcPr>
          <w:p w14:paraId="058D10B9"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1.773.734 </w:t>
            </w:r>
          </w:p>
        </w:tc>
        <w:tc>
          <w:tcPr>
            <w:tcW w:w="298" w:type="pct"/>
            <w:tcBorders>
              <w:top w:val="nil"/>
              <w:left w:val="nil"/>
              <w:bottom w:val="nil"/>
              <w:right w:val="nil"/>
            </w:tcBorders>
            <w:shd w:val="clear" w:color="auto" w:fill="auto"/>
            <w:vAlign w:val="bottom"/>
          </w:tcPr>
          <w:p w14:paraId="0FC7418E"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260.005 </w:t>
            </w:r>
          </w:p>
        </w:tc>
        <w:tc>
          <w:tcPr>
            <w:tcW w:w="295" w:type="pct"/>
            <w:tcBorders>
              <w:top w:val="nil"/>
              <w:left w:val="nil"/>
              <w:bottom w:val="nil"/>
              <w:right w:val="nil"/>
            </w:tcBorders>
            <w:shd w:val="clear" w:color="auto" w:fill="auto"/>
            <w:vAlign w:val="bottom"/>
          </w:tcPr>
          <w:p w14:paraId="6A2AAED6"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132.676 </w:t>
            </w:r>
          </w:p>
        </w:tc>
        <w:tc>
          <w:tcPr>
            <w:tcW w:w="287" w:type="pct"/>
            <w:tcBorders>
              <w:top w:val="nil"/>
              <w:left w:val="nil"/>
              <w:bottom w:val="nil"/>
              <w:right w:val="nil"/>
            </w:tcBorders>
            <w:shd w:val="clear" w:color="auto" w:fill="auto"/>
            <w:vAlign w:val="bottom"/>
          </w:tcPr>
          <w:p w14:paraId="0282482C"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5.463</w:t>
            </w:r>
          </w:p>
        </w:tc>
        <w:tc>
          <w:tcPr>
            <w:tcW w:w="291" w:type="pct"/>
            <w:tcBorders>
              <w:top w:val="nil"/>
              <w:left w:val="nil"/>
              <w:bottom w:val="nil"/>
              <w:right w:val="nil"/>
            </w:tcBorders>
            <w:shd w:val="clear" w:color="auto" w:fill="auto"/>
            <w:vAlign w:val="bottom"/>
          </w:tcPr>
          <w:p w14:paraId="5B178032"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179.318</w:t>
            </w:r>
          </w:p>
        </w:tc>
        <w:tc>
          <w:tcPr>
            <w:tcW w:w="318" w:type="pct"/>
            <w:tcBorders>
              <w:top w:val="nil"/>
              <w:left w:val="nil"/>
              <w:bottom w:val="nil"/>
              <w:right w:val="nil"/>
            </w:tcBorders>
            <w:shd w:val="clear" w:color="auto" w:fill="auto"/>
            <w:vAlign w:val="bottom"/>
          </w:tcPr>
          <w:p w14:paraId="2F9DF18F"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33" w:type="pct"/>
            <w:tcBorders>
              <w:top w:val="nil"/>
              <w:left w:val="nil"/>
              <w:bottom w:val="nil"/>
              <w:right w:val="nil"/>
            </w:tcBorders>
            <w:shd w:val="clear" w:color="auto" w:fill="auto"/>
            <w:vAlign w:val="bottom"/>
          </w:tcPr>
          <w:p w14:paraId="5948BAF0"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2.351.196 </w:t>
            </w:r>
          </w:p>
        </w:tc>
        <w:tc>
          <w:tcPr>
            <w:tcW w:w="328" w:type="pct"/>
            <w:tcBorders>
              <w:top w:val="nil"/>
              <w:left w:val="nil"/>
              <w:bottom w:val="nil"/>
              <w:right w:val="nil"/>
            </w:tcBorders>
            <w:vAlign w:val="bottom"/>
          </w:tcPr>
          <w:p w14:paraId="563867AC"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330.589 </w:t>
            </w:r>
          </w:p>
        </w:tc>
        <w:tc>
          <w:tcPr>
            <w:tcW w:w="329" w:type="pct"/>
            <w:tcBorders>
              <w:top w:val="nil"/>
              <w:left w:val="nil"/>
              <w:bottom w:val="nil"/>
              <w:right w:val="nil"/>
            </w:tcBorders>
            <w:vAlign w:val="bottom"/>
          </w:tcPr>
          <w:p w14:paraId="4CEE0D32"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29.668 </w:t>
            </w:r>
          </w:p>
        </w:tc>
        <w:tc>
          <w:tcPr>
            <w:tcW w:w="329" w:type="pct"/>
            <w:tcBorders>
              <w:top w:val="nil"/>
              <w:left w:val="nil"/>
              <w:bottom w:val="nil"/>
              <w:right w:val="nil"/>
            </w:tcBorders>
            <w:vAlign w:val="bottom"/>
          </w:tcPr>
          <w:p w14:paraId="637D1D97"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8.431 </w:t>
            </w:r>
          </w:p>
        </w:tc>
        <w:tc>
          <w:tcPr>
            <w:tcW w:w="329" w:type="pct"/>
            <w:tcBorders>
              <w:top w:val="nil"/>
              <w:left w:val="nil"/>
              <w:bottom w:val="nil"/>
              <w:right w:val="nil"/>
            </w:tcBorders>
            <w:vAlign w:val="bottom"/>
          </w:tcPr>
          <w:p w14:paraId="51E50F4F"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66</w:t>
            </w:r>
          </w:p>
        </w:tc>
        <w:tc>
          <w:tcPr>
            <w:tcW w:w="330" w:type="pct"/>
            <w:tcBorders>
              <w:top w:val="nil"/>
              <w:left w:val="nil"/>
              <w:bottom w:val="nil"/>
              <w:right w:val="nil"/>
            </w:tcBorders>
            <w:vAlign w:val="bottom"/>
          </w:tcPr>
          <w:p w14:paraId="5B89214A"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9.546</w:t>
            </w:r>
          </w:p>
        </w:tc>
        <w:tc>
          <w:tcPr>
            <w:tcW w:w="371" w:type="pct"/>
            <w:tcBorders>
              <w:top w:val="nil"/>
              <w:left w:val="nil"/>
              <w:bottom w:val="nil"/>
              <w:right w:val="nil"/>
            </w:tcBorders>
            <w:vAlign w:val="bottom"/>
          </w:tcPr>
          <w:p w14:paraId="36CEFAAF"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24" w:type="pct"/>
            <w:tcBorders>
              <w:top w:val="nil"/>
              <w:left w:val="nil"/>
              <w:bottom w:val="nil"/>
              <w:right w:val="nil"/>
            </w:tcBorders>
            <w:vAlign w:val="bottom"/>
          </w:tcPr>
          <w:p w14:paraId="3D73ED82"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378.300 </w:t>
            </w:r>
          </w:p>
        </w:tc>
      </w:tr>
      <w:tr w:rsidR="004D48F3" w:rsidRPr="00F12E3D" w14:paraId="5DCDE5BD" w14:textId="77777777" w:rsidTr="003C557A">
        <w:trPr>
          <w:trHeight w:val="189"/>
          <w:jc w:val="center"/>
        </w:trPr>
        <w:tc>
          <w:tcPr>
            <w:tcW w:w="537" w:type="pct"/>
            <w:vAlign w:val="bottom"/>
          </w:tcPr>
          <w:p w14:paraId="67FD9B4A" w14:textId="77777777" w:rsidR="004D48F3" w:rsidRPr="00F12E3D" w:rsidRDefault="004D48F3" w:rsidP="00CA7F04">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Financijska imovina po fer vrijednosti kroz dobit ili gubitak</w:t>
            </w:r>
          </w:p>
        </w:tc>
        <w:tc>
          <w:tcPr>
            <w:tcW w:w="300" w:type="pct"/>
            <w:tcBorders>
              <w:top w:val="nil"/>
              <w:left w:val="nil"/>
              <w:bottom w:val="nil"/>
              <w:right w:val="nil"/>
            </w:tcBorders>
            <w:shd w:val="clear" w:color="auto" w:fill="auto"/>
            <w:vAlign w:val="bottom"/>
          </w:tcPr>
          <w:p w14:paraId="073B5C93"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8" w:type="pct"/>
            <w:tcBorders>
              <w:top w:val="nil"/>
              <w:left w:val="nil"/>
              <w:bottom w:val="nil"/>
              <w:right w:val="nil"/>
            </w:tcBorders>
            <w:shd w:val="clear" w:color="auto" w:fill="auto"/>
            <w:vAlign w:val="bottom"/>
          </w:tcPr>
          <w:p w14:paraId="0B5B1C18"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5" w:type="pct"/>
            <w:tcBorders>
              <w:top w:val="nil"/>
              <w:left w:val="nil"/>
              <w:bottom w:val="nil"/>
              <w:right w:val="nil"/>
            </w:tcBorders>
            <w:shd w:val="clear" w:color="auto" w:fill="auto"/>
            <w:vAlign w:val="bottom"/>
          </w:tcPr>
          <w:p w14:paraId="41516A09"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87" w:type="pct"/>
            <w:tcBorders>
              <w:top w:val="nil"/>
              <w:left w:val="nil"/>
              <w:bottom w:val="nil"/>
              <w:right w:val="nil"/>
            </w:tcBorders>
            <w:shd w:val="clear" w:color="auto" w:fill="auto"/>
            <w:vAlign w:val="bottom"/>
          </w:tcPr>
          <w:p w14:paraId="6B5DA047"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1" w:type="pct"/>
            <w:tcBorders>
              <w:top w:val="nil"/>
              <w:left w:val="nil"/>
              <w:bottom w:val="nil"/>
              <w:right w:val="nil"/>
            </w:tcBorders>
            <w:shd w:val="clear" w:color="auto" w:fill="auto"/>
            <w:vAlign w:val="bottom"/>
          </w:tcPr>
          <w:p w14:paraId="01DAA8CD"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8" w:type="pct"/>
            <w:tcBorders>
              <w:top w:val="nil"/>
              <w:left w:val="nil"/>
              <w:bottom w:val="nil"/>
              <w:right w:val="nil"/>
            </w:tcBorders>
            <w:shd w:val="clear" w:color="auto" w:fill="auto"/>
            <w:vAlign w:val="bottom"/>
          </w:tcPr>
          <w:p w14:paraId="3C8A6E41" w14:textId="77777777" w:rsidR="004D48F3" w:rsidRPr="003A2506" w:rsidRDefault="004D48F3" w:rsidP="00CA7F04">
            <w:pPr>
              <w:jc w:val="right"/>
              <w:rPr>
                <w:rFonts w:ascii="Arial" w:eastAsia="Calibri" w:hAnsi="Arial" w:cs="Arial"/>
                <w:color w:val="000000" w:themeColor="text1"/>
                <w:sz w:val="14"/>
                <w:szCs w:val="14"/>
              </w:rPr>
            </w:pPr>
            <w:r w:rsidRPr="0088632B">
              <w:rPr>
                <w:rFonts w:ascii="Arial" w:eastAsia="Calibri" w:hAnsi="Arial" w:cs="Arial"/>
                <w:color w:val="000000" w:themeColor="text1"/>
                <w:sz w:val="14"/>
                <w:szCs w:val="14"/>
              </w:rPr>
              <w:t>33.709</w:t>
            </w:r>
          </w:p>
        </w:tc>
        <w:tc>
          <w:tcPr>
            <w:tcW w:w="333" w:type="pct"/>
            <w:tcBorders>
              <w:top w:val="nil"/>
              <w:left w:val="nil"/>
              <w:bottom w:val="nil"/>
              <w:right w:val="nil"/>
            </w:tcBorders>
            <w:shd w:val="clear" w:color="auto" w:fill="auto"/>
            <w:vAlign w:val="bottom"/>
          </w:tcPr>
          <w:p w14:paraId="25B48CC8" w14:textId="77777777" w:rsidR="004D48F3" w:rsidRPr="003A2506" w:rsidRDefault="004D48F3" w:rsidP="00CA7F04">
            <w:pPr>
              <w:jc w:val="right"/>
              <w:rPr>
                <w:rFonts w:ascii="Arial" w:eastAsia="Calibri" w:hAnsi="Arial" w:cs="Arial"/>
                <w:color w:val="000000" w:themeColor="text1"/>
                <w:sz w:val="14"/>
                <w:szCs w:val="14"/>
              </w:rPr>
            </w:pPr>
            <w:r w:rsidRPr="0088632B">
              <w:rPr>
                <w:rFonts w:ascii="Arial" w:eastAsia="Calibri" w:hAnsi="Arial" w:cs="Arial"/>
                <w:color w:val="000000" w:themeColor="text1"/>
                <w:sz w:val="14"/>
                <w:szCs w:val="14"/>
              </w:rPr>
              <w:t>33.709</w:t>
            </w:r>
          </w:p>
        </w:tc>
        <w:tc>
          <w:tcPr>
            <w:tcW w:w="328" w:type="pct"/>
            <w:tcBorders>
              <w:top w:val="nil"/>
              <w:left w:val="nil"/>
              <w:bottom w:val="nil"/>
              <w:right w:val="nil"/>
            </w:tcBorders>
            <w:shd w:val="clear" w:color="auto" w:fill="auto"/>
            <w:vAlign w:val="bottom"/>
          </w:tcPr>
          <w:p w14:paraId="1A89A4FB" w14:textId="77777777" w:rsidR="004D48F3" w:rsidRPr="003A2506" w:rsidRDefault="004D48F3"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w:t>
            </w: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 </w:t>
            </w:r>
          </w:p>
        </w:tc>
        <w:tc>
          <w:tcPr>
            <w:tcW w:w="329" w:type="pct"/>
            <w:tcBorders>
              <w:top w:val="nil"/>
              <w:left w:val="nil"/>
              <w:bottom w:val="nil"/>
              <w:right w:val="nil"/>
            </w:tcBorders>
            <w:shd w:val="clear" w:color="auto" w:fill="auto"/>
            <w:vAlign w:val="bottom"/>
          </w:tcPr>
          <w:p w14:paraId="2D8B003C" w14:textId="77777777" w:rsidR="004D48F3" w:rsidRPr="003A2506" w:rsidRDefault="004D48F3"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29" w:type="pct"/>
            <w:tcBorders>
              <w:top w:val="nil"/>
              <w:left w:val="nil"/>
              <w:bottom w:val="nil"/>
              <w:right w:val="nil"/>
            </w:tcBorders>
            <w:shd w:val="clear" w:color="auto" w:fill="auto"/>
            <w:vAlign w:val="bottom"/>
          </w:tcPr>
          <w:p w14:paraId="4894C979"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 </w:t>
            </w:r>
          </w:p>
        </w:tc>
        <w:tc>
          <w:tcPr>
            <w:tcW w:w="329" w:type="pct"/>
            <w:tcBorders>
              <w:top w:val="nil"/>
              <w:left w:val="nil"/>
              <w:bottom w:val="nil"/>
              <w:right w:val="nil"/>
            </w:tcBorders>
            <w:shd w:val="clear" w:color="auto" w:fill="auto"/>
            <w:vAlign w:val="bottom"/>
          </w:tcPr>
          <w:p w14:paraId="0F021255"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nil"/>
              <w:right w:val="nil"/>
            </w:tcBorders>
            <w:vAlign w:val="bottom"/>
          </w:tcPr>
          <w:p w14:paraId="5D860584"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shd w:val="clear" w:color="auto" w:fill="auto"/>
            <w:vAlign w:val="bottom"/>
          </w:tcPr>
          <w:p w14:paraId="798E9375"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158</w:t>
            </w:r>
          </w:p>
        </w:tc>
        <w:tc>
          <w:tcPr>
            <w:tcW w:w="324" w:type="pct"/>
            <w:tcBorders>
              <w:top w:val="nil"/>
              <w:left w:val="nil"/>
              <w:bottom w:val="nil"/>
              <w:right w:val="nil"/>
            </w:tcBorders>
            <w:shd w:val="clear" w:color="auto" w:fill="auto"/>
            <w:vAlign w:val="bottom"/>
          </w:tcPr>
          <w:p w14:paraId="6DBBEF08"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158</w:t>
            </w:r>
          </w:p>
        </w:tc>
      </w:tr>
      <w:tr w:rsidR="004D48F3" w:rsidRPr="00F12E3D" w14:paraId="37586933" w14:textId="77777777" w:rsidTr="003C557A">
        <w:trPr>
          <w:trHeight w:val="189"/>
          <w:jc w:val="center"/>
        </w:trPr>
        <w:tc>
          <w:tcPr>
            <w:tcW w:w="537" w:type="pct"/>
            <w:vAlign w:val="bottom"/>
          </w:tcPr>
          <w:p w14:paraId="3EF369CA" w14:textId="77777777" w:rsidR="004D48F3" w:rsidRPr="00F12E3D" w:rsidRDefault="004D48F3" w:rsidP="00CA7F04">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Financijska imovina po fer vrijednosti kroz ostalu sveobuhvatnu dobit</w:t>
            </w:r>
          </w:p>
        </w:tc>
        <w:tc>
          <w:tcPr>
            <w:tcW w:w="300" w:type="pct"/>
            <w:tcBorders>
              <w:top w:val="nil"/>
              <w:left w:val="nil"/>
              <w:bottom w:val="nil"/>
              <w:right w:val="nil"/>
            </w:tcBorders>
            <w:shd w:val="clear" w:color="auto" w:fill="auto"/>
            <w:vAlign w:val="bottom"/>
          </w:tcPr>
          <w:p w14:paraId="1B2E33F7" w14:textId="77777777" w:rsidR="004D48F3" w:rsidRPr="003A2506" w:rsidRDefault="004D48F3" w:rsidP="00CA7F04">
            <w:pPr>
              <w:jc w:val="right"/>
              <w:rPr>
                <w:rFonts w:ascii="Arial" w:eastAsia="Calibri" w:hAnsi="Arial" w:cs="Arial"/>
                <w:color w:val="000000" w:themeColor="text1"/>
                <w:sz w:val="14"/>
                <w:szCs w:val="14"/>
              </w:rPr>
            </w:pPr>
            <w:r w:rsidRPr="0088632B">
              <w:rPr>
                <w:rFonts w:ascii="Arial" w:eastAsia="Calibri" w:hAnsi="Arial" w:cs="Arial"/>
                <w:color w:val="000000" w:themeColor="text1"/>
                <w:sz w:val="14"/>
                <w:szCs w:val="14"/>
              </w:rPr>
              <w:t>227.239</w:t>
            </w:r>
          </w:p>
        </w:tc>
        <w:tc>
          <w:tcPr>
            <w:tcW w:w="298" w:type="pct"/>
            <w:tcBorders>
              <w:top w:val="nil"/>
              <w:left w:val="nil"/>
              <w:bottom w:val="nil"/>
              <w:right w:val="nil"/>
            </w:tcBorders>
            <w:shd w:val="clear" w:color="auto" w:fill="auto"/>
            <w:vAlign w:val="bottom"/>
          </w:tcPr>
          <w:p w14:paraId="568C4C71"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5" w:type="pct"/>
            <w:tcBorders>
              <w:top w:val="nil"/>
              <w:left w:val="nil"/>
              <w:bottom w:val="nil"/>
              <w:right w:val="nil"/>
            </w:tcBorders>
            <w:shd w:val="clear" w:color="auto" w:fill="auto"/>
            <w:vAlign w:val="bottom"/>
          </w:tcPr>
          <w:p w14:paraId="5F5D705A"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195</w:t>
            </w:r>
          </w:p>
        </w:tc>
        <w:tc>
          <w:tcPr>
            <w:tcW w:w="287" w:type="pct"/>
            <w:tcBorders>
              <w:top w:val="nil"/>
              <w:left w:val="nil"/>
              <w:bottom w:val="nil"/>
              <w:right w:val="nil"/>
            </w:tcBorders>
            <w:shd w:val="clear" w:color="auto" w:fill="auto"/>
            <w:vAlign w:val="bottom"/>
          </w:tcPr>
          <w:p w14:paraId="1EAC1CB7"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1" w:type="pct"/>
            <w:tcBorders>
              <w:top w:val="nil"/>
              <w:left w:val="nil"/>
              <w:bottom w:val="nil"/>
              <w:right w:val="nil"/>
            </w:tcBorders>
            <w:shd w:val="clear" w:color="auto" w:fill="auto"/>
            <w:vAlign w:val="bottom"/>
          </w:tcPr>
          <w:p w14:paraId="4BD66129"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8" w:type="pct"/>
            <w:tcBorders>
              <w:top w:val="nil"/>
              <w:left w:val="nil"/>
              <w:bottom w:val="nil"/>
              <w:right w:val="nil"/>
            </w:tcBorders>
            <w:shd w:val="clear" w:color="auto" w:fill="auto"/>
            <w:vAlign w:val="bottom"/>
          </w:tcPr>
          <w:p w14:paraId="7A5A4313"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73CC204B" w14:textId="77777777" w:rsidR="004D48F3" w:rsidRPr="003A2506" w:rsidRDefault="004D48F3" w:rsidP="00CA7F04">
            <w:pPr>
              <w:jc w:val="right"/>
              <w:rPr>
                <w:rFonts w:ascii="Arial" w:eastAsia="Calibri" w:hAnsi="Arial" w:cs="Arial"/>
                <w:color w:val="000000" w:themeColor="text1"/>
                <w:sz w:val="14"/>
                <w:szCs w:val="14"/>
              </w:rPr>
            </w:pPr>
            <w:r w:rsidRPr="0088632B">
              <w:rPr>
                <w:rFonts w:ascii="Arial" w:eastAsia="Calibri" w:hAnsi="Arial" w:cs="Arial"/>
                <w:color w:val="000000" w:themeColor="text1"/>
                <w:sz w:val="14"/>
                <w:szCs w:val="14"/>
              </w:rPr>
              <w:t>227.434</w:t>
            </w:r>
          </w:p>
        </w:tc>
        <w:tc>
          <w:tcPr>
            <w:tcW w:w="328" w:type="pct"/>
            <w:tcBorders>
              <w:top w:val="nil"/>
              <w:left w:val="nil"/>
              <w:bottom w:val="nil"/>
              <w:right w:val="nil"/>
            </w:tcBorders>
            <w:shd w:val="clear" w:color="auto" w:fill="auto"/>
            <w:vAlign w:val="bottom"/>
          </w:tcPr>
          <w:p w14:paraId="78FFC8C4"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227.239 </w:t>
            </w:r>
          </w:p>
        </w:tc>
        <w:tc>
          <w:tcPr>
            <w:tcW w:w="329" w:type="pct"/>
            <w:tcBorders>
              <w:top w:val="nil"/>
              <w:left w:val="nil"/>
              <w:bottom w:val="nil"/>
              <w:right w:val="nil"/>
            </w:tcBorders>
            <w:shd w:val="clear" w:color="auto" w:fill="auto"/>
            <w:vAlign w:val="bottom"/>
          </w:tcPr>
          <w:p w14:paraId="07C5FA39"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29" w:type="pct"/>
            <w:tcBorders>
              <w:top w:val="nil"/>
              <w:left w:val="nil"/>
              <w:bottom w:val="nil"/>
              <w:right w:val="nil"/>
            </w:tcBorders>
            <w:shd w:val="clear" w:color="auto" w:fill="auto"/>
            <w:vAlign w:val="bottom"/>
          </w:tcPr>
          <w:p w14:paraId="511D094A"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195 </w:t>
            </w:r>
          </w:p>
        </w:tc>
        <w:tc>
          <w:tcPr>
            <w:tcW w:w="329" w:type="pct"/>
            <w:tcBorders>
              <w:top w:val="nil"/>
              <w:left w:val="nil"/>
              <w:bottom w:val="nil"/>
              <w:right w:val="nil"/>
            </w:tcBorders>
            <w:shd w:val="clear" w:color="auto" w:fill="auto"/>
            <w:vAlign w:val="bottom"/>
          </w:tcPr>
          <w:p w14:paraId="61FA38A4"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nil"/>
              <w:right w:val="nil"/>
            </w:tcBorders>
            <w:shd w:val="clear" w:color="auto" w:fill="auto"/>
            <w:vAlign w:val="bottom"/>
          </w:tcPr>
          <w:p w14:paraId="575BE6D6"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shd w:val="clear" w:color="auto" w:fill="auto"/>
            <w:vAlign w:val="bottom"/>
          </w:tcPr>
          <w:p w14:paraId="7BB371DC"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4" w:type="pct"/>
            <w:tcBorders>
              <w:top w:val="nil"/>
              <w:left w:val="nil"/>
              <w:bottom w:val="nil"/>
              <w:right w:val="nil"/>
            </w:tcBorders>
            <w:shd w:val="clear" w:color="auto" w:fill="auto"/>
            <w:vAlign w:val="bottom"/>
          </w:tcPr>
          <w:p w14:paraId="2E24081F" w14:textId="77777777" w:rsidR="004D48F3" w:rsidRPr="003A2506" w:rsidRDefault="004D48F3" w:rsidP="00CA7F04">
            <w:pPr>
              <w:jc w:val="right"/>
              <w:rPr>
                <w:rFonts w:ascii="Arial" w:eastAsia="Calibri" w:hAnsi="Arial" w:cs="Arial"/>
                <w:color w:val="000000" w:themeColor="text1"/>
                <w:sz w:val="14"/>
                <w:szCs w:val="14"/>
              </w:rPr>
            </w:pPr>
            <w:r w:rsidRPr="0088632B">
              <w:rPr>
                <w:rFonts w:ascii="Arial" w:eastAsia="Calibri" w:hAnsi="Arial" w:cs="Arial"/>
                <w:color w:val="000000" w:themeColor="text1"/>
                <w:sz w:val="14"/>
                <w:szCs w:val="14"/>
              </w:rPr>
              <w:t>227.434</w:t>
            </w:r>
          </w:p>
        </w:tc>
      </w:tr>
      <w:tr w:rsidR="004D48F3" w:rsidRPr="00F12E3D" w14:paraId="4C0218AE" w14:textId="77777777" w:rsidTr="003C557A">
        <w:trPr>
          <w:trHeight w:val="189"/>
          <w:jc w:val="center"/>
        </w:trPr>
        <w:tc>
          <w:tcPr>
            <w:tcW w:w="537" w:type="pct"/>
            <w:vAlign w:val="bottom"/>
          </w:tcPr>
          <w:p w14:paraId="55C89E7F" w14:textId="77777777" w:rsidR="004D48F3" w:rsidRPr="00F12E3D" w:rsidRDefault="004D48F3" w:rsidP="00CA7F04">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Ostala imovina</w:t>
            </w:r>
          </w:p>
        </w:tc>
        <w:tc>
          <w:tcPr>
            <w:tcW w:w="300" w:type="pct"/>
            <w:tcBorders>
              <w:top w:val="nil"/>
              <w:left w:val="nil"/>
              <w:bottom w:val="single" w:sz="8" w:space="0" w:color="auto"/>
              <w:right w:val="nil"/>
            </w:tcBorders>
            <w:shd w:val="clear" w:color="auto" w:fill="auto"/>
            <w:vAlign w:val="bottom"/>
          </w:tcPr>
          <w:p w14:paraId="0C75473B"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1.617</w:t>
            </w:r>
            <w:r w:rsidRPr="00F959D0">
              <w:rPr>
                <w:rFonts w:ascii="Arial" w:eastAsia="Calibri" w:hAnsi="Arial" w:cs="Arial"/>
                <w:color w:val="000000" w:themeColor="text1"/>
                <w:sz w:val="14"/>
                <w:szCs w:val="14"/>
              </w:rPr>
              <w:t xml:space="preserve"> </w:t>
            </w:r>
          </w:p>
        </w:tc>
        <w:tc>
          <w:tcPr>
            <w:tcW w:w="298" w:type="pct"/>
            <w:tcBorders>
              <w:top w:val="nil"/>
              <w:left w:val="nil"/>
              <w:bottom w:val="single" w:sz="8" w:space="0" w:color="auto"/>
              <w:right w:val="nil"/>
            </w:tcBorders>
            <w:shd w:val="clear" w:color="auto" w:fill="auto"/>
            <w:vAlign w:val="bottom"/>
          </w:tcPr>
          <w:p w14:paraId="0A3A54CA" w14:textId="77777777" w:rsidR="004D48F3" w:rsidRPr="003A2506" w:rsidRDefault="004D48F3"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11 </w:t>
            </w:r>
          </w:p>
        </w:tc>
        <w:tc>
          <w:tcPr>
            <w:tcW w:w="295" w:type="pct"/>
            <w:tcBorders>
              <w:top w:val="nil"/>
              <w:left w:val="nil"/>
              <w:bottom w:val="single" w:sz="8" w:space="0" w:color="auto"/>
              <w:right w:val="nil"/>
            </w:tcBorders>
            <w:shd w:val="clear" w:color="auto" w:fill="auto"/>
            <w:vAlign w:val="bottom"/>
          </w:tcPr>
          <w:p w14:paraId="7AD37F41" w14:textId="77777777" w:rsidR="004D48F3" w:rsidRPr="003A2506" w:rsidRDefault="004D48F3"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205 </w:t>
            </w:r>
          </w:p>
        </w:tc>
        <w:tc>
          <w:tcPr>
            <w:tcW w:w="287" w:type="pct"/>
            <w:tcBorders>
              <w:top w:val="nil"/>
              <w:left w:val="nil"/>
              <w:bottom w:val="single" w:sz="8" w:space="0" w:color="auto"/>
              <w:right w:val="nil"/>
            </w:tcBorders>
            <w:shd w:val="clear" w:color="auto" w:fill="auto"/>
            <w:vAlign w:val="bottom"/>
          </w:tcPr>
          <w:p w14:paraId="1EC5D175"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1" w:type="pct"/>
            <w:tcBorders>
              <w:top w:val="nil"/>
              <w:left w:val="nil"/>
              <w:bottom w:val="single" w:sz="8" w:space="0" w:color="auto"/>
              <w:right w:val="nil"/>
            </w:tcBorders>
            <w:shd w:val="clear" w:color="auto" w:fill="auto"/>
            <w:vAlign w:val="bottom"/>
          </w:tcPr>
          <w:p w14:paraId="26013E43"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7</w:t>
            </w:r>
          </w:p>
        </w:tc>
        <w:tc>
          <w:tcPr>
            <w:tcW w:w="318" w:type="pct"/>
            <w:tcBorders>
              <w:top w:val="nil"/>
              <w:left w:val="nil"/>
              <w:bottom w:val="single" w:sz="8" w:space="0" w:color="auto"/>
              <w:right w:val="nil"/>
            </w:tcBorders>
            <w:shd w:val="clear" w:color="auto" w:fill="auto"/>
            <w:vAlign w:val="bottom"/>
          </w:tcPr>
          <w:p w14:paraId="18BE5221"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single" w:sz="8" w:space="0" w:color="auto"/>
              <w:right w:val="nil"/>
            </w:tcBorders>
            <w:shd w:val="clear" w:color="auto" w:fill="auto"/>
            <w:vAlign w:val="bottom"/>
          </w:tcPr>
          <w:p w14:paraId="586181E5" w14:textId="77777777" w:rsidR="004D48F3" w:rsidRPr="003A2506" w:rsidRDefault="004D48F3" w:rsidP="00CA7F04">
            <w:pPr>
              <w:jc w:val="right"/>
              <w:rPr>
                <w:rFonts w:ascii="Arial" w:eastAsia="Calibri" w:hAnsi="Arial" w:cs="Arial"/>
                <w:color w:val="000000" w:themeColor="text1"/>
                <w:sz w:val="14"/>
                <w:szCs w:val="14"/>
              </w:rPr>
            </w:pPr>
            <w:r w:rsidRPr="0088632B">
              <w:rPr>
                <w:rFonts w:ascii="Arial" w:eastAsia="Calibri" w:hAnsi="Arial" w:cs="Arial"/>
                <w:color w:val="000000" w:themeColor="text1"/>
                <w:sz w:val="14"/>
                <w:szCs w:val="14"/>
              </w:rPr>
              <w:t>1.</w:t>
            </w:r>
            <w:r>
              <w:rPr>
                <w:rFonts w:ascii="Arial" w:eastAsia="Calibri" w:hAnsi="Arial" w:cs="Arial"/>
                <w:color w:val="000000" w:themeColor="text1"/>
                <w:sz w:val="14"/>
                <w:szCs w:val="14"/>
              </w:rPr>
              <w:t>840</w:t>
            </w:r>
          </w:p>
        </w:tc>
        <w:tc>
          <w:tcPr>
            <w:tcW w:w="328" w:type="pct"/>
            <w:tcBorders>
              <w:top w:val="nil"/>
              <w:left w:val="nil"/>
              <w:bottom w:val="single" w:sz="8" w:space="0" w:color="auto"/>
              <w:right w:val="nil"/>
            </w:tcBorders>
            <w:shd w:val="clear" w:color="auto" w:fill="auto"/>
            <w:vAlign w:val="bottom"/>
          </w:tcPr>
          <w:p w14:paraId="2FC11A17"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869</w:t>
            </w:r>
          </w:p>
        </w:tc>
        <w:tc>
          <w:tcPr>
            <w:tcW w:w="329" w:type="pct"/>
            <w:tcBorders>
              <w:top w:val="nil"/>
              <w:left w:val="nil"/>
              <w:bottom w:val="single" w:sz="8" w:space="0" w:color="auto"/>
              <w:right w:val="nil"/>
            </w:tcBorders>
            <w:shd w:val="clear" w:color="auto" w:fill="auto"/>
            <w:vAlign w:val="bottom"/>
          </w:tcPr>
          <w:p w14:paraId="1E12AD6A"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11</w:t>
            </w:r>
          </w:p>
        </w:tc>
        <w:tc>
          <w:tcPr>
            <w:tcW w:w="329" w:type="pct"/>
            <w:tcBorders>
              <w:top w:val="nil"/>
              <w:left w:val="nil"/>
              <w:bottom w:val="single" w:sz="8" w:space="0" w:color="auto"/>
              <w:right w:val="nil"/>
            </w:tcBorders>
            <w:shd w:val="clear" w:color="auto" w:fill="auto"/>
            <w:vAlign w:val="bottom"/>
          </w:tcPr>
          <w:p w14:paraId="4D9372CE"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79</w:t>
            </w:r>
          </w:p>
        </w:tc>
        <w:tc>
          <w:tcPr>
            <w:tcW w:w="329" w:type="pct"/>
            <w:tcBorders>
              <w:top w:val="nil"/>
              <w:left w:val="nil"/>
              <w:bottom w:val="single" w:sz="8" w:space="0" w:color="auto"/>
              <w:right w:val="nil"/>
            </w:tcBorders>
            <w:shd w:val="clear" w:color="auto" w:fill="auto"/>
            <w:vAlign w:val="bottom"/>
          </w:tcPr>
          <w:p w14:paraId="2CA824A0"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single" w:sz="8" w:space="0" w:color="auto"/>
              <w:right w:val="nil"/>
            </w:tcBorders>
            <w:vAlign w:val="bottom"/>
          </w:tcPr>
          <w:p w14:paraId="4991D528"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8</w:t>
            </w:r>
          </w:p>
        </w:tc>
        <w:tc>
          <w:tcPr>
            <w:tcW w:w="371" w:type="pct"/>
            <w:tcBorders>
              <w:top w:val="nil"/>
              <w:left w:val="nil"/>
              <w:bottom w:val="single" w:sz="8" w:space="0" w:color="auto"/>
              <w:right w:val="nil"/>
            </w:tcBorders>
            <w:shd w:val="clear" w:color="auto" w:fill="auto"/>
            <w:vAlign w:val="bottom"/>
          </w:tcPr>
          <w:p w14:paraId="7AAB40DC"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4" w:type="pct"/>
            <w:tcBorders>
              <w:top w:val="nil"/>
              <w:left w:val="nil"/>
              <w:bottom w:val="single" w:sz="8" w:space="0" w:color="auto"/>
              <w:right w:val="nil"/>
            </w:tcBorders>
            <w:shd w:val="clear" w:color="auto" w:fill="auto"/>
            <w:vAlign w:val="bottom"/>
          </w:tcPr>
          <w:p w14:paraId="16E43641"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967</w:t>
            </w:r>
          </w:p>
        </w:tc>
      </w:tr>
      <w:tr w:rsidR="004D48F3" w:rsidRPr="00F12E3D" w14:paraId="2A796787" w14:textId="77777777" w:rsidTr="003C557A">
        <w:trPr>
          <w:trHeight w:val="201"/>
          <w:jc w:val="center"/>
        </w:trPr>
        <w:tc>
          <w:tcPr>
            <w:tcW w:w="537" w:type="pct"/>
            <w:vAlign w:val="bottom"/>
          </w:tcPr>
          <w:p w14:paraId="0779A67A" w14:textId="77777777" w:rsidR="004D48F3" w:rsidRPr="00F12E3D" w:rsidRDefault="004D48F3" w:rsidP="00CA7F04">
            <w:pPr>
              <w:tabs>
                <w:tab w:val="right" w:pos="1202"/>
              </w:tabs>
              <w:spacing w:line="200" w:lineRule="exact"/>
              <w:outlineLvl w:val="0"/>
              <w:rPr>
                <w:rFonts w:ascii="Arial" w:eastAsia="Calibri" w:hAnsi="Arial" w:cs="Arial"/>
                <w:b/>
                <w:bCs/>
                <w:color w:val="000000" w:themeColor="text1"/>
                <w:sz w:val="14"/>
                <w:szCs w:val="14"/>
              </w:rPr>
            </w:pPr>
            <w:r w:rsidRPr="00F12E3D">
              <w:rPr>
                <w:rFonts w:ascii="Arial" w:eastAsia="Calibri" w:hAnsi="Arial" w:cs="Arial"/>
                <w:b/>
                <w:bCs/>
                <w:color w:val="000000" w:themeColor="text1"/>
                <w:sz w:val="14"/>
                <w:szCs w:val="14"/>
              </w:rPr>
              <w:t>Ukupno</w:t>
            </w:r>
          </w:p>
        </w:tc>
        <w:tc>
          <w:tcPr>
            <w:tcW w:w="300" w:type="pct"/>
            <w:tcBorders>
              <w:top w:val="nil"/>
              <w:left w:val="nil"/>
              <w:bottom w:val="single" w:sz="12" w:space="0" w:color="auto"/>
              <w:right w:val="nil"/>
            </w:tcBorders>
            <w:shd w:val="clear" w:color="auto" w:fill="auto"/>
            <w:vAlign w:val="bottom"/>
          </w:tcPr>
          <w:p w14:paraId="60F452F0" w14:textId="77777777" w:rsidR="004D48F3" w:rsidRPr="003A2506" w:rsidRDefault="004D48F3" w:rsidP="00CA7F04">
            <w:pPr>
              <w:jc w:val="right"/>
              <w:rPr>
                <w:rFonts w:ascii="Arial" w:eastAsia="Calibri" w:hAnsi="Arial" w:cs="Arial"/>
                <w:b/>
                <w:bCs/>
                <w:sz w:val="14"/>
                <w:szCs w:val="14"/>
              </w:rPr>
            </w:pPr>
            <w:r w:rsidRPr="00B726F1">
              <w:rPr>
                <w:rFonts w:ascii="Arial" w:eastAsia="Calibri" w:hAnsi="Arial" w:cs="Arial"/>
                <w:b/>
                <w:bCs/>
                <w:sz w:val="14"/>
                <w:szCs w:val="14"/>
              </w:rPr>
              <w:t>3.3</w:t>
            </w:r>
            <w:r>
              <w:rPr>
                <w:rFonts w:ascii="Arial" w:eastAsia="Calibri" w:hAnsi="Arial" w:cs="Arial"/>
                <w:b/>
                <w:bCs/>
                <w:sz w:val="14"/>
                <w:szCs w:val="14"/>
              </w:rPr>
              <w:t>50</w:t>
            </w:r>
            <w:r w:rsidRPr="00B726F1">
              <w:rPr>
                <w:rFonts w:ascii="Arial" w:eastAsia="Calibri" w:hAnsi="Arial" w:cs="Arial"/>
                <w:b/>
                <w:bCs/>
                <w:sz w:val="14"/>
                <w:szCs w:val="14"/>
              </w:rPr>
              <w:t>.</w:t>
            </w:r>
            <w:r>
              <w:rPr>
                <w:rFonts w:ascii="Arial" w:eastAsia="Calibri" w:hAnsi="Arial" w:cs="Arial"/>
                <w:b/>
                <w:bCs/>
                <w:sz w:val="14"/>
                <w:szCs w:val="14"/>
              </w:rPr>
              <w:t>373</w:t>
            </w:r>
          </w:p>
        </w:tc>
        <w:tc>
          <w:tcPr>
            <w:tcW w:w="298" w:type="pct"/>
            <w:tcBorders>
              <w:top w:val="nil"/>
              <w:left w:val="nil"/>
              <w:bottom w:val="single" w:sz="12" w:space="0" w:color="auto"/>
              <w:right w:val="nil"/>
            </w:tcBorders>
            <w:shd w:val="clear" w:color="auto" w:fill="auto"/>
            <w:vAlign w:val="bottom"/>
          </w:tcPr>
          <w:p w14:paraId="181E9902" w14:textId="77777777" w:rsidR="004D48F3" w:rsidRPr="003A2506" w:rsidRDefault="004D48F3" w:rsidP="00CA7F04">
            <w:pPr>
              <w:jc w:val="right"/>
              <w:rPr>
                <w:rFonts w:ascii="Arial" w:eastAsia="Calibri" w:hAnsi="Arial" w:cs="Arial"/>
                <w:b/>
                <w:bCs/>
                <w:sz w:val="14"/>
                <w:szCs w:val="14"/>
              </w:rPr>
            </w:pPr>
            <w:r w:rsidRPr="00B726F1">
              <w:rPr>
                <w:rFonts w:ascii="Arial" w:eastAsia="Calibri" w:hAnsi="Arial" w:cs="Arial"/>
                <w:b/>
                <w:bCs/>
                <w:sz w:val="14"/>
                <w:szCs w:val="14"/>
              </w:rPr>
              <w:t>274.729</w:t>
            </w:r>
          </w:p>
        </w:tc>
        <w:tc>
          <w:tcPr>
            <w:tcW w:w="295" w:type="pct"/>
            <w:tcBorders>
              <w:top w:val="nil"/>
              <w:left w:val="nil"/>
              <w:bottom w:val="single" w:sz="12" w:space="0" w:color="auto"/>
              <w:right w:val="nil"/>
            </w:tcBorders>
            <w:shd w:val="clear" w:color="auto" w:fill="auto"/>
            <w:vAlign w:val="bottom"/>
          </w:tcPr>
          <w:p w14:paraId="68E090B4" w14:textId="77777777" w:rsidR="004D48F3" w:rsidRPr="003A2506" w:rsidRDefault="004D48F3" w:rsidP="00CA7F04">
            <w:pPr>
              <w:jc w:val="right"/>
              <w:rPr>
                <w:rFonts w:ascii="Arial" w:eastAsia="Calibri" w:hAnsi="Arial" w:cs="Arial"/>
                <w:b/>
                <w:bCs/>
                <w:sz w:val="14"/>
                <w:szCs w:val="14"/>
              </w:rPr>
            </w:pPr>
            <w:r w:rsidRPr="00B726F1">
              <w:rPr>
                <w:rFonts w:ascii="Arial" w:eastAsia="Calibri" w:hAnsi="Arial" w:cs="Arial"/>
                <w:b/>
                <w:bCs/>
                <w:sz w:val="14"/>
                <w:szCs w:val="14"/>
              </w:rPr>
              <w:t>133.355</w:t>
            </w:r>
          </w:p>
        </w:tc>
        <w:tc>
          <w:tcPr>
            <w:tcW w:w="287" w:type="pct"/>
            <w:tcBorders>
              <w:top w:val="nil"/>
              <w:left w:val="nil"/>
              <w:bottom w:val="single" w:sz="12" w:space="0" w:color="auto"/>
              <w:right w:val="nil"/>
            </w:tcBorders>
            <w:shd w:val="clear" w:color="auto" w:fill="auto"/>
            <w:vAlign w:val="bottom"/>
          </w:tcPr>
          <w:p w14:paraId="0A1C4553" w14:textId="77777777" w:rsidR="004D48F3" w:rsidRPr="003A2506" w:rsidRDefault="004D48F3" w:rsidP="00CA7F04">
            <w:pPr>
              <w:jc w:val="right"/>
              <w:rPr>
                <w:rFonts w:ascii="Arial" w:eastAsia="Calibri" w:hAnsi="Arial" w:cs="Arial"/>
                <w:b/>
                <w:bCs/>
                <w:sz w:val="14"/>
                <w:szCs w:val="14"/>
              </w:rPr>
            </w:pPr>
            <w:r w:rsidRPr="0088632B">
              <w:rPr>
                <w:rFonts w:ascii="Arial" w:eastAsia="Calibri" w:hAnsi="Arial" w:cs="Arial"/>
                <w:b/>
                <w:bCs/>
                <w:sz w:val="14"/>
                <w:szCs w:val="14"/>
              </w:rPr>
              <w:t>5.463</w:t>
            </w:r>
          </w:p>
        </w:tc>
        <w:tc>
          <w:tcPr>
            <w:tcW w:w="291" w:type="pct"/>
            <w:tcBorders>
              <w:top w:val="nil"/>
              <w:left w:val="nil"/>
              <w:bottom w:val="single" w:sz="12" w:space="0" w:color="auto"/>
              <w:right w:val="nil"/>
            </w:tcBorders>
            <w:shd w:val="clear" w:color="auto" w:fill="auto"/>
            <w:vAlign w:val="bottom"/>
          </w:tcPr>
          <w:p w14:paraId="799C4542" w14:textId="77777777" w:rsidR="004D48F3" w:rsidRPr="003A2506" w:rsidRDefault="004D48F3" w:rsidP="00CA7F04">
            <w:pPr>
              <w:jc w:val="right"/>
              <w:rPr>
                <w:rFonts w:ascii="Arial" w:eastAsia="Calibri" w:hAnsi="Arial" w:cs="Arial"/>
                <w:b/>
                <w:bCs/>
                <w:sz w:val="14"/>
                <w:szCs w:val="14"/>
              </w:rPr>
            </w:pPr>
            <w:r>
              <w:rPr>
                <w:rFonts w:ascii="Arial" w:eastAsia="Calibri" w:hAnsi="Arial" w:cs="Arial"/>
                <w:b/>
                <w:bCs/>
                <w:sz w:val="14"/>
                <w:szCs w:val="14"/>
              </w:rPr>
              <w:t>179.325</w:t>
            </w:r>
          </w:p>
        </w:tc>
        <w:tc>
          <w:tcPr>
            <w:tcW w:w="318" w:type="pct"/>
            <w:tcBorders>
              <w:top w:val="nil"/>
              <w:left w:val="nil"/>
              <w:bottom w:val="single" w:sz="12" w:space="0" w:color="auto"/>
              <w:right w:val="nil"/>
            </w:tcBorders>
            <w:shd w:val="clear" w:color="auto" w:fill="auto"/>
            <w:vAlign w:val="bottom"/>
          </w:tcPr>
          <w:p w14:paraId="7B19F972" w14:textId="77777777" w:rsidR="004D48F3" w:rsidRPr="003A2506" w:rsidRDefault="004D48F3" w:rsidP="00CA7F04">
            <w:pPr>
              <w:jc w:val="right"/>
              <w:rPr>
                <w:rFonts w:ascii="Arial" w:eastAsia="Calibri" w:hAnsi="Arial" w:cs="Arial"/>
                <w:b/>
                <w:bCs/>
                <w:sz w:val="14"/>
                <w:szCs w:val="14"/>
              </w:rPr>
            </w:pPr>
            <w:r w:rsidRPr="0088632B">
              <w:rPr>
                <w:rFonts w:ascii="Arial" w:eastAsia="Calibri" w:hAnsi="Arial" w:cs="Arial"/>
                <w:b/>
                <w:bCs/>
                <w:sz w:val="14"/>
                <w:szCs w:val="14"/>
              </w:rPr>
              <w:t>33.709</w:t>
            </w:r>
          </w:p>
        </w:tc>
        <w:tc>
          <w:tcPr>
            <w:tcW w:w="333" w:type="pct"/>
            <w:tcBorders>
              <w:top w:val="nil"/>
              <w:left w:val="nil"/>
              <w:bottom w:val="single" w:sz="12" w:space="0" w:color="auto"/>
              <w:right w:val="nil"/>
            </w:tcBorders>
            <w:shd w:val="clear" w:color="auto" w:fill="auto"/>
            <w:vAlign w:val="bottom"/>
          </w:tcPr>
          <w:p w14:paraId="2E839003" w14:textId="77777777" w:rsidR="004D48F3" w:rsidRPr="003A2506" w:rsidRDefault="004D48F3" w:rsidP="00CA7F04">
            <w:pPr>
              <w:jc w:val="right"/>
              <w:rPr>
                <w:rFonts w:ascii="Arial" w:eastAsia="Calibri" w:hAnsi="Arial" w:cs="Arial"/>
                <w:b/>
                <w:bCs/>
                <w:sz w:val="14"/>
                <w:szCs w:val="14"/>
              </w:rPr>
            </w:pPr>
            <w:r w:rsidRPr="0088632B">
              <w:rPr>
                <w:rFonts w:ascii="Arial" w:eastAsia="Calibri" w:hAnsi="Arial" w:cs="Arial"/>
                <w:b/>
                <w:bCs/>
                <w:sz w:val="14"/>
                <w:szCs w:val="14"/>
              </w:rPr>
              <w:t>3.9</w:t>
            </w:r>
            <w:r>
              <w:rPr>
                <w:rFonts w:ascii="Arial" w:eastAsia="Calibri" w:hAnsi="Arial" w:cs="Arial"/>
                <w:b/>
                <w:bCs/>
                <w:sz w:val="14"/>
                <w:szCs w:val="14"/>
              </w:rPr>
              <w:t>76</w:t>
            </w:r>
            <w:r w:rsidRPr="0088632B">
              <w:rPr>
                <w:rFonts w:ascii="Arial" w:eastAsia="Calibri" w:hAnsi="Arial" w:cs="Arial"/>
                <w:b/>
                <w:bCs/>
                <w:sz w:val="14"/>
                <w:szCs w:val="14"/>
              </w:rPr>
              <w:t>.</w:t>
            </w:r>
            <w:r>
              <w:rPr>
                <w:rFonts w:ascii="Arial" w:eastAsia="Calibri" w:hAnsi="Arial" w:cs="Arial"/>
                <w:b/>
                <w:bCs/>
                <w:sz w:val="14"/>
                <w:szCs w:val="14"/>
              </w:rPr>
              <w:t>954</w:t>
            </w:r>
          </w:p>
        </w:tc>
        <w:tc>
          <w:tcPr>
            <w:tcW w:w="328" w:type="pct"/>
            <w:tcBorders>
              <w:top w:val="nil"/>
              <w:left w:val="nil"/>
              <w:bottom w:val="single" w:sz="12" w:space="0" w:color="auto"/>
              <w:right w:val="nil"/>
            </w:tcBorders>
            <w:shd w:val="clear" w:color="auto" w:fill="auto"/>
            <w:vAlign w:val="bottom"/>
          </w:tcPr>
          <w:p w14:paraId="083897D6" w14:textId="77777777" w:rsidR="004D48F3" w:rsidRPr="003A2506" w:rsidRDefault="004D48F3" w:rsidP="00CA7F04">
            <w:pPr>
              <w:jc w:val="right"/>
              <w:rPr>
                <w:rFonts w:ascii="Arial" w:eastAsia="Calibri" w:hAnsi="Arial" w:cs="Arial"/>
                <w:b/>
                <w:bCs/>
                <w:sz w:val="14"/>
                <w:szCs w:val="14"/>
              </w:rPr>
            </w:pPr>
            <w:r w:rsidRPr="00F959D0">
              <w:rPr>
                <w:rFonts w:ascii="Arial" w:eastAsia="Calibri" w:hAnsi="Arial" w:cs="Arial"/>
                <w:b/>
                <w:bCs/>
                <w:sz w:val="14"/>
                <w:szCs w:val="14"/>
              </w:rPr>
              <w:t xml:space="preserve"> 558.</w:t>
            </w:r>
            <w:r>
              <w:rPr>
                <w:rFonts w:ascii="Arial" w:eastAsia="Calibri" w:hAnsi="Arial" w:cs="Arial"/>
                <w:b/>
                <w:bCs/>
                <w:sz w:val="14"/>
                <w:szCs w:val="14"/>
              </w:rPr>
              <w:t>697</w:t>
            </w:r>
          </w:p>
        </w:tc>
        <w:tc>
          <w:tcPr>
            <w:tcW w:w="329" w:type="pct"/>
            <w:tcBorders>
              <w:top w:val="nil"/>
              <w:left w:val="nil"/>
              <w:bottom w:val="single" w:sz="12" w:space="0" w:color="auto"/>
              <w:right w:val="nil"/>
            </w:tcBorders>
            <w:shd w:val="clear" w:color="auto" w:fill="auto"/>
            <w:vAlign w:val="bottom"/>
          </w:tcPr>
          <w:p w14:paraId="7E25B0EC" w14:textId="77777777" w:rsidR="004D48F3" w:rsidRPr="003A2506" w:rsidRDefault="004D48F3" w:rsidP="00CA7F04">
            <w:pPr>
              <w:jc w:val="right"/>
              <w:rPr>
                <w:rFonts w:ascii="Arial" w:eastAsia="Calibri" w:hAnsi="Arial" w:cs="Arial"/>
                <w:b/>
                <w:bCs/>
                <w:sz w:val="14"/>
                <w:szCs w:val="14"/>
              </w:rPr>
            </w:pPr>
            <w:r w:rsidRPr="00F959D0">
              <w:rPr>
                <w:rFonts w:ascii="Arial" w:eastAsia="Calibri" w:hAnsi="Arial" w:cs="Arial"/>
                <w:b/>
                <w:bCs/>
                <w:sz w:val="14"/>
                <w:szCs w:val="14"/>
              </w:rPr>
              <w:t xml:space="preserve"> 29.67</w:t>
            </w:r>
            <w:r>
              <w:rPr>
                <w:rFonts w:ascii="Arial" w:eastAsia="Calibri" w:hAnsi="Arial" w:cs="Arial"/>
                <w:b/>
                <w:bCs/>
                <w:sz w:val="14"/>
                <w:szCs w:val="14"/>
              </w:rPr>
              <w:t>9</w:t>
            </w:r>
            <w:r w:rsidRPr="00F959D0">
              <w:rPr>
                <w:rFonts w:ascii="Arial" w:eastAsia="Calibri" w:hAnsi="Arial" w:cs="Arial"/>
                <w:b/>
                <w:bCs/>
                <w:sz w:val="14"/>
                <w:szCs w:val="14"/>
              </w:rPr>
              <w:t xml:space="preserve"> </w:t>
            </w:r>
          </w:p>
        </w:tc>
        <w:tc>
          <w:tcPr>
            <w:tcW w:w="329" w:type="pct"/>
            <w:tcBorders>
              <w:top w:val="nil"/>
              <w:left w:val="nil"/>
              <w:bottom w:val="single" w:sz="12" w:space="0" w:color="auto"/>
              <w:right w:val="nil"/>
            </w:tcBorders>
            <w:shd w:val="clear" w:color="auto" w:fill="auto"/>
            <w:vAlign w:val="bottom"/>
          </w:tcPr>
          <w:p w14:paraId="0701592E" w14:textId="77777777" w:rsidR="004D48F3" w:rsidRPr="003A2506" w:rsidRDefault="004D48F3" w:rsidP="00CA7F04">
            <w:pPr>
              <w:jc w:val="right"/>
              <w:rPr>
                <w:rFonts w:ascii="Arial" w:eastAsia="Calibri" w:hAnsi="Arial" w:cs="Arial"/>
                <w:b/>
                <w:bCs/>
                <w:sz w:val="14"/>
                <w:szCs w:val="14"/>
              </w:rPr>
            </w:pPr>
            <w:r w:rsidRPr="00F959D0">
              <w:rPr>
                <w:rFonts w:ascii="Arial" w:eastAsia="Calibri" w:hAnsi="Arial" w:cs="Arial"/>
                <w:b/>
                <w:bCs/>
                <w:sz w:val="14"/>
                <w:szCs w:val="14"/>
              </w:rPr>
              <w:t xml:space="preserve"> 8.705 </w:t>
            </w:r>
          </w:p>
        </w:tc>
        <w:tc>
          <w:tcPr>
            <w:tcW w:w="329" w:type="pct"/>
            <w:tcBorders>
              <w:top w:val="nil"/>
              <w:left w:val="nil"/>
              <w:bottom w:val="single" w:sz="12" w:space="0" w:color="auto"/>
              <w:right w:val="nil"/>
            </w:tcBorders>
            <w:shd w:val="clear" w:color="auto" w:fill="auto"/>
            <w:vAlign w:val="bottom"/>
          </w:tcPr>
          <w:p w14:paraId="59C6EE89" w14:textId="77777777" w:rsidR="004D48F3" w:rsidRPr="003A2506" w:rsidRDefault="004D48F3" w:rsidP="00CA7F04">
            <w:pPr>
              <w:jc w:val="right"/>
              <w:rPr>
                <w:rFonts w:ascii="Arial" w:eastAsia="Calibri" w:hAnsi="Arial" w:cs="Arial"/>
                <w:b/>
                <w:bCs/>
                <w:sz w:val="14"/>
                <w:szCs w:val="14"/>
              </w:rPr>
            </w:pPr>
            <w:r>
              <w:rPr>
                <w:rFonts w:ascii="Arial" w:eastAsia="Calibri" w:hAnsi="Arial" w:cs="Arial"/>
                <w:b/>
                <w:bCs/>
                <w:sz w:val="14"/>
                <w:szCs w:val="14"/>
              </w:rPr>
              <w:t>66</w:t>
            </w:r>
          </w:p>
        </w:tc>
        <w:tc>
          <w:tcPr>
            <w:tcW w:w="330" w:type="pct"/>
            <w:tcBorders>
              <w:top w:val="nil"/>
              <w:left w:val="nil"/>
              <w:bottom w:val="single" w:sz="12" w:space="0" w:color="auto"/>
              <w:right w:val="nil"/>
            </w:tcBorders>
            <w:shd w:val="clear" w:color="auto" w:fill="auto"/>
            <w:vAlign w:val="bottom"/>
          </w:tcPr>
          <w:p w14:paraId="3FB9D9C8" w14:textId="77777777" w:rsidR="004D48F3" w:rsidRPr="003A2506" w:rsidRDefault="004D48F3" w:rsidP="00CA7F04">
            <w:pPr>
              <w:jc w:val="right"/>
              <w:rPr>
                <w:rFonts w:ascii="Arial" w:eastAsia="Calibri" w:hAnsi="Arial" w:cs="Arial"/>
                <w:b/>
                <w:bCs/>
                <w:sz w:val="14"/>
                <w:szCs w:val="14"/>
              </w:rPr>
            </w:pPr>
            <w:r>
              <w:rPr>
                <w:rFonts w:ascii="Arial" w:eastAsia="Calibri" w:hAnsi="Arial" w:cs="Arial"/>
                <w:b/>
                <w:bCs/>
                <w:sz w:val="14"/>
                <w:szCs w:val="14"/>
              </w:rPr>
              <w:t>9.554</w:t>
            </w:r>
          </w:p>
        </w:tc>
        <w:tc>
          <w:tcPr>
            <w:tcW w:w="371" w:type="pct"/>
            <w:tcBorders>
              <w:top w:val="nil"/>
              <w:left w:val="nil"/>
              <w:bottom w:val="single" w:sz="12" w:space="0" w:color="auto"/>
              <w:right w:val="nil"/>
            </w:tcBorders>
            <w:shd w:val="clear" w:color="auto" w:fill="auto"/>
            <w:vAlign w:val="bottom"/>
          </w:tcPr>
          <w:p w14:paraId="57E4A998" w14:textId="77777777" w:rsidR="004D48F3" w:rsidRPr="003A2506" w:rsidRDefault="004D48F3" w:rsidP="00CA7F04">
            <w:pPr>
              <w:jc w:val="right"/>
              <w:rPr>
                <w:rFonts w:ascii="Arial" w:eastAsia="Calibri" w:hAnsi="Arial" w:cs="Arial"/>
                <w:b/>
                <w:bCs/>
                <w:sz w:val="14"/>
                <w:szCs w:val="14"/>
              </w:rPr>
            </w:pPr>
            <w:r w:rsidRPr="00F959D0">
              <w:rPr>
                <w:rFonts w:ascii="Arial" w:eastAsia="Calibri" w:hAnsi="Arial" w:cs="Arial"/>
                <w:b/>
                <w:bCs/>
                <w:sz w:val="14"/>
                <w:szCs w:val="14"/>
              </w:rPr>
              <w:t xml:space="preserve"> 158 </w:t>
            </w:r>
          </w:p>
        </w:tc>
        <w:tc>
          <w:tcPr>
            <w:tcW w:w="324" w:type="pct"/>
            <w:tcBorders>
              <w:top w:val="nil"/>
              <w:left w:val="nil"/>
              <w:bottom w:val="single" w:sz="12" w:space="0" w:color="auto"/>
              <w:right w:val="nil"/>
            </w:tcBorders>
            <w:shd w:val="clear" w:color="auto" w:fill="auto"/>
            <w:vAlign w:val="bottom"/>
          </w:tcPr>
          <w:p w14:paraId="7A4B012F" w14:textId="77777777" w:rsidR="004D48F3" w:rsidRPr="003A2506" w:rsidRDefault="004D48F3" w:rsidP="00CA7F04">
            <w:pPr>
              <w:jc w:val="right"/>
              <w:rPr>
                <w:rFonts w:ascii="Arial" w:eastAsia="Calibri" w:hAnsi="Arial" w:cs="Arial"/>
                <w:b/>
                <w:bCs/>
                <w:sz w:val="14"/>
                <w:szCs w:val="14"/>
              </w:rPr>
            </w:pPr>
            <w:r w:rsidRPr="00F959D0">
              <w:rPr>
                <w:rFonts w:ascii="Arial" w:eastAsia="Calibri" w:hAnsi="Arial" w:cs="Arial"/>
                <w:b/>
                <w:bCs/>
                <w:sz w:val="14"/>
                <w:szCs w:val="14"/>
              </w:rPr>
              <w:t xml:space="preserve"> 606.8</w:t>
            </w:r>
            <w:r>
              <w:rPr>
                <w:rFonts w:ascii="Arial" w:eastAsia="Calibri" w:hAnsi="Arial" w:cs="Arial"/>
                <w:b/>
                <w:bCs/>
                <w:sz w:val="14"/>
                <w:szCs w:val="14"/>
              </w:rPr>
              <w:t>5</w:t>
            </w:r>
            <w:r w:rsidRPr="00F959D0">
              <w:rPr>
                <w:rFonts w:ascii="Arial" w:eastAsia="Calibri" w:hAnsi="Arial" w:cs="Arial"/>
                <w:b/>
                <w:bCs/>
                <w:sz w:val="14"/>
                <w:szCs w:val="14"/>
              </w:rPr>
              <w:t xml:space="preserve">9 </w:t>
            </w:r>
          </w:p>
        </w:tc>
      </w:tr>
      <w:tr w:rsidR="004D48F3" w:rsidRPr="00F12E3D" w14:paraId="747EF2F6" w14:textId="77777777" w:rsidTr="003C557A">
        <w:trPr>
          <w:trHeight w:val="57"/>
          <w:jc w:val="center"/>
        </w:trPr>
        <w:tc>
          <w:tcPr>
            <w:tcW w:w="537" w:type="pct"/>
            <w:vAlign w:val="bottom"/>
          </w:tcPr>
          <w:p w14:paraId="0E857ED6" w14:textId="77777777" w:rsidR="004D48F3" w:rsidRPr="003A2506" w:rsidRDefault="004D48F3" w:rsidP="00CA7F04">
            <w:pPr>
              <w:tabs>
                <w:tab w:val="right" w:pos="1202"/>
              </w:tabs>
              <w:outlineLvl w:val="0"/>
              <w:rPr>
                <w:rFonts w:ascii="Arial" w:eastAsia="Calibri" w:hAnsi="Arial" w:cs="Arial"/>
                <w:b/>
                <w:bCs/>
                <w:color w:val="000000" w:themeColor="text1"/>
                <w:sz w:val="14"/>
                <w:szCs w:val="14"/>
              </w:rPr>
            </w:pPr>
            <w:r w:rsidRPr="003A2506">
              <w:rPr>
                <w:rFonts w:ascii="Arial" w:eastAsia="Calibri" w:hAnsi="Arial" w:cs="Arial"/>
                <w:b/>
                <w:bCs/>
                <w:color w:val="000000" w:themeColor="text1"/>
                <w:sz w:val="14"/>
                <w:szCs w:val="14"/>
              </w:rPr>
              <w:t>Garancije i preuzete obveze</w:t>
            </w:r>
          </w:p>
        </w:tc>
        <w:tc>
          <w:tcPr>
            <w:tcW w:w="300" w:type="pct"/>
            <w:tcBorders>
              <w:top w:val="nil"/>
              <w:left w:val="nil"/>
              <w:bottom w:val="nil"/>
              <w:right w:val="nil"/>
            </w:tcBorders>
            <w:shd w:val="clear" w:color="auto" w:fill="auto"/>
            <w:vAlign w:val="bottom"/>
          </w:tcPr>
          <w:p w14:paraId="325F9496" w14:textId="77777777" w:rsidR="004D48F3" w:rsidRPr="003A2506" w:rsidRDefault="004D48F3" w:rsidP="00CA7F04">
            <w:pPr>
              <w:jc w:val="right"/>
              <w:rPr>
                <w:rFonts w:ascii="Arial" w:eastAsia="Calibri" w:hAnsi="Arial" w:cs="Arial"/>
                <w:color w:val="000000" w:themeColor="text1"/>
                <w:sz w:val="14"/>
                <w:szCs w:val="14"/>
              </w:rPr>
            </w:pPr>
          </w:p>
        </w:tc>
        <w:tc>
          <w:tcPr>
            <w:tcW w:w="298" w:type="pct"/>
            <w:tcBorders>
              <w:top w:val="nil"/>
              <w:left w:val="nil"/>
              <w:bottom w:val="nil"/>
              <w:right w:val="nil"/>
            </w:tcBorders>
            <w:shd w:val="clear" w:color="auto" w:fill="auto"/>
            <w:vAlign w:val="bottom"/>
          </w:tcPr>
          <w:p w14:paraId="17D404DA" w14:textId="77777777" w:rsidR="004D48F3" w:rsidRPr="003A2506" w:rsidRDefault="004D48F3" w:rsidP="00CA7F04">
            <w:pPr>
              <w:jc w:val="right"/>
              <w:rPr>
                <w:rFonts w:ascii="Arial" w:eastAsia="Calibri" w:hAnsi="Arial" w:cs="Arial"/>
                <w:color w:val="000000" w:themeColor="text1"/>
                <w:sz w:val="14"/>
                <w:szCs w:val="14"/>
              </w:rPr>
            </w:pPr>
          </w:p>
        </w:tc>
        <w:tc>
          <w:tcPr>
            <w:tcW w:w="295" w:type="pct"/>
            <w:tcBorders>
              <w:top w:val="nil"/>
              <w:left w:val="nil"/>
              <w:bottom w:val="nil"/>
              <w:right w:val="nil"/>
            </w:tcBorders>
            <w:shd w:val="clear" w:color="auto" w:fill="auto"/>
            <w:vAlign w:val="bottom"/>
          </w:tcPr>
          <w:p w14:paraId="3BCAE82D" w14:textId="77777777" w:rsidR="004D48F3" w:rsidRPr="003A2506" w:rsidRDefault="004D48F3" w:rsidP="00CA7F04">
            <w:pPr>
              <w:jc w:val="right"/>
              <w:rPr>
                <w:rFonts w:ascii="Arial" w:eastAsia="Calibri" w:hAnsi="Arial" w:cs="Arial"/>
                <w:color w:val="000000" w:themeColor="text1"/>
                <w:sz w:val="14"/>
                <w:szCs w:val="14"/>
              </w:rPr>
            </w:pPr>
          </w:p>
        </w:tc>
        <w:tc>
          <w:tcPr>
            <w:tcW w:w="287" w:type="pct"/>
            <w:tcBorders>
              <w:top w:val="nil"/>
              <w:left w:val="nil"/>
              <w:bottom w:val="nil"/>
              <w:right w:val="nil"/>
            </w:tcBorders>
            <w:shd w:val="clear" w:color="auto" w:fill="auto"/>
            <w:vAlign w:val="bottom"/>
          </w:tcPr>
          <w:p w14:paraId="7239DD09" w14:textId="77777777" w:rsidR="004D48F3" w:rsidRPr="003A2506" w:rsidRDefault="004D48F3" w:rsidP="00CA7F04">
            <w:pPr>
              <w:jc w:val="right"/>
              <w:rPr>
                <w:rFonts w:ascii="Arial" w:eastAsia="Calibri" w:hAnsi="Arial" w:cs="Arial"/>
                <w:color w:val="000000" w:themeColor="text1"/>
                <w:sz w:val="14"/>
                <w:szCs w:val="14"/>
              </w:rPr>
            </w:pPr>
          </w:p>
        </w:tc>
        <w:tc>
          <w:tcPr>
            <w:tcW w:w="291" w:type="pct"/>
            <w:tcBorders>
              <w:top w:val="nil"/>
              <w:left w:val="nil"/>
              <w:bottom w:val="nil"/>
              <w:right w:val="nil"/>
            </w:tcBorders>
            <w:shd w:val="clear" w:color="auto" w:fill="auto"/>
            <w:vAlign w:val="bottom"/>
          </w:tcPr>
          <w:p w14:paraId="30E1A88B" w14:textId="77777777" w:rsidR="004D48F3" w:rsidRPr="003A2506" w:rsidRDefault="004D48F3" w:rsidP="00CA7F04">
            <w:pPr>
              <w:jc w:val="right"/>
              <w:rPr>
                <w:rFonts w:ascii="Arial" w:eastAsia="Calibri" w:hAnsi="Arial" w:cs="Arial"/>
                <w:color w:val="000000" w:themeColor="text1"/>
                <w:sz w:val="14"/>
                <w:szCs w:val="14"/>
              </w:rPr>
            </w:pPr>
          </w:p>
        </w:tc>
        <w:tc>
          <w:tcPr>
            <w:tcW w:w="318" w:type="pct"/>
            <w:tcBorders>
              <w:top w:val="nil"/>
              <w:left w:val="nil"/>
              <w:bottom w:val="nil"/>
              <w:right w:val="nil"/>
            </w:tcBorders>
            <w:shd w:val="clear" w:color="auto" w:fill="auto"/>
            <w:vAlign w:val="bottom"/>
          </w:tcPr>
          <w:p w14:paraId="5C0BA327" w14:textId="77777777" w:rsidR="004D48F3" w:rsidRPr="003A2506" w:rsidRDefault="004D48F3" w:rsidP="00CA7F04">
            <w:pPr>
              <w:jc w:val="right"/>
              <w:rPr>
                <w:rFonts w:ascii="Arial" w:eastAsia="Calibri" w:hAnsi="Arial" w:cs="Arial"/>
                <w:color w:val="000000" w:themeColor="text1"/>
                <w:sz w:val="14"/>
                <w:szCs w:val="14"/>
              </w:rPr>
            </w:pPr>
          </w:p>
        </w:tc>
        <w:tc>
          <w:tcPr>
            <w:tcW w:w="333" w:type="pct"/>
            <w:tcBorders>
              <w:top w:val="nil"/>
              <w:left w:val="nil"/>
              <w:bottom w:val="nil"/>
              <w:right w:val="nil"/>
            </w:tcBorders>
            <w:shd w:val="clear" w:color="auto" w:fill="auto"/>
            <w:vAlign w:val="bottom"/>
          </w:tcPr>
          <w:p w14:paraId="457EF405" w14:textId="77777777" w:rsidR="004D48F3" w:rsidRPr="003A2506" w:rsidRDefault="004D48F3" w:rsidP="00CA7F04">
            <w:pPr>
              <w:jc w:val="right"/>
              <w:rPr>
                <w:rFonts w:ascii="Arial" w:eastAsia="Calibri" w:hAnsi="Arial" w:cs="Arial"/>
                <w:color w:val="000000" w:themeColor="text1"/>
                <w:sz w:val="14"/>
                <w:szCs w:val="14"/>
              </w:rPr>
            </w:pPr>
          </w:p>
        </w:tc>
        <w:tc>
          <w:tcPr>
            <w:tcW w:w="328" w:type="pct"/>
            <w:tcBorders>
              <w:top w:val="nil"/>
              <w:left w:val="nil"/>
              <w:bottom w:val="nil"/>
              <w:right w:val="nil"/>
            </w:tcBorders>
            <w:vAlign w:val="bottom"/>
          </w:tcPr>
          <w:p w14:paraId="32645063" w14:textId="77777777" w:rsidR="004D48F3" w:rsidRPr="003A2506" w:rsidRDefault="004D48F3" w:rsidP="00CA7F04">
            <w:pPr>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4D6CC75F" w14:textId="77777777" w:rsidR="004D48F3" w:rsidRPr="003A2506" w:rsidRDefault="004D48F3" w:rsidP="00CA7F04">
            <w:pPr>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61296672" w14:textId="77777777" w:rsidR="004D48F3" w:rsidRPr="003A2506" w:rsidRDefault="004D48F3" w:rsidP="00CA7F04">
            <w:pPr>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0C4C0294" w14:textId="77777777" w:rsidR="004D48F3" w:rsidRPr="003A2506" w:rsidRDefault="004D48F3" w:rsidP="00CA7F04">
            <w:pPr>
              <w:jc w:val="right"/>
              <w:rPr>
                <w:rFonts w:ascii="Arial" w:eastAsia="Calibri" w:hAnsi="Arial" w:cs="Arial"/>
                <w:color w:val="000000" w:themeColor="text1"/>
                <w:sz w:val="14"/>
                <w:szCs w:val="14"/>
              </w:rPr>
            </w:pPr>
          </w:p>
        </w:tc>
        <w:tc>
          <w:tcPr>
            <w:tcW w:w="330" w:type="pct"/>
            <w:tcBorders>
              <w:top w:val="nil"/>
              <w:left w:val="nil"/>
              <w:bottom w:val="nil"/>
              <w:right w:val="nil"/>
            </w:tcBorders>
            <w:vAlign w:val="bottom"/>
          </w:tcPr>
          <w:p w14:paraId="5B0B8F1A" w14:textId="77777777" w:rsidR="004D48F3" w:rsidRPr="003A2506" w:rsidRDefault="004D48F3" w:rsidP="00CA7F04">
            <w:pPr>
              <w:jc w:val="right"/>
              <w:rPr>
                <w:rFonts w:ascii="Arial" w:eastAsia="Calibri" w:hAnsi="Arial" w:cs="Arial"/>
                <w:color w:val="000000" w:themeColor="text1"/>
                <w:sz w:val="14"/>
                <w:szCs w:val="14"/>
              </w:rPr>
            </w:pPr>
          </w:p>
        </w:tc>
        <w:tc>
          <w:tcPr>
            <w:tcW w:w="371" w:type="pct"/>
            <w:tcBorders>
              <w:top w:val="nil"/>
              <w:left w:val="nil"/>
              <w:bottom w:val="nil"/>
              <w:right w:val="nil"/>
            </w:tcBorders>
            <w:vAlign w:val="bottom"/>
          </w:tcPr>
          <w:p w14:paraId="657DC025" w14:textId="77777777" w:rsidR="004D48F3" w:rsidRPr="003A2506" w:rsidRDefault="004D48F3" w:rsidP="00CA7F04">
            <w:pPr>
              <w:jc w:val="right"/>
              <w:rPr>
                <w:rFonts w:ascii="Arial" w:eastAsia="Calibri" w:hAnsi="Arial" w:cs="Arial"/>
                <w:color w:val="000000" w:themeColor="text1"/>
                <w:sz w:val="14"/>
                <w:szCs w:val="14"/>
              </w:rPr>
            </w:pPr>
          </w:p>
        </w:tc>
        <w:tc>
          <w:tcPr>
            <w:tcW w:w="324" w:type="pct"/>
            <w:tcBorders>
              <w:top w:val="nil"/>
              <w:left w:val="nil"/>
              <w:bottom w:val="nil"/>
              <w:right w:val="nil"/>
            </w:tcBorders>
            <w:vAlign w:val="bottom"/>
          </w:tcPr>
          <w:p w14:paraId="24413445" w14:textId="77777777" w:rsidR="004D48F3" w:rsidRPr="003A2506" w:rsidRDefault="004D48F3" w:rsidP="00CA7F04">
            <w:pPr>
              <w:jc w:val="right"/>
              <w:rPr>
                <w:rFonts w:ascii="Arial" w:eastAsia="Calibri" w:hAnsi="Arial" w:cs="Arial"/>
                <w:color w:val="000000" w:themeColor="text1"/>
                <w:sz w:val="14"/>
                <w:szCs w:val="14"/>
              </w:rPr>
            </w:pPr>
          </w:p>
        </w:tc>
      </w:tr>
      <w:tr w:rsidR="004D48F3" w:rsidRPr="00F12E3D" w14:paraId="2FF36CAA" w14:textId="77777777" w:rsidTr="003C557A">
        <w:trPr>
          <w:trHeight w:val="189"/>
          <w:jc w:val="center"/>
        </w:trPr>
        <w:tc>
          <w:tcPr>
            <w:tcW w:w="537" w:type="pct"/>
            <w:vAlign w:val="bottom"/>
          </w:tcPr>
          <w:p w14:paraId="453BB48A" w14:textId="77777777" w:rsidR="004D48F3" w:rsidRPr="00F12E3D" w:rsidRDefault="004D48F3" w:rsidP="00CA7F04">
            <w:pPr>
              <w:tabs>
                <w:tab w:val="right" w:pos="1202"/>
              </w:tabs>
              <w:outlineLvl w:val="0"/>
              <w:rPr>
                <w:rFonts w:ascii="Arial" w:eastAsia="Calibri" w:hAnsi="Arial" w:cs="Arial"/>
                <w:b/>
                <w:bCs/>
                <w:color w:val="000000" w:themeColor="text1"/>
                <w:sz w:val="14"/>
                <w:szCs w:val="14"/>
              </w:rPr>
            </w:pPr>
            <w:r w:rsidRPr="00F12E3D">
              <w:rPr>
                <w:rFonts w:ascii="Arial" w:eastAsia="Calibri" w:hAnsi="Arial" w:cs="Arial"/>
                <w:color w:val="000000" w:themeColor="text1"/>
                <w:sz w:val="14"/>
                <w:szCs w:val="14"/>
              </w:rPr>
              <w:t xml:space="preserve">Izdane garancije </w:t>
            </w:r>
          </w:p>
        </w:tc>
        <w:tc>
          <w:tcPr>
            <w:tcW w:w="300" w:type="pct"/>
            <w:tcBorders>
              <w:top w:val="nil"/>
              <w:left w:val="nil"/>
              <w:bottom w:val="nil"/>
              <w:right w:val="nil"/>
            </w:tcBorders>
            <w:shd w:val="clear" w:color="auto" w:fill="auto"/>
            <w:vAlign w:val="bottom"/>
          </w:tcPr>
          <w:p w14:paraId="1E89DEA3"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17.929 </w:t>
            </w:r>
          </w:p>
        </w:tc>
        <w:tc>
          <w:tcPr>
            <w:tcW w:w="298" w:type="pct"/>
            <w:tcBorders>
              <w:top w:val="nil"/>
              <w:left w:val="nil"/>
              <w:bottom w:val="nil"/>
              <w:right w:val="nil"/>
            </w:tcBorders>
            <w:shd w:val="clear" w:color="auto" w:fill="auto"/>
            <w:vAlign w:val="bottom"/>
          </w:tcPr>
          <w:p w14:paraId="2A2ED827"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6.176 </w:t>
            </w:r>
          </w:p>
        </w:tc>
        <w:tc>
          <w:tcPr>
            <w:tcW w:w="295" w:type="pct"/>
            <w:tcBorders>
              <w:top w:val="nil"/>
              <w:left w:val="nil"/>
              <w:bottom w:val="nil"/>
              <w:right w:val="nil"/>
            </w:tcBorders>
            <w:shd w:val="clear" w:color="auto" w:fill="auto"/>
            <w:vAlign w:val="bottom"/>
          </w:tcPr>
          <w:p w14:paraId="622707D7"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20.440 </w:t>
            </w:r>
          </w:p>
        </w:tc>
        <w:tc>
          <w:tcPr>
            <w:tcW w:w="287" w:type="pct"/>
            <w:tcBorders>
              <w:top w:val="nil"/>
              <w:left w:val="nil"/>
              <w:bottom w:val="nil"/>
              <w:right w:val="nil"/>
            </w:tcBorders>
            <w:shd w:val="clear" w:color="auto" w:fill="auto"/>
            <w:vAlign w:val="bottom"/>
          </w:tcPr>
          <w:p w14:paraId="0E649B60"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291" w:type="pct"/>
            <w:tcBorders>
              <w:top w:val="nil"/>
              <w:left w:val="nil"/>
              <w:bottom w:val="nil"/>
              <w:right w:val="nil"/>
            </w:tcBorders>
            <w:shd w:val="clear" w:color="auto" w:fill="auto"/>
            <w:vAlign w:val="bottom"/>
          </w:tcPr>
          <w:p w14:paraId="44A9644D"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8" w:type="pct"/>
            <w:tcBorders>
              <w:top w:val="nil"/>
              <w:left w:val="nil"/>
              <w:bottom w:val="nil"/>
              <w:right w:val="nil"/>
            </w:tcBorders>
            <w:shd w:val="clear" w:color="auto" w:fill="auto"/>
            <w:vAlign w:val="bottom"/>
          </w:tcPr>
          <w:p w14:paraId="3179C12E"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33" w:type="pct"/>
            <w:tcBorders>
              <w:top w:val="nil"/>
              <w:left w:val="nil"/>
              <w:bottom w:val="nil"/>
              <w:right w:val="nil"/>
            </w:tcBorders>
            <w:shd w:val="clear" w:color="auto" w:fill="auto"/>
            <w:vAlign w:val="bottom"/>
          </w:tcPr>
          <w:p w14:paraId="26F4C812"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44.545 </w:t>
            </w:r>
          </w:p>
        </w:tc>
        <w:tc>
          <w:tcPr>
            <w:tcW w:w="328" w:type="pct"/>
            <w:tcBorders>
              <w:top w:val="nil"/>
              <w:left w:val="nil"/>
              <w:bottom w:val="nil"/>
              <w:right w:val="nil"/>
            </w:tcBorders>
            <w:vAlign w:val="bottom"/>
          </w:tcPr>
          <w:p w14:paraId="17AC2386"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17.537 </w:t>
            </w:r>
          </w:p>
        </w:tc>
        <w:tc>
          <w:tcPr>
            <w:tcW w:w="329" w:type="pct"/>
            <w:tcBorders>
              <w:top w:val="nil"/>
              <w:left w:val="nil"/>
              <w:bottom w:val="nil"/>
              <w:right w:val="nil"/>
            </w:tcBorders>
            <w:vAlign w:val="bottom"/>
          </w:tcPr>
          <w:p w14:paraId="41DB7C02"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1.344 </w:t>
            </w:r>
          </w:p>
        </w:tc>
        <w:tc>
          <w:tcPr>
            <w:tcW w:w="329" w:type="pct"/>
            <w:tcBorders>
              <w:top w:val="nil"/>
              <w:left w:val="nil"/>
              <w:bottom w:val="nil"/>
              <w:right w:val="nil"/>
            </w:tcBorders>
            <w:vAlign w:val="bottom"/>
          </w:tcPr>
          <w:p w14:paraId="1C3138A3"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14.348 </w:t>
            </w:r>
          </w:p>
        </w:tc>
        <w:tc>
          <w:tcPr>
            <w:tcW w:w="329" w:type="pct"/>
            <w:tcBorders>
              <w:top w:val="nil"/>
              <w:left w:val="nil"/>
              <w:bottom w:val="nil"/>
              <w:right w:val="nil"/>
            </w:tcBorders>
            <w:vAlign w:val="bottom"/>
          </w:tcPr>
          <w:p w14:paraId="27568BE0"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30" w:type="pct"/>
            <w:tcBorders>
              <w:top w:val="nil"/>
              <w:left w:val="nil"/>
              <w:bottom w:val="nil"/>
              <w:right w:val="nil"/>
            </w:tcBorders>
            <w:vAlign w:val="bottom"/>
          </w:tcPr>
          <w:p w14:paraId="3E40CEDE"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574CE0DB"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4" w:type="pct"/>
            <w:tcBorders>
              <w:top w:val="nil"/>
              <w:left w:val="nil"/>
              <w:bottom w:val="nil"/>
              <w:right w:val="nil"/>
            </w:tcBorders>
            <w:vAlign w:val="bottom"/>
          </w:tcPr>
          <w:p w14:paraId="3B5B12F7"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33.229 </w:t>
            </w:r>
          </w:p>
        </w:tc>
      </w:tr>
      <w:tr w:rsidR="004D48F3" w:rsidRPr="00F12E3D" w14:paraId="2FB7F18B" w14:textId="77777777" w:rsidTr="003C557A">
        <w:trPr>
          <w:trHeight w:val="189"/>
          <w:jc w:val="center"/>
        </w:trPr>
        <w:tc>
          <w:tcPr>
            <w:tcW w:w="537" w:type="pct"/>
            <w:vAlign w:val="bottom"/>
          </w:tcPr>
          <w:p w14:paraId="289C94EB" w14:textId="77777777" w:rsidR="004D48F3" w:rsidRPr="00F12E3D" w:rsidRDefault="004D48F3" w:rsidP="00CA7F04">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Izdane garancije u devizama</w:t>
            </w:r>
          </w:p>
        </w:tc>
        <w:tc>
          <w:tcPr>
            <w:tcW w:w="300" w:type="pct"/>
            <w:tcBorders>
              <w:top w:val="nil"/>
              <w:left w:val="nil"/>
              <w:bottom w:val="nil"/>
              <w:right w:val="nil"/>
            </w:tcBorders>
            <w:shd w:val="clear" w:color="auto" w:fill="auto"/>
            <w:vAlign w:val="bottom"/>
          </w:tcPr>
          <w:p w14:paraId="1A09C913"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53 </w:t>
            </w:r>
          </w:p>
        </w:tc>
        <w:tc>
          <w:tcPr>
            <w:tcW w:w="298" w:type="pct"/>
            <w:tcBorders>
              <w:top w:val="nil"/>
              <w:left w:val="nil"/>
              <w:bottom w:val="nil"/>
              <w:right w:val="nil"/>
            </w:tcBorders>
            <w:shd w:val="clear" w:color="auto" w:fill="auto"/>
            <w:vAlign w:val="bottom"/>
          </w:tcPr>
          <w:p w14:paraId="04739F3E"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5.304 </w:t>
            </w:r>
          </w:p>
        </w:tc>
        <w:tc>
          <w:tcPr>
            <w:tcW w:w="295" w:type="pct"/>
            <w:tcBorders>
              <w:top w:val="nil"/>
              <w:left w:val="nil"/>
              <w:bottom w:val="nil"/>
              <w:right w:val="nil"/>
            </w:tcBorders>
            <w:shd w:val="clear" w:color="auto" w:fill="auto"/>
            <w:vAlign w:val="bottom"/>
          </w:tcPr>
          <w:p w14:paraId="62B0CFFC"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287" w:type="pct"/>
            <w:tcBorders>
              <w:top w:val="nil"/>
              <w:left w:val="nil"/>
              <w:bottom w:val="nil"/>
              <w:right w:val="nil"/>
            </w:tcBorders>
            <w:shd w:val="clear" w:color="auto" w:fill="auto"/>
            <w:vAlign w:val="bottom"/>
          </w:tcPr>
          <w:p w14:paraId="3427D4CF"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291" w:type="pct"/>
            <w:tcBorders>
              <w:top w:val="nil"/>
              <w:left w:val="nil"/>
              <w:bottom w:val="nil"/>
              <w:right w:val="nil"/>
            </w:tcBorders>
            <w:shd w:val="clear" w:color="auto" w:fill="auto"/>
            <w:vAlign w:val="bottom"/>
          </w:tcPr>
          <w:p w14:paraId="771BD001"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8" w:type="pct"/>
            <w:tcBorders>
              <w:top w:val="nil"/>
              <w:left w:val="nil"/>
              <w:bottom w:val="nil"/>
              <w:right w:val="nil"/>
            </w:tcBorders>
            <w:shd w:val="clear" w:color="auto" w:fill="auto"/>
            <w:vAlign w:val="bottom"/>
          </w:tcPr>
          <w:p w14:paraId="0107A928"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33" w:type="pct"/>
            <w:tcBorders>
              <w:top w:val="nil"/>
              <w:left w:val="nil"/>
              <w:bottom w:val="nil"/>
              <w:right w:val="nil"/>
            </w:tcBorders>
            <w:shd w:val="clear" w:color="auto" w:fill="auto"/>
            <w:vAlign w:val="bottom"/>
          </w:tcPr>
          <w:p w14:paraId="1DF12180"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5.357 </w:t>
            </w:r>
          </w:p>
        </w:tc>
        <w:tc>
          <w:tcPr>
            <w:tcW w:w="328" w:type="pct"/>
            <w:tcBorders>
              <w:top w:val="nil"/>
              <w:left w:val="nil"/>
              <w:bottom w:val="nil"/>
              <w:right w:val="nil"/>
            </w:tcBorders>
            <w:vAlign w:val="bottom"/>
          </w:tcPr>
          <w:p w14:paraId="469EE74B"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15 </w:t>
            </w:r>
          </w:p>
        </w:tc>
        <w:tc>
          <w:tcPr>
            <w:tcW w:w="329" w:type="pct"/>
            <w:tcBorders>
              <w:top w:val="nil"/>
              <w:left w:val="nil"/>
              <w:bottom w:val="nil"/>
              <w:right w:val="nil"/>
            </w:tcBorders>
            <w:vAlign w:val="bottom"/>
          </w:tcPr>
          <w:p w14:paraId="591C0BA3"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2.919 </w:t>
            </w:r>
          </w:p>
        </w:tc>
        <w:tc>
          <w:tcPr>
            <w:tcW w:w="329" w:type="pct"/>
            <w:tcBorders>
              <w:top w:val="nil"/>
              <w:left w:val="nil"/>
              <w:bottom w:val="nil"/>
              <w:right w:val="nil"/>
            </w:tcBorders>
            <w:vAlign w:val="bottom"/>
          </w:tcPr>
          <w:p w14:paraId="23F75737"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62D99B24"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30" w:type="pct"/>
            <w:tcBorders>
              <w:top w:val="nil"/>
              <w:left w:val="nil"/>
              <w:bottom w:val="nil"/>
              <w:right w:val="nil"/>
            </w:tcBorders>
            <w:vAlign w:val="bottom"/>
          </w:tcPr>
          <w:p w14:paraId="51219CD4"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118A484F"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4" w:type="pct"/>
            <w:tcBorders>
              <w:top w:val="nil"/>
              <w:left w:val="nil"/>
              <w:bottom w:val="nil"/>
              <w:right w:val="nil"/>
            </w:tcBorders>
            <w:vAlign w:val="bottom"/>
          </w:tcPr>
          <w:p w14:paraId="0104C9A2"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2.934 </w:t>
            </w:r>
          </w:p>
        </w:tc>
      </w:tr>
      <w:tr w:rsidR="004D48F3" w:rsidRPr="00F12E3D" w14:paraId="1600D50B" w14:textId="77777777" w:rsidTr="003C557A">
        <w:trPr>
          <w:trHeight w:val="189"/>
          <w:jc w:val="center"/>
        </w:trPr>
        <w:tc>
          <w:tcPr>
            <w:tcW w:w="537" w:type="pct"/>
            <w:vAlign w:val="bottom"/>
          </w:tcPr>
          <w:p w14:paraId="3EBA22FC" w14:textId="77777777" w:rsidR="004D48F3" w:rsidRPr="00F12E3D" w:rsidRDefault="004D48F3" w:rsidP="00CA7F04">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Preuzete obveze po kreditima</w:t>
            </w:r>
          </w:p>
        </w:tc>
        <w:tc>
          <w:tcPr>
            <w:tcW w:w="300" w:type="pct"/>
            <w:tcBorders>
              <w:top w:val="nil"/>
              <w:left w:val="nil"/>
              <w:bottom w:val="single" w:sz="6" w:space="0" w:color="auto"/>
              <w:right w:val="nil"/>
            </w:tcBorders>
            <w:shd w:val="clear" w:color="auto" w:fill="auto"/>
            <w:vAlign w:val="bottom"/>
          </w:tcPr>
          <w:p w14:paraId="05DCF973"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423.683 </w:t>
            </w:r>
          </w:p>
        </w:tc>
        <w:tc>
          <w:tcPr>
            <w:tcW w:w="298" w:type="pct"/>
            <w:tcBorders>
              <w:top w:val="nil"/>
              <w:left w:val="nil"/>
              <w:bottom w:val="single" w:sz="6" w:space="0" w:color="auto"/>
              <w:right w:val="nil"/>
            </w:tcBorders>
            <w:shd w:val="clear" w:color="auto" w:fill="auto"/>
            <w:vAlign w:val="bottom"/>
          </w:tcPr>
          <w:p w14:paraId="095A6F1F"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4.816 </w:t>
            </w:r>
          </w:p>
        </w:tc>
        <w:tc>
          <w:tcPr>
            <w:tcW w:w="295" w:type="pct"/>
            <w:tcBorders>
              <w:top w:val="nil"/>
              <w:left w:val="nil"/>
              <w:bottom w:val="single" w:sz="6" w:space="0" w:color="auto"/>
              <w:right w:val="nil"/>
            </w:tcBorders>
            <w:shd w:val="clear" w:color="auto" w:fill="auto"/>
            <w:vAlign w:val="bottom"/>
          </w:tcPr>
          <w:p w14:paraId="6D65B088"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287" w:type="pct"/>
            <w:tcBorders>
              <w:top w:val="nil"/>
              <w:left w:val="nil"/>
              <w:bottom w:val="single" w:sz="6" w:space="0" w:color="auto"/>
              <w:right w:val="nil"/>
            </w:tcBorders>
            <w:shd w:val="clear" w:color="auto" w:fill="auto"/>
            <w:vAlign w:val="bottom"/>
          </w:tcPr>
          <w:p w14:paraId="71323B0D"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w:t>
            </w:r>
          </w:p>
        </w:tc>
        <w:tc>
          <w:tcPr>
            <w:tcW w:w="291" w:type="pct"/>
            <w:tcBorders>
              <w:top w:val="nil"/>
              <w:left w:val="nil"/>
              <w:bottom w:val="single" w:sz="6" w:space="0" w:color="auto"/>
              <w:right w:val="nil"/>
            </w:tcBorders>
            <w:shd w:val="clear" w:color="auto" w:fill="auto"/>
            <w:vAlign w:val="bottom"/>
          </w:tcPr>
          <w:p w14:paraId="2F10666C" w14:textId="77777777" w:rsidR="004D48F3" w:rsidRPr="003A2506" w:rsidRDefault="004D48F3" w:rsidP="00CA7F04">
            <w:pPr>
              <w:jc w:val="right"/>
              <w:rPr>
                <w:rFonts w:ascii="Arial" w:eastAsia="Calibri" w:hAnsi="Arial" w:cs="Arial"/>
                <w:color w:val="000000" w:themeColor="text1"/>
                <w:sz w:val="14"/>
                <w:szCs w:val="14"/>
              </w:rPr>
            </w:pPr>
            <w:r w:rsidRPr="005315D0">
              <w:rPr>
                <w:rFonts w:ascii="Arial" w:eastAsia="Calibri" w:hAnsi="Arial" w:cs="Arial"/>
                <w:color w:val="000000" w:themeColor="text1"/>
                <w:sz w:val="14"/>
                <w:szCs w:val="14"/>
              </w:rPr>
              <w:t>12.574</w:t>
            </w:r>
          </w:p>
        </w:tc>
        <w:tc>
          <w:tcPr>
            <w:tcW w:w="318" w:type="pct"/>
            <w:tcBorders>
              <w:top w:val="nil"/>
              <w:left w:val="nil"/>
              <w:bottom w:val="single" w:sz="6" w:space="0" w:color="auto"/>
              <w:right w:val="nil"/>
            </w:tcBorders>
            <w:shd w:val="clear" w:color="auto" w:fill="auto"/>
            <w:vAlign w:val="bottom"/>
          </w:tcPr>
          <w:p w14:paraId="23360B16"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33" w:type="pct"/>
            <w:tcBorders>
              <w:top w:val="nil"/>
              <w:left w:val="nil"/>
              <w:bottom w:val="single" w:sz="6" w:space="0" w:color="auto"/>
              <w:right w:val="nil"/>
            </w:tcBorders>
            <w:shd w:val="clear" w:color="auto" w:fill="auto"/>
            <w:vAlign w:val="bottom"/>
          </w:tcPr>
          <w:p w14:paraId="6B541A44"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441.073 </w:t>
            </w:r>
          </w:p>
        </w:tc>
        <w:tc>
          <w:tcPr>
            <w:tcW w:w="328" w:type="pct"/>
            <w:tcBorders>
              <w:top w:val="nil"/>
              <w:left w:val="nil"/>
              <w:bottom w:val="single" w:sz="6" w:space="0" w:color="auto"/>
              <w:right w:val="nil"/>
            </w:tcBorders>
            <w:vAlign w:val="bottom"/>
          </w:tcPr>
          <w:p w14:paraId="1480834A"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135.627 </w:t>
            </w:r>
          </w:p>
        </w:tc>
        <w:tc>
          <w:tcPr>
            <w:tcW w:w="329" w:type="pct"/>
            <w:tcBorders>
              <w:top w:val="nil"/>
              <w:left w:val="nil"/>
              <w:bottom w:val="single" w:sz="6" w:space="0" w:color="auto"/>
              <w:right w:val="nil"/>
            </w:tcBorders>
            <w:vAlign w:val="bottom"/>
          </w:tcPr>
          <w:p w14:paraId="2139669B"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2.938 </w:t>
            </w:r>
          </w:p>
        </w:tc>
        <w:tc>
          <w:tcPr>
            <w:tcW w:w="329" w:type="pct"/>
            <w:tcBorders>
              <w:top w:val="nil"/>
              <w:left w:val="nil"/>
              <w:bottom w:val="single" w:sz="6" w:space="0" w:color="auto"/>
              <w:right w:val="nil"/>
            </w:tcBorders>
            <w:vAlign w:val="bottom"/>
          </w:tcPr>
          <w:p w14:paraId="32220F0B" w14:textId="77777777" w:rsidR="004D48F3" w:rsidRPr="003A2506" w:rsidRDefault="004D48F3"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29" w:type="pct"/>
            <w:tcBorders>
              <w:top w:val="nil"/>
              <w:left w:val="nil"/>
              <w:bottom w:val="single" w:sz="6" w:space="0" w:color="auto"/>
              <w:right w:val="nil"/>
            </w:tcBorders>
            <w:vAlign w:val="bottom"/>
          </w:tcPr>
          <w:p w14:paraId="5FA7DE74"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single" w:sz="6" w:space="0" w:color="auto"/>
              <w:right w:val="nil"/>
            </w:tcBorders>
            <w:vAlign w:val="bottom"/>
          </w:tcPr>
          <w:p w14:paraId="460DF097"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65</w:t>
            </w:r>
          </w:p>
        </w:tc>
        <w:tc>
          <w:tcPr>
            <w:tcW w:w="371" w:type="pct"/>
            <w:tcBorders>
              <w:top w:val="nil"/>
              <w:left w:val="nil"/>
              <w:bottom w:val="single" w:sz="6" w:space="0" w:color="auto"/>
              <w:right w:val="nil"/>
            </w:tcBorders>
            <w:vAlign w:val="bottom"/>
          </w:tcPr>
          <w:p w14:paraId="1FD3B2A4" w14:textId="77777777" w:rsidR="004D48F3" w:rsidRPr="003A2506" w:rsidRDefault="004D48F3"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4" w:type="pct"/>
            <w:tcBorders>
              <w:top w:val="nil"/>
              <w:left w:val="nil"/>
              <w:bottom w:val="single" w:sz="6" w:space="0" w:color="auto"/>
              <w:right w:val="nil"/>
            </w:tcBorders>
            <w:vAlign w:val="bottom"/>
          </w:tcPr>
          <w:p w14:paraId="1778F2A1" w14:textId="77777777" w:rsidR="004D48F3" w:rsidRPr="003A2506" w:rsidRDefault="004D48F3" w:rsidP="00CA7F04">
            <w:pPr>
              <w:jc w:val="right"/>
              <w:rPr>
                <w:rFonts w:ascii="Arial" w:eastAsia="Calibri" w:hAnsi="Arial" w:cs="Arial"/>
                <w:color w:val="000000" w:themeColor="text1"/>
                <w:sz w:val="14"/>
                <w:szCs w:val="14"/>
              </w:rPr>
            </w:pPr>
            <w:r w:rsidRPr="009C51A3">
              <w:rPr>
                <w:rFonts w:ascii="Arial" w:eastAsia="Calibri" w:hAnsi="Arial" w:cs="Arial"/>
                <w:color w:val="000000" w:themeColor="text1"/>
                <w:sz w:val="14"/>
                <w:szCs w:val="14"/>
              </w:rPr>
              <w:t>138.630</w:t>
            </w:r>
          </w:p>
        </w:tc>
      </w:tr>
      <w:tr w:rsidR="004D48F3" w:rsidRPr="00F12E3D" w14:paraId="21C7C6B1" w14:textId="77777777" w:rsidTr="003C557A">
        <w:trPr>
          <w:trHeight w:val="227"/>
          <w:jc w:val="center"/>
        </w:trPr>
        <w:tc>
          <w:tcPr>
            <w:tcW w:w="537" w:type="pct"/>
            <w:vAlign w:val="bottom"/>
          </w:tcPr>
          <w:p w14:paraId="38F9D692" w14:textId="77777777" w:rsidR="004D48F3" w:rsidRPr="00F12E3D" w:rsidRDefault="004D48F3" w:rsidP="00CA7F04">
            <w:pPr>
              <w:tabs>
                <w:tab w:val="right" w:pos="1202"/>
              </w:tabs>
              <w:spacing w:line="200" w:lineRule="exact"/>
              <w:outlineLvl w:val="0"/>
              <w:rPr>
                <w:rFonts w:ascii="Arial" w:eastAsia="Calibri" w:hAnsi="Arial" w:cs="Arial"/>
                <w:b/>
                <w:bCs/>
                <w:color w:val="000000" w:themeColor="text1"/>
                <w:sz w:val="14"/>
                <w:szCs w:val="14"/>
              </w:rPr>
            </w:pPr>
            <w:r w:rsidRPr="00F12E3D">
              <w:rPr>
                <w:rFonts w:ascii="Arial" w:eastAsia="Calibri" w:hAnsi="Arial" w:cs="Arial"/>
                <w:b/>
                <w:bCs/>
                <w:color w:val="000000" w:themeColor="text1"/>
                <w:sz w:val="14"/>
                <w:szCs w:val="14"/>
              </w:rPr>
              <w:t>Ukupno</w:t>
            </w:r>
          </w:p>
        </w:tc>
        <w:tc>
          <w:tcPr>
            <w:tcW w:w="300" w:type="pct"/>
            <w:tcBorders>
              <w:top w:val="single" w:sz="6" w:space="0" w:color="auto"/>
              <w:left w:val="nil"/>
              <w:bottom w:val="single" w:sz="12" w:space="0" w:color="auto"/>
              <w:right w:val="nil"/>
            </w:tcBorders>
            <w:shd w:val="clear" w:color="auto" w:fill="auto"/>
            <w:vAlign w:val="bottom"/>
          </w:tcPr>
          <w:p w14:paraId="63A97521" w14:textId="77777777" w:rsidR="004D48F3" w:rsidRPr="003A2506" w:rsidRDefault="004D48F3" w:rsidP="00CA7F04">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441.665 </w:t>
            </w:r>
          </w:p>
        </w:tc>
        <w:tc>
          <w:tcPr>
            <w:tcW w:w="298" w:type="pct"/>
            <w:tcBorders>
              <w:top w:val="single" w:sz="6" w:space="0" w:color="auto"/>
              <w:left w:val="nil"/>
              <w:bottom w:val="single" w:sz="12" w:space="0" w:color="auto"/>
              <w:right w:val="nil"/>
            </w:tcBorders>
            <w:shd w:val="clear" w:color="auto" w:fill="auto"/>
            <w:vAlign w:val="bottom"/>
          </w:tcPr>
          <w:p w14:paraId="76FF67E0" w14:textId="77777777" w:rsidR="004D48F3" w:rsidRPr="003A2506" w:rsidRDefault="004D48F3" w:rsidP="00CA7F04">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16.296 </w:t>
            </w:r>
          </w:p>
        </w:tc>
        <w:tc>
          <w:tcPr>
            <w:tcW w:w="295" w:type="pct"/>
            <w:tcBorders>
              <w:top w:val="single" w:sz="6" w:space="0" w:color="auto"/>
              <w:left w:val="nil"/>
              <w:bottom w:val="single" w:sz="12" w:space="0" w:color="auto"/>
              <w:right w:val="nil"/>
            </w:tcBorders>
            <w:shd w:val="clear" w:color="auto" w:fill="auto"/>
            <w:vAlign w:val="bottom"/>
          </w:tcPr>
          <w:p w14:paraId="3F40E400" w14:textId="77777777" w:rsidR="004D48F3" w:rsidRPr="003A2506" w:rsidRDefault="004D48F3" w:rsidP="00CA7F04">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20.440 </w:t>
            </w:r>
          </w:p>
        </w:tc>
        <w:tc>
          <w:tcPr>
            <w:tcW w:w="287" w:type="pct"/>
            <w:tcBorders>
              <w:top w:val="single" w:sz="6" w:space="0" w:color="auto"/>
              <w:left w:val="nil"/>
              <w:bottom w:val="single" w:sz="12" w:space="0" w:color="auto"/>
              <w:right w:val="nil"/>
            </w:tcBorders>
            <w:shd w:val="clear" w:color="auto" w:fill="auto"/>
            <w:vAlign w:val="bottom"/>
          </w:tcPr>
          <w:p w14:paraId="3777B5EF" w14:textId="77777777" w:rsidR="004D48F3" w:rsidRPr="003A2506" w:rsidRDefault="004D48F3" w:rsidP="00CA7F04">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w:t>
            </w:r>
          </w:p>
        </w:tc>
        <w:tc>
          <w:tcPr>
            <w:tcW w:w="291" w:type="pct"/>
            <w:tcBorders>
              <w:top w:val="nil"/>
              <w:left w:val="nil"/>
              <w:bottom w:val="single" w:sz="12" w:space="0" w:color="auto"/>
              <w:right w:val="nil"/>
            </w:tcBorders>
            <w:shd w:val="clear" w:color="auto" w:fill="auto"/>
            <w:vAlign w:val="bottom"/>
          </w:tcPr>
          <w:p w14:paraId="068B54D0" w14:textId="77777777" w:rsidR="004D48F3" w:rsidRPr="003A2506" w:rsidRDefault="004D48F3" w:rsidP="00CA7F04">
            <w:pPr>
              <w:jc w:val="right"/>
              <w:rPr>
                <w:rFonts w:ascii="Arial" w:eastAsia="Calibri" w:hAnsi="Arial" w:cs="Arial"/>
                <w:b/>
                <w:bCs/>
                <w:sz w:val="14"/>
                <w:szCs w:val="14"/>
              </w:rPr>
            </w:pPr>
            <w:r w:rsidRPr="005315D0">
              <w:rPr>
                <w:rFonts w:ascii="Arial" w:eastAsia="Calibri" w:hAnsi="Arial" w:cs="Arial"/>
                <w:b/>
                <w:bCs/>
                <w:sz w:val="14"/>
                <w:szCs w:val="14"/>
              </w:rPr>
              <w:t>12.574</w:t>
            </w:r>
          </w:p>
        </w:tc>
        <w:tc>
          <w:tcPr>
            <w:tcW w:w="318" w:type="pct"/>
            <w:tcBorders>
              <w:top w:val="single" w:sz="6" w:space="0" w:color="auto"/>
              <w:left w:val="nil"/>
              <w:bottom w:val="single" w:sz="12" w:space="0" w:color="auto"/>
              <w:right w:val="nil"/>
            </w:tcBorders>
            <w:shd w:val="clear" w:color="auto" w:fill="auto"/>
            <w:vAlign w:val="bottom"/>
          </w:tcPr>
          <w:p w14:paraId="2A4171E0" w14:textId="77777777" w:rsidR="004D48F3" w:rsidRPr="003A2506" w:rsidRDefault="004D48F3" w:rsidP="00CA7F04">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 </w:t>
            </w:r>
          </w:p>
        </w:tc>
        <w:tc>
          <w:tcPr>
            <w:tcW w:w="333" w:type="pct"/>
            <w:tcBorders>
              <w:top w:val="single" w:sz="6" w:space="0" w:color="auto"/>
              <w:left w:val="nil"/>
              <w:bottom w:val="single" w:sz="12" w:space="0" w:color="auto"/>
              <w:right w:val="nil"/>
            </w:tcBorders>
            <w:shd w:val="clear" w:color="auto" w:fill="auto"/>
            <w:vAlign w:val="bottom"/>
          </w:tcPr>
          <w:p w14:paraId="2BBA6EB3" w14:textId="77777777" w:rsidR="004D48F3" w:rsidRPr="003A2506" w:rsidRDefault="004D48F3" w:rsidP="00CA7F04">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490.975 </w:t>
            </w:r>
          </w:p>
        </w:tc>
        <w:tc>
          <w:tcPr>
            <w:tcW w:w="328" w:type="pct"/>
            <w:tcBorders>
              <w:top w:val="single" w:sz="6" w:space="0" w:color="auto"/>
              <w:left w:val="nil"/>
              <w:bottom w:val="single" w:sz="12" w:space="0" w:color="auto"/>
              <w:right w:val="nil"/>
            </w:tcBorders>
            <w:vAlign w:val="bottom"/>
          </w:tcPr>
          <w:p w14:paraId="2A359814" w14:textId="77777777" w:rsidR="004D48F3" w:rsidRPr="003A2506" w:rsidRDefault="004D48F3" w:rsidP="00CA7F04">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153.179 </w:t>
            </w:r>
          </w:p>
        </w:tc>
        <w:tc>
          <w:tcPr>
            <w:tcW w:w="329" w:type="pct"/>
            <w:tcBorders>
              <w:top w:val="single" w:sz="6" w:space="0" w:color="auto"/>
              <w:left w:val="nil"/>
              <w:bottom w:val="single" w:sz="12" w:space="0" w:color="auto"/>
              <w:right w:val="nil"/>
            </w:tcBorders>
            <w:vAlign w:val="bottom"/>
          </w:tcPr>
          <w:p w14:paraId="651802F1" w14:textId="77777777" w:rsidR="004D48F3" w:rsidRPr="003A2506" w:rsidRDefault="004D48F3" w:rsidP="00CA7F04">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7.201 </w:t>
            </w:r>
          </w:p>
        </w:tc>
        <w:tc>
          <w:tcPr>
            <w:tcW w:w="329" w:type="pct"/>
            <w:tcBorders>
              <w:top w:val="single" w:sz="6" w:space="0" w:color="auto"/>
              <w:left w:val="nil"/>
              <w:bottom w:val="single" w:sz="12" w:space="0" w:color="auto"/>
              <w:right w:val="nil"/>
            </w:tcBorders>
            <w:vAlign w:val="bottom"/>
          </w:tcPr>
          <w:p w14:paraId="6535C2EC" w14:textId="77777777" w:rsidR="004D48F3" w:rsidRPr="003A2506" w:rsidRDefault="004D48F3" w:rsidP="00CA7F04">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14.348 </w:t>
            </w:r>
          </w:p>
        </w:tc>
        <w:tc>
          <w:tcPr>
            <w:tcW w:w="329" w:type="pct"/>
            <w:tcBorders>
              <w:top w:val="single" w:sz="6" w:space="0" w:color="auto"/>
              <w:left w:val="nil"/>
              <w:bottom w:val="single" w:sz="12" w:space="0" w:color="auto"/>
              <w:right w:val="nil"/>
            </w:tcBorders>
            <w:vAlign w:val="bottom"/>
          </w:tcPr>
          <w:p w14:paraId="5A83BCBD" w14:textId="77777777" w:rsidR="004D48F3" w:rsidRPr="003A2506" w:rsidRDefault="004D48F3" w:rsidP="00CA7F04">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w:t>
            </w:r>
            <w:r>
              <w:rPr>
                <w:rFonts w:ascii="Arial" w:eastAsia="Calibri" w:hAnsi="Arial" w:cs="Arial"/>
                <w:b/>
                <w:bCs/>
                <w:color w:val="000000" w:themeColor="text1"/>
                <w:sz w:val="14"/>
                <w:szCs w:val="14"/>
              </w:rPr>
              <w:t>-</w:t>
            </w:r>
          </w:p>
        </w:tc>
        <w:tc>
          <w:tcPr>
            <w:tcW w:w="330" w:type="pct"/>
            <w:tcBorders>
              <w:top w:val="nil"/>
              <w:left w:val="nil"/>
              <w:bottom w:val="single" w:sz="12" w:space="0" w:color="auto"/>
              <w:right w:val="nil"/>
            </w:tcBorders>
            <w:shd w:val="clear" w:color="auto" w:fill="auto"/>
            <w:vAlign w:val="bottom"/>
          </w:tcPr>
          <w:p w14:paraId="0AEC72CF" w14:textId="77777777" w:rsidR="004D48F3" w:rsidRPr="003A2506" w:rsidRDefault="004D48F3" w:rsidP="00CA7F04">
            <w:pPr>
              <w:jc w:val="right"/>
              <w:rPr>
                <w:rFonts w:ascii="Arial" w:eastAsia="Calibri" w:hAnsi="Arial" w:cs="Arial"/>
                <w:b/>
                <w:bCs/>
                <w:sz w:val="14"/>
                <w:szCs w:val="14"/>
              </w:rPr>
            </w:pPr>
            <w:r>
              <w:rPr>
                <w:rFonts w:ascii="Arial" w:eastAsia="Calibri" w:hAnsi="Arial" w:cs="Arial"/>
                <w:b/>
                <w:bCs/>
                <w:color w:val="000000" w:themeColor="text1"/>
                <w:sz w:val="14"/>
                <w:szCs w:val="14"/>
              </w:rPr>
              <w:t>65</w:t>
            </w:r>
          </w:p>
        </w:tc>
        <w:tc>
          <w:tcPr>
            <w:tcW w:w="371" w:type="pct"/>
            <w:tcBorders>
              <w:top w:val="single" w:sz="6" w:space="0" w:color="auto"/>
              <w:left w:val="nil"/>
              <w:bottom w:val="single" w:sz="12" w:space="0" w:color="auto"/>
              <w:right w:val="nil"/>
            </w:tcBorders>
            <w:vAlign w:val="bottom"/>
          </w:tcPr>
          <w:p w14:paraId="2BFD2201" w14:textId="77777777" w:rsidR="004D48F3" w:rsidRPr="003A2506" w:rsidRDefault="004D48F3" w:rsidP="00CA7F04">
            <w:pPr>
              <w:jc w:val="right"/>
              <w:rPr>
                <w:rFonts w:ascii="Arial" w:eastAsia="Calibri" w:hAnsi="Arial" w:cs="Arial"/>
                <w:b/>
                <w:bCs/>
                <w:sz w:val="14"/>
                <w:szCs w:val="14"/>
              </w:rPr>
            </w:pPr>
            <w:r>
              <w:rPr>
                <w:rFonts w:ascii="Arial" w:eastAsia="Calibri" w:hAnsi="Arial" w:cs="Arial"/>
                <w:b/>
                <w:bCs/>
                <w:color w:val="000000" w:themeColor="text1"/>
                <w:sz w:val="14"/>
                <w:szCs w:val="14"/>
              </w:rPr>
              <w:t>-</w:t>
            </w:r>
          </w:p>
        </w:tc>
        <w:tc>
          <w:tcPr>
            <w:tcW w:w="324" w:type="pct"/>
            <w:tcBorders>
              <w:top w:val="single" w:sz="6" w:space="0" w:color="auto"/>
              <w:left w:val="nil"/>
              <w:bottom w:val="single" w:sz="12" w:space="0" w:color="auto"/>
              <w:right w:val="nil"/>
            </w:tcBorders>
            <w:vAlign w:val="bottom"/>
          </w:tcPr>
          <w:p w14:paraId="290E39AF" w14:textId="77777777" w:rsidR="004D48F3" w:rsidRPr="003A2506" w:rsidRDefault="004D48F3" w:rsidP="00CA7F04">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174.793</w:t>
            </w:r>
          </w:p>
        </w:tc>
      </w:tr>
      <w:tr w:rsidR="004D48F3" w:rsidRPr="00F12E3D" w14:paraId="31C625DC" w14:textId="77777777" w:rsidTr="003C557A">
        <w:trPr>
          <w:trHeight w:val="55"/>
          <w:jc w:val="center"/>
        </w:trPr>
        <w:tc>
          <w:tcPr>
            <w:tcW w:w="537" w:type="pct"/>
            <w:vAlign w:val="bottom"/>
          </w:tcPr>
          <w:p w14:paraId="081E3F28" w14:textId="77777777" w:rsidR="004D48F3" w:rsidRPr="00F12E3D" w:rsidRDefault="004D48F3" w:rsidP="00CA7F04">
            <w:pPr>
              <w:tabs>
                <w:tab w:val="right" w:pos="1202"/>
              </w:tabs>
              <w:spacing w:line="200" w:lineRule="exact"/>
              <w:outlineLvl w:val="0"/>
              <w:rPr>
                <w:rFonts w:ascii="Arial" w:eastAsia="Calibri" w:hAnsi="Arial" w:cs="Arial"/>
                <w:b/>
                <w:bCs/>
                <w:color w:val="000000" w:themeColor="text1"/>
                <w:sz w:val="14"/>
                <w:szCs w:val="14"/>
              </w:rPr>
            </w:pPr>
            <w:r w:rsidRPr="00F12E3D">
              <w:rPr>
                <w:rFonts w:ascii="Arial" w:eastAsia="Calibri" w:hAnsi="Arial" w:cs="Arial"/>
                <w:b/>
                <w:bCs/>
                <w:color w:val="000000" w:themeColor="text1"/>
                <w:sz w:val="14"/>
                <w:szCs w:val="14"/>
              </w:rPr>
              <w:t>Ukupna izloženost kreditnom riziku</w:t>
            </w:r>
          </w:p>
        </w:tc>
        <w:tc>
          <w:tcPr>
            <w:tcW w:w="300" w:type="pct"/>
            <w:tcBorders>
              <w:top w:val="nil"/>
              <w:left w:val="nil"/>
              <w:bottom w:val="single" w:sz="12" w:space="0" w:color="auto"/>
              <w:right w:val="nil"/>
            </w:tcBorders>
            <w:shd w:val="clear" w:color="auto" w:fill="auto"/>
            <w:vAlign w:val="bottom"/>
          </w:tcPr>
          <w:p w14:paraId="0B69A69E" w14:textId="77777777" w:rsidR="004D48F3" w:rsidRPr="00F959D0" w:rsidRDefault="004D48F3" w:rsidP="00CA7F04">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792</w:t>
            </w:r>
            <w:r w:rsidRPr="00F959D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038</w:t>
            </w:r>
            <w:r w:rsidRPr="00F959D0">
              <w:rPr>
                <w:rFonts w:ascii="Arial" w:eastAsia="Calibri" w:hAnsi="Arial" w:cs="Arial"/>
                <w:b/>
                <w:bCs/>
                <w:color w:val="000000" w:themeColor="text1"/>
                <w:sz w:val="14"/>
                <w:szCs w:val="14"/>
              </w:rPr>
              <w:t xml:space="preserve"> </w:t>
            </w:r>
          </w:p>
        </w:tc>
        <w:tc>
          <w:tcPr>
            <w:tcW w:w="298" w:type="pct"/>
            <w:tcBorders>
              <w:top w:val="nil"/>
              <w:left w:val="nil"/>
              <w:bottom w:val="single" w:sz="12" w:space="0" w:color="auto"/>
              <w:right w:val="nil"/>
            </w:tcBorders>
            <w:shd w:val="clear" w:color="auto" w:fill="auto"/>
            <w:vAlign w:val="bottom"/>
          </w:tcPr>
          <w:p w14:paraId="6F29C101" w14:textId="77777777" w:rsidR="004D48F3" w:rsidRPr="00F959D0" w:rsidRDefault="004D48F3" w:rsidP="00CA7F04">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291.025 </w:t>
            </w:r>
          </w:p>
        </w:tc>
        <w:tc>
          <w:tcPr>
            <w:tcW w:w="295" w:type="pct"/>
            <w:tcBorders>
              <w:top w:val="nil"/>
              <w:left w:val="nil"/>
              <w:bottom w:val="single" w:sz="12" w:space="0" w:color="auto"/>
              <w:right w:val="nil"/>
            </w:tcBorders>
            <w:shd w:val="clear" w:color="auto" w:fill="auto"/>
            <w:vAlign w:val="bottom"/>
          </w:tcPr>
          <w:p w14:paraId="2FDE39C0" w14:textId="77777777" w:rsidR="004D48F3" w:rsidRPr="00F959D0" w:rsidRDefault="004D48F3" w:rsidP="00CA7F04">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153.795 </w:t>
            </w:r>
          </w:p>
        </w:tc>
        <w:tc>
          <w:tcPr>
            <w:tcW w:w="287" w:type="pct"/>
            <w:tcBorders>
              <w:top w:val="nil"/>
              <w:left w:val="nil"/>
              <w:bottom w:val="single" w:sz="12" w:space="0" w:color="auto"/>
              <w:right w:val="nil"/>
            </w:tcBorders>
            <w:shd w:val="clear" w:color="auto" w:fill="auto"/>
            <w:vAlign w:val="bottom"/>
          </w:tcPr>
          <w:p w14:paraId="7B5A5449" w14:textId="77777777" w:rsidR="004D48F3" w:rsidRPr="00F959D0" w:rsidRDefault="004D48F3" w:rsidP="00CA7F04">
            <w:pPr>
              <w:jc w:val="right"/>
              <w:rPr>
                <w:rFonts w:ascii="Arial" w:eastAsia="Calibri" w:hAnsi="Arial" w:cs="Arial"/>
                <w:b/>
                <w:bCs/>
                <w:color w:val="000000" w:themeColor="text1"/>
                <w:sz w:val="14"/>
                <w:szCs w:val="14"/>
              </w:rPr>
            </w:pPr>
            <w:r w:rsidRPr="00B726F1">
              <w:rPr>
                <w:rFonts w:ascii="Arial" w:eastAsia="Calibri" w:hAnsi="Arial" w:cs="Arial"/>
                <w:b/>
                <w:bCs/>
                <w:color w:val="000000" w:themeColor="text1"/>
                <w:sz w:val="14"/>
                <w:szCs w:val="14"/>
              </w:rPr>
              <w:t>5.463</w:t>
            </w:r>
          </w:p>
        </w:tc>
        <w:tc>
          <w:tcPr>
            <w:tcW w:w="291" w:type="pct"/>
            <w:tcBorders>
              <w:top w:val="nil"/>
              <w:left w:val="nil"/>
              <w:bottom w:val="single" w:sz="12" w:space="0" w:color="auto"/>
              <w:right w:val="nil"/>
            </w:tcBorders>
            <w:shd w:val="clear" w:color="auto" w:fill="auto"/>
            <w:vAlign w:val="bottom"/>
          </w:tcPr>
          <w:p w14:paraId="5360770B" w14:textId="77777777" w:rsidR="004D48F3" w:rsidRPr="00F959D0" w:rsidRDefault="004D48F3" w:rsidP="00CA7F04">
            <w:pPr>
              <w:jc w:val="right"/>
              <w:rPr>
                <w:rFonts w:ascii="Arial" w:eastAsia="Calibri" w:hAnsi="Arial" w:cs="Arial"/>
                <w:b/>
                <w:bCs/>
                <w:color w:val="000000" w:themeColor="text1"/>
                <w:sz w:val="14"/>
                <w:szCs w:val="14"/>
              </w:rPr>
            </w:pPr>
            <w:r w:rsidRPr="00B726F1">
              <w:rPr>
                <w:rFonts w:ascii="Arial" w:eastAsia="Calibri" w:hAnsi="Arial" w:cs="Arial"/>
                <w:b/>
                <w:bCs/>
                <w:color w:val="000000" w:themeColor="text1"/>
                <w:sz w:val="14"/>
                <w:szCs w:val="14"/>
              </w:rPr>
              <w:t>191.899</w:t>
            </w:r>
          </w:p>
        </w:tc>
        <w:tc>
          <w:tcPr>
            <w:tcW w:w="318" w:type="pct"/>
            <w:tcBorders>
              <w:top w:val="nil"/>
              <w:left w:val="nil"/>
              <w:bottom w:val="single" w:sz="12" w:space="0" w:color="auto"/>
              <w:right w:val="nil"/>
            </w:tcBorders>
            <w:shd w:val="clear" w:color="auto" w:fill="auto"/>
            <w:vAlign w:val="bottom"/>
          </w:tcPr>
          <w:p w14:paraId="36C3CB05" w14:textId="77777777" w:rsidR="004D48F3" w:rsidRPr="00F959D0" w:rsidRDefault="004D48F3" w:rsidP="00CA7F04">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33.709 </w:t>
            </w:r>
          </w:p>
        </w:tc>
        <w:tc>
          <w:tcPr>
            <w:tcW w:w="333" w:type="pct"/>
            <w:tcBorders>
              <w:top w:val="nil"/>
              <w:left w:val="nil"/>
              <w:bottom w:val="single" w:sz="12" w:space="0" w:color="auto"/>
              <w:right w:val="nil"/>
            </w:tcBorders>
            <w:shd w:val="clear" w:color="auto" w:fill="auto"/>
            <w:vAlign w:val="bottom"/>
          </w:tcPr>
          <w:p w14:paraId="1050597C" w14:textId="77777777" w:rsidR="004D48F3" w:rsidRPr="00F959D0" w:rsidRDefault="004D48F3" w:rsidP="00CA7F04">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4.</w:t>
            </w:r>
            <w:r>
              <w:rPr>
                <w:rFonts w:ascii="Arial" w:eastAsia="Calibri" w:hAnsi="Arial" w:cs="Arial"/>
                <w:b/>
                <w:bCs/>
                <w:color w:val="000000" w:themeColor="text1"/>
                <w:sz w:val="14"/>
                <w:szCs w:val="14"/>
              </w:rPr>
              <w:t>467.929</w:t>
            </w:r>
            <w:r w:rsidRPr="00F959D0">
              <w:rPr>
                <w:rFonts w:ascii="Arial" w:eastAsia="Calibri" w:hAnsi="Arial" w:cs="Arial"/>
                <w:b/>
                <w:bCs/>
                <w:color w:val="000000" w:themeColor="text1"/>
                <w:sz w:val="14"/>
                <w:szCs w:val="14"/>
              </w:rPr>
              <w:t xml:space="preserve"> </w:t>
            </w:r>
          </w:p>
        </w:tc>
        <w:tc>
          <w:tcPr>
            <w:tcW w:w="328" w:type="pct"/>
            <w:tcBorders>
              <w:top w:val="nil"/>
              <w:left w:val="nil"/>
              <w:bottom w:val="single" w:sz="12" w:space="0" w:color="auto"/>
              <w:right w:val="nil"/>
            </w:tcBorders>
            <w:shd w:val="clear" w:color="auto" w:fill="auto"/>
            <w:vAlign w:val="bottom"/>
          </w:tcPr>
          <w:p w14:paraId="75859547" w14:textId="77777777" w:rsidR="004D48F3" w:rsidRPr="00F959D0" w:rsidRDefault="004D48F3" w:rsidP="00CA7F04">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711.8</w:t>
            </w:r>
            <w:r>
              <w:rPr>
                <w:rFonts w:ascii="Arial" w:eastAsia="Calibri" w:hAnsi="Arial" w:cs="Arial"/>
                <w:b/>
                <w:bCs/>
                <w:color w:val="000000" w:themeColor="text1"/>
                <w:sz w:val="14"/>
                <w:szCs w:val="14"/>
              </w:rPr>
              <w:t>76</w:t>
            </w:r>
          </w:p>
        </w:tc>
        <w:tc>
          <w:tcPr>
            <w:tcW w:w="329" w:type="pct"/>
            <w:tcBorders>
              <w:top w:val="nil"/>
              <w:left w:val="nil"/>
              <w:bottom w:val="single" w:sz="12" w:space="0" w:color="auto"/>
              <w:right w:val="nil"/>
            </w:tcBorders>
            <w:shd w:val="clear" w:color="auto" w:fill="auto"/>
            <w:vAlign w:val="bottom"/>
          </w:tcPr>
          <w:p w14:paraId="20BCBD94" w14:textId="77777777" w:rsidR="004D48F3" w:rsidRPr="00F959D0" w:rsidRDefault="004D48F3" w:rsidP="00CA7F04">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36.8</w:t>
            </w:r>
            <w:r>
              <w:rPr>
                <w:rFonts w:ascii="Arial" w:eastAsia="Calibri" w:hAnsi="Arial" w:cs="Arial"/>
                <w:b/>
                <w:bCs/>
                <w:color w:val="000000" w:themeColor="text1"/>
                <w:sz w:val="14"/>
                <w:szCs w:val="14"/>
              </w:rPr>
              <w:t>80</w:t>
            </w:r>
            <w:r w:rsidRPr="00F959D0">
              <w:rPr>
                <w:rFonts w:ascii="Arial" w:eastAsia="Calibri" w:hAnsi="Arial" w:cs="Arial"/>
                <w:b/>
                <w:bCs/>
                <w:color w:val="000000" w:themeColor="text1"/>
                <w:sz w:val="14"/>
                <w:szCs w:val="14"/>
              </w:rPr>
              <w:t xml:space="preserve"> </w:t>
            </w:r>
          </w:p>
        </w:tc>
        <w:tc>
          <w:tcPr>
            <w:tcW w:w="329" w:type="pct"/>
            <w:tcBorders>
              <w:top w:val="nil"/>
              <w:left w:val="nil"/>
              <w:bottom w:val="single" w:sz="12" w:space="0" w:color="auto"/>
              <w:right w:val="nil"/>
            </w:tcBorders>
            <w:shd w:val="clear" w:color="auto" w:fill="auto"/>
            <w:vAlign w:val="bottom"/>
          </w:tcPr>
          <w:p w14:paraId="03C1A91E" w14:textId="77777777" w:rsidR="004D48F3" w:rsidRPr="00F959D0" w:rsidRDefault="004D48F3" w:rsidP="00CA7F04">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23.053 </w:t>
            </w:r>
          </w:p>
        </w:tc>
        <w:tc>
          <w:tcPr>
            <w:tcW w:w="329" w:type="pct"/>
            <w:tcBorders>
              <w:top w:val="nil"/>
              <w:left w:val="nil"/>
              <w:bottom w:val="single" w:sz="12" w:space="0" w:color="auto"/>
              <w:right w:val="nil"/>
            </w:tcBorders>
            <w:shd w:val="clear" w:color="auto" w:fill="auto"/>
            <w:vAlign w:val="bottom"/>
          </w:tcPr>
          <w:p w14:paraId="378188EA" w14:textId="77777777" w:rsidR="004D48F3" w:rsidRPr="00F959D0" w:rsidRDefault="004D48F3" w:rsidP="00CA7F04">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66</w:t>
            </w:r>
          </w:p>
        </w:tc>
        <w:tc>
          <w:tcPr>
            <w:tcW w:w="330" w:type="pct"/>
            <w:tcBorders>
              <w:top w:val="nil"/>
              <w:left w:val="nil"/>
              <w:bottom w:val="single" w:sz="12" w:space="0" w:color="auto"/>
              <w:right w:val="nil"/>
            </w:tcBorders>
            <w:shd w:val="clear" w:color="auto" w:fill="auto"/>
            <w:vAlign w:val="bottom"/>
          </w:tcPr>
          <w:p w14:paraId="7F6E4881" w14:textId="77777777" w:rsidR="004D48F3" w:rsidRPr="00F959D0" w:rsidRDefault="004D48F3" w:rsidP="00CA7F04">
            <w:pPr>
              <w:jc w:val="right"/>
              <w:rPr>
                <w:rFonts w:ascii="Arial" w:eastAsia="Calibri" w:hAnsi="Arial" w:cs="Arial"/>
                <w:b/>
                <w:bCs/>
                <w:color w:val="000000" w:themeColor="text1"/>
                <w:sz w:val="14"/>
                <w:szCs w:val="14"/>
              </w:rPr>
            </w:pPr>
            <w:r w:rsidRPr="00B726F1">
              <w:rPr>
                <w:rFonts w:ascii="Arial" w:eastAsia="Calibri" w:hAnsi="Arial" w:cs="Arial"/>
                <w:b/>
                <w:bCs/>
                <w:color w:val="000000" w:themeColor="text1"/>
                <w:sz w:val="14"/>
                <w:szCs w:val="14"/>
              </w:rPr>
              <w:t>9.619</w:t>
            </w:r>
          </w:p>
        </w:tc>
        <w:tc>
          <w:tcPr>
            <w:tcW w:w="371" w:type="pct"/>
            <w:tcBorders>
              <w:top w:val="nil"/>
              <w:left w:val="nil"/>
              <w:bottom w:val="single" w:sz="12" w:space="0" w:color="auto"/>
              <w:right w:val="nil"/>
            </w:tcBorders>
            <w:shd w:val="clear" w:color="auto" w:fill="auto"/>
            <w:vAlign w:val="bottom"/>
          </w:tcPr>
          <w:p w14:paraId="44E0725A" w14:textId="77777777" w:rsidR="004D48F3" w:rsidRPr="00F959D0" w:rsidRDefault="004D48F3" w:rsidP="00CA7F04">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158 </w:t>
            </w:r>
          </w:p>
        </w:tc>
        <w:tc>
          <w:tcPr>
            <w:tcW w:w="324" w:type="pct"/>
            <w:tcBorders>
              <w:top w:val="nil"/>
              <w:left w:val="nil"/>
              <w:bottom w:val="single" w:sz="12" w:space="0" w:color="auto"/>
              <w:right w:val="nil"/>
            </w:tcBorders>
            <w:shd w:val="clear" w:color="auto" w:fill="auto"/>
            <w:vAlign w:val="bottom"/>
          </w:tcPr>
          <w:p w14:paraId="718FB957" w14:textId="77777777" w:rsidR="004D48F3" w:rsidRPr="00F959D0" w:rsidRDefault="004D48F3" w:rsidP="00CA7F04">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781.6</w:t>
            </w:r>
            <w:r>
              <w:rPr>
                <w:rFonts w:ascii="Arial" w:eastAsia="Calibri" w:hAnsi="Arial" w:cs="Arial"/>
                <w:b/>
                <w:bCs/>
                <w:color w:val="000000" w:themeColor="text1"/>
                <w:sz w:val="14"/>
                <w:szCs w:val="14"/>
              </w:rPr>
              <w:t>5</w:t>
            </w:r>
            <w:r w:rsidRPr="00F959D0">
              <w:rPr>
                <w:rFonts w:ascii="Arial" w:eastAsia="Calibri" w:hAnsi="Arial" w:cs="Arial"/>
                <w:b/>
                <w:bCs/>
                <w:color w:val="000000" w:themeColor="text1"/>
                <w:sz w:val="14"/>
                <w:szCs w:val="14"/>
              </w:rPr>
              <w:t xml:space="preserve">2 </w:t>
            </w:r>
          </w:p>
        </w:tc>
      </w:tr>
    </w:tbl>
    <w:p w14:paraId="04AC06CD" w14:textId="77777777" w:rsidR="003278AB" w:rsidRPr="003D1614" w:rsidRDefault="003278AB" w:rsidP="003278AB">
      <w:pPr>
        <w:suppressAutoHyphens/>
        <w:autoSpaceDN w:val="0"/>
        <w:jc w:val="both"/>
        <w:rPr>
          <w:rFonts w:ascii="Arial" w:eastAsia="Calibri" w:hAnsi="Arial" w:cs="Arial"/>
          <w:bCs/>
          <w:color w:val="000000" w:themeColor="text1"/>
          <w:sz w:val="20"/>
          <w:szCs w:val="20"/>
        </w:rPr>
      </w:pPr>
    </w:p>
    <w:p w14:paraId="7D23427D" w14:textId="77777777" w:rsidR="003278AB" w:rsidRPr="003D1614" w:rsidRDefault="003278AB" w:rsidP="001A0FCB">
      <w:pPr>
        <w:suppressAutoHyphens/>
        <w:autoSpaceDN w:val="0"/>
        <w:jc w:val="both"/>
        <w:rPr>
          <w:rFonts w:ascii="Arial" w:eastAsia="Times New Roman" w:hAnsi="Arial" w:cs="Arial"/>
          <w:color w:val="000000" w:themeColor="text1"/>
          <w:sz w:val="20"/>
          <w:szCs w:val="20"/>
        </w:rPr>
        <w:sectPr w:rsidR="003278AB" w:rsidRPr="003D1614" w:rsidSect="003278AB">
          <w:pgSz w:w="16838" w:h="11906" w:orient="landscape"/>
          <w:pgMar w:top="1417" w:right="1417" w:bottom="1417" w:left="1417" w:header="708" w:footer="708" w:gutter="0"/>
          <w:cols w:space="708"/>
          <w:docGrid w:linePitch="360"/>
        </w:sectPr>
      </w:pPr>
    </w:p>
    <w:p w14:paraId="26330707" w14:textId="58C51220"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lastRenderedPageBreak/>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w:t>
      </w:r>
      <w:r w:rsidRPr="003D1614">
        <w:rPr>
          <w:rFonts w:ascii="Arial" w:eastAsia="Times New Roman" w:hAnsi="Arial" w:cs="Arial"/>
          <w:b/>
          <w:bCs/>
          <w:color w:val="000000" w:themeColor="text1"/>
          <w:sz w:val="18"/>
          <w:szCs w:val="18"/>
        </w:rPr>
        <w:tab/>
        <w:t>Upravljanje rizicima (nastavak)</w:t>
      </w:r>
    </w:p>
    <w:p w14:paraId="33C4D2FC" w14:textId="2D7B005F"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 xml:space="preserve">.3. </w:t>
      </w:r>
      <w:r w:rsidRPr="003D1614">
        <w:rPr>
          <w:rFonts w:ascii="Arial" w:eastAsia="Times New Roman" w:hAnsi="Arial" w:cs="Arial"/>
          <w:b/>
          <w:bCs/>
          <w:color w:val="000000" w:themeColor="text1"/>
          <w:sz w:val="18"/>
          <w:szCs w:val="18"/>
        </w:rPr>
        <w:tab/>
        <w:t>Kreditni rizik (nastavak)</w:t>
      </w:r>
    </w:p>
    <w:p w14:paraId="20DEEFA1" w14:textId="77777777"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Kvaliteta kreditnog rizika prema vrsti financijske imovine (nastavak)</w:t>
      </w:r>
    </w:p>
    <w:p w14:paraId="239BC46A" w14:textId="77777777" w:rsidR="003278AB" w:rsidRDefault="003278AB" w:rsidP="003278AB">
      <w:pPr>
        <w:suppressAutoHyphens/>
        <w:autoSpaceDN w:val="0"/>
        <w:spacing w:before="120" w:after="120"/>
        <w:jc w:val="both"/>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Analiza kreditnog rizika, neto izloženost, prije i nakon uzimanja u obzir primljenih instrumenata osiguranja, prema vrsti financijske imovine na pozicijama imovine i garancija i preuzetih obveza prema rizičnim skupinama (nastavak):</w:t>
      </w:r>
    </w:p>
    <w:tbl>
      <w:tblPr>
        <w:tblpPr w:leftFromText="180" w:rightFromText="180" w:vertAnchor="text" w:horzAnchor="margin" w:tblpXSpec="center" w:tblpY="48"/>
        <w:tblW w:w="5542" w:type="pct"/>
        <w:tblLayout w:type="fixed"/>
        <w:tblLook w:val="0000" w:firstRow="0" w:lastRow="0" w:firstColumn="0" w:lastColumn="0" w:noHBand="0" w:noVBand="0"/>
      </w:tblPr>
      <w:tblGrid>
        <w:gridCol w:w="1671"/>
        <w:gridCol w:w="934"/>
        <w:gridCol w:w="925"/>
        <w:gridCol w:w="916"/>
        <w:gridCol w:w="891"/>
        <w:gridCol w:w="922"/>
        <w:gridCol w:w="969"/>
        <w:gridCol w:w="1034"/>
        <w:gridCol w:w="1018"/>
        <w:gridCol w:w="1021"/>
        <w:gridCol w:w="1021"/>
        <w:gridCol w:w="1021"/>
        <w:gridCol w:w="1024"/>
        <w:gridCol w:w="1152"/>
        <w:gridCol w:w="1003"/>
      </w:tblGrid>
      <w:tr w:rsidR="00CF7B3C" w:rsidRPr="00F12E3D" w14:paraId="2C4B8B6B" w14:textId="77777777" w:rsidTr="0008792D">
        <w:trPr>
          <w:trHeight w:val="1607"/>
        </w:trPr>
        <w:tc>
          <w:tcPr>
            <w:tcW w:w="538" w:type="pct"/>
          </w:tcPr>
          <w:p w14:paraId="374C7110" w14:textId="77777777" w:rsidR="00CF7B3C" w:rsidRPr="00F12E3D" w:rsidRDefault="00CF7B3C" w:rsidP="0008792D">
            <w:pPr>
              <w:rPr>
                <w:rFonts w:ascii="Arial" w:eastAsia="Calibri" w:hAnsi="Arial" w:cs="Arial"/>
                <w:b/>
                <w:bCs/>
                <w:color w:val="000000" w:themeColor="text1"/>
                <w:sz w:val="14"/>
                <w:szCs w:val="14"/>
              </w:rPr>
            </w:pPr>
            <w:r w:rsidRPr="00F12E3D">
              <w:rPr>
                <w:rFonts w:ascii="Arial" w:eastAsia="Calibri" w:hAnsi="Arial" w:cs="Arial"/>
                <w:b/>
                <w:bCs/>
                <w:color w:val="000000" w:themeColor="text1"/>
                <w:sz w:val="14"/>
                <w:szCs w:val="14"/>
              </w:rPr>
              <w:br w:type="page"/>
            </w:r>
            <w:r>
              <w:rPr>
                <w:rFonts w:ascii="Arial" w:eastAsia="Calibri" w:hAnsi="Arial" w:cs="Arial"/>
                <w:b/>
                <w:bCs/>
                <w:color w:val="000000" w:themeColor="text1"/>
                <w:sz w:val="14"/>
                <w:szCs w:val="14"/>
              </w:rPr>
              <w:t>Banka</w:t>
            </w:r>
          </w:p>
          <w:p w14:paraId="0A9A483C" w14:textId="77777777" w:rsidR="00CF7B3C" w:rsidRPr="00F12E3D" w:rsidRDefault="00CF7B3C" w:rsidP="0008792D">
            <w:pPr>
              <w:rPr>
                <w:rFonts w:ascii="Arial" w:eastAsia="Calibri" w:hAnsi="Arial" w:cs="Arial"/>
                <w:b/>
                <w:bCs/>
                <w:color w:val="000000" w:themeColor="text1"/>
                <w:sz w:val="14"/>
                <w:szCs w:val="14"/>
              </w:rPr>
            </w:pPr>
          </w:p>
          <w:p w14:paraId="5BD1DBF8" w14:textId="77777777" w:rsidR="00CF7B3C" w:rsidRPr="00F12E3D" w:rsidRDefault="00CF7B3C" w:rsidP="0008792D">
            <w:pPr>
              <w:rPr>
                <w:rFonts w:ascii="Arial" w:eastAsia="Calibri" w:hAnsi="Arial" w:cs="Arial"/>
                <w:color w:val="000000" w:themeColor="text1"/>
                <w:sz w:val="14"/>
                <w:szCs w:val="14"/>
              </w:rPr>
            </w:pPr>
            <w:r w:rsidRPr="00F12E3D">
              <w:rPr>
                <w:rFonts w:ascii="Arial" w:eastAsia="Calibri" w:hAnsi="Arial" w:cs="Arial"/>
                <w:b/>
                <w:bCs/>
                <w:color w:val="000000" w:themeColor="text1"/>
                <w:sz w:val="14"/>
                <w:szCs w:val="14"/>
              </w:rPr>
              <w:t xml:space="preserve">31. </w:t>
            </w:r>
            <w:r>
              <w:rPr>
                <w:rFonts w:ascii="Arial" w:eastAsia="Calibri" w:hAnsi="Arial" w:cs="Arial"/>
                <w:b/>
                <w:bCs/>
                <w:color w:val="000000" w:themeColor="text1"/>
                <w:sz w:val="14"/>
                <w:szCs w:val="14"/>
              </w:rPr>
              <w:t>ožujka</w:t>
            </w:r>
            <w:r w:rsidRPr="00F12E3D">
              <w:rPr>
                <w:rFonts w:ascii="Arial" w:eastAsia="Calibri" w:hAnsi="Arial" w:cs="Arial"/>
                <w:b/>
                <w:bCs/>
                <w:color w:val="000000" w:themeColor="text1"/>
                <w:sz w:val="14"/>
                <w:szCs w:val="14"/>
              </w:rPr>
              <w:t xml:space="preserve"> 202</w:t>
            </w:r>
            <w:r>
              <w:rPr>
                <w:rFonts w:ascii="Arial" w:eastAsia="Calibri" w:hAnsi="Arial" w:cs="Arial"/>
                <w:b/>
                <w:bCs/>
                <w:color w:val="000000" w:themeColor="text1"/>
                <w:sz w:val="14"/>
                <w:szCs w:val="14"/>
              </w:rPr>
              <w:t>4</w:t>
            </w:r>
            <w:r w:rsidRPr="00F12E3D">
              <w:rPr>
                <w:rFonts w:ascii="Arial" w:eastAsia="Calibri" w:hAnsi="Arial" w:cs="Arial"/>
                <w:b/>
                <w:bCs/>
                <w:color w:val="000000" w:themeColor="text1"/>
                <w:sz w:val="14"/>
                <w:szCs w:val="14"/>
              </w:rPr>
              <w:t xml:space="preserve">. </w:t>
            </w:r>
          </w:p>
        </w:tc>
        <w:tc>
          <w:tcPr>
            <w:tcW w:w="301" w:type="pct"/>
            <w:vAlign w:val="bottom"/>
          </w:tcPr>
          <w:p w14:paraId="1CF09F73"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1</w:t>
            </w:r>
          </w:p>
        </w:tc>
        <w:tc>
          <w:tcPr>
            <w:tcW w:w="298" w:type="pct"/>
            <w:vAlign w:val="bottom"/>
          </w:tcPr>
          <w:p w14:paraId="5621B6E6"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2</w:t>
            </w:r>
          </w:p>
        </w:tc>
        <w:tc>
          <w:tcPr>
            <w:tcW w:w="295" w:type="pct"/>
            <w:vAlign w:val="bottom"/>
          </w:tcPr>
          <w:p w14:paraId="66727144"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3</w:t>
            </w:r>
          </w:p>
        </w:tc>
        <w:tc>
          <w:tcPr>
            <w:tcW w:w="584" w:type="pct"/>
            <w:gridSpan w:val="2"/>
            <w:vAlign w:val="bottom"/>
          </w:tcPr>
          <w:p w14:paraId="4F702421"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Neto izloženost portfelja rizične skupine POCI</w:t>
            </w:r>
          </w:p>
        </w:tc>
        <w:tc>
          <w:tcPr>
            <w:tcW w:w="312" w:type="pct"/>
            <w:vAlign w:val="bottom"/>
          </w:tcPr>
          <w:p w14:paraId="1C26EB72" w14:textId="77777777" w:rsidR="00CF7B3C" w:rsidRPr="00F12E3D" w:rsidRDefault="00CF7B3C" w:rsidP="0008792D">
            <w:pPr>
              <w:jc w:val="right"/>
              <w:rPr>
                <w:rFonts w:ascii="Arial" w:eastAsia="Calibri" w:hAnsi="Arial" w:cs="Arial"/>
                <w:color w:val="000000" w:themeColor="text1"/>
                <w:sz w:val="14"/>
                <w:szCs w:val="14"/>
              </w:rPr>
            </w:pPr>
            <w:r w:rsidRPr="00F12E3D">
              <w:rPr>
                <w:rFonts w:ascii="Arial" w:eastAsia="Calibri" w:hAnsi="Arial" w:cs="Arial"/>
                <w:b/>
                <w:color w:val="000000" w:themeColor="text1"/>
                <w:sz w:val="14"/>
                <w:szCs w:val="14"/>
              </w:rPr>
              <w:t>Financijska imovina koja se ne raspoređuje u rizične skupine po MSFI-ju 9</w:t>
            </w:r>
          </w:p>
        </w:tc>
        <w:tc>
          <w:tcPr>
            <w:tcW w:w="333" w:type="pct"/>
            <w:vAlign w:val="bottom"/>
          </w:tcPr>
          <w:p w14:paraId="1C2325A5"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Neto izloženost ukupnog portfelja</w:t>
            </w:r>
          </w:p>
        </w:tc>
        <w:tc>
          <w:tcPr>
            <w:tcW w:w="328" w:type="pct"/>
            <w:vAlign w:val="bottom"/>
          </w:tcPr>
          <w:p w14:paraId="0B67EB62"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nakon umanjenja za instrumente osiguranja-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1</w:t>
            </w:r>
          </w:p>
        </w:tc>
        <w:tc>
          <w:tcPr>
            <w:tcW w:w="329" w:type="pct"/>
            <w:vAlign w:val="bottom"/>
          </w:tcPr>
          <w:p w14:paraId="2CBDCA2C"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Neto izloženost portfelja nakon umanjenja za instrumente o</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 xml:space="preserve">iguranja-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2</w:t>
            </w:r>
          </w:p>
        </w:tc>
        <w:tc>
          <w:tcPr>
            <w:tcW w:w="329" w:type="pct"/>
            <w:vAlign w:val="bottom"/>
          </w:tcPr>
          <w:p w14:paraId="0801BCF9"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nakon umanjenja za instrumente osiguranja- </w:t>
            </w:r>
            <w:r>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3</w:t>
            </w:r>
          </w:p>
        </w:tc>
        <w:tc>
          <w:tcPr>
            <w:tcW w:w="659" w:type="pct"/>
            <w:gridSpan w:val="2"/>
            <w:vAlign w:val="bottom"/>
          </w:tcPr>
          <w:p w14:paraId="45BB5EC5"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Neto izloženost portfelja nakon umanjenja za instrumente osiguranja- rizične skupine POCI</w:t>
            </w:r>
          </w:p>
        </w:tc>
        <w:tc>
          <w:tcPr>
            <w:tcW w:w="371" w:type="pct"/>
            <w:vAlign w:val="bottom"/>
          </w:tcPr>
          <w:p w14:paraId="402F7BE4"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Financijska imovina  koja se ne raspoređuje u rizične skupine po MSFI-ju 9 nakon umanjenja za instrumente osiguranja</w:t>
            </w:r>
          </w:p>
        </w:tc>
        <w:tc>
          <w:tcPr>
            <w:tcW w:w="323" w:type="pct"/>
            <w:vAlign w:val="bottom"/>
          </w:tcPr>
          <w:p w14:paraId="78B0A8E0"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Neto izloženost ukupnog portfelja nakon umanjenja za instrumente osiguranja</w:t>
            </w:r>
          </w:p>
        </w:tc>
      </w:tr>
      <w:tr w:rsidR="00CF7B3C" w:rsidRPr="00F12E3D" w14:paraId="2225023D" w14:textId="77777777" w:rsidTr="0008792D">
        <w:trPr>
          <w:trHeight w:val="187"/>
        </w:trPr>
        <w:tc>
          <w:tcPr>
            <w:tcW w:w="538" w:type="pct"/>
            <w:vAlign w:val="bottom"/>
          </w:tcPr>
          <w:p w14:paraId="69304D07" w14:textId="77777777" w:rsidR="00CF7B3C" w:rsidRPr="00F12E3D" w:rsidRDefault="00CF7B3C" w:rsidP="0008792D">
            <w:pPr>
              <w:rPr>
                <w:rFonts w:ascii="Arial" w:eastAsia="Calibri" w:hAnsi="Arial" w:cs="Arial"/>
                <w:b/>
                <w:bCs/>
                <w:color w:val="000000" w:themeColor="text1"/>
                <w:sz w:val="14"/>
                <w:szCs w:val="14"/>
              </w:rPr>
            </w:pPr>
          </w:p>
        </w:tc>
        <w:tc>
          <w:tcPr>
            <w:tcW w:w="301" w:type="pct"/>
            <w:vAlign w:val="bottom"/>
          </w:tcPr>
          <w:p w14:paraId="7D07F87B" w14:textId="77777777" w:rsidR="00CF7B3C" w:rsidRPr="00F12E3D" w:rsidRDefault="00CF7B3C" w:rsidP="0008792D">
            <w:pPr>
              <w:jc w:val="right"/>
              <w:rPr>
                <w:rFonts w:ascii="Arial" w:eastAsia="Calibri" w:hAnsi="Arial" w:cs="Arial"/>
                <w:b/>
                <w:color w:val="000000" w:themeColor="text1"/>
                <w:sz w:val="14"/>
                <w:szCs w:val="14"/>
              </w:rPr>
            </w:pPr>
          </w:p>
        </w:tc>
        <w:tc>
          <w:tcPr>
            <w:tcW w:w="298" w:type="pct"/>
            <w:vAlign w:val="bottom"/>
          </w:tcPr>
          <w:p w14:paraId="35D478F3" w14:textId="77777777" w:rsidR="00CF7B3C" w:rsidRPr="00F12E3D" w:rsidRDefault="00CF7B3C" w:rsidP="0008792D">
            <w:pPr>
              <w:jc w:val="right"/>
              <w:rPr>
                <w:rFonts w:ascii="Arial" w:eastAsia="Calibri" w:hAnsi="Arial" w:cs="Arial"/>
                <w:b/>
                <w:color w:val="000000" w:themeColor="text1"/>
                <w:sz w:val="14"/>
                <w:szCs w:val="14"/>
              </w:rPr>
            </w:pPr>
          </w:p>
        </w:tc>
        <w:tc>
          <w:tcPr>
            <w:tcW w:w="295" w:type="pct"/>
            <w:vAlign w:val="bottom"/>
          </w:tcPr>
          <w:p w14:paraId="3330DC44" w14:textId="77777777" w:rsidR="00CF7B3C" w:rsidRPr="00F12E3D" w:rsidRDefault="00CF7B3C" w:rsidP="0008792D">
            <w:pPr>
              <w:jc w:val="right"/>
              <w:rPr>
                <w:rFonts w:ascii="Arial" w:eastAsia="Calibri" w:hAnsi="Arial" w:cs="Arial"/>
                <w:b/>
                <w:color w:val="000000" w:themeColor="text1"/>
                <w:sz w:val="14"/>
                <w:szCs w:val="14"/>
              </w:rPr>
            </w:pPr>
          </w:p>
        </w:tc>
        <w:tc>
          <w:tcPr>
            <w:tcW w:w="287" w:type="pct"/>
            <w:vAlign w:val="bottom"/>
          </w:tcPr>
          <w:p w14:paraId="747EFC4F" w14:textId="77777777" w:rsidR="00CF7B3C" w:rsidRPr="00F12E3D" w:rsidRDefault="00CF7B3C" w:rsidP="0008792D">
            <w:pPr>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2</w:t>
            </w:r>
          </w:p>
        </w:tc>
        <w:tc>
          <w:tcPr>
            <w:tcW w:w="297" w:type="pct"/>
            <w:vAlign w:val="bottom"/>
          </w:tcPr>
          <w:p w14:paraId="46A25A36" w14:textId="77777777" w:rsidR="00CF7B3C" w:rsidRPr="00F12E3D" w:rsidRDefault="00CF7B3C" w:rsidP="0008792D">
            <w:pPr>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3</w:t>
            </w:r>
          </w:p>
        </w:tc>
        <w:tc>
          <w:tcPr>
            <w:tcW w:w="312" w:type="pct"/>
            <w:vAlign w:val="bottom"/>
          </w:tcPr>
          <w:p w14:paraId="5D6B98AA" w14:textId="77777777" w:rsidR="00CF7B3C" w:rsidRPr="00F12E3D" w:rsidRDefault="00CF7B3C" w:rsidP="0008792D">
            <w:pPr>
              <w:jc w:val="right"/>
              <w:rPr>
                <w:rFonts w:ascii="Arial" w:eastAsia="Calibri" w:hAnsi="Arial" w:cs="Arial"/>
                <w:b/>
                <w:color w:val="000000" w:themeColor="text1"/>
                <w:sz w:val="14"/>
                <w:szCs w:val="14"/>
              </w:rPr>
            </w:pPr>
          </w:p>
        </w:tc>
        <w:tc>
          <w:tcPr>
            <w:tcW w:w="333" w:type="pct"/>
            <w:vAlign w:val="bottom"/>
          </w:tcPr>
          <w:p w14:paraId="03CCA3CD" w14:textId="77777777" w:rsidR="00CF7B3C" w:rsidRPr="00F12E3D" w:rsidRDefault="00CF7B3C" w:rsidP="0008792D">
            <w:pPr>
              <w:jc w:val="right"/>
              <w:rPr>
                <w:rFonts w:ascii="Arial" w:eastAsia="Calibri" w:hAnsi="Arial" w:cs="Arial"/>
                <w:b/>
                <w:color w:val="000000" w:themeColor="text1"/>
                <w:sz w:val="14"/>
                <w:szCs w:val="14"/>
              </w:rPr>
            </w:pPr>
          </w:p>
        </w:tc>
        <w:tc>
          <w:tcPr>
            <w:tcW w:w="328" w:type="pct"/>
            <w:vAlign w:val="bottom"/>
          </w:tcPr>
          <w:p w14:paraId="5CB4B47B" w14:textId="77777777" w:rsidR="00CF7B3C" w:rsidRPr="00F12E3D" w:rsidRDefault="00CF7B3C" w:rsidP="0008792D">
            <w:pPr>
              <w:jc w:val="right"/>
              <w:rPr>
                <w:rFonts w:ascii="Arial" w:eastAsia="Calibri" w:hAnsi="Arial" w:cs="Arial"/>
                <w:b/>
                <w:color w:val="000000" w:themeColor="text1"/>
                <w:sz w:val="14"/>
                <w:szCs w:val="14"/>
              </w:rPr>
            </w:pPr>
          </w:p>
        </w:tc>
        <w:tc>
          <w:tcPr>
            <w:tcW w:w="329" w:type="pct"/>
            <w:vAlign w:val="bottom"/>
          </w:tcPr>
          <w:p w14:paraId="1B7CB7B1" w14:textId="77777777" w:rsidR="00CF7B3C" w:rsidRPr="00F12E3D" w:rsidRDefault="00CF7B3C" w:rsidP="0008792D">
            <w:pPr>
              <w:jc w:val="right"/>
              <w:rPr>
                <w:rFonts w:ascii="Arial" w:eastAsia="Calibri" w:hAnsi="Arial" w:cs="Arial"/>
                <w:b/>
                <w:color w:val="000000" w:themeColor="text1"/>
                <w:sz w:val="14"/>
                <w:szCs w:val="14"/>
              </w:rPr>
            </w:pPr>
          </w:p>
        </w:tc>
        <w:tc>
          <w:tcPr>
            <w:tcW w:w="329" w:type="pct"/>
            <w:vAlign w:val="bottom"/>
          </w:tcPr>
          <w:p w14:paraId="1A9FAF16" w14:textId="77777777" w:rsidR="00CF7B3C" w:rsidRPr="00F12E3D" w:rsidRDefault="00CF7B3C" w:rsidP="0008792D">
            <w:pPr>
              <w:jc w:val="right"/>
              <w:rPr>
                <w:rFonts w:ascii="Arial" w:eastAsia="Calibri" w:hAnsi="Arial" w:cs="Arial"/>
                <w:b/>
                <w:color w:val="000000" w:themeColor="text1"/>
                <w:sz w:val="14"/>
                <w:szCs w:val="14"/>
              </w:rPr>
            </w:pPr>
          </w:p>
        </w:tc>
        <w:tc>
          <w:tcPr>
            <w:tcW w:w="329" w:type="pct"/>
            <w:vAlign w:val="bottom"/>
          </w:tcPr>
          <w:p w14:paraId="7B0C91CA" w14:textId="77777777" w:rsidR="00CF7B3C" w:rsidRPr="00F12E3D" w:rsidRDefault="00CF7B3C" w:rsidP="0008792D">
            <w:pPr>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2</w:t>
            </w:r>
          </w:p>
        </w:tc>
        <w:tc>
          <w:tcPr>
            <w:tcW w:w="330" w:type="pct"/>
            <w:vAlign w:val="bottom"/>
          </w:tcPr>
          <w:p w14:paraId="2C41F86E" w14:textId="77777777" w:rsidR="00CF7B3C" w:rsidRPr="00F12E3D" w:rsidRDefault="00CF7B3C" w:rsidP="0008792D">
            <w:pPr>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3</w:t>
            </w:r>
          </w:p>
        </w:tc>
        <w:tc>
          <w:tcPr>
            <w:tcW w:w="371" w:type="pct"/>
            <w:vAlign w:val="bottom"/>
          </w:tcPr>
          <w:p w14:paraId="79E46C26" w14:textId="77777777" w:rsidR="00CF7B3C" w:rsidRPr="00F12E3D" w:rsidRDefault="00CF7B3C" w:rsidP="0008792D">
            <w:pPr>
              <w:jc w:val="right"/>
              <w:rPr>
                <w:rFonts w:ascii="Arial" w:eastAsia="Calibri" w:hAnsi="Arial" w:cs="Arial"/>
                <w:b/>
                <w:color w:val="000000" w:themeColor="text1"/>
                <w:sz w:val="14"/>
                <w:szCs w:val="14"/>
              </w:rPr>
            </w:pPr>
          </w:p>
        </w:tc>
        <w:tc>
          <w:tcPr>
            <w:tcW w:w="323" w:type="pct"/>
            <w:vAlign w:val="bottom"/>
          </w:tcPr>
          <w:p w14:paraId="4B15E5FD" w14:textId="77777777" w:rsidR="00CF7B3C" w:rsidRPr="00F12E3D" w:rsidRDefault="00CF7B3C" w:rsidP="0008792D">
            <w:pPr>
              <w:jc w:val="right"/>
              <w:rPr>
                <w:rFonts w:ascii="Arial" w:eastAsia="Calibri" w:hAnsi="Arial" w:cs="Arial"/>
                <w:b/>
                <w:color w:val="000000" w:themeColor="text1"/>
                <w:sz w:val="14"/>
                <w:szCs w:val="14"/>
              </w:rPr>
            </w:pPr>
          </w:p>
        </w:tc>
      </w:tr>
      <w:tr w:rsidR="00CF7B3C" w:rsidRPr="00F12E3D" w14:paraId="5B2CD6AE" w14:textId="77777777" w:rsidTr="0008792D">
        <w:trPr>
          <w:trHeight w:val="160"/>
        </w:trPr>
        <w:tc>
          <w:tcPr>
            <w:tcW w:w="538" w:type="pct"/>
          </w:tcPr>
          <w:p w14:paraId="00D3A426" w14:textId="77777777" w:rsidR="00CF7B3C" w:rsidRPr="00F12E3D" w:rsidRDefault="00CF7B3C" w:rsidP="0008792D">
            <w:pPr>
              <w:rPr>
                <w:rFonts w:ascii="Arial" w:eastAsia="Calibri" w:hAnsi="Arial" w:cs="Arial"/>
                <w:b/>
                <w:bCs/>
                <w:color w:val="000000" w:themeColor="text1"/>
                <w:sz w:val="14"/>
                <w:szCs w:val="14"/>
              </w:rPr>
            </w:pPr>
          </w:p>
        </w:tc>
        <w:tc>
          <w:tcPr>
            <w:tcW w:w="301" w:type="pct"/>
          </w:tcPr>
          <w:p w14:paraId="524CEBF1"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298" w:type="pct"/>
          </w:tcPr>
          <w:p w14:paraId="6C0467D9"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295" w:type="pct"/>
          </w:tcPr>
          <w:p w14:paraId="0010D956"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287" w:type="pct"/>
          </w:tcPr>
          <w:p w14:paraId="216E6221"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297" w:type="pct"/>
          </w:tcPr>
          <w:p w14:paraId="22B75413"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12" w:type="pct"/>
          </w:tcPr>
          <w:p w14:paraId="6E2113F9"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33" w:type="pct"/>
          </w:tcPr>
          <w:p w14:paraId="060824B5"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8" w:type="pct"/>
          </w:tcPr>
          <w:p w14:paraId="0174E0F1"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9" w:type="pct"/>
          </w:tcPr>
          <w:p w14:paraId="7BE61EF7"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9" w:type="pct"/>
          </w:tcPr>
          <w:p w14:paraId="463EEA62"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9" w:type="pct"/>
          </w:tcPr>
          <w:p w14:paraId="76B29255" w14:textId="77777777" w:rsidR="00CF7B3C" w:rsidRPr="00F12E3D" w:rsidRDefault="00CF7B3C" w:rsidP="0008792D">
            <w:pPr>
              <w:jc w:val="right"/>
              <w:rPr>
                <w:rFonts w:ascii="Arial" w:eastAsia="Calibri" w:hAnsi="Arial" w:cs="Arial"/>
                <w:b/>
                <w:color w:val="000000" w:themeColor="text1"/>
                <w:sz w:val="14"/>
                <w:szCs w:val="14"/>
              </w:rPr>
            </w:pPr>
            <w:r w:rsidRPr="003A2506">
              <w:rPr>
                <w:rFonts w:ascii="Arial" w:eastAsia="Calibri" w:hAnsi="Arial" w:cs="Arial"/>
                <w:b/>
                <w:color w:val="000000" w:themeColor="text1"/>
                <w:sz w:val="14"/>
                <w:szCs w:val="14"/>
              </w:rPr>
              <w:t>000 eura</w:t>
            </w:r>
          </w:p>
        </w:tc>
        <w:tc>
          <w:tcPr>
            <w:tcW w:w="330" w:type="pct"/>
          </w:tcPr>
          <w:p w14:paraId="3BA4B3D3"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71" w:type="pct"/>
          </w:tcPr>
          <w:p w14:paraId="389383B0"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3" w:type="pct"/>
          </w:tcPr>
          <w:p w14:paraId="0E2FCF35" w14:textId="77777777" w:rsidR="00CF7B3C" w:rsidRPr="00F12E3D" w:rsidRDefault="00CF7B3C" w:rsidP="0008792D">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r>
      <w:tr w:rsidR="00CF7B3C" w:rsidRPr="00F12E3D" w14:paraId="36217E60" w14:textId="77777777" w:rsidTr="0008792D">
        <w:trPr>
          <w:trHeight w:val="117"/>
        </w:trPr>
        <w:tc>
          <w:tcPr>
            <w:tcW w:w="538" w:type="pct"/>
            <w:vAlign w:val="bottom"/>
          </w:tcPr>
          <w:p w14:paraId="6234B46A" w14:textId="77777777" w:rsidR="00CF7B3C" w:rsidRPr="003A2506" w:rsidRDefault="00CF7B3C" w:rsidP="0008792D">
            <w:pPr>
              <w:tabs>
                <w:tab w:val="right" w:pos="1202"/>
              </w:tabs>
              <w:spacing w:line="200" w:lineRule="exact"/>
              <w:outlineLvl w:val="0"/>
              <w:rPr>
                <w:rFonts w:ascii="Arial" w:eastAsia="Calibri" w:hAnsi="Arial" w:cs="Arial"/>
                <w:b/>
                <w:bCs/>
                <w:color w:val="000000" w:themeColor="text1"/>
                <w:sz w:val="14"/>
                <w:szCs w:val="14"/>
              </w:rPr>
            </w:pPr>
            <w:r w:rsidRPr="003A2506">
              <w:rPr>
                <w:rFonts w:ascii="Arial" w:eastAsia="Calibri" w:hAnsi="Arial" w:cs="Arial"/>
                <w:b/>
                <w:bCs/>
                <w:color w:val="000000" w:themeColor="text1"/>
                <w:sz w:val="14"/>
                <w:szCs w:val="14"/>
              </w:rPr>
              <w:t>Imovina</w:t>
            </w:r>
          </w:p>
        </w:tc>
        <w:tc>
          <w:tcPr>
            <w:tcW w:w="301" w:type="pct"/>
            <w:vAlign w:val="bottom"/>
          </w:tcPr>
          <w:p w14:paraId="1AFA333B" w14:textId="77777777" w:rsidR="00CF7B3C" w:rsidRPr="00F84C24" w:rsidRDefault="00CF7B3C" w:rsidP="0008792D">
            <w:pPr>
              <w:jc w:val="right"/>
              <w:rPr>
                <w:rFonts w:ascii="Arial" w:eastAsia="Calibri" w:hAnsi="Arial" w:cs="Arial"/>
                <w:color w:val="000000" w:themeColor="text1"/>
                <w:sz w:val="14"/>
                <w:szCs w:val="14"/>
              </w:rPr>
            </w:pPr>
          </w:p>
        </w:tc>
        <w:tc>
          <w:tcPr>
            <w:tcW w:w="298" w:type="pct"/>
            <w:vAlign w:val="bottom"/>
          </w:tcPr>
          <w:p w14:paraId="0B8C276B" w14:textId="77777777" w:rsidR="00CF7B3C" w:rsidRPr="00F84C24" w:rsidRDefault="00CF7B3C" w:rsidP="0008792D">
            <w:pPr>
              <w:jc w:val="right"/>
              <w:rPr>
                <w:rFonts w:ascii="Arial" w:eastAsia="Calibri" w:hAnsi="Arial" w:cs="Arial"/>
                <w:color w:val="000000" w:themeColor="text1"/>
                <w:sz w:val="14"/>
                <w:szCs w:val="14"/>
              </w:rPr>
            </w:pPr>
          </w:p>
        </w:tc>
        <w:tc>
          <w:tcPr>
            <w:tcW w:w="295" w:type="pct"/>
            <w:vAlign w:val="bottom"/>
          </w:tcPr>
          <w:p w14:paraId="1AD0E434" w14:textId="77777777" w:rsidR="00CF7B3C" w:rsidRPr="00F84C24" w:rsidRDefault="00CF7B3C" w:rsidP="0008792D">
            <w:pPr>
              <w:jc w:val="right"/>
              <w:rPr>
                <w:rFonts w:ascii="Arial" w:eastAsia="Calibri" w:hAnsi="Arial" w:cs="Arial"/>
                <w:color w:val="000000" w:themeColor="text1"/>
                <w:sz w:val="14"/>
                <w:szCs w:val="14"/>
              </w:rPr>
            </w:pPr>
          </w:p>
        </w:tc>
        <w:tc>
          <w:tcPr>
            <w:tcW w:w="287" w:type="pct"/>
            <w:vAlign w:val="bottom"/>
          </w:tcPr>
          <w:p w14:paraId="5ACF586F" w14:textId="77777777" w:rsidR="00CF7B3C" w:rsidRPr="00F84C24" w:rsidRDefault="00CF7B3C" w:rsidP="0008792D">
            <w:pPr>
              <w:jc w:val="right"/>
              <w:rPr>
                <w:rFonts w:ascii="Arial" w:eastAsia="Calibri" w:hAnsi="Arial" w:cs="Arial"/>
                <w:color w:val="000000" w:themeColor="text1"/>
                <w:sz w:val="14"/>
                <w:szCs w:val="14"/>
              </w:rPr>
            </w:pPr>
          </w:p>
        </w:tc>
        <w:tc>
          <w:tcPr>
            <w:tcW w:w="297" w:type="pct"/>
            <w:vAlign w:val="bottom"/>
          </w:tcPr>
          <w:p w14:paraId="5F808758" w14:textId="77777777" w:rsidR="00CF7B3C" w:rsidRPr="00F84C24" w:rsidRDefault="00CF7B3C" w:rsidP="0008792D">
            <w:pPr>
              <w:jc w:val="right"/>
              <w:rPr>
                <w:rFonts w:ascii="Arial" w:eastAsia="Calibri" w:hAnsi="Arial" w:cs="Arial"/>
                <w:color w:val="000000" w:themeColor="text1"/>
                <w:sz w:val="14"/>
                <w:szCs w:val="14"/>
              </w:rPr>
            </w:pPr>
          </w:p>
        </w:tc>
        <w:tc>
          <w:tcPr>
            <w:tcW w:w="312" w:type="pct"/>
            <w:vAlign w:val="bottom"/>
          </w:tcPr>
          <w:p w14:paraId="60D51FD2" w14:textId="77777777" w:rsidR="00CF7B3C" w:rsidRPr="00F84C24" w:rsidRDefault="00CF7B3C" w:rsidP="0008792D">
            <w:pPr>
              <w:jc w:val="right"/>
              <w:rPr>
                <w:rFonts w:ascii="Arial" w:eastAsia="Calibri" w:hAnsi="Arial" w:cs="Arial"/>
                <w:color w:val="000000" w:themeColor="text1"/>
                <w:sz w:val="14"/>
                <w:szCs w:val="14"/>
              </w:rPr>
            </w:pPr>
          </w:p>
        </w:tc>
        <w:tc>
          <w:tcPr>
            <w:tcW w:w="333" w:type="pct"/>
            <w:vAlign w:val="bottom"/>
          </w:tcPr>
          <w:p w14:paraId="6B32A7DC" w14:textId="77777777" w:rsidR="00CF7B3C" w:rsidRPr="00F84C24" w:rsidRDefault="00CF7B3C" w:rsidP="0008792D">
            <w:pPr>
              <w:jc w:val="right"/>
              <w:rPr>
                <w:rFonts w:ascii="Arial" w:eastAsia="Calibri" w:hAnsi="Arial" w:cs="Arial"/>
                <w:color w:val="000000" w:themeColor="text1"/>
                <w:sz w:val="14"/>
                <w:szCs w:val="14"/>
              </w:rPr>
            </w:pPr>
          </w:p>
        </w:tc>
        <w:tc>
          <w:tcPr>
            <w:tcW w:w="328" w:type="pct"/>
            <w:vAlign w:val="bottom"/>
          </w:tcPr>
          <w:p w14:paraId="115E8455" w14:textId="77777777" w:rsidR="00CF7B3C" w:rsidRPr="00F84C24" w:rsidRDefault="00CF7B3C" w:rsidP="0008792D">
            <w:pPr>
              <w:jc w:val="right"/>
              <w:rPr>
                <w:rFonts w:ascii="Arial" w:eastAsia="Calibri" w:hAnsi="Arial" w:cs="Arial"/>
                <w:color w:val="000000" w:themeColor="text1"/>
                <w:sz w:val="14"/>
                <w:szCs w:val="14"/>
              </w:rPr>
            </w:pPr>
          </w:p>
        </w:tc>
        <w:tc>
          <w:tcPr>
            <w:tcW w:w="329" w:type="pct"/>
            <w:vAlign w:val="bottom"/>
          </w:tcPr>
          <w:p w14:paraId="72076972" w14:textId="77777777" w:rsidR="00CF7B3C" w:rsidRPr="00F84C24" w:rsidRDefault="00CF7B3C" w:rsidP="0008792D">
            <w:pPr>
              <w:jc w:val="right"/>
              <w:rPr>
                <w:rFonts w:ascii="Arial" w:eastAsia="Calibri" w:hAnsi="Arial" w:cs="Arial"/>
                <w:color w:val="000000" w:themeColor="text1"/>
                <w:sz w:val="14"/>
                <w:szCs w:val="14"/>
              </w:rPr>
            </w:pPr>
          </w:p>
        </w:tc>
        <w:tc>
          <w:tcPr>
            <w:tcW w:w="329" w:type="pct"/>
            <w:vAlign w:val="bottom"/>
          </w:tcPr>
          <w:p w14:paraId="21653FF0" w14:textId="77777777" w:rsidR="00CF7B3C" w:rsidRPr="00F84C24" w:rsidRDefault="00CF7B3C" w:rsidP="0008792D">
            <w:pPr>
              <w:jc w:val="right"/>
              <w:rPr>
                <w:rFonts w:ascii="Arial" w:eastAsia="Calibri" w:hAnsi="Arial" w:cs="Arial"/>
                <w:color w:val="000000" w:themeColor="text1"/>
                <w:sz w:val="14"/>
                <w:szCs w:val="14"/>
              </w:rPr>
            </w:pPr>
          </w:p>
        </w:tc>
        <w:tc>
          <w:tcPr>
            <w:tcW w:w="329" w:type="pct"/>
            <w:vAlign w:val="bottom"/>
          </w:tcPr>
          <w:p w14:paraId="4452A80A" w14:textId="77777777" w:rsidR="00CF7B3C" w:rsidRPr="00F84C24" w:rsidRDefault="00CF7B3C" w:rsidP="0008792D">
            <w:pPr>
              <w:jc w:val="right"/>
              <w:rPr>
                <w:rFonts w:ascii="Arial" w:eastAsia="Calibri" w:hAnsi="Arial" w:cs="Arial"/>
                <w:color w:val="000000" w:themeColor="text1"/>
                <w:sz w:val="14"/>
                <w:szCs w:val="14"/>
              </w:rPr>
            </w:pPr>
          </w:p>
        </w:tc>
        <w:tc>
          <w:tcPr>
            <w:tcW w:w="330" w:type="pct"/>
            <w:vAlign w:val="bottom"/>
          </w:tcPr>
          <w:p w14:paraId="320556E8" w14:textId="77777777" w:rsidR="00CF7B3C" w:rsidRPr="00F84C24" w:rsidRDefault="00CF7B3C" w:rsidP="0008792D">
            <w:pPr>
              <w:jc w:val="right"/>
              <w:rPr>
                <w:rFonts w:ascii="Arial" w:eastAsia="Calibri" w:hAnsi="Arial" w:cs="Arial"/>
                <w:color w:val="000000" w:themeColor="text1"/>
                <w:sz w:val="14"/>
                <w:szCs w:val="14"/>
              </w:rPr>
            </w:pPr>
          </w:p>
        </w:tc>
        <w:tc>
          <w:tcPr>
            <w:tcW w:w="371" w:type="pct"/>
            <w:vAlign w:val="bottom"/>
          </w:tcPr>
          <w:p w14:paraId="11E3E2DE" w14:textId="77777777" w:rsidR="00CF7B3C" w:rsidRPr="00F84C24" w:rsidRDefault="00CF7B3C" w:rsidP="0008792D">
            <w:pPr>
              <w:jc w:val="right"/>
              <w:rPr>
                <w:rFonts w:ascii="Arial" w:eastAsia="Calibri" w:hAnsi="Arial" w:cs="Arial"/>
                <w:color w:val="000000" w:themeColor="text1"/>
                <w:sz w:val="14"/>
                <w:szCs w:val="14"/>
              </w:rPr>
            </w:pPr>
          </w:p>
        </w:tc>
        <w:tc>
          <w:tcPr>
            <w:tcW w:w="323" w:type="pct"/>
            <w:vAlign w:val="bottom"/>
          </w:tcPr>
          <w:p w14:paraId="6E83174B" w14:textId="77777777" w:rsidR="00CF7B3C" w:rsidRPr="00F84C24" w:rsidRDefault="00CF7B3C" w:rsidP="0008792D">
            <w:pPr>
              <w:jc w:val="right"/>
              <w:rPr>
                <w:rFonts w:ascii="Arial" w:eastAsia="Calibri" w:hAnsi="Arial" w:cs="Arial"/>
                <w:color w:val="000000" w:themeColor="text1"/>
                <w:sz w:val="14"/>
                <w:szCs w:val="14"/>
              </w:rPr>
            </w:pPr>
          </w:p>
        </w:tc>
      </w:tr>
      <w:tr w:rsidR="00CF7B3C" w:rsidRPr="00F12E3D" w14:paraId="0ABC8B09" w14:textId="77777777" w:rsidTr="0008792D">
        <w:trPr>
          <w:trHeight w:val="189"/>
        </w:trPr>
        <w:tc>
          <w:tcPr>
            <w:tcW w:w="538" w:type="pct"/>
            <w:vAlign w:val="bottom"/>
          </w:tcPr>
          <w:p w14:paraId="3DF9F288" w14:textId="77777777" w:rsidR="00CF7B3C" w:rsidRPr="00F12E3D" w:rsidRDefault="00CF7B3C" w:rsidP="0008792D">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Novčana sredstva i računi kod banaka</w:t>
            </w:r>
          </w:p>
        </w:tc>
        <w:tc>
          <w:tcPr>
            <w:tcW w:w="301" w:type="pct"/>
            <w:tcBorders>
              <w:top w:val="nil"/>
              <w:left w:val="nil"/>
              <w:bottom w:val="nil"/>
              <w:right w:val="nil"/>
            </w:tcBorders>
            <w:shd w:val="clear" w:color="auto" w:fill="auto"/>
            <w:vAlign w:val="bottom"/>
          </w:tcPr>
          <w:p w14:paraId="38DA1416"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76.953</w:t>
            </w:r>
          </w:p>
        </w:tc>
        <w:tc>
          <w:tcPr>
            <w:tcW w:w="298" w:type="pct"/>
            <w:tcBorders>
              <w:top w:val="nil"/>
              <w:left w:val="nil"/>
              <w:bottom w:val="nil"/>
              <w:right w:val="nil"/>
            </w:tcBorders>
            <w:shd w:val="clear" w:color="auto" w:fill="auto"/>
            <w:vAlign w:val="bottom"/>
          </w:tcPr>
          <w:p w14:paraId="2141712D"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5" w:type="pct"/>
            <w:tcBorders>
              <w:top w:val="nil"/>
              <w:left w:val="nil"/>
              <w:bottom w:val="nil"/>
              <w:right w:val="nil"/>
            </w:tcBorders>
            <w:shd w:val="clear" w:color="auto" w:fill="auto"/>
            <w:vAlign w:val="bottom"/>
          </w:tcPr>
          <w:p w14:paraId="669F9560"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87" w:type="pct"/>
            <w:tcBorders>
              <w:top w:val="nil"/>
              <w:left w:val="nil"/>
              <w:bottom w:val="nil"/>
              <w:right w:val="nil"/>
            </w:tcBorders>
            <w:shd w:val="clear" w:color="auto" w:fill="auto"/>
            <w:vAlign w:val="bottom"/>
          </w:tcPr>
          <w:p w14:paraId="13326F66" w14:textId="77777777" w:rsidR="00CF7B3C" w:rsidRPr="00F959D0"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nil"/>
              <w:right w:val="nil"/>
            </w:tcBorders>
            <w:shd w:val="clear" w:color="auto" w:fill="auto"/>
            <w:vAlign w:val="bottom"/>
          </w:tcPr>
          <w:p w14:paraId="10E868A2"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3F02DAC1"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6B8EF806"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76.953</w:t>
            </w:r>
          </w:p>
        </w:tc>
        <w:tc>
          <w:tcPr>
            <w:tcW w:w="328" w:type="pct"/>
            <w:tcBorders>
              <w:top w:val="nil"/>
              <w:left w:val="nil"/>
              <w:bottom w:val="nil"/>
              <w:right w:val="nil"/>
            </w:tcBorders>
            <w:vAlign w:val="bottom"/>
          </w:tcPr>
          <w:p w14:paraId="66CDFD2E"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0776C96C"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7319E370"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43372A29" w14:textId="77777777" w:rsidR="00CF7B3C" w:rsidRPr="00F959D0"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nil"/>
              <w:right w:val="nil"/>
            </w:tcBorders>
            <w:vAlign w:val="bottom"/>
          </w:tcPr>
          <w:p w14:paraId="36594515"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19BBF678"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3" w:type="pct"/>
            <w:tcBorders>
              <w:top w:val="nil"/>
              <w:left w:val="nil"/>
              <w:bottom w:val="nil"/>
              <w:right w:val="nil"/>
            </w:tcBorders>
            <w:vAlign w:val="bottom"/>
          </w:tcPr>
          <w:p w14:paraId="5AEB2A24"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r>
      <w:tr w:rsidR="00CF7B3C" w:rsidRPr="00F12E3D" w14:paraId="5A700821" w14:textId="77777777" w:rsidTr="0008792D">
        <w:trPr>
          <w:trHeight w:val="189"/>
        </w:trPr>
        <w:tc>
          <w:tcPr>
            <w:tcW w:w="538" w:type="pct"/>
            <w:vAlign w:val="bottom"/>
          </w:tcPr>
          <w:p w14:paraId="7E2E9795" w14:textId="77777777" w:rsidR="00CF7B3C" w:rsidRPr="00F12E3D" w:rsidRDefault="00CF7B3C" w:rsidP="0008792D">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Depoziti kod drugih banaka</w:t>
            </w:r>
          </w:p>
        </w:tc>
        <w:tc>
          <w:tcPr>
            <w:tcW w:w="301" w:type="pct"/>
            <w:tcBorders>
              <w:top w:val="nil"/>
              <w:left w:val="nil"/>
              <w:bottom w:val="nil"/>
              <w:right w:val="nil"/>
            </w:tcBorders>
            <w:shd w:val="clear" w:color="auto" w:fill="auto"/>
            <w:vAlign w:val="bottom"/>
          </w:tcPr>
          <w:p w14:paraId="5C7A1BA0"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126.896</w:t>
            </w:r>
          </w:p>
        </w:tc>
        <w:tc>
          <w:tcPr>
            <w:tcW w:w="298" w:type="pct"/>
            <w:tcBorders>
              <w:top w:val="nil"/>
              <w:left w:val="nil"/>
              <w:bottom w:val="nil"/>
              <w:right w:val="nil"/>
            </w:tcBorders>
            <w:shd w:val="clear" w:color="auto" w:fill="auto"/>
            <w:vAlign w:val="bottom"/>
          </w:tcPr>
          <w:p w14:paraId="5382A390"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5" w:type="pct"/>
            <w:tcBorders>
              <w:top w:val="nil"/>
              <w:left w:val="nil"/>
              <w:bottom w:val="nil"/>
              <w:right w:val="nil"/>
            </w:tcBorders>
            <w:shd w:val="clear" w:color="auto" w:fill="auto"/>
            <w:vAlign w:val="bottom"/>
          </w:tcPr>
          <w:p w14:paraId="55C9AE5E"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87" w:type="pct"/>
            <w:tcBorders>
              <w:top w:val="nil"/>
              <w:left w:val="nil"/>
              <w:bottom w:val="nil"/>
              <w:right w:val="nil"/>
            </w:tcBorders>
            <w:shd w:val="clear" w:color="auto" w:fill="auto"/>
            <w:vAlign w:val="bottom"/>
          </w:tcPr>
          <w:p w14:paraId="35332AEF" w14:textId="77777777" w:rsidR="00CF7B3C" w:rsidRPr="00F959D0"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nil"/>
              <w:right w:val="nil"/>
            </w:tcBorders>
            <w:shd w:val="clear" w:color="auto" w:fill="auto"/>
            <w:vAlign w:val="bottom"/>
          </w:tcPr>
          <w:p w14:paraId="0702E40D"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14F3764E"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5B0E4EEC"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126.896</w:t>
            </w:r>
          </w:p>
        </w:tc>
        <w:tc>
          <w:tcPr>
            <w:tcW w:w="328" w:type="pct"/>
            <w:tcBorders>
              <w:top w:val="nil"/>
              <w:left w:val="nil"/>
              <w:bottom w:val="nil"/>
              <w:right w:val="nil"/>
            </w:tcBorders>
            <w:vAlign w:val="bottom"/>
          </w:tcPr>
          <w:p w14:paraId="4EF6A39A"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66EF2C0D"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0079D827"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5D65F315" w14:textId="77777777" w:rsidR="00CF7B3C" w:rsidRPr="00F959D0"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nil"/>
              <w:right w:val="nil"/>
            </w:tcBorders>
            <w:vAlign w:val="bottom"/>
          </w:tcPr>
          <w:p w14:paraId="2B2B5F32"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39EFDC0E"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3" w:type="pct"/>
            <w:tcBorders>
              <w:top w:val="nil"/>
              <w:left w:val="nil"/>
              <w:bottom w:val="nil"/>
              <w:right w:val="nil"/>
            </w:tcBorders>
            <w:vAlign w:val="bottom"/>
          </w:tcPr>
          <w:p w14:paraId="41D9C53A"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r>
      <w:tr w:rsidR="00CF7B3C" w:rsidRPr="00F12E3D" w14:paraId="6D11F505" w14:textId="77777777" w:rsidTr="0008792D">
        <w:trPr>
          <w:trHeight w:val="189"/>
        </w:trPr>
        <w:tc>
          <w:tcPr>
            <w:tcW w:w="538" w:type="pct"/>
            <w:vAlign w:val="bottom"/>
          </w:tcPr>
          <w:p w14:paraId="16F4AD76" w14:textId="77777777" w:rsidR="00CF7B3C" w:rsidRPr="00F12E3D" w:rsidRDefault="00CF7B3C" w:rsidP="0008792D">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Krediti financijskim institucijama</w:t>
            </w:r>
          </w:p>
        </w:tc>
        <w:tc>
          <w:tcPr>
            <w:tcW w:w="301" w:type="pct"/>
            <w:tcBorders>
              <w:top w:val="nil"/>
              <w:left w:val="nil"/>
              <w:bottom w:val="nil"/>
              <w:right w:val="nil"/>
            </w:tcBorders>
            <w:shd w:val="clear" w:color="auto" w:fill="auto"/>
            <w:vAlign w:val="bottom"/>
          </w:tcPr>
          <w:p w14:paraId="43AF48AE"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1.123.303</w:t>
            </w:r>
          </w:p>
        </w:tc>
        <w:tc>
          <w:tcPr>
            <w:tcW w:w="298" w:type="pct"/>
            <w:tcBorders>
              <w:top w:val="nil"/>
              <w:left w:val="nil"/>
              <w:bottom w:val="nil"/>
              <w:right w:val="nil"/>
            </w:tcBorders>
            <w:shd w:val="clear" w:color="auto" w:fill="auto"/>
            <w:vAlign w:val="bottom"/>
          </w:tcPr>
          <w:p w14:paraId="3684199F"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14.484</w:t>
            </w:r>
          </w:p>
        </w:tc>
        <w:tc>
          <w:tcPr>
            <w:tcW w:w="295" w:type="pct"/>
            <w:tcBorders>
              <w:top w:val="nil"/>
              <w:left w:val="nil"/>
              <w:bottom w:val="nil"/>
              <w:right w:val="nil"/>
            </w:tcBorders>
            <w:shd w:val="clear" w:color="auto" w:fill="auto"/>
            <w:vAlign w:val="bottom"/>
          </w:tcPr>
          <w:p w14:paraId="04D7BD82"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279</w:t>
            </w:r>
          </w:p>
        </w:tc>
        <w:tc>
          <w:tcPr>
            <w:tcW w:w="287" w:type="pct"/>
            <w:tcBorders>
              <w:top w:val="nil"/>
              <w:left w:val="nil"/>
              <w:bottom w:val="nil"/>
              <w:right w:val="nil"/>
            </w:tcBorders>
            <w:shd w:val="clear" w:color="auto" w:fill="auto"/>
            <w:vAlign w:val="bottom"/>
          </w:tcPr>
          <w:p w14:paraId="638DE869" w14:textId="77777777" w:rsidR="00CF7B3C" w:rsidRPr="00F959D0"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nil"/>
              <w:right w:val="nil"/>
            </w:tcBorders>
            <w:shd w:val="clear" w:color="auto" w:fill="auto"/>
            <w:vAlign w:val="bottom"/>
          </w:tcPr>
          <w:p w14:paraId="5619E939"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3B150AD2"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314CEF55"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1.138.066</w:t>
            </w:r>
          </w:p>
        </w:tc>
        <w:tc>
          <w:tcPr>
            <w:tcW w:w="328" w:type="pct"/>
            <w:tcBorders>
              <w:top w:val="nil"/>
              <w:left w:val="nil"/>
              <w:bottom w:val="nil"/>
              <w:right w:val="nil"/>
            </w:tcBorders>
            <w:vAlign w:val="bottom"/>
          </w:tcPr>
          <w:p w14:paraId="6F866FEF"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13811EC9"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5B86BB57"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5ACDECE5" w14:textId="77777777" w:rsidR="00CF7B3C" w:rsidRPr="00F959D0"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nil"/>
              <w:right w:val="nil"/>
            </w:tcBorders>
            <w:vAlign w:val="bottom"/>
          </w:tcPr>
          <w:p w14:paraId="2905E370"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61F2F5C9"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3" w:type="pct"/>
            <w:tcBorders>
              <w:top w:val="nil"/>
              <w:left w:val="nil"/>
              <w:bottom w:val="nil"/>
              <w:right w:val="nil"/>
            </w:tcBorders>
            <w:vAlign w:val="bottom"/>
          </w:tcPr>
          <w:p w14:paraId="40CBFF67"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r>
      <w:tr w:rsidR="00CF7B3C" w:rsidRPr="00F12E3D" w14:paraId="4C293D1F" w14:textId="77777777" w:rsidTr="0008792D">
        <w:trPr>
          <w:trHeight w:val="189"/>
        </w:trPr>
        <w:tc>
          <w:tcPr>
            <w:tcW w:w="538" w:type="pct"/>
            <w:vAlign w:val="bottom"/>
          </w:tcPr>
          <w:p w14:paraId="64F1C284" w14:textId="77777777" w:rsidR="00CF7B3C" w:rsidRPr="00F12E3D" w:rsidRDefault="00CF7B3C" w:rsidP="0008792D">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Krediti ostalim korisnicima</w:t>
            </w:r>
          </w:p>
        </w:tc>
        <w:tc>
          <w:tcPr>
            <w:tcW w:w="301" w:type="pct"/>
            <w:tcBorders>
              <w:top w:val="nil"/>
              <w:left w:val="nil"/>
              <w:bottom w:val="nil"/>
              <w:right w:val="nil"/>
            </w:tcBorders>
            <w:shd w:val="clear" w:color="auto" w:fill="auto"/>
            <w:vAlign w:val="bottom"/>
          </w:tcPr>
          <w:p w14:paraId="29C02BFA"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1.786.628</w:t>
            </w:r>
          </w:p>
        </w:tc>
        <w:tc>
          <w:tcPr>
            <w:tcW w:w="298" w:type="pct"/>
            <w:tcBorders>
              <w:top w:val="nil"/>
              <w:left w:val="nil"/>
              <w:bottom w:val="nil"/>
              <w:right w:val="nil"/>
            </w:tcBorders>
            <w:shd w:val="clear" w:color="auto" w:fill="auto"/>
            <w:vAlign w:val="bottom"/>
          </w:tcPr>
          <w:p w14:paraId="4C63F07C"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206.083</w:t>
            </w:r>
          </w:p>
        </w:tc>
        <w:tc>
          <w:tcPr>
            <w:tcW w:w="295" w:type="pct"/>
            <w:tcBorders>
              <w:top w:val="nil"/>
              <w:left w:val="nil"/>
              <w:bottom w:val="nil"/>
              <w:right w:val="nil"/>
            </w:tcBorders>
            <w:shd w:val="clear" w:color="auto" w:fill="auto"/>
            <w:vAlign w:val="bottom"/>
          </w:tcPr>
          <w:p w14:paraId="310D96A5"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158.243</w:t>
            </w:r>
          </w:p>
        </w:tc>
        <w:tc>
          <w:tcPr>
            <w:tcW w:w="287" w:type="pct"/>
            <w:tcBorders>
              <w:top w:val="nil"/>
              <w:left w:val="nil"/>
              <w:bottom w:val="nil"/>
              <w:right w:val="nil"/>
            </w:tcBorders>
            <w:shd w:val="clear" w:color="auto" w:fill="auto"/>
            <w:vAlign w:val="bottom"/>
          </w:tcPr>
          <w:p w14:paraId="71590A5C" w14:textId="77777777" w:rsidR="00CF7B3C" w:rsidRPr="00F959D0"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11.574</w:t>
            </w:r>
          </w:p>
        </w:tc>
        <w:tc>
          <w:tcPr>
            <w:tcW w:w="297" w:type="pct"/>
            <w:tcBorders>
              <w:top w:val="nil"/>
              <w:left w:val="nil"/>
              <w:bottom w:val="nil"/>
              <w:right w:val="nil"/>
            </w:tcBorders>
            <w:shd w:val="clear" w:color="auto" w:fill="auto"/>
            <w:vAlign w:val="bottom"/>
          </w:tcPr>
          <w:p w14:paraId="7FEF6421"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175.316</w:t>
            </w:r>
          </w:p>
        </w:tc>
        <w:tc>
          <w:tcPr>
            <w:tcW w:w="312" w:type="pct"/>
            <w:tcBorders>
              <w:top w:val="nil"/>
              <w:left w:val="nil"/>
              <w:bottom w:val="nil"/>
              <w:right w:val="nil"/>
            </w:tcBorders>
            <w:shd w:val="clear" w:color="auto" w:fill="auto"/>
            <w:vAlign w:val="bottom"/>
          </w:tcPr>
          <w:p w14:paraId="1DE137CF"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6426B060"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2.337.844</w:t>
            </w:r>
          </w:p>
        </w:tc>
        <w:tc>
          <w:tcPr>
            <w:tcW w:w="328" w:type="pct"/>
            <w:tcBorders>
              <w:top w:val="nil"/>
              <w:left w:val="nil"/>
              <w:bottom w:val="nil"/>
              <w:right w:val="nil"/>
            </w:tcBorders>
            <w:vAlign w:val="bottom"/>
          </w:tcPr>
          <w:p w14:paraId="3B494B36"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342.633</w:t>
            </w:r>
          </w:p>
        </w:tc>
        <w:tc>
          <w:tcPr>
            <w:tcW w:w="329" w:type="pct"/>
            <w:tcBorders>
              <w:top w:val="nil"/>
              <w:left w:val="nil"/>
              <w:bottom w:val="nil"/>
              <w:right w:val="nil"/>
            </w:tcBorders>
            <w:vAlign w:val="bottom"/>
          </w:tcPr>
          <w:p w14:paraId="05D72585"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27.869</w:t>
            </w:r>
          </w:p>
        </w:tc>
        <w:tc>
          <w:tcPr>
            <w:tcW w:w="329" w:type="pct"/>
            <w:tcBorders>
              <w:top w:val="nil"/>
              <w:left w:val="nil"/>
              <w:bottom w:val="nil"/>
              <w:right w:val="nil"/>
            </w:tcBorders>
            <w:vAlign w:val="bottom"/>
          </w:tcPr>
          <w:p w14:paraId="29C71D0F"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8.312</w:t>
            </w:r>
          </w:p>
        </w:tc>
        <w:tc>
          <w:tcPr>
            <w:tcW w:w="329" w:type="pct"/>
            <w:tcBorders>
              <w:top w:val="nil"/>
              <w:left w:val="nil"/>
              <w:bottom w:val="nil"/>
              <w:right w:val="nil"/>
            </w:tcBorders>
            <w:vAlign w:val="bottom"/>
          </w:tcPr>
          <w:p w14:paraId="56B295B3" w14:textId="77777777" w:rsidR="00CF7B3C" w:rsidRPr="00F959D0"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56</w:t>
            </w:r>
          </w:p>
        </w:tc>
        <w:tc>
          <w:tcPr>
            <w:tcW w:w="330" w:type="pct"/>
            <w:tcBorders>
              <w:top w:val="nil"/>
              <w:left w:val="nil"/>
              <w:bottom w:val="nil"/>
              <w:right w:val="nil"/>
            </w:tcBorders>
            <w:vAlign w:val="bottom"/>
          </w:tcPr>
          <w:p w14:paraId="1C25D849"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9.789</w:t>
            </w:r>
          </w:p>
        </w:tc>
        <w:tc>
          <w:tcPr>
            <w:tcW w:w="371" w:type="pct"/>
            <w:tcBorders>
              <w:top w:val="nil"/>
              <w:left w:val="nil"/>
              <w:bottom w:val="nil"/>
              <w:right w:val="nil"/>
            </w:tcBorders>
            <w:vAlign w:val="bottom"/>
          </w:tcPr>
          <w:p w14:paraId="72E71D57"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3" w:type="pct"/>
            <w:tcBorders>
              <w:top w:val="nil"/>
              <w:left w:val="nil"/>
              <w:bottom w:val="nil"/>
              <w:right w:val="nil"/>
            </w:tcBorders>
            <w:vAlign w:val="bottom"/>
          </w:tcPr>
          <w:p w14:paraId="275D94FC"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388.659</w:t>
            </w:r>
          </w:p>
        </w:tc>
      </w:tr>
      <w:tr w:rsidR="00CF7B3C" w:rsidRPr="00F12E3D" w14:paraId="57FFEA9A" w14:textId="77777777" w:rsidTr="0008792D">
        <w:trPr>
          <w:trHeight w:val="189"/>
        </w:trPr>
        <w:tc>
          <w:tcPr>
            <w:tcW w:w="538" w:type="pct"/>
            <w:vAlign w:val="bottom"/>
          </w:tcPr>
          <w:p w14:paraId="651AA33A" w14:textId="77777777" w:rsidR="00CF7B3C" w:rsidRPr="00F12E3D" w:rsidRDefault="00CF7B3C" w:rsidP="0008792D">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Financijska imovina po fer vrijednosti kroz dobit ili gubitak</w:t>
            </w:r>
          </w:p>
        </w:tc>
        <w:tc>
          <w:tcPr>
            <w:tcW w:w="301" w:type="pct"/>
            <w:tcBorders>
              <w:top w:val="nil"/>
              <w:left w:val="nil"/>
              <w:bottom w:val="nil"/>
              <w:right w:val="nil"/>
            </w:tcBorders>
            <w:shd w:val="clear" w:color="auto" w:fill="auto"/>
            <w:vAlign w:val="bottom"/>
          </w:tcPr>
          <w:p w14:paraId="49F4E786"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8" w:type="pct"/>
            <w:tcBorders>
              <w:top w:val="nil"/>
              <w:left w:val="nil"/>
              <w:bottom w:val="nil"/>
              <w:right w:val="nil"/>
            </w:tcBorders>
            <w:shd w:val="clear" w:color="auto" w:fill="auto"/>
            <w:vAlign w:val="bottom"/>
          </w:tcPr>
          <w:p w14:paraId="5362D865"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5" w:type="pct"/>
            <w:tcBorders>
              <w:top w:val="nil"/>
              <w:left w:val="nil"/>
              <w:bottom w:val="nil"/>
              <w:right w:val="nil"/>
            </w:tcBorders>
            <w:shd w:val="clear" w:color="auto" w:fill="auto"/>
            <w:vAlign w:val="bottom"/>
          </w:tcPr>
          <w:p w14:paraId="121476EE"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87" w:type="pct"/>
            <w:tcBorders>
              <w:top w:val="nil"/>
              <w:left w:val="nil"/>
              <w:bottom w:val="nil"/>
              <w:right w:val="nil"/>
            </w:tcBorders>
            <w:shd w:val="clear" w:color="auto" w:fill="auto"/>
            <w:vAlign w:val="bottom"/>
          </w:tcPr>
          <w:p w14:paraId="362352F1" w14:textId="77777777" w:rsidR="00CF7B3C" w:rsidRPr="00F959D0"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nil"/>
              <w:right w:val="nil"/>
            </w:tcBorders>
            <w:shd w:val="clear" w:color="auto" w:fill="auto"/>
            <w:vAlign w:val="bottom"/>
          </w:tcPr>
          <w:p w14:paraId="0431B029"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013FC8C0"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33.397</w:t>
            </w:r>
          </w:p>
        </w:tc>
        <w:tc>
          <w:tcPr>
            <w:tcW w:w="333" w:type="pct"/>
            <w:tcBorders>
              <w:top w:val="nil"/>
              <w:left w:val="nil"/>
              <w:bottom w:val="nil"/>
              <w:right w:val="nil"/>
            </w:tcBorders>
            <w:shd w:val="clear" w:color="auto" w:fill="auto"/>
            <w:vAlign w:val="bottom"/>
          </w:tcPr>
          <w:p w14:paraId="0705158A"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33.397</w:t>
            </w:r>
          </w:p>
        </w:tc>
        <w:tc>
          <w:tcPr>
            <w:tcW w:w="328" w:type="pct"/>
            <w:tcBorders>
              <w:top w:val="nil"/>
              <w:left w:val="nil"/>
              <w:bottom w:val="nil"/>
              <w:right w:val="nil"/>
            </w:tcBorders>
            <w:vAlign w:val="bottom"/>
          </w:tcPr>
          <w:p w14:paraId="691813EA"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5BC0F9F8"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15428E4A"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355975A4" w14:textId="77777777" w:rsidR="00CF7B3C" w:rsidRPr="00F959D0"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nil"/>
              <w:right w:val="nil"/>
            </w:tcBorders>
            <w:vAlign w:val="bottom"/>
          </w:tcPr>
          <w:p w14:paraId="4402D65E"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shd w:val="clear" w:color="auto" w:fill="auto"/>
            <w:vAlign w:val="bottom"/>
          </w:tcPr>
          <w:p w14:paraId="3BE69A0F"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30</w:t>
            </w:r>
          </w:p>
        </w:tc>
        <w:tc>
          <w:tcPr>
            <w:tcW w:w="323" w:type="pct"/>
            <w:tcBorders>
              <w:top w:val="nil"/>
              <w:left w:val="nil"/>
              <w:bottom w:val="nil"/>
              <w:right w:val="nil"/>
            </w:tcBorders>
            <w:shd w:val="clear" w:color="auto" w:fill="auto"/>
            <w:vAlign w:val="bottom"/>
          </w:tcPr>
          <w:p w14:paraId="18B0F6FC"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30</w:t>
            </w:r>
          </w:p>
        </w:tc>
      </w:tr>
      <w:tr w:rsidR="00CF7B3C" w:rsidRPr="00F12E3D" w14:paraId="6E6282E7" w14:textId="77777777" w:rsidTr="0008792D">
        <w:trPr>
          <w:trHeight w:val="189"/>
        </w:trPr>
        <w:tc>
          <w:tcPr>
            <w:tcW w:w="538" w:type="pct"/>
            <w:vAlign w:val="bottom"/>
          </w:tcPr>
          <w:p w14:paraId="0FD7F39C" w14:textId="77777777" w:rsidR="00CF7B3C" w:rsidRPr="00F12E3D" w:rsidRDefault="00CF7B3C" w:rsidP="0008792D">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Financijska imovina po fer vrijednosti kroz ostalu sveobuhvatnu dobit</w:t>
            </w:r>
          </w:p>
        </w:tc>
        <w:tc>
          <w:tcPr>
            <w:tcW w:w="301" w:type="pct"/>
            <w:tcBorders>
              <w:top w:val="nil"/>
              <w:left w:val="nil"/>
              <w:bottom w:val="nil"/>
              <w:right w:val="nil"/>
            </w:tcBorders>
            <w:shd w:val="clear" w:color="auto" w:fill="auto"/>
            <w:vAlign w:val="bottom"/>
          </w:tcPr>
          <w:p w14:paraId="6AA95D18"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231.640</w:t>
            </w:r>
          </w:p>
        </w:tc>
        <w:tc>
          <w:tcPr>
            <w:tcW w:w="298" w:type="pct"/>
            <w:tcBorders>
              <w:top w:val="nil"/>
              <w:left w:val="nil"/>
              <w:bottom w:val="nil"/>
              <w:right w:val="nil"/>
            </w:tcBorders>
            <w:shd w:val="clear" w:color="auto" w:fill="auto"/>
            <w:vAlign w:val="bottom"/>
          </w:tcPr>
          <w:p w14:paraId="7E654F1C"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5" w:type="pct"/>
            <w:tcBorders>
              <w:top w:val="nil"/>
              <w:left w:val="nil"/>
              <w:bottom w:val="nil"/>
              <w:right w:val="nil"/>
            </w:tcBorders>
            <w:shd w:val="clear" w:color="auto" w:fill="auto"/>
            <w:vAlign w:val="bottom"/>
          </w:tcPr>
          <w:p w14:paraId="0F98ECDF"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195</w:t>
            </w:r>
          </w:p>
        </w:tc>
        <w:tc>
          <w:tcPr>
            <w:tcW w:w="287" w:type="pct"/>
            <w:tcBorders>
              <w:top w:val="nil"/>
              <w:left w:val="nil"/>
              <w:bottom w:val="nil"/>
              <w:right w:val="nil"/>
            </w:tcBorders>
            <w:shd w:val="clear" w:color="auto" w:fill="auto"/>
            <w:vAlign w:val="bottom"/>
          </w:tcPr>
          <w:p w14:paraId="78C3D8B0" w14:textId="77777777" w:rsidR="00CF7B3C" w:rsidRPr="00F959D0"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nil"/>
              <w:right w:val="nil"/>
            </w:tcBorders>
            <w:shd w:val="clear" w:color="auto" w:fill="auto"/>
            <w:vAlign w:val="bottom"/>
          </w:tcPr>
          <w:p w14:paraId="0C5CC230"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5D9274CA"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569762EA"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231.835</w:t>
            </w:r>
          </w:p>
        </w:tc>
        <w:tc>
          <w:tcPr>
            <w:tcW w:w="328" w:type="pct"/>
            <w:tcBorders>
              <w:top w:val="nil"/>
              <w:left w:val="nil"/>
              <w:bottom w:val="nil"/>
              <w:right w:val="nil"/>
            </w:tcBorders>
            <w:shd w:val="clear" w:color="auto" w:fill="auto"/>
            <w:vAlign w:val="bottom"/>
          </w:tcPr>
          <w:p w14:paraId="08BA9CAD"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231.640</w:t>
            </w:r>
          </w:p>
        </w:tc>
        <w:tc>
          <w:tcPr>
            <w:tcW w:w="329" w:type="pct"/>
            <w:tcBorders>
              <w:top w:val="nil"/>
              <w:left w:val="nil"/>
              <w:bottom w:val="nil"/>
              <w:right w:val="nil"/>
            </w:tcBorders>
            <w:shd w:val="clear" w:color="auto" w:fill="auto"/>
            <w:vAlign w:val="bottom"/>
          </w:tcPr>
          <w:p w14:paraId="7A196160"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shd w:val="clear" w:color="auto" w:fill="auto"/>
            <w:vAlign w:val="bottom"/>
          </w:tcPr>
          <w:p w14:paraId="3AB9997C"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195</w:t>
            </w:r>
          </w:p>
        </w:tc>
        <w:tc>
          <w:tcPr>
            <w:tcW w:w="329" w:type="pct"/>
            <w:tcBorders>
              <w:top w:val="nil"/>
              <w:left w:val="nil"/>
              <w:bottom w:val="nil"/>
              <w:right w:val="nil"/>
            </w:tcBorders>
            <w:shd w:val="clear" w:color="auto" w:fill="auto"/>
            <w:vAlign w:val="bottom"/>
          </w:tcPr>
          <w:p w14:paraId="7D41FC64" w14:textId="77777777" w:rsidR="00CF7B3C" w:rsidRPr="00F959D0"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nil"/>
              <w:right w:val="nil"/>
            </w:tcBorders>
            <w:shd w:val="clear" w:color="auto" w:fill="auto"/>
            <w:vAlign w:val="bottom"/>
          </w:tcPr>
          <w:p w14:paraId="677C7A11"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shd w:val="clear" w:color="auto" w:fill="auto"/>
            <w:vAlign w:val="bottom"/>
          </w:tcPr>
          <w:p w14:paraId="2D63D430"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3" w:type="pct"/>
            <w:tcBorders>
              <w:top w:val="nil"/>
              <w:left w:val="nil"/>
              <w:bottom w:val="nil"/>
              <w:right w:val="nil"/>
            </w:tcBorders>
            <w:shd w:val="clear" w:color="auto" w:fill="auto"/>
            <w:vAlign w:val="bottom"/>
          </w:tcPr>
          <w:p w14:paraId="69D0127F"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231.835</w:t>
            </w:r>
          </w:p>
        </w:tc>
      </w:tr>
      <w:tr w:rsidR="00CF7B3C" w:rsidRPr="00F12E3D" w14:paraId="6F1B2B8C" w14:textId="77777777" w:rsidTr="0008792D">
        <w:trPr>
          <w:trHeight w:val="189"/>
        </w:trPr>
        <w:tc>
          <w:tcPr>
            <w:tcW w:w="538" w:type="pct"/>
            <w:vAlign w:val="bottom"/>
          </w:tcPr>
          <w:p w14:paraId="5444BFEB" w14:textId="77777777" w:rsidR="00CF7B3C" w:rsidRPr="00F12E3D" w:rsidRDefault="00CF7B3C" w:rsidP="0008792D">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Ostala imovina</w:t>
            </w:r>
          </w:p>
        </w:tc>
        <w:tc>
          <w:tcPr>
            <w:tcW w:w="301" w:type="pct"/>
            <w:tcBorders>
              <w:top w:val="nil"/>
              <w:left w:val="nil"/>
              <w:bottom w:val="single" w:sz="8" w:space="0" w:color="auto"/>
              <w:right w:val="nil"/>
            </w:tcBorders>
            <w:shd w:val="clear" w:color="auto" w:fill="auto"/>
            <w:vAlign w:val="bottom"/>
          </w:tcPr>
          <w:p w14:paraId="6C8378B4"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884</w:t>
            </w:r>
          </w:p>
        </w:tc>
        <w:tc>
          <w:tcPr>
            <w:tcW w:w="298" w:type="pct"/>
            <w:tcBorders>
              <w:top w:val="nil"/>
              <w:left w:val="nil"/>
              <w:bottom w:val="single" w:sz="8" w:space="0" w:color="auto"/>
              <w:right w:val="nil"/>
            </w:tcBorders>
            <w:shd w:val="clear" w:color="auto" w:fill="auto"/>
            <w:vAlign w:val="bottom"/>
          </w:tcPr>
          <w:p w14:paraId="0ABA8588"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11</w:t>
            </w:r>
          </w:p>
        </w:tc>
        <w:tc>
          <w:tcPr>
            <w:tcW w:w="295" w:type="pct"/>
            <w:tcBorders>
              <w:top w:val="nil"/>
              <w:left w:val="nil"/>
              <w:bottom w:val="single" w:sz="8" w:space="0" w:color="auto"/>
              <w:right w:val="nil"/>
            </w:tcBorders>
            <w:shd w:val="clear" w:color="auto" w:fill="auto"/>
            <w:vAlign w:val="bottom"/>
          </w:tcPr>
          <w:p w14:paraId="30A17ADD"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259</w:t>
            </w:r>
          </w:p>
        </w:tc>
        <w:tc>
          <w:tcPr>
            <w:tcW w:w="287" w:type="pct"/>
            <w:tcBorders>
              <w:top w:val="nil"/>
              <w:left w:val="nil"/>
              <w:bottom w:val="single" w:sz="8" w:space="0" w:color="auto"/>
              <w:right w:val="nil"/>
            </w:tcBorders>
            <w:shd w:val="clear" w:color="auto" w:fill="auto"/>
            <w:vAlign w:val="bottom"/>
          </w:tcPr>
          <w:p w14:paraId="3DF33C90" w14:textId="77777777" w:rsidR="00CF7B3C" w:rsidRPr="00F959D0"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single" w:sz="8" w:space="0" w:color="auto"/>
              <w:right w:val="nil"/>
            </w:tcBorders>
            <w:shd w:val="clear" w:color="auto" w:fill="auto"/>
            <w:vAlign w:val="bottom"/>
          </w:tcPr>
          <w:p w14:paraId="376736B5"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8</w:t>
            </w:r>
          </w:p>
        </w:tc>
        <w:tc>
          <w:tcPr>
            <w:tcW w:w="312" w:type="pct"/>
            <w:tcBorders>
              <w:top w:val="nil"/>
              <w:left w:val="nil"/>
              <w:bottom w:val="single" w:sz="8" w:space="0" w:color="auto"/>
              <w:right w:val="nil"/>
            </w:tcBorders>
            <w:shd w:val="clear" w:color="auto" w:fill="auto"/>
            <w:vAlign w:val="bottom"/>
          </w:tcPr>
          <w:p w14:paraId="0DAA81CB"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single" w:sz="8" w:space="0" w:color="auto"/>
              <w:right w:val="nil"/>
            </w:tcBorders>
            <w:shd w:val="clear" w:color="auto" w:fill="auto"/>
            <w:vAlign w:val="bottom"/>
          </w:tcPr>
          <w:p w14:paraId="6141F986"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1.162</w:t>
            </w:r>
          </w:p>
        </w:tc>
        <w:tc>
          <w:tcPr>
            <w:tcW w:w="328" w:type="pct"/>
            <w:tcBorders>
              <w:top w:val="nil"/>
              <w:left w:val="nil"/>
              <w:bottom w:val="single" w:sz="8" w:space="0" w:color="auto"/>
              <w:right w:val="nil"/>
            </w:tcBorders>
            <w:vAlign w:val="bottom"/>
          </w:tcPr>
          <w:p w14:paraId="3B0E6D09"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68</w:t>
            </w:r>
          </w:p>
        </w:tc>
        <w:tc>
          <w:tcPr>
            <w:tcW w:w="329" w:type="pct"/>
            <w:tcBorders>
              <w:top w:val="nil"/>
              <w:left w:val="nil"/>
              <w:bottom w:val="single" w:sz="8" w:space="0" w:color="auto"/>
              <w:right w:val="nil"/>
            </w:tcBorders>
            <w:vAlign w:val="bottom"/>
          </w:tcPr>
          <w:p w14:paraId="3379C691"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11</w:t>
            </w:r>
          </w:p>
        </w:tc>
        <w:tc>
          <w:tcPr>
            <w:tcW w:w="329" w:type="pct"/>
            <w:tcBorders>
              <w:top w:val="nil"/>
              <w:left w:val="nil"/>
              <w:bottom w:val="single" w:sz="8" w:space="0" w:color="auto"/>
              <w:right w:val="nil"/>
            </w:tcBorders>
            <w:vAlign w:val="bottom"/>
          </w:tcPr>
          <w:p w14:paraId="61C36969"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173</w:t>
            </w:r>
          </w:p>
        </w:tc>
        <w:tc>
          <w:tcPr>
            <w:tcW w:w="329" w:type="pct"/>
            <w:tcBorders>
              <w:top w:val="nil"/>
              <w:left w:val="nil"/>
              <w:bottom w:val="single" w:sz="8" w:space="0" w:color="auto"/>
              <w:right w:val="nil"/>
            </w:tcBorders>
            <w:vAlign w:val="bottom"/>
          </w:tcPr>
          <w:p w14:paraId="20AFDEF4" w14:textId="77777777" w:rsidR="00CF7B3C" w:rsidRPr="00F959D0"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single" w:sz="8" w:space="0" w:color="auto"/>
              <w:right w:val="nil"/>
            </w:tcBorders>
            <w:vAlign w:val="bottom"/>
          </w:tcPr>
          <w:p w14:paraId="1608E925"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9</w:t>
            </w:r>
          </w:p>
        </w:tc>
        <w:tc>
          <w:tcPr>
            <w:tcW w:w="371" w:type="pct"/>
            <w:tcBorders>
              <w:top w:val="nil"/>
              <w:left w:val="nil"/>
              <w:bottom w:val="single" w:sz="8" w:space="0" w:color="auto"/>
              <w:right w:val="nil"/>
            </w:tcBorders>
            <w:vAlign w:val="bottom"/>
          </w:tcPr>
          <w:p w14:paraId="6EE4F440"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3" w:type="pct"/>
            <w:tcBorders>
              <w:top w:val="nil"/>
              <w:left w:val="nil"/>
              <w:bottom w:val="single" w:sz="8" w:space="0" w:color="auto"/>
              <w:right w:val="nil"/>
            </w:tcBorders>
            <w:vAlign w:val="bottom"/>
          </w:tcPr>
          <w:p w14:paraId="607B23D9"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261</w:t>
            </w:r>
          </w:p>
        </w:tc>
      </w:tr>
      <w:tr w:rsidR="00CF7B3C" w:rsidRPr="00F12E3D" w14:paraId="24D7626D" w14:textId="77777777" w:rsidTr="0008792D">
        <w:trPr>
          <w:trHeight w:val="170"/>
        </w:trPr>
        <w:tc>
          <w:tcPr>
            <w:tcW w:w="538" w:type="pct"/>
            <w:vAlign w:val="bottom"/>
          </w:tcPr>
          <w:p w14:paraId="00629366" w14:textId="77777777" w:rsidR="00CF7B3C" w:rsidRPr="00F12E3D" w:rsidRDefault="00CF7B3C" w:rsidP="0008792D">
            <w:pPr>
              <w:tabs>
                <w:tab w:val="right" w:pos="1202"/>
              </w:tabs>
              <w:outlineLvl w:val="0"/>
              <w:rPr>
                <w:rFonts w:ascii="Arial" w:eastAsia="Calibri" w:hAnsi="Arial" w:cs="Arial"/>
                <w:b/>
                <w:bCs/>
                <w:color w:val="000000" w:themeColor="text1"/>
                <w:sz w:val="14"/>
                <w:szCs w:val="14"/>
              </w:rPr>
            </w:pPr>
            <w:r w:rsidRPr="00F12E3D">
              <w:rPr>
                <w:rFonts w:ascii="Arial" w:eastAsia="Calibri" w:hAnsi="Arial" w:cs="Arial"/>
                <w:b/>
                <w:bCs/>
                <w:color w:val="000000" w:themeColor="text1"/>
                <w:sz w:val="14"/>
                <w:szCs w:val="14"/>
              </w:rPr>
              <w:t>Ukupno</w:t>
            </w:r>
          </w:p>
        </w:tc>
        <w:tc>
          <w:tcPr>
            <w:tcW w:w="301" w:type="pct"/>
            <w:tcBorders>
              <w:top w:val="nil"/>
              <w:left w:val="nil"/>
              <w:bottom w:val="single" w:sz="12" w:space="0" w:color="auto"/>
              <w:right w:val="nil"/>
            </w:tcBorders>
            <w:shd w:val="clear" w:color="auto" w:fill="auto"/>
            <w:vAlign w:val="bottom"/>
          </w:tcPr>
          <w:p w14:paraId="60BD5524" w14:textId="77777777" w:rsidR="00CF7B3C" w:rsidRPr="003A2506" w:rsidRDefault="00CF7B3C" w:rsidP="0008792D">
            <w:pPr>
              <w:jc w:val="right"/>
              <w:rPr>
                <w:rFonts w:ascii="Arial" w:eastAsia="Calibri" w:hAnsi="Arial" w:cs="Arial"/>
                <w:b/>
                <w:bCs/>
                <w:sz w:val="14"/>
                <w:szCs w:val="14"/>
              </w:rPr>
            </w:pPr>
            <w:r>
              <w:rPr>
                <w:rFonts w:ascii="Arial" w:eastAsia="Calibri" w:hAnsi="Arial" w:cs="Arial"/>
                <w:b/>
                <w:bCs/>
                <w:sz w:val="14"/>
                <w:szCs w:val="14"/>
              </w:rPr>
              <w:t>3.346.304</w:t>
            </w:r>
          </w:p>
        </w:tc>
        <w:tc>
          <w:tcPr>
            <w:tcW w:w="298" w:type="pct"/>
            <w:tcBorders>
              <w:top w:val="nil"/>
              <w:left w:val="nil"/>
              <w:bottom w:val="single" w:sz="12" w:space="0" w:color="auto"/>
              <w:right w:val="nil"/>
            </w:tcBorders>
            <w:shd w:val="clear" w:color="auto" w:fill="auto"/>
            <w:vAlign w:val="bottom"/>
          </w:tcPr>
          <w:p w14:paraId="5A7842E9" w14:textId="77777777" w:rsidR="00CF7B3C" w:rsidRPr="003A2506" w:rsidRDefault="00CF7B3C" w:rsidP="0008792D">
            <w:pPr>
              <w:jc w:val="right"/>
              <w:rPr>
                <w:rFonts w:ascii="Arial" w:eastAsia="Calibri" w:hAnsi="Arial" w:cs="Arial"/>
                <w:b/>
                <w:bCs/>
                <w:sz w:val="14"/>
                <w:szCs w:val="14"/>
              </w:rPr>
            </w:pPr>
            <w:r>
              <w:rPr>
                <w:rFonts w:ascii="Arial" w:eastAsia="Calibri" w:hAnsi="Arial" w:cs="Arial"/>
                <w:b/>
                <w:bCs/>
                <w:sz w:val="14"/>
                <w:szCs w:val="14"/>
              </w:rPr>
              <w:t>220.578</w:t>
            </w:r>
          </w:p>
        </w:tc>
        <w:tc>
          <w:tcPr>
            <w:tcW w:w="295" w:type="pct"/>
            <w:tcBorders>
              <w:top w:val="nil"/>
              <w:left w:val="nil"/>
              <w:bottom w:val="single" w:sz="12" w:space="0" w:color="auto"/>
              <w:right w:val="nil"/>
            </w:tcBorders>
            <w:shd w:val="clear" w:color="auto" w:fill="auto"/>
            <w:vAlign w:val="bottom"/>
          </w:tcPr>
          <w:p w14:paraId="52ABBE08" w14:textId="77777777" w:rsidR="00CF7B3C" w:rsidRPr="003A2506" w:rsidRDefault="00CF7B3C" w:rsidP="0008792D">
            <w:pPr>
              <w:jc w:val="right"/>
              <w:rPr>
                <w:rFonts w:ascii="Arial" w:eastAsia="Calibri" w:hAnsi="Arial" w:cs="Arial"/>
                <w:b/>
                <w:bCs/>
                <w:sz w:val="14"/>
                <w:szCs w:val="14"/>
              </w:rPr>
            </w:pPr>
            <w:r>
              <w:rPr>
                <w:rFonts w:ascii="Arial" w:eastAsia="Calibri" w:hAnsi="Arial" w:cs="Arial"/>
                <w:b/>
                <w:bCs/>
                <w:sz w:val="14"/>
                <w:szCs w:val="14"/>
              </w:rPr>
              <w:t>158.976</w:t>
            </w:r>
          </w:p>
        </w:tc>
        <w:tc>
          <w:tcPr>
            <w:tcW w:w="287" w:type="pct"/>
            <w:tcBorders>
              <w:top w:val="nil"/>
              <w:left w:val="nil"/>
              <w:bottom w:val="single" w:sz="12" w:space="0" w:color="auto"/>
              <w:right w:val="nil"/>
            </w:tcBorders>
            <w:shd w:val="clear" w:color="auto" w:fill="auto"/>
            <w:vAlign w:val="bottom"/>
          </w:tcPr>
          <w:p w14:paraId="21A62D7F" w14:textId="77777777" w:rsidR="00CF7B3C" w:rsidRPr="00F959D0" w:rsidRDefault="00CF7B3C" w:rsidP="0008792D">
            <w:pPr>
              <w:jc w:val="right"/>
              <w:rPr>
                <w:rFonts w:ascii="Arial" w:eastAsia="Calibri" w:hAnsi="Arial" w:cs="Arial"/>
                <w:b/>
                <w:bCs/>
                <w:sz w:val="14"/>
                <w:szCs w:val="14"/>
              </w:rPr>
            </w:pPr>
            <w:r>
              <w:rPr>
                <w:rFonts w:ascii="Arial" w:eastAsia="Calibri" w:hAnsi="Arial" w:cs="Arial"/>
                <w:b/>
                <w:bCs/>
                <w:sz w:val="14"/>
                <w:szCs w:val="14"/>
              </w:rPr>
              <w:t>11.574</w:t>
            </w:r>
          </w:p>
        </w:tc>
        <w:tc>
          <w:tcPr>
            <w:tcW w:w="297" w:type="pct"/>
            <w:tcBorders>
              <w:top w:val="nil"/>
              <w:left w:val="nil"/>
              <w:bottom w:val="single" w:sz="12" w:space="0" w:color="auto"/>
              <w:right w:val="nil"/>
            </w:tcBorders>
            <w:shd w:val="clear" w:color="auto" w:fill="auto"/>
            <w:vAlign w:val="bottom"/>
          </w:tcPr>
          <w:p w14:paraId="7F2C2CE3" w14:textId="77777777" w:rsidR="00CF7B3C" w:rsidRPr="003A2506" w:rsidRDefault="00CF7B3C" w:rsidP="0008792D">
            <w:pPr>
              <w:jc w:val="right"/>
              <w:rPr>
                <w:rFonts w:ascii="Arial" w:eastAsia="Calibri" w:hAnsi="Arial" w:cs="Arial"/>
                <w:b/>
                <w:bCs/>
                <w:sz w:val="14"/>
                <w:szCs w:val="14"/>
              </w:rPr>
            </w:pPr>
            <w:r>
              <w:rPr>
                <w:rFonts w:ascii="Arial" w:eastAsia="Calibri" w:hAnsi="Arial" w:cs="Arial"/>
                <w:b/>
                <w:bCs/>
                <w:sz w:val="14"/>
                <w:szCs w:val="14"/>
              </w:rPr>
              <w:t>175.324</w:t>
            </w:r>
          </w:p>
        </w:tc>
        <w:tc>
          <w:tcPr>
            <w:tcW w:w="312" w:type="pct"/>
            <w:tcBorders>
              <w:top w:val="nil"/>
              <w:left w:val="nil"/>
              <w:bottom w:val="single" w:sz="12" w:space="0" w:color="auto"/>
              <w:right w:val="nil"/>
            </w:tcBorders>
            <w:shd w:val="clear" w:color="auto" w:fill="auto"/>
            <w:vAlign w:val="bottom"/>
          </w:tcPr>
          <w:p w14:paraId="5CC2F2CE" w14:textId="77777777" w:rsidR="00CF7B3C" w:rsidRPr="003A2506" w:rsidRDefault="00CF7B3C" w:rsidP="0008792D">
            <w:pPr>
              <w:jc w:val="right"/>
              <w:rPr>
                <w:rFonts w:ascii="Arial" w:eastAsia="Calibri" w:hAnsi="Arial" w:cs="Arial"/>
                <w:b/>
                <w:bCs/>
                <w:sz w:val="14"/>
                <w:szCs w:val="14"/>
              </w:rPr>
            </w:pPr>
            <w:r>
              <w:rPr>
                <w:rFonts w:ascii="Arial" w:eastAsia="Calibri" w:hAnsi="Arial" w:cs="Arial"/>
                <w:b/>
                <w:bCs/>
                <w:sz w:val="14"/>
                <w:szCs w:val="14"/>
              </w:rPr>
              <w:t>33.397</w:t>
            </w:r>
          </w:p>
        </w:tc>
        <w:tc>
          <w:tcPr>
            <w:tcW w:w="333" w:type="pct"/>
            <w:tcBorders>
              <w:top w:val="nil"/>
              <w:left w:val="nil"/>
              <w:bottom w:val="single" w:sz="12" w:space="0" w:color="auto"/>
              <w:right w:val="nil"/>
            </w:tcBorders>
            <w:shd w:val="clear" w:color="auto" w:fill="auto"/>
            <w:vAlign w:val="bottom"/>
          </w:tcPr>
          <w:p w14:paraId="3DE9A9DE" w14:textId="77777777" w:rsidR="00CF7B3C" w:rsidRPr="003A2506" w:rsidRDefault="00CF7B3C" w:rsidP="0008792D">
            <w:pPr>
              <w:jc w:val="right"/>
              <w:rPr>
                <w:rFonts w:ascii="Arial" w:eastAsia="Calibri" w:hAnsi="Arial" w:cs="Arial"/>
                <w:b/>
                <w:bCs/>
                <w:sz w:val="14"/>
                <w:szCs w:val="14"/>
              </w:rPr>
            </w:pPr>
            <w:r>
              <w:rPr>
                <w:rFonts w:ascii="Arial" w:eastAsia="Calibri" w:hAnsi="Arial" w:cs="Arial"/>
                <w:b/>
                <w:bCs/>
                <w:sz w:val="14"/>
                <w:szCs w:val="14"/>
              </w:rPr>
              <w:t>3.946.153</w:t>
            </w:r>
          </w:p>
        </w:tc>
        <w:tc>
          <w:tcPr>
            <w:tcW w:w="328" w:type="pct"/>
            <w:tcBorders>
              <w:top w:val="nil"/>
              <w:left w:val="nil"/>
              <w:bottom w:val="single" w:sz="12" w:space="0" w:color="auto"/>
              <w:right w:val="nil"/>
            </w:tcBorders>
            <w:vAlign w:val="bottom"/>
          </w:tcPr>
          <w:p w14:paraId="48268C1B" w14:textId="77777777" w:rsidR="00CF7B3C" w:rsidRPr="00F959D0" w:rsidRDefault="00CF7B3C" w:rsidP="0008792D">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574.341</w:t>
            </w:r>
          </w:p>
        </w:tc>
        <w:tc>
          <w:tcPr>
            <w:tcW w:w="329" w:type="pct"/>
            <w:tcBorders>
              <w:top w:val="nil"/>
              <w:left w:val="nil"/>
              <w:bottom w:val="single" w:sz="12" w:space="0" w:color="auto"/>
              <w:right w:val="nil"/>
            </w:tcBorders>
            <w:vAlign w:val="bottom"/>
          </w:tcPr>
          <w:p w14:paraId="09D9B537" w14:textId="77777777" w:rsidR="00CF7B3C" w:rsidRPr="00F959D0" w:rsidRDefault="00CF7B3C" w:rsidP="0008792D">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27.880</w:t>
            </w:r>
          </w:p>
        </w:tc>
        <w:tc>
          <w:tcPr>
            <w:tcW w:w="329" w:type="pct"/>
            <w:tcBorders>
              <w:top w:val="nil"/>
              <w:left w:val="nil"/>
              <w:bottom w:val="single" w:sz="12" w:space="0" w:color="auto"/>
              <w:right w:val="nil"/>
            </w:tcBorders>
            <w:vAlign w:val="bottom"/>
          </w:tcPr>
          <w:p w14:paraId="0009A473" w14:textId="77777777" w:rsidR="00CF7B3C" w:rsidRPr="00F959D0" w:rsidRDefault="00CF7B3C" w:rsidP="0008792D">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8.680</w:t>
            </w:r>
          </w:p>
        </w:tc>
        <w:tc>
          <w:tcPr>
            <w:tcW w:w="329" w:type="pct"/>
            <w:tcBorders>
              <w:top w:val="nil"/>
              <w:left w:val="nil"/>
              <w:bottom w:val="single" w:sz="12" w:space="0" w:color="auto"/>
              <w:right w:val="nil"/>
            </w:tcBorders>
            <w:vAlign w:val="bottom"/>
          </w:tcPr>
          <w:p w14:paraId="0CF67C5D" w14:textId="77777777" w:rsidR="00CF7B3C" w:rsidRPr="00F959D0" w:rsidRDefault="00CF7B3C" w:rsidP="0008792D">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56</w:t>
            </w:r>
          </w:p>
        </w:tc>
        <w:tc>
          <w:tcPr>
            <w:tcW w:w="330" w:type="pct"/>
            <w:tcBorders>
              <w:top w:val="nil"/>
              <w:left w:val="nil"/>
              <w:bottom w:val="single" w:sz="12" w:space="0" w:color="auto"/>
              <w:right w:val="nil"/>
            </w:tcBorders>
            <w:shd w:val="clear" w:color="auto" w:fill="auto"/>
            <w:vAlign w:val="bottom"/>
          </w:tcPr>
          <w:p w14:paraId="670DB22F" w14:textId="77777777" w:rsidR="00CF7B3C" w:rsidRPr="00F959D0" w:rsidRDefault="00CF7B3C" w:rsidP="0008792D">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9.798</w:t>
            </w:r>
          </w:p>
        </w:tc>
        <w:tc>
          <w:tcPr>
            <w:tcW w:w="371" w:type="pct"/>
            <w:tcBorders>
              <w:top w:val="nil"/>
              <w:left w:val="nil"/>
              <w:bottom w:val="single" w:sz="12" w:space="0" w:color="auto"/>
              <w:right w:val="nil"/>
            </w:tcBorders>
            <w:vAlign w:val="bottom"/>
          </w:tcPr>
          <w:p w14:paraId="137997A0" w14:textId="77777777" w:rsidR="00CF7B3C" w:rsidRPr="00F959D0" w:rsidRDefault="00CF7B3C" w:rsidP="0008792D">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30</w:t>
            </w:r>
          </w:p>
        </w:tc>
        <w:tc>
          <w:tcPr>
            <w:tcW w:w="323" w:type="pct"/>
            <w:tcBorders>
              <w:top w:val="nil"/>
              <w:left w:val="nil"/>
              <w:bottom w:val="single" w:sz="12" w:space="0" w:color="auto"/>
              <w:right w:val="nil"/>
            </w:tcBorders>
            <w:vAlign w:val="bottom"/>
          </w:tcPr>
          <w:p w14:paraId="3ABAA1A1" w14:textId="77777777" w:rsidR="00CF7B3C" w:rsidRPr="00F959D0" w:rsidRDefault="00CF7B3C" w:rsidP="0008792D">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620.785</w:t>
            </w:r>
          </w:p>
        </w:tc>
      </w:tr>
      <w:tr w:rsidR="00CF7B3C" w:rsidRPr="00F12E3D" w14:paraId="6089E6FB" w14:textId="77777777" w:rsidTr="0008792D">
        <w:trPr>
          <w:trHeight w:val="57"/>
        </w:trPr>
        <w:tc>
          <w:tcPr>
            <w:tcW w:w="538" w:type="pct"/>
            <w:vAlign w:val="bottom"/>
          </w:tcPr>
          <w:p w14:paraId="75E7A744" w14:textId="77777777" w:rsidR="00CF7B3C" w:rsidRPr="003A2506" w:rsidRDefault="00CF7B3C" w:rsidP="0008792D">
            <w:pPr>
              <w:tabs>
                <w:tab w:val="right" w:pos="1202"/>
              </w:tabs>
              <w:outlineLvl w:val="0"/>
              <w:rPr>
                <w:rFonts w:ascii="Arial" w:eastAsia="Calibri" w:hAnsi="Arial" w:cs="Arial"/>
                <w:b/>
                <w:bCs/>
                <w:color w:val="000000" w:themeColor="text1"/>
                <w:sz w:val="14"/>
                <w:szCs w:val="14"/>
              </w:rPr>
            </w:pPr>
            <w:r w:rsidRPr="003A2506">
              <w:rPr>
                <w:rFonts w:ascii="Arial" w:eastAsia="Calibri" w:hAnsi="Arial" w:cs="Arial"/>
                <w:b/>
                <w:bCs/>
                <w:color w:val="000000" w:themeColor="text1"/>
                <w:sz w:val="14"/>
                <w:szCs w:val="14"/>
              </w:rPr>
              <w:t>Garancije i preuzete obveze</w:t>
            </w:r>
          </w:p>
        </w:tc>
        <w:tc>
          <w:tcPr>
            <w:tcW w:w="301" w:type="pct"/>
            <w:tcBorders>
              <w:top w:val="nil"/>
              <w:left w:val="nil"/>
              <w:bottom w:val="nil"/>
              <w:right w:val="nil"/>
            </w:tcBorders>
            <w:shd w:val="clear" w:color="auto" w:fill="auto"/>
            <w:vAlign w:val="bottom"/>
          </w:tcPr>
          <w:p w14:paraId="5308DA55" w14:textId="77777777" w:rsidR="00CF7B3C" w:rsidRPr="003A2506" w:rsidRDefault="00CF7B3C" w:rsidP="0008792D">
            <w:pPr>
              <w:jc w:val="right"/>
              <w:rPr>
                <w:rFonts w:ascii="Arial" w:eastAsia="Calibri" w:hAnsi="Arial" w:cs="Arial"/>
                <w:color w:val="000000" w:themeColor="text1"/>
                <w:sz w:val="14"/>
                <w:szCs w:val="14"/>
              </w:rPr>
            </w:pPr>
          </w:p>
        </w:tc>
        <w:tc>
          <w:tcPr>
            <w:tcW w:w="298" w:type="pct"/>
            <w:tcBorders>
              <w:top w:val="nil"/>
              <w:left w:val="nil"/>
              <w:bottom w:val="nil"/>
              <w:right w:val="nil"/>
            </w:tcBorders>
            <w:shd w:val="clear" w:color="auto" w:fill="auto"/>
            <w:vAlign w:val="bottom"/>
          </w:tcPr>
          <w:p w14:paraId="15ACC7D2" w14:textId="77777777" w:rsidR="00CF7B3C" w:rsidRPr="003A2506" w:rsidRDefault="00CF7B3C" w:rsidP="0008792D">
            <w:pPr>
              <w:jc w:val="right"/>
              <w:rPr>
                <w:rFonts w:ascii="Arial" w:eastAsia="Calibri" w:hAnsi="Arial" w:cs="Arial"/>
                <w:color w:val="000000" w:themeColor="text1"/>
                <w:sz w:val="14"/>
                <w:szCs w:val="14"/>
              </w:rPr>
            </w:pPr>
          </w:p>
        </w:tc>
        <w:tc>
          <w:tcPr>
            <w:tcW w:w="295" w:type="pct"/>
            <w:tcBorders>
              <w:top w:val="nil"/>
              <w:left w:val="nil"/>
              <w:bottom w:val="nil"/>
              <w:right w:val="nil"/>
            </w:tcBorders>
            <w:shd w:val="clear" w:color="auto" w:fill="auto"/>
            <w:vAlign w:val="bottom"/>
          </w:tcPr>
          <w:p w14:paraId="207A8E12" w14:textId="77777777" w:rsidR="00CF7B3C" w:rsidRPr="003A2506" w:rsidRDefault="00CF7B3C" w:rsidP="0008792D">
            <w:pPr>
              <w:jc w:val="right"/>
              <w:rPr>
                <w:rFonts w:ascii="Arial" w:eastAsia="Calibri" w:hAnsi="Arial" w:cs="Arial"/>
                <w:color w:val="000000" w:themeColor="text1"/>
                <w:sz w:val="14"/>
                <w:szCs w:val="14"/>
              </w:rPr>
            </w:pPr>
          </w:p>
        </w:tc>
        <w:tc>
          <w:tcPr>
            <w:tcW w:w="287" w:type="pct"/>
            <w:tcBorders>
              <w:top w:val="nil"/>
              <w:left w:val="nil"/>
              <w:bottom w:val="nil"/>
              <w:right w:val="nil"/>
            </w:tcBorders>
            <w:shd w:val="clear" w:color="auto" w:fill="auto"/>
            <w:vAlign w:val="bottom"/>
          </w:tcPr>
          <w:p w14:paraId="18A906A8" w14:textId="77777777" w:rsidR="00CF7B3C" w:rsidRPr="009C51A3" w:rsidRDefault="00CF7B3C" w:rsidP="0008792D">
            <w:pPr>
              <w:jc w:val="right"/>
              <w:rPr>
                <w:rFonts w:ascii="Arial" w:eastAsia="Calibri" w:hAnsi="Arial" w:cs="Arial"/>
                <w:color w:val="000000" w:themeColor="text1"/>
                <w:sz w:val="14"/>
                <w:szCs w:val="14"/>
              </w:rPr>
            </w:pPr>
          </w:p>
        </w:tc>
        <w:tc>
          <w:tcPr>
            <w:tcW w:w="297" w:type="pct"/>
            <w:tcBorders>
              <w:top w:val="nil"/>
              <w:left w:val="nil"/>
              <w:bottom w:val="nil"/>
              <w:right w:val="nil"/>
            </w:tcBorders>
            <w:shd w:val="clear" w:color="auto" w:fill="auto"/>
            <w:vAlign w:val="bottom"/>
          </w:tcPr>
          <w:p w14:paraId="277124C3" w14:textId="77777777" w:rsidR="00CF7B3C" w:rsidRPr="003A2506" w:rsidRDefault="00CF7B3C" w:rsidP="0008792D">
            <w:pPr>
              <w:jc w:val="right"/>
              <w:rPr>
                <w:rFonts w:ascii="Arial" w:eastAsia="Calibri" w:hAnsi="Arial" w:cs="Arial"/>
                <w:color w:val="000000" w:themeColor="text1"/>
                <w:sz w:val="14"/>
                <w:szCs w:val="14"/>
              </w:rPr>
            </w:pPr>
          </w:p>
        </w:tc>
        <w:tc>
          <w:tcPr>
            <w:tcW w:w="312" w:type="pct"/>
            <w:tcBorders>
              <w:top w:val="nil"/>
              <w:left w:val="nil"/>
              <w:bottom w:val="nil"/>
              <w:right w:val="nil"/>
            </w:tcBorders>
            <w:shd w:val="clear" w:color="auto" w:fill="auto"/>
            <w:vAlign w:val="bottom"/>
          </w:tcPr>
          <w:p w14:paraId="3A9C1C7D" w14:textId="77777777" w:rsidR="00CF7B3C" w:rsidRPr="003A2506" w:rsidRDefault="00CF7B3C" w:rsidP="0008792D">
            <w:pPr>
              <w:jc w:val="right"/>
              <w:rPr>
                <w:rFonts w:ascii="Arial" w:eastAsia="Calibri" w:hAnsi="Arial" w:cs="Arial"/>
                <w:color w:val="000000" w:themeColor="text1"/>
                <w:sz w:val="14"/>
                <w:szCs w:val="14"/>
              </w:rPr>
            </w:pPr>
          </w:p>
        </w:tc>
        <w:tc>
          <w:tcPr>
            <w:tcW w:w="333" w:type="pct"/>
            <w:tcBorders>
              <w:top w:val="nil"/>
              <w:left w:val="nil"/>
              <w:bottom w:val="nil"/>
              <w:right w:val="nil"/>
            </w:tcBorders>
            <w:shd w:val="clear" w:color="auto" w:fill="auto"/>
            <w:vAlign w:val="bottom"/>
          </w:tcPr>
          <w:p w14:paraId="11FDC479" w14:textId="77777777" w:rsidR="00CF7B3C" w:rsidRPr="003A2506" w:rsidRDefault="00CF7B3C" w:rsidP="0008792D">
            <w:pPr>
              <w:jc w:val="center"/>
              <w:rPr>
                <w:rFonts w:ascii="Arial" w:eastAsia="Calibri" w:hAnsi="Arial" w:cs="Arial"/>
                <w:color w:val="000000" w:themeColor="text1"/>
                <w:sz w:val="14"/>
                <w:szCs w:val="14"/>
              </w:rPr>
            </w:pPr>
          </w:p>
        </w:tc>
        <w:tc>
          <w:tcPr>
            <w:tcW w:w="328" w:type="pct"/>
            <w:tcBorders>
              <w:top w:val="nil"/>
              <w:left w:val="nil"/>
              <w:bottom w:val="nil"/>
              <w:right w:val="nil"/>
            </w:tcBorders>
            <w:vAlign w:val="bottom"/>
          </w:tcPr>
          <w:p w14:paraId="4F67205C" w14:textId="77777777" w:rsidR="00CF7B3C" w:rsidRPr="003A2506" w:rsidRDefault="00CF7B3C" w:rsidP="0008792D">
            <w:pPr>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4251516C" w14:textId="77777777" w:rsidR="00CF7B3C" w:rsidRPr="003A2506" w:rsidRDefault="00CF7B3C" w:rsidP="0008792D">
            <w:pPr>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44AD7A92" w14:textId="77777777" w:rsidR="00CF7B3C" w:rsidRPr="003A2506" w:rsidRDefault="00CF7B3C" w:rsidP="0008792D">
            <w:pPr>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4E4400D0" w14:textId="77777777" w:rsidR="00CF7B3C" w:rsidRPr="003A2506" w:rsidRDefault="00CF7B3C" w:rsidP="0008792D">
            <w:pPr>
              <w:jc w:val="right"/>
              <w:rPr>
                <w:rFonts w:ascii="Arial" w:eastAsia="Calibri" w:hAnsi="Arial" w:cs="Arial"/>
                <w:color w:val="000000" w:themeColor="text1"/>
                <w:sz w:val="14"/>
                <w:szCs w:val="14"/>
              </w:rPr>
            </w:pPr>
          </w:p>
        </w:tc>
        <w:tc>
          <w:tcPr>
            <w:tcW w:w="330" w:type="pct"/>
            <w:tcBorders>
              <w:top w:val="nil"/>
              <w:left w:val="nil"/>
              <w:bottom w:val="nil"/>
              <w:right w:val="nil"/>
            </w:tcBorders>
            <w:vAlign w:val="bottom"/>
          </w:tcPr>
          <w:p w14:paraId="21E01A3C" w14:textId="77777777" w:rsidR="00CF7B3C" w:rsidRPr="003A2506" w:rsidRDefault="00CF7B3C" w:rsidP="0008792D">
            <w:pPr>
              <w:jc w:val="right"/>
              <w:rPr>
                <w:rFonts w:ascii="Arial" w:eastAsia="Calibri" w:hAnsi="Arial" w:cs="Arial"/>
                <w:color w:val="000000" w:themeColor="text1"/>
                <w:sz w:val="14"/>
                <w:szCs w:val="14"/>
              </w:rPr>
            </w:pPr>
          </w:p>
        </w:tc>
        <w:tc>
          <w:tcPr>
            <w:tcW w:w="371" w:type="pct"/>
            <w:tcBorders>
              <w:top w:val="nil"/>
              <w:left w:val="nil"/>
              <w:bottom w:val="nil"/>
              <w:right w:val="nil"/>
            </w:tcBorders>
            <w:vAlign w:val="bottom"/>
          </w:tcPr>
          <w:p w14:paraId="2D5B2E24" w14:textId="77777777" w:rsidR="00CF7B3C" w:rsidRPr="003A2506" w:rsidRDefault="00CF7B3C" w:rsidP="0008792D">
            <w:pPr>
              <w:jc w:val="right"/>
              <w:rPr>
                <w:rFonts w:ascii="Arial" w:eastAsia="Calibri" w:hAnsi="Arial" w:cs="Arial"/>
                <w:color w:val="000000" w:themeColor="text1"/>
                <w:sz w:val="14"/>
                <w:szCs w:val="14"/>
              </w:rPr>
            </w:pPr>
          </w:p>
        </w:tc>
        <w:tc>
          <w:tcPr>
            <w:tcW w:w="323" w:type="pct"/>
            <w:tcBorders>
              <w:top w:val="nil"/>
              <w:left w:val="nil"/>
              <w:bottom w:val="nil"/>
              <w:right w:val="nil"/>
            </w:tcBorders>
            <w:vAlign w:val="bottom"/>
          </w:tcPr>
          <w:p w14:paraId="1E05D35A" w14:textId="77777777" w:rsidR="00CF7B3C" w:rsidRPr="003A2506" w:rsidRDefault="00CF7B3C" w:rsidP="0008792D">
            <w:pPr>
              <w:jc w:val="right"/>
              <w:rPr>
                <w:rFonts w:ascii="Arial" w:eastAsia="Calibri" w:hAnsi="Arial" w:cs="Arial"/>
                <w:color w:val="000000" w:themeColor="text1"/>
                <w:sz w:val="14"/>
                <w:szCs w:val="14"/>
              </w:rPr>
            </w:pPr>
          </w:p>
        </w:tc>
      </w:tr>
      <w:tr w:rsidR="00CF7B3C" w:rsidRPr="00F12E3D" w14:paraId="283C776A" w14:textId="77777777" w:rsidTr="0008792D">
        <w:trPr>
          <w:trHeight w:val="189"/>
        </w:trPr>
        <w:tc>
          <w:tcPr>
            <w:tcW w:w="538" w:type="pct"/>
            <w:vAlign w:val="bottom"/>
          </w:tcPr>
          <w:p w14:paraId="256F095F" w14:textId="77777777" w:rsidR="00CF7B3C" w:rsidRPr="00F12E3D" w:rsidRDefault="00CF7B3C" w:rsidP="0008792D">
            <w:pPr>
              <w:tabs>
                <w:tab w:val="right" w:pos="1202"/>
              </w:tabs>
              <w:outlineLvl w:val="0"/>
              <w:rPr>
                <w:rFonts w:ascii="Arial" w:eastAsia="Calibri" w:hAnsi="Arial" w:cs="Arial"/>
                <w:b/>
                <w:bCs/>
                <w:color w:val="000000" w:themeColor="text1"/>
                <w:sz w:val="14"/>
                <w:szCs w:val="14"/>
              </w:rPr>
            </w:pPr>
            <w:r w:rsidRPr="00F12E3D">
              <w:rPr>
                <w:rFonts w:ascii="Arial" w:eastAsia="Calibri" w:hAnsi="Arial" w:cs="Arial"/>
                <w:color w:val="000000" w:themeColor="text1"/>
                <w:sz w:val="14"/>
                <w:szCs w:val="14"/>
              </w:rPr>
              <w:t xml:space="preserve">Izdane garancije </w:t>
            </w:r>
          </w:p>
        </w:tc>
        <w:tc>
          <w:tcPr>
            <w:tcW w:w="301" w:type="pct"/>
            <w:tcBorders>
              <w:top w:val="nil"/>
              <w:left w:val="nil"/>
              <w:bottom w:val="nil"/>
              <w:right w:val="nil"/>
            </w:tcBorders>
            <w:shd w:val="clear" w:color="auto" w:fill="auto"/>
            <w:vAlign w:val="bottom"/>
          </w:tcPr>
          <w:p w14:paraId="2FC7415A"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8.415</w:t>
            </w:r>
          </w:p>
        </w:tc>
        <w:tc>
          <w:tcPr>
            <w:tcW w:w="298" w:type="pct"/>
            <w:tcBorders>
              <w:top w:val="nil"/>
              <w:left w:val="nil"/>
              <w:bottom w:val="nil"/>
              <w:right w:val="nil"/>
            </w:tcBorders>
            <w:shd w:val="clear" w:color="auto" w:fill="auto"/>
            <w:vAlign w:val="bottom"/>
          </w:tcPr>
          <w:p w14:paraId="0A22EA3F"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16.546</w:t>
            </w:r>
          </w:p>
        </w:tc>
        <w:tc>
          <w:tcPr>
            <w:tcW w:w="295" w:type="pct"/>
            <w:tcBorders>
              <w:top w:val="nil"/>
              <w:left w:val="nil"/>
              <w:bottom w:val="nil"/>
              <w:right w:val="nil"/>
            </w:tcBorders>
            <w:shd w:val="clear" w:color="auto" w:fill="auto"/>
            <w:vAlign w:val="bottom"/>
          </w:tcPr>
          <w:p w14:paraId="7881307A"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2.511</w:t>
            </w:r>
          </w:p>
        </w:tc>
        <w:tc>
          <w:tcPr>
            <w:tcW w:w="287" w:type="pct"/>
            <w:tcBorders>
              <w:top w:val="nil"/>
              <w:left w:val="nil"/>
              <w:bottom w:val="nil"/>
              <w:right w:val="nil"/>
            </w:tcBorders>
            <w:shd w:val="clear" w:color="auto" w:fill="auto"/>
            <w:vAlign w:val="bottom"/>
          </w:tcPr>
          <w:p w14:paraId="0F2D9E00" w14:textId="77777777" w:rsidR="00CF7B3C" w:rsidRPr="00F959D0"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nil"/>
              <w:right w:val="nil"/>
            </w:tcBorders>
            <w:shd w:val="clear" w:color="auto" w:fill="auto"/>
            <w:vAlign w:val="bottom"/>
          </w:tcPr>
          <w:p w14:paraId="64132C35"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4E93CEA9"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176C0855"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27.472</w:t>
            </w:r>
          </w:p>
        </w:tc>
        <w:tc>
          <w:tcPr>
            <w:tcW w:w="328" w:type="pct"/>
            <w:tcBorders>
              <w:top w:val="nil"/>
              <w:left w:val="nil"/>
              <w:bottom w:val="nil"/>
              <w:right w:val="nil"/>
            </w:tcBorders>
            <w:vAlign w:val="bottom"/>
          </w:tcPr>
          <w:p w14:paraId="26885DAD"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7.985</w:t>
            </w:r>
          </w:p>
        </w:tc>
        <w:tc>
          <w:tcPr>
            <w:tcW w:w="329" w:type="pct"/>
            <w:tcBorders>
              <w:top w:val="nil"/>
              <w:left w:val="nil"/>
              <w:bottom w:val="nil"/>
              <w:right w:val="nil"/>
            </w:tcBorders>
            <w:vAlign w:val="bottom"/>
          </w:tcPr>
          <w:p w14:paraId="587E838C"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11.715</w:t>
            </w:r>
          </w:p>
        </w:tc>
        <w:tc>
          <w:tcPr>
            <w:tcW w:w="329" w:type="pct"/>
            <w:tcBorders>
              <w:top w:val="nil"/>
              <w:left w:val="nil"/>
              <w:bottom w:val="nil"/>
              <w:right w:val="nil"/>
            </w:tcBorders>
            <w:vAlign w:val="bottom"/>
          </w:tcPr>
          <w:p w14:paraId="08897990"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1.948</w:t>
            </w:r>
          </w:p>
        </w:tc>
        <w:tc>
          <w:tcPr>
            <w:tcW w:w="329" w:type="pct"/>
            <w:tcBorders>
              <w:top w:val="nil"/>
              <w:left w:val="nil"/>
              <w:bottom w:val="nil"/>
              <w:right w:val="nil"/>
            </w:tcBorders>
            <w:vAlign w:val="bottom"/>
          </w:tcPr>
          <w:p w14:paraId="1D094BC7" w14:textId="77777777" w:rsidR="00CF7B3C" w:rsidRPr="00F959D0"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nil"/>
              <w:right w:val="nil"/>
            </w:tcBorders>
            <w:vAlign w:val="bottom"/>
          </w:tcPr>
          <w:p w14:paraId="08ACC931" w14:textId="77777777" w:rsidR="00CF7B3C" w:rsidRPr="009C51A3"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67AF239B"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3" w:type="pct"/>
            <w:tcBorders>
              <w:top w:val="nil"/>
              <w:left w:val="nil"/>
              <w:bottom w:val="nil"/>
              <w:right w:val="nil"/>
            </w:tcBorders>
            <w:vAlign w:val="bottom"/>
          </w:tcPr>
          <w:p w14:paraId="44F5E419"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21.648</w:t>
            </w:r>
          </w:p>
        </w:tc>
      </w:tr>
      <w:tr w:rsidR="00CF7B3C" w:rsidRPr="00F12E3D" w14:paraId="2F7949D3" w14:textId="77777777" w:rsidTr="0008792D">
        <w:trPr>
          <w:trHeight w:val="189"/>
        </w:trPr>
        <w:tc>
          <w:tcPr>
            <w:tcW w:w="538" w:type="pct"/>
            <w:vAlign w:val="bottom"/>
          </w:tcPr>
          <w:p w14:paraId="32BDD94D" w14:textId="77777777" w:rsidR="00CF7B3C" w:rsidRPr="00F12E3D" w:rsidRDefault="00CF7B3C" w:rsidP="0008792D">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Izdane garancije u devizama</w:t>
            </w:r>
          </w:p>
        </w:tc>
        <w:tc>
          <w:tcPr>
            <w:tcW w:w="301" w:type="pct"/>
            <w:tcBorders>
              <w:top w:val="nil"/>
              <w:left w:val="nil"/>
              <w:bottom w:val="nil"/>
              <w:right w:val="nil"/>
            </w:tcBorders>
            <w:shd w:val="clear" w:color="auto" w:fill="auto"/>
            <w:vAlign w:val="bottom"/>
          </w:tcPr>
          <w:p w14:paraId="384636DD"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54</w:t>
            </w:r>
          </w:p>
        </w:tc>
        <w:tc>
          <w:tcPr>
            <w:tcW w:w="298" w:type="pct"/>
            <w:tcBorders>
              <w:top w:val="nil"/>
              <w:left w:val="nil"/>
              <w:bottom w:val="nil"/>
              <w:right w:val="nil"/>
            </w:tcBorders>
            <w:shd w:val="clear" w:color="auto" w:fill="auto"/>
            <w:vAlign w:val="bottom"/>
          </w:tcPr>
          <w:p w14:paraId="78B39898"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5.101</w:t>
            </w:r>
          </w:p>
        </w:tc>
        <w:tc>
          <w:tcPr>
            <w:tcW w:w="295" w:type="pct"/>
            <w:tcBorders>
              <w:top w:val="nil"/>
              <w:left w:val="nil"/>
              <w:bottom w:val="nil"/>
              <w:right w:val="nil"/>
            </w:tcBorders>
            <w:shd w:val="clear" w:color="auto" w:fill="auto"/>
            <w:vAlign w:val="bottom"/>
          </w:tcPr>
          <w:p w14:paraId="1CF1F708"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87" w:type="pct"/>
            <w:tcBorders>
              <w:top w:val="nil"/>
              <w:left w:val="nil"/>
              <w:bottom w:val="nil"/>
              <w:right w:val="nil"/>
            </w:tcBorders>
            <w:shd w:val="clear" w:color="auto" w:fill="auto"/>
            <w:vAlign w:val="bottom"/>
          </w:tcPr>
          <w:p w14:paraId="099EB278" w14:textId="77777777" w:rsidR="00CF7B3C" w:rsidRPr="00F959D0"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nil"/>
              <w:right w:val="nil"/>
            </w:tcBorders>
            <w:shd w:val="clear" w:color="auto" w:fill="auto"/>
            <w:vAlign w:val="bottom"/>
          </w:tcPr>
          <w:p w14:paraId="283160CA"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095AEBE5"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nil"/>
              <w:right w:val="nil"/>
            </w:tcBorders>
            <w:shd w:val="clear" w:color="auto" w:fill="auto"/>
            <w:vAlign w:val="bottom"/>
          </w:tcPr>
          <w:p w14:paraId="001860C0"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5.155</w:t>
            </w:r>
          </w:p>
        </w:tc>
        <w:tc>
          <w:tcPr>
            <w:tcW w:w="328" w:type="pct"/>
            <w:tcBorders>
              <w:top w:val="nil"/>
              <w:left w:val="nil"/>
              <w:bottom w:val="nil"/>
              <w:right w:val="nil"/>
            </w:tcBorders>
            <w:vAlign w:val="bottom"/>
          </w:tcPr>
          <w:p w14:paraId="42444DD6"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16</w:t>
            </w:r>
          </w:p>
        </w:tc>
        <w:tc>
          <w:tcPr>
            <w:tcW w:w="329" w:type="pct"/>
            <w:tcBorders>
              <w:top w:val="nil"/>
              <w:left w:val="nil"/>
              <w:bottom w:val="nil"/>
              <w:right w:val="nil"/>
            </w:tcBorders>
            <w:vAlign w:val="bottom"/>
          </w:tcPr>
          <w:p w14:paraId="516AEB66"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2.808</w:t>
            </w:r>
          </w:p>
        </w:tc>
        <w:tc>
          <w:tcPr>
            <w:tcW w:w="329" w:type="pct"/>
            <w:tcBorders>
              <w:top w:val="nil"/>
              <w:left w:val="nil"/>
              <w:bottom w:val="nil"/>
              <w:right w:val="nil"/>
            </w:tcBorders>
            <w:vAlign w:val="bottom"/>
          </w:tcPr>
          <w:p w14:paraId="0DD59BAC"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9" w:type="pct"/>
            <w:tcBorders>
              <w:top w:val="nil"/>
              <w:left w:val="nil"/>
              <w:bottom w:val="nil"/>
              <w:right w:val="nil"/>
            </w:tcBorders>
            <w:vAlign w:val="bottom"/>
          </w:tcPr>
          <w:p w14:paraId="56C1D360" w14:textId="77777777" w:rsidR="00CF7B3C" w:rsidRPr="00F959D0"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nil"/>
              <w:right w:val="nil"/>
            </w:tcBorders>
            <w:vAlign w:val="bottom"/>
          </w:tcPr>
          <w:p w14:paraId="64D6E510" w14:textId="77777777" w:rsidR="00CF7B3C" w:rsidRPr="009C51A3"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231E72D4"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3" w:type="pct"/>
            <w:tcBorders>
              <w:top w:val="nil"/>
              <w:left w:val="nil"/>
              <w:bottom w:val="nil"/>
              <w:right w:val="nil"/>
            </w:tcBorders>
            <w:vAlign w:val="bottom"/>
          </w:tcPr>
          <w:p w14:paraId="6227E496"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2.824</w:t>
            </w:r>
          </w:p>
        </w:tc>
      </w:tr>
      <w:tr w:rsidR="00CF7B3C" w:rsidRPr="00F12E3D" w14:paraId="3E0A59A4" w14:textId="77777777" w:rsidTr="0008792D">
        <w:trPr>
          <w:trHeight w:val="189"/>
        </w:trPr>
        <w:tc>
          <w:tcPr>
            <w:tcW w:w="538" w:type="pct"/>
            <w:vAlign w:val="bottom"/>
          </w:tcPr>
          <w:p w14:paraId="5B11FCBE" w14:textId="77777777" w:rsidR="00CF7B3C" w:rsidRPr="00F12E3D" w:rsidRDefault="00CF7B3C" w:rsidP="0008792D">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Preuzete obveze po kreditima</w:t>
            </w:r>
          </w:p>
        </w:tc>
        <w:tc>
          <w:tcPr>
            <w:tcW w:w="301" w:type="pct"/>
            <w:tcBorders>
              <w:top w:val="nil"/>
              <w:left w:val="nil"/>
              <w:bottom w:val="single" w:sz="6" w:space="0" w:color="auto"/>
              <w:right w:val="nil"/>
            </w:tcBorders>
            <w:shd w:val="clear" w:color="auto" w:fill="auto"/>
            <w:vAlign w:val="bottom"/>
          </w:tcPr>
          <w:p w14:paraId="5C19DDBD"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545.200</w:t>
            </w:r>
          </w:p>
        </w:tc>
        <w:tc>
          <w:tcPr>
            <w:tcW w:w="298" w:type="pct"/>
            <w:tcBorders>
              <w:top w:val="nil"/>
              <w:left w:val="nil"/>
              <w:bottom w:val="single" w:sz="6" w:space="0" w:color="auto"/>
              <w:right w:val="nil"/>
            </w:tcBorders>
            <w:shd w:val="clear" w:color="auto" w:fill="auto"/>
            <w:vAlign w:val="bottom"/>
          </w:tcPr>
          <w:p w14:paraId="675C77E5"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3.931</w:t>
            </w:r>
          </w:p>
        </w:tc>
        <w:tc>
          <w:tcPr>
            <w:tcW w:w="295" w:type="pct"/>
            <w:tcBorders>
              <w:top w:val="nil"/>
              <w:left w:val="nil"/>
              <w:bottom w:val="single" w:sz="6" w:space="0" w:color="auto"/>
              <w:right w:val="nil"/>
            </w:tcBorders>
            <w:shd w:val="clear" w:color="auto" w:fill="auto"/>
            <w:vAlign w:val="bottom"/>
          </w:tcPr>
          <w:p w14:paraId="61707D08"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61</w:t>
            </w:r>
          </w:p>
        </w:tc>
        <w:tc>
          <w:tcPr>
            <w:tcW w:w="287" w:type="pct"/>
            <w:tcBorders>
              <w:top w:val="nil"/>
              <w:left w:val="nil"/>
              <w:bottom w:val="single" w:sz="6" w:space="0" w:color="auto"/>
              <w:right w:val="nil"/>
            </w:tcBorders>
            <w:shd w:val="clear" w:color="auto" w:fill="auto"/>
            <w:vAlign w:val="bottom"/>
          </w:tcPr>
          <w:p w14:paraId="33798AE0" w14:textId="77777777" w:rsidR="00CF7B3C" w:rsidRPr="00F959D0"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297" w:type="pct"/>
            <w:tcBorders>
              <w:top w:val="nil"/>
              <w:left w:val="nil"/>
              <w:bottom w:val="single" w:sz="6" w:space="0" w:color="auto"/>
              <w:right w:val="nil"/>
            </w:tcBorders>
            <w:shd w:val="clear" w:color="auto" w:fill="auto"/>
            <w:vAlign w:val="bottom"/>
          </w:tcPr>
          <w:p w14:paraId="58D18D96"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5.826</w:t>
            </w:r>
          </w:p>
        </w:tc>
        <w:tc>
          <w:tcPr>
            <w:tcW w:w="312" w:type="pct"/>
            <w:tcBorders>
              <w:top w:val="nil"/>
              <w:left w:val="nil"/>
              <w:bottom w:val="single" w:sz="6" w:space="0" w:color="auto"/>
              <w:right w:val="nil"/>
            </w:tcBorders>
            <w:shd w:val="clear" w:color="auto" w:fill="auto"/>
            <w:vAlign w:val="bottom"/>
          </w:tcPr>
          <w:p w14:paraId="7A31A801"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3" w:type="pct"/>
            <w:tcBorders>
              <w:top w:val="nil"/>
              <w:left w:val="nil"/>
              <w:bottom w:val="single" w:sz="6" w:space="0" w:color="auto"/>
              <w:right w:val="nil"/>
            </w:tcBorders>
            <w:shd w:val="clear" w:color="auto" w:fill="auto"/>
            <w:vAlign w:val="bottom"/>
          </w:tcPr>
          <w:p w14:paraId="5E071982"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555.018</w:t>
            </w:r>
          </w:p>
        </w:tc>
        <w:tc>
          <w:tcPr>
            <w:tcW w:w="328" w:type="pct"/>
            <w:tcBorders>
              <w:top w:val="nil"/>
              <w:left w:val="nil"/>
              <w:bottom w:val="single" w:sz="6" w:space="0" w:color="auto"/>
              <w:right w:val="nil"/>
            </w:tcBorders>
            <w:vAlign w:val="bottom"/>
          </w:tcPr>
          <w:p w14:paraId="516A86D6"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147.163</w:t>
            </w:r>
          </w:p>
        </w:tc>
        <w:tc>
          <w:tcPr>
            <w:tcW w:w="329" w:type="pct"/>
            <w:tcBorders>
              <w:top w:val="nil"/>
              <w:left w:val="nil"/>
              <w:bottom w:val="single" w:sz="6" w:space="0" w:color="auto"/>
              <w:right w:val="nil"/>
            </w:tcBorders>
            <w:vAlign w:val="bottom"/>
          </w:tcPr>
          <w:p w14:paraId="7EC3AE2F"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2.332</w:t>
            </w:r>
          </w:p>
        </w:tc>
        <w:tc>
          <w:tcPr>
            <w:tcW w:w="329" w:type="pct"/>
            <w:tcBorders>
              <w:top w:val="nil"/>
              <w:left w:val="nil"/>
              <w:bottom w:val="single" w:sz="6" w:space="0" w:color="auto"/>
              <w:right w:val="nil"/>
            </w:tcBorders>
            <w:vAlign w:val="bottom"/>
          </w:tcPr>
          <w:p w14:paraId="33FE373D"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20</w:t>
            </w:r>
          </w:p>
        </w:tc>
        <w:tc>
          <w:tcPr>
            <w:tcW w:w="329" w:type="pct"/>
            <w:tcBorders>
              <w:top w:val="nil"/>
              <w:left w:val="nil"/>
              <w:bottom w:val="single" w:sz="6" w:space="0" w:color="auto"/>
              <w:right w:val="nil"/>
            </w:tcBorders>
            <w:vAlign w:val="bottom"/>
          </w:tcPr>
          <w:p w14:paraId="3A99E3DF" w14:textId="77777777" w:rsidR="00CF7B3C" w:rsidRPr="00F959D0"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single" w:sz="6" w:space="0" w:color="auto"/>
              <w:right w:val="nil"/>
            </w:tcBorders>
            <w:vAlign w:val="bottom"/>
          </w:tcPr>
          <w:p w14:paraId="3CC7AB24" w14:textId="77777777" w:rsidR="00CF7B3C" w:rsidRPr="009C51A3"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63</w:t>
            </w:r>
          </w:p>
        </w:tc>
        <w:tc>
          <w:tcPr>
            <w:tcW w:w="371" w:type="pct"/>
            <w:tcBorders>
              <w:top w:val="nil"/>
              <w:left w:val="nil"/>
              <w:bottom w:val="single" w:sz="6" w:space="0" w:color="auto"/>
              <w:right w:val="nil"/>
            </w:tcBorders>
            <w:vAlign w:val="bottom"/>
          </w:tcPr>
          <w:p w14:paraId="52FD68B5"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3" w:type="pct"/>
            <w:tcBorders>
              <w:top w:val="nil"/>
              <w:left w:val="nil"/>
              <w:bottom w:val="single" w:sz="6" w:space="0" w:color="auto"/>
              <w:right w:val="nil"/>
            </w:tcBorders>
            <w:vAlign w:val="bottom"/>
          </w:tcPr>
          <w:p w14:paraId="5EA6BF6B" w14:textId="77777777" w:rsidR="00CF7B3C" w:rsidRPr="003A2506" w:rsidRDefault="00CF7B3C" w:rsidP="0008792D">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149.578</w:t>
            </w:r>
          </w:p>
        </w:tc>
      </w:tr>
      <w:tr w:rsidR="00CF7B3C" w:rsidRPr="00F12E3D" w14:paraId="4C5BDD6E" w14:textId="77777777" w:rsidTr="0008792D">
        <w:trPr>
          <w:trHeight w:val="170"/>
        </w:trPr>
        <w:tc>
          <w:tcPr>
            <w:tcW w:w="538" w:type="pct"/>
            <w:vAlign w:val="bottom"/>
          </w:tcPr>
          <w:p w14:paraId="2E1DC664" w14:textId="77777777" w:rsidR="00CF7B3C" w:rsidRPr="00F12E3D" w:rsidRDefault="00CF7B3C" w:rsidP="0008792D">
            <w:pPr>
              <w:tabs>
                <w:tab w:val="right" w:pos="1202"/>
              </w:tabs>
              <w:outlineLvl w:val="0"/>
              <w:rPr>
                <w:rFonts w:ascii="Arial" w:eastAsia="Calibri" w:hAnsi="Arial" w:cs="Arial"/>
                <w:b/>
                <w:bCs/>
                <w:color w:val="000000" w:themeColor="text1"/>
                <w:sz w:val="14"/>
                <w:szCs w:val="14"/>
              </w:rPr>
            </w:pPr>
            <w:r w:rsidRPr="00F12E3D">
              <w:rPr>
                <w:rFonts w:ascii="Arial" w:eastAsia="Calibri" w:hAnsi="Arial" w:cs="Arial"/>
                <w:b/>
                <w:bCs/>
                <w:color w:val="000000" w:themeColor="text1"/>
                <w:sz w:val="14"/>
                <w:szCs w:val="14"/>
              </w:rPr>
              <w:t>Ukupno</w:t>
            </w:r>
          </w:p>
        </w:tc>
        <w:tc>
          <w:tcPr>
            <w:tcW w:w="301" w:type="pct"/>
            <w:tcBorders>
              <w:top w:val="single" w:sz="6" w:space="0" w:color="auto"/>
              <w:left w:val="nil"/>
              <w:bottom w:val="single" w:sz="12" w:space="0" w:color="auto"/>
              <w:right w:val="nil"/>
            </w:tcBorders>
            <w:shd w:val="clear" w:color="auto" w:fill="auto"/>
            <w:vAlign w:val="bottom"/>
          </w:tcPr>
          <w:p w14:paraId="4750ADB0" w14:textId="77777777" w:rsidR="00CF7B3C" w:rsidRPr="003A2506" w:rsidRDefault="00CF7B3C" w:rsidP="0008792D">
            <w:pPr>
              <w:jc w:val="right"/>
              <w:rPr>
                <w:rFonts w:ascii="Arial" w:eastAsia="Calibri" w:hAnsi="Arial" w:cs="Arial"/>
                <w:b/>
                <w:bCs/>
                <w:sz w:val="14"/>
                <w:szCs w:val="14"/>
              </w:rPr>
            </w:pPr>
            <w:r>
              <w:rPr>
                <w:rFonts w:ascii="Arial" w:eastAsia="Calibri" w:hAnsi="Arial" w:cs="Arial"/>
                <w:b/>
                <w:bCs/>
                <w:sz w:val="14"/>
                <w:szCs w:val="14"/>
              </w:rPr>
              <w:t>553.669</w:t>
            </w:r>
          </w:p>
        </w:tc>
        <w:tc>
          <w:tcPr>
            <w:tcW w:w="298" w:type="pct"/>
            <w:tcBorders>
              <w:top w:val="single" w:sz="6" w:space="0" w:color="auto"/>
              <w:left w:val="nil"/>
              <w:bottom w:val="single" w:sz="12" w:space="0" w:color="auto"/>
              <w:right w:val="nil"/>
            </w:tcBorders>
            <w:shd w:val="clear" w:color="auto" w:fill="auto"/>
            <w:vAlign w:val="bottom"/>
          </w:tcPr>
          <w:p w14:paraId="7D241E16" w14:textId="77777777" w:rsidR="00CF7B3C" w:rsidRPr="003A2506" w:rsidRDefault="00CF7B3C" w:rsidP="0008792D">
            <w:pPr>
              <w:jc w:val="right"/>
              <w:rPr>
                <w:rFonts w:ascii="Arial" w:eastAsia="Calibri" w:hAnsi="Arial" w:cs="Arial"/>
                <w:b/>
                <w:bCs/>
                <w:sz w:val="14"/>
                <w:szCs w:val="14"/>
              </w:rPr>
            </w:pPr>
            <w:r>
              <w:rPr>
                <w:rFonts w:ascii="Arial" w:eastAsia="Calibri" w:hAnsi="Arial" w:cs="Arial"/>
                <w:b/>
                <w:bCs/>
                <w:sz w:val="14"/>
                <w:szCs w:val="14"/>
              </w:rPr>
              <w:t>25.578</w:t>
            </w:r>
          </w:p>
        </w:tc>
        <w:tc>
          <w:tcPr>
            <w:tcW w:w="295" w:type="pct"/>
            <w:tcBorders>
              <w:top w:val="single" w:sz="6" w:space="0" w:color="auto"/>
              <w:left w:val="nil"/>
              <w:bottom w:val="single" w:sz="12" w:space="0" w:color="auto"/>
              <w:right w:val="nil"/>
            </w:tcBorders>
            <w:shd w:val="clear" w:color="auto" w:fill="auto"/>
            <w:vAlign w:val="bottom"/>
          </w:tcPr>
          <w:p w14:paraId="6DA33A6F" w14:textId="77777777" w:rsidR="00CF7B3C" w:rsidRPr="003A2506" w:rsidRDefault="00CF7B3C" w:rsidP="0008792D">
            <w:pPr>
              <w:jc w:val="right"/>
              <w:rPr>
                <w:rFonts w:ascii="Arial" w:eastAsia="Calibri" w:hAnsi="Arial" w:cs="Arial"/>
                <w:b/>
                <w:bCs/>
                <w:sz w:val="14"/>
                <w:szCs w:val="14"/>
              </w:rPr>
            </w:pPr>
            <w:r>
              <w:rPr>
                <w:rFonts w:ascii="Arial" w:eastAsia="Calibri" w:hAnsi="Arial" w:cs="Arial"/>
                <w:b/>
                <w:bCs/>
                <w:sz w:val="14"/>
                <w:szCs w:val="14"/>
              </w:rPr>
              <w:t>2.572</w:t>
            </w:r>
          </w:p>
        </w:tc>
        <w:tc>
          <w:tcPr>
            <w:tcW w:w="287" w:type="pct"/>
            <w:tcBorders>
              <w:top w:val="single" w:sz="6" w:space="0" w:color="auto"/>
              <w:left w:val="nil"/>
              <w:bottom w:val="single" w:sz="12" w:space="0" w:color="auto"/>
              <w:right w:val="nil"/>
            </w:tcBorders>
            <w:shd w:val="clear" w:color="auto" w:fill="auto"/>
            <w:vAlign w:val="bottom"/>
          </w:tcPr>
          <w:p w14:paraId="2A05ABB0" w14:textId="77777777" w:rsidR="00CF7B3C" w:rsidRPr="00F959D0" w:rsidRDefault="00CF7B3C" w:rsidP="0008792D">
            <w:pPr>
              <w:jc w:val="right"/>
              <w:rPr>
                <w:rFonts w:ascii="Arial" w:eastAsia="Calibri" w:hAnsi="Arial" w:cs="Arial"/>
                <w:b/>
                <w:bCs/>
                <w:sz w:val="14"/>
                <w:szCs w:val="14"/>
              </w:rPr>
            </w:pPr>
            <w:r>
              <w:rPr>
                <w:rFonts w:ascii="Arial" w:eastAsia="Calibri" w:hAnsi="Arial" w:cs="Arial"/>
                <w:b/>
                <w:bCs/>
                <w:sz w:val="14"/>
                <w:szCs w:val="14"/>
              </w:rPr>
              <w:t>-</w:t>
            </w:r>
          </w:p>
        </w:tc>
        <w:tc>
          <w:tcPr>
            <w:tcW w:w="297" w:type="pct"/>
            <w:tcBorders>
              <w:top w:val="nil"/>
              <w:left w:val="nil"/>
              <w:bottom w:val="single" w:sz="12" w:space="0" w:color="auto"/>
              <w:right w:val="nil"/>
            </w:tcBorders>
            <w:shd w:val="clear" w:color="auto" w:fill="auto"/>
            <w:vAlign w:val="bottom"/>
          </w:tcPr>
          <w:p w14:paraId="3698400D" w14:textId="77777777" w:rsidR="00CF7B3C" w:rsidRPr="003A2506" w:rsidRDefault="00CF7B3C" w:rsidP="0008792D">
            <w:pPr>
              <w:jc w:val="right"/>
              <w:rPr>
                <w:rFonts w:ascii="Arial" w:eastAsia="Calibri" w:hAnsi="Arial" w:cs="Arial"/>
                <w:b/>
                <w:bCs/>
                <w:sz w:val="14"/>
                <w:szCs w:val="14"/>
              </w:rPr>
            </w:pPr>
            <w:r>
              <w:rPr>
                <w:rFonts w:ascii="Arial" w:eastAsia="Calibri" w:hAnsi="Arial" w:cs="Arial"/>
                <w:b/>
                <w:bCs/>
                <w:sz w:val="14"/>
                <w:szCs w:val="14"/>
              </w:rPr>
              <w:t>5.826</w:t>
            </w:r>
          </w:p>
        </w:tc>
        <w:tc>
          <w:tcPr>
            <w:tcW w:w="312" w:type="pct"/>
            <w:tcBorders>
              <w:top w:val="single" w:sz="6" w:space="0" w:color="auto"/>
              <w:left w:val="nil"/>
              <w:bottom w:val="single" w:sz="12" w:space="0" w:color="auto"/>
              <w:right w:val="nil"/>
            </w:tcBorders>
            <w:shd w:val="clear" w:color="auto" w:fill="auto"/>
            <w:vAlign w:val="bottom"/>
          </w:tcPr>
          <w:p w14:paraId="09DE06A5" w14:textId="77777777" w:rsidR="00CF7B3C" w:rsidRPr="003A2506" w:rsidRDefault="00CF7B3C" w:rsidP="0008792D">
            <w:pPr>
              <w:jc w:val="right"/>
              <w:rPr>
                <w:rFonts w:ascii="Arial" w:eastAsia="Calibri" w:hAnsi="Arial" w:cs="Arial"/>
                <w:b/>
                <w:bCs/>
                <w:sz w:val="14"/>
                <w:szCs w:val="14"/>
              </w:rPr>
            </w:pPr>
            <w:r>
              <w:rPr>
                <w:rFonts w:ascii="Arial" w:eastAsia="Calibri" w:hAnsi="Arial" w:cs="Arial"/>
                <w:b/>
                <w:bCs/>
                <w:sz w:val="14"/>
                <w:szCs w:val="14"/>
              </w:rPr>
              <w:t>-</w:t>
            </w:r>
          </w:p>
        </w:tc>
        <w:tc>
          <w:tcPr>
            <w:tcW w:w="333" w:type="pct"/>
            <w:tcBorders>
              <w:top w:val="single" w:sz="6" w:space="0" w:color="auto"/>
              <w:left w:val="nil"/>
              <w:bottom w:val="single" w:sz="12" w:space="0" w:color="auto"/>
              <w:right w:val="nil"/>
            </w:tcBorders>
            <w:shd w:val="clear" w:color="auto" w:fill="auto"/>
            <w:vAlign w:val="bottom"/>
          </w:tcPr>
          <w:p w14:paraId="25B1AC34" w14:textId="77777777" w:rsidR="00CF7B3C" w:rsidRPr="003A2506" w:rsidRDefault="00CF7B3C" w:rsidP="0008792D">
            <w:pPr>
              <w:jc w:val="right"/>
              <w:rPr>
                <w:rFonts w:ascii="Arial" w:eastAsia="Calibri" w:hAnsi="Arial" w:cs="Arial"/>
                <w:b/>
                <w:bCs/>
                <w:sz w:val="14"/>
                <w:szCs w:val="14"/>
              </w:rPr>
            </w:pPr>
            <w:r>
              <w:rPr>
                <w:rFonts w:ascii="Arial" w:eastAsia="Calibri" w:hAnsi="Arial" w:cs="Arial"/>
                <w:b/>
                <w:bCs/>
                <w:sz w:val="14"/>
                <w:szCs w:val="14"/>
              </w:rPr>
              <w:t>587.645</w:t>
            </w:r>
          </w:p>
        </w:tc>
        <w:tc>
          <w:tcPr>
            <w:tcW w:w="328" w:type="pct"/>
            <w:tcBorders>
              <w:top w:val="single" w:sz="6" w:space="0" w:color="auto"/>
              <w:left w:val="nil"/>
              <w:bottom w:val="single" w:sz="12" w:space="0" w:color="auto"/>
              <w:right w:val="nil"/>
            </w:tcBorders>
            <w:vAlign w:val="bottom"/>
          </w:tcPr>
          <w:p w14:paraId="2C280C93" w14:textId="77777777" w:rsidR="00CF7B3C" w:rsidRPr="00F959D0" w:rsidRDefault="00CF7B3C" w:rsidP="0008792D">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155.164</w:t>
            </w:r>
          </w:p>
        </w:tc>
        <w:tc>
          <w:tcPr>
            <w:tcW w:w="329" w:type="pct"/>
            <w:tcBorders>
              <w:top w:val="single" w:sz="6" w:space="0" w:color="auto"/>
              <w:left w:val="nil"/>
              <w:bottom w:val="single" w:sz="12" w:space="0" w:color="auto"/>
              <w:right w:val="nil"/>
            </w:tcBorders>
            <w:vAlign w:val="bottom"/>
          </w:tcPr>
          <w:p w14:paraId="17773A66" w14:textId="77777777" w:rsidR="00CF7B3C" w:rsidRPr="00F959D0" w:rsidRDefault="00CF7B3C" w:rsidP="0008792D">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16.855</w:t>
            </w:r>
          </w:p>
        </w:tc>
        <w:tc>
          <w:tcPr>
            <w:tcW w:w="329" w:type="pct"/>
            <w:tcBorders>
              <w:top w:val="single" w:sz="6" w:space="0" w:color="auto"/>
              <w:left w:val="nil"/>
              <w:bottom w:val="single" w:sz="12" w:space="0" w:color="auto"/>
              <w:right w:val="nil"/>
            </w:tcBorders>
            <w:vAlign w:val="bottom"/>
          </w:tcPr>
          <w:p w14:paraId="54080A1C" w14:textId="77777777" w:rsidR="00CF7B3C" w:rsidRPr="00F959D0" w:rsidRDefault="00CF7B3C" w:rsidP="0008792D">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1.968</w:t>
            </w:r>
          </w:p>
        </w:tc>
        <w:tc>
          <w:tcPr>
            <w:tcW w:w="329" w:type="pct"/>
            <w:tcBorders>
              <w:top w:val="single" w:sz="6" w:space="0" w:color="auto"/>
              <w:left w:val="nil"/>
              <w:bottom w:val="single" w:sz="12" w:space="0" w:color="auto"/>
              <w:right w:val="nil"/>
            </w:tcBorders>
            <w:vAlign w:val="bottom"/>
          </w:tcPr>
          <w:p w14:paraId="5378B0B5" w14:textId="77777777" w:rsidR="00CF7B3C" w:rsidRPr="00F959D0" w:rsidRDefault="00CF7B3C" w:rsidP="0008792D">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w:t>
            </w:r>
          </w:p>
        </w:tc>
        <w:tc>
          <w:tcPr>
            <w:tcW w:w="330" w:type="pct"/>
            <w:tcBorders>
              <w:top w:val="nil"/>
              <w:left w:val="nil"/>
              <w:bottom w:val="single" w:sz="12" w:space="0" w:color="auto"/>
              <w:right w:val="nil"/>
            </w:tcBorders>
            <w:shd w:val="clear" w:color="auto" w:fill="auto"/>
            <w:vAlign w:val="bottom"/>
          </w:tcPr>
          <w:p w14:paraId="581FF61B" w14:textId="77777777" w:rsidR="00CF7B3C" w:rsidRPr="00F959D0" w:rsidRDefault="00CF7B3C" w:rsidP="0008792D">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63</w:t>
            </w:r>
          </w:p>
        </w:tc>
        <w:tc>
          <w:tcPr>
            <w:tcW w:w="371" w:type="pct"/>
            <w:tcBorders>
              <w:top w:val="single" w:sz="6" w:space="0" w:color="auto"/>
              <w:left w:val="nil"/>
              <w:bottom w:val="single" w:sz="12" w:space="0" w:color="auto"/>
              <w:right w:val="nil"/>
            </w:tcBorders>
            <w:vAlign w:val="bottom"/>
          </w:tcPr>
          <w:p w14:paraId="5D31484B" w14:textId="77777777" w:rsidR="00CF7B3C" w:rsidRPr="00F959D0" w:rsidRDefault="00CF7B3C" w:rsidP="0008792D">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w:t>
            </w:r>
          </w:p>
        </w:tc>
        <w:tc>
          <w:tcPr>
            <w:tcW w:w="323" w:type="pct"/>
            <w:tcBorders>
              <w:top w:val="single" w:sz="6" w:space="0" w:color="auto"/>
              <w:left w:val="nil"/>
              <w:bottom w:val="single" w:sz="12" w:space="0" w:color="auto"/>
              <w:right w:val="nil"/>
            </w:tcBorders>
            <w:vAlign w:val="bottom"/>
          </w:tcPr>
          <w:p w14:paraId="46AF40F5" w14:textId="77777777" w:rsidR="00CF7B3C" w:rsidRPr="00F959D0" w:rsidRDefault="00CF7B3C" w:rsidP="0008792D">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174.050</w:t>
            </w:r>
          </w:p>
        </w:tc>
      </w:tr>
      <w:tr w:rsidR="00CF7B3C" w:rsidRPr="00F12E3D" w14:paraId="0861E271" w14:textId="77777777" w:rsidTr="0008792D">
        <w:trPr>
          <w:trHeight w:val="55"/>
        </w:trPr>
        <w:tc>
          <w:tcPr>
            <w:tcW w:w="538" w:type="pct"/>
            <w:vAlign w:val="bottom"/>
          </w:tcPr>
          <w:p w14:paraId="7B4AAA69" w14:textId="77777777" w:rsidR="00CF7B3C" w:rsidRPr="00F12E3D" w:rsidRDefault="00CF7B3C" w:rsidP="0008792D">
            <w:pPr>
              <w:tabs>
                <w:tab w:val="right" w:pos="1202"/>
              </w:tabs>
              <w:outlineLvl w:val="0"/>
              <w:rPr>
                <w:rFonts w:ascii="Arial" w:eastAsia="Calibri" w:hAnsi="Arial" w:cs="Arial"/>
                <w:b/>
                <w:bCs/>
                <w:color w:val="000000" w:themeColor="text1"/>
                <w:sz w:val="14"/>
                <w:szCs w:val="14"/>
              </w:rPr>
            </w:pPr>
            <w:r w:rsidRPr="00F12E3D">
              <w:rPr>
                <w:rFonts w:ascii="Arial" w:eastAsia="Calibri" w:hAnsi="Arial" w:cs="Arial"/>
                <w:b/>
                <w:bCs/>
                <w:color w:val="000000" w:themeColor="text1"/>
                <w:sz w:val="14"/>
                <w:szCs w:val="14"/>
              </w:rPr>
              <w:t>Ukupna izloženost kreditnom riziku</w:t>
            </w:r>
          </w:p>
        </w:tc>
        <w:tc>
          <w:tcPr>
            <w:tcW w:w="301" w:type="pct"/>
            <w:tcBorders>
              <w:top w:val="nil"/>
              <w:left w:val="nil"/>
              <w:bottom w:val="single" w:sz="12" w:space="0" w:color="auto"/>
              <w:right w:val="nil"/>
            </w:tcBorders>
            <w:shd w:val="clear" w:color="auto" w:fill="auto"/>
            <w:vAlign w:val="bottom"/>
          </w:tcPr>
          <w:p w14:paraId="7A787C19" w14:textId="77777777" w:rsidR="00CF7B3C" w:rsidRPr="003A2506" w:rsidRDefault="00CF7B3C" w:rsidP="0008792D">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3.</w:t>
            </w:r>
            <w:r>
              <w:rPr>
                <w:rFonts w:ascii="Arial" w:eastAsia="Calibri" w:hAnsi="Arial" w:cs="Arial"/>
                <w:b/>
                <w:bCs/>
                <w:color w:val="000000" w:themeColor="text1"/>
                <w:sz w:val="14"/>
                <w:szCs w:val="14"/>
              </w:rPr>
              <w:t>899</w:t>
            </w:r>
            <w:r w:rsidRPr="00F84C24">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973</w:t>
            </w:r>
            <w:r w:rsidRPr="00F84C24">
              <w:rPr>
                <w:rFonts w:ascii="Arial" w:eastAsia="Calibri" w:hAnsi="Arial" w:cs="Arial"/>
                <w:b/>
                <w:bCs/>
                <w:color w:val="000000" w:themeColor="text1"/>
                <w:sz w:val="14"/>
                <w:szCs w:val="14"/>
              </w:rPr>
              <w:t xml:space="preserve"> </w:t>
            </w:r>
          </w:p>
        </w:tc>
        <w:tc>
          <w:tcPr>
            <w:tcW w:w="298" w:type="pct"/>
            <w:tcBorders>
              <w:top w:val="nil"/>
              <w:left w:val="nil"/>
              <w:bottom w:val="single" w:sz="12" w:space="0" w:color="auto"/>
              <w:right w:val="nil"/>
            </w:tcBorders>
            <w:shd w:val="clear" w:color="auto" w:fill="auto"/>
            <w:vAlign w:val="bottom"/>
          </w:tcPr>
          <w:p w14:paraId="7B3DB1F5" w14:textId="77777777" w:rsidR="00CF7B3C" w:rsidRPr="003A2506" w:rsidRDefault="00CF7B3C" w:rsidP="0008792D">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w:t>
            </w:r>
            <w:r>
              <w:rPr>
                <w:rFonts w:ascii="Arial" w:eastAsia="Calibri" w:hAnsi="Arial" w:cs="Arial"/>
                <w:b/>
                <w:bCs/>
                <w:color w:val="000000" w:themeColor="text1"/>
                <w:sz w:val="14"/>
                <w:szCs w:val="14"/>
              </w:rPr>
              <w:t>246</w:t>
            </w:r>
            <w:r w:rsidRPr="00F84C24">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156</w:t>
            </w:r>
            <w:r w:rsidRPr="00F84C24">
              <w:rPr>
                <w:rFonts w:ascii="Arial" w:eastAsia="Calibri" w:hAnsi="Arial" w:cs="Arial"/>
                <w:b/>
                <w:bCs/>
                <w:color w:val="000000" w:themeColor="text1"/>
                <w:sz w:val="14"/>
                <w:szCs w:val="14"/>
              </w:rPr>
              <w:t xml:space="preserve"> </w:t>
            </w:r>
          </w:p>
        </w:tc>
        <w:tc>
          <w:tcPr>
            <w:tcW w:w="295" w:type="pct"/>
            <w:tcBorders>
              <w:top w:val="nil"/>
              <w:left w:val="nil"/>
              <w:bottom w:val="single" w:sz="12" w:space="0" w:color="auto"/>
              <w:right w:val="nil"/>
            </w:tcBorders>
            <w:shd w:val="clear" w:color="auto" w:fill="auto"/>
            <w:vAlign w:val="bottom"/>
          </w:tcPr>
          <w:p w14:paraId="08E0ECFB" w14:textId="77777777" w:rsidR="00CF7B3C" w:rsidRPr="003A2506" w:rsidRDefault="00CF7B3C" w:rsidP="0008792D">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w:t>
            </w:r>
            <w:r>
              <w:rPr>
                <w:rFonts w:ascii="Arial" w:eastAsia="Calibri" w:hAnsi="Arial" w:cs="Arial"/>
                <w:b/>
                <w:bCs/>
                <w:color w:val="000000" w:themeColor="text1"/>
                <w:sz w:val="14"/>
                <w:szCs w:val="14"/>
              </w:rPr>
              <w:t>161</w:t>
            </w:r>
            <w:r w:rsidRPr="00F84C24">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548</w:t>
            </w:r>
            <w:r w:rsidRPr="00F84C24">
              <w:rPr>
                <w:rFonts w:ascii="Arial" w:eastAsia="Calibri" w:hAnsi="Arial" w:cs="Arial"/>
                <w:b/>
                <w:bCs/>
                <w:color w:val="000000" w:themeColor="text1"/>
                <w:sz w:val="14"/>
                <w:szCs w:val="14"/>
              </w:rPr>
              <w:t xml:space="preserve"> </w:t>
            </w:r>
          </w:p>
        </w:tc>
        <w:tc>
          <w:tcPr>
            <w:tcW w:w="287" w:type="pct"/>
            <w:tcBorders>
              <w:top w:val="nil"/>
              <w:left w:val="nil"/>
              <w:bottom w:val="single" w:sz="12" w:space="0" w:color="auto"/>
              <w:right w:val="nil"/>
            </w:tcBorders>
            <w:shd w:val="clear" w:color="auto" w:fill="auto"/>
            <w:vAlign w:val="bottom"/>
          </w:tcPr>
          <w:p w14:paraId="37F01F18" w14:textId="77777777" w:rsidR="00CF7B3C" w:rsidRPr="00F959D0" w:rsidRDefault="00CF7B3C" w:rsidP="0008792D">
            <w:pPr>
              <w:jc w:val="right"/>
              <w:rPr>
                <w:rFonts w:ascii="Arial" w:eastAsia="Calibri" w:hAnsi="Arial" w:cs="Arial"/>
                <w:b/>
                <w:bCs/>
                <w:sz w:val="14"/>
                <w:szCs w:val="14"/>
              </w:rPr>
            </w:pPr>
            <w:r>
              <w:rPr>
                <w:rFonts w:ascii="Arial" w:eastAsia="Calibri" w:hAnsi="Arial" w:cs="Arial"/>
                <w:b/>
                <w:bCs/>
                <w:sz w:val="14"/>
                <w:szCs w:val="14"/>
              </w:rPr>
              <w:t>11.574</w:t>
            </w:r>
          </w:p>
        </w:tc>
        <w:tc>
          <w:tcPr>
            <w:tcW w:w="297" w:type="pct"/>
            <w:tcBorders>
              <w:top w:val="nil"/>
              <w:left w:val="nil"/>
              <w:bottom w:val="single" w:sz="12" w:space="0" w:color="auto"/>
              <w:right w:val="nil"/>
            </w:tcBorders>
            <w:shd w:val="clear" w:color="auto" w:fill="auto"/>
            <w:vAlign w:val="bottom"/>
          </w:tcPr>
          <w:p w14:paraId="11E5A141" w14:textId="77777777" w:rsidR="00CF7B3C" w:rsidRPr="003A2506" w:rsidRDefault="00CF7B3C" w:rsidP="0008792D">
            <w:pPr>
              <w:jc w:val="right"/>
              <w:rPr>
                <w:rFonts w:ascii="Arial" w:eastAsia="Calibri" w:hAnsi="Arial" w:cs="Arial"/>
                <w:b/>
                <w:bCs/>
                <w:sz w:val="14"/>
                <w:szCs w:val="14"/>
              </w:rPr>
            </w:pPr>
            <w:r>
              <w:rPr>
                <w:rFonts w:ascii="Arial" w:eastAsia="Calibri" w:hAnsi="Arial" w:cs="Arial"/>
                <w:b/>
                <w:bCs/>
                <w:sz w:val="14"/>
                <w:szCs w:val="14"/>
              </w:rPr>
              <w:t>181.150</w:t>
            </w:r>
          </w:p>
        </w:tc>
        <w:tc>
          <w:tcPr>
            <w:tcW w:w="312" w:type="pct"/>
            <w:tcBorders>
              <w:top w:val="nil"/>
              <w:left w:val="nil"/>
              <w:bottom w:val="single" w:sz="12" w:space="0" w:color="auto"/>
              <w:right w:val="nil"/>
            </w:tcBorders>
            <w:shd w:val="clear" w:color="auto" w:fill="auto"/>
            <w:vAlign w:val="bottom"/>
          </w:tcPr>
          <w:p w14:paraId="316803AB" w14:textId="77777777" w:rsidR="00CF7B3C" w:rsidRPr="003A2506" w:rsidRDefault="00CF7B3C" w:rsidP="0008792D">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33.</w:t>
            </w:r>
            <w:r>
              <w:rPr>
                <w:rFonts w:ascii="Arial" w:eastAsia="Calibri" w:hAnsi="Arial" w:cs="Arial"/>
                <w:b/>
                <w:bCs/>
                <w:color w:val="000000" w:themeColor="text1"/>
                <w:sz w:val="14"/>
                <w:szCs w:val="14"/>
              </w:rPr>
              <w:t>397</w:t>
            </w:r>
            <w:r w:rsidRPr="00F84C24">
              <w:rPr>
                <w:rFonts w:ascii="Arial" w:eastAsia="Calibri" w:hAnsi="Arial" w:cs="Arial"/>
                <w:b/>
                <w:bCs/>
                <w:color w:val="000000" w:themeColor="text1"/>
                <w:sz w:val="14"/>
                <w:szCs w:val="14"/>
              </w:rPr>
              <w:t xml:space="preserve"> </w:t>
            </w:r>
          </w:p>
        </w:tc>
        <w:tc>
          <w:tcPr>
            <w:tcW w:w="333" w:type="pct"/>
            <w:tcBorders>
              <w:top w:val="nil"/>
              <w:left w:val="nil"/>
              <w:bottom w:val="single" w:sz="12" w:space="0" w:color="auto"/>
              <w:right w:val="nil"/>
            </w:tcBorders>
            <w:shd w:val="clear" w:color="auto" w:fill="auto"/>
            <w:vAlign w:val="bottom"/>
          </w:tcPr>
          <w:p w14:paraId="7E6194C7" w14:textId="77777777" w:rsidR="00CF7B3C" w:rsidRPr="003A2506" w:rsidRDefault="00CF7B3C" w:rsidP="0008792D">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4.</w:t>
            </w:r>
            <w:r>
              <w:rPr>
                <w:rFonts w:ascii="Arial" w:eastAsia="Calibri" w:hAnsi="Arial" w:cs="Arial"/>
                <w:b/>
                <w:bCs/>
                <w:color w:val="000000" w:themeColor="text1"/>
                <w:sz w:val="14"/>
                <w:szCs w:val="14"/>
              </w:rPr>
              <w:t>533.798</w:t>
            </w:r>
            <w:r w:rsidRPr="00F84C24">
              <w:rPr>
                <w:rFonts w:ascii="Arial" w:eastAsia="Calibri" w:hAnsi="Arial" w:cs="Arial"/>
                <w:b/>
                <w:bCs/>
                <w:color w:val="000000" w:themeColor="text1"/>
                <w:sz w:val="14"/>
                <w:szCs w:val="14"/>
              </w:rPr>
              <w:t xml:space="preserve"> </w:t>
            </w:r>
          </w:p>
        </w:tc>
        <w:tc>
          <w:tcPr>
            <w:tcW w:w="328" w:type="pct"/>
            <w:tcBorders>
              <w:top w:val="nil"/>
              <w:left w:val="nil"/>
              <w:bottom w:val="single" w:sz="12" w:space="0" w:color="auto"/>
              <w:right w:val="nil"/>
            </w:tcBorders>
            <w:vAlign w:val="bottom"/>
          </w:tcPr>
          <w:p w14:paraId="00959873" w14:textId="77777777" w:rsidR="00CF7B3C" w:rsidRPr="00F959D0" w:rsidRDefault="00CF7B3C" w:rsidP="0008792D">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7</w:t>
            </w:r>
            <w:r>
              <w:rPr>
                <w:rFonts w:ascii="Arial" w:eastAsia="Calibri" w:hAnsi="Arial" w:cs="Arial"/>
                <w:b/>
                <w:bCs/>
                <w:color w:val="000000" w:themeColor="text1"/>
                <w:sz w:val="14"/>
                <w:szCs w:val="14"/>
              </w:rPr>
              <w:t>29</w:t>
            </w:r>
            <w:r w:rsidRPr="00F959D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505</w:t>
            </w:r>
            <w:r w:rsidRPr="00F959D0">
              <w:rPr>
                <w:rFonts w:ascii="Arial" w:eastAsia="Calibri" w:hAnsi="Arial" w:cs="Arial"/>
                <w:b/>
                <w:bCs/>
                <w:color w:val="000000" w:themeColor="text1"/>
                <w:sz w:val="14"/>
                <w:szCs w:val="14"/>
              </w:rPr>
              <w:t xml:space="preserve"> </w:t>
            </w:r>
          </w:p>
        </w:tc>
        <w:tc>
          <w:tcPr>
            <w:tcW w:w="329" w:type="pct"/>
            <w:tcBorders>
              <w:top w:val="nil"/>
              <w:left w:val="nil"/>
              <w:bottom w:val="single" w:sz="12" w:space="0" w:color="auto"/>
              <w:right w:val="nil"/>
            </w:tcBorders>
            <w:vAlign w:val="bottom"/>
          </w:tcPr>
          <w:p w14:paraId="06061486" w14:textId="77777777" w:rsidR="00CF7B3C" w:rsidRPr="00F959D0" w:rsidRDefault="00CF7B3C" w:rsidP="0008792D">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w:t>
            </w:r>
            <w:r>
              <w:rPr>
                <w:rFonts w:ascii="Arial" w:eastAsia="Calibri" w:hAnsi="Arial" w:cs="Arial"/>
                <w:b/>
                <w:bCs/>
                <w:color w:val="000000" w:themeColor="text1"/>
                <w:sz w:val="14"/>
                <w:szCs w:val="14"/>
              </w:rPr>
              <w:t>44</w:t>
            </w:r>
            <w:r w:rsidRPr="00F959D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735</w:t>
            </w:r>
            <w:r w:rsidRPr="00F959D0">
              <w:rPr>
                <w:rFonts w:ascii="Arial" w:eastAsia="Calibri" w:hAnsi="Arial" w:cs="Arial"/>
                <w:b/>
                <w:bCs/>
                <w:color w:val="000000" w:themeColor="text1"/>
                <w:sz w:val="14"/>
                <w:szCs w:val="14"/>
              </w:rPr>
              <w:t xml:space="preserve"> </w:t>
            </w:r>
          </w:p>
        </w:tc>
        <w:tc>
          <w:tcPr>
            <w:tcW w:w="329" w:type="pct"/>
            <w:tcBorders>
              <w:top w:val="nil"/>
              <w:left w:val="nil"/>
              <w:bottom w:val="single" w:sz="12" w:space="0" w:color="auto"/>
              <w:right w:val="nil"/>
            </w:tcBorders>
            <w:vAlign w:val="bottom"/>
          </w:tcPr>
          <w:p w14:paraId="324E1A9E" w14:textId="77777777" w:rsidR="00CF7B3C" w:rsidRPr="00F959D0" w:rsidRDefault="00CF7B3C" w:rsidP="0008792D">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w:t>
            </w:r>
            <w:r>
              <w:rPr>
                <w:rFonts w:ascii="Arial" w:eastAsia="Calibri" w:hAnsi="Arial" w:cs="Arial"/>
                <w:b/>
                <w:bCs/>
                <w:color w:val="000000" w:themeColor="text1"/>
                <w:sz w:val="14"/>
                <w:szCs w:val="14"/>
              </w:rPr>
              <w:t>10</w:t>
            </w:r>
            <w:r w:rsidRPr="00F959D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648</w:t>
            </w:r>
            <w:r w:rsidRPr="00F959D0">
              <w:rPr>
                <w:rFonts w:ascii="Arial" w:eastAsia="Calibri" w:hAnsi="Arial" w:cs="Arial"/>
                <w:b/>
                <w:bCs/>
                <w:color w:val="000000" w:themeColor="text1"/>
                <w:sz w:val="14"/>
                <w:szCs w:val="14"/>
              </w:rPr>
              <w:t xml:space="preserve"> </w:t>
            </w:r>
          </w:p>
        </w:tc>
        <w:tc>
          <w:tcPr>
            <w:tcW w:w="329" w:type="pct"/>
            <w:tcBorders>
              <w:top w:val="nil"/>
              <w:left w:val="nil"/>
              <w:bottom w:val="single" w:sz="12" w:space="0" w:color="auto"/>
              <w:right w:val="nil"/>
            </w:tcBorders>
            <w:vAlign w:val="bottom"/>
          </w:tcPr>
          <w:p w14:paraId="795FFEBD" w14:textId="77777777" w:rsidR="00CF7B3C" w:rsidRPr="00F959D0" w:rsidRDefault="00CF7B3C" w:rsidP="0008792D">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56</w:t>
            </w:r>
            <w:r w:rsidRPr="00F959D0">
              <w:rPr>
                <w:rFonts w:ascii="Arial" w:eastAsia="Calibri" w:hAnsi="Arial" w:cs="Arial"/>
                <w:b/>
                <w:bCs/>
                <w:color w:val="000000" w:themeColor="text1"/>
                <w:sz w:val="14"/>
                <w:szCs w:val="14"/>
              </w:rPr>
              <w:t xml:space="preserve"> </w:t>
            </w:r>
          </w:p>
        </w:tc>
        <w:tc>
          <w:tcPr>
            <w:tcW w:w="330" w:type="pct"/>
            <w:tcBorders>
              <w:top w:val="nil"/>
              <w:left w:val="nil"/>
              <w:bottom w:val="single" w:sz="12" w:space="0" w:color="auto"/>
              <w:right w:val="nil"/>
            </w:tcBorders>
            <w:shd w:val="clear" w:color="auto" w:fill="auto"/>
            <w:vAlign w:val="bottom"/>
          </w:tcPr>
          <w:p w14:paraId="72BC8351" w14:textId="77777777" w:rsidR="00CF7B3C" w:rsidRPr="00F959D0" w:rsidRDefault="00CF7B3C" w:rsidP="0008792D">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9.861</w:t>
            </w:r>
          </w:p>
        </w:tc>
        <w:tc>
          <w:tcPr>
            <w:tcW w:w="371" w:type="pct"/>
            <w:tcBorders>
              <w:top w:val="nil"/>
              <w:left w:val="nil"/>
              <w:bottom w:val="single" w:sz="12" w:space="0" w:color="auto"/>
              <w:right w:val="nil"/>
            </w:tcBorders>
            <w:vAlign w:val="bottom"/>
          </w:tcPr>
          <w:p w14:paraId="4506BD2D" w14:textId="77777777" w:rsidR="00CF7B3C" w:rsidRPr="00F959D0" w:rsidRDefault="00CF7B3C" w:rsidP="0008792D">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w:t>
            </w:r>
            <w:r>
              <w:rPr>
                <w:rFonts w:ascii="Arial" w:eastAsia="Calibri" w:hAnsi="Arial" w:cs="Arial"/>
                <w:b/>
                <w:bCs/>
                <w:color w:val="000000" w:themeColor="text1"/>
                <w:sz w:val="14"/>
                <w:szCs w:val="14"/>
              </w:rPr>
              <w:t>30</w:t>
            </w:r>
            <w:r w:rsidRPr="00F959D0">
              <w:rPr>
                <w:rFonts w:ascii="Arial" w:eastAsia="Calibri" w:hAnsi="Arial" w:cs="Arial"/>
                <w:b/>
                <w:bCs/>
                <w:color w:val="000000" w:themeColor="text1"/>
                <w:sz w:val="14"/>
                <w:szCs w:val="14"/>
              </w:rPr>
              <w:t xml:space="preserve"> </w:t>
            </w:r>
          </w:p>
        </w:tc>
        <w:tc>
          <w:tcPr>
            <w:tcW w:w="323" w:type="pct"/>
            <w:tcBorders>
              <w:top w:val="nil"/>
              <w:left w:val="nil"/>
              <w:bottom w:val="single" w:sz="12" w:space="0" w:color="auto"/>
              <w:right w:val="nil"/>
            </w:tcBorders>
            <w:vAlign w:val="bottom"/>
          </w:tcPr>
          <w:p w14:paraId="2E943FD7" w14:textId="77777777" w:rsidR="00CF7B3C" w:rsidRPr="00F959D0" w:rsidRDefault="00CF7B3C" w:rsidP="0008792D">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7</w:t>
            </w:r>
            <w:r>
              <w:rPr>
                <w:rFonts w:ascii="Arial" w:eastAsia="Calibri" w:hAnsi="Arial" w:cs="Arial"/>
                <w:b/>
                <w:bCs/>
                <w:color w:val="000000" w:themeColor="text1"/>
                <w:sz w:val="14"/>
                <w:szCs w:val="14"/>
              </w:rPr>
              <w:t>94</w:t>
            </w:r>
            <w:r w:rsidRPr="00F959D0">
              <w:rPr>
                <w:rFonts w:ascii="Arial" w:eastAsia="Calibri" w:hAnsi="Arial" w:cs="Arial"/>
                <w:b/>
                <w:bCs/>
                <w:color w:val="000000" w:themeColor="text1"/>
                <w:sz w:val="14"/>
                <w:szCs w:val="14"/>
              </w:rPr>
              <w:t>.</w:t>
            </w:r>
            <w:r>
              <w:rPr>
                <w:rFonts w:ascii="Arial" w:eastAsia="Calibri" w:hAnsi="Arial" w:cs="Arial"/>
                <w:b/>
                <w:bCs/>
                <w:color w:val="000000" w:themeColor="text1"/>
                <w:sz w:val="14"/>
                <w:szCs w:val="14"/>
              </w:rPr>
              <w:t>835</w:t>
            </w:r>
            <w:r w:rsidRPr="00F959D0">
              <w:rPr>
                <w:rFonts w:ascii="Arial" w:eastAsia="Calibri" w:hAnsi="Arial" w:cs="Arial"/>
                <w:b/>
                <w:bCs/>
                <w:color w:val="000000" w:themeColor="text1"/>
                <w:sz w:val="14"/>
                <w:szCs w:val="14"/>
              </w:rPr>
              <w:t xml:space="preserve"> </w:t>
            </w:r>
          </w:p>
        </w:tc>
      </w:tr>
    </w:tbl>
    <w:p w14:paraId="091862A1" w14:textId="0BB8A86E" w:rsidR="003278AB" w:rsidRPr="003D1614" w:rsidRDefault="003278AB" w:rsidP="001A0FCB">
      <w:pPr>
        <w:suppressAutoHyphens/>
        <w:autoSpaceDN w:val="0"/>
        <w:jc w:val="both"/>
        <w:rPr>
          <w:rFonts w:ascii="Arial" w:eastAsia="Times New Roman" w:hAnsi="Arial" w:cs="Arial"/>
          <w:color w:val="000000" w:themeColor="text1"/>
          <w:sz w:val="20"/>
          <w:szCs w:val="20"/>
        </w:rPr>
      </w:pPr>
    </w:p>
    <w:p w14:paraId="28B00121" w14:textId="77777777" w:rsidR="003278AB" w:rsidRPr="003D1614" w:rsidRDefault="003278AB" w:rsidP="001A0FCB">
      <w:pPr>
        <w:suppressAutoHyphens/>
        <w:autoSpaceDN w:val="0"/>
        <w:jc w:val="both"/>
        <w:rPr>
          <w:rFonts w:ascii="Arial" w:eastAsia="Times New Roman" w:hAnsi="Arial" w:cs="Arial"/>
          <w:color w:val="000000" w:themeColor="text1"/>
          <w:sz w:val="20"/>
          <w:szCs w:val="20"/>
        </w:rPr>
        <w:sectPr w:rsidR="003278AB" w:rsidRPr="003D1614" w:rsidSect="003278AB">
          <w:pgSz w:w="16838" w:h="11906" w:orient="landscape"/>
          <w:pgMar w:top="1417" w:right="1417" w:bottom="1417" w:left="1417" w:header="708" w:footer="708" w:gutter="0"/>
          <w:cols w:space="708"/>
          <w:docGrid w:linePitch="360"/>
        </w:sectPr>
      </w:pPr>
    </w:p>
    <w:p w14:paraId="03281FC4" w14:textId="7A1976C8"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lastRenderedPageBreak/>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w:t>
      </w:r>
      <w:r w:rsidRPr="003D1614">
        <w:rPr>
          <w:rFonts w:ascii="Arial" w:eastAsia="Times New Roman" w:hAnsi="Arial" w:cs="Arial"/>
          <w:b/>
          <w:bCs/>
          <w:color w:val="000000" w:themeColor="text1"/>
          <w:sz w:val="18"/>
          <w:szCs w:val="18"/>
        </w:rPr>
        <w:tab/>
        <w:t>Upravljanje rizicima (nastavak)</w:t>
      </w:r>
    </w:p>
    <w:p w14:paraId="35574E56" w14:textId="0FFD38EE"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2</w:t>
      </w:r>
      <w:r w:rsidR="000E693B">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 xml:space="preserve">.3. </w:t>
      </w:r>
      <w:r w:rsidRPr="003D1614">
        <w:rPr>
          <w:rFonts w:ascii="Arial" w:eastAsia="Times New Roman" w:hAnsi="Arial" w:cs="Arial"/>
          <w:b/>
          <w:bCs/>
          <w:color w:val="000000" w:themeColor="text1"/>
          <w:sz w:val="18"/>
          <w:szCs w:val="18"/>
        </w:rPr>
        <w:tab/>
        <w:t>Kreditni rizik (nastavak)</w:t>
      </w:r>
    </w:p>
    <w:p w14:paraId="7165128E" w14:textId="77777777" w:rsidR="003278AB" w:rsidRPr="003D1614" w:rsidRDefault="003278AB" w:rsidP="003278AB">
      <w:pPr>
        <w:keepNext/>
        <w:suppressAutoHyphens/>
        <w:autoSpaceDN w:val="0"/>
        <w:spacing w:before="120" w:after="120"/>
        <w:jc w:val="both"/>
        <w:outlineLvl w:val="0"/>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Kvaliteta kreditnog rizika prema vrsti financijske imovine (nastavak)</w:t>
      </w:r>
    </w:p>
    <w:p w14:paraId="4D85D635" w14:textId="77777777" w:rsidR="003278AB" w:rsidRPr="003D1614" w:rsidRDefault="003278AB" w:rsidP="003278AB">
      <w:pPr>
        <w:suppressAutoHyphens/>
        <w:autoSpaceDN w:val="0"/>
        <w:spacing w:before="120" w:after="120"/>
        <w:jc w:val="both"/>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Analiza kreditnog rizika, neto izloženost, prije i nakon uzimanja u obzir primljenih instrumenata osiguranja, prema vrsti financijske imovine na pozicijama imovine i garancija i preuzetih obveza prema rizičnim skupinama (nastavak):</w:t>
      </w:r>
    </w:p>
    <w:tbl>
      <w:tblPr>
        <w:tblpPr w:leftFromText="180" w:rightFromText="180" w:vertAnchor="text" w:horzAnchor="margin" w:tblpXSpec="center" w:tblpY="48"/>
        <w:tblW w:w="5542" w:type="pct"/>
        <w:tblLayout w:type="fixed"/>
        <w:tblLook w:val="0000" w:firstRow="0" w:lastRow="0" w:firstColumn="0" w:lastColumn="0" w:noHBand="0" w:noVBand="0"/>
      </w:tblPr>
      <w:tblGrid>
        <w:gridCol w:w="1671"/>
        <w:gridCol w:w="934"/>
        <w:gridCol w:w="925"/>
        <w:gridCol w:w="916"/>
        <w:gridCol w:w="891"/>
        <w:gridCol w:w="922"/>
        <w:gridCol w:w="969"/>
        <w:gridCol w:w="1034"/>
        <w:gridCol w:w="1018"/>
        <w:gridCol w:w="1021"/>
        <w:gridCol w:w="1021"/>
        <w:gridCol w:w="1021"/>
        <w:gridCol w:w="1024"/>
        <w:gridCol w:w="1152"/>
        <w:gridCol w:w="1003"/>
      </w:tblGrid>
      <w:tr w:rsidR="003741D2" w:rsidRPr="00F12E3D" w14:paraId="4192F1F0" w14:textId="77777777" w:rsidTr="00CA7F04">
        <w:trPr>
          <w:trHeight w:val="1607"/>
        </w:trPr>
        <w:tc>
          <w:tcPr>
            <w:tcW w:w="538" w:type="pct"/>
          </w:tcPr>
          <w:p w14:paraId="5F0C5525" w14:textId="77777777" w:rsidR="003741D2" w:rsidRPr="00F12E3D" w:rsidRDefault="003741D2" w:rsidP="00CA7F04">
            <w:pPr>
              <w:rPr>
                <w:rFonts w:ascii="Arial" w:eastAsia="Calibri" w:hAnsi="Arial" w:cs="Arial"/>
                <w:b/>
                <w:bCs/>
                <w:color w:val="000000" w:themeColor="text1"/>
                <w:sz w:val="14"/>
                <w:szCs w:val="14"/>
              </w:rPr>
            </w:pPr>
            <w:r w:rsidRPr="00F12E3D">
              <w:rPr>
                <w:rFonts w:ascii="Arial" w:eastAsia="Calibri" w:hAnsi="Arial" w:cs="Arial"/>
                <w:b/>
                <w:bCs/>
                <w:color w:val="000000" w:themeColor="text1"/>
                <w:sz w:val="14"/>
                <w:szCs w:val="14"/>
              </w:rPr>
              <w:br w:type="page"/>
            </w:r>
            <w:r>
              <w:rPr>
                <w:rFonts w:ascii="Arial" w:eastAsia="Calibri" w:hAnsi="Arial" w:cs="Arial"/>
                <w:b/>
                <w:bCs/>
                <w:color w:val="000000" w:themeColor="text1"/>
                <w:sz w:val="14"/>
                <w:szCs w:val="14"/>
              </w:rPr>
              <w:t>Banka</w:t>
            </w:r>
          </w:p>
          <w:p w14:paraId="772B5B8F" w14:textId="77777777" w:rsidR="003741D2" w:rsidRPr="00F12E3D" w:rsidRDefault="003741D2" w:rsidP="00CA7F04">
            <w:pPr>
              <w:rPr>
                <w:rFonts w:ascii="Arial" w:eastAsia="Calibri" w:hAnsi="Arial" w:cs="Arial"/>
                <w:b/>
                <w:bCs/>
                <w:color w:val="000000" w:themeColor="text1"/>
                <w:sz w:val="14"/>
                <w:szCs w:val="14"/>
              </w:rPr>
            </w:pPr>
          </w:p>
          <w:p w14:paraId="55646519" w14:textId="77777777" w:rsidR="003741D2" w:rsidRPr="00F12E3D" w:rsidRDefault="003741D2" w:rsidP="00CA7F04">
            <w:pPr>
              <w:rPr>
                <w:rFonts w:ascii="Arial" w:eastAsia="Calibri" w:hAnsi="Arial" w:cs="Arial"/>
                <w:color w:val="000000" w:themeColor="text1"/>
                <w:sz w:val="14"/>
                <w:szCs w:val="14"/>
              </w:rPr>
            </w:pPr>
            <w:r w:rsidRPr="00F12E3D">
              <w:rPr>
                <w:rFonts w:ascii="Arial" w:eastAsia="Calibri" w:hAnsi="Arial" w:cs="Arial"/>
                <w:b/>
                <w:bCs/>
                <w:color w:val="000000" w:themeColor="text1"/>
                <w:sz w:val="14"/>
                <w:szCs w:val="14"/>
              </w:rPr>
              <w:t xml:space="preserve">31. prosinca 2023. </w:t>
            </w:r>
          </w:p>
        </w:tc>
        <w:tc>
          <w:tcPr>
            <w:tcW w:w="301" w:type="pct"/>
            <w:vAlign w:val="bottom"/>
          </w:tcPr>
          <w:p w14:paraId="07875C82" w14:textId="1D3C182D" w:rsidR="003741D2" w:rsidRPr="00F12E3D" w:rsidRDefault="003741D2" w:rsidP="00CA7F04">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 </w:t>
            </w:r>
            <w:r w:rsidR="008850F5">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1</w:t>
            </w:r>
          </w:p>
        </w:tc>
        <w:tc>
          <w:tcPr>
            <w:tcW w:w="298" w:type="pct"/>
            <w:vAlign w:val="bottom"/>
          </w:tcPr>
          <w:p w14:paraId="6EF49455" w14:textId="0E1A3321" w:rsidR="003741D2" w:rsidRPr="00F12E3D" w:rsidRDefault="003741D2" w:rsidP="00CA7F04">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 </w:t>
            </w:r>
            <w:r w:rsidR="008850F5">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2</w:t>
            </w:r>
          </w:p>
        </w:tc>
        <w:tc>
          <w:tcPr>
            <w:tcW w:w="295" w:type="pct"/>
            <w:vAlign w:val="bottom"/>
          </w:tcPr>
          <w:p w14:paraId="37EB680E" w14:textId="072D382C" w:rsidR="003741D2" w:rsidRPr="00F12E3D" w:rsidRDefault="003741D2" w:rsidP="00CA7F04">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 </w:t>
            </w:r>
            <w:r w:rsidR="008850F5">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3</w:t>
            </w:r>
          </w:p>
        </w:tc>
        <w:tc>
          <w:tcPr>
            <w:tcW w:w="584" w:type="pct"/>
            <w:gridSpan w:val="2"/>
            <w:vAlign w:val="bottom"/>
          </w:tcPr>
          <w:p w14:paraId="5D03BF92" w14:textId="77777777" w:rsidR="003741D2" w:rsidRPr="00F12E3D" w:rsidRDefault="003741D2" w:rsidP="00CA7F04">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Neto izloženost portfelja rizične skupine POCI</w:t>
            </w:r>
          </w:p>
        </w:tc>
        <w:tc>
          <w:tcPr>
            <w:tcW w:w="312" w:type="pct"/>
            <w:vAlign w:val="bottom"/>
          </w:tcPr>
          <w:p w14:paraId="73D91FC0" w14:textId="77777777" w:rsidR="003741D2" w:rsidRPr="00F12E3D" w:rsidRDefault="003741D2" w:rsidP="00CA7F04">
            <w:pPr>
              <w:jc w:val="right"/>
              <w:rPr>
                <w:rFonts w:ascii="Arial" w:eastAsia="Calibri" w:hAnsi="Arial" w:cs="Arial"/>
                <w:color w:val="000000" w:themeColor="text1"/>
                <w:sz w:val="14"/>
                <w:szCs w:val="14"/>
              </w:rPr>
            </w:pPr>
            <w:r w:rsidRPr="00F12E3D">
              <w:rPr>
                <w:rFonts w:ascii="Arial" w:eastAsia="Calibri" w:hAnsi="Arial" w:cs="Arial"/>
                <w:b/>
                <w:color w:val="000000" w:themeColor="text1"/>
                <w:sz w:val="14"/>
                <w:szCs w:val="14"/>
              </w:rPr>
              <w:t>Financijska imovina koja se ne raspoređuje u rizične skupine po MSFI-ju 9</w:t>
            </w:r>
          </w:p>
        </w:tc>
        <w:tc>
          <w:tcPr>
            <w:tcW w:w="333" w:type="pct"/>
            <w:vAlign w:val="bottom"/>
          </w:tcPr>
          <w:p w14:paraId="6BA3EF2D" w14:textId="77777777" w:rsidR="003741D2" w:rsidRPr="00F12E3D" w:rsidRDefault="003741D2" w:rsidP="00CA7F04">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Neto izloženost ukupnog portfelja</w:t>
            </w:r>
          </w:p>
        </w:tc>
        <w:tc>
          <w:tcPr>
            <w:tcW w:w="328" w:type="pct"/>
            <w:vAlign w:val="bottom"/>
          </w:tcPr>
          <w:p w14:paraId="0B1B76E1" w14:textId="1B8612C2" w:rsidR="003741D2" w:rsidRPr="00F12E3D" w:rsidRDefault="003741D2" w:rsidP="00CA7F04">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nakon umanjenja za instrumente osiguranja- </w:t>
            </w:r>
            <w:r w:rsidR="008850F5">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1</w:t>
            </w:r>
          </w:p>
        </w:tc>
        <w:tc>
          <w:tcPr>
            <w:tcW w:w="329" w:type="pct"/>
            <w:vAlign w:val="bottom"/>
          </w:tcPr>
          <w:p w14:paraId="37AC4E03" w14:textId="32411447" w:rsidR="003741D2" w:rsidRPr="00F12E3D" w:rsidRDefault="003741D2" w:rsidP="00CA7F04">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nakon umanjenja za instrumente osiguranja- </w:t>
            </w:r>
            <w:r w:rsidR="008850F5">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2</w:t>
            </w:r>
          </w:p>
        </w:tc>
        <w:tc>
          <w:tcPr>
            <w:tcW w:w="329" w:type="pct"/>
            <w:vAlign w:val="bottom"/>
          </w:tcPr>
          <w:p w14:paraId="68398C60" w14:textId="5CD5F87D" w:rsidR="003741D2" w:rsidRPr="00F12E3D" w:rsidRDefault="003741D2" w:rsidP="00CA7F04">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 xml:space="preserve">Neto izloženost portfelja nakon umanjenja za instrumente osiguranja- </w:t>
            </w:r>
            <w:r w:rsidR="008850F5">
              <w:rPr>
                <w:rFonts w:ascii="Arial" w:eastAsia="Calibri" w:hAnsi="Arial" w:cs="Arial"/>
                <w:b/>
                <w:color w:val="000000" w:themeColor="text1"/>
                <w:sz w:val="14"/>
                <w:szCs w:val="14"/>
              </w:rPr>
              <w:t>S</w:t>
            </w:r>
            <w:r w:rsidRPr="00F12E3D">
              <w:rPr>
                <w:rFonts w:ascii="Arial" w:eastAsia="Calibri" w:hAnsi="Arial" w:cs="Arial"/>
                <w:b/>
                <w:color w:val="000000" w:themeColor="text1"/>
                <w:sz w:val="14"/>
                <w:szCs w:val="14"/>
              </w:rPr>
              <w:t>tupanj 3</w:t>
            </w:r>
          </w:p>
        </w:tc>
        <w:tc>
          <w:tcPr>
            <w:tcW w:w="659" w:type="pct"/>
            <w:gridSpan w:val="2"/>
            <w:vAlign w:val="bottom"/>
          </w:tcPr>
          <w:p w14:paraId="02CB1D10" w14:textId="77777777" w:rsidR="003741D2" w:rsidRPr="00F12E3D" w:rsidRDefault="003741D2" w:rsidP="00CA7F04">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Neto izloženost portfelja nakon umanjenja za instrumente osiguranja- rizične skupine POCI</w:t>
            </w:r>
          </w:p>
        </w:tc>
        <w:tc>
          <w:tcPr>
            <w:tcW w:w="371" w:type="pct"/>
            <w:vAlign w:val="bottom"/>
          </w:tcPr>
          <w:p w14:paraId="4526AEA7" w14:textId="77777777" w:rsidR="003741D2" w:rsidRPr="00F12E3D" w:rsidRDefault="003741D2" w:rsidP="00CA7F04">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Financijska imovina  koja se ne raspoređuje u rizične skupine po MSFI-ju 9 nakon umanjenja za instrumente osiguranja</w:t>
            </w:r>
          </w:p>
        </w:tc>
        <w:tc>
          <w:tcPr>
            <w:tcW w:w="323" w:type="pct"/>
            <w:vAlign w:val="bottom"/>
          </w:tcPr>
          <w:p w14:paraId="78070D37" w14:textId="77777777" w:rsidR="003741D2" w:rsidRPr="00F12E3D" w:rsidRDefault="003741D2" w:rsidP="00CA7F04">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Neto izloženost ukupnog portfelja nakon umanjenja za instrumente osiguranja</w:t>
            </w:r>
          </w:p>
        </w:tc>
      </w:tr>
      <w:tr w:rsidR="003741D2" w:rsidRPr="00F12E3D" w14:paraId="480C4E8F" w14:textId="77777777" w:rsidTr="00CA7F04">
        <w:trPr>
          <w:trHeight w:val="187"/>
        </w:trPr>
        <w:tc>
          <w:tcPr>
            <w:tcW w:w="538" w:type="pct"/>
            <w:vAlign w:val="bottom"/>
          </w:tcPr>
          <w:p w14:paraId="3D5860E0" w14:textId="77777777" w:rsidR="003741D2" w:rsidRPr="00F12E3D" w:rsidRDefault="003741D2" w:rsidP="00CA7F04">
            <w:pPr>
              <w:rPr>
                <w:rFonts w:ascii="Arial" w:eastAsia="Calibri" w:hAnsi="Arial" w:cs="Arial"/>
                <w:b/>
                <w:bCs/>
                <w:color w:val="000000" w:themeColor="text1"/>
                <w:sz w:val="14"/>
                <w:szCs w:val="14"/>
              </w:rPr>
            </w:pPr>
          </w:p>
        </w:tc>
        <w:tc>
          <w:tcPr>
            <w:tcW w:w="301" w:type="pct"/>
            <w:vAlign w:val="bottom"/>
          </w:tcPr>
          <w:p w14:paraId="02893F4E" w14:textId="77777777" w:rsidR="003741D2" w:rsidRPr="00F12E3D" w:rsidRDefault="003741D2" w:rsidP="00CA7F04">
            <w:pPr>
              <w:jc w:val="right"/>
              <w:rPr>
                <w:rFonts w:ascii="Arial" w:eastAsia="Calibri" w:hAnsi="Arial" w:cs="Arial"/>
                <w:b/>
                <w:color w:val="000000" w:themeColor="text1"/>
                <w:sz w:val="14"/>
                <w:szCs w:val="14"/>
              </w:rPr>
            </w:pPr>
          </w:p>
        </w:tc>
        <w:tc>
          <w:tcPr>
            <w:tcW w:w="298" w:type="pct"/>
            <w:vAlign w:val="bottom"/>
          </w:tcPr>
          <w:p w14:paraId="664E4337" w14:textId="77777777" w:rsidR="003741D2" w:rsidRPr="00F12E3D" w:rsidRDefault="003741D2" w:rsidP="00CA7F04">
            <w:pPr>
              <w:jc w:val="right"/>
              <w:rPr>
                <w:rFonts w:ascii="Arial" w:eastAsia="Calibri" w:hAnsi="Arial" w:cs="Arial"/>
                <w:b/>
                <w:color w:val="000000" w:themeColor="text1"/>
                <w:sz w:val="14"/>
                <w:szCs w:val="14"/>
              </w:rPr>
            </w:pPr>
          </w:p>
        </w:tc>
        <w:tc>
          <w:tcPr>
            <w:tcW w:w="295" w:type="pct"/>
            <w:vAlign w:val="bottom"/>
          </w:tcPr>
          <w:p w14:paraId="63757171" w14:textId="77777777" w:rsidR="003741D2" w:rsidRPr="00F12E3D" w:rsidRDefault="003741D2" w:rsidP="00CA7F04">
            <w:pPr>
              <w:jc w:val="right"/>
              <w:rPr>
                <w:rFonts w:ascii="Arial" w:eastAsia="Calibri" w:hAnsi="Arial" w:cs="Arial"/>
                <w:b/>
                <w:color w:val="000000" w:themeColor="text1"/>
                <w:sz w:val="14"/>
                <w:szCs w:val="14"/>
              </w:rPr>
            </w:pPr>
          </w:p>
        </w:tc>
        <w:tc>
          <w:tcPr>
            <w:tcW w:w="287" w:type="pct"/>
            <w:vAlign w:val="bottom"/>
          </w:tcPr>
          <w:p w14:paraId="2B8DF270" w14:textId="77777777" w:rsidR="003741D2" w:rsidRPr="00F12E3D" w:rsidRDefault="003741D2" w:rsidP="00CA7F04">
            <w:pPr>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2</w:t>
            </w:r>
          </w:p>
        </w:tc>
        <w:tc>
          <w:tcPr>
            <w:tcW w:w="297" w:type="pct"/>
            <w:vAlign w:val="bottom"/>
          </w:tcPr>
          <w:p w14:paraId="7F9A8C39" w14:textId="77777777" w:rsidR="003741D2" w:rsidRPr="00F12E3D" w:rsidRDefault="003741D2" w:rsidP="00CA7F04">
            <w:pPr>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3</w:t>
            </w:r>
          </w:p>
        </w:tc>
        <w:tc>
          <w:tcPr>
            <w:tcW w:w="312" w:type="pct"/>
            <w:vAlign w:val="bottom"/>
          </w:tcPr>
          <w:p w14:paraId="6702693B" w14:textId="77777777" w:rsidR="003741D2" w:rsidRPr="00F12E3D" w:rsidRDefault="003741D2" w:rsidP="00CA7F04">
            <w:pPr>
              <w:jc w:val="right"/>
              <w:rPr>
                <w:rFonts w:ascii="Arial" w:eastAsia="Calibri" w:hAnsi="Arial" w:cs="Arial"/>
                <w:b/>
                <w:color w:val="000000" w:themeColor="text1"/>
                <w:sz w:val="14"/>
                <w:szCs w:val="14"/>
              </w:rPr>
            </w:pPr>
          </w:p>
        </w:tc>
        <w:tc>
          <w:tcPr>
            <w:tcW w:w="333" w:type="pct"/>
            <w:vAlign w:val="bottom"/>
          </w:tcPr>
          <w:p w14:paraId="628BE675" w14:textId="77777777" w:rsidR="003741D2" w:rsidRPr="00F12E3D" w:rsidRDefault="003741D2" w:rsidP="00CA7F04">
            <w:pPr>
              <w:jc w:val="right"/>
              <w:rPr>
                <w:rFonts w:ascii="Arial" w:eastAsia="Calibri" w:hAnsi="Arial" w:cs="Arial"/>
                <w:b/>
                <w:color w:val="000000" w:themeColor="text1"/>
                <w:sz w:val="14"/>
                <w:szCs w:val="14"/>
              </w:rPr>
            </w:pPr>
          </w:p>
        </w:tc>
        <w:tc>
          <w:tcPr>
            <w:tcW w:w="328" w:type="pct"/>
            <w:vAlign w:val="bottom"/>
          </w:tcPr>
          <w:p w14:paraId="2C14F12B" w14:textId="77777777" w:rsidR="003741D2" w:rsidRPr="00F12E3D" w:rsidRDefault="003741D2" w:rsidP="00CA7F04">
            <w:pPr>
              <w:jc w:val="right"/>
              <w:rPr>
                <w:rFonts w:ascii="Arial" w:eastAsia="Calibri" w:hAnsi="Arial" w:cs="Arial"/>
                <w:b/>
                <w:color w:val="000000" w:themeColor="text1"/>
                <w:sz w:val="14"/>
                <w:szCs w:val="14"/>
              </w:rPr>
            </w:pPr>
          </w:p>
        </w:tc>
        <w:tc>
          <w:tcPr>
            <w:tcW w:w="329" w:type="pct"/>
            <w:vAlign w:val="bottom"/>
          </w:tcPr>
          <w:p w14:paraId="3A74D038" w14:textId="77777777" w:rsidR="003741D2" w:rsidRPr="00F12E3D" w:rsidRDefault="003741D2" w:rsidP="00CA7F04">
            <w:pPr>
              <w:jc w:val="right"/>
              <w:rPr>
                <w:rFonts w:ascii="Arial" w:eastAsia="Calibri" w:hAnsi="Arial" w:cs="Arial"/>
                <w:b/>
                <w:color w:val="000000" w:themeColor="text1"/>
                <w:sz w:val="14"/>
                <w:szCs w:val="14"/>
              </w:rPr>
            </w:pPr>
          </w:p>
        </w:tc>
        <w:tc>
          <w:tcPr>
            <w:tcW w:w="329" w:type="pct"/>
            <w:vAlign w:val="bottom"/>
          </w:tcPr>
          <w:p w14:paraId="2E64C6C4" w14:textId="77777777" w:rsidR="003741D2" w:rsidRPr="00F12E3D" w:rsidRDefault="003741D2" w:rsidP="00CA7F04">
            <w:pPr>
              <w:jc w:val="right"/>
              <w:rPr>
                <w:rFonts w:ascii="Arial" w:eastAsia="Calibri" w:hAnsi="Arial" w:cs="Arial"/>
                <w:b/>
                <w:color w:val="000000" w:themeColor="text1"/>
                <w:sz w:val="14"/>
                <w:szCs w:val="14"/>
              </w:rPr>
            </w:pPr>
          </w:p>
        </w:tc>
        <w:tc>
          <w:tcPr>
            <w:tcW w:w="329" w:type="pct"/>
            <w:vAlign w:val="bottom"/>
          </w:tcPr>
          <w:p w14:paraId="6B2A1F8C" w14:textId="77777777" w:rsidR="003741D2" w:rsidRPr="00F12E3D" w:rsidRDefault="003741D2" w:rsidP="00CA7F04">
            <w:pPr>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2</w:t>
            </w:r>
          </w:p>
        </w:tc>
        <w:tc>
          <w:tcPr>
            <w:tcW w:w="330" w:type="pct"/>
            <w:vAlign w:val="bottom"/>
          </w:tcPr>
          <w:p w14:paraId="4A092F9A" w14:textId="77777777" w:rsidR="003741D2" w:rsidRPr="00F12E3D" w:rsidRDefault="003741D2" w:rsidP="00CA7F04">
            <w:pPr>
              <w:jc w:val="right"/>
              <w:rPr>
                <w:rFonts w:ascii="Arial" w:eastAsia="Calibri" w:hAnsi="Arial" w:cs="Arial"/>
                <w:b/>
                <w:color w:val="000000" w:themeColor="text1"/>
                <w:sz w:val="14"/>
                <w:szCs w:val="14"/>
              </w:rPr>
            </w:pPr>
            <w:r>
              <w:rPr>
                <w:rFonts w:ascii="Arial" w:eastAsia="Calibri" w:hAnsi="Arial" w:cs="Arial"/>
                <w:b/>
                <w:color w:val="000000" w:themeColor="text1"/>
                <w:sz w:val="14"/>
                <w:szCs w:val="14"/>
              </w:rPr>
              <w:t>Stupanj 3</w:t>
            </w:r>
          </w:p>
        </w:tc>
        <w:tc>
          <w:tcPr>
            <w:tcW w:w="371" w:type="pct"/>
            <w:vAlign w:val="bottom"/>
          </w:tcPr>
          <w:p w14:paraId="5D73F698" w14:textId="77777777" w:rsidR="003741D2" w:rsidRPr="00F12E3D" w:rsidRDefault="003741D2" w:rsidP="00CA7F04">
            <w:pPr>
              <w:jc w:val="right"/>
              <w:rPr>
                <w:rFonts w:ascii="Arial" w:eastAsia="Calibri" w:hAnsi="Arial" w:cs="Arial"/>
                <w:b/>
                <w:color w:val="000000" w:themeColor="text1"/>
                <w:sz w:val="14"/>
                <w:szCs w:val="14"/>
              </w:rPr>
            </w:pPr>
          </w:p>
        </w:tc>
        <w:tc>
          <w:tcPr>
            <w:tcW w:w="323" w:type="pct"/>
            <w:vAlign w:val="bottom"/>
          </w:tcPr>
          <w:p w14:paraId="44C80248" w14:textId="77777777" w:rsidR="003741D2" w:rsidRPr="00F12E3D" w:rsidRDefault="003741D2" w:rsidP="00CA7F04">
            <w:pPr>
              <w:jc w:val="right"/>
              <w:rPr>
                <w:rFonts w:ascii="Arial" w:eastAsia="Calibri" w:hAnsi="Arial" w:cs="Arial"/>
                <w:b/>
                <w:color w:val="000000" w:themeColor="text1"/>
                <w:sz w:val="14"/>
                <w:szCs w:val="14"/>
              </w:rPr>
            </w:pPr>
          </w:p>
        </w:tc>
      </w:tr>
      <w:tr w:rsidR="003741D2" w:rsidRPr="00F12E3D" w14:paraId="2A1CF76C" w14:textId="77777777" w:rsidTr="00CA7F04">
        <w:trPr>
          <w:trHeight w:val="160"/>
        </w:trPr>
        <w:tc>
          <w:tcPr>
            <w:tcW w:w="538" w:type="pct"/>
          </w:tcPr>
          <w:p w14:paraId="1B2EABF4" w14:textId="77777777" w:rsidR="003741D2" w:rsidRPr="00F12E3D" w:rsidRDefault="003741D2" w:rsidP="00CA7F04">
            <w:pPr>
              <w:rPr>
                <w:rFonts w:ascii="Arial" w:eastAsia="Calibri" w:hAnsi="Arial" w:cs="Arial"/>
                <w:b/>
                <w:bCs/>
                <w:color w:val="000000" w:themeColor="text1"/>
                <w:sz w:val="14"/>
                <w:szCs w:val="14"/>
              </w:rPr>
            </w:pPr>
          </w:p>
        </w:tc>
        <w:tc>
          <w:tcPr>
            <w:tcW w:w="301" w:type="pct"/>
          </w:tcPr>
          <w:p w14:paraId="6887679C" w14:textId="77777777" w:rsidR="003741D2" w:rsidRPr="00F12E3D" w:rsidRDefault="003741D2" w:rsidP="00CA7F04">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298" w:type="pct"/>
          </w:tcPr>
          <w:p w14:paraId="2D9EBFD0" w14:textId="77777777" w:rsidR="003741D2" w:rsidRPr="00F12E3D" w:rsidRDefault="003741D2" w:rsidP="00CA7F04">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295" w:type="pct"/>
          </w:tcPr>
          <w:p w14:paraId="3E3156DE" w14:textId="77777777" w:rsidR="003741D2" w:rsidRPr="00F12E3D" w:rsidRDefault="003741D2" w:rsidP="00CA7F04">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287" w:type="pct"/>
          </w:tcPr>
          <w:p w14:paraId="05DE675B" w14:textId="77777777" w:rsidR="003741D2" w:rsidRPr="00F12E3D" w:rsidRDefault="003741D2" w:rsidP="00CA7F04">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297" w:type="pct"/>
          </w:tcPr>
          <w:p w14:paraId="402FC654" w14:textId="77777777" w:rsidR="003741D2" w:rsidRPr="00F12E3D" w:rsidRDefault="003741D2" w:rsidP="00CA7F04">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12" w:type="pct"/>
          </w:tcPr>
          <w:p w14:paraId="03D86E2B" w14:textId="77777777" w:rsidR="003741D2" w:rsidRPr="00F12E3D" w:rsidRDefault="003741D2" w:rsidP="00CA7F04">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33" w:type="pct"/>
          </w:tcPr>
          <w:p w14:paraId="21071F72" w14:textId="77777777" w:rsidR="003741D2" w:rsidRPr="00F12E3D" w:rsidRDefault="003741D2" w:rsidP="00CA7F04">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8" w:type="pct"/>
          </w:tcPr>
          <w:p w14:paraId="294E1841" w14:textId="77777777" w:rsidR="003741D2" w:rsidRPr="00F12E3D" w:rsidRDefault="003741D2" w:rsidP="00CA7F04">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9" w:type="pct"/>
          </w:tcPr>
          <w:p w14:paraId="3405462A" w14:textId="77777777" w:rsidR="003741D2" w:rsidRPr="00F12E3D" w:rsidRDefault="003741D2" w:rsidP="00CA7F04">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9" w:type="pct"/>
          </w:tcPr>
          <w:p w14:paraId="496176D9" w14:textId="77777777" w:rsidR="003741D2" w:rsidRPr="00F12E3D" w:rsidRDefault="003741D2" w:rsidP="00CA7F04">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9" w:type="pct"/>
          </w:tcPr>
          <w:p w14:paraId="3B194883" w14:textId="77777777" w:rsidR="003741D2" w:rsidRPr="00F12E3D" w:rsidRDefault="003741D2" w:rsidP="00CA7F04">
            <w:pPr>
              <w:jc w:val="right"/>
              <w:rPr>
                <w:rFonts w:ascii="Arial" w:eastAsia="Calibri" w:hAnsi="Arial" w:cs="Arial"/>
                <w:b/>
                <w:color w:val="000000" w:themeColor="text1"/>
                <w:sz w:val="14"/>
                <w:szCs w:val="14"/>
              </w:rPr>
            </w:pPr>
            <w:r w:rsidRPr="003A2506">
              <w:rPr>
                <w:rFonts w:ascii="Arial" w:eastAsia="Calibri" w:hAnsi="Arial" w:cs="Arial"/>
                <w:b/>
                <w:color w:val="000000" w:themeColor="text1"/>
                <w:sz w:val="14"/>
                <w:szCs w:val="14"/>
              </w:rPr>
              <w:t>000 eura</w:t>
            </w:r>
          </w:p>
        </w:tc>
        <w:tc>
          <w:tcPr>
            <w:tcW w:w="330" w:type="pct"/>
          </w:tcPr>
          <w:p w14:paraId="53FF8FB9" w14:textId="77777777" w:rsidR="003741D2" w:rsidRPr="00F12E3D" w:rsidRDefault="003741D2" w:rsidP="00CA7F04">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71" w:type="pct"/>
          </w:tcPr>
          <w:p w14:paraId="0E3986A6" w14:textId="77777777" w:rsidR="003741D2" w:rsidRPr="00F12E3D" w:rsidRDefault="003741D2" w:rsidP="00CA7F04">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c>
          <w:tcPr>
            <w:tcW w:w="323" w:type="pct"/>
          </w:tcPr>
          <w:p w14:paraId="4FEF4AFF" w14:textId="77777777" w:rsidR="003741D2" w:rsidRPr="00F12E3D" w:rsidRDefault="003741D2" w:rsidP="00CA7F04">
            <w:pPr>
              <w:jc w:val="right"/>
              <w:rPr>
                <w:rFonts w:ascii="Arial" w:eastAsia="Calibri" w:hAnsi="Arial" w:cs="Arial"/>
                <w:b/>
                <w:color w:val="000000" w:themeColor="text1"/>
                <w:sz w:val="14"/>
                <w:szCs w:val="14"/>
              </w:rPr>
            </w:pPr>
            <w:r w:rsidRPr="00F12E3D">
              <w:rPr>
                <w:rFonts w:ascii="Arial" w:eastAsia="Calibri" w:hAnsi="Arial" w:cs="Arial"/>
                <w:b/>
                <w:color w:val="000000" w:themeColor="text1"/>
                <w:sz w:val="14"/>
                <w:szCs w:val="14"/>
              </w:rPr>
              <w:t>000 eura</w:t>
            </w:r>
          </w:p>
        </w:tc>
      </w:tr>
      <w:tr w:rsidR="003741D2" w:rsidRPr="00F12E3D" w14:paraId="5DAC6DB3" w14:textId="77777777" w:rsidTr="00CA7F04">
        <w:trPr>
          <w:trHeight w:val="117"/>
        </w:trPr>
        <w:tc>
          <w:tcPr>
            <w:tcW w:w="538" w:type="pct"/>
            <w:vAlign w:val="bottom"/>
          </w:tcPr>
          <w:p w14:paraId="344CBB75" w14:textId="77777777" w:rsidR="003741D2" w:rsidRPr="003A2506" w:rsidRDefault="003741D2" w:rsidP="007D526F">
            <w:pPr>
              <w:tabs>
                <w:tab w:val="right" w:pos="1202"/>
              </w:tabs>
              <w:outlineLvl w:val="0"/>
              <w:rPr>
                <w:rFonts w:ascii="Arial" w:eastAsia="Calibri" w:hAnsi="Arial" w:cs="Arial"/>
                <w:b/>
                <w:bCs/>
                <w:color w:val="000000" w:themeColor="text1"/>
                <w:sz w:val="14"/>
                <w:szCs w:val="14"/>
              </w:rPr>
            </w:pPr>
            <w:r w:rsidRPr="003A2506">
              <w:rPr>
                <w:rFonts w:ascii="Arial" w:eastAsia="Calibri" w:hAnsi="Arial" w:cs="Arial"/>
                <w:b/>
                <w:bCs/>
                <w:color w:val="000000" w:themeColor="text1"/>
                <w:sz w:val="14"/>
                <w:szCs w:val="14"/>
              </w:rPr>
              <w:t>Imovina</w:t>
            </w:r>
          </w:p>
        </w:tc>
        <w:tc>
          <w:tcPr>
            <w:tcW w:w="301" w:type="pct"/>
            <w:vAlign w:val="bottom"/>
          </w:tcPr>
          <w:p w14:paraId="7EC04D71" w14:textId="77777777" w:rsidR="003741D2" w:rsidRPr="00F84C24" w:rsidRDefault="003741D2" w:rsidP="007D526F">
            <w:pPr>
              <w:jc w:val="right"/>
              <w:rPr>
                <w:rFonts w:ascii="Arial" w:eastAsia="Calibri" w:hAnsi="Arial" w:cs="Arial"/>
                <w:color w:val="000000" w:themeColor="text1"/>
                <w:sz w:val="14"/>
                <w:szCs w:val="14"/>
              </w:rPr>
            </w:pPr>
          </w:p>
        </w:tc>
        <w:tc>
          <w:tcPr>
            <w:tcW w:w="298" w:type="pct"/>
            <w:vAlign w:val="bottom"/>
          </w:tcPr>
          <w:p w14:paraId="3267F55E" w14:textId="77777777" w:rsidR="003741D2" w:rsidRPr="00F84C24" w:rsidRDefault="003741D2" w:rsidP="007D526F">
            <w:pPr>
              <w:jc w:val="right"/>
              <w:rPr>
                <w:rFonts w:ascii="Arial" w:eastAsia="Calibri" w:hAnsi="Arial" w:cs="Arial"/>
                <w:color w:val="000000" w:themeColor="text1"/>
                <w:sz w:val="14"/>
                <w:szCs w:val="14"/>
              </w:rPr>
            </w:pPr>
          </w:p>
        </w:tc>
        <w:tc>
          <w:tcPr>
            <w:tcW w:w="295" w:type="pct"/>
            <w:vAlign w:val="bottom"/>
          </w:tcPr>
          <w:p w14:paraId="593CE0CD" w14:textId="77777777" w:rsidR="003741D2" w:rsidRPr="00F84C24" w:rsidRDefault="003741D2" w:rsidP="007D526F">
            <w:pPr>
              <w:jc w:val="right"/>
              <w:rPr>
                <w:rFonts w:ascii="Arial" w:eastAsia="Calibri" w:hAnsi="Arial" w:cs="Arial"/>
                <w:color w:val="000000" w:themeColor="text1"/>
                <w:sz w:val="14"/>
                <w:szCs w:val="14"/>
              </w:rPr>
            </w:pPr>
          </w:p>
        </w:tc>
        <w:tc>
          <w:tcPr>
            <w:tcW w:w="287" w:type="pct"/>
            <w:vAlign w:val="bottom"/>
          </w:tcPr>
          <w:p w14:paraId="0F890785" w14:textId="77777777" w:rsidR="003741D2" w:rsidRPr="00F84C24" w:rsidRDefault="003741D2" w:rsidP="007D526F">
            <w:pPr>
              <w:jc w:val="right"/>
              <w:rPr>
                <w:rFonts w:ascii="Arial" w:eastAsia="Calibri" w:hAnsi="Arial" w:cs="Arial"/>
                <w:color w:val="000000" w:themeColor="text1"/>
                <w:sz w:val="14"/>
                <w:szCs w:val="14"/>
              </w:rPr>
            </w:pPr>
          </w:p>
        </w:tc>
        <w:tc>
          <w:tcPr>
            <w:tcW w:w="297" w:type="pct"/>
            <w:vAlign w:val="bottom"/>
          </w:tcPr>
          <w:p w14:paraId="16F23423" w14:textId="77777777" w:rsidR="003741D2" w:rsidRPr="00F84C24" w:rsidRDefault="003741D2" w:rsidP="007D526F">
            <w:pPr>
              <w:jc w:val="right"/>
              <w:rPr>
                <w:rFonts w:ascii="Arial" w:eastAsia="Calibri" w:hAnsi="Arial" w:cs="Arial"/>
                <w:color w:val="000000" w:themeColor="text1"/>
                <w:sz w:val="14"/>
                <w:szCs w:val="14"/>
              </w:rPr>
            </w:pPr>
          </w:p>
        </w:tc>
        <w:tc>
          <w:tcPr>
            <w:tcW w:w="312" w:type="pct"/>
            <w:vAlign w:val="bottom"/>
          </w:tcPr>
          <w:p w14:paraId="64C6ECBE" w14:textId="77777777" w:rsidR="003741D2" w:rsidRPr="00F84C24" w:rsidRDefault="003741D2" w:rsidP="007D526F">
            <w:pPr>
              <w:jc w:val="right"/>
              <w:rPr>
                <w:rFonts w:ascii="Arial" w:eastAsia="Calibri" w:hAnsi="Arial" w:cs="Arial"/>
                <w:color w:val="000000" w:themeColor="text1"/>
                <w:sz w:val="14"/>
                <w:szCs w:val="14"/>
              </w:rPr>
            </w:pPr>
          </w:p>
        </w:tc>
        <w:tc>
          <w:tcPr>
            <w:tcW w:w="333" w:type="pct"/>
            <w:vAlign w:val="bottom"/>
          </w:tcPr>
          <w:p w14:paraId="3E75208C" w14:textId="77777777" w:rsidR="003741D2" w:rsidRPr="00F84C24" w:rsidRDefault="003741D2" w:rsidP="007D526F">
            <w:pPr>
              <w:jc w:val="right"/>
              <w:rPr>
                <w:rFonts w:ascii="Arial" w:eastAsia="Calibri" w:hAnsi="Arial" w:cs="Arial"/>
                <w:color w:val="000000" w:themeColor="text1"/>
                <w:sz w:val="14"/>
                <w:szCs w:val="14"/>
              </w:rPr>
            </w:pPr>
          </w:p>
        </w:tc>
        <w:tc>
          <w:tcPr>
            <w:tcW w:w="328" w:type="pct"/>
            <w:vAlign w:val="bottom"/>
          </w:tcPr>
          <w:p w14:paraId="2E6E6770" w14:textId="77777777" w:rsidR="003741D2" w:rsidRPr="00F84C24" w:rsidRDefault="003741D2" w:rsidP="007D526F">
            <w:pPr>
              <w:jc w:val="right"/>
              <w:rPr>
                <w:rFonts w:ascii="Arial" w:eastAsia="Calibri" w:hAnsi="Arial" w:cs="Arial"/>
                <w:color w:val="000000" w:themeColor="text1"/>
                <w:sz w:val="14"/>
                <w:szCs w:val="14"/>
              </w:rPr>
            </w:pPr>
          </w:p>
        </w:tc>
        <w:tc>
          <w:tcPr>
            <w:tcW w:w="329" w:type="pct"/>
            <w:vAlign w:val="bottom"/>
          </w:tcPr>
          <w:p w14:paraId="5C82FF97" w14:textId="77777777" w:rsidR="003741D2" w:rsidRPr="00F84C24" w:rsidRDefault="003741D2" w:rsidP="007D526F">
            <w:pPr>
              <w:jc w:val="right"/>
              <w:rPr>
                <w:rFonts w:ascii="Arial" w:eastAsia="Calibri" w:hAnsi="Arial" w:cs="Arial"/>
                <w:color w:val="000000" w:themeColor="text1"/>
                <w:sz w:val="14"/>
                <w:szCs w:val="14"/>
              </w:rPr>
            </w:pPr>
          </w:p>
        </w:tc>
        <w:tc>
          <w:tcPr>
            <w:tcW w:w="329" w:type="pct"/>
            <w:vAlign w:val="bottom"/>
          </w:tcPr>
          <w:p w14:paraId="28941DC5" w14:textId="77777777" w:rsidR="003741D2" w:rsidRPr="00F84C24" w:rsidRDefault="003741D2" w:rsidP="007D526F">
            <w:pPr>
              <w:jc w:val="right"/>
              <w:rPr>
                <w:rFonts w:ascii="Arial" w:eastAsia="Calibri" w:hAnsi="Arial" w:cs="Arial"/>
                <w:color w:val="000000" w:themeColor="text1"/>
                <w:sz w:val="14"/>
                <w:szCs w:val="14"/>
              </w:rPr>
            </w:pPr>
          </w:p>
        </w:tc>
        <w:tc>
          <w:tcPr>
            <w:tcW w:w="329" w:type="pct"/>
            <w:vAlign w:val="bottom"/>
          </w:tcPr>
          <w:p w14:paraId="5546E735" w14:textId="77777777" w:rsidR="003741D2" w:rsidRPr="00F84C24" w:rsidRDefault="003741D2" w:rsidP="007D526F">
            <w:pPr>
              <w:jc w:val="right"/>
              <w:rPr>
                <w:rFonts w:ascii="Arial" w:eastAsia="Calibri" w:hAnsi="Arial" w:cs="Arial"/>
                <w:color w:val="000000" w:themeColor="text1"/>
                <w:sz w:val="14"/>
                <w:szCs w:val="14"/>
              </w:rPr>
            </w:pPr>
          </w:p>
        </w:tc>
        <w:tc>
          <w:tcPr>
            <w:tcW w:w="330" w:type="pct"/>
            <w:vAlign w:val="bottom"/>
          </w:tcPr>
          <w:p w14:paraId="1C20B186" w14:textId="77777777" w:rsidR="003741D2" w:rsidRPr="00F84C24" w:rsidRDefault="003741D2" w:rsidP="007D526F">
            <w:pPr>
              <w:jc w:val="right"/>
              <w:rPr>
                <w:rFonts w:ascii="Arial" w:eastAsia="Calibri" w:hAnsi="Arial" w:cs="Arial"/>
                <w:color w:val="000000" w:themeColor="text1"/>
                <w:sz w:val="14"/>
                <w:szCs w:val="14"/>
              </w:rPr>
            </w:pPr>
          </w:p>
        </w:tc>
        <w:tc>
          <w:tcPr>
            <w:tcW w:w="371" w:type="pct"/>
            <w:vAlign w:val="bottom"/>
          </w:tcPr>
          <w:p w14:paraId="2D473048" w14:textId="77777777" w:rsidR="003741D2" w:rsidRPr="00F84C24" w:rsidRDefault="003741D2" w:rsidP="007D526F">
            <w:pPr>
              <w:jc w:val="right"/>
              <w:rPr>
                <w:rFonts w:ascii="Arial" w:eastAsia="Calibri" w:hAnsi="Arial" w:cs="Arial"/>
                <w:color w:val="000000" w:themeColor="text1"/>
                <w:sz w:val="14"/>
                <w:szCs w:val="14"/>
              </w:rPr>
            </w:pPr>
          </w:p>
        </w:tc>
        <w:tc>
          <w:tcPr>
            <w:tcW w:w="323" w:type="pct"/>
            <w:vAlign w:val="bottom"/>
          </w:tcPr>
          <w:p w14:paraId="1F140264" w14:textId="77777777" w:rsidR="003741D2" w:rsidRPr="00F84C24" w:rsidRDefault="003741D2" w:rsidP="007D526F">
            <w:pPr>
              <w:jc w:val="right"/>
              <w:rPr>
                <w:rFonts w:ascii="Arial" w:eastAsia="Calibri" w:hAnsi="Arial" w:cs="Arial"/>
                <w:color w:val="000000" w:themeColor="text1"/>
                <w:sz w:val="14"/>
                <w:szCs w:val="14"/>
              </w:rPr>
            </w:pPr>
          </w:p>
        </w:tc>
      </w:tr>
      <w:tr w:rsidR="003741D2" w:rsidRPr="00F12E3D" w14:paraId="5E15C5EA" w14:textId="77777777" w:rsidTr="00CA7F04">
        <w:trPr>
          <w:trHeight w:val="189"/>
        </w:trPr>
        <w:tc>
          <w:tcPr>
            <w:tcW w:w="538" w:type="pct"/>
            <w:vAlign w:val="bottom"/>
          </w:tcPr>
          <w:p w14:paraId="3AF94EC9" w14:textId="77777777" w:rsidR="003741D2" w:rsidRPr="00F12E3D" w:rsidRDefault="003741D2" w:rsidP="00CA7F04">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Novčana sredstva i računi kod banaka</w:t>
            </w:r>
          </w:p>
        </w:tc>
        <w:tc>
          <w:tcPr>
            <w:tcW w:w="301" w:type="pct"/>
            <w:tcBorders>
              <w:top w:val="nil"/>
              <w:left w:val="nil"/>
              <w:bottom w:val="nil"/>
              <w:right w:val="nil"/>
            </w:tcBorders>
            <w:shd w:val="clear" w:color="auto" w:fill="auto"/>
            <w:vAlign w:val="bottom"/>
          </w:tcPr>
          <w:p w14:paraId="095037EF"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41.543 </w:t>
            </w:r>
          </w:p>
        </w:tc>
        <w:tc>
          <w:tcPr>
            <w:tcW w:w="298" w:type="pct"/>
            <w:tcBorders>
              <w:top w:val="nil"/>
              <w:left w:val="nil"/>
              <w:bottom w:val="nil"/>
              <w:right w:val="nil"/>
            </w:tcBorders>
            <w:shd w:val="clear" w:color="auto" w:fill="auto"/>
            <w:vAlign w:val="bottom"/>
          </w:tcPr>
          <w:p w14:paraId="657E872A"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295" w:type="pct"/>
            <w:tcBorders>
              <w:top w:val="nil"/>
              <w:left w:val="nil"/>
              <w:bottom w:val="nil"/>
              <w:right w:val="nil"/>
            </w:tcBorders>
            <w:shd w:val="clear" w:color="auto" w:fill="auto"/>
            <w:vAlign w:val="bottom"/>
          </w:tcPr>
          <w:p w14:paraId="42145111"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287" w:type="pct"/>
            <w:tcBorders>
              <w:top w:val="nil"/>
              <w:left w:val="nil"/>
              <w:bottom w:val="nil"/>
              <w:right w:val="nil"/>
            </w:tcBorders>
            <w:shd w:val="clear" w:color="auto" w:fill="auto"/>
            <w:vAlign w:val="bottom"/>
          </w:tcPr>
          <w:p w14:paraId="2076C7DA" w14:textId="77777777" w:rsidR="003741D2" w:rsidRPr="00F959D0"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297" w:type="pct"/>
            <w:tcBorders>
              <w:top w:val="nil"/>
              <w:left w:val="nil"/>
              <w:bottom w:val="nil"/>
              <w:right w:val="nil"/>
            </w:tcBorders>
            <w:shd w:val="clear" w:color="auto" w:fill="auto"/>
            <w:vAlign w:val="bottom"/>
          </w:tcPr>
          <w:p w14:paraId="07DDC566" w14:textId="77777777" w:rsidR="003741D2" w:rsidRPr="003A2506" w:rsidRDefault="003741D2"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61EA8D4E"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33" w:type="pct"/>
            <w:tcBorders>
              <w:top w:val="nil"/>
              <w:left w:val="nil"/>
              <w:bottom w:val="nil"/>
              <w:right w:val="nil"/>
            </w:tcBorders>
            <w:shd w:val="clear" w:color="auto" w:fill="auto"/>
            <w:vAlign w:val="bottom"/>
          </w:tcPr>
          <w:p w14:paraId="7E3BCC76"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41.543 </w:t>
            </w:r>
          </w:p>
        </w:tc>
        <w:tc>
          <w:tcPr>
            <w:tcW w:w="328" w:type="pct"/>
            <w:tcBorders>
              <w:top w:val="nil"/>
              <w:left w:val="nil"/>
              <w:bottom w:val="nil"/>
              <w:right w:val="nil"/>
            </w:tcBorders>
            <w:vAlign w:val="bottom"/>
          </w:tcPr>
          <w:p w14:paraId="571FD6FB" w14:textId="77777777" w:rsidR="003741D2" w:rsidRPr="003A2506"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7B874ECB" w14:textId="77777777" w:rsidR="003741D2" w:rsidRPr="003A2506"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10E6CC5E" w14:textId="77777777" w:rsidR="003741D2" w:rsidRPr="003A2506"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013AE720" w14:textId="77777777" w:rsidR="003741D2" w:rsidRPr="00F959D0"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30" w:type="pct"/>
            <w:tcBorders>
              <w:top w:val="nil"/>
              <w:left w:val="nil"/>
              <w:bottom w:val="nil"/>
              <w:right w:val="nil"/>
            </w:tcBorders>
            <w:vAlign w:val="bottom"/>
          </w:tcPr>
          <w:p w14:paraId="4BC17A36" w14:textId="77777777" w:rsidR="003741D2" w:rsidRPr="003A2506" w:rsidRDefault="003741D2"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587A3D50" w14:textId="77777777" w:rsidR="003741D2" w:rsidRPr="003A2506"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23" w:type="pct"/>
            <w:tcBorders>
              <w:top w:val="nil"/>
              <w:left w:val="nil"/>
              <w:bottom w:val="nil"/>
              <w:right w:val="nil"/>
            </w:tcBorders>
            <w:vAlign w:val="bottom"/>
          </w:tcPr>
          <w:p w14:paraId="648F073E" w14:textId="77777777" w:rsidR="003741D2" w:rsidRPr="003A2506"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r>
      <w:tr w:rsidR="003741D2" w:rsidRPr="00F12E3D" w14:paraId="50E4D34A" w14:textId="77777777" w:rsidTr="00CA7F04">
        <w:trPr>
          <w:trHeight w:val="189"/>
        </w:trPr>
        <w:tc>
          <w:tcPr>
            <w:tcW w:w="538" w:type="pct"/>
            <w:vAlign w:val="bottom"/>
          </w:tcPr>
          <w:p w14:paraId="04568D89" w14:textId="77777777" w:rsidR="003741D2" w:rsidRPr="00F12E3D" w:rsidRDefault="003741D2" w:rsidP="00CA7F04">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Depoziti kod drugih banaka</w:t>
            </w:r>
          </w:p>
        </w:tc>
        <w:tc>
          <w:tcPr>
            <w:tcW w:w="301" w:type="pct"/>
            <w:tcBorders>
              <w:top w:val="nil"/>
              <w:left w:val="nil"/>
              <w:bottom w:val="nil"/>
              <w:right w:val="nil"/>
            </w:tcBorders>
            <w:shd w:val="clear" w:color="auto" w:fill="auto"/>
            <w:vAlign w:val="bottom"/>
          </w:tcPr>
          <w:p w14:paraId="078066FD"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69.456 </w:t>
            </w:r>
          </w:p>
        </w:tc>
        <w:tc>
          <w:tcPr>
            <w:tcW w:w="298" w:type="pct"/>
            <w:tcBorders>
              <w:top w:val="nil"/>
              <w:left w:val="nil"/>
              <w:bottom w:val="nil"/>
              <w:right w:val="nil"/>
            </w:tcBorders>
            <w:shd w:val="clear" w:color="auto" w:fill="auto"/>
            <w:vAlign w:val="bottom"/>
          </w:tcPr>
          <w:p w14:paraId="63FB9D73"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295" w:type="pct"/>
            <w:tcBorders>
              <w:top w:val="nil"/>
              <w:left w:val="nil"/>
              <w:bottom w:val="nil"/>
              <w:right w:val="nil"/>
            </w:tcBorders>
            <w:shd w:val="clear" w:color="auto" w:fill="auto"/>
            <w:vAlign w:val="bottom"/>
          </w:tcPr>
          <w:p w14:paraId="46D41EB1"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287" w:type="pct"/>
            <w:tcBorders>
              <w:top w:val="nil"/>
              <w:left w:val="nil"/>
              <w:bottom w:val="nil"/>
              <w:right w:val="nil"/>
            </w:tcBorders>
            <w:shd w:val="clear" w:color="auto" w:fill="auto"/>
            <w:vAlign w:val="bottom"/>
          </w:tcPr>
          <w:p w14:paraId="52AA44F1" w14:textId="77777777" w:rsidR="003741D2" w:rsidRPr="00F959D0"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297" w:type="pct"/>
            <w:tcBorders>
              <w:top w:val="nil"/>
              <w:left w:val="nil"/>
              <w:bottom w:val="nil"/>
              <w:right w:val="nil"/>
            </w:tcBorders>
            <w:shd w:val="clear" w:color="auto" w:fill="auto"/>
            <w:vAlign w:val="bottom"/>
          </w:tcPr>
          <w:p w14:paraId="6923A6D1" w14:textId="77777777" w:rsidR="003741D2" w:rsidRPr="003A2506" w:rsidRDefault="003741D2"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17C394E4"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33" w:type="pct"/>
            <w:tcBorders>
              <w:top w:val="nil"/>
              <w:left w:val="nil"/>
              <w:bottom w:val="nil"/>
              <w:right w:val="nil"/>
            </w:tcBorders>
            <w:shd w:val="clear" w:color="auto" w:fill="auto"/>
            <w:vAlign w:val="bottom"/>
          </w:tcPr>
          <w:p w14:paraId="4533B70F"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69.456 </w:t>
            </w:r>
          </w:p>
        </w:tc>
        <w:tc>
          <w:tcPr>
            <w:tcW w:w="328" w:type="pct"/>
            <w:tcBorders>
              <w:top w:val="nil"/>
              <w:left w:val="nil"/>
              <w:bottom w:val="nil"/>
              <w:right w:val="nil"/>
            </w:tcBorders>
            <w:vAlign w:val="bottom"/>
          </w:tcPr>
          <w:p w14:paraId="6C02982F" w14:textId="77777777" w:rsidR="003741D2" w:rsidRPr="003A2506"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3A9525D5" w14:textId="77777777" w:rsidR="003741D2" w:rsidRPr="003A2506"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06D91F72" w14:textId="77777777" w:rsidR="003741D2" w:rsidRPr="003A2506"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5297FB54" w14:textId="77777777" w:rsidR="003741D2" w:rsidRPr="00F959D0"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30" w:type="pct"/>
            <w:tcBorders>
              <w:top w:val="nil"/>
              <w:left w:val="nil"/>
              <w:bottom w:val="nil"/>
              <w:right w:val="nil"/>
            </w:tcBorders>
            <w:vAlign w:val="bottom"/>
          </w:tcPr>
          <w:p w14:paraId="2B91B815" w14:textId="77777777" w:rsidR="003741D2" w:rsidRPr="003A2506" w:rsidRDefault="003741D2"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104FCD0E" w14:textId="77777777" w:rsidR="003741D2" w:rsidRPr="003A2506"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23" w:type="pct"/>
            <w:tcBorders>
              <w:top w:val="nil"/>
              <w:left w:val="nil"/>
              <w:bottom w:val="nil"/>
              <w:right w:val="nil"/>
            </w:tcBorders>
            <w:vAlign w:val="bottom"/>
          </w:tcPr>
          <w:p w14:paraId="607A5A3D" w14:textId="77777777" w:rsidR="003741D2" w:rsidRPr="003A2506"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r>
      <w:tr w:rsidR="003741D2" w:rsidRPr="00F12E3D" w14:paraId="6476FC2B" w14:textId="77777777" w:rsidTr="00CA7F04">
        <w:trPr>
          <w:trHeight w:val="189"/>
        </w:trPr>
        <w:tc>
          <w:tcPr>
            <w:tcW w:w="538" w:type="pct"/>
            <w:vAlign w:val="bottom"/>
          </w:tcPr>
          <w:p w14:paraId="758AA4C2" w14:textId="77777777" w:rsidR="003741D2" w:rsidRPr="00F12E3D" w:rsidRDefault="003741D2" w:rsidP="00CA7F04">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Krediti financijskim institucijama</w:t>
            </w:r>
          </w:p>
        </w:tc>
        <w:tc>
          <w:tcPr>
            <w:tcW w:w="301" w:type="pct"/>
            <w:tcBorders>
              <w:top w:val="nil"/>
              <w:left w:val="nil"/>
              <w:bottom w:val="nil"/>
              <w:right w:val="nil"/>
            </w:tcBorders>
            <w:shd w:val="clear" w:color="auto" w:fill="auto"/>
            <w:vAlign w:val="bottom"/>
          </w:tcPr>
          <w:p w14:paraId="62DF8F60"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1.233.889 </w:t>
            </w:r>
          </w:p>
        </w:tc>
        <w:tc>
          <w:tcPr>
            <w:tcW w:w="298" w:type="pct"/>
            <w:tcBorders>
              <w:top w:val="nil"/>
              <w:left w:val="nil"/>
              <w:bottom w:val="nil"/>
              <w:right w:val="nil"/>
            </w:tcBorders>
            <w:shd w:val="clear" w:color="auto" w:fill="auto"/>
            <w:vAlign w:val="bottom"/>
          </w:tcPr>
          <w:p w14:paraId="358C3B1B"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14.713 </w:t>
            </w:r>
          </w:p>
        </w:tc>
        <w:tc>
          <w:tcPr>
            <w:tcW w:w="295" w:type="pct"/>
            <w:tcBorders>
              <w:top w:val="nil"/>
              <w:left w:val="nil"/>
              <w:bottom w:val="nil"/>
              <w:right w:val="nil"/>
            </w:tcBorders>
            <w:shd w:val="clear" w:color="auto" w:fill="auto"/>
            <w:vAlign w:val="bottom"/>
          </w:tcPr>
          <w:p w14:paraId="5FC43D7E"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279 </w:t>
            </w:r>
          </w:p>
        </w:tc>
        <w:tc>
          <w:tcPr>
            <w:tcW w:w="287" w:type="pct"/>
            <w:tcBorders>
              <w:top w:val="nil"/>
              <w:left w:val="nil"/>
              <w:bottom w:val="nil"/>
              <w:right w:val="nil"/>
            </w:tcBorders>
            <w:shd w:val="clear" w:color="auto" w:fill="auto"/>
            <w:vAlign w:val="bottom"/>
          </w:tcPr>
          <w:p w14:paraId="0677FDF1" w14:textId="77777777" w:rsidR="003741D2" w:rsidRPr="00F959D0"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297" w:type="pct"/>
            <w:tcBorders>
              <w:top w:val="nil"/>
              <w:left w:val="nil"/>
              <w:bottom w:val="nil"/>
              <w:right w:val="nil"/>
            </w:tcBorders>
            <w:shd w:val="clear" w:color="auto" w:fill="auto"/>
            <w:vAlign w:val="bottom"/>
          </w:tcPr>
          <w:p w14:paraId="4455C0FF" w14:textId="77777777" w:rsidR="003741D2" w:rsidRPr="003A2506" w:rsidRDefault="003741D2"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28D9C430"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33" w:type="pct"/>
            <w:tcBorders>
              <w:top w:val="nil"/>
              <w:left w:val="nil"/>
              <w:bottom w:val="nil"/>
              <w:right w:val="nil"/>
            </w:tcBorders>
            <w:shd w:val="clear" w:color="auto" w:fill="auto"/>
            <w:vAlign w:val="bottom"/>
          </w:tcPr>
          <w:p w14:paraId="45483F34"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1.248.881 </w:t>
            </w:r>
          </w:p>
        </w:tc>
        <w:tc>
          <w:tcPr>
            <w:tcW w:w="328" w:type="pct"/>
            <w:tcBorders>
              <w:top w:val="nil"/>
              <w:left w:val="nil"/>
              <w:bottom w:val="nil"/>
              <w:right w:val="nil"/>
            </w:tcBorders>
            <w:vAlign w:val="bottom"/>
          </w:tcPr>
          <w:p w14:paraId="7FAD7897" w14:textId="77777777" w:rsidR="003741D2" w:rsidRPr="003A2506"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3CF83CBB" w14:textId="77777777" w:rsidR="003741D2" w:rsidRPr="003A2506"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1A3E9FC9" w14:textId="77777777" w:rsidR="003741D2" w:rsidRPr="003A2506"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6F84B14B" w14:textId="77777777" w:rsidR="003741D2" w:rsidRPr="00F959D0"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30" w:type="pct"/>
            <w:tcBorders>
              <w:top w:val="nil"/>
              <w:left w:val="nil"/>
              <w:bottom w:val="nil"/>
              <w:right w:val="nil"/>
            </w:tcBorders>
            <w:vAlign w:val="bottom"/>
          </w:tcPr>
          <w:p w14:paraId="50926AD4" w14:textId="77777777" w:rsidR="003741D2" w:rsidRPr="003A2506" w:rsidRDefault="003741D2"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1C19261A" w14:textId="77777777" w:rsidR="003741D2" w:rsidRPr="003A2506"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23" w:type="pct"/>
            <w:tcBorders>
              <w:top w:val="nil"/>
              <w:left w:val="nil"/>
              <w:bottom w:val="nil"/>
              <w:right w:val="nil"/>
            </w:tcBorders>
            <w:vAlign w:val="bottom"/>
          </w:tcPr>
          <w:p w14:paraId="0BD77A2E" w14:textId="77777777" w:rsidR="003741D2" w:rsidRPr="003A2506"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r>
      <w:tr w:rsidR="003741D2" w:rsidRPr="00F12E3D" w14:paraId="55846AD4" w14:textId="77777777" w:rsidTr="00CA7F04">
        <w:trPr>
          <w:trHeight w:val="189"/>
        </w:trPr>
        <w:tc>
          <w:tcPr>
            <w:tcW w:w="538" w:type="pct"/>
            <w:vAlign w:val="bottom"/>
          </w:tcPr>
          <w:p w14:paraId="43B4E612" w14:textId="77777777" w:rsidR="003741D2" w:rsidRPr="00F12E3D" w:rsidRDefault="003741D2" w:rsidP="00CA7F04">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Krediti ostalim korisnicima</w:t>
            </w:r>
          </w:p>
        </w:tc>
        <w:tc>
          <w:tcPr>
            <w:tcW w:w="301" w:type="pct"/>
            <w:tcBorders>
              <w:top w:val="nil"/>
              <w:left w:val="nil"/>
              <w:bottom w:val="nil"/>
              <w:right w:val="nil"/>
            </w:tcBorders>
            <w:shd w:val="clear" w:color="auto" w:fill="auto"/>
            <w:vAlign w:val="bottom"/>
          </w:tcPr>
          <w:p w14:paraId="0DEB2253"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1.773.734 </w:t>
            </w:r>
          </w:p>
        </w:tc>
        <w:tc>
          <w:tcPr>
            <w:tcW w:w="298" w:type="pct"/>
            <w:tcBorders>
              <w:top w:val="nil"/>
              <w:left w:val="nil"/>
              <w:bottom w:val="nil"/>
              <w:right w:val="nil"/>
            </w:tcBorders>
            <w:shd w:val="clear" w:color="auto" w:fill="auto"/>
            <w:vAlign w:val="bottom"/>
          </w:tcPr>
          <w:p w14:paraId="10907F34"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260.005 </w:t>
            </w:r>
          </w:p>
        </w:tc>
        <w:tc>
          <w:tcPr>
            <w:tcW w:w="295" w:type="pct"/>
            <w:tcBorders>
              <w:top w:val="nil"/>
              <w:left w:val="nil"/>
              <w:bottom w:val="nil"/>
              <w:right w:val="nil"/>
            </w:tcBorders>
            <w:shd w:val="clear" w:color="auto" w:fill="auto"/>
            <w:vAlign w:val="bottom"/>
          </w:tcPr>
          <w:p w14:paraId="126CB873"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132.676 </w:t>
            </w:r>
          </w:p>
        </w:tc>
        <w:tc>
          <w:tcPr>
            <w:tcW w:w="287" w:type="pct"/>
            <w:tcBorders>
              <w:top w:val="nil"/>
              <w:left w:val="nil"/>
              <w:bottom w:val="nil"/>
              <w:right w:val="nil"/>
            </w:tcBorders>
            <w:shd w:val="clear" w:color="auto" w:fill="auto"/>
            <w:vAlign w:val="bottom"/>
          </w:tcPr>
          <w:p w14:paraId="6FECBCFC" w14:textId="77777777" w:rsidR="003741D2" w:rsidRPr="00F959D0" w:rsidRDefault="003741D2"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5.463</w:t>
            </w:r>
          </w:p>
        </w:tc>
        <w:tc>
          <w:tcPr>
            <w:tcW w:w="297" w:type="pct"/>
            <w:tcBorders>
              <w:top w:val="nil"/>
              <w:left w:val="nil"/>
              <w:bottom w:val="nil"/>
              <w:right w:val="nil"/>
            </w:tcBorders>
            <w:shd w:val="clear" w:color="auto" w:fill="auto"/>
            <w:vAlign w:val="bottom"/>
          </w:tcPr>
          <w:p w14:paraId="681B0C00" w14:textId="77777777" w:rsidR="003741D2" w:rsidRPr="003A2506" w:rsidRDefault="003741D2"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179.318</w:t>
            </w:r>
          </w:p>
        </w:tc>
        <w:tc>
          <w:tcPr>
            <w:tcW w:w="312" w:type="pct"/>
            <w:tcBorders>
              <w:top w:val="nil"/>
              <w:left w:val="nil"/>
              <w:bottom w:val="nil"/>
              <w:right w:val="nil"/>
            </w:tcBorders>
            <w:shd w:val="clear" w:color="auto" w:fill="auto"/>
            <w:vAlign w:val="bottom"/>
          </w:tcPr>
          <w:p w14:paraId="70A850F6"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33" w:type="pct"/>
            <w:tcBorders>
              <w:top w:val="nil"/>
              <w:left w:val="nil"/>
              <w:bottom w:val="nil"/>
              <w:right w:val="nil"/>
            </w:tcBorders>
            <w:shd w:val="clear" w:color="auto" w:fill="auto"/>
            <w:vAlign w:val="bottom"/>
          </w:tcPr>
          <w:p w14:paraId="0436DBF7"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2.351.196 </w:t>
            </w:r>
          </w:p>
        </w:tc>
        <w:tc>
          <w:tcPr>
            <w:tcW w:w="328" w:type="pct"/>
            <w:tcBorders>
              <w:top w:val="nil"/>
              <w:left w:val="nil"/>
              <w:bottom w:val="nil"/>
              <w:right w:val="nil"/>
            </w:tcBorders>
            <w:vAlign w:val="bottom"/>
          </w:tcPr>
          <w:p w14:paraId="47A14A1A" w14:textId="77777777" w:rsidR="003741D2" w:rsidRPr="003A2506"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330.589 </w:t>
            </w:r>
          </w:p>
        </w:tc>
        <w:tc>
          <w:tcPr>
            <w:tcW w:w="329" w:type="pct"/>
            <w:tcBorders>
              <w:top w:val="nil"/>
              <w:left w:val="nil"/>
              <w:bottom w:val="nil"/>
              <w:right w:val="nil"/>
            </w:tcBorders>
            <w:vAlign w:val="bottom"/>
          </w:tcPr>
          <w:p w14:paraId="11A4AA34" w14:textId="77777777" w:rsidR="003741D2" w:rsidRPr="003A2506"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29.668 </w:t>
            </w:r>
          </w:p>
        </w:tc>
        <w:tc>
          <w:tcPr>
            <w:tcW w:w="329" w:type="pct"/>
            <w:tcBorders>
              <w:top w:val="nil"/>
              <w:left w:val="nil"/>
              <w:bottom w:val="nil"/>
              <w:right w:val="nil"/>
            </w:tcBorders>
            <w:vAlign w:val="bottom"/>
          </w:tcPr>
          <w:p w14:paraId="75224FCC" w14:textId="77777777" w:rsidR="003741D2" w:rsidRPr="003A2506"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8.431 </w:t>
            </w:r>
          </w:p>
        </w:tc>
        <w:tc>
          <w:tcPr>
            <w:tcW w:w="329" w:type="pct"/>
            <w:tcBorders>
              <w:top w:val="nil"/>
              <w:left w:val="nil"/>
              <w:bottom w:val="nil"/>
              <w:right w:val="nil"/>
            </w:tcBorders>
            <w:vAlign w:val="bottom"/>
          </w:tcPr>
          <w:p w14:paraId="405C4D2E" w14:textId="77777777" w:rsidR="003741D2" w:rsidRPr="00F959D0" w:rsidRDefault="003741D2"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66</w:t>
            </w:r>
          </w:p>
        </w:tc>
        <w:tc>
          <w:tcPr>
            <w:tcW w:w="330" w:type="pct"/>
            <w:tcBorders>
              <w:top w:val="nil"/>
              <w:left w:val="nil"/>
              <w:bottom w:val="nil"/>
              <w:right w:val="nil"/>
            </w:tcBorders>
            <w:vAlign w:val="bottom"/>
          </w:tcPr>
          <w:p w14:paraId="3009B228" w14:textId="77777777" w:rsidR="003741D2" w:rsidRPr="003A2506" w:rsidRDefault="003741D2"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9.546</w:t>
            </w:r>
          </w:p>
        </w:tc>
        <w:tc>
          <w:tcPr>
            <w:tcW w:w="371" w:type="pct"/>
            <w:tcBorders>
              <w:top w:val="nil"/>
              <w:left w:val="nil"/>
              <w:bottom w:val="nil"/>
              <w:right w:val="nil"/>
            </w:tcBorders>
            <w:vAlign w:val="bottom"/>
          </w:tcPr>
          <w:p w14:paraId="7F047734" w14:textId="77777777" w:rsidR="003741D2" w:rsidRPr="003A2506"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23" w:type="pct"/>
            <w:tcBorders>
              <w:top w:val="nil"/>
              <w:left w:val="nil"/>
              <w:bottom w:val="nil"/>
              <w:right w:val="nil"/>
            </w:tcBorders>
            <w:vAlign w:val="bottom"/>
          </w:tcPr>
          <w:p w14:paraId="695DFB73" w14:textId="77777777" w:rsidR="003741D2" w:rsidRPr="003A2506"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378.300 </w:t>
            </w:r>
          </w:p>
        </w:tc>
      </w:tr>
      <w:tr w:rsidR="003741D2" w:rsidRPr="00F12E3D" w14:paraId="380E17E7" w14:textId="77777777" w:rsidTr="00CA7F04">
        <w:trPr>
          <w:trHeight w:val="189"/>
        </w:trPr>
        <w:tc>
          <w:tcPr>
            <w:tcW w:w="538" w:type="pct"/>
            <w:vAlign w:val="bottom"/>
          </w:tcPr>
          <w:p w14:paraId="5403311D" w14:textId="77777777" w:rsidR="003741D2" w:rsidRPr="00F12E3D" w:rsidRDefault="003741D2" w:rsidP="00CA7F04">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Financijska imovina po fer vrijednosti kroz dobit ili gubitak</w:t>
            </w:r>
          </w:p>
        </w:tc>
        <w:tc>
          <w:tcPr>
            <w:tcW w:w="301" w:type="pct"/>
            <w:tcBorders>
              <w:top w:val="nil"/>
              <w:left w:val="nil"/>
              <w:bottom w:val="nil"/>
              <w:right w:val="nil"/>
            </w:tcBorders>
            <w:shd w:val="clear" w:color="auto" w:fill="auto"/>
            <w:vAlign w:val="bottom"/>
          </w:tcPr>
          <w:p w14:paraId="1980072B"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298" w:type="pct"/>
            <w:tcBorders>
              <w:top w:val="nil"/>
              <w:left w:val="nil"/>
              <w:bottom w:val="nil"/>
              <w:right w:val="nil"/>
            </w:tcBorders>
            <w:shd w:val="clear" w:color="auto" w:fill="auto"/>
            <w:vAlign w:val="bottom"/>
          </w:tcPr>
          <w:p w14:paraId="5F9FCA18"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295" w:type="pct"/>
            <w:tcBorders>
              <w:top w:val="nil"/>
              <w:left w:val="nil"/>
              <w:bottom w:val="nil"/>
              <w:right w:val="nil"/>
            </w:tcBorders>
            <w:shd w:val="clear" w:color="auto" w:fill="auto"/>
            <w:vAlign w:val="bottom"/>
          </w:tcPr>
          <w:p w14:paraId="1018F3E2"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287" w:type="pct"/>
            <w:tcBorders>
              <w:top w:val="nil"/>
              <w:left w:val="nil"/>
              <w:bottom w:val="nil"/>
              <w:right w:val="nil"/>
            </w:tcBorders>
            <w:shd w:val="clear" w:color="auto" w:fill="auto"/>
            <w:vAlign w:val="bottom"/>
          </w:tcPr>
          <w:p w14:paraId="2850CD91" w14:textId="77777777" w:rsidR="003741D2" w:rsidRPr="00F959D0"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297" w:type="pct"/>
            <w:tcBorders>
              <w:top w:val="nil"/>
              <w:left w:val="nil"/>
              <w:bottom w:val="nil"/>
              <w:right w:val="nil"/>
            </w:tcBorders>
            <w:shd w:val="clear" w:color="auto" w:fill="auto"/>
            <w:vAlign w:val="bottom"/>
          </w:tcPr>
          <w:p w14:paraId="3EEAEA73" w14:textId="77777777" w:rsidR="003741D2" w:rsidRPr="003A2506" w:rsidRDefault="003741D2"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55310F26"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33.709 </w:t>
            </w:r>
          </w:p>
        </w:tc>
        <w:tc>
          <w:tcPr>
            <w:tcW w:w="333" w:type="pct"/>
            <w:tcBorders>
              <w:top w:val="nil"/>
              <w:left w:val="nil"/>
              <w:bottom w:val="nil"/>
              <w:right w:val="nil"/>
            </w:tcBorders>
            <w:shd w:val="clear" w:color="auto" w:fill="auto"/>
            <w:vAlign w:val="bottom"/>
          </w:tcPr>
          <w:p w14:paraId="561F08AF"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33.709 </w:t>
            </w:r>
          </w:p>
        </w:tc>
        <w:tc>
          <w:tcPr>
            <w:tcW w:w="328" w:type="pct"/>
            <w:tcBorders>
              <w:top w:val="nil"/>
              <w:left w:val="nil"/>
              <w:bottom w:val="nil"/>
              <w:right w:val="nil"/>
            </w:tcBorders>
            <w:vAlign w:val="bottom"/>
          </w:tcPr>
          <w:p w14:paraId="7F9D0048" w14:textId="77777777" w:rsidR="003741D2" w:rsidRPr="003A2506"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4520BAC6" w14:textId="77777777" w:rsidR="003741D2" w:rsidRPr="003A2506"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13AA1812" w14:textId="77777777" w:rsidR="003741D2" w:rsidRPr="003A2506"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7F6A31B8" w14:textId="77777777" w:rsidR="003741D2" w:rsidRPr="00F959D0"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30" w:type="pct"/>
            <w:tcBorders>
              <w:top w:val="nil"/>
              <w:left w:val="nil"/>
              <w:bottom w:val="nil"/>
              <w:right w:val="nil"/>
            </w:tcBorders>
            <w:vAlign w:val="bottom"/>
          </w:tcPr>
          <w:p w14:paraId="28024F1D" w14:textId="77777777" w:rsidR="003741D2" w:rsidRPr="003A2506" w:rsidRDefault="003741D2"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shd w:val="clear" w:color="auto" w:fill="auto"/>
            <w:vAlign w:val="bottom"/>
          </w:tcPr>
          <w:p w14:paraId="7BA1DB55" w14:textId="77777777" w:rsidR="003741D2" w:rsidRPr="003A2506"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158 </w:t>
            </w:r>
          </w:p>
        </w:tc>
        <w:tc>
          <w:tcPr>
            <w:tcW w:w="323" w:type="pct"/>
            <w:tcBorders>
              <w:top w:val="nil"/>
              <w:left w:val="nil"/>
              <w:bottom w:val="nil"/>
              <w:right w:val="nil"/>
            </w:tcBorders>
            <w:shd w:val="clear" w:color="auto" w:fill="auto"/>
            <w:vAlign w:val="bottom"/>
          </w:tcPr>
          <w:p w14:paraId="0B6836E1" w14:textId="77777777" w:rsidR="003741D2" w:rsidRPr="003A2506"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158 </w:t>
            </w:r>
          </w:p>
        </w:tc>
      </w:tr>
      <w:tr w:rsidR="003741D2" w:rsidRPr="00F12E3D" w14:paraId="642D83ED" w14:textId="77777777" w:rsidTr="00CA7F04">
        <w:trPr>
          <w:trHeight w:val="189"/>
        </w:trPr>
        <w:tc>
          <w:tcPr>
            <w:tcW w:w="538" w:type="pct"/>
            <w:vAlign w:val="bottom"/>
          </w:tcPr>
          <w:p w14:paraId="0FB7BB4F" w14:textId="77777777" w:rsidR="003741D2" w:rsidRPr="00F12E3D" w:rsidRDefault="003741D2" w:rsidP="00CA7F04">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Financijska imovina po fer vrijednosti kroz ostalu sveobuhvatnu dobit</w:t>
            </w:r>
          </w:p>
        </w:tc>
        <w:tc>
          <w:tcPr>
            <w:tcW w:w="301" w:type="pct"/>
            <w:tcBorders>
              <w:top w:val="nil"/>
              <w:left w:val="nil"/>
              <w:bottom w:val="nil"/>
              <w:right w:val="nil"/>
            </w:tcBorders>
            <w:shd w:val="clear" w:color="auto" w:fill="auto"/>
            <w:vAlign w:val="bottom"/>
          </w:tcPr>
          <w:p w14:paraId="169976A1"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220.898 </w:t>
            </w:r>
          </w:p>
        </w:tc>
        <w:tc>
          <w:tcPr>
            <w:tcW w:w="298" w:type="pct"/>
            <w:tcBorders>
              <w:top w:val="nil"/>
              <w:left w:val="nil"/>
              <w:bottom w:val="nil"/>
              <w:right w:val="nil"/>
            </w:tcBorders>
            <w:shd w:val="clear" w:color="auto" w:fill="auto"/>
            <w:vAlign w:val="bottom"/>
          </w:tcPr>
          <w:p w14:paraId="1868C96B"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295" w:type="pct"/>
            <w:tcBorders>
              <w:top w:val="nil"/>
              <w:left w:val="nil"/>
              <w:bottom w:val="nil"/>
              <w:right w:val="nil"/>
            </w:tcBorders>
            <w:shd w:val="clear" w:color="auto" w:fill="auto"/>
            <w:vAlign w:val="bottom"/>
          </w:tcPr>
          <w:p w14:paraId="0703D9ED"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195 </w:t>
            </w:r>
          </w:p>
        </w:tc>
        <w:tc>
          <w:tcPr>
            <w:tcW w:w="287" w:type="pct"/>
            <w:tcBorders>
              <w:top w:val="nil"/>
              <w:left w:val="nil"/>
              <w:bottom w:val="nil"/>
              <w:right w:val="nil"/>
            </w:tcBorders>
            <w:shd w:val="clear" w:color="auto" w:fill="auto"/>
            <w:vAlign w:val="bottom"/>
          </w:tcPr>
          <w:p w14:paraId="39CC1A96" w14:textId="77777777" w:rsidR="003741D2" w:rsidRPr="00F959D0"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297" w:type="pct"/>
            <w:tcBorders>
              <w:top w:val="nil"/>
              <w:left w:val="nil"/>
              <w:bottom w:val="nil"/>
              <w:right w:val="nil"/>
            </w:tcBorders>
            <w:shd w:val="clear" w:color="auto" w:fill="auto"/>
            <w:vAlign w:val="bottom"/>
          </w:tcPr>
          <w:p w14:paraId="6624BCE3" w14:textId="77777777" w:rsidR="003741D2" w:rsidRPr="003A2506" w:rsidRDefault="003741D2"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2A6F4CD9"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33" w:type="pct"/>
            <w:tcBorders>
              <w:top w:val="nil"/>
              <w:left w:val="nil"/>
              <w:bottom w:val="nil"/>
              <w:right w:val="nil"/>
            </w:tcBorders>
            <w:shd w:val="clear" w:color="auto" w:fill="auto"/>
            <w:vAlign w:val="bottom"/>
          </w:tcPr>
          <w:p w14:paraId="0AE3E864"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221.093 </w:t>
            </w:r>
          </w:p>
        </w:tc>
        <w:tc>
          <w:tcPr>
            <w:tcW w:w="328" w:type="pct"/>
            <w:tcBorders>
              <w:top w:val="nil"/>
              <w:left w:val="nil"/>
              <w:bottom w:val="nil"/>
              <w:right w:val="nil"/>
            </w:tcBorders>
            <w:shd w:val="clear" w:color="auto" w:fill="auto"/>
            <w:vAlign w:val="bottom"/>
          </w:tcPr>
          <w:p w14:paraId="645709B6" w14:textId="77777777" w:rsidR="003741D2" w:rsidRPr="003A2506"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220.898 </w:t>
            </w:r>
          </w:p>
        </w:tc>
        <w:tc>
          <w:tcPr>
            <w:tcW w:w="329" w:type="pct"/>
            <w:tcBorders>
              <w:top w:val="nil"/>
              <w:left w:val="nil"/>
              <w:bottom w:val="nil"/>
              <w:right w:val="nil"/>
            </w:tcBorders>
            <w:shd w:val="clear" w:color="auto" w:fill="auto"/>
            <w:vAlign w:val="bottom"/>
          </w:tcPr>
          <w:p w14:paraId="7A1C6C98" w14:textId="77777777" w:rsidR="003741D2" w:rsidRPr="003A2506"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29" w:type="pct"/>
            <w:tcBorders>
              <w:top w:val="nil"/>
              <w:left w:val="nil"/>
              <w:bottom w:val="nil"/>
              <w:right w:val="nil"/>
            </w:tcBorders>
            <w:shd w:val="clear" w:color="auto" w:fill="auto"/>
            <w:vAlign w:val="bottom"/>
          </w:tcPr>
          <w:p w14:paraId="2F7F0F7C" w14:textId="77777777" w:rsidR="003741D2" w:rsidRPr="003A2506"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195 </w:t>
            </w:r>
          </w:p>
        </w:tc>
        <w:tc>
          <w:tcPr>
            <w:tcW w:w="329" w:type="pct"/>
            <w:tcBorders>
              <w:top w:val="nil"/>
              <w:left w:val="nil"/>
              <w:bottom w:val="nil"/>
              <w:right w:val="nil"/>
            </w:tcBorders>
            <w:shd w:val="clear" w:color="auto" w:fill="auto"/>
            <w:vAlign w:val="bottom"/>
          </w:tcPr>
          <w:p w14:paraId="3881E316" w14:textId="77777777" w:rsidR="003741D2" w:rsidRPr="00F959D0"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30" w:type="pct"/>
            <w:tcBorders>
              <w:top w:val="nil"/>
              <w:left w:val="nil"/>
              <w:bottom w:val="nil"/>
              <w:right w:val="nil"/>
            </w:tcBorders>
            <w:shd w:val="clear" w:color="auto" w:fill="auto"/>
            <w:vAlign w:val="bottom"/>
          </w:tcPr>
          <w:p w14:paraId="69F19111" w14:textId="77777777" w:rsidR="003741D2" w:rsidRPr="003A2506" w:rsidRDefault="003741D2"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shd w:val="clear" w:color="auto" w:fill="auto"/>
            <w:vAlign w:val="bottom"/>
          </w:tcPr>
          <w:p w14:paraId="73571D5A" w14:textId="77777777" w:rsidR="003741D2" w:rsidRPr="003A2506"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23" w:type="pct"/>
            <w:tcBorders>
              <w:top w:val="nil"/>
              <w:left w:val="nil"/>
              <w:bottom w:val="nil"/>
              <w:right w:val="nil"/>
            </w:tcBorders>
            <w:shd w:val="clear" w:color="auto" w:fill="auto"/>
            <w:vAlign w:val="bottom"/>
          </w:tcPr>
          <w:p w14:paraId="700E0046" w14:textId="77777777" w:rsidR="003741D2" w:rsidRPr="003A2506"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221.093 </w:t>
            </w:r>
          </w:p>
        </w:tc>
      </w:tr>
      <w:tr w:rsidR="003741D2" w:rsidRPr="00F12E3D" w14:paraId="368828BB" w14:textId="77777777" w:rsidTr="00CA7F04">
        <w:trPr>
          <w:trHeight w:val="189"/>
        </w:trPr>
        <w:tc>
          <w:tcPr>
            <w:tcW w:w="538" w:type="pct"/>
            <w:vAlign w:val="bottom"/>
          </w:tcPr>
          <w:p w14:paraId="412AF6BC" w14:textId="77777777" w:rsidR="003741D2" w:rsidRPr="00F12E3D" w:rsidRDefault="003741D2" w:rsidP="00CA7F04">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Ostala imovina</w:t>
            </w:r>
          </w:p>
        </w:tc>
        <w:tc>
          <w:tcPr>
            <w:tcW w:w="301" w:type="pct"/>
            <w:tcBorders>
              <w:top w:val="nil"/>
              <w:left w:val="nil"/>
              <w:bottom w:val="single" w:sz="8" w:space="0" w:color="auto"/>
              <w:right w:val="nil"/>
            </w:tcBorders>
            <w:shd w:val="clear" w:color="auto" w:fill="auto"/>
            <w:vAlign w:val="bottom"/>
          </w:tcPr>
          <w:p w14:paraId="284869C2"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857 </w:t>
            </w:r>
          </w:p>
        </w:tc>
        <w:tc>
          <w:tcPr>
            <w:tcW w:w="298" w:type="pct"/>
            <w:tcBorders>
              <w:top w:val="nil"/>
              <w:left w:val="nil"/>
              <w:bottom w:val="single" w:sz="8" w:space="0" w:color="auto"/>
              <w:right w:val="nil"/>
            </w:tcBorders>
            <w:shd w:val="clear" w:color="auto" w:fill="auto"/>
            <w:vAlign w:val="bottom"/>
          </w:tcPr>
          <w:p w14:paraId="7D0DFAAF"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11 </w:t>
            </w:r>
          </w:p>
        </w:tc>
        <w:tc>
          <w:tcPr>
            <w:tcW w:w="295" w:type="pct"/>
            <w:tcBorders>
              <w:top w:val="nil"/>
              <w:left w:val="nil"/>
              <w:bottom w:val="single" w:sz="8" w:space="0" w:color="auto"/>
              <w:right w:val="nil"/>
            </w:tcBorders>
            <w:shd w:val="clear" w:color="auto" w:fill="auto"/>
            <w:vAlign w:val="bottom"/>
          </w:tcPr>
          <w:p w14:paraId="1C570928"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205 </w:t>
            </w:r>
          </w:p>
        </w:tc>
        <w:tc>
          <w:tcPr>
            <w:tcW w:w="287" w:type="pct"/>
            <w:tcBorders>
              <w:top w:val="nil"/>
              <w:left w:val="nil"/>
              <w:bottom w:val="single" w:sz="8" w:space="0" w:color="auto"/>
              <w:right w:val="nil"/>
            </w:tcBorders>
            <w:shd w:val="clear" w:color="auto" w:fill="auto"/>
            <w:vAlign w:val="bottom"/>
          </w:tcPr>
          <w:p w14:paraId="5207077E" w14:textId="77777777" w:rsidR="003741D2" w:rsidRPr="00F959D0"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w:t>
            </w:r>
          </w:p>
        </w:tc>
        <w:tc>
          <w:tcPr>
            <w:tcW w:w="297" w:type="pct"/>
            <w:tcBorders>
              <w:top w:val="nil"/>
              <w:left w:val="nil"/>
              <w:bottom w:val="single" w:sz="8" w:space="0" w:color="auto"/>
              <w:right w:val="nil"/>
            </w:tcBorders>
            <w:shd w:val="clear" w:color="auto" w:fill="auto"/>
            <w:vAlign w:val="bottom"/>
          </w:tcPr>
          <w:p w14:paraId="72B73CF2" w14:textId="77777777" w:rsidR="003741D2" w:rsidRPr="003A2506" w:rsidRDefault="003741D2"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7</w:t>
            </w:r>
          </w:p>
        </w:tc>
        <w:tc>
          <w:tcPr>
            <w:tcW w:w="312" w:type="pct"/>
            <w:tcBorders>
              <w:top w:val="nil"/>
              <w:left w:val="nil"/>
              <w:bottom w:val="single" w:sz="8" w:space="0" w:color="auto"/>
              <w:right w:val="nil"/>
            </w:tcBorders>
            <w:shd w:val="clear" w:color="auto" w:fill="auto"/>
            <w:vAlign w:val="bottom"/>
          </w:tcPr>
          <w:p w14:paraId="7AA9F763"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33" w:type="pct"/>
            <w:tcBorders>
              <w:top w:val="nil"/>
              <w:left w:val="nil"/>
              <w:bottom w:val="single" w:sz="8" w:space="0" w:color="auto"/>
              <w:right w:val="nil"/>
            </w:tcBorders>
            <w:shd w:val="clear" w:color="auto" w:fill="auto"/>
            <w:vAlign w:val="bottom"/>
          </w:tcPr>
          <w:p w14:paraId="65848B52"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1.080 </w:t>
            </w:r>
          </w:p>
        </w:tc>
        <w:tc>
          <w:tcPr>
            <w:tcW w:w="328" w:type="pct"/>
            <w:tcBorders>
              <w:top w:val="nil"/>
              <w:left w:val="nil"/>
              <w:bottom w:val="single" w:sz="8" w:space="0" w:color="auto"/>
              <w:right w:val="nil"/>
            </w:tcBorders>
            <w:vAlign w:val="bottom"/>
          </w:tcPr>
          <w:p w14:paraId="28E1BA75" w14:textId="77777777" w:rsidR="003741D2" w:rsidRPr="003A2506"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110 </w:t>
            </w:r>
          </w:p>
        </w:tc>
        <w:tc>
          <w:tcPr>
            <w:tcW w:w="329" w:type="pct"/>
            <w:tcBorders>
              <w:top w:val="nil"/>
              <w:left w:val="nil"/>
              <w:bottom w:val="single" w:sz="8" w:space="0" w:color="auto"/>
              <w:right w:val="nil"/>
            </w:tcBorders>
            <w:vAlign w:val="bottom"/>
          </w:tcPr>
          <w:p w14:paraId="76BAE308" w14:textId="77777777" w:rsidR="003741D2" w:rsidRPr="003A2506"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10 </w:t>
            </w:r>
          </w:p>
        </w:tc>
        <w:tc>
          <w:tcPr>
            <w:tcW w:w="329" w:type="pct"/>
            <w:tcBorders>
              <w:top w:val="nil"/>
              <w:left w:val="nil"/>
              <w:bottom w:val="single" w:sz="8" w:space="0" w:color="auto"/>
              <w:right w:val="nil"/>
            </w:tcBorders>
            <w:vAlign w:val="bottom"/>
          </w:tcPr>
          <w:p w14:paraId="7AA4A383" w14:textId="77777777" w:rsidR="003741D2" w:rsidRPr="003A2506"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79 </w:t>
            </w:r>
          </w:p>
        </w:tc>
        <w:tc>
          <w:tcPr>
            <w:tcW w:w="329" w:type="pct"/>
            <w:tcBorders>
              <w:top w:val="nil"/>
              <w:left w:val="nil"/>
              <w:bottom w:val="single" w:sz="8" w:space="0" w:color="auto"/>
              <w:right w:val="nil"/>
            </w:tcBorders>
            <w:vAlign w:val="bottom"/>
          </w:tcPr>
          <w:p w14:paraId="1921D14D" w14:textId="77777777" w:rsidR="003741D2" w:rsidRPr="00F959D0" w:rsidRDefault="003741D2"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r w:rsidRPr="00F959D0">
              <w:rPr>
                <w:rFonts w:ascii="Arial" w:eastAsia="Calibri" w:hAnsi="Arial" w:cs="Arial"/>
                <w:color w:val="000000" w:themeColor="text1"/>
                <w:sz w:val="14"/>
                <w:szCs w:val="14"/>
              </w:rPr>
              <w:t xml:space="preserve"> </w:t>
            </w:r>
          </w:p>
        </w:tc>
        <w:tc>
          <w:tcPr>
            <w:tcW w:w="330" w:type="pct"/>
            <w:tcBorders>
              <w:top w:val="nil"/>
              <w:left w:val="nil"/>
              <w:bottom w:val="single" w:sz="8" w:space="0" w:color="auto"/>
              <w:right w:val="nil"/>
            </w:tcBorders>
            <w:vAlign w:val="bottom"/>
          </w:tcPr>
          <w:p w14:paraId="4167426D" w14:textId="77777777" w:rsidR="003741D2" w:rsidRPr="003A2506" w:rsidRDefault="003741D2"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8</w:t>
            </w:r>
          </w:p>
        </w:tc>
        <w:tc>
          <w:tcPr>
            <w:tcW w:w="371" w:type="pct"/>
            <w:tcBorders>
              <w:top w:val="nil"/>
              <w:left w:val="nil"/>
              <w:bottom w:val="single" w:sz="8" w:space="0" w:color="auto"/>
              <w:right w:val="nil"/>
            </w:tcBorders>
            <w:vAlign w:val="bottom"/>
          </w:tcPr>
          <w:p w14:paraId="316C2611" w14:textId="77777777" w:rsidR="003741D2" w:rsidRPr="003A2506" w:rsidRDefault="003741D2"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3" w:type="pct"/>
            <w:tcBorders>
              <w:top w:val="nil"/>
              <w:left w:val="nil"/>
              <w:bottom w:val="single" w:sz="8" w:space="0" w:color="auto"/>
              <w:right w:val="nil"/>
            </w:tcBorders>
            <w:vAlign w:val="bottom"/>
          </w:tcPr>
          <w:p w14:paraId="1CFD252E" w14:textId="77777777" w:rsidR="003741D2" w:rsidRPr="003A2506" w:rsidRDefault="003741D2"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207</w:t>
            </w:r>
          </w:p>
        </w:tc>
      </w:tr>
      <w:tr w:rsidR="003741D2" w:rsidRPr="00F12E3D" w14:paraId="412EE2F8" w14:textId="77777777" w:rsidTr="00FD76CA">
        <w:trPr>
          <w:trHeight w:val="170"/>
        </w:trPr>
        <w:tc>
          <w:tcPr>
            <w:tcW w:w="538" w:type="pct"/>
            <w:vAlign w:val="bottom"/>
          </w:tcPr>
          <w:p w14:paraId="208F71AA" w14:textId="77777777" w:rsidR="003741D2" w:rsidRPr="00F12E3D" w:rsidRDefault="003741D2" w:rsidP="00FD76CA">
            <w:pPr>
              <w:tabs>
                <w:tab w:val="right" w:pos="1202"/>
              </w:tabs>
              <w:outlineLvl w:val="0"/>
              <w:rPr>
                <w:rFonts w:ascii="Arial" w:eastAsia="Calibri" w:hAnsi="Arial" w:cs="Arial"/>
                <w:b/>
                <w:bCs/>
                <w:color w:val="000000" w:themeColor="text1"/>
                <w:sz w:val="14"/>
                <w:szCs w:val="14"/>
              </w:rPr>
            </w:pPr>
            <w:r w:rsidRPr="00F12E3D">
              <w:rPr>
                <w:rFonts w:ascii="Arial" w:eastAsia="Calibri" w:hAnsi="Arial" w:cs="Arial"/>
                <w:b/>
                <w:bCs/>
                <w:color w:val="000000" w:themeColor="text1"/>
                <w:sz w:val="14"/>
                <w:szCs w:val="14"/>
              </w:rPr>
              <w:t>Ukupno</w:t>
            </w:r>
          </w:p>
        </w:tc>
        <w:tc>
          <w:tcPr>
            <w:tcW w:w="301" w:type="pct"/>
            <w:tcBorders>
              <w:top w:val="nil"/>
              <w:left w:val="nil"/>
              <w:bottom w:val="single" w:sz="12" w:space="0" w:color="auto"/>
              <w:right w:val="nil"/>
            </w:tcBorders>
            <w:shd w:val="clear" w:color="auto" w:fill="auto"/>
            <w:vAlign w:val="bottom"/>
          </w:tcPr>
          <w:p w14:paraId="3A085788" w14:textId="77777777" w:rsidR="003741D2" w:rsidRPr="003A2506" w:rsidRDefault="003741D2" w:rsidP="00FD76CA">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3.340.377 </w:t>
            </w:r>
          </w:p>
        </w:tc>
        <w:tc>
          <w:tcPr>
            <w:tcW w:w="298" w:type="pct"/>
            <w:tcBorders>
              <w:top w:val="nil"/>
              <w:left w:val="nil"/>
              <w:bottom w:val="single" w:sz="12" w:space="0" w:color="auto"/>
              <w:right w:val="nil"/>
            </w:tcBorders>
            <w:shd w:val="clear" w:color="auto" w:fill="auto"/>
            <w:vAlign w:val="bottom"/>
          </w:tcPr>
          <w:p w14:paraId="6D12CEE6" w14:textId="77777777" w:rsidR="003741D2" w:rsidRPr="003A2506" w:rsidRDefault="003741D2" w:rsidP="00FD76CA">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274.729 </w:t>
            </w:r>
          </w:p>
        </w:tc>
        <w:tc>
          <w:tcPr>
            <w:tcW w:w="295" w:type="pct"/>
            <w:tcBorders>
              <w:top w:val="nil"/>
              <w:left w:val="nil"/>
              <w:bottom w:val="single" w:sz="12" w:space="0" w:color="auto"/>
              <w:right w:val="nil"/>
            </w:tcBorders>
            <w:shd w:val="clear" w:color="auto" w:fill="auto"/>
            <w:vAlign w:val="bottom"/>
          </w:tcPr>
          <w:p w14:paraId="05984D3D" w14:textId="77777777" w:rsidR="003741D2" w:rsidRPr="003A2506" w:rsidRDefault="003741D2" w:rsidP="00FD76CA">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133.355 </w:t>
            </w:r>
          </w:p>
        </w:tc>
        <w:tc>
          <w:tcPr>
            <w:tcW w:w="287" w:type="pct"/>
            <w:tcBorders>
              <w:top w:val="nil"/>
              <w:left w:val="nil"/>
              <w:bottom w:val="single" w:sz="12" w:space="0" w:color="auto"/>
              <w:right w:val="nil"/>
            </w:tcBorders>
            <w:shd w:val="clear" w:color="auto" w:fill="auto"/>
            <w:vAlign w:val="bottom"/>
          </w:tcPr>
          <w:p w14:paraId="3ED7BE0E" w14:textId="77777777" w:rsidR="003741D2" w:rsidRPr="00F959D0" w:rsidRDefault="003741D2" w:rsidP="00FD76CA">
            <w:pPr>
              <w:jc w:val="right"/>
              <w:rPr>
                <w:rFonts w:ascii="Arial" w:eastAsia="Calibri" w:hAnsi="Arial" w:cs="Arial"/>
                <w:b/>
                <w:bCs/>
                <w:sz w:val="14"/>
                <w:szCs w:val="14"/>
              </w:rPr>
            </w:pPr>
            <w:r>
              <w:rPr>
                <w:rFonts w:ascii="Arial" w:eastAsia="Calibri" w:hAnsi="Arial" w:cs="Arial"/>
                <w:b/>
                <w:bCs/>
                <w:color w:val="000000" w:themeColor="text1"/>
                <w:sz w:val="14"/>
                <w:szCs w:val="14"/>
              </w:rPr>
              <w:t>5.463</w:t>
            </w:r>
            <w:r w:rsidRPr="00F959D0">
              <w:rPr>
                <w:rFonts w:ascii="Arial" w:eastAsia="Calibri" w:hAnsi="Arial" w:cs="Arial"/>
                <w:b/>
                <w:bCs/>
                <w:color w:val="000000" w:themeColor="text1"/>
                <w:sz w:val="14"/>
                <w:szCs w:val="14"/>
              </w:rPr>
              <w:t xml:space="preserve"> </w:t>
            </w:r>
          </w:p>
        </w:tc>
        <w:tc>
          <w:tcPr>
            <w:tcW w:w="297" w:type="pct"/>
            <w:tcBorders>
              <w:top w:val="nil"/>
              <w:left w:val="nil"/>
              <w:bottom w:val="single" w:sz="12" w:space="0" w:color="auto"/>
              <w:right w:val="nil"/>
            </w:tcBorders>
            <w:shd w:val="clear" w:color="auto" w:fill="auto"/>
            <w:vAlign w:val="bottom"/>
          </w:tcPr>
          <w:p w14:paraId="75A2EEF5" w14:textId="77777777" w:rsidR="003741D2" w:rsidRPr="003A2506" w:rsidRDefault="003741D2" w:rsidP="00FD76CA">
            <w:pPr>
              <w:jc w:val="right"/>
              <w:rPr>
                <w:rFonts w:ascii="Arial" w:eastAsia="Calibri" w:hAnsi="Arial" w:cs="Arial"/>
                <w:b/>
                <w:bCs/>
                <w:sz w:val="14"/>
                <w:szCs w:val="14"/>
              </w:rPr>
            </w:pPr>
            <w:r>
              <w:rPr>
                <w:rFonts w:ascii="Arial" w:eastAsia="Calibri" w:hAnsi="Arial" w:cs="Arial"/>
                <w:b/>
                <w:bCs/>
                <w:sz w:val="14"/>
                <w:szCs w:val="14"/>
              </w:rPr>
              <w:t>179.325</w:t>
            </w:r>
          </w:p>
        </w:tc>
        <w:tc>
          <w:tcPr>
            <w:tcW w:w="312" w:type="pct"/>
            <w:tcBorders>
              <w:top w:val="nil"/>
              <w:left w:val="nil"/>
              <w:bottom w:val="single" w:sz="12" w:space="0" w:color="auto"/>
              <w:right w:val="nil"/>
            </w:tcBorders>
            <w:shd w:val="clear" w:color="auto" w:fill="auto"/>
            <w:vAlign w:val="bottom"/>
          </w:tcPr>
          <w:p w14:paraId="06B61EF9" w14:textId="77777777" w:rsidR="003741D2" w:rsidRPr="003A2506" w:rsidRDefault="003741D2" w:rsidP="00FD76CA">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33.709 </w:t>
            </w:r>
          </w:p>
        </w:tc>
        <w:tc>
          <w:tcPr>
            <w:tcW w:w="333" w:type="pct"/>
            <w:tcBorders>
              <w:top w:val="nil"/>
              <w:left w:val="nil"/>
              <w:bottom w:val="single" w:sz="12" w:space="0" w:color="auto"/>
              <w:right w:val="nil"/>
            </w:tcBorders>
            <w:shd w:val="clear" w:color="auto" w:fill="auto"/>
            <w:vAlign w:val="bottom"/>
          </w:tcPr>
          <w:p w14:paraId="13CEF493" w14:textId="77777777" w:rsidR="003741D2" w:rsidRPr="003A2506" w:rsidRDefault="003741D2" w:rsidP="00FD76CA">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3.966.958 </w:t>
            </w:r>
          </w:p>
        </w:tc>
        <w:tc>
          <w:tcPr>
            <w:tcW w:w="328" w:type="pct"/>
            <w:tcBorders>
              <w:top w:val="nil"/>
              <w:left w:val="nil"/>
              <w:bottom w:val="single" w:sz="12" w:space="0" w:color="auto"/>
              <w:right w:val="nil"/>
            </w:tcBorders>
            <w:vAlign w:val="bottom"/>
          </w:tcPr>
          <w:p w14:paraId="05897523" w14:textId="77777777" w:rsidR="003741D2" w:rsidRPr="00F959D0" w:rsidRDefault="003741D2" w:rsidP="00FD76CA">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551.597 </w:t>
            </w:r>
          </w:p>
        </w:tc>
        <w:tc>
          <w:tcPr>
            <w:tcW w:w="329" w:type="pct"/>
            <w:tcBorders>
              <w:top w:val="nil"/>
              <w:left w:val="nil"/>
              <w:bottom w:val="single" w:sz="12" w:space="0" w:color="auto"/>
              <w:right w:val="nil"/>
            </w:tcBorders>
            <w:vAlign w:val="bottom"/>
          </w:tcPr>
          <w:p w14:paraId="055F6901" w14:textId="77777777" w:rsidR="003741D2" w:rsidRPr="00F959D0" w:rsidRDefault="003741D2" w:rsidP="00FD76CA">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29.678 </w:t>
            </w:r>
          </w:p>
        </w:tc>
        <w:tc>
          <w:tcPr>
            <w:tcW w:w="329" w:type="pct"/>
            <w:tcBorders>
              <w:top w:val="nil"/>
              <w:left w:val="nil"/>
              <w:bottom w:val="single" w:sz="12" w:space="0" w:color="auto"/>
              <w:right w:val="nil"/>
            </w:tcBorders>
            <w:vAlign w:val="bottom"/>
          </w:tcPr>
          <w:p w14:paraId="384C0210" w14:textId="77777777" w:rsidR="003741D2" w:rsidRPr="00F959D0" w:rsidRDefault="003741D2" w:rsidP="00FD76CA">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8.705 </w:t>
            </w:r>
          </w:p>
        </w:tc>
        <w:tc>
          <w:tcPr>
            <w:tcW w:w="329" w:type="pct"/>
            <w:tcBorders>
              <w:top w:val="nil"/>
              <w:left w:val="nil"/>
              <w:bottom w:val="single" w:sz="12" w:space="0" w:color="auto"/>
              <w:right w:val="nil"/>
            </w:tcBorders>
            <w:vAlign w:val="bottom"/>
          </w:tcPr>
          <w:p w14:paraId="56F7EA37" w14:textId="77777777" w:rsidR="003741D2" w:rsidRPr="00F959D0" w:rsidRDefault="003741D2" w:rsidP="00FD76CA">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66</w:t>
            </w:r>
          </w:p>
        </w:tc>
        <w:tc>
          <w:tcPr>
            <w:tcW w:w="330" w:type="pct"/>
            <w:tcBorders>
              <w:top w:val="nil"/>
              <w:left w:val="nil"/>
              <w:bottom w:val="single" w:sz="12" w:space="0" w:color="auto"/>
              <w:right w:val="nil"/>
            </w:tcBorders>
            <w:shd w:val="clear" w:color="auto" w:fill="auto"/>
            <w:vAlign w:val="bottom"/>
          </w:tcPr>
          <w:p w14:paraId="7FE127FA" w14:textId="77777777" w:rsidR="003741D2" w:rsidRPr="00F959D0" w:rsidRDefault="003741D2" w:rsidP="00FD76CA">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9.554</w:t>
            </w:r>
          </w:p>
        </w:tc>
        <w:tc>
          <w:tcPr>
            <w:tcW w:w="371" w:type="pct"/>
            <w:tcBorders>
              <w:top w:val="nil"/>
              <w:left w:val="nil"/>
              <w:bottom w:val="single" w:sz="12" w:space="0" w:color="auto"/>
              <w:right w:val="nil"/>
            </w:tcBorders>
            <w:vAlign w:val="bottom"/>
          </w:tcPr>
          <w:p w14:paraId="7BC7A684" w14:textId="77777777" w:rsidR="003741D2" w:rsidRPr="00F959D0" w:rsidRDefault="003741D2" w:rsidP="00FD76CA">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158 </w:t>
            </w:r>
          </w:p>
        </w:tc>
        <w:tc>
          <w:tcPr>
            <w:tcW w:w="323" w:type="pct"/>
            <w:tcBorders>
              <w:top w:val="nil"/>
              <w:left w:val="nil"/>
              <w:bottom w:val="single" w:sz="12" w:space="0" w:color="auto"/>
              <w:right w:val="nil"/>
            </w:tcBorders>
            <w:vAlign w:val="bottom"/>
          </w:tcPr>
          <w:p w14:paraId="354C0A2B" w14:textId="77777777" w:rsidR="003741D2" w:rsidRPr="00F959D0" w:rsidRDefault="003741D2" w:rsidP="00FD76CA">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599.758 </w:t>
            </w:r>
          </w:p>
        </w:tc>
      </w:tr>
      <w:tr w:rsidR="003741D2" w:rsidRPr="00F12E3D" w14:paraId="03FF4950" w14:textId="77777777" w:rsidTr="00CA7F04">
        <w:trPr>
          <w:trHeight w:val="57"/>
        </w:trPr>
        <w:tc>
          <w:tcPr>
            <w:tcW w:w="538" w:type="pct"/>
            <w:vAlign w:val="bottom"/>
          </w:tcPr>
          <w:p w14:paraId="3EC62BA5" w14:textId="77777777" w:rsidR="003741D2" w:rsidRPr="003A2506" w:rsidRDefault="003741D2" w:rsidP="00CA7F04">
            <w:pPr>
              <w:tabs>
                <w:tab w:val="right" w:pos="1202"/>
              </w:tabs>
              <w:outlineLvl w:val="0"/>
              <w:rPr>
                <w:rFonts w:ascii="Arial" w:eastAsia="Calibri" w:hAnsi="Arial" w:cs="Arial"/>
                <w:b/>
                <w:bCs/>
                <w:color w:val="000000" w:themeColor="text1"/>
                <w:sz w:val="14"/>
                <w:szCs w:val="14"/>
              </w:rPr>
            </w:pPr>
            <w:r w:rsidRPr="003A2506">
              <w:rPr>
                <w:rFonts w:ascii="Arial" w:eastAsia="Calibri" w:hAnsi="Arial" w:cs="Arial"/>
                <w:b/>
                <w:bCs/>
                <w:color w:val="000000" w:themeColor="text1"/>
                <w:sz w:val="14"/>
                <w:szCs w:val="14"/>
              </w:rPr>
              <w:t>Garancije i preuzete obveze</w:t>
            </w:r>
          </w:p>
        </w:tc>
        <w:tc>
          <w:tcPr>
            <w:tcW w:w="301" w:type="pct"/>
            <w:tcBorders>
              <w:top w:val="nil"/>
              <w:left w:val="nil"/>
              <w:bottom w:val="nil"/>
              <w:right w:val="nil"/>
            </w:tcBorders>
            <w:shd w:val="clear" w:color="auto" w:fill="auto"/>
            <w:vAlign w:val="bottom"/>
          </w:tcPr>
          <w:p w14:paraId="538533D4" w14:textId="77777777" w:rsidR="003741D2" w:rsidRPr="003A2506" w:rsidRDefault="003741D2" w:rsidP="00CA7F04">
            <w:pPr>
              <w:jc w:val="right"/>
              <w:rPr>
                <w:rFonts w:ascii="Arial" w:eastAsia="Calibri" w:hAnsi="Arial" w:cs="Arial"/>
                <w:color w:val="000000" w:themeColor="text1"/>
                <w:sz w:val="14"/>
                <w:szCs w:val="14"/>
              </w:rPr>
            </w:pPr>
          </w:p>
        </w:tc>
        <w:tc>
          <w:tcPr>
            <w:tcW w:w="298" w:type="pct"/>
            <w:tcBorders>
              <w:top w:val="nil"/>
              <w:left w:val="nil"/>
              <w:bottom w:val="nil"/>
              <w:right w:val="nil"/>
            </w:tcBorders>
            <w:shd w:val="clear" w:color="auto" w:fill="auto"/>
            <w:vAlign w:val="bottom"/>
          </w:tcPr>
          <w:p w14:paraId="38223285" w14:textId="77777777" w:rsidR="003741D2" w:rsidRPr="003A2506" w:rsidRDefault="003741D2" w:rsidP="00CA7F04">
            <w:pPr>
              <w:jc w:val="right"/>
              <w:rPr>
                <w:rFonts w:ascii="Arial" w:eastAsia="Calibri" w:hAnsi="Arial" w:cs="Arial"/>
                <w:color w:val="000000" w:themeColor="text1"/>
                <w:sz w:val="14"/>
                <w:szCs w:val="14"/>
              </w:rPr>
            </w:pPr>
          </w:p>
        </w:tc>
        <w:tc>
          <w:tcPr>
            <w:tcW w:w="295" w:type="pct"/>
            <w:tcBorders>
              <w:top w:val="nil"/>
              <w:left w:val="nil"/>
              <w:bottom w:val="nil"/>
              <w:right w:val="nil"/>
            </w:tcBorders>
            <w:shd w:val="clear" w:color="auto" w:fill="auto"/>
            <w:vAlign w:val="bottom"/>
          </w:tcPr>
          <w:p w14:paraId="12F8DE61" w14:textId="77777777" w:rsidR="003741D2" w:rsidRPr="003A2506" w:rsidRDefault="003741D2" w:rsidP="00CA7F04">
            <w:pPr>
              <w:jc w:val="right"/>
              <w:rPr>
                <w:rFonts w:ascii="Arial" w:eastAsia="Calibri" w:hAnsi="Arial" w:cs="Arial"/>
                <w:color w:val="000000" w:themeColor="text1"/>
                <w:sz w:val="14"/>
                <w:szCs w:val="14"/>
              </w:rPr>
            </w:pPr>
          </w:p>
        </w:tc>
        <w:tc>
          <w:tcPr>
            <w:tcW w:w="287" w:type="pct"/>
            <w:tcBorders>
              <w:top w:val="nil"/>
              <w:left w:val="nil"/>
              <w:bottom w:val="nil"/>
              <w:right w:val="nil"/>
            </w:tcBorders>
            <w:shd w:val="clear" w:color="auto" w:fill="auto"/>
            <w:vAlign w:val="bottom"/>
          </w:tcPr>
          <w:p w14:paraId="7077DC58" w14:textId="77777777" w:rsidR="003741D2" w:rsidRPr="009C51A3" w:rsidRDefault="003741D2" w:rsidP="00CA7F04">
            <w:pPr>
              <w:jc w:val="right"/>
              <w:rPr>
                <w:rFonts w:ascii="Arial" w:eastAsia="Calibri" w:hAnsi="Arial" w:cs="Arial"/>
                <w:color w:val="000000" w:themeColor="text1"/>
                <w:sz w:val="14"/>
                <w:szCs w:val="14"/>
              </w:rPr>
            </w:pPr>
          </w:p>
        </w:tc>
        <w:tc>
          <w:tcPr>
            <w:tcW w:w="297" w:type="pct"/>
            <w:tcBorders>
              <w:top w:val="nil"/>
              <w:left w:val="nil"/>
              <w:bottom w:val="nil"/>
              <w:right w:val="nil"/>
            </w:tcBorders>
            <w:shd w:val="clear" w:color="auto" w:fill="auto"/>
            <w:vAlign w:val="bottom"/>
          </w:tcPr>
          <w:p w14:paraId="414D0325" w14:textId="77777777" w:rsidR="003741D2" w:rsidRPr="003A2506" w:rsidRDefault="003741D2" w:rsidP="00CA7F04">
            <w:pPr>
              <w:jc w:val="right"/>
              <w:rPr>
                <w:rFonts w:ascii="Arial" w:eastAsia="Calibri" w:hAnsi="Arial" w:cs="Arial"/>
                <w:color w:val="000000" w:themeColor="text1"/>
                <w:sz w:val="14"/>
                <w:szCs w:val="14"/>
              </w:rPr>
            </w:pPr>
          </w:p>
        </w:tc>
        <w:tc>
          <w:tcPr>
            <w:tcW w:w="312" w:type="pct"/>
            <w:tcBorders>
              <w:top w:val="nil"/>
              <w:left w:val="nil"/>
              <w:bottom w:val="nil"/>
              <w:right w:val="nil"/>
            </w:tcBorders>
            <w:shd w:val="clear" w:color="auto" w:fill="auto"/>
            <w:vAlign w:val="bottom"/>
          </w:tcPr>
          <w:p w14:paraId="427E80ED" w14:textId="77777777" w:rsidR="003741D2" w:rsidRPr="003A2506" w:rsidRDefault="003741D2" w:rsidP="00CA7F04">
            <w:pPr>
              <w:jc w:val="right"/>
              <w:rPr>
                <w:rFonts w:ascii="Arial" w:eastAsia="Calibri" w:hAnsi="Arial" w:cs="Arial"/>
                <w:color w:val="000000" w:themeColor="text1"/>
                <w:sz w:val="14"/>
                <w:szCs w:val="14"/>
              </w:rPr>
            </w:pPr>
          </w:p>
        </w:tc>
        <w:tc>
          <w:tcPr>
            <w:tcW w:w="333" w:type="pct"/>
            <w:tcBorders>
              <w:top w:val="nil"/>
              <w:left w:val="nil"/>
              <w:bottom w:val="nil"/>
              <w:right w:val="nil"/>
            </w:tcBorders>
            <w:shd w:val="clear" w:color="auto" w:fill="auto"/>
            <w:vAlign w:val="bottom"/>
          </w:tcPr>
          <w:p w14:paraId="0A24DFD0" w14:textId="77777777" w:rsidR="003741D2" w:rsidRPr="003A2506" w:rsidRDefault="003741D2" w:rsidP="00CA7F04">
            <w:pPr>
              <w:jc w:val="right"/>
              <w:rPr>
                <w:rFonts w:ascii="Arial" w:eastAsia="Calibri" w:hAnsi="Arial" w:cs="Arial"/>
                <w:color w:val="000000" w:themeColor="text1"/>
                <w:sz w:val="14"/>
                <w:szCs w:val="14"/>
              </w:rPr>
            </w:pPr>
          </w:p>
        </w:tc>
        <w:tc>
          <w:tcPr>
            <w:tcW w:w="328" w:type="pct"/>
            <w:tcBorders>
              <w:top w:val="nil"/>
              <w:left w:val="nil"/>
              <w:bottom w:val="nil"/>
              <w:right w:val="nil"/>
            </w:tcBorders>
            <w:vAlign w:val="bottom"/>
          </w:tcPr>
          <w:p w14:paraId="43AAEEA0" w14:textId="77777777" w:rsidR="003741D2" w:rsidRPr="003A2506" w:rsidRDefault="003741D2" w:rsidP="00CA7F04">
            <w:pPr>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0F915595" w14:textId="77777777" w:rsidR="003741D2" w:rsidRPr="003A2506" w:rsidRDefault="003741D2" w:rsidP="00CA7F04">
            <w:pPr>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558CE65B" w14:textId="77777777" w:rsidR="003741D2" w:rsidRPr="003A2506" w:rsidRDefault="003741D2" w:rsidP="00CA7F04">
            <w:pPr>
              <w:jc w:val="right"/>
              <w:rPr>
                <w:rFonts w:ascii="Arial" w:eastAsia="Calibri" w:hAnsi="Arial" w:cs="Arial"/>
                <w:color w:val="000000" w:themeColor="text1"/>
                <w:sz w:val="14"/>
                <w:szCs w:val="14"/>
              </w:rPr>
            </w:pPr>
          </w:p>
        </w:tc>
        <w:tc>
          <w:tcPr>
            <w:tcW w:w="329" w:type="pct"/>
            <w:tcBorders>
              <w:top w:val="nil"/>
              <w:left w:val="nil"/>
              <w:bottom w:val="nil"/>
              <w:right w:val="nil"/>
            </w:tcBorders>
            <w:vAlign w:val="bottom"/>
          </w:tcPr>
          <w:p w14:paraId="196E17DD" w14:textId="77777777" w:rsidR="003741D2" w:rsidRPr="003A2506" w:rsidRDefault="003741D2" w:rsidP="00CA7F04">
            <w:pPr>
              <w:jc w:val="right"/>
              <w:rPr>
                <w:rFonts w:ascii="Arial" w:eastAsia="Calibri" w:hAnsi="Arial" w:cs="Arial"/>
                <w:color w:val="000000" w:themeColor="text1"/>
                <w:sz w:val="14"/>
                <w:szCs w:val="14"/>
              </w:rPr>
            </w:pPr>
          </w:p>
        </w:tc>
        <w:tc>
          <w:tcPr>
            <w:tcW w:w="330" w:type="pct"/>
            <w:tcBorders>
              <w:top w:val="nil"/>
              <w:left w:val="nil"/>
              <w:bottom w:val="nil"/>
              <w:right w:val="nil"/>
            </w:tcBorders>
            <w:vAlign w:val="bottom"/>
          </w:tcPr>
          <w:p w14:paraId="2F9634DB" w14:textId="77777777" w:rsidR="003741D2" w:rsidRPr="003A2506" w:rsidRDefault="003741D2" w:rsidP="00CA7F04">
            <w:pPr>
              <w:jc w:val="right"/>
              <w:rPr>
                <w:rFonts w:ascii="Arial" w:eastAsia="Calibri" w:hAnsi="Arial" w:cs="Arial"/>
                <w:color w:val="000000" w:themeColor="text1"/>
                <w:sz w:val="14"/>
                <w:szCs w:val="14"/>
              </w:rPr>
            </w:pPr>
          </w:p>
        </w:tc>
        <w:tc>
          <w:tcPr>
            <w:tcW w:w="371" w:type="pct"/>
            <w:tcBorders>
              <w:top w:val="nil"/>
              <w:left w:val="nil"/>
              <w:bottom w:val="nil"/>
              <w:right w:val="nil"/>
            </w:tcBorders>
            <w:vAlign w:val="bottom"/>
          </w:tcPr>
          <w:p w14:paraId="3076788C" w14:textId="77777777" w:rsidR="003741D2" w:rsidRPr="003A2506" w:rsidRDefault="003741D2" w:rsidP="00CA7F04">
            <w:pPr>
              <w:jc w:val="right"/>
              <w:rPr>
                <w:rFonts w:ascii="Arial" w:eastAsia="Calibri" w:hAnsi="Arial" w:cs="Arial"/>
                <w:color w:val="000000" w:themeColor="text1"/>
                <w:sz w:val="14"/>
                <w:szCs w:val="14"/>
              </w:rPr>
            </w:pPr>
          </w:p>
        </w:tc>
        <w:tc>
          <w:tcPr>
            <w:tcW w:w="323" w:type="pct"/>
            <w:tcBorders>
              <w:top w:val="nil"/>
              <w:left w:val="nil"/>
              <w:bottom w:val="nil"/>
              <w:right w:val="nil"/>
            </w:tcBorders>
            <w:vAlign w:val="bottom"/>
          </w:tcPr>
          <w:p w14:paraId="4BFB552C" w14:textId="77777777" w:rsidR="003741D2" w:rsidRPr="003A2506" w:rsidRDefault="003741D2" w:rsidP="00CA7F04">
            <w:pPr>
              <w:jc w:val="right"/>
              <w:rPr>
                <w:rFonts w:ascii="Arial" w:eastAsia="Calibri" w:hAnsi="Arial" w:cs="Arial"/>
                <w:color w:val="000000" w:themeColor="text1"/>
                <w:sz w:val="14"/>
                <w:szCs w:val="14"/>
              </w:rPr>
            </w:pPr>
          </w:p>
        </w:tc>
      </w:tr>
      <w:tr w:rsidR="003741D2" w:rsidRPr="00F12E3D" w14:paraId="527ABD48" w14:textId="77777777" w:rsidTr="00CA7F04">
        <w:trPr>
          <w:trHeight w:val="189"/>
        </w:trPr>
        <w:tc>
          <w:tcPr>
            <w:tcW w:w="538" w:type="pct"/>
            <w:vAlign w:val="bottom"/>
          </w:tcPr>
          <w:p w14:paraId="73AC2ABF" w14:textId="77777777" w:rsidR="003741D2" w:rsidRPr="00F12E3D" w:rsidRDefault="003741D2" w:rsidP="00CA7F04">
            <w:pPr>
              <w:tabs>
                <w:tab w:val="right" w:pos="1202"/>
              </w:tabs>
              <w:outlineLvl w:val="0"/>
              <w:rPr>
                <w:rFonts w:ascii="Arial" w:eastAsia="Calibri" w:hAnsi="Arial" w:cs="Arial"/>
                <w:b/>
                <w:bCs/>
                <w:color w:val="000000" w:themeColor="text1"/>
                <w:sz w:val="14"/>
                <w:szCs w:val="14"/>
              </w:rPr>
            </w:pPr>
            <w:r w:rsidRPr="00F12E3D">
              <w:rPr>
                <w:rFonts w:ascii="Arial" w:eastAsia="Calibri" w:hAnsi="Arial" w:cs="Arial"/>
                <w:color w:val="000000" w:themeColor="text1"/>
                <w:sz w:val="14"/>
                <w:szCs w:val="14"/>
              </w:rPr>
              <w:t xml:space="preserve">Izdane garancije </w:t>
            </w:r>
          </w:p>
        </w:tc>
        <w:tc>
          <w:tcPr>
            <w:tcW w:w="301" w:type="pct"/>
            <w:tcBorders>
              <w:top w:val="nil"/>
              <w:left w:val="nil"/>
              <w:bottom w:val="nil"/>
              <w:right w:val="nil"/>
            </w:tcBorders>
            <w:shd w:val="clear" w:color="auto" w:fill="auto"/>
            <w:vAlign w:val="bottom"/>
          </w:tcPr>
          <w:p w14:paraId="2EF0D36E"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17.929 </w:t>
            </w:r>
          </w:p>
        </w:tc>
        <w:tc>
          <w:tcPr>
            <w:tcW w:w="298" w:type="pct"/>
            <w:tcBorders>
              <w:top w:val="nil"/>
              <w:left w:val="nil"/>
              <w:bottom w:val="nil"/>
              <w:right w:val="nil"/>
            </w:tcBorders>
            <w:shd w:val="clear" w:color="auto" w:fill="auto"/>
            <w:vAlign w:val="bottom"/>
          </w:tcPr>
          <w:p w14:paraId="67EBE81E"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6.176 </w:t>
            </w:r>
          </w:p>
        </w:tc>
        <w:tc>
          <w:tcPr>
            <w:tcW w:w="295" w:type="pct"/>
            <w:tcBorders>
              <w:top w:val="nil"/>
              <w:left w:val="nil"/>
              <w:bottom w:val="nil"/>
              <w:right w:val="nil"/>
            </w:tcBorders>
            <w:shd w:val="clear" w:color="auto" w:fill="auto"/>
            <w:vAlign w:val="bottom"/>
          </w:tcPr>
          <w:p w14:paraId="6034B9D6"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20.440 </w:t>
            </w:r>
          </w:p>
        </w:tc>
        <w:tc>
          <w:tcPr>
            <w:tcW w:w="287" w:type="pct"/>
            <w:tcBorders>
              <w:top w:val="nil"/>
              <w:left w:val="nil"/>
              <w:bottom w:val="nil"/>
              <w:right w:val="nil"/>
            </w:tcBorders>
            <w:shd w:val="clear" w:color="auto" w:fill="auto"/>
            <w:vAlign w:val="bottom"/>
          </w:tcPr>
          <w:p w14:paraId="61CA3902" w14:textId="77777777" w:rsidR="003741D2" w:rsidRPr="00F959D0"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297" w:type="pct"/>
            <w:tcBorders>
              <w:top w:val="nil"/>
              <w:left w:val="nil"/>
              <w:bottom w:val="nil"/>
              <w:right w:val="nil"/>
            </w:tcBorders>
            <w:shd w:val="clear" w:color="auto" w:fill="auto"/>
            <w:vAlign w:val="bottom"/>
          </w:tcPr>
          <w:p w14:paraId="25F9DBA4" w14:textId="77777777" w:rsidR="003741D2" w:rsidRPr="003A2506" w:rsidRDefault="003741D2"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7D6BFB37"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33" w:type="pct"/>
            <w:tcBorders>
              <w:top w:val="nil"/>
              <w:left w:val="nil"/>
              <w:bottom w:val="nil"/>
              <w:right w:val="nil"/>
            </w:tcBorders>
            <w:shd w:val="clear" w:color="auto" w:fill="auto"/>
            <w:vAlign w:val="bottom"/>
          </w:tcPr>
          <w:p w14:paraId="3291689D"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44.545 </w:t>
            </w:r>
          </w:p>
        </w:tc>
        <w:tc>
          <w:tcPr>
            <w:tcW w:w="328" w:type="pct"/>
            <w:tcBorders>
              <w:top w:val="nil"/>
              <w:left w:val="nil"/>
              <w:bottom w:val="nil"/>
              <w:right w:val="nil"/>
            </w:tcBorders>
            <w:vAlign w:val="bottom"/>
          </w:tcPr>
          <w:p w14:paraId="0F671DCA" w14:textId="77777777" w:rsidR="003741D2" w:rsidRPr="003A2506"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17.537 </w:t>
            </w:r>
          </w:p>
        </w:tc>
        <w:tc>
          <w:tcPr>
            <w:tcW w:w="329" w:type="pct"/>
            <w:tcBorders>
              <w:top w:val="nil"/>
              <w:left w:val="nil"/>
              <w:bottom w:val="nil"/>
              <w:right w:val="nil"/>
            </w:tcBorders>
            <w:vAlign w:val="bottom"/>
          </w:tcPr>
          <w:p w14:paraId="01EE7E31" w14:textId="77777777" w:rsidR="003741D2" w:rsidRPr="003A2506"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1.344 </w:t>
            </w:r>
          </w:p>
        </w:tc>
        <w:tc>
          <w:tcPr>
            <w:tcW w:w="329" w:type="pct"/>
            <w:tcBorders>
              <w:top w:val="nil"/>
              <w:left w:val="nil"/>
              <w:bottom w:val="nil"/>
              <w:right w:val="nil"/>
            </w:tcBorders>
            <w:vAlign w:val="bottom"/>
          </w:tcPr>
          <w:p w14:paraId="356BCCEF" w14:textId="77777777" w:rsidR="003741D2" w:rsidRPr="003A2506"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14.348 </w:t>
            </w:r>
          </w:p>
        </w:tc>
        <w:tc>
          <w:tcPr>
            <w:tcW w:w="329" w:type="pct"/>
            <w:tcBorders>
              <w:top w:val="nil"/>
              <w:left w:val="nil"/>
              <w:bottom w:val="nil"/>
              <w:right w:val="nil"/>
            </w:tcBorders>
            <w:vAlign w:val="bottom"/>
          </w:tcPr>
          <w:p w14:paraId="03A1A9F9" w14:textId="77777777" w:rsidR="003741D2" w:rsidRPr="00F959D0"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30" w:type="pct"/>
            <w:tcBorders>
              <w:top w:val="nil"/>
              <w:left w:val="nil"/>
              <w:bottom w:val="nil"/>
              <w:right w:val="nil"/>
            </w:tcBorders>
            <w:vAlign w:val="bottom"/>
          </w:tcPr>
          <w:p w14:paraId="6C0261F6" w14:textId="77777777" w:rsidR="003741D2" w:rsidRPr="009C51A3" w:rsidRDefault="003741D2"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32751686" w14:textId="77777777" w:rsidR="003741D2" w:rsidRPr="003A2506" w:rsidRDefault="003741D2"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3" w:type="pct"/>
            <w:tcBorders>
              <w:top w:val="nil"/>
              <w:left w:val="nil"/>
              <w:bottom w:val="nil"/>
              <w:right w:val="nil"/>
            </w:tcBorders>
            <w:vAlign w:val="bottom"/>
          </w:tcPr>
          <w:p w14:paraId="50EDEBC5" w14:textId="77777777" w:rsidR="003741D2" w:rsidRPr="003A2506"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33.229 </w:t>
            </w:r>
          </w:p>
        </w:tc>
      </w:tr>
      <w:tr w:rsidR="003741D2" w:rsidRPr="00F12E3D" w14:paraId="2C2070AD" w14:textId="77777777" w:rsidTr="00CA7F04">
        <w:trPr>
          <w:trHeight w:val="189"/>
        </w:trPr>
        <w:tc>
          <w:tcPr>
            <w:tcW w:w="538" w:type="pct"/>
            <w:vAlign w:val="bottom"/>
          </w:tcPr>
          <w:p w14:paraId="49BC4F65" w14:textId="77777777" w:rsidR="003741D2" w:rsidRPr="00F12E3D" w:rsidRDefault="003741D2" w:rsidP="00CA7F04">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Izdane garancije u devizama</w:t>
            </w:r>
          </w:p>
        </w:tc>
        <w:tc>
          <w:tcPr>
            <w:tcW w:w="301" w:type="pct"/>
            <w:tcBorders>
              <w:top w:val="nil"/>
              <w:left w:val="nil"/>
              <w:bottom w:val="nil"/>
              <w:right w:val="nil"/>
            </w:tcBorders>
            <w:shd w:val="clear" w:color="auto" w:fill="auto"/>
            <w:vAlign w:val="bottom"/>
          </w:tcPr>
          <w:p w14:paraId="583EA02B"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53 </w:t>
            </w:r>
          </w:p>
        </w:tc>
        <w:tc>
          <w:tcPr>
            <w:tcW w:w="298" w:type="pct"/>
            <w:tcBorders>
              <w:top w:val="nil"/>
              <w:left w:val="nil"/>
              <w:bottom w:val="nil"/>
              <w:right w:val="nil"/>
            </w:tcBorders>
            <w:shd w:val="clear" w:color="auto" w:fill="auto"/>
            <w:vAlign w:val="bottom"/>
          </w:tcPr>
          <w:p w14:paraId="75938096"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5.304 </w:t>
            </w:r>
          </w:p>
        </w:tc>
        <w:tc>
          <w:tcPr>
            <w:tcW w:w="295" w:type="pct"/>
            <w:tcBorders>
              <w:top w:val="nil"/>
              <w:left w:val="nil"/>
              <w:bottom w:val="nil"/>
              <w:right w:val="nil"/>
            </w:tcBorders>
            <w:shd w:val="clear" w:color="auto" w:fill="auto"/>
            <w:vAlign w:val="bottom"/>
          </w:tcPr>
          <w:p w14:paraId="36B8FB12"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287" w:type="pct"/>
            <w:tcBorders>
              <w:top w:val="nil"/>
              <w:left w:val="nil"/>
              <w:bottom w:val="nil"/>
              <w:right w:val="nil"/>
            </w:tcBorders>
            <w:shd w:val="clear" w:color="auto" w:fill="auto"/>
            <w:vAlign w:val="bottom"/>
          </w:tcPr>
          <w:p w14:paraId="7184AFB0" w14:textId="77777777" w:rsidR="003741D2" w:rsidRPr="00F959D0"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297" w:type="pct"/>
            <w:tcBorders>
              <w:top w:val="nil"/>
              <w:left w:val="nil"/>
              <w:bottom w:val="nil"/>
              <w:right w:val="nil"/>
            </w:tcBorders>
            <w:shd w:val="clear" w:color="auto" w:fill="auto"/>
            <w:vAlign w:val="bottom"/>
          </w:tcPr>
          <w:p w14:paraId="0A54DE17" w14:textId="77777777" w:rsidR="003741D2" w:rsidRPr="003A2506" w:rsidRDefault="003741D2"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12" w:type="pct"/>
            <w:tcBorders>
              <w:top w:val="nil"/>
              <w:left w:val="nil"/>
              <w:bottom w:val="nil"/>
              <w:right w:val="nil"/>
            </w:tcBorders>
            <w:shd w:val="clear" w:color="auto" w:fill="auto"/>
            <w:vAlign w:val="bottom"/>
          </w:tcPr>
          <w:p w14:paraId="74D8C23D"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33" w:type="pct"/>
            <w:tcBorders>
              <w:top w:val="nil"/>
              <w:left w:val="nil"/>
              <w:bottom w:val="nil"/>
              <w:right w:val="nil"/>
            </w:tcBorders>
            <w:shd w:val="clear" w:color="auto" w:fill="auto"/>
            <w:vAlign w:val="bottom"/>
          </w:tcPr>
          <w:p w14:paraId="3AA08C9B"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5.357 </w:t>
            </w:r>
          </w:p>
        </w:tc>
        <w:tc>
          <w:tcPr>
            <w:tcW w:w="328" w:type="pct"/>
            <w:tcBorders>
              <w:top w:val="nil"/>
              <w:left w:val="nil"/>
              <w:bottom w:val="nil"/>
              <w:right w:val="nil"/>
            </w:tcBorders>
            <w:vAlign w:val="bottom"/>
          </w:tcPr>
          <w:p w14:paraId="3C3EE642" w14:textId="77777777" w:rsidR="003741D2" w:rsidRPr="003A2506"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15 </w:t>
            </w:r>
          </w:p>
        </w:tc>
        <w:tc>
          <w:tcPr>
            <w:tcW w:w="329" w:type="pct"/>
            <w:tcBorders>
              <w:top w:val="nil"/>
              <w:left w:val="nil"/>
              <w:bottom w:val="nil"/>
              <w:right w:val="nil"/>
            </w:tcBorders>
            <w:vAlign w:val="bottom"/>
          </w:tcPr>
          <w:p w14:paraId="5414448C" w14:textId="77777777" w:rsidR="003741D2" w:rsidRPr="003A2506"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2.919 </w:t>
            </w:r>
          </w:p>
        </w:tc>
        <w:tc>
          <w:tcPr>
            <w:tcW w:w="329" w:type="pct"/>
            <w:tcBorders>
              <w:top w:val="nil"/>
              <w:left w:val="nil"/>
              <w:bottom w:val="nil"/>
              <w:right w:val="nil"/>
            </w:tcBorders>
            <w:vAlign w:val="bottom"/>
          </w:tcPr>
          <w:p w14:paraId="28968F25" w14:textId="77777777" w:rsidR="003741D2" w:rsidRPr="003A2506"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29" w:type="pct"/>
            <w:tcBorders>
              <w:top w:val="nil"/>
              <w:left w:val="nil"/>
              <w:bottom w:val="nil"/>
              <w:right w:val="nil"/>
            </w:tcBorders>
            <w:vAlign w:val="bottom"/>
          </w:tcPr>
          <w:p w14:paraId="32FE4194" w14:textId="77777777" w:rsidR="003741D2" w:rsidRPr="00F959D0"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30" w:type="pct"/>
            <w:tcBorders>
              <w:top w:val="nil"/>
              <w:left w:val="nil"/>
              <w:bottom w:val="nil"/>
              <w:right w:val="nil"/>
            </w:tcBorders>
            <w:vAlign w:val="bottom"/>
          </w:tcPr>
          <w:p w14:paraId="5F269B03" w14:textId="77777777" w:rsidR="003741D2" w:rsidRPr="009C51A3" w:rsidRDefault="003741D2"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71" w:type="pct"/>
            <w:tcBorders>
              <w:top w:val="nil"/>
              <w:left w:val="nil"/>
              <w:bottom w:val="nil"/>
              <w:right w:val="nil"/>
            </w:tcBorders>
            <w:vAlign w:val="bottom"/>
          </w:tcPr>
          <w:p w14:paraId="6715B088" w14:textId="77777777" w:rsidR="003741D2" w:rsidRPr="003A2506" w:rsidRDefault="003741D2"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3" w:type="pct"/>
            <w:tcBorders>
              <w:top w:val="nil"/>
              <w:left w:val="nil"/>
              <w:bottom w:val="nil"/>
              <w:right w:val="nil"/>
            </w:tcBorders>
            <w:vAlign w:val="bottom"/>
          </w:tcPr>
          <w:p w14:paraId="46224791" w14:textId="77777777" w:rsidR="003741D2" w:rsidRPr="003A2506"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2.934 </w:t>
            </w:r>
          </w:p>
        </w:tc>
      </w:tr>
      <w:tr w:rsidR="003741D2" w:rsidRPr="00F12E3D" w14:paraId="7E11D70A" w14:textId="77777777" w:rsidTr="00CA7F04">
        <w:trPr>
          <w:trHeight w:val="189"/>
        </w:trPr>
        <w:tc>
          <w:tcPr>
            <w:tcW w:w="538" w:type="pct"/>
            <w:vAlign w:val="bottom"/>
          </w:tcPr>
          <w:p w14:paraId="738F5F02" w14:textId="77777777" w:rsidR="003741D2" w:rsidRPr="00F12E3D" w:rsidRDefault="003741D2" w:rsidP="00CA7F04">
            <w:pPr>
              <w:tabs>
                <w:tab w:val="right" w:pos="1202"/>
              </w:tabs>
              <w:outlineLvl w:val="0"/>
              <w:rPr>
                <w:rFonts w:ascii="Arial" w:eastAsia="Calibri" w:hAnsi="Arial" w:cs="Arial"/>
                <w:color w:val="000000" w:themeColor="text1"/>
                <w:sz w:val="14"/>
                <w:szCs w:val="14"/>
              </w:rPr>
            </w:pPr>
            <w:r w:rsidRPr="00F12E3D">
              <w:rPr>
                <w:rFonts w:ascii="Arial" w:eastAsia="Calibri" w:hAnsi="Arial" w:cs="Arial"/>
                <w:color w:val="000000" w:themeColor="text1"/>
                <w:sz w:val="14"/>
                <w:szCs w:val="14"/>
              </w:rPr>
              <w:t>Preuzete obveze po kreditima</w:t>
            </w:r>
          </w:p>
        </w:tc>
        <w:tc>
          <w:tcPr>
            <w:tcW w:w="301" w:type="pct"/>
            <w:tcBorders>
              <w:top w:val="nil"/>
              <w:left w:val="nil"/>
              <w:bottom w:val="single" w:sz="6" w:space="0" w:color="auto"/>
              <w:right w:val="nil"/>
            </w:tcBorders>
            <w:shd w:val="clear" w:color="auto" w:fill="auto"/>
            <w:vAlign w:val="bottom"/>
          </w:tcPr>
          <w:p w14:paraId="5E3CB87A"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423.683 </w:t>
            </w:r>
          </w:p>
        </w:tc>
        <w:tc>
          <w:tcPr>
            <w:tcW w:w="298" w:type="pct"/>
            <w:tcBorders>
              <w:top w:val="nil"/>
              <w:left w:val="nil"/>
              <w:bottom w:val="single" w:sz="6" w:space="0" w:color="auto"/>
              <w:right w:val="nil"/>
            </w:tcBorders>
            <w:shd w:val="clear" w:color="auto" w:fill="auto"/>
            <w:vAlign w:val="bottom"/>
          </w:tcPr>
          <w:p w14:paraId="5A7DF7C3"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4.816 </w:t>
            </w:r>
          </w:p>
        </w:tc>
        <w:tc>
          <w:tcPr>
            <w:tcW w:w="295" w:type="pct"/>
            <w:tcBorders>
              <w:top w:val="nil"/>
              <w:left w:val="nil"/>
              <w:bottom w:val="single" w:sz="6" w:space="0" w:color="auto"/>
              <w:right w:val="nil"/>
            </w:tcBorders>
            <w:shd w:val="clear" w:color="auto" w:fill="auto"/>
            <w:vAlign w:val="bottom"/>
          </w:tcPr>
          <w:p w14:paraId="2D96CCB5"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287" w:type="pct"/>
            <w:tcBorders>
              <w:top w:val="nil"/>
              <w:left w:val="nil"/>
              <w:bottom w:val="single" w:sz="6" w:space="0" w:color="auto"/>
              <w:right w:val="nil"/>
            </w:tcBorders>
            <w:shd w:val="clear" w:color="auto" w:fill="auto"/>
            <w:vAlign w:val="bottom"/>
          </w:tcPr>
          <w:p w14:paraId="0D37FF91" w14:textId="77777777" w:rsidR="003741D2" w:rsidRPr="00F959D0"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w:t>
            </w:r>
          </w:p>
        </w:tc>
        <w:tc>
          <w:tcPr>
            <w:tcW w:w="297" w:type="pct"/>
            <w:tcBorders>
              <w:top w:val="nil"/>
              <w:left w:val="nil"/>
              <w:bottom w:val="single" w:sz="6" w:space="0" w:color="auto"/>
              <w:right w:val="nil"/>
            </w:tcBorders>
            <w:shd w:val="clear" w:color="auto" w:fill="auto"/>
            <w:vAlign w:val="bottom"/>
          </w:tcPr>
          <w:p w14:paraId="38541FEA" w14:textId="77777777" w:rsidR="003741D2" w:rsidRPr="003A2506" w:rsidRDefault="003741D2" w:rsidP="00CA7F04">
            <w:pPr>
              <w:jc w:val="right"/>
              <w:rPr>
                <w:rFonts w:ascii="Arial" w:eastAsia="Calibri" w:hAnsi="Arial" w:cs="Arial"/>
                <w:color w:val="000000" w:themeColor="text1"/>
                <w:sz w:val="14"/>
                <w:szCs w:val="14"/>
              </w:rPr>
            </w:pPr>
            <w:r w:rsidRPr="005315D0">
              <w:rPr>
                <w:rFonts w:ascii="Arial" w:eastAsia="Calibri" w:hAnsi="Arial" w:cs="Arial"/>
                <w:color w:val="000000" w:themeColor="text1"/>
                <w:sz w:val="14"/>
                <w:szCs w:val="14"/>
              </w:rPr>
              <w:t>12.574</w:t>
            </w:r>
          </w:p>
        </w:tc>
        <w:tc>
          <w:tcPr>
            <w:tcW w:w="312" w:type="pct"/>
            <w:tcBorders>
              <w:top w:val="nil"/>
              <w:left w:val="nil"/>
              <w:bottom w:val="single" w:sz="6" w:space="0" w:color="auto"/>
              <w:right w:val="nil"/>
            </w:tcBorders>
            <w:shd w:val="clear" w:color="auto" w:fill="auto"/>
            <w:vAlign w:val="bottom"/>
          </w:tcPr>
          <w:p w14:paraId="0E591D5E"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 </w:t>
            </w:r>
          </w:p>
        </w:tc>
        <w:tc>
          <w:tcPr>
            <w:tcW w:w="333" w:type="pct"/>
            <w:tcBorders>
              <w:top w:val="nil"/>
              <w:left w:val="nil"/>
              <w:bottom w:val="single" w:sz="6" w:space="0" w:color="auto"/>
              <w:right w:val="nil"/>
            </w:tcBorders>
            <w:shd w:val="clear" w:color="auto" w:fill="auto"/>
            <w:vAlign w:val="bottom"/>
          </w:tcPr>
          <w:p w14:paraId="0BC84BF6" w14:textId="77777777" w:rsidR="003741D2" w:rsidRPr="003A2506" w:rsidRDefault="003741D2" w:rsidP="00CA7F04">
            <w:pPr>
              <w:jc w:val="right"/>
              <w:rPr>
                <w:rFonts w:ascii="Arial" w:eastAsia="Calibri" w:hAnsi="Arial" w:cs="Arial"/>
                <w:color w:val="000000" w:themeColor="text1"/>
                <w:sz w:val="14"/>
                <w:szCs w:val="14"/>
              </w:rPr>
            </w:pPr>
            <w:r w:rsidRPr="00F84C24">
              <w:rPr>
                <w:rFonts w:ascii="Arial" w:eastAsia="Calibri" w:hAnsi="Arial" w:cs="Arial"/>
                <w:color w:val="000000" w:themeColor="text1"/>
                <w:sz w:val="14"/>
                <w:szCs w:val="14"/>
              </w:rPr>
              <w:t xml:space="preserve"> 441.073 </w:t>
            </w:r>
          </w:p>
        </w:tc>
        <w:tc>
          <w:tcPr>
            <w:tcW w:w="328" w:type="pct"/>
            <w:tcBorders>
              <w:top w:val="nil"/>
              <w:left w:val="nil"/>
              <w:bottom w:val="single" w:sz="6" w:space="0" w:color="auto"/>
              <w:right w:val="nil"/>
            </w:tcBorders>
            <w:vAlign w:val="bottom"/>
          </w:tcPr>
          <w:p w14:paraId="1E16C14F" w14:textId="77777777" w:rsidR="003741D2" w:rsidRPr="003A2506"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135.627 </w:t>
            </w:r>
          </w:p>
        </w:tc>
        <w:tc>
          <w:tcPr>
            <w:tcW w:w="329" w:type="pct"/>
            <w:tcBorders>
              <w:top w:val="nil"/>
              <w:left w:val="nil"/>
              <w:bottom w:val="single" w:sz="6" w:space="0" w:color="auto"/>
              <w:right w:val="nil"/>
            </w:tcBorders>
            <w:vAlign w:val="bottom"/>
          </w:tcPr>
          <w:p w14:paraId="6A02BC3A" w14:textId="77777777" w:rsidR="003741D2" w:rsidRPr="003A2506"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2.938 </w:t>
            </w:r>
          </w:p>
        </w:tc>
        <w:tc>
          <w:tcPr>
            <w:tcW w:w="329" w:type="pct"/>
            <w:tcBorders>
              <w:top w:val="nil"/>
              <w:left w:val="nil"/>
              <w:bottom w:val="single" w:sz="6" w:space="0" w:color="auto"/>
              <w:right w:val="nil"/>
            </w:tcBorders>
            <w:vAlign w:val="bottom"/>
          </w:tcPr>
          <w:p w14:paraId="05FBF6AF" w14:textId="77777777" w:rsidR="003741D2" w:rsidRPr="003A2506" w:rsidRDefault="003741D2" w:rsidP="00CA7F04">
            <w:pPr>
              <w:jc w:val="right"/>
              <w:rPr>
                <w:rFonts w:ascii="Arial" w:eastAsia="Calibri" w:hAnsi="Arial" w:cs="Arial"/>
                <w:color w:val="000000" w:themeColor="text1"/>
                <w:sz w:val="14"/>
                <w:szCs w:val="14"/>
              </w:rPr>
            </w:pPr>
            <w:r w:rsidRPr="00F959D0">
              <w:rPr>
                <w:rFonts w:ascii="Arial" w:eastAsia="Calibri" w:hAnsi="Arial" w:cs="Arial"/>
                <w:color w:val="000000" w:themeColor="text1"/>
                <w:sz w:val="14"/>
                <w:szCs w:val="14"/>
              </w:rPr>
              <w:t xml:space="preserve"> - </w:t>
            </w:r>
          </w:p>
        </w:tc>
        <w:tc>
          <w:tcPr>
            <w:tcW w:w="329" w:type="pct"/>
            <w:tcBorders>
              <w:top w:val="nil"/>
              <w:left w:val="nil"/>
              <w:bottom w:val="single" w:sz="6" w:space="0" w:color="auto"/>
              <w:right w:val="nil"/>
            </w:tcBorders>
            <w:vAlign w:val="bottom"/>
          </w:tcPr>
          <w:p w14:paraId="2E33437C" w14:textId="77777777" w:rsidR="003741D2" w:rsidRPr="00F959D0" w:rsidRDefault="003741D2"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30" w:type="pct"/>
            <w:tcBorders>
              <w:top w:val="nil"/>
              <w:left w:val="nil"/>
              <w:bottom w:val="single" w:sz="6" w:space="0" w:color="auto"/>
              <w:right w:val="nil"/>
            </w:tcBorders>
            <w:vAlign w:val="bottom"/>
          </w:tcPr>
          <w:p w14:paraId="7FB0B074" w14:textId="77777777" w:rsidR="003741D2" w:rsidRPr="009C51A3" w:rsidRDefault="003741D2"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65</w:t>
            </w:r>
          </w:p>
        </w:tc>
        <w:tc>
          <w:tcPr>
            <w:tcW w:w="371" w:type="pct"/>
            <w:tcBorders>
              <w:top w:val="nil"/>
              <w:left w:val="nil"/>
              <w:bottom w:val="single" w:sz="6" w:space="0" w:color="auto"/>
              <w:right w:val="nil"/>
            </w:tcBorders>
            <w:vAlign w:val="bottom"/>
          </w:tcPr>
          <w:p w14:paraId="386E4C20" w14:textId="77777777" w:rsidR="003741D2" w:rsidRPr="003A2506" w:rsidRDefault="003741D2" w:rsidP="00CA7F04">
            <w:pPr>
              <w:jc w:val="right"/>
              <w:rPr>
                <w:rFonts w:ascii="Arial" w:eastAsia="Calibri" w:hAnsi="Arial" w:cs="Arial"/>
                <w:color w:val="000000" w:themeColor="text1"/>
                <w:sz w:val="14"/>
                <w:szCs w:val="14"/>
              </w:rPr>
            </w:pPr>
            <w:r>
              <w:rPr>
                <w:rFonts w:ascii="Arial" w:eastAsia="Calibri" w:hAnsi="Arial" w:cs="Arial"/>
                <w:color w:val="000000" w:themeColor="text1"/>
                <w:sz w:val="14"/>
                <w:szCs w:val="14"/>
              </w:rPr>
              <w:t>-</w:t>
            </w:r>
          </w:p>
        </w:tc>
        <w:tc>
          <w:tcPr>
            <w:tcW w:w="323" w:type="pct"/>
            <w:tcBorders>
              <w:top w:val="nil"/>
              <w:left w:val="nil"/>
              <w:bottom w:val="single" w:sz="6" w:space="0" w:color="auto"/>
              <w:right w:val="nil"/>
            </w:tcBorders>
            <w:vAlign w:val="bottom"/>
          </w:tcPr>
          <w:p w14:paraId="7A6B365F" w14:textId="77777777" w:rsidR="003741D2" w:rsidRPr="003A2506" w:rsidRDefault="003741D2" w:rsidP="00CA7F04">
            <w:pPr>
              <w:jc w:val="right"/>
              <w:rPr>
                <w:rFonts w:ascii="Arial" w:eastAsia="Calibri" w:hAnsi="Arial" w:cs="Arial"/>
                <w:color w:val="000000" w:themeColor="text1"/>
                <w:sz w:val="14"/>
                <w:szCs w:val="14"/>
              </w:rPr>
            </w:pPr>
            <w:r w:rsidRPr="009C51A3">
              <w:rPr>
                <w:rFonts w:ascii="Arial" w:eastAsia="Calibri" w:hAnsi="Arial" w:cs="Arial"/>
                <w:color w:val="000000" w:themeColor="text1"/>
                <w:sz w:val="14"/>
                <w:szCs w:val="14"/>
              </w:rPr>
              <w:t>138.630</w:t>
            </w:r>
          </w:p>
        </w:tc>
      </w:tr>
      <w:tr w:rsidR="003741D2" w:rsidRPr="00F12E3D" w14:paraId="0ECF5390" w14:textId="77777777" w:rsidTr="00FD76CA">
        <w:trPr>
          <w:trHeight w:val="170"/>
        </w:trPr>
        <w:tc>
          <w:tcPr>
            <w:tcW w:w="538" w:type="pct"/>
            <w:vAlign w:val="bottom"/>
          </w:tcPr>
          <w:p w14:paraId="0D7396A4" w14:textId="77777777" w:rsidR="003741D2" w:rsidRPr="00F12E3D" w:rsidRDefault="003741D2" w:rsidP="00CA7F04">
            <w:pPr>
              <w:tabs>
                <w:tab w:val="right" w:pos="1202"/>
              </w:tabs>
              <w:spacing w:line="200" w:lineRule="exact"/>
              <w:outlineLvl w:val="0"/>
              <w:rPr>
                <w:rFonts w:ascii="Arial" w:eastAsia="Calibri" w:hAnsi="Arial" w:cs="Arial"/>
                <w:b/>
                <w:bCs/>
                <w:color w:val="000000" w:themeColor="text1"/>
                <w:sz w:val="14"/>
                <w:szCs w:val="14"/>
              </w:rPr>
            </w:pPr>
            <w:r w:rsidRPr="00F12E3D">
              <w:rPr>
                <w:rFonts w:ascii="Arial" w:eastAsia="Calibri" w:hAnsi="Arial" w:cs="Arial"/>
                <w:b/>
                <w:bCs/>
                <w:color w:val="000000" w:themeColor="text1"/>
                <w:sz w:val="14"/>
                <w:szCs w:val="14"/>
              </w:rPr>
              <w:t>Ukupno</w:t>
            </w:r>
          </w:p>
        </w:tc>
        <w:tc>
          <w:tcPr>
            <w:tcW w:w="301" w:type="pct"/>
            <w:tcBorders>
              <w:top w:val="single" w:sz="6" w:space="0" w:color="auto"/>
              <w:left w:val="nil"/>
              <w:bottom w:val="single" w:sz="12" w:space="0" w:color="auto"/>
              <w:right w:val="nil"/>
            </w:tcBorders>
            <w:shd w:val="clear" w:color="auto" w:fill="auto"/>
            <w:vAlign w:val="bottom"/>
          </w:tcPr>
          <w:p w14:paraId="2666DCBC" w14:textId="77777777" w:rsidR="003741D2" w:rsidRPr="003A2506" w:rsidRDefault="003741D2" w:rsidP="00CA7F04">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441.665 </w:t>
            </w:r>
          </w:p>
        </w:tc>
        <w:tc>
          <w:tcPr>
            <w:tcW w:w="298" w:type="pct"/>
            <w:tcBorders>
              <w:top w:val="single" w:sz="6" w:space="0" w:color="auto"/>
              <w:left w:val="nil"/>
              <w:bottom w:val="single" w:sz="12" w:space="0" w:color="auto"/>
              <w:right w:val="nil"/>
            </w:tcBorders>
            <w:shd w:val="clear" w:color="auto" w:fill="auto"/>
            <w:vAlign w:val="bottom"/>
          </w:tcPr>
          <w:p w14:paraId="532ED2E4" w14:textId="77777777" w:rsidR="003741D2" w:rsidRPr="003A2506" w:rsidRDefault="003741D2" w:rsidP="00CA7F04">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16.296 </w:t>
            </w:r>
          </w:p>
        </w:tc>
        <w:tc>
          <w:tcPr>
            <w:tcW w:w="295" w:type="pct"/>
            <w:tcBorders>
              <w:top w:val="single" w:sz="6" w:space="0" w:color="auto"/>
              <w:left w:val="nil"/>
              <w:bottom w:val="single" w:sz="12" w:space="0" w:color="auto"/>
              <w:right w:val="nil"/>
            </w:tcBorders>
            <w:shd w:val="clear" w:color="auto" w:fill="auto"/>
            <w:vAlign w:val="bottom"/>
          </w:tcPr>
          <w:p w14:paraId="465D5051" w14:textId="77777777" w:rsidR="003741D2" w:rsidRPr="003A2506" w:rsidRDefault="003741D2" w:rsidP="00CA7F04">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20.440 </w:t>
            </w:r>
          </w:p>
        </w:tc>
        <w:tc>
          <w:tcPr>
            <w:tcW w:w="287" w:type="pct"/>
            <w:tcBorders>
              <w:top w:val="single" w:sz="6" w:space="0" w:color="auto"/>
              <w:left w:val="nil"/>
              <w:bottom w:val="single" w:sz="12" w:space="0" w:color="auto"/>
              <w:right w:val="nil"/>
            </w:tcBorders>
            <w:shd w:val="clear" w:color="auto" w:fill="auto"/>
            <w:vAlign w:val="bottom"/>
          </w:tcPr>
          <w:p w14:paraId="04DF04F4" w14:textId="77777777" w:rsidR="003741D2" w:rsidRPr="00F959D0" w:rsidRDefault="003741D2" w:rsidP="00CA7F04">
            <w:pPr>
              <w:jc w:val="right"/>
              <w:rPr>
                <w:rFonts w:ascii="Arial" w:eastAsia="Calibri" w:hAnsi="Arial" w:cs="Arial"/>
                <w:b/>
                <w:bCs/>
                <w:sz w:val="14"/>
                <w:szCs w:val="14"/>
              </w:rPr>
            </w:pPr>
            <w:r w:rsidRPr="00F959D0">
              <w:rPr>
                <w:rFonts w:ascii="Arial" w:eastAsia="Calibri" w:hAnsi="Arial" w:cs="Arial"/>
                <w:b/>
                <w:bCs/>
                <w:color w:val="000000" w:themeColor="text1"/>
                <w:sz w:val="14"/>
                <w:szCs w:val="14"/>
              </w:rPr>
              <w:t>-</w:t>
            </w:r>
          </w:p>
        </w:tc>
        <w:tc>
          <w:tcPr>
            <w:tcW w:w="297" w:type="pct"/>
            <w:tcBorders>
              <w:top w:val="nil"/>
              <w:left w:val="nil"/>
              <w:bottom w:val="single" w:sz="12" w:space="0" w:color="auto"/>
              <w:right w:val="nil"/>
            </w:tcBorders>
            <w:shd w:val="clear" w:color="auto" w:fill="auto"/>
            <w:vAlign w:val="bottom"/>
          </w:tcPr>
          <w:p w14:paraId="7ACDA9BA" w14:textId="77777777" w:rsidR="003741D2" w:rsidRPr="003A2506" w:rsidRDefault="003741D2" w:rsidP="00CA7F04">
            <w:pPr>
              <w:jc w:val="right"/>
              <w:rPr>
                <w:rFonts w:ascii="Arial" w:eastAsia="Calibri" w:hAnsi="Arial" w:cs="Arial"/>
                <w:b/>
                <w:bCs/>
                <w:sz w:val="14"/>
                <w:szCs w:val="14"/>
              </w:rPr>
            </w:pPr>
            <w:r w:rsidRPr="005315D0">
              <w:rPr>
                <w:rFonts w:ascii="Arial" w:eastAsia="Calibri" w:hAnsi="Arial" w:cs="Arial"/>
                <w:b/>
                <w:bCs/>
                <w:sz w:val="14"/>
                <w:szCs w:val="14"/>
              </w:rPr>
              <w:t>12.574</w:t>
            </w:r>
          </w:p>
        </w:tc>
        <w:tc>
          <w:tcPr>
            <w:tcW w:w="312" w:type="pct"/>
            <w:tcBorders>
              <w:top w:val="single" w:sz="6" w:space="0" w:color="auto"/>
              <w:left w:val="nil"/>
              <w:bottom w:val="single" w:sz="12" w:space="0" w:color="auto"/>
              <w:right w:val="nil"/>
            </w:tcBorders>
            <w:shd w:val="clear" w:color="auto" w:fill="auto"/>
            <w:vAlign w:val="bottom"/>
          </w:tcPr>
          <w:p w14:paraId="3EF54167" w14:textId="77777777" w:rsidR="003741D2" w:rsidRPr="003A2506" w:rsidRDefault="003741D2" w:rsidP="00CA7F04">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 </w:t>
            </w:r>
          </w:p>
        </w:tc>
        <w:tc>
          <w:tcPr>
            <w:tcW w:w="333" w:type="pct"/>
            <w:tcBorders>
              <w:top w:val="single" w:sz="6" w:space="0" w:color="auto"/>
              <w:left w:val="nil"/>
              <w:bottom w:val="single" w:sz="12" w:space="0" w:color="auto"/>
              <w:right w:val="nil"/>
            </w:tcBorders>
            <w:shd w:val="clear" w:color="auto" w:fill="auto"/>
            <w:vAlign w:val="bottom"/>
          </w:tcPr>
          <w:p w14:paraId="61DAD792" w14:textId="77777777" w:rsidR="003741D2" w:rsidRPr="003A2506" w:rsidRDefault="003741D2" w:rsidP="00CA7F04">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490.975 </w:t>
            </w:r>
          </w:p>
        </w:tc>
        <w:tc>
          <w:tcPr>
            <w:tcW w:w="328" w:type="pct"/>
            <w:tcBorders>
              <w:top w:val="single" w:sz="6" w:space="0" w:color="auto"/>
              <w:left w:val="nil"/>
              <w:bottom w:val="single" w:sz="12" w:space="0" w:color="auto"/>
              <w:right w:val="nil"/>
            </w:tcBorders>
            <w:vAlign w:val="bottom"/>
          </w:tcPr>
          <w:p w14:paraId="238CDD00" w14:textId="77777777" w:rsidR="003741D2" w:rsidRPr="00F959D0" w:rsidRDefault="003741D2" w:rsidP="00CA7F04">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153.179 </w:t>
            </w:r>
          </w:p>
        </w:tc>
        <w:tc>
          <w:tcPr>
            <w:tcW w:w="329" w:type="pct"/>
            <w:tcBorders>
              <w:top w:val="single" w:sz="6" w:space="0" w:color="auto"/>
              <w:left w:val="nil"/>
              <w:bottom w:val="single" w:sz="12" w:space="0" w:color="auto"/>
              <w:right w:val="nil"/>
            </w:tcBorders>
            <w:vAlign w:val="bottom"/>
          </w:tcPr>
          <w:p w14:paraId="6E06FE1F" w14:textId="77777777" w:rsidR="003741D2" w:rsidRPr="00F959D0" w:rsidRDefault="003741D2" w:rsidP="00CA7F04">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7.201 </w:t>
            </w:r>
          </w:p>
        </w:tc>
        <w:tc>
          <w:tcPr>
            <w:tcW w:w="329" w:type="pct"/>
            <w:tcBorders>
              <w:top w:val="single" w:sz="6" w:space="0" w:color="auto"/>
              <w:left w:val="nil"/>
              <w:bottom w:val="single" w:sz="12" w:space="0" w:color="auto"/>
              <w:right w:val="nil"/>
            </w:tcBorders>
            <w:vAlign w:val="bottom"/>
          </w:tcPr>
          <w:p w14:paraId="1D4FE326" w14:textId="77777777" w:rsidR="003741D2" w:rsidRPr="00F959D0" w:rsidRDefault="003741D2" w:rsidP="00CA7F04">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14.348 </w:t>
            </w:r>
          </w:p>
        </w:tc>
        <w:tc>
          <w:tcPr>
            <w:tcW w:w="329" w:type="pct"/>
            <w:tcBorders>
              <w:top w:val="single" w:sz="6" w:space="0" w:color="auto"/>
              <w:left w:val="nil"/>
              <w:bottom w:val="single" w:sz="12" w:space="0" w:color="auto"/>
              <w:right w:val="nil"/>
            </w:tcBorders>
            <w:vAlign w:val="bottom"/>
          </w:tcPr>
          <w:p w14:paraId="1CC9F443" w14:textId="77777777" w:rsidR="003741D2" w:rsidRPr="00F959D0" w:rsidRDefault="003741D2" w:rsidP="00CA7F04">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w:t>
            </w:r>
            <w:r>
              <w:rPr>
                <w:rFonts w:ascii="Arial" w:eastAsia="Calibri" w:hAnsi="Arial" w:cs="Arial"/>
                <w:b/>
                <w:bCs/>
                <w:color w:val="000000" w:themeColor="text1"/>
                <w:sz w:val="14"/>
                <w:szCs w:val="14"/>
              </w:rPr>
              <w:t>-</w:t>
            </w:r>
          </w:p>
        </w:tc>
        <w:tc>
          <w:tcPr>
            <w:tcW w:w="330" w:type="pct"/>
            <w:tcBorders>
              <w:top w:val="nil"/>
              <w:left w:val="nil"/>
              <w:bottom w:val="single" w:sz="12" w:space="0" w:color="auto"/>
              <w:right w:val="nil"/>
            </w:tcBorders>
            <w:shd w:val="clear" w:color="auto" w:fill="auto"/>
            <w:vAlign w:val="bottom"/>
          </w:tcPr>
          <w:p w14:paraId="0AAC5E73" w14:textId="77777777" w:rsidR="003741D2" w:rsidRPr="00F959D0" w:rsidRDefault="003741D2" w:rsidP="00CA7F04">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65</w:t>
            </w:r>
          </w:p>
        </w:tc>
        <w:tc>
          <w:tcPr>
            <w:tcW w:w="371" w:type="pct"/>
            <w:tcBorders>
              <w:top w:val="single" w:sz="6" w:space="0" w:color="auto"/>
              <w:left w:val="nil"/>
              <w:bottom w:val="single" w:sz="12" w:space="0" w:color="auto"/>
              <w:right w:val="nil"/>
            </w:tcBorders>
            <w:vAlign w:val="bottom"/>
          </w:tcPr>
          <w:p w14:paraId="11B0066C" w14:textId="77777777" w:rsidR="003741D2" w:rsidRPr="00F959D0" w:rsidRDefault="003741D2" w:rsidP="00CA7F04">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w:t>
            </w:r>
          </w:p>
        </w:tc>
        <w:tc>
          <w:tcPr>
            <w:tcW w:w="323" w:type="pct"/>
            <w:tcBorders>
              <w:top w:val="single" w:sz="6" w:space="0" w:color="auto"/>
              <w:left w:val="nil"/>
              <w:bottom w:val="single" w:sz="12" w:space="0" w:color="auto"/>
              <w:right w:val="nil"/>
            </w:tcBorders>
            <w:vAlign w:val="bottom"/>
          </w:tcPr>
          <w:p w14:paraId="28F309E5" w14:textId="77777777" w:rsidR="003741D2" w:rsidRPr="00F959D0" w:rsidRDefault="003741D2" w:rsidP="00CA7F04">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174.793</w:t>
            </w:r>
          </w:p>
        </w:tc>
      </w:tr>
      <w:tr w:rsidR="003741D2" w:rsidRPr="00F12E3D" w14:paraId="60525B1F" w14:textId="77777777" w:rsidTr="00CA7F04">
        <w:trPr>
          <w:trHeight w:val="55"/>
        </w:trPr>
        <w:tc>
          <w:tcPr>
            <w:tcW w:w="538" w:type="pct"/>
            <w:vAlign w:val="bottom"/>
          </w:tcPr>
          <w:p w14:paraId="42C565B9" w14:textId="77777777" w:rsidR="003741D2" w:rsidRPr="00F12E3D" w:rsidRDefault="003741D2" w:rsidP="00FD76CA">
            <w:pPr>
              <w:tabs>
                <w:tab w:val="right" w:pos="1202"/>
              </w:tabs>
              <w:outlineLvl w:val="0"/>
              <w:rPr>
                <w:rFonts w:ascii="Arial" w:eastAsia="Calibri" w:hAnsi="Arial" w:cs="Arial"/>
                <w:b/>
                <w:bCs/>
                <w:color w:val="000000" w:themeColor="text1"/>
                <w:sz w:val="14"/>
                <w:szCs w:val="14"/>
              </w:rPr>
            </w:pPr>
            <w:r w:rsidRPr="00F12E3D">
              <w:rPr>
                <w:rFonts w:ascii="Arial" w:eastAsia="Calibri" w:hAnsi="Arial" w:cs="Arial"/>
                <w:b/>
                <w:bCs/>
                <w:color w:val="000000" w:themeColor="text1"/>
                <w:sz w:val="14"/>
                <w:szCs w:val="14"/>
              </w:rPr>
              <w:t>Ukupna izloženost kreditnom riziku</w:t>
            </w:r>
          </w:p>
        </w:tc>
        <w:tc>
          <w:tcPr>
            <w:tcW w:w="301" w:type="pct"/>
            <w:tcBorders>
              <w:top w:val="nil"/>
              <w:left w:val="nil"/>
              <w:bottom w:val="single" w:sz="12" w:space="0" w:color="auto"/>
              <w:right w:val="nil"/>
            </w:tcBorders>
            <w:shd w:val="clear" w:color="auto" w:fill="auto"/>
            <w:vAlign w:val="bottom"/>
          </w:tcPr>
          <w:p w14:paraId="29DC3CB4" w14:textId="77777777" w:rsidR="003741D2" w:rsidRPr="003A2506" w:rsidRDefault="003741D2" w:rsidP="00FD76CA">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3.782.042 </w:t>
            </w:r>
          </w:p>
        </w:tc>
        <w:tc>
          <w:tcPr>
            <w:tcW w:w="298" w:type="pct"/>
            <w:tcBorders>
              <w:top w:val="nil"/>
              <w:left w:val="nil"/>
              <w:bottom w:val="single" w:sz="12" w:space="0" w:color="auto"/>
              <w:right w:val="nil"/>
            </w:tcBorders>
            <w:shd w:val="clear" w:color="auto" w:fill="auto"/>
            <w:vAlign w:val="bottom"/>
          </w:tcPr>
          <w:p w14:paraId="01119EB6" w14:textId="77777777" w:rsidR="003741D2" w:rsidRPr="003A2506" w:rsidRDefault="003741D2" w:rsidP="00FD76CA">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291.025 </w:t>
            </w:r>
          </w:p>
        </w:tc>
        <w:tc>
          <w:tcPr>
            <w:tcW w:w="295" w:type="pct"/>
            <w:tcBorders>
              <w:top w:val="nil"/>
              <w:left w:val="nil"/>
              <w:bottom w:val="single" w:sz="12" w:space="0" w:color="auto"/>
              <w:right w:val="nil"/>
            </w:tcBorders>
            <w:shd w:val="clear" w:color="auto" w:fill="auto"/>
            <w:vAlign w:val="bottom"/>
          </w:tcPr>
          <w:p w14:paraId="1C024D03" w14:textId="77777777" w:rsidR="003741D2" w:rsidRPr="003A2506" w:rsidRDefault="003741D2" w:rsidP="00FD76CA">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153.795 </w:t>
            </w:r>
          </w:p>
        </w:tc>
        <w:tc>
          <w:tcPr>
            <w:tcW w:w="287" w:type="pct"/>
            <w:tcBorders>
              <w:top w:val="nil"/>
              <w:left w:val="nil"/>
              <w:bottom w:val="single" w:sz="12" w:space="0" w:color="auto"/>
              <w:right w:val="nil"/>
            </w:tcBorders>
            <w:shd w:val="clear" w:color="auto" w:fill="auto"/>
            <w:vAlign w:val="bottom"/>
          </w:tcPr>
          <w:p w14:paraId="1F513BF8" w14:textId="77777777" w:rsidR="003741D2" w:rsidRPr="00F959D0" w:rsidRDefault="003741D2" w:rsidP="00FD76CA">
            <w:pPr>
              <w:jc w:val="right"/>
              <w:rPr>
                <w:rFonts w:ascii="Arial" w:eastAsia="Calibri" w:hAnsi="Arial" w:cs="Arial"/>
                <w:b/>
                <w:bCs/>
                <w:sz w:val="14"/>
                <w:szCs w:val="14"/>
              </w:rPr>
            </w:pPr>
            <w:r>
              <w:rPr>
                <w:rFonts w:ascii="Arial" w:eastAsia="Calibri" w:hAnsi="Arial" w:cs="Arial"/>
                <w:b/>
                <w:bCs/>
                <w:sz w:val="14"/>
                <w:szCs w:val="14"/>
              </w:rPr>
              <w:t>5.463</w:t>
            </w:r>
          </w:p>
        </w:tc>
        <w:tc>
          <w:tcPr>
            <w:tcW w:w="297" w:type="pct"/>
            <w:tcBorders>
              <w:top w:val="nil"/>
              <w:left w:val="nil"/>
              <w:bottom w:val="single" w:sz="12" w:space="0" w:color="auto"/>
              <w:right w:val="nil"/>
            </w:tcBorders>
            <w:shd w:val="clear" w:color="auto" w:fill="auto"/>
            <w:vAlign w:val="bottom"/>
          </w:tcPr>
          <w:p w14:paraId="0A7649D7" w14:textId="77777777" w:rsidR="003741D2" w:rsidRPr="003A2506" w:rsidRDefault="003741D2" w:rsidP="00FD76CA">
            <w:pPr>
              <w:jc w:val="right"/>
              <w:rPr>
                <w:rFonts w:ascii="Arial" w:eastAsia="Calibri" w:hAnsi="Arial" w:cs="Arial"/>
                <w:b/>
                <w:bCs/>
                <w:sz w:val="14"/>
                <w:szCs w:val="14"/>
              </w:rPr>
            </w:pPr>
            <w:r>
              <w:rPr>
                <w:rFonts w:ascii="Arial" w:eastAsia="Calibri" w:hAnsi="Arial" w:cs="Arial"/>
                <w:b/>
                <w:bCs/>
                <w:sz w:val="14"/>
                <w:szCs w:val="14"/>
              </w:rPr>
              <w:t>191.899</w:t>
            </w:r>
          </w:p>
        </w:tc>
        <w:tc>
          <w:tcPr>
            <w:tcW w:w="312" w:type="pct"/>
            <w:tcBorders>
              <w:top w:val="nil"/>
              <w:left w:val="nil"/>
              <w:bottom w:val="single" w:sz="12" w:space="0" w:color="auto"/>
              <w:right w:val="nil"/>
            </w:tcBorders>
            <w:shd w:val="clear" w:color="auto" w:fill="auto"/>
            <w:vAlign w:val="bottom"/>
          </w:tcPr>
          <w:p w14:paraId="76FB636E" w14:textId="77777777" w:rsidR="003741D2" w:rsidRPr="003A2506" w:rsidRDefault="003741D2" w:rsidP="00FD76CA">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33.709 </w:t>
            </w:r>
          </w:p>
        </w:tc>
        <w:tc>
          <w:tcPr>
            <w:tcW w:w="333" w:type="pct"/>
            <w:tcBorders>
              <w:top w:val="nil"/>
              <w:left w:val="nil"/>
              <w:bottom w:val="single" w:sz="12" w:space="0" w:color="auto"/>
              <w:right w:val="nil"/>
            </w:tcBorders>
            <w:shd w:val="clear" w:color="auto" w:fill="auto"/>
            <w:vAlign w:val="bottom"/>
          </w:tcPr>
          <w:p w14:paraId="25225C80" w14:textId="77777777" w:rsidR="003741D2" w:rsidRPr="003A2506" w:rsidRDefault="003741D2" w:rsidP="00FD76CA">
            <w:pPr>
              <w:jc w:val="right"/>
              <w:rPr>
                <w:rFonts w:ascii="Arial" w:eastAsia="Calibri" w:hAnsi="Arial" w:cs="Arial"/>
                <w:b/>
                <w:bCs/>
                <w:sz w:val="14"/>
                <w:szCs w:val="14"/>
              </w:rPr>
            </w:pPr>
            <w:r w:rsidRPr="00F84C24">
              <w:rPr>
                <w:rFonts w:ascii="Arial" w:eastAsia="Calibri" w:hAnsi="Arial" w:cs="Arial"/>
                <w:b/>
                <w:bCs/>
                <w:color w:val="000000" w:themeColor="text1"/>
                <w:sz w:val="14"/>
                <w:szCs w:val="14"/>
              </w:rPr>
              <w:t xml:space="preserve"> 4.457.933 </w:t>
            </w:r>
          </w:p>
        </w:tc>
        <w:tc>
          <w:tcPr>
            <w:tcW w:w="328" w:type="pct"/>
            <w:tcBorders>
              <w:top w:val="nil"/>
              <w:left w:val="nil"/>
              <w:bottom w:val="single" w:sz="12" w:space="0" w:color="auto"/>
              <w:right w:val="nil"/>
            </w:tcBorders>
            <w:vAlign w:val="bottom"/>
          </w:tcPr>
          <w:p w14:paraId="32435B2A" w14:textId="77777777" w:rsidR="003741D2" w:rsidRPr="00F959D0" w:rsidRDefault="003741D2" w:rsidP="00FD76CA">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704.776 </w:t>
            </w:r>
          </w:p>
        </w:tc>
        <w:tc>
          <w:tcPr>
            <w:tcW w:w="329" w:type="pct"/>
            <w:tcBorders>
              <w:top w:val="nil"/>
              <w:left w:val="nil"/>
              <w:bottom w:val="single" w:sz="12" w:space="0" w:color="auto"/>
              <w:right w:val="nil"/>
            </w:tcBorders>
            <w:vAlign w:val="bottom"/>
          </w:tcPr>
          <w:p w14:paraId="5D0D2ABB" w14:textId="77777777" w:rsidR="003741D2" w:rsidRPr="00F959D0" w:rsidRDefault="003741D2" w:rsidP="00FD76CA">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36.879 </w:t>
            </w:r>
          </w:p>
        </w:tc>
        <w:tc>
          <w:tcPr>
            <w:tcW w:w="329" w:type="pct"/>
            <w:tcBorders>
              <w:top w:val="nil"/>
              <w:left w:val="nil"/>
              <w:bottom w:val="single" w:sz="12" w:space="0" w:color="auto"/>
              <w:right w:val="nil"/>
            </w:tcBorders>
            <w:vAlign w:val="bottom"/>
          </w:tcPr>
          <w:p w14:paraId="5D2D24EB" w14:textId="77777777" w:rsidR="003741D2" w:rsidRPr="00F959D0" w:rsidRDefault="003741D2" w:rsidP="00FD76CA">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23.053 </w:t>
            </w:r>
          </w:p>
        </w:tc>
        <w:tc>
          <w:tcPr>
            <w:tcW w:w="329" w:type="pct"/>
            <w:tcBorders>
              <w:top w:val="nil"/>
              <w:left w:val="nil"/>
              <w:bottom w:val="single" w:sz="12" w:space="0" w:color="auto"/>
              <w:right w:val="nil"/>
            </w:tcBorders>
            <w:vAlign w:val="bottom"/>
          </w:tcPr>
          <w:p w14:paraId="27EE352C" w14:textId="77777777" w:rsidR="003741D2" w:rsidRPr="00F959D0" w:rsidRDefault="003741D2" w:rsidP="00FD76CA">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66</w:t>
            </w:r>
            <w:r w:rsidRPr="00F959D0">
              <w:rPr>
                <w:rFonts w:ascii="Arial" w:eastAsia="Calibri" w:hAnsi="Arial" w:cs="Arial"/>
                <w:b/>
                <w:bCs/>
                <w:color w:val="000000" w:themeColor="text1"/>
                <w:sz w:val="14"/>
                <w:szCs w:val="14"/>
              </w:rPr>
              <w:t xml:space="preserve"> </w:t>
            </w:r>
          </w:p>
        </w:tc>
        <w:tc>
          <w:tcPr>
            <w:tcW w:w="330" w:type="pct"/>
            <w:tcBorders>
              <w:top w:val="nil"/>
              <w:left w:val="nil"/>
              <w:bottom w:val="single" w:sz="12" w:space="0" w:color="auto"/>
              <w:right w:val="nil"/>
            </w:tcBorders>
            <w:shd w:val="clear" w:color="auto" w:fill="auto"/>
            <w:vAlign w:val="bottom"/>
          </w:tcPr>
          <w:p w14:paraId="787A9EBD" w14:textId="77777777" w:rsidR="003741D2" w:rsidRPr="00F959D0" w:rsidRDefault="003741D2" w:rsidP="00FD76CA">
            <w:pPr>
              <w:jc w:val="right"/>
              <w:rPr>
                <w:rFonts w:ascii="Arial" w:eastAsia="Calibri" w:hAnsi="Arial" w:cs="Arial"/>
                <w:b/>
                <w:bCs/>
                <w:color w:val="000000" w:themeColor="text1"/>
                <w:sz w:val="14"/>
                <w:szCs w:val="14"/>
              </w:rPr>
            </w:pPr>
            <w:r>
              <w:rPr>
                <w:rFonts w:ascii="Arial" w:eastAsia="Calibri" w:hAnsi="Arial" w:cs="Arial"/>
                <w:b/>
                <w:bCs/>
                <w:color w:val="000000" w:themeColor="text1"/>
                <w:sz w:val="14"/>
                <w:szCs w:val="14"/>
              </w:rPr>
              <w:t>9.619</w:t>
            </w:r>
          </w:p>
        </w:tc>
        <w:tc>
          <w:tcPr>
            <w:tcW w:w="371" w:type="pct"/>
            <w:tcBorders>
              <w:top w:val="nil"/>
              <w:left w:val="nil"/>
              <w:bottom w:val="single" w:sz="12" w:space="0" w:color="auto"/>
              <w:right w:val="nil"/>
            </w:tcBorders>
            <w:vAlign w:val="bottom"/>
          </w:tcPr>
          <w:p w14:paraId="1328BCFD" w14:textId="77777777" w:rsidR="003741D2" w:rsidRPr="00F959D0" w:rsidRDefault="003741D2" w:rsidP="00FD76CA">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158 </w:t>
            </w:r>
          </w:p>
        </w:tc>
        <w:tc>
          <w:tcPr>
            <w:tcW w:w="323" w:type="pct"/>
            <w:tcBorders>
              <w:top w:val="nil"/>
              <w:left w:val="nil"/>
              <w:bottom w:val="single" w:sz="12" w:space="0" w:color="auto"/>
              <w:right w:val="nil"/>
            </w:tcBorders>
            <w:vAlign w:val="bottom"/>
          </w:tcPr>
          <w:p w14:paraId="1CE6E0FF" w14:textId="77777777" w:rsidR="003741D2" w:rsidRPr="00F959D0" w:rsidRDefault="003741D2" w:rsidP="00FD76CA">
            <w:pPr>
              <w:jc w:val="right"/>
              <w:rPr>
                <w:rFonts w:ascii="Arial" w:eastAsia="Calibri" w:hAnsi="Arial" w:cs="Arial"/>
                <w:b/>
                <w:bCs/>
                <w:color w:val="000000" w:themeColor="text1"/>
                <w:sz w:val="14"/>
                <w:szCs w:val="14"/>
              </w:rPr>
            </w:pPr>
            <w:r w:rsidRPr="00F959D0">
              <w:rPr>
                <w:rFonts w:ascii="Arial" w:eastAsia="Calibri" w:hAnsi="Arial" w:cs="Arial"/>
                <w:b/>
                <w:bCs/>
                <w:color w:val="000000" w:themeColor="text1"/>
                <w:sz w:val="14"/>
                <w:szCs w:val="14"/>
              </w:rPr>
              <w:t xml:space="preserve"> 774.551 </w:t>
            </w:r>
          </w:p>
        </w:tc>
      </w:tr>
    </w:tbl>
    <w:p w14:paraId="4622309E" w14:textId="04287B45" w:rsidR="003278AB" w:rsidRPr="003D1614" w:rsidRDefault="003278AB" w:rsidP="001A0FCB">
      <w:pPr>
        <w:suppressAutoHyphens/>
        <w:autoSpaceDN w:val="0"/>
        <w:jc w:val="both"/>
        <w:rPr>
          <w:rFonts w:ascii="Arial" w:eastAsia="Times New Roman" w:hAnsi="Arial" w:cs="Arial"/>
          <w:color w:val="000000" w:themeColor="text1"/>
          <w:sz w:val="20"/>
          <w:szCs w:val="20"/>
        </w:rPr>
      </w:pPr>
    </w:p>
    <w:p w14:paraId="4C00BF3C" w14:textId="77777777" w:rsidR="003278AB" w:rsidRPr="003D1614" w:rsidRDefault="003278AB" w:rsidP="001A0FCB">
      <w:pPr>
        <w:suppressAutoHyphens/>
        <w:autoSpaceDN w:val="0"/>
        <w:jc w:val="both"/>
        <w:rPr>
          <w:rFonts w:ascii="Arial" w:eastAsia="Times New Roman" w:hAnsi="Arial" w:cs="Arial"/>
          <w:color w:val="000000" w:themeColor="text1"/>
          <w:sz w:val="20"/>
          <w:szCs w:val="20"/>
        </w:rPr>
        <w:sectPr w:rsidR="003278AB" w:rsidRPr="003D1614" w:rsidSect="003278AB">
          <w:pgSz w:w="16838" w:h="11906" w:orient="landscape"/>
          <w:pgMar w:top="1417" w:right="1417" w:bottom="1417" w:left="1417" w:header="708" w:footer="708" w:gutter="0"/>
          <w:cols w:space="708"/>
          <w:docGrid w:linePitch="360"/>
        </w:sectPr>
      </w:pPr>
    </w:p>
    <w:p w14:paraId="27BBACF0" w14:textId="77777777" w:rsidR="003278AB" w:rsidRPr="003D1614" w:rsidRDefault="003278AB" w:rsidP="003278AB">
      <w:pPr>
        <w:keepNext/>
        <w:suppressAutoHyphens/>
        <w:autoSpaceDN w:val="0"/>
        <w:jc w:val="both"/>
        <w:outlineLvl w:val="0"/>
        <w:rPr>
          <w:rFonts w:ascii="Arial" w:eastAsia="Times New Roman" w:hAnsi="Arial" w:cs="Arial"/>
          <w:b/>
          <w:bCs/>
          <w:color w:val="000000" w:themeColor="text1"/>
          <w:sz w:val="20"/>
          <w:szCs w:val="20"/>
        </w:rPr>
      </w:pPr>
    </w:p>
    <w:p w14:paraId="65E632CD" w14:textId="71496EE6" w:rsidR="003278AB" w:rsidRPr="003D1614" w:rsidRDefault="003278AB" w:rsidP="003278A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4B37C47A" w14:textId="77777777" w:rsidR="003278AB" w:rsidRPr="003D1614" w:rsidRDefault="003278AB" w:rsidP="003278AB">
      <w:pPr>
        <w:keepNext/>
        <w:suppressAutoHyphens/>
        <w:autoSpaceDN w:val="0"/>
        <w:jc w:val="both"/>
        <w:outlineLvl w:val="0"/>
        <w:rPr>
          <w:rFonts w:ascii="Arial" w:eastAsia="Times New Roman" w:hAnsi="Arial" w:cs="Arial"/>
          <w:b/>
          <w:bCs/>
          <w:color w:val="000000" w:themeColor="text1"/>
          <w:sz w:val="20"/>
          <w:szCs w:val="20"/>
        </w:rPr>
      </w:pPr>
    </w:p>
    <w:p w14:paraId="35796CA4" w14:textId="42F51CEB" w:rsidR="003278AB" w:rsidRPr="003D1614" w:rsidRDefault="003278AB" w:rsidP="003278AB">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0E498DC6" w14:textId="77777777" w:rsidR="003278AB" w:rsidRPr="003D1614" w:rsidRDefault="003278AB" w:rsidP="003278AB">
      <w:pPr>
        <w:keepNext/>
        <w:suppressAutoHyphens/>
        <w:autoSpaceDN w:val="0"/>
        <w:jc w:val="both"/>
        <w:outlineLvl w:val="0"/>
        <w:rPr>
          <w:rFonts w:ascii="Arial" w:eastAsia="Times New Roman" w:hAnsi="Arial" w:cs="Arial"/>
          <w:b/>
          <w:bCs/>
          <w:color w:val="000000" w:themeColor="text1"/>
          <w:sz w:val="20"/>
          <w:szCs w:val="20"/>
        </w:rPr>
      </w:pPr>
    </w:p>
    <w:p w14:paraId="36D08F44" w14:textId="77777777" w:rsidR="003278AB" w:rsidRPr="003D1614" w:rsidRDefault="003278AB" w:rsidP="003278AB">
      <w:pPr>
        <w:keepNext/>
        <w:suppressAutoHyphens/>
        <w:autoSpaceDN w:val="0"/>
        <w:spacing w:before="12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Kvaliteta kreditnog rizika prema vrsti financijske imovine (nastavak)</w:t>
      </w:r>
    </w:p>
    <w:p w14:paraId="7A14EF3A" w14:textId="77777777" w:rsidR="003278AB" w:rsidRPr="003D1614" w:rsidRDefault="003278AB" w:rsidP="003278AB">
      <w:pPr>
        <w:tabs>
          <w:tab w:val="left" w:pos="9180"/>
        </w:tabs>
        <w:suppressAutoHyphens/>
        <w:autoSpaceDN w:val="0"/>
        <w:jc w:val="both"/>
        <w:rPr>
          <w:rFonts w:ascii="Arial" w:eastAsia="Calibri" w:hAnsi="Arial" w:cs="Arial"/>
          <w:bCs/>
          <w:color w:val="000000" w:themeColor="text1"/>
          <w:sz w:val="20"/>
          <w:szCs w:val="20"/>
        </w:rPr>
      </w:pPr>
    </w:p>
    <w:p w14:paraId="102A87DF" w14:textId="67D4AAD0" w:rsidR="003278AB" w:rsidRPr="00EA0DC2" w:rsidRDefault="003278AB" w:rsidP="003278AB">
      <w:pPr>
        <w:suppressAutoHyphens/>
        <w:autoSpaceDN w:val="0"/>
        <w:jc w:val="both"/>
        <w:rPr>
          <w:rFonts w:ascii="Arial" w:eastAsia="Times New Roman" w:hAnsi="Arial" w:cs="Arial"/>
          <w:color w:val="000000" w:themeColor="text1"/>
          <w:sz w:val="20"/>
          <w:szCs w:val="20"/>
        </w:rPr>
      </w:pPr>
      <w:r w:rsidRPr="003D1614">
        <w:rPr>
          <w:rFonts w:ascii="Arial" w:eastAsia="Calibri" w:hAnsi="Arial" w:cs="Arial"/>
          <w:bCs/>
          <w:color w:val="000000" w:themeColor="text1"/>
          <w:sz w:val="20"/>
          <w:szCs w:val="20"/>
        </w:rPr>
        <w:t>Na dan 31. ožujka 202</w:t>
      </w:r>
      <w:r w:rsidR="004C33EB">
        <w:rPr>
          <w:rFonts w:ascii="Arial" w:eastAsia="Calibri" w:hAnsi="Arial" w:cs="Arial"/>
          <w:bCs/>
          <w:color w:val="000000" w:themeColor="text1"/>
          <w:sz w:val="20"/>
          <w:szCs w:val="20"/>
        </w:rPr>
        <w:t>4</w:t>
      </w:r>
      <w:r w:rsidRPr="003D1614">
        <w:rPr>
          <w:rFonts w:ascii="Arial" w:eastAsia="Calibri" w:hAnsi="Arial" w:cs="Arial"/>
          <w:bCs/>
          <w:color w:val="000000" w:themeColor="text1"/>
          <w:sz w:val="20"/>
          <w:szCs w:val="20"/>
        </w:rPr>
        <w:t>. u ukupnoj neto najvećoj izloženosti Grupe i Banke i</w:t>
      </w:r>
      <w:r w:rsidRPr="003D1614">
        <w:rPr>
          <w:rFonts w:ascii="Arial" w:eastAsia="Calibri" w:hAnsi="Arial" w:cs="Arial"/>
          <w:color w:val="000000" w:themeColor="text1"/>
          <w:sz w:val="20"/>
          <w:szCs w:val="20"/>
        </w:rPr>
        <w:t xml:space="preserve">znos kredita ostalim korisnicima </w:t>
      </w:r>
      <w:r w:rsidRPr="00EA0DC2">
        <w:rPr>
          <w:rFonts w:ascii="Arial" w:eastAsia="Calibri" w:hAnsi="Arial" w:cs="Arial"/>
          <w:color w:val="000000" w:themeColor="text1"/>
          <w:sz w:val="20"/>
          <w:szCs w:val="20"/>
        </w:rPr>
        <w:t xml:space="preserve">od </w:t>
      </w:r>
      <w:bookmarkStart w:id="748" w:name="_Hlk135732289"/>
      <w:r w:rsidR="00EC23BA" w:rsidRPr="005D1219">
        <w:rPr>
          <w:rFonts w:ascii="Arial" w:eastAsia="Times New Roman" w:hAnsi="Arial" w:cs="Arial"/>
          <w:color w:val="000000" w:themeColor="text1"/>
          <w:sz w:val="20"/>
          <w:szCs w:val="20"/>
        </w:rPr>
        <w:t>1</w:t>
      </w:r>
      <w:r w:rsidR="00EA0DC2" w:rsidRPr="005D1219">
        <w:rPr>
          <w:rFonts w:ascii="Arial" w:eastAsia="Times New Roman" w:hAnsi="Arial" w:cs="Arial"/>
          <w:color w:val="000000" w:themeColor="text1"/>
          <w:sz w:val="20"/>
          <w:szCs w:val="20"/>
        </w:rPr>
        <w:t>96.302</w:t>
      </w:r>
      <w:r w:rsidR="00D92646" w:rsidRPr="00EA0DC2">
        <w:rPr>
          <w:rFonts w:ascii="Arial" w:eastAsia="Times New Roman" w:hAnsi="Arial" w:cs="Arial"/>
          <w:color w:val="000000" w:themeColor="text1"/>
          <w:sz w:val="20"/>
          <w:szCs w:val="20"/>
        </w:rPr>
        <w:t xml:space="preserve"> </w:t>
      </w:r>
      <w:bookmarkEnd w:id="748"/>
      <w:r w:rsidRPr="00EA0DC2">
        <w:rPr>
          <w:rFonts w:ascii="Arial" w:eastAsia="Calibri" w:hAnsi="Arial" w:cs="Arial"/>
          <w:color w:val="000000" w:themeColor="text1"/>
          <w:sz w:val="20"/>
          <w:szCs w:val="20"/>
        </w:rPr>
        <w:t xml:space="preserve">tisuća eura nije pokriven uobičajenim instrumentima osiguranja, ali se odnosi na potraživanja i primljena sredstva od Republike Hrvatske u iznosu od </w:t>
      </w:r>
      <w:bookmarkStart w:id="749" w:name="_Hlk135732368"/>
      <w:r w:rsidR="00EA0DC2">
        <w:rPr>
          <w:rFonts w:ascii="Arial" w:eastAsia="Calibri" w:hAnsi="Arial" w:cs="Arial"/>
          <w:color w:val="000000" w:themeColor="text1"/>
          <w:sz w:val="20"/>
          <w:szCs w:val="20"/>
        </w:rPr>
        <w:t>56.211</w:t>
      </w:r>
      <w:r w:rsidRPr="00EA0DC2">
        <w:rPr>
          <w:rFonts w:ascii="Arial" w:eastAsia="Times New Roman" w:hAnsi="Arial" w:cs="Arial"/>
          <w:color w:val="000000" w:themeColor="text1"/>
          <w:sz w:val="20"/>
          <w:szCs w:val="20"/>
        </w:rPr>
        <w:t xml:space="preserve"> </w:t>
      </w:r>
      <w:bookmarkEnd w:id="749"/>
      <w:r w:rsidRPr="00EA0DC2">
        <w:rPr>
          <w:rFonts w:ascii="Arial" w:eastAsia="Calibri" w:hAnsi="Arial" w:cs="Arial"/>
          <w:color w:val="000000" w:themeColor="text1"/>
          <w:sz w:val="20"/>
          <w:szCs w:val="20"/>
        </w:rPr>
        <w:t xml:space="preserve">tisuća eura, jedinica lokalne i područne (regionalne) samouprave u iznosu od </w:t>
      </w:r>
      <w:bookmarkStart w:id="750" w:name="_Hlk135732378"/>
      <w:r w:rsidR="00EA0DC2">
        <w:rPr>
          <w:rFonts w:ascii="Arial" w:eastAsia="Calibri" w:hAnsi="Arial" w:cs="Arial"/>
          <w:color w:val="000000" w:themeColor="text1"/>
          <w:sz w:val="20"/>
          <w:szCs w:val="20"/>
        </w:rPr>
        <w:t>123.359</w:t>
      </w:r>
      <w:r w:rsidR="00EC23BA" w:rsidRPr="00EA0DC2">
        <w:rPr>
          <w:rFonts w:ascii="Arial" w:eastAsia="Times New Roman" w:hAnsi="Arial" w:cs="Arial"/>
          <w:color w:val="000000" w:themeColor="text1"/>
          <w:sz w:val="20"/>
          <w:szCs w:val="20"/>
        </w:rPr>
        <w:t xml:space="preserve"> </w:t>
      </w:r>
      <w:bookmarkEnd w:id="750"/>
      <w:r w:rsidRPr="00EA0DC2">
        <w:rPr>
          <w:rFonts w:ascii="Arial" w:eastAsia="Calibri" w:hAnsi="Arial" w:cs="Arial"/>
          <w:color w:val="000000" w:themeColor="text1"/>
          <w:sz w:val="20"/>
          <w:szCs w:val="20"/>
        </w:rPr>
        <w:t xml:space="preserve">tisuća eura te državnih trgovačkih društava za čije obveze Republika Hrvatska odgovara solidarno i neograničeno u iznosu od </w:t>
      </w:r>
      <w:bookmarkStart w:id="751" w:name="_Hlk135732386"/>
      <w:r w:rsidR="00EC23BA" w:rsidRPr="00EA0DC2">
        <w:rPr>
          <w:rFonts w:ascii="Arial" w:eastAsia="Times New Roman" w:hAnsi="Arial" w:cs="Arial"/>
          <w:color w:val="000000" w:themeColor="text1"/>
          <w:sz w:val="20"/>
          <w:szCs w:val="20"/>
        </w:rPr>
        <w:t>1</w:t>
      </w:r>
      <w:r w:rsidR="00EA0DC2">
        <w:rPr>
          <w:rFonts w:ascii="Arial" w:eastAsia="Times New Roman" w:hAnsi="Arial" w:cs="Arial"/>
          <w:color w:val="000000" w:themeColor="text1"/>
          <w:sz w:val="20"/>
          <w:szCs w:val="20"/>
        </w:rPr>
        <w:t>6</w:t>
      </w:r>
      <w:r w:rsidR="00EC23BA" w:rsidRPr="00EA0DC2">
        <w:rPr>
          <w:rFonts w:ascii="Arial" w:eastAsia="Times New Roman" w:hAnsi="Arial" w:cs="Arial"/>
          <w:color w:val="000000" w:themeColor="text1"/>
          <w:sz w:val="20"/>
          <w:szCs w:val="20"/>
        </w:rPr>
        <w:t>.</w:t>
      </w:r>
      <w:r w:rsidR="00EA0DC2">
        <w:rPr>
          <w:rFonts w:ascii="Arial" w:eastAsia="Times New Roman" w:hAnsi="Arial" w:cs="Arial"/>
          <w:color w:val="000000" w:themeColor="text1"/>
          <w:sz w:val="20"/>
          <w:szCs w:val="20"/>
        </w:rPr>
        <w:t>732</w:t>
      </w:r>
      <w:r w:rsidR="00D92646" w:rsidRPr="00EA0DC2">
        <w:rPr>
          <w:rFonts w:ascii="Arial" w:eastAsia="Times New Roman" w:hAnsi="Arial" w:cs="Arial"/>
          <w:color w:val="000000" w:themeColor="text1"/>
          <w:sz w:val="20"/>
          <w:szCs w:val="20"/>
        </w:rPr>
        <w:t xml:space="preserve"> </w:t>
      </w:r>
      <w:bookmarkEnd w:id="751"/>
      <w:r w:rsidRPr="00EA0DC2">
        <w:rPr>
          <w:rFonts w:ascii="Arial" w:eastAsia="Calibri" w:hAnsi="Arial" w:cs="Arial"/>
          <w:color w:val="000000" w:themeColor="text1"/>
          <w:sz w:val="20"/>
          <w:szCs w:val="20"/>
        </w:rPr>
        <w:t xml:space="preserve">tisuća eura. </w:t>
      </w:r>
    </w:p>
    <w:p w14:paraId="4AAB3CF8" w14:textId="77777777" w:rsidR="003278AB" w:rsidRPr="00EA0DC2" w:rsidRDefault="003278AB" w:rsidP="003278AB">
      <w:pPr>
        <w:tabs>
          <w:tab w:val="left" w:pos="9180"/>
        </w:tabs>
        <w:suppressAutoHyphens/>
        <w:autoSpaceDN w:val="0"/>
        <w:ind w:right="-289"/>
        <w:jc w:val="both"/>
        <w:rPr>
          <w:rFonts w:ascii="Arial" w:eastAsia="Calibri" w:hAnsi="Arial" w:cs="Arial"/>
          <w:color w:val="000000" w:themeColor="text1"/>
          <w:sz w:val="20"/>
          <w:szCs w:val="20"/>
        </w:rPr>
      </w:pPr>
    </w:p>
    <w:p w14:paraId="264ED076" w14:textId="7AC3484E" w:rsidR="003278AB" w:rsidRPr="00EA0DC2" w:rsidRDefault="003278AB" w:rsidP="003278AB">
      <w:pPr>
        <w:suppressAutoHyphens/>
        <w:autoSpaceDN w:val="0"/>
        <w:jc w:val="both"/>
        <w:rPr>
          <w:rFonts w:ascii="Arial" w:eastAsia="Times New Roman" w:hAnsi="Arial" w:cs="Arial"/>
          <w:b/>
          <w:bCs/>
          <w:color w:val="000000" w:themeColor="text1"/>
          <w:sz w:val="20"/>
          <w:szCs w:val="20"/>
        </w:rPr>
      </w:pPr>
      <w:r w:rsidRPr="00EA0DC2">
        <w:rPr>
          <w:rFonts w:ascii="Arial" w:eastAsia="Calibri" w:hAnsi="Arial" w:cs="Arial"/>
          <w:bCs/>
          <w:color w:val="000000" w:themeColor="text1"/>
          <w:sz w:val="20"/>
          <w:szCs w:val="20"/>
        </w:rPr>
        <w:t>Na dan 31. ožujka 202</w:t>
      </w:r>
      <w:r w:rsidR="00243D16" w:rsidRPr="00EA0DC2">
        <w:rPr>
          <w:rFonts w:ascii="Arial" w:eastAsia="Calibri" w:hAnsi="Arial" w:cs="Arial"/>
          <w:bCs/>
          <w:color w:val="000000" w:themeColor="text1"/>
          <w:sz w:val="20"/>
          <w:szCs w:val="20"/>
        </w:rPr>
        <w:t>4</w:t>
      </w:r>
      <w:r w:rsidRPr="00EA0DC2">
        <w:rPr>
          <w:rFonts w:ascii="Arial" w:eastAsia="Calibri" w:hAnsi="Arial" w:cs="Arial"/>
          <w:bCs/>
          <w:color w:val="000000" w:themeColor="text1"/>
          <w:sz w:val="20"/>
          <w:szCs w:val="20"/>
        </w:rPr>
        <w:t xml:space="preserve">. </w:t>
      </w:r>
      <w:r w:rsidRPr="00EA0DC2">
        <w:rPr>
          <w:rFonts w:ascii="Arial" w:eastAsia="Calibri" w:hAnsi="Arial" w:cs="Arial"/>
          <w:color w:val="000000" w:themeColor="text1"/>
          <w:sz w:val="20"/>
          <w:szCs w:val="20"/>
        </w:rPr>
        <w:t xml:space="preserve">iznos financijske imovine po fer vrijednosti kroz ostalu sveobuhvatnu nije pokriven uobičajenim instrumentima, ali se odnosi na obveznice Republike Hrvatske i trezorske zapise Ministarstva financija u iznosu od </w:t>
      </w:r>
      <w:bookmarkStart w:id="752" w:name="_Hlk135732397"/>
      <w:r w:rsidR="00EA0DC2">
        <w:rPr>
          <w:rFonts w:ascii="Arial" w:eastAsia="Calibri" w:hAnsi="Arial" w:cs="Arial"/>
          <w:color w:val="000000" w:themeColor="text1"/>
          <w:sz w:val="20"/>
          <w:szCs w:val="20"/>
        </w:rPr>
        <w:t>237.547</w:t>
      </w:r>
      <w:r w:rsidR="00D92646" w:rsidRPr="00EA0DC2">
        <w:rPr>
          <w:rFonts w:ascii="Arial" w:eastAsia="Calibri" w:hAnsi="Arial" w:cs="Arial"/>
          <w:color w:val="000000" w:themeColor="text1"/>
          <w:sz w:val="20"/>
          <w:szCs w:val="20"/>
        </w:rPr>
        <w:t xml:space="preserve"> </w:t>
      </w:r>
      <w:bookmarkEnd w:id="752"/>
      <w:r w:rsidRPr="00EA0DC2">
        <w:rPr>
          <w:rFonts w:ascii="Arial" w:eastAsia="Calibri" w:hAnsi="Arial" w:cs="Arial"/>
          <w:color w:val="000000" w:themeColor="text1"/>
          <w:sz w:val="20"/>
          <w:szCs w:val="20"/>
        </w:rPr>
        <w:t xml:space="preserve">tisuća eura kod Grupe i </w:t>
      </w:r>
      <w:bookmarkStart w:id="753" w:name="_Hlk135732408"/>
      <w:r w:rsidR="00EA0DC2">
        <w:rPr>
          <w:rFonts w:ascii="Arial" w:eastAsia="Calibri" w:hAnsi="Arial" w:cs="Arial"/>
          <w:color w:val="000000" w:themeColor="text1"/>
          <w:sz w:val="20"/>
          <w:szCs w:val="20"/>
        </w:rPr>
        <w:t>231.559</w:t>
      </w:r>
      <w:r w:rsidR="00D92646" w:rsidRPr="00EA0DC2">
        <w:rPr>
          <w:rFonts w:ascii="Arial" w:eastAsia="Calibri" w:hAnsi="Arial" w:cs="Arial"/>
          <w:color w:val="000000" w:themeColor="text1"/>
          <w:sz w:val="20"/>
          <w:szCs w:val="20"/>
        </w:rPr>
        <w:t xml:space="preserve"> </w:t>
      </w:r>
      <w:bookmarkEnd w:id="753"/>
      <w:r w:rsidRPr="00EA0DC2">
        <w:rPr>
          <w:rFonts w:ascii="Arial" w:eastAsia="Calibri" w:hAnsi="Arial" w:cs="Arial"/>
          <w:color w:val="000000" w:themeColor="text1"/>
          <w:sz w:val="20"/>
          <w:szCs w:val="20"/>
        </w:rPr>
        <w:t>tisuća eura kod Banke.</w:t>
      </w:r>
    </w:p>
    <w:p w14:paraId="389FF497" w14:textId="77777777" w:rsidR="003278AB" w:rsidRPr="00EA0DC2" w:rsidRDefault="003278AB" w:rsidP="003278AB">
      <w:pPr>
        <w:tabs>
          <w:tab w:val="left" w:pos="9180"/>
        </w:tabs>
        <w:suppressAutoHyphens/>
        <w:autoSpaceDN w:val="0"/>
        <w:jc w:val="both"/>
        <w:rPr>
          <w:rFonts w:ascii="Arial" w:eastAsia="Calibri" w:hAnsi="Arial" w:cs="Arial"/>
          <w:color w:val="000000" w:themeColor="text1"/>
          <w:sz w:val="20"/>
          <w:szCs w:val="20"/>
        </w:rPr>
      </w:pPr>
    </w:p>
    <w:p w14:paraId="6B7727C2" w14:textId="2464028F" w:rsidR="003278AB" w:rsidRPr="003D1614" w:rsidRDefault="003278AB" w:rsidP="003278AB">
      <w:pPr>
        <w:tabs>
          <w:tab w:val="left" w:pos="9180"/>
        </w:tabs>
        <w:suppressAutoHyphens/>
        <w:autoSpaceDN w:val="0"/>
        <w:jc w:val="both"/>
        <w:rPr>
          <w:rFonts w:ascii="Arial" w:eastAsia="Calibri" w:hAnsi="Arial" w:cs="Arial"/>
          <w:color w:val="000000" w:themeColor="text1"/>
          <w:sz w:val="20"/>
          <w:szCs w:val="20"/>
        </w:rPr>
      </w:pPr>
      <w:r w:rsidRPr="00EA0DC2">
        <w:rPr>
          <w:rFonts w:ascii="Arial" w:eastAsia="Calibri" w:hAnsi="Arial" w:cs="Arial"/>
          <w:bCs/>
          <w:color w:val="000000" w:themeColor="text1"/>
          <w:sz w:val="20"/>
          <w:szCs w:val="20"/>
        </w:rPr>
        <w:t>Na dan 31. ožujka 20</w:t>
      </w:r>
      <w:r w:rsidR="00243D16" w:rsidRPr="00EA0DC2">
        <w:rPr>
          <w:rFonts w:ascii="Arial" w:eastAsia="Calibri" w:hAnsi="Arial" w:cs="Arial"/>
          <w:bCs/>
          <w:color w:val="000000" w:themeColor="text1"/>
          <w:sz w:val="20"/>
          <w:szCs w:val="20"/>
        </w:rPr>
        <w:t>24</w:t>
      </w:r>
      <w:r w:rsidRPr="00EA0DC2">
        <w:rPr>
          <w:rFonts w:ascii="Arial" w:eastAsia="Calibri" w:hAnsi="Arial" w:cs="Arial"/>
          <w:bCs/>
          <w:color w:val="000000" w:themeColor="text1"/>
          <w:sz w:val="20"/>
          <w:szCs w:val="20"/>
        </w:rPr>
        <w:t xml:space="preserve">. </w:t>
      </w:r>
      <w:r w:rsidRPr="00EA0DC2">
        <w:rPr>
          <w:rFonts w:ascii="Arial" w:eastAsia="Calibri" w:hAnsi="Arial" w:cs="Arial"/>
          <w:color w:val="000000" w:themeColor="text1"/>
          <w:sz w:val="20"/>
          <w:szCs w:val="20"/>
        </w:rPr>
        <w:t xml:space="preserve">ostala imovina u iznosu od </w:t>
      </w:r>
      <w:r w:rsidR="00EA0DC2">
        <w:rPr>
          <w:rFonts w:ascii="Arial" w:eastAsia="Calibri" w:hAnsi="Arial" w:cs="Arial"/>
          <w:color w:val="000000" w:themeColor="text1"/>
          <w:sz w:val="20"/>
          <w:szCs w:val="20"/>
        </w:rPr>
        <w:t>34</w:t>
      </w:r>
      <w:r w:rsidRPr="00EA0DC2">
        <w:rPr>
          <w:rFonts w:ascii="Arial" w:eastAsia="Calibri" w:hAnsi="Arial" w:cs="Arial"/>
          <w:color w:val="000000" w:themeColor="text1"/>
          <w:sz w:val="20"/>
          <w:szCs w:val="20"/>
        </w:rPr>
        <w:t xml:space="preserve"> tisuća eura nije</w:t>
      </w:r>
      <w:r w:rsidRPr="003D1614">
        <w:rPr>
          <w:rFonts w:ascii="Arial" w:eastAsia="Calibri" w:hAnsi="Arial" w:cs="Arial"/>
          <w:color w:val="000000" w:themeColor="text1"/>
          <w:sz w:val="20"/>
          <w:szCs w:val="20"/>
        </w:rPr>
        <w:t xml:space="preserve"> pokrivena uobičajenim instrumentima osiguranja, ali se odnosi na potraživanja od Republike Hrvatske i republičkih fondova. </w:t>
      </w:r>
    </w:p>
    <w:p w14:paraId="6DA60753" w14:textId="77777777" w:rsidR="003278AB" w:rsidRPr="003D1614" w:rsidRDefault="003278AB" w:rsidP="003278AB">
      <w:pPr>
        <w:tabs>
          <w:tab w:val="left" w:pos="9180"/>
        </w:tabs>
        <w:suppressAutoHyphens/>
        <w:autoSpaceDN w:val="0"/>
        <w:jc w:val="both"/>
        <w:rPr>
          <w:rFonts w:ascii="Arial" w:eastAsia="Calibri" w:hAnsi="Arial" w:cs="Arial"/>
          <w:bCs/>
          <w:color w:val="000000" w:themeColor="text1"/>
          <w:sz w:val="20"/>
          <w:szCs w:val="20"/>
        </w:rPr>
      </w:pPr>
    </w:p>
    <w:p w14:paraId="19F635B5" w14:textId="77777777" w:rsidR="008D3601" w:rsidRPr="00AD5A5C" w:rsidRDefault="008D3601" w:rsidP="008D3601">
      <w:pPr>
        <w:jc w:val="both"/>
        <w:rPr>
          <w:rFonts w:ascii="Arial" w:hAnsi="Arial" w:cs="Arial"/>
          <w:sz w:val="20"/>
          <w:szCs w:val="20"/>
        </w:rPr>
      </w:pPr>
      <w:r w:rsidRPr="00AD5A5C">
        <w:rPr>
          <w:rFonts w:ascii="Arial" w:eastAsia="Calibri" w:hAnsi="Arial" w:cs="Arial"/>
          <w:bCs/>
          <w:color w:val="000000" w:themeColor="text1"/>
          <w:sz w:val="20"/>
          <w:szCs w:val="20"/>
        </w:rPr>
        <w:t>Na dan 31. prosinca 202</w:t>
      </w:r>
      <w:r>
        <w:rPr>
          <w:rFonts w:ascii="Arial" w:eastAsia="Calibri" w:hAnsi="Arial" w:cs="Arial"/>
          <w:bCs/>
          <w:color w:val="000000" w:themeColor="text1"/>
          <w:sz w:val="20"/>
          <w:szCs w:val="20"/>
        </w:rPr>
        <w:t>3</w:t>
      </w:r>
      <w:r w:rsidRPr="00AD5A5C">
        <w:rPr>
          <w:rFonts w:ascii="Arial" w:eastAsia="Calibri" w:hAnsi="Arial" w:cs="Arial"/>
          <w:bCs/>
          <w:color w:val="000000" w:themeColor="text1"/>
          <w:sz w:val="20"/>
          <w:szCs w:val="20"/>
        </w:rPr>
        <w:t>. u ukupnoj neto najvećoj izloženosti Grupe i Banke i</w:t>
      </w:r>
      <w:r w:rsidRPr="00AD5A5C">
        <w:rPr>
          <w:rFonts w:ascii="Arial" w:eastAsia="Calibri" w:hAnsi="Arial" w:cs="Arial"/>
          <w:color w:val="000000" w:themeColor="text1"/>
          <w:sz w:val="20"/>
          <w:szCs w:val="20"/>
        </w:rPr>
        <w:t xml:space="preserve">znos kredita ostalim korisnicima od </w:t>
      </w:r>
      <w:r>
        <w:rPr>
          <w:rFonts w:ascii="Arial" w:hAnsi="Arial" w:cs="Arial"/>
          <w:sz w:val="20"/>
          <w:szCs w:val="20"/>
        </w:rPr>
        <w:t xml:space="preserve">191.406 </w:t>
      </w:r>
      <w:r w:rsidRPr="00AD5A5C">
        <w:rPr>
          <w:rFonts w:ascii="Arial" w:eastAsia="Calibri" w:hAnsi="Arial" w:cs="Arial"/>
          <w:color w:val="000000" w:themeColor="text1"/>
          <w:sz w:val="20"/>
          <w:szCs w:val="20"/>
        </w:rPr>
        <w:t xml:space="preserve">tisuća </w:t>
      </w:r>
      <w:r>
        <w:rPr>
          <w:rFonts w:ascii="Arial" w:eastAsia="Calibri" w:hAnsi="Arial" w:cs="Arial"/>
          <w:color w:val="000000" w:themeColor="text1"/>
          <w:sz w:val="20"/>
          <w:szCs w:val="20"/>
        </w:rPr>
        <w:t>eura</w:t>
      </w:r>
      <w:r w:rsidRPr="00AD5A5C">
        <w:rPr>
          <w:rFonts w:ascii="Arial" w:eastAsia="Calibri" w:hAnsi="Arial" w:cs="Arial"/>
          <w:color w:val="000000" w:themeColor="text1"/>
          <w:sz w:val="20"/>
          <w:szCs w:val="20"/>
        </w:rPr>
        <w:t xml:space="preserve"> nije pokriven uobičajenim instrumentima osiguranja, ali se odnosi na potraživanja i primljena sredstva od Republike Hrvatske u iznosu od </w:t>
      </w:r>
      <w:r>
        <w:rPr>
          <w:rFonts w:ascii="Arial" w:hAnsi="Arial" w:cs="Arial"/>
          <w:sz w:val="20"/>
          <w:szCs w:val="20"/>
        </w:rPr>
        <w:t xml:space="preserve">58.839 </w:t>
      </w:r>
      <w:r w:rsidRPr="00AD5A5C">
        <w:rPr>
          <w:rFonts w:ascii="Arial" w:eastAsia="Calibri" w:hAnsi="Arial" w:cs="Arial"/>
          <w:color w:val="000000" w:themeColor="text1"/>
          <w:sz w:val="20"/>
          <w:szCs w:val="20"/>
        </w:rPr>
        <w:t xml:space="preserve">tisuća </w:t>
      </w:r>
      <w:r>
        <w:rPr>
          <w:rFonts w:ascii="Arial" w:eastAsia="Calibri" w:hAnsi="Arial" w:cs="Arial"/>
          <w:color w:val="000000" w:themeColor="text1"/>
          <w:sz w:val="20"/>
          <w:szCs w:val="20"/>
        </w:rPr>
        <w:t>eur</w:t>
      </w:r>
      <w:r w:rsidRPr="00AD5A5C">
        <w:rPr>
          <w:rFonts w:ascii="Arial" w:eastAsia="Calibri" w:hAnsi="Arial" w:cs="Arial"/>
          <w:color w:val="000000" w:themeColor="text1"/>
          <w:sz w:val="20"/>
          <w:szCs w:val="20"/>
        </w:rPr>
        <w:t xml:space="preserve">a, jedinica lokalne i područne (regionalne) samouprave u iznosu od </w:t>
      </w:r>
      <w:r>
        <w:rPr>
          <w:rFonts w:ascii="Arial" w:eastAsia="Calibri" w:hAnsi="Arial" w:cs="Arial"/>
          <w:color w:val="000000" w:themeColor="text1"/>
          <w:sz w:val="20"/>
          <w:szCs w:val="20"/>
        </w:rPr>
        <w:t xml:space="preserve">115.038 </w:t>
      </w:r>
      <w:r w:rsidRPr="00AD5A5C">
        <w:rPr>
          <w:rFonts w:ascii="Arial" w:eastAsia="Calibri" w:hAnsi="Arial" w:cs="Arial"/>
          <w:color w:val="000000" w:themeColor="text1"/>
          <w:sz w:val="20"/>
          <w:szCs w:val="20"/>
        </w:rPr>
        <w:t xml:space="preserve">tisuća </w:t>
      </w:r>
      <w:r>
        <w:rPr>
          <w:rFonts w:ascii="Arial" w:eastAsia="Calibri" w:hAnsi="Arial" w:cs="Arial"/>
          <w:color w:val="000000" w:themeColor="text1"/>
          <w:sz w:val="20"/>
          <w:szCs w:val="20"/>
        </w:rPr>
        <w:t>eur</w:t>
      </w:r>
      <w:r w:rsidRPr="00AD5A5C">
        <w:rPr>
          <w:rFonts w:ascii="Arial" w:eastAsia="Calibri" w:hAnsi="Arial" w:cs="Arial"/>
          <w:color w:val="000000" w:themeColor="text1"/>
          <w:sz w:val="20"/>
          <w:szCs w:val="20"/>
        </w:rPr>
        <w:t xml:space="preserve">a te državnih trgovačkih društava za čije obveze Republika Hrvatska odgovara solidarno i neograničeno u iznosu od </w:t>
      </w:r>
      <w:r>
        <w:rPr>
          <w:rFonts w:ascii="Arial" w:hAnsi="Arial" w:cs="Arial"/>
          <w:sz w:val="20"/>
          <w:szCs w:val="20"/>
        </w:rPr>
        <w:t xml:space="preserve">17.529 </w:t>
      </w:r>
      <w:r w:rsidRPr="00AD5A5C">
        <w:rPr>
          <w:rFonts w:ascii="Arial" w:eastAsia="Calibri" w:hAnsi="Arial" w:cs="Arial"/>
          <w:color w:val="000000" w:themeColor="text1"/>
          <w:sz w:val="20"/>
          <w:szCs w:val="20"/>
        </w:rPr>
        <w:t>tisuća</w:t>
      </w:r>
      <w:r>
        <w:rPr>
          <w:rFonts w:ascii="Arial" w:eastAsia="Calibri" w:hAnsi="Arial" w:cs="Arial"/>
          <w:color w:val="000000" w:themeColor="text1"/>
          <w:sz w:val="20"/>
          <w:szCs w:val="20"/>
        </w:rPr>
        <w:t xml:space="preserve"> eura</w:t>
      </w:r>
      <w:r w:rsidRPr="00AD5A5C">
        <w:rPr>
          <w:rFonts w:ascii="Arial" w:eastAsia="Calibri" w:hAnsi="Arial" w:cs="Arial"/>
          <w:color w:val="000000" w:themeColor="text1"/>
          <w:sz w:val="20"/>
          <w:szCs w:val="20"/>
        </w:rPr>
        <w:t xml:space="preserve">. </w:t>
      </w:r>
    </w:p>
    <w:p w14:paraId="15771189" w14:textId="77777777" w:rsidR="008D3601" w:rsidRPr="00AD5A5C" w:rsidRDefault="008D3601" w:rsidP="008D3601">
      <w:pPr>
        <w:tabs>
          <w:tab w:val="left" w:pos="9180"/>
        </w:tabs>
        <w:ind w:right="-289"/>
        <w:jc w:val="both"/>
        <w:rPr>
          <w:rFonts w:ascii="Arial" w:eastAsia="Calibri" w:hAnsi="Arial" w:cs="Arial"/>
          <w:color w:val="000000" w:themeColor="text1"/>
          <w:sz w:val="20"/>
          <w:szCs w:val="20"/>
        </w:rPr>
      </w:pPr>
    </w:p>
    <w:p w14:paraId="13E871C4" w14:textId="77777777" w:rsidR="008D3601" w:rsidRPr="00AD5A5C" w:rsidRDefault="008D3601" w:rsidP="008D3601">
      <w:pPr>
        <w:jc w:val="both"/>
        <w:rPr>
          <w:rFonts w:ascii="Arial" w:hAnsi="Arial" w:cs="Arial"/>
          <w:b/>
          <w:bCs/>
          <w:color w:val="FF0000"/>
          <w:sz w:val="20"/>
          <w:szCs w:val="20"/>
        </w:rPr>
      </w:pPr>
      <w:r w:rsidRPr="00AD5A5C">
        <w:rPr>
          <w:rFonts w:ascii="Arial" w:eastAsia="Calibri" w:hAnsi="Arial" w:cs="Arial"/>
          <w:bCs/>
          <w:color w:val="000000" w:themeColor="text1"/>
          <w:sz w:val="20"/>
          <w:szCs w:val="20"/>
        </w:rPr>
        <w:t>Na dan 31. prosinca 202</w:t>
      </w:r>
      <w:r>
        <w:rPr>
          <w:rFonts w:ascii="Arial" w:eastAsia="Calibri" w:hAnsi="Arial" w:cs="Arial"/>
          <w:bCs/>
          <w:color w:val="000000" w:themeColor="text1"/>
          <w:sz w:val="20"/>
          <w:szCs w:val="20"/>
        </w:rPr>
        <w:t>3</w:t>
      </w:r>
      <w:r w:rsidRPr="00AD5A5C">
        <w:rPr>
          <w:rFonts w:ascii="Arial" w:eastAsia="Calibri" w:hAnsi="Arial" w:cs="Arial"/>
          <w:bCs/>
          <w:color w:val="000000" w:themeColor="text1"/>
          <w:sz w:val="20"/>
          <w:szCs w:val="20"/>
        </w:rPr>
        <w:t xml:space="preserve">. </w:t>
      </w:r>
      <w:r w:rsidRPr="00AD5A5C">
        <w:rPr>
          <w:rFonts w:ascii="Arial" w:eastAsia="Calibri" w:hAnsi="Arial" w:cs="Arial"/>
          <w:color w:val="000000" w:themeColor="text1"/>
          <w:sz w:val="20"/>
          <w:szCs w:val="20"/>
        </w:rPr>
        <w:t xml:space="preserve">iznos financijske imovine po fer vrijednosti kroz ostalu sveobuhvatnu nije pokriven uobičajenim instrumentima, ali se odnosi na obveznice Republike Hrvatske i trezorske zapise Ministarstva financija u iznosu od </w:t>
      </w:r>
      <w:r>
        <w:rPr>
          <w:rFonts w:ascii="Arial" w:hAnsi="Arial" w:cs="Arial"/>
          <w:sz w:val="20"/>
          <w:szCs w:val="20"/>
        </w:rPr>
        <w:t xml:space="preserve">226.853 </w:t>
      </w:r>
      <w:r w:rsidRPr="00AD5A5C">
        <w:rPr>
          <w:rFonts w:ascii="Arial" w:eastAsia="Calibri" w:hAnsi="Arial" w:cs="Arial"/>
          <w:sz w:val="20"/>
          <w:szCs w:val="20"/>
        </w:rPr>
        <w:t xml:space="preserve">tisuća </w:t>
      </w:r>
      <w:r>
        <w:rPr>
          <w:rFonts w:ascii="Arial" w:eastAsia="Calibri" w:hAnsi="Arial" w:cs="Arial"/>
          <w:color w:val="000000" w:themeColor="text1"/>
          <w:sz w:val="20"/>
          <w:szCs w:val="20"/>
        </w:rPr>
        <w:t>eur</w:t>
      </w:r>
      <w:r w:rsidRPr="00AD5A5C">
        <w:rPr>
          <w:rFonts w:ascii="Arial" w:eastAsia="Calibri" w:hAnsi="Arial" w:cs="Arial"/>
          <w:color w:val="000000" w:themeColor="text1"/>
          <w:sz w:val="20"/>
          <w:szCs w:val="20"/>
        </w:rPr>
        <w:t xml:space="preserve">a kod Grupe i </w:t>
      </w:r>
      <w:r>
        <w:rPr>
          <w:rFonts w:ascii="Arial" w:hAnsi="Arial" w:cs="Arial"/>
          <w:sz w:val="20"/>
          <w:szCs w:val="20"/>
        </w:rPr>
        <w:t xml:space="preserve">220.815 </w:t>
      </w:r>
      <w:r w:rsidRPr="00AD5A5C">
        <w:rPr>
          <w:rFonts w:ascii="Arial" w:eastAsia="Calibri" w:hAnsi="Arial" w:cs="Arial"/>
          <w:color w:val="000000" w:themeColor="text1"/>
          <w:sz w:val="20"/>
          <w:szCs w:val="20"/>
        </w:rPr>
        <w:t xml:space="preserve">tisuća </w:t>
      </w:r>
      <w:r>
        <w:rPr>
          <w:rFonts w:ascii="Arial" w:eastAsia="Calibri" w:hAnsi="Arial" w:cs="Arial"/>
          <w:color w:val="000000" w:themeColor="text1"/>
          <w:sz w:val="20"/>
          <w:szCs w:val="20"/>
        </w:rPr>
        <w:t>eur</w:t>
      </w:r>
      <w:r w:rsidRPr="00AD5A5C">
        <w:rPr>
          <w:rFonts w:ascii="Arial" w:eastAsia="Calibri" w:hAnsi="Arial" w:cs="Arial"/>
          <w:color w:val="000000" w:themeColor="text1"/>
          <w:sz w:val="20"/>
          <w:szCs w:val="20"/>
        </w:rPr>
        <w:t>a kod Banke.</w:t>
      </w:r>
    </w:p>
    <w:p w14:paraId="57611A22" w14:textId="77777777" w:rsidR="008D3601" w:rsidRPr="00AD5A5C" w:rsidRDefault="008D3601" w:rsidP="008D3601">
      <w:pPr>
        <w:tabs>
          <w:tab w:val="left" w:pos="9180"/>
        </w:tabs>
        <w:jc w:val="both"/>
        <w:rPr>
          <w:rFonts w:ascii="Arial" w:eastAsia="Calibri" w:hAnsi="Arial" w:cs="Arial"/>
          <w:color w:val="000000" w:themeColor="text1"/>
          <w:sz w:val="20"/>
          <w:szCs w:val="20"/>
        </w:rPr>
      </w:pPr>
    </w:p>
    <w:p w14:paraId="43347174" w14:textId="77777777" w:rsidR="008D3601" w:rsidRPr="00AD5A5C" w:rsidRDefault="008D3601" w:rsidP="008D3601">
      <w:pPr>
        <w:tabs>
          <w:tab w:val="left" w:pos="9180"/>
        </w:tabs>
        <w:jc w:val="both"/>
        <w:rPr>
          <w:rFonts w:ascii="Arial" w:eastAsia="Calibri" w:hAnsi="Arial" w:cs="Arial"/>
          <w:color w:val="000000" w:themeColor="text1"/>
          <w:sz w:val="20"/>
          <w:szCs w:val="20"/>
        </w:rPr>
      </w:pPr>
      <w:r w:rsidRPr="00AD5A5C">
        <w:rPr>
          <w:rFonts w:ascii="Arial" w:eastAsia="Calibri" w:hAnsi="Arial" w:cs="Arial"/>
          <w:bCs/>
          <w:color w:val="000000" w:themeColor="text1"/>
          <w:sz w:val="20"/>
          <w:szCs w:val="20"/>
        </w:rPr>
        <w:t>Na dan 31. prosinca 202</w:t>
      </w:r>
      <w:r>
        <w:rPr>
          <w:rFonts w:ascii="Arial" w:eastAsia="Calibri" w:hAnsi="Arial" w:cs="Arial"/>
          <w:bCs/>
          <w:color w:val="000000" w:themeColor="text1"/>
          <w:sz w:val="20"/>
          <w:szCs w:val="20"/>
        </w:rPr>
        <w:t>3</w:t>
      </w:r>
      <w:r w:rsidRPr="00AD5A5C">
        <w:rPr>
          <w:rFonts w:ascii="Arial" w:eastAsia="Calibri" w:hAnsi="Arial" w:cs="Arial"/>
          <w:bCs/>
          <w:color w:val="000000" w:themeColor="text1"/>
          <w:sz w:val="20"/>
          <w:szCs w:val="20"/>
        </w:rPr>
        <w:t xml:space="preserve">. </w:t>
      </w:r>
      <w:r w:rsidRPr="00AD5A5C">
        <w:rPr>
          <w:rFonts w:ascii="Arial" w:eastAsia="Calibri" w:hAnsi="Arial" w:cs="Arial"/>
          <w:color w:val="000000" w:themeColor="text1"/>
          <w:sz w:val="20"/>
          <w:szCs w:val="20"/>
        </w:rPr>
        <w:t xml:space="preserve">ostala imovina u iznosu od </w:t>
      </w:r>
      <w:r>
        <w:rPr>
          <w:rFonts w:ascii="Arial" w:eastAsia="Calibri" w:hAnsi="Arial" w:cs="Arial"/>
          <w:color w:val="000000" w:themeColor="text1"/>
          <w:sz w:val="20"/>
          <w:szCs w:val="20"/>
        </w:rPr>
        <w:t>80</w:t>
      </w:r>
      <w:r w:rsidRPr="00AD5A5C">
        <w:rPr>
          <w:rFonts w:ascii="Arial" w:eastAsia="Calibri" w:hAnsi="Arial" w:cs="Arial"/>
          <w:color w:val="000000" w:themeColor="text1"/>
          <w:sz w:val="20"/>
          <w:szCs w:val="20"/>
        </w:rPr>
        <w:t xml:space="preserve"> tisuća </w:t>
      </w:r>
      <w:r>
        <w:rPr>
          <w:rFonts w:ascii="Arial" w:eastAsia="Calibri" w:hAnsi="Arial" w:cs="Arial"/>
          <w:color w:val="000000" w:themeColor="text1"/>
          <w:sz w:val="20"/>
          <w:szCs w:val="20"/>
        </w:rPr>
        <w:t>eur</w:t>
      </w:r>
      <w:r w:rsidRPr="00AD5A5C">
        <w:rPr>
          <w:rFonts w:ascii="Arial" w:eastAsia="Calibri" w:hAnsi="Arial" w:cs="Arial"/>
          <w:color w:val="000000" w:themeColor="text1"/>
          <w:sz w:val="20"/>
          <w:szCs w:val="20"/>
        </w:rPr>
        <w:t xml:space="preserve">a nije pokrivena uobičajenim instrumentima osiguranja, ali se odnosi na potraživanja od Republike Hrvatske i republičkih fondova. </w:t>
      </w:r>
    </w:p>
    <w:p w14:paraId="34B43136" w14:textId="77777777" w:rsidR="003278AB" w:rsidRPr="003D1614" w:rsidRDefault="003278AB" w:rsidP="003278AB">
      <w:pPr>
        <w:tabs>
          <w:tab w:val="left" w:pos="9180"/>
        </w:tabs>
        <w:suppressAutoHyphens/>
        <w:autoSpaceDN w:val="0"/>
        <w:ind w:right="-289"/>
        <w:jc w:val="both"/>
        <w:rPr>
          <w:rFonts w:ascii="Arial" w:eastAsia="Calibri" w:hAnsi="Arial" w:cs="Arial"/>
          <w:bCs/>
          <w:color w:val="000000" w:themeColor="text1"/>
          <w:sz w:val="20"/>
          <w:szCs w:val="20"/>
        </w:rPr>
      </w:pPr>
    </w:p>
    <w:p w14:paraId="6C9489C9" w14:textId="77777777" w:rsidR="00D92646" w:rsidRPr="003D1614" w:rsidRDefault="00D92646" w:rsidP="001A0FCB">
      <w:pPr>
        <w:suppressAutoHyphens/>
        <w:autoSpaceDN w:val="0"/>
        <w:jc w:val="both"/>
        <w:rPr>
          <w:rFonts w:ascii="Arial" w:eastAsia="Times New Roman" w:hAnsi="Arial" w:cs="Arial"/>
          <w:color w:val="000000" w:themeColor="text1"/>
          <w:sz w:val="20"/>
          <w:szCs w:val="20"/>
        </w:rPr>
      </w:pPr>
    </w:p>
    <w:p w14:paraId="7E3708FB" w14:textId="64B41B9F" w:rsidR="00D92646" w:rsidRPr="003D1614" w:rsidRDefault="00D92646" w:rsidP="001A0FCB">
      <w:pPr>
        <w:suppressAutoHyphens/>
        <w:autoSpaceDN w:val="0"/>
        <w:jc w:val="both"/>
        <w:rPr>
          <w:rFonts w:ascii="Arial" w:eastAsia="Times New Roman" w:hAnsi="Arial" w:cs="Arial"/>
          <w:color w:val="000000" w:themeColor="text1"/>
          <w:sz w:val="20"/>
          <w:szCs w:val="20"/>
        </w:rPr>
        <w:sectPr w:rsidR="00D92646" w:rsidRPr="003D1614" w:rsidSect="003278AB">
          <w:pgSz w:w="11906" w:h="16838"/>
          <w:pgMar w:top="1417" w:right="1417" w:bottom="1417" w:left="1417" w:header="708" w:footer="708" w:gutter="0"/>
          <w:cols w:space="708"/>
          <w:docGrid w:linePitch="360"/>
        </w:sectPr>
      </w:pPr>
    </w:p>
    <w:p w14:paraId="0D92EB0F" w14:textId="77777777" w:rsidR="00D92646" w:rsidRPr="003D1614" w:rsidRDefault="00D92646" w:rsidP="00D92646">
      <w:pPr>
        <w:keepNext/>
        <w:suppressAutoHyphens/>
        <w:autoSpaceDN w:val="0"/>
        <w:jc w:val="both"/>
        <w:outlineLvl w:val="0"/>
        <w:rPr>
          <w:rFonts w:ascii="Arial" w:eastAsia="Times New Roman" w:hAnsi="Arial" w:cs="Arial"/>
          <w:b/>
          <w:bCs/>
          <w:color w:val="000000" w:themeColor="text1"/>
          <w:sz w:val="20"/>
          <w:szCs w:val="20"/>
        </w:rPr>
      </w:pPr>
    </w:p>
    <w:p w14:paraId="58505093" w14:textId="0B412602" w:rsidR="00D92646" w:rsidRPr="003D1614" w:rsidRDefault="00D92646" w:rsidP="00D92646">
      <w:pPr>
        <w:keepNext/>
        <w:suppressAutoHyphens/>
        <w:autoSpaceDN w:val="0"/>
        <w:jc w:val="both"/>
        <w:outlineLvl w:val="0"/>
        <w:rPr>
          <w:rFonts w:ascii="Arial" w:eastAsia="Times New Roman" w:hAnsi="Arial" w:cs="Arial"/>
          <w:b/>
          <w:bCs/>
          <w:color w:val="000000" w:themeColor="text1"/>
          <w:sz w:val="20"/>
          <w:szCs w:val="20"/>
        </w:rPr>
      </w:pPr>
      <w:bookmarkStart w:id="754" w:name="_Hlk1732888"/>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1C30051A" w14:textId="77777777" w:rsidR="00D92646" w:rsidRPr="003D1614" w:rsidRDefault="00D92646" w:rsidP="00D92646">
      <w:pPr>
        <w:keepNext/>
        <w:suppressAutoHyphens/>
        <w:autoSpaceDN w:val="0"/>
        <w:jc w:val="both"/>
        <w:outlineLvl w:val="0"/>
        <w:rPr>
          <w:rFonts w:ascii="Arial" w:eastAsia="Times New Roman" w:hAnsi="Arial" w:cs="Arial"/>
          <w:b/>
          <w:bCs/>
          <w:color w:val="000000" w:themeColor="text1"/>
          <w:sz w:val="20"/>
          <w:szCs w:val="20"/>
        </w:rPr>
      </w:pPr>
    </w:p>
    <w:p w14:paraId="794066EC" w14:textId="24C360EB" w:rsidR="00D92646" w:rsidRPr="003D1614" w:rsidRDefault="00D92646" w:rsidP="00D926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36B95995" w14:textId="77777777" w:rsidR="00D92646" w:rsidRPr="003D1614" w:rsidRDefault="00D92646" w:rsidP="00D92646">
      <w:pPr>
        <w:keepNext/>
        <w:suppressAutoHyphens/>
        <w:autoSpaceDN w:val="0"/>
        <w:jc w:val="both"/>
        <w:outlineLvl w:val="0"/>
        <w:rPr>
          <w:rFonts w:ascii="Arial" w:eastAsia="Times New Roman" w:hAnsi="Arial" w:cs="Arial"/>
          <w:b/>
          <w:bCs/>
          <w:color w:val="000000" w:themeColor="text1"/>
          <w:sz w:val="20"/>
          <w:szCs w:val="20"/>
        </w:rPr>
      </w:pPr>
    </w:p>
    <w:p w14:paraId="7FAE67B1" w14:textId="77777777" w:rsidR="00D92646" w:rsidRPr="003D1614" w:rsidRDefault="00D92646" w:rsidP="00D92646">
      <w:pPr>
        <w:keepNext/>
        <w:numPr>
          <w:ilvl w:val="8"/>
          <w:numId w:val="28"/>
        </w:numPr>
        <w:suppressAutoHyphens/>
        <w:autoSpaceDN w:val="0"/>
        <w:ind w:left="284" w:hanging="284"/>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Promjene po rezerviranjima</w:t>
      </w:r>
    </w:p>
    <w:bookmarkEnd w:id="754"/>
    <w:p w14:paraId="60CCE4D7" w14:textId="77777777" w:rsidR="00D92646" w:rsidRPr="003D1614" w:rsidRDefault="00D92646" w:rsidP="00D92646">
      <w:pPr>
        <w:keepNext/>
        <w:suppressAutoHyphens/>
        <w:autoSpaceDN w:val="0"/>
        <w:outlineLvl w:val="0"/>
        <w:rPr>
          <w:rFonts w:ascii="Arial" w:eastAsia="Times New Roman" w:hAnsi="Arial" w:cs="Arial"/>
          <w:bCs/>
          <w:i/>
          <w:color w:val="000000" w:themeColor="text1"/>
          <w:sz w:val="20"/>
          <w:szCs w:val="20"/>
        </w:rPr>
      </w:pPr>
    </w:p>
    <w:p w14:paraId="2F73E98B" w14:textId="77777777" w:rsidR="00D92646" w:rsidRPr="003D1614" w:rsidRDefault="00D92646" w:rsidP="00D92646">
      <w:pPr>
        <w:keepNext/>
        <w:suppressAutoHyphens/>
        <w:autoSpaceDN w:val="0"/>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U sljedećim tablicama prikazuju se promjene po rezerviranjima od početnog do završnog stanja prema vrsti financijskog instrumenta i prema rizičnim skupinama:</w:t>
      </w:r>
    </w:p>
    <w:p w14:paraId="0CD34062" w14:textId="77777777" w:rsidR="00D92646" w:rsidRPr="003D1614" w:rsidRDefault="00D92646" w:rsidP="00D92646">
      <w:pPr>
        <w:keepNext/>
        <w:suppressAutoHyphens/>
        <w:autoSpaceDN w:val="0"/>
        <w:outlineLvl w:val="0"/>
        <w:rPr>
          <w:rFonts w:ascii="Arial" w:eastAsia="Times New Roman" w:hAnsi="Arial" w:cs="Arial"/>
          <w:bCs/>
          <w:i/>
          <w:color w:val="000000" w:themeColor="text1"/>
          <w:sz w:val="20"/>
          <w:szCs w:val="20"/>
        </w:rPr>
      </w:pPr>
    </w:p>
    <w:p w14:paraId="1F599CA3" w14:textId="77777777" w:rsidR="00D92646" w:rsidRPr="003D1614" w:rsidRDefault="00D92646" w:rsidP="00D92646">
      <w:pPr>
        <w:keepNext/>
        <w:suppressAutoHyphens/>
        <w:autoSpaceDN w:val="0"/>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Novčana sredstva i računi kod banaka</w:t>
      </w:r>
    </w:p>
    <w:p w14:paraId="4BDAD30F"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tbl>
      <w:tblPr>
        <w:tblW w:w="9411" w:type="dxa"/>
        <w:tblInd w:w="-142" w:type="dxa"/>
        <w:tblLook w:val="04A0" w:firstRow="1" w:lastRow="0" w:firstColumn="1" w:lastColumn="0" w:noHBand="0" w:noVBand="1"/>
      </w:tblPr>
      <w:tblGrid>
        <w:gridCol w:w="3889"/>
        <w:gridCol w:w="1098"/>
        <w:gridCol w:w="1089"/>
        <w:gridCol w:w="1089"/>
        <w:gridCol w:w="1084"/>
        <w:gridCol w:w="1162"/>
      </w:tblGrid>
      <w:tr w:rsidR="00D92646" w:rsidRPr="003D1614" w14:paraId="35C20164" w14:textId="77777777" w:rsidTr="00AD0393">
        <w:trPr>
          <w:trHeight w:val="164"/>
        </w:trPr>
        <w:tc>
          <w:tcPr>
            <w:tcW w:w="3889" w:type="dxa"/>
            <w:tcBorders>
              <w:top w:val="nil"/>
              <w:left w:val="nil"/>
              <w:bottom w:val="nil"/>
              <w:right w:val="nil"/>
            </w:tcBorders>
            <w:shd w:val="clear" w:color="auto" w:fill="auto"/>
            <w:vAlign w:val="center"/>
          </w:tcPr>
          <w:p w14:paraId="24DFC8FB" w14:textId="77777777" w:rsidR="00D92646" w:rsidRPr="003D1614" w:rsidRDefault="00D92646" w:rsidP="00D92646">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Grupa </w:t>
            </w:r>
          </w:p>
        </w:tc>
        <w:tc>
          <w:tcPr>
            <w:tcW w:w="1098" w:type="dxa"/>
            <w:tcBorders>
              <w:top w:val="nil"/>
              <w:left w:val="nil"/>
              <w:bottom w:val="nil"/>
              <w:right w:val="nil"/>
            </w:tcBorders>
            <w:shd w:val="clear" w:color="auto" w:fill="auto"/>
            <w:vAlign w:val="center"/>
          </w:tcPr>
          <w:p w14:paraId="382E198E"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center"/>
          </w:tcPr>
          <w:p w14:paraId="5B97244A"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center"/>
          </w:tcPr>
          <w:p w14:paraId="50582491"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607FA7EA"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162" w:type="dxa"/>
            <w:tcBorders>
              <w:top w:val="nil"/>
              <w:left w:val="nil"/>
              <w:bottom w:val="nil"/>
              <w:right w:val="nil"/>
            </w:tcBorders>
            <w:shd w:val="clear" w:color="auto" w:fill="auto"/>
            <w:vAlign w:val="center"/>
          </w:tcPr>
          <w:p w14:paraId="1C59A2A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D92646" w:rsidRPr="003D1614" w14:paraId="04F070B3" w14:textId="77777777" w:rsidTr="00AD0393">
        <w:trPr>
          <w:trHeight w:val="164"/>
        </w:trPr>
        <w:tc>
          <w:tcPr>
            <w:tcW w:w="3889" w:type="dxa"/>
            <w:tcBorders>
              <w:top w:val="nil"/>
              <w:left w:val="nil"/>
              <w:bottom w:val="nil"/>
              <w:right w:val="nil"/>
            </w:tcBorders>
            <w:shd w:val="clear" w:color="auto" w:fill="auto"/>
            <w:vAlign w:val="center"/>
            <w:hideMark/>
          </w:tcPr>
          <w:p w14:paraId="6EBC248E" w14:textId="6D3E01D1" w:rsidR="00D92646" w:rsidRPr="003D1614" w:rsidRDefault="00D92646" w:rsidP="00D92646">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ožujka 202</w:t>
            </w:r>
            <w:r w:rsidR="00DC512D">
              <w:rPr>
                <w:rFonts w:ascii="Arial" w:eastAsia="Calibri" w:hAnsi="Arial" w:cs="Arial"/>
                <w:b/>
                <w:bCs/>
                <w:color w:val="000000" w:themeColor="text1"/>
                <w:sz w:val="18"/>
                <w:szCs w:val="18"/>
              </w:rPr>
              <w:t>4</w:t>
            </w:r>
            <w:r w:rsidRPr="003D1614">
              <w:rPr>
                <w:rFonts w:ascii="Arial" w:eastAsia="Calibri" w:hAnsi="Arial" w:cs="Arial"/>
                <w:b/>
                <w:bCs/>
                <w:color w:val="000000" w:themeColor="text1"/>
                <w:sz w:val="18"/>
                <w:szCs w:val="18"/>
              </w:rPr>
              <w:t>.</w:t>
            </w:r>
          </w:p>
        </w:tc>
        <w:tc>
          <w:tcPr>
            <w:tcW w:w="1098" w:type="dxa"/>
            <w:tcBorders>
              <w:top w:val="nil"/>
              <w:left w:val="nil"/>
              <w:bottom w:val="nil"/>
              <w:right w:val="nil"/>
            </w:tcBorders>
            <w:shd w:val="clear" w:color="auto" w:fill="auto"/>
            <w:vAlign w:val="center"/>
            <w:hideMark/>
          </w:tcPr>
          <w:p w14:paraId="42D3438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89" w:type="dxa"/>
            <w:tcBorders>
              <w:top w:val="nil"/>
              <w:left w:val="nil"/>
              <w:bottom w:val="nil"/>
              <w:right w:val="nil"/>
            </w:tcBorders>
            <w:shd w:val="clear" w:color="auto" w:fill="auto"/>
            <w:vAlign w:val="center"/>
            <w:hideMark/>
          </w:tcPr>
          <w:p w14:paraId="3DD1D008"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89" w:type="dxa"/>
            <w:tcBorders>
              <w:top w:val="nil"/>
              <w:left w:val="nil"/>
              <w:bottom w:val="nil"/>
              <w:right w:val="nil"/>
            </w:tcBorders>
            <w:shd w:val="clear" w:color="auto" w:fill="auto"/>
            <w:vAlign w:val="center"/>
            <w:hideMark/>
          </w:tcPr>
          <w:p w14:paraId="35269BC6"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84" w:type="dxa"/>
            <w:tcBorders>
              <w:top w:val="nil"/>
              <w:left w:val="nil"/>
              <w:bottom w:val="nil"/>
              <w:right w:val="nil"/>
            </w:tcBorders>
            <w:shd w:val="clear" w:color="auto" w:fill="auto"/>
            <w:vAlign w:val="center"/>
            <w:hideMark/>
          </w:tcPr>
          <w:p w14:paraId="2532BEBE"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62" w:type="dxa"/>
            <w:tcBorders>
              <w:top w:val="nil"/>
              <w:left w:val="nil"/>
              <w:bottom w:val="nil"/>
              <w:right w:val="nil"/>
            </w:tcBorders>
            <w:shd w:val="clear" w:color="auto" w:fill="auto"/>
            <w:vAlign w:val="center"/>
            <w:hideMark/>
          </w:tcPr>
          <w:p w14:paraId="26CC414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6D0F5D18" w14:textId="77777777" w:rsidTr="00AD0393">
        <w:trPr>
          <w:trHeight w:val="164"/>
        </w:trPr>
        <w:tc>
          <w:tcPr>
            <w:tcW w:w="3889" w:type="dxa"/>
            <w:tcBorders>
              <w:top w:val="nil"/>
              <w:left w:val="nil"/>
              <w:bottom w:val="nil"/>
              <w:right w:val="nil"/>
            </w:tcBorders>
            <w:shd w:val="clear" w:color="auto" w:fill="auto"/>
            <w:vAlign w:val="center"/>
            <w:hideMark/>
          </w:tcPr>
          <w:p w14:paraId="17202FD6"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hideMark/>
          </w:tcPr>
          <w:p w14:paraId="48D7F00B" w14:textId="0C1383AF"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9" w:type="dxa"/>
            <w:tcBorders>
              <w:top w:val="nil"/>
              <w:left w:val="nil"/>
              <w:bottom w:val="nil"/>
              <w:right w:val="nil"/>
            </w:tcBorders>
            <w:shd w:val="clear" w:color="auto" w:fill="auto"/>
            <w:vAlign w:val="center"/>
            <w:hideMark/>
          </w:tcPr>
          <w:p w14:paraId="1F20C4E4" w14:textId="6132C3D4"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9" w:type="dxa"/>
            <w:tcBorders>
              <w:top w:val="nil"/>
              <w:left w:val="nil"/>
              <w:bottom w:val="nil"/>
              <w:right w:val="nil"/>
            </w:tcBorders>
            <w:shd w:val="clear" w:color="auto" w:fill="auto"/>
            <w:vAlign w:val="center"/>
            <w:hideMark/>
          </w:tcPr>
          <w:p w14:paraId="472E3213" w14:textId="66E1C818"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4" w:type="dxa"/>
            <w:tcBorders>
              <w:top w:val="nil"/>
              <w:left w:val="nil"/>
              <w:bottom w:val="nil"/>
              <w:right w:val="nil"/>
            </w:tcBorders>
            <w:shd w:val="clear" w:color="auto" w:fill="auto"/>
            <w:vAlign w:val="center"/>
            <w:hideMark/>
          </w:tcPr>
          <w:p w14:paraId="5243D52C" w14:textId="112F2F0A"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62" w:type="dxa"/>
            <w:tcBorders>
              <w:top w:val="nil"/>
              <w:left w:val="nil"/>
              <w:bottom w:val="nil"/>
              <w:right w:val="nil"/>
            </w:tcBorders>
            <w:shd w:val="clear" w:color="auto" w:fill="auto"/>
            <w:vAlign w:val="center"/>
            <w:hideMark/>
          </w:tcPr>
          <w:p w14:paraId="0F55E3C3" w14:textId="6EA47C30"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1846735E" w14:textId="77777777" w:rsidTr="00AD0393">
        <w:trPr>
          <w:trHeight w:val="164"/>
        </w:trPr>
        <w:tc>
          <w:tcPr>
            <w:tcW w:w="3889" w:type="dxa"/>
            <w:tcBorders>
              <w:top w:val="nil"/>
              <w:left w:val="nil"/>
              <w:bottom w:val="nil"/>
              <w:right w:val="nil"/>
            </w:tcBorders>
            <w:shd w:val="clear" w:color="auto" w:fill="auto"/>
            <w:vAlign w:val="center"/>
          </w:tcPr>
          <w:p w14:paraId="017356D6"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tcPr>
          <w:p w14:paraId="40D6FF9F"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center"/>
          </w:tcPr>
          <w:p w14:paraId="1319533A"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center"/>
          </w:tcPr>
          <w:p w14:paraId="4D9A9C8E"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3F74CE2D"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162" w:type="dxa"/>
            <w:tcBorders>
              <w:top w:val="nil"/>
              <w:left w:val="nil"/>
              <w:bottom w:val="nil"/>
              <w:right w:val="nil"/>
            </w:tcBorders>
            <w:shd w:val="clear" w:color="auto" w:fill="auto"/>
            <w:vAlign w:val="center"/>
          </w:tcPr>
          <w:p w14:paraId="7F165EF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9E280E" w:rsidRPr="003D1614" w14:paraId="103917CF" w14:textId="77777777" w:rsidTr="005472C6">
        <w:trPr>
          <w:trHeight w:val="164"/>
        </w:trPr>
        <w:tc>
          <w:tcPr>
            <w:tcW w:w="3889" w:type="dxa"/>
            <w:tcBorders>
              <w:top w:val="nil"/>
              <w:left w:val="nil"/>
              <w:bottom w:val="nil"/>
              <w:right w:val="nil"/>
            </w:tcBorders>
            <w:shd w:val="clear" w:color="auto" w:fill="auto"/>
            <w:vAlign w:val="center"/>
            <w:hideMark/>
          </w:tcPr>
          <w:p w14:paraId="61C488D4" w14:textId="5C628A21" w:rsidR="009E280E" w:rsidRPr="003D1614" w:rsidRDefault="009E280E" w:rsidP="009E280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Stanje 1. siječnja 202</w:t>
            </w:r>
            <w:r w:rsidR="00AB330A">
              <w:rPr>
                <w:rFonts w:ascii="Arial" w:eastAsia="Calibri" w:hAnsi="Arial" w:cs="Arial"/>
                <w:color w:val="000000" w:themeColor="text1"/>
                <w:sz w:val="18"/>
                <w:szCs w:val="18"/>
              </w:rPr>
              <w:t>4</w:t>
            </w:r>
            <w:r w:rsidRPr="003D1614">
              <w:rPr>
                <w:rFonts w:ascii="Arial" w:eastAsia="Calibri" w:hAnsi="Arial" w:cs="Arial"/>
                <w:color w:val="000000" w:themeColor="text1"/>
                <w:sz w:val="18"/>
                <w:szCs w:val="18"/>
              </w:rPr>
              <w:t xml:space="preserve">. </w:t>
            </w:r>
          </w:p>
        </w:tc>
        <w:tc>
          <w:tcPr>
            <w:tcW w:w="1098" w:type="dxa"/>
            <w:shd w:val="clear" w:color="auto" w:fill="auto"/>
            <w:vAlign w:val="bottom"/>
          </w:tcPr>
          <w:p w14:paraId="4BC2293F" w14:textId="030AA704" w:rsidR="009E280E" w:rsidRPr="003D1614" w:rsidRDefault="009F38FC"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159</w:t>
            </w:r>
          </w:p>
        </w:tc>
        <w:tc>
          <w:tcPr>
            <w:tcW w:w="1089" w:type="dxa"/>
            <w:shd w:val="clear" w:color="auto" w:fill="auto"/>
            <w:vAlign w:val="bottom"/>
          </w:tcPr>
          <w:p w14:paraId="72B535DE" w14:textId="47AA96F8" w:rsidR="009E280E" w:rsidRPr="003D1614" w:rsidRDefault="009F38FC"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2CE079A4" w14:textId="766E8A9F" w:rsidR="009E280E" w:rsidRPr="003D1614" w:rsidRDefault="009F38FC"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4" w:type="dxa"/>
            <w:shd w:val="clear" w:color="auto" w:fill="auto"/>
            <w:vAlign w:val="bottom"/>
          </w:tcPr>
          <w:p w14:paraId="3AA742F3" w14:textId="09C8F07F" w:rsidR="009E280E" w:rsidRPr="003D1614" w:rsidRDefault="009F38FC"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162" w:type="dxa"/>
            <w:shd w:val="clear" w:color="auto" w:fill="auto"/>
            <w:vAlign w:val="bottom"/>
          </w:tcPr>
          <w:p w14:paraId="3DC02ADC" w14:textId="41A1F68E" w:rsidR="009E280E" w:rsidRPr="005D1219" w:rsidRDefault="009F38FC" w:rsidP="009E280E">
            <w:pPr>
              <w:suppressAutoHyphens/>
              <w:autoSpaceDN w:val="0"/>
              <w:jc w:val="right"/>
              <w:rPr>
                <w:rFonts w:ascii="Arial" w:eastAsia="Calibri" w:hAnsi="Arial" w:cs="Arial"/>
                <w:b/>
                <w:bCs/>
                <w:color w:val="000000" w:themeColor="text1"/>
                <w:sz w:val="18"/>
                <w:szCs w:val="18"/>
              </w:rPr>
            </w:pPr>
            <w:r w:rsidRPr="005D1219">
              <w:rPr>
                <w:rFonts w:ascii="Arial" w:eastAsia="Calibri" w:hAnsi="Arial" w:cs="Arial"/>
                <w:b/>
                <w:bCs/>
                <w:color w:val="000000" w:themeColor="text1"/>
                <w:sz w:val="18"/>
                <w:szCs w:val="18"/>
              </w:rPr>
              <w:t>159</w:t>
            </w:r>
          </w:p>
        </w:tc>
      </w:tr>
      <w:tr w:rsidR="009E280E" w:rsidRPr="003D1614" w14:paraId="44274A9E" w14:textId="77777777" w:rsidTr="00AD0393">
        <w:trPr>
          <w:trHeight w:val="164"/>
        </w:trPr>
        <w:tc>
          <w:tcPr>
            <w:tcW w:w="3889" w:type="dxa"/>
            <w:tcBorders>
              <w:top w:val="nil"/>
              <w:left w:val="nil"/>
              <w:bottom w:val="nil"/>
              <w:right w:val="nil"/>
            </w:tcBorders>
            <w:shd w:val="clear" w:color="auto" w:fill="auto"/>
            <w:vAlign w:val="center"/>
            <w:hideMark/>
          </w:tcPr>
          <w:p w14:paraId="79532A86" w14:textId="77777777" w:rsidR="009E280E" w:rsidRPr="003D1614" w:rsidRDefault="009E280E" w:rsidP="009E280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98" w:type="dxa"/>
            <w:shd w:val="clear" w:color="auto" w:fill="auto"/>
            <w:vAlign w:val="bottom"/>
          </w:tcPr>
          <w:p w14:paraId="06935E14" w14:textId="7D7C748F" w:rsidR="009E280E" w:rsidRPr="003D1614" w:rsidRDefault="009F38FC"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5E8CE16E" w14:textId="2A907D06" w:rsidR="009E280E" w:rsidRPr="003D1614" w:rsidRDefault="009F38FC"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5DB133B1" w14:textId="04191863" w:rsidR="009E280E" w:rsidRPr="003D1614" w:rsidRDefault="009F38FC"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4" w:type="dxa"/>
            <w:shd w:val="clear" w:color="auto" w:fill="auto"/>
            <w:vAlign w:val="bottom"/>
          </w:tcPr>
          <w:p w14:paraId="7218FB5E" w14:textId="51C95333" w:rsidR="009E280E" w:rsidRPr="003D1614" w:rsidRDefault="009F38FC"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162" w:type="dxa"/>
            <w:shd w:val="clear" w:color="auto" w:fill="auto"/>
            <w:vAlign w:val="bottom"/>
          </w:tcPr>
          <w:p w14:paraId="43703ED5" w14:textId="33899F13" w:rsidR="009E280E" w:rsidRPr="005D1219" w:rsidRDefault="009F38FC" w:rsidP="009E280E">
            <w:pPr>
              <w:suppressAutoHyphens/>
              <w:autoSpaceDN w:val="0"/>
              <w:jc w:val="right"/>
              <w:rPr>
                <w:rFonts w:ascii="Arial" w:eastAsia="Calibri" w:hAnsi="Arial" w:cs="Arial"/>
                <w:b/>
                <w:bCs/>
                <w:color w:val="000000" w:themeColor="text1"/>
                <w:sz w:val="18"/>
                <w:szCs w:val="18"/>
              </w:rPr>
            </w:pPr>
            <w:r w:rsidRPr="005D1219">
              <w:rPr>
                <w:rFonts w:ascii="Arial" w:eastAsia="Calibri" w:hAnsi="Arial" w:cs="Arial"/>
                <w:b/>
                <w:bCs/>
                <w:color w:val="000000" w:themeColor="text1"/>
                <w:sz w:val="18"/>
                <w:szCs w:val="18"/>
              </w:rPr>
              <w:t>-</w:t>
            </w:r>
          </w:p>
        </w:tc>
      </w:tr>
      <w:tr w:rsidR="009E280E" w:rsidRPr="003D1614" w14:paraId="4CE2399D" w14:textId="77777777" w:rsidTr="00AD0393">
        <w:trPr>
          <w:trHeight w:val="164"/>
        </w:trPr>
        <w:tc>
          <w:tcPr>
            <w:tcW w:w="3889" w:type="dxa"/>
            <w:tcBorders>
              <w:top w:val="nil"/>
              <w:left w:val="nil"/>
              <w:bottom w:val="nil"/>
              <w:right w:val="nil"/>
            </w:tcBorders>
            <w:shd w:val="clear" w:color="auto" w:fill="auto"/>
            <w:vAlign w:val="center"/>
          </w:tcPr>
          <w:p w14:paraId="3266760D" w14:textId="77777777" w:rsidR="009E280E" w:rsidRPr="003D1614" w:rsidRDefault="009E280E" w:rsidP="009E280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98" w:type="dxa"/>
            <w:shd w:val="clear" w:color="auto" w:fill="auto"/>
            <w:vAlign w:val="bottom"/>
          </w:tcPr>
          <w:p w14:paraId="1FCBA4B8" w14:textId="41A863AF" w:rsidR="009E280E" w:rsidRPr="003D1614" w:rsidRDefault="009F38FC"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627AF212" w14:textId="74050ADC" w:rsidR="009E280E" w:rsidRPr="003D1614" w:rsidRDefault="009F38FC"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21A58477" w14:textId="007E9568" w:rsidR="009E280E" w:rsidRPr="003D1614" w:rsidRDefault="009F38FC"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4" w:type="dxa"/>
            <w:shd w:val="clear" w:color="auto" w:fill="auto"/>
            <w:vAlign w:val="bottom"/>
          </w:tcPr>
          <w:p w14:paraId="65D7A098" w14:textId="13367773" w:rsidR="009E280E" w:rsidRPr="003D1614" w:rsidRDefault="009F38FC"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162" w:type="dxa"/>
            <w:shd w:val="clear" w:color="auto" w:fill="auto"/>
            <w:vAlign w:val="bottom"/>
          </w:tcPr>
          <w:p w14:paraId="1C38DF7B" w14:textId="2B9120E4" w:rsidR="009E280E" w:rsidRPr="005D1219" w:rsidRDefault="009F38FC" w:rsidP="009E280E">
            <w:pPr>
              <w:suppressAutoHyphens/>
              <w:autoSpaceDN w:val="0"/>
              <w:jc w:val="right"/>
              <w:rPr>
                <w:rFonts w:ascii="Arial" w:eastAsia="Calibri" w:hAnsi="Arial" w:cs="Arial"/>
                <w:b/>
                <w:bCs/>
                <w:color w:val="000000" w:themeColor="text1"/>
                <w:sz w:val="18"/>
                <w:szCs w:val="18"/>
              </w:rPr>
            </w:pPr>
            <w:r w:rsidRPr="005D1219">
              <w:rPr>
                <w:rFonts w:ascii="Arial" w:eastAsia="Calibri" w:hAnsi="Arial" w:cs="Arial"/>
                <w:b/>
                <w:bCs/>
                <w:color w:val="000000" w:themeColor="text1"/>
                <w:sz w:val="18"/>
                <w:szCs w:val="18"/>
              </w:rPr>
              <w:t>-</w:t>
            </w:r>
          </w:p>
        </w:tc>
      </w:tr>
      <w:tr w:rsidR="009E280E" w:rsidRPr="003D1614" w14:paraId="232C48EE" w14:textId="77777777" w:rsidTr="00AD0393">
        <w:trPr>
          <w:trHeight w:val="164"/>
        </w:trPr>
        <w:tc>
          <w:tcPr>
            <w:tcW w:w="3889" w:type="dxa"/>
            <w:tcBorders>
              <w:top w:val="nil"/>
              <w:left w:val="nil"/>
              <w:bottom w:val="nil"/>
              <w:right w:val="nil"/>
            </w:tcBorders>
            <w:shd w:val="clear" w:color="auto" w:fill="auto"/>
            <w:vAlign w:val="center"/>
          </w:tcPr>
          <w:p w14:paraId="1DC92443" w14:textId="77777777" w:rsidR="009E280E" w:rsidRPr="003D1614" w:rsidRDefault="009E280E" w:rsidP="009E280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98" w:type="dxa"/>
            <w:shd w:val="clear" w:color="auto" w:fill="auto"/>
            <w:vAlign w:val="bottom"/>
          </w:tcPr>
          <w:p w14:paraId="4880EB37" w14:textId="79A78CF3" w:rsidR="009E280E" w:rsidRPr="003D1614" w:rsidRDefault="009F38FC"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14CC84C2" w14:textId="2BD73EBA" w:rsidR="009E280E" w:rsidRPr="003D1614" w:rsidRDefault="009F38FC"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050DCFE9" w14:textId="7B8E2BC6" w:rsidR="009E280E" w:rsidRPr="003D1614" w:rsidRDefault="009F38FC"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4" w:type="dxa"/>
            <w:shd w:val="clear" w:color="auto" w:fill="auto"/>
            <w:vAlign w:val="bottom"/>
          </w:tcPr>
          <w:p w14:paraId="7DEDD16B" w14:textId="183252B4" w:rsidR="009E280E" w:rsidRPr="003D1614" w:rsidRDefault="009F38FC"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162" w:type="dxa"/>
            <w:shd w:val="clear" w:color="auto" w:fill="auto"/>
            <w:vAlign w:val="bottom"/>
          </w:tcPr>
          <w:p w14:paraId="2787E36B" w14:textId="5D9B7BF6" w:rsidR="009E280E" w:rsidRPr="005D1219" w:rsidRDefault="009F38FC" w:rsidP="009E280E">
            <w:pPr>
              <w:suppressAutoHyphens/>
              <w:autoSpaceDN w:val="0"/>
              <w:jc w:val="right"/>
              <w:rPr>
                <w:rFonts w:ascii="Arial" w:eastAsia="Calibri" w:hAnsi="Arial" w:cs="Arial"/>
                <w:b/>
                <w:bCs/>
                <w:color w:val="000000" w:themeColor="text1"/>
                <w:sz w:val="18"/>
                <w:szCs w:val="18"/>
              </w:rPr>
            </w:pPr>
            <w:r w:rsidRPr="005D1219">
              <w:rPr>
                <w:rFonts w:ascii="Arial" w:eastAsia="Calibri" w:hAnsi="Arial" w:cs="Arial"/>
                <w:b/>
                <w:bCs/>
                <w:color w:val="000000" w:themeColor="text1"/>
                <w:sz w:val="18"/>
                <w:szCs w:val="18"/>
              </w:rPr>
              <w:t>-</w:t>
            </w:r>
          </w:p>
        </w:tc>
      </w:tr>
      <w:tr w:rsidR="009E280E" w:rsidRPr="003D1614" w14:paraId="462C3BEE" w14:textId="77777777" w:rsidTr="00AD0393">
        <w:trPr>
          <w:trHeight w:val="235"/>
        </w:trPr>
        <w:tc>
          <w:tcPr>
            <w:tcW w:w="3889" w:type="dxa"/>
            <w:tcBorders>
              <w:top w:val="nil"/>
              <w:left w:val="nil"/>
              <w:bottom w:val="nil"/>
              <w:right w:val="nil"/>
            </w:tcBorders>
            <w:shd w:val="clear" w:color="auto" w:fill="auto"/>
            <w:vAlign w:val="center"/>
            <w:hideMark/>
          </w:tcPr>
          <w:p w14:paraId="74F689C1" w14:textId="2BC2F5CD" w:rsidR="009E280E" w:rsidRPr="003D1614" w:rsidRDefault="009E280E" w:rsidP="009E280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w:t>
            </w:r>
            <w:r w:rsidR="009F38FC">
              <w:rPr>
                <w:rFonts w:ascii="Arial" w:eastAsia="Calibri" w:hAnsi="Arial" w:cs="Arial"/>
                <w:color w:val="000000" w:themeColor="text1"/>
                <w:sz w:val="18"/>
                <w:szCs w:val="18"/>
              </w:rPr>
              <w:t>povećanje</w:t>
            </w:r>
            <w:r w:rsidRPr="003D1614">
              <w:rPr>
                <w:rFonts w:ascii="Arial" w:eastAsia="Calibri" w:hAnsi="Arial" w:cs="Arial"/>
                <w:color w:val="000000" w:themeColor="text1"/>
                <w:sz w:val="18"/>
                <w:szCs w:val="18"/>
              </w:rPr>
              <w:t xml:space="preserve"> rezerviranja za očekivane gubitke </w:t>
            </w:r>
          </w:p>
        </w:tc>
        <w:tc>
          <w:tcPr>
            <w:tcW w:w="1098" w:type="dxa"/>
            <w:shd w:val="clear" w:color="auto" w:fill="auto"/>
            <w:vAlign w:val="bottom"/>
          </w:tcPr>
          <w:p w14:paraId="310FB344" w14:textId="05491D71" w:rsidR="009E280E" w:rsidRPr="003D1614" w:rsidRDefault="009F38FC"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126</w:t>
            </w:r>
          </w:p>
        </w:tc>
        <w:tc>
          <w:tcPr>
            <w:tcW w:w="1089" w:type="dxa"/>
            <w:shd w:val="clear" w:color="auto" w:fill="auto"/>
            <w:vAlign w:val="bottom"/>
          </w:tcPr>
          <w:p w14:paraId="425CFECF" w14:textId="30EF6B87" w:rsidR="009E280E" w:rsidRPr="003D1614" w:rsidRDefault="009F38FC"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shd w:val="clear" w:color="auto" w:fill="auto"/>
            <w:vAlign w:val="bottom"/>
          </w:tcPr>
          <w:p w14:paraId="04A83381" w14:textId="6BFCE7BE" w:rsidR="009E280E" w:rsidRPr="003D1614" w:rsidRDefault="009F38FC"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4" w:type="dxa"/>
            <w:shd w:val="clear" w:color="auto" w:fill="auto"/>
            <w:vAlign w:val="bottom"/>
          </w:tcPr>
          <w:p w14:paraId="43CC8958" w14:textId="60534BB9" w:rsidR="009E280E" w:rsidRPr="003D1614" w:rsidRDefault="009F38FC" w:rsidP="009E280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162" w:type="dxa"/>
            <w:shd w:val="clear" w:color="auto" w:fill="auto"/>
            <w:vAlign w:val="bottom"/>
          </w:tcPr>
          <w:p w14:paraId="18BDD8A0" w14:textId="7B6F0E93" w:rsidR="009E280E" w:rsidRPr="005D1219" w:rsidRDefault="009F38FC" w:rsidP="009E280E">
            <w:pPr>
              <w:suppressAutoHyphens/>
              <w:autoSpaceDN w:val="0"/>
              <w:jc w:val="right"/>
              <w:rPr>
                <w:rFonts w:ascii="Arial" w:eastAsia="Calibri" w:hAnsi="Arial" w:cs="Arial"/>
                <w:b/>
                <w:bCs/>
                <w:color w:val="000000" w:themeColor="text1"/>
                <w:sz w:val="18"/>
                <w:szCs w:val="18"/>
              </w:rPr>
            </w:pPr>
            <w:r w:rsidRPr="005D1219">
              <w:rPr>
                <w:rFonts w:ascii="Arial" w:eastAsia="Calibri" w:hAnsi="Arial" w:cs="Arial"/>
                <w:b/>
                <w:bCs/>
                <w:color w:val="000000" w:themeColor="text1"/>
                <w:sz w:val="18"/>
                <w:szCs w:val="18"/>
              </w:rPr>
              <w:t>126</w:t>
            </w:r>
          </w:p>
        </w:tc>
      </w:tr>
      <w:tr w:rsidR="009E280E" w:rsidRPr="003D1614" w14:paraId="329045CD" w14:textId="77777777" w:rsidTr="005472C6">
        <w:trPr>
          <w:trHeight w:val="172"/>
        </w:trPr>
        <w:tc>
          <w:tcPr>
            <w:tcW w:w="3889" w:type="dxa"/>
            <w:tcBorders>
              <w:top w:val="nil"/>
              <w:left w:val="nil"/>
              <w:bottom w:val="nil"/>
              <w:right w:val="nil"/>
            </w:tcBorders>
            <w:shd w:val="clear" w:color="auto" w:fill="auto"/>
            <w:vAlign w:val="bottom"/>
            <w:hideMark/>
          </w:tcPr>
          <w:p w14:paraId="717788C4" w14:textId="54DE0F1F" w:rsidR="009E280E" w:rsidRPr="003D1614" w:rsidRDefault="009E280E" w:rsidP="009E280E">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ožujka 202</w:t>
            </w:r>
            <w:r w:rsidR="00DC512D">
              <w:rPr>
                <w:rFonts w:ascii="Arial" w:eastAsia="Calibri" w:hAnsi="Arial" w:cs="Arial"/>
                <w:b/>
                <w:bCs/>
                <w:color w:val="000000" w:themeColor="text1"/>
                <w:sz w:val="18"/>
                <w:szCs w:val="18"/>
              </w:rPr>
              <w:t>4</w:t>
            </w:r>
            <w:r w:rsidRPr="003D1614">
              <w:rPr>
                <w:rFonts w:ascii="Arial" w:eastAsia="Calibri" w:hAnsi="Arial" w:cs="Arial"/>
                <w:b/>
                <w:bCs/>
                <w:color w:val="000000" w:themeColor="text1"/>
                <w:sz w:val="18"/>
                <w:szCs w:val="18"/>
              </w:rPr>
              <w:t>.</w:t>
            </w:r>
          </w:p>
        </w:tc>
        <w:tc>
          <w:tcPr>
            <w:tcW w:w="1098" w:type="dxa"/>
            <w:tcBorders>
              <w:top w:val="single" w:sz="4" w:space="0" w:color="auto"/>
              <w:left w:val="nil"/>
              <w:bottom w:val="single" w:sz="12" w:space="0" w:color="auto"/>
              <w:right w:val="nil"/>
            </w:tcBorders>
            <w:shd w:val="clear" w:color="auto" w:fill="auto"/>
            <w:vAlign w:val="bottom"/>
          </w:tcPr>
          <w:p w14:paraId="11C6AC5C" w14:textId="34193F9F" w:rsidR="009E280E" w:rsidRPr="003D1614" w:rsidRDefault="009F38FC" w:rsidP="009E280E">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285</w:t>
            </w:r>
          </w:p>
        </w:tc>
        <w:tc>
          <w:tcPr>
            <w:tcW w:w="1089" w:type="dxa"/>
            <w:tcBorders>
              <w:top w:val="single" w:sz="4" w:space="0" w:color="auto"/>
              <w:left w:val="nil"/>
              <w:bottom w:val="single" w:sz="12" w:space="0" w:color="auto"/>
              <w:right w:val="nil"/>
            </w:tcBorders>
            <w:shd w:val="clear" w:color="auto" w:fill="auto"/>
            <w:vAlign w:val="bottom"/>
          </w:tcPr>
          <w:p w14:paraId="0DCF014B" w14:textId="6E8F1E20" w:rsidR="009E280E" w:rsidRPr="003D1614" w:rsidRDefault="009F38FC" w:rsidP="009E280E">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89" w:type="dxa"/>
            <w:tcBorders>
              <w:top w:val="single" w:sz="4" w:space="0" w:color="auto"/>
              <w:left w:val="nil"/>
              <w:bottom w:val="single" w:sz="12" w:space="0" w:color="auto"/>
              <w:right w:val="nil"/>
            </w:tcBorders>
            <w:shd w:val="clear" w:color="auto" w:fill="auto"/>
            <w:vAlign w:val="bottom"/>
          </w:tcPr>
          <w:p w14:paraId="597152BE" w14:textId="0383B43B" w:rsidR="009E280E" w:rsidRPr="003D1614" w:rsidRDefault="009F38FC" w:rsidP="009E280E">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84" w:type="dxa"/>
            <w:tcBorders>
              <w:top w:val="single" w:sz="4" w:space="0" w:color="auto"/>
              <w:left w:val="nil"/>
              <w:bottom w:val="single" w:sz="12" w:space="0" w:color="auto"/>
              <w:right w:val="nil"/>
            </w:tcBorders>
            <w:shd w:val="clear" w:color="auto" w:fill="auto"/>
            <w:vAlign w:val="bottom"/>
          </w:tcPr>
          <w:p w14:paraId="6B801B36" w14:textId="6EA5DF9F" w:rsidR="009E280E" w:rsidRPr="003D1614" w:rsidRDefault="009F38FC" w:rsidP="009E280E">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162" w:type="dxa"/>
            <w:tcBorders>
              <w:top w:val="single" w:sz="4" w:space="0" w:color="auto"/>
              <w:left w:val="nil"/>
              <w:bottom w:val="single" w:sz="12" w:space="0" w:color="auto"/>
              <w:right w:val="nil"/>
            </w:tcBorders>
            <w:shd w:val="clear" w:color="auto" w:fill="auto"/>
            <w:vAlign w:val="bottom"/>
          </w:tcPr>
          <w:p w14:paraId="2CA0DECE" w14:textId="5751C49A" w:rsidR="009E280E" w:rsidRPr="003D1614" w:rsidRDefault="009F38FC" w:rsidP="009E280E">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285</w:t>
            </w:r>
          </w:p>
        </w:tc>
      </w:tr>
    </w:tbl>
    <w:p w14:paraId="63D28F74" w14:textId="77777777" w:rsidR="00D92646" w:rsidRPr="003D1614" w:rsidRDefault="00D92646" w:rsidP="00D92646">
      <w:pPr>
        <w:suppressAutoHyphens/>
        <w:autoSpaceDN w:val="0"/>
        <w:rPr>
          <w:rFonts w:ascii="Arial" w:eastAsia="Calibri" w:hAnsi="Arial" w:cs="Arial"/>
          <w:color w:val="000000" w:themeColor="text1"/>
          <w:sz w:val="20"/>
          <w:szCs w:val="20"/>
        </w:rPr>
      </w:pPr>
    </w:p>
    <w:tbl>
      <w:tblPr>
        <w:tblW w:w="9411" w:type="dxa"/>
        <w:tblInd w:w="-142" w:type="dxa"/>
        <w:tblLook w:val="04A0" w:firstRow="1" w:lastRow="0" w:firstColumn="1" w:lastColumn="0" w:noHBand="0" w:noVBand="1"/>
      </w:tblPr>
      <w:tblGrid>
        <w:gridCol w:w="3889"/>
        <w:gridCol w:w="1098"/>
        <w:gridCol w:w="1089"/>
        <w:gridCol w:w="1089"/>
        <w:gridCol w:w="1084"/>
        <w:gridCol w:w="1162"/>
      </w:tblGrid>
      <w:tr w:rsidR="00D13CFB" w:rsidRPr="001B015B" w14:paraId="70583652" w14:textId="77777777" w:rsidTr="00CA7F04">
        <w:trPr>
          <w:trHeight w:val="164"/>
        </w:trPr>
        <w:tc>
          <w:tcPr>
            <w:tcW w:w="3889" w:type="dxa"/>
            <w:tcBorders>
              <w:top w:val="nil"/>
              <w:left w:val="nil"/>
              <w:bottom w:val="nil"/>
              <w:right w:val="nil"/>
            </w:tcBorders>
            <w:shd w:val="clear" w:color="auto" w:fill="auto"/>
            <w:vAlign w:val="center"/>
          </w:tcPr>
          <w:p w14:paraId="2D4BDF19" w14:textId="77777777" w:rsidR="00D13CFB" w:rsidRPr="001B015B" w:rsidRDefault="00D13CFB" w:rsidP="00CA7F04">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Grupa </w:t>
            </w:r>
          </w:p>
        </w:tc>
        <w:tc>
          <w:tcPr>
            <w:tcW w:w="1098" w:type="dxa"/>
            <w:tcBorders>
              <w:top w:val="nil"/>
              <w:left w:val="nil"/>
              <w:bottom w:val="nil"/>
              <w:right w:val="nil"/>
            </w:tcBorders>
            <w:shd w:val="clear" w:color="auto" w:fill="auto"/>
            <w:vAlign w:val="center"/>
          </w:tcPr>
          <w:p w14:paraId="52BA8C09" w14:textId="77777777" w:rsidR="00D13CFB" w:rsidRPr="001B015B" w:rsidRDefault="00D13CFB" w:rsidP="00CA7F04">
            <w:pPr>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center"/>
          </w:tcPr>
          <w:p w14:paraId="599B19D2" w14:textId="77777777" w:rsidR="00D13CFB" w:rsidRPr="001B015B" w:rsidRDefault="00D13CFB" w:rsidP="00CA7F04">
            <w:pPr>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center"/>
          </w:tcPr>
          <w:p w14:paraId="2E3A845A" w14:textId="77777777" w:rsidR="00D13CFB" w:rsidRPr="001B015B" w:rsidRDefault="00D13CFB" w:rsidP="00CA7F04">
            <w:pPr>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15F43C3A" w14:textId="77777777" w:rsidR="00D13CFB" w:rsidRPr="001B015B" w:rsidRDefault="00D13CFB" w:rsidP="00CA7F04">
            <w:pPr>
              <w:jc w:val="right"/>
              <w:rPr>
                <w:rFonts w:ascii="Arial" w:eastAsia="Calibri" w:hAnsi="Arial" w:cs="Arial"/>
                <w:b/>
                <w:bCs/>
                <w:color w:val="000000" w:themeColor="text1"/>
                <w:sz w:val="18"/>
                <w:szCs w:val="18"/>
              </w:rPr>
            </w:pPr>
          </w:p>
        </w:tc>
        <w:tc>
          <w:tcPr>
            <w:tcW w:w="1162" w:type="dxa"/>
            <w:tcBorders>
              <w:top w:val="nil"/>
              <w:left w:val="nil"/>
              <w:bottom w:val="nil"/>
              <w:right w:val="nil"/>
            </w:tcBorders>
            <w:shd w:val="clear" w:color="auto" w:fill="auto"/>
            <w:vAlign w:val="center"/>
          </w:tcPr>
          <w:p w14:paraId="55B73424" w14:textId="77777777" w:rsidR="00D13CFB" w:rsidRPr="001B015B" w:rsidRDefault="00D13CFB" w:rsidP="00CA7F04">
            <w:pPr>
              <w:jc w:val="right"/>
              <w:rPr>
                <w:rFonts w:ascii="Arial" w:eastAsia="Calibri" w:hAnsi="Arial" w:cs="Arial"/>
                <w:b/>
                <w:bCs/>
                <w:color w:val="000000" w:themeColor="text1"/>
                <w:sz w:val="18"/>
                <w:szCs w:val="18"/>
              </w:rPr>
            </w:pPr>
          </w:p>
        </w:tc>
      </w:tr>
      <w:tr w:rsidR="00D13CFB" w:rsidRPr="001B015B" w14:paraId="0A37F3ED" w14:textId="77777777" w:rsidTr="00CA7F04">
        <w:trPr>
          <w:trHeight w:val="164"/>
        </w:trPr>
        <w:tc>
          <w:tcPr>
            <w:tcW w:w="3889" w:type="dxa"/>
            <w:tcBorders>
              <w:top w:val="nil"/>
              <w:left w:val="nil"/>
              <w:bottom w:val="nil"/>
              <w:right w:val="nil"/>
            </w:tcBorders>
            <w:shd w:val="clear" w:color="auto" w:fill="auto"/>
            <w:vAlign w:val="center"/>
            <w:hideMark/>
          </w:tcPr>
          <w:p w14:paraId="0328E18D" w14:textId="77777777" w:rsidR="00D13CFB" w:rsidRPr="001B015B" w:rsidRDefault="00D13CFB" w:rsidP="00CA7F04">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31. prosinca 202</w:t>
            </w:r>
            <w:r>
              <w:rPr>
                <w:rFonts w:ascii="Arial" w:eastAsia="Calibri" w:hAnsi="Arial" w:cs="Arial"/>
                <w:b/>
                <w:bCs/>
                <w:color w:val="000000" w:themeColor="text1"/>
                <w:sz w:val="18"/>
                <w:szCs w:val="18"/>
              </w:rPr>
              <w:t>3</w:t>
            </w:r>
            <w:r w:rsidRPr="001B015B">
              <w:rPr>
                <w:rFonts w:ascii="Arial" w:eastAsia="Calibri" w:hAnsi="Arial" w:cs="Arial"/>
                <w:b/>
                <w:bCs/>
                <w:color w:val="000000" w:themeColor="text1"/>
                <w:sz w:val="18"/>
                <w:szCs w:val="18"/>
              </w:rPr>
              <w:t>.</w:t>
            </w:r>
          </w:p>
        </w:tc>
        <w:tc>
          <w:tcPr>
            <w:tcW w:w="1098" w:type="dxa"/>
            <w:tcBorders>
              <w:top w:val="nil"/>
              <w:left w:val="nil"/>
              <w:bottom w:val="nil"/>
              <w:right w:val="nil"/>
            </w:tcBorders>
            <w:shd w:val="clear" w:color="auto" w:fill="auto"/>
            <w:vAlign w:val="center"/>
            <w:hideMark/>
          </w:tcPr>
          <w:p w14:paraId="52619824" w14:textId="77777777" w:rsidR="00D13CFB" w:rsidRPr="001B015B" w:rsidRDefault="00D13CFB"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1</w:t>
            </w:r>
          </w:p>
        </w:tc>
        <w:tc>
          <w:tcPr>
            <w:tcW w:w="1089" w:type="dxa"/>
            <w:tcBorders>
              <w:top w:val="nil"/>
              <w:left w:val="nil"/>
              <w:bottom w:val="nil"/>
              <w:right w:val="nil"/>
            </w:tcBorders>
            <w:shd w:val="clear" w:color="auto" w:fill="auto"/>
            <w:vAlign w:val="center"/>
            <w:hideMark/>
          </w:tcPr>
          <w:p w14:paraId="05168695" w14:textId="77777777" w:rsidR="00D13CFB" w:rsidRPr="001B015B" w:rsidRDefault="00D13CFB"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2</w:t>
            </w:r>
          </w:p>
        </w:tc>
        <w:tc>
          <w:tcPr>
            <w:tcW w:w="1089" w:type="dxa"/>
            <w:tcBorders>
              <w:top w:val="nil"/>
              <w:left w:val="nil"/>
              <w:bottom w:val="nil"/>
              <w:right w:val="nil"/>
            </w:tcBorders>
            <w:shd w:val="clear" w:color="auto" w:fill="auto"/>
            <w:vAlign w:val="center"/>
            <w:hideMark/>
          </w:tcPr>
          <w:p w14:paraId="4C35C304" w14:textId="77777777" w:rsidR="00D13CFB" w:rsidRPr="001B015B" w:rsidRDefault="00D13CFB"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3</w:t>
            </w:r>
          </w:p>
        </w:tc>
        <w:tc>
          <w:tcPr>
            <w:tcW w:w="1084" w:type="dxa"/>
            <w:tcBorders>
              <w:top w:val="nil"/>
              <w:left w:val="nil"/>
              <w:bottom w:val="nil"/>
              <w:right w:val="nil"/>
            </w:tcBorders>
            <w:shd w:val="clear" w:color="auto" w:fill="auto"/>
            <w:vAlign w:val="center"/>
            <w:hideMark/>
          </w:tcPr>
          <w:p w14:paraId="458755D5" w14:textId="77777777" w:rsidR="00D13CFB" w:rsidRPr="001B015B" w:rsidRDefault="00D13CFB"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POCI</w:t>
            </w:r>
          </w:p>
        </w:tc>
        <w:tc>
          <w:tcPr>
            <w:tcW w:w="1162" w:type="dxa"/>
            <w:tcBorders>
              <w:top w:val="nil"/>
              <w:left w:val="nil"/>
              <w:bottom w:val="nil"/>
              <w:right w:val="nil"/>
            </w:tcBorders>
            <w:shd w:val="clear" w:color="auto" w:fill="auto"/>
            <w:vAlign w:val="center"/>
            <w:hideMark/>
          </w:tcPr>
          <w:p w14:paraId="73F49D00" w14:textId="77777777" w:rsidR="00D13CFB" w:rsidRPr="001B015B" w:rsidRDefault="00D13CFB"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Ukupno</w:t>
            </w:r>
          </w:p>
        </w:tc>
      </w:tr>
      <w:tr w:rsidR="00D13CFB" w:rsidRPr="001B015B" w14:paraId="1F10E4AB" w14:textId="77777777" w:rsidTr="00CA7F04">
        <w:trPr>
          <w:trHeight w:val="164"/>
        </w:trPr>
        <w:tc>
          <w:tcPr>
            <w:tcW w:w="3889" w:type="dxa"/>
            <w:tcBorders>
              <w:top w:val="nil"/>
              <w:left w:val="nil"/>
              <w:bottom w:val="nil"/>
              <w:right w:val="nil"/>
            </w:tcBorders>
            <w:shd w:val="clear" w:color="auto" w:fill="auto"/>
            <w:vAlign w:val="center"/>
            <w:hideMark/>
          </w:tcPr>
          <w:p w14:paraId="1F95865E" w14:textId="77777777" w:rsidR="00D13CFB" w:rsidRPr="001B015B" w:rsidRDefault="00D13CFB" w:rsidP="00CA7F04">
            <w:pPr>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hideMark/>
          </w:tcPr>
          <w:p w14:paraId="465091A0" w14:textId="77777777" w:rsidR="00D13CFB" w:rsidRPr="001B015B" w:rsidRDefault="00D13CFB"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000 </w:t>
            </w:r>
            <w:r>
              <w:rPr>
                <w:rFonts w:ascii="Arial" w:eastAsia="Calibri" w:hAnsi="Arial" w:cs="Arial"/>
                <w:b/>
                <w:bCs/>
                <w:color w:val="000000" w:themeColor="text1"/>
                <w:sz w:val="18"/>
                <w:szCs w:val="18"/>
              </w:rPr>
              <w:t>eur</w:t>
            </w:r>
            <w:r w:rsidRPr="001B015B">
              <w:rPr>
                <w:rFonts w:ascii="Arial" w:eastAsia="Calibri" w:hAnsi="Arial" w:cs="Arial"/>
                <w:b/>
                <w:bCs/>
                <w:color w:val="000000" w:themeColor="text1"/>
                <w:sz w:val="18"/>
                <w:szCs w:val="18"/>
              </w:rPr>
              <w:t>a</w:t>
            </w:r>
          </w:p>
        </w:tc>
        <w:tc>
          <w:tcPr>
            <w:tcW w:w="1089" w:type="dxa"/>
            <w:tcBorders>
              <w:top w:val="nil"/>
              <w:left w:val="nil"/>
              <w:bottom w:val="nil"/>
              <w:right w:val="nil"/>
            </w:tcBorders>
            <w:shd w:val="clear" w:color="auto" w:fill="auto"/>
            <w:vAlign w:val="center"/>
            <w:hideMark/>
          </w:tcPr>
          <w:p w14:paraId="1BEF79EC" w14:textId="77777777" w:rsidR="00D13CFB" w:rsidRPr="001B015B" w:rsidRDefault="00D13CFB"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000 </w:t>
            </w:r>
            <w:r>
              <w:rPr>
                <w:rFonts w:ascii="Arial" w:eastAsia="Calibri" w:hAnsi="Arial" w:cs="Arial"/>
                <w:b/>
                <w:bCs/>
                <w:color w:val="000000" w:themeColor="text1"/>
                <w:sz w:val="18"/>
                <w:szCs w:val="18"/>
              </w:rPr>
              <w:t>eur</w:t>
            </w:r>
            <w:r w:rsidRPr="001B015B">
              <w:rPr>
                <w:rFonts w:ascii="Arial" w:eastAsia="Calibri" w:hAnsi="Arial" w:cs="Arial"/>
                <w:b/>
                <w:bCs/>
                <w:color w:val="000000" w:themeColor="text1"/>
                <w:sz w:val="18"/>
                <w:szCs w:val="18"/>
              </w:rPr>
              <w:t>a</w:t>
            </w:r>
          </w:p>
        </w:tc>
        <w:tc>
          <w:tcPr>
            <w:tcW w:w="1089" w:type="dxa"/>
            <w:tcBorders>
              <w:top w:val="nil"/>
              <w:left w:val="nil"/>
              <w:bottom w:val="nil"/>
              <w:right w:val="nil"/>
            </w:tcBorders>
            <w:shd w:val="clear" w:color="auto" w:fill="auto"/>
            <w:vAlign w:val="center"/>
            <w:hideMark/>
          </w:tcPr>
          <w:p w14:paraId="4D25218F" w14:textId="77777777" w:rsidR="00D13CFB" w:rsidRPr="001B015B" w:rsidRDefault="00D13CFB"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000 </w:t>
            </w:r>
            <w:r>
              <w:rPr>
                <w:rFonts w:ascii="Arial" w:eastAsia="Calibri" w:hAnsi="Arial" w:cs="Arial"/>
                <w:b/>
                <w:bCs/>
                <w:color w:val="000000" w:themeColor="text1"/>
                <w:sz w:val="18"/>
                <w:szCs w:val="18"/>
              </w:rPr>
              <w:t>eur</w:t>
            </w:r>
            <w:r w:rsidRPr="001B015B">
              <w:rPr>
                <w:rFonts w:ascii="Arial" w:eastAsia="Calibri" w:hAnsi="Arial" w:cs="Arial"/>
                <w:b/>
                <w:bCs/>
                <w:color w:val="000000" w:themeColor="text1"/>
                <w:sz w:val="18"/>
                <w:szCs w:val="18"/>
              </w:rPr>
              <w:t>a</w:t>
            </w:r>
          </w:p>
        </w:tc>
        <w:tc>
          <w:tcPr>
            <w:tcW w:w="1084" w:type="dxa"/>
            <w:tcBorders>
              <w:top w:val="nil"/>
              <w:left w:val="nil"/>
              <w:bottom w:val="nil"/>
              <w:right w:val="nil"/>
            </w:tcBorders>
            <w:shd w:val="clear" w:color="auto" w:fill="auto"/>
            <w:vAlign w:val="center"/>
            <w:hideMark/>
          </w:tcPr>
          <w:p w14:paraId="24854816" w14:textId="77777777" w:rsidR="00D13CFB" w:rsidRPr="001B015B" w:rsidRDefault="00D13CFB"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000 </w:t>
            </w:r>
            <w:r>
              <w:rPr>
                <w:rFonts w:ascii="Arial" w:eastAsia="Calibri" w:hAnsi="Arial" w:cs="Arial"/>
                <w:b/>
                <w:bCs/>
                <w:color w:val="000000" w:themeColor="text1"/>
                <w:sz w:val="18"/>
                <w:szCs w:val="18"/>
              </w:rPr>
              <w:t>eur</w:t>
            </w:r>
            <w:r w:rsidRPr="001B015B">
              <w:rPr>
                <w:rFonts w:ascii="Arial" w:eastAsia="Calibri" w:hAnsi="Arial" w:cs="Arial"/>
                <w:b/>
                <w:bCs/>
                <w:color w:val="000000" w:themeColor="text1"/>
                <w:sz w:val="18"/>
                <w:szCs w:val="18"/>
              </w:rPr>
              <w:t>a</w:t>
            </w:r>
          </w:p>
        </w:tc>
        <w:tc>
          <w:tcPr>
            <w:tcW w:w="1162" w:type="dxa"/>
            <w:tcBorders>
              <w:top w:val="nil"/>
              <w:left w:val="nil"/>
              <w:bottom w:val="nil"/>
              <w:right w:val="nil"/>
            </w:tcBorders>
            <w:shd w:val="clear" w:color="auto" w:fill="auto"/>
            <w:vAlign w:val="center"/>
            <w:hideMark/>
          </w:tcPr>
          <w:p w14:paraId="282B455E" w14:textId="77777777" w:rsidR="00D13CFB" w:rsidRPr="001B015B" w:rsidRDefault="00D13CFB"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000 </w:t>
            </w:r>
            <w:r>
              <w:rPr>
                <w:rFonts w:ascii="Arial" w:eastAsia="Calibri" w:hAnsi="Arial" w:cs="Arial"/>
                <w:b/>
                <w:bCs/>
                <w:color w:val="000000" w:themeColor="text1"/>
                <w:sz w:val="18"/>
                <w:szCs w:val="18"/>
              </w:rPr>
              <w:t>eur</w:t>
            </w:r>
            <w:r w:rsidRPr="001B015B">
              <w:rPr>
                <w:rFonts w:ascii="Arial" w:eastAsia="Calibri" w:hAnsi="Arial" w:cs="Arial"/>
                <w:b/>
                <w:bCs/>
                <w:color w:val="000000" w:themeColor="text1"/>
                <w:sz w:val="18"/>
                <w:szCs w:val="18"/>
              </w:rPr>
              <w:t>a</w:t>
            </w:r>
          </w:p>
        </w:tc>
      </w:tr>
      <w:tr w:rsidR="00D13CFB" w:rsidRPr="001B015B" w14:paraId="53FE003A" w14:textId="77777777" w:rsidTr="00CA7F04">
        <w:trPr>
          <w:trHeight w:val="164"/>
        </w:trPr>
        <w:tc>
          <w:tcPr>
            <w:tcW w:w="3889" w:type="dxa"/>
            <w:tcBorders>
              <w:top w:val="nil"/>
              <w:left w:val="nil"/>
              <w:bottom w:val="nil"/>
              <w:right w:val="nil"/>
            </w:tcBorders>
            <w:shd w:val="clear" w:color="auto" w:fill="auto"/>
            <w:vAlign w:val="center"/>
          </w:tcPr>
          <w:p w14:paraId="66212C77" w14:textId="77777777" w:rsidR="00D13CFB" w:rsidRPr="001B015B" w:rsidRDefault="00D13CFB" w:rsidP="00CA7F04">
            <w:pPr>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tcPr>
          <w:p w14:paraId="21B3C1DA" w14:textId="77777777" w:rsidR="00D13CFB" w:rsidRPr="001B015B" w:rsidRDefault="00D13CFB" w:rsidP="00CA7F04">
            <w:pPr>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center"/>
          </w:tcPr>
          <w:p w14:paraId="08207BE6" w14:textId="77777777" w:rsidR="00D13CFB" w:rsidRPr="001B015B" w:rsidRDefault="00D13CFB" w:rsidP="00CA7F04">
            <w:pPr>
              <w:jc w:val="right"/>
              <w:rPr>
                <w:rFonts w:ascii="Arial" w:eastAsia="Calibri" w:hAnsi="Arial" w:cs="Arial"/>
                <w:b/>
                <w:bCs/>
                <w:color w:val="000000" w:themeColor="text1"/>
                <w:sz w:val="18"/>
                <w:szCs w:val="18"/>
              </w:rPr>
            </w:pPr>
          </w:p>
        </w:tc>
        <w:tc>
          <w:tcPr>
            <w:tcW w:w="1089" w:type="dxa"/>
            <w:tcBorders>
              <w:top w:val="nil"/>
              <w:left w:val="nil"/>
              <w:bottom w:val="nil"/>
              <w:right w:val="nil"/>
            </w:tcBorders>
            <w:shd w:val="clear" w:color="auto" w:fill="auto"/>
            <w:vAlign w:val="center"/>
          </w:tcPr>
          <w:p w14:paraId="613DE6C4" w14:textId="77777777" w:rsidR="00D13CFB" w:rsidRPr="001B015B" w:rsidRDefault="00D13CFB" w:rsidP="00CA7F04">
            <w:pPr>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1ECAE098" w14:textId="77777777" w:rsidR="00D13CFB" w:rsidRPr="001B015B" w:rsidRDefault="00D13CFB" w:rsidP="00CA7F04">
            <w:pPr>
              <w:jc w:val="right"/>
              <w:rPr>
                <w:rFonts w:ascii="Arial" w:eastAsia="Calibri" w:hAnsi="Arial" w:cs="Arial"/>
                <w:b/>
                <w:bCs/>
                <w:color w:val="000000" w:themeColor="text1"/>
                <w:sz w:val="18"/>
                <w:szCs w:val="18"/>
              </w:rPr>
            </w:pPr>
          </w:p>
        </w:tc>
        <w:tc>
          <w:tcPr>
            <w:tcW w:w="1162" w:type="dxa"/>
            <w:tcBorders>
              <w:top w:val="nil"/>
              <w:left w:val="nil"/>
              <w:bottom w:val="nil"/>
              <w:right w:val="nil"/>
            </w:tcBorders>
            <w:shd w:val="clear" w:color="auto" w:fill="auto"/>
            <w:vAlign w:val="center"/>
          </w:tcPr>
          <w:p w14:paraId="6816F691" w14:textId="77777777" w:rsidR="00D13CFB" w:rsidRPr="001B015B" w:rsidRDefault="00D13CFB" w:rsidP="00CA7F04">
            <w:pPr>
              <w:jc w:val="right"/>
              <w:rPr>
                <w:rFonts w:ascii="Arial" w:eastAsia="Calibri" w:hAnsi="Arial" w:cs="Arial"/>
                <w:b/>
                <w:bCs/>
                <w:color w:val="000000" w:themeColor="text1"/>
                <w:sz w:val="18"/>
                <w:szCs w:val="18"/>
              </w:rPr>
            </w:pPr>
          </w:p>
        </w:tc>
      </w:tr>
      <w:tr w:rsidR="00D13CFB" w:rsidRPr="001B015B" w14:paraId="29D06B2A" w14:textId="77777777" w:rsidTr="00CA7F04">
        <w:trPr>
          <w:trHeight w:val="164"/>
        </w:trPr>
        <w:tc>
          <w:tcPr>
            <w:tcW w:w="3889" w:type="dxa"/>
            <w:tcBorders>
              <w:top w:val="nil"/>
              <w:left w:val="nil"/>
              <w:bottom w:val="nil"/>
              <w:right w:val="nil"/>
            </w:tcBorders>
            <w:shd w:val="clear" w:color="auto" w:fill="auto"/>
            <w:vAlign w:val="center"/>
            <w:hideMark/>
          </w:tcPr>
          <w:p w14:paraId="525B8BF5" w14:textId="77777777" w:rsidR="00D13CFB" w:rsidRPr="001B015B" w:rsidRDefault="00D13CFB"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3</w:t>
            </w:r>
            <w:r w:rsidRPr="001B015B">
              <w:rPr>
                <w:rFonts w:ascii="Arial" w:eastAsia="Calibri" w:hAnsi="Arial" w:cs="Arial"/>
                <w:color w:val="000000" w:themeColor="text1"/>
                <w:sz w:val="18"/>
                <w:szCs w:val="18"/>
              </w:rPr>
              <w:t xml:space="preserve">. </w:t>
            </w:r>
          </w:p>
        </w:tc>
        <w:tc>
          <w:tcPr>
            <w:tcW w:w="1098" w:type="dxa"/>
            <w:shd w:val="clear" w:color="auto" w:fill="auto"/>
          </w:tcPr>
          <w:p w14:paraId="1D151C82" w14:textId="77777777" w:rsidR="00D13CFB" w:rsidRPr="001B015B" w:rsidRDefault="00D13CFB" w:rsidP="00CA7F04">
            <w:pPr>
              <w:jc w:val="right"/>
              <w:rPr>
                <w:rFonts w:ascii="Arial" w:eastAsia="Calibri" w:hAnsi="Arial" w:cs="Arial"/>
                <w:color w:val="000000" w:themeColor="text1"/>
                <w:sz w:val="18"/>
                <w:szCs w:val="18"/>
              </w:rPr>
            </w:pPr>
            <w:r w:rsidRPr="00067DF8">
              <w:rPr>
                <w:rFonts w:ascii="Arial" w:eastAsia="Calibri" w:hAnsi="Arial" w:cs="Arial"/>
                <w:color w:val="000000" w:themeColor="text1"/>
                <w:sz w:val="18"/>
                <w:szCs w:val="18"/>
              </w:rPr>
              <w:t>805</w:t>
            </w:r>
          </w:p>
        </w:tc>
        <w:tc>
          <w:tcPr>
            <w:tcW w:w="1089" w:type="dxa"/>
            <w:tcBorders>
              <w:top w:val="nil"/>
              <w:left w:val="nil"/>
              <w:bottom w:val="nil"/>
              <w:right w:val="nil"/>
            </w:tcBorders>
            <w:shd w:val="clear" w:color="auto" w:fill="auto"/>
            <w:vAlign w:val="center"/>
          </w:tcPr>
          <w:p w14:paraId="4DF36D49" w14:textId="77777777" w:rsidR="00D13CFB" w:rsidRPr="001B015B" w:rsidRDefault="00D13CFB" w:rsidP="00CA7F04">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089" w:type="dxa"/>
            <w:tcBorders>
              <w:top w:val="nil"/>
              <w:left w:val="nil"/>
              <w:bottom w:val="nil"/>
              <w:right w:val="nil"/>
            </w:tcBorders>
            <w:shd w:val="clear" w:color="auto" w:fill="auto"/>
            <w:vAlign w:val="center"/>
          </w:tcPr>
          <w:p w14:paraId="0EB45CFE" w14:textId="77777777" w:rsidR="00D13CFB" w:rsidRPr="001B015B" w:rsidRDefault="00D13CFB" w:rsidP="00CA7F04">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084" w:type="dxa"/>
            <w:tcBorders>
              <w:top w:val="nil"/>
              <w:left w:val="nil"/>
              <w:bottom w:val="nil"/>
              <w:right w:val="nil"/>
            </w:tcBorders>
            <w:shd w:val="clear" w:color="auto" w:fill="auto"/>
            <w:vAlign w:val="center"/>
          </w:tcPr>
          <w:p w14:paraId="38603D16" w14:textId="77777777" w:rsidR="00D13CFB" w:rsidRPr="001B015B" w:rsidRDefault="00D13CFB" w:rsidP="00CA7F04">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162" w:type="dxa"/>
            <w:shd w:val="clear" w:color="auto" w:fill="auto"/>
          </w:tcPr>
          <w:p w14:paraId="5F145366" w14:textId="77777777" w:rsidR="00D13CFB" w:rsidRPr="00F959D0" w:rsidRDefault="00D13CFB" w:rsidP="00CA7F04">
            <w:pPr>
              <w:jc w:val="right"/>
              <w:rPr>
                <w:rFonts w:ascii="Arial" w:eastAsia="Calibri" w:hAnsi="Arial" w:cs="Arial"/>
                <w:b/>
                <w:bCs/>
                <w:color w:val="000000" w:themeColor="text1"/>
                <w:sz w:val="18"/>
                <w:szCs w:val="18"/>
              </w:rPr>
            </w:pPr>
            <w:r w:rsidRPr="00F959D0">
              <w:rPr>
                <w:rFonts w:ascii="Arial" w:eastAsia="Calibri" w:hAnsi="Arial" w:cs="Arial"/>
                <w:b/>
                <w:bCs/>
                <w:color w:val="000000" w:themeColor="text1"/>
                <w:sz w:val="18"/>
                <w:szCs w:val="18"/>
              </w:rPr>
              <w:t>805</w:t>
            </w:r>
          </w:p>
        </w:tc>
      </w:tr>
      <w:tr w:rsidR="00D13CFB" w:rsidRPr="001B015B" w14:paraId="5D83D21F" w14:textId="77777777" w:rsidTr="00CA7F04">
        <w:trPr>
          <w:trHeight w:val="164"/>
        </w:trPr>
        <w:tc>
          <w:tcPr>
            <w:tcW w:w="3889" w:type="dxa"/>
            <w:tcBorders>
              <w:top w:val="nil"/>
              <w:left w:val="nil"/>
              <w:bottom w:val="nil"/>
              <w:right w:val="nil"/>
            </w:tcBorders>
            <w:shd w:val="clear" w:color="auto" w:fill="auto"/>
            <w:vAlign w:val="center"/>
            <w:hideMark/>
          </w:tcPr>
          <w:p w14:paraId="3BABEE71" w14:textId="77777777" w:rsidR="00D13CFB" w:rsidRPr="001B015B" w:rsidRDefault="00D13CFB"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1</w:t>
            </w:r>
          </w:p>
        </w:tc>
        <w:tc>
          <w:tcPr>
            <w:tcW w:w="1098" w:type="dxa"/>
            <w:shd w:val="clear" w:color="auto" w:fill="auto"/>
            <w:vAlign w:val="bottom"/>
          </w:tcPr>
          <w:p w14:paraId="4DE74A21" w14:textId="77777777" w:rsidR="00D13CFB" w:rsidRPr="001B015B" w:rsidRDefault="00D13CFB" w:rsidP="00CA7F04">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tcBorders>
              <w:top w:val="nil"/>
              <w:left w:val="nil"/>
              <w:bottom w:val="nil"/>
              <w:right w:val="nil"/>
            </w:tcBorders>
            <w:shd w:val="clear" w:color="auto" w:fill="auto"/>
            <w:vAlign w:val="center"/>
          </w:tcPr>
          <w:p w14:paraId="3D13AF1A" w14:textId="77777777" w:rsidR="00D13CFB" w:rsidRPr="001B015B" w:rsidRDefault="00D13CFB" w:rsidP="00CA7F04">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089" w:type="dxa"/>
            <w:tcBorders>
              <w:top w:val="nil"/>
              <w:left w:val="nil"/>
              <w:bottom w:val="nil"/>
              <w:right w:val="nil"/>
            </w:tcBorders>
            <w:shd w:val="clear" w:color="auto" w:fill="auto"/>
            <w:vAlign w:val="center"/>
          </w:tcPr>
          <w:p w14:paraId="37314D7D" w14:textId="77777777" w:rsidR="00D13CFB" w:rsidRPr="001B015B" w:rsidRDefault="00D13CFB" w:rsidP="00CA7F04">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084" w:type="dxa"/>
            <w:tcBorders>
              <w:top w:val="nil"/>
              <w:left w:val="nil"/>
              <w:bottom w:val="nil"/>
              <w:right w:val="nil"/>
            </w:tcBorders>
            <w:shd w:val="clear" w:color="auto" w:fill="auto"/>
            <w:vAlign w:val="center"/>
          </w:tcPr>
          <w:p w14:paraId="79769477" w14:textId="77777777" w:rsidR="00D13CFB" w:rsidRPr="001B015B" w:rsidRDefault="00D13CFB" w:rsidP="00CA7F04">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162" w:type="dxa"/>
            <w:shd w:val="clear" w:color="auto" w:fill="auto"/>
            <w:vAlign w:val="bottom"/>
          </w:tcPr>
          <w:p w14:paraId="552A9430" w14:textId="77777777" w:rsidR="00D13CFB" w:rsidRPr="00F959D0" w:rsidRDefault="00D13CFB" w:rsidP="00CA7F04">
            <w:pPr>
              <w:jc w:val="right"/>
              <w:rPr>
                <w:rFonts w:ascii="Arial" w:eastAsia="Calibri" w:hAnsi="Arial" w:cs="Arial"/>
                <w:b/>
                <w:bCs/>
                <w:color w:val="000000" w:themeColor="text1"/>
                <w:sz w:val="18"/>
                <w:szCs w:val="18"/>
              </w:rPr>
            </w:pPr>
            <w:r w:rsidRPr="00F959D0">
              <w:rPr>
                <w:rFonts w:ascii="Arial" w:eastAsia="Calibri" w:hAnsi="Arial" w:cs="Arial"/>
                <w:b/>
                <w:bCs/>
                <w:color w:val="000000" w:themeColor="text1"/>
                <w:sz w:val="18"/>
                <w:szCs w:val="18"/>
              </w:rPr>
              <w:t>-</w:t>
            </w:r>
          </w:p>
        </w:tc>
      </w:tr>
      <w:tr w:rsidR="00D13CFB" w:rsidRPr="001B015B" w14:paraId="602362B6" w14:textId="77777777" w:rsidTr="00CA7F04">
        <w:trPr>
          <w:trHeight w:val="164"/>
        </w:trPr>
        <w:tc>
          <w:tcPr>
            <w:tcW w:w="3889" w:type="dxa"/>
            <w:tcBorders>
              <w:top w:val="nil"/>
              <w:left w:val="nil"/>
              <w:bottom w:val="nil"/>
              <w:right w:val="nil"/>
            </w:tcBorders>
            <w:shd w:val="clear" w:color="auto" w:fill="auto"/>
            <w:vAlign w:val="center"/>
          </w:tcPr>
          <w:p w14:paraId="2520E38D" w14:textId="77777777" w:rsidR="00D13CFB" w:rsidRPr="001B015B" w:rsidRDefault="00D13CFB"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2</w:t>
            </w:r>
          </w:p>
        </w:tc>
        <w:tc>
          <w:tcPr>
            <w:tcW w:w="1098" w:type="dxa"/>
            <w:shd w:val="clear" w:color="auto" w:fill="auto"/>
            <w:vAlign w:val="bottom"/>
          </w:tcPr>
          <w:p w14:paraId="79C66E76" w14:textId="77777777" w:rsidR="00D13CFB" w:rsidRPr="001B015B" w:rsidRDefault="00D13CFB" w:rsidP="00CA7F04">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tcBorders>
              <w:top w:val="nil"/>
              <w:left w:val="nil"/>
              <w:bottom w:val="nil"/>
              <w:right w:val="nil"/>
            </w:tcBorders>
            <w:shd w:val="clear" w:color="auto" w:fill="auto"/>
            <w:vAlign w:val="center"/>
          </w:tcPr>
          <w:p w14:paraId="4C88A7B1" w14:textId="77777777" w:rsidR="00D13CFB" w:rsidRPr="001B015B" w:rsidRDefault="00D13CFB" w:rsidP="00CA7F04">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089" w:type="dxa"/>
            <w:tcBorders>
              <w:top w:val="nil"/>
              <w:left w:val="nil"/>
              <w:bottom w:val="nil"/>
              <w:right w:val="nil"/>
            </w:tcBorders>
            <w:shd w:val="clear" w:color="auto" w:fill="auto"/>
            <w:vAlign w:val="center"/>
          </w:tcPr>
          <w:p w14:paraId="319610D6" w14:textId="77777777" w:rsidR="00D13CFB" w:rsidRPr="001B015B" w:rsidRDefault="00D13CFB" w:rsidP="00CA7F04">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084" w:type="dxa"/>
            <w:tcBorders>
              <w:top w:val="nil"/>
              <w:left w:val="nil"/>
              <w:bottom w:val="nil"/>
              <w:right w:val="nil"/>
            </w:tcBorders>
            <w:shd w:val="clear" w:color="auto" w:fill="auto"/>
            <w:vAlign w:val="center"/>
          </w:tcPr>
          <w:p w14:paraId="6510ABEB" w14:textId="77777777" w:rsidR="00D13CFB" w:rsidRPr="001B015B" w:rsidRDefault="00D13CFB" w:rsidP="00CA7F04">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162" w:type="dxa"/>
            <w:shd w:val="clear" w:color="auto" w:fill="auto"/>
            <w:vAlign w:val="bottom"/>
          </w:tcPr>
          <w:p w14:paraId="4BA04FD4" w14:textId="77777777" w:rsidR="00D13CFB" w:rsidRPr="00F959D0" w:rsidRDefault="00D13CFB" w:rsidP="00CA7F04">
            <w:pPr>
              <w:jc w:val="right"/>
              <w:rPr>
                <w:rFonts w:ascii="Arial" w:eastAsia="Calibri" w:hAnsi="Arial" w:cs="Arial"/>
                <w:b/>
                <w:bCs/>
                <w:color w:val="000000" w:themeColor="text1"/>
                <w:sz w:val="18"/>
                <w:szCs w:val="18"/>
              </w:rPr>
            </w:pPr>
            <w:r w:rsidRPr="00F959D0">
              <w:rPr>
                <w:rFonts w:ascii="Arial" w:eastAsia="Calibri" w:hAnsi="Arial" w:cs="Arial"/>
                <w:b/>
                <w:bCs/>
                <w:color w:val="000000" w:themeColor="text1"/>
                <w:sz w:val="18"/>
                <w:szCs w:val="18"/>
              </w:rPr>
              <w:t>-</w:t>
            </w:r>
          </w:p>
        </w:tc>
      </w:tr>
      <w:tr w:rsidR="00D13CFB" w:rsidRPr="001B015B" w14:paraId="1C5F7512" w14:textId="77777777" w:rsidTr="00CA7F04">
        <w:trPr>
          <w:trHeight w:val="164"/>
        </w:trPr>
        <w:tc>
          <w:tcPr>
            <w:tcW w:w="3889" w:type="dxa"/>
            <w:tcBorders>
              <w:top w:val="nil"/>
              <w:left w:val="nil"/>
              <w:bottom w:val="nil"/>
              <w:right w:val="nil"/>
            </w:tcBorders>
            <w:shd w:val="clear" w:color="auto" w:fill="auto"/>
            <w:vAlign w:val="center"/>
          </w:tcPr>
          <w:p w14:paraId="488ED322" w14:textId="77777777" w:rsidR="00D13CFB" w:rsidRPr="001B015B" w:rsidRDefault="00D13CFB"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3</w:t>
            </w:r>
          </w:p>
        </w:tc>
        <w:tc>
          <w:tcPr>
            <w:tcW w:w="1098" w:type="dxa"/>
            <w:shd w:val="clear" w:color="auto" w:fill="auto"/>
            <w:vAlign w:val="bottom"/>
          </w:tcPr>
          <w:p w14:paraId="2A469239" w14:textId="77777777" w:rsidR="00D13CFB" w:rsidRPr="001B015B" w:rsidRDefault="00D13CFB" w:rsidP="00CA7F04">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89" w:type="dxa"/>
            <w:tcBorders>
              <w:top w:val="nil"/>
              <w:left w:val="nil"/>
              <w:bottom w:val="nil"/>
              <w:right w:val="nil"/>
            </w:tcBorders>
            <w:shd w:val="clear" w:color="auto" w:fill="auto"/>
            <w:vAlign w:val="center"/>
          </w:tcPr>
          <w:p w14:paraId="70646A7F" w14:textId="77777777" w:rsidR="00D13CFB" w:rsidRPr="001B015B" w:rsidRDefault="00D13CFB" w:rsidP="00CA7F04">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089" w:type="dxa"/>
            <w:tcBorders>
              <w:top w:val="nil"/>
              <w:left w:val="nil"/>
              <w:bottom w:val="nil"/>
              <w:right w:val="nil"/>
            </w:tcBorders>
            <w:shd w:val="clear" w:color="auto" w:fill="auto"/>
            <w:vAlign w:val="center"/>
          </w:tcPr>
          <w:p w14:paraId="57568984" w14:textId="77777777" w:rsidR="00D13CFB" w:rsidRPr="001B015B" w:rsidRDefault="00D13CFB" w:rsidP="00CA7F04">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084" w:type="dxa"/>
            <w:tcBorders>
              <w:top w:val="nil"/>
              <w:left w:val="nil"/>
              <w:bottom w:val="nil"/>
              <w:right w:val="nil"/>
            </w:tcBorders>
            <w:shd w:val="clear" w:color="auto" w:fill="auto"/>
            <w:vAlign w:val="center"/>
          </w:tcPr>
          <w:p w14:paraId="2DE65EB4" w14:textId="77777777" w:rsidR="00D13CFB" w:rsidRPr="001B015B" w:rsidRDefault="00D13CFB" w:rsidP="00CA7F04">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162" w:type="dxa"/>
            <w:shd w:val="clear" w:color="auto" w:fill="auto"/>
            <w:vAlign w:val="bottom"/>
          </w:tcPr>
          <w:p w14:paraId="79CBD962" w14:textId="77777777" w:rsidR="00D13CFB" w:rsidRPr="00F959D0" w:rsidRDefault="00D13CFB" w:rsidP="00CA7F04">
            <w:pPr>
              <w:jc w:val="right"/>
              <w:rPr>
                <w:rFonts w:ascii="Arial" w:eastAsia="Calibri" w:hAnsi="Arial" w:cs="Arial"/>
                <w:b/>
                <w:bCs/>
                <w:color w:val="000000" w:themeColor="text1"/>
                <w:sz w:val="18"/>
                <w:szCs w:val="18"/>
              </w:rPr>
            </w:pPr>
            <w:r w:rsidRPr="00F959D0">
              <w:rPr>
                <w:rFonts w:ascii="Arial" w:eastAsia="Calibri" w:hAnsi="Arial" w:cs="Arial"/>
                <w:b/>
                <w:bCs/>
                <w:color w:val="000000" w:themeColor="text1"/>
                <w:sz w:val="18"/>
                <w:szCs w:val="18"/>
              </w:rPr>
              <w:t>-</w:t>
            </w:r>
          </w:p>
        </w:tc>
      </w:tr>
      <w:tr w:rsidR="00D13CFB" w:rsidRPr="001B015B" w14:paraId="74FA8A9B" w14:textId="77777777" w:rsidTr="00CA7F04">
        <w:trPr>
          <w:trHeight w:val="235"/>
        </w:trPr>
        <w:tc>
          <w:tcPr>
            <w:tcW w:w="3889" w:type="dxa"/>
            <w:tcBorders>
              <w:top w:val="nil"/>
              <w:left w:val="nil"/>
              <w:bottom w:val="nil"/>
              <w:right w:val="nil"/>
            </w:tcBorders>
            <w:shd w:val="clear" w:color="auto" w:fill="auto"/>
            <w:vAlign w:val="center"/>
            <w:hideMark/>
          </w:tcPr>
          <w:p w14:paraId="151AFFBE" w14:textId="77777777" w:rsidR="00D13CFB" w:rsidRPr="001B015B" w:rsidRDefault="00D13CFB"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 xml:space="preserve">Neto </w:t>
            </w:r>
            <w:r>
              <w:rPr>
                <w:rFonts w:ascii="Arial" w:eastAsia="Calibri" w:hAnsi="Arial" w:cs="Arial"/>
                <w:color w:val="000000" w:themeColor="text1"/>
                <w:sz w:val="18"/>
                <w:szCs w:val="18"/>
              </w:rPr>
              <w:t>(smanjenje)</w:t>
            </w:r>
            <w:r w:rsidRPr="001B015B">
              <w:rPr>
                <w:rFonts w:ascii="Arial" w:eastAsia="Calibri" w:hAnsi="Arial" w:cs="Arial"/>
                <w:color w:val="000000" w:themeColor="text1"/>
                <w:sz w:val="18"/>
                <w:szCs w:val="18"/>
              </w:rPr>
              <w:t xml:space="preserve"> rezerviranja za očekivane gubitke </w:t>
            </w:r>
          </w:p>
        </w:tc>
        <w:tc>
          <w:tcPr>
            <w:tcW w:w="1098" w:type="dxa"/>
            <w:shd w:val="clear" w:color="auto" w:fill="auto"/>
            <w:vAlign w:val="bottom"/>
          </w:tcPr>
          <w:p w14:paraId="47D1EB73" w14:textId="77777777" w:rsidR="00D13CFB" w:rsidRPr="001B015B" w:rsidRDefault="00D13CFB" w:rsidP="00CA7F04">
            <w:pPr>
              <w:jc w:val="right"/>
              <w:rPr>
                <w:rFonts w:ascii="Arial" w:eastAsia="Calibri" w:hAnsi="Arial" w:cs="Arial"/>
                <w:color w:val="000000" w:themeColor="text1"/>
                <w:sz w:val="18"/>
                <w:szCs w:val="18"/>
              </w:rPr>
            </w:pPr>
            <w:r w:rsidRPr="00067DF8">
              <w:rPr>
                <w:rFonts w:ascii="Arial" w:eastAsia="Calibri" w:hAnsi="Arial" w:cs="Arial"/>
                <w:color w:val="000000" w:themeColor="text1"/>
                <w:sz w:val="18"/>
                <w:szCs w:val="18"/>
              </w:rPr>
              <w:t>(646)</w:t>
            </w:r>
          </w:p>
        </w:tc>
        <w:tc>
          <w:tcPr>
            <w:tcW w:w="1089" w:type="dxa"/>
            <w:tcBorders>
              <w:top w:val="nil"/>
              <w:left w:val="nil"/>
              <w:bottom w:val="nil"/>
              <w:right w:val="nil"/>
            </w:tcBorders>
            <w:shd w:val="clear" w:color="auto" w:fill="auto"/>
            <w:vAlign w:val="bottom"/>
          </w:tcPr>
          <w:p w14:paraId="5B4262EF" w14:textId="77777777" w:rsidR="00D13CFB" w:rsidRPr="001B015B" w:rsidRDefault="00D13CFB" w:rsidP="00CA7F04">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089" w:type="dxa"/>
            <w:tcBorders>
              <w:top w:val="nil"/>
              <w:left w:val="nil"/>
              <w:bottom w:val="nil"/>
              <w:right w:val="nil"/>
            </w:tcBorders>
            <w:shd w:val="clear" w:color="auto" w:fill="auto"/>
            <w:vAlign w:val="bottom"/>
          </w:tcPr>
          <w:p w14:paraId="1CDA4198" w14:textId="77777777" w:rsidR="00D13CFB" w:rsidRPr="001B015B" w:rsidRDefault="00D13CFB" w:rsidP="00CA7F04">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084" w:type="dxa"/>
            <w:tcBorders>
              <w:top w:val="nil"/>
              <w:left w:val="nil"/>
              <w:bottom w:val="nil"/>
              <w:right w:val="nil"/>
            </w:tcBorders>
            <w:shd w:val="clear" w:color="auto" w:fill="auto"/>
            <w:vAlign w:val="bottom"/>
          </w:tcPr>
          <w:p w14:paraId="7C1324BB" w14:textId="77777777" w:rsidR="00D13CFB" w:rsidRPr="001B015B" w:rsidRDefault="00D13CFB" w:rsidP="00CA7F04">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162" w:type="dxa"/>
            <w:shd w:val="clear" w:color="auto" w:fill="auto"/>
            <w:vAlign w:val="bottom"/>
          </w:tcPr>
          <w:p w14:paraId="057502D6" w14:textId="77777777" w:rsidR="00D13CFB" w:rsidRPr="00F959D0" w:rsidRDefault="00D13CFB" w:rsidP="00CA7F04">
            <w:pPr>
              <w:jc w:val="right"/>
              <w:rPr>
                <w:rFonts w:ascii="Arial" w:eastAsia="Calibri" w:hAnsi="Arial" w:cs="Arial"/>
                <w:b/>
                <w:bCs/>
                <w:color w:val="000000" w:themeColor="text1"/>
                <w:sz w:val="18"/>
                <w:szCs w:val="18"/>
              </w:rPr>
            </w:pPr>
            <w:r w:rsidRPr="00F959D0">
              <w:rPr>
                <w:rFonts w:ascii="Arial" w:eastAsia="Calibri" w:hAnsi="Arial" w:cs="Arial"/>
                <w:b/>
                <w:bCs/>
                <w:color w:val="000000" w:themeColor="text1"/>
                <w:sz w:val="18"/>
                <w:szCs w:val="18"/>
              </w:rPr>
              <w:t>(646)</w:t>
            </w:r>
          </w:p>
        </w:tc>
      </w:tr>
      <w:tr w:rsidR="00D13CFB" w:rsidRPr="001B015B" w14:paraId="48E74E43" w14:textId="77777777" w:rsidTr="00CA7F04">
        <w:trPr>
          <w:trHeight w:val="172"/>
        </w:trPr>
        <w:tc>
          <w:tcPr>
            <w:tcW w:w="3889" w:type="dxa"/>
            <w:tcBorders>
              <w:top w:val="nil"/>
              <w:left w:val="nil"/>
              <w:bottom w:val="nil"/>
              <w:right w:val="nil"/>
            </w:tcBorders>
            <w:shd w:val="clear" w:color="auto" w:fill="auto"/>
            <w:vAlign w:val="bottom"/>
            <w:hideMark/>
          </w:tcPr>
          <w:p w14:paraId="4AB5F85F" w14:textId="77777777" w:rsidR="00D13CFB" w:rsidRPr="001B015B" w:rsidRDefault="00D13CFB" w:rsidP="00CA7F04">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Stanje 31. prosinca 202</w:t>
            </w:r>
            <w:r>
              <w:rPr>
                <w:rFonts w:ascii="Arial" w:eastAsia="Calibri" w:hAnsi="Arial" w:cs="Arial"/>
                <w:b/>
                <w:bCs/>
                <w:color w:val="000000" w:themeColor="text1"/>
                <w:sz w:val="18"/>
                <w:szCs w:val="18"/>
              </w:rPr>
              <w:t>3</w:t>
            </w:r>
            <w:r w:rsidRPr="001B015B">
              <w:rPr>
                <w:rFonts w:ascii="Arial" w:eastAsia="Calibri" w:hAnsi="Arial" w:cs="Arial"/>
                <w:b/>
                <w:bCs/>
                <w:color w:val="000000" w:themeColor="text1"/>
                <w:sz w:val="18"/>
                <w:szCs w:val="18"/>
              </w:rPr>
              <w:t>.</w:t>
            </w:r>
          </w:p>
        </w:tc>
        <w:tc>
          <w:tcPr>
            <w:tcW w:w="1098" w:type="dxa"/>
            <w:tcBorders>
              <w:top w:val="single" w:sz="4" w:space="0" w:color="auto"/>
              <w:left w:val="nil"/>
              <w:bottom w:val="single" w:sz="12" w:space="0" w:color="auto"/>
              <w:right w:val="nil"/>
            </w:tcBorders>
            <w:shd w:val="clear" w:color="auto" w:fill="auto"/>
          </w:tcPr>
          <w:p w14:paraId="420634F2" w14:textId="77777777" w:rsidR="00D13CFB" w:rsidRPr="001B015B" w:rsidRDefault="00D13CFB" w:rsidP="00CA7F04">
            <w:pPr>
              <w:jc w:val="right"/>
              <w:rPr>
                <w:rFonts w:ascii="Arial" w:eastAsia="Calibri" w:hAnsi="Arial" w:cs="Arial"/>
                <w:b/>
                <w:bCs/>
                <w:color w:val="000000" w:themeColor="text1"/>
                <w:sz w:val="18"/>
                <w:szCs w:val="18"/>
              </w:rPr>
            </w:pPr>
            <w:r w:rsidRPr="00067DF8">
              <w:rPr>
                <w:rFonts w:ascii="Arial" w:eastAsia="Calibri" w:hAnsi="Arial" w:cs="Arial"/>
                <w:b/>
                <w:bCs/>
                <w:color w:val="000000" w:themeColor="text1"/>
                <w:sz w:val="18"/>
                <w:szCs w:val="18"/>
              </w:rPr>
              <w:t>159</w:t>
            </w:r>
          </w:p>
        </w:tc>
        <w:tc>
          <w:tcPr>
            <w:tcW w:w="1089" w:type="dxa"/>
            <w:tcBorders>
              <w:top w:val="single" w:sz="8" w:space="0" w:color="auto"/>
              <w:left w:val="nil"/>
              <w:bottom w:val="single" w:sz="12" w:space="0" w:color="auto"/>
              <w:right w:val="nil"/>
            </w:tcBorders>
            <w:shd w:val="clear" w:color="auto" w:fill="auto"/>
            <w:vAlign w:val="center"/>
          </w:tcPr>
          <w:p w14:paraId="0329F8FE" w14:textId="77777777" w:rsidR="00D13CFB" w:rsidRPr="001B015B" w:rsidRDefault="00D13CFB" w:rsidP="00CA7F04">
            <w:pPr>
              <w:jc w:val="right"/>
              <w:rPr>
                <w:rFonts w:ascii="Arial" w:eastAsia="Calibri" w:hAnsi="Arial" w:cs="Arial"/>
                <w:b/>
                <w:bCs/>
                <w:color w:val="000000" w:themeColor="text1"/>
                <w:sz w:val="18"/>
                <w:szCs w:val="18"/>
              </w:rPr>
            </w:pPr>
            <w:r w:rsidRPr="00E157E0">
              <w:rPr>
                <w:rFonts w:ascii="Arial" w:hAnsi="Arial" w:cs="Arial"/>
                <w:b/>
                <w:bCs/>
                <w:sz w:val="18"/>
                <w:szCs w:val="18"/>
              </w:rPr>
              <w:t xml:space="preserve">               - </w:t>
            </w:r>
          </w:p>
        </w:tc>
        <w:tc>
          <w:tcPr>
            <w:tcW w:w="1089" w:type="dxa"/>
            <w:tcBorders>
              <w:top w:val="single" w:sz="8" w:space="0" w:color="auto"/>
              <w:left w:val="nil"/>
              <w:bottom w:val="single" w:sz="12" w:space="0" w:color="auto"/>
              <w:right w:val="nil"/>
            </w:tcBorders>
            <w:shd w:val="clear" w:color="auto" w:fill="auto"/>
            <w:vAlign w:val="center"/>
          </w:tcPr>
          <w:p w14:paraId="7C41C9EA" w14:textId="77777777" w:rsidR="00D13CFB" w:rsidRPr="001B015B" w:rsidRDefault="00D13CFB" w:rsidP="00CA7F04">
            <w:pPr>
              <w:jc w:val="right"/>
              <w:rPr>
                <w:rFonts w:ascii="Arial" w:eastAsia="Calibri" w:hAnsi="Arial" w:cs="Arial"/>
                <w:b/>
                <w:bCs/>
                <w:color w:val="000000" w:themeColor="text1"/>
                <w:sz w:val="18"/>
                <w:szCs w:val="18"/>
              </w:rPr>
            </w:pPr>
            <w:r w:rsidRPr="00E157E0">
              <w:rPr>
                <w:rFonts w:ascii="Arial" w:hAnsi="Arial" w:cs="Arial"/>
                <w:b/>
                <w:bCs/>
                <w:sz w:val="18"/>
                <w:szCs w:val="18"/>
              </w:rPr>
              <w:t xml:space="preserve">               - </w:t>
            </w:r>
          </w:p>
        </w:tc>
        <w:tc>
          <w:tcPr>
            <w:tcW w:w="1084" w:type="dxa"/>
            <w:tcBorders>
              <w:top w:val="single" w:sz="8" w:space="0" w:color="auto"/>
              <w:left w:val="nil"/>
              <w:bottom w:val="single" w:sz="12" w:space="0" w:color="auto"/>
              <w:right w:val="nil"/>
            </w:tcBorders>
            <w:shd w:val="clear" w:color="auto" w:fill="auto"/>
            <w:vAlign w:val="center"/>
          </w:tcPr>
          <w:p w14:paraId="02EC0535" w14:textId="77777777" w:rsidR="00D13CFB" w:rsidRPr="001B015B" w:rsidRDefault="00D13CFB" w:rsidP="00CA7F04">
            <w:pPr>
              <w:jc w:val="right"/>
              <w:rPr>
                <w:rFonts w:ascii="Arial" w:eastAsia="Calibri" w:hAnsi="Arial" w:cs="Arial"/>
                <w:b/>
                <w:bCs/>
                <w:color w:val="000000" w:themeColor="text1"/>
                <w:sz w:val="18"/>
                <w:szCs w:val="18"/>
              </w:rPr>
            </w:pPr>
            <w:r w:rsidRPr="00E157E0">
              <w:rPr>
                <w:rFonts w:ascii="Arial" w:hAnsi="Arial" w:cs="Arial"/>
                <w:b/>
                <w:bCs/>
                <w:sz w:val="18"/>
                <w:szCs w:val="18"/>
              </w:rPr>
              <w:t xml:space="preserve">               - </w:t>
            </w:r>
          </w:p>
        </w:tc>
        <w:tc>
          <w:tcPr>
            <w:tcW w:w="1162" w:type="dxa"/>
            <w:tcBorders>
              <w:top w:val="single" w:sz="4" w:space="0" w:color="auto"/>
              <w:left w:val="nil"/>
              <w:bottom w:val="single" w:sz="12" w:space="0" w:color="auto"/>
              <w:right w:val="nil"/>
            </w:tcBorders>
            <w:shd w:val="clear" w:color="auto" w:fill="auto"/>
          </w:tcPr>
          <w:p w14:paraId="33907BBA" w14:textId="77777777" w:rsidR="00D13CFB" w:rsidRPr="00067DF8" w:rsidRDefault="00D13CFB" w:rsidP="00CA7F04">
            <w:pPr>
              <w:jc w:val="right"/>
              <w:rPr>
                <w:rFonts w:ascii="Arial" w:eastAsia="Calibri" w:hAnsi="Arial" w:cs="Arial"/>
                <w:b/>
                <w:bCs/>
                <w:color w:val="000000" w:themeColor="text1"/>
                <w:sz w:val="18"/>
                <w:szCs w:val="18"/>
              </w:rPr>
            </w:pPr>
            <w:r w:rsidRPr="00067DF8">
              <w:rPr>
                <w:rFonts w:ascii="Arial" w:eastAsia="Calibri" w:hAnsi="Arial" w:cs="Arial"/>
                <w:b/>
                <w:bCs/>
                <w:color w:val="000000" w:themeColor="text1"/>
                <w:sz w:val="18"/>
                <w:szCs w:val="18"/>
              </w:rPr>
              <w:t>159</w:t>
            </w:r>
          </w:p>
        </w:tc>
      </w:tr>
    </w:tbl>
    <w:p w14:paraId="1909CAF4" w14:textId="1E0EA754" w:rsidR="003278AB" w:rsidRPr="003D1614" w:rsidRDefault="003278AB" w:rsidP="001A0FCB">
      <w:pPr>
        <w:suppressAutoHyphens/>
        <w:autoSpaceDN w:val="0"/>
        <w:jc w:val="both"/>
        <w:rPr>
          <w:rFonts w:ascii="Arial" w:eastAsia="Times New Roman" w:hAnsi="Arial" w:cs="Arial"/>
          <w:color w:val="000000" w:themeColor="text1"/>
          <w:sz w:val="20"/>
          <w:szCs w:val="20"/>
        </w:rPr>
      </w:pPr>
    </w:p>
    <w:p w14:paraId="37E7C73D" w14:textId="77777777" w:rsidR="00D92646" w:rsidRPr="003D1614" w:rsidRDefault="00D92646" w:rsidP="001A0FCB">
      <w:pPr>
        <w:suppressAutoHyphens/>
        <w:autoSpaceDN w:val="0"/>
        <w:jc w:val="both"/>
        <w:rPr>
          <w:rFonts w:ascii="Arial" w:eastAsia="Times New Roman" w:hAnsi="Arial" w:cs="Arial"/>
          <w:color w:val="000000" w:themeColor="text1"/>
          <w:sz w:val="20"/>
          <w:szCs w:val="20"/>
        </w:rPr>
        <w:sectPr w:rsidR="00D92646" w:rsidRPr="003D1614" w:rsidSect="003278AB">
          <w:pgSz w:w="11906" w:h="16838"/>
          <w:pgMar w:top="1417" w:right="1417" w:bottom="1417" w:left="1417" w:header="708" w:footer="708" w:gutter="0"/>
          <w:cols w:space="708"/>
          <w:docGrid w:linePitch="360"/>
        </w:sectPr>
      </w:pPr>
    </w:p>
    <w:p w14:paraId="3DFEC42C"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71B891F7" w14:textId="58D61C1C"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50C4A398"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22C4E998" w14:textId="2DCBE86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77422ADB"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40730E11" w14:textId="77777777" w:rsidR="00D92646" w:rsidRPr="003D1614" w:rsidRDefault="00D92646" w:rsidP="00D92646">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18EF7B6B" w14:textId="77777777" w:rsidR="00D92646" w:rsidRPr="003D1614" w:rsidRDefault="00D92646" w:rsidP="00D92646">
      <w:pPr>
        <w:keepNext/>
        <w:suppressAutoHyphens/>
        <w:autoSpaceDN w:val="0"/>
        <w:rPr>
          <w:rFonts w:ascii="Arial" w:eastAsia="Times New Roman" w:hAnsi="Arial" w:cs="Arial"/>
          <w:bCs/>
          <w:i/>
          <w:color w:val="000000" w:themeColor="text1"/>
          <w:sz w:val="20"/>
          <w:szCs w:val="20"/>
        </w:rPr>
      </w:pPr>
    </w:p>
    <w:p w14:paraId="365E7829" w14:textId="77777777" w:rsidR="00D92646" w:rsidRPr="003D1614" w:rsidRDefault="00D92646" w:rsidP="00D92646">
      <w:pPr>
        <w:keepNext/>
        <w:suppressAutoHyphens/>
        <w:autoSpaceDN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Novčana sredstva i računi kod banaka (nastavak)</w:t>
      </w:r>
    </w:p>
    <w:p w14:paraId="613490E3"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tbl>
      <w:tblPr>
        <w:tblW w:w="9369" w:type="dxa"/>
        <w:tblInd w:w="-180" w:type="dxa"/>
        <w:tblLook w:val="04A0" w:firstRow="1" w:lastRow="0" w:firstColumn="1" w:lastColumn="0" w:noHBand="0" w:noVBand="1"/>
      </w:tblPr>
      <w:tblGrid>
        <w:gridCol w:w="4097"/>
        <w:gridCol w:w="1098"/>
        <w:gridCol w:w="1028"/>
        <w:gridCol w:w="1028"/>
        <w:gridCol w:w="1020"/>
        <w:gridCol w:w="1098"/>
      </w:tblGrid>
      <w:tr w:rsidR="00D92646" w:rsidRPr="003D1614" w14:paraId="28FDDED4" w14:textId="77777777" w:rsidTr="00AD0393">
        <w:trPr>
          <w:trHeight w:val="173"/>
        </w:trPr>
        <w:tc>
          <w:tcPr>
            <w:tcW w:w="4097" w:type="dxa"/>
            <w:tcBorders>
              <w:top w:val="nil"/>
              <w:left w:val="nil"/>
              <w:bottom w:val="nil"/>
              <w:right w:val="nil"/>
            </w:tcBorders>
            <w:shd w:val="clear" w:color="auto" w:fill="auto"/>
            <w:vAlign w:val="center"/>
          </w:tcPr>
          <w:p w14:paraId="38A7460F" w14:textId="77777777" w:rsidR="00D92646" w:rsidRPr="003D1614" w:rsidRDefault="00D92646" w:rsidP="00D92646">
            <w:pPr>
              <w:suppressAutoHyphens/>
              <w:autoSpaceDN w:val="0"/>
              <w:rPr>
                <w:rFonts w:ascii="Arial" w:eastAsia="Calibri" w:hAnsi="Arial" w:cs="Arial"/>
                <w:b/>
                <w:bCs/>
                <w:color w:val="000000" w:themeColor="text1"/>
                <w:sz w:val="18"/>
                <w:szCs w:val="18"/>
              </w:rPr>
            </w:pPr>
            <w:bookmarkStart w:id="755" w:name="_Hlk24387129"/>
            <w:r w:rsidRPr="003D1614">
              <w:rPr>
                <w:rFonts w:ascii="Arial" w:eastAsia="Calibri" w:hAnsi="Arial" w:cs="Arial"/>
                <w:b/>
                <w:bCs/>
                <w:color w:val="000000" w:themeColor="text1"/>
                <w:sz w:val="18"/>
                <w:szCs w:val="18"/>
              </w:rPr>
              <w:t>Banka</w:t>
            </w:r>
          </w:p>
        </w:tc>
        <w:tc>
          <w:tcPr>
            <w:tcW w:w="1098" w:type="dxa"/>
            <w:tcBorders>
              <w:top w:val="nil"/>
              <w:left w:val="nil"/>
              <w:bottom w:val="nil"/>
              <w:right w:val="nil"/>
            </w:tcBorders>
            <w:shd w:val="clear" w:color="auto" w:fill="auto"/>
            <w:vAlign w:val="center"/>
          </w:tcPr>
          <w:p w14:paraId="04376F0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5DAA9D7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75676366"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20" w:type="dxa"/>
            <w:tcBorders>
              <w:top w:val="nil"/>
              <w:left w:val="nil"/>
              <w:bottom w:val="nil"/>
              <w:right w:val="nil"/>
            </w:tcBorders>
            <w:shd w:val="clear" w:color="auto" w:fill="auto"/>
            <w:vAlign w:val="center"/>
          </w:tcPr>
          <w:p w14:paraId="1A5D2E5A"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tcPr>
          <w:p w14:paraId="03C7F490"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D92646" w:rsidRPr="003D1614" w14:paraId="17EFFF48" w14:textId="77777777" w:rsidTr="00AD0393">
        <w:trPr>
          <w:trHeight w:val="173"/>
        </w:trPr>
        <w:tc>
          <w:tcPr>
            <w:tcW w:w="4097" w:type="dxa"/>
            <w:tcBorders>
              <w:top w:val="nil"/>
              <w:left w:val="nil"/>
              <w:bottom w:val="nil"/>
              <w:right w:val="nil"/>
            </w:tcBorders>
            <w:shd w:val="clear" w:color="auto" w:fill="auto"/>
            <w:vAlign w:val="center"/>
            <w:hideMark/>
          </w:tcPr>
          <w:p w14:paraId="2E5A2C6E" w14:textId="330FBA7A" w:rsidR="00D92646" w:rsidRPr="003D1614" w:rsidRDefault="00D92646" w:rsidP="00D92646">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ožujka 202</w:t>
            </w:r>
            <w:r w:rsidR="00D13CFB">
              <w:rPr>
                <w:rFonts w:ascii="Arial" w:eastAsia="Calibri" w:hAnsi="Arial" w:cs="Arial"/>
                <w:b/>
                <w:bCs/>
                <w:color w:val="000000" w:themeColor="text1"/>
                <w:sz w:val="18"/>
                <w:szCs w:val="18"/>
              </w:rPr>
              <w:t>4</w:t>
            </w:r>
            <w:r w:rsidRPr="003D1614">
              <w:rPr>
                <w:rFonts w:ascii="Arial" w:eastAsia="Calibri" w:hAnsi="Arial" w:cs="Arial"/>
                <w:b/>
                <w:bCs/>
                <w:color w:val="000000" w:themeColor="text1"/>
                <w:sz w:val="18"/>
                <w:szCs w:val="18"/>
              </w:rPr>
              <w:t>.</w:t>
            </w:r>
          </w:p>
        </w:tc>
        <w:tc>
          <w:tcPr>
            <w:tcW w:w="1098" w:type="dxa"/>
            <w:tcBorders>
              <w:top w:val="nil"/>
              <w:left w:val="nil"/>
              <w:bottom w:val="nil"/>
              <w:right w:val="nil"/>
            </w:tcBorders>
            <w:shd w:val="clear" w:color="auto" w:fill="auto"/>
            <w:vAlign w:val="center"/>
            <w:hideMark/>
          </w:tcPr>
          <w:p w14:paraId="5467416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28" w:type="dxa"/>
            <w:tcBorders>
              <w:top w:val="nil"/>
              <w:left w:val="nil"/>
              <w:bottom w:val="nil"/>
              <w:right w:val="nil"/>
            </w:tcBorders>
            <w:shd w:val="clear" w:color="auto" w:fill="auto"/>
            <w:vAlign w:val="center"/>
            <w:hideMark/>
          </w:tcPr>
          <w:p w14:paraId="18447378"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28" w:type="dxa"/>
            <w:tcBorders>
              <w:top w:val="nil"/>
              <w:left w:val="nil"/>
              <w:bottom w:val="nil"/>
              <w:right w:val="nil"/>
            </w:tcBorders>
            <w:shd w:val="clear" w:color="auto" w:fill="auto"/>
            <w:vAlign w:val="center"/>
            <w:hideMark/>
          </w:tcPr>
          <w:p w14:paraId="150E89C7"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20" w:type="dxa"/>
            <w:tcBorders>
              <w:top w:val="nil"/>
              <w:left w:val="nil"/>
              <w:bottom w:val="nil"/>
              <w:right w:val="nil"/>
            </w:tcBorders>
            <w:shd w:val="clear" w:color="auto" w:fill="auto"/>
            <w:vAlign w:val="center"/>
            <w:hideMark/>
          </w:tcPr>
          <w:p w14:paraId="69C86032"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098" w:type="dxa"/>
            <w:tcBorders>
              <w:top w:val="nil"/>
              <w:left w:val="nil"/>
              <w:bottom w:val="nil"/>
              <w:right w:val="nil"/>
            </w:tcBorders>
            <w:shd w:val="clear" w:color="auto" w:fill="auto"/>
            <w:vAlign w:val="center"/>
            <w:hideMark/>
          </w:tcPr>
          <w:p w14:paraId="471F5440"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7EB61633" w14:textId="77777777" w:rsidTr="00AD0393">
        <w:trPr>
          <w:trHeight w:val="173"/>
        </w:trPr>
        <w:tc>
          <w:tcPr>
            <w:tcW w:w="4097" w:type="dxa"/>
            <w:tcBorders>
              <w:top w:val="nil"/>
              <w:left w:val="nil"/>
              <w:bottom w:val="nil"/>
              <w:right w:val="nil"/>
            </w:tcBorders>
            <w:shd w:val="clear" w:color="auto" w:fill="auto"/>
            <w:vAlign w:val="center"/>
            <w:hideMark/>
          </w:tcPr>
          <w:p w14:paraId="6D213370"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hideMark/>
          </w:tcPr>
          <w:p w14:paraId="2DBF3810" w14:textId="06386FDB"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8" w:type="dxa"/>
            <w:tcBorders>
              <w:top w:val="nil"/>
              <w:left w:val="nil"/>
              <w:bottom w:val="nil"/>
              <w:right w:val="nil"/>
            </w:tcBorders>
            <w:shd w:val="clear" w:color="auto" w:fill="auto"/>
            <w:vAlign w:val="center"/>
            <w:hideMark/>
          </w:tcPr>
          <w:p w14:paraId="1BD698B4" w14:textId="1783DADF"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8" w:type="dxa"/>
            <w:tcBorders>
              <w:top w:val="nil"/>
              <w:left w:val="nil"/>
              <w:bottom w:val="nil"/>
              <w:right w:val="nil"/>
            </w:tcBorders>
            <w:shd w:val="clear" w:color="auto" w:fill="auto"/>
            <w:vAlign w:val="center"/>
            <w:hideMark/>
          </w:tcPr>
          <w:p w14:paraId="12ACF188" w14:textId="47008644"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0" w:type="dxa"/>
            <w:tcBorders>
              <w:top w:val="nil"/>
              <w:left w:val="nil"/>
              <w:bottom w:val="nil"/>
              <w:right w:val="nil"/>
            </w:tcBorders>
            <w:shd w:val="clear" w:color="auto" w:fill="auto"/>
            <w:vAlign w:val="center"/>
            <w:hideMark/>
          </w:tcPr>
          <w:p w14:paraId="0FBAB478" w14:textId="781D37A4"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8" w:type="dxa"/>
            <w:tcBorders>
              <w:top w:val="nil"/>
              <w:left w:val="nil"/>
              <w:bottom w:val="nil"/>
              <w:right w:val="nil"/>
            </w:tcBorders>
            <w:shd w:val="clear" w:color="auto" w:fill="auto"/>
            <w:vAlign w:val="center"/>
            <w:hideMark/>
          </w:tcPr>
          <w:p w14:paraId="08AA0CB4" w14:textId="760E9650"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1981A5EF" w14:textId="77777777" w:rsidTr="00AD0393">
        <w:trPr>
          <w:trHeight w:val="173"/>
        </w:trPr>
        <w:tc>
          <w:tcPr>
            <w:tcW w:w="4097" w:type="dxa"/>
            <w:tcBorders>
              <w:top w:val="nil"/>
              <w:left w:val="nil"/>
              <w:bottom w:val="nil"/>
              <w:right w:val="nil"/>
            </w:tcBorders>
            <w:shd w:val="clear" w:color="auto" w:fill="auto"/>
            <w:vAlign w:val="center"/>
          </w:tcPr>
          <w:p w14:paraId="2A7EA74D"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tcPr>
          <w:p w14:paraId="57E509B7"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08B29C08"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47189D9F"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20" w:type="dxa"/>
            <w:tcBorders>
              <w:top w:val="nil"/>
              <w:left w:val="nil"/>
              <w:bottom w:val="nil"/>
              <w:right w:val="nil"/>
            </w:tcBorders>
            <w:shd w:val="clear" w:color="auto" w:fill="auto"/>
            <w:vAlign w:val="center"/>
          </w:tcPr>
          <w:p w14:paraId="1663B7E1"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tcPr>
          <w:p w14:paraId="0A91E16C"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2973F3" w:rsidRPr="003D1614" w14:paraId="48F081F4" w14:textId="77777777" w:rsidTr="008D6FD7">
        <w:trPr>
          <w:trHeight w:val="173"/>
        </w:trPr>
        <w:tc>
          <w:tcPr>
            <w:tcW w:w="4097" w:type="dxa"/>
            <w:tcBorders>
              <w:top w:val="nil"/>
              <w:left w:val="nil"/>
              <w:bottom w:val="nil"/>
              <w:right w:val="nil"/>
            </w:tcBorders>
            <w:shd w:val="clear" w:color="auto" w:fill="auto"/>
            <w:vAlign w:val="center"/>
            <w:hideMark/>
          </w:tcPr>
          <w:p w14:paraId="1DC7700F" w14:textId="564775B1"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Stanje 1. siječnja 202</w:t>
            </w:r>
            <w:r w:rsidR="00AB330A">
              <w:rPr>
                <w:rFonts w:ascii="Arial" w:eastAsia="Calibri" w:hAnsi="Arial" w:cs="Arial"/>
                <w:color w:val="000000" w:themeColor="text1"/>
                <w:sz w:val="18"/>
                <w:szCs w:val="18"/>
              </w:rPr>
              <w:t>4</w:t>
            </w:r>
            <w:r w:rsidRPr="003D1614">
              <w:rPr>
                <w:rFonts w:ascii="Arial" w:eastAsia="Calibri" w:hAnsi="Arial" w:cs="Arial"/>
                <w:color w:val="000000" w:themeColor="text1"/>
                <w:sz w:val="18"/>
                <w:szCs w:val="18"/>
              </w:rPr>
              <w:t xml:space="preserve">. </w:t>
            </w:r>
          </w:p>
        </w:tc>
        <w:tc>
          <w:tcPr>
            <w:tcW w:w="1098" w:type="dxa"/>
            <w:shd w:val="clear" w:color="auto" w:fill="auto"/>
            <w:vAlign w:val="bottom"/>
          </w:tcPr>
          <w:p w14:paraId="0722A5B3" w14:textId="4D769C70" w:rsidR="002973F3" w:rsidRPr="003D1614" w:rsidRDefault="00E8767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158</w:t>
            </w:r>
          </w:p>
        </w:tc>
        <w:tc>
          <w:tcPr>
            <w:tcW w:w="1028" w:type="dxa"/>
            <w:shd w:val="clear" w:color="auto" w:fill="auto"/>
            <w:vAlign w:val="bottom"/>
          </w:tcPr>
          <w:p w14:paraId="573B8AFC" w14:textId="38D9203F" w:rsidR="002973F3" w:rsidRPr="003D1614" w:rsidRDefault="00E8767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shd w:val="clear" w:color="auto" w:fill="auto"/>
            <w:vAlign w:val="bottom"/>
          </w:tcPr>
          <w:p w14:paraId="224FBFEA" w14:textId="7CB6EF25" w:rsidR="002973F3" w:rsidRPr="003D1614" w:rsidRDefault="00E8767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0" w:type="dxa"/>
            <w:shd w:val="clear" w:color="auto" w:fill="auto"/>
            <w:vAlign w:val="bottom"/>
          </w:tcPr>
          <w:p w14:paraId="688229BB" w14:textId="11014B9D" w:rsidR="002973F3" w:rsidRPr="003D1614" w:rsidRDefault="00E8767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8" w:type="dxa"/>
            <w:shd w:val="clear" w:color="auto" w:fill="auto"/>
            <w:vAlign w:val="bottom"/>
          </w:tcPr>
          <w:p w14:paraId="6487CDD6" w14:textId="23B2D336" w:rsidR="002973F3" w:rsidRPr="005D1219" w:rsidRDefault="00E87673" w:rsidP="002973F3">
            <w:pPr>
              <w:suppressAutoHyphens/>
              <w:autoSpaceDN w:val="0"/>
              <w:jc w:val="right"/>
              <w:rPr>
                <w:rFonts w:ascii="Arial" w:eastAsia="Calibri" w:hAnsi="Arial" w:cs="Arial"/>
                <w:b/>
                <w:bCs/>
                <w:color w:val="000000" w:themeColor="text1"/>
                <w:sz w:val="18"/>
                <w:szCs w:val="18"/>
              </w:rPr>
            </w:pPr>
            <w:r w:rsidRPr="005D1219">
              <w:rPr>
                <w:rFonts w:ascii="Arial" w:eastAsia="Calibri" w:hAnsi="Arial" w:cs="Arial"/>
                <w:b/>
                <w:bCs/>
                <w:color w:val="000000" w:themeColor="text1"/>
                <w:sz w:val="18"/>
                <w:szCs w:val="18"/>
              </w:rPr>
              <w:t>158</w:t>
            </w:r>
          </w:p>
        </w:tc>
      </w:tr>
      <w:tr w:rsidR="002973F3" w:rsidRPr="003D1614" w14:paraId="1DEAFEDA" w14:textId="77777777" w:rsidTr="008D6FD7">
        <w:trPr>
          <w:trHeight w:val="173"/>
        </w:trPr>
        <w:tc>
          <w:tcPr>
            <w:tcW w:w="4097" w:type="dxa"/>
            <w:tcBorders>
              <w:top w:val="nil"/>
              <w:left w:val="nil"/>
              <w:bottom w:val="nil"/>
              <w:right w:val="nil"/>
            </w:tcBorders>
            <w:shd w:val="clear" w:color="auto" w:fill="auto"/>
            <w:vAlign w:val="center"/>
            <w:hideMark/>
          </w:tcPr>
          <w:p w14:paraId="4DB6471B"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98" w:type="dxa"/>
            <w:shd w:val="clear" w:color="auto" w:fill="auto"/>
            <w:vAlign w:val="bottom"/>
          </w:tcPr>
          <w:p w14:paraId="64D2AC00" w14:textId="1E5D96E3" w:rsidR="002973F3" w:rsidRPr="003D1614" w:rsidRDefault="00E8767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shd w:val="clear" w:color="auto" w:fill="auto"/>
            <w:vAlign w:val="bottom"/>
          </w:tcPr>
          <w:p w14:paraId="011D6A00" w14:textId="077234E5" w:rsidR="002973F3" w:rsidRPr="003D1614" w:rsidRDefault="00E8767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shd w:val="clear" w:color="auto" w:fill="auto"/>
            <w:vAlign w:val="bottom"/>
          </w:tcPr>
          <w:p w14:paraId="607827FD" w14:textId="4363F209" w:rsidR="002973F3" w:rsidRPr="003D1614" w:rsidRDefault="00E8767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0" w:type="dxa"/>
            <w:shd w:val="clear" w:color="auto" w:fill="auto"/>
            <w:vAlign w:val="bottom"/>
          </w:tcPr>
          <w:p w14:paraId="7CA2F245" w14:textId="6C4909A0" w:rsidR="002973F3" w:rsidRPr="003D1614" w:rsidRDefault="00E8767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8" w:type="dxa"/>
            <w:shd w:val="clear" w:color="auto" w:fill="auto"/>
            <w:vAlign w:val="bottom"/>
          </w:tcPr>
          <w:p w14:paraId="123532D0" w14:textId="49032E78" w:rsidR="002973F3" w:rsidRPr="005D1219" w:rsidRDefault="00E87673" w:rsidP="002973F3">
            <w:pPr>
              <w:suppressAutoHyphens/>
              <w:autoSpaceDN w:val="0"/>
              <w:jc w:val="right"/>
              <w:rPr>
                <w:rFonts w:ascii="Arial" w:eastAsia="Calibri" w:hAnsi="Arial" w:cs="Arial"/>
                <w:b/>
                <w:bCs/>
                <w:color w:val="000000" w:themeColor="text1"/>
                <w:sz w:val="18"/>
                <w:szCs w:val="18"/>
              </w:rPr>
            </w:pPr>
            <w:r w:rsidRPr="005D1219">
              <w:rPr>
                <w:rFonts w:ascii="Arial" w:eastAsia="Calibri" w:hAnsi="Arial" w:cs="Arial"/>
                <w:b/>
                <w:bCs/>
                <w:color w:val="000000" w:themeColor="text1"/>
                <w:sz w:val="18"/>
                <w:szCs w:val="18"/>
              </w:rPr>
              <w:t>-</w:t>
            </w:r>
          </w:p>
        </w:tc>
      </w:tr>
      <w:tr w:rsidR="002973F3" w:rsidRPr="003D1614" w14:paraId="14AE23B0" w14:textId="77777777" w:rsidTr="008D6FD7">
        <w:trPr>
          <w:trHeight w:val="173"/>
        </w:trPr>
        <w:tc>
          <w:tcPr>
            <w:tcW w:w="4097" w:type="dxa"/>
            <w:tcBorders>
              <w:top w:val="nil"/>
              <w:left w:val="nil"/>
              <w:bottom w:val="nil"/>
              <w:right w:val="nil"/>
            </w:tcBorders>
            <w:shd w:val="clear" w:color="auto" w:fill="auto"/>
            <w:vAlign w:val="center"/>
          </w:tcPr>
          <w:p w14:paraId="5B3FA7E4"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98" w:type="dxa"/>
            <w:shd w:val="clear" w:color="auto" w:fill="auto"/>
            <w:vAlign w:val="bottom"/>
          </w:tcPr>
          <w:p w14:paraId="3418C699" w14:textId="1A1A8870" w:rsidR="002973F3" w:rsidRPr="003D1614" w:rsidRDefault="00E8767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shd w:val="clear" w:color="auto" w:fill="auto"/>
            <w:vAlign w:val="bottom"/>
          </w:tcPr>
          <w:p w14:paraId="35879D38" w14:textId="06F0F82C" w:rsidR="002973F3" w:rsidRPr="003D1614" w:rsidRDefault="00E8767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shd w:val="clear" w:color="auto" w:fill="auto"/>
            <w:vAlign w:val="bottom"/>
          </w:tcPr>
          <w:p w14:paraId="2EA74BAE" w14:textId="656D6E66" w:rsidR="002973F3" w:rsidRPr="003D1614" w:rsidRDefault="00E8767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0" w:type="dxa"/>
            <w:shd w:val="clear" w:color="auto" w:fill="auto"/>
            <w:vAlign w:val="bottom"/>
          </w:tcPr>
          <w:p w14:paraId="630F1FFC" w14:textId="323124A9" w:rsidR="002973F3" w:rsidRPr="003D1614" w:rsidRDefault="00E8767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8" w:type="dxa"/>
            <w:shd w:val="clear" w:color="auto" w:fill="auto"/>
            <w:vAlign w:val="bottom"/>
          </w:tcPr>
          <w:p w14:paraId="564AF537" w14:textId="22582690" w:rsidR="002973F3" w:rsidRPr="005D1219" w:rsidRDefault="00E87673" w:rsidP="002973F3">
            <w:pPr>
              <w:suppressAutoHyphens/>
              <w:autoSpaceDN w:val="0"/>
              <w:jc w:val="right"/>
              <w:rPr>
                <w:rFonts w:ascii="Arial" w:eastAsia="Calibri" w:hAnsi="Arial" w:cs="Arial"/>
                <w:b/>
                <w:bCs/>
                <w:color w:val="000000" w:themeColor="text1"/>
                <w:sz w:val="18"/>
                <w:szCs w:val="18"/>
              </w:rPr>
            </w:pPr>
            <w:r w:rsidRPr="005D1219">
              <w:rPr>
                <w:rFonts w:ascii="Arial" w:eastAsia="Calibri" w:hAnsi="Arial" w:cs="Arial"/>
                <w:b/>
                <w:bCs/>
                <w:color w:val="000000" w:themeColor="text1"/>
                <w:sz w:val="18"/>
                <w:szCs w:val="18"/>
              </w:rPr>
              <w:t>-</w:t>
            </w:r>
          </w:p>
        </w:tc>
      </w:tr>
      <w:tr w:rsidR="002973F3" w:rsidRPr="003D1614" w14:paraId="3E909014" w14:textId="77777777" w:rsidTr="008D6FD7">
        <w:trPr>
          <w:trHeight w:val="173"/>
        </w:trPr>
        <w:tc>
          <w:tcPr>
            <w:tcW w:w="4097" w:type="dxa"/>
            <w:tcBorders>
              <w:top w:val="nil"/>
              <w:left w:val="nil"/>
              <w:bottom w:val="nil"/>
              <w:right w:val="nil"/>
            </w:tcBorders>
            <w:shd w:val="clear" w:color="auto" w:fill="auto"/>
            <w:vAlign w:val="center"/>
          </w:tcPr>
          <w:p w14:paraId="779BCF35" w14:textId="77777777"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98" w:type="dxa"/>
            <w:shd w:val="clear" w:color="auto" w:fill="auto"/>
            <w:vAlign w:val="bottom"/>
          </w:tcPr>
          <w:p w14:paraId="2F690DE7" w14:textId="2ACC1A83" w:rsidR="002973F3" w:rsidRPr="003D1614" w:rsidRDefault="00E8767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shd w:val="clear" w:color="auto" w:fill="auto"/>
            <w:vAlign w:val="bottom"/>
          </w:tcPr>
          <w:p w14:paraId="6C473540" w14:textId="7321CFE8" w:rsidR="002973F3" w:rsidRPr="003D1614" w:rsidRDefault="00E8767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shd w:val="clear" w:color="auto" w:fill="auto"/>
            <w:vAlign w:val="bottom"/>
          </w:tcPr>
          <w:p w14:paraId="02D2CC65" w14:textId="7331D996" w:rsidR="002973F3" w:rsidRPr="003D1614" w:rsidRDefault="00E8767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0" w:type="dxa"/>
            <w:shd w:val="clear" w:color="auto" w:fill="auto"/>
            <w:vAlign w:val="bottom"/>
          </w:tcPr>
          <w:p w14:paraId="6BF7E0C8" w14:textId="5A753552" w:rsidR="002973F3" w:rsidRPr="003D1614" w:rsidRDefault="00E8767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8" w:type="dxa"/>
            <w:shd w:val="clear" w:color="auto" w:fill="auto"/>
            <w:vAlign w:val="bottom"/>
          </w:tcPr>
          <w:p w14:paraId="1F774B4D" w14:textId="5D8B5EEF" w:rsidR="002973F3" w:rsidRPr="005D1219" w:rsidRDefault="00E87673" w:rsidP="002973F3">
            <w:pPr>
              <w:suppressAutoHyphens/>
              <w:autoSpaceDN w:val="0"/>
              <w:jc w:val="right"/>
              <w:rPr>
                <w:rFonts w:ascii="Arial" w:eastAsia="Calibri" w:hAnsi="Arial" w:cs="Arial"/>
                <w:b/>
                <w:bCs/>
                <w:color w:val="000000" w:themeColor="text1"/>
                <w:sz w:val="18"/>
                <w:szCs w:val="18"/>
              </w:rPr>
            </w:pPr>
            <w:r w:rsidRPr="005D1219">
              <w:rPr>
                <w:rFonts w:ascii="Arial" w:eastAsia="Calibri" w:hAnsi="Arial" w:cs="Arial"/>
                <w:b/>
                <w:bCs/>
                <w:color w:val="000000" w:themeColor="text1"/>
                <w:sz w:val="18"/>
                <w:szCs w:val="18"/>
              </w:rPr>
              <w:t>-</w:t>
            </w:r>
          </w:p>
        </w:tc>
      </w:tr>
      <w:tr w:rsidR="002973F3" w:rsidRPr="003D1614" w14:paraId="08BCD9B2" w14:textId="77777777" w:rsidTr="002973F3">
        <w:trPr>
          <w:trHeight w:val="113"/>
        </w:trPr>
        <w:tc>
          <w:tcPr>
            <w:tcW w:w="4097" w:type="dxa"/>
            <w:tcBorders>
              <w:top w:val="nil"/>
              <w:left w:val="nil"/>
              <w:bottom w:val="nil"/>
              <w:right w:val="nil"/>
            </w:tcBorders>
            <w:shd w:val="clear" w:color="auto" w:fill="auto"/>
            <w:vAlign w:val="center"/>
            <w:hideMark/>
          </w:tcPr>
          <w:p w14:paraId="4AF43791" w14:textId="05F6E7F9" w:rsidR="002973F3" w:rsidRPr="003D1614" w:rsidRDefault="002973F3" w:rsidP="002973F3">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w:t>
            </w:r>
            <w:r w:rsidR="00E87673">
              <w:rPr>
                <w:rFonts w:ascii="Arial" w:eastAsia="Calibri" w:hAnsi="Arial" w:cs="Arial"/>
                <w:color w:val="000000" w:themeColor="text1"/>
                <w:sz w:val="18"/>
                <w:szCs w:val="18"/>
              </w:rPr>
              <w:t>povećanje</w:t>
            </w:r>
            <w:r w:rsidRPr="003D1614">
              <w:rPr>
                <w:rFonts w:ascii="Arial" w:eastAsia="Calibri" w:hAnsi="Arial" w:cs="Arial"/>
                <w:color w:val="000000" w:themeColor="text1"/>
                <w:sz w:val="18"/>
                <w:szCs w:val="18"/>
              </w:rPr>
              <w:t xml:space="preserve"> rezerviranja za očekivane gubitke </w:t>
            </w:r>
          </w:p>
        </w:tc>
        <w:tc>
          <w:tcPr>
            <w:tcW w:w="1098" w:type="dxa"/>
            <w:shd w:val="clear" w:color="auto" w:fill="auto"/>
            <w:vAlign w:val="bottom"/>
          </w:tcPr>
          <w:p w14:paraId="16048986" w14:textId="31643715" w:rsidR="002973F3" w:rsidRPr="003D1614" w:rsidRDefault="00E8767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126</w:t>
            </w:r>
          </w:p>
        </w:tc>
        <w:tc>
          <w:tcPr>
            <w:tcW w:w="1028" w:type="dxa"/>
            <w:shd w:val="clear" w:color="auto" w:fill="auto"/>
            <w:vAlign w:val="bottom"/>
          </w:tcPr>
          <w:p w14:paraId="471C96F9" w14:textId="46C5CFFD" w:rsidR="002973F3" w:rsidRPr="003D1614" w:rsidRDefault="00E8767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shd w:val="clear" w:color="auto" w:fill="auto"/>
            <w:vAlign w:val="bottom"/>
          </w:tcPr>
          <w:p w14:paraId="2ED89843" w14:textId="2DC8FC98" w:rsidR="002973F3" w:rsidRPr="003D1614" w:rsidRDefault="00E8767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0" w:type="dxa"/>
            <w:shd w:val="clear" w:color="auto" w:fill="auto"/>
            <w:vAlign w:val="bottom"/>
          </w:tcPr>
          <w:p w14:paraId="465618F5" w14:textId="128F2B56" w:rsidR="002973F3" w:rsidRPr="003D1614" w:rsidRDefault="00E87673" w:rsidP="002973F3">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8" w:type="dxa"/>
            <w:shd w:val="clear" w:color="auto" w:fill="auto"/>
            <w:vAlign w:val="bottom"/>
          </w:tcPr>
          <w:p w14:paraId="700847F1" w14:textId="19AEA03B" w:rsidR="002973F3" w:rsidRPr="005D1219" w:rsidRDefault="00E87673" w:rsidP="002973F3">
            <w:pPr>
              <w:suppressAutoHyphens/>
              <w:autoSpaceDN w:val="0"/>
              <w:jc w:val="right"/>
              <w:rPr>
                <w:rFonts w:ascii="Arial" w:eastAsia="Calibri" w:hAnsi="Arial" w:cs="Arial"/>
                <w:b/>
                <w:bCs/>
                <w:color w:val="000000" w:themeColor="text1"/>
                <w:sz w:val="18"/>
                <w:szCs w:val="18"/>
              </w:rPr>
            </w:pPr>
            <w:r w:rsidRPr="005D1219">
              <w:rPr>
                <w:rFonts w:ascii="Arial" w:eastAsia="Calibri" w:hAnsi="Arial" w:cs="Arial"/>
                <w:b/>
                <w:bCs/>
                <w:color w:val="000000" w:themeColor="text1"/>
                <w:sz w:val="18"/>
                <w:szCs w:val="18"/>
              </w:rPr>
              <w:t>126</w:t>
            </w:r>
          </w:p>
        </w:tc>
      </w:tr>
      <w:tr w:rsidR="002973F3" w:rsidRPr="003D1614" w14:paraId="5AAB2ECD" w14:textId="77777777" w:rsidTr="008D6FD7">
        <w:trPr>
          <w:trHeight w:val="182"/>
        </w:trPr>
        <w:tc>
          <w:tcPr>
            <w:tcW w:w="4097" w:type="dxa"/>
            <w:tcBorders>
              <w:top w:val="nil"/>
              <w:left w:val="nil"/>
              <w:bottom w:val="nil"/>
              <w:right w:val="nil"/>
            </w:tcBorders>
            <w:shd w:val="clear" w:color="auto" w:fill="auto"/>
            <w:vAlign w:val="center"/>
            <w:hideMark/>
          </w:tcPr>
          <w:p w14:paraId="0508188A" w14:textId="0C2AF0D0" w:rsidR="002973F3" w:rsidRPr="003D1614" w:rsidRDefault="002973F3" w:rsidP="002973F3">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ožujka 202</w:t>
            </w:r>
            <w:r w:rsidR="00D13CFB">
              <w:rPr>
                <w:rFonts w:ascii="Arial" w:eastAsia="Calibri" w:hAnsi="Arial" w:cs="Arial"/>
                <w:b/>
                <w:bCs/>
                <w:color w:val="000000" w:themeColor="text1"/>
                <w:sz w:val="18"/>
                <w:szCs w:val="18"/>
              </w:rPr>
              <w:t>4</w:t>
            </w:r>
            <w:r w:rsidRPr="003D1614">
              <w:rPr>
                <w:rFonts w:ascii="Arial" w:eastAsia="Calibri" w:hAnsi="Arial" w:cs="Arial"/>
                <w:b/>
                <w:bCs/>
                <w:color w:val="000000" w:themeColor="text1"/>
                <w:sz w:val="18"/>
                <w:szCs w:val="18"/>
              </w:rPr>
              <w:t>.</w:t>
            </w:r>
          </w:p>
        </w:tc>
        <w:tc>
          <w:tcPr>
            <w:tcW w:w="1098" w:type="dxa"/>
            <w:tcBorders>
              <w:top w:val="single" w:sz="4" w:space="0" w:color="auto"/>
              <w:left w:val="nil"/>
              <w:bottom w:val="single" w:sz="12" w:space="0" w:color="auto"/>
              <w:right w:val="nil"/>
            </w:tcBorders>
            <w:shd w:val="clear" w:color="auto" w:fill="auto"/>
            <w:vAlign w:val="bottom"/>
          </w:tcPr>
          <w:p w14:paraId="22A21950" w14:textId="0A35465D" w:rsidR="002973F3" w:rsidRPr="003D1614" w:rsidRDefault="00E87673" w:rsidP="002973F3">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284</w:t>
            </w:r>
          </w:p>
        </w:tc>
        <w:tc>
          <w:tcPr>
            <w:tcW w:w="1028" w:type="dxa"/>
            <w:tcBorders>
              <w:top w:val="single" w:sz="4" w:space="0" w:color="auto"/>
              <w:left w:val="nil"/>
              <w:bottom w:val="single" w:sz="12" w:space="0" w:color="auto"/>
              <w:right w:val="nil"/>
            </w:tcBorders>
            <w:shd w:val="clear" w:color="auto" w:fill="auto"/>
            <w:vAlign w:val="bottom"/>
          </w:tcPr>
          <w:p w14:paraId="3FB1C7DD" w14:textId="5B45C775" w:rsidR="002973F3" w:rsidRPr="003D1614" w:rsidRDefault="00E87673" w:rsidP="002973F3">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28" w:type="dxa"/>
            <w:tcBorders>
              <w:top w:val="single" w:sz="4" w:space="0" w:color="auto"/>
              <w:left w:val="nil"/>
              <w:bottom w:val="single" w:sz="12" w:space="0" w:color="auto"/>
              <w:right w:val="nil"/>
            </w:tcBorders>
            <w:shd w:val="clear" w:color="auto" w:fill="auto"/>
            <w:vAlign w:val="bottom"/>
          </w:tcPr>
          <w:p w14:paraId="224D2CCC" w14:textId="1F01AD0C" w:rsidR="002973F3" w:rsidRPr="003D1614" w:rsidRDefault="00E87673" w:rsidP="002973F3">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20" w:type="dxa"/>
            <w:tcBorders>
              <w:top w:val="single" w:sz="4" w:space="0" w:color="auto"/>
              <w:left w:val="nil"/>
              <w:bottom w:val="single" w:sz="12" w:space="0" w:color="auto"/>
              <w:right w:val="nil"/>
            </w:tcBorders>
            <w:shd w:val="clear" w:color="auto" w:fill="auto"/>
            <w:vAlign w:val="bottom"/>
          </w:tcPr>
          <w:p w14:paraId="05BC5AD7" w14:textId="1E585B29" w:rsidR="002973F3" w:rsidRPr="003D1614" w:rsidRDefault="00E87673" w:rsidP="002973F3">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8" w:type="dxa"/>
            <w:tcBorders>
              <w:top w:val="single" w:sz="4" w:space="0" w:color="auto"/>
              <w:left w:val="nil"/>
              <w:bottom w:val="single" w:sz="12" w:space="0" w:color="auto"/>
              <w:right w:val="nil"/>
            </w:tcBorders>
            <w:shd w:val="clear" w:color="auto" w:fill="auto"/>
            <w:vAlign w:val="bottom"/>
          </w:tcPr>
          <w:p w14:paraId="25F59D95" w14:textId="19EDDE11" w:rsidR="002973F3" w:rsidRPr="003D1614" w:rsidRDefault="00E87673" w:rsidP="002973F3">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284</w:t>
            </w:r>
          </w:p>
        </w:tc>
      </w:tr>
      <w:bookmarkEnd w:id="755"/>
    </w:tbl>
    <w:p w14:paraId="742F47DC" w14:textId="4E83B26B"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tbl>
      <w:tblPr>
        <w:tblW w:w="9369" w:type="dxa"/>
        <w:tblInd w:w="-180" w:type="dxa"/>
        <w:tblLook w:val="04A0" w:firstRow="1" w:lastRow="0" w:firstColumn="1" w:lastColumn="0" w:noHBand="0" w:noVBand="1"/>
      </w:tblPr>
      <w:tblGrid>
        <w:gridCol w:w="4097"/>
        <w:gridCol w:w="1098"/>
        <w:gridCol w:w="1028"/>
        <w:gridCol w:w="1028"/>
        <w:gridCol w:w="1020"/>
        <w:gridCol w:w="1098"/>
      </w:tblGrid>
      <w:tr w:rsidR="00AB330A" w:rsidRPr="001B015B" w14:paraId="5CA682BB" w14:textId="77777777" w:rsidTr="00CA7F04">
        <w:trPr>
          <w:trHeight w:val="173"/>
        </w:trPr>
        <w:tc>
          <w:tcPr>
            <w:tcW w:w="4097" w:type="dxa"/>
            <w:tcBorders>
              <w:top w:val="nil"/>
              <w:left w:val="nil"/>
              <w:bottom w:val="nil"/>
              <w:right w:val="nil"/>
            </w:tcBorders>
            <w:shd w:val="clear" w:color="auto" w:fill="auto"/>
            <w:vAlign w:val="center"/>
          </w:tcPr>
          <w:p w14:paraId="4C52BF36" w14:textId="77777777" w:rsidR="00AB330A" w:rsidRPr="001B015B" w:rsidRDefault="00AB330A" w:rsidP="00CA7F04">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Banka</w:t>
            </w:r>
          </w:p>
        </w:tc>
        <w:tc>
          <w:tcPr>
            <w:tcW w:w="1098" w:type="dxa"/>
            <w:tcBorders>
              <w:top w:val="nil"/>
              <w:left w:val="nil"/>
              <w:bottom w:val="nil"/>
              <w:right w:val="nil"/>
            </w:tcBorders>
            <w:shd w:val="clear" w:color="auto" w:fill="auto"/>
            <w:vAlign w:val="center"/>
          </w:tcPr>
          <w:p w14:paraId="1D7E55BC" w14:textId="77777777" w:rsidR="00AB330A" w:rsidRPr="001B015B" w:rsidRDefault="00AB330A" w:rsidP="00CA7F04">
            <w:pPr>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12ABBBFB" w14:textId="77777777" w:rsidR="00AB330A" w:rsidRPr="001B015B" w:rsidRDefault="00AB330A" w:rsidP="00CA7F04">
            <w:pPr>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615745E0" w14:textId="77777777" w:rsidR="00AB330A" w:rsidRPr="001B015B" w:rsidRDefault="00AB330A" w:rsidP="00CA7F04">
            <w:pPr>
              <w:jc w:val="right"/>
              <w:rPr>
                <w:rFonts w:ascii="Arial" w:eastAsia="Calibri" w:hAnsi="Arial" w:cs="Arial"/>
                <w:b/>
                <w:bCs/>
                <w:color w:val="000000" w:themeColor="text1"/>
                <w:sz w:val="18"/>
                <w:szCs w:val="18"/>
              </w:rPr>
            </w:pPr>
          </w:p>
        </w:tc>
        <w:tc>
          <w:tcPr>
            <w:tcW w:w="1020" w:type="dxa"/>
            <w:tcBorders>
              <w:top w:val="nil"/>
              <w:left w:val="nil"/>
              <w:bottom w:val="nil"/>
              <w:right w:val="nil"/>
            </w:tcBorders>
            <w:shd w:val="clear" w:color="auto" w:fill="auto"/>
            <w:vAlign w:val="center"/>
          </w:tcPr>
          <w:p w14:paraId="6C209D54" w14:textId="77777777" w:rsidR="00AB330A" w:rsidRPr="001B015B" w:rsidRDefault="00AB330A" w:rsidP="00CA7F04">
            <w:pPr>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tcPr>
          <w:p w14:paraId="3A40A27E" w14:textId="77777777" w:rsidR="00AB330A" w:rsidRPr="001B015B" w:rsidRDefault="00AB330A" w:rsidP="00CA7F04">
            <w:pPr>
              <w:jc w:val="right"/>
              <w:rPr>
                <w:rFonts w:ascii="Arial" w:eastAsia="Calibri" w:hAnsi="Arial" w:cs="Arial"/>
                <w:b/>
                <w:bCs/>
                <w:color w:val="000000" w:themeColor="text1"/>
                <w:sz w:val="18"/>
                <w:szCs w:val="18"/>
              </w:rPr>
            </w:pPr>
          </w:p>
        </w:tc>
      </w:tr>
      <w:tr w:rsidR="00AB330A" w:rsidRPr="001B015B" w14:paraId="727B64E6" w14:textId="77777777" w:rsidTr="00CA7F04">
        <w:trPr>
          <w:trHeight w:val="173"/>
        </w:trPr>
        <w:tc>
          <w:tcPr>
            <w:tcW w:w="4097" w:type="dxa"/>
            <w:tcBorders>
              <w:top w:val="nil"/>
              <w:left w:val="nil"/>
              <w:bottom w:val="nil"/>
              <w:right w:val="nil"/>
            </w:tcBorders>
            <w:shd w:val="clear" w:color="auto" w:fill="auto"/>
            <w:vAlign w:val="center"/>
            <w:hideMark/>
          </w:tcPr>
          <w:p w14:paraId="7AF21A4B" w14:textId="77777777" w:rsidR="00AB330A" w:rsidRPr="001B015B" w:rsidRDefault="00AB330A" w:rsidP="00CA7F04">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31. prosinca 202</w:t>
            </w:r>
            <w:r>
              <w:rPr>
                <w:rFonts w:ascii="Arial" w:eastAsia="Calibri" w:hAnsi="Arial" w:cs="Arial"/>
                <w:b/>
                <w:bCs/>
                <w:color w:val="000000" w:themeColor="text1"/>
                <w:sz w:val="18"/>
                <w:szCs w:val="18"/>
              </w:rPr>
              <w:t>3</w:t>
            </w:r>
            <w:r w:rsidRPr="001B015B">
              <w:rPr>
                <w:rFonts w:ascii="Arial" w:eastAsia="Calibri" w:hAnsi="Arial" w:cs="Arial"/>
                <w:b/>
                <w:bCs/>
                <w:color w:val="000000" w:themeColor="text1"/>
                <w:sz w:val="18"/>
                <w:szCs w:val="18"/>
              </w:rPr>
              <w:t>.</w:t>
            </w:r>
          </w:p>
        </w:tc>
        <w:tc>
          <w:tcPr>
            <w:tcW w:w="1098" w:type="dxa"/>
            <w:tcBorders>
              <w:top w:val="nil"/>
              <w:left w:val="nil"/>
              <w:bottom w:val="nil"/>
              <w:right w:val="nil"/>
            </w:tcBorders>
            <w:shd w:val="clear" w:color="auto" w:fill="auto"/>
            <w:vAlign w:val="center"/>
            <w:hideMark/>
          </w:tcPr>
          <w:p w14:paraId="34E7B1B2" w14:textId="77777777" w:rsidR="00AB330A" w:rsidRPr="001B015B" w:rsidRDefault="00AB330A"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1</w:t>
            </w:r>
          </w:p>
        </w:tc>
        <w:tc>
          <w:tcPr>
            <w:tcW w:w="1028" w:type="dxa"/>
            <w:tcBorders>
              <w:top w:val="nil"/>
              <w:left w:val="nil"/>
              <w:bottom w:val="nil"/>
              <w:right w:val="nil"/>
            </w:tcBorders>
            <w:shd w:val="clear" w:color="auto" w:fill="auto"/>
            <w:vAlign w:val="center"/>
            <w:hideMark/>
          </w:tcPr>
          <w:p w14:paraId="3798DCA5" w14:textId="77777777" w:rsidR="00AB330A" w:rsidRPr="001B015B" w:rsidRDefault="00AB330A"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2</w:t>
            </w:r>
          </w:p>
        </w:tc>
        <w:tc>
          <w:tcPr>
            <w:tcW w:w="1028" w:type="dxa"/>
            <w:tcBorders>
              <w:top w:val="nil"/>
              <w:left w:val="nil"/>
              <w:bottom w:val="nil"/>
              <w:right w:val="nil"/>
            </w:tcBorders>
            <w:shd w:val="clear" w:color="auto" w:fill="auto"/>
            <w:vAlign w:val="center"/>
            <w:hideMark/>
          </w:tcPr>
          <w:p w14:paraId="7E557DC1" w14:textId="77777777" w:rsidR="00AB330A" w:rsidRPr="001B015B" w:rsidRDefault="00AB330A"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3</w:t>
            </w:r>
          </w:p>
        </w:tc>
        <w:tc>
          <w:tcPr>
            <w:tcW w:w="1020" w:type="dxa"/>
            <w:tcBorders>
              <w:top w:val="nil"/>
              <w:left w:val="nil"/>
              <w:bottom w:val="nil"/>
              <w:right w:val="nil"/>
            </w:tcBorders>
            <w:shd w:val="clear" w:color="auto" w:fill="auto"/>
            <w:vAlign w:val="center"/>
            <w:hideMark/>
          </w:tcPr>
          <w:p w14:paraId="30C650D2" w14:textId="77777777" w:rsidR="00AB330A" w:rsidRPr="001B015B" w:rsidRDefault="00AB330A"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POCI</w:t>
            </w:r>
          </w:p>
        </w:tc>
        <w:tc>
          <w:tcPr>
            <w:tcW w:w="1098" w:type="dxa"/>
            <w:tcBorders>
              <w:top w:val="nil"/>
              <w:left w:val="nil"/>
              <w:bottom w:val="nil"/>
              <w:right w:val="nil"/>
            </w:tcBorders>
            <w:shd w:val="clear" w:color="auto" w:fill="auto"/>
            <w:vAlign w:val="center"/>
            <w:hideMark/>
          </w:tcPr>
          <w:p w14:paraId="43175DEF" w14:textId="77777777" w:rsidR="00AB330A" w:rsidRPr="001B015B" w:rsidRDefault="00AB330A"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Ukupno</w:t>
            </w:r>
          </w:p>
        </w:tc>
      </w:tr>
      <w:tr w:rsidR="00AB330A" w:rsidRPr="001B015B" w14:paraId="5F9C7FA7" w14:textId="77777777" w:rsidTr="00CA7F04">
        <w:trPr>
          <w:trHeight w:val="173"/>
        </w:trPr>
        <w:tc>
          <w:tcPr>
            <w:tcW w:w="4097" w:type="dxa"/>
            <w:tcBorders>
              <w:top w:val="nil"/>
              <w:left w:val="nil"/>
              <w:bottom w:val="nil"/>
              <w:right w:val="nil"/>
            </w:tcBorders>
            <w:shd w:val="clear" w:color="auto" w:fill="auto"/>
            <w:vAlign w:val="center"/>
            <w:hideMark/>
          </w:tcPr>
          <w:p w14:paraId="02DACBE9" w14:textId="77777777" w:rsidR="00AB330A" w:rsidRPr="001B015B" w:rsidRDefault="00AB330A" w:rsidP="00CA7F04">
            <w:pPr>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hideMark/>
          </w:tcPr>
          <w:p w14:paraId="1ECD62F8" w14:textId="77777777" w:rsidR="00AB330A" w:rsidRPr="001B015B" w:rsidRDefault="00AB330A"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000 </w:t>
            </w:r>
            <w:r>
              <w:rPr>
                <w:rFonts w:ascii="Arial" w:eastAsia="Calibri" w:hAnsi="Arial" w:cs="Arial"/>
                <w:b/>
                <w:bCs/>
                <w:color w:val="000000" w:themeColor="text1"/>
                <w:sz w:val="18"/>
                <w:szCs w:val="18"/>
              </w:rPr>
              <w:t>eur</w:t>
            </w:r>
            <w:r w:rsidRPr="001B015B">
              <w:rPr>
                <w:rFonts w:ascii="Arial" w:eastAsia="Calibri" w:hAnsi="Arial" w:cs="Arial"/>
                <w:b/>
                <w:bCs/>
                <w:color w:val="000000" w:themeColor="text1"/>
                <w:sz w:val="18"/>
                <w:szCs w:val="18"/>
              </w:rPr>
              <w:t>a</w:t>
            </w:r>
          </w:p>
        </w:tc>
        <w:tc>
          <w:tcPr>
            <w:tcW w:w="1028" w:type="dxa"/>
            <w:tcBorders>
              <w:top w:val="nil"/>
              <w:left w:val="nil"/>
              <w:bottom w:val="nil"/>
              <w:right w:val="nil"/>
            </w:tcBorders>
            <w:shd w:val="clear" w:color="auto" w:fill="auto"/>
            <w:vAlign w:val="center"/>
            <w:hideMark/>
          </w:tcPr>
          <w:p w14:paraId="485A75D9" w14:textId="77777777" w:rsidR="00AB330A" w:rsidRPr="001B015B" w:rsidRDefault="00AB330A"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000 </w:t>
            </w:r>
            <w:r>
              <w:rPr>
                <w:rFonts w:ascii="Arial" w:eastAsia="Calibri" w:hAnsi="Arial" w:cs="Arial"/>
                <w:b/>
                <w:bCs/>
                <w:color w:val="000000" w:themeColor="text1"/>
                <w:sz w:val="18"/>
                <w:szCs w:val="18"/>
              </w:rPr>
              <w:t>eur</w:t>
            </w:r>
            <w:r w:rsidRPr="001B015B">
              <w:rPr>
                <w:rFonts w:ascii="Arial" w:eastAsia="Calibri" w:hAnsi="Arial" w:cs="Arial"/>
                <w:b/>
                <w:bCs/>
                <w:color w:val="000000" w:themeColor="text1"/>
                <w:sz w:val="18"/>
                <w:szCs w:val="18"/>
              </w:rPr>
              <w:t>a</w:t>
            </w:r>
          </w:p>
        </w:tc>
        <w:tc>
          <w:tcPr>
            <w:tcW w:w="1028" w:type="dxa"/>
            <w:tcBorders>
              <w:top w:val="nil"/>
              <w:left w:val="nil"/>
              <w:bottom w:val="nil"/>
              <w:right w:val="nil"/>
            </w:tcBorders>
            <w:shd w:val="clear" w:color="auto" w:fill="auto"/>
            <w:vAlign w:val="center"/>
            <w:hideMark/>
          </w:tcPr>
          <w:p w14:paraId="5167E7B0" w14:textId="77777777" w:rsidR="00AB330A" w:rsidRPr="001B015B" w:rsidRDefault="00AB330A"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000 </w:t>
            </w:r>
            <w:r>
              <w:rPr>
                <w:rFonts w:ascii="Arial" w:eastAsia="Calibri" w:hAnsi="Arial" w:cs="Arial"/>
                <w:b/>
                <w:bCs/>
                <w:color w:val="000000" w:themeColor="text1"/>
                <w:sz w:val="18"/>
                <w:szCs w:val="18"/>
              </w:rPr>
              <w:t>eur</w:t>
            </w:r>
            <w:r w:rsidRPr="001B015B">
              <w:rPr>
                <w:rFonts w:ascii="Arial" w:eastAsia="Calibri" w:hAnsi="Arial" w:cs="Arial"/>
                <w:b/>
                <w:bCs/>
                <w:color w:val="000000" w:themeColor="text1"/>
                <w:sz w:val="18"/>
                <w:szCs w:val="18"/>
              </w:rPr>
              <w:t>a</w:t>
            </w:r>
          </w:p>
        </w:tc>
        <w:tc>
          <w:tcPr>
            <w:tcW w:w="1020" w:type="dxa"/>
            <w:tcBorders>
              <w:top w:val="nil"/>
              <w:left w:val="nil"/>
              <w:bottom w:val="nil"/>
              <w:right w:val="nil"/>
            </w:tcBorders>
            <w:shd w:val="clear" w:color="auto" w:fill="auto"/>
            <w:vAlign w:val="center"/>
            <w:hideMark/>
          </w:tcPr>
          <w:p w14:paraId="1A302D52" w14:textId="77777777" w:rsidR="00AB330A" w:rsidRPr="001B015B" w:rsidRDefault="00AB330A"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000 </w:t>
            </w:r>
            <w:r>
              <w:rPr>
                <w:rFonts w:ascii="Arial" w:eastAsia="Calibri" w:hAnsi="Arial" w:cs="Arial"/>
                <w:b/>
                <w:bCs/>
                <w:color w:val="000000" w:themeColor="text1"/>
                <w:sz w:val="18"/>
                <w:szCs w:val="18"/>
              </w:rPr>
              <w:t>eur</w:t>
            </w:r>
            <w:r w:rsidRPr="001B015B">
              <w:rPr>
                <w:rFonts w:ascii="Arial" w:eastAsia="Calibri" w:hAnsi="Arial" w:cs="Arial"/>
                <w:b/>
                <w:bCs/>
                <w:color w:val="000000" w:themeColor="text1"/>
                <w:sz w:val="18"/>
                <w:szCs w:val="18"/>
              </w:rPr>
              <w:t>a</w:t>
            </w:r>
          </w:p>
        </w:tc>
        <w:tc>
          <w:tcPr>
            <w:tcW w:w="1098" w:type="dxa"/>
            <w:tcBorders>
              <w:top w:val="nil"/>
              <w:left w:val="nil"/>
              <w:bottom w:val="nil"/>
              <w:right w:val="nil"/>
            </w:tcBorders>
            <w:shd w:val="clear" w:color="auto" w:fill="auto"/>
            <w:vAlign w:val="center"/>
            <w:hideMark/>
          </w:tcPr>
          <w:p w14:paraId="45476939" w14:textId="77777777" w:rsidR="00AB330A" w:rsidRPr="001B015B" w:rsidRDefault="00AB330A"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000 </w:t>
            </w:r>
            <w:r>
              <w:rPr>
                <w:rFonts w:ascii="Arial" w:eastAsia="Calibri" w:hAnsi="Arial" w:cs="Arial"/>
                <w:b/>
                <w:bCs/>
                <w:color w:val="000000" w:themeColor="text1"/>
                <w:sz w:val="18"/>
                <w:szCs w:val="18"/>
              </w:rPr>
              <w:t>eur</w:t>
            </w:r>
            <w:r w:rsidRPr="001B015B">
              <w:rPr>
                <w:rFonts w:ascii="Arial" w:eastAsia="Calibri" w:hAnsi="Arial" w:cs="Arial"/>
                <w:b/>
                <w:bCs/>
                <w:color w:val="000000" w:themeColor="text1"/>
                <w:sz w:val="18"/>
                <w:szCs w:val="18"/>
              </w:rPr>
              <w:t>a</w:t>
            </w:r>
          </w:p>
        </w:tc>
      </w:tr>
      <w:tr w:rsidR="00AB330A" w:rsidRPr="001B015B" w14:paraId="7E248009" w14:textId="77777777" w:rsidTr="00CA7F04">
        <w:trPr>
          <w:trHeight w:val="173"/>
        </w:trPr>
        <w:tc>
          <w:tcPr>
            <w:tcW w:w="4097" w:type="dxa"/>
            <w:tcBorders>
              <w:top w:val="nil"/>
              <w:left w:val="nil"/>
              <w:bottom w:val="nil"/>
              <w:right w:val="nil"/>
            </w:tcBorders>
            <w:shd w:val="clear" w:color="auto" w:fill="auto"/>
            <w:vAlign w:val="center"/>
          </w:tcPr>
          <w:p w14:paraId="11DA229B" w14:textId="77777777" w:rsidR="00AB330A" w:rsidRPr="001B015B" w:rsidRDefault="00AB330A" w:rsidP="00CA7F04">
            <w:pPr>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tcPr>
          <w:p w14:paraId="786E4E3A" w14:textId="77777777" w:rsidR="00AB330A" w:rsidRPr="001B015B" w:rsidRDefault="00AB330A" w:rsidP="00CA7F04">
            <w:pPr>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3ABBF092" w14:textId="77777777" w:rsidR="00AB330A" w:rsidRPr="001B015B" w:rsidRDefault="00AB330A" w:rsidP="00CA7F04">
            <w:pPr>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5708E149" w14:textId="77777777" w:rsidR="00AB330A" w:rsidRPr="001B015B" w:rsidRDefault="00AB330A" w:rsidP="00CA7F04">
            <w:pPr>
              <w:jc w:val="right"/>
              <w:rPr>
                <w:rFonts w:ascii="Arial" w:eastAsia="Calibri" w:hAnsi="Arial" w:cs="Arial"/>
                <w:b/>
                <w:bCs/>
                <w:color w:val="000000" w:themeColor="text1"/>
                <w:sz w:val="18"/>
                <w:szCs w:val="18"/>
              </w:rPr>
            </w:pPr>
          </w:p>
        </w:tc>
        <w:tc>
          <w:tcPr>
            <w:tcW w:w="1020" w:type="dxa"/>
            <w:tcBorders>
              <w:top w:val="nil"/>
              <w:left w:val="nil"/>
              <w:bottom w:val="nil"/>
              <w:right w:val="nil"/>
            </w:tcBorders>
            <w:shd w:val="clear" w:color="auto" w:fill="auto"/>
            <w:vAlign w:val="center"/>
          </w:tcPr>
          <w:p w14:paraId="0AB79BF8" w14:textId="77777777" w:rsidR="00AB330A" w:rsidRPr="001B015B" w:rsidRDefault="00AB330A" w:rsidP="00CA7F04">
            <w:pPr>
              <w:jc w:val="right"/>
              <w:rPr>
                <w:rFonts w:ascii="Arial" w:eastAsia="Calibri" w:hAnsi="Arial" w:cs="Arial"/>
                <w:b/>
                <w:bCs/>
                <w:color w:val="000000" w:themeColor="text1"/>
                <w:sz w:val="18"/>
                <w:szCs w:val="18"/>
              </w:rPr>
            </w:pPr>
          </w:p>
        </w:tc>
        <w:tc>
          <w:tcPr>
            <w:tcW w:w="1098" w:type="dxa"/>
            <w:tcBorders>
              <w:top w:val="nil"/>
              <w:left w:val="nil"/>
              <w:bottom w:val="nil"/>
              <w:right w:val="nil"/>
            </w:tcBorders>
            <w:shd w:val="clear" w:color="auto" w:fill="auto"/>
            <w:vAlign w:val="center"/>
          </w:tcPr>
          <w:p w14:paraId="40E72288" w14:textId="77777777" w:rsidR="00AB330A" w:rsidRPr="001B015B" w:rsidRDefault="00AB330A" w:rsidP="00CA7F04">
            <w:pPr>
              <w:jc w:val="right"/>
              <w:rPr>
                <w:rFonts w:ascii="Arial" w:eastAsia="Calibri" w:hAnsi="Arial" w:cs="Arial"/>
                <w:b/>
                <w:bCs/>
                <w:color w:val="000000" w:themeColor="text1"/>
                <w:sz w:val="18"/>
                <w:szCs w:val="18"/>
              </w:rPr>
            </w:pPr>
          </w:p>
        </w:tc>
      </w:tr>
      <w:tr w:rsidR="00AB330A" w:rsidRPr="001B015B" w14:paraId="0190F652" w14:textId="77777777" w:rsidTr="00CA7F04">
        <w:trPr>
          <w:trHeight w:val="173"/>
        </w:trPr>
        <w:tc>
          <w:tcPr>
            <w:tcW w:w="4097" w:type="dxa"/>
            <w:tcBorders>
              <w:top w:val="nil"/>
              <w:left w:val="nil"/>
              <w:bottom w:val="nil"/>
              <w:right w:val="nil"/>
            </w:tcBorders>
            <w:shd w:val="clear" w:color="auto" w:fill="auto"/>
            <w:vAlign w:val="center"/>
            <w:hideMark/>
          </w:tcPr>
          <w:p w14:paraId="5950E828" w14:textId="77777777" w:rsidR="00AB330A" w:rsidRPr="001B015B" w:rsidRDefault="00AB330A"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3</w:t>
            </w:r>
            <w:r w:rsidRPr="001B015B">
              <w:rPr>
                <w:rFonts w:ascii="Arial" w:eastAsia="Calibri" w:hAnsi="Arial" w:cs="Arial"/>
                <w:color w:val="000000" w:themeColor="text1"/>
                <w:sz w:val="18"/>
                <w:szCs w:val="18"/>
              </w:rPr>
              <w:t xml:space="preserve">. </w:t>
            </w:r>
          </w:p>
        </w:tc>
        <w:tc>
          <w:tcPr>
            <w:tcW w:w="1098" w:type="dxa"/>
            <w:shd w:val="clear" w:color="auto" w:fill="auto"/>
            <w:vAlign w:val="bottom"/>
          </w:tcPr>
          <w:p w14:paraId="0FE72F5C" w14:textId="77777777" w:rsidR="00AB330A" w:rsidRPr="001B015B" w:rsidRDefault="00AB330A" w:rsidP="00CA7F04">
            <w:pPr>
              <w:jc w:val="right"/>
              <w:rPr>
                <w:rFonts w:ascii="Arial" w:eastAsia="Calibri" w:hAnsi="Arial" w:cs="Arial"/>
                <w:color w:val="000000" w:themeColor="text1"/>
                <w:sz w:val="18"/>
                <w:szCs w:val="18"/>
              </w:rPr>
            </w:pPr>
            <w:r w:rsidRPr="00067DF8">
              <w:rPr>
                <w:rFonts w:ascii="Arial" w:eastAsia="Calibri" w:hAnsi="Arial" w:cs="Arial"/>
                <w:color w:val="000000" w:themeColor="text1"/>
                <w:sz w:val="18"/>
                <w:szCs w:val="18"/>
              </w:rPr>
              <w:t>80</w:t>
            </w:r>
            <w:r>
              <w:rPr>
                <w:rFonts w:ascii="Arial" w:eastAsia="Calibri" w:hAnsi="Arial" w:cs="Arial"/>
                <w:color w:val="000000" w:themeColor="text1"/>
                <w:sz w:val="18"/>
                <w:szCs w:val="18"/>
              </w:rPr>
              <w:t>4</w:t>
            </w:r>
          </w:p>
        </w:tc>
        <w:tc>
          <w:tcPr>
            <w:tcW w:w="1028" w:type="dxa"/>
            <w:tcBorders>
              <w:top w:val="nil"/>
              <w:left w:val="nil"/>
              <w:bottom w:val="nil"/>
              <w:right w:val="nil"/>
            </w:tcBorders>
            <w:shd w:val="clear" w:color="auto" w:fill="auto"/>
            <w:vAlign w:val="bottom"/>
          </w:tcPr>
          <w:p w14:paraId="33109452" w14:textId="77777777" w:rsidR="00AB330A" w:rsidRPr="001B015B" w:rsidRDefault="00AB330A" w:rsidP="00CA7F04">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028" w:type="dxa"/>
            <w:tcBorders>
              <w:top w:val="nil"/>
              <w:left w:val="nil"/>
              <w:bottom w:val="nil"/>
              <w:right w:val="nil"/>
            </w:tcBorders>
            <w:shd w:val="clear" w:color="auto" w:fill="auto"/>
            <w:vAlign w:val="bottom"/>
          </w:tcPr>
          <w:p w14:paraId="1E16D499" w14:textId="77777777" w:rsidR="00AB330A" w:rsidRPr="001B015B" w:rsidRDefault="00AB330A" w:rsidP="00CA7F04">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020" w:type="dxa"/>
            <w:tcBorders>
              <w:top w:val="nil"/>
              <w:left w:val="nil"/>
              <w:bottom w:val="nil"/>
              <w:right w:val="nil"/>
            </w:tcBorders>
            <w:shd w:val="clear" w:color="auto" w:fill="auto"/>
            <w:vAlign w:val="bottom"/>
          </w:tcPr>
          <w:p w14:paraId="6CE6BE02" w14:textId="77777777" w:rsidR="00AB330A" w:rsidRPr="00F959D0" w:rsidRDefault="00AB330A" w:rsidP="00CA7F04">
            <w:pPr>
              <w:jc w:val="right"/>
              <w:rPr>
                <w:rFonts w:ascii="Arial" w:hAnsi="Arial" w:cs="Arial"/>
                <w:sz w:val="18"/>
                <w:szCs w:val="18"/>
              </w:rPr>
            </w:pPr>
            <w:r w:rsidRPr="00E157E0">
              <w:rPr>
                <w:rFonts w:ascii="Arial" w:hAnsi="Arial" w:cs="Arial"/>
                <w:sz w:val="18"/>
                <w:szCs w:val="18"/>
              </w:rPr>
              <w:t xml:space="preserve">- </w:t>
            </w:r>
          </w:p>
        </w:tc>
        <w:tc>
          <w:tcPr>
            <w:tcW w:w="1098" w:type="dxa"/>
            <w:shd w:val="clear" w:color="auto" w:fill="auto"/>
            <w:vAlign w:val="bottom"/>
          </w:tcPr>
          <w:p w14:paraId="6B14370E" w14:textId="77777777" w:rsidR="00AB330A" w:rsidRPr="001B015B" w:rsidRDefault="00AB330A" w:rsidP="00CA7F04">
            <w:pPr>
              <w:jc w:val="right"/>
              <w:rPr>
                <w:rFonts w:ascii="Arial" w:eastAsia="Calibri" w:hAnsi="Arial" w:cs="Arial"/>
                <w:color w:val="000000" w:themeColor="text1"/>
                <w:sz w:val="18"/>
                <w:szCs w:val="18"/>
              </w:rPr>
            </w:pPr>
            <w:r w:rsidRPr="00671A0D">
              <w:rPr>
                <w:rFonts w:ascii="Arial" w:eastAsia="Calibri" w:hAnsi="Arial" w:cs="Arial"/>
                <w:b/>
                <w:bCs/>
                <w:color w:val="000000" w:themeColor="text1"/>
                <w:sz w:val="18"/>
                <w:szCs w:val="18"/>
              </w:rPr>
              <w:t>80</w:t>
            </w:r>
            <w:r>
              <w:rPr>
                <w:rFonts w:ascii="Arial" w:eastAsia="Calibri" w:hAnsi="Arial" w:cs="Arial"/>
                <w:b/>
                <w:bCs/>
                <w:color w:val="000000" w:themeColor="text1"/>
                <w:sz w:val="18"/>
                <w:szCs w:val="18"/>
              </w:rPr>
              <w:t>4</w:t>
            </w:r>
          </w:p>
        </w:tc>
      </w:tr>
      <w:tr w:rsidR="00AB330A" w:rsidRPr="001B015B" w14:paraId="3013D7E9" w14:textId="77777777" w:rsidTr="00CA7F04">
        <w:trPr>
          <w:trHeight w:val="173"/>
        </w:trPr>
        <w:tc>
          <w:tcPr>
            <w:tcW w:w="4097" w:type="dxa"/>
            <w:tcBorders>
              <w:top w:val="nil"/>
              <w:left w:val="nil"/>
              <w:bottom w:val="nil"/>
              <w:right w:val="nil"/>
            </w:tcBorders>
            <w:shd w:val="clear" w:color="auto" w:fill="auto"/>
            <w:vAlign w:val="center"/>
            <w:hideMark/>
          </w:tcPr>
          <w:p w14:paraId="3146605C" w14:textId="77777777" w:rsidR="00AB330A" w:rsidRPr="001B015B" w:rsidRDefault="00AB330A"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1</w:t>
            </w:r>
          </w:p>
        </w:tc>
        <w:tc>
          <w:tcPr>
            <w:tcW w:w="1098" w:type="dxa"/>
            <w:shd w:val="clear" w:color="auto" w:fill="auto"/>
            <w:vAlign w:val="bottom"/>
          </w:tcPr>
          <w:p w14:paraId="73EB8894" w14:textId="77777777" w:rsidR="00AB330A" w:rsidRPr="001B015B" w:rsidRDefault="00AB330A" w:rsidP="00CA7F04">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tcBorders>
              <w:top w:val="nil"/>
              <w:left w:val="nil"/>
              <w:bottom w:val="nil"/>
              <w:right w:val="nil"/>
            </w:tcBorders>
            <w:shd w:val="clear" w:color="auto" w:fill="auto"/>
            <w:vAlign w:val="bottom"/>
          </w:tcPr>
          <w:p w14:paraId="2DE39555" w14:textId="77777777" w:rsidR="00AB330A" w:rsidRPr="001B015B" w:rsidRDefault="00AB330A" w:rsidP="00CA7F04">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028" w:type="dxa"/>
            <w:tcBorders>
              <w:top w:val="nil"/>
              <w:left w:val="nil"/>
              <w:bottom w:val="nil"/>
              <w:right w:val="nil"/>
            </w:tcBorders>
            <w:shd w:val="clear" w:color="auto" w:fill="auto"/>
            <w:vAlign w:val="bottom"/>
          </w:tcPr>
          <w:p w14:paraId="0EE4ADFB" w14:textId="77777777" w:rsidR="00AB330A" w:rsidRPr="001B015B" w:rsidRDefault="00AB330A" w:rsidP="00CA7F04">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020" w:type="dxa"/>
            <w:tcBorders>
              <w:top w:val="nil"/>
              <w:left w:val="nil"/>
              <w:bottom w:val="nil"/>
              <w:right w:val="nil"/>
            </w:tcBorders>
            <w:shd w:val="clear" w:color="auto" w:fill="auto"/>
            <w:vAlign w:val="bottom"/>
          </w:tcPr>
          <w:p w14:paraId="75F33053" w14:textId="77777777" w:rsidR="00AB330A" w:rsidRPr="00F959D0" w:rsidRDefault="00AB330A" w:rsidP="00CA7F04">
            <w:pPr>
              <w:jc w:val="right"/>
              <w:rPr>
                <w:rFonts w:ascii="Arial" w:hAnsi="Arial" w:cs="Arial"/>
                <w:sz w:val="18"/>
                <w:szCs w:val="18"/>
              </w:rPr>
            </w:pPr>
            <w:r w:rsidRPr="00E157E0">
              <w:rPr>
                <w:rFonts w:ascii="Arial" w:hAnsi="Arial" w:cs="Arial"/>
                <w:sz w:val="18"/>
                <w:szCs w:val="18"/>
              </w:rPr>
              <w:t xml:space="preserve">- </w:t>
            </w:r>
          </w:p>
        </w:tc>
        <w:tc>
          <w:tcPr>
            <w:tcW w:w="1098" w:type="dxa"/>
            <w:shd w:val="clear" w:color="auto" w:fill="auto"/>
            <w:vAlign w:val="bottom"/>
          </w:tcPr>
          <w:p w14:paraId="0D91DE8F" w14:textId="77777777" w:rsidR="00AB330A" w:rsidRPr="001B015B" w:rsidRDefault="00AB330A" w:rsidP="00CA7F04">
            <w:pPr>
              <w:jc w:val="right"/>
              <w:rPr>
                <w:rFonts w:ascii="Arial" w:eastAsia="Calibri" w:hAnsi="Arial" w:cs="Arial"/>
                <w:color w:val="000000" w:themeColor="text1"/>
                <w:sz w:val="18"/>
                <w:szCs w:val="18"/>
              </w:rPr>
            </w:pPr>
            <w:r w:rsidRPr="00671A0D">
              <w:rPr>
                <w:rFonts w:ascii="Arial" w:eastAsia="Calibri" w:hAnsi="Arial" w:cs="Arial"/>
                <w:b/>
                <w:bCs/>
                <w:color w:val="000000" w:themeColor="text1"/>
                <w:sz w:val="18"/>
                <w:szCs w:val="18"/>
              </w:rPr>
              <w:t>-</w:t>
            </w:r>
          </w:p>
        </w:tc>
      </w:tr>
      <w:tr w:rsidR="00AB330A" w:rsidRPr="001B015B" w14:paraId="1312C76F" w14:textId="77777777" w:rsidTr="00CA7F04">
        <w:trPr>
          <w:trHeight w:val="173"/>
        </w:trPr>
        <w:tc>
          <w:tcPr>
            <w:tcW w:w="4097" w:type="dxa"/>
            <w:tcBorders>
              <w:top w:val="nil"/>
              <w:left w:val="nil"/>
              <w:bottom w:val="nil"/>
              <w:right w:val="nil"/>
            </w:tcBorders>
            <w:shd w:val="clear" w:color="auto" w:fill="auto"/>
            <w:vAlign w:val="center"/>
          </w:tcPr>
          <w:p w14:paraId="044ED5D2" w14:textId="77777777" w:rsidR="00AB330A" w:rsidRPr="001B015B" w:rsidRDefault="00AB330A"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2</w:t>
            </w:r>
          </w:p>
        </w:tc>
        <w:tc>
          <w:tcPr>
            <w:tcW w:w="1098" w:type="dxa"/>
            <w:shd w:val="clear" w:color="auto" w:fill="auto"/>
            <w:vAlign w:val="bottom"/>
          </w:tcPr>
          <w:p w14:paraId="5F6D9A66" w14:textId="77777777" w:rsidR="00AB330A" w:rsidRPr="001B015B" w:rsidRDefault="00AB330A" w:rsidP="00CA7F04">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tcBorders>
              <w:top w:val="nil"/>
              <w:left w:val="nil"/>
              <w:bottom w:val="nil"/>
              <w:right w:val="nil"/>
            </w:tcBorders>
            <w:shd w:val="clear" w:color="auto" w:fill="auto"/>
            <w:vAlign w:val="bottom"/>
          </w:tcPr>
          <w:p w14:paraId="0AC93557" w14:textId="77777777" w:rsidR="00AB330A" w:rsidRPr="001B015B" w:rsidRDefault="00AB330A" w:rsidP="00CA7F04">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028" w:type="dxa"/>
            <w:tcBorders>
              <w:top w:val="nil"/>
              <w:left w:val="nil"/>
              <w:bottom w:val="nil"/>
              <w:right w:val="nil"/>
            </w:tcBorders>
            <w:shd w:val="clear" w:color="auto" w:fill="auto"/>
            <w:vAlign w:val="bottom"/>
          </w:tcPr>
          <w:p w14:paraId="64100EDD" w14:textId="77777777" w:rsidR="00AB330A" w:rsidRPr="001B015B" w:rsidRDefault="00AB330A" w:rsidP="00CA7F04">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020" w:type="dxa"/>
            <w:tcBorders>
              <w:top w:val="nil"/>
              <w:left w:val="nil"/>
              <w:bottom w:val="nil"/>
              <w:right w:val="nil"/>
            </w:tcBorders>
            <w:shd w:val="clear" w:color="auto" w:fill="auto"/>
            <w:vAlign w:val="bottom"/>
          </w:tcPr>
          <w:p w14:paraId="57172055" w14:textId="77777777" w:rsidR="00AB330A" w:rsidRPr="00F959D0" w:rsidRDefault="00AB330A" w:rsidP="00CA7F04">
            <w:pPr>
              <w:jc w:val="right"/>
              <w:rPr>
                <w:rFonts w:ascii="Arial" w:hAnsi="Arial" w:cs="Arial"/>
                <w:sz w:val="18"/>
                <w:szCs w:val="18"/>
              </w:rPr>
            </w:pPr>
            <w:r w:rsidRPr="00E157E0">
              <w:rPr>
                <w:rFonts w:ascii="Arial" w:hAnsi="Arial" w:cs="Arial"/>
                <w:sz w:val="18"/>
                <w:szCs w:val="18"/>
              </w:rPr>
              <w:t xml:space="preserve">- </w:t>
            </w:r>
          </w:p>
        </w:tc>
        <w:tc>
          <w:tcPr>
            <w:tcW w:w="1098" w:type="dxa"/>
            <w:shd w:val="clear" w:color="auto" w:fill="auto"/>
            <w:vAlign w:val="bottom"/>
          </w:tcPr>
          <w:p w14:paraId="2D4033DF" w14:textId="77777777" w:rsidR="00AB330A" w:rsidRPr="001B015B" w:rsidRDefault="00AB330A" w:rsidP="00CA7F04">
            <w:pPr>
              <w:jc w:val="right"/>
              <w:rPr>
                <w:rFonts w:ascii="Arial" w:eastAsia="Calibri" w:hAnsi="Arial" w:cs="Arial"/>
                <w:color w:val="000000" w:themeColor="text1"/>
                <w:sz w:val="18"/>
                <w:szCs w:val="18"/>
              </w:rPr>
            </w:pPr>
            <w:r w:rsidRPr="00671A0D">
              <w:rPr>
                <w:rFonts w:ascii="Arial" w:eastAsia="Calibri" w:hAnsi="Arial" w:cs="Arial"/>
                <w:b/>
                <w:bCs/>
                <w:color w:val="000000" w:themeColor="text1"/>
                <w:sz w:val="18"/>
                <w:szCs w:val="18"/>
              </w:rPr>
              <w:t>-</w:t>
            </w:r>
          </w:p>
        </w:tc>
      </w:tr>
      <w:tr w:rsidR="00AB330A" w:rsidRPr="001B015B" w14:paraId="41C651D3" w14:textId="77777777" w:rsidTr="00CA7F04">
        <w:trPr>
          <w:trHeight w:val="173"/>
        </w:trPr>
        <w:tc>
          <w:tcPr>
            <w:tcW w:w="4097" w:type="dxa"/>
            <w:tcBorders>
              <w:top w:val="nil"/>
              <w:left w:val="nil"/>
              <w:bottom w:val="nil"/>
              <w:right w:val="nil"/>
            </w:tcBorders>
            <w:shd w:val="clear" w:color="auto" w:fill="auto"/>
            <w:vAlign w:val="center"/>
          </w:tcPr>
          <w:p w14:paraId="5279A37F" w14:textId="77777777" w:rsidR="00AB330A" w:rsidRPr="001B015B" w:rsidRDefault="00AB330A"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3</w:t>
            </w:r>
          </w:p>
        </w:tc>
        <w:tc>
          <w:tcPr>
            <w:tcW w:w="1098" w:type="dxa"/>
            <w:shd w:val="clear" w:color="auto" w:fill="auto"/>
            <w:vAlign w:val="bottom"/>
          </w:tcPr>
          <w:p w14:paraId="1F82257E" w14:textId="77777777" w:rsidR="00AB330A" w:rsidRPr="001B015B" w:rsidRDefault="00AB330A" w:rsidP="00CA7F04">
            <w:pPr>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28" w:type="dxa"/>
            <w:tcBorders>
              <w:top w:val="nil"/>
              <w:left w:val="nil"/>
              <w:bottom w:val="nil"/>
              <w:right w:val="nil"/>
            </w:tcBorders>
            <w:shd w:val="clear" w:color="auto" w:fill="auto"/>
            <w:vAlign w:val="bottom"/>
          </w:tcPr>
          <w:p w14:paraId="5EE50AE5" w14:textId="77777777" w:rsidR="00AB330A" w:rsidRPr="001B015B" w:rsidRDefault="00AB330A" w:rsidP="00CA7F04">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028" w:type="dxa"/>
            <w:tcBorders>
              <w:top w:val="nil"/>
              <w:left w:val="nil"/>
              <w:bottom w:val="nil"/>
              <w:right w:val="nil"/>
            </w:tcBorders>
            <w:shd w:val="clear" w:color="auto" w:fill="auto"/>
            <w:vAlign w:val="bottom"/>
          </w:tcPr>
          <w:p w14:paraId="13DFCEE8" w14:textId="77777777" w:rsidR="00AB330A" w:rsidRPr="001B015B" w:rsidRDefault="00AB330A" w:rsidP="00CA7F04">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020" w:type="dxa"/>
            <w:tcBorders>
              <w:top w:val="nil"/>
              <w:left w:val="nil"/>
              <w:bottom w:val="nil"/>
              <w:right w:val="nil"/>
            </w:tcBorders>
            <w:shd w:val="clear" w:color="auto" w:fill="auto"/>
            <w:vAlign w:val="bottom"/>
          </w:tcPr>
          <w:p w14:paraId="0C115A59" w14:textId="77777777" w:rsidR="00AB330A" w:rsidRPr="00F959D0" w:rsidRDefault="00AB330A" w:rsidP="00CA7F04">
            <w:pPr>
              <w:jc w:val="right"/>
              <w:rPr>
                <w:rFonts w:ascii="Arial" w:hAnsi="Arial" w:cs="Arial"/>
                <w:sz w:val="18"/>
                <w:szCs w:val="18"/>
              </w:rPr>
            </w:pPr>
            <w:r w:rsidRPr="00E157E0">
              <w:rPr>
                <w:rFonts w:ascii="Arial" w:hAnsi="Arial" w:cs="Arial"/>
                <w:sz w:val="18"/>
                <w:szCs w:val="18"/>
              </w:rPr>
              <w:t xml:space="preserve">- </w:t>
            </w:r>
          </w:p>
        </w:tc>
        <w:tc>
          <w:tcPr>
            <w:tcW w:w="1098" w:type="dxa"/>
            <w:shd w:val="clear" w:color="auto" w:fill="auto"/>
            <w:vAlign w:val="bottom"/>
          </w:tcPr>
          <w:p w14:paraId="10C3C76D" w14:textId="77777777" w:rsidR="00AB330A" w:rsidRPr="001B015B" w:rsidRDefault="00AB330A" w:rsidP="00CA7F04">
            <w:pPr>
              <w:jc w:val="right"/>
              <w:rPr>
                <w:rFonts w:ascii="Arial" w:eastAsia="Calibri" w:hAnsi="Arial" w:cs="Arial"/>
                <w:color w:val="000000" w:themeColor="text1"/>
                <w:sz w:val="18"/>
                <w:szCs w:val="18"/>
              </w:rPr>
            </w:pPr>
            <w:r w:rsidRPr="00671A0D">
              <w:rPr>
                <w:rFonts w:ascii="Arial" w:eastAsia="Calibri" w:hAnsi="Arial" w:cs="Arial"/>
                <w:b/>
                <w:bCs/>
                <w:color w:val="000000" w:themeColor="text1"/>
                <w:sz w:val="18"/>
                <w:szCs w:val="18"/>
              </w:rPr>
              <w:t>-</w:t>
            </w:r>
          </w:p>
        </w:tc>
      </w:tr>
      <w:tr w:rsidR="00AB330A" w:rsidRPr="001B015B" w14:paraId="427183A4" w14:textId="77777777" w:rsidTr="00CA7F04">
        <w:trPr>
          <w:trHeight w:val="250"/>
        </w:trPr>
        <w:tc>
          <w:tcPr>
            <w:tcW w:w="4097" w:type="dxa"/>
            <w:tcBorders>
              <w:top w:val="nil"/>
              <w:left w:val="nil"/>
              <w:bottom w:val="nil"/>
              <w:right w:val="nil"/>
            </w:tcBorders>
            <w:shd w:val="clear" w:color="auto" w:fill="auto"/>
            <w:vAlign w:val="center"/>
            <w:hideMark/>
          </w:tcPr>
          <w:p w14:paraId="703DF274" w14:textId="5F988C76" w:rsidR="00AB330A" w:rsidRPr="001B015B" w:rsidRDefault="00AB330A"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 xml:space="preserve">Neto </w:t>
            </w:r>
            <w:r w:rsidR="0052627E">
              <w:rPr>
                <w:rFonts w:ascii="Arial" w:eastAsia="Calibri" w:hAnsi="Arial" w:cs="Arial"/>
                <w:color w:val="000000" w:themeColor="text1"/>
                <w:sz w:val="18"/>
                <w:szCs w:val="18"/>
              </w:rPr>
              <w:t>(smanjenje)</w:t>
            </w:r>
            <w:r w:rsidRPr="001B015B">
              <w:rPr>
                <w:rFonts w:ascii="Arial" w:eastAsia="Calibri" w:hAnsi="Arial" w:cs="Arial"/>
                <w:color w:val="000000" w:themeColor="text1"/>
                <w:sz w:val="18"/>
                <w:szCs w:val="18"/>
              </w:rPr>
              <w:t xml:space="preserve"> rezerviranja za očekivane gubitke </w:t>
            </w:r>
          </w:p>
        </w:tc>
        <w:tc>
          <w:tcPr>
            <w:tcW w:w="1098" w:type="dxa"/>
            <w:shd w:val="clear" w:color="auto" w:fill="auto"/>
            <w:vAlign w:val="bottom"/>
          </w:tcPr>
          <w:p w14:paraId="138B2E13" w14:textId="77777777" w:rsidR="00AB330A" w:rsidRPr="001B015B" w:rsidRDefault="00AB330A" w:rsidP="00CA7F04">
            <w:pPr>
              <w:jc w:val="right"/>
              <w:rPr>
                <w:rFonts w:ascii="Arial" w:eastAsia="Calibri" w:hAnsi="Arial" w:cs="Arial"/>
                <w:color w:val="000000" w:themeColor="text1"/>
                <w:sz w:val="18"/>
                <w:szCs w:val="18"/>
              </w:rPr>
            </w:pPr>
            <w:r w:rsidRPr="00067DF8">
              <w:rPr>
                <w:rFonts w:ascii="Arial" w:eastAsia="Calibri" w:hAnsi="Arial" w:cs="Arial"/>
                <w:color w:val="000000" w:themeColor="text1"/>
                <w:sz w:val="18"/>
                <w:szCs w:val="18"/>
              </w:rPr>
              <w:t>(646)</w:t>
            </w:r>
          </w:p>
        </w:tc>
        <w:tc>
          <w:tcPr>
            <w:tcW w:w="1028" w:type="dxa"/>
            <w:tcBorders>
              <w:top w:val="nil"/>
              <w:left w:val="nil"/>
              <w:bottom w:val="nil"/>
              <w:right w:val="nil"/>
            </w:tcBorders>
            <w:shd w:val="clear" w:color="auto" w:fill="auto"/>
            <w:vAlign w:val="bottom"/>
          </w:tcPr>
          <w:p w14:paraId="5D7351F6" w14:textId="77777777" w:rsidR="00AB330A" w:rsidRPr="001B015B" w:rsidRDefault="00AB330A" w:rsidP="00CA7F04">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028" w:type="dxa"/>
            <w:tcBorders>
              <w:top w:val="nil"/>
              <w:left w:val="nil"/>
              <w:bottom w:val="nil"/>
              <w:right w:val="nil"/>
            </w:tcBorders>
            <w:shd w:val="clear" w:color="auto" w:fill="auto"/>
            <w:vAlign w:val="bottom"/>
          </w:tcPr>
          <w:p w14:paraId="2C1C3A03" w14:textId="77777777" w:rsidR="00AB330A" w:rsidRPr="001B015B" w:rsidRDefault="00AB330A" w:rsidP="00CA7F04">
            <w:pPr>
              <w:jc w:val="right"/>
              <w:rPr>
                <w:rFonts w:ascii="Arial" w:eastAsia="Calibri" w:hAnsi="Arial" w:cs="Arial"/>
                <w:color w:val="000000" w:themeColor="text1"/>
                <w:sz w:val="18"/>
                <w:szCs w:val="18"/>
              </w:rPr>
            </w:pPr>
            <w:r w:rsidRPr="00E157E0">
              <w:rPr>
                <w:rFonts w:ascii="Arial" w:hAnsi="Arial" w:cs="Arial"/>
                <w:sz w:val="18"/>
                <w:szCs w:val="18"/>
              </w:rPr>
              <w:t xml:space="preserve">               - </w:t>
            </w:r>
          </w:p>
        </w:tc>
        <w:tc>
          <w:tcPr>
            <w:tcW w:w="1020" w:type="dxa"/>
            <w:tcBorders>
              <w:top w:val="nil"/>
              <w:left w:val="nil"/>
              <w:bottom w:val="nil"/>
              <w:right w:val="nil"/>
            </w:tcBorders>
            <w:shd w:val="clear" w:color="auto" w:fill="auto"/>
            <w:vAlign w:val="bottom"/>
          </w:tcPr>
          <w:p w14:paraId="51EA514B" w14:textId="77777777" w:rsidR="00AB330A" w:rsidRPr="00F959D0" w:rsidRDefault="00AB330A" w:rsidP="00CA7F04">
            <w:pPr>
              <w:jc w:val="right"/>
              <w:rPr>
                <w:rFonts w:ascii="Arial" w:hAnsi="Arial" w:cs="Arial"/>
                <w:sz w:val="18"/>
                <w:szCs w:val="18"/>
              </w:rPr>
            </w:pPr>
            <w:r w:rsidRPr="00E157E0">
              <w:rPr>
                <w:rFonts w:ascii="Arial" w:hAnsi="Arial" w:cs="Arial"/>
                <w:sz w:val="18"/>
                <w:szCs w:val="18"/>
              </w:rPr>
              <w:t xml:space="preserve">- </w:t>
            </w:r>
          </w:p>
        </w:tc>
        <w:tc>
          <w:tcPr>
            <w:tcW w:w="1098" w:type="dxa"/>
            <w:shd w:val="clear" w:color="auto" w:fill="auto"/>
            <w:vAlign w:val="bottom"/>
          </w:tcPr>
          <w:p w14:paraId="253D79AC" w14:textId="77777777" w:rsidR="00AB330A" w:rsidRPr="001B015B" w:rsidRDefault="00AB330A" w:rsidP="00CA7F04">
            <w:pPr>
              <w:jc w:val="right"/>
              <w:rPr>
                <w:rFonts w:ascii="Arial" w:eastAsia="Calibri" w:hAnsi="Arial" w:cs="Arial"/>
                <w:color w:val="000000" w:themeColor="text1"/>
                <w:sz w:val="18"/>
                <w:szCs w:val="18"/>
              </w:rPr>
            </w:pPr>
            <w:r w:rsidRPr="00671A0D">
              <w:rPr>
                <w:rFonts w:ascii="Arial" w:eastAsia="Calibri" w:hAnsi="Arial" w:cs="Arial"/>
                <w:b/>
                <w:bCs/>
                <w:color w:val="000000" w:themeColor="text1"/>
                <w:sz w:val="18"/>
                <w:szCs w:val="18"/>
              </w:rPr>
              <w:t>(646)</w:t>
            </w:r>
          </w:p>
        </w:tc>
      </w:tr>
      <w:tr w:rsidR="00AB330A" w:rsidRPr="001B015B" w14:paraId="3F8EBF8A" w14:textId="77777777" w:rsidTr="005D1219">
        <w:trPr>
          <w:trHeight w:val="262"/>
        </w:trPr>
        <w:tc>
          <w:tcPr>
            <w:tcW w:w="4097" w:type="dxa"/>
            <w:tcBorders>
              <w:top w:val="nil"/>
              <w:left w:val="nil"/>
              <w:bottom w:val="nil"/>
              <w:right w:val="nil"/>
            </w:tcBorders>
            <w:shd w:val="clear" w:color="auto" w:fill="auto"/>
            <w:vAlign w:val="center"/>
            <w:hideMark/>
          </w:tcPr>
          <w:p w14:paraId="0EAEDD57" w14:textId="77777777" w:rsidR="00AB330A" w:rsidRPr="001B015B" w:rsidRDefault="00AB330A" w:rsidP="00CA7F04">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Stanje 31. prosinca 202</w:t>
            </w:r>
            <w:r>
              <w:rPr>
                <w:rFonts w:ascii="Arial" w:eastAsia="Calibri" w:hAnsi="Arial" w:cs="Arial"/>
                <w:b/>
                <w:bCs/>
                <w:color w:val="000000" w:themeColor="text1"/>
                <w:sz w:val="18"/>
                <w:szCs w:val="18"/>
              </w:rPr>
              <w:t>3</w:t>
            </w:r>
            <w:r w:rsidRPr="001B015B">
              <w:rPr>
                <w:rFonts w:ascii="Arial" w:eastAsia="Calibri" w:hAnsi="Arial" w:cs="Arial"/>
                <w:b/>
                <w:bCs/>
                <w:color w:val="000000" w:themeColor="text1"/>
                <w:sz w:val="18"/>
                <w:szCs w:val="18"/>
              </w:rPr>
              <w:t>.</w:t>
            </w:r>
          </w:p>
        </w:tc>
        <w:tc>
          <w:tcPr>
            <w:tcW w:w="1098" w:type="dxa"/>
            <w:tcBorders>
              <w:top w:val="single" w:sz="4" w:space="0" w:color="auto"/>
              <w:left w:val="nil"/>
              <w:bottom w:val="single" w:sz="12" w:space="0" w:color="auto"/>
              <w:right w:val="nil"/>
            </w:tcBorders>
            <w:shd w:val="clear" w:color="auto" w:fill="auto"/>
            <w:vAlign w:val="bottom"/>
          </w:tcPr>
          <w:p w14:paraId="656E0601" w14:textId="77777777" w:rsidR="00AB330A" w:rsidRPr="001B015B" w:rsidRDefault="00AB330A" w:rsidP="00CA7F04">
            <w:pPr>
              <w:jc w:val="right"/>
              <w:rPr>
                <w:rFonts w:ascii="Arial" w:eastAsia="Calibri" w:hAnsi="Arial" w:cs="Arial"/>
                <w:b/>
                <w:bCs/>
                <w:color w:val="000000" w:themeColor="text1"/>
                <w:sz w:val="18"/>
                <w:szCs w:val="18"/>
              </w:rPr>
            </w:pPr>
            <w:r w:rsidRPr="00067DF8">
              <w:rPr>
                <w:rFonts w:ascii="Arial" w:eastAsia="Calibri" w:hAnsi="Arial" w:cs="Arial"/>
                <w:b/>
                <w:bCs/>
                <w:color w:val="000000" w:themeColor="text1"/>
                <w:sz w:val="18"/>
                <w:szCs w:val="18"/>
              </w:rPr>
              <w:t>15</w:t>
            </w:r>
            <w:r>
              <w:rPr>
                <w:rFonts w:ascii="Arial" w:eastAsia="Calibri" w:hAnsi="Arial" w:cs="Arial"/>
                <w:b/>
                <w:bCs/>
                <w:color w:val="000000" w:themeColor="text1"/>
                <w:sz w:val="18"/>
                <w:szCs w:val="18"/>
              </w:rPr>
              <w:t>8</w:t>
            </w:r>
          </w:p>
        </w:tc>
        <w:tc>
          <w:tcPr>
            <w:tcW w:w="1028" w:type="dxa"/>
            <w:tcBorders>
              <w:top w:val="single" w:sz="8" w:space="0" w:color="auto"/>
              <w:left w:val="nil"/>
              <w:bottom w:val="single" w:sz="12" w:space="0" w:color="auto"/>
              <w:right w:val="nil"/>
            </w:tcBorders>
            <w:shd w:val="clear" w:color="auto" w:fill="auto"/>
            <w:vAlign w:val="bottom"/>
          </w:tcPr>
          <w:p w14:paraId="48E9456E" w14:textId="77777777" w:rsidR="00AB330A" w:rsidRPr="001B015B" w:rsidRDefault="00AB330A" w:rsidP="00CA7F04">
            <w:pPr>
              <w:jc w:val="right"/>
              <w:rPr>
                <w:rFonts w:ascii="Arial" w:eastAsia="Calibri" w:hAnsi="Arial" w:cs="Arial"/>
                <w:b/>
                <w:bCs/>
                <w:color w:val="000000" w:themeColor="text1"/>
                <w:sz w:val="18"/>
                <w:szCs w:val="18"/>
              </w:rPr>
            </w:pPr>
            <w:r w:rsidRPr="00E157E0">
              <w:rPr>
                <w:rFonts w:ascii="Arial" w:hAnsi="Arial" w:cs="Arial"/>
                <w:b/>
                <w:bCs/>
                <w:sz w:val="18"/>
                <w:szCs w:val="18"/>
              </w:rPr>
              <w:t xml:space="preserve">               - </w:t>
            </w:r>
          </w:p>
        </w:tc>
        <w:tc>
          <w:tcPr>
            <w:tcW w:w="1028" w:type="dxa"/>
            <w:tcBorders>
              <w:top w:val="single" w:sz="8" w:space="0" w:color="auto"/>
              <w:left w:val="nil"/>
              <w:bottom w:val="single" w:sz="12" w:space="0" w:color="auto"/>
              <w:right w:val="nil"/>
            </w:tcBorders>
            <w:shd w:val="clear" w:color="auto" w:fill="auto"/>
            <w:vAlign w:val="bottom"/>
          </w:tcPr>
          <w:p w14:paraId="38196A79" w14:textId="77777777" w:rsidR="00AB330A" w:rsidRPr="001B015B" w:rsidRDefault="00AB330A" w:rsidP="00CA7F04">
            <w:pPr>
              <w:jc w:val="right"/>
              <w:rPr>
                <w:rFonts w:ascii="Arial" w:eastAsia="Calibri" w:hAnsi="Arial" w:cs="Arial"/>
                <w:b/>
                <w:bCs/>
                <w:color w:val="000000" w:themeColor="text1"/>
                <w:sz w:val="18"/>
                <w:szCs w:val="18"/>
              </w:rPr>
            </w:pPr>
            <w:r w:rsidRPr="00E157E0">
              <w:rPr>
                <w:rFonts w:ascii="Arial" w:hAnsi="Arial" w:cs="Arial"/>
                <w:b/>
                <w:bCs/>
                <w:sz w:val="18"/>
                <w:szCs w:val="18"/>
              </w:rPr>
              <w:t xml:space="preserve">               - </w:t>
            </w:r>
          </w:p>
        </w:tc>
        <w:tc>
          <w:tcPr>
            <w:tcW w:w="1020" w:type="dxa"/>
            <w:tcBorders>
              <w:top w:val="single" w:sz="8" w:space="0" w:color="auto"/>
              <w:left w:val="nil"/>
              <w:bottom w:val="single" w:sz="12" w:space="0" w:color="auto"/>
              <w:right w:val="nil"/>
            </w:tcBorders>
            <w:shd w:val="clear" w:color="auto" w:fill="auto"/>
            <w:vAlign w:val="bottom"/>
          </w:tcPr>
          <w:p w14:paraId="421671CF" w14:textId="77777777" w:rsidR="00AB330A" w:rsidRPr="00F959D0" w:rsidRDefault="00AB330A" w:rsidP="00CA7F04">
            <w:pPr>
              <w:jc w:val="right"/>
              <w:rPr>
                <w:rFonts w:ascii="Arial" w:hAnsi="Arial" w:cs="Arial"/>
                <w:sz w:val="18"/>
                <w:szCs w:val="18"/>
              </w:rPr>
            </w:pPr>
            <w:r w:rsidRPr="00F959D0">
              <w:rPr>
                <w:rFonts w:ascii="Arial" w:hAnsi="Arial" w:cs="Arial"/>
                <w:sz w:val="18"/>
                <w:szCs w:val="18"/>
              </w:rPr>
              <w:t xml:space="preserve">- </w:t>
            </w:r>
          </w:p>
        </w:tc>
        <w:tc>
          <w:tcPr>
            <w:tcW w:w="1098" w:type="dxa"/>
            <w:tcBorders>
              <w:top w:val="single" w:sz="4" w:space="0" w:color="auto"/>
              <w:left w:val="nil"/>
              <w:bottom w:val="single" w:sz="12" w:space="0" w:color="auto"/>
              <w:right w:val="nil"/>
            </w:tcBorders>
            <w:shd w:val="clear" w:color="auto" w:fill="auto"/>
            <w:vAlign w:val="bottom"/>
          </w:tcPr>
          <w:p w14:paraId="7218E178" w14:textId="77777777" w:rsidR="00AB330A" w:rsidRPr="001B015B" w:rsidRDefault="00AB330A" w:rsidP="00CA7F04">
            <w:pPr>
              <w:jc w:val="right"/>
              <w:rPr>
                <w:rFonts w:ascii="Arial" w:eastAsia="Calibri" w:hAnsi="Arial" w:cs="Arial"/>
                <w:b/>
                <w:bCs/>
                <w:color w:val="000000" w:themeColor="text1"/>
                <w:sz w:val="18"/>
                <w:szCs w:val="18"/>
              </w:rPr>
            </w:pPr>
            <w:r w:rsidRPr="00067DF8">
              <w:rPr>
                <w:rFonts w:ascii="Arial" w:eastAsia="Calibri" w:hAnsi="Arial" w:cs="Arial"/>
                <w:b/>
                <w:bCs/>
                <w:color w:val="000000" w:themeColor="text1"/>
                <w:sz w:val="18"/>
                <w:szCs w:val="18"/>
              </w:rPr>
              <w:t>15</w:t>
            </w:r>
            <w:r>
              <w:rPr>
                <w:rFonts w:ascii="Arial" w:eastAsia="Calibri" w:hAnsi="Arial" w:cs="Arial"/>
                <w:b/>
                <w:bCs/>
                <w:color w:val="000000" w:themeColor="text1"/>
                <w:sz w:val="18"/>
                <w:szCs w:val="18"/>
              </w:rPr>
              <w:t>8</w:t>
            </w:r>
          </w:p>
        </w:tc>
      </w:tr>
    </w:tbl>
    <w:p w14:paraId="2D6083B8"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3B43B631" w14:textId="77777777" w:rsidR="00D92646" w:rsidRPr="003D1614" w:rsidRDefault="00D92646" w:rsidP="001A0FCB">
      <w:pPr>
        <w:suppressAutoHyphens/>
        <w:autoSpaceDN w:val="0"/>
        <w:jc w:val="both"/>
        <w:rPr>
          <w:rFonts w:ascii="Arial" w:eastAsia="Times New Roman" w:hAnsi="Arial" w:cs="Arial"/>
          <w:color w:val="000000" w:themeColor="text1"/>
          <w:sz w:val="20"/>
          <w:szCs w:val="20"/>
        </w:rPr>
        <w:sectPr w:rsidR="00D92646" w:rsidRPr="003D1614" w:rsidSect="003278AB">
          <w:pgSz w:w="11906" w:h="16838"/>
          <w:pgMar w:top="1417" w:right="1417" w:bottom="1417" w:left="1417" w:header="708" w:footer="708" w:gutter="0"/>
          <w:cols w:space="708"/>
          <w:docGrid w:linePitch="360"/>
        </w:sectPr>
      </w:pPr>
    </w:p>
    <w:p w14:paraId="563019BB"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0E57F1C7" w14:textId="3C9A7969"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5EE326C6"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4B535EB5" w14:textId="19B59535"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58652B5B"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3C3D2796" w14:textId="77777777" w:rsidR="00D92646" w:rsidRPr="003D1614" w:rsidRDefault="00D92646" w:rsidP="00D92646">
      <w:pPr>
        <w:keepNext/>
        <w:numPr>
          <w:ilvl w:val="8"/>
          <w:numId w:val="29"/>
        </w:numPr>
        <w:suppressAutoHyphens/>
        <w:autoSpaceDN w:val="0"/>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Promjene po rezerviranjima (nastavak)</w:t>
      </w:r>
    </w:p>
    <w:p w14:paraId="1124840E" w14:textId="77777777" w:rsidR="00D92646" w:rsidRPr="003D1614" w:rsidRDefault="00D92646" w:rsidP="00D92646">
      <w:pPr>
        <w:keepNext/>
        <w:suppressAutoHyphens/>
        <w:autoSpaceDN w:val="0"/>
        <w:rPr>
          <w:rFonts w:ascii="Arial" w:eastAsia="Times New Roman" w:hAnsi="Arial" w:cs="Arial"/>
          <w:bCs/>
          <w:i/>
          <w:color w:val="000000" w:themeColor="text1"/>
          <w:sz w:val="20"/>
          <w:szCs w:val="20"/>
        </w:rPr>
      </w:pPr>
    </w:p>
    <w:p w14:paraId="40EAC967" w14:textId="77777777" w:rsidR="00D92646" w:rsidRPr="003D1614" w:rsidRDefault="00D92646" w:rsidP="00D92646">
      <w:pPr>
        <w:keepNext/>
        <w:suppressAutoHyphens/>
        <w:autoSpaceDN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Depoziti kod drugih banaka</w:t>
      </w:r>
    </w:p>
    <w:p w14:paraId="0A3D56BA" w14:textId="77777777" w:rsidR="00D92646" w:rsidRPr="003D1614" w:rsidRDefault="00D92646" w:rsidP="00D92646">
      <w:pPr>
        <w:suppressAutoHyphens/>
        <w:autoSpaceDN w:val="0"/>
        <w:rPr>
          <w:rFonts w:ascii="Arial" w:eastAsia="Calibri" w:hAnsi="Arial" w:cs="Arial"/>
          <w:color w:val="000000" w:themeColor="text1"/>
          <w:sz w:val="20"/>
          <w:szCs w:val="20"/>
        </w:rPr>
      </w:pPr>
    </w:p>
    <w:tbl>
      <w:tblPr>
        <w:tblW w:w="9381" w:type="dxa"/>
        <w:tblInd w:w="-142" w:type="dxa"/>
        <w:tblLook w:val="04A0" w:firstRow="1" w:lastRow="0" w:firstColumn="1" w:lastColumn="0" w:noHBand="0" w:noVBand="1"/>
      </w:tblPr>
      <w:tblGrid>
        <w:gridCol w:w="3931"/>
        <w:gridCol w:w="1090"/>
        <w:gridCol w:w="1090"/>
        <w:gridCol w:w="1090"/>
        <w:gridCol w:w="1090"/>
        <w:gridCol w:w="1090"/>
      </w:tblGrid>
      <w:tr w:rsidR="00D92646" w:rsidRPr="003D1614" w14:paraId="6FDDB3F6" w14:textId="77777777" w:rsidTr="00AD0393">
        <w:trPr>
          <w:trHeight w:val="164"/>
        </w:trPr>
        <w:tc>
          <w:tcPr>
            <w:tcW w:w="3931" w:type="dxa"/>
            <w:tcBorders>
              <w:top w:val="nil"/>
              <w:left w:val="nil"/>
              <w:bottom w:val="nil"/>
              <w:right w:val="nil"/>
            </w:tcBorders>
            <w:shd w:val="clear" w:color="auto" w:fill="auto"/>
            <w:vAlign w:val="center"/>
          </w:tcPr>
          <w:p w14:paraId="6E34DD08" w14:textId="77777777" w:rsidR="00D92646" w:rsidRPr="003D1614" w:rsidRDefault="00D92646" w:rsidP="00D92646">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Grupa</w:t>
            </w:r>
          </w:p>
        </w:tc>
        <w:tc>
          <w:tcPr>
            <w:tcW w:w="1090" w:type="dxa"/>
            <w:tcBorders>
              <w:top w:val="nil"/>
              <w:left w:val="nil"/>
              <w:bottom w:val="nil"/>
              <w:right w:val="nil"/>
            </w:tcBorders>
            <w:shd w:val="clear" w:color="auto" w:fill="auto"/>
            <w:vAlign w:val="center"/>
          </w:tcPr>
          <w:p w14:paraId="7D107656"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7B98B9F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2D229118"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22251C4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04BA0851"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D92646" w:rsidRPr="003D1614" w14:paraId="1F3220FD" w14:textId="77777777" w:rsidTr="00AD0393">
        <w:trPr>
          <w:trHeight w:val="164"/>
        </w:trPr>
        <w:tc>
          <w:tcPr>
            <w:tcW w:w="3931" w:type="dxa"/>
            <w:tcBorders>
              <w:top w:val="nil"/>
              <w:left w:val="nil"/>
              <w:bottom w:val="nil"/>
              <w:right w:val="nil"/>
            </w:tcBorders>
            <w:shd w:val="clear" w:color="auto" w:fill="auto"/>
            <w:vAlign w:val="center"/>
            <w:hideMark/>
          </w:tcPr>
          <w:p w14:paraId="274DC879" w14:textId="0D8F8518" w:rsidR="00D92646" w:rsidRPr="003D1614" w:rsidRDefault="00D92646" w:rsidP="00D92646">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ožujka 202</w:t>
            </w:r>
            <w:r w:rsidR="00AB330A">
              <w:rPr>
                <w:rFonts w:ascii="Arial" w:eastAsia="Calibri" w:hAnsi="Arial" w:cs="Arial"/>
                <w:b/>
                <w:bCs/>
                <w:color w:val="000000" w:themeColor="text1"/>
                <w:sz w:val="18"/>
                <w:szCs w:val="18"/>
              </w:rPr>
              <w:t>4</w:t>
            </w:r>
            <w:r w:rsidRPr="003D1614">
              <w:rPr>
                <w:rFonts w:ascii="Arial" w:eastAsia="Calibri" w:hAnsi="Arial" w:cs="Arial"/>
                <w:b/>
                <w:bCs/>
                <w:color w:val="000000" w:themeColor="text1"/>
                <w:sz w:val="18"/>
                <w:szCs w:val="18"/>
              </w:rPr>
              <w:t>.</w:t>
            </w:r>
          </w:p>
        </w:tc>
        <w:tc>
          <w:tcPr>
            <w:tcW w:w="1090" w:type="dxa"/>
            <w:tcBorders>
              <w:top w:val="nil"/>
              <w:left w:val="nil"/>
              <w:bottom w:val="nil"/>
              <w:right w:val="nil"/>
            </w:tcBorders>
            <w:shd w:val="clear" w:color="auto" w:fill="auto"/>
            <w:vAlign w:val="center"/>
            <w:hideMark/>
          </w:tcPr>
          <w:p w14:paraId="6E109735"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90" w:type="dxa"/>
            <w:tcBorders>
              <w:top w:val="nil"/>
              <w:left w:val="nil"/>
              <w:bottom w:val="nil"/>
              <w:right w:val="nil"/>
            </w:tcBorders>
            <w:shd w:val="clear" w:color="auto" w:fill="auto"/>
            <w:vAlign w:val="center"/>
            <w:hideMark/>
          </w:tcPr>
          <w:p w14:paraId="0D85B08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90" w:type="dxa"/>
            <w:tcBorders>
              <w:top w:val="nil"/>
              <w:left w:val="nil"/>
              <w:bottom w:val="nil"/>
              <w:right w:val="nil"/>
            </w:tcBorders>
            <w:shd w:val="clear" w:color="auto" w:fill="auto"/>
            <w:vAlign w:val="center"/>
            <w:hideMark/>
          </w:tcPr>
          <w:p w14:paraId="5CD14690"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90" w:type="dxa"/>
            <w:tcBorders>
              <w:top w:val="nil"/>
              <w:left w:val="nil"/>
              <w:bottom w:val="nil"/>
              <w:right w:val="nil"/>
            </w:tcBorders>
            <w:shd w:val="clear" w:color="auto" w:fill="auto"/>
            <w:vAlign w:val="center"/>
            <w:hideMark/>
          </w:tcPr>
          <w:p w14:paraId="638CEC42"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090" w:type="dxa"/>
            <w:tcBorders>
              <w:top w:val="nil"/>
              <w:left w:val="nil"/>
              <w:bottom w:val="nil"/>
              <w:right w:val="nil"/>
            </w:tcBorders>
            <w:shd w:val="clear" w:color="auto" w:fill="auto"/>
            <w:vAlign w:val="center"/>
            <w:hideMark/>
          </w:tcPr>
          <w:p w14:paraId="30509A0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4C22B5EE" w14:textId="77777777" w:rsidTr="00AD0393">
        <w:trPr>
          <w:trHeight w:val="164"/>
        </w:trPr>
        <w:tc>
          <w:tcPr>
            <w:tcW w:w="3931" w:type="dxa"/>
            <w:tcBorders>
              <w:top w:val="nil"/>
              <w:left w:val="nil"/>
              <w:bottom w:val="nil"/>
              <w:right w:val="nil"/>
            </w:tcBorders>
            <w:shd w:val="clear" w:color="auto" w:fill="auto"/>
            <w:vAlign w:val="center"/>
            <w:hideMark/>
          </w:tcPr>
          <w:p w14:paraId="61285BF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hideMark/>
          </w:tcPr>
          <w:p w14:paraId="645C9BDF" w14:textId="6ADAD9A3"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center"/>
            <w:hideMark/>
          </w:tcPr>
          <w:p w14:paraId="4FD499FF" w14:textId="6046CA28"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center"/>
            <w:hideMark/>
          </w:tcPr>
          <w:p w14:paraId="2A249944" w14:textId="516BD5A2"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center"/>
            <w:hideMark/>
          </w:tcPr>
          <w:p w14:paraId="59188012" w14:textId="7306AA2A"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center"/>
            <w:hideMark/>
          </w:tcPr>
          <w:p w14:paraId="1BF61F7D" w14:textId="5CBBBF2C"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6F7C4BDF" w14:textId="77777777" w:rsidTr="00AD0393">
        <w:trPr>
          <w:trHeight w:val="164"/>
        </w:trPr>
        <w:tc>
          <w:tcPr>
            <w:tcW w:w="3931" w:type="dxa"/>
            <w:tcBorders>
              <w:top w:val="nil"/>
              <w:left w:val="nil"/>
              <w:bottom w:val="nil"/>
              <w:right w:val="nil"/>
            </w:tcBorders>
            <w:shd w:val="clear" w:color="auto" w:fill="auto"/>
            <w:vAlign w:val="center"/>
          </w:tcPr>
          <w:p w14:paraId="6AAA5C27"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249E253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6205F7FB"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1A074BF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24F9751B"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110E5FC2"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52627E" w:rsidRPr="003D1614" w14:paraId="1F6F1068" w14:textId="77777777" w:rsidTr="00AD0393">
        <w:trPr>
          <w:trHeight w:val="164"/>
        </w:trPr>
        <w:tc>
          <w:tcPr>
            <w:tcW w:w="3931" w:type="dxa"/>
            <w:tcBorders>
              <w:top w:val="nil"/>
              <w:left w:val="nil"/>
              <w:bottom w:val="nil"/>
              <w:right w:val="nil"/>
            </w:tcBorders>
            <w:shd w:val="clear" w:color="auto" w:fill="auto"/>
            <w:vAlign w:val="center"/>
            <w:hideMark/>
          </w:tcPr>
          <w:p w14:paraId="0E77A546" w14:textId="7340CC65" w:rsidR="0052627E" w:rsidRPr="003D1614" w:rsidRDefault="0052627E" w:rsidP="0052627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Stanje 1. siječnja 20</w:t>
            </w:r>
            <w:r>
              <w:rPr>
                <w:rFonts w:ascii="Arial" w:eastAsia="Calibri" w:hAnsi="Arial" w:cs="Arial"/>
                <w:color w:val="000000" w:themeColor="text1"/>
                <w:sz w:val="18"/>
                <w:szCs w:val="18"/>
              </w:rPr>
              <w:t>24</w:t>
            </w:r>
            <w:r w:rsidRPr="003D1614">
              <w:rPr>
                <w:rFonts w:ascii="Arial" w:eastAsia="Calibri" w:hAnsi="Arial" w:cs="Arial"/>
                <w:color w:val="000000" w:themeColor="text1"/>
                <w:sz w:val="18"/>
                <w:szCs w:val="18"/>
              </w:rPr>
              <w:t xml:space="preserve">. </w:t>
            </w:r>
          </w:p>
        </w:tc>
        <w:tc>
          <w:tcPr>
            <w:tcW w:w="1090" w:type="dxa"/>
            <w:shd w:val="clear" w:color="auto" w:fill="auto"/>
            <w:vAlign w:val="bottom"/>
          </w:tcPr>
          <w:p w14:paraId="1F0C1A44" w14:textId="41719D87" w:rsidR="0052627E" w:rsidRPr="003D1614" w:rsidRDefault="0052627E" w:rsidP="0052627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221</w:t>
            </w:r>
          </w:p>
        </w:tc>
        <w:tc>
          <w:tcPr>
            <w:tcW w:w="1090" w:type="dxa"/>
            <w:shd w:val="clear" w:color="auto" w:fill="auto"/>
            <w:vAlign w:val="bottom"/>
          </w:tcPr>
          <w:p w14:paraId="2E586025" w14:textId="23B37885" w:rsidR="0052627E" w:rsidRPr="003D1614" w:rsidRDefault="0052627E" w:rsidP="0052627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0F6D4330" w14:textId="37234302" w:rsidR="0052627E" w:rsidRPr="003D1614" w:rsidRDefault="0052627E" w:rsidP="0052627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6DB73072" w14:textId="5ECE8282" w:rsidR="0052627E" w:rsidRPr="003D1614" w:rsidRDefault="0052627E" w:rsidP="0052627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27CA8578" w14:textId="4CDC7B27" w:rsidR="0052627E" w:rsidRPr="005D1219" w:rsidRDefault="0052627E" w:rsidP="0052627E">
            <w:pPr>
              <w:suppressAutoHyphens/>
              <w:autoSpaceDN w:val="0"/>
              <w:jc w:val="right"/>
              <w:rPr>
                <w:rFonts w:ascii="Arial" w:eastAsia="Calibri" w:hAnsi="Arial" w:cs="Arial"/>
                <w:b/>
                <w:bCs/>
                <w:color w:val="000000" w:themeColor="text1"/>
                <w:sz w:val="18"/>
                <w:szCs w:val="18"/>
              </w:rPr>
            </w:pPr>
            <w:r w:rsidRPr="005D1219">
              <w:rPr>
                <w:rFonts w:ascii="Arial" w:eastAsia="Calibri" w:hAnsi="Arial" w:cs="Arial"/>
                <w:b/>
                <w:bCs/>
                <w:color w:val="000000" w:themeColor="text1"/>
                <w:sz w:val="18"/>
                <w:szCs w:val="18"/>
              </w:rPr>
              <w:t>221</w:t>
            </w:r>
          </w:p>
        </w:tc>
      </w:tr>
      <w:tr w:rsidR="0052627E" w:rsidRPr="003D1614" w14:paraId="79EE2C5D" w14:textId="77777777" w:rsidTr="005D1219">
        <w:trPr>
          <w:trHeight w:val="164"/>
        </w:trPr>
        <w:tc>
          <w:tcPr>
            <w:tcW w:w="3931" w:type="dxa"/>
            <w:tcBorders>
              <w:top w:val="nil"/>
              <w:left w:val="nil"/>
              <w:bottom w:val="nil"/>
              <w:right w:val="nil"/>
            </w:tcBorders>
            <w:shd w:val="clear" w:color="auto" w:fill="auto"/>
            <w:hideMark/>
          </w:tcPr>
          <w:p w14:paraId="02D52806" w14:textId="77777777" w:rsidR="0052627E" w:rsidRPr="003D1614" w:rsidRDefault="0052627E" w:rsidP="0052627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90" w:type="dxa"/>
            <w:tcBorders>
              <w:top w:val="nil"/>
              <w:left w:val="nil"/>
              <w:right w:val="nil"/>
            </w:tcBorders>
            <w:shd w:val="clear" w:color="auto" w:fill="auto"/>
            <w:vAlign w:val="bottom"/>
          </w:tcPr>
          <w:p w14:paraId="466D112C" w14:textId="64FFFF31" w:rsidR="0052627E" w:rsidRPr="003D1614" w:rsidRDefault="0052627E" w:rsidP="0052627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61389828" w14:textId="10DA60B8" w:rsidR="0052627E" w:rsidRPr="003D1614" w:rsidRDefault="0052627E" w:rsidP="0052627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533218D6" w14:textId="24BD2340" w:rsidR="0052627E" w:rsidRPr="003D1614" w:rsidRDefault="0052627E" w:rsidP="0052627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43EFAF92" w14:textId="06FE0EC4" w:rsidR="0052627E" w:rsidRPr="003D1614" w:rsidRDefault="0052627E" w:rsidP="0052627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5D2F481B" w14:textId="416D716B" w:rsidR="0052627E" w:rsidRPr="005D1219" w:rsidRDefault="0052627E" w:rsidP="0052627E">
            <w:pPr>
              <w:suppressAutoHyphens/>
              <w:autoSpaceDN w:val="0"/>
              <w:jc w:val="right"/>
              <w:rPr>
                <w:rFonts w:ascii="Arial" w:eastAsia="Calibri" w:hAnsi="Arial" w:cs="Arial"/>
                <w:b/>
                <w:bCs/>
                <w:color w:val="000000" w:themeColor="text1"/>
                <w:sz w:val="18"/>
                <w:szCs w:val="18"/>
              </w:rPr>
            </w:pPr>
            <w:r w:rsidRPr="005D1219">
              <w:rPr>
                <w:rFonts w:ascii="Arial" w:eastAsia="Calibri" w:hAnsi="Arial" w:cs="Arial"/>
                <w:b/>
                <w:bCs/>
                <w:color w:val="000000" w:themeColor="text1"/>
                <w:sz w:val="18"/>
                <w:szCs w:val="18"/>
              </w:rPr>
              <w:t>-</w:t>
            </w:r>
          </w:p>
        </w:tc>
      </w:tr>
      <w:tr w:rsidR="0052627E" w:rsidRPr="003D1614" w14:paraId="743AF0F0" w14:textId="77777777" w:rsidTr="005D1219">
        <w:trPr>
          <w:trHeight w:val="164"/>
        </w:trPr>
        <w:tc>
          <w:tcPr>
            <w:tcW w:w="3931" w:type="dxa"/>
            <w:tcBorders>
              <w:top w:val="nil"/>
              <w:left w:val="nil"/>
              <w:bottom w:val="nil"/>
              <w:right w:val="nil"/>
            </w:tcBorders>
            <w:shd w:val="clear" w:color="auto" w:fill="auto"/>
          </w:tcPr>
          <w:p w14:paraId="4128F5F4" w14:textId="77777777" w:rsidR="0052627E" w:rsidRPr="003D1614" w:rsidRDefault="0052627E" w:rsidP="0052627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90" w:type="dxa"/>
            <w:tcBorders>
              <w:top w:val="nil"/>
              <w:left w:val="nil"/>
              <w:right w:val="nil"/>
            </w:tcBorders>
            <w:shd w:val="clear" w:color="auto" w:fill="auto"/>
            <w:vAlign w:val="bottom"/>
          </w:tcPr>
          <w:p w14:paraId="5B706961" w14:textId="4BEDDD8F" w:rsidR="0052627E" w:rsidRPr="003D1614" w:rsidRDefault="0052627E" w:rsidP="0052627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0287A2FB" w14:textId="7BB59FEB" w:rsidR="0052627E" w:rsidRPr="003D1614" w:rsidRDefault="0052627E" w:rsidP="0052627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28842A83" w14:textId="01C4EE4A" w:rsidR="0052627E" w:rsidRPr="003D1614" w:rsidRDefault="0052627E" w:rsidP="0052627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715FA753" w14:textId="7AF6405B" w:rsidR="0052627E" w:rsidRPr="003D1614" w:rsidRDefault="0052627E" w:rsidP="0052627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7DA313C9" w14:textId="1EA4DF14" w:rsidR="0052627E" w:rsidRPr="005D1219" w:rsidRDefault="0052627E" w:rsidP="0052627E">
            <w:pPr>
              <w:suppressAutoHyphens/>
              <w:autoSpaceDN w:val="0"/>
              <w:jc w:val="right"/>
              <w:rPr>
                <w:rFonts w:ascii="Arial" w:eastAsia="Calibri" w:hAnsi="Arial" w:cs="Arial"/>
                <w:b/>
                <w:bCs/>
                <w:color w:val="000000" w:themeColor="text1"/>
                <w:sz w:val="18"/>
                <w:szCs w:val="18"/>
              </w:rPr>
            </w:pPr>
            <w:r w:rsidRPr="005D1219">
              <w:rPr>
                <w:rFonts w:ascii="Arial" w:eastAsia="Calibri" w:hAnsi="Arial" w:cs="Arial"/>
                <w:b/>
                <w:bCs/>
                <w:color w:val="000000" w:themeColor="text1"/>
                <w:sz w:val="18"/>
                <w:szCs w:val="18"/>
              </w:rPr>
              <w:t>-</w:t>
            </w:r>
          </w:p>
        </w:tc>
      </w:tr>
      <w:tr w:rsidR="0052627E" w:rsidRPr="003D1614" w14:paraId="554A73FB" w14:textId="77777777" w:rsidTr="005D1219">
        <w:trPr>
          <w:trHeight w:val="164"/>
        </w:trPr>
        <w:tc>
          <w:tcPr>
            <w:tcW w:w="3931" w:type="dxa"/>
            <w:tcBorders>
              <w:top w:val="nil"/>
              <w:left w:val="nil"/>
              <w:bottom w:val="nil"/>
              <w:right w:val="nil"/>
            </w:tcBorders>
            <w:shd w:val="clear" w:color="auto" w:fill="auto"/>
          </w:tcPr>
          <w:p w14:paraId="143A2F2F" w14:textId="77777777" w:rsidR="0052627E" w:rsidRPr="003D1614" w:rsidRDefault="0052627E" w:rsidP="0052627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90" w:type="dxa"/>
            <w:tcBorders>
              <w:top w:val="nil"/>
              <w:left w:val="nil"/>
              <w:right w:val="nil"/>
            </w:tcBorders>
            <w:shd w:val="clear" w:color="auto" w:fill="auto"/>
            <w:vAlign w:val="bottom"/>
          </w:tcPr>
          <w:p w14:paraId="1730EBA1" w14:textId="7F59883E" w:rsidR="0052627E" w:rsidRPr="003D1614" w:rsidRDefault="0052627E" w:rsidP="0052627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4ACC32E4" w14:textId="79F3D20B" w:rsidR="0052627E" w:rsidRPr="003D1614" w:rsidRDefault="0052627E" w:rsidP="0052627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16C91F89" w14:textId="19CDD753" w:rsidR="0052627E" w:rsidRPr="003D1614" w:rsidRDefault="0052627E" w:rsidP="0052627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3CCB81EB" w14:textId="08CA5137" w:rsidR="0052627E" w:rsidRPr="003D1614" w:rsidRDefault="0052627E" w:rsidP="0052627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6643E238" w14:textId="360EC780" w:rsidR="0052627E" w:rsidRPr="005D1219" w:rsidRDefault="0052627E" w:rsidP="0052627E">
            <w:pPr>
              <w:suppressAutoHyphens/>
              <w:autoSpaceDN w:val="0"/>
              <w:jc w:val="right"/>
              <w:rPr>
                <w:rFonts w:ascii="Arial" w:eastAsia="Calibri" w:hAnsi="Arial" w:cs="Arial"/>
                <w:b/>
                <w:bCs/>
                <w:color w:val="000000" w:themeColor="text1"/>
                <w:sz w:val="18"/>
                <w:szCs w:val="18"/>
              </w:rPr>
            </w:pPr>
            <w:r w:rsidRPr="005D1219">
              <w:rPr>
                <w:rFonts w:ascii="Arial" w:eastAsia="Calibri" w:hAnsi="Arial" w:cs="Arial"/>
                <w:b/>
                <w:bCs/>
                <w:color w:val="000000" w:themeColor="text1"/>
                <w:sz w:val="18"/>
                <w:szCs w:val="18"/>
              </w:rPr>
              <w:t>-</w:t>
            </w:r>
          </w:p>
        </w:tc>
      </w:tr>
      <w:tr w:rsidR="0052627E" w:rsidRPr="003D1614" w14:paraId="307784BC" w14:textId="77777777" w:rsidTr="005D1219">
        <w:trPr>
          <w:trHeight w:val="204"/>
        </w:trPr>
        <w:tc>
          <w:tcPr>
            <w:tcW w:w="3931" w:type="dxa"/>
            <w:tcBorders>
              <w:top w:val="nil"/>
              <w:left w:val="nil"/>
              <w:bottom w:val="nil"/>
              <w:right w:val="nil"/>
            </w:tcBorders>
            <w:shd w:val="clear" w:color="auto" w:fill="auto"/>
            <w:vAlign w:val="center"/>
            <w:hideMark/>
          </w:tcPr>
          <w:p w14:paraId="245044C5" w14:textId="7A516CA5" w:rsidR="0052627E" w:rsidRPr="003D1614" w:rsidRDefault="0052627E" w:rsidP="0052627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w:t>
            </w:r>
            <w:r>
              <w:rPr>
                <w:rFonts w:ascii="Arial" w:eastAsia="Calibri" w:hAnsi="Arial" w:cs="Arial"/>
                <w:color w:val="000000" w:themeColor="text1"/>
                <w:sz w:val="18"/>
                <w:szCs w:val="18"/>
              </w:rPr>
              <w:t>(smanjenje)</w:t>
            </w:r>
            <w:r w:rsidRPr="003D1614">
              <w:rPr>
                <w:rFonts w:ascii="Arial" w:eastAsia="Calibri" w:hAnsi="Arial" w:cs="Arial"/>
                <w:color w:val="000000" w:themeColor="text1"/>
                <w:sz w:val="18"/>
                <w:szCs w:val="18"/>
              </w:rPr>
              <w:t xml:space="preserve"> rezerviranja za očekivane gubitke </w:t>
            </w:r>
          </w:p>
        </w:tc>
        <w:tc>
          <w:tcPr>
            <w:tcW w:w="1090" w:type="dxa"/>
            <w:shd w:val="clear" w:color="auto" w:fill="auto"/>
            <w:vAlign w:val="bottom"/>
          </w:tcPr>
          <w:p w14:paraId="366AF237" w14:textId="37379818" w:rsidR="0052627E" w:rsidRPr="003D1614" w:rsidRDefault="0052627E" w:rsidP="0052627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(12)</w:t>
            </w:r>
          </w:p>
        </w:tc>
        <w:tc>
          <w:tcPr>
            <w:tcW w:w="1090" w:type="dxa"/>
            <w:shd w:val="clear" w:color="auto" w:fill="auto"/>
            <w:vAlign w:val="bottom"/>
          </w:tcPr>
          <w:p w14:paraId="3FDAE7BF" w14:textId="1C14FCDB" w:rsidR="0052627E" w:rsidRPr="003D1614" w:rsidRDefault="0052627E" w:rsidP="0052627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4BF953F7" w14:textId="6C351C45" w:rsidR="0052627E" w:rsidRPr="003D1614" w:rsidRDefault="0052627E" w:rsidP="0052627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371712CF" w14:textId="4C8A848B" w:rsidR="0052627E" w:rsidRPr="003D1614" w:rsidRDefault="0052627E" w:rsidP="0052627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0B394E24" w14:textId="70084D0B" w:rsidR="0052627E" w:rsidRPr="005D1219" w:rsidRDefault="0052627E" w:rsidP="0052627E">
            <w:pPr>
              <w:suppressAutoHyphens/>
              <w:autoSpaceDN w:val="0"/>
              <w:jc w:val="right"/>
              <w:rPr>
                <w:rFonts w:ascii="Arial" w:eastAsia="Calibri" w:hAnsi="Arial" w:cs="Arial"/>
                <w:b/>
                <w:bCs/>
                <w:color w:val="000000" w:themeColor="text1"/>
                <w:sz w:val="18"/>
                <w:szCs w:val="18"/>
              </w:rPr>
            </w:pPr>
            <w:r w:rsidRPr="005D1219">
              <w:rPr>
                <w:rFonts w:ascii="Arial" w:eastAsia="Calibri" w:hAnsi="Arial" w:cs="Arial"/>
                <w:b/>
                <w:bCs/>
                <w:color w:val="000000" w:themeColor="text1"/>
                <w:sz w:val="18"/>
                <w:szCs w:val="18"/>
              </w:rPr>
              <w:t>(12)</w:t>
            </w:r>
          </w:p>
        </w:tc>
      </w:tr>
      <w:tr w:rsidR="0052627E" w:rsidRPr="003D1614" w14:paraId="18A782A6" w14:textId="77777777" w:rsidTr="00AD0393">
        <w:trPr>
          <w:trHeight w:val="172"/>
        </w:trPr>
        <w:tc>
          <w:tcPr>
            <w:tcW w:w="3931" w:type="dxa"/>
            <w:tcBorders>
              <w:top w:val="nil"/>
              <w:left w:val="nil"/>
              <w:bottom w:val="nil"/>
              <w:right w:val="nil"/>
            </w:tcBorders>
            <w:shd w:val="clear" w:color="auto" w:fill="auto"/>
            <w:vAlign w:val="bottom"/>
            <w:hideMark/>
          </w:tcPr>
          <w:p w14:paraId="439D12CB" w14:textId="289F5825" w:rsidR="0052627E" w:rsidRPr="003D1614" w:rsidRDefault="0052627E" w:rsidP="0052627E">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31.ožujka 202</w:t>
            </w:r>
            <w:r>
              <w:rPr>
                <w:rFonts w:ascii="Arial" w:eastAsia="Calibri" w:hAnsi="Arial" w:cs="Arial"/>
                <w:b/>
                <w:bCs/>
                <w:color w:val="000000" w:themeColor="text1"/>
                <w:sz w:val="18"/>
                <w:szCs w:val="18"/>
              </w:rPr>
              <w:t>4</w:t>
            </w:r>
            <w:r w:rsidRPr="003D1614">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7BE6CCE2" w14:textId="006605FA" w:rsidR="0052627E" w:rsidRPr="003D1614" w:rsidRDefault="0052627E" w:rsidP="0052627E">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209</w:t>
            </w:r>
          </w:p>
        </w:tc>
        <w:tc>
          <w:tcPr>
            <w:tcW w:w="1090" w:type="dxa"/>
            <w:tcBorders>
              <w:top w:val="single" w:sz="4" w:space="0" w:color="auto"/>
              <w:left w:val="nil"/>
              <w:bottom w:val="single" w:sz="12" w:space="0" w:color="auto"/>
              <w:right w:val="nil"/>
            </w:tcBorders>
            <w:shd w:val="clear" w:color="auto" w:fill="auto"/>
          </w:tcPr>
          <w:p w14:paraId="604F03D1" w14:textId="308DE417" w:rsidR="0052627E" w:rsidRPr="003D1614" w:rsidRDefault="0052627E" w:rsidP="0052627E">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tcPr>
          <w:p w14:paraId="525263BC" w14:textId="4E740D50" w:rsidR="0052627E" w:rsidRPr="003D1614" w:rsidRDefault="0052627E" w:rsidP="0052627E">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tcPr>
          <w:p w14:paraId="3DC8F1F9" w14:textId="552F906D" w:rsidR="0052627E" w:rsidRPr="003D1614" w:rsidRDefault="0052627E" w:rsidP="0052627E">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60F7ACA8" w14:textId="09808D25" w:rsidR="0052627E" w:rsidRPr="003D1614" w:rsidRDefault="0052627E" w:rsidP="0052627E">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209</w:t>
            </w:r>
          </w:p>
        </w:tc>
      </w:tr>
    </w:tbl>
    <w:p w14:paraId="6D4BD712" w14:textId="77777777" w:rsidR="00D92646" w:rsidRDefault="00D92646" w:rsidP="00D92646">
      <w:pPr>
        <w:suppressAutoHyphens/>
        <w:autoSpaceDN w:val="0"/>
        <w:rPr>
          <w:rFonts w:ascii="Arial" w:eastAsia="Calibri" w:hAnsi="Arial" w:cs="Arial"/>
          <w:color w:val="000000" w:themeColor="text1"/>
          <w:sz w:val="20"/>
          <w:szCs w:val="20"/>
        </w:rPr>
      </w:pPr>
    </w:p>
    <w:p w14:paraId="1BBB66B4" w14:textId="77777777" w:rsidR="00F57474" w:rsidRDefault="00F57474" w:rsidP="00D92646">
      <w:pPr>
        <w:suppressAutoHyphens/>
        <w:autoSpaceDN w:val="0"/>
        <w:rPr>
          <w:rFonts w:ascii="Arial" w:eastAsia="Calibri" w:hAnsi="Arial" w:cs="Arial"/>
          <w:color w:val="000000" w:themeColor="text1"/>
          <w:sz w:val="20"/>
          <w:szCs w:val="20"/>
        </w:rPr>
      </w:pPr>
    </w:p>
    <w:p w14:paraId="185F7380" w14:textId="77777777" w:rsidR="00F57474" w:rsidRPr="003D1614" w:rsidRDefault="00F57474" w:rsidP="00D92646">
      <w:pPr>
        <w:suppressAutoHyphens/>
        <w:autoSpaceDN w:val="0"/>
        <w:rPr>
          <w:rFonts w:ascii="Arial" w:eastAsia="Calibri" w:hAnsi="Arial" w:cs="Arial"/>
          <w:color w:val="000000" w:themeColor="text1"/>
          <w:sz w:val="20"/>
          <w:szCs w:val="20"/>
        </w:rPr>
      </w:pPr>
    </w:p>
    <w:tbl>
      <w:tblPr>
        <w:tblW w:w="9381" w:type="dxa"/>
        <w:tblInd w:w="-142" w:type="dxa"/>
        <w:tblLook w:val="04A0" w:firstRow="1" w:lastRow="0" w:firstColumn="1" w:lastColumn="0" w:noHBand="0" w:noVBand="1"/>
      </w:tblPr>
      <w:tblGrid>
        <w:gridCol w:w="3931"/>
        <w:gridCol w:w="1090"/>
        <w:gridCol w:w="1090"/>
        <w:gridCol w:w="1090"/>
        <w:gridCol w:w="1090"/>
        <w:gridCol w:w="1090"/>
      </w:tblGrid>
      <w:tr w:rsidR="00F57474" w:rsidRPr="001B015B" w14:paraId="79E550B8" w14:textId="77777777" w:rsidTr="00CA7F04">
        <w:trPr>
          <w:trHeight w:val="164"/>
        </w:trPr>
        <w:tc>
          <w:tcPr>
            <w:tcW w:w="3931" w:type="dxa"/>
            <w:tcBorders>
              <w:top w:val="nil"/>
              <w:left w:val="nil"/>
              <w:bottom w:val="nil"/>
              <w:right w:val="nil"/>
            </w:tcBorders>
            <w:shd w:val="clear" w:color="auto" w:fill="auto"/>
            <w:vAlign w:val="center"/>
          </w:tcPr>
          <w:p w14:paraId="5C55CE3C" w14:textId="77777777" w:rsidR="00F57474" w:rsidRPr="001B015B" w:rsidRDefault="00F57474" w:rsidP="00CA7F04">
            <w:pPr>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Grupa</w:t>
            </w:r>
          </w:p>
        </w:tc>
        <w:tc>
          <w:tcPr>
            <w:tcW w:w="1090" w:type="dxa"/>
            <w:tcBorders>
              <w:top w:val="nil"/>
              <w:left w:val="nil"/>
              <w:bottom w:val="nil"/>
              <w:right w:val="nil"/>
            </w:tcBorders>
            <w:shd w:val="clear" w:color="auto" w:fill="auto"/>
            <w:vAlign w:val="center"/>
          </w:tcPr>
          <w:p w14:paraId="62D5C769" w14:textId="77777777" w:rsidR="00F57474" w:rsidRPr="001B015B" w:rsidRDefault="00F57474" w:rsidP="00CA7F04">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3E4FEB66" w14:textId="77777777" w:rsidR="00F57474" w:rsidRPr="001B015B" w:rsidRDefault="00F57474" w:rsidP="00CA7F04">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1B06833F" w14:textId="77777777" w:rsidR="00F57474" w:rsidRPr="001B015B" w:rsidRDefault="00F57474" w:rsidP="00CA7F04">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63E5BD89" w14:textId="77777777" w:rsidR="00F57474" w:rsidRPr="001B015B" w:rsidRDefault="00F57474" w:rsidP="00CA7F04">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7FA50CB4" w14:textId="77777777" w:rsidR="00F57474" w:rsidRPr="001B015B" w:rsidRDefault="00F57474"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w:t>
            </w:r>
          </w:p>
        </w:tc>
      </w:tr>
      <w:tr w:rsidR="00F57474" w:rsidRPr="001B015B" w14:paraId="7962AD53" w14:textId="77777777" w:rsidTr="00CA7F04">
        <w:trPr>
          <w:trHeight w:val="164"/>
        </w:trPr>
        <w:tc>
          <w:tcPr>
            <w:tcW w:w="3931" w:type="dxa"/>
            <w:tcBorders>
              <w:top w:val="nil"/>
              <w:left w:val="nil"/>
              <w:bottom w:val="nil"/>
              <w:right w:val="nil"/>
            </w:tcBorders>
            <w:shd w:val="clear" w:color="auto" w:fill="auto"/>
            <w:vAlign w:val="center"/>
            <w:hideMark/>
          </w:tcPr>
          <w:p w14:paraId="6D56A272" w14:textId="77777777" w:rsidR="00F57474" w:rsidRPr="001B015B" w:rsidRDefault="00F57474" w:rsidP="00CA7F04">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31. prosinca 202</w:t>
            </w:r>
            <w:r>
              <w:rPr>
                <w:rFonts w:ascii="Arial" w:eastAsia="Calibri" w:hAnsi="Arial" w:cs="Arial"/>
                <w:b/>
                <w:bCs/>
                <w:color w:val="000000" w:themeColor="text1"/>
                <w:sz w:val="18"/>
                <w:szCs w:val="18"/>
              </w:rPr>
              <w:t>3</w:t>
            </w:r>
            <w:r w:rsidRPr="001B015B">
              <w:rPr>
                <w:rFonts w:ascii="Arial" w:eastAsia="Calibri" w:hAnsi="Arial" w:cs="Arial"/>
                <w:b/>
                <w:bCs/>
                <w:color w:val="000000" w:themeColor="text1"/>
                <w:sz w:val="18"/>
                <w:szCs w:val="18"/>
              </w:rPr>
              <w:t>.</w:t>
            </w:r>
          </w:p>
        </w:tc>
        <w:tc>
          <w:tcPr>
            <w:tcW w:w="1090" w:type="dxa"/>
            <w:tcBorders>
              <w:top w:val="nil"/>
              <w:left w:val="nil"/>
              <w:bottom w:val="nil"/>
              <w:right w:val="nil"/>
            </w:tcBorders>
            <w:shd w:val="clear" w:color="auto" w:fill="auto"/>
            <w:vAlign w:val="center"/>
            <w:hideMark/>
          </w:tcPr>
          <w:p w14:paraId="2FA2D624" w14:textId="77777777" w:rsidR="00F57474" w:rsidRPr="001B015B" w:rsidRDefault="00F57474"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1</w:t>
            </w:r>
          </w:p>
        </w:tc>
        <w:tc>
          <w:tcPr>
            <w:tcW w:w="1090" w:type="dxa"/>
            <w:tcBorders>
              <w:top w:val="nil"/>
              <w:left w:val="nil"/>
              <w:bottom w:val="nil"/>
              <w:right w:val="nil"/>
            </w:tcBorders>
            <w:shd w:val="clear" w:color="auto" w:fill="auto"/>
            <w:vAlign w:val="center"/>
            <w:hideMark/>
          </w:tcPr>
          <w:p w14:paraId="14FDFE1E" w14:textId="77777777" w:rsidR="00F57474" w:rsidRPr="001B015B" w:rsidRDefault="00F57474"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2</w:t>
            </w:r>
          </w:p>
        </w:tc>
        <w:tc>
          <w:tcPr>
            <w:tcW w:w="1090" w:type="dxa"/>
            <w:tcBorders>
              <w:top w:val="nil"/>
              <w:left w:val="nil"/>
              <w:bottom w:val="nil"/>
              <w:right w:val="nil"/>
            </w:tcBorders>
            <w:shd w:val="clear" w:color="auto" w:fill="auto"/>
            <w:vAlign w:val="center"/>
            <w:hideMark/>
          </w:tcPr>
          <w:p w14:paraId="6F0A92F9" w14:textId="77777777" w:rsidR="00F57474" w:rsidRPr="001B015B" w:rsidRDefault="00F57474"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3</w:t>
            </w:r>
          </w:p>
        </w:tc>
        <w:tc>
          <w:tcPr>
            <w:tcW w:w="1090" w:type="dxa"/>
            <w:tcBorders>
              <w:top w:val="nil"/>
              <w:left w:val="nil"/>
              <w:bottom w:val="nil"/>
              <w:right w:val="nil"/>
            </w:tcBorders>
            <w:shd w:val="clear" w:color="auto" w:fill="auto"/>
            <w:vAlign w:val="center"/>
            <w:hideMark/>
          </w:tcPr>
          <w:p w14:paraId="03B53EA4" w14:textId="77777777" w:rsidR="00F57474" w:rsidRPr="001B015B" w:rsidRDefault="00F57474"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POCI</w:t>
            </w:r>
          </w:p>
        </w:tc>
        <w:tc>
          <w:tcPr>
            <w:tcW w:w="1090" w:type="dxa"/>
            <w:tcBorders>
              <w:top w:val="nil"/>
              <w:left w:val="nil"/>
              <w:bottom w:val="nil"/>
              <w:right w:val="nil"/>
            </w:tcBorders>
            <w:shd w:val="clear" w:color="auto" w:fill="auto"/>
            <w:vAlign w:val="center"/>
            <w:hideMark/>
          </w:tcPr>
          <w:p w14:paraId="5B30C782" w14:textId="77777777" w:rsidR="00F57474" w:rsidRPr="001B015B" w:rsidRDefault="00F57474"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Ukupno</w:t>
            </w:r>
          </w:p>
        </w:tc>
      </w:tr>
      <w:tr w:rsidR="00F57474" w:rsidRPr="001B015B" w14:paraId="34C20081" w14:textId="77777777" w:rsidTr="00CA7F04">
        <w:trPr>
          <w:trHeight w:val="164"/>
        </w:trPr>
        <w:tc>
          <w:tcPr>
            <w:tcW w:w="3931" w:type="dxa"/>
            <w:tcBorders>
              <w:top w:val="nil"/>
              <w:left w:val="nil"/>
              <w:bottom w:val="nil"/>
              <w:right w:val="nil"/>
            </w:tcBorders>
            <w:shd w:val="clear" w:color="auto" w:fill="auto"/>
            <w:vAlign w:val="center"/>
            <w:hideMark/>
          </w:tcPr>
          <w:p w14:paraId="59A046F5" w14:textId="77777777" w:rsidR="00F57474" w:rsidRPr="001B015B" w:rsidRDefault="00F57474" w:rsidP="00CA7F04">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hideMark/>
          </w:tcPr>
          <w:p w14:paraId="74CEFDF1" w14:textId="77777777" w:rsidR="00F57474" w:rsidRPr="001B015B" w:rsidRDefault="00F57474" w:rsidP="00CA7F04">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43F0F7B1" w14:textId="77777777" w:rsidR="00F57474" w:rsidRPr="001B015B" w:rsidRDefault="00F57474" w:rsidP="00CA7F04">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0E5B25EF" w14:textId="77777777" w:rsidR="00F57474" w:rsidRPr="001B015B" w:rsidRDefault="00F57474" w:rsidP="00CA7F04">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59CAF320" w14:textId="77777777" w:rsidR="00F57474" w:rsidRPr="001B015B" w:rsidRDefault="00F57474" w:rsidP="00CA7F04">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59DE0065" w14:textId="77777777" w:rsidR="00F57474" w:rsidRPr="001B015B" w:rsidRDefault="00F57474" w:rsidP="00CA7F04">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r>
      <w:tr w:rsidR="00F57474" w:rsidRPr="001B015B" w14:paraId="2106A97D" w14:textId="77777777" w:rsidTr="00CA7F04">
        <w:trPr>
          <w:trHeight w:val="164"/>
        </w:trPr>
        <w:tc>
          <w:tcPr>
            <w:tcW w:w="3931" w:type="dxa"/>
            <w:tcBorders>
              <w:top w:val="nil"/>
              <w:left w:val="nil"/>
              <w:bottom w:val="nil"/>
              <w:right w:val="nil"/>
            </w:tcBorders>
            <w:shd w:val="clear" w:color="auto" w:fill="auto"/>
            <w:vAlign w:val="center"/>
          </w:tcPr>
          <w:p w14:paraId="119A183A" w14:textId="77777777" w:rsidR="00F57474" w:rsidRPr="001B015B" w:rsidRDefault="00F57474" w:rsidP="00CA7F04">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5FA027DC" w14:textId="77777777" w:rsidR="00F57474" w:rsidRPr="001B015B" w:rsidRDefault="00F57474" w:rsidP="00CA7F04">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1E260501" w14:textId="77777777" w:rsidR="00F57474" w:rsidRPr="001B015B" w:rsidRDefault="00F57474" w:rsidP="00CA7F04">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339AC849" w14:textId="77777777" w:rsidR="00F57474" w:rsidRPr="001B015B" w:rsidRDefault="00F57474" w:rsidP="00CA7F04">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540278F4" w14:textId="77777777" w:rsidR="00F57474" w:rsidRPr="001B015B" w:rsidRDefault="00F57474" w:rsidP="00CA7F04">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7DE6F9B6" w14:textId="77777777" w:rsidR="00F57474" w:rsidRPr="001B015B" w:rsidRDefault="00F57474" w:rsidP="00CA7F04">
            <w:pPr>
              <w:jc w:val="right"/>
              <w:rPr>
                <w:rFonts w:ascii="Arial" w:eastAsia="Calibri" w:hAnsi="Arial" w:cs="Arial"/>
                <w:b/>
                <w:bCs/>
                <w:color w:val="000000" w:themeColor="text1"/>
                <w:sz w:val="18"/>
                <w:szCs w:val="18"/>
              </w:rPr>
            </w:pPr>
          </w:p>
        </w:tc>
      </w:tr>
      <w:tr w:rsidR="00F57474" w:rsidRPr="001B015B" w14:paraId="20CDD597" w14:textId="77777777" w:rsidTr="00CA7F04">
        <w:trPr>
          <w:trHeight w:val="164"/>
        </w:trPr>
        <w:tc>
          <w:tcPr>
            <w:tcW w:w="3931" w:type="dxa"/>
            <w:tcBorders>
              <w:top w:val="nil"/>
              <w:left w:val="nil"/>
              <w:bottom w:val="nil"/>
              <w:right w:val="nil"/>
            </w:tcBorders>
            <w:shd w:val="clear" w:color="auto" w:fill="auto"/>
            <w:vAlign w:val="center"/>
            <w:hideMark/>
          </w:tcPr>
          <w:p w14:paraId="17A0E951" w14:textId="77777777" w:rsidR="00F57474" w:rsidRPr="001B015B" w:rsidRDefault="00F57474"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3</w:t>
            </w:r>
            <w:r w:rsidRPr="001B015B">
              <w:rPr>
                <w:rFonts w:ascii="Arial" w:eastAsia="Calibri" w:hAnsi="Arial" w:cs="Arial"/>
                <w:color w:val="000000" w:themeColor="text1"/>
                <w:sz w:val="18"/>
                <w:szCs w:val="18"/>
              </w:rPr>
              <w:t xml:space="preserve">. </w:t>
            </w:r>
          </w:p>
        </w:tc>
        <w:tc>
          <w:tcPr>
            <w:tcW w:w="1090" w:type="dxa"/>
            <w:shd w:val="clear" w:color="auto" w:fill="auto"/>
            <w:vAlign w:val="bottom"/>
          </w:tcPr>
          <w:p w14:paraId="13239827" w14:textId="77777777" w:rsidR="00F57474" w:rsidRPr="001B015B" w:rsidRDefault="00F57474" w:rsidP="00CA7F04">
            <w:pPr>
              <w:jc w:val="right"/>
              <w:rPr>
                <w:rFonts w:ascii="Arial" w:eastAsia="Calibri" w:hAnsi="Arial" w:cs="Arial"/>
                <w:color w:val="000000" w:themeColor="text1"/>
                <w:sz w:val="18"/>
                <w:szCs w:val="18"/>
              </w:rPr>
            </w:pPr>
            <w:r>
              <w:rPr>
                <w:rFonts w:ascii="Arial" w:hAnsi="Arial" w:cs="Arial"/>
                <w:sz w:val="18"/>
                <w:szCs w:val="18"/>
              </w:rPr>
              <w:t>5</w:t>
            </w:r>
            <w:r w:rsidRPr="004770C0">
              <w:rPr>
                <w:rFonts w:ascii="Arial" w:hAnsi="Arial" w:cs="Arial"/>
                <w:sz w:val="18"/>
                <w:szCs w:val="18"/>
              </w:rPr>
              <w:t xml:space="preserve">    </w:t>
            </w:r>
          </w:p>
        </w:tc>
        <w:tc>
          <w:tcPr>
            <w:tcW w:w="1090" w:type="dxa"/>
            <w:shd w:val="clear" w:color="auto" w:fill="auto"/>
            <w:vAlign w:val="bottom"/>
          </w:tcPr>
          <w:p w14:paraId="5790CDD5" w14:textId="77777777" w:rsidR="00F57474" w:rsidRPr="001B015B" w:rsidRDefault="00F57474" w:rsidP="00CA7F04">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shd w:val="clear" w:color="auto" w:fill="auto"/>
            <w:vAlign w:val="bottom"/>
          </w:tcPr>
          <w:p w14:paraId="69355106" w14:textId="77777777" w:rsidR="00F57474" w:rsidRPr="001B015B" w:rsidRDefault="00F57474" w:rsidP="00CA7F04">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shd w:val="clear" w:color="auto" w:fill="auto"/>
            <w:vAlign w:val="bottom"/>
          </w:tcPr>
          <w:p w14:paraId="3D723B8E" w14:textId="77777777" w:rsidR="00F57474" w:rsidRPr="001B015B" w:rsidRDefault="00F57474" w:rsidP="00CA7F04">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shd w:val="clear" w:color="auto" w:fill="auto"/>
            <w:vAlign w:val="bottom"/>
          </w:tcPr>
          <w:p w14:paraId="62639166" w14:textId="77777777" w:rsidR="00F57474" w:rsidRPr="005D1219" w:rsidRDefault="00F57474" w:rsidP="00CA7F04">
            <w:pPr>
              <w:jc w:val="right"/>
              <w:rPr>
                <w:rFonts w:ascii="Arial" w:eastAsia="Calibri" w:hAnsi="Arial" w:cs="Arial"/>
                <w:b/>
                <w:bCs/>
                <w:color w:val="000000" w:themeColor="text1"/>
                <w:sz w:val="18"/>
                <w:szCs w:val="18"/>
              </w:rPr>
            </w:pPr>
            <w:r w:rsidRPr="005D1219">
              <w:rPr>
                <w:rFonts w:ascii="Arial" w:hAnsi="Arial" w:cs="Arial"/>
                <w:b/>
                <w:bCs/>
                <w:sz w:val="18"/>
                <w:szCs w:val="18"/>
              </w:rPr>
              <w:t xml:space="preserve">5    </w:t>
            </w:r>
          </w:p>
        </w:tc>
      </w:tr>
      <w:tr w:rsidR="00F57474" w:rsidRPr="001B015B" w14:paraId="76213C58" w14:textId="77777777" w:rsidTr="00CA7F04">
        <w:trPr>
          <w:trHeight w:val="164"/>
        </w:trPr>
        <w:tc>
          <w:tcPr>
            <w:tcW w:w="3931" w:type="dxa"/>
            <w:tcBorders>
              <w:top w:val="nil"/>
              <w:left w:val="nil"/>
              <w:bottom w:val="nil"/>
              <w:right w:val="nil"/>
            </w:tcBorders>
            <w:shd w:val="clear" w:color="auto" w:fill="auto"/>
            <w:hideMark/>
          </w:tcPr>
          <w:p w14:paraId="1387CC0A" w14:textId="77777777" w:rsidR="00F57474" w:rsidRPr="001B015B" w:rsidRDefault="00F57474"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1</w:t>
            </w:r>
          </w:p>
        </w:tc>
        <w:tc>
          <w:tcPr>
            <w:tcW w:w="1090" w:type="dxa"/>
            <w:tcBorders>
              <w:top w:val="nil"/>
              <w:left w:val="nil"/>
              <w:right w:val="nil"/>
            </w:tcBorders>
            <w:shd w:val="clear" w:color="auto" w:fill="auto"/>
            <w:vAlign w:val="bottom"/>
          </w:tcPr>
          <w:p w14:paraId="5BAB485D" w14:textId="77777777" w:rsidR="00F57474" w:rsidRPr="001B015B" w:rsidRDefault="00F57474" w:rsidP="00CA7F04">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tcBorders>
              <w:top w:val="nil"/>
              <w:left w:val="nil"/>
              <w:right w:val="nil"/>
            </w:tcBorders>
            <w:shd w:val="clear" w:color="auto" w:fill="auto"/>
            <w:vAlign w:val="bottom"/>
          </w:tcPr>
          <w:p w14:paraId="5504027B" w14:textId="77777777" w:rsidR="00F57474" w:rsidRPr="001B015B" w:rsidRDefault="00F57474" w:rsidP="00CA7F04">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tcBorders>
              <w:top w:val="nil"/>
              <w:left w:val="nil"/>
              <w:right w:val="nil"/>
            </w:tcBorders>
            <w:shd w:val="clear" w:color="auto" w:fill="auto"/>
            <w:vAlign w:val="bottom"/>
          </w:tcPr>
          <w:p w14:paraId="15E01BB4" w14:textId="77777777" w:rsidR="00F57474" w:rsidRPr="001B015B" w:rsidRDefault="00F57474" w:rsidP="00CA7F04">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tcBorders>
              <w:top w:val="nil"/>
              <w:left w:val="nil"/>
              <w:right w:val="nil"/>
            </w:tcBorders>
            <w:shd w:val="clear" w:color="auto" w:fill="auto"/>
            <w:vAlign w:val="bottom"/>
          </w:tcPr>
          <w:p w14:paraId="519374E6" w14:textId="77777777" w:rsidR="00F57474" w:rsidRPr="001B015B" w:rsidRDefault="00F57474" w:rsidP="00CA7F04">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tcBorders>
              <w:top w:val="nil"/>
              <w:left w:val="nil"/>
              <w:right w:val="nil"/>
            </w:tcBorders>
            <w:shd w:val="clear" w:color="auto" w:fill="auto"/>
            <w:vAlign w:val="bottom"/>
          </w:tcPr>
          <w:p w14:paraId="20F8715A" w14:textId="77777777" w:rsidR="00F57474" w:rsidRPr="005D1219" w:rsidRDefault="00F57474" w:rsidP="00CA7F04">
            <w:pPr>
              <w:jc w:val="right"/>
              <w:rPr>
                <w:rFonts w:ascii="Arial" w:eastAsia="Calibri" w:hAnsi="Arial" w:cs="Arial"/>
                <w:b/>
                <w:bCs/>
                <w:color w:val="000000" w:themeColor="text1"/>
                <w:sz w:val="18"/>
                <w:szCs w:val="18"/>
              </w:rPr>
            </w:pPr>
            <w:r w:rsidRPr="005D1219">
              <w:rPr>
                <w:rFonts w:ascii="Arial" w:hAnsi="Arial" w:cs="Arial"/>
                <w:b/>
                <w:bCs/>
                <w:sz w:val="18"/>
                <w:szCs w:val="18"/>
              </w:rPr>
              <w:t xml:space="preserve"> -    </w:t>
            </w:r>
          </w:p>
        </w:tc>
      </w:tr>
      <w:tr w:rsidR="00F57474" w:rsidRPr="001B015B" w14:paraId="607525C9" w14:textId="77777777" w:rsidTr="00CA7F04">
        <w:trPr>
          <w:trHeight w:val="164"/>
        </w:trPr>
        <w:tc>
          <w:tcPr>
            <w:tcW w:w="3931" w:type="dxa"/>
            <w:tcBorders>
              <w:top w:val="nil"/>
              <w:left w:val="nil"/>
              <w:bottom w:val="nil"/>
              <w:right w:val="nil"/>
            </w:tcBorders>
            <w:shd w:val="clear" w:color="auto" w:fill="auto"/>
          </w:tcPr>
          <w:p w14:paraId="7414F413" w14:textId="77777777" w:rsidR="00F57474" w:rsidRPr="001B015B" w:rsidRDefault="00F57474"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2</w:t>
            </w:r>
          </w:p>
        </w:tc>
        <w:tc>
          <w:tcPr>
            <w:tcW w:w="1090" w:type="dxa"/>
            <w:tcBorders>
              <w:top w:val="nil"/>
              <w:left w:val="nil"/>
              <w:right w:val="nil"/>
            </w:tcBorders>
            <w:shd w:val="clear" w:color="auto" w:fill="auto"/>
            <w:vAlign w:val="bottom"/>
          </w:tcPr>
          <w:p w14:paraId="62E483B2" w14:textId="77777777" w:rsidR="00F57474" w:rsidRPr="001B015B" w:rsidRDefault="00F57474" w:rsidP="00CA7F04">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tcBorders>
              <w:top w:val="nil"/>
              <w:left w:val="nil"/>
              <w:right w:val="nil"/>
            </w:tcBorders>
            <w:shd w:val="clear" w:color="auto" w:fill="auto"/>
            <w:vAlign w:val="bottom"/>
          </w:tcPr>
          <w:p w14:paraId="739D3B2C" w14:textId="77777777" w:rsidR="00F57474" w:rsidRPr="001B015B" w:rsidRDefault="00F57474" w:rsidP="00CA7F04">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tcBorders>
              <w:top w:val="nil"/>
              <w:left w:val="nil"/>
              <w:right w:val="nil"/>
            </w:tcBorders>
            <w:shd w:val="clear" w:color="auto" w:fill="auto"/>
            <w:vAlign w:val="bottom"/>
          </w:tcPr>
          <w:p w14:paraId="71F3FC52" w14:textId="77777777" w:rsidR="00F57474" w:rsidRPr="001B015B" w:rsidRDefault="00F57474" w:rsidP="00CA7F04">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tcBorders>
              <w:top w:val="nil"/>
              <w:left w:val="nil"/>
              <w:right w:val="nil"/>
            </w:tcBorders>
            <w:shd w:val="clear" w:color="auto" w:fill="auto"/>
            <w:vAlign w:val="bottom"/>
          </w:tcPr>
          <w:p w14:paraId="3823C103" w14:textId="77777777" w:rsidR="00F57474" w:rsidRPr="001B015B" w:rsidRDefault="00F57474" w:rsidP="00CA7F04">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tcBorders>
              <w:top w:val="nil"/>
              <w:left w:val="nil"/>
              <w:right w:val="nil"/>
            </w:tcBorders>
            <w:shd w:val="clear" w:color="auto" w:fill="auto"/>
            <w:vAlign w:val="bottom"/>
          </w:tcPr>
          <w:p w14:paraId="4EB0673B" w14:textId="77777777" w:rsidR="00F57474" w:rsidRPr="005D1219" w:rsidRDefault="00F57474" w:rsidP="00CA7F04">
            <w:pPr>
              <w:jc w:val="right"/>
              <w:rPr>
                <w:rFonts w:ascii="Arial" w:eastAsia="Calibri" w:hAnsi="Arial" w:cs="Arial"/>
                <w:b/>
                <w:bCs/>
                <w:color w:val="000000" w:themeColor="text1"/>
                <w:sz w:val="18"/>
                <w:szCs w:val="18"/>
              </w:rPr>
            </w:pPr>
            <w:r w:rsidRPr="005D1219">
              <w:rPr>
                <w:rFonts w:ascii="Arial" w:hAnsi="Arial" w:cs="Arial"/>
                <w:b/>
                <w:bCs/>
                <w:sz w:val="18"/>
                <w:szCs w:val="18"/>
              </w:rPr>
              <w:t xml:space="preserve"> -    </w:t>
            </w:r>
          </w:p>
        </w:tc>
      </w:tr>
      <w:tr w:rsidR="00F57474" w:rsidRPr="001B015B" w14:paraId="5998B62A" w14:textId="77777777" w:rsidTr="00CA7F04">
        <w:trPr>
          <w:trHeight w:val="164"/>
        </w:trPr>
        <w:tc>
          <w:tcPr>
            <w:tcW w:w="3931" w:type="dxa"/>
            <w:tcBorders>
              <w:top w:val="nil"/>
              <w:left w:val="nil"/>
              <w:bottom w:val="nil"/>
              <w:right w:val="nil"/>
            </w:tcBorders>
            <w:shd w:val="clear" w:color="auto" w:fill="auto"/>
          </w:tcPr>
          <w:p w14:paraId="09378AAE" w14:textId="77777777" w:rsidR="00F57474" w:rsidRPr="001B015B" w:rsidRDefault="00F57474"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3</w:t>
            </w:r>
          </w:p>
        </w:tc>
        <w:tc>
          <w:tcPr>
            <w:tcW w:w="1090" w:type="dxa"/>
            <w:shd w:val="clear" w:color="auto" w:fill="auto"/>
            <w:vAlign w:val="bottom"/>
          </w:tcPr>
          <w:p w14:paraId="32CFF5F3" w14:textId="77777777" w:rsidR="00F57474" w:rsidRPr="001B015B" w:rsidRDefault="00F57474" w:rsidP="00CA7F04">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shd w:val="clear" w:color="auto" w:fill="auto"/>
            <w:vAlign w:val="bottom"/>
          </w:tcPr>
          <w:p w14:paraId="6F1B42B7" w14:textId="77777777" w:rsidR="00F57474" w:rsidRPr="001B015B" w:rsidRDefault="00F57474" w:rsidP="00CA7F04">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shd w:val="clear" w:color="auto" w:fill="auto"/>
            <w:vAlign w:val="bottom"/>
          </w:tcPr>
          <w:p w14:paraId="03DB65B6" w14:textId="77777777" w:rsidR="00F57474" w:rsidRPr="001B015B" w:rsidRDefault="00F57474" w:rsidP="00CA7F04">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shd w:val="clear" w:color="auto" w:fill="auto"/>
            <w:vAlign w:val="bottom"/>
          </w:tcPr>
          <w:p w14:paraId="12D9BB15" w14:textId="77777777" w:rsidR="00F57474" w:rsidRPr="001B015B" w:rsidRDefault="00F57474" w:rsidP="00CA7F04">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shd w:val="clear" w:color="auto" w:fill="auto"/>
            <w:vAlign w:val="bottom"/>
          </w:tcPr>
          <w:p w14:paraId="45EABE70" w14:textId="77777777" w:rsidR="00F57474" w:rsidRPr="005D1219" w:rsidRDefault="00F57474" w:rsidP="00CA7F04">
            <w:pPr>
              <w:jc w:val="right"/>
              <w:rPr>
                <w:rFonts w:ascii="Arial" w:eastAsia="Calibri" w:hAnsi="Arial" w:cs="Arial"/>
                <w:b/>
                <w:bCs/>
                <w:color w:val="000000" w:themeColor="text1"/>
                <w:sz w:val="18"/>
                <w:szCs w:val="18"/>
              </w:rPr>
            </w:pPr>
            <w:r w:rsidRPr="005D1219">
              <w:rPr>
                <w:rFonts w:ascii="Arial" w:hAnsi="Arial" w:cs="Arial"/>
                <w:b/>
                <w:bCs/>
                <w:sz w:val="18"/>
                <w:szCs w:val="18"/>
              </w:rPr>
              <w:t xml:space="preserve"> -    </w:t>
            </w:r>
          </w:p>
        </w:tc>
      </w:tr>
      <w:tr w:rsidR="00F57474" w:rsidRPr="001B015B" w14:paraId="7D63035F" w14:textId="77777777" w:rsidTr="00CA7F04">
        <w:trPr>
          <w:trHeight w:val="204"/>
        </w:trPr>
        <w:tc>
          <w:tcPr>
            <w:tcW w:w="3931" w:type="dxa"/>
            <w:tcBorders>
              <w:top w:val="nil"/>
              <w:left w:val="nil"/>
              <w:bottom w:val="nil"/>
              <w:right w:val="nil"/>
            </w:tcBorders>
            <w:shd w:val="clear" w:color="auto" w:fill="auto"/>
            <w:vAlign w:val="center"/>
            <w:hideMark/>
          </w:tcPr>
          <w:p w14:paraId="52913D2D" w14:textId="77777777" w:rsidR="00F57474" w:rsidRPr="001B015B" w:rsidRDefault="00F57474"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 xml:space="preserve">Neto </w:t>
            </w:r>
            <w:r>
              <w:rPr>
                <w:rFonts w:ascii="Arial" w:eastAsia="Calibri" w:hAnsi="Arial" w:cs="Arial"/>
                <w:color w:val="000000" w:themeColor="text1"/>
                <w:sz w:val="18"/>
                <w:szCs w:val="18"/>
              </w:rPr>
              <w:t>povećanje</w:t>
            </w:r>
            <w:r w:rsidRPr="001B015B">
              <w:rPr>
                <w:rFonts w:ascii="Arial" w:eastAsia="Calibri" w:hAnsi="Arial" w:cs="Arial"/>
                <w:color w:val="000000" w:themeColor="text1"/>
                <w:sz w:val="18"/>
                <w:szCs w:val="18"/>
              </w:rPr>
              <w:t xml:space="preserve"> rezerviranja za očekivane gubitke </w:t>
            </w:r>
          </w:p>
        </w:tc>
        <w:tc>
          <w:tcPr>
            <w:tcW w:w="1090" w:type="dxa"/>
            <w:tcBorders>
              <w:top w:val="nil"/>
              <w:left w:val="nil"/>
              <w:right w:val="nil"/>
            </w:tcBorders>
            <w:shd w:val="clear" w:color="auto" w:fill="auto"/>
            <w:vAlign w:val="bottom"/>
          </w:tcPr>
          <w:p w14:paraId="28E4D1F9" w14:textId="77777777" w:rsidR="00F57474" w:rsidRPr="001B015B" w:rsidRDefault="00F57474" w:rsidP="00CA7F04">
            <w:pPr>
              <w:jc w:val="right"/>
              <w:rPr>
                <w:rFonts w:ascii="Arial" w:eastAsia="Calibri" w:hAnsi="Arial" w:cs="Arial"/>
                <w:color w:val="000000" w:themeColor="text1"/>
                <w:sz w:val="18"/>
                <w:szCs w:val="18"/>
              </w:rPr>
            </w:pPr>
            <w:r>
              <w:rPr>
                <w:rFonts w:ascii="Arial" w:hAnsi="Arial" w:cs="Arial"/>
                <w:sz w:val="18"/>
                <w:szCs w:val="18"/>
              </w:rPr>
              <w:t>216</w:t>
            </w:r>
            <w:r w:rsidRPr="004770C0">
              <w:rPr>
                <w:rFonts w:ascii="Arial" w:hAnsi="Arial" w:cs="Arial"/>
                <w:sz w:val="18"/>
                <w:szCs w:val="18"/>
              </w:rPr>
              <w:t xml:space="preserve"> </w:t>
            </w:r>
          </w:p>
        </w:tc>
        <w:tc>
          <w:tcPr>
            <w:tcW w:w="1090" w:type="dxa"/>
            <w:tcBorders>
              <w:top w:val="nil"/>
              <w:left w:val="nil"/>
              <w:right w:val="nil"/>
            </w:tcBorders>
            <w:shd w:val="clear" w:color="auto" w:fill="auto"/>
            <w:vAlign w:val="bottom"/>
          </w:tcPr>
          <w:p w14:paraId="6D580323" w14:textId="77777777" w:rsidR="00F57474" w:rsidRPr="001B015B" w:rsidRDefault="00F57474" w:rsidP="00CA7F04">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tcBorders>
              <w:top w:val="nil"/>
              <w:left w:val="nil"/>
              <w:right w:val="nil"/>
            </w:tcBorders>
            <w:shd w:val="clear" w:color="auto" w:fill="auto"/>
            <w:vAlign w:val="bottom"/>
          </w:tcPr>
          <w:p w14:paraId="647D5311" w14:textId="77777777" w:rsidR="00F57474" w:rsidRPr="001B015B" w:rsidRDefault="00F57474" w:rsidP="00CA7F04">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tcBorders>
              <w:top w:val="nil"/>
              <w:left w:val="nil"/>
              <w:right w:val="nil"/>
            </w:tcBorders>
            <w:shd w:val="clear" w:color="auto" w:fill="auto"/>
            <w:vAlign w:val="bottom"/>
          </w:tcPr>
          <w:p w14:paraId="36E8AF08" w14:textId="77777777" w:rsidR="00F57474" w:rsidRPr="001B015B" w:rsidRDefault="00F57474" w:rsidP="00CA7F04">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tcBorders>
              <w:top w:val="nil"/>
              <w:left w:val="nil"/>
              <w:right w:val="nil"/>
            </w:tcBorders>
            <w:shd w:val="clear" w:color="auto" w:fill="auto"/>
            <w:vAlign w:val="bottom"/>
          </w:tcPr>
          <w:p w14:paraId="178FA96A" w14:textId="77777777" w:rsidR="00F57474" w:rsidRPr="005D1219" w:rsidRDefault="00F57474" w:rsidP="00CA7F04">
            <w:pPr>
              <w:jc w:val="right"/>
              <w:rPr>
                <w:rFonts w:ascii="Arial" w:eastAsia="Calibri" w:hAnsi="Arial" w:cs="Arial"/>
                <w:b/>
                <w:bCs/>
                <w:color w:val="000000" w:themeColor="text1"/>
                <w:sz w:val="18"/>
                <w:szCs w:val="18"/>
              </w:rPr>
            </w:pPr>
            <w:r w:rsidRPr="005D1219">
              <w:rPr>
                <w:rFonts w:ascii="Arial" w:hAnsi="Arial" w:cs="Arial"/>
                <w:b/>
                <w:bCs/>
                <w:sz w:val="18"/>
                <w:szCs w:val="18"/>
              </w:rPr>
              <w:t xml:space="preserve">216    </w:t>
            </w:r>
          </w:p>
        </w:tc>
      </w:tr>
      <w:tr w:rsidR="00F57474" w:rsidRPr="001B015B" w14:paraId="5ADF19BA" w14:textId="77777777" w:rsidTr="00CA7F04">
        <w:trPr>
          <w:trHeight w:val="172"/>
        </w:trPr>
        <w:tc>
          <w:tcPr>
            <w:tcW w:w="3931" w:type="dxa"/>
            <w:tcBorders>
              <w:top w:val="nil"/>
              <w:left w:val="nil"/>
              <w:bottom w:val="nil"/>
              <w:right w:val="nil"/>
            </w:tcBorders>
            <w:shd w:val="clear" w:color="auto" w:fill="auto"/>
            <w:vAlign w:val="bottom"/>
            <w:hideMark/>
          </w:tcPr>
          <w:p w14:paraId="317946BA" w14:textId="77777777" w:rsidR="00F57474" w:rsidRPr="001B015B" w:rsidRDefault="00F57474" w:rsidP="00CA7F04">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Stanje 31. prosinca 202</w:t>
            </w:r>
            <w:r>
              <w:rPr>
                <w:rFonts w:ascii="Arial" w:eastAsia="Calibri" w:hAnsi="Arial" w:cs="Arial"/>
                <w:b/>
                <w:bCs/>
                <w:color w:val="000000" w:themeColor="text1"/>
                <w:sz w:val="18"/>
                <w:szCs w:val="18"/>
              </w:rPr>
              <w:t>3</w:t>
            </w:r>
            <w:r w:rsidRPr="001B015B">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149B10A2" w14:textId="77777777" w:rsidR="00F57474" w:rsidRPr="001B015B" w:rsidRDefault="00F57474" w:rsidP="00CA7F04">
            <w:pPr>
              <w:jc w:val="right"/>
              <w:rPr>
                <w:rFonts w:ascii="Arial" w:eastAsia="Calibri" w:hAnsi="Arial" w:cs="Arial"/>
                <w:b/>
                <w:bCs/>
                <w:color w:val="000000" w:themeColor="text1"/>
                <w:sz w:val="18"/>
                <w:szCs w:val="18"/>
              </w:rPr>
            </w:pPr>
            <w:r w:rsidRPr="00067DF8">
              <w:rPr>
                <w:rFonts w:ascii="Arial" w:eastAsia="Calibri" w:hAnsi="Arial" w:cs="Arial"/>
                <w:b/>
                <w:bCs/>
                <w:color w:val="000000" w:themeColor="text1"/>
                <w:sz w:val="18"/>
                <w:szCs w:val="18"/>
              </w:rPr>
              <w:t>221</w:t>
            </w:r>
          </w:p>
        </w:tc>
        <w:tc>
          <w:tcPr>
            <w:tcW w:w="1090" w:type="dxa"/>
            <w:tcBorders>
              <w:top w:val="single" w:sz="4" w:space="0" w:color="auto"/>
              <w:left w:val="nil"/>
              <w:bottom w:val="single" w:sz="12" w:space="0" w:color="auto"/>
              <w:right w:val="nil"/>
            </w:tcBorders>
            <w:shd w:val="clear" w:color="auto" w:fill="auto"/>
            <w:vAlign w:val="bottom"/>
          </w:tcPr>
          <w:p w14:paraId="1BD9E022" w14:textId="77777777" w:rsidR="00F57474" w:rsidRPr="001B015B" w:rsidRDefault="00F57474" w:rsidP="00CA7F04">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1078448F" w14:textId="77777777" w:rsidR="00F57474" w:rsidRPr="001B015B" w:rsidRDefault="00F57474" w:rsidP="00CA7F04">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70EACB02" w14:textId="77777777" w:rsidR="00F57474" w:rsidRPr="001B015B" w:rsidRDefault="00F57474" w:rsidP="00CA7F04">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7A7AFA3E" w14:textId="77777777" w:rsidR="00F57474" w:rsidRPr="001B015B" w:rsidRDefault="00F57474" w:rsidP="00CA7F04">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221</w:t>
            </w:r>
          </w:p>
        </w:tc>
      </w:tr>
    </w:tbl>
    <w:p w14:paraId="3335F43E" w14:textId="3475B92D" w:rsidR="00D92646" w:rsidRPr="003D1614" w:rsidRDefault="00D92646" w:rsidP="001A0FCB">
      <w:pPr>
        <w:suppressAutoHyphens/>
        <w:autoSpaceDN w:val="0"/>
        <w:jc w:val="both"/>
        <w:rPr>
          <w:rFonts w:ascii="Arial" w:eastAsia="Times New Roman" w:hAnsi="Arial" w:cs="Arial"/>
          <w:color w:val="000000" w:themeColor="text1"/>
          <w:sz w:val="20"/>
          <w:szCs w:val="20"/>
        </w:rPr>
      </w:pPr>
    </w:p>
    <w:p w14:paraId="234DB9DB" w14:textId="262A88F3" w:rsidR="00D92646" w:rsidRPr="003D1614" w:rsidRDefault="00D92646" w:rsidP="001A0FCB">
      <w:pPr>
        <w:suppressAutoHyphens/>
        <w:autoSpaceDN w:val="0"/>
        <w:jc w:val="both"/>
        <w:rPr>
          <w:rFonts w:ascii="Arial" w:eastAsia="Times New Roman" w:hAnsi="Arial" w:cs="Arial"/>
          <w:color w:val="000000" w:themeColor="text1"/>
          <w:sz w:val="20"/>
          <w:szCs w:val="20"/>
        </w:rPr>
      </w:pPr>
    </w:p>
    <w:p w14:paraId="48D4A586" w14:textId="675262BF" w:rsidR="00D92646" w:rsidRPr="003D1614" w:rsidRDefault="00D92646" w:rsidP="001A0FCB">
      <w:pPr>
        <w:suppressAutoHyphens/>
        <w:autoSpaceDN w:val="0"/>
        <w:jc w:val="both"/>
        <w:rPr>
          <w:rFonts w:ascii="Arial" w:eastAsia="Times New Roman" w:hAnsi="Arial" w:cs="Arial"/>
          <w:color w:val="000000" w:themeColor="text1"/>
          <w:sz w:val="20"/>
          <w:szCs w:val="20"/>
        </w:rPr>
      </w:pPr>
    </w:p>
    <w:p w14:paraId="3410C81E" w14:textId="77777777" w:rsidR="00D92646" w:rsidRPr="003D1614" w:rsidRDefault="00D92646" w:rsidP="001A0FCB">
      <w:pPr>
        <w:suppressAutoHyphens/>
        <w:autoSpaceDN w:val="0"/>
        <w:jc w:val="both"/>
        <w:rPr>
          <w:rFonts w:ascii="Arial" w:eastAsia="Times New Roman" w:hAnsi="Arial" w:cs="Arial"/>
          <w:color w:val="000000" w:themeColor="text1"/>
          <w:sz w:val="20"/>
          <w:szCs w:val="20"/>
        </w:rPr>
        <w:sectPr w:rsidR="00D92646" w:rsidRPr="003D1614" w:rsidSect="003278AB">
          <w:pgSz w:w="11906" w:h="16838"/>
          <w:pgMar w:top="1417" w:right="1417" w:bottom="1417" w:left="1417" w:header="708" w:footer="708" w:gutter="0"/>
          <w:cols w:space="708"/>
          <w:docGrid w:linePitch="360"/>
        </w:sectPr>
      </w:pPr>
    </w:p>
    <w:p w14:paraId="2EA4F564"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0966CFAE" w14:textId="6EC0E401"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4839EB3A"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7101DF91" w14:textId="59F5D9A2"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6FEAB329"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19E824E8" w14:textId="77777777" w:rsidR="00D92646" w:rsidRPr="003D1614" w:rsidRDefault="00D92646" w:rsidP="00D92646">
      <w:pPr>
        <w:keepNext/>
        <w:numPr>
          <w:ilvl w:val="8"/>
          <w:numId w:val="29"/>
        </w:numPr>
        <w:suppressAutoHyphens/>
        <w:autoSpaceDN w:val="0"/>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Promjene po rezerviranjima (nastavak)</w:t>
      </w:r>
    </w:p>
    <w:p w14:paraId="79DC993E" w14:textId="77777777" w:rsidR="00D92646" w:rsidRPr="003D1614" w:rsidRDefault="00D92646" w:rsidP="00D92646">
      <w:pPr>
        <w:keepNext/>
        <w:suppressAutoHyphens/>
        <w:autoSpaceDN w:val="0"/>
        <w:rPr>
          <w:rFonts w:ascii="Arial" w:eastAsia="Times New Roman" w:hAnsi="Arial" w:cs="Arial"/>
          <w:bCs/>
          <w:i/>
          <w:color w:val="000000" w:themeColor="text1"/>
          <w:sz w:val="20"/>
          <w:szCs w:val="20"/>
        </w:rPr>
      </w:pPr>
    </w:p>
    <w:p w14:paraId="1EEFCBDF" w14:textId="77777777" w:rsidR="00D92646" w:rsidRPr="003D1614" w:rsidRDefault="00D92646" w:rsidP="00D92646">
      <w:pPr>
        <w:keepNext/>
        <w:suppressAutoHyphens/>
        <w:autoSpaceDN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Depoziti kod drugih banaka</w:t>
      </w:r>
    </w:p>
    <w:p w14:paraId="706CF6A9" w14:textId="77777777" w:rsidR="00D92646" w:rsidRPr="003D1614" w:rsidRDefault="00D92646" w:rsidP="00D92646">
      <w:pPr>
        <w:suppressAutoHyphens/>
        <w:autoSpaceDN w:val="0"/>
        <w:rPr>
          <w:rFonts w:ascii="Arial" w:eastAsia="Calibri" w:hAnsi="Arial" w:cs="Arial"/>
          <w:color w:val="000000" w:themeColor="text1"/>
          <w:sz w:val="20"/>
          <w:szCs w:val="20"/>
        </w:rPr>
      </w:pPr>
    </w:p>
    <w:tbl>
      <w:tblPr>
        <w:tblW w:w="9381" w:type="dxa"/>
        <w:tblInd w:w="-142" w:type="dxa"/>
        <w:tblLook w:val="04A0" w:firstRow="1" w:lastRow="0" w:firstColumn="1" w:lastColumn="0" w:noHBand="0" w:noVBand="1"/>
      </w:tblPr>
      <w:tblGrid>
        <w:gridCol w:w="3931"/>
        <w:gridCol w:w="1090"/>
        <w:gridCol w:w="1090"/>
        <w:gridCol w:w="1090"/>
        <w:gridCol w:w="1090"/>
        <w:gridCol w:w="1090"/>
      </w:tblGrid>
      <w:tr w:rsidR="00D92646" w:rsidRPr="003D1614" w14:paraId="041767A4" w14:textId="77777777" w:rsidTr="00AD0393">
        <w:trPr>
          <w:trHeight w:val="164"/>
        </w:trPr>
        <w:tc>
          <w:tcPr>
            <w:tcW w:w="3931" w:type="dxa"/>
            <w:tcBorders>
              <w:top w:val="nil"/>
              <w:left w:val="nil"/>
              <w:bottom w:val="nil"/>
              <w:right w:val="nil"/>
            </w:tcBorders>
            <w:shd w:val="clear" w:color="auto" w:fill="auto"/>
            <w:vAlign w:val="center"/>
          </w:tcPr>
          <w:p w14:paraId="1F3FAAA1" w14:textId="77777777" w:rsidR="00D92646" w:rsidRPr="003D1614" w:rsidRDefault="00D92646" w:rsidP="00D92646">
            <w:pPr>
              <w:suppressAutoHyphens/>
              <w:autoSpaceDN w:val="0"/>
              <w:rPr>
                <w:rFonts w:ascii="Arial" w:eastAsia="Calibri" w:hAnsi="Arial" w:cs="Arial"/>
                <w:b/>
                <w:bCs/>
                <w:color w:val="000000" w:themeColor="text1"/>
                <w:sz w:val="18"/>
                <w:szCs w:val="18"/>
              </w:rPr>
            </w:pPr>
            <w:bookmarkStart w:id="756" w:name="_Hlk24387098"/>
            <w:r w:rsidRPr="003D1614">
              <w:rPr>
                <w:rFonts w:ascii="Arial" w:eastAsia="Calibri" w:hAnsi="Arial" w:cs="Arial"/>
                <w:b/>
                <w:bCs/>
                <w:color w:val="000000" w:themeColor="text1"/>
                <w:sz w:val="18"/>
                <w:szCs w:val="18"/>
              </w:rPr>
              <w:t>Banka</w:t>
            </w:r>
          </w:p>
        </w:tc>
        <w:tc>
          <w:tcPr>
            <w:tcW w:w="1090" w:type="dxa"/>
            <w:tcBorders>
              <w:top w:val="nil"/>
              <w:left w:val="nil"/>
              <w:bottom w:val="nil"/>
              <w:right w:val="nil"/>
            </w:tcBorders>
            <w:shd w:val="clear" w:color="auto" w:fill="auto"/>
            <w:vAlign w:val="center"/>
          </w:tcPr>
          <w:p w14:paraId="6881B86E"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538D3AE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6C19EC8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39933EB3"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60D91C16"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D92646" w:rsidRPr="003D1614" w14:paraId="3C6F0F5F" w14:textId="77777777" w:rsidTr="00AD0393">
        <w:trPr>
          <w:trHeight w:val="164"/>
        </w:trPr>
        <w:tc>
          <w:tcPr>
            <w:tcW w:w="3931" w:type="dxa"/>
            <w:tcBorders>
              <w:top w:val="nil"/>
              <w:left w:val="nil"/>
              <w:bottom w:val="nil"/>
              <w:right w:val="nil"/>
            </w:tcBorders>
            <w:shd w:val="clear" w:color="auto" w:fill="auto"/>
            <w:vAlign w:val="center"/>
            <w:hideMark/>
          </w:tcPr>
          <w:p w14:paraId="10EFA46C" w14:textId="1D04A274" w:rsidR="00D92646" w:rsidRPr="003D1614" w:rsidRDefault="00D92646" w:rsidP="00D92646">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ožujka 202</w:t>
            </w:r>
            <w:r w:rsidR="00F57474">
              <w:rPr>
                <w:rFonts w:ascii="Arial" w:eastAsia="Calibri" w:hAnsi="Arial" w:cs="Arial"/>
                <w:b/>
                <w:bCs/>
                <w:color w:val="000000" w:themeColor="text1"/>
                <w:sz w:val="18"/>
                <w:szCs w:val="18"/>
              </w:rPr>
              <w:t>4</w:t>
            </w:r>
            <w:r w:rsidRPr="003D1614">
              <w:rPr>
                <w:rFonts w:ascii="Arial" w:eastAsia="Calibri" w:hAnsi="Arial" w:cs="Arial"/>
                <w:b/>
                <w:bCs/>
                <w:color w:val="000000" w:themeColor="text1"/>
                <w:sz w:val="18"/>
                <w:szCs w:val="18"/>
              </w:rPr>
              <w:t>.</w:t>
            </w:r>
          </w:p>
        </w:tc>
        <w:tc>
          <w:tcPr>
            <w:tcW w:w="1090" w:type="dxa"/>
            <w:tcBorders>
              <w:top w:val="nil"/>
              <w:left w:val="nil"/>
              <w:bottom w:val="nil"/>
              <w:right w:val="nil"/>
            </w:tcBorders>
            <w:shd w:val="clear" w:color="auto" w:fill="auto"/>
            <w:vAlign w:val="center"/>
            <w:hideMark/>
          </w:tcPr>
          <w:p w14:paraId="54836C4B"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90" w:type="dxa"/>
            <w:tcBorders>
              <w:top w:val="nil"/>
              <w:left w:val="nil"/>
              <w:bottom w:val="nil"/>
              <w:right w:val="nil"/>
            </w:tcBorders>
            <w:shd w:val="clear" w:color="auto" w:fill="auto"/>
            <w:vAlign w:val="center"/>
            <w:hideMark/>
          </w:tcPr>
          <w:p w14:paraId="50DE67C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90" w:type="dxa"/>
            <w:tcBorders>
              <w:top w:val="nil"/>
              <w:left w:val="nil"/>
              <w:bottom w:val="nil"/>
              <w:right w:val="nil"/>
            </w:tcBorders>
            <w:shd w:val="clear" w:color="auto" w:fill="auto"/>
            <w:vAlign w:val="center"/>
            <w:hideMark/>
          </w:tcPr>
          <w:p w14:paraId="7F3FA0F7"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90" w:type="dxa"/>
            <w:tcBorders>
              <w:top w:val="nil"/>
              <w:left w:val="nil"/>
              <w:bottom w:val="nil"/>
              <w:right w:val="nil"/>
            </w:tcBorders>
            <w:shd w:val="clear" w:color="auto" w:fill="auto"/>
            <w:vAlign w:val="center"/>
            <w:hideMark/>
          </w:tcPr>
          <w:p w14:paraId="470F30F8"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090" w:type="dxa"/>
            <w:tcBorders>
              <w:top w:val="nil"/>
              <w:left w:val="nil"/>
              <w:bottom w:val="nil"/>
              <w:right w:val="nil"/>
            </w:tcBorders>
            <w:shd w:val="clear" w:color="auto" w:fill="auto"/>
            <w:vAlign w:val="center"/>
            <w:hideMark/>
          </w:tcPr>
          <w:p w14:paraId="2CD68312"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0B2288C5" w14:textId="77777777" w:rsidTr="00AD0393">
        <w:trPr>
          <w:trHeight w:val="164"/>
        </w:trPr>
        <w:tc>
          <w:tcPr>
            <w:tcW w:w="3931" w:type="dxa"/>
            <w:tcBorders>
              <w:top w:val="nil"/>
              <w:left w:val="nil"/>
              <w:bottom w:val="nil"/>
              <w:right w:val="nil"/>
            </w:tcBorders>
            <w:shd w:val="clear" w:color="auto" w:fill="auto"/>
            <w:vAlign w:val="center"/>
            <w:hideMark/>
          </w:tcPr>
          <w:p w14:paraId="0BAD9472"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hideMark/>
          </w:tcPr>
          <w:p w14:paraId="1D24803B" w14:textId="76BCC9E8"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center"/>
            <w:hideMark/>
          </w:tcPr>
          <w:p w14:paraId="1C580E5C" w14:textId="23C050C4"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center"/>
            <w:hideMark/>
          </w:tcPr>
          <w:p w14:paraId="792B985D" w14:textId="762FD31C"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center"/>
            <w:hideMark/>
          </w:tcPr>
          <w:p w14:paraId="188129CA" w14:textId="06535B74"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center"/>
            <w:hideMark/>
          </w:tcPr>
          <w:p w14:paraId="2E2CE38E" w14:textId="546CA093"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57D0749F" w14:textId="77777777" w:rsidTr="00AD0393">
        <w:trPr>
          <w:trHeight w:val="164"/>
        </w:trPr>
        <w:tc>
          <w:tcPr>
            <w:tcW w:w="3931" w:type="dxa"/>
            <w:tcBorders>
              <w:top w:val="nil"/>
              <w:left w:val="nil"/>
              <w:bottom w:val="nil"/>
              <w:right w:val="nil"/>
            </w:tcBorders>
            <w:shd w:val="clear" w:color="auto" w:fill="auto"/>
            <w:vAlign w:val="center"/>
          </w:tcPr>
          <w:p w14:paraId="46E59A4C"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715D404E"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2178E35A"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35B6C6A4"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3FEF5E57"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5D03047F"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52627E" w:rsidRPr="003D1614" w14:paraId="58DC5533" w14:textId="77777777" w:rsidTr="00AD0393">
        <w:trPr>
          <w:trHeight w:val="164"/>
        </w:trPr>
        <w:tc>
          <w:tcPr>
            <w:tcW w:w="3931" w:type="dxa"/>
            <w:tcBorders>
              <w:top w:val="nil"/>
              <w:left w:val="nil"/>
              <w:bottom w:val="nil"/>
              <w:right w:val="nil"/>
            </w:tcBorders>
            <w:shd w:val="clear" w:color="auto" w:fill="auto"/>
            <w:vAlign w:val="center"/>
            <w:hideMark/>
          </w:tcPr>
          <w:p w14:paraId="7316D498" w14:textId="02B760AC" w:rsidR="0052627E" w:rsidRPr="003D1614" w:rsidRDefault="0052627E" w:rsidP="0052627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4</w:t>
            </w:r>
            <w:r w:rsidRPr="003D1614">
              <w:rPr>
                <w:rFonts w:ascii="Arial" w:eastAsia="Calibri" w:hAnsi="Arial" w:cs="Arial"/>
                <w:color w:val="000000" w:themeColor="text1"/>
                <w:sz w:val="18"/>
                <w:szCs w:val="18"/>
              </w:rPr>
              <w:t xml:space="preserve">. </w:t>
            </w:r>
          </w:p>
        </w:tc>
        <w:tc>
          <w:tcPr>
            <w:tcW w:w="1090" w:type="dxa"/>
            <w:shd w:val="clear" w:color="auto" w:fill="auto"/>
            <w:vAlign w:val="bottom"/>
          </w:tcPr>
          <w:p w14:paraId="4DE6CD72" w14:textId="7D5592F8" w:rsidR="0052627E" w:rsidRPr="003D1614" w:rsidRDefault="0052627E" w:rsidP="0052627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218</w:t>
            </w:r>
          </w:p>
        </w:tc>
        <w:tc>
          <w:tcPr>
            <w:tcW w:w="1090" w:type="dxa"/>
            <w:shd w:val="clear" w:color="auto" w:fill="auto"/>
            <w:vAlign w:val="bottom"/>
          </w:tcPr>
          <w:p w14:paraId="2A645C91" w14:textId="0EB4388D" w:rsidR="0052627E" w:rsidRPr="003D1614" w:rsidRDefault="0052627E" w:rsidP="0052627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673FEB75" w14:textId="32EA3AF0" w:rsidR="0052627E" w:rsidRPr="003D1614" w:rsidRDefault="0052627E" w:rsidP="0052627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1A38DDF8" w14:textId="5EE3C820" w:rsidR="0052627E" w:rsidRPr="003D1614" w:rsidRDefault="0052627E" w:rsidP="0052627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12A82D3E" w14:textId="00C56EF7" w:rsidR="0052627E" w:rsidRPr="005D1219" w:rsidRDefault="0052627E" w:rsidP="0052627E">
            <w:pPr>
              <w:suppressAutoHyphens/>
              <w:autoSpaceDN w:val="0"/>
              <w:jc w:val="right"/>
              <w:rPr>
                <w:rFonts w:ascii="Arial" w:eastAsia="Calibri" w:hAnsi="Arial" w:cs="Arial"/>
                <w:b/>
                <w:bCs/>
                <w:color w:val="000000" w:themeColor="text1"/>
                <w:sz w:val="18"/>
                <w:szCs w:val="18"/>
              </w:rPr>
            </w:pPr>
            <w:r w:rsidRPr="005D1219">
              <w:rPr>
                <w:rFonts w:ascii="Arial" w:eastAsia="Calibri" w:hAnsi="Arial" w:cs="Arial"/>
                <w:b/>
                <w:bCs/>
                <w:color w:val="000000" w:themeColor="text1"/>
                <w:sz w:val="18"/>
                <w:szCs w:val="18"/>
              </w:rPr>
              <w:t>218</w:t>
            </w:r>
          </w:p>
        </w:tc>
      </w:tr>
      <w:tr w:rsidR="0052627E" w:rsidRPr="003D1614" w14:paraId="19641A41" w14:textId="77777777" w:rsidTr="005D1219">
        <w:trPr>
          <w:trHeight w:val="164"/>
        </w:trPr>
        <w:tc>
          <w:tcPr>
            <w:tcW w:w="3931" w:type="dxa"/>
            <w:tcBorders>
              <w:top w:val="nil"/>
              <w:left w:val="nil"/>
              <w:bottom w:val="nil"/>
              <w:right w:val="nil"/>
            </w:tcBorders>
            <w:shd w:val="clear" w:color="auto" w:fill="auto"/>
            <w:hideMark/>
          </w:tcPr>
          <w:p w14:paraId="17BD6FC7" w14:textId="77777777" w:rsidR="0052627E" w:rsidRPr="003D1614" w:rsidRDefault="0052627E" w:rsidP="0052627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90" w:type="dxa"/>
            <w:tcBorders>
              <w:top w:val="nil"/>
              <w:left w:val="nil"/>
              <w:right w:val="nil"/>
            </w:tcBorders>
            <w:shd w:val="clear" w:color="auto" w:fill="auto"/>
            <w:vAlign w:val="bottom"/>
          </w:tcPr>
          <w:p w14:paraId="5975EE7F" w14:textId="5758C839" w:rsidR="0052627E" w:rsidRPr="003D1614" w:rsidRDefault="0052627E" w:rsidP="0052627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1C4B69BC" w14:textId="4462D070" w:rsidR="0052627E" w:rsidRPr="003D1614" w:rsidRDefault="0052627E" w:rsidP="0052627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142424D8" w14:textId="1DE33CCB" w:rsidR="0052627E" w:rsidRPr="003D1614" w:rsidRDefault="0052627E" w:rsidP="0052627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49A63A40" w14:textId="31A00500" w:rsidR="0052627E" w:rsidRPr="003D1614" w:rsidRDefault="0052627E" w:rsidP="0052627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0915838B" w14:textId="313EAC02" w:rsidR="0052627E" w:rsidRPr="005D1219" w:rsidRDefault="0052627E" w:rsidP="0052627E">
            <w:pPr>
              <w:suppressAutoHyphens/>
              <w:autoSpaceDN w:val="0"/>
              <w:jc w:val="right"/>
              <w:rPr>
                <w:rFonts w:ascii="Arial" w:eastAsia="Calibri" w:hAnsi="Arial" w:cs="Arial"/>
                <w:b/>
                <w:bCs/>
                <w:color w:val="000000" w:themeColor="text1"/>
                <w:sz w:val="18"/>
                <w:szCs w:val="18"/>
              </w:rPr>
            </w:pPr>
            <w:r w:rsidRPr="005D1219">
              <w:rPr>
                <w:rFonts w:ascii="Arial" w:eastAsia="Calibri" w:hAnsi="Arial" w:cs="Arial"/>
                <w:b/>
                <w:bCs/>
                <w:color w:val="000000" w:themeColor="text1"/>
                <w:sz w:val="18"/>
                <w:szCs w:val="18"/>
              </w:rPr>
              <w:t>-</w:t>
            </w:r>
          </w:p>
        </w:tc>
      </w:tr>
      <w:tr w:rsidR="0052627E" w:rsidRPr="003D1614" w14:paraId="395A00AD" w14:textId="77777777" w:rsidTr="005D1219">
        <w:trPr>
          <w:trHeight w:val="164"/>
        </w:trPr>
        <w:tc>
          <w:tcPr>
            <w:tcW w:w="3931" w:type="dxa"/>
            <w:tcBorders>
              <w:top w:val="nil"/>
              <w:left w:val="nil"/>
              <w:bottom w:val="nil"/>
              <w:right w:val="nil"/>
            </w:tcBorders>
            <w:shd w:val="clear" w:color="auto" w:fill="auto"/>
          </w:tcPr>
          <w:p w14:paraId="304FF047" w14:textId="77777777" w:rsidR="0052627E" w:rsidRPr="003D1614" w:rsidRDefault="0052627E" w:rsidP="0052627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90" w:type="dxa"/>
            <w:tcBorders>
              <w:top w:val="nil"/>
              <w:left w:val="nil"/>
              <w:right w:val="nil"/>
            </w:tcBorders>
            <w:shd w:val="clear" w:color="auto" w:fill="auto"/>
            <w:vAlign w:val="bottom"/>
          </w:tcPr>
          <w:p w14:paraId="05C1A445" w14:textId="040627C0" w:rsidR="0052627E" w:rsidRPr="003D1614" w:rsidRDefault="0052627E" w:rsidP="0052627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70C7A1B0" w14:textId="60356DA1" w:rsidR="0052627E" w:rsidRPr="003D1614" w:rsidRDefault="0052627E" w:rsidP="0052627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3592C6BD" w14:textId="7CBB95B9" w:rsidR="0052627E" w:rsidRPr="003D1614" w:rsidRDefault="0052627E" w:rsidP="0052627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5ADF066B" w14:textId="436BCB0D" w:rsidR="0052627E" w:rsidRPr="003D1614" w:rsidRDefault="0052627E" w:rsidP="0052627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390614D5" w14:textId="4C599DFF" w:rsidR="0052627E" w:rsidRPr="005D1219" w:rsidRDefault="0052627E" w:rsidP="0052627E">
            <w:pPr>
              <w:suppressAutoHyphens/>
              <w:autoSpaceDN w:val="0"/>
              <w:jc w:val="right"/>
              <w:rPr>
                <w:rFonts w:ascii="Arial" w:eastAsia="Calibri" w:hAnsi="Arial" w:cs="Arial"/>
                <w:b/>
                <w:bCs/>
                <w:color w:val="000000" w:themeColor="text1"/>
                <w:sz w:val="18"/>
                <w:szCs w:val="18"/>
              </w:rPr>
            </w:pPr>
            <w:r w:rsidRPr="005D1219">
              <w:rPr>
                <w:rFonts w:ascii="Arial" w:eastAsia="Calibri" w:hAnsi="Arial" w:cs="Arial"/>
                <w:b/>
                <w:bCs/>
                <w:color w:val="000000" w:themeColor="text1"/>
                <w:sz w:val="18"/>
                <w:szCs w:val="18"/>
              </w:rPr>
              <w:t>-</w:t>
            </w:r>
          </w:p>
        </w:tc>
      </w:tr>
      <w:tr w:rsidR="0052627E" w:rsidRPr="003D1614" w14:paraId="7E3035C3" w14:textId="77777777" w:rsidTr="005D1219">
        <w:trPr>
          <w:trHeight w:val="164"/>
        </w:trPr>
        <w:tc>
          <w:tcPr>
            <w:tcW w:w="3931" w:type="dxa"/>
            <w:tcBorders>
              <w:top w:val="nil"/>
              <w:left w:val="nil"/>
              <w:bottom w:val="nil"/>
              <w:right w:val="nil"/>
            </w:tcBorders>
            <w:shd w:val="clear" w:color="auto" w:fill="auto"/>
          </w:tcPr>
          <w:p w14:paraId="4CD8C9C2" w14:textId="77777777" w:rsidR="0052627E" w:rsidRPr="003D1614" w:rsidRDefault="0052627E" w:rsidP="0052627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90" w:type="dxa"/>
            <w:tcBorders>
              <w:top w:val="nil"/>
              <w:left w:val="nil"/>
              <w:right w:val="nil"/>
            </w:tcBorders>
            <w:shd w:val="clear" w:color="auto" w:fill="auto"/>
            <w:vAlign w:val="bottom"/>
          </w:tcPr>
          <w:p w14:paraId="33C0FA4F" w14:textId="7B2F9995" w:rsidR="0052627E" w:rsidRPr="003D1614" w:rsidRDefault="0052627E" w:rsidP="0052627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0D4F7295" w14:textId="0A4B8618" w:rsidR="0052627E" w:rsidRPr="003D1614" w:rsidRDefault="0052627E" w:rsidP="0052627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3BEB755A" w14:textId="0E640DC1" w:rsidR="0052627E" w:rsidRPr="003D1614" w:rsidRDefault="0052627E" w:rsidP="0052627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5301D283" w14:textId="2F706015" w:rsidR="0052627E" w:rsidRPr="003D1614" w:rsidRDefault="0052627E" w:rsidP="0052627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tcBorders>
              <w:top w:val="nil"/>
              <w:left w:val="nil"/>
              <w:right w:val="nil"/>
            </w:tcBorders>
            <w:shd w:val="clear" w:color="auto" w:fill="auto"/>
            <w:vAlign w:val="bottom"/>
          </w:tcPr>
          <w:p w14:paraId="07F5DD1C" w14:textId="250F19BD" w:rsidR="0052627E" w:rsidRPr="005D1219" w:rsidRDefault="0052627E" w:rsidP="0052627E">
            <w:pPr>
              <w:suppressAutoHyphens/>
              <w:autoSpaceDN w:val="0"/>
              <w:jc w:val="right"/>
              <w:rPr>
                <w:rFonts w:ascii="Arial" w:eastAsia="Calibri" w:hAnsi="Arial" w:cs="Arial"/>
                <w:b/>
                <w:bCs/>
                <w:color w:val="000000" w:themeColor="text1"/>
                <w:sz w:val="18"/>
                <w:szCs w:val="18"/>
              </w:rPr>
            </w:pPr>
            <w:r w:rsidRPr="005D1219">
              <w:rPr>
                <w:rFonts w:ascii="Arial" w:eastAsia="Calibri" w:hAnsi="Arial" w:cs="Arial"/>
                <w:b/>
                <w:bCs/>
                <w:color w:val="000000" w:themeColor="text1"/>
                <w:sz w:val="18"/>
                <w:szCs w:val="18"/>
              </w:rPr>
              <w:t>-</w:t>
            </w:r>
          </w:p>
        </w:tc>
      </w:tr>
      <w:tr w:rsidR="0052627E" w:rsidRPr="003D1614" w14:paraId="1E80A9A0" w14:textId="77777777" w:rsidTr="005D1219">
        <w:trPr>
          <w:trHeight w:val="204"/>
        </w:trPr>
        <w:tc>
          <w:tcPr>
            <w:tcW w:w="3931" w:type="dxa"/>
            <w:tcBorders>
              <w:top w:val="nil"/>
              <w:left w:val="nil"/>
              <w:bottom w:val="nil"/>
              <w:right w:val="nil"/>
            </w:tcBorders>
            <w:shd w:val="clear" w:color="auto" w:fill="auto"/>
            <w:vAlign w:val="center"/>
            <w:hideMark/>
          </w:tcPr>
          <w:p w14:paraId="1A8B7BB1" w14:textId="20C1F7B8" w:rsidR="0052627E" w:rsidRPr="003D1614" w:rsidRDefault="0052627E" w:rsidP="0052627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w:t>
            </w:r>
            <w:r>
              <w:rPr>
                <w:rFonts w:ascii="Arial" w:eastAsia="Calibri" w:hAnsi="Arial" w:cs="Arial"/>
                <w:color w:val="000000" w:themeColor="text1"/>
                <w:sz w:val="18"/>
                <w:szCs w:val="18"/>
              </w:rPr>
              <w:t>(smanjenje)</w:t>
            </w:r>
            <w:r w:rsidRPr="003D1614">
              <w:rPr>
                <w:rFonts w:ascii="Arial" w:eastAsia="Calibri" w:hAnsi="Arial" w:cs="Arial"/>
                <w:color w:val="000000" w:themeColor="text1"/>
                <w:sz w:val="18"/>
                <w:szCs w:val="18"/>
              </w:rPr>
              <w:t xml:space="preserve"> rezerviranja za očekivane gubitke </w:t>
            </w:r>
          </w:p>
        </w:tc>
        <w:tc>
          <w:tcPr>
            <w:tcW w:w="1090" w:type="dxa"/>
            <w:shd w:val="clear" w:color="auto" w:fill="auto"/>
            <w:vAlign w:val="bottom"/>
          </w:tcPr>
          <w:p w14:paraId="741506E5" w14:textId="0B4F635B" w:rsidR="0052627E" w:rsidRPr="003D1614" w:rsidRDefault="0052627E" w:rsidP="0052627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(12)</w:t>
            </w:r>
          </w:p>
        </w:tc>
        <w:tc>
          <w:tcPr>
            <w:tcW w:w="1090" w:type="dxa"/>
            <w:shd w:val="clear" w:color="auto" w:fill="auto"/>
            <w:vAlign w:val="bottom"/>
          </w:tcPr>
          <w:p w14:paraId="65B677F9" w14:textId="246400FF" w:rsidR="0052627E" w:rsidRPr="003D1614" w:rsidRDefault="0052627E" w:rsidP="0052627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2425842B" w14:textId="2B86F760" w:rsidR="0052627E" w:rsidRPr="003D1614" w:rsidRDefault="0052627E" w:rsidP="0052627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4E4C3100" w14:textId="73CCF550" w:rsidR="0052627E" w:rsidRPr="003D1614" w:rsidRDefault="0052627E" w:rsidP="0052627E">
            <w:pPr>
              <w:suppressAutoHyphens/>
              <w:autoSpaceDN w:val="0"/>
              <w:jc w:val="right"/>
              <w:rPr>
                <w:rFonts w:ascii="Arial" w:eastAsia="Calibri" w:hAnsi="Arial" w:cs="Arial"/>
                <w:color w:val="000000" w:themeColor="text1"/>
                <w:sz w:val="18"/>
                <w:szCs w:val="18"/>
              </w:rPr>
            </w:pPr>
            <w:r>
              <w:rPr>
                <w:rFonts w:ascii="Arial" w:eastAsia="Calibri" w:hAnsi="Arial" w:cs="Arial"/>
                <w:color w:val="000000" w:themeColor="text1"/>
                <w:sz w:val="18"/>
                <w:szCs w:val="18"/>
              </w:rPr>
              <w:t>-</w:t>
            </w:r>
          </w:p>
        </w:tc>
        <w:tc>
          <w:tcPr>
            <w:tcW w:w="1090" w:type="dxa"/>
            <w:shd w:val="clear" w:color="auto" w:fill="auto"/>
            <w:vAlign w:val="bottom"/>
          </w:tcPr>
          <w:p w14:paraId="5C009C7F" w14:textId="4F5B3E94" w:rsidR="0052627E" w:rsidRPr="005D1219" w:rsidRDefault="0052627E" w:rsidP="0052627E">
            <w:pPr>
              <w:suppressAutoHyphens/>
              <w:autoSpaceDN w:val="0"/>
              <w:jc w:val="right"/>
              <w:rPr>
                <w:rFonts w:ascii="Arial" w:eastAsia="Calibri" w:hAnsi="Arial" w:cs="Arial"/>
                <w:b/>
                <w:bCs/>
                <w:color w:val="000000" w:themeColor="text1"/>
                <w:sz w:val="18"/>
                <w:szCs w:val="18"/>
              </w:rPr>
            </w:pPr>
            <w:r w:rsidRPr="005D1219">
              <w:rPr>
                <w:rFonts w:ascii="Arial" w:eastAsia="Calibri" w:hAnsi="Arial" w:cs="Arial"/>
                <w:b/>
                <w:bCs/>
                <w:color w:val="000000" w:themeColor="text1"/>
                <w:sz w:val="18"/>
                <w:szCs w:val="18"/>
              </w:rPr>
              <w:t>(12)</w:t>
            </w:r>
          </w:p>
        </w:tc>
      </w:tr>
      <w:tr w:rsidR="0052627E" w:rsidRPr="003D1614" w14:paraId="1473DFDB" w14:textId="77777777" w:rsidTr="00AD0393">
        <w:trPr>
          <w:trHeight w:val="172"/>
        </w:trPr>
        <w:tc>
          <w:tcPr>
            <w:tcW w:w="3931" w:type="dxa"/>
            <w:tcBorders>
              <w:top w:val="nil"/>
              <w:left w:val="nil"/>
              <w:bottom w:val="nil"/>
              <w:right w:val="nil"/>
            </w:tcBorders>
            <w:shd w:val="clear" w:color="auto" w:fill="auto"/>
            <w:vAlign w:val="bottom"/>
            <w:hideMark/>
          </w:tcPr>
          <w:p w14:paraId="5B211191" w14:textId="51B70725" w:rsidR="0052627E" w:rsidRPr="003D1614" w:rsidRDefault="0052627E" w:rsidP="0052627E">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ožujka 202</w:t>
            </w:r>
            <w:r>
              <w:rPr>
                <w:rFonts w:ascii="Arial" w:eastAsia="Calibri" w:hAnsi="Arial" w:cs="Arial"/>
                <w:b/>
                <w:bCs/>
                <w:color w:val="000000" w:themeColor="text1"/>
                <w:sz w:val="18"/>
                <w:szCs w:val="18"/>
              </w:rPr>
              <w:t>4</w:t>
            </w:r>
            <w:r w:rsidRPr="003D1614">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1EABD5D3" w14:textId="60EBF667" w:rsidR="0052627E" w:rsidRPr="003D1614" w:rsidRDefault="0052627E" w:rsidP="0052627E">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206</w:t>
            </w:r>
          </w:p>
        </w:tc>
        <w:tc>
          <w:tcPr>
            <w:tcW w:w="1090" w:type="dxa"/>
            <w:tcBorders>
              <w:top w:val="single" w:sz="4" w:space="0" w:color="auto"/>
              <w:left w:val="nil"/>
              <w:bottom w:val="single" w:sz="12" w:space="0" w:color="auto"/>
              <w:right w:val="nil"/>
            </w:tcBorders>
            <w:shd w:val="clear" w:color="auto" w:fill="auto"/>
          </w:tcPr>
          <w:p w14:paraId="4136B394" w14:textId="1105C36E" w:rsidR="0052627E" w:rsidRPr="003D1614" w:rsidRDefault="0052627E" w:rsidP="0052627E">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tcPr>
          <w:p w14:paraId="6A9409E2" w14:textId="25271413" w:rsidR="0052627E" w:rsidRPr="003D1614" w:rsidRDefault="0052627E" w:rsidP="0052627E">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tcPr>
          <w:p w14:paraId="4C4C0A21" w14:textId="6739F0D2" w:rsidR="0052627E" w:rsidRPr="003D1614" w:rsidRDefault="0052627E" w:rsidP="0052627E">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1C2D6477" w14:textId="7A7C8236" w:rsidR="0052627E" w:rsidRPr="003D1614" w:rsidRDefault="0052627E" w:rsidP="0052627E">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206</w:t>
            </w:r>
          </w:p>
        </w:tc>
      </w:tr>
      <w:bookmarkEnd w:id="756"/>
    </w:tbl>
    <w:p w14:paraId="3C5F97FF" w14:textId="77777777" w:rsidR="00D92646" w:rsidRDefault="00D92646" w:rsidP="00D92646">
      <w:pPr>
        <w:suppressAutoHyphens/>
        <w:autoSpaceDN w:val="0"/>
        <w:rPr>
          <w:rFonts w:ascii="Arial" w:eastAsia="Calibri" w:hAnsi="Arial" w:cs="Arial"/>
          <w:color w:val="000000" w:themeColor="text1"/>
          <w:sz w:val="20"/>
          <w:szCs w:val="20"/>
        </w:rPr>
      </w:pPr>
    </w:p>
    <w:p w14:paraId="4B009D44" w14:textId="77777777" w:rsidR="002B4F5E" w:rsidRPr="003D1614" w:rsidRDefault="002B4F5E" w:rsidP="00D92646">
      <w:pPr>
        <w:suppressAutoHyphens/>
        <w:autoSpaceDN w:val="0"/>
        <w:rPr>
          <w:rFonts w:ascii="Arial" w:eastAsia="Calibri" w:hAnsi="Arial" w:cs="Arial"/>
          <w:color w:val="000000" w:themeColor="text1"/>
          <w:sz w:val="20"/>
          <w:szCs w:val="20"/>
        </w:rPr>
      </w:pPr>
    </w:p>
    <w:p w14:paraId="5EA326B5" w14:textId="1F620ED2" w:rsidR="00D92646" w:rsidRPr="003D1614" w:rsidRDefault="00D92646" w:rsidP="001A0FCB">
      <w:pPr>
        <w:suppressAutoHyphens/>
        <w:autoSpaceDN w:val="0"/>
        <w:jc w:val="both"/>
        <w:rPr>
          <w:rFonts w:ascii="Arial" w:eastAsia="Times New Roman" w:hAnsi="Arial" w:cs="Arial"/>
          <w:color w:val="000000" w:themeColor="text1"/>
          <w:sz w:val="20"/>
          <w:szCs w:val="20"/>
        </w:rPr>
      </w:pPr>
    </w:p>
    <w:tbl>
      <w:tblPr>
        <w:tblW w:w="9381" w:type="dxa"/>
        <w:tblInd w:w="-142" w:type="dxa"/>
        <w:tblLook w:val="04A0" w:firstRow="1" w:lastRow="0" w:firstColumn="1" w:lastColumn="0" w:noHBand="0" w:noVBand="1"/>
      </w:tblPr>
      <w:tblGrid>
        <w:gridCol w:w="3931"/>
        <w:gridCol w:w="1090"/>
        <w:gridCol w:w="1090"/>
        <w:gridCol w:w="1090"/>
        <w:gridCol w:w="1090"/>
        <w:gridCol w:w="1090"/>
      </w:tblGrid>
      <w:tr w:rsidR="002B4F5E" w:rsidRPr="001B015B" w14:paraId="3A9B3D28" w14:textId="77777777" w:rsidTr="00CA7F04">
        <w:trPr>
          <w:trHeight w:val="164"/>
        </w:trPr>
        <w:tc>
          <w:tcPr>
            <w:tcW w:w="3931" w:type="dxa"/>
            <w:tcBorders>
              <w:top w:val="nil"/>
              <w:left w:val="nil"/>
              <w:bottom w:val="nil"/>
              <w:right w:val="nil"/>
            </w:tcBorders>
            <w:shd w:val="clear" w:color="auto" w:fill="auto"/>
            <w:vAlign w:val="center"/>
          </w:tcPr>
          <w:p w14:paraId="094D0645" w14:textId="77777777" w:rsidR="002B4F5E" w:rsidRPr="001B015B" w:rsidRDefault="002B4F5E" w:rsidP="00CA7F04">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Banka</w:t>
            </w:r>
          </w:p>
        </w:tc>
        <w:tc>
          <w:tcPr>
            <w:tcW w:w="1090" w:type="dxa"/>
            <w:tcBorders>
              <w:top w:val="nil"/>
              <w:left w:val="nil"/>
              <w:bottom w:val="nil"/>
              <w:right w:val="nil"/>
            </w:tcBorders>
            <w:shd w:val="clear" w:color="auto" w:fill="auto"/>
            <w:vAlign w:val="center"/>
          </w:tcPr>
          <w:p w14:paraId="6AF63132" w14:textId="77777777" w:rsidR="002B4F5E" w:rsidRPr="001B015B" w:rsidRDefault="002B4F5E" w:rsidP="00CA7F04">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01CA4AD9" w14:textId="77777777" w:rsidR="002B4F5E" w:rsidRPr="001B015B" w:rsidRDefault="002B4F5E" w:rsidP="00CA7F04">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48A607BA" w14:textId="77777777" w:rsidR="002B4F5E" w:rsidRPr="001B015B" w:rsidRDefault="002B4F5E" w:rsidP="00CA7F04">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24833A73" w14:textId="77777777" w:rsidR="002B4F5E" w:rsidRPr="001B015B" w:rsidRDefault="002B4F5E" w:rsidP="00CA7F04">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59660A05" w14:textId="4308D0A7" w:rsidR="002B4F5E" w:rsidRPr="001B015B" w:rsidRDefault="002B4F5E" w:rsidP="00CA7F04">
            <w:pPr>
              <w:jc w:val="right"/>
              <w:rPr>
                <w:rFonts w:ascii="Arial" w:eastAsia="Calibri" w:hAnsi="Arial" w:cs="Arial"/>
                <w:b/>
                <w:bCs/>
                <w:color w:val="000000" w:themeColor="text1"/>
                <w:sz w:val="18"/>
                <w:szCs w:val="18"/>
              </w:rPr>
            </w:pPr>
          </w:p>
        </w:tc>
      </w:tr>
      <w:tr w:rsidR="002B4F5E" w:rsidRPr="001B015B" w14:paraId="2FF223E4" w14:textId="77777777" w:rsidTr="00CA7F04">
        <w:trPr>
          <w:trHeight w:val="164"/>
        </w:trPr>
        <w:tc>
          <w:tcPr>
            <w:tcW w:w="3931" w:type="dxa"/>
            <w:tcBorders>
              <w:top w:val="nil"/>
              <w:left w:val="nil"/>
              <w:bottom w:val="nil"/>
              <w:right w:val="nil"/>
            </w:tcBorders>
            <w:shd w:val="clear" w:color="auto" w:fill="auto"/>
            <w:vAlign w:val="center"/>
            <w:hideMark/>
          </w:tcPr>
          <w:p w14:paraId="7085EB1D" w14:textId="77777777" w:rsidR="002B4F5E" w:rsidRPr="001B015B" w:rsidRDefault="002B4F5E" w:rsidP="00CA7F04">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31. prosinca 202</w:t>
            </w:r>
            <w:r>
              <w:rPr>
                <w:rFonts w:ascii="Arial" w:eastAsia="Calibri" w:hAnsi="Arial" w:cs="Arial"/>
                <w:b/>
                <w:bCs/>
                <w:color w:val="000000" w:themeColor="text1"/>
                <w:sz w:val="18"/>
                <w:szCs w:val="18"/>
              </w:rPr>
              <w:t>3</w:t>
            </w:r>
            <w:r w:rsidRPr="001B015B">
              <w:rPr>
                <w:rFonts w:ascii="Arial" w:eastAsia="Calibri" w:hAnsi="Arial" w:cs="Arial"/>
                <w:b/>
                <w:bCs/>
                <w:color w:val="000000" w:themeColor="text1"/>
                <w:sz w:val="18"/>
                <w:szCs w:val="18"/>
              </w:rPr>
              <w:t>.</w:t>
            </w:r>
          </w:p>
        </w:tc>
        <w:tc>
          <w:tcPr>
            <w:tcW w:w="1090" w:type="dxa"/>
            <w:tcBorders>
              <w:top w:val="nil"/>
              <w:left w:val="nil"/>
              <w:bottom w:val="nil"/>
              <w:right w:val="nil"/>
            </w:tcBorders>
            <w:shd w:val="clear" w:color="auto" w:fill="auto"/>
            <w:vAlign w:val="center"/>
            <w:hideMark/>
          </w:tcPr>
          <w:p w14:paraId="5C99B198" w14:textId="77777777" w:rsidR="002B4F5E" w:rsidRPr="001B015B" w:rsidRDefault="002B4F5E"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1</w:t>
            </w:r>
          </w:p>
        </w:tc>
        <w:tc>
          <w:tcPr>
            <w:tcW w:w="1090" w:type="dxa"/>
            <w:tcBorders>
              <w:top w:val="nil"/>
              <w:left w:val="nil"/>
              <w:bottom w:val="nil"/>
              <w:right w:val="nil"/>
            </w:tcBorders>
            <w:shd w:val="clear" w:color="auto" w:fill="auto"/>
            <w:vAlign w:val="center"/>
            <w:hideMark/>
          </w:tcPr>
          <w:p w14:paraId="0F3EEA04" w14:textId="77777777" w:rsidR="002B4F5E" w:rsidRPr="001B015B" w:rsidRDefault="002B4F5E"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2</w:t>
            </w:r>
          </w:p>
        </w:tc>
        <w:tc>
          <w:tcPr>
            <w:tcW w:w="1090" w:type="dxa"/>
            <w:tcBorders>
              <w:top w:val="nil"/>
              <w:left w:val="nil"/>
              <w:bottom w:val="nil"/>
              <w:right w:val="nil"/>
            </w:tcBorders>
            <w:shd w:val="clear" w:color="auto" w:fill="auto"/>
            <w:vAlign w:val="center"/>
            <w:hideMark/>
          </w:tcPr>
          <w:p w14:paraId="7BA44E1A" w14:textId="77777777" w:rsidR="002B4F5E" w:rsidRPr="001B015B" w:rsidRDefault="002B4F5E"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3</w:t>
            </w:r>
          </w:p>
        </w:tc>
        <w:tc>
          <w:tcPr>
            <w:tcW w:w="1090" w:type="dxa"/>
            <w:tcBorders>
              <w:top w:val="nil"/>
              <w:left w:val="nil"/>
              <w:bottom w:val="nil"/>
              <w:right w:val="nil"/>
            </w:tcBorders>
            <w:shd w:val="clear" w:color="auto" w:fill="auto"/>
            <w:vAlign w:val="center"/>
            <w:hideMark/>
          </w:tcPr>
          <w:p w14:paraId="6955338E" w14:textId="77777777" w:rsidR="002B4F5E" w:rsidRPr="001B015B" w:rsidRDefault="002B4F5E"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POCI</w:t>
            </w:r>
          </w:p>
        </w:tc>
        <w:tc>
          <w:tcPr>
            <w:tcW w:w="1090" w:type="dxa"/>
            <w:tcBorders>
              <w:top w:val="nil"/>
              <w:left w:val="nil"/>
              <w:bottom w:val="nil"/>
              <w:right w:val="nil"/>
            </w:tcBorders>
            <w:shd w:val="clear" w:color="auto" w:fill="auto"/>
            <w:vAlign w:val="center"/>
            <w:hideMark/>
          </w:tcPr>
          <w:p w14:paraId="04A7AF06" w14:textId="77777777" w:rsidR="002B4F5E" w:rsidRPr="001B015B" w:rsidRDefault="002B4F5E"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Ukupno</w:t>
            </w:r>
          </w:p>
        </w:tc>
      </w:tr>
      <w:tr w:rsidR="002B4F5E" w:rsidRPr="001B015B" w14:paraId="75B7F762" w14:textId="77777777" w:rsidTr="00CA7F04">
        <w:trPr>
          <w:trHeight w:val="164"/>
        </w:trPr>
        <w:tc>
          <w:tcPr>
            <w:tcW w:w="3931" w:type="dxa"/>
            <w:tcBorders>
              <w:top w:val="nil"/>
              <w:left w:val="nil"/>
              <w:bottom w:val="nil"/>
              <w:right w:val="nil"/>
            </w:tcBorders>
            <w:shd w:val="clear" w:color="auto" w:fill="auto"/>
            <w:vAlign w:val="center"/>
            <w:hideMark/>
          </w:tcPr>
          <w:p w14:paraId="7757A9D5" w14:textId="77777777" w:rsidR="002B4F5E" w:rsidRPr="001B015B" w:rsidRDefault="002B4F5E" w:rsidP="00CA7F04">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bottom"/>
            <w:hideMark/>
          </w:tcPr>
          <w:p w14:paraId="791B3F92" w14:textId="77777777" w:rsidR="002B4F5E" w:rsidRPr="001B015B" w:rsidRDefault="002B4F5E" w:rsidP="00CA7F04">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2562B329" w14:textId="77777777" w:rsidR="002B4F5E" w:rsidRPr="001B015B" w:rsidRDefault="002B4F5E" w:rsidP="00CA7F04">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567FEDC1" w14:textId="77777777" w:rsidR="002B4F5E" w:rsidRPr="001B015B" w:rsidRDefault="002B4F5E" w:rsidP="00CA7F04">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04D0F85B" w14:textId="77777777" w:rsidR="002B4F5E" w:rsidRPr="001B015B" w:rsidRDefault="002B4F5E" w:rsidP="00CA7F04">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90" w:type="dxa"/>
            <w:tcBorders>
              <w:top w:val="nil"/>
              <w:left w:val="nil"/>
              <w:bottom w:val="nil"/>
              <w:right w:val="nil"/>
            </w:tcBorders>
            <w:shd w:val="clear" w:color="auto" w:fill="auto"/>
            <w:vAlign w:val="bottom"/>
            <w:hideMark/>
          </w:tcPr>
          <w:p w14:paraId="5FD47C78" w14:textId="77777777" w:rsidR="002B4F5E" w:rsidRPr="001B015B" w:rsidRDefault="002B4F5E" w:rsidP="00CA7F04">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r>
      <w:tr w:rsidR="002B4F5E" w:rsidRPr="001B015B" w14:paraId="706E19E2" w14:textId="77777777" w:rsidTr="00CA7F04">
        <w:trPr>
          <w:trHeight w:val="164"/>
        </w:trPr>
        <w:tc>
          <w:tcPr>
            <w:tcW w:w="3931" w:type="dxa"/>
            <w:tcBorders>
              <w:top w:val="nil"/>
              <w:left w:val="nil"/>
              <w:bottom w:val="nil"/>
              <w:right w:val="nil"/>
            </w:tcBorders>
            <w:shd w:val="clear" w:color="auto" w:fill="auto"/>
            <w:vAlign w:val="center"/>
          </w:tcPr>
          <w:p w14:paraId="2D9A6B1B" w14:textId="77777777" w:rsidR="002B4F5E" w:rsidRPr="001B015B" w:rsidRDefault="002B4F5E" w:rsidP="00CA7F04">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180BB211" w14:textId="77777777" w:rsidR="002B4F5E" w:rsidRPr="001B015B" w:rsidRDefault="002B4F5E" w:rsidP="00CA7F04">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13BB060D" w14:textId="77777777" w:rsidR="002B4F5E" w:rsidRPr="001B015B" w:rsidRDefault="002B4F5E" w:rsidP="00CA7F04">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08E3EC54" w14:textId="77777777" w:rsidR="002B4F5E" w:rsidRPr="001B015B" w:rsidRDefault="002B4F5E" w:rsidP="00CA7F04">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2AEE108F" w14:textId="77777777" w:rsidR="002B4F5E" w:rsidRPr="001B015B" w:rsidRDefault="002B4F5E" w:rsidP="00CA7F04">
            <w:pPr>
              <w:jc w:val="right"/>
              <w:rPr>
                <w:rFonts w:ascii="Arial" w:eastAsia="Calibri" w:hAnsi="Arial" w:cs="Arial"/>
                <w:b/>
                <w:bCs/>
                <w:color w:val="000000" w:themeColor="text1"/>
                <w:sz w:val="18"/>
                <w:szCs w:val="18"/>
              </w:rPr>
            </w:pPr>
          </w:p>
        </w:tc>
        <w:tc>
          <w:tcPr>
            <w:tcW w:w="1090" w:type="dxa"/>
            <w:tcBorders>
              <w:top w:val="nil"/>
              <w:left w:val="nil"/>
              <w:bottom w:val="nil"/>
              <w:right w:val="nil"/>
            </w:tcBorders>
            <w:shd w:val="clear" w:color="auto" w:fill="auto"/>
            <w:vAlign w:val="center"/>
          </w:tcPr>
          <w:p w14:paraId="09FE00B7" w14:textId="77777777" w:rsidR="002B4F5E" w:rsidRPr="001B015B" w:rsidRDefault="002B4F5E" w:rsidP="00CA7F04">
            <w:pPr>
              <w:jc w:val="right"/>
              <w:rPr>
                <w:rFonts w:ascii="Arial" w:eastAsia="Calibri" w:hAnsi="Arial" w:cs="Arial"/>
                <w:b/>
                <w:bCs/>
                <w:color w:val="000000" w:themeColor="text1"/>
                <w:sz w:val="18"/>
                <w:szCs w:val="18"/>
              </w:rPr>
            </w:pPr>
          </w:p>
        </w:tc>
      </w:tr>
      <w:tr w:rsidR="002B4F5E" w:rsidRPr="001B015B" w14:paraId="4ECBB361" w14:textId="77777777" w:rsidTr="00CA7F04">
        <w:trPr>
          <w:trHeight w:val="164"/>
        </w:trPr>
        <w:tc>
          <w:tcPr>
            <w:tcW w:w="3931" w:type="dxa"/>
            <w:tcBorders>
              <w:top w:val="nil"/>
              <w:left w:val="nil"/>
              <w:bottom w:val="nil"/>
              <w:right w:val="nil"/>
            </w:tcBorders>
            <w:shd w:val="clear" w:color="auto" w:fill="auto"/>
            <w:vAlign w:val="center"/>
            <w:hideMark/>
          </w:tcPr>
          <w:p w14:paraId="4AE3F627" w14:textId="77777777" w:rsidR="002B4F5E" w:rsidRPr="001B015B" w:rsidRDefault="002B4F5E"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3</w:t>
            </w:r>
            <w:r w:rsidRPr="001B015B">
              <w:rPr>
                <w:rFonts w:ascii="Arial" w:eastAsia="Calibri" w:hAnsi="Arial" w:cs="Arial"/>
                <w:color w:val="000000" w:themeColor="text1"/>
                <w:sz w:val="18"/>
                <w:szCs w:val="18"/>
              </w:rPr>
              <w:t xml:space="preserve">. </w:t>
            </w:r>
          </w:p>
        </w:tc>
        <w:tc>
          <w:tcPr>
            <w:tcW w:w="1090" w:type="dxa"/>
            <w:shd w:val="clear" w:color="auto" w:fill="auto"/>
            <w:vAlign w:val="bottom"/>
          </w:tcPr>
          <w:p w14:paraId="2667042C" w14:textId="77777777" w:rsidR="002B4F5E" w:rsidRPr="001B015B" w:rsidRDefault="002B4F5E" w:rsidP="00CA7F04">
            <w:pPr>
              <w:jc w:val="right"/>
              <w:rPr>
                <w:rFonts w:ascii="Arial" w:eastAsia="Calibri" w:hAnsi="Arial" w:cs="Arial"/>
                <w:color w:val="000000" w:themeColor="text1"/>
                <w:sz w:val="18"/>
                <w:szCs w:val="18"/>
              </w:rPr>
            </w:pPr>
            <w:r>
              <w:rPr>
                <w:rFonts w:ascii="Arial" w:hAnsi="Arial" w:cs="Arial"/>
                <w:sz w:val="18"/>
                <w:szCs w:val="18"/>
              </w:rPr>
              <w:t>-</w:t>
            </w:r>
            <w:r w:rsidRPr="004770C0">
              <w:rPr>
                <w:rFonts w:ascii="Arial" w:hAnsi="Arial" w:cs="Arial"/>
                <w:sz w:val="18"/>
                <w:szCs w:val="18"/>
              </w:rPr>
              <w:t xml:space="preserve">    </w:t>
            </w:r>
          </w:p>
        </w:tc>
        <w:tc>
          <w:tcPr>
            <w:tcW w:w="1090" w:type="dxa"/>
            <w:shd w:val="clear" w:color="auto" w:fill="auto"/>
            <w:vAlign w:val="bottom"/>
          </w:tcPr>
          <w:p w14:paraId="5917C2D5" w14:textId="77777777" w:rsidR="002B4F5E" w:rsidRPr="001B015B" w:rsidRDefault="002B4F5E" w:rsidP="00CA7F04">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shd w:val="clear" w:color="auto" w:fill="auto"/>
            <w:vAlign w:val="bottom"/>
          </w:tcPr>
          <w:p w14:paraId="7F9A3DB7" w14:textId="77777777" w:rsidR="002B4F5E" w:rsidRPr="001B015B" w:rsidRDefault="002B4F5E" w:rsidP="00CA7F04">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shd w:val="clear" w:color="auto" w:fill="auto"/>
            <w:vAlign w:val="bottom"/>
          </w:tcPr>
          <w:p w14:paraId="5B3E9B9A" w14:textId="77777777" w:rsidR="002B4F5E" w:rsidRPr="001B015B" w:rsidRDefault="002B4F5E" w:rsidP="00CA7F04">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shd w:val="clear" w:color="auto" w:fill="auto"/>
            <w:vAlign w:val="bottom"/>
          </w:tcPr>
          <w:p w14:paraId="0BE4422F" w14:textId="77777777" w:rsidR="002B4F5E" w:rsidRPr="005D1219" w:rsidRDefault="002B4F5E" w:rsidP="00CA7F04">
            <w:pPr>
              <w:jc w:val="right"/>
              <w:rPr>
                <w:rFonts w:ascii="Arial" w:eastAsia="Calibri" w:hAnsi="Arial" w:cs="Arial"/>
                <w:b/>
                <w:bCs/>
                <w:color w:val="000000" w:themeColor="text1"/>
                <w:sz w:val="18"/>
                <w:szCs w:val="18"/>
              </w:rPr>
            </w:pPr>
            <w:r w:rsidRPr="005D1219">
              <w:rPr>
                <w:rFonts w:ascii="Arial" w:hAnsi="Arial" w:cs="Arial"/>
                <w:b/>
                <w:bCs/>
                <w:sz w:val="18"/>
                <w:szCs w:val="18"/>
              </w:rPr>
              <w:t>-</w:t>
            </w:r>
          </w:p>
        </w:tc>
      </w:tr>
      <w:tr w:rsidR="002B4F5E" w:rsidRPr="001B015B" w14:paraId="4EE03847" w14:textId="77777777" w:rsidTr="00CA7F04">
        <w:trPr>
          <w:trHeight w:val="164"/>
        </w:trPr>
        <w:tc>
          <w:tcPr>
            <w:tcW w:w="3931" w:type="dxa"/>
            <w:tcBorders>
              <w:top w:val="nil"/>
              <w:left w:val="nil"/>
              <w:bottom w:val="nil"/>
              <w:right w:val="nil"/>
            </w:tcBorders>
            <w:shd w:val="clear" w:color="auto" w:fill="auto"/>
            <w:hideMark/>
          </w:tcPr>
          <w:p w14:paraId="77AD73D1" w14:textId="77777777" w:rsidR="002B4F5E" w:rsidRPr="001B015B" w:rsidRDefault="002B4F5E"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1</w:t>
            </w:r>
          </w:p>
        </w:tc>
        <w:tc>
          <w:tcPr>
            <w:tcW w:w="1090" w:type="dxa"/>
            <w:tcBorders>
              <w:top w:val="nil"/>
              <w:left w:val="nil"/>
              <w:right w:val="nil"/>
            </w:tcBorders>
            <w:shd w:val="clear" w:color="auto" w:fill="auto"/>
            <w:vAlign w:val="bottom"/>
          </w:tcPr>
          <w:p w14:paraId="54410220" w14:textId="77777777" w:rsidR="002B4F5E" w:rsidRPr="001B015B" w:rsidRDefault="002B4F5E" w:rsidP="00CA7F04">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tcBorders>
              <w:top w:val="nil"/>
              <w:left w:val="nil"/>
              <w:right w:val="nil"/>
            </w:tcBorders>
            <w:shd w:val="clear" w:color="auto" w:fill="auto"/>
            <w:vAlign w:val="bottom"/>
          </w:tcPr>
          <w:p w14:paraId="5CFB605D" w14:textId="77777777" w:rsidR="002B4F5E" w:rsidRPr="001B015B" w:rsidRDefault="002B4F5E" w:rsidP="00CA7F04">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tcBorders>
              <w:top w:val="nil"/>
              <w:left w:val="nil"/>
              <w:right w:val="nil"/>
            </w:tcBorders>
            <w:shd w:val="clear" w:color="auto" w:fill="auto"/>
            <w:vAlign w:val="bottom"/>
          </w:tcPr>
          <w:p w14:paraId="32ACA85A" w14:textId="77777777" w:rsidR="002B4F5E" w:rsidRPr="001B015B" w:rsidRDefault="002B4F5E" w:rsidP="00CA7F04">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tcBorders>
              <w:top w:val="nil"/>
              <w:left w:val="nil"/>
              <w:right w:val="nil"/>
            </w:tcBorders>
            <w:shd w:val="clear" w:color="auto" w:fill="auto"/>
            <w:vAlign w:val="bottom"/>
          </w:tcPr>
          <w:p w14:paraId="24C352FF" w14:textId="77777777" w:rsidR="002B4F5E" w:rsidRPr="001B015B" w:rsidRDefault="002B4F5E" w:rsidP="00CA7F04">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tcBorders>
              <w:top w:val="nil"/>
              <w:left w:val="nil"/>
              <w:right w:val="nil"/>
            </w:tcBorders>
            <w:shd w:val="clear" w:color="auto" w:fill="auto"/>
            <w:vAlign w:val="bottom"/>
          </w:tcPr>
          <w:p w14:paraId="7453D35B" w14:textId="77777777" w:rsidR="002B4F5E" w:rsidRPr="005D1219" w:rsidRDefault="002B4F5E" w:rsidP="00CA7F04">
            <w:pPr>
              <w:jc w:val="right"/>
              <w:rPr>
                <w:rFonts w:ascii="Arial" w:eastAsia="Calibri" w:hAnsi="Arial" w:cs="Arial"/>
                <w:b/>
                <w:bCs/>
                <w:color w:val="000000" w:themeColor="text1"/>
                <w:sz w:val="18"/>
                <w:szCs w:val="18"/>
              </w:rPr>
            </w:pPr>
            <w:r w:rsidRPr="005D1219">
              <w:rPr>
                <w:rFonts w:ascii="Arial" w:hAnsi="Arial" w:cs="Arial"/>
                <w:b/>
                <w:bCs/>
                <w:sz w:val="18"/>
                <w:szCs w:val="18"/>
              </w:rPr>
              <w:t xml:space="preserve"> -    </w:t>
            </w:r>
          </w:p>
        </w:tc>
      </w:tr>
      <w:tr w:rsidR="002B4F5E" w:rsidRPr="001B015B" w14:paraId="02239484" w14:textId="77777777" w:rsidTr="00CA7F04">
        <w:trPr>
          <w:trHeight w:val="164"/>
        </w:trPr>
        <w:tc>
          <w:tcPr>
            <w:tcW w:w="3931" w:type="dxa"/>
            <w:tcBorders>
              <w:top w:val="nil"/>
              <w:left w:val="nil"/>
              <w:bottom w:val="nil"/>
              <w:right w:val="nil"/>
            </w:tcBorders>
            <w:shd w:val="clear" w:color="auto" w:fill="auto"/>
          </w:tcPr>
          <w:p w14:paraId="0ADBDD21" w14:textId="77777777" w:rsidR="002B4F5E" w:rsidRPr="001B015B" w:rsidRDefault="002B4F5E"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2</w:t>
            </w:r>
          </w:p>
        </w:tc>
        <w:tc>
          <w:tcPr>
            <w:tcW w:w="1090" w:type="dxa"/>
            <w:tcBorders>
              <w:top w:val="nil"/>
              <w:left w:val="nil"/>
              <w:right w:val="nil"/>
            </w:tcBorders>
            <w:shd w:val="clear" w:color="auto" w:fill="auto"/>
            <w:vAlign w:val="bottom"/>
          </w:tcPr>
          <w:p w14:paraId="2FBEEC98" w14:textId="77777777" w:rsidR="002B4F5E" w:rsidRPr="001B015B" w:rsidRDefault="002B4F5E" w:rsidP="00CA7F04">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tcBorders>
              <w:top w:val="nil"/>
              <w:left w:val="nil"/>
              <w:right w:val="nil"/>
            </w:tcBorders>
            <w:shd w:val="clear" w:color="auto" w:fill="auto"/>
            <w:vAlign w:val="bottom"/>
          </w:tcPr>
          <w:p w14:paraId="4A874023" w14:textId="77777777" w:rsidR="002B4F5E" w:rsidRPr="001B015B" w:rsidRDefault="002B4F5E" w:rsidP="00CA7F04">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tcBorders>
              <w:top w:val="nil"/>
              <w:left w:val="nil"/>
              <w:right w:val="nil"/>
            </w:tcBorders>
            <w:shd w:val="clear" w:color="auto" w:fill="auto"/>
            <w:vAlign w:val="bottom"/>
          </w:tcPr>
          <w:p w14:paraId="41B44C0B" w14:textId="77777777" w:rsidR="002B4F5E" w:rsidRPr="001B015B" w:rsidRDefault="002B4F5E" w:rsidP="00CA7F04">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tcBorders>
              <w:top w:val="nil"/>
              <w:left w:val="nil"/>
              <w:right w:val="nil"/>
            </w:tcBorders>
            <w:shd w:val="clear" w:color="auto" w:fill="auto"/>
            <w:vAlign w:val="bottom"/>
          </w:tcPr>
          <w:p w14:paraId="3CD606DB" w14:textId="77777777" w:rsidR="002B4F5E" w:rsidRPr="001B015B" w:rsidRDefault="002B4F5E" w:rsidP="00CA7F04">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tcBorders>
              <w:top w:val="nil"/>
              <w:left w:val="nil"/>
              <w:right w:val="nil"/>
            </w:tcBorders>
            <w:shd w:val="clear" w:color="auto" w:fill="auto"/>
            <w:vAlign w:val="bottom"/>
          </w:tcPr>
          <w:p w14:paraId="79D1D69F" w14:textId="77777777" w:rsidR="002B4F5E" w:rsidRPr="005D1219" w:rsidRDefault="002B4F5E" w:rsidP="00CA7F04">
            <w:pPr>
              <w:jc w:val="right"/>
              <w:rPr>
                <w:rFonts w:ascii="Arial" w:eastAsia="Calibri" w:hAnsi="Arial" w:cs="Arial"/>
                <w:b/>
                <w:bCs/>
                <w:color w:val="000000" w:themeColor="text1"/>
                <w:sz w:val="18"/>
                <w:szCs w:val="18"/>
              </w:rPr>
            </w:pPr>
            <w:r w:rsidRPr="005D1219">
              <w:rPr>
                <w:rFonts w:ascii="Arial" w:hAnsi="Arial" w:cs="Arial"/>
                <w:b/>
                <w:bCs/>
                <w:sz w:val="18"/>
                <w:szCs w:val="18"/>
              </w:rPr>
              <w:t xml:space="preserve"> -    </w:t>
            </w:r>
          </w:p>
        </w:tc>
      </w:tr>
      <w:tr w:rsidR="002B4F5E" w:rsidRPr="001B015B" w14:paraId="5FBBA740" w14:textId="77777777" w:rsidTr="00CA7F04">
        <w:trPr>
          <w:trHeight w:val="164"/>
        </w:trPr>
        <w:tc>
          <w:tcPr>
            <w:tcW w:w="3931" w:type="dxa"/>
            <w:tcBorders>
              <w:top w:val="nil"/>
              <w:left w:val="nil"/>
              <w:bottom w:val="nil"/>
              <w:right w:val="nil"/>
            </w:tcBorders>
            <w:shd w:val="clear" w:color="auto" w:fill="auto"/>
          </w:tcPr>
          <w:p w14:paraId="2A053E15" w14:textId="77777777" w:rsidR="002B4F5E" w:rsidRPr="001B015B" w:rsidRDefault="002B4F5E"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3</w:t>
            </w:r>
          </w:p>
        </w:tc>
        <w:tc>
          <w:tcPr>
            <w:tcW w:w="1090" w:type="dxa"/>
            <w:shd w:val="clear" w:color="auto" w:fill="auto"/>
            <w:vAlign w:val="bottom"/>
          </w:tcPr>
          <w:p w14:paraId="262B72F7" w14:textId="77777777" w:rsidR="002B4F5E" w:rsidRPr="001B015B" w:rsidRDefault="002B4F5E" w:rsidP="00CA7F04">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shd w:val="clear" w:color="auto" w:fill="auto"/>
            <w:vAlign w:val="bottom"/>
          </w:tcPr>
          <w:p w14:paraId="6BE63536" w14:textId="77777777" w:rsidR="002B4F5E" w:rsidRPr="001B015B" w:rsidRDefault="002B4F5E" w:rsidP="00CA7F04">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shd w:val="clear" w:color="auto" w:fill="auto"/>
            <w:vAlign w:val="bottom"/>
          </w:tcPr>
          <w:p w14:paraId="79943D64" w14:textId="77777777" w:rsidR="002B4F5E" w:rsidRPr="001B015B" w:rsidRDefault="002B4F5E" w:rsidP="00CA7F04">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shd w:val="clear" w:color="auto" w:fill="auto"/>
            <w:vAlign w:val="bottom"/>
          </w:tcPr>
          <w:p w14:paraId="4704315E" w14:textId="77777777" w:rsidR="002B4F5E" w:rsidRPr="001B015B" w:rsidRDefault="002B4F5E" w:rsidP="00CA7F04">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shd w:val="clear" w:color="auto" w:fill="auto"/>
            <w:vAlign w:val="bottom"/>
          </w:tcPr>
          <w:p w14:paraId="06E6CFB9" w14:textId="77777777" w:rsidR="002B4F5E" w:rsidRPr="005D1219" w:rsidRDefault="002B4F5E" w:rsidP="00CA7F04">
            <w:pPr>
              <w:jc w:val="right"/>
              <w:rPr>
                <w:rFonts w:ascii="Arial" w:eastAsia="Calibri" w:hAnsi="Arial" w:cs="Arial"/>
                <w:b/>
                <w:bCs/>
                <w:color w:val="000000" w:themeColor="text1"/>
                <w:sz w:val="18"/>
                <w:szCs w:val="18"/>
              </w:rPr>
            </w:pPr>
            <w:r w:rsidRPr="005D1219">
              <w:rPr>
                <w:rFonts w:ascii="Arial" w:hAnsi="Arial" w:cs="Arial"/>
                <w:b/>
                <w:bCs/>
                <w:sz w:val="18"/>
                <w:szCs w:val="18"/>
              </w:rPr>
              <w:t xml:space="preserve"> -    </w:t>
            </w:r>
          </w:p>
        </w:tc>
      </w:tr>
      <w:tr w:rsidR="002B4F5E" w:rsidRPr="001B015B" w14:paraId="164A80FF" w14:textId="77777777" w:rsidTr="00CA7F04">
        <w:trPr>
          <w:trHeight w:val="204"/>
        </w:trPr>
        <w:tc>
          <w:tcPr>
            <w:tcW w:w="3931" w:type="dxa"/>
            <w:tcBorders>
              <w:top w:val="nil"/>
              <w:left w:val="nil"/>
              <w:bottom w:val="nil"/>
              <w:right w:val="nil"/>
            </w:tcBorders>
            <w:shd w:val="clear" w:color="auto" w:fill="auto"/>
            <w:vAlign w:val="center"/>
            <w:hideMark/>
          </w:tcPr>
          <w:p w14:paraId="3D0C212F" w14:textId="77777777" w:rsidR="002B4F5E" w:rsidRPr="001B015B" w:rsidRDefault="002B4F5E"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 xml:space="preserve">Neto </w:t>
            </w:r>
            <w:r>
              <w:rPr>
                <w:rFonts w:ascii="Arial" w:eastAsia="Calibri" w:hAnsi="Arial" w:cs="Arial"/>
                <w:color w:val="000000" w:themeColor="text1"/>
                <w:sz w:val="18"/>
                <w:szCs w:val="18"/>
              </w:rPr>
              <w:t>povećanje</w:t>
            </w:r>
            <w:r w:rsidRPr="001B015B">
              <w:rPr>
                <w:rFonts w:ascii="Arial" w:eastAsia="Calibri" w:hAnsi="Arial" w:cs="Arial"/>
                <w:color w:val="000000" w:themeColor="text1"/>
                <w:sz w:val="18"/>
                <w:szCs w:val="18"/>
              </w:rPr>
              <w:t xml:space="preserve"> rezerviranja za očekivane gubitke </w:t>
            </w:r>
          </w:p>
        </w:tc>
        <w:tc>
          <w:tcPr>
            <w:tcW w:w="1090" w:type="dxa"/>
            <w:tcBorders>
              <w:top w:val="nil"/>
              <w:left w:val="nil"/>
              <w:right w:val="nil"/>
            </w:tcBorders>
            <w:shd w:val="clear" w:color="auto" w:fill="auto"/>
            <w:vAlign w:val="bottom"/>
          </w:tcPr>
          <w:p w14:paraId="1561E73C" w14:textId="77777777" w:rsidR="002B4F5E" w:rsidRPr="001B015B" w:rsidRDefault="002B4F5E" w:rsidP="00CA7F04">
            <w:pPr>
              <w:jc w:val="right"/>
              <w:rPr>
                <w:rFonts w:ascii="Arial" w:eastAsia="Calibri" w:hAnsi="Arial" w:cs="Arial"/>
                <w:color w:val="000000" w:themeColor="text1"/>
                <w:sz w:val="18"/>
                <w:szCs w:val="18"/>
              </w:rPr>
            </w:pPr>
            <w:r>
              <w:rPr>
                <w:rFonts w:ascii="Arial" w:hAnsi="Arial" w:cs="Arial"/>
                <w:sz w:val="18"/>
                <w:szCs w:val="18"/>
              </w:rPr>
              <w:t>218</w:t>
            </w:r>
          </w:p>
        </w:tc>
        <w:tc>
          <w:tcPr>
            <w:tcW w:w="1090" w:type="dxa"/>
            <w:tcBorders>
              <w:top w:val="nil"/>
              <w:left w:val="nil"/>
              <w:right w:val="nil"/>
            </w:tcBorders>
            <w:shd w:val="clear" w:color="auto" w:fill="auto"/>
            <w:vAlign w:val="bottom"/>
          </w:tcPr>
          <w:p w14:paraId="67F0B67F" w14:textId="77777777" w:rsidR="002B4F5E" w:rsidRPr="001B015B" w:rsidRDefault="002B4F5E" w:rsidP="00CA7F04">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tcBorders>
              <w:top w:val="nil"/>
              <w:left w:val="nil"/>
              <w:right w:val="nil"/>
            </w:tcBorders>
            <w:shd w:val="clear" w:color="auto" w:fill="auto"/>
            <w:vAlign w:val="bottom"/>
          </w:tcPr>
          <w:p w14:paraId="18960DD7" w14:textId="77777777" w:rsidR="002B4F5E" w:rsidRPr="001B015B" w:rsidRDefault="002B4F5E" w:rsidP="00CA7F04">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tcBorders>
              <w:top w:val="nil"/>
              <w:left w:val="nil"/>
              <w:right w:val="nil"/>
            </w:tcBorders>
            <w:shd w:val="clear" w:color="auto" w:fill="auto"/>
            <w:vAlign w:val="bottom"/>
          </w:tcPr>
          <w:p w14:paraId="4F9DB391" w14:textId="77777777" w:rsidR="002B4F5E" w:rsidRPr="001B015B" w:rsidRDefault="002B4F5E" w:rsidP="00CA7F04">
            <w:pPr>
              <w:jc w:val="right"/>
              <w:rPr>
                <w:rFonts w:ascii="Arial" w:eastAsia="Calibri" w:hAnsi="Arial" w:cs="Arial"/>
                <w:color w:val="000000" w:themeColor="text1"/>
                <w:sz w:val="18"/>
                <w:szCs w:val="18"/>
              </w:rPr>
            </w:pPr>
            <w:r w:rsidRPr="004770C0">
              <w:rPr>
                <w:rFonts w:ascii="Arial" w:hAnsi="Arial" w:cs="Arial"/>
                <w:sz w:val="18"/>
                <w:szCs w:val="18"/>
              </w:rPr>
              <w:t xml:space="preserve"> -    </w:t>
            </w:r>
          </w:p>
        </w:tc>
        <w:tc>
          <w:tcPr>
            <w:tcW w:w="1090" w:type="dxa"/>
            <w:tcBorders>
              <w:top w:val="nil"/>
              <w:left w:val="nil"/>
              <w:right w:val="nil"/>
            </w:tcBorders>
            <w:shd w:val="clear" w:color="auto" w:fill="auto"/>
            <w:vAlign w:val="bottom"/>
          </w:tcPr>
          <w:p w14:paraId="6FFE9FEF" w14:textId="77777777" w:rsidR="002B4F5E" w:rsidRPr="005D1219" w:rsidRDefault="002B4F5E" w:rsidP="00CA7F04">
            <w:pPr>
              <w:jc w:val="right"/>
              <w:rPr>
                <w:rFonts w:ascii="Arial" w:eastAsia="Calibri" w:hAnsi="Arial" w:cs="Arial"/>
                <w:b/>
                <w:bCs/>
                <w:color w:val="000000" w:themeColor="text1"/>
                <w:sz w:val="18"/>
                <w:szCs w:val="18"/>
              </w:rPr>
            </w:pPr>
            <w:r w:rsidRPr="005D1219">
              <w:rPr>
                <w:rFonts w:ascii="Arial" w:hAnsi="Arial" w:cs="Arial"/>
                <w:b/>
                <w:bCs/>
                <w:sz w:val="18"/>
                <w:szCs w:val="18"/>
              </w:rPr>
              <w:t xml:space="preserve">218    </w:t>
            </w:r>
          </w:p>
        </w:tc>
      </w:tr>
      <w:tr w:rsidR="002B4F5E" w:rsidRPr="001B015B" w14:paraId="4F7F9C77" w14:textId="77777777" w:rsidTr="005D1219">
        <w:trPr>
          <w:trHeight w:val="242"/>
        </w:trPr>
        <w:tc>
          <w:tcPr>
            <w:tcW w:w="3931" w:type="dxa"/>
            <w:tcBorders>
              <w:top w:val="nil"/>
              <w:left w:val="nil"/>
              <w:bottom w:val="nil"/>
              <w:right w:val="nil"/>
            </w:tcBorders>
            <w:shd w:val="clear" w:color="auto" w:fill="auto"/>
            <w:vAlign w:val="bottom"/>
            <w:hideMark/>
          </w:tcPr>
          <w:p w14:paraId="3C70DAFE" w14:textId="77777777" w:rsidR="002B4F5E" w:rsidRPr="001B015B" w:rsidRDefault="002B4F5E" w:rsidP="00CA7F04">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Stanje 31. prosinca 202</w:t>
            </w:r>
            <w:r>
              <w:rPr>
                <w:rFonts w:ascii="Arial" w:eastAsia="Calibri" w:hAnsi="Arial" w:cs="Arial"/>
                <w:b/>
                <w:bCs/>
                <w:color w:val="000000" w:themeColor="text1"/>
                <w:sz w:val="18"/>
                <w:szCs w:val="18"/>
              </w:rPr>
              <w:t>3</w:t>
            </w:r>
            <w:r w:rsidRPr="001B015B">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508E1957" w14:textId="77777777" w:rsidR="002B4F5E" w:rsidRPr="001B015B" w:rsidRDefault="002B4F5E" w:rsidP="00CA7F04">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218</w:t>
            </w:r>
          </w:p>
        </w:tc>
        <w:tc>
          <w:tcPr>
            <w:tcW w:w="1090" w:type="dxa"/>
            <w:tcBorders>
              <w:top w:val="single" w:sz="4" w:space="0" w:color="auto"/>
              <w:left w:val="nil"/>
              <w:bottom w:val="single" w:sz="12" w:space="0" w:color="auto"/>
              <w:right w:val="nil"/>
            </w:tcBorders>
            <w:shd w:val="clear" w:color="auto" w:fill="auto"/>
            <w:vAlign w:val="bottom"/>
          </w:tcPr>
          <w:p w14:paraId="766EFAFD" w14:textId="77777777" w:rsidR="002B4F5E" w:rsidRPr="001B015B" w:rsidRDefault="002B4F5E" w:rsidP="00CA7F04">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1A9FBAB1" w14:textId="77777777" w:rsidR="002B4F5E" w:rsidRPr="001B015B" w:rsidRDefault="002B4F5E" w:rsidP="00CA7F04">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7CC9D8A9" w14:textId="77777777" w:rsidR="002B4F5E" w:rsidRPr="001B015B" w:rsidRDefault="002B4F5E" w:rsidP="00CA7F04">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w:t>
            </w:r>
          </w:p>
        </w:tc>
        <w:tc>
          <w:tcPr>
            <w:tcW w:w="1090" w:type="dxa"/>
            <w:tcBorders>
              <w:top w:val="single" w:sz="4" w:space="0" w:color="auto"/>
              <w:left w:val="nil"/>
              <w:bottom w:val="single" w:sz="12" w:space="0" w:color="auto"/>
              <w:right w:val="nil"/>
            </w:tcBorders>
            <w:shd w:val="clear" w:color="auto" w:fill="auto"/>
            <w:vAlign w:val="bottom"/>
          </w:tcPr>
          <w:p w14:paraId="6689CCB8" w14:textId="77777777" w:rsidR="002B4F5E" w:rsidRPr="001B015B" w:rsidRDefault="002B4F5E" w:rsidP="00CA7F04">
            <w:pPr>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218</w:t>
            </w:r>
          </w:p>
        </w:tc>
      </w:tr>
    </w:tbl>
    <w:p w14:paraId="0FDF5B05" w14:textId="3A01B4F1" w:rsidR="00D92646" w:rsidRPr="003D1614" w:rsidRDefault="00D92646" w:rsidP="001A0FCB">
      <w:pPr>
        <w:suppressAutoHyphens/>
        <w:autoSpaceDN w:val="0"/>
        <w:jc w:val="both"/>
        <w:rPr>
          <w:rFonts w:ascii="Arial" w:eastAsia="Times New Roman" w:hAnsi="Arial" w:cs="Arial"/>
          <w:color w:val="000000" w:themeColor="text1"/>
          <w:sz w:val="20"/>
          <w:szCs w:val="20"/>
        </w:rPr>
      </w:pPr>
    </w:p>
    <w:p w14:paraId="577C9783" w14:textId="77777777" w:rsidR="00D92646" w:rsidRPr="003D1614" w:rsidRDefault="00D92646" w:rsidP="001A0FCB">
      <w:pPr>
        <w:suppressAutoHyphens/>
        <w:autoSpaceDN w:val="0"/>
        <w:jc w:val="both"/>
        <w:rPr>
          <w:rFonts w:ascii="Arial" w:eastAsia="Times New Roman" w:hAnsi="Arial" w:cs="Arial"/>
          <w:color w:val="000000" w:themeColor="text1"/>
          <w:sz w:val="20"/>
          <w:szCs w:val="20"/>
        </w:rPr>
        <w:sectPr w:rsidR="00D92646" w:rsidRPr="003D1614" w:rsidSect="003278AB">
          <w:pgSz w:w="11906" w:h="16838"/>
          <w:pgMar w:top="1417" w:right="1417" w:bottom="1417" w:left="1417" w:header="708" w:footer="708" w:gutter="0"/>
          <w:cols w:space="708"/>
          <w:docGrid w:linePitch="360"/>
        </w:sectPr>
      </w:pPr>
    </w:p>
    <w:p w14:paraId="4379B1BB"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2EA42E93" w14:textId="08662D86"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6B9B767F"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461DCFB6" w14:textId="6D82942F"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00B6506A"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6D379712" w14:textId="77777777" w:rsidR="00D92646" w:rsidRPr="003D1614" w:rsidRDefault="00D92646" w:rsidP="00D92646">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08AB7FF6"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3658A71B"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Krediti financijskim institucijama</w:t>
      </w:r>
    </w:p>
    <w:p w14:paraId="020F8D21"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tbl>
      <w:tblPr>
        <w:tblW w:w="9369" w:type="dxa"/>
        <w:tblInd w:w="-180" w:type="dxa"/>
        <w:tblLook w:val="04A0" w:firstRow="1" w:lastRow="0" w:firstColumn="1" w:lastColumn="0" w:noHBand="0" w:noVBand="1"/>
      </w:tblPr>
      <w:tblGrid>
        <w:gridCol w:w="3946"/>
        <w:gridCol w:w="1084"/>
        <w:gridCol w:w="1084"/>
        <w:gridCol w:w="1085"/>
        <w:gridCol w:w="1084"/>
        <w:gridCol w:w="1086"/>
      </w:tblGrid>
      <w:tr w:rsidR="00D92646" w:rsidRPr="003D1614" w14:paraId="552235CF" w14:textId="77777777" w:rsidTr="00AD0393">
        <w:trPr>
          <w:trHeight w:val="174"/>
        </w:trPr>
        <w:tc>
          <w:tcPr>
            <w:tcW w:w="3946" w:type="dxa"/>
            <w:tcBorders>
              <w:top w:val="nil"/>
              <w:left w:val="nil"/>
              <w:bottom w:val="nil"/>
              <w:right w:val="nil"/>
            </w:tcBorders>
            <w:shd w:val="clear" w:color="auto" w:fill="auto"/>
            <w:vAlign w:val="center"/>
          </w:tcPr>
          <w:p w14:paraId="29A5E80E" w14:textId="77777777" w:rsidR="00D92646" w:rsidRPr="003D1614" w:rsidRDefault="00D92646" w:rsidP="00D92646">
            <w:pPr>
              <w:suppressAutoHyphens/>
              <w:autoSpaceDN w:val="0"/>
              <w:rPr>
                <w:rFonts w:ascii="Arial" w:eastAsia="Calibri" w:hAnsi="Arial" w:cs="Arial"/>
                <w:b/>
                <w:bCs/>
                <w:color w:val="000000" w:themeColor="text1"/>
                <w:sz w:val="18"/>
                <w:szCs w:val="18"/>
              </w:rPr>
            </w:pPr>
            <w:bookmarkStart w:id="757" w:name="_Hlk24387081"/>
            <w:r w:rsidRPr="003D1614">
              <w:rPr>
                <w:rFonts w:ascii="Arial" w:eastAsia="Calibri" w:hAnsi="Arial" w:cs="Arial"/>
                <w:b/>
                <w:bCs/>
                <w:color w:val="000000" w:themeColor="text1"/>
                <w:sz w:val="18"/>
                <w:szCs w:val="18"/>
              </w:rPr>
              <w:t>Grupa i Banka</w:t>
            </w:r>
          </w:p>
        </w:tc>
        <w:tc>
          <w:tcPr>
            <w:tcW w:w="1084" w:type="dxa"/>
            <w:tcBorders>
              <w:top w:val="nil"/>
              <w:left w:val="nil"/>
              <w:bottom w:val="nil"/>
              <w:right w:val="nil"/>
            </w:tcBorders>
            <w:shd w:val="clear" w:color="auto" w:fill="auto"/>
            <w:vAlign w:val="center"/>
          </w:tcPr>
          <w:p w14:paraId="5CC43C5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6F4C1C50"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5" w:type="dxa"/>
            <w:tcBorders>
              <w:top w:val="nil"/>
              <w:left w:val="nil"/>
              <w:bottom w:val="nil"/>
              <w:right w:val="nil"/>
            </w:tcBorders>
            <w:shd w:val="clear" w:color="auto" w:fill="auto"/>
            <w:vAlign w:val="center"/>
          </w:tcPr>
          <w:p w14:paraId="55E71E2D"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1E7D7A98"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6" w:type="dxa"/>
            <w:tcBorders>
              <w:top w:val="nil"/>
              <w:left w:val="nil"/>
              <w:bottom w:val="nil"/>
              <w:right w:val="nil"/>
            </w:tcBorders>
            <w:shd w:val="clear" w:color="auto" w:fill="auto"/>
            <w:vAlign w:val="center"/>
          </w:tcPr>
          <w:p w14:paraId="4ED4CF51"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D92646" w:rsidRPr="003D1614" w14:paraId="1B2B1B4C" w14:textId="77777777" w:rsidTr="00AD0393">
        <w:trPr>
          <w:trHeight w:val="174"/>
        </w:trPr>
        <w:tc>
          <w:tcPr>
            <w:tcW w:w="3946" w:type="dxa"/>
            <w:tcBorders>
              <w:top w:val="nil"/>
              <w:left w:val="nil"/>
              <w:bottom w:val="nil"/>
              <w:right w:val="nil"/>
            </w:tcBorders>
            <w:shd w:val="clear" w:color="auto" w:fill="auto"/>
            <w:vAlign w:val="center"/>
            <w:hideMark/>
          </w:tcPr>
          <w:p w14:paraId="1C7728CF" w14:textId="58B1098C" w:rsidR="00D92646" w:rsidRPr="003D1614" w:rsidRDefault="00D92646" w:rsidP="00D92646">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ožujka 202</w:t>
            </w:r>
            <w:r w:rsidR="002B4F5E">
              <w:rPr>
                <w:rFonts w:ascii="Arial" w:eastAsia="Calibri" w:hAnsi="Arial" w:cs="Arial"/>
                <w:b/>
                <w:bCs/>
                <w:color w:val="000000" w:themeColor="text1"/>
                <w:sz w:val="18"/>
                <w:szCs w:val="18"/>
              </w:rPr>
              <w:t>4</w:t>
            </w:r>
            <w:r w:rsidRPr="003D1614">
              <w:rPr>
                <w:rFonts w:ascii="Arial" w:eastAsia="Calibri" w:hAnsi="Arial" w:cs="Arial"/>
                <w:b/>
                <w:bCs/>
                <w:color w:val="000000" w:themeColor="text1"/>
                <w:sz w:val="18"/>
                <w:szCs w:val="18"/>
              </w:rPr>
              <w:t>.</w:t>
            </w:r>
          </w:p>
        </w:tc>
        <w:tc>
          <w:tcPr>
            <w:tcW w:w="1084" w:type="dxa"/>
            <w:tcBorders>
              <w:top w:val="nil"/>
              <w:left w:val="nil"/>
              <w:bottom w:val="nil"/>
              <w:right w:val="nil"/>
            </w:tcBorders>
            <w:shd w:val="clear" w:color="auto" w:fill="auto"/>
            <w:vAlign w:val="center"/>
            <w:hideMark/>
          </w:tcPr>
          <w:p w14:paraId="2265422D"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84" w:type="dxa"/>
            <w:tcBorders>
              <w:top w:val="nil"/>
              <w:left w:val="nil"/>
              <w:bottom w:val="nil"/>
              <w:right w:val="nil"/>
            </w:tcBorders>
            <w:shd w:val="clear" w:color="auto" w:fill="auto"/>
            <w:vAlign w:val="center"/>
            <w:hideMark/>
          </w:tcPr>
          <w:p w14:paraId="21A87BEF"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85" w:type="dxa"/>
            <w:tcBorders>
              <w:top w:val="nil"/>
              <w:left w:val="nil"/>
              <w:bottom w:val="nil"/>
              <w:right w:val="nil"/>
            </w:tcBorders>
            <w:shd w:val="clear" w:color="auto" w:fill="auto"/>
            <w:vAlign w:val="center"/>
            <w:hideMark/>
          </w:tcPr>
          <w:p w14:paraId="57A75385"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84" w:type="dxa"/>
            <w:tcBorders>
              <w:top w:val="nil"/>
              <w:left w:val="nil"/>
              <w:bottom w:val="nil"/>
              <w:right w:val="nil"/>
            </w:tcBorders>
            <w:shd w:val="clear" w:color="auto" w:fill="auto"/>
            <w:vAlign w:val="center"/>
            <w:hideMark/>
          </w:tcPr>
          <w:p w14:paraId="493BEB0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086" w:type="dxa"/>
            <w:tcBorders>
              <w:top w:val="nil"/>
              <w:left w:val="nil"/>
              <w:bottom w:val="nil"/>
              <w:right w:val="nil"/>
            </w:tcBorders>
            <w:shd w:val="clear" w:color="auto" w:fill="auto"/>
            <w:vAlign w:val="center"/>
            <w:hideMark/>
          </w:tcPr>
          <w:p w14:paraId="1AB48A52"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5EE0ED0F" w14:textId="77777777" w:rsidTr="00AD0393">
        <w:trPr>
          <w:trHeight w:val="174"/>
        </w:trPr>
        <w:tc>
          <w:tcPr>
            <w:tcW w:w="3946" w:type="dxa"/>
            <w:tcBorders>
              <w:top w:val="nil"/>
              <w:left w:val="nil"/>
              <w:bottom w:val="nil"/>
              <w:right w:val="nil"/>
            </w:tcBorders>
            <w:shd w:val="clear" w:color="auto" w:fill="auto"/>
            <w:vAlign w:val="center"/>
            <w:hideMark/>
          </w:tcPr>
          <w:p w14:paraId="5FC2EC3A"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hideMark/>
          </w:tcPr>
          <w:p w14:paraId="53ED610F" w14:textId="398AD8D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4" w:type="dxa"/>
            <w:tcBorders>
              <w:top w:val="nil"/>
              <w:left w:val="nil"/>
              <w:bottom w:val="nil"/>
              <w:right w:val="nil"/>
            </w:tcBorders>
            <w:shd w:val="clear" w:color="auto" w:fill="auto"/>
            <w:vAlign w:val="center"/>
            <w:hideMark/>
          </w:tcPr>
          <w:p w14:paraId="54B15D2E" w14:textId="7FA39C56"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5" w:type="dxa"/>
            <w:tcBorders>
              <w:top w:val="nil"/>
              <w:left w:val="nil"/>
              <w:bottom w:val="nil"/>
              <w:right w:val="nil"/>
            </w:tcBorders>
            <w:shd w:val="clear" w:color="auto" w:fill="auto"/>
            <w:vAlign w:val="center"/>
            <w:hideMark/>
          </w:tcPr>
          <w:p w14:paraId="33509AA8" w14:textId="30FE3868"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4" w:type="dxa"/>
            <w:tcBorders>
              <w:top w:val="nil"/>
              <w:left w:val="nil"/>
              <w:bottom w:val="nil"/>
              <w:right w:val="nil"/>
            </w:tcBorders>
            <w:shd w:val="clear" w:color="auto" w:fill="auto"/>
            <w:vAlign w:val="center"/>
            <w:hideMark/>
          </w:tcPr>
          <w:p w14:paraId="3649FCEB" w14:textId="198C2B77"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6" w:type="dxa"/>
            <w:tcBorders>
              <w:top w:val="nil"/>
              <w:left w:val="nil"/>
              <w:bottom w:val="nil"/>
              <w:right w:val="nil"/>
            </w:tcBorders>
            <w:shd w:val="clear" w:color="auto" w:fill="auto"/>
            <w:vAlign w:val="center"/>
            <w:hideMark/>
          </w:tcPr>
          <w:p w14:paraId="4F788DB3" w14:textId="1FC2DF54" w:rsidR="00D92646" w:rsidRPr="003D1614" w:rsidRDefault="00D92646" w:rsidP="00D92646">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32D43A9B" w14:textId="77777777" w:rsidTr="005D1219">
        <w:trPr>
          <w:trHeight w:val="174"/>
        </w:trPr>
        <w:tc>
          <w:tcPr>
            <w:tcW w:w="3946" w:type="dxa"/>
            <w:tcBorders>
              <w:top w:val="nil"/>
              <w:left w:val="nil"/>
              <w:bottom w:val="nil"/>
              <w:right w:val="nil"/>
            </w:tcBorders>
            <w:shd w:val="clear" w:color="auto" w:fill="auto"/>
            <w:vAlign w:val="center"/>
          </w:tcPr>
          <w:p w14:paraId="75F33AE7"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4" w:type="dxa"/>
            <w:tcBorders>
              <w:top w:val="nil"/>
              <w:left w:val="nil"/>
              <w:right w:val="nil"/>
            </w:tcBorders>
            <w:shd w:val="clear" w:color="auto" w:fill="auto"/>
            <w:vAlign w:val="center"/>
          </w:tcPr>
          <w:p w14:paraId="0F27A3AF"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4" w:type="dxa"/>
            <w:tcBorders>
              <w:top w:val="nil"/>
              <w:left w:val="nil"/>
              <w:right w:val="nil"/>
            </w:tcBorders>
            <w:shd w:val="clear" w:color="auto" w:fill="auto"/>
            <w:vAlign w:val="center"/>
          </w:tcPr>
          <w:p w14:paraId="7EBF3C7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5" w:type="dxa"/>
            <w:tcBorders>
              <w:top w:val="nil"/>
              <w:left w:val="nil"/>
              <w:right w:val="nil"/>
            </w:tcBorders>
            <w:shd w:val="clear" w:color="auto" w:fill="auto"/>
            <w:vAlign w:val="center"/>
          </w:tcPr>
          <w:p w14:paraId="097FEE3D"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4" w:type="dxa"/>
            <w:tcBorders>
              <w:top w:val="nil"/>
              <w:left w:val="nil"/>
              <w:right w:val="nil"/>
            </w:tcBorders>
            <w:shd w:val="clear" w:color="auto" w:fill="auto"/>
            <w:vAlign w:val="center"/>
          </w:tcPr>
          <w:p w14:paraId="0BE34C71"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86" w:type="dxa"/>
            <w:tcBorders>
              <w:top w:val="nil"/>
              <w:left w:val="nil"/>
              <w:right w:val="nil"/>
            </w:tcBorders>
            <w:shd w:val="clear" w:color="auto" w:fill="auto"/>
            <w:vAlign w:val="center"/>
          </w:tcPr>
          <w:p w14:paraId="29F839F5"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tr w:rsidR="001F340A" w:rsidRPr="003D1614" w14:paraId="7DFEA78C" w14:textId="77777777" w:rsidTr="005D1219">
        <w:trPr>
          <w:trHeight w:val="174"/>
        </w:trPr>
        <w:tc>
          <w:tcPr>
            <w:tcW w:w="3946" w:type="dxa"/>
            <w:tcBorders>
              <w:top w:val="nil"/>
              <w:left w:val="nil"/>
              <w:bottom w:val="nil"/>
              <w:right w:val="nil"/>
            </w:tcBorders>
            <w:shd w:val="clear" w:color="auto" w:fill="auto"/>
            <w:vAlign w:val="center"/>
            <w:hideMark/>
          </w:tcPr>
          <w:p w14:paraId="12D9148B" w14:textId="0977BABD" w:rsidR="001F340A" w:rsidRPr="003D1614" w:rsidRDefault="001F340A" w:rsidP="001F340A">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4</w:t>
            </w:r>
            <w:r w:rsidRPr="003D1614">
              <w:rPr>
                <w:rFonts w:ascii="Arial" w:eastAsia="Calibri" w:hAnsi="Arial" w:cs="Arial"/>
                <w:color w:val="000000" w:themeColor="text1"/>
                <w:sz w:val="18"/>
                <w:szCs w:val="18"/>
              </w:rPr>
              <w:t xml:space="preserve">. </w:t>
            </w:r>
          </w:p>
        </w:tc>
        <w:tc>
          <w:tcPr>
            <w:tcW w:w="1084" w:type="dxa"/>
            <w:tcBorders>
              <w:top w:val="nil"/>
              <w:left w:val="nil"/>
              <w:right w:val="nil"/>
            </w:tcBorders>
            <w:shd w:val="clear" w:color="auto" w:fill="auto"/>
            <w:vAlign w:val="bottom"/>
          </w:tcPr>
          <w:p w14:paraId="2CF5CFDF" w14:textId="59A6ADF9" w:rsidR="001F340A" w:rsidRPr="00B47639" w:rsidRDefault="001F340A" w:rsidP="001F340A">
            <w:pPr>
              <w:suppressAutoHyphens/>
              <w:autoSpaceDN w:val="0"/>
              <w:jc w:val="right"/>
              <w:rPr>
                <w:rFonts w:ascii="Arial" w:eastAsia="Times New Roman" w:hAnsi="Arial" w:cs="Arial"/>
                <w:sz w:val="18"/>
                <w:szCs w:val="18"/>
              </w:rPr>
            </w:pPr>
            <w:r w:rsidRPr="005D1219">
              <w:rPr>
                <w:rFonts w:ascii="Arial" w:hAnsi="Arial" w:cs="Arial"/>
                <w:sz w:val="18"/>
                <w:szCs w:val="18"/>
              </w:rPr>
              <w:t xml:space="preserve"> 4.163 </w:t>
            </w:r>
          </w:p>
        </w:tc>
        <w:tc>
          <w:tcPr>
            <w:tcW w:w="1084" w:type="dxa"/>
            <w:tcBorders>
              <w:top w:val="nil"/>
              <w:left w:val="nil"/>
              <w:right w:val="nil"/>
            </w:tcBorders>
            <w:shd w:val="clear" w:color="auto" w:fill="auto"/>
            <w:vAlign w:val="bottom"/>
          </w:tcPr>
          <w:p w14:paraId="6D345A67" w14:textId="6A6D17D3" w:rsidR="001F340A" w:rsidRPr="00B47639" w:rsidRDefault="001F340A" w:rsidP="001F340A">
            <w:pPr>
              <w:suppressAutoHyphens/>
              <w:autoSpaceDN w:val="0"/>
              <w:jc w:val="right"/>
              <w:rPr>
                <w:rFonts w:ascii="Arial" w:eastAsia="Times New Roman" w:hAnsi="Arial" w:cs="Arial"/>
                <w:sz w:val="18"/>
                <w:szCs w:val="18"/>
              </w:rPr>
            </w:pPr>
            <w:r w:rsidRPr="005D1219">
              <w:rPr>
                <w:rFonts w:ascii="Arial" w:hAnsi="Arial" w:cs="Arial"/>
                <w:sz w:val="18"/>
                <w:szCs w:val="18"/>
              </w:rPr>
              <w:t xml:space="preserve"> 1.707 </w:t>
            </w:r>
          </w:p>
        </w:tc>
        <w:tc>
          <w:tcPr>
            <w:tcW w:w="1085" w:type="dxa"/>
            <w:tcBorders>
              <w:top w:val="nil"/>
              <w:left w:val="nil"/>
              <w:right w:val="nil"/>
            </w:tcBorders>
            <w:shd w:val="clear" w:color="auto" w:fill="auto"/>
            <w:vAlign w:val="bottom"/>
          </w:tcPr>
          <w:p w14:paraId="0C7D0AB2" w14:textId="7637E8D8" w:rsidR="001F340A" w:rsidRPr="00B47639" w:rsidRDefault="001F340A" w:rsidP="001F340A">
            <w:pPr>
              <w:suppressAutoHyphens/>
              <w:autoSpaceDN w:val="0"/>
              <w:jc w:val="right"/>
              <w:rPr>
                <w:rFonts w:ascii="Arial" w:eastAsia="Times New Roman" w:hAnsi="Arial" w:cs="Arial"/>
                <w:sz w:val="18"/>
                <w:szCs w:val="18"/>
              </w:rPr>
            </w:pPr>
            <w:r w:rsidRPr="005D1219">
              <w:rPr>
                <w:rFonts w:ascii="Arial" w:hAnsi="Arial" w:cs="Arial"/>
                <w:sz w:val="18"/>
                <w:szCs w:val="18"/>
              </w:rPr>
              <w:t xml:space="preserve"> 857 </w:t>
            </w:r>
          </w:p>
        </w:tc>
        <w:tc>
          <w:tcPr>
            <w:tcW w:w="1084" w:type="dxa"/>
            <w:tcBorders>
              <w:top w:val="nil"/>
              <w:left w:val="nil"/>
              <w:right w:val="nil"/>
            </w:tcBorders>
            <w:shd w:val="clear" w:color="auto" w:fill="auto"/>
            <w:vAlign w:val="bottom"/>
          </w:tcPr>
          <w:p w14:paraId="34100A15" w14:textId="59EC9596" w:rsidR="001F340A" w:rsidRPr="00B47639" w:rsidRDefault="001F340A" w:rsidP="001F340A">
            <w:pPr>
              <w:suppressAutoHyphens/>
              <w:autoSpaceDN w:val="0"/>
              <w:jc w:val="right"/>
              <w:rPr>
                <w:rFonts w:ascii="Arial" w:eastAsia="Times New Roman" w:hAnsi="Arial" w:cs="Arial"/>
                <w:sz w:val="18"/>
                <w:szCs w:val="18"/>
              </w:rPr>
            </w:pPr>
            <w:r w:rsidRPr="005D1219">
              <w:rPr>
                <w:rFonts w:ascii="Arial" w:hAnsi="Arial" w:cs="Arial"/>
                <w:sz w:val="18"/>
                <w:szCs w:val="18"/>
              </w:rPr>
              <w:t xml:space="preserve"> - </w:t>
            </w:r>
          </w:p>
        </w:tc>
        <w:tc>
          <w:tcPr>
            <w:tcW w:w="1086" w:type="dxa"/>
            <w:tcBorders>
              <w:top w:val="nil"/>
              <w:left w:val="nil"/>
              <w:right w:val="nil"/>
            </w:tcBorders>
            <w:shd w:val="clear" w:color="auto" w:fill="auto"/>
            <w:vAlign w:val="bottom"/>
          </w:tcPr>
          <w:p w14:paraId="665FA30A" w14:textId="643383B7" w:rsidR="001F340A" w:rsidRPr="005D1219" w:rsidRDefault="001F340A" w:rsidP="001F340A">
            <w:pPr>
              <w:suppressAutoHyphens/>
              <w:autoSpaceDN w:val="0"/>
              <w:jc w:val="right"/>
              <w:rPr>
                <w:rFonts w:ascii="Arial" w:eastAsia="Times New Roman" w:hAnsi="Arial" w:cs="Arial"/>
                <w:b/>
                <w:bCs/>
                <w:sz w:val="18"/>
                <w:szCs w:val="18"/>
              </w:rPr>
            </w:pPr>
            <w:r w:rsidRPr="001F340A">
              <w:rPr>
                <w:rFonts w:ascii="Arial" w:hAnsi="Arial" w:cs="Arial"/>
                <w:b/>
                <w:bCs/>
                <w:sz w:val="18"/>
                <w:szCs w:val="18"/>
              </w:rPr>
              <w:t xml:space="preserve"> 6.727 </w:t>
            </w:r>
          </w:p>
        </w:tc>
      </w:tr>
      <w:tr w:rsidR="001F340A" w:rsidRPr="003D1614" w14:paraId="3B8FF076" w14:textId="77777777" w:rsidTr="00E66367">
        <w:trPr>
          <w:trHeight w:val="174"/>
        </w:trPr>
        <w:tc>
          <w:tcPr>
            <w:tcW w:w="3946" w:type="dxa"/>
            <w:tcBorders>
              <w:top w:val="nil"/>
              <w:left w:val="nil"/>
              <w:bottom w:val="nil"/>
              <w:right w:val="nil"/>
            </w:tcBorders>
            <w:shd w:val="clear" w:color="auto" w:fill="auto"/>
            <w:hideMark/>
          </w:tcPr>
          <w:p w14:paraId="2D6E9BCC" w14:textId="77777777" w:rsidR="001F340A" w:rsidRPr="003D1614" w:rsidRDefault="001F340A" w:rsidP="001F340A">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84" w:type="dxa"/>
            <w:tcBorders>
              <w:top w:val="nil"/>
              <w:left w:val="nil"/>
              <w:bottom w:val="nil"/>
              <w:right w:val="nil"/>
            </w:tcBorders>
            <w:shd w:val="clear" w:color="auto" w:fill="auto"/>
            <w:vAlign w:val="bottom"/>
          </w:tcPr>
          <w:p w14:paraId="075BB75B" w14:textId="51A6B774" w:rsidR="001F340A" w:rsidRPr="003D1614" w:rsidRDefault="001F340A" w:rsidP="001F340A">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4" w:type="dxa"/>
            <w:tcBorders>
              <w:top w:val="nil"/>
              <w:left w:val="nil"/>
              <w:bottom w:val="nil"/>
              <w:right w:val="nil"/>
            </w:tcBorders>
            <w:shd w:val="clear" w:color="auto" w:fill="auto"/>
            <w:vAlign w:val="bottom"/>
          </w:tcPr>
          <w:p w14:paraId="6495D428" w14:textId="0992509F" w:rsidR="001F340A" w:rsidRPr="003D1614" w:rsidRDefault="001F340A" w:rsidP="001F340A">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5" w:type="dxa"/>
            <w:tcBorders>
              <w:top w:val="nil"/>
              <w:left w:val="nil"/>
              <w:bottom w:val="nil"/>
              <w:right w:val="nil"/>
            </w:tcBorders>
            <w:shd w:val="clear" w:color="auto" w:fill="auto"/>
            <w:vAlign w:val="bottom"/>
          </w:tcPr>
          <w:p w14:paraId="62F8E1EA" w14:textId="4D2B96B6" w:rsidR="001F340A" w:rsidRPr="003D1614" w:rsidRDefault="001F340A" w:rsidP="001F340A">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4" w:type="dxa"/>
            <w:tcBorders>
              <w:top w:val="nil"/>
              <w:left w:val="nil"/>
              <w:bottom w:val="nil"/>
              <w:right w:val="nil"/>
            </w:tcBorders>
            <w:shd w:val="clear" w:color="auto" w:fill="auto"/>
            <w:vAlign w:val="bottom"/>
          </w:tcPr>
          <w:p w14:paraId="00FFB09E" w14:textId="1C41B1BD" w:rsidR="001F340A" w:rsidRPr="003D1614" w:rsidRDefault="001F340A" w:rsidP="001F340A">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6" w:type="dxa"/>
            <w:tcBorders>
              <w:top w:val="nil"/>
              <w:left w:val="nil"/>
              <w:bottom w:val="nil"/>
              <w:right w:val="nil"/>
            </w:tcBorders>
            <w:shd w:val="clear" w:color="auto" w:fill="auto"/>
            <w:vAlign w:val="bottom"/>
          </w:tcPr>
          <w:p w14:paraId="6C27525F" w14:textId="69E176AA" w:rsidR="001F340A" w:rsidRPr="005D1219" w:rsidRDefault="001F340A" w:rsidP="001F340A">
            <w:pPr>
              <w:suppressAutoHyphens/>
              <w:autoSpaceDN w:val="0"/>
              <w:jc w:val="right"/>
              <w:rPr>
                <w:rFonts w:ascii="Arial" w:eastAsia="Times New Roman" w:hAnsi="Arial" w:cs="Arial"/>
                <w:b/>
                <w:bCs/>
                <w:sz w:val="18"/>
                <w:szCs w:val="18"/>
              </w:rPr>
            </w:pPr>
            <w:r w:rsidRPr="005D1219">
              <w:rPr>
                <w:rFonts w:ascii="Arial" w:eastAsia="Times New Roman" w:hAnsi="Arial" w:cs="Arial"/>
                <w:b/>
                <w:bCs/>
                <w:sz w:val="18"/>
                <w:szCs w:val="18"/>
              </w:rPr>
              <w:t>-</w:t>
            </w:r>
          </w:p>
        </w:tc>
      </w:tr>
      <w:tr w:rsidR="001F340A" w:rsidRPr="003D1614" w14:paraId="4E9F2D0B" w14:textId="77777777" w:rsidTr="00E66367">
        <w:trPr>
          <w:trHeight w:val="174"/>
        </w:trPr>
        <w:tc>
          <w:tcPr>
            <w:tcW w:w="3946" w:type="dxa"/>
            <w:tcBorders>
              <w:top w:val="nil"/>
              <w:left w:val="nil"/>
              <w:bottom w:val="nil"/>
              <w:right w:val="nil"/>
            </w:tcBorders>
            <w:shd w:val="clear" w:color="auto" w:fill="auto"/>
          </w:tcPr>
          <w:p w14:paraId="1C08BE1B" w14:textId="77777777" w:rsidR="001F340A" w:rsidRPr="003D1614" w:rsidRDefault="001F340A" w:rsidP="001F340A">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84" w:type="dxa"/>
            <w:tcBorders>
              <w:top w:val="nil"/>
              <w:left w:val="nil"/>
              <w:bottom w:val="nil"/>
              <w:right w:val="nil"/>
            </w:tcBorders>
            <w:shd w:val="clear" w:color="auto" w:fill="auto"/>
            <w:vAlign w:val="bottom"/>
          </w:tcPr>
          <w:p w14:paraId="1671C01E" w14:textId="03D8BFFA" w:rsidR="001F340A" w:rsidRPr="003D1614" w:rsidRDefault="001F340A" w:rsidP="001F340A">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4" w:type="dxa"/>
            <w:tcBorders>
              <w:top w:val="nil"/>
              <w:left w:val="nil"/>
              <w:bottom w:val="nil"/>
              <w:right w:val="nil"/>
            </w:tcBorders>
            <w:shd w:val="clear" w:color="auto" w:fill="auto"/>
            <w:vAlign w:val="bottom"/>
          </w:tcPr>
          <w:p w14:paraId="24E3FC1E" w14:textId="1F4C6F89" w:rsidR="001F340A" w:rsidRPr="003D1614" w:rsidRDefault="001F340A" w:rsidP="001F340A">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5" w:type="dxa"/>
            <w:tcBorders>
              <w:top w:val="nil"/>
              <w:left w:val="nil"/>
              <w:bottom w:val="nil"/>
              <w:right w:val="nil"/>
            </w:tcBorders>
            <w:shd w:val="clear" w:color="auto" w:fill="auto"/>
            <w:vAlign w:val="bottom"/>
          </w:tcPr>
          <w:p w14:paraId="594BCDBC" w14:textId="525FA65F" w:rsidR="001F340A" w:rsidRPr="003D1614" w:rsidRDefault="001F340A" w:rsidP="001F340A">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4" w:type="dxa"/>
            <w:tcBorders>
              <w:top w:val="nil"/>
              <w:left w:val="nil"/>
              <w:bottom w:val="nil"/>
              <w:right w:val="nil"/>
            </w:tcBorders>
            <w:shd w:val="clear" w:color="auto" w:fill="auto"/>
            <w:vAlign w:val="bottom"/>
          </w:tcPr>
          <w:p w14:paraId="4C208009" w14:textId="3A7E6EEB" w:rsidR="001F340A" w:rsidRPr="003D1614" w:rsidRDefault="001F340A" w:rsidP="001F340A">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6" w:type="dxa"/>
            <w:tcBorders>
              <w:top w:val="nil"/>
              <w:left w:val="nil"/>
              <w:bottom w:val="nil"/>
              <w:right w:val="nil"/>
            </w:tcBorders>
            <w:shd w:val="clear" w:color="auto" w:fill="auto"/>
            <w:vAlign w:val="bottom"/>
          </w:tcPr>
          <w:p w14:paraId="15DCB1D6" w14:textId="1F71F022" w:rsidR="001F340A" w:rsidRPr="005D1219" w:rsidRDefault="001F340A" w:rsidP="001F340A">
            <w:pPr>
              <w:suppressAutoHyphens/>
              <w:autoSpaceDN w:val="0"/>
              <w:jc w:val="right"/>
              <w:rPr>
                <w:rFonts w:ascii="Arial" w:eastAsia="Times New Roman" w:hAnsi="Arial" w:cs="Arial"/>
                <w:b/>
                <w:bCs/>
                <w:sz w:val="18"/>
                <w:szCs w:val="18"/>
              </w:rPr>
            </w:pPr>
            <w:r w:rsidRPr="005D1219">
              <w:rPr>
                <w:rFonts w:ascii="Arial" w:eastAsia="Times New Roman" w:hAnsi="Arial" w:cs="Arial"/>
                <w:b/>
                <w:bCs/>
                <w:sz w:val="18"/>
                <w:szCs w:val="18"/>
              </w:rPr>
              <w:t>-</w:t>
            </w:r>
          </w:p>
        </w:tc>
      </w:tr>
      <w:tr w:rsidR="001F340A" w:rsidRPr="003D1614" w14:paraId="6F87C678" w14:textId="77777777" w:rsidTr="005D1219">
        <w:trPr>
          <w:trHeight w:val="174"/>
        </w:trPr>
        <w:tc>
          <w:tcPr>
            <w:tcW w:w="3946" w:type="dxa"/>
            <w:tcBorders>
              <w:top w:val="nil"/>
              <w:left w:val="nil"/>
              <w:bottom w:val="nil"/>
              <w:right w:val="nil"/>
            </w:tcBorders>
            <w:shd w:val="clear" w:color="auto" w:fill="auto"/>
          </w:tcPr>
          <w:p w14:paraId="4B8FD1B7" w14:textId="77777777" w:rsidR="001F340A" w:rsidRPr="003D1614" w:rsidRDefault="001F340A" w:rsidP="001F340A">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84" w:type="dxa"/>
            <w:tcBorders>
              <w:top w:val="nil"/>
              <w:left w:val="nil"/>
              <w:right w:val="nil"/>
            </w:tcBorders>
            <w:shd w:val="clear" w:color="auto" w:fill="auto"/>
            <w:vAlign w:val="bottom"/>
          </w:tcPr>
          <w:p w14:paraId="676D47B3" w14:textId="2D497D56" w:rsidR="001F340A" w:rsidRPr="003D1614" w:rsidRDefault="001F340A" w:rsidP="001F340A">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4" w:type="dxa"/>
            <w:tcBorders>
              <w:top w:val="nil"/>
              <w:left w:val="nil"/>
              <w:right w:val="nil"/>
            </w:tcBorders>
            <w:shd w:val="clear" w:color="auto" w:fill="auto"/>
            <w:vAlign w:val="bottom"/>
          </w:tcPr>
          <w:p w14:paraId="66647F48" w14:textId="71161C1E" w:rsidR="001F340A" w:rsidRPr="003D1614" w:rsidRDefault="001F340A" w:rsidP="001F340A">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5" w:type="dxa"/>
            <w:tcBorders>
              <w:top w:val="nil"/>
              <w:left w:val="nil"/>
              <w:right w:val="nil"/>
            </w:tcBorders>
            <w:shd w:val="clear" w:color="auto" w:fill="auto"/>
            <w:vAlign w:val="bottom"/>
          </w:tcPr>
          <w:p w14:paraId="3873E485" w14:textId="7841ADF2" w:rsidR="001F340A" w:rsidRPr="003D1614" w:rsidRDefault="001F340A" w:rsidP="001F340A">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4" w:type="dxa"/>
            <w:tcBorders>
              <w:top w:val="nil"/>
              <w:left w:val="nil"/>
              <w:right w:val="nil"/>
            </w:tcBorders>
            <w:shd w:val="clear" w:color="auto" w:fill="auto"/>
            <w:vAlign w:val="bottom"/>
          </w:tcPr>
          <w:p w14:paraId="5112835A" w14:textId="0ABB1148" w:rsidR="001F340A" w:rsidRPr="003D1614" w:rsidRDefault="001F340A" w:rsidP="001F340A">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6" w:type="dxa"/>
            <w:tcBorders>
              <w:top w:val="nil"/>
              <w:left w:val="nil"/>
              <w:right w:val="nil"/>
            </w:tcBorders>
            <w:shd w:val="clear" w:color="auto" w:fill="auto"/>
            <w:vAlign w:val="bottom"/>
          </w:tcPr>
          <w:p w14:paraId="4E460702" w14:textId="4592AE14" w:rsidR="001F340A" w:rsidRPr="005D1219" w:rsidRDefault="001F340A" w:rsidP="001F340A">
            <w:pPr>
              <w:suppressAutoHyphens/>
              <w:autoSpaceDN w:val="0"/>
              <w:jc w:val="right"/>
              <w:rPr>
                <w:rFonts w:ascii="Arial" w:eastAsia="Times New Roman" w:hAnsi="Arial" w:cs="Arial"/>
                <w:b/>
                <w:bCs/>
                <w:sz w:val="18"/>
                <w:szCs w:val="18"/>
              </w:rPr>
            </w:pPr>
            <w:r w:rsidRPr="005D1219">
              <w:rPr>
                <w:rFonts w:ascii="Arial" w:eastAsia="Times New Roman" w:hAnsi="Arial" w:cs="Arial"/>
                <w:b/>
                <w:bCs/>
                <w:sz w:val="18"/>
                <w:szCs w:val="18"/>
              </w:rPr>
              <w:t>-</w:t>
            </w:r>
          </w:p>
        </w:tc>
      </w:tr>
      <w:tr w:rsidR="001F340A" w:rsidRPr="003D1614" w14:paraId="77D94140" w14:textId="77777777" w:rsidTr="005D1219">
        <w:trPr>
          <w:trHeight w:val="249"/>
        </w:trPr>
        <w:tc>
          <w:tcPr>
            <w:tcW w:w="3946" w:type="dxa"/>
            <w:tcBorders>
              <w:top w:val="nil"/>
              <w:left w:val="nil"/>
              <w:bottom w:val="nil"/>
              <w:right w:val="nil"/>
            </w:tcBorders>
            <w:shd w:val="clear" w:color="auto" w:fill="auto"/>
            <w:vAlign w:val="center"/>
            <w:hideMark/>
          </w:tcPr>
          <w:p w14:paraId="46D5D544" w14:textId="6CAEE51A" w:rsidR="001F340A" w:rsidRPr="003D1614" w:rsidRDefault="001F340A" w:rsidP="001F340A">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(smanjenje)</w:t>
            </w:r>
            <w:r w:rsidR="000459E9">
              <w:rPr>
                <w:rFonts w:ascii="Arial" w:eastAsia="Calibri" w:hAnsi="Arial" w:cs="Arial"/>
                <w:color w:val="000000" w:themeColor="text1"/>
                <w:sz w:val="18"/>
                <w:szCs w:val="18"/>
              </w:rPr>
              <w:t>/povećanje</w:t>
            </w:r>
            <w:r w:rsidRPr="003D1614">
              <w:rPr>
                <w:rFonts w:ascii="Arial" w:eastAsia="Calibri" w:hAnsi="Arial" w:cs="Arial"/>
                <w:color w:val="000000" w:themeColor="text1"/>
                <w:sz w:val="18"/>
                <w:szCs w:val="18"/>
              </w:rPr>
              <w:t xml:space="preserve"> rezerviranja za očekivane gubitke </w:t>
            </w:r>
          </w:p>
        </w:tc>
        <w:tc>
          <w:tcPr>
            <w:tcW w:w="1084" w:type="dxa"/>
            <w:tcBorders>
              <w:top w:val="nil"/>
              <w:left w:val="nil"/>
              <w:bottom w:val="single" w:sz="4" w:space="0" w:color="auto"/>
              <w:right w:val="nil"/>
            </w:tcBorders>
            <w:shd w:val="clear" w:color="auto" w:fill="auto"/>
            <w:vAlign w:val="bottom"/>
          </w:tcPr>
          <w:p w14:paraId="14636C4B" w14:textId="069FB99E" w:rsidR="001F340A" w:rsidRPr="003D1614" w:rsidRDefault="001F340A" w:rsidP="001F340A">
            <w:pPr>
              <w:suppressAutoHyphens/>
              <w:autoSpaceDN w:val="0"/>
              <w:jc w:val="right"/>
              <w:rPr>
                <w:rFonts w:ascii="Arial" w:eastAsia="Times New Roman" w:hAnsi="Arial" w:cs="Arial"/>
                <w:sz w:val="18"/>
                <w:szCs w:val="18"/>
              </w:rPr>
            </w:pPr>
            <w:r>
              <w:rPr>
                <w:rFonts w:ascii="Arial" w:eastAsia="Times New Roman" w:hAnsi="Arial" w:cs="Arial"/>
                <w:sz w:val="18"/>
                <w:szCs w:val="18"/>
              </w:rPr>
              <w:t>(280)</w:t>
            </w:r>
          </w:p>
        </w:tc>
        <w:tc>
          <w:tcPr>
            <w:tcW w:w="1084" w:type="dxa"/>
            <w:tcBorders>
              <w:top w:val="nil"/>
              <w:left w:val="nil"/>
              <w:bottom w:val="single" w:sz="4" w:space="0" w:color="auto"/>
              <w:right w:val="nil"/>
            </w:tcBorders>
            <w:shd w:val="clear" w:color="auto" w:fill="auto"/>
            <w:vAlign w:val="bottom"/>
          </w:tcPr>
          <w:p w14:paraId="453E43E0" w14:textId="3DB07666" w:rsidR="001F340A" w:rsidRPr="003D1614" w:rsidRDefault="001F340A" w:rsidP="001F340A">
            <w:pPr>
              <w:suppressAutoHyphens/>
              <w:autoSpaceDN w:val="0"/>
              <w:jc w:val="right"/>
              <w:rPr>
                <w:rFonts w:ascii="Arial" w:eastAsia="Times New Roman" w:hAnsi="Arial" w:cs="Arial"/>
                <w:sz w:val="18"/>
                <w:szCs w:val="18"/>
              </w:rPr>
            </w:pPr>
            <w:r>
              <w:rPr>
                <w:rFonts w:ascii="Arial" w:eastAsia="Times New Roman" w:hAnsi="Arial" w:cs="Arial"/>
                <w:sz w:val="18"/>
                <w:szCs w:val="18"/>
              </w:rPr>
              <w:t>143</w:t>
            </w:r>
          </w:p>
        </w:tc>
        <w:tc>
          <w:tcPr>
            <w:tcW w:w="1085" w:type="dxa"/>
            <w:tcBorders>
              <w:top w:val="nil"/>
              <w:left w:val="nil"/>
              <w:bottom w:val="single" w:sz="4" w:space="0" w:color="auto"/>
              <w:right w:val="nil"/>
            </w:tcBorders>
            <w:shd w:val="clear" w:color="auto" w:fill="auto"/>
            <w:vAlign w:val="bottom"/>
          </w:tcPr>
          <w:p w14:paraId="00BEBEEC" w14:textId="272D1494" w:rsidR="001F340A" w:rsidRPr="003D1614" w:rsidRDefault="001F340A" w:rsidP="001F340A">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4" w:type="dxa"/>
            <w:tcBorders>
              <w:top w:val="nil"/>
              <w:left w:val="nil"/>
              <w:bottom w:val="single" w:sz="4" w:space="0" w:color="auto"/>
              <w:right w:val="nil"/>
            </w:tcBorders>
            <w:shd w:val="clear" w:color="auto" w:fill="auto"/>
            <w:vAlign w:val="bottom"/>
          </w:tcPr>
          <w:p w14:paraId="30AF0F58" w14:textId="077B270B" w:rsidR="001F340A" w:rsidRPr="003D1614" w:rsidRDefault="001F340A" w:rsidP="001F340A">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6" w:type="dxa"/>
            <w:tcBorders>
              <w:top w:val="nil"/>
              <w:left w:val="nil"/>
              <w:bottom w:val="single" w:sz="4" w:space="0" w:color="auto"/>
              <w:right w:val="nil"/>
            </w:tcBorders>
            <w:shd w:val="clear" w:color="auto" w:fill="auto"/>
            <w:vAlign w:val="bottom"/>
          </w:tcPr>
          <w:p w14:paraId="46EC71DF" w14:textId="578F85F6" w:rsidR="001F340A" w:rsidRPr="005D1219" w:rsidRDefault="001F340A" w:rsidP="001F340A">
            <w:pPr>
              <w:suppressAutoHyphens/>
              <w:autoSpaceDN w:val="0"/>
              <w:jc w:val="right"/>
              <w:rPr>
                <w:rFonts w:ascii="Arial" w:eastAsia="Times New Roman" w:hAnsi="Arial" w:cs="Arial"/>
                <w:b/>
                <w:bCs/>
                <w:sz w:val="18"/>
                <w:szCs w:val="18"/>
              </w:rPr>
            </w:pPr>
            <w:r w:rsidRPr="005D1219">
              <w:rPr>
                <w:rFonts w:ascii="Arial" w:eastAsia="Times New Roman" w:hAnsi="Arial" w:cs="Arial"/>
                <w:b/>
                <w:bCs/>
                <w:sz w:val="18"/>
                <w:szCs w:val="18"/>
              </w:rPr>
              <w:t>(137)</w:t>
            </w:r>
          </w:p>
        </w:tc>
      </w:tr>
      <w:tr w:rsidR="001F340A" w:rsidRPr="003D1614" w14:paraId="7A42882C" w14:textId="77777777" w:rsidTr="005D1219">
        <w:trPr>
          <w:trHeight w:val="182"/>
        </w:trPr>
        <w:tc>
          <w:tcPr>
            <w:tcW w:w="3946" w:type="dxa"/>
            <w:tcBorders>
              <w:top w:val="nil"/>
              <w:left w:val="nil"/>
              <w:bottom w:val="nil"/>
              <w:right w:val="nil"/>
            </w:tcBorders>
            <w:shd w:val="clear" w:color="auto" w:fill="auto"/>
            <w:vAlign w:val="bottom"/>
            <w:hideMark/>
          </w:tcPr>
          <w:p w14:paraId="6EE08954" w14:textId="2850127A" w:rsidR="001F340A" w:rsidRPr="003D1614" w:rsidRDefault="001F340A" w:rsidP="001F340A">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ožujka 202</w:t>
            </w:r>
            <w:r>
              <w:rPr>
                <w:rFonts w:ascii="Arial" w:eastAsia="Calibri" w:hAnsi="Arial" w:cs="Arial"/>
                <w:b/>
                <w:bCs/>
                <w:color w:val="000000" w:themeColor="text1"/>
                <w:sz w:val="18"/>
                <w:szCs w:val="18"/>
              </w:rPr>
              <w:t>4</w:t>
            </w:r>
            <w:r w:rsidRPr="003D1614">
              <w:rPr>
                <w:rFonts w:ascii="Arial" w:eastAsia="Calibri" w:hAnsi="Arial" w:cs="Arial"/>
                <w:b/>
                <w:bCs/>
                <w:color w:val="000000" w:themeColor="text1"/>
                <w:sz w:val="18"/>
                <w:szCs w:val="18"/>
              </w:rPr>
              <w:t>.</w:t>
            </w:r>
          </w:p>
        </w:tc>
        <w:tc>
          <w:tcPr>
            <w:tcW w:w="1084" w:type="dxa"/>
            <w:tcBorders>
              <w:top w:val="single" w:sz="4" w:space="0" w:color="auto"/>
              <w:left w:val="nil"/>
              <w:bottom w:val="single" w:sz="12" w:space="0" w:color="auto"/>
              <w:right w:val="nil"/>
            </w:tcBorders>
            <w:shd w:val="clear" w:color="auto" w:fill="auto"/>
            <w:vAlign w:val="bottom"/>
          </w:tcPr>
          <w:p w14:paraId="37013CA0" w14:textId="292E34C2" w:rsidR="001F340A" w:rsidRPr="003D1614" w:rsidRDefault="001F340A" w:rsidP="001F340A">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3.883</w:t>
            </w:r>
          </w:p>
        </w:tc>
        <w:tc>
          <w:tcPr>
            <w:tcW w:w="1084" w:type="dxa"/>
            <w:tcBorders>
              <w:top w:val="single" w:sz="4" w:space="0" w:color="auto"/>
              <w:left w:val="nil"/>
              <w:bottom w:val="single" w:sz="12" w:space="0" w:color="auto"/>
              <w:right w:val="nil"/>
            </w:tcBorders>
            <w:shd w:val="clear" w:color="auto" w:fill="auto"/>
            <w:vAlign w:val="bottom"/>
          </w:tcPr>
          <w:p w14:paraId="457F8930" w14:textId="22F73066" w:rsidR="001F340A" w:rsidRPr="003D1614" w:rsidRDefault="001F340A" w:rsidP="001F340A">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1.850</w:t>
            </w:r>
          </w:p>
        </w:tc>
        <w:tc>
          <w:tcPr>
            <w:tcW w:w="1085" w:type="dxa"/>
            <w:tcBorders>
              <w:top w:val="single" w:sz="4" w:space="0" w:color="auto"/>
              <w:left w:val="nil"/>
              <w:bottom w:val="single" w:sz="12" w:space="0" w:color="auto"/>
              <w:right w:val="nil"/>
            </w:tcBorders>
            <w:shd w:val="clear" w:color="auto" w:fill="auto"/>
            <w:vAlign w:val="bottom"/>
          </w:tcPr>
          <w:p w14:paraId="48BEBFB8" w14:textId="0C088780" w:rsidR="001F340A" w:rsidRPr="003D1614" w:rsidRDefault="001F340A" w:rsidP="001F340A">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857</w:t>
            </w:r>
          </w:p>
        </w:tc>
        <w:tc>
          <w:tcPr>
            <w:tcW w:w="1084" w:type="dxa"/>
            <w:tcBorders>
              <w:top w:val="single" w:sz="4" w:space="0" w:color="auto"/>
              <w:left w:val="nil"/>
              <w:bottom w:val="single" w:sz="12" w:space="0" w:color="auto"/>
              <w:right w:val="nil"/>
            </w:tcBorders>
            <w:shd w:val="clear" w:color="auto" w:fill="auto"/>
            <w:vAlign w:val="bottom"/>
          </w:tcPr>
          <w:p w14:paraId="58CDC20B" w14:textId="66C9E971" w:rsidR="001F340A" w:rsidRPr="003D1614" w:rsidRDefault="001F340A" w:rsidP="001F340A">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w:t>
            </w:r>
          </w:p>
        </w:tc>
        <w:tc>
          <w:tcPr>
            <w:tcW w:w="1086" w:type="dxa"/>
            <w:tcBorders>
              <w:top w:val="single" w:sz="4" w:space="0" w:color="auto"/>
              <w:left w:val="nil"/>
              <w:bottom w:val="single" w:sz="12" w:space="0" w:color="auto"/>
              <w:right w:val="nil"/>
            </w:tcBorders>
            <w:shd w:val="clear" w:color="auto" w:fill="auto"/>
            <w:vAlign w:val="bottom"/>
          </w:tcPr>
          <w:p w14:paraId="689A15C8" w14:textId="0AD6E7E3" w:rsidR="001F340A" w:rsidRPr="003D1614" w:rsidRDefault="001F340A" w:rsidP="001F340A">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6.590</w:t>
            </w:r>
          </w:p>
        </w:tc>
      </w:tr>
      <w:bookmarkEnd w:id="757"/>
    </w:tbl>
    <w:p w14:paraId="656EFD1D"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6DF1288F" w14:textId="6039BC8D"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220360FD" w14:textId="77777777" w:rsidR="00D92646" w:rsidRDefault="00D92646" w:rsidP="00D92646">
      <w:pPr>
        <w:keepNext/>
        <w:suppressAutoHyphens/>
        <w:autoSpaceDN w:val="0"/>
        <w:jc w:val="both"/>
        <w:rPr>
          <w:rFonts w:ascii="Arial" w:eastAsia="Times New Roman" w:hAnsi="Arial" w:cs="Arial"/>
          <w:b/>
          <w:bCs/>
          <w:color w:val="000000" w:themeColor="text1"/>
          <w:sz w:val="20"/>
          <w:szCs w:val="20"/>
        </w:rPr>
      </w:pPr>
    </w:p>
    <w:p w14:paraId="53FAAA47" w14:textId="77777777" w:rsidR="00C91A69" w:rsidRDefault="00C91A69" w:rsidP="00D92646">
      <w:pPr>
        <w:keepNext/>
        <w:suppressAutoHyphens/>
        <w:autoSpaceDN w:val="0"/>
        <w:jc w:val="both"/>
        <w:rPr>
          <w:rFonts w:ascii="Arial" w:eastAsia="Times New Roman" w:hAnsi="Arial" w:cs="Arial"/>
          <w:b/>
          <w:bCs/>
          <w:color w:val="000000" w:themeColor="text1"/>
          <w:sz w:val="20"/>
          <w:szCs w:val="20"/>
        </w:rPr>
      </w:pPr>
    </w:p>
    <w:tbl>
      <w:tblPr>
        <w:tblW w:w="9369" w:type="dxa"/>
        <w:tblInd w:w="-180" w:type="dxa"/>
        <w:tblLook w:val="04A0" w:firstRow="1" w:lastRow="0" w:firstColumn="1" w:lastColumn="0" w:noHBand="0" w:noVBand="1"/>
      </w:tblPr>
      <w:tblGrid>
        <w:gridCol w:w="3946"/>
        <w:gridCol w:w="1084"/>
        <w:gridCol w:w="1084"/>
        <w:gridCol w:w="1085"/>
        <w:gridCol w:w="1084"/>
        <w:gridCol w:w="1086"/>
      </w:tblGrid>
      <w:tr w:rsidR="00C91A69" w:rsidRPr="001B015B" w14:paraId="40CB6F0E" w14:textId="77777777" w:rsidTr="00CA7F04">
        <w:trPr>
          <w:trHeight w:val="174"/>
        </w:trPr>
        <w:tc>
          <w:tcPr>
            <w:tcW w:w="3946" w:type="dxa"/>
            <w:tcBorders>
              <w:top w:val="nil"/>
              <w:left w:val="nil"/>
              <w:bottom w:val="nil"/>
              <w:right w:val="nil"/>
            </w:tcBorders>
            <w:shd w:val="clear" w:color="auto" w:fill="auto"/>
            <w:vAlign w:val="center"/>
          </w:tcPr>
          <w:p w14:paraId="24E5FC82" w14:textId="77777777" w:rsidR="00C91A69" w:rsidRPr="001B015B" w:rsidRDefault="00C91A69" w:rsidP="00CA7F04">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Grupa i Banka</w:t>
            </w:r>
          </w:p>
        </w:tc>
        <w:tc>
          <w:tcPr>
            <w:tcW w:w="1084" w:type="dxa"/>
            <w:tcBorders>
              <w:top w:val="nil"/>
              <w:left w:val="nil"/>
              <w:bottom w:val="nil"/>
              <w:right w:val="nil"/>
            </w:tcBorders>
            <w:shd w:val="clear" w:color="auto" w:fill="auto"/>
            <w:vAlign w:val="center"/>
          </w:tcPr>
          <w:p w14:paraId="2614BBFA" w14:textId="77777777" w:rsidR="00C91A69" w:rsidRPr="001B015B" w:rsidRDefault="00C91A69" w:rsidP="00CA7F04">
            <w:pPr>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047C3ADE" w14:textId="77777777" w:rsidR="00C91A69" w:rsidRPr="001B015B" w:rsidRDefault="00C91A69" w:rsidP="00CA7F04">
            <w:pPr>
              <w:jc w:val="right"/>
              <w:rPr>
                <w:rFonts w:ascii="Arial" w:eastAsia="Calibri" w:hAnsi="Arial" w:cs="Arial"/>
                <w:b/>
                <w:bCs/>
                <w:color w:val="000000" w:themeColor="text1"/>
                <w:sz w:val="18"/>
                <w:szCs w:val="18"/>
              </w:rPr>
            </w:pPr>
          </w:p>
        </w:tc>
        <w:tc>
          <w:tcPr>
            <w:tcW w:w="1085" w:type="dxa"/>
            <w:tcBorders>
              <w:top w:val="nil"/>
              <w:left w:val="nil"/>
              <w:bottom w:val="nil"/>
              <w:right w:val="nil"/>
            </w:tcBorders>
            <w:shd w:val="clear" w:color="auto" w:fill="auto"/>
            <w:vAlign w:val="center"/>
          </w:tcPr>
          <w:p w14:paraId="2CEB1058" w14:textId="77777777" w:rsidR="00C91A69" w:rsidRPr="001B015B" w:rsidRDefault="00C91A69" w:rsidP="00CA7F04">
            <w:pPr>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50DED490" w14:textId="77777777" w:rsidR="00C91A69" w:rsidRPr="001B015B" w:rsidRDefault="00C91A69" w:rsidP="00CA7F04">
            <w:pPr>
              <w:jc w:val="right"/>
              <w:rPr>
                <w:rFonts w:ascii="Arial" w:eastAsia="Calibri" w:hAnsi="Arial" w:cs="Arial"/>
                <w:b/>
                <w:bCs/>
                <w:color w:val="000000" w:themeColor="text1"/>
                <w:sz w:val="18"/>
                <w:szCs w:val="18"/>
              </w:rPr>
            </w:pPr>
          </w:p>
        </w:tc>
        <w:tc>
          <w:tcPr>
            <w:tcW w:w="1086" w:type="dxa"/>
            <w:tcBorders>
              <w:top w:val="nil"/>
              <w:left w:val="nil"/>
              <w:bottom w:val="nil"/>
              <w:right w:val="nil"/>
            </w:tcBorders>
            <w:shd w:val="clear" w:color="auto" w:fill="auto"/>
            <w:vAlign w:val="center"/>
          </w:tcPr>
          <w:p w14:paraId="0F8D74ED" w14:textId="77777777" w:rsidR="00C91A69" w:rsidRPr="001B015B" w:rsidRDefault="00C91A69" w:rsidP="00CA7F04">
            <w:pPr>
              <w:jc w:val="right"/>
              <w:rPr>
                <w:rFonts w:ascii="Arial" w:eastAsia="Calibri" w:hAnsi="Arial" w:cs="Arial"/>
                <w:b/>
                <w:bCs/>
                <w:color w:val="000000" w:themeColor="text1"/>
                <w:sz w:val="18"/>
                <w:szCs w:val="18"/>
              </w:rPr>
            </w:pPr>
          </w:p>
        </w:tc>
      </w:tr>
      <w:tr w:rsidR="00C91A69" w:rsidRPr="001B015B" w14:paraId="7C4CAD78" w14:textId="77777777" w:rsidTr="00CA7F04">
        <w:trPr>
          <w:trHeight w:val="174"/>
        </w:trPr>
        <w:tc>
          <w:tcPr>
            <w:tcW w:w="3946" w:type="dxa"/>
            <w:tcBorders>
              <w:top w:val="nil"/>
              <w:left w:val="nil"/>
              <w:bottom w:val="nil"/>
              <w:right w:val="nil"/>
            </w:tcBorders>
            <w:shd w:val="clear" w:color="auto" w:fill="auto"/>
            <w:vAlign w:val="center"/>
            <w:hideMark/>
          </w:tcPr>
          <w:p w14:paraId="57704673" w14:textId="77777777" w:rsidR="00C91A69" w:rsidRPr="001B015B" w:rsidRDefault="00C91A69" w:rsidP="00CA7F04">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31. prosinca 202</w:t>
            </w:r>
            <w:r>
              <w:rPr>
                <w:rFonts w:ascii="Arial" w:eastAsia="Calibri" w:hAnsi="Arial" w:cs="Arial"/>
                <w:b/>
                <w:bCs/>
                <w:color w:val="000000" w:themeColor="text1"/>
                <w:sz w:val="18"/>
                <w:szCs w:val="18"/>
              </w:rPr>
              <w:t>3</w:t>
            </w:r>
            <w:r w:rsidRPr="001B015B">
              <w:rPr>
                <w:rFonts w:ascii="Arial" w:eastAsia="Calibri" w:hAnsi="Arial" w:cs="Arial"/>
                <w:b/>
                <w:bCs/>
                <w:color w:val="000000" w:themeColor="text1"/>
                <w:sz w:val="18"/>
                <w:szCs w:val="18"/>
              </w:rPr>
              <w:t>.</w:t>
            </w:r>
          </w:p>
        </w:tc>
        <w:tc>
          <w:tcPr>
            <w:tcW w:w="1084" w:type="dxa"/>
            <w:tcBorders>
              <w:top w:val="nil"/>
              <w:left w:val="nil"/>
              <w:bottom w:val="nil"/>
              <w:right w:val="nil"/>
            </w:tcBorders>
            <w:shd w:val="clear" w:color="auto" w:fill="auto"/>
            <w:vAlign w:val="center"/>
            <w:hideMark/>
          </w:tcPr>
          <w:p w14:paraId="094B85DE" w14:textId="77777777" w:rsidR="00C91A69" w:rsidRPr="001B015B" w:rsidRDefault="00C91A69"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1</w:t>
            </w:r>
          </w:p>
        </w:tc>
        <w:tc>
          <w:tcPr>
            <w:tcW w:w="1084" w:type="dxa"/>
            <w:tcBorders>
              <w:top w:val="nil"/>
              <w:left w:val="nil"/>
              <w:bottom w:val="nil"/>
              <w:right w:val="nil"/>
            </w:tcBorders>
            <w:shd w:val="clear" w:color="auto" w:fill="auto"/>
            <w:vAlign w:val="center"/>
            <w:hideMark/>
          </w:tcPr>
          <w:p w14:paraId="315B5231" w14:textId="77777777" w:rsidR="00C91A69" w:rsidRPr="001B015B" w:rsidRDefault="00C91A69"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2</w:t>
            </w:r>
          </w:p>
        </w:tc>
        <w:tc>
          <w:tcPr>
            <w:tcW w:w="1085" w:type="dxa"/>
            <w:tcBorders>
              <w:top w:val="nil"/>
              <w:left w:val="nil"/>
              <w:bottom w:val="nil"/>
              <w:right w:val="nil"/>
            </w:tcBorders>
            <w:shd w:val="clear" w:color="auto" w:fill="auto"/>
            <w:vAlign w:val="center"/>
            <w:hideMark/>
          </w:tcPr>
          <w:p w14:paraId="176CF2A7" w14:textId="77777777" w:rsidR="00C91A69" w:rsidRPr="001B015B" w:rsidRDefault="00C91A69"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3</w:t>
            </w:r>
          </w:p>
        </w:tc>
        <w:tc>
          <w:tcPr>
            <w:tcW w:w="1084" w:type="dxa"/>
            <w:tcBorders>
              <w:top w:val="nil"/>
              <w:left w:val="nil"/>
              <w:bottom w:val="nil"/>
              <w:right w:val="nil"/>
            </w:tcBorders>
            <w:shd w:val="clear" w:color="auto" w:fill="auto"/>
            <w:vAlign w:val="center"/>
            <w:hideMark/>
          </w:tcPr>
          <w:p w14:paraId="49A5A3C5" w14:textId="77777777" w:rsidR="00C91A69" w:rsidRPr="001B015B" w:rsidRDefault="00C91A69"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POCI</w:t>
            </w:r>
          </w:p>
        </w:tc>
        <w:tc>
          <w:tcPr>
            <w:tcW w:w="1086" w:type="dxa"/>
            <w:tcBorders>
              <w:top w:val="nil"/>
              <w:left w:val="nil"/>
              <w:bottom w:val="nil"/>
              <w:right w:val="nil"/>
            </w:tcBorders>
            <w:shd w:val="clear" w:color="auto" w:fill="auto"/>
            <w:vAlign w:val="center"/>
            <w:hideMark/>
          </w:tcPr>
          <w:p w14:paraId="728891C2" w14:textId="77777777" w:rsidR="00C91A69" w:rsidRPr="001B015B" w:rsidRDefault="00C91A69"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Ukupno</w:t>
            </w:r>
          </w:p>
        </w:tc>
      </w:tr>
      <w:tr w:rsidR="00C91A69" w:rsidRPr="001B015B" w14:paraId="78E7B745" w14:textId="77777777" w:rsidTr="00CA7F04">
        <w:trPr>
          <w:trHeight w:val="174"/>
        </w:trPr>
        <w:tc>
          <w:tcPr>
            <w:tcW w:w="3946" w:type="dxa"/>
            <w:tcBorders>
              <w:top w:val="nil"/>
              <w:left w:val="nil"/>
              <w:bottom w:val="nil"/>
              <w:right w:val="nil"/>
            </w:tcBorders>
            <w:shd w:val="clear" w:color="auto" w:fill="auto"/>
            <w:vAlign w:val="center"/>
            <w:hideMark/>
          </w:tcPr>
          <w:p w14:paraId="24A7C750" w14:textId="77777777" w:rsidR="00C91A69" w:rsidRPr="001B015B" w:rsidRDefault="00C91A69" w:rsidP="00CA7F04">
            <w:pPr>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bottom"/>
            <w:hideMark/>
          </w:tcPr>
          <w:p w14:paraId="5395FF22" w14:textId="77777777" w:rsidR="00C91A69" w:rsidRPr="001B015B" w:rsidRDefault="00C91A69" w:rsidP="00CA7F04">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84" w:type="dxa"/>
            <w:tcBorders>
              <w:top w:val="nil"/>
              <w:left w:val="nil"/>
              <w:bottom w:val="nil"/>
              <w:right w:val="nil"/>
            </w:tcBorders>
            <w:shd w:val="clear" w:color="auto" w:fill="auto"/>
            <w:vAlign w:val="bottom"/>
            <w:hideMark/>
          </w:tcPr>
          <w:p w14:paraId="3C69A899" w14:textId="77777777" w:rsidR="00C91A69" w:rsidRPr="001B015B" w:rsidRDefault="00C91A69" w:rsidP="00CA7F04">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85" w:type="dxa"/>
            <w:tcBorders>
              <w:top w:val="nil"/>
              <w:left w:val="nil"/>
              <w:bottom w:val="nil"/>
              <w:right w:val="nil"/>
            </w:tcBorders>
            <w:shd w:val="clear" w:color="auto" w:fill="auto"/>
            <w:vAlign w:val="bottom"/>
            <w:hideMark/>
          </w:tcPr>
          <w:p w14:paraId="3C75C8FA" w14:textId="77777777" w:rsidR="00C91A69" w:rsidRPr="001B015B" w:rsidRDefault="00C91A69" w:rsidP="00CA7F04">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84" w:type="dxa"/>
            <w:tcBorders>
              <w:top w:val="nil"/>
              <w:left w:val="nil"/>
              <w:bottom w:val="nil"/>
              <w:right w:val="nil"/>
            </w:tcBorders>
            <w:shd w:val="clear" w:color="auto" w:fill="auto"/>
            <w:vAlign w:val="bottom"/>
            <w:hideMark/>
          </w:tcPr>
          <w:p w14:paraId="0DABFF08" w14:textId="77777777" w:rsidR="00C91A69" w:rsidRPr="001B015B" w:rsidRDefault="00C91A69" w:rsidP="00CA7F04">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86" w:type="dxa"/>
            <w:tcBorders>
              <w:top w:val="nil"/>
              <w:left w:val="nil"/>
              <w:bottom w:val="nil"/>
              <w:right w:val="nil"/>
            </w:tcBorders>
            <w:shd w:val="clear" w:color="auto" w:fill="auto"/>
            <w:vAlign w:val="bottom"/>
            <w:hideMark/>
          </w:tcPr>
          <w:p w14:paraId="1A639214" w14:textId="77777777" w:rsidR="00C91A69" w:rsidRPr="001B015B" w:rsidRDefault="00C91A69" w:rsidP="00CA7F04">
            <w:pPr>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r>
      <w:tr w:rsidR="00C91A69" w:rsidRPr="001B015B" w14:paraId="000C6616" w14:textId="77777777" w:rsidTr="00CA7F04">
        <w:trPr>
          <w:trHeight w:val="174"/>
        </w:trPr>
        <w:tc>
          <w:tcPr>
            <w:tcW w:w="3946" w:type="dxa"/>
            <w:tcBorders>
              <w:top w:val="nil"/>
              <w:left w:val="nil"/>
              <w:bottom w:val="nil"/>
              <w:right w:val="nil"/>
            </w:tcBorders>
            <w:shd w:val="clear" w:color="auto" w:fill="auto"/>
            <w:vAlign w:val="center"/>
          </w:tcPr>
          <w:p w14:paraId="6C6EC022" w14:textId="77777777" w:rsidR="00C91A69" w:rsidRPr="001B015B" w:rsidRDefault="00C91A69" w:rsidP="00CA7F04">
            <w:pPr>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6FCDD21C" w14:textId="77777777" w:rsidR="00C91A69" w:rsidRPr="001B015B" w:rsidRDefault="00C91A69" w:rsidP="00CA7F04">
            <w:pPr>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46025C74" w14:textId="77777777" w:rsidR="00C91A69" w:rsidRPr="001B015B" w:rsidRDefault="00C91A69" w:rsidP="00CA7F04">
            <w:pPr>
              <w:jc w:val="right"/>
              <w:rPr>
                <w:rFonts w:ascii="Arial" w:eastAsia="Calibri" w:hAnsi="Arial" w:cs="Arial"/>
                <w:b/>
                <w:bCs/>
                <w:color w:val="000000" w:themeColor="text1"/>
                <w:sz w:val="18"/>
                <w:szCs w:val="18"/>
              </w:rPr>
            </w:pPr>
          </w:p>
        </w:tc>
        <w:tc>
          <w:tcPr>
            <w:tcW w:w="1085" w:type="dxa"/>
            <w:tcBorders>
              <w:top w:val="nil"/>
              <w:left w:val="nil"/>
              <w:bottom w:val="nil"/>
              <w:right w:val="nil"/>
            </w:tcBorders>
            <w:shd w:val="clear" w:color="auto" w:fill="auto"/>
            <w:vAlign w:val="center"/>
          </w:tcPr>
          <w:p w14:paraId="63A1B7B6" w14:textId="77777777" w:rsidR="00C91A69" w:rsidRPr="001B015B" w:rsidRDefault="00C91A69" w:rsidP="00CA7F04">
            <w:pPr>
              <w:jc w:val="right"/>
              <w:rPr>
                <w:rFonts w:ascii="Arial" w:eastAsia="Calibri" w:hAnsi="Arial" w:cs="Arial"/>
                <w:b/>
                <w:bCs/>
                <w:color w:val="000000" w:themeColor="text1"/>
                <w:sz w:val="18"/>
                <w:szCs w:val="18"/>
              </w:rPr>
            </w:pPr>
          </w:p>
        </w:tc>
        <w:tc>
          <w:tcPr>
            <w:tcW w:w="1084" w:type="dxa"/>
            <w:tcBorders>
              <w:top w:val="nil"/>
              <w:left w:val="nil"/>
              <w:bottom w:val="nil"/>
              <w:right w:val="nil"/>
            </w:tcBorders>
            <w:shd w:val="clear" w:color="auto" w:fill="auto"/>
            <w:vAlign w:val="center"/>
          </w:tcPr>
          <w:p w14:paraId="4E11BEB2" w14:textId="77777777" w:rsidR="00C91A69" w:rsidRPr="001B015B" w:rsidRDefault="00C91A69" w:rsidP="00CA7F04">
            <w:pPr>
              <w:jc w:val="right"/>
              <w:rPr>
                <w:rFonts w:ascii="Arial" w:eastAsia="Calibri" w:hAnsi="Arial" w:cs="Arial"/>
                <w:b/>
                <w:bCs/>
                <w:color w:val="000000" w:themeColor="text1"/>
                <w:sz w:val="18"/>
                <w:szCs w:val="18"/>
              </w:rPr>
            </w:pPr>
          </w:p>
        </w:tc>
        <w:tc>
          <w:tcPr>
            <w:tcW w:w="1086" w:type="dxa"/>
            <w:tcBorders>
              <w:top w:val="nil"/>
              <w:left w:val="nil"/>
              <w:bottom w:val="nil"/>
              <w:right w:val="nil"/>
            </w:tcBorders>
            <w:shd w:val="clear" w:color="auto" w:fill="auto"/>
            <w:vAlign w:val="center"/>
          </w:tcPr>
          <w:p w14:paraId="19CD9CFD" w14:textId="77777777" w:rsidR="00C91A69" w:rsidRPr="001B015B" w:rsidRDefault="00C91A69" w:rsidP="00CA7F04">
            <w:pPr>
              <w:jc w:val="right"/>
              <w:rPr>
                <w:rFonts w:ascii="Arial" w:eastAsia="Calibri" w:hAnsi="Arial" w:cs="Arial"/>
                <w:b/>
                <w:bCs/>
                <w:color w:val="000000" w:themeColor="text1"/>
                <w:sz w:val="18"/>
                <w:szCs w:val="18"/>
              </w:rPr>
            </w:pPr>
          </w:p>
        </w:tc>
      </w:tr>
      <w:tr w:rsidR="00C91A69" w:rsidRPr="001B015B" w14:paraId="1EB314C1" w14:textId="77777777" w:rsidTr="00CA7F04">
        <w:trPr>
          <w:trHeight w:val="174"/>
        </w:trPr>
        <w:tc>
          <w:tcPr>
            <w:tcW w:w="3946" w:type="dxa"/>
            <w:tcBorders>
              <w:top w:val="nil"/>
              <w:left w:val="nil"/>
              <w:bottom w:val="nil"/>
              <w:right w:val="nil"/>
            </w:tcBorders>
            <w:shd w:val="clear" w:color="auto" w:fill="auto"/>
            <w:vAlign w:val="center"/>
            <w:hideMark/>
          </w:tcPr>
          <w:p w14:paraId="76B51B1A" w14:textId="77777777" w:rsidR="00C91A69" w:rsidRPr="001B015B" w:rsidRDefault="00C91A69"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3</w:t>
            </w:r>
            <w:r w:rsidRPr="001B015B">
              <w:rPr>
                <w:rFonts w:ascii="Arial" w:eastAsia="Calibri" w:hAnsi="Arial" w:cs="Arial"/>
                <w:color w:val="000000" w:themeColor="text1"/>
                <w:sz w:val="18"/>
                <w:szCs w:val="18"/>
              </w:rPr>
              <w:t xml:space="preserve">. </w:t>
            </w:r>
          </w:p>
        </w:tc>
        <w:tc>
          <w:tcPr>
            <w:tcW w:w="1084" w:type="dxa"/>
            <w:tcBorders>
              <w:top w:val="nil"/>
              <w:left w:val="nil"/>
              <w:bottom w:val="nil"/>
              <w:right w:val="nil"/>
            </w:tcBorders>
            <w:shd w:val="clear" w:color="auto" w:fill="auto"/>
            <w:vAlign w:val="bottom"/>
          </w:tcPr>
          <w:p w14:paraId="1CDDAEBB" w14:textId="77777777" w:rsidR="00C91A69" w:rsidRPr="00852BF5" w:rsidRDefault="00C91A69" w:rsidP="00CA7F04">
            <w:pPr>
              <w:jc w:val="right"/>
              <w:rPr>
                <w:rFonts w:ascii="Arial" w:hAnsi="Arial" w:cs="Arial"/>
                <w:sz w:val="18"/>
                <w:szCs w:val="18"/>
              </w:rPr>
            </w:pPr>
            <w:r w:rsidRPr="00F959D0">
              <w:rPr>
                <w:rFonts w:ascii="Arial" w:hAnsi="Arial" w:cs="Arial"/>
                <w:sz w:val="18"/>
                <w:szCs w:val="18"/>
              </w:rPr>
              <w:t xml:space="preserve"> 3.544 </w:t>
            </w:r>
          </w:p>
        </w:tc>
        <w:tc>
          <w:tcPr>
            <w:tcW w:w="1084" w:type="dxa"/>
            <w:tcBorders>
              <w:top w:val="nil"/>
              <w:left w:val="nil"/>
              <w:bottom w:val="nil"/>
              <w:right w:val="nil"/>
            </w:tcBorders>
            <w:shd w:val="clear" w:color="auto" w:fill="auto"/>
            <w:vAlign w:val="bottom"/>
          </w:tcPr>
          <w:p w14:paraId="7F850DFA" w14:textId="77777777" w:rsidR="00C91A69" w:rsidRPr="00852BF5" w:rsidRDefault="00C91A69" w:rsidP="00CA7F04">
            <w:pPr>
              <w:jc w:val="right"/>
              <w:rPr>
                <w:rFonts w:ascii="Arial" w:hAnsi="Arial" w:cs="Arial"/>
                <w:sz w:val="18"/>
                <w:szCs w:val="18"/>
              </w:rPr>
            </w:pPr>
            <w:r w:rsidRPr="00F959D0">
              <w:rPr>
                <w:rFonts w:ascii="Arial" w:hAnsi="Arial" w:cs="Arial"/>
                <w:sz w:val="18"/>
                <w:szCs w:val="18"/>
              </w:rPr>
              <w:t xml:space="preserve"> 3.635 </w:t>
            </w:r>
          </w:p>
        </w:tc>
        <w:tc>
          <w:tcPr>
            <w:tcW w:w="1085" w:type="dxa"/>
            <w:tcBorders>
              <w:top w:val="nil"/>
              <w:left w:val="nil"/>
              <w:bottom w:val="nil"/>
              <w:right w:val="nil"/>
            </w:tcBorders>
            <w:shd w:val="clear" w:color="auto" w:fill="auto"/>
            <w:vAlign w:val="bottom"/>
          </w:tcPr>
          <w:p w14:paraId="2E762C0E" w14:textId="77777777" w:rsidR="00C91A69" w:rsidRPr="00852BF5" w:rsidRDefault="00C91A69" w:rsidP="00CA7F04">
            <w:pPr>
              <w:jc w:val="right"/>
              <w:rPr>
                <w:rFonts w:ascii="Arial" w:hAnsi="Arial" w:cs="Arial"/>
                <w:sz w:val="18"/>
                <w:szCs w:val="18"/>
              </w:rPr>
            </w:pPr>
            <w:r w:rsidRPr="00F959D0">
              <w:rPr>
                <w:rFonts w:ascii="Arial" w:hAnsi="Arial" w:cs="Arial"/>
                <w:sz w:val="18"/>
                <w:szCs w:val="18"/>
              </w:rPr>
              <w:t xml:space="preserve"> 899 </w:t>
            </w:r>
          </w:p>
        </w:tc>
        <w:tc>
          <w:tcPr>
            <w:tcW w:w="1084" w:type="dxa"/>
            <w:tcBorders>
              <w:top w:val="nil"/>
              <w:left w:val="nil"/>
              <w:bottom w:val="nil"/>
              <w:right w:val="nil"/>
            </w:tcBorders>
            <w:shd w:val="clear" w:color="auto" w:fill="auto"/>
            <w:vAlign w:val="bottom"/>
          </w:tcPr>
          <w:p w14:paraId="0684CEDC" w14:textId="77777777" w:rsidR="00C91A69" w:rsidRPr="00852BF5" w:rsidRDefault="00C91A69" w:rsidP="00CA7F04">
            <w:pPr>
              <w:jc w:val="right"/>
              <w:rPr>
                <w:rFonts w:ascii="Arial" w:hAnsi="Arial" w:cs="Arial"/>
                <w:sz w:val="18"/>
                <w:szCs w:val="18"/>
              </w:rPr>
            </w:pPr>
            <w:r w:rsidRPr="00F959D0">
              <w:rPr>
                <w:rFonts w:ascii="Arial" w:hAnsi="Arial" w:cs="Arial"/>
                <w:sz w:val="18"/>
                <w:szCs w:val="18"/>
              </w:rPr>
              <w:t xml:space="preserve"> - </w:t>
            </w:r>
          </w:p>
        </w:tc>
        <w:tc>
          <w:tcPr>
            <w:tcW w:w="1086" w:type="dxa"/>
            <w:tcBorders>
              <w:top w:val="nil"/>
              <w:left w:val="nil"/>
              <w:bottom w:val="nil"/>
              <w:right w:val="nil"/>
            </w:tcBorders>
            <w:shd w:val="clear" w:color="auto" w:fill="auto"/>
            <w:vAlign w:val="bottom"/>
          </w:tcPr>
          <w:p w14:paraId="3000831F" w14:textId="77777777" w:rsidR="00C91A69" w:rsidRPr="005D1219" w:rsidRDefault="00C91A69" w:rsidP="00CA7F04">
            <w:pPr>
              <w:jc w:val="right"/>
              <w:rPr>
                <w:rFonts w:ascii="Arial" w:hAnsi="Arial" w:cs="Arial"/>
                <w:b/>
                <w:bCs/>
                <w:sz w:val="18"/>
                <w:szCs w:val="18"/>
              </w:rPr>
            </w:pPr>
            <w:r w:rsidRPr="005D1219">
              <w:rPr>
                <w:rFonts w:ascii="Arial" w:hAnsi="Arial" w:cs="Arial"/>
                <w:b/>
                <w:bCs/>
                <w:sz w:val="18"/>
                <w:szCs w:val="18"/>
              </w:rPr>
              <w:t xml:space="preserve"> 8.078 </w:t>
            </w:r>
          </w:p>
        </w:tc>
      </w:tr>
      <w:tr w:rsidR="00C91A69" w:rsidRPr="001B015B" w14:paraId="1258DAED" w14:textId="77777777" w:rsidTr="00CA7F04">
        <w:trPr>
          <w:trHeight w:val="174"/>
        </w:trPr>
        <w:tc>
          <w:tcPr>
            <w:tcW w:w="3946" w:type="dxa"/>
            <w:tcBorders>
              <w:top w:val="nil"/>
              <w:left w:val="nil"/>
              <w:bottom w:val="nil"/>
              <w:right w:val="nil"/>
            </w:tcBorders>
            <w:shd w:val="clear" w:color="auto" w:fill="auto"/>
            <w:vAlign w:val="center"/>
          </w:tcPr>
          <w:p w14:paraId="572FF772" w14:textId="77777777" w:rsidR="00C91A69" w:rsidRPr="001B015B" w:rsidRDefault="00C91A69" w:rsidP="00CA7F04">
            <w:pPr>
              <w:rPr>
                <w:rFonts w:ascii="Arial" w:eastAsia="Calibri" w:hAnsi="Arial" w:cs="Arial"/>
                <w:color w:val="000000" w:themeColor="text1"/>
                <w:sz w:val="18"/>
                <w:szCs w:val="18"/>
              </w:rPr>
            </w:pPr>
            <w:r w:rsidRPr="00495ED1">
              <w:rPr>
                <w:rFonts w:ascii="Arial" w:eastAsia="Calibri" w:hAnsi="Arial" w:cs="Arial"/>
                <w:color w:val="000000" w:themeColor="text1"/>
                <w:sz w:val="18"/>
                <w:szCs w:val="18"/>
              </w:rPr>
              <w:t>Korekcija početnog stanja</w:t>
            </w:r>
          </w:p>
        </w:tc>
        <w:tc>
          <w:tcPr>
            <w:tcW w:w="1084" w:type="dxa"/>
            <w:tcBorders>
              <w:top w:val="nil"/>
              <w:left w:val="nil"/>
              <w:bottom w:val="nil"/>
              <w:right w:val="nil"/>
            </w:tcBorders>
            <w:shd w:val="clear" w:color="auto" w:fill="auto"/>
            <w:vAlign w:val="bottom"/>
          </w:tcPr>
          <w:p w14:paraId="6634A741" w14:textId="77777777" w:rsidR="00C91A69" w:rsidRPr="00852BF5" w:rsidRDefault="00C91A69" w:rsidP="00CA7F04">
            <w:pPr>
              <w:jc w:val="right"/>
              <w:rPr>
                <w:rFonts w:ascii="Arial" w:hAnsi="Arial" w:cs="Arial"/>
                <w:sz w:val="18"/>
                <w:szCs w:val="18"/>
              </w:rPr>
            </w:pPr>
            <w:r>
              <w:rPr>
                <w:rFonts w:ascii="Arial" w:hAnsi="Arial" w:cs="Arial"/>
                <w:sz w:val="18"/>
                <w:szCs w:val="18"/>
              </w:rPr>
              <w:t>-</w:t>
            </w:r>
          </w:p>
        </w:tc>
        <w:tc>
          <w:tcPr>
            <w:tcW w:w="1084" w:type="dxa"/>
            <w:tcBorders>
              <w:top w:val="nil"/>
              <w:left w:val="nil"/>
              <w:bottom w:val="nil"/>
              <w:right w:val="nil"/>
            </w:tcBorders>
            <w:shd w:val="clear" w:color="auto" w:fill="auto"/>
            <w:vAlign w:val="bottom"/>
          </w:tcPr>
          <w:p w14:paraId="0D015676" w14:textId="77777777" w:rsidR="00C91A69" w:rsidRPr="00852BF5" w:rsidRDefault="00C91A69" w:rsidP="00CA7F04">
            <w:pPr>
              <w:jc w:val="right"/>
              <w:rPr>
                <w:rFonts w:ascii="Arial" w:hAnsi="Arial" w:cs="Arial"/>
                <w:sz w:val="18"/>
                <w:szCs w:val="18"/>
              </w:rPr>
            </w:pPr>
            <w:r>
              <w:rPr>
                <w:rFonts w:ascii="Arial" w:hAnsi="Arial" w:cs="Arial"/>
                <w:sz w:val="18"/>
                <w:szCs w:val="18"/>
              </w:rPr>
              <w:t>-</w:t>
            </w:r>
          </w:p>
        </w:tc>
        <w:tc>
          <w:tcPr>
            <w:tcW w:w="1085" w:type="dxa"/>
            <w:tcBorders>
              <w:top w:val="nil"/>
              <w:left w:val="nil"/>
              <w:bottom w:val="nil"/>
              <w:right w:val="nil"/>
            </w:tcBorders>
            <w:shd w:val="clear" w:color="auto" w:fill="auto"/>
            <w:vAlign w:val="bottom"/>
          </w:tcPr>
          <w:p w14:paraId="075EAB49" w14:textId="77777777" w:rsidR="00C91A69" w:rsidRPr="00852BF5" w:rsidRDefault="00C91A69" w:rsidP="00CA7F04">
            <w:pPr>
              <w:jc w:val="right"/>
              <w:rPr>
                <w:rFonts w:ascii="Arial" w:hAnsi="Arial" w:cs="Arial"/>
                <w:sz w:val="18"/>
                <w:szCs w:val="18"/>
              </w:rPr>
            </w:pPr>
            <w:r w:rsidRPr="00495ED1">
              <w:rPr>
                <w:rFonts w:ascii="Arial" w:hAnsi="Arial" w:cs="Arial"/>
                <w:sz w:val="18"/>
                <w:szCs w:val="18"/>
              </w:rPr>
              <w:t>(5)</w:t>
            </w:r>
          </w:p>
        </w:tc>
        <w:tc>
          <w:tcPr>
            <w:tcW w:w="1084" w:type="dxa"/>
            <w:tcBorders>
              <w:top w:val="nil"/>
              <w:left w:val="nil"/>
              <w:bottom w:val="nil"/>
              <w:right w:val="nil"/>
            </w:tcBorders>
            <w:shd w:val="clear" w:color="auto" w:fill="auto"/>
            <w:vAlign w:val="bottom"/>
          </w:tcPr>
          <w:p w14:paraId="55DDCEC2" w14:textId="77777777" w:rsidR="00C91A69" w:rsidRPr="00852BF5" w:rsidRDefault="00C91A69" w:rsidP="00CA7F04">
            <w:pPr>
              <w:jc w:val="right"/>
              <w:rPr>
                <w:rFonts w:ascii="Arial" w:hAnsi="Arial" w:cs="Arial"/>
                <w:sz w:val="18"/>
                <w:szCs w:val="18"/>
              </w:rPr>
            </w:pPr>
            <w:r>
              <w:rPr>
                <w:rFonts w:ascii="Arial" w:hAnsi="Arial" w:cs="Arial"/>
                <w:sz w:val="18"/>
                <w:szCs w:val="18"/>
              </w:rPr>
              <w:t>-</w:t>
            </w:r>
          </w:p>
        </w:tc>
        <w:tc>
          <w:tcPr>
            <w:tcW w:w="1086" w:type="dxa"/>
            <w:tcBorders>
              <w:top w:val="nil"/>
              <w:left w:val="nil"/>
              <w:bottom w:val="nil"/>
              <w:right w:val="nil"/>
            </w:tcBorders>
            <w:shd w:val="clear" w:color="auto" w:fill="auto"/>
            <w:vAlign w:val="bottom"/>
          </w:tcPr>
          <w:p w14:paraId="3951CE01" w14:textId="77777777" w:rsidR="00C91A69" w:rsidRPr="005D1219" w:rsidRDefault="00C91A69" w:rsidP="00CA7F04">
            <w:pPr>
              <w:jc w:val="right"/>
              <w:rPr>
                <w:rFonts w:ascii="Arial" w:hAnsi="Arial" w:cs="Arial"/>
                <w:b/>
                <w:bCs/>
                <w:sz w:val="18"/>
                <w:szCs w:val="18"/>
              </w:rPr>
            </w:pPr>
            <w:r w:rsidRPr="005D1219">
              <w:rPr>
                <w:rFonts w:ascii="Arial" w:hAnsi="Arial" w:cs="Arial"/>
                <w:b/>
                <w:bCs/>
                <w:sz w:val="18"/>
                <w:szCs w:val="18"/>
              </w:rPr>
              <w:t>(5)</w:t>
            </w:r>
          </w:p>
        </w:tc>
      </w:tr>
      <w:tr w:rsidR="00C91A69" w:rsidRPr="001B015B" w14:paraId="2C2F59D4" w14:textId="77777777" w:rsidTr="00CA7F04">
        <w:trPr>
          <w:trHeight w:val="174"/>
        </w:trPr>
        <w:tc>
          <w:tcPr>
            <w:tcW w:w="3946" w:type="dxa"/>
            <w:tcBorders>
              <w:top w:val="nil"/>
              <w:left w:val="nil"/>
              <w:bottom w:val="nil"/>
              <w:right w:val="nil"/>
            </w:tcBorders>
            <w:shd w:val="clear" w:color="auto" w:fill="auto"/>
            <w:hideMark/>
          </w:tcPr>
          <w:p w14:paraId="75D37269" w14:textId="77777777" w:rsidR="00C91A69" w:rsidRPr="001B015B" w:rsidRDefault="00C91A69"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1</w:t>
            </w:r>
          </w:p>
        </w:tc>
        <w:tc>
          <w:tcPr>
            <w:tcW w:w="1084" w:type="dxa"/>
            <w:tcBorders>
              <w:top w:val="nil"/>
              <w:left w:val="nil"/>
              <w:bottom w:val="nil"/>
              <w:right w:val="nil"/>
            </w:tcBorders>
            <w:shd w:val="clear" w:color="auto" w:fill="auto"/>
            <w:vAlign w:val="bottom"/>
          </w:tcPr>
          <w:p w14:paraId="4BD92ED0" w14:textId="77777777" w:rsidR="00C91A69" w:rsidRPr="00852BF5" w:rsidRDefault="00C91A69" w:rsidP="00CA7F04">
            <w:pPr>
              <w:jc w:val="right"/>
              <w:rPr>
                <w:rFonts w:ascii="Arial" w:hAnsi="Arial" w:cs="Arial"/>
                <w:sz w:val="18"/>
                <w:szCs w:val="18"/>
              </w:rPr>
            </w:pPr>
            <w:r w:rsidRPr="00F959D0">
              <w:rPr>
                <w:rFonts w:ascii="Arial" w:hAnsi="Arial" w:cs="Arial"/>
                <w:sz w:val="18"/>
                <w:szCs w:val="18"/>
              </w:rPr>
              <w:t xml:space="preserve"> 558 </w:t>
            </w:r>
          </w:p>
        </w:tc>
        <w:tc>
          <w:tcPr>
            <w:tcW w:w="1084" w:type="dxa"/>
            <w:tcBorders>
              <w:top w:val="nil"/>
              <w:left w:val="nil"/>
              <w:bottom w:val="nil"/>
              <w:right w:val="nil"/>
            </w:tcBorders>
            <w:shd w:val="clear" w:color="auto" w:fill="auto"/>
            <w:vAlign w:val="bottom"/>
          </w:tcPr>
          <w:p w14:paraId="65E5C763" w14:textId="77777777" w:rsidR="00C91A69" w:rsidRPr="00852BF5" w:rsidRDefault="00C91A69" w:rsidP="00CA7F04">
            <w:pPr>
              <w:jc w:val="right"/>
              <w:rPr>
                <w:rFonts w:ascii="Arial" w:hAnsi="Arial" w:cs="Arial"/>
                <w:sz w:val="18"/>
                <w:szCs w:val="18"/>
              </w:rPr>
            </w:pPr>
            <w:r w:rsidRPr="00F959D0">
              <w:rPr>
                <w:rFonts w:ascii="Arial" w:hAnsi="Arial" w:cs="Arial"/>
                <w:sz w:val="18"/>
                <w:szCs w:val="18"/>
              </w:rPr>
              <w:t xml:space="preserve"> (558)</w:t>
            </w:r>
          </w:p>
        </w:tc>
        <w:tc>
          <w:tcPr>
            <w:tcW w:w="1085" w:type="dxa"/>
            <w:tcBorders>
              <w:top w:val="nil"/>
              <w:left w:val="nil"/>
              <w:bottom w:val="nil"/>
              <w:right w:val="nil"/>
            </w:tcBorders>
            <w:shd w:val="clear" w:color="auto" w:fill="auto"/>
            <w:vAlign w:val="bottom"/>
          </w:tcPr>
          <w:p w14:paraId="3B1F1B66" w14:textId="77777777" w:rsidR="00C91A69" w:rsidRPr="00852BF5" w:rsidRDefault="00C91A69" w:rsidP="00CA7F04">
            <w:pPr>
              <w:jc w:val="right"/>
              <w:rPr>
                <w:rFonts w:ascii="Arial" w:hAnsi="Arial" w:cs="Arial"/>
                <w:sz w:val="18"/>
                <w:szCs w:val="18"/>
              </w:rPr>
            </w:pPr>
            <w:r>
              <w:rPr>
                <w:rFonts w:ascii="Arial" w:hAnsi="Arial" w:cs="Arial"/>
                <w:sz w:val="18"/>
                <w:szCs w:val="18"/>
              </w:rPr>
              <w:t>-</w:t>
            </w:r>
          </w:p>
        </w:tc>
        <w:tc>
          <w:tcPr>
            <w:tcW w:w="1084" w:type="dxa"/>
            <w:tcBorders>
              <w:top w:val="nil"/>
              <w:left w:val="nil"/>
              <w:bottom w:val="nil"/>
              <w:right w:val="nil"/>
            </w:tcBorders>
            <w:shd w:val="clear" w:color="auto" w:fill="auto"/>
            <w:vAlign w:val="bottom"/>
          </w:tcPr>
          <w:p w14:paraId="336AEA41" w14:textId="77777777" w:rsidR="00C91A69" w:rsidRPr="00852BF5" w:rsidRDefault="00C91A69" w:rsidP="00CA7F04">
            <w:pPr>
              <w:jc w:val="right"/>
              <w:rPr>
                <w:rFonts w:ascii="Arial" w:hAnsi="Arial" w:cs="Arial"/>
                <w:sz w:val="18"/>
                <w:szCs w:val="18"/>
              </w:rPr>
            </w:pPr>
            <w:r>
              <w:rPr>
                <w:rFonts w:ascii="Arial" w:hAnsi="Arial" w:cs="Arial"/>
                <w:sz w:val="18"/>
                <w:szCs w:val="18"/>
              </w:rPr>
              <w:t>-</w:t>
            </w:r>
          </w:p>
        </w:tc>
        <w:tc>
          <w:tcPr>
            <w:tcW w:w="1086" w:type="dxa"/>
            <w:tcBorders>
              <w:top w:val="nil"/>
              <w:left w:val="nil"/>
              <w:bottom w:val="nil"/>
              <w:right w:val="nil"/>
            </w:tcBorders>
            <w:shd w:val="clear" w:color="auto" w:fill="auto"/>
            <w:vAlign w:val="bottom"/>
          </w:tcPr>
          <w:p w14:paraId="27A97D0E" w14:textId="77777777" w:rsidR="00C91A69" w:rsidRPr="005D1219" w:rsidRDefault="00C91A69" w:rsidP="00CA7F04">
            <w:pPr>
              <w:jc w:val="right"/>
              <w:rPr>
                <w:rFonts w:ascii="Arial" w:hAnsi="Arial" w:cs="Arial"/>
                <w:b/>
                <w:bCs/>
                <w:sz w:val="18"/>
                <w:szCs w:val="18"/>
              </w:rPr>
            </w:pPr>
            <w:r w:rsidRPr="005D1219">
              <w:rPr>
                <w:rFonts w:ascii="Arial" w:hAnsi="Arial" w:cs="Arial"/>
                <w:b/>
                <w:bCs/>
                <w:sz w:val="18"/>
                <w:szCs w:val="18"/>
              </w:rPr>
              <w:t xml:space="preserve"> - </w:t>
            </w:r>
          </w:p>
        </w:tc>
      </w:tr>
      <w:tr w:rsidR="00C91A69" w:rsidRPr="001B015B" w14:paraId="4CF9F100" w14:textId="77777777" w:rsidTr="00CA7F04">
        <w:trPr>
          <w:trHeight w:val="174"/>
        </w:trPr>
        <w:tc>
          <w:tcPr>
            <w:tcW w:w="3946" w:type="dxa"/>
            <w:tcBorders>
              <w:top w:val="nil"/>
              <w:left w:val="nil"/>
              <w:bottom w:val="nil"/>
              <w:right w:val="nil"/>
            </w:tcBorders>
            <w:shd w:val="clear" w:color="auto" w:fill="auto"/>
          </w:tcPr>
          <w:p w14:paraId="2F95E864" w14:textId="77777777" w:rsidR="00C91A69" w:rsidRPr="001B015B" w:rsidRDefault="00C91A69"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2</w:t>
            </w:r>
          </w:p>
        </w:tc>
        <w:tc>
          <w:tcPr>
            <w:tcW w:w="1084" w:type="dxa"/>
            <w:tcBorders>
              <w:top w:val="nil"/>
              <w:left w:val="nil"/>
              <w:bottom w:val="nil"/>
              <w:right w:val="nil"/>
            </w:tcBorders>
            <w:shd w:val="clear" w:color="auto" w:fill="auto"/>
            <w:vAlign w:val="bottom"/>
          </w:tcPr>
          <w:p w14:paraId="25011E05" w14:textId="77777777" w:rsidR="00C91A69" w:rsidRPr="00852BF5" w:rsidRDefault="00C91A69" w:rsidP="00CA7F04">
            <w:pPr>
              <w:jc w:val="right"/>
              <w:rPr>
                <w:rFonts w:ascii="Arial" w:hAnsi="Arial" w:cs="Arial"/>
                <w:sz w:val="18"/>
                <w:szCs w:val="18"/>
              </w:rPr>
            </w:pPr>
            <w:r>
              <w:rPr>
                <w:rFonts w:ascii="Arial" w:hAnsi="Arial" w:cs="Arial"/>
                <w:sz w:val="18"/>
                <w:szCs w:val="18"/>
              </w:rPr>
              <w:t>-</w:t>
            </w:r>
          </w:p>
        </w:tc>
        <w:tc>
          <w:tcPr>
            <w:tcW w:w="1084" w:type="dxa"/>
            <w:tcBorders>
              <w:top w:val="nil"/>
              <w:left w:val="nil"/>
              <w:bottom w:val="nil"/>
              <w:right w:val="nil"/>
            </w:tcBorders>
            <w:shd w:val="clear" w:color="auto" w:fill="auto"/>
            <w:vAlign w:val="bottom"/>
          </w:tcPr>
          <w:p w14:paraId="36E9698D" w14:textId="77777777" w:rsidR="00C91A69" w:rsidRPr="00852BF5" w:rsidRDefault="00C91A69" w:rsidP="00CA7F04">
            <w:pPr>
              <w:jc w:val="right"/>
              <w:rPr>
                <w:rFonts w:ascii="Arial" w:hAnsi="Arial" w:cs="Arial"/>
                <w:sz w:val="18"/>
                <w:szCs w:val="18"/>
              </w:rPr>
            </w:pPr>
            <w:r>
              <w:rPr>
                <w:rFonts w:ascii="Arial" w:hAnsi="Arial" w:cs="Arial"/>
                <w:sz w:val="18"/>
                <w:szCs w:val="18"/>
              </w:rPr>
              <w:t>-</w:t>
            </w:r>
          </w:p>
        </w:tc>
        <w:tc>
          <w:tcPr>
            <w:tcW w:w="1085" w:type="dxa"/>
            <w:tcBorders>
              <w:top w:val="nil"/>
              <w:left w:val="nil"/>
              <w:bottom w:val="nil"/>
              <w:right w:val="nil"/>
            </w:tcBorders>
            <w:shd w:val="clear" w:color="auto" w:fill="auto"/>
            <w:vAlign w:val="bottom"/>
          </w:tcPr>
          <w:p w14:paraId="338327DB" w14:textId="77777777" w:rsidR="00C91A69" w:rsidRPr="00852BF5" w:rsidRDefault="00C91A69" w:rsidP="00CA7F04">
            <w:pPr>
              <w:jc w:val="right"/>
              <w:rPr>
                <w:rFonts w:ascii="Arial" w:hAnsi="Arial" w:cs="Arial"/>
                <w:sz w:val="18"/>
                <w:szCs w:val="18"/>
              </w:rPr>
            </w:pPr>
            <w:r>
              <w:rPr>
                <w:rFonts w:ascii="Arial" w:hAnsi="Arial" w:cs="Arial"/>
                <w:sz w:val="18"/>
                <w:szCs w:val="18"/>
              </w:rPr>
              <w:t>-</w:t>
            </w:r>
          </w:p>
        </w:tc>
        <w:tc>
          <w:tcPr>
            <w:tcW w:w="1084" w:type="dxa"/>
            <w:tcBorders>
              <w:top w:val="nil"/>
              <w:left w:val="nil"/>
              <w:bottom w:val="nil"/>
              <w:right w:val="nil"/>
            </w:tcBorders>
            <w:shd w:val="clear" w:color="auto" w:fill="auto"/>
            <w:vAlign w:val="bottom"/>
          </w:tcPr>
          <w:p w14:paraId="499CCA09" w14:textId="77777777" w:rsidR="00C91A69" w:rsidRPr="00852BF5" w:rsidRDefault="00C91A69" w:rsidP="00CA7F04">
            <w:pPr>
              <w:jc w:val="right"/>
              <w:rPr>
                <w:rFonts w:ascii="Arial" w:hAnsi="Arial" w:cs="Arial"/>
                <w:sz w:val="18"/>
                <w:szCs w:val="18"/>
              </w:rPr>
            </w:pPr>
            <w:r>
              <w:rPr>
                <w:rFonts w:ascii="Arial" w:hAnsi="Arial" w:cs="Arial"/>
                <w:sz w:val="18"/>
                <w:szCs w:val="18"/>
              </w:rPr>
              <w:t>-</w:t>
            </w:r>
          </w:p>
        </w:tc>
        <w:tc>
          <w:tcPr>
            <w:tcW w:w="1086" w:type="dxa"/>
            <w:tcBorders>
              <w:top w:val="nil"/>
              <w:left w:val="nil"/>
              <w:bottom w:val="nil"/>
              <w:right w:val="nil"/>
            </w:tcBorders>
            <w:shd w:val="clear" w:color="auto" w:fill="auto"/>
            <w:vAlign w:val="bottom"/>
          </w:tcPr>
          <w:p w14:paraId="1EFF8E11" w14:textId="77777777" w:rsidR="00C91A69" w:rsidRPr="005D1219" w:rsidRDefault="00C91A69" w:rsidP="00CA7F04">
            <w:pPr>
              <w:jc w:val="right"/>
              <w:rPr>
                <w:rFonts w:ascii="Arial" w:hAnsi="Arial" w:cs="Arial"/>
                <w:b/>
                <w:bCs/>
                <w:sz w:val="18"/>
                <w:szCs w:val="18"/>
              </w:rPr>
            </w:pPr>
            <w:r w:rsidRPr="005D1219">
              <w:rPr>
                <w:rFonts w:ascii="Arial" w:hAnsi="Arial" w:cs="Arial"/>
                <w:b/>
                <w:bCs/>
                <w:sz w:val="18"/>
                <w:szCs w:val="18"/>
              </w:rPr>
              <w:t>-</w:t>
            </w:r>
          </w:p>
        </w:tc>
      </w:tr>
      <w:tr w:rsidR="00C91A69" w:rsidRPr="001B015B" w14:paraId="5B36CA30" w14:textId="77777777" w:rsidTr="005D1219">
        <w:trPr>
          <w:trHeight w:val="174"/>
        </w:trPr>
        <w:tc>
          <w:tcPr>
            <w:tcW w:w="3946" w:type="dxa"/>
            <w:tcBorders>
              <w:top w:val="nil"/>
              <w:left w:val="nil"/>
              <w:bottom w:val="nil"/>
              <w:right w:val="nil"/>
            </w:tcBorders>
            <w:shd w:val="clear" w:color="auto" w:fill="auto"/>
          </w:tcPr>
          <w:p w14:paraId="2B9F6A23" w14:textId="77777777" w:rsidR="00C91A69" w:rsidRPr="001B015B" w:rsidRDefault="00C91A69"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3</w:t>
            </w:r>
          </w:p>
        </w:tc>
        <w:tc>
          <w:tcPr>
            <w:tcW w:w="1084" w:type="dxa"/>
            <w:tcBorders>
              <w:top w:val="nil"/>
              <w:left w:val="nil"/>
              <w:right w:val="nil"/>
            </w:tcBorders>
            <w:shd w:val="clear" w:color="auto" w:fill="auto"/>
            <w:vAlign w:val="bottom"/>
          </w:tcPr>
          <w:p w14:paraId="1DB79217" w14:textId="77777777" w:rsidR="00C91A69" w:rsidRPr="00852BF5" w:rsidRDefault="00C91A69" w:rsidP="00CA7F04">
            <w:pPr>
              <w:jc w:val="right"/>
              <w:rPr>
                <w:rFonts w:ascii="Arial" w:hAnsi="Arial" w:cs="Arial"/>
                <w:sz w:val="18"/>
                <w:szCs w:val="18"/>
              </w:rPr>
            </w:pPr>
            <w:r>
              <w:rPr>
                <w:rFonts w:ascii="Arial" w:hAnsi="Arial" w:cs="Arial"/>
                <w:sz w:val="18"/>
                <w:szCs w:val="18"/>
              </w:rPr>
              <w:t>-</w:t>
            </w:r>
          </w:p>
        </w:tc>
        <w:tc>
          <w:tcPr>
            <w:tcW w:w="1084" w:type="dxa"/>
            <w:tcBorders>
              <w:top w:val="nil"/>
              <w:left w:val="nil"/>
              <w:right w:val="nil"/>
            </w:tcBorders>
            <w:shd w:val="clear" w:color="auto" w:fill="auto"/>
            <w:vAlign w:val="bottom"/>
          </w:tcPr>
          <w:p w14:paraId="266C39E0" w14:textId="77777777" w:rsidR="00C91A69" w:rsidRPr="00852BF5" w:rsidRDefault="00C91A69" w:rsidP="00CA7F04">
            <w:pPr>
              <w:jc w:val="right"/>
              <w:rPr>
                <w:rFonts w:ascii="Arial" w:hAnsi="Arial" w:cs="Arial"/>
                <w:sz w:val="18"/>
                <w:szCs w:val="18"/>
              </w:rPr>
            </w:pPr>
            <w:r>
              <w:rPr>
                <w:rFonts w:ascii="Arial" w:hAnsi="Arial" w:cs="Arial"/>
                <w:sz w:val="18"/>
                <w:szCs w:val="18"/>
              </w:rPr>
              <w:t>-</w:t>
            </w:r>
          </w:p>
        </w:tc>
        <w:tc>
          <w:tcPr>
            <w:tcW w:w="1085" w:type="dxa"/>
            <w:tcBorders>
              <w:top w:val="nil"/>
              <w:left w:val="nil"/>
              <w:right w:val="nil"/>
            </w:tcBorders>
            <w:shd w:val="clear" w:color="auto" w:fill="auto"/>
            <w:vAlign w:val="bottom"/>
          </w:tcPr>
          <w:p w14:paraId="20F4FEB9" w14:textId="77777777" w:rsidR="00C91A69" w:rsidRPr="00852BF5" w:rsidRDefault="00C91A69" w:rsidP="00CA7F04">
            <w:pPr>
              <w:jc w:val="right"/>
              <w:rPr>
                <w:rFonts w:ascii="Arial" w:hAnsi="Arial" w:cs="Arial"/>
                <w:sz w:val="18"/>
                <w:szCs w:val="18"/>
              </w:rPr>
            </w:pPr>
            <w:r>
              <w:rPr>
                <w:rFonts w:ascii="Arial" w:hAnsi="Arial" w:cs="Arial"/>
                <w:sz w:val="18"/>
                <w:szCs w:val="18"/>
              </w:rPr>
              <w:t>-</w:t>
            </w:r>
          </w:p>
        </w:tc>
        <w:tc>
          <w:tcPr>
            <w:tcW w:w="1084" w:type="dxa"/>
            <w:tcBorders>
              <w:top w:val="nil"/>
              <w:left w:val="nil"/>
              <w:right w:val="nil"/>
            </w:tcBorders>
            <w:shd w:val="clear" w:color="auto" w:fill="auto"/>
            <w:vAlign w:val="bottom"/>
          </w:tcPr>
          <w:p w14:paraId="71DCC975" w14:textId="77777777" w:rsidR="00C91A69" w:rsidRPr="00852BF5" w:rsidRDefault="00C91A69" w:rsidP="00CA7F04">
            <w:pPr>
              <w:jc w:val="right"/>
              <w:rPr>
                <w:rFonts w:ascii="Arial" w:hAnsi="Arial" w:cs="Arial"/>
                <w:sz w:val="18"/>
                <w:szCs w:val="18"/>
              </w:rPr>
            </w:pPr>
            <w:r>
              <w:rPr>
                <w:rFonts w:ascii="Arial" w:hAnsi="Arial" w:cs="Arial"/>
                <w:sz w:val="18"/>
                <w:szCs w:val="18"/>
              </w:rPr>
              <w:t>-</w:t>
            </w:r>
          </w:p>
        </w:tc>
        <w:tc>
          <w:tcPr>
            <w:tcW w:w="1086" w:type="dxa"/>
            <w:tcBorders>
              <w:top w:val="nil"/>
              <w:left w:val="nil"/>
              <w:right w:val="nil"/>
            </w:tcBorders>
            <w:shd w:val="clear" w:color="auto" w:fill="auto"/>
            <w:vAlign w:val="bottom"/>
          </w:tcPr>
          <w:p w14:paraId="3E298DEE" w14:textId="77777777" w:rsidR="00C91A69" w:rsidRPr="005D1219" w:rsidRDefault="00C91A69" w:rsidP="00CA7F04">
            <w:pPr>
              <w:jc w:val="right"/>
              <w:rPr>
                <w:rFonts w:ascii="Arial" w:hAnsi="Arial" w:cs="Arial"/>
                <w:b/>
                <w:bCs/>
                <w:sz w:val="18"/>
                <w:szCs w:val="18"/>
              </w:rPr>
            </w:pPr>
            <w:r w:rsidRPr="005D1219">
              <w:rPr>
                <w:rFonts w:ascii="Arial" w:hAnsi="Arial" w:cs="Arial"/>
                <w:b/>
                <w:bCs/>
                <w:sz w:val="18"/>
                <w:szCs w:val="18"/>
              </w:rPr>
              <w:t>-</w:t>
            </w:r>
          </w:p>
        </w:tc>
      </w:tr>
      <w:tr w:rsidR="00C91A69" w:rsidRPr="001B015B" w14:paraId="23E0A680" w14:textId="77777777" w:rsidTr="005D1219">
        <w:trPr>
          <w:trHeight w:val="249"/>
        </w:trPr>
        <w:tc>
          <w:tcPr>
            <w:tcW w:w="3946" w:type="dxa"/>
            <w:tcBorders>
              <w:top w:val="nil"/>
              <w:left w:val="nil"/>
              <w:bottom w:val="nil"/>
              <w:right w:val="nil"/>
            </w:tcBorders>
            <w:shd w:val="clear" w:color="auto" w:fill="auto"/>
            <w:vAlign w:val="center"/>
            <w:hideMark/>
          </w:tcPr>
          <w:p w14:paraId="5FF76E66" w14:textId="77777777" w:rsidR="00C91A69" w:rsidRPr="001B015B" w:rsidRDefault="00C91A69" w:rsidP="00CA7F04">
            <w:pPr>
              <w:rPr>
                <w:rFonts w:ascii="Arial" w:eastAsia="Calibri" w:hAnsi="Arial" w:cs="Arial"/>
                <w:color w:val="000000" w:themeColor="text1"/>
                <w:sz w:val="18"/>
                <w:szCs w:val="18"/>
              </w:rPr>
            </w:pPr>
            <w:r w:rsidRPr="00852BF5">
              <w:rPr>
                <w:rFonts w:ascii="Arial" w:eastAsia="Calibri" w:hAnsi="Arial" w:cs="Arial"/>
                <w:color w:val="000000" w:themeColor="text1"/>
                <w:sz w:val="18"/>
                <w:szCs w:val="18"/>
              </w:rPr>
              <w:t xml:space="preserve">Neto </w:t>
            </w:r>
            <w:r>
              <w:rPr>
                <w:rFonts w:ascii="Arial" w:eastAsia="Calibri" w:hAnsi="Arial" w:cs="Arial"/>
                <w:color w:val="000000" w:themeColor="text1"/>
                <w:sz w:val="18"/>
                <w:szCs w:val="18"/>
              </w:rPr>
              <w:t>povećanje/</w:t>
            </w:r>
            <w:r w:rsidRPr="00852BF5">
              <w:rPr>
                <w:rFonts w:ascii="Arial" w:eastAsia="Calibri" w:hAnsi="Arial" w:cs="Arial"/>
                <w:color w:val="000000" w:themeColor="text1"/>
                <w:sz w:val="18"/>
                <w:szCs w:val="18"/>
              </w:rPr>
              <w:t>(smanjenje)</w:t>
            </w:r>
            <w:r w:rsidRPr="001B015B">
              <w:rPr>
                <w:rFonts w:ascii="Arial" w:eastAsia="Calibri" w:hAnsi="Arial" w:cs="Arial"/>
                <w:color w:val="000000" w:themeColor="text1"/>
                <w:sz w:val="18"/>
                <w:szCs w:val="18"/>
              </w:rPr>
              <w:t xml:space="preserve"> rezerviranja za očekivane gubitke </w:t>
            </w:r>
          </w:p>
        </w:tc>
        <w:tc>
          <w:tcPr>
            <w:tcW w:w="1084" w:type="dxa"/>
            <w:tcBorders>
              <w:top w:val="nil"/>
              <w:left w:val="nil"/>
              <w:bottom w:val="single" w:sz="4" w:space="0" w:color="auto"/>
              <w:right w:val="nil"/>
            </w:tcBorders>
            <w:shd w:val="clear" w:color="auto" w:fill="auto"/>
            <w:vAlign w:val="bottom"/>
          </w:tcPr>
          <w:p w14:paraId="32532C87" w14:textId="77777777" w:rsidR="00C91A69" w:rsidRPr="00852BF5" w:rsidRDefault="00C91A69" w:rsidP="00CA7F04">
            <w:pPr>
              <w:jc w:val="right"/>
              <w:rPr>
                <w:rFonts w:ascii="Arial" w:hAnsi="Arial" w:cs="Arial"/>
                <w:sz w:val="18"/>
                <w:szCs w:val="18"/>
              </w:rPr>
            </w:pPr>
            <w:r w:rsidRPr="00F959D0">
              <w:rPr>
                <w:rFonts w:ascii="Arial" w:hAnsi="Arial" w:cs="Arial"/>
                <w:sz w:val="18"/>
                <w:szCs w:val="18"/>
              </w:rPr>
              <w:t xml:space="preserve"> 61 </w:t>
            </w:r>
          </w:p>
        </w:tc>
        <w:tc>
          <w:tcPr>
            <w:tcW w:w="1084" w:type="dxa"/>
            <w:tcBorders>
              <w:top w:val="nil"/>
              <w:left w:val="nil"/>
              <w:bottom w:val="single" w:sz="4" w:space="0" w:color="auto"/>
              <w:right w:val="nil"/>
            </w:tcBorders>
            <w:shd w:val="clear" w:color="auto" w:fill="auto"/>
            <w:vAlign w:val="bottom"/>
          </w:tcPr>
          <w:p w14:paraId="3BDFF8FB" w14:textId="77777777" w:rsidR="00C91A69" w:rsidRPr="00852BF5" w:rsidRDefault="00C91A69" w:rsidP="00CA7F04">
            <w:pPr>
              <w:jc w:val="right"/>
              <w:rPr>
                <w:rFonts w:ascii="Arial" w:hAnsi="Arial" w:cs="Arial"/>
                <w:sz w:val="18"/>
                <w:szCs w:val="18"/>
              </w:rPr>
            </w:pPr>
            <w:r w:rsidRPr="00F959D0">
              <w:rPr>
                <w:rFonts w:ascii="Arial" w:hAnsi="Arial" w:cs="Arial"/>
                <w:sz w:val="18"/>
                <w:szCs w:val="18"/>
              </w:rPr>
              <w:t xml:space="preserve"> (1.370)</w:t>
            </w:r>
          </w:p>
        </w:tc>
        <w:tc>
          <w:tcPr>
            <w:tcW w:w="1085" w:type="dxa"/>
            <w:tcBorders>
              <w:top w:val="nil"/>
              <w:left w:val="nil"/>
              <w:bottom w:val="single" w:sz="4" w:space="0" w:color="auto"/>
              <w:right w:val="nil"/>
            </w:tcBorders>
            <w:shd w:val="clear" w:color="auto" w:fill="auto"/>
            <w:vAlign w:val="bottom"/>
          </w:tcPr>
          <w:p w14:paraId="1A5F8908" w14:textId="77777777" w:rsidR="00C91A69" w:rsidRPr="00852BF5" w:rsidRDefault="00C91A69" w:rsidP="00CA7F04">
            <w:pPr>
              <w:jc w:val="right"/>
              <w:rPr>
                <w:rFonts w:ascii="Arial" w:hAnsi="Arial" w:cs="Arial"/>
                <w:sz w:val="18"/>
                <w:szCs w:val="18"/>
              </w:rPr>
            </w:pPr>
            <w:r w:rsidRPr="00F959D0">
              <w:rPr>
                <w:rFonts w:ascii="Arial" w:hAnsi="Arial" w:cs="Arial"/>
                <w:sz w:val="18"/>
                <w:szCs w:val="18"/>
              </w:rPr>
              <w:t xml:space="preserve"> (37)</w:t>
            </w:r>
          </w:p>
        </w:tc>
        <w:tc>
          <w:tcPr>
            <w:tcW w:w="1084" w:type="dxa"/>
            <w:tcBorders>
              <w:top w:val="nil"/>
              <w:left w:val="nil"/>
              <w:bottom w:val="single" w:sz="4" w:space="0" w:color="auto"/>
              <w:right w:val="nil"/>
            </w:tcBorders>
            <w:shd w:val="clear" w:color="auto" w:fill="auto"/>
            <w:vAlign w:val="bottom"/>
          </w:tcPr>
          <w:p w14:paraId="5E18B532" w14:textId="77777777" w:rsidR="00C91A69" w:rsidRPr="00852BF5" w:rsidRDefault="00C91A69" w:rsidP="00CA7F04">
            <w:pPr>
              <w:jc w:val="right"/>
              <w:rPr>
                <w:rFonts w:ascii="Arial" w:hAnsi="Arial" w:cs="Arial"/>
                <w:sz w:val="18"/>
                <w:szCs w:val="18"/>
              </w:rPr>
            </w:pPr>
          </w:p>
        </w:tc>
        <w:tc>
          <w:tcPr>
            <w:tcW w:w="1086" w:type="dxa"/>
            <w:tcBorders>
              <w:top w:val="nil"/>
              <w:left w:val="nil"/>
              <w:bottom w:val="single" w:sz="4" w:space="0" w:color="auto"/>
              <w:right w:val="nil"/>
            </w:tcBorders>
            <w:shd w:val="clear" w:color="auto" w:fill="auto"/>
            <w:vAlign w:val="bottom"/>
          </w:tcPr>
          <w:p w14:paraId="74EC2F54" w14:textId="77777777" w:rsidR="00C91A69" w:rsidRPr="005D1219" w:rsidRDefault="00C91A69" w:rsidP="00CA7F04">
            <w:pPr>
              <w:jc w:val="right"/>
              <w:rPr>
                <w:rFonts w:ascii="Arial" w:hAnsi="Arial" w:cs="Arial"/>
                <w:b/>
                <w:bCs/>
                <w:sz w:val="18"/>
                <w:szCs w:val="18"/>
              </w:rPr>
            </w:pPr>
            <w:r w:rsidRPr="005D1219">
              <w:rPr>
                <w:rFonts w:ascii="Arial" w:hAnsi="Arial" w:cs="Arial"/>
                <w:b/>
                <w:bCs/>
                <w:sz w:val="18"/>
                <w:szCs w:val="18"/>
              </w:rPr>
              <w:t xml:space="preserve"> (1.346)</w:t>
            </w:r>
          </w:p>
        </w:tc>
      </w:tr>
      <w:tr w:rsidR="00C91A69" w:rsidRPr="001B015B" w14:paraId="02721B73" w14:textId="77777777" w:rsidTr="005D1219">
        <w:trPr>
          <w:trHeight w:val="182"/>
        </w:trPr>
        <w:tc>
          <w:tcPr>
            <w:tcW w:w="3946" w:type="dxa"/>
            <w:tcBorders>
              <w:top w:val="nil"/>
              <w:left w:val="nil"/>
              <w:bottom w:val="nil"/>
              <w:right w:val="nil"/>
            </w:tcBorders>
            <w:shd w:val="clear" w:color="auto" w:fill="auto"/>
            <w:vAlign w:val="bottom"/>
            <w:hideMark/>
          </w:tcPr>
          <w:p w14:paraId="35B35320" w14:textId="77777777" w:rsidR="00C91A69" w:rsidRPr="001B015B" w:rsidRDefault="00C91A69" w:rsidP="00CA7F04">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Stanje 31. prosinca 202</w:t>
            </w:r>
            <w:r>
              <w:rPr>
                <w:rFonts w:ascii="Arial" w:eastAsia="Calibri" w:hAnsi="Arial" w:cs="Arial"/>
                <w:b/>
                <w:bCs/>
                <w:color w:val="000000" w:themeColor="text1"/>
                <w:sz w:val="18"/>
                <w:szCs w:val="18"/>
              </w:rPr>
              <w:t>3</w:t>
            </w:r>
            <w:r w:rsidRPr="001B015B">
              <w:rPr>
                <w:rFonts w:ascii="Arial" w:eastAsia="Calibri" w:hAnsi="Arial" w:cs="Arial"/>
                <w:b/>
                <w:bCs/>
                <w:color w:val="000000" w:themeColor="text1"/>
                <w:sz w:val="18"/>
                <w:szCs w:val="18"/>
              </w:rPr>
              <w:t>.</w:t>
            </w:r>
          </w:p>
        </w:tc>
        <w:tc>
          <w:tcPr>
            <w:tcW w:w="1084" w:type="dxa"/>
            <w:tcBorders>
              <w:top w:val="single" w:sz="4" w:space="0" w:color="auto"/>
              <w:left w:val="nil"/>
              <w:bottom w:val="single" w:sz="12" w:space="0" w:color="auto"/>
              <w:right w:val="nil"/>
            </w:tcBorders>
            <w:shd w:val="clear" w:color="auto" w:fill="auto"/>
            <w:vAlign w:val="bottom"/>
          </w:tcPr>
          <w:p w14:paraId="3B88B037" w14:textId="77777777" w:rsidR="00C91A69" w:rsidRPr="00852BF5" w:rsidRDefault="00C91A69" w:rsidP="00CA7F04">
            <w:pPr>
              <w:jc w:val="right"/>
              <w:rPr>
                <w:rFonts w:ascii="Arial" w:hAnsi="Arial" w:cs="Arial"/>
                <w:b/>
                <w:bCs/>
                <w:sz w:val="18"/>
                <w:szCs w:val="18"/>
              </w:rPr>
            </w:pPr>
            <w:r w:rsidRPr="00F959D0">
              <w:rPr>
                <w:rFonts w:ascii="Arial" w:hAnsi="Arial" w:cs="Arial"/>
                <w:b/>
                <w:bCs/>
                <w:sz w:val="18"/>
                <w:szCs w:val="18"/>
              </w:rPr>
              <w:t xml:space="preserve"> 4.163 </w:t>
            </w:r>
          </w:p>
        </w:tc>
        <w:tc>
          <w:tcPr>
            <w:tcW w:w="1084" w:type="dxa"/>
            <w:tcBorders>
              <w:top w:val="single" w:sz="4" w:space="0" w:color="auto"/>
              <w:left w:val="nil"/>
              <w:bottom w:val="single" w:sz="12" w:space="0" w:color="auto"/>
              <w:right w:val="nil"/>
            </w:tcBorders>
            <w:shd w:val="clear" w:color="auto" w:fill="auto"/>
            <w:vAlign w:val="bottom"/>
          </w:tcPr>
          <w:p w14:paraId="05DD13A9" w14:textId="77777777" w:rsidR="00C91A69" w:rsidRPr="00852BF5" w:rsidRDefault="00C91A69" w:rsidP="00CA7F04">
            <w:pPr>
              <w:jc w:val="right"/>
              <w:rPr>
                <w:rFonts w:ascii="Arial" w:hAnsi="Arial" w:cs="Arial"/>
                <w:b/>
                <w:bCs/>
                <w:sz w:val="18"/>
                <w:szCs w:val="18"/>
              </w:rPr>
            </w:pPr>
            <w:r w:rsidRPr="00F959D0">
              <w:rPr>
                <w:rFonts w:ascii="Arial" w:hAnsi="Arial" w:cs="Arial"/>
                <w:b/>
                <w:bCs/>
                <w:sz w:val="18"/>
                <w:szCs w:val="18"/>
              </w:rPr>
              <w:t xml:space="preserve"> 1.707 </w:t>
            </w:r>
          </w:p>
        </w:tc>
        <w:tc>
          <w:tcPr>
            <w:tcW w:w="1085" w:type="dxa"/>
            <w:tcBorders>
              <w:top w:val="single" w:sz="4" w:space="0" w:color="auto"/>
              <w:left w:val="nil"/>
              <w:bottom w:val="single" w:sz="12" w:space="0" w:color="auto"/>
              <w:right w:val="nil"/>
            </w:tcBorders>
            <w:shd w:val="clear" w:color="auto" w:fill="auto"/>
            <w:vAlign w:val="bottom"/>
          </w:tcPr>
          <w:p w14:paraId="0D480088" w14:textId="77777777" w:rsidR="00C91A69" w:rsidRPr="00852BF5" w:rsidRDefault="00C91A69" w:rsidP="00CA7F04">
            <w:pPr>
              <w:jc w:val="right"/>
              <w:rPr>
                <w:rFonts w:ascii="Arial" w:hAnsi="Arial" w:cs="Arial"/>
                <w:b/>
                <w:bCs/>
                <w:sz w:val="18"/>
                <w:szCs w:val="18"/>
              </w:rPr>
            </w:pPr>
            <w:r w:rsidRPr="00F959D0">
              <w:rPr>
                <w:rFonts w:ascii="Arial" w:hAnsi="Arial" w:cs="Arial"/>
                <w:b/>
                <w:bCs/>
                <w:sz w:val="18"/>
                <w:szCs w:val="18"/>
              </w:rPr>
              <w:t xml:space="preserve"> 857 </w:t>
            </w:r>
          </w:p>
        </w:tc>
        <w:tc>
          <w:tcPr>
            <w:tcW w:w="1084" w:type="dxa"/>
            <w:tcBorders>
              <w:top w:val="single" w:sz="4" w:space="0" w:color="auto"/>
              <w:left w:val="nil"/>
              <w:bottom w:val="single" w:sz="12" w:space="0" w:color="auto"/>
              <w:right w:val="nil"/>
            </w:tcBorders>
            <w:shd w:val="clear" w:color="auto" w:fill="auto"/>
            <w:vAlign w:val="bottom"/>
          </w:tcPr>
          <w:p w14:paraId="1E49157C" w14:textId="77777777" w:rsidR="00C91A69" w:rsidRPr="00852BF5" w:rsidRDefault="00C91A69" w:rsidP="00CA7F04">
            <w:pPr>
              <w:jc w:val="right"/>
              <w:rPr>
                <w:rFonts w:ascii="Arial" w:hAnsi="Arial" w:cs="Arial"/>
                <w:b/>
                <w:bCs/>
                <w:sz w:val="18"/>
                <w:szCs w:val="18"/>
              </w:rPr>
            </w:pPr>
            <w:r w:rsidRPr="00F959D0">
              <w:rPr>
                <w:rFonts w:ascii="Arial" w:hAnsi="Arial" w:cs="Arial"/>
                <w:b/>
                <w:bCs/>
                <w:sz w:val="18"/>
                <w:szCs w:val="18"/>
              </w:rPr>
              <w:t xml:space="preserve"> - </w:t>
            </w:r>
          </w:p>
        </w:tc>
        <w:tc>
          <w:tcPr>
            <w:tcW w:w="1086" w:type="dxa"/>
            <w:tcBorders>
              <w:top w:val="single" w:sz="4" w:space="0" w:color="auto"/>
              <w:left w:val="nil"/>
              <w:bottom w:val="single" w:sz="12" w:space="0" w:color="auto"/>
              <w:right w:val="nil"/>
            </w:tcBorders>
            <w:shd w:val="clear" w:color="auto" w:fill="auto"/>
            <w:vAlign w:val="bottom"/>
          </w:tcPr>
          <w:p w14:paraId="74C9F2BC" w14:textId="77777777" w:rsidR="00C91A69" w:rsidRPr="00852BF5" w:rsidRDefault="00C91A69" w:rsidP="00CA7F04">
            <w:pPr>
              <w:jc w:val="right"/>
              <w:rPr>
                <w:rFonts w:ascii="Arial" w:hAnsi="Arial" w:cs="Arial"/>
                <w:b/>
                <w:bCs/>
                <w:sz w:val="18"/>
                <w:szCs w:val="18"/>
              </w:rPr>
            </w:pPr>
            <w:r w:rsidRPr="00F959D0">
              <w:rPr>
                <w:rFonts w:ascii="Arial" w:hAnsi="Arial" w:cs="Arial"/>
                <w:b/>
                <w:bCs/>
                <w:sz w:val="18"/>
                <w:szCs w:val="18"/>
              </w:rPr>
              <w:t xml:space="preserve"> 6.727 </w:t>
            </w:r>
          </w:p>
        </w:tc>
      </w:tr>
    </w:tbl>
    <w:p w14:paraId="43C98451" w14:textId="77777777" w:rsidR="00C91A69" w:rsidRPr="003D1614" w:rsidRDefault="00C91A69" w:rsidP="00D92646">
      <w:pPr>
        <w:keepNext/>
        <w:suppressAutoHyphens/>
        <w:autoSpaceDN w:val="0"/>
        <w:jc w:val="both"/>
        <w:rPr>
          <w:rFonts w:ascii="Arial" w:eastAsia="Times New Roman" w:hAnsi="Arial" w:cs="Arial"/>
          <w:b/>
          <w:bCs/>
          <w:color w:val="000000" w:themeColor="text1"/>
          <w:sz w:val="20"/>
          <w:szCs w:val="20"/>
        </w:rPr>
      </w:pPr>
    </w:p>
    <w:p w14:paraId="050A733D" w14:textId="77777777" w:rsidR="00D92646" w:rsidRPr="003D1614" w:rsidRDefault="00D92646" w:rsidP="001A0FCB">
      <w:pPr>
        <w:suppressAutoHyphens/>
        <w:autoSpaceDN w:val="0"/>
        <w:jc w:val="both"/>
        <w:rPr>
          <w:rFonts w:ascii="Arial" w:eastAsia="Times New Roman" w:hAnsi="Arial" w:cs="Arial"/>
          <w:color w:val="000000" w:themeColor="text1"/>
          <w:sz w:val="20"/>
          <w:szCs w:val="20"/>
        </w:rPr>
        <w:sectPr w:rsidR="00D92646" w:rsidRPr="003D1614" w:rsidSect="003278AB">
          <w:pgSz w:w="11906" w:h="16838"/>
          <w:pgMar w:top="1417" w:right="1417" w:bottom="1417" w:left="1417" w:header="708" w:footer="708" w:gutter="0"/>
          <w:cols w:space="708"/>
          <w:docGrid w:linePitch="360"/>
        </w:sectPr>
      </w:pPr>
    </w:p>
    <w:p w14:paraId="56883E25"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43C4F240" w14:textId="38953682"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758E4ECC"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6F71E83C" w14:textId="212153FB"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7FE73703"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6436599C" w14:textId="77777777" w:rsidR="00D92646" w:rsidRPr="003D1614" w:rsidRDefault="00D92646" w:rsidP="00D92646">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1418A8B1"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110C3AD0"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Krediti ostalim korisnicima</w:t>
      </w:r>
    </w:p>
    <w:p w14:paraId="1D38ECFF"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tbl>
      <w:tblPr>
        <w:tblW w:w="9363" w:type="dxa"/>
        <w:tblInd w:w="-180" w:type="dxa"/>
        <w:tblLayout w:type="fixed"/>
        <w:tblLook w:val="04A0" w:firstRow="1" w:lastRow="0" w:firstColumn="1" w:lastColumn="0" w:noHBand="0" w:noVBand="1"/>
      </w:tblPr>
      <w:tblGrid>
        <w:gridCol w:w="3912"/>
        <w:gridCol w:w="1081"/>
        <w:gridCol w:w="1082"/>
        <w:gridCol w:w="1081"/>
        <w:gridCol w:w="1048"/>
        <w:gridCol w:w="1159"/>
      </w:tblGrid>
      <w:tr w:rsidR="00D92646" w:rsidRPr="003D1614" w14:paraId="1BAF8F62" w14:textId="77777777" w:rsidTr="00D92646">
        <w:trPr>
          <w:trHeight w:val="159"/>
        </w:trPr>
        <w:tc>
          <w:tcPr>
            <w:tcW w:w="3912" w:type="dxa"/>
            <w:vAlign w:val="bottom"/>
            <w:hideMark/>
          </w:tcPr>
          <w:p w14:paraId="2BE8A54A"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bookmarkStart w:id="758" w:name="_Hlk24387066"/>
            <w:r w:rsidRPr="003D1614">
              <w:rPr>
                <w:rFonts w:ascii="Arial" w:eastAsia="Calibri" w:hAnsi="Arial" w:cs="Arial"/>
                <w:b/>
                <w:bCs/>
                <w:color w:val="000000" w:themeColor="text1"/>
                <w:sz w:val="18"/>
                <w:szCs w:val="18"/>
              </w:rPr>
              <w:t>Grupa i Banka</w:t>
            </w:r>
          </w:p>
        </w:tc>
        <w:tc>
          <w:tcPr>
            <w:tcW w:w="1081" w:type="dxa"/>
            <w:vAlign w:val="bottom"/>
          </w:tcPr>
          <w:p w14:paraId="1719D9A2"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p>
        </w:tc>
        <w:tc>
          <w:tcPr>
            <w:tcW w:w="1082" w:type="dxa"/>
            <w:vAlign w:val="bottom"/>
          </w:tcPr>
          <w:p w14:paraId="55BED5D8"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p>
        </w:tc>
        <w:tc>
          <w:tcPr>
            <w:tcW w:w="1081" w:type="dxa"/>
            <w:vAlign w:val="bottom"/>
          </w:tcPr>
          <w:p w14:paraId="151EAFF0"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p>
        </w:tc>
        <w:tc>
          <w:tcPr>
            <w:tcW w:w="1048" w:type="dxa"/>
            <w:vAlign w:val="bottom"/>
          </w:tcPr>
          <w:p w14:paraId="55505650"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p>
        </w:tc>
        <w:tc>
          <w:tcPr>
            <w:tcW w:w="1159" w:type="dxa"/>
            <w:vAlign w:val="bottom"/>
          </w:tcPr>
          <w:p w14:paraId="060C29E3"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p>
        </w:tc>
      </w:tr>
      <w:tr w:rsidR="00D92646" w:rsidRPr="003D1614" w14:paraId="50312918" w14:textId="77777777" w:rsidTr="00E150A2">
        <w:trPr>
          <w:trHeight w:val="159"/>
        </w:trPr>
        <w:tc>
          <w:tcPr>
            <w:tcW w:w="3912" w:type="dxa"/>
            <w:tcBorders>
              <w:top w:val="nil"/>
              <w:left w:val="nil"/>
              <w:bottom w:val="nil"/>
              <w:right w:val="nil"/>
            </w:tcBorders>
            <w:shd w:val="clear" w:color="auto" w:fill="auto"/>
            <w:vAlign w:val="center"/>
            <w:hideMark/>
          </w:tcPr>
          <w:p w14:paraId="391C52A2" w14:textId="20FB8EBD"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ožujka 202</w:t>
            </w:r>
            <w:r w:rsidR="00C91A69">
              <w:rPr>
                <w:rFonts w:ascii="Arial" w:eastAsia="Calibri" w:hAnsi="Arial" w:cs="Arial"/>
                <w:b/>
                <w:bCs/>
                <w:color w:val="000000" w:themeColor="text1"/>
                <w:sz w:val="18"/>
                <w:szCs w:val="18"/>
              </w:rPr>
              <w:t>4</w:t>
            </w:r>
            <w:r w:rsidRPr="003D1614">
              <w:rPr>
                <w:rFonts w:ascii="Arial" w:eastAsia="Calibri" w:hAnsi="Arial" w:cs="Arial"/>
                <w:b/>
                <w:bCs/>
                <w:color w:val="000000" w:themeColor="text1"/>
                <w:sz w:val="18"/>
                <w:szCs w:val="18"/>
              </w:rPr>
              <w:t>.</w:t>
            </w:r>
          </w:p>
        </w:tc>
        <w:tc>
          <w:tcPr>
            <w:tcW w:w="1081" w:type="dxa"/>
            <w:vAlign w:val="bottom"/>
            <w:hideMark/>
          </w:tcPr>
          <w:p w14:paraId="0E9AD4E4"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82" w:type="dxa"/>
            <w:vAlign w:val="bottom"/>
            <w:hideMark/>
          </w:tcPr>
          <w:p w14:paraId="64E5DF9B"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81" w:type="dxa"/>
            <w:vAlign w:val="bottom"/>
            <w:hideMark/>
          </w:tcPr>
          <w:p w14:paraId="61C020A9"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48" w:type="dxa"/>
            <w:vAlign w:val="bottom"/>
            <w:hideMark/>
          </w:tcPr>
          <w:p w14:paraId="22B1EE0E"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59" w:type="dxa"/>
            <w:vAlign w:val="bottom"/>
            <w:hideMark/>
          </w:tcPr>
          <w:p w14:paraId="1F064FD4" w14:textId="77777777"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D92646" w:rsidRPr="003D1614" w14:paraId="256F0334" w14:textId="77777777" w:rsidTr="00E150A2">
        <w:trPr>
          <w:trHeight w:val="159"/>
        </w:trPr>
        <w:tc>
          <w:tcPr>
            <w:tcW w:w="3912" w:type="dxa"/>
            <w:tcBorders>
              <w:top w:val="nil"/>
              <w:left w:val="nil"/>
              <w:bottom w:val="nil"/>
              <w:right w:val="nil"/>
            </w:tcBorders>
            <w:shd w:val="clear" w:color="auto" w:fill="auto"/>
            <w:vAlign w:val="center"/>
            <w:hideMark/>
          </w:tcPr>
          <w:p w14:paraId="09025696" w14:textId="77777777" w:rsidR="00D92646" w:rsidRPr="003D1614" w:rsidRDefault="00D92646" w:rsidP="00D92646">
            <w:pPr>
              <w:suppressAutoHyphens/>
              <w:autoSpaceDN w:val="0"/>
              <w:rPr>
                <w:rFonts w:ascii="Arial" w:eastAsia="Calibri" w:hAnsi="Arial" w:cs="Arial"/>
                <w:b/>
                <w:bCs/>
                <w:color w:val="000000" w:themeColor="text1"/>
                <w:sz w:val="18"/>
                <w:szCs w:val="18"/>
              </w:rPr>
            </w:pPr>
          </w:p>
        </w:tc>
        <w:tc>
          <w:tcPr>
            <w:tcW w:w="1081" w:type="dxa"/>
            <w:vAlign w:val="bottom"/>
            <w:hideMark/>
          </w:tcPr>
          <w:p w14:paraId="39C07C4E" w14:textId="6AA83FEF"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2" w:type="dxa"/>
            <w:vAlign w:val="bottom"/>
            <w:hideMark/>
          </w:tcPr>
          <w:p w14:paraId="286D7E93" w14:textId="2FBCEA1B"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81" w:type="dxa"/>
            <w:vAlign w:val="bottom"/>
            <w:hideMark/>
          </w:tcPr>
          <w:p w14:paraId="0B9D96C3" w14:textId="79B91B5D"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48" w:type="dxa"/>
            <w:vAlign w:val="bottom"/>
            <w:hideMark/>
          </w:tcPr>
          <w:p w14:paraId="37AD63A6" w14:textId="5513B223"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59" w:type="dxa"/>
            <w:vAlign w:val="bottom"/>
            <w:hideMark/>
          </w:tcPr>
          <w:p w14:paraId="11D4A29C" w14:textId="46C0A0C4" w:rsidR="00D92646" w:rsidRPr="003D1614" w:rsidRDefault="00D92646" w:rsidP="00D92646">
            <w:pPr>
              <w:suppressAutoHyphens/>
              <w:autoSpaceDN w:val="0"/>
              <w:spacing w:line="256" w:lineRule="auto"/>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D92646" w:rsidRPr="003D1614" w14:paraId="34BC4DDA" w14:textId="77777777" w:rsidTr="005D1219">
        <w:trPr>
          <w:trHeight w:val="159"/>
        </w:trPr>
        <w:tc>
          <w:tcPr>
            <w:tcW w:w="3912" w:type="dxa"/>
            <w:tcBorders>
              <w:top w:val="nil"/>
              <w:left w:val="nil"/>
              <w:bottom w:val="nil"/>
              <w:right w:val="nil"/>
            </w:tcBorders>
            <w:shd w:val="clear" w:color="auto" w:fill="auto"/>
            <w:vAlign w:val="center"/>
          </w:tcPr>
          <w:p w14:paraId="2EDAB523"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p>
        </w:tc>
        <w:tc>
          <w:tcPr>
            <w:tcW w:w="1081" w:type="dxa"/>
            <w:vAlign w:val="bottom"/>
          </w:tcPr>
          <w:p w14:paraId="1763D1FD"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p>
        </w:tc>
        <w:tc>
          <w:tcPr>
            <w:tcW w:w="1082" w:type="dxa"/>
            <w:vAlign w:val="bottom"/>
          </w:tcPr>
          <w:p w14:paraId="6B7B9B51"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p>
        </w:tc>
        <w:tc>
          <w:tcPr>
            <w:tcW w:w="1081" w:type="dxa"/>
            <w:vAlign w:val="bottom"/>
          </w:tcPr>
          <w:p w14:paraId="00026C6A"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p>
        </w:tc>
        <w:tc>
          <w:tcPr>
            <w:tcW w:w="1048" w:type="dxa"/>
            <w:vAlign w:val="bottom"/>
          </w:tcPr>
          <w:p w14:paraId="7805C6E4"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p>
        </w:tc>
        <w:tc>
          <w:tcPr>
            <w:tcW w:w="1159" w:type="dxa"/>
            <w:vAlign w:val="bottom"/>
          </w:tcPr>
          <w:p w14:paraId="10AC155D" w14:textId="77777777" w:rsidR="00D92646" w:rsidRPr="003D1614" w:rsidRDefault="00D92646" w:rsidP="00D92646">
            <w:pPr>
              <w:suppressAutoHyphens/>
              <w:autoSpaceDN w:val="0"/>
              <w:spacing w:line="256" w:lineRule="auto"/>
              <w:rPr>
                <w:rFonts w:ascii="Arial" w:eastAsia="Calibri" w:hAnsi="Arial" w:cs="Arial"/>
                <w:b/>
                <w:bCs/>
                <w:color w:val="000000" w:themeColor="text1"/>
                <w:sz w:val="18"/>
                <w:szCs w:val="18"/>
              </w:rPr>
            </w:pPr>
          </w:p>
        </w:tc>
      </w:tr>
      <w:tr w:rsidR="00D975B9" w:rsidRPr="003D1614" w14:paraId="2C822636" w14:textId="77777777" w:rsidTr="005D1219">
        <w:trPr>
          <w:trHeight w:val="159"/>
        </w:trPr>
        <w:tc>
          <w:tcPr>
            <w:tcW w:w="3912" w:type="dxa"/>
            <w:tcBorders>
              <w:top w:val="nil"/>
              <w:left w:val="nil"/>
              <w:bottom w:val="nil"/>
              <w:right w:val="nil"/>
            </w:tcBorders>
            <w:shd w:val="clear" w:color="auto" w:fill="auto"/>
            <w:vAlign w:val="center"/>
            <w:hideMark/>
          </w:tcPr>
          <w:p w14:paraId="37037F75" w14:textId="2401252B" w:rsidR="00D975B9" w:rsidRPr="003D1614" w:rsidRDefault="00D975B9" w:rsidP="00D975B9">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4</w:t>
            </w:r>
            <w:r w:rsidRPr="003D1614">
              <w:rPr>
                <w:rFonts w:ascii="Arial" w:eastAsia="Calibri" w:hAnsi="Arial" w:cs="Arial"/>
                <w:color w:val="000000" w:themeColor="text1"/>
                <w:sz w:val="18"/>
                <w:szCs w:val="18"/>
              </w:rPr>
              <w:t xml:space="preserve">. </w:t>
            </w:r>
          </w:p>
        </w:tc>
        <w:tc>
          <w:tcPr>
            <w:tcW w:w="1081" w:type="dxa"/>
            <w:tcBorders>
              <w:left w:val="nil"/>
              <w:right w:val="nil"/>
            </w:tcBorders>
            <w:shd w:val="clear" w:color="auto" w:fill="auto"/>
            <w:vAlign w:val="bottom"/>
          </w:tcPr>
          <w:p w14:paraId="1C3D8E7D" w14:textId="3683618D" w:rsidR="00D975B9" w:rsidRPr="00B47639" w:rsidRDefault="00D975B9" w:rsidP="00D975B9">
            <w:pPr>
              <w:suppressAutoHyphens/>
              <w:autoSpaceDN w:val="0"/>
              <w:jc w:val="right"/>
              <w:rPr>
                <w:rFonts w:ascii="Arial" w:eastAsia="Times New Roman" w:hAnsi="Arial" w:cs="Arial"/>
                <w:sz w:val="18"/>
                <w:szCs w:val="18"/>
              </w:rPr>
            </w:pPr>
            <w:r w:rsidRPr="005D1219">
              <w:rPr>
                <w:rFonts w:ascii="Arial" w:hAnsi="Arial" w:cs="Arial"/>
                <w:sz w:val="18"/>
                <w:szCs w:val="18"/>
              </w:rPr>
              <w:t xml:space="preserve"> 42.543 </w:t>
            </w:r>
          </w:p>
        </w:tc>
        <w:tc>
          <w:tcPr>
            <w:tcW w:w="1082" w:type="dxa"/>
            <w:tcBorders>
              <w:left w:val="nil"/>
              <w:right w:val="nil"/>
            </w:tcBorders>
            <w:shd w:val="clear" w:color="auto" w:fill="auto"/>
            <w:vAlign w:val="bottom"/>
          </w:tcPr>
          <w:p w14:paraId="009002DE" w14:textId="69422939" w:rsidR="00D975B9" w:rsidRPr="00B47639" w:rsidRDefault="00D975B9" w:rsidP="00D975B9">
            <w:pPr>
              <w:suppressAutoHyphens/>
              <w:autoSpaceDN w:val="0"/>
              <w:spacing w:line="256" w:lineRule="auto"/>
              <w:jc w:val="right"/>
              <w:rPr>
                <w:rFonts w:ascii="Arial" w:eastAsia="Times New Roman" w:hAnsi="Arial" w:cs="Arial"/>
                <w:sz w:val="18"/>
                <w:szCs w:val="18"/>
              </w:rPr>
            </w:pPr>
            <w:r w:rsidRPr="005D1219">
              <w:rPr>
                <w:rFonts w:ascii="Arial" w:hAnsi="Arial" w:cs="Arial"/>
                <w:sz w:val="18"/>
                <w:szCs w:val="18"/>
              </w:rPr>
              <w:t xml:space="preserve"> 128.588 </w:t>
            </w:r>
          </w:p>
        </w:tc>
        <w:tc>
          <w:tcPr>
            <w:tcW w:w="1081" w:type="dxa"/>
            <w:tcBorders>
              <w:left w:val="nil"/>
              <w:right w:val="nil"/>
            </w:tcBorders>
            <w:shd w:val="clear" w:color="auto" w:fill="auto"/>
            <w:vAlign w:val="bottom"/>
          </w:tcPr>
          <w:p w14:paraId="2FCAADA1" w14:textId="2A346918" w:rsidR="00D975B9" w:rsidRPr="00B47639" w:rsidRDefault="00D975B9" w:rsidP="00D975B9">
            <w:pPr>
              <w:suppressAutoHyphens/>
              <w:autoSpaceDN w:val="0"/>
              <w:spacing w:line="256" w:lineRule="auto"/>
              <w:jc w:val="right"/>
              <w:rPr>
                <w:rFonts w:ascii="Arial" w:eastAsia="Times New Roman" w:hAnsi="Arial" w:cs="Arial"/>
                <w:sz w:val="18"/>
                <w:szCs w:val="18"/>
              </w:rPr>
            </w:pPr>
            <w:r w:rsidRPr="005D1219">
              <w:rPr>
                <w:rFonts w:ascii="Arial" w:hAnsi="Arial" w:cs="Arial"/>
                <w:sz w:val="18"/>
                <w:szCs w:val="18"/>
              </w:rPr>
              <w:t xml:space="preserve"> 267.359 </w:t>
            </w:r>
          </w:p>
        </w:tc>
        <w:tc>
          <w:tcPr>
            <w:tcW w:w="1048" w:type="dxa"/>
            <w:tcBorders>
              <w:left w:val="nil"/>
              <w:right w:val="nil"/>
            </w:tcBorders>
            <w:shd w:val="clear" w:color="auto" w:fill="auto"/>
            <w:vAlign w:val="bottom"/>
          </w:tcPr>
          <w:p w14:paraId="0D73CF10" w14:textId="37B07B16" w:rsidR="00D975B9" w:rsidRPr="00B47639" w:rsidRDefault="00D975B9" w:rsidP="00D975B9">
            <w:pPr>
              <w:suppressAutoHyphens/>
              <w:autoSpaceDN w:val="0"/>
              <w:spacing w:line="256" w:lineRule="auto"/>
              <w:jc w:val="right"/>
              <w:rPr>
                <w:rFonts w:ascii="Arial" w:eastAsia="Times New Roman" w:hAnsi="Arial" w:cs="Arial"/>
                <w:sz w:val="18"/>
                <w:szCs w:val="18"/>
              </w:rPr>
            </w:pPr>
            <w:r w:rsidRPr="005D1219">
              <w:rPr>
                <w:rFonts w:ascii="Arial" w:hAnsi="Arial" w:cs="Arial"/>
                <w:sz w:val="18"/>
                <w:szCs w:val="18"/>
              </w:rPr>
              <w:t xml:space="preserve"> 32.267 </w:t>
            </w:r>
          </w:p>
        </w:tc>
        <w:tc>
          <w:tcPr>
            <w:tcW w:w="1159" w:type="dxa"/>
            <w:tcBorders>
              <w:left w:val="nil"/>
              <w:right w:val="nil"/>
            </w:tcBorders>
            <w:shd w:val="clear" w:color="auto" w:fill="auto"/>
            <w:vAlign w:val="bottom"/>
          </w:tcPr>
          <w:p w14:paraId="2EDB4210" w14:textId="086ECBC5" w:rsidR="00D975B9" w:rsidRPr="005D1219" w:rsidRDefault="00D975B9" w:rsidP="00D975B9">
            <w:pPr>
              <w:suppressAutoHyphens/>
              <w:autoSpaceDN w:val="0"/>
              <w:spacing w:line="256" w:lineRule="auto"/>
              <w:jc w:val="right"/>
              <w:rPr>
                <w:rFonts w:ascii="Arial" w:eastAsia="Times New Roman" w:hAnsi="Arial" w:cs="Arial"/>
                <w:b/>
                <w:bCs/>
                <w:sz w:val="18"/>
                <w:szCs w:val="18"/>
              </w:rPr>
            </w:pPr>
            <w:r w:rsidRPr="00F37B96">
              <w:rPr>
                <w:rFonts w:ascii="Arial" w:hAnsi="Arial" w:cs="Arial"/>
                <w:b/>
                <w:bCs/>
                <w:sz w:val="18"/>
                <w:szCs w:val="18"/>
              </w:rPr>
              <w:t xml:space="preserve"> 470.757 </w:t>
            </w:r>
          </w:p>
        </w:tc>
      </w:tr>
      <w:tr w:rsidR="00D975B9" w:rsidRPr="003D1614" w14:paraId="31781FDD" w14:textId="77777777" w:rsidTr="00E66367">
        <w:trPr>
          <w:trHeight w:val="159"/>
        </w:trPr>
        <w:tc>
          <w:tcPr>
            <w:tcW w:w="3912" w:type="dxa"/>
            <w:vAlign w:val="bottom"/>
            <w:hideMark/>
          </w:tcPr>
          <w:p w14:paraId="18009EE7" w14:textId="77777777" w:rsidR="00D975B9" w:rsidRPr="003D1614" w:rsidRDefault="00D975B9" w:rsidP="00D975B9">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81" w:type="dxa"/>
            <w:vAlign w:val="bottom"/>
          </w:tcPr>
          <w:p w14:paraId="6ADCC55E" w14:textId="40A63A15" w:rsidR="00D975B9" w:rsidRPr="003D1614" w:rsidRDefault="00061828" w:rsidP="00D975B9">
            <w:pPr>
              <w:suppressAutoHyphens/>
              <w:autoSpaceDN w:val="0"/>
              <w:jc w:val="right"/>
              <w:rPr>
                <w:rFonts w:ascii="Arial" w:eastAsia="Times New Roman" w:hAnsi="Arial" w:cs="Arial"/>
                <w:sz w:val="18"/>
                <w:szCs w:val="18"/>
              </w:rPr>
            </w:pPr>
            <w:r>
              <w:rPr>
                <w:rFonts w:ascii="Arial" w:eastAsia="Times New Roman" w:hAnsi="Arial" w:cs="Arial"/>
                <w:sz w:val="18"/>
                <w:szCs w:val="18"/>
              </w:rPr>
              <w:t>2.742</w:t>
            </w:r>
          </w:p>
        </w:tc>
        <w:tc>
          <w:tcPr>
            <w:tcW w:w="1082" w:type="dxa"/>
            <w:vAlign w:val="bottom"/>
          </w:tcPr>
          <w:p w14:paraId="328C873F" w14:textId="5D65E5D2" w:rsidR="00D975B9" w:rsidRPr="003D1614" w:rsidRDefault="005C61CD" w:rsidP="00D975B9">
            <w:pPr>
              <w:suppressAutoHyphens/>
              <w:autoSpaceDN w:val="0"/>
              <w:jc w:val="right"/>
              <w:rPr>
                <w:rFonts w:ascii="Arial" w:eastAsia="Times New Roman" w:hAnsi="Arial" w:cs="Arial"/>
                <w:sz w:val="18"/>
                <w:szCs w:val="18"/>
              </w:rPr>
            </w:pPr>
            <w:r>
              <w:rPr>
                <w:rFonts w:ascii="Arial" w:eastAsia="Times New Roman" w:hAnsi="Arial" w:cs="Arial"/>
                <w:sz w:val="18"/>
                <w:szCs w:val="18"/>
              </w:rPr>
              <w:t>(2.598)</w:t>
            </w:r>
          </w:p>
        </w:tc>
        <w:tc>
          <w:tcPr>
            <w:tcW w:w="1081" w:type="dxa"/>
            <w:vAlign w:val="bottom"/>
          </w:tcPr>
          <w:p w14:paraId="542D40E5" w14:textId="3669B776" w:rsidR="00D975B9" w:rsidRPr="003D1614" w:rsidRDefault="005C61CD" w:rsidP="00D975B9">
            <w:pPr>
              <w:suppressAutoHyphens/>
              <w:autoSpaceDN w:val="0"/>
              <w:jc w:val="right"/>
              <w:rPr>
                <w:rFonts w:ascii="Arial" w:eastAsia="Times New Roman" w:hAnsi="Arial" w:cs="Arial"/>
                <w:sz w:val="18"/>
                <w:szCs w:val="18"/>
              </w:rPr>
            </w:pPr>
            <w:r>
              <w:rPr>
                <w:rFonts w:ascii="Arial" w:eastAsia="Times New Roman" w:hAnsi="Arial" w:cs="Arial"/>
                <w:sz w:val="18"/>
                <w:szCs w:val="18"/>
              </w:rPr>
              <w:t>(144)</w:t>
            </w:r>
          </w:p>
        </w:tc>
        <w:tc>
          <w:tcPr>
            <w:tcW w:w="1048" w:type="dxa"/>
            <w:vAlign w:val="bottom"/>
          </w:tcPr>
          <w:p w14:paraId="671F7631" w14:textId="10AFE8CF" w:rsidR="00D975B9" w:rsidRPr="003D1614" w:rsidRDefault="005C61CD" w:rsidP="00D975B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59" w:type="dxa"/>
            <w:vAlign w:val="bottom"/>
          </w:tcPr>
          <w:p w14:paraId="3D06304F" w14:textId="478316DB" w:rsidR="00D975B9" w:rsidRPr="005D1219" w:rsidRDefault="005C61CD" w:rsidP="00D975B9">
            <w:pPr>
              <w:suppressAutoHyphens/>
              <w:autoSpaceDN w:val="0"/>
              <w:jc w:val="right"/>
              <w:rPr>
                <w:rFonts w:ascii="Arial" w:eastAsia="Times New Roman" w:hAnsi="Arial" w:cs="Arial"/>
                <w:b/>
                <w:bCs/>
                <w:sz w:val="18"/>
                <w:szCs w:val="18"/>
              </w:rPr>
            </w:pPr>
            <w:r w:rsidRPr="005D1219">
              <w:rPr>
                <w:rFonts w:ascii="Arial" w:eastAsia="Times New Roman" w:hAnsi="Arial" w:cs="Arial"/>
                <w:b/>
                <w:bCs/>
                <w:sz w:val="18"/>
                <w:szCs w:val="18"/>
              </w:rPr>
              <w:t>-</w:t>
            </w:r>
          </w:p>
        </w:tc>
      </w:tr>
      <w:tr w:rsidR="00D975B9" w:rsidRPr="003D1614" w14:paraId="3994AAB2" w14:textId="77777777" w:rsidTr="00E66367">
        <w:trPr>
          <w:trHeight w:val="159"/>
        </w:trPr>
        <w:tc>
          <w:tcPr>
            <w:tcW w:w="3912" w:type="dxa"/>
            <w:vAlign w:val="bottom"/>
          </w:tcPr>
          <w:p w14:paraId="686B40F7" w14:textId="77777777" w:rsidR="00D975B9" w:rsidRPr="003D1614" w:rsidRDefault="00D975B9" w:rsidP="00D975B9">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81" w:type="dxa"/>
            <w:vAlign w:val="bottom"/>
          </w:tcPr>
          <w:p w14:paraId="75A84235" w14:textId="581329F1" w:rsidR="00D975B9" w:rsidRPr="003D1614" w:rsidRDefault="00061828" w:rsidP="00D975B9">
            <w:pPr>
              <w:suppressAutoHyphens/>
              <w:autoSpaceDN w:val="0"/>
              <w:jc w:val="right"/>
              <w:rPr>
                <w:rFonts w:ascii="Arial" w:eastAsia="Times New Roman" w:hAnsi="Arial" w:cs="Arial"/>
                <w:sz w:val="18"/>
                <w:szCs w:val="18"/>
              </w:rPr>
            </w:pPr>
            <w:r>
              <w:rPr>
                <w:rFonts w:ascii="Arial" w:eastAsia="Times New Roman" w:hAnsi="Arial" w:cs="Arial"/>
                <w:sz w:val="18"/>
                <w:szCs w:val="18"/>
              </w:rPr>
              <w:t>(373)</w:t>
            </w:r>
          </w:p>
        </w:tc>
        <w:tc>
          <w:tcPr>
            <w:tcW w:w="1082" w:type="dxa"/>
            <w:vAlign w:val="bottom"/>
          </w:tcPr>
          <w:p w14:paraId="5300DC78" w14:textId="040617B9" w:rsidR="00D975B9" w:rsidRPr="003D1614" w:rsidRDefault="005C61CD" w:rsidP="00D975B9">
            <w:pPr>
              <w:suppressAutoHyphens/>
              <w:autoSpaceDN w:val="0"/>
              <w:jc w:val="right"/>
              <w:rPr>
                <w:rFonts w:ascii="Arial" w:eastAsia="Times New Roman" w:hAnsi="Arial" w:cs="Arial"/>
                <w:sz w:val="18"/>
                <w:szCs w:val="18"/>
              </w:rPr>
            </w:pPr>
            <w:r>
              <w:rPr>
                <w:rFonts w:ascii="Arial" w:eastAsia="Times New Roman" w:hAnsi="Arial" w:cs="Arial"/>
                <w:sz w:val="18"/>
                <w:szCs w:val="18"/>
              </w:rPr>
              <w:t>424</w:t>
            </w:r>
          </w:p>
        </w:tc>
        <w:tc>
          <w:tcPr>
            <w:tcW w:w="1081" w:type="dxa"/>
            <w:vAlign w:val="bottom"/>
          </w:tcPr>
          <w:p w14:paraId="6316D31D" w14:textId="05A67C2A" w:rsidR="00D975B9" w:rsidRPr="003D1614" w:rsidRDefault="005C61CD" w:rsidP="00D975B9">
            <w:pPr>
              <w:suppressAutoHyphens/>
              <w:autoSpaceDN w:val="0"/>
              <w:jc w:val="right"/>
              <w:rPr>
                <w:rFonts w:ascii="Arial" w:eastAsia="Times New Roman" w:hAnsi="Arial" w:cs="Arial"/>
                <w:sz w:val="18"/>
                <w:szCs w:val="18"/>
              </w:rPr>
            </w:pPr>
            <w:r>
              <w:rPr>
                <w:rFonts w:ascii="Arial" w:eastAsia="Times New Roman" w:hAnsi="Arial" w:cs="Arial"/>
                <w:sz w:val="18"/>
                <w:szCs w:val="18"/>
              </w:rPr>
              <w:t>(51)</w:t>
            </w:r>
          </w:p>
        </w:tc>
        <w:tc>
          <w:tcPr>
            <w:tcW w:w="1048" w:type="dxa"/>
            <w:vAlign w:val="bottom"/>
          </w:tcPr>
          <w:p w14:paraId="7DADF279" w14:textId="44B8C820" w:rsidR="00D975B9" w:rsidRPr="003D1614" w:rsidRDefault="005C61CD" w:rsidP="00D975B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59" w:type="dxa"/>
            <w:vAlign w:val="bottom"/>
          </w:tcPr>
          <w:p w14:paraId="153BFE3A" w14:textId="34D397EE" w:rsidR="00D975B9" w:rsidRPr="005D1219" w:rsidRDefault="00F37B96" w:rsidP="00D975B9">
            <w:pPr>
              <w:suppressAutoHyphens/>
              <w:autoSpaceDN w:val="0"/>
              <w:jc w:val="right"/>
              <w:rPr>
                <w:rFonts w:ascii="Arial" w:eastAsia="Times New Roman" w:hAnsi="Arial" w:cs="Arial"/>
                <w:b/>
                <w:bCs/>
                <w:sz w:val="18"/>
                <w:szCs w:val="18"/>
              </w:rPr>
            </w:pPr>
            <w:r w:rsidRPr="005D1219">
              <w:rPr>
                <w:rFonts w:ascii="Arial" w:eastAsia="Times New Roman" w:hAnsi="Arial" w:cs="Arial"/>
                <w:b/>
                <w:bCs/>
                <w:sz w:val="18"/>
                <w:szCs w:val="18"/>
              </w:rPr>
              <w:t>-</w:t>
            </w:r>
          </w:p>
        </w:tc>
      </w:tr>
      <w:tr w:rsidR="00D975B9" w:rsidRPr="003D1614" w14:paraId="3BE2B8BD" w14:textId="77777777" w:rsidTr="00E66367">
        <w:trPr>
          <w:trHeight w:val="159"/>
        </w:trPr>
        <w:tc>
          <w:tcPr>
            <w:tcW w:w="3912" w:type="dxa"/>
            <w:vAlign w:val="bottom"/>
          </w:tcPr>
          <w:p w14:paraId="17654E46" w14:textId="77777777" w:rsidR="00D975B9" w:rsidRPr="003D1614" w:rsidRDefault="00D975B9" w:rsidP="00D975B9">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81" w:type="dxa"/>
            <w:vAlign w:val="bottom"/>
          </w:tcPr>
          <w:p w14:paraId="2478A494" w14:textId="6A4B4793" w:rsidR="00D975B9" w:rsidRPr="003D1614" w:rsidRDefault="00D44BD2" w:rsidP="00D975B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2" w:type="dxa"/>
            <w:vAlign w:val="bottom"/>
          </w:tcPr>
          <w:p w14:paraId="434E90BD" w14:textId="5392C957" w:rsidR="00D975B9" w:rsidRPr="003D1614" w:rsidRDefault="005C61CD" w:rsidP="00D975B9">
            <w:pPr>
              <w:suppressAutoHyphens/>
              <w:autoSpaceDN w:val="0"/>
              <w:jc w:val="right"/>
              <w:rPr>
                <w:rFonts w:ascii="Arial" w:eastAsia="Times New Roman" w:hAnsi="Arial" w:cs="Arial"/>
                <w:sz w:val="18"/>
                <w:szCs w:val="18"/>
              </w:rPr>
            </w:pPr>
            <w:r>
              <w:rPr>
                <w:rFonts w:ascii="Arial" w:eastAsia="Times New Roman" w:hAnsi="Arial" w:cs="Arial"/>
                <w:sz w:val="18"/>
                <w:szCs w:val="18"/>
              </w:rPr>
              <w:t>(24.247)</w:t>
            </w:r>
          </w:p>
        </w:tc>
        <w:tc>
          <w:tcPr>
            <w:tcW w:w="1081" w:type="dxa"/>
            <w:vAlign w:val="bottom"/>
          </w:tcPr>
          <w:p w14:paraId="38138DBC" w14:textId="701C927B" w:rsidR="00D975B9" w:rsidRPr="003D1614" w:rsidRDefault="005C61CD" w:rsidP="00D975B9">
            <w:pPr>
              <w:suppressAutoHyphens/>
              <w:autoSpaceDN w:val="0"/>
              <w:jc w:val="right"/>
              <w:rPr>
                <w:rFonts w:ascii="Arial" w:eastAsia="Times New Roman" w:hAnsi="Arial" w:cs="Arial"/>
                <w:sz w:val="18"/>
                <w:szCs w:val="18"/>
              </w:rPr>
            </w:pPr>
            <w:r>
              <w:rPr>
                <w:rFonts w:ascii="Arial" w:eastAsia="Times New Roman" w:hAnsi="Arial" w:cs="Arial"/>
                <w:sz w:val="18"/>
                <w:szCs w:val="18"/>
              </w:rPr>
              <w:t>24.247</w:t>
            </w:r>
          </w:p>
        </w:tc>
        <w:tc>
          <w:tcPr>
            <w:tcW w:w="1048" w:type="dxa"/>
            <w:vAlign w:val="bottom"/>
          </w:tcPr>
          <w:p w14:paraId="61312E6D" w14:textId="7FE2454B" w:rsidR="00D975B9" w:rsidRPr="003D1614" w:rsidRDefault="005C61CD" w:rsidP="00D975B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59" w:type="dxa"/>
            <w:vAlign w:val="bottom"/>
          </w:tcPr>
          <w:p w14:paraId="36CEF03A" w14:textId="347850FE" w:rsidR="00D975B9" w:rsidRPr="005D1219" w:rsidRDefault="00F37B96" w:rsidP="00D975B9">
            <w:pPr>
              <w:suppressAutoHyphens/>
              <w:autoSpaceDN w:val="0"/>
              <w:jc w:val="right"/>
              <w:rPr>
                <w:rFonts w:ascii="Arial" w:eastAsia="Times New Roman" w:hAnsi="Arial" w:cs="Arial"/>
                <w:b/>
                <w:bCs/>
                <w:sz w:val="18"/>
                <w:szCs w:val="18"/>
              </w:rPr>
            </w:pPr>
            <w:r w:rsidRPr="005D1219">
              <w:rPr>
                <w:rFonts w:ascii="Arial" w:eastAsia="Times New Roman" w:hAnsi="Arial" w:cs="Arial"/>
                <w:b/>
                <w:bCs/>
                <w:sz w:val="18"/>
                <w:szCs w:val="18"/>
              </w:rPr>
              <w:t>-</w:t>
            </w:r>
          </w:p>
        </w:tc>
      </w:tr>
      <w:tr w:rsidR="00D975B9" w:rsidRPr="003D1614" w14:paraId="7FF0D2BF" w14:textId="77777777" w:rsidTr="00E66367">
        <w:trPr>
          <w:trHeight w:val="198"/>
        </w:trPr>
        <w:tc>
          <w:tcPr>
            <w:tcW w:w="3912" w:type="dxa"/>
            <w:vAlign w:val="bottom"/>
            <w:hideMark/>
          </w:tcPr>
          <w:p w14:paraId="03D5F212" w14:textId="274B1609" w:rsidR="00D975B9" w:rsidRPr="003D1614" w:rsidRDefault="00D975B9" w:rsidP="00D975B9">
            <w:pPr>
              <w:suppressAutoHyphens/>
              <w:autoSpaceDN w:val="0"/>
              <w:spacing w:line="256" w:lineRule="auto"/>
              <w:rPr>
                <w:rFonts w:ascii="Arial" w:eastAsia="Calibri" w:hAnsi="Arial" w:cs="Arial"/>
                <w:color w:val="000000" w:themeColor="text1"/>
                <w:sz w:val="18"/>
                <w:szCs w:val="18"/>
              </w:rPr>
            </w:pPr>
            <w:bookmarkStart w:id="759" w:name="_Hlk35351133"/>
            <w:r w:rsidRPr="003D1614">
              <w:rPr>
                <w:rFonts w:ascii="Arial" w:eastAsia="Calibri" w:hAnsi="Arial" w:cs="Arial"/>
                <w:color w:val="000000" w:themeColor="text1"/>
                <w:sz w:val="18"/>
                <w:szCs w:val="18"/>
              </w:rPr>
              <w:t>Neto povećanje</w:t>
            </w:r>
            <w:r w:rsidR="00061828">
              <w:rPr>
                <w:rFonts w:ascii="Arial" w:eastAsia="Calibri" w:hAnsi="Arial" w:cs="Arial"/>
                <w:color w:val="000000" w:themeColor="text1"/>
                <w:sz w:val="18"/>
                <w:szCs w:val="18"/>
              </w:rPr>
              <w:t>/(smanjenje)</w:t>
            </w:r>
            <w:r w:rsidRPr="003D1614">
              <w:rPr>
                <w:rFonts w:ascii="Arial" w:eastAsia="Calibri" w:hAnsi="Arial" w:cs="Arial"/>
                <w:color w:val="000000" w:themeColor="text1"/>
                <w:sz w:val="18"/>
                <w:szCs w:val="18"/>
              </w:rPr>
              <w:t xml:space="preserve"> rezerviranja za očekivane gubitke </w:t>
            </w:r>
            <w:bookmarkEnd w:id="759"/>
          </w:p>
        </w:tc>
        <w:tc>
          <w:tcPr>
            <w:tcW w:w="1081" w:type="dxa"/>
            <w:vAlign w:val="bottom"/>
          </w:tcPr>
          <w:p w14:paraId="41B453FC" w14:textId="4832A568" w:rsidR="00D975B9" w:rsidRPr="003D1614" w:rsidRDefault="00061828" w:rsidP="00D975B9">
            <w:pPr>
              <w:suppressAutoHyphens/>
              <w:autoSpaceDN w:val="0"/>
              <w:jc w:val="right"/>
              <w:rPr>
                <w:rFonts w:ascii="Arial" w:eastAsia="Times New Roman" w:hAnsi="Arial" w:cs="Arial"/>
                <w:sz w:val="18"/>
                <w:szCs w:val="18"/>
              </w:rPr>
            </w:pPr>
            <w:r>
              <w:rPr>
                <w:rFonts w:ascii="Arial" w:eastAsia="Times New Roman" w:hAnsi="Arial" w:cs="Arial"/>
                <w:sz w:val="18"/>
                <w:szCs w:val="18"/>
              </w:rPr>
              <w:t>1.726</w:t>
            </w:r>
          </w:p>
        </w:tc>
        <w:tc>
          <w:tcPr>
            <w:tcW w:w="1082" w:type="dxa"/>
            <w:vAlign w:val="bottom"/>
          </w:tcPr>
          <w:p w14:paraId="3E06D445" w14:textId="3C79273F" w:rsidR="00D975B9" w:rsidRPr="003D1614" w:rsidRDefault="005C61CD" w:rsidP="00D975B9">
            <w:pPr>
              <w:suppressAutoHyphens/>
              <w:autoSpaceDN w:val="0"/>
              <w:jc w:val="right"/>
              <w:rPr>
                <w:rFonts w:ascii="Arial" w:eastAsia="Times New Roman" w:hAnsi="Arial" w:cs="Arial"/>
                <w:sz w:val="18"/>
                <w:szCs w:val="18"/>
              </w:rPr>
            </w:pPr>
            <w:r>
              <w:rPr>
                <w:rFonts w:ascii="Arial" w:eastAsia="Times New Roman" w:hAnsi="Arial" w:cs="Arial"/>
                <w:sz w:val="18"/>
                <w:szCs w:val="18"/>
              </w:rPr>
              <w:t>(7.947)</w:t>
            </w:r>
          </w:p>
        </w:tc>
        <w:tc>
          <w:tcPr>
            <w:tcW w:w="1081" w:type="dxa"/>
            <w:vAlign w:val="bottom"/>
          </w:tcPr>
          <w:p w14:paraId="270A4039" w14:textId="46204E9C" w:rsidR="00D975B9" w:rsidRPr="003D1614" w:rsidRDefault="005C61CD" w:rsidP="00D975B9">
            <w:pPr>
              <w:suppressAutoHyphens/>
              <w:autoSpaceDN w:val="0"/>
              <w:jc w:val="right"/>
              <w:rPr>
                <w:rFonts w:ascii="Arial" w:eastAsia="Times New Roman" w:hAnsi="Arial" w:cs="Arial"/>
                <w:sz w:val="18"/>
                <w:szCs w:val="18"/>
              </w:rPr>
            </w:pPr>
            <w:r>
              <w:rPr>
                <w:rFonts w:ascii="Arial" w:eastAsia="Times New Roman" w:hAnsi="Arial" w:cs="Arial"/>
                <w:sz w:val="18"/>
                <w:szCs w:val="18"/>
              </w:rPr>
              <w:t>(1.777)</w:t>
            </w:r>
          </w:p>
        </w:tc>
        <w:tc>
          <w:tcPr>
            <w:tcW w:w="1048" w:type="dxa"/>
            <w:vAlign w:val="bottom"/>
          </w:tcPr>
          <w:p w14:paraId="4F4E866D" w14:textId="0064E394" w:rsidR="00D975B9" w:rsidRPr="003D1614" w:rsidRDefault="005C61CD" w:rsidP="00D975B9">
            <w:pPr>
              <w:suppressAutoHyphens/>
              <w:autoSpaceDN w:val="0"/>
              <w:jc w:val="right"/>
              <w:rPr>
                <w:rFonts w:ascii="Arial" w:eastAsia="Times New Roman" w:hAnsi="Arial" w:cs="Arial"/>
                <w:sz w:val="18"/>
                <w:szCs w:val="18"/>
              </w:rPr>
            </w:pPr>
            <w:r>
              <w:rPr>
                <w:rFonts w:ascii="Arial" w:eastAsia="Times New Roman" w:hAnsi="Arial" w:cs="Arial"/>
                <w:sz w:val="18"/>
                <w:szCs w:val="18"/>
              </w:rPr>
              <w:t>3.766</w:t>
            </w:r>
          </w:p>
        </w:tc>
        <w:tc>
          <w:tcPr>
            <w:tcW w:w="1159" w:type="dxa"/>
            <w:vAlign w:val="bottom"/>
          </w:tcPr>
          <w:p w14:paraId="1287D486" w14:textId="63024420" w:rsidR="00D975B9" w:rsidRPr="005D1219" w:rsidRDefault="00F37B96" w:rsidP="00D975B9">
            <w:pPr>
              <w:suppressAutoHyphens/>
              <w:autoSpaceDN w:val="0"/>
              <w:jc w:val="right"/>
              <w:rPr>
                <w:rFonts w:ascii="Arial" w:eastAsia="Times New Roman" w:hAnsi="Arial" w:cs="Arial"/>
                <w:b/>
                <w:bCs/>
                <w:sz w:val="18"/>
                <w:szCs w:val="18"/>
              </w:rPr>
            </w:pPr>
            <w:r w:rsidRPr="005D1219">
              <w:rPr>
                <w:rFonts w:ascii="Arial" w:eastAsia="Times New Roman" w:hAnsi="Arial" w:cs="Arial"/>
                <w:b/>
                <w:bCs/>
                <w:sz w:val="18"/>
                <w:szCs w:val="18"/>
              </w:rPr>
              <w:t>(4.232)</w:t>
            </w:r>
          </w:p>
        </w:tc>
      </w:tr>
      <w:tr w:rsidR="00D975B9" w:rsidRPr="003D1614" w14:paraId="01E13BD0" w14:textId="77777777" w:rsidTr="00222635">
        <w:trPr>
          <w:trHeight w:val="228"/>
        </w:trPr>
        <w:tc>
          <w:tcPr>
            <w:tcW w:w="3912" w:type="dxa"/>
            <w:vAlign w:val="bottom"/>
            <w:hideMark/>
          </w:tcPr>
          <w:p w14:paraId="54D1E0D2" w14:textId="77777777" w:rsidR="00D975B9" w:rsidRPr="003D1614" w:rsidRDefault="00D975B9" w:rsidP="00D975B9">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Otpis</w:t>
            </w:r>
          </w:p>
        </w:tc>
        <w:tc>
          <w:tcPr>
            <w:tcW w:w="1081" w:type="dxa"/>
          </w:tcPr>
          <w:p w14:paraId="12AAC6D0" w14:textId="36211076" w:rsidR="00D975B9" w:rsidRPr="003D1614" w:rsidRDefault="005C61CD" w:rsidP="00D975B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2" w:type="dxa"/>
          </w:tcPr>
          <w:p w14:paraId="3C99C9F7" w14:textId="0EE36ADD" w:rsidR="00D975B9" w:rsidRPr="003D1614" w:rsidRDefault="005C61CD" w:rsidP="00B4763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1" w:type="dxa"/>
            <w:vAlign w:val="bottom"/>
          </w:tcPr>
          <w:p w14:paraId="72E5EF9B" w14:textId="0794E152" w:rsidR="00D975B9" w:rsidRPr="003D1614" w:rsidRDefault="005C61CD" w:rsidP="00D975B9">
            <w:pPr>
              <w:suppressAutoHyphens/>
              <w:autoSpaceDN w:val="0"/>
              <w:jc w:val="right"/>
              <w:rPr>
                <w:rFonts w:ascii="Arial" w:eastAsia="Times New Roman" w:hAnsi="Arial" w:cs="Arial"/>
                <w:sz w:val="18"/>
                <w:szCs w:val="18"/>
              </w:rPr>
            </w:pPr>
            <w:r>
              <w:rPr>
                <w:rFonts w:ascii="Arial" w:eastAsia="Times New Roman" w:hAnsi="Arial" w:cs="Arial"/>
                <w:sz w:val="18"/>
                <w:szCs w:val="18"/>
              </w:rPr>
              <w:t>(392)</w:t>
            </w:r>
          </w:p>
        </w:tc>
        <w:tc>
          <w:tcPr>
            <w:tcW w:w="1048" w:type="dxa"/>
            <w:vAlign w:val="bottom"/>
          </w:tcPr>
          <w:p w14:paraId="7A25F634" w14:textId="100E02B7" w:rsidR="00D975B9" w:rsidRPr="003D1614" w:rsidRDefault="00F37B96" w:rsidP="00D975B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59" w:type="dxa"/>
            <w:vAlign w:val="bottom"/>
          </w:tcPr>
          <w:p w14:paraId="1D63347C" w14:textId="294B0BE0" w:rsidR="00D975B9" w:rsidRPr="005D1219" w:rsidRDefault="00F37B96" w:rsidP="00D975B9">
            <w:pPr>
              <w:suppressAutoHyphens/>
              <w:autoSpaceDN w:val="0"/>
              <w:jc w:val="right"/>
              <w:rPr>
                <w:rFonts w:ascii="Arial" w:eastAsia="Times New Roman" w:hAnsi="Arial" w:cs="Arial"/>
                <w:b/>
                <w:bCs/>
                <w:sz w:val="18"/>
                <w:szCs w:val="18"/>
              </w:rPr>
            </w:pPr>
            <w:r w:rsidRPr="005D1219">
              <w:rPr>
                <w:rFonts w:ascii="Arial" w:eastAsia="Times New Roman" w:hAnsi="Arial" w:cs="Arial"/>
                <w:b/>
                <w:bCs/>
                <w:sz w:val="18"/>
                <w:szCs w:val="18"/>
              </w:rPr>
              <w:t>(392)</w:t>
            </w:r>
          </w:p>
        </w:tc>
      </w:tr>
      <w:tr w:rsidR="00D975B9" w:rsidRPr="003D1614" w14:paraId="7A8920DC" w14:textId="77777777" w:rsidTr="00E66367">
        <w:trPr>
          <w:trHeight w:val="228"/>
        </w:trPr>
        <w:tc>
          <w:tcPr>
            <w:tcW w:w="3912" w:type="dxa"/>
            <w:vAlign w:val="bottom"/>
            <w:hideMark/>
          </w:tcPr>
          <w:p w14:paraId="38C047F8" w14:textId="77777777" w:rsidR="00D975B9" w:rsidRPr="003D1614" w:rsidRDefault="00D975B9" w:rsidP="00D975B9">
            <w:pPr>
              <w:suppressAutoHyphens/>
              <w:autoSpaceDN w:val="0"/>
              <w:spacing w:line="256" w:lineRule="auto"/>
              <w:rPr>
                <w:rFonts w:ascii="Arial" w:eastAsia="Calibri" w:hAnsi="Arial" w:cs="Arial"/>
                <w:color w:val="000000" w:themeColor="text1"/>
                <w:sz w:val="18"/>
                <w:szCs w:val="18"/>
              </w:rPr>
            </w:pPr>
            <w:proofErr w:type="spellStart"/>
            <w:r w:rsidRPr="003D1614">
              <w:rPr>
                <w:rFonts w:ascii="Arial" w:eastAsia="Calibri" w:hAnsi="Arial" w:cs="Arial"/>
                <w:color w:val="000000" w:themeColor="text1"/>
                <w:sz w:val="18"/>
                <w:szCs w:val="18"/>
              </w:rPr>
              <w:t>Unwinding</w:t>
            </w:r>
            <w:proofErr w:type="spellEnd"/>
            <w:r w:rsidRPr="003D1614">
              <w:rPr>
                <w:rFonts w:ascii="Arial" w:eastAsia="Calibri" w:hAnsi="Arial" w:cs="Arial"/>
                <w:color w:val="000000" w:themeColor="text1"/>
                <w:sz w:val="18"/>
                <w:szCs w:val="18"/>
              </w:rPr>
              <w:t xml:space="preserve"> - promjena uslijed proteka vremena</w:t>
            </w:r>
          </w:p>
        </w:tc>
        <w:tc>
          <w:tcPr>
            <w:tcW w:w="1081" w:type="dxa"/>
            <w:vAlign w:val="bottom"/>
          </w:tcPr>
          <w:p w14:paraId="4395D1C8" w14:textId="2D81484C" w:rsidR="00D975B9" w:rsidRPr="003D1614" w:rsidRDefault="005C61CD" w:rsidP="00D975B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2" w:type="dxa"/>
            <w:vAlign w:val="bottom"/>
          </w:tcPr>
          <w:p w14:paraId="659DCA95" w14:textId="0F8B4520" w:rsidR="00D975B9" w:rsidRPr="003D1614" w:rsidRDefault="005C61CD" w:rsidP="00D975B9">
            <w:pPr>
              <w:suppressAutoHyphens/>
              <w:autoSpaceDN w:val="0"/>
              <w:jc w:val="right"/>
              <w:rPr>
                <w:rFonts w:ascii="Arial" w:eastAsia="Times New Roman" w:hAnsi="Arial" w:cs="Arial"/>
                <w:sz w:val="18"/>
                <w:szCs w:val="18"/>
              </w:rPr>
            </w:pPr>
            <w:r>
              <w:rPr>
                <w:rFonts w:ascii="Arial" w:eastAsia="Times New Roman" w:hAnsi="Arial" w:cs="Arial"/>
                <w:sz w:val="18"/>
                <w:szCs w:val="18"/>
              </w:rPr>
              <w:t>(19)</w:t>
            </w:r>
          </w:p>
        </w:tc>
        <w:tc>
          <w:tcPr>
            <w:tcW w:w="1081" w:type="dxa"/>
            <w:vAlign w:val="bottom"/>
          </w:tcPr>
          <w:p w14:paraId="7171A9AA" w14:textId="25E44745" w:rsidR="00D975B9" w:rsidRPr="003D1614" w:rsidRDefault="005C61CD" w:rsidP="00D975B9">
            <w:pPr>
              <w:suppressAutoHyphens/>
              <w:autoSpaceDN w:val="0"/>
              <w:jc w:val="right"/>
              <w:rPr>
                <w:rFonts w:ascii="Arial" w:eastAsia="Times New Roman" w:hAnsi="Arial" w:cs="Arial"/>
                <w:sz w:val="18"/>
                <w:szCs w:val="18"/>
              </w:rPr>
            </w:pPr>
            <w:r>
              <w:rPr>
                <w:rFonts w:ascii="Arial" w:eastAsia="Times New Roman" w:hAnsi="Arial" w:cs="Arial"/>
                <w:sz w:val="18"/>
                <w:szCs w:val="18"/>
              </w:rPr>
              <w:t>703</w:t>
            </w:r>
          </w:p>
        </w:tc>
        <w:tc>
          <w:tcPr>
            <w:tcW w:w="1048" w:type="dxa"/>
            <w:vAlign w:val="bottom"/>
          </w:tcPr>
          <w:p w14:paraId="3086E268" w14:textId="2B6312F1" w:rsidR="00D975B9" w:rsidRPr="003D1614" w:rsidRDefault="00F37B96" w:rsidP="00D975B9">
            <w:pPr>
              <w:suppressAutoHyphens/>
              <w:autoSpaceDN w:val="0"/>
              <w:jc w:val="right"/>
              <w:rPr>
                <w:rFonts w:ascii="Arial" w:eastAsia="Times New Roman" w:hAnsi="Arial" w:cs="Arial"/>
                <w:sz w:val="18"/>
                <w:szCs w:val="18"/>
              </w:rPr>
            </w:pPr>
            <w:r>
              <w:rPr>
                <w:rFonts w:ascii="Arial" w:eastAsia="Times New Roman" w:hAnsi="Arial" w:cs="Arial"/>
                <w:sz w:val="18"/>
                <w:szCs w:val="18"/>
              </w:rPr>
              <w:t>215</w:t>
            </w:r>
          </w:p>
        </w:tc>
        <w:tc>
          <w:tcPr>
            <w:tcW w:w="1159" w:type="dxa"/>
            <w:vAlign w:val="bottom"/>
          </w:tcPr>
          <w:p w14:paraId="41A88F2A" w14:textId="0EDB08C9" w:rsidR="00D975B9" w:rsidRPr="005D1219" w:rsidRDefault="00F37B96" w:rsidP="00D975B9">
            <w:pPr>
              <w:suppressAutoHyphens/>
              <w:autoSpaceDN w:val="0"/>
              <w:jc w:val="right"/>
              <w:rPr>
                <w:rFonts w:ascii="Arial" w:eastAsia="Times New Roman" w:hAnsi="Arial" w:cs="Arial"/>
                <w:b/>
                <w:bCs/>
                <w:sz w:val="18"/>
                <w:szCs w:val="18"/>
              </w:rPr>
            </w:pPr>
            <w:r w:rsidRPr="005D1219">
              <w:rPr>
                <w:rFonts w:ascii="Arial" w:eastAsia="Times New Roman" w:hAnsi="Arial" w:cs="Arial"/>
                <w:b/>
                <w:bCs/>
                <w:sz w:val="18"/>
                <w:szCs w:val="18"/>
              </w:rPr>
              <w:t>899</w:t>
            </w:r>
          </w:p>
        </w:tc>
      </w:tr>
      <w:tr w:rsidR="00D975B9" w:rsidRPr="003D1614" w14:paraId="605000BC" w14:textId="77777777" w:rsidTr="000B5F42">
        <w:trPr>
          <w:trHeight w:val="228"/>
        </w:trPr>
        <w:tc>
          <w:tcPr>
            <w:tcW w:w="3912" w:type="dxa"/>
            <w:vAlign w:val="bottom"/>
          </w:tcPr>
          <w:p w14:paraId="79BE999F" w14:textId="77777777" w:rsidR="00D975B9" w:rsidRPr="003D1614" w:rsidRDefault="00D975B9" w:rsidP="00D975B9">
            <w:pPr>
              <w:suppressAutoHyphens/>
              <w:autoSpaceDN w:val="0"/>
              <w:spacing w:line="256" w:lineRule="auto"/>
              <w:rPr>
                <w:rFonts w:ascii="Arial" w:eastAsia="Calibri" w:hAnsi="Arial" w:cs="Arial"/>
                <w:color w:val="000000" w:themeColor="text1"/>
                <w:sz w:val="18"/>
                <w:szCs w:val="18"/>
              </w:rPr>
            </w:pPr>
            <w:bookmarkStart w:id="760" w:name="_Hlk24387049"/>
            <w:r w:rsidRPr="003D1614">
              <w:rPr>
                <w:rFonts w:ascii="Arial" w:eastAsia="Calibri" w:hAnsi="Arial" w:cs="Arial"/>
                <w:color w:val="000000" w:themeColor="text1"/>
                <w:sz w:val="18"/>
                <w:szCs w:val="18"/>
              </w:rPr>
              <w:t>Ostalo</w:t>
            </w:r>
          </w:p>
        </w:tc>
        <w:tc>
          <w:tcPr>
            <w:tcW w:w="1081" w:type="dxa"/>
          </w:tcPr>
          <w:p w14:paraId="201852CA" w14:textId="53BF65BF" w:rsidR="00D975B9" w:rsidRPr="003D1614" w:rsidRDefault="005C61CD" w:rsidP="00D975B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2" w:type="dxa"/>
          </w:tcPr>
          <w:p w14:paraId="602CC3C2" w14:textId="6CE784A2" w:rsidR="00D975B9" w:rsidRPr="003D1614" w:rsidRDefault="005C61CD" w:rsidP="00D975B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1" w:type="dxa"/>
            <w:vAlign w:val="bottom"/>
          </w:tcPr>
          <w:p w14:paraId="305EC20B" w14:textId="418EF995" w:rsidR="00D975B9" w:rsidRPr="003D1614" w:rsidRDefault="005C61CD" w:rsidP="00D975B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48" w:type="dxa"/>
            <w:vAlign w:val="bottom"/>
          </w:tcPr>
          <w:p w14:paraId="3E46EE4C" w14:textId="1F589991" w:rsidR="00D975B9" w:rsidRPr="003D1614" w:rsidRDefault="00F37B96" w:rsidP="00D975B9">
            <w:pPr>
              <w:suppressAutoHyphens/>
              <w:autoSpaceDN w:val="0"/>
              <w:jc w:val="right"/>
              <w:rPr>
                <w:rFonts w:ascii="Arial" w:eastAsia="Times New Roman" w:hAnsi="Arial" w:cs="Arial"/>
                <w:sz w:val="18"/>
                <w:szCs w:val="18"/>
              </w:rPr>
            </w:pPr>
            <w:r>
              <w:rPr>
                <w:rFonts w:ascii="Arial" w:eastAsia="Times New Roman" w:hAnsi="Arial" w:cs="Arial"/>
                <w:sz w:val="18"/>
                <w:szCs w:val="18"/>
              </w:rPr>
              <w:t>(1.852)</w:t>
            </w:r>
          </w:p>
        </w:tc>
        <w:tc>
          <w:tcPr>
            <w:tcW w:w="1159" w:type="dxa"/>
            <w:vAlign w:val="bottom"/>
          </w:tcPr>
          <w:p w14:paraId="4230AC55" w14:textId="4344C108" w:rsidR="00D975B9" w:rsidRPr="005D1219" w:rsidRDefault="00F37B96" w:rsidP="00D975B9">
            <w:pPr>
              <w:suppressAutoHyphens/>
              <w:autoSpaceDN w:val="0"/>
              <w:jc w:val="right"/>
              <w:rPr>
                <w:rFonts w:ascii="Arial" w:eastAsia="Times New Roman" w:hAnsi="Arial" w:cs="Arial"/>
                <w:b/>
                <w:bCs/>
                <w:sz w:val="18"/>
                <w:szCs w:val="18"/>
              </w:rPr>
            </w:pPr>
            <w:r w:rsidRPr="005D1219">
              <w:rPr>
                <w:rFonts w:ascii="Arial" w:eastAsia="Times New Roman" w:hAnsi="Arial" w:cs="Arial"/>
                <w:b/>
                <w:bCs/>
                <w:sz w:val="18"/>
                <w:szCs w:val="18"/>
              </w:rPr>
              <w:t>(1.852)</w:t>
            </w:r>
          </w:p>
        </w:tc>
      </w:tr>
      <w:tr w:rsidR="00D975B9" w:rsidRPr="003D1614" w14:paraId="72373852" w14:textId="77777777" w:rsidTr="00E66367">
        <w:trPr>
          <w:trHeight w:val="167"/>
        </w:trPr>
        <w:tc>
          <w:tcPr>
            <w:tcW w:w="3912" w:type="dxa"/>
            <w:vAlign w:val="bottom"/>
            <w:hideMark/>
          </w:tcPr>
          <w:p w14:paraId="78390D8D" w14:textId="77777777" w:rsidR="00D975B9" w:rsidRPr="003D1614" w:rsidRDefault="00D975B9" w:rsidP="00D975B9">
            <w:pPr>
              <w:suppressAutoHyphens/>
              <w:autoSpaceDN w:val="0"/>
              <w:spacing w:line="256" w:lineRule="auto"/>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81" w:type="dxa"/>
            <w:tcBorders>
              <w:top w:val="nil"/>
              <w:left w:val="nil"/>
              <w:bottom w:val="single" w:sz="4" w:space="0" w:color="auto"/>
              <w:right w:val="nil"/>
            </w:tcBorders>
            <w:vAlign w:val="bottom"/>
          </w:tcPr>
          <w:p w14:paraId="3FC9D195" w14:textId="70AF3DEE" w:rsidR="00D975B9" w:rsidRPr="003D1614" w:rsidRDefault="005C61CD" w:rsidP="00D975B9">
            <w:pPr>
              <w:suppressAutoHyphens/>
              <w:autoSpaceDN w:val="0"/>
              <w:jc w:val="right"/>
              <w:rPr>
                <w:rFonts w:ascii="Arial" w:eastAsia="Times New Roman" w:hAnsi="Arial" w:cs="Arial"/>
                <w:sz w:val="18"/>
                <w:szCs w:val="18"/>
              </w:rPr>
            </w:pPr>
            <w:r>
              <w:rPr>
                <w:rFonts w:ascii="Arial" w:eastAsia="Times New Roman" w:hAnsi="Arial" w:cs="Arial"/>
                <w:sz w:val="18"/>
                <w:szCs w:val="18"/>
              </w:rPr>
              <w:t>1</w:t>
            </w:r>
          </w:p>
        </w:tc>
        <w:tc>
          <w:tcPr>
            <w:tcW w:w="1082" w:type="dxa"/>
            <w:tcBorders>
              <w:top w:val="nil"/>
              <w:left w:val="nil"/>
              <w:bottom w:val="single" w:sz="4" w:space="0" w:color="auto"/>
              <w:right w:val="nil"/>
            </w:tcBorders>
            <w:vAlign w:val="bottom"/>
          </w:tcPr>
          <w:p w14:paraId="3C7A289B" w14:textId="08D83AE8" w:rsidR="00D975B9" w:rsidRPr="003D1614" w:rsidRDefault="005C61CD" w:rsidP="00D975B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81" w:type="dxa"/>
            <w:tcBorders>
              <w:top w:val="nil"/>
              <w:left w:val="nil"/>
              <w:bottom w:val="single" w:sz="4" w:space="0" w:color="auto"/>
              <w:right w:val="nil"/>
            </w:tcBorders>
            <w:vAlign w:val="bottom"/>
          </w:tcPr>
          <w:p w14:paraId="3574963B" w14:textId="6CBFB0D8" w:rsidR="00D975B9" w:rsidRPr="003D1614" w:rsidRDefault="005C61CD" w:rsidP="00D975B9">
            <w:pPr>
              <w:suppressAutoHyphens/>
              <w:autoSpaceDN w:val="0"/>
              <w:jc w:val="right"/>
              <w:rPr>
                <w:rFonts w:ascii="Arial" w:eastAsia="Times New Roman" w:hAnsi="Arial" w:cs="Arial"/>
                <w:sz w:val="18"/>
                <w:szCs w:val="18"/>
              </w:rPr>
            </w:pPr>
            <w:r>
              <w:rPr>
                <w:rFonts w:ascii="Arial" w:eastAsia="Times New Roman" w:hAnsi="Arial" w:cs="Arial"/>
                <w:sz w:val="18"/>
                <w:szCs w:val="18"/>
              </w:rPr>
              <w:t>256</w:t>
            </w:r>
          </w:p>
        </w:tc>
        <w:tc>
          <w:tcPr>
            <w:tcW w:w="1048" w:type="dxa"/>
            <w:tcBorders>
              <w:top w:val="nil"/>
              <w:left w:val="nil"/>
              <w:bottom w:val="single" w:sz="4" w:space="0" w:color="auto"/>
              <w:right w:val="nil"/>
            </w:tcBorders>
            <w:vAlign w:val="bottom"/>
          </w:tcPr>
          <w:p w14:paraId="54B419B1" w14:textId="70FFEBAE" w:rsidR="00D975B9" w:rsidRPr="003D1614" w:rsidRDefault="00F37B96" w:rsidP="00D975B9">
            <w:pPr>
              <w:suppressAutoHyphens/>
              <w:autoSpaceDN w:val="0"/>
              <w:jc w:val="right"/>
              <w:rPr>
                <w:rFonts w:ascii="Arial" w:eastAsia="Times New Roman" w:hAnsi="Arial" w:cs="Arial"/>
                <w:sz w:val="18"/>
                <w:szCs w:val="18"/>
              </w:rPr>
            </w:pPr>
            <w:r>
              <w:rPr>
                <w:rFonts w:ascii="Arial" w:eastAsia="Times New Roman" w:hAnsi="Arial" w:cs="Arial"/>
                <w:sz w:val="18"/>
                <w:szCs w:val="18"/>
              </w:rPr>
              <w:t>(74)</w:t>
            </w:r>
          </w:p>
        </w:tc>
        <w:tc>
          <w:tcPr>
            <w:tcW w:w="1159" w:type="dxa"/>
            <w:tcBorders>
              <w:top w:val="nil"/>
              <w:left w:val="nil"/>
              <w:bottom w:val="single" w:sz="4" w:space="0" w:color="auto"/>
              <w:right w:val="nil"/>
            </w:tcBorders>
            <w:vAlign w:val="bottom"/>
          </w:tcPr>
          <w:p w14:paraId="1C4A875A" w14:textId="674653E9" w:rsidR="00D975B9" w:rsidRPr="005D1219" w:rsidRDefault="00F37B96" w:rsidP="00D975B9">
            <w:pPr>
              <w:suppressAutoHyphens/>
              <w:autoSpaceDN w:val="0"/>
              <w:jc w:val="right"/>
              <w:rPr>
                <w:rFonts w:ascii="Arial" w:eastAsia="Times New Roman" w:hAnsi="Arial" w:cs="Arial"/>
                <w:b/>
                <w:bCs/>
                <w:sz w:val="18"/>
                <w:szCs w:val="18"/>
              </w:rPr>
            </w:pPr>
            <w:r w:rsidRPr="005D1219">
              <w:rPr>
                <w:rFonts w:ascii="Arial" w:eastAsia="Times New Roman" w:hAnsi="Arial" w:cs="Arial"/>
                <w:b/>
                <w:bCs/>
                <w:sz w:val="18"/>
                <w:szCs w:val="18"/>
              </w:rPr>
              <w:t>183</w:t>
            </w:r>
          </w:p>
        </w:tc>
      </w:tr>
      <w:tr w:rsidR="00D975B9" w:rsidRPr="003D1614" w14:paraId="47FF9158" w14:textId="77777777" w:rsidTr="00E66367">
        <w:trPr>
          <w:trHeight w:val="276"/>
        </w:trPr>
        <w:tc>
          <w:tcPr>
            <w:tcW w:w="3912" w:type="dxa"/>
            <w:vAlign w:val="bottom"/>
            <w:hideMark/>
          </w:tcPr>
          <w:p w14:paraId="4B789D92" w14:textId="016C46BD" w:rsidR="00D975B9" w:rsidRPr="003D1614" w:rsidRDefault="00D975B9" w:rsidP="00D975B9">
            <w:pPr>
              <w:suppressAutoHyphens/>
              <w:autoSpaceDN w:val="0"/>
              <w:spacing w:line="256" w:lineRule="auto"/>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ožujka 202</w:t>
            </w:r>
            <w:r>
              <w:rPr>
                <w:rFonts w:ascii="Arial" w:eastAsia="Calibri" w:hAnsi="Arial" w:cs="Arial"/>
                <w:b/>
                <w:bCs/>
                <w:color w:val="000000" w:themeColor="text1"/>
                <w:sz w:val="18"/>
                <w:szCs w:val="18"/>
              </w:rPr>
              <w:t>4</w:t>
            </w:r>
            <w:r w:rsidRPr="003D1614">
              <w:rPr>
                <w:rFonts w:ascii="Arial" w:eastAsia="Calibri" w:hAnsi="Arial" w:cs="Arial"/>
                <w:b/>
                <w:bCs/>
                <w:color w:val="000000" w:themeColor="text1"/>
                <w:sz w:val="18"/>
                <w:szCs w:val="18"/>
              </w:rPr>
              <w:t>.</w:t>
            </w:r>
          </w:p>
        </w:tc>
        <w:tc>
          <w:tcPr>
            <w:tcW w:w="1081" w:type="dxa"/>
            <w:tcBorders>
              <w:top w:val="single" w:sz="4" w:space="0" w:color="auto"/>
              <w:left w:val="nil"/>
              <w:bottom w:val="single" w:sz="12" w:space="0" w:color="auto"/>
              <w:right w:val="nil"/>
            </w:tcBorders>
            <w:shd w:val="clear" w:color="auto" w:fill="auto"/>
            <w:vAlign w:val="bottom"/>
          </w:tcPr>
          <w:p w14:paraId="6D41C693" w14:textId="205187E7" w:rsidR="00D975B9" w:rsidRPr="003D1614" w:rsidRDefault="005C61CD" w:rsidP="00D975B9">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46.639</w:t>
            </w:r>
          </w:p>
        </w:tc>
        <w:tc>
          <w:tcPr>
            <w:tcW w:w="1082" w:type="dxa"/>
            <w:tcBorders>
              <w:top w:val="single" w:sz="4" w:space="0" w:color="auto"/>
              <w:left w:val="nil"/>
              <w:bottom w:val="single" w:sz="12" w:space="0" w:color="auto"/>
              <w:right w:val="nil"/>
            </w:tcBorders>
            <w:shd w:val="clear" w:color="auto" w:fill="auto"/>
            <w:vAlign w:val="bottom"/>
          </w:tcPr>
          <w:p w14:paraId="0F6BDBC2" w14:textId="616EEF35" w:rsidR="00D975B9" w:rsidRPr="003D1614" w:rsidRDefault="005C61CD" w:rsidP="00D975B9">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94.201</w:t>
            </w:r>
          </w:p>
        </w:tc>
        <w:tc>
          <w:tcPr>
            <w:tcW w:w="1081" w:type="dxa"/>
            <w:tcBorders>
              <w:top w:val="single" w:sz="4" w:space="0" w:color="auto"/>
              <w:left w:val="nil"/>
              <w:bottom w:val="single" w:sz="12" w:space="0" w:color="auto"/>
              <w:right w:val="nil"/>
            </w:tcBorders>
            <w:shd w:val="clear" w:color="auto" w:fill="auto"/>
            <w:vAlign w:val="bottom"/>
          </w:tcPr>
          <w:p w14:paraId="37DA59C0" w14:textId="676910DC" w:rsidR="00D975B9" w:rsidRPr="003D1614" w:rsidRDefault="005C61CD" w:rsidP="00D975B9">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290.201</w:t>
            </w:r>
          </w:p>
        </w:tc>
        <w:tc>
          <w:tcPr>
            <w:tcW w:w="1048" w:type="dxa"/>
            <w:tcBorders>
              <w:top w:val="single" w:sz="4" w:space="0" w:color="auto"/>
              <w:left w:val="nil"/>
              <w:bottom w:val="single" w:sz="12" w:space="0" w:color="auto"/>
              <w:right w:val="nil"/>
            </w:tcBorders>
            <w:shd w:val="clear" w:color="auto" w:fill="auto"/>
            <w:vAlign w:val="bottom"/>
          </w:tcPr>
          <w:p w14:paraId="4EB1DE09" w14:textId="1656FC52" w:rsidR="00D975B9" w:rsidRPr="003D1614" w:rsidRDefault="00F37B96" w:rsidP="00D975B9">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34.322</w:t>
            </w:r>
          </w:p>
        </w:tc>
        <w:tc>
          <w:tcPr>
            <w:tcW w:w="1159" w:type="dxa"/>
            <w:tcBorders>
              <w:top w:val="single" w:sz="4" w:space="0" w:color="auto"/>
              <w:left w:val="nil"/>
              <w:bottom w:val="single" w:sz="12" w:space="0" w:color="auto"/>
              <w:right w:val="nil"/>
            </w:tcBorders>
            <w:shd w:val="clear" w:color="auto" w:fill="auto"/>
            <w:vAlign w:val="bottom"/>
          </w:tcPr>
          <w:p w14:paraId="189FDD75" w14:textId="01159A78" w:rsidR="00D975B9" w:rsidRPr="003D1614" w:rsidRDefault="00F37B96" w:rsidP="00D975B9">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465.363</w:t>
            </w:r>
          </w:p>
        </w:tc>
      </w:tr>
      <w:bookmarkEnd w:id="758"/>
      <w:bookmarkEnd w:id="760"/>
    </w:tbl>
    <w:p w14:paraId="3277AD85" w14:textId="77777777" w:rsidR="00D92646" w:rsidRPr="003D1614" w:rsidRDefault="00D92646" w:rsidP="00D92646">
      <w:pPr>
        <w:suppressAutoHyphens/>
        <w:autoSpaceDN w:val="0"/>
        <w:rPr>
          <w:rFonts w:ascii="Arial" w:eastAsia="Calibri" w:hAnsi="Arial" w:cs="Arial"/>
          <w:color w:val="000000" w:themeColor="text1"/>
          <w:sz w:val="20"/>
          <w:szCs w:val="20"/>
        </w:rPr>
      </w:pPr>
    </w:p>
    <w:p w14:paraId="6E874C07" w14:textId="38B75683" w:rsidR="00D92646" w:rsidRPr="003D1614" w:rsidRDefault="00D92646" w:rsidP="001A0FCB">
      <w:pPr>
        <w:suppressAutoHyphens/>
        <w:autoSpaceDN w:val="0"/>
        <w:jc w:val="both"/>
        <w:rPr>
          <w:rFonts w:ascii="Arial" w:eastAsia="Times New Roman" w:hAnsi="Arial" w:cs="Arial"/>
          <w:color w:val="000000" w:themeColor="text1"/>
          <w:sz w:val="20"/>
          <w:szCs w:val="20"/>
        </w:rPr>
      </w:pPr>
    </w:p>
    <w:p w14:paraId="6C7EB4B5" w14:textId="249AD30F" w:rsidR="00D92646" w:rsidRPr="003D1614" w:rsidRDefault="00D92646" w:rsidP="001A0FCB">
      <w:pPr>
        <w:suppressAutoHyphens/>
        <w:autoSpaceDN w:val="0"/>
        <w:jc w:val="both"/>
        <w:rPr>
          <w:rFonts w:ascii="Arial" w:eastAsia="Times New Roman" w:hAnsi="Arial" w:cs="Arial"/>
          <w:color w:val="000000" w:themeColor="text1"/>
          <w:sz w:val="20"/>
          <w:szCs w:val="20"/>
        </w:rPr>
      </w:pPr>
    </w:p>
    <w:p w14:paraId="42F7515C" w14:textId="77777777" w:rsidR="00D92646" w:rsidRDefault="00D92646" w:rsidP="001A0FCB">
      <w:pPr>
        <w:suppressAutoHyphens/>
        <w:autoSpaceDN w:val="0"/>
        <w:jc w:val="both"/>
        <w:rPr>
          <w:rFonts w:ascii="Arial" w:eastAsia="Times New Roman" w:hAnsi="Arial" w:cs="Arial"/>
          <w:color w:val="000000" w:themeColor="text1"/>
          <w:sz w:val="20"/>
          <w:szCs w:val="20"/>
        </w:rPr>
      </w:pPr>
    </w:p>
    <w:tbl>
      <w:tblPr>
        <w:tblW w:w="9363" w:type="dxa"/>
        <w:tblInd w:w="-180" w:type="dxa"/>
        <w:tblLayout w:type="fixed"/>
        <w:tblLook w:val="04A0" w:firstRow="1" w:lastRow="0" w:firstColumn="1" w:lastColumn="0" w:noHBand="0" w:noVBand="1"/>
      </w:tblPr>
      <w:tblGrid>
        <w:gridCol w:w="3912"/>
        <w:gridCol w:w="1081"/>
        <w:gridCol w:w="1082"/>
        <w:gridCol w:w="1081"/>
        <w:gridCol w:w="1048"/>
        <w:gridCol w:w="1159"/>
      </w:tblGrid>
      <w:tr w:rsidR="00C546FC" w:rsidRPr="001B015B" w14:paraId="73152B35" w14:textId="77777777" w:rsidTr="00CA7F04">
        <w:trPr>
          <w:trHeight w:val="159"/>
        </w:trPr>
        <w:tc>
          <w:tcPr>
            <w:tcW w:w="3912" w:type="dxa"/>
            <w:vAlign w:val="center"/>
            <w:hideMark/>
          </w:tcPr>
          <w:p w14:paraId="24F91E0D" w14:textId="77777777" w:rsidR="00C546FC" w:rsidRPr="001B015B" w:rsidRDefault="00C546FC" w:rsidP="00CA7F04">
            <w:pPr>
              <w:spacing w:line="256" w:lineRule="auto"/>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Grupa i Banka</w:t>
            </w:r>
          </w:p>
        </w:tc>
        <w:tc>
          <w:tcPr>
            <w:tcW w:w="1081" w:type="dxa"/>
            <w:vAlign w:val="center"/>
          </w:tcPr>
          <w:p w14:paraId="04029438" w14:textId="77777777" w:rsidR="00C546FC" w:rsidRPr="001B015B" w:rsidRDefault="00C546FC" w:rsidP="00CA7F04">
            <w:pPr>
              <w:spacing w:line="256" w:lineRule="auto"/>
              <w:jc w:val="right"/>
              <w:rPr>
                <w:rFonts w:ascii="Arial" w:eastAsia="Calibri" w:hAnsi="Arial" w:cs="Arial"/>
                <w:b/>
                <w:bCs/>
                <w:color w:val="000000" w:themeColor="text1"/>
                <w:sz w:val="18"/>
                <w:szCs w:val="18"/>
              </w:rPr>
            </w:pPr>
          </w:p>
        </w:tc>
        <w:tc>
          <w:tcPr>
            <w:tcW w:w="1082" w:type="dxa"/>
            <w:vAlign w:val="center"/>
          </w:tcPr>
          <w:p w14:paraId="71FCE45C" w14:textId="77777777" w:rsidR="00C546FC" w:rsidRPr="001B015B" w:rsidRDefault="00C546FC" w:rsidP="00CA7F04">
            <w:pPr>
              <w:spacing w:line="256" w:lineRule="auto"/>
              <w:jc w:val="right"/>
              <w:rPr>
                <w:rFonts w:ascii="Arial" w:eastAsia="Calibri" w:hAnsi="Arial" w:cs="Arial"/>
                <w:b/>
                <w:bCs/>
                <w:color w:val="000000" w:themeColor="text1"/>
                <w:sz w:val="18"/>
                <w:szCs w:val="18"/>
              </w:rPr>
            </w:pPr>
          </w:p>
        </w:tc>
        <w:tc>
          <w:tcPr>
            <w:tcW w:w="1081" w:type="dxa"/>
            <w:vAlign w:val="center"/>
          </w:tcPr>
          <w:p w14:paraId="0DD18A39" w14:textId="77777777" w:rsidR="00C546FC" w:rsidRPr="001B015B" w:rsidRDefault="00C546FC" w:rsidP="00CA7F04">
            <w:pPr>
              <w:spacing w:line="256" w:lineRule="auto"/>
              <w:jc w:val="right"/>
              <w:rPr>
                <w:rFonts w:ascii="Arial" w:eastAsia="Calibri" w:hAnsi="Arial" w:cs="Arial"/>
                <w:b/>
                <w:bCs/>
                <w:color w:val="000000" w:themeColor="text1"/>
                <w:sz w:val="18"/>
                <w:szCs w:val="18"/>
              </w:rPr>
            </w:pPr>
          </w:p>
        </w:tc>
        <w:tc>
          <w:tcPr>
            <w:tcW w:w="1048" w:type="dxa"/>
            <w:vAlign w:val="center"/>
          </w:tcPr>
          <w:p w14:paraId="3AB0564B" w14:textId="77777777" w:rsidR="00C546FC" w:rsidRPr="001B015B" w:rsidRDefault="00C546FC" w:rsidP="00CA7F04">
            <w:pPr>
              <w:spacing w:line="256" w:lineRule="auto"/>
              <w:jc w:val="right"/>
              <w:rPr>
                <w:rFonts w:ascii="Arial" w:eastAsia="Calibri" w:hAnsi="Arial" w:cs="Arial"/>
                <w:b/>
                <w:bCs/>
                <w:color w:val="000000" w:themeColor="text1"/>
                <w:sz w:val="18"/>
                <w:szCs w:val="18"/>
              </w:rPr>
            </w:pPr>
          </w:p>
        </w:tc>
        <w:tc>
          <w:tcPr>
            <w:tcW w:w="1159" w:type="dxa"/>
            <w:vAlign w:val="center"/>
          </w:tcPr>
          <w:p w14:paraId="19EB4DD2" w14:textId="77777777" w:rsidR="00C546FC" w:rsidRPr="001B015B" w:rsidRDefault="00C546FC" w:rsidP="00CA7F04">
            <w:pPr>
              <w:spacing w:line="256" w:lineRule="auto"/>
              <w:jc w:val="right"/>
              <w:rPr>
                <w:rFonts w:ascii="Arial" w:eastAsia="Calibri" w:hAnsi="Arial" w:cs="Arial"/>
                <w:b/>
                <w:bCs/>
                <w:color w:val="000000" w:themeColor="text1"/>
                <w:sz w:val="18"/>
                <w:szCs w:val="18"/>
              </w:rPr>
            </w:pPr>
          </w:p>
        </w:tc>
      </w:tr>
      <w:tr w:rsidR="00C546FC" w:rsidRPr="001B015B" w14:paraId="4E48C4DF" w14:textId="77777777" w:rsidTr="00CA7F04">
        <w:trPr>
          <w:trHeight w:val="159"/>
        </w:trPr>
        <w:tc>
          <w:tcPr>
            <w:tcW w:w="3912" w:type="dxa"/>
            <w:vAlign w:val="center"/>
            <w:hideMark/>
          </w:tcPr>
          <w:p w14:paraId="0E2779C2" w14:textId="77777777" w:rsidR="00C546FC" w:rsidRPr="001B015B" w:rsidRDefault="00C546FC" w:rsidP="00CA7F04">
            <w:pPr>
              <w:spacing w:line="256" w:lineRule="auto"/>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31. prosinca 202</w:t>
            </w:r>
            <w:r>
              <w:rPr>
                <w:rFonts w:ascii="Arial" w:eastAsia="Calibri" w:hAnsi="Arial" w:cs="Arial"/>
                <w:b/>
                <w:bCs/>
                <w:color w:val="000000" w:themeColor="text1"/>
                <w:sz w:val="18"/>
                <w:szCs w:val="18"/>
              </w:rPr>
              <w:t>3</w:t>
            </w:r>
            <w:r w:rsidRPr="001B015B">
              <w:rPr>
                <w:rFonts w:ascii="Arial" w:eastAsia="Calibri" w:hAnsi="Arial" w:cs="Arial"/>
                <w:b/>
                <w:bCs/>
                <w:color w:val="000000" w:themeColor="text1"/>
                <w:sz w:val="18"/>
                <w:szCs w:val="18"/>
              </w:rPr>
              <w:t>.</w:t>
            </w:r>
          </w:p>
        </w:tc>
        <w:tc>
          <w:tcPr>
            <w:tcW w:w="1081" w:type="dxa"/>
            <w:vAlign w:val="center"/>
            <w:hideMark/>
          </w:tcPr>
          <w:p w14:paraId="1B76B15D" w14:textId="77777777" w:rsidR="00C546FC" w:rsidRPr="001B015B" w:rsidRDefault="00C546FC" w:rsidP="00CA7F04">
            <w:pPr>
              <w:spacing w:line="256" w:lineRule="auto"/>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1</w:t>
            </w:r>
          </w:p>
        </w:tc>
        <w:tc>
          <w:tcPr>
            <w:tcW w:w="1082" w:type="dxa"/>
            <w:vAlign w:val="center"/>
            <w:hideMark/>
          </w:tcPr>
          <w:p w14:paraId="337F04DE" w14:textId="77777777" w:rsidR="00C546FC" w:rsidRPr="001B015B" w:rsidRDefault="00C546FC" w:rsidP="00CA7F04">
            <w:pPr>
              <w:spacing w:line="256" w:lineRule="auto"/>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2</w:t>
            </w:r>
          </w:p>
        </w:tc>
        <w:tc>
          <w:tcPr>
            <w:tcW w:w="1081" w:type="dxa"/>
            <w:vAlign w:val="center"/>
            <w:hideMark/>
          </w:tcPr>
          <w:p w14:paraId="2AEA8873" w14:textId="77777777" w:rsidR="00C546FC" w:rsidRPr="001B015B" w:rsidRDefault="00C546FC" w:rsidP="00CA7F04">
            <w:pPr>
              <w:spacing w:line="256" w:lineRule="auto"/>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3</w:t>
            </w:r>
          </w:p>
        </w:tc>
        <w:tc>
          <w:tcPr>
            <w:tcW w:w="1048" w:type="dxa"/>
            <w:vAlign w:val="center"/>
            <w:hideMark/>
          </w:tcPr>
          <w:p w14:paraId="0281686A" w14:textId="77777777" w:rsidR="00C546FC" w:rsidRPr="001B015B" w:rsidRDefault="00C546FC" w:rsidP="00CA7F04">
            <w:pPr>
              <w:spacing w:line="256" w:lineRule="auto"/>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POCI</w:t>
            </w:r>
          </w:p>
        </w:tc>
        <w:tc>
          <w:tcPr>
            <w:tcW w:w="1159" w:type="dxa"/>
            <w:vAlign w:val="center"/>
            <w:hideMark/>
          </w:tcPr>
          <w:p w14:paraId="398F6CAC" w14:textId="77777777" w:rsidR="00C546FC" w:rsidRPr="001B015B" w:rsidRDefault="00C546FC" w:rsidP="00CA7F04">
            <w:pPr>
              <w:spacing w:line="256" w:lineRule="auto"/>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Ukupno</w:t>
            </w:r>
          </w:p>
        </w:tc>
      </w:tr>
      <w:tr w:rsidR="00C546FC" w:rsidRPr="001B015B" w14:paraId="78664997" w14:textId="77777777" w:rsidTr="00CA7F04">
        <w:trPr>
          <w:trHeight w:val="159"/>
        </w:trPr>
        <w:tc>
          <w:tcPr>
            <w:tcW w:w="3912" w:type="dxa"/>
            <w:vAlign w:val="center"/>
            <w:hideMark/>
          </w:tcPr>
          <w:p w14:paraId="58B58D4E" w14:textId="77777777" w:rsidR="00C546FC" w:rsidRPr="001B015B" w:rsidRDefault="00C546FC" w:rsidP="00CA7F04">
            <w:pPr>
              <w:rPr>
                <w:rFonts w:ascii="Arial" w:eastAsia="Calibri" w:hAnsi="Arial" w:cs="Arial"/>
                <w:b/>
                <w:bCs/>
                <w:color w:val="000000" w:themeColor="text1"/>
                <w:sz w:val="18"/>
                <w:szCs w:val="18"/>
              </w:rPr>
            </w:pPr>
          </w:p>
        </w:tc>
        <w:tc>
          <w:tcPr>
            <w:tcW w:w="1081" w:type="dxa"/>
            <w:tcBorders>
              <w:top w:val="nil"/>
              <w:left w:val="nil"/>
              <w:bottom w:val="nil"/>
              <w:right w:val="nil"/>
            </w:tcBorders>
            <w:shd w:val="clear" w:color="auto" w:fill="auto"/>
            <w:vAlign w:val="bottom"/>
            <w:hideMark/>
          </w:tcPr>
          <w:p w14:paraId="47FAD190" w14:textId="77777777" w:rsidR="00C546FC" w:rsidRPr="001B015B" w:rsidRDefault="00C546FC" w:rsidP="00CA7F04">
            <w:pPr>
              <w:spacing w:line="256" w:lineRule="auto"/>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82" w:type="dxa"/>
            <w:tcBorders>
              <w:top w:val="nil"/>
              <w:left w:val="nil"/>
              <w:bottom w:val="nil"/>
              <w:right w:val="nil"/>
            </w:tcBorders>
            <w:shd w:val="clear" w:color="auto" w:fill="auto"/>
            <w:vAlign w:val="bottom"/>
            <w:hideMark/>
          </w:tcPr>
          <w:p w14:paraId="7C464E30" w14:textId="77777777" w:rsidR="00C546FC" w:rsidRPr="001B015B" w:rsidRDefault="00C546FC" w:rsidP="00CA7F04">
            <w:pPr>
              <w:spacing w:line="256" w:lineRule="auto"/>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81" w:type="dxa"/>
            <w:tcBorders>
              <w:top w:val="nil"/>
              <w:left w:val="nil"/>
              <w:bottom w:val="nil"/>
              <w:right w:val="nil"/>
            </w:tcBorders>
            <w:shd w:val="clear" w:color="auto" w:fill="auto"/>
            <w:vAlign w:val="bottom"/>
            <w:hideMark/>
          </w:tcPr>
          <w:p w14:paraId="30326F37" w14:textId="77777777" w:rsidR="00C546FC" w:rsidRPr="001B015B" w:rsidRDefault="00C546FC" w:rsidP="00CA7F04">
            <w:pPr>
              <w:spacing w:line="256" w:lineRule="auto"/>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048" w:type="dxa"/>
            <w:tcBorders>
              <w:top w:val="nil"/>
              <w:left w:val="nil"/>
              <w:bottom w:val="nil"/>
              <w:right w:val="nil"/>
            </w:tcBorders>
            <w:shd w:val="clear" w:color="auto" w:fill="auto"/>
            <w:vAlign w:val="bottom"/>
            <w:hideMark/>
          </w:tcPr>
          <w:p w14:paraId="19E15A7D" w14:textId="77777777" w:rsidR="00C546FC" w:rsidRPr="001B015B" w:rsidRDefault="00C546FC" w:rsidP="00CA7F04">
            <w:pPr>
              <w:spacing w:line="256" w:lineRule="auto"/>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c>
          <w:tcPr>
            <w:tcW w:w="1159" w:type="dxa"/>
            <w:tcBorders>
              <w:top w:val="nil"/>
              <w:left w:val="nil"/>
              <w:bottom w:val="nil"/>
              <w:right w:val="nil"/>
            </w:tcBorders>
            <w:shd w:val="clear" w:color="auto" w:fill="auto"/>
            <w:vAlign w:val="bottom"/>
            <w:hideMark/>
          </w:tcPr>
          <w:p w14:paraId="75592827" w14:textId="77777777" w:rsidR="00C546FC" w:rsidRPr="001B015B" w:rsidRDefault="00C546FC" w:rsidP="00CA7F04">
            <w:pPr>
              <w:spacing w:line="256" w:lineRule="auto"/>
              <w:jc w:val="right"/>
              <w:rPr>
                <w:rFonts w:ascii="Arial" w:eastAsia="Calibri" w:hAnsi="Arial" w:cs="Arial"/>
                <w:b/>
                <w:bCs/>
                <w:color w:val="000000" w:themeColor="text1"/>
                <w:sz w:val="18"/>
                <w:szCs w:val="18"/>
              </w:rPr>
            </w:pPr>
            <w:r w:rsidRPr="00131510">
              <w:rPr>
                <w:rFonts w:ascii="Arial" w:eastAsia="Calibri" w:hAnsi="Arial" w:cs="Arial"/>
                <w:b/>
                <w:bCs/>
                <w:color w:val="000000" w:themeColor="text1"/>
                <w:sz w:val="18"/>
                <w:szCs w:val="18"/>
              </w:rPr>
              <w:t>000 eura</w:t>
            </w:r>
          </w:p>
        </w:tc>
      </w:tr>
      <w:tr w:rsidR="00C546FC" w:rsidRPr="001B015B" w14:paraId="597110A3" w14:textId="77777777" w:rsidTr="00CA7F04">
        <w:trPr>
          <w:trHeight w:val="159"/>
        </w:trPr>
        <w:tc>
          <w:tcPr>
            <w:tcW w:w="3912" w:type="dxa"/>
            <w:vAlign w:val="center"/>
          </w:tcPr>
          <w:p w14:paraId="07221594" w14:textId="77777777" w:rsidR="00C546FC" w:rsidRPr="001B015B" w:rsidRDefault="00C546FC" w:rsidP="00CA7F04">
            <w:pPr>
              <w:spacing w:line="256" w:lineRule="auto"/>
              <w:rPr>
                <w:rFonts w:ascii="Arial" w:eastAsia="Calibri" w:hAnsi="Arial" w:cs="Arial"/>
                <w:b/>
                <w:bCs/>
                <w:color w:val="000000" w:themeColor="text1"/>
                <w:sz w:val="18"/>
                <w:szCs w:val="18"/>
              </w:rPr>
            </w:pPr>
          </w:p>
        </w:tc>
        <w:tc>
          <w:tcPr>
            <w:tcW w:w="1081" w:type="dxa"/>
            <w:vAlign w:val="center"/>
          </w:tcPr>
          <w:p w14:paraId="41A27BA6" w14:textId="77777777" w:rsidR="00C546FC" w:rsidRPr="001B015B" w:rsidRDefault="00C546FC" w:rsidP="00CA7F04">
            <w:pPr>
              <w:spacing w:line="256" w:lineRule="auto"/>
              <w:rPr>
                <w:rFonts w:ascii="Arial" w:eastAsia="Calibri" w:hAnsi="Arial" w:cs="Arial"/>
                <w:b/>
                <w:bCs/>
                <w:color w:val="000000" w:themeColor="text1"/>
                <w:sz w:val="18"/>
                <w:szCs w:val="18"/>
              </w:rPr>
            </w:pPr>
          </w:p>
        </w:tc>
        <w:tc>
          <w:tcPr>
            <w:tcW w:w="1082" w:type="dxa"/>
            <w:vAlign w:val="center"/>
          </w:tcPr>
          <w:p w14:paraId="116E6194" w14:textId="77777777" w:rsidR="00C546FC" w:rsidRPr="001B015B" w:rsidRDefault="00C546FC" w:rsidP="00CA7F04">
            <w:pPr>
              <w:spacing w:line="256" w:lineRule="auto"/>
              <w:rPr>
                <w:rFonts w:ascii="Arial" w:eastAsia="Calibri" w:hAnsi="Arial" w:cs="Arial"/>
                <w:b/>
                <w:bCs/>
                <w:color w:val="000000" w:themeColor="text1"/>
                <w:sz w:val="18"/>
                <w:szCs w:val="18"/>
              </w:rPr>
            </w:pPr>
          </w:p>
        </w:tc>
        <w:tc>
          <w:tcPr>
            <w:tcW w:w="1081" w:type="dxa"/>
            <w:vAlign w:val="center"/>
          </w:tcPr>
          <w:p w14:paraId="52A22F2D" w14:textId="77777777" w:rsidR="00C546FC" w:rsidRPr="001B015B" w:rsidRDefault="00C546FC" w:rsidP="00CA7F04">
            <w:pPr>
              <w:spacing w:line="256" w:lineRule="auto"/>
              <w:rPr>
                <w:rFonts w:ascii="Arial" w:eastAsia="Calibri" w:hAnsi="Arial" w:cs="Arial"/>
                <w:b/>
                <w:bCs/>
                <w:color w:val="000000" w:themeColor="text1"/>
                <w:sz w:val="18"/>
                <w:szCs w:val="18"/>
              </w:rPr>
            </w:pPr>
          </w:p>
        </w:tc>
        <w:tc>
          <w:tcPr>
            <w:tcW w:w="1048" w:type="dxa"/>
            <w:vAlign w:val="center"/>
          </w:tcPr>
          <w:p w14:paraId="32F8A4F8" w14:textId="77777777" w:rsidR="00C546FC" w:rsidRPr="001B015B" w:rsidRDefault="00C546FC" w:rsidP="00CA7F04">
            <w:pPr>
              <w:spacing w:line="256" w:lineRule="auto"/>
              <w:rPr>
                <w:rFonts w:ascii="Arial" w:eastAsia="Calibri" w:hAnsi="Arial" w:cs="Arial"/>
                <w:b/>
                <w:bCs/>
                <w:color w:val="000000" w:themeColor="text1"/>
                <w:sz w:val="18"/>
                <w:szCs w:val="18"/>
              </w:rPr>
            </w:pPr>
          </w:p>
        </w:tc>
        <w:tc>
          <w:tcPr>
            <w:tcW w:w="1159" w:type="dxa"/>
            <w:vAlign w:val="center"/>
          </w:tcPr>
          <w:p w14:paraId="07DD8CD9" w14:textId="77777777" w:rsidR="00C546FC" w:rsidRPr="001B015B" w:rsidRDefault="00C546FC" w:rsidP="00CA7F04">
            <w:pPr>
              <w:spacing w:line="256" w:lineRule="auto"/>
              <w:rPr>
                <w:rFonts w:ascii="Arial" w:eastAsia="Calibri" w:hAnsi="Arial" w:cs="Arial"/>
                <w:b/>
                <w:bCs/>
                <w:color w:val="000000" w:themeColor="text1"/>
                <w:sz w:val="18"/>
                <w:szCs w:val="18"/>
              </w:rPr>
            </w:pPr>
          </w:p>
        </w:tc>
      </w:tr>
      <w:tr w:rsidR="00C546FC" w:rsidRPr="001B015B" w14:paraId="05FDFF87" w14:textId="77777777" w:rsidTr="00CA7F04">
        <w:trPr>
          <w:trHeight w:val="159"/>
        </w:trPr>
        <w:tc>
          <w:tcPr>
            <w:tcW w:w="3912" w:type="dxa"/>
            <w:vAlign w:val="center"/>
            <w:hideMark/>
          </w:tcPr>
          <w:p w14:paraId="619812B5" w14:textId="77777777" w:rsidR="00C546FC" w:rsidRPr="001B015B" w:rsidRDefault="00C546FC" w:rsidP="00CA7F04">
            <w:pPr>
              <w:spacing w:line="256" w:lineRule="auto"/>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3</w:t>
            </w:r>
            <w:r w:rsidRPr="001B015B">
              <w:rPr>
                <w:rFonts w:ascii="Arial" w:eastAsia="Calibri" w:hAnsi="Arial" w:cs="Arial"/>
                <w:color w:val="000000" w:themeColor="text1"/>
                <w:sz w:val="18"/>
                <w:szCs w:val="18"/>
              </w:rPr>
              <w:t xml:space="preserve">. </w:t>
            </w:r>
          </w:p>
        </w:tc>
        <w:tc>
          <w:tcPr>
            <w:tcW w:w="1081" w:type="dxa"/>
            <w:vAlign w:val="bottom"/>
          </w:tcPr>
          <w:p w14:paraId="22128D43" w14:textId="77777777" w:rsidR="00C546FC" w:rsidRPr="00852BF5" w:rsidRDefault="00C546FC" w:rsidP="00CA7F04">
            <w:pPr>
              <w:jc w:val="right"/>
              <w:rPr>
                <w:rFonts w:ascii="Arial" w:hAnsi="Arial" w:cs="Arial"/>
                <w:sz w:val="18"/>
                <w:szCs w:val="18"/>
              </w:rPr>
            </w:pPr>
            <w:r w:rsidRPr="00F959D0">
              <w:rPr>
                <w:rFonts w:ascii="Arial" w:hAnsi="Arial" w:cs="Arial"/>
                <w:sz w:val="18"/>
                <w:szCs w:val="18"/>
              </w:rPr>
              <w:t xml:space="preserve"> 47.280 </w:t>
            </w:r>
          </w:p>
        </w:tc>
        <w:tc>
          <w:tcPr>
            <w:tcW w:w="1082" w:type="dxa"/>
            <w:vAlign w:val="bottom"/>
          </w:tcPr>
          <w:p w14:paraId="3CC1FF35" w14:textId="77777777" w:rsidR="00C546FC" w:rsidRPr="00852BF5" w:rsidRDefault="00C546FC" w:rsidP="00CA7F04">
            <w:pPr>
              <w:spacing w:line="256" w:lineRule="auto"/>
              <w:jc w:val="right"/>
              <w:rPr>
                <w:rFonts w:ascii="Arial" w:hAnsi="Arial" w:cs="Arial"/>
                <w:sz w:val="18"/>
                <w:szCs w:val="18"/>
              </w:rPr>
            </w:pPr>
            <w:r w:rsidRPr="00F959D0">
              <w:rPr>
                <w:rFonts w:ascii="Arial" w:hAnsi="Arial" w:cs="Arial"/>
                <w:sz w:val="18"/>
                <w:szCs w:val="18"/>
              </w:rPr>
              <w:t xml:space="preserve"> 104.067 </w:t>
            </w:r>
          </w:p>
        </w:tc>
        <w:tc>
          <w:tcPr>
            <w:tcW w:w="1081" w:type="dxa"/>
            <w:vAlign w:val="bottom"/>
          </w:tcPr>
          <w:p w14:paraId="7968731C" w14:textId="77777777" w:rsidR="00C546FC" w:rsidRPr="00852BF5" w:rsidRDefault="00C546FC" w:rsidP="00CA7F04">
            <w:pPr>
              <w:spacing w:line="256" w:lineRule="auto"/>
              <w:jc w:val="right"/>
              <w:rPr>
                <w:rFonts w:ascii="Arial" w:hAnsi="Arial" w:cs="Arial"/>
                <w:sz w:val="18"/>
                <w:szCs w:val="18"/>
              </w:rPr>
            </w:pPr>
            <w:r w:rsidRPr="00F959D0">
              <w:rPr>
                <w:rFonts w:ascii="Arial" w:hAnsi="Arial" w:cs="Arial"/>
                <w:sz w:val="18"/>
                <w:szCs w:val="18"/>
              </w:rPr>
              <w:t xml:space="preserve"> 277.638 </w:t>
            </w:r>
          </w:p>
        </w:tc>
        <w:tc>
          <w:tcPr>
            <w:tcW w:w="1048" w:type="dxa"/>
            <w:vAlign w:val="bottom"/>
          </w:tcPr>
          <w:p w14:paraId="3714F7BA" w14:textId="77777777" w:rsidR="00C546FC" w:rsidRPr="00852BF5" w:rsidRDefault="00C546FC" w:rsidP="00CA7F04">
            <w:pPr>
              <w:spacing w:line="256" w:lineRule="auto"/>
              <w:jc w:val="right"/>
              <w:rPr>
                <w:rFonts w:ascii="Arial" w:hAnsi="Arial" w:cs="Arial"/>
                <w:sz w:val="18"/>
                <w:szCs w:val="18"/>
              </w:rPr>
            </w:pPr>
            <w:r w:rsidRPr="00F959D0">
              <w:rPr>
                <w:rFonts w:ascii="Arial" w:hAnsi="Arial" w:cs="Arial"/>
                <w:sz w:val="18"/>
                <w:szCs w:val="18"/>
              </w:rPr>
              <w:t xml:space="preserve"> 29.576 </w:t>
            </w:r>
          </w:p>
        </w:tc>
        <w:tc>
          <w:tcPr>
            <w:tcW w:w="1159" w:type="dxa"/>
            <w:vAlign w:val="bottom"/>
          </w:tcPr>
          <w:p w14:paraId="3A706C78" w14:textId="77777777" w:rsidR="00C546FC" w:rsidRPr="005D1219" w:rsidRDefault="00C546FC" w:rsidP="00CA7F04">
            <w:pPr>
              <w:spacing w:line="256" w:lineRule="auto"/>
              <w:jc w:val="right"/>
              <w:rPr>
                <w:rFonts w:ascii="Arial" w:hAnsi="Arial" w:cs="Arial"/>
                <w:b/>
                <w:bCs/>
                <w:sz w:val="18"/>
                <w:szCs w:val="18"/>
              </w:rPr>
            </w:pPr>
            <w:r w:rsidRPr="005D1219">
              <w:rPr>
                <w:rFonts w:ascii="Arial" w:hAnsi="Arial" w:cs="Arial"/>
                <w:b/>
                <w:bCs/>
                <w:sz w:val="18"/>
                <w:szCs w:val="18"/>
              </w:rPr>
              <w:t xml:space="preserve"> 458.561 </w:t>
            </w:r>
          </w:p>
        </w:tc>
      </w:tr>
      <w:tr w:rsidR="00C546FC" w:rsidRPr="001B015B" w14:paraId="13D4EE69" w14:textId="77777777" w:rsidTr="00CA7F04">
        <w:trPr>
          <w:trHeight w:val="159"/>
        </w:trPr>
        <w:tc>
          <w:tcPr>
            <w:tcW w:w="3912" w:type="dxa"/>
            <w:vAlign w:val="center"/>
          </w:tcPr>
          <w:p w14:paraId="7C409FE7" w14:textId="77777777" w:rsidR="00C546FC" w:rsidRPr="001B015B" w:rsidRDefault="00C546FC" w:rsidP="00CA7F04">
            <w:pPr>
              <w:spacing w:line="256" w:lineRule="auto"/>
              <w:rPr>
                <w:rFonts w:ascii="Arial" w:eastAsia="Calibri" w:hAnsi="Arial" w:cs="Arial"/>
                <w:color w:val="000000" w:themeColor="text1"/>
                <w:sz w:val="18"/>
                <w:szCs w:val="18"/>
              </w:rPr>
            </w:pPr>
            <w:r w:rsidRPr="00495ED1">
              <w:rPr>
                <w:rFonts w:ascii="Arial" w:eastAsia="Calibri" w:hAnsi="Arial" w:cs="Arial"/>
                <w:color w:val="000000" w:themeColor="text1"/>
                <w:sz w:val="18"/>
                <w:szCs w:val="18"/>
              </w:rPr>
              <w:t>Korekcija početnog stanja rezerviranja</w:t>
            </w:r>
          </w:p>
        </w:tc>
        <w:tc>
          <w:tcPr>
            <w:tcW w:w="1081" w:type="dxa"/>
            <w:vAlign w:val="bottom"/>
          </w:tcPr>
          <w:p w14:paraId="56435428" w14:textId="77777777" w:rsidR="00C546FC" w:rsidRPr="00852BF5" w:rsidRDefault="00C546FC" w:rsidP="00CA7F04">
            <w:pPr>
              <w:jc w:val="right"/>
              <w:rPr>
                <w:rFonts w:ascii="Arial" w:hAnsi="Arial" w:cs="Arial"/>
                <w:sz w:val="18"/>
                <w:szCs w:val="18"/>
              </w:rPr>
            </w:pPr>
            <w:r>
              <w:rPr>
                <w:rFonts w:ascii="Arial" w:hAnsi="Arial" w:cs="Arial"/>
                <w:sz w:val="18"/>
                <w:szCs w:val="18"/>
              </w:rPr>
              <w:t>-</w:t>
            </w:r>
          </w:p>
        </w:tc>
        <w:tc>
          <w:tcPr>
            <w:tcW w:w="1082" w:type="dxa"/>
            <w:vAlign w:val="bottom"/>
          </w:tcPr>
          <w:p w14:paraId="70006A74" w14:textId="77777777" w:rsidR="00C546FC" w:rsidRPr="00852BF5" w:rsidRDefault="00C546FC" w:rsidP="00CA7F04">
            <w:pPr>
              <w:spacing w:line="256" w:lineRule="auto"/>
              <w:jc w:val="right"/>
              <w:rPr>
                <w:rFonts w:ascii="Arial" w:hAnsi="Arial" w:cs="Arial"/>
                <w:sz w:val="18"/>
                <w:szCs w:val="18"/>
              </w:rPr>
            </w:pPr>
            <w:r>
              <w:rPr>
                <w:rFonts w:ascii="Arial" w:hAnsi="Arial" w:cs="Arial"/>
                <w:sz w:val="18"/>
                <w:szCs w:val="18"/>
              </w:rPr>
              <w:t>-</w:t>
            </w:r>
          </w:p>
        </w:tc>
        <w:tc>
          <w:tcPr>
            <w:tcW w:w="1081" w:type="dxa"/>
            <w:vAlign w:val="bottom"/>
          </w:tcPr>
          <w:p w14:paraId="5B00E1DE" w14:textId="77777777" w:rsidR="00C546FC" w:rsidRPr="00852BF5" w:rsidRDefault="00C546FC" w:rsidP="00CA7F04">
            <w:pPr>
              <w:spacing w:line="256" w:lineRule="auto"/>
              <w:jc w:val="right"/>
              <w:rPr>
                <w:rFonts w:ascii="Arial" w:hAnsi="Arial" w:cs="Arial"/>
                <w:sz w:val="18"/>
                <w:szCs w:val="18"/>
              </w:rPr>
            </w:pPr>
            <w:r w:rsidRPr="00F959D0">
              <w:rPr>
                <w:rFonts w:ascii="Arial" w:hAnsi="Arial" w:cs="Arial"/>
                <w:sz w:val="18"/>
                <w:szCs w:val="18"/>
              </w:rPr>
              <w:t xml:space="preserve"> 472 </w:t>
            </w:r>
          </w:p>
        </w:tc>
        <w:tc>
          <w:tcPr>
            <w:tcW w:w="1048" w:type="dxa"/>
            <w:vAlign w:val="bottom"/>
          </w:tcPr>
          <w:p w14:paraId="4BE5FA0F" w14:textId="77777777" w:rsidR="00C546FC" w:rsidRPr="00852BF5" w:rsidRDefault="00C546FC" w:rsidP="00CA7F04">
            <w:pPr>
              <w:spacing w:line="256" w:lineRule="auto"/>
              <w:jc w:val="right"/>
              <w:rPr>
                <w:rFonts w:ascii="Arial" w:hAnsi="Arial" w:cs="Arial"/>
                <w:sz w:val="18"/>
                <w:szCs w:val="18"/>
              </w:rPr>
            </w:pPr>
            <w:r w:rsidRPr="00F959D0">
              <w:rPr>
                <w:rFonts w:ascii="Arial" w:hAnsi="Arial" w:cs="Arial"/>
                <w:sz w:val="18"/>
                <w:szCs w:val="18"/>
              </w:rPr>
              <w:t xml:space="preserve"> 17 </w:t>
            </w:r>
          </w:p>
        </w:tc>
        <w:tc>
          <w:tcPr>
            <w:tcW w:w="1159" w:type="dxa"/>
            <w:vAlign w:val="bottom"/>
          </w:tcPr>
          <w:p w14:paraId="50B6E751" w14:textId="77777777" w:rsidR="00C546FC" w:rsidRPr="005D1219" w:rsidRDefault="00C546FC" w:rsidP="00CA7F04">
            <w:pPr>
              <w:spacing w:line="256" w:lineRule="auto"/>
              <w:jc w:val="right"/>
              <w:rPr>
                <w:rFonts w:ascii="Arial" w:hAnsi="Arial" w:cs="Arial"/>
                <w:b/>
                <w:bCs/>
                <w:sz w:val="18"/>
                <w:szCs w:val="18"/>
              </w:rPr>
            </w:pPr>
            <w:r w:rsidRPr="005D1219">
              <w:rPr>
                <w:rFonts w:ascii="Arial" w:hAnsi="Arial" w:cs="Arial"/>
                <w:b/>
                <w:bCs/>
                <w:sz w:val="18"/>
                <w:szCs w:val="18"/>
              </w:rPr>
              <w:t xml:space="preserve"> 489 </w:t>
            </w:r>
          </w:p>
        </w:tc>
      </w:tr>
      <w:tr w:rsidR="00C546FC" w:rsidRPr="001B015B" w14:paraId="45BA720C" w14:textId="77777777" w:rsidTr="00CA7F04">
        <w:trPr>
          <w:trHeight w:val="159"/>
        </w:trPr>
        <w:tc>
          <w:tcPr>
            <w:tcW w:w="3912" w:type="dxa"/>
            <w:hideMark/>
          </w:tcPr>
          <w:p w14:paraId="6ACAFFC5" w14:textId="77777777" w:rsidR="00C546FC" w:rsidRPr="001B015B" w:rsidRDefault="00C546FC" w:rsidP="00CA7F04">
            <w:pPr>
              <w:spacing w:line="256" w:lineRule="auto"/>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1</w:t>
            </w:r>
          </w:p>
        </w:tc>
        <w:tc>
          <w:tcPr>
            <w:tcW w:w="1081" w:type="dxa"/>
            <w:vAlign w:val="bottom"/>
          </w:tcPr>
          <w:p w14:paraId="08C3094D" w14:textId="77777777" w:rsidR="00C546FC" w:rsidRPr="00852BF5" w:rsidRDefault="00C546FC" w:rsidP="00CA7F04">
            <w:pPr>
              <w:jc w:val="right"/>
              <w:rPr>
                <w:rFonts w:ascii="Arial" w:hAnsi="Arial" w:cs="Arial"/>
                <w:sz w:val="18"/>
                <w:szCs w:val="18"/>
              </w:rPr>
            </w:pPr>
            <w:r w:rsidRPr="00F959D0">
              <w:rPr>
                <w:rFonts w:ascii="Arial" w:hAnsi="Arial" w:cs="Arial"/>
                <w:sz w:val="18"/>
                <w:szCs w:val="18"/>
              </w:rPr>
              <w:t xml:space="preserve"> 47.177 </w:t>
            </w:r>
          </w:p>
        </w:tc>
        <w:tc>
          <w:tcPr>
            <w:tcW w:w="1082" w:type="dxa"/>
            <w:vAlign w:val="bottom"/>
          </w:tcPr>
          <w:p w14:paraId="3D4895A1" w14:textId="77777777" w:rsidR="00C546FC" w:rsidRPr="00852BF5" w:rsidRDefault="00C546FC" w:rsidP="00CA7F04">
            <w:pPr>
              <w:jc w:val="right"/>
              <w:rPr>
                <w:rFonts w:ascii="Arial" w:hAnsi="Arial" w:cs="Arial"/>
                <w:sz w:val="18"/>
                <w:szCs w:val="18"/>
              </w:rPr>
            </w:pPr>
            <w:r w:rsidRPr="00F959D0">
              <w:rPr>
                <w:rFonts w:ascii="Arial" w:hAnsi="Arial" w:cs="Arial"/>
                <w:sz w:val="18"/>
                <w:szCs w:val="18"/>
              </w:rPr>
              <w:t xml:space="preserve"> (43.608)</w:t>
            </w:r>
          </w:p>
        </w:tc>
        <w:tc>
          <w:tcPr>
            <w:tcW w:w="1081" w:type="dxa"/>
            <w:vAlign w:val="bottom"/>
          </w:tcPr>
          <w:p w14:paraId="24A12658" w14:textId="77777777" w:rsidR="00C546FC" w:rsidRPr="00852BF5" w:rsidRDefault="00C546FC" w:rsidP="00CA7F04">
            <w:pPr>
              <w:jc w:val="right"/>
              <w:rPr>
                <w:rFonts w:ascii="Arial" w:hAnsi="Arial" w:cs="Arial"/>
                <w:sz w:val="18"/>
                <w:szCs w:val="18"/>
              </w:rPr>
            </w:pPr>
            <w:r w:rsidRPr="00F959D0">
              <w:rPr>
                <w:rFonts w:ascii="Arial" w:hAnsi="Arial" w:cs="Arial"/>
                <w:sz w:val="18"/>
                <w:szCs w:val="18"/>
              </w:rPr>
              <w:t xml:space="preserve"> (3.569)</w:t>
            </w:r>
          </w:p>
        </w:tc>
        <w:tc>
          <w:tcPr>
            <w:tcW w:w="1048" w:type="dxa"/>
            <w:vAlign w:val="bottom"/>
          </w:tcPr>
          <w:p w14:paraId="5548C42D" w14:textId="77777777" w:rsidR="00C546FC" w:rsidRPr="00852BF5" w:rsidRDefault="00C546FC" w:rsidP="00CA7F04">
            <w:pPr>
              <w:jc w:val="right"/>
              <w:rPr>
                <w:rFonts w:ascii="Arial" w:hAnsi="Arial" w:cs="Arial"/>
                <w:sz w:val="18"/>
                <w:szCs w:val="18"/>
              </w:rPr>
            </w:pPr>
            <w:r>
              <w:rPr>
                <w:rFonts w:ascii="Arial" w:hAnsi="Arial" w:cs="Arial"/>
                <w:sz w:val="18"/>
                <w:szCs w:val="18"/>
              </w:rPr>
              <w:t>-</w:t>
            </w:r>
          </w:p>
        </w:tc>
        <w:tc>
          <w:tcPr>
            <w:tcW w:w="1159" w:type="dxa"/>
            <w:vAlign w:val="bottom"/>
          </w:tcPr>
          <w:p w14:paraId="639AD3C1" w14:textId="77777777" w:rsidR="00C546FC" w:rsidRPr="005D1219" w:rsidRDefault="00C546FC" w:rsidP="00CA7F04">
            <w:pPr>
              <w:jc w:val="right"/>
              <w:rPr>
                <w:rFonts w:ascii="Arial" w:hAnsi="Arial" w:cs="Arial"/>
                <w:b/>
                <w:bCs/>
                <w:sz w:val="18"/>
                <w:szCs w:val="18"/>
              </w:rPr>
            </w:pPr>
            <w:r w:rsidRPr="005D1219">
              <w:rPr>
                <w:rFonts w:ascii="Arial" w:hAnsi="Arial" w:cs="Arial"/>
                <w:b/>
                <w:bCs/>
                <w:sz w:val="18"/>
                <w:szCs w:val="18"/>
              </w:rPr>
              <w:t xml:space="preserve"> - </w:t>
            </w:r>
          </w:p>
        </w:tc>
      </w:tr>
      <w:tr w:rsidR="00C546FC" w:rsidRPr="001B015B" w14:paraId="064AC216" w14:textId="77777777" w:rsidTr="00CA7F04">
        <w:trPr>
          <w:trHeight w:val="159"/>
        </w:trPr>
        <w:tc>
          <w:tcPr>
            <w:tcW w:w="3912" w:type="dxa"/>
          </w:tcPr>
          <w:p w14:paraId="1CB61585" w14:textId="77777777" w:rsidR="00C546FC" w:rsidRPr="001B015B" w:rsidRDefault="00C546FC" w:rsidP="00CA7F04">
            <w:pPr>
              <w:spacing w:line="256" w:lineRule="auto"/>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2</w:t>
            </w:r>
          </w:p>
        </w:tc>
        <w:tc>
          <w:tcPr>
            <w:tcW w:w="1081" w:type="dxa"/>
            <w:vAlign w:val="bottom"/>
          </w:tcPr>
          <w:p w14:paraId="10645D05" w14:textId="77777777" w:rsidR="00C546FC" w:rsidRPr="00852BF5" w:rsidRDefault="00C546FC" w:rsidP="00CA7F04">
            <w:pPr>
              <w:jc w:val="right"/>
              <w:rPr>
                <w:rFonts w:ascii="Arial" w:hAnsi="Arial" w:cs="Arial"/>
                <w:sz w:val="18"/>
                <w:szCs w:val="18"/>
              </w:rPr>
            </w:pPr>
            <w:r w:rsidRPr="00F959D0">
              <w:rPr>
                <w:rFonts w:ascii="Arial" w:hAnsi="Arial" w:cs="Arial"/>
                <w:sz w:val="18"/>
                <w:szCs w:val="18"/>
              </w:rPr>
              <w:t xml:space="preserve"> (8.890)</w:t>
            </w:r>
          </w:p>
        </w:tc>
        <w:tc>
          <w:tcPr>
            <w:tcW w:w="1082" w:type="dxa"/>
            <w:vAlign w:val="bottom"/>
          </w:tcPr>
          <w:p w14:paraId="75514A27" w14:textId="77777777" w:rsidR="00C546FC" w:rsidRPr="00852BF5" w:rsidRDefault="00C546FC" w:rsidP="00CA7F04">
            <w:pPr>
              <w:jc w:val="right"/>
              <w:rPr>
                <w:rFonts w:ascii="Arial" w:hAnsi="Arial" w:cs="Arial"/>
                <w:sz w:val="18"/>
                <w:szCs w:val="18"/>
              </w:rPr>
            </w:pPr>
            <w:r w:rsidRPr="00F959D0">
              <w:rPr>
                <w:rFonts w:ascii="Arial" w:hAnsi="Arial" w:cs="Arial"/>
                <w:sz w:val="18"/>
                <w:szCs w:val="18"/>
              </w:rPr>
              <w:t xml:space="preserve"> 9.767 </w:t>
            </w:r>
          </w:p>
        </w:tc>
        <w:tc>
          <w:tcPr>
            <w:tcW w:w="1081" w:type="dxa"/>
            <w:vAlign w:val="bottom"/>
          </w:tcPr>
          <w:p w14:paraId="4A96A2FE" w14:textId="77777777" w:rsidR="00C546FC" w:rsidRPr="00852BF5" w:rsidRDefault="00C546FC" w:rsidP="00CA7F04">
            <w:pPr>
              <w:jc w:val="right"/>
              <w:rPr>
                <w:rFonts w:ascii="Arial" w:hAnsi="Arial" w:cs="Arial"/>
                <w:sz w:val="18"/>
                <w:szCs w:val="18"/>
              </w:rPr>
            </w:pPr>
            <w:r w:rsidRPr="00F959D0">
              <w:rPr>
                <w:rFonts w:ascii="Arial" w:hAnsi="Arial" w:cs="Arial"/>
                <w:sz w:val="18"/>
                <w:szCs w:val="18"/>
              </w:rPr>
              <w:t xml:space="preserve"> (877)</w:t>
            </w:r>
          </w:p>
        </w:tc>
        <w:tc>
          <w:tcPr>
            <w:tcW w:w="1048" w:type="dxa"/>
            <w:vAlign w:val="bottom"/>
          </w:tcPr>
          <w:p w14:paraId="0FF7C89D" w14:textId="77777777" w:rsidR="00C546FC" w:rsidRPr="00852BF5" w:rsidRDefault="00C546FC" w:rsidP="00CA7F04">
            <w:pPr>
              <w:jc w:val="right"/>
              <w:rPr>
                <w:rFonts w:ascii="Arial" w:hAnsi="Arial" w:cs="Arial"/>
                <w:sz w:val="18"/>
                <w:szCs w:val="18"/>
              </w:rPr>
            </w:pPr>
            <w:r>
              <w:rPr>
                <w:rFonts w:ascii="Arial" w:hAnsi="Arial" w:cs="Arial"/>
                <w:sz w:val="18"/>
                <w:szCs w:val="18"/>
              </w:rPr>
              <w:t>-</w:t>
            </w:r>
          </w:p>
        </w:tc>
        <w:tc>
          <w:tcPr>
            <w:tcW w:w="1159" w:type="dxa"/>
            <w:vAlign w:val="bottom"/>
          </w:tcPr>
          <w:p w14:paraId="2FD7D673" w14:textId="77777777" w:rsidR="00C546FC" w:rsidRPr="005D1219" w:rsidRDefault="00C546FC" w:rsidP="00CA7F04">
            <w:pPr>
              <w:jc w:val="right"/>
              <w:rPr>
                <w:rFonts w:ascii="Arial" w:hAnsi="Arial" w:cs="Arial"/>
                <w:b/>
                <w:bCs/>
                <w:sz w:val="18"/>
                <w:szCs w:val="18"/>
              </w:rPr>
            </w:pPr>
            <w:r w:rsidRPr="005D1219">
              <w:rPr>
                <w:rFonts w:ascii="Arial" w:hAnsi="Arial" w:cs="Arial"/>
                <w:b/>
                <w:bCs/>
                <w:sz w:val="18"/>
                <w:szCs w:val="18"/>
              </w:rPr>
              <w:t xml:space="preserve"> - </w:t>
            </w:r>
          </w:p>
        </w:tc>
      </w:tr>
      <w:tr w:rsidR="00C546FC" w:rsidRPr="001B015B" w14:paraId="7CAE12BA" w14:textId="77777777" w:rsidTr="00CA7F04">
        <w:trPr>
          <w:trHeight w:val="159"/>
        </w:trPr>
        <w:tc>
          <w:tcPr>
            <w:tcW w:w="3912" w:type="dxa"/>
          </w:tcPr>
          <w:p w14:paraId="7D048454" w14:textId="77777777" w:rsidR="00C546FC" w:rsidRPr="001B015B" w:rsidRDefault="00C546FC" w:rsidP="00CA7F04">
            <w:pPr>
              <w:spacing w:line="256" w:lineRule="auto"/>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3</w:t>
            </w:r>
          </w:p>
        </w:tc>
        <w:tc>
          <w:tcPr>
            <w:tcW w:w="1081" w:type="dxa"/>
            <w:vAlign w:val="bottom"/>
          </w:tcPr>
          <w:p w14:paraId="31558F84" w14:textId="77777777" w:rsidR="00C546FC" w:rsidRPr="00852BF5" w:rsidRDefault="00C546FC" w:rsidP="00CA7F04">
            <w:pPr>
              <w:jc w:val="right"/>
              <w:rPr>
                <w:rFonts w:ascii="Arial" w:hAnsi="Arial" w:cs="Arial"/>
                <w:sz w:val="18"/>
                <w:szCs w:val="18"/>
              </w:rPr>
            </w:pPr>
            <w:r w:rsidRPr="00F959D0">
              <w:rPr>
                <w:rFonts w:ascii="Arial" w:hAnsi="Arial" w:cs="Arial"/>
                <w:sz w:val="18"/>
                <w:szCs w:val="18"/>
              </w:rPr>
              <w:t xml:space="preserve"> (4)</w:t>
            </w:r>
          </w:p>
        </w:tc>
        <w:tc>
          <w:tcPr>
            <w:tcW w:w="1082" w:type="dxa"/>
            <w:vAlign w:val="bottom"/>
          </w:tcPr>
          <w:p w14:paraId="3A6F7E50" w14:textId="77777777" w:rsidR="00C546FC" w:rsidRPr="00852BF5" w:rsidRDefault="00C546FC" w:rsidP="00CA7F04">
            <w:pPr>
              <w:jc w:val="right"/>
              <w:rPr>
                <w:rFonts w:ascii="Arial" w:hAnsi="Arial" w:cs="Arial"/>
                <w:sz w:val="18"/>
                <w:szCs w:val="18"/>
              </w:rPr>
            </w:pPr>
            <w:r w:rsidRPr="00F959D0">
              <w:rPr>
                <w:rFonts w:ascii="Arial" w:hAnsi="Arial" w:cs="Arial"/>
                <w:sz w:val="18"/>
                <w:szCs w:val="18"/>
              </w:rPr>
              <w:t xml:space="preserve"> (4.446)</w:t>
            </w:r>
          </w:p>
        </w:tc>
        <w:tc>
          <w:tcPr>
            <w:tcW w:w="1081" w:type="dxa"/>
            <w:vAlign w:val="bottom"/>
          </w:tcPr>
          <w:p w14:paraId="624DA837" w14:textId="77777777" w:rsidR="00C546FC" w:rsidRPr="00852BF5" w:rsidRDefault="00C546FC" w:rsidP="00CA7F04">
            <w:pPr>
              <w:jc w:val="right"/>
              <w:rPr>
                <w:rFonts w:ascii="Arial" w:hAnsi="Arial" w:cs="Arial"/>
                <w:sz w:val="18"/>
                <w:szCs w:val="18"/>
              </w:rPr>
            </w:pPr>
            <w:r w:rsidRPr="00F959D0">
              <w:rPr>
                <w:rFonts w:ascii="Arial" w:hAnsi="Arial" w:cs="Arial"/>
                <w:sz w:val="18"/>
                <w:szCs w:val="18"/>
              </w:rPr>
              <w:t xml:space="preserve"> (3.576)</w:t>
            </w:r>
          </w:p>
        </w:tc>
        <w:tc>
          <w:tcPr>
            <w:tcW w:w="1048" w:type="dxa"/>
            <w:vAlign w:val="bottom"/>
          </w:tcPr>
          <w:p w14:paraId="583B280F" w14:textId="77777777" w:rsidR="00C546FC" w:rsidRPr="00852BF5" w:rsidRDefault="00C546FC" w:rsidP="00CA7F04">
            <w:pPr>
              <w:jc w:val="right"/>
              <w:rPr>
                <w:rFonts w:ascii="Arial" w:hAnsi="Arial" w:cs="Arial"/>
                <w:sz w:val="18"/>
                <w:szCs w:val="18"/>
              </w:rPr>
            </w:pPr>
            <w:r w:rsidRPr="00F959D0">
              <w:rPr>
                <w:rFonts w:ascii="Arial" w:hAnsi="Arial" w:cs="Arial"/>
                <w:sz w:val="18"/>
                <w:szCs w:val="18"/>
              </w:rPr>
              <w:t xml:space="preserve"> 8.026 </w:t>
            </w:r>
          </w:p>
        </w:tc>
        <w:tc>
          <w:tcPr>
            <w:tcW w:w="1159" w:type="dxa"/>
            <w:vAlign w:val="bottom"/>
          </w:tcPr>
          <w:p w14:paraId="707CBEBC" w14:textId="77777777" w:rsidR="00C546FC" w:rsidRPr="005D1219" w:rsidRDefault="00C546FC" w:rsidP="00CA7F04">
            <w:pPr>
              <w:jc w:val="right"/>
              <w:rPr>
                <w:rFonts w:ascii="Arial" w:hAnsi="Arial" w:cs="Arial"/>
                <w:b/>
                <w:bCs/>
                <w:sz w:val="18"/>
                <w:szCs w:val="18"/>
              </w:rPr>
            </w:pPr>
            <w:r w:rsidRPr="005D1219">
              <w:rPr>
                <w:rFonts w:ascii="Arial" w:hAnsi="Arial" w:cs="Arial"/>
                <w:b/>
                <w:bCs/>
                <w:sz w:val="18"/>
                <w:szCs w:val="18"/>
              </w:rPr>
              <w:t xml:space="preserve"> - </w:t>
            </w:r>
          </w:p>
        </w:tc>
      </w:tr>
      <w:tr w:rsidR="00C546FC" w:rsidRPr="001B015B" w14:paraId="759AD775" w14:textId="77777777" w:rsidTr="00CA7F04">
        <w:trPr>
          <w:trHeight w:val="198"/>
        </w:trPr>
        <w:tc>
          <w:tcPr>
            <w:tcW w:w="3912" w:type="dxa"/>
            <w:vAlign w:val="bottom"/>
            <w:hideMark/>
          </w:tcPr>
          <w:p w14:paraId="3D116115" w14:textId="77777777" w:rsidR="00C546FC" w:rsidRPr="001B015B" w:rsidRDefault="00C546FC" w:rsidP="00CA7F04">
            <w:pPr>
              <w:spacing w:line="256" w:lineRule="auto"/>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 xml:space="preserve">Neto </w:t>
            </w:r>
            <w:r w:rsidRPr="00852BF5">
              <w:rPr>
                <w:rFonts w:ascii="Arial" w:eastAsia="Calibri" w:hAnsi="Arial" w:cs="Arial"/>
                <w:color w:val="000000" w:themeColor="text1"/>
                <w:sz w:val="18"/>
                <w:szCs w:val="18"/>
              </w:rPr>
              <w:t>(smanjenje)/povećanje</w:t>
            </w:r>
            <w:r>
              <w:rPr>
                <w:rFonts w:ascii="Arial" w:eastAsia="Calibri" w:hAnsi="Arial" w:cs="Arial"/>
                <w:color w:val="000000" w:themeColor="text1"/>
                <w:sz w:val="18"/>
                <w:szCs w:val="18"/>
              </w:rPr>
              <w:t xml:space="preserve"> </w:t>
            </w:r>
            <w:r w:rsidRPr="001B015B">
              <w:rPr>
                <w:rFonts w:ascii="Arial" w:eastAsia="Calibri" w:hAnsi="Arial" w:cs="Arial"/>
                <w:color w:val="000000" w:themeColor="text1"/>
                <w:sz w:val="18"/>
                <w:szCs w:val="18"/>
              </w:rPr>
              <w:t xml:space="preserve">rezerviranja za očekivane gubitke </w:t>
            </w:r>
          </w:p>
        </w:tc>
        <w:tc>
          <w:tcPr>
            <w:tcW w:w="1081" w:type="dxa"/>
            <w:vAlign w:val="bottom"/>
          </w:tcPr>
          <w:p w14:paraId="5EC631AD" w14:textId="77777777" w:rsidR="00C546FC" w:rsidRPr="00852BF5" w:rsidRDefault="00C546FC" w:rsidP="00CA7F04">
            <w:pPr>
              <w:jc w:val="right"/>
              <w:rPr>
                <w:rFonts w:ascii="Arial" w:hAnsi="Arial" w:cs="Arial"/>
                <w:sz w:val="18"/>
                <w:szCs w:val="18"/>
              </w:rPr>
            </w:pPr>
            <w:r w:rsidRPr="00F959D0">
              <w:rPr>
                <w:rFonts w:ascii="Arial" w:hAnsi="Arial" w:cs="Arial"/>
                <w:sz w:val="18"/>
                <w:szCs w:val="18"/>
              </w:rPr>
              <w:t xml:space="preserve"> (41.292)</w:t>
            </w:r>
          </w:p>
        </w:tc>
        <w:tc>
          <w:tcPr>
            <w:tcW w:w="1082" w:type="dxa"/>
            <w:vAlign w:val="bottom"/>
          </w:tcPr>
          <w:p w14:paraId="746CABE3" w14:textId="77777777" w:rsidR="00C546FC" w:rsidRPr="00852BF5" w:rsidRDefault="00C546FC" w:rsidP="00CA7F04">
            <w:pPr>
              <w:jc w:val="right"/>
              <w:rPr>
                <w:rFonts w:ascii="Arial" w:hAnsi="Arial" w:cs="Arial"/>
                <w:sz w:val="18"/>
                <w:szCs w:val="18"/>
              </w:rPr>
            </w:pPr>
            <w:r w:rsidRPr="00F959D0">
              <w:rPr>
                <w:rFonts w:ascii="Arial" w:hAnsi="Arial" w:cs="Arial"/>
                <w:sz w:val="18"/>
                <w:szCs w:val="18"/>
              </w:rPr>
              <w:t xml:space="preserve"> 62.943 </w:t>
            </w:r>
          </w:p>
        </w:tc>
        <w:tc>
          <w:tcPr>
            <w:tcW w:w="1081" w:type="dxa"/>
            <w:vAlign w:val="bottom"/>
          </w:tcPr>
          <w:p w14:paraId="080B0ED7" w14:textId="77777777" w:rsidR="00C546FC" w:rsidRPr="00852BF5" w:rsidRDefault="00C546FC" w:rsidP="00CA7F04">
            <w:pPr>
              <w:jc w:val="right"/>
              <w:rPr>
                <w:rFonts w:ascii="Arial" w:hAnsi="Arial" w:cs="Arial"/>
                <w:sz w:val="18"/>
                <w:szCs w:val="18"/>
              </w:rPr>
            </w:pPr>
            <w:r w:rsidRPr="00F959D0">
              <w:rPr>
                <w:rFonts w:ascii="Arial" w:hAnsi="Arial" w:cs="Arial"/>
                <w:sz w:val="18"/>
                <w:szCs w:val="18"/>
              </w:rPr>
              <w:t xml:space="preserve"> 226 </w:t>
            </w:r>
          </w:p>
        </w:tc>
        <w:tc>
          <w:tcPr>
            <w:tcW w:w="1048" w:type="dxa"/>
            <w:vAlign w:val="bottom"/>
          </w:tcPr>
          <w:p w14:paraId="2B450CD2" w14:textId="77777777" w:rsidR="00C546FC" w:rsidRPr="00852BF5" w:rsidRDefault="00C546FC" w:rsidP="00CA7F04">
            <w:pPr>
              <w:jc w:val="right"/>
              <w:rPr>
                <w:rFonts w:ascii="Arial" w:hAnsi="Arial" w:cs="Arial"/>
                <w:sz w:val="18"/>
                <w:szCs w:val="18"/>
              </w:rPr>
            </w:pPr>
            <w:r w:rsidRPr="00F959D0">
              <w:rPr>
                <w:rFonts w:ascii="Arial" w:hAnsi="Arial" w:cs="Arial"/>
                <w:sz w:val="18"/>
                <w:szCs w:val="18"/>
              </w:rPr>
              <w:t xml:space="preserve"> (16.517)</w:t>
            </w:r>
          </w:p>
        </w:tc>
        <w:tc>
          <w:tcPr>
            <w:tcW w:w="1159" w:type="dxa"/>
            <w:vAlign w:val="bottom"/>
          </w:tcPr>
          <w:p w14:paraId="1309AF68" w14:textId="77777777" w:rsidR="00C546FC" w:rsidRPr="005D1219" w:rsidRDefault="00C546FC" w:rsidP="00CA7F04">
            <w:pPr>
              <w:jc w:val="right"/>
              <w:rPr>
                <w:rFonts w:ascii="Arial" w:hAnsi="Arial" w:cs="Arial"/>
                <w:b/>
                <w:bCs/>
                <w:sz w:val="18"/>
                <w:szCs w:val="18"/>
              </w:rPr>
            </w:pPr>
            <w:r w:rsidRPr="005D1219">
              <w:rPr>
                <w:rFonts w:ascii="Arial" w:hAnsi="Arial" w:cs="Arial"/>
                <w:b/>
                <w:bCs/>
                <w:sz w:val="18"/>
                <w:szCs w:val="18"/>
              </w:rPr>
              <w:t xml:space="preserve"> 5.360 </w:t>
            </w:r>
          </w:p>
        </w:tc>
      </w:tr>
      <w:tr w:rsidR="00C546FC" w:rsidRPr="001B015B" w14:paraId="37C73151" w14:textId="77777777" w:rsidTr="00CA7F04">
        <w:trPr>
          <w:trHeight w:val="228"/>
        </w:trPr>
        <w:tc>
          <w:tcPr>
            <w:tcW w:w="3912" w:type="dxa"/>
            <w:hideMark/>
          </w:tcPr>
          <w:p w14:paraId="5048A9ED" w14:textId="77777777" w:rsidR="00C546FC" w:rsidRPr="001B015B" w:rsidRDefault="00C546FC" w:rsidP="00CA7F04">
            <w:pPr>
              <w:spacing w:line="256" w:lineRule="auto"/>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Otpis</w:t>
            </w:r>
          </w:p>
        </w:tc>
        <w:tc>
          <w:tcPr>
            <w:tcW w:w="1081" w:type="dxa"/>
            <w:vAlign w:val="bottom"/>
          </w:tcPr>
          <w:p w14:paraId="0EABBDD8" w14:textId="77777777" w:rsidR="00C546FC" w:rsidRPr="00852BF5" w:rsidRDefault="00C546FC" w:rsidP="00CA7F04">
            <w:pPr>
              <w:jc w:val="right"/>
              <w:rPr>
                <w:rFonts w:ascii="Arial" w:hAnsi="Arial" w:cs="Arial"/>
                <w:sz w:val="18"/>
                <w:szCs w:val="18"/>
              </w:rPr>
            </w:pPr>
            <w:r w:rsidRPr="00F959D0">
              <w:rPr>
                <w:rFonts w:ascii="Arial" w:hAnsi="Arial" w:cs="Arial"/>
                <w:sz w:val="18"/>
                <w:szCs w:val="18"/>
              </w:rPr>
              <w:t xml:space="preserve"> (1.652)</w:t>
            </w:r>
          </w:p>
        </w:tc>
        <w:tc>
          <w:tcPr>
            <w:tcW w:w="1082" w:type="dxa"/>
            <w:vAlign w:val="bottom"/>
          </w:tcPr>
          <w:p w14:paraId="6D9ECBA7" w14:textId="77777777" w:rsidR="00C546FC" w:rsidRPr="00852BF5" w:rsidRDefault="00C546FC" w:rsidP="00CA7F04">
            <w:pPr>
              <w:jc w:val="right"/>
              <w:rPr>
                <w:rFonts w:ascii="Arial" w:hAnsi="Arial" w:cs="Arial"/>
                <w:sz w:val="18"/>
                <w:szCs w:val="18"/>
              </w:rPr>
            </w:pPr>
            <w:r>
              <w:rPr>
                <w:rFonts w:ascii="Arial" w:hAnsi="Arial" w:cs="Arial"/>
                <w:sz w:val="18"/>
                <w:szCs w:val="18"/>
              </w:rPr>
              <w:t>-</w:t>
            </w:r>
          </w:p>
        </w:tc>
        <w:tc>
          <w:tcPr>
            <w:tcW w:w="1081" w:type="dxa"/>
            <w:vAlign w:val="bottom"/>
          </w:tcPr>
          <w:p w14:paraId="7FF7AABE" w14:textId="77777777" w:rsidR="00C546FC" w:rsidRPr="00852BF5" w:rsidRDefault="00C546FC" w:rsidP="00CA7F04">
            <w:pPr>
              <w:jc w:val="right"/>
              <w:rPr>
                <w:rFonts w:ascii="Arial" w:hAnsi="Arial" w:cs="Arial"/>
                <w:sz w:val="18"/>
                <w:szCs w:val="18"/>
              </w:rPr>
            </w:pPr>
            <w:r w:rsidRPr="00F959D0">
              <w:rPr>
                <w:rFonts w:ascii="Arial" w:hAnsi="Arial" w:cs="Arial"/>
                <w:sz w:val="18"/>
                <w:szCs w:val="18"/>
              </w:rPr>
              <w:t xml:space="preserve"> (3.969)</w:t>
            </w:r>
          </w:p>
        </w:tc>
        <w:tc>
          <w:tcPr>
            <w:tcW w:w="1048" w:type="dxa"/>
            <w:vAlign w:val="bottom"/>
          </w:tcPr>
          <w:p w14:paraId="5B5E3C93" w14:textId="77777777" w:rsidR="00C546FC" w:rsidRPr="00852BF5" w:rsidRDefault="00C546FC" w:rsidP="00CA7F04">
            <w:pPr>
              <w:jc w:val="right"/>
              <w:rPr>
                <w:rFonts w:ascii="Arial" w:hAnsi="Arial" w:cs="Arial"/>
                <w:sz w:val="18"/>
                <w:szCs w:val="18"/>
              </w:rPr>
            </w:pPr>
            <w:r w:rsidRPr="00F959D0">
              <w:rPr>
                <w:rFonts w:ascii="Arial" w:hAnsi="Arial" w:cs="Arial"/>
                <w:sz w:val="18"/>
                <w:szCs w:val="18"/>
              </w:rPr>
              <w:t xml:space="preserve"> (82)</w:t>
            </w:r>
          </w:p>
        </w:tc>
        <w:tc>
          <w:tcPr>
            <w:tcW w:w="1159" w:type="dxa"/>
            <w:vAlign w:val="bottom"/>
          </w:tcPr>
          <w:p w14:paraId="4946AF7D" w14:textId="77777777" w:rsidR="00C546FC" w:rsidRPr="005D1219" w:rsidRDefault="00C546FC" w:rsidP="00CA7F04">
            <w:pPr>
              <w:jc w:val="right"/>
              <w:rPr>
                <w:rFonts w:ascii="Arial" w:hAnsi="Arial" w:cs="Arial"/>
                <w:b/>
                <w:bCs/>
                <w:sz w:val="18"/>
                <w:szCs w:val="18"/>
              </w:rPr>
            </w:pPr>
            <w:r w:rsidRPr="005D1219">
              <w:rPr>
                <w:rFonts w:ascii="Arial" w:hAnsi="Arial" w:cs="Arial"/>
                <w:b/>
                <w:bCs/>
                <w:sz w:val="18"/>
                <w:szCs w:val="18"/>
              </w:rPr>
              <w:t xml:space="preserve"> (5.703)</w:t>
            </w:r>
          </w:p>
        </w:tc>
      </w:tr>
      <w:tr w:rsidR="00C546FC" w:rsidRPr="001B015B" w14:paraId="4A5CA517" w14:textId="77777777" w:rsidTr="00CA7F04">
        <w:trPr>
          <w:trHeight w:val="228"/>
        </w:trPr>
        <w:tc>
          <w:tcPr>
            <w:tcW w:w="3912" w:type="dxa"/>
            <w:hideMark/>
          </w:tcPr>
          <w:p w14:paraId="6FBBC145" w14:textId="77777777" w:rsidR="00C546FC" w:rsidRPr="001B015B" w:rsidRDefault="00C546FC" w:rsidP="00CA7F04">
            <w:pPr>
              <w:spacing w:line="256" w:lineRule="auto"/>
              <w:rPr>
                <w:rFonts w:ascii="Arial" w:eastAsia="Calibri" w:hAnsi="Arial" w:cs="Arial"/>
                <w:color w:val="000000" w:themeColor="text1"/>
                <w:sz w:val="18"/>
                <w:szCs w:val="18"/>
              </w:rPr>
            </w:pPr>
            <w:proofErr w:type="spellStart"/>
            <w:r w:rsidRPr="001B015B">
              <w:rPr>
                <w:rFonts w:ascii="Arial" w:eastAsia="Calibri" w:hAnsi="Arial" w:cs="Arial"/>
                <w:color w:val="000000" w:themeColor="text1"/>
                <w:sz w:val="18"/>
                <w:szCs w:val="18"/>
              </w:rPr>
              <w:t>Unwinding</w:t>
            </w:r>
            <w:proofErr w:type="spellEnd"/>
            <w:r w:rsidRPr="001B015B">
              <w:rPr>
                <w:rFonts w:ascii="Arial" w:eastAsia="Calibri" w:hAnsi="Arial" w:cs="Arial"/>
                <w:color w:val="000000" w:themeColor="text1"/>
                <w:sz w:val="18"/>
                <w:szCs w:val="18"/>
              </w:rPr>
              <w:t xml:space="preserve"> - promjena uslijed proteka vremena</w:t>
            </w:r>
          </w:p>
        </w:tc>
        <w:tc>
          <w:tcPr>
            <w:tcW w:w="1081" w:type="dxa"/>
            <w:vAlign w:val="bottom"/>
          </w:tcPr>
          <w:p w14:paraId="10F273E6" w14:textId="77777777" w:rsidR="00C546FC" w:rsidRPr="00852BF5" w:rsidRDefault="00C546FC" w:rsidP="00CA7F04">
            <w:pPr>
              <w:jc w:val="right"/>
              <w:rPr>
                <w:rFonts w:ascii="Arial" w:hAnsi="Arial" w:cs="Arial"/>
                <w:sz w:val="18"/>
                <w:szCs w:val="18"/>
              </w:rPr>
            </w:pPr>
            <w:r w:rsidRPr="00F959D0">
              <w:rPr>
                <w:rFonts w:ascii="Arial" w:hAnsi="Arial" w:cs="Arial"/>
                <w:sz w:val="18"/>
                <w:szCs w:val="18"/>
              </w:rPr>
              <w:t xml:space="preserve"> (76)</w:t>
            </w:r>
          </w:p>
        </w:tc>
        <w:tc>
          <w:tcPr>
            <w:tcW w:w="1082" w:type="dxa"/>
            <w:vAlign w:val="bottom"/>
          </w:tcPr>
          <w:p w14:paraId="4054ED89" w14:textId="77777777" w:rsidR="00C546FC" w:rsidRPr="00852BF5" w:rsidRDefault="00C546FC" w:rsidP="00CA7F04">
            <w:pPr>
              <w:jc w:val="right"/>
              <w:rPr>
                <w:rFonts w:ascii="Arial" w:hAnsi="Arial" w:cs="Arial"/>
                <w:sz w:val="18"/>
                <w:szCs w:val="18"/>
              </w:rPr>
            </w:pPr>
            <w:r w:rsidRPr="00F959D0">
              <w:rPr>
                <w:rFonts w:ascii="Arial" w:hAnsi="Arial" w:cs="Arial"/>
                <w:sz w:val="18"/>
                <w:szCs w:val="18"/>
              </w:rPr>
              <w:t xml:space="preserve"> (135)</w:t>
            </w:r>
          </w:p>
        </w:tc>
        <w:tc>
          <w:tcPr>
            <w:tcW w:w="1081" w:type="dxa"/>
            <w:vAlign w:val="bottom"/>
          </w:tcPr>
          <w:p w14:paraId="15297657" w14:textId="77777777" w:rsidR="00C546FC" w:rsidRPr="00852BF5" w:rsidRDefault="00C546FC" w:rsidP="00CA7F04">
            <w:pPr>
              <w:jc w:val="right"/>
              <w:rPr>
                <w:rFonts w:ascii="Arial" w:hAnsi="Arial" w:cs="Arial"/>
                <w:sz w:val="18"/>
                <w:szCs w:val="18"/>
              </w:rPr>
            </w:pPr>
            <w:r w:rsidRPr="00F959D0">
              <w:rPr>
                <w:rFonts w:ascii="Arial" w:hAnsi="Arial" w:cs="Arial"/>
                <w:sz w:val="18"/>
                <w:szCs w:val="18"/>
              </w:rPr>
              <w:t xml:space="preserve"> 1.428 </w:t>
            </w:r>
          </w:p>
        </w:tc>
        <w:tc>
          <w:tcPr>
            <w:tcW w:w="1048" w:type="dxa"/>
            <w:vAlign w:val="bottom"/>
          </w:tcPr>
          <w:p w14:paraId="72ADABB6" w14:textId="77777777" w:rsidR="00C546FC" w:rsidRPr="00852BF5" w:rsidRDefault="00C546FC" w:rsidP="00CA7F04">
            <w:pPr>
              <w:jc w:val="right"/>
              <w:rPr>
                <w:rFonts w:ascii="Arial" w:hAnsi="Arial" w:cs="Arial"/>
                <w:sz w:val="18"/>
                <w:szCs w:val="18"/>
              </w:rPr>
            </w:pPr>
            <w:r w:rsidRPr="00F959D0">
              <w:rPr>
                <w:rFonts w:ascii="Arial" w:hAnsi="Arial" w:cs="Arial"/>
                <w:sz w:val="18"/>
                <w:szCs w:val="18"/>
              </w:rPr>
              <w:t xml:space="preserve"> 2.779 </w:t>
            </w:r>
          </w:p>
        </w:tc>
        <w:tc>
          <w:tcPr>
            <w:tcW w:w="1159" w:type="dxa"/>
            <w:vAlign w:val="bottom"/>
          </w:tcPr>
          <w:p w14:paraId="0BA16998" w14:textId="77777777" w:rsidR="00C546FC" w:rsidRPr="005D1219" w:rsidRDefault="00C546FC" w:rsidP="00CA7F04">
            <w:pPr>
              <w:jc w:val="right"/>
              <w:rPr>
                <w:rFonts w:ascii="Arial" w:hAnsi="Arial" w:cs="Arial"/>
                <w:b/>
                <w:bCs/>
                <w:sz w:val="18"/>
                <w:szCs w:val="18"/>
              </w:rPr>
            </w:pPr>
            <w:r w:rsidRPr="005D1219">
              <w:rPr>
                <w:rFonts w:ascii="Arial" w:hAnsi="Arial" w:cs="Arial"/>
                <w:b/>
                <w:bCs/>
                <w:sz w:val="18"/>
                <w:szCs w:val="18"/>
              </w:rPr>
              <w:t xml:space="preserve"> 3.996 </w:t>
            </w:r>
          </w:p>
        </w:tc>
      </w:tr>
      <w:tr w:rsidR="00C546FC" w:rsidRPr="001B015B" w14:paraId="003F9737" w14:textId="77777777" w:rsidTr="00CA7F04">
        <w:trPr>
          <w:trHeight w:val="228"/>
        </w:trPr>
        <w:tc>
          <w:tcPr>
            <w:tcW w:w="3912" w:type="dxa"/>
          </w:tcPr>
          <w:p w14:paraId="5F363806" w14:textId="77777777" w:rsidR="00C546FC" w:rsidRPr="001B015B" w:rsidRDefault="00C546FC" w:rsidP="00CA7F04">
            <w:pPr>
              <w:spacing w:line="256" w:lineRule="auto"/>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Ostalo</w:t>
            </w:r>
          </w:p>
        </w:tc>
        <w:tc>
          <w:tcPr>
            <w:tcW w:w="1081" w:type="dxa"/>
            <w:vAlign w:val="bottom"/>
          </w:tcPr>
          <w:p w14:paraId="3E1021C3" w14:textId="77777777" w:rsidR="00C546FC" w:rsidRPr="00852BF5" w:rsidRDefault="00C546FC" w:rsidP="00CA7F04">
            <w:pPr>
              <w:jc w:val="right"/>
              <w:rPr>
                <w:rFonts w:ascii="Arial" w:hAnsi="Arial" w:cs="Arial"/>
                <w:sz w:val="18"/>
                <w:szCs w:val="18"/>
              </w:rPr>
            </w:pPr>
            <w:r>
              <w:rPr>
                <w:rFonts w:ascii="Arial" w:hAnsi="Arial" w:cs="Arial"/>
                <w:sz w:val="18"/>
                <w:szCs w:val="18"/>
              </w:rPr>
              <w:t>-</w:t>
            </w:r>
          </w:p>
        </w:tc>
        <w:tc>
          <w:tcPr>
            <w:tcW w:w="1082" w:type="dxa"/>
            <w:vAlign w:val="bottom"/>
          </w:tcPr>
          <w:p w14:paraId="0BEBF8AE" w14:textId="77777777" w:rsidR="00C546FC" w:rsidRPr="00852BF5" w:rsidRDefault="00C546FC" w:rsidP="00CA7F04">
            <w:pPr>
              <w:jc w:val="right"/>
              <w:rPr>
                <w:rFonts w:ascii="Arial" w:hAnsi="Arial" w:cs="Arial"/>
                <w:sz w:val="18"/>
                <w:szCs w:val="18"/>
              </w:rPr>
            </w:pPr>
            <w:r>
              <w:rPr>
                <w:rFonts w:ascii="Arial" w:hAnsi="Arial" w:cs="Arial"/>
                <w:sz w:val="18"/>
                <w:szCs w:val="18"/>
              </w:rPr>
              <w:t>-</w:t>
            </w:r>
          </w:p>
        </w:tc>
        <w:tc>
          <w:tcPr>
            <w:tcW w:w="1081" w:type="dxa"/>
            <w:vAlign w:val="bottom"/>
          </w:tcPr>
          <w:p w14:paraId="76AFDF95" w14:textId="77777777" w:rsidR="00C546FC" w:rsidRPr="00852BF5" w:rsidRDefault="00C546FC" w:rsidP="00CA7F04">
            <w:pPr>
              <w:jc w:val="right"/>
              <w:rPr>
                <w:rFonts w:ascii="Arial" w:hAnsi="Arial" w:cs="Arial"/>
                <w:sz w:val="18"/>
                <w:szCs w:val="18"/>
              </w:rPr>
            </w:pPr>
            <w:r>
              <w:rPr>
                <w:rFonts w:ascii="Arial" w:hAnsi="Arial" w:cs="Arial"/>
                <w:sz w:val="18"/>
                <w:szCs w:val="18"/>
              </w:rPr>
              <w:t>-</w:t>
            </w:r>
          </w:p>
        </w:tc>
        <w:tc>
          <w:tcPr>
            <w:tcW w:w="1048" w:type="dxa"/>
            <w:vAlign w:val="bottom"/>
          </w:tcPr>
          <w:p w14:paraId="5421560E" w14:textId="77777777" w:rsidR="00C546FC" w:rsidRPr="00852BF5" w:rsidRDefault="00C546FC" w:rsidP="00CA7F04">
            <w:pPr>
              <w:jc w:val="right"/>
              <w:rPr>
                <w:rFonts w:ascii="Arial" w:hAnsi="Arial" w:cs="Arial"/>
                <w:sz w:val="18"/>
                <w:szCs w:val="18"/>
              </w:rPr>
            </w:pPr>
            <w:r w:rsidRPr="00F959D0">
              <w:rPr>
                <w:rFonts w:ascii="Arial" w:hAnsi="Arial" w:cs="Arial"/>
                <w:sz w:val="18"/>
                <w:szCs w:val="18"/>
              </w:rPr>
              <w:t xml:space="preserve"> 8.407 </w:t>
            </w:r>
          </w:p>
        </w:tc>
        <w:tc>
          <w:tcPr>
            <w:tcW w:w="1159" w:type="dxa"/>
            <w:vAlign w:val="bottom"/>
          </w:tcPr>
          <w:p w14:paraId="1DEF4BE7" w14:textId="77777777" w:rsidR="00C546FC" w:rsidRPr="005D1219" w:rsidRDefault="00C546FC" w:rsidP="00CA7F04">
            <w:pPr>
              <w:jc w:val="right"/>
              <w:rPr>
                <w:rFonts w:ascii="Arial" w:hAnsi="Arial" w:cs="Arial"/>
                <w:b/>
                <w:bCs/>
                <w:sz w:val="18"/>
                <w:szCs w:val="18"/>
              </w:rPr>
            </w:pPr>
            <w:r w:rsidRPr="005D1219">
              <w:rPr>
                <w:rFonts w:ascii="Arial" w:hAnsi="Arial" w:cs="Arial"/>
                <w:b/>
                <w:bCs/>
                <w:sz w:val="18"/>
                <w:szCs w:val="18"/>
              </w:rPr>
              <w:t xml:space="preserve"> 8.407 </w:t>
            </w:r>
          </w:p>
        </w:tc>
      </w:tr>
      <w:tr w:rsidR="00C546FC" w:rsidRPr="001B015B" w14:paraId="5FF9E331" w14:textId="77777777" w:rsidTr="00CA7F04">
        <w:trPr>
          <w:trHeight w:val="167"/>
        </w:trPr>
        <w:tc>
          <w:tcPr>
            <w:tcW w:w="3912" w:type="dxa"/>
            <w:vAlign w:val="center"/>
            <w:hideMark/>
          </w:tcPr>
          <w:p w14:paraId="2298D899" w14:textId="77777777" w:rsidR="00C546FC" w:rsidRPr="001B015B" w:rsidRDefault="00C546FC" w:rsidP="00CA7F04">
            <w:pPr>
              <w:spacing w:line="256" w:lineRule="auto"/>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Neto dobit/gubitak od tečajnih razlika po rezerviranjima za očekivane gubitke</w:t>
            </w:r>
          </w:p>
        </w:tc>
        <w:tc>
          <w:tcPr>
            <w:tcW w:w="1081" w:type="dxa"/>
            <w:tcBorders>
              <w:top w:val="nil"/>
              <w:left w:val="nil"/>
              <w:bottom w:val="single" w:sz="4" w:space="0" w:color="auto"/>
              <w:right w:val="nil"/>
            </w:tcBorders>
            <w:vAlign w:val="bottom"/>
          </w:tcPr>
          <w:p w14:paraId="5CBA213A" w14:textId="77777777" w:rsidR="00C546FC" w:rsidRPr="00852BF5" w:rsidRDefault="00C546FC" w:rsidP="00CA7F04">
            <w:pPr>
              <w:jc w:val="right"/>
              <w:rPr>
                <w:rFonts w:ascii="Arial" w:hAnsi="Arial" w:cs="Arial"/>
                <w:sz w:val="18"/>
                <w:szCs w:val="18"/>
              </w:rPr>
            </w:pPr>
            <w:r>
              <w:rPr>
                <w:rFonts w:ascii="Arial" w:hAnsi="Arial" w:cs="Arial"/>
                <w:sz w:val="18"/>
                <w:szCs w:val="18"/>
              </w:rPr>
              <w:t>-</w:t>
            </w:r>
          </w:p>
        </w:tc>
        <w:tc>
          <w:tcPr>
            <w:tcW w:w="1082" w:type="dxa"/>
            <w:tcBorders>
              <w:top w:val="nil"/>
              <w:left w:val="nil"/>
              <w:bottom w:val="single" w:sz="4" w:space="0" w:color="auto"/>
              <w:right w:val="nil"/>
            </w:tcBorders>
            <w:vAlign w:val="bottom"/>
          </w:tcPr>
          <w:p w14:paraId="6B998669" w14:textId="77777777" w:rsidR="00C546FC" w:rsidRPr="00852BF5" w:rsidRDefault="00C546FC" w:rsidP="00CA7F04">
            <w:pPr>
              <w:jc w:val="right"/>
              <w:rPr>
                <w:rFonts w:ascii="Arial" w:hAnsi="Arial" w:cs="Arial"/>
                <w:sz w:val="18"/>
                <w:szCs w:val="18"/>
              </w:rPr>
            </w:pPr>
            <w:r>
              <w:rPr>
                <w:rFonts w:ascii="Arial" w:hAnsi="Arial" w:cs="Arial"/>
                <w:sz w:val="18"/>
                <w:szCs w:val="18"/>
              </w:rPr>
              <w:t>-</w:t>
            </w:r>
          </w:p>
        </w:tc>
        <w:tc>
          <w:tcPr>
            <w:tcW w:w="1081" w:type="dxa"/>
            <w:tcBorders>
              <w:top w:val="nil"/>
              <w:left w:val="nil"/>
              <w:bottom w:val="single" w:sz="4" w:space="0" w:color="auto"/>
              <w:right w:val="nil"/>
            </w:tcBorders>
            <w:vAlign w:val="bottom"/>
          </w:tcPr>
          <w:p w14:paraId="7BC649E6" w14:textId="77777777" w:rsidR="00C546FC" w:rsidRPr="00852BF5" w:rsidRDefault="00C546FC" w:rsidP="00CA7F04">
            <w:pPr>
              <w:jc w:val="right"/>
              <w:rPr>
                <w:rFonts w:ascii="Arial" w:hAnsi="Arial" w:cs="Arial"/>
                <w:sz w:val="18"/>
                <w:szCs w:val="18"/>
              </w:rPr>
            </w:pPr>
            <w:r w:rsidRPr="00F959D0">
              <w:rPr>
                <w:rFonts w:ascii="Arial" w:hAnsi="Arial" w:cs="Arial"/>
                <w:sz w:val="18"/>
                <w:szCs w:val="18"/>
              </w:rPr>
              <w:t xml:space="preserve"> (414)</w:t>
            </w:r>
          </w:p>
        </w:tc>
        <w:tc>
          <w:tcPr>
            <w:tcW w:w="1048" w:type="dxa"/>
            <w:tcBorders>
              <w:top w:val="nil"/>
              <w:left w:val="nil"/>
              <w:bottom w:val="single" w:sz="4" w:space="0" w:color="auto"/>
              <w:right w:val="nil"/>
            </w:tcBorders>
            <w:vAlign w:val="bottom"/>
          </w:tcPr>
          <w:p w14:paraId="010E0228" w14:textId="77777777" w:rsidR="00C546FC" w:rsidRPr="00852BF5" w:rsidRDefault="00C546FC" w:rsidP="00CA7F04">
            <w:pPr>
              <w:jc w:val="right"/>
              <w:rPr>
                <w:rFonts w:ascii="Arial" w:hAnsi="Arial" w:cs="Arial"/>
                <w:sz w:val="18"/>
                <w:szCs w:val="18"/>
              </w:rPr>
            </w:pPr>
            <w:r w:rsidRPr="00F959D0">
              <w:rPr>
                <w:rFonts w:ascii="Arial" w:hAnsi="Arial" w:cs="Arial"/>
                <w:sz w:val="18"/>
                <w:szCs w:val="18"/>
              </w:rPr>
              <w:t xml:space="preserve"> 61 </w:t>
            </w:r>
          </w:p>
        </w:tc>
        <w:tc>
          <w:tcPr>
            <w:tcW w:w="1159" w:type="dxa"/>
            <w:tcBorders>
              <w:top w:val="nil"/>
              <w:left w:val="nil"/>
              <w:bottom w:val="single" w:sz="4" w:space="0" w:color="auto"/>
              <w:right w:val="nil"/>
            </w:tcBorders>
            <w:vAlign w:val="bottom"/>
          </w:tcPr>
          <w:p w14:paraId="117566EA" w14:textId="77777777" w:rsidR="00C546FC" w:rsidRPr="005D1219" w:rsidRDefault="00C546FC" w:rsidP="00CA7F04">
            <w:pPr>
              <w:jc w:val="right"/>
              <w:rPr>
                <w:rFonts w:ascii="Arial" w:hAnsi="Arial" w:cs="Arial"/>
                <w:b/>
                <w:bCs/>
                <w:sz w:val="18"/>
                <w:szCs w:val="18"/>
              </w:rPr>
            </w:pPr>
            <w:r w:rsidRPr="005D1219">
              <w:rPr>
                <w:rFonts w:ascii="Arial" w:hAnsi="Arial" w:cs="Arial"/>
                <w:b/>
                <w:bCs/>
                <w:sz w:val="18"/>
                <w:szCs w:val="18"/>
              </w:rPr>
              <w:t xml:space="preserve"> (353)</w:t>
            </w:r>
          </w:p>
        </w:tc>
      </w:tr>
      <w:tr w:rsidR="00C546FC" w:rsidRPr="001B015B" w14:paraId="3F2EB098" w14:textId="77777777" w:rsidTr="00CA7F04">
        <w:trPr>
          <w:trHeight w:val="276"/>
        </w:trPr>
        <w:tc>
          <w:tcPr>
            <w:tcW w:w="3912" w:type="dxa"/>
            <w:vAlign w:val="bottom"/>
            <w:hideMark/>
          </w:tcPr>
          <w:p w14:paraId="108DBF62" w14:textId="77777777" w:rsidR="00C546FC" w:rsidRPr="001B015B" w:rsidRDefault="00C546FC" w:rsidP="00CA7F04">
            <w:pPr>
              <w:spacing w:line="256" w:lineRule="auto"/>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Stanje 31. prosinca 202</w:t>
            </w:r>
            <w:r>
              <w:rPr>
                <w:rFonts w:ascii="Arial" w:eastAsia="Calibri" w:hAnsi="Arial" w:cs="Arial"/>
                <w:b/>
                <w:bCs/>
                <w:color w:val="000000" w:themeColor="text1"/>
                <w:sz w:val="18"/>
                <w:szCs w:val="18"/>
              </w:rPr>
              <w:t>3</w:t>
            </w:r>
            <w:r w:rsidRPr="001B015B">
              <w:rPr>
                <w:rFonts w:ascii="Arial" w:eastAsia="Calibri" w:hAnsi="Arial" w:cs="Arial"/>
                <w:b/>
                <w:bCs/>
                <w:color w:val="000000" w:themeColor="text1"/>
                <w:sz w:val="18"/>
                <w:szCs w:val="18"/>
              </w:rPr>
              <w:t>.</w:t>
            </w:r>
          </w:p>
        </w:tc>
        <w:tc>
          <w:tcPr>
            <w:tcW w:w="1081" w:type="dxa"/>
            <w:tcBorders>
              <w:top w:val="single" w:sz="4" w:space="0" w:color="auto"/>
              <w:left w:val="nil"/>
              <w:bottom w:val="single" w:sz="12" w:space="0" w:color="auto"/>
              <w:right w:val="nil"/>
            </w:tcBorders>
            <w:shd w:val="clear" w:color="auto" w:fill="auto"/>
            <w:vAlign w:val="bottom"/>
          </w:tcPr>
          <w:p w14:paraId="28F3D60A" w14:textId="77777777" w:rsidR="00C546FC" w:rsidRPr="00495ED1" w:rsidRDefault="00C546FC" w:rsidP="00CA7F04">
            <w:pPr>
              <w:jc w:val="right"/>
              <w:rPr>
                <w:rFonts w:ascii="Arial" w:hAnsi="Arial" w:cs="Arial"/>
                <w:b/>
                <w:bCs/>
                <w:sz w:val="18"/>
                <w:szCs w:val="18"/>
              </w:rPr>
            </w:pPr>
            <w:r w:rsidRPr="00F959D0">
              <w:rPr>
                <w:rFonts w:ascii="Arial" w:hAnsi="Arial" w:cs="Arial"/>
                <w:b/>
                <w:bCs/>
                <w:sz w:val="18"/>
                <w:szCs w:val="18"/>
              </w:rPr>
              <w:t xml:space="preserve"> 42.543 </w:t>
            </w:r>
          </w:p>
        </w:tc>
        <w:tc>
          <w:tcPr>
            <w:tcW w:w="1082" w:type="dxa"/>
            <w:tcBorders>
              <w:top w:val="single" w:sz="4" w:space="0" w:color="auto"/>
              <w:left w:val="nil"/>
              <w:bottom w:val="single" w:sz="12" w:space="0" w:color="auto"/>
              <w:right w:val="nil"/>
            </w:tcBorders>
            <w:shd w:val="clear" w:color="auto" w:fill="auto"/>
            <w:vAlign w:val="bottom"/>
          </w:tcPr>
          <w:p w14:paraId="2D670364" w14:textId="77777777" w:rsidR="00C546FC" w:rsidRPr="00495ED1" w:rsidRDefault="00C546FC" w:rsidP="00CA7F04">
            <w:pPr>
              <w:jc w:val="right"/>
              <w:rPr>
                <w:rFonts w:ascii="Arial" w:hAnsi="Arial" w:cs="Arial"/>
                <w:b/>
                <w:bCs/>
                <w:sz w:val="18"/>
                <w:szCs w:val="18"/>
              </w:rPr>
            </w:pPr>
            <w:r w:rsidRPr="00F959D0">
              <w:rPr>
                <w:rFonts w:ascii="Arial" w:hAnsi="Arial" w:cs="Arial"/>
                <w:b/>
                <w:bCs/>
                <w:sz w:val="18"/>
                <w:szCs w:val="18"/>
              </w:rPr>
              <w:t xml:space="preserve"> 128.588 </w:t>
            </w:r>
          </w:p>
        </w:tc>
        <w:tc>
          <w:tcPr>
            <w:tcW w:w="1081" w:type="dxa"/>
            <w:tcBorders>
              <w:top w:val="single" w:sz="4" w:space="0" w:color="auto"/>
              <w:left w:val="nil"/>
              <w:bottom w:val="single" w:sz="12" w:space="0" w:color="auto"/>
              <w:right w:val="nil"/>
            </w:tcBorders>
            <w:shd w:val="clear" w:color="auto" w:fill="auto"/>
            <w:vAlign w:val="bottom"/>
          </w:tcPr>
          <w:p w14:paraId="63F9F149" w14:textId="77777777" w:rsidR="00C546FC" w:rsidRPr="00495ED1" w:rsidRDefault="00C546FC" w:rsidP="00CA7F04">
            <w:pPr>
              <w:jc w:val="right"/>
              <w:rPr>
                <w:rFonts w:ascii="Arial" w:hAnsi="Arial" w:cs="Arial"/>
                <w:b/>
                <w:bCs/>
                <w:sz w:val="18"/>
                <w:szCs w:val="18"/>
              </w:rPr>
            </w:pPr>
            <w:r w:rsidRPr="00F959D0">
              <w:rPr>
                <w:rFonts w:ascii="Arial" w:hAnsi="Arial" w:cs="Arial"/>
                <w:b/>
                <w:bCs/>
                <w:sz w:val="18"/>
                <w:szCs w:val="18"/>
              </w:rPr>
              <w:t xml:space="preserve"> 267.359 </w:t>
            </w:r>
          </w:p>
        </w:tc>
        <w:tc>
          <w:tcPr>
            <w:tcW w:w="1048" w:type="dxa"/>
            <w:tcBorders>
              <w:top w:val="single" w:sz="4" w:space="0" w:color="auto"/>
              <w:left w:val="nil"/>
              <w:bottom w:val="single" w:sz="12" w:space="0" w:color="auto"/>
              <w:right w:val="nil"/>
            </w:tcBorders>
            <w:shd w:val="clear" w:color="auto" w:fill="auto"/>
            <w:vAlign w:val="bottom"/>
          </w:tcPr>
          <w:p w14:paraId="06AA752F" w14:textId="77777777" w:rsidR="00C546FC" w:rsidRPr="00495ED1" w:rsidRDefault="00C546FC" w:rsidP="00CA7F04">
            <w:pPr>
              <w:jc w:val="right"/>
              <w:rPr>
                <w:rFonts w:ascii="Arial" w:hAnsi="Arial" w:cs="Arial"/>
                <w:b/>
                <w:bCs/>
                <w:sz w:val="18"/>
                <w:szCs w:val="18"/>
              </w:rPr>
            </w:pPr>
            <w:r w:rsidRPr="00F959D0">
              <w:rPr>
                <w:rFonts w:ascii="Arial" w:hAnsi="Arial" w:cs="Arial"/>
                <w:b/>
                <w:bCs/>
                <w:sz w:val="18"/>
                <w:szCs w:val="18"/>
              </w:rPr>
              <w:t xml:space="preserve"> 32.267 </w:t>
            </w:r>
          </w:p>
        </w:tc>
        <w:tc>
          <w:tcPr>
            <w:tcW w:w="1159" w:type="dxa"/>
            <w:tcBorders>
              <w:top w:val="single" w:sz="4" w:space="0" w:color="auto"/>
              <w:left w:val="nil"/>
              <w:bottom w:val="single" w:sz="12" w:space="0" w:color="auto"/>
              <w:right w:val="nil"/>
            </w:tcBorders>
            <w:shd w:val="clear" w:color="auto" w:fill="auto"/>
            <w:vAlign w:val="bottom"/>
          </w:tcPr>
          <w:p w14:paraId="545E429F" w14:textId="77777777" w:rsidR="00C546FC" w:rsidRPr="00495ED1" w:rsidRDefault="00C546FC" w:rsidP="00CA7F04">
            <w:pPr>
              <w:jc w:val="right"/>
              <w:rPr>
                <w:rFonts w:ascii="Arial" w:hAnsi="Arial" w:cs="Arial"/>
                <w:b/>
                <w:bCs/>
                <w:sz w:val="18"/>
                <w:szCs w:val="18"/>
              </w:rPr>
            </w:pPr>
            <w:r w:rsidRPr="00F959D0">
              <w:rPr>
                <w:rFonts w:ascii="Arial" w:hAnsi="Arial" w:cs="Arial"/>
                <w:b/>
                <w:bCs/>
                <w:sz w:val="18"/>
                <w:szCs w:val="18"/>
              </w:rPr>
              <w:t xml:space="preserve"> 470.757 </w:t>
            </w:r>
          </w:p>
        </w:tc>
      </w:tr>
    </w:tbl>
    <w:p w14:paraId="21ACD614" w14:textId="77777777" w:rsidR="00C546FC" w:rsidRPr="003D1614" w:rsidRDefault="00C546FC" w:rsidP="001A0FCB">
      <w:pPr>
        <w:suppressAutoHyphens/>
        <w:autoSpaceDN w:val="0"/>
        <w:jc w:val="both"/>
        <w:rPr>
          <w:rFonts w:ascii="Arial" w:eastAsia="Times New Roman" w:hAnsi="Arial" w:cs="Arial"/>
          <w:color w:val="000000" w:themeColor="text1"/>
          <w:sz w:val="20"/>
          <w:szCs w:val="20"/>
        </w:rPr>
        <w:sectPr w:rsidR="00C546FC" w:rsidRPr="003D1614" w:rsidSect="003278AB">
          <w:pgSz w:w="11906" w:h="16838"/>
          <w:pgMar w:top="1417" w:right="1417" w:bottom="1417" w:left="1417" w:header="708" w:footer="708" w:gutter="0"/>
          <w:cols w:space="708"/>
          <w:docGrid w:linePitch="360"/>
        </w:sectPr>
      </w:pPr>
    </w:p>
    <w:p w14:paraId="461AB722"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09F0645A" w14:textId="01F19B36"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664691BB"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3C51A640" w14:textId="1506E3B2"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2363ADA2"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p w14:paraId="4208E529" w14:textId="77777777" w:rsidR="00D92646" w:rsidRPr="003D1614" w:rsidRDefault="00D92646" w:rsidP="00D92646">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6A4C3068" w14:textId="77777777" w:rsidR="00D92646" w:rsidRPr="003D1614" w:rsidRDefault="00D92646" w:rsidP="00D92646">
      <w:pPr>
        <w:keepNext/>
        <w:tabs>
          <w:tab w:val="left" w:pos="284"/>
        </w:tabs>
        <w:suppressAutoHyphens/>
        <w:autoSpaceDN w:val="0"/>
        <w:jc w:val="both"/>
        <w:rPr>
          <w:rFonts w:ascii="Arial" w:eastAsia="Times New Roman" w:hAnsi="Arial" w:cs="Arial"/>
          <w:bCs/>
          <w:i/>
          <w:color w:val="000000" w:themeColor="text1"/>
          <w:sz w:val="20"/>
          <w:szCs w:val="20"/>
        </w:rPr>
      </w:pPr>
    </w:p>
    <w:p w14:paraId="07E9EFCF"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Financijska imovina po fer vrijednosti kroz ostalu sveobuhvatnu dobit</w:t>
      </w:r>
    </w:p>
    <w:p w14:paraId="34A18C80" w14:textId="77777777" w:rsidR="00D92646" w:rsidRPr="003D1614" w:rsidRDefault="00D92646" w:rsidP="00D92646">
      <w:pPr>
        <w:keepNext/>
        <w:suppressAutoHyphens/>
        <w:autoSpaceDN w:val="0"/>
        <w:jc w:val="both"/>
        <w:rPr>
          <w:rFonts w:ascii="Arial" w:eastAsia="Times New Roman" w:hAnsi="Arial" w:cs="Arial"/>
          <w:b/>
          <w:bCs/>
          <w:color w:val="000000" w:themeColor="text1"/>
          <w:sz w:val="20"/>
          <w:szCs w:val="20"/>
        </w:rPr>
      </w:pPr>
    </w:p>
    <w:tbl>
      <w:tblPr>
        <w:tblW w:w="9344" w:type="dxa"/>
        <w:tblInd w:w="-180" w:type="dxa"/>
        <w:tblLook w:val="04A0" w:firstRow="1" w:lastRow="0" w:firstColumn="1" w:lastColumn="0" w:noHBand="0" w:noVBand="1"/>
      </w:tblPr>
      <w:tblGrid>
        <w:gridCol w:w="3798"/>
        <w:gridCol w:w="1198"/>
        <w:gridCol w:w="1077"/>
        <w:gridCol w:w="1077"/>
        <w:gridCol w:w="996"/>
        <w:gridCol w:w="1198"/>
      </w:tblGrid>
      <w:tr w:rsidR="00D92646" w:rsidRPr="003D1614" w14:paraId="27044789" w14:textId="77777777" w:rsidTr="00A269B5">
        <w:trPr>
          <w:trHeight w:val="172"/>
        </w:trPr>
        <w:tc>
          <w:tcPr>
            <w:tcW w:w="3798" w:type="dxa"/>
            <w:tcBorders>
              <w:top w:val="nil"/>
              <w:left w:val="nil"/>
              <w:bottom w:val="nil"/>
              <w:right w:val="nil"/>
            </w:tcBorders>
            <w:shd w:val="clear" w:color="auto" w:fill="auto"/>
            <w:vAlign w:val="center"/>
          </w:tcPr>
          <w:p w14:paraId="3497DC19" w14:textId="77777777" w:rsidR="00D92646" w:rsidRPr="003D1614" w:rsidRDefault="00D92646" w:rsidP="00D92646">
            <w:pPr>
              <w:suppressAutoHyphens/>
              <w:autoSpaceDN w:val="0"/>
              <w:rPr>
                <w:rFonts w:ascii="Arial" w:eastAsia="Calibri" w:hAnsi="Arial" w:cs="Arial"/>
                <w:b/>
                <w:bCs/>
                <w:color w:val="000000" w:themeColor="text1"/>
                <w:sz w:val="18"/>
                <w:szCs w:val="18"/>
              </w:rPr>
            </w:pPr>
            <w:bookmarkStart w:id="761" w:name="_Hlk5706812"/>
            <w:bookmarkStart w:id="762" w:name="_Hlk123641020"/>
            <w:r w:rsidRPr="003D1614">
              <w:rPr>
                <w:rFonts w:ascii="Arial" w:eastAsia="Calibri" w:hAnsi="Arial" w:cs="Arial"/>
                <w:b/>
                <w:bCs/>
                <w:color w:val="000000" w:themeColor="text1"/>
                <w:sz w:val="18"/>
                <w:szCs w:val="18"/>
              </w:rPr>
              <w:t xml:space="preserve">Grupa </w:t>
            </w:r>
          </w:p>
        </w:tc>
        <w:tc>
          <w:tcPr>
            <w:tcW w:w="1198" w:type="dxa"/>
            <w:tcBorders>
              <w:top w:val="nil"/>
              <w:left w:val="nil"/>
              <w:bottom w:val="nil"/>
              <w:right w:val="nil"/>
            </w:tcBorders>
            <w:shd w:val="clear" w:color="auto" w:fill="auto"/>
            <w:vAlign w:val="center"/>
          </w:tcPr>
          <w:p w14:paraId="40E37D81"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center"/>
          </w:tcPr>
          <w:p w14:paraId="72529035"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center"/>
          </w:tcPr>
          <w:p w14:paraId="647332FE"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996" w:type="dxa"/>
            <w:tcBorders>
              <w:top w:val="nil"/>
              <w:left w:val="nil"/>
              <w:bottom w:val="nil"/>
              <w:right w:val="nil"/>
            </w:tcBorders>
            <w:shd w:val="clear" w:color="auto" w:fill="auto"/>
            <w:vAlign w:val="center"/>
          </w:tcPr>
          <w:p w14:paraId="32783049"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center"/>
          </w:tcPr>
          <w:p w14:paraId="47E13D95" w14:textId="77777777" w:rsidR="00D92646" w:rsidRPr="003D1614" w:rsidRDefault="00D92646" w:rsidP="00D92646">
            <w:pPr>
              <w:suppressAutoHyphens/>
              <w:autoSpaceDN w:val="0"/>
              <w:jc w:val="right"/>
              <w:rPr>
                <w:rFonts w:ascii="Arial" w:eastAsia="Calibri" w:hAnsi="Arial" w:cs="Arial"/>
                <w:b/>
                <w:bCs/>
                <w:color w:val="000000" w:themeColor="text1"/>
                <w:sz w:val="18"/>
                <w:szCs w:val="18"/>
              </w:rPr>
            </w:pPr>
          </w:p>
        </w:tc>
      </w:tr>
      <w:bookmarkEnd w:id="761"/>
      <w:tr w:rsidR="00A269B5" w:rsidRPr="003D1614" w14:paraId="3184B1AB" w14:textId="77777777" w:rsidTr="00A269B5">
        <w:trPr>
          <w:trHeight w:val="172"/>
        </w:trPr>
        <w:tc>
          <w:tcPr>
            <w:tcW w:w="3798" w:type="dxa"/>
            <w:tcBorders>
              <w:top w:val="nil"/>
              <w:left w:val="nil"/>
              <w:bottom w:val="nil"/>
              <w:right w:val="nil"/>
            </w:tcBorders>
            <w:shd w:val="clear" w:color="auto" w:fill="auto"/>
            <w:vAlign w:val="center"/>
            <w:hideMark/>
          </w:tcPr>
          <w:p w14:paraId="6A391468" w14:textId="08C889A0" w:rsidR="00A269B5" w:rsidRPr="003D1614" w:rsidRDefault="00A269B5" w:rsidP="00A269B5">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ožujka 202</w:t>
            </w:r>
            <w:r w:rsidR="00C546FC">
              <w:rPr>
                <w:rFonts w:ascii="Arial" w:eastAsia="Calibri" w:hAnsi="Arial" w:cs="Arial"/>
                <w:b/>
                <w:bCs/>
                <w:color w:val="000000" w:themeColor="text1"/>
                <w:sz w:val="18"/>
                <w:szCs w:val="18"/>
              </w:rPr>
              <w:t>4</w:t>
            </w:r>
            <w:r w:rsidRPr="003D1614">
              <w:rPr>
                <w:rFonts w:ascii="Arial" w:eastAsia="Calibri" w:hAnsi="Arial" w:cs="Arial"/>
                <w:b/>
                <w:bCs/>
                <w:color w:val="000000" w:themeColor="text1"/>
                <w:sz w:val="18"/>
                <w:szCs w:val="18"/>
              </w:rPr>
              <w:t>.</w:t>
            </w:r>
          </w:p>
        </w:tc>
        <w:tc>
          <w:tcPr>
            <w:tcW w:w="1198" w:type="dxa"/>
            <w:tcBorders>
              <w:top w:val="nil"/>
              <w:left w:val="nil"/>
              <w:bottom w:val="nil"/>
              <w:right w:val="nil"/>
            </w:tcBorders>
            <w:shd w:val="clear" w:color="auto" w:fill="auto"/>
            <w:vAlign w:val="center"/>
            <w:hideMark/>
          </w:tcPr>
          <w:p w14:paraId="2AD0B81E"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77" w:type="dxa"/>
            <w:tcBorders>
              <w:top w:val="nil"/>
              <w:left w:val="nil"/>
              <w:bottom w:val="nil"/>
              <w:right w:val="nil"/>
            </w:tcBorders>
            <w:shd w:val="clear" w:color="auto" w:fill="auto"/>
            <w:vAlign w:val="center"/>
            <w:hideMark/>
          </w:tcPr>
          <w:p w14:paraId="243424AD"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77" w:type="dxa"/>
            <w:tcBorders>
              <w:top w:val="nil"/>
              <w:left w:val="nil"/>
              <w:bottom w:val="nil"/>
              <w:right w:val="nil"/>
            </w:tcBorders>
            <w:shd w:val="clear" w:color="auto" w:fill="auto"/>
            <w:vAlign w:val="center"/>
            <w:hideMark/>
          </w:tcPr>
          <w:p w14:paraId="7F6FC926"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996" w:type="dxa"/>
            <w:tcBorders>
              <w:top w:val="nil"/>
              <w:left w:val="nil"/>
              <w:bottom w:val="nil"/>
              <w:right w:val="nil"/>
            </w:tcBorders>
            <w:shd w:val="clear" w:color="auto" w:fill="auto"/>
            <w:vAlign w:val="center"/>
            <w:hideMark/>
          </w:tcPr>
          <w:p w14:paraId="7E84C1DE"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98" w:type="dxa"/>
            <w:tcBorders>
              <w:top w:val="nil"/>
              <w:left w:val="nil"/>
              <w:bottom w:val="nil"/>
              <w:right w:val="nil"/>
            </w:tcBorders>
            <w:shd w:val="clear" w:color="auto" w:fill="auto"/>
            <w:vAlign w:val="center"/>
            <w:hideMark/>
          </w:tcPr>
          <w:p w14:paraId="460E66A5"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6CB95E82" w14:textId="77777777" w:rsidTr="00A269B5">
        <w:trPr>
          <w:trHeight w:val="172"/>
        </w:trPr>
        <w:tc>
          <w:tcPr>
            <w:tcW w:w="3798" w:type="dxa"/>
            <w:tcBorders>
              <w:top w:val="nil"/>
              <w:left w:val="nil"/>
              <w:bottom w:val="nil"/>
              <w:right w:val="nil"/>
            </w:tcBorders>
            <w:shd w:val="clear" w:color="auto" w:fill="auto"/>
            <w:vAlign w:val="center"/>
            <w:hideMark/>
          </w:tcPr>
          <w:p w14:paraId="4AA0ABE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center"/>
            <w:hideMark/>
          </w:tcPr>
          <w:p w14:paraId="10EFEBBB" w14:textId="6C4B23F1"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center"/>
            <w:hideMark/>
          </w:tcPr>
          <w:p w14:paraId="5F330F7E" w14:textId="5E8E86BA"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center"/>
            <w:hideMark/>
          </w:tcPr>
          <w:p w14:paraId="44E63535" w14:textId="7604CF5F"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996" w:type="dxa"/>
            <w:tcBorders>
              <w:top w:val="nil"/>
              <w:left w:val="nil"/>
              <w:bottom w:val="nil"/>
              <w:right w:val="nil"/>
            </w:tcBorders>
            <w:shd w:val="clear" w:color="auto" w:fill="auto"/>
            <w:vAlign w:val="center"/>
            <w:hideMark/>
          </w:tcPr>
          <w:p w14:paraId="4E940353" w14:textId="2766279B"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98" w:type="dxa"/>
            <w:tcBorders>
              <w:top w:val="nil"/>
              <w:left w:val="nil"/>
              <w:bottom w:val="nil"/>
              <w:right w:val="nil"/>
            </w:tcBorders>
            <w:shd w:val="clear" w:color="auto" w:fill="auto"/>
            <w:vAlign w:val="center"/>
            <w:hideMark/>
          </w:tcPr>
          <w:p w14:paraId="1F507586" w14:textId="4117B52A"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47904BAE" w14:textId="77777777" w:rsidTr="005D1219">
        <w:trPr>
          <w:trHeight w:val="172"/>
        </w:trPr>
        <w:tc>
          <w:tcPr>
            <w:tcW w:w="3798" w:type="dxa"/>
            <w:tcBorders>
              <w:top w:val="nil"/>
              <w:left w:val="nil"/>
              <w:bottom w:val="nil"/>
              <w:right w:val="nil"/>
            </w:tcBorders>
            <w:shd w:val="clear" w:color="auto" w:fill="auto"/>
            <w:vAlign w:val="center"/>
          </w:tcPr>
          <w:p w14:paraId="1E6B905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98" w:type="dxa"/>
            <w:tcBorders>
              <w:top w:val="nil"/>
              <w:left w:val="nil"/>
              <w:right w:val="nil"/>
            </w:tcBorders>
            <w:shd w:val="clear" w:color="auto" w:fill="auto"/>
            <w:vAlign w:val="center"/>
          </w:tcPr>
          <w:p w14:paraId="1F8D683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77" w:type="dxa"/>
            <w:tcBorders>
              <w:top w:val="nil"/>
              <w:left w:val="nil"/>
              <w:right w:val="nil"/>
            </w:tcBorders>
            <w:shd w:val="clear" w:color="auto" w:fill="auto"/>
            <w:vAlign w:val="center"/>
          </w:tcPr>
          <w:p w14:paraId="0EE3130B"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77" w:type="dxa"/>
            <w:tcBorders>
              <w:top w:val="nil"/>
              <w:left w:val="nil"/>
              <w:right w:val="nil"/>
            </w:tcBorders>
            <w:shd w:val="clear" w:color="auto" w:fill="auto"/>
            <w:vAlign w:val="center"/>
          </w:tcPr>
          <w:p w14:paraId="385E4E6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6" w:type="dxa"/>
            <w:tcBorders>
              <w:top w:val="nil"/>
              <w:left w:val="nil"/>
              <w:right w:val="nil"/>
            </w:tcBorders>
            <w:shd w:val="clear" w:color="auto" w:fill="auto"/>
            <w:vAlign w:val="center"/>
          </w:tcPr>
          <w:p w14:paraId="14F2DB94"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98" w:type="dxa"/>
            <w:tcBorders>
              <w:top w:val="nil"/>
              <w:left w:val="nil"/>
              <w:right w:val="nil"/>
            </w:tcBorders>
            <w:shd w:val="clear" w:color="auto" w:fill="auto"/>
            <w:vAlign w:val="center"/>
          </w:tcPr>
          <w:p w14:paraId="43DE708B"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4543FC" w:rsidRPr="003D1614" w14:paraId="34A5429C" w14:textId="77777777" w:rsidTr="005D1219">
        <w:trPr>
          <w:trHeight w:val="172"/>
        </w:trPr>
        <w:tc>
          <w:tcPr>
            <w:tcW w:w="3798" w:type="dxa"/>
            <w:tcBorders>
              <w:top w:val="nil"/>
              <w:left w:val="nil"/>
              <w:bottom w:val="nil"/>
              <w:right w:val="nil"/>
            </w:tcBorders>
            <w:shd w:val="clear" w:color="auto" w:fill="auto"/>
            <w:vAlign w:val="center"/>
            <w:hideMark/>
          </w:tcPr>
          <w:p w14:paraId="05B41B1F" w14:textId="15DC6BAB" w:rsidR="004543FC" w:rsidRPr="003D1614" w:rsidRDefault="004543FC" w:rsidP="004543F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4</w:t>
            </w:r>
            <w:r w:rsidRPr="003D1614">
              <w:rPr>
                <w:rFonts w:ascii="Arial" w:eastAsia="Calibri" w:hAnsi="Arial" w:cs="Arial"/>
                <w:color w:val="000000" w:themeColor="text1"/>
                <w:sz w:val="18"/>
                <w:szCs w:val="18"/>
              </w:rPr>
              <w:t xml:space="preserve">. </w:t>
            </w:r>
          </w:p>
        </w:tc>
        <w:tc>
          <w:tcPr>
            <w:tcW w:w="1198" w:type="dxa"/>
            <w:tcBorders>
              <w:left w:val="nil"/>
              <w:right w:val="nil"/>
            </w:tcBorders>
            <w:shd w:val="clear" w:color="auto" w:fill="auto"/>
            <w:vAlign w:val="bottom"/>
          </w:tcPr>
          <w:p w14:paraId="69811D9F" w14:textId="03229936" w:rsidR="004543FC" w:rsidRPr="00B47639" w:rsidRDefault="004543FC" w:rsidP="004543FC">
            <w:pPr>
              <w:suppressAutoHyphens/>
              <w:autoSpaceDN w:val="0"/>
              <w:jc w:val="right"/>
              <w:rPr>
                <w:rFonts w:ascii="Arial" w:eastAsia="Times New Roman" w:hAnsi="Arial" w:cs="Arial"/>
                <w:color w:val="000000"/>
                <w:sz w:val="18"/>
                <w:szCs w:val="18"/>
              </w:rPr>
            </w:pPr>
            <w:r w:rsidRPr="005D1219">
              <w:rPr>
                <w:rFonts w:ascii="Arial" w:hAnsi="Arial" w:cs="Arial"/>
                <w:sz w:val="18"/>
                <w:szCs w:val="18"/>
              </w:rPr>
              <w:t xml:space="preserve"> 223 </w:t>
            </w:r>
          </w:p>
        </w:tc>
        <w:tc>
          <w:tcPr>
            <w:tcW w:w="1077" w:type="dxa"/>
            <w:tcBorders>
              <w:left w:val="nil"/>
              <w:right w:val="nil"/>
            </w:tcBorders>
            <w:shd w:val="clear" w:color="auto" w:fill="auto"/>
            <w:vAlign w:val="bottom"/>
          </w:tcPr>
          <w:p w14:paraId="195A40CB" w14:textId="615C6257" w:rsidR="004543FC" w:rsidRPr="00B47639" w:rsidRDefault="004543FC" w:rsidP="004543FC">
            <w:pPr>
              <w:suppressAutoHyphens/>
              <w:autoSpaceDN w:val="0"/>
              <w:jc w:val="right"/>
              <w:rPr>
                <w:rFonts w:ascii="Arial" w:eastAsia="Times New Roman" w:hAnsi="Arial" w:cs="Arial"/>
                <w:color w:val="000000"/>
                <w:sz w:val="18"/>
                <w:szCs w:val="18"/>
              </w:rPr>
            </w:pPr>
            <w:r w:rsidRPr="005D1219">
              <w:rPr>
                <w:rFonts w:ascii="Arial" w:hAnsi="Arial" w:cs="Arial"/>
                <w:sz w:val="18"/>
                <w:szCs w:val="18"/>
              </w:rPr>
              <w:t xml:space="preserve"> - </w:t>
            </w:r>
          </w:p>
        </w:tc>
        <w:tc>
          <w:tcPr>
            <w:tcW w:w="1077" w:type="dxa"/>
            <w:tcBorders>
              <w:left w:val="nil"/>
              <w:right w:val="nil"/>
            </w:tcBorders>
            <w:shd w:val="clear" w:color="auto" w:fill="auto"/>
            <w:vAlign w:val="bottom"/>
          </w:tcPr>
          <w:p w14:paraId="36747208" w14:textId="30358684" w:rsidR="004543FC" w:rsidRPr="00B47639" w:rsidRDefault="004543FC" w:rsidP="004543FC">
            <w:pPr>
              <w:suppressAutoHyphens/>
              <w:autoSpaceDN w:val="0"/>
              <w:jc w:val="right"/>
              <w:rPr>
                <w:rFonts w:ascii="Arial" w:eastAsia="Times New Roman" w:hAnsi="Arial" w:cs="Arial"/>
                <w:color w:val="000000"/>
                <w:sz w:val="18"/>
                <w:szCs w:val="18"/>
              </w:rPr>
            </w:pPr>
            <w:r w:rsidRPr="005D1219">
              <w:rPr>
                <w:rFonts w:ascii="Arial" w:hAnsi="Arial" w:cs="Arial"/>
                <w:sz w:val="18"/>
                <w:szCs w:val="18"/>
              </w:rPr>
              <w:t xml:space="preserve"> 231 </w:t>
            </w:r>
          </w:p>
        </w:tc>
        <w:tc>
          <w:tcPr>
            <w:tcW w:w="996" w:type="dxa"/>
            <w:tcBorders>
              <w:left w:val="nil"/>
              <w:right w:val="nil"/>
            </w:tcBorders>
            <w:shd w:val="clear" w:color="auto" w:fill="auto"/>
            <w:vAlign w:val="bottom"/>
          </w:tcPr>
          <w:p w14:paraId="2C475EEB" w14:textId="10763772" w:rsidR="004543FC" w:rsidRPr="00B47639" w:rsidRDefault="004543FC" w:rsidP="004543FC">
            <w:pPr>
              <w:suppressAutoHyphens/>
              <w:autoSpaceDN w:val="0"/>
              <w:jc w:val="right"/>
              <w:rPr>
                <w:rFonts w:ascii="Arial" w:eastAsia="Times New Roman" w:hAnsi="Arial" w:cs="Arial"/>
                <w:color w:val="000000"/>
                <w:sz w:val="18"/>
                <w:szCs w:val="18"/>
              </w:rPr>
            </w:pPr>
            <w:r w:rsidRPr="005D1219">
              <w:rPr>
                <w:rFonts w:ascii="Arial" w:hAnsi="Arial" w:cs="Arial"/>
                <w:sz w:val="18"/>
                <w:szCs w:val="18"/>
              </w:rPr>
              <w:t xml:space="preserve"> - </w:t>
            </w:r>
          </w:p>
        </w:tc>
        <w:tc>
          <w:tcPr>
            <w:tcW w:w="1198" w:type="dxa"/>
            <w:tcBorders>
              <w:left w:val="nil"/>
              <w:right w:val="nil"/>
            </w:tcBorders>
            <w:shd w:val="clear" w:color="auto" w:fill="auto"/>
            <w:vAlign w:val="bottom"/>
          </w:tcPr>
          <w:p w14:paraId="4911382F" w14:textId="2239BA73" w:rsidR="004543FC" w:rsidRPr="005D1219" w:rsidRDefault="004543FC" w:rsidP="004543FC">
            <w:pPr>
              <w:suppressAutoHyphens/>
              <w:autoSpaceDN w:val="0"/>
              <w:jc w:val="right"/>
              <w:rPr>
                <w:rFonts w:ascii="Arial" w:eastAsia="Times New Roman" w:hAnsi="Arial" w:cs="Arial"/>
                <w:b/>
                <w:bCs/>
                <w:color w:val="000000"/>
                <w:sz w:val="18"/>
                <w:szCs w:val="18"/>
              </w:rPr>
            </w:pPr>
            <w:r w:rsidRPr="00932E4A">
              <w:rPr>
                <w:rFonts w:ascii="Arial" w:hAnsi="Arial" w:cs="Arial"/>
                <w:b/>
                <w:bCs/>
                <w:sz w:val="18"/>
                <w:szCs w:val="18"/>
              </w:rPr>
              <w:t xml:space="preserve"> 454 </w:t>
            </w:r>
          </w:p>
        </w:tc>
      </w:tr>
      <w:tr w:rsidR="004543FC" w:rsidRPr="003D1614" w14:paraId="60F1B8C1" w14:textId="77777777" w:rsidTr="005D1219">
        <w:trPr>
          <w:trHeight w:val="172"/>
        </w:trPr>
        <w:tc>
          <w:tcPr>
            <w:tcW w:w="3798" w:type="dxa"/>
            <w:shd w:val="clear" w:color="auto" w:fill="auto"/>
          </w:tcPr>
          <w:p w14:paraId="42F924DA" w14:textId="77777777" w:rsidR="004543FC" w:rsidRPr="003D1614" w:rsidRDefault="004543FC" w:rsidP="004543F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198" w:type="dxa"/>
            <w:shd w:val="clear" w:color="auto" w:fill="auto"/>
            <w:vAlign w:val="bottom"/>
          </w:tcPr>
          <w:p w14:paraId="6B07924A" w14:textId="4E5DBB04" w:rsidR="004543FC" w:rsidRPr="003D1614" w:rsidRDefault="000459E9" w:rsidP="004543FC">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077" w:type="dxa"/>
            <w:shd w:val="clear" w:color="auto" w:fill="auto"/>
            <w:vAlign w:val="bottom"/>
          </w:tcPr>
          <w:p w14:paraId="1C840B95" w14:textId="2ABAE215" w:rsidR="004543FC" w:rsidRPr="003D1614" w:rsidRDefault="000459E9" w:rsidP="004543FC">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077" w:type="dxa"/>
            <w:shd w:val="clear" w:color="auto" w:fill="auto"/>
            <w:vAlign w:val="bottom"/>
          </w:tcPr>
          <w:p w14:paraId="10BD1FC9" w14:textId="28600BFC" w:rsidR="004543FC" w:rsidRPr="003D1614" w:rsidRDefault="000459E9" w:rsidP="004543FC">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996" w:type="dxa"/>
            <w:shd w:val="clear" w:color="auto" w:fill="auto"/>
            <w:vAlign w:val="bottom"/>
          </w:tcPr>
          <w:p w14:paraId="42790E87" w14:textId="3587F060" w:rsidR="004543FC" w:rsidRPr="003D1614" w:rsidRDefault="000459E9" w:rsidP="004543FC">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198" w:type="dxa"/>
            <w:shd w:val="clear" w:color="auto" w:fill="auto"/>
            <w:vAlign w:val="bottom"/>
          </w:tcPr>
          <w:p w14:paraId="392F26D6" w14:textId="4A77537B" w:rsidR="004543FC" w:rsidRPr="005D1219" w:rsidRDefault="000459E9" w:rsidP="004543FC">
            <w:pPr>
              <w:suppressAutoHyphens/>
              <w:autoSpaceDN w:val="0"/>
              <w:jc w:val="right"/>
              <w:rPr>
                <w:rFonts w:ascii="Arial" w:eastAsia="Times New Roman" w:hAnsi="Arial" w:cs="Arial"/>
                <w:b/>
                <w:bCs/>
                <w:color w:val="000000"/>
                <w:sz w:val="18"/>
                <w:szCs w:val="18"/>
              </w:rPr>
            </w:pPr>
            <w:r w:rsidRPr="005D1219">
              <w:rPr>
                <w:rFonts w:ascii="Arial" w:eastAsia="Times New Roman" w:hAnsi="Arial" w:cs="Arial"/>
                <w:b/>
                <w:bCs/>
                <w:color w:val="000000"/>
                <w:sz w:val="18"/>
                <w:szCs w:val="18"/>
              </w:rPr>
              <w:t>-</w:t>
            </w:r>
          </w:p>
        </w:tc>
      </w:tr>
      <w:tr w:rsidR="004543FC" w:rsidRPr="003D1614" w14:paraId="53DCF3A0" w14:textId="77777777" w:rsidTr="00E66367">
        <w:trPr>
          <w:trHeight w:val="172"/>
        </w:trPr>
        <w:tc>
          <w:tcPr>
            <w:tcW w:w="3798" w:type="dxa"/>
            <w:shd w:val="clear" w:color="auto" w:fill="auto"/>
          </w:tcPr>
          <w:p w14:paraId="3449BC39" w14:textId="77777777" w:rsidR="004543FC" w:rsidRPr="003D1614" w:rsidRDefault="004543FC" w:rsidP="004543F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198" w:type="dxa"/>
            <w:shd w:val="clear" w:color="auto" w:fill="auto"/>
            <w:vAlign w:val="bottom"/>
          </w:tcPr>
          <w:p w14:paraId="0BC6B711" w14:textId="7CDC75FF" w:rsidR="004543FC" w:rsidRPr="003D1614" w:rsidRDefault="000459E9" w:rsidP="004543FC">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077" w:type="dxa"/>
            <w:shd w:val="clear" w:color="auto" w:fill="auto"/>
            <w:vAlign w:val="bottom"/>
          </w:tcPr>
          <w:p w14:paraId="6169D147" w14:textId="5E800443" w:rsidR="004543FC" w:rsidRPr="003D1614" w:rsidRDefault="000459E9" w:rsidP="004543FC">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077" w:type="dxa"/>
            <w:shd w:val="clear" w:color="auto" w:fill="auto"/>
            <w:vAlign w:val="bottom"/>
          </w:tcPr>
          <w:p w14:paraId="338E8349" w14:textId="07B8865C" w:rsidR="004543FC" w:rsidRPr="003D1614" w:rsidRDefault="000459E9" w:rsidP="004543FC">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996" w:type="dxa"/>
            <w:shd w:val="clear" w:color="auto" w:fill="auto"/>
            <w:vAlign w:val="bottom"/>
          </w:tcPr>
          <w:p w14:paraId="7D4F4FF9" w14:textId="3B1D6107" w:rsidR="004543FC" w:rsidRPr="003D1614" w:rsidRDefault="000459E9" w:rsidP="004543FC">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198" w:type="dxa"/>
            <w:shd w:val="clear" w:color="auto" w:fill="auto"/>
            <w:vAlign w:val="bottom"/>
          </w:tcPr>
          <w:p w14:paraId="66BBF618" w14:textId="5ECA82C7" w:rsidR="004543FC" w:rsidRPr="005D1219" w:rsidRDefault="000459E9" w:rsidP="004543FC">
            <w:pPr>
              <w:suppressAutoHyphens/>
              <w:autoSpaceDN w:val="0"/>
              <w:jc w:val="right"/>
              <w:rPr>
                <w:rFonts w:ascii="Arial" w:eastAsia="Times New Roman" w:hAnsi="Arial" w:cs="Arial"/>
                <w:b/>
                <w:bCs/>
                <w:color w:val="000000"/>
                <w:sz w:val="18"/>
                <w:szCs w:val="18"/>
              </w:rPr>
            </w:pPr>
            <w:r w:rsidRPr="005D1219">
              <w:rPr>
                <w:rFonts w:ascii="Arial" w:eastAsia="Times New Roman" w:hAnsi="Arial" w:cs="Arial"/>
                <w:b/>
                <w:bCs/>
                <w:color w:val="000000"/>
                <w:sz w:val="18"/>
                <w:szCs w:val="18"/>
              </w:rPr>
              <w:t>-</w:t>
            </w:r>
          </w:p>
        </w:tc>
      </w:tr>
      <w:tr w:rsidR="004543FC" w:rsidRPr="003D1614" w14:paraId="46918A26" w14:textId="77777777" w:rsidTr="00E66367">
        <w:trPr>
          <w:trHeight w:val="172"/>
        </w:trPr>
        <w:tc>
          <w:tcPr>
            <w:tcW w:w="3798" w:type="dxa"/>
            <w:shd w:val="clear" w:color="auto" w:fill="auto"/>
            <w:hideMark/>
          </w:tcPr>
          <w:p w14:paraId="5E7B1318" w14:textId="77777777" w:rsidR="004543FC" w:rsidRPr="003D1614" w:rsidRDefault="004543FC" w:rsidP="004543F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198" w:type="dxa"/>
            <w:shd w:val="clear" w:color="auto" w:fill="auto"/>
            <w:vAlign w:val="bottom"/>
          </w:tcPr>
          <w:p w14:paraId="329874FC" w14:textId="30A7A6E8" w:rsidR="004543FC" w:rsidRPr="003D1614" w:rsidRDefault="000459E9" w:rsidP="004543FC">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077" w:type="dxa"/>
            <w:shd w:val="clear" w:color="auto" w:fill="auto"/>
            <w:vAlign w:val="bottom"/>
          </w:tcPr>
          <w:p w14:paraId="1DCCA54A" w14:textId="703066DD" w:rsidR="004543FC" w:rsidRPr="003D1614" w:rsidRDefault="000459E9" w:rsidP="004543FC">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077" w:type="dxa"/>
            <w:shd w:val="clear" w:color="auto" w:fill="auto"/>
            <w:vAlign w:val="bottom"/>
          </w:tcPr>
          <w:p w14:paraId="4EEDD522" w14:textId="4D0739A8" w:rsidR="004543FC" w:rsidRPr="003D1614" w:rsidRDefault="000459E9" w:rsidP="004543FC">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996" w:type="dxa"/>
            <w:shd w:val="clear" w:color="auto" w:fill="auto"/>
            <w:vAlign w:val="bottom"/>
          </w:tcPr>
          <w:p w14:paraId="15165D9C" w14:textId="71200E53" w:rsidR="004543FC" w:rsidRPr="003D1614" w:rsidRDefault="000459E9" w:rsidP="004543FC">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198" w:type="dxa"/>
            <w:shd w:val="clear" w:color="auto" w:fill="auto"/>
            <w:vAlign w:val="bottom"/>
          </w:tcPr>
          <w:p w14:paraId="1611DE80" w14:textId="1A07F81E" w:rsidR="004543FC" w:rsidRPr="005D1219" w:rsidRDefault="000459E9" w:rsidP="004543FC">
            <w:pPr>
              <w:suppressAutoHyphens/>
              <w:autoSpaceDN w:val="0"/>
              <w:jc w:val="right"/>
              <w:rPr>
                <w:rFonts w:ascii="Arial" w:eastAsia="Times New Roman" w:hAnsi="Arial" w:cs="Arial"/>
                <w:b/>
                <w:bCs/>
                <w:color w:val="000000"/>
                <w:sz w:val="18"/>
                <w:szCs w:val="18"/>
              </w:rPr>
            </w:pPr>
            <w:r w:rsidRPr="005D1219">
              <w:rPr>
                <w:rFonts w:ascii="Arial" w:eastAsia="Times New Roman" w:hAnsi="Arial" w:cs="Arial"/>
                <w:b/>
                <w:bCs/>
                <w:color w:val="000000"/>
                <w:sz w:val="18"/>
                <w:szCs w:val="18"/>
              </w:rPr>
              <w:t>-</w:t>
            </w:r>
          </w:p>
        </w:tc>
      </w:tr>
      <w:tr w:rsidR="004543FC" w:rsidRPr="003D1614" w14:paraId="5313CDDC" w14:textId="77777777" w:rsidTr="00E66367">
        <w:trPr>
          <w:trHeight w:val="214"/>
        </w:trPr>
        <w:tc>
          <w:tcPr>
            <w:tcW w:w="3798" w:type="dxa"/>
            <w:tcBorders>
              <w:top w:val="nil"/>
              <w:left w:val="nil"/>
              <w:bottom w:val="nil"/>
              <w:right w:val="nil"/>
            </w:tcBorders>
            <w:shd w:val="clear" w:color="auto" w:fill="auto"/>
            <w:vAlign w:val="center"/>
            <w:hideMark/>
          </w:tcPr>
          <w:p w14:paraId="586DAFBE" w14:textId="11257C4A" w:rsidR="004543FC" w:rsidRPr="003D1614" w:rsidRDefault="004543FC" w:rsidP="004543FC">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w:t>
            </w:r>
            <w:r>
              <w:rPr>
                <w:rFonts w:ascii="Arial" w:eastAsia="Calibri" w:hAnsi="Arial" w:cs="Arial"/>
                <w:color w:val="000000" w:themeColor="text1"/>
                <w:sz w:val="18"/>
                <w:szCs w:val="18"/>
              </w:rPr>
              <w:t>povećanje</w:t>
            </w:r>
            <w:r w:rsidRPr="003D1614">
              <w:rPr>
                <w:rFonts w:ascii="Arial" w:eastAsia="Calibri" w:hAnsi="Arial" w:cs="Arial"/>
                <w:color w:val="000000" w:themeColor="text1"/>
                <w:sz w:val="18"/>
                <w:szCs w:val="18"/>
              </w:rPr>
              <w:t xml:space="preserve"> rezerviranja za očekivane gubitke </w:t>
            </w:r>
          </w:p>
        </w:tc>
        <w:tc>
          <w:tcPr>
            <w:tcW w:w="1198" w:type="dxa"/>
            <w:tcBorders>
              <w:top w:val="nil"/>
              <w:left w:val="nil"/>
              <w:bottom w:val="nil"/>
              <w:right w:val="nil"/>
            </w:tcBorders>
            <w:shd w:val="clear" w:color="auto" w:fill="auto"/>
            <w:vAlign w:val="bottom"/>
          </w:tcPr>
          <w:p w14:paraId="02FBE0FF" w14:textId="5C8C9A70" w:rsidR="004543FC" w:rsidRPr="003D1614" w:rsidRDefault="000459E9" w:rsidP="004543FC">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12</w:t>
            </w:r>
          </w:p>
        </w:tc>
        <w:tc>
          <w:tcPr>
            <w:tcW w:w="1077" w:type="dxa"/>
            <w:tcBorders>
              <w:top w:val="nil"/>
              <w:left w:val="nil"/>
              <w:bottom w:val="nil"/>
              <w:right w:val="nil"/>
            </w:tcBorders>
            <w:shd w:val="clear" w:color="auto" w:fill="auto"/>
            <w:vAlign w:val="bottom"/>
          </w:tcPr>
          <w:p w14:paraId="13F3495E" w14:textId="0BE7150A" w:rsidR="004543FC" w:rsidRPr="003D1614" w:rsidRDefault="000459E9" w:rsidP="004543FC">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077" w:type="dxa"/>
            <w:tcBorders>
              <w:top w:val="nil"/>
              <w:left w:val="nil"/>
              <w:bottom w:val="nil"/>
              <w:right w:val="nil"/>
            </w:tcBorders>
            <w:shd w:val="clear" w:color="auto" w:fill="auto"/>
            <w:vAlign w:val="bottom"/>
          </w:tcPr>
          <w:p w14:paraId="77524D80" w14:textId="293BD1C0" w:rsidR="004543FC" w:rsidRPr="003D1614" w:rsidRDefault="000459E9" w:rsidP="004543FC">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996" w:type="dxa"/>
            <w:tcBorders>
              <w:top w:val="nil"/>
              <w:left w:val="nil"/>
              <w:bottom w:val="nil"/>
              <w:right w:val="nil"/>
            </w:tcBorders>
            <w:shd w:val="clear" w:color="auto" w:fill="auto"/>
            <w:vAlign w:val="bottom"/>
          </w:tcPr>
          <w:p w14:paraId="2B741ABE" w14:textId="75D27C9C" w:rsidR="004543FC" w:rsidRPr="003D1614" w:rsidRDefault="000459E9" w:rsidP="004543FC">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198" w:type="dxa"/>
            <w:tcBorders>
              <w:top w:val="nil"/>
              <w:left w:val="nil"/>
              <w:bottom w:val="nil"/>
              <w:right w:val="nil"/>
            </w:tcBorders>
            <w:shd w:val="clear" w:color="auto" w:fill="auto"/>
            <w:vAlign w:val="bottom"/>
          </w:tcPr>
          <w:p w14:paraId="2032AC97" w14:textId="41E9438C" w:rsidR="004543FC" w:rsidRPr="005D1219" w:rsidRDefault="000459E9" w:rsidP="004543FC">
            <w:pPr>
              <w:suppressAutoHyphens/>
              <w:autoSpaceDN w:val="0"/>
              <w:jc w:val="right"/>
              <w:rPr>
                <w:rFonts w:ascii="Arial" w:eastAsia="Times New Roman" w:hAnsi="Arial" w:cs="Arial"/>
                <w:b/>
                <w:bCs/>
                <w:color w:val="000000"/>
                <w:sz w:val="18"/>
                <w:szCs w:val="18"/>
              </w:rPr>
            </w:pPr>
            <w:r w:rsidRPr="005D1219">
              <w:rPr>
                <w:rFonts w:ascii="Arial" w:eastAsia="Times New Roman" w:hAnsi="Arial" w:cs="Arial"/>
                <w:b/>
                <w:bCs/>
                <w:color w:val="000000"/>
                <w:sz w:val="18"/>
                <w:szCs w:val="18"/>
              </w:rPr>
              <w:t>12</w:t>
            </w:r>
          </w:p>
        </w:tc>
      </w:tr>
      <w:tr w:rsidR="004543FC" w:rsidRPr="003D1614" w14:paraId="07BF6E6B" w14:textId="77777777" w:rsidTr="00E66367">
        <w:trPr>
          <w:trHeight w:val="180"/>
        </w:trPr>
        <w:tc>
          <w:tcPr>
            <w:tcW w:w="3798" w:type="dxa"/>
            <w:tcBorders>
              <w:top w:val="nil"/>
              <w:left w:val="nil"/>
              <w:bottom w:val="nil"/>
              <w:right w:val="nil"/>
            </w:tcBorders>
            <w:shd w:val="clear" w:color="auto" w:fill="auto"/>
            <w:vAlign w:val="bottom"/>
            <w:hideMark/>
          </w:tcPr>
          <w:p w14:paraId="79DBE2A0" w14:textId="6328E0FA" w:rsidR="004543FC" w:rsidRPr="003D1614" w:rsidRDefault="004543FC" w:rsidP="004543FC">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ožujka 202</w:t>
            </w:r>
            <w:r>
              <w:rPr>
                <w:rFonts w:ascii="Arial" w:eastAsia="Calibri" w:hAnsi="Arial" w:cs="Arial"/>
                <w:b/>
                <w:bCs/>
                <w:color w:val="000000" w:themeColor="text1"/>
                <w:sz w:val="18"/>
                <w:szCs w:val="18"/>
              </w:rPr>
              <w:t>4</w:t>
            </w:r>
            <w:r w:rsidRPr="003D1614">
              <w:rPr>
                <w:rFonts w:ascii="Arial" w:eastAsia="Calibri" w:hAnsi="Arial" w:cs="Arial"/>
                <w:b/>
                <w:bCs/>
                <w:color w:val="000000" w:themeColor="text1"/>
                <w:sz w:val="18"/>
                <w:szCs w:val="18"/>
              </w:rPr>
              <w:t>.</w:t>
            </w:r>
          </w:p>
        </w:tc>
        <w:tc>
          <w:tcPr>
            <w:tcW w:w="1198" w:type="dxa"/>
            <w:tcBorders>
              <w:top w:val="single" w:sz="4" w:space="0" w:color="auto"/>
              <w:left w:val="nil"/>
              <w:bottom w:val="single" w:sz="12" w:space="0" w:color="auto"/>
              <w:right w:val="nil"/>
            </w:tcBorders>
            <w:shd w:val="clear" w:color="auto" w:fill="auto"/>
            <w:vAlign w:val="bottom"/>
          </w:tcPr>
          <w:p w14:paraId="03920A5E" w14:textId="074A7456" w:rsidR="004543FC" w:rsidRPr="003D1614" w:rsidRDefault="000459E9" w:rsidP="004543FC">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235</w:t>
            </w:r>
          </w:p>
        </w:tc>
        <w:tc>
          <w:tcPr>
            <w:tcW w:w="1077" w:type="dxa"/>
            <w:tcBorders>
              <w:top w:val="single" w:sz="4" w:space="0" w:color="auto"/>
              <w:left w:val="nil"/>
              <w:bottom w:val="single" w:sz="12" w:space="0" w:color="auto"/>
              <w:right w:val="nil"/>
            </w:tcBorders>
            <w:shd w:val="clear" w:color="auto" w:fill="auto"/>
            <w:vAlign w:val="bottom"/>
          </w:tcPr>
          <w:p w14:paraId="14A45D8A" w14:textId="3B1ED1B6" w:rsidR="004543FC" w:rsidRPr="003D1614" w:rsidRDefault="000459E9" w:rsidP="004543FC">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w:t>
            </w:r>
          </w:p>
        </w:tc>
        <w:tc>
          <w:tcPr>
            <w:tcW w:w="1077" w:type="dxa"/>
            <w:tcBorders>
              <w:top w:val="single" w:sz="4" w:space="0" w:color="auto"/>
              <w:left w:val="nil"/>
              <w:bottom w:val="single" w:sz="12" w:space="0" w:color="auto"/>
              <w:right w:val="nil"/>
            </w:tcBorders>
            <w:shd w:val="clear" w:color="auto" w:fill="auto"/>
            <w:vAlign w:val="bottom"/>
          </w:tcPr>
          <w:p w14:paraId="00A5431D" w14:textId="5EF69A3D" w:rsidR="004543FC" w:rsidRPr="003D1614" w:rsidRDefault="000459E9" w:rsidP="004543FC">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231</w:t>
            </w:r>
          </w:p>
        </w:tc>
        <w:tc>
          <w:tcPr>
            <w:tcW w:w="996" w:type="dxa"/>
            <w:tcBorders>
              <w:top w:val="single" w:sz="4" w:space="0" w:color="auto"/>
              <w:left w:val="nil"/>
              <w:bottom w:val="single" w:sz="12" w:space="0" w:color="auto"/>
              <w:right w:val="nil"/>
            </w:tcBorders>
            <w:shd w:val="clear" w:color="auto" w:fill="auto"/>
            <w:vAlign w:val="bottom"/>
          </w:tcPr>
          <w:p w14:paraId="5F0C6A0D" w14:textId="2703739F" w:rsidR="004543FC" w:rsidRPr="003D1614" w:rsidRDefault="000459E9" w:rsidP="004543FC">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w:t>
            </w:r>
          </w:p>
        </w:tc>
        <w:tc>
          <w:tcPr>
            <w:tcW w:w="1198" w:type="dxa"/>
            <w:tcBorders>
              <w:top w:val="single" w:sz="4" w:space="0" w:color="auto"/>
              <w:left w:val="nil"/>
              <w:bottom w:val="single" w:sz="12" w:space="0" w:color="auto"/>
              <w:right w:val="nil"/>
            </w:tcBorders>
            <w:shd w:val="clear" w:color="auto" w:fill="auto"/>
            <w:vAlign w:val="bottom"/>
          </w:tcPr>
          <w:p w14:paraId="7A4D6F9A" w14:textId="61B07AED" w:rsidR="004543FC" w:rsidRPr="003D1614" w:rsidRDefault="000459E9" w:rsidP="004543FC">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466</w:t>
            </w:r>
          </w:p>
        </w:tc>
      </w:tr>
      <w:bookmarkEnd w:id="762"/>
    </w:tbl>
    <w:p w14:paraId="55FBC1EE" w14:textId="77777777" w:rsidR="00D92646" w:rsidRPr="003D1614" w:rsidRDefault="00D92646" w:rsidP="00D92646">
      <w:pPr>
        <w:suppressAutoHyphens/>
        <w:autoSpaceDN w:val="0"/>
        <w:rPr>
          <w:rFonts w:ascii="Arial" w:eastAsia="Calibri" w:hAnsi="Arial" w:cs="Arial"/>
          <w:color w:val="000000" w:themeColor="text1"/>
          <w:sz w:val="20"/>
          <w:szCs w:val="20"/>
        </w:rPr>
      </w:pPr>
    </w:p>
    <w:p w14:paraId="629FA5E9" w14:textId="240C58FA" w:rsidR="00D92646" w:rsidRPr="003D1614" w:rsidRDefault="00D92646" w:rsidP="001A0FCB">
      <w:pPr>
        <w:suppressAutoHyphens/>
        <w:autoSpaceDN w:val="0"/>
        <w:jc w:val="both"/>
        <w:rPr>
          <w:rFonts w:ascii="Arial" w:eastAsia="Times New Roman" w:hAnsi="Arial" w:cs="Arial"/>
          <w:color w:val="000000" w:themeColor="text1"/>
          <w:sz w:val="20"/>
          <w:szCs w:val="20"/>
        </w:rPr>
      </w:pPr>
    </w:p>
    <w:p w14:paraId="08BE3A20" w14:textId="68BFE95A" w:rsidR="00A269B5" w:rsidRDefault="00A269B5" w:rsidP="001A0FCB">
      <w:pPr>
        <w:suppressAutoHyphens/>
        <w:autoSpaceDN w:val="0"/>
        <w:jc w:val="both"/>
        <w:rPr>
          <w:rFonts w:ascii="Arial" w:eastAsia="Times New Roman" w:hAnsi="Arial" w:cs="Arial"/>
          <w:color w:val="000000" w:themeColor="text1"/>
          <w:sz w:val="20"/>
          <w:szCs w:val="20"/>
        </w:rPr>
      </w:pPr>
    </w:p>
    <w:p w14:paraId="574E1925" w14:textId="77777777" w:rsidR="000A18D1" w:rsidRDefault="000A18D1" w:rsidP="001A0FCB">
      <w:pPr>
        <w:suppressAutoHyphens/>
        <w:autoSpaceDN w:val="0"/>
        <w:jc w:val="both"/>
        <w:rPr>
          <w:rFonts w:ascii="Arial" w:eastAsia="Times New Roman" w:hAnsi="Arial" w:cs="Arial"/>
          <w:color w:val="000000" w:themeColor="text1"/>
          <w:sz w:val="20"/>
          <w:szCs w:val="20"/>
        </w:rPr>
      </w:pPr>
    </w:p>
    <w:tbl>
      <w:tblPr>
        <w:tblW w:w="9493" w:type="dxa"/>
        <w:tblInd w:w="-180" w:type="dxa"/>
        <w:tblLook w:val="04A0" w:firstRow="1" w:lastRow="0" w:firstColumn="1" w:lastColumn="0" w:noHBand="0" w:noVBand="1"/>
      </w:tblPr>
      <w:tblGrid>
        <w:gridCol w:w="3947"/>
        <w:gridCol w:w="1198"/>
        <w:gridCol w:w="1077"/>
        <w:gridCol w:w="1077"/>
        <w:gridCol w:w="996"/>
        <w:gridCol w:w="1198"/>
      </w:tblGrid>
      <w:tr w:rsidR="000A18D1" w:rsidRPr="001B015B" w14:paraId="673F6C5A" w14:textId="77777777" w:rsidTr="00CA7F04">
        <w:trPr>
          <w:trHeight w:val="172"/>
        </w:trPr>
        <w:tc>
          <w:tcPr>
            <w:tcW w:w="3947" w:type="dxa"/>
            <w:tcBorders>
              <w:top w:val="nil"/>
              <w:left w:val="nil"/>
              <w:bottom w:val="nil"/>
              <w:right w:val="nil"/>
            </w:tcBorders>
            <w:shd w:val="clear" w:color="auto" w:fill="auto"/>
            <w:vAlign w:val="center"/>
          </w:tcPr>
          <w:p w14:paraId="61AFC7A2" w14:textId="77777777" w:rsidR="000A18D1" w:rsidRPr="001B015B" w:rsidRDefault="000A18D1" w:rsidP="00CA7F04">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Grupa </w:t>
            </w:r>
          </w:p>
        </w:tc>
        <w:tc>
          <w:tcPr>
            <w:tcW w:w="1198" w:type="dxa"/>
            <w:tcBorders>
              <w:top w:val="nil"/>
              <w:left w:val="nil"/>
              <w:bottom w:val="nil"/>
              <w:right w:val="nil"/>
            </w:tcBorders>
            <w:shd w:val="clear" w:color="auto" w:fill="auto"/>
            <w:vAlign w:val="center"/>
          </w:tcPr>
          <w:p w14:paraId="2F8A7283" w14:textId="77777777" w:rsidR="000A18D1" w:rsidRPr="001B015B" w:rsidRDefault="000A18D1" w:rsidP="00CA7F04">
            <w:pPr>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center"/>
          </w:tcPr>
          <w:p w14:paraId="6D57CB34" w14:textId="77777777" w:rsidR="000A18D1" w:rsidRPr="001B015B" w:rsidRDefault="000A18D1" w:rsidP="00CA7F04">
            <w:pPr>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center"/>
          </w:tcPr>
          <w:p w14:paraId="5C1B6BE5" w14:textId="77777777" w:rsidR="000A18D1" w:rsidRPr="001B015B" w:rsidRDefault="000A18D1" w:rsidP="00CA7F04">
            <w:pPr>
              <w:jc w:val="right"/>
              <w:rPr>
                <w:rFonts w:ascii="Arial" w:eastAsia="Calibri" w:hAnsi="Arial" w:cs="Arial"/>
                <w:b/>
                <w:bCs/>
                <w:color w:val="000000" w:themeColor="text1"/>
                <w:sz w:val="18"/>
                <w:szCs w:val="18"/>
              </w:rPr>
            </w:pPr>
          </w:p>
        </w:tc>
        <w:tc>
          <w:tcPr>
            <w:tcW w:w="996" w:type="dxa"/>
            <w:tcBorders>
              <w:top w:val="nil"/>
              <w:left w:val="nil"/>
              <w:bottom w:val="nil"/>
              <w:right w:val="nil"/>
            </w:tcBorders>
            <w:shd w:val="clear" w:color="auto" w:fill="auto"/>
            <w:vAlign w:val="center"/>
          </w:tcPr>
          <w:p w14:paraId="23072083" w14:textId="77777777" w:rsidR="000A18D1" w:rsidRPr="001B015B" w:rsidRDefault="000A18D1" w:rsidP="00CA7F04">
            <w:pPr>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center"/>
          </w:tcPr>
          <w:p w14:paraId="6376FFC7" w14:textId="77777777" w:rsidR="000A18D1" w:rsidRPr="001B015B" w:rsidRDefault="000A18D1" w:rsidP="00CA7F04">
            <w:pPr>
              <w:jc w:val="right"/>
              <w:rPr>
                <w:rFonts w:ascii="Arial" w:eastAsia="Calibri" w:hAnsi="Arial" w:cs="Arial"/>
                <w:b/>
                <w:bCs/>
                <w:color w:val="000000" w:themeColor="text1"/>
                <w:sz w:val="18"/>
                <w:szCs w:val="18"/>
              </w:rPr>
            </w:pPr>
          </w:p>
        </w:tc>
      </w:tr>
      <w:tr w:rsidR="000A18D1" w:rsidRPr="001B015B" w14:paraId="386E9935" w14:textId="77777777" w:rsidTr="00CA7F04">
        <w:trPr>
          <w:trHeight w:val="172"/>
        </w:trPr>
        <w:tc>
          <w:tcPr>
            <w:tcW w:w="3947" w:type="dxa"/>
            <w:tcBorders>
              <w:top w:val="nil"/>
              <w:left w:val="nil"/>
              <w:bottom w:val="nil"/>
              <w:right w:val="nil"/>
            </w:tcBorders>
            <w:shd w:val="clear" w:color="auto" w:fill="auto"/>
            <w:vAlign w:val="center"/>
            <w:hideMark/>
          </w:tcPr>
          <w:p w14:paraId="072CAA97" w14:textId="77777777" w:rsidR="000A18D1" w:rsidRPr="001B015B" w:rsidRDefault="000A18D1" w:rsidP="00CA7F04">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31. prosinca 202</w:t>
            </w:r>
            <w:r>
              <w:rPr>
                <w:rFonts w:ascii="Arial" w:eastAsia="Calibri" w:hAnsi="Arial" w:cs="Arial"/>
                <w:b/>
                <w:bCs/>
                <w:color w:val="000000" w:themeColor="text1"/>
                <w:sz w:val="18"/>
                <w:szCs w:val="18"/>
              </w:rPr>
              <w:t>3</w:t>
            </w:r>
            <w:r w:rsidRPr="001B015B">
              <w:rPr>
                <w:rFonts w:ascii="Arial" w:eastAsia="Calibri" w:hAnsi="Arial" w:cs="Arial"/>
                <w:b/>
                <w:bCs/>
                <w:color w:val="000000" w:themeColor="text1"/>
                <w:sz w:val="18"/>
                <w:szCs w:val="18"/>
              </w:rPr>
              <w:t>.</w:t>
            </w:r>
          </w:p>
        </w:tc>
        <w:tc>
          <w:tcPr>
            <w:tcW w:w="1198" w:type="dxa"/>
            <w:tcBorders>
              <w:top w:val="nil"/>
              <w:left w:val="nil"/>
              <w:bottom w:val="nil"/>
              <w:right w:val="nil"/>
            </w:tcBorders>
            <w:shd w:val="clear" w:color="auto" w:fill="auto"/>
            <w:vAlign w:val="center"/>
            <w:hideMark/>
          </w:tcPr>
          <w:p w14:paraId="579919ED" w14:textId="77777777" w:rsidR="000A18D1" w:rsidRPr="001B015B" w:rsidRDefault="000A18D1"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1</w:t>
            </w:r>
          </w:p>
        </w:tc>
        <w:tc>
          <w:tcPr>
            <w:tcW w:w="1077" w:type="dxa"/>
            <w:tcBorders>
              <w:top w:val="nil"/>
              <w:left w:val="nil"/>
              <w:bottom w:val="nil"/>
              <w:right w:val="nil"/>
            </w:tcBorders>
            <w:shd w:val="clear" w:color="auto" w:fill="auto"/>
            <w:vAlign w:val="center"/>
            <w:hideMark/>
          </w:tcPr>
          <w:p w14:paraId="27848658" w14:textId="77777777" w:rsidR="000A18D1" w:rsidRPr="001B015B" w:rsidRDefault="000A18D1"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2</w:t>
            </w:r>
          </w:p>
        </w:tc>
        <w:tc>
          <w:tcPr>
            <w:tcW w:w="1077" w:type="dxa"/>
            <w:tcBorders>
              <w:top w:val="nil"/>
              <w:left w:val="nil"/>
              <w:bottom w:val="nil"/>
              <w:right w:val="nil"/>
            </w:tcBorders>
            <w:shd w:val="clear" w:color="auto" w:fill="auto"/>
            <w:vAlign w:val="center"/>
            <w:hideMark/>
          </w:tcPr>
          <w:p w14:paraId="2222B15E" w14:textId="77777777" w:rsidR="000A18D1" w:rsidRPr="001B015B" w:rsidRDefault="000A18D1"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3</w:t>
            </w:r>
          </w:p>
        </w:tc>
        <w:tc>
          <w:tcPr>
            <w:tcW w:w="996" w:type="dxa"/>
            <w:tcBorders>
              <w:top w:val="nil"/>
              <w:left w:val="nil"/>
              <w:bottom w:val="nil"/>
              <w:right w:val="nil"/>
            </w:tcBorders>
            <w:shd w:val="clear" w:color="auto" w:fill="auto"/>
            <w:vAlign w:val="center"/>
            <w:hideMark/>
          </w:tcPr>
          <w:p w14:paraId="27FB1CFF" w14:textId="77777777" w:rsidR="000A18D1" w:rsidRPr="001B015B" w:rsidRDefault="000A18D1"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POCI</w:t>
            </w:r>
          </w:p>
        </w:tc>
        <w:tc>
          <w:tcPr>
            <w:tcW w:w="1198" w:type="dxa"/>
            <w:tcBorders>
              <w:top w:val="nil"/>
              <w:left w:val="nil"/>
              <w:bottom w:val="nil"/>
              <w:right w:val="nil"/>
            </w:tcBorders>
            <w:shd w:val="clear" w:color="auto" w:fill="auto"/>
            <w:vAlign w:val="center"/>
            <w:hideMark/>
          </w:tcPr>
          <w:p w14:paraId="67941ECD" w14:textId="77777777" w:rsidR="000A18D1" w:rsidRPr="001B015B" w:rsidRDefault="000A18D1"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Ukupno</w:t>
            </w:r>
          </w:p>
        </w:tc>
      </w:tr>
      <w:tr w:rsidR="000A18D1" w:rsidRPr="001B015B" w14:paraId="42024536" w14:textId="77777777" w:rsidTr="00CA7F04">
        <w:trPr>
          <w:trHeight w:val="172"/>
        </w:trPr>
        <w:tc>
          <w:tcPr>
            <w:tcW w:w="3947" w:type="dxa"/>
            <w:tcBorders>
              <w:top w:val="nil"/>
              <w:left w:val="nil"/>
              <w:bottom w:val="nil"/>
              <w:right w:val="nil"/>
            </w:tcBorders>
            <w:shd w:val="clear" w:color="auto" w:fill="auto"/>
            <w:vAlign w:val="center"/>
            <w:hideMark/>
          </w:tcPr>
          <w:p w14:paraId="05F84DF7" w14:textId="77777777" w:rsidR="000A18D1" w:rsidRPr="001B015B" w:rsidRDefault="000A18D1" w:rsidP="00CA7F04">
            <w:pPr>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bottom"/>
            <w:hideMark/>
          </w:tcPr>
          <w:p w14:paraId="21D3A9B1" w14:textId="77777777" w:rsidR="000A18D1" w:rsidRPr="001B015B" w:rsidRDefault="000A18D1" w:rsidP="00CA7F04">
            <w:pPr>
              <w:jc w:val="right"/>
              <w:rPr>
                <w:rFonts w:ascii="Arial" w:eastAsia="Calibri" w:hAnsi="Arial" w:cs="Arial"/>
                <w:b/>
                <w:bCs/>
                <w:color w:val="000000" w:themeColor="text1"/>
                <w:sz w:val="18"/>
                <w:szCs w:val="18"/>
              </w:rPr>
            </w:pPr>
            <w:r w:rsidRPr="000E026D">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bottom"/>
            <w:hideMark/>
          </w:tcPr>
          <w:p w14:paraId="50219E2D" w14:textId="77777777" w:rsidR="000A18D1" w:rsidRPr="001B015B" w:rsidRDefault="000A18D1" w:rsidP="00CA7F04">
            <w:pPr>
              <w:jc w:val="right"/>
              <w:rPr>
                <w:rFonts w:ascii="Arial" w:eastAsia="Calibri" w:hAnsi="Arial" w:cs="Arial"/>
                <w:b/>
                <w:bCs/>
                <w:color w:val="000000" w:themeColor="text1"/>
                <w:sz w:val="18"/>
                <w:szCs w:val="18"/>
              </w:rPr>
            </w:pPr>
            <w:r w:rsidRPr="000E026D">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bottom"/>
            <w:hideMark/>
          </w:tcPr>
          <w:p w14:paraId="34BE0B00" w14:textId="77777777" w:rsidR="000A18D1" w:rsidRPr="001B015B" w:rsidRDefault="000A18D1" w:rsidP="00CA7F04">
            <w:pPr>
              <w:jc w:val="right"/>
              <w:rPr>
                <w:rFonts w:ascii="Arial" w:eastAsia="Calibri" w:hAnsi="Arial" w:cs="Arial"/>
                <w:b/>
                <w:bCs/>
                <w:color w:val="000000" w:themeColor="text1"/>
                <w:sz w:val="18"/>
                <w:szCs w:val="18"/>
              </w:rPr>
            </w:pPr>
            <w:r w:rsidRPr="000E026D">
              <w:rPr>
                <w:rFonts w:ascii="Arial" w:eastAsia="Calibri" w:hAnsi="Arial" w:cs="Arial"/>
                <w:b/>
                <w:bCs/>
                <w:color w:val="000000" w:themeColor="text1"/>
                <w:sz w:val="18"/>
                <w:szCs w:val="18"/>
              </w:rPr>
              <w:t>000 eura</w:t>
            </w:r>
          </w:p>
        </w:tc>
        <w:tc>
          <w:tcPr>
            <w:tcW w:w="996" w:type="dxa"/>
            <w:tcBorders>
              <w:top w:val="nil"/>
              <w:left w:val="nil"/>
              <w:bottom w:val="nil"/>
              <w:right w:val="nil"/>
            </w:tcBorders>
            <w:shd w:val="clear" w:color="auto" w:fill="auto"/>
            <w:vAlign w:val="bottom"/>
            <w:hideMark/>
          </w:tcPr>
          <w:p w14:paraId="79B8D2FE" w14:textId="77777777" w:rsidR="000A18D1" w:rsidRPr="001B015B" w:rsidRDefault="000A18D1" w:rsidP="00CA7F04">
            <w:pPr>
              <w:jc w:val="right"/>
              <w:rPr>
                <w:rFonts w:ascii="Arial" w:eastAsia="Calibri" w:hAnsi="Arial" w:cs="Arial"/>
                <w:b/>
                <w:bCs/>
                <w:color w:val="000000" w:themeColor="text1"/>
                <w:sz w:val="18"/>
                <w:szCs w:val="18"/>
              </w:rPr>
            </w:pPr>
            <w:r w:rsidRPr="000E026D">
              <w:rPr>
                <w:rFonts w:ascii="Arial" w:eastAsia="Calibri" w:hAnsi="Arial" w:cs="Arial"/>
                <w:b/>
                <w:bCs/>
                <w:color w:val="000000" w:themeColor="text1"/>
                <w:sz w:val="18"/>
                <w:szCs w:val="18"/>
              </w:rPr>
              <w:t>000 eura</w:t>
            </w:r>
          </w:p>
        </w:tc>
        <w:tc>
          <w:tcPr>
            <w:tcW w:w="1198" w:type="dxa"/>
            <w:tcBorders>
              <w:top w:val="nil"/>
              <w:left w:val="nil"/>
              <w:bottom w:val="nil"/>
              <w:right w:val="nil"/>
            </w:tcBorders>
            <w:shd w:val="clear" w:color="auto" w:fill="auto"/>
            <w:vAlign w:val="bottom"/>
            <w:hideMark/>
          </w:tcPr>
          <w:p w14:paraId="42834BDD" w14:textId="77777777" w:rsidR="000A18D1" w:rsidRPr="001B015B" w:rsidRDefault="000A18D1" w:rsidP="00CA7F04">
            <w:pPr>
              <w:jc w:val="right"/>
              <w:rPr>
                <w:rFonts w:ascii="Arial" w:eastAsia="Calibri" w:hAnsi="Arial" w:cs="Arial"/>
                <w:b/>
                <w:bCs/>
                <w:color w:val="000000" w:themeColor="text1"/>
                <w:sz w:val="18"/>
                <w:szCs w:val="18"/>
              </w:rPr>
            </w:pPr>
            <w:r w:rsidRPr="000E026D">
              <w:rPr>
                <w:rFonts w:ascii="Arial" w:eastAsia="Calibri" w:hAnsi="Arial" w:cs="Arial"/>
                <w:b/>
                <w:bCs/>
                <w:color w:val="000000" w:themeColor="text1"/>
                <w:sz w:val="18"/>
                <w:szCs w:val="18"/>
              </w:rPr>
              <w:t>000 eura</w:t>
            </w:r>
          </w:p>
        </w:tc>
      </w:tr>
      <w:tr w:rsidR="000A18D1" w:rsidRPr="001B015B" w14:paraId="494567F1" w14:textId="77777777" w:rsidTr="00CA7F04">
        <w:trPr>
          <w:trHeight w:val="172"/>
        </w:trPr>
        <w:tc>
          <w:tcPr>
            <w:tcW w:w="3947" w:type="dxa"/>
            <w:tcBorders>
              <w:top w:val="nil"/>
              <w:left w:val="nil"/>
              <w:bottom w:val="nil"/>
              <w:right w:val="nil"/>
            </w:tcBorders>
            <w:shd w:val="clear" w:color="auto" w:fill="auto"/>
            <w:vAlign w:val="center"/>
          </w:tcPr>
          <w:p w14:paraId="6C25FFFB" w14:textId="77777777" w:rsidR="000A18D1" w:rsidRPr="001B015B" w:rsidRDefault="000A18D1" w:rsidP="00CA7F04">
            <w:pPr>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center"/>
          </w:tcPr>
          <w:p w14:paraId="08DA3872" w14:textId="77777777" w:rsidR="000A18D1" w:rsidRPr="001B015B" w:rsidRDefault="000A18D1" w:rsidP="00CA7F04">
            <w:pPr>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center"/>
          </w:tcPr>
          <w:p w14:paraId="36B4356C" w14:textId="77777777" w:rsidR="000A18D1" w:rsidRPr="001B015B" w:rsidRDefault="000A18D1" w:rsidP="00CA7F04">
            <w:pPr>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center"/>
          </w:tcPr>
          <w:p w14:paraId="3A723911" w14:textId="77777777" w:rsidR="000A18D1" w:rsidRPr="001B015B" w:rsidRDefault="000A18D1" w:rsidP="00CA7F04">
            <w:pPr>
              <w:jc w:val="right"/>
              <w:rPr>
                <w:rFonts w:ascii="Arial" w:eastAsia="Calibri" w:hAnsi="Arial" w:cs="Arial"/>
                <w:b/>
                <w:bCs/>
                <w:color w:val="000000" w:themeColor="text1"/>
                <w:sz w:val="18"/>
                <w:szCs w:val="18"/>
              </w:rPr>
            </w:pPr>
          </w:p>
        </w:tc>
        <w:tc>
          <w:tcPr>
            <w:tcW w:w="996" w:type="dxa"/>
            <w:tcBorders>
              <w:top w:val="nil"/>
              <w:left w:val="nil"/>
              <w:bottom w:val="nil"/>
              <w:right w:val="nil"/>
            </w:tcBorders>
            <w:shd w:val="clear" w:color="auto" w:fill="auto"/>
            <w:vAlign w:val="center"/>
          </w:tcPr>
          <w:p w14:paraId="4B0409EE" w14:textId="77777777" w:rsidR="000A18D1" w:rsidRPr="001B015B" w:rsidRDefault="000A18D1" w:rsidP="00CA7F04">
            <w:pPr>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center"/>
          </w:tcPr>
          <w:p w14:paraId="74FDD79C" w14:textId="77777777" w:rsidR="000A18D1" w:rsidRPr="001B015B" w:rsidRDefault="000A18D1" w:rsidP="00CA7F04">
            <w:pPr>
              <w:jc w:val="right"/>
              <w:rPr>
                <w:rFonts w:ascii="Arial" w:eastAsia="Calibri" w:hAnsi="Arial" w:cs="Arial"/>
                <w:b/>
                <w:bCs/>
                <w:color w:val="000000" w:themeColor="text1"/>
                <w:sz w:val="18"/>
                <w:szCs w:val="18"/>
              </w:rPr>
            </w:pPr>
          </w:p>
        </w:tc>
      </w:tr>
      <w:tr w:rsidR="000A18D1" w:rsidRPr="001B015B" w14:paraId="1AAB6943" w14:textId="77777777" w:rsidTr="00CA7F04">
        <w:trPr>
          <w:trHeight w:val="172"/>
        </w:trPr>
        <w:tc>
          <w:tcPr>
            <w:tcW w:w="3947" w:type="dxa"/>
            <w:tcBorders>
              <w:top w:val="nil"/>
              <w:left w:val="nil"/>
              <w:bottom w:val="nil"/>
              <w:right w:val="nil"/>
            </w:tcBorders>
            <w:shd w:val="clear" w:color="auto" w:fill="auto"/>
            <w:vAlign w:val="center"/>
            <w:hideMark/>
          </w:tcPr>
          <w:p w14:paraId="06B17487" w14:textId="77777777" w:rsidR="000A18D1" w:rsidRPr="001B015B" w:rsidRDefault="000A18D1"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3</w:t>
            </w:r>
            <w:r w:rsidRPr="001B015B">
              <w:rPr>
                <w:rFonts w:ascii="Arial" w:eastAsia="Calibri" w:hAnsi="Arial" w:cs="Arial"/>
                <w:color w:val="000000" w:themeColor="text1"/>
                <w:sz w:val="18"/>
                <w:szCs w:val="18"/>
              </w:rPr>
              <w:t xml:space="preserve">. </w:t>
            </w:r>
          </w:p>
        </w:tc>
        <w:tc>
          <w:tcPr>
            <w:tcW w:w="1198" w:type="dxa"/>
            <w:shd w:val="clear" w:color="auto" w:fill="auto"/>
            <w:vAlign w:val="bottom"/>
          </w:tcPr>
          <w:p w14:paraId="60D008B4" w14:textId="77777777" w:rsidR="000A18D1" w:rsidRPr="00F959D0" w:rsidRDefault="000A18D1" w:rsidP="00CA7F04">
            <w:pPr>
              <w:jc w:val="right"/>
              <w:rPr>
                <w:rFonts w:ascii="Arial" w:hAnsi="Arial" w:cs="Arial"/>
                <w:sz w:val="18"/>
                <w:szCs w:val="18"/>
              </w:rPr>
            </w:pPr>
            <w:r w:rsidRPr="00F959D0">
              <w:rPr>
                <w:rFonts w:ascii="Arial" w:hAnsi="Arial" w:cs="Arial"/>
                <w:sz w:val="18"/>
                <w:szCs w:val="18"/>
              </w:rPr>
              <w:t xml:space="preserve"> 339 </w:t>
            </w:r>
          </w:p>
        </w:tc>
        <w:tc>
          <w:tcPr>
            <w:tcW w:w="1077" w:type="dxa"/>
            <w:shd w:val="clear" w:color="auto" w:fill="auto"/>
            <w:vAlign w:val="bottom"/>
          </w:tcPr>
          <w:p w14:paraId="27EABAEF" w14:textId="77777777" w:rsidR="000A18D1" w:rsidRPr="00F959D0" w:rsidRDefault="000A18D1" w:rsidP="00CA7F04">
            <w:pPr>
              <w:jc w:val="right"/>
              <w:rPr>
                <w:rFonts w:ascii="Arial" w:hAnsi="Arial" w:cs="Arial"/>
                <w:sz w:val="18"/>
                <w:szCs w:val="18"/>
              </w:rPr>
            </w:pPr>
            <w:r w:rsidRPr="00F959D0">
              <w:rPr>
                <w:rFonts w:ascii="Arial" w:hAnsi="Arial" w:cs="Arial"/>
                <w:sz w:val="18"/>
                <w:szCs w:val="18"/>
              </w:rPr>
              <w:t xml:space="preserve"> 48 </w:t>
            </w:r>
          </w:p>
        </w:tc>
        <w:tc>
          <w:tcPr>
            <w:tcW w:w="1077" w:type="dxa"/>
            <w:shd w:val="clear" w:color="auto" w:fill="auto"/>
            <w:vAlign w:val="bottom"/>
          </w:tcPr>
          <w:p w14:paraId="7312189F" w14:textId="77777777" w:rsidR="000A18D1" w:rsidRPr="00F959D0" w:rsidRDefault="000A18D1" w:rsidP="00CA7F04">
            <w:pPr>
              <w:jc w:val="right"/>
              <w:rPr>
                <w:rFonts w:ascii="Arial" w:hAnsi="Arial" w:cs="Arial"/>
                <w:sz w:val="18"/>
                <w:szCs w:val="18"/>
              </w:rPr>
            </w:pPr>
            <w:r w:rsidRPr="00F959D0">
              <w:rPr>
                <w:rFonts w:ascii="Arial" w:hAnsi="Arial" w:cs="Arial"/>
                <w:sz w:val="18"/>
                <w:szCs w:val="18"/>
              </w:rPr>
              <w:t xml:space="preserve"> 231 </w:t>
            </w:r>
          </w:p>
        </w:tc>
        <w:tc>
          <w:tcPr>
            <w:tcW w:w="996" w:type="dxa"/>
            <w:shd w:val="clear" w:color="auto" w:fill="auto"/>
            <w:vAlign w:val="bottom"/>
          </w:tcPr>
          <w:p w14:paraId="184775A3" w14:textId="77777777" w:rsidR="000A18D1" w:rsidRPr="00F959D0" w:rsidRDefault="000A18D1" w:rsidP="00CA7F04">
            <w:pPr>
              <w:jc w:val="right"/>
              <w:rPr>
                <w:rFonts w:ascii="Arial" w:hAnsi="Arial" w:cs="Arial"/>
                <w:sz w:val="18"/>
                <w:szCs w:val="18"/>
              </w:rPr>
            </w:pPr>
            <w:r w:rsidRPr="00F959D0">
              <w:rPr>
                <w:rFonts w:ascii="Arial" w:hAnsi="Arial" w:cs="Arial"/>
                <w:sz w:val="18"/>
                <w:szCs w:val="18"/>
              </w:rPr>
              <w:t xml:space="preserve">  -     </w:t>
            </w:r>
          </w:p>
        </w:tc>
        <w:tc>
          <w:tcPr>
            <w:tcW w:w="1198" w:type="dxa"/>
            <w:shd w:val="clear" w:color="auto" w:fill="auto"/>
            <w:vAlign w:val="bottom"/>
          </w:tcPr>
          <w:p w14:paraId="0878BB05" w14:textId="77777777" w:rsidR="000A18D1" w:rsidRPr="005D1219" w:rsidRDefault="000A18D1" w:rsidP="00CA7F04">
            <w:pPr>
              <w:jc w:val="right"/>
              <w:rPr>
                <w:rFonts w:ascii="Arial" w:hAnsi="Arial" w:cs="Arial"/>
                <w:b/>
                <w:bCs/>
                <w:sz w:val="18"/>
                <w:szCs w:val="18"/>
              </w:rPr>
            </w:pPr>
            <w:r w:rsidRPr="005D1219">
              <w:rPr>
                <w:rFonts w:ascii="Arial" w:hAnsi="Arial" w:cs="Arial"/>
                <w:b/>
                <w:bCs/>
                <w:sz w:val="18"/>
                <w:szCs w:val="18"/>
              </w:rPr>
              <w:t xml:space="preserve"> 618 </w:t>
            </w:r>
          </w:p>
        </w:tc>
      </w:tr>
      <w:tr w:rsidR="000A18D1" w:rsidRPr="001B015B" w14:paraId="5A863468" w14:textId="77777777" w:rsidTr="00CA7F04">
        <w:trPr>
          <w:trHeight w:val="172"/>
        </w:trPr>
        <w:tc>
          <w:tcPr>
            <w:tcW w:w="3947" w:type="dxa"/>
            <w:shd w:val="clear" w:color="auto" w:fill="auto"/>
          </w:tcPr>
          <w:p w14:paraId="3CF1FCE4" w14:textId="77777777" w:rsidR="000A18D1" w:rsidRPr="001B015B" w:rsidRDefault="000A18D1"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1</w:t>
            </w:r>
          </w:p>
        </w:tc>
        <w:tc>
          <w:tcPr>
            <w:tcW w:w="1198" w:type="dxa"/>
            <w:shd w:val="clear" w:color="auto" w:fill="auto"/>
            <w:vAlign w:val="bottom"/>
          </w:tcPr>
          <w:p w14:paraId="2A7F9098" w14:textId="77777777" w:rsidR="000A18D1" w:rsidRPr="00F959D0" w:rsidRDefault="000A18D1" w:rsidP="00CA7F04">
            <w:pPr>
              <w:jc w:val="right"/>
              <w:rPr>
                <w:rFonts w:ascii="Arial" w:hAnsi="Arial" w:cs="Arial"/>
                <w:sz w:val="18"/>
                <w:szCs w:val="18"/>
              </w:rPr>
            </w:pPr>
            <w:r w:rsidRPr="00F959D0">
              <w:rPr>
                <w:rFonts w:ascii="Arial" w:hAnsi="Arial" w:cs="Arial"/>
                <w:sz w:val="18"/>
                <w:szCs w:val="18"/>
              </w:rPr>
              <w:t xml:space="preserve"> 44 </w:t>
            </w:r>
          </w:p>
        </w:tc>
        <w:tc>
          <w:tcPr>
            <w:tcW w:w="1077" w:type="dxa"/>
            <w:shd w:val="clear" w:color="auto" w:fill="auto"/>
            <w:vAlign w:val="bottom"/>
          </w:tcPr>
          <w:p w14:paraId="7ADAE1EB" w14:textId="77777777" w:rsidR="000A18D1" w:rsidRPr="00F959D0" w:rsidRDefault="000A18D1" w:rsidP="00CA7F04">
            <w:pPr>
              <w:jc w:val="right"/>
              <w:rPr>
                <w:rFonts w:ascii="Arial" w:hAnsi="Arial" w:cs="Arial"/>
                <w:sz w:val="18"/>
                <w:szCs w:val="18"/>
              </w:rPr>
            </w:pPr>
            <w:r w:rsidRPr="00F959D0">
              <w:rPr>
                <w:rFonts w:ascii="Arial" w:hAnsi="Arial" w:cs="Arial"/>
                <w:sz w:val="18"/>
                <w:szCs w:val="18"/>
              </w:rPr>
              <w:t xml:space="preserve"> (44)</w:t>
            </w:r>
          </w:p>
        </w:tc>
        <w:tc>
          <w:tcPr>
            <w:tcW w:w="1077" w:type="dxa"/>
            <w:shd w:val="clear" w:color="auto" w:fill="auto"/>
            <w:vAlign w:val="bottom"/>
          </w:tcPr>
          <w:p w14:paraId="3A19F83F" w14:textId="77777777" w:rsidR="000A18D1" w:rsidRPr="00F959D0" w:rsidRDefault="000A18D1" w:rsidP="00CA7F04">
            <w:pPr>
              <w:jc w:val="right"/>
              <w:rPr>
                <w:rFonts w:ascii="Arial" w:hAnsi="Arial" w:cs="Arial"/>
                <w:sz w:val="18"/>
                <w:szCs w:val="18"/>
              </w:rPr>
            </w:pPr>
            <w:r w:rsidRPr="00F959D0">
              <w:rPr>
                <w:rFonts w:ascii="Arial" w:hAnsi="Arial" w:cs="Arial"/>
                <w:sz w:val="18"/>
                <w:szCs w:val="18"/>
              </w:rPr>
              <w:t xml:space="preserve"> - </w:t>
            </w:r>
          </w:p>
        </w:tc>
        <w:tc>
          <w:tcPr>
            <w:tcW w:w="996" w:type="dxa"/>
            <w:shd w:val="clear" w:color="auto" w:fill="auto"/>
            <w:vAlign w:val="bottom"/>
          </w:tcPr>
          <w:p w14:paraId="115556BE" w14:textId="77777777" w:rsidR="000A18D1" w:rsidRPr="00F959D0" w:rsidRDefault="000A18D1" w:rsidP="00CA7F04">
            <w:pPr>
              <w:jc w:val="right"/>
              <w:rPr>
                <w:rFonts w:ascii="Arial" w:hAnsi="Arial" w:cs="Arial"/>
                <w:sz w:val="18"/>
                <w:szCs w:val="18"/>
              </w:rPr>
            </w:pPr>
            <w:r w:rsidRPr="00F959D0">
              <w:rPr>
                <w:rFonts w:ascii="Arial" w:hAnsi="Arial" w:cs="Arial"/>
                <w:sz w:val="18"/>
                <w:szCs w:val="18"/>
              </w:rPr>
              <w:t xml:space="preserve"> - </w:t>
            </w:r>
          </w:p>
        </w:tc>
        <w:tc>
          <w:tcPr>
            <w:tcW w:w="1198" w:type="dxa"/>
            <w:shd w:val="clear" w:color="auto" w:fill="auto"/>
            <w:vAlign w:val="bottom"/>
          </w:tcPr>
          <w:p w14:paraId="11ED5FF0" w14:textId="77777777" w:rsidR="000A18D1" w:rsidRPr="005D1219" w:rsidRDefault="000A18D1" w:rsidP="00CA7F04">
            <w:pPr>
              <w:jc w:val="right"/>
              <w:rPr>
                <w:rFonts w:ascii="Arial" w:hAnsi="Arial" w:cs="Arial"/>
                <w:b/>
                <w:bCs/>
                <w:sz w:val="18"/>
                <w:szCs w:val="18"/>
              </w:rPr>
            </w:pPr>
            <w:r w:rsidRPr="005D1219">
              <w:rPr>
                <w:rFonts w:ascii="Arial" w:hAnsi="Arial" w:cs="Arial"/>
                <w:b/>
                <w:bCs/>
                <w:sz w:val="18"/>
                <w:szCs w:val="18"/>
              </w:rPr>
              <w:t xml:space="preserve"> - </w:t>
            </w:r>
          </w:p>
        </w:tc>
      </w:tr>
      <w:tr w:rsidR="000A18D1" w:rsidRPr="001B015B" w14:paraId="218C2D6F" w14:textId="77777777" w:rsidTr="00CA7F04">
        <w:trPr>
          <w:trHeight w:val="172"/>
        </w:trPr>
        <w:tc>
          <w:tcPr>
            <w:tcW w:w="3947" w:type="dxa"/>
            <w:shd w:val="clear" w:color="auto" w:fill="auto"/>
          </w:tcPr>
          <w:p w14:paraId="699558CA" w14:textId="77777777" w:rsidR="000A18D1" w:rsidRPr="001B015B" w:rsidRDefault="000A18D1"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2</w:t>
            </w:r>
          </w:p>
        </w:tc>
        <w:tc>
          <w:tcPr>
            <w:tcW w:w="1198" w:type="dxa"/>
            <w:shd w:val="clear" w:color="auto" w:fill="auto"/>
            <w:vAlign w:val="bottom"/>
          </w:tcPr>
          <w:p w14:paraId="217C2383" w14:textId="77777777" w:rsidR="000A18D1" w:rsidRPr="00F959D0" w:rsidRDefault="000A18D1" w:rsidP="00CA7F04">
            <w:pPr>
              <w:jc w:val="right"/>
              <w:rPr>
                <w:rFonts w:ascii="Arial" w:hAnsi="Arial" w:cs="Arial"/>
                <w:sz w:val="18"/>
                <w:szCs w:val="18"/>
              </w:rPr>
            </w:pPr>
            <w:r w:rsidRPr="00F959D0">
              <w:rPr>
                <w:rFonts w:ascii="Arial" w:hAnsi="Arial" w:cs="Arial"/>
                <w:sz w:val="18"/>
                <w:szCs w:val="18"/>
              </w:rPr>
              <w:t xml:space="preserve"> - </w:t>
            </w:r>
          </w:p>
        </w:tc>
        <w:tc>
          <w:tcPr>
            <w:tcW w:w="1077" w:type="dxa"/>
            <w:shd w:val="clear" w:color="auto" w:fill="auto"/>
            <w:vAlign w:val="bottom"/>
          </w:tcPr>
          <w:p w14:paraId="326B222C" w14:textId="77777777" w:rsidR="000A18D1" w:rsidRPr="00F959D0" w:rsidRDefault="000A18D1" w:rsidP="00CA7F04">
            <w:pPr>
              <w:jc w:val="right"/>
              <w:rPr>
                <w:rFonts w:ascii="Arial" w:hAnsi="Arial" w:cs="Arial"/>
                <w:sz w:val="18"/>
                <w:szCs w:val="18"/>
              </w:rPr>
            </w:pPr>
            <w:r w:rsidRPr="00F959D0">
              <w:rPr>
                <w:rFonts w:ascii="Arial" w:hAnsi="Arial" w:cs="Arial"/>
                <w:sz w:val="18"/>
                <w:szCs w:val="18"/>
              </w:rPr>
              <w:t xml:space="preserve"> - </w:t>
            </w:r>
          </w:p>
        </w:tc>
        <w:tc>
          <w:tcPr>
            <w:tcW w:w="1077" w:type="dxa"/>
            <w:shd w:val="clear" w:color="auto" w:fill="auto"/>
            <w:vAlign w:val="bottom"/>
          </w:tcPr>
          <w:p w14:paraId="530AB3B2" w14:textId="77777777" w:rsidR="000A18D1" w:rsidRPr="00F959D0" w:rsidRDefault="000A18D1" w:rsidP="00CA7F04">
            <w:pPr>
              <w:jc w:val="right"/>
              <w:rPr>
                <w:rFonts w:ascii="Arial" w:hAnsi="Arial" w:cs="Arial"/>
                <w:sz w:val="18"/>
                <w:szCs w:val="18"/>
              </w:rPr>
            </w:pPr>
            <w:r w:rsidRPr="00F959D0">
              <w:rPr>
                <w:rFonts w:ascii="Arial" w:hAnsi="Arial" w:cs="Arial"/>
                <w:sz w:val="18"/>
                <w:szCs w:val="18"/>
              </w:rPr>
              <w:t xml:space="preserve"> - </w:t>
            </w:r>
          </w:p>
        </w:tc>
        <w:tc>
          <w:tcPr>
            <w:tcW w:w="996" w:type="dxa"/>
            <w:shd w:val="clear" w:color="auto" w:fill="auto"/>
            <w:vAlign w:val="bottom"/>
          </w:tcPr>
          <w:p w14:paraId="5C9C98F7" w14:textId="77777777" w:rsidR="000A18D1" w:rsidRPr="00F959D0" w:rsidRDefault="000A18D1" w:rsidP="00CA7F04">
            <w:pPr>
              <w:jc w:val="right"/>
              <w:rPr>
                <w:rFonts w:ascii="Arial" w:hAnsi="Arial" w:cs="Arial"/>
                <w:sz w:val="18"/>
                <w:szCs w:val="18"/>
              </w:rPr>
            </w:pPr>
            <w:r w:rsidRPr="00F959D0">
              <w:rPr>
                <w:rFonts w:ascii="Arial" w:hAnsi="Arial" w:cs="Arial"/>
                <w:sz w:val="18"/>
                <w:szCs w:val="18"/>
              </w:rPr>
              <w:t xml:space="preserve"> - </w:t>
            </w:r>
          </w:p>
        </w:tc>
        <w:tc>
          <w:tcPr>
            <w:tcW w:w="1198" w:type="dxa"/>
            <w:shd w:val="clear" w:color="auto" w:fill="auto"/>
            <w:vAlign w:val="bottom"/>
          </w:tcPr>
          <w:p w14:paraId="7EA52BBF" w14:textId="77777777" w:rsidR="000A18D1" w:rsidRPr="005D1219" w:rsidRDefault="000A18D1" w:rsidP="00CA7F04">
            <w:pPr>
              <w:jc w:val="right"/>
              <w:rPr>
                <w:rFonts w:ascii="Arial" w:hAnsi="Arial" w:cs="Arial"/>
                <w:b/>
                <w:bCs/>
                <w:sz w:val="18"/>
                <w:szCs w:val="18"/>
              </w:rPr>
            </w:pPr>
            <w:r w:rsidRPr="005D1219">
              <w:rPr>
                <w:rFonts w:ascii="Arial" w:hAnsi="Arial" w:cs="Arial"/>
                <w:b/>
                <w:bCs/>
                <w:sz w:val="18"/>
                <w:szCs w:val="18"/>
              </w:rPr>
              <w:t xml:space="preserve"> - </w:t>
            </w:r>
          </w:p>
        </w:tc>
      </w:tr>
      <w:tr w:rsidR="000A18D1" w:rsidRPr="001B015B" w14:paraId="2D65B9B6" w14:textId="77777777" w:rsidTr="00CA7F04">
        <w:trPr>
          <w:trHeight w:val="172"/>
        </w:trPr>
        <w:tc>
          <w:tcPr>
            <w:tcW w:w="3947" w:type="dxa"/>
            <w:shd w:val="clear" w:color="auto" w:fill="auto"/>
            <w:hideMark/>
          </w:tcPr>
          <w:p w14:paraId="19B7B64C" w14:textId="77777777" w:rsidR="000A18D1" w:rsidRPr="001B015B" w:rsidRDefault="000A18D1"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3</w:t>
            </w:r>
          </w:p>
        </w:tc>
        <w:tc>
          <w:tcPr>
            <w:tcW w:w="1198" w:type="dxa"/>
            <w:shd w:val="clear" w:color="auto" w:fill="auto"/>
            <w:vAlign w:val="bottom"/>
          </w:tcPr>
          <w:p w14:paraId="37D93336" w14:textId="77777777" w:rsidR="000A18D1" w:rsidRPr="00F959D0" w:rsidRDefault="000A18D1" w:rsidP="00CA7F04">
            <w:pPr>
              <w:jc w:val="right"/>
              <w:rPr>
                <w:rFonts w:ascii="Arial" w:hAnsi="Arial" w:cs="Arial"/>
                <w:sz w:val="18"/>
                <w:szCs w:val="18"/>
              </w:rPr>
            </w:pPr>
            <w:r w:rsidRPr="00F959D0">
              <w:rPr>
                <w:rFonts w:ascii="Arial" w:hAnsi="Arial" w:cs="Arial"/>
                <w:sz w:val="18"/>
                <w:szCs w:val="18"/>
              </w:rPr>
              <w:t xml:space="preserve"> - </w:t>
            </w:r>
          </w:p>
        </w:tc>
        <w:tc>
          <w:tcPr>
            <w:tcW w:w="1077" w:type="dxa"/>
            <w:shd w:val="clear" w:color="auto" w:fill="auto"/>
            <w:vAlign w:val="bottom"/>
          </w:tcPr>
          <w:p w14:paraId="228E81E6" w14:textId="77777777" w:rsidR="000A18D1" w:rsidRPr="00F959D0" w:rsidRDefault="000A18D1" w:rsidP="00CA7F04">
            <w:pPr>
              <w:jc w:val="right"/>
              <w:rPr>
                <w:rFonts w:ascii="Arial" w:hAnsi="Arial" w:cs="Arial"/>
                <w:sz w:val="18"/>
                <w:szCs w:val="18"/>
              </w:rPr>
            </w:pPr>
            <w:r w:rsidRPr="00F959D0">
              <w:rPr>
                <w:rFonts w:ascii="Arial" w:hAnsi="Arial" w:cs="Arial"/>
                <w:sz w:val="18"/>
                <w:szCs w:val="18"/>
              </w:rPr>
              <w:t xml:space="preserve"> - </w:t>
            </w:r>
          </w:p>
        </w:tc>
        <w:tc>
          <w:tcPr>
            <w:tcW w:w="1077" w:type="dxa"/>
            <w:shd w:val="clear" w:color="auto" w:fill="auto"/>
            <w:vAlign w:val="bottom"/>
          </w:tcPr>
          <w:p w14:paraId="501A21E1" w14:textId="77777777" w:rsidR="000A18D1" w:rsidRPr="00F959D0" w:rsidRDefault="000A18D1" w:rsidP="00CA7F04">
            <w:pPr>
              <w:jc w:val="right"/>
              <w:rPr>
                <w:rFonts w:ascii="Arial" w:hAnsi="Arial" w:cs="Arial"/>
                <w:sz w:val="18"/>
                <w:szCs w:val="18"/>
              </w:rPr>
            </w:pPr>
            <w:r w:rsidRPr="00F959D0">
              <w:rPr>
                <w:rFonts w:ascii="Arial" w:hAnsi="Arial" w:cs="Arial"/>
                <w:sz w:val="18"/>
                <w:szCs w:val="18"/>
              </w:rPr>
              <w:t xml:space="preserve"> - </w:t>
            </w:r>
          </w:p>
        </w:tc>
        <w:tc>
          <w:tcPr>
            <w:tcW w:w="996" w:type="dxa"/>
            <w:shd w:val="clear" w:color="auto" w:fill="auto"/>
            <w:vAlign w:val="bottom"/>
          </w:tcPr>
          <w:p w14:paraId="15929FF7" w14:textId="77777777" w:rsidR="000A18D1" w:rsidRPr="00F959D0" w:rsidRDefault="000A18D1" w:rsidP="00CA7F04">
            <w:pPr>
              <w:jc w:val="right"/>
              <w:rPr>
                <w:rFonts w:ascii="Arial" w:hAnsi="Arial" w:cs="Arial"/>
                <w:sz w:val="18"/>
                <w:szCs w:val="18"/>
              </w:rPr>
            </w:pPr>
            <w:r w:rsidRPr="00F959D0">
              <w:rPr>
                <w:rFonts w:ascii="Arial" w:hAnsi="Arial" w:cs="Arial"/>
                <w:sz w:val="18"/>
                <w:szCs w:val="18"/>
              </w:rPr>
              <w:t xml:space="preserve"> - </w:t>
            </w:r>
          </w:p>
        </w:tc>
        <w:tc>
          <w:tcPr>
            <w:tcW w:w="1198" w:type="dxa"/>
            <w:shd w:val="clear" w:color="auto" w:fill="auto"/>
            <w:vAlign w:val="bottom"/>
          </w:tcPr>
          <w:p w14:paraId="350F776F" w14:textId="77777777" w:rsidR="000A18D1" w:rsidRPr="005D1219" w:rsidRDefault="000A18D1" w:rsidP="00CA7F04">
            <w:pPr>
              <w:jc w:val="right"/>
              <w:rPr>
                <w:rFonts w:ascii="Arial" w:hAnsi="Arial" w:cs="Arial"/>
                <w:b/>
                <w:bCs/>
                <w:sz w:val="18"/>
                <w:szCs w:val="18"/>
              </w:rPr>
            </w:pPr>
            <w:r w:rsidRPr="005D1219">
              <w:rPr>
                <w:rFonts w:ascii="Arial" w:hAnsi="Arial" w:cs="Arial"/>
                <w:b/>
                <w:bCs/>
                <w:sz w:val="18"/>
                <w:szCs w:val="18"/>
              </w:rPr>
              <w:t xml:space="preserve"> - </w:t>
            </w:r>
          </w:p>
        </w:tc>
      </w:tr>
      <w:tr w:rsidR="000A18D1" w:rsidRPr="001B015B" w14:paraId="3DE3213D" w14:textId="77777777" w:rsidTr="00CA7F04">
        <w:trPr>
          <w:trHeight w:val="214"/>
        </w:trPr>
        <w:tc>
          <w:tcPr>
            <w:tcW w:w="3947" w:type="dxa"/>
            <w:tcBorders>
              <w:top w:val="nil"/>
              <w:left w:val="nil"/>
              <w:bottom w:val="nil"/>
              <w:right w:val="nil"/>
            </w:tcBorders>
            <w:shd w:val="clear" w:color="auto" w:fill="auto"/>
            <w:vAlign w:val="center"/>
            <w:hideMark/>
          </w:tcPr>
          <w:p w14:paraId="32925389" w14:textId="77777777" w:rsidR="000A18D1" w:rsidRPr="001B015B" w:rsidRDefault="000A18D1"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 xml:space="preserve">Neto </w:t>
            </w:r>
            <w:r w:rsidRPr="004E2136">
              <w:rPr>
                <w:rFonts w:ascii="Arial" w:eastAsia="Calibri" w:hAnsi="Arial" w:cs="Arial"/>
                <w:color w:val="000000" w:themeColor="text1"/>
                <w:sz w:val="18"/>
                <w:szCs w:val="18"/>
              </w:rPr>
              <w:t xml:space="preserve">(smanjenje) </w:t>
            </w:r>
            <w:r>
              <w:rPr>
                <w:rFonts w:ascii="Arial" w:eastAsia="Calibri" w:hAnsi="Arial" w:cs="Arial"/>
                <w:color w:val="000000" w:themeColor="text1"/>
                <w:sz w:val="18"/>
                <w:szCs w:val="18"/>
              </w:rPr>
              <w:t>r</w:t>
            </w:r>
            <w:r w:rsidRPr="004E2136">
              <w:rPr>
                <w:rFonts w:ascii="Arial" w:eastAsia="Calibri" w:hAnsi="Arial" w:cs="Arial"/>
                <w:color w:val="000000" w:themeColor="text1"/>
                <w:sz w:val="18"/>
                <w:szCs w:val="18"/>
              </w:rPr>
              <w:t>ezerviranja</w:t>
            </w:r>
            <w:r w:rsidRPr="001B015B">
              <w:rPr>
                <w:rFonts w:ascii="Arial" w:eastAsia="Calibri" w:hAnsi="Arial" w:cs="Arial"/>
                <w:color w:val="000000" w:themeColor="text1"/>
                <w:sz w:val="18"/>
                <w:szCs w:val="18"/>
              </w:rPr>
              <w:t xml:space="preserve"> za očekivane gubitke </w:t>
            </w:r>
          </w:p>
        </w:tc>
        <w:tc>
          <w:tcPr>
            <w:tcW w:w="1198" w:type="dxa"/>
            <w:tcBorders>
              <w:top w:val="nil"/>
              <w:left w:val="nil"/>
              <w:bottom w:val="nil"/>
              <w:right w:val="nil"/>
            </w:tcBorders>
            <w:shd w:val="clear" w:color="auto" w:fill="auto"/>
            <w:vAlign w:val="bottom"/>
          </w:tcPr>
          <w:p w14:paraId="329B6F22" w14:textId="77777777" w:rsidR="000A18D1" w:rsidRPr="00F959D0" w:rsidRDefault="000A18D1" w:rsidP="00CA7F04">
            <w:pPr>
              <w:jc w:val="right"/>
              <w:rPr>
                <w:rFonts w:ascii="Arial" w:hAnsi="Arial" w:cs="Arial"/>
                <w:sz w:val="18"/>
                <w:szCs w:val="18"/>
              </w:rPr>
            </w:pPr>
            <w:r w:rsidRPr="00F959D0">
              <w:rPr>
                <w:rFonts w:ascii="Arial" w:hAnsi="Arial" w:cs="Arial"/>
                <w:sz w:val="18"/>
                <w:szCs w:val="18"/>
              </w:rPr>
              <w:t xml:space="preserve"> (160)</w:t>
            </w:r>
          </w:p>
        </w:tc>
        <w:tc>
          <w:tcPr>
            <w:tcW w:w="1077" w:type="dxa"/>
            <w:tcBorders>
              <w:top w:val="nil"/>
              <w:left w:val="nil"/>
              <w:bottom w:val="nil"/>
              <w:right w:val="nil"/>
            </w:tcBorders>
            <w:shd w:val="clear" w:color="auto" w:fill="auto"/>
            <w:vAlign w:val="bottom"/>
          </w:tcPr>
          <w:p w14:paraId="10034651" w14:textId="77777777" w:rsidR="000A18D1" w:rsidRPr="00F959D0" w:rsidRDefault="000A18D1" w:rsidP="00CA7F04">
            <w:pPr>
              <w:jc w:val="right"/>
              <w:rPr>
                <w:rFonts w:ascii="Arial" w:hAnsi="Arial" w:cs="Arial"/>
                <w:sz w:val="18"/>
                <w:szCs w:val="18"/>
              </w:rPr>
            </w:pPr>
            <w:r w:rsidRPr="00F959D0">
              <w:rPr>
                <w:rFonts w:ascii="Arial" w:hAnsi="Arial" w:cs="Arial"/>
                <w:sz w:val="18"/>
                <w:szCs w:val="18"/>
              </w:rPr>
              <w:t xml:space="preserve"> (4)</w:t>
            </w:r>
          </w:p>
        </w:tc>
        <w:tc>
          <w:tcPr>
            <w:tcW w:w="1077" w:type="dxa"/>
            <w:tcBorders>
              <w:top w:val="nil"/>
              <w:left w:val="nil"/>
              <w:bottom w:val="nil"/>
              <w:right w:val="nil"/>
            </w:tcBorders>
            <w:shd w:val="clear" w:color="auto" w:fill="auto"/>
            <w:vAlign w:val="bottom"/>
          </w:tcPr>
          <w:p w14:paraId="68AD5888" w14:textId="77777777" w:rsidR="000A18D1" w:rsidRPr="00F959D0" w:rsidRDefault="000A18D1" w:rsidP="00CA7F04">
            <w:pPr>
              <w:jc w:val="right"/>
              <w:rPr>
                <w:rFonts w:ascii="Arial" w:hAnsi="Arial" w:cs="Arial"/>
                <w:sz w:val="18"/>
                <w:szCs w:val="18"/>
              </w:rPr>
            </w:pPr>
            <w:r w:rsidRPr="00F959D0">
              <w:rPr>
                <w:rFonts w:ascii="Arial" w:hAnsi="Arial" w:cs="Arial"/>
                <w:sz w:val="18"/>
                <w:szCs w:val="18"/>
              </w:rPr>
              <w:t xml:space="preserve"> - </w:t>
            </w:r>
          </w:p>
        </w:tc>
        <w:tc>
          <w:tcPr>
            <w:tcW w:w="996" w:type="dxa"/>
            <w:tcBorders>
              <w:top w:val="nil"/>
              <w:left w:val="nil"/>
              <w:bottom w:val="nil"/>
              <w:right w:val="nil"/>
            </w:tcBorders>
            <w:shd w:val="clear" w:color="auto" w:fill="auto"/>
            <w:vAlign w:val="bottom"/>
          </w:tcPr>
          <w:p w14:paraId="5D2A41B4" w14:textId="77777777" w:rsidR="000A18D1" w:rsidRPr="00F959D0" w:rsidRDefault="000A18D1" w:rsidP="00CA7F04">
            <w:pPr>
              <w:jc w:val="right"/>
              <w:rPr>
                <w:rFonts w:ascii="Arial" w:hAnsi="Arial" w:cs="Arial"/>
                <w:sz w:val="18"/>
                <w:szCs w:val="18"/>
              </w:rPr>
            </w:pPr>
            <w:r w:rsidRPr="00F959D0">
              <w:rPr>
                <w:rFonts w:ascii="Arial" w:hAnsi="Arial" w:cs="Arial"/>
                <w:sz w:val="18"/>
                <w:szCs w:val="18"/>
              </w:rPr>
              <w:t xml:space="preserve"> - </w:t>
            </w:r>
          </w:p>
        </w:tc>
        <w:tc>
          <w:tcPr>
            <w:tcW w:w="1198" w:type="dxa"/>
            <w:tcBorders>
              <w:top w:val="nil"/>
              <w:left w:val="nil"/>
              <w:bottom w:val="nil"/>
              <w:right w:val="nil"/>
            </w:tcBorders>
            <w:shd w:val="clear" w:color="auto" w:fill="auto"/>
            <w:vAlign w:val="bottom"/>
          </w:tcPr>
          <w:p w14:paraId="39279099" w14:textId="77777777" w:rsidR="000A18D1" w:rsidRPr="005D1219" w:rsidRDefault="000A18D1" w:rsidP="00CA7F04">
            <w:pPr>
              <w:jc w:val="right"/>
              <w:rPr>
                <w:rFonts w:ascii="Arial" w:hAnsi="Arial" w:cs="Arial"/>
                <w:b/>
                <w:bCs/>
                <w:sz w:val="18"/>
                <w:szCs w:val="18"/>
              </w:rPr>
            </w:pPr>
            <w:r w:rsidRPr="005D1219">
              <w:rPr>
                <w:rFonts w:ascii="Arial" w:hAnsi="Arial" w:cs="Arial"/>
                <w:b/>
                <w:bCs/>
                <w:sz w:val="18"/>
                <w:szCs w:val="18"/>
              </w:rPr>
              <w:t xml:space="preserve"> (164)</w:t>
            </w:r>
          </w:p>
        </w:tc>
      </w:tr>
      <w:tr w:rsidR="000A18D1" w:rsidRPr="001B015B" w14:paraId="08A59CF8" w14:textId="77777777" w:rsidTr="00CA7F04">
        <w:trPr>
          <w:trHeight w:val="180"/>
        </w:trPr>
        <w:tc>
          <w:tcPr>
            <w:tcW w:w="3947" w:type="dxa"/>
            <w:tcBorders>
              <w:top w:val="nil"/>
              <w:left w:val="nil"/>
              <w:bottom w:val="nil"/>
              <w:right w:val="nil"/>
            </w:tcBorders>
            <w:shd w:val="clear" w:color="auto" w:fill="auto"/>
            <w:vAlign w:val="bottom"/>
            <w:hideMark/>
          </w:tcPr>
          <w:p w14:paraId="25B536F0" w14:textId="77777777" w:rsidR="000A18D1" w:rsidRPr="001B015B" w:rsidRDefault="000A18D1" w:rsidP="00CA7F04">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Stanje 31. prosinca 202</w:t>
            </w:r>
            <w:r>
              <w:rPr>
                <w:rFonts w:ascii="Arial" w:eastAsia="Calibri" w:hAnsi="Arial" w:cs="Arial"/>
                <w:b/>
                <w:bCs/>
                <w:color w:val="000000" w:themeColor="text1"/>
                <w:sz w:val="18"/>
                <w:szCs w:val="18"/>
              </w:rPr>
              <w:t>3</w:t>
            </w:r>
            <w:r w:rsidRPr="001B015B">
              <w:rPr>
                <w:rFonts w:ascii="Arial" w:eastAsia="Calibri" w:hAnsi="Arial" w:cs="Arial"/>
                <w:b/>
                <w:bCs/>
                <w:color w:val="000000" w:themeColor="text1"/>
                <w:sz w:val="18"/>
                <w:szCs w:val="18"/>
              </w:rPr>
              <w:t>.</w:t>
            </w:r>
          </w:p>
        </w:tc>
        <w:tc>
          <w:tcPr>
            <w:tcW w:w="1198" w:type="dxa"/>
            <w:tcBorders>
              <w:top w:val="single" w:sz="4" w:space="0" w:color="auto"/>
              <w:left w:val="nil"/>
              <w:bottom w:val="single" w:sz="12" w:space="0" w:color="auto"/>
              <w:right w:val="nil"/>
            </w:tcBorders>
            <w:shd w:val="clear" w:color="auto" w:fill="auto"/>
            <w:vAlign w:val="bottom"/>
          </w:tcPr>
          <w:p w14:paraId="340966A3" w14:textId="77777777" w:rsidR="000A18D1" w:rsidRPr="00495ED1" w:rsidRDefault="000A18D1" w:rsidP="00CA7F04">
            <w:pPr>
              <w:jc w:val="right"/>
              <w:rPr>
                <w:rFonts w:ascii="Arial" w:hAnsi="Arial" w:cs="Arial"/>
                <w:b/>
                <w:bCs/>
                <w:sz w:val="18"/>
                <w:szCs w:val="18"/>
              </w:rPr>
            </w:pPr>
            <w:r w:rsidRPr="00F959D0">
              <w:rPr>
                <w:rFonts w:ascii="Arial" w:hAnsi="Arial" w:cs="Arial"/>
                <w:b/>
                <w:bCs/>
                <w:sz w:val="18"/>
                <w:szCs w:val="18"/>
              </w:rPr>
              <w:t xml:space="preserve"> 223 </w:t>
            </w:r>
          </w:p>
        </w:tc>
        <w:tc>
          <w:tcPr>
            <w:tcW w:w="1077" w:type="dxa"/>
            <w:tcBorders>
              <w:top w:val="single" w:sz="4" w:space="0" w:color="auto"/>
              <w:left w:val="nil"/>
              <w:bottom w:val="single" w:sz="12" w:space="0" w:color="auto"/>
              <w:right w:val="nil"/>
            </w:tcBorders>
            <w:shd w:val="clear" w:color="auto" w:fill="auto"/>
            <w:vAlign w:val="bottom"/>
          </w:tcPr>
          <w:p w14:paraId="67B33FB2" w14:textId="77777777" w:rsidR="000A18D1" w:rsidRPr="00495ED1" w:rsidRDefault="000A18D1" w:rsidP="00CA7F04">
            <w:pPr>
              <w:jc w:val="right"/>
              <w:rPr>
                <w:rFonts w:ascii="Arial" w:hAnsi="Arial" w:cs="Arial"/>
                <w:b/>
                <w:bCs/>
                <w:sz w:val="18"/>
                <w:szCs w:val="18"/>
              </w:rPr>
            </w:pPr>
            <w:r w:rsidRPr="00F959D0">
              <w:rPr>
                <w:rFonts w:ascii="Arial" w:hAnsi="Arial" w:cs="Arial"/>
                <w:b/>
                <w:bCs/>
                <w:sz w:val="18"/>
                <w:szCs w:val="18"/>
              </w:rPr>
              <w:t xml:space="preserve"> - </w:t>
            </w:r>
          </w:p>
        </w:tc>
        <w:tc>
          <w:tcPr>
            <w:tcW w:w="1077" w:type="dxa"/>
            <w:tcBorders>
              <w:top w:val="single" w:sz="4" w:space="0" w:color="auto"/>
              <w:left w:val="nil"/>
              <w:bottom w:val="single" w:sz="12" w:space="0" w:color="auto"/>
              <w:right w:val="nil"/>
            </w:tcBorders>
            <w:shd w:val="clear" w:color="auto" w:fill="auto"/>
            <w:vAlign w:val="bottom"/>
          </w:tcPr>
          <w:p w14:paraId="629F909D" w14:textId="77777777" w:rsidR="000A18D1" w:rsidRPr="00495ED1" w:rsidRDefault="000A18D1" w:rsidP="00CA7F04">
            <w:pPr>
              <w:jc w:val="right"/>
              <w:rPr>
                <w:rFonts w:ascii="Arial" w:hAnsi="Arial" w:cs="Arial"/>
                <w:b/>
                <w:bCs/>
                <w:sz w:val="18"/>
                <w:szCs w:val="18"/>
              </w:rPr>
            </w:pPr>
            <w:r w:rsidRPr="00F959D0">
              <w:rPr>
                <w:rFonts w:ascii="Arial" w:hAnsi="Arial" w:cs="Arial"/>
                <w:b/>
                <w:bCs/>
                <w:sz w:val="18"/>
                <w:szCs w:val="18"/>
              </w:rPr>
              <w:t xml:space="preserve"> 231 </w:t>
            </w:r>
          </w:p>
        </w:tc>
        <w:tc>
          <w:tcPr>
            <w:tcW w:w="996" w:type="dxa"/>
            <w:tcBorders>
              <w:top w:val="single" w:sz="4" w:space="0" w:color="auto"/>
              <w:left w:val="nil"/>
              <w:bottom w:val="single" w:sz="12" w:space="0" w:color="auto"/>
              <w:right w:val="nil"/>
            </w:tcBorders>
            <w:shd w:val="clear" w:color="auto" w:fill="auto"/>
            <w:vAlign w:val="bottom"/>
          </w:tcPr>
          <w:p w14:paraId="1E7BC808" w14:textId="77777777" w:rsidR="000A18D1" w:rsidRPr="00495ED1" w:rsidRDefault="000A18D1" w:rsidP="00CA7F04">
            <w:pPr>
              <w:jc w:val="right"/>
              <w:rPr>
                <w:rFonts w:ascii="Arial" w:hAnsi="Arial" w:cs="Arial"/>
                <w:b/>
                <w:bCs/>
                <w:sz w:val="18"/>
                <w:szCs w:val="18"/>
              </w:rPr>
            </w:pPr>
            <w:r w:rsidRPr="00F959D0">
              <w:rPr>
                <w:rFonts w:ascii="Arial" w:hAnsi="Arial" w:cs="Arial"/>
                <w:b/>
                <w:bCs/>
                <w:sz w:val="18"/>
                <w:szCs w:val="18"/>
              </w:rPr>
              <w:t xml:space="preserve"> - </w:t>
            </w:r>
          </w:p>
        </w:tc>
        <w:tc>
          <w:tcPr>
            <w:tcW w:w="1198" w:type="dxa"/>
            <w:tcBorders>
              <w:top w:val="single" w:sz="4" w:space="0" w:color="auto"/>
              <w:left w:val="nil"/>
              <w:bottom w:val="single" w:sz="12" w:space="0" w:color="auto"/>
              <w:right w:val="nil"/>
            </w:tcBorders>
            <w:shd w:val="clear" w:color="auto" w:fill="auto"/>
            <w:vAlign w:val="bottom"/>
          </w:tcPr>
          <w:p w14:paraId="0DB58B17" w14:textId="77777777" w:rsidR="000A18D1" w:rsidRPr="00495ED1" w:rsidRDefault="000A18D1" w:rsidP="00CA7F04">
            <w:pPr>
              <w:jc w:val="right"/>
              <w:rPr>
                <w:rFonts w:ascii="Arial" w:hAnsi="Arial" w:cs="Arial"/>
                <w:b/>
                <w:bCs/>
                <w:sz w:val="18"/>
                <w:szCs w:val="18"/>
              </w:rPr>
            </w:pPr>
            <w:r w:rsidRPr="00F959D0">
              <w:rPr>
                <w:rFonts w:ascii="Arial" w:hAnsi="Arial" w:cs="Arial"/>
                <w:b/>
                <w:bCs/>
                <w:sz w:val="18"/>
                <w:szCs w:val="18"/>
              </w:rPr>
              <w:t xml:space="preserve"> 454 </w:t>
            </w:r>
          </w:p>
        </w:tc>
      </w:tr>
    </w:tbl>
    <w:p w14:paraId="0A650CFC" w14:textId="77777777" w:rsidR="000A18D1" w:rsidRPr="003D1614" w:rsidRDefault="000A18D1" w:rsidP="001A0FCB">
      <w:pPr>
        <w:suppressAutoHyphens/>
        <w:autoSpaceDN w:val="0"/>
        <w:jc w:val="both"/>
        <w:rPr>
          <w:rFonts w:ascii="Arial" w:eastAsia="Times New Roman" w:hAnsi="Arial" w:cs="Arial"/>
          <w:color w:val="000000" w:themeColor="text1"/>
          <w:sz w:val="20"/>
          <w:szCs w:val="20"/>
        </w:rPr>
      </w:pPr>
    </w:p>
    <w:p w14:paraId="25FD90D5" w14:textId="77777777" w:rsidR="00A269B5" w:rsidRPr="003D1614" w:rsidRDefault="00A269B5" w:rsidP="001A0FCB">
      <w:pPr>
        <w:suppressAutoHyphens/>
        <w:autoSpaceDN w:val="0"/>
        <w:jc w:val="both"/>
        <w:rPr>
          <w:rFonts w:ascii="Arial" w:eastAsia="Times New Roman" w:hAnsi="Arial" w:cs="Arial"/>
          <w:color w:val="000000" w:themeColor="text1"/>
          <w:sz w:val="20"/>
          <w:szCs w:val="20"/>
        </w:rPr>
        <w:sectPr w:rsidR="00A269B5" w:rsidRPr="003D1614" w:rsidSect="003278AB">
          <w:pgSz w:w="11906" w:h="16838"/>
          <w:pgMar w:top="1417" w:right="1417" w:bottom="1417" w:left="1417" w:header="708" w:footer="708" w:gutter="0"/>
          <w:cols w:space="708"/>
          <w:docGrid w:linePitch="360"/>
        </w:sectPr>
      </w:pPr>
    </w:p>
    <w:p w14:paraId="51E42C60"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398748C0" w14:textId="4606CD18"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15FEBA7B"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6844B428" w14:textId="5569D69A"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2EC05A91"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245F4611"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760FC866"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p>
    <w:p w14:paraId="5687E32B"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Financijska imovina po fer vrijednosti kroz ostalu sveobuhvatnu dobit (nastavak)</w:t>
      </w:r>
    </w:p>
    <w:p w14:paraId="3622DB0A"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tbl>
      <w:tblPr>
        <w:tblW w:w="9361" w:type="dxa"/>
        <w:tblInd w:w="-180" w:type="dxa"/>
        <w:tblLook w:val="04A0" w:firstRow="1" w:lastRow="0" w:firstColumn="1" w:lastColumn="0" w:noHBand="0" w:noVBand="1"/>
      </w:tblPr>
      <w:tblGrid>
        <w:gridCol w:w="3876"/>
        <w:gridCol w:w="1134"/>
        <w:gridCol w:w="1077"/>
        <w:gridCol w:w="1077"/>
        <w:gridCol w:w="999"/>
        <w:gridCol w:w="1198"/>
      </w:tblGrid>
      <w:tr w:rsidR="00A269B5" w:rsidRPr="003D1614" w14:paraId="5882F13B" w14:textId="77777777" w:rsidTr="00AD0393">
        <w:trPr>
          <w:trHeight w:val="185"/>
        </w:trPr>
        <w:tc>
          <w:tcPr>
            <w:tcW w:w="3876" w:type="dxa"/>
            <w:tcBorders>
              <w:top w:val="nil"/>
              <w:left w:val="nil"/>
              <w:bottom w:val="nil"/>
              <w:right w:val="nil"/>
            </w:tcBorders>
            <w:shd w:val="clear" w:color="auto" w:fill="auto"/>
            <w:vAlign w:val="center"/>
          </w:tcPr>
          <w:p w14:paraId="7239D01E" w14:textId="77777777" w:rsidR="00A269B5" w:rsidRPr="003D1614" w:rsidRDefault="00A269B5" w:rsidP="00A269B5">
            <w:pPr>
              <w:suppressAutoHyphens/>
              <w:autoSpaceDN w:val="0"/>
              <w:rPr>
                <w:rFonts w:ascii="Arial" w:eastAsia="Calibri" w:hAnsi="Arial" w:cs="Arial"/>
                <w:b/>
                <w:bCs/>
                <w:color w:val="000000" w:themeColor="text1"/>
                <w:sz w:val="18"/>
                <w:szCs w:val="18"/>
              </w:rPr>
            </w:pPr>
            <w:bookmarkStart w:id="763" w:name="_Hlk24387194"/>
            <w:r w:rsidRPr="003D1614">
              <w:rPr>
                <w:rFonts w:ascii="Arial" w:eastAsia="Calibri" w:hAnsi="Arial" w:cs="Arial"/>
                <w:b/>
                <w:bCs/>
                <w:color w:val="000000" w:themeColor="text1"/>
                <w:sz w:val="18"/>
                <w:szCs w:val="18"/>
              </w:rPr>
              <w:t>Banka</w:t>
            </w:r>
          </w:p>
        </w:tc>
        <w:tc>
          <w:tcPr>
            <w:tcW w:w="1134" w:type="dxa"/>
            <w:tcBorders>
              <w:top w:val="nil"/>
              <w:left w:val="nil"/>
              <w:bottom w:val="nil"/>
              <w:right w:val="nil"/>
            </w:tcBorders>
            <w:shd w:val="clear" w:color="auto" w:fill="auto"/>
            <w:vAlign w:val="center"/>
          </w:tcPr>
          <w:p w14:paraId="2EF205A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center"/>
          </w:tcPr>
          <w:p w14:paraId="15CFFA7D"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center"/>
          </w:tcPr>
          <w:p w14:paraId="66C95BEF"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9" w:type="dxa"/>
            <w:tcBorders>
              <w:top w:val="nil"/>
              <w:left w:val="nil"/>
              <w:bottom w:val="nil"/>
              <w:right w:val="nil"/>
            </w:tcBorders>
            <w:shd w:val="clear" w:color="auto" w:fill="auto"/>
            <w:vAlign w:val="center"/>
          </w:tcPr>
          <w:p w14:paraId="55D8C773"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center"/>
          </w:tcPr>
          <w:p w14:paraId="786868A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A269B5" w:rsidRPr="003D1614" w14:paraId="1C0BA451" w14:textId="77777777" w:rsidTr="00AD0393">
        <w:trPr>
          <w:trHeight w:val="185"/>
        </w:trPr>
        <w:tc>
          <w:tcPr>
            <w:tcW w:w="3876" w:type="dxa"/>
            <w:tcBorders>
              <w:top w:val="nil"/>
              <w:left w:val="nil"/>
              <w:bottom w:val="nil"/>
              <w:right w:val="nil"/>
            </w:tcBorders>
            <w:shd w:val="clear" w:color="auto" w:fill="auto"/>
            <w:vAlign w:val="center"/>
            <w:hideMark/>
          </w:tcPr>
          <w:p w14:paraId="326D514E" w14:textId="26F25717" w:rsidR="00A269B5" w:rsidRPr="003D1614" w:rsidRDefault="00A269B5" w:rsidP="00A269B5">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ožujka 202</w:t>
            </w:r>
            <w:r w:rsidR="000A18D1">
              <w:rPr>
                <w:rFonts w:ascii="Arial" w:eastAsia="Calibri" w:hAnsi="Arial" w:cs="Arial"/>
                <w:b/>
                <w:bCs/>
                <w:color w:val="000000" w:themeColor="text1"/>
                <w:sz w:val="18"/>
                <w:szCs w:val="18"/>
              </w:rPr>
              <w:t>4</w:t>
            </w:r>
            <w:r w:rsidRPr="003D1614">
              <w:rPr>
                <w:rFonts w:ascii="Arial" w:eastAsia="Calibri" w:hAnsi="Arial" w:cs="Arial"/>
                <w:b/>
                <w:bCs/>
                <w:color w:val="000000" w:themeColor="text1"/>
                <w:sz w:val="18"/>
                <w:szCs w:val="18"/>
              </w:rPr>
              <w:t>.</w:t>
            </w:r>
          </w:p>
        </w:tc>
        <w:tc>
          <w:tcPr>
            <w:tcW w:w="1134" w:type="dxa"/>
            <w:tcBorders>
              <w:top w:val="nil"/>
              <w:left w:val="nil"/>
              <w:bottom w:val="nil"/>
              <w:right w:val="nil"/>
            </w:tcBorders>
            <w:shd w:val="clear" w:color="auto" w:fill="auto"/>
            <w:vAlign w:val="center"/>
            <w:hideMark/>
          </w:tcPr>
          <w:p w14:paraId="26D4F44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77" w:type="dxa"/>
            <w:tcBorders>
              <w:top w:val="nil"/>
              <w:left w:val="nil"/>
              <w:bottom w:val="nil"/>
              <w:right w:val="nil"/>
            </w:tcBorders>
            <w:shd w:val="clear" w:color="auto" w:fill="auto"/>
            <w:vAlign w:val="center"/>
            <w:hideMark/>
          </w:tcPr>
          <w:p w14:paraId="52AB3010"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77" w:type="dxa"/>
            <w:tcBorders>
              <w:top w:val="nil"/>
              <w:left w:val="nil"/>
              <w:bottom w:val="nil"/>
              <w:right w:val="nil"/>
            </w:tcBorders>
            <w:shd w:val="clear" w:color="auto" w:fill="auto"/>
            <w:vAlign w:val="center"/>
            <w:hideMark/>
          </w:tcPr>
          <w:p w14:paraId="0C5FB67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999" w:type="dxa"/>
            <w:tcBorders>
              <w:top w:val="nil"/>
              <w:left w:val="nil"/>
              <w:bottom w:val="nil"/>
              <w:right w:val="nil"/>
            </w:tcBorders>
            <w:shd w:val="clear" w:color="auto" w:fill="auto"/>
            <w:vAlign w:val="center"/>
            <w:hideMark/>
          </w:tcPr>
          <w:p w14:paraId="4EE7FF9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98" w:type="dxa"/>
            <w:tcBorders>
              <w:top w:val="nil"/>
              <w:left w:val="nil"/>
              <w:bottom w:val="nil"/>
              <w:right w:val="nil"/>
            </w:tcBorders>
            <w:shd w:val="clear" w:color="auto" w:fill="auto"/>
            <w:vAlign w:val="center"/>
            <w:hideMark/>
          </w:tcPr>
          <w:p w14:paraId="3544660C"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5F067EE4" w14:textId="77777777" w:rsidTr="00AD0393">
        <w:trPr>
          <w:trHeight w:val="185"/>
        </w:trPr>
        <w:tc>
          <w:tcPr>
            <w:tcW w:w="3876" w:type="dxa"/>
            <w:tcBorders>
              <w:top w:val="nil"/>
              <w:left w:val="nil"/>
              <w:bottom w:val="nil"/>
              <w:right w:val="nil"/>
            </w:tcBorders>
            <w:shd w:val="clear" w:color="auto" w:fill="auto"/>
            <w:vAlign w:val="center"/>
            <w:hideMark/>
          </w:tcPr>
          <w:p w14:paraId="05AB759F"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34" w:type="dxa"/>
            <w:tcBorders>
              <w:top w:val="nil"/>
              <w:left w:val="nil"/>
              <w:bottom w:val="nil"/>
              <w:right w:val="nil"/>
            </w:tcBorders>
            <w:shd w:val="clear" w:color="auto" w:fill="auto"/>
            <w:vAlign w:val="center"/>
            <w:hideMark/>
          </w:tcPr>
          <w:p w14:paraId="1DCBFF19" w14:textId="4F7F0C5F"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center"/>
            <w:hideMark/>
          </w:tcPr>
          <w:p w14:paraId="36062D9C" w14:textId="26867934"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center"/>
            <w:hideMark/>
          </w:tcPr>
          <w:p w14:paraId="2610971C" w14:textId="4ABD4839"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999" w:type="dxa"/>
            <w:tcBorders>
              <w:top w:val="nil"/>
              <w:left w:val="nil"/>
              <w:bottom w:val="nil"/>
              <w:right w:val="nil"/>
            </w:tcBorders>
            <w:shd w:val="clear" w:color="auto" w:fill="auto"/>
            <w:vAlign w:val="center"/>
            <w:hideMark/>
          </w:tcPr>
          <w:p w14:paraId="6581D40D" w14:textId="4672E6C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98" w:type="dxa"/>
            <w:tcBorders>
              <w:top w:val="nil"/>
              <w:left w:val="nil"/>
              <w:bottom w:val="nil"/>
              <w:right w:val="nil"/>
            </w:tcBorders>
            <w:shd w:val="clear" w:color="auto" w:fill="auto"/>
            <w:vAlign w:val="center"/>
            <w:hideMark/>
          </w:tcPr>
          <w:p w14:paraId="40B0F07B" w14:textId="0CD71F43"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49DDD4DD" w14:textId="77777777" w:rsidTr="005D1219">
        <w:trPr>
          <w:trHeight w:val="185"/>
        </w:trPr>
        <w:tc>
          <w:tcPr>
            <w:tcW w:w="3876" w:type="dxa"/>
            <w:tcBorders>
              <w:top w:val="nil"/>
              <w:left w:val="nil"/>
              <w:bottom w:val="nil"/>
              <w:right w:val="nil"/>
            </w:tcBorders>
            <w:shd w:val="clear" w:color="auto" w:fill="auto"/>
            <w:vAlign w:val="center"/>
          </w:tcPr>
          <w:p w14:paraId="173ED35D"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34" w:type="dxa"/>
            <w:tcBorders>
              <w:top w:val="nil"/>
              <w:left w:val="nil"/>
              <w:right w:val="nil"/>
            </w:tcBorders>
            <w:shd w:val="clear" w:color="auto" w:fill="auto"/>
            <w:vAlign w:val="center"/>
          </w:tcPr>
          <w:p w14:paraId="603F44CA"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77" w:type="dxa"/>
            <w:tcBorders>
              <w:top w:val="nil"/>
              <w:left w:val="nil"/>
              <w:right w:val="nil"/>
            </w:tcBorders>
            <w:shd w:val="clear" w:color="auto" w:fill="auto"/>
            <w:vAlign w:val="center"/>
          </w:tcPr>
          <w:p w14:paraId="763EE773"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77" w:type="dxa"/>
            <w:tcBorders>
              <w:top w:val="nil"/>
              <w:left w:val="nil"/>
              <w:right w:val="nil"/>
            </w:tcBorders>
            <w:shd w:val="clear" w:color="auto" w:fill="auto"/>
            <w:vAlign w:val="center"/>
          </w:tcPr>
          <w:p w14:paraId="66422075"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9" w:type="dxa"/>
            <w:tcBorders>
              <w:top w:val="nil"/>
              <w:left w:val="nil"/>
              <w:right w:val="nil"/>
            </w:tcBorders>
            <w:shd w:val="clear" w:color="auto" w:fill="auto"/>
            <w:vAlign w:val="center"/>
          </w:tcPr>
          <w:p w14:paraId="11E4281C"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98" w:type="dxa"/>
            <w:tcBorders>
              <w:top w:val="nil"/>
              <w:left w:val="nil"/>
              <w:right w:val="nil"/>
            </w:tcBorders>
            <w:shd w:val="clear" w:color="auto" w:fill="auto"/>
            <w:vAlign w:val="center"/>
          </w:tcPr>
          <w:p w14:paraId="78E37A75"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5453DD" w:rsidRPr="003D1614" w14:paraId="536F0968" w14:textId="77777777" w:rsidTr="005D1219">
        <w:trPr>
          <w:trHeight w:val="185"/>
        </w:trPr>
        <w:tc>
          <w:tcPr>
            <w:tcW w:w="3876" w:type="dxa"/>
            <w:tcBorders>
              <w:top w:val="nil"/>
              <w:left w:val="nil"/>
              <w:bottom w:val="nil"/>
              <w:right w:val="nil"/>
            </w:tcBorders>
            <w:shd w:val="clear" w:color="auto" w:fill="auto"/>
            <w:vAlign w:val="center"/>
            <w:hideMark/>
          </w:tcPr>
          <w:p w14:paraId="5E3BED96" w14:textId="3EFAC6AE" w:rsidR="005453DD" w:rsidRPr="003D1614" w:rsidRDefault="005453DD" w:rsidP="005453DD">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4</w:t>
            </w:r>
            <w:r w:rsidRPr="003D1614">
              <w:rPr>
                <w:rFonts w:ascii="Arial" w:eastAsia="Calibri" w:hAnsi="Arial" w:cs="Arial"/>
                <w:color w:val="000000" w:themeColor="text1"/>
                <w:sz w:val="18"/>
                <w:szCs w:val="18"/>
              </w:rPr>
              <w:t xml:space="preserve">. </w:t>
            </w:r>
          </w:p>
        </w:tc>
        <w:tc>
          <w:tcPr>
            <w:tcW w:w="1134" w:type="dxa"/>
            <w:tcBorders>
              <w:top w:val="nil"/>
              <w:left w:val="nil"/>
              <w:right w:val="nil"/>
            </w:tcBorders>
            <w:shd w:val="clear" w:color="auto" w:fill="auto"/>
            <w:vAlign w:val="bottom"/>
          </w:tcPr>
          <w:p w14:paraId="3C168263" w14:textId="1DAC0772" w:rsidR="005453DD" w:rsidRPr="00B47639" w:rsidRDefault="005453DD" w:rsidP="005453DD">
            <w:pPr>
              <w:suppressAutoHyphens/>
              <w:autoSpaceDN w:val="0"/>
              <w:jc w:val="right"/>
              <w:rPr>
                <w:rFonts w:ascii="Arial" w:eastAsia="Times New Roman" w:hAnsi="Arial" w:cs="Arial"/>
                <w:sz w:val="18"/>
                <w:szCs w:val="18"/>
              </w:rPr>
            </w:pPr>
            <w:r w:rsidRPr="005D1219">
              <w:rPr>
                <w:rFonts w:ascii="Arial" w:hAnsi="Arial" w:cs="Arial"/>
                <w:sz w:val="18"/>
                <w:szCs w:val="18"/>
              </w:rPr>
              <w:t xml:space="preserve"> 211 </w:t>
            </w:r>
          </w:p>
        </w:tc>
        <w:tc>
          <w:tcPr>
            <w:tcW w:w="1077" w:type="dxa"/>
            <w:tcBorders>
              <w:top w:val="nil"/>
              <w:left w:val="nil"/>
              <w:right w:val="nil"/>
            </w:tcBorders>
            <w:shd w:val="clear" w:color="auto" w:fill="auto"/>
            <w:vAlign w:val="bottom"/>
          </w:tcPr>
          <w:p w14:paraId="4694E336" w14:textId="6BA655B0" w:rsidR="005453DD" w:rsidRPr="00B47639" w:rsidRDefault="005453DD" w:rsidP="005453DD">
            <w:pPr>
              <w:suppressAutoHyphens/>
              <w:autoSpaceDN w:val="0"/>
              <w:jc w:val="right"/>
              <w:rPr>
                <w:rFonts w:ascii="Arial" w:eastAsia="Times New Roman" w:hAnsi="Arial" w:cs="Arial"/>
                <w:sz w:val="18"/>
                <w:szCs w:val="18"/>
              </w:rPr>
            </w:pPr>
            <w:r w:rsidRPr="005D1219">
              <w:rPr>
                <w:rFonts w:ascii="Arial" w:hAnsi="Arial" w:cs="Arial"/>
                <w:sz w:val="18"/>
                <w:szCs w:val="18"/>
              </w:rPr>
              <w:t xml:space="preserve"> - </w:t>
            </w:r>
          </w:p>
        </w:tc>
        <w:tc>
          <w:tcPr>
            <w:tcW w:w="1077" w:type="dxa"/>
            <w:tcBorders>
              <w:top w:val="nil"/>
              <w:left w:val="nil"/>
              <w:right w:val="nil"/>
            </w:tcBorders>
            <w:shd w:val="clear" w:color="auto" w:fill="auto"/>
            <w:vAlign w:val="bottom"/>
          </w:tcPr>
          <w:p w14:paraId="58DD60E3" w14:textId="67322065" w:rsidR="005453DD" w:rsidRPr="00B47639" w:rsidRDefault="005453DD" w:rsidP="005453DD">
            <w:pPr>
              <w:suppressAutoHyphens/>
              <w:autoSpaceDN w:val="0"/>
              <w:jc w:val="right"/>
              <w:rPr>
                <w:rFonts w:ascii="Arial" w:eastAsia="Times New Roman" w:hAnsi="Arial" w:cs="Arial"/>
                <w:sz w:val="18"/>
                <w:szCs w:val="18"/>
              </w:rPr>
            </w:pPr>
            <w:r w:rsidRPr="005D1219">
              <w:rPr>
                <w:rFonts w:ascii="Arial" w:hAnsi="Arial" w:cs="Arial"/>
                <w:sz w:val="18"/>
                <w:szCs w:val="18"/>
              </w:rPr>
              <w:t xml:space="preserve"> 231 </w:t>
            </w:r>
          </w:p>
        </w:tc>
        <w:tc>
          <w:tcPr>
            <w:tcW w:w="999" w:type="dxa"/>
            <w:tcBorders>
              <w:top w:val="nil"/>
              <w:left w:val="nil"/>
              <w:right w:val="nil"/>
            </w:tcBorders>
            <w:shd w:val="clear" w:color="auto" w:fill="auto"/>
            <w:vAlign w:val="bottom"/>
          </w:tcPr>
          <w:p w14:paraId="3FDACF3D" w14:textId="0911AC6B" w:rsidR="005453DD" w:rsidRPr="00B47639" w:rsidRDefault="005453DD" w:rsidP="005453DD">
            <w:pPr>
              <w:suppressAutoHyphens/>
              <w:autoSpaceDN w:val="0"/>
              <w:jc w:val="right"/>
              <w:rPr>
                <w:rFonts w:ascii="Arial" w:eastAsia="Times New Roman" w:hAnsi="Arial" w:cs="Arial"/>
                <w:sz w:val="18"/>
                <w:szCs w:val="18"/>
              </w:rPr>
            </w:pPr>
            <w:r w:rsidRPr="005D1219">
              <w:rPr>
                <w:rFonts w:ascii="Arial" w:hAnsi="Arial" w:cs="Arial"/>
                <w:sz w:val="18"/>
                <w:szCs w:val="18"/>
              </w:rPr>
              <w:t xml:space="preserve"> - </w:t>
            </w:r>
          </w:p>
        </w:tc>
        <w:tc>
          <w:tcPr>
            <w:tcW w:w="1198" w:type="dxa"/>
            <w:tcBorders>
              <w:top w:val="nil"/>
              <w:left w:val="nil"/>
              <w:right w:val="nil"/>
            </w:tcBorders>
            <w:shd w:val="clear" w:color="auto" w:fill="auto"/>
            <w:vAlign w:val="bottom"/>
          </w:tcPr>
          <w:p w14:paraId="484D2AC8" w14:textId="061043AA" w:rsidR="005453DD" w:rsidRPr="005D1219" w:rsidRDefault="005453DD" w:rsidP="005453DD">
            <w:pPr>
              <w:suppressAutoHyphens/>
              <w:autoSpaceDN w:val="0"/>
              <w:jc w:val="right"/>
              <w:rPr>
                <w:rFonts w:ascii="Arial" w:eastAsia="Times New Roman" w:hAnsi="Arial" w:cs="Arial"/>
                <w:b/>
                <w:bCs/>
                <w:sz w:val="18"/>
                <w:szCs w:val="18"/>
              </w:rPr>
            </w:pPr>
            <w:r w:rsidRPr="00932E4A">
              <w:rPr>
                <w:rFonts w:ascii="Arial" w:hAnsi="Arial" w:cs="Arial"/>
                <w:b/>
                <w:bCs/>
                <w:sz w:val="18"/>
                <w:szCs w:val="18"/>
              </w:rPr>
              <w:t xml:space="preserve"> 442 </w:t>
            </w:r>
          </w:p>
        </w:tc>
      </w:tr>
      <w:tr w:rsidR="005453DD" w:rsidRPr="003D1614" w14:paraId="2AD01435" w14:textId="77777777" w:rsidTr="005D1219">
        <w:trPr>
          <w:trHeight w:val="185"/>
        </w:trPr>
        <w:tc>
          <w:tcPr>
            <w:tcW w:w="3876" w:type="dxa"/>
            <w:shd w:val="clear" w:color="auto" w:fill="auto"/>
          </w:tcPr>
          <w:p w14:paraId="65C8B0F2" w14:textId="77777777" w:rsidR="005453DD" w:rsidRPr="003D1614" w:rsidRDefault="005453DD" w:rsidP="005453DD">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134" w:type="dxa"/>
            <w:shd w:val="clear" w:color="auto" w:fill="auto"/>
            <w:vAlign w:val="bottom"/>
          </w:tcPr>
          <w:p w14:paraId="5F392FC5" w14:textId="52AC0210" w:rsidR="005453DD" w:rsidRPr="003D1614" w:rsidRDefault="000459E9" w:rsidP="005453DD">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77" w:type="dxa"/>
            <w:shd w:val="clear" w:color="auto" w:fill="auto"/>
            <w:vAlign w:val="bottom"/>
          </w:tcPr>
          <w:p w14:paraId="2FEA7C13" w14:textId="2BD8135A" w:rsidR="005453DD" w:rsidRPr="003D1614" w:rsidRDefault="000459E9" w:rsidP="005453DD">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77" w:type="dxa"/>
            <w:shd w:val="clear" w:color="auto" w:fill="auto"/>
            <w:vAlign w:val="bottom"/>
          </w:tcPr>
          <w:p w14:paraId="51A6A0C5" w14:textId="1B6B40FC" w:rsidR="005453DD" w:rsidRPr="003D1614" w:rsidRDefault="000459E9" w:rsidP="005453DD">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999" w:type="dxa"/>
            <w:shd w:val="clear" w:color="auto" w:fill="auto"/>
            <w:vAlign w:val="bottom"/>
          </w:tcPr>
          <w:p w14:paraId="0072846E" w14:textId="7CA8BC7D" w:rsidR="005453DD" w:rsidRPr="003D1614" w:rsidRDefault="000459E9" w:rsidP="005453DD">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98" w:type="dxa"/>
            <w:shd w:val="clear" w:color="auto" w:fill="auto"/>
            <w:vAlign w:val="bottom"/>
          </w:tcPr>
          <w:p w14:paraId="444F21CA" w14:textId="70540968" w:rsidR="005453DD" w:rsidRPr="005D1219" w:rsidRDefault="000459E9" w:rsidP="005453DD">
            <w:pPr>
              <w:suppressAutoHyphens/>
              <w:autoSpaceDN w:val="0"/>
              <w:jc w:val="right"/>
              <w:rPr>
                <w:rFonts w:ascii="Arial" w:eastAsia="Times New Roman" w:hAnsi="Arial" w:cs="Arial"/>
                <w:b/>
                <w:bCs/>
                <w:sz w:val="18"/>
                <w:szCs w:val="18"/>
              </w:rPr>
            </w:pPr>
            <w:r w:rsidRPr="005D1219">
              <w:rPr>
                <w:rFonts w:ascii="Arial" w:eastAsia="Times New Roman" w:hAnsi="Arial" w:cs="Arial"/>
                <w:b/>
                <w:bCs/>
                <w:sz w:val="18"/>
                <w:szCs w:val="18"/>
              </w:rPr>
              <w:t>-</w:t>
            </w:r>
          </w:p>
        </w:tc>
      </w:tr>
      <w:tr w:rsidR="000459E9" w:rsidRPr="003D1614" w14:paraId="0311A5F2" w14:textId="77777777" w:rsidTr="00BB1635">
        <w:trPr>
          <w:trHeight w:val="185"/>
        </w:trPr>
        <w:tc>
          <w:tcPr>
            <w:tcW w:w="3876" w:type="dxa"/>
            <w:shd w:val="clear" w:color="auto" w:fill="auto"/>
          </w:tcPr>
          <w:p w14:paraId="0BA401AF" w14:textId="77777777" w:rsidR="000459E9" w:rsidRPr="003D1614" w:rsidRDefault="000459E9" w:rsidP="000459E9">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134" w:type="dxa"/>
            <w:shd w:val="clear" w:color="auto" w:fill="auto"/>
            <w:vAlign w:val="bottom"/>
          </w:tcPr>
          <w:p w14:paraId="2DE1548B" w14:textId="67C12DCC" w:rsidR="000459E9" w:rsidRPr="003D1614" w:rsidRDefault="000459E9" w:rsidP="000459E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77" w:type="dxa"/>
            <w:shd w:val="clear" w:color="auto" w:fill="auto"/>
            <w:vAlign w:val="bottom"/>
          </w:tcPr>
          <w:p w14:paraId="3875144A" w14:textId="7906CB64" w:rsidR="000459E9" w:rsidRPr="003D1614" w:rsidRDefault="000459E9" w:rsidP="000459E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77" w:type="dxa"/>
            <w:shd w:val="clear" w:color="auto" w:fill="auto"/>
            <w:vAlign w:val="bottom"/>
          </w:tcPr>
          <w:p w14:paraId="7E9832C5" w14:textId="14B5A4D5" w:rsidR="000459E9" w:rsidRPr="003D1614" w:rsidRDefault="000459E9" w:rsidP="000459E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999" w:type="dxa"/>
            <w:shd w:val="clear" w:color="auto" w:fill="auto"/>
            <w:vAlign w:val="bottom"/>
          </w:tcPr>
          <w:p w14:paraId="2FE0B23E" w14:textId="17812944" w:rsidR="000459E9" w:rsidRPr="003D1614" w:rsidRDefault="000459E9" w:rsidP="000459E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98" w:type="dxa"/>
            <w:shd w:val="clear" w:color="auto" w:fill="auto"/>
            <w:vAlign w:val="bottom"/>
          </w:tcPr>
          <w:p w14:paraId="5A22C5F8" w14:textId="5118DDC9" w:rsidR="000459E9" w:rsidRPr="005D1219" w:rsidRDefault="000459E9" w:rsidP="000459E9">
            <w:pPr>
              <w:suppressAutoHyphens/>
              <w:autoSpaceDN w:val="0"/>
              <w:jc w:val="right"/>
              <w:rPr>
                <w:rFonts w:ascii="Arial" w:eastAsia="Times New Roman" w:hAnsi="Arial" w:cs="Arial"/>
                <w:b/>
                <w:bCs/>
                <w:sz w:val="18"/>
                <w:szCs w:val="18"/>
              </w:rPr>
            </w:pPr>
            <w:r w:rsidRPr="005D1219">
              <w:rPr>
                <w:rFonts w:ascii="Arial" w:eastAsia="Times New Roman" w:hAnsi="Arial" w:cs="Arial"/>
                <w:b/>
                <w:bCs/>
                <w:sz w:val="18"/>
                <w:szCs w:val="18"/>
              </w:rPr>
              <w:t>-</w:t>
            </w:r>
          </w:p>
        </w:tc>
      </w:tr>
      <w:tr w:rsidR="000459E9" w:rsidRPr="003D1614" w14:paraId="479FC1EA" w14:textId="77777777" w:rsidTr="00BB1635">
        <w:trPr>
          <w:trHeight w:val="185"/>
        </w:trPr>
        <w:tc>
          <w:tcPr>
            <w:tcW w:w="3876" w:type="dxa"/>
            <w:shd w:val="clear" w:color="auto" w:fill="auto"/>
            <w:hideMark/>
          </w:tcPr>
          <w:p w14:paraId="5717E923" w14:textId="77777777" w:rsidR="000459E9" w:rsidRPr="003D1614" w:rsidRDefault="000459E9" w:rsidP="000459E9">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134" w:type="dxa"/>
            <w:shd w:val="clear" w:color="auto" w:fill="auto"/>
            <w:vAlign w:val="bottom"/>
          </w:tcPr>
          <w:p w14:paraId="4B57D4B5" w14:textId="3DE781E7" w:rsidR="000459E9" w:rsidRPr="003D1614" w:rsidRDefault="000459E9" w:rsidP="000459E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77" w:type="dxa"/>
            <w:shd w:val="clear" w:color="auto" w:fill="auto"/>
            <w:vAlign w:val="bottom"/>
          </w:tcPr>
          <w:p w14:paraId="0388114E" w14:textId="756F5EA5" w:rsidR="000459E9" w:rsidRPr="003D1614" w:rsidRDefault="000459E9" w:rsidP="000459E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77" w:type="dxa"/>
            <w:shd w:val="clear" w:color="auto" w:fill="auto"/>
            <w:vAlign w:val="bottom"/>
          </w:tcPr>
          <w:p w14:paraId="160C7FE1" w14:textId="4C8ED714" w:rsidR="000459E9" w:rsidRPr="003D1614" w:rsidRDefault="000459E9" w:rsidP="000459E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999" w:type="dxa"/>
            <w:shd w:val="clear" w:color="auto" w:fill="auto"/>
            <w:vAlign w:val="bottom"/>
          </w:tcPr>
          <w:p w14:paraId="7892AA75" w14:textId="1EDDECEA" w:rsidR="000459E9" w:rsidRPr="003D1614" w:rsidRDefault="000459E9" w:rsidP="000459E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98" w:type="dxa"/>
            <w:shd w:val="clear" w:color="auto" w:fill="auto"/>
            <w:vAlign w:val="bottom"/>
          </w:tcPr>
          <w:p w14:paraId="2DA254E6" w14:textId="42D68DE5" w:rsidR="000459E9" w:rsidRPr="005D1219" w:rsidRDefault="000459E9" w:rsidP="000459E9">
            <w:pPr>
              <w:suppressAutoHyphens/>
              <w:autoSpaceDN w:val="0"/>
              <w:jc w:val="right"/>
              <w:rPr>
                <w:rFonts w:ascii="Arial" w:eastAsia="Times New Roman" w:hAnsi="Arial" w:cs="Arial"/>
                <w:b/>
                <w:bCs/>
                <w:sz w:val="18"/>
                <w:szCs w:val="18"/>
              </w:rPr>
            </w:pPr>
            <w:r w:rsidRPr="005D1219">
              <w:rPr>
                <w:rFonts w:ascii="Arial" w:eastAsia="Times New Roman" w:hAnsi="Arial" w:cs="Arial"/>
                <w:b/>
                <w:bCs/>
                <w:sz w:val="18"/>
                <w:szCs w:val="18"/>
              </w:rPr>
              <w:t>-</w:t>
            </w:r>
          </w:p>
        </w:tc>
      </w:tr>
      <w:tr w:rsidR="000459E9" w:rsidRPr="003D1614" w14:paraId="307B39AF" w14:textId="77777777" w:rsidTr="00AD0393">
        <w:trPr>
          <w:trHeight w:val="230"/>
        </w:trPr>
        <w:tc>
          <w:tcPr>
            <w:tcW w:w="3876" w:type="dxa"/>
            <w:tcBorders>
              <w:top w:val="nil"/>
              <w:left w:val="nil"/>
              <w:bottom w:val="nil"/>
              <w:right w:val="nil"/>
            </w:tcBorders>
            <w:shd w:val="clear" w:color="auto" w:fill="auto"/>
            <w:vAlign w:val="center"/>
            <w:hideMark/>
          </w:tcPr>
          <w:p w14:paraId="56DEF6FD" w14:textId="00DA31F4" w:rsidR="000459E9" w:rsidRPr="003D1614" w:rsidRDefault="000459E9" w:rsidP="000459E9">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w:t>
            </w:r>
            <w:r>
              <w:rPr>
                <w:rFonts w:ascii="Arial" w:eastAsia="Calibri" w:hAnsi="Arial" w:cs="Arial"/>
                <w:color w:val="000000" w:themeColor="text1"/>
                <w:sz w:val="18"/>
                <w:szCs w:val="18"/>
              </w:rPr>
              <w:t xml:space="preserve">povećanje </w:t>
            </w:r>
            <w:r w:rsidRPr="003D1614">
              <w:rPr>
                <w:rFonts w:ascii="Arial" w:eastAsia="Calibri" w:hAnsi="Arial" w:cs="Arial"/>
                <w:color w:val="000000" w:themeColor="text1"/>
                <w:sz w:val="18"/>
                <w:szCs w:val="18"/>
              </w:rPr>
              <w:t xml:space="preserve">rezerviranja za očekivane gubitke </w:t>
            </w:r>
          </w:p>
        </w:tc>
        <w:tc>
          <w:tcPr>
            <w:tcW w:w="1134" w:type="dxa"/>
            <w:tcBorders>
              <w:top w:val="nil"/>
              <w:left w:val="nil"/>
              <w:bottom w:val="nil"/>
              <w:right w:val="nil"/>
            </w:tcBorders>
            <w:shd w:val="clear" w:color="auto" w:fill="auto"/>
            <w:vAlign w:val="bottom"/>
          </w:tcPr>
          <w:p w14:paraId="42B61E9A" w14:textId="2FB1D03A" w:rsidR="000459E9" w:rsidRPr="003D1614" w:rsidRDefault="000459E9" w:rsidP="000459E9">
            <w:pPr>
              <w:suppressAutoHyphens/>
              <w:autoSpaceDN w:val="0"/>
              <w:jc w:val="right"/>
              <w:rPr>
                <w:rFonts w:ascii="Arial" w:eastAsia="Times New Roman" w:hAnsi="Arial" w:cs="Arial"/>
                <w:sz w:val="18"/>
                <w:szCs w:val="18"/>
              </w:rPr>
            </w:pPr>
            <w:r>
              <w:rPr>
                <w:rFonts w:ascii="Arial" w:eastAsia="Times New Roman" w:hAnsi="Arial" w:cs="Arial"/>
                <w:sz w:val="18"/>
                <w:szCs w:val="18"/>
              </w:rPr>
              <w:t>12</w:t>
            </w:r>
          </w:p>
        </w:tc>
        <w:tc>
          <w:tcPr>
            <w:tcW w:w="1077" w:type="dxa"/>
            <w:tcBorders>
              <w:top w:val="nil"/>
              <w:left w:val="nil"/>
              <w:bottom w:val="nil"/>
              <w:right w:val="nil"/>
            </w:tcBorders>
            <w:shd w:val="clear" w:color="auto" w:fill="auto"/>
            <w:vAlign w:val="bottom"/>
          </w:tcPr>
          <w:p w14:paraId="5FC0D9DA" w14:textId="3D4EB251" w:rsidR="000459E9" w:rsidRPr="003D1614" w:rsidRDefault="000459E9" w:rsidP="000459E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77" w:type="dxa"/>
            <w:tcBorders>
              <w:top w:val="nil"/>
              <w:left w:val="nil"/>
              <w:bottom w:val="nil"/>
              <w:right w:val="nil"/>
            </w:tcBorders>
            <w:shd w:val="clear" w:color="auto" w:fill="auto"/>
            <w:vAlign w:val="bottom"/>
          </w:tcPr>
          <w:p w14:paraId="04726D38" w14:textId="0F1BAEFC" w:rsidR="000459E9" w:rsidRPr="003D1614" w:rsidRDefault="000459E9" w:rsidP="000459E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999" w:type="dxa"/>
            <w:tcBorders>
              <w:top w:val="nil"/>
              <w:left w:val="nil"/>
              <w:bottom w:val="nil"/>
              <w:right w:val="nil"/>
            </w:tcBorders>
            <w:shd w:val="clear" w:color="auto" w:fill="auto"/>
            <w:vAlign w:val="bottom"/>
          </w:tcPr>
          <w:p w14:paraId="34D4BBD6" w14:textId="3414C00E" w:rsidR="000459E9" w:rsidRPr="003D1614" w:rsidRDefault="000459E9" w:rsidP="000459E9">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98" w:type="dxa"/>
            <w:tcBorders>
              <w:top w:val="nil"/>
              <w:left w:val="nil"/>
              <w:bottom w:val="nil"/>
              <w:right w:val="nil"/>
            </w:tcBorders>
            <w:shd w:val="clear" w:color="auto" w:fill="auto"/>
            <w:vAlign w:val="bottom"/>
          </w:tcPr>
          <w:p w14:paraId="6036C6F3" w14:textId="0BB9E4B1" w:rsidR="000459E9" w:rsidRPr="005D1219" w:rsidRDefault="000459E9" w:rsidP="000459E9">
            <w:pPr>
              <w:suppressAutoHyphens/>
              <w:autoSpaceDN w:val="0"/>
              <w:jc w:val="right"/>
              <w:rPr>
                <w:rFonts w:ascii="Arial" w:eastAsia="Times New Roman" w:hAnsi="Arial" w:cs="Arial"/>
                <w:b/>
                <w:bCs/>
                <w:sz w:val="18"/>
                <w:szCs w:val="18"/>
              </w:rPr>
            </w:pPr>
            <w:r w:rsidRPr="005D1219">
              <w:rPr>
                <w:rFonts w:ascii="Arial" w:eastAsia="Times New Roman" w:hAnsi="Arial" w:cs="Arial"/>
                <w:b/>
                <w:bCs/>
                <w:sz w:val="18"/>
                <w:szCs w:val="18"/>
              </w:rPr>
              <w:t>12</w:t>
            </w:r>
          </w:p>
        </w:tc>
      </w:tr>
      <w:tr w:rsidR="000459E9" w:rsidRPr="003D1614" w14:paraId="3E7FC88F" w14:textId="77777777" w:rsidTr="00BB1635">
        <w:trPr>
          <w:trHeight w:val="193"/>
        </w:trPr>
        <w:tc>
          <w:tcPr>
            <w:tcW w:w="3876" w:type="dxa"/>
            <w:tcBorders>
              <w:top w:val="nil"/>
              <w:left w:val="nil"/>
              <w:bottom w:val="nil"/>
              <w:right w:val="nil"/>
            </w:tcBorders>
            <w:shd w:val="clear" w:color="auto" w:fill="auto"/>
            <w:vAlign w:val="center"/>
            <w:hideMark/>
          </w:tcPr>
          <w:p w14:paraId="7BC86905" w14:textId="0D079AD8" w:rsidR="000459E9" w:rsidRPr="003D1614" w:rsidRDefault="000459E9" w:rsidP="000459E9">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ožujka 202</w:t>
            </w:r>
            <w:r>
              <w:rPr>
                <w:rFonts w:ascii="Arial" w:eastAsia="Calibri" w:hAnsi="Arial" w:cs="Arial"/>
                <w:b/>
                <w:bCs/>
                <w:color w:val="000000" w:themeColor="text1"/>
                <w:sz w:val="18"/>
                <w:szCs w:val="18"/>
              </w:rPr>
              <w:t>4</w:t>
            </w:r>
            <w:r w:rsidRPr="003D1614">
              <w:rPr>
                <w:rFonts w:ascii="Arial" w:eastAsia="Calibri" w:hAnsi="Arial" w:cs="Arial"/>
                <w:b/>
                <w:bCs/>
                <w:color w:val="000000" w:themeColor="text1"/>
                <w:sz w:val="18"/>
                <w:szCs w:val="18"/>
              </w:rPr>
              <w:t>.</w:t>
            </w:r>
          </w:p>
        </w:tc>
        <w:tc>
          <w:tcPr>
            <w:tcW w:w="1134" w:type="dxa"/>
            <w:tcBorders>
              <w:top w:val="single" w:sz="4" w:space="0" w:color="auto"/>
              <w:left w:val="nil"/>
              <w:bottom w:val="single" w:sz="12" w:space="0" w:color="auto"/>
              <w:right w:val="nil"/>
            </w:tcBorders>
            <w:shd w:val="clear" w:color="auto" w:fill="auto"/>
            <w:vAlign w:val="bottom"/>
          </w:tcPr>
          <w:p w14:paraId="5271EF82" w14:textId="331A7B29" w:rsidR="000459E9" w:rsidRPr="003D1614" w:rsidRDefault="000459E9" w:rsidP="000459E9">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223</w:t>
            </w:r>
          </w:p>
        </w:tc>
        <w:tc>
          <w:tcPr>
            <w:tcW w:w="1077" w:type="dxa"/>
            <w:tcBorders>
              <w:top w:val="single" w:sz="4" w:space="0" w:color="auto"/>
              <w:left w:val="nil"/>
              <w:bottom w:val="single" w:sz="12" w:space="0" w:color="auto"/>
              <w:right w:val="nil"/>
            </w:tcBorders>
            <w:shd w:val="clear" w:color="auto" w:fill="auto"/>
            <w:vAlign w:val="bottom"/>
          </w:tcPr>
          <w:p w14:paraId="77FE3074" w14:textId="1B18B001" w:rsidR="000459E9" w:rsidRPr="003D1614" w:rsidRDefault="000459E9" w:rsidP="000459E9">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w:t>
            </w:r>
          </w:p>
        </w:tc>
        <w:tc>
          <w:tcPr>
            <w:tcW w:w="1077" w:type="dxa"/>
            <w:tcBorders>
              <w:top w:val="single" w:sz="4" w:space="0" w:color="auto"/>
              <w:left w:val="nil"/>
              <w:bottom w:val="single" w:sz="12" w:space="0" w:color="auto"/>
              <w:right w:val="nil"/>
            </w:tcBorders>
            <w:shd w:val="clear" w:color="auto" w:fill="auto"/>
            <w:vAlign w:val="bottom"/>
          </w:tcPr>
          <w:p w14:paraId="6D95D75C" w14:textId="1E1ABE07" w:rsidR="000459E9" w:rsidRPr="003D1614" w:rsidRDefault="000459E9" w:rsidP="000459E9">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231</w:t>
            </w:r>
          </w:p>
        </w:tc>
        <w:tc>
          <w:tcPr>
            <w:tcW w:w="999" w:type="dxa"/>
            <w:tcBorders>
              <w:top w:val="single" w:sz="4" w:space="0" w:color="auto"/>
              <w:left w:val="nil"/>
              <w:bottom w:val="single" w:sz="12" w:space="0" w:color="auto"/>
              <w:right w:val="nil"/>
            </w:tcBorders>
            <w:shd w:val="clear" w:color="auto" w:fill="auto"/>
            <w:vAlign w:val="bottom"/>
          </w:tcPr>
          <w:p w14:paraId="2873E321" w14:textId="1D24E4D1" w:rsidR="000459E9" w:rsidRPr="003D1614" w:rsidRDefault="000459E9" w:rsidP="000459E9">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w:t>
            </w:r>
          </w:p>
        </w:tc>
        <w:tc>
          <w:tcPr>
            <w:tcW w:w="1198" w:type="dxa"/>
            <w:tcBorders>
              <w:top w:val="single" w:sz="4" w:space="0" w:color="auto"/>
              <w:left w:val="nil"/>
              <w:bottom w:val="single" w:sz="12" w:space="0" w:color="auto"/>
              <w:right w:val="nil"/>
            </w:tcBorders>
            <w:shd w:val="clear" w:color="auto" w:fill="auto"/>
            <w:vAlign w:val="bottom"/>
          </w:tcPr>
          <w:p w14:paraId="00DD2276" w14:textId="0C311980" w:rsidR="000459E9" w:rsidRPr="003D1614" w:rsidRDefault="000459E9" w:rsidP="000459E9">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454</w:t>
            </w:r>
          </w:p>
        </w:tc>
      </w:tr>
      <w:bookmarkEnd w:id="763"/>
    </w:tbl>
    <w:p w14:paraId="473DD890" w14:textId="77777777" w:rsidR="00A269B5" w:rsidRPr="003D1614" w:rsidRDefault="00A269B5" w:rsidP="00A269B5">
      <w:pPr>
        <w:suppressAutoHyphens/>
        <w:autoSpaceDN w:val="0"/>
        <w:rPr>
          <w:rFonts w:ascii="Arial" w:eastAsia="Calibri" w:hAnsi="Arial" w:cs="Arial"/>
          <w:color w:val="000000" w:themeColor="text1"/>
          <w:sz w:val="20"/>
          <w:szCs w:val="20"/>
        </w:rPr>
      </w:pPr>
    </w:p>
    <w:p w14:paraId="25681BC1" w14:textId="5E19EF64"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2401B7A1" w14:textId="2AFF9A1C" w:rsidR="00A269B5" w:rsidRDefault="00A269B5" w:rsidP="001A0FCB">
      <w:pPr>
        <w:suppressAutoHyphens/>
        <w:autoSpaceDN w:val="0"/>
        <w:jc w:val="both"/>
        <w:rPr>
          <w:rFonts w:ascii="Arial" w:eastAsia="Times New Roman" w:hAnsi="Arial" w:cs="Arial"/>
          <w:color w:val="000000" w:themeColor="text1"/>
          <w:sz w:val="20"/>
          <w:szCs w:val="20"/>
        </w:rPr>
      </w:pPr>
    </w:p>
    <w:p w14:paraId="3DC3B7D9" w14:textId="77777777" w:rsidR="005558FF" w:rsidRDefault="005558FF" w:rsidP="001A0FCB">
      <w:pPr>
        <w:suppressAutoHyphens/>
        <w:autoSpaceDN w:val="0"/>
        <w:jc w:val="both"/>
        <w:rPr>
          <w:rFonts w:ascii="Arial" w:eastAsia="Times New Roman" w:hAnsi="Arial" w:cs="Arial"/>
          <w:color w:val="000000" w:themeColor="text1"/>
          <w:sz w:val="20"/>
          <w:szCs w:val="20"/>
        </w:rPr>
      </w:pPr>
    </w:p>
    <w:tbl>
      <w:tblPr>
        <w:tblW w:w="9361" w:type="dxa"/>
        <w:tblInd w:w="-180" w:type="dxa"/>
        <w:tblLook w:val="04A0" w:firstRow="1" w:lastRow="0" w:firstColumn="1" w:lastColumn="0" w:noHBand="0" w:noVBand="1"/>
      </w:tblPr>
      <w:tblGrid>
        <w:gridCol w:w="3876"/>
        <w:gridCol w:w="1134"/>
        <w:gridCol w:w="1077"/>
        <w:gridCol w:w="1077"/>
        <w:gridCol w:w="999"/>
        <w:gridCol w:w="1198"/>
      </w:tblGrid>
      <w:tr w:rsidR="005558FF" w:rsidRPr="001B015B" w14:paraId="445F1240" w14:textId="77777777" w:rsidTr="00CA7F04">
        <w:trPr>
          <w:trHeight w:val="185"/>
        </w:trPr>
        <w:tc>
          <w:tcPr>
            <w:tcW w:w="3876" w:type="dxa"/>
            <w:tcBorders>
              <w:top w:val="nil"/>
              <w:left w:val="nil"/>
              <w:bottom w:val="nil"/>
              <w:right w:val="nil"/>
            </w:tcBorders>
            <w:shd w:val="clear" w:color="auto" w:fill="auto"/>
            <w:vAlign w:val="center"/>
          </w:tcPr>
          <w:p w14:paraId="575EE09C" w14:textId="77777777" w:rsidR="005558FF" w:rsidRPr="001B015B" w:rsidRDefault="005558FF" w:rsidP="00CA7F04">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Banka</w:t>
            </w:r>
          </w:p>
        </w:tc>
        <w:tc>
          <w:tcPr>
            <w:tcW w:w="1134" w:type="dxa"/>
            <w:tcBorders>
              <w:top w:val="nil"/>
              <w:left w:val="nil"/>
              <w:bottom w:val="nil"/>
              <w:right w:val="nil"/>
            </w:tcBorders>
            <w:shd w:val="clear" w:color="auto" w:fill="auto"/>
            <w:vAlign w:val="center"/>
          </w:tcPr>
          <w:p w14:paraId="6DDBAB5E" w14:textId="77777777" w:rsidR="005558FF" w:rsidRPr="001B015B" w:rsidRDefault="005558FF" w:rsidP="00CA7F04">
            <w:pPr>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center"/>
          </w:tcPr>
          <w:p w14:paraId="1F4A282A" w14:textId="77777777" w:rsidR="005558FF" w:rsidRPr="001B015B" w:rsidRDefault="005558FF" w:rsidP="00CA7F04">
            <w:pPr>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center"/>
          </w:tcPr>
          <w:p w14:paraId="7AF3A633" w14:textId="77777777" w:rsidR="005558FF" w:rsidRPr="001B015B" w:rsidRDefault="005558FF" w:rsidP="00CA7F04">
            <w:pPr>
              <w:jc w:val="right"/>
              <w:rPr>
                <w:rFonts w:ascii="Arial" w:eastAsia="Calibri" w:hAnsi="Arial" w:cs="Arial"/>
                <w:b/>
                <w:bCs/>
                <w:color w:val="000000" w:themeColor="text1"/>
                <w:sz w:val="18"/>
                <w:szCs w:val="18"/>
              </w:rPr>
            </w:pPr>
          </w:p>
        </w:tc>
        <w:tc>
          <w:tcPr>
            <w:tcW w:w="999" w:type="dxa"/>
            <w:tcBorders>
              <w:top w:val="nil"/>
              <w:left w:val="nil"/>
              <w:bottom w:val="nil"/>
              <w:right w:val="nil"/>
            </w:tcBorders>
            <w:shd w:val="clear" w:color="auto" w:fill="auto"/>
            <w:vAlign w:val="center"/>
          </w:tcPr>
          <w:p w14:paraId="703BF5A6" w14:textId="77777777" w:rsidR="005558FF" w:rsidRPr="001B015B" w:rsidRDefault="005558FF" w:rsidP="00CA7F04">
            <w:pPr>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center"/>
          </w:tcPr>
          <w:p w14:paraId="474BDCB6" w14:textId="77777777" w:rsidR="005558FF" w:rsidRPr="001B015B" w:rsidRDefault="005558FF" w:rsidP="00CA7F04">
            <w:pPr>
              <w:jc w:val="right"/>
              <w:rPr>
                <w:rFonts w:ascii="Arial" w:eastAsia="Calibri" w:hAnsi="Arial" w:cs="Arial"/>
                <w:b/>
                <w:bCs/>
                <w:color w:val="000000" w:themeColor="text1"/>
                <w:sz w:val="18"/>
                <w:szCs w:val="18"/>
              </w:rPr>
            </w:pPr>
          </w:p>
        </w:tc>
      </w:tr>
      <w:tr w:rsidR="005558FF" w:rsidRPr="001B015B" w14:paraId="2311810C" w14:textId="77777777" w:rsidTr="00CA7F04">
        <w:trPr>
          <w:trHeight w:val="185"/>
        </w:trPr>
        <w:tc>
          <w:tcPr>
            <w:tcW w:w="3876" w:type="dxa"/>
            <w:tcBorders>
              <w:top w:val="nil"/>
              <w:left w:val="nil"/>
              <w:bottom w:val="nil"/>
              <w:right w:val="nil"/>
            </w:tcBorders>
            <w:shd w:val="clear" w:color="auto" w:fill="auto"/>
            <w:vAlign w:val="center"/>
            <w:hideMark/>
          </w:tcPr>
          <w:p w14:paraId="0E4BFCD1" w14:textId="77777777" w:rsidR="005558FF" w:rsidRPr="001B015B" w:rsidRDefault="005558FF" w:rsidP="00CA7F04">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31. prosinca 202</w:t>
            </w:r>
            <w:r>
              <w:rPr>
                <w:rFonts w:ascii="Arial" w:eastAsia="Calibri" w:hAnsi="Arial" w:cs="Arial"/>
                <w:b/>
                <w:bCs/>
                <w:color w:val="000000" w:themeColor="text1"/>
                <w:sz w:val="18"/>
                <w:szCs w:val="18"/>
              </w:rPr>
              <w:t>3</w:t>
            </w:r>
            <w:r w:rsidRPr="001B015B">
              <w:rPr>
                <w:rFonts w:ascii="Arial" w:eastAsia="Calibri" w:hAnsi="Arial" w:cs="Arial"/>
                <w:b/>
                <w:bCs/>
                <w:color w:val="000000" w:themeColor="text1"/>
                <w:sz w:val="18"/>
                <w:szCs w:val="18"/>
              </w:rPr>
              <w:t>.</w:t>
            </w:r>
          </w:p>
        </w:tc>
        <w:tc>
          <w:tcPr>
            <w:tcW w:w="1134" w:type="dxa"/>
            <w:tcBorders>
              <w:top w:val="nil"/>
              <w:left w:val="nil"/>
              <w:bottom w:val="nil"/>
              <w:right w:val="nil"/>
            </w:tcBorders>
            <w:shd w:val="clear" w:color="auto" w:fill="auto"/>
            <w:vAlign w:val="center"/>
            <w:hideMark/>
          </w:tcPr>
          <w:p w14:paraId="142E900E" w14:textId="77777777" w:rsidR="005558FF" w:rsidRPr="001B015B" w:rsidRDefault="005558FF"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1</w:t>
            </w:r>
          </w:p>
        </w:tc>
        <w:tc>
          <w:tcPr>
            <w:tcW w:w="1077" w:type="dxa"/>
            <w:tcBorders>
              <w:top w:val="nil"/>
              <w:left w:val="nil"/>
              <w:bottom w:val="nil"/>
              <w:right w:val="nil"/>
            </w:tcBorders>
            <w:shd w:val="clear" w:color="auto" w:fill="auto"/>
            <w:vAlign w:val="center"/>
            <w:hideMark/>
          </w:tcPr>
          <w:p w14:paraId="5959306B" w14:textId="77777777" w:rsidR="005558FF" w:rsidRPr="001B015B" w:rsidRDefault="005558FF"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2</w:t>
            </w:r>
          </w:p>
        </w:tc>
        <w:tc>
          <w:tcPr>
            <w:tcW w:w="1077" w:type="dxa"/>
            <w:tcBorders>
              <w:top w:val="nil"/>
              <w:left w:val="nil"/>
              <w:bottom w:val="nil"/>
              <w:right w:val="nil"/>
            </w:tcBorders>
            <w:shd w:val="clear" w:color="auto" w:fill="auto"/>
            <w:vAlign w:val="center"/>
            <w:hideMark/>
          </w:tcPr>
          <w:p w14:paraId="4DA34FB6" w14:textId="77777777" w:rsidR="005558FF" w:rsidRPr="001B015B" w:rsidRDefault="005558FF"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3</w:t>
            </w:r>
          </w:p>
        </w:tc>
        <w:tc>
          <w:tcPr>
            <w:tcW w:w="999" w:type="dxa"/>
            <w:tcBorders>
              <w:top w:val="nil"/>
              <w:left w:val="nil"/>
              <w:bottom w:val="nil"/>
              <w:right w:val="nil"/>
            </w:tcBorders>
            <w:shd w:val="clear" w:color="auto" w:fill="auto"/>
            <w:vAlign w:val="center"/>
            <w:hideMark/>
          </w:tcPr>
          <w:p w14:paraId="0D35E6F7" w14:textId="77777777" w:rsidR="005558FF" w:rsidRPr="001B015B" w:rsidRDefault="005558FF"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POCI</w:t>
            </w:r>
          </w:p>
        </w:tc>
        <w:tc>
          <w:tcPr>
            <w:tcW w:w="1198" w:type="dxa"/>
            <w:tcBorders>
              <w:top w:val="nil"/>
              <w:left w:val="nil"/>
              <w:bottom w:val="nil"/>
              <w:right w:val="nil"/>
            </w:tcBorders>
            <w:shd w:val="clear" w:color="auto" w:fill="auto"/>
            <w:vAlign w:val="center"/>
            <w:hideMark/>
          </w:tcPr>
          <w:p w14:paraId="67EA5025" w14:textId="77777777" w:rsidR="005558FF" w:rsidRPr="001B015B" w:rsidRDefault="005558FF"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Ukupno</w:t>
            </w:r>
          </w:p>
        </w:tc>
      </w:tr>
      <w:tr w:rsidR="005558FF" w:rsidRPr="001B015B" w14:paraId="5F6EBFFA" w14:textId="77777777" w:rsidTr="00CA7F04">
        <w:trPr>
          <w:trHeight w:val="185"/>
        </w:trPr>
        <w:tc>
          <w:tcPr>
            <w:tcW w:w="3876" w:type="dxa"/>
            <w:tcBorders>
              <w:top w:val="nil"/>
              <w:left w:val="nil"/>
              <w:bottom w:val="nil"/>
              <w:right w:val="nil"/>
            </w:tcBorders>
            <w:shd w:val="clear" w:color="auto" w:fill="auto"/>
            <w:vAlign w:val="center"/>
            <w:hideMark/>
          </w:tcPr>
          <w:p w14:paraId="71906885" w14:textId="77777777" w:rsidR="005558FF" w:rsidRPr="001B015B" w:rsidRDefault="005558FF" w:rsidP="00CA7F04">
            <w:pPr>
              <w:jc w:val="right"/>
              <w:rPr>
                <w:rFonts w:ascii="Arial" w:eastAsia="Calibri" w:hAnsi="Arial" w:cs="Arial"/>
                <w:b/>
                <w:bCs/>
                <w:color w:val="000000" w:themeColor="text1"/>
                <w:sz w:val="18"/>
                <w:szCs w:val="18"/>
              </w:rPr>
            </w:pPr>
          </w:p>
        </w:tc>
        <w:tc>
          <w:tcPr>
            <w:tcW w:w="1134" w:type="dxa"/>
            <w:tcBorders>
              <w:top w:val="nil"/>
              <w:left w:val="nil"/>
              <w:bottom w:val="nil"/>
              <w:right w:val="nil"/>
            </w:tcBorders>
            <w:shd w:val="clear" w:color="auto" w:fill="auto"/>
            <w:vAlign w:val="bottom"/>
            <w:hideMark/>
          </w:tcPr>
          <w:p w14:paraId="4C06BB3D" w14:textId="77777777" w:rsidR="005558FF" w:rsidRPr="001B015B" w:rsidRDefault="005558FF" w:rsidP="00CA7F04">
            <w:pPr>
              <w:jc w:val="right"/>
              <w:rPr>
                <w:rFonts w:ascii="Arial" w:eastAsia="Calibri" w:hAnsi="Arial" w:cs="Arial"/>
                <w:b/>
                <w:bCs/>
                <w:color w:val="000000" w:themeColor="text1"/>
                <w:sz w:val="18"/>
                <w:szCs w:val="18"/>
              </w:rPr>
            </w:pPr>
            <w:r w:rsidRPr="000E026D">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bottom"/>
            <w:hideMark/>
          </w:tcPr>
          <w:p w14:paraId="3949F5FE" w14:textId="77777777" w:rsidR="005558FF" w:rsidRPr="001B015B" w:rsidRDefault="005558FF" w:rsidP="00CA7F04">
            <w:pPr>
              <w:jc w:val="right"/>
              <w:rPr>
                <w:rFonts w:ascii="Arial" w:eastAsia="Calibri" w:hAnsi="Arial" w:cs="Arial"/>
                <w:b/>
                <w:bCs/>
                <w:color w:val="000000" w:themeColor="text1"/>
                <w:sz w:val="18"/>
                <w:szCs w:val="18"/>
              </w:rPr>
            </w:pPr>
            <w:r w:rsidRPr="000E026D">
              <w:rPr>
                <w:rFonts w:ascii="Arial" w:eastAsia="Calibri" w:hAnsi="Arial" w:cs="Arial"/>
                <w:b/>
                <w:bCs/>
                <w:color w:val="000000" w:themeColor="text1"/>
                <w:sz w:val="18"/>
                <w:szCs w:val="18"/>
              </w:rPr>
              <w:t>000 eura</w:t>
            </w:r>
          </w:p>
        </w:tc>
        <w:tc>
          <w:tcPr>
            <w:tcW w:w="1077" w:type="dxa"/>
            <w:tcBorders>
              <w:top w:val="nil"/>
              <w:left w:val="nil"/>
              <w:bottom w:val="nil"/>
              <w:right w:val="nil"/>
            </w:tcBorders>
            <w:shd w:val="clear" w:color="auto" w:fill="auto"/>
            <w:vAlign w:val="bottom"/>
            <w:hideMark/>
          </w:tcPr>
          <w:p w14:paraId="656EDB27" w14:textId="77777777" w:rsidR="005558FF" w:rsidRPr="001B015B" w:rsidRDefault="005558FF" w:rsidP="00CA7F04">
            <w:pPr>
              <w:jc w:val="right"/>
              <w:rPr>
                <w:rFonts w:ascii="Arial" w:eastAsia="Calibri" w:hAnsi="Arial" w:cs="Arial"/>
                <w:b/>
                <w:bCs/>
                <w:color w:val="000000" w:themeColor="text1"/>
                <w:sz w:val="18"/>
                <w:szCs w:val="18"/>
              </w:rPr>
            </w:pPr>
            <w:r w:rsidRPr="000E026D">
              <w:rPr>
                <w:rFonts w:ascii="Arial" w:eastAsia="Calibri" w:hAnsi="Arial" w:cs="Arial"/>
                <w:b/>
                <w:bCs/>
                <w:color w:val="000000" w:themeColor="text1"/>
                <w:sz w:val="18"/>
                <w:szCs w:val="18"/>
              </w:rPr>
              <w:t>000 eura</w:t>
            </w:r>
          </w:p>
        </w:tc>
        <w:tc>
          <w:tcPr>
            <w:tcW w:w="999" w:type="dxa"/>
            <w:tcBorders>
              <w:top w:val="nil"/>
              <w:left w:val="nil"/>
              <w:bottom w:val="nil"/>
              <w:right w:val="nil"/>
            </w:tcBorders>
            <w:shd w:val="clear" w:color="auto" w:fill="auto"/>
            <w:vAlign w:val="bottom"/>
            <w:hideMark/>
          </w:tcPr>
          <w:p w14:paraId="68DA44C0" w14:textId="77777777" w:rsidR="005558FF" w:rsidRPr="001B015B" w:rsidRDefault="005558FF" w:rsidP="00CA7F04">
            <w:pPr>
              <w:jc w:val="right"/>
              <w:rPr>
                <w:rFonts w:ascii="Arial" w:eastAsia="Calibri" w:hAnsi="Arial" w:cs="Arial"/>
                <w:b/>
                <w:bCs/>
                <w:color w:val="000000" w:themeColor="text1"/>
                <w:sz w:val="18"/>
                <w:szCs w:val="18"/>
              </w:rPr>
            </w:pPr>
            <w:r w:rsidRPr="000E026D">
              <w:rPr>
                <w:rFonts w:ascii="Arial" w:eastAsia="Calibri" w:hAnsi="Arial" w:cs="Arial"/>
                <w:b/>
                <w:bCs/>
                <w:color w:val="000000" w:themeColor="text1"/>
                <w:sz w:val="18"/>
                <w:szCs w:val="18"/>
              </w:rPr>
              <w:t>000 eura</w:t>
            </w:r>
          </w:p>
        </w:tc>
        <w:tc>
          <w:tcPr>
            <w:tcW w:w="1198" w:type="dxa"/>
            <w:tcBorders>
              <w:top w:val="nil"/>
              <w:left w:val="nil"/>
              <w:bottom w:val="nil"/>
              <w:right w:val="nil"/>
            </w:tcBorders>
            <w:shd w:val="clear" w:color="auto" w:fill="auto"/>
            <w:vAlign w:val="bottom"/>
            <w:hideMark/>
          </w:tcPr>
          <w:p w14:paraId="188C74EF" w14:textId="77777777" w:rsidR="005558FF" w:rsidRPr="001B015B" w:rsidRDefault="005558FF" w:rsidP="00CA7F04">
            <w:pPr>
              <w:jc w:val="right"/>
              <w:rPr>
                <w:rFonts w:ascii="Arial" w:eastAsia="Calibri" w:hAnsi="Arial" w:cs="Arial"/>
                <w:b/>
                <w:bCs/>
                <w:color w:val="000000" w:themeColor="text1"/>
                <w:sz w:val="18"/>
                <w:szCs w:val="18"/>
              </w:rPr>
            </w:pPr>
            <w:r w:rsidRPr="000E026D">
              <w:rPr>
                <w:rFonts w:ascii="Arial" w:eastAsia="Calibri" w:hAnsi="Arial" w:cs="Arial"/>
                <w:b/>
                <w:bCs/>
                <w:color w:val="000000" w:themeColor="text1"/>
                <w:sz w:val="18"/>
                <w:szCs w:val="18"/>
              </w:rPr>
              <w:t>000 eura</w:t>
            </w:r>
          </w:p>
        </w:tc>
      </w:tr>
      <w:tr w:rsidR="005558FF" w:rsidRPr="001B015B" w14:paraId="76CD326B" w14:textId="77777777" w:rsidTr="00CA7F04">
        <w:trPr>
          <w:trHeight w:val="185"/>
        </w:trPr>
        <w:tc>
          <w:tcPr>
            <w:tcW w:w="3876" w:type="dxa"/>
            <w:tcBorders>
              <w:top w:val="nil"/>
              <w:left w:val="nil"/>
              <w:bottom w:val="nil"/>
              <w:right w:val="nil"/>
            </w:tcBorders>
            <w:shd w:val="clear" w:color="auto" w:fill="auto"/>
            <w:vAlign w:val="center"/>
          </w:tcPr>
          <w:p w14:paraId="36C7BAC7" w14:textId="77777777" w:rsidR="005558FF" w:rsidRPr="001B015B" w:rsidRDefault="005558FF" w:rsidP="00CA7F04">
            <w:pPr>
              <w:jc w:val="right"/>
              <w:rPr>
                <w:rFonts w:ascii="Arial" w:eastAsia="Calibri" w:hAnsi="Arial" w:cs="Arial"/>
                <w:b/>
                <w:bCs/>
                <w:color w:val="000000" w:themeColor="text1"/>
                <w:sz w:val="18"/>
                <w:szCs w:val="18"/>
              </w:rPr>
            </w:pPr>
          </w:p>
        </w:tc>
        <w:tc>
          <w:tcPr>
            <w:tcW w:w="1134" w:type="dxa"/>
            <w:tcBorders>
              <w:top w:val="nil"/>
              <w:left w:val="nil"/>
              <w:bottom w:val="nil"/>
              <w:right w:val="nil"/>
            </w:tcBorders>
            <w:shd w:val="clear" w:color="auto" w:fill="auto"/>
            <w:vAlign w:val="center"/>
          </w:tcPr>
          <w:p w14:paraId="27553FC8" w14:textId="77777777" w:rsidR="005558FF" w:rsidRPr="001B015B" w:rsidRDefault="005558FF" w:rsidP="00CA7F04">
            <w:pPr>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center"/>
          </w:tcPr>
          <w:p w14:paraId="0C7CAD2F" w14:textId="77777777" w:rsidR="005558FF" w:rsidRPr="001B015B" w:rsidRDefault="005558FF" w:rsidP="00CA7F04">
            <w:pPr>
              <w:jc w:val="right"/>
              <w:rPr>
                <w:rFonts w:ascii="Arial" w:eastAsia="Calibri" w:hAnsi="Arial" w:cs="Arial"/>
                <w:b/>
                <w:bCs/>
                <w:color w:val="000000" w:themeColor="text1"/>
                <w:sz w:val="18"/>
                <w:szCs w:val="18"/>
              </w:rPr>
            </w:pPr>
          </w:p>
        </w:tc>
        <w:tc>
          <w:tcPr>
            <w:tcW w:w="1077" w:type="dxa"/>
            <w:tcBorders>
              <w:top w:val="nil"/>
              <w:left w:val="nil"/>
              <w:bottom w:val="nil"/>
              <w:right w:val="nil"/>
            </w:tcBorders>
            <w:shd w:val="clear" w:color="auto" w:fill="auto"/>
            <w:vAlign w:val="center"/>
          </w:tcPr>
          <w:p w14:paraId="260C892A" w14:textId="77777777" w:rsidR="005558FF" w:rsidRPr="001B015B" w:rsidRDefault="005558FF" w:rsidP="00CA7F04">
            <w:pPr>
              <w:jc w:val="right"/>
              <w:rPr>
                <w:rFonts w:ascii="Arial" w:eastAsia="Calibri" w:hAnsi="Arial" w:cs="Arial"/>
                <w:b/>
                <w:bCs/>
                <w:color w:val="000000" w:themeColor="text1"/>
                <w:sz w:val="18"/>
                <w:szCs w:val="18"/>
              </w:rPr>
            </w:pPr>
          </w:p>
        </w:tc>
        <w:tc>
          <w:tcPr>
            <w:tcW w:w="999" w:type="dxa"/>
            <w:tcBorders>
              <w:top w:val="nil"/>
              <w:left w:val="nil"/>
              <w:bottom w:val="nil"/>
              <w:right w:val="nil"/>
            </w:tcBorders>
            <w:shd w:val="clear" w:color="auto" w:fill="auto"/>
            <w:vAlign w:val="center"/>
          </w:tcPr>
          <w:p w14:paraId="49F6E6BA" w14:textId="77777777" w:rsidR="005558FF" w:rsidRPr="001B015B" w:rsidRDefault="005558FF" w:rsidP="00CA7F04">
            <w:pPr>
              <w:jc w:val="right"/>
              <w:rPr>
                <w:rFonts w:ascii="Arial" w:eastAsia="Calibri" w:hAnsi="Arial" w:cs="Arial"/>
                <w:b/>
                <w:bCs/>
                <w:color w:val="000000" w:themeColor="text1"/>
                <w:sz w:val="18"/>
                <w:szCs w:val="18"/>
              </w:rPr>
            </w:pPr>
          </w:p>
        </w:tc>
        <w:tc>
          <w:tcPr>
            <w:tcW w:w="1198" w:type="dxa"/>
            <w:tcBorders>
              <w:top w:val="nil"/>
              <w:left w:val="nil"/>
              <w:bottom w:val="nil"/>
              <w:right w:val="nil"/>
            </w:tcBorders>
            <w:shd w:val="clear" w:color="auto" w:fill="auto"/>
            <w:vAlign w:val="center"/>
          </w:tcPr>
          <w:p w14:paraId="1FFE3893" w14:textId="77777777" w:rsidR="005558FF" w:rsidRPr="001B015B" w:rsidRDefault="005558FF" w:rsidP="00CA7F04">
            <w:pPr>
              <w:jc w:val="right"/>
              <w:rPr>
                <w:rFonts w:ascii="Arial" w:eastAsia="Calibri" w:hAnsi="Arial" w:cs="Arial"/>
                <w:b/>
                <w:bCs/>
                <w:color w:val="000000" w:themeColor="text1"/>
                <w:sz w:val="18"/>
                <w:szCs w:val="18"/>
              </w:rPr>
            </w:pPr>
          </w:p>
        </w:tc>
      </w:tr>
      <w:tr w:rsidR="005558FF" w:rsidRPr="001B015B" w14:paraId="1443CC79" w14:textId="77777777" w:rsidTr="00CA7F04">
        <w:trPr>
          <w:trHeight w:val="185"/>
        </w:trPr>
        <w:tc>
          <w:tcPr>
            <w:tcW w:w="3876" w:type="dxa"/>
            <w:tcBorders>
              <w:top w:val="nil"/>
              <w:left w:val="nil"/>
              <w:bottom w:val="nil"/>
              <w:right w:val="nil"/>
            </w:tcBorders>
            <w:shd w:val="clear" w:color="auto" w:fill="auto"/>
            <w:vAlign w:val="center"/>
            <w:hideMark/>
          </w:tcPr>
          <w:p w14:paraId="39143CF7" w14:textId="77777777" w:rsidR="005558FF" w:rsidRPr="001B015B" w:rsidRDefault="005558FF"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3</w:t>
            </w:r>
            <w:r w:rsidRPr="001B015B">
              <w:rPr>
                <w:rFonts w:ascii="Arial" w:eastAsia="Calibri" w:hAnsi="Arial" w:cs="Arial"/>
                <w:color w:val="000000" w:themeColor="text1"/>
                <w:sz w:val="18"/>
                <w:szCs w:val="18"/>
              </w:rPr>
              <w:t xml:space="preserve">. </w:t>
            </w:r>
          </w:p>
        </w:tc>
        <w:tc>
          <w:tcPr>
            <w:tcW w:w="1134" w:type="dxa"/>
            <w:tcBorders>
              <w:top w:val="nil"/>
              <w:left w:val="nil"/>
              <w:bottom w:val="nil"/>
              <w:right w:val="nil"/>
            </w:tcBorders>
            <w:shd w:val="clear" w:color="auto" w:fill="auto"/>
            <w:vAlign w:val="bottom"/>
          </w:tcPr>
          <w:p w14:paraId="5873A094" w14:textId="77777777" w:rsidR="005558FF" w:rsidRPr="00593574" w:rsidRDefault="005558FF" w:rsidP="00CA7F04">
            <w:pPr>
              <w:jc w:val="right"/>
              <w:rPr>
                <w:rFonts w:ascii="Arial" w:hAnsi="Arial" w:cs="Arial"/>
                <w:sz w:val="18"/>
                <w:szCs w:val="18"/>
              </w:rPr>
            </w:pPr>
            <w:r w:rsidRPr="00F959D0">
              <w:rPr>
                <w:rFonts w:ascii="Arial" w:hAnsi="Arial" w:cs="Arial"/>
                <w:sz w:val="18"/>
                <w:szCs w:val="18"/>
              </w:rPr>
              <w:t xml:space="preserve"> 327 </w:t>
            </w:r>
          </w:p>
        </w:tc>
        <w:tc>
          <w:tcPr>
            <w:tcW w:w="1077" w:type="dxa"/>
            <w:tcBorders>
              <w:top w:val="nil"/>
              <w:left w:val="nil"/>
              <w:bottom w:val="nil"/>
              <w:right w:val="nil"/>
            </w:tcBorders>
            <w:shd w:val="clear" w:color="auto" w:fill="auto"/>
            <w:vAlign w:val="bottom"/>
          </w:tcPr>
          <w:p w14:paraId="66E4273A" w14:textId="77777777" w:rsidR="005558FF" w:rsidRPr="00593574" w:rsidRDefault="005558FF" w:rsidP="00CA7F04">
            <w:pPr>
              <w:jc w:val="right"/>
              <w:rPr>
                <w:rFonts w:ascii="Arial" w:hAnsi="Arial" w:cs="Arial"/>
                <w:sz w:val="18"/>
                <w:szCs w:val="18"/>
              </w:rPr>
            </w:pPr>
            <w:r w:rsidRPr="00F959D0">
              <w:rPr>
                <w:rFonts w:ascii="Arial" w:hAnsi="Arial" w:cs="Arial"/>
                <w:sz w:val="18"/>
                <w:szCs w:val="18"/>
              </w:rPr>
              <w:t xml:space="preserve"> 48 </w:t>
            </w:r>
          </w:p>
        </w:tc>
        <w:tc>
          <w:tcPr>
            <w:tcW w:w="1077" w:type="dxa"/>
            <w:tcBorders>
              <w:top w:val="nil"/>
              <w:left w:val="nil"/>
              <w:bottom w:val="nil"/>
              <w:right w:val="nil"/>
            </w:tcBorders>
            <w:shd w:val="clear" w:color="auto" w:fill="auto"/>
            <w:vAlign w:val="bottom"/>
          </w:tcPr>
          <w:p w14:paraId="59C1D7A0" w14:textId="77777777" w:rsidR="005558FF" w:rsidRPr="00593574" w:rsidRDefault="005558FF" w:rsidP="00CA7F04">
            <w:pPr>
              <w:jc w:val="right"/>
              <w:rPr>
                <w:rFonts w:ascii="Arial" w:hAnsi="Arial" w:cs="Arial"/>
                <w:sz w:val="18"/>
                <w:szCs w:val="18"/>
              </w:rPr>
            </w:pPr>
            <w:r w:rsidRPr="00F959D0">
              <w:rPr>
                <w:rFonts w:ascii="Arial" w:hAnsi="Arial" w:cs="Arial"/>
                <w:sz w:val="18"/>
                <w:szCs w:val="18"/>
              </w:rPr>
              <w:t xml:space="preserve"> 231 </w:t>
            </w:r>
          </w:p>
        </w:tc>
        <w:tc>
          <w:tcPr>
            <w:tcW w:w="999" w:type="dxa"/>
            <w:tcBorders>
              <w:top w:val="nil"/>
              <w:left w:val="nil"/>
              <w:bottom w:val="nil"/>
              <w:right w:val="nil"/>
            </w:tcBorders>
            <w:shd w:val="clear" w:color="auto" w:fill="auto"/>
            <w:vAlign w:val="bottom"/>
          </w:tcPr>
          <w:p w14:paraId="7C7A031E" w14:textId="77777777" w:rsidR="005558FF" w:rsidRPr="00593574" w:rsidRDefault="005558FF" w:rsidP="00CA7F04">
            <w:pPr>
              <w:jc w:val="right"/>
              <w:rPr>
                <w:rFonts w:ascii="Arial" w:hAnsi="Arial" w:cs="Arial"/>
                <w:sz w:val="18"/>
                <w:szCs w:val="18"/>
              </w:rPr>
            </w:pPr>
            <w:r>
              <w:rPr>
                <w:rFonts w:ascii="Arial" w:hAnsi="Arial" w:cs="Arial"/>
                <w:sz w:val="18"/>
                <w:szCs w:val="18"/>
              </w:rPr>
              <w:t>-</w:t>
            </w:r>
          </w:p>
        </w:tc>
        <w:tc>
          <w:tcPr>
            <w:tcW w:w="1198" w:type="dxa"/>
            <w:tcBorders>
              <w:top w:val="nil"/>
              <w:left w:val="nil"/>
              <w:bottom w:val="nil"/>
              <w:right w:val="nil"/>
            </w:tcBorders>
            <w:shd w:val="clear" w:color="auto" w:fill="auto"/>
            <w:vAlign w:val="bottom"/>
          </w:tcPr>
          <w:p w14:paraId="6FD6889C" w14:textId="77777777" w:rsidR="005558FF" w:rsidRPr="005D1219" w:rsidRDefault="005558FF" w:rsidP="00CA7F04">
            <w:pPr>
              <w:jc w:val="right"/>
              <w:rPr>
                <w:rFonts w:ascii="Arial" w:hAnsi="Arial" w:cs="Arial"/>
                <w:b/>
                <w:bCs/>
                <w:sz w:val="18"/>
                <w:szCs w:val="18"/>
              </w:rPr>
            </w:pPr>
            <w:r w:rsidRPr="005D1219">
              <w:rPr>
                <w:rFonts w:ascii="Arial" w:hAnsi="Arial" w:cs="Arial"/>
                <w:b/>
                <w:bCs/>
                <w:sz w:val="18"/>
                <w:szCs w:val="18"/>
              </w:rPr>
              <w:t xml:space="preserve"> 606 </w:t>
            </w:r>
          </w:p>
        </w:tc>
      </w:tr>
      <w:tr w:rsidR="005558FF" w:rsidRPr="001B015B" w14:paraId="4C81F43E" w14:textId="77777777" w:rsidTr="00CA7F04">
        <w:trPr>
          <w:trHeight w:val="185"/>
        </w:trPr>
        <w:tc>
          <w:tcPr>
            <w:tcW w:w="3876" w:type="dxa"/>
            <w:shd w:val="clear" w:color="auto" w:fill="auto"/>
          </w:tcPr>
          <w:p w14:paraId="080804EB" w14:textId="77777777" w:rsidR="005558FF" w:rsidRPr="001B015B" w:rsidRDefault="005558FF"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1</w:t>
            </w:r>
          </w:p>
        </w:tc>
        <w:tc>
          <w:tcPr>
            <w:tcW w:w="1134" w:type="dxa"/>
            <w:tcBorders>
              <w:top w:val="nil"/>
              <w:left w:val="nil"/>
              <w:bottom w:val="nil"/>
              <w:right w:val="nil"/>
            </w:tcBorders>
            <w:shd w:val="clear" w:color="auto" w:fill="auto"/>
            <w:vAlign w:val="bottom"/>
          </w:tcPr>
          <w:p w14:paraId="36B15F5F" w14:textId="77777777" w:rsidR="005558FF" w:rsidRPr="00593574" w:rsidRDefault="005558FF" w:rsidP="00CA7F04">
            <w:pPr>
              <w:jc w:val="right"/>
              <w:rPr>
                <w:rFonts w:ascii="Arial" w:hAnsi="Arial" w:cs="Arial"/>
                <w:sz w:val="18"/>
                <w:szCs w:val="18"/>
              </w:rPr>
            </w:pPr>
            <w:r w:rsidRPr="00F959D0">
              <w:rPr>
                <w:rFonts w:ascii="Arial" w:hAnsi="Arial" w:cs="Arial"/>
                <w:sz w:val="18"/>
                <w:szCs w:val="18"/>
              </w:rPr>
              <w:t xml:space="preserve"> 44 </w:t>
            </w:r>
          </w:p>
        </w:tc>
        <w:tc>
          <w:tcPr>
            <w:tcW w:w="1077" w:type="dxa"/>
            <w:tcBorders>
              <w:top w:val="nil"/>
              <w:left w:val="nil"/>
              <w:bottom w:val="nil"/>
              <w:right w:val="nil"/>
            </w:tcBorders>
            <w:shd w:val="clear" w:color="auto" w:fill="auto"/>
            <w:vAlign w:val="bottom"/>
          </w:tcPr>
          <w:p w14:paraId="4DA49B99" w14:textId="77777777" w:rsidR="005558FF" w:rsidRPr="00593574" w:rsidRDefault="005558FF" w:rsidP="00CA7F04">
            <w:pPr>
              <w:jc w:val="right"/>
              <w:rPr>
                <w:rFonts w:ascii="Arial" w:hAnsi="Arial" w:cs="Arial"/>
                <w:sz w:val="18"/>
                <w:szCs w:val="18"/>
              </w:rPr>
            </w:pPr>
            <w:r w:rsidRPr="00F959D0">
              <w:rPr>
                <w:rFonts w:ascii="Arial" w:hAnsi="Arial" w:cs="Arial"/>
                <w:sz w:val="18"/>
                <w:szCs w:val="18"/>
              </w:rPr>
              <w:t xml:space="preserve"> (44)</w:t>
            </w:r>
          </w:p>
        </w:tc>
        <w:tc>
          <w:tcPr>
            <w:tcW w:w="1077" w:type="dxa"/>
            <w:tcBorders>
              <w:top w:val="nil"/>
              <w:left w:val="nil"/>
              <w:bottom w:val="nil"/>
              <w:right w:val="nil"/>
            </w:tcBorders>
            <w:shd w:val="clear" w:color="auto" w:fill="auto"/>
            <w:vAlign w:val="bottom"/>
          </w:tcPr>
          <w:p w14:paraId="3EF21F7D" w14:textId="77777777" w:rsidR="005558FF" w:rsidRPr="00593574" w:rsidRDefault="005558FF" w:rsidP="00CA7F04">
            <w:pPr>
              <w:jc w:val="right"/>
              <w:rPr>
                <w:rFonts w:ascii="Arial" w:hAnsi="Arial" w:cs="Arial"/>
                <w:sz w:val="18"/>
                <w:szCs w:val="18"/>
              </w:rPr>
            </w:pPr>
            <w:r>
              <w:rPr>
                <w:rFonts w:ascii="Arial" w:hAnsi="Arial" w:cs="Arial"/>
                <w:sz w:val="18"/>
                <w:szCs w:val="18"/>
              </w:rPr>
              <w:t>-</w:t>
            </w:r>
          </w:p>
        </w:tc>
        <w:tc>
          <w:tcPr>
            <w:tcW w:w="999" w:type="dxa"/>
            <w:tcBorders>
              <w:top w:val="nil"/>
              <w:left w:val="nil"/>
              <w:bottom w:val="nil"/>
              <w:right w:val="nil"/>
            </w:tcBorders>
            <w:shd w:val="clear" w:color="auto" w:fill="auto"/>
            <w:vAlign w:val="bottom"/>
          </w:tcPr>
          <w:p w14:paraId="69AECF41" w14:textId="77777777" w:rsidR="005558FF" w:rsidRPr="00593574" w:rsidRDefault="005558FF" w:rsidP="00CA7F04">
            <w:pPr>
              <w:jc w:val="right"/>
              <w:rPr>
                <w:rFonts w:ascii="Arial" w:hAnsi="Arial" w:cs="Arial"/>
                <w:sz w:val="18"/>
                <w:szCs w:val="18"/>
              </w:rPr>
            </w:pPr>
            <w:r>
              <w:rPr>
                <w:rFonts w:ascii="Arial" w:hAnsi="Arial" w:cs="Arial"/>
                <w:sz w:val="18"/>
                <w:szCs w:val="18"/>
              </w:rPr>
              <w:t>-</w:t>
            </w:r>
          </w:p>
        </w:tc>
        <w:tc>
          <w:tcPr>
            <w:tcW w:w="1198" w:type="dxa"/>
            <w:tcBorders>
              <w:top w:val="nil"/>
              <w:left w:val="nil"/>
              <w:bottom w:val="nil"/>
              <w:right w:val="nil"/>
            </w:tcBorders>
            <w:shd w:val="clear" w:color="auto" w:fill="auto"/>
            <w:vAlign w:val="bottom"/>
          </w:tcPr>
          <w:p w14:paraId="7251F070" w14:textId="77777777" w:rsidR="005558FF" w:rsidRPr="005D1219" w:rsidRDefault="005558FF" w:rsidP="00CA7F04">
            <w:pPr>
              <w:jc w:val="right"/>
              <w:rPr>
                <w:rFonts w:ascii="Arial" w:hAnsi="Arial" w:cs="Arial"/>
                <w:b/>
                <w:bCs/>
                <w:sz w:val="18"/>
                <w:szCs w:val="18"/>
              </w:rPr>
            </w:pPr>
            <w:r w:rsidRPr="005D1219">
              <w:rPr>
                <w:rFonts w:ascii="Arial" w:hAnsi="Arial" w:cs="Arial"/>
                <w:b/>
                <w:bCs/>
                <w:sz w:val="18"/>
                <w:szCs w:val="18"/>
              </w:rPr>
              <w:t xml:space="preserve"> - </w:t>
            </w:r>
          </w:p>
        </w:tc>
      </w:tr>
      <w:tr w:rsidR="005558FF" w:rsidRPr="001B015B" w14:paraId="7FB0D307" w14:textId="77777777" w:rsidTr="00CA7F04">
        <w:trPr>
          <w:trHeight w:val="185"/>
        </w:trPr>
        <w:tc>
          <w:tcPr>
            <w:tcW w:w="3876" w:type="dxa"/>
            <w:shd w:val="clear" w:color="auto" w:fill="auto"/>
          </w:tcPr>
          <w:p w14:paraId="3083DC98" w14:textId="77777777" w:rsidR="005558FF" w:rsidRPr="001B015B" w:rsidRDefault="005558FF"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2</w:t>
            </w:r>
          </w:p>
        </w:tc>
        <w:tc>
          <w:tcPr>
            <w:tcW w:w="1134" w:type="dxa"/>
            <w:tcBorders>
              <w:top w:val="nil"/>
              <w:left w:val="nil"/>
              <w:bottom w:val="nil"/>
              <w:right w:val="nil"/>
            </w:tcBorders>
            <w:shd w:val="clear" w:color="auto" w:fill="auto"/>
            <w:vAlign w:val="bottom"/>
          </w:tcPr>
          <w:p w14:paraId="4DB2868A" w14:textId="77777777" w:rsidR="005558FF" w:rsidRPr="00593574" w:rsidRDefault="005558FF" w:rsidP="00CA7F04">
            <w:pPr>
              <w:jc w:val="right"/>
              <w:rPr>
                <w:rFonts w:ascii="Arial" w:hAnsi="Arial" w:cs="Arial"/>
                <w:sz w:val="18"/>
                <w:szCs w:val="18"/>
              </w:rPr>
            </w:pPr>
            <w:r w:rsidRPr="006539F7">
              <w:rPr>
                <w:rFonts w:ascii="Arial" w:hAnsi="Arial" w:cs="Arial"/>
                <w:sz w:val="18"/>
                <w:szCs w:val="18"/>
              </w:rPr>
              <w:t xml:space="preserve"> - </w:t>
            </w:r>
          </w:p>
        </w:tc>
        <w:tc>
          <w:tcPr>
            <w:tcW w:w="1077" w:type="dxa"/>
            <w:tcBorders>
              <w:top w:val="nil"/>
              <w:left w:val="nil"/>
              <w:bottom w:val="nil"/>
              <w:right w:val="nil"/>
            </w:tcBorders>
            <w:shd w:val="clear" w:color="auto" w:fill="auto"/>
            <w:vAlign w:val="bottom"/>
          </w:tcPr>
          <w:p w14:paraId="54E0355F" w14:textId="77777777" w:rsidR="005558FF" w:rsidRPr="00593574" w:rsidRDefault="005558FF" w:rsidP="00CA7F04">
            <w:pPr>
              <w:jc w:val="right"/>
              <w:rPr>
                <w:rFonts w:ascii="Arial" w:hAnsi="Arial" w:cs="Arial"/>
                <w:sz w:val="18"/>
                <w:szCs w:val="18"/>
              </w:rPr>
            </w:pPr>
            <w:r w:rsidRPr="006539F7">
              <w:rPr>
                <w:rFonts w:ascii="Arial" w:hAnsi="Arial" w:cs="Arial"/>
                <w:sz w:val="18"/>
                <w:szCs w:val="18"/>
              </w:rPr>
              <w:t xml:space="preserve"> - </w:t>
            </w:r>
          </w:p>
        </w:tc>
        <w:tc>
          <w:tcPr>
            <w:tcW w:w="1077" w:type="dxa"/>
            <w:tcBorders>
              <w:top w:val="nil"/>
              <w:left w:val="nil"/>
              <w:bottom w:val="nil"/>
              <w:right w:val="nil"/>
            </w:tcBorders>
            <w:shd w:val="clear" w:color="auto" w:fill="auto"/>
            <w:vAlign w:val="bottom"/>
          </w:tcPr>
          <w:p w14:paraId="386C642A" w14:textId="77777777" w:rsidR="005558FF" w:rsidRPr="00593574" w:rsidRDefault="005558FF" w:rsidP="00CA7F04">
            <w:pPr>
              <w:jc w:val="right"/>
              <w:rPr>
                <w:rFonts w:ascii="Arial" w:hAnsi="Arial" w:cs="Arial"/>
                <w:sz w:val="18"/>
                <w:szCs w:val="18"/>
              </w:rPr>
            </w:pPr>
            <w:r w:rsidRPr="006539F7">
              <w:rPr>
                <w:rFonts w:ascii="Arial" w:hAnsi="Arial" w:cs="Arial"/>
                <w:sz w:val="18"/>
                <w:szCs w:val="18"/>
              </w:rPr>
              <w:t xml:space="preserve"> - </w:t>
            </w:r>
          </w:p>
        </w:tc>
        <w:tc>
          <w:tcPr>
            <w:tcW w:w="999" w:type="dxa"/>
            <w:tcBorders>
              <w:top w:val="nil"/>
              <w:left w:val="nil"/>
              <w:bottom w:val="nil"/>
              <w:right w:val="nil"/>
            </w:tcBorders>
            <w:shd w:val="clear" w:color="auto" w:fill="auto"/>
            <w:vAlign w:val="bottom"/>
          </w:tcPr>
          <w:p w14:paraId="314B7341" w14:textId="77777777" w:rsidR="005558FF" w:rsidRPr="00593574" w:rsidRDefault="005558FF" w:rsidP="00CA7F04">
            <w:pPr>
              <w:jc w:val="right"/>
              <w:rPr>
                <w:rFonts w:ascii="Arial" w:hAnsi="Arial" w:cs="Arial"/>
                <w:sz w:val="18"/>
                <w:szCs w:val="18"/>
              </w:rPr>
            </w:pPr>
            <w:r w:rsidRPr="006539F7">
              <w:rPr>
                <w:rFonts w:ascii="Arial" w:hAnsi="Arial" w:cs="Arial"/>
                <w:sz w:val="18"/>
                <w:szCs w:val="18"/>
              </w:rPr>
              <w:t xml:space="preserve"> - </w:t>
            </w:r>
          </w:p>
        </w:tc>
        <w:tc>
          <w:tcPr>
            <w:tcW w:w="1198" w:type="dxa"/>
            <w:tcBorders>
              <w:top w:val="nil"/>
              <w:left w:val="nil"/>
              <w:bottom w:val="nil"/>
              <w:right w:val="nil"/>
            </w:tcBorders>
            <w:shd w:val="clear" w:color="auto" w:fill="auto"/>
            <w:vAlign w:val="bottom"/>
          </w:tcPr>
          <w:p w14:paraId="36914FD8" w14:textId="77777777" w:rsidR="005558FF" w:rsidRPr="005D1219" w:rsidRDefault="005558FF" w:rsidP="00CA7F04">
            <w:pPr>
              <w:jc w:val="right"/>
              <w:rPr>
                <w:rFonts w:ascii="Arial" w:hAnsi="Arial" w:cs="Arial"/>
                <w:b/>
                <w:bCs/>
                <w:sz w:val="18"/>
                <w:szCs w:val="18"/>
              </w:rPr>
            </w:pPr>
            <w:r w:rsidRPr="005D1219">
              <w:rPr>
                <w:rFonts w:ascii="Arial" w:hAnsi="Arial" w:cs="Arial"/>
                <w:b/>
                <w:bCs/>
                <w:sz w:val="18"/>
                <w:szCs w:val="18"/>
              </w:rPr>
              <w:t xml:space="preserve"> - </w:t>
            </w:r>
          </w:p>
        </w:tc>
      </w:tr>
      <w:tr w:rsidR="005558FF" w:rsidRPr="001B015B" w14:paraId="4B869214" w14:textId="77777777" w:rsidTr="00CA7F04">
        <w:trPr>
          <w:trHeight w:val="185"/>
        </w:trPr>
        <w:tc>
          <w:tcPr>
            <w:tcW w:w="3876" w:type="dxa"/>
            <w:shd w:val="clear" w:color="auto" w:fill="auto"/>
            <w:hideMark/>
          </w:tcPr>
          <w:p w14:paraId="3D9CB146" w14:textId="77777777" w:rsidR="005558FF" w:rsidRPr="001B015B" w:rsidRDefault="005558FF"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3</w:t>
            </w:r>
          </w:p>
        </w:tc>
        <w:tc>
          <w:tcPr>
            <w:tcW w:w="1134" w:type="dxa"/>
            <w:tcBorders>
              <w:top w:val="nil"/>
              <w:left w:val="nil"/>
              <w:bottom w:val="nil"/>
              <w:right w:val="nil"/>
            </w:tcBorders>
            <w:shd w:val="clear" w:color="auto" w:fill="auto"/>
            <w:vAlign w:val="bottom"/>
          </w:tcPr>
          <w:p w14:paraId="3F499C7A" w14:textId="77777777" w:rsidR="005558FF" w:rsidRPr="00593574" w:rsidRDefault="005558FF" w:rsidP="00CA7F04">
            <w:pPr>
              <w:jc w:val="right"/>
              <w:rPr>
                <w:rFonts w:ascii="Arial" w:hAnsi="Arial" w:cs="Arial"/>
                <w:sz w:val="18"/>
                <w:szCs w:val="18"/>
              </w:rPr>
            </w:pPr>
            <w:r w:rsidRPr="006539F7">
              <w:rPr>
                <w:rFonts w:ascii="Arial" w:hAnsi="Arial" w:cs="Arial"/>
                <w:sz w:val="18"/>
                <w:szCs w:val="18"/>
              </w:rPr>
              <w:t xml:space="preserve"> - </w:t>
            </w:r>
          </w:p>
        </w:tc>
        <w:tc>
          <w:tcPr>
            <w:tcW w:w="1077" w:type="dxa"/>
            <w:tcBorders>
              <w:top w:val="nil"/>
              <w:left w:val="nil"/>
              <w:bottom w:val="nil"/>
              <w:right w:val="nil"/>
            </w:tcBorders>
            <w:shd w:val="clear" w:color="auto" w:fill="auto"/>
            <w:vAlign w:val="bottom"/>
          </w:tcPr>
          <w:p w14:paraId="0604CA31" w14:textId="77777777" w:rsidR="005558FF" w:rsidRPr="00593574" w:rsidRDefault="005558FF" w:rsidP="00CA7F04">
            <w:pPr>
              <w:jc w:val="right"/>
              <w:rPr>
                <w:rFonts w:ascii="Arial" w:hAnsi="Arial" w:cs="Arial"/>
                <w:sz w:val="18"/>
                <w:szCs w:val="18"/>
              </w:rPr>
            </w:pPr>
            <w:r w:rsidRPr="006539F7">
              <w:rPr>
                <w:rFonts w:ascii="Arial" w:hAnsi="Arial" w:cs="Arial"/>
                <w:sz w:val="18"/>
                <w:szCs w:val="18"/>
              </w:rPr>
              <w:t xml:space="preserve"> - </w:t>
            </w:r>
          </w:p>
        </w:tc>
        <w:tc>
          <w:tcPr>
            <w:tcW w:w="1077" w:type="dxa"/>
            <w:tcBorders>
              <w:top w:val="nil"/>
              <w:left w:val="nil"/>
              <w:bottom w:val="nil"/>
              <w:right w:val="nil"/>
            </w:tcBorders>
            <w:shd w:val="clear" w:color="auto" w:fill="auto"/>
            <w:vAlign w:val="bottom"/>
          </w:tcPr>
          <w:p w14:paraId="00CD736D" w14:textId="77777777" w:rsidR="005558FF" w:rsidRPr="00593574" w:rsidRDefault="005558FF" w:rsidP="00CA7F04">
            <w:pPr>
              <w:jc w:val="right"/>
              <w:rPr>
                <w:rFonts w:ascii="Arial" w:hAnsi="Arial" w:cs="Arial"/>
                <w:sz w:val="18"/>
                <w:szCs w:val="18"/>
              </w:rPr>
            </w:pPr>
            <w:r w:rsidRPr="006539F7">
              <w:rPr>
                <w:rFonts w:ascii="Arial" w:hAnsi="Arial" w:cs="Arial"/>
                <w:sz w:val="18"/>
                <w:szCs w:val="18"/>
              </w:rPr>
              <w:t xml:space="preserve"> - </w:t>
            </w:r>
          </w:p>
        </w:tc>
        <w:tc>
          <w:tcPr>
            <w:tcW w:w="999" w:type="dxa"/>
            <w:tcBorders>
              <w:top w:val="nil"/>
              <w:left w:val="nil"/>
              <w:bottom w:val="nil"/>
              <w:right w:val="nil"/>
            </w:tcBorders>
            <w:shd w:val="clear" w:color="auto" w:fill="auto"/>
            <w:vAlign w:val="bottom"/>
          </w:tcPr>
          <w:p w14:paraId="64D1C3DC" w14:textId="77777777" w:rsidR="005558FF" w:rsidRPr="00593574" w:rsidRDefault="005558FF" w:rsidP="00CA7F04">
            <w:pPr>
              <w:jc w:val="right"/>
              <w:rPr>
                <w:rFonts w:ascii="Arial" w:hAnsi="Arial" w:cs="Arial"/>
                <w:sz w:val="18"/>
                <w:szCs w:val="18"/>
              </w:rPr>
            </w:pPr>
            <w:r w:rsidRPr="006539F7">
              <w:rPr>
                <w:rFonts w:ascii="Arial" w:hAnsi="Arial" w:cs="Arial"/>
                <w:sz w:val="18"/>
                <w:szCs w:val="18"/>
              </w:rPr>
              <w:t xml:space="preserve"> - </w:t>
            </w:r>
          </w:p>
        </w:tc>
        <w:tc>
          <w:tcPr>
            <w:tcW w:w="1198" w:type="dxa"/>
            <w:tcBorders>
              <w:top w:val="nil"/>
              <w:left w:val="nil"/>
              <w:bottom w:val="nil"/>
              <w:right w:val="nil"/>
            </w:tcBorders>
            <w:shd w:val="clear" w:color="auto" w:fill="auto"/>
            <w:vAlign w:val="bottom"/>
          </w:tcPr>
          <w:p w14:paraId="5E53AFA7" w14:textId="77777777" w:rsidR="005558FF" w:rsidRPr="005D1219" w:rsidRDefault="005558FF" w:rsidP="00CA7F04">
            <w:pPr>
              <w:jc w:val="right"/>
              <w:rPr>
                <w:rFonts w:ascii="Arial" w:hAnsi="Arial" w:cs="Arial"/>
                <w:b/>
                <w:bCs/>
                <w:sz w:val="18"/>
                <w:szCs w:val="18"/>
              </w:rPr>
            </w:pPr>
            <w:r w:rsidRPr="005D1219">
              <w:rPr>
                <w:rFonts w:ascii="Arial" w:hAnsi="Arial" w:cs="Arial"/>
                <w:b/>
                <w:bCs/>
                <w:sz w:val="18"/>
                <w:szCs w:val="18"/>
              </w:rPr>
              <w:t xml:space="preserve"> - </w:t>
            </w:r>
          </w:p>
        </w:tc>
      </w:tr>
      <w:tr w:rsidR="005558FF" w:rsidRPr="001B015B" w14:paraId="3D985DC5" w14:textId="77777777" w:rsidTr="00CA7F04">
        <w:trPr>
          <w:trHeight w:val="230"/>
        </w:trPr>
        <w:tc>
          <w:tcPr>
            <w:tcW w:w="3876" w:type="dxa"/>
            <w:tcBorders>
              <w:top w:val="nil"/>
              <w:left w:val="nil"/>
              <w:bottom w:val="nil"/>
              <w:right w:val="nil"/>
            </w:tcBorders>
            <w:shd w:val="clear" w:color="auto" w:fill="auto"/>
            <w:vAlign w:val="center"/>
            <w:hideMark/>
          </w:tcPr>
          <w:p w14:paraId="049EDF23" w14:textId="77777777" w:rsidR="005558FF" w:rsidRPr="001B015B" w:rsidRDefault="005558FF"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 xml:space="preserve">Neto </w:t>
            </w:r>
            <w:r w:rsidRPr="00593574">
              <w:rPr>
                <w:rFonts w:ascii="Arial" w:eastAsia="Calibri" w:hAnsi="Arial" w:cs="Arial"/>
                <w:color w:val="000000" w:themeColor="text1"/>
                <w:sz w:val="18"/>
                <w:szCs w:val="18"/>
              </w:rPr>
              <w:t>(smanjenje)</w:t>
            </w:r>
            <w:r w:rsidRPr="001B015B">
              <w:rPr>
                <w:rFonts w:ascii="Arial" w:eastAsia="Calibri" w:hAnsi="Arial" w:cs="Arial"/>
                <w:color w:val="000000" w:themeColor="text1"/>
                <w:sz w:val="18"/>
                <w:szCs w:val="18"/>
              </w:rPr>
              <w:t xml:space="preserve"> rezerviranja za očekivane gubitke </w:t>
            </w:r>
          </w:p>
        </w:tc>
        <w:tc>
          <w:tcPr>
            <w:tcW w:w="1134" w:type="dxa"/>
            <w:tcBorders>
              <w:top w:val="nil"/>
              <w:left w:val="nil"/>
              <w:bottom w:val="nil"/>
              <w:right w:val="nil"/>
            </w:tcBorders>
            <w:shd w:val="clear" w:color="auto" w:fill="auto"/>
            <w:vAlign w:val="bottom"/>
          </w:tcPr>
          <w:p w14:paraId="5DE2FB55" w14:textId="77777777" w:rsidR="005558FF" w:rsidRPr="00593574" w:rsidRDefault="005558FF" w:rsidP="00CA7F04">
            <w:pPr>
              <w:jc w:val="right"/>
              <w:rPr>
                <w:rFonts w:ascii="Arial" w:hAnsi="Arial" w:cs="Arial"/>
                <w:sz w:val="18"/>
                <w:szCs w:val="18"/>
              </w:rPr>
            </w:pPr>
            <w:r w:rsidRPr="00F959D0">
              <w:rPr>
                <w:rFonts w:ascii="Arial" w:hAnsi="Arial" w:cs="Arial"/>
                <w:sz w:val="18"/>
                <w:szCs w:val="18"/>
              </w:rPr>
              <w:t xml:space="preserve"> (160)</w:t>
            </w:r>
          </w:p>
        </w:tc>
        <w:tc>
          <w:tcPr>
            <w:tcW w:w="1077" w:type="dxa"/>
            <w:tcBorders>
              <w:top w:val="nil"/>
              <w:left w:val="nil"/>
              <w:bottom w:val="nil"/>
              <w:right w:val="nil"/>
            </w:tcBorders>
            <w:shd w:val="clear" w:color="auto" w:fill="auto"/>
            <w:vAlign w:val="bottom"/>
          </w:tcPr>
          <w:p w14:paraId="67D0DFDE" w14:textId="77777777" w:rsidR="005558FF" w:rsidRPr="00593574" w:rsidRDefault="005558FF" w:rsidP="00CA7F04">
            <w:pPr>
              <w:jc w:val="right"/>
              <w:rPr>
                <w:rFonts w:ascii="Arial" w:hAnsi="Arial" w:cs="Arial"/>
                <w:sz w:val="18"/>
                <w:szCs w:val="18"/>
              </w:rPr>
            </w:pPr>
            <w:r w:rsidRPr="00F959D0">
              <w:rPr>
                <w:rFonts w:ascii="Arial" w:hAnsi="Arial" w:cs="Arial"/>
                <w:sz w:val="18"/>
                <w:szCs w:val="18"/>
              </w:rPr>
              <w:t xml:space="preserve"> (4)</w:t>
            </w:r>
          </w:p>
        </w:tc>
        <w:tc>
          <w:tcPr>
            <w:tcW w:w="1077" w:type="dxa"/>
            <w:tcBorders>
              <w:top w:val="nil"/>
              <w:left w:val="nil"/>
              <w:bottom w:val="nil"/>
              <w:right w:val="nil"/>
            </w:tcBorders>
            <w:shd w:val="clear" w:color="auto" w:fill="auto"/>
            <w:vAlign w:val="bottom"/>
          </w:tcPr>
          <w:p w14:paraId="53292861" w14:textId="77777777" w:rsidR="005558FF" w:rsidRPr="00593574" w:rsidRDefault="005558FF" w:rsidP="00CA7F04">
            <w:pPr>
              <w:jc w:val="right"/>
              <w:rPr>
                <w:rFonts w:ascii="Arial" w:hAnsi="Arial" w:cs="Arial"/>
                <w:sz w:val="18"/>
                <w:szCs w:val="18"/>
              </w:rPr>
            </w:pPr>
            <w:r>
              <w:rPr>
                <w:rFonts w:ascii="Arial" w:hAnsi="Arial" w:cs="Arial"/>
                <w:sz w:val="18"/>
                <w:szCs w:val="18"/>
              </w:rPr>
              <w:t>-</w:t>
            </w:r>
          </w:p>
        </w:tc>
        <w:tc>
          <w:tcPr>
            <w:tcW w:w="999" w:type="dxa"/>
            <w:tcBorders>
              <w:top w:val="nil"/>
              <w:left w:val="nil"/>
              <w:bottom w:val="nil"/>
              <w:right w:val="nil"/>
            </w:tcBorders>
            <w:shd w:val="clear" w:color="auto" w:fill="auto"/>
            <w:vAlign w:val="bottom"/>
          </w:tcPr>
          <w:p w14:paraId="6CFEFE2E" w14:textId="77777777" w:rsidR="005558FF" w:rsidRPr="00593574" w:rsidRDefault="005558FF" w:rsidP="00CA7F04">
            <w:pPr>
              <w:jc w:val="right"/>
              <w:rPr>
                <w:rFonts w:ascii="Arial" w:hAnsi="Arial" w:cs="Arial"/>
                <w:sz w:val="18"/>
                <w:szCs w:val="18"/>
              </w:rPr>
            </w:pPr>
            <w:r>
              <w:rPr>
                <w:rFonts w:ascii="Arial" w:hAnsi="Arial" w:cs="Arial"/>
                <w:sz w:val="18"/>
                <w:szCs w:val="18"/>
              </w:rPr>
              <w:t>-</w:t>
            </w:r>
          </w:p>
        </w:tc>
        <w:tc>
          <w:tcPr>
            <w:tcW w:w="1198" w:type="dxa"/>
            <w:tcBorders>
              <w:top w:val="nil"/>
              <w:left w:val="nil"/>
              <w:bottom w:val="nil"/>
              <w:right w:val="nil"/>
            </w:tcBorders>
            <w:shd w:val="clear" w:color="auto" w:fill="auto"/>
            <w:vAlign w:val="bottom"/>
          </w:tcPr>
          <w:p w14:paraId="0D6A2EF6" w14:textId="77777777" w:rsidR="005558FF" w:rsidRPr="005D1219" w:rsidRDefault="005558FF" w:rsidP="00CA7F04">
            <w:pPr>
              <w:jc w:val="right"/>
              <w:rPr>
                <w:rFonts w:ascii="Arial" w:hAnsi="Arial" w:cs="Arial"/>
                <w:b/>
                <w:bCs/>
                <w:sz w:val="18"/>
                <w:szCs w:val="18"/>
              </w:rPr>
            </w:pPr>
            <w:r w:rsidRPr="005D1219">
              <w:rPr>
                <w:rFonts w:ascii="Arial" w:hAnsi="Arial" w:cs="Arial"/>
                <w:b/>
                <w:bCs/>
                <w:sz w:val="18"/>
                <w:szCs w:val="18"/>
              </w:rPr>
              <w:t xml:space="preserve"> (164)</w:t>
            </w:r>
          </w:p>
        </w:tc>
      </w:tr>
      <w:tr w:rsidR="005558FF" w:rsidRPr="001B015B" w14:paraId="474AC306" w14:textId="77777777" w:rsidTr="00CA7F04">
        <w:trPr>
          <w:trHeight w:val="193"/>
        </w:trPr>
        <w:tc>
          <w:tcPr>
            <w:tcW w:w="3876" w:type="dxa"/>
            <w:tcBorders>
              <w:top w:val="nil"/>
              <w:left w:val="nil"/>
              <w:bottom w:val="nil"/>
              <w:right w:val="nil"/>
            </w:tcBorders>
            <w:shd w:val="clear" w:color="auto" w:fill="auto"/>
            <w:vAlign w:val="center"/>
            <w:hideMark/>
          </w:tcPr>
          <w:p w14:paraId="033C6EBB" w14:textId="77777777" w:rsidR="005558FF" w:rsidRPr="001B015B" w:rsidRDefault="005558FF" w:rsidP="00CA7F04">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Stanje 31. prosinca 202</w:t>
            </w:r>
            <w:r>
              <w:rPr>
                <w:rFonts w:ascii="Arial" w:eastAsia="Calibri" w:hAnsi="Arial" w:cs="Arial"/>
                <w:b/>
                <w:bCs/>
                <w:color w:val="000000" w:themeColor="text1"/>
                <w:sz w:val="18"/>
                <w:szCs w:val="18"/>
              </w:rPr>
              <w:t>3</w:t>
            </w:r>
            <w:r w:rsidRPr="001B015B">
              <w:rPr>
                <w:rFonts w:ascii="Arial" w:eastAsia="Calibri" w:hAnsi="Arial" w:cs="Arial"/>
                <w:b/>
                <w:bCs/>
                <w:color w:val="000000" w:themeColor="text1"/>
                <w:sz w:val="18"/>
                <w:szCs w:val="18"/>
              </w:rPr>
              <w:t>.</w:t>
            </w:r>
          </w:p>
        </w:tc>
        <w:tc>
          <w:tcPr>
            <w:tcW w:w="1134" w:type="dxa"/>
            <w:tcBorders>
              <w:top w:val="nil"/>
              <w:left w:val="nil"/>
              <w:bottom w:val="single" w:sz="12" w:space="0" w:color="auto"/>
              <w:right w:val="nil"/>
            </w:tcBorders>
            <w:shd w:val="clear" w:color="auto" w:fill="auto"/>
            <w:vAlign w:val="bottom"/>
          </w:tcPr>
          <w:p w14:paraId="4070BBC6" w14:textId="77777777" w:rsidR="005558FF" w:rsidRPr="00593574" w:rsidRDefault="005558FF" w:rsidP="00CA7F04">
            <w:pPr>
              <w:jc w:val="right"/>
              <w:rPr>
                <w:rFonts w:ascii="Arial" w:hAnsi="Arial" w:cs="Arial"/>
                <w:b/>
                <w:bCs/>
                <w:sz w:val="18"/>
                <w:szCs w:val="18"/>
              </w:rPr>
            </w:pPr>
            <w:r w:rsidRPr="00F959D0">
              <w:rPr>
                <w:rFonts w:ascii="Arial" w:hAnsi="Arial" w:cs="Arial"/>
                <w:b/>
                <w:bCs/>
                <w:sz w:val="18"/>
                <w:szCs w:val="18"/>
              </w:rPr>
              <w:t xml:space="preserve"> 211 </w:t>
            </w:r>
          </w:p>
        </w:tc>
        <w:tc>
          <w:tcPr>
            <w:tcW w:w="1077" w:type="dxa"/>
            <w:tcBorders>
              <w:top w:val="nil"/>
              <w:left w:val="nil"/>
              <w:bottom w:val="single" w:sz="12" w:space="0" w:color="auto"/>
              <w:right w:val="nil"/>
            </w:tcBorders>
            <w:shd w:val="clear" w:color="auto" w:fill="auto"/>
            <w:vAlign w:val="bottom"/>
          </w:tcPr>
          <w:p w14:paraId="3FE06B7B" w14:textId="77777777" w:rsidR="005558FF" w:rsidRPr="00593574" w:rsidRDefault="005558FF" w:rsidP="00CA7F04">
            <w:pPr>
              <w:jc w:val="right"/>
              <w:rPr>
                <w:rFonts w:ascii="Arial" w:hAnsi="Arial" w:cs="Arial"/>
                <w:b/>
                <w:bCs/>
                <w:sz w:val="18"/>
                <w:szCs w:val="18"/>
              </w:rPr>
            </w:pPr>
            <w:r w:rsidRPr="00F959D0">
              <w:rPr>
                <w:rFonts w:ascii="Arial" w:hAnsi="Arial" w:cs="Arial"/>
                <w:b/>
                <w:bCs/>
                <w:sz w:val="18"/>
                <w:szCs w:val="18"/>
              </w:rPr>
              <w:t xml:space="preserve"> - </w:t>
            </w:r>
          </w:p>
        </w:tc>
        <w:tc>
          <w:tcPr>
            <w:tcW w:w="1077" w:type="dxa"/>
            <w:tcBorders>
              <w:top w:val="nil"/>
              <w:left w:val="nil"/>
              <w:bottom w:val="single" w:sz="12" w:space="0" w:color="auto"/>
              <w:right w:val="nil"/>
            </w:tcBorders>
            <w:shd w:val="clear" w:color="auto" w:fill="auto"/>
            <w:vAlign w:val="bottom"/>
          </w:tcPr>
          <w:p w14:paraId="1F882248" w14:textId="77777777" w:rsidR="005558FF" w:rsidRPr="00593574" w:rsidRDefault="005558FF" w:rsidP="00CA7F04">
            <w:pPr>
              <w:jc w:val="right"/>
              <w:rPr>
                <w:rFonts w:ascii="Arial" w:hAnsi="Arial" w:cs="Arial"/>
                <w:b/>
                <w:bCs/>
                <w:sz w:val="18"/>
                <w:szCs w:val="18"/>
              </w:rPr>
            </w:pPr>
            <w:r w:rsidRPr="00F959D0">
              <w:rPr>
                <w:rFonts w:ascii="Arial" w:hAnsi="Arial" w:cs="Arial"/>
                <w:b/>
                <w:bCs/>
                <w:sz w:val="18"/>
                <w:szCs w:val="18"/>
              </w:rPr>
              <w:t xml:space="preserve"> 231 </w:t>
            </w:r>
          </w:p>
        </w:tc>
        <w:tc>
          <w:tcPr>
            <w:tcW w:w="999" w:type="dxa"/>
            <w:tcBorders>
              <w:top w:val="nil"/>
              <w:left w:val="nil"/>
              <w:bottom w:val="single" w:sz="12" w:space="0" w:color="auto"/>
              <w:right w:val="nil"/>
            </w:tcBorders>
            <w:shd w:val="clear" w:color="auto" w:fill="auto"/>
            <w:vAlign w:val="bottom"/>
          </w:tcPr>
          <w:p w14:paraId="4497DA68" w14:textId="77777777" w:rsidR="005558FF" w:rsidRPr="00593574" w:rsidRDefault="005558FF" w:rsidP="00CA7F04">
            <w:pPr>
              <w:jc w:val="right"/>
              <w:rPr>
                <w:rFonts w:ascii="Arial" w:hAnsi="Arial" w:cs="Arial"/>
                <w:b/>
                <w:bCs/>
                <w:sz w:val="18"/>
                <w:szCs w:val="18"/>
              </w:rPr>
            </w:pPr>
            <w:r w:rsidRPr="00F959D0">
              <w:rPr>
                <w:rFonts w:ascii="Arial" w:hAnsi="Arial" w:cs="Arial"/>
                <w:b/>
                <w:bCs/>
                <w:sz w:val="18"/>
                <w:szCs w:val="18"/>
              </w:rPr>
              <w:t xml:space="preserve"> - </w:t>
            </w:r>
          </w:p>
        </w:tc>
        <w:tc>
          <w:tcPr>
            <w:tcW w:w="1198" w:type="dxa"/>
            <w:tcBorders>
              <w:top w:val="nil"/>
              <w:left w:val="nil"/>
              <w:bottom w:val="single" w:sz="12" w:space="0" w:color="auto"/>
              <w:right w:val="nil"/>
            </w:tcBorders>
            <w:shd w:val="clear" w:color="auto" w:fill="auto"/>
            <w:vAlign w:val="bottom"/>
          </w:tcPr>
          <w:p w14:paraId="10A28EBE" w14:textId="77777777" w:rsidR="005558FF" w:rsidRPr="00593574" w:rsidRDefault="005558FF" w:rsidP="00CA7F04">
            <w:pPr>
              <w:jc w:val="right"/>
              <w:rPr>
                <w:rFonts w:ascii="Arial" w:hAnsi="Arial" w:cs="Arial"/>
                <w:b/>
                <w:bCs/>
                <w:sz w:val="18"/>
                <w:szCs w:val="18"/>
              </w:rPr>
            </w:pPr>
            <w:r w:rsidRPr="00F959D0">
              <w:rPr>
                <w:rFonts w:ascii="Arial" w:hAnsi="Arial" w:cs="Arial"/>
                <w:b/>
                <w:bCs/>
                <w:sz w:val="18"/>
                <w:szCs w:val="18"/>
              </w:rPr>
              <w:t xml:space="preserve"> 442 </w:t>
            </w:r>
          </w:p>
        </w:tc>
      </w:tr>
    </w:tbl>
    <w:p w14:paraId="3D35E354" w14:textId="77777777" w:rsidR="005558FF" w:rsidRPr="003D1614" w:rsidRDefault="005558FF" w:rsidP="001A0FCB">
      <w:pPr>
        <w:suppressAutoHyphens/>
        <w:autoSpaceDN w:val="0"/>
        <w:jc w:val="both"/>
        <w:rPr>
          <w:rFonts w:ascii="Arial" w:eastAsia="Times New Roman" w:hAnsi="Arial" w:cs="Arial"/>
          <w:color w:val="000000" w:themeColor="text1"/>
          <w:sz w:val="20"/>
          <w:szCs w:val="20"/>
        </w:rPr>
      </w:pPr>
    </w:p>
    <w:p w14:paraId="5496B434" w14:textId="77777777" w:rsidR="00A269B5" w:rsidRPr="003D1614" w:rsidRDefault="00A269B5" w:rsidP="001A0FCB">
      <w:pPr>
        <w:suppressAutoHyphens/>
        <w:autoSpaceDN w:val="0"/>
        <w:jc w:val="both"/>
        <w:rPr>
          <w:rFonts w:ascii="Arial" w:eastAsia="Times New Roman" w:hAnsi="Arial" w:cs="Arial"/>
          <w:color w:val="000000" w:themeColor="text1"/>
          <w:sz w:val="20"/>
          <w:szCs w:val="20"/>
        </w:rPr>
        <w:sectPr w:rsidR="00A269B5" w:rsidRPr="003D1614" w:rsidSect="003278AB">
          <w:pgSz w:w="11906" w:h="16838"/>
          <w:pgMar w:top="1417" w:right="1417" w:bottom="1417" w:left="1417" w:header="708" w:footer="708" w:gutter="0"/>
          <w:cols w:space="708"/>
          <w:docGrid w:linePitch="360"/>
        </w:sectPr>
      </w:pPr>
    </w:p>
    <w:p w14:paraId="1A60DD73"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111C3A21" w14:textId="2B5FF9F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02EEC40E"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1CE40C2E" w14:textId="12E74098"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bookmarkStart w:id="764" w:name="_Hlk35340107"/>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73B3F1F0"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595581FE"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4068C637"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p>
    <w:p w14:paraId="0E88F6C3" w14:textId="77777777" w:rsidR="00A269B5" w:rsidRPr="003D1614" w:rsidRDefault="00A269B5" w:rsidP="00A269B5">
      <w:pPr>
        <w:suppressAutoHyphens/>
        <w:autoSpaceDN w:val="0"/>
        <w:jc w:val="both"/>
        <w:rPr>
          <w:rFonts w:ascii="Arial" w:eastAsia="Calibri" w:hAnsi="Arial" w:cs="Arial"/>
          <w:b/>
          <w:bCs/>
          <w:color w:val="000000" w:themeColor="text1"/>
          <w:sz w:val="20"/>
          <w:szCs w:val="20"/>
        </w:rPr>
      </w:pPr>
      <w:r w:rsidRPr="003D1614">
        <w:rPr>
          <w:rFonts w:ascii="Arial" w:eastAsia="Calibri" w:hAnsi="Arial" w:cs="Arial"/>
          <w:b/>
          <w:bCs/>
          <w:color w:val="000000" w:themeColor="text1"/>
          <w:sz w:val="20"/>
          <w:szCs w:val="20"/>
        </w:rPr>
        <w:t xml:space="preserve">Ostala imovina </w:t>
      </w:r>
    </w:p>
    <w:p w14:paraId="376F54F5" w14:textId="77777777" w:rsidR="00A269B5" w:rsidRPr="003D1614" w:rsidRDefault="00A269B5" w:rsidP="00A269B5">
      <w:pPr>
        <w:suppressAutoHyphens/>
        <w:autoSpaceDN w:val="0"/>
        <w:jc w:val="both"/>
        <w:rPr>
          <w:rFonts w:ascii="Arial" w:eastAsia="Calibri" w:hAnsi="Arial" w:cs="Arial"/>
          <w:b/>
          <w:bCs/>
          <w:color w:val="000000" w:themeColor="text1"/>
          <w:sz w:val="20"/>
          <w:szCs w:val="20"/>
        </w:rPr>
      </w:pPr>
    </w:p>
    <w:tbl>
      <w:tblPr>
        <w:tblW w:w="9380" w:type="dxa"/>
        <w:tblInd w:w="-180" w:type="dxa"/>
        <w:tblLook w:val="04A0" w:firstRow="1" w:lastRow="0" w:firstColumn="1" w:lastColumn="0" w:noHBand="0" w:noVBand="1"/>
      </w:tblPr>
      <w:tblGrid>
        <w:gridCol w:w="4159"/>
        <w:gridCol w:w="1031"/>
        <w:gridCol w:w="1031"/>
        <w:gridCol w:w="1031"/>
        <w:gridCol w:w="1028"/>
        <w:gridCol w:w="1100"/>
      </w:tblGrid>
      <w:tr w:rsidR="00A269B5" w:rsidRPr="003D1614" w14:paraId="02323023" w14:textId="77777777" w:rsidTr="00AD0393">
        <w:trPr>
          <w:trHeight w:val="203"/>
        </w:trPr>
        <w:tc>
          <w:tcPr>
            <w:tcW w:w="4159" w:type="dxa"/>
            <w:tcBorders>
              <w:top w:val="nil"/>
              <w:left w:val="nil"/>
              <w:bottom w:val="nil"/>
              <w:right w:val="nil"/>
            </w:tcBorders>
            <w:shd w:val="clear" w:color="auto" w:fill="auto"/>
            <w:vAlign w:val="center"/>
          </w:tcPr>
          <w:p w14:paraId="451B04BC" w14:textId="77777777" w:rsidR="00A269B5" w:rsidRPr="003D1614" w:rsidRDefault="00A269B5" w:rsidP="00A269B5">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 xml:space="preserve">Grupa </w:t>
            </w:r>
          </w:p>
        </w:tc>
        <w:tc>
          <w:tcPr>
            <w:tcW w:w="1031" w:type="dxa"/>
            <w:tcBorders>
              <w:top w:val="nil"/>
              <w:left w:val="nil"/>
              <w:bottom w:val="nil"/>
              <w:right w:val="nil"/>
            </w:tcBorders>
            <w:shd w:val="clear" w:color="auto" w:fill="auto"/>
            <w:vAlign w:val="center"/>
          </w:tcPr>
          <w:p w14:paraId="38916FF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center"/>
          </w:tcPr>
          <w:p w14:paraId="3E8073FA"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center"/>
          </w:tcPr>
          <w:p w14:paraId="60EE083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26BE5AB6"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00" w:type="dxa"/>
            <w:tcBorders>
              <w:top w:val="nil"/>
              <w:left w:val="nil"/>
              <w:bottom w:val="nil"/>
              <w:right w:val="nil"/>
            </w:tcBorders>
            <w:shd w:val="clear" w:color="auto" w:fill="auto"/>
            <w:vAlign w:val="center"/>
          </w:tcPr>
          <w:p w14:paraId="6FAAB016"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bookmarkEnd w:id="764"/>
      <w:tr w:rsidR="00A269B5" w:rsidRPr="003D1614" w14:paraId="57D2917A" w14:textId="77777777" w:rsidTr="00AD0393">
        <w:trPr>
          <w:trHeight w:val="203"/>
        </w:trPr>
        <w:tc>
          <w:tcPr>
            <w:tcW w:w="4159" w:type="dxa"/>
            <w:tcBorders>
              <w:top w:val="nil"/>
              <w:left w:val="nil"/>
              <w:bottom w:val="nil"/>
              <w:right w:val="nil"/>
            </w:tcBorders>
            <w:shd w:val="clear" w:color="auto" w:fill="auto"/>
            <w:vAlign w:val="center"/>
            <w:hideMark/>
          </w:tcPr>
          <w:p w14:paraId="5A6D50CE" w14:textId="4097C7B0" w:rsidR="00A269B5" w:rsidRPr="003D1614" w:rsidRDefault="00A269B5" w:rsidP="00A269B5">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ožujka 202</w:t>
            </w:r>
            <w:r w:rsidR="005558FF">
              <w:rPr>
                <w:rFonts w:ascii="Arial" w:eastAsia="Calibri" w:hAnsi="Arial" w:cs="Arial"/>
                <w:b/>
                <w:bCs/>
                <w:color w:val="000000" w:themeColor="text1"/>
                <w:sz w:val="18"/>
                <w:szCs w:val="18"/>
              </w:rPr>
              <w:t>4</w:t>
            </w:r>
            <w:r w:rsidRPr="003D1614">
              <w:rPr>
                <w:rFonts w:ascii="Arial" w:eastAsia="Calibri" w:hAnsi="Arial" w:cs="Arial"/>
                <w:b/>
                <w:bCs/>
                <w:color w:val="000000" w:themeColor="text1"/>
                <w:sz w:val="18"/>
                <w:szCs w:val="18"/>
              </w:rPr>
              <w:t>.</w:t>
            </w:r>
          </w:p>
        </w:tc>
        <w:tc>
          <w:tcPr>
            <w:tcW w:w="1031" w:type="dxa"/>
            <w:tcBorders>
              <w:top w:val="nil"/>
              <w:left w:val="nil"/>
              <w:bottom w:val="nil"/>
              <w:right w:val="nil"/>
            </w:tcBorders>
            <w:shd w:val="clear" w:color="auto" w:fill="auto"/>
            <w:vAlign w:val="center"/>
            <w:hideMark/>
          </w:tcPr>
          <w:p w14:paraId="2EC1E17B"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31" w:type="dxa"/>
            <w:tcBorders>
              <w:top w:val="nil"/>
              <w:left w:val="nil"/>
              <w:bottom w:val="nil"/>
              <w:right w:val="nil"/>
            </w:tcBorders>
            <w:shd w:val="clear" w:color="auto" w:fill="auto"/>
            <w:vAlign w:val="center"/>
            <w:hideMark/>
          </w:tcPr>
          <w:p w14:paraId="5EF3F2B7"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31" w:type="dxa"/>
            <w:tcBorders>
              <w:top w:val="nil"/>
              <w:left w:val="nil"/>
              <w:bottom w:val="nil"/>
              <w:right w:val="nil"/>
            </w:tcBorders>
            <w:shd w:val="clear" w:color="auto" w:fill="auto"/>
            <w:vAlign w:val="center"/>
            <w:hideMark/>
          </w:tcPr>
          <w:p w14:paraId="4FB337D0"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28" w:type="dxa"/>
            <w:tcBorders>
              <w:top w:val="nil"/>
              <w:left w:val="nil"/>
              <w:bottom w:val="nil"/>
              <w:right w:val="nil"/>
            </w:tcBorders>
            <w:shd w:val="clear" w:color="auto" w:fill="auto"/>
            <w:vAlign w:val="center"/>
            <w:hideMark/>
          </w:tcPr>
          <w:p w14:paraId="2970FE88"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100" w:type="dxa"/>
            <w:tcBorders>
              <w:top w:val="nil"/>
              <w:left w:val="nil"/>
              <w:bottom w:val="nil"/>
              <w:right w:val="nil"/>
            </w:tcBorders>
            <w:shd w:val="clear" w:color="auto" w:fill="auto"/>
            <w:vAlign w:val="center"/>
            <w:hideMark/>
          </w:tcPr>
          <w:p w14:paraId="6EE1645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42BEB73C" w14:textId="77777777" w:rsidTr="00AD0393">
        <w:trPr>
          <w:trHeight w:val="203"/>
        </w:trPr>
        <w:tc>
          <w:tcPr>
            <w:tcW w:w="4159" w:type="dxa"/>
            <w:tcBorders>
              <w:top w:val="nil"/>
              <w:left w:val="nil"/>
              <w:bottom w:val="nil"/>
              <w:right w:val="nil"/>
            </w:tcBorders>
            <w:shd w:val="clear" w:color="auto" w:fill="auto"/>
            <w:vAlign w:val="center"/>
            <w:hideMark/>
          </w:tcPr>
          <w:p w14:paraId="4423E08B"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center"/>
            <w:hideMark/>
          </w:tcPr>
          <w:p w14:paraId="2F6A0B90" w14:textId="19E1ED56"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1" w:type="dxa"/>
            <w:tcBorders>
              <w:top w:val="nil"/>
              <w:left w:val="nil"/>
              <w:bottom w:val="nil"/>
              <w:right w:val="nil"/>
            </w:tcBorders>
            <w:shd w:val="clear" w:color="auto" w:fill="auto"/>
            <w:vAlign w:val="center"/>
            <w:hideMark/>
          </w:tcPr>
          <w:p w14:paraId="124A6FB4" w14:textId="32BD6460"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1" w:type="dxa"/>
            <w:tcBorders>
              <w:top w:val="nil"/>
              <w:left w:val="nil"/>
              <w:bottom w:val="nil"/>
              <w:right w:val="nil"/>
            </w:tcBorders>
            <w:shd w:val="clear" w:color="auto" w:fill="auto"/>
            <w:vAlign w:val="center"/>
            <w:hideMark/>
          </w:tcPr>
          <w:p w14:paraId="4CABFE71" w14:textId="4500C834"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8" w:type="dxa"/>
            <w:tcBorders>
              <w:top w:val="nil"/>
              <w:left w:val="nil"/>
              <w:bottom w:val="nil"/>
              <w:right w:val="nil"/>
            </w:tcBorders>
            <w:shd w:val="clear" w:color="auto" w:fill="auto"/>
            <w:vAlign w:val="center"/>
            <w:hideMark/>
          </w:tcPr>
          <w:p w14:paraId="7D4D1BC6" w14:textId="7B8A7080"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00" w:type="dxa"/>
            <w:tcBorders>
              <w:top w:val="nil"/>
              <w:left w:val="nil"/>
              <w:bottom w:val="nil"/>
              <w:right w:val="nil"/>
            </w:tcBorders>
            <w:shd w:val="clear" w:color="auto" w:fill="auto"/>
            <w:vAlign w:val="center"/>
            <w:hideMark/>
          </w:tcPr>
          <w:p w14:paraId="122F7C42" w14:textId="7DAA5831"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5E2EB59F" w14:textId="77777777" w:rsidTr="005D1219">
        <w:trPr>
          <w:trHeight w:val="203"/>
        </w:trPr>
        <w:tc>
          <w:tcPr>
            <w:tcW w:w="4159" w:type="dxa"/>
            <w:tcBorders>
              <w:top w:val="nil"/>
              <w:left w:val="nil"/>
              <w:bottom w:val="nil"/>
              <w:right w:val="nil"/>
            </w:tcBorders>
            <w:shd w:val="clear" w:color="auto" w:fill="auto"/>
            <w:vAlign w:val="center"/>
          </w:tcPr>
          <w:p w14:paraId="298848AC"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1" w:type="dxa"/>
            <w:tcBorders>
              <w:top w:val="nil"/>
              <w:left w:val="nil"/>
              <w:right w:val="nil"/>
            </w:tcBorders>
            <w:shd w:val="clear" w:color="auto" w:fill="auto"/>
            <w:vAlign w:val="center"/>
          </w:tcPr>
          <w:p w14:paraId="6C58BA16"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1" w:type="dxa"/>
            <w:tcBorders>
              <w:top w:val="nil"/>
              <w:left w:val="nil"/>
              <w:right w:val="nil"/>
            </w:tcBorders>
            <w:shd w:val="clear" w:color="auto" w:fill="auto"/>
            <w:vAlign w:val="center"/>
          </w:tcPr>
          <w:p w14:paraId="22E7C266"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1" w:type="dxa"/>
            <w:tcBorders>
              <w:top w:val="nil"/>
              <w:left w:val="nil"/>
              <w:right w:val="nil"/>
            </w:tcBorders>
            <w:shd w:val="clear" w:color="auto" w:fill="auto"/>
            <w:vAlign w:val="center"/>
          </w:tcPr>
          <w:p w14:paraId="301985D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28" w:type="dxa"/>
            <w:tcBorders>
              <w:top w:val="nil"/>
              <w:left w:val="nil"/>
              <w:right w:val="nil"/>
            </w:tcBorders>
            <w:shd w:val="clear" w:color="auto" w:fill="auto"/>
            <w:vAlign w:val="center"/>
          </w:tcPr>
          <w:p w14:paraId="5E2F76B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00" w:type="dxa"/>
            <w:tcBorders>
              <w:top w:val="nil"/>
              <w:left w:val="nil"/>
              <w:right w:val="nil"/>
            </w:tcBorders>
            <w:shd w:val="clear" w:color="auto" w:fill="auto"/>
            <w:vAlign w:val="center"/>
          </w:tcPr>
          <w:p w14:paraId="5DE9675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932E4A" w:rsidRPr="003D1614" w14:paraId="1842EDE0" w14:textId="77777777" w:rsidTr="005D1219">
        <w:trPr>
          <w:trHeight w:val="203"/>
        </w:trPr>
        <w:tc>
          <w:tcPr>
            <w:tcW w:w="4159" w:type="dxa"/>
            <w:tcBorders>
              <w:top w:val="nil"/>
              <w:left w:val="nil"/>
              <w:bottom w:val="nil"/>
              <w:right w:val="nil"/>
            </w:tcBorders>
            <w:shd w:val="clear" w:color="auto" w:fill="auto"/>
            <w:vAlign w:val="center"/>
            <w:hideMark/>
          </w:tcPr>
          <w:p w14:paraId="40FA6B01" w14:textId="0949F438" w:rsidR="00932E4A" w:rsidRPr="003D1614" w:rsidRDefault="00932E4A" w:rsidP="00932E4A">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4</w:t>
            </w:r>
            <w:r w:rsidRPr="003D1614">
              <w:rPr>
                <w:rFonts w:ascii="Arial" w:eastAsia="Calibri" w:hAnsi="Arial" w:cs="Arial"/>
                <w:color w:val="000000" w:themeColor="text1"/>
                <w:sz w:val="18"/>
                <w:szCs w:val="18"/>
              </w:rPr>
              <w:t xml:space="preserve">. </w:t>
            </w:r>
          </w:p>
        </w:tc>
        <w:tc>
          <w:tcPr>
            <w:tcW w:w="1031" w:type="dxa"/>
            <w:tcBorders>
              <w:top w:val="nil"/>
              <w:left w:val="nil"/>
              <w:right w:val="nil"/>
            </w:tcBorders>
            <w:shd w:val="clear" w:color="auto" w:fill="auto"/>
            <w:vAlign w:val="bottom"/>
          </w:tcPr>
          <w:p w14:paraId="61E7E1D3" w14:textId="0930B7DF" w:rsidR="00932E4A" w:rsidRPr="00932E4A" w:rsidRDefault="00932E4A" w:rsidP="00932E4A">
            <w:pPr>
              <w:suppressAutoHyphens/>
              <w:autoSpaceDN w:val="0"/>
              <w:jc w:val="right"/>
              <w:rPr>
                <w:rFonts w:ascii="Arial" w:eastAsia="Times New Roman" w:hAnsi="Arial" w:cs="Arial"/>
                <w:sz w:val="18"/>
                <w:szCs w:val="18"/>
              </w:rPr>
            </w:pPr>
            <w:r w:rsidRPr="005D1219">
              <w:rPr>
                <w:rFonts w:ascii="Arial" w:hAnsi="Arial" w:cs="Arial"/>
                <w:sz w:val="18"/>
                <w:szCs w:val="18"/>
              </w:rPr>
              <w:t xml:space="preserve"> 27 </w:t>
            </w:r>
          </w:p>
        </w:tc>
        <w:tc>
          <w:tcPr>
            <w:tcW w:w="1031" w:type="dxa"/>
            <w:tcBorders>
              <w:top w:val="nil"/>
              <w:left w:val="nil"/>
              <w:right w:val="nil"/>
            </w:tcBorders>
            <w:shd w:val="clear" w:color="auto" w:fill="auto"/>
            <w:vAlign w:val="bottom"/>
          </w:tcPr>
          <w:p w14:paraId="17CF3B0A" w14:textId="2D0A9CC9" w:rsidR="00932E4A" w:rsidRPr="00932E4A" w:rsidRDefault="00932E4A" w:rsidP="00932E4A">
            <w:pPr>
              <w:suppressAutoHyphens/>
              <w:autoSpaceDN w:val="0"/>
              <w:jc w:val="right"/>
              <w:rPr>
                <w:rFonts w:ascii="Arial" w:eastAsia="Times New Roman" w:hAnsi="Arial" w:cs="Arial"/>
                <w:sz w:val="18"/>
                <w:szCs w:val="18"/>
              </w:rPr>
            </w:pPr>
            <w:r w:rsidRPr="005D1219">
              <w:rPr>
                <w:rFonts w:ascii="Arial" w:hAnsi="Arial" w:cs="Arial"/>
                <w:sz w:val="18"/>
                <w:szCs w:val="18"/>
              </w:rPr>
              <w:t xml:space="preserve"> 1 </w:t>
            </w:r>
          </w:p>
        </w:tc>
        <w:tc>
          <w:tcPr>
            <w:tcW w:w="1031" w:type="dxa"/>
            <w:tcBorders>
              <w:top w:val="nil"/>
              <w:left w:val="nil"/>
              <w:right w:val="nil"/>
            </w:tcBorders>
            <w:shd w:val="clear" w:color="auto" w:fill="auto"/>
            <w:vAlign w:val="bottom"/>
          </w:tcPr>
          <w:p w14:paraId="0418AAE1" w14:textId="0B2D9C65" w:rsidR="00932E4A" w:rsidRPr="00932E4A" w:rsidRDefault="00932E4A" w:rsidP="00932E4A">
            <w:pPr>
              <w:suppressAutoHyphens/>
              <w:autoSpaceDN w:val="0"/>
              <w:jc w:val="right"/>
              <w:rPr>
                <w:rFonts w:ascii="Arial" w:eastAsia="Times New Roman" w:hAnsi="Arial" w:cs="Arial"/>
                <w:sz w:val="18"/>
                <w:szCs w:val="18"/>
              </w:rPr>
            </w:pPr>
            <w:r w:rsidRPr="005D1219">
              <w:rPr>
                <w:rFonts w:ascii="Arial" w:hAnsi="Arial" w:cs="Arial"/>
                <w:sz w:val="18"/>
                <w:szCs w:val="18"/>
              </w:rPr>
              <w:t xml:space="preserve"> 4.330 </w:t>
            </w:r>
          </w:p>
        </w:tc>
        <w:tc>
          <w:tcPr>
            <w:tcW w:w="1028" w:type="dxa"/>
            <w:tcBorders>
              <w:top w:val="nil"/>
              <w:left w:val="nil"/>
              <w:right w:val="nil"/>
            </w:tcBorders>
            <w:shd w:val="clear" w:color="auto" w:fill="auto"/>
            <w:vAlign w:val="bottom"/>
          </w:tcPr>
          <w:p w14:paraId="41602EB6" w14:textId="6FD58C34" w:rsidR="00932E4A" w:rsidRPr="00932E4A" w:rsidRDefault="00932E4A" w:rsidP="00932E4A">
            <w:pPr>
              <w:suppressAutoHyphens/>
              <w:autoSpaceDN w:val="0"/>
              <w:jc w:val="right"/>
              <w:rPr>
                <w:rFonts w:ascii="Arial" w:eastAsia="Times New Roman" w:hAnsi="Arial" w:cs="Arial"/>
                <w:sz w:val="18"/>
                <w:szCs w:val="18"/>
              </w:rPr>
            </w:pPr>
            <w:r w:rsidRPr="005D1219">
              <w:rPr>
                <w:rFonts w:ascii="Arial" w:hAnsi="Arial" w:cs="Arial"/>
                <w:sz w:val="18"/>
                <w:szCs w:val="18"/>
              </w:rPr>
              <w:t xml:space="preserve"> 35 </w:t>
            </w:r>
          </w:p>
        </w:tc>
        <w:tc>
          <w:tcPr>
            <w:tcW w:w="1100" w:type="dxa"/>
            <w:tcBorders>
              <w:top w:val="nil"/>
              <w:left w:val="nil"/>
              <w:right w:val="nil"/>
            </w:tcBorders>
            <w:shd w:val="clear" w:color="auto" w:fill="auto"/>
            <w:vAlign w:val="bottom"/>
          </w:tcPr>
          <w:p w14:paraId="21ECE611" w14:textId="6E70ABF6" w:rsidR="00932E4A" w:rsidRPr="005D1219" w:rsidRDefault="00932E4A" w:rsidP="00932E4A">
            <w:pPr>
              <w:suppressAutoHyphens/>
              <w:autoSpaceDN w:val="0"/>
              <w:jc w:val="right"/>
              <w:rPr>
                <w:rFonts w:ascii="Arial" w:eastAsia="Times New Roman" w:hAnsi="Arial" w:cs="Arial"/>
                <w:b/>
                <w:bCs/>
                <w:sz w:val="18"/>
                <w:szCs w:val="18"/>
              </w:rPr>
            </w:pPr>
            <w:r w:rsidRPr="00932E4A">
              <w:rPr>
                <w:rFonts w:ascii="Arial" w:hAnsi="Arial" w:cs="Arial"/>
                <w:b/>
                <w:bCs/>
                <w:sz w:val="18"/>
                <w:szCs w:val="18"/>
              </w:rPr>
              <w:t xml:space="preserve"> 4.393 </w:t>
            </w:r>
          </w:p>
        </w:tc>
      </w:tr>
      <w:tr w:rsidR="00932E4A" w:rsidRPr="003D1614" w14:paraId="1BB60A0B" w14:textId="77777777" w:rsidTr="005D1219">
        <w:trPr>
          <w:trHeight w:val="203"/>
        </w:trPr>
        <w:tc>
          <w:tcPr>
            <w:tcW w:w="4159" w:type="dxa"/>
            <w:shd w:val="clear" w:color="auto" w:fill="auto"/>
          </w:tcPr>
          <w:p w14:paraId="5AAC59BA" w14:textId="77777777" w:rsidR="00932E4A" w:rsidRPr="003D1614" w:rsidRDefault="00932E4A" w:rsidP="00932E4A">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31" w:type="dxa"/>
            <w:tcBorders>
              <w:left w:val="nil"/>
              <w:bottom w:val="nil"/>
              <w:right w:val="nil"/>
            </w:tcBorders>
            <w:shd w:val="clear" w:color="auto" w:fill="auto"/>
            <w:vAlign w:val="bottom"/>
          </w:tcPr>
          <w:p w14:paraId="20FB2CFB" w14:textId="389AC992" w:rsidR="00932E4A" w:rsidRPr="00D57E33" w:rsidRDefault="00932E4A" w:rsidP="00932E4A">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1" w:type="dxa"/>
            <w:tcBorders>
              <w:left w:val="nil"/>
              <w:bottom w:val="nil"/>
              <w:right w:val="nil"/>
            </w:tcBorders>
            <w:shd w:val="clear" w:color="auto" w:fill="auto"/>
            <w:vAlign w:val="bottom"/>
          </w:tcPr>
          <w:p w14:paraId="5EF96F0D" w14:textId="2533C1FA" w:rsidR="00932E4A" w:rsidRPr="00D57E33" w:rsidRDefault="00932E4A" w:rsidP="00932E4A">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1" w:type="dxa"/>
            <w:tcBorders>
              <w:left w:val="nil"/>
              <w:bottom w:val="nil"/>
              <w:right w:val="nil"/>
            </w:tcBorders>
            <w:shd w:val="clear" w:color="auto" w:fill="auto"/>
            <w:vAlign w:val="bottom"/>
          </w:tcPr>
          <w:p w14:paraId="222625B5" w14:textId="4DA568CA" w:rsidR="00932E4A" w:rsidRPr="00D57E33" w:rsidRDefault="00932E4A" w:rsidP="00932E4A">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28" w:type="dxa"/>
            <w:tcBorders>
              <w:left w:val="nil"/>
              <w:bottom w:val="nil"/>
              <w:right w:val="nil"/>
            </w:tcBorders>
            <w:shd w:val="clear" w:color="auto" w:fill="auto"/>
            <w:vAlign w:val="bottom"/>
          </w:tcPr>
          <w:p w14:paraId="2C815E62" w14:textId="5DB1E679" w:rsidR="00932E4A" w:rsidRPr="00D57E33" w:rsidRDefault="00932E4A" w:rsidP="00932E4A">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0" w:type="dxa"/>
            <w:tcBorders>
              <w:left w:val="nil"/>
              <w:bottom w:val="nil"/>
              <w:right w:val="nil"/>
            </w:tcBorders>
            <w:shd w:val="clear" w:color="auto" w:fill="auto"/>
            <w:vAlign w:val="bottom"/>
          </w:tcPr>
          <w:p w14:paraId="7A0E8FF8" w14:textId="0CE388AD" w:rsidR="00932E4A" w:rsidRPr="005D1219" w:rsidRDefault="00932E4A" w:rsidP="00932E4A">
            <w:pPr>
              <w:suppressAutoHyphens/>
              <w:autoSpaceDN w:val="0"/>
              <w:jc w:val="right"/>
              <w:rPr>
                <w:rFonts w:ascii="Arial" w:eastAsia="Times New Roman" w:hAnsi="Arial" w:cs="Arial"/>
                <w:b/>
                <w:bCs/>
                <w:sz w:val="18"/>
                <w:szCs w:val="18"/>
              </w:rPr>
            </w:pPr>
            <w:r w:rsidRPr="005D1219">
              <w:rPr>
                <w:rFonts w:ascii="Arial" w:eastAsia="Times New Roman" w:hAnsi="Arial" w:cs="Arial"/>
                <w:b/>
                <w:bCs/>
                <w:sz w:val="18"/>
                <w:szCs w:val="18"/>
              </w:rPr>
              <w:t>-</w:t>
            </w:r>
          </w:p>
        </w:tc>
      </w:tr>
      <w:tr w:rsidR="00932E4A" w:rsidRPr="003D1614" w14:paraId="4057EFB6" w14:textId="77777777" w:rsidTr="005D1219">
        <w:trPr>
          <w:trHeight w:val="203"/>
        </w:trPr>
        <w:tc>
          <w:tcPr>
            <w:tcW w:w="4159" w:type="dxa"/>
            <w:shd w:val="clear" w:color="auto" w:fill="auto"/>
          </w:tcPr>
          <w:p w14:paraId="31ABFFAB" w14:textId="77777777" w:rsidR="00932E4A" w:rsidRPr="003D1614" w:rsidRDefault="00932E4A" w:rsidP="00932E4A">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31" w:type="dxa"/>
            <w:tcBorders>
              <w:left w:val="nil"/>
              <w:bottom w:val="nil"/>
              <w:right w:val="nil"/>
            </w:tcBorders>
            <w:shd w:val="clear" w:color="auto" w:fill="auto"/>
            <w:vAlign w:val="bottom"/>
          </w:tcPr>
          <w:p w14:paraId="2E7C1B63" w14:textId="43D82A93" w:rsidR="00932E4A" w:rsidRPr="00D57E33" w:rsidRDefault="00932E4A" w:rsidP="00932E4A">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1" w:type="dxa"/>
            <w:tcBorders>
              <w:left w:val="nil"/>
              <w:bottom w:val="nil"/>
              <w:right w:val="nil"/>
            </w:tcBorders>
            <w:shd w:val="clear" w:color="auto" w:fill="auto"/>
            <w:vAlign w:val="bottom"/>
          </w:tcPr>
          <w:p w14:paraId="6A337DC1" w14:textId="56E623EA" w:rsidR="00932E4A" w:rsidRPr="00D57E33" w:rsidRDefault="00932E4A" w:rsidP="00932E4A">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1" w:type="dxa"/>
            <w:tcBorders>
              <w:left w:val="nil"/>
              <w:bottom w:val="nil"/>
              <w:right w:val="nil"/>
            </w:tcBorders>
            <w:shd w:val="clear" w:color="auto" w:fill="auto"/>
            <w:vAlign w:val="bottom"/>
          </w:tcPr>
          <w:p w14:paraId="546C3851" w14:textId="55FCB208" w:rsidR="00932E4A" w:rsidRPr="00D57E33" w:rsidRDefault="00932E4A" w:rsidP="00932E4A">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28" w:type="dxa"/>
            <w:tcBorders>
              <w:left w:val="nil"/>
              <w:bottom w:val="nil"/>
              <w:right w:val="nil"/>
            </w:tcBorders>
            <w:shd w:val="clear" w:color="auto" w:fill="auto"/>
            <w:vAlign w:val="bottom"/>
          </w:tcPr>
          <w:p w14:paraId="56B96825" w14:textId="5A46B791" w:rsidR="00932E4A" w:rsidRPr="00D57E33" w:rsidRDefault="00932E4A" w:rsidP="00932E4A">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0" w:type="dxa"/>
            <w:tcBorders>
              <w:left w:val="nil"/>
              <w:bottom w:val="nil"/>
              <w:right w:val="nil"/>
            </w:tcBorders>
            <w:shd w:val="clear" w:color="auto" w:fill="auto"/>
            <w:vAlign w:val="bottom"/>
          </w:tcPr>
          <w:p w14:paraId="21DD42C9" w14:textId="65FD2DA2" w:rsidR="00932E4A" w:rsidRPr="005D1219" w:rsidRDefault="00932E4A" w:rsidP="00932E4A">
            <w:pPr>
              <w:suppressAutoHyphens/>
              <w:autoSpaceDN w:val="0"/>
              <w:jc w:val="right"/>
              <w:rPr>
                <w:rFonts w:ascii="Arial" w:eastAsia="Times New Roman" w:hAnsi="Arial" w:cs="Arial"/>
                <w:b/>
                <w:bCs/>
                <w:sz w:val="18"/>
                <w:szCs w:val="18"/>
              </w:rPr>
            </w:pPr>
            <w:r w:rsidRPr="00422DD5">
              <w:rPr>
                <w:rFonts w:ascii="Arial" w:eastAsia="Times New Roman" w:hAnsi="Arial" w:cs="Arial"/>
                <w:b/>
                <w:bCs/>
                <w:sz w:val="18"/>
                <w:szCs w:val="18"/>
              </w:rPr>
              <w:t>-</w:t>
            </w:r>
          </w:p>
        </w:tc>
      </w:tr>
      <w:tr w:rsidR="00932E4A" w:rsidRPr="003D1614" w14:paraId="1E869EAF" w14:textId="77777777" w:rsidTr="005D1219">
        <w:trPr>
          <w:trHeight w:val="203"/>
        </w:trPr>
        <w:tc>
          <w:tcPr>
            <w:tcW w:w="4159" w:type="dxa"/>
            <w:shd w:val="clear" w:color="auto" w:fill="auto"/>
            <w:hideMark/>
          </w:tcPr>
          <w:p w14:paraId="0893F907" w14:textId="77777777" w:rsidR="00932E4A" w:rsidRPr="003D1614" w:rsidRDefault="00932E4A" w:rsidP="00932E4A">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31" w:type="dxa"/>
            <w:tcBorders>
              <w:left w:val="nil"/>
              <w:bottom w:val="nil"/>
              <w:right w:val="nil"/>
            </w:tcBorders>
            <w:shd w:val="clear" w:color="auto" w:fill="auto"/>
            <w:vAlign w:val="bottom"/>
          </w:tcPr>
          <w:p w14:paraId="2FC54834" w14:textId="444E8A3A" w:rsidR="00932E4A" w:rsidRPr="00D57E33" w:rsidRDefault="00932E4A" w:rsidP="00932E4A">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1" w:type="dxa"/>
            <w:tcBorders>
              <w:left w:val="nil"/>
              <w:bottom w:val="nil"/>
              <w:right w:val="nil"/>
            </w:tcBorders>
            <w:shd w:val="clear" w:color="auto" w:fill="auto"/>
            <w:vAlign w:val="bottom"/>
          </w:tcPr>
          <w:p w14:paraId="3E6FB162" w14:textId="1419BA53" w:rsidR="00932E4A" w:rsidRPr="00D57E33" w:rsidRDefault="00932E4A" w:rsidP="00932E4A">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1" w:type="dxa"/>
            <w:tcBorders>
              <w:left w:val="nil"/>
              <w:bottom w:val="nil"/>
              <w:right w:val="nil"/>
            </w:tcBorders>
            <w:shd w:val="clear" w:color="auto" w:fill="auto"/>
            <w:vAlign w:val="bottom"/>
          </w:tcPr>
          <w:p w14:paraId="5DF4C2CF" w14:textId="3A0DC12B" w:rsidR="00932E4A" w:rsidRPr="00D57E33" w:rsidRDefault="00932E4A" w:rsidP="00932E4A">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28" w:type="dxa"/>
            <w:tcBorders>
              <w:left w:val="nil"/>
              <w:bottom w:val="nil"/>
              <w:right w:val="nil"/>
            </w:tcBorders>
            <w:shd w:val="clear" w:color="auto" w:fill="auto"/>
            <w:vAlign w:val="bottom"/>
          </w:tcPr>
          <w:p w14:paraId="11E2609C" w14:textId="3CB85F3F" w:rsidR="00932E4A" w:rsidRPr="00D57E33" w:rsidRDefault="00932E4A" w:rsidP="00932E4A">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0" w:type="dxa"/>
            <w:tcBorders>
              <w:left w:val="nil"/>
              <w:bottom w:val="nil"/>
              <w:right w:val="nil"/>
            </w:tcBorders>
            <w:shd w:val="clear" w:color="auto" w:fill="auto"/>
            <w:vAlign w:val="bottom"/>
          </w:tcPr>
          <w:p w14:paraId="34A0F93E" w14:textId="082AB873" w:rsidR="00932E4A" w:rsidRPr="005D1219" w:rsidRDefault="00932E4A" w:rsidP="00932E4A">
            <w:pPr>
              <w:suppressAutoHyphens/>
              <w:autoSpaceDN w:val="0"/>
              <w:jc w:val="right"/>
              <w:rPr>
                <w:rFonts w:ascii="Arial" w:eastAsia="Times New Roman" w:hAnsi="Arial" w:cs="Arial"/>
                <w:b/>
                <w:bCs/>
                <w:sz w:val="18"/>
                <w:szCs w:val="18"/>
              </w:rPr>
            </w:pPr>
            <w:r w:rsidRPr="00422DD5">
              <w:rPr>
                <w:rFonts w:ascii="Arial" w:eastAsia="Times New Roman" w:hAnsi="Arial" w:cs="Arial"/>
                <w:b/>
                <w:bCs/>
                <w:sz w:val="18"/>
                <w:szCs w:val="18"/>
              </w:rPr>
              <w:t>-</w:t>
            </w:r>
          </w:p>
        </w:tc>
      </w:tr>
      <w:tr w:rsidR="00932E4A" w:rsidRPr="003D1614" w14:paraId="4C73BAC7" w14:textId="77777777" w:rsidTr="00680BA3">
        <w:trPr>
          <w:trHeight w:val="254"/>
        </w:trPr>
        <w:tc>
          <w:tcPr>
            <w:tcW w:w="4159" w:type="dxa"/>
            <w:tcBorders>
              <w:top w:val="nil"/>
              <w:left w:val="nil"/>
              <w:bottom w:val="nil"/>
              <w:right w:val="nil"/>
            </w:tcBorders>
            <w:shd w:val="clear" w:color="auto" w:fill="auto"/>
            <w:vAlign w:val="center"/>
            <w:hideMark/>
          </w:tcPr>
          <w:p w14:paraId="2D826D47" w14:textId="298C605E" w:rsidR="00932E4A" w:rsidRPr="003D1614" w:rsidRDefault="00932E4A" w:rsidP="00932E4A">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w:t>
            </w:r>
            <w:r>
              <w:rPr>
                <w:rFonts w:ascii="Arial" w:eastAsia="Calibri" w:hAnsi="Arial" w:cs="Arial"/>
                <w:color w:val="000000" w:themeColor="text1"/>
                <w:sz w:val="18"/>
                <w:szCs w:val="18"/>
              </w:rPr>
              <w:t>(smanjenje)</w:t>
            </w:r>
            <w:r w:rsidRPr="003D1614">
              <w:rPr>
                <w:rFonts w:ascii="Arial" w:eastAsia="Calibri" w:hAnsi="Arial" w:cs="Arial"/>
                <w:color w:val="000000" w:themeColor="text1"/>
                <w:sz w:val="18"/>
                <w:szCs w:val="18"/>
              </w:rPr>
              <w:t xml:space="preserve"> rezerviranja za očekivane gubitke </w:t>
            </w:r>
          </w:p>
        </w:tc>
        <w:tc>
          <w:tcPr>
            <w:tcW w:w="1031" w:type="dxa"/>
            <w:tcBorders>
              <w:top w:val="nil"/>
              <w:left w:val="nil"/>
              <w:bottom w:val="nil"/>
              <w:right w:val="nil"/>
            </w:tcBorders>
            <w:shd w:val="clear" w:color="auto" w:fill="auto"/>
            <w:vAlign w:val="bottom"/>
          </w:tcPr>
          <w:p w14:paraId="7FA6FE20" w14:textId="41AFA6D3" w:rsidR="00932E4A" w:rsidRPr="00D57E33" w:rsidRDefault="00932E4A" w:rsidP="00932E4A">
            <w:pPr>
              <w:suppressAutoHyphens/>
              <w:autoSpaceDN w:val="0"/>
              <w:jc w:val="right"/>
              <w:rPr>
                <w:rFonts w:ascii="Arial" w:eastAsia="Times New Roman" w:hAnsi="Arial" w:cs="Arial"/>
                <w:sz w:val="18"/>
                <w:szCs w:val="18"/>
              </w:rPr>
            </w:pPr>
            <w:r>
              <w:rPr>
                <w:rFonts w:ascii="Arial" w:eastAsia="Times New Roman" w:hAnsi="Arial" w:cs="Arial"/>
                <w:sz w:val="18"/>
                <w:szCs w:val="18"/>
              </w:rPr>
              <w:t>(17)</w:t>
            </w:r>
          </w:p>
        </w:tc>
        <w:tc>
          <w:tcPr>
            <w:tcW w:w="1031" w:type="dxa"/>
            <w:tcBorders>
              <w:top w:val="nil"/>
              <w:left w:val="nil"/>
              <w:bottom w:val="nil"/>
              <w:right w:val="nil"/>
            </w:tcBorders>
            <w:shd w:val="clear" w:color="auto" w:fill="auto"/>
            <w:vAlign w:val="bottom"/>
          </w:tcPr>
          <w:p w14:paraId="447020D0" w14:textId="0A9FC0E0" w:rsidR="00932E4A" w:rsidRPr="00D57E33" w:rsidRDefault="00932E4A" w:rsidP="00932E4A">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1" w:type="dxa"/>
            <w:tcBorders>
              <w:top w:val="nil"/>
              <w:left w:val="nil"/>
              <w:bottom w:val="nil"/>
              <w:right w:val="nil"/>
            </w:tcBorders>
            <w:shd w:val="clear" w:color="auto" w:fill="auto"/>
            <w:vAlign w:val="bottom"/>
          </w:tcPr>
          <w:p w14:paraId="1CA7A9E6" w14:textId="0342F4E5" w:rsidR="00932E4A" w:rsidRPr="00D57E33" w:rsidRDefault="00932E4A" w:rsidP="00932E4A">
            <w:pPr>
              <w:suppressAutoHyphens/>
              <w:autoSpaceDN w:val="0"/>
              <w:jc w:val="right"/>
              <w:rPr>
                <w:rFonts w:ascii="Arial" w:eastAsia="Times New Roman" w:hAnsi="Arial" w:cs="Arial"/>
                <w:sz w:val="18"/>
                <w:szCs w:val="18"/>
              </w:rPr>
            </w:pPr>
            <w:r>
              <w:rPr>
                <w:rFonts w:ascii="Arial" w:eastAsia="Times New Roman" w:hAnsi="Arial" w:cs="Arial"/>
                <w:sz w:val="18"/>
                <w:szCs w:val="18"/>
              </w:rPr>
              <w:t>(64)</w:t>
            </w:r>
          </w:p>
        </w:tc>
        <w:tc>
          <w:tcPr>
            <w:tcW w:w="1028" w:type="dxa"/>
            <w:tcBorders>
              <w:top w:val="nil"/>
              <w:left w:val="nil"/>
              <w:bottom w:val="nil"/>
              <w:right w:val="nil"/>
            </w:tcBorders>
            <w:shd w:val="clear" w:color="auto" w:fill="auto"/>
            <w:vAlign w:val="bottom"/>
          </w:tcPr>
          <w:p w14:paraId="672DAA54" w14:textId="76B4C582" w:rsidR="00932E4A" w:rsidRPr="00D57E33" w:rsidRDefault="00932E4A" w:rsidP="00932E4A">
            <w:pPr>
              <w:suppressAutoHyphens/>
              <w:autoSpaceDN w:val="0"/>
              <w:jc w:val="right"/>
              <w:rPr>
                <w:rFonts w:ascii="Arial" w:eastAsia="Times New Roman" w:hAnsi="Arial" w:cs="Arial"/>
                <w:sz w:val="18"/>
                <w:szCs w:val="18"/>
              </w:rPr>
            </w:pPr>
            <w:r>
              <w:rPr>
                <w:rFonts w:ascii="Arial" w:eastAsia="Times New Roman" w:hAnsi="Arial" w:cs="Arial"/>
                <w:sz w:val="18"/>
                <w:szCs w:val="18"/>
              </w:rPr>
              <w:t>(1)</w:t>
            </w:r>
          </w:p>
        </w:tc>
        <w:tc>
          <w:tcPr>
            <w:tcW w:w="1100" w:type="dxa"/>
            <w:tcBorders>
              <w:top w:val="nil"/>
              <w:left w:val="nil"/>
              <w:bottom w:val="nil"/>
              <w:right w:val="nil"/>
            </w:tcBorders>
            <w:shd w:val="clear" w:color="auto" w:fill="auto"/>
            <w:vAlign w:val="bottom"/>
          </w:tcPr>
          <w:p w14:paraId="5DEC472F" w14:textId="4BC11B17" w:rsidR="00932E4A" w:rsidRPr="005D1219" w:rsidRDefault="00932E4A" w:rsidP="00932E4A">
            <w:pPr>
              <w:suppressAutoHyphens/>
              <w:autoSpaceDN w:val="0"/>
              <w:jc w:val="right"/>
              <w:rPr>
                <w:rFonts w:ascii="Arial" w:eastAsia="Times New Roman" w:hAnsi="Arial" w:cs="Arial"/>
                <w:b/>
                <w:bCs/>
                <w:sz w:val="18"/>
                <w:szCs w:val="18"/>
              </w:rPr>
            </w:pPr>
            <w:r w:rsidRPr="005D1219">
              <w:rPr>
                <w:rFonts w:ascii="Arial" w:eastAsia="Times New Roman" w:hAnsi="Arial" w:cs="Arial"/>
                <w:b/>
                <w:bCs/>
                <w:sz w:val="18"/>
                <w:szCs w:val="18"/>
              </w:rPr>
              <w:t>(82)</w:t>
            </w:r>
          </w:p>
        </w:tc>
      </w:tr>
      <w:tr w:rsidR="00932E4A" w:rsidRPr="003D1614" w14:paraId="4597C373" w14:textId="77777777" w:rsidTr="005D1219">
        <w:trPr>
          <w:trHeight w:val="70"/>
        </w:trPr>
        <w:tc>
          <w:tcPr>
            <w:tcW w:w="4159" w:type="dxa"/>
            <w:tcBorders>
              <w:top w:val="nil"/>
              <w:left w:val="nil"/>
              <w:bottom w:val="nil"/>
              <w:right w:val="nil"/>
            </w:tcBorders>
            <w:shd w:val="clear" w:color="auto" w:fill="auto"/>
            <w:vAlign w:val="center"/>
          </w:tcPr>
          <w:p w14:paraId="0ED142EE" w14:textId="77777777" w:rsidR="00932E4A" w:rsidRPr="003D1614" w:rsidRDefault="00932E4A" w:rsidP="00932E4A">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Otpis</w:t>
            </w:r>
          </w:p>
        </w:tc>
        <w:tc>
          <w:tcPr>
            <w:tcW w:w="1031" w:type="dxa"/>
            <w:tcBorders>
              <w:left w:val="nil"/>
              <w:bottom w:val="nil"/>
              <w:right w:val="nil"/>
            </w:tcBorders>
            <w:shd w:val="clear" w:color="auto" w:fill="auto"/>
            <w:vAlign w:val="bottom"/>
          </w:tcPr>
          <w:p w14:paraId="0D0167C0" w14:textId="3F4FC2E9" w:rsidR="00932E4A" w:rsidRPr="00D57E33" w:rsidRDefault="00932E4A" w:rsidP="00932E4A">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1" w:type="dxa"/>
            <w:tcBorders>
              <w:left w:val="nil"/>
              <w:bottom w:val="nil"/>
              <w:right w:val="nil"/>
            </w:tcBorders>
            <w:shd w:val="clear" w:color="auto" w:fill="auto"/>
            <w:vAlign w:val="bottom"/>
          </w:tcPr>
          <w:p w14:paraId="09F5E893" w14:textId="71F5442D" w:rsidR="00932E4A" w:rsidRPr="00D57E33" w:rsidRDefault="00932E4A" w:rsidP="00932E4A">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1" w:type="dxa"/>
            <w:tcBorders>
              <w:left w:val="nil"/>
              <w:bottom w:val="nil"/>
              <w:right w:val="nil"/>
            </w:tcBorders>
            <w:shd w:val="clear" w:color="auto" w:fill="auto"/>
            <w:vAlign w:val="bottom"/>
          </w:tcPr>
          <w:p w14:paraId="39E80F3E" w14:textId="694562E3" w:rsidR="00932E4A" w:rsidRPr="00D57E33" w:rsidRDefault="00932E4A" w:rsidP="00932E4A">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28" w:type="dxa"/>
            <w:tcBorders>
              <w:left w:val="nil"/>
              <w:bottom w:val="nil"/>
              <w:right w:val="nil"/>
            </w:tcBorders>
            <w:shd w:val="clear" w:color="auto" w:fill="auto"/>
            <w:vAlign w:val="bottom"/>
          </w:tcPr>
          <w:p w14:paraId="169D8E13" w14:textId="25EF9813" w:rsidR="00932E4A" w:rsidRPr="00D57E33" w:rsidRDefault="00932E4A" w:rsidP="00932E4A">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0" w:type="dxa"/>
            <w:tcBorders>
              <w:left w:val="nil"/>
              <w:bottom w:val="nil"/>
              <w:right w:val="nil"/>
            </w:tcBorders>
            <w:shd w:val="clear" w:color="auto" w:fill="auto"/>
            <w:vAlign w:val="bottom"/>
          </w:tcPr>
          <w:p w14:paraId="35602C7F" w14:textId="73A9E32C" w:rsidR="00932E4A" w:rsidRPr="005D1219" w:rsidRDefault="00932E4A" w:rsidP="00932E4A">
            <w:pPr>
              <w:suppressAutoHyphens/>
              <w:autoSpaceDN w:val="0"/>
              <w:jc w:val="right"/>
              <w:rPr>
                <w:rFonts w:ascii="Arial" w:eastAsia="Times New Roman" w:hAnsi="Arial" w:cs="Arial"/>
                <w:b/>
                <w:bCs/>
                <w:sz w:val="18"/>
                <w:szCs w:val="18"/>
              </w:rPr>
            </w:pPr>
            <w:r w:rsidRPr="00422DD5">
              <w:rPr>
                <w:rFonts w:ascii="Arial" w:eastAsia="Times New Roman" w:hAnsi="Arial" w:cs="Arial"/>
                <w:b/>
                <w:bCs/>
                <w:sz w:val="18"/>
                <w:szCs w:val="18"/>
              </w:rPr>
              <w:t>-</w:t>
            </w:r>
          </w:p>
        </w:tc>
      </w:tr>
      <w:tr w:rsidR="00932E4A" w:rsidRPr="003D1614" w14:paraId="167ED407" w14:textId="77777777" w:rsidTr="005D1219">
        <w:trPr>
          <w:trHeight w:val="213"/>
        </w:trPr>
        <w:tc>
          <w:tcPr>
            <w:tcW w:w="4159" w:type="dxa"/>
            <w:tcBorders>
              <w:top w:val="nil"/>
              <w:left w:val="nil"/>
              <w:bottom w:val="nil"/>
              <w:right w:val="nil"/>
            </w:tcBorders>
            <w:shd w:val="clear" w:color="auto" w:fill="auto"/>
            <w:vAlign w:val="center"/>
            <w:hideMark/>
          </w:tcPr>
          <w:p w14:paraId="6A31FF45" w14:textId="77777777" w:rsidR="00932E4A" w:rsidRPr="003D1614" w:rsidRDefault="00932E4A" w:rsidP="00932E4A">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31" w:type="dxa"/>
            <w:tcBorders>
              <w:top w:val="nil"/>
              <w:left w:val="nil"/>
              <w:right w:val="nil"/>
            </w:tcBorders>
            <w:shd w:val="clear" w:color="auto" w:fill="auto"/>
            <w:vAlign w:val="bottom"/>
          </w:tcPr>
          <w:p w14:paraId="1B1AFADF" w14:textId="577CF9C2" w:rsidR="00932E4A" w:rsidRPr="00D57E33" w:rsidRDefault="00932E4A" w:rsidP="00932E4A">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1" w:type="dxa"/>
            <w:tcBorders>
              <w:top w:val="nil"/>
              <w:left w:val="nil"/>
              <w:right w:val="nil"/>
            </w:tcBorders>
            <w:shd w:val="clear" w:color="auto" w:fill="auto"/>
            <w:vAlign w:val="bottom"/>
          </w:tcPr>
          <w:p w14:paraId="7516F9B3" w14:textId="70865B2B" w:rsidR="00932E4A" w:rsidRPr="00D57E33" w:rsidRDefault="00932E4A" w:rsidP="00932E4A">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1" w:type="dxa"/>
            <w:tcBorders>
              <w:top w:val="nil"/>
              <w:left w:val="nil"/>
              <w:right w:val="nil"/>
            </w:tcBorders>
            <w:shd w:val="clear" w:color="auto" w:fill="auto"/>
            <w:vAlign w:val="bottom"/>
          </w:tcPr>
          <w:p w14:paraId="0D764D2E" w14:textId="4A390FBB" w:rsidR="00932E4A" w:rsidRPr="00D57E33" w:rsidRDefault="00932E4A" w:rsidP="00932E4A">
            <w:pPr>
              <w:suppressAutoHyphens/>
              <w:autoSpaceDN w:val="0"/>
              <w:jc w:val="right"/>
              <w:rPr>
                <w:rFonts w:ascii="Arial" w:eastAsia="Times New Roman" w:hAnsi="Arial" w:cs="Arial"/>
                <w:sz w:val="18"/>
                <w:szCs w:val="18"/>
              </w:rPr>
            </w:pPr>
            <w:r>
              <w:rPr>
                <w:rFonts w:ascii="Arial" w:eastAsia="Times New Roman" w:hAnsi="Arial" w:cs="Arial"/>
                <w:sz w:val="18"/>
                <w:szCs w:val="18"/>
              </w:rPr>
              <w:t>2</w:t>
            </w:r>
          </w:p>
        </w:tc>
        <w:tc>
          <w:tcPr>
            <w:tcW w:w="1028" w:type="dxa"/>
            <w:tcBorders>
              <w:top w:val="nil"/>
              <w:left w:val="nil"/>
              <w:right w:val="nil"/>
            </w:tcBorders>
            <w:shd w:val="clear" w:color="auto" w:fill="auto"/>
            <w:vAlign w:val="bottom"/>
          </w:tcPr>
          <w:p w14:paraId="0E7B88A6" w14:textId="6D647CB3" w:rsidR="00932E4A" w:rsidRPr="00D57E33" w:rsidRDefault="00932E4A" w:rsidP="00932E4A">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00" w:type="dxa"/>
            <w:tcBorders>
              <w:top w:val="nil"/>
              <w:left w:val="nil"/>
              <w:right w:val="nil"/>
            </w:tcBorders>
            <w:shd w:val="clear" w:color="auto" w:fill="auto"/>
            <w:vAlign w:val="bottom"/>
          </w:tcPr>
          <w:p w14:paraId="3435FEDB" w14:textId="0A1D52A0" w:rsidR="00932E4A" w:rsidRPr="005D1219" w:rsidRDefault="00932E4A" w:rsidP="00932E4A">
            <w:pPr>
              <w:suppressAutoHyphens/>
              <w:autoSpaceDN w:val="0"/>
              <w:jc w:val="right"/>
              <w:rPr>
                <w:rFonts w:ascii="Arial" w:eastAsia="Times New Roman" w:hAnsi="Arial" w:cs="Arial"/>
                <w:b/>
                <w:bCs/>
                <w:sz w:val="18"/>
                <w:szCs w:val="18"/>
              </w:rPr>
            </w:pPr>
            <w:r w:rsidRPr="005D1219">
              <w:rPr>
                <w:rFonts w:ascii="Arial" w:eastAsia="Times New Roman" w:hAnsi="Arial" w:cs="Arial"/>
                <w:b/>
                <w:bCs/>
                <w:sz w:val="18"/>
                <w:szCs w:val="18"/>
              </w:rPr>
              <w:t>2</w:t>
            </w:r>
          </w:p>
        </w:tc>
      </w:tr>
      <w:tr w:rsidR="00932E4A" w:rsidRPr="003D1614" w14:paraId="77D7AAEA" w14:textId="77777777" w:rsidTr="005D1219">
        <w:trPr>
          <w:trHeight w:val="213"/>
        </w:trPr>
        <w:tc>
          <w:tcPr>
            <w:tcW w:w="4159" w:type="dxa"/>
            <w:tcBorders>
              <w:top w:val="nil"/>
              <w:left w:val="nil"/>
              <w:bottom w:val="nil"/>
              <w:right w:val="nil"/>
            </w:tcBorders>
            <w:shd w:val="clear" w:color="auto" w:fill="auto"/>
            <w:vAlign w:val="center"/>
          </w:tcPr>
          <w:p w14:paraId="1A98DA6D" w14:textId="77777777" w:rsidR="00932E4A" w:rsidRPr="003D1614" w:rsidRDefault="00932E4A" w:rsidP="00932E4A">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Ostala usklađenja</w:t>
            </w:r>
          </w:p>
        </w:tc>
        <w:tc>
          <w:tcPr>
            <w:tcW w:w="1031" w:type="dxa"/>
            <w:tcBorders>
              <w:top w:val="nil"/>
              <w:left w:val="nil"/>
              <w:bottom w:val="single" w:sz="4" w:space="0" w:color="auto"/>
              <w:right w:val="nil"/>
            </w:tcBorders>
            <w:shd w:val="clear" w:color="auto" w:fill="auto"/>
            <w:vAlign w:val="bottom"/>
          </w:tcPr>
          <w:p w14:paraId="75003ED1" w14:textId="1193EE61" w:rsidR="00932E4A" w:rsidRPr="00D57E33" w:rsidRDefault="00932E4A" w:rsidP="00932E4A">
            <w:pPr>
              <w:suppressAutoHyphens/>
              <w:autoSpaceDN w:val="0"/>
              <w:jc w:val="right"/>
              <w:rPr>
                <w:rFonts w:ascii="Arial" w:eastAsia="Times New Roman" w:hAnsi="Arial" w:cs="Arial"/>
                <w:sz w:val="18"/>
                <w:szCs w:val="18"/>
              </w:rPr>
            </w:pPr>
          </w:p>
        </w:tc>
        <w:tc>
          <w:tcPr>
            <w:tcW w:w="1031" w:type="dxa"/>
            <w:tcBorders>
              <w:top w:val="nil"/>
              <w:left w:val="nil"/>
              <w:bottom w:val="single" w:sz="4" w:space="0" w:color="auto"/>
              <w:right w:val="nil"/>
            </w:tcBorders>
            <w:shd w:val="clear" w:color="auto" w:fill="auto"/>
            <w:vAlign w:val="bottom"/>
          </w:tcPr>
          <w:p w14:paraId="2576D31C" w14:textId="3E2AF8B4" w:rsidR="00932E4A" w:rsidRPr="00D57E33" w:rsidRDefault="00932E4A" w:rsidP="00932E4A">
            <w:pPr>
              <w:suppressAutoHyphens/>
              <w:autoSpaceDN w:val="0"/>
              <w:jc w:val="right"/>
              <w:rPr>
                <w:rFonts w:ascii="Arial" w:eastAsia="Times New Roman" w:hAnsi="Arial" w:cs="Arial"/>
                <w:sz w:val="18"/>
                <w:szCs w:val="18"/>
              </w:rPr>
            </w:pPr>
          </w:p>
        </w:tc>
        <w:tc>
          <w:tcPr>
            <w:tcW w:w="1031" w:type="dxa"/>
            <w:tcBorders>
              <w:top w:val="nil"/>
              <w:left w:val="nil"/>
              <w:bottom w:val="single" w:sz="4" w:space="0" w:color="auto"/>
              <w:right w:val="nil"/>
            </w:tcBorders>
            <w:shd w:val="clear" w:color="auto" w:fill="auto"/>
            <w:vAlign w:val="bottom"/>
          </w:tcPr>
          <w:p w14:paraId="5A8DA453" w14:textId="7E487E87" w:rsidR="00932E4A" w:rsidRPr="00D57E33" w:rsidRDefault="00932E4A" w:rsidP="00932E4A">
            <w:pPr>
              <w:suppressAutoHyphens/>
              <w:autoSpaceDN w:val="0"/>
              <w:jc w:val="right"/>
              <w:rPr>
                <w:rFonts w:ascii="Arial" w:eastAsia="Times New Roman" w:hAnsi="Arial" w:cs="Arial"/>
                <w:sz w:val="18"/>
                <w:szCs w:val="18"/>
              </w:rPr>
            </w:pPr>
          </w:p>
        </w:tc>
        <w:tc>
          <w:tcPr>
            <w:tcW w:w="1028" w:type="dxa"/>
            <w:tcBorders>
              <w:top w:val="nil"/>
              <w:left w:val="nil"/>
              <w:bottom w:val="single" w:sz="4" w:space="0" w:color="auto"/>
              <w:right w:val="nil"/>
            </w:tcBorders>
            <w:shd w:val="clear" w:color="auto" w:fill="auto"/>
            <w:vAlign w:val="bottom"/>
          </w:tcPr>
          <w:p w14:paraId="06E5E51D" w14:textId="21F787DD" w:rsidR="00932E4A" w:rsidRPr="00D57E33" w:rsidRDefault="00932E4A" w:rsidP="00932E4A">
            <w:pPr>
              <w:suppressAutoHyphens/>
              <w:autoSpaceDN w:val="0"/>
              <w:jc w:val="right"/>
              <w:rPr>
                <w:rFonts w:ascii="Arial" w:eastAsia="Times New Roman" w:hAnsi="Arial" w:cs="Arial"/>
                <w:sz w:val="18"/>
                <w:szCs w:val="18"/>
              </w:rPr>
            </w:pPr>
            <w:r>
              <w:rPr>
                <w:rFonts w:ascii="Arial" w:eastAsia="Times New Roman" w:hAnsi="Arial" w:cs="Arial"/>
                <w:sz w:val="18"/>
                <w:szCs w:val="18"/>
              </w:rPr>
              <w:t>1</w:t>
            </w:r>
          </w:p>
        </w:tc>
        <w:tc>
          <w:tcPr>
            <w:tcW w:w="1100" w:type="dxa"/>
            <w:tcBorders>
              <w:top w:val="nil"/>
              <w:left w:val="nil"/>
              <w:bottom w:val="single" w:sz="4" w:space="0" w:color="auto"/>
              <w:right w:val="nil"/>
            </w:tcBorders>
            <w:shd w:val="clear" w:color="auto" w:fill="auto"/>
            <w:vAlign w:val="bottom"/>
          </w:tcPr>
          <w:p w14:paraId="3C933EA9" w14:textId="3023E48E" w:rsidR="00932E4A" w:rsidRPr="005D1219" w:rsidRDefault="00932E4A" w:rsidP="00932E4A">
            <w:pPr>
              <w:suppressAutoHyphens/>
              <w:autoSpaceDN w:val="0"/>
              <w:jc w:val="right"/>
              <w:rPr>
                <w:rFonts w:ascii="Arial" w:eastAsia="Times New Roman" w:hAnsi="Arial" w:cs="Arial"/>
                <w:b/>
                <w:bCs/>
                <w:sz w:val="18"/>
                <w:szCs w:val="18"/>
              </w:rPr>
            </w:pPr>
            <w:r w:rsidRPr="005D1219">
              <w:rPr>
                <w:rFonts w:ascii="Arial" w:eastAsia="Times New Roman" w:hAnsi="Arial" w:cs="Arial"/>
                <w:b/>
                <w:bCs/>
                <w:sz w:val="18"/>
                <w:szCs w:val="18"/>
              </w:rPr>
              <w:t>1</w:t>
            </w:r>
          </w:p>
        </w:tc>
      </w:tr>
      <w:tr w:rsidR="00932E4A" w:rsidRPr="003D1614" w14:paraId="358BADC5" w14:textId="77777777" w:rsidTr="005D1219">
        <w:trPr>
          <w:trHeight w:val="213"/>
        </w:trPr>
        <w:tc>
          <w:tcPr>
            <w:tcW w:w="4159" w:type="dxa"/>
            <w:tcBorders>
              <w:top w:val="nil"/>
              <w:left w:val="nil"/>
              <w:bottom w:val="nil"/>
              <w:right w:val="nil"/>
            </w:tcBorders>
            <w:shd w:val="clear" w:color="auto" w:fill="auto"/>
            <w:vAlign w:val="bottom"/>
            <w:hideMark/>
          </w:tcPr>
          <w:p w14:paraId="27C4C4D3" w14:textId="02B9615F" w:rsidR="00932E4A" w:rsidRPr="003D1614" w:rsidRDefault="00932E4A" w:rsidP="00932E4A">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ožujka 202</w:t>
            </w:r>
            <w:r>
              <w:rPr>
                <w:rFonts w:ascii="Arial" w:eastAsia="Calibri" w:hAnsi="Arial" w:cs="Arial"/>
                <w:b/>
                <w:bCs/>
                <w:color w:val="000000" w:themeColor="text1"/>
                <w:sz w:val="18"/>
                <w:szCs w:val="18"/>
              </w:rPr>
              <w:t>4</w:t>
            </w:r>
            <w:r w:rsidRPr="003D1614">
              <w:rPr>
                <w:rFonts w:ascii="Arial" w:eastAsia="Calibri" w:hAnsi="Arial" w:cs="Arial"/>
                <w:b/>
                <w:bCs/>
                <w:color w:val="000000" w:themeColor="text1"/>
                <w:sz w:val="18"/>
                <w:szCs w:val="18"/>
              </w:rPr>
              <w:t>.</w:t>
            </w:r>
          </w:p>
        </w:tc>
        <w:tc>
          <w:tcPr>
            <w:tcW w:w="1031" w:type="dxa"/>
            <w:tcBorders>
              <w:top w:val="single" w:sz="4" w:space="0" w:color="auto"/>
              <w:left w:val="nil"/>
              <w:bottom w:val="single" w:sz="12" w:space="0" w:color="auto"/>
              <w:right w:val="nil"/>
            </w:tcBorders>
            <w:shd w:val="clear" w:color="auto" w:fill="auto"/>
            <w:vAlign w:val="bottom"/>
          </w:tcPr>
          <w:p w14:paraId="42BFA932" w14:textId="2BBF21B7" w:rsidR="00932E4A" w:rsidRPr="00D57E33" w:rsidRDefault="00932E4A" w:rsidP="00932E4A">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10</w:t>
            </w:r>
          </w:p>
        </w:tc>
        <w:tc>
          <w:tcPr>
            <w:tcW w:w="1031" w:type="dxa"/>
            <w:tcBorders>
              <w:top w:val="single" w:sz="4" w:space="0" w:color="auto"/>
              <w:left w:val="nil"/>
              <w:bottom w:val="single" w:sz="12" w:space="0" w:color="auto"/>
              <w:right w:val="nil"/>
            </w:tcBorders>
            <w:shd w:val="clear" w:color="auto" w:fill="auto"/>
            <w:vAlign w:val="bottom"/>
          </w:tcPr>
          <w:p w14:paraId="4DCAB523" w14:textId="5E7D3874" w:rsidR="00932E4A" w:rsidRPr="00D57E33" w:rsidRDefault="00932E4A" w:rsidP="00932E4A">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1</w:t>
            </w:r>
          </w:p>
        </w:tc>
        <w:tc>
          <w:tcPr>
            <w:tcW w:w="1031" w:type="dxa"/>
            <w:tcBorders>
              <w:top w:val="single" w:sz="4" w:space="0" w:color="auto"/>
              <w:left w:val="nil"/>
              <w:bottom w:val="single" w:sz="12" w:space="0" w:color="auto"/>
              <w:right w:val="nil"/>
            </w:tcBorders>
            <w:shd w:val="clear" w:color="auto" w:fill="auto"/>
            <w:vAlign w:val="bottom"/>
          </w:tcPr>
          <w:p w14:paraId="7493CE9D" w14:textId="66939A7C" w:rsidR="00932E4A" w:rsidRPr="00D57E33" w:rsidRDefault="00932E4A" w:rsidP="00932E4A">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4.268</w:t>
            </w:r>
          </w:p>
        </w:tc>
        <w:tc>
          <w:tcPr>
            <w:tcW w:w="1028" w:type="dxa"/>
            <w:tcBorders>
              <w:top w:val="single" w:sz="4" w:space="0" w:color="auto"/>
              <w:left w:val="nil"/>
              <w:bottom w:val="single" w:sz="12" w:space="0" w:color="auto"/>
              <w:right w:val="nil"/>
            </w:tcBorders>
            <w:shd w:val="clear" w:color="auto" w:fill="auto"/>
            <w:vAlign w:val="bottom"/>
          </w:tcPr>
          <w:p w14:paraId="656A4123" w14:textId="0AD54B66" w:rsidR="00932E4A" w:rsidRPr="00D57E33" w:rsidRDefault="00932E4A" w:rsidP="00932E4A">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35</w:t>
            </w:r>
          </w:p>
        </w:tc>
        <w:tc>
          <w:tcPr>
            <w:tcW w:w="1100" w:type="dxa"/>
            <w:tcBorders>
              <w:top w:val="single" w:sz="4" w:space="0" w:color="auto"/>
              <w:left w:val="nil"/>
              <w:bottom w:val="single" w:sz="12" w:space="0" w:color="auto"/>
              <w:right w:val="nil"/>
            </w:tcBorders>
            <w:shd w:val="clear" w:color="auto" w:fill="auto"/>
            <w:vAlign w:val="bottom"/>
          </w:tcPr>
          <w:p w14:paraId="3851CF54" w14:textId="7697CCDA" w:rsidR="00932E4A" w:rsidRPr="00D57E33" w:rsidRDefault="00932E4A" w:rsidP="00932E4A">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4.314</w:t>
            </w:r>
          </w:p>
        </w:tc>
      </w:tr>
    </w:tbl>
    <w:p w14:paraId="4A9639C1" w14:textId="7DE88F00" w:rsidR="00A269B5" w:rsidRDefault="00A269B5" w:rsidP="00A269B5">
      <w:pPr>
        <w:keepNext/>
        <w:suppressAutoHyphens/>
        <w:autoSpaceDN w:val="0"/>
        <w:jc w:val="both"/>
        <w:rPr>
          <w:rFonts w:ascii="Arial" w:eastAsia="Times New Roman" w:hAnsi="Arial" w:cs="Arial"/>
          <w:b/>
          <w:bCs/>
          <w:color w:val="000000" w:themeColor="text1"/>
          <w:sz w:val="20"/>
          <w:szCs w:val="20"/>
        </w:rPr>
      </w:pPr>
    </w:p>
    <w:p w14:paraId="1AD4755C" w14:textId="77777777" w:rsidR="00EC1426" w:rsidRDefault="00EC1426" w:rsidP="00A269B5">
      <w:pPr>
        <w:keepNext/>
        <w:suppressAutoHyphens/>
        <w:autoSpaceDN w:val="0"/>
        <w:jc w:val="both"/>
        <w:rPr>
          <w:rFonts w:ascii="Arial" w:eastAsia="Times New Roman" w:hAnsi="Arial" w:cs="Arial"/>
          <w:b/>
          <w:bCs/>
          <w:color w:val="000000" w:themeColor="text1"/>
          <w:sz w:val="20"/>
          <w:szCs w:val="20"/>
        </w:rPr>
      </w:pPr>
    </w:p>
    <w:p w14:paraId="1A0DBF38" w14:textId="77777777" w:rsidR="00EC1426" w:rsidRPr="003D1614" w:rsidRDefault="00EC1426" w:rsidP="00A269B5">
      <w:pPr>
        <w:keepNext/>
        <w:suppressAutoHyphens/>
        <w:autoSpaceDN w:val="0"/>
        <w:jc w:val="both"/>
        <w:rPr>
          <w:rFonts w:ascii="Arial" w:eastAsia="Times New Roman" w:hAnsi="Arial" w:cs="Arial"/>
          <w:b/>
          <w:bCs/>
          <w:color w:val="000000" w:themeColor="text1"/>
          <w:sz w:val="20"/>
          <w:szCs w:val="20"/>
        </w:rPr>
      </w:pPr>
    </w:p>
    <w:p w14:paraId="5DC2F958"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tbl>
      <w:tblPr>
        <w:tblW w:w="9380" w:type="dxa"/>
        <w:tblInd w:w="-180" w:type="dxa"/>
        <w:tblLook w:val="04A0" w:firstRow="1" w:lastRow="0" w:firstColumn="1" w:lastColumn="0" w:noHBand="0" w:noVBand="1"/>
      </w:tblPr>
      <w:tblGrid>
        <w:gridCol w:w="4159"/>
        <w:gridCol w:w="1031"/>
        <w:gridCol w:w="1031"/>
        <w:gridCol w:w="1031"/>
        <w:gridCol w:w="1028"/>
        <w:gridCol w:w="1100"/>
      </w:tblGrid>
      <w:tr w:rsidR="00EC1426" w:rsidRPr="001B015B" w14:paraId="5BAF7169" w14:textId="77777777" w:rsidTr="00CA7F04">
        <w:trPr>
          <w:trHeight w:val="203"/>
        </w:trPr>
        <w:tc>
          <w:tcPr>
            <w:tcW w:w="4159" w:type="dxa"/>
            <w:tcBorders>
              <w:top w:val="nil"/>
              <w:left w:val="nil"/>
              <w:bottom w:val="nil"/>
              <w:right w:val="nil"/>
            </w:tcBorders>
            <w:shd w:val="clear" w:color="auto" w:fill="auto"/>
            <w:vAlign w:val="center"/>
          </w:tcPr>
          <w:p w14:paraId="1A8D1F12" w14:textId="77777777" w:rsidR="00EC1426" w:rsidRPr="001B015B" w:rsidRDefault="00EC1426" w:rsidP="00CA7F04">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 xml:space="preserve">Grupa </w:t>
            </w:r>
          </w:p>
        </w:tc>
        <w:tc>
          <w:tcPr>
            <w:tcW w:w="1031" w:type="dxa"/>
            <w:tcBorders>
              <w:top w:val="nil"/>
              <w:left w:val="nil"/>
              <w:bottom w:val="nil"/>
              <w:right w:val="nil"/>
            </w:tcBorders>
            <w:shd w:val="clear" w:color="auto" w:fill="auto"/>
            <w:vAlign w:val="center"/>
          </w:tcPr>
          <w:p w14:paraId="32EDBBAC" w14:textId="77777777" w:rsidR="00EC1426" w:rsidRPr="001B015B" w:rsidRDefault="00EC1426" w:rsidP="00CA7F04">
            <w:pPr>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center"/>
          </w:tcPr>
          <w:p w14:paraId="65458FEC" w14:textId="77777777" w:rsidR="00EC1426" w:rsidRPr="001B015B" w:rsidRDefault="00EC1426" w:rsidP="00CA7F04">
            <w:pPr>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center"/>
          </w:tcPr>
          <w:p w14:paraId="38AF33CA" w14:textId="77777777" w:rsidR="00EC1426" w:rsidRPr="001B015B" w:rsidRDefault="00EC1426" w:rsidP="00CA7F04">
            <w:pPr>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3462AB2B" w14:textId="77777777" w:rsidR="00EC1426" w:rsidRPr="001B015B" w:rsidRDefault="00EC1426" w:rsidP="00CA7F04">
            <w:pPr>
              <w:jc w:val="right"/>
              <w:rPr>
                <w:rFonts w:ascii="Arial" w:eastAsia="Calibri" w:hAnsi="Arial" w:cs="Arial"/>
                <w:b/>
                <w:bCs/>
                <w:color w:val="000000" w:themeColor="text1"/>
                <w:sz w:val="18"/>
                <w:szCs w:val="18"/>
              </w:rPr>
            </w:pPr>
          </w:p>
        </w:tc>
        <w:tc>
          <w:tcPr>
            <w:tcW w:w="1100" w:type="dxa"/>
            <w:tcBorders>
              <w:top w:val="nil"/>
              <w:left w:val="nil"/>
              <w:bottom w:val="nil"/>
              <w:right w:val="nil"/>
            </w:tcBorders>
            <w:shd w:val="clear" w:color="auto" w:fill="auto"/>
            <w:vAlign w:val="center"/>
          </w:tcPr>
          <w:p w14:paraId="484D61D8" w14:textId="77777777" w:rsidR="00EC1426" w:rsidRPr="001B015B" w:rsidRDefault="00EC1426" w:rsidP="00CA7F04">
            <w:pPr>
              <w:jc w:val="right"/>
              <w:rPr>
                <w:rFonts w:ascii="Arial" w:eastAsia="Calibri" w:hAnsi="Arial" w:cs="Arial"/>
                <w:b/>
                <w:bCs/>
                <w:color w:val="000000" w:themeColor="text1"/>
                <w:sz w:val="18"/>
                <w:szCs w:val="18"/>
              </w:rPr>
            </w:pPr>
          </w:p>
        </w:tc>
      </w:tr>
      <w:tr w:rsidR="00EC1426" w:rsidRPr="001B015B" w14:paraId="1A7CC521" w14:textId="77777777" w:rsidTr="00CA7F04">
        <w:trPr>
          <w:trHeight w:val="203"/>
        </w:trPr>
        <w:tc>
          <w:tcPr>
            <w:tcW w:w="4159" w:type="dxa"/>
            <w:tcBorders>
              <w:top w:val="nil"/>
              <w:left w:val="nil"/>
              <w:bottom w:val="nil"/>
              <w:right w:val="nil"/>
            </w:tcBorders>
            <w:shd w:val="clear" w:color="auto" w:fill="auto"/>
            <w:vAlign w:val="center"/>
            <w:hideMark/>
          </w:tcPr>
          <w:p w14:paraId="749EB018" w14:textId="77777777" w:rsidR="00EC1426" w:rsidRPr="001B015B" w:rsidRDefault="00EC1426" w:rsidP="00CA7F04">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31. prosinca 202</w:t>
            </w:r>
            <w:r>
              <w:rPr>
                <w:rFonts w:ascii="Arial" w:eastAsia="Calibri" w:hAnsi="Arial" w:cs="Arial"/>
                <w:b/>
                <w:bCs/>
                <w:color w:val="000000" w:themeColor="text1"/>
                <w:sz w:val="18"/>
                <w:szCs w:val="18"/>
              </w:rPr>
              <w:t>3</w:t>
            </w:r>
            <w:r w:rsidRPr="001B015B">
              <w:rPr>
                <w:rFonts w:ascii="Arial" w:eastAsia="Calibri" w:hAnsi="Arial" w:cs="Arial"/>
                <w:b/>
                <w:bCs/>
                <w:color w:val="000000" w:themeColor="text1"/>
                <w:sz w:val="18"/>
                <w:szCs w:val="18"/>
              </w:rPr>
              <w:t>.</w:t>
            </w:r>
          </w:p>
        </w:tc>
        <w:tc>
          <w:tcPr>
            <w:tcW w:w="1031" w:type="dxa"/>
            <w:tcBorders>
              <w:top w:val="nil"/>
              <w:left w:val="nil"/>
              <w:bottom w:val="nil"/>
              <w:right w:val="nil"/>
            </w:tcBorders>
            <w:shd w:val="clear" w:color="auto" w:fill="auto"/>
            <w:vAlign w:val="center"/>
            <w:hideMark/>
          </w:tcPr>
          <w:p w14:paraId="06D67897" w14:textId="77777777" w:rsidR="00EC1426" w:rsidRPr="001B015B" w:rsidRDefault="00EC1426"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1</w:t>
            </w:r>
          </w:p>
        </w:tc>
        <w:tc>
          <w:tcPr>
            <w:tcW w:w="1031" w:type="dxa"/>
            <w:tcBorders>
              <w:top w:val="nil"/>
              <w:left w:val="nil"/>
              <w:bottom w:val="nil"/>
              <w:right w:val="nil"/>
            </w:tcBorders>
            <w:shd w:val="clear" w:color="auto" w:fill="auto"/>
            <w:vAlign w:val="center"/>
            <w:hideMark/>
          </w:tcPr>
          <w:p w14:paraId="6CDCF3AC" w14:textId="77777777" w:rsidR="00EC1426" w:rsidRPr="001B015B" w:rsidRDefault="00EC1426"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2</w:t>
            </w:r>
          </w:p>
        </w:tc>
        <w:tc>
          <w:tcPr>
            <w:tcW w:w="1031" w:type="dxa"/>
            <w:tcBorders>
              <w:top w:val="nil"/>
              <w:left w:val="nil"/>
              <w:bottom w:val="nil"/>
              <w:right w:val="nil"/>
            </w:tcBorders>
            <w:shd w:val="clear" w:color="auto" w:fill="auto"/>
            <w:vAlign w:val="center"/>
            <w:hideMark/>
          </w:tcPr>
          <w:p w14:paraId="737CFDE0" w14:textId="77777777" w:rsidR="00EC1426" w:rsidRPr="001B015B" w:rsidRDefault="00EC1426"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3</w:t>
            </w:r>
          </w:p>
        </w:tc>
        <w:tc>
          <w:tcPr>
            <w:tcW w:w="1028" w:type="dxa"/>
            <w:tcBorders>
              <w:top w:val="nil"/>
              <w:left w:val="nil"/>
              <w:bottom w:val="nil"/>
              <w:right w:val="nil"/>
            </w:tcBorders>
            <w:shd w:val="clear" w:color="auto" w:fill="auto"/>
            <w:vAlign w:val="center"/>
            <w:hideMark/>
          </w:tcPr>
          <w:p w14:paraId="1D2465E6" w14:textId="77777777" w:rsidR="00EC1426" w:rsidRPr="001B015B" w:rsidRDefault="00EC1426"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POCI</w:t>
            </w:r>
          </w:p>
        </w:tc>
        <w:tc>
          <w:tcPr>
            <w:tcW w:w="1100" w:type="dxa"/>
            <w:tcBorders>
              <w:top w:val="nil"/>
              <w:left w:val="nil"/>
              <w:bottom w:val="nil"/>
              <w:right w:val="nil"/>
            </w:tcBorders>
            <w:shd w:val="clear" w:color="auto" w:fill="auto"/>
            <w:vAlign w:val="center"/>
            <w:hideMark/>
          </w:tcPr>
          <w:p w14:paraId="1865F536" w14:textId="77777777" w:rsidR="00EC1426" w:rsidRPr="001B015B" w:rsidRDefault="00EC1426"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Ukupno</w:t>
            </w:r>
          </w:p>
        </w:tc>
      </w:tr>
      <w:tr w:rsidR="00EC1426" w:rsidRPr="001B015B" w14:paraId="1A093B9F" w14:textId="77777777" w:rsidTr="00CA7F04">
        <w:trPr>
          <w:trHeight w:val="203"/>
        </w:trPr>
        <w:tc>
          <w:tcPr>
            <w:tcW w:w="4159" w:type="dxa"/>
            <w:tcBorders>
              <w:top w:val="nil"/>
              <w:left w:val="nil"/>
              <w:bottom w:val="nil"/>
              <w:right w:val="nil"/>
            </w:tcBorders>
            <w:shd w:val="clear" w:color="auto" w:fill="auto"/>
            <w:vAlign w:val="center"/>
            <w:hideMark/>
          </w:tcPr>
          <w:p w14:paraId="3FA3326B" w14:textId="77777777" w:rsidR="00EC1426" w:rsidRPr="001B015B" w:rsidRDefault="00EC1426" w:rsidP="00CA7F04">
            <w:pPr>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bottom"/>
            <w:hideMark/>
          </w:tcPr>
          <w:p w14:paraId="72D20BE2" w14:textId="77777777" w:rsidR="00EC1426" w:rsidRPr="001B015B" w:rsidRDefault="00EC1426" w:rsidP="00CA7F04">
            <w:pPr>
              <w:jc w:val="right"/>
              <w:rPr>
                <w:rFonts w:ascii="Arial" w:eastAsia="Calibri" w:hAnsi="Arial" w:cs="Arial"/>
                <w:b/>
                <w:bCs/>
                <w:color w:val="000000" w:themeColor="text1"/>
                <w:sz w:val="18"/>
                <w:szCs w:val="18"/>
              </w:rPr>
            </w:pPr>
            <w:r w:rsidRPr="006539F7">
              <w:rPr>
                <w:rFonts w:ascii="Arial" w:eastAsia="Calibri" w:hAnsi="Arial" w:cs="Arial"/>
                <w:b/>
                <w:bCs/>
                <w:color w:val="000000" w:themeColor="text1"/>
                <w:sz w:val="18"/>
                <w:szCs w:val="18"/>
              </w:rPr>
              <w:t>000 eura</w:t>
            </w:r>
          </w:p>
        </w:tc>
        <w:tc>
          <w:tcPr>
            <w:tcW w:w="1031" w:type="dxa"/>
            <w:tcBorders>
              <w:top w:val="nil"/>
              <w:left w:val="nil"/>
              <w:bottom w:val="nil"/>
              <w:right w:val="nil"/>
            </w:tcBorders>
            <w:shd w:val="clear" w:color="auto" w:fill="auto"/>
            <w:vAlign w:val="bottom"/>
            <w:hideMark/>
          </w:tcPr>
          <w:p w14:paraId="7F1ED535" w14:textId="77777777" w:rsidR="00EC1426" w:rsidRPr="001B015B" w:rsidRDefault="00EC1426" w:rsidP="00CA7F04">
            <w:pPr>
              <w:jc w:val="right"/>
              <w:rPr>
                <w:rFonts w:ascii="Arial" w:eastAsia="Calibri" w:hAnsi="Arial" w:cs="Arial"/>
                <w:b/>
                <w:bCs/>
                <w:color w:val="000000" w:themeColor="text1"/>
                <w:sz w:val="18"/>
                <w:szCs w:val="18"/>
              </w:rPr>
            </w:pPr>
            <w:r w:rsidRPr="006539F7">
              <w:rPr>
                <w:rFonts w:ascii="Arial" w:eastAsia="Calibri" w:hAnsi="Arial" w:cs="Arial"/>
                <w:b/>
                <w:bCs/>
                <w:color w:val="000000" w:themeColor="text1"/>
                <w:sz w:val="18"/>
                <w:szCs w:val="18"/>
              </w:rPr>
              <w:t>000 eura</w:t>
            </w:r>
          </w:p>
        </w:tc>
        <w:tc>
          <w:tcPr>
            <w:tcW w:w="1031" w:type="dxa"/>
            <w:tcBorders>
              <w:top w:val="nil"/>
              <w:left w:val="nil"/>
              <w:bottom w:val="nil"/>
              <w:right w:val="nil"/>
            </w:tcBorders>
            <w:shd w:val="clear" w:color="auto" w:fill="auto"/>
            <w:vAlign w:val="bottom"/>
            <w:hideMark/>
          </w:tcPr>
          <w:p w14:paraId="5CE6590C" w14:textId="77777777" w:rsidR="00EC1426" w:rsidRPr="001B015B" w:rsidRDefault="00EC1426" w:rsidP="00CA7F04">
            <w:pPr>
              <w:jc w:val="right"/>
              <w:rPr>
                <w:rFonts w:ascii="Arial" w:eastAsia="Calibri" w:hAnsi="Arial" w:cs="Arial"/>
                <w:b/>
                <w:bCs/>
                <w:color w:val="000000" w:themeColor="text1"/>
                <w:sz w:val="18"/>
                <w:szCs w:val="18"/>
              </w:rPr>
            </w:pPr>
            <w:r w:rsidRPr="006539F7">
              <w:rPr>
                <w:rFonts w:ascii="Arial" w:eastAsia="Calibri" w:hAnsi="Arial" w:cs="Arial"/>
                <w:b/>
                <w:bCs/>
                <w:color w:val="000000" w:themeColor="text1"/>
                <w:sz w:val="18"/>
                <w:szCs w:val="18"/>
              </w:rPr>
              <w:t>000 eura</w:t>
            </w:r>
          </w:p>
        </w:tc>
        <w:tc>
          <w:tcPr>
            <w:tcW w:w="1028" w:type="dxa"/>
            <w:tcBorders>
              <w:top w:val="nil"/>
              <w:left w:val="nil"/>
              <w:bottom w:val="nil"/>
              <w:right w:val="nil"/>
            </w:tcBorders>
            <w:shd w:val="clear" w:color="auto" w:fill="auto"/>
            <w:vAlign w:val="bottom"/>
            <w:hideMark/>
          </w:tcPr>
          <w:p w14:paraId="0BF318E0" w14:textId="77777777" w:rsidR="00EC1426" w:rsidRPr="001B015B" w:rsidRDefault="00EC1426" w:rsidP="00CA7F04">
            <w:pPr>
              <w:jc w:val="right"/>
              <w:rPr>
                <w:rFonts w:ascii="Arial" w:eastAsia="Calibri" w:hAnsi="Arial" w:cs="Arial"/>
                <w:b/>
                <w:bCs/>
                <w:color w:val="000000" w:themeColor="text1"/>
                <w:sz w:val="18"/>
                <w:szCs w:val="18"/>
              </w:rPr>
            </w:pPr>
            <w:r w:rsidRPr="006539F7">
              <w:rPr>
                <w:rFonts w:ascii="Arial" w:eastAsia="Calibri" w:hAnsi="Arial" w:cs="Arial"/>
                <w:b/>
                <w:bCs/>
                <w:color w:val="000000" w:themeColor="text1"/>
                <w:sz w:val="18"/>
                <w:szCs w:val="18"/>
              </w:rPr>
              <w:t>000 eura</w:t>
            </w:r>
          </w:p>
        </w:tc>
        <w:tc>
          <w:tcPr>
            <w:tcW w:w="1100" w:type="dxa"/>
            <w:tcBorders>
              <w:top w:val="nil"/>
              <w:left w:val="nil"/>
              <w:bottom w:val="nil"/>
              <w:right w:val="nil"/>
            </w:tcBorders>
            <w:shd w:val="clear" w:color="auto" w:fill="auto"/>
            <w:vAlign w:val="bottom"/>
            <w:hideMark/>
          </w:tcPr>
          <w:p w14:paraId="080DF1FD" w14:textId="77777777" w:rsidR="00EC1426" w:rsidRPr="001B015B" w:rsidRDefault="00EC1426" w:rsidP="00CA7F04">
            <w:pPr>
              <w:jc w:val="right"/>
              <w:rPr>
                <w:rFonts w:ascii="Arial" w:eastAsia="Calibri" w:hAnsi="Arial" w:cs="Arial"/>
                <w:b/>
                <w:bCs/>
                <w:color w:val="000000" w:themeColor="text1"/>
                <w:sz w:val="18"/>
                <w:szCs w:val="18"/>
              </w:rPr>
            </w:pPr>
            <w:r w:rsidRPr="006539F7">
              <w:rPr>
                <w:rFonts w:ascii="Arial" w:eastAsia="Calibri" w:hAnsi="Arial" w:cs="Arial"/>
                <w:b/>
                <w:bCs/>
                <w:color w:val="000000" w:themeColor="text1"/>
                <w:sz w:val="18"/>
                <w:szCs w:val="18"/>
              </w:rPr>
              <w:t>000 eura</w:t>
            </w:r>
          </w:p>
        </w:tc>
      </w:tr>
      <w:tr w:rsidR="00EC1426" w:rsidRPr="001B015B" w14:paraId="53FB6835" w14:textId="77777777" w:rsidTr="00CA7F04">
        <w:trPr>
          <w:trHeight w:val="203"/>
        </w:trPr>
        <w:tc>
          <w:tcPr>
            <w:tcW w:w="4159" w:type="dxa"/>
            <w:tcBorders>
              <w:top w:val="nil"/>
              <w:left w:val="nil"/>
              <w:bottom w:val="nil"/>
              <w:right w:val="nil"/>
            </w:tcBorders>
            <w:shd w:val="clear" w:color="auto" w:fill="auto"/>
            <w:vAlign w:val="center"/>
          </w:tcPr>
          <w:p w14:paraId="6F410BE4" w14:textId="77777777" w:rsidR="00EC1426" w:rsidRPr="001B015B" w:rsidRDefault="00EC1426" w:rsidP="00CA7F04">
            <w:pPr>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center"/>
          </w:tcPr>
          <w:p w14:paraId="2D720E75" w14:textId="77777777" w:rsidR="00EC1426" w:rsidRPr="001B015B" w:rsidRDefault="00EC1426" w:rsidP="00CA7F04">
            <w:pPr>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center"/>
          </w:tcPr>
          <w:p w14:paraId="0BA17640" w14:textId="77777777" w:rsidR="00EC1426" w:rsidRPr="001B015B" w:rsidRDefault="00EC1426" w:rsidP="00CA7F04">
            <w:pPr>
              <w:jc w:val="right"/>
              <w:rPr>
                <w:rFonts w:ascii="Arial" w:eastAsia="Calibri" w:hAnsi="Arial" w:cs="Arial"/>
                <w:b/>
                <w:bCs/>
                <w:color w:val="000000" w:themeColor="text1"/>
                <w:sz w:val="18"/>
                <w:szCs w:val="18"/>
              </w:rPr>
            </w:pPr>
          </w:p>
        </w:tc>
        <w:tc>
          <w:tcPr>
            <w:tcW w:w="1031" w:type="dxa"/>
            <w:tcBorders>
              <w:top w:val="nil"/>
              <w:left w:val="nil"/>
              <w:bottom w:val="nil"/>
              <w:right w:val="nil"/>
            </w:tcBorders>
            <w:shd w:val="clear" w:color="auto" w:fill="auto"/>
            <w:vAlign w:val="center"/>
          </w:tcPr>
          <w:p w14:paraId="4C421D43" w14:textId="77777777" w:rsidR="00EC1426" w:rsidRPr="001B015B" w:rsidRDefault="00EC1426" w:rsidP="00CA7F04">
            <w:pPr>
              <w:jc w:val="right"/>
              <w:rPr>
                <w:rFonts w:ascii="Arial" w:eastAsia="Calibri" w:hAnsi="Arial" w:cs="Arial"/>
                <w:b/>
                <w:bCs/>
                <w:color w:val="000000" w:themeColor="text1"/>
                <w:sz w:val="18"/>
                <w:szCs w:val="18"/>
              </w:rPr>
            </w:pPr>
          </w:p>
        </w:tc>
        <w:tc>
          <w:tcPr>
            <w:tcW w:w="1028" w:type="dxa"/>
            <w:tcBorders>
              <w:top w:val="nil"/>
              <w:left w:val="nil"/>
              <w:bottom w:val="nil"/>
              <w:right w:val="nil"/>
            </w:tcBorders>
            <w:shd w:val="clear" w:color="auto" w:fill="auto"/>
            <w:vAlign w:val="center"/>
          </w:tcPr>
          <w:p w14:paraId="1F696D08" w14:textId="77777777" w:rsidR="00EC1426" w:rsidRPr="001B015B" w:rsidRDefault="00EC1426" w:rsidP="00CA7F04">
            <w:pPr>
              <w:jc w:val="right"/>
              <w:rPr>
                <w:rFonts w:ascii="Arial" w:eastAsia="Calibri" w:hAnsi="Arial" w:cs="Arial"/>
                <w:b/>
                <w:bCs/>
                <w:color w:val="000000" w:themeColor="text1"/>
                <w:sz w:val="18"/>
                <w:szCs w:val="18"/>
              </w:rPr>
            </w:pPr>
          </w:p>
        </w:tc>
        <w:tc>
          <w:tcPr>
            <w:tcW w:w="1100" w:type="dxa"/>
            <w:tcBorders>
              <w:top w:val="nil"/>
              <w:left w:val="nil"/>
              <w:bottom w:val="nil"/>
              <w:right w:val="nil"/>
            </w:tcBorders>
            <w:shd w:val="clear" w:color="auto" w:fill="auto"/>
            <w:vAlign w:val="center"/>
          </w:tcPr>
          <w:p w14:paraId="2A888FA5" w14:textId="77777777" w:rsidR="00EC1426" w:rsidRPr="001B015B" w:rsidRDefault="00EC1426" w:rsidP="00CA7F04">
            <w:pPr>
              <w:jc w:val="right"/>
              <w:rPr>
                <w:rFonts w:ascii="Arial" w:eastAsia="Calibri" w:hAnsi="Arial" w:cs="Arial"/>
                <w:b/>
                <w:bCs/>
                <w:color w:val="000000" w:themeColor="text1"/>
                <w:sz w:val="18"/>
                <w:szCs w:val="18"/>
              </w:rPr>
            </w:pPr>
          </w:p>
        </w:tc>
      </w:tr>
      <w:tr w:rsidR="00EC1426" w:rsidRPr="001B015B" w14:paraId="2DCF328E" w14:textId="77777777" w:rsidTr="00CA7F04">
        <w:trPr>
          <w:trHeight w:val="203"/>
        </w:trPr>
        <w:tc>
          <w:tcPr>
            <w:tcW w:w="4159" w:type="dxa"/>
            <w:tcBorders>
              <w:top w:val="nil"/>
              <w:left w:val="nil"/>
              <w:bottom w:val="nil"/>
              <w:right w:val="nil"/>
            </w:tcBorders>
            <w:shd w:val="clear" w:color="auto" w:fill="auto"/>
            <w:vAlign w:val="center"/>
            <w:hideMark/>
          </w:tcPr>
          <w:p w14:paraId="6ED9AD17" w14:textId="77777777" w:rsidR="00EC1426" w:rsidRPr="001B015B" w:rsidRDefault="00EC1426"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3</w:t>
            </w:r>
            <w:r w:rsidRPr="001B015B">
              <w:rPr>
                <w:rFonts w:ascii="Arial" w:eastAsia="Calibri" w:hAnsi="Arial" w:cs="Arial"/>
                <w:color w:val="000000" w:themeColor="text1"/>
                <w:sz w:val="18"/>
                <w:szCs w:val="18"/>
              </w:rPr>
              <w:t xml:space="preserve">. </w:t>
            </w:r>
          </w:p>
        </w:tc>
        <w:tc>
          <w:tcPr>
            <w:tcW w:w="1031" w:type="dxa"/>
            <w:shd w:val="clear" w:color="auto" w:fill="auto"/>
            <w:vAlign w:val="bottom"/>
          </w:tcPr>
          <w:p w14:paraId="2FD24484" w14:textId="77777777" w:rsidR="00EC1426" w:rsidRPr="00593574" w:rsidRDefault="00EC1426" w:rsidP="00CA7F04">
            <w:pPr>
              <w:jc w:val="right"/>
              <w:rPr>
                <w:rFonts w:ascii="Arial" w:hAnsi="Arial" w:cs="Arial"/>
                <w:sz w:val="18"/>
                <w:szCs w:val="18"/>
              </w:rPr>
            </w:pPr>
            <w:r w:rsidRPr="00F959D0">
              <w:rPr>
                <w:rFonts w:ascii="Arial" w:hAnsi="Arial" w:cs="Arial"/>
                <w:sz w:val="18"/>
                <w:szCs w:val="18"/>
              </w:rPr>
              <w:t xml:space="preserve"> 25 </w:t>
            </w:r>
          </w:p>
        </w:tc>
        <w:tc>
          <w:tcPr>
            <w:tcW w:w="1031" w:type="dxa"/>
            <w:shd w:val="clear" w:color="auto" w:fill="auto"/>
            <w:vAlign w:val="bottom"/>
          </w:tcPr>
          <w:p w14:paraId="309B4ADB" w14:textId="77777777" w:rsidR="00EC1426" w:rsidRPr="00593574" w:rsidRDefault="00EC1426" w:rsidP="00CA7F04">
            <w:pPr>
              <w:jc w:val="right"/>
              <w:rPr>
                <w:rFonts w:ascii="Arial" w:hAnsi="Arial" w:cs="Arial"/>
                <w:sz w:val="18"/>
                <w:szCs w:val="18"/>
              </w:rPr>
            </w:pPr>
            <w:r w:rsidRPr="00F959D0">
              <w:rPr>
                <w:rFonts w:ascii="Arial" w:hAnsi="Arial" w:cs="Arial"/>
                <w:sz w:val="18"/>
                <w:szCs w:val="18"/>
              </w:rPr>
              <w:t xml:space="preserve"> - </w:t>
            </w:r>
          </w:p>
        </w:tc>
        <w:tc>
          <w:tcPr>
            <w:tcW w:w="1031" w:type="dxa"/>
            <w:shd w:val="clear" w:color="auto" w:fill="auto"/>
            <w:vAlign w:val="bottom"/>
          </w:tcPr>
          <w:p w14:paraId="5093714C" w14:textId="77777777" w:rsidR="00EC1426" w:rsidRPr="00593574" w:rsidRDefault="00EC1426" w:rsidP="00CA7F04">
            <w:pPr>
              <w:jc w:val="right"/>
              <w:rPr>
                <w:rFonts w:ascii="Arial" w:hAnsi="Arial" w:cs="Arial"/>
                <w:sz w:val="18"/>
                <w:szCs w:val="18"/>
              </w:rPr>
            </w:pPr>
            <w:r w:rsidRPr="00F959D0">
              <w:rPr>
                <w:rFonts w:ascii="Arial" w:hAnsi="Arial" w:cs="Arial"/>
                <w:sz w:val="18"/>
                <w:szCs w:val="18"/>
              </w:rPr>
              <w:t xml:space="preserve"> 4.631 </w:t>
            </w:r>
          </w:p>
        </w:tc>
        <w:tc>
          <w:tcPr>
            <w:tcW w:w="1028" w:type="dxa"/>
            <w:shd w:val="clear" w:color="auto" w:fill="auto"/>
            <w:vAlign w:val="bottom"/>
          </w:tcPr>
          <w:p w14:paraId="436E6439" w14:textId="77777777" w:rsidR="00EC1426" w:rsidRPr="00593574" w:rsidRDefault="00EC1426" w:rsidP="00CA7F04">
            <w:pPr>
              <w:jc w:val="right"/>
              <w:rPr>
                <w:rFonts w:ascii="Arial" w:hAnsi="Arial" w:cs="Arial"/>
                <w:sz w:val="18"/>
                <w:szCs w:val="18"/>
              </w:rPr>
            </w:pPr>
            <w:r w:rsidRPr="00F959D0">
              <w:rPr>
                <w:rFonts w:ascii="Arial" w:hAnsi="Arial" w:cs="Arial"/>
                <w:sz w:val="18"/>
                <w:szCs w:val="18"/>
              </w:rPr>
              <w:t xml:space="preserve"> 35 </w:t>
            </w:r>
          </w:p>
        </w:tc>
        <w:tc>
          <w:tcPr>
            <w:tcW w:w="1100" w:type="dxa"/>
            <w:shd w:val="clear" w:color="auto" w:fill="auto"/>
            <w:vAlign w:val="bottom"/>
          </w:tcPr>
          <w:p w14:paraId="7D07C2F5" w14:textId="77777777" w:rsidR="00EC1426" w:rsidRPr="005D1219" w:rsidRDefault="00EC1426" w:rsidP="00CA7F04">
            <w:pPr>
              <w:jc w:val="right"/>
              <w:rPr>
                <w:rFonts w:ascii="Arial" w:hAnsi="Arial" w:cs="Arial"/>
                <w:b/>
                <w:bCs/>
                <w:sz w:val="18"/>
                <w:szCs w:val="18"/>
              </w:rPr>
            </w:pPr>
            <w:r w:rsidRPr="005D1219">
              <w:rPr>
                <w:rFonts w:ascii="Arial" w:hAnsi="Arial" w:cs="Arial"/>
                <w:b/>
                <w:bCs/>
                <w:sz w:val="18"/>
                <w:szCs w:val="18"/>
              </w:rPr>
              <w:t xml:space="preserve"> 4.691 </w:t>
            </w:r>
          </w:p>
        </w:tc>
      </w:tr>
      <w:tr w:rsidR="00EC1426" w:rsidRPr="001B015B" w14:paraId="5E69699F" w14:textId="77777777" w:rsidTr="00CA7F04">
        <w:trPr>
          <w:trHeight w:val="203"/>
        </w:trPr>
        <w:tc>
          <w:tcPr>
            <w:tcW w:w="4159" w:type="dxa"/>
            <w:shd w:val="clear" w:color="auto" w:fill="auto"/>
          </w:tcPr>
          <w:p w14:paraId="00D34DAD" w14:textId="77777777" w:rsidR="00EC1426" w:rsidRPr="001B015B" w:rsidRDefault="00EC1426"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1</w:t>
            </w:r>
          </w:p>
        </w:tc>
        <w:tc>
          <w:tcPr>
            <w:tcW w:w="1031" w:type="dxa"/>
            <w:shd w:val="clear" w:color="auto" w:fill="auto"/>
            <w:vAlign w:val="bottom"/>
          </w:tcPr>
          <w:p w14:paraId="4557A264" w14:textId="77777777" w:rsidR="00EC1426" w:rsidRPr="00593574" w:rsidRDefault="00EC1426" w:rsidP="00CA7F04">
            <w:pPr>
              <w:jc w:val="right"/>
              <w:rPr>
                <w:rFonts w:ascii="Arial" w:hAnsi="Arial" w:cs="Arial"/>
                <w:sz w:val="18"/>
                <w:szCs w:val="18"/>
              </w:rPr>
            </w:pPr>
            <w:r w:rsidRPr="00F959D0">
              <w:rPr>
                <w:rFonts w:ascii="Arial" w:hAnsi="Arial" w:cs="Arial"/>
                <w:sz w:val="18"/>
                <w:szCs w:val="18"/>
              </w:rPr>
              <w:t xml:space="preserve"> - </w:t>
            </w:r>
          </w:p>
        </w:tc>
        <w:tc>
          <w:tcPr>
            <w:tcW w:w="1031" w:type="dxa"/>
            <w:shd w:val="clear" w:color="auto" w:fill="auto"/>
            <w:vAlign w:val="bottom"/>
          </w:tcPr>
          <w:p w14:paraId="4DFDA72D" w14:textId="77777777" w:rsidR="00EC1426" w:rsidRPr="00593574" w:rsidRDefault="00EC1426" w:rsidP="00CA7F04">
            <w:pPr>
              <w:jc w:val="right"/>
              <w:rPr>
                <w:rFonts w:ascii="Arial" w:hAnsi="Arial" w:cs="Arial"/>
                <w:sz w:val="18"/>
                <w:szCs w:val="18"/>
              </w:rPr>
            </w:pPr>
            <w:r w:rsidRPr="00F959D0">
              <w:rPr>
                <w:rFonts w:ascii="Arial" w:hAnsi="Arial" w:cs="Arial"/>
                <w:sz w:val="18"/>
                <w:szCs w:val="18"/>
              </w:rPr>
              <w:t xml:space="preserve"> - </w:t>
            </w:r>
          </w:p>
        </w:tc>
        <w:tc>
          <w:tcPr>
            <w:tcW w:w="1031" w:type="dxa"/>
            <w:shd w:val="clear" w:color="auto" w:fill="auto"/>
            <w:vAlign w:val="bottom"/>
          </w:tcPr>
          <w:p w14:paraId="17034E47" w14:textId="77777777" w:rsidR="00EC1426" w:rsidRPr="00593574" w:rsidRDefault="00EC1426" w:rsidP="00CA7F04">
            <w:pPr>
              <w:jc w:val="right"/>
              <w:rPr>
                <w:rFonts w:ascii="Arial" w:hAnsi="Arial" w:cs="Arial"/>
                <w:sz w:val="18"/>
                <w:szCs w:val="18"/>
              </w:rPr>
            </w:pPr>
            <w:r w:rsidRPr="00F959D0">
              <w:rPr>
                <w:rFonts w:ascii="Arial" w:hAnsi="Arial" w:cs="Arial"/>
                <w:sz w:val="18"/>
                <w:szCs w:val="18"/>
              </w:rPr>
              <w:t xml:space="preserve"> - </w:t>
            </w:r>
          </w:p>
        </w:tc>
        <w:tc>
          <w:tcPr>
            <w:tcW w:w="1028" w:type="dxa"/>
            <w:shd w:val="clear" w:color="auto" w:fill="auto"/>
            <w:vAlign w:val="bottom"/>
          </w:tcPr>
          <w:p w14:paraId="74DEC6F7" w14:textId="77777777" w:rsidR="00EC1426" w:rsidRPr="00593574" w:rsidRDefault="00EC1426" w:rsidP="00CA7F04">
            <w:pPr>
              <w:jc w:val="right"/>
              <w:rPr>
                <w:rFonts w:ascii="Arial" w:hAnsi="Arial" w:cs="Arial"/>
                <w:sz w:val="18"/>
                <w:szCs w:val="18"/>
              </w:rPr>
            </w:pPr>
            <w:r w:rsidRPr="00F959D0">
              <w:rPr>
                <w:rFonts w:ascii="Arial" w:hAnsi="Arial" w:cs="Arial"/>
                <w:sz w:val="18"/>
                <w:szCs w:val="18"/>
              </w:rPr>
              <w:t xml:space="preserve"> - </w:t>
            </w:r>
          </w:p>
        </w:tc>
        <w:tc>
          <w:tcPr>
            <w:tcW w:w="1100" w:type="dxa"/>
            <w:shd w:val="clear" w:color="auto" w:fill="auto"/>
            <w:vAlign w:val="bottom"/>
          </w:tcPr>
          <w:p w14:paraId="2183F562" w14:textId="77777777" w:rsidR="00EC1426" w:rsidRPr="005D1219" w:rsidRDefault="00EC1426" w:rsidP="00CA7F04">
            <w:pPr>
              <w:jc w:val="right"/>
              <w:rPr>
                <w:rFonts w:ascii="Arial" w:hAnsi="Arial" w:cs="Arial"/>
                <w:b/>
                <w:bCs/>
                <w:sz w:val="18"/>
                <w:szCs w:val="18"/>
              </w:rPr>
            </w:pPr>
            <w:r w:rsidRPr="005D1219">
              <w:rPr>
                <w:rFonts w:ascii="Arial" w:hAnsi="Arial" w:cs="Arial"/>
                <w:b/>
                <w:bCs/>
                <w:sz w:val="18"/>
                <w:szCs w:val="18"/>
              </w:rPr>
              <w:t xml:space="preserve"> - </w:t>
            </w:r>
          </w:p>
        </w:tc>
      </w:tr>
      <w:tr w:rsidR="00EC1426" w:rsidRPr="001B015B" w14:paraId="0EFF8B5C" w14:textId="77777777" w:rsidTr="00CA7F04">
        <w:trPr>
          <w:trHeight w:val="203"/>
        </w:trPr>
        <w:tc>
          <w:tcPr>
            <w:tcW w:w="4159" w:type="dxa"/>
            <w:shd w:val="clear" w:color="auto" w:fill="auto"/>
          </w:tcPr>
          <w:p w14:paraId="0D05DB5F" w14:textId="77777777" w:rsidR="00EC1426" w:rsidRPr="001B015B" w:rsidRDefault="00EC1426"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2</w:t>
            </w:r>
          </w:p>
        </w:tc>
        <w:tc>
          <w:tcPr>
            <w:tcW w:w="1031" w:type="dxa"/>
            <w:shd w:val="clear" w:color="auto" w:fill="auto"/>
            <w:vAlign w:val="bottom"/>
          </w:tcPr>
          <w:p w14:paraId="34BD807D" w14:textId="77777777" w:rsidR="00EC1426" w:rsidRPr="00593574" w:rsidRDefault="00EC1426" w:rsidP="00CA7F04">
            <w:pPr>
              <w:jc w:val="right"/>
              <w:rPr>
                <w:rFonts w:ascii="Arial" w:hAnsi="Arial" w:cs="Arial"/>
                <w:sz w:val="18"/>
                <w:szCs w:val="18"/>
              </w:rPr>
            </w:pPr>
            <w:r w:rsidRPr="00F959D0">
              <w:rPr>
                <w:rFonts w:ascii="Arial" w:hAnsi="Arial" w:cs="Arial"/>
                <w:sz w:val="18"/>
                <w:szCs w:val="18"/>
              </w:rPr>
              <w:t xml:space="preserve"> - </w:t>
            </w:r>
          </w:p>
        </w:tc>
        <w:tc>
          <w:tcPr>
            <w:tcW w:w="1031" w:type="dxa"/>
            <w:shd w:val="clear" w:color="auto" w:fill="auto"/>
            <w:vAlign w:val="bottom"/>
          </w:tcPr>
          <w:p w14:paraId="64F6FEFE" w14:textId="77777777" w:rsidR="00EC1426" w:rsidRPr="00593574" w:rsidRDefault="00EC1426" w:rsidP="00CA7F04">
            <w:pPr>
              <w:jc w:val="right"/>
              <w:rPr>
                <w:rFonts w:ascii="Arial" w:hAnsi="Arial" w:cs="Arial"/>
                <w:sz w:val="18"/>
                <w:szCs w:val="18"/>
              </w:rPr>
            </w:pPr>
            <w:r w:rsidRPr="00F959D0">
              <w:rPr>
                <w:rFonts w:ascii="Arial" w:hAnsi="Arial" w:cs="Arial"/>
                <w:sz w:val="18"/>
                <w:szCs w:val="18"/>
              </w:rPr>
              <w:t xml:space="preserve"> - </w:t>
            </w:r>
          </w:p>
        </w:tc>
        <w:tc>
          <w:tcPr>
            <w:tcW w:w="1031" w:type="dxa"/>
            <w:shd w:val="clear" w:color="auto" w:fill="auto"/>
            <w:vAlign w:val="bottom"/>
          </w:tcPr>
          <w:p w14:paraId="72A15054" w14:textId="77777777" w:rsidR="00EC1426" w:rsidRPr="00593574" w:rsidRDefault="00EC1426" w:rsidP="00CA7F04">
            <w:pPr>
              <w:jc w:val="right"/>
              <w:rPr>
                <w:rFonts w:ascii="Arial" w:hAnsi="Arial" w:cs="Arial"/>
                <w:sz w:val="18"/>
                <w:szCs w:val="18"/>
              </w:rPr>
            </w:pPr>
            <w:r w:rsidRPr="00F959D0">
              <w:rPr>
                <w:rFonts w:ascii="Arial" w:hAnsi="Arial" w:cs="Arial"/>
                <w:sz w:val="18"/>
                <w:szCs w:val="18"/>
              </w:rPr>
              <w:t xml:space="preserve"> - </w:t>
            </w:r>
          </w:p>
        </w:tc>
        <w:tc>
          <w:tcPr>
            <w:tcW w:w="1028" w:type="dxa"/>
            <w:shd w:val="clear" w:color="auto" w:fill="auto"/>
            <w:vAlign w:val="bottom"/>
          </w:tcPr>
          <w:p w14:paraId="3193A299" w14:textId="77777777" w:rsidR="00EC1426" w:rsidRPr="00593574" w:rsidRDefault="00EC1426" w:rsidP="00CA7F04">
            <w:pPr>
              <w:jc w:val="right"/>
              <w:rPr>
                <w:rFonts w:ascii="Arial" w:hAnsi="Arial" w:cs="Arial"/>
                <w:sz w:val="18"/>
                <w:szCs w:val="18"/>
              </w:rPr>
            </w:pPr>
            <w:r w:rsidRPr="00F959D0">
              <w:rPr>
                <w:rFonts w:ascii="Arial" w:hAnsi="Arial" w:cs="Arial"/>
                <w:sz w:val="18"/>
                <w:szCs w:val="18"/>
              </w:rPr>
              <w:t xml:space="preserve"> - </w:t>
            </w:r>
          </w:p>
        </w:tc>
        <w:tc>
          <w:tcPr>
            <w:tcW w:w="1100" w:type="dxa"/>
            <w:shd w:val="clear" w:color="auto" w:fill="auto"/>
            <w:vAlign w:val="bottom"/>
          </w:tcPr>
          <w:p w14:paraId="07D199A2" w14:textId="77777777" w:rsidR="00EC1426" w:rsidRPr="005D1219" w:rsidRDefault="00EC1426" w:rsidP="00CA7F04">
            <w:pPr>
              <w:jc w:val="right"/>
              <w:rPr>
                <w:rFonts w:ascii="Arial" w:hAnsi="Arial" w:cs="Arial"/>
                <w:b/>
                <w:bCs/>
                <w:sz w:val="18"/>
                <w:szCs w:val="18"/>
              </w:rPr>
            </w:pPr>
            <w:r w:rsidRPr="005D1219">
              <w:rPr>
                <w:rFonts w:ascii="Arial" w:hAnsi="Arial" w:cs="Arial"/>
                <w:b/>
                <w:bCs/>
                <w:sz w:val="18"/>
                <w:szCs w:val="18"/>
              </w:rPr>
              <w:t xml:space="preserve"> - </w:t>
            </w:r>
          </w:p>
        </w:tc>
      </w:tr>
      <w:tr w:rsidR="00EC1426" w:rsidRPr="001B015B" w14:paraId="05E30E60" w14:textId="77777777" w:rsidTr="00CA7F04">
        <w:trPr>
          <w:trHeight w:val="203"/>
        </w:trPr>
        <w:tc>
          <w:tcPr>
            <w:tcW w:w="4159" w:type="dxa"/>
            <w:shd w:val="clear" w:color="auto" w:fill="auto"/>
            <w:hideMark/>
          </w:tcPr>
          <w:p w14:paraId="7C92020A" w14:textId="77777777" w:rsidR="00EC1426" w:rsidRPr="001B015B" w:rsidRDefault="00EC1426"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3</w:t>
            </w:r>
          </w:p>
        </w:tc>
        <w:tc>
          <w:tcPr>
            <w:tcW w:w="1031" w:type="dxa"/>
            <w:shd w:val="clear" w:color="auto" w:fill="auto"/>
            <w:vAlign w:val="bottom"/>
          </w:tcPr>
          <w:p w14:paraId="08652DA0" w14:textId="77777777" w:rsidR="00EC1426" w:rsidRPr="00593574" w:rsidRDefault="00EC1426" w:rsidP="00CA7F04">
            <w:pPr>
              <w:jc w:val="right"/>
              <w:rPr>
                <w:rFonts w:ascii="Arial" w:hAnsi="Arial" w:cs="Arial"/>
                <w:sz w:val="18"/>
                <w:szCs w:val="18"/>
              </w:rPr>
            </w:pPr>
            <w:r w:rsidRPr="00F959D0">
              <w:rPr>
                <w:rFonts w:ascii="Arial" w:hAnsi="Arial" w:cs="Arial"/>
                <w:sz w:val="18"/>
                <w:szCs w:val="18"/>
              </w:rPr>
              <w:t xml:space="preserve"> - </w:t>
            </w:r>
          </w:p>
        </w:tc>
        <w:tc>
          <w:tcPr>
            <w:tcW w:w="1031" w:type="dxa"/>
            <w:shd w:val="clear" w:color="auto" w:fill="auto"/>
            <w:vAlign w:val="bottom"/>
          </w:tcPr>
          <w:p w14:paraId="2C940D7F" w14:textId="77777777" w:rsidR="00EC1426" w:rsidRPr="00593574" w:rsidRDefault="00EC1426" w:rsidP="00CA7F04">
            <w:pPr>
              <w:jc w:val="right"/>
              <w:rPr>
                <w:rFonts w:ascii="Arial" w:hAnsi="Arial" w:cs="Arial"/>
                <w:sz w:val="18"/>
                <w:szCs w:val="18"/>
              </w:rPr>
            </w:pPr>
            <w:r w:rsidRPr="00F959D0">
              <w:rPr>
                <w:rFonts w:ascii="Arial" w:hAnsi="Arial" w:cs="Arial"/>
                <w:sz w:val="18"/>
                <w:szCs w:val="18"/>
              </w:rPr>
              <w:t xml:space="preserve"> - </w:t>
            </w:r>
          </w:p>
        </w:tc>
        <w:tc>
          <w:tcPr>
            <w:tcW w:w="1031" w:type="dxa"/>
            <w:shd w:val="clear" w:color="auto" w:fill="auto"/>
            <w:vAlign w:val="bottom"/>
          </w:tcPr>
          <w:p w14:paraId="46D687B8" w14:textId="77777777" w:rsidR="00EC1426" w:rsidRPr="00593574" w:rsidRDefault="00EC1426" w:rsidP="00CA7F04">
            <w:pPr>
              <w:jc w:val="right"/>
              <w:rPr>
                <w:rFonts w:ascii="Arial" w:hAnsi="Arial" w:cs="Arial"/>
                <w:sz w:val="18"/>
                <w:szCs w:val="18"/>
              </w:rPr>
            </w:pPr>
            <w:r w:rsidRPr="00F959D0">
              <w:rPr>
                <w:rFonts w:ascii="Arial" w:hAnsi="Arial" w:cs="Arial"/>
                <w:sz w:val="18"/>
                <w:szCs w:val="18"/>
              </w:rPr>
              <w:t xml:space="preserve"> - </w:t>
            </w:r>
          </w:p>
        </w:tc>
        <w:tc>
          <w:tcPr>
            <w:tcW w:w="1028" w:type="dxa"/>
            <w:shd w:val="clear" w:color="auto" w:fill="auto"/>
            <w:vAlign w:val="bottom"/>
          </w:tcPr>
          <w:p w14:paraId="2F217BBB" w14:textId="77777777" w:rsidR="00EC1426" w:rsidRPr="00593574" w:rsidRDefault="00EC1426" w:rsidP="00CA7F04">
            <w:pPr>
              <w:jc w:val="right"/>
              <w:rPr>
                <w:rFonts w:ascii="Arial" w:hAnsi="Arial" w:cs="Arial"/>
                <w:sz w:val="18"/>
                <w:szCs w:val="18"/>
              </w:rPr>
            </w:pPr>
            <w:r w:rsidRPr="00F959D0">
              <w:rPr>
                <w:rFonts w:ascii="Arial" w:hAnsi="Arial" w:cs="Arial"/>
                <w:sz w:val="18"/>
                <w:szCs w:val="18"/>
              </w:rPr>
              <w:t xml:space="preserve"> - </w:t>
            </w:r>
          </w:p>
        </w:tc>
        <w:tc>
          <w:tcPr>
            <w:tcW w:w="1100" w:type="dxa"/>
            <w:shd w:val="clear" w:color="auto" w:fill="auto"/>
            <w:vAlign w:val="bottom"/>
          </w:tcPr>
          <w:p w14:paraId="32947F43" w14:textId="77777777" w:rsidR="00EC1426" w:rsidRPr="005D1219" w:rsidRDefault="00EC1426" w:rsidP="00CA7F04">
            <w:pPr>
              <w:jc w:val="right"/>
              <w:rPr>
                <w:rFonts w:ascii="Arial" w:hAnsi="Arial" w:cs="Arial"/>
                <w:b/>
                <w:bCs/>
                <w:sz w:val="18"/>
                <w:szCs w:val="18"/>
              </w:rPr>
            </w:pPr>
            <w:r w:rsidRPr="005D1219">
              <w:rPr>
                <w:rFonts w:ascii="Arial" w:hAnsi="Arial" w:cs="Arial"/>
                <w:b/>
                <w:bCs/>
                <w:sz w:val="18"/>
                <w:szCs w:val="18"/>
              </w:rPr>
              <w:t xml:space="preserve"> - </w:t>
            </w:r>
          </w:p>
        </w:tc>
      </w:tr>
      <w:tr w:rsidR="00EC1426" w:rsidRPr="001B015B" w14:paraId="0648A62C" w14:textId="77777777" w:rsidTr="00CA7F04">
        <w:trPr>
          <w:trHeight w:val="254"/>
        </w:trPr>
        <w:tc>
          <w:tcPr>
            <w:tcW w:w="4159" w:type="dxa"/>
            <w:tcBorders>
              <w:top w:val="nil"/>
              <w:left w:val="nil"/>
              <w:bottom w:val="nil"/>
              <w:right w:val="nil"/>
            </w:tcBorders>
            <w:shd w:val="clear" w:color="auto" w:fill="auto"/>
            <w:vAlign w:val="center"/>
            <w:hideMark/>
          </w:tcPr>
          <w:p w14:paraId="72AB34F7" w14:textId="77777777" w:rsidR="00EC1426" w:rsidRPr="001B015B" w:rsidRDefault="00EC1426"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 xml:space="preserve">Neto </w:t>
            </w:r>
            <w:r w:rsidRPr="00593574">
              <w:rPr>
                <w:rFonts w:ascii="Arial" w:eastAsia="Calibri" w:hAnsi="Arial" w:cs="Arial"/>
                <w:color w:val="000000" w:themeColor="text1"/>
                <w:sz w:val="18"/>
                <w:szCs w:val="18"/>
              </w:rPr>
              <w:t>povećanje</w:t>
            </w:r>
            <w:r>
              <w:rPr>
                <w:rFonts w:ascii="Arial" w:eastAsia="Calibri" w:hAnsi="Arial" w:cs="Arial"/>
                <w:color w:val="000000" w:themeColor="text1"/>
                <w:sz w:val="18"/>
                <w:szCs w:val="18"/>
              </w:rPr>
              <w:t>/(smanjenje)</w:t>
            </w:r>
            <w:r w:rsidRPr="001B015B">
              <w:rPr>
                <w:rFonts w:ascii="Arial" w:eastAsia="Calibri" w:hAnsi="Arial" w:cs="Arial"/>
                <w:color w:val="000000" w:themeColor="text1"/>
                <w:sz w:val="18"/>
                <w:szCs w:val="18"/>
              </w:rPr>
              <w:t xml:space="preserve"> rezerviranja za očekivane gubitke </w:t>
            </w:r>
          </w:p>
        </w:tc>
        <w:tc>
          <w:tcPr>
            <w:tcW w:w="1031" w:type="dxa"/>
            <w:shd w:val="clear" w:color="auto" w:fill="auto"/>
            <w:vAlign w:val="bottom"/>
          </w:tcPr>
          <w:p w14:paraId="2D1BDB7F" w14:textId="77777777" w:rsidR="00EC1426" w:rsidRPr="00593574" w:rsidRDefault="00EC1426" w:rsidP="00CA7F04">
            <w:pPr>
              <w:jc w:val="right"/>
              <w:rPr>
                <w:rFonts w:ascii="Arial" w:hAnsi="Arial" w:cs="Arial"/>
                <w:sz w:val="18"/>
                <w:szCs w:val="18"/>
              </w:rPr>
            </w:pPr>
            <w:r w:rsidRPr="00F959D0">
              <w:rPr>
                <w:rFonts w:ascii="Arial" w:hAnsi="Arial" w:cs="Arial"/>
                <w:sz w:val="18"/>
                <w:szCs w:val="18"/>
              </w:rPr>
              <w:t xml:space="preserve"> 14 </w:t>
            </w:r>
          </w:p>
        </w:tc>
        <w:tc>
          <w:tcPr>
            <w:tcW w:w="1031" w:type="dxa"/>
            <w:shd w:val="clear" w:color="auto" w:fill="auto"/>
            <w:vAlign w:val="bottom"/>
          </w:tcPr>
          <w:p w14:paraId="20C0630B" w14:textId="77777777" w:rsidR="00EC1426" w:rsidRPr="00593574" w:rsidRDefault="00EC1426" w:rsidP="00CA7F04">
            <w:pPr>
              <w:jc w:val="right"/>
              <w:rPr>
                <w:rFonts w:ascii="Arial" w:hAnsi="Arial" w:cs="Arial"/>
                <w:sz w:val="18"/>
                <w:szCs w:val="18"/>
              </w:rPr>
            </w:pPr>
            <w:r w:rsidRPr="00F959D0">
              <w:rPr>
                <w:rFonts w:ascii="Arial" w:hAnsi="Arial" w:cs="Arial"/>
                <w:sz w:val="18"/>
                <w:szCs w:val="18"/>
              </w:rPr>
              <w:t xml:space="preserve"> 1 </w:t>
            </w:r>
          </w:p>
        </w:tc>
        <w:tc>
          <w:tcPr>
            <w:tcW w:w="1031" w:type="dxa"/>
            <w:shd w:val="clear" w:color="auto" w:fill="auto"/>
            <w:vAlign w:val="bottom"/>
          </w:tcPr>
          <w:p w14:paraId="0FA4508D" w14:textId="77777777" w:rsidR="00EC1426" w:rsidRPr="00593574" w:rsidRDefault="00EC1426" w:rsidP="00CA7F04">
            <w:pPr>
              <w:jc w:val="right"/>
              <w:rPr>
                <w:rFonts w:ascii="Arial" w:hAnsi="Arial" w:cs="Arial"/>
                <w:sz w:val="18"/>
                <w:szCs w:val="18"/>
              </w:rPr>
            </w:pPr>
            <w:r w:rsidRPr="00F959D0">
              <w:rPr>
                <w:rFonts w:ascii="Arial" w:hAnsi="Arial" w:cs="Arial"/>
                <w:sz w:val="18"/>
                <w:szCs w:val="18"/>
              </w:rPr>
              <w:t xml:space="preserve"> (206)</w:t>
            </w:r>
          </w:p>
        </w:tc>
        <w:tc>
          <w:tcPr>
            <w:tcW w:w="1028" w:type="dxa"/>
            <w:shd w:val="clear" w:color="auto" w:fill="auto"/>
            <w:vAlign w:val="bottom"/>
          </w:tcPr>
          <w:p w14:paraId="2DB2E380" w14:textId="77777777" w:rsidR="00EC1426" w:rsidRPr="00593574" w:rsidRDefault="00EC1426" w:rsidP="00CA7F04">
            <w:pPr>
              <w:jc w:val="right"/>
              <w:rPr>
                <w:rFonts w:ascii="Arial" w:hAnsi="Arial" w:cs="Arial"/>
                <w:sz w:val="18"/>
                <w:szCs w:val="18"/>
              </w:rPr>
            </w:pPr>
            <w:r w:rsidRPr="00F959D0">
              <w:rPr>
                <w:rFonts w:ascii="Arial" w:hAnsi="Arial" w:cs="Arial"/>
                <w:sz w:val="18"/>
                <w:szCs w:val="18"/>
              </w:rPr>
              <w:t xml:space="preserve"> (4)</w:t>
            </w:r>
          </w:p>
        </w:tc>
        <w:tc>
          <w:tcPr>
            <w:tcW w:w="1100" w:type="dxa"/>
            <w:shd w:val="clear" w:color="auto" w:fill="auto"/>
            <w:vAlign w:val="bottom"/>
          </w:tcPr>
          <w:p w14:paraId="42CE7AC5" w14:textId="77777777" w:rsidR="00EC1426" w:rsidRPr="005D1219" w:rsidRDefault="00EC1426" w:rsidP="00CA7F04">
            <w:pPr>
              <w:jc w:val="right"/>
              <w:rPr>
                <w:rFonts w:ascii="Arial" w:hAnsi="Arial" w:cs="Arial"/>
                <w:b/>
                <w:bCs/>
                <w:sz w:val="18"/>
                <w:szCs w:val="18"/>
              </w:rPr>
            </w:pPr>
            <w:r w:rsidRPr="005D1219">
              <w:rPr>
                <w:rFonts w:ascii="Arial" w:hAnsi="Arial" w:cs="Arial"/>
                <w:b/>
                <w:bCs/>
                <w:sz w:val="18"/>
                <w:szCs w:val="18"/>
              </w:rPr>
              <w:t xml:space="preserve"> (195)</w:t>
            </w:r>
          </w:p>
        </w:tc>
      </w:tr>
      <w:tr w:rsidR="00EC1426" w:rsidRPr="001B015B" w14:paraId="2D768079" w14:textId="77777777" w:rsidTr="00CA7F04">
        <w:trPr>
          <w:trHeight w:val="70"/>
        </w:trPr>
        <w:tc>
          <w:tcPr>
            <w:tcW w:w="4159" w:type="dxa"/>
            <w:tcBorders>
              <w:top w:val="nil"/>
              <w:left w:val="nil"/>
              <w:bottom w:val="nil"/>
              <w:right w:val="nil"/>
            </w:tcBorders>
            <w:shd w:val="clear" w:color="auto" w:fill="auto"/>
            <w:vAlign w:val="center"/>
          </w:tcPr>
          <w:p w14:paraId="2C1B87DA" w14:textId="77777777" w:rsidR="00EC1426" w:rsidRPr="001B015B" w:rsidRDefault="00EC1426"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Otpis</w:t>
            </w:r>
          </w:p>
        </w:tc>
        <w:tc>
          <w:tcPr>
            <w:tcW w:w="1031" w:type="dxa"/>
            <w:shd w:val="clear" w:color="auto" w:fill="auto"/>
            <w:vAlign w:val="bottom"/>
          </w:tcPr>
          <w:p w14:paraId="373793EE" w14:textId="77777777" w:rsidR="00EC1426" w:rsidRPr="001B015B" w:rsidRDefault="00EC1426" w:rsidP="00CA7F04">
            <w:pPr>
              <w:jc w:val="right"/>
              <w:rPr>
                <w:rFonts w:ascii="Arial" w:hAnsi="Arial" w:cs="Arial"/>
                <w:sz w:val="18"/>
                <w:szCs w:val="18"/>
              </w:rPr>
            </w:pPr>
          </w:p>
        </w:tc>
        <w:tc>
          <w:tcPr>
            <w:tcW w:w="1031" w:type="dxa"/>
            <w:shd w:val="clear" w:color="auto" w:fill="auto"/>
            <w:vAlign w:val="bottom"/>
          </w:tcPr>
          <w:p w14:paraId="6A32F437" w14:textId="77777777" w:rsidR="00EC1426" w:rsidRPr="001B015B" w:rsidRDefault="00EC1426" w:rsidP="00CA7F04">
            <w:pPr>
              <w:jc w:val="right"/>
              <w:rPr>
                <w:rFonts w:ascii="Arial" w:hAnsi="Arial" w:cs="Arial"/>
                <w:sz w:val="18"/>
                <w:szCs w:val="18"/>
              </w:rPr>
            </w:pPr>
            <w:r w:rsidRPr="00F959D0">
              <w:rPr>
                <w:rFonts w:ascii="Arial" w:hAnsi="Arial" w:cs="Arial"/>
                <w:sz w:val="18"/>
                <w:szCs w:val="18"/>
              </w:rPr>
              <w:t xml:space="preserve"> - </w:t>
            </w:r>
          </w:p>
        </w:tc>
        <w:tc>
          <w:tcPr>
            <w:tcW w:w="1031" w:type="dxa"/>
            <w:shd w:val="clear" w:color="auto" w:fill="auto"/>
            <w:vAlign w:val="bottom"/>
          </w:tcPr>
          <w:p w14:paraId="3FCFCB41" w14:textId="77777777" w:rsidR="00EC1426" w:rsidRPr="001B015B" w:rsidRDefault="00EC1426" w:rsidP="00CA7F04">
            <w:pPr>
              <w:jc w:val="right"/>
              <w:rPr>
                <w:rFonts w:ascii="Arial" w:hAnsi="Arial" w:cs="Arial"/>
                <w:sz w:val="18"/>
                <w:szCs w:val="18"/>
              </w:rPr>
            </w:pPr>
            <w:r w:rsidRPr="00F959D0">
              <w:rPr>
                <w:rFonts w:ascii="Arial" w:hAnsi="Arial" w:cs="Arial"/>
                <w:sz w:val="18"/>
                <w:szCs w:val="18"/>
              </w:rPr>
              <w:t xml:space="preserve"> (93)</w:t>
            </w:r>
          </w:p>
        </w:tc>
        <w:tc>
          <w:tcPr>
            <w:tcW w:w="1028" w:type="dxa"/>
            <w:shd w:val="clear" w:color="auto" w:fill="auto"/>
            <w:vAlign w:val="bottom"/>
          </w:tcPr>
          <w:p w14:paraId="21B55E52" w14:textId="77777777" w:rsidR="00EC1426" w:rsidRPr="001B015B" w:rsidRDefault="00EC1426" w:rsidP="00CA7F04">
            <w:pPr>
              <w:jc w:val="right"/>
              <w:rPr>
                <w:rFonts w:ascii="Arial" w:hAnsi="Arial" w:cs="Arial"/>
                <w:sz w:val="18"/>
                <w:szCs w:val="18"/>
              </w:rPr>
            </w:pPr>
            <w:r w:rsidRPr="00F959D0">
              <w:rPr>
                <w:rFonts w:ascii="Arial" w:hAnsi="Arial" w:cs="Arial"/>
                <w:sz w:val="18"/>
                <w:szCs w:val="18"/>
              </w:rPr>
              <w:t xml:space="preserve"> - </w:t>
            </w:r>
          </w:p>
        </w:tc>
        <w:tc>
          <w:tcPr>
            <w:tcW w:w="1100" w:type="dxa"/>
            <w:shd w:val="clear" w:color="auto" w:fill="auto"/>
            <w:vAlign w:val="bottom"/>
          </w:tcPr>
          <w:p w14:paraId="45F0443C" w14:textId="77777777" w:rsidR="00EC1426" w:rsidRPr="005D1219" w:rsidRDefault="00EC1426" w:rsidP="00CA7F04">
            <w:pPr>
              <w:jc w:val="right"/>
              <w:rPr>
                <w:rFonts w:ascii="Arial" w:hAnsi="Arial" w:cs="Arial"/>
                <w:b/>
                <w:bCs/>
                <w:sz w:val="18"/>
                <w:szCs w:val="18"/>
              </w:rPr>
            </w:pPr>
            <w:r w:rsidRPr="005D1219">
              <w:rPr>
                <w:rFonts w:ascii="Arial" w:hAnsi="Arial" w:cs="Arial"/>
                <w:b/>
                <w:bCs/>
                <w:sz w:val="18"/>
                <w:szCs w:val="18"/>
              </w:rPr>
              <w:t xml:space="preserve"> (93)</w:t>
            </w:r>
          </w:p>
        </w:tc>
      </w:tr>
      <w:tr w:rsidR="00EC1426" w:rsidRPr="001B015B" w14:paraId="6621493C" w14:textId="77777777" w:rsidTr="00CA7F04">
        <w:trPr>
          <w:trHeight w:val="213"/>
        </w:trPr>
        <w:tc>
          <w:tcPr>
            <w:tcW w:w="4159" w:type="dxa"/>
            <w:tcBorders>
              <w:top w:val="nil"/>
              <w:left w:val="nil"/>
              <w:bottom w:val="nil"/>
              <w:right w:val="nil"/>
            </w:tcBorders>
            <w:shd w:val="clear" w:color="auto" w:fill="auto"/>
            <w:vAlign w:val="center"/>
            <w:hideMark/>
          </w:tcPr>
          <w:p w14:paraId="362B7128" w14:textId="77777777" w:rsidR="00EC1426" w:rsidRPr="001B015B" w:rsidRDefault="00EC1426"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Neto dobit/gubitak od tečajnih razlika po rezerviranjima za očekivane gubitke</w:t>
            </w:r>
          </w:p>
        </w:tc>
        <w:tc>
          <w:tcPr>
            <w:tcW w:w="1031" w:type="dxa"/>
            <w:tcBorders>
              <w:top w:val="nil"/>
              <w:left w:val="nil"/>
              <w:right w:val="nil"/>
            </w:tcBorders>
            <w:shd w:val="clear" w:color="auto" w:fill="auto"/>
            <w:vAlign w:val="bottom"/>
          </w:tcPr>
          <w:p w14:paraId="3BA0E525" w14:textId="77777777" w:rsidR="00EC1426" w:rsidRPr="00593574" w:rsidRDefault="00EC1426" w:rsidP="00CA7F04">
            <w:pPr>
              <w:jc w:val="right"/>
              <w:rPr>
                <w:rFonts w:ascii="Arial" w:hAnsi="Arial" w:cs="Arial"/>
                <w:sz w:val="18"/>
                <w:szCs w:val="18"/>
              </w:rPr>
            </w:pPr>
            <w:r w:rsidRPr="00F959D0">
              <w:rPr>
                <w:rFonts w:ascii="Arial" w:hAnsi="Arial" w:cs="Arial"/>
                <w:sz w:val="18"/>
                <w:szCs w:val="18"/>
              </w:rPr>
              <w:t xml:space="preserve"> - </w:t>
            </w:r>
          </w:p>
        </w:tc>
        <w:tc>
          <w:tcPr>
            <w:tcW w:w="1031" w:type="dxa"/>
            <w:tcBorders>
              <w:top w:val="nil"/>
              <w:left w:val="nil"/>
              <w:right w:val="nil"/>
            </w:tcBorders>
            <w:shd w:val="clear" w:color="auto" w:fill="auto"/>
            <w:vAlign w:val="bottom"/>
          </w:tcPr>
          <w:p w14:paraId="26839F93" w14:textId="77777777" w:rsidR="00EC1426" w:rsidRPr="00593574" w:rsidRDefault="00EC1426" w:rsidP="00CA7F04">
            <w:pPr>
              <w:jc w:val="right"/>
              <w:rPr>
                <w:rFonts w:ascii="Arial" w:hAnsi="Arial" w:cs="Arial"/>
                <w:sz w:val="18"/>
                <w:szCs w:val="18"/>
              </w:rPr>
            </w:pPr>
            <w:r w:rsidRPr="00F959D0">
              <w:rPr>
                <w:rFonts w:ascii="Arial" w:hAnsi="Arial" w:cs="Arial"/>
                <w:sz w:val="18"/>
                <w:szCs w:val="18"/>
              </w:rPr>
              <w:t xml:space="preserve"> - </w:t>
            </w:r>
          </w:p>
        </w:tc>
        <w:tc>
          <w:tcPr>
            <w:tcW w:w="1031" w:type="dxa"/>
            <w:tcBorders>
              <w:top w:val="nil"/>
              <w:left w:val="nil"/>
              <w:right w:val="nil"/>
            </w:tcBorders>
            <w:shd w:val="clear" w:color="auto" w:fill="auto"/>
            <w:vAlign w:val="bottom"/>
          </w:tcPr>
          <w:p w14:paraId="228D89CB" w14:textId="77777777" w:rsidR="00EC1426" w:rsidRPr="00593574" w:rsidRDefault="00EC1426" w:rsidP="00CA7F04">
            <w:pPr>
              <w:jc w:val="right"/>
              <w:rPr>
                <w:rFonts w:ascii="Arial" w:hAnsi="Arial" w:cs="Arial"/>
                <w:sz w:val="18"/>
                <w:szCs w:val="18"/>
              </w:rPr>
            </w:pPr>
            <w:r w:rsidRPr="00F959D0">
              <w:rPr>
                <w:rFonts w:ascii="Arial" w:hAnsi="Arial" w:cs="Arial"/>
                <w:sz w:val="18"/>
                <w:szCs w:val="18"/>
              </w:rPr>
              <w:t xml:space="preserve"> (2)</w:t>
            </w:r>
          </w:p>
        </w:tc>
        <w:tc>
          <w:tcPr>
            <w:tcW w:w="1028" w:type="dxa"/>
            <w:tcBorders>
              <w:top w:val="nil"/>
              <w:left w:val="nil"/>
              <w:right w:val="nil"/>
            </w:tcBorders>
            <w:shd w:val="clear" w:color="auto" w:fill="auto"/>
            <w:vAlign w:val="bottom"/>
          </w:tcPr>
          <w:p w14:paraId="2AEBFDD9" w14:textId="77777777" w:rsidR="00EC1426" w:rsidRPr="00593574" w:rsidRDefault="00EC1426" w:rsidP="00CA7F04">
            <w:pPr>
              <w:jc w:val="right"/>
              <w:rPr>
                <w:rFonts w:ascii="Arial" w:hAnsi="Arial" w:cs="Arial"/>
                <w:sz w:val="18"/>
                <w:szCs w:val="18"/>
              </w:rPr>
            </w:pPr>
            <w:r w:rsidRPr="00F959D0">
              <w:rPr>
                <w:rFonts w:ascii="Arial" w:hAnsi="Arial" w:cs="Arial"/>
                <w:sz w:val="18"/>
                <w:szCs w:val="18"/>
              </w:rPr>
              <w:t xml:space="preserve"> - </w:t>
            </w:r>
          </w:p>
        </w:tc>
        <w:tc>
          <w:tcPr>
            <w:tcW w:w="1100" w:type="dxa"/>
            <w:tcBorders>
              <w:top w:val="nil"/>
              <w:left w:val="nil"/>
              <w:right w:val="nil"/>
            </w:tcBorders>
            <w:shd w:val="clear" w:color="auto" w:fill="auto"/>
            <w:vAlign w:val="bottom"/>
          </w:tcPr>
          <w:p w14:paraId="3A764426" w14:textId="77777777" w:rsidR="00EC1426" w:rsidRPr="005D1219" w:rsidRDefault="00EC1426" w:rsidP="00CA7F04">
            <w:pPr>
              <w:jc w:val="right"/>
              <w:rPr>
                <w:rFonts w:ascii="Arial" w:hAnsi="Arial" w:cs="Arial"/>
                <w:b/>
                <w:bCs/>
                <w:sz w:val="18"/>
                <w:szCs w:val="18"/>
              </w:rPr>
            </w:pPr>
            <w:r w:rsidRPr="005D1219">
              <w:rPr>
                <w:rFonts w:ascii="Arial" w:hAnsi="Arial" w:cs="Arial"/>
                <w:b/>
                <w:bCs/>
                <w:sz w:val="18"/>
                <w:szCs w:val="18"/>
              </w:rPr>
              <w:t xml:space="preserve"> (2)</w:t>
            </w:r>
          </w:p>
        </w:tc>
      </w:tr>
      <w:tr w:rsidR="00EC1426" w:rsidRPr="001B015B" w14:paraId="44AA86D7" w14:textId="77777777" w:rsidTr="00CA7F04">
        <w:trPr>
          <w:trHeight w:val="213"/>
        </w:trPr>
        <w:tc>
          <w:tcPr>
            <w:tcW w:w="4159" w:type="dxa"/>
            <w:tcBorders>
              <w:top w:val="nil"/>
              <w:left w:val="nil"/>
              <w:bottom w:val="nil"/>
              <w:right w:val="nil"/>
            </w:tcBorders>
            <w:shd w:val="clear" w:color="auto" w:fill="auto"/>
            <w:vAlign w:val="center"/>
          </w:tcPr>
          <w:p w14:paraId="26035E10" w14:textId="77777777" w:rsidR="00EC1426" w:rsidRPr="001B015B" w:rsidRDefault="00EC1426"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Ostala usklađenja</w:t>
            </w:r>
          </w:p>
        </w:tc>
        <w:tc>
          <w:tcPr>
            <w:tcW w:w="1031" w:type="dxa"/>
            <w:tcBorders>
              <w:top w:val="nil"/>
              <w:left w:val="nil"/>
              <w:bottom w:val="single" w:sz="8" w:space="0" w:color="auto"/>
              <w:right w:val="nil"/>
            </w:tcBorders>
            <w:shd w:val="clear" w:color="auto" w:fill="auto"/>
            <w:vAlign w:val="bottom"/>
          </w:tcPr>
          <w:p w14:paraId="6A3C486D" w14:textId="77777777" w:rsidR="00EC1426" w:rsidRPr="00593574" w:rsidRDefault="00EC1426" w:rsidP="00CA7F04">
            <w:pPr>
              <w:jc w:val="right"/>
              <w:rPr>
                <w:rFonts w:ascii="Arial" w:hAnsi="Arial" w:cs="Arial"/>
                <w:sz w:val="18"/>
                <w:szCs w:val="18"/>
              </w:rPr>
            </w:pPr>
            <w:r w:rsidRPr="00F959D0">
              <w:rPr>
                <w:rFonts w:ascii="Arial" w:hAnsi="Arial" w:cs="Arial"/>
                <w:sz w:val="18"/>
                <w:szCs w:val="18"/>
              </w:rPr>
              <w:t xml:space="preserve"> (12)</w:t>
            </w:r>
          </w:p>
        </w:tc>
        <w:tc>
          <w:tcPr>
            <w:tcW w:w="1031" w:type="dxa"/>
            <w:tcBorders>
              <w:top w:val="nil"/>
              <w:left w:val="nil"/>
              <w:bottom w:val="single" w:sz="8" w:space="0" w:color="auto"/>
              <w:right w:val="nil"/>
            </w:tcBorders>
            <w:shd w:val="clear" w:color="auto" w:fill="auto"/>
            <w:vAlign w:val="bottom"/>
          </w:tcPr>
          <w:p w14:paraId="25B37BC7" w14:textId="77777777" w:rsidR="00EC1426" w:rsidRPr="00593574" w:rsidRDefault="00EC1426" w:rsidP="00CA7F04">
            <w:pPr>
              <w:jc w:val="right"/>
              <w:rPr>
                <w:rFonts w:ascii="Arial" w:hAnsi="Arial" w:cs="Arial"/>
                <w:sz w:val="18"/>
                <w:szCs w:val="18"/>
              </w:rPr>
            </w:pPr>
            <w:r w:rsidRPr="00F959D0">
              <w:rPr>
                <w:rFonts w:ascii="Arial" w:hAnsi="Arial" w:cs="Arial"/>
                <w:sz w:val="18"/>
                <w:szCs w:val="18"/>
              </w:rPr>
              <w:t xml:space="preserve"> - </w:t>
            </w:r>
          </w:p>
        </w:tc>
        <w:tc>
          <w:tcPr>
            <w:tcW w:w="1031" w:type="dxa"/>
            <w:tcBorders>
              <w:top w:val="nil"/>
              <w:left w:val="nil"/>
              <w:bottom w:val="single" w:sz="8" w:space="0" w:color="auto"/>
              <w:right w:val="nil"/>
            </w:tcBorders>
            <w:shd w:val="clear" w:color="auto" w:fill="auto"/>
            <w:vAlign w:val="bottom"/>
          </w:tcPr>
          <w:p w14:paraId="71A056A2" w14:textId="77777777" w:rsidR="00EC1426" w:rsidRPr="00593574" w:rsidRDefault="00EC1426" w:rsidP="00CA7F04">
            <w:pPr>
              <w:jc w:val="right"/>
              <w:rPr>
                <w:rFonts w:ascii="Arial" w:hAnsi="Arial" w:cs="Arial"/>
                <w:sz w:val="18"/>
                <w:szCs w:val="18"/>
              </w:rPr>
            </w:pPr>
            <w:r w:rsidRPr="00F959D0">
              <w:rPr>
                <w:rFonts w:ascii="Arial" w:hAnsi="Arial" w:cs="Arial"/>
                <w:sz w:val="18"/>
                <w:szCs w:val="18"/>
              </w:rPr>
              <w:t xml:space="preserve"> - </w:t>
            </w:r>
          </w:p>
        </w:tc>
        <w:tc>
          <w:tcPr>
            <w:tcW w:w="1028" w:type="dxa"/>
            <w:tcBorders>
              <w:top w:val="nil"/>
              <w:left w:val="nil"/>
              <w:bottom w:val="single" w:sz="8" w:space="0" w:color="auto"/>
              <w:right w:val="nil"/>
            </w:tcBorders>
            <w:shd w:val="clear" w:color="auto" w:fill="auto"/>
            <w:vAlign w:val="bottom"/>
          </w:tcPr>
          <w:p w14:paraId="2F2880C9" w14:textId="77777777" w:rsidR="00EC1426" w:rsidRPr="00593574" w:rsidRDefault="00EC1426" w:rsidP="00CA7F04">
            <w:pPr>
              <w:jc w:val="right"/>
              <w:rPr>
                <w:rFonts w:ascii="Arial" w:hAnsi="Arial" w:cs="Arial"/>
                <w:sz w:val="18"/>
                <w:szCs w:val="18"/>
              </w:rPr>
            </w:pPr>
            <w:r w:rsidRPr="00F959D0">
              <w:rPr>
                <w:rFonts w:ascii="Arial" w:hAnsi="Arial" w:cs="Arial"/>
                <w:sz w:val="18"/>
                <w:szCs w:val="18"/>
              </w:rPr>
              <w:t xml:space="preserve"> 4 </w:t>
            </w:r>
          </w:p>
        </w:tc>
        <w:tc>
          <w:tcPr>
            <w:tcW w:w="1100" w:type="dxa"/>
            <w:tcBorders>
              <w:top w:val="nil"/>
              <w:left w:val="nil"/>
              <w:bottom w:val="single" w:sz="8" w:space="0" w:color="auto"/>
              <w:right w:val="nil"/>
            </w:tcBorders>
            <w:shd w:val="clear" w:color="auto" w:fill="auto"/>
            <w:vAlign w:val="bottom"/>
          </w:tcPr>
          <w:p w14:paraId="3FE16348" w14:textId="77777777" w:rsidR="00EC1426" w:rsidRPr="005D1219" w:rsidRDefault="00EC1426" w:rsidP="00CA7F04">
            <w:pPr>
              <w:jc w:val="right"/>
              <w:rPr>
                <w:rFonts w:ascii="Arial" w:hAnsi="Arial" w:cs="Arial"/>
                <w:b/>
                <w:bCs/>
                <w:sz w:val="18"/>
                <w:szCs w:val="18"/>
              </w:rPr>
            </w:pPr>
            <w:r w:rsidRPr="005D1219">
              <w:rPr>
                <w:rFonts w:ascii="Arial" w:hAnsi="Arial" w:cs="Arial"/>
                <w:b/>
                <w:bCs/>
                <w:sz w:val="18"/>
                <w:szCs w:val="18"/>
              </w:rPr>
              <w:t xml:space="preserve"> (8)</w:t>
            </w:r>
          </w:p>
        </w:tc>
      </w:tr>
      <w:tr w:rsidR="00EC1426" w:rsidRPr="001B015B" w14:paraId="1C173137" w14:textId="77777777" w:rsidTr="00CA7F04">
        <w:trPr>
          <w:trHeight w:val="213"/>
        </w:trPr>
        <w:tc>
          <w:tcPr>
            <w:tcW w:w="4159" w:type="dxa"/>
            <w:tcBorders>
              <w:top w:val="nil"/>
              <w:left w:val="nil"/>
              <w:bottom w:val="nil"/>
              <w:right w:val="nil"/>
            </w:tcBorders>
            <w:shd w:val="clear" w:color="auto" w:fill="auto"/>
            <w:vAlign w:val="bottom"/>
            <w:hideMark/>
          </w:tcPr>
          <w:p w14:paraId="5D03BD19" w14:textId="77777777" w:rsidR="00EC1426" w:rsidRPr="001B015B" w:rsidRDefault="00EC1426" w:rsidP="00CA7F04">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Stanje 31. prosinca 202</w:t>
            </w:r>
            <w:r>
              <w:rPr>
                <w:rFonts w:ascii="Arial" w:eastAsia="Calibri" w:hAnsi="Arial" w:cs="Arial"/>
                <w:b/>
                <w:bCs/>
                <w:color w:val="000000" w:themeColor="text1"/>
                <w:sz w:val="18"/>
                <w:szCs w:val="18"/>
              </w:rPr>
              <w:t>3</w:t>
            </w:r>
            <w:r w:rsidRPr="001B015B">
              <w:rPr>
                <w:rFonts w:ascii="Arial" w:eastAsia="Calibri" w:hAnsi="Arial" w:cs="Arial"/>
                <w:b/>
                <w:bCs/>
                <w:color w:val="000000" w:themeColor="text1"/>
                <w:sz w:val="18"/>
                <w:szCs w:val="18"/>
              </w:rPr>
              <w:t>.</w:t>
            </w:r>
          </w:p>
        </w:tc>
        <w:tc>
          <w:tcPr>
            <w:tcW w:w="1031" w:type="dxa"/>
            <w:tcBorders>
              <w:top w:val="nil"/>
              <w:left w:val="nil"/>
              <w:bottom w:val="single" w:sz="12" w:space="0" w:color="auto"/>
              <w:right w:val="nil"/>
            </w:tcBorders>
            <w:shd w:val="clear" w:color="auto" w:fill="auto"/>
            <w:vAlign w:val="bottom"/>
          </w:tcPr>
          <w:p w14:paraId="737A3D7F" w14:textId="77777777" w:rsidR="00EC1426" w:rsidRPr="00563FC7" w:rsidRDefault="00EC1426" w:rsidP="00CA7F04">
            <w:pPr>
              <w:jc w:val="right"/>
              <w:rPr>
                <w:rFonts w:ascii="Arial" w:hAnsi="Arial" w:cs="Arial"/>
                <w:b/>
                <w:bCs/>
                <w:sz w:val="18"/>
                <w:szCs w:val="18"/>
              </w:rPr>
            </w:pPr>
            <w:r w:rsidRPr="00F959D0">
              <w:rPr>
                <w:rFonts w:ascii="Arial" w:hAnsi="Arial" w:cs="Arial"/>
                <w:b/>
                <w:bCs/>
                <w:sz w:val="18"/>
                <w:szCs w:val="18"/>
              </w:rPr>
              <w:t xml:space="preserve"> 27 </w:t>
            </w:r>
          </w:p>
        </w:tc>
        <w:tc>
          <w:tcPr>
            <w:tcW w:w="1031" w:type="dxa"/>
            <w:tcBorders>
              <w:top w:val="nil"/>
              <w:left w:val="nil"/>
              <w:bottom w:val="single" w:sz="12" w:space="0" w:color="auto"/>
              <w:right w:val="nil"/>
            </w:tcBorders>
            <w:shd w:val="clear" w:color="auto" w:fill="auto"/>
            <w:vAlign w:val="bottom"/>
          </w:tcPr>
          <w:p w14:paraId="3396340A" w14:textId="77777777" w:rsidR="00EC1426" w:rsidRPr="00563FC7" w:rsidRDefault="00EC1426" w:rsidP="00CA7F04">
            <w:pPr>
              <w:jc w:val="right"/>
              <w:rPr>
                <w:rFonts w:ascii="Arial" w:hAnsi="Arial" w:cs="Arial"/>
                <w:b/>
                <w:bCs/>
                <w:sz w:val="18"/>
                <w:szCs w:val="18"/>
              </w:rPr>
            </w:pPr>
            <w:r w:rsidRPr="00F959D0">
              <w:rPr>
                <w:rFonts w:ascii="Arial" w:hAnsi="Arial" w:cs="Arial"/>
                <w:b/>
                <w:bCs/>
                <w:sz w:val="18"/>
                <w:szCs w:val="18"/>
              </w:rPr>
              <w:t xml:space="preserve"> 1 </w:t>
            </w:r>
          </w:p>
        </w:tc>
        <w:tc>
          <w:tcPr>
            <w:tcW w:w="1031" w:type="dxa"/>
            <w:tcBorders>
              <w:top w:val="nil"/>
              <w:left w:val="nil"/>
              <w:bottom w:val="single" w:sz="12" w:space="0" w:color="auto"/>
              <w:right w:val="nil"/>
            </w:tcBorders>
            <w:shd w:val="clear" w:color="auto" w:fill="auto"/>
            <w:vAlign w:val="bottom"/>
          </w:tcPr>
          <w:p w14:paraId="245723B3" w14:textId="77777777" w:rsidR="00EC1426" w:rsidRPr="00563FC7" w:rsidRDefault="00EC1426" w:rsidP="00CA7F04">
            <w:pPr>
              <w:jc w:val="right"/>
              <w:rPr>
                <w:rFonts w:ascii="Arial" w:hAnsi="Arial" w:cs="Arial"/>
                <w:b/>
                <w:bCs/>
                <w:sz w:val="18"/>
                <w:szCs w:val="18"/>
              </w:rPr>
            </w:pPr>
            <w:r w:rsidRPr="00F959D0">
              <w:rPr>
                <w:rFonts w:ascii="Arial" w:hAnsi="Arial" w:cs="Arial"/>
                <w:b/>
                <w:bCs/>
                <w:sz w:val="18"/>
                <w:szCs w:val="18"/>
              </w:rPr>
              <w:t xml:space="preserve"> 4.330 </w:t>
            </w:r>
          </w:p>
        </w:tc>
        <w:tc>
          <w:tcPr>
            <w:tcW w:w="1028" w:type="dxa"/>
            <w:tcBorders>
              <w:top w:val="nil"/>
              <w:left w:val="nil"/>
              <w:bottom w:val="single" w:sz="12" w:space="0" w:color="auto"/>
              <w:right w:val="nil"/>
            </w:tcBorders>
            <w:shd w:val="clear" w:color="auto" w:fill="auto"/>
            <w:vAlign w:val="bottom"/>
          </w:tcPr>
          <w:p w14:paraId="3E01491E" w14:textId="77777777" w:rsidR="00EC1426" w:rsidRPr="00563FC7" w:rsidRDefault="00EC1426" w:rsidP="00CA7F04">
            <w:pPr>
              <w:jc w:val="right"/>
              <w:rPr>
                <w:rFonts w:ascii="Arial" w:hAnsi="Arial" w:cs="Arial"/>
                <w:b/>
                <w:bCs/>
                <w:sz w:val="18"/>
                <w:szCs w:val="18"/>
              </w:rPr>
            </w:pPr>
            <w:r w:rsidRPr="00F959D0">
              <w:rPr>
                <w:rFonts w:ascii="Arial" w:hAnsi="Arial" w:cs="Arial"/>
                <w:b/>
                <w:bCs/>
                <w:sz w:val="18"/>
                <w:szCs w:val="18"/>
              </w:rPr>
              <w:t xml:space="preserve"> 35 </w:t>
            </w:r>
          </w:p>
        </w:tc>
        <w:tc>
          <w:tcPr>
            <w:tcW w:w="1100" w:type="dxa"/>
            <w:tcBorders>
              <w:top w:val="nil"/>
              <w:left w:val="nil"/>
              <w:bottom w:val="single" w:sz="12" w:space="0" w:color="auto"/>
              <w:right w:val="nil"/>
            </w:tcBorders>
            <w:shd w:val="clear" w:color="auto" w:fill="auto"/>
            <w:vAlign w:val="bottom"/>
          </w:tcPr>
          <w:p w14:paraId="525EDB7D" w14:textId="77777777" w:rsidR="00EC1426" w:rsidRPr="00563FC7" w:rsidRDefault="00EC1426" w:rsidP="00CA7F04">
            <w:pPr>
              <w:jc w:val="right"/>
              <w:rPr>
                <w:rFonts w:ascii="Arial" w:hAnsi="Arial" w:cs="Arial"/>
                <w:b/>
                <w:bCs/>
                <w:sz w:val="18"/>
                <w:szCs w:val="18"/>
              </w:rPr>
            </w:pPr>
            <w:r w:rsidRPr="00F959D0">
              <w:rPr>
                <w:rFonts w:ascii="Arial" w:hAnsi="Arial" w:cs="Arial"/>
                <w:b/>
                <w:bCs/>
                <w:sz w:val="18"/>
                <w:szCs w:val="18"/>
              </w:rPr>
              <w:t xml:space="preserve"> 4.393 </w:t>
            </w:r>
          </w:p>
        </w:tc>
      </w:tr>
    </w:tbl>
    <w:p w14:paraId="2AC7F88B" w14:textId="32B7453D"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512F7DB0" w14:textId="77777777" w:rsidR="00A269B5" w:rsidRPr="003D1614" w:rsidRDefault="00A269B5" w:rsidP="001A0FCB">
      <w:pPr>
        <w:suppressAutoHyphens/>
        <w:autoSpaceDN w:val="0"/>
        <w:jc w:val="both"/>
        <w:rPr>
          <w:rFonts w:ascii="Arial" w:eastAsia="Times New Roman" w:hAnsi="Arial" w:cs="Arial"/>
          <w:color w:val="000000" w:themeColor="text1"/>
          <w:sz w:val="20"/>
          <w:szCs w:val="20"/>
        </w:rPr>
        <w:sectPr w:rsidR="00A269B5" w:rsidRPr="003D1614" w:rsidSect="003278AB">
          <w:pgSz w:w="11906" w:h="16838"/>
          <w:pgMar w:top="1417" w:right="1417" w:bottom="1417" w:left="1417" w:header="708" w:footer="708" w:gutter="0"/>
          <w:cols w:space="708"/>
          <w:docGrid w:linePitch="360"/>
        </w:sectPr>
      </w:pPr>
    </w:p>
    <w:p w14:paraId="2611F3EA"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19C7208B" w14:textId="294C38D3" w:rsidR="00A269B5" w:rsidRPr="003D1614" w:rsidRDefault="000E693B" w:rsidP="00A269B5">
      <w:pPr>
        <w:keepNext/>
        <w:suppressAutoHyphens/>
        <w:autoSpaceDN w:val="0"/>
        <w:jc w:val="both"/>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23</w:t>
      </w:r>
      <w:r w:rsidR="00A269B5" w:rsidRPr="003D1614">
        <w:rPr>
          <w:rFonts w:ascii="Arial" w:eastAsia="Times New Roman" w:hAnsi="Arial" w:cs="Arial"/>
          <w:b/>
          <w:bCs/>
          <w:color w:val="000000" w:themeColor="text1"/>
          <w:sz w:val="20"/>
          <w:szCs w:val="20"/>
        </w:rPr>
        <w:t>.</w:t>
      </w:r>
      <w:r w:rsidR="00A269B5" w:rsidRPr="003D1614">
        <w:rPr>
          <w:rFonts w:ascii="Arial" w:eastAsia="Times New Roman" w:hAnsi="Arial" w:cs="Arial"/>
          <w:b/>
          <w:bCs/>
          <w:color w:val="000000" w:themeColor="text1"/>
          <w:sz w:val="20"/>
          <w:szCs w:val="20"/>
        </w:rPr>
        <w:tab/>
        <w:t>Upravljanje rizicima (nastavak)</w:t>
      </w:r>
    </w:p>
    <w:p w14:paraId="07382162"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0F655883" w14:textId="2A04BDC4" w:rsidR="00A269B5" w:rsidRPr="003D1614" w:rsidRDefault="000E693B" w:rsidP="00A269B5">
      <w:pPr>
        <w:keepNext/>
        <w:suppressAutoHyphens/>
        <w:autoSpaceDN w:val="0"/>
        <w:jc w:val="both"/>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23</w:t>
      </w:r>
      <w:r w:rsidR="00A269B5" w:rsidRPr="003D1614">
        <w:rPr>
          <w:rFonts w:ascii="Arial" w:eastAsia="Times New Roman" w:hAnsi="Arial" w:cs="Arial"/>
          <w:b/>
          <w:bCs/>
          <w:color w:val="000000" w:themeColor="text1"/>
          <w:sz w:val="20"/>
          <w:szCs w:val="20"/>
        </w:rPr>
        <w:t xml:space="preserve">.3. </w:t>
      </w:r>
      <w:r w:rsidR="00A269B5" w:rsidRPr="003D1614">
        <w:rPr>
          <w:rFonts w:ascii="Arial" w:eastAsia="Times New Roman" w:hAnsi="Arial" w:cs="Arial"/>
          <w:b/>
          <w:bCs/>
          <w:color w:val="000000" w:themeColor="text1"/>
          <w:sz w:val="20"/>
          <w:szCs w:val="20"/>
        </w:rPr>
        <w:tab/>
        <w:t>Kreditni rizik (nastavak)</w:t>
      </w:r>
    </w:p>
    <w:p w14:paraId="3E015E00"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557FF99E"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29981783"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p>
    <w:p w14:paraId="4ACAD2C2" w14:textId="77777777" w:rsidR="00A269B5" w:rsidRPr="003D1614" w:rsidRDefault="00A269B5" w:rsidP="00A269B5">
      <w:pPr>
        <w:suppressAutoHyphens/>
        <w:autoSpaceDN w:val="0"/>
        <w:jc w:val="both"/>
        <w:rPr>
          <w:rFonts w:ascii="Arial" w:eastAsia="Calibri" w:hAnsi="Arial" w:cs="Arial"/>
          <w:b/>
          <w:bCs/>
          <w:color w:val="000000" w:themeColor="text1"/>
          <w:sz w:val="20"/>
          <w:szCs w:val="20"/>
        </w:rPr>
      </w:pPr>
      <w:r w:rsidRPr="003D1614">
        <w:rPr>
          <w:rFonts w:ascii="Arial" w:eastAsia="Calibri" w:hAnsi="Arial" w:cs="Arial"/>
          <w:b/>
          <w:bCs/>
          <w:color w:val="000000" w:themeColor="text1"/>
          <w:sz w:val="20"/>
          <w:szCs w:val="20"/>
        </w:rPr>
        <w:t>Ostala imovina (nastavak)</w:t>
      </w:r>
    </w:p>
    <w:p w14:paraId="620431F8" w14:textId="77777777" w:rsidR="00A269B5" w:rsidRPr="003D1614" w:rsidRDefault="00A269B5" w:rsidP="00A269B5">
      <w:pPr>
        <w:suppressAutoHyphens/>
        <w:autoSpaceDN w:val="0"/>
        <w:jc w:val="both"/>
        <w:rPr>
          <w:rFonts w:ascii="Arial" w:eastAsia="Calibri" w:hAnsi="Arial" w:cs="Arial"/>
          <w:color w:val="000000" w:themeColor="text1"/>
          <w:sz w:val="20"/>
          <w:szCs w:val="20"/>
        </w:rPr>
      </w:pPr>
    </w:p>
    <w:tbl>
      <w:tblPr>
        <w:tblW w:w="9394" w:type="dxa"/>
        <w:tblInd w:w="-180" w:type="dxa"/>
        <w:tblLayout w:type="fixed"/>
        <w:tblLook w:val="04A0" w:firstRow="1" w:lastRow="0" w:firstColumn="1" w:lastColumn="0" w:noHBand="0" w:noVBand="1"/>
      </w:tblPr>
      <w:tblGrid>
        <w:gridCol w:w="4122"/>
        <w:gridCol w:w="1111"/>
        <w:gridCol w:w="1034"/>
        <w:gridCol w:w="1143"/>
        <w:gridCol w:w="992"/>
        <w:gridCol w:w="992"/>
      </w:tblGrid>
      <w:tr w:rsidR="00A269B5" w:rsidRPr="003D1614" w14:paraId="50FE7382" w14:textId="77777777" w:rsidTr="00AD0393">
        <w:trPr>
          <w:trHeight w:val="248"/>
        </w:trPr>
        <w:tc>
          <w:tcPr>
            <w:tcW w:w="4122" w:type="dxa"/>
            <w:tcBorders>
              <w:top w:val="nil"/>
              <w:left w:val="nil"/>
              <w:bottom w:val="nil"/>
              <w:right w:val="nil"/>
            </w:tcBorders>
            <w:shd w:val="clear" w:color="auto" w:fill="auto"/>
            <w:vAlign w:val="center"/>
          </w:tcPr>
          <w:p w14:paraId="55FDDA99" w14:textId="77777777" w:rsidR="00A269B5" w:rsidRPr="003D1614" w:rsidRDefault="00A269B5" w:rsidP="00A269B5">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Banka</w:t>
            </w:r>
          </w:p>
        </w:tc>
        <w:tc>
          <w:tcPr>
            <w:tcW w:w="1111" w:type="dxa"/>
            <w:tcBorders>
              <w:top w:val="nil"/>
              <w:left w:val="nil"/>
              <w:bottom w:val="nil"/>
              <w:right w:val="nil"/>
            </w:tcBorders>
            <w:shd w:val="clear" w:color="auto" w:fill="auto"/>
            <w:vAlign w:val="center"/>
          </w:tcPr>
          <w:p w14:paraId="06B801D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4" w:type="dxa"/>
            <w:tcBorders>
              <w:top w:val="nil"/>
              <w:left w:val="nil"/>
              <w:bottom w:val="nil"/>
              <w:right w:val="nil"/>
            </w:tcBorders>
            <w:shd w:val="clear" w:color="auto" w:fill="auto"/>
            <w:vAlign w:val="center"/>
          </w:tcPr>
          <w:p w14:paraId="5C2A676C"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43" w:type="dxa"/>
            <w:tcBorders>
              <w:top w:val="nil"/>
              <w:left w:val="nil"/>
              <w:bottom w:val="nil"/>
              <w:right w:val="nil"/>
            </w:tcBorders>
            <w:shd w:val="clear" w:color="auto" w:fill="auto"/>
            <w:vAlign w:val="center"/>
          </w:tcPr>
          <w:p w14:paraId="61CE726C"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center"/>
          </w:tcPr>
          <w:p w14:paraId="4808916B"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center"/>
          </w:tcPr>
          <w:p w14:paraId="0BBF9D33"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A269B5" w:rsidRPr="003D1614" w14:paraId="145D497F" w14:textId="77777777" w:rsidTr="00AD0393">
        <w:trPr>
          <w:trHeight w:val="248"/>
        </w:trPr>
        <w:tc>
          <w:tcPr>
            <w:tcW w:w="4122" w:type="dxa"/>
            <w:tcBorders>
              <w:top w:val="nil"/>
              <w:left w:val="nil"/>
              <w:bottom w:val="nil"/>
              <w:right w:val="nil"/>
            </w:tcBorders>
            <w:shd w:val="clear" w:color="auto" w:fill="auto"/>
            <w:vAlign w:val="center"/>
            <w:hideMark/>
          </w:tcPr>
          <w:p w14:paraId="4CA23517" w14:textId="302FEEE6" w:rsidR="00A269B5" w:rsidRPr="003D1614" w:rsidRDefault="00A269B5" w:rsidP="00A269B5">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ožujka 202</w:t>
            </w:r>
            <w:r w:rsidR="00EC1426">
              <w:rPr>
                <w:rFonts w:ascii="Arial" w:eastAsia="Calibri" w:hAnsi="Arial" w:cs="Arial"/>
                <w:b/>
                <w:bCs/>
                <w:color w:val="000000" w:themeColor="text1"/>
                <w:sz w:val="18"/>
                <w:szCs w:val="18"/>
              </w:rPr>
              <w:t>4</w:t>
            </w:r>
            <w:r w:rsidRPr="003D1614">
              <w:rPr>
                <w:rFonts w:ascii="Arial" w:eastAsia="Calibri" w:hAnsi="Arial" w:cs="Arial"/>
                <w:b/>
                <w:bCs/>
                <w:color w:val="000000" w:themeColor="text1"/>
                <w:sz w:val="18"/>
                <w:szCs w:val="18"/>
              </w:rPr>
              <w:t>.</w:t>
            </w:r>
          </w:p>
        </w:tc>
        <w:tc>
          <w:tcPr>
            <w:tcW w:w="1111" w:type="dxa"/>
            <w:tcBorders>
              <w:top w:val="nil"/>
              <w:left w:val="nil"/>
              <w:bottom w:val="nil"/>
              <w:right w:val="nil"/>
            </w:tcBorders>
            <w:shd w:val="clear" w:color="auto" w:fill="auto"/>
            <w:vAlign w:val="center"/>
            <w:hideMark/>
          </w:tcPr>
          <w:p w14:paraId="05DB9EA8"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34" w:type="dxa"/>
            <w:tcBorders>
              <w:top w:val="nil"/>
              <w:left w:val="nil"/>
              <w:bottom w:val="nil"/>
              <w:right w:val="nil"/>
            </w:tcBorders>
            <w:shd w:val="clear" w:color="auto" w:fill="auto"/>
            <w:vAlign w:val="center"/>
            <w:hideMark/>
          </w:tcPr>
          <w:p w14:paraId="55624AB4"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143" w:type="dxa"/>
            <w:tcBorders>
              <w:top w:val="nil"/>
              <w:left w:val="nil"/>
              <w:bottom w:val="nil"/>
              <w:right w:val="nil"/>
            </w:tcBorders>
            <w:shd w:val="clear" w:color="auto" w:fill="auto"/>
            <w:vAlign w:val="center"/>
            <w:hideMark/>
          </w:tcPr>
          <w:p w14:paraId="36D8B3A8"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992" w:type="dxa"/>
            <w:tcBorders>
              <w:top w:val="nil"/>
              <w:left w:val="nil"/>
              <w:bottom w:val="nil"/>
              <w:right w:val="nil"/>
            </w:tcBorders>
            <w:shd w:val="clear" w:color="auto" w:fill="auto"/>
            <w:vAlign w:val="center"/>
            <w:hideMark/>
          </w:tcPr>
          <w:p w14:paraId="32710CD3"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992" w:type="dxa"/>
            <w:tcBorders>
              <w:top w:val="nil"/>
              <w:left w:val="nil"/>
              <w:bottom w:val="nil"/>
              <w:right w:val="nil"/>
            </w:tcBorders>
            <w:shd w:val="clear" w:color="auto" w:fill="auto"/>
            <w:vAlign w:val="center"/>
            <w:hideMark/>
          </w:tcPr>
          <w:p w14:paraId="3605B77F"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5ECF5057" w14:textId="77777777" w:rsidTr="00AD0393">
        <w:trPr>
          <w:trHeight w:val="248"/>
        </w:trPr>
        <w:tc>
          <w:tcPr>
            <w:tcW w:w="4122" w:type="dxa"/>
            <w:tcBorders>
              <w:top w:val="nil"/>
              <w:left w:val="nil"/>
              <w:bottom w:val="nil"/>
              <w:right w:val="nil"/>
            </w:tcBorders>
            <w:shd w:val="clear" w:color="auto" w:fill="auto"/>
            <w:vAlign w:val="center"/>
            <w:hideMark/>
          </w:tcPr>
          <w:p w14:paraId="59D9561E"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11" w:type="dxa"/>
            <w:tcBorders>
              <w:top w:val="nil"/>
              <w:left w:val="nil"/>
              <w:bottom w:val="nil"/>
              <w:right w:val="nil"/>
            </w:tcBorders>
            <w:shd w:val="clear" w:color="auto" w:fill="auto"/>
            <w:vAlign w:val="center"/>
            <w:hideMark/>
          </w:tcPr>
          <w:p w14:paraId="01C99398" w14:textId="45F87452"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4" w:type="dxa"/>
            <w:tcBorders>
              <w:top w:val="nil"/>
              <w:left w:val="nil"/>
              <w:bottom w:val="nil"/>
              <w:right w:val="nil"/>
            </w:tcBorders>
            <w:shd w:val="clear" w:color="auto" w:fill="auto"/>
            <w:vAlign w:val="center"/>
            <w:hideMark/>
          </w:tcPr>
          <w:p w14:paraId="2D2FE7C4" w14:textId="1815DE54"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143" w:type="dxa"/>
            <w:tcBorders>
              <w:top w:val="nil"/>
              <w:left w:val="nil"/>
              <w:bottom w:val="nil"/>
              <w:right w:val="nil"/>
            </w:tcBorders>
            <w:shd w:val="clear" w:color="auto" w:fill="auto"/>
            <w:vAlign w:val="center"/>
            <w:hideMark/>
          </w:tcPr>
          <w:p w14:paraId="21DB10DD" w14:textId="640797EB"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992" w:type="dxa"/>
            <w:tcBorders>
              <w:top w:val="nil"/>
              <w:left w:val="nil"/>
              <w:bottom w:val="nil"/>
              <w:right w:val="nil"/>
            </w:tcBorders>
            <w:shd w:val="clear" w:color="auto" w:fill="auto"/>
            <w:vAlign w:val="center"/>
            <w:hideMark/>
          </w:tcPr>
          <w:p w14:paraId="6C22C3C7" w14:textId="6E2526E5"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992" w:type="dxa"/>
            <w:tcBorders>
              <w:top w:val="nil"/>
              <w:left w:val="nil"/>
              <w:bottom w:val="nil"/>
              <w:right w:val="nil"/>
            </w:tcBorders>
            <w:shd w:val="clear" w:color="auto" w:fill="auto"/>
            <w:vAlign w:val="center"/>
            <w:hideMark/>
          </w:tcPr>
          <w:p w14:paraId="0CBD8CCD" w14:textId="4212A84E"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5380B8BA" w14:textId="77777777" w:rsidTr="005D1219">
        <w:trPr>
          <w:trHeight w:val="248"/>
        </w:trPr>
        <w:tc>
          <w:tcPr>
            <w:tcW w:w="4122" w:type="dxa"/>
            <w:tcBorders>
              <w:top w:val="nil"/>
              <w:left w:val="nil"/>
              <w:bottom w:val="nil"/>
              <w:right w:val="nil"/>
            </w:tcBorders>
            <w:shd w:val="clear" w:color="auto" w:fill="auto"/>
            <w:vAlign w:val="center"/>
          </w:tcPr>
          <w:p w14:paraId="5249F877"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11" w:type="dxa"/>
            <w:tcBorders>
              <w:top w:val="nil"/>
              <w:left w:val="nil"/>
              <w:right w:val="nil"/>
            </w:tcBorders>
            <w:shd w:val="clear" w:color="auto" w:fill="auto"/>
            <w:vAlign w:val="center"/>
          </w:tcPr>
          <w:p w14:paraId="7ACDC56B"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4" w:type="dxa"/>
            <w:tcBorders>
              <w:top w:val="nil"/>
              <w:left w:val="nil"/>
              <w:right w:val="nil"/>
            </w:tcBorders>
            <w:shd w:val="clear" w:color="auto" w:fill="auto"/>
            <w:vAlign w:val="center"/>
          </w:tcPr>
          <w:p w14:paraId="431B920E"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143" w:type="dxa"/>
            <w:tcBorders>
              <w:top w:val="nil"/>
              <w:left w:val="nil"/>
              <w:right w:val="nil"/>
            </w:tcBorders>
            <w:shd w:val="clear" w:color="auto" w:fill="auto"/>
            <w:vAlign w:val="center"/>
          </w:tcPr>
          <w:p w14:paraId="13BF0A6A"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2" w:type="dxa"/>
            <w:tcBorders>
              <w:top w:val="nil"/>
              <w:left w:val="nil"/>
              <w:right w:val="nil"/>
            </w:tcBorders>
            <w:shd w:val="clear" w:color="auto" w:fill="auto"/>
            <w:vAlign w:val="center"/>
          </w:tcPr>
          <w:p w14:paraId="22FF4A7E"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992" w:type="dxa"/>
            <w:tcBorders>
              <w:top w:val="nil"/>
              <w:left w:val="nil"/>
              <w:right w:val="nil"/>
            </w:tcBorders>
            <w:shd w:val="clear" w:color="auto" w:fill="auto"/>
            <w:vAlign w:val="center"/>
          </w:tcPr>
          <w:p w14:paraId="36D99047"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4E2CCE" w:rsidRPr="003D1614" w14:paraId="67E09426" w14:textId="77777777" w:rsidTr="005D1219">
        <w:trPr>
          <w:trHeight w:val="248"/>
        </w:trPr>
        <w:tc>
          <w:tcPr>
            <w:tcW w:w="4122" w:type="dxa"/>
            <w:tcBorders>
              <w:top w:val="nil"/>
              <w:left w:val="nil"/>
              <w:bottom w:val="nil"/>
              <w:right w:val="nil"/>
            </w:tcBorders>
            <w:shd w:val="clear" w:color="auto" w:fill="auto"/>
            <w:vAlign w:val="center"/>
            <w:hideMark/>
          </w:tcPr>
          <w:p w14:paraId="0C3B959C" w14:textId="4C76562E" w:rsidR="004E2CCE" w:rsidRPr="003D1614" w:rsidRDefault="004E2CCE" w:rsidP="004E2CC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4</w:t>
            </w:r>
            <w:r w:rsidRPr="003D1614">
              <w:rPr>
                <w:rFonts w:ascii="Arial" w:eastAsia="Calibri" w:hAnsi="Arial" w:cs="Arial"/>
                <w:color w:val="000000" w:themeColor="text1"/>
                <w:sz w:val="18"/>
                <w:szCs w:val="18"/>
              </w:rPr>
              <w:t xml:space="preserve">. </w:t>
            </w:r>
          </w:p>
        </w:tc>
        <w:tc>
          <w:tcPr>
            <w:tcW w:w="1111" w:type="dxa"/>
            <w:tcBorders>
              <w:top w:val="nil"/>
              <w:left w:val="nil"/>
              <w:right w:val="nil"/>
            </w:tcBorders>
            <w:shd w:val="clear" w:color="auto" w:fill="auto"/>
            <w:vAlign w:val="bottom"/>
          </w:tcPr>
          <w:p w14:paraId="64E73392" w14:textId="6C5BF4AA" w:rsidR="004E2CCE" w:rsidRPr="004E2CCE" w:rsidRDefault="004E2CCE" w:rsidP="004E2CCE">
            <w:pPr>
              <w:suppressAutoHyphens/>
              <w:autoSpaceDN w:val="0"/>
              <w:jc w:val="right"/>
              <w:rPr>
                <w:rFonts w:ascii="Arial" w:eastAsia="Times New Roman" w:hAnsi="Arial" w:cs="Arial"/>
                <w:sz w:val="18"/>
                <w:szCs w:val="18"/>
              </w:rPr>
            </w:pPr>
            <w:r w:rsidRPr="005D1219">
              <w:rPr>
                <w:rFonts w:ascii="Arial" w:hAnsi="Arial" w:cs="Arial"/>
                <w:sz w:val="18"/>
                <w:szCs w:val="18"/>
              </w:rPr>
              <w:t xml:space="preserve"> 19 </w:t>
            </w:r>
          </w:p>
        </w:tc>
        <w:tc>
          <w:tcPr>
            <w:tcW w:w="1034" w:type="dxa"/>
            <w:tcBorders>
              <w:top w:val="nil"/>
              <w:left w:val="nil"/>
              <w:right w:val="nil"/>
            </w:tcBorders>
            <w:shd w:val="clear" w:color="auto" w:fill="auto"/>
            <w:vAlign w:val="bottom"/>
          </w:tcPr>
          <w:p w14:paraId="14B26732" w14:textId="1EC60084" w:rsidR="004E2CCE" w:rsidRPr="004E2CCE" w:rsidRDefault="004E2CCE" w:rsidP="004E2CCE">
            <w:pPr>
              <w:suppressAutoHyphens/>
              <w:autoSpaceDN w:val="0"/>
              <w:jc w:val="right"/>
              <w:rPr>
                <w:rFonts w:ascii="Arial" w:eastAsia="Times New Roman" w:hAnsi="Arial" w:cs="Arial"/>
                <w:sz w:val="18"/>
                <w:szCs w:val="18"/>
              </w:rPr>
            </w:pPr>
            <w:r w:rsidRPr="005D1219">
              <w:rPr>
                <w:rFonts w:ascii="Arial" w:hAnsi="Arial" w:cs="Arial"/>
                <w:sz w:val="18"/>
                <w:szCs w:val="18"/>
              </w:rPr>
              <w:t xml:space="preserve"> 1 </w:t>
            </w:r>
          </w:p>
        </w:tc>
        <w:tc>
          <w:tcPr>
            <w:tcW w:w="1143" w:type="dxa"/>
            <w:tcBorders>
              <w:top w:val="nil"/>
              <w:left w:val="nil"/>
              <w:right w:val="nil"/>
            </w:tcBorders>
            <w:shd w:val="clear" w:color="auto" w:fill="auto"/>
            <w:vAlign w:val="bottom"/>
          </w:tcPr>
          <w:p w14:paraId="1B2DA602" w14:textId="2D0E8B04" w:rsidR="004E2CCE" w:rsidRPr="004E2CCE" w:rsidRDefault="004E2CCE" w:rsidP="004E2CCE">
            <w:pPr>
              <w:suppressAutoHyphens/>
              <w:autoSpaceDN w:val="0"/>
              <w:jc w:val="right"/>
              <w:rPr>
                <w:rFonts w:ascii="Arial" w:eastAsia="Times New Roman" w:hAnsi="Arial" w:cs="Arial"/>
                <w:sz w:val="18"/>
                <w:szCs w:val="18"/>
              </w:rPr>
            </w:pPr>
            <w:r w:rsidRPr="005D1219">
              <w:rPr>
                <w:rFonts w:ascii="Arial" w:hAnsi="Arial" w:cs="Arial"/>
                <w:sz w:val="18"/>
                <w:szCs w:val="18"/>
              </w:rPr>
              <w:t xml:space="preserve"> 4.330 </w:t>
            </w:r>
          </w:p>
        </w:tc>
        <w:tc>
          <w:tcPr>
            <w:tcW w:w="992" w:type="dxa"/>
            <w:tcBorders>
              <w:top w:val="nil"/>
              <w:left w:val="nil"/>
              <w:right w:val="nil"/>
            </w:tcBorders>
            <w:shd w:val="clear" w:color="auto" w:fill="auto"/>
            <w:vAlign w:val="bottom"/>
          </w:tcPr>
          <w:p w14:paraId="41466116" w14:textId="21F7E1BC" w:rsidR="004E2CCE" w:rsidRPr="004E2CCE" w:rsidRDefault="004E2CCE" w:rsidP="004E2CCE">
            <w:pPr>
              <w:suppressAutoHyphens/>
              <w:autoSpaceDN w:val="0"/>
              <w:jc w:val="right"/>
              <w:rPr>
                <w:rFonts w:ascii="Arial" w:eastAsia="Times New Roman" w:hAnsi="Arial" w:cs="Arial"/>
                <w:sz w:val="18"/>
                <w:szCs w:val="18"/>
              </w:rPr>
            </w:pPr>
            <w:r w:rsidRPr="005D1219">
              <w:rPr>
                <w:rFonts w:ascii="Arial" w:hAnsi="Arial" w:cs="Arial"/>
                <w:sz w:val="18"/>
                <w:szCs w:val="18"/>
              </w:rPr>
              <w:t xml:space="preserve"> 35 </w:t>
            </w:r>
          </w:p>
        </w:tc>
        <w:tc>
          <w:tcPr>
            <w:tcW w:w="992" w:type="dxa"/>
            <w:tcBorders>
              <w:top w:val="nil"/>
              <w:left w:val="nil"/>
              <w:right w:val="nil"/>
            </w:tcBorders>
            <w:shd w:val="clear" w:color="auto" w:fill="auto"/>
            <w:vAlign w:val="bottom"/>
          </w:tcPr>
          <w:p w14:paraId="440751F9" w14:textId="3D9BB580" w:rsidR="004E2CCE" w:rsidRPr="005D1219" w:rsidRDefault="004E2CCE" w:rsidP="004E2CCE">
            <w:pPr>
              <w:suppressAutoHyphens/>
              <w:autoSpaceDN w:val="0"/>
              <w:jc w:val="right"/>
              <w:rPr>
                <w:rFonts w:ascii="Arial" w:eastAsia="Times New Roman" w:hAnsi="Arial" w:cs="Arial"/>
                <w:b/>
                <w:bCs/>
                <w:sz w:val="18"/>
                <w:szCs w:val="18"/>
              </w:rPr>
            </w:pPr>
            <w:r w:rsidRPr="00DB0F4B">
              <w:rPr>
                <w:rFonts w:ascii="Arial" w:hAnsi="Arial" w:cs="Arial"/>
                <w:b/>
                <w:bCs/>
                <w:sz w:val="18"/>
                <w:szCs w:val="18"/>
              </w:rPr>
              <w:t xml:space="preserve"> 4.385 </w:t>
            </w:r>
          </w:p>
        </w:tc>
      </w:tr>
      <w:tr w:rsidR="004E2CCE" w:rsidRPr="003D1614" w14:paraId="36134C47" w14:textId="77777777" w:rsidTr="005D1219">
        <w:trPr>
          <w:trHeight w:val="248"/>
        </w:trPr>
        <w:tc>
          <w:tcPr>
            <w:tcW w:w="4122" w:type="dxa"/>
            <w:tcBorders>
              <w:top w:val="nil"/>
              <w:left w:val="nil"/>
              <w:bottom w:val="nil"/>
              <w:right w:val="nil"/>
            </w:tcBorders>
            <w:shd w:val="clear" w:color="auto" w:fill="auto"/>
          </w:tcPr>
          <w:p w14:paraId="2DA055B7" w14:textId="77777777" w:rsidR="004E2CCE" w:rsidRPr="003D1614" w:rsidRDefault="004E2CCE" w:rsidP="004E2CC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111" w:type="dxa"/>
            <w:tcBorders>
              <w:left w:val="nil"/>
              <w:bottom w:val="nil"/>
              <w:right w:val="nil"/>
            </w:tcBorders>
            <w:shd w:val="clear" w:color="auto" w:fill="auto"/>
            <w:vAlign w:val="bottom"/>
          </w:tcPr>
          <w:p w14:paraId="7B051422" w14:textId="69747899" w:rsidR="004E2CCE" w:rsidRPr="00D57E33" w:rsidRDefault="004E2CCE" w:rsidP="004E2CCE">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4" w:type="dxa"/>
            <w:tcBorders>
              <w:left w:val="nil"/>
              <w:bottom w:val="nil"/>
              <w:right w:val="nil"/>
            </w:tcBorders>
            <w:shd w:val="clear" w:color="auto" w:fill="auto"/>
            <w:vAlign w:val="bottom"/>
          </w:tcPr>
          <w:p w14:paraId="0CE26792" w14:textId="34436C62" w:rsidR="004E2CCE" w:rsidRPr="00D57E33" w:rsidRDefault="004E2CCE" w:rsidP="004E2CCE">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43" w:type="dxa"/>
            <w:tcBorders>
              <w:left w:val="nil"/>
              <w:bottom w:val="nil"/>
              <w:right w:val="nil"/>
            </w:tcBorders>
            <w:shd w:val="clear" w:color="auto" w:fill="auto"/>
            <w:vAlign w:val="bottom"/>
          </w:tcPr>
          <w:p w14:paraId="64AC1265" w14:textId="19A1CD89" w:rsidR="004E2CCE" w:rsidRPr="00D57E33" w:rsidRDefault="004E2CCE" w:rsidP="004E2CCE">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992" w:type="dxa"/>
            <w:tcBorders>
              <w:left w:val="nil"/>
              <w:bottom w:val="nil"/>
              <w:right w:val="nil"/>
            </w:tcBorders>
            <w:shd w:val="clear" w:color="auto" w:fill="auto"/>
            <w:vAlign w:val="bottom"/>
          </w:tcPr>
          <w:p w14:paraId="384A9C09" w14:textId="6F56C3C1" w:rsidR="004E2CCE" w:rsidRPr="00D57E33" w:rsidRDefault="004E2CCE" w:rsidP="004E2CCE">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992" w:type="dxa"/>
            <w:tcBorders>
              <w:left w:val="nil"/>
              <w:bottom w:val="nil"/>
              <w:right w:val="nil"/>
            </w:tcBorders>
            <w:shd w:val="clear" w:color="auto" w:fill="auto"/>
            <w:vAlign w:val="bottom"/>
          </w:tcPr>
          <w:p w14:paraId="2150DBF7" w14:textId="6EA0ABC9" w:rsidR="004E2CCE" w:rsidRPr="005D1219" w:rsidRDefault="004E2CCE" w:rsidP="004E2CCE">
            <w:pPr>
              <w:suppressAutoHyphens/>
              <w:autoSpaceDN w:val="0"/>
              <w:jc w:val="right"/>
              <w:rPr>
                <w:rFonts w:ascii="Arial" w:eastAsia="Times New Roman" w:hAnsi="Arial" w:cs="Arial"/>
                <w:b/>
                <w:bCs/>
                <w:sz w:val="18"/>
                <w:szCs w:val="18"/>
              </w:rPr>
            </w:pPr>
            <w:r w:rsidRPr="005D1219">
              <w:rPr>
                <w:rFonts w:ascii="Arial" w:eastAsia="Times New Roman" w:hAnsi="Arial" w:cs="Arial"/>
                <w:b/>
                <w:bCs/>
                <w:sz w:val="18"/>
                <w:szCs w:val="18"/>
              </w:rPr>
              <w:t>-</w:t>
            </w:r>
          </w:p>
        </w:tc>
      </w:tr>
      <w:tr w:rsidR="004E2CCE" w:rsidRPr="003D1614" w14:paraId="13A7E166" w14:textId="77777777" w:rsidTr="005D1219">
        <w:trPr>
          <w:trHeight w:val="248"/>
        </w:trPr>
        <w:tc>
          <w:tcPr>
            <w:tcW w:w="4122" w:type="dxa"/>
            <w:tcBorders>
              <w:top w:val="nil"/>
              <w:left w:val="nil"/>
              <w:bottom w:val="nil"/>
              <w:right w:val="nil"/>
            </w:tcBorders>
            <w:shd w:val="clear" w:color="auto" w:fill="auto"/>
          </w:tcPr>
          <w:p w14:paraId="1D620674" w14:textId="77777777" w:rsidR="004E2CCE" w:rsidRPr="003D1614" w:rsidRDefault="004E2CCE" w:rsidP="004E2CC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111" w:type="dxa"/>
            <w:tcBorders>
              <w:left w:val="nil"/>
              <w:bottom w:val="nil"/>
              <w:right w:val="nil"/>
            </w:tcBorders>
            <w:shd w:val="clear" w:color="auto" w:fill="auto"/>
            <w:vAlign w:val="bottom"/>
          </w:tcPr>
          <w:p w14:paraId="549E4EA1" w14:textId="369A8CBE" w:rsidR="004E2CCE" w:rsidRPr="00D57E33" w:rsidRDefault="004E2CCE" w:rsidP="004E2CCE">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4" w:type="dxa"/>
            <w:tcBorders>
              <w:left w:val="nil"/>
              <w:bottom w:val="nil"/>
              <w:right w:val="nil"/>
            </w:tcBorders>
            <w:shd w:val="clear" w:color="auto" w:fill="auto"/>
            <w:vAlign w:val="bottom"/>
          </w:tcPr>
          <w:p w14:paraId="583B630F" w14:textId="621625F2" w:rsidR="004E2CCE" w:rsidRPr="00D57E33" w:rsidRDefault="004E2CCE" w:rsidP="004E2CCE">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43" w:type="dxa"/>
            <w:tcBorders>
              <w:left w:val="nil"/>
              <w:bottom w:val="nil"/>
              <w:right w:val="nil"/>
            </w:tcBorders>
            <w:shd w:val="clear" w:color="auto" w:fill="auto"/>
            <w:vAlign w:val="bottom"/>
          </w:tcPr>
          <w:p w14:paraId="795417DA" w14:textId="06BA955A" w:rsidR="004E2CCE" w:rsidRPr="00D57E33" w:rsidRDefault="004E2CCE" w:rsidP="004E2CCE">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992" w:type="dxa"/>
            <w:tcBorders>
              <w:left w:val="nil"/>
              <w:bottom w:val="nil"/>
              <w:right w:val="nil"/>
            </w:tcBorders>
            <w:shd w:val="clear" w:color="auto" w:fill="auto"/>
            <w:vAlign w:val="bottom"/>
          </w:tcPr>
          <w:p w14:paraId="2A240B7F" w14:textId="3F004868" w:rsidR="004E2CCE" w:rsidRPr="00D57E33" w:rsidRDefault="004E2CCE" w:rsidP="004E2CCE">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992" w:type="dxa"/>
            <w:tcBorders>
              <w:left w:val="nil"/>
              <w:bottom w:val="nil"/>
              <w:right w:val="nil"/>
            </w:tcBorders>
            <w:shd w:val="clear" w:color="auto" w:fill="auto"/>
            <w:vAlign w:val="bottom"/>
          </w:tcPr>
          <w:p w14:paraId="43D9C002" w14:textId="08E685CB" w:rsidR="004E2CCE" w:rsidRPr="005D1219" w:rsidRDefault="004E2CCE" w:rsidP="004E2CCE">
            <w:pPr>
              <w:suppressAutoHyphens/>
              <w:autoSpaceDN w:val="0"/>
              <w:jc w:val="right"/>
              <w:rPr>
                <w:rFonts w:ascii="Arial" w:eastAsia="Times New Roman" w:hAnsi="Arial" w:cs="Arial"/>
                <w:b/>
                <w:bCs/>
                <w:sz w:val="18"/>
                <w:szCs w:val="18"/>
              </w:rPr>
            </w:pPr>
            <w:r w:rsidRPr="005D1219">
              <w:rPr>
                <w:rFonts w:ascii="Arial" w:eastAsia="Times New Roman" w:hAnsi="Arial" w:cs="Arial"/>
                <w:b/>
                <w:bCs/>
                <w:sz w:val="18"/>
                <w:szCs w:val="18"/>
              </w:rPr>
              <w:t>-</w:t>
            </w:r>
          </w:p>
        </w:tc>
      </w:tr>
      <w:tr w:rsidR="004E2CCE" w:rsidRPr="003D1614" w14:paraId="0D233A9C" w14:textId="77777777" w:rsidTr="005D1219">
        <w:trPr>
          <w:trHeight w:val="248"/>
        </w:trPr>
        <w:tc>
          <w:tcPr>
            <w:tcW w:w="4122" w:type="dxa"/>
            <w:tcBorders>
              <w:top w:val="nil"/>
              <w:left w:val="nil"/>
              <w:bottom w:val="nil"/>
              <w:right w:val="nil"/>
            </w:tcBorders>
            <w:shd w:val="clear" w:color="auto" w:fill="auto"/>
            <w:hideMark/>
          </w:tcPr>
          <w:p w14:paraId="2A7EC346" w14:textId="77777777" w:rsidR="004E2CCE" w:rsidRPr="003D1614" w:rsidRDefault="004E2CCE" w:rsidP="004E2CC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111" w:type="dxa"/>
            <w:tcBorders>
              <w:left w:val="nil"/>
              <w:bottom w:val="nil"/>
              <w:right w:val="nil"/>
            </w:tcBorders>
            <w:shd w:val="clear" w:color="auto" w:fill="auto"/>
            <w:vAlign w:val="bottom"/>
          </w:tcPr>
          <w:p w14:paraId="5C161744" w14:textId="102EE379" w:rsidR="004E2CCE" w:rsidRPr="00D57E33" w:rsidRDefault="004E2CCE" w:rsidP="004E2CCE">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4" w:type="dxa"/>
            <w:tcBorders>
              <w:left w:val="nil"/>
              <w:bottom w:val="nil"/>
              <w:right w:val="nil"/>
            </w:tcBorders>
            <w:shd w:val="clear" w:color="auto" w:fill="auto"/>
            <w:vAlign w:val="bottom"/>
          </w:tcPr>
          <w:p w14:paraId="56876671" w14:textId="71D96202" w:rsidR="004E2CCE" w:rsidRPr="00D57E33" w:rsidRDefault="004E2CCE" w:rsidP="004E2CCE">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43" w:type="dxa"/>
            <w:tcBorders>
              <w:left w:val="nil"/>
              <w:bottom w:val="nil"/>
              <w:right w:val="nil"/>
            </w:tcBorders>
            <w:shd w:val="clear" w:color="auto" w:fill="auto"/>
            <w:vAlign w:val="bottom"/>
          </w:tcPr>
          <w:p w14:paraId="2371D59E" w14:textId="3B91EAC0" w:rsidR="004E2CCE" w:rsidRPr="00D57E33" w:rsidRDefault="004E2CCE" w:rsidP="004E2CCE">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992" w:type="dxa"/>
            <w:tcBorders>
              <w:left w:val="nil"/>
              <w:bottom w:val="nil"/>
              <w:right w:val="nil"/>
            </w:tcBorders>
            <w:shd w:val="clear" w:color="auto" w:fill="auto"/>
            <w:vAlign w:val="bottom"/>
          </w:tcPr>
          <w:p w14:paraId="611CDCB2" w14:textId="67E7A3AF" w:rsidR="004E2CCE" w:rsidRPr="00D57E33" w:rsidRDefault="004E2CCE" w:rsidP="004E2CCE">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992" w:type="dxa"/>
            <w:tcBorders>
              <w:left w:val="nil"/>
              <w:bottom w:val="nil"/>
              <w:right w:val="nil"/>
            </w:tcBorders>
            <w:shd w:val="clear" w:color="auto" w:fill="auto"/>
            <w:vAlign w:val="bottom"/>
          </w:tcPr>
          <w:p w14:paraId="2B4B91C0" w14:textId="3C7F6BE8" w:rsidR="004E2CCE" w:rsidRPr="005D1219" w:rsidRDefault="004E2CCE" w:rsidP="004E2CCE">
            <w:pPr>
              <w:suppressAutoHyphens/>
              <w:autoSpaceDN w:val="0"/>
              <w:jc w:val="right"/>
              <w:rPr>
                <w:rFonts w:ascii="Arial" w:eastAsia="Times New Roman" w:hAnsi="Arial" w:cs="Arial"/>
                <w:b/>
                <w:bCs/>
                <w:sz w:val="18"/>
                <w:szCs w:val="18"/>
              </w:rPr>
            </w:pPr>
            <w:r w:rsidRPr="005D1219">
              <w:rPr>
                <w:rFonts w:ascii="Arial" w:eastAsia="Times New Roman" w:hAnsi="Arial" w:cs="Arial"/>
                <w:b/>
                <w:bCs/>
                <w:sz w:val="18"/>
                <w:szCs w:val="18"/>
              </w:rPr>
              <w:t>-</w:t>
            </w:r>
          </w:p>
        </w:tc>
      </w:tr>
      <w:tr w:rsidR="004E2CCE" w:rsidRPr="003D1614" w14:paraId="6E45F152" w14:textId="77777777" w:rsidTr="00D57E33">
        <w:trPr>
          <w:trHeight w:val="311"/>
        </w:trPr>
        <w:tc>
          <w:tcPr>
            <w:tcW w:w="4122" w:type="dxa"/>
            <w:tcBorders>
              <w:top w:val="nil"/>
              <w:left w:val="nil"/>
              <w:bottom w:val="nil"/>
              <w:right w:val="nil"/>
            </w:tcBorders>
            <w:shd w:val="clear" w:color="auto" w:fill="auto"/>
            <w:vAlign w:val="center"/>
            <w:hideMark/>
          </w:tcPr>
          <w:p w14:paraId="1B8C2D91" w14:textId="5238EDCF" w:rsidR="004E2CCE" w:rsidRPr="003D1614" w:rsidRDefault="004E2CCE" w:rsidP="004E2CC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w:t>
            </w:r>
            <w:r>
              <w:rPr>
                <w:rFonts w:ascii="Arial" w:eastAsia="Calibri" w:hAnsi="Arial" w:cs="Arial"/>
                <w:color w:val="000000" w:themeColor="text1"/>
                <w:sz w:val="18"/>
                <w:szCs w:val="18"/>
              </w:rPr>
              <w:t>(</w:t>
            </w:r>
            <w:r w:rsidRPr="003D1614">
              <w:rPr>
                <w:rFonts w:ascii="Arial" w:eastAsia="Calibri" w:hAnsi="Arial" w:cs="Arial"/>
                <w:color w:val="000000" w:themeColor="text1"/>
                <w:sz w:val="18"/>
                <w:szCs w:val="18"/>
              </w:rPr>
              <w:t xml:space="preserve">smanjenje) rezerviranja za očekivane gubitke </w:t>
            </w:r>
          </w:p>
        </w:tc>
        <w:tc>
          <w:tcPr>
            <w:tcW w:w="1111" w:type="dxa"/>
            <w:tcBorders>
              <w:top w:val="nil"/>
              <w:left w:val="nil"/>
              <w:bottom w:val="nil"/>
              <w:right w:val="nil"/>
            </w:tcBorders>
            <w:shd w:val="clear" w:color="auto" w:fill="auto"/>
            <w:vAlign w:val="bottom"/>
          </w:tcPr>
          <w:p w14:paraId="6BBCE4AC" w14:textId="1F88961E" w:rsidR="004E2CCE" w:rsidRPr="00D57E33" w:rsidRDefault="004E2CCE" w:rsidP="004E2CCE">
            <w:pPr>
              <w:suppressAutoHyphens/>
              <w:autoSpaceDN w:val="0"/>
              <w:jc w:val="right"/>
              <w:rPr>
                <w:rFonts w:ascii="Arial" w:eastAsia="Times New Roman" w:hAnsi="Arial" w:cs="Arial"/>
                <w:sz w:val="18"/>
                <w:szCs w:val="18"/>
              </w:rPr>
            </w:pPr>
            <w:r>
              <w:rPr>
                <w:rFonts w:ascii="Arial" w:eastAsia="Times New Roman" w:hAnsi="Arial" w:cs="Arial"/>
                <w:sz w:val="18"/>
                <w:szCs w:val="18"/>
              </w:rPr>
              <w:t>(18)</w:t>
            </w:r>
          </w:p>
        </w:tc>
        <w:tc>
          <w:tcPr>
            <w:tcW w:w="1034" w:type="dxa"/>
            <w:tcBorders>
              <w:top w:val="nil"/>
              <w:left w:val="nil"/>
              <w:bottom w:val="nil"/>
              <w:right w:val="nil"/>
            </w:tcBorders>
            <w:shd w:val="clear" w:color="auto" w:fill="auto"/>
            <w:vAlign w:val="bottom"/>
          </w:tcPr>
          <w:p w14:paraId="489D81E3" w14:textId="55F3BF6F" w:rsidR="004E2CCE" w:rsidRPr="00D57E33" w:rsidRDefault="004E2CCE" w:rsidP="004E2CCE">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43" w:type="dxa"/>
            <w:tcBorders>
              <w:top w:val="nil"/>
              <w:left w:val="nil"/>
              <w:bottom w:val="nil"/>
              <w:right w:val="nil"/>
            </w:tcBorders>
            <w:shd w:val="clear" w:color="auto" w:fill="auto"/>
            <w:vAlign w:val="bottom"/>
          </w:tcPr>
          <w:p w14:paraId="5D8CAE6A" w14:textId="48871D3E" w:rsidR="004E2CCE" w:rsidRPr="00D57E33" w:rsidRDefault="004E2CCE" w:rsidP="004E2CCE">
            <w:pPr>
              <w:suppressAutoHyphens/>
              <w:autoSpaceDN w:val="0"/>
              <w:jc w:val="right"/>
              <w:rPr>
                <w:rFonts w:ascii="Arial" w:eastAsia="Times New Roman" w:hAnsi="Arial" w:cs="Arial"/>
                <w:sz w:val="18"/>
                <w:szCs w:val="18"/>
              </w:rPr>
            </w:pPr>
            <w:r>
              <w:rPr>
                <w:rFonts w:ascii="Arial" w:eastAsia="Times New Roman" w:hAnsi="Arial" w:cs="Arial"/>
                <w:sz w:val="18"/>
                <w:szCs w:val="18"/>
              </w:rPr>
              <w:t>(64)</w:t>
            </w:r>
          </w:p>
        </w:tc>
        <w:tc>
          <w:tcPr>
            <w:tcW w:w="992" w:type="dxa"/>
            <w:tcBorders>
              <w:top w:val="nil"/>
              <w:left w:val="nil"/>
              <w:bottom w:val="nil"/>
              <w:right w:val="nil"/>
            </w:tcBorders>
            <w:shd w:val="clear" w:color="auto" w:fill="auto"/>
            <w:vAlign w:val="bottom"/>
          </w:tcPr>
          <w:p w14:paraId="790C0740" w14:textId="0E2E3914" w:rsidR="004E2CCE" w:rsidRPr="00D57E33" w:rsidRDefault="004E2CCE" w:rsidP="004E2CCE">
            <w:pPr>
              <w:suppressAutoHyphens/>
              <w:autoSpaceDN w:val="0"/>
              <w:jc w:val="right"/>
              <w:rPr>
                <w:rFonts w:ascii="Arial" w:eastAsia="Times New Roman" w:hAnsi="Arial" w:cs="Arial"/>
                <w:sz w:val="18"/>
                <w:szCs w:val="18"/>
              </w:rPr>
            </w:pPr>
            <w:r>
              <w:rPr>
                <w:rFonts w:ascii="Arial" w:eastAsia="Times New Roman" w:hAnsi="Arial" w:cs="Arial"/>
                <w:sz w:val="18"/>
                <w:szCs w:val="18"/>
              </w:rPr>
              <w:t>(1)</w:t>
            </w:r>
          </w:p>
        </w:tc>
        <w:tc>
          <w:tcPr>
            <w:tcW w:w="992" w:type="dxa"/>
            <w:tcBorders>
              <w:top w:val="nil"/>
              <w:left w:val="nil"/>
              <w:bottom w:val="nil"/>
              <w:right w:val="nil"/>
            </w:tcBorders>
            <w:shd w:val="clear" w:color="auto" w:fill="auto"/>
            <w:vAlign w:val="bottom"/>
          </w:tcPr>
          <w:p w14:paraId="5D7F0DEC" w14:textId="0BCC17A4" w:rsidR="004E2CCE" w:rsidRPr="005D1219" w:rsidRDefault="004E2CCE" w:rsidP="004E2CCE">
            <w:pPr>
              <w:suppressAutoHyphens/>
              <w:autoSpaceDN w:val="0"/>
              <w:jc w:val="right"/>
              <w:rPr>
                <w:rFonts w:ascii="Arial" w:eastAsia="Times New Roman" w:hAnsi="Arial" w:cs="Arial"/>
                <w:b/>
                <w:bCs/>
                <w:sz w:val="18"/>
                <w:szCs w:val="18"/>
              </w:rPr>
            </w:pPr>
            <w:r w:rsidRPr="005D1219">
              <w:rPr>
                <w:rFonts w:ascii="Arial" w:eastAsia="Times New Roman" w:hAnsi="Arial" w:cs="Arial"/>
                <w:b/>
                <w:bCs/>
                <w:sz w:val="18"/>
                <w:szCs w:val="18"/>
              </w:rPr>
              <w:t>(83)</w:t>
            </w:r>
          </w:p>
        </w:tc>
      </w:tr>
      <w:tr w:rsidR="004E2CCE" w:rsidRPr="003D1614" w14:paraId="2C4D7196" w14:textId="77777777" w:rsidTr="005D1219">
        <w:trPr>
          <w:trHeight w:val="111"/>
        </w:trPr>
        <w:tc>
          <w:tcPr>
            <w:tcW w:w="4122" w:type="dxa"/>
            <w:tcBorders>
              <w:top w:val="nil"/>
              <w:left w:val="nil"/>
              <w:bottom w:val="nil"/>
              <w:right w:val="nil"/>
            </w:tcBorders>
            <w:shd w:val="clear" w:color="auto" w:fill="auto"/>
            <w:vAlign w:val="center"/>
          </w:tcPr>
          <w:p w14:paraId="0C47C7C9" w14:textId="77777777" w:rsidR="004E2CCE" w:rsidRPr="003D1614" w:rsidRDefault="004E2CCE" w:rsidP="004E2CC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Otpis</w:t>
            </w:r>
          </w:p>
        </w:tc>
        <w:tc>
          <w:tcPr>
            <w:tcW w:w="1111" w:type="dxa"/>
            <w:tcBorders>
              <w:left w:val="nil"/>
              <w:bottom w:val="nil"/>
              <w:right w:val="nil"/>
            </w:tcBorders>
            <w:shd w:val="clear" w:color="auto" w:fill="auto"/>
            <w:vAlign w:val="bottom"/>
          </w:tcPr>
          <w:p w14:paraId="38C81A33" w14:textId="7E1C5659" w:rsidR="004E2CCE" w:rsidRPr="00D57E33" w:rsidRDefault="004E2CCE" w:rsidP="004E2CCE">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4" w:type="dxa"/>
            <w:tcBorders>
              <w:left w:val="nil"/>
              <w:bottom w:val="nil"/>
              <w:right w:val="nil"/>
            </w:tcBorders>
            <w:shd w:val="clear" w:color="auto" w:fill="auto"/>
            <w:vAlign w:val="bottom"/>
          </w:tcPr>
          <w:p w14:paraId="6FA1E87F" w14:textId="20299031" w:rsidR="004E2CCE" w:rsidRPr="00D57E33" w:rsidRDefault="004E2CCE" w:rsidP="004E2CCE">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43" w:type="dxa"/>
            <w:tcBorders>
              <w:left w:val="nil"/>
              <w:bottom w:val="nil"/>
              <w:right w:val="nil"/>
            </w:tcBorders>
            <w:shd w:val="clear" w:color="auto" w:fill="auto"/>
            <w:vAlign w:val="bottom"/>
          </w:tcPr>
          <w:p w14:paraId="31614567" w14:textId="758D6504" w:rsidR="004E2CCE" w:rsidRPr="00D57E33" w:rsidRDefault="004E2CCE" w:rsidP="004E2CCE">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992" w:type="dxa"/>
            <w:tcBorders>
              <w:left w:val="nil"/>
              <w:bottom w:val="nil"/>
              <w:right w:val="nil"/>
            </w:tcBorders>
            <w:shd w:val="clear" w:color="auto" w:fill="auto"/>
            <w:vAlign w:val="bottom"/>
          </w:tcPr>
          <w:p w14:paraId="7BB03E3B" w14:textId="4C6933A7" w:rsidR="004E2CCE" w:rsidRPr="00D57E33" w:rsidRDefault="004E2CCE" w:rsidP="004E2CCE">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992" w:type="dxa"/>
            <w:tcBorders>
              <w:left w:val="nil"/>
              <w:bottom w:val="nil"/>
              <w:right w:val="nil"/>
            </w:tcBorders>
            <w:shd w:val="clear" w:color="auto" w:fill="auto"/>
            <w:vAlign w:val="bottom"/>
          </w:tcPr>
          <w:p w14:paraId="33505804" w14:textId="7AEF6867" w:rsidR="004E2CCE" w:rsidRPr="005D1219" w:rsidRDefault="004E2CCE" w:rsidP="004E2CCE">
            <w:pPr>
              <w:suppressAutoHyphens/>
              <w:autoSpaceDN w:val="0"/>
              <w:jc w:val="right"/>
              <w:rPr>
                <w:rFonts w:ascii="Arial" w:eastAsia="Times New Roman" w:hAnsi="Arial" w:cs="Arial"/>
                <w:b/>
                <w:bCs/>
                <w:sz w:val="18"/>
                <w:szCs w:val="18"/>
              </w:rPr>
            </w:pPr>
            <w:r w:rsidRPr="005D1219">
              <w:rPr>
                <w:rFonts w:ascii="Arial" w:eastAsia="Times New Roman" w:hAnsi="Arial" w:cs="Arial"/>
                <w:b/>
                <w:bCs/>
                <w:sz w:val="18"/>
                <w:szCs w:val="18"/>
              </w:rPr>
              <w:t>-</w:t>
            </w:r>
          </w:p>
        </w:tc>
      </w:tr>
      <w:tr w:rsidR="004E2CCE" w:rsidRPr="003D1614" w14:paraId="2A0ADD2D" w14:textId="77777777" w:rsidTr="005D1219">
        <w:trPr>
          <w:trHeight w:val="261"/>
        </w:trPr>
        <w:tc>
          <w:tcPr>
            <w:tcW w:w="4122" w:type="dxa"/>
            <w:tcBorders>
              <w:top w:val="nil"/>
              <w:left w:val="nil"/>
              <w:bottom w:val="nil"/>
              <w:right w:val="nil"/>
            </w:tcBorders>
            <w:shd w:val="clear" w:color="auto" w:fill="auto"/>
            <w:vAlign w:val="center"/>
            <w:hideMark/>
          </w:tcPr>
          <w:p w14:paraId="320B630E" w14:textId="77777777" w:rsidR="004E2CCE" w:rsidRPr="003D1614" w:rsidRDefault="004E2CCE" w:rsidP="004E2CCE">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111" w:type="dxa"/>
            <w:tcBorders>
              <w:top w:val="nil"/>
              <w:left w:val="nil"/>
              <w:right w:val="nil"/>
            </w:tcBorders>
            <w:shd w:val="clear" w:color="auto" w:fill="auto"/>
            <w:vAlign w:val="bottom"/>
          </w:tcPr>
          <w:p w14:paraId="79E3E893" w14:textId="2571E20F" w:rsidR="004E2CCE" w:rsidRPr="00D57E33" w:rsidRDefault="004E2CCE" w:rsidP="004E2CCE">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4" w:type="dxa"/>
            <w:tcBorders>
              <w:top w:val="nil"/>
              <w:left w:val="nil"/>
              <w:right w:val="nil"/>
            </w:tcBorders>
            <w:shd w:val="clear" w:color="auto" w:fill="auto"/>
            <w:vAlign w:val="bottom"/>
          </w:tcPr>
          <w:p w14:paraId="375E3D19" w14:textId="44609D22" w:rsidR="004E2CCE" w:rsidRPr="00D57E33" w:rsidRDefault="004E2CCE" w:rsidP="004E2CCE">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43" w:type="dxa"/>
            <w:tcBorders>
              <w:top w:val="nil"/>
              <w:left w:val="nil"/>
              <w:right w:val="nil"/>
            </w:tcBorders>
            <w:shd w:val="clear" w:color="auto" w:fill="auto"/>
            <w:vAlign w:val="bottom"/>
          </w:tcPr>
          <w:p w14:paraId="355ABEED" w14:textId="4D853659" w:rsidR="004E2CCE" w:rsidRPr="00D57E33" w:rsidRDefault="004E2CCE" w:rsidP="004E2CCE">
            <w:pPr>
              <w:suppressAutoHyphens/>
              <w:autoSpaceDN w:val="0"/>
              <w:jc w:val="right"/>
              <w:rPr>
                <w:rFonts w:ascii="Arial" w:eastAsia="Times New Roman" w:hAnsi="Arial" w:cs="Arial"/>
                <w:sz w:val="18"/>
                <w:szCs w:val="18"/>
              </w:rPr>
            </w:pPr>
            <w:r>
              <w:rPr>
                <w:rFonts w:ascii="Arial" w:eastAsia="Times New Roman" w:hAnsi="Arial" w:cs="Arial"/>
                <w:sz w:val="18"/>
                <w:szCs w:val="18"/>
              </w:rPr>
              <w:t>2</w:t>
            </w:r>
          </w:p>
        </w:tc>
        <w:tc>
          <w:tcPr>
            <w:tcW w:w="992" w:type="dxa"/>
            <w:tcBorders>
              <w:top w:val="nil"/>
              <w:left w:val="nil"/>
              <w:right w:val="nil"/>
            </w:tcBorders>
            <w:shd w:val="clear" w:color="auto" w:fill="auto"/>
            <w:vAlign w:val="bottom"/>
          </w:tcPr>
          <w:p w14:paraId="755B5194" w14:textId="42D326C1" w:rsidR="004E2CCE" w:rsidRPr="00D57E33" w:rsidRDefault="004E2CCE" w:rsidP="004E2CCE">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992" w:type="dxa"/>
            <w:tcBorders>
              <w:top w:val="nil"/>
              <w:left w:val="nil"/>
              <w:right w:val="nil"/>
            </w:tcBorders>
            <w:shd w:val="clear" w:color="auto" w:fill="auto"/>
            <w:vAlign w:val="bottom"/>
          </w:tcPr>
          <w:p w14:paraId="4B557F8B" w14:textId="0A82C2C9" w:rsidR="004E2CCE" w:rsidRPr="005D1219" w:rsidRDefault="004E2CCE" w:rsidP="004E2CCE">
            <w:pPr>
              <w:suppressAutoHyphens/>
              <w:autoSpaceDN w:val="0"/>
              <w:jc w:val="right"/>
              <w:rPr>
                <w:rFonts w:ascii="Arial" w:eastAsia="Times New Roman" w:hAnsi="Arial" w:cs="Arial"/>
                <w:b/>
                <w:bCs/>
                <w:sz w:val="18"/>
                <w:szCs w:val="18"/>
              </w:rPr>
            </w:pPr>
            <w:r w:rsidRPr="005D1219">
              <w:rPr>
                <w:rFonts w:ascii="Arial" w:eastAsia="Times New Roman" w:hAnsi="Arial" w:cs="Arial"/>
                <w:b/>
                <w:bCs/>
                <w:sz w:val="18"/>
                <w:szCs w:val="18"/>
              </w:rPr>
              <w:t>2</w:t>
            </w:r>
          </w:p>
        </w:tc>
      </w:tr>
      <w:tr w:rsidR="004E2CCE" w:rsidRPr="003D1614" w14:paraId="6EBA74AD" w14:textId="77777777" w:rsidTr="005D1219">
        <w:trPr>
          <w:trHeight w:val="261"/>
        </w:trPr>
        <w:tc>
          <w:tcPr>
            <w:tcW w:w="4122" w:type="dxa"/>
            <w:tcBorders>
              <w:top w:val="nil"/>
              <w:left w:val="nil"/>
              <w:bottom w:val="nil"/>
              <w:right w:val="nil"/>
            </w:tcBorders>
            <w:shd w:val="clear" w:color="auto" w:fill="auto"/>
            <w:vAlign w:val="center"/>
          </w:tcPr>
          <w:p w14:paraId="7DD3CD7A" w14:textId="77777777" w:rsidR="004E2CCE" w:rsidRPr="003D1614" w:rsidRDefault="004E2CCE" w:rsidP="004E2CCE">
            <w:pPr>
              <w:suppressAutoHyphens/>
              <w:autoSpaceDN w:val="0"/>
              <w:rPr>
                <w:rFonts w:ascii="Arial" w:eastAsia="Calibri" w:hAnsi="Arial" w:cs="Arial"/>
                <w:b/>
                <w:bCs/>
                <w:color w:val="000000" w:themeColor="text1"/>
                <w:sz w:val="18"/>
                <w:szCs w:val="18"/>
              </w:rPr>
            </w:pPr>
            <w:r w:rsidRPr="003D1614">
              <w:rPr>
                <w:rFonts w:ascii="Arial" w:eastAsia="Calibri" w:hAnsi="Arial" w:cs="Arial"/>
                <w:color w:val="000000" w:themeColor="text1"/>
                <w:sz w:val="18"/>
                <w:szCs w:val="18"/>
              </w:rPr>
              <w:t>Ostala usklađenja</w:t>
            </w:r>
          </w:p>
        </w:tc>
        <w:tc>
          <w:tcPr>
            <w:tcW w:w="1111" w:type="dxa"/>
            <w:tcBorders>
              <w:top w:val="nil"/>
              <w:left w:val="nil"/>
              <w:bottom w:val="single" w:sz="4" w:space="0" w:color="auto"/>
              <w:right w:val="nil"/>
            </w:tcBorders>
            <w:shd w:val="clear" w:color="auto" w:fill="auto"/>
            <w:vAlign w:val="bottom"/>
          </w:tcPr>
          <w:p w14:paraId="417EC21F" w14:textId="1CFA2B6C" w:rsidR="004E2CCE" w:rsidRPr="00D57E33" w:rsidRDefault="004E2CCE" w:rsidP="004E2CCE">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4" w:type="dxa"/>
            <w:tcBorders>
              <w:top w:val="nil"/>
              <w:left w:val="nil"/>
              <w:bottom w:val="single" w:sz="4" w:space="0" w:color="auto"/>
              <w:right w:val="nil"/>
            </w:tcBorders>
            <w:shd w:val="clear" w:color="auto" w:fill="auto"/>
            <w:vAlign w:val="bottom"/>
          </w:tcPr>
          <w:p w14:paraId="36EA0265" w14:textId="49790575" w:rsidR="004E2CCE" w:rsidRPr="00D57E33" w:rsidRDefault="004E2CCE" w:rsidP="004E2CCE">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143" w:type="dxa"/>
            <w:tcBorders>
              <w:top w:val="nil"/>
              <w:left w:val="nil"/>
              <w:bottom w:val="single" w:sz="4" w:space="0" w:color="auto"/>
              <w:right w:val="nil"/>
            </w:tcBorders>
            <w:shd w:val="clear" w:color="auto" w:fill="auto"/>
            <w:vAlign w:val="bottom"/>
          </w:tcPr>
          <w:p w14:paraId="4A6A9C15" w14:textId="54F91BA5" w:rsidR="004E2CCE" w:rsidRPr="00D57E33" w:rsidRDefault="006D06CA" w:rsidP="004E2CCE">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992" w:type="dxa"/>
            <w:tcBorders>
              <w:top w:val="nil"/>
              <w:left w:val="nil"/>
              <w:bottom w:val="single" w:sz="4" w:space="0" w:color="auto"/>
              <w:right w:val="nil"/>
            </w:tcBorders>
            <w:shd w:val="clear" w:color="auto" w:fill="auto"/>
            <w:vAlign w:val="bottom"/>
          </w:tcPr>
          <w:p w14:paraId="76F29EBA" w14:textId="55775350" w:rsidR="004E2CCE" w:rsidRPr="00687B83" w:rsidRDefault="004E2CCE" w:rsidP="004E2CCE">
            <w:pPr>
              <w:suppressAutoHyphens/>
              <w:autoSpaceDN w:val="0"/>
              <w:jc w:val="right"/>
              <w:rPr>
                <w:rFonts w:ascii="Arial" w:eastAsia="Times New Roman" w:hAnsi="Arial" w:cs="Arial"/>
                <w:sz w:val="18"/>
                <w:szCs w:val="18"/>
              </w:rPr>
            </w:pPr>
            <w:r>
              <w:rPr>
                <w:rFonts w:ascii="Arial" w:eastAsia="Times New Roman" w:hAnsi="Arial" w:cs="Arial"/>
                <w:sz w:val="18"/>
                <w:szCs w:val="18"/>
              </w:rPr>
              <w:t>1</w:t>
            </w:r>
          </w:p>
        </w:tc>
        <w:tc>
          <w:tcPr>
            <w:tcW w:w="992" w:type="dxa"/>
            <w:tcBorders>
              <w:top w:val="nil"/>
              <w:left w:val="nil"/>
              <w:bottom w:val="single" w:sz="4" w:space="0" w:color="auto"/>
              <w:right w:val="nil"/>
            </w:tcBorders>
            <w:shd w:val="clear" w:color="auto" w:fill="auto"/>
            <w:vAlign w:val="bottom"/>
          </w:tcPr>
          <w:p w14:paraId="54C04240" w14:textId="5DC40A0A" w:rsidR="004E2CCE" w:rsidRPr="005D1219" w:rsidRDefault="004E2CCE" w:rsidP="004E2CCE">
            <w:pPr>
              <w:suppressAutoHyphens/>
              <w:autoSpaceDN w:val="0"/>
              <w:jc w:val="right"/>
              <w:rPr>
                <w:rFonts w:ascii="Arial" w:eastAsia="Times New Roman" w:hAnsi="Arial" w:cs="Arial"/>
                <w:b/>
                <w:bCs/>
                <w:sz w:val="18"/>
                <w:szCs w:val="18"/>
              </w:rPr>
            </w:pPr>
            <w:r w:rsidRPr="005D1219">
              <w:rPr>
                <w:rFonts w:ascii="Arial" w:eastAsia="Times New Roman" w:hAnsi="Arial" w:cs="Arial"/>
                <w:b/>
                <w:bCs/>
                <w:sz w:val="18"/>
                <w:szCs w:val="18"/>
              </w:rPr>
              <w:t>1</w:t>
            </w:r>
          </w:p>
        </w:tc>
      </w:tr>
      <w:tr w:rsidR="004E2CCE" w:rsidRPr="003D1614" w14:paraId="3DEE3983" w14:textId="77777777" w:rsidTr="005D1219">
        <w:trPr>
          <w:trHeight w:val="261"/>
        </w:trPr>
        <w:tc>
          <w:tcPr>
            <w:tcW w:w="4122" w:type="dxa"/>
            <w:tcBorders>
              <w:top w:val="nil"/>
              <w:left w:val="nil"/>
              <w:bottom w:val="nil"/>
              <w:right w:val="nil"/>
            </w:tcBorders>
            <w:shd w:val="clear" w:color="auto" w:fill="auto"/>
            <w:vAlign w:val="center"/>
            <w:hideMark/>
          </w:tcPr>
          <w:p w14:paraId="021B127A" w14:textId="71FD46F7" w:rsidR="004E2CCE" w:rsidRPr="003D1614" w:rsidRDefault="004E2CCE" w:rsidP="004E2CCE">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ožujka 202</w:t>
            </w:r>
            <w:r>
              <w:rPr>
                <w:rFonts w:ascii="Arial" w:eastAsia="Calibri" w:hAnsi="Arial" w:cs="Arial"/>
                <w:b/>
                <w:bCs/>
                <w:color w:val="000000" w:themeColor="text1"/>
                <w:sz w:val="18"/>
                <w:szCs w:val="18"/>
              </w:rPr>
              <w:t>4</w:t>
            </w:r>
            <w:r w:rsidRPr="003D1614">
              <w:rPr>
                <w:rFonts w:ascii="Arial" w:eastAsia="Calibri" w:hAnsi="Arial" w:cs="Arial"/>
                <w:b/>
                <w:bCs/>
                <w:color w:val="000000" w:themeColor="text1"/>
                <w:sz w:val="18"/>
                <w:szCs w:val="18"/>
              </w:rPr>
              <w:t>.</w:t>
            </w:r>
          </w:p>
        </w:tc>
        <w:tc>
          <w:tcPr>
            <w:tcW w:w="1111" w:type="dxa"/>
            <w:tcBorders>
              <w:top w:val="single" w:sz="4" w:space="0" w:color="auto"/>
              <w:left w:val="nil"/>
              <w:bottom w:val="single" w:sz="12" w:space="0" w:color="auto"/>
              <w:right w:val="nil"/>
            </w:tcBorders>
            <w:shd w:val="clear" w:color="auto" w:fill="auto"/>
            <w:vAlign w:val="bottom"/>
          </w:tcPr>
          <w:p w14:paraId="63A08F16" w14:textId="44C203A4" w:rsidR="004E2CCE" w:rsidRPr="00D57E33" w:rsidRDefault="004E2CCE" w:rsidP="004E2CCE">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w:t>
            </w:r>
          </w:p>
        </w:tc>
        <w:tc>
          <w:tcPr>
            <w:tcW w:w="1034" w:type="dxa"/>
            <w:tcBorders>
              <w:top w:val="single" w:sz="4" w:space="0" w:color="auto"/>
              <w:left w:val="nil"/>
              <w:bottom w:val="single" w:sz="12" w:space="0" w:color="auto"/>
              <w:right w:val="nil"/>
            </w:tcBorders>
            <w:shd w:val="clear" w:color="auto" w:fill="auto"/>
            <w:vAlign w:val="bottom"/>
          </w:tcPr>
          <w:p w14:paraId="219E24C0" w14:textId="62127488" w:rsidR="004E2CCE" w:rsidRPr="00D57E33" w:rsidRDefault="004E2CCE" w:rsidP="004E2CCE">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1</w:t>
            </w:r>
          </w:p>
        </w:tc>
        <w:tc>
          <w:tcPr>
            <w:tcW w:w="1143" w:type="dxa"/>
            <w:tcBorders>
              <w:top w:val="single" w:sz="4" w:space="0" w:color="auto"/>
              <w:left w:val="nil"/>
              <w:bottom w:val="single" w:sz="12" w:space="0" w:color="auto"/>
              <w:right w:val="nil"/>
            </w:tcBorders>
            <w:shd w:val="clear" w:color="auto" w:fill="auto"/>
            <w:vAlign w:val="bottom"/>
          </w:tcPr>
          <w:p w14:paraId="4AF4977E" w14:textId="671021C9" w:rsidR="004E2CCE" w:rsidRPr="00D57E33" w:rsidRDefault="004E2CCE" w:rsidP="004E2CCE">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4.268</w:t>
            </w:r>
          </w:p>
        </w:tc>
        <w:tc>
          <w:tcPr>
            <w:tcW w:w="992" w:type="dxa"/>
            <w:tcBorders>
              <w:top w:val="single" w:sz="4" w:space="0" w:color="auto"/>
              <w:left w:val="nil"/>
              <w:bottom w:val="single" w:sz="12" w:space="0" w:color="auto"/>
              <w:right w:val="nil"/>
            </w:tcBorders>
            <w:shd w:val="clear" w:color="auto" w:fill="auto"/>
            <w:vAlign w:val="bottom"/>
          </w:tcPr>
          <w:p w14:paraId="24648A07" w14:textId="527A92B9" w:rsidR="004E2CCE" w:rsidRPr="00D57E33" w:rsidRDefault="004E2CCE" w:rsidP="004E2CCE">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35</w:t>
            </w:r>
          </w:p>
        </w:tc>
        <w:tc>
          <w:tcPr>
            <w:tcW w:w="992" w:type="dxa"/>
            <w:tcBorders>
              <w:top w:val="single" w:sz="4" w:space="0" w:color="auto"/>
              <w:left w:val="nil"/>
              <w:bottom w:val="single" w:sz="12" w:space="0" w:color="auto"/>
              <w:right w:val="nil"/>
            </w:tcBorders>
            <w:shd w:val="clear" w:color="auto" w:fill="auto"/>
            <w:vAlign w:val="bottom"/>
          </w:tcPr>
          <w:p w14:paraId="400FEC6F" w14:textId="064BBC32" w:rsidR="004E2CCE" w:rsidRPr="00D57E33" w:rsidRDefault="004E2CCE" w:rsidP="004E2CCE">
            <w:pPr>
              <w:suppressAutoHyphens/>
              <w:autoSpaceDN w:val="0"/>
              <w:jc w:val="right"/>
              <w:rPr>
                <w:rFonts w:ascii="Arial" w:eastAsia="Calibri" w:hAnsi="Arial" w:cs="Arial"/>
                <w:b/>
                <w:bCs/>
                <w:color w:val="000000" w:themeColor="text1"/>
                <w:sz w:val="18"/>
                <w:szCs w:val="18"/>
              </w:rPr>
            </w:pPr>
            <w:r>
              <w:rPr>
                <w:rFonts w:ascii="Arial" w:eastAsia="Calibri" w:hAnsi="Arial" w:cs="Arial"/>
                <w:b/>
                <w:bCs/>
                <w:color w:val="000000" w:themeColor="text1"/>
                <w:sz w:val="18"/>
                <w:szCs w:val="18"/>
              </w:rPr>
              <w:t>4.305</w:t>
            </w:r>
          </w:p>
        </w:tc>
      </w:tr>
    </w:tbl>
    <w:p w14:paraId="77213299" w14:textId="77777777" w:rsidR="00A269B5" w:rsidRPr="003D1614" w:rsidRDefault="00A269B5" w:rsidP="00A269B5">
      <w:pPr>
        <w:suppressAutoHyphens/>
        <w:autoSpaceDN w:val="0"/>
        <w:jc w:val="both"/>
        <w:rPr>
          <w:rFonts w:ascii="Arial" w:eastAsia="Times New Roman" w:hAnsi="Arial" w:cs="Arial"/>
          <w:b/>
          <w:bCs/>
          <w:color w:val="000000" w:themeColor="text1"/>
          <w:sz w:val="20"/>
          <w:szCs w:val="20"/>
        </w:rPr>
      </w:pPr>
    </w:p>
    <w:p w14:paraId="3BE8130C" w14:textId="3515790D"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13D1AE75" w14:textId="1007BB41" w:rsidR="00A269B5" w:rsidRDefault="00A269B5" w:rsidP="001A0FCB">
      <w:pPr>
        <w:suppressAutoHyphens/>
        <w:autoSpaceDN w:val="0"/>
        <w:jc w:val="both"/>
        <w:rPr>
          <w:rFonts w:ascii="Arial" w:eastAsia="Times New Roman" w:hAnsi="Arial" w:cs="Arial"/>
          <w:color w:val="000000" w:themeColor="text1"/>
          <w:sz w:val="20"/>
          <w:szCs w:val="20"/>
        </w:rPr>
      </w:pPr>
    </w:p>
    <w:p w14:paraId="36769CCF" w14:textId="77777777" w:rsidR="00726176" w:rsidRDefault="00726176" w:rsidP="001A0FCB">
      <w:pPr>
        <w:suppressAutoHyphens/>
        <w:autoSpaceDN w:val="0"/>
        <w:jc w:val="both"/>
        <w:rPr>
          <w:rFonts w:ascii="Arial" w:eastAsia="Times New Roman" w:hAnsi="Arial" w:cs="Arial"/>
          <w:color w:val="000000" w:themeColor="text1"/>
          <w:sz w:val="20"/>
          <w:szCs w:val="20"/>
        </w:rPr>
      </w:pPr>
    </w:p>
    <w:tbl>
      <w:tblPr>
        <w:tblW w:w="9394" w:type="dxa"/>
        <w:tblInd w:w="-180" w:type="dxa"/>
        <w:tblLayout w:type="fixed"/>
        <w:tblLook w:val="04A0" w:firstRow="1" w:lastRow="0" w:firstColumn="1" w:lastColumn="0" w:noHBand="0" w:noVBand="1"/>
      </w:tblPr>
      <w:tblGrid>
        <w:gridCol w:w="4122"/>
        <w:gridCol w:w="1111"/>
        <w:gridCol w:w="1034"/>
        <w:gridCol w:w="1143"/>
        <w:gridCol w:w="992"/>
        <w:gridCol w:w="992"/>
      </w:tblGrid>
      <w:tr w:rsidR="00726176" w:rsidRPr="001B015B" w14:paraId="5BFAF881" w14:textId="77777777" w:rsidTr="00CA7F04">
        <w:trPr>
          <w:trHeight w:val="248"/>
        </w:trPr>
        <w:tc>
          <w:tcPr>
            <w:tcW w:w="4122" w:type="dxa"/>
            <w:tcBorders>
              <w:top w:val="nil"/>
              <w:left w:val="nil"/>
              <w:bottom w:val="nil"/>
              <w:right w:val="nil"/>
            </w:tcBorders>
            <w:shd w:val="clear" w:color="auto" w:fill="auto"/>
            <w:vAlign w:val="center"/>
          </w:tcPr>
          <w:p w14:paraId="624EF5C6" w14:textId="77777777" w:rsidR="00726176" w:rsidRPr="001B015B" w:rsidRDefault="00726176" w:rsidP="00CA7F04">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Banka</w:t>
            </w:r>
          </w:p>
        </w:tc>
        <w:tc>
          <w:tcPr>
            <w:tcW w:w="1111" w:type="dxa"/>
            <w:tcBorders>
              <w:top w:val="nil"/>
              <w:left w:val="nil"/>
              <w:bottom w:val="nil"/>
              <w:right w:val="nil"/>
            </w:tcBorders>
            <w:shd w:val="clear" w:color="auto" w:fill="auto"/>
            <w:vAlign w:val="center"/>
          </w:tcPr>
          <w:p w14:paraId="0A37A9EA" w14:textId="77777777" w:rsidR="00726176" w:rsidRPr="001B015B" w:rsidRDefault="00726176" w:rsidP="00CA7F04">
            <w:pPr>
              <w:jc w:val="right"/>
              <w:rPr>
                <w:rFonts w:ascii="Arial" w:eastAsia="Calibri" w:hAnsi="Arial" w:cs="Arial"/>
                <w:b/>
                <w:bCs/>
                <w:color w:val="000000" w:themeColor="text1"/>
                <w:sz w:val="18"/>
                <w:szCs w:val="18"/>
              </w:rPr>
            </w:pPr>
          </w:p>
        </w:tc>
        <w:tc>
          <w:tcPr>
            <w:tcW w:w="1034" w:type="dxa"/>
            <w:tcBorders>
              <w:top w:val="nil"/>
              <w:left w:val="nil"/>
              <w:bottom w:val="nil"/>
              <w:right w:val="nil"/>
            </w:tcBorders>
            <w:shd w:val="clear" w:color="auto" w:fill="auto"/>
            <w:vAlign w:val="center"/>
          </w:tcPr>
          <w:p w14:paraId="147E2896" w14:textId="77777777" w:rsidR="00726176" w:rsidRPr="001B015B" w:rsidRDefault="00726176" w:rsidP="00CA7F04">
            <w:pPr>
              <w:jc w:val="right"/>
              <w:rPr>
                <w:rFonts w:ascii="Arial" w:eastAsia="Calibri" w:hAnsi="Arial" w:cs="Arial"/>
                <w:b/>
                <w:bCs/>
                <w:color w:val="000000" w:themeColor="text1"/>
                <w:sz w:val="18"/>
                <w:szCs w:val="18"/>
              </w:rPr>
            </w:pPr>
          </w:p>
        </w:tc>
        <w:tc>
          <w:tcPr>
            <w:tcW w:w="1143" w:type="dxa"/>
            <w:tcBorders>
              <w:top w:val="nil"/>
              <w:left w:val="nil"/>
              <w:bottom w:val="nil"/>
              <w:right w:val="nil"/>
            </w:tcBorders>
            <w:shd w:val="clear" w:color="auto" w:fill="auto"/>
            <w:vAlign w:val="center"/>
          </w:tcPr>
          <w:p w14:paraId="46E7CD45" w14:textId="77777777" w:rsidR="00726176" w:rsidRPr="001B015B" w:rsidRDefault="00726176" w:rsidP="00CA7F04">
            <w:pPr>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center"/>
          </w:tcPr>
          <w:p w14:paraId="45BAB48C" w14:textId="77777777" w:rsidR="00726176" w:rsidRPr="001B015B" w:rsidRDefault="00726176" w:rsidP="00CA7F04">
            <w:pPr>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center"/>
          </w:tcPr>
          <w:p w14:paraId="26AD2897" w14:textId="77777777" w:rsidR="00726176" w:rsidRPr="001B015B" w:rsidRDefault="00726176" w:rsidP="00CA7F04">
            <w:pPr>
              <w:jc w:val="right"/>
              <w:rPr>
                <w:rFonts w:ascii="Arial" w:eastAsia="Calibri" w:hAnsi="Arial" w:cs="Arial"/>
                <w:b/>
                <w:bCs/>
                <w:color w:val="000000" w:themeColor="text1"/>
                <w:sz w:val="18"/>
                <w:szCs w:val="18"/>
              </w:rPr>
            </w:pPr>
          </w:p>
        </w:tc>
      </w:tr>
      <w:tr w:rsidR="00726176" w:rsidRPr="001B015B" w14:paraId="5608768A" w14:textId="77777777" w:rsidTr="00CA7F04">
        <w:trPr>
          <w:trHeight w:val="248"/>
        </w:trPr>
        <w:tc>
          <w:tcPr>
            <w:tcW w:w="4122" w:type="dxa"/>
            <w:tcBorders>
              <w:top w:val="nil"/>
              <w:left w:val="nil"/>
              <w:bottom w:val="nil"/>
              <w:right w:val="nil"/>
            </w:tcBorders>
            <w:shd w:val="clear" w:color="auto" w:fill="auto"/>
            <w:vAlign w:val="center"/>
            <w:hideMark/>
          </w:tcPr>
          <w:p w14:paraId="461C49ED" w14:textId="77777777" w:rsidR="00726176" w:rsidRPr="001B015B" w:rsidRDefault="00726176" w:rsidP="00CA7F04">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31. prosinca 202</w:t>
            </w:r>
            <w:r>
              <w:rPr>
                <w:rFonts w:ascii="Arial" w:eastAsia="Calibri" w:hAnsi="Arial" w:cs="Arial"/>
                <w:b/>
                <w:bCs/>
                <w:color w:val="000000" w:themeColor="text1"/>
                <w:sz w:val="18"/>
                <w:szCs w:val="18"/>
              </w:rPr>
              <w:t>3</w:t>
            </w:r>
            <w:r w:rsidRPr="001B015B">
              <w:rPr>
                <w:rFonts w:ascii="Arial" w:eastAsia="Calibri" w:hAnsi="Arial" w:cs="Arial"/>
                <w:b/>
                <w:bCs/>
                <w:color w:val="000000" w:themeColor="text1"/>
                <w:sz w:val="18"/>
                <w:szCs w:val="18"/>
              </w:rPr>
              <w:t>.</w:t>
            </w:r>
          </w:p>
        </w:tc>
        <w:tc>
          <w:tcPr>
            <w:tcW w:w="1111" w:type="dxa"/>
            <w:tcBorders>
              <w:top w:val="nil"/>
              <w:left w:val="nil"/>
              <w:bottom w:val="nil"/>
              <w:right w:val="nil"/>
            </w:tcBorders>
            <w:shd w:val="clear" w:color="auto" w:fill="auto"/>
            <w:vAlign w:val="center"/>
            <w:hideMark/>
          </w:tcPr>
          <w:p w14:paraId="464CD380" w14:textId="77777777" w:rsidR="00726176" w:rsidRPr="001B015B" w:rsidRDefault="00726176"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1</w:t>
            </w:r>
          </w:p>
        </w:tc>
        <w:tc>
          <w:tcPr>
            <w:tcW w:w="1034" w:type="dxa"/>
            <w:tcBorders>
              <w:top w:val="nil"/>
              <w:left w:val="nil"/>
              <w:bottom w:val="nil"/>
              <w:right w:val="nil"/>
            </w:tcBorders>
            <w:shd w:val="clear" w:color="auto" w:fill="auto"/>
            <w:vAlign w:val="center"/>
            <w:hideMark/>
          </w:tcPr>
          <w:p w14:paraId="0C5ABD81" w14:textId="77777777" w:rsidR="00726176" w:rsidRPr="001B015B" w:rsidRDefault="00726176"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2</w:t>
            </w:r>
          </w:p>
        </w:tc>
        <w:tc>
          <w:tcPr>
            <w:tcW w:w="1143" w:type="dxa"/>
            <w:tcBorders>
              <w:top w:val="nil"/>
              <w:left w:val="nil"/>
              <w:bottom w:val="nil"/>
              <w:right w:val="nil"/>
            </w:tcBorders>
            <w:shd w:val="clear" w:color="auto" w:fill="auto"/>
            <w:vAlign w:val="center"/>
            <w:hideMark/>
          </w:tcPr>
          <w:p w14:paraId="1024B5D7" w14:textId="77777777" w:rsidR="00726176" w:rsidRPr="001B015B" w:rsidRDefault="00726176"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3</w:t>
            </w:r>
          </w:p>
        </w:tc>
        <w:tc>
          <w:tcPr>
            <w:tcW w:w="992" w:type="dxa"/>
            <w:tcBorders>
              <w:top w:val="nil"/>
              <w:left w:val="nil"/>
              <w:bottom w:val="nil"/>
              <w:right w:val="nil"/>
            </w:tcBorders>
            <w:shd w:val="clear" w:color="auto" w:fill="auto"/>
            <w:vAlign w:val="center"/>
            <w:hideMark/>
          </w:tcPr>
          <w:p w14:paraId="6B60A084" w14:textId="77777777" w:rsidR="00726176" w:rsidRPr="001B015B" w:rsidRDefault="00726176"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POCI</w:t>
            </w:r>
          </w:p>
        </w:tc>
        <w:tc>
          <w:tcPr>
            <w:tcW w:w="992" w:type="dxa"/>
            <w:tcBorders>
              <w:top w:val="nil"/>
              <w:left w:val="nil"/>
              <w:bottom w:val="nil"/>
              <w:right w:val="nil"/>
            </w:tcBorders>
            <w:shd w:val="clear" w:color="auto" w:fill="auto"/>
            <w:vAlign w:val="center"/>
            <w:hideMark/>
          </w:tcPr>
          <w:p w14:paraId="74FAD69F" w14:textId="77777777" w:rsidR="00726176" w:rsidRPr="001B015B" w:rsidRDefault="00726176"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Ukupno</w:t>
            </w:r>
          </w:p>
        </w:tc>
      </w:tr>
      <w:tr w:rsidR="00726176" w:rsidRPr="001B015B" w14:paraId="42DAE5F7" w14:textId="77777777" w:rsidTr="00CA7F04">
        <w:trPr>
          <w:trHeight w:val="248"/>
        </w:trPr>
        <w:tc>
          <w:tcPr>
            <w:tcW w:w="4122" w:type="dxa"/>
            <w:tcBorders>
              <w:top w:val="nil"/>
              <w:left w:val="nil"/>
              <w:bottom w:val="nil"/>
              <w:right w:val="nil"/>
            </w:tcBorders>
            <w:shd w:val="clear" w:color="auto" w:fill="auto"/>
            <w:vAlign w:val="center"/>
            <w:hideMark/>
          </w:tcPr>
          <w:p w14:paraId="1DB871D0" w14:textId="77777777" w:rsidR="00726176" w:rsidRPr="001B015B" w:rsidRDefault="00726176" w:rsidP="00CA7F04">
            <w:pPr>
              <w:jc w:val="right"/>
              <w:rPr>
                <w:rFonts w:ascii="Arial" w:eastAsia="Calibri" w:hAnsi="Arial" w:cs="Arial"/>
                <w:b/>
                <w:bCs/>
                <w:color w:val="000000" w:themeColor="text1"/>
                <w:sz w:val="18"/>
                <w:szCs w:val="18"/>
              </w:rPr>
            </w:pPr>
          </w:p>
        </w:tc>
        <w:tc>
          <w:tcPr>
            <w:tcW w:w="1111" w:type="dxa"/>
            <w:tcBorders>
              <w:top w:val="nil"/>
              <w:left w:val="nil"/>
              <w:bottom w:val="nil"/>
              <w:right w:val="nil"/>
            </w:tcBorders>
            <w:shd w:val="clear" w:color="auto" w:fill="auto"/>
            <w:vAlign w:val="bottom"/>
            <w:hideMark/>
          </w:tcPr>
          <w:p w14:paraId="47F2FEB2" w14:textId="77777777" w:rsidR="00726176" w:rsidRPr="001B015B" w:rsidRDefault="00726176" w:rsidP="00CA7F04">
            <w:pPr>
              <w:jc w:val="right"/>
              <w:rPr>
                <w:rFonts w:ascii="Arial" w:eastAsia="Calibri" w:hAnsi="Arial" w:cs="Arial"/>
                <w:b/>
                <w:bCs/>
                <w:color w:val="000000" w:themeColor="text1"/>
                <w:sz w:val="18"/>
                <w:szCs w:val="18"/>
              </w:rPr>
            </w:pPr>
            <w:r w:rsidRPr="006539F7">
              <w:rPr>
                <w:rFonts w:ascii="Arial" w:eastAsia="Calibri" w:hAnsi="Arial" w:cs="Arial"/>
                <w:b/>
                <w:bCs/>
                <w:color w:val="000000" w:themeColor="text1"/>
                <w:sz w:val="18"/>
                <w:szCs w:val="18"/>
              </w:rPr>
              <w:t>000 eura</w:t>
            </w:r>
          </w:p>
        </w:tc>
        <w:tc>
          <w:tcPr>
            <w:tcW w:w="1034" w:type="dxa"/>
            <w:tcBorders>
              <w:top w:val="nil"/>
              <w:left w:val="nil"/>
              <w:bottom w:val="nil"/>
              <w:right w:val="nil"/>
            </w:tcBorders>
            <w:shd w:val="clear" w:color="auto" w:fill="auto"/>
            <w:vAlign w:val="bottom"/>
            <w:hideMark/>
          </w:tcPr>
          <w:p w14:paraId="5021CD1A" w14:textId="77777777" w:rsidR="00726176" w:rsidRPr="001B015B" w:rsidRDefault="00726176" w:rsidP="00CA7F04">
            <w:pPr>
              <w:jc w:val="right"/>
              <w:rPr>
                <w:rFonts w:ascii="Arial" w:eastAsia="Calibri" w:hAnsi="Arial" w:cs="Arial"/>
                <w:b/>
                <w:bCs/>
                <w:color w:val="000000" w:themeColor="text1"/>
                <w:sz w:val="18"/>
                <w:szCs w:val="18"/>
              </w:rPr>
            </w:pPr>
            <w:r w:rsidRPr="006539F7">
              <w:rPr>
                <w:rFonts w:ascii="Arial" w:eastAsia="Calibri" w:hAnsi="Arial" w:cs="Arial"/>
                <w:b/>
                <w:bCs/>
                <w:color w:val="000000" w:themeColor="text1"/>
                <w:sz w:val="18"/>
                <w:szCs w:val="18"/>
              </w:rPr>
              <w:t>000 eura</w:t>
            </w:r>
          </w:p>
        </w:tc>
        <w:tc>
          <w:tcPr>
            <w:tcW w:w="1143" w:type="dxa"/>
            <w:tcBorders>
              <w:top w:val="nil"/>
              <w:left w:val="nil"/>
              <w:bottom w:val="nil"/>
              <w:right w:val="nil"/>
            </w:tcBorders>
            <w:shd w:val="clear" w:color="auto" w:fill="auto"/>
            <w:vAlign w:val="bottom"/>
            <w:hideMark/>
          </w:tcPr>
          <w:p w14:paraId="3BC64180" w14:textId="77777777" w:rsidR="00726176" w:rsidRPr="001B015B" w:rsidRDefault="00726176" w:rsidP="00CA7F04">
            <w:pPr>
              <w:jc w:val="right"/>
              <w:rPr>
                <w:rFonts w:ascii="Arial" w:eastAsia="Calibri" w:hAnsi="Arial" w:cs="Arial"/>
                <w:b/>
                <w:bCs/>
                <w:color w:val="000000" w:themeColor="text1"/>
                <w:sz w:val="18"/>
                <w:szCs w:val="18"/>
              </w:rPr>
            </w:pPr>
            <w:r w:rsidRPr="006539F7">
              <w:rPr>
                <w:rFonts w:ascii="Arial" w:eastAsia="Calibri" w:hAnsi="Arial" w:cs="Arial"/>
                <w:b/>
                <w:bCs/>
                <w:color w:val="000000" w:themeColor="text1"/>
                <w:sz w:val="18"/>
                <w:szCs w:val="18"/>
              </w:rPr>
              <w:t>000 eura</w:t>
            </w:r>
          </w:p>
        </w:tc>
        <w:tc>
          <w:tcPr>
            <w:tcW w:w="992" w:type="dxa"/>
            <w:tcBorders>
              <w:top w:val="nil"/>
              <w:left w:val="nil"/>
              <w:bottom w:val="nil"/>
              <w:right w:val="nil"/>
            </w:tcBorders>
            <w:shd w:val="clear" w:color="auto" w:fill="auto"/>
            <w:vAlign w:val="bottom"/>
            <w:hideMark/>
          </w:tcPr>
          <w:p w14:paraId="3FCBAA49" w14:textId="77777777" w:rsidR="00726176" w:rsidRPr="001B015B" w:rsidRDefault="00726176" w:rsidP="00CA7F04">
            <w:pPr>
              <w:jc w:val="right"/>
              <w:rPr>
                <w:rFonts w:ascii="Arial" w:eastAsia="Calibri" w:hAnsi="Arial" w:cs="Arial"/>
                <w:b/>
                <w:bCs/>
                <w:color w:val="000000" w:themeColor="text1"/>
                <w:sz w:val="18"/>
                <w:szCs w:val="18"/>
              </w:rPr>
            </w:pPr>
            <w:r w:rsidRPr="006539F7">
              <w:rPr>
                <w:rFonts w:ascii="Arial" w:eastAsia="Calibri" w:hAnsi="Arial" w:cs="Arial"/>
                <w:b/>
                <w:bCs/>
                <w:color w:val="000000" w:themeColor="text1"/>
                <w:sz w:val="18"/>
                <w:szCs w:val="18"/>
              </w:rPr>
              <w:t>000 eura</w:t>
            </w:r>
          </w:p>
        </w:tc>
        <w:tc>
          <w:tcPr>
            <w:tcW w:w="992" w:type="dxa"/>
            <w:tcBorders>
              <w:top w:val="nil"/>
              <w:left w:val="nil"/>
              <w:bottom w:val="nil"/>
              <w:right w:val="nil"/>
            </w:tcBorders>
            <w:shd w:val="clear" w:color="auto" w:fill="auto"/>
            <w:vAlign w:val="bottom"/>
            <w:hideMark/>
          </w:tcPr>
          <w:p w14:paraId="035083BF" w14:textId="77777777" w:rsidR="00726176" w:rsidRPr="001B015B" w:rsidRDefault="00726176" w:rsidP="00CA7F04">
            <w:pPr>
              <w:jc w:val="right"/>
              <w:rPr>
                <w:rFonts w:ascii="Arial" w:eastAsia="Calibri" w:hAnsi="Arial" w:cs="Arial"/>
                <w:b/>
                <w:bCs/>
                <w:color w:val="000000" w:themeColor="text1"/>
                <w:sz w:val="18"/>
                <w:szCs w:val="18"/>
              </w:rPr>
            </w:pPr>
            <w:r w:rsidRPr="006539F7">
              <w:rPr>
                <w:rFonts w:ascii="Arial" w:eastAsia="Calibri" w:hAnsi="Arial" w:cs="Arial"/>
                <w:b/>
                <w:bCs/>
                <w:color w:val="000000" w:themeColor="text1"/>
                <w:sz w:val="18"/>
                <w:szCs w:val="18"/>
              </w:rPr>
              <w:t>000 eura</w:t>
            </w:r>
          </w:p>
        </w:tc>
      </w:tr>
      <w:tr w:rsidR="00726176" w:rsidRPr="001B015B" w14:paraId="4B03ABCF" w14:textId="77777777" w:rsidTr="00CA7F04">
        <w:trPr>
          <w:trHeight w:val="248"/>
        </w:trPr>
        <w:tc>
          <w:tcPr>
            <w:tcW w:w="4122" w:type="dxa"/>
            <w:tcBorders>
              <w:top w:val="nil"/>
              <w:left w:val="nil"/>
              <w:bottom w:val="nil"/>
              <w:right w:val="nil"/>
            </w:tcBorders>
            <w:shd w:val="clear" w:color="auto" w:fill="auto"/>
            <w:vAlign w:val="center"/>
          </w:tcPr>
          <w:p w14:paraId="62B51BAF" w14:textId="77777777" w:rsidR="00726176" w:rsidRPr="001B015B" w:rsidRDefault="00726176" w:rsidP="00CA7F04">
            <w:pPr>
              <w:jc w:val="right"/>
              <w:rPr>
                <w:rFonts w:ascii="Arial" w:eastAsia="Calibri" w:hAnsi="Arial" w:cs="Arial"/>
                <w:b/>
                <w:bCs/>
                <w:color w:val="000000" w:themeColor="text1"/>
                <w:sz w:val="18"/>
                <w:szCs w:val="18"/>
              </w:rPr>
            </w:pPr>
          </w:p>
        </w:tc>
        <w:tc>
          <w:tcPr>
            <w:tcW w:w="1111" w:type="dxa"/>
            <w:tcBorders>
              <w:top w:val="nil"/>
              <w:left w:val="nil"/>
              <w:bottom w:val="nil"/>
              <w:right w:val="nil"/>
            </w:tcBorders>
            <w:shd w:val="clear" w:color="auto" w:fill="auto"/>
            <w:vAlign w:val="center"/>
          </w:tcPr>
          <w:p w14:paraId="58F3E915" w14:textId="77777777" w:rsidR="00726176" w:rsidRPr="001B015B" w:rsidRDefault="00726176" w:rsidP="00CA7F04">
            <w:pPr>
              <w:jc w:val="right"/>
              <w:rPr>
                <w:rFonts w:ascii="Arial" w:eastAsia="Calibri" w:hAnsi="Arial" w:cs="Arial"/>
                <w:b/>
                <w:bCs/>
                <w:color w:val="000000" w:themeColor="text1"/>
                <w:sz w:val="18"/>
                <w:szCs w:val="18"/>
              </w:rPr>
            </w:pPr>
          </w:p>
        </w:tc>
        <w:tc>
          <w:tcPr>
            <w:tcW w:w="1034" w:type="dxa"/>
            <w:tcBorders>
              <w:top w:val="nil"/>
              <w:left w:val="nil"/>
              <w:bottom w:val="nil"/>
              <w:right w:val="nil"/>
            </w:tcBorders>
            <w:shd w:val="clear" w:color="auto" w:fill="auto"/>
            <w:vAlign w:val="center"/>
          </w:tcPr>
          <w:p w14:paraId="2041A2AC" w14:textId="77777777" w:rsidR="00726176" w:rsidRPr="001B015B" w:rsidRDefault="00726176" w:rsidP="00CA7F04">
            <w:pPr>
              <w:jc w:val="right"/>
              <w:rPr>
                <w:rFonts w:ascii="Arial" w:eastAsia="Calibri" w:hAnsi="Arial" w:cs="Arial"/>
                <w:b/>
                <w:bCs/>
                <w:color w:val="000000" w:themeColor="text1"/>
                <w:sz w:val="18"/>
                <w:szCs w:val="18"/>
              </w:rPr>
            </w:pPr>
          </w:p>
        </w:tc>
        <w:tc>
          <w:tcPr>
            <w:tcW w:w="1143" w:type="dxa"/>
            <w:tcBorders>
              <w:top w:val="nil"/>
              <w:left w:val="nil"/>
              <w:bottom w:val="nil"/>
              <w:right w:val="nil"/>
            </w:tcBorders>
            <w:shd w:val="clear" w:color="auto" w:fill="auto"/>
            <w:vAlign w:val="center"/>
          </w:tcPr>
          <w:p w14:paraId="110A645F" w14:textId="77777777" w:rsidR="00726176" w:rsidRPr="001B015B" w:rsidRDefault="00726176" w:rsidP="00CA7F04">
            <w:pPr>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center"/>
          </w:tcPr>
          <w:p w14:paraId="56B959B7" w14:textId="77777777" w:rsidR="00726176" w:rsidRPr="001B015B" w:rsidRDefault="00726176" w:rsidP="00CA7F04">
            <w:pPr>
              <w:jc w:val="right"/>
              <w:rPr>
                <w:rFonts w:ascii="Arial" w:eastAsia="Calibri" w:hAnsi="Arial" w:cs="Arial"/>
                <w:b/>
                <w:bCs/>
                <w:color w:val="000000" w:themeColor="text1"/>
                <w:sz w:val="18"/>
                <w:szCs w:val="18"/>
              </w:rPr>
            </w:pPr>
          </w:p>
        </w:tc>
        <w:tc>
          <w:tcPr>
            <w:tcW w:w="992" w:type="dxa"/>
            <w:tcBorders>
              <w:top w:val="nil"/>
              <w:left w:val="nil"/>
              <w:bottom w:val="nil"/>
              <w:right w:val="nil"/>
            </w:tcBorders>
            <w:shd w:val="clear" w:color="auto" w:fill="auto"/>
            <w:vAlign w:val="center"/>
          </w:tcPr>
          <w:p w14:paraId="1FB3AD14" w14:textId="77777777" w:rsidR="00726176" w:rsidRPr="001B015B" w:rsidRDefault="00726176" w:rsidP="00CA7F04">
            <w:pPr>
              <w:jc w:val="right"/>
              <w:rPr>
                <w:rFonts w:ascii="Arial" w:eastAsia="Calibri" w:hAnsi="Arial" w:cs="Arial"/>
                <w:b/>
                <w:bCs/>
                <w:color w:val="000000" w:themeColor="text1"/>
                <w:sz w:val="18"/>
                <w:szCs w:val="18"/>
              </w:rPr>
            </w:pPr>
          </w:p>
        </w:tc>
      </w:tr>
      <w:tr w:rsidR="00726176" w:rsidRPr="001B015B" w14:paraId="648F6114" w14:textId="77777777" w:rsidTr="00CA7F04">
        <w:trPr>
          <w:trHeight w:val="248"/>
        </w:trPr>
        <w:tc>
          <w:tcPr>
            <w:tcW w:w="4122" w:type="dxa"/>
            <w:tcBorders>
              <w:top w:val="nil"/>
              <w:left w:val="nil"/>
              <w:bottom w:val="nil"/>
              <w:right w:val="nil"/>
            </w:tcBorders>
            <w:shd w:val="clear" w:color="auto" w:fill="auto"/>
            <w:vAlign w:val="center"/>
            <w:hideMark/>
          </w:tcPr>
          <w:p w14:paraId="66E31257" w14:textId="77777777" w:rsidR="00726176" w:rsidRPr="001B015B" w:rsidRDefault="00726176"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3</w:t>
            </w:r>
            <w:r w:rsidRPr="001B015B">
              <w:rPr>
                <w:rFonts w:ascii="Arial" w:eastAsia="Calibri" w:hAnsi="Arial" w:cs="Arial"/>
                <w:color w:val="000000" w:themeColor="text1"/>
                <w:sz w:val="18"/>
                <w:szCs w:val="18"/>
              </w:rPr>
              <w:t xml:space="preserve">. </w:t>
            </w:r>
          </w:p>
        </w:tc>
        <w:tc>
          <w:tcPr>
            <w:tcW w:w="1111" w:type="dxa"/>
            <w:tcBorders>
              <w:top w:val="nil"/>
              <w:left w:val="nil"/>
              <w:bottom w:val="nil"/>
              <w:right w:val="nil"/>
            </w:tcBorders>
            <w:shd w:val="clear" w:color="auto" w:fill="auto"/>
            <w:vAlign w:val="bottom"/>
          </w:tcPr>
          <w:p w14:paraId="30439442" w14:textId="77777777" w:rsidR="00726176" w:rsidRPr="00593574" w:rsidRDefault="00726176" w:rsidP="00CA7F04">
            <w:pPr>
              <w:jc w:val="right"/>
              <w:rPr>
                <w:rFonts w:ascii="Arial" w:hAnsi="Arial" w:cs="Arial"/>
                <w:sz w:val="18"/>
                <w:szCs w:val="18"/>
              </w:rPr>
            </w:pPr>
            <w:r w:rsidRPr="00F959D0">
              <w:rPr>
                <w:rFonts w:ascii="Arial" w:hAnsi="Arial" w:cs="Arial"/>
                <w:sz w:val="18"/>
                <w:szCs w:val="18"/>
              </w:rPr>
              <w:t xml:space="preserve"> 3 </w:t>
            </w:r>
          </w:p>
        </w:tc>
        <w:tc>
          <w:tcPr>
            <w:tcW w:w="1034" w:type="dxa"/>
            <w:tcBorders>
              <w:top w:val="nil"/>
              <w:left w:val="nil"/>
              <w:bottom w:val="nil"/>
              <w:right w:val="nil"/>
            </w:tcBorders>
            <w:shd w:val="clear" w:color="auto" w:fill="auto"/>
            <w:vAlign w:val="bottom"/>
          </w:tcPr>
          <w:p w14:paraId="2B9B7D19" w14:textId="77777777" w:rsidR="00726176" w:rsidRPr="00593574" w:rsidRDefault="00726176" w:rsidP="00CA7F04">
            <w:pPr>
              <w:jc w:val="right"/>
              <w:rPr>
                <w:rFonts w:ascii="Arial" w:hAnsi="Arial" w:cs="Arial"/>
                <w:sz w:val="18"/>
                <w:szCs w:val="18"/>
              </w:rPr>
            </w:pPr>
            <w:r>
              <w:rPr>
                <w:rFonts w:ascii="Arial" w:hAnsi="Arial" w:cs="Arial"/>
                <w:sz w:val="18"/>
                <w:szCs w:val="18"/>
              </w:rPr>
              <w:t>-</w:t>
            </w:r>
          </w:p>
        </w:tc>
        <w:tc>
          <w:tcPr>
            <w:tcW w:w="1143" w:type="dxa"/>
            <w:tcBorders>
              <w:top w:val="nil"/>
              <w:left w:val="nil"/>
              <w:bottom w:val="nil"/>
              <w:right w:val="nil"/>
            </w:tcBorders>
            <w:shd w:val="clear" w:color="auto" w:fill="auto"/>
            <w:vAlign w:val="bottom"/>
          </w:tcPr>
          <w:p w14:paraId="071AE8C0" w14:textId="77777777" w:rsidR="00726176" w:rsidRPr="00593574" w:rsidRDefault="00726176" w:rsidP="00CA7F04">
            <w:pPr>
              <w:jc w:val="right"/>
              <w:rPr>
                <w:rFonts w:ascii="Arial" w:hAnsi="Arial" w:cs="Arial"/>
                <w:sz w:val="18"/>
                <w:szCs w:val="18"/>
              </w:rPr>
            </w:pPr>
            <w:r w:rsidRPr="00F959D0">
              <w:rPr>
                <w:rFonts w:ascii="Arial" w:hAnsi="Arial" w:cs="Arial"/>
                <w:sz w:val="18"/>
                <w:szCs w:val="18"/>
              </w:rPr>
              <w:t xml:space="preserve"> 4.631 </w:t>
            </w:r>
          </w:p>
        </w:tc>
        <w:tc>
          <w:tcPr>
            <w:tcW w:w="992" w:type="dxa"/>
            <w:tcBorders>
              <w:top w:val="nil"/>
              <w:left w:val="nil"/>
              <w:bottom w:val="nil"/>
              <w:right w:val="nil"/>
            </w:tcBorders>
            <w:shd w:val="clear" w:color="auto" w:fill="auto"/>
            <w:vAlign w:val="bottom"/>
          </w:tcPr>
          <w:p w14:paraId="2E5FB7DC" w14:textId="77777777" w:rsidR="00726176" w:rsidRPr="00593574" w:rsidRDefault="00726176" w:rsidP="00CA7F04">
            <w:pPr>
              <w:jc w:val="right"/>
              <w:rPr>
                <w:rFonts w:ascii="Arial" w:hAnsi="Arial" w:cs="Arial"/>
                <w:sz w:val="18"/>
                <w:szCs w:val="18"/>
              </w:rPr>
            </w:pPr>
            <w:r w:rsidRPr="00F959D0">
              <w:rPr>
                <w:rFonts w:ascii="Arial" w:hAnsi="Arial" w:cs="Arial"/>
                <w:sz w:val="18"/>
                <w:szCs w:val="18"/>
              </w:rPr>
              <w:t xml:space="preserve"> 35 </w:t>
            </w:r>
          </w:p>
        </w:tc>
        <w:tc>
          <w:tcPr>
            <w:tcW w:w="992" w:type="dxa"/>
            <w:tcBorders>
              <w:top w:val="nil"/>
              <w:left w:val="nil"/>
              <w:bottom w:val="nil"/>
              <w:right w:val="nil"/>
            </w:tcBorders>
            <w:shd w:val="clear" w:color="auto" w:fill="auto"/>
            <w:vAlign w:val="bottom"/>
          </w:tcPr>
          <w:p w14:paraId="291D4FE9" w14:textId="77777777" w:rsidR="00726176" w:rsidRPr="005D1219" w:rsidRDefault="00726176" w:rsidP="00CA7F04">
            <w:pPr>
              <w:jc w:val="right"/>
              <w:rPr>
                <w:rFonts w:ascii="Arial" w:hAnsi="Arial" w:cs="Arial"/>
                <w:b/>
                <w:bCs/>
                <w:sz w:val="18"/>
                <w:szCs w:val="18"/>
              </w:rPr>
            </w:pPr>
            <w:r w:rsidRPr="005D1219">
              <w:rPr>
                <w:rFonts w:ascii="Arial" w:hAnsi="Arial" w:cs="Arial"/>
                <w:b/>
                <w:bCs/>
                <w:sz w:val="18"/>
                <w:szCs w:val="18"/>
              </w:rPr>
              <w:t xml:space="preserve"> 4.669 </w:t>
            </w:r>
          </w:p>
        </w:tc>
      </w:tr>
      <w:tr w:rsidR="00726176" w:rsidRPr="001B015B" w14:paraId="5ED35C83" w14:textId="77777777" w:rsidTr="00CA7F04">
        <w:trPr>
          <w:trHeight w:val="248"/>
        </w:trPr>
        <w:tc>
          <w:tcPr>
            <w:tcW w:w="4122" w:type="dxa"/>
            <w:tcBorders>
              <w:top w:val="nil"/>
              <w:left w:val="nil"/>
              <w:bottom w:val="nil"/>
              <w:right w:val="nil"/>
            </w:tcBorders>
            <w:shd w:val="clear" w:color="auto" w:fill="auto"/>
          </w:tcPr>
          <w:p w14:paraId="6B8C2863" w14:textId="77777777" w:rsidR="00726176" w:rsidRPr="001B015B" w:rsidRDefault="00726176"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1</w:t>
            </w:r>
          </w:p>
        </w:tc>
        <w:tc>
          <w:tcPr>
            <w:tcW w:w="1111" w:type="dxa"/>
            <w:tcBorders>
              <w:top w:val="nil"/>
              <w:left w:val="nil"/>
              <w:right w:val="nil"/>
            </w:tcBorders>
            <w:shd w:val="clear" w:color="auto" w:fill="auto"/>
            <w:vAlign w:val="bottom"/>
          </w:tcPr>
          <w:p w14:paraId="7AF63BEC" w14:textId="77777777" w:rsidR="00726176" w:rsidRPr="00593574" w:rsidRDefault="00726176" w:rsidP="00CA7F04">
            <w:pPr>
              <w:jc w:val="right"/>
              <w:rPr>
                <w:rFonts w:ascii="Arial" w:hAnsi="Arial" w:cs="Arial"/>
                <w:sz w:val="18"/>
                <w:szCs w:val="18"/>
              </w:rPr>
            </w:pPr>
            <w:r w:rsidRPr="003759CC">
              <w:rPr>
                <w:rFonts w:ascii="Arial" w:hAnsi="Arial" w:cs="Arial"/>
                <w:sz w:val="18"/>
                <w:szCs w:val="18"/>
              </w:rPr>
              <w:t xml:space="preserve"> - </w:t>
            </w:r>
          </w:p>
        </w:tc>
        <w:tc>
          <w:tcPr>
            <w:tcW w:w="1034" w:type="dxa"/>
            <w:tcBorders>
              <w:top w:val="nil"/>
              <w:left w:val="nil"/>
              <w:right w:val="nil"/>
            </w:tcBorders>
            <w:shd w:val="clear" w:color="auto" w:fill="auto"/>
            <w:vAlign w:val="bottom"/>
          </w:tcPr>
          <w:p w14:paraId="5365C48B" w14:textId="77777777" w:rsidR="00726176" w:rsidRPr="00593574" w:rsidRDefault="00726176" w:rsidP="00CA7F04">
            <w:pPr>
              <w:jc w:val="right"/>
              <w:rPr>
                <w:rFonts w:ascii="Arial" w:hAnsi="Arial" w:cs="Arial"/>
                <w:sz w:val="18"/>
                <w:szCs w:val="18"/>
              </w:rPr>
            </w:pPr>
            <w:r w:rsidRPr="003759CC">
              <w:rPr>
                <w:rFonts w:ascii="Arial" w:hAnsi="Arial" w:cs="Arial"/>
                <w:sz w:val="18"/>
                <w:szCs w:val="18"/>
              </w:rPr>
              <w:t xml:space="preserve"> - </w:t>
            </w:r>
          </w:p>
        </w:tc>
        <w:tc>
          <w:tcPr>
            <w:tcW w:w="1143" w:type="dxa"/>
            <w:tcBorders>
              <w:top w:val="nil"/>
              <w:left w:val="nil"/>
              <w:right w:val="nil"/>
            </w:tcBorders>
            <w:shd w:val="clear" w:color="auto" w:fill="auto"/>
            <w:vAlign w:val="bottom"/>
          </w:tcPr>
          <w:p w14:paraId="0231F36C" w14:textId="77777777" w:rsidR="00726176" w:rsidRPr="00593574" w:rsidRDefault="00726176" w:rsidP="00CA7F04">
            <w:pPr>
              <w:jc w:val="right"/>
              <w:rPr>
                <w:rFonts w:ascii="Arial" w:hAnsi="Arial" w:cs="Arial"/>
                <w:sz w:val="18"/>
                <w:szCs w:val="18"/>
              </w:rPr>
            </w:pPr>
            <w:r w:rsidRPr="003759CC">
              <w:rPr>
                <w:rFonts w:ascii="Arial" w:hAnsi="Arial" w:cs="Arial"/>
                <w:sz w:val="18"/>
                <w:szCs w:val="18"/>
              </w:rPr>
              <w:t xml:space="preserve"> - </w:t>
            </w:r>
          </w:p>
        </w:tc>
        <w:tc>
          <w:tcPr>
            <w:tcW w:w="992" w:type="dxa"/>
            <w:tcBorders>
              <w:top w:val="nil"/>
              <w:left w:val="nil"/>
              <w:right w:val="nil"/>
            </w:tcBorders>
            <w:shd w:val="clear" w:color="auto" w:fill="auto"/>
            <w:vAlign w:val="bottom"/>
          </w:tcPr>
          <w:p w14:paraId="5154316D" w14:textId="77777777" w:rsidR="00726176" w:rsidRPr="00593574" w:rsidRDefault="00726176" w:rsidP="00CA7F04">
            <w:pPr>
              <w:jc w:val="right"/>
              <w:rPr>
                <w:rFonts w:ascii="Arial" w:hAnsi="Arial" w:cs="Arial"/>
                <w:sz w:val="18"/>
                <w:szCs w:val="18"/>
              </w:rPr>
            </w:pPr>
            <w:r w:rsidRPr="003759CC">
              <w:rPr>
                <w:rFonts w:ascii="Arial" w:hAnsi="Arial" w:cs="Arial"/>
                <w:sz w:val="18"/>
                <w:szCs w:val="18"/>
              </w:rPr>
              <w:t xml:space="preserve"> - </w:t>
            </w:r>
          </w:p>
        </w:tc>
        <w:tc>
          <w:tcPr>
            <w:tcW w:w="992" w:type="dxa"/>
            <w:tcBorders>
              <w:top w:val="nil"/>
              <w:left w:val="nil"/>
              <w:bottom w:val="nil"/>
              <w:right w:val="nil"/>
            </w:tcBorders>
            <w:shd w:val="clear" w:color="auto" w:fill="auto"/>
            <w:vAlign w:val="bottom"/>
          </w:tcPr>
          <w:p w14:paraId="25F90F79" w14:textId="77777777" w:rsidR="00726176" w:rsidRPr="005D1219" w:rsidRDefault="00726176" w:rsidP="00CA7F04">
            <w:pPr>
              <w:jc w:val="right"/>
              <w:rPr>
                <w:rFonts w:ascii="Arial" w:hAnsi="Arial" w:cs="Arial"/>
                <w:b/>
                <w:bCs/>
                <w:sz w:val="18"/>
                <w:szCs w:val="18"/>
              </w:rPr>
            </w:pPr>
            <w:r w:rsidRPr="005D1219">
              <w:rPr>
                <w:rFonts w:ascii="Arial" w:hAnsi="Arial" w:cs="Arial"/>
                <w:b/>
                <w:bCs/>
                <w:sz w:val="18"/>
                <w:szCs w:val="18"/>
              </w:rPr>
              <w:t xml:space="preserve"> - </w:t>
            </w:r>
          </w:p>
        </w:tc>
      </w:tr>
      <w:tr w:rsidR="00726176" w:rsidRPr="001B015B" w14:paraId="71758E8C" w14:textId="77777777" w:rsidTr="00CA7F04">
        <w:trPr>
          <w:trHeight w:val="248"/>
        </w:trPr>
        <w:tc>
          <w:tcPr>
            <w:tcW w:w="4122" w:type="dxa"/>
            <w:tcBorders>
              <w:top w:val="nil"/>
              <w:left w:val="nil"/>
              <w:bottom w:val="nil"/>
              <w:right w:val="nil"/>
            </w:tcBorders>
            <w:shd w:val="clear" w:color="auto" w:fill="auto"/>
          </w:tcPr>
          <w:p w14:paraId="6D90F956" w14:textId="77777777" w:rsidR="00726176" w:rsidRPr="001B015B" w:rsidRDefault="00726176"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2</w:t>
            </w:r>
          </w:p>
        </w:tc>
        <w:tc>
          <w:tcPr>
            <w:tcW w:w="1111" w:type="dxa"/>
            <w:tcBorders>
              <w:top w:val="nil"/>
              <w:left w:val="nil"/>
              <w:right w:val="nil"/>
            </w:tcBorders>
            <w:shd w:val="clear" w:color="auto" w:fill="auto"/>
            <w:vAlign w:val="bottom"/>
          </w:tcPr>
          <w:p w14:paraId="6DBA39B9" w14:textId="77777777" w:rsidR="00726176" w:rsidRPr="00593574" w:rsidRDefault="00726176" w:rsidP="00CA7F04">
            <w:pPr>
              <w:jc w:val="right"/>
              <w:rPr>
                <w:rFonts w:ascii="Arial" w:hAnsi="Arial" w:cs="Arial"/>
                <w:sz w:val="18"/>
                <w:szCs w:val="18"/>
              </w:rPr>
            </w:pPr>
            <w:r w:rsidRPr="003759CC">
              <w:rPr>
                <w:rFonts w:ascii="Arial" w:hAnsi="Arial" w:cs="Arial"/>
                <w:sz w:val="18"/>
                <w:szCs w:val="18"/>
              </w:rPr>
              <w:t xml:space="preserve"> - </w:t>
            </w:r>
          </w:p>
        </w:tc>
        <w:tc>
          <w:tcPr>
            <w:tcW w:w="1034" w:type="dxa"/>
            <w:tcBorders>
              <w:top w:val="nil"/>
              <w:left w:val="nil"/>
              <w:right w:val="nil"/>
            </w:tcBorders>
            <w:shd w:val="clear" w:color="auto" w:fill="auto"/>
            <w:vAlign w:val="bottom"/>
          </w:tcPr>
          <w:p w14:paraId="1C455430" w14:textId="77777777" w:rsidR="00726176" w:rsidRPr="00593574" w:rsidRDefault="00726176" w:rsidP="00CA7F04">
            <w:pPr>
              <w:jc w:val="right"/>
              <w:rPr>
                <w:rFonts w:ascii="Arial" w:hAnsi="Arial" w:cs="Arial"/>
                <w:sz w:val="18"/>
                <w:szCs w:val="18"/>
              </w:rPr>
            </w:pPr>
            <w:r w:rsidRPr="003759CC">
              <w:rPr>
                <w:rFonts w:ascii="Arial" w:hAnsi="Arial" w:cs="Arial"/>
                <w:sz w:val="18"/>
                <w:szCs w:val="18"/>
              </w:rPr>
              <w:t xml:space="preserve"> - </w:t>
            </w:r>
          </w:p>
        </w:tc>
        <w:tc>
          <w:tcPr>
            <w:tcW w:w="1143" w:type="dxa"/>
            <w:tcBorders>
              <w:top w:val="nil"/>
              <w:left w:val="nil"/>
              <w:right w:val="nil"/>
            </w:tcBorders>
            <w:shd w:val="clear" w:color="auto" w:fill="auto"/>
            <w:vAlign w:val="bottom"/>
          </w:tcPr>
          <w:p w14:paraId="2ABB7128" w14:textId="77777777" w:rsidR="00726176" w:rsidRPr="00593574" w:rsidRDefault="00726176" w:rsidP="00CA7F04">
            <w:pPr>
              <w:jc w:val="right"/>
              <w:rPr>
                <w:rFonts w:ascii="Arial" w:hAnsi="Arial" w:cs="Arial"/>
                <w:sz w:val="18"/>
                <w:szCs w:val="18"/>
              </w:rPr>
            </w:pPr>
            <w:r w:rsidRPr="003759CC">
              <w:rPr>
                <w:rFonts w:ascii="Arial" w:hAnsi="Arial" w:cs="Arial"/>
                <w:sz w:val="18"/>
                <w:szCs w:val="18"/>
              </w:rPr>
              <w:t xml:space="preserve"> - </w:t>
            </w:r>
          </w:p>
        </w:tc>
        <w:tc>
          <w:tcPr>
            <w:tcW w:w="992" w:type="dxa"/>
            <w:tcBorders>
              <w:top w:val="nil"/>
              <w:left w:val="nil"/>
              <w:right w:val="nil"/>
            </w:tcBorders>
            <w:shd w:val="clear" w:color="auto" w:fill="auto"/>
            <w:vAlign w:val="bottom"/>
          </w:tcPr>
          <w:p w14:paraId="73F0DC73" w14:textId="77777777" w:rsidR="00726176" w:rsidRPr="00593574" w:rsidRDefault="00726176" w:rsidP="00CA7F04">
            <w:pPr>
              <w:jc w:val="right"/>
              <w:rPr>
                <w:rFonts w:ascii="Arial" w:hAnsi="Arial" w:cs="Arial"/>
                <w:sz w:val="18"/>
                <w:szCs w:val="18"/>
              </w:rPr>
            </w:pPr>
            <w:r w:rsidRPr="003759CC">
              <w:rPr>
                <w:rFonts w:ascii="Arial" w:hAnsi="Arial" w:cs="Arial"/>
                <w:sz w:val="18"/>
                <w:szCs w:val="18"/>
              </w:rPr>
              <w:t xml:space="preserve"> - </w:t>
            </w:r>
          </w:p>
        </w:tc>
        <w:tc>
          <w:tcPr>
            <w:tcW w:w="992" w:type="dxa"/>
            <w:tcBorders>
              <w:top w:val="nil"/>
              <w:left w:val="nil"/>
              <w:bottom w:val="nil"/>
              <w:right w:val="nil"/>
            </w:tcBorders>
            <w:shd w:val="clear" w:color="auto" w:fill="auto"/>
            <w:vAlign w:val="bottom"/>
          </w:tcPr>
          <w:p w14:paraId="7A462E92" w14:textId="77777777" w:rsidR="00726176" w:rsidRPr="005D1219" w:rsidRDefault="00726176" w:rsidP="00CA7F04">
            <w:pPr>
              <w:jc w:val="right"/>
              <w:rPr>
                <w:rFonts w:ascii="Arial" w:hAnsi="Arial" w:cs="Arial"/>
                <w:b/>
                <w:bCs/>
                <w:sz w:val="18"/>
                <w:szCs w:val="18"/>
              </w:rPr>
            </w:pPr>
            <w:r w:rsidRPr="005D1219">
              <w:rPr>
                <w:rFonts w:ascii="Arial" w:hAnsi="Arial" w:cs="Arial"/>
                <w:b/>
                <w:bCs/>
                <w:sz w:val="18"/>
                <w:szCs w:val="18"/>
              </w:rPr>
              <w:t xml:space="preserve"> - </w:t>
            </w:r>
          </w:p>
        </w:tc>
      </w:tr>
      <w:tr w:rsidR="00726176" w:rsidRPr="001B015B" w14:paraId="2DE8C95D" w14:textId="77777777" w:rsidTr="00CA7F04">
        <w:trPr>
          <w:trHeight w:val="248"/>
        </w:trPr>
        <w:tc>
          <w:tcPr>
            <w:tcW w:w="4122" w:type="dxa"/>
            <w:tcBorders>
              <w:top w:val="nil"/>
              <w:left w:val="nil"/>
              <w:bottom w:val="nil"/>
              <w:right w:val="nil"/>
            </w:tcBorders>
            <w:shd w:val="clear" w:color="auto" w:fill="auto"/>
            <w:hideMark/>
          </w:tcPr>
          <w:p w14:paraId="45EA8646" w14:textId="77777777" w:rsidR="00726176" w:rsidRPr="001B015B" w:rsidRDefault="00726176"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3</w:t>
            </w:r>
          </w:p>
        </w:tc>
        <w:tc>
          <w:tcPr>
            <w:tcW w:w="1111" w:type="dxa"/>
            <w:tcBorders>
              <w:top w:val="nil"/>
              <w:left w:val="nil"/>
              <w:right w:val="nil"/>
            </w:tcBorders>
            <w:shd w:val="clear" w:color="auto" w:fill="auto"/>
            <w:vAlign w:val="bottom"/>
          </w:tcPr>
          <w:p w14:paraId="512DF72E" w14:textId="77777777" w:rsidR="00726176" w:rsidRPr="00593574" w:rsidRDefault="00726176" w:rsidP="00CA7F04">
            <w:pPr>
              <w:jc w:val="right"/>
              <w:rPr>
                <w:rFonts w:ascii="Arial" w:hAnsi="Arial" w:cs="Arial"/>
                <w:sz w:val="18"/>
                <w:szCs w:val="18"/>
              </w:rPr>
            </w:pPr>
            <w:r w:rsidRPr="003759CC">
              <w:rPr>
                <w:rFonts w:ascii="Arial" w:hAnsi="Arial" w:cs="Arial"/>
                <w:sz w:val="18"/>
                <w:szCs w:val="18"/>
              </w:rPr>
              <w:t xml:space="preserve"> - </w:t>
            </w:r>
          </w:p>
        </w:tc>
        <w:tc>
          <w:tcPr>
            <w:tcW w:w="1034" w:type="dxa"/>
            <w:tcBorders>
              <w:top w:val="nil"/>
              <w:left w:val="nil"/>
              <w:right w:val="nil"/>
            </w:tcBorders>
            <w:shd w:val="clear" w:color="auto" w:fill="auto"/>
            <w:vAlign w:val="bottom"/>
          </w:tcPr>
          <w:p w14:paraId="6B70920D" w14:textId="77777777" w:rsidR="00726176" w:rsidRPr="00593574" w:rsidRDefault="00726176" w:rsidP="00CA7F04">
            <w:pPr>
              <w:jc w:val="right"/>
              <w:rPr>
                <w:rFonts w:ascii="Arial" w:hAnsi="Arial" w:cs="Arial"/>
                <w:sz w:val="18"/>
                <w:szCs w:val="18"/>
              </w:rPr>
            </w:pPr>
            <w:r w:rsidRPr="003759CC">
              <w:rPr>
                <w:rFonts w:ascii="Arial" w:hAnsi="Arial" w:cs="Arial"/>
                <w:sz w:val="18"/>
                <w:szCs w:val="18"/>
              </w:rPr>
              <w:t xml:space="preserve"> - </w:t>
            </w:r>
          </w:p>
        </w:tc>
        <w:tc>
          <w:tcPr>
            <w:tcW w:w="1143" w:type="dxa"/>
            <w:tcBorders>
              <w:top w:val="nil"/>
              <w:left w:val="nil"/>
              <w:right w:val="nil"/>
            </w:tcBorders>
            <w:shd w:val="clear" w:color="auto" w:fill="auto"/>
            <w:vAlign w:val="bottom"/>
          </w:tcPr>
          <w:p w14:paraId="589FDD9B" w14:textId="77777777" w:rsidR="00726176" w:rsidRPr="00593574" w:rsidRDefault="00726176" w:rsidP="00CA7F04">
            <w:pPr>
              <w:jc w:val="right"/>
              <w:rPr>
                <w:rFonts w:ascii="Arial" w:hAnsi="Arial" w:cs="Arial"/>
                <w:sz w:val="18"/>
                <w:szCs w:val="18"/>
              </w:rPr>
            </w:pPr>
            <w:r w:rsidRPr="003759CC">
              <w:rPr>
                <w:rFonts w:ascii="Arial" w:hAnsi="Arial" w:cs="Arial"/>
                <w:sz w:val="18"/>
                <w:szCs w:val="18"/>
              </w:rPr>
              <w:t xml:space="preserve"> - </w:t>
            </w:r>
          </w:p>
        </w:tc>
        <w:tc>
          <w:tcPr>
            <w:tcW w:w="992" w:type="dxa"/>
            <w:tcBorders>
              <w:top w:val="nil"/>
              <w:left w:val="nil"/>
              <w:right w:val="nil"/>
            </w:tcBorders>
            <w:shd w:val="clear" w:color="auto" w:fill="auto"/>
            <w:vAlign w:val="bottom"/>
          </w:tcPr>
          <w:p w14:paraId="080557E8" w14:textId="77777777" w:rsidR="00726176" w:rsidRPr="00593574" w:rsidRDefault="00726176" w:rsidP="00CA7F04">
            <w:pPr>
              <w:jc w:val="right"/>
              <w:rPr>
                <w:rFonts w:ascii="Arial" w:hAnsi="Arial" w:cs="Arial"/>
                <w:sz w:val="18"/>
                <w:szCs w:val="18"/>
              </w:rPr>
            </w:pPr>
            <w:r w:rsidRPr="003759CC">
              <w:rPr>
                <w:rFonts w:ascii="Arial" w:hAnsi="Arial" w:cs="Arial"/>
                <w:sz w:val="18"/>
                <w:szCs w:val="18"/>
              </w:rPr>
              <w:t xml:space="preserve"> - </w:t>
            </w:r>
          </w:p>
        </w:tc>
        <w:tc>
          <w:tcPr>
            <w:tcW w:w="992" w:type="dxa"/>
            <w:tcBorders>
              <w:top w:val="nil"/>
              <w:left w:val="nil"/>
              <w:bottom w:val="nil"/>
              <w:right w:val="nil"/>
            </w:tcBorders>
            <w:shd w:val="clear" w:color="auto" w:fill="auto"/>
            <w:vAlign w:val="bottom"/>
          </w:tcPr>
          <w:p w14:paraId="500A1587" w14:textId="77777777" w:rsidR="00726176" w:rsidRPr="005D1219" w:rsidRDefault="00726176" w:rsidP="00CA7F04">
            <w:pPr>
              <w:jc w:val="right"/>
              <w:rPr>
                <w:rFonts w:ascii="Arial" w:hAnsi="Arial" w:cs="Arial"/>
                <w:b/>
                <w:bCs/>
                <w:sz w:val="18"/>
                <w:szCs w:val="18"/>
              </w:rPr>
            </w:pPr>
            <w:r w:rsidRPr="005D1219">
              <w:rPr>
                <w:rFonts w:ascii="Arial" w:hAnsi="Arial" w:cs="Arial"/>
                <w:b/>
                <w:bCs/>
                <w:sz w:val="18"/>
                <w:szCs w:val="18"/>
              </w:rPr>
              <w:t xml:space="preserve"> - </w:t>
            </w:r>
          </w:p>
        </w:tc>
      </w:tr>
      <w:tr w:rsidR="00726176" w:rsidRPr="001B015B" w14:paraId="4D1376F4" w14:textId="77777777" w:rsidTr="00CA7F04">
        <w:trPr>
          <w:trHeight w:val="311"/>
        </w:trPr>
        <w:tc>
          <w:tcPr>
            <w:tcW w:w="4122" w:type="dxa"/>
            <w:tcBorders>
              <w:top w:val="nil"/>
              <w:left w:val="nil"/>
              <w:bottom w:val="nil"/>
              <w:right w:val="nil"/>
            </w:tcBorders>
            <w:shd w:val="clear" w:color="auto" w:fill="auto"/>
            <w:vAlign w:val="center"/>
            <w:hideMark/>
          </w:tcPr>
          <w:p w14:paraId="5681CF26" w14:textId="77777777" w:rsidR="00726176" w:rsidRPr="001B015B" w:rsidRDefault="00726176"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 xml:space="preserve">Neto </w:t>
            </w:r>
            <w:r w:rsidRPr="00593574">
              <w:rPr>
                <w:rFonts w:ascii="Arial" w:eastAsia="Calibri" w:hAnsi="Arial" w:cs="Arial"/>
                <w:color w:val="000000" w:themeColor="text1"/>
                <w:sz w:val="18"/>
                <w:szCs w:val="18"/>
              </w:rPr>
              <w:t>povećanje/(smanjenje)</w:t>
            </w:r>
            <w:r>
              <w:rPr>
                <w:rFonts w:ascii="Arial" w:eastAsia="Calibri" w:hAnsi="Arial" w:cs="Arial"/>
                <w:color w:val="000000" w:themeColor="text1"/>
                <w:sz w:val="18"/>
                <w:szCs w:val="18"/>
              </w:rPr>
              <w:t xml:space="preserve"> </w:t>
            </w:r>
            <w:r w:rsidRPr="001B015B">
              <w:rPr>
                <w:rFonts w:ascii="Arial" w:eastAsia="Calibri" w:hAnsi="Arial" w:cs="Arial"/>
                <w:color w:val="000000" w:themeColor="text1"/>
                <w:sz w:val="18"/>
                <w:szCs w:val="18"/>
              </w:rPr>
              <w:t xml:space="preserve">rezerviranja za očekivane gubitke </w:t>
            </w:r>
          </w:p>
        </w:tc>
        <w:tc>
          <w:tcPr>
            <w:tcW w:w="1111" w:type="dxa"/>
            <w:tcBorders>
              <w:top w:val="nil"/>
              <w:left w:val="nil"/>
              <w:bottom w:val="nil"/>
              <w:right w:val="nil"/>
            </w:tcBorders>
            <w:shd w:val="clear" w:color="auto" w:fill="auto"/>
            <w:vAlign w:val="bottom"/>
          </w:tcPr>
          <w:p w14:paraId="4CF4C0E4" w14:textId="77777777" w:rsidR="00726176" w:rsidRPr="00593574" w:rsidRDefault="00726176" w:rsidP="00CA7F04">
            <w:pPr>
              <w:jc w:val="right"/>
              <w:rPr>
                <w:rFonts w:ascii="Arial" w:hAnsi="Arial" w:cs="Arial"/>
                <w:sz w:val="18"/>
                <w:szCs w:val="18"/>
              </w:rPr>
            </w:pPr>
            <w:r w:rsidRPr="00F959D0">
              <w:rPr>
                <w:rFonts w:ascii="Arial" w:hAnsi="Arial" w:cs="Arial"/>
                <w:sz w:val="18"/>
                <w:szCs w:val="18"/>
              </w:rPr>
              <w:t xml:space="preserve"> 16 </w:t>
            </w:r>
          </w:p>
        </w:tc>
        <w:tc>
          <w:tcPr>
            <w:tcW w:w="1034" w:type="dxa"/>
            <w:tcBorders>
              <w:top w:val="nil"/>
              <w:left w:val="nil"/>
              <w:bottom w:val="nil"/>
              <w:right w:val="nil"/>
            </w:tcBorders>
            <w:shd w:val="clear" w:color="auto" w:fill="auto"/>
            <w:vAlign w:val="bottom"/>
          </w:tcPr>
          <w:p w14:paraId="6498CDBB" w14:textId="77777777" w:rsidR="00726176" w:rsidRPr="00593574" w:rsidRDefault="00726176" w:rsidP="00CA7F04">
            <w:pPr>
              <w:jc w:val="right"/>
              <w:rPr>
                <w:rFonts w:ascii="Arial" w:hAnsi="Arial" w:cs="Arial"/>
                <w:sz w:val="18"/>
                <w:szCs w:val="18"/>
              </w:rPr>
            </w:pPr>
            <w:r w:rsidRPr="00F959D0">
              <w:rPr>
                <w:rFonts w:ascii="Arial" w:hAnsi="Arial" w:cs="Arial"/>
                <w:sz w:val="18"/>
                <w:szCs w:val="18"/>
              </w:rPr>
              <w:t xml:space="preserve"> 1 </w:t>
            </w:r>
          </w:p>
        </w:tc>
        <w:tc>
          <w:tcPr>
            <w:tcW w:w="1143" w:type="dxa"/>
            <w:tcBorders>
              <w:top w:val="nil"/>
              <w:left w:val="nil"/>
              <w:bottom w:val="nil"/>
              <w:right w:val="nil"/>
            </w:tcBorders>
            <w:shd w:val="clear" w:color="auto" w:fill="auto"/>
            <w:vAlign w:val="bottom"/>
          </w:tcPr>
          <w:p w14:paraId="55197625" w14:textId="77777777" w:rsidR="00726176" w:rsidRPr="00593574" w:rsidRDefault="00726176" w:rsidP="00CA7F04">
            <w:pPr>
              <w:jc w:val="right"/>
              <w:rPr>
                <w:rFonts w:ascii="Arial" w:hAnsi="Arial" w:cs="Arial"/>
                <w:sz w:val="18"/>
                <w:szCs w:val="18"/>
              </w:rPr>
            </w:pPr>
            <w:r w:rsidRPr="00F959D0">
              <w:rPr>
                <w:rFonts w:ascii="Arial" w:hAnsi="Arial" w:cs="Arial"/>
                <w:sz w:val="18"/>
                <w:szCs w:val="18"/>
              </w:rPr>
              <w:t xml:space="preserve"> (206)</w:t>
            </w:r>
          </w:p>
        </w:tc>
        <w:tc>
          <w:tcPr>
            <w:tcW w:w="992" w:type="dxa"/>
            <w:tcBorders>
              <w:top w:val="nil"/>
              <w:left w:val="nil"/>
              <w:bottom w:val="nil"/>
              <w:right w:val="nil"/>
            </w:tcBorders>
            <w:shd w:val="clear" w:color="auto" w:fill="auto"/>
            <w:vAlign w:val="bottom"/>
          </w:tcPr>
          <w:p w14:paraId="4CD642E8" w14:textId="77777777" w:rsidR="00726176" w:rsidRPr="00593574" w:rsidRDefault="00726176" w:rsidP="00CA7F04">
            <w:pPr>
              <w:jc w:val="right"/>
              <w:rPr>
                <w:rFonts w:ascii="Arial" w:hAnsi="Arial" w:cs="Arial"/>
                <w:sz w:val="18"/>
                <w:szCs w:val="18"/>
              </w:rPr>
            </w:pPr>
            <w:r w:rsidRPr="00F959D0">
              <w:rPr>
                <w:rFonts w:ascii="Arial" w:hAnsi="Arial" w:cs="Arial"/>
                <w:sz w:val="18"/>
                <w:szCs w:val="18"/>
              </w:rPr>
              <w:t xml:space="preserve"> (4)</w:t>
            </w:r>
          </w:p>
        </w:tc>
        <w:tc>
          <w:tcPr>
            <w:tcW w:w="992" w:type="dxa"/>
            <w:tcBorders>
              <w:top w:val="nil"/>
              <w:left w:val="nil"/>
              <w:bottom w:val="nil"/>
              <w:right w:val="nil"/>
            </w:tcBorders>
            <w:shd w:val="clear" w:color="auto" w:fill="auto"/>
            <w:vAlign w:val="bottom"/>
          </w:tcPr>
          <w:p w14:paraId="52D19379" w14:textId="77777777" w:rsidR="00726176" w:rsidRPr="005D1219" w:rsidRDefault="00726176" w:rsidP="00CA7F04">
            <w:pPr>
              <w:jc w:val="right"/>
              <w:rPr>
                <w:rFonts w:ascii="Arial" w:hAnsi="Arial" w:cs="Arial"/>
                <w:b/>
                <w:bCs/>
                <w:sz w:val="18"/>
                <w:szCs w:val="18"/>
              </w:rPr>
            </w:pPr>
            <w:r w:rsidRPr="005D1219">
              <w:rPr>
                <w:rFonts w:ascii="Arial" w:hAnsi="Arial" w:cs="Arial"/>
                <w:b/>
                <w:bCs/>
                <w:sz w:val="18"/>
                <w:szCs w:val="18"/>
              </w:rPr>
              <w:t xml:space="preserve"> (193)</w:t>
            </w:r>
          </w:p>
        </w:tc>
      </w:tr>
      <w:tr w:rsidR="00726176" w:rsidRPr="001B015B" w14:paraId="034B72FA" w14:textId="77777777" w:rsidTr="00CA7F04">
        <w:trPr>
          <w:trHeight w:val="111"/>
        </w:trPr>
        <w:tc>
          <w:tcPr>
            <w:tcW w:w="4122" w:type="dxa"/>
            <w:tcBorders>
              <w:top w:val="nil"/>
              <w:left w:val="nil"/>
              <w:bottom w:val="nil"/>
              <w:right w:val="nil"/>
            </w:tcBorders>
            <w:shd w:val="clear" w:color="auto" w:fill="auto"/>
            <w:vAlign w:val="center"/>
          </w:tcPr>
          <w:p w14:paraId="7EC73AFD" w14:textId="77777777" w:rsidR="00726176" w:rsidRPr="001B015B" w:rsidRDefault="00726176"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Otpis</w:t>
            </w:r>
          </w:p>
        </w:tc>
        <w:tc>
          <w:tcPr>
            <w:tcW w:w="1111" w:type="dxa"/>
            <w:tcBorders>
              <w:top w:val="nil"/>
              <w:left w:val="nil"/>
              <w:right w:val="nil"/>
            </w:tcBorders>
            <w:shd w:val="clear" w:color="auto" w:fill="auto"/>
            <w:vAlign w:val="bottom"/>
          </w:tcPr>
          <w:p w14:paraId="3C2EFFA2" w14:textId="77777777" w:rsidR="00726176" w:rsidRPr="001B015B" w:rsidRDefault="00726176" w:rsidP="00CA7F04">
            <w:pPr>
              <w:jc w:val="right"/>
              <w:rPr>
                <w:rFonts w:ascii="Arial" w:hAnsi="Arial" w:cs="Arial"/>
                <w:sz w:val="18"/>
                <w:szCs w:val="18"/>
              </w:rPr>
            </w:pPr>
            <w:r w:rsidRPr="003759CC">
              <w:rPr>
                <w:rFonts w:ascii="Arial" w:hAnsi="Arial" w:cs="Arial"/>
                <w:sz w:val="18"/>
                <w:szCs w:val="18"/>
              </w:rPr>
              <w:t xml:space="preserve"> - </w:t>
            </w:r>
          </w:p>
        </w:tc>
        <w:tc>
          <w:tcPr>
            <w:tcW w:w="1034" w:type="dxa"/>
            <w:tcBorders>
              <w:top w:val="nil"/>
              <w:left w:val="nil"/>
              <w:right w:val="nil"/>
            </w:tcBorders>
            <w:shd w:val="clear" w:color="auto" w:fill="auto"/>
            <w:vAlign w:val="bottom"/>
          </w:tcPr>
          <w:p w14:paraId="7211D047" w14:textId="77777777" w:rsidR="00726176" w:rsidRPr="001B015B" w:rsidRDefault="00726176" w:rsidP="00CA7F04">
            <w:pPr>
              <w:jc w:val="right"/>
              <w:rPr>
                <w:rFonts w:ascii="Arial" w:hAnsi="Arial" w:cs="Arial"/>
                <w:sz w:val="18"/>
                <w:szCs w:val="18"/>
              </w:rPr>
            </w:pPr>
            <w:r w:rsidRPr="003759CC">
              <w:rPr>
                <w:rFonts w:ascii="Arial" w:hAnsi="Arial" w:cs="Arial"/>
                <w:sz w:val="18"/>
                <w:szCs w:val="18"/>
              </w:rPr>
              <w:t xml:space="preserve"> - </w:t>
            </w:r>
          </w:p>
        </w:tc>
        <w:tc>
          <w:tcPr>
            <w:tcW w:w="1143" w:type="dxa"/>
            <w:tcBorders>
              <w:top w:val="nil"/>
              <w:left w:val="nil"/>
              <w:bottom w:val="nil"/>
              <w:right w:val="nil"/>
            </w:tcBorders>
            <w:shd w:val="clear" w:color="auto" w:fill="auto"/>
            <w:vAlign w:val="bottom"/>
          </w:tcPr>
          <w:p w14:paraId="3070193F" w14:textId="77777777" w:rsidR="00726176" w:rsidRPr="001B015B" w:rsidRDefault="00726176" w:rsidP="00CA7F04">
            <w:pPr>
              <w:jc w:val="right"/>
              <w:rPr>
                <w:rFonts w:ascii="Arial" w:hAnsi="Arial" w:cs="Arial"/>
                <w:sz w:val="18"/>
                <w:szCs w:val="18"/>
              </w:rPr>
            </w:pPr>
            <w:r w:rsidRPr="00F959D0">
              <w:rPr>
                <w:rFonts w:ascii="Arial" w:hAnsi="Arial" w:cs="Arial"/>
                <w:sz w:val="18"/>
                <w:szCs w:val="18"/>
              </w:rPr>
              <w:t xml:space="preserve"> (93)</w:t>
            </w:r>
          </w:p>
        </w:tc>
        <w:tc>
          <w:tcPr>
            <w:tcW w:w="992" w:type="dxa"/>
            <w:tcBorders>
              <w:top w:val="nil"/>
              <w:left w:val="nil"/>
              <w:bottom w:val="nil"/>
              <w:right w:val="nil"/>
            </w:tcBorders>
            <w:shd w:val="clear" w:color="auto" w:fill="auto"/>
            <w:vAlign w:val="bottom"/>
          </w:tcPr>
          <w:p w14:paraId="57855DA0" w14:textId="77777777" w:rsidR="00726176" w:rsidRPr="001B015B" w:rsidRDefault="00726176" w:rsidP="00CA7F04">
            <w:pPr>
              <w:jc w:val="right"/>
              <w:rPr>
                <w:rFonts w:ascii="Arial" w:hAnsi="Arial" w:cs="Arial"/>
                <w:sz w:val="18"/>
                <w:szCs w:val="18"/>
              </w:rPr>
            </w:pPr>
            <w:r>
              <w:rPr>
                <w:rFonts w:ascii="Arial" w:hAnsi="Arial" w:cs="Arial"/>
                <w:sz w:val="18"/>
                <w:szCs w:val="18"/>
              </w:rPr>
              <w:t>-</w:t>
            </w:r>
          </w:p>
        </w:tc>
        <w:tc>
          <w:tcPr>
            <w:tcW w:w="992" w:type="dxa"/>
            <w:tcBorders>
              <w:top w:val="nil"/>
              <w:left w:val="nil"/>
              <w:bottom w:val="nil"/>
              <w:right w:val="nil"/>
            </w:tcBorders>
            <w:shd w:val="clear" w:color="auto" w:fill="auto"/>
            <w:vAlign w:val="bottom"/>
          </w:tcPr>
          <w:p w14:paraId="3265B7DD" w14:textId="77777777" w:rsidR="00726176" w:rsidRPr="005D1219" w:rsidRDefault="00726176" w:rsidP="00CA7F04">
            <w:pPr>
              <w:jc w:val="right"/>
              <w:rPr>
                <w:rFonts w:ascii="Arial" w:hAnsi="Arial" w:cs="Arial"/>
                <w:b/>
                <w:bCs/>
                <w:sz w:val="18"/>
                <w:szCs w:val="18"/>
              </w:rPr>
            </w:pPr>
            <w:r w:rsidRPr="005D1219">
              <w:rPr>
                <w:rFonts w:ascii="Arial" w:hAnsi="Arial" w:cs="Arial"/>
                <w:b/>
                <w:bCs/>
                <w:sz w:val="18"/>
                <w:szCs w:val="18"/>
              </w:rPr>
              <w:t xml:space="preserve"> (93)</w:t>
            </w:r>
          </w:p>
        </w:tc>
      </w:tr>
      <w:tr w:rsidR="00726176" w:rsidRPr="001B015B" w14:paraId="12C61FF3" w14:textId="77777777" w:rsidTr="005D1219">
        <w:trPr>
          <w:trHeight w:val="261"/>
        </w:trPr>
        <w:tc>
          <w:tcPr>
            <w:tcW w:w="4122" w:type="dxa"/>
            <w:tcBorders>
              <w:top w:val="nil"/>
              <w:left w:val="nil"/>
              <w:bottom w:val="nil"/>
              <w:right w:val="nil"/>
            </w:tcBorders>
            <w:shd w:val="clear" w:color="auto" w:fill="auto"/>
            <w:vAlign w:val="center"/>
            <w:hideMark/>
          </w:tcPr>
          <w:p w14:paraId="0086A48F" w14:textId="77777777" w:rsidR="00726176" w:rsidRPr="001B015B" w:rsidRDefault="00726176"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Neto dobit/gubitak od tečajnih razlika po rezerviranjima za očekivane gubitke</w:t>
            </w:r>
          </w:p>
        </w:tc>
        <w:tc>
          <w:tcPr>
            <w:tcW w:w="1111" w:type="dxa"/>
            <w:tcBorders>
              <w:top w:val="nil"/>
              <w:left w:val="nil"/>
              <w:right w:val="nil"/>
            </w:tcBorders>
            <w:shd w:val="clear" w:color="auto" w:fill="auto"/>
            <w:vAlign w:val="bottom"/>
          </w:tcPr>
          <w:p w14:paraId="4863BD38" w14:textId="77777777" w:rsidR="00726176" w:rsidRPr="00593574" w:rsidRDefault="00726176" w:rsidP="00CA7F04">
            <w:pPr>
              <w:jc w:val="right"/>
              <w:rPr>
                <w:rFonts w:ascii="Arial" w:hAnsi="Arial" w:cs="Arial"/>
                <w:sz w:val="18"/>
                <w:szCs w:val="18"/>
              </w:rPr>
            </w:pPr>
            <w:r w:rsidRPr="003759CC">
              <w:rPr>
                <w:rFonts w:ascii="Arial" w:hAnsi="Arial" w:cs="Arial"/>
                <w:sz w:val="18"/>
                <w:szCs w:val="18"/>
              </w:rPr>
              <w:t xml:space="preserve"> - </w:t>
            </w:r>
          </w:p>
        </w:tc>
        <w:tc>
          <w:tcPr>
            <w:tcW w:w="1034" w:type="dxa"/>
            <w:tcBorders>
              <w:top w:val="nil"/>
              <w:left w:val="nil"/>
              <w:right w:val="nil"/>
            </w:tcBorders>
            <w:shd w:val="clear" w:color="auto" w:fill="auto"/>
            <w:vAlign w:val="bottom"/>
          </w:tcPr>
          <w:p w14:paraId="355EF1D1" w14:textId="77777777" w:rsidR="00726176" w:rsidRPr="00593574" w:rsidRDefault="00726176" w:rsidP="00CA7F04">
            <w:pPr>
              <w:jc w:val="right"/>
              <w:rPr>
                <w:rFonts w:ascii="Arial" w:hAnsi="Arial" w:cs="Arial"/>
                <w:sz w:val="18"/>
                <w:szCs w:val="18"/>
              </w:rPr>
            </w:pPr>
            <w:r w:rsidRPr="003759CC">
              <w:rPr>
                <w:rFonts w:ascii="Arial" w:hAnsi="Arial" w:cs="Arial"/>
                <w:sz w:val="18"/>
                <w:szCs w:val="18"/>
              </w:rPr>
              <w:t xml:space="preserve"> - </w:t>
            </w:r>
          </w:p>
        </w:tc>
        <w:tc>
          <w:tcPr>
            <w:tcW w:w="1143" w:type="dxa"/>
            <w:tcBorders>
              <w:top w:val="nil"/>
              <w:left w:val="nil"/>
              <w:right w:val="nil"/>
            </w:tcBorders>
            <w:shd w:val="clear" w:color="auto" w:fill="auto"/>
            <w:vAlign w:val="bottom"/>
          </w:tcPr>
          <w:p w14:paraId="166FBBEA" w14:textId="77777777" w:rsidR="00726176" w:rsidRPr="00593574" w:rsidRDefault="00726176" w:rsidP="00CA7F04">
            <w:pPr>
              <w:jc w:val="right"/>
              <w:rPr>
                <w:rFonts w:ascii="Arial" w:hAnsi="Arial" w:cs="Arial"/>
                <w:sz w:val="18"/>
                <w:szCs w:val="18"/>
              </w:rPr>
            </w:pPr>
            <w:r w:rsidRPr="00F959D0">
              <w:rPr>
                <w:rFonts w:ascii="Arial" w:hAnsi="Arial" w:cs="Arial"/>
                <w:sz w:val="18"/>
                <w:szCs w:val="18"/>
              </w:rPr>
              <w:t xml:space="preserve"> (2)</w:t>
            </w:r>
          </w:p>
        </w:tc>
        <w:tc>
          <w:tcPr>
            <w:tcW w:w="992" w:type="dxa"/>
            <w:tcBorders>
              <w:top w:val="nil"/>
              <w:left w:val="nil"/>
              <w:right w:val="nil"/>
            </w:tcBorders>
            <w:shd w:val="clear" w:color="auto" w:fill="auto"/>
            <w:vAlign w:val="bottom"/>
          </w:tcPr>
          <w:p w14:paraId="5788C371" w14:textId="77777777" w:rsidR="00726176" w:rsidRPr="00593574" w:rsidRDefault="00726176" w:rsidP="00CA7F04">
            <w:pPr>
              <w:jc w:val="right"/>
              <w:rPr>
                <w:rFonts w:ascii="Arial" w:hAnsi="Arial" w:cs="Arial"/>
                <w:sz w:val="18"/>
                <w:szCs w:val="18"/>
              </w:rPr>
            </w:pPr>
            <w:r>
              <w:rPr>
                <w:rFonts w:ascii="Arial" w:hAnsi="Arial" w:cs="Arial"/>
                <w:sz w:val="18"/>
                <w:szCs w:val="18"/>
              </w:rPr>
              <w:t>-</w:t>
            </w:r>
          </w:p>
        </w:tc>
        <w:tc>
          <w:tcPr>
            <w:tcW w:w="992" w:type="dxa"/>
            <w:tcBorders>
              <w:top w:val="nil"/>
              <w:left w:val="nil"/>
              <w:right w:val="nil"/>
            </w:tcBorders>
            <w:shd w:val="clear" w:color="auto" w:fill="auto"/>
            <w:vAlign w:val="bottom"/>
          </w:tcPr>
          <w:p w14:paraId="34BEB22C" w14:textId="77777777" w:rsidR="00726176" w:rsidRPr="005D1219" w:rsidRDefault="00726176" w:rsidP="00CA7F04">
            <w:pPr>
              <w:jc w:val="right"/>
              <w:rPr>
                <w:rFonts w:ascii="Arial" w:hAnsi="Arial" w:cs="Arial"/>
                <w:b/>
                <w:bCs/>
                <w:sz w:val="18"/>
                <w:szCs w:val="18"/>
              </w:rPr>
            </w:pPr>
            <w:r w:rsidRPr="005D1219">
              <w:rPr>
                <w:rFonts w:ascii="Arial" w:hAnsi="Arial" w:cs="Arial"/>
                <w:b/>
                <w:bCs/>
                <w:sz w:val="18"/>
                <w:szCs w:val="18"/>
              </w:rPr>
              <w:t xml:space="preserve"> (2)</w:t>
            </w:r>
          </w:p>
        </w:tc>
      </w:tr>
      <w:tr w:rsidR="00726176" w:rsidRPr="001B015B" w14:paraId="5F1731C8" w14:textId="77777777" w:rsidTr="005D1219">
        <w:trPr>
          <w:trHeight w:val="261"/>
        </w:trPr>
        <w:tc>
          <w:tcPr>
            <w:tcW w:w="4122" w:type="dxa"/>
            <w:tcBorders>
              <w:top w:val="nil"/>
              <w:left w:val="nil"/>
              <w:bottom w:val="nil"/>
              <w:right w:val="nil"/>
            </w:tcBorders>
            <w:shd w:val="clear" w:color="auto" w:fill="auto"/>
            <w:vAlign w:val="center"/>
          </w:tcPr>
          <w:p w14:paraId="55C45836" w14:textId="77777777" w:rsidR="00726176" w:rsidRPr="001B015B" w:rsidRDefault="00726176" w:rsidP="00CA7F04">
            <w:pPr>
              <w:rPr>
                <w:rFonts w:ascii="Arial" w:eastAsia="Calibri" w:hAnsi="Arial" w:cs="Arial"/>
                <w:b/>
                <w:bCs/>
                <w:color w:val="000000" w:themeColor="text1"/>
                <w:sz w:val="18"/>
                <w:szCs w:val="18"/>
              </w:rPr>
            </w:pPr>
            <w:r w:rsidRPr="00B32961">
              <w:rPr>
                <w:rFonts w:ascii="Arial" w:eastAsia="Calibri" w:hAnsi="Arial" w:cs="Arial"/>
                <w:color w:val="000000" w:themeColor="text1"/>
                <w:sz w:val="18"/>
                <w:szCs w:val="18"/>
              </w:rPr>
              <w:t>Ostala usklađenja</w:t>
            </w:r>
          </w:p>
        </w:tc>
        <w:tc>
          <w:tcPr>
            <w:tcW w:w="1111" w:type="dxa"/>
            <w:tcBorders>
              <w:top w:val="nil"/>
              <w:left w:val="nil"/>
              <w:bottom w:val="single" w:sz="4" w:space="0" w:color="auto"/>
              <w:right w:val="nil"/>
            </w:tcBorders>
            <w:shd w:val="clear" w:color="auto" w:fill="auto"/>
            <w:vAlign w:val="bottom"/>
          </w:tcPr>
          <w:p w14:paraId="6878EC87" w14:textId="77777777" w:rsidR="00726176" w:rsidRPr="00B32961" w:rsidRDefault="00726176" w:rsidP="00CA7F04">
            <w:pPr>
              <w:jc w:val="right"/>
              <w:rPr>
                <w:rFonts w:ascii="Arial" w:hAnsi="Arial" w:cs="Arial"/>
                <w:sz w:val="18"/>
                <w:szCs w:val="18"/>
              </w:rPr>
            </w:pPr>
            <w:r>
              <w:rPr>
                <w:rFonts w:ascii="Arial" w:hAnsi="Arial" w:cs="Arial"/>
                <w:sz w:val="18"/>
                <w:szCs w:val="18"/>
              </w:rPr>
              <w:t>-</w:t>
            </w:r>
          </w:p>
        </w:tc>
        <w:tc>
          <w:tcPr>
            <w:tcW w:w="1034" w:type="dxa"/>
            <w:tcBorders>
              <w:top w:val="nil"/>
              <w:left w:val="nil"/>
              <w:bottom w:val="single" w:sz="4" w:space="0" w:color="auto"/>
              <w:right w:val="nil"/>
            </w:tcBorders>
            <w:shd w:val="clear" w:color="auto" w:fill="auto"/>
            <w:vAlign w:val="bottom"/>
          </w:tcPr>
          <w:p w14:paraId="0216D9E1" w14:textId="77777777" w:rsidR="00726176" w:rsidRPr="00B32961" w:rsidRDefault="00726176" w:rsidP="00CA7F04">
            <w:pPr>
              <w:jc w:val="right"/>
              <w:rPr>
                <w:rFonts w:ascii="Arial" w:hAnsi="Arial" w:cs="Arial"/>
                <w:sz w:val="18"/>
                <w:szCs w:val="18"/>
              </w:rPr>
            </w:pPr>
            <w:r>
              <w:rPr>
                <w:rFonts w:ascii="Arial" w:hAnsi="Arial" w:cs="Arial"/>
                <w:sz w:val="18"/>
                <w:szCs w:val="18"/>
              </w:rPr>
              <w:t>-</w:t>
            </w:r>
          </w:p>
        </w:tc>
        <w:tc>
          <w:tcPr>
            <w:tcW w:w="1143" w:type="dxa"/>
            <w:tcBorders>
              <w:top w:val="nil"/>
              <w:left w:val="nil"/>
              <w:bottom w:val="single" w:sz="4" w:space="0" w:color="auto"/>
              <w:right w:val="nil"/>
            </w:tcBorders>
            <w:shd w:val="clear" w:color="auto" w:fill="auto"/>
            <w:vAlign w:val="bottom"/>
          </w:tcPr>
          <w:p w14:paraId="41B13041" w14:textId="2E845F46" w:rsidR="00726176" w:rsidRPr="00B32961" w:rsidRDefault="003433DC" w:rsidP="00CA7F04">
            <w:pPr>
              <w:jc w:val="right"/>
              <w:rPr>
                <w:rFonts w:ascii="Arial" w:hAnsi="Arial" w:cs="Arial"/>
                <w:sz w:val="18"/>
                <w:szCs w:val="18"/>
              </w:rPr>
            </w:pPr>
            <w:r>
              <w:rPr>
                <w:rFonts w:ascii="Arial" w:hAnsi="Arial" w:cs="Arial"/>
                <w:sz w:val="18"/>
                <w:szCs w:val="18"/>
              </w:rPr>
              <w:t>-</w:t>
            </w:r>
          </w:p>
        </w:tc>
        <w:tc>
          <w:tcPr>
            <w:tcW w:w="992" w:type="dxa"/>
            <w:tcBorders>
              <w:top w:val="nil"/>
              <w:left w:val="nil"/>
              <w:bottom w:val="single" w:sz="4" w:space="0" w:color="auto"/>
              <w:right w:val="nil"/>
            </w:tcBorders>
            <w:shd w:val="clear" w:color="auto" w:fill="auto"/>
            <w:vAlign w:val="bottom"/>
          </w:tcPr>
          <w:p w14:paraId="45950B33" w14:textId="77777777" w:rsidR="00726176" w:rsidRPr="00B32961" w:rsidRDefault="00726176" w:rsidP="00CA7F04">
            <w:pPr>
              <w:jc w:val="right"/>
              <w:rPr>
                <w:rFonts w:ascii="Arial" w:hAnsi="Arial" w:cs="Arial"/>
                <w:sz w:val="18"/>
                <w:szCs w:val="18"/>
              </w:rPr>
            </w:pPr>
            <w:r w:rsidRPr="00F959D0">
              <w:rPr>
                <w:rFonts w:ascii="Arial" w:hAnsi="Arial" w:cs="Arial"/>
                <w:sz w:val="18"/>
                <w:szCs w:val="18"/>
              </w:rPr>
              <w:t xml:space="preserve"> 4 </w:t>
            </w:r>
          </w:p>
        </w:tc>
        <w:tc>
          <w:tcPr>
            <w:tcW w:w="992" w:type="dxa"/>
            <w:tcBorders>
              <w:top w:val="nil"/>
              <w:left w:val="nil"/>
              <w:bottom w:val="single" w:sz="4" w:space="0" w:color="auto"/>
              <w:right w:val="nil"/>
            </w:tcBorders>
            <w:shd w:val="clear" w:color="auto" w:fill="auto"/>
            <w:vAlign w:val="bottom"/>
          </w:tcPr>
          <w:p w14:paraId="01DB8F5A" w14:textId="77777777" w:rsidR="00726176" w:rsidRPr="005D1219" w:rsidRDefault="00726176" w:rsidP="00CA7F04">
            <w:pPr>
              <w:jc w:val="right"/>
              <w:rPr>
                <w:rFonts w:ascii="Arial" w:hAnsi="Arial" w:cs="Arial"/>
                <w:b/>
                <w:bCs/>
                <w:sz w:val="18"/>
                <w:szCs w:val="18"/>
              </w:rPr>
            </w:pPr>
            <w:r w:rsidRPr="005D1219">
              <w:rPr>
                <w:rFonts w:ascii="Arial" w:hAnsi="Arial" w:cs="Arial"/>
                <w:b/>
                <w:bCs/>
                <w:sz w:val="18"/>
                <w:szCs w:val="18"/>
              </w:rPr>
              <w:t xml:space="preserve"> 4 </w:t>
            </w:r>
          </w:p>
        </w:tc>
      </w:tr>
      <w:tr w:rsidR="00726176" w:rsidRPr="001B015B" w14:paraId="6C43984C" w14:textId="77777777" w:rsidTr="005D1219">
        <w:trPr>
          <w:trHeight w:val="261"/>
        </w:trPr>
        <w:tc>
          <w:tcPr>
            <w:tcW w:w="4122" w:type="dxa"/>
            <w:tcBorders>
              <w:top w:val="nil"/>
              <w:left w:val="nil"/>
              <w:bottom w:val="nil"/>
              <w:right w:val="nil"/>
            </w:tcBorders>
            <w:shd w:val="clear" w:color="auto" w:fill="auto"/>
            <w:vAlign w:val="center"/>
            <w:hideMark/>
          </w:tcPr>
          <w:p w14:paraId="17DDA771" w14:textId="77777777" w:rsidR="00726176" w:rsidRPr="001B015B" w:rsidRDefault="00726176" w:rsidP="00CA7F04">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Stanje 31. prosinca 202</w:t>
            </w:r>
            <w:r>
              <w:rPr>
                <w:rFonts w:ascii="Arial" w:eastAsia="Calibri" w:hAnsi="Arial" w:cs="Arial"/>
                <w:b/>
                <w:bCs/>
                <w:color w:val="000000" w:themeColor="text1"/>
                <w:sz w:val="18"/>
                <w:szCs w:val="18"/>
              </w:rPr>
              <w:t>3</w:t>
            </w:r>
            <w:r w:rsidRPr="001B015B">
              <w:rPr>
                <w:rFonts w:ascii="Arial" w:eastAsia="Calibri" w:hAnsi="Arial" w:cs="Arial"/>
                <w:b/>
                <w:bCs/>
                <w:color w:val="000000" w:themeColor="text1"/>
                <w:sz w:val="18"/>
                <w:szCs w:val="18"/>
              </w:rPr>
              <w:t>.</w:t>
            </w:r>
          </w:p>
        </w:tc>
        <w:tc>
          <w:tcPr>
            <w:tcW w:w="1111" w:type="dxa"/>
            <w:tcBorders>
              <w:top w:val="single" w:sz="4" w:space="0" w:color="auto"/>
              <w:left w:val="nil"/>
              <w:bottom w:val="single" w:sz="12" w:space="0" w:color="auto"/>
              <w:right w:val="nil"/>
            </w:tcBorders>
            <w:shd w:val="clear" w:color="auto" w:fill="auto"/>
            <w:vAlign w:val="bottom"/>
          </w:tcPr>
          <w:p w14:paraId="2D6D661B" w14:textId="77777777" w:rsidR="00726176" w:rsidRPr="00F959D0" w:rsidRDefault="00726176" w:rsidP="00CA7F04">
            <w:pPr>
              <w:jc w:val="right"/>
              <w:rPr>
                <w:rFonts w:ascii="Arial" w:hAnsi="Arial" w:cs="Arial"/>
                <w:b/>
                <w:bCs/>
                <w:sz w:val="18"/>
                <w:szCs w:val="18"/>
              </w:rPr>
            </w:pPr>
            <w:r w:rsidRPr="00F959D0">
              <w:rPr>
                <w:rFonts w:ascii="Arial" w:hAnsi="Arial" w:cs="Arial"/>
                <w:b/>
                <w:bCs/>
                <w:sz w:val="18"/>
                <w:szCs w:val="18"/>
              </w:rPr>
              <w:t xml:space="preserve"> 19 </w:t>
            </w:r>
          </w:p>
        </w:tc>
        <w:tc>
          <w:tcPr>
            <w:tcW w:w="1034" w:type="dxa"/>
            <w:tcBorders>
              <w:top w:val="single" w:sz="4" w:space="0" w:color="auto"/>
              <w:left w:val="nil"/>
              <w:bottom w:val="single" w:sz="12" w:space="0" w:color="auto"/>
              <w:right w:val="nil"/>
            </w:tcBorders>
            <w:shd w:val="clear" w:color="auto" w:fill="auto"/>
            <w:vAlign w:val="bottom"/>
          </w:tcPr>
          <w:p w14:paraId="58F2DB4B" w14:textId="77777777" w:rsidR="00726176" w:rsidRPr="00F959D0" w:rsidRDefault="00726176" w:rsidP="00CA7F04">
            <w:pPr>
              <w:jc w:val="right"/>
              <w:rPr>
                <w:rFonts w:ascii="Arial" w:hAnsi="Arial" w:cs="Arial"/>
                <w:b/>
                <w:bCs/>
                <w:sz w:val="18"/>
                <w:szCs w:val="18"/>
              </w:rPr>
            </w:pPr>
            <w:r w:rsidRPr="00F959D0">
              <w:rPr>
                <w:rFonts w:ascii="Arial" w:hAnsi="Arial" w:cs="Arial"/>
                <w:b/>
                <w:bCs/>
                <w:sz w:val="18"/>
                <w:szCs w:val="18"/>
              </w:rPr>
              <w:t xml:space="preserve"> 1 </w:t>
            </w:r>
          </w:p>
        </w:tc>
        <w:tc>
          <w:tcPr>
            <w:tcW w:w="1143" w:type="dxa"/>
            <w:tcBorders>
              <w:top w:val="single" w:sz="4" w:space="0" w:color="auto"/>
              <w:left w:val="nil"/>
              <w:bottom w:val="single" w:sz="12" w:space="0" w:color="auto"/>
              <w:right w:val="nil"/>
            </w:tcBorders>
            <w:shd w:val="clear" w:color="auto" w:fill="auto"/>
            <w:vAlign w:val="bottom"/>
          </w:tcPr>
          <w:p w14:paraId="77D3C301" w14:textId="77777777" w:rsidR="00726176" w:rsidRPr="00F959D0" w:rsidRDefault="00726176" w:rsidP="00CA7F04">
            <w:pPr>
              <w:jc w:val="right"/>
              <w:rPr>
                <w:rFonts w:ascii="Arial" w:hAnsi="Arial" w:cs="Arial"/>
                <w:b/>
                <w:bCs/>
                <w:sz w:val="18"/>
                <w:szCs w:val="18"/>
              </w:rPr>
            </w:pPr>
            <w:r w:rsidRPr="00F959D0">
              <w:rPr>
                <w:rFonts w:ascii="Arial" w:hAnsi="Arial" w:cs="Arial"/>
                <w:b/>
                <w:bCs/>
                <w:sz w:val="18"/>
                <w:szCs w:val="18"/>
              </w:rPr>
              <w:t xml:space="preserve"> 4.330 </w:t>
            </w:r>
          </w:p>
        </w:tc>
        <w:tc>
          <w:tcPr>
            <w:tcW w:w="992" w:type="dxa"/>
            <w:tcBorders>
              <w:top w:val="single" w:sz="4" w:space="0" w:color="auto"/>
              <w:left w:val="nil"/>
              <w:bottom w:val="single" w:sz="12" w:space="0" w:color="auto"/>
              <w:right w:val="nil"/>
            </w:tcBorders>
            <w:shd w:val="clear" w:color="auto" w:fill="auto"/>
            <w:vAlign w:val="bottom"/>
          </w:tcPr>
          <w:p w14:paraId="11ECF9BF" w14:textId="77777777" w:rsidR="00726176" w:rsidRPr="00F959D0" w:rsidRDefault="00726176" w:rsidP="00CA7F04">
            <w:pPr>
              <w:jc w:val="right"/>
              <w:rPr>
                <w:rFonts w:ascii="Arial" w:hAnsi="Arial" w:cs="Arial"/>
                <w:b/>
                <w:bCs/>
                <w:sz w:val="18"/>
                <w:szCs w:val="18"/>
              </w:rPr>
            </w:pPr>
            <w:r w:rsidRPr="00F959D0">
              <w:rPr>
                <w:rFonts w:ascii="Arial" w:hAnsi="Arial" w:cs="Arial"/>
                <w:b/>
                <w:bCs/>
                <w:sz w:val="18"/>
                <w:szCs w:val="18"/>
              </w:rPr>
              <w:t xml:space="preserve"> 35 </w:t>
            </w:r>
          </w:p>
        </w:tc>
        <w:tc>
          <w:tcPr>
            <w:tcW w:w="992" w:type="dxa"/>
            <w:tcBorders>
              <w:top w:val="single" w:sz="4" w:space="0" w:color="auto"/>
              <w:left w:val="nil"/>
              <w:bottom w:val="single" w:sz="12" w:space="0" w:color="auto"/>
              <w:right w:val="nil"/>
            </w:tcBorders>
            <w:shd w:val="clear" w:color="auto" w:fill="auto"/>
            <w:vAlign w:val="bottom"/>
          </w:tcPr>
          <w:p w14:paraId="4B35DBF1" w14:textId="77777777" w:rsidR="00726176" w:rsidRPr="00F959D0" w:rsidRDefault="00726176" w:rsidP="00CA7F04">
            <w:pPr>
              <w:jc w:val="right"/>
              <w:rPr>
                <w:rFonts w:ascii="Arial" w:hAnsi="Arial" w:cs="Arial"/>
                <w:b/>
                <w:bCs/>
                <w:sz w:val="18"/>
                <w:szCs w:val="18"/>
              </w:rPr>
            </w:pPr>
            <w:r w:rsidRPr="00F959D0">
              <w:rPr>
                <w:rFonts w:ascii="Arial" w:hAnsi="Arial" w:cs="Arial"/>
                <w:b/>
                <w:bCs/>
                <w:sz w:val="18"/>
                <w:szCs w:val="18"/>
              </w:rPr>
              <w:t xml:space="preserve"> 4.385 </w:t>
            </w:r>
          </w:p>
        </w:tc>
      </w:tr>
    </w:tbl>
    <w:p w14:paraId="33230A4D" w14:textId="77777777" w:rsidR="00726176" w:rsidRPr="003D1614" w:rsidRDefault="00726176" w:rsidP="001A0FCB">
      <w:pPr>
        <w:suppressAutoHyphens/>
        <w:autoSpaceDN w:val="0"/>
        <w:jc w:val="both"/>
        <w:rPr>
          <w:rFonts w:ascii="Arial" w:eastAsia="Times New Roman" w:hAnsi="Arial" w:cs="Arial"/>
          <w:color w:val="000000" w:themeColor="text1"/>
          <w:sz w:val="20"/>
          <w:szCs w:val="20"/>
        </w:rPr>
      </w:pPr>
    </w:p>
    <w:p w14:paraId="19ECCF33" w14:textId="77777777" w:rsidR="00A269B5" w:rsidRPr="003D1614" w:rsidRDefault="00A269B5" w:rsidP="001A0FCB">
      <w:pPr>
        <w:suppressAutoHyphens/>
        <w:autoSpaceDN w:val="0"/>
        <w:jc w:val="both"/>
        <w:rPr>
          <w:rFonts w:ascii="Arial" w:eastAsia="Times New Roman" w:hAnsi="Arial" w:cs="Arial"/>
          <w:color w:val="000000" w:themeColor="text1"/>
          <w:sz w:val="20"/>
          <w:szCs w:val="20"/>
        </w:rPr>
        <w:sectPr w:rsidR="00A269B5" w:rsidRPr="003D1614" w:rsidSect="003278AB">
          <w:pgSz w:w="11906" w:h="16838"/>
          <w:pgMar w:top="1417" w:right="1417" w:bottom="1417" w:left="1417" w:header="708" w:footer="708" w:gutter="0"/>
          <w:cols w:space="708"/>
          <w:docGrid w:linePitch="360"/>
        </w:sectPr>
      </w:pPr>
    </w:p>
    <w:p w14:paraId="0613773E"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33D2467D" w14:textId="3C08C998"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24E6EF65"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4A7AC231" w14:textId="5665484D"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.3. </w:t>
      </w:r>
      <w:r w:rsidRPr="003D1614">
        <w:rPr>
          <w:rFonts w:ascii="Arial" w:eastAsia="Times New Roman" w:hAnsi="Arial" w:cs="Arial"/>
          <w:b/>
          <w:bCs/>
          <w:color w:val="000000" w:themeColor="text1"/>
          <w:sz w:val="20"/>
          <w:szCs w:val="20"/>
        </w:rPr>
        <w:tab/>
        <w:t>Kreditni rizik (nastavak)</w:t>
      </w:r>
    </w:p>
    <w:p w14:paraId="6278BD19" w14:textId="77777777" w:rsidR="00A269B5" w:rsidRPr="003D1614" w:rsidRDefault="00A269B5" w:rsidP="00A269B5">
      <w:pPr>
        <w:keepNext/>
        <w:suppressAutoHyphens/>
        <w:autoSpaceDN w:val="0"/>
        <w:jc w:val="both"/>
        <w:rPr>
          <w:rFonts w:ascii="Arial" w:eastAsia="Times New Roman" w:hAnsi="Arial" w:cs="Arial"/>
          <w:b/>
          <w:bCs/>
          <w:color w:val="000000" w:themeColor="text1"/>
          <w:sz w:val="20"/>
          <w:szCs w:val="20"/>
        </w:rPr>
      </w:pPr>
    </w:p>
    <w:p w14:paraId="4CFB461E"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z w:val="20"/>
          <w:szCs w:val="20"/>
        </w:rPr>
        <w:t>i.</w:t>
      </w:r>
      <w:r w:rsidRPr="003D1614">
        <w:rPr>
          <w:rFonts w:ascii="Arial" w:eastAsia="Times New Roman" w:hAnsi="Arial" w:cs="Arial"/>
          <w:bCs/>
          <w:i/>
          <w:color w:val="000000" w:themeColor="text1"/>
          <w:sz w:val="20"/>
          <w:szCs w:val="20"/>
        </w:rPr>
        <w:tab/>
        <w:t>Promjene po rezerviranjima (nastavak)</w:t>
      </w:r>
    </w:p>
    <w:p w14:paraId="5EBDC52A" w14:textId="77777777" w:rsidR="00A269B5" w:rsidRPr="003D1614" w:rsidRDefault="00A269B5" w:rsidP="00A269B5">
      <w:pPr>
        <w:keepNext/>
        <w:tabs>
          <w:tab w:val="left" w:pos="284"/>
        </w:tabs>
        <w:suppressAutoHyphens/>
        <w:autoSpaceDN w:val="0"/>
        <w:jc w:val="both"/>
        <w:rPr>
          <w:rFonts w:ascii="Arial" w:eastAsia="Times New Roman" w:hAnsi="Arial" w:cs="Arial"/>
          <w:bCs/>
          <w:i/>
          <w:color w:val="000000" w:themeColor="text1"/>
          <w:sz w:val="20"/>
          <w:szCs w:val="20"/>
        </w:rPr>
      </w:pPr>
    </w:p>
    <w:p w14:paraId="3141B50D" w14:textId="77777777" w:rsidR="00A269B5" w:rsidRPr="003D1614" w:rsidRDefault="00A269B5" w:rsidP="00A269B5">
      <w:pPr>
        <w:suppressAutoHyphens/>
        <w:autoSpaceDN w:val="0"/>
        <w:jc w:val="both"/>
        <w:rPr>
          <w:rFonts w:ascii="Arial" w:eastAsia="Calibri" w:hAnsi="Arial" w:cs="Arial"/>
          <w:b/>
          <w:bCs/>
          <w:color w:val="000000" w:themeColor="text1"/>
          <w:sz w:val="20"/>
          <w:szCs w:val="20"/>
        </w:rPr>
      </w:pPr>
      <w:r w:rsidRPr="003D1614">
        <w:rPr>
          <w:rFonts w:ascii="Arial" w:eastAsia="Calibri" w:hAnsi="Arial" w:cs="Arial"/>
          <w:b/>
          <w:bCs/>
          <w:color w:val="000000" w:themeColor="text1"/>
          <w:sz w:val="20"/>
          <w:szCs w:val="20"/>
        </w:rPr>
        <w:t>Garancije i preuzete obveze</w:t>
      </w:r>
    </w:p>
    <w:p w14:paraId="40CB7091" w14:textId="77777777" w:rsidR="00A269B5" w:rsidRPr="003D1614" w:rsidRDefault="00A269B5" w:rsidP="00A269B5">
      <w:pPr>
        <w:suppressAutoHyphens/>
        <w:autoSpaceDN w:val="0"/>
        <w:jc w:val="both"/>
        <w:rPr>
          <w:rFonts w:ascii="Arial" w:eastAsia="Calibri" w:hAnsi="Arial" w:cs="Arial"/>
          <w:b/>
          <w:bCs/>
          <w:color w:val="000000" w:themeColor="text1"/>
          <w:sz w:val="20"/>
          <w:szCs w:val="20"/>
        </w:rPr>
      </w:pPr>
    </w:p>
    <w:tbl>
      <w:tblPr>
        <w:tblW w:w="9369" w:type="dxa"/>
        <w:tblInd w:w="-180" w:type="dxa"/>
        <w:tblLook w:val="04A0" w:firstRow="1" w:lastRow="0" w:firstColumn="1" w:lastColumn="0" w:noHBand="0" w:noVBand="1"/>
      </w:tblPr>
      <w:tblGrid>
        <w:gridCol w:w="4148"/>
        <w:gridCol w:w="1036"/>
        <w:gridCol w:w="1030"/>
        <w:gridCol w:w="1030"/>
        <w:gridCol w:w="1026"/>
        <w:gridCol w:w="1099"/>
      </w:tblGrid>
      <w:tr w:rsidR="00A269B5" w:rsidRPr="003D1614" w14:paraId="5A9FD0FA" w14:textId="77777777" w:rsidTr="00AD0393">
        <w:trPr>
          <w:trHeight w:val="176"/>
        </w:trPr>
        <w:tc>
          <w:tcPr>
            <w:tcW w:w="4148" w:type="dxa"/>
            <w:tcBorders>
              <w:top w:val="nil"/>
              <w:left w:val="nil"/>
              <w:bottom w:val="nil"/>
              <w:right w:val="nil"/>
            </w:tcBorders>
            <w:shd w:val="clear" w:color="auto" w:fill="auto"/>
            <w:vAlign w:val="center"/>
          </w:tcPr>
          <w:p w14:paraId="57AA3108" w14:textId="77777777" w:rsidR="00A269B5" w:rsidRPr="003D1614" w:rsidRDefault="00A269B5" w:rsidP="00A269B5">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Grupa i Banka</w:t>
            </w:r>
          </w:p>
        </w:tc>
        <w:tc>
          <w:tcPr>
            <w:tcW w:w="1036" w:type="dxa"/>
            <w:tcBorders>
              <w:top w:val="nil"/>
              <w:left w:val="nil"/>
              <w:bottom w:val="nil"/>
              <w:right w:val="nil"/>
            </w:tcBorders>
            <w:shd w:val="clear" w:color="auto" w:fill="auto"/>
            <w:vAlign w:val="center"/>
          </w:tcPr>
          <w:p w14:paraId="3727EF40"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vAlign w:val="center"/>
          </w:tcPr>
          <w:p w14:paraId="121240F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vAlign w:val="center"/>
          </w:tcPr>
          <w:p w14:paraId="61523D75"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26" w:type="dxa"/>
            <w:tcBorders>
              <w:top w:val="nil"/>
              <w:left w:val="nil"/>
              <w:bottom w:val="nil"/>
              <w:right w:val="nil"/>
            </w:tcBorders>
            <w:shd w:val="clear" w:color="auto" w:fill="auto"/>
            <w:vAlign w:val="center"/>
          </w:tcPr>
          <w:p w14:paraId="2B0C9E87"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99" w:type="dxa"/>
            <w:tcBorders>
              <w:top w:val="nil"/>
              <w:left w:val="nil"/>
              <w:bottom w:val="nil"/>
              <w:right w:val="nil"/>
            </w:tcBorders>
            <w:shd w:val="clear" w:color="auto" w:fill="auto"/>
            <w:vAlign w:val="center"/>
          </w:tcPr>
          <w:p w14:paraId="1E2A5F89"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A269B5" w:rsidRPr="003D1614" w14:paraId="188F185A" w14:textId="77777777" w:rsidTr="00AD0393">
        <w:trPr>
          <w:trHeight w:val="176"/>
        </w:trPr>
        <w:tc>
          <w:tcPr>
            <w:tcW w:w="4148" w:type="dxa"/>
            <w:tcBorders>
              <w:top w:val="nil"/>
              <w:left w:val="nil"/>
              <w:bottom w:val="nil"/>
              <w:right w:val="nil"/>
            </w:tcBorders>
            <w:shd w:val="clear" w:color="auto" w:fill="auto"/>
            <w:vAlign w:val="center"/>
            <w:hideMark/>
          </w:tcPr>
          <w:p w14:paraId="4020E83A" w14:textId="425A9C9C" w:rsidR="00A269B5" w:rsidRPr="003D1614" w:rsidRDefault="00A269B5" w:rsidP="00A269B5">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31. ožujka 202</w:t>
            </w:r>
            <w:r w:rsidR="00856EAF">
              <w:rPr>
                <w:rFonts w:ascii="Arial" w:eastAsia="Calibri" w:hAnsi="Arial" w:cs="Arial"/>
                <w:b/>
                <w:bCs/>
                <w:color w:val="000000" w:themeColor="text1"/>
                <w:sz w:val="18"/>
                <w:szCs w:val="18"/>
              </w:rPr>
              <w:t>4</w:t>
            </w:r>
            <w:r w:rsidRPr="003D1614">
              <w:rPr>
                <w:rFonts w:ascii="Arial" w:eastAsia="Calibri" w:hAnsi="Arial" w:cs="Arial"/>
                <w:b/>
                <w:bCs/>
                <w:color w:val="000000" w:themeColor="text1"/>
                <w:sz w:val="18"/>
                <w:szCs w:val="18"/>
              </w:rPr>
              <w:t>.</w:t>
            </w:r>
          </w:p>
        </w:tc>
        <w:tc>
          <w:tcPr>
            <w:tcW w:w="1036" w:type="dxa"/>
            <w:tcBorders>
              <w:top w:val="nil"/>
              <w:left w:val="nil"/>
              <w:bottom w:val="nil"/>
              <w:right w:val="nil"/>
            </w:tcBorders>
            <w:shd w:val="clear" w:color="auto" w:fill="auto"/>
            <w:vAlign w:val="center"/>
            <w:hideMark/>
          </w:tcPr>
          <w:p w14:paraId="4979D80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1</w:t>
            </w:r>
          </w:p>
        </w:tc>
        <w:tc>
          <w:tcPr>
            <w:tcW w:w="1030" w:type="dxa"/>
            <w:tcBorders>
              <w:top w:val="nil"/>
              <w:left w:val="nil"/>
              <w:bottom w:val="nil"/>
              <w:right w:val="nil"/>
            </w:tcBorders>
            <w:shd w:val="clear" w:color="auto" w:fill="auto"/>
            <w:vAlign w:val="center"/>
            <w:hideMark/>
          </w:tcPr>
          <w:p w14:paraId="62607D85"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2</w:t>
            </w:r>
          </w:p>
        </w:tc>
        <w:tc>
          <w:tcPr>
            <w:tcW w:w="1030" w:type="dxa"/>
            <w:tcBorders>
              <w:top w:val="nil"/>
              <w:left w:val="nil"/>
              <w:bottom w:val="nil"/>
              <w:right w:val="nil"/>
            </w:tcBorders>
            <w:shd w:val="clear" w:color="auto" w:fill="auto"/>
            <w:vAlign w:val="center"/>
            <w:hideMark/>
          </w:tcPr>
          <w:p w14:paraId="2ABC4B62"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Stupanj 3</w:t>
            </w:r>
          </w:p>
        </w:tc>
        <w:tc>
          <w:tcPr>
            <w:tcW w:w="1026" w:type="dxa"/>
            <w:tcBorders>
              <w:top w:val="nil"/>
              <w:left w:val="nil"/>
              <w:bottom w:val="nil"/>
              <w:right w:val="nil"/>
            </w:tcBorders>
            <w:shd w:val="clear" w:color="auto" w:fill="auto"/>
            <w:vAlign w:val="center"/>
            <w:hideMark/>
          </w:tcPr>
          <w:p w14:paraId="14A4AFF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POCI</w:t>
            </w:r>
          </w:p>
        </w:tc>
        <w:tc>
          <w:tcPr>
            <w:tcW w:w="1099" w:type="dxa"/>
            <w:tcBorders>
              <w:top w:val="nil"/>
              <w:left w:val="nil"/>
              <w:bottom w:val="nil"/>
              <w:right w:val="nil"/>
            </w:tcBorders>
            <w:shd w:val="clear" w:color="auto" w:fill="auto"/>
            <w:vAlign w:val="center"/>
            <w:hideMark/>
          </w:tcPr>
          <w:p w14:paraId="0CFE7304"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Ukupno</w:t>
            </w:r>
          </w:p>
        </w:tc>
      </w:tr>
      <w:tr w:rsidR="00A269B5" w:rsidRPr="003D1614" w14:paraId="42FCF02D" w14:textId="77777777" w:rsidTr="00AD0393">
        <w:trPr>
          <w:trHeight w:val="176"/>
        </w:trPr>
        <w:tc>
          <w:tcPr>
            <w:tcW w:w="4148" w:type="dxa"/>
            <w:tcBorders>
              <w:top w:val="nil"/>
              <w:left w:val="nil"/>
              <w:bottom w:val="nil"/>
              <w:right w:val="nil"/>
            </w:tcBorders>
            <w:shd w:val="clear" w:color="auto" w:fill="auto"/>
            <w:vAlign w:val="center"/>
            <w:hideMark/>
          </w:tcPr>
          <w:p w14:paraId="44A5FB81"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6" w:type="dxa"/>
            <w:tcBorders>
              <w:top w:val="nil"/>
              <w:left w:val="nil"/>
              <w:bottom w:val="nil"/>
              <w:right w:val="nil"/>
            </w:tcBorders>
            <w:shd w:val="clear" w:color="auto" w:fill="auto"/>
            <w:vAlign w:val="center"/>
            <w:hideMark/>
          </w:tcPr>
          <w:p w14:paraId="2EAE504B" w14:textId="4804B949"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0" w:type="dxa"/>
            <w:tcBorders>
              <w:top w:val="nil"/>
              <w:left w:val="nil"/>
              <w:bottom w:val="nil"/>
              <w:right w:val="nil"/>
            </w:tcBorders>
            <w:shd w:val="clear" w:color="auto" w:fill="auto"/>
            <w:vAlign w:val="center"/>
            <w:hideMark/>
          </w:tcPr>
          <w:p w14:paraId="704B0B36" w14:textId="098C8387"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30" w:type="dxa"/>
            <w:tcBorders>
              <w:top w:val="nil"/>
              <w:left w:val="nil"/>
              <w:bottom w:val="nil"/>
              <w:right w:val="nil"/>
            </w:tcBorders>
            <w:shd w:val="clear" w:color="auto" w:fill="auto"/>
            <w:vAlign w:val="center"/>
            <w:hideMark/>
          </w:tcPr>
          <w:p w14:paraId="09F9F8C7" w14:textId="5554EFE1"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26" w:type="dxa"/>
            <w:tcBorders>
              <w:top w:val="nil"/>
              <w:left w:val="nil"/>
              <w:bottom w:val="nil"/>
              <w:right w:val="nil"/>
            </w:tcBorders>
            <w:shd w:val="clear" w:color="auto" w:fill="auto"/>
            <w:vAlign w:val="center"/>
            <w:hideMark/>
          </w:tcPr>
          <w:p w14:paraId="55C99BF8" w14:textId="6C8AB2D8"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c>
          <w:tcPr>
            <w:tcW w:w="1099" w:type="dxa"/>
            <w:tcBorders>
              <w:top w:val="nil"/>
              <w:left w:val="nil"/>
              <w:bottom w:val="nil"/>
              <w:right w:val="nil"/>
            </w:tcBorders>
            <w:shd w:val="clear" w:color="auto" w:fill="auto"/>
            <w:vAlign w:val="center"/>
            <w:hideMark/>
          </w:tcPr>
          <w:p w14:paraId="32716358" w14:textId="226CC5AA" w:rsidR="00A269B5" w:rsidRPr="003D1614" w:rsidRDefault="00A269B5" w:rsidP="00A269B5">
            <w:pPr>
              <w:suppressAutoHyphens/>
              <w:autoSpaceDN w:val="0"/>
              <w:jc w:val="right"/>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000 eura</w:t>
            </w:r>
          </w:p>
        </w:tc>
      </w:tr>
      <w:tr w:rsidR="00A269B5" w:rsidRPr="003D1614" w14:paraId="697A01D3" w14:textId="77777777" w:rsidTr="005D1219">
        <w:trPr>
          <w:trHeight w:val="176"/>
        </w:trPr>
        <w:tc>
          <w:tcPr>
            <w:tcW w:w="4148" w:type="dxa"/>
            <w:tcBorders>
              <w:top w:val="nil"/>
              <w:left w:val="nil"/>
              <w:bottom w:val="nil"/>
              <w:right w:val="nil"/>
            </w:tcBorders>
            <w:shd w:val="clear" w:color="auto" w:fill="auto"/>
            <w:vAlign w:val="center"/>
          </w:tcPr>
          <w:p w14:paraId="7C96B394"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6" w:type="dxa"/>
            <w:tcBorders>
              <w:top w:val="nil"/>
              <w:left w:val="nil"/>
              <w:right w:val="nil"/>
            </w:tcBorders>
            <w:shd w:val="clear" w:color="auto" w:fill="auto"/>
            <w:vAlign w:val="center"/>
          </w:tcPr>
          <w:p w14:paraId="3C742EAD"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0" w:type="dxa"/>
            <w:tcBorders>
              <w:top w:val="nil"/>
              <w:left w:val="nil"/>
              <w:right w:val="nil"/>
            </w:tcBorders>
            <w:shd w:val="clear" w:color="auto" w:fill="auto"/>
            <w:vAlign w:val="center"/>
          </w:tcPr>
          <w:p w14:paraId="502F6AB4"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30" w:type="dxa"/>
            <w:tcBorders>
              <w:top w:val="nil"/>
              <w:left w:val="nil"/>
              <w:right w:val="nil"/>
            </w:tcBorders>
            <w:shd w:val="clear" w:color="auto" w:fill="auto"/>
            <w:vAlign w:val="center"/>
          </w:tcPr>
          <w:p w14:paraId="461D5CA6"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26" w:type="dxa"/>
            <w:tcBorders>
              <w:top w:val="nil"/>
              <w:left w:val="nil"/>
              <w:right w:val="nil"/>
            </w:tcBorders>
            <w:shd w:val="clear" w:color="auto" w:fill="auto"/>
            <w:vAlign w:val="center"/>
          </w:tcPr>
          <w:p w14:paraId="6F781D4D"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c>
          <w:tcPr>
            <w:tcW w:w="1099" w:type="dxa"/>
            <w:tcBorders>
              <w:top w:val="nil"/>
              <w:left w:val="nil"/>
              <w:right w:val="nil"/>
            </w:tcBorders>
            <w:shd w:val="clear" w:color="auto" w:fill="auto"/>
            <w:vAlign w:val="center"/>
          </w:tcPr>
          <w:p w14:paraId="6E08FA5F" w14:textId="77777777" w:rsidR="00A269B5" w:rsidRPr="003D1614" w:rsidRDefault="00A269B5" w:rsidP="00A269B5">
            <w:pPr>
              <w:suppressAutoHyphens/>
              <w:autoSpaceDN w:val="0"/>
              <w:jc w:val="right"/>
              <w:rPr>
                <w:rFonts w:ascii="Arial" w:eastAsia="Calibri" w:hAnsi="Arial" w:cs="Arial"/>
                <w:b/>
                <w:bCs/>
                <w:color w:val="000000" w:themeColor="text1"/>
                <w:sz w:val="18"/>
                <w:szCs w:val="18"/>
              </w:rPr>
            </w:pPr>
          </w:p>
        </w:tc>
      </w:tr>
      <w:tr w:rsidR="00DB0F4B" w:rsidRPr="003D1614" w14:paraId="628A6CF2" w14:textId="77777777" w:rsidTr="005D1219">
        <w:trPr>
          <w:trHeight w:val="176"/>
        </w:trPr>
        <w:tc>
          <w:tcPr>
            <w:tcW w:w="4148" w:type="dxa"/>
            <w:tcBorders>
              <w:top w:val="nil"/>
              <w:left w:val="nil"/>
              <w:bottom w:val="nil"/>
              <w:right w:val="nil"/>
            </w:tcBorders>
            <w:shd w:val="clear" w:color="auto" w:fill="auto"/>
            <w:vAlign w:val="center"/>
            <w:hideMark/>
          </w:tcPr>
          <w:p w14:paraId="08A4EA7A" w14:textId="372B044F" w:rsidR="00DB0F4B" w:rsidRPr="003D1614" w:rsidRDefault="00DB0F4B" w:rsidP="00DB0F4B">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4</w:t>
            </w:r>
            <w:r w:rsidRPr="003D1614">
              <w:rPr>
                <w:rFonts w:ascii="Arial" w:eastAsia="Calibri" w:hAnsi="Arial" w:cs="Arial"/>
                <w:color w:val="000000" w:themeColor="text1"/>
                <w:sz w:val="18"/>
                <w:szCs w:val="18"/>
              </w:rPr>
              <w:t xml:space="preserve">. </w:t>
            </w:r>
          </w:p>
        </w:tc>
        <w:tc>
          <w:tcPr>
            <w:tcW w:w="1036" w:type="dxa"/>
            <w:tcBorders>
              <w:top w:val="nil"/>
              <w:left w:val="nil"/>
              <w:right w:val="nil"/>
            </w:tcBorders>
            <w:shd w:val="clear" w:color="auto" w:fill="auto"/>
            <w:vAlign w:val="bottom"/>
          </w:tcPr>
          <w:p w14:paraId="39C3F03C" w14:textId="3C6A906C" w:rsidR="00DB0F4B" w:rsidRPr="00DB0F4B" w:rsidRDefault="00DB0F4B" w:rsidP="00DB0F4B">
            <w:pPr>
              <w:suppressAutoHyphens/>
              <w:autoSpaceDN w:val="0"/>
              <w:jc w:val="right"/>
              <w:rPr>
                <w:rFonts w:ascii="Arial" w:eastAsia="Times New Roman" w:hAnsi="Arial" w:cs="Arial"/>
                <w:sz w:val="18"/>
                <w:szCs w:val="18"/>
              </w:rPr>
            </w:pPr>
            <w:r w:rsidRPr="005D1219">
              <w:rPr>
                <w:rFonts w:ascii="Arial" w:hAnsi="Arial" w:cs="Arial"/>
                <w:sz w:val="18"/>
                <w:szCs w:val="18"/>
              </w:rPr>
              <w:t xml:space="preserve"> 4.243 </w:t>
            </w:r>
          </w:p>
        </w:tc>
        <w:tc>
          <w:tcPr>
            <w:tcW w:w="1030" w:type="dxa"/>
            <w:tcBorders>
              <w:top w:val="nil"/>
              <w:left w:val="nil"/>
              <w:right w:val="nil"/>
            </w:tcBorders>
            <w:shd w:val="clear" w:color="auto" w:fill="auto"/>
            <w:vAlign w:val="bottom"/>
          </w:tcPr>
          <w:p w14:paraId="2CE40431" w14:textId="5F33479D" w:rsidR="00DB0F4B" w:rsidRPr="00DB0F4B" w:rsidRDefault="00DB0F4B" w:rsidP="00DB0F4B">
            <w:pPr>
              <w:suppressAutoHyphens/>
              <w:autoSpaceDN w:val="0"/>
              <w:jc w:val="right"/>
              <w:rPr>
                <w:rFonts w:ascii="Arial" w:eastAsia="Times New Roman" w:hAnsi="Arial" w:cs="Arial"/>
                <w:sz w:val="18"/>
                <w:szCs w:val="18"/>
              </w:rPr>
            </w:pPr>
            <w:r w:rsidRPr="005D1219">
              <w:rPr>
                <w:rFonts w:ascii="Arial" w:hAnsi="Arial" w:cs="Arial"/>
                <w:sz w:val="18"/>
                <w:szCs w:val="18"/>
              </w:rPr>
              <w:t xml:space="preserve"> 5.380 </w:t>
            </w:r>
          </w:p>
        </w:tc>
        <w:tc>
          <w:tcPr>
            <w:tcW w:w="1030" w:type="dxa"/>
            <w:tcBorders>
              <w:top w:val="nil"/>
              <w:left w:val="nil"/>
              <w:right w:val="nil"/>
            </w:tcBorders>
            <w:shd w:val="clear" w:color="auto" w:fill="auto"/>
            <w:vAlign w:val="bottom"/>
          </w:tcPr>
          <w:p w14:paraId="42818FD6" w14:textId="4D4F3DB5" w:rsidR="00DB0F4B" w:rsidRPr="00DB0F4B" w:rsidRDefault="00DB0F4B" w:rsidP="00DB0F4B">
            <w:pPr>
              <w:suppressAutoHyphens/>
              <w:autoSpaceDN w:val="0"/>
              <w:jc w:val="right"/>
              <w:rPr>
                <w:rFonts w:ascii="Arial" w:eastAsia="Times New Roman" w:hAnsi="Arial" w:cs="Arial"/>
                <w:sz w:val="18"/>
                <w:szCs w:val="18"/>
              </w:rPr>
            </w:pPr>
            <w:r w:rsidRPr="005D1219">
              <w:rPr>
                <w:rFonts w:ascii="Arial" w:hAnsi="Arial" w:cs="Arial"/>
                <w:sz w:val="18"/>
                <w:szCs w:val="18"/>
              </w:rPr>
              <w:t xml:space="preserve"> 4.574 </w:t>
            </w:r>
          </w:p>
        </w:tc>
        <w:tc>
          <w:tcPr>
            <w:tcW w:w="1026" w:type="dxa"/>
            <w:tcBorders>
              <w:top w:val="nil"/>
              <w:left w:val="nil"/>
              <w:right w:val="nil"/>
            </w:tcBorders>
            <w:shd w:val="clear" w:color="auto" w:fill="auto"/>
            <w:vAlign w:val="bottom"/>
          </w:tcPr>
          <w:p w14:paraId="7F77DBE1" w14:textId="73FF2344" w:rsidR="00DB0F4B" w:rsidRPr="00DB0F4B" w:rsidRDefault="00DB0F4B" w:rsidP="00DB0F4B">
            <w:pPr>
              <w:suppressAutoHyphens/>
              <w:autoSpaceDN w:val="0"/>
              <w:jc w:val="right"/>
              <w:rPr>
                <w:rFonts w:ascii="Arial" w:eastAsia="Times New Roman" w:hAnsi="Arial" w:cs="Arial"/>
                <w:sz w:val="18"/>
                <w:szCs w:val="18"/>
              </w:rPr>
            </w:pPr>
            <w:r w:rsidRPr="005D1219">
              <w:rPr>
                <w:rFonts w:ascii="Arial" w:hAnsi="Arial" w:cs="Arial"/>
                <w:sz w:val="18"/>
                <w:szCs w:val="18"/>
              </w:rPr>
              <w:t xml:space="preserve"> 440 </w:t>
            </w:r>
          </w:p>
        </w:tc>
        <w:tc>
          <w:tcPr>
            <w:tcW w:w="1099" w:type="dxa"/>
            <w:tcBorders>
              <w:top w:val="nil"/>
              <w:left w:val="nil"/>
              <w:right w:val="nil"/>
            </w:tcBorders>
            <w:shd w:val="clear" w:color="auto" w:fill="auto"/>
            <w:vAlign w:val="bottom"/>
          </w:tcPr>
          <w:p w14:paraId="343B5075" w14:textId="1DF8D1BB" w:rsidR="00DB0F4B" w:rsidRPr="005D1219" w:rsidRDefault="00DB0F4B" w:rsidP="00DB0F4B">
            <w:pPr>
              <w:suppressAutoHyphens/>
              <w:autoSpaceDN w:val="0"/>
              <w:jc w:val="right"/>
              <w:rPr>
                <w:rFonts w:ascii="Arial" w:eastAsia="Times New Roman" w:hAnsi="Arial" w:cs="Arial"/>
                <w:b/>
                <w:bCs/>
                <w:sz w:val="18"/>
                <w:szCs w:val="18"/>
              </w:rPr>
            </w:pPr>
            <w:r w:rsidRPr="001A771C">
              <w:rPr>
                <w:rFonts w:ascii="Arial" w:hAnsi="Arial" w:cs="Arial"/>
                <w:b/>
                <w:bCs/>
                <w:sz w:val="18"/>
                <w:szCs w:val="18"/>
              </w:rPr>
              <w:t xml:space="preserve"> 14.637 </w:t>
            </w:r>
          </w:p>
        </w:tc>
      </w:tr>
      <w:tr w:rsidR="00DB0F4B" w:rsidRPr="003D1614" w14:paraId="5A193BBB" w14:textId="77777777" w:rsidTr="005D1219">
        <w:trPr>
          <w:trHeight w:val="176"/>
        </w:trPr>
        <w:tc>
          <w:tcPr>
            <w:tcW w:w="4148" w:type="dxa"/>
            <w:shd w:val="clear" w:color="auto" w:fill="auto"/>
            <w:hideMark/>
          </w:tcPr>
          <w:p w14:paraId="738274F3" w14:textId="77777777" w:rsidR="00DB0F4B" w:rsidRPr="003D1614" w:rsidRDefault="00DB0F4B" w:rsidP="00DB0F4B">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1</w:t>
            </w:r>
          </w:p>
        </w:tc>
        <w:tc>
          <w:tcPr>
            <w:tcW w:w="1036" w:type="dxa"/>
            <w:shd w:val="clear" w:color="auto" w:fill="auto"/>
            <w:vAlign w:val="bottom"/>
          </w:tcPr>
          <w:p w14:paraId="6ECD83D6" w14:textId="49247F94" w:rsidR="00DB0F4B" w:rsidRPr="003D1614" w:rsidRDefault="00DB0F4B" w:rsidP="00DB0F4B">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0" w:type="dxa"/>
            <w:shd w:val="clear" w:color="auto" w:fill="auto"/>
            <w:vAlign w:val="bottom"/>
          </w:tcPr>
          <w:p w14:paraId="5D47A8CB" w14:textId="183F32B3" w:rsidR="00DB0F4B" w:rsidRPr="003D1614" w:rsidRDefault="00DB0F4B" w:rsidP="00DB0F4B">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0" w:type="dxa"/>
            <w:shd w:val="clear" w:color="auto" w:fill="auto"/>
            <w:vAlign w:val="bottom"/>
          </w:tcPr>
          <w:p w14:paraId="21235DEC" w14:textId="4B88C003" w:rsidR="00DB0F4B" w:rsidRPr="003D1614" w:rsidRDefault="00DB0F4B" w:rsidP="00DB0F4B">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26" w:type="dxa"/>
            <w:shd w:val="clear" w:color="auto" w:fill="auto"/>
            <w:vAlign w:val="bottom"/>
          </w:tcPr>
          <w:p w14:paraId="64D6E8F8" w14:textId="583B1BC3" w:rsidR="00DB0F4B" w:rsidRPr="003D1614" w:rsidRDefault="00DB0F4B" w:rsidP="00DB0F4B">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99" w:type="dxa"/>
            <w:shd w:val="clear" w:color="auto" w:fill="auto"/>
            <w:vAlign w:val="bottom"/>
          </w:tcPr>
          <w:p w14:paraId="23B461D0" w14:textId="6EA4FE86" w:rsidR="00DB0F4B" w:rsidRPr="005D1219" w:rsidRDefault="00DB0F4B" w:rsidP="00DB0F4B">
            <w:pPr>
              <w:suppressAutoHyphens/>
              <w:autoSpaceDN w:val="0"/>
              <w:jc w:val="right"/>
              <w:rPr>
                <w:rFonts w:ascii="Arial" w:eastAsia="Times New Roman" w:hAnsi="Arial" w:cs="Arial"/>
                <w:b/>
                <w:bCs/>
                <w:sz w:val="18"/>
                <w:szCs w:val="18"/>
              </w:rPr>
            </w:pPr>
            <w:r w:rsidRPr="005D1219">
              <w:rPr>
                <w:rFonts w:ascii="Arial" w:eastAsia="Times New Roman" w:hAnsi="Arial" w:cs="Arial"/>
                <w:b/>
                <w:bCs/>
                <w:sz w:val="18"/>
                <w:szCs w:val="18"/>
              </w:rPr>
              <w:t>-</w:t>
            </w:r>
          </w:p>
        </w:tc>
      </w:tr>
      <w:tr w:rsidR="00DB0F4B" w:rsidRPr="003D1614" w14:paraId="26D99AFA" w14:textId="77777777" w:rsidTr="00764DAE">
        <w:trPr>
          <w:trHeight w:val="176"/>
        </w:trPr>
        <w:tc>
          <w:tcPr>
            <w:tcW w:w="4148" w:type="dxa"/>
            <w:shd w:val="clear" w:color="auto" w:fill="auto"/>
          </w:tcPr>
          <w:p w14:paraId="1515669A" w14:textId="77777777" w:rsidR="00DB0F4B" w:rsidRPr="003D1614" w:rsidRDefault="00DB0F4B" w:rsidP="00DB0F4B">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2</w:t>
            </w:r>
          </w:p>
        </w:tc>
        <w:tc>
          <w:tcPr>
            <w:tcW w:w="1036" w:type="dxa"/>
            <w:shd w:val="clear" w:color="auto" w:fill="auto"/>
            <w:vAlign w:val="bottom"/>
          </w:tcPr>
          <w:p w14:paraId="710DEA79" w14:textId="0378B128" w:rsidR="00DB0F4B" w:rsidRPr="003D1614" w:rsidRDefault="00DB0F4B" w:rsidP="00DB0F4B">
            <w:pPr>
              <w:suppressAutoHyphens/>
              <w:autoSpaceDN w:val="0"/>
              <w:jc w:val="right"/>
              <w:rPr>
                <w:rFonts w:ascii="Arial" w:eastAsia="Times New Roman" w:hAnsi="Arial" w:cs="Arial"/>
                <w:sz w:val="18"/>
                <w:szCs w:val="18"/>
              </w:rPr>
            </w:pPr>
            <w:r>
              <w:rPr>
                <w:rFonts w:ascii="Arial" w:eastAsia="Times New Roman" w:hAnsi="Arial" w:cs="Arial"/>
                <w:sz w:val="18"/>
                <w:szCs w:val="18"/>
              </w:rPr>
              <w:t>(1)</w:t>
            </w:r>
          </w:p>
        </w:tc>
        <w:tc>
          <w:tcPr>
            <w:tcW w:w="1030" w:type="dxa"/>
            <w:shd w:val="clear" w:color="auto" w:fill="auto"/>
            <w:vAlign w:val="bottom"/>
          </w:tcPr>
          <w:p w14:paraId="3DE91D91" w14:textId="335ADBE9" w:rsidR="00DB0F4B" w:rsidRPr="003D1614" w:rsidRDefault="00DB0F4B" w:rsidP="00DB0F4B">
            <w:pPr>
              <w:suppressAutoHyphens/>
              <w:autoSpaceDN w:val="0"/>
              <w:jc w:val="right"/>
              <w:rPr>
                <w:rFonts w:ascii="Arial" w:eastAsia="Times New Roman" w:hAnsi="Arial" w:cs="Arial"/>
                <w:sz w:val="18"/>
                <w:szCs w:val="18"/>
              </w:rPr>
            </w:pPr>
            <w:r>
              <w:rPr>
                <w:rFonts w:ascii="Arial" w:eastAsia="Times New Roman" w:hAnsi="Arial" w:cs="Arial"/>
                <w:sz w:val="18"/>
                <w:szCs w:val="18"/>
              </w:rPr>
              <w:t>1.201</w:t>
            </w:r>
          </w:p>
        </w:tc>
        <w:tc>
          <w:tcPr>
            <w:tcW w:w="1030" w:type="dxa"/>
            <w:shd w:val="clear" w:color="auto" w:fill="auto"/>
            <w:vAlign w:val="bottom"/>
          </w:tcPr>
          <w:p w14:paraId="33201606" w14:textId="15DCDCF9" w:rsidR="00DB0F4B" w:rsidRPr="003D1614" w:rsidRDefault="00DB0F4B" w:rsidP="00DB0F4B">
            <w:pPr>
              <w:suppressAutoHyphens/>
              <w:autoSpaceDN w:val="0"/>
              <w:jc w:val="right"/>
              <w:rPr>
                <w:rFonts w:ascii="Arial" w:eastAsia="Times New Roman" w:hAnsi="Arial" w:cs="Arial"/>
                <w:sz w:val="18"/>
                <w:szCs w:val="18"/>
              </w:rPr>
            </w:pPr>
            <w:r>
              <w:rPr>
                <w:rFonts w:ascii="Arial" w:eastAsia="Times New Roman" w:hAnsi="Arial" w:cs="Arial"/>
                <w:sz w:val="18"/>
                <w:szCs w:val="18"/>
              </w:rPr>
              <w:t>(1.200)</w:t>
            </w:r>
          </w:p>
        </w:tc>
        <w:tc>
          <w:tcPr>
            <w:tcW w:w="1026" w:type="dxa"/>
            <w:shd w:val="clear" w:color="auto" w:fill="auto"/>
            <w:vAlign w:val="bottom"/>
          </w:tcPr>
          <w:p w14:paraId="70F9AF8E" w14:textId="5515FB8C" w:rsidR="00DB0F4B" w:rsidRPr="003D1614" w:rsidRDefault="00DB0F4B" w:rsidP="00DB0F4B">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99" w:type="dxa"/>
            <w:shd w:val="clear" w:color="auto" w:fill="auto"/>
            <w:vAlign w:val="bottom"/>
          </w:tcPr>
          <w:p w14:paraId="35D0D073" w14:textId="47600173" w:rsidR="00DB0F4B" w:rsidRPr="005D1219" w:rsidRDefault="00DB0F4B" w:rsidP="00DB0F4B">
            <w:pPr>
              <w:suppressAutoHyphens/>
              <w:autoSpaceDN w:val="0"/>
              <w:jc w:val="right"/>
              <w:rPr>
                <w:rFonts w:ascii="Arial" w:eastAsia="Times New Roman" w:hAnsi="Arial" w:cs="Arial"/>
                <w:b/>
                <w:bCs/>
                <w:sz w:val="18"/>
                <w:szCs w:val="18"/>
              </w:rPr>
            </w:pPr>
            <w:r w:rsidRPr="005D1219">
              <w:rPr>
                <w:rFonts w:ascii="Arial" w:eastAsia="Times New Roman" w:hAnsi="Arial" w:cs="Arial"/>
                <w:b/>
                <w:bCs/>
                <w:sz w:val="18"/>
                <w:szCs w:val="18"/>
              </w:rPr>
              <w:t>-</w:t>
            </w:r>
          </w:p>
        </w:tc>
      </w:tr>
      <w:tr w:rsidR="00DB0F4B" w:rsidRPr="003D1614" w14:paraId="6CA596B8" w14:textId="77777777" w:rsidTr="00764DAE">
        <w:trPr>
          <w:trHeight w:val="176"/>
        </w:trPr>
        <w:tc>
          <w:tcPr>
            <w:tcW w:w="4148" w:type="dxa"/>
            <w:shd w:val="clear" w:color="auto" w:fill="auto"/>
          </w:tcPr>
          <w:p w14:paraId="051B4270" w14:textId="77777777" w:rsidR="00DB0F4B" w:rsidRPr="003D1614" w:rsidRDefault="00DB0F4B" w:rsidP="00DB0F4B">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Prijenos u Stupanj 3</w:t>
            </w:r>
          </w:p>
        </w:tc>
        <w:tc>
          <w:tcPr>
            <w:tcW w:w="1036" w:type="dxa"/>
            <w:shd w:val="clear" w:color="auto" w:fill="auto"/>
            <w:vAlign w:val="bottom"/>
          </w:tcPr>
          <w:p w14:paraId="01D07F75" w14:textId="6E266005" w:rsidR="00DB0F4B" w:rsidRPr="003D1614" w:rsidRDefault="001A771C" w:rsidP="00DB0F4B">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0" w:type="dxa"/>
            <w:shd w:val="clear" w:color="auto" w:fill="auto"/>
            <w:vAlign w:val="bottom"/>
          </w:tcPr>
          <w:p w14:paraId="36B66AE5" w14:textId="513E8724" w:rsidR="00DB0F4B" w:rsidRPr="003D1614" w:rsidRDefault="001A771C" w:rsidP="00DB0F4B">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30" w:type="dxa"/>
            <w:shd w:val="clear" w:color="auto" w:fill="auto"/>
            <w:vAlign w:val="bottom"/>
          </w:tcPr>
          <w:p w14:paraId="0F2FA04C" w14:textId="66D35C7F" w:rsidR="00DB0F4B" w:rsidRPr="003D1614" w:rsidRDefault="001A771C" w:rsidP="00DB0F4B">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26" w:type="dxa"/>
            <w:shd w:val="clear" w:color="auto" w:fill="auto"/>
            <w:vAlign w:val="bottom"/>
          </w:tcPr>
          <w:p w14:paraId="31254A91" w14:textId="55906DF8" w:rsidR="00DB0F4B" w:rsidRPr="003D1614" w:rsidRDefault="001A771C" w:rsidP="00DB0F4B">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99" w:type="dxa"/>
            <w:shd w:val="clear" w:color="auto" w:fill="auto"/>
            <w:vAlign w:val="bottom"/>
          </w:tcPr>
          <w:p w14:paraId="7EAA7709" w14:textId="20D7AA46" w:rsidR="00DB0F4B" w:rsidRPr="005D1219" w:rsidRDefault="001A771C" w:rsidP="00DB0F4B">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w:t>
            </w:r>
          </w:p>
        </w:tc>
      </w:tr>
      <w:tr w:rsidR="00DB0F4B" w:rsidRPr="003D1614" w14:paraId="0927F917" w14:textId="77777777" w:rsidTr="00764DAE">
        <w:trPr>
          <w:trHeight w:val="219"/>
        </w:trPr>
        <w:tc>
          <w:tcPr>
            <w:tcW w:w="4148" w:type="dxa"/>
            <w:tcBorders>
              <w:top w:val="nil"/>
              <w:left w:val="nil"/>
              <w:bottom w:val="nil"/>
              <w:right w:val="nil"/>
            </w:tcBorders>
            <w:shd w:val="clear" w:color="auto" w:fill="auto"/>
            <w:vAlign w:val="center"/>
            <w:hideMark/>
          </w:tcPr>
          <w:p w14:paraId="2793F3D3" w14:textId="2703D4E3" w:rsidR="00DB0F4B" w:rsidRPr="003D1614" w:rsidRDefault="00DB0F4B" w:rsidP="00DB0F4B">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 xml:space="preserve">Neto </w:t>
            </w:r>
            <w:r>
              <w:rPr>
                <w:rFonts w:ascii="Arial" w:eastAsia="Calibri" w:hAnsi="Arial" w:cs="Arial"/>
                <w:color w:val="000000" w:themeColor="text1"/>
                <w:sz w:val="18"/>
                <w:szCs w:val="18"/>
              </w:rPr>
              <w:t>(smanjenje)/povećanje</w:t>
            </w:r>
            <w:r w:rsidRPr="003D1614">
              <w:rPr>
                <w:rFonts w:ascii="Arial" w:eastAsia="Calibri" w:hAnsi="Arial" w:cs="Arial"/>
                <w:color w:val="000000" w:themeColor="text1"/>
                <w:sz w:val="18"/>
                <w:szCs w:val="18"/>
              </w:rPr>
              <w:t xml:space="preserve"> rezerviranja za očekivane gubitke </w:t>
            </w:r>
          </w:p>
        </w:tc>
        <w:tc>
          <w:tcPr>
            <w:tcW w:w="1036" w:type="dxa"/>
            <w:shd w:val="clear" w:color="auto" w:fill="auto"/>
            <w:vAlign w:val="bottom"/>
          </w:tcPr>
          <w:p w14:paraId="71FDBD8A" w14:textId="155AF917" w:rsidR="00DB0F4B" w:rsidRPr="003D1614" w:rsidRDefault="00DB0F4B" w:rsidP="00DB0F4B">
            <w:pPr>
              <w:suppressAutoHyphens/>
              <w:autoSpaceDN w:val="0"/>
              <w:jc w:val="right"/>
              <w:rPr>
                <w:rFonts w:ascii="Arial" w:eastAsia="Times New Roman" w:hAnsi="Arial" w:cs="Arial"/>
                <w:sz w:val="18"/>
                <w:szCs w:val="18"/>
              </w:rPr>
            </w:pPr>
            <w:r>
              <w:rPr>
                <w:rFonts w:ascii="Arial" w:eastAsia="Times New Roman" w:hAnsi="Arial" w:cs="Arial"/>
                <w:sz w:val="18"/>
                <w:szCs w:val="18"/>
              </w:rPr>
              <w:t>(2.248)</w:t>
            </w:r>
          </w:p>
        </w:tc>
        <w:tc>
          <w:tcPr>
            <w:tcW w:w="1030" w:type="dxa"/>
            <w:shd w:val="clear" w:color="auto" w:fill="auto"/>
            <w:vAlign w:val="bottom"/>
          </w:tcPr>
          <w:p w14:paraId="2E5D59CF" w14:textId="28B39733" w:rsidR="00DB0F4B" w:rsidRPr="003D1614" w:rsidRDefault="00DB0F4B" w:rsidP="00DB0F4B">
            <w:pPr>
              <w:suppressAutoHyphens/>
              <w:autoSpaceDN w:val="0"/>
              <w:jc w:val="right"/>
              <w:rPr>
                <w:rFonts w:ascii="Arial" w:eastAsia="Times New Roman" w:hAnsi="Arial" w:cs="Arial"/>
                <w:sz w:val="18"/>
                <w:szCs w:val="18"/>
              </w:rPr>
            </w:pPr>
            <w:r>
              <w:rPr>
                <w:rFonts w:ascii="Arial" w:eastAsia="Times New Roman" w:hAnsi="Arial" w:cs="Arial"/>
                <w:sz w:val="18"/>
                <w:szCs w:val="18"/>
              </w:rPr>
              <w:t>3.118</w:t>
            </w:r>
          </w:p>
        </w:tc>
        <w:tc>
          <w:tcPr>
            <w:tcW w:w="1030" w:type="dxa"/>
            <w:shd w:val="clear" w:color="auto" w:fill="auto"/>
            <w:vAlign w:val="bottom"/>
          </w:tcPr>
          <w:p w14:paraId="4E4B2BA5" w14:textId="7EE7247B" w:rsidR="00DB0F4B" w:rsidRPr="003D1614" w:rsidRDefault="00DB0F4B" w:rsidP="00DB0F4B">
            <w:pPr>
              <w:suppressAutoHyphens/>
              <w:autoSpaceDN w:val="0"/>
              <w:jc w:val="right"/>
              <w:rPr>
                <w:rFonts w:ascii="Arial" w:eastAsia="Times New Roman" w:hAnsi="Arial" w:cs="Arial"/>
                <w:sz w:val="18"/>
                <w:szCs w:val="18"/>
              </w:rPr>
            </w:pPr>
            <w:r>
              <w:rPr>
                <w:rFonts w:ascii="Arial" w:eastAsia="Times New Roman" w:hAnsi="Arial" w:cs="Arial"/>
                <w:sz w:val="18"/>
                <w:szCs w:val="18"/>
              </w:rPr>
              <w:t>(1.933)</w:t>
            </w:r>
          </w:p>
        </w:tc>
        <w:tc>
          <w:tcPr>
            <w:tcW w:w="1026" w:type="dxa"/>
            <w:shd w:val="clear" w:color="auto" w:fill="auto"/>
            <w:vAlign w:val="bottom"/>
          </w:tcPr>
          <w:p w14:paraId="34D643CA" w14:textId="0D8D2C36" w:rsidR="00DB0F4B" w:rsidRPr="003D1614" w:rsidRDefault="00DB0F4B" w:rsidP="00DB0F4B">
            <w:pPr>
              <w:suppressAutoHyphens/>
              <w:autoSpaceDN w:val="0"/>
              <w:jc w:val="right"/>
              <w:rPr>
                <w:rFonts w:ascii="Arial" w:eastAsia="Times New Roman" w:hAnsi="Arial" w:cs="Arial"/>
                <w:sz w:val="18"/>
                <w:szCs w:val="18"/>
              </w:rPr>
            </w:pPr>
            <w:r>
              <w:rPr>
                <w:rFonts w:ascii="Arial" w:eastAsia="Times New Roman" w:hAnsi="Arial" w:cs="Arial"/>
                <w:sz w:val="18"/>
                <w:szCs w:val="18"/>
              </w:rPr>
              <w:t>(281)</w:t>
            </w:r>
          </w:p>
        </w:tc>
        <w:tc>
          <w:tcPr>
            <w:tcW w:w="1099" w:type="dxa"/>
            <w:shd w:val="clear" w:color="auto" w:fill="auto"/>
            <w:vAlign w:val="bottom"/>
          </w:tcPr>
          <w:p w14:paraId="1AF376F9" w14:textId="2B8B994B" w:rsidR="00DB0F4B" w:rsidRPr="005D1219" w:rsidRDefault="00DB0F4B" w:rsidP="00DB0F4B">
            <w:pPr>
              <w:suppressAutoHyphens/>
              <w:autoSpaceDN w:val="0"/>
              <w:jc w:val="right"/>
              <w:rPr>
                <w:rFonts w:ascii="Arial" w:eastAsia="Times New Roman" w:hAnsi="Arial" w:cs="Arial"/>
                <w:b/>
                <w:bCs/>
                <w:sz w:val="18"/>
                <w:szCs w:val="18"/>
              </w:rPr>
            </w:pPr>
            <w:r w:rsidRPr="005D1219">
              <w:rPr>
                <w:rFonts w:ascii="Arial" w:eastAsia="Times New Roman" w:hAnsi="Arial" w:cs="Arial"/>
                <w:b/>
                <w:bCs/>
                <w:sz w:val="18"/>
                <w:szCs w:val="18"/>
              </w:rPr>
              <w:t>(1.344)</w:t>
            </w:r>
          </w:p>
        </w:tc>
      </w:tr>
      <w:tr w:rsidR="00DB0F4B" w:rsidRPr="003D1614" w14:paraId="415A3040" w14:textId="77777777" w:rsidTr="00764DAE">
        <w:trPr>
          <w:trHeight w:val="184"/>
        </w:trPr>
        <w:tc>
          <w:tcPr>
            <w:tcW w:w="4148" w:type="dxa"/>
            <w:tcBorders>
              <w:top w:val="nil"/>
              <w:left w:val="nil"/>
              <w:bottom w:val="nil"/>
              <w:right w:val="nil"/>
            </w:tcBorders>
            <w:shd w:val="clear" w:color="auto" w:fill="auto"/>
            <w:vAlign w:val="center"/>
            <w:hideMark/>
          </w:tcPr>
          <w:p w14:paraId="5D8B9788" w14:textId="77777777" w:rsidR="00DB0F4B" w:rsidRPr="003D1614" w:rsidRDefault="00DB0F4B" w:rsidP="00DB0F4B">
            <w:pPr>
              <w:suppressAutoHyphens/>
              <w:autoSpaceDN w:val="0"/>
              <w:rPr>
                <w:rFonts w:ascii="Arial" w:eastAsia="Calibri" w:hAnsi="Arial" w:cs="Arial"/>
                <w:color w:val="000000" w:themeColor="text1"/>
                <w:sz w:val="18"/>
                <w:szCs w:val="18"/>
              </w:rPr>
            </w:pPr>
            <w:r w:rsidRPr="003D1614">
              <w:rPr>
                <w:rFonts w:ascii="Arial" w:eastAsia="Calibri" w:hAnsi="Arial" w:cs="Arial"/>
                <w:color w:val="000000" w:themeColor="text1"/>
                <w:sz w:val="18"/>
                <w:szCs w:val="18"/>
              </w:rPr>
              <w:t>Neto dobit/gubitak od tečajnih razlika po rezerviranjima za očekivane gubitke</w:t>
            </w:r>
          </w:p>
        </w:tc>
        <w:tc>
          <w:tcPr>
            <w:tcW w:w="1036" w:type="dxa"/>
            <w:tcBorders>
              <w:top w:val="nil"/>
              <w:left w:val="nil"/>
              <w:bottom w:val="single" w:sz="8" w:space="0" w:color="auto"/>
              <w:right w:val="nil"/>
            </w:tcBorders>
            <w:shd w:val="clear" w:color="auto" w:fill="auto"/>
            <w:vAlign w:val="bottom"/>
          </w:tcPr>
          <w:p w14:paraId="4F4134BE" w14:textId="25848DD1" w:rsidR="00DB0F4B" w:rsidRPr="003D1614" w:rsidRDefault="00DB0F4B" w:rsidP="00DB0F4B">
            <w:pPr>
              <w:suppressAutoHyphens/>
              <w:autoSpaceDN w:val="0"/>
              <w:jc w:val="right"/>
              <w:rPr>
                <w:rFonts w:ascii="Arial" w:eastAsia="Times New Roman" w:hAnsi="Arial" w:cs="Arial"/>
                <w:sz w:val="18"/>
                <w:szCs w:val="18"/>
              </w:rPr>
            </w:pPr>
            <w:r>
              <w:rPr>
                <w:rFonts w:ascii="Arial" w:eastAsia="Times New Roman" w:hAnsi="Arial" w:cs="Arial"/>
                <w:sz w:val="18"/>
                <w:szCs w:val="18"/>
              </w:rPr>
              <w:t>1</w:t>
            </w:r>
          </w:p>
        </w:tc>
        <w:tc>
          <w:tcPr>
            <w:tcW w:w="1030" w:type="dxa"/>
            <w:tcBorders>
              <w:top w:val="nil"/>
              <w:left w:val="nil"/>
              <w:bottom w:val="single" w:sz="8" w:space="0" w:color="auto"/>
              <w:right w:val="nil"/>
            </w:tcBorders>
            <w:shd w:val="clear" w:color="auto" w:fill="auto"/>
            <w:vAlign w:val="bottom"/>
          </w:tcPr>
          <w:p w14:paraId="13912BED" w14:textId="4ACDC596" w:rsidR="00DB0F4B" w:rsidRPr="003D1614" w:rsidRDefault="00DB0F4B" w:rsidP="00DB0F4B">
            <w:pPr>
              <w:suppressAutoHyphens/>
              <w:autoSpaceDN w:val="0"/>
              <w:jc w:val="right"/>
              <w:rPr>
                <w:rFonts w:ascii="Arial" w:eastAsia="Times New Roman" w:hAnsi="Arial" w:cs="Arial"/>
                <w:sz w:val="18"/>
                <w:szCs w:val="18"/>
              </w:rPr>
            </w:pPr>
            <w:r>
              <w:rPr>
                <w:rFonts w:ascii="Arial" w:eastAsia="Times New Roman" w:hAnsi="Arial" w:cs="Arial"/>
                <w:sz w:val="18"/>
                <w:szCs w:val="18"/>
              </w:rPr>
              <w:t>(90)</w:t>
            </w:r>
          </w:p>
        </w:tc>
        <w:tc>
          <w:tcPr>
            <w:tcW w:w="1030" w:type="dxa"/>
            <w:tcBorders>
              <w:top w:val="nil"/>
              <w:left w:val="nil"/>
              <w:bottom w:val="single" w:sz="8" w:space="0" w:color="auto"/>
              <w:right w:val="nil"/>
            </w:tcBorders>
            <w:shd w:val="clear" w:color="auto" w:fill="auto"/>
            <w:vAlign w:val="bottom"/>
          </w:tcPr>
          <w:p w14:paraId="434EE0D7" w14:textId="0CABF77B" w:rsidR="00DB0F4B" w:rsidRPr="003D1614" w:rsidRDefault="001A771C" w:rsidP="00DB0F4B">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26" w:type="dxa"/>
            <w:tcBorders>
              <w:top w:val="nil"/>
              <w:left w:val="nil"/>
              <w:bottom w:val="single" w:sz="8" w:space="0" w:color="auto"/>
              <w:right w:val="nil"/>
            </w:tcBorders>
            <w:shd w:val="clear" w:color="auto" w:fill="auto"/>
            <w:vAlign w:val="bottom"/>
          </w:tcPr>
          <w:p w14:paraId="4414655B" w14:textId="3C41D811" w:rsidR="00DB0F4B" w:rsidRPr="003D1614" w:rsidRDefault="001A771C" w:rsidP="00DB0F4B">
            <w:pPr>
              <w:suppressAutoHyphens/>
              <w:autoSpaceDN w:val="0"/>
              <w:jc w:val="right"/>
              <w:rPr>
                <w:rFonts w:ascii="Arial" w:eastAsia="Times New Roman" w:hAnsi="Arial" w:cs="Arial"/>
                <w:sz w:val="18"/>
                <w:szCs w:val="18"/>
              </w:rPr>
            </w:pPr>
            <w:r>
              <w:rPr>
                <w:rFonts w:ascii="Arial" w:eastAsia="Times New Roman" w:hAnsi="Arial" w:cs="Arial"/>
                <w:sz w:val="18"/>
                <w:szCs w:val="18"/>
              </w:rPr>
              <w:t>-</w:t>
            </w:r>
          </w:p>
        </w:tc>
        <w:tc>
          <w:tcPr>
            <w:tcW w:w="1099" w:type="dxa"/>
            <w:tcBorders>
              <w:top w:val="nil"/>
              <w:left w:val="nil"/>
              <w:bottom w:val="single" w:sz="8" w:space="0" w:color="auto"/>
              <w:right w:val="nil"/>
            </w:tcBorders>
            <w:shd w:val="clear" w:color="auto" w:fill="auto"/>
            <w:vAlign w:val="bottom"/>
          </w:tcPr>
          <w:p w14:paraId="5D813850" w14:textId="02B8E7F1" w:rsidR="00DB0F4B" w:rsidRPr="005D1219" w:rsidRDefault="00DB0F4B" w:rsidP="00DB0F4B">
            <w:pPr>
              <w:suppressAutoHyphens/>
              <w:autoSpaceDN w:val="0"/>
              <w:jc w:val="right"/>
              <w:rPr>
                <w:rFonts w:ascii="Arial" w:eastAsia="Times New Roman" w:hAnsi="Arial" w:cs="Arial"/>
                <w:b/>
                <w:bCs/>
                <w:sz w:val="18"/>
                <w:szCs w:val="18"/>
              </w:rPr>
            </w:pPr>
            <w:r w:rsidRPr="005D1219">
              <w:rPr>
                <w:rFonts w:ascii="Arial" w:eastAsia="Times New Roman" w:hAnsi="Arial" w:cs="Arial"/>
                <w:b/>
                <w:bCs/>
                <w:sz w:val="18"/>
                <w:szCs w:val="18"/>
              </w:rPr>
              <w:t>(89)</w:t>
            </w:r>
          </w:p>
        </w:tc>
      </w:tr>
      <w:tr w:rsidR="00DB0F4B" w:rsidRPr="003D1614" w14:paraId="4B021860" w14:textId="77777777" w:rsidTr="00764DAE">
        <w:trPr>
          <w:trHeight w:val="184"/>
        </w:trPr>
        <w:tc>
          <w:tcPr>
            <w:tcW w:w="4148" w:type="dxa"/>
            <w:tcBorders>
              <w:top w:val="nil"/>
              <w:left w:val="nil"/>
              <w:bottom w:val="nil"/>
              <w:right w:val="nil"/>
            </w:tcBorders>
            <w:shd w:val="clear" w:color="auto" w:fill="auto"/>
            <w:vAlign w:val="bottom"/>
            <w:hideMark/>
          </w:tcPr>
          <w:p w14:paraId="3BF9E343" w14:textId="2C862D36" w:rsidR="00DB0F4B" w:rsidRPr="003D1614" w:rsidRDefault="00DB0F4B" w:rsidP="00DB0F4B">
            <w:pPr>
              <w:suppressAutoHyphens/>
              <w:autoSpaceDN w:val="0"/>
              <w:rPr>
                <w:rFonts w:ascii="Arial" w:eastAsia="Calibri" w:hAnsi="Arial" w:cs="Arial"/>
                <w:b/>
                <w:bCs/>
                <w:color w:val="000000" w:themeColor="text1"/>
                <w:sz w:val="18"/>
                <w:szCs w:val="18"/>
              </w:rPr>
            </w:pPr>
            <w:r w:rsidRPr="003D1614">
              <w:rPr>
                <w:rFonts w:ascii="Arial" w:eastAsia="Calibri" w:hAnsi="Arial" w:cs="Arial"/>
                <w:b/>
                <w:bCs/>
                <w:color w:val="000000" w:themeColor="text1"/>
                <w:sz w:val="18"/>
                <w:szCs w:val="18"/>
              </w:rPr>
              <w:t>Stanje 31. ožujka 202</w:t>
            </w:r>
            <w:r>
              <w:rPr>
                <w:rFonts w:ascii="Arial" w:eastAsia="Calibri" w:hAnsi="Arial" w:cs="Arial"/>
                <w:b/>
                <w:bCs/>
                <w:color w:val="000000" w:themeColor="text1"/>
                <w:sz w:val="18"/>
                <w:szCs w:val="18"/>
              </w:rPr>
              <w:t>4</w:t>
            </w:r>
            <w:r w:rsidRPr="003D1614">
              <w:rPr>
                <w:rFonts w:ascii="Arial" w:eastAsia="Calibri" w:hAnsi="Arial" w:cs="Arial"/>
                <w:b/>
                <w:bCs/>
                <w:color w:val="000000" w:themeColor="text1"/>
                <w:sz w:val="18"/>
                <w:szCs w:val="18"/>
              </w:rPr>
              <w:t>.</w:t>
            </w:r>
          </w:p>
        </w:tc>
        <w:tc>
          <w:tcPr>
            <w:tcW w:w="1036" w:type="dxa"/>
            <w:tcBorders>
              <w:top w:val="nil"/>
              <w:left w:val="nil"/>
              <w:bottom w:val="single" w:sz="12" w:space="0" w:color="auto"/>
              <w:right w:val="nil"/>
            </w:tcBorders>
            <w:shd w:val="clear" w:color="auto" w:fill="auto"/>
            <w:vAlign w:val="bottom"/>
          </w:tcPr>
          <w:p w14:paraId="7C905D46" w14:textId="134A1CC4" w:rsidR="00DB0F4B" w:rsidRPr="003D1614" w:rsidRDefault="001A771C" w:rsidP="00DB0F4B">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1.995</w:t>
            </w:r>
          </w:p>
        </w:tc>
        <w:tc>
          <w:tcPr>
            <w:tcW w:w="1030" w:type="dxa"/>
            <w:tcBorders>
              <w:top w:val="nil"/>
              <w:left w:val="nil"/>
              <w:bottom w:val="single" w:sz="12" w:space="0" w:color="auto"/>
              <w:right w:val="nil"/>
            </w:tcBorders>
            <w:shd w:val="clear" w:color="auto" w:fill="auto"/>
            <w:vAlign w:val="bottom"/>
          </w:tcPr>
          <w:p w14:paraId="495741C3" w14:textId="27A558E2" w:rsidR="00DB0F4B" w:rsidRPr="003D1614" w:rsidRDefault="001A771C" w:rsidP="00DB0F4B">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9.609</w:t>
            </w:r>
          </w:p>
        </w:tc>
        <w:tc>
          <w:tcPr>
            <w:tcW w:w="1030" w:type="dxa"/>
            <w:tcBorders>
              <w:top w:val="nil"/>
              <w:left w:val="nil"/>
              <w:bottom w:val="single" w:sz="12" w:space="0" w:color="auto"/>
              <w:right w:val="nil"/>
            </w:tcBorders>
            <w:shd w:val="clear" w:color="auto" w:fill="auto"/>
            <w:vAlign w:val="bottom"/>
          </w:tcPr>
          <w:p w14:paraId="3382AF15" w14:textId="54307EC6" w:rsidR="00DB0F4B" w:rsidRPr="003D1614" w:rsidRDefault="001A771C" w:rsidP="00DB0F4B">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1.441</w:t>
            </w:r>
          </w:p>
        </w:tc>
        <w:tc>
          <w:tcPr>
            <w:tcW w:w="1026" w:type="dxa"/>
            <w:tcBorders>
              <w:top w:val="nil"/>
              <w:left w:val="nil"/>
              <w:bottom w:val="single" w:sz="12" w:space="0" w:color="auto"/>
              <w:right w:val="nil"/>
            </w:tcBorders>
            <w:shd w:val="clear" w:color="auto" w:fill="auto"/>
            <w:vAlign w:val="bottom"/>
          </w:tcPr>
          <w:p w14:paraId="378378EB" w14:textId="483A0152" w:rsidR="00DB0F4B" w:rsidRPr="003D1614" w:rsidRDefault="001A771C" w:rsidP="00DB0F4B">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159</w:t>
            </w:r>
          </w:p>
        </w:tc>
        <w:tc>
          <w:tcPr>
            <w:tcW w:w="1099" w:type="dxa"/>
            <w:tcBorders>
              <w:top w:val="nil"/>
              <w:left w:val="nil"/>
              <w:bottom w:val="single" w:sz="12" w:space="0" w:color="auto"/>
              <w:right w:val="nil"/>
            </w:tcBorders>
            <w:shd w:val="clear" w:color="auto" w:fill="auto"/>
            <w:vAlign w:val="bottom"/>
          </w:tcPr>
          <w:p w14:paraId="49C2A35E" w14:textId="1B0A1DCF" w:rsidR="00DB0F4B" w:rsidRPr="003D1614" w:rsidRDefault="001A771C" w:rsidP="00DB0F4B">
            <w:pPr>
              <w:suppressAutoHyphens/>
              <w:autoSpaceDN w:val="0"/>
              <w:jc w:val="right"/>
              <w:rPr>
                <w:rFonts w:ascii="Arial" w:eastAsia="Times New Roman" w:hAnsi="Arial" w:cs="Arial"/>
                <w:b/>
                <w:bCs/>
                <w:sz w:val="18"/>
                <w:szCs w:val="18"/>
              </w:rPr>
            </w:pPr>
            <w:r>
              <w:rPr>
                <w:rFonts w:ascii="Arial" w:eastAsia="Times New Roman" w:hAnsi="Arial" w:cs="Arial"/>
                <w:b/>
                <w:bCs/>
                <w:sz w:val="18"/>
                <w:szCs w:val="18"/>
              </w:rPr>
              <w:t>13.204</w:t>
            </w:r>
          </w:p>
        </w:tc>
      </w:tr>
    </w:tbl>
    <w:p w14:paraId="13A772D3" w14:textId="497D41B0"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654DC7CA" w14:textId="73F67BD4"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51F95FFD" w14:textId="61233FF6" w:rsidR="00A269B5" w:rsidRDefault="00A269B5" w:rsidP="001A0FCB">
      <w:pPr>
        <w:suppressAutoHyphens/>
        <w:autoSpaceDN w:val="0"/>
        <w:jc w:val="both"/>
        <w:rPr>
          <w:rFonts w:ascii="Arial" w:eastAsia="Times New Roman" w:hAnsi="Arial" w:cs="Arial"/>
          <w:color w:val="000000" w:themeColor="text1"/>
          <w:sz w:val="20"/>
          <w:szCs w:val="20"/>
        </w:rPr>
      </w:pPr>
    </w:p>
    <w:p w14:paraId="32080D6A" w14:textId="77777777" w:rsidR="001675D9" w:rsidRDefault="001675D9" w:rsidP="001A0FCB">
      <w:pPr>
        <w:suppressAutoHyphens/>
        <w:autoSpaceDN w:val="0"/>
        <w:jc w:val="both"/>
        <w:rPr>
          <w:rFonts w:ascii="Arial" w:eastAsia="Times New Roman" w:hAnsi="Arial" w:cs="Arial"/>
          <w:color w:val="000000" w:themeColor="text1"/>
          <w:sz w:val="20"/>
          <w:szCs w:val="20"/>
        </w:rPr>
      </w:pPr>
    </w:p>
    <w:tbl>
      <w:tblPr>
        <w:tblW w:w="9369" w:type="dxa"/>
        <w:tblInd w:w="-180" w:type="dxa"/>
        <w:tblLook w:val="04A0" w:firstRow="1" w:lastRow="0" w:firstColumn="1" w:lastColumn="0" w:noHBand="0" w:noVBand="1"/>
      </w:tblPr>
      <w:tblGrid>
        <w:gridCol w:w="4148"/>
        <w:gridCol w:w="1036"/>
        <w:gridCol w:w="1030"/>
        <w:gridCol w:w="1030"/>
        <w:gridCol w:w="1026"/>
        <w:gridCol w:w="1099"/>
      </w:tblGrid>
      <w:tr w:rsidR="001675D9" w:rsidRPr="001B015B" w14:paraId="4C20F090" w14:textId="77777777" w:rsidTr="00CA7F04">
        <w:trPr>
          <w:trHeight w:val="176"/>
        </w:trPr>
        <w:tc>
          <w:tcPr>
            <w:tcW w:w="4148" w:type="dxa"/>
            <w:tcBorders>
              <w:top w:val="nil"/>
              <w:left w:val="nil"/>
              <w:bottom w:val="nil"/>
              <w:right w:val="nil"/>
            </w:tcBorders>
            <w:shd w:val="clear" w:color="auto" w:fill="auto"/>
            <w:vAlign w:val="center"/>
          </w:tcPr>
          <w:p w14:paraId="154881F0" w14:textId="77777777" w:rsidR="001675D9" w:rsidRPr="001B015B" w:rsidRDefault="001675D9" w:rsidP="00CA7F04">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Grupa i Banka</w:t>
            </w:r>
          </w:p>
        </w:tc>
        <w:tc>
          <w:tcPr>
            <w:tcW w:w="1036" w:type="dxa"/>
            <w:tcBorders>
              <w:top w:val="nil"/>
              <w:left w:val="nil"/>
              <w:bottom w:val="nil"/>
              <w:right w:val="nil"/>
            </w:tcBorders>
            <w:shd w:val="clear" w:color="auto" w:fill="auto"/>
            <w:vAlign w:val="center"/>
          </w:tcPr>
          <w:p w14:paraId="19AD9108" w14:textId="77777777" w:rsidR="001675D9" w:rsidRPr="001B015B" w:rsidRDefault="001675D9" w:rsidP="00CA7F04">
            <w:pPr>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vAlign w:val="center"/>
          </w:tcPr>
          <w:p w14:paraId="32A1A644" w14:textId="77777777" w:rsidR="001675D9" w:rsidRPr="001B015B" w:rsidRDefault="001675D9" w:rsidP="00CA7F04">
            <w:pPr>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vAlign w:val="center"/>
          </w:tcPr>
          <w:p w14:paraId="7E7447AE" w14:textId="77777777" w:rsidR="001675D9" w:rsidRPr="001B015B" w:rsidRDefault="001675D9" w:rsidP="00CA7F04">
            <w:pPr>
              <w:jc w:val="right"/>
              <w:rPr>
                <w:rFonts w:ascii="Arial" w:eastAsia="Calibri" w:hAnsi="Arial" w:cs="Arial"/>
                <w:b/>
                <w:bCs/>
                <w:color w:val="000000" w:themeColor="text1"/>
                <w:sz w:val="18"/>
                <w:szCs w:val="18"/>
              </w:rPr>
            </w:pPr>
          </w:p>
        </w:tc>
        <w:tc>
          <w:tcPr>
            <w:tcW w:w="1026" w:type="dxa"/>
            <w:tcBorders>
              <w:top w:val="nil"/>
              <w:left w:val="nil"/>
              <w:bottom w:val="nil"/>
              <w:right w:val="nil"/>
            </w:tcBorders>
            <w:shd w:val="clear" w:color="auto" w:fill="auto"/>
            <w:vAlign w:val="center"/>
          </w:tcPr>
          <w:p w14:paraId="4DEEDB44" w14:textId="77777777" w:rsidR="001675D9" w:rsidRPr="001B015B" w:rsidRDefault="001675D9" w:rsidP="00CA7F04">
            <w:pPr>
              <w:jc w:val="right"/>
              <w:rPr>
                <w:rFonts w:ascii="Arial" w:eastAsia="Calibri" w:hAnsi="Arial" w:cs="Arial"/>
                <w:b/>
                <w:bCs/>
                <w:color w:val="000000" w:themeColor="text1"/>
                <w:sz w:val="18"/>
                <w:szCs w:val="18"/>
              </w:rPr>
            </w:pPr>
          </w:p>
        </w:tc>
        <w:tc>
          <w:tcPr>
            <w:tcW w:w="1099" w:type="dxa"/>
            <w:tcBorders>
              <w:top w:val="nil"/>
              <w:left w:val="nil"/>
              <w:bottom w:val="nil"/>
              <w:right w:val="nil"/>
            </w:tcBorders>
            <w:shd w:val="clear" w:color="auto" w:fill="auto"/>
            <w:vAlign w:val="center"/>
          </w:tcPr>
          <w:p w14:paraId="5F5E9FAF" w14:textId="77777777" w:rsidR="001675D9" w:rsidRPr="001B015B" w:rsidRDefault="001675D9" w:rsidP="00CA7F04">
            <w:pPr>
              <w:jc w:val="right"/>
              <w:rPr>
                <w:rFonts w:ascii="Arial" w:eastAsia="Calibri" w:hAnsi="Arial" w:cs="Arial"/>
                <w:b/>
                <w:bCs/>
                <w:color w:val="000000" w:themeColor="text1"/>
                <w:sz w:val="18"/>
                <w:szCs w:val="18"/>
              </w:rPr>
            </w:pPr>
          </w:p>
        </w:tc>
      </w:tr>
      <w:tr w:rsidR="001675D9" w:rsidRPr="001B015B" w14:paraId="3E2E1823" w14:textId="77777777" w:rsidTr="00CA7F04">
        <w:trPr>
          <w:trHeight w:val="176"/>
        </w:trPr>
        <w:tc>
          <w:tcPr>
            <w:tcW w:w="4148" w:type="dxa"/>
            <w:tcBorders>
              <w:top w:val="nil"/>
              <w:left w:val="nil"/>
              <w:bottom w:val="nil"/>
              <w:right w:val="nil"/>
            </w:tcBorders>
            <w:shd w:val="clear" w:color="auto" w:fill="auto"/>
            <w:vAlign w:val="center"/>
            <w:hideMark/>
          </w:tcPr>
          <w:p w14:paraId="26B9A50C" w14:textId="77777777" w:rsidR="001675D9" w:rsidRPr="001B015B" w:rsidRDefault="001675D9" w:rsidP="00CA7F04">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31. prosinca 202</w:t>
            </w:r>
            <w:r>
              <w:rPr>
                <w:rFonts w:ascii="Arial" w:eastAsia="Calibri" w:hAnsi="Arial" w:cs="Arial"/>
                <w:b/>
                <w:bCs/>
                <w:color w:val="000000" w:themeColor="text1"/>
                <w:sz w:val="18"/>
                <w:szCs w:val="18"/>
              </w:rPr>
              <w:t>3</w:t>
            </w:r>
            <w:r w:rsidRPr="001B015B">
              <w:rPr>
                <w:rFonts w:ascii="Arial" w:eastAsia="Calibri" w:hAnsi="Arial" w:cs="Arial"/>
                <w:b/>
                <w:bCs/>
                <w:color w:val="000000" w:themeColor="text1"/>
                <w:sz w:val="18"/>
                <w:szCs w:val="18"/>
              </w:rPr>
              <w:t>.</w:t>
            </w:r>
          </w:p>
        </w:tc>
        <w:tc>
          <w:tcPr>
            <w:tcW w:w="1036" w:type="dxa"/>
            <w:tcBorders>
              <w:top w:val="nil"/>
              <w:left w:val="nil"/>
              <w:bottom w:val="nil"/>
              <w:right w:val="nil"/>
            </w:tcBorders>
            <w:shd w:val="clear" w:color="auto" w:fill="auto"/>
            <w:vAlign w:val="center"/>
            <w:hideMark/>
          </w:tcPr>
          <w:p w14:paraId="3AFD83F1" w14:textId="77777777" w:rsidR="001675D9" w:rsidRPr="001B015B" w:rsidRDefault="001675D9"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1</w:t>
            </w:r>
          </w:p>
        </w:tc>
        <w:tc>
          <w:tcPr>
            <w:tcW w:w="1030" w:type="dxa"/>
            <w:tcBorders>
              <w:top w:val="nil"/>
              <w:left w:val="nil"/>
              <w:bottom w:val="nil"/>
              <w:right w:val="nil"/>
            </w:tcBorders>
            <w:shd w:val="clear" w:color="auto" w:fill="auto"/>
            <w:vAlign w:val="center"/>
            <w:hideMark/>
          </w:tcPr>
          <w:p w14:paraId="2ABB9270" w14:textId="77777777" w:rsidR="001675D9" w:rsidRPr="001B015B" w:rsidRDefault="001675D9"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2</w:t>
            </w:r>
          </w:p>
        </w:tc>
        <w:tc>
          <w:tcPr>
            <w:tcW w:w="1030" w:type="dxa"/>
            <w:tcBorders>
              <w:top w:val="nil"/>
              <w:left w:val="nil"/>
              <w:bottom w:val="nil"/>
              <w:right w:val="nil"/>
            </w:tcBorders>
            <w:shd w:val="clear" w:color="auto" w:fill="auto"/>
            <w:vAlign w:val="center"/>
            <w:hideMark/>
          </w:tcPr>
          <w:p w14:paraId="78ED9D03" w14:textId="77777777" w:rsidR="001675D9" w:rsidRPr="001B015B" w:rsidRDefault="001675D9"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Stupanj 3</w:t>
            </w:r>
          </w:p>
        </w:tc>
        <w:tc>
          <w:tcPr>
            <w:tcW w:w="1026" w:type="dxa"/>
            <w:tcBorders>
              <w:top w:val="nil"/>
              <w:left w:val="nil"/>
              <w:bottom w:val="nil"/>
              <w:right w:val="nil"/>
            </w:tcBorders>
            <w:shd w:val="clear" w:color="auto" w:fill="auto"/>
            <w:vAlign w:val="center"/>
            <w:hideMark/>
          </w:tcPr>
          <w:p w14:paraId="4EAD837C" w14:textId="77777777" w:rsidR="001675D9" w:rsidRPr="001B015B" w:rsidRDefault="001675D9"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POCI</w:t>
            </w:r>
          </w:p>
        </w:tc>
        <w:tc>
          <w:tcPr>
            <w:tcW w:w="1099" w:type="dxa"/>
            <w:tcBorders>
              <w:top w:val="nil"/>
              <w:left w:val="nil"/>
              <w:bottom w:val="nil"/>
              <w:right w:val="nil"/>
            </w:tcBorders>
            <w:shd w:val="clear" w:color="auto" w:fill="auto"/>
            <w:vAlign w:val="center"/>
            <w:hideMark/>
          </w:tcPr>
          <w:p w14:paraId="719A0E93" w14:textId="77777777" w:rsidR="001675D9" w:rsidRPr="001B015B" w:rsidRDefault="001675D9" w:rsidP="00CA7F04">
            <w:pPr>
              <w:jc w:val="right"/>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Ukupno</w:t>
            </w:r>
          </w:p>
        </w:tc>
      </w:tr>
      <w:tr w:rsidR="001675D9" w:rsidRPr="001B015B" w14:paraId="5E0CA10B" w14:textId="77777777" w:rsidTr="00CA7F04">
        <w:trPr>
          <w:trHeight w:val="176"/>
        </w:trPr>
        <w:tc>
          <w:tcPr>
            <w:tcW w:w="4148" w:type="dxa"/>
            <w:tcBorders>
              <w:top w:val="nil"/>
              <w:left w:val="nil"/>
              <w:bottom w:val="nil"/>
              <w:right w:val="nil"/>
            </w:tcBorders>
            <w:shd w:val="clear" w:color="auto" w:fill="auto"/>
            <w:vAlign w:val="center"/>
            <w:hideMark/>
          </w:tcPr>
          <w:p w14:paraId="0960BE93" w14:textId="77777777" w:rsidR="001675D9" w:rsidRPr="001B015B" w:rsidRDefault="001675D9" w:rsidP="00CA7F04">
            <w:pPr>
              <w:jc w:val="right"/>
              <w:rPr>
                <w:rFonts w:ascii="Arial" w:eastAsia="Calibri" w:hAnsi="Arial" w:cs="Arial"/>
                <w:b/>
                <w:bCs/>
                <w:color w:val="000000" w:themeColor="text1"/>
                <w:sz w:val="18"/>
                <w:szCs w:val="18"/>
              </w:rPr>
            </w:pPr>
          </w:p>
        </w:tc>
        <w:tc>
          <w:tcPr>
            <w:tcW w:w="1036" w:type="dxa"/>
            <w:tcBorders>
              <w:top w:val="nil"/>
              <w:left w:val="nil"/>
              <w:bottom w:val="nil"/>
              <w:right w:val="nil"/>
            </w:tcBorders>
            <w:shd w:val="clear" w:color="auto" w:fill="auto"/>
            <w:vAlign w:val="bottom"/>
            <w:hideMark/>
          </w:tcPr>
          <w:p w14:paraId="5F7BC84B" w14:textId="77777777" w:rsidR="001675D9" w:rsidRPr="001B015B" w:rsidRDefault="001675D9" w:rsidP="00CA7F04">
            <w:pPr>
              <w:jc w:val="right"/>
              <w:rPr>
                <w:rFonts w:ascii="Arial" w:eastAsia="Calibri" w:hAnsi="Arial" w:cs="Arial"/>
                <w:b/>
                <w:bCs/>
                <w:color w:val="000000" w:themeColor="text1"/>
                <w:sz w:val="18"/>
                <w:szCs w:val="18"/>
              </w:rPr>
            </w:pPr>
            <w:r w:rsidRPr="003759CC">
              <w:rPr>
                <w:rFonts w:ascii="Arial" w:eastAsia="Calibri" w:hAnsi="Arial" w:cs="Arial"/>
                <w:b/>
                <w:bCs/>
                <w:color w:val="000000" w:themeColor="text1"/>
                <w:sz w:val="18"/>
                <w:szCs w:val="18"/>
              </w:rPr>
              <w:t>000 eura</w:t>
            </w:r>
          </w:p>
        </w:tc>
        <w:tc>
          <w:tcPr>
            <w:tcW w:w="1030" w:type="dxa"/>
            <w:tcBorders>
              <w:top w:val="nil"/>
              <w:left w:val="nil"/>
              <w:bottom w:val="nil"/>
              <w:right w:val="nil"/>
            </w:tcBorders>
            <w:shd w:val="clear" w:color="auto" w:fill="auto"/>
            <w:vAlign w:val="bottom"/>
            <w:hideMark/>
          </w:tcPr>
          <w:p w14:paraId="2ABFDC9C" w14:textId="77777777" w:rsidR="001675D9" w:rsidRPr="001B015B" w:rsidRDefault="001675D9" w:rsidP="00CA7F04">
            <w:pPr>
              <w:jc w:val="right"/>
              <w:rPr>
                <w:rFonts w:ascii="Arial" w:eastAsia="Calibri" w:hAnsi="Arial" w:cs="Arial"/>
                <w:b/>
                <w:bCs/>
                <w:color w:val="000000" w:themeColor="text1"/>
                <w:sz w:val="18"/>
                <w:szCs w:val="18"/>
              </w:rPr>
            </w:pPr>
            <w:r w:rsidRPr="003759CC">
              <w:rPr>
                <w:rFonts w:ascii="Arial" w:eastAsia="Calibri" w:hAnsi="Arial" w:cs="Arial"/>
                <w:b/>
                <w:bCs/>
                <w:color w:val="000000" w:themeColor="text1"/>
                <w:sz w:val="18"/>
                <w:szCs w:val="18"/>
              </w:rPr>
              <w:t>000 eura</w:t>
            </w:r>
          </w:p>
        </w:tc>
        <w:tc>
          <w:tcPr>
            <w:tcW w:w="1030" w:type="dxa"/>
            <w:tcBorders>
              <w:top w:val="nil"/>
              <w:left w:val="nil"/>
              <w:bottom w:val="nil"/>
              <w:right w:val="nil"/>
            </w:tcBorders>
            <w:shd w:val="clear" w:color="auto" w:fill="auto"/>
            <w:vAlign w:val="bottom"/>
            <w:hideMark/>
          </w:tcPr>
          <w:p w14:paraId="1D7F0DB6" w14:textId="77777777" w:rsidR="001675D9" w:rsidRPr="001B015B" w:rsidRDefault="001675D9" w:rsidP="00CA7F04">
            <w:pPr>
              <w:jc w:val="right"/>
              <w:rPr>
                <w:rFonts w:ascii="Arial" w:eastAsia="Calibri" w:hAnsi="Arial" w:cs="Arial"/>
                <w:b/>
                <w:bCs/>
                <w:color w:val="000000" w:themeColor="text1"/>
                <w:sz w:val="18"/>
                <w:szCs w:val="18"/>
              </w:rPr>
            </w:pPr>
            <w:r w:rsidRPr="003759CC">
              <w:rPr>
                <w:rFonts w:ascii="Arial" w:eastAsia="Calibri" w:hAnsi="Arial" w:cs="Arial"/>
                <w:b/>
                <w:bCs/>
                <w:color w:val="000000" w:themeColor="text1"/>
                <w:sz w:val="18"/>
                <w:szCs w:val="18"/>
              </w:rPr>
              <w:t>000 eura</w:t>
            </w:r>
          </w:p>
        </w:tc>
        <w:tc>
          <w:tcPr>
            <w:tcW w:w="1026" w:type="dxa"/>
            <w:tcBorders>
              <w:top w:val="nil"/>
              <w:left w:val="nil"/>
              <w:bottom w:val="nil"/>
              <w:right w:val="nil"/>
            </w:tcBorders>
            <w:shd w:val="clear" w:color="auto" w:fill="auto"/>
            <w:vAlign w:val="bottom"/>
            <w:hideMark/>
          </w:tcPr>
          <w:p w14:paraId="2E3DCC12" w14:textId="77777777" w:rsidR="001675D9" w:rsidRPr="001B015B" w:rsidRDefault="001675D9" w:rsidP="00CA7F04">
            <w:pPr>
              <w:jc w:val="right"/>
              <w:rPr>
                <w:rFonts w:ascii="Arial" w:eastAsia="Calibri" w:hAnsi="Arial" w:cs="Arial"/>
                <w:b/>
                <w:bCs/>
                <w:color w:val="000000" w:themeColor="text1"/>
                <w:sz w:val="18"/>
                <w:szCs w:val="18"/>
              </w:rPr>
            </w:pPr>
            <w:r w:rsidRPr="003759CC">
              <w:rPr>
                <w:rFonts w:ascii="Arial" w:eastAsia="Calibri" w:hAnsi="Arial" w:cs="Arial"/>
                <w:b/>
                <w:bCs/>
                <w:color w:val="000000" w:themeColor="text1"/>
                <w:sz w:val="18"/>
                <w:szCs w:val="18"/>
              </w:rPr>
              <w:t>000 eura</w:t>
            </w:r>
          </w:p>
        </w:tc>
        <w:tc>
          <w:tcPr>
            <w:tcW w:w="1099" w:type="dxa"/>
            <w:tcBorders>
              <w:top w:val="nil"/>
              <w:left w:val="nil"/>
              <w:bottom w:val="nil"/>
              <w:right w:val="nil"/>
            </w:tcBorders>
            <w:shd w:val="clear" w:color="auto" w:fill="auto"/>
            <w:vAlign w:val="bottom"/>
            <w:hideMark/>
          </w:tcPr>
          <w:p w14:paraId="13CA96EC" w14:textId="77777777" w:rsidR="001675D9" w:rsidRPr="001B015B" w:rsidRDefault="001675D9" w:rsidP="00CA7F04">
            <w:pPr>
              <w:jc w:val="right"/>
              <w:rPr>
                <w:rFonts w:ascii="Arial" w:eastAsia="Calibri" w:hAnsi="Arial" w:cs="Arial"/>
                <w:b/>
                <w:bCs/>
                <w:color w:val="000000" w:themeColor="text1"/>
                <w:sz w:val="18"/>
                <w:szCs w:val="18"/>
              </w:rPr>
            </w:pPr>
            <w:r w:rsidRPr="003759CC">
              <w:rPr>
                <w:rFonts w:ascii="Arial" w:eastAsia="Calibri" w:hAnsi="Arial" w:cs="Arial"/>
                <w:b/>
                <w:bCs/>
                <w:color w:val="000000" w:themeColor="text1"/>
                <w:sz w:val="18"/>
                <w:szCs w:val="18"/>
              </w:rPr>
              <w:t>000 eura</w:t>
            </w:r>
          </w:p>
        </w:tc>
      </w:tr>
      <w:tr w:rsidR="001675D9" w:rsidRPr="001B015B" w14:paraId="7ABC5A88" w14:textId="77777777" w:rsidTr="00CA7F04">
        <w:trPr>
          <w:trHeight w:val="176"/>
        </w:trPr>
        <w:tc>
          <w:tcPr>
            <w:tcW w:w="4148" w:type="dxa"/>
            <w:tcBorders>
              <w:top w:val="nil"/>
              <w:left w:val="nil"/>
              <w:bottom w:val="nil"/>
              <w:right w:val="nil"/>
            </w:tcBorders>
            <w:shd w:val="clear" w:color="auto" w:fill="auto"/>
            <w:vAlign w:val="center"/>
          </w:tcPr>
          <w:p w14:paraId="258AFD83" w14:textId="77777777" w:rsidR="001675D9" w:rsidRPr="001B015B" w:rsidRDefault="001675D9" w:rsidP="00CA7F04">
            <w:pPr>
              <w:jc w:val="right"/>
              <w:rPr>
                <w:rFonts w:ascii="Arial" w:eastAsia="Calibri" w:hAnsi="Arial" w:cs="Arial"/>
                <w:b/>
                <w:bCs/>
                <w:color w:val="000000" w:themeColor="text1"/>
                <w:sz w:val="18"/>
                <w:szCs w:val="18"/>
              </w:rPr>
            </w:pPr>
          </w:p>
        </w:tc>
        <w:tc>
          <w:tcPr>
            <w:tcW w:w="1036" w:type="dxa"/>
            <w:tcBorders>
              <w:top w:val="nil"/>
              <w:left w:val="nil"/>
              <w:bottom w:val="nil"/>
              <w:right w:val="nil"/>
            </w:tcBorders>
            <w:shd w:val="clear" w:color="auto" w:fill="auto"/>
            <w:vAlign w:val="center"/>
          </w:tcPr>
          <w:p w14:paraId="602C4E40" w14:textId="77777777" w:rsidR="001675D9" w:rsidRPr="001B015B" w:rsidRDefault="001675D9" w:rsidP="00CA7F04">
            <w:pPr>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vAlign w:val="center"/>
          </w:tcPr>
          <w:p w14:paraId="1EC2C7EA" w14:textId="77777777" w:rsidR="001675D9" w:rsidRPr="001B015B" w:rsidRDefault="001675D9" w:rsidP="00CA7F04">
            <w:pPr>
              <w:jc w:val="right"/>
              <w:rPr>
                <w:rFonts w:ascii="Arial" w:eastAsia="Calibri" w:hAnsi="Arial" w:cs="Arial"/>
                <w:b/>
                <w:bCs/>
                <w:color w:val="000000" w:themeColor="text1"/>
                <w:sz w:val="18"/>
                <w:szCs w:val="18"/>
              </w:rPr>
            </w:pPr>
          </w:p>
        </w:tc>
        <w:tc>
          <w:tcPr>
            <w:tcW w:w="1030" w:type="dxa"/>
            <w:tcBorders>
              <w:top w:val="nil"/>
              <w:left w:val="nil"/>
              <w:bottom w:val="nil"/>
              <w:right w:val="nil"/>
            </w:tcBorders>
            <w:shd w:val="clear" w:color="auto" w:fill="auto"/>
            <w:vAlign w:val="center"/>
          </w:tcPr>
          <w:p w14:paraId="317C2D9B" w14:textId="77777777" w:rsidR="001675D9" w:rsidRPr="001B015B" w:rsidRDefault="001675D9" w:rsidP="00CA7F04">
            <w:pPr>
              <w:jc w:val="right"/>
              <w:rPr>
                <w:rFonts w:ascii="Arial" w:eastAsia="Calibri" w:hAnsi="Arial" w:cs="Arial"/>
                <w:b/>
                <w:bCs/>
                <w:color w:val="000000" w:themeColor="text1"/>
                <w:sz w:val="18"/>
                <w:szCs w:val="18"/>
              </w:rPr>
            </w:pPr>
          </w:p>
        </w:tc>
        <w:tc>
          <w:tcPr>
            <w:tcW w:w="1026" w:type="dxa"/>
            <w:tcBorders>
              <w:top w:val="nil"/>
              <w:left w:val="nil"/>
              <w:bottom w:val="nil"/>
              <w:right w:val="nil"/>
            </w:tcBorders>
            <w:shd w:val="clear" w:color="auto" w:fill="auto"/>
            <w:vAlign w:val="center"/>
          </w:tcPr>
          <w:p w14:paraId="03EE65BC" w14:textId="77777777" w:rsidR="001675D9" w:rsidRPr="001B015B" w:rsidRDefault="001675D9" w:rsidP="00CA7F04">
            <w:pPr>
              <w:jc w:val="right"/>
              <w:rPr>
                <w:rFonts w:ascii="Arial" w:eastAsia="Calibri" w:hAnsi="Arial" w:cs="Arial"/>
                <w:b/>
                <w:bCs/>
                <w:color w:val="000000" w:themeColor="text1"/>
                <w:sz w:val="18"/>
                <w:szCs w:val="18"/>
              </w:rPr>
            </w:pPr>
          </w:p>
        </w:tc>
        <w:tc>
          <w:tcPr>
            <w:tcW w:w="1099" w:type="dxa"/>
            <w:tcBorders>
              <w:top w:val="nil"/>
              <w:left w:val="nil"/>
              <w:bottom w:val="nil"/>
              <w:right w:val="nil"/>
            </w:tcBorders>
            <w:shd w:val="clear" w:color="auto" w:fill="auto"/>
            <w:vAlign w:val="center"/>
          </w:tcPr>
          <w:p w14:paraId="6BC18947" w14:textId="77777777" w:rsidR="001675D9" w:rsidRPr="001B015B" w:rsidRDefault="001675D9" w:rsidP="00CA7F04">
            <w:pPr>
              <w:jc w:val="right"/>
              <w:rPr>
                <w:rFonts w:ascii="Arial" w:eastAsia="Calibri" w:hAnsi="Arial" w:cs="Arial"/>
                <w:b/>
                <w:bCs/>
                <w:color w:val="000000" w:themeColor="text1"/>
                <w:sz w:val="18"/>
                <w:szCs w:val="18"/>
              </w:rPr>
            </w:pPr>
          </w:p>
        </w:tc>
      </w:tr>
      <w:tr w:rsidR="001675D9" w:rsidRPr="001B015B" w14:paraId="14A280DD" w14:textId="77777777" w:rsidTr="00CA7F04">
        <w:trPr>
          <w:trHeight w:val="176"/>
        </w:trPr>
        <w:tc>
          <w:tcPr>
            <w:tcW w:w="4148" w:type="dxa"/>
            <w:tcBorders>
              <w:top w:val="nil"/>
              <w:left w:val="nil"/>
              <w:bottom w:val="nil"/>
              <w:right w:val="nil"/>
            </w:tcBorders>
            <w:shd w:val="clear" w:color="auto" w:fill="auto"/>
            <w:vAlign w:val="center"/>
            <w:hideMark/>
          </w:tcPr>
          <w:p w14:paraId="26EA096C" w14:textId="77777777" w:rsidR="001675D9" w:rsidRPr="001B015B" w:rsidRDefault="001675D9"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Stanje 1. siječnja 202</w:t>
            </w:r>
            <w:r>
              <w:rPr>
                <w:rFonts w:ascii="Arial" w:eastAsia="Calibri" w:hAnsi="Arial" w:cs="Arial"/>
                <w:color w:val="000000" w:themeColor="text1"/>
                <w:sz w:val="18"/>
                <w:szCs w:val="18"/>
              </w:rPr>
              <w:t>3</w:t>
            </w:r>
            <w:r w:rsidRPr="001B015B">
              <w:rPr>
                <w:rFonts w:ascii="Arial" w:eastAsia="Calibri" w:hAnsi="Arial" w:cs="Arial"/>
                <w:color w:val="000000" w:themeColor="text1"/>
                <w:sz w:val="18"/>
                <w:szCs w:val="18"/>
              </w:rPr>
              <w:t xml:space="preserve">. </w:t>
            </w:r>
          </w:p>
        </w:tc>
        <w:tc>
          <w:tcPr>
            <w:tcW w:w="1036" w:type="dxa"/>
            <w:shd w:val="clear" w:color="auto" w:fill="auto"/>
            <w:vAlign w:val="bottom"/>
          </w:tcPr>
          <w:p w14:paraId="7B782B01" w14:textId="77777777" w:rsidR="001675D9" w:rsidRPr="00223DA1" w:rsidRDefault="001675D9" w:rsidP="00CA7F04">
            <w:pPr>
              <w:jc w:val="right"/>
              <w:rPr>
                <w:rFonts w:ascii="Arial" w:hAnsi="Arial" w:cs="Arial"/>
                <w:sz w:val="18"/>
                <w:szCs w:val="18"/>
              </w:rPr>
            </w:pPr>
            <w:r w:rsidRPr="00F959D0">
              <w:rPr>
                <w:rFonts w:ascii="Arial" w:hAnsi="Arial" w:cs="Arial"/>
                <w:sz w:val="18"/>
                <w:szCs w:val="18"/>
              </w:rPr>
              <w:t xml:space="preserve"> 1.387 </w:t>
            </w:r>
          </w:p>
        </w:tc>
        <w:tc>
          <w:tcPr>
            <w:tcW w:w="1030" w:type="dxa"/>
            <w:shd w:val="clear" w:color="auto" w:fill="auto"/>
            <w:vAlign w:val="bottom"/>
          </w:tcPr>
          <w:p w14:paraId="4C16BD19" w14:textId="77777777" w:rsidR="001675D9" w:rsidRPr="00223DA1" w:rsidRDefault="001675D9" w:rsidP="00CA7F04">
            <w:pPr>
              <w:jc w:val="right"/>
              <w:rPr>
                <w:rFonts w:ascii="Arial" w:hAnsi="Arial" w:cs="Arial"/>
                <w:sz w:val="18"/>
                <w:szCs w:val="18"/>
              </w:rPr>
            </w:pPr>
            <w:r w:rsidRPr="00F959D0">
              <w:rPr>
                <w:rFonts w:ascii="Arial" w:hAnsi="Arial" w:cs="Arial"/>
                <w:sz w:val="18"/>
                <w:szCs w:val="18"/>
              </w:rPr>
              <w:t xml:space="preserve"> 1.670 </w:t>
            </w:r>
          </w:p>
        </w:tc>
        <w:tc>
          <w:tcPr>
            <w:tcW w:w="1030" w:type="dxa"/>
            <w:shd w:val="clear" w:color="auto" w:fill="auto"/>
            <w:vAlign w:val="bottom"/>
          </w:tcPr>
          <w:p w14:paraId="1F614C1D" w14:textId="77777777" w:rsidR="001675D9" w:rsidRPr="00223DA1" w:rsidRDefault="001675D9" w:rsidP="00CA7F04">
            <w:pPr>
              <w:jc w:val="right"/>
              <w:rPr>
                <w:rFonts w:ascii="Arial" w:hAnsi="Arial" w:cs="Arial"/>
                <w:sz w:val="18"/>
                <w:szCs w:val="18"/>
              </w:rPr>
            </w:pPr>
            <w:r w:rsidRPr="00F959D0">
              <w:rPr>
                <w:rFonts w:ascii="Arial" w:hAnsi="Arial" w:cs="Arial"/>
                <w:sz w:val="18"/>
                <w:szCs w:val="18"/>
              </w:rPr>
              <w:t xml:space="preserve"> 7.093 </w:t>
            </w:r>
          </w:p>
        </w:tc>
        <w:tc>
          <w:tcPr>
            <w:tcW w:w="1026" w:type="dxa"/>
            <w:shd w:val="clear" w:color="auto" w:fill="auto"/>
            <w:vAlign w:val="bottom"/>
          </w:tcPr>
          <w:p w14:paraId="72B1BAD1" w14:textId="77777777" w:rsidR="001675D9" w:rsidRPr="00223DA1" w:rsidRDefault="001675D9" w:rsidP="00CA7F04">
            <w:pPr>
              <w:jc w:val="right"/>
              <w:rPr>
                <w:rFonts w:ascii="Arial" w:hAnsi="Arial" w:cs="Arial"/>
                <w:sz w:val="18"/>
                <w:szCs w:val="18"/>
              </w:rPr>
            </w:pPr>
            <w:r w:rsidRPr="00F959D0">
              <w:rPr>
                <w:rFonts w:ascii="Arial" w:hAnsi="Arial" w:cs="Arial"/>
                <w:sz w:val="18"/>
                <w:szCs w:val="18"/>
              </w:rPr>
              <w:t xml:space="preserve"> 564 </w:t>
            </w:r>
          </w:p>
        </w:tc>
        <w:tc>
          <w:tcPr>
            <w:tcW w:w="1099" w:type="dxa"/>
            <w:shd w:val="clear" w:color="auto" w:fill="auto"/>
            <w:vAlign w:val="bottom"/>
          </w:tcPr>
          <w:p w14:paraId="2758CC4D" w14:textId="77777777" w:rsidR="001675D9" w:rsidRPr="005D1219" w:rsidRDefault="001675D9" w:rsidP="00CA7F04">
            <w:pPr>
              <w:jc w:val="right"/>
              <w:rPr>
                <w:rFonts w:ascii="Arial" w:hAnsi="Arial" w:cs="Arial"/>
                <w:b/>
                <w:bCs/>
                <w:sz w:val="18"/>
                <w:szCs w:val="18"/>
              </w:rPr>
            </w:pPr>
            <w:r w:rsidRPr="005D1219">
              <w:rPr>
                <w:rFonts w:ascii="Arial" w:hAnsi="Arial" w:cs="Arial"/>
                <w:b/>
                <w:bCs/>
                <w:sz w:val="18"/>
                <w:szCs w:val="18"/>
              </w:rPr>
              <w:t xml:space="preserve"> 10.714 </w:t>
            </w:r>
          </w:p>
        </w:tc>
      </w:tr>
      <w:tr w:rsidR="001675D9" w:rsidRPr="001B015B" w14:paraId="787058D6" w14:textId="77777777" w:rsidTr="00CA7F04">
        <w:trPr>
          <w:trHeight w:val="176"/>
        </w:trPr>
        <w:tc>
          <w:tcPr>
            <w:tcW w:w="4148" w:type="dxa"/>
            <w:shd w:val="clear" w:color="auto" w:fill="auto"/>
            <w:hideMark/>
          </w:tcPr>
          <w:p w14:paraId="39365E6D" w14:textId="77777777" w:rsidR="001675D9" w:rsidRPr="001B015B" w:rsidRDefault="001675D9"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1</w:t>
            </w:r>
          </w:p>
        </w:tc>
        <w:tc>
          <w:tcPr>
            <w:tcW w:w="1036" w:type="dxa"/>
            <w:shd w:val="clear" w:color="auto" w:fill="auto"/>
            <w:vAlign w:val="bottom"/>
          </w:tcPr>
          <w:p w14:paraId="75D141A7" w14:textId="77777777" w:rsidR="001675D9" w:rsidRPr="00223DA1" w:rsidRDefault="001675D9" w:rsidP="00CA7F04">
            <w:pPr>
              <w:jc w:val="right"/>
              <w:rPr>
                <w:rFonts w:ascii="Arial" w:hAnsi="Arial" w:cs="Arial"/>
                <w:sz w:val="18"/>
                <w:szCs w:val="18"/>
              </w:rPr>
            </w:pPr>
            <w:r w:rsidRPr="00F959D0">
              <w:rPr>
                <w:rFonts w:ascii="Arial" w:hAnsi="Arial" w:cs="Arial"/>
                <w:sz w:val="18"/>
                <w:szCs w:val="18"/>
              </w:rPr>
              <w:t xml:space="preserve"> 274 </w:t>
            </w:r>
          </w:p>
        </w:tc>
        <w:tc>
          <w:tcPr>
            <w:tcW w:w="1030" w:type="dxa"/>
            <w:shd w:val="clear" w:color="auto" w:fill="auto"/>
            <w:vAlign w:val="bottom"/>
          </w:tcPr>
          <w:p w14:paraId="77D09D80" w14:textId="77777777" w:rsidR="001675D9" w:rsidRPr="00223DA1" w:rsidRDefault="001675D9" w:rsidP="00CA7F04">
            <w:pPr>
              <w:jc w:val="right"/>
              <w:rPr>
                <w:rFonts w:ascii="Arial" w:hAnsi="Arial" w:cs="Arial"/>
                <w:sz w:val="18"/>
                <w:szCs w:val="18"/>
              </w:rPr>
            </w:pPr>
            <w:r w:rsidRPr="00F959D0">
              <w:rPr>
                <w:rFonts w:ascii="Arial" w:hAnsi="Arial" w:cs="Arial"/>
                <w:sz w:val="18"/>
                <w:szCs w:val="18"/>
              </w:rPr>
              <w:t xml:space="preserve"> (274)</w:t>
            </w:r>
          </w:p>
        </w:tc>
        <w:tc>
          <w:tcPr>
            <w:tcW w:w="1030" w:type="dxa"/>
            <w:shd w:val="clear" w:color="auto" w:fill="auto"/>
            <w:vAlign w:val="bottom"/>
          </w:tcPr>
          <w:p w14:paraId="19371ED4" w14:textId="77777777" w:rsidR="001675D9" w:rsidRPr="00223DA1" w:rsidRDefault="001675D9" w:rsidP="00CA7F04">
            <w:pPr>
              <w:jc w:val="right"/>
              <w:rPr>
                <w:rFonts w:ascii="Arial" w:hAnsi="Arial" w:cs="Arial"/>
                <w:sz w:val="18"/>
                <w:szCs w:val="18"/>
              </w:rPr>
            </w:pPr>
            <w:r>
              <w:rPr>
                <w:rFonts w:ascii="Arial" w:hAnsi="Arial" w:cs="Arial"/>
                <w:sz w:val="18"/>
                <w:szCs w:val="18"/>
              </w:rPr>
              <w:t>-</w:t>
            </w:r>
          </w:p>
        </w:tc>
        <w:tc>
          <w:tcPr>
            <w:tcW w:w="1026" w:type="dxa"/>
            <w:shd w:val="clear" w:color="auto" w:fill="auto"/>
            <w:vAlign w:val="bottom"/>
          </w:tcPr>
          <w:p w14:paraId="72A67112" w14:textId="77777777" w:rsidR="001675D9" w:rsidRPr="00223DA1" w:rsidRDefault="001675D9" w:rsidP="00CA7F04">
            <w:pPr>
              <w:jc w:val="right"/>
              <w:rPr>
                <w:rFonts w:ascii="Arial" w:hAnsi="Arial" w:cs="Arial"/>
                <w:sz w:val="18"/>
                <w:szCs w:val="18"/>
              </w:rPr>
            </w:pPr>
            <w:r>
              <w:rPr>
                <w:rFonts w:ascii="Arial" w:hAnsi="Arial" w:cs="Arial"/>
                <w:sz w:val="18"/>
                <w:szCs w:val="18"/>
              </w:rPr>
              <w:t>-</w:t>
            </w:r>
          </w:p>
        </w:tc>
        <w:tc>
          <w:tcPr>
            <w:tcW w:w="1099" w:type="dxa"/>
            <w:shd w:val="clear" w:color="auto" w:fill="auto"/>
            <w:vAlign w:val="bottom"/>
          </w:tcPr>
          <w:p w14:paraId="764CB95F" w14:textId="77777777" w:rsidR="001675D9" w:rsidRPr="005D1219" w:rsidRDefault="001675D9" w:rsidP="00CA7F04">
            <w:pPr>
              <w:jc w:val="right"/>
              <w:rPr>
                <w:rFonts w:ascii="Arial" w:hAnsi="Arial" w:cs="Arial"/>
                <w:b/>
                <w:bCs/>
                <w:sz w:val="18"/>
                <w:szCs w:val="18"/>
              </w:rPr>
            </w:pPr>
            <w:r w:rsidRPr="005D1219">
              <w:rPr>
                <w:rFonts w:ascii="Arial" w:hAnsi="Arial" w:cs="Arial"/>
                <w:b/>
                <w:bCs/>
                <w:sz w:val="18"/>
                <w:szCs w:val="18"/>
              </w:rPr>
              <w:t xml:space="preserve"> - </w:t>
            </w:r>
          </w:p>
        </w:tc>
      </w:tr>
      <w:tr w:rsidR="001675D9" w:rsidRPr="001B015B" w14:paraId="722E24E5" w14:textId="77777777" w:rsidTr="00CA7F04">
        <w:trPr>
          <w:trHeight w:val="176"/>
        </w:trPr>
        <w:tc>
          <w:tcPr>
            <w:tcW w:w="4148" w:type="dxa"/>
            <w:shd w:val="clear" w:color="auto" w:fill="auto"/>
          </w:tcPr>
          <w:p w14:paraId="090CF62B" w14:textId="77777777" w:rsidR="001675D9" w:rsidRPr="001B015B" w:rsidRDefault="001675D9"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2</w:t>
            </w:r>
          </w:p>
        </w:tc>
        <w:tc>
          <w:tcPr>
            <w:tcW w:w="1036" w:type="dxa"/>
            <w:shd w:val="clear" w:color="auto" w:fill="auto"/>
            <w:vAlign w:val="bottom"/>
          </w:tcPr>
          <w:p w14:paraId="514C7CCD" w14:textId="77777777" w:rsidR="001675D9" w:rsidRPr="00223DA1" w:rsidRDefault="001675D9" w:rsidP="00CA7F04">
            <w:pPr>
              <w:jc w:val="right"/>
              <w:rPr>
                <w:rFonts w:ascii="Arial" w:hAnsi="Arial" w:cs="Arial"/>
                <w:sz w:val="18"/>
                <w:szCs w:val="18"/>
              </w:rPr>
            </w:pPr>
            <w:r w:rsidRPr="00F959D0">
              <w:rPr>
                <w:rFonts w:ascii="Arial" w:hAnsi="Arial" w:cs="Arial"/>
                <w:sz w:val="18"/>
                <w:szCs w:val="18"/>
              </w:rPr>
              <w:t xml:space="preserve"> (67)</w:t>
            </w:r>
          </w:p>
        </w:tc>
        <w:tc>
          <w:tcPr>
            <w:tcW w:w="1030" w:type="dxa"/>
            <w:shd w:val="clear" w:color="auto" w:fill="auto"/>
            <w:vAlign w:val="bottom"/>
          </w:tcPr>
          <w:p w14:paraId="7E5CB29D" w14:textId="77777777" w:rsidR="001675D9" w:rsidRPr="00223DA1" w:rsidRDefault="001675D9" w:rsidP="00CA7F04">
            <w:pPr>
              <w:jc w:val="right"/>
              <w:rPr>
                <w:rFonts w:ascii="Arial" w:hAnsi="Arial" w:cs="Arial"/>
                <w:sz w:val="18"/>
                <w:szCs w:val="18"/>
              </w:rPr>
            </w:pPr>
            <w:r w:rsidRPr="00F959D0">
              <w:rPr>
                <w:rFonts w:ascii="Arial" w:hAnsi="Arial" w:cs="Arial"/>
                <w:sz w:val="18"/>
                <w:szCs w:val="18"/>
              </w:rPr>
              <w:t xml:space="preserve"> 2.277 </w:t>
            </w:r>
          </w:p>
        </w:tc>
        <w:tc>
          <w:tcPr>
            <w:tcW w:w="1030" w:type="dxa"/>
            <w:shd w:val="clear" w:color="auto" w:fill="auto"/>
            <w:vAlign w:val="bottom"/>
          </w:tcPr>
          <w:p w14:paraId="453D31B0" w14:textId="77777777" w:rsidR="001675D9" w:rsidRPr="00223DA1" w:rsidRDefault="001675D9" w:rsidP="00CA7F04">
            <w:pPr>
              <w:jc w:val="right"/>
              <w:rPr>
                <w:rFonts w:ascii="Arial" w:hAnsi="Arial" w:cs="Arial"/>
                <w:sz w:val="18"/>
                <w:szCs w:val="18"/>
              </w:rPr>
            </w:pPr>
            <w:r w:rsidRPr="00F959D0">
              <w:rPr>
                <w:rFonts w:ascii="Arial" w:hAnsi="Arial" w:cs="Arial"/>
                <w:sz w:val="18"/>
                <w:szCs w:val="18"/>
              </w:rPr>
              <w:t xml:space="preserve"> (2.210)</w:t>
            </w:r>
          </w:p>
        </w:tc>
        <w:tc>
          <w:tcPr>
            <w:tcW w:w="1026" w:type="dxa"/>
            <w:shd w:val="clear" w:color="auto" w:fill="auto"/>
            <w:vAlign w:val="bottom"/>
          </w:tcPr>
          <w:p w14:paraId="57A80221" w14:textId="77777777" w:rsidR="001675D9" w:rsidRPr="00223DA1" w:rsidRDefault="001675D9" w:rsidP="00CA7F04">
            <w:pPr>
              <w:jc w:val="right"/>
              <w:rPr>
                <w:rFonts w:ascii="Arial" w:hAnsi="Arial" w:cs="Arial"/>
                <w:sz w:val="18"/>
                <w:szCs w:val="18"/>
              </w:rPr>
            </w:pPr>
            <w:r>
              <w:rPr>
                <w:rFonts w:ascii="Arial" w:hAnsi="Arial" w:cs="Arial"/>
                <w:sz w:val="18"/>
                <w:szCs w:val="18"/>
              </w:rPr>
              <w:t>-</w:t>
            </w:r>
          </w:p>
        </w:tc>
        <w:tc>
          <w:tcPr>
            <w:tcW w:w="1099" w:type="dxa"/>
            <w:shd w:val="clear" w:color="auto" w:fill="auto"/>
            <w:vAlign w:val="bottom"/>
          </w:tcPr>
          <w:p w14:paraId="636699FB" w14:textId="77777777" w:rsidR="001675D9" w:rsidRPr="005D1219" w:rsidRDefault="001675D9" w:rsidP="00CA7F04">
            <w:pPr>
              <w:jc w:val="right"/>
              <w:rPr>
                <w:rFonts w:ascii="Arial" w:hAnsi="Arial" w:cs="Arial"/>
                <w:b/>
                <w:bCs/>
                <w:sz w:val="18"/>
                <w:szCs w:val="18"/>
              </w:rPr>
            </w:pPr>
            <w:r w:rsidRPr="005D1219">
              <w:rPr>
                <w:rFonts w:ascii="Arial" w:hAnsi="Arial" w:cs="Arial"/>
                <w:b/>
                <w:bCs/>
                <w:sz w:val="18"/>
                <w:szCs w:val="18"/>
              </w:rPr>
              <w:t xml:space="preserve"> - </w:t>
            </w:r>
          </w:p>
        </w:tc>
      </w:tr>
      <w:tr w:rsidR="001675D9" w:rsidRPr="001B015B" w14:paraId="59A11BEC" w14:textId="77777777" w:rsidTr="00CA7F04">
        <w:trPr>
          <w:trHeight w:val="176"/>
        </w:trPr>
        <w:tc>
          <w:tcPr>
            <w:tcW w:w="4148" w:type="dxa"/>
            <w:shd w:val="clear" w:color="auto" w:fill="auto"/>
          </w:tcPr>
          <w:p w14:paraId="6F4A68EA" w14:textId="77777777" w:rsidR="001675D9" w:rsidRPr="001B015B" w:rsidRDefault="001675D9"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Prijenos u Stupanj 3</w:t>
            </w:r>
          </w:p>
        </w:tc>
        <w:tc>
          <w:tcPr>
            <w:tcW w:w="1036" w:type="dxa"/>
            <w:shd w:val="clear" w:color="auto" w:fill="auto"/>
            <w:vAlign w:val="bottom"/>
          </w:tcPr>
          <w:p w14:paraId="14A7BF70" w14:textId="77777777" w:rsidR="001675D9" w:rsidRPr="00223DA1" w:rsidRDefault="001675D9" w:rsidP="00CA7F04">
            <w:pPr>
              <w:jc w:val="right"/>
              <w:rPr>
                <w:rFonts w:ascii="Arial" w:hAnsi="Arial" w:cs="Arial"/>
                <w:sz w:val="18"/>
                <w:szCs w:val="18"/>
              </w:rPr>
            </w:pPr>
            <w:r>
              <w:rPr>
                <w:rFonts w:ascii="Arial" w:hAnsi="Arial" w:cs="Arial"/>
                <w:sz w:val="18"/>
                <w:szCs w:val="18"/>
              </w:rPr>
              <w:t>-</w:t>
            </w:r>
          </w:p>
        </w:tc>
        <w:tc>
          <w:tcPr>
            <w:tcW w:w="1030" w:type="dxa"/>
            <w:shd w:val="clear" w:color="auto" w:fill="auto"/>
            <w:vAlign w:val="bottom"/>
          </w:tcPr>
          <w:p w14:paraId="0267EADB" w14:textId="77777777" w:rsidR="001675D9" w:rsidRPr="00223DA1" w:rsidRDefault="001675D9" w:rsidP="00CA7F04">
            <w:pPr>
              <w:jc w:val="right"/>
              <w:rPr>
                <w:rFonts w:ascii="Arial" w:hAnsi="Arial" w:cs="Arial"/>
                <w:sz w:val="18"/>
                <w:szCs w:val="18"/>
              </w:rPr>
            </w:pPr>
            <w:r>
              <w:rPr>
                <w:rFonts w:ascii="Arial" w:hAnsi="Arial" w:cs="Arial"/>
                <w:sz w:val="18"/>
                <w:szCs w:val="18"/>
              </w:rPr>
              <w:t>-</w:t>
            </w:r>
          </w:p>
        </w:tc>
        <w:tc>
          <w:tcPr>
            <w:tcW w:w="1030" w:type="dxa"/>
            <w:shd w:val="clear" w:color="auto" w:fill="auto"/>
            <w:vAlign w:val="bottom"/>
          </w:tcPr>
          <w:p w14:paraId="67A98BC1" w14:textId="77777777" w:rsidR="001675D9" w:rsidRPr="00223DA1" w:rsidRDefault="001675D9" w:rsidP="00CA7F04">
            <w:pPr>
              <w:jc w:val="right"/>
              <w:rPr>
                <w:rFonts w:ascii="Arial" w:hAnsi="Arial" w:cs="Arial"/>
                <w:sz w:val="18"/>
                <w:szCs w:val="18"/>
              </w:rPr>
            </w:pPr>
            <w:r>
              <w:rPr>
                <w:rFonts w:ascii="Arial" w:hAnsi="Arial" w:cs="Arial"/>
                <w:sz w:val="18"/>
                <w:szCs w:val="18"/>
              </w:rPr>
              <w:t>-</w:t>
            </w:r>
          </w:p>
        </w:tc>
        <w:tc>
          <w:tcPr>
            <w:tcW w:w="1026" w:type="dxa"/>
            <w:shd w:val="clear" w:color="auto" w:fill="auto"/>
            <w:vAlign w:val="bottom"/>
          </w:tcPr>
          <w:p w14:paraId="6E634DCB" w14:textId="77777777" w:rsidR="001675D9" w:rsidRPr="00223DA1" w:rsidRDefault="001675D9" w:rsidP="00CA7F04">
            <w:pPr>
              <w:jc w:val="right"/>
              <w:rPr>
                <w:rFonts w:ascii="Arial" w:hAnsi="Arial" w:cs="Arial"/>
                <w:sz w:val="18"/>
                <w:szCs w:val="18"/>
              </w:rPr>
            </w:pPr>
            <w:r>
              <w:rPr>
                <w:rFonts w:ascii="Arial" w:hAnsi="Arial" w:cs="Arial"/>
                <w:sz w:val="18"/>
                <w:szCs w:val="18"/>
              </w:rPr>
              <w:t>-</w:t>
            </w:r>
          </w:p>
        </w:tc>
        <w:tc>
          <w:tcPr>
            <w:tcW w:w="1099" w:type="dxa"/>
            <w:shd w:val="clear" w:color="auto" w:fill="auto"/>
            <w:vAlign w:val="bottom"/>
          </w:tcPr>
          <w:p w14:paraId="72AC5E0D" w14:textId="77777777" w:rsidR="001675D9" w:rsidRPr="005D1219" w:rsidRDefault="001675D9" w:rsidP="00CA7F04">
            <w:pPr>
              <w:jc w:val="right"/>
              <w:rPr>
                <w:rFonts w:ascii="Arial" w:hAnsi="Arial" w:cs="Arial"/>
                <w:b/>
                <w:bCs/>
                <w:sz w:val="18"/>
                <w:szCs w:val="18"/>
              </w:rPr>
            </w:pPr>
            <w:r w:rsidRPr="005D1219">
              <w:rPr>
                <w:rFonts w:ascii="Arial" w:hAnsi="Arial" w:cs="Arial"/>
                <w:b/>
                <w:bCs/>
                <w:sz w:val="18"/>
                <w:szCs w:val="18"/>
              </w:rPr>
              <w:t xml:space="preserve"> - </w:t>
            </w:r>
          </w:p>
        </w:tc>
      </w:tr>
      <w:tr w:rsidR="001675D9" w:rsidRPr="001B015B" w14:paraId="0BE300CD" w14:textId="77777777" w:rsidTr="00CA7F04">
        <w:trPr>
          <w:trHeight w:val="219"/>
        </w:trPr>
        <w:tc>
          <w:tcPr>
            <w:tcW w:w="4148" w:type="dxa"/>
            <w:tcBorders>
              <w:top w:val="nil"/>
              <w:left w:val="nil"/>
              <w:bottom w:val="nil"/>
              <w:right w:val="nil"/>
            </w:tcBorders>
            <w:shd w:val="clear" w:color="auto" w:fill="auto"/>
            <w:vAlign w:val="center"/>
            <w:hideMark/>
          </w:tcPr>
          <w:p w14:paraId="14B908AD" w14:textId="77777777" w:rsidR="001675D9" w:rsidRPr="001B015B" w:rsidRDefault="001675D9"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 xml:space="preserve">Neto </w:t>
            </w:r>
            <w:r w:rsidRPr="00223DA1">
              <w:rPr>
                <w:rFonts w:ascii="Arial" w:eastAsia="Calibri" w:hAnsi="Arial" w:cs="Arial"/>
                <w:color w:val="000000" w:themeColor="text1"/>
                <w:sz w:val="18"/>
                <w:szCs w:val="18"/>
              </w:rPr>
              <w:t>(smanjenje)</w:t>
            </w:r>
            <w:r w:rsidRPr="001B015B">
              <w:rPr>
                <w:rFonts w:ascii="Arial" w:eastAsia="Calibri" w:hAnsi="Arial" w:cs="Arial"/>
                <w:color w:val="000000" w:themeColor="text1"/>
                <w:sz w:val="18"/>
                <w:szCs w:val="18"/>
              </w:rPr>
              <w:t xml:space="preserve"> rezerviranja za očekivane gubitke </w:t>
            </w:r>
          </w:p>
        </w:tc>
        <w:tc>
          <w:tcPr>
            <w:tcW w:w="1036" w:type="dxa"/>
            <w:shd w:val="clear" w:color="auto" w:fill="auto"/>
            <w:vAlign w:val="bottom"/>
          </w:tcPr>
          <w:p w14:paraId="198E8375" w14:textId="77777777" w:rsidR="001675D9" w:rsidRPr="00223DA1" w:rsidRDefault="001675D9" w:rsidP="00CA7F04">
            <w:pPr>
              <w:jc w:val="right"/>
              <w:rPr>
                <w:rFonts w:ascii="Arial" w:hAnsi="Arial" w:cs="Arial"/>
                <w:sz w:val="18"/>
                <w:szCs w:val="18"/>
              </w:rPr>
            </w:pPr>
            <w:r w:rsidRPr="00F959D0">
              <w:rPr>
                <w:rFonts w:ascii="Arial" w:hAnsi="Arial" w:cs="Arial"/>
                <w:sz w:val="18"/>
                <w:szCs w:val="18"/>
              </w:rPr>
              <w:t xml:space="preserve"> 2.649 </w:t>
            </w:r>
          </w:p>
        </w:tc>
        <w:tc>
          <w:tcPr>
            <w:tcW w:w="1030" w:type="dxa"/>
            <w:shd w:val="clear" w:color="auto" w:fill="auto"/>
            <w:vAlign w:val="bottom"/>
          </w:tcPr>
          <w:p w14:paraId="0B55D23C" w14:textId="77777777" w:rsidR="001675D9" w:rsidRPr="00223DA1" w:rsidRDefault="001675D9" w:rsidP="00CA7F04">
            <w:pPr>
              <w:jc w:val="right"/>
              <w:rPr>
                <w:rFonts w:ascii="Arial" w:hAnsi="Arial" w:cs="Arial"/>
                <w:sz w:val="18"/>
                <w:szCs w:val="18"/>
              </w:rPr>
            </w:pPr>
            <w:r w:rsidRPr="00F959D0">
              <w:rPr>
                <w:rFonts w:ascii="Arial" w:hAnsi="Arial" w:cs="Arial"/>
                <w:sz w:val="18"/>
                <w:szCs w:val="18"/>
              </w:rPr>
              <w:t xml:space="preserve"> 1.679 </w:t>
            </w:r>
          </w:p>
        </w:tc>
        <w:tc>
          <w:tcPr>
            <w:tcW w:w="1030" w:type="dxa"/>
            <w:shd w:val="clear" w:color="auto" w:fill="auto"/>
            <w:vAlign w:val="bottom"/>
          </w:tcPr>
          <w:p w14:paraId="766EFA25" w14:textId="77777777" w:rsidR="001675D9" w:rsidRPr="00223DA1" w:rsidRDefault="001675D9" w:rsidP="00CA7F04">
            <w:pPr>
              <w:jc w:val="right"/>
              <w:rPr>
                <w:rFonts w:ascii="Arial" w:hAnsi="Arial" w:cs="Arial"/>
                <w:sz w:val="18"/>
                <w:szCs w:val="18"/>
              </w:rPr>
            </w:pPr>
            <w:r w:rsidRPr="00F959D0">
              <w:rPr>
                <w:rFonts w:ascii="Arial" w:hAnsi="Arial" w:cs="Arial"/>
                <w:sz w:val="18"/>
                <w:szCs w:val="18"/>
              </w:rPr>
              <w:t xml:space="preserve"> (309)</w:t>
            </w:r>
          </w:p>
        </w:tc>
        <w:tc>
          <w:tcPr>
            <w:tcW w:w="1026" w:type="dxa"/>
            <w:shd w:val="clear" w:color="auto" w:fill="auto"/>
            <w:vAlign w:val="bottom"/>
          </w:tcPr>
          <w:p w14:paraId="1A7F600B" w14:textId="77777777" w:rsidR="001675D9" w:rsidRPr="00223DA1" w:rsidRDefault="001675D9" w:rsidP="00CA7F04">
            <w:pPr>
              <w:jc w:val="right"/>
              <w:rPr>
                <w:rFonts w:ascii="Arial" w:hAnsi="Arial" w:cs="Arial"/>
                <w:sz w:val="18"/>
                <w:szCs w:val="18"/>
              </w:rPr>
            </w:pPr>
            <w:r w:rsidRPr="00F959D0">
              <w:rPr>
                <w:rFonts w:ascii="Arial" w:hAnsi="Arial" w:cs="Arial"/>
                <w:sz w:val="18"/>
                <w:szCs w:val="18"/>
              </w:rPr>
              <w:t xml:space="preserve"> (124)</w:t>
            </w:r>
          </w:p>
        </w:tc>
        <w:tc>
          <w:tcPr>
            <w:tcW w:w="1099" w:type="dxa"/>
            <w:shd w:val="clear" w:color="auto" w:fill="auto"/>
            <w:vAlign w:val="bottom"/>
          </w:tcPr>
          <w:p w14:paraId="2394508D" w14:textId="77777777" w:rsidR="001675D9" w:rsidRPr="005D1219" w:rsidRDefault="001675D9" w:rsidP="00CA7F04">
            <w:pPr>
              <w:jc w:val="right"/>
              <w:rPr>
                <w:rFonts w:ascii="Arial" w:hAnsi="Arial" w:cs="Arial"/>
                <w:b/>
                <w:bCs/>
                <w:sz w:val="18"/>
                <w:szCs w:val="18"/>
              </w:rPr>
            </w:pPr>
            <w:r w:rsidRPr="005D1219">
              <w:rPr>
                <w:rFonts w:ascii="Arial" w:hAnsi="Arial" w:cs="Arial"/>
                <w:b/>
                <w:bCs/>
                <w:sz w:val="18"/>
                <w:szCs w:val="18"/>
              </w:rPr>
              <w:t xml:space="preserve"> 3.895 </w:t>
            </w:r>
          </w:p>
        </w:tc>
      </w:tr>
      <w:tr w:rsidR="001675D9" w:rsidRPr="001B015B" w14:paraId="50967B41" w14:textId="77777777" w:rsidTr="00CA7F04">
        <w:trPr>
          <w:trHeight w:val="184"/>
        </w:trPr>
        <w:tc>
          <w:tcPr>
            <w:tcW w:w="4148" w:type="dxa"/>
            <w:tcBorders>
              <w:top w:val="nil"/>
              <w:left w:val="nil"/>
              <w:bottom w:val="nil"/>
              <w:right w:val="nil"/>
            </w:tcBorders>
            <w:shd w:val="clear" w:color="auto" w:fill="auto"/>
            <w:vAlign w:val="center"/>
            <w:hideMark/>
          </w:tcPr>
          <w:p w14:paraId="1EA26834" w14:textId="77777777" w:rsidR="001675D9" w:rsidRPr="001B015B" w:rsidRDefault="001675D9" w:rsidP="00CA7F04">
            <w:pPr>
              <w:rPr>
                <w:rFonts w:ascii="Arial" w:eastAsia="Calibri" w:hAnsi="Arial" w:cs="Arial"/>
                <w:color w:val="000000" w:themeColor="text1"/>
                <w:sz w:val="18"/>
                <w:szCs w:val="18"/>
              </w:rPr>
            </w:pPr>
            <w:r w:rsidRPr="001B015B">
              <w:rPr>
                <w:rFonts w:ascii="Arial" w:eastAsia="Calibri" w:hAnsi="Arial" w:cs="Arial"/>
                <w:color w:val="000000" w:themeColor="text1"/>
                <w:sz w:val="18"/>
                <w:szCs w:val="18"/>
              </w:rPr>
              <w:t>Neto dobit/gubitak od tečajnih razlika po rezerviranjima za očekivane gubitke</w:t>
            </w:r>
          </w:p>
        </w:tc>
        <w:tc>
          <w:tcPr>
            <w:tcW w:w="1036" w:type="dxa"/>
            <w:tcBorders>
              <w:top w:val="nil"/>
              <w:left w:val="nil"/>
              <w:bottom w:val="single" w:sz="8" w:space="0" w:color="auto"/>
              <w:right w:val="nil"/>
            </w:tcBorders>
            <w:shd w:val="clear" w:color="auto" w:fill="auto"/>
            <w:vAlign w:val="bottom"/>
          </w:tcPr>
          <w:p w14:paraId="5784616A" w14:textId="77777777" w:rsidR="001675D9" w:rsidRPr="00223DA1" w:rsidRDefault="001675D9" w:rsidP="00CA7F04">
            <w:pPr>
              <w:jc w:val="right"/>
              <w:rPr>
                <w:rFonts w:ascii="Arial" w:hAnsi="Arial" w:cs="Arial"/>
                <w:sz w:val="18"/>
                <w:szCs w:val="18"/>
              </w:rPr>
            </w:pPr>
            <w:r>
              <w:rPr>
                <w:rFonts w:ascii="Arial" w:hAnsi="Arial" w:cs="Arial"/>
                <w:sz w:val="18"/>
                <w:szCs w:val="18"/>
              </w:rPr>
              <w:t>-</w:t>
            </w:r>
          </w:p>
        </w:tc>
        <w:tc>
          <w:tcPr>
            <w:tcW w:w="1030" w:type="dxa"/>
            <w:tcBorders>
              <w:top w:val="nil"/>
              <w:left w:val="nil"/>
              <w:bottom w:val="single" w:sz="8" w:space="0" w:color="auto"/>
              <w:right w:val="nil"/>
            </w:tcBorders>
            <w:shd w:val="clear" w:color="auto" w:fill="auto"/>
            <w:vAlign w:val="bottom"/>
          </w:tcPr>
          <w:p w14:paraId="0C9A0723" w14:textId="77777777" w:rsidR="001675D9" w:rsidRPr="00223DA1" w:rsidRDefault="001675D9" w:rsidP="00CA7F04">
            <w:pPr>
              <w:jc w:val="right"/>
              <w:rPr>
                <w:rFonts w:ascii="Arial" w:hAnsi="Arial" w:cs="Arial"/>
                <w:sz w:val="18"/>
                <w:szCs w:val="18"/>
              </w:rPr>
            </w:pPr>
            <w:r w:rsidRPr="00F959D0">
              <w:rPr>
                <w:rFonts w:ascii="Arial" w:hAnsi="Arial" w:cs="Arial"/>
                <w:sz w:val="18"/>
                <w:szCs w:val="18"/>
              </w:rPr>
              <w:t xml:space="preserve"> 28 </w:t>
            </w:r>
          </w:p>
        </w:tc>
        <w:tc>
          <w:tcPr>
            <w:tcW w:w="1030" w:type="dxa"/>
            <w:tcBorders>
              <w:top w:val="nil"/>
              <w:left w:val="nil"/>
              <w:bottom w:val="single" w:sz="8" w:space="0" w:color="auto"/>
              <w:right w:val="nil"/>
            </w:tcBorders>
            <w:shd w:val="clear" w:color="auto" w:fill="auto"/>
            <w:vAlign w:val="bottom"/>
          </w:tcPr>
          <w:p w14:paraId="0C108536" w14:textId="77777777" w:rsidR="001675D9" w:rsidRPr="00223DA1" w:rsidRDefault="001675D9" w:rsidP="00CA7F04">
            <w:pPr>
              <w:jc w:val="right"/>
              <w:rPr>
                <w:rFonts w:ascii="Arial" w:hAnsi="Arial" w:cs="Arial"/>
                <w:sz w:val="18"/>
                <w:szCs w:val="18"/>
              </w:rPr>
            </w:pPr>
            <w:r>
              <w:rPr>
                <w:rFonts w:ascii="Arial" w:hAnsi="Arial" w:cs="Arial"/>
                <w:sz w:val="18"/>
                <w:szCs w:val="18"/>
              </w:rPr>
              <w:t>-</w:t>
            </w:r>
          </w:p>
        </w:tc>
        <w:tc>
          <w:tcPr>
            <w:tcW w:w="1026" w:type="dxa"/>
            <w:tcBorders>
              <w:top w:val="nil"/>
              <w:left w:val="nil"/>
              <w:bottom w:val="single" w:sz="8" w:space="0" w:color="auto"/>
              <w:right w:val="nil"/>
            </w:tcBorders>
            <w:shd w:val="clear" w:color="auto" w:fill="auto"/>
            <w:vAlign w:val="bottom"/>
          </w:tcPr>
          <w:p w14:paraId="70D324A2" w14:textId="77777777" w:rsidR="001675D9" w:rsidRPr="00223DA1" w:rsidRDefault="001675D9" w:rsidP="00CA7F04">
            <w:pPr>
              <w:jc w:val="right"/>
              <w:rPr>
                <w:rFonts w:ascii="Arial" w:hAnsi="Arial" w:cs="Arial"/>
                <w:sz w:val="18"/>
                <w:szCs w:val="18"/>
              </w:rPr>
            </w:pPr>
            <w:r>
              <w:rPr>
                <w:rFonts w:ascii="Arial" w:hAnsi="Arial" w:cs="Arial"/>
                <w:sz w:val="18"/>
                <w:szCs w:val="18"/>
              </w:rPr>
              <w:t>-</w:t>
            </w:r>
          </w:p>
        </w:tc>
        <w:tc>
          <w:tcPr>
            <w:tcW w:w="1099" w:type="dxa"/>
            <w:tcBorders>
              <w:top w:val="nil"/>
              <w:left w:val="nil"/>
              <w:bottom w:val="single" w:sz="8" w:space="0" w:color="auto"/>
              <w:right w:val="nil"/>
            </w:tcBorders>
            <w:shd w:val="clear" w:color="auto" w:fill="auto"/>
            <w:vAlign w:val="bottom"/>
          </w:tcPr>
          <w:p w14:paraId="6F3147A5" w14:textId="77777777" w:rsidR="001675D9" w:rsidRPr="005D1219" w:rsidRDefault="001675D9" w:rsidP="00CA7F04">
            <w:pPr>
              <w:jc w:val="right"/>
              <w:rPr>
                <w:rFonts w:ascii="Arial" w:hAnsi="Arial" w:cs="Arial"/>
                <w:b/>
                <w:bCs/>
                <w:sz w:val="18"/>
                <w:szCs w:val="18"/>
              </w:rPr>
            </w:pPr>
            <w:r w:rsidRPr="005D1219">
              <w:rPr>
                <w:rFonts w:ascii="Arial" w:hAnsi="Arial" w:cs="Arial"/>
                <w:b/>
                <w:bCs/>
                <w:sz w:val="18"/>
                <w:szCs w:val="18"/>
              </w:rPr>
              <w:t xml:space="preserve"> 28 </w:t>
            </w:r>
          </w:p>
        </w:tc>
      </w:tr>
      <w:tr w:rsidR="001675D9" w:rsidRPr="001B015B" w14:paraId="332B6AF3" w14:textId="77777777" w:rsidTr="00CA7F04">
        <w:trPr>
          <w:trHeight w:val="184"/>
        </w:trPr>
        <w:tc>
          <w:tcPr>
            <w:tcW w:w="4148" w:type="dxa"/>
            <w:tcBorders>
              <w:top w:val="nil"/>
              <w:left w:val="nil"/>
              <w:bottom w:val="nil"/>
              <w:right w:val="nil"/>
            </w:tcBorders>
            <w:shd w:val="clear" w:color="auto" w:fill="auto"/>
            <w:vAlign w:val="bottom"/>
            <w:hideMark/>
          </w:tcPr>
          <w:p w14:paraId="38033F43" w14:textId="77777777" w:rsidR="001675D9" w:rsidRPr="001B015B" w:rsidRDefault="001675D9" w:rsidP="00CA7F04">
            <w:pPr>
              <w:rPr>
                <w:rFonts w:ascii="Arial" w:eastAsia="Calibri" w:hAnsi="Arial" w:cs="Arial"/>
                <w:b/>
                <w:bCs/>
                <w:color w:val="000000" w:themeColor="text1"/>
                <w:sz w:val="18"/>
                <w:szCs w:val="18"/>
              </w:rPr>
            </w:pPr>
            <w:r w:rsidRPr="001B015B">
              <w:rPr>
                <w:rFonts w:ascii="Arial" w:eastAsia="Calibri" w:hAnsi="Arial" w:cs="Arial"/>
                <w:b/>
                <w:bCs/>
                <w:color w:val="000000" w:themeColor="text1"/>
                <w:sz w:val="18"/>
                <w:szCs w:val="18"/>
              </w:rPr>
              <w:t>Stanje 31. prosinca 202</w:t>
            </w:r>
            <w:r>
              <w:rPr>
                <w:rFonts w:ascii="Arial" w:eastAsia="Calibri" w:hAnsi="Arial" w:cs="Arial"/>
                <w:b/>
                <w:bCs/>
                <w:color w:val="000000" w:themeColor="text1"/>
                <w:sz w:val="18"/>
                <w:szCs w:val="18"/>
              </w:rPr>
              <w:t>3</w:t>
            </w:r>
            <w:r w:rsidRPr="001B015B">
              <w:rPr>
                <w:rFonts w:ascii="Arial" w:eastAsia="Calibri" w:hAnsi="Arial" w:cs="Arial"/>
                <w:b/>
                <w:bCs/>
                <w:color w:val="000000" w:themeColor="text1"/>
                <w:sz w:val="18"/>
                <w:szCs w:val="18"/>
              </w:rPr>
              <w:t>.</w:t>
            </w:r>
          </w:p>
        </w:tc>
        <w:tc>
          <w:tcPr>
            <w:tcW w:w="1036" w:type="dxa"/>
            <w:tcBorders>
              <w:top w:val="nil"/>
              <w:left w:val="nil"/>
              <w:bottom w:val="single" w:sz="12" w:space="0" w:color="auto"/>
              <w:right w:val="nil"/>
            </w:tcBorders>
            <w:shd w:val="clear" w:color="auto" w:fill="auto"/>
            <w:vAlign w:val="bottom"/>
          </w:tcPr>
          <w:p w14:paraId="6F9EAE3A" w14:textId="77777777" w:rsidR="001675D9" w:rsidRPr="009F58CD" w:rsidRDefault="001675D9" w:rsidP="00CA7F04">
            <w:pPr>
              <w:jc w:val="right"/>
              <w:rPr>
                <w:rFonts w:ascii="Arial" w:hAnsi="Arial" w:cs="Arial"/>
                <w:b/>
                <w:bCs/>
                <w:sz w:val="18"/>
                <w:szCs w:val="18"/>
              </w:rPr>
            </w:pPr>
            <w:r w:rsidRPr="00F959D0">
              <w:rPr>
                <w:rFonts w:ascii="Arial" w:hAnsi="Arial" w:cs="Arial"/>
                <w:b/>
                <w:bCs/>
                <w:sz w:val="18"/>
                <w:szCs w:val="18"/>
              </w:rPr>
              <w:t xml:space="preserve"> 4.243 </w:t>
            </w:r>
          </w:p>
        </w:tc>
        <w:tc>
          <w:tcPr>
            <w:tcW w:w="1030" w:type="dxa"/>
            <w:tcBorders>
              <w:top w:val="nil"/>
              <w:left w:val="nil"/>
              <w:bottom w:val="single" w:sz="12" w:space="0" w:color="auto"/>
              <w:right w:val="nil"/>
            </w:tcBorders>
            <w:shd w:val="clear" w:color="auto" w:fill="auto"/>
            <w:vAlign w:val="bottom"/>
          </w:tcPr>
          <w:p w14:paraId="358ECC73" w14:textId="77777777" w:rsidR="001675D9" w:rsidRPr="009F58CD" w:rsidRDefault="001675D9" w:rsidP="00CA7F04">
            <w:pPr>
              <w:jc w:val="right"/>
              <w:rPr>
                <w:rFonts w:ascii="Arial" w:hAnsi="Arial" w:cs="Arial"/>
                <w:b/>
                <w:bCs/>
                <w:sz w:val="18"/>
                <w:szCs w:val="18"/>
              </w:rPr>
            </w:pPr>
            <w:r w:rsidRPr="00F959D0">
              <w:rPr>
                <w:rFonts w:ascii="Arial" w:hAnsi="Arial" w:cs="Arial"/>
                <w:b/>
                <w:bCs/>
                <w:sz w:val="18"/>
                <w:szCs w:val="18"/>
              </w:rPr>
              <w:t xml:space="preserve"> 5.380 </w:t>
            </w:r>
          </w:p>
        </w:tc>
        <w:tc>
          <w:tcPr>
            <w:tcW w:w="1030" w:type="dxa"/>
            <w:tcBorders>
              <w:top w:val="nil"/>
              <w:left w:val="nil"/>
              <w:bottom w:val="single" w:sz="12" w:space="0" w:color="auto"/>
              <w:right w:val="nil"/>
            </w:tcBorders>
            <w:shd w:val="clear" w:color="auto" w:fill="auto"/>
            <w:vAlign w:val="bottom"/>
          </w:tcPr>
          <w:p w14:paraId="4246287A" w14:textId="77777777" w:rsidR="001675D9" w:rsidRPr="009F58CD" w:rsidRDefault="001675D9" w:rsidP="00CA7F04">
            <w:pPr>
              <w:jc w:val="right"/>
              <w:rPr>
                <w:rFonts w:ascii="Arial" w:hAnsi="Arial" w:cs="Arial"/>
                <w:b/>
                <w:bCs/>
                <w:sz w:val="18"/>
                <w:szCs w:val="18"/>
              </w:rPr>
            </w:pPr>
            <w:r w:rsidRPr="00F959D0">
              <w:rPr>
                <w:rFonts w:ascii="Arial" w:hAnsi="Arial" w:cs="Arial"/>
                <w:b/>
                <w:bCs/>
                <w:sz w:val="18"/>
                <w:szCs w:val="18"/>
              </w:rPr>
              <w:t xml:space="preserve"> 4.574 </w:t>
            </w:r>
          </w:p>
        </w:tc>
        <w:tc>
          <w:tcPr>
            <w:tcW w:w="1026" w:type="dxa"/>
            <w:tcBorders>
              <w:top w:val="nil"/>
              <w:left w:val="nil"/>
              <w:bottom w:val="single" w:sz="12" w:space="0" w:color="auto"/>
              <w:right w:val="nil"/>
            </w:tcBorders>
            <w:shd w:val="clear" w:color="auto" w:fill="auto"/>
            <w:vAlign w:val="bottom"/>
          </w:tcPr>
          <w:p w14:paraId="188B9BDA" w14:textId="77777777" w:rsidR="001675D9" w:rsidRPr="009F58CD" w:rsidRDefault="001675D9" w:rsidP="00CA7F04">
            <w:pPr>
              <w:jc w:val="right"/>
              <w:rPr>
                <w:rFonts w:ascii="Arial" w:hAnsi="Arial" w:cs="Arial"/>
                <w:b/>
                <w:bCs/>
                <w:sz w:val="18"/>
                <w:szCs w:val="18"/>
              </w:rPr>
            </w:pPr>
            <w:r w:rsidRPr="00F959D0">
              <w:rPr>
                <w:rFonts w:ascii="Arial" w:hAnsi="Arial" w:cs="Arial"/>
                <w:b/>
                <w:bCs/>
                <w:sz w:val="18"/>
                <w:szCs w:val="18"/>
              </w:rPr>
              <w:t xml:space="preserve"> 440 </w:t>
            </w:r>
          </w:p>
        </w:tc>
        <w:tc>
          <w:tcPr>
            <w:tcW w:w="1099" w:type="dxa"/>
            <w:tcBorders>
              <w:top w:val="nil"/>
              <w:left w:val="nil"/>
              <w:bottom w:val="single" w:sz="12" w:space="0" w:color="auto"/>
              <w:right w:val="nil"/>
            </w:tcBorders>
            <w:shd w:val="clear" w:color="auto" w:fill="auto"/>
            <w:vAlign w:val="bottom"/>
          </w:tcPr>
          <w:p w14:paraId="3EE6B145" w14:textId="77777777" w:rsidR="001675D9" w:rsidRPr="009F58CD" w:rsidRDefault="001675D9" w:rsidP="00CA7F04">
            <w:pPr>
              <w:jc w:val="right"/>
              <w:rPr>
                <w:rFonts w:ascii="Arial" w:hAnsi="Arial" w:cs="Arial"/>
                <w:b/>
                <w:bCs/>
                <w:sz w:val="18"/>
                <w:szCs w:val="18"/>
              </w:rPr>
            </w:pPr>
            <w:r w:rsidRPr="00F959D0">
              <w:rPr>
                <w:rFonts w:ascii="Arial" w:hAnsi="Arial" w:cs="Arial"/>
                <w:b/>
                <w:bCs/>
                <w:sz w:val="18"/>
                <w:szCs w:val="18"/>
              </w:rPr>
              <w:t xml:space="preserve"> 14.637 </w:t>
            </w:r>
          </w:p>
        </w:tc>
      </w:tr>
    </w:tbl>
    <w:p w14:paraId="24A2D169" w14:textId="77777777" w:rsidR="001675D9" w:rsidRPr="003D1614" w:rsidRDefault="001675D9" w:rsidP="001A0FCB">
      <w:pPr>
        <w:suppressAutoHyphens/>
        <w:autoSpaceDN w:val="0"/>
        <w:jc w:val="both"/>
        <w:rPr>
          <w:rFonts w:ascii="Arial" w:eastAsia="Times New Roman" w:hAnsi="Arial" w:cs="Arial"/>
          <w:color w:val="000000" w:themeColor="text1"/>
          <w:sz w:val="20"/>
          <w:szCs w:val="20"/>
        </w:rPr>
      </w:pPr>
    </w:p>
    <w:p w14:paraId="20599B7B" w14:textId="28AE92BB"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4626FA15" w14:textId="77777777" w:rsidR="00A269B5" w:rsidRPr="003D1614" w:rsidRDefault="00A269B5" w:rsidP="001A0FCB">
      <w:pPr>
        <w:suppressAutoHyphens/>
        <w:autoSpaceDN w:val="0"/>
        <w:jc w:val="both"/>
        <w:rPr>
          <w:rFonts w:ascii="Arial" w:eastAsia="Times New Roman" w:hAnsi="Arial" w:cs="Arial"/>
          <w:color w:val="000000" w:themeColor="text1"/>
          <w:sz w:val="20"/>
          <w:szCs w:val="20"/>
        </w:rPr>
        <w:sectPr w:rsidR="00A269B5" w:rsidRPr="003D1614" w:rsidSect="003278AB">
          <w:pgSz w:w="11906" w:h="16838"/>
          <w:pgMar w:top="1417" w:right="1417" w:bottom="1417" w:left="1417" w:header="708" w:footer="708" w:gutter="0"/>
          <w:cols w:space="708"/>
          <w:docGrid w:linePitch="360"/>
        </w:sectPr>
      </w:pPr>
    </w:p>
    <w:p w14:paraId="521B4567"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7B4266FE" w14:textId="68F0F37F"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3D7611AA"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7590761B" w14:textId="14F7F5E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0E693B">
        <w:rPr>
          <w:rFonts w:ascii="Arial" w:eastAsia="Times New Roman" w:hAnsi="Arial" w:cs="Arial"/>
          <w:b/>
          <w:bCs/>
          <w:color w:val="000000" w:themeColor="text1"/>
          <w:sz w:val="20"/>
          <w:szCs w:val="20"/>
        </w:rPr>
        <w:t>3</w:t>
      </w:r>
      <w:r w:rsidR="00C55B0C">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 xml:space="preserve">2.4. </w:t>
      </w:r>
      <w:r w:rsidRPr="003D1614">
        <w:rPr>
          <w:rFonts w:ascii="Arial" w:eastAsia="Times New Roman" w:hAnsi="Arial" w:cs="Arial"/>
          <w:b/>
          <w:bCs/>
          <w:color w:val="000000" w:themeColor="text1"/>
          <w:sz w:val="20"/>
          <w:szCs w:val="20"/>
        </w:rPr>
        <w:tab/>
        <w:t xml:space="preserve">Rizik likvidnosti </w:t>
      </w:r>
    </w:p>
    <w:p w14:paraId="420FD15C"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p w14:paraId="73DF9175" w14:textId="557498D8"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Iznos ukupne imovine, ukupnih obveza i garancija i preuzetih obveza na dan 31. ožujka 202</w:t>
      </w:r>
      <w:r w:rsidR="006439D2">
        <w:rPr>
          <w:rFonts w:ascii="Arial" w:eastAsia="Times New Roman" w:hAnsi="Arial" w:cs="Arial"/>
          <w:color w:val="000000" w:themeColor="text1"/>
          <w:sz w:val="20"/>
          <w:szCs w:val="20"/>
        </w:rPr>
        <w:t>4</w:t>
      </w:r>
      <w:r w:rsidRPr="003D1614">
        <w:rPr>
          <w:rFonts w:ascii="Arial" w:eastAsia="Times New Roman" w:hAnsi="Arial" w:cs="Arial"/>
          <w:color w:val="000000" w:themeColor="text1"/>
          <w:sz w:val="20"/>
          <w:szCs w:val="20"/>
        </w:rPr>
        <w:t>. i 31. prosinca 202</w:t>
      </w:r>
      <w:r w:rsidR="006439D2">
        <w:rPr>
          <w:rFonts w:ascii="Arial" w:eastAsia="Times New Roman" w:hAnsi="Arial" w:cs="Arial"/>
          <w:color w:val="000000" w:themeColor="text1"/>
          <w:sz w:val="20"/>
          <w:szCs w:val="20"/>
        </w:rPr>
        <w:t>3</w:t>
      </w:r>
      <w:r w:rsidRPr="003D1614">
        <w:rPr>
          <w:rFonts w:ascii="Arial" w:eastAsia="Times New Roman" w:hAnsi="Arial" w:cs="Arial"/>
          <w:color w:val="000000" w:themeColor="text1"/>
          <w:sz w:val="20"/>
          <w:szCs w:val="20"/>
        </w:rPr>
        <w:t>. analiziran je kroz preostalo razdoblje od dana Izvještaja o financijskom položaju u odnosu na ugovoreni datum dospijeća kako slijedi:</w:t>
      </w:r>
    </w:p>
    <w:p w14:paraId="62DC29F1"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p w14:paraId="3341E6E2"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tbl>
      <w:tblPr>
        <w:tblW w:w="5106" w:type="pct"/>
        <w:tblInd w:w="-142" w:type="dxa"/>
        <w:tblLayout w:type="fixed"/>
        <w:tblCellMar>
          <w:left w:w="120" w:type="dxa"/>
          <w:right w:w="120" w:type="dxa"/>
        </w:tblCellMar>
        <w:tblLook w:val="0000" w:firstRow="0" w:lastRow="0" w:firstColumn="0" w:lastColumn="0" w:noHBand="0" w:noVBand="0"/>
      </w:tblPr>
      <w:tblGrid>
        <w:gridCol w:w="3041"/>
        <w:gridCol w:w="1014"/>
        <w:gridCol w:w="989"/>
        <w:gridCol w:w="978"/>
        <w:gridCol w:w="997"/>
        <w:gridCol w:w="1154"/>
        <w:gridCol w:w="1091"/>
      </w:tblGrid>
      <w:tr w:rsidR="00E056B2" w:rsidRPr="003D1614" w14:paraId="292C1CE4" w14:textId="77777777" w:rsidTr="00422DD5">
        <w:trPr>
          <w:trHeight w:val="459"/>
        </w:trPr>
        <w:tc>
          <w:tcPr>
            <w:tcW w:w="1641" w:type="pct"/>
          </w:tcPr>
          <w:p w14:paraId="32C50E00" w14:textId="77777777" w:rsidR="00E056B2" w:rsidRPr="003D1614" w:rsidRDefault="00E056B2" w:rsidP="00422DD5">
            <w:pPr>
              <w:tabs>
                <w:tab w:val="right" w:pos="1202"/>
              </w:tabs>
              <w:suppressAutoHyphens/>
              <w:autoSpaceDN w:val="0"/>
              <w:spacing w:line="220" w:lineRule="exact"/>
              <w:outlineLvl w:val="0"/>
              <w:rPr>
                <w:rFonts w:ascii="Arial" w:eastAsia="Times New Roman" w:hAnsi="Arial" w:cs="Arial"/>
                <w:b/>
                <w:color w:val="000000" w:themeColor="text1"/>
                <w:sz w:val="17"/>
                <w:szCs w:val="17"/>
              </w:rPr>
            </w:pPr>
            <w:bookmarkStart w:id="765" w:name="_Toc67330068"/>
            <w:r w:rsidRPr="003D1614">
              <w:rPr>
                <w:rFonts w:ascii="Arial" w:eastAsia="Times New Roman" w:hAnsi="Arial" w:cs="Arial"/>
                <w:b/>
                <w:color w:val="000000" w:themeColor="text1"/>
                <w:sz w:val="17"/>
                <w:szCs w:val="17"/>
              </w:rPr>
              <w:t>Grupa</w:t>
            </w:r>
            <w:bookmarkEnd w:id="765"/>
          </w:p>
          <w:p w14:paraId="4CB6F1F0" w14:textId="77777777" w:rsidR="00E056B2" w:rsidRPr="003D1614" w:rsidRDefault="00E056B2" w:rsidP="00422DD5">
            <w:pPr>
              <w:tabs>
                <w:tab w:val="right" w:pos="1202"/>
              </w:tabs>
              <w:suppressAutoHyphens/>
              <w:autoSpaceDN w:val="0"/>
              <w:spacing w:line="220" w:lineRule="exact"/>
              <w:outlineLvl w:val="0"/>
              <w:rPr>
                <w:rFonts w:ascii="Arial" w:eastAsia="Times New Roman" w:hAnsi="Arial" w:cs="Arial"/>
                <w:b/>
                <w:color w:val="000000" w:themeColor="text1"/>
                <w:sz w:val="17"/>
                <w:szCs w:val="17"/>
              </w:rPr>
            </w:pPr>
            <w:bookmarkStart w:id="766" w:name="_Toc67330069"/>
            <w:r w:rsidRPr="003D1614">
              <w:rPr>
                <w:rFonts w:ascii="Arial" w:eastAsia="Times New Roman" w:hAnsi="Arial" w:cs="Arial"/>
                <w:b/>
                <w:color w:val="000000" w:themeColor="text1"/>
                <w:sz w:val="17"/>
                <w:szCs w:val="17"/>
              </w:rPr>
              <w:t>31. ožujka 202</w:t>
            </w:r>
            <w:r>
              <w:rPr>
                <w:rFonts w:ascii="Arial" w:eastAsia="Times New Roman" w:hAnsi="Arial" w:cs="Arial"/>
                <w:b/>
                <w:color w:val="000000" w:themeColor="text1"/>
                <w:sz w:val="17"/>
                <w:szCs w:val="17"/>
              </w:rPr>
              <w:t>4</w:t>
            </w:r>
            <w:r w:rsidRPr="003D1614">
              <w:rPr>
                <w:rFonts w:ascii="Arial" w:eastAsia="Times New Roman" w:hAnsi="Arial" w:cs="Arial"/>
                <w:b/>
                <w:color w:val="000000" w:themeColor="text1"/>
                <w:sz w:val="17"/>
                <w:szCs w:val="17"/>
              </w:rPr>
              <w:t>.</w:t>
            </w:r>
            <w:bookmarkEnd w:id="766"/>
            <w:r w:rsidRPr="003D1614">
              <w:rPr>
                <w:rFonts w:ascii="Arial" w:eastAsia="Times New Roman" w:hAnsi="Arial" w:cs="Arial"/>
                <w:b/>
                <w:color w:val="000000" w:themeColor="text1"/>
                <w:sz w:val="17"/>
                <w:szCs w:val="17"/>
              </w:rPr>
              <w:t xml:space="preserve"> </w:t>
            </w:r>
          </w:p>
        </w:tc>
        <w:tc>
          <w:tcPr>
            <w:tcW w:w="547" w:type="pct"/>
          </w:tcPr>
          <w:p w14:paraId="216C5929"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767" w:name="_Toc67330070"/>
            <w:r w:rsidRPr="003D1614">
              <w:rPr>
                <w:rFonts w:ascii="Arial" w:eastAsia="Times New Roman" w:hAnsi="Arial" w:cs="Arial"/>
                <w:b/>
                <w:color w:val="000000" w:themeColor="text1"/>
                <w:sz w:val="17"/>
                <w:szCs w:val="17"/>
              </w:rPr>
              <w:t>Do 1 mjesec</w:t>
            </w:r>
            <w:bookmarkEnd w:id="767"/>
          </w:p>
        </w:tc>
        <w:tc>
          <w:tcPr>
            <w:tcW w:w="534" w:type="pct"/>
          </w:tcPr>
          <w:p w14:paraId="54A52C9F"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768" w:name="_Toc67330071"/>
            <w:r w:rsidRPr="003D1614">
              <w:rPr>
                <w:rFonts w:ascii="Arial" w:eastAsia="Times New Roman" w:hAnsi="Arial" w:cs="Arial"/>
                <w:b/>
                <w:color w:val="000000" w:themeColor="text1"/>
                <w:sz w:val="17"/>
                <w:szCs w:val="17"/>
              </w:rPr>
              <w:t>1 do 3 mjeseca</w:t>
            </w:r>
            <w:bookmarkEnd w:id="768"/>
          </w:p>
        </w:tc>
        <w:tc>
          <w:tcPr>
            <w:tcW w:w="528" w:type="pct"/>
          </w:tcPr>
          <w:p w14:paraId="5FADA87A"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769" w:name="_Toc67330072"/>
            <w:r w:rsidRPr="003D1614">
              <w:rPr>
                <w:rFonts w:ascii="Arial" w:eastAsia="Times New Roman" w:hAnsi="Arial" w:cs="Arial"/>
                <w:b/>
                <w:color w:val="000000" w:themeColor="text1"/>
                <w:sz w:val="17"/>
                <w:szCs w:val="17"/>
              </w:rPr>
              <w:t>3 mj. do 1 godine</w:t>
            </w:r>
            <w:bookmarkEnd w:id="769"/>
          </w:p>
        </w:tc>
        <w:tc>
          <w:tcPr>
            <w:tcW w:w="538" w:type="pct"/>
          </w:tcPr>
          <w:p w14:paraId="24252C8F"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770" w:name="_Toc67330073"/>
            <w:r w:rsidRPr="003D1614">
              <w:rPr>
                <w:rFonts w:ascii="Arial" w:eastAsia="Times New Roman" w:hAnsi="Arial" w:cs="Arial"/>
                <w:b/>
                <w:color w:val="000000" w:themeColor="text1"/>
                <w:sz w:val="17"/>
                <w:szCs w:val="17"/>
              </w:rPr>
              <w:t>1 do 3 godina</w:t>
            </w:r>
            <w:bookmarkEnd w:id="770"/>
          </w:p>
        </w:tc>
        <w:tc>
          <w:tcPr>
            <w:tcW w:w="623" w:type="pct"/>
          </w:tcPr>
          <w:p w14:paraId="412B346E"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771" w:name="_Toc67330074"/>
            <w:r w:rsidRPr="003D1614">
              <w:rPr>
                <w:rFonts w:ascii="Arial" w:eastAsia="Times New Roman" w:hAnsi="Arial" w:cs="Arial"/>
                <w:b/>
                <w:color w:val="000000" w:themeColor="text1"/>
                <w:sz w:val="17"/>
                <w:szCs w:val="17"/>
              </w:rPr>
              <w:t>Preko 3 godine</w:t>
            </w:r>
            <w:bookmarkEnd w:id="771"/>
          </w:p>
        </w:tc>
        <w:tc>
          <w:tcPr>
            <w:tcW w:w="589" w:type="pct"/>
          </w:tcPr>
          <w:p w14:paraId="31872891"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772" w:name="_Toc67330075"/>
            <w:r w:rsidRPr="003D1614">
              <w:rPr>
                <w:rFonts w:ascii="Arial" w:eastAsia="Times New Roman" w:hAnsi="Arial" w:cs="Arial"/>
                <w:b/>
                <w:color w:val="000000" w:themeColor="text1"/>
                <w:sz w:val="17"/>
                <w:szCs w:val="17"/>
              </w:rPr>
              <w:t>Ukupno</w:t>
            </w:r>
            <w:bookmarkEnd w:id="772"/>
          </w:p>
        </w:tc>
      </w:tr>
      <w:tr w:rsidR="00E056B2" w:rsidRPr="003D1614" w14:paraId="6A8C9080" w14:textId="77777777" w:rsidTr="00422DD5">
        <w:trPr>
          <w:trHeight w:val="161"/>
        </w:trPr>
        <w:tc>
          <w:tcPr>
            <w:tcW w:w="1641" w:type="pct"/>
          </w:tcPr>
          <w:p w14:paraId="1C5D24FB" w14:textId="77777777" w:rsidR="00E056B2" w:rsidRPr="003D1614" w:rsidRDefault="00E056B2" w:rsidP="00422DD5">
            <w:pPr>
              <w:tabs>
                <w:tab w:val="left" w:pos="-720"/>
              </w:tabs>
              <w:suppressAutoHyphens/>
              <w:autoSpaceDN w:val="0"/>
              <w:jc w:val="center"/>
              <w:rPr>
                <w:rFonts w:ascii="Arial" w:eastAsia="Times New Roman" w:hAnsi="Arial" w:cs="Arial"/>
                <w:b/>
                <w:color w:val="000000" w:themeColor="text1"/>
                <w:spacing w:val="-2"/>
                <w:sz w:val="17"/>
                <w:szCs w:val="17"/>
              </w:rPr>
            </w:pPr>
          </w:p>
        </w:tc>
        <w:tc>
          <w:tcPr>
            <w:tcW w:w="547" w:type="pct"/>
            <w:vAlign w:val="bottom"/>
          </w:tcPr>
          <w:p w14:paraId="3C6075F8"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773" w:name="_Toc67330076"/>
            <w:r w:rsidRPr="003D1614">
              <w:rPr>
                <w:rFonts w:ascii="Arial" w:eastAsia="Times New Roman" w:hAnsi="Arial" w:cs="Arial"/>
                <w:b/>
                <w:bCs/>
                <w:color w:val="000000" w:themeColor="text1"/>
                <w:sz w:val="17"/>
                <w:szCs w:val="17"/>
              </w:rPr>
              <w:t>000 eura</w:t>
            </w:r>
            <w:bookmarkEnd w:id="773"/>
          </w:p>
        </w:tc>
        <w:tc>
          <w:tcPr>
            <w:tcW w:w="534" w:type="pct"/>
            <w:vAlign w:val="bottom"/>
          </w:tcPr>
          <w:p w14:paraId="5B9A7B31"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774" w:name="_Toc67330077"/>
            <w:r w:rsidRPr="003D1614">
              <w:rPr>
                <w:rFonts w:ascii="Arial" w:eastAsia="Times New Roman" w:hAnsi="Arial" w:cs="Arial"/>
                <w:b/>
                <w:bCs/>
                <w:color w:val="000000" w:themeColor="text1"/>
                <w:sz w:val="17"/>
                <w:szCs w:val="17"/>
              </w:rPr>
              <w:t>000 eura</w:t>
            </w:r>
            <w:bookmarkEnd w:id="774"/>
          </w:p>
        </w:tc>
        <w:tc>
          <w:tcPr>
            <w:tcW w:w="528" w:type="pct"/>
            <w:vAlign w:val="bottom"/>
          </w:tcPr>
          <w:p w14:paraId="5074E74F"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775" w:name="_Toc67330078"/>
            <w:r w:rsidRPr="003D1614">
              <w:rPr>
                <w:rFonts w:ascii="Arial" w:eastAsia="Times New Roman" w:hAnsi="Arial" w:cs="Arial"/>
                <w:b/>
                <w:bCs/>
                <w:color w:val="000000" w:themeColor="text1"/>
                <w:sz w:val="17"/>
                <w:szCs w:val="17"/>
              </w:rPr>
              <w:t>000 eura</w:t>
            </w:r>
            <w:bookmarkEnd w:id="775"/>
          </w:p>
        </w:tc>
        <w:tc>
          <w:tcPr>
            <w:tcW w:w="538" w:type="pct"/>
            <w:vAlign w:val="bottom"/>
          </w:tcPr>
          <w:p w14:paraId="2FDA99BE"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776" w:name="_Toc67330079"/>
            <w:r w:rsidRPr="003D1614">
              <w:rPr>
                <w:rFonts w:ascii="Arial" w:eastAsia="Times New Roman" w:hAnsi="Arial" w:cs="Arial"/>
                <w:b/>
                <w:bCs/>
                <w:color w:val="000000" w:themeColor="text1"/>
                <w:sz w:val="17"/>
                <w:szCs w:val="17"/>
              </w:rPr>
              <w:t>000 eura</w:t>
            </w:r>
            <w:bookmarkEnd w:id="776"/>
          </w:p>
        </w:tc>
        <w:tc>
          <w:tcPr>
            <w:tcW w:w="623" w:type="pct"/>
            <w:vAlign w:val="bottom"/>
          </w:tcPr>
          <w:p w14:paraId="7048D1E8"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777" w:name="_Toc67330080"/>
            <w:r w:rsidRPr="003D1614">
              <w:rPr>
                <w:rFonts w:ascii="Arial" w:eastAsia="Times New Roman" w:hAnsi="Arial" w:cs="Arial"/>
                <w:b/>
                <w:bCs/>
                <w:color w:val="000000" w:themeColor="text1"/>
                <w:sz w:val="17"/>
                <w:szCs w:val="17"/>
              </w:rPr>
              <w:t>000 eura</w:t>
            </w:r>
            <w:bookmarkEnd w:id="777"/>
          </w:p>
        </w:tc>
        <w:tc>
          <w:tcPr>
            <w:tcW w:w="589" w:type="pct"/>
            <w:vAlign w:val="bottom"/>
          </w:tcPr>
          <w:p w14:paraId="34A9A0DA"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778" w:name="_Toc67330081"/>
            <w:r w:rsidRPr="003D1614">
              <w:rPr>
                <w:rFonts w:ascii="Arial" w:eastAsia="Times New Roman" w:hAnsi="Arial" w:cs="Arial"/>
                <w:b/>
                <w:bCs/>
                <w:color w:val="000000" w:themeColor="text1"/>
                <w:sz w:val="17"/>
                <w:szCs w:val="17"/>
              </w:rPr>
              <w:t>000 eura</w:t>
            </w:r>
            <w:bookmarkEnd w:id="778"/>
          </w:p>
        </w:tc>
      </w:tr>
      <w:tr w:rsidR="00E056B2" w:rsidRPr="003D1614" w14:paraId="7F71327A" w14:textId="77777777" w:rsidTr="00422DD5">
        <w:trPr>
          <w:trHeight w:val="255"/>
        </w:trPr>
        <w:tc>
          <w:tcPr>
            <w:tcW w:w="1641" w:type="pct"/>
            <w:vAlign w:val="bottom"/>
          </w:tcPr>
          <w:p w14:paraId="2D907F61" w14:textId="77777777" w:rsidR="00E056B2" w:rsidRPr="003D1614" w:rsidRDefault="00E056B2" w:rsidP="00422DD5">
            <w:pPr>
              <w:tabs>
                <w:tab w:val="right" w:pos="1202"/>
              </w:tabs>
              <w:suppressAutoHyphens/>
              <w:autoSpaceDN w:val="0"/>
              <w:spacing w:line="220" w:lineRule="exact"/>
              <w:outlineLvl w:val="0"/>
              <w:rPr>
                <w:rFonts w:ascii="Arial" w:eastAsia="Times New Roman" w:hAnsi="Arial" w:cs="Arial"/>
                <w:b/>
                <w:bCs/>
                <w:color w:val="000000" w:themeColor="text1"/>
                <w:sz w:val="17"/>
                <w:szCs w:val="17"/>
              </w:rPr>
            </w:pPr>
            <w:bookmarkStart w:id="779" w:name="_Toc67330082"/>
            <w:r w:rsidRPr="003D1614">
              <w:rPr>
                <w:rFonts w:ascii="Arial" w:eastAsia="Times New Roman" w:hAnsi="Arial" w:cs="Arial"/>
                <w:b/>
                <w:bCs/>
                <w:color w:val="000000" w:themeColor="text1"/>
                <w:sz w:val="17"/>
                <w:szCs w:val="17"/>
              </w:rPr>
              <w:t>Imovina</w:t>
            </w:r>
            <w:bookmarkEnd w:id="779"/>
          </w:p>
        </w:tc>
        <w:tc>
          <w:tcPr>
            <w:tcW w:w="547" w:type="pct"/>
            <w:vAlign w:val="bottom"/>
          </w:tcPr>
          <w:p w14:paraId="1B736FE7"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534" w:type="pct"/>
            <w:vAlign w:val="bottom"/>
          </w:tcPr>
          <w:p w14:paraId="3698A538"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528" w:type="pct"/>
            <w:vAlign w:val="bottom"/>
          </w:tcPr>
          <w:p w14:paraId="190726F2"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538" w:type="pct"/>
            <w:vAlign w:val="bottom"/>
          </w:tcPr>
          <w:p w14:paraId="426DBDF9"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623" w:type="pct"/>
            <w:vAlign w:val="bottom"/>
          </w:tcPr>
          <w:p w14:paraId="071DCBCF"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c>
          <w:tcPr>
            <w:tcW w:w="589" w:type="pct"/>
            <w:vAlign w:val="bottom"/>
          </w:tcPr>
          <w:p w14:paraId="1D206937" w14:textId="77777777" w:rsidR="00E056B2" w:rsidRPr="003D1614" w:rsidRDefault="00E056B2" w:rsidP="00422DD5">
            <w:pPr>
              <w:tabs>
                <w:tab w:val="right" w:pos="1202"/>
              </w:tabs>
              <w:suppressAutoHyphens/>
              <w:autoSpaceDN w:val="0"/>
              <w:spacing w:line="220" w:lineRule="exact"/>
              <w:jc w:val="right"/>
              <w:outlineLvl w:val="0"/>
              <w:rPr>
                <w:rFonts w:ascii="Arial" w:eastAsia="Times New Roman" w:hAnsi="Arial" w:cs="Arial"/>
                <w:b/>
                <w:bCs/>
                <w:color w:val="000000" w:themeColor="text1"/>
                <w:spacing w:val="-2"/>
                <w:sz w:val="17"/>
                <w:szCs w:val="17"/>
              </w:rPr>
            </w:pPr>
          </w:p>
        </w:tc>
      </w:tr>
      <w:tr w:rsidR="00E056B2" w:rsidRPr="003D1614" w14:paraId="13CDA49A" w14:textId="77777777" w:rsidTr="00422DD5">
        <w:trPr>
          <w:trHeight w:val="219"/>
        </w:trPr>
        <w:tc>
          <w:tcPr>
            <w:tcW w:w="1641" w:type="pct"/>
            <w:vAlign w:val="bottom"/>
          </w:tcPr>
          <w:p w14:paraId="34AA67CF" w14:textId="77777777" w:rsidR="00E056B2" w:rsidRPr="003D1614" w:rsidRDefault="00E056B2" w:rsidP="00422DD5">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80" w:name="_Toc67330083"/>
            <w:r w:rsidRPr="003D1614">
              <w:rPr>
                <w:rFonts w:ascii="Arial" w:eastAsia="Times New Roman" w:hAnsi="Arial" w:cs="Arial"/>
                <w:color w:val="000000" w:themeColor="text1"/>
                <w:spacing w:val="-2"/>
                <w:sz w:val="17"/>
                <w:szCs w:val="17"/>
              </w:rPr>
              <w:t>Novčana sredstva i računi kod banaka</w:t>
            </w:r>
            <w:bookmarkEnd w:id="780"/>
          </w:p>
        </w:tc>
        <w:tc>
          <w:tcPr>
            <w:tcW w:w="547" w:type="pct"/>
            <w:tcBorders>
              <w:top w:val="nil"/>
              <w:left w:val="nil"/>
              <w:bottom w:val="nil"/>
              <w:right w:val="nil"/>
            </w:tcBorders>
            <w:shd w:val="clear" w:color="auto" w:fill="auto"/>
            <w:vAlign w:val="bottom"/>
          </w:tcPr>
          <w:p w14:paraId="085D42D9"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77.372</w:t>
            </w:r>
          </w:p>
        </w:tc>
        <w:tc>
          <w:tcPr>
            <w:tcW w:w="534" w:type="pct"/>
            <w:tcBorders>
              <w:top w:val="nil"/>
              <w:left w:val="nil"/>
              <w:bottom w:val="nil"/>
              <w:right w:val="nil"/>
            </w:tcBorders>
            <w:shd w:val="clear" w:color="auto" w:fill="auto"/>
            <w:vAlign w:val="bottom"/>
          </w:tcPr>
          <w:p w14:paraId="7CDA3FB7"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28" w:type="pct"/>
            <w:tcBorders>
              <w:top w:val="nil"/>
              <w:left w:val="nil"/>
              <w:bottom w:val="nil"/>
              <w:right w:val="nil"/>
            </w:tcBorders>
            <w:shd w:val="clear" w:color="auto" w:fill="auto"/>
            <w:vAlign w:val="bottom"/>
          </w:tcPr>
          <w:p w14:paraId="5BCB5B38"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38" w:type="pct"/>
            <w:tcBorders>
              <w:top w:val="nil"/>
              <w:left w:val="nil"/>
              <w:bottom w:val="nil"/>
              <w:right w:val="nil"/>
            </w:tcBorders>
            <w:shd w:val="clear" w:color="auto" w:fill="auto"/>
            <w:vAlign w:val="bottom"/>
          </w:tcPr>
          <w:p w14:paraId="23776A68"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23" w:type="pct"/>
            <w:tcBorders>
              <w:top w:val="nil"/>
              <w:left w:val="nil"/>
              <w:bottom w:val="nil"/>
              <w:right w:val="nil"/>
            </w:tcBorders>
            <w:shd w:val="clear" w:color="auto" w:fill="auto"/>
            <w:vAlign w:val="bottom"/>
          </w:tcPr>
          <w:p w14:paraId="3739E34F"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89" w:type="pct"/>
            <w:tcBorders>
              <w:top w:val="nil"/>
              <w:left w:val="nil"/>
              <w:bottom w:val="nil"/>
              <w:right w:val="nil"/>
            </w:tcBorders>
            <w:shd w:val="clear" w:color="auto" w:fill="auto"/>
            <w:vAlign w:val="bottom"/>
          </w:tcPr>
          <w:p w14:paraId="42D22B23"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77.372</w:t>
            </w:r>
          </w:p>
        </w:tc>
      </w:tr>
      <w:tr w:rsidR="00E056B2" w:rsidRPr="003D1614" w14:paraId="5D1610CF" w14:textId="77777777" w:rsidTr="00422DD5">
        <w:trPr>
          <w:trHeight w:val="219"/>
        </w:trPr>
        <w:tc>
          <w:tcPr>
            <w:tcW w:w="1641" w:type="pct"/>
            <w:vAlign w:val="bottom"/>
          </w:tcPr>
          <w:p w14:paraId="533054FA" w14:textId="77777777" w:rsidR="00E056B2" w:rsidRPr="003D1614" w:rsidRDefault="00E056B2" w:rsidP="00422DD5">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81" w:name="_Toc67330084"/>
            <w:r w:rsidRPr="003D1614">
              <w:rPr>
                <w:rFonts w:ascii="Arial" w:eastAsia="Times New Roman" w:hAnsi="Arial" w:cs="Arial"/>
                <w:color w:val="000000" w:themeColor="text1"/>
                <w:spacing w:val="-2"/>
                <w:sz w:val="17"/>
                <w:szCs w:val="17"/>
              </w:rPr>
              <w:t>Depoziti kod drugih banaka</w:t>
            </w:r>
            <w:bookmarkEnd w:id="781"/>
          </w:p>
        </w:tc>
        <w:tc>
          <w:tcPr>
            <w:tcW w:w="547" w:type="pct"/>
            <w:tcBorders>
              <w:top w:val="nil"/>
              <w:left w:val="nil"/>
              <w:bottom w:val="nil"/>
              <w:right w:val="nil"/>
            </w:tcBorders>
            <w:shd w:val="clear" w:color="auto" w:fill="auto"/>
            <w:vAlign w:val="bottom"/>
          </w:tcPr>
          <w:p w14:paraId="0038DB08"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125.916</w:t>
            </w:r>
          </w:p>
        </w:tc>
        <w:tc>
          <w:tcPr>
            <w:tcW w:w="534" w:type="pct"/>
            <w:tcBorders>
              <w:top w:val="nil"/>
              <w:left w:val="nil"/>
              <w:bottom w:val="nil"/>
              <w:right w:val="nil"/>
            </w:tcBorders>
            <w:shd w:val="clear" w:color="auto" w:fill="auto"/>
            <w:vAlign w:val="bottom"/>
          </w:tcPr>
          <w:p w14:paraId="20377E13"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2.224</w:t>
            </w:r>
          </w:p>
        </w:tc>
        <w:tc>
          <w:tcPr>
            <w:tcW w:w="528" w:type="pct"/>
            <w:tcBorders>
              <w:top w:val="nil"/>
              <w:left w:val="nil"/>
              <w:bottom w:val="nil"/>
              <w:right w:val="nil"/>
            </w:tcBorders>
            <w:shd w:val="clear" w:color="auto" w:fill="auto"/>
            <w:vAlign w:val="bottom"/>
          </w:tcPr>
          <w:p w14:paraId="0BEC7347"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38" w:type="pct"/>
            <w:tcBorders>
              <w:top w:val="nil"/>
              <w:left w:val="nil"/>
              <w:bottom w:val="nil"/>
              <w:right w:val="nil"/>
            </w:tcBorders>
            <w:shd w:val="clear" w:color="auto" w:fill="auto"/>
            <w:vAlign w:val="bottom"/>
          </w:tcPr>
          <w:p w14:paraId="090F1A87"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23" w:type="pct"/>
            <w:tcBorders>
              <w:top w:val="nil"/>
              <w:left w:val="nil"/>
              <w:bottom w:val="nil"/>
              <w:right w:val="nil"/>
            </w:tcBorders>
            <w:shd w:val="clear" w:color="auto" w:fill="auto"/>
            <w:vAlign w:val="bottom"/>
          </w:tcPr>
          <w:p w14:paraId="23795535"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1.060</w:t>
            </w:r>
          </w:p>
        </w:tc>
        <w:tc>
          <w:tcPr>
            <w:tcW w:w="589" w:type="pct"/>
            <w:tcBorders>
              <w:top w:val="nil"/>
              <w:left w:val="nil"/>
              <w:bottom w:val="nil"/>
              <w:right w:val="nil"/>
            </w:tcBorders>
            <w:shd w:val="clear" w:color="auto" w:fill="auto"/>
            <w:vAlign w:val="bottom"/>
          </w:tcPr>
          <w:p w14:paraId="00C69385"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129.200</w:t>
            </w:r>
          </w:p>
        </w:tc>
      </w:tr>
      <w:tr w:rsidR="00E056B2" w:rsidRPr="003D1614" w14:paraId="722257F6" w14:textId="77777777" w:rsidTr="00422DD5">
        <w:trPr>
          <w:trHeight w:val="219"/>
        </w:trPr>
        <w:tc>
          <w:tcPr>
            <w:tcW w:w="1641" w:type="pct"/>
            <w:vAlign w:val="bottom"/>
          </w:tcPr>
          <w:p w14:paraId="328FB795" w14:textId="77777777" w:rsidR="00E056B2" w:rsidRPr="003D1614" w:rsidRDefault="00E056B2" w:rsidP="00422DD5">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82" w:name="_Toc67330085"/>
            <w:r w:rsidRPr="003D1614">
              <w:rPr>
                <w:rFonts w:ascii="Arial" w:eastAsia="Times New Roman" w:hAnsi="Arial" w:cs="Arial"/>
                <w:color w:val="000000" w:themeColor="text1"/>
                <w:spacing w:val="-2"/>
                <w:sz w:val="17"/>
                <w:szCs w:val="17"/>
              </w:rPr>
              <w:t>Krediti financijskim institucijama</w:t>
            </w:r>
            <w:bookmarkEnd w:id="782"/>
            <w:r>
              <w:rPr>
                <w:rFonts w:ascii="Arial" w:eastAsia="Times New Roman" w:hAnsi="Arial" w:cs="Arial"/>
                <w:color w:val="000000" w:themeColor="text1"/>
                <w:spacing w:val="-2"/>
                <w:sz w:val="17"/>
                <w:szCs w:val="17"/>
              </w:rPr>
              <w:t>*</w:t>
            </w:r>
          </w:p>
        </w:tc>
        <w:tc>
          <w:tcPr>
            <w:tcW w:w="547" w:type="pct"/>
            <w:tcBorders>
              <w:top w:val="nil"/>
              <w:left w:val="nil"/>
              <w:bottom w:val="nil"/>
              <w:right w:val="nil"/>
            </w:tcBorders>
            <w:shd w:val="clear" w:color="auto" w:fill="auto"/>
            <w:vAlign w:val="bottom"/>
          </w:tcPr>
          <w:p w14:paraId="4E82A106"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66.915</w:t>
            </w:r>
          </w:p>
        </w:tc>
        <w:tc>
          <w:tcPr>
            <w:tcW w:w="534" w:type="pct"/>
            <w:tcBorders>
              <w:top w:val="nil"/>
              <w:left w:val="nil"/>
              <w:bottom w:val="nil"/>
              <w:right w:val="nil"/>
            </w:tcBorders>
            <w:shd w:val="clear" w:color="auto" w:fill="auto"/>
            <w:vAlign w:val="bottom"/>
          </w:tcPr>
          <w:p w14:paraId="0468517A"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45.805</w:t>
            </w:r>
          </w:p>
        </w:tc>
        <w:tc>
          <w:tcPr>
            <w:tcW w:w="528" w:type="pct"/>
            <w:tcBorders>
              <w:top w:val="nil"/>
              <w:left w:val="nil"/>
              <w:bottom w:val="nil"/>
              <w:right w:val="nil"/>
            </w:tcBorders>
            <w:shd w:val="clear" w:color="auto" w:fill="auto"/>
            <w:vAlign w:val="bottom"/>
          </w:tcPr>
          <w:p w14:paraId="310A772F"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132.233</w:t>
            </w:r>
          </w:p>
        </w:tc>
        <w:tc>
          <w:tcPr>
            <w:tcW w:w="538" w:type="pct"/>
            <w:tcBorders>
              <w:top w:val="nil"/>
              <w:left w:val="nil"/>
              <w:bottom w:val="nil"/>
              <w:right w:val="nil"/>
            </w:tcBorders>
            <w:shd w:val="clear" w:color="auto" w:fill="auto"/>
            <w:vAlign w:val="bottom"/>
          </w:tcPr>
          <w:p w14:paraId="798B12F3"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318.336</w:t>
            </w:r>
          </w:p>
        </w:tc>
        <w:tc>
          <w:tcPr>
            <w:tcW w:w="623" w:type="pct"/>
            <w:tcBorders>
              <w:top w:val="nil"/>
              <w:left w:val="nil"/>
              <w:bottom w:val="nil"/>
              <w:right w:val="nil"/>
            </w:tcBorders>
            <w:shd w:val="clear" w:color="auto" w:fill="auto"/>
            <w:vAlign w:val="bottom"/>
          </w:tcPr>
          <w:p w14:paraId="6762DC0D"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574.777</w:t>
            </w:r>
          </w:p>
        </w:tc>
        <w:tc>
          <w:tcPr>
            <w:tcW w:w="589" w:type="pct"/>
            <w:tcBorders>
              <w:top w:val="nil"/>
              <w:left w:val="nil"/>
              <w:bottom w:val="nil"/>
              <w:right w:val="nil"/>
            </w:tcBorders>
            <w:shd w:val="clear" w:color="auto" w:fill="auto"/>
            <w:vAlign w:val="bottom"/>
          </w:tcPr>
          <w:p w14:paraId="56A0CE97"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1.138.066</w:t>
            </w:r>
          </w:p>
        </w:tc>
      </w:tr>
      <w:tr w:rsidR="00E056B2" w:rsidRPr="003D1614" w14:paraId="7F2BD71D" w14:textId="77777777" w:rsidTr="00422DD5">
        <w:trPr>
          <w:trHeight w:val="219"/>
        </w:trPr>
        <w:tc>
          <w:tcPr>
            <w:tcW w:w="1641" w:type="pct"/>
            <w:vAlign w:val="bottom"/>
          </w:tcPr>
          <w:p w14:paraId="2A9561CB" w14:textId="77777777" w:rsidR="00E056B2" w:rsidRPr="003D1614" w:rsidRDefault="00E056B2" w:rsidP="00422DD5">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83" w:name="_Toc67330086"/>
            <w:r w:rsidRPr="003D1614">
              <w:rPr>
                <w:rFonts w:ascii="Arial" w:eastAsia="Times New Roman" w:hAnsi="Arial" w:cs="Arial"/>
                <w:color w:val="000000" w:themeColor="text1"/>
                <w:spacing w:val="-2"/>
                <w:sz w:val="17"/>
                <w:szCs w:val="17"/>
              </w:rPr>
              <w:t>Krediti ostalim korisnicima</w:t>
            </w:r>
            <w:bookmarkEnd w:id="783"/>
          </w:p>
        </w:tc>
        <w:tc>
          <w:tcPr>
            <w:tcW w:w="547" w:type="pct"/>
            <w:tcBorders>
              <w:top w:val="nil"/>
              <w:left w:val="nil"/>
              <w:bottom w:val="nil"/>
              <w:right w:val="nil"/>
            </w:tcBorders>
            <w:shd w:val="clear" w:color="auto" w:fill="auto"/>
            <w:vAlign w:val="bottom"/>
          </w:tcPr>
          <w:p w14:paraId="3FD5721A"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252.468</w:t>
            </w:r>
          </w:p>
        </w:tc>
        <w:tc>
          <w:tcPr>
            <w:tcW w:w="534" w:type="pct"/>
            <w:tcBorders>
              <w:top w:val="nil"/>
              <w:left w:val="nil"/>
              <w:bottom w:val="nil"/>
              <w:right w:val="nil"/>
            </w:tcBorders>
            <w:shd w:val="clear" w:color="auto" w:fill="auto"/>
            <w:vAlign w:val="bottom"/>
          </w:tcPr>
          <w:p w14:paraId="7A87229D"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98.749</w:t>
            </w:r>
          </w:p>
        </w:tc>
        <w:tc>
          <w:tcPr>
            <w:tcW w:w="528" w:type="pct"/>
            <w:tcBorders>
              <w:top w:val="nil"/>
              <w:left w:val="nil"/>
              <w:bottom w:val="nil"/>
              <w:right w:val="nil"/>
            </w:tcBorders>
            <w:shd w:val="clear" w:color="auto" w:fill="auto"/>
            <w:vAlign w:val="bottom"/>
          </w:tcPr>
          <w:p w14:paraId="2D47D2B4"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233.473</w:t>
            </w:r>
          </w:p>
        </w:tc>
        <w:tc>
          <w:tcPr>
            <w:tcW w:w="538" w:type="pct"/>
            <w:tcBorders>
              <w:top w:val="nil"/>
              <w:left w:val="nil"/>
              <w:bottom w:val="nil"/>
              <w:right w:val="nil"/>
            </w:tcBorders>
            <w:shd w:val="clear" w:color="auto" w:fill="auto"/>
            <w:vAlign w:val="bottom"/>
          </w:tcPr>
          <w:p w14:paraId="376B0BFF"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615.929</w:t>
            </w:r>
          </w:p>
        </w:tc>
        <w:tc>
          <w:tcPr>
            <w:tcW w:w="623" w:type="pct"/>
            <w:tcBorders>
              <w:top w:val="nil"/>
              <w:left w:val="nil"/>
              <w:bottom w:val="nil"/>
              <w:right w:val="nil"/>
            </w:tcBorders>
            <w:shd w:val="clear" w:color="auto" w:fill="auto"/>
            <w:vAlign w:val="bottom"/>
          </w:tcPr>
          <w:p w14:paraId="20B80FDA"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1.137.225</w:t>
            </w:r>
          </w:p>
        </w:tc>
        <w:tc>
          <w:tcPr>
            <w:tcW w:w="589" w:type="pct"/>
            <w:tcBorders>
              <w:top w:val="nil"/>
              <w:left w:val="nil"/>
              <w:bottom w:val="nil"/>
              <w:right w:val="nil"/>
            </w:tcBorders>
            <w:shd w:val="clear" w:color="auto" w:fill="auto"/>
            <w:vAlign w:val="bottom"/>
          </w:tcPr>
          <w:p w14:paraId="5044EC58"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2.337.844</w:t>
            </w:r>
          </w:p>
        </w:tc>
      </w:tr>
      <w:tr w:rsidR="00E056B2" w:rsidRPr="003D1614" w14:paraId="27CA676F" w14:textId="77777777" w:rsidTr="00422DD5">
        <w:trPr>
          <w:trHeight w:val="315"/>
        </w:trPr>
        <w:tc>
          <w:tcPr>
            <w:tcW w:w="1641" w:type="pct"/>
          </w:tcPr>
          <w:p w14:paraId="4FE869FF" w14:textId="77777777" w:rsidR="00E056B2" w:rsidRPr="003D1614" w:rsidRDefault="00E056B2" w:rsidP="00422DD5">
            <w:pPr>
              <w:tabs>
                <w:tab w:val="right" w:pos="1202"/>
              </w:tabs>
              <w:suppressAutoHyphens/>
              <w:autoSpaceDN w:val="0"/>
              <w:spacing w:line="220" w:lineRule="exact"/>
              <w:outlineLvl w:val="0"/>
              <w:rPr>
                <w:rFonts w:ascii="Arial" w:eastAsia="Times New Roman" w:hAnsi="Arial" w:cs="Arial"/>
                <w:color w:val="000000" w:themeColor="text1"/>
                <w:spacing w:val="-2"/>
                <w:sz w:val="17"/>
                <w:szCs w:val="17"/>
              </w:rPr>
            </w:pPr>
            <w:bookmarkStart w:id="784" w:name="_Toc67330087"/>
            <w:r w:rsidRPr="003D1614">
              <w:rPr>
                <w:rFonts w:ascii="Arial" w:eastAsia="Times New Roman" w:hAnsi="Arial" w:cs="Arial"/>
                <w:color w:val="000000" w:themeColor="text1"/>
                <w:spacing w:val="-2"/>
                <w:sz w:val="17"/>
                <w:szCs w:val="17"/>
              </w:rPr>
              <w:t>Financijska imovina po fer vrijednosti kroz dobit ili gubitak</w:t>
            </w:r>
            <w:bookmarkEnd w:id="784"/>
          </w:p>
        </w:tc>
        <w:tc>
          <w:tcPr>
            <w:tcW w:w="547" w:type="pct"/>
            <w:tcBorders>
              <w:top w:val="nil"/>
              <w:left w:val="nil"/>
              <w:bottom w:val="nil"/>
              <w:right w:val="nil"/>
            </w:tcBorders>
            <w:shd w:val="clear" w:color="auto" w:fill="auto"/>
            <w:vAlign w:val="bottom"/>
          </w:tcPr>
          <w:p w14:paraId="22373C39"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167</w:t>
            </w:r>
          </w:p>
        </w:tc>
        <w:tc>
          <w:tcPr>
            <w:tcW w:w="534" w:type="pct"/>
            <w:tcBorders>
              <w:top w:val="nil"/>
              <w:left w:val="nil"/>
              <w:bottom w:val="nil"/>
              <w:right w:val="nil"/>
            </w:tcBorders>
            <w:shd w:val="clear" w:color="auto" w:fill="auto"/>
            <w:vAlign w:val="bottom"/>
          </w:tcPr>
          <w:p w14:paraId="3C0E0F5A"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28" w:type="pct"/>
            <w:tcBorders>
              <w:top w:val="nil"/>
              <w:left w:val="nil"/>
              <w:bottom w:val="nil"/>
              <w:right w:val="nil"/>
            </w:tcBorders>
            <w:shd w:val="clear" w:color="auto" w:fill="auto"/>
            <w:vAlign w:val="bottom"/>
          </w:tcPr>
          <w:p w14:paraId="026FD5D4"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38" w:type="pct"/>
            <w:tcBorders>
              <w:top w:val="nil"/>
              <w:left w:val="nil"/>
              <w:bottom w:val="nil"/>
              <w:right w:val="nil"/>
            </w:tcBorders>
            <w:shd w:val="clear" w:color="auto" w:fill="auto"/>
            <w:vAlign w:val="bottom"/>
          </w:tcPr>
          <w:p w14:paraId="176AC93C"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33.272</w:t>
            </w:r>
          </w:p>
        </w:tc>
        <w:tc>
          <w:tcPr>
            <w:tcW w:w="623" w:type="pct"/>
            <w:tcBorders>
              <w:top w:val="nil"/>
              <w:left w:val="nil"/>
              <w:bottom w:val="nil"/>
              <w:right w:val="nil"/>
            </w:tcBorders>
            <w:shd w:val="clear" w:color="auto" w:fill="auto"/>
            <w:vAlign w:val="bottom"/>
          </w:tcPr>
          <w:p w14:paraId="76B6C482"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20.333</w:t>
            </w:r>
          </w:p>
        </w:tc>
        <w:tc>
          <w:tcPr>
            <w:tcW w:w="589" w:type="pct"/>
            <w:tcBorders>
              <w:top w:val="nil"/>
              <w:left w:val="nil"/>
              <w:bottom w:val="nil"/>
              <w:right w:val="nil"/>
            </w:tcBorders>
            <w:shd w:val="clear" w:color="auto" w:fill="auto"/>
            <w:vAlign w:val="bottom"/>
          </w:tcPr>
          <w:p w14:paraId="5C9DAB88"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53.772</w:t>
            </w:r>
          </w:p>
        </w:tc>
      </w:tr>
      <w:tr w:rsidR="00E056B2" w:rsidRPr="003D1614" w14:paraId="7137AA76" w14:textId="77777777" w:rsidTr="00422DD5">
        <w:trPr>
          <w:trHeight w:val="153"/>
        </w:trPr>
        <w:tc>
          <w:tcPr>
            <w:tcW w:w="1641" w:type="pct"/>
          </w:tcPr>
          <w:p w14:paraId="1AEEDDCD" w14:textId="77777777" w:rsidR="00E056B2" w:rsidRPr="003D1614" w:rsidRDefault="00E056B2" w:rsidP="00422DD5">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85" w:name="_Toc67330088"/>
            <w:r w:rsidRPr="003D1614">
              <w:rPr>
                <w:rFonts w:ascii="Arial" w:eastAsia="Times New Roman" w:hAnsi="Arial" w:cs="Arial"/>
                <w:color w:val="000000" w:themeColor="text1"/>
                <w:spacing w:val="-2"/>
                <w:sz w:val="17"/>
                <w:szCs w:val="17"/>
              </w:rPr>
              <w:t>Financijska imovina po fer vrijednosti kroz ostalu sveobuhvatnu dobit</w:t>
            </w:r>
            <w:bookmarkEnd w:id="785"/>
          </w:p>
        </w:tc>
        <w:tc>
          <w:tcPr>
            <w:tcW w:w="547" w:type="pct"/>
            <w:tcBorders>
              <w:top w:val="nil"/>
              <w:left w:val="nil"/>
              <w:bottom w:val="nil"/>
              <w:right w:val="nil"/>
            </w:tcBorders>
            <w:shd w:val="clear" w:color="auto" w:fill="auto"/>
            <w:vAlign w:val="bottom"/>
          </w:tcPr>
          <w:p w14:paraId="58BFB818"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244.369</w:t>
            </w:r>
          </w:p>
        </w:tc>
        <w:tc>
          <w:tcPr>
            <w:tcW w:w="534" w:type="pct"/>
            <w:tcBorders>
              <w:top w:val="nil"/>
              <w:left w:val="nil"/>
              <w:bottom w:val="nil"/>
              <w:right w:val="nil"/>
            </w:tcBorders>
            <w:shd w:val="clear" w:color="auto" w:fill="auto"/>
            <w:vAlign w:val="bottom"/>
          </w:tcPr>
          <w:p w14:paraId="4E065A84"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1.483</w:t>
            </w:r>
          </w:p>
        </w:tc>
        <w:tc>
          <w:tcPr>
            <w:tcW w:w="528" w:type="pct"/>
            <w:tcBorders>
              <w:top w:val="nil"/>
              <w:left w:val="nil"/>
              <w:bottom w:val="nil"/>
              <w:right w:val="nil"/>
            </w:tcBorders>
            <w:shd w:val="clear" w:color="auto" w:fill="auto"/>
            <w:vAlign w:val="bottom"/>
          </w:tcPr>
          <w:p w14:paraId="64CB6613"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38</w:t>
            </w:r>
          </w:p>
        </w:tc>
        <w:tc>
          <w:tcPr>
            <w:tcW w:w="538" w:type="pct"/>
            <w:tcBorders>
              <w:top w:val="nil"/>
              <w:left w:val="nil"/>
              <w:bottom w:val="nil"/>
              <w:right w:val="nil"/>
            </w:tcBorders>
            <w:shd w:val="clear" w:color="auto" w:fill="auto"/>
            <w:vAlign w:val="bottom"/>
          </w:tcPr>
          <w:p w14:paraId="6A17C4DC"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23" w:type="pct"/>
            <w:tcBorders>
              <w:top w:val="nil"/>
              <w:left w:val="nil"/>
              <w:bottom w:val="nil"/>
              <w:right w:val="nil"/>
            </w:tcBorders>
            <w:shd w:val="clear" w:color="auto" w:fill="auto"/>
            <w:vAlign w:val="bottom"/>
          </w:tcPr>
          <w:p w14:paraId="2CE82395"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89" w:type="pct"/>
            <w:tcBorders>
              <w:top w:val="nil"/>
              <w:left w:val="nil"/>
              <w:bottom w:val="nil"/>
              <w:right w:val="nil"/>
            </w:tcBorders>
            <w:shd w:val="clear" w:color="auto" w:fill="auto"/>
            <w:vAlign w:val="bottom"/>
          </w:tcPr>
          <w:p w14:paraId="60A9E80A"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245.890</w:t>
            </w:r>
          </w:p>
        </w:tc>
      </w:tr>
      <w:tr w:rsidR="00E056B2" w:rsidRPr="003D1614" w14:paraId="0671E48E" w14:textId="77777777" w:rsidTr="00422DD5">
        <w:trPr>
          <w:trHeight w:val="324"/>
        </w:trPr>
        <w:tc>
          <w:tcPr>
            <w:tcW w:w="1641" w:type="pct"/>
          </w:tcPr>
          <w:p w14:paraId="7F93611B" w14:textId="77777777" w:rsidR="00E056B2" w:rsidRPr="003D1614" w:rsidRDefault="00E056B2" w:rsidP="00422DD5">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86" w:name="_Toc67330090"/>
            <w:r w:rsidRPr="003D1614">
              <w:rPr>
                <w:rFonts w:ascii="Arial" w:eastAsia="Times New Roman" w:hAnsi="Arial" w:cs="Arial"/>
                <w:color w:val="000000" w:themeColor="text1"/>
                <w:spacing w:val="-2"/>
                <w:sz w:val="17"/>
                <w:szCs w:val="17"/>
              </w:rPr>
              <w:t>Nekretnine, postrojenja i oprema i nematerijalna imovina</w:t>
            </w:r>
            <w:bookmarkEnd w:id="786"/>
          </w:p>
        </w:tc>
        <w:tc>
          <w:tcPr>
            <w:tcW w:w="547" w:type="pct"/>
            <w:tcBorders>
              <w:top w:val="nil"/>
              <w:left w:val="nil"/>
              <w:right w:val="nil"/>
            </w:tcBorders>
            <w:shd w:val="clear" w:color="auto" w:fill="auto"/>
            <w:vAlign w:val="bottom"/>
          </w:tcPr>
          <w:p w14:paraId="54014CE8"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34" w:type="pct"/>
            <w:tcBorders>
              <w:top w:val="nil"/>
              <w:left w:val="nil"/>
              <w:right w:val="nil"/>
            </w:tcBorders>
            <w:shd w:val="clear" w:color="auto" w:fill="auto"/>
            <w:vAlign w:val="bottom"/>
          </w:tcPr>
          <w:p w14:paraId="50F0431C"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28" w:type="pct"/>
            <w:tcBorders>
              <w:top w:val="nil"/>
              <w:left w:val="nil"/>
              <w:right w:val="nil"/>
            </w:tcBorders>
            <w:shd w:val="clear" w:color="auto" w:fill="auto"/>
            <w:vAlign w:val="bottom"/>
          </w:tcPr>
          <w:p w14:paraId="2C4B796A"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38" w:type="pct"/>
            <w:tcBorders>
              <w:top w:val="nil"/>
              <w:left w:val="nil"/>
              <w:right w:val="nil"/>
            </w:tcBorders>
            <w:shd w:val="clear" w:color="auto" w:fill="auto"/>
            <w:vAlign w:val="bottom"/>
          </w:tcPr>
          <w:p w14:paraId="667DB517"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23" w:type="pct"/>
            <w:tcBorders>
              <w:top w:val="nil"/>
              <w:left w:val="nil"/>
              <w:right w:val="nil"/>
            </w:tcBorders>
            <w:shd w:val="clear" w:color="auto" w:fill="auto"/>
            <w:vAlign w:val="bottom"/>
          </w:tcPr>
          <w:p w14:paraId="7F992E89"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4.955</w:t>
            </w:r>
          </w:p>
        </w:tc>
        <w:tc>
          <w:tcPr>
            <w:tcW w:w="589" w:type="pct"/>
            <w:tcBorders>
              <w:top w:val="nil"/>
              <w:left w:val="nil"/>
              <w:right w:val="nil"/>
            </w:tcBorders>
            <w:shd w:val="clear" w:color="auto" w:fill="auto"/>
            <w:vAlign w:val="bottom"/>
          </w:tcPr>
          <w:p w14:paraId="329B2F49"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4.955</w:t>
            </w:r>
          </w:p>
        </w:tc>
      </w:tr>
      <w:tr w:rsidR="00E056B2" w:rsidRPr="003D1614" w14:paraId="4D8B1814" w14:textId="77777777" w:rsidTr="00422DD5">
        <w:trPr>
          <w:trHeight w:val="126"/>
        </w:trPr>
        <w:tc>
          <w:tcPr>
            <w:tcW w:w="1641" w:type="pct"/>
          </w:tcPr>
          <w:p w14:paraId="5A59D7AD" w14:textId="77777777" w:rsidR="00E056B2" w:rsidRPr="003D1614" w:rsidRDefault="00E056B2" w:rsidP="00422DD5">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87" w:name="_Toc67330091"/>
            <w:r w:rsidRPr="003D1614">
              <w:rPr>
                <w:rFonts w:ascii="Arial" w:eastAsia="Times New Roman" w:hAnsi="Arial" w:cs="Arial"/>
                <w:color w:val="000000" w:themeColor="text1"/>
                <w:spacing w:val="-2"/>
                <w:sz w:val="17"/>
                <w:szCs w:val="17"/>
              </w:rPr>
              <w:t>Preuzeta imovina</w:t>
            </w:r>
            <w:bookmarkEnd w:id="787"/>
          </w:p>
        </w:tc>
        <w:tc>
          <w:tcPr>
            <w:tcW w:w="547" w:type="pct"/>
            <w:tcBorders>
              <w:top w:val="nil"/>
              <w:left w:val="nil"/>
              <w:bottom w:val="nil"/>
              <w:right w:val="nil"/>
            </w:tcBorders>
            <w:shd w:val="clear" w:color="auto" w:fill="auto"/>
            <w:vAlign w:val="bottom"/>
          </w:tcPr>
          <w:p w14:paraId="43B3FB9D"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15</w:t>
            </w:r>
          </w:p>
        </w:tc>
        <w:tc>
          <w:tcPr>
            <w:tcW w:w="534" w:type="pct"/>
            <w:tcBorders>
              <w:top w:val="nil"/>
              <w:left w:val="nil"/>
              <w:bottom w:val="nil"/>
              <w:right w:val="nil"/>
            </w:tcBorders>
            <w:shd w:val="clear" w:color="auto" w:fill="auto"/>
            <w:vAlign w:val="bottom"/>
          </w:tcPr>
          <w:p w14:paraId="6AC881DC"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68</w:t>
            </w:r>
          </w:p>
        </w:tc>
        <w:tc>
          <w:tcPr>
            <w:tcW w:w="528" w:type="pct"/>
            <w:tcBorders>
              <w:top w:val="nil"/>
              <w:left w:val="nil"/>
              <w:bottom w:val="nil"/>
              <w:right w:val="nil"/>
            </w:tcBorders>
            <w:shd w:val="clear" w:color="auto" w:fill="auto"/>
            <w:vAlign w:val="bottom"/>
          </w:tcPr>
          <w:p w14:paraId="292ACE3C"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134</w:t>
            </w:r>
          </w:p>
        </w:tc>
        <w:tc>
          <w:tcPr>
            <w:tcW w:w="538" w:type="pct"/>
            <w:tcBorders>
              <w:top w:val="nil"/>
              <w:left w:val="nil"/>
              <w:bottom w:val="nil"/>
              <w:right w:val="nil"/>
            </w:tcBorders>
            <w:shd w:val="clear" w:color="auto" w:fill="auto"/>
            <w:vAlign w:val="bottom"/>
          </w:tcPr>
          <w:p w14:paraId="6A368A44"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820</w:t>
            </w:r>
          </w:p>
        </w:tc>
        <w:tc>
          <w:tcPr>
            <w:tcW w:w="623" w:type="pct"/>
            <w:tcBorders>
              <w:top w:val="nil"/>
              <w:left w:val="nil"/>
              <w:bottom w:val="nil"/>
              <w:right w:val="nil"/>
            </w:tcBorders>
            <w:shd w:val="clear" w:color="auto" w:fill="auto"/>
            <w:vAlign w:val="bottom"/>
          </w:tcPr>
          <w:p w14:paraId="496354EE"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1.104</w:t>
            </w:r>
          </w:p>
        </w:tc>
        <w:tc>
          <w:tcPr>
            <w:tcW w:w="589" w:type="pct"/>
            <w:tcBorders>
              <w:top w:val="nil"/>
              <w:left w:val="nil"/>
              <w:bottom w:val="nil"/>
              <w:right w:val="nil"/>
            </w:tcBorders>
            <w:shd w:val="clear" w:color="auto" w:fill="auto"/>
            <w:vAlign w:val="bottom"/>
          </w:tcPr>
          <w:p w14:paraId="02BDFC77"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2.141</w:t>
            </w:r>
          </w:p>
        </w:tc>
      </w:tr>
      <w:tr w:rsidR="00E056B2" w:rsidRPr="003D1614" w14:paraId="548B5939" w14:textId="77777777" w:rsidTr="00422DD5">
        <w:trPr>
          <w:trHeight w:val="153"/>
        </w:trPr>
        <w:tc>
          <w:tcPr>
            <w:tcW w:w="1641" w:type="pct"/>
          </w:tcPr>
          <w:p w14:paraId="6C278F9B" w14:textId="77777777" w:rsidR="00E056B2" w:rsidRPr="003D1614" w:rsidRDefault="00E056B2" w:rsidP="00422DD5">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88" w:name="_Toc67330092"/>
            <w:r w:rsidRPr="003D1614">
              <w:rPr>
                <w:rFonts w:ascii="Arial" w:eastAsia="Times New Roman" w:hAnsi="Arial" w:cs="Arial"/>
                <w:color w:val="000000" w:themeColor="text1"/>
                <w:spacing w:val="-2"/>
                <w:sz w:val="17"/>
                <w:szCs w:val="17"/>
              </w:rPr>
              <w:t>Ostala imovina</w:t>
            </w:r>
            <w:bookmarkEnd w:id="788"/>
          </w:p>
        </w:tc>
        <w:tc>
          <w:tcPr>
            <w:tcW w:w="547" w:type="pct"/>
            <w:tcBorders>
              <w:left w:val="nil"/>
              <w:bottom w:val="single" w:sz="8" w:space="0" w:color="auto"/>
              <w:right w:val="nil"/>
            </w:tcBorders>
            <w:shd w:val="clear" w:color="auto" w:fill="auto"/>
            <w:vAlign w:val="bottom"/>
          </w:tcPr>
          <w:p w14:paraId="44BD2412"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2.132</w:t>
            </w:r>
          </w:p>
        </w:tc>
        <w:tc>
          <w:tcPr>
            <w:tcW w:w="534" w:type="pct"/>
            <w:tcBorders>
              <w:left w:val="nil"/>
              <w:bottom w:val="single" w:sz="8" w:space="0" w:color="auto"/>
              <w:right w:val="nil"/>
            </w:tcBorders>
            <w:shd w:val="clear" w:color="auto" w:fill="auto"/>
            <w:vAlign w:val="bottom"/>
          </w:tcPr>
          <w:p w14:paraId="271D9CA2"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187</w:t>
            </w:r>
          </w:p>
        </w:tc>
        <w:tc>
          <w:tcPr>
            <w:tcW w:w="528" w:type="pct"/>
            <w:tcBorders>
              <w:left w:val="nil"/>
              <w:bottom w:val="single" w:sz="8" w:space="0" w:color="auto"/>
              <w:right w:val="nil"/>
            </w:tcBorders>
            <w:shd w:val="clear" w:color="auto" w:fill="auto"/>
            <w:vAlign w:val="bottom"/>
          </w:tcPr>
          <w:p w14:paraId="360EC161"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2.915</w:t>
            </w:r>
          </w:p>
        </w:tc>
        <w:tc>
          <w:tcPr>
            <w:tcW w:w="538" w:type="pct"/>
            <w:tcBorders>
              <w:left w:val="nil"/>
              <w:bottom w:val="single" w:sz="8" w:space="0" w:color="auto"/>
              <w:right w:val="nil"/>
            </w:tcBorders>
            <w:shd w:val="clear" w:color="auto" w:fill="auto"/>
            <w:vAlign w:val="bottom"/>
          </w:tcPr>
          <w:p w14:paraId="6F1D6780"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2.868</w:t>
            </w:r>
          </w:p>
        </w:tc>
        <w:tc>
          <w:tcPr>
            <w:tcW w:w="623" w:type="pct"/>
            <w:tcBorders>
              <w:left w:val="nil"/>
              <w:bottom w:val="single" w:sz="8" w:space="0" w:color="auto"/>
              <w:right w:val="nil"/>
            </w:tcBorders>
            <w:shd w:val="clear" w:color="auto" w:fill="auto"/>
            <w:vAlign w:val="bottom"/>
          </w:tcPr>
          <w:p w14:paraId="56187B5B"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163</w:t>
            </w:r>
          </w:p>
        </w:tc>
        <w:tc>
          <w:tcPr>
            <w:tcW w:w="589" w:type="pct"/>
            <w:tcBorders>
              <w:left w:val="nil"/>
              <w:bottom w:val="nil"/>
              <w:right w:val="nil"/>
            </w:tcBorders>
            <w:shd w:val="clear" w:color="auto" w:fill="auto"/>
            <w:vAlign w:val="bottom"/>
          </w:tcPr>
          <w:p w14:paraId="04413498"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8.265</w:t>
            </w:r>
          </w:p>
        </w:tc>
      </w:tr>
      <w:tr w:rsidR="00E056B2" w:rsidRPr="003D1614" w14:paraId="2F1CB296" w14:textId="77777777" w:rsidTr="00422DD5">
        <w:trPr>
          <w:trHeight w:val="161"/>
        </w:trPr>
        <w:tc>
          <w:tcPr>
            <w:tcW w:w="1641" w:type="pct"/>
          </w:tcPr>
          <w:p w14:paraId="00EACDC8" w14:textId="77777777" w:rsidR="00E056B2" w:rsidRPr="003D1614" w:rsidRDefault="00E056B2" w:rsidP="00422DD5">
            <w:pPr>
              <w:tabs>
                <w:tab w:val="right" w:pos="1202"/>
              </w:tabs>
              <w:suppressAutoHyphens/>
              <w:autoSpaceDN w:val="0"/>
              <w:spacing w:line="220" w:lineRule="exact"/>
              <w:outlineLvl w:val="0"/>
              <w:rPr>
                <w:rFonts w:ascii="Arial" w:eastAsia="Times New Roman" w:hAnsi="Arial" w:cs="Arial"/>
                <w:b/>
                <w:bCs/>
                <w:color w:val="000000" w:themeColor="text1"/>
                <w:sz w:val="17"/>
                <w:szCs w:val="17"/>
              </w:rPr>
            </w:pPr>
            <w:bookmarkStart w:id="789" w:name="_Toc67330093"/>
            <w:r w:rsidRPr="003D1614">
              <w:rPr>
                <w:rFonts w:ascii="Arial" w:eastAsia="Times New Roman" w:hAnsi="Arial" w:cs="Arial"/>
                <w:b/>
                <w:bCs/>
                <w:color w:val="000000" w:themeColor="text1"/>
                <w:sz w:val="17"/>
                <w:szCs w:val="17"/>
              </w:rPr>
              <w:t>Ukupna imovina</w:t>
            </w:r>
            <w:bookmarkEnd w:id="789"/>
            <w:r w:rsidRPr="003D1614">
              <w:rPr>
                <w:rFonts w:ascii="Arial" w:eastAsia="Times New Roman" w:hAnsi="Arial" w:cs="Arial"/>
                <w:b/>
                <w:bCs/>
                <w:color w:val="000000" w:themeColor="text1"/>
                <w:sz w:val="17"/>
                <w:szCs w:val="17"/>
              </w:rPr>
              <w:t xml:space="preserve"> </w:t>
            </w:r>
          </w:p>
        </w:tc>
        <w:tc>
          <w:tcPr>
            <w:tcW w:w="547" w:type="pct"/>
            <w:tcBorders>
              <w:top w:val="nil"/>
              <w:left w:val="nil"/>
              <w:bottom w:val="single" w:sz="8" w:space="0" w:color="auto"/>
              <w:right w:val="nil"/>
            </w:tcBorders>
            <w:shd w:val="clear" w:color="auto" w:fill="auto"/>
            <w:vAlign w:val="bottom"/>
          </w:tcPr>
          <w:p w14:paraId="4AE51E9D" w14:textId="77777777" w:rsidR="00E056B2" w:rsidRPr="003D1614" w:rsidRDefault="00E056B2" w:rsidP="00422DD5">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769.354</w:t>
            </w:r>
          </w:p>
        </w:tc>
        <w:tc>
          <w:tcPr>
            <w:tcW w:w="534" w:type="pct"/>
            <w:tcBorders>
              <w:top w:val="nil"/>
              <w:left w:val="nil"/>
              <w:bottom w:val="single" w:sz="8" w:space="0" w:color="auto"/>
              <w:right w:val="nil"/>
            </w:tcBorders>
            <w:shd w:val="clear" w:color="auto" w:fill="auto"/>
            <w:vAlign w:val="bottom"/>
          </w:tcPr>
          <w:p w14:paraId="52D44646" w14:textId="77777777" w:rsidR="00E056B2" w:rsidRPr="003D1614" w:rsidRDefault="00E056B2" w:rsidP="00422DD5">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148.516</w:t>
            </w:r>
          </w:p>
        </w:tc>
        <w:tc>
          <w:tcPr>
            <w:tcW w:w="528" w:type="pct"/>
            <w:tcBorders>
              <w:top w:val="nil"/>
              <w:left w:val="nil"/>
              <w:bottom w:val="single" w:sz="8" w:space="0" w:color="auto"/>
              <w:right w:val="nil"/>
            </w:tcBorders>
            <w:shd w:val="clear" w:color="auto" w:fill="auto"/>
            <w:vAlign w:val="bottom"/>
          </w:tcPr>
          <w:p w14:paraId="3498DD8C" w14:textId="77777777" w:rsidR="00E056B2" w:rsidRPr="003D1614" w:rsidRDefault="00E056B2" w:rsidP="00422DD5">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368.793</w:t>
            </w:r>
          </w:p>
        </w:tc>
        <w:tc>
          <w:tcPr>
            <w:tcW w:w="538" w:type="pct"/>
            <w:tcBorders>
              <w:top w:val="nil"/>
              <w:left w:val="nil"/>
              <w:bottom w:val="single" w:sz="8" w:space="0" w:color="auto"/>
              <w:right w:val="nil"/>
            </w:tcBorders>
            <w:shd w:val="clear" w:color="auto" w:fill="auto"/>
            <w:vAlign w:val="bottom"/>
          </w:tcPr>
          <w:p w14:paraId="67780FD6" w14:textId="77777777" w:rsidR="00E056B2" w:rsidRPr="003D1614" w:rsidRDefault="00E056B2" w:rsidP="00422DD5">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971.225</w:t>
            </w:r>
          </w:p>
        </w:tc>
        <w:tc>
          <w:tcPr>
            <w:tcW w:w="623" w:type="pct"/>
            <w:tcBorders>
              <w:top w:val="nil"/>
              <w:left w:val="nil"/>
              <w:bottom w:val="single" w:sz="8" w:space="0" w:color="auto"/>
              <w:right w:val="nil"/>
            </w:tcBorders>
            <w:shd w:val="clear" w:color="auto" w:fill="auto"/>
            <w:vAlign w:val="bottom"/>
          </w:tcPr>
          <w:p w14:paraId="040465A1" w14:textId="77777777" w:rsidR="00E056B2" w:rsidRPr="003D1614" w:rsidRDefault="00E056B2" w:rsidP="00422DD5">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1.739.617</w:t>
            </w:r>
          </w:p>
        </w:tc>
        <w:tc>
          <w:tcPr>
            <w:tcW w:w="589" w:type="pct"/>
            <w:tcBorders>
              <w:top w:val="single" w:sz="8" w:space="0" w:color="auto"/>
              <w:left w:val="nil"/>
              <w:bottom w:val="single" w:sz="8" w:space="0" w:color="auto"/>
              <w:right w:val="nil"/>
            </w:tcBorders>
            <w:shd w:val="clear" w:color="auto" w:fill="auto"/>
            <w:vAlign w:val="bottom"/>
          </w:tcPr>
          <w:p w14:paraId="37BB7FA5" w14:textId="77777777" w:rsidR="00E056B2" w:rsidRPr="003D1614" w:rsidRDefault="00E056B2" w:rsidP="00422DD5">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3.997.505</w:t>
            </w:r>
          </w:p>
        </w:tc>
      </w:tr>
      <w:tr w:rsidR="00E056B2" w:rsidRPr="003D1614" w14:paraId="00EE7670" w14:textId="77777777" w:rsidTr="00422DD5">
        <w:trPr>
          <w:trHeight w:val="236"/>
        </w:trPr>
        <w:tc>
          <w:tcPr>
            <w:tcW w:w="1641" w:type="pct"/>
          </w:tcPr>
          <w:p w14:paraId="7AFBEF91" w14:textId="77777777" w:rsidR="00E056B2" w:rsidRPr="003D1614" w:rsidRDefault="00E056B2" w:rsidP="00422DD5">
            <w:pPr>
              <w:keepNext/>
              <w:keepLines/>
              <w:tabs>
                <w:tab w:val="left" w:pos="1202"/>
              </w:tabs>
              <w:suppressAutoHyphens/>
              <w:autoSpaceDN w:val="0"/>
              <w:spacing w:line="60" w:lineRule="exact"/>
              <w:rPr>
                <w:rFonts w:ascii="Arial" w:eastAsia="Times New Roman" w:hAnsi="Arial" w:cs="Arial"/>
                <w:b/>
                <w:bCs/>
                <w:color w:val="000000" w:themeColor="text1"/>
                <w:position w:val="4"/>
                <w:sz w:val="17"/>
                <w:szCs w:val="17"/>
              </w:rPr>
            </w:pPr>
          </w:p>
        </w:tc>
        <w:tc>
          <w:tcPr>
            <w:tcW w:w="547" w:type="pct"/>
            <w:tcBorders>
              <w:top w:val="single" w:sz="12" w:space="0" w:color="auto"/>
            </w:tcBorders>
            <w:vAlign w:val="bottom"/>
          </w:tcPr>
          <w:p w14:paraId="2E228E08" w14:textId="77777777" w:rsidR="00E056B2" w:rsidRPr="003D1614" w:rsidRDefault="00E056B2" w:rsidP="00422DD5">
            <w:pPr>
              <w:suppressAutoHyphens/>
              <w:autoSpaceDN w:val="0"/>
              <w:jc w:val="right"/>
              <w:rPr>
                <w:rFonts w:ascii="Arial" w:eastAsia="Times New Roman" w:hAnsi="Arial" w:cs="Arial"/>
                <w:color w:val="000000"/>
                <w:sz w:val="17"/>
                <w:szCs w:val="17"/>
              </w:rPr>
            </w:pPr>
          </w:p>
        </w:tc>
        <w:tc>
          <w:tcPr>
            <w:tcW w:w="534" w:type="pct"/>
            <w:tcBorders>
              <w:top w:val="single" w:sz="12" w:space="0" w:color="auto"/>
            </w:tcBorders>
            <w:vAlign w:val="bottom"/>
          </w:tcPr>
          <w:p w14:paraId="7EAF8239" w14:textId="77777777" w:rsidR="00E056B2" w:rsidRPr="003D1614" w:rsidRDefault="00E056B2" w:rsidP="00422DD5">
            <w:pPr>
              <w:suppressAutoHyphens/>
              <w:autoSpaceDN w:val="0"/>
              <w:jc w:val="right"/>
              <w:rPr>
                <w:rFonts w:ascii="Arial" w:eastAsia="Times New Roman" w:hAnsi="Arial" w:cs="Arial"/>
                <w:color w:val="000000"/>
                <w:sz w:val="17"/>
                <w:szCs w:val="17"/>
              </w:rPr>
            </w:pPr>
          </w:p>
        </w:tc>
        <w:tc>
          <w:tcPr>
            <w:tcW w:w="528" w:type="pct"/>
            <w:tcBorders>
              <w:top w:val="single" w:sz="12" w:space="0" w:color="auto"/>
            </w:tcBorders>
            <w:vAlign w:val="bottom"/>
          </w:tcPr>
          <w:p w14:paraId="2E23C330" w14:textId="77777777" w:rsidR="00E056B2" w:rsidRPr="003D1614" w:rsidRDefault="00E056B2" w:rsidP="00422DD5">
            <w:pPr>
              <w:suppressAutoHyphens/>
              <w:autoSpaceDN w:val="0"/>
              <w:jc w:val="right"/>
              <w:rPr>
                <w:rFonts w:ascii="Arial" w:eastAsia="Times New Roman" w:hAnsi="Arial" w:cs="Arial"/>
                <w:color w:val="000000"/>
                <w:sz w:val="17"/>
                <w:szCs w:val="17"/>
              </w:rPr>
            </w:pPr>
          </w:p>
        </w:tc>
        <w:tc>
          <w:tcPr>
            <w:tcW w:w="538" w:type="pct"/>
            <w:tcBorders>
              <w:top w:val="single" w:sz="12" w:space="0" w:color="auto"/>
            </w:tcBorders>
            <w:vAlign w:val="bottom"/>
          </w:tcPr>
          <w:p w14:paraId="2D03D34B" w14:textId="77777777" w:rsidR="00E056B2" w:rsidRPr="003D1614" w:rsidRDefault="00E056B2" w:rsidP="00422DD5">
            <w:pPr>
              <w:suppressAutoHyphens/>
              <w:autoSpaceDN w:val="0"/>
              <w:jc w:val="right"/>
              <w:rPr>
                <w:rFonts w:ascii="Arial" w:eastAsia="Times New Roman" w:hAnsi="Arial" w:cs="Arial"/>
                <w:color w:val="000000"/>
                <w:sz w:val="17"/>
                <w:szCs w:val="17"/>
              </w:rPr>
            </w:pPr>
          </w:p>
        </w:tc>
        <w:tc>
          <w:tcPr>
            <w:tcW w:w="623" w:type="pct"/>
            <w:tcBorders>
              <w:top w:val="single" w:sz="12" w:space="0" w:color="auto"/>
            </w:tcBorders>
            <w:vAlign w:val="bottom"/>
          </w:tcPr>
          <w:p w14:paraId="06CDA955" w14:textId="77777777" w:rsidR="00E056B2" w:rsidRPr="003D1614" w:rsidRDefault="00E056B2" w:rsidP="00422DD5">
            <w:pPr>
              <w:suppressAutoHyphens/>
              <w:autoSpaceDN w:val="0"/>
              <w:jc w:val="right"/>
              <w:rPr>
                <w:rFonts w:ascii="Arial" w:eastAsia="Times New Roman" w:hAnsi="Arial" w:cs="Arial"/>
                <w:color w:val="000000"/>
                <w:sz w:val="17"/>
                <w:szCs w:val="17"/>
              </w:rPr>
            </w:pPr>
          </w:p>
        </w:tc>
        <w:tc>
          <w:tcPr>
            <w:tcW w:w="589" w:type="pct"/>
            <w:tcBorders>
              <w:top w:val="single" w:sz="12" w:space="0" w:color="auto"/>
            </w:tcBorders>
            <w:vAlign w:val="bottom"/>
          </w:tcPr>
          <w:p w14:paraId="1AE5E77D" w14:textId="77777777" w:rsidR="00E056B2" w:rsidRPr="003D1614" w:rsidRDefault="00E056B2" w:rsidP="00422DD5">
            <w:pPr>
              <w:suppressAutoHyphens/>
              <w:autoSpaceDN w:val="0"/>
              <w:jc w:val="right"/>
              <w:rPr>
                <w:rFonts w:ascii="Arial" w:eastAsia="Times New Roman" w:hAnsi="Arial" w:cs="Arial"/>
                <w:color w:val="000000"/>
                <w:sz w:val="17"/>
                <w:szCs w:val="17"/>
              </w:rPr>
            </w:pPr>
          </w:p>
        </w:tc>
      </w:tr>
      <w:tr w:rsidR="00E056B2" w:rsidRPr="003D1614" w14:paraId="6413D1D8" w14:textId="77777777" w:rsidTr="00422DD5">
        <w:trPr>
          <w:trHeight w:val="161"/>
        </w:trPr>
        <w:tc>
          <w:tcPr>
            <w:tcW w:w="1641" w:type="pct"/>
          </w:tcPr>
          <w:p w14:paraId="574259DD" w14:textId="77777777" w:rsidR="00E056B2" w:rsidRPr="003D1614" w:rsidRDefault="00E056B2" w:rsidP="00422DD5">
            <w:pPr>
              <w:tabs>
                <w:tab w:val="right" w:pos="1202"/>
              </w:tabs>
              <w:suppressAutoHyphens/>
              <w:autoSpaceDN w:val="0"/>
              <w:spacing w:line="220" w:lineRule="exact"/>
              <w:outlineLvl w:val="0"/>
              <w:rPr>
                <w:rFonts w:ascii="Arial" w:eastAsia="Times New Roman" w:hAnsi="Arial" w:cs="Arial"/>
                <w:b/>
                <w:bCs/>
                <w:color w:val="000000" w:themeColor="text1"/>
                <w:sz w:val="17"/>
                <w:szCs w:val="17"/>
              </w:rPr>
            </w:pPr>
            <w:bookmarkStart w:id="790" w:name="_Toc67330094"/>
            <w:r w:rsidRPr="003D1614">
              <w:rPr>
                <w:rFonts w:ascii="Arial" w:eastAsia="Times New Roman" w:hAnsi="Arial" w:cs="Arial"/>
                <w:b/>
                <w:bCs/>
                <w:color w:val="000000" w:themeColor="text1"/>
                <w:sz w:val="17"/>
                <w:szCs w:val="17"/>
              </w:rPr>
              <w:t>Obveze</w:t>
            </w:r>
            <w:bookmarkEnd w:id="790"/>
          </w:p>
        </w:tc>
        <w:tc>
          <w:tcPr>
            <w:tcW w:w="547" w:type="pct"/>
            <w:vAlign w:val="bottom"/>
          </w:tcPr>
          <w:p w14:paraId="277E4F73" w14:textId="77777777" w:rsidR="00E056B2" w:rsidRPr="003D1614" w:rsidRDefault="00E056B2" w:rsidP="00422DD5">
            <w:pPr>
              <w:suppressAutoHyphens/>
              <w:autoSpaceDN w:val="0"/>
              <w:jc w:val="right"/>
              <w:rPr>
                <w:rFonts w:ascii="Arial" w:eastAsia="Times New Roman" w:hAnsi="Arial" w:cs="Arial"/>
                <w:color w:val="000000"/>
                <w:sz w:val="17"/>
                <w:szCs w:val="17"/>
              </w:rPr>
            </w:pPr>
          </w:p>
        </w:tc>
        <w:tc>
          <w:tcPr>
            <w:tcW w:w="534" w:type="pct"/>
            <w:vAlign w:val="bottom"/>
          </w:tcPr>
          <w:p w14:paraId="33BABDC1" w14:textId="77777777" w:rsidR="00E056B2" w:rsidRPr="003D1614" w:rsidRDefault="00E056B2" w:rsidP="00422DD5">
            <w:pPr>
              <w:suppressAutoHyphens/>
              <w:autoSpaceDN w:val="0"/>
              <w:jc w:val="right"/>
              <w:rPr>
                <w:rFonts w:ascii="Arial" w:eastAsia="Times New Roman" w:hAnsi="Arial" w:cs="Arial"/>
                <w:color w:val="000000"/>
                <w:sz w:val="17"/>
                <w:szCs w:val="17"/>
              </w:rPr>
            </w:pPr>
          </w:p>
        </w:tc>
        <w:tc>
          <w:tcPr>
            <w:tcW w:w="528" w:type="pct"/>
            <w:vAlign w:val="bottom"/>
          </w:tcPr>
          <w:p w14:paraId="1E0E59D3" w14:textId="77777777" w:rsidR="00E056B2" w:rsidRPr="003D1614" w:rsidRDefault="00E056B2" w:rsidP="00422DD5">
            <w:pPr>
              <w:suppressAutoHyphens/>
              <w:autoSpaceDN w:val="0"/>
              <w:jc w:val="right"/>
              <w:rPr>
                <w:rFonts w:ascii="Arial" w:eastAsia="Times New Roman" w:hAnsi="Arial" w:cs="Arial"/>
                <w:color w:val="000000"/>
                <w:sz w:val="17"/>
                <w:szCs w:val="17"/>
              </w:rPr>
            </w:pPr>
          </w:p>
        </w:tc>
        <w:tc>
          <w:tcPr>
            <w:tcW w:w="538" w:type="pct"/>
            <w:vAlign w:val="bottom"/>
          </w:tcPr>
          <w:p w14:paraId="2798BCC9" w14:textId="77777777" w:rsidR="00E056B2" w:rsidRPr="003D1614" w:rsidRDefault="00E056B2" w:rsidP="00422DD5">
            <w:pPr>
              <w:suppressAutoHyphens/>
              <w:autoSpaceDN w:val="0"/>
              <w:jc w:val="right"/>
              <w:rPr>
                <w:rFonts w:ascii="Arial" w:eastAsia="Times New Roman" w:hAnsi="Arial" w:cs="Arial"/>
                <w:color w:val="000000"/>
                <w:sz w:val="17"/>
                <w:szCs w:val="17"/>
              </w:rPr>
            </w:pPr>
          </w:p>
        </w:tc>
        <w:tc>
          <w:tcPr>
            <w:tcW w:w="623" w:type="pct"/>
            <w:vAlign w:val="bottom"/>
          </w:tcPr>
          <w:p w14:paraId="298F2949" w14:textId="77777777" w:rsidR="00E056B2" w:rsidRPr="003D1614" w:rsidRDefault="00E056B2" w:rsidP="00422DD5">
            <w:pPr>
              <w:suppressAutoHyphens/>
              <w:autoSpaceDN w:val="0"/>
              <w:jc w:val="right"/>
              <w:rPr>
                <w:rFonts w:ascii="Arial" w:eastAsia="Times New Roman" w:hAnsi="Arial" w:cs="Arial"/>
                <w:color w:val="000000"/>
                <w:sz w:val="17"/>
                <w:szCs w:val="17"/>
              </w:rPr>
            </w:pPr>
          </w:p>
        </w:tc>
        <w:tc>
          <w:tcPr>
            <w:tcW w:w="589" w:type="pct"/>
            <w:vAlign w:val="bottom"/>
          </w:tcPr>
          <w:p w14:paraId="742FAD2F" w14:textId="77777777" w:rsidR="00E056B2" w:rsidRPr="003D1614" w:rsidRDefault="00E056B2" w:rsidP="00422DD5">
            <w:pPr>
              <w:suppressAutoHyphens/>
              <w:autoSpaceDN w:val="0"/>
              <w:jc w:val="right"/>
              <w:rPr>
                <w:rFonts w:ascii="Arial" w:eastAsia="Times New Roman" w:hAnsi="Arial" w:cs="Arial"/>
                <w:color w:val="000000"/>
                <w:sz w:val="17"/>
                <w:szCs w:val="17"/>
              </w:rPr>
            </w:pPr>
          </w:p>
        </w:tc>
      </w:tr>
      <w:tr w:rsidR="00E056B2" w:rsidRPr="003D1614" w14:paraId="7EA317BB" w14:textId="77777777" w:rsidTr="00422DD5">
        <w:trPr>
          <w:trHeight w:val="161"/>
        </w:trPr>
        <w:tc>
          <w:tcPr>
            <w:tcW w:w="1641" w:type="pct"/>
          </w:tcPr>
          <w:p w14:paraId="6766295A" w14:textId="77777777" w:rsidR="00E056B2" w:rsidRPr="003D1614" w:rsidRDefault="00E056B2" w:rsidP="00422DD5">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91" w:name="_Toc67330095"/>
            <w:r w:rsidRPr="003D1614">
              <w:rPr>
                <w:rFonts w:ascii="Arial" w:eastAsia="Times New Roman" w:hAnsi="Arial" w:cs="Arial"/>
                <w:color w:val="000000" w:themeColor="text1"/>
                <w:spacing w:val="-2"/>
                <w:sz w:val="17"/>
                <w:szCs w:val="17"/>
              </w:rPr>
              <w:t>Obveze po depozitima</w:t>
            </w:r>
            <w:bookmarkEnd w:id="791"/>
          </w:p>
        </w:tc>
        <w:tc>
          <w:tcPr>
            <w:tcW w:w="547" w:type="pct"/>
            <w:tcBorders>
              <w:top w:val="nil"/>
              <w:left w:val="nil"/>
              <w:bottom w:val="nil"/>
              <w:right w:val="nil"/>
            </w:tcBorders>
            <w:shd w:val="clear" w:color="auto" w:fill="auto"/>
            <w:vAlign w:val="bottom"/>
          </w:tcPr>
          <w:p w14:paraId="554D5263"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137.921</w:t>
            </w:r>
          </w:p>
        </w:tc>
        <w:tc>
          <w:tcPr>
            <w:tcW w:w="534" w:type="pct"/>
            <w:tcBorders>
              <w:top w:val="nil"/>
              <w:left w:val="nil"/>
              <w:bottom w:val="nil"/>
              <w:right w:val="nil"/>
            </w:tcBorders>
            <w:shd w:val="clear" w:color="auto" w:fill="auto"/>
            <w:vAlign w:val="bottom"/>
          </w:tcPr>
          <w:p w14:paraId="125E8100"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82</w:t>
            </w:r>
          </w:p>
        </w:tc>
        <w:tc>
          <w:tcPr>
            <w:tcW w:w="528" w:type="pct"/>
            <w:tcBorders>
              <w:top w:val="nil"/>
              <w:left w:val="nil"/>
              <w:bottom w:val="nil"/>
              <w:right w:val="nil"/>
            </w:tcBorders>
            <w:shd w:val="clear" w:color="auto" w:fill="auto"/>
            <w:vAlign w:val="bottom"/>
          </w:tcPr>
          <w:p w14:paraId="4E879918"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28.645</w:t>
            </w:r>
          </w:p>
        </w:tc>
        <w:tc>
          <w:tcPr>
            <w:tcW w:w="538" w:type="pct"/>
            <w:tcBorders>
              <w:top w:val="nil"/>
              <w:left w:val="nil"/>
              <w:bottom w:val="nil"/>
              <w:right w:val="nil"/>
            </w:tcBorders>
            <w:shd w:val="clear" w:color="auto" w:fill="auto"/>
            <w:vAlign w:val="bottom"/>
          </w:tcPr>
          <w:p w14:paraId="4308FB1F"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46</w:t>
            </w:r>
          </w:p>
        </w:tc>
        <w:tc>
          <w:tcPr>
            <w:tcW w:w="623" w:type="pct"/>
            <w:tcBorders>
              <w:top w:val="nil"/>
              <w:left w:val="nil"/>
              <w:bottom w:val="nil"/>
              <w:right w:val="nil"/>
            </w:tcBorders>
            <w:shd w:val="clear" w:color="auto" w:fill="auto"/>
            <w:vAlign w:val="bottom"/>
          </w:tcPr>
          <w:p w14:paraId="4A96A017"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11.815</w:t>
            </w:r>
          </w:p>
        </w:tc>
        <w:tc>
          <w:tcPr>
            <w:tcW w:w="589" w:type="pct"/>
            <w:tcBorders>
              <w:top w:val="nil"/>
              <w:left w:val="nil"/>
              <w:bottom w:val="nil"/>
              <w:right w:val="nil"/>
            </w:tcBorders>
            <w:shd w:val="clear" w:color="auto" w:fill="auto"/>
            <w:vAlign w:val="bottom"/>
          </w:tcPr>
          <w:p w14:paraId="0F88654E"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178.509</w:t>
            </w:r>
          </w:p>
        </w:tc>
      </w:tr>
      <w:tr w:rsidR="00E056B2" w:rsidRPr="003D1614" w14:paraId="49B61D82" w14:textId="77777777" w:rsidTr="00422DD5">
        <w:trPr>
          <w:trHeight w:val="153"/>
        </w:trPr>
        <w:tc>
          <w:tcPr>
            <w:tcW w:w="1641" w:type="pct"/>
          </w:tcPr>
          <w:p w14:paraId="51D25C31" w14:textId="77777777" w:rsidR="00E056B2" w:rsidRPr="003D1614" w:rsidRDefault="00E056B2" w:rsidP="00422DD5">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92" w:name="_Toc67330096"/>
            <w:r w:rsidRPr="003D1614">
              <w:rPr>
                <w:rFonts w:ascii="Arial" w:eastAsia="Times New Roman" w:hAnsi="Arial" w:cs="Arial"/>
                <w:color w:val="000000" w:themeColor="text1"/>
                <w:spacing w:val="-2"/>
                <w:sz w:val="17"/>
                <w:szCs w:val="17"/>
              </w:rPr>
              <w:t>Obveze po kreditima</w:t>
            </w:r>
            <w:bookmarkEnd w:id="792"/>
          </w:p>
        </w:tc>
        <w:tc>
          <w:tcPr>
            <w:tcW w:w="547" w:type="pct"/>
            <w:tcBorders>
              <w:top w:val="nil"/>
              <w:left w:val="nil"/>
              <w:bottom w:val="nil"/>
              <w:right w:val="nil"/>
            </w:tcBorders>
            <w:shd w:val="clear" w:color="auto" w:fill="auto"/>
            <w:vAlign w:val="bottom"/>
          </w:tcPr>
          <w:p w14:paraId="0E279600"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102.022</w:t>
            </w:r>
          </w:p>
        </w:tc>
        <w:tc>
          <w:tcPr>
            <w:tcW w:w="534" w:type="pct"/>
            <w:tcBorders>
              <w:top w:val="nil"/>
              <w:left w:val="nil"/>
              <w:bottom w:val="nil"/>
              <w:right w:val="nil"/>
            </w:tcBorders>
            <w:shd w:val="clear" w:color="auto" w:fill="auto"/>
            <w:vAlign w:val="bottom"/>
          </w:tcPr>
          <w:p w14:paraId="1FB23B72"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113.905</w:t>
            </w:r>
          </w:p>
        </w:tc>
        <w:tc>
          <w:tcPr>
            <w:tcW w:w="528" w:type="pct"/>
            <w:tcBorders>
              <w:top w:val="nil"/>
              <w:left w:val="nil"/>
              <w:bottom w:val="nil"/>
              <w:right w:val="nil"/>
            </w:tcBorders>
            <w:shd w:val="clear" w:color="auto" w:fill="auto"/>
            <w:vAlign w:val="bottom"/>
          </w:tcPr>
          <w:p w14:paraId="139F35CB"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246.703</w:t>
            </w:r>
          </w:p>
        </w:tc>
        <w:tc>
          <w:tcPr>
            <w:tcW w:w="538" w:type="pct"/>
            <w:tcBorders>
              <w:top w:val="nil"/>
              <w:left w:val="nil"/>
              <w:bottom w:val="nil"/>
              <w:right w:val="nil"/>
            </w:tcBorders>
            <w:shd w:val="clear" w:color="auto" w:fill="auto"/>
            <w:vAlign w:val="bottom"/>
          </w:tcPr>
          <w:p w14:paraId="5DDF7B1F"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648.259</w:t>
            </w:r>
          </w:p>
        </w:tc>
        <w:tc>
          <w:tcPr>
            <w:tcW w:w="623" w:type="pct"/>
            <w:tcBorders>
              <w:top w:val="nil"/>
              <w:left w:val="nil"/>
              <w:bottom w:val="nil"/>
              <w:right w:val="nil"/>
            </w:tcBorders>
            <w:shd w:val="clear" w:color="auto" w:fill="auto"/>
            <w:vAlign w:val="bottom"/>
          </w:tcPr>
          <w:p w14:paraId="61832DF3"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1.118.440</w:t>
            </w:r>
          </w:p>
        </w:tc>
        <w:tc>
          <w:tcPr>
            <w:tcW w:w="589" w:type="pct"/>
            <w:tcBorders>
              <w:top w:val="nil"/>
              <w:left w:val="nil"/>
              <w:bottom w:val="nil"/>
              <w:right w:val="nil"/>
            </w:tcBorders>
            <w:shd w:val="clear" w:color="auto" w:fill="auto"/>
            <w:vAlign w:val="bottom"/>
          </w:tcPr>
          <w:p w14:paraId="0086AD61"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2.229.329</w:t>
            </w:r>
          </w:p>
        </w:tc>
      </w:tr>
      <w:tr w:rsidR="00E056B2" w:rsidRPr="003D1614" w14:paraId="16A9C6DD" w14:textId="77777777" w:rsidTr="00422DD5">
        <w:trPr>
          <w:trHeight w:val="315"/>
        </w:trPr>
        <w:tc>
          <w:tcPr>
            <w:tcW w:w="1641" w:type="pct"/>
            <w:vAlign w:val="bottom"/>
          </w:tcPr>
          <w:p w14:paraId="6A96D1B4" w14:textId="77777777" w:rsidR="00E056B2" w:rsidRPr="003D1614" w:rsidRDefault="00E056B2" w:rsidP="00422DD5">
            <w:pPr>
              <w:tabs>
                <w:tab w:val="right" w:pos="1202"/>
              </w:tabs>
              <w:suppressAutoHyphens/>
              <w:autoSpaceDN w:val="0"/>
              <w:spacing w:line="220" w:lineRule="exact"/>
              <w:outlineLvl w:val="0"/>
              <w:rPr>
                <w:rFonts w:ascii="Arial" w:eastAsia="Times New Roman" w:hAnsi="Arial" w:cs="Arial"/>
                <w:color w:val="000000" w:themeColor="text1"/>
                <w:spacing w:val="-2"/>
                <w:sz w:val="17"/>
                <w:szCs w:val="17"/>
              </w:rPr>
            </w:pPr>
            <w:bookmarkStart w:id="793" w:name="_Toc67330098"/>
            <w:r w:rsidRPr="003D1614">
              <w:rPr>
                <w:rFonts w:ascii="Arial" w:eastAsia="Times New Roman" w:hAnsi="Arial" w:cs="Arial"/>
                <w:color w:val="000000" w:themeColor="text1"/>
                <w:spacing w:val="-2"/>
                <w:sz w:val="17"/>
                <w:szCs w:val="17"/>
              </w:rPr>
              <w:t>Rezerviranja za garancije, preuzete i ostale obveze</w:t>
            </w:r>
            <w:bookmarkEnd w:id="793"/>
          </w:p>
        </w:tc>
        <w:tc>
          <w:tcPr>
            <w:tcW w:w="547" w:type="pct"/>
            <w:tcBorders>
              <w:top w:val="nil"/>
              <w:left w:val="nil"/>
              <w:bottom w:val="nil"/>
              <w:right w:val="nil"/>
            </w:tcBorders>
            <w:shd w:val="clear" w:color="auto" w:fill="auto"/>
            <w:vAlign w:val="bottom"/>
          </w:tcPr>
          <w:p w14:paraId="36F7C4A7" w14:textId="77777777" w:rsidR="00E056B2" w:rsidRPr="003D1614" w:rsidDel="00F864B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13.077</w:t>
            </w:r>
          </w:p>
        </w:tc>
        <w:tc>
          <w:tcPr>
            <w:tcW w:w="534" w:type="pct"/>
            <w:tcBorders>
              <w:top w:val="nil"/>
              <w:left w:val="nil"/>
              <w:bottom w:val="nil"/>
              <w:right w:val="nil"/>
            </w:tcBorders>
            <w:shd w:val="clear" w:color="auto" w:fill="auto"/>
            <w:vAlign w:val="bottom"/>
          </w:tcPr>
          <w:p w14:paraId="5A400179" w14:textId="77777777" w:rsidR="00E056B2" w:rsidRPr="003D1614" w:rsidDel="00F864B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638</w:t>
            </w:r>
          </w:p>
        </w:tc>
        <w:tc>
          <w:tcPr>
            <w:tcW w:w="528" w:type="pct"/>
            <w:tcBorders>
              <w:top w:val="nil"/>
              <w:left w:val="nil"/>
              <w:bottom w:val="nil"/>
              <w:right w:val="nil"/>
            </w:tcBorders>
            <w:shd w:val="clear" w:color="auto" w:fill="auto"/>
            <w:vAlign w:val="bottom"/>
          </w:tcPr>
          <w:p w14:paraId="648571BF" w14:textId="77777777" w:rsidR="00E056B2" w:rsidRPr="003D1614" w:rsidDel="00F864B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2.225</w:t>
            </w:r>
          </w:p>
        </w:tc>
        <w:tc>
          <w:tcPr>
            <w:tcW w:w="538" w:type="pct"/>
            <w:tcBorders>
              <w:top w:val="nil"/>
              <w:left w:val="nil"/>
              <w:bottom w:val="nil"/>
              <w:right w:val="nil"/>
            </w:tcBorders>
            <w:shd w:val="clear" w:color="auto" w:fill="auto"/>
            <w:vAlign w:val="bottom"/>
          </w:tcPr>
          <w:p w14:paraId="6E6990B7" w14:textId="77777777" w:rsidR="00E056B2" w:rsidRPr="003D1614" w:rsidDel="00F864B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4.121</w:t>
            </w:r>
          </w:p>
        </w:tc>
        <w:tc>
          <w:tcPr>
            <w:tcW w:w="623" w:type="pct"/>
            <w:tcBorders>
              <w:top w:val="nil"/>
              <w:left w:val="nil"/>
              <w:bottom w:val="nil"/>
              <w:right w:val="nil"/>
            </w:tcBorders>
            <w:shd w:val="clear" w:color="auto" w:fill="auto"/>
            <w:vAlign w:val="bottom"/>
          </w:tcPr>
          <w:p w14:paraId="62E19EA2" w14:textId="77777777" w:rsidR="00E056B2" w:rsidRPr="003D1614" w:rsidDel="00F864B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1.772</w:t>
            </w:r>
          </w:p>
        </w:tc>
        <w:tc>
          <w:tcPr>
            <w:tcW w:w="589" w:type="pct"/>
            <w:tcBorders>
              <w:top w:val="nil"/>
              <w:left w:val="nil"/>
              <w:bottom w:val="nil"/>
              <w:right w:val="nil"/>
            </w:tcBorders>
            <w:shd w:val="clear" w:color="auto" w:fill="auto"/>
            <w:vAlign w:val="bottom"/>
          </w:tcPr>
          <w:p w14:paraId="048FAB42" w14:textId="77777777" w:rsidR="00E056B2" w:rsidRPr="003D1614" w:rsidDel="00F864B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21.833</w:t>
            </w:r>
          </w:p>
        </w:tc>
      </w:tr>
      <w:tr w:rsidR="00E056B2" w:rsidRPr="003D1614" w14:paraId="70F5F588" w14:textId="77777777" w:rsidTr="00422DD5">
        <w:trPr>
          <w:trHeight w:val="153"/>
        </w:trPr>
        <w:tc>
          <w:tcPr>
            <w:tcW w:w="1641" w:type="pct"/>
          </w:tcPr>
          <w:p w14:paraId="0A3ED57E" w14:textId="77777777" w:rsidR="00E056B2" w:rsidRPr="003D1614" w:rsidRDefault="00E056B2" w:rsidP="00422DD5">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794" w:name="_Toc67330099"/>
            <w:r w:rsidRPr="003D1614">
              <w:rPr>
                <w:rFonts w:ascii="Arial" w:eastAsia="Times New Roman" w:hAnsi="Arial" w:cs="Arial"/>
                <w:color w:val="000000" w:themeColor="text1"/>
                <w:spacing w:val="-2"/>
                <w:sz w:val="17"/>
                <w:szCs w:val="17"/>
              </w:rPr>
              <w:t>Ostale obveze</w:t>
            </w:r>
            <w:bookmarkEnd w:id="794"/>
          </w:p>
        </w:tc>
        <w:tc>
          <w:tcPr>
            <w:tcW w:w="547" w:type="pct"/>
            <w:tcBorders>
              <w:top w:val="nil"/>
              <w:left w:val="nil"/>
              <w:bottom w:val="nil"/>
              <w:right w:val="nil"/>
            </w:tcBorders>
            <w:shd w:val="clear" w:color="auto" w:fill="auto"/>
            <w:vAlign w:val="bottom"/>
          </w:tcPr>
          <w:p w14:paraId="27910802"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54.155</w:t>
            </w:r>
          </w:p>
        </w:tc>
        <w:tc>
          <w:tcPr>
            <w:tcW w:w="534" w:type="pct"/>
            <w:tcBorders>
              <w:top w:val="nil"/>
              <w:left w:val="nil"/>
              <w:bottom w:val="nil"/>
              <w:right w:val="nil"/>
            </w:tcBorders>
            <w:shd w:val="clear" w:color="auto" w:fill="auto"/>
            <w:vAlign w:val="bottom"/>
          </w:tcPr>
          <w:p w14:paraId="01ED0847"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2.845</w:t>
            </w:r>
          </w:p>
        </w:tc>
        <w:tc>
          <w:tcPr>
            <w:tcW w:w="528" w:type="pct"/>
            <w:tcBorders>
              <w:top w:val="nil"/>
              <w:left w:val="nil"/>
              <w:bottom w:val="nil"/>
              <w:right w:val="nil"/>
            </w:tcBorders>
            <w:shd w:val="clear" w:color="auto" w:fill="auto"/>
            <w:vAlign w:val="bottom"/>
          </w:tcPr>
          <w:p w14:paraId="7D632D35"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11.511</w:t>
            </w:r>
          </w:p>
        </w:tc>
        <w:tc>
          <w:tcPr>
            <w:tcW w:w="538" w:type="pct"/>
            <w:tcBorders>
              <w:top w:val="nil"/>
              <w:left w:val="nil"/>
              <w:bottom w:val="nil"/>
              <w:right w:val="nil"/>
            </w:tcBorders>
            <w:shd w:val="clear" w:color="auto" w:fill="auto"/>
            <w:vAlign w:val="bottom"/>
          </w:tcPr>
          <w:p w14:paraId="60CA4AE8"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17.067</w:t>
            </w:r>
          </w:p>
        </w:tc>
        <w:tc>
          <w:tcPr>
            <w:tcW w:w="623" w:type="pct"/>
            <w:tcBorders>
              <w:top w:val="nil"/>
              <w:left w:val="nil"/>
              <w:bottom w:val="nil"/>
              <w:right w:val="nil"/>
            </w:tcBorders>
            <w:shd w:val="clear" w:color="auto" w:fill="auto"/>
            <w:vAlign w:val="bottom"/>
          </w:tcPr>
          <w:p w14:paraId="4BA89267"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7.333</w:t>
            </w:r>
          </w:p>
        </w:tc>
        <w:tc>
          <w:tcPr>
            <w:tcW w:w="589" w:type="pct"/>
            <w:tcBorders>
              <w:top w:val="nil"/>
              <w:left w:val="nil"/>
              <w:bottom w:val="nil"/>
              <w:right w:val="nil"/>
            </w:tcBorders>
            <w:shd w:val="clear" w:color="auto" w:fill="auto"/>
            <w:vAlign w:val="bottom"/>
          </w:tcPr>
          <w:p w14:paraId="1D055761"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92.911</w:t>
            </w:r>
          </w:p>
        </w:tc>
      </w:tr>
      <w:tr w:rsidR="00E056B2" w:rsidRPr="003D1614" w14:paraId="7BF7C8C9" w14:textId="77777777" w:rsidTr="00422DD5">
        <w:trPr>
          <w:trHeight w:val="153"/>
        </w:trPr>
        <w:tc>
          <w:tcPr>
            <w:tcW w:w="1641" w:type="pct"/>
          </w:tcPr>
          <w:p w14:paraId="26D965AF" w14:textId="77777777" w:rsidR="00E056B2" w:rsidRPr="003D1614" w:rsidRDefault="00E056B2" w:rsidP="00422DD5">
            <w:pPr>
              <w:tabs>
                <w:tab w:val="right" w:pos="1202"/>
              </w:tabs>
              <w:suppressAutoHyphens/>
              <w:autoSpaceDN w:val="0"/>
              <w:spacing w:line="220" w:lineRule="exact"/>
              <w:outlineLvl w:val="0"/>
              <w:rPr>
                <w:rFonts w:ascii="Arial" w:eastAsia="Times New Roman" w:hAnsi="Arial" w:cs="Arial"/>
                <w:b/>
                <w:bCs/>
                <w:color w:val="000000" w:themeColor="text1"/>
                <w:sz w:val="17"/>
                <w:szCs w:val="17"/>
              </w:rPr>
            </w:pPr>
            <w:bookmarkStart w:id="795" w:name="_Toc67330100"/>
            <w:r w:rsidRPr="003D1614">
              <w:rPr>
                <w:rFonts w:ascii="Arial" w:eastAsia="Times New Roman" w:hAnsi="Arial" w:cs="Arial"/>
                <w:b/>
                <w:bCs/>
                <w:color w:val="000000" w:themeColor="text1"/>
                <w:sz w:val="17"/>
                <w:szCs w:val="17"/>
              </w:rPr>
              <w:t>Ukupne obveze</w:t>
            </w:r>
            <w:bookmarkEnd w:id="795"/>
          </w:p>
        </w:tc>
        <w:tc>
          <w:tcPr>
            <w:tcW w:w="547" w:type="pct"/>
            <w:tcBorders>
              <w:top w:val="single" w:sz="8" w:space="0" w:color="auto"/>
              <w:left w:val="nil"/>
              <w:bottom w:val="single" w:sz="8" w:space="0" w:color="auto"/>
              <w:right w:val="nil"/>
            </w:tcBorders>
            <w:shd w:val="clear" w:color="auto" w:fill="auto"/>
            <w:vAlign w:val="bottom"/>
          </w:tcPr>
          <w:p w14:paraId="7D1EA70A" w14:textId="77777777" w:rsidR="00E056B2" w:rsidRPr="003D1614" w:rsidRDefault="00E056B2" w:rsidP="00422DD5">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307.175</w:t>
            </w:r>
          </w:p>
        </w:tc>
        <w:tc>
          <w:tcPr>
            <w:tcW w:w="534" w:type="pct"/>
            <w:tcBorders>
              <w:top w:val="single" w:sz="8" w:space="0" w:color="auto"/>
              <w:left w:val="nil"/>
              <w:bottom w:val="single" w:sz="8" w:space="0" w:color="auto"/>
              <w:right w:val="nil"/>
            </w:tcBorders>
            <w:shd w:val="clear" w:color="auto" w:fill="auto"/>
            <w:vAlign w:val="bottom"/>
          </w:tcPr>
          <w:p w14:paraId="1BFB1AE1" w14:textId="77777777" w:rsidR="00E056B2" w:rsidRPr="003D1614" w:rsidRDefault="00E056B2" w:rsidP="00422DD5">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117.470</w:t>
            </w:r>
          </w:p>
        </w:tc>
        <w:tc>
          <w:tcPr>
            <w:tcW w:w="528" w:type="pct"/>
            <w:tcBorders>
              <w:top w:val="single" w:sz="8" w:space="0" w:color="auto"/>
              <w:left w:val="nil"/>
              <w:bottom w:val="single" w:sz="8" w:space="0" w:color="auto"/>
              <w:right w:val="nil"/>
            </w:tcBorders>
            <w:shd w:val="clear" w:color="auto" w:fill="auto"/>
            <w:vAlign w:val="bottom"/>
          </w:tcPr>
          <w:p w14:paraId="0B42E11D" w14:textId="77777777" w:rsidR="00E056B2" w:rsidRPr="003D1614" w:rsidRDefault="00E056B2" w:rsidP="00422DD5">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289.084</w:t>
            </w:r>
          </w:p>
        </w:tc>
        <w:tc>
          <w:tcPr>
            <w:tcW w:w="538" w:type="pct"/>
            <w:tcBorders>
              <w:top w:val="single" w:sz="8" w:space="0" w:color="auto"/>
              <w:left w:val="nil"/>
              <w:bottom w:val="single" w:sz="8" w:space="0" w:color="auto"/>
              <w:right w:val="nil"/>
            </w:tcBorders>
            <w:shd w:val="clear" w:color="auto" w:fill="auto"/>
            <w:vAlign w:val="bottom"/>
          </w:tcPr>
          <w:p w14:paraId="1FC2D1EE" w14:textId="77777777" w:rsidR="00E056B2" w:rsidRPr="003D1614" w:rsidRDefault="00E056B2" w:rsidP="00422DD5">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669.493</w:t>
            </w:r>
          </w:p>
        </w:tc>
        <w:tc>
          <w:tcPr>
            <w:tcW w:w="623" w:type="pct"/>
            <w:tcBorders>
              <w:top w:val="single" w:sz="8" w:space="0" w:color="auto"/>
              <w:left w:val="nil"/>
              <w:bottom w:val="single" w:sz="8" w:space="0" w:color="auto"/>
              <w:right w:val="nil"/>
            </w:tcBorders>
            <w:shd w:val="clear" w:color="auto" w:fill="auto"/>
            <w:vAlign w:val="bottom"/>
          </w:tcPr>
          <w:p w14:paraId="0FFC5A60" w14:textId="77777777" w:rsidR="00E056B2" w:rsidRPr="003D1614" w:rsidRDefault="00E056B2" w:rsidP="00422DD5">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1.139.360</w:t>
            </w:r>
          </w:p>
        </w:tc>
        <w:tc>
          <w:tcPr>
            <w:tcW w:w="589" w:type="pct"/>
            <w:tcBorders>
              <w:top w:val="single" w:sz="8" w:space="0" w:color="auto"/>
              <w:left w:val="nil"/>
              <w:bottom w:val="single" w:sz="8" w:space="0" w:color="auto"/>
              <w:right w:val="nil"/>
            </w:tcBorders>
            <w:shd w:val="clear" w:color="auto" w:fill="auto"/>
            <w:vAlign w:val="bottom"/>
          </w:tcPr>
          <w:p w14:paraId="5F23D037" w14:textId="77777777" w:rsidR="00E056B2" w:rsidRPr="003D1614" w:rsidRDefault="00E056B2" w:rsidP="00422DD5">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2.522.582</w:t>
            </w:r>
          </w:p>
        </w:tc>
      </w:tr>
      <w:tr w:rsidR="00E056B2" w:rsidRPr="003D1614" w14:paraId="3EA139C1" w14:textId="77777777" w:rsidTr="00422DD5">
        <w:trPr>
          <w:trHeight w:val="229"/>
        </w:trPr>
        <w:tc>
          <w:tcPr>
            <w:tcW w:w="1641" w:type="pct"/>
            <w:vAlign w:val="bottom"/>
          </w:tcPr>
          <w:p w14:paraId="6BDEBC0E" w14:textId="77777777" w:rsidR="00E056B2" w:rsidRPr="003D1614" w:rsidRDefault="00E056B2" w:rsidP="00422DD5">
            <w:pPr>
              <w:tabs>
                <w:tab w:val="right" w:pos="1202"/>
              </w:tabs>
              <w:suppressAutoHyphens/>
              <w:autoSpaceDN w:val="0"/>
              <w:spacing w:line="220" w:lineRule="exact"/>
              <w:outlineLvl w:val="0"/>
              <w:rPr>
                <w:rFonts w:ascii="Arial" w:eastAsia="Times New Roman" w:hAnsi="Arial" w:cs="Arial"/>
                <w:b/>
                <w:bCs/>
                <w:color w:val="000000" w:themeColor="text1"/>
                <w:spacing w:val="-2"/>
                <w:sz w:val="17"/>
                <w:szCs w:val="17"/>
              </w:rPr>
            </w:pPr>
            <w:bookmarkStart w:id="796" w:name="_Toc67330101"/>
            <w:proofErr w:type="spellStart"/>
            <w:r w:rsidRPr="003D1614">
              <w:rPr>
                <w:rFonts w:ascii="Arial" w:eastAsia="Calibri" w:hAnsi="Arial" w:cs="Arial"/>
                <w:b/>
                <w:bCs/>
                <w:color w:val="000000" w:themeColor="text1"/>
                <w:spacing w:val="-2"/>
                <w:sz w:val="17"/>
                <w:szCs w:val="17"/>
              </w:rPr>
              <w:t>Likvidnosni</w:t>
            </w:r>
            <w:proofErr w:type="spellEnd"/>
            <w:r w:rsidRPr="003D1614">
              <w:rPr>
                <w:rFonts w:ascii="Arial" w:eastAsia="Calibri" w:hAnsi="Arial" w:cs="Arial"/>
                <w:b/>
                <w:bCs/>
                <w:color w:val="000000" w:themeColor="text1"/>
                <w:spacing w:val="-2"/>
                <w:sz w:val="17"/>
                <w:szCs w:val="17"/>
              </w:rPr>
              <w:t xml:space="preserve"> jaz</w:t>
            </w:r>
            <w:bookmarkEnd w:id="796"/>
          </w:p>
        </w:tc>
        <w:tc>
          <w:tcPr>
            <w:tcW w:w="547" w:type="pct"/>
            <w:tcBorders>
              <w:top w:val="single" w:sz="4" w:space="0" w:color="auto"/>
              <w:left w:val="nil"/>
              <w:bottom w:val="single" w:sz="8" w:space="0" w:color="auto"/>
              <w:right w:val="nil"/>
            </w:tcBorders>
            <w:shd w:val="clear" w:color="auto" w:fill="auto"/>
            <w:vAlign w:val="bottom"/>
          </w:tcPr>
          <w:p w14:paraId="5AE15ACC" w14:textId="77777777" w:rsidR="00E056B2" w:rsidRPr="003D1614" w:rsidRDefault="00E056B2" w:rsidP="00422DD5">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462.179</w:t>
            </w:r>
          </w:p>
        </w:tc>
        <w:tc>
          <w:tcPr>
            <w:tcW w:w="534" w:type="pct"/>
            <w:tcBorders>
              <w:top w:val="single" w:sz="4" w:space="0" w:color="auto"/>
              <w:left w:val="nil"/>
              <w:bottom w:val="single" w:sz="8" w:space="0" w:color="auto"/>
              <w:right w:val="nil"/>
            </w:tcBorders>
            <w:shd w:val="clear" w:color="auto" w:fill="auto"/>
            <w:vAlign w:val="bottom"/>
          </w:tcPr>
          <w:p w14:paraId="12652BBD" w14:textId="77777777" w:rsidR="00E056B2" w:rsidRPr="003D1614" w:rsidRDefault="00E056B2" w:rsidP="00422DD5">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31.046</w:t>
            </w:r>
          </w:p>
        </w:tc>
        <w:tc>
          <w:tcPr>
            <w:tcW w:w="528" w:type="pct"/>
            <w:tcBorders>
              <w:top w:val="single" w:sz="4" w:space="0" w:color="auto"/>
              <w:left w:val="nil"/>
              <w:bottom w:val="single" w:sz="8" w:space="0" w:color="auto"/>
              <w:right w:val="nil"/>
            </w:tcBorders>
            <w:shd w:val="clear" w:color="auto" w:fill="auto"/>
            <w:vAlign w:val="bottom"/>
          </w:tcPr>
          <w:p w14:paraId="4E4BAD27" w14:textId="77777777" w:rsidR="00E056B2" w:rsidRPr="003D1614" w:rsidRDefault="00E056B2" w:rsidP="00422DD5">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79.709</w:t>
            </w:r>
          </w:p>
        </w:tc>
        <w:tc>
          <w:tcPr>
            <w:tcW w:w="538" w:type="pct"/>
            <w:tcBorders>
              <w:top w:val="single" w:sz="4" w:space="0" w:color="auto"/>
              <w:left w:val="nil"/>
              <w:bottom w:val="single" w:sz="8" w:space="0" w:color="auto"/>
              <w:right w:val="nil"/>
            </w:tcBorders>
            <w:shd w:val="clear" w:color="auto" w:fill="auto"/>
            <w:vAlign w:val="bottom"/>
          </w:tcPr>
          <w:p w14:paraId="483E938C" w14:textId="77777777" w:rsidR="00E056B2" w:rsidRPr="003D1614" w:rsidRDefault="00E056B2" w:rsidP="00422DD5">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301.732</w:t>
            </w:r>
          </w:p>
        </w:tc>
        <w:tc>
          <w:tcPr>
            <w:tcW w:w="623" w:type="pct"/>
            <w:tcBorders>
              <w:top w:val="single" w:sz="4" w:space="0" w:color="auto"/>
              <w:left w:val="nil"/>
              <w:bottom w:val="single" w:sz="8" w:space="0" w:color="auto"/>
              <w:right w:val="nil"/>
            </w:tcBorders>
            <w:shd w:val="clear" w:color="auto" w:fill="auto"/>
            <w:vAlign w:val="bottom"/>
          </w:tcPr>
          <w:p w14:paraId="23AF4EA8" w14:textId="77777777" w:rsidR="00E056B2" w:rsidRPr="003D1614" w:rsidRDefault="00E056B2" w:rsidP="00422DD5">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600.257</w:t>
            </w:r>
          </w:p>
        </w:tc>
        <w:tc>
          <w:tcPr>
            <w:tcW w:w="589" w:type="pct"/>
            <w:tcBorders>
              <w:top w:val="single" w:sz="4" w:space="0" w:color="auto"/>
              <w:left w:val="nil"/>
              <w:bottom w:val="single" w:sz="8" w:space="0" w:color="auto"/>
              <w:right w:val="nil"/>
            </w:tcBorders>
            <w:shd w:val="clear" w:color="auto" w:fill="auto"/>
            <w:vAlign w:val="bottom"/>
          </w:tcPr>
          <w:p w14:paraId="176952FC" w14:textId="77777777" w:rsidR="00E056B2" w:rsidRPr="003D1614" w:rsidRDefault="00E056B2" w:rsidP="00422DD5">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1.474.923</w:t>
            </w:r>
          </w:p>
        </w:tc>
      </w:tr>
      <w:tr w:rsidR="00E056B2" w:rsidRPr="003D1614" w14:paraId="7A34A6CE" w14:textId="77777777" w:rsidTr="00422DD5">
        <w:trPr>
          <w:trHeight w:val="229"/>
        </w:trPr>
        <w:tc>
          <w:tcPr>
            <w:tcW w:w="1641" w:type="pct"/>
            <w:vAlign w:val="bottom"/>
          </w:tcPr>
          <w:p w14:paraId="4A318165" w14:textId="77777777" w:rsidR="00E056B2" w:rsidRPr="003D1614" w:rsidRDefault="00E056B2" w:rsidP="00422DD5">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p>
        </w:tc>
        <w:tc>
          <w:tcPr>
            <w:tcW w:w="547" w:type="pct"/>
            <w:tcBorders>
              <w:top w:val="single" w:sz="12" w:space="0" w:color="auto"/>
              <w:left w:val="nil"/>
              <w:right w:val="nil"/>
            </w:tcBorders>
            <w:shd w:val="clear" w:color="auto" w:fill="auto"/>
            <w:vAlign w:val="bottom"/>
          </w:tcPr>
          <w:p w14:paraId="683DE930" w14:textId="77777777" w:rsidR="00E056B2" w:rsidRPr="003D1614" w:rsidRDefault="00E056B2" w:rsidP="00422DD5">
            <w:pPr>
              <w:suppressAutoHyphens/>
              <w:autoSpaceDN w:val="0"/>
              <w:jc w:val="right"/>
              <w:rPr>
                <w:rFonts w:ascii="Arial" w:eastAsia="Times New Roman" w:hAnsi="Arial" w:cs="Arial"/>
                <w:color w:val="000000"/>
                <w:sz w:val="17"/>
                <w:szCs w:val="17"/>
              </w:rPr>
            </w:pPr>
          </w:p>
        </w:tc>
        <w:tc>
          <w:tcPr>
            <w:tcW w:w="534" w:type="pct"/>
            <w:tcBorders>
              <w:top w:val="single" w:sz="12" w:space="0" w:color="auto"/>
              <w:left w:val="nil"/>
              <w:right w:val="nil"/>
            </w:tcBorders>
            <w:shd w:val="clear" w:color="auto" w:fill="auto"/>
            <w:vAlign w:val="bottom"/>
          </w:tcPr>
          <w:p w14:paraId="2A27CD0D" w14:textId="77777777" w:rsidR="00E056B2" w:rsidRPr="003D1614" w:rsidRDefault="00E056B2" w:rsidP="00422DD5">
            <w:pPr>
              <w:suppressAutoHyphens/>
              <w:autoSpaceDN w:val="0"/>
              <w:jc w:val="right"/>
              <w:rPr>
                <w:rFonts w:ascii="Arial" w:eastAsia="Times New Roman" w:hAnsi="Arial" w:cs="Arial"/>
                <w:color w:val="000000"/>
                <w:sz w:val="17"/>
                <w:szCs w:val="17"/>
              </w:rPr>
            </w:pPr>
          </w:p>
        </w:tc>
        <w:tc>
          <w:tcPr>
            <w:tcW w:w="528" w:type="pct"/>
            <w:tcBorders>
              <w:top w:val="single" w:sz="12" w:space="0" w:color="auto"/>
              <w:left w:val="nil"/>
              <w:right w:val="nil"/>
            </w:tcBorders>
            <w:shd w:val="clear" w:color="auto" w:fill="auto"/>
            <w:vAlign w:val="bottom"/>
          </w:tcPr>
          <w:p w14:paraId="53F233CE" w14:textId="77777777" w:rsidR="00E056B2" w:rsidRPr="003D1614" w:rsidRDefault="00E056B2" w:rsidP="00422DD5">
            <w:pPr>
              <w:suppressAutoHyphens/>
              <w:autoSpaceDN w:val="0"/>
              <w:jc w:val="right"/>
              <w:rPr>
                <w:rFonts w:ascii="Arial" w:eastAsia="Times New Roman" w:hAnsi="Arial" w:cs="Arial"/>
                <w:color w:val="000000"/>
                <w:sz w:val="17"/>
                <w:szCs w:val="17"/>
              </w:rPr>
            </w:pPr>
          </w:p>
        </w:tc>
        <w:tc>
          <w:tcPr>
            <w:tcW w:w="538" w:type="pct"/>
            <w:tcBorders>
              <w:top w:val="single" w:sz="12" w:space="0" w:color="auto"/>
              <w:left w:val="nil"/>
              <w:right w:val="nil"/>
            </w:tcBorders>
            <w:shd w:val="clear" w:color="auto" w:fill="auto"/>
            <w:vAlign w:val="bottom"/>
          </w:tcPr>
          <w:p w14:paraId="0DBA35A3" w14:textId="77777777" w:rsidR="00E056B2" w:rsidRPr="003D1614" w:rsidRDefault="00E056B2" w:rsidP="00422DD5">
            <w:pPr>
              <w:suppressAutoHyphens/>
              <w:autoSpaceDN w:val="0"/>
              <w:jc w:val="right"/>
              <w:rPr>
                <w:rFonts w:ascii="Arial" w:eastAsia="Times New Roman" w:hAnsi="Arial" w:cs="Arial"/>
                <w:color w:val="000000"/>
                <w:sz w:val="17"/>
                <w:szCs w:val="17"/>
              </w:rPr>
            </w:pPr>
          </w:p>
        </w:tc>
        <w:tc>
          <w:tcPr>
            <w:tcW w:w="623" w:type="pct"/>
            <w:tcBorders>
              <w:top w:val="single" w:sz="12" w:space="0" w:color="auto"/>
              <w:left w:val="nil"/>
              <w:right w:val="nil"/>
            </w:tcBorders>
            <w:shd w:val="clear" w:color="auto" w:fill="auto"/>
            <w:vAlign w:val="bottom"/>
          </w:tcPr>
          <w:p w14:paraId="3BA872DA" w14:textId="77777777" w:rsidR="00E056B2" w:rsidRPr="003D1614" w:rsidRDefault="00E056B2" w:rsidP="00422DD5">
            <w:pPr>
              <w:suppressAutoHyphens/>
              <w:autoSpaceDN w:val="0"/>
              <w:jc w:val="right"/>
              <w:rPr>
                <w:rFonts w:ascii="Arial" w:eastAsia="Times New Roman" w:hAnsi="Arial" w:cs="Arial"/>
                <w:color w:val="000000"/>
                <w:sz w:val="17"/>
                <w:szCs w:val="17"/>
              </w:rPr>
            </w:pPr>
          </w:p>
        </w:tc>
        <w:tc>
          <w:tcPr>
            <w:tcW w:w="589" w:type="pct"/>
            <w:tcBorders>
              <w:top w:val="single" w:sz="12" w:space="0" w:color="auto"/>
              <w:left w:val="nil"/>
              <w:right w:val="nil"/>
            </w:tcBorders>
            <w:shd w:val="clear" w:color="auto" w:fill="auto"/>
            <w:vAlign w:val="bottom"/>
          </w:tcPr>
          <w:p w14:paraId="484AD75B" w14:textId="77777777" w:rsidR="00E056B2" w:rsidRPr="003D1614" w:rsidRDefault="00E056B2" w:rsidP="00422DD5">
            <w:pPr>
              <w:suppressAutoHyphens/>
              <w:autoSpaceDN w:val="0"/>
              <w:jc w:val="right"/>
              <w:rPr>
                <w:rFonts w:ascii="Arial" w:eastAsia="Times New Roman" w:hAnsi="Arial" w:cs="Arial"/>
                <w:color w:val="000000"/>
                <w:sz w:val="17"/>
                <w:szCs w:val="17"/>
              </w:rPr>
            </w:pPr>
          </w:p>
        </w:tc>
      </w:tr>
      <w:tr w:rsidR="00E056B2" w:rsidRPr="003D1614" w14:paraId="3D89BDFF" w14:textId="77777777" w:rsidTr="00422DD5">
        <w:trPr>
          <w:trHeight w:val="229"/>
        </w:trPr>
        <w:tc>
          <w:tcPr>
            <w:tcW w:w="1641" w:type="pct"/>
            <w:tcBorders>
              <w:top w:val="nil"/>
              <w:left w:val="nil"/>
              <w:bottom w:val="nil"/>
              <w:right w:val="nil"/>
            </w:tcBorders>
            <w:shd w:val="clear" w:color="auto" w:fill="auto"/>
            <w:vAlign w:val="center"/>
          </w:tcPr>
          <w:p w14:paraId="50F02A7D" w14:textId="77777777" w:rsidR="00E056B2" w:rsidRPr="003D1614" w:rsidRDefault="00E056B2" w:rsidP="00422DD5">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bookmarkStart w:id="797" w:name="_Toc67330102"/>
            <w:r w:rsidRPr="003D1614">
              <w:rPr>
                <w:rFonts w:ascii="Arial" w:eastAsia="Times New Roman" w:hAnsi="Arial" w:cs="Arial"/>
                <w:b/>
                <w:bCs/>
                <w:color w:val="000000" w:themeColor="text1"/>
                <w:sz w:val="17"/>
                <w:szCs w:val="17"/>
              </w:rPr>
              <w:t>Garancije i preuzete obveze</w:t>
            </w:r>
            <w:bookmarkEnd w:id="797"/>
          </w:p>
        </w:tc>
        <w:tc>
          <w:tcPr>
            <w:tcW w:w="547" w:type="pct"/>
            <w:tcBorders>
              <w:top w:val="nil"/>
              <w:left w:val="nil"/>
              <w:bottom w:val="nil"/>
              <w:right w:val="nil"/>
            </w:tcBorders>
            <w:shd w:val="clear" w:color="auto" w:fill="auto"/>
            <w:vAlign w:val="bottom"/>
          </w:tcPr>
          <w:p w14:paraId="289AEEC7" w14:textId="77777777" w:rsidR="00E056B2" w:rsidRPr="003D1614" w:rsidRDefault="00E056B2" w:rsidP="00422DD5">
            <w:pPr>
              <w:suppressAutoHyphens/>
              <w:autoSpaceDN w:val="0"/>
              <w:jc w:val="right"/>
              <w:rPr>
                <w:rFonts w:ascii="Arial" w:eastAsia="Times New Roman" w:hAnsi="Arial" w:cs="Arial"/>
                <w:color w:val="000000"/>
                <w:sz w:val="17"/>
                <w:szCs w:val="17"/>
              </w:rPr>
            </w:pPr>
          </w:p>
        </w:tc>
        <w:tc>
          <w:tcPr>
            <w:tcW w:w="534" w:type="pct"/>
            <w:tcBorders>
              <w:top w:val="nil"/>
              <w:left w:val="nil"/>
              <w:bottom w:val="nil"/>
              <w:right w:val="nil"/>
            </w:tcBorders>
            <w:shd w:val="clear" w:color="auto" w:fill="auto"/>
            <w:vAlign w:val="bottom"/>
          </w:tcPr>
          <w:p w14:paraId="5AC71B50" w14:textId="77777777" w:rsidR="00E056B2" w:rsidRPr="003D1614" w:rsidRDefault="00E056B2" w:rsidP="00422DD5">
            <w:pPr>
              <w:suppressAutoHyphens/>
              <w:autoSpaceDN w:val="0"/>
              <w:jc w:val="right"/>
              <w:rPr>
                <w:rFonts w:ascii="Arial" w:eastAsia="Times New Roman" w:hAnsi="Arial" w:cs="Arial"/>
                <w:color w:val="000000"/>
                <w:sz w:val="17"/>
                <w:szCs w:val="17"/>
              </w:rPr>
            </w:pPr>
          </w:p>
        </w:tc>
        <w:tc>
          <w:tcPr>
            <w:tcW w:w="528" w:type="pct"/>
            <w:tcBorders>
              <w:top w:val="nil"/>
              <w:left w:val="nil"/>
              <w:bottom w:val="nil"/>
              <w:right w:val="nil"/>
            </w:tcBorders>
            <w:shd w:val="clear" w:color="auto" w:fill="auto"/>
            <w:vAlign w:val="bottom"/>
          </w:tcPr>
          <w:p w14:paraId="236FAFCB" w14:textId="77777777" w:rsidR="00E056B2" w:rsidRPr="003D1614" w:rsidRDefault="00E056B2" w:rsidP="00422DD5">
            <w:pPr>
              <w:suppressAutoHyphens/>
              <w:autoSpaceDN w:val="0"/>
              <w:jc w:val="right"/>
              <w:rPr>
                <w:rFonts w:ascii="Arial" w:eastAsia="Times New Roman" w:hAnsi="Arial" w:cs="Arial"/>
                <w:color w:val="000000"/>
                <w:sz w:val="17"/>
                <w:szCs w:val="17"/>
              </w:rPr>
            </w:pPr>
          </w:p>
        </w:tc>
        <w:tc>
          <w:tcPr>
            <w:tcW w:w="538" w:type="pct"/>
            <w:tcBorders>
              <w:top w:val="nil"/>
              <w:left w:val="nil"/>
              <w:bottom w:val="nil"/>
              <w:right w:val="nil"/>
            </w:tcBorders>
            <w:shd w:val="clear" w:color="auto" w:fill="auto"/>
            <w:vAlign w:val="bottom"/>
          </w:tcPr>
          <w:p w14:paraId="0EB7CF86" w14:textId="77777777" w:rsidR="00E056B2" w:rsidRPr="003D1614" w:rsidRDefault="00E056B2" w:rsidP="00422DD5">
            <w:pPr>
              <w:suppressAutoHyphens/>
              <w:autoSpaceDN w:val="0"/>
              <w:jc w:val="right"/>
              <w:rPr>
                <w:rFonts w:ascii="Arial" w:eastAsia="Times New Roman" w:hAnsi="Arial" w:cs="Arial"/>
                <w:color w:val="000000"/>
                <w:sz w:val="17"/>
                <w:szCs w:val="17"/>
              </w:rPr>
            </w:pPr>
          </w:p>
        </w:tc>
        <w:tc>
          <w:tcPr>
            <w:tcW w:w="623" w:type="pct"/>
            <w:tcBorders>
              <w:top w:val="nil"/>
              <w:left w:val="nil"/>
              <w:bottom w:val="nil"/>
              <w:right w:val="nil"/>
            </w:tcBorders>
            <w:shd w:val="clear" w:color="auto" w:fill="auto"/>
            <w:vAlign w:val="bottom"/>
          </w:tcPr>
          <w:p w14:paraId="3CA0F3D0" w14:textId="77777777" w:rsidR="00E056B2" w:rsidRPr="003D1614" w:rsidRDefault="00E056B2" w:rsidP="00422DD5">
            <w:pPr>
              <w:suppressAutoHyphens/>
              <w:autoSpaceDN w:val="0"/>
              <w:jc w:val="right"/>
              <w:rPr>
                <w:rFonts w:ascii="Arial" w:eastAsia="Times New Roman" w:hAnsi="Arial" w:cs="Arial"/>
                <w:color w:val="000000"/>
                <w:sz w:val="17"/>
                <w:szCs w:val="17"/>
              </w:rPr>
            </w:pPr>
          </w:p>
        </w:tc>
        <w:tc>
          <w:tcPr>
            <w:tcW w:w="589" w:type="pct"/>
            <w:tcBorders>
              <w:top w:val="nil"/>
              <w:left w:val="nil"/>
              <w:bottom w:val="nil"/>
              <w:right w:val="nil"/>
            </w:tcBorders>
            <w:shd w:val="clear" w:color="auto" w:fill="auto"/>
            <w:vAlign w:val="bottom"/>
          </w:tcPr>
          <w:p w14:paraId="05B64BE2" w14:textId="77777777" w:rsidR="00E056B2" w:rsidRPr="003D1614" w:rsidRDefault="00E056B2" w:rsidP="00422DD5">
            <w:pPr>
              <w:suppressAutoHyphens/>
              <w:autoSpaceDN w:val="0"/>
              <w:jc w:val="right"/>
              <w:rPr>
                <w:rFonts w:ascii="Arial" w:eastAsia="Times New Roman" w:hAnsi="Arial" w:cs="Arial"/>
                <w:color w:val="000000"/>
                <w:sz w:val="17"/>
                <w:szCs w:val="17"/>
              </w:rPr>
            </w:pPr>
          </w:p>
        </w:tc>
      </w:tr>
      <w:tr w:rsidR="00E056B2" w:rsidRPr="003D1614" w14:paraId="3F2933A4" w14:textId="77777777" w:rsidTr="00422DD5">
        <w:trPr>
          <w:trHeight w:val="229"/>
        </w:trPr>
        <w:tc>
          <w:tcPr>
            <w:tcW w:w="1641" w:type="pct"/>
            <w:tcBorders>
              <w:top w:val="nil"/>
              <w:left w:val="nil"/>
              <w:bottom w:val="nil"/>
              <w:right w:val="nil"/>
            </w:tcBorders>
            <w:shd w:val="clear" w:color="auto" w:fill="auto"/>
            <w:vAlign w:val="center"/>
          </w:tcPr>
          <w:p w14:paraId="684AAF82" w14:textId="77777777" w:rsidR="00E056B2" w:rsidRPr="003D1614" w:rsidRDefault="00E056B2" w:rsidP="00422DD5">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bookmarkStart w:id="798" w:name="_Toc67330103"/>
            <w:r w:rsidRPr="003D1614">
              <w:rPr>
                <w:rFonts w:ascii="Arial" w:eastAsia="Times New Roman" w:hAnsi="Arial" w:cs="Arial"/>
                <w:color w:val="000000" w:themeColor="text1"/>
                <w:sz w:val="17"/>
                <w:szCs w:val="17"/>
              </w:rPr>
              <w:t xml:space="preserve">Izdane garancije </w:t>
            </w:r>
            <w:bookmarkEnd w:id="798"/>
          </w:p>
        </w:tc>
        <w:tc>
          <w:tcPr>
            <w:tcW w:w="547" w:type="pct"/>
            <w:tcBorders>
              <w:top w:val="nil"/>
              <w:left w:val="nil"/>
              <w:bottom w:val="nil"/>
              <w:right w:val="nil"/>
            </w:tcBorders>
            <w:shd w:val="clear" w:color="auto" w:fill="auto"/>
            <w:vAlign w:val="bottom"/>
          </w:tcPr>
          <w:p w14:paraId="143C0032"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36.431</w:t>
            </w:r>
          </w:p>
        </w:tc>
        <w:tc>
          <w:tcPr>
            <w:tcW w:w="534" w:type="pct"/>
            <w:tcBorders>
              <w:top w:val="nil"/>
              <w:left w:val="nil"/>
              <w:bottom w:val="nil"/>
              <w:right w:val="nil"/>
            </w:tcBorders>
            <w:shd w:val="clear" w:color="auto" w:fill="auto"/>
            <w:vAlign w:val="bottom"/>
          </w:tcPr>
          <w:p w14:paraId="5CE03C34"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28" w:type="pct"/>
            <w:tcBorders>
              <w:top w:val="nil"/>
              <w:left w:val="nil"/>
              <w:bottom w:val="nil"/>
              <w:right w:val="nil"/>
            </w:tcBorders>
            <w:shd w:val="clear" w:color="auto" w:fill="auto"/>
            <w:vAlign w:val="bottom"/>
          </w:tcPr>
          <w:p w14:paraId="21728004"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38" w:type="pct"/>
            <w:tcBorders>
              <w:top w:val="nil"/>
              <w:left w:val="nil"/>
              <w:bottom w:val="nil"/>
              <w:right w:val="nil"/>
            </w:tcBorders>
            <w:shd w:val="clear" w:color="auto" w:fill="auto"/>
            <w:vAlign w:val="bottom"/>
          </w:tcPr>
          <w:p w14:paraId="40A5ED39"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23" w:type="pct"/>
            <w:tcBorders>
              <w:top w:val="nil"/>
              <w:left w:val="nil"/>
              <w:bottom w:val="nil"/>
              <w:right w:val="nil"/>
            </w:tcBorders>
            <w:shd w:val="clear" w:color="auto" w:fill="auto"/>
            <w:vAlign w:val="bottom"/>
          </w:tcPr>
          <w:p w14:paraId="388A8065"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89" w:type="pct"/>
            <w:tcBorders>
              <w:top w:val="nil"/>
              <w:left w:val="nil"/>
              <w:bottom w:val="nil"/>
              <w:right w:val="nil"/>
            </w:tcBorders>
            <w:shd w:val="clear" w:color="auto" w:fill="auto"/>
            <w:vAlign w:val="bottom"/>
          </w:tcPr>
          <w:p w14:paraId="346C709E"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36.431</w:t>
            </w:r>
          </w:p>
        </w:tc>
      </w:tr>
      <w:tr w:rsidR="00E056B2" w:rsidRPr="003D1614" w14:paraId="735BE37D" w14:textId="77777777" w:rsidTr="00422DD5">
        <w:trPr>
          <w:trHeight w:val="229"/>
        </w:trPr>
        <w:tc>
          <w:tcPr>
            <w:tcW w:w="1641" w:type="pct"/>
            <w:tcBorders>
              <w:top w:val="nil"/>
              <w:left w:val="nil"/>
              <w:bottom w:val="nil"/>
              <w:right w:val="nil"/>
            </w:tcBorders>
            <w:shd w:val="clear" w:color="auto" w:fill="auto"/>
            <w:vAlign w:val="center"/>
          </w:tcPr>
          <w:p w14:paraId="2AAEF70B" w14:textId="77777777" w:rsidR="00E056B2" w:rsidRPr="003D1614" w:rsidRDefault="00E056B2" w:rsidP="00422DD5">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bookmarkStart w:id="799" w:name="_Toc67330104"/>
            <w:r w:rsidRPr="003D1614">
              <w:rPr>
                <w:rFonts w:ascii="Arial" w:eastAsia="Times New Roman" w:hAnsi="Arial" w:cs="Arial"/>
                <w:color w:val="000000" w:themeColor="text1"/>
                <w:sz w:val="17"/>
                <w:szCs w:val="17"/>
              </w:rPr>
              <w:t>Izdane garancije u devizama</w:t>
            </w:r>
            <w:bookmarkEnd w:id="799"/>
          </w:p>
        </w:tc>
        <w:tc>
          <w:tcPr>
            <w:tcW w:w="547" w:type="pct"/>
            <w:tcBorders>
              <w:top w:val="nil"/>
              <w:left w:val="nil"/>
              <w:bottom w:val="nil"/>
              <w:right w:val="nil"/>
            </w:tcBorders>
            <w:shd w:val="clear" w:color="auto" w:fill="auto"/>
            <w:vAlign w:val="bottom"/>
          </w:tcPr>
          <w:p w14:paraId="15481A05"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7.425</w:t>
            </w:r>
          </w:p>
        </w:tc>
        <w:tc>
          <w:tcPr>
            <w:tcW w:w="534" w:type="pct"/>
            <w:tcBorders>
              <w:top w:val="nil"/>
              <w:left w:val="nil"/>
              <w:bottom w:val="nil"/>
              <w:right w:val="nil"/>
            </w:tcBorders>
            <w:shd w:val="clear" w:color="auto" w:fill="auto"/>
            <w:vAlign w:val="bottom"/>
          </w:tcPr>
          <w:p w14:paraId="0A1AEE10"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28" w:type="pct"/>
            <w:tcBorders>
              <w:top w:val="nil"/>
              <w:left w:val="nil"/>
              <w:bottom w:val="nil"/>
              <w:right w:val="nil"/>
            </w:tcBorders>
            <w:shd w:val="clear" w:color="auto" w:fill="auto"/>
            <w:vAlign w:val="bottom"/>
          </w:tcPr>
          <w:p w14:paraId="462B90C9"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38" w:type="pct"/>
            <w:tcBorders>
              <w:top w:val="nil"/>
              <w:left w:val="nil"/>
              <w:bottom w:val="nil"/>
              <w:right w:val="nil"/>
            </w:tcBorders>
            <w:shd w:val="clear" w:color="auto" w:fill="auto"/>
            <w:vAlign w:val="bottom"/>
          </w:tcPr>
          <w:p w14:paraId="105E58F9"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23" w:type="pct"/>
            <w:tcBorders>
              <w:top w:val="nil"/>
              <w:left w:val="nil"/>
              <w:bottom w:val="nil"/>
              <w:right w:val="nil"/>
            </w:tcBorders>
            <w:shd w:val="clear" w:color="auto" w:fill="auto"/>
            <w:vAlign w:val="bottom"/>
          </w:tcPr>
          <w:p w14:paraId="0E87F5CB"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89" w:type="pct"/>
            <w:tcBorders>
              <w:top w:val="nil"/>
              <w:left w:val="nil"/>
              <w:bottom w:val="nil"/>
              <w:right w:val="nil"/>
            </w:tcBorders>
            <w:shd w:val="clear" w:color="auto" w:fill="auto"/>
            <w:vAlign w:val="bottom"/>
          </w:tcPr>
          <w:p w14:paraId="10ED1C1B"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7.425</w:t>
            </w:r>
          </w:p>
        </w:tc>
      </w:tr>
      <w:tr w:rsidR="00E056B2" w:rsidRPr="003D1614" w14:paraId="4A6E2968" w14:textId="77777777" w:rsidTr="00422DD5">
        <w:trPr>
          <w:trHeight w:val="229"/>
        </w:trPr>
        <w:tc>
          <w:tcPr>
            <w:tcW w:w="1641" w:type="pct"/>
            <w:tcBorders>
              <w:top w:val="nil"/>
              <w:left w:val="nil"/>
              <w:bottom w:val="nil"/>
              <w:right w:val="nil"/>
            </w:tcBorders>
            <w:shd w:val="clear" w:color="auto" w:fill="auto"/>
            <w:vAlign w:val="center"/>
          </w:tcPr>
          <w:p w14:paraId="27332EA5" w14:textId="77777777" w:rsidR="00E056B2" w:rsidRPr="003D1614" w:rsidRDefault="00E056B2" w:rsidP="00422DD5">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bookmarkStart w:id="800" w:name="_Toc67330106"/>
            <w:r w:rsidRPr="003D1614">
              <w:rPr>
                <w:rFonts w:ascii="Arial" w:eastAsia="Times New Roman" w:hAnsi="Arial" w:cs="Arial"/>
                <w:color w:val="000000" w:themeColor="text1"/>
                <w:sz w:val="17"/>
                <w:szCs w:val="17"/>
              </w:rPr>
              <w:t>Preuzete obveze po kreditima</w:t>
            </w:r>
            <w:bookmarkEnd w:id="800"/>
          </w:p>
        </w:tc>
        <w:tc>
          <w:tcPr>
            <w:tcW w:w="547" w:type="pct"/>
            <w:tcBorders>
              <w:top w:val="nil"/>
              <w:left w:val="nil"/>
              <w:bottom w:val="nil"/>
              <w:right w:val="nil"/>
            </w:tcBorders>
            <w:shd w:val="clear" w:color="auto" w:fill="auto"/>
            <w:vAlign w:val="bottom"/>
          </w:tcPr>
          <w:p w14:paraId="719129B5"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556.993</w:t>
            </w:r>
          </w:p>
        </w:tc>
        <w:tc>
          <w:tcPr>
            <w:tcW w:w="534" w:type="pct"/>
            <w:tcBorders>
              <w:top w:val="nil"/>
              <w:left w:val="nil"/>
              <w:bottom w:val="nil"/>
              <w:right w:val="nil"/>
            </w:tcBorders>
            <w:shd w:val="clear" w:color="auto" w:fill="auto"/>
            <w:vAlign w:val="bottom"/>
          </w:tcPr>
          <w:p w14:paraId="68FA06AD"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28" w:type="pct"/>
            <w:tcBorders>
              <w:top w:val="nil"/>
              <w:left w:val="nil"/>
              <w:bottom w:val="nil"/>
              <w:right w:val="nil"/>
            </w:tcBorders>
            <w:shd w:val="clear" w:color="auto" w:fill="auto"/>
            <w:vAlign w:val="bottom"/>
          </w:tcPr>
          <w:p w14:paraId="5ADF19DA"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38" w:type="pct"/>
            <w:tcBorders>
              <w:top w:val="nil"/>
              <w:left w:val="nil"/>
              <w:bottom w:val="nil"/>
              <w:right w:val="nil"/>
            </w:tcBorders>
            <w:shd w:val="clear" w:color="auto" w:fill="auto"/>
            <w:vAlign w:val="bottom"/>
          </w:tcPr>
          <w:p w14:paraId="3BEF9577"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23" w:type="pct"/>
            <w:tcBorders>
              <w:top w:val="nil"/>
              <w:left w:val="nil"/>
              <w:bottom w:val="nil"/>
              <w:right w:val="nil"/>
            </w:tcBorders>
            <w:shd w:val="clear" w:color="auto" w:fill="auto"/>
            <w:vAlign w:val="bottom"/>
          </w:tcPr>
          <w:p w14:paraId="7145C4D4"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89" w:type="pct"/>
            <w:tcBorders>
              <w:top w:val="nil"/>
              <w:left w:val="nil"/>
              <w:bottom w:val="nil"/>
              <w:right w:val="nil"/>
            </w:tcBorders>
            <w:shd w:val="clear" w:color="auto" w:fill="auto"/>
            <w:vAlign w:val="bottom"/>
          </w:tcPr>
          <w:p w14:paraId="1C9CE79D"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556.993</w:t>
            </w:r>
          </w:p>
        </w:tc>
      </w:tr>
      <w:tr w:rsidR="00E056B2" w:rsidRPr="003D1614" w14:paraId="4FC6D434" w14:textId="77777777" w:rsidTr="00422DD5">
        <w:trPr>
          <w:trHeight w:val="229"/>
        </w:trPr>
        <w:tc>
          <w:tcPr>
            <w:tcW w:w="1641" w:type="pct"/>
            <w:tcBorders>
              <w:top w:val="nil"/>
              <w:left w:val="nil"/>
              <w:bottom w:val="nil"/>
              <w:right w:val="nil"/>
            </w:tcBorders>
            <w:shd w:val="clear" w:color="auto" w:fill="auto"/>
            <w:vAlign w:val="bottom"/>
          </w:tcPr>
          <w:p w14:paraId="7F375D89" w14:textId="77777777" w:rsidR="00E056B2" w:rsidRPr="003D1614" w:rsidRDefault="00E056B2" w:rsidP="00422DD5">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801" w:name="_Toc67330107"/>
            <w:r w:rsidRPr="003D1614">
              <w:rPr>
                <w:rFonts w:ascii="Arial" w:eastAsia="Times New Roman" w:hAnsi="Arial" w:cs="Arial"/>
                <w:color w:val="000000" w:themeColor="text1"/>
                <w:sz w:val="17"/>
                <w:szCs w:val="17"/>
              </w:rPr>
              <w:t>Upisani a neuplaćeni kapital EIF-a</w:t>
            </w:r>
            <w:bookmarkEnd w:id="801"/>
          </w:p>
        </w:tc>
        <w:tc>
          <w:tcPr>
            <w:tcW w:w="547" w:type="pct"/>
            <w:tcBorders>
              <w:top w:val="nil"/>
              <w:left w:val="nil"/>
              <w:bottom w:val="nil"/>
              <w:right w:val="nil"/>
            </w:tcBorders>
            <w:shd w:val="clear" w:color="auto" w:fill="auto"/>
            <w:vAlign w:val="bottom"/>
          </w:tcPr>
          <w:p w14:paraId="0A0C3A0C"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10.400</w:t>
            </w:r>
          </w:p>
        </w:tc>
        <w:tc>
          <w:tcPr>
            <w:tcW w:w="534" w:type="pct"/>
            <w:tcBorders>
              <w:top w:val="nil"/>
              <w:left w:val="nil"/>
              <w:bottom w:val="nil"/>
              <w:right w:val="nil"/>
            </w:tcBorders>
            <w:shd w:val="clear" w:color="auto" w:fill="auto"/>
            <w:vAlign w:val="bottom"/>
          </w:tcPr>
          <w:p w14:paraId="121B99C8"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28" w:type="pct"/>
            <w:tcBorders>
              <w:top w:val="nil"/>
              <w:left w:val="nil"/>
              <w:bottom w:val="nil"/>
              <w:right w:val="nil"/>
            </w:tcBorders>
            <w:shd w:val="clear" w:color="auto" w:fill="auto"/>
            <w:vAlign w:val="bottom"/>
          </w:tcPr>
          <w:p w14:paraId="47E742B5"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38" w:type="pct"/>
            <w:tcBorders>
              <w:top w:val="nil"/>
              <w:left w:val="nil"/>
              <w:bottom w:val="nil"/>
              <w:right w:val="nil"/>
            </w:tcBorders>
            <w:shd w:val="clear" w:color="auto" w:fill="auto"/>
            <w:vAlign w:val="bottom"/>
          </w:tcPr>
          <w:p w14:paraId="0DF6E450"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23" w:type="pct"/>
            <w:tcBorders>
              <w:top w:val="nil"/>
              <w:left w:val="nil"/>
              <w:bottom w:val="nil"/>
              <w:right w:val="nil"/>
            </w:tcBorders>
            <w:shd w:val="clear" w:color="auto" w:fill="auto"/>
            <w:vAlign w:val="bottom"/>
          </w:tcPr>
          <w:p w14:paraId="53A17A46"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89" w:type="pct"/>
            <w:tcBorders>
              <w:top w:val="nil"/>
              <w:left w:val="nil"/>
              <w:bottom w:val="nil"/>
              <w:right w:val="nil"/>
            </w:tcBorders>
            <w:shd w:val="clear" w:color="auto" w:fill="auto"/>
            <w:vAlign w:val="bottom"/>
          </w:tcPr>
          <w:p w14:paraId="74DCA585"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10.400</w:t>
            </w:r>
          </w:p>
        </w:tc>
      </w:tr>
      <w:tr w:rsidR="00E056B2" w:rsidRPr="003D1614" w14:paraId="58270398" w14:textId="77777777" w:rsidTr="00422DD5">
        <w:trPr>
          <w:trHeight w:val="229"/>
        </w:trPr>
        <w:tc>
          <w:tcPr>
            <w:tcW w:w="1641" w:type="pct"/>
            <w:tcBorders>
              <w:top w:val="nil"/>
              <w:left w:val="nil"/>
              <w:bottom w:val="nil"/>
              <w:right w:val="nil"/>
            </w:tcBorders>
            <w:shd w:val="clear" w:color="auto" w:fill="auto"/>
          </w:tcPr>
          <w:p w14:paraId="19C7B685" w14:textId="77777777" w:rsidR="00E056B2" w:rsidRPr="003D1614" w:rsidRDefault="00E056B2" w:rsidP="00422DD5">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802" w:name="_Toc67330108"/>
            <w:r w:rsidRPr="003D1614">
              <w:rPr>
                <w:rFonts w:ascii="Arial" w:eastAsia="Times New Roman" w:hAnsi="Arial" w:cs="Arial"/>
                <w:color w:val="000000" w:themeColor="text1"/>
                <w:sz w:val="17"/>
                <w:szCs w:val="17"/>
              </w:rPr>
              <w:t>Ugovorena obveza EIF CROGIP</w:t>
            </w:r>
            <w:bookmarkEnd w:id="802"/>
          </w:p>
        </w:tc>
        <w:tc>
          <w:tcPr>
            <w:tcW w:w="547" w:type="pct"/>
            <w:tcBorders>
              <w:top w:val="nil"/>
              <w:left w:val="nil"/>
              <w:bottom w:val="nil"/>
              <w:right w:val="nil"/>
            </w:tcBorders>
            <w:shd w:val="clear" w:color="auto" w:fill="auto"/>
            <w:vAlign w:val="bottom"/>
          </w:tcPr>
          <w:p w14:paraId="1DB1C7D0"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204</w:t>
            </w:r>
          </w:p>
        </w:tc>
        <w:tc>
          <w:tcPr>
            <w:tcW w:w="534" w:type="pct"/>
            <w:tcBorders>
              <w:top w:val="nil"/>
              <w:left w:val="nil"/>
              <w:bottom w:val="nil"/>
              <w:right w:val="nil"/>
            </w:tcBorders>
            <w:shd w:val="clear" w:color="auto" w:fill="auto"/>
            <w:vAlign w:val="bottom"/>
          </w:tcPr>
          <w:p w14:paraId="484B3294"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2.456</w:t>
            </w:r>
          </w:p>
        </w:tc>
        <w:tc>
          <w:tcPr>
            <w:tcW w:w="528" w:type="pct"/>
            <w:tcBorders>
              <w:top w:val="nil"/>
              <w:left w:val="nil"/>
              <w:bottom w:val="nil"/>
              <w:right w:val="nil"/>
            </w:tcBorders>
            <w:shd w:val="clear" w:color="auto" w:fill="auto"/>
            <w:vAlign w:val="bottom"/>
          </w:tcPr>
          <w:p w14:paraId="07E04491"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6.070</w:t>
            </w:r>
          </w:p>
        </w:tc>
        <w:tc>
          <w:tcPr>
            <w:tcW w:w="538" w:type="pct"/>
            <w:tcBorders>
              <w:top w:val="nil"/>
              <w:left w:val="nil"/>
              <w:bottom w:val="nil"/>
              <w:right w:val="nil"/>
            </w:tcBorders>
            <w:shd w:val="clear" w:color="auto" w:fill="auto"/>
            <w:vAlign w:val="bottom"/>
          </w:tcPr>
          <w:p w14:paraId="41B31843"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15.400</w:t>
            </w:r>
          </w:p>
        </w:tc>
        <w:tc>
          <w:tcPr>
            <w:tcW w:w="623" w:type="pct"/>
            <w:tcBorders>
              <w:top w:val="nil"/>
              <w:left w:val="nil"/>
              <w:bottom w:val="nil"/>
              <w:right w:val="nil"/>
            </w:tcBorders>
            <w:shd w:val="clear" w:color="auto" w:fill="auto"/>
            <w:vAlign w:val="bottom"/>
          </w:tcPr>
          <w:p w14:paraId="0EB694EA"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6.330</w:t>
            </w:r>
          </w:p>
        </w:tc>
        <w:tc>
          <w:tcPr>
            <w:tcW w:w="589" w:type="pct"/>
            <w:tcBorders>
              <w:top w:val="nil"/>
              <w:left w:val="nil"/>
              <w:bottom w:val="nil"/>
              <w:right w:val="nil"/>
            </w:tcBorders>
            <w:shd w:val="clear" w:color="auto" w:fill="auto"/>
            <w:vAlign w:val="bottom"/>
          </w:tcPr>
          <w:p w14:paraId="0D7B8EEE"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30.460</w:t>
            </w:r>
          </w:p>
        </w:tc>
      </w:tr>
      <w:tr w:rsidR="00E056B2" w:rsidRPr="003D1614" w14:paraId="16097067" w14:textId="77777777" w:rsidTr="00422DD5">
        <w:trPr>
          <w:trHeight w:val="229"/>
        </w:trPr>
        <w:tc>
          <w:tcPr>
            <w:tcW w:w="1641" w:type="pct"/>
            <w:tcBorders>
              <w:top w:val="nil"/>
              <w:left w:val="nil"/>
              <w:bottom w:val="nil"/>
              <w:right w:val="nil"/>
            </w:tcBorders>
            <w:shd w:val="clear" w:color="auto" w:fill="auto"/>
          </w:tcPr>
          <w:p w14:paraId="6BC1D4D4" w14:textId="77777777" w:rsidR="00E056B2" w:rsidRPr="003D1614" w:rsidRDefault="00E056B2" w:rsidP="00422DD5">
            <w:pPr>
              <w:tabs>
                <w:tab w:val="right" w:pos="1202"/>
              </w:tabs>
              <w:suppressAutoHyphens/>
              <w:autoSpaceDN w:val="0"/>
              <w:spacing w:line="220" w:lineRule="exact"/>
              <w:outlineLvl w:val="0"/>
              <w:rPr>
                <w:rFonts w:ascii="Arial" w:eastAsia="Times New Roman" w:hAnsi="Arial" w:cs="Arial"/>
                <w:color w:val="000000" w:themeColor="text1"/>
                <w:sz w:val="17"/>
                <w:szCs w:val="17"/>
              </w:rPr>
            </w:pPr>
            <w:bookmarkStart w:id="803" w:name="_Toc67330109"/>
            <w:r w:rsidRPr="003D1614">
              <w:rPr>
                <w:rFonts w:ascii="Arial" w:eastAsia="Times New Roman" w:hAnsi="Arial" w:cs="Arial"/>
                <w:color w:val="000000" w:themeColor="text1"/>
                <w:sz w:val="17"/>
                <w:szCs w:val="17"/>
              </w:rPr>
              <w:t>Ugovorena obveza EIF FRC2</w:t>
            </w:r>
            <w:bookmarkEnd w:id="803"/>
          </w:p>
        </w:tc>
        <w:tc>
          <w:tcPr>
            <w:tcW w:w="547" w:type="pct"/>
            <w:tcBorders>
              <w:top w:val="nil"/>
              <w:left w:val="nil"/>
              <w:bottom w:val="single" w:sz="8" w:space="0" w:color="auto"/>
              <w:right w:val="nil"/>
            </w:tcBorders>
            <w:shd w:val="clear" w:color="auto" w:fill="auto"/>
            <w:vAlign w:val="bottom"/>
          </w:tcPr>
          <w:p w14:paraId="060EB777"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5</w:t>
            </w:r>
          </w:p>
        </w:tc>
        <w:tc>
          <w:tcPr>
            <w:tcW w:w="534" w:type="pct"/>
            <w:tcBorders>
              <w:top w:val="nil"/>
              <w:left w:val="nil"/>
              <w:bottom w:val="single" w:sz="8" w:space="0" w:color="auto"/>
              <w:right w:val="nil"/>
            </w:tcBorders>
            <w:shd w:val="clear" w:color="auto" w:fill="auto"/>
            <w:vAlign w:val="bottom"/>
          </w:tcPr>
          <w:p w14:paraId="7DA0F9D0"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w:t>
            </w:r>
          </w:p>
        </w:tc>
        <w:tc>
          <w:tcPr>
            <w:tcW w:w="528" w:type="pct"/>
            <w:tcBorders>
              <w:top w:val="nil"/>
              <w:left w:val="nil"/>
              <w:bottom w:val="single" w:sz="8" w:space="0" w:color="auto"/>
              <w:right w:val="nil"/>
            </w:tcBorders>
            <w:shd w:val="clear" w:color="auto" w:fill="auto"/>
            <w:vAlign w:val="bottom"/>
          </w:tcPr>
          <w:p w14:paraId="239C9980"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16</w:t>
            </w:r>
          </w:p>
        </w:tc>
        <w:tc>
          <w:tcPr>
            <w:tcW w:w="538" w:type="pct"/>
            <w:tcBorders>
              <w:top w:val="nil"/>
              <w:left w:val="nil"/>
              <w:bottom w:val="single" w:sz="8" w:space="0" w:color="auto"/>
              <w:right w:val="nil"/>
            </w:tcBorders>
            <w:shd w:val="clear" w:color="auto" w:fill="auto"/>
            <w:vAlign w:val="bottom"/>
          </w:tcPr>
          <w:p w14:paraId="49B97D92"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35</w:t>
            </w:r>
          </w:p>
        </w:tc>
        <w:tc>
          <w:tcPr>
            <w:tcW w:w="623" w:type="pct"/>
            <w:tcBorders>
              <w:top w:val="nil"/>
              <w:left w:val="nil"/>
              <w:bottom w:val="single" w:sz="8" w:space="0" w:color="auto"/>
              <w:right w:val="nil"/>
            </w:tcBorders>
            <w:shd w:val="clear" w:color="auto" w:fill="auto"/>
            <w:vAlign w:val="bottom"/>
          </w:tcPr>
          <w:p w14:paraId="6C131B1C"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9</w:t>
            </w:r>
          </w:p>
        </w:tc>
        <w:tc>
          <w:tcPr>
            <w:tcW w:w="589" w:type="pct"/>
            <w:tcBorders>
              <w:top w:val="nil"/>
              <w:left w:val="nil"/>
              <w:bottom w:val="single" w:sz="8" w:space="0" w:color="auto"/>
              <w:right w:val="nil"/>
            </w:tcBorders>
            <w:shd w:val="clear" w:color="auto" w:fill="auto"/>
            <w:vAlign w:val="bottom"/>
          </w:tcPr>
          <w:p w14:paraId="3403EF8B" w14:textId="77777777" w:rsidR="00E056B2" w:rsidRPr="003D1614" w:rsidRDefault="00E056B2" w:rsidP="00422DD5">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67</w:t>
            </w:r>
          </w:p>
        </w:tc>
      </w:tr>
      <w:tr w:rsidR="00E056B2" w:rsidRPr="003D1614" w14:paraId="278BEADA" w14:textId="77777777" w:rsidTr="00422DD5">
        <w:trPr>
          <w:trHeight w:val="229"/>
        </w:trPr>
        <w:tc>
          <w:tcPr>
            <w:tcW w:w="1641" w:type="pct"/>
            <w:tcBorders>
              <w:top w:val="nil"/>
              <w:left w:val="nil"/>
              <w:bottom w:val="nil"/>
              <w:right w:val="nil"/>
            </w:tcBorders>
            <w:shd w:val="clear" w:color="auto" w:fill="auto"/>
            <w:vAlign w:val="center"/>
          </w:tcPr>
          <w:p w14:paraId="0329EF25" w14:textId="77777777" w:rsidR="00E056B2" w:rsidRPr="003D1614" w:rsidRDefault="00E056B2" w:rsidP="00422DD5">
            <w:pPr>
              <w:tabs>
                <w:tab w:val="right" w:pos="1202"/>
              </w:tabs>
              <w:suppressAutoHyphens/>
              <w:autoSpaceDN w:val="0"/>
              <w:spacing w:line="220" w:lineRule="exact"/>
              <w:outlineLvl w:val="0"/>
              <w:rPr>
                <w:rFonts w:ascii="Arial" w:eastAsia="Calibri" w:hAnsi="Arial" w:cs="Arial"/>
                <w:b/>
                <w:bCs/>
                <w:color w:val="000000" w:themeColor="text1"/>
                <w:spacing w:val="-2"/>
                <w:sz w:val="17"/>
                <w:szCs w:val="17"/>
              </w:rPr>
            </w:pPr>
            <w:bookmarkStart w:id="804" w:name="_Toc67330110"/>
            <w:r w:rsidRPr="003D1614">
              <w:rPr>
                <w:rFonts w:ascii="Arial" w:eastAsia="Times New Roman" w:hAnsi="Arial" w:cs="Arial"/>
                <w:b/>
                <w:bCs/>
                <w:color w:val="000000" w:themeColor="text1"/>
                <w:sz w:val="17"/>
                <w:szCs w:val="17"/>
              </w:rPr>
              <w:t>Ukupne garancije i preuzete obveze</w:t>
            </w:r>
            <w:bookmarkEnd w:id="804"/>
          </w:p>
        </w:tc>
        <w:tc>
          <w:tcPr>
            <w:tcW w:w="547" w:type="pct"/>
            <w:tcBorders>
              <w:top w:val="single" w:sz="8" w:space="0" w:color="auto"/>
              <w:left w:val="nil"/>
              <w:bottom w:val="single" w:sz="12" w:space="0" w:color="auto"/>
              <w:right w:val="nil"/>
            </w:tcBorders>
            <w:shd w:val="clear" w:color="auto" w:fill="auto"/>
            <w:vAlign w:val="bottom"/>
          </w:tcPr>
          <w:p w14:paraId="7AC81C1B" w14:textId="77777777" w:rsidR="00E056B2" w:rsidRPr="003D1614" w:rsidRDefault="00E056B2" w:rsidP="00422DD5">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611.458</w:t>
            </w:r>
          </w:p>
        </w:tc>
        <w:tc>
          <w:tcPr>
            <w:tcW w:w="534" w:type="pct"/>
            <w:tcBorders>
              <w:top w:val="single" w:sz="8" w:space="0" w:color="auto"/>
              <w:left w:val="nil"/>
              <w:bottom w:val="single" w:sz="12" w:space="0" w:color="auto"/>
              <w:right w:val="nil"/>
            </w:tcBorders>
            <w:shd w:val="clear" w:color="auto" w:fill="auto"/>
            <w:vAlign w:val="bottom"/>
          </w:tcPr>
          <w:p w14:paraId="69EB2474" w14:textId="77777777" w:rsidR="00E056B2" w:rsidRPr="003D1614" w:rsidRDefault="00E056B2" w:rsidP="00422DD5">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2.458</w:t>
            </w:r>
          </w:p>
        </w:tc>
        <w:tc>
          <w:tcPr>
            <w:tcW w:w="528" w:type="pct"/>
            <w:tcBorders>
              <w:top w:val="single" w:sz="8" w:space="0" w:color="auto"/>
              <w:left w:val="nil"/>
              <w:bottom w:val="single" w:sz="12" w:space="0" w:color="auto"/>
              <w:right w:val="nil"/>
            </w:tcBorders>
            <w:shd w:val="clear" w:color="auto" w:fill="auto"/>
            <w:vAlign w:val="bottom"/>
          </w:tcPr>
          <w:p w14:paraId="7CE27597" w14:textId="77777777" w:rsidR="00E056B2" w:rsidRPr="003D1614" w:rsidRDefault="00E056B2" w:rsidP="00422DD5">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6.086</w:t>
            </w:r>
          </w:p>
        </w:tc>
        <w:tc>
          <w:tcPr>
            <w:tcW w:w="538" w:type="pct"/>
            <w:tcBorders>
              <w:top w:val="single" w:sz="8" w:space="0" w:color="auto"/>
              <w:left w:val="nil"/>
              <w:bottom w:val="single" w:sz="12" w:space="0" w:color="auto"/>
              <w:right w:val="nil"/>
            </w:tcBorders>
            <w:shd w:val="clear" w:color="auto" w:fill="auto"/>
            <w:vAlign w:val="bottom"/>
          </w:tcPr>
          <w:p w14:paraId="16C620F0" w14:textId="77777777" w:rsidR="00E056B2" w:rsidRPr="003D1614" w:rsidRDefault="00E056B2" w:rsidP="00422DD5">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15.435</w:t>
            </w:r>
          </w:p>
        </w:tc>
        <w:tc>
          <w:tcPr>
            <w:tcW w:w="623" w:type="pct"/>
            <w:tcBorders>
              <w:top w:val="single" w:sz="8" w:space="0" w:color="auto"/>
              <w:left w:val="nil"/>
              <w:bottom w:val="single" w:sz="12" w:space="0" w:color="auto"/>
              <w:right w:val="nil"/>
            </w:tcBorders>
            <w:shd w:val="clear" w:color="auto" w:fill="auto"/>
            <w:vAlign w:val="bottom"/>
          </w:tcPr>
          <w:p w14:paraId="49EA4D10" w14:textId="77777777" w:rsidR="00E056B2" w:rsidRPr="003D1614" w:rsidRDefault="00E056B2" w:rsidP="00422DD5">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6.339</w:t>
            </w:r>
          </w:p>
        </w:tc>
        <w:tc>
          <w:tcPr>
            <w:tcW w:w="589" w:type="pct"/>
            <w:tcBorders>
              <w:top w:val="single" w:sz="8" w:space="0" w:color="auto"/>
              <w:left w:val="nil"/>
              <w:bottom w:val="single" w:sz="12" w:space="0" w:color="auto"/>
              <w:right w:val="nil"/>
            </w:tcBorders>
            <w:shd w:val="clear" w:color="auto" w:fill="auto"/>
            <w:vAlign w:val="bottom"/>
          </w:tcPr>
          <w:p w14:paraId="3C9B294B" w14:textId="77777777" w:rsidR="00E056B2" w:rsidRPr="003D1614" w:rsidRDefault="00E056B2" w:rsidP="00422DD5">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641.776</w:t>
            </w:r>
          </w:p>
        </w:tc>
      </w:tr>
    </w:tbl>
    <w:p w14:paraId="0E257696" w14:textId="77777777" w:rsidR="00661446" w:rsidRPr="003D1614" w:rsidRDefault="00661446" w:rsidP="00661446">
      <w:pPr>
        <w:suppressAutoHyphens/>
        <w:autoSpaceDN w:val="0"/>
        <w:jc w:val="both"/>
        <w:rPr>
          <w:rFonts w:ascii="Arial" w:eastAsia="Times New Roman" w:hAnsi="Arial" w:cs="Arial"/>
          <w:bCs/>
          <w:color w:val="000000" w:themeColor="text1"/>
          <w:sz w:val="20"/>
          <w:szCs w:val="20"/>
        </w:rPr>
      </w:pPr>
    </w:p>
    <w:p w14:paraId="4E431389" w14:textId="77777777" w:rsidR="00661446" w:rsidRPr="003D1614" w:rsidRDefault="00661446" w:rsidP="00661446">
      <w:pPr>
        <w:suppressAutoHyphens/>
        <w:autoSpaceDN w:val="0"/>
        <w:jc w:val="both"/>
        <w:rPr>
          <w:rFonts w:ascii="Arial" w:eastAsia="Times New Roman" w:hAnsi="Arial" w:cs="Arial"/>
          <w:bCs/>
          <w:color w:val="000000" w:themeColor="text1"/>
          <w:sz w:val="20"/>
          <w:szCs w:val="20"/>
        </w:rPr>
      </w:pPr>
    </w:p>
    <w:p w14:paraId="7E514DB3" w14:textId="77777777" w:rsidR="00661446" w:rsidRPr="003D1614" w:rsidRDefault="00661446" w:rsidP="00661446">
      <w:pPr>
        <w:suppressAutoHyphens/>
        <w:autoSpaceDN w:val="0"/>
        <w:jc w:val="both"/>
        <w:rPr>
          <w:rFonts w:ascii="Arial" w:eastAsia="Times New Roman" w:hAnsi="Arial" w:cs="Arial"/>
          <w:bCs/>
          <w:color w:val="000000" w:themeColor="text1"/>
          <w:sz w:val="20"/>
          <w:szCs w:val="20"/>
        </w:rPr>
      </w:pPr>
    </w:p>
    <w:p w14:paraId="0816826B" w14:textId="77777777" w:rsidR="00E056B2" w:rsidRPr="003D1614" w:rsidRDefault="00E056B2" w:rsidP="00E056B2">
      <w:pPr>
        <w:suppressAutoHyphens/>
        <w:autoSpaceDN w:val="0"/>
        <w:jc w:val="both"/>
        <w:rPr>
          <w:rFonts w:ascii="Arial" w:eastAsia="Times New Roman" w:hAnsi="Arial" w:cs="Arial"/>
          <w:i/>
          <w:color w:val="000000" w:themeColor="text1"/>
          <w:sz w:val="18"/>
          <w:szCs w:val="18"/>
        </w:rPr>
      </w:pPr>
      <w:r w:rsidRPr="003D1614">
        <w:rPr>
          <w:rFonts w:ascii="Arial" w:eastAsia="Times New Roman" w:hAnsi="Arial" w:cs="Arial"/>
          <w:bCs/>
          <w:color w:val="000000" w:themeColor="text1"/>
          <w:sz w:val="18"/>
          <w:szCs w:val="18"/>
        </w:rPr>
        <w:t>Stavke s neodređenim dospijećem iskazane su u razdoblju preko 3 godine.</w:t>
      </w:r>
      <w:r w:rsidRPr="003D1614">
        <w:rPr>
          <w:rFonts w:ascii="Arial" w:eastAsia="Times New Roman" w:hAnsi="Arial" w:cs="Arial"/>
          <w:i/>
          <w:color w:val="000000" w:themeColor="text1"/>
          <w:sz w:val="18"/>
          <w:szCs w:val="18"/>
        </w:rPr>
        <w:t xml:space="preserve"> </w:t>
      </w:r>
    </w:p>
    <w:p w14:paraId="6295F7D8" w14:textId="77777777" w:rsidR="00E056B2" w:rsidRPr="00757B55" w:rsidRDefault="00E056B2" w:rsidP="00E056B2">
      <w:pPr>
        <w:keepNext/>
        <w:ind w:right="-1"/>
        <w:jc w:val="both"/>
        <w:rPr>
          <w:rFonts w:ascii="Arial" w:hAnsi="Arial" w:cs="Arial"/>
          <w:bCs/>
          <w:i/>
          <w:strike/>
          <w:color w:val="000000" w:themeColor="text1"/>
          <w:sz w:val="18"/>
          <w:szCs w:val="18"/>
        </w:rPr>
      </w:pPr>
      <w:r w:rsidRPr="00F84C24">
        <w:rPr>
          <w:rFonts w:ascii="Arial" w:hAnsi="Arial" w:cs="Arial"/>
          <w:bCs/>
          <w:i/>
          <w:color w:val="000000" w:themeColor="text1"/>
          <w:sz w:val="18"/>
          <w:szCs w:val="18"/>
        </w:rPr>
        <w:t>*</w:t>
      </w:r>
      <w:r w:rsidRPr="00F84C24">
        <w:rPr>
          <w:rFonts w:ascii="Arial" w:hAnsi="Arial" w:cs="Arial"/>
          <w:b/>
          <w:bCs/>
          <w:color w:val="000000" w:themeColor="text1"/>
          <w:sz w:val="18"/>
          <w:szCs w:val="18"/>
        </w:rPr>
        <w:t xml:space="preserve"> </w:t>
      </w:r>
      <w:r w:rsidRPr="00F959D0">
        <w:rPr>
          <w:rFonts w:ascii="Arial" w:hAnsi="Arial" w:cs="Arial"/>
          <w:bCs/>
          <w:i/>
          <w:color w:val="000000" w:themeColor="text1"/>
          <w:sz w:val="18"/>
          <w:szCs w:val="18"/>
        </w:rPr>
        <w:t xml:space="preserve">Potraživanje u iznosu od </w:t>
      </w:r>
      <w:r>
        <w:rPr>
          <w:rFonts w:ascii="Arial" w:hAnsi="Arial" w:cs="Arial"/>
          <w:bCs/>
          <w:i/>
          <w:color w:val="000000" w:themeColor="text1"/>
          <w:sz w:val="18"/>
          <w:szCs w:val="18"/>
        </w:rPr>
        <w:t>50</w:t>
      </w:r>
      <w:r w:rsidRPr="00F959D0">
        <w:rPr>
          <w:rFonts w:ascii="Arial" w:hAnsi="Arial" w:cs="Arial"/>
          <w:bCs/>
          <w:i/>
          <w:color w:val="000000" w:themeColor="text1"/>
          <w:sz w:val="18"/>
          <w:szCs w:val="18"/>
        </w:rPr>
        <w:t>.</w:t>
      </w:r>
      <w:r>
        <w:rPr>
          <w:rFonts w:ascii="Arial" w:hAnsi="Arial" w:cs="Arial"/>
          <w:bCs/>
          <w:i/>
          <w:color w:val="000000" w:themeColor="text1"/>
          <w:sz w:val="18"/>
          <w:szCs w:val="18"/>
        </w:rPr>
        <w:t>000</w:t>
      </w:r>
      <w:r w:rsidRPr="00F959D0">
        <w:rPr>
          <w:rFonts w:ascii="Arial" w:hAnsi="Arial" w:cs="Arial"/>
          <w:bCs/>
          <w:i/>
          <w:color w:val="000000" w:themeColor="text1"/>
          <w:sz w:val="18"/>
          <w:szCs w:val="18"/>
        </w:rPr>
        <w:t xml:space="preserve"> tisuća </w:t>
      </w:r>
      <w:r>
        <w:rPr>
          <w:rFonts w:ascii="Arial" w:hAnsi="Arial" w:cs="Arial"/>
          <w:bCs/>
          <w:i/>
          <w:color w:val="000000" w:themeColor="text1"/>
          <w:sz w:val="18"/>
          <w:szCs w:val="18"/>
        </w:rPr>
        <w:t>eura</w:t>
      </w:r>
      <w:r w:rsidRPr="00F959D0">
        <w:rPr>
          <w:rFonts w:ascii="Arial" w:hAnsi="Arial" w:cs="Arial"/>
          <w:bCs/>
          <w:i/>
          <w:color w:val="000000" w:themeColor="text1"/>
          <w:sz w:val="18"/>
          <w:szCs w:val="18"/>
        </w:rPr>
        <w:t xml:space="preserve"> odnosi se na obrnute repo poslove. Kako je dio iznosa potraživanja produžen nakon datuma Izvještaja o financijskom položaju njegovo dospijeće iskazano je u razdoblju od 1 do 3 mjeseca u iznosu od </w:t>
      </w:r>
      <w:r>
        <w:rPr>
          <w:rFonts w:ascii="Arial" w:hAnsi="Arial" w:cs="Arial"/>
          <w:bCs/>
          <w:i/>
          <w:color w:val="000000" w:themeColor="text1"/>
          <w:sz w:val="18"/>
          <w:szCs w:val="18"/>
        </w:rPr>
        <w:t>10</w:t>
      </w:r>
      <w:r w:rsidRPr="00F959D0">
        <w:rPr>
          <w:rFonts w:ascii="Arial" w:hAnsi="Arial" w:cs="Arial"/>
          <w:bCs/>
          <w:i/>
          <w:color w:val="000000" w:themeColor="text1"/>
          <w:sz w:val="18"/>
          <w:szCs w:val="18"/>
        </w:rPr>
        <w:t>.</w:t>
      </w:r>
      <w:r>
        <w:rPr>
          <w:rFonts w:ascii="Arial" w:hAnsi="Arial" w:cs="Arial"/>
          <w:bCs/>
          <w:i/>
          <w:color w:val="000000" w:themeColor="text1"/>
          <w:sz w:val="18"/>
          <w:szCs w:val="18"/>
        </w:rPr>
        <w:t>000</w:t>
      </w:r>
      <w:r w:rsidRPr="00F959D0">
        <w:rPr>
          <w:rFonts w:ascii="Arial" w:hAnsi="Arial" w:cs="Arial"/>
          <w:bCs/>
          <w:i/>
          <w:color w:val="000000" w:themeColor="text1"/>
          <w:sz w:val="18"/>
          <w:szCs w:val="18"/>
        </w:rPr>
        <w:t xml:space="preserve"> tisuća </w:t>
      </w:r>
      <w:r>
        <w:rPr>
          <w:rFonts w:ascii="Arial" w:hAnsi="Arial" w:cs="Arial"/>
          <w:bCs/>
          <w:i/>
          <w:color w:val="000000" w:themeColor="text1"/>
          <w:sz w:val="18"/>
          <w:szCs w:val="18"/>
        </w:rPr>
        <w:t>eur</w:t>
      </w:r>
      <w:r w:rsidRPr="00F959D0">
        <w:rPr>
          <w:rFonts w:ascii="Arial" w:hAnsi="Arial" w:cs="Arial"/>
          <w:bCs/>
          <w:i/>
          <w:color w:val="000000" w:themeColor="text1"/>
          <w:sz w:val="18"/>
          <w:szCs w:val="18"/>
        </w:rPr>
        <w:t>a.</w:t>
      </w:r>
    </w:p>
    <w:p w14:paraId="2E52036B" w14:textId="77777777" w:rsidR="00E056B2" w:rsidRPr="003D1614" w:rsidRDefault="00E056B2" w:rsidP="00E056B2">
      <w:pPr>
        <w:suppressAutoHyphens/>
        <w:autoSpaceDN w:val="0"/>
        <w:jc w:val="both"/>
        <w:rPr>
          <w:rFonts w:ascii="Arial" w:eastAsia="Times New Roman" w:hAnsi="Arial" w:cs="Arial"/>
          <w:color w:val="000000" w:themeColor="text1"/>
          <w:sz w:val="18"/>
          <w:szCs w:val="18"/>
        </w:rPr>
      </w:pPr>
      <w:r w:rsidRPr="003D1614">
        <w:rPr>
          <w:rFonts w:ascii="Arial" w:eastAsia="Calibri" w:hAnsi="Arial" w:cs="Arial"/>
          <w:bCs/>
          <w:i/>
          <w:color w:val="000000" w:themeColor="text1"/>
          <w:sz w:val="18"/>
          <w:szCs w:val="18"/>
        </w:rPr>
        <w:t>*</w:t>
      </w:r>
      <w:r>
        <w:rPr>
          <w:rFonts w:ascii="Arial" w:eastAsia="Calibri" w:hAnsi="Arial" w:cs="Arial"/>
          <w:bCs/>
          <w:i/>
          <w:color w:val="000000" w:themeColor="text1"/>
          <w:sz w:val="18"/>
          <w:szCs w:val="18"/>
        </w:rPr>
        <w:t>*</w:t>
      </w:r>
      <w:r w:rsidRPr="003D1614">
        <w:rPr>
          <w:rFonts w:ascii="Arial" w:eastAsia="Calibri" w:hAnsi="Arial" w:cs="Arial"/>
          <w:bCs/>
          <w:i/>
          <w:color w:val="000000" w:themeColor="text1"/>
          <w:sz w:val="18"/>
          <w:szCs w:val="18"/>
        </w:rPr>
        <w:t xml:space="preserve">Obračunata nedospjela kamata po kreditima raspoređena je u kategoriji od 1 do 3 mjeseca. </w:t>
      </w:r>
    </w:p>
    <w:p w14:paraId="1B59F392" w14:textId="77777777" w:rsidR="00E056B2" w:rsidRPr="003D1614" w:rsidRDefault="00E056B2" w:rsidP="00E056B2">
      <w:pPr>
        <w:suppressAutoHyphens/>
        <w:autoSpaceDN w:val="0"/>
        <w:jc w:val="both"/>
        <w:rPr>
          <w:rFonts w:ascii="Arial" w:eastAsia="Times New Roman" w:hAnsi="Arial" w:cs="Arial"/>
          <w:color w:val="000000" w:themeColor="text1"/>
          <w:sz w:val="20"/>
          <w:szCs w:val="20"/>
        </w:rPr>
      </w:pPr>
    </w:p>
    <w:p w14:paraId="4C3FC9A1" w14:textId="7CFA3777" w:rsidR="00A269B5" w:rsidRPr="003D1614" w:rsidRDefault="00A269B5" w:rsidP="001A0FCB">
      <w:pPr>
        <w:suppressAutoHyphens/>
        <w:autoSpaceDN w:val="0"/>
        <w:jc w:val="both"/>
        <w:rPr>
          <w:rFonts w:ascii="Arial" w:eastAsia="Times New Roman" w:hAnsi="Arial" w:cs="Arial"/>
          <w:color w:val="000000" w:themeColor="text1"/>
          <w:sz w:val="20"/>
          <w:szCs w:val="20"/>
        </w:rPr>
      </w:pPr>
    </w:p>
    <w:p w14:paraId="53BB2BC1" w14:textId="77777777" w:rsidR="00661446" w:rsidRPr="003D1614" w:rsidRDefault="00661446" w:rsidP="001A0FCB">
      <w:pPr>
        <w:suppressAutoHyphens/>
        <w:autoSpaceDN w:val="0"/>
        <w:jc w:val="both"/>
        <w:rPr>
          <w:rFonts w:ascii="Arial" w:eastAsia="Times New Roman" w:hAnsi="Arial" w:cs="Arial"/>
          <w:color w:val="000000" w:themeColor="text1"/>
          <w:sz w:val="20"/>
          <w:szCs w:val="20"/>
        </w:rPr>
        <w:sectPr w:rsidR="00661446" w:rsidRPr="003D1614" w:rsidSect="003278AB">
          <w:pgSz w:w="11906" w:h="16838"/>
          <w:pgMar w:top="1417" w:right="1417" w:bottom="1417" w:left="1417" w:header="708" w:footer="708" w:gutter="0"/>
          <w:cols w:space="708"/>
          <w:docGrid w:linePitch="360"/>
        </w:sectPr>
      </w:pPr>
    </w:p>
    <w:p w14:paraId="4E8A5EF5"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2D69C0A9" w14:textId="53C2F446"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4D10DD33"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1B02C426" w14:textId="2B322F64"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.4. </w:t>
      </w:r>
      <w:r w:rsidRPr="003D1614">
        <w:rPr>
          <w:rFonts w:ascii="Arial" w:eastAsia="Times New Roman" w:hAnsi="Arial" w:cs="Arial"/>
          <w:b/>
          <w:bCs/>
          <w:color w:val="000000" w:themeColor="text1"/>
          <w:sz w:val="20"/>
          <w:szCs w:val="20"/>
        </w:rPr>
        <w:tab/>
        <w:t xml:space="preserve">Rizik likvidnosti </w:t>
      </w:r>
    </w:p>
    <w:p w14:paraId="35A517B8"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p w14:paraId="198BB793"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tbl>
      <w:tblPr>
        <w:tblW w:w="5106" w:type="pct"/>
        <w:tblInd w:w="-142" w:type="dxa"/>
        <w:tblLayout w:type="fixed"/>
        <w:tblCellMar>
          <w:left w:w="120" w:type="dxa"/>
          <w:right w:w="120" w:type="dxa"/>
        </w:tblCellMar>
        <w:tblLook w:val="0000" w:firstRow="0" w:lastRow="0" w:firstColumn="0" w:lastColumn="0" w:noHBand="0" w:noVBand="0"/>
      </w:tblPr>
      <w:tblGrid>
        <w:gridCol w:w="3034"/>
        <w:gridCol w:w="1013"/>
        <w:gridCol w:w="989"/>
        <w:gridCol w:w="978"/>
        <w:gridCol w:w="997"/>
        <w:gridCol w:w="1154"/>
        <w:gridCol w:w="1099"/>
      </w:tblGrid>
      <w:tr w:rsidR="00B637B8" w:rsidRPr="005B35F4" w14:paraId="51CDA952" w14:textId="77777777" w:rsidTr="00CA7F04">
        <w:trPr>
          <w:trHeight w:val="459"/>
        </w:trPr>
        <w:tc>
          <w:tcPr>
            <w:tcW w:w="1637" w:type="pct"/>
          </w:tcPr>
          <w:p w14:paraId="3D0F28E4" w14:textId="77777777" w:rsidR="00B637B8" w:rsidRPr="005B35F4" w:rsidRDefault="00B637B8" w:rsidP="00CA7F04">
            <w:pPr>
              <w:pStyle w:val="TH"/>
              <w:spacing w:line="220" w:lineRule="exact"/>
              <w:rPr>
                <w:rFonts w:cs="Arial"/>
                <w:color w:val="000000" w:themeColor="text1"/>
                <w:sz w:val="17"/>
                <w:szCs w:val="17"/>
                <w:lang w:val="hr-HR"/>
              </w:rPr>
            </w:pPr>
            <w:r w:rsidRPr="005B35F4">
              <w:rPr>
                <w:rFonts w:cs="Arial"/>
                <w:color w:val="000000" w:themeColor="text1"/>
                <w:sz w:val="17"/>
                <w:szCs w:val="17"/>
                <w:lang w:val="hr-HR"/>
              </w:rPr>
              <w:t>Grupa</w:t>
            </w:r>
          </w:p>
          <w:p w14:paraId="09A07FDC" w14:textId="77777777" w:rsidR="00B637B8" w:rsidRPr="005B35F4" w:rsidRDefault="00B637B8" w:rsidP="00CA7F04">
            <w:pPr>
              <w:pStyle w:val="TH"/>
              <w:spacing w:line="220" w:lineRule="exact"/>
              <w:rPr>
                <w:rFonts w:cs="Arial"/>
                <w:color w:val="000000" w:themeColor="text1"/>
                <w:sz w:val="17"/>
                <w:szCs w:val="17"/>
                <w:lang w:val="hr-HR"/>
              </w:rPr>
            </w:pPr>
            <w:r w:rsidRPr="005B35F4">
              <w:rPr>
                <w:rFonts w:cs="Arial"/>
                <w:color w:val="000000" w:themeColor="text1"/>
                <w:sz w:val="17"/>
                <w:szCs w:val="17"/>
                <w:lang w:val="hr-HR"/>
              </w:rPr>
              <w:t>31. prosinca 202</w:t>
            </w:r>
            <w:r>
              <w:rPr>
                <w:rFonts w:cs="Arial"/>
                <w:color w:val="000000" w:themeColor="text1"/>
                <w:sz w:val="17"/>
                <w:szCs w:val="17"/>
                <w:lang w:val="hr-HR"/>
              </w:rPr>
              <w:t>3</w:t>
            </w:r>
            <w:r w:rsidRPr="005B35F4">
              <w:rPr>
                <w:rFonts w:cs="Arial"/>
                <w:color w:val="000000" w:themeColor="text1"/>
                <w:sz w:val="17"/>
                <w:szCs w:val="17"/>
                <w:lang w:val="hr-HR"/>
              </w:rPr>
              <w:t xml:space="preserve">. </w:t>
            </w:r>
          </w:p>
        </w:tc>
        <w:tc>
          <w:tcPr>
            <w:tcW w:w="547" w:type="pct"/>
          </w:tcPr>
          <w:p w14:paraId="6D55C3E8" w14:textId="77777777" w:rsidR="00B637B8" w:rsidRPr="005B35F4" w:rsidRDefault="00B637B8" w:rsidP="00CA7F04">
            <w:pPr>
              <w:pStyle w:val="TH"/>
              <w:spacing w:line="220" w:lineRule="exact"/>
              <w:jc w:val="right"/>
              <w:rPr>
                <w:rFonts w:cs="Arial"/>
                <w:color w:val="000000" w:themeColor="text1"/>
                <w:sz w:val="17"/>
                <w:szCs w:val="17"/>
                <w:lang w:val="hr-HR"/>
              </w:rPr>
            </w:pPr>
            <w:r w:rsidRPr="005B35F4">
              <w:rPr>
                <w:rFonts w:cs="Arial"/>
                <w:color w:val="000000" w:themeColor="text1"/>
                <w:sz w:val="17"/>
                <w:szCs w:val="17"/>
                <w:lang w:val="hr-HR"/>
              </w:rPr>
              <w:t>Do 1 mjesec</w:t>
            </w:r>
          </w:p>
        </w:tc>
        <w:tc>
          <w:tcPr>
            <w:tcW w:w="534" w:type="pct"/>
          </w:tcPr>
          <w:p w14:paraId="0E4982D6" w14:textId="77777777" w:rsidR="00B637B8" w:rsidRPr="005B35F4" w:rsidRDefault="00B637B8" w:rsidP="00CA7F04">
            <w:pPr>
              <w:pStyle w:val="TH"/>
              <w:spacing w:line="220" w:lineRule="exact"/>
              <w:jc w:val="right"/>
              <w:rPr>
                <w:rFonts w:cs="Arial"/>
                <w:color w:val="000000" w:themeColor="text1"/>
                <w:sz w:val="17"/>
                <w:szCs w:val="17"/>
                <w:lang w:val="hr-HR"/>
              </w:rPr>
            </w:pPr>
            <w:r w:rsidRPr="005B35F4">
              <w:rPr>
                <w:rFonts w:cs="Arial"/>
                <w:color w:val="000000" w:themeColor="text1"/>
                <w:sz w:val="17"/>
                <w:szCs w:val="17"/>
                <w:lang w:val="hr-HR"/>
              </w:rPr>
              <w:t>1 do 3 mjeseca</w:t>
            </w:r>
          </w:p>
        </w:tc>
        <w:tc>
          <w:tcPr>
            <w:tcW w:w="528" w:type="pct"/>
          </w:tcPr>
          <w:p w14:paraId="352D006B" w14:textId="77777777" w:rsidR="00B637B8" w:rsidRPr="005B35F4" w:rsidRDefault="00B637B8" w:rsidP="00CA7F04">
            <w:pPr>
              <w:pStyle w:val="TH"/>
              <w:spacing w:line="220" w:lineRule="exact"/>
              <w:jc w:val="right"/>
              <w:rPr>
                <w:rFonts w:cs="Arial"/>
                <w:color w:val="000000" w:themeColor="text1"/>
                <w:sz w:val="17"/>
                <w:szCs w:val="17"/>
                <w:lang w:val="hr-HR"/>
              </w:rPr>
            </w:pPr>
            <w:r w:rsidRPr="005B35F4">
              <w:rPr>
                <w:rFonts w:cs="Arial"/>
                <w:color w:val="000000" w:themeColor="text1"/>
                <w:sz w:val="17"/>
                <w:szCs w:val="17"/>
                <w:lang w:val="hr-HR"/>
              </w:rPr>
              <w:t>3 mj. do 1 godine</w:t>
            </w:r>
          </w:p>
        </w:tc>
        <w:tc>
          <w:tcPr>
            <w:tcW w:w="538" w:type="pct"/>
          </w:tcPr>
          <w:p w14:paraId="1A75D6F3" w14:textId="77777777" w:rsidR="00B637B8" w:rsidRPr="005B35F4" w:rsidRDefault="00B637B8" w:rsidP="00CA7F04">
            <w:pPr>
              <w:pStyle w:val="TH"/>
              <w:spacing w:line="220" w:lineRule="exact"/>
              <w:jc w:val="right"/>
              <w:rPr>
                <w:rFonts w:cs="Arial"/>
                <w:color w:val="000000" w:themeColor="text1"/>
                <w:sz w:val="17"/>
                <w:szCs w:val="17"/>
                <w:lang w:val="hr-HR"/>
              </w:rPr>
            </w:pPr>
            <w:r w:rsidRPr="005B35F4">
              <w:rPr>
                <w:rFonts w:cs="Arial"/>
                <w:color w:val="000000" w:themeColor="text1"/>
                <w:sz w:val="17"/>
                <w:szCs w:val="17"/>
                <w:lang w:val="hr-HR"/>
              </w:rPr>
              <w:t>1 do 3 godina</w:t>
            </w:r>
          </w:p>
        </w:tc>
        <w:tc>
          <w:tcPr>
            <w:tcW w:w="623" w:type="pct"/>
          </w:tcPr>
          <w:p w14:paraId="35C3E618" w14:textId="77777777" w:rsidR="00B637B8" w:rsidRPr="005B35F4" w:rsidRDefault="00B637B8" w:rsidP="00CA7F04">
            <w:pPr>
              <w:pStyle w:val="TH"/>
              <w:spacing w:line="220" w:lineRule="exact"/>
              <w:jc w:val="right"/>
              <w:rPr>
                <w:rFonts w:cs="Arial"/>
                <w:color w:val="000000" w:themeColor="text1"/>
                <w:sz w:val="17"/>
                <w:szCs w:val="17"/>
                <w:lang w:val="hr-HR"/>
              </w:rPr>
            </w:pPr>
            <w:r w:rsidRPr="005B35F4">
              <w:rPr>
                <w:rFonts w:cs="Arial"/>
                <w:color w:val="000000" w:themeColor="text1"/>
                <w:sz w:val="17"/>
                <w:szCs w:val="17"/>
                <w:lang w:val="hr-HR"/>
              </w:rPr>
              <w:t>Preko 3 godine</w:t>
            </w:r>
          </w:p>
        </w:tc>
        <w:tc>
          <w:tcPr>
            <w:tcW w:w="593" w:type="pct"/>
          </w:tcPr>
          <w:p w14:paraId="375EFAF0" w14:textId="77777777" w:rsidR="00B637B8" w:rsidRPr="005B35F4" w:rsidRDefault="00B637B8" w:rsidP="00CA7F04">
            <w:pPr>
              <w:pStyle w:val="TH"/>
              <w:spacing w:line="220" w:lineRule="exact"/>
              <w:jc w:val="right"/>
              <w:rPr>
                <w:rFonts w:cs="Arial"/>
                <w:color w:val="000000" w:themeColor="text1"/>
                <w:sz w:val="17"/>
                <w:szCs w:val="17"/>
                <w:lang w:val="hr-HR"/>
              </w:rPr>
            </w:pPr>
            <w:r w:rsidRPr="005B35F4">
              <w:rPr>
                <w:rFonts w:cs="Arial"/>
                <w:color w:val="000000" w:themeColor="text1"/>
                <w:sz w:val="17"/>
                <w:szCs w:val="17"/>
                <w:lang w:val="hr-HR"/>
              </w:rPr>
              <w:t>Ukupno</w:t>
            </w:r>
          </w:p>
        </w:tc>
      </w:tr>
      <w:tr w:rsidR="00B637B8" w:rsidRPr="005B35F4" w14:paraId="66D97AB6" w14:textId="77777777" w:rsidTr="00CA7F04">
        <w:trPr>
          <w:trHeight w:val="161"/>
        </w:trPr>
        <w:tc>
          <w:tcPr>
            <w:tcW w:w="1637" w:type="pct"/>
          </w:tcPr>
          <w:p w14:paraId="59E58A5A" w14:textId="77777777" w:rsidR="00B637B8" w:rsidRPr="005B35F4" w:rsidRDefault="00B637B8" w:rsidP="00CA7F04">
            <w:pPr>
              <w:tabs>
                <w:tab w:val="left" w:pos="-720"/>
              </w:tabs>
              <w:suppressAutoHyphens/>
              <w:jc w:val="center"/>
              <w:rPr>
                <w:rFonts w:ascii="Arial" w:hAnsi="Arial" w:cs="Arial"/>
                <w:b/>
                <w:color w:val="000000" w:themeColor="text1"/>
                <w:spacing w:val="-2"/>
                <w:sz w:val="17"/>
                <w:szCs w:val="17"/>
              </w:rPr>
            </w:pPr>
          </w:p>
        </w:tc>
        <w:tc>
          <w:tcPr>
            <w:tcW w:w="547" w:type="pct"/>
            <w:tcBorders>
              <w:top w:val="nil"/>
              <w:left w:val="nil"/>
              <w:bottom w:val="nil"/>
              <w:right w:val="nil"/>
            </w:tcBorders>
            <w:shd w:val="clear" w:color="auto" w:fill="auto"/>
            <w:vAlign w:val="bottom"/>
          </w:tcPr>
          <w:p w14:paraId="55F9772F" w14:textId="77777777" w:rsidR="00B637B8" w:rsidRPr="003759CC" w:rsidRDefault="00B637B8" w:rsidP="00CA7F04">
            <w:pPr>
              <w:pStyle w:val="TH"/>
              <w:spacing w:line="220" w:lineRule="exact"/>
              <w:jc w:val="right"/>
              <w:rPr>
                <w:rFonts w:cs="Arial"/>
                <w:bCs/>
                <w:color w:val="000000" w:themeColor="text1"/>
                <w:sz w:val="17"/>
                <w:szCs w:val="17"/>
                <w:lang w:val="hr-HR"/>
              </w:rPr>
            </w:pPr>
            <w:r w:rsidRPr="003759CC">
              <w:rPr>
                <w:rFonts w:eastAsia="Calibri" w:cs="Arial"/>
                <w:bCs/>
                <w:color w:val="000000" w:themeColor="text1"/>
                <w:sz w:val="17"/>
                <w:szCs w:val="17"/>
                <w:lang w:val="hr-HR"/>
              </w:rPr>
              <w:t>000 eura</w:t>
            </w:r>
          </w:p>
        </w:tc>
        <w:tc>
          <w:tcPr>
            <w:tcW w:w="534" w:type="pct"/>
            <w:tcBorders>
              <w:top w:val="nil"/>
              <w:left w:val="nil"/>
              <w:bottom w:val="nil"/>
              <w:right w:val="nil"/>
            </w:tcBorders>
            <w:shd w:val="clear" w:color="auto" w:fill="auto"/>
            <w:vAlign w:val="bottom"/>
          </w:tcPr>
          <w:p w14:paraId="5E5E33C5" w14:textId="77777777" w:rsidR="00B637B8" w:rsidRPr="003759CC" w:rsidRDefault="00B637B8" w:rsidP="00CA7F04">
            <w:pPr>
              <w:pStyle w:val="TH"/>
              <w:spacing w:line="220" w:lineRule="exact"/>
              <w:jc w:val="right"/>
              <w:rPr>
                <w:rFonts w:cs="Arial"/>
                <w:bCs/>
                <w:color w:val="000000" w:themeColor="text1"/>
                <w:sz w:val="17"/>
                <w:szCs w:val="17"/>
                <w:lang w:val="hr-HR"/>
              </w:rPr>
            </w:pPr>
            <w:r w:rsidRPr="003759CC">
              <w:rPr>
                <w:rFonts w:eastAsia="Calibri" w:cs="Arial"/>
                <w:bCs/>
                <w:color w:val="000000" w:themeColor="text1"/>
                <w:sz w:val="17"/>
                <w:szCs w:val="17"/>
                <w:lang w:val="hr-HR"/>
              </w:rPr>
              <w:t>000 eura</w:t>
            </w:r>
          </w:p>
        </w:tc>
        <w:tc>
          <w:tcPr>
            <w:tcW w:w="528" w:type="pct"/>
            <w:tcBorders>
              <w:top w:val="nil"/>
              <w:left w:val="nil"/>
              <w:bottom w:val="nil"/>
              <w:right w:val="nil"/>
            </w:tcBorders>
            <w:shd w:val="clear" w:color="auto" w:fill="auto"/>
            <w:vAlign w:val="bottom"/>
          </w:tcPr>
          <w:p w14:paraId="5EF4E368" w14:textId="77777777" w:rsidR="00B637B8" w:rsidRPr="003759CC" w:rsidRDefault="00B637B8" w:rsidP="00CA7F04">
            <w:pPr>
              <w:pStyle w:val="TH"/>
              <w:spacing w:line="220" w:lineRule="exact"/>
              <w:jc w:val="right"/>
              <w:rPr>
                <w:rFonts w:cs="Arial"/>
                <w:bCs/>
                <w:color w:val="000000" w:themeColor="text1"/>
                <w:sz w:val="17"/>
                <w:szCs w:val="17"/>
                <w:lang w:val="hr-HR"/>
              </w:rPr>
            </w:pPr>
            <w:r w:rsidRPr="003759CC">
              <w:rPr>
                <w:rFonts w:eastAsia="Calibri" w:cs="Arial"/>
                <w:bCs/>
                <w:color w:val="000000" w:themeColor="text1"/>
                <w:sz w:val="17"/>
                <w:szCs w:val="17"/>
                <w:lang w:val="hr-HR"/>
              </w:rPr>
              <w:t>000 eura</w:t>
            </w:r>
          </w:p>
        </w:tc>
        <w:tc>
          <w:tcPr>
            <w:tcW w:w="538" w:type="pct"/>
            <w:tcBorders>
              <w:top w:val="nil"/>
              <w:left w:val="nil"/>
              <w:bottom w:val="nil"/>
              <w:right w:val="nil"/>
            </w:tcBorders>
            <w:shd w:val="clear" w:color="auto" w:fill="auto"/>
            <w:vAlign w:val="bottom"/>
          </w:tcPr>
          <w:p w14:paraId="73C4FAA0" w14:textId="77777777" w:rsidR="00B637B8" w:rsidRPr="003759CC" w:rsidRDefault="00B637B8" w:rsidP="00CA7F04">
            <w:pPr>
              <w:pStyle w:val="TH"/>
              <w:spacing w:line="220" w:lineRule="exact"/>
              <w:jc w:val="right"/>
              <w:rPr>
                <w:rFonts w:cs="Arial"/>
                <w:bCs/>
                <w:color w:val="000000" w:themeColor="text1"/>
                <w:sz w:val="17"/>
                <w:szCs w:val="17"/>
                <w:lang w:val="hr-HR"/>
              </w:rPr>
            </w:pPr>
            <w:r w:rsidRPr="003759CC">
              <w:rPr>
                <w:rFonts w:eastAsia="Calibri" w:cs="Arial"/>
                <w:bCs/>
                <w:color w:val="000000" w:themeColor="text1"/>
                <w:sz w:val="17"/>
                <w:szCs w:val="17"/>
                <w:lang w:val="hr-HR"/>
              </w:rPr>
              <w:t>000 eura</w:t>
            </w:r>
          </w:p>
        </w:tc>
        <w:tc>
          <w:tcPr>
            <w:tcW w:w="623" w:type="pct"/>
            <w:tcBorders>
              <w:top w:val="nil"/>
              <w:left w:val="nil"/>
              <w:bottom w:val="nil"/>
              <w:right w:val="nil"/>
            </w:tcBorders>
            <w:shd w:val="clear" w:color="auto" w:fill="auto"/>
            <w:vAlign w:val="bottom"/>
          </w:tcPr>
          <w:p w14:paraId="66CFB0E7" w14:textId="77777777" w:rsidR="00B637B8" w:rsidRPr="003759CC" w:rsidRDefault="00B637B8" w:rsidP="00CA7F04">
            <w:pPr>
              <w:pStyle w:val="TH"/>
              <w:spacing w:line="220" w:lineRule="exact"/>
              <w:jc w:val="right"/>
              <w:rPr>
                <w:rFonts w:cs="Arial"/>
                <w:bCs/>
                <w:color w:val="000000" w:themeColor="text1"/>
                <w:sz w:val="17"/>
                <w:szCs w:val="17"/>
                <w:lang w:val="hr-HR"/>
              </w:rPr>
            </w:pPr>
            <w:r w:rsidRPr="003759CC">
              <w:rPr>
                <w:rFonts w:eastAsia="Calibri" w:cs="Arial"/>
                <w:bCs/>
                <w:color w:val="000000" w:themeColor="text1"/>
                <w:sz w:val="17"/>
                <w:szCs w:val="17"/>
                <w:lang w:val="hr-HR"/>
              </w:rPr>
              <w:t>000 eura</w:t>
            </w:r>
          </w:p>
        </w:tc>
        <w:tc>
          <w:tcPr>
            <w:tcW w:w="593" w:type="pct"/>
            <w:vAlign w:val="bottom"/>
          </w:tcPr>
          <w:p w14:paraId="48C27398" w14:textId="77777777" w:rsidR="00B637B8" w:rsidRPr="005B35F4" w:rsidRDefault="00B637B8" w:rsidP="00CA7F04">
            <w:pPr>
              <w:pStyle w:val="TH"/>
              <w:spacing w:line="220" w:lineRule="exact"/>
              <w:jc w:val="right"/>
              <w:rPr>
                <w:rFonts w:cs="Arial"/>
                <w:color w:val="000000" w:themeColor="text1"/>
                <w:sz w:val="17"/>
                <w:szCs w:val="17"/>
                <w:lang w:val="hr-HR"/>
              </w:rPr>
            </w:pPr>
            <w:r w:rsidRPr="005B35F4">
              <w:rPr>
                <w:rFonts w:cs="Arial"/>
                <w:bCs/>
                <w:color w:val="000000" w:themeColor="text1"/>
                <w:sz w:val="17"/>
                <w:szCs w:val="17"/>
                <w:lang w:val="hr-HR"/>
              </w:rPr>
              <w:t xml:space="preserve">000 </w:t>
            </w:r>
            <w:r>
              <w:rPr>
                <w:rFonts w:cs="Arial"/>
                <w:bCs/>
                <w:color w:val="000000" w:themeColor="text1"/>
                <w:sz w:val="17"/>
                <w:szCs w:val="17"/>
                <w:lang w:val="hr-HR"/>
              </w:rPr>
              <w:t>eur</w:t>
            </w:r>
            <w:r w:rsidRPr="005B35F4">
              <w:rPr>
                <w:rFonts w:cs="Arial"/>
                <w:bCs/>
                <w:color w:val="000000" w:themeColor="text1"/>
                <w:sz w:val="17"/>
                <w:szCs w:val="17"/>
                <w:lang w:val="hr-HR"/>
              </w:rPr>
              <w:t>a</w:t>
            </w:r>
          </w:p>
        </w:tc>
      </w:tr>
      <w:tr w:rsidR="00B637B8" w:rsidRPr="005B35F4" w14:paraId="2B6ACB69" w14:textId="77777777" w:rsidTr="00CA7F04">
        <w:trPr>
          <w:trHeight w:val="255"/>
        </w:trPr>
        <w:tc>
          <w:tcPr>
            <w:tcW w:w="1637" w:type="pct"/>
            <w:vAlign w:val="bottom"/>
          </w:tcPr>
          <w:p w14:paraId="404598EB" w14:textId="77777777" w:rsidR="00B637B8" w:rsidRPr="005B35F4" w:rsidRDefault="00B637B8" w:rsidP="00CA7F04">
            <w:pPr>
              <w:pStyle w:val="TT"/>
              <w:spacing w:line="220" w:lineRule="exact"/>
              <w:rPr>
                <w:rFonts w:cs="Arial"/>
                <w:b/>
                <w:bCs/>
                <w:color w:val="000000" w:themeColor="text1"/>
                <w:sz w:val="17"/>
                <w:szCs w:val="17"/>
                <w:lang w:val="hr-HR"/>
              </w:rPr>
            </w:pPr>
            <w:r w:rsidRPr="005B35F4">
              <w:rPr>
                <w:rFonts w:cs="Arial"/>
                <w:b/>
                <w:bCs/>
                <w:color w:val="000000" w:themeColor="text1"/>
                <w:sz w:val="17"/>
                <w:szCs w:val="17"/>
                <w:lang w:val="hr-HR"/>
              </w:rPr>
              <w:t>Imovina</w:t>
            </w:r>
          </w:p>
        </w:tc>
        <w:tc>
          <w:tcPr>
            <w:tcW w:w="547" w:type="pct"/>
            <w:vAlign w:val="bottom"/>
          </w:tcPr>
          <w:p w14:paraId="4908526D" w14:textId="77777777" w:rsidR="00B637B8" w:rsidRPr="005B35F4" w:rsidRDefault="00B637B8" w:rsidP="00CA7F04">
            <w:pPr>
              <w:pStyle w:val="TT"/>
              <w:spacing w:line="220" w:lineRule="exact"/>
              <w:jc w:val="right"/>
              <w:rPr>
                <w:rFonts w:cs="Arial"/>
                <w:b/>
                <w:bCs/>
                <w:color w:val="000000" w:themeColor="text1"/>
                <w:spacing w:val="-2"/>
                <w:sz w:val="17"/>
                <w:szCs w:val="17"/>
                <w:lang w:val="hr-HR"/>
              </w:rPr>
            </w:pPr>
          </w:p>
        </w:tc>
        <w:tc>
          <w:tcPr>
            <w:tcW w:w="534" w:type="pct"/>
            <w:vAlign w:val="bottom"/>
          </w:tcPr>
          <w:p w14:paraId="5F4EFE61" w14:textId="77777777" w:rsidR="00B637B8" w:rsidRPr="005B35F4" w:rsidRDefault="00B637B8" w:rsidP="00CA7F04">
            <w:pPr>
              <w:pStyle w:val="TT"/>
              <w:spacing w:line="220" w:lineRule="exact"/>
              <w:jc w:val="right"/>
              <w:rPr>
                <w:rFonts w:cs="Arial"/>
                <w:b/>
                <w:bCs/>
                <w:color w:val="000000" w:themeColor="text1"/>
                <w:spacing w:val="-2"/>
                <w:sz w:val="17"/>
                <w:szCs w:val="17"/>
                <w:lang w:val="hr-HR"/>
              </w:rPr>
            </w:pPr>
          </w:p>
        </w:tc>
        <w:tc>
          <w:tcPr>
            <w:tcW w:w="528" w:type="pct"/>
            <w:vAlign w:val="bottom"/>
          </w:tcPr>
          <w:p w14:paraId="7481C6D2" w14:textId="77777777" w:rsidR="00B637B8" w:rsidRPr="005B35F4" w:rsidRDefault="00B637B8" w:rsidP="00CA7F04">
            <w:pPr>
              <w:pStyle w:val="TT"/>
              <w:spacing w:line="220" w:lineRule="exact"/>
              <w:jc w:val="right"/>
              <w:rPr>
                <w:rFonts w:cs="Arial"/>
                <w:b/>
                <w:bCs/>
                <w:color w:val="000000" w:themeColor="text1"/>
                <w:spacing w:val="-2"/>
                <w:sz w:val="17"/>
                <w:szCs w:val="17"/>
                <w:lang w:val="hr-HR"/>
              </w:rPr>
            </w:pPr>
          </w:p>
        </w:tc>
        <w:tc>
          <w:tcPr>
            <w:tcW w:w="538" w:type="pct"/>
            <w:vAlign w:val="bottom"/>
          </w:tcPr>
          <w:p w14:paraId="31B56299" w14:textId="77777777" w:rsidR="00B637B8" w:rsidRPr="005B35F4" w:rsidRDefault="00B637B8" w:rsidP="00CA7F04">
            <w:pPr>
              <w:pStyle w:val="TT"/>
              <w:spacing w:line="220" w:lineRule="exact"/>
              <w:jc w:val="right"/>
              <w:rPr>
                <w:rFonts w:cs="Arial"/>
                <w:b/>
                <w:bCs/>
                <w:color w:val="000000" w:themeColor="text1"/>
                <w:spacing w:val="-2"/>
                <w:sz w:val="17"/>
                <w:szCs w:val="17"/>
                <w:lang w:val="hr-HR"/>
              </w:rPr>
            </w:pPr>
          </w:p>
        </w:tc>
        <w:tc>
          <w:tcPr>
            <w:tcW w:w="623" w:type="pct"/>
            <w:vAlign w:val="bottom"/>
          </w:tcPr>
          <w:p w14:paraId="1694483F" w14:textId="77777777" w:rsidR="00B637B8" w:rsidRPr="005B35F4" w:rsidRDefault="00B637B8" w:rsidP="00CA7F04">
            <w:pPr>
              <w:pStyle w:val="TT"/>
              <w:spacing w:line="220" w:lineRule="exact"/>
              <w:jc w:val="right"/>
              <w:rPr>
                <w:rFonts w:cs="Arial"/>
                <w:b/>
                <w:bCs/>
                <w:color w:val="000000" w:themeColor="text1"/>
                <w:spacing w:val="-2"/>
                <w:sz w:val="17"/>
                <w:szCs w:val="17"/>
                <w:lang w:val="hr-HR"/>
              </w:rPr>
            </w:pPr>
          </w:p>
        </w:tc>
        <w:tc>
          <w:tcPr>
            <w:tcW w:w="593" w:type="pct"/>
            <w:vAlign w:val="bottom"/>
          </w:tcPr>
          <w:p w14:paraId="51A4695C" w14:textId="77777777" w:rsidR="00B637B8" w:rsidRPr="005B35F4" w:rsidRDefault="00B637B8" w:rsidP="00CA7F04">
            <w:pPr>
              <w:pStyle w:val="TT"/>
              <w:spacing w:line="220" w:lineRule="exact"/>
              <w:jc w:val="right"/>
              <w:rPr>
                <w:rFonts w:cs="Arial"/>
                <w:b/>
                <w:bCs/>
                <w:color w:val="000000" w:themeColor="text1"/>
                <w:spacing w:val="-2"/>
                <w:sz w:val="17"/>
                <w:szCs w:val="17"/>
                <w:lang w:val="hr-HR"/>
              </w:rPr>
            </w:pPr>
          </w:p>
        </w:tc>
      </w:tr>
      <w:tr w:rsidR="00B637B8" w:rsidRPr="00BF22C7" w14:paraId="10B6D1F2" w14:textId="77777777" w:rsidTr="00CA7F04">
        <w:trPr>
          <w:trHeight w:val="219"/>
        </w:trPr>
        <w:tc>
          <w:tcPr>
            <w:tcW w:w="1637" w:type="pct"/>
            <w:vAlign w:val="bottom"/>
          </w:tcPr>
          <w:p w14:paraId="3B0A3E95" w14:textId="77777777" w:rsidR="00B637B8" w:rsidRPr="005B35F4" w:rsidRDefault="00B637B8" w:rsidP="00CA7F04">
            <w:pPr>
              <w:pStyle w:val="TT"/>
              <w:spacing w:line="220" w:lineRule="exact"/>
              <w:rPr>
                <w:rFonts w:cs="Arial"/>
                <w:color w:val="000000" w:themeColor="text1"/>
                <w:sz w:val="17"/>
                <w:szCs w:val="17"/>
                <w:lang w:val="hr-HR"/>
              </w:rPr>
            </w:pPr>
            <w:r w:rsidRPr="005B35F4">
              <w:rPr>
                <w:rFonts w:cs="Arial"/>
                <w:color w:val="000000" w:themeColor="text1"/>
                <w:spacing w:val="-2"/>
                <w:sz w:val="17"/>
                <w:szCs w:val="17"/>
                <w:lang w:val="hr-HR"/>
              </w:rPr>
              <w:t>Novčana sredstva i računi kod banaka</w:t>
            </w:r>
          </w:p>
        </w:tc>
        <w:tc>
          <w:tcPr>
            <w:tcW w:w="547" w:type="pct"/>
            <w:tcBorders>
              <w:top w:val="nil"/>
              <w:left w:val="nil"/>
              <w:bottom w:val="nil"/>
              <w:right w:val="nil"/>
            </w:tcBorders>
            <w:shd w:val="clear" w:color="auto" w:fill="auto"/>
            <w:vAlign w:val="bottom"/>
          </w:tcPr>
          <w:p w14:paraId="130F9FE4"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42.133 </w:t>
            </w:r>
          </w:p>
        </w:tc>
        <w:tc>
          <w:tcPr>
            <w:tcW w:w="534" w:type="pct"/>
            <w:tcBorders>
              <w:top w:val="nil"/>
              <w:left w:val="nil"/>
              <w:bottom w:val="nil"/>
              <w:right w:val="nil"/>
            </w:tcBorders>
            <w:shd w:val="clear" w:color="auto" w:fill="auto"/>
            <w:vAlign w:val="bottom"/>
          </w:tcPr>
          <w:p w14:paraId="5975A56C"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115817E6"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7B998919"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4C2D8D46"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93" w:type="pct"/>
            <w:tcBorders>
              <w:top w:val="nil"/>
              <w:left w:val="nil"/>
              <w:bottom w:val="nil"/>
              <w:right w:val="nil"/>
            </w:tcBorders>
            <w:shd w:val="clear" w:color="auto" w:fill="auto"/>
            <w:vAlign w:val="bottom"/>
          </w:tcPr>
          <w:p w14:paraId="0A91A6C0"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42.133 </w:t>
            </w:r>
          </w:p>
        </w:tc>
      </w:tr>
      <w:tr w:rsidR="00B637B8" w:rsidRPr="00BF22C7" w14:paraId="7C6BC6E1" w14:textId="77777777" w:rsidTr="00CA7F04">
        <w:trPr>
          <w:trHeight w:val="219"/>
        </w:trPr>
        <w:tc>
          <w:tcPr>
            <w:tcW w:w="1637" w:type="pct"/>
            <w:vAlign w:val="bottom"/>
          </w:tcPr>
          <w:p w14:paraId="50A0DB3F" w14:textId="77777777" w:rsidR="00B637B8" w:rsidRPr="005B35F4" w:rsidRDefault="00B637B8" w:rsidP="00CA7F04">
            <w:pPr>
              <w:pStyle w:val="TT"/>
              <w:spacing w:line="220" w:lineRule="exact"/>
              <w:rPr>
                <w:rFonts w:cs="Arial"/>
                <w:color w:val="000000" w:themeColor="text1"/>
                <w:sz w:val="17"/>
                <w:szCs w:val="17"/>
                <w:lang w:val="hr-HR"/>
              </w:rPr>
            </w:pPr>
            <w:r w:rsidRPr="005B35F4">
              <w:rPr>
                <w:rFonts w:cs="Arial"/>
                <w:color w:val="000000" w:themeColor="text1"/>
                <w:spacing w:val="-2"/>
                <w:sz w:val="17"/>
                <w:szCs w:val="17"/>
                <w:lang w:val="hr-HR"/>
              </w:rPr>
              <w:t>Depoziti kod drugih banaka</w:t>
            </w:r>
          </w:p>
        </w:tc>
        <w:tc>
          <w:tcPr>
            <w:tcW w:w="547" w:type="pct"/>
            <w:tcBorders>
              <w:top w:val="nil"/>
              <w:left w:val="nil"/>
              <w:bottom w:val="nil"/>
              <w:right w:val="nil"/>
            </w:tcBorders>
            <w:shd w:val="clear" w:color="auto" w:fill="auto"/>
            <w:vAlign w:val="bottom"/>
          </w:tcPr>
          <w:p w14:paraId="4607F1C7"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68.254 </w:t>
            </w:r>
          </w:p>
        </w:tc>
        <w:tc>
          <w:tcPr>
            <w:tcW w:w="534" w:type="pct"/>
            <w:tcBorders>
              <w:top w:val="nil"/>
              <w:left w:val="nil"/>
              <w:bottom w:val="nil"/>
              <w:right w:val="nil"/>
            </w:tcBorders>
            <w:shd w:val="clear" w:color="auto" w:fill="auto"/>
            <w:vAlign w:val="bottom"/>
          </w:tcPr>
          <w:p w14:paraId="39D33CBB"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2.203 </w:t>
            </w:r>
          </w:p>
        </w:tc>
        <w:tc>
          <w:tcPr>
            <w:tcW w:w="528" w:type="pct"/>
            <w:tcBorders>
              <w:top w:val="nil"/>
              <w:left w:val="nil"/>
              <w:bottom w:val="nil"/>
              <w:right w:val="nil"/>
            </w:tcBorders>
            <w:shd w:val="clear" w:color="auto" w:fill="auto"/>
            <w:vAlign w:val="bottom"/>
          </w:tcPr>
          <w:p w14:paraId="77CD98D0"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256C5D53"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4944F312"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1.304 </w:t>
            </w:r>
          </w:p>
        </w:tc>
        <w:tc>
          <w:tcPr>
            <w:tcW w:w="593" w:type="pct"/>
            <w:tcBorders>
              <w:top w:val="nil"/>
              <w:left w:val="nil"/>
              <w:bottom w:val="nil"/>
              <w:right w:val="nil"/>
            </w:tcBorders>
            <w:shd w:val="clear" w:color="auto" w:fill="auto"/>
            <w:vAlign w:val="bottom"/>
          </w:tcPr>
          <w:p w14:paraId="752DE309"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71.761 </w:t>
            </w:r>
          </w:p>
        </w:tc>
      </w:tr>
      <w:tr w:rsidR="00B637B8" w:rsidRPr="00BF22C7" w14:paraId="5E845F6C" w14:textId="77777777" w:rsidTr="00CA7F04">
        <w:trPr>
          <w:trHeight w:val="219"/>
        </w:trPr>
        <w:tc>
          <w:tcPr>
            <w:tcW w:w="1637" w:type="pct"/>
            <w:vAlign w:val="bottom"/>
          </w:tcPr>
          <w:p w14:paraId="4DB99442" w14:textId="77777777" w:rsidR="00B637B8" w:rsidRPr="005B35F4" w:rsidRDefault="00B637B8" w:rsidP="00CA7F04">
            <w:pPr>
              <w:pStyle w:val="TT"/>
              <w:spacing w:line="220" w:lineRule="exact"/>
              <w:rPr>
                <w:rFonts w:cs="Arial"/>
                <w:color w:val="000000" w:themeColor="text1"/>
                <w:sz w:val="17"/>
                <w:szCs w:val="17"/>
                <w:lang w:val="hr-HR"/>
              </w:rPr>
            </w:pPr>
            <w:r w:rsidRPr="005B35F4">
              <w:rPr>
                <w:rFonts w:cs="Arial"/>
                <w:color w:val="000000" w:themeColor="text1"/>
                <w:spacing w:val="-2"/>
                <w:sz w:val="17"/>
                <w:szCs w:val="17"/>
                <w:lang w:val="hr-HR"/>
              </w:rPr>
              <w:t>Krediti financijskim institucijama</w:t>
            </w:r>
            <w:r>
              <w:rPr>
                <w:rFonts w:cs="Arial"/>
                <w:color w:val="000000" w:themeColor="text1"/>
                <w:spacing w:val="-2"/>
                <w:sz w:val="17"/>
                <w:szCs w:val="17"/>
                <w:lang w:val="hr-HR"/>
              </w:rPr>
              <w:t>*</w:t>
            </w:r>
          </w:p>
        </w:tc>
        <w:tc>
          <w:tcPr>
            <w:tcW w:w="547" w:type="pct"/>
            <w:tcBorders>
              <w:top w:val="nil"/>
              <w:left w:val="nil"/>
              <w:bottom w:val="nil"/>
              <w:right w:val="nil"/>
            </w:tcBorders>
            <w:shd w:val="clear" w:color="auto" w:fill="auto"/>
            <w:vAlign w:val="bottom"/>
          </w:tcPr>
          <w:p w14:paraId="63797ED1"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90.275 </w:t>
            </w:r>
          </w:p>
        </w:tc>
        <w:tc>
          <w:tcPr>
            <w:tcW w:w="534" w:type="pct"/>
            <w:tcBorders>
              <w:top w:val="nil"/>
              <w:left w:val="nil"/>
              <w:bottom w:val="nil"/>
              <w:right w:val="nil"/>
            </w:tcBorders>
            <w:shd w:val="clear" w:color="auto" w:fill="auto"/>
            <w:vAlign w:val="bottom"/>
          </w:tcPr>
          <w:p w14:paraId="470305C5"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158.524 </w:t>
            </w:r>
          </w:p>
        </w:tc>
        <w:tc>
          <w:tcPr>
            <w:tcW w:w="528" w:type="pct"/>
            <w:tcBorders>
              <w:top w:val="nil"/>
              <w:left w:val="nil"/>
              <w:bottom w:val="nil"/>
              <w:right w:val="nil"/>
            </w:tcBorders>
            <w:shd w:val="clear" w:color="auto" w:fill="auto"/>
            <w:vAlign w:val="bottom"/>
          </w:tcPr>
          <w:p w14:paraId="5A013B58"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130.273 </w:t>
            </w:r>
          </w:p>
        </w:tc>
        <w:tc>
          <w:tcPr>
            <w:tcW w:w="538" w:type="pct"/>
            <w:tcBorders>
              <w:top w:val="nil"/>
              <w:left w:val="nil"/>
              <w:bottom w:val="nil"/>
              <w:right w:val="nil"/>
            </w:tcBorders>
            <w:shd w:val="clear" w:color="auto" w:fill="auto"/>
            <w:vAlign w:val="bottom"/>
          </w:tcPr>
          <w:p w14:paraId="7C4E8491"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306.450 </w:t>
            </w:r>
          </w:p>
        </w:tc>
        <w:tc>
          <w:tcPr>
            <w:tcW w:w="623" w:type="pct"/>
            <w:tcBorders>
              <w:top w:val="nil"/>
              <w:left w:val="nil"/>
              <w:bottom w:val="nil"/>
              <w:right w:val="nil"/>
            </w:tcBorders>
            <w:shd w:val="clear" w:color="auto" w:fill="auto"/>
            <w:vAlign w:val="bottom"/>
          </w:tcPr>
          <w:p w14:paraId="6B40BA91"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563.359 </w:t>
            </w:r>
          </w:p>
        </w:tc>
        <w:tc>
          <w:tcPr>
            <w:tcW w:w="593" w:type="pct"/>
            <w:tcBorders>
              <w:top w:val="nil"/>
              <w:left w:val="nil"/>
              <w:bottom w:val="nil"/>
              <w:right w:val="nil"/>
            </w:tcBorders>
            <w:shd w:val="clear" w:color="auto" w:fill="auto"/>
            <w:vAlign w:val="bottom"/>
          </w:tcPr>
          <w:p w14:paraId="2D422B50"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1.248.881 </w:t>
            </w:r>
          </w:p>
        </w:tc>
      </w:tr>
      <w:tr w:rsidR="00B637B8" w:rsidRPr="00BF22C7" w14:paraId="0C45875B" w14:textId="77777777" w:rsidTr="00CA7F04">
        <w:trPr>
          <w:trHeight w:val="219"/>
        </w:trPr>
        <w:tc>
          <w:tcPr>
            <w:tcW w:w="1637" w:type="pct"/>
            <w:vAlign w:val="bottom"/>
          </w:tcPr>
          <w:p w14:paraId="174D9764" w14:textId="77777777" w:rsidR="00B637B8" w:rsidRPr="005B35F4" w:rsidRDefault="00B637B8" w:rsidP="00CA7F04">
            <w:pPr>
              <w:pStyle w:val="TT"/>
              <w:spacing w:line="220" w:lineRule="exact"/>
              <w:rPr>
                <w:rFonts w:cs="Arial"/>
                <w:color w:val="000000" w:themeColor="text1"/>
                <w:sz w:val="17"/>
                <w:szCs w:val="17"/>
                <w:lang w:val="hr-HR"/>
              </w:rPr>
            </w:pPr>
            <w:r w:rsidRPr="005B35F4">
              <w:rPr>
                <w:rFonts w:cs="Arial"/>
                <w:color w:val="000000" w:themeColor="text1"/>
                <w:spacing w:val="-2"/>
                <w:sz w:val="17"/>
                <w:szCs w:val="17"/>
                <w:lang w:val="hr-HR"/>
              </w:rPr>
              <w:t>Krediti ostalim korisnicima</w:t>
            </w:r>
          </w:p>
        </w:tc>
        <w:tc>
          <w:tcPr>
            <w:tcW w:w="547" w:type="pct"/>
            <w:tcBorders>
              <w:top w:val="nil"/>
              <w:left w:val="nil"/>
              <w:bottom w:val="nil"/>
              <w:right w:val="nil"/>
            </w:tcBorders>
            <w:shd w:val="clear" w:color="auto" w:fill="auto"/>
            <w:vAlign w:val="bottom"/>
          </w:tcPr>
          <w:p w14:paraId="16B5930C"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271.161 </w:t>
            </w:r>
          </w:p>
        </w:tc>
        <w:tc>
          <w:tcPr>
            <w:tcW w:w="534" w:type="pct"/>
            <w:tcBorders>
              <w:top w:val="nil"/>
              <w:left w:val="nil"/>
              <w:bottom w:val="nil"/>
              <w:right w:val="nil"/>
            </w:tcBorders>
            <w:shd w:val="clear" w:color="auto" w:fill="auto"/>
            <w:vAlign w:val="bottom"/>
          </w:tcPr>
          <w:p w14:paraId="4ED70448"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52.397 </w:t>
            </w:r>
          </w:p>
        </w:tc>
        <w:tc>
          <w:tcPr>
            <w:tcW w:w="528" w:type="pct"/>
            <w:tcBorders>
              <w:top w:val="nil"/>
              <w:left w:val="nil"/>
              <w:bottom w:val="nil"/>
              <w:right w:val="nil"/>
            </w:tcBorders>
            <w:shd w:val="clear" w:color="auto" w:fill="auto"/>
            <w:vAlign w:val="bottom"/>
          </w:tcPr>
          <w:p w14:paraId="29CC1E97"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286.532 </w:t>
            </w:r>
          </w:p>
        </w:tc>
        <w:tc>
          <w:tcPr>
            <w:tcW w:w="538" w:type="pct"/>
            <w:tcBorders>
              <w:top w:val="nil"/>
              <w:left w:val="nil"/>
              <w:bottom w:val="nil"/>
              <w:right w:val="nil"/>
            </w:tcBorders>
            <w:shd w:val="clear" w:color="auto" w:fill="auto"/>
            <w:vAlign w:val="bottom"/>
          </w:tcPr>
          <w:p w14:paraId="16BE57EE"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586.168 </w:t>
            </w:r>
          </w:p>
        </w:tc>
        <w:tc>
          <w:tcPr>
            <w:tcW w:w="623" w:type="pct"/>
            <w:tcBorders>
              <w:top w:val="nil"/>
              <w:left w:val="nil"/>
              <w:bottom w:val="nil"/>
              <w:right w:val="nil"/>
            </w:tcBorders>
            <w:shd w:val="clear" w:color="auto" w:fill="auto"/>
            <w:vAlign w:val="bottom"/>
          </w:tcPr>
          <w:p w14:paraId="1F400D78"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1.154.938 </w:t>
            </w:r>
          </w:p>
        </w:tc>
        <w:tc>
          <w:tcPr>
            <w:tcW w:w="593" w:type="pct"/>
            <w:tcBorders>
              <w:top w:val="nil"/>
              <w:left w:val="nil"/>
              <w:bottom w:val="nil"/>
              <w:right w:val="nil"/>
            </w:tcBorders>
            <w:shd w:val="clear" w:color="auto" w:fill="auto"/>
            <w:vAlign w:val="bottom"/>
          </w:tcPr>
          <w:p w14:paraId="77517D6C"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2.351.196 </w:t>
            </w:r>
          </w:p>
        </w:tc>
      </w:tr>
      <w:tr w:rsidR="00B637B8" w:rsidRPr="00BF22C7" w14:paraId="05B6E5A0" w14:textId="77777777" w:rsidTr="00CA7F04">
        <w:trPr>
          <w:trHeight w:val="315"/>
        </w:trPr>
        <w:tc>
          <w:tcPr>
            <w:tcW w:w="1637" w:type="pct"/>
          </w:tcPr>
          <w:p w14:paraId="62666FEB" w14:textId="77777777" w:rsidR="00B637B8" w:rsidRPr="005B35F4" w:rsidRDefault="00B637B8" w:rsidP="00CA7F04">
            <w:pPr>
              <w:pStyle w:val="TT"/>
              <w:spacing w:line="220" w:lineRule="exact"/>
              <w:rPr>
                <w:rFonts w:cs="Arial"/>
                <w:color w:val="000000" w:themeColor="text1"/>
                <w:spacing w:val="-2"/>
                <w:sz w:val="17"/>
                <w:szCs w:val="17"/>
                <w:lang w:val="hr-HR"/>
              </w:rPr>
            </w:pPr>
            <w:r w:rsidRPr="005B35F4">
              <w:rPr>
                <w:rFonts w:cs="Arial"/>
                <w:color w:val="000000" w:themeColor="text1"/>
                <w:spacing w:val="-2"/>
                <w:sz w:val="17"/>
                <w:szCs w:val="17"/>
                <w:lang w:val="hr-HR"/>
              </w:rPr>
              <w:t>Financijska imovina po fer vrijednosti kroz dobit ili gubitak</w:t>
            </w:r>
          </w:p>
        </w:tc>
        <w:tc>
          <w:tcPr>
            <w:tcW w:w="547" w:type="pct"/>
            <w:tcBorders>
              <w:top w:val="nil"/>
              <w:left w:val="nil"/>
              <w:bottom w:val="nil"/>
              <w:right w:val="nil"/>
            </w:tcBorders>
            <w:shd w:val="clear" w:color="auto" w:fill="auto"/>
            <w:vAlign w:val="bottom"/>
          </w:tcPr>
          <w:p w14:paraId="0EE07D9D"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42 </w:t>
            </w:r>
          </w:p>
        </w:tc>
        <w:tc>
          <w:tcPr>
            <w:tcW w:w="534" w:type="pct"/>
            <w:tcBorders>
              <w:top w:val="nil"/>
              <w:left w:val="nil"/>
              <w:bottom w:val="nil"/>
              <w:right w:val="nil"/>
            </w:tcBorders>
            <w:shd w:val="clear" w:color="auto" w:fill="auto"/>
            <w:vAlign w:val="bottom"/>
          </w:tcPr>
          <w:p w14:paraId="553FB172"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11 </w:t>
            </w:r>
          </w:p>
        </w:tc>
        <w:tc>
          <w:tcPr>
            <w:tcW w:w="528" w:type="pct"/>
            <w:tcBorders>
              <w:top w:val="nil"/>
              <w:left w:val="nil"/>
              <w:bottom w:val="nil"/>
              <w:right w:val="nil"/>
            </w:tcBorders>
            <w:shd w:val="clear" w:color="auto" w:fill="auto"/>
            <w:vAlign w:val="bottom"/>
          </w:tcPr>
          <w:p w14:paraId="07875236"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6D699564"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33.698 </w:t>
            </w:r>
          </w:p>
        </w:tc>
        <w:tc>
          <w:tcPr>
            <w:tcW w:w="623" w:type="pct"/>
            <w:tcBorders>
              <w:top w:val="nil"/>
              <w:left w:val="nil"/>
              <w:bottom w:val="nil"/>
              <w:right w:val="nil"/>
            </w:tcBorders>
            <w:shd w:val="clear" w:color="auto" w:fill="auto"/>
            <w:vAlign w:val="bottom"/>
          </w:tcPr>
          <w:p w14:paraId="06950AE1"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19.171 </w:t>
            </w:r>
          </w:p>
        </w:tc>
        <w:tc>
          <w:tcPr>
            <w:tcW w:w="593" w:type="pct"/>
            <w:tcBorders>
              <w:top w:val="nil"/>
              <w:left w:val="nil"/>
              <w:bottom w:val="nil"/>
              <w:right w:val="nil"/>
            </w:tcBorders>
            <w:shd w:val="clear" w:color="auto" w:fill="auto"/>
            <w:vAlign w:val="bottom"/>
          </w:tcPr>
          <w:p w14:paraId="1ECEFC6F"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52.922 </w:t>
            </w:r>
          </w:p>
        </w:tc>
      </w:tr>
      <w:tr w:rsidR="00B637B8" w:rsidRPr="00BF22C7" w14:paraId="025A860C" w14:textId="77777777" w:rsidTr="00CA7F04">
        <w:trPr>
          <w:trHeight w:val="153"/>
        </w:trPr>
        <w:tc>
          <w:tcPr>
            <w:tcW w:w="1637" w:type="pct"/>
          </w:tcPr>
          <w:p w14:paraId="5493E08C" w14:textId="77777777" w:rsidR="00B637B8" w:rsidRPr="005B35F4" w:rsidRDefault="00B637B8" w:rsidP="00CA7F04">
            <w:pPr>
              <w:pStyle w:val="TT"/>
              <w:spacing w:line="220" w:lineRule="exact"/>
              <w:rPr>
                <w:rFonts w:cs="Arial"/>
                <w:color w:val="000000" w:themeColor="text1"/>
                <w:sz w:val="17"/>
                <w:szCs w:val="17"/>
                <w:lang w:val="hr-HR"/>
              </w:rPr>
            </w:pPr>
            <w:r w:rsidRPr="005B35F4">
              <w:rPr>
                <w:rFonts w:cs="Arial"/>
                <w:color w:val="000000" w:themeColor="text1"/>
                <w:spacing w:val="-2"/>
                <w:sz w:val="17"/>
                <w:szCs w:val="17"/>
                <w:lang w:val="hr-HR"/>
              </w:rPr>
              <w:t>Financijska imovina po fer vrijednosti kroz ostalu sveobuhvatnu dobit</w:t>
            </w:r>
          </w:p>
        </w:tc>
        <w:tc>
          <w:tcPr>
            <w:tcW w:w="547" w:type="pct"/>
            <w:tcBorders>
              <w:top w:val="nil"/>
              <w:left w:val="nil"/>
              <w:bottom w:val="nil"/>
              <w:right w:val="nil"/>
            </w:tcBorders>
            <w:shd w:val="clear" w:color="auto" w:fill="auto"/>
            <w:vAlign w:val="bottom"/>
          </w:tcPr>
          <w:p w14:paraId="481A4841"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232.032 </w:t>
            </w:r>
          </w:p>
        </w:tc>
        <w:tc>
          <w:tcPr>
            <w:tcW w:w="534" w:type="pct"/>
            <w:tcBorders>
              <w:top w:val="nil"/>
              <w:left w:val="nil"/>
              <w:bottom w:val="nil"/>
              <w:right w:val="nil"/>
            </w:tcBorders>
            <w:shd w:val="clear" w:color="auto" w:fill="auto"/>
            <w:vAlign w:val="bottom"/>
          </w:tcPr>
          <w:p w14:paraId="3352C6F2"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3.144 </w:t>
            </w:r>
          </w:p>
        </w:tc>
        <w:tc>
          <w:tcPr>
            <w:tcW w:w="528" w:type="pct"/>
            <w:tcBorders>
              <w:top w:val="nil"/>
              <w:left w:val="nil"/>
              <w:bottom w:val="nil"/>
              <w:right w:val="nil"/>
            </w:tcBorders>
            <w:shd w:val="clear" w:color="auto" w:fill="auto"/>
            <w:vAlign w:val="bottom"/>
          </w:tcPr>
          <w:p w14:paraId="09A709E2"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23 </w:t>
            </w:r>
          </w:p>
        </w:tc>
        <w:tc>
          <w:tcPr>
            <w:tcW w:w="538" w:type="pct"/>
            <w:tcBorders>
              <w:top w:val="nil"/>
              <w:left w:val="nil"/>
              <w:bottom w:val="nil"/>
              <w:right w:val="nil"/>
            </w:tcBorders>
            <w:shd w:val="clear" w:color="auto" w:fill="auto"/>
            <w:vAlign w:val="bottom"/>
          </w:tcPr>
          <w:p w14:paraId="6832E004"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02C8ED25"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93" w:type="pct"/>
            <w:tcBorders>
              <w:top w:val="nil"/>
              <w:left w:val="nil"/>
              <w:bottom w:val="nil"/>
              <w:right w:val="nil"/>
            </w:tcBorders>
            <w:shd w:val="clear" w:color="auto" w:fill="auto"/>
            <w:vAlign w:val="bottom"/>
          </w:tcPr>
          <w:p w14:paraId="713E694C"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235.199 </w:t>
            </w:r>
          </w:p>
        </w:tc>
      </w:tr>
      <w:tr w:rsidR="00B637B8" w:rsidRPr="00BF22C7" w14:paraId="2A849D76" w14:textId="77777777" w:rsidTr="00CA7F04">
        <w:trPr>
          <w:trHeight w:val="324"/>
        </w:trPr>
        <w:tc>
          <w:tcPr>
            <w:tcW w:w="1637" w:type="pct"/>
          </w:tcPr>
          <w:p w14:paraId="65D52118" w14:textId="77777777" w:rsidR="00B637B8" w:rsidRPr="005B35F4" w:rsidRDefault="00B637B8" w:rsidP="00CA7F04">
            <w:pPr>
              <w:pStyle w:val="TT"/>
              <w:spacing w:line="220" w:lineRule="exact"/>
              <w:rPr>
                <w:rFonts w:cs="Arial"/>
                <w:color w:val="000000" w:themeColor="text1"/>
                <w:sz w:val="17"/>
                <w:szCs w:val="17"/>
                <w:lang w:val="hr-HR"/>
              </w:rPr>
            </w:pPr>
            <w:r w:rsidRPr="005B35F4">
              <w:rPr>
                <w:rFonts w:cs="Arial"/>
                <w:color w:val="000000" w:themeColor="text1"/>
                <w:spacing w:val="-2"/>
                <w:sz w:val="17"/>
                <w:szCs w:val="17"/>
                <w:lang w:val="hr-HR"/>
              </w:rPr>
              <w:t>Nekretnine, postrojenja i oprema i nematerijalna imovina</w:t>
            </w:r>
          </w:p>
        </w:tc>
        <w:tc>
          <w:tcPr>
            <w:tcW w:w="547" w:type="pct"/>
            <w:tcBorders>
              <w:top w:val="nil"/>
              <w:left w:val="nil"/>
              <w:right w:val="nil"/>
            </w:tcBorders>
            <w:shd w:val="clear" w:color="auto" w:fill="auto"/>
            <w:vAlign w:val="bottom"/>
          </w:tcPr>
          <w:p w14:paraId="3C639267"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34" w:type="pct"/>
            <w:tcBorders>
              <w:top w:val="nil"/>
              <w:left w:val="nil"/>
              <w:right w:val="nil"/>
            </w:tcBorders>
            <w:shd w:val="clear" w:color="auto" w:fill="auto"/>
            <w:vAlign w:val="bottom"/>
          </w:tcPr>
          <w:p w14:paraId="52F44D7D"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28" w:type="pct"/>
            <w:tcBorders>
              <w:top w:val="nil"/>
              <w:left w:val="nil"/>
              <w:right w:val="nil"/>
            </w:tcBorders>
            <w:shd w:val="clear" w:color="auto" w:fill="auto"/>
            <w:vAlign w:val="bottom"/>
          </w:tcPr>
          <w:p w14:paraId="014D869C"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38" w:type="pct"/>
            <w:tcBorders>
              <w:top w:val="nil"/>
              <w:left w:val="nil"/>
              <w:right w:val="nil"/>
            </w:tcBorders>
            <w:shd w:val="clear" w:color="auto" w:fill="auto"/>
            <w:vAlign w:val="bottom"/>
          </w:tcPr>
          <w:p w14:paraId="1631CC1E"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623" w:type="pct"/>
            <w:tcBorders>
              <w:top w:val="nil"/>
              <w:left w:val="nil"/>
              <w:right w:val="nil"/>
            </w:tcBorders>
            <w:shd w:val="clear" w:color="auto" w:fill="auto"/>
            <w:vAlign w:val="bottom"/>
          </w:tcPr>
          <w:p w14:paraId="0F704C48"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4.868 </w:t>
            </w:r>
          </w:p>
        </w:tc>
        <w:tc>
          <w:tcPr>
            <w:tcW w:w="593" w:type="pct"/>
            <w:tcBorders>
              <w:top w:val="nil"/>
              <w:left w:val="nil"/>
              <w:right w:val="nil"/>
            </w:tcBorders>
            <w:shd w:val="clear" w:color="auto" w:fill="auto"/>
            <w:vAlign w:val="bottom"/>
          </w:tcPr>
          <w:p w14:paraId="622B19AB"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4.868 </w:t>
            </w:r>
          </w:p>
        </w:tc>
      </w:tr>
      <w:tr w:rsidR="00B637B8" w:rsidRPr="00BF22C7" w14:paraId="5150A559" w14:textId="77777777" w:rsidTr="00CA7F04">
        <w:trPr>
          <w:trHeight w:val="126"/>
        </w:trPr>
        <w:tc>
          <w:tcPr>
            <w:tcW w:w="1637" w:type="pct"/>
          </w:tcPr>
          <w:p w14:paraId="3C997C0D" w14:textId="77777777" w:rsidR="00B637B8" w:rsidRPr="005B35F4" w:rsidRDefault="00B637B8" w:rsidP="00CA7F04">
            <w:pPr>
              <w:pStyle w:val="TT"/>
              <w:spacing w:line="220" w:lineRule="exact"/>
              <w:rPr>
                <w:rFonts w:cs="Arial"/>
                <w:color w:val="000000" w:themeColor="text1"/>
                <w:sz w:val="17"/>
                <w:szCs w:val="17"/>
                <w:lang w:val="hr-HR"/>
              </w:rPr>
            </w:pPr>
            <w:r w:rsidRPr="005B35F4">
              <w:rPr>
                <w:rFonts w:cs="Arial"/>
                <w:color w:val="000000" w:themeColor="text1"/>
                <w:spacing w:val="-2"/>
                <w:sz w:val="17"/>
                <w:szCs w:val="17"/>
                <w:lang w:val="hr-HR"/>
              </w:rPr>
              <w:t>Preuzeta imovina</w:t>
            </w:r>
          </w:p>
        </w:tc>
        <w:tc>
          <w:tcPr>
            <w:tcW w:w="547" w:type="pct"/>
            <w:tcBorders>
              <w:top w:val="nil"/>
              <w:left w:val="nil"/>
              <w:bottom w:val="nil"/>
              <w:right w:val="nil"/>
            </w:tcBorders>
            <w:shd w:val="clear" w:color="auto" w:fill="auto"/>
            <w:vAlign w:val="bottom"/>
          </w:tcPr>
          <w:p w14:paraId="6738E3CD"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2 </w:t>
            </w:r>
          </w:p>
        </w:tc>
        <w:tc>
          <w:tcPr>
            <w:tcW w:w="534" w:type="pct"/>
            <w:tcBorders>
              <w:top w:val="nil"/>
              <w:left w:val="nil"/>
              <w:bottom w:val="nil"/>
              <w:right w:val="nil"/>
            </w:tcBorders>
            <w:shd w:val="clear" w:color="auto" w:fill="auto"/>
            <w:vAlign w:val="bottom"/>
          </w:tcPr>
          <w:p w14:paraId="0C880A97"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148 </w:t>
            </w:r>
          </w:p>
        </w:tc>
        <w:tc>
          <w:tcPr>
            <w:tcW w:w="528" w:type="pct"/>
            <w:tcBorders>
              <w:top w:val="nil"/>
              <w:left w:val="nil"/>
              <w:bottom w:val="nil"/>
              <w:right w:val="nil"/>
            </w:tcBorders>
            <w:shd w:val="clear" w:color="auto" w:fill="auto"/>
            <w:vAlign w:val="bottom"/>
          </w:tcPr>
          <w:p w14:paraId="5A0AF189"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149 </w:t>
            </w:r>
          </w:p>
        </w:tc>
        <w:tc>
          <w:tcPr>
            <w:tcW w:w="538" w:type="pct"/>
            <w:tcBorders>
              <w:top w:val="nil"/>
              <w:left w:val="nil"/>
              <w:bottom w:val="nil"/>
              <w:right w:val="nil"/>
            </w:tcBorders>
            <w:shd w:val="clear" w:color="auto" w:fill="auto"/>
            <w:vAlign w:val="bottom"/>
          </w:tcPr>
          <w:p w14:paraId="70E0F4D3"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820 </w:t>
            </w:r>
          </w:p>
        </w:tc>
        <w:tc>
          <w:tcPr>
            <w:tcW w:w="623" w:type="pct"/>
            <w:tcBorders>
              <w:top w:val="nil"/>
              <w:left w:val="nil"/>
              <w:bottom w:val="nil"/>
              <w:right w:val="nil"/>
            </w:tcBorders>
            <w:shd w:val="clear" w:color="auto" w:fill="auto"/>
            <w:vAlign w:val="bottom"/>
          </w:tcPr>
          <w:p w14:paraId="011D3D9D"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1.172 </w:t>
            </w:r>
          </w:p>
        </w:tc>
        <w:tc>
          <w:tcPr>
            <w:tcW w:w="593" w:type="pct"/>
            <w:tcBorders>
              <w:top w:val="nil"/>
              <w:left w:val="nil"/>
              <w:bottom w:val="nil"/>
              <w:right w:val="nil"/>
            </w:tcBorders>
            <w:shd w:val="clear" w:color="auto" w:fill="auto"/>
            <w:vAlign w:val="bottom"/>
          </w:tcPr>
          <w:p w14:paraId="59D1665B"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2.291 </w:t>
            </w:r>
          </w:p>
        </w:tc>
      </w:tr>
      <w:tr w:rsidR="00B637B8" w:rsidRPr="00BF22C7" w14:paraId="1F516718" w14:textId="77777777" w:rsidTr="00CA7F04">
        <w:trPr>
          <w:trHeight w:val="153"/>
        </w:trPr>
        <w:tc>
          <w:tcPr>
            <w:tcW w:w="1637" w:type="pct"/>
          </w:tcPr>
          <w:p w14:paraId="1DE4290A" w14:textId="77777777" w:rsidR="00B637B8" w:rsidRPr="005B35F4" w:rsidRDefault="00B637B8" w:rsidP="00CA7F04">
            <w:pPr>
              <w:pStyle w:val="TT"/>
              <w:spacing w:line="220" w:lineRule="exact"/>
              <w:rPr>
                <w:rFonts w:cs="Arial"/>
                <w:color w:val="000000" w:themeColor="text1"/>
                <w:sz w:val="17"/>
                <w:szCs w:val="17"/>
                <w:lang w:val="hr-HR"/>
              </w:rPr>
            </w:pPr>
            <w:r w:rsidRPr="005B35F4">
              <w:rPr>
                <w:rFonts w:cs="Arial"/>
                <w:color w:val="000000" w:themeColor="text1"/>
                <w:spacing w:val="-2"/>
                <w:sz w:val="17"/>
                <w:szCs w:val="17"/>
                <w:lang w:val="hr-HR"/>
              </w:rPr>
              <w:t>Ostala imovina</w:t>
            </w:r>
          </w:p>
        </w:tc>
        <w:tc>
          <w:tcPr>
            <w:tcW w:w="547" w:type="pct"/>
            <w:tcBorders>
              <w:left w:val="nil"/>
              <w:bottom w:val="single" w:sz="8" w:space="0" w:color="auto"/>
              <w:right w:val="nil"/>
            </w:tcBorders>
            <w:shd w:val="clear" w:color="auto" w:fill="auto"/>
            <w:vAlign w:val="bottom"/>
          </w:tcPr>
          <w:p w14:paraId="55073913"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6.482 </w:t>
            </w:r>
          </w:p>
        </w:tc>
        <w:tc>
          <w:tcPr>
            <w:tcW w:w="534" w:type="pct"/>
            <w:tcBorders>
              <w:left w:val="nil"/>
              <w:bottom w:val="single" w:sz="8" w:space="0" w:color="auto"/>
              <w:right w:val="nil"/>
            </w:tcBorders>
            <w:shd w:val="clear" w:color="auto" w:fill="auto"/>
            <w:vAlign w:val="bottom"/>
          </w:tcPr>
          <w:p w14:paraId="112582F2"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118 </w:t>
            </w:r>
          </w:p>
        </w:tc>
        <w:tc>
          <w:tcPr>
            <w:tcW w:w="528" w:type="pct"/>
            <w:tcBorders>
              <w:left w:val="nil"/>
              <w:bottom w:val="single" w:sz="8" w:space="0" w:color="auto"/>
              <w:right w:val="nil"/>
            </w:tcBorders>
            <w:shd w:val="clear" w:color="auto" w:fill="auto"/>
            <w:vAlign w:val="bottom"/>
          </w:tcPr>
          <w:p w14:paraId="671D26BF"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2.662 </w:t>
            </w:r>
          </w:p>
        </w:tc>
        <w:tc>
          <w:tcPr>
            <w:tcW w:w="538" w:type="pct"/>
            <w:tcBorders>
              <w:left w:val="nil"/>
              <w:bottom w:val="single" w:sz="8" w:space="0" w:color="auto"/>
              <w:right w:val="nil"/>
            </w:tcBorders>
            <w:shd w:val="clear" w:color="auto" w:fill="auto"/>
            <w:vAlign w:val="bottom"/>
          </w:tcPr>
          <w:p w14:paraId="64646D5D"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2.705 </w:t>
            </w:r>
          </w:p>
        </w:tc>
        <w:tc>
          <w:tcPr>
            <w:tcW w:w="623" w:type="pct"/>
            <w:tcBorders>
              <w:left w:val="nil"/>
              <w:bottom w:val="single" w:sz="8" w:space="0" w:color="auto"/>
              <w:right w:val="nil"/>
            </w:tcBorders>
            <w:shd w:val="clear" w:color="auto" w:fill="auto"/>
            <w:vAlign w:val="bottom"/>
          </w:tcPr>
          <w:p w14:paraId="7BC46BE9"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318 </w:t>
            </w:r>
          </w:p>
        </w:tc>
        <w:tc>
          <w:tcPr>
            <w:tcW w:w="593" w:type="pct"/>
            <w:tcBorders>
              <w:left w:val="nil"/>
              <w:bottom w:val="nil"/>
              <w:right w:val="nil"/>
            </w:tcBorders>
            <w:shd w:val="clear" w:color="auto" w:fill="auto"/>
            <w:vAlign w:val="bottom"/>
          </w:tcPr>
          <w:p w14:paraId="396CD5C3" w14:textId="77777777" w:rsidR="00B637B8" w:rsidRPr="00F629B8"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12.285 </w:t>
            </w:r>
          </w:p>
        </w:tc>
      </w:tr>
      <w:tr w:rsidR="00B637B8" w:rsidRPr="00BF22C7" w14:paraId="29B896C4" w14:textId="77777777" w:rsidTr="00CA7F04">
        <w:trPr>
          <w:trHeight w:val="161"/>
        </w:trPr>
        <w:tc>
          <w:tcPr>
            <w:tcW w:w="1637" w:type="pct"/>
          </w:tcPr>
          <w:p w14:paraId="10ECC19D" w14:textId="77777777" w:rsidR="00B637B8" w:rsidRPr="005B35F4" w:rsidRDefault="00B637B8" w:rsidP="00CA7F04">
            <w:pPr>
              <w:pStyle w:val="Tot"/>
              <w:spacing w:line="220" w:lineRule="exact"/>
              <w:rPr>
                <w:rFonts w:cs="Arial"/>
                <w:b/>
                <w:bCs/>
                <w:color w:val="000000" w:themeColor="text1"/>
                <w:sz w:val="17"/>
                <w:szCs w:val="17"/>
                <w:lang w:val="hr-HR"/>
              </w:rPr>
            </w:pPr>
            <w:r w:rsidRPr="005B35F4">
              <w:rPr>
                <w:rFonts w:cs="Arial"/>
                <w:b/>
                <w:bCs/>
                <w:color w:val="000000" w:themeColor="text1"/>
                <w:sz w:val="17"/>
                <w:szCs w:val="17"/>
                <w:lang w:val="hr-HR"/>
              </w:rPr>
              <w:t xml:space="preserve">Ukupna imovina </w:t>
            </w:r>
          </w:p>
        </w:tc>
        <w:tc>
          <w:tcPr>
            <w:tcW w:w="547" w:type="pct"/>
            <w:tcBorders>
              <w:top w:val="nil"/>
              <w:left w:val="nil"/>
              <w:bottom w:val="single" w:sz="8" w:space="0" w:color="auto"/>
              <w:right w:val="nil"/>
            </w:tcBorders>
            <w:shd w:val="clear" w:color="auto" w:fill="auto"/>
            <w:vAlign w:val="bottom"/>
          </w:tcPr>
          <w:p w14:paraId="65CC58DC" w14:textId="77777777" w:rsidR="00B637B8" w:rsidRPr="005B35F4" w:rsidRDefault="00B637B8" w:rsidP="00CA7F04">
            <w:pPr>
              <w:jc w:val="right"/>
              <w:rPr>
                <w:rFonts w:ascii="Arial" w:hAnsi="Arial" w:cs="Arial"/>
                <w:b/>
                <w:bCs/>
                <w:color w:val="000000"/>
                <w:sz w:val="17"/>
                <w:szCs w:val="17"/>
              </w:rPr>
            </w:pPr>
            <w:r w:rsidRPr="00F959D0">
              <w:rPr>
                <w:rFonts w:ascii="Arial" w:hAnsi="Arial" w:cs="Arial"/>
                <w:b/>
                <w:bCs/>
                <w:color w:val="000000"/>
                <w:sz w:val="17"/>
                <w:szCs w:val="17"/>
              </w:rPr>
              <w:t xml:space="preserve"> 710.381 </w:t>
            </w:r>
          </w:p>
        </w:tc>
        <w:tc>
          <w:tcPr>
            <w:tcW w:w="534" w:type="pct"/>
            <w:tcBorders>
              <w:top w:val="nil"/>
              <w:left w:val="nil"/>
              <w:bottom w:val="single" w:sz="8" w:space="0" w:color="auto"/>
              <w:right w:val="nil"/>
            </w:tcBorders>
            <w:shd w:val="clear" w:color="auto" w:fill="auto"/>
            <w:vAlign w:val="bottom"/>
          </w:tcPr>
          <w:p w14:paraId="6B79CBEE" w14:textId="77777777" w:rsidR="00B637B8" w:rsidRPr="005B35F4" w:rsidRDefault="00B637B8" w:rsidP="00CA7F04">
            <w:pPr>
              <w:jc w:val="right"/>
              <w:rPr>
                <w:rFonts w:ascii="Arial" w:hAnsi="Arial" w:cs="Arial"/>
                <w:b/>
                <w:bCs/>
                <w:color w:val="000000"/>
                <w:sz w:val="17"/>
                <w:szCs w:val="17"/>
              </w:rPr>
            </w:pPr>
            <w:r w:rsidRPr="00F959D0">
              <w:rPr>
                <w:rFonts w:ascii="Arial" w:hAnsi="Arial" w:cs="Arial"/>
                <w:b/>
                <w:bCs/>
                <w:color w:val="000000"/>
                <w:sz w:val="17"/>
                <w:szCs w:val="17"/>
              </w:rPr>
              <w:t xml:space="preserve"> 216.545 </w:t>
            </w:r>
          </w:p>
        </w:tc>
        <w:tc>
          <w:tcPr>
            <w:tcW w:w="528" w:type="pct"/>
            <w:tcBorders>
              <w:top w:val="nil"/>
              <w:left w:val="nil"/>
              <w:bottom w:val="single" w:sz="8" w:space="0" w:color="auto"/>
              <w:right w:val="nil"/>
            </w:tcBorders>
            <w:shd w:val="clear" w:color="auto" w:fill="auto"/>
            <w:vAlign w:val="bottom"/>
          </w:tcPr>
          <w:p w14:paraId="3A916BC3" w14:textId="77777777" w:rsidR="00B637B8" w:rsidRPr="005B35F4" w:rsidRDefault="00B637B8" w:rsidP="00CA7F04">
            <w:pPr>
              <w:jc w:val="right"/>
              <w:rPr>
                <w:rFonts w:ascii="Arial" w:hAnsi="Arial" w:cs="Arial"/>
                <w:b/>
                <w:bCs/>
                <w:color w:val="000000"/>
                <w:sz w:val="17"/>
                <w:szCs w:val="17"/>
              </w:rPr>
            </w:pPr>
            <w:r w:rsidRPr="00F959D0">
              <w:rPr>
                <w:rFonts w:ascii="Arial" w:hAnsi="Arial" w:cs="Arial"/>
                <w:b/>
                <w:bCs/>
                <w:color w:val="000000"/>
                <w:sz w:val="17"/>
                <w:szCs w:val="17"/>
              </w:rPr>
              <w:t xml:space="preserve"> 419.639 </w:t>
            </w:r>
          </w:p>
        </w:tc>
        <w:tc>
          <w:tcPr>
            <w:tcW w:w="538" w:type="pct"/>
            <w:tcBorders>
              <w:top w:val="nil"/>
              <w:left w:val="nil"/>
              <w:bottom w:val="single" w:sz="8" w:space="0" w:color="auto"/>
              <w:right w:val="nil"/>
            </w:tcBorders>
            <w:shd w:val="clear" w:color="auto" w:fill="auto"/>
            <w:vAlign w:val="bottom"/>
          </w:tcPr>
          <w:p w14:paraId="77DFECE1" w14:textId="77777777" w:rsidR="00B637B8" w:rsidRPr="005B35F4" w:rsidRDefault="00B637B8" w:rsidP="00CA7F04">
            <w:pPr>
              <w:jc w:val="right"/>
              <w:rPr>
                <w:rFonts w:ascii="Arial" w:hAnsi="Arial" w:cs="Arial"/>
                <w:b/>
                <w:bCs/>
                <w:color w:val="000000"/>
                <w:sz w:val="17"/>
                <w:szCs w:val="17"/>
              </w:rPr>
            </w:pPr>
            <w:r w:rsidRPr="00F959D0">
              <w:rPr>
                <w:rFonts w:ascii="Arial" w:hAnsi="Arial" w:cs="Arial"/>
                <w:b/>
                <w:bCs/>
                <w:color w:val="000000"/>
                <w:sz w:val="17"/>
                <w:szCs w:val="17"/>
              </w:rPr>
              <w:t xml:space="preserve"> 929.841 </w:t>
            </w:r>
          </w:p>
        </w:tc>
        <w:tc>
          <w:tcPr>
            <w:tcW w:w="623" w:type="pct"/>
            <w:tcBorders>
              <w:top w:val="nil"/>
              <w:left w:val="nil"/>
              <w:bottom w:val="single" w:sz="8" w:space="0" w:color="auto"/>
              <w:right w:val="nil"/>
            </w:tcBorders>
            <w:shd w:val="clear" w:color="auto" w:fill="auto"/>
            <w:vAlign w:val="bottom"/>
          </w:tcPr>
          <w:p w14:paraId="648F7A28" w14:textId="77777777" w:rsidR="00B637B8" w:rsidRPr="005B35F4" w:rsidRDefault="00B637B8" w:rsidP="00CA7F04">
            <w:pPr>
              <w:jc w:val="right"/>
              <w:rPr>
                <w:rFonts w:ascii="Arial" w:hAnsi="Arial" w:cs="Arial"/>
                <w:b/>
                <w:bCs/>
                <w:color w:val="000000"/>
                <w:sz w:val="17"/>
                <w:szCs w:val="17"/>
              </w:rPr>
            </w:pPr>
            <w:r w:rsidRPr="00F959D0">
              <w:rPr>
                <w:rFonts w:ascii="Arial" w:hAnsi="Arial" w:cs="Arial"/>
                <w:b/>
                <w:bCs/>
                <w:color w:val="000000"/>
                <w:sz w:val="17"/>
                <w:szCs w:val="17"/>
              </w:rPr>
              <w:t xml:space="preserve"> 1.745.130 </w:t>
            </w:r>
          </w:p>
        </w:tc>
        <w:tc>
          <w:tcPr>
            <w:tcW w:w="593" w:type="pct"/>
            <w:tcBorders>
              <w:top w:val="single" w:sz="8" w:space="0" w:color="auto"/>
              <w:left w:val="nil"/>
              <w:bottom w:val="single" w:sz="8" w:space="0" w:color="auto"/>
              <w:right w:val="nil"/>
            </w:tcBorders>
            <w:shd w:val="clear" w:color="auto" w:fill="auto"/>
            <w:vAlign w:val="bottom"/>
          </w:tcPr>
          <w:p w14:paraId="6F4E4BA3" w14:textId="77777777" w:rsidR="00B637B8" w:rsidRPr="005B35F4" w:rsidRDefault="00B637B8" w:rsidP="00CA7F04">
            <w:pPr>
              <w:jc w:val="right"/>
              <w:rPr>
                <w:rFonts w:ascii="Arial" w:hAnsi="Arial" w:cs="Arial"/>
                <w:b/>
                <w:bCs/>
                <w:color w:val="000000"/>
                <w:sz w:val="17"/>
                <w:szCs w:val="17"/>
              </w:rPr>
            </w:pPr>
            <w:r w:rsidRPr="00F959D0">
              <w:rPr>
                <w:rFonts w:ascii="Arial" w:hAnsi="Arial" w:cs="Arial"/>
                <w:b/>
                <w:bCs/>
                <w:color w:val="000000"/>
                <w:sz w:val="17"/>
                <w:szCs w:val="17"/>
              </w:rPr>
              <w:t xml:space="preserve"> 4.021.536 </w:t>
            </w:r>
          </w:p>
        </w:tc>
      </w:tr>
      <w:tr w:rsidR="00B637B8" w:rsidRPr="005B35F4" w14:paraId="781C69FD" w14:textId="77777777" w:rsidTr="00CA7F04">
        <w:trPr>
          <w:trHeight w:val="236"/>
        </w:trPr>
        <w:tc>
          <w:tcPr>
            <w:tcW w:w="1637" w:type="pct"/>
          </w:tcPr>
          <w:p w14:paraId="297C9C12" w14:textId="77777777" w:rsidR="00B637B8" w:rsidRPr="005B35F4" w:rsidRDefault="00B637B8" w:rsidP="00CA7F04">
            <w:pPr>
              <w:pStyle w:val="Thin"/>
              <w:spacing w:line="60" w:lineRule="exact"/>
              <w:rPr>
                <w:rFonts w:cs="Arial"/>
                <w:bCs/>
                <w:color w:val="000000" w:themeColor="text1"/>
                <w:sz w:val="17"/>
                <w:szCs w:val="17"/>
                <w:lang w:val="hr-HR"/>
              </w:rPr>
            </w:pPr>
          </w:p>
        </w:tc>
        <w:tc>
          <w:tcPr>
            <w:tcW w:w="547" w:type="pct"/>
            <w:tcBorders>
              <w:top w:val="single" w:sz="12" w:space="0" w:color="auto"/>
            </w:tcBorders>
            <w:vAlign w:val="bottom"/>
          </w:tcPr>
          <w:p w14:paraId="2C7C213A" w14:textId="77777777" w:rsidR="00B637B8" w:rsidRPr="005B35F4" w:rsidRDefault="00B637B8" w:rsidP="00CA7F04">
            <w:pPr>
              <w:jc w:val="right"/>
              <w:rPr>
                <w:rFonts w:ascii="Arial" w:hAnsi="Arial" w:cs="Arial"/>
                <w:color w:val="000000"/>
                <w:sz w:val="17"/>
                <w:szCs w:val="17"/>
              </w:rPr>
            </w:pPr>
          </w:p>
        </w:tc>
        <w:tc>
          <w:tcPr>
            <w:tcW w:w="534" w:type="pct"/>
            <w:tcBorders>
              <w:top w:val="single" w:sz="12" w:space="0" w:color="auto"/>
            </w:tcBorders>
            <w:vAlign w:val="bottom"/>
          </w:tcPr>
          <w:p w14:paraId="31137AE0" w14:textId="77777777" w:rsidR="00B637B8" w:rsidRPr="005B35F4" w:rsidRDefault="00B637B8" w:rsidP="00CA7F04">
            <w:pPr>
              <w:jc w:val="right"/>
              <w:rPr>
                <w:rFonts w:ascii="Arial" w:hAnsi="Arial" w:cs="Arial"/>
                <w:color w:val="000000"/>
                <w:sz w:val="17"/>
                <w:szCs w:val="17"/>
              </w:rPr>
            </w:pPr>
          </w:p>
        </w:tc>
        <w:tc>
          <w:tcPr>
            <w:tcW w:w="528" w:type="pct"/>
            <w:tcBorders>
              <w:top w:val="single" w:sz="12" w:space="0" w:color="auto"/>
            </w:tcBorders>
            <w:vAlign w:val="bottom"/>
          </w:tcPr>
          <w:p w14:paraId="535D9DD1" w14:textId="77777777" w:rsidR="00B637B8" w:rsidRPr="005B35F4" w:rsidRDefault="00B637B8" w:rsidP="00CA7F04">
            <w:pPr>
              <w:jc w:val="right"/>
              <w:rPr>
                <w:rFonts w:ascii="Arial" w:hAnsi="Arial" w:cs="Arial"/>
                <w:color w:val="000000"/>
                <w:sz w:val="17"/>
                <w:szCs w:val="17"/>
              </w:rPr>
            </w:pPr>
          </w:p>
        </w:tc>
        <w:tc>
          <w:tcPr>
            <w:tcW w:w="538" w:type="pct"/>
            <w:tcBorders>
              <w:top w:val="single" w:sz="12" w:space="0" w:color="auto"/>
            </w:tcBorders>
            <w:vAlign w:val="bottom"/>
          </w:tcPr>
          <w:p w14:paraId="497C4ED7" w14:textId="77777777" w:rsidR="00B637B8" w:rsidRPr="005B35F4" w:rsidRDefault="00B637B8" w:rsidP="00CA7F04">
            <w:pPr>
              <w:jc w:val="right"/>
              <w:rPr>
                <w:rFonts w:ascii="Arial" w:hAnsi="Arial" w:cs="Arial"/>
                <w:color w:val="000000"/>
                <w:sz w:val="17"/>
                <w:szCs w:val="17"/>
              </w:rPr>
            </w:pPr>
          </w:p>
        </w:tc>
        <w:tc>
          <w:tcPr>
            <w:tcW w:w="623" w:type="pct"/>
            <w:tcBorders>
              <w:top w:val="single" w:sz="12" w:space="0" w:color="auto"/>
            </w:tcBorders>
            <w:vAlign w:val="bottom"/>
          </w:tcPr>
          <w:p w14:paraId="40E967DF" w14:textId="77777777" w:rsidR="00B637B8" w:rsidRPr="005B35F4" w:rsidRDefault="00B637B8" w:rsidP="00CA7F04">
            <w:pPr>
              <w:jc w:val="right"/>
              <w:rPr>
                <w:rFonts w:ascii="Arial" w:hAnsi="Arial" w:cs="Arial"/>
                <w:color w:val="000000"/>
                <w:sz w:val="17"/>
                <w:szCs w:val="17"/>
              </w:rPr>
            </w:pPr>
          </w:p>
        </w:tc>
        <w:tc>
          <w:tcPr>
            <w:tcW w:w="593" w:type="pct"/>
            <w:tcBorders>
              <w:top w:val="single" w:sz="12" w:space="0" w:color="auto"/>
            </w:tcBorders>
            <w:vAlign w:val="bottom"/>
          </w:tcPr>
          <w:p w14:paraId="5542A0B7" w14:textId="77777777" w:rsidR="00B637B8" w:rsidRPr="005B35F4" w:rsidRDefault="00B637B8" w:rsidP="00CA7F04">
            <w:pPr>
              <w:jc w:val="right"/>
              <w:rPr>
                <w:rFonts w:ascii="Arial" w:hAnsi="Arial" w:cs="Arial"/>
                <w:color w:val="000000"/>
                <w:sz w:val="17"/>
                <w:szCs w:val="17"/>
              </w:rPr>
            </w:pPr>
          </w:p>
        </w:tc>
      </w:tr>
      <w:tr w:rsidR="00B637B8" w:rsidRPr="005B35F4" w14:paraId="4A47B70A" w14:textId="77777777" w:rsidTr="00CA7F04">
        <w:trPr>
          <w:trHeight w:val="161"/>
        </w:trPr>
        <w:tc>
          <w:tcPr>
            <w:tcW w:w="1637" w:type="pct"/>
          </w:tcPr>
          <w:p w14:paraId="751B031F" w14:textId="77777777" w:rsidR="00B637B8" w:rsidRPr="005B35F4" w:rsidRDefault="00B637B8" w:rsidP="00CA7F04">
            <w:pPr>
              <w:pStyle w:val="TT"/>
              <w:spacing w:line="220" w:lineRule="exact"/>
              <w:rPr>
                <w:rFonts w:cs="Arial"/>
                <w:b/>
                <w:bCs/>
                <w:color w:val="000000" w:themeColor="text1"/>
                <w:sz w:val="17"/>
                <w:szCs w:val="17"/>
                <w:lang w:val="hr-HR"/>
              </w:rPr>
            </w:pPr>
            <w:r w:rsidRPr="005B35F4">
              <w:rPr>
                <w:rFonts w:cs="Arial"/>
                <w:b/>
                <w:bCs/>
                <w:color w:val="000000" w:themeColor="text1"/>
                <w:sz w:val="17"/>
                <w:szCs w:val="17"/>
                <w:lang w:val="hr-HR"/>
              </w:rPr>
              <w:t>Obveze</w:t>
            </w:r>
          </w:p>
        </w:tc>
        <w:tc>
          <w:tcPr>
            <w:tcW w:w="547" w:type="pct"/>
            <w:vAlign w:val="bottom"/>
          </w:tcPr>
          <w:p w14:paraId="2853B1FA" w14:textId="77777777" w:rsidR="00B637B8" w:rsidRPr="005B35F4" w:rsidRDefault="00B637B8" w:rsidP="00CA7F04">
            <w:pPr>
              <w:jc w:val="right"/>
              <w:rPr>
                <w:rFonts w:ascii="Arial" w:hAnsi="Arial" w:cs="Arial"/>
                <w:color w:val="000000"/>
                <w:sz w:val="17"/>
                <w:szCs w:val="17"/>
              </w:rPr>
            </w:pPr>
          </w:p>
        </w:tc>
        <w:tc>
          <w:tcPr>
            <w:tcW w:w="534" w:type="pct"/>
            <w:vAlign w:val="bottom"/>
          </w:tcPr>
          <w:p w14:paraId="2DDF8516" w14:textId="77777777" w:rsidR="00B637B8" w:rsidRPr="005B35F4" w:rsidRDefault="00B637B8" w:rsidP="00CA7F04">
            <w:pPr>
              <w:jc w:val="right"/>
              <w:rPr>
                <w:rFonts w:ascii="Arial" w:hAnsi="Arial" w:cs="Arial"/>
                <w:color w:val="000000"/>
                <w:sz w:val="17"/>
                <w:szCs w:val="17"/>
              </w:rPr>
            </w:pPr>
          </w:p>
        </w:tc>
        <w:tc>
          <w:tcPr>
            <w:tcW w:w="528" w:type="pct"/>
            <w:vAlign w:val="bottom"/>
          </w:tcPr>
          <w:p w14:paraId="7301587C" w14:textId="77777777" w:rsidR="00B637B8" w:rsidRPr="005B35F4" w:rsidRDefault="00B637B8" w:rsidP="00CA7F04">
            <w:pPr>
              <w:jc w:val="right"/>
              <w:rPr>
                <w:rFonts w:ascii="Arial" w:hAnsi="Arial" w:cs="Arial"/>
                <w:color w:val="000000"/>
                <w:sz w:val="17"/>
                <w:szCs w:val="17"/>
              </w:rPr>
            </w:pPr>
          </w:p>
        </w:tc>
        <w:tc>
          <w:tcPr>
            <w:tcW w:w="538" w:type="pct"/>
            <w:vAlign w:val="bottom"/>
          </w:tcPr>
          <w:p w14:paraId="15AC6F6E" w14:textId="77777777" w:rsidR="00B637B8" w:rsidRPr="005B35F4" w:rsidRDefault="00B637B8" w:rsidP="00CA7F04">
            <w:pPr>
              <w:jc w:val="right"/>
              <w:rPr>
                <w:rFonts w:ascii="Arial" w:hAnsi="Arial" w:cs="Arial"/>
                <w:color w:val="000000"/>
                <w:sz w:val="17"/>
                <w:szCs w:val="17"/>
              </w:rPr>
            </w:pPr>
          </w:p>
        </w:tc>
        <w:tc>
          <w:tcPr>
            <w:tcW w:w="623" w:type="pct"/>
            <w:vAlign w:val="bottom"/>
          </w:tcPr>
          <w:p w14:paraId="133B9579" w14:textId="77777777" w:rsidR="00B637B8" w:rsidRPr="005B35F4" w:rsidRDefault="00B637B8" w:rsidP="00CA7F04">
            <w:pPr>
              <w:jc w:val="right"/>
              <w:rPr>
                <w:rFonts w:ascii="Arial" w:hAnsi="Arial" w:cs="Arial"/>
                <w:color w:val="000000"/>
                <w:sz w:val="17"/>
                <w:szCs w:val="17"/>
              </w:rPr>
            </w:pPr>
          </w:p>
        </w:tc>
        <w:tc>
          <w:tcPr>
            <w:tcW w:w="593" w:type="pct"/>
            <w:vAlign w:val="bottom"/>
          </w:tcPr>
          <w:p w14:paraId="6FE1F382" w14:textId="77777777" w:rsidR="00B637B8" w:rsidRPr="005B35F4" w:rsidRDefault="00B637B8" w:rsidP="00CA7F04">
            <w:pPr>
              <w:jc w:val="right"/>
              <w:rPr>
                <w:rFonts w:ascii="Arial" w:hAnsi="Arial" w:cs="Arial"/>
                <w:color w:val="000000"/>
                <w:sz w:val="17"/>
                <w:szCs w:val="17"/>
              </w:rPr>
            </w:pPr>
          </w:p>
        </w:tc>
      </w:tr>
      <w:tr w:rsidR="00B637B8" w:rsidRPr="005B35F4" w14:paraId="6F63D6FF" w14:textId="77777777" w:rsidTr="00CA7F04">
        <w:trPr>
          <w:trHeight w:val="161"/>
        </w:trPr>
        <w:tc>
          <w:tcPr>
            <w:tcW w:w="1637" w:type="pct"/>
          </w:tcPr>
          <w:p w14:paraId="3C45DB5E" w14:textId="77777777" w:rsidR="00B637B8" w:rsidRPr="005B35F4" w:rsidRDefault="00B637B8" w:rsidP="00CA7F04">
            <w:pPr>
              <w:pStyle w:val="TT"/>
              <w:spacing w:line="220" w:lineRule="exact"/>
              <w:rPr>
                <w:rFonts w:cs="Arial"/>
                <w:color w:val="000000" w:themeColor="text1"/>
                <w:sz w:val="17"/>
                <w:szCs w:val="17"/>
                <w:lang w:val="hr-HR"/>
              </w:rPr>
            </w:pPr>
            <w:r w:rsidRPr="005B35F4">
              <w:rPr>
                <w:rFonts w:cs="Arial"/>
                <w:color w:val="000000" w:themeColor="text1"/>
                <w:spacing w:val="-2"/>
                <w:sz w:val="17"/>
                <w:szCs w:val="17"/>
                <w:lang w:val="hr-HR"/>
              </w:rPr>
              <w:t>Obveze po depozitima</w:t>
            </w:r>
          </w:p>
        </w:tc>
        <w:tc>
          <w:tcPr>
            <w:tcW w:w="547" w:type="pct"/>
            <w:tcBorders>
              <w:top w:val="nil"/>
              <w:left w:val="nil"/>
              <w:bottom w:val="nil"/>
              <w:right w:val="nil"/>
            </w:tcBorders>
            <w:shd w:val="clear" w:color="auto" w:fill="auto"/>
            <w:vAlign w:val="bottom"/>
          </w:tcPr>
          <w:p w14:paraId="5EFD6BBB" w14:textId="77777777" w:rsidR="00B637B8" w:rsidRPr="005B35F4"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148.059 </w:t>
            </w:r>
          </w:p>
        </w:tc>
        <w:tc>
          <w:tcPr>
            <w:tcW w:w="534" w:type="pct"/>
            <w:tcBorders>
              <w:top w:val="nil"/>
              <w:left w:val="nil"/>
              <w:bottom w:val="nil"/>
              <w:right w:val="nil"/>
            </w:tcBorders>
            <w:shd w:val="clear" w:color="auto" w:fill="auto"/>
            <w:vAlign w:val="bottom"/>
          </w:tcPr>
          <w:p w14:paraId="3B1AC2D2" w14:textId="77777777" w:rsidR="00B637B8" w:rsidRPr="005B35F4"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12.586 </w:t>
            </w:r>
          </w:p>
        </w:tc>
        <w:tc>
          <w:tcPr>
            <w:tcW w:w="528" w:type="pct"/>
            <w:tcBorders>
              <w:top w:val="nil"/>
              <w:left w:val="nil"/>
              <w:bottom w:val="nil"/>
              <w:right w:val="nil"/>
            </w:tcBorders>
            <w:shd w:val="clear" w:color="auto" w:fill="auto"/>
            <w:vAlign w:val="bottom"/>
          </w:tcPr>
          <w:p w14:paraId="0CB0BC9F" w14:textId="77777777" w:rsidR="00B637B8" w:rsidRPr="005B35F4"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18.604 </w:t>
            </w:r>
          </w:p>
        </w:tc>
        <w:tc>
          <w:tcPr>
            <w:tcW w:w="538" w:type="pct"/>
            <w:tcBorders>
              <w:top w:val="nil"/>
              <w:left w:val="nil"/>
              <w:bottom w:val="nil"/>
              <w:right w:val="nil"/>
            </w:tcBorders>
            <w:shd w:val="clear" w:color="auto" w:fill="auto"/>
            <w:vAlign w:val="bottom"/>
          </w:tcPr>
          <w:p w14:paraId="7340DA6E" w14:textId="77777777" w:rsidR="00B637B8" w:rsidRPr="005B35F4"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46 </w:t>
            </w:r>
          </w:p>
        </w:tc>
        <w:tc>
          <w:tcPr>
            <w:tcW w:w="623" w:type="pct"/>
            <w:tcBorders>
              <w:top w:val="nil"/>
              <w:left w:val="nil"/>
              <w:bottom w:val="nil"/>
              <w:right w:val="nil"/>
            </w:tcBorders>
            <w:shd w:val="clear" w:color="auto" w:fill="auto"/>
            <w:vAlign w:val="bottom"/>
          </w:tcPr>
          <w:p w14:paraId="1A08906B" w14:textId="77777777" w:rsidR="00B637B8" w:rsidRPr="005B35F4"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15.581 </w:t>
            </w:r>
          </w:p>
        </w:tc>
        <w:tc>
          <w:tcPr>
            <w:tcW w:w="593" w:type="pct"/>
            <w:tcBorders>
              <w:top w:val="nil"/>
              <w:left w:val="nil"/>
              <w:bottom w:val="nil"/>
              <w:right w:val="nil"/>
            </w:tcBorders>
            <w:shd w:val="clear" w:color="auto" w:fill="auto"/>
            <w:vAlign w:val="bottom"/>
          </w:tcPr>
          <w:p w14:paraId="5599266C" w14:textId="77777777" w:rsidR="00B637B8" w:rsidRPr="005B35F4"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194.876 </w:t>
            </w:r>
          </w:p>
        </w:tc>
      </w:tr>
      <w:tr w:rsidR="00B637B8" w:rsidRPr="005B35F4" w14:paraId="2E9FE9BB" w14:textId="77777777" w:rsidTr="00CA7F04">
        <w:trPr>
          <w:trHeight w:val="153"/>
        </w:trPr>
        <w:tc>
          <w:tcPr>
            <w:tcW w:w="1637" w:type="pct"/>
          </w:tcPr>
          <w:p w14:paraId="643BE5B4" w14:textId="77777777" w:rsidR="00B637B8" w:rsidRPr="005B35F4" w:rsidRDefault="00B637B8" w:rsidP="00CA7F04">
            <w:pPr>
              <w:pStyle w:val="TT"/>
              <w:spacing w:line="220" w:lineRule="exact"/>
              <w:rPr>
                <w:rFonts w:cs="Arial"/>
                <w:color w:val="000000" w:themeColor="text1"/>
                <w:sz w:val="17"/>
                <w:szCs w:val="17"/>
                <w:lang w:val="hr-HR"/>
              </w:rPr>
            </w:pPr>
            <w:r w:rsidRPr="005B35F4">
              <w:rPr>
                <w:rFonts w:cs="Arial"/>
                <w:color w:val="000000" w:themeColor="text1"/>
                <w:spacing w:val="-2"/>
                <w:sz w:val="17"/>
                <w:szCs w:val="17"/>
                <w:lang w:val="hr-HR"/>
              </w:rPr>
              <w:t>Obveze po kreditima</w:t>
            </w:r>
          </w:p>
        </w:tc>
        <w:tc>
          <w:tcPr>
            <w:tcW w:w="547" w:type="pct"/>
            <w:tcBorders>
              <w:top w:val="nil"/>
              <w:left w:val="nil"/>
              <w:bottom w:val="nil"/>
              <w:right w:val="nil"/>
            </w:tcBorders>
            <w:shd w:val="clear" w:color="auto" w:fill="auto"/>
            <w:vAlign w:val="bottom"/>
          </w:tcPr>
          <w:p w14:paraId="68E807F9" w14:textId="77777777" w:rsidR="00B637B8" w:rsidRPr="005B35F4"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59.784 </w:t>
            </w:r>
          </w:p>
        </w:tc>
        <w:tc>
          <w:tcPr>
            <w:tcW w:w="534" w:type="pct"/>
            <w:tcBorders>
              <w:top w:val="nil"/>
              <w:left w:val="nil"/>
              <w:bottom w:val="nil"/>
              <w:right w:val="nil"/>
            </w:tcBorders>
            <w:shd w:val="clear" w:color="auto" w:fill="auto"/>
            <w:vAlign w:val="bottom"/>
          </w:tcPr>
          <w:p w14:paraId="2886D6A4" w14:textId="77777777" w:rsidR="00B637B8" w:rsidRPr="005B35F4" w:rsidRDefault="00B637B8" w:rsidP="00CA7F04">
            <w:pPr>
              <w:jc w:val="right"/>
              <w:rPr>
                <w:rFonts w:ascii="Arial" w:hAnsi="Arial" w:cs="Arial"/>
                <w:color w:val="000000"/>
                <w:sz w:val="17"/>
                <w:szCs w:val="17"/>
              </w:rPr>
            </w:pPr>
            <w:r w:rsidRPr="00F959D0">
              <w:rPr>
                <w:rFonts w:ascii="Arial" w:hAnsi="Arial" w:cs="Arial"/>
                <w:color w:val="000000"/>
                <w:sz w:val="17"/>
                <w:szCs w:val="17"/>
              </w:rPr>
              <w:t>167.701</w:t>
            </w:r>
            <w:r>
              <w:rPr>
                <w:rFonts w:ascii="Arial" w:hAnsi="Arial" w:cs="Arial"/>
                <w:color w:val="000000"/>
                <w:sz w:val="17"/>
                <w:szCs w:val="17"/>
              </w:rPr>
              <w:t>**</w:t>
            </w:r>
            <w:r w:rsidRPr="00F959D0">
              <w:rPr>
                <w:rFonts w:ascii="Arial" w:hAnsi="Arial" w:cs="Arial"/>
                <w:color w:val="000000"/>
                <w:sz w:val="17"/>
                <w:szCs w:val="17"/>
              </w:rPr>
              <w:t xml:space="preserve"> </w:t>
            </w:r>
          </w:p>
        </w:tc>
        <w:tc>
          <w:tcPr>
            <w:tcW w:w="528" w:type="pct"/>
            <w:tcBorders>
              <w:top w:val="nil"/>
              <w:left w:val="nil"/>
              <w:bottom w:val="nil"/>
              <w:right w:val="nil"/>
            </w:tcBorders>
            <w:shd w:val="clear" w:color="auto" w:fill="auto"/>
            <w:vAlign w:val="bottom"/>
          </w:tcPr>
          <w:p w14:paraId="57E51CBB" w14:textId="77777777" w:rsidR="00B637B8" w:rsidRPr="005B35F4"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262.670 </w:t>
            </w:r>
          </w:p>
        </w:tc>
        <w:tc>
          <w:tcPr>
            <w:tcW w:w="538" w:type="pct"/>
            <w:tcBorders>
              <w:top w:val="nil"/>
              <w:left w:val="nil"/>
              <w:bottom w:val="nil"/>
              <w:right w:val="nil"/>
            </w:tcBorders>
            <w:shd w:val="clear" w:color="auto" w:fill="auto"/>
            <w:vAlign w:val="bottom"/>
          </w:tcPr>
          <w:p w14:paraId="0B8C12E5" w14:textId="77777777" w:rsidR="00B637B8" w:rsidRPr="005B35F4"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640.802 </w:t>
            </w:r>
          </w:p>
        </w:tc>
        <w:tc>
          <w:tcPr>
            <w:tcW w:w="623" w:type="pct"/>
            <w:tcBorders>
              <w:top w:val="nil"/>
              <w:left w:val="nil"/>
              <w:bottom w:val="nil"/>
              <w:right w:val="nil"/>
            </w:tcBorders>
            <w:shd w:val="clear" w:color="auto" w:fill="auto"/>
            <w:vAlign w:val="bottom"/>
          </w:tcPr>
          <w:p w14:paraId="17BD9051" w14:textId="77777777" w:rsidR="00B637B8" w:rsidRPr="005B35F4"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1.120.219 </w:t>
            </w:r>
          </w:p>
        </w:tc>
        <w:tc>
          <w:tcPr>
            <w:tcW w:w="593" w:type="pct"/>
            <w:tcBorders>
              <w:top w:val="nil"/>
              <w:left w:val="nil"/>
              <w:bottom w:val="nil"/>
              <w:right w:val="nil"/>
            </w:tcBorders>
            <w:shd w:val="clear" w:color="auto" w:fill="auto"/>
            <w:vAlign w:val="bottom"/>
          </w:tcPr>
          <w:p w14:paraId="5E5644F2" w14:textId="77777777" w:rsidR="00B637B8" w:rsidRPr="005B35F4"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2.251.176 </w:t>
            </w:r>
          </w:p>
        </w:tc>
      </w:tr>
      <w:tr w:rsidR="00B637B8" w:rsidRPr="005B35F4" w14:paraId="355079C3" w14:textId="77777777" w:rsidTr="00CA7F04">
        <w:trPr>
          <w:trHeight w:val="315"/>
        </w:trPr>
        <w:tc>
          <w:tcPr>
            <w:tcW w:w="1637" w:type="pct"/>
            <w:vAlign w:val="bottom"/>
          </w:tcPr>
          <w:p w14:paraId="47D68167" w14:textId="77777777" w:rsidR="00B637B8" w:rsidRPr="005B35F4" w:rsidRDefault="00B637B8" w:rsidP="00CA7F04">
            <w:pPr>
              <w:pStyle w:val="TT"/>
              <w:spacing w:line="220" w:lineRule="exact"/>
              <w:rPr>
                <w:rFonts w:cs="Arial"/>
                <w:color w:val="000000" w:themeColor="text1"/>
                <w:spacing w:val="-2"/>
                <w:sz w:val="17"/>
                <w:szCs w:val="17"/>
                <w:lang w:val="hr-HR"/>
              </w:rPr>
            </w:pPr>
            <w:r w:rsidRPr="005B35F4">
              <w:rPr>
                <w:rFonts w:cs="Arial"/>
                <w:color w:val="000000" w:themeColor="text1"/>
                <w:spacing w:val="-2"/>
                <w:sz w:val="17"/>
                <w:szCs w:val="17"/>
                <w:lang w:val="hr-HR"/>
              </w:rPr>
              <w:t>Rezerviranja za garancije, preuzete i ostale obveze</w:t>
            </w:r>
          </w:p>
        </w:tc>
        <w:tc>
          <w:tcPr>
            <w:tcW w:w="547" w:type="pct"/>
            <w:tcBorders>
              <w:top w:val="nil"/>
              <w:left w:val="nil"/>
              <w:bottom w:val="nil"/>
              <w:right w:val="nil"/>
            </w:tcBorders>
            <w:shd w:val="clear" w:color="auto" w:fill="auto"/>
            <w:vAlign w:val="bottom"/>
          </w:tcPr>
          <w:p w14:paraId="0B2F176D" w14:textId="77777777" w:rsidR="00B637B8" w:rsidRPr="005B35F4" w:rsidDel="00F864B4"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10.561 </w:t>
            </w:r>
          </w:p>
        </w:tc>
        <w:tc>
          <w:tcPr>
            <w:tcW w:w="534" w:type="pct"/>
            <w:tcBorders>
              <w:top w:val="nil"/>
              <w:left w:val="nil"/>
              <w:bottom w:val="nil"/>
              <w:right w:val="nil"/>
            </w:tcBorders>
            <w:shd w:val="clear" w:color="auto" w:fill="auto"/>
            <w:vAlign w:val="bottom"/>
          </w:tcPr>
          <w:p w14:paraId="28A25D42" w14:textId="77777777" w:rsidR="00B637B8" w:rsidRPr="005B35F4" w:rsidDel="00F864B4"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851 </w:t>
            </w:r>
          </w:p>
        </w:tc>
        <w:tc>
          <w:tcPr>
            <w:tcW w:w="528" w:type="pct"/>
            <w:tcBorders>
              <w:top w:val="nil"/>
              <w:left w:val="nil"/>
              <w:bottom w:val="nil"/>
              <w:right w:val="nil"/>
            </w:tcBorders>
            <w:shd w:val="clear" w:color="auto" w:fill="auto"/>
            <w:vAlign w:val="bottom"/>
          </w:tcPr>
          <w:p w14:paraId="77E06A57" w14:textId="77777777" w:rsidR="00B637B8" w:rsidRPr="005B35F4" w:rsidDel="00F864B4"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3.205 </w:t>
            </w:r>
          </w:p>
        </w:tc>
        <w:tc>
          <w:tcPr>
            <w:tcW w:w="538" w:type="pct"/>
            <w:tcBorders>
              <w:top w:val="nil"/>
              <w:left w:val="nil"/>
              <w:bottom w:val="nil"/>
              <w:right w:val="nil"/>
            </w:tcBorders>
            <w:shd w:val="clear" w:color="auto" w:fill="auto"/>
            <w:vAlign w:val="bottom"/>
          </w:tcPr>
          <w:p w14:paraId="775C82BD" w14:textId="77777777" w:rsidR="00B637B8" w:rsidRPr="005B35F4" w:rsidDel="00F864B4"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6.343 </w:t>
            </w:r>
          </w:p>
        </w:tc>
        <w:tc>
          <w:tcPr>
            <w:tcW w:w="623" w:type="pct"/>
            <w:tcBorders>
              <w:top w:val="nil"/>
              <w:left w:val="nil"/>
              <w:bottom w:val="nil"/>
              <w:right w:val="nil"/>
            </w:tcBorders>
            <w:shd w:val="clear" w:color="auto" w:fill="auto"/>
            <w:vAlign w:val="bottom"/>
          </w:tcPr>
          <w:p w14:paraId="331085AC" w14:textId="77777777" w:rsidR="00B637B8" w:rsidRPr="005B35F4" w:rsidDel="00F864B4"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3.422 </w:t>
            </w:r>
          </w:p>
        </w:tc>
        <w:tc>
          <w:tcPr>
            <w:tcW w:w="593" w:type="pct"/>
            <w:tcBorders>
              <w:top w:val="nil"/>
              <w:left w:val="nil"/>
              <w:bottom w:val="nil"/>
              <w:right w:val="nil"/>
            </w:tcBorders>
            <w:shd w:val="clear" w:color="auto" w:fill="auto"/>
            <w:vAlign w:val="bottom"/>
          </w:tcPr>
          <w:p w14:paraId="1BE4D873" w14:textId="77777777" w:rsidR="00B637B8" w:rsidRPr="005B35F4" w:rsidDel="00F864B4"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24.382 </w:t>
            </w:r>
          </w:p>
        </w:tc>
      </w:tr>
      <w:tr w:rsidR="00B637B8" w:rsidRPr="005B35F4" w14:paraId="12F5445F" w14:textId="77777777" w:rsidTr="00CA7F04">
        <w:trPr>
          <w:trHeight w:val="153"/>
        </w:trPr>
        <w:tc>
          <w:tcPr>
            <w:tcW w:w="1637" w:type="pct"/>
          </w:tcPr>
          <w:p w14:paraId="6B5BFA57" w14:textId="77777777" w:rsidR="00B637B8" w:rsidRPr="005B35F4" w:rsidRDefault="00B637B8" w:rsidP="00CA7F04">
            <w:pPr>
              <w:pStyle w:val="TT"/>
              <w:spacing w:line="220" w:lineRule="exact"/>
              <w:rPr>
                <w:rFonts w:cs="Arial"/>
                <w:color w:val="000000" w:themeColor="text1"/>
                <w:sz w:val="17"/>
                <w:szCs w:val="17"/>
                <w:lang w:val="hr-HR"/>
              </w:rPr>
            </w:pPr>
            <w:r w:rsidRPr="005B35F4">
              <w:rPr>
                <w:rFonts w:cs="Arial"/>
                <w:color w:val="000000" w:themeColor="text1"/>
                <w:spacing w:val="-2"/>
                <w:sz w:val="17"/>
                <w:szCs w:val="17"/>
                <w:lang w:val="hr-HR"/>
              </w:rPr>
              <w:t>Ostale obveze</w:t>
            </w:r>
          </w:p>
        </w:tc>
        <w:tc>
          <w:tcPr>
            <w:tcW w:w="547" w:type="pct"/>
            <w:tcBorders>
              <w:top w:val="nil"/>
              <w:left w:val="nil"/>
              <w:bottom w:val="nil"/>
              <w:right w:val="nil"/>
            </w:tcBorders>
            <w:shd w:val="clear" w:color="auto" w:fill="auto"/>
            <w:vAlign w:val="bottom"/>
          </w:tcPr>
          <w:p w14:paraId="429FC6E7" w14:textId="77777777" w:rsidR="00B637B8" w:rsidRPr="005B35F4"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39.304 </w:t>
            </w:r>
          </w:p>
        </w:tc>
        <w:tc>
          <w:tcPr>
            <w:tcW w:w="534" w:type="pct"/>
            <w:tcBorders>
              <w:top w:val="nil"/>
              <w:left w:val="nil"/>
              <w:bottom w:val="nil"/>
              <w:right w:val="nil"/>
            </w:tcBorders>
            <w:shd w:val="clear" w:color="auto" w:fill="auto"/>
            <w:vAlign w:val="bottom"/>
          </w:tcPr>
          <w:p w14:paraId="069E69F5" w14:textId="77777777" w:rsidR="00B637B8" w:rsidRPr="005B35F4"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3.261 </w:t>
            </w:r>
          </w:p>
        </w:tc>
        <w:tc>
          <w:tcPr>
            <w:tcW w:w="528" w:type="pct"/>
            <w:tcBorders>
              <w:top w:val="nil"/>
              <w:left w:val="nil"/>
              <w:bottom w:val="nil"/>
              <w:right w:val="nil"/>
            </w:tcBorders>
            <w:shd w:val="clear" w:color="auto" w:fill="auto"/>
            <w:vAlign w:val="bottom"/>
          </w:tcPr>
          <w:p w14:paraId="06538DE9" w14:textId="77777777" w:rsidR="00B637B8" w:rsidRPr="005B35F4"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14.301 </w:t>
            </w:r>
          </w:p>
        </w:tc>
        <w:tc>
          <w:tcPr>
            <w:tcW w:w="538" w:type="pct"/>
            <w:tcBorders>
              <w:top w:val="nil"/>
              <w:left w:val="nil"/>
              <w:bottom w:val="nil"/>
              <w:right w:val="nil"/>
            </w:tcBorders>
            <w:shd w:val="clear" w:color="auto" w:fill="auto"/>
            <w:vAlign w:val="bottom"/>
          </w:tcPr>
          <w:p w14:paraId="4E77D612" w14:textId="77777777" w:rsidR="00B637B8" w:rsidRPr="005B35F4"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23.605 </w:t>
            </w:r>
          </w:p>
        </w:tc>
        <w:tc>
          <w:tcPr>
            <w:tcW w:w="623" w:type="pct"/>
            <w:tcBorders>
              <w:top w:val="nil"/>
              <w:left w:val="nil"/>
              <w:bottom w:val="nil"/>
              <w:right w:val="nil"/>
            </w:tcBorders>
            <w:shd w:val="clear" w:color="auto" w:fill="auto"/>
            <w:vAlign w:val="bottom"/>
          </w:tcPr>
          <w:p w14:paraId="665C53BE" w14:textId="77777777" w:rsidR="00B637B8" w:rsidRPr="005B35F4"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12.752 </w:t>
            </w:r>
          </w:p>
        </w:tc>
        <w:tc>
          <w:tcPr>
            <w:tcW w:w="593" w:type="pct"/>
            <w:tcBorders>
              <w:top w:val="nil"/>
              <w:left w:val="nil"/>
              <w:bottom w:val="nil"/>
              <w:right w:val="nil"/>
            </w:tcBorders>
            <w:shd w:val="clear" w:color="auto" w:fill="auto"/>
            <w:vAlign w:val="bottom"/>
          </w:tcPr>
          <w:p w14:paraId="7F058CBE" w14:textId="77777777" w:rsidR="00B637B8" w:rsidRPr="005B35F4" w:rsidRDefault="00B637B8" w:rsidP="00CA7F04">
            <w:pPr>
              <w:jc w:val="right"/>
              <w:rPr>
                <w:rFonts w:ascii="Arial" w:hAnsi="Arial" w:cs="Arial"/>
                <w:color w:val="000000"/>
                <w:sz w:val="17"/>
                <w:szCs w:val="17"/>
              </w:rPr>
            </w:pPr>
            <w:r w:rsidRPr="00F959D0">
              <w:rPr>
                <w:rFonts w:ascii="Arial" w:hAnsi="Arial" w:cs="Arial"/>
                <w:color w:val="000000"/>
                <w:sz w:val="17"/>
                <w:szCs w:val="17"/>
              </w:rPr>
              <w:t xml:space="preserve"> 93.223 </w:t>
            </w:r>
          </w:p>
        </w:tc>
      </w:tr>
      <w:tr w:rsidR="00B637B8" w:rsidRPr="005B35F4" w14:paraId="2DE1AF3D" w14:textId="77777777" w:rsidTr="00CA7F04">
        <w:trPr>
          <w:trHeight w:val="153"/>
        </w:trPr>
        <w:tc>
          <w:tcPr>
            <w:tcW w:w="1637" w:type="pct"/>
          </w:tcPr>
          <w:p w14:paraId="664CA0FD" w14:textId="77777777" w:rsidR="00B637B8" w:rsidRPr="005B35F4" w:rsidRDefault="00B637B8" w:rsidP="00CA7F04">
            <w:pPr>
              <w:pStyle w:val="Tot"/>
              <w:spacing w:line="220" w:lineRule="exact"/>
              <w:rPr>
                <w:rFonts w:cs="Arial"/>
                <w:b/>
                <w:bCs/>
                <w:color w:val="000000" w:themeColor="text1"/>
                <w:sz w:val="17"/>
                <w:szCs w:val="17"/>
                <w:lang w:val="hr-HR"/>
              </w:rPr>
            </w:pPr>
            <w:r w:rsidRPr="005B35F4">
              <w:rPr>
                <w:rFonts w:cs="Arial"/>
                <w:b/>
                <w:bCs/>
                <w:color w:val="000000" w:themeColor="text1"/>
                <w:sz w:val="17"/>
                <w:szCs w:val="17"/>
                <w:lang w:val="hr-HR"/>
              </w:rPr>
              <w:t>Ukupne obveze</w:t>
            </w:r>
          </w:p>
        </w:tc>
        <w:tc>
          <w:tcPr>
            <w:tcW w:w="547" w:type="pct"/>
            <w:tcBorders>
              <w:top w:val="single" w:sz="8" w:space="0" w:color="auto"/>
              <w:left w:val="nil"/>
              <w:bottom w:val="single" w:sz="8" w:space="0" w:color="auto"/>
              <w:right w:val="nil"/>
            </w:tcBorders>
            <w:shd w:val="clear" w:color="auto" w:fill="auto"/>
            <w:vAlign w:val="bottom"/>
          </w:tcPr>
          <w:p w14:paraId="24C8F7C2" w14:textId="77777777" w:rsidR="00B637B8" w:rsidRPr="00BF22C7" w:rsidRDefault="00B637B8" w:rsidP="00CA7F04">
            <w:pPr>
              <w:jc w:val="right"/>
              <w:rPr>
                <w:rFonts w:ascii="Arial" w:hAnsi="Arial" w:cs="Arial"/>
                <w:b/>
                <w:bCs/>
                <w:color w:val="000000"/>
                <w:sz w:val="17"/>
                <w:szCs w:val="17"/>
              </w:rPr>
            </w:pPr>
            <w:r w:rsidRPr="00F959D0">
              <w:rPr>
                <w:rFonts w:ascii="Arial" w:hAnsi="Arial" w:cs="Arial"/>
                <w:b/>
                <w:bCs/>
                <w:color w:val="000000"/>
                <w:sz w:val="17"/>
                <w:szCs w:val="17"/>
              </w:rPr>
              <w:t xml:space="preserve"> 257.708 </w:t>
            </w:r>
          </w:p>
        </w:tc>
        <w:tc>
          <w:tcPr>
            <w:tcW w:w="534" w:type="pct"/>
            <w:tcBorders>
              <w:top w:val="single" w:sz="8" w:space="0" w:color="auto"/>
              <w:left w:val="nil"/>
              <w:bottom w:val="single" w:sz="8" w:space="0" w:color="auto"/>
              <w:right w:val="nil"/>
            </w:tcBorders>
            <w:shd w:val="clear" w:color="auto" w:fill="auto"/>
            <w:vAlign w:val="bottom"/>
          </w:tcPr>
          <w:p w14:paraId="4CD58BE4" w14:textId="77777777" w:rsidR="00B637B8" w:rsidRPr="00BF22C7" w:rsidRDefault="00B637B8" w:rsidP="00CA7F04">
            <w:pPr>
              <w:jc w:val="right"/>
              <w:rPr>
                <w:rFonts w:ascii="Arial" w:hAnsi="Arial" w:cs="Arial"/>
                <w:b/>
                <w:bCs/>
                <w:color w:val="000000"/>
                <w:sz w:val="17"/>
                <w:szCs w:val="17"/>
              </w:rPr>
            </w:pPr>
            <w:r w:rsidRPr="00F959D0">
              <w:rPr>
                <w:rFonts w:ascii="Arial" w:hAnsi="Arial" w:cs="Arial"/>
                <w:b/>
                <w:bCs/>
                <w:color w:val="000000"/>
                <w:sz w:val="17"/>
                <w:szCs w:val="17"/>
              </w:rPr>
              <w:t xml:space="preserve"> 184.399 </w:t>
            </w:r>
          </w:p>
        </w:tc>
        <w:tc>
          <w:tcPr>
            <w:tcW w:w="528" w:type="pct"/>
            <w:tcBorders>
              <w:top w:val="single" w:sz="8" w:space="0" w:color="auto"/>
              <w:left w:val="nil"/>
              <w:bottom w:val="single" w:sz="8" w:space="0" w:color="auto"/>
              <w:right w:val="nil"/>
            </w:tcBorders>
            <w:shd w:val="clear" w:color="auto" w:fill="auto"/>
            <w:vAlign w:val="bottom"/>
          </w:tcPr>
          <w:p w14:paraId="37648F6F" w14:textId="77777777" w:rsidR="00B637B8" w:rsidRPr="00BF22C7" w:rsidRDefault="00B637B8" w:rsidP="00CA7F04">
            <w:pPr>
              <w:jc w:val="right"/>
              <w:rPr>
                <w:rFonts w:ascii="Arial" w:hAnsi="Arial" w:cs="Arial"/>
                <w:b/>
                <w:bCs/>
                <w:color w:val="000000"/>
                <w:sz w:val="17"/>
                <w:szCs w:val="17"/>
              </w:rPr>
            </w:pPr>
            <w:r w:rsidRPr="00F959D0">
              <w:rPr>
                <w:rFonts w:ascii="Arial" w:hAnsi="Arial" w:cs="Arial"/>
                <w:b/>
                <w:bCs/>
                <w:color w:val="000000"/>
                <w:sz w:val="17"/>
                <w:szCs w:val="17"/>
              </w:rPr>
              <w:t xml:space="preserve"> 298.780 </w:t>
            </w:r>
          </w:p>
        </w:tc>
        <w:tc>
          <w:tcPr>
            <w:tcW w:w="538" w:type="pct"/>
            <w:tcBorders>
              <w:top w:val="single" w:sz="8" w:space="0" w:color="auto"/>
              <w:left w:val="nil"/>
              <w:bottom w:val="single" w:sz="8" w:space="0" w:color="auto"/>
              <w:right w:val="nil"/>
            </w:tcBorders>
            <w:shd w:val="clear" w:color="auto" w:fill="auto"/>
            <w:vAlign w:val="bottom"/>
          </w:tcPr>
          <w:p w14:paraId="27DF547E" w14:textId="77777777" w:rsidR="00B637B8" w:rsidRPr="00BF22C7" w:rsidRDefault="00B637B8" w:rsidP="00CA7F04">
            <w:pPr>
              <w:jc w:val="right"/>
              <w:rPr>
                <w:rFonts w:ascii="Arial" w:hAnsi="Arial" w:cs="Arial"/>
                <w:b/>
                <w:bCs/>
                <w:color w:val="000000"/>
                <w:sz w:val="17"/>
                <w:szCs w:val="17"/>
              </w:rPr>
            </w:pPr>
            <w:r w:rsidRPr="00F959D0">
              <w:rPr>
                <w:rFonts w:ascii="Arial" w:hAnsi="Arial" w:cs="Arial"/>
                <w:b/>
                <w:bCs/>
                <w:color w:val="000000"/>
                <w:sz w:val="17"/>
                <w:szCs w:val="17"/>
              </w:rPr>
              <w:t xml:space="preserve"> 670.796 </w:t>
            </w:r>
          </w:p>
        </w:tc>
        <w:tc>
          <w:tcPr>
            <w:tcW w:w="623" w:type="pct"/>
            <w:tcBorders>
              <w:top w:val="single" w:sz="8" w:space="0" w:color="auto"/>
              <w:left w:val="nil"/>
              <w:bottom w:val="single" w:sz="8" w:space="0" w:color="auto"/>
              <w:right w:val="nil"/>
            </w:tcBorders>
            <w:shd w:val="clear" w:color="auto" w:fill="auto"/>
            <w:vAlign w:val="bottom"/>
          </w:tcPr>
          <w:p w14:paraId="3DB91DF8" w14:textId="77777777" w:rsidR="00B637B8" w:rsidRPr="00BF22C7" w:rsidRDefault="00B637B8" w:rsidP="00CA7F04">
            <w:pPr>
              <w:jc w:val="right"/>
              <w:rPr>
                <w:rFonts w:ascii="Arial" w:hAnsi="Arial" w:cs="Arial"/>
                <w:b/>
                <w:bCs/>
                <w:color w:val="000000"/>
                <w:sz w:val="17"/>
                <w:szCs w:val="17"/>
              </w:rPr>
            </w:pPr>
            <w:r w:rsidRPr="00F959D0">
              <w:rPr>
                <w:rFonts w:ascii="Arial" w:hAnsi="Arial" w:cs="Arial"/>
                <w:b/>
                <w:bCs/>
                <w:color w:val="000000"/>
                <w:sz w:val="17"/>
                <w:szCs w:val="17"/>
              </w:rPr>
              <w:t xml:space="preserve"> 1.151.974 </w:t>
            </w:r>
          </w:p>
        </w:tc>
        <w:tc>
          <w:tcPr>
            <w:tcW w:w="593" w:type="pct"/>
            <w:tcBorders>
              <w:top w:val="single" w:sz="8" w:space="0" w:color="auto"/>
              <w:left w:val="nil"/>
              <w:bottom w:val="single" w:sz="8" w:space="0" w:color="auto"/>
              <w:right w:val="nil"/>
            </w:tcBorders>
            <w:shd w:val="clear" w:color="auto" w:fill="auto"/>
            <w:vAlign w:val="bottom"/>
          </w:tcPr>
          <w:p w14:paraId="01BF95C7" w14:textId="77777777" w:rsidR="00B637B8" w:rsidRPr="00BF22C7" w:rsidRDefault="00B637B8" w:rsidP="00CA7F04">
            <w:pPr>
              <w:jc w:val="right"/>
              <w:rPr>
                <w:rFonts w:ascii="Arial" w:hAnsi="Arial" w:cs="Arial"/>
                <w:b/>
                <w:bCs/>
                <w:color w:val="000000"/>
                <w:sz w:val="17"/>
                <w:szCs w:val="17"/>
              </w:rPr>
            </w:pPr>
            <w:r w:rsidRPr="00F959D0">
              <w:rPr>
                <w:rFonts w:ascii="Arial" w:hAnsi="Arial" w:cs="Arial"/>
                <w:b/>
                <w:bCs/>
                <w:color w:val="000000"/>
                <w:sz w:val="17"/>
                <w:szCs w:val="17"/>
              </w:rPr>
              <w:t xml:space="preserve"> 2.563.657 </w:t>
            </w:r>
          </w:p>
        </w:tc>
      </w:tr>
      <w:tr w:rsidR="00B637B8" w:rsidRPr="005B35F4" w14:paraId="5E0BBCE4" w14:textId="77777777" w:rsidTr="00CA7F04">
        <w:trPr>
          <w:trHeight w:val="229"/>
        </w:trPr>
        <w:tc>
          <w:tcPr>
            <w:tcW w:w="1637" w:type="pct"/>
            <w:vAlign w:val="bottom"/>
          </w:tcPr>
          <w:p w14:paraId="460C76A0" w14:textId="77777777" w:rsidR="00B637B8" w:rsidRPr="005B35F4" w:rsidRDefault="00B637B8" w:rsidP="00CA7F04">
            <w:pPr>
              <w:pStyle w:val="Tot"/>
              <w:spacing w:line="220" w:lineRule="exact"/>
              <w:rPr>
                <w:rFonts w:cs="Arial"/>
                <w:b/>
                <w:bCs/>
                <w:color w:val="000000" w:themeColor="text1"/>
                <w:spacing w:val="-2"/>
                <w:sz w:val="17"/>
                <w:szCs w:val="17"/>
                <w:lang w:val="hr-HR"/>
              </w:rPr>
            </w:pPr>
            <w:proofErr w:type="spellStart"/>
            <w:r w:rsidRPr="005B35F4">
              <w:rPr>
                <w:rFonts w:eastAsia="Calibri" w:cs="Arial"/>
                <w:b/>
                <w:bCs/>
                <w:color w:val="000000" w:themeColor="text1"/>
                <w:spacing w:val="-2"/>
                <w:sz w:val="17"/>
                <w:szCs w:val="17"/>
                <w:lang w:val="hr-HR"/>
              </w:rPr>
              <w:t>Likvidnosni</w:t>
            </w:r>
            <w:proofErr w:type="spellEnd"/>
            <w:r w:rsidRPr="005B35F4">
              <w:rPr>
                <w:rFonts w:eastAsia="Calibri" w:cs="Arial"/>
                <w:b/>
                <w:bCs/>
                <w:color w:val="000000" w:themeColor="text1"/>
                <w:spacing w:val="-2"/>
                <w:sz w:val="17"/>
                <w:szCs w:val="17"/>
                <w:lang w:val="hr-HR"/>
              </w:rPr>
              <w:t xml:space="preserve"> jaz</w:t>
            </w:r>
          </w:p>
        </w:tc>
        <w:tc>
          <w:tcPr>
            <w:tcW w:w="547" w:type="pct"/>
            <w:tcBorders>
              <w:top w:val="single" w:sz="4" w:space="0" w:color="auto"/>
              <w:left w:val="nil"/>
              <w:bottom w:val="single" w:sz="8" w:space="0" w:color="auto"/>
              <w:right w:val="nil"/>
            </w:tcBorders>
            <w:shd w:val="clear" w:color="auto" w:fill="auto"/>
            <w:vAlign w:val="bottom"/>
          </w:tcPr>
          <w:p w14:paraId="672FC332" w14:textId="77777777" w:rsidR="00B637B8" w:rsidRPr="00BF22C7" w:rsidRDefault="00B637B8" w:rsidP="00CA7F04">
            <w:pPr>
              <w:jc w:val="right"/>
              <w:rPr>
                <w:rFonts w:ascii="Arial" w:hAnsi="Arial" w:cs="Arial"/>
                <w:b/>
                <w:bCs/>
                <w:color w:val="000000"/>
                <w:sz w:val="17"/>
                <w:szCs w:val="17"/>
              </w:rPr>
            </w:pPr>
            <w:r w:rsidRPr="00F959D0">
              <w:rPr>
                <w:rFonts w:ascii="Arial" w:hAnsi="Arial" w:cs="Arial"/>
                <w:b/>
                <w:bCs/>
                <w:color w:val="000000"/>
                <w:sz w:val="17"/>
                <w:szCs w:val="17"/>
              </w:rPr>
              <w:t xml:space="preserve"> 452.673 </w:t>
            </w:r>
          </w:p>
        </w:tc>
        <w:tc>
          <w:tcPr>
            <w:tcW w:w="534" w:type="pct"/>
            <w:tcBorders>
              <w:top w:val="single" w:sz="4" w:space="0" w:color="auto"/>
              <w:left w:val="nil"/>
              <w:bottom w:val="single" w:sz="8" w:space="0" w:color="auto"/>
              <w:right w:val="nil"/>
            </w:tcBorders>
            <w:shd w:val="clear" w:color="auto" w:fill="auto"/>
            <w:vAlign w:val="bottom"/>
          </w:tcPr>
          <w:p w14:paraId="2E6044A9" w14:textId="77777777" w:rsidR="00B637B8" w:rsidRPr="00BF22C7" w:rsidRDefault="00B637B8" w:rsidP="00CA7F04">
            <w:pPr>
              <w:jc w:val="right"/>
              <w:rPr>
                <w:rFonts w:ascii="Arial" w:hAnsi="Arial" w:cs="Arial"/>
                <w:b/>
                <w:bCs/>
                <w:color w:val="000000"/>
                <w:sz w:val="17"/>
                <w:szCs w:val="17"/>
              </w:rPr>
            </w:pPr>
            <w:r w:rsidRPr="00F959D0">
              <w:rPr>
                <w:rFonts w:ascii="Arial" w:hAnsi="Arial" w:cs="Arial"/>
                <w:b/>
                <w:bCs/>
                <w:color w:val="000000"/>
                <w:sz w:val="17"/>
                <w:szCs w:val="17"/>
              </w:rPr>
              <w:t xml:space="preserve"> 32.146 </w:t>
            </w:r>
          </w:p>
        </w:tc>
        <w:tc>
          <w:tcPr>
            <w:tcW w:w="528" w:type="pct"/>
            <w:tcBorders>
              <w:top w:val="single" w:sz="4" w:space="0" w:color="auto"/>
              <w:left w:val="nil"/>
              <w:bottom w:val="single" w:sz="8" w:space="0" w:color="auto"/>
              <w:right w:val="nil"/>
            </w:tcBorders>
            <w:shd w:val="clear" w:color="auto" w:fill="auto"/>
            <w:vAlign w:val="bottom"/>
          </w:tcPr>
          <w:p w14:paraId="3E36C5A9" w14:textId="77777777" w:rsidR="00B637B8" w:rsidRPr="00BF22C7" w:rsidRDefault="00B637B8" w:rsidP="00CA7F04">
            <w:pPr>
              <w:jc w:val="right"/>
              <w:rPr>
                <w:rFonts w:ascii="Arial" w:hAnsi="Arial" w:cs="Arial"/>
                <w:b/>
                <w:bCs/>
                <w:color w:val="000000"/>
                <w:sz w:val="17"/>
                <w:szCs w:val="17"/>
              </w:rPr>
            </w:pPr>
            <w:r w:rsidRPr="00F959D0">
              <w:rPr>
                <w:rFonts w:ascii="Arial" w:hAnsi="Arial" w:cs="Arial"/>
                <w:b/>
                <w:bCs/>
                <w:color w:val="000000"/>
                <w:sz w:val="17"/>
                <w:szCs w:val="17"/>
              </w:rPr>
              <w:t xml:space="preserve"> 120.859 </w:t>
            </w:r>
          </w:p>
        </w:tc>
        <w:tc>
          <w:tcPr>
            <w:tcW w:w="538" w:type="pct"/>
            <w:tcBorders>
              <w:top w:val="single" w:sz="4" w:space="0" w:color="auto"/>
              <w:left w:val="nil"/>
              <w:bottom w:val="single" w:sz="8" w:space="0" w:color="auto"/>
              <w:right w:val="nil"/>
            </w:tcBorders>
            <w:shd w:val="clear" w:color="auto" w:fill="auto"/>
            <w:vAlign w:val="bottom"/>
          </w:tcPr>
          <w:p w14:paraId="5649BC0F" w14:textId="77777777" w:rsidR="00B637B8" w:rsidRPr="00BF22C7" w:rsidRDefault="00B637B8" w:rsidP="00CA7F04">
            <w:pPr>
              <w:jc w:val="right"/>
              <w:rPr>
                <w:rFonts w:ascii="Arial" w:hAnsi="Arial" w:cs="Arial"/>
                <w:b/>
                <w:bCs/>
                <w:color w:val="000000"/>
                <w:sz w:val="17"/>
                <w:szCs w:val="17"/>
              </w:rPr>
            </w:pPr>
            <w:r w:rsidRPr="00F959D0">
              <w:rPr>
                <w:rFonts w:ascii="Arial" w:hAnsi="Arial" w:cs="Arial"/>
                <w:b/>
                <w:bCs/>
                <w:color w:val="000000"/>
                <w:sz w:val="17"/>
                <w:szCs w:val="17"/>
              </w:rPr>
              <w:t xml:space="preserve"> 259.045 </w:t>
            </w:r>
          </w:p>
        </w:tc>
        <w:tc>
          <w:tcPr>
            <w:tcW w:w="623" w:type="pct"/>
            <w:tcBorders>
              <w:top w:val="single" w:sz="4" w:space="0" w:color="auto"/>
              <w:left w:val="nil"/>
              <w:bottom w:val="single" w:sz="8" w:space="0" w:color="auto"/>
              <w:right w:val="nil"/>
            </w:tcBorders>
            <w:shd w:val="clear" w:color="auto" w:fill="auto"/>
            <w:vAlign w:val="bottom"/>
          </w:tcPr>
          <w:p w14:paraId="65C07938" w14:textId="77777777" w:rsidR="00B637B8" w:rsidRPr="00BF22C7" w:rsidRDefault="00B637B8" w:rsidP="00CA7F04">
            <w:pPr>
              <w:jc w:val="right"/>
              <w:rPr>
                <w:rFonts w:ascii="Arial" w:hAnsi="Arial" w:cs="Arial"/>
                <w:b/>
                <w:bCs/>
                <w:color w:val="000000"/>
                <w:sz w:val="17"/>
                <w:szCs w:val="17"/>
              </w:rPr>
            </w:pPr>
            <w:r w:rsidRPr="00F959D0">
              <w:rPr>
                <w:rFonts w:ascii="Arial" w:hAnsi="Arial" w:cs="Arial"/>
                <w:b/>
                <w:bCs/>
                <w:color w:val="000000"/>
                <w:sz w:val="17"/>
                <w:szCs w:val="17"/>
              </w:rPr>
              <w:t xml:space="preserve"> 593.156 </w:t>
            </w:r>
          </w:p>
        </w:tc>
        <w:tc>
          <w:tcPr>
            <w:tcW w:w="593" w:type="pct"/>
            <w:tcBorders>
              <w:top w:val="single" w:sz="4" w:space="0" w:color="auto"/>
              <w:left w:val="nil"/>
              <w:bottom w:val="single" w:sz="8" w:space="0" w:color="auto"/>
              <w:right w:val="nil"/>
            </w:tcBorders>
            <w:shd w:val="clear" w:color="auto" w:fill="auto"/>
            <w:vAlign w:val="bottom"/>
          </w:tcPr>
          <w:p w14:paraId="23F73728" w14:textId="77777777" w:rsidR="00B637B8" w:rsidRPr="00BF22C7" w:rsidRDefault="00B637B8" w:rsidP="00CA7F04">
            <w:pPr>
              <w:jc w:val="right"/>
              <w:rPr>
                <w:rFonts w:ascii="Arial" w:hAnsi="Arial" w:cs="Arial"/>
                <w:b/>
                <w:bCs/>
                <w:color w:val="000000"/>
                <w:sz w:val="17"/>
                <w:szCs w:val="17"/>
              </w:rPr>
            </w:pPr>
            <w:r w:rsidRPr="00F959D0">
              <w:rPr>
                <w:rFonts w:ascii="Arial" w:hAnsi="Arial" w:cs="Arial"/>
                <w:b/>
                <w:bCs/>
                <w:color w:val="000000"/>
                <w:sz w:val="17"/>
                <w:szCs w:val="17"/>
              </w:rPr>
              <w:t xml:space="preserve"> 1.457.879 </w:t>
            </w:r>
          </w:p>
        </w:tc>
      </w:tr>
      <w:tr w:rsidR="00B637B8" w:rsidRPr="005B35F4" w14:paraId="7DFC8FD1" w14:textId="77777777" w:rsidTr="00CA7F04">
        <w:trPr>
          <w:trHeight w:val="229"/>
        </w:trPr>
        <w:tc>
          <w:tcPr>
            <w:tcW w:w="1637" w:type="pct"/>
            <w:vAlign w:val="bottom"/>
          </w:tcPr>
          <w:p w14:paraId="035A5BFC" w14:textId="77777777" w:rsidR="00B637B8" w:rsidRPr="005B35F4" w:rsidRDefault="00B637B8" w:rsidP="00CA7F04">
            <w:pPr>
              <w:pStyle w:val="Tot"/>
              <w:spacing w:line="220" w:lineRule="exact"/>
              <w:rPr>
                <w:rFonts w:eastAsia="Calibri" w:cs="Arial"/>
                <w:b/>
                <w:bCs/>
                <w:color w:val="000000" w:themeColor="text1"/>
                <w:spacing w:val="-2"/>
                <w:sz w:val="17"/>
                <w:szCs w:val="17"/>
                <w:lang w:val="hr-HR"/>
              </w:rPr>
            </w:pPr>
          </w:p>
        </w:tc>
        <w:tc>
          <w:tcPr>
            <w:tcW w:w="547" w:type="pct"/>
            <w:tcBorders>
              <w:top w:val="single" w:sz="12" w:space="0" w:color="auto"/>
              <w:left w:val="nil"/>
              <w:right w:val="nil"/>
            </w:tcBorders>
            <w:shd w:val="clear" w:color="auto" w:fill="auto"/>
            <w:vAlign w:val="bottom"/>
          </w:tcPr>
          <w:p w14:paraId="3C878E44" w14:textId="77777777" w:rsidR="00B637B8" w:rsidRPr="005B35F4" w:rsidRDefault="00B637B8" w:rsidP="00CA7F04">
            <w:pPr>
              <w:jc w:val="right"/>
              <w:rPr>
                <w:rFonts w:ascii="Arial" w:hAnsi="Arial" w:cs="Arial"/>
                <w:color w:val="000000"/>
                <w:sz w:val="17"/>
                <w:szCs w:val="17"/>
              </w:rPr>
            </w:pPr>
          </w:p>
        </w:tc>
        <w:tc>
          <w:tcPr>
            <w:tcW w:w="534" w:type="pct"/>
            <w:tcBorders>
              <w:top w:val="single" w:sz="12" w:space="0" w:color="auto"/>
              <w:left w:val="nil"/>
              <w:right w:val="nil"/>
            </w:tcBorders>
            <w:shd w:val="clear" w:color="auto" w:fill="auto"/>
            <w:vAlign w:val="bottom"/>
          </w:tcPr>
          <w:p w14:paraId="376997A0" w14:textId="77777777" w:rsidR="00B637B8" w:rsidRPr="005B35F4" w:rsidRDefault="00B637B8" w:rsidP="00CA7F04">
            <w:pPr>
              <w:jc w:val="right"/>
              <w:rPr>
                <w:rFonts w:ascii="Arial" w:hAnsi="Arial" w:cs="Arial"/>
                <w:color w:val="000000"/>
                <w:sz w:val="17"/>
                <w:szCs w:val="17"/>
              </w:rPr>
            </w:pPr>
          </w:p>
        </w:tc>
        <w:tc>
          <w:tcPr>
            <w:tcW w:w="528" w:type="pct"/>
            <w:tcBorders>
              <w:top w:val="single" w:sz="12" w:space="0" w:color="auto"/>
              <w:left w:val="nil"/>
              <w:right w:val="nil"/>
            </w:tcBorders>
            <w:shd w:val="clear" w:color="auto" w:fill="auto"/>
            <w:vAlign w:val="bottom"/>
          </w:tcPr>
          <w:p w14:paraId="68EAB58E" w14:textId="77777777" w:rsidR="00B637B8" w:rsidRPr="005B35F4" w:rsidRDefault="00B637B8" w:rsidP="00CA7F04">
            <w:pPr>
              <w:jc w:val="right"/>
              <w:rPr>
                <w:rFonts w:ascii="Arial" w:hAnsi="Arial" w:cs="Arial"/>
                <w:color w:val="000000"/>
                <w:sz w:val="17"/>
                <w:szCs w:val="17"/>
              </w:rPr>
            </w:pPr>
          </w:p>
        </w:tc>
        <w:tc>
          <w:tcPr>
            <w:tcW w:w="538" w:type="pct"/>
            <w:tcBorders>
              <w:top w:val="single" w:sz="12" w:space="0" w:color="auto"/>
              <w:left w:val="nil"/>
              <w:right w:val="nil"/>
            </w:tcBorders>
            <w:shd w:val="clear" w:color="auto" w:fill="auto"/>
            <w:vAlign w:val="bottom"/>
          </w:tcPr>
          <w:p w14:paraId="0F440006" w14:textId="77777777" w:rsidR="00B637B8" w:rsidRPr="005B35F4" w:rsidRDefault="00B637B8" w:rsidP="00CA7F04">
            <w:pPr>
              <w:jc w:val="right"/>
              <w:rPr>
                <w:rFonts w:ascii="Arial" w:hAnsi="Arial" w:cs="Arial"/>
                <w:color w:val="000000"/>
                <w:sz w:val="17"/>
                <w:szCs w:val="17"/>
              </w:rPr>
            </w:pPr>
          </w:p>
        </w:tc>
        <w:tc>
          <w:tcPr>
            <w:tcW w:w="623" w:type="pct"/>
            <w:tcBorders>
              <w:top w:val="single" w:sz="12" w:space="0" w:color="auto"/>
              <w:left w:val="nil"/>
              <w:right w:val="nil"/>
            </w:tcBorders>
            <w:shd w:val="clear" w:color="auto" w:fill="auto"/>
            <w:vAlign w:val="bottom"/>
          </w:tcPr>
          <w:p w14:paraId="3EC1AE30" w14:textId="77777777" w:rsidR="00B637B8" w:rsidRPr="005B35F4" w:rsidRDefault="00B637B8" w:rsidP="00CA7F04">
            <w:pPr>
              <w:jc w:val="right"/>
              <w:rPr>
                <w:rFonts w:ascii="Arial" w:hAnsi="Arial" w:cs="Arial"/>
                <w:color w:val="000000"/>
                <w:sz w:val="17"/>
                <w:szCs w:val="17"/>
              </w:rPr>
            </w:pPr>
          </w:p>
        </w:tc>
        <w:tc>
          <w:tcPr>
            <w:tcW w:w="593" w:type="pct"/>
            <w:tcBorders>
              <w:top w:val="single" w:sz="12" w:space="0" w:color="auto"/>
              <w:left w:val="nil"/>
              <w:right w:val="nil"/>
            </w:tcBorders>
            <w:shd w:val="clear" w:color="auto" w:fill="auto"/>
            <w:vAlign w:val="bottom"/>
          </w:tcPr>
          <w:p w14:paraId="27443045" w14:textId="77777777" w:rsidR="00B637B8" w:rsidRPr="005B35F4" w:rsidRDefault="00B637B8" w:rsidP="00CA7F04">
            <w:pPr>
              <w:jc w:val="right"/>
              <w:rPr>
                <w:rFonts w:ascii="Arial" w:hAnsi="Arial" w:cs="Arial"/>
                <w:color w:val="000000"/>
                <w:sz w:val="17"/>
                <w:szCs w:val="17"/>
              </w:rPr>
            </w:pPr>
          </w:p>
        </w:tc>
      </w:tr>
      <w:tr w:rsidR="00B637B8" w:rsidRPr="005B35F4" w14:paraId="1DC48CBD" w14:textId="77777777" w:rsidTr="00CA7F04">
        <w:trPr>
          <w:trHeight w:val="229"/>
        </w:trPr>
        <w:tc>
          <w:tcPr>
            <w:tcW w:w="1637" w:type="pct"/>
            <w:tcBorders>
              <w:top w:val="nil"/>
              <w:left w:val="nil"/>
              <w:bottom w:val="nil"/>
              <w:right w:val="nil"/>
            </w:tcBorders>
            <w:shd w:val="clear" w:color="auto" w:fill="auto"/>
            <w:vAlign w:val="center"/>
          </w:tcPr>
          <w:p w14:paraId="5D265370" w14:textId="77777777" w:rsidR="00B637B8" w:rsidRPr="005B35F4" w:rsidRDefault="00B637B8" w:rsidP="00CA7F04">
            <w:pPr>
              <w:pStyle w:val="Tot"/>
              <w:spacing w:line="220" w:lineRule="exact"/>
              <w:rPr>
                <w:rFonts w:eastAsia="Calibri" w:cs="Arial"/>
                <w:b/>
                <w:bCs/>
                <w:color w:val="000000" w:themeColor="text1"/>
                <w:spacing w:val="-2"/>
                <w:sz w:val="17"/>
                <w:szCs w:val="17"/>
                <w:lang w:val="hr-HR"/>
              </w:rPr>
            </w:pPr>
            <w:r w:rsidRPr="005B35F4">
              <w:rPr>
                <w:rFonts w:cs="Arial"/>
                <w:b/>
                <w:bCs/>
                <w:color w:val="000000" w:themeColor="text1"/>
                <w:sz w:val="17"/>
                <w:szCs w:val="17"/>
                <w:lang w:val="hr-HR"/>
              </w:rPr>
              <w:t>Garancije i preuzete obveze</w:t>
            </w:r>
          </w:p>
        </w:tc>
        <w:tc>
          <w:tcPr>
            <w:tcW w:w="547" w:type="pct"/>
            <w:tcBorders>
              <w:top w:val="nil"/>
              <w:left w:val="nil"/>
              <w:bottom w:val="nil"/>
              <w:right w:val="nil"/>
            </w:tcBorders>
            <w:shd w:val="clear" w:color="auto" w:fill="auto"/>
            <w:vAlign w:val="bottom"/>
          </w:tcPr>
          <w:p w14:paraId="225BDC1C" w14:textId="77777777" w:rsidR="00B637B8" w:rsidRPr="005B35F4" w:rsidRDefault="00B637B8" w:rsidP="00CA7F04">
            <w:pPr>
              <w:jc w:val="right"/>
              <w:rPr>
                <w:rFonts w:ascii="Arial" w:hAnsi="Arial" w:cs="Arial"/>
                <w:color w:val="000000"/>
                <w:sz w:val="17"/>
                <w:szCs w:val="17"/>
              </w:rPr>
            </w:pPr>
          </w:p>
        </w:tc>
        <w:tc>
          <w:tcPr>
            <w:tcW w:w="534" w:type="pct"/>
            <w:tcBorders>
              <w:top w:val="nil"/>
              <w:left w:val="nil"/>
              <w:bottom w:val="nil"/>
              <w:right w:val="nil"/>
            </w:tcBorders>
            <w:shd w:val="clear" w:color="auto" w:fill="auto"/>
            <w:vAlign w:val="bottom"/>
          </w:tcPr>
          <w:p w14:paraId="3917F1A5" w14:textId="77777777" w:rsidR="00B637B8" w:rsidRPr="005B35F4" w:rsidRDefault="00B637B8" w:rsidP="00CA7F04">
            <w:pPr>
              <w:jc w:val="right"/>
              <w:rPr>
                <w:rFonts w:ascii="Arial" w:hAnsi="Arial" w:cs="Arial"/>
                <w:color w:val="000000"/>
                <w:sz w:val="17"/>
                <w:szCs w:val="17"/>
              </w:rPr>
            </w:pPr>
          </w:p>
        </w:tc>
        <w:tc>
          <w:tcPr>
            <w:tcW w:w="528" w:type="pct"/>
            <w:tcBorders>
              <w:top w:val="nil"/>
              <w:left w:val="nil"/>
              <w:bottom w:val="nil"/>
              <w:right w:val="nil"/>
            </w:tcBorders>
            <w:shd w:val="clear" w:color="auto" w:fill="auto"/>
            <w:vAlign w:val="bottom"/>
          </w:tcPr>
          <w:p w14:paraId="669E07C1" w14:textId="77777777" w:rsidR="00B637B8" w:rsidRPr="005B35F4" w:rsidRDefault="00B637B8" w:rsidP="00CA7F04">
            <w:pPr>
              <w:jc w:val="right"/>
              <w:rPr>
                <w:rFonts w:ascii="Arial" w:hAnsi="Arial" w:cs="Arial"/>
                <w:color w:val="000000"/>
                <w:sz w:val="17"/>
                <w:szCs w:val="17"/>
              </w:rPr>
            </w:pPr>
          </w:p>
        </w:tc>
        <w:tc>
          <w:tcPr>
            <w:tcW w:w="538" w:type="pct"/>
            <w:tcBorders>
              <w:top w:val="nil"/>
              <w:left w:val="nil"/>
              <w:bottom w:val="nil"/>
              <w:right w:val="nil"/>
            </w:tcBorders>
            <w:shd w:val="clear" w:color="auto" w:fill="auto"/>
            <w:vAlign w:val="bottom"/>
          </w:tcPr>
          <w:p w14:paraId="579C5586" w14:textId="77777777" w:rsidR="00B637B8" w:rsidRPr="005B35F4" w:rsidRDefault="00B637B8" w:rsidP="00CA7F04">
            <w:pPr>
              <w:jc w:val="right"/>
              <w:rPr>
                <w:rFonts w:ascii="Arial" w:hAnsi="Arial" w:cs="Arial"/>
                <w:color w:val="000000"/>
                <w:sz w:val="17"/>
                <w:szCs w:val="17"/>
              </w:rPr>
            </w:pPr>
          </w:p>
        </w:tc>
        <w:tc>
          <w:tcPr>
            <w:tcW w:w="623" w:type="pct"/>
            <w:tcBorders>
              <w:top w:val="nil"/>
              <w:left w:val="nil"/>
              <w:bottom w:val="nil"/>
              <w:right w:val="nil"/>
            </w:tcBorders>
            <w:shd w:val="clear" w:color="auto" w:fill="auto"/>
            <w:vAlign w:val="bottom"/>
          </w:tcPr>
          <w:p w14:paraId="2389CA6D" w14:textId="77777777" w:rsidR="00B637B8" w:rsidRPr="005B35F4" w:rsidRDefault="00B637B8" w:rsidP="00CA7F04">
            <w:pPr>
              <w:jc w:val="right"/>
              <w:rPr>
                <w:rFonts w:ascii="Arial" w:hAnsi="Arial" w:cs="Arial"/>
                <w:color w:val="000000"/>
                <w:sz w:val="17"/>
                <w:szCs w:val="17"/>
              </w:rPr>
            </w:pPr>
          </w:p>
        </w:tc>
        <w:tc>
          <w:tcPr>
            <w:tcW w:w="593" w:type="pct"/>
            <w:tcBorders>
              <w:top w:val="nil"/>
              <w:left w:val="nil"/>
              <w:bottom w:val="nil"/>
              <w:right w:val="nil"/>
            </w:tcBorders>
            <w:shd w:val="clear" w:color="auto" w:fill="auto"/>
            <w:vAlign w:val="bottom"/>
          </w:tcPr>
          <w:p w14:paraId="78277BC8" w14:textId="77777777" w:rsidR="00B637B8" w:rsidRPr="005B35F4" w:rsidRDefault="00B637B8" w:rsidP="00CA7F04">
            <w:pPr>
              <w:jc w:val="right"/>
              <w:rPr>
                <w:rFonts w:ascii="Arial" w:hAnsi="Arial" w:cs="Arial"/>
                <w:color w:val="000000"/>
                <w:sz w:val="17"/>
                <w:szCs w:val="17"/>
              </w:rPr>
            </w:pPr>
          </w:p>
        </w:tc>
      </w:tr>
      <w:tr w:rsidR="00B637B8" w:rsidRPr="005B35F4" w14:paraId="757B9734" w14:textId="77777777" w:rsidTr="00CA7F04">
        <w:trPr>
          <w:trHeight w:val="229"/>
        </w:trPr>
        <w:tc>
          <w:tcPr>
            <w:tcW w:w="1637" w:type="pct"/>
            <w:tcBorders>
              <w:top w:val="nil"/>
              <w:left w:val="nil"/>
              <w:bottom w:val="nil"/>
              <w:right w:val="nil"/>
            </w:tcBorders>
            <w:shd w:val="clear" w:color="auto" w:fill="auto"/>
            <w:vAlign w:val="center"/>
          </w:tcPr>
          <w:p w14:paraId="1857E37D" w14:textId="77777777" w:rsidR="00B637B8" w:rsidRPr="005B35F4" w:rsidRDefault="00B637B8" w:rsidP="00CA7F04">
            <w:pPr>
              <w:pStyle w:val="Tot"/>
              <w:spacing w:line="220" w:lineRule="exact"/>
              <w:rPr>
                <w:rFonts w:eastAsia="Calibri" w:cs="Arial"/>
                <w:b/>
                <w:bCs/>
                <w:color w:val="000000" w:themeColor="text1"/>
                <w:spacing w:val="-2"/>
                <w:sz w:val="17"/>
                <w:szCs w:val="17"/>
                <w:lang w:val="hr-HR"/>
              </w:rPr>
            </w:pPr>
            <w:r w:rsidRPr="005B35F4">
              <w:rPr>
                <w:rFonts w:cs="Arial"/>
                <w:color w:val="000000" w:themeColor="text1"/>
                <w:sz w:val="17"/>
                <w:szCs w:val="17"/>
                <w:lang w:val="hr-HR"/>
              </w:rPr>
              <w:t xml:space="preserve">Izdane garancije </w:t>
            </w:r>
          </w:p>
        </w:tc>
        <w:tc>
          <w:tcPr>
            <w:tcW w:w="547" w:type="pct"/>
            <w:tcBorders>
              <w:top w:val="nil"/>
              <w:left w:val="nil"/>
              <w:bottom w:val="nil"/>
              <w:right w:val="nil"/>
            </w:tcBorders>
            <w:shd w:val="clear" w:color="auto" w:fill="auto"/>
            <w:vAlign w:val="bottom"/>
          </w:tcPr>
          <w:p w14:paraId="7EBEE80E" w14:textId="77777777" w:rsidR="00B637B8" w:rsidRPr="005B35F4" w:rsidRDefault="00B637B8" w:rsidP="00CA7F04">
            <w:pPr>
              <w:jc w:val="right"/>
              <w:rPr>
                <w:rFonts w:ascii="Arial" w:hAnsi="Arial" w:cs="Arial"/>
                <w:color w:val="000000"/>
                <w:sz w:val="17"/>
                <w:szCs w:val="17"/>
              </w:rPr>
            </w:pPr>
            <w:r w:rsidRPr="00F84C24">
              <w:rPr>
                <w:rFonts w:ascii="Arial" w:hAnsi="Arial" w:cs="Arial"/>
                <w:color w:val="000000"/>
                <w:sz w:val="17"/>
                <w:szCs w:val="17"/>
              </w:rPr>
              <w:t xml:space="preserve"> 52.623 </w:t>
            </w:r>
          </w:p>
        </w:tc>
        <w:tc>
          <w:tcPr>
            <w:tcW w:w="534" w:type="pct"/>
            <w:tcBorders>
              <w:top w:val="nil"/>
              <w:left w:val="nil"/>
              <w:bottom w:val="nil"/>
              <w:right w:val="nil"/>
            </w:tcBorders>
            <w:shd w:val="clear" w:color="auto" w:fill="auto"/>
            <w:vAlign w:val="bottom"/>
          </w:tcPr>
          <w:p w14:paraId="7CD96362" w14:textId="77777777" w:rsidR="00B637B8" w:rsidRPr="005B35F4" w:rsidRDefault="00B637B8" w:rsidP="00CA7F04">
            <w:pPr>
              <w:jc w:val="right"/>
              <w:rPr>
                <w:rFonts w:ascii="Arial" w:hAnsi="Arial" w:cs="Arial"/>
                <w:color w:val="000000"/>
                <w:sz w:val="17"/>
                <w:szCs w:val="17"/>
              </w:rPr>
            </w:pPr>
            <w:r w:rsidRPr="00F84C24">
              <w:rPr>
                <w:rFonts w:ascii="Arial"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3AC6A202" w14:textId="77777777" w:rsidR="00B637B8" w:rsidRPr="005B35F4" w:rsidRDefault="00B637B8" w:rsidP="00CA7F04">
            <w:pPr>
              <w:jc w:val="right"/>
              <w:rPr>
                <w:rFonts w:ascii="Arial" w:hAnsi="Arial" w:cs="Arial"/>
                <w:color w:val="000000"/>
                <w:sz w:val="17"/>
                <w:szCs w:val="17"/>
              </w:rPr>
            </w:pPr>
            <w:r w:rsidRPr="00F84C24">
              <w:rPr>
                <w:rFonts w:ascii="Arial"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714206DB" w14:textId="77777777" w:rsidR="00B637B8" w:rsidRPr="005B35F4" w:rsidRDefault="00B637B8" w:rsidP="00CA7F04">
            <w:pPr>
              <w:jc w:val="right"/>
              <w:rPr>
                <w:rFonts w:ascii="Arial" w:hAnsi="Arial" w:cs="Arial"/>
                <w:color w:val="000000"/>
                <w:sz w:val="17"/>
                <w:szCs w:val="17"/>
              </w:rPr>
            </w:pPr>
            <w:r w:rsidRPr="00F84C24">
              <w:rPr>
                <w:rFonts w:ascii="Arial"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0D0E017D" w14:textId="77777777" w:rsidR="00B637B8" w:rsidRPr="005B35F4" w:rsidRDefault="00B637B8" w:rsidP="00CA7F04">
            <w:pPr>
              <w:jc w:val="right"/>
              <w:rPr>
                <w:rFonts w:ascii="Arial" w:hAnsi="Arial" w:cs="Arial"/>
                <w:color w:val="000000"/>
                <w:sz w:val="17"/>
                <w:szCs w:val="17"/>
              </w:rPr>
            </w:pPr>
            <w:r w:rsidRPr="00F84C24">
              <w:rPr>
                <w:rFonts w:ascii="Arial" w:hAnsi="Arial" w:cs="Arial"/>
                <w:color w:val="000000"/>
                <w:sz w:val="17"/>
                <w:szCs w:val="17"/>
              </w:rPr>
              <w:t xml:space="preserve"> - </w:t>
            </w:r>
          </w:p>
        </w:tc>
        <w:tc>
          <w:tcPr>
            <w:tcW w:w="593" w:type="pct"/>
            <w:tcBorders>
              <w:top w:val="nil"/>
              <w:left w:val="nil"/>
              <w:bottom w:val="nil"/>
              <w:right w:val="nil"/>
            </w:tcBorders>
            <w:shd w:val="clear" w:color="auto" w:fill="auto"/>
            <w:vAlign w:val="bottom"/>
          </w:tcPr>
          <w:p w14:paraId="6D5BCAAF" w14:textId="77777777" w:rsidR="00B637B8" w:rsidRPr="005B35F4" w:rsidRDefault="00B637B8" w:rsidP="00CA7F04">
            <w:pPr>
              <w:jc w:val="right"/>
              <w:rPr>
                <w:rFonts w:ascii="Arial" w:hAnsi="Arial" w:cs="Arial"/>
                <w:color w:val="000000"/>
                <w:sz w:val="17"/>
                <w:szCs w:val="17"/>
              </w:rPr>
            </w:pPr>
            <w:r w:rsidRPr="00F84C24">
              <w:rPr>
                <w:rFonts w:ascii="Arial" w:hAnsi="Arial" w:cs="Arial"/>
                <w:color w:val="000000"/>
                <w:sz w:val="17"/>
                <w:szCs w:val="17"/>
              </w:rPr>
              <w:t xml:space="preserve"> 52.623 </w:t>
            </w:r>
          </w:p>
        </w:tc>
      </w:tr>
      <w:tr w:rsidR="00B637B8" w:rsidRPr="005B35F4" w14:paraId="23C44D1D" w14:textId="77777777" w:rsidTr="00CA7F04">
        <w:trPr>
          <w:trHeight w:val="229"/>
        </w:trPr>
        <w:tc>
          <w:tcPr>
            <w:tcW w:w="1637" w:type="pct"/>
            <w:tcBorders>
              <w:top w:val="nil"/>
              <w:left w:val="nil"/>
              <w:bottom w:val="nil"/>
              <w:right w:val="nil"/>
            </w:tcBorders>
            <w:shd w:val="clear" w:color="auto" w:fill="auto"/>
            <w:vAlign w:val="center"/>
          </w:tcPr>
          <w:p w14:paraId="21649B01" w14:textId="77777777" w:rsidR="00B637B8" w:rsidRPr="005B35F4" w:rsidRDefault="00B637B8" w:rsidP="00CA7F04">
            <w:pPr>
              <w:pStyle w:val="Tot"/>
              <w:spacing w:line="220" w:lineRule="exact"/>
              <w:rPr>
                <w:rFonts w:eastAsia="Calibri" w:cs="Arial"/>
                <w:b/>
                <w:bCs/>
                <w:color w:val="000000" w:themeColor="text1"/>
                <w:spacing w:val="-2"/>
                <w:sz w:val="17"/>
                <w:szCs w:val="17"/>
                <w:lang w:val="hr-HR"/>
              </w:rPr>
            </w:pPr>
            <w:r w:rsidRPr="005B35F4">
              <w:rPr>
                <w:rFonts w:cs="Arial"/>
                <w:color w:val="000000" w:themeColor="text1"/>
                <w:sz w:val="17"/>
                <w:szCs w:val="17"/>
                <w:lang w:val="hr-HR"/>
              </w:rPr>
              <w:t>Izdane garancije u devizama</w:t>
            </w:r>
          </w:p>
        </w:tc>
        <w:tc>
          <w:tcPr>
            <w:tcW w:w="547" w:type="pct"/>
            <w:tcBorders>
              <w:top w:val="nil"/>
              <w:left w:val="nil"/>
              <w:bottom w:val="nil"/>
              <w:right w:val="nil"/>
            </w:tcBorders>
            <w:shd w:val="clear" w:color="auto" w:fill="auto"/>
            <w:vAlign w:val="bottom"/>
          </w:tcPr>
          <w:p w14:paraId="2B9B4B9B" w14:textId="77777777" w:rsidR="00B637B8" w:rsidRPr="005B35F4" w:rsidRDefault="00B637B8" w:rsidP="00CA7F04">
            <w:pPr>
              <w:jc w:val="right"/>
              <w:rPr>
                <w:rFonts w:ascii="Arial" w:hAnsi="Arial" w:cs="Arial"/>
                <w:color w:val="000000"/>
                <w:sz w:val="17"/>
                <w:szCs w:val="17"/>
              </w:rPr>
            </w:pPr>
            <w:r w:rsidRPr="00F84C24">
              <w:rPr>
                <w:rFonts w:ascii="Arial" w:hAnsi="Arial" w:cs="Arial"/>
                <w:color w:val="000000"/>
                <w:sz w:val="17"/>
                <w:szCs w:val="17"/>
              </w:rPr>
              <w:t xml:space="preserve"> 7.716 </w:t>
            </w:r>
          </w:p>
        </w:tc>
        <w:tc>
          <w:tcPr>
            <w:tcW w:w="534" w:type="pct"/>
            <w:tcBorders>
              <w:top w:val="nil"/>
              <w:left w:val="nil"/>
              <w:bottom w:val="nil"/>
              <w:right w:val="nil"/>
            </w:tcBorders>
            <w:shd w:val="clear" w:color="auto" w:fill="auto"/>
            <w:vAlign w:val="bottom"/>
          </w:tcPr>
          <w:p w14:paraId="7FB055C4" w14:textId="77777777" w:rsidR="00B637B8" w:rsidRPr="005B35F4" w:rsidRDefault="00B637B8" w:rsidP="00CA7F04">
            <w:pPr>
              <w:jc w:val="right"/>
              <w:rPr>
                <w:rFonts w:ascii="Arial" w:hAnsi="Arial" w:cs="Arial"/>
                <w:color w:val="000000"/>
                <w:sz w:val="17"/>
                <w:szCs w:val="17"/>
              </w:rPr>
            </w:pPr>
            <w:r w:rsidRPr="00F84C24">
              <w:rPr>
                <w:rFonts w:ascii="Arial"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2AD745F4" w14:textId="77777777" w:rsidR="00B637B8" w:rsidRPr="005B35F4" w:rsidRDefault="00B637B8" w:rsidP="00CA7F04">
            <w:pPr>
              <w:jc w:val="right"/>
              <w:rPr>
                <w:rFonts w:ascii="Arial" w:hAnsi="Arial" w:cs="Arial"/>
                <w:color w:val="000000"/>
                <w:sz w:val="17"/>
                <w:szCs w:val="17"/>
              </w:rPr>
            </w:pPr>
            <w:r w:rsidRPr="00F84C24">
              <w:rPr>
                <w:rFonts w:ascii="Arial"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1FA35DF6" w14:textId="77777777" w:rsidR="00B637B8" w:rsidRPr="005B35F4" w:rsidRDefault="00B637B8" w:rsidP="00CA7F04">
            <w:pPr>
              <w:jc w:val="right"/>
              <w:rPr>
                <w:rFonts w:ascii="Arial" w:hAnsi="Arial" w:cs="Arial"/>
                <w:color w:val="000000"/>
                <w:sz w:val="17"/>
                <w:szCs w:val="17"/>
              </w:rPr>
            </w:pPr>
            <w:r w:rsidRPr="00F84C24">
              <w:rPr>
                <w:rFonts w:ascii="Arial"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5958624F" w14:textId="77777777" w:rsidR="00B637B8" w:rsidRPr="005B35F4" w:rsidRDefault="00B637B8" w:rsidP="00CA7F04">
            <w:pPr>
              <w:jc w:val="right"/>
              <w:rPr>
                <w:rFonts w:ascii="Arial" w:hAnsi="Arial" w:cs="Arial"/>
                <w:color w:val="000000"/>
                <w:sz w:val="17"/>
                <w:szCs w:val="17"/>
              </w:rPr>
            </w:pPr>
            <w:r w:rsidRPr="00F84C24">
              <w:rPr>
                <w:rFonts w:ascii="Arial" w:hAnsi="Arial" w:cs="Arial"/>
                <w:color w:val="000000"/>
                <w:sz w:val="17"/>
                <w:szCs w:val="17"/>
              </w:rPr>
              <w:t xml:space="preserve"> - </w:t>
            </w:r>
          </w:p>
        </w:tc>
        <w:tc>
          <w:tcPr>
            <w:tcW w:w="593" w:type="pct"/>
            <w:tcBorders>
              <w:top w:val="nil"/>
              <w:left w:val="nil"/>
              <w:bottom w:val="nil"/>
              <w:right w:val="nil"/>
            </w:tcBorders>
            <w:shd w:val="clear" w:color="auto" w:fill="auto"/>
            <w:vAlign w:val="bottom"/>
          </w:tcPr>
          <w:p w14:paraId="2EC05687" w14:textId="77777777" w:rsidR="00B637B8" w:rsidRPr="005B35F4" w:rsidRDefault="00B637B8" w:rsidP="00CA7F04">
            <w:pPr>
              <w:jc w:val="right"/>
              <w:rPr>
                <w:rFonts w:ascii="Arial" w:hAnsi="Arial" w:cs="Arial"/>
                <w:color w:val="000000"/>
                <w:sz w:val="17"/>
                <w:szCs w:val="17"/>
              </w:rPr>
            </w:pPr>
            <w:r w:rsidRPr="00F84C24">
              <w:rPr>
                <w:rFonts w:ascii="Arial" w:hAnsi="Arial" w:cs="Arial"/>
                <w:color w:val="000000"/>
                <w:sz w:val="17"/>
                <w:szCs w:val="17"/>
              </w:rPr>
              <w:t xml:space="preserve"> 7.716 </w:t>
            </w:r>
          </w:p>
        </w:tc>
      </w:tr>
      <w:tr w:rsidR="00B637B8" w:rsidRPr="005B35F4" w14:paraId="73B34D7E" w14:textId="77777777" w:rsidTr="00CA7F04">
        <w:trPr>
          <w:trHeight w:val="229"/>
        </w:trPr>
        <w:tc>
          <w:tcPr>
            <w:tcW w:w="1637" w:type="pct"/>
            <w:tcBorders>
              <w:top w:val="nil"/>
              <w:left w:val="nil"/>
              <w:bottom w:val="nil"/>
              <w:right w:val="nil"/>
            </w:tcBorders>
            <w:shd w:val="clear" w:color="auto" w:fill="auto"/>
            <w:vAlign w:val="center"/>
          </w:tcPr>
          <w:p w14:paraId="3CCF23BB" w14:textId="77777777" w:rsidR="00B637B8" w:rsidRPr="005B35F4" w:rsidRDefault="00B637B8" w:rsidP="00CA7F04">
            <w:pPr>
              <w:pStyle w:val="Tot"/>
              <w:spacing w:line="220" w:lineRule="exact"/>
              <w:rPr>
                <w:rFonts w:eastAsia="Calibri" w:cs="Arial"/>
                <w:b/>
                <w:bCs/>
                <w:color w:val="000000" w:themeColor="text1"/>
                <w:spacing w:val="-2"/>
                <w:sz w:val="17"/>
                <w:szCs w:val="17"/>
                <w:lang w:val="hr-HR"/>
              </w:rPr>
            </w:pPr>
            <w:r w:rsidRPr="005B35F4">
              <w:rPr>
                <w:rFonts w:cs="Arial"/>
                <w:color w:val="000000" w:themeColor="text1"/>
                <w:sz w:val="17"/>
                <w:szCs w:val="17"/>
                <w:lang w:val="hr-HR"/>
              </w:rPr>
              <w:t>Preuzete obveze po kreditima</w:t>
            </w:r>
          </w:p>
        </w:tc>
        <w:tc>
          <w:tcPr>
            <w:tcW w:w="547" w:type="pct"/>
            <w:tcBorders>
              <w:top w:val="nil"/>
              <w:left w:val="nil"/>
              <w:bottom w:val="nil"/>
              <w:right w:val="nil"/>
            </w:tcBorders>
            <w:shd w:val="clear" w:color="auto" w:fill="auto"/>
            <w:vAlign w:val="bottom"/>
          </w:tcPr>
          <w:p w14:paraId="719AA0BC" w14:textId="77777777" w:rsidR="00B637B8" w:rsidRPr="005B35F4" w:rsidRDefault="00B637B8" w:rsidP="00CA7F04">
            <w:pPr>
              <w:jc w:val="right"/>
              <w:rPr>
                <w:rFonts w:ascii="Arial" w:hAnsi="Arial" w:cs="Arial"/>
                <w:color w:val="000000"/>
                <w:sz w:val="17"/>
                <w:szCs w:val="17"/>
              </w:rPr>
            </w:pPr>
            <w:r w:rsidRPr="00F84C24">
              <w:rPr>
                <w:rFonts w:ascii="Arial" w:hAnsi="Arial" w:cs="Arial"/>
                <w:color w:val="000000"/>
                <w:sz w:val="17"/>
                <w:szCs w:val="17"/>
              </w:rPr>
              <w:t xml:space="preserve"> 445.273 </w:t>
            </w:r>
          </w:p>
        </w:tc>
        <w:tc>
          <w:tcPr>
            <w:tcW w:w="534" w:type="pct"/>
            <w:tcBorders>
              <w:top w:val="nil"/>
              <w:left w:val="nil"/>
              <w:bottom w:val="nil"/>
              <w:right w:val="nil"/>
            </w:tcBorders>
            <w:shd w:val="clear" w:color="auto" w:fill="auto"/>
            <w:vAlign w:val="bottom"/>
          </w:tcPr>
          <w:p w14:paraId="54154A66" w14:textId="77777777" w:rsidR="00B637B8" w:rsidRPr="005B35F4" w:rsidRDefault="00B637B8" w:rsidP="00CA7F04">
            <w:pPr>
              <w:jc w:val="right"/>
              <w:rPr>
                <w:rFonts w:ascii="Arial" w:hAnsi="Arial" w:cs="Arial"/>
                <w:color w:val="000000"/>
                <w:sz w:val="17"/>
                <w:szCs w:val="17"/>
              </w:rPr>
            </w:pPr>
            <w:r w:rsidRPr="00F84C24">
              <w:rPr>
                <w:rFonts w:ascii="Arial"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4FD41FDE" w14:textId="77777777" w:rsidR="00B637B8" w:rsidRPr="005B35F4" w:rsidRDefault="00B637B8" w:rsidP="00CA7F04">
            <w:pPr>
              <w:jc w:val="right"/>
              <w:rPr>
                <w:rFonts w:ascii="Arial" w:hAnsi="Arial" w:cs="Arial"/>
                <w:color w:val="000000"/>
                <w:sz w:val="17"/>
                <w:szCs w:val="17"/>
              </w:rPr>
            </w:pPr>
            <w:r w:rsidRPr="00F84C24">
              <w:rPr>
                <w:rFonts w:ascii="Arial"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17D7684F" w14:textId="77777777" w:rsidR="00B637B8" w:rsidRPr="005B35F4" w:rsidRDefault="00B637B8" w:rsidP="00CA7F04">
            <w:pPr>
              <w:jc w:val="right"/>
              <w:rPr>
                <w:rFonts w:ascii="Arial" w:hAnsi="Arial" w:cs="Arial"/>
                <w:color w:val="000000"/>
                <w:sz w:val="17"/>
                <w:szCs w:val="17"/>
              </w:rPr>
            </w:pPr>
            <w:r w:rsidRPr="00F84C24">
              <w:rPr>
                <w:rFonts w:ascii="Arial"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3DC95E50" w14:textId="77777777" w:rsidR="00B637B8" w:rsidRPr="005B35F4" w:rsidRDefault="00B637B8" w:rsidP="00CA7F04">
            <w:pPr>
              <w:jc w:val="right"/>
              <w:rPr>
                <w:rFonts w:ascii="Arial" w:hAnsi="Arial" w:cs="Arial"/>
                <w:color w:val="000000"/>
                <w:sz w:val="17"/>
                <w:szCs w:val="17"/>
              </w:rPr>
            </w:pPr>
            <w:r w:rsidRPr="00F84C24">
              <w:rPr>
                <w:rFonts w:ascii="Arial" w:hAnsi="Arial" w:cs="Arial"/>
                <w:color w:val="000000"/>
                <w:sz w:val="17"/>
                <w:szCs w:val="17"/>
              </w:rPr>
              <w:t xml:space="preserve"> - </w:t>
            </w:r>
          </w:p>
        </w:tc>
        <w:tc>
          <w:tcPr>
            <w:tcW w:w="593" w:type="pct"/>
            <w:tcBorders>
              <w:top w:val="nil"/>
              <w:left w:val="nil"/>
              <w:bottom w:val="nil"/>
              <w:right w:val="nil"/>
            </w:tcBorders>
            <w:shd w:val="clear" w:color="auto" w:fill="auto"/>
            <w:vAlign w:val="bottom"/>
          </w:tcPr>
          <w:p w14:paraId="71340511" w14:textId="77777777" w:rsidR="00B637B8" w:rsidRPr="005B35F4" w:rsidRDefault="00B637B8" w:rsidP="00CA7F04">
            <w:pPr>
              <w:jc w:val="right"/>
              <w:rPr>
                <w:rFonts w:ascii="Arial" w:hAnsi="Arial" w:cs="Arial"/>
                <w:color w:val="000000"/>
                <w:sz w:val="17"/>
                <w:szCs w:val="17"/>
              </w:rPr>
            </w:pPr>
            <w:r w:rsidRPr="00F84C24">
              <w:rPr>
                <w:rFonts w:ascii="Arial" w:hAnsi="Arial" w:cs="Arial"/>
                <w:color w:val="000000"/>
                <w:sz w:val="17"/>
                <w:szCs w:val="17"/>
              </w:rPr>
              <w:t xml:space="preserve"> 445.273 </w:t>
            </w:r>
          </w:p>
        </w:tc>
      </w:tr>
      <w:tr w:rsidR="00B637B8" w:rsidRPr="005B35F4" w14:paraId="5ADDC691" w14:textId="77777777" w:rsidTr="00CA7F04">
        <w:trPr>
          <w:trHeight w:val="229"/>
        </w:trPr>
        <w:tc>
          <w:tcPr>
            <w:tcW w:w="1637" w:type="pct"/>
            <w:tcBorders>
              <w:top w:val="nil"/>
              <w:left w:val="nil"/>
              <w:bottom w:val="nil"/>
              <w:right w:val="nil"/>
            </w:tcBorders>
            <w:shd w:val="clear" w:color="auto" w:fill="auto"/>
            <w:vAlign w:val="bottom"/>
          </w:tcPr>
          <w:p w14:paraId="40B0BF67" w14:textId="77777777" w:rsidR="00B637B8" w:rsidRPr="005B35F4" w:rsidRDefault="00B637B8" w:rsidP="00CA7F04">
            <w:pPr>
              <w:pStyle w:val="Tot"/>
              <w:spacing w:line="220" w:lineRule="exact"/>
              <w:rPr>
                <w:rFonts w:cs="Arial"/>
                <w:color w:val="000000" w:themeColor="text1"/>
                <w:sz w:val="17"/>
                <w:szCs w:val="17"/>
                <w:lang w:val="hr-HR"/>
              </w:rPr>
            </w:pPr>
            <w:r w:rsidRPr="005B35F4">
              <w:rPr>
                <w:rFonts w:cs="Arial"/>
                <w:color w:val="000000" w:themeColor="text1"/>
                <w:sz w:val="17"/>
                <w:szCs w:val="17"/>
                <w:lang w:val="hr-HR"/>
              </w:rPr>
              <w:t>Upisani a neuplaćeni kapital EIF-a</w:t>
            </w:r>
          </w:p>
        </w:tc>
        <w:tc>
          <w:tcPr>
            <w:tcW w:w="547" w:type="pct"/>
            <w:tcBorders>
              <w:top w:val="nil"/>
              <w:left w:val="nil"/>
              <w:bottom w:val="nil"/>
              <w:right w:val="nil"/>
            </w:tcBorders>
            <w:shd w:val="clear" w:color="auto" w:fill="auto"/>
            <w:vAlign w:val="bottom"/>
          </w:tcPr>
          <w:p w14:paraId="57ABAA28" w14:textId="77777777" w:rsidR="00B637B8" w:rsidRPr="005B35F4" w:rsidRDefault="00B637B8" w:rsidP="00CA7F04">
            <w:pPr>
              <w:jc w:val="right"/>
              <w:rPr>
                <w:rFonts w:ascii="Arial" w:hAnsi="Arial" w:cs="Arial"/>
                <w:color w:val="000000"/>
                <w:sz w:val="17"/>
                <w:szCs w:val="17"/>
              </w:rPr>
            </w:pPr>
            <w:r w:rsidRPr="00F84C24">
              <w:rPr>
                <w:rFonts w:ascii="Arial" w:hAnsi="Arial" w:cs="Arial"/>
                <w:color w:val="000000"/>
                <w:sz w:val="17"/>
                <w:szCs w:val="17"/>
              </w:rPr>
              <w:t xml:space="preserve"> 10.400 </w:t>
            </w:r>
          </w:p>
        </w:tc>
        <w:tc>
          <w:tcPr>
            <w:tcW w:w="534" w:type="pct"/>
            <w:tcBorders>
              <w:top w:val="nil"/>
              <w:left w:val="nil"/>
              <w:bottom w:val="nil"/>
              <w:right w:val="nil"/>
            </w:tcBorders>
            <w:shd w:val="clear" w:color="auto" w:fill="auto"/>
            <w:vAlign w:val="bottom"/>
          </w:tcPr>
          <w:p w14:paraId="6FABB544" w14:textId="77777777" w:rsidR="00B637B8" w:rsidRPr="005B35F4" w:rsidRDefault="00B637B8" w:rsidP="00CA7F04">
            <w:pPr>
              <w:jc w:val="right"/>
              <w:rPr>
                <w:rFonts w:ascii="Arial" w:hAnsi="Arial" w:cs="Arial"/>
                <w:color w:val="000000"/>
                <w:sz w:val="17"/>
                <w:szCs w:val="17"/>
              </w:rPr>
            </w:pPr>
            <w:r w:rsidRPr="00F84C24">
              <w:rPr>
                <w:rFonts w:ascii="Arial" w:hAnsi="Arial" w:cs="Arial"/>
                <w:color w:val="000000"/>
                <w:sz w:val="17"/>
                <w:szCs w:val="17"/>
              </w:rPr>
              <w:t xml:space="preserve"> - </w:t>
            </w:r>
          </w:p>
        </w:tc>
        <w:tc>
          <w:tcPr>
            <w:tcW w:w="528" w:type="pct"/>
            <w:tcBorders>
              <w:top w:val="nil"/>
              <w:left w:val="nil"/>
              <w:bottom w:val="nil"/>
              <w:right w:val="nil"/>
            </w:tcBorders>
            <w:shd w:val="clear" w:color="auto" w:fill="auto"/>
            <w:vAlign w:val="bottom"/>
          </w:tcPr>
          <w:p w14:paraId="2955F1C2" w14:textId="77777777" w:rsidR="00B637B8" w:rsidRPr="005B35F4" w:rsidRDefault="00B637B8" w:rsidP="00CA7F04">
            <w:pPr>
              <w:jc w:val="right"/>
              <w:rPr>
                <w:rFonts w:ascii="Arial" w:hAnsi="Arial" w:cs="Arial"/>
                <w:color w:val="000000"/>
                <w:sz w:val="17"/>
                <w:szCs w:val="17"/>
              </w:rPr>
            </w:pPr>
            <w:r w:rsidRPr="00F84C24">
              <w:rPr>
                <w:rFonts w:ascii="Arial" w:hAnsi="Arial" w:cs="Arial"/>
                <w:color w:val="000000"/>
                <w:sz w:val="17"/>
                <w:szCs w:val="17"/>
              </w:rPr>
              <w:t xml:space="preserve"> - </w:t>
            </w:r>
          </w:p>
        </w:tc>
        <w:tc>
          <w:tcPr>
            <w:tcW w:w="538" w:type="pct"/>
            <w:tcBorders>
              <w:top w:val="nil"/>
              <w:left w:val="nil"/>
              <w:bottom w:val="nil"/>
              <w:right w:val="nil"/>
            </w:tcBorders>
            <w:shd w:val="clear" w:color="auto" w:fill="auto"/>
            <w:vAlign w:val="bottom"/>
          </w:tcPr>
          <w:p w14:paraId="61286349" w14:textId="77777777" w:rsidR="00B637B8" w:rsidRPr="005B35F4" w:rsidRDefault="00B637B8" w:rsidP="00CA7F04">
            <w:pPr>
              <w:jc w:val="right"/>
              <w:rPr>
                <w:rFonts w:ascii="Arial" w:hAnsi="Arial" w:cs="Arial"/>
                <w:color w:val="000000"/>
                <w:sz w:val="17"/>
                <w:szCs w:val="17"/>
              </w:rPr>
            </w:pPr>
            <w:r w:rsidRPr="00F84C24">
              <w:rPr>
                <w:rFonts w:ascii="Arial" w:hAnsi="Arial" w:cs="Arial"/>
                <w:color w:val="000000"/>
                <w:sz w:val="17"/>
                <w:szCs w:val="17"/>
              </w:rPr>
              <w:t xml:space="preserve"> - </w:t>
            </w:r>
          </w:p>
        </w:tc>
        <w:tc>
          <w:tcPr>
            <w:tcW w:w="623" w:type="pct"/>
            <w:tcBorders>
              <w:top w:val="nil"/>
              <w:left w:val="nil"/>
              <w:bottom w:val="nil"/>
              <w:right w:val="nil"/>
            </w:tcBorders>
            <w:shd w:val="clear" w:color="auto" w:fill="auto"/>
            <w:vAlign w:val="bottom"/>
          </w:tcPr>
          <w:p w14:paraId="6575D01E" w14:textId="77777777" w:rsidR="00B637B8" w:rsidRPr="005B35F4" w:rsidRDefault="00B637B8" w:rsidP="00CA7F04">
            <w:pPr>
              <w:jc w:val="right"/>
              <w:rPr>
                <w:rFonts w:ascii="Arial" w:hAnsi="Arial" w:cs="Arial"/>
                <w:color w:val="000000"/>
                <w:sz w:val="17"/>
                <w:szCs w:val="17"/>
              </w:rPr>
            </w:pPr>
            <w:r w:rsidRPr="00F84C24">
              <w:rPr>
                <w:rFonts w:ascii="Arial" w:hAnsi="Arial" w:cs="Arial"/>
                <w:color w:val="000000"/>
                <w:sz w:val="17"/>
                <w:szCs w:val="17"/>
              </w:rPr>
              <w:t xml:space="preserve"> - </w:t>
            </w:r>
          </w:p>
        </w:tc>
        <w:tc>
          <w:tcPr>
            <w:tcW w:w="593" w:type="pct"/>
            <w:tcBorders>
              <w:top w:val="nil"/>
              <w:left w:val="nil"/>
              <w:bottom w:val="nil"/>
              <w:right w:val="nil"/>
            </w:tcBorders>
            <w:shd w:val="clear" w:color="auto" w:fill="auto"/>
            <w:vAlign w:val="bottom"/>
          </w:tcPr>
          <w:p w14:paraId="73BDFE9D" w14:textId="77777777" w:rsidR="00B637B8" w:rsidRPr="005B35F4" w:rsidRDefault="00B637B8" w:rsidP="00CA7F04">
            <w:pPr>
              <w:jc w:val="right"/>
              <w:rPr>
                <w:rFonts w:ascii="Arial" w:hAnsi="Arial" w:cs="Arial"/>
                <w:color w:val="000000"/>
                <w:sz w:val="17"/>
                <w:szCs w:val="17"/>
              </w:rPr>
            </w:pPr>
            <w:r w:rsidRPr="00F84C24">
              <w:rPr>
                <w:rFonts w:ascii="Arial" w:hAnsi="Arial" w:cs="Arial"/>
                <w:color w:val="000000"/>
                <w:sz w:val="17"/>
                <w:szCs w:val="17"/>
              </w:rPr>
              <w:t xml:space="preserve"> 10.400 </w:t>
            </w:r>
          </w:p>
        </w:tc>
      </w:tr>
      <w:tr w:rsidR="00B637B8" w:rsidRPr="005B35F4" w14:paraId="13BCC5A1" w14:textId="77777777" w:rsidTr="00CA7F04">
        <w:trPr>
          <w:trHeight w:val="229"/>
        </w:trPr>
        <w:tc>
          <w:tcPr>
            <w:tcW w:w="1637" w:type="pct"/>
            <w:tcBorders>
              <w:top w:val="nil"/>
              <w:left w:val="nil"/>
              <w:bottom w:val="nil"/>
              <w:right w:val="nil"/>
            </w:tcBorders>
            <w:shd w:val="clear" w:color="auto" w:fill="auto"/>
          </w:tcPr>
          <w:p w14:paraId="09179A7F" w14:textId="77777777" w:rsidR="00B637B8" w:rsidRPr="005B35F4" w:rsidRDefault="00B637B8" w:rsidP="00CA7F04">
            <w:pPr>
              <w:pStyle w:val="Tot"/>
              <w:spacing w:line="220" w:lineRule="exact"/>
              <w:rPr>
                <w:rFonts w:cs="Arial"/>
                <w:color w:val="000000" w:themeColor="text1"/>
                <w:sz w:val="17"/>
                <w:szCs w:val="17"/>
                <w:lang w:val="hr-HR"/>
              </w:rPr>
            </w:pPr>
            <w:r w:rsidRPr="005B35F4">
              <w:rPr>
                <w:rFonts w:cs="Arial"/>
                <w:color w:val="000000" w:themeColor="text1"/>
                <w:sz w:val="17"/>
                <w:szCs w:val="17"/>
                <w:lang w:val="hr-HR"/>
              </w:rPr>
              <w:t>Ugovorena obveza EIF CROGIP</w:t>
            </w:r>
          </w:p>
        </w:tc>
        <w:tc>
          <w:tcPr>
            <w:tcW w:w="547" w:type="pct"/>
            <w:tcBorders>
              <w:top w:val="nil"/>
              <w:left w:val="nil"/>
              <w:bottom w:val="nil"/>
              <w:right w:val="nil"/>
            </w:tcBorders>
            <w:shd w:val="clear" w:color="auto" w:fill="auto"/>
            <w:vAlign w:val="bottom"/>
          </w:tcPr>
          <w:p w14:paraId="698EAA3D" w14:textId="77777777" w:rsidR="00B637B8" w:rsidRPr="005B35F4" w:rsidRDefault="00B637B8" w:rsidP="00CA7F04">
            <w:pPr>
              <w:jc w:val="right"/>
              <w:rPr>
                <w:rFonts w:ascii="Arial" w:hAnsi="Arial" w:cs="Arial"/>
                <w:color w:val="000000"/>
                <w:sz w:val="17"/>
                <w:szCs w:val="17"/>
              </w:rPr>
            </w:pPr>
            <w:r w:rsidRPr="00F84C24">
              <w:rPr>
                <w:rFonts w:ascii="Arial" w:hAnsi="Arial" w:cs="Arial"/>
                <w:color w:val="000000"/>
                <w:sz w:val="17"/>
                <w:szCs w:val="17"/>
              </w:rPr>
              <w:t xml:space="preserve"> 129 </w:t>
            </w:r>
          </w:p>
        </w:tc>
        <w:tc>
          <w:tcPr>
            <w:tcW w:w="534" w:type="pct"/>
            <w:tcBorders>
              <w:top w:val="nil"/>
              <w:left w:val="nil"/>
              <w:bottom w:val="nil"/>
              <w:right w:val="nil"/>
            </w:tcBorders>
            <w:shd w:val="clear" w:color="auto" w:fill="auto"/>
            <w:vAlign w:val="bottom"/>
          </w:tcPr>
          <w:p w14:paraId="2125D787" w14:textId="77777777" w:rsidR="00B637B8" w:rsidRPr="005B35F4" w:rsidRDefault="00B637B8" w:rsidP="00CA7F04">
            <w:pPr>
              <w:jc w:val="right"/>
              <w:rPr>
                <w:rFonts w:ascii="Arial" w:hAnsi="Arial" w:cs="Arial"/>
                <w:color w:val="000000"/>
                <w:sz w:val="17"/>
                <w:szCs w:val="17"/>
              </w:rPr>
            </w:pPr>
            <w:r w:rsidRPr="00F84C24">
              <w:rPr>
                <w:rFonts w:ascii="Arial" w:hAnsi="Arial" w:cs="Arial"/>
                <w:color w:val="000000"/>
                <w:sz w:val="17"/>
                <w:szCs w:val="17"/>
              </w:rPr>
              <w:t xml:space="preserve"> 1.467 </w:t>
            </w:r>
          </w:p>
        </w:tc>
        <w:tc>
          <w:tcPr>
            <w:tcW w:w="528" w:type="pct"/>
            <w:tcBorders>
              <w:top w:val="nil"/>
              <w:left w:val="nil"/>
              <w:bottom w:val="nil"/>
              <w:right w:val="nil"/>
            </w:tcBorders>
            <w:shd w:val="clear" w:color="auto" w:fill="auto"/>
            <w:vAlign w:val="bottom"/>
          </w:tcPr>
          <w:p w14:paraId="43CA2910" w14:textId="77777777" w:rsidR="00B637B8" w:rsidRPr="005B35F4" w:rsidRDefault="00B637B8" w:rsidP="00CA7F04">
            <w:pPr>
              <w:jc w:val="right"/>
              <w:rPr>
                <w:rFonts w:ascii="Arial" w:hAnsi="Arial" w:cs="Arial"/>
                <w:color w:val="000000"/>
                <w:sz w:val="17"/>
                <w:szCs w:val="17"/>
              </w:rPr>
            </w:pPr>
            <w:r w:rsidRPr="00F84C24">
              <w:rPr>
                <w:rFonts w:ascii="Arial" w:hAnsi="Arial" w:cs="Arial"/>
                <w:color w:val="000000"/>
                <w:sz w:val="17"/>
                <w:szCs w:val="17"/>
              </w:rPr>
              <w:t xml:space="preserve"> 7.404 </w:t>
            </w:r>
          </w:p>
        </w:tc>
        <w:tc>
          <w:tcPr>
            <w:tcW w:w="538" w:type="pct"/>
            <w:tcBorders>
              <w:top w:val="nil"/>
              <w:left w:val="nil"/>
              <w:bottom w:val="nil"/>
              <w:right w:val="nil"/>
            </w:tcBorders>
            <w:shd w:val="clear" w:color="auto" w:fill="auto"/>
            <w:vAlign w:val="bottom"/>
          </w:tcPr>
          <w:p w14:paraId="3D962E8B" w14:textId="77777777" w:rsidR="00B637B8" w:rsidRPr="005B35F4" w:rsidRDefault="00B637B8" w:rsidP="00CA7F04">
            <w:pPr>
              <w:jc w:val="right"/>
              <w:rPr>
                <w:rFonts w:ascii="Arial" w:hAnsi="Arial" w:cs="Arial"/>
                <w:color w:val="000000"/>
                <w:sz w:val="17"/>
                <w:szCs w:val="17"/>
              </w:rPr>
            </w:pPr>
            <w:r w:rsidRPr="00F84C24">
              <w:rPr>
                <w:rFonts w:ascii="Arial" w:hAnsi="Arial" w:cs="Arial"/>
                <w:color w:val="000000"/>
                <w:sz w:val="17"/>
                <w:szCs w:val="17"/>
              </w:rPr>
              <w:t xml:space="preserve"> 15.800 </w:t>
            </w:r>
          </w:p>
        </w:tc>
        <w:tc>
          <w:tcPr>
            <w:tcW w:w="623" w:type="pct"/>
            <w:tcBorders>
              <w:top w:val="nil"/>
              <w:left w:val="nil"/>
              <w:bottom w:val="nil"/>
              <w:right w:val="nil"/>
            </w:tcBorders>
            <w:shd w:val="clear" w:color="auto" w:fill="auto"/>
            <w:vAlign w:val="bottom"/>
          </w:tcPr>
          <w:p w14:paraId="45845B45" w14:textId="77777777" w:rsidR="00B637B8" w:rsidRPr="005B35F4" w:rsidRDefault="00B637B8" w:rsidP="00CA7F04">
            <w:pPr>
              <w:jc w:val="right"/>
              <w:rPr>
                <w:rFonts w:ascii="Arial" w:hAnsi="Arial" w:cs="Arial"/>
                <w:color w:val="000000"/>
                <w:sz w:val="17"/>
                <w:szCs w:val="17"/>
              </w:rPr>
            </w:pPr>
            <w:r w:rsidRPr="00F84C24">
              <w:rPr>
                <w:rFonts w:ascii="Arial" w:hAnsi="Arial" w:cs="Arial"/>
                <w:color w:val="000000"/>
                <w:sz w:val="17"/>
                <w:szCs w:val="17"/>
              </w:rPr>
              <w:t xml:space="preserve"> 6.660 </w:t>
            </w:r>
          </w:p>
        </w:tc>
        <w:tc>
          <w:tcPr>
            <w:tcW w:w="593" w:type="pct"/>
            <w:tcBorders>
              <w:top w:val="nil"/>
              <w:left w:val="nil"/>
              <w:bottom w:val="nil"/>
              <w:right w:val="nil"/>
            </w:tcBorders>
            <w:shd w:val="clear" w:color="auto" w:fill="auto"/>
            <w:vAlign w:val="bottom"/>
          </w:tcPr>
          <w:p w14:paraId="01AE3891" w14:textId="77777777" w:rsidR="00B637B8" w:rsidRPr="005B35F4" w:rsidRDefault="00B637B8" w:rsidP="00CA7F04">
            <w:pPr>
              <w:jc w:val="right"/>
              <w:rPr>
                <w:rFonts w:ascii="Arial" w:hAnsi="Arial" w:cs="Arial"/>
                <w:color w:val="000000"/>
                <w:sz w:val="17"/>
                <w:szCs w:val="17"/>
              </w:rPr>
            </w:pPr>
            <w:r w:rsidRPr="00F84C24">
              <w:rPr>
                <w:rFonts w:ascii="Arial" w:hAnsi="Arial" w:cs="Arial"/>
                <w:color w:val="000000"/>
                <w:sz w:val="17"/>
                <w:szCs w:val="17"/>
              </w:rPr>
              <w:t xml:space="preserve"> 31.460 </w:t>
            </w:r>
          </w:p>
        </w:tc>
      </w:tr>
      <w:tr w:rsidR="00B637B8" w:rsidRPr="005B35F4" w14:paraId="2ADB71C9" w14:textId="77777777" w:rsidTr="00CA7F04">
        <w:trPr>
          <w:trHeight w:val="229"/>
        </w:trPr>
        <w:tc>
          <w:tcPr>
            <w:tcW w:w="1637" w:type="pct"/>
            <w:tcBorders>
              <w:top w:val="nil"/>
              <w:left w:val="nil"/>
              <w:bottom w:val="nil"/>
              <w:right w:val="nil"/>
            </w:tcBorders>
            <w:shd w:val="clear" w:color="auto" w:fill="auto"/>
          </w:tcPr>
          <w:p w14:paraId="4BF678BF" w14:textId="77777777" w:rsidR="00B637B8" w:rsidRPr="005B35F4" w:rsidRDefault="00B637B8" w:rsidP="00CA7F04">
            <w:pPr>
              <w:pStyle w:val="Tot"/>
              <w:spacing w:line="220" w:lineRule="exact"/>
              <w:rPr>
                <w:rFonts w:cs="Arial"/>
                <w:color w:val="000000" w:themeColor="text1"/>
                <w:sz w:val="17"/>
                <w:szCs w:val="17"/>
                <w:lang w:val="hr-HR"/>
              </w:rPr>
            </w:pPr>
            <w:r w:rsidRPr="005B35F4">
              <w:rPr>
                <w:rFonts w:cs="Arial"/>
                <w:color w:val="000000" w:themeColor="text1"/>
                <w:sz w:val="17"/>
                <w:szCs w:val="17"/>
                <w:lang w:val="hr-HR"/>
              </w:rPr>
              <w:t>Ugovorena obveza EIF FRC2</w:t>
            </w:r>
          </w:p>
        </w:tc>
        <w:tc>
          <w:tcPr>
            <w:tcW w:w="547" w:type="pct"/>
            <w:tcBorders>
              <w:top w:val="nil"/>
              <w:left w:val="nil"/>
              <w:bottom w:val="single" w:sz="8" w:space="0" w:color="auto"/>
              <w:right w:val="nil"/>
            </w:tcBorders>
            <w:shd w:val="clear" w:color="auto" w:fill="auto"/>
            <w:vAlign w:val="bottom"/>
          </w:tcPr>
          <w:p w14:paraId="49831E43" w14:textId="77777777" w:rsidR="00B637B8" w:rsidRPr="005B35F4" w:rsidRDefault="00B637B8" w:rsidP="00CA7F04">
            <w:pPr>
              <w:jc w:val="right"/>
              <w:rPr>
                <w:rFonts w:ascii="Arial" w:hAnsi="Arial" w:cs="Arial"/>
                <w:color w:val="000000"/>
                <w:sz w:val="17"/>
                <w:szCs w:val="17"/>
              </w:rPr>
            </w:pPr>
            <w:r w:rsidRPr="00F84C24">
              <w:rPr>
                <w:rFonts w:ascii="Arial" w:hAnsi="Arial" w:cs="Arial"/>
                <w:color w:val="000000"/>
                <w:sz w:val="17"/>
                <w:szCs w:val="17"/>
              </w:rPr>
              <w:t xml:space="preserve"> 14 </w:t>
            </w:r>
          </w:p>
        </w:tc>
        <w:tc>
          <w:tcPr>
            <w:tcW w:w="534" w:type="pct"/>
            <w:tcBorders>
              <w:top w:val="nil"/>
              <w:left w:val="nil"/>
              <w:bottom w:val="single" w:sz="8" w:space="0" w:color="auto"/>
              <w:right w:val="nil"/>
            </w:tcBorders>
            <w:shd w:val="clear" w:color="auto" w:fill="auto"/>
            <w:vAlign w:val="bottom"/>
          </w:tcPr>
          <w:p w14:paraId="462CD93D" w14:textId="77777777" w:rsidR="00B637B8" w:rsidRPr="005B35F4" w:rsidRDefault="00B637B8" w:rsidP="00CA7F04">
            <w:pPr>
              <w:jc w:val="right"/>
              <w:rPr>
                <w:rFonts w:ascii="Arial" w:hAnsi="Arial" w:cs="Arial"/>
                <w:color w:val="000000"/>
                <w:sz w:val="17"/>
                <w:szCs w:val="17"/>
              </w:rPr>
            </w:pPr>
            <w:r w:rsidRPr="00F84C24">
              <w:rPr>
                <w:rFonts w:ascii="Arial" w:hAnsi="Arial" w:cs="Arial"/>
                <w:color w:val="000000"/>
                <w:sz w:val="17"/>
                <w:szCs w:val="17"/>
              </w:rPr>
              <w:t xml:space="preserve"> 4 </w:t>
            </w:r>
          </w:p>
        </w:tc>
        <w:tc>
          <w:tcPr>
            <w:tcW w:w="528" w:type="pct"/>
            <w:tcBorders>
              <w:top w:val="nil"/>
              <w:left w:val="nil"/>
              <w:bottom w:val="single" w:sz="8" w:space="0" w:color="auto"/>
              <w:right w:val="nil"/>
            </w:tcBorders>
            <w:shd w:val="clear" w:color="auto" w:fill="auto"/>
            <w:vAlign w:val="bottom"/>
          </w:tcPr>
          <w:p w14:paraId="4196DE63" w14:textId="77777777" w:rsidR="00B637B8" w:rsidRPr="005B35F4" w:rsidRDefault="00B637B8" w:rsidP="00CA7F04">
            <w:pPr>
              <w:jc w:val="right"/>
              <w:rPr>
                <w:rFonts w:ascii="Arial" w:hAnsi="Arial" w:cs="Arial"/>
                <w:color w:val="000000"/>
                <w:sz w:val="17"/>
                <w:szCs w:val="17"/>
              </w:rPr>
            </w:pPr>
            <w:r w:rsidRPr="00F84C24">
              <w:rPr>
                <w:rFonts w:ascii="Arial" w:hAnsi="Arial" w:cs="Arial"/>
                <w:color w:val="000000"/>
                <w:sz w:val="17"/>
                <w:szCs w:val="17"/>
              </w:rPr>
              <w:t xml:space="preserve"> 13 </w:t>
            </w:r>
          </w:p>
        </w:tc>
        <w:tc>
          <w:tcPr>
            <w:tcW w:w="538" w:type="pct"/>
            <w:tcBorders>
              <w:top w:val="nil"/>
              <w:left w:val="nil"/>
              <w:bottom w:val="single" w:sz="8" w:space="0" w:color="auto"/>
              <w:right w:val="nil"/>
            </w:tcBorders>
            <w:shd w:val="clear" w:color="auto" w:fill="auto"/>
            <w:vAlign w:val="bottom"/>
          </w:tcPr>
          <w:p w14:paraId="53DE6503" w14:textId="77777777" w:rsidR="00B637B8" w:rsidRPr="005B35F4" w:rsidRDefault="00B637B8" w:rsidP="00CA7F04">
            <w:pPr>
              <w:jc w:val="right"/>
              <w:rPr>
                <w:rFonts w:ascii="Arial" w:hAnsi="Arial" w:cs="Arial"/>
                <w:color w:val="000000"/>
                <w:sz w:val="17"/>
                <w:szCs w:val="17"/>
              </w:rPr>
            </w:pPr>
            <w:r w:rsidRPr="00F84C24">
              <w:rPr>
                <w:rFonts w:ascii="Arial" w:hAnsi="Arial" w:cs="Arial"/>
                <w:color w:val="000000"/>
                <w:sz w:val="17"/>
                <w:szCs w:val="17"/>
              </w:rPr>
              <w:t xml:space="preserve"> 40 </w:t>
            </w:r>
          </w:p>
        </w:tc>
        <w:tc>
          <w:tcPr>
            <w:tcW w:w="623" w:type="pct"/>
            <w:tcBorders>
              <w:top w:val="nil"/>
              <w:left w:val="nil"/>
              <w:bottom w:val="single" w:sz="8" w:space="0" w:color="auto"/>
              <w:right w:val="nil"/>
            </w:tcBorders>
            <w:shd w:val="clear" w:color="auto" w:fill="auto"/>
            <w:vAlign w:val="bottom"/>
          </w:tcPr>
          <w:p w14:paraId="15D61742" w14:textId="77777777" w:rsidR="00B637B8" w:rsidRPr="005B35F4" w:rsidRDefault="00B637B8" w:rsidP="00CA7F04">
            <w:pPr>
              <w:jc w:val="right"/>
              <w:rPr>
                <w:rFonts w:ascii="Arial" w:hAnsi="Arial" w:cs="Arial"/>
                <w:color w:val="000000"/>
                <w:sz w:val="17"/>
                <w:szCs w:val="17"/>
              </w:rPr>
            </w:pPr>
            <w:r w:rsidRPr="00F84C24">
              <w:rPr>
                <w:rFonts w:ascii="Arial" w:hAnsi="Arial" w:cs="Arial"/>
                <w:color w:val="000000"/>
                <w:sz w:val="17"/>
                <w:szCs w:val="17"/>
              </w:rPr>
              <w:t xml:space="preserve"> 10 </w:t>
            </w:r>
          </w:p>
        </w:tc>
        <w:tc>
          <w:tcPr>
            <w:tcW w:w="593" w:type="pct"/>
            <w:tcBorders>
              <w:top w:val="nil"/>
              <w:left w:val="nil"/>
              <w:bottom w:val="single" w:sz="8" w:space="0" w:color="auto"/>
              <w:right w:val="nil"/>
            </w:tcBorders>
            <w:shd w:val="clear" w:color="auto" w:fill="auto"/>
            <w:vAlign w:val="bottom"/>
          </w:tcPr>
          <w:p w14:paraId="5146F96B" w14:textId="77777777" w:rsidR="00B637B8" w:rsidRPr="005B35F4" w:rsidRDefault="00B637B8" w:rsidP="00CA7F04">
            <w:pPr>
              <w:jc w:val="right"/>
              <w:rPr>
                <w:rFonts w:ascii="Arial" w:hAnsi="Arial" w:cs="Arial"/>
                <w:color w:val="000000"/>
                <w:sz w:val="17"/>
                <w:szCs w:val="17"/>
              </w:rPr>
            </w:pPr>
            <w:r w:rsidRPr="00F84C24">
              <w:rPr>
                <w:rFonts w:ascii="Arial" w:hAnsi="Arial" w:cs="Arial"/>
                <w:color w:val="000000"/>
                <w:sz w:val="17"/>
                <w:szCs w:val="17"/>
              </w:rPr>
              <w:t xml:space="preserve"> 81 </w:t>
            </w:r>
          </w:p>
        </w:tc>
      </w:tr>
      <w:tr w:rsidR="00B637B8" w:rsidRPr="005B35F4" w14:paraId="1A8CDF88" w14:textId="77777777" w:rsidTr="00CA7F04">
        <w:trPr>
          <w:trHeight w:val="229"/>
        </w:trPr>
        <w:tc>
          <w:tcPr>
            <w:tcW w:w="1637" w:type="pct"/>
            <w:tcBorders>
              <w:top w:val="nil"/>
              <w:left w:val="nil"/>
              <w:bottom w:val="nil"/>
              <w:right w:val="nil"/>
            </w:tcBorders>
            <w:shd w:val="clear" w:color="auto" w:fill="auto"/>
            <w:vAlign w:val="center"/>
          </w:tcPr>
          <w:p w14:paraId="3FA905C9" w14:textId="77777777" w:rsidR="00B637B8" w:rsidRPr="005B35F4" w:rsidRDefault="00B637B8" w:rsidP="00CA7F04">
            <w:pPr>
              <w:pStyle w:val="Tot"/>
              <w:spacing w:line="220" w:lineRule="exact"/>
              <w:rPr>
                <w:rFonts w:eastAsia="Calibri" w:cs="Arial"/>
                <w:b/>
                <w:bCs/>
                <w:color w:val="000000" w:themeColor="text1"/>
                <w:spacing w:val="-2"/>
                <w:sz w:val="17"/>
                <w:szCs w:val="17"/>
                <w:lang w:val="hr-HR"/>
              </w:rPr>
            </w:pPr>
            <w:r w:rsidRPr="005B35F4">
              <w:rPr>
                <w:rFonts w:cs="Arial"/>
                <w:b/>
                <w:bCs/>
                <w:color w:val="000000" w:themeColor="text1"/>
                <w:sz w:val="17"/>
                <w:szCs w:val="17"/>
                <w:lang w:val="hr-HR"/>
              </w:rPr>
              <w:t>Ukupne garancije i preuzete obveze</w:t>
            </w:r>
          </w:p>
        </w:tc>
        <w:tc>
          <w:tcPr>
            <w:tcW w:w="547" w:type="pct"/>
            <w:tcBorders>
              <w:top w:val="single" w:sz="8" w:space="0" w:color="auto"/>
              <w:left w:val="nil"/>
              <w:bottom w:val="single" w:sz="12" w:space="0" w:color="auto"/>
              <w:right w:val="nil"/>
            </w:tcBorders>
            <w:shd w:val="clear" w:color="auto" w:fill="auto"/>
            <w:vAlign w:val="bottom"/>
          </w:tcPr>
          <w:p w14:paraId="524FBAB9" w14:textId="77777777" w:rsidR="00B637B8" w:rsidRPr="005B35F4" w:rsidRDefault="00B637B8" w:rsidP="00CA7F04">
            <w:pPr>
              <w:jc w:val="right"/>
              <w:rPr>
                <w:rFonts w:ascii="Arial" w:hAnsi="Arial" w:cs="Arial"/>
                <w:b/>
                <w:bCs/>
                <w:color w:val="000000"/>
                <w:sz w:val="17"/>
                <w:szCs w:val="17"/>
              </w:rPr>
            </w:pPr>
            <w:r w:rsidRPr="00F84C24">
              <w:rPr>
                <w:rFonts w:ascii="Arial" w:hAnsi="Arial" w:cs="Arial"/>
                <w:b/>
                <w:bCs/>
                <w:color w:val="000000"/>
                <w:sz w:val="17"/>
                <w:szCs w:val="17"/>
              </w:rPr>
              <w:t>516.155</w:t>
            </w:r>
          </w:p>
        </w:tc>
        <w:tc>
          <w:tcPr>
            <w:tcW w:w="534" w:type="pct"/>
            <w:tcBorders>
              <w:top w:val="single" w:sz="8" w:space="0" w:color="auto"/>
              <w:left w:val="nil"/>
              <w:bottom w:val="single" w:sz="12" w:space="0" w:color="auto"/>
              <w:right w:val="nil"/>
            </w:tcBorders>
            <w:shd w:val="clear" w:color="auto" w:fill="auto"/>
            <w:vAlign w:val="bottom"/>
          </w:tcPr>
          <w:p w14:paraId="57BB28B7" w14:textId="77777777" w:rsidR="00B637B8" w:rsidRPr="005B35F4" w:rsidRDefault="00B637B8" w:rsidP="00CA7F04">
            <w:pPr>
              <w:jc w:val="right"/>
              <w:rPr>
                <w:rFonts w:ascii="Arial" w:hAnsi="Arial" w:cs="Arial"/>
                <w:b/>
                <w:bCs/>
                <w:color w:val="000000"/>
                <w:sz w:val="17"/>
                <w:szCs w:val="17"/>
              </w:rPr>
            </w:pPr>
            <w:r w:rsidRPr="00F84C24">
              <w:rPr>
                <w:rFonts w:ascii="Arial" w:hAnsi="Arial" w:cs="Arial"/>
                <w:b/>
                <w:bCs/>
                <w:color w:val="000000"/>
                <w:sz w:val="17"/>
                <w:szCs w:val="17"/>
              </w:rPr>
              <w:t>1.471</w:t>
            </w:r>
          </w:p>
        </w:tc>
        <w:tc>
          <w:tcPr>
            <w:tcW w:w="528" w:type="pct"/>
            <w:tcBorders>
              <w:top w:val="single" w:sz="8" w:space="0" w:color="auto"/>
              <w:left w:val="nil"/>
              <w:bottom w:val="single" w:sz="12" w:space="0" w:color="auto"/>
              <w:right w:val="nil"/>
            </w:tcBorders>
            <w:shd w:val="clear" w:color="auto" w:fill="auto"/>
            <w:vAlign w:val="bottom"/>
          </w:tcPr>
          <w:p w14:paraId="4215E8B2" w14:textId="77777777" w:rsidR="00B637B8" w:rsidRPr="005B35F4" w:rsidRDefault="00B637B8" w:rsidP="00CA7F04">
            <w:pPr>
              <w:jc w:val="right"/>
              <w:rPr>
                <w:rFonts w:ascii="Arial" w:hAnsi="Arial" w:cs="Arial"/>
                <w:b/>
                <w:bCs/>
                <w:color w:val="000000"/>
                <w:sz w:val="17"/>
                <w:szCs w:val="17"/>
              </w:rPr>
            </w:pPr>
            <w:r w:rsidRPr="00F84C24">
              <w:rPr>
                <w:rFonts w:ascii="Arial" w:hAnsi="Arial" w:cs="Arial"/>
                <w:b/>
                <w:bCs/>
                <w:color w:val="000000"/>
                <w:sz w:val="17"/>
                <w:szCs w:val="17"/>
              </w:rPr>
              <w:t>7.417</w:t>
            </w:r>
          </w:p>
        </w:tc>
        <w:tc>
          <w:tcPr>
            <w:tcW w:w="538" w:type="pct"/>
            <w:tcBorders>
              <w:top w:val="single" w:sz="8" w:space="0" w:color="auto"/>
              <w:left w:val="nil"/>
              <w:bottom w:val="single" w:sz="12" w:space="0" w:color="auto"/>
              <w:right w:val="nil"/>
            </w:tcBorders>
            <w:shd w:val="clear" w:color="auto" w:fill="auto"/>
            <w:vAlign w:val="bottom"/>
          </w:tcPr>
          <w:p w14:paraId="5D8CC3F0" w14:textId="77777777" w:rsidR="00B637B8" w:rsidRPr="005B35F4" w:rsidRDefault="00B637B8" w:rsidP="00CA7F04">
            <w:pPr>
              <w:jc w:val="right"/>
              <w:rPr>
                <w:rFonts w:ascii="Arial" w:hAnsi="Arial" w:cs="Arial"/>
                <w:b/>
                <w:bCs/>
                <w:color w:val="000000"/>
                <w:sz w:val="17"/>
                <w:szCs w:val="17"/>
              </w:rPr>
            </w:pPr>
            <w:r w:rsidRPr="00F84C24">
              <w:rPr>
                <w:rFonts w:ascii="Arial" w:hAnsi="Arial" w:cs="Arial"/>
                <w:b/>
                <w:bCs/>
                <w:color w:val="000000"/>
                <w:sz w:val="17"/>
                <w:szCs w:val="17"/>
              </w:rPr>
              <w:t>15.840</w:t>
            </w:r>
          </w:p>
        </w:tc>
        <w:tc>
          <w:tcPr>
            <w:tcW w:w="623" w:type="pct"/>
            <w:tcBorders>
              <w:top w:val="single" w:sz="8" w:space="0" w:color="auto"/>
              <w:left w:val="nil"/>
              <w:bottom w:val="single" w:sz="12" w:space="0" w:color="auto"/>
              <w:right w:val="nil"/>
            </w:tcBorders>
            <w:shd w:val="clear" w:color="auto" w:fill="auto"/>
            <w:vAlign w:val="bottom"/>
          </w:tcPr>
          <w:p w14:paraId="7C45AEC4" w14:textId="77777777" w:rsidR="00B637B8" w:rsidRPr="005B35F4" w:rsidRDefault="00B637B8" w:rsidP="00CA7F04">
            <w:pPr>
              <w:jc w:val="right"/>
              <w:rPr>
                <w:rFonts w:ascii="Arial" w:hAnsi="Arial" w:cs="Arial"/>
                <w:b/>
                <w:bCs/>
                <w:color w:val="000000"/>
                <w:sz w:val="17"/>
                <w:szCs w:val="17"/>
              </w:rPr>
            </w:pPr>
            <w:r w:rsidRPr="00F84C24">
              <w:rPr>
                <w:rFonts w:ascii="Arial" w:hAnsi="Arial" w:cs="Arial"/>
                <w:b/>
                <w:bCs/>
                <w:color w:val="000000"/>
                <w:sz w:val="17"/>
                <w:szCs w:val="17"/>
              </w:rPr>
              <w:t>6.670</w:t>
            </w:r>
          </w:p>
        </w:tc>
        <w:tc>
          <w:tcPr>
            <w:tcW w:w="593" w:type="pct"/>
            <w:tcBorders>
              <w:top w:val="single" w:sz="8" w:space="0" w:color="auto"/>
              <w:left w:val="nil"/>
              <w:bottom w:val="single" w:sz="12" w:space="0" w:color="auto"/>
              <w:right w:val="nil"/>
            </w:tcBorders>
            <w:shd w:val="clear" w:color="auto" w:fill="auto"/>
            <w:vAlign w:val="bottom"/>
          </w:tcPr>
          <w:p w14:paraId="184E9A94" w14:textId="77777777" w:rsidR="00B637B8" w:rsidRPr="005B35F4" w:rsidRDefault="00B637B8" w:rsidP="00CA7F04">
            <w:pPr>
              <w:jc w:val="right"/>
              <w:rPr>
                <w:rFonts w:ascii="Arial" w:hAnsi="Arial" w:cs="Arial"/>
                <w:b/>
                <w:bCs/>
                <w:color w:val="000000"/>
                <w:sz w:val="17"/>
                <w:szCs w:val="17"/>
              </w:rPr>
            </w:pPr>
            <w:r w:rsidRPr="00F84C24">
              <w:rPr>
                <w:rFonts w:ascii="Arial" w:hAnsi="Arial" w:cs="Arial"/>
                <w:b/>
                <w:bCs/>
                <w:color w:val="000000"/>
                <w:sz w:val="17"/>
                <w:szCs w:val="17"/>
              </w:rPr>
              <w:t>547.553</w:t>
            </w:r>
          </w:p>
        </w:tc>
      </w:tr>
    </w:tbl>
    <w:p w14:paraId="0B32D9C0" w14:textId="77777777" w:rsidR="00661446" w:rsidRPr="003D1614" w:rsidRDefault="00661446" w:rsidP="00661446">
      <w:pPr>
        <w:suppressAutoHyphens/>
        <w:autoSpaceDN w:val="0"/>
        <w:jc w:val="both"/>
        <w:rPr>
          <w:rFonts w:ascii="Arial" w:eastAsia="Times New Roman" w:hAnsi="Arial" w:cs="Arial"/>
          <w:bCs/>
          <w:color w:val="000000" w:themeColor="text1"/>
          <w:sz w:val="20"/>
          <w:szCs w:val="20"/>
        </w:rPr>
      </w:pPr>
    </w:p>
    <w:p w14:paraId="38D863A8" w14:textId="77777777" w:rsidR="00661446" w:rsidRPr="003D1614" w:rsidRDefault="00661446" w:rsidP="00661446">
      <w:pPr>
        <w:suppressAutoHyphens/>
        <w:autoSpaceDN w:val="0"/>
        <w:jc w:val="both"/>
        <w:rPr>
          <w:rFonts w:ascii="Arial" w:eastAsia="Times New Roman" w:hAnsi="Arial" w:cs="Arial"/>
          <w:bCs/>
          <w:color w:val="000000" w:themeColor="text1"/>
          <w:sz w:val="20"/>
          <w:szCs w:val="20"/>
        </w:rPr>
      </w:pPr>
    </w:p>
    <w:p w14:paraId="6073F3C1" w14:textId="77777777" w:rsidR="00661446" w:rsidRPr="003D1614" w:rsidRDefault="00661446" w:rsidP="00661446">
      <w:pPr>
        <w:suppressAutoHyphens/>
        <w:autoSpaceDN w:val="0"/>
        <w:jc w:val="both"/>
        <w:rPr>
          <w:rFonts w:ascii="Arial" w:eastAsia="Times New Roman" w:hAnsi="Arial" w:cs="Arial"/>
          <w:bCs/>
          <w:color w:val="000000" w:themeColor="text1"/>
          <w:sz w:val="20"/>
          <w:szCs w:val="20"/>
        </w:rPr>
      </w:pPr>
    </w:p>
    <w:p w14:paraId="73CA16F4" w14:textId="77777777" w:rsidR="000172FF" w:rsidRPr="005B35F4" w:rsidRDefault="000172FF" w:rsidP="000172FF">
      <w:pPr>
        <w:pStyle w:val="accountingpolicytitle"/>
        <w:rPr>
          <w:rFonts w:cs="Arial"/>
          <w:b w:val="0"/>
          <w:i/>
          <w:color w:val="000000" w:themeColor="text1"/>
          <w:sz w:val="18"/>
          <w:szCs w:val="18"/>
          <w:lang w:val="hr-HR"/>
        </w:rPr>
      </w:pPr>
      <w:r w:rsidRPr="005B35F4">
        <w:rPr>
          <w:rFonts w:cs="Arial"/>
          <w:b w:val="0"/>
          <w:bCs/>
          <w:color w:val="000000" w:themeColor="text1"/>
          <w:sz w:val="18"/>
          <w:szCs w:val="18"/>
          <w:lang w:val="hr-HR"/>
        </w:rPr>
        <w:t>Stavke s neodređenim dospijećem iskazane su u razdoblju preko 3 godine.</w:t>
      </w:r>
      <w:r w:rsidRPr="005B35F4">
        <w:rPr>
          <w:rFonts w:cs="Arial"/>
          <w:b w:val="0"/>
          <w:i/>
          <w:color w:val="000000" w:themeColor="text1"/>
          <w:sz w:val="18"/>
          <w:szCs w:val="18"/>
          <w:lang w:val="hr-HR"/>
        </w:rPr>
        <w:t xml:space="preserve"> </w:t>
      </w:r>
    </w:p>
    <w:p w14:paraId="2ADF9344" w14:textId="77777777" w:rsidR="000172FF" w:rsidRDefault="000172FF" w:rsidP="000172FF">
      <w:pPr>
        <w:pStyle w:val="accountingpolicytitle"/>
        <w:rPr>
          <w:rFonts w:cs="Arial"/>
          <w:b w:val="0"/>
          <w:i/>
          <w:color w:val="000000" w:themeColor="text1"/>
          <w:sz w:val="20"/>
          <w:lang w:val="hr-HR"/>
        </w:rPr>
      </w:pPr>
    </w:p>
    <w:p w14:paraId="5E215EA9" w14:textId="77777777" w:rsidR="000172FF" w:rsidRPr="00F959D0" w:rsidRDefault="000172FF" w:rsidP="000172FF">
      <w:pPr>
        <w:keepNext/>
        <w:ind w:right="-1"/>
        <w:jc w:val="both"/>
        <w:rPr>
          <w:rFonts w:cs="Arial"/>
          <w:b/>
          <w:bCs/>
          <w:strike/>
          <w:color w:val="000000" w:themeColor="text1"/>
          <w:sz w:val="18"/>
          <w:szCs w:val="18"/>
        </w:rPr>
      </w:pPr>
      <w:r w:rsidRPr="0013758D">
        <w:rPr>
          <w:rFonts w:ascii="Arial" w:hAnsi="Arial" w:cs="Arial"/>
          <w:bCs/>
          <w:i/>
          <w:color w:val="000000" w:themeColor="text1"/>
          <w:sz w:val="18"/>
          <w:szCs w:val="18"/>
        </w:rPr>
        <w:t>*</w:t>
      </w:r>
      <w:r w:rsidRPr="0013758D">
        <w:rPr>
          <w:rFonts w:ascii="Arial" w:hAnsi="Arial" w:cs="Arial"/>
          <w:b/>
          <w:bCs/>
          <w:color w:val="000000" w:themeColor="text1"/>
          <w:sz w:val="18"/>
          <w:szCs w:val="18"/>
        </w:rPr>
        <w:t xml:space="preserve"> </w:t>
      </w:r>
      <w:r w:rsidRPr="00001088">
        <w:rPr>
          <w:rFonts w:ascii="Arial" w:hAnsi="Arial" w:cs="Arial"/>
          <w:bCs/>
          <w:i/>
          <w:color w:val="000000" w:themeColor="text1"/>
          <w:sz w:val="18"/>
          <w:szCs w:val="18"/>
        </w:rPr>
        <w:t xml:space="preserve">Potraživanje u iznosu od </w:t>
      </w:r>
      <w:r>
        <w:rPr>
          <w:rFonts w:ascii="Arial" w:hAnsi="Arial" w:cs="Arial"/>
          <w:bCs/>
          <w:i/>
          <w:color w:val="000000" w:themeColor="text1"/>
          <w:sz w:val="18"/>
          <w:szCs w:val="18"/>
        </w:rPr>
        <w:t>193</w:t>
      </w:r>
      <w:r w:rsidRPr="00001088">
        <w:rPr>
          <w:rFonts w:ascii="Arial" w:hAnsi="Arial" w:cs="Arial"/>
          <w:bCs/>
          <w:i/>
          <w:color w:val="000000" w:themeColor="text1"/>
          <w:sz w:val="18"/>
          <w:szCs w:val="18"/>
        </w:rPr>
        <w:t xml:space="preserve">.000 tisuća eura odnosi se na obrnute repo poslove. Kako je dio iznosa potraživanja produžen nakon datuma Izvještaja o financijskom položaju njegovo dospijeće iskazano je u razdoblju od 1 do 3 mjeseca u iznosu od 128.000 tisuća </w:t>
      </w:r>
      <w:r>
        <w:rPr>
          <w:rFonts w:ascii="Arial" w:hAnsi="Arial" w:cs="Arial"/>
          <w:bCs/>
          <w:i/>
          <w:color w:val="000000" w:themeColor="text1"/>
          <w:sz w:val="18"/>
          <w:szCs w:val="18"/>
        </w:rPr>
        <w:t>eura</w:t>
      </w:r>
      <w:r w:rsidRPr="00001088">
        <w:rPr>
          <w:rFonts w:ascii="Arial" w:hAnsi="Arial" w:cs="Arial"/>
          <w:bCs/>
          <w:i/>
          <w:color w:val="000000" w:themeColor="text1"/>
          <w:sz w:val="18"/>
          <w:szCs w:val="18"/>
        </w:rPr>
        <w:t>.</w:t>
      </w:r>
    </w:p>
    <w:p w14:paraId="413953C2" w14:textId="77777777" w:rsidR="000172FF" w:rsidRPr="00100ED3" w:rsidRDefault="000172FF" w:rsidP="000172FF">
      <w:pPr>
        <w:jc w:val="both"/>
        <w:rPr>
          <w:rFonts w:ascii="Arial" w:hAnsi="Arial" w:cs="Arial"/>
          <w:color w:val="000000" w:themeColor="text1"/>
          <w:sz w:val="18"/>
          <w:szCs w:val="18"/>
        </w:rPr>
      </w:pPr>
      <w:r w:rsidRPr="00100ED3">
        <w:rPr>
          <w:rFonts w:ascii="Arial" w:eastAsia="Calibri" w:hAnsi="Arial" w:cs="Arial"/>
          <w:bCs/>
          <w:i/>
          <w:color w:val="000000" w:themeColor="text1"/>
          <w:sz w:val="18"/>
          <w:szCs w:val="18"/>
        </w:rPr>
        <w:t>*</w:t>
      </w:r>
      <w:r>
        <w:rPr>
          <w:rFonts w:ascii="Arial" w:eastAsia="Calibri" w:hAnsi="Arial" w:cs="Arial"/>
          <w:bCs/>
          <w:i/>
          <w:color w:val="000000" w:themeColor="text1"/>
          <w:sz w:val="18"/>
          <w:szCs w:val="18"/>
        </w:rPr>
        <w:t>*</w:t>
      </w:r>
      <w:r w:rsidRPr="00100ED3">
        <w:rPr>
          <w:rFonts w:ascii="Arial" w:eastAsia="Calibri" w:hAnsi="Arial" w:cs="Arial"/>
          <w:bCs/>
          <w:i/>
          <w:color w:val="000000" w:themeColor="text1"/>
          <w:sz w:val="18"/>
          <w:szCs w:val="18"/>
        </w:rPr>
        <w:t xml:space="preserve">Obračunata nedospjela kamata po kreditima raspoređena je u kategoriji od 1 do 3 mjeseca. </w:t>
      </w:r>
    </w:p>
    <w:p w14:paraId="114DF5B6" w14:textId="77777777" w:rsidR="00661446" w:rsidRPr="003D1614" w:rsidRDefault="00661446" w:rsidP="00661446">
      <w:pPr>
        <w:suppressAutoHyphens/>
        <w:autoSpaceDN w:val="0"/>
        <w:jc w:val="both"/>
        <w:rPr>
          <w:rFonts w:ascii="Arial" w:eastAsia="Times New Roman" w:hAnsi="Arial" w:cs="Arial"/>
          <w:color w:val="000000" w:themeColor="text1"/>
          <w:sz w:val="20"/>
          <w:szCs w:val="20"/>
        </w:rPr>
        <w:sectPr w:rsidR="00661446" w:rsidRPr="003D1614" w:rsidSect="003278AB">
          <w:pgSz w:w="11906" w:h="16838"/>
          <w:pgMar w:top="1417" w:right="1417" w:bottom="1417" w:left="1417" w:header="708" w:footer="708" w:gutter="0"/>
          <w:cols w:space="708"/>
          <w:docGrid w:linePitch="360"/>
        </w:sectPr>
      </w:pPr>
    </w:p>
    <w:p w14:paraId="77A09771"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66DEB738" w14:textId="1B0B8AF4"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0927D236"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57B8268D" w14:textId="07786B1A"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.4. </w:t>
      </w:r>
      <w:r w:rsidRPr="003D1614">
        <w:rPr>
          <w:rFonts w:ascii="Arial" w:eastAsia="Times New Roman" w:hAnsi="Arial" w:cs="Arial"/>
          <w:b/>
          <w:bCs/>
          <w:color w:val="000000" w:themeColor="text1"/>
          <w:sz w:val="20"/>
          <w:szCs w:val="20"/>
        </w:rPr>
        <w:tab/>
        <w:t>Rizik likvidnosti (nastavak)</w:t>
      </w:r>
    </w:p>
    <w:p w14:paraId="4EABCD42"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p w14:paraId="2FEE353E" w14:textId="3D37F962"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Iznos ukupne imovine, ukupnih obveza i garancija i preuzetih obveza na dan 31. ožujka 202</w:t>
      </w:r>
      <w:r w:rsidR="006439D2">
        <w:rPr>
          <w:rFonts w:ascii="Arial" w:eastAsia="Times New Roman" w:hAnsi="Arial" w:cs="Arial"/>
          <w:color w:val="000000" w:themeColor="text1"/>
          <w:sz w:val="20"/>
          <w:szCs w:val="20"/>
        </w:rPr>
        <w:t>4</w:t>
      </w:r>
      <w:r w:rsidRPr="003D1614">
        <w:rPr>
          <w:rFonts w:ascii="Arial" w:eastAsia="Times New Roman" w:hAnsi="Arial" w:cs="Arial"/>
          <w:color w:val="000000" w:themeColor="text1"/>
          <w:sz w:val="20"/>
          <w:szCs w:val="20"/>
        </w:rPr>
        <w:t>. i 31. prosinca 202</w:t>
      </w:r>
      <w:r w:rsidR="006439D2">
        <w:rPr>
          <w:rFonts w:ascii="Arial" w:eastAsia="Times New Roman" w:hAnsi="Arial" w:cs="Arial"/>
          <w:color w:val="000000" w:themeColor="text1"/>
          <w:sz w:val="20"/>
          <w:szCs w:val="20"/>
        </w:rPr>
        <w:t>3</w:t>
      </w:r>
      <w:r w:rsidRPr="003D1614">
        <w:rPr>
          <w:rFonts w:ascii="Arial" w:eastAsia="Times New Roman" w:hAnsi="Arial" w:cs="Arial"/>
          <w:color w:val="000000" w:themeColor="text1"/>
          <w:sz w:val="20"/>
          <w:szCs w:val="20"/>
        </w:rPr>
        <w:t>. analiziran je kroz preostalo razdoblje od dana Izvještaja o financijskom položaju u odnosu na ugovoreni datum dospijeća kako slijedi:</w:t>
      </w:r>
    </w:p>
    <w:p w14:paraId="607D6450"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tbl>
      <w:tblPr>
        <w:tblW w:w="5353" w:type="pct"/>
        <w:tblInd w:w="-142" w:type="dxa"/>
        <w:tblLayout w:type="fixed"/>
        <w:tblCellMar>
          <w:left w:w="120" w:type="dxa"/>
          <w:right w:w="120" w:type="dxa"/>
        </w:tblCellMar>
        <w:tblLook w:val="0000" w:firstRow="0" w:lastRow="0" w:firstColumn="0" w:lastColumn="0" w:noHBand="0" w:noVBand="0"/>
      </w:tblPr>
      <w:tblGrid>
        <w:gridCol w:w="2949"/>
        <w:gridCol w:w="1070"/>
        <w:gridCol w:w="1061"/>
        <w:gridCol w:w="1111"/>
        <w:gridCol w:w="1107"/>
        <w:gridCol w:w="1243"/>
        <w:gridCol w:w="1171"/>
      </w:tblGrid>
      <w:tr w:rsidR="00B66CB5" w:rsidRPr="003D1614" w14:paraId="0FBC36AC" w14:textId="77777777" w:rsidTr="00CC1B61">
        <w:trPr>
          <w:trHeight w:val="463"/>
        </w:trPr>
        <w:tc>
          <w:tcPr>
            <w:tcW w:w="1518" w:type="pct"/>
          </w:tcPr>
          <w:p w14:paraId="17A9A6B2" w14:textId="77777777" w:rsidR="00B66CB5" w:rsidRPr="003D1614" w:rsidRDefault="00B66CB5" w:rsidP="00CC1B61">
            <w:pPr>
              <w:tabs>
                <w:tab w:val="right" w:pos="1202"/>
              </w:tabs>
              <w:suppressAutoHyphens/>
              <w:autoSpaceDN w:val="0"/>
              <w:spacing w:line="240" w:lineRule="exact"/>
              <w:outlineLvl w:val="0"/>
              <w:rPr>
                <w:rFonts w:ascii="Arial" w:eastAsia="Times New Roman" w:hAnsi="Arial" w:cs="Arial"/>
                <w:b/>
                <w:color w:val="000000" w:themeColor="text1"/>
                <w:sz w:val="17"/>
                <w:szCs w:val="17"/>
              </w:rPr>
            </w:pPr>
            <w:bookmarkStart w:id="805" w:name="_Toc67330157"/>
            <w:r w:rsidRPr="003D1614">
              <w:rPr>
                <w:rFonts w:ascii="Arial" w:eastAsia="Times New Roman" w:hAnsi="Arial" w:cs="Arial"/>
                <w:b/>
                <w:color w:val="000000" w:themeColor="text1"/>
                <w:sz w:val="17"/>
                <w:szCs w:val="17"/>
              </w:rPr>
              <w:t>Banka</w:t>
            </w:r>
            <w:bookmarkEnd w:id="805"/>
          </w:p>
          <w:p w14:paraId="626CB0C3" w14:textId="77777777" w:rsidR="00B66CB5" w:rsidRPr="003D1614" w:rsidRDefault="00B66CB5" w:rsidP="00CC1B61">
            <w:pPr>
              <w:tabs>
                <w:tab w:val="right" w:pos="1202"/>
              </w:tabs>
              <w:suppressAutoHyphens/>
              <w:autoSpaceDN w:val="0"/>
              <w:spacing w:line="240" w:lineRule="exact"/>
              <w:outlineLvl w:val="0"/>
              <w:rPr>
                <w:rFonts w:ascii="Arial" w:eastAsia="Times New Roman" w:hAnsi="Arial" w:cs="Arial"/>
                <w:b/>
                <w:color w:val="000000" w:themeColor="text1"/>
                <w:sz w:val="17"/>
                <w:szCs w:val="17"/>
              </w:rPr>
            </w:pPr>
            <w:bookmarkStart w:id="806" w:name="_Toc67330158"/>
            <w:r w:rsidRPr="003D1614">
              <w:rPr>
                <w:rFonts w:ascii="Arial" w:eastAsia="Times New Roman" w:hAnsi="Arial" w:cs="Arial"/>
                <w:b/>
                <w:color w:val="000000" w:themeColor="text1"/>
                <w:sz w:val="17"/>
                <w:szCs w:val="17"/>
              </w:rPr>
              <w:t>31. ožujka 202</w:t>
            </w:r>
            <w:r>
              <w:rPr>
                <w:rFonts w:ascii="Arial" w:eastAsia="Times New Roman" w:hAnsi="Arial" w:cs="Arial"/>
                <w:b/>
                <w:color w:val="000000" w:themeColor="text1"/>
                <w:sz w:val="17"/>
                <w:szCs w:val="17"/>
              </w:rPr>
              <w:t>4</w:t>
            </w:r>
            <w:r w:rsidRPr="003D1614">
              <w:rPr>
                <w:rFonts w:ascii="Arial" w:eastAsia="Times New Roman" w:hAnsi="Arial" w:cs="Arial"/>
                <w:b/>
                <w:color w:val="000000" w:themeColor="text1"/>
                <w:sz w:val="17"/>
                <w:szCs w:val="17"/>
              </w:rPr>
              <w:t>.</w:t>
            </w:r>
            <w:bookmarkEnd w:id="806"/>
            <w:r w:rsidRPr="003D1614">
              <w:rPr>
                <w:rFonts w:ascii="Arial" w:eastAsia="Times New Roman" w:hAnsi="Arial" w:cs="Arial"/>
                <w:b/>
                <w:color w:val="000000" w:themeColor="text1"/>
                <w:sz w:val="17"/>
                <w:szCs w:val="17"/>
              </w:rPr>
              <w:t xml:space="preserve">  </w:t>
            </w:r>
          </w:p>
        </w:tc>
        <w:tc>
          <w:tcPr>
            <w:tcW w:w="551" w:type="pct"/>
          </w:tcPr>
          <w:p w14:paraId="7EC60838"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07" w:name="_Toc67330159"/>
            <w:r w:rsidRPr="003D1614">
              <w:rPr>
                <w:rFonts w:ascii="Arial" w:eastAsia="Times New Roman" w:hAnsi="Arial" w:cs="Arial"/>
                <w:b/>
                <w:color w:val="000000" w:themeColor="text1"/>
                <w:sz w:val="17"/>
                <w:szCs w:val="17"/>
              </w:rPr>
              <w:t>Do 1 mjesec</w:t>
            </w:r>
            <w:bookmarkEnd w:id="807"/>
          </w:p>
        </w:tc>
        <w:tc>
          <w:tcPr>
            <w:tcW w:w="546" w:type="pct"/>
          </w:tcPr>
          <w:p w14:paraId="0E365551"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08" w:name="_Toc67330160"/>
            <w:r w:rsidRPr="003D1614">
              <w:rPr>
                <w:rFonts w:ascii="Arial" w:eastAsia="Times New Roman" w:hAnsi="Arial" w:cs="Arial"/>
                <w:b/>
                <w:color w:val="000000" w:themeColor="text1"/>
                <w:sz w:val="17"/>
                <w:szCs w:val="17"/>
              </w:rPr>
              <w:t>1 do 3 mjeseca</w:t>
            </w:r>
            <w:bookmarkEnd w:id="808"/>
          </w:p>
        </w:tc>
        <w:tc>
          <w:tcPr>
            <w:tcW w:w="572" w:type="pct"/>
          </w:tcPr>
          <w:p w14:paraId="5573B966"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09" w:name="_Toc67330161"/>
            <w:r w:rsidRPr="003D1614">
              <w:rPr>
                <w:rFonts w:ascii="Arial" w:eastAsia="Times New Roman" w:hAnsi="Arial" w:cs="Arial"/>
                <w:b/>
                <w:color w:val="000000" w:themeColor="text1"/>
                <w:sz w:val="17"/>
                <w:szCs w:val="17"/>
              </w:rPr>
              <w:t>3 mj. do 1 godine</w:t>
            </w:r>
            <w:bookmarkEnd w:id="809"/>
          </w:p>
        </w:tc>
        <w:tc>
          <w:tcPr>
            <w:tcW w:w="570" w:type="pct"/>
          </w:tcPr>
          <w:p w14:paraId="539C6801"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10" w:name="_Toc67330162"/>
            <w:r w:rsidRPr="003D1614">
              <w:rPr>
                <w:rFonts w:ascii="Arial" w:eastAsia="Times New Roman" w:hAnsi="Arial" w:cs="Arial"/>
                <w:b/>
                <w:color w:val="000000" w:themeColor="text1"/>
                <w:sz w:val="17"/>
                <w:szCs w:val="17"/>
              </w:rPr>
              <w:t>1 do 3 godina</w:t>
            </w:r>
            <w:bookmarkEnd w:id="810"/>
          </w:p>
        </w:tc>
        <w:tc>
          <w:tcPr>
            <w:tcW w:w="640" w:type="pct"/>
          </w:tcPr>
          <w:p w14:paraId="324EC20F"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11" w:name="_Toc67330163"/>
            <w:r w:rsidRPr="003D1614">
              <w:rPr>
                <w:rFonts w:ascii="Arial" w:eastAsia="Times New Roman" w:hAnsi="Arial" w:cs="Arial"/>
                <w:b/>
                <w:color w:val="000000" w:themeColor="text1"/>
                <w:sz w:val="17"/>
                <w:szCs w:val="17"/>
              </w:rPr>
              <w:t>Preko 3 godine</w:t>
            </w:r>
            <w:bookmarkEnd w:id="811"/>
          </w:p>
        </w:tc>
        <w:tc>
          <w:tcPr>
            <w:tcW w:w="603" w:type="pct"/>
          </w:tcPr>
          <w:p w14:paraId="12778F2C"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12" w:name="_Toc67330164"/>
            <w:r w:rsidRPr="003D1614">
              <w:rPr>
                <w:rFonts w:ascii="Arial" w:eastAsia="Times New Roman" w:hAnsi="Arial" w:cs="Arial"/>
                <w:b/>
                <w:color w:val="000000" w:themeColor="text1"/>
                <w:sz w:val="17"/>
                <w:szCs w:val="17"/>
              </w:rPr>
              <w:t>Ukupno</w:t>
            </w:r>
            <w:bookmarkEnd w:id="812"/>
          </w:p>
        </w:tc>
      </w:tr>
      <w:tr w:rsidR="00B66CB5" w:rsidRPr="003D1614" w14:paraId="436A41A9" w14:textId="77777777" w:rsidTr="00CC1B61">
        <w:trPr>
          <w:trHeight w:val="152"/>
        </w:trPr>
        <w:tc>
          <w:tcPr>
            <w:tcW w:w="1518" w:type="pct"/>
          </w:tcPr>
          <w:p w14:paraId="428A13FD" w14:textId="77777777" w:rsidR="00B66CB5" w:rsidRPr="003D1614" w:rsidRDefault="00B66CB5" w:rsidP="00CC1B61">
            <w:pPr>
              <w:tabs>
                <w:tab w:val="left" w:pos="-720"/>
              </w:tabs>
              <w:suppressAutoHyphens/>
              <w:autoSpaceDN w:val="0"/>
              <w:spacing w:line="240" w:lineRule="exact"/>
              <w:jc w:val="center"/>
              <w:rPr>
                <w:rFonts w:ascii="Arial" w:eastAsia="Times New Roman" w:hAnsi="Arial" w:cs="Arial"/>
                <w:b/>
                <w:color w:val="000000" w:themeColor="text1"/>
                <w:spacing w:val="-2"/>
                <w:sz w:val="17"/>
                <w:szCs w:val="17"/>
              </w:rPr>
            </w:pPr>
          </w:p>
        </w:tc>
        <w:tc>
          <w:tcPr>
            <w:tcW w:w="551" w:type="pct"/>
            <w:vAlign w:val="bottom"/>
          </w:tcPr>
          <w:p w14:paraId="462DB0E5"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13" w:name="_Toc67330165"/>
            <w:r w:rsidRPr="003D1614">
              <w:rPr>
                <w:rFonts w:ascii="Arial" w:eastAsia="Times New Roman" w:hAnsi="Arial" w:cs="Arial"/>
                <w:b/>
                <w:bCs/>
                <w:color w:val="000000" w:themeColor="text1"/>
                <w:sz w:val="17"/>
                <w:szCs w:val="17"/>
              </w:rPr>
              <w:t>000 eura</w:t>
            </w:r>
            <w:bookmarkEnd w:id="813"/>
          </w:p>
        </w:tc>
        <w:tc>
          <w:tcPr>
            <w:tcW w:w="546" w:type="pct"/>
            <w:vAlign w:val="bottom"/>
          </w:tcPr>
          <w:p w14:paraId="61E80ED1"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14" w:name="_Toc67330166"/>
            <w:r w:rsidRPr="003D1614">
              <w:rPr>
                <w:rFonts w:ascii="Arial" w:eastAsia="Times New Roman" w:hAnsi="Arial" w:cs="Arial"/>
                <w:b/>
                <w:bCs/>
                <w:color w:val="000000" w:themeColor="text1"/>
                <w:sz w:val="17"/>
                <w:szCs w:val="17"/>
              </w:rPr>
              <w:t>000 eura</w:t>
            </w:r>
            <w:bookmarkEnd w:id="814"/>
          </w:p>
        </w:tc>
        <w:tc>
          <w:tcPr>
            <w:tcW w:w="572" w:type="pct"/>
            <w:vAlign w:val="bottom"/>
          </w:tcPr>
          <w:p w14:paraId="1E8D48A9"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15" w:name="_Toc67330167"/>
            <w:r w:rsidRPr="003D1614">
              <w:rPr>
                <w:rFonts w:ascii="Arial" w:eastAsia="Times New Roman" w:hAnsi="Arial" w:cs="Arial"/>
                <w:b/>
                <w:bCs/>
                <w:color w:val="000000" w:themeColor="text1"/>
                <w:sz w:val="17"/>
                <w:szCs w:val="17"/>
              </w:rPr>
              <w:t>000 eura</w:t>
            </w:r>
            <w:bookmarkEnd w:id="815"/>
          </w:p>
        </w:tc>
        <w:tc>
          <w:tcPr>
            <w:tcW w:w="570" w:type="pct"/>
            <w:vAlign w:val="bottom"/>
          </w:tcPr>
          <w:p w14:paraId="2D2941FA"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16" w:name="_Toc67330168"/>
            <w:r w:rsidRPr="003D1614">
              <w:rPr>
                <w:rFonts w:ascii="Arial" w:eastAsia="Times New Roman" w:hAnsi="Arial" w:cs="Arial"/>
                <w:b/>
                <w:bCs/>
                <w:color w:val="000000" w:themeColor="text1"/>
                <w:sz w:val="17"/>
                <w:szCs w:val="17"/>
              </w:rPr>
              <w:t>000 eura</w:t>
            </w:r>
            <w:bookmarkEnd w:id="816"/>
          </w:p>
        </w:tc>
        <w:tc>
          <w:tcPr>
            <w:tcW w:w="640" w:type="pct"/>
            <w:vAlign w:val="bottom"/>
          </w:tcPr>
          <w:p w14:paraId="22D4F1B5"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17" w:name="_Toc67330169"/>
            <w:r w:rsidRPr="003D1614">
              <w:rPr>
                <w:rFonts w:ascii="Arial" w:eastAsia="Times New Roman" w:hAnsi="Arial" w:cs="Arial"/>
                <w:b/>
                <w:bCs/>
                <w:color w:val="000000" w:themeColor="text1"/>
                <w:sz w:val="17"/>
                <w:szCs w:val="17"/>
              </w:rPr>
              <w:t>000 eura</w:t>
            </w:r>
            <w:bookmarkEnd w:id="817"/>
          </w:p>
        </w:tc>
        <w:tc>
          <w:tcPr>
            <w:tcW w:w="603" w:type="pct"/>
            <w:vAlign w:val="bottom"/>
          </w:tcPr>
          <w:p w14:paraId="5E497715"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color w:val="000000" w:themeColor="text1"/>
                <w:sz w:val="17"/>
                <w:szCs w:val="17"/>
              </w:rPr>
            </w:pPr>
            <w:bookmarkStart w:id="818" w:name="_Toc67330170"/>
            <w:r w:rsidRPr="003D1614">
              <w:rPr>
                <w:rFonts w:ascii="Arial" w:eastAsia="Times New Roman" w:hAnsi="Arial" w:cs="Arial"/>
                <w:b/>
                <w:bCs/>
                <w:color w:val="000000" w:themeColor="text1"/>
                <w:sz w:val="17"/>
                <w:szCs w:val="17"/>
              </w:rPr>
              <w:t>000 eura</w:t>
            </w:r>
            <w:bookmarkEnd w:id="818"/>
          </w:p>
        </w:tc>
      </w:tr>
      <w:tr w:rsidR="00B66CB5" w:rsidRPr="003D1614" w14:paraId="73BCF67B" w14:textId="77777777" w:rsidTr="00CC1B61">
        <w:trPr>
          <w:trHeight w:val="145"/>
        </w:trPr>
        <w:tc>
          <w:tcPr>
            <w:tcW w:w="1518" w:type="pct"/>
          </w:tcPr>
          <w:p w14:paraId="5E65D2D9" w14:textId="77777777" w:rsidR="00B66CB5" w:rsidRPr="003D1614" w:rsidRDefault="00B66CB5" w:rsidP="00CC1B61">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819" w:name="_Toc67330171"/>
            <w:r w:rsidRPr="003D1614">
              <w:rPr>
                <w:rFonts w:ascii="Arial" w:eastAsia="Times New Roman" w:hAnsi="Arial" w:cs="Arial"/>
                <w:b/>
                <w:bCs/>
                <w:color w:val="000000" w:themeColor="text1"/>
                <w:sz w:val="17"/>
                <w:szCs w:val="17"/>
              </w:rPr>
              <w:t>Imovina</w:t>
            </w:r>
            <w:bookmarkEnd w:id="819"/>
          </w:p>
        </w:tc>
        <w:tc>
          <w:tcPr>
            <w:tcW w:w="551" w:type="pct"/>
            <w:vAlign w:val="bottom"/>
          </w:tcPr>
          <w:p w14:paraId="0356C29A"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546" w:type="pct"/>
            <w:vAlign w:val="bottom"/>
          </w:tcPr>
          <w:p w14:paraId="32743369"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572" w:type="pct"/>
            <w:vAlign w:val="bottom"/>
          </w:tcPr>
          <w:p w14:paraId="2EE51617"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570" w:type="pct"/>
            <w:vAlign w:val="bottom"/>
          </w:tcPr>
          <w:p w14:paraId="258D4D1E"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640" w:type="pct"/>
            <w:vAlign w:val="bottom"/>
          </w:tcPr>
          <w:p w14:paraId="38D44CCB"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c>
          <w:tcPr>
            <w:tcW w:w="603" w:type="pct"/>
            <w:vAlign w:val="bottom"/>
          </w:tcPr>
          <w:p w14:paraId="4392D9DE" w14:textId="77777777" w:rsidR="00B66CB5" w:rsidRPr="003D1614" w:rsidRDefault="00B66CB5" w:rsidP="00CC1B61">
            <w:pPr>
              <w:tabs>
                <w:tab w:val="right" w:pos="1202"/>
              </w:tabs>
              <w:suppressAutoHyphens/>
              <w:autoSpaceDN w:val="0"/>
              <w:spacing w:line="240" w:lineRule="exact"/>
              <w:jc w:val="right"/>
              <w:outlineLvl w:val="0"/>
              <w:rPr>
                <w:rFonts w:ascii="Arial" w:eastAsia="Times New Roman" w:hAnsi="Arial" w:cs="Arial"/>
                <w:b/>
                <w:bCs/>
                <w:color w:val="000000" w:themeColor="text1"/>
                <w:spacing w:val="-2"/>
                <w:sz w:val="17"/>
                <w:szCs w:val="17"/>
              </w:rPr>
            </w:pPr>
          </w:p>
        </w:tc>
      </w:tr>
      <w:tr w:rsidR="00B66CB5" w:rsidRPr="003D1614" w14:paraId="3373C643" w14:textId="77777777" w:rsidTr="00CC1B61">
        <w:trPr>
          <w:trHeight w:val="261"/>
        </w:trPr>
        <w:tc>
          <w:tcPr>
            <w:tcW w:w="1518" w:type="pct"/>
            <w:vAlign w:val="bottom"/>
          </w:tcPr>
          <w:p w14:paraId="3348CEE9" w14:textId="77777777" w:rsidR="00B66CB5" w:rsidRPr="003D1614" w:rsidRDefault="00B66CB5" w:rsidP="00CC1B61">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20" w:name="_Toc67330172"/>
            <w:r w:rsidRPr="003D1614">
              <w:rPr>
                <w:rFonts w:ascii="Arial" w:eastAsia="Times New Roman" w:hAnsi="Arial" w:cs="Arial"/>
                <w:color w:val="000000" w:themeColor="text1"/>
                <w:spacing w:val="-2"/>
                <w:sz w:val="17"/>
                <w:szCs w:val="17"/>
              </w:rPr>
              <w:t>Novčana sredstva i računi kod banaka</w:t>
            </w:r>
            <w:bookmarkEnd w:id="820"/>
          </w:p>
        </w:tc>
        <w:tc>
          <w:tcPr>
            <w:tcW w:w="551" w:type="pct"/>
            <w:tcBorders>
              <w:top w:val="nil"/>
              <w:left w:val="nil"/>
              <w:bottom w:val="nil"/>
              <w:right w:val="nil"/>
            </w:tcBorders>
            <w:shd w:val="clear" w:color="auto" w:fill="auto"/>
            <w:vAlign w:val="bottom"/>
          </w:tcPr>
          <w:p w14:paraId="0B368ECC"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76.953</w:t>
            </w:r>
          </w:p>
        </w:tc>
        <w:tc>
          <w:tcPr>
            <w:tcW w:w="546" w:type="pct"/>
            <w:tcBorders>
              <w:top w:val="nil"/>
              <w:left w:val="nil"/>
              <w:bottom w:val="nil"/>
              <w:right w:val="nil"/>
            </w:tcBorders>
            <w:shd w:val="clear" w:color="auto" w:fill="auto"/>
            <w:vAlign w:val="bottom"/>
          </w:tcPr>
          <w:p w14:paraId="4710ECE5"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6F5CDD4A"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0" w:type="pct"/>
            <w:tcBorders>
              <w:top w:val="nil"/>
              <w:left w:val="nil"/>
              <w:bottom w:val="nil"/>
              <w:right w:val="nil"/>
            </w:tcBorders>
            <w:shd w:val="clear" w:color="auto" w:fill="auto"/>
            <w:vAlign w:val="bottom"/>
          </w:tcPr>
          <w:p w14:paraId="58A24064"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40" w:type="pct"/>
            <w:tcBorders>
              <w:top w:val="nil"/>
              <w:left w:val="nil"/>
              <w:bottom w:val="nil"/>
              <w:right w:val="nil"/>
            </w:tcBorders>
            <w:shd w:val="clear" w:color="auto" w:fill="auto"/>
            <w:vAlign w:val="bottom"/>
          </w:tcPr>
          <w:p w14:paraId="638D145E"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03" w:type="pct"/>
            <w:tcBorders>
              <w:top w:val="nil"/>
              <w:left w:val="nil"/>
              <w:bottom w:val="nil"/>
              <w:right w:val="nil"/>
            </w:tcBorders>
            <w:shd w:val="clear" w:color="auto" w:fill="auto"/>
            <w:vAlign w:val="bottom"/>
          </w:tcPr>
          <w:p w14:paraId="36534466"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76.953</w:t>
            </w:r>
          </w:p>
        </w:tc>
      </w:tr>
      <w:tr w:rsidR="00B66CB5" w:rsidRPr="003D1614" w14:paraId="264DD579" w14:textId="77777777" w:rsidTr="00CC1B61">
        <w:trPr>
          <w:trHeight w:val="261"/>
        </w:trPr>
        <w:tc>
          <w:tcPr>
            <w:tcW w:w="1518" w:type="pct"/>
            <w:vAlign w:val="bottom"/>
          </w:tcPr>
          <w:p w14:paraId="7B89BD92" w14:textId="77777777" w:rsidR="00B66CB5" w:rsidRPr="003D1614" w:rsidRDefault="00B66CB5" w:rsidP="00CC1B61">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21" w:name="_Toc67330173"/>
            <w:r w:rsidRPr="003D1614">
              <w:rPr>
                <w:rFonts w:ascii="Arial" w:eastAsia="Times New Roman" w:hAnsi="Arial" w:cs="Arial"/>
                <w:color w:val="000000" w:themeColor="text1"/>
                <w:spacing w:val="-2"/>
                <w:sz w:val="17"/>
                <w:szCs w:val="17"/>
              </w:rPr>
              <w:t>Depoziti kod drugih banaka</w:t>
            </w:r>
            <w:bookmarkEnd w:id="821"/>
          </w:p>
        </w:tc>
        <w:tc>
          <w:tcPr>
            <w:tcW w:w="551" w:type="pct"/>
            <w:tcBorders>
              <w:top w:val="nil"/>
              <w:left w:val="nil"/>
              <w:bottom w:val="nil"/>
              <w:right w:val="nil"/>
            </w:tcBorders>
            <w:shd w:val="clear" w:color="auto" w:fill="auto"/>
            <w:vAlign w:val="bottom"/>
          </w:tcPr>
          <w:p w14:paraId="6E3A83F2"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125.836</w:t>
            </w:r>
          </w:p>
        </w:tc>
        <w:tc>
          <w:tcPr>
            <w:tcW w:w="546" w:type="pct"/>
            <w:tcBorders>
              <w:top w:val="nil"/>
              <w:left w:val="nil"/>
              <w:bottom w:val="nil"/>
              <w:right w:val="nil"/>
            </w:tcBorders>
            <w:shd w:val="clear" w:color="auto" w:fill="auto"/>
            <w:vAlign w:val="bottom"/>
          </w:tcPr>
          <w:p w14:paraId="55E4C922"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4504FEAF"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0" w:type="pct"/>
            <w:tcBorders>
              <w:top w:val="nil"/>
              <w:left w:val="nil"/>
              <w:bottom w:val="nil"/>
              <w:right w:val="nil"/>
            </w:tcBorders>
            <w:shd w:val="clear" w:color="auto" w:fill="auto"/>
            <w:vAlign w:val="bottom"/>
          </w:tcPr>
          <w:p w14:paraId="6BAB578A"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40" w:type="pct"/>
            <w:tcBorders>
              <w:top w:val="nil"/>
              <w:left w:val="nil"/>
              <w:bottom w:val="nil"/>
              <w:right w:val="nil"/>
            </w:tcBorders>
            <w:shd w:val="clear" w:color="auto" w:fill="auto"/>
            <w:vAlign w:val="bottom"/>
          </w:tcPr>
          <w:p w14:paraId="274A2C6A"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1.060</w:t>
            </w:r>
          </w:p>
        </w:tc>
        <w:tc>
          <w:tcPr>
            <w:tcW w:w="603" w:type="pct"/>
            <w:tcBorders>
              <w:top w:val="nil"/>
              <w:left w:val="nil"/>
              <w:bottom w:val="nil"/>
              <w:right w:val="nil"/>
            </w:tcBorders>
            <w:shd w:val="clear" w:color="auto" w:fill="auto"/>
            <w:vAlign w:val="bottom"/>
          </w:tcPr>
          <w:p w14:paraId="6396ABE8"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126.896</w:t>
            </w:r>
          </w:p>
        </w:tc>
      </w:tr>
      <w:tr w:rsidR="00B66CB5" w:rsidRPr="003D1614" w14:paraId="7FBBC776" w14:textId="77777777" w:rsidTr="00CC1B61">
        <w:trPr>
          <w:trHeight w:val="261"/>
        </w:trPr>
        <w:tc>
          <w:tcPr>
            <w:tcW w:w="1518" w:type="pct"/>
            <w:vAlign w:val="bottom"/>
          </w:tcPr>
          <w:p w14:paraId="130355E8" w14:textId="77777777" w:rsidR="00B66CB5" w:rsidRPr="003D1614" w:rsidRDefault="00B66CB5" w:rsidP="00CC1B61">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822" w:name="_Toc67330174"/>
            <w:r w:rsidRPr="003D1614">
              <w:rPr>
                <w:rFonts w:ascii="Arial" w:eastAsia="Times New Roman" w:hAnsi="Arial" w:cs="Arial"/>
                <w:color w:val="000000" w:themeColor="text1"/>
                <w:spacing w:val="-2"/>
                <w:sz w:val="17"/>
                <w:szCs w:val="17"/>
              </w:rPr>
              <w:t>Krediti financijskim institucijama</w:t>
            </w:r>
            <w:bookmarkEnd w:id="822"/>
            <w:r>
              <w:rPr>
                <w:rFonts w:ascii="Arial" w:eastAsia="Times New Roman" w:hAnsi="Arial" w:cs="Arial"/>
                <w:color w:val="000000" w:themeColor="text1"/>
                <w:spacing w:val="-2"/>
                <w:sz w:val="17"/>
                <w:szCs w:val="17"/>
              </w:rPr>
              <w:t>*</w:t>
            </w:r>
          </w:p>
        </w:tc>
        <w:tc>
          <w:tcPr>
            <w:tcW w:w="551" w:type="pct"/>
            <w:tcBorders>
              <w:top w:val="nil"/>
              <w:left w:val="nil"/>
              <w:bottom w:val="nil"/>
              <w:right w:val="nil"/>
            </w:tcBorders>
            <w:shd w:val="clear" w:color="auto" w:fill="auto"/>
            <w:vAlign w:val="bottom"/>
          </w:tcPr>
          <w:p w14:paraId="02035BAF"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66.915</w:t>
            </w:r>
          </w:p>
        </w:tc>
        <w:tc>
          <w:tcPr>
            <w:tcW w:w="546" w:type="pct"/>
            <w:tcBorders>
              <w:top w:val="nil"/>
              <w:left w:val="nil"/>
              <w:bottom w:val="nil"/>
              <w:right w:val="nil"/>
            </w:tcBorders>
            <w:shd w:val="clear" w:color="auto" w:fill="auto"/>
            <w:vAlign w:val="bottom"/>
          </w:tcPr>
          <w:p w14:paraId="55E0F71B"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45.805</w:t>
            </w:r>
          </w:p>
        </w:tc>
        <w:tc>
          <w:tcPr>
            <w:tcW w:w="572" w:type="pct"/>
            <w:tcBorders>
              <w:top w:val="nil"/>
              <w:left w:val="nil"/>
              <w:bottom w:val="nil"/>
              <w:right w:val="nil"/>
            </w:tcBorders>
            <w:shd w:val="clear" w:color="auto" w:fill="auto"/>
            <w:vAlign w:val="bottom"/>
          </w:tcPr>
          <w:p w14:paraId="327498EF"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132.233</w:t>
            </w:r>
          </w:p>
        </w:tc>
        <w:tc>
          <w:tcPr>
            <w:tcW w:w="570" w:type="pct"/>
            <w:tcBorders>
              <w:top w:val="nil"/>
              <w:left w:val="nil"/>
              <w:bottom w:val="nil"/>
              <w:right w:val="nil"/>
            </w:tcBorders>
            <w:shd w:val="clear" w:color="auto" w:fill="auto"/>
            <w:vAlign w:val="bottom"/>
          </w:tcPr>
          <w:p w14:paraId="3E1BD64D"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318.336</w:t>
            </w:r>
          </w:p>
        </w:tc>
        <w:tc>
          <w:tcPr>
            <w:tcW w:w="640" w:type="pct"/>
            <w:tcBorders>
              <w:top w:val="nil"/>
              <w:left w:val="nil"/>
              <w:bottom w:val="nil"/>
              <w:right w:val="nil"/>
            </w:tcBorders>
            <w:shd w:val="clear" w:color="auto" w:fill="auto"/>
            <w:vAlign w:val="bottom"/>
          </w:tcPr>
          <w:p w14:paraId="4CF91AC5"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574.777</w:t>
            </w:r>
          </w:p>
        </w:tc>
        <w:tc>
          <w:tcPr>
            <w:tcW w:w="603" w:type="pct"/>
            <w:tcBorders>
              <w:top w:val="nil"/>
              <w:left w:val="nil"/>
              <w:bottom w:val="nil"/>
              <w:right w:val="nil"/>
            </w:tcBorders>
            <w:shd w:val="clear" w:color="auto" w:fill="auto"/>
            <w:vAlign w:val="bottom"/>
          </w:tcPr>
          <w:p w14:paraId="0B84C665"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1.138.066</w:t>
            </w:r>
          </w:p>
        </w:tc>
      </w:tr>
      <w:tr w:rsidR="00B66CB5" w:rsidRPr="003D1614" w14:paraId="3EB96AE2" w14:textId="77777777" w:rsidTr="00CC1B61">
        <w:trPr>
          <w:trHeight w:val="261"/>
        </w:trPr>
        <w:tc>
          <w:tcPr>
            <w:tcW w:w="1518" w:type="pct"/>
            <w:vAlign w:val="bottom"/>
          </w:tcPr>
          <w:p w14:paraId="61DFF19A" w14:textId="77777777" w:rsidR="00B66CB5" w:rsidRPr="003D1614" w:rsidRDefault="00B66CB5" w:rsidP="00CC1B61">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823" w:name="_Toc67330175"/>
            <w:r w:rsidRPr="003D1614">
              <w:rPr>
                <w:rFonts w:ascii="Arial" w:eastAsia="Times New Roman" w:hAnsi="Arial" w:cs="Arial"/>
                <w:color w:val="000000" w:themeColor="text1"/>
                <w:spacing w:val="-2"/>
                <w:sz w:val="17"/>
                <w:szCs w:val="17"/>
              </w:rPr>
              <w:t>Krediti ostalim korisnicima</w:t>
            </w:r>
            <w:bookmarkEnd w:id="823"/>
          </w:p>
        </w:tc>
        <w:tc>
          <w:tcPr>
            <w:tcW w:w="551" w:type="pct"/>
            <w:tcBorders>
              <w:top w:val="nil"/>
              <w:left w:val="nil"/>
              <w:bottom w:val="nil"/>
              <w:right w:val="nil"/>
            </w:tcBorders>
            <w:shd w:val="clear" w:color="auto" w:fill="auto"/>
            <w:vAlign w:val="bottom"/>
          </w:tcPr>
          <w:p w14:paraId="674484F9"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252.468</w:t>
            </w:r>
          </w:p>
        </w:tc>
        <w:tc>
          <w:tcPr>
            <w:tcW w:w="546" w:type="pct"/>
            <w:tcBorders>
              <w:top w:val="nil"/>
              <w:left w:val="nil"/>
              <w:bottom w:val="nil"/>
              <w:right w:val="nil"/>
            </w:tcBorders>
            <w:shd w:val="clear" w:color="auto" w:fill="auto"/>
            <w:vAlign w:val="bottom"/>
          </w:tcPr>
          <w:p w14:paraId="4AAE311A"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98.749</w:t>
            </w:r>
          </w:p>
        </w:tc>
        <w:tc>
          <w:tcPr>
            <w:tcW w:w="572" w:type="pct"/>
            <w:tcBorders>
              <w:top w:val="nil"/>
              <w:left w:val="nil"/>
              <w:bottom w:val="nil"/>
              <w:right w:val="nil"/>
            </w:tcBorders>
            <w:shd w:val="clear" w:color="auto" w:fill="auto"/>
            <w:vAlign w:val="bottom"/>
          </w:tcPr>
          <w:p w14:paraId="179E9AD3"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233.473</w:t>
            </w:r>
          </w:p>
        </w:tc>
        <w:tc>
          <w:tcPr>
            <w:tcW w:w="570" w:type="pct"/>
            <w:tcBorders>
              <w:top w:val="nil"/>
              <w:left w:val="nil"/>
              <w:bottom w:val="nil"/>
              <w:right w:val="nil"/>
            </w:tcBorders>
            <w:shd w:val="clear" w:color="auto" w:fill="auto"/>
            <w:vAlign w:val="bottom"/>
          </w:tcPr>
          <w:p w14:paraId="3AA6451A"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615.929</w:t>
            </w:r>
          </w:p>
        </w:tc>
        <w:tc>
          <w:tcPr>
            <w:tcW w:w="640" w:type="pct"/>
            <w:tcBorders>
              <w:top w:val="nil"/>
              <w:left w:val="nil"/>
              <w:bottom w:val="nil"/>
              <w:right w:val="nil"/>
            </w:tcBorders>
            <w:shd w:val="clear" w:color="auto" w:fill="auto"/>
            <w:vAlign w:val="bottom"/>
          </w:tcPr>
          <w:p w14:paraId="17B5D5FB"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1.137.225</w:t>
            </w:r>
          </w:p>
        </w:tc>
        <w:tc>
          <w:tcPr>
            <w:tcW w:w="603" w:type="pct"/>
            <w:tcBorders>
              <w:top w:val="nil"/>
              <w:left w:val="nil"/>
              <w:bottom w:val="nil"/>
              <w:right w:val="nil"/>
            </w:tcBorders>
            <w:shd w:val="clear" w:color="auto" w:fill="auto"/>
            <w:vAlign w:val="bottom"/>
          </w:tcPr>
          <w:p w14:paraId="35DEC85D"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2.337.844</w:t>
            </w:r>
          </w:p>
        </w:tc>
      </w:tr>
      <w:tr w:rsidR="00B66CB5" w:rsidRPr="003D1614" w14:paraId="2BCDC073" w14:textId="77777777" w:rsidTr="00CC1B61">
        <w:trPr>
          <w:trHeight w:val="145"/>
        </w:trPr>
        <w:tc>
          <w:tcPr>
            <w:tcW w:w="1518" w:type="pct"/>
            <w:vAlign w:val="bottom"/>
          </w:tcPr>
          <w:p w14:paraId="6A46246F" w14:textId="77777777" w:rsidR="00B66CB5" w:rsidRPr="003D1614" w:rsidRDefault="00B66CB5" w:rsidP="00CC1B61">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824" w:name="_Toc67330176"/>
            <w:r w:rsidRPr="003D1614">
              <w:rPr>
                <w:rFonts w:ascii="Arial" w:eastAsia="Times New Roman" w:hAnsi="Arial" w:cs="Arial"/>
                <w:color w:val="000000" w:themeColor="text1"/>
                <w:sz w:val="17"/>
                <w:szCs w:val="17"/>
              </w:rPr>
              <w:t>Financijska imovina po fer vrijednosti kroz dobit ili gubitak</w:t>
            </w:r>
            <w:bookmarkEnd w:id="824"/>
          </w:p>
        </w:tc>
        <w:tc>
          <w:tcPr>
            <w:tcW w:w="551" w:type="pct"/>
            <w:tcBorders>
              <w:top w:val="nil"/>
              <w:left w:val="nil"/>
              <w:bottom w:val="nil"/>
              <w:right w:val="nil"/>
            </w:tcBorders>
            <w:shd w:val="clear" w:color="auto" w:fill="auto"/>
            <w:vAlign w:val="bottom"/>
          </w:tcPr>
          <w:p w14:paraId="1FF0A957"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167</w:t>
            </w:r>
          </w:p>
        </w:tc>
        <w:tc>
          <w:tcPr>
            <w:tcW w:w="546" w:type="pct"/>
            <w:tcBorders>
              <w:top w:val="nil"/>
              <w:left w:val="nil"/>
              <w:bottom w:val="nil"/>
              <w:right w:val="nil"/>
            </w:tcBorders>
            <w:shd w:val="clear" w:color="auto" w:fill="auto"/>
            <w:vAlign w:val="bottom"/>
          </w:tcPr>
          <w:p w14:paraId="6E9D4179"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21E5BB1E"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0" w:type="pct"/>
            <w:tcBorders>
              <w:top w:val="nil"/>
              <w:left w:val="nil"/>
              <w:bottom w:val="nil"/>
              <w:right w:val="nil"/>
            </w:tcBorders>
            <w:shd w:val="clear" w:color="auto" w:fill="auto"/>
            <w:vAlign w:val="bottom"/>
          </w:tcPr>
          <w:p w14:paraId="054820A1"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33.272</w:t>
            </w:r>
          </w:p>
        </w:tc>
        <w:tc>
          <w:tcPr>
            <w:tcW w:w="640" w:type="pct"/>
            <w:tcBorders>
              <w:top w:val="nil"/>
              <w:left w:val="nil"/>
              <w:bottom w:val="nil"/>
              <w:right w:val="nil"/>
            </w:tcBorders>
            <w:shd w:val="clear" w:color="auto" w:fill="auto"/>
            <w:vAlign w:val="bottom"/>
          </w:tcPr>
          <w:p w14:paraId="3B1872D7"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20.333</w:t>
            </w:r>
          </w:p>
        </w:tc>
        <w:tc>
          <w:tcPr>
            <w:tcW w:w="603" w:type="pct"/>
            <w:tcBorders>
              <w:top w:val="nil"/>
              <w:left w:val="nil"/>
              <w:bottom w:val="nil"/>
              <w:right w:val="nil"/>
            </w:tcBorders>
            <w:shd w:val="clear" w:color="auto" w:fill="auto"/>
            <w:vAlign w:val="bottom"/>
          </w:tcPr>
          <w:p w14:paraId="33FA7E58"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53.772</w:t>
            </w:r>
          </w:p>
        </w:tc>
      </w:tr>
      <w:tr w:rsidR="00B66CB5" w:rsidRPr="003D1614" w14:paraId="7604F06B" w14:textId="77777777" w:rsidTr="00CC1B61">
        <w:trPr>
          <w:trHeight w:val="145"/>
        </w:trPr>
        <w:tc>
          <w:tcPr>
            <w:tcW w:w="1518" w:type="pct"/>
            <w:vAlign w:val="bottom"/>
          </w:tcPr>
          <w:p w14:paraId="0F5CC463" w14:textId="77777777" w:rsidR="00B66CB5" w:rsidRPr="003D1614" w:rsidRDefault="00B66CB5" w:rsidP="00CC1B61">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825" w:name="_Toc67330177"/>
            <w:r w:rsidRPr="003D1614">
              <w:rPr>
                <w:rFonts w:ascii="Arial" w:eastAsia="Times New Roman" w:hAnsi="Arial" w:cs="Arial"/>
                <w:color w:val="000000" w:themeColor="text1"/>
                <w:sz w:val="17"/>
                <w:szCs w:val="17"/>
              </w:rPr>
              <w:t>Financijska imovina po fer vrijednosti kroz ostalu sveobuhvatnu dobit</w:t>
            </w:r>
            <w:bookmarkEnd w:id="825"/>
          </w:p>
        </w:tc>
        <w:tc>
          <w:tcPr>
            <w:tcW w:w="551" w:type="pct"/>
            <w:tcBorders>
              <w:top w:val="nil"/>
              <w:left w:val="nil"/>
              <w:bottom w:val="nil"/>
              <w:right w:val="nil"/>
            </w:tcBorders>
            <w:shd w:val="clear" w:color="auto" w:fill="auto"/>
            <w:vAlign w:val="bottom"/>
          </w:tcPr>
          <w:p w14:paraId="74E6BDD0"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238.125</w:t>
            </w:r>
          </w:p>
        </w:tc>
        <w:tc>
          <w:tcPr>
            <w:tcW w:w="546" w:type="pct"/>
            <w:tcBorders>
              <w:top w:val="nil"/>
              <w:left w:val="nil"/>
              <w:bottom w:val="nil"/>
              <w:right w:val="nil"/>
            </w:tcBorders>
            <w:shd w:val="clear" w:color="auto" w:fill="auto"/>
            <w:vAlign w:val="bottom"/>
          </w:tcPr>
          <w:p w14:paraId="530CC913"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1.475</w:t>
            </w:r>
          </w:p>
        </w:tc>
        <w:tc>
          <w:tcPr>
            <w:tcW w:w="572" w:type="pct"/>
            <w:tcBorders>
              <w:top w:val="nil"/>
              <w:left w:val="nil"/>
              <w:bottom w:val="nil"/>
              <w:right w:val="nil"/>
            </w:tcBorders>
            <w:shd w:val="clear" w:color="auto" w:fill="auto"/>
            <w:vAlign w:val="bottom"/>
          </w:tcPr>
          <w:p w14:paraId="2C8AC920"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0" w:type="pct"/>
            <w:tcBorders>
              <w:top w:val="nil"/>
              <w:left w:val="nil"/>
              <w:bottom w:val="nil"/>
              <w:right w:val="nil"/>
            </w:tcBorders>
            <w:shd w:val="clear" w:color="auto" w:fill="auto"/>
            <w:vAlign w:val="bottom"/>
          </w:tcPr>
          <w:p w14:paraId="6352A7B1"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40" w:type="pct"/>
            <w:tcBorders>
              <w:top w:val="nil"/>
              <w:left w:val="nil"/>
              <w:bottom w:val="nil"/>
              <w:right w:val="nil"/>
            </w:tcBorders>
            <w:shd w:val="clear" w:color="auto" w:fill="auto"/>
            <w:vAlign w:val="bottom"/>
          </w:tcPr>
          <w:p w14:paraId="74F80DAF"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03" w:type="pct"/>
            <w:tcBorders>
              <w:top w:val="nil"/>
              <w:left w:val="nil"/>
              <w:bottom w:val="nil"/>
              <w:right w:val="nil"/>
            </w:tcBorders>
            <w:shd w:val="clear" w:color="auto" w:fill="auto"/>
            <w:vAlign w:val="bottom"/>
          </w:tcPr>
          <w:p w14:paraId="6B31F15A"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239.600</w:t>
            </w:r>
          </w:p>
        </w:tc>
      </w:tr>
      <w:tr w:rsidR="00B66CB5" w:rsidRPr="003D1614" w14:paraId="1D4947E4" w14:textId="77777777" w:rsidTr="00CC1B61">
        <w:trPr>
          <w:trHeight w:val="145"/>
        </w:trPr>
        <w:tc>
          <w:tcPr>
            <w:tcW w:w="1518" w:type="pct"/>
            <w:vAlign w:val="bottom"/>
          </w:tcPr>
          <w:p w14:paraId="36883A46" w14:textId="77777777" w:rsidR="00B66CB5" w:rsidRPr="003D1614" w:rsidRDefault="00B66CB5" w:rsidP="00CC1B61">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826" w:name="_Toc67330178"/>
            <w:r w:rsidRPr="003D1614">
              <w:rPr>
                <w:rFonts w:ascii="Arial" w:eastAsia="Times New Roman" w:hAnsi="Arial" w:cs="Arial"/>
                <w:color w:val="000000" w:themeColor="text1"/>
                <w:spacing w:val="-2"/>
                <w:sz w:val="17"/>
                <w:szCs w:val="17"/>
              </w:rPr>
              <w:t>Ulaganja u ovisna društva</w:t>
            </w:r>
            <w:bookmarkEnd w:id="826"/>
          </w:p>
        </w:tc>
        <w:tc>
          <w:tcPr>
            <w:tcW w:w="551" w:type="pct"/>
            <w:tcBorders>
              <w:top w:val="nil"/>
              <w:left w:val="nil"/>
              <w:bottom w:val="nil"/>
              <w:right w:val="nil"/>
            </w:tcBorders>
            <w:shd w:val="clear" w:color="auto" w:fill="auto"/>
            <w:vAlign w:val="bottom"/>
          </w:tcPr>
          <w:p w14:paraId="23305D95"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46" w:type="pct"/>
            <w:tcBorders>
              <w:top w:val="nil"/>
              <w:left w:val="nil"/>
              <w:bottom w:val="nil"/>
              <w:right w:val="nil"/>
            </w:tcBorders>
            <w:shd w:val="clear" w:color="auto" w:fill="auto"/>
            <w:vAlign w:val="bottom"/>
          </w:tcPr>
          <w:p w14:paraId="1182E1EB"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65219E1B"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0" w:type="pct"/>
            <w:tcBorders>
              <w:top w:val="nil"/>
              <w:left w:val="nil"/>
              <w:bottom w:val="nil"/>
              <w:right w:val="nil"/>
            </w:tcBorders>
            <w:shd w:val="clear" w:color="auto" w:fill="auto"/>
            <w:vAlign w:val="bottom"/>
          </w:tcPr>
          <w:p w14:paraId="55BB5251"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40" w:type="pct"/>
            <w:tcBorders>
              <w:top w:val="nil"/>
              <w:left w:val="nil"/>
              <w:bottom w:val="nil"/>
              <w:right w:val="nil"/>
            </w:tcBorders>
            <w:shd w:val="clear" w:color="auto" w:fill="auto"/>
            <w:vAlign w:val="bottom"/>
          </w:tcPr>
          <w:p w14:paraId="0E51C578"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7.449</w:t>
            </w:r>
          </w:p>
        </w:tc>
        <w:tc>
          <w:tcPr>
            <w:tcW w:w="603" w:type="pct"/>
            <w:tcBorders>
              <w:top w:val="nil"/>
              <w:left w:val="nil"/>
              <w:bottom w:val="nil"/>
              <w:right w:val="nil"/>
            </w:tcBorders>
            <w:shd w:val="clear" w:color="auto" w:fill="auto"/>
            <w:vAlign w:val="bottom"/>
          </w:tcPr>
          <w:p w14:paraId="7211507A"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7.449</w:t>
            </w:r>
          </w:p>
        </w:tc>
      </w:tr>
      <w:tr w:rsidR="00B66CB5" w:rsidRPr="003D1614" w14:paraId="66F2E693" w14:textId="77777777" w:rsidTr="00CC1B61">
        <w:trPr>
          <w:trHeight w:val="293"/>
        </w:trPr>
        <w:tc>
          <w:tcPr>
            <w:tcW w:w="1518" w:type="pct"/>
            <w:vAlign w:val="bottom"/>
          </w:tcPr>
          <w:p w14:paraId="1F57BB24" w14:textId="77777777" w:rsidR="00B66CB5" w:rsidRPr="003D1614" w:rsidRDefault="00B66CB5" w:rsidP="00CC1B61">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27" w:name="_Toc67330179"/>
            <w:r w:rsidRPr="003D1614">
              <w:rPr>
                <w:rFonts w:ascii="Arial" w:eastAsia="Times New Roman" w:hAnsi="Arial" w:cs="Arial"/>
                <w:color w:val="000000" w:themeColor="text1"/>
                <w:spacing w:val="-2"/>
                <w:sz w:val="17"/>
                <w:szCs w:val="17"/>
              </w:rPr>
              <w:t>Nekretnine, postrojenja i oprema i nematerijalna imovina</w:t>
            </w:r>
            <w:bookmarkEnd w:id="827"/>
          </w:p>
        </w:tc>
        <w:tc>
          <w:tcPr>
            <w:tcW w:w="551" w:type="pct"/>
            <w:tcBorders>
              <w:top w:val="nil"/>
              <w:left w:val="nil"/>
              <w:bottom w:val="nil"/>
              <w:right w:val="nil"/>
            </w:tcBorders>
            <w:shd w:val="clear" w:color="auto" w:fill="auto"/>
            <w:vAlign w:val="bottom"/>
          </w:tcPr>
          <w:p w14:paraId="03B3083B"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46" w:type="pct"/>
            <w:tcBorders>
              <w:top w:val="nil"/>
              <w:left w:val="nil"/>
              <w:bottom w:val="nil"/>
              <w:right w:val="nil"/>
            </w:tcBorders>
            <w:shd w:val="clear" w:color="auto" w:fill="auto"/>
            <w:vAlign w:val="bottom"/>
          </w:tcPr>
          <w:p w14:paraId="064F8319"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33650A62"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0" w:type="pct"/>
            <w:tcBorders>
              <w:top w:val="nil"/>
              <w:left w:val="nil"/>
              <w:bottom w:val="nil"/>
              <w:right w:val="nil"/>
            </w:tcBorders>
            <w:shd w:val="clear" w:color="auto" w:fill="auto"/>
            <w:vAlign w:val="bottom"/>
          </w:tcPr>
          <w:p w14:paraId="464C2333"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40" w:type="pct"/>
            <w:tcBorders>
              <w:top w:val="nil"/>
              <w:left w:val="nil"/>
              <w:bottom w:val="nil"/>
              <w:right w:val="nil"/>
            </w:tcBorders>
            <w:shd w:val="clear" w:color="auto" w:fill="auto"/>
            <w:vAlign w:val="bottom"/>
          </w:tcPr>
          <w:p w14:paraId="71EF2DF2"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4.685</w:t>
            </w:r>
          </w:p>
        </w:tc>
        <w:tc>
          <w:tcPr>
            <w:tcW w:w="603" w:type="pct"/>
            <w:tcBorders>
              <w:top w:val="nil"/>
              <w:left w:val="nil"/>
              <w:bottom w:val="nil"/>
              <w:right w:val="nil"/>
            </w:tcBorders>
            <w:shd w:val="clear" w:color="auto" w:fill="auto"/>
            <w:vAlign w:val="bottom"/>
          </w:tcPr>
          <w:p w14:paraId="7FC2959F"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4.685</w:t>
            </w:r>
          </w:p>
        </w:tc>
      </w:tr>
      <w:tr w:rsidR="00B66CB5" w:rsidRPr="003D1614" w14:paraId="4A6A66DF" w14:textId="77777777" w:rsidTr="00CC1B61">
        <w:trPr>
          <w:trHeight w:val="134"/>
        </w:trPr>
        <w:tc>
          <w:tcPr>
            <w:tcW w:w="1518" w:type="pct"/>
            <w:vAlign w:val="bottom"/>
          </w:tcPr>
          <w:p w14:paraId="0F849250" w14:textId="77777777" w:rsidR="00B66CB5" w:rsidRPr="003D1614" w:rsidRDefault="00B66CB5" w:rsidP="00CC1B61">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28" w:name="_Toc67330180"/>
            <w:r w:rsidRPr="003D1614">
              <w:rPr>
                <w:rFonts w:ascii="Arial" w:eastAsia="Times New Roman" w:hAnsi="Arial" w:cs="Arial"/>
                <w:color w:val="000000" w:themeColor="text1"/>
                <w:spacing w:val="-2"/>
                <w:sz w:val="17"/>
                <w:szCs w:val="17"/>
              </w:rPr>
              <w:t>Preuzeta imovina</w:t>
            </w:r>
            <w:bookmarkEnd w:id="828"/>
          </w:p>
        </w:tc>
        <w:tc>
          <w:tcPr>
            <w:tcW w:w="551" w:type="pct"/>
            <w:tcBorders>
              <w:top w:val="nil"/>
              <w:left w:val="nil"/>
              <w:bottom w:val="nil"/>
              <w:right w:val="nil"/>
            </w:tcBorders>
            <w:shd w:val="clear" w:color="auto" w:fill="auto"/>
            <w:vAlign w:val="bottom"/>
          </w:tcPr>
          <w:p w14:paraId="6BEDB2AB"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15</w:t>
            </w:r>
          </w:p>
        </w:tc>
        <w:tc>
          <w:tcPr>
            <w:tcW w:w="546" w:type="pct"/>
            <w:tcBorders>
              <w:top w:val="nil"/>
              <w:left w:val="nil"/>
              <w:bottom w:val="nil"/>
              <w:right w:val="nil"/>
            </w:tcBorders>
            <w:shd w:val="clear" w:color="auto" w:fill="auto"/>
            <w:vAlign w:val="bottom"/>
          </w:tcPr>
          <w:p w14:paraId="18EC3F63"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68</w:t>
            </w:r>
          </w:p>
        </w:tc>
        <w:tc>
          <w:tcPr>
            <w:tcW w:w="572" w:type="pct"/>
            <w:tcBorders>
              <w:top w:val="nil"/>
              <w:left w:val="nil"/>
              <w:bottom w:val="nil"/>
              <w:right w:val="nil"/>
            </w:tcBorders>
            <w:shd w:val="clear" w:color="auto" w:fill="auto"/>
            <w:vAlign w:val="bottom"/>
          </w:tcPr>
          <w:p w14:paraId="3A4876C8"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134</w:t>
            </w:r>
          </w:p>
        </w:tc>
        <w:tc>
          <w:tcPr>
            <w:tcW w:w="570" w:type="pct"/>
            <w:tcBorders>
              <w:top w:val="nil"/>
              <w:left w:val="nil"/>
              <w:bottom w:val="nil"/>
              <w:right w:val="nil"/>
            </w:tcBorders>
            <w:shd w:val="clear" w:color="auto" w:fill="auto"/>
            <w:vAlign w:val="bottom"/>
          </w:tcPr>
          <w:p w14:paraId="0901AAE1"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820</w:t>
            </w:r>
          </w:p>
        </w:tc>
        <w:tc>
          <w:tcPr>
            <w:tcW w:w="640" w:type="pct"/>
            <w:tcBorders>
              <w:top w:val="nil"/>
              <w:left w:val="nil"/>
              <w:bottom w:val="nil"/>
              <w:right w:val="nil"/>
            </w:tcBorders>
            <w:shd w:val="clear" w:color="auto" w:fill="auto"/>
            <w:vAlign w:val="bottom"/>
          </w:tcPr>
          <w:p w14:paraId="20053383"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1.104</w:t>
            </w:r>
          </w:p>
        </w:tc>
        <w:tc>
          <w:tcPr>
            <w:tcW w:w="603" w:type="pct"/>
            <w:tcBorders>
              <w:top w:val="nil"/>
              <w:left w:val="nil"/>
              <w:bottom w:val="nil"/>
              <w:right w:val="nil"/>
            </w:tcBorders>
            <w:shd w:val="clear" w:color="auto" w:fill="auto"/>
            <w:vAlign w:val="bottom"/>
          </w:tcPr>
          <w:p w14:paraId="0295DDCB"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2.141</w:t>
            </w:r>
          </w:p>
        </w:tc>
      </w:tr>
      <w:tr w:rsidR="00B66CB5" w:rsidRPr="003D1614" w14:paraId="7D0EC029" w14:textId="77777777" w:rsidTr="00CC1B61">
        <w:trPr>
          <w:trHeight w:val="145"/>
        </w:trPr>
        <w:tc>
          <w:tcPr>
            <w:tcW w:w="1518" w:type="pct"/>
            <w:vAlign w:val="bottom"/>
          </w:tcPr>
          <w:p w14:paraId="6EF966B5" w14:textId="77777777" w:rsidR="00B66CB5" w:rsidRPr="003D1614" w:rsidRDefault="00B66CB5" w:rsidP="00CC1B61">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29" w:name="_Toc67330181"/>
            <w:r w:rsidRPr="003D1614">
              <w:rPr>
                <w:rFonts w:ascii="Arial" w:eastAsia="Times New Roman" w:hAnsi="Arial" w:cs="Arial"/>
                <w:color w:val="000000" w:themeColor="text1"/>
                <w:spacing w:val="-2"/>
                <w:sz w:val="17"/>
                <w:szCs w:val="17"/>
              </w:rPr>
              <w:t>Ostala imovina</w:t>
            </w:r>
            <w:bookmarkEnd w:id="829"/>
          </w:p>
        </w:tc>
        <w:tc>
          <w:tcPr>
            <w:tcW w:w="551" w:type="pct"/>
            <w:tcBorders>
              <w:top w:val="nil"/>
              <w:left w:val="nil"/>
              <w:bottom w:val="single" w:sz="8" w:space="0" w:color="auto"/>
              <w:right w:val="nil"/>
            </w:tcBorders>
            <w:shd w:val="clear" w:color="auto" w:fill="auto"/>
            <w:vAlign w:val="bottom"/>
          </w:tcPr>
          <w:p w14:paraId="70E61B99"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1.257</w:t>
            </w:r>
          </w:p>
        </w:tc>
        <w:tc>
          <w:tcPr>
            <w:tcW w:w="546" w:type="pct"/>
            <w:tcBorders>
              <w:top w:val="nil"/>
              <w:left w:val="nil"/>
              <w:bottom w:val="single" w:sz="8" w:space="0" w:color="auto"/>
              <w:right w:val="nil"/>
            </w:tcBorders>
            <w:shd w:val="clear" w:color="auto" w:fill="auto"/>
            <w:vAlign w:val="bottom"/>
          </w:tcPr>
          <w:p w14:paraId="46BDA183"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174</w:t>
            </w:r>
          </w:p>
        </w:tc>
        <w:tc>
          <w:tcPr>
            <w:tcW w:w="572" w:type="pct"/>
            <w:tcBorders>
              <w:top w:val="nil"/>
              <w:left w:val="nil"/>
              <w:bottom w:val="single" w:sz="8" w:space="0" w:color="auto"/>
              <w:right w:val="nil"/>
            </w:tcBorders>
            <w:shd w:val="clear" w:color="auto" w:fill="auto"/>
            <w:vAlign w:val="bottom"/>
          </w:tcPr>
          <w:p w14:paraId="73E9EBD7"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2.915</w:t>
            </w:r>
          </w:p>
        </w:tc>
        <w:tc>
          <w:tcPr>
            <w:tcW w:w="570" w:type="pct"/>
            <w:tcBorders>
              <w:top w:val="nil"/>
              <w:left w:val="nil"/>
              <w:bottom w:val="single" w:sz="8" w:space="0" w:color="auto"/>
              <w:right w:val="nil"/>
            </w:tcBorders>
            <w:shd w:val="clear" w:color="auto" w:fill="auto"/>
            <w:vAlign w:val="bottom"/>
          </w:tcPr>
          <w:p w14:paraId="70097B5B"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2.868</w:t>
            </w:r>
          </w:p>
        </w:tc>
        <w:tc>
          <w:tcPr>
            <w:tcW w:w="640" w:type="pct"/>
            <w:tcBorders>
              <w:top w:val="nil"/>
              <w:left w:val="nil"/>
              <w:bottom w:val="single" w:sz="8" w:space="0" w:color="auto"/>
              <w:right w:val="nil"/>
            </w:tcBorders>
            <w:shd w:val="clear" w:color="auto" w:fill="auto"/>
            <w:vAlign w:val="bottom"/>
          </w:tcPr>
          <w:p w14:paraId="36CE53C3"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36</w:t>
            </w:r>
          </w:p>
        </w:tc>
        <w:tc>
          <w:tcPr>
            <w:tcW w:w="603" w:type="pct"/>
            <w:tcBorders>
              <w:top w:val="nil"/>
              <w:left w:val="nil"/>
              <w:bottom w:val="single" w:sz="8" w:space="0" w:color="auto"/>
              <w:right w:val="nil"/>
            </w:tcBorders>
            <w:shd w:val="clear" w:color="auto" w:fill="auto"/>
            <w:vAlign w:val="bottom"/>
          </w:tcPr>
          <w:p w14:paraId="24702381"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7.250</w:t>
            </w:r>
          </w:p>
        </w:tc>
      </w:tr>
      <w:tr w:rsidR="00B66CB5" w:rsidRPr="003D1614" w14:paraId="1B142213" w14:textId="77777777" w:rsidTr="00CC1B61">
        <w:trPr>
          <w:trHeight w:val="145"/>
        </w:trPr>
        <w:tc>
          <w:tcPr>
            <w:tcW w:w="1518" w:type="pct"/>
          </w:tcPr>
          <w:p w14:paraId="39EEDCDB" w14:textId="77777777" w:rsidR="00B66CB5" w:rsidRPr="003D1614" w:rsidRDefault="00B66CB5" w:rsidP="00CC1B61">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830" w:name="_Toc67330182"/>
            <w:r w:rsidRPr="003D1614">
              <w:rPr>
                <w:rFonts w:ascii="Arial" w:eastAsia="Times New Roman" w:hAnsi="Arial" w:cs="Arial"/>
                <w:b/>
                <w:bCs/>
                <w:color w:val="000000" w:themeColor="text1"/>
                <w:sz w:val="17"/>
                <w:szCs w:val="17"/>
              </w:rPr>
              <w:t>Ukupna imovina</w:t>
            </w:r>
            <w:bookmarkEnd w:id="830"/>
          </w:p>
        </w:tc>
        <w:tc>
          <w:tcPr>
            <w:tcW w:w="551" w:type="pct"/>
            <w:tcBorders>
              <w:top w:val="single" w:sz="8" w:space="0" w:color="auto"/>
              <w:left w:val="nil"/>
              <w:bottom w:val="single" w:sz="12" w:space="0" w:color="auto"/>
              <w:right w:val="nil"/>
            </w:tcBorders>
            <w:shd w:val="clear" w:color="auto" w:fill="auto"/>
            <w:vAlign w:val="bottom"/>
          </w:tcPr>
          <w:p w14:paraId="1B9B900F" w14:textId="77777777" w:rsidR="00B66CB5" w:rsidRPr="00427EF0" w:rsidRDefault="00B66CB5" w:rsidP="00CC1B61">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761.736</w:t>
            </w:r>
          </w:p>
        </w:tc>
        <w:tc>
          <w:tcPr>
            <w:tcW w:w="546" w:type="pct"/>
            <w:tcBorders>
              <w:top w:val="single" w:sz="8" w:space="0" w:color="auto"/>
              <w:left w:val="nil"/>
              <w:bottom w:val="single" w:sz="12" w:space="0" w:color="auto"/>
              <w:right w:val="nil"/>
            </w:tcBorders>
            <w:shd w:val="clear" w:color="auto" w:fill="auto"/>
            <w:vAlign w:val="bottom"/>
          </w:tcPr>
          <w:p w14:paraId="39F24267" w14:textId="77777777" w:rsidR="00B66CB5" w:rsidRPr="00427EF0" w:rsidRDefault="00B66CB5" w:rsidP="00CC1B61">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146.271</w:t>
            </w:r>
          </w:p>
        </w:tc>
        <w:tc>
          <w:tcPr>
            <w:tcW w:w="572" w:type="pct"/>
            <w:tcBorders>
              <w:top w:val="single" w:sz="8" w:space="0" w:color="auto"/>
              <w:left w:val="nil"/>
              <w:bottom w:val="single" w:sz="12" w:space="0" w:color="auto"/>
              <w:right w:val="nil"/>
            </w:tcBorders>
            <w:shd w:val="clear" w:color="auto" w:fill="auto"/>
            <w:vAlign w:val="bottom"/>
          </w:tcPr>
          <w:p w14:paraId="1DEA30AD" w14:textId="77777777" w:rsidR="00B66CB5" w:rsidRPr="00427EF0" w:rsidRDefault="00B66CB5" w:rsidP="00CC1B61">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368.755</w:t>
            </w:r>
          </w:p>
        </w:tc>
        <w:tc>
          <w:tcPr>
            <w:tcW w:w="570" w:type="pct"/>
            <w:tcBorders>
              <w:top w:val="single" w:sz="8" w:space="0" w:color="auto"/>
              <w:left w:val="nil"/>
              <w:bottom w:val="single" w:sz="12" w:space="0" w:color="auto"/>
              <w:right w:val="nil"/>
            </w:tcBorders>
            <w:shd w:val="clear" w:color="auto" w:fill="auto"/>
            <w:vAlign w:val="bottom"/>
          </w:tcPr>
          <w:p w14:paraId="3C5A2CB9" w14:textId="77777777" w:rsidR="00B66CB5" w:rsidRPr="00427EF0" w:rsidRDefault="00B66CB5" w:rsidP="00CC1B61">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971.225</w:t>
            </w:r>
          </w:p>
        </w:tc>
        <w:tc>
          <w:tcPr>
            <w:tcW w:w="640" w:type="pct"/>
            <w:tcBorders>
              <w:top w:val="single" w:sz="8" w:space="0" w:color="auto"/>
              <w:left w:val="nil"/>
              <w:bottom w:val="single" w:sz="12" w:space="0" w:color="auto"/>
              <w:right w:val="nil"/>
            </w:tcBorders>
            <w:shd w:val="clear" w:color="auto" w:fill="auto"/>
            <w:vAlign w:val="bottom"/>
          </w:tcPr>
          <w:p w14:paraId="6A7280CF" w14:textId="77777777" w:rsidR="00B66CB5" w:rsidRPr="00427EF0" w:rsidRDefault="00B66CB5" w:rsidP="00CC1B61">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1.746.669</w:t>
            </w:r>
          </w:p>
        </w:tc>
        <w:tc>
          <w:tcPr>
            <w:tcW w:w="603" w:type="pct"/>
            <w:tcBorders>
              <w:top w:val="single" w:sz="8" w:space="0" w:color="auto"/>
              <w:left w:val="nil"/>
              <w:bottom w:val="single" w:sz="12" w:space="0" w:color="auto"/>
              <w:right w:val="nil"/>
            </w:tcBorders>
            <w:shd w:val="clear" w:color="auto" w:fill="auto"/>
            <w:vAlign w:val="bottom"/>
          </w:tcPr>
          <w:p w14:paraId="45C4699A" w14:textId="77777777" w:rsidR="00B66CB5" w:rsidRPr="00427EF0" w:rsidRDefault="00B66CB5" w:rsidP="00CC1B61">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3.994.656</w:t>
            </w:r>
          </w:p>
        </w:tc>
      </w:tr>
      <w:tr w:rsidR="00B66CB5" w:rsidRPr="003D1614" w14:paraId="76D28E7F" w14:textId="77777777" w:rsidTr="00CC1B61">
        <w:trPr>
          <w:trHeight w:hRule="exact" w:val="213"/>
        </w:trPr>
        <w:tc>
          <w:tcPr>
            <w:tcW w:w="1518" w:type="pct"/>
            <w:vAlign w:val="bottom"/>
          </w:tcPr>
          <w:p w14:paraId="6E6BE04E" w14:textId="77777777" w:rsidR="00B66CB5" w:rsidRPr="003D1614" w:rsidRDefault="00B66CB5" w:rsidP="00CC1B61">
            <w:pPr>
              <w:keepNext/>
              <w:keepLines/>
              <w:tabs>
                <w:tab w:val="decimal" w:pos="1202"/>
              </w:tabs>
              <w:suppressAutoHyphens/>
              <w:autoSpaceDN w:val="0"/>
              <w:spacing w:line="140" w:lineRule="exact"/>
              <w:rPr>
                <w:rFonts w:ascii="Arial" w:eastAsia="Times New Roman" w:hAnsi="Arial" w:cs="Arial"/>
                <w:b/>
                <w:bCs/>
                <w:color w:val="000000" w:themeColor="text1"/>
                <w:position w:val="4"/>
                <w:sz w:val="17"/>
                <w:szCs w:val="17"/>
              </w:rPr>
            </w:pPr>
          </w:p>
        </w:tc>
        <w:tc>
          <w:tcPr>
            <w:tcW w:w="551" w:type="pct"/>
            <w:tcBorders>
              <w:top w:val="single" w:sz="12" w:space="0" w:color="auto"/>
            </w:tcBorders>
            <w:vAlign w:val="bottom"/>
          </w:tcPr>
          <w:p w14:paraId="3B891363" w14:textId="77777777" w:rsidR="00B66CB5" w:rsidRPr="003D1614" w:rsidRDefault="00B66CB5" w:rsidP="00CC1B61">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546" w:type="pct"/>
            <w:tcBorders>
              <w:top w:val="single" w:sz="12" w:space="0" w:color="auto"/>
            </w:tcBorders>
            <w:vAlign w:val="bottom"/>
          </w:tcPr>
          <w:p w14:paraId="14B98AF8" w14:textId="77777777" w:rsidR="00B66CB5" w:rsidRPr="003D1614" w:rsidRDefault="00B66CB5" w:rsidP="00CC1B61">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572" w:type="pct"/>
            <w:tcBorders>
              <w:top w:val="single" w:sz="12" w:space="0" w:color="auto"/>
            </w:tcBorders>
            <w:vAlign w:val="bottom"/>
          </w:tcPr>
          <w:p w14:paraId="2D1502F1" w14:textId="77777777" w:rsidR="00B66CB5" w:rsidRPr="003D1614" w:rsidRDefault="00B66CB5" w:rsidP="00CC1B61">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570" w:type="pct"/>
            <w:tcBorders>
              <w:top w:val="single" w:sz="12" w:space="0" w:color="auto"/>
            </w:tcBorders>
            <w:vAlign w:val="bottom"/>
          </w:tcPr>
          <w:p w14:paraId="1A1EAFE5" w14:textId="77777777" w:rsidR="00B66CB5" w:rsidRPr="003D1614" w:rsidRDefault="00B66CB5" w:rsidP="00CC1B61">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640" w:type="pct"/>
            <w:tcBorders>
              <w:top w:val="single" w:sz="12" w:space="0" w:color="auto"/>
            </w:tcBorders>
            <w:vAlign w:val="bottom"/>
          </w:tcPr>
          <w:p w14:paraId="264E9D97" w14:textId="77777777" w:rsidR="00B66CB5" w:rsidRPr="003D1614" w:rsidRDefault="00B66CB5" w:rsidP="00CC1B61">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c>
          <w:tcPr>
            <w:tcW w:w="603" w:type="pct"/>
            <w:tcBorders>
              <w:top w:val="single" w:sz="12" w:space="0" w:color="auto"/>
            </w:tcBorders>
            <w:vAlign w:val="bottom"/>
          </w:tcPr>
          <w:p w14:paraId="31006294" w14:textId="77777777" w:rsidR="00B66CB5" w:rsidRPr="003D1614" w:rsidRDefault="00B66CB5" w:rsidP="00CC1B61">
            <w:pPr>
              <w:keepNext/>
              <w:keepLines/>
              <w:tabs>
                <w:tab w:val="decimal" w:pos="1202"/>
              </w:tabs>
              <w:suppressAutoHyphens/>
              <w:autoSpaceDN w:val="0"/>
              <w:spacing w:line="140" w:lineRule="exact"/>
              <w:jc w:val="right"/>
              <w:rPr>
                <w:rFonts w:ascii="Arial" w:eastAsia="Times New Roman" w:hAnsi="Arial" w:cs="Arial"/>
                <w:b/>
                <w:bCs/>
                <w:color w:val="000000" w:themeColor="text1"/>
                <w:position w:val="4"/>
                <w:sz w:val="17"/>
                <w:szCs w:val="17"/>
              </w:rPr>
            </w:pPr>
          </w:p>
        </w:tc>
      </w:tr>
      <w:tr w:rsidR="00B66CB5" w:rsidRPr="003D1614" w14:paraId="0B4C089E" w14:textId="77777777" w:rsidTr="00CC1B61">
        <w:trPr>
          <w:trHeight w:val="145"/>
        </w:trPr>
        <w:tc>
          <w:tcPr>
            <w:tcW w:w="1518" w:type="pct"/>
            <w:vAlign w:val="bottom"/>
          </w:tcPr>
          <w:p w14:paraId="06B189F6" w14:textId="77777777" w:rsidR="00B66CB5" w:rsidRPr="003D1614" w:rsidRDefault="00B66CB5" w:rsidP="00CC1B61">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831" w:name="_Toc67330183"/>
            <w:r w:rsidRPr="003D1614">
              <w:rPr>
                <w:rFonts w:ascii="Arial" w:eastAsia="Times New Roman" w:hAnsi="Arial" w:cs="Arial"/>
                <w:b/>
                <w:bCs/>
                <w:color w:val="000000" w:themeColor="text1"/>
                <w:sz w:val="17"/>
                <w:szCs w:val="17"/>
              </w:rPr>
              <w:t>Obveze</w:t>
            </w:r>
            <w:bookmarkEnd w:id="831"/>
          </w:p>
        </w:tc>
        <w:tc>
          <w:tcPr>
            <w:tcW w:w="551" w:type="pct"/>
            <w:vAlign w:val="bottom"/>
          </w:tcPr>
          <w:p w14:paraId="64066487" w14:textId="77777777" w:rsidR="00B66CB5" w:rsidRPr="003D1614" w:rsidRDefault="00B66CB5" w:rsidP="00CC1B61">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546" w:type="pct"/>
            <w:vAlign w:val="bottom"/>
          </w:tcPr>
          <w:p w14:paraId="644B77CA" w14:textId="77777777" w:rsidR="00B66CB5" w:rsidRPr="003D1614" w:rsidRDefault="00B66CB5" w:rsidP="00CC1B61">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572" w:type="pct"/>
            <w:vAlign w:val="bottom"/>
          </w:tcPr>
          <w:p w14:paraId="3E3F7E0A" w14:textId="77777777" w:rsidR="00B66CB5" w:rsidRPr="003D1614" w:rsidRDefault="00B66CB5" w:rsidP="00CC1B61">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570" w:type="pct"/>
            <w:vAlign w:val="bottom"/>
          </w:tcPr>
          <w:p w14:paraId="24D31090" w14:textId="77777777" w:rsidR="00B66CB5" w:rsidRPr="003D1614" w:rsidRDefault="00B66CB5" w:rsidP="00CC1B61">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640" w:type="pct"/>
            <w:vAlign w:val="bottom"/>
          </w:tcPr>
          <w:p w14:paraId="502F305D" w14:textId="77777777" w:rsidR="00B66CB5" w:rsidRPr="003D1614" w:rsidRDefault="00B66CB5" w:rsidP="00CC1B61">
            <w:pPr>
              <w:suppressAutoHyphens/>
              <w:autoSpaceDN w:val="0"/>
              <w:spacing w:line="240" w:lineRule="exact"/>
              <w:jc w:val="right"/>
              <w:outlineLvl w:val="0"/>
              <w:rPr>
                <w:rFonts w:ascii="Arial" w:eastAsia="Times New Roman" w:hAnsi="Arial" w:cs="Arial"/>
                <w:color w:val="000000" w:themeColor="text1"/>
                <w:spacing w:val="-2"/>
                <w:sz w:val="17"/>
                <w:szCs w:val="17"/>
              </w:rPr>
            </w:pPr>
          </w:p>
        </w:tc>
        <w:tc>
          <w:tcPr>
            <w:tcW w:w="603" w:type="pct"/>
            <w:vAlign w:val="bottom"/>
          </w:tcPr>
          <w:p w14:paraId="3D5F47A3" w14:textId="77777777" w:rsidR="00B66CB5" w:rsidRPr="003D1614" w:rsidRDefault="00B66CB5" w:rsidP="00CC1B61">
            <w:pPr>
              <w:suppressAutoHyphens/>
              <w:autoSpaceDN w:val="0"/>
              <w:spacing w:line="240" w:lineRule="exact"/>
              <w:jc w:val="right"/>
              <w:outlineLvl w:val="0"/>
              <w:rPr>
                <w:rFonts w:ascii="Arial" w:eastAsia="Times New Roman" w:hAnsi="Arial" w:cs="Arial"/>
                <w:color w:val="000000" w:themeColor="text1"/>
                <w:spacing w:val="-2"/>
                <w:sz w:val="17"/>
                <w:szCs w:val="17"/>
              </w:rPr>
            </w:pPr>
          </w:p>
        </w:tc>
      </w:tr>
      <w:tr w:rsidR="00B66CB5" w:rsidRPr="003D1614" w14:paraId="7BA9179B" w14:textId="77777777" w:rsidTr="00CC1B61">
        <w:trPr>
          <w:trHeight w:val="152"/>
        </w:trPr>
        <w:tc>
          <w:tcPr>
            <w:tcW w:w="1518" w:type="pct"/>
            <w:vAlign w:val="bottom"/>
          </w:tcPr>
          <w:p w14:paraId="7EF3450D" w14:textId="77777777" w:rsidR="00B66CB5" w:rsidRPr="003D1614" w:rsidRDefault="00B66CB5" w:rsidP="00CC1B61">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32" w:name="_Toc67330184"/>
            <w:r w:rsidRPr="003D1614">
              <w:rPr>
                <w:rFonts w:ascii="Arial" w:eastAsia="Times New Roman" w:hAnsi="Arial" w:cs="Arial"/>
                <w:color w:val="000000" w:themeColor="text1"/>
                <w:spacing w:val="-2"/>
                <w:sz w:val="17"/>
                <w:szCs w:val="17"/>
              </w:rPr>
              <w:t>Obveze po depozitima</w:t>
            </w:r>
            <w:bookmarkEnd w:id="832"/>
          </w:p>
        </w:tc>
        <w:tc>
          <w:tcPr>
            <w:tcW w:w="551" w:type="pct"/>
            <w:tcBorders>
              <w:top w:val="nil"/>
              <w:left w:val="nil"/>
              <w:bottom w:val="nil"/>
              <w:right w:val="nil"/>
            </w:tcBorders>
            <w:shd w:val="clear" w:color="auto" w:fill="auto"/>
            <w:vAlign w:val="bottom"/>
          </w:tcPr>
          <w:p w14:paraId="55ACF1A4"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137.921</w:t>
            </w:r>
          </w:p>
        </w:tc>
        <w:tc>
          <w:tcPr>
            <w:tcW w:w="546" w:type="pct"/>
            <w:tcBorders>
              <w:top w:val="nil"/>
              <w:left w:val="nil"/>
              <w:bottom w:val="nil"/>
              <w:right w:val="nil"/>
            </w:tcBorders>
            <w:shd w:val="clear" w:color="auto" w:fill="auto"/>
            <w:vAlign w:val="bottom"/>
          </w:tcPr>
          <w:p w14:paraId="66BF0C66"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82</w:t>
            </w:r>
          </w:p>
        </w:tc>
        <w:tc>
          <w:tcPr>
            <w:tcW w:w="572" w:type="pct"/>
            <w:tcBorders>
              <w:top w:val="nil"/>
              <w:left w:val="nil"/>
              <w:bottom w:val="nil"/>
              <w:right w:val="nil"/>
            </w:tcBorders>
            <w:shd w:val="clear" w:color="auto" w:fill="auto"/>
            <w:vAlign w:val="bottom"/>
          </w:tcPr>
          <w:p w14:paraId="4A4B8D81"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28.645</w:t>
            </w:r>
          </w:p>
        </w:tc>
        <w:tc>
          <w:tcPr>
            <w:tcW w:w="570" w:type="pct"/>
            <w:tcBorders>
              <w:top w:val="nil"/>
              <w:left w:val="nil"/>
              <w:bottom w:val="nil"/>
              <w:right w:val="nil"/>
            </w:tcBorders>
            <w:shd w:val="clear" w:color="auto" w:fill="auto"/>
            <w:vAlign w:val="bottom"/>
          </w:tcPr>
          <w:p w14:paraId="4F806FA5"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46</w:t>
            </w:r>
          </w:p>
        </w:tc>
        <w:tc>
          <w:tcPr>
            <w:tcW w:w="640" w:type="pct"/>
            <w:tcBorders>
              <w:top w:val="nil"/>
              <w:left w:val="nil"/>
              <w:bottom w:val="nil"/>
              <w:right w:val="nil"/>
            </w:tcBorders>
            <w:shd w:val="clear" w:color="auto" w:fill="auto"/>
            <w:vAlign w:val="bottom"/>
          </w:tcPr>
          <w:p w14:paraId="0D47E85B"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11.815</w:t>
            </w:r>
          </w:p>
        </w:tc>
        <w:tc>
          <w:tcPr>
            <w:tcW w:w="603" w:type="pct"/>
            <w:tcBorders>
              <w:top w:val="nil"/>
              <w:left w:val="nil"/>
              <w:bottom w:val="nil"/>
              <w:right w:val="nil"/>
            </w:tcBorders>
            <w:shd w:val="clear" w:color="auto" w:fill="auto"/>
            <w:vAlign w:val="bottom"/>
          </w:tcPr>
          <w:p w14:paraId="1AA9B59D"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178.509</w:t>
            </w:r>
          </w:p>
        </w:tc>
      </w:tr>
      <w:tr w:rsidR="00B66CB5" w:rsidRPr="003D1614" w14:paraId="403BD827" w14:textId="77777777" w:rsidTr="00CC1B61">
        <w:trPr>
          <w:trHeight w:val="80"/>
        </w:trPr>
        <w:tc>
          <w:tcPr>
            <w:tcW w:w="1518" w:type="pct"/>
            <w:vAlign w:val="bottom"/>
          </w:tcPr>
          <w:p w14:paraId="20FB91C4" w14:textId="77777777" w:rsidR="00B66CB5" w:rsidRPr="003D1614" w:rsidRDefault="00B66CB5" w:rsidP="00CC1B61">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33" w:name="_Toc67330185"/>
            <w:r w:rsidRPr="003D1614">
              <w:rPr>
                <w:rFonts w:ascii="Arial" w:eastAsia="Times New Roman" w:hAnsi="Arial" w:cs="Arial"/>
                <w:color w:val="000000" w:themeColor="text1"/>
                <w:spacing w:val="-2"/>
                <w:sz w:val="17"/>
                <w:szCs w:val="17"/>
              </w:rPr>
              <w:t>Obveze po kreditima</w:t>
            </w:r>
            <w:bookmarkEnd w:id="833"/>
          </w:p>
        </w:tc>
        <w:tc>
          <w:tcPr>
            <w:tcW w:w="551" w:type="pct"/>
            <w:tcBorders>
              <w:top w:val="nil"/>
              <w:left w:val="nil"/>
              <w:bottom w:val="nil"/>
              <w:right w:val="nil"/>
            </w:tcBorders>
            <w:shd w:val="clear" w:color="auto" w:fill="auto"/>
            <w:vAlign w:val="bottom"/>
          </w:tcPr>
          <w:p w14:paraId="6E13DACD"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102.022</w:t>
            </w:r>
          </w:p>
        </w:tc>
        <w:tc>
          <w:tcPr>
            <w:tcW w:w="546" w:type="pct"/>
            <w:tcBorders>
              <w:top w:val="nil"/>
              <w:left w:val="nil"/>
              <w:bottom w:val="nil"/>
              <w:right w:val="nil"/>
            </w:tcBorders>
            <w:shd w:val="clear" w:color="auto" w:fill="auto"/>
            <w:vAlign w:val="bottom"/>
          </w:tcPr>
          <w:p w14:paraId="0ABDD912"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113.905</w:t>
            </w:r>
          </w:p>
        </w:tc>
        <w:tc>
          <w:tcPr>
            <w:tcW w:w="572" w:type="pct"/>
            <w:tcBorders>
              <w:top w:val="nil"/>
              <w:left w:val="nil"/>
              <w:bottom w:val="nil"/>
              <w:right w:val="nil"/>
            </w:tcBorders>
            <w:shd w:val="clear" w:color="auto" w:fill="auto"/>
            <w:vAlign w:val="bottom"/>
          </w:tcPr>
          <w:p w14:paraId="303D3EEA"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246.703</w:t>
            </w:r>
          </w:p>
        </w:tc>
        <w:tc>
          <w:tcPr>
            <w:tcW w:w="570" w:type="pct"/>
            <w:tcBorders>
              <w:top w:val="nil"/>
              <w:left w:val="nil"/>
              <w:bottom w:val="nil"/>
              <w:right w:val="nil"/>
            </w:tcBorders>
            <w:shd w:val="clear" w:color="auto" w:fill="auto"/>
            <w:vAlign w:val="bottom"/>
          </w:tcPr>
          <w:p w14:paraId="38A35367"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648.259</w:t>
            </w:r>
          </w:p>
        </w:tc>
        <w:tc>
          <w:tcPr>
            <w:tcW w:w="640" w:type="pct"/>
            <w:tcBorders>
              <w:top w:val="nil"/>
              <w:left w:val="nil"/>
              <w:bottom w:val="nil"/>
              <w:right w:val="nil"/>
            </w:tcBorders>
            <w:shd w:val="clear" w:color="auto" w:fill="auto"/>
            <w:vAlign w:val="bottom"/>
          </w:tcPr>
          <w:p w14:paraId="6CC35954"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1.118.440</w:t>
            </w:r>
          </w:p>
        </w:tc>
        <w:tc>
          <w:tcPr>
            <w:tcW w:w="603" w:type="pct"/>
            <w:tcBorders>
              <w:top w:val="nil"/>
              <w:left w:val="nil"/>
              <w:bottom w:val="nil"/>
              <w:right w:val="nil"/>
            </w:tcBorders>
            <w:shd w:val="clear" w:color="auto" w:fill="auto"/>
            <w:vAlign w:val="bottom"/>
          </w:tcPr>
          <w:p w14:paraId="1D46CD39"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2.229.329</w:t>
            </w:r>
          </w:p>
        </w:tc>
      </w:tr>
      <w:tr w:rsidR="00B66CB5" w:rsidRPr="003D1614" w14:paraId="762A9806" w14:textId="77777777" w:rsidTr="00CC1B61">
        <w:trPr>
          <w:trHeight w:val="293"/>
        </w:trPr>
        <w:tc>
          <w:tcPr>
            <w:tcW w:w="1518" w:type="pct"/>
            <w:vAlign w:val="bottom"/>
          </w:tcPr>
          <w:p w14:paraId="52E01ED8" w14:textId="77777777" w:rsidR="00B66CB5" w:rsidRPr="003D1614" w:rsidRDefault="00B66CB5" w:rsidP="00CC1B61">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834" w:name="_Toc67330187"/>
            <w:r w:rsidRPr="003D1614">
              <w:rPr>
                <w:rFonts w:ascii="Arial" w:eastAsia="Times New Roman" w:hAnsi="Arial" w:cs="Arial"/>
                <w:color w:val="000000" w:themeColor="text1"/>
                <w:spacing w:val="-2"/>
                <w:sz w:val="17"/>
                <w:szCs w:val="17"/>
              </w:rPr>
              <w:t>Rezerviranja za garancije, preuzete i ostale obveze</w:t>
            </w:r>
            <w:bookmarkEnd w:id="834"/>
          </w:p>
        </w:tc>
        <w:tc>
          <w:tcPr>
            <w:tcW w:w="551" w:type="pct"/>
            <w:tcBorders>
              <w:top w:val="nil"/>
              <w:left w:val="nil"/>
              <w:bottom w:val="nil"/>
              <w:right w:val="nil"/>
            </w:tcBorders>
            <w:shd w:val="clear" w:color="auto" w:fill="auto"/>
            <w:vAlign w:val="bottom"/>
          </w:tcPr>
          <w:p w14:paraId="7B0C13AA" w14:textId="77777777" w:rsidR="00B66CB5" w:rsidRPr="003D1614" w:rsidDel="00F864B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13.077</w:t>
            </w:r>
          </w:p>
        </w:tc>
        <w:tc>
          <w:tcPr>
            <w:tcW w:w="546" w:type="pct"/>
            <w:tcBorders>
              <w:top w:val="nil"/>
              <w:left w:val="nil"/>
              <w:bottom w:val="nil"/>
              <w:right w:val="nil"/>
            </w:tcBorders>
            <w:shd w:val="clear" w:color="auto" w:fill="auto"/>
            <w:vAlign w:val="bottom"/>
          </w:tcPr>
          <w:p w14:paraId="195B60BD" w14:textId="77777777" w:rsidR="00B66CB5" w:rsidRPr="003D1614" w:rsidDel="00F864B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638</w:t>
            </w:r>
          </w:p>
        </w:tc>
        <w:tc>
          <w:tcPr>
            <w:tcW w:w="572" w:type="pct"/>
            <w:tcBorders>
              <w:top w:val="nil"/>
              <w:left w:val="nil"/>
              <w:bottom w:val="nil"/>
              <w:right w:val="nil"/>
            </w:tcBorders>
            <w:shd w:val="clear" w:color="auto" w:fill="auto"/>
            <w:vAlign w:val="bottom"/>
          </w:tcPr>
          <w:p w14:paraId="619AEF6D" w14:textId="77777777" w:rsidR="00B66CB5" w:rsidRPr="003D1614" w:rsidDel="00F864B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2.225</w:t>
            </w:r>
          </w:p>
        </w:tc>
        <w:tc>
          <w:tcPr>
            <w:tcW w:w="570" w:type="pct"/>
            <w:tcBorders>
              <w:top w:val="nil"/>
              <w:left w:val="nil"/>
              <w:bottom w:val="nil"/>
              <w:right w:val="nil"/>
            </w:tcBorders>
            <w:shd w:val="clear" w:color="auto" w:fill="auto"/>
            <w:vAlign w:val="bottom"/>
          </w:tcPr>
          <w:p w14:paraId="0FE00E5B" w14:textId="77777777" w:rsidR="00B66CB5" w:rsidRPr="003D1614" w:rsidDel="00F864B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4.121</w:t>
            </w:r>
          </w:p>
        </w:tc>
        <w:tc>
          <w:tcPr>
            <w:tcW w:w="640" w:type="pct"/>
            <w:tcBorders>
              <w:top w:val="nil"/>
              <w:left w:val="nil"/>
              <w:bottom w:val="nil"/>
              <w:right w:val="nil"/>
            </w:tcBorders>
            <w:shd w:val="clear" w:color="auto" w:fill="auto"/>
            <w:vAlign w:val="bottom"/>
          </w:tcPr>
          <w:p w14:paraId="21935FCC" w14:textId="77777777" w:rsidR="00B66CB5" w:rsidRPr="003D1614" w:rsidDel="00F864B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1.772</w:t>
            </w:r>
          </w:p>
        </w:tc>
        <w:tc>
          <w:tcPr>
            <w:tcW w:w="603" w:type="pct"/>
            <w:tcBorders>
              <w:top w:val="nil"/>
              <w:left w:val="nil"/>
              <w:bottom w:val="nil"/>
              <w:right w:val="nil"/>
            </w:tcBorders>
            <w:shd w:val="clear" w:color="auto" w:fill="auto"/>
            <w:vAlign w:val="bottom"/>
          </w:tcPr>
          <w:p w14:paraId="2DCEEB6E" w14:textId="77777777" w:rsidR="00B66CB5" w:rsidRPr="003D1614" w:rsidDel="00F864B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21.833</w:t>
            </w:r>
          </w:p>
        </w:tc>
      </w:tr>
      <w:tr w:rsidR="00B66CB5" w:rsidRPr="003D1614" w14:paraId="608C1F29" w14:textId="77777777" w:rsidTr="00CC1B61">
        <w:trPr>
          <w:trHeight w:val="137"/>
        </w:trPr>
        <w:tc>
          <w:tcPr>
            <w:tcW w:w="1518" w:type="pct"/>
            <w:vAlign w:val="bottom"/>
          </w:tcPr>
          <w:p w14:paraId="5B171FCE" w14:textId="77777777" w:rsidR="00B66CB5" w:rsidRPr="003D1614" w:rsidRDefault="00B66CB5" w:rsidP="00CC1B61">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35" w:name="_Toc67330188"/>
            <w:r w:rsidRPr="003D1614">
              <w:rPr>
                <w:rFonts w:ascii="Arial" w:eastAsia="Times New Roman" w:hAnsi="Arial" w:cs="Arial"/>
                <w:color w:val="000000" w:themeColor="text1"/>
                <w:spacing w:val="-2"/>
                <w:sz w:val="17"/>
                <w:szCs w:val="17"/>
              </w:rPr>
              <w:t>Ostale obveze</w:t>
            </w:r>
            <w:bookmarkEnd w:id="835"/>
          </w:p>
        </w:tc>
        <w:tc>
          <w:tcPr>
            <w:tcW w:w="551" w:type="pct"/>
            <w:tcBorders>
              <w:top w:val="nil"/>
              <w:left w:val="nil"/>
              <w:bottom w:val="nil"/>
              <w:right w:val="nil"/>
            </w:tcBorders>
            <w:shd w:val="clear" w:color="auto" w:fill="auto"/>
            <w:vAlign w:val="bottom"/>
          </w:tcPr>
          <w:p w14:paraId="212C04F8"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54.155</w:t>
            </w:r>
          </w:p>
        </w:tc>
        <w:tc>
          <w:tcPr>
            <w:tcW w:w="546" w:type="pct"/>
            <w:tcBorders>
              <w:top w:val="nil"/>
              <w:left w:val="nil"/>
              <w:bottom w:val="nil"/>
              <w:right w:val="nil"/>
            </w:tcBorders>
            <w:shd w:val="clear" w:color="auto" w:fill="auto"/>
            <w:vAlign w:val="bottom"/>
          </w:tcPr>
          <w:p w14:paraId="30C75D7C"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2.644</w:t>
            </w:r>
          </w:p>
        </w:tc>
        <w:tc>
          <w:tcPr>
            <w:tcW w:w="572" w:type="pct"/>
            <w:tcBorders>
              <w:top w:val="nil"/>
              <w:left w:val="nil"/>
              <w:bottom w:val="nil"/>
              <w:right w:val="nil"/>
            </w:tcBorders>
            <w:shd w:val="clear" w:color="auto" w:fill="auto"/>
            <w:vAlign w:val="bottom"/>
          </w:tcPr>
          <w:p w14:paraId="6B5A2B25"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9.217</w:t>
            </w:r>
          </w:p>
        </w:tc>
        <w:tc>
          <w:tcPr>
            <w:tcW w:w="570" w:type="pct"/>
            <w:tcBorders>
              <w:top w:val="nil"/>
              <w:left w:val="nil"/>
              <w:bottom w:val="nil"/>
              <w:right w:val="nil"/>
            </w:tcBorders>
            <w:shd w:val="clear" w:color="auto" w:fill="auto"/>
            <w:vAlign w:val="bottom"/>
          </w:tcPr>
          <w:p w14:paraId="7D36271E"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17.067</w:t>
            </w:r>
          </w:p>
        </w:tc>
        <w:tc>
          <w:tcPr>
            <w:tcW w:w="640" w:type="pct"/>
            <w:tcBorders>
              <w:top w:val="nil"/>
              <w:left w:val="nil"/>
              <w:bottom w:val="nil"/>
              <w:right w:val="nil"/>
            </w:tcBorders>
            <w:shd w:val="clear" w:color="auto" w:fill="auto"/>
            <w:vAlign w:val="bottom"/>
          </w:tcPr>
          <w:p w14:paraId="2187B3B2"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7.333</w:t>
            </w:r>
          </w:p>
        </w:tc>
        <w:tc>
          <w:tcPr>
            <w:tcW w:w="603" w:type="pct"/>
            <w:tcBorders>
              <w:top w:val="nil"/>
              <w:left w:val="nil"/>
              <w:bottom w:val="nil"/>
              <w:right w:val="nil"/>
            </w:tcBorders>
            <w:shd w:val="clear" w:color="auto" w:fill="auto"/>
            <w:vAlign w:val="bottom"/>
          </w:tcPr>
          <w:p w14:paraId="6E0568A3"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90.416</w:t>
            </w:r>
          </w:p>
        </w:tc>
      </w:tr>
      <w:tr w:rsidR="00B66CB5" w:rsidRPr="003D1614" w14:paraId="5DA2EA6B" w14:textId="77777777" w:rsidTr="00CC1B61">
        <w:trPr>
          <w:trHeight w:val="145"/>
        </w:trPr>
        <w:tc>
          <w:tcPr>
            <w:tcW w:w="1518" w:type="pct"/>
          </w:tcPr>
          <w:p w14:paraId="7A946219" w14:textId="77777777" w:rsidR="00B66CB5" w:rsidRPr="003D1614" w:rsidRDefault="00B66CB5" w:rsidP="00CC1B61">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836" w:name="_Toc67330189"/>
            <w:r w:rsidRPr="003D1614">
              <w:rPr>
                <w:rFonts w:ascii="Arial" w:eastAsia="Times New Roman" w:hAnsi="Arial" w:cs="Arial"/>
                <w:b/>
                <w:bCs/>
                <w:color w:val="000000" w:themeColor="text1"/>
                <w:sz w:val="17"/>
                <w:szCs w:val="17"/>
              </w:rPr>
              <w:t>Ukupne obveze</w:t>
            </w:r>
            <w:bookmarkEnd w:id="836"/>
          </w:p>
        </w:tc>
        <w:tc>
          <w:tcPr>
            <w:tcW w:w="551" w:type="pct"/>
            <w:tcBorders>
              <w:top w:val="single" w:sz="8" w:space="0" w:color="auto"/>
              <w:left w:val="nil"/>
              <w:bottom w:val="single" w:sz="8" w:space="0" w:color="auto"/>
              <w:right w:val="nil"/>
            </w:tcBorders>
            <w:shd w:val="clear" w:color="auto" w:fill="auto"/>
            <w:vAlign w:val="bottom"/>
          </w:tcPr>
          <w:p w14:paraId="2984631A" w14:textId="77777777" w:rsidR="00B66CB5" w:rsidRPr="00427EF0" w:rsidRDefault="00B66CB5" w:rsidP="00CC1B61">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307.175</w:t>
            </w:r>
          </w:p>
        </w:tc>
        <w:tc>
          <w:tcPr>
            <w:tcW w:w="546" w:type="pct"/>
            <w:tcBorders>
              <w:top w:val="single" w:sz="8" w:space="0" w:color="auto"/>
              <w:left w:val="nil"/>
              <w:bottom w:val="single" w:sz="8" w:space="0" w:color="auto"/>
              <w:right w:val="nil"/>
            </w:tcBorders>
            <w:shd w:val="clear" w:color="auto" w:fill="auto"/>
            <w:vAlign w:val="bottom"/>
          </w:tcPr>
          <w:p w14:paraId="56DAA666" w14:textId="77777777" w:rsidR="00B66CB5" w:rsidRPr="00427EF0" w:rsidRDefault="00B66CB5" w:rsidP="00CC1B61">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117.269</w:t>
            </w:r>
          </w:p>
        </w:tc>
        <w:tc>
          <w:tcPr>
            <w:tcW w:w="572" w:type="pct"/>
            <w:tcBorders>
              <w:top w:val="single" w:sz="8" w:space="0" w:color="auto"/>
              <w:left w:val="nil"/>
              <w:bottom w:val="single" w:sz="8" w:space="0" w:color="auto"/>
              <w:right w:val="nil"/>
            </w:tcBorders>
            <w:shd w:val="clear" w:color="auto" w:fill="auto"/>
            <w:vAlign w:val="bottom"/>
          </w:tcPr>
          <w:p w14:paraId="1D2E7B9C" w14:textId="77777777" w:rsidR="00B66CB5" w:rsidRPr="00427EF0" w:rsidRDefault="00B66CB5" w:rsidP="00CC1B61">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286.790</w:t>
            </w:r>
          </w:p>
        </w:tc>
        <w:tc>
          <w:tcPr>
            <w:tcW w:w="570" w:type="pct"/>
            <w:tcBorders>
              <w:top w:val="single" w:sz="8" w:space="0" w:color="auto"/>
              <w:left w:val="nil"/>
              <w:bottom w:val="single" w:sz="8" w:space="0" w:color="auto"/>
              <w:right w:val="nil"/>
            </w:tcBorders>
            <w:shd w:val="clear" w:color="auto" w:fill="auto"/>
            <w:vAlign w:val="bottom"/>
          </w:tcPr>
          <w:p w14:paraId="1B48E05F" w14:textId="77777777" w:rsidR="00B66CB5" w:rsidRPr="00427EF0" w:rsidRDefault="00B66CB5" w:rsidP="00CC1B61">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669.493</w:t>
            </w:r>
          </w:p>
        </w:tc>
        <w:tc>
          <w:tcPr>
            <w:tcW w:w="640" w:type="pct"/>
            <w:tcBorders>
              <w:top w:val="single" w:sz="8" w:space="0" w:color="auto"/>
              <w:left w:val="nil"/>
              <w:bottom w:val="single" w:sz="8" w:space="0" w:color="auto"/>
              <w:right w:val="nil"/>
            </w:tcBorders>
            <w:shd w:val="clear" w:color="auto" w:fill="auto"/>
            <w:vAlign w:val="bottom"/>
          </w:tcPr>
          <w:p w14:paraId="55D4680A" w14:textId="77777777" w:rsidR="00B66CB5" w:rsidRPr="00427EF0" w:rsidRDefault="00B66CB5" w:rsidP="00CC1B61">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1.139.360</w:t>
            </w:r>
          </w:p>
        </w:tc>
        <w:tc>
          <w:tcPr>
            <w:tcW w:w="603" w:type="pct"/>
            <w:tcBorders>
              <w:top w:val="single" w:sz="8" w:space="0" w:color="auto"/>
              <w:left w:val="nil"/>
              <w:bottom w:val="single" w:sz="8" w:space="0" w:color="auto"/>
              <w:right w:val="nil"/>
            </w:tcBorders>
            <w:shd w:val="clear" w:color="auto" w:fill="auto"/>
            <w:vAlign w:val="bottom"/>
          </w:tcPr>
          <w:p w14:paraId="50A82511" w14:textId="77777777" w:rsidR="00B66CB5" w:rsidRPr="00427EF0" w:rsidRDefault="00B66CB5" w:rsidP="00CC1B61">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2.520.087</w:t>
            </w:r>
          </w:p>
        </w:tc>
      </w:tr>
      <w:tr w:rsidR="00B66CB5" w:rsidRPr="003D1614" w14:paraId="193FDB95" w14:textId="77777777" w:rsidTr="00CC1B61">
        <w:trPr>
          <w:trHeight w:val="71"/>
        </w:trPr>
        <w:tc>
          <w:tcPr>
            <w:tcW w:w="1518" w:type="pct"/>
          </w:tcPr>
          <w:p w14:paraId="4E0804A1" w14:textId="77777777" w:rsidR="00B66CB5" w:rsidRPr="003D1614" w:rsidRDefault="00B66CB5" w:rsidP="00CC1B61">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bookmarkStart w:id="837" w:name="_Toc67330190"/>
            <w:proofErr w:type="spellStart"/>
            <w:r w:rsidRPr="003D1614">
              <w:rPr>
                <w:rFonts w:ascii="Arial" w:eastAsia="Times New Roman" w:hAnsi="Arial" w:cs="Arial"/>
                <w:b/>
                <w:bCs/>
                <w:color w:val="000000" w:themeColor="text1"/>
                <w:spacing w:val="-2"/>
                <w:sz w:val="17"/>
                <w:szCs w:val="17"/>
              </w:rPr>
              <w:t>Likvidnosni</w:t>
            </w:r>
            <w:proofErr w:type="spellEnd"/>
            <w:r w:rsidRPr="003D1614">
              <w:rPr>
                <w:rFonts w:ascii="Arial" w:eastAsia="Times New Roman" w:hAnsi="Arial" w:cs="Arial"/>
                <w:b/>
                <w:bCs/>
                <w:color w:val="000000" w:themeColor="text1"/>
                <w:spacing w:val="-2"/>
                <w:sz w:val="17"/>
                <w:szCs w:val="17"/>
              </w:rPr>
              <w:t xml:space="preserve"> jaz</w:t>
            </w:r>
            <w:bookmarkEnd w:id="837"/>
          </w:p>
        </w:tc>
        <w:tc>
          <w:tcPr>
            <w:tcW w:w="551" w:type="pct"/>
            <w:tcBorders>
              <w:top w:val="single" w:sz="12" w:space="0" w:color="auto"/>
              <w:left w:val="nil"/>
              <w:bottom w:val="single" w:sz="12" w:space="0" w:color="auto"/>
              <w:right w:val="nil"/>
            </w:tcBorders>
            <w:shd w:val="clear" w:color="auto" w:fill="auto"/>
            <w:vAlign w:val="bottom"/>
          </w:tcPr>
          <w:p w14:paraId="24A674B3" w14:textId="77777777" w:rsidR="00B66CB5" w:rsidRPr="00427EF0" w:rsidRDefault="00B66CB5" w:rsidP="00CC1B61">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454.561</w:t>
            </w:r>
          </w:p>
        </w:tc>
        <w:tc>
          <w:tcPr>
            <w:tcW w:w="546" w:type="pct"/>
            <w:tcBorders>
              <w:top w:val="single" w:sz="12" w:space="0" w:color="auto"/>
              <w:left w:val="nil"/>
              <w:bottom w:val="single" w:sz="12" w:space="0" w:color="auto"/>
              <w:right w:val="nil"/>
            </w:tcBorders>
            <w:shd w:val="clear" w:color="auto" w:fill="auto"/>
            <w:vAlign w:val="bottom"/>
          </w:tcPr>
          <w:p w14:paraId="20D7B332" w14:textId="77777777" w:rsidR="00B66CB5" w:rsidRPr="00427EF0" w:rsidRDefault="00B66CB5" w:rsidP="00CC1B61">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29.002</w:t>
            </w:r>
          </w:p>
        </w:tc>
        <w:tc>
          <w:tcPr>
            <w:tcW w:w="572" w:type="pct"/>
            <w:tcBorders>
              <w:top w:val="single" w:sz="12" w:space="0" w:color="auto"/>
              <w:left w:val="nil"/>
              <w:bottom w:val="single" w:sz="12" w:space="0" w:color="auto"/>
              <w:right w:val="nil"/>
            </w:tcBorders>
            <w:shd w:val="clear" w:color="auto" w:fill="auto"/>
            <w:vAlign w:val="bottom"/>
          </w:tcPr>
          <w:p w14:paraId="0E025989" w14:textId="77777777" w:rsidR="00B66CB5" w:rsidRPr="00427EF0" w:rsidRDefault="00B66CB5" w:rsidP="00CC1B61">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81.965</w:t>
            </w:r>
          </w:p>
        </w:tc>
        <w:tc>
          <w:tcPr>
            <w:tcW w:w="570" w:type="pct"/>
            <w:tcBorders>
              <w:top w:val="single" w:sz="12" w:space="0" w:color="auto"/>
              <w:left w:val="nil"/>
              <w:bottom w:val="single" w:sz="12" w:space="0" w:color="auto"/>
              <w:right w:val="nil"/>
            </w:tcBorders>
            <w:shd w:val="clear" w:color="auto" w:fill="auto"/>
            <w:vAlign w:val="bottom"/>
          </w:tcPr>
          <w:p w14:paraId="0B31A47B" w14:textId="77777777" w:rsidR="00B66CB5" w:rsidRPr="00427EF0" w:rsidRDefault="00B66CB5" w:rsidP="00CC1B61">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301.732</w:t>
            </w:r>
          </w:p>
        </w:tc>
        <w:tc>
          <w:tcPr>
            <w:tcW w:w="640" w:type="pct"/>
            <w:tcBorders>
              <w:top w:val="single" w:sz="12" w:space="0" w:color="auto"/>
              <w:left w:val="nil"/>
              <w:bottom w:val="single" w:sz="12" w:space="0" w:color="auto"/>
              <w:right w:val="nil"/>
            </w:tcBorders>
            <w:shd w:val="clear" w:color="auto" w:fill="auto"/>
            <w:vAlign w:val="bottom"/>
          </w:tcPr>
          <w:p w14:paraId="0A7FAFA5" w14:textId="77777777" w:rsidR="00B66CB5" w:rsidRPr="00427EF0" w:rsidRDefault="00B66CB5" w:rsidP="00CC1B61">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607.309</w:t>
            </w:r>
          </w:p>
        </w:tc>
        <w:tc>
          <w:tcPr>
            <w:tcW w:w="603" w:type="pct"/>
            <w:tcBorders>
              <w:top w:val="single" w:sz="12" w:space="0" w:color="auto"/>
              <w:left w:val="nil"/>
              <w:bottom w:val="single" w:sz="12" w:space="0" w:color="auto"/>
              <w:right w:val="nil"/>
            </w:tcBorders>
            <w:shd w:val="clear" w:color="auto" w:fill="auto"/>
            <w:vAlign w:val="bottom"/>
          </w:tcPr>
          <w:p w14:paraId="5F81FFD1" w14:textId="77777777" w:rsidR="00B66CB5" w:rsidRPr="00427EF0" w:rsidRDefault="00B66CB5" w:rsidP="00CC1B61">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1.474.569</w:t>
            </w:r>
          </w:p>
        </w:tc>
      </w:tr>
      <w:tr w:rsidR="00B66CB5" w:rsidRPr="003D1614" w14:paraId="7EB1B769" w14:textId="77777777" w:rsidTr="00CC1B61">
        <w:trPr>
          <w:trHeight w:hRule="exact" w:val="219"/>
        </w:trPr>
        <w:tc>
          <w:tcPr>
            <w:tcW w:w="1518" w:type="pct"/>
            <w:vAlign w:val="bottom"/>
          </w:tcPr>
          <w:p w14:paraId="41D790C3" w14:textId="77777777" w:rsidR="00B66CB5" w:rsidRPr="003D1614" w:rsidRDefault="00B66CB5" w:rsidP="00CC1B61">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p>
        </w:tc>
        <w:tc>
          <w:tcPr>
            <w:tcW w:w="551" w:type="pct"/>
            <w:tcBorders>
              <w:top w:val="single" w:sz="12" w:space="0" w:color="auto"/>
              <w:left w:val="nil"/>
              <w:right w:val="nil"/>
            </w:tcBorders>
            <w:shd w:val="clear" w:color="auto" w:fill="auto"/>
            <w:vAlign w:val="bottom"/>
          </w:tcPr>
          <w:p w14:paraId="05D95412" w14:textId="77777777" w:rsidR="00B66CB5" w:rsidRPr="003D1614" w:rsidRDefault="00B66CB5" w:rsidP="00CC1B61">
            <w:pPr>
              <w:suppressAutoHyphens/>
              <w:autoSpaceDN w:val="0"/>
              <w:jc w:val="right"/>
              <w:rPr>
                <w:rFonts w:ascii="Arial" w:eastAsia="Times New Roman" w:hAnsi="Arial" w:cs="Arial"/>
                <w:color w:val="000000"/>
                <w:sz w:val="17"/>
                <w:szCs w:val="17"/>
              </w:rPr>
            </w:pPr>
          </w:p>
        </w:tc>
        <w:tc>
          <w:tcPr>
            <w:tcW w:w="546" w:type="pct"/>
            <w:tcBorders>
              <w:top w:val="single" w:sz="12" w:space="0" w:color="auto"/>
              <w:left w:val="nil"/>
              <w:right w:val="nil"/>
            </w:tcBorders>
            <w:shd w:val="clear" w:color="auto" w:fill="auto"/>
            <w:vAlign w:val="bottom"/>
          </w:tcPr>
          <w:p w14:paraId="7D7AF819" w14:textId="77777777" w:rsidR="00B66CB5" w:rsidRPr="003D1614" w:rsidRDefault="00B66CB5" w:rsidP="00CC1B61">
            <w:pPr>
              <w:suppressAutoHyphens/>
              <w:autoSpaceDN w:val="0"/>
              <w:jc w:val="right"/>
              <w:rPr>
                <w:rFonts w:ascii="Arial" w:eastAsia="Times New Roman" w:hAnsi="Arial" w:cs="Arial"/>
                <w:color w:val="000000"/>
                <w:sz w:val="17"/>
                <w:szCs w:val="17"/>
              </w:rPr>
            </w:pPr>
          </w:p>
        </w:tc>
        <w:tc>
          <w:tcPr>
            <w:tcW w:w="572" w:type="pct"/>
            <w:tcBorders>
              <w:top w:val="single" w:sz="12" w:space="0" w:color="auto"/>
              <w:left w:val="nil"/>
              <w:right w:val="nil"/>
            </w:tcBorders>
            <w:shd w:val="clear" w:color="auto" w:fill="auto"/>
            <w:vAlign w:val="bottom"/>
          </w:tcPr>
          <w:p w14:paraId="718CD4CF" w14:textId="77777777" w:rsidR="00B66CB5" w:rsidRPr="003D1614" w:rsidRDefault="00B66CB5" w:rsidP="00CC1B61">
            <w:pPr>
              <w:suppressAutoHyphens/>
              <w:autoSpaceDN w:val="0"/>
              <w:jc w:val="right"/>
              <w:rPr>
                <w:rFonts w:ascii="Arial" w:eastAsia="Times New Roman" w:hAnsi="Arial" w:cs="Arial"/>
                <w:color w:val="000000"/>
                <w:sz w:val="17"/>
                <w:szCs w:val="17"/>
              </w:rPr>
            </w:pPr>
          </w:p>
        </w:tc>
        <w:tc>
          <w:tcPr>
            <w:tcW w:w="570" w:type="pct"/>
            <w:tcBorders>
              <w:top w:val="single" w:sz="12" w:space="0" w:color="auto"/>
              <w:left w:val="nil"/>
              <w:right w:val="nil"/>
            </w:tcBorders>
            <w:shd w:val="clear" w:color="auto" w:fill="auto"/>
            <w:vAlign w:val="bottom"/>
          </w:tcPr>
          <w:p w14:paraId="42CD019C" w14:textId="77777777" w:rsidR="00B66CB5" w:rsidRPr="003D1614" w:rsidRDefault="00B66CB5" w:rsidP="00CC1B61">
            <w:pPr>
              <w:suppressAutoHyphens/>
              <w:autoSpaceDN w:val="0"/>
              <w:jc w:val="right"/>
              <w:rPr>
                <w:rFonts w:ascii="Arial" w:eastAsia="Times New Roman" w:hAnsi="Arial" w:cs="Arial"/>
                <w:color w:val="000000"/>
                <w:sz w:val="17"/>
                <w:szCs w:val="17"/>
              </w:rPr>
            </w:pPr>
          </w:p>
        </w:tc>
        <w:tc>
          <w:tcPr>
            <w:tcW w:w="640" w:type="pct"/>
            <w:tcBorders>
              <w:top w:val="single" w:sz="12" w:space="0" w:color="auto"/>
              <w:left w:val="nil"/>
              <w:right w:val="nil"/>
            </w:tcBorders>
            <w:shd w:val="clear" w:color="auto" w:fill="auto"/>
            <w:vAlign w:val="bottom"/>
          </w:tcPr>
          <w:p w14:paraId="4DC3939D" w14:textId="77777777" w:rsidR="00B66CB5" w:rsidRPr="003D1614" w:rsidRDefault="00B66CB5" w:rsidP="00CC1B61">
            <w:pPr>
              <w:suppressAutoHyphens/>
              <w:autoSpaceDN w:val="0"/>
              <w:jc w:val="right"/>
              <w:rPr>
                <w:rFonts w:ascii="Arial" w:eastAsia="Times New Roman" w:hAnsi="Arial" w:cs="Arial"/>
                <w:color w:val="000000"/>
                <w:sz w:val="17"/>
                <w:szCs w:val="17"/>
              </w:rPr>
            </w:pPr>
          </w:p>
        </w:tc>
        <w:tc>
          <w:tcPr>
            <w:tcW w:w="603" w:type="pct"/>
            <w:tcBorders>
              <w:top w:val="single" w:sz="12" w:space="0" w:color="auto"/>
              <w:left w:val="nil"/>
              <w:right w:val="nil"/>
            </w:tcBorders>
            <w:shd w:val="clear" w:color="auto" w:fill="auto"/>
            <w:vAlign w:val="bottom"/>
          </w:tcPr>
          <w:p w14:paraId="6302D4FC" w14:textId="77777777" w:rsidR="00B66CB5" w:rsidRPr="003D1614" w:rsidRDefault="00B66CB5" w:rsidP="00CC1B61">
            <w:pPr>
              <w:suppressAutoHyphens/>
              <w:autoSpaceDN w:val="0"/>
              <w:jc w:val="right"/>
              <w:rPr>
                <w:rFonts w:ascii="Arial" w:eastAsia="Times New Roman" w:hAnsi="Arial" w:cs="Arial"/>
                <w:color w:val="000000"/>
                <w:sz w:val="17"/>
                <w:szCs w:val="17"/>
              </w:rPr>
            </w:pPr>
          </w:p>
        </w:tc>
      </w:tr>
      <w:tr w:rsidR="00B66CB5" w:rsidRPr="003D1614" w14:paraId="088AD1E7" w14:textId="77777777" w:rsidTr="00CC1B61">
        <w:trPr>
          <w:trHeight w:hRule="exact" w:val="271"/>
        </w:trPr>
        <w:tc>
          <w:tcPr>
            <w:tcW w:w="1518" w:type="pct"/>
            <w:tcBorders>
              <w:top w:val="nil"/>
              <w:left w:val="nil"/>
              <w:bottom w:val="nil"/>
              <w:right w:val="nil"/>
            </w:tcBorders>
            <w:shd w:val="clear" w:color="auto" w:fill="auto"/>
            <w:vAlign w:val="center"/>
          </w:tcPr>
          <w:p w14:paraId="02D63E9E" w14:textId="77777777" w:rsidR="00B66CB5" w:rsidRPr="003D1614" w:rsidRDefault="00B66CB5" w:rsidP="00CC1B61">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bookmarkStart w:id="838" w:name="_Toc67330191"/>
            <w:r w:rsidRPr="003D1614">
              <w:rPr>
                <w:rFonts w:ascii="Arial" w:eastAsia="Times New Roman" w:hAnsi="Arial" w:cs="Arial"/>
                <w:b/>
                <w:bCs/>
                <w:color w:val="000000" w:themeColor="text1"/>
                <w:sz w:val="17"/>
                <w:szCs w:val="17"/>
              </w:rPr>
              <w:t>Garancije i preuzete obveze</w:t>
            </w:r>
            <w:bookmarkEnd w:id="838"/>
          </w:p>
        </w:tc>
        <w:tc>
          <w:tcPr>
            <w:tcW w:w="551" w:type="pct"/>
            <w:tcBorders>
              <w:top w:val="nil"/>
              <w:left w:val="nil"/>
              <w:bottom w:val="nil"/>
              <w:right w:val="nil"/>
            </w:tcBorders>
            <w:shd w:val="clear" w:color="auto" w:fill="auto"/>
            <w:vAlign w:val="bottom"/>
          </w:tcPr>
          <w:p w14:paraId="702CF675" w14:textId="77777777" w:rsidR="00B66CB5" w:rsidRPr="003D1614" w:rsidRDefault="00B66CB5" w:rsidP="00CC1B61">
            <w:pPr>
              <w:suppressAutoHyphens/>
              <w:autoSpaceDN w:val="0"/>
              <w:jc w:val="right"/>
              <w:rPr>
                <w:rFonts w:ascii="Arial" w:eastAsia="Times New Roman" w:hAnsi="Arial" w:cs="Arial"/>
                <w:color w:val="000000"/>
                <w:sz w:val="17"/>
                <w:szCs w:val="17"/>
              </w:rPr>
            </w:pPr>
          </w:p>
        </w:tc>
        <w:tc>
          <w:tcPr>
            <w:tcW w:w="546" w:type="pct"/>
            <w:tcBorders>
              <w:top w:val="nil"/>
              <w:left w:val="nil"/>
              <w:bottom w:val="nil"/>
              <w:right w:val="nil"/>
            </w:tcBorders>
            <w:shd w:val="clear" w:color="auto" w:fill="auto"/>
            <w:vAlign w:val="bottom"/>
          </w:tcPr>
          <w:p w14:paraId="07F7D627" w14:textId="77777777" w:rsidR="00B66CB5" w:rsidRPr="003D1614" w:rsidRDefault="00B66CB5" w:rsidP="00CC1B61">
            <w:pPr>
              <w:suppressAutoHyphens/>
              <w:autoSpaceDN w:val="0"/>
              <w:jc w:val="right"/>
              <w:rPr>
                <w:rFonts w:ascii="Arial" w:eastAsia="Times New Roman" w:hAnsi="Arial" w:cs="Arial"/>
                <w:color w:val="000000"/>
                <w:sz w:val="17"/>
                <w:szCs w:val="17"/>
              </w:rPr>
            </w:pPr>
          </w:p>
        </w:tc>
        <w:tc>
          <w:tcPr>
            <w:tcW w:w="572" w:type="pct"/>
            <w:tcBorders>
              <w:top w:val="nil"/>
              <w:left w:val="nil"/>
              <w:bottom w:val="nil"/>
              <w:right w:val="nil"/>
            </w:tcBorders>
            <w:shd w:val="clear" w:color="auto" w:fill="auto"/>
            <w:vAlign w:val="bottom"/>
          </w:tcPr>
          <w:p w14:paraId="49DF5316" w14:textId="77777777" w:rsidR="00B66CB5" w:rsidRPr="003D1614" w:rsidRDefault="00B66CB5" w:rsidP="00CC1B61">
            <w:pPr>
              <w:suppressAutoHyphens/>
              <w:autoSpaceDN w:val="0"/>
              <w:jc w:val="right"/>
              <w:rPr>
                <w:rFonts w:ascii="Arial" w:eastAsia="Times New Roman" w:hAnsi="Arial" w:cs="Arial"/>
                <w:color w:val="000000"/>
                <w:sz w:val="17"/>
                <w:szCs w:val="17"/>
              </w:rPr>
            </w:pPr>
          </w:p>
        </w:tc>
        <w:tc>
          <w:tcPr>
            <w:tcW w:w="570" w:type="pct"/>
            <w:tcBorders>
              <w:top w:val="nil"/>
              <w:left w:val="nil"/>
              <w:bottom w:val="nil"/>
              <w:right w:val="nil"/>
            </w:tcBorders>
            <w:shd w:val="clear" w:color="auto" w:fill="auto"/>
            <w:vAlign w:val="bottom"/>
          </w:tcPr>
          <w:p w14:paraId="17834052" w14:textId="77777777" w:rsidR="00B66CB5" w:rsidRPr="003D1614" w:rsidRDefault="00B66CB5" w:rsidP="00CC1B61">
            <w:pPr>
              <w:suppressAutoHyphens/>
              <w:autoSpaceDN w:val="0"/>
              <w:jc w:val="right"/>
              <w:rPr>
                <w:rFonts w:ascii="Arial" w:eastAsia="Times New Roman" w:hAnsi="Arial" w:cs="Arial"/>
                <w:color w:val="000000"/>
                <w:sz w:val="17"/>
                <w:szCs w:val="17"/>
              </w:rPr>
            </w:pPr>
          </w:p>
        </w:tc>
        <w:tc>
          <w:tcPr>
            <w:tcW w:w="640" w:type="pct"/>
            <w:tcBorders>
              <w:top w:val="nil"/>
              <w:left w:val="nil"/>
              <w:bottom w:val="nil"/>
              <w:right w:val="nil"/>
            </w:tcBorders>
            <w:shd w:val="clear" w:color="auto" w:fill="auto"/>
            <w:vAlign w:val="bottom"/>
          </w:tcPr>
          <w:p w14:paraId="21474EA6" w14:textId="77777777" w:rsidR="00B66CB5" w:rsidRPr="003D1614" w:rsidRDefault="00B66CB5" w:rsidP="00CC1B61">
            <w:pPr>
              <w:suppressAutoHyphens/>
              <w:autoSpaceDN w:val="0"/>
              <w:jc w:val="right"/>
              <w:rPr>
                <w:rFonts w:ascii="Arial" w:eastAsia="Times New Roman" w:hAnsi="Arial" w:cs="Arial"/>
                <w:color w:val="000000"/>
                <w:sz w:val="17"/>
                <w:szCs w:val="17"/>
              </w:rPr>
            </w:pPr>
          </w:p>
        </w:tc>
        <w:tc>
          <w:tcPr>
            <w:tcW w:w="603" w:type="pct"/>
            <w:tcBorders>
              <w:top w:val="nil"/>
              <w:left w:val="nil"/>
              <w:bottom w:val="nil"/>
              <w:right w:val="nil"/>
            </w:tcBorders>
            <w:shd w:val="clear" w:color="auto" w:fill="auto"/>
            <w:vAlign w:val="bottom"/>
          </w:tcPr>
          <w:p w14:paraId="47A10D5F" w14:textId="77777777" w:rsidR="00B66CB5" w:rsidRPr="003D1614" w:rsidRDefault="00B66CB5" w:rsidP="00CC1B61">
            <w:pPr>
              <w:suppressAutoHyphens/>
              <w:autoSpaceDN w:val="0"/>
              <w:jc w:val="right"/>
              <w:rPr>
                <w:rFonts w:ascii="Arial" w:eastAsia="Times New Roman" w:hAnsi="Arial" w:cs="Arial"/>
                <w:color w:val="000000"/>
                <w:sz w:val="17"/>
                <w:szCs w:val="17"/>
              </w:rPr>
            </w:pPr>
          </w:p>
        </w:tc>
      </w:tr>
      <w:tr w:rsidR="00B66CB5" w:rsidRPr="003D1614" w14:paraId="635C9D95" w14:textId="77777777" w:rsidTr="00CC1B61">
        <w:trPr>
          <w:trHeight w:hRule="exact" w:val="271"/>
        </w:trPr>
        <w:tc>
          <w:tcPr>
            <w:tcW w:w="1518" w:type="pct"/>
            <w:tcBorders>
              <w:top w:val="nil"/>
              <w:left w:val="nil"/>
              <w:bottom w:val="nil"/>
              <w:right w:val="nil"/>
            </w:tcBorders>
            <w:shd w:val="clear" w:color="auto" w:fill="auto"/>
            <w:vAlign w:val="center"/>
          </w:tcPr>
          <w:p w14:paraId="50A33CF8" w14:textId="77777777" w:rsidR="00B66CB5" w:rsidRPr="003D1614" w:rsidRDefault="00B66CB5" w:rsidP="00CC1B61">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bookmarkStart w:id="839" w:name="_Toc67330192"/>
            <w:r w:rsidRPr="003D1614">
              <w:rPr>
                <w:rFonts w:ascii="Arial" w:eastAsia="Times New Roman" w:hAnsi="Arial" w:cs="Arial"/>
                <w:color w:val="000000" w:themeColor="text1"/>
                <w:sz w:val="17"/>
                <w:szCs w:val="17"/>
              </w:rPr>
              <w:t xml:space="preserve">Izdane garancije </w:t>
            </w:r>
            <w:bookmarkEnd w:id="839"/>
          </w:p>
        </w:tc>
        <w:tc>
          <w:tcPr>
            <w:tcW w:w="551" w:type="pct"/>
            <w:tcBorders>
              <w:top w:val="nil"/>
              <w:left w:val="nil"/>
              <w:bottom w:val="nil"/>
              <w:right w:val="nil"/>
            </w:tcBorders>
            <w:shd w:val="clear" w:color="auto" w:fill="auto"/>
            <w:vAlign w:val="bottom"/>
          </w:tcPr>
          <w:p w14:paraId="2166DCD3"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36.431</w:t>
            </w:r>
          </w:p>
        </w:tc>
        <w:tc>
          <w:tcPr>
            <w:tcW w:w="546" w:type="pct"/>
            <w:tcBorders>
              <w:top w:val="nil"/>
              <w:left w:val="nil"/>
              <w:bottom w:val="nil"/>
              <w:right w:val="nil"/>
            </w:tcBorders>
            <w:shd w:val="clear" w:color="auto" w:fill="auto"/>
            <w:vAlign w:val="bottom"/>
          </w:tcPr>
          <w:p w14:paraId="02323F42"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5CB167B8"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0" w:type="pct"/>
            <w:tcBorders>
              <w:top w:val="nil"/>
              <w:left w:val="nil"/>
              <w:bottom w:val="nil"/>
              <w:right w:val="nil"/>
            </w:tcBorders>
            <w:shd w:val="clear" w:color="auto" w:fill="auto"/>
            <w:vAlign w:val="bottom"/>
          </w:tcPr>
          <w:p w14:paraId="1CE4E626"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40" w:type="pct"/>
            <w:tcBorders>
              <w:top w:val="nil"/>
              <w:left w:val="nil"/>
              <w:bottom w:val="nil"/>
              <w:right w:val="nil"/>
            </w:tcBorders>
            <w:shd w:val="clear" w:color="auto" w:fill="auto"/>
            <w:vAlign w:val="bottom"/>
          </w:tcPr>
          <w:p w14:paraId="145E044B"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03" w:type="pct"/>
            <w:tcBorders>
              <w:top w:val="nil"/>
              <w:left w:val="nil"/>
              <w:bottom w:val="nil"/>
              <w:right w:val="nil"/>
            </w:tcBorders>
            <w:shd w:val="clear" w:color="auto" w:fill="auto"/>
            <w:vAlign w:val="bottom"/>
          </w:tcPr>
          <w:p w14:paraId="75D76578"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36.431</w:t>
            </w:r>
          </w:p>
        </w:tc>
      </w:tr>
      <w:tr w:rsidR="00B66CB5" w:rsidRPr="003D1614" w14:paraId="232DDDA7" w14:textId="77777777" w:rsidTr="00CC1B61">
        <w:trPr>
          <w:trHeight w:hRule="exact" w:val="271"/>
        </w:trPr>
        <w:tc>
          <w:tcPr>
            <w:tcW w:w="1518" w:type="pct"/>
            <w:tcBorders>
              <w:top w:val="nil"/>
              <w:left w:val="nil"/>
              <w:bottom w:val="nil"/>
              <w:right w:val="nil"/>
            </w:tcBorders>
            <w:shd w:val="clear" w:color="auto" w:fill="auto"/>
            <w:vAlign w:val="center"/>
          </w:tcPr>
          <w:p w14:paraId="73165A08" w14:textId="77777777" w:rsidR="00B66CB5" w:rsidRPr="003D1614" w:rsidRDefault="00B66CB5" w:rsidP="00CC1B61">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bookmarkStart w:id="840" w:name="_Toc67330193"/>
            <w:r w:rsidRPr="003D1614">
              <w:rPr>
                <w:rFonts w:ascii="Arial" w:eastAsia="Times New Roman" w:hAnsi="Arial" w:cs="Arial"/>
                <w:color w:val="000000" w:themeColor="text1"/>
                <w:sz w:val="17"/>
                <w:szCs w:val="17"/>
              </w:rPr>
              <w:t>Izdane garancije u devizama</w:t>
            </w:r>
            <w:bookmarkEnd w:id="840"/>
          </w:p>
        </w:tc>
        <w:tc>
          <w:tcPr>
            <w:tcW w:w="551" w:type="pct"/>
            <w:tcBorders>
              <w:top w:val="nil"/>
              <w:left w:val="nil"/>
              <w:bottom w:val="nil"/>
              <w:right w:val="nil"/>
            </w:tcBorders>
            <w:shd w:val="clear" w:color="auto" w:fill="auto"/>
            <w:vAlign w:val="bottom"/>
          </w:tcPr>
          <w:p w14:paraId="3B88DD3E"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7.425</w:t>
            </w:r>
          </w:p>
        </w:tc>
        <w:tc>
          <w:tcPr>
            <w:tcW w:w="546" w:type="pct"/>
            <w:tcBorders>
              <w:top w:val="nil"/>
              <w:left w:val="nil"/>
              <w:bottom w:val="nil"/>
              <w:right w:val="nil"/>
            </w:tcBorders>
            <w:shd w:val="clear" w:color="auto" w:fill="auto"/>
            <w:vAlign w:val="bottom"/>
          </w:tcPr>
          <w:p w14:paraId="0C9C6294"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667E6D14"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0" w:type="pct"/>
            <w:tcBorders>
              <w:top w:val="nil"/>
              <w:left w:val="nil"/>
              <w:bottom w:val="nil"/>
              <w:right w:val="nil"/>
            </w:tcBorders>
            <w:shd w:val="clear" w:color="auto" w:fill="auto"/>
            <w:vAlign w:val="bottom"/>
          </w:tcPr>
          <w:p w14:paraId="1B2B83A4"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40" w:type="pct"/>
            <w:tcBorders>
              <w:top w:val="nil"/>
              <w:left w:val="nil"/>
              <w:bottom w:val="nil"/>
              <w:right w:val="nil"/>
            </w:tcBorders>
            <w:shd w:val="clear" w:color="auto" w:fill="auto"/>
            <w:vAlign w:val="bottom"/>
          </w:tcPr>
          <w:p w14:paraId="6F65E937"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03" w:type="pct"/>
            <w:tcBorders>
              <w:top w:val="nil"/>
              <w:left w:val="nil"/>
              <w:bottom w:val="nil"/>
              <w:right w:val="nil"/>
            </w:tcBorders>
            <w:shd w:val="clear" w:color="auto" w:fill="auto"/>
            <w:vAlign w:val="bottom"/>
          </w:tcPr>
          <w:p w14:paraId="33B0DD7D"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7.425</w:t>
            </w:r>
          </w:p>
        </w:tc>
      </w:tr>
      <w:tr w:rsidR="00B66CB5" w:rsidRPr="003D1614" w14:paraId="61FD9DEE" w14:textId="77777777" w:rsidTr="00CC1B61">
        <w:trPr>
          <w:trHeight w:hRule="exact" w:val="271"/>
        </w:trPr>
        <w:tc>
          <w:tcPr>
            <w:tcW w:w="1518" w:type="pct"/>
            <w:tcBorders>
              <w:top w:val="nil"/>
              <w:left w:val="nil"/>
              <w:bottom w:val="nil"/>
              <w:right w:val="nil"/>
            </w:tcBorders>
            <w:shd w:val="clear" w:color="auto" w:fill="auto"/>
            <w:vAlign w:val="center"/>
          </w:tcPr>
          <w:p w14:paraId="30CE985F" w14:textId="77777777" w:rsidR="00B66CB5" w:rsidRPr="003D1614" w:rsidRDefault="00B66CB5" w:rsidP="00CC1B61">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bookmarkStart w:id="841" w:name="_Toc67330195"/>
            <w:r w:rsidRPr="003D1614">
              <w:rPr>
                <w:rFonts w:ascii="Arial" w:eastAsia="Times New Roman" w:hAnsi="Arial" w:cs="Arial"/>
                <w:color w:val="000000" w:themeColor="text1"/>
                <w:sz w:val="17"/>
                <w:szCs w:val="17"/>
              </w:rPr>
              <w:t>Preuzete obveze po kreditima</w:t>
            </w:r>
            <w:bookmarkEnd w:id="841"/>
          </w:p>
        </w:tc>
        <w:tc>
          <w:tcPr>
            <w:tcW w:w="551" w:type="pct"/>
            <w:tcBorders>
              <w:top w:val="nil"/>
              <w:left w:val="nil"/>
              <w:bottom w:val="nil"/>
              <w:right w:val="nil"/>
            </w:tcBorders>
            <w:shd w:val="clear" w:color="auto" w:fill="auto"/>
            <w:vAlign w:val="bottom"/>
          </w:tcPr>
          <w:p w14:paraId="00B83EC5"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556.993</w:t>
            </w:r>
          </w:p>
        </w:tc>
        <w:tc>
          <w:tcPr>
            <w:tcW w:w="546" w:type="pct"/>
            <w:tcBorders>
              <w:top w:val="nil"/>
              <w:left w:val="nil"/>
              <w:bottom w:val="nil"/>
              <w:right w:val="nil"/>
            </w:tcBorders>
            <w:shd w:val="clear" w:color="auto" w:fill="auto"/>
            <w:vAlign w:val="bottom"/>
          </w:tcPr>
          <w:p w14:paraId="374CBF45"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16527A49"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0" w:type="pct"/>
            <w:tcBorders>
              <w:top w:val="nil"/>
              <w:left w:val="nil"/>
              <w:bottom w:val="nil"/>
              <w:right w:val="nil"/>
            </w:tcBorders>
            <w:shd w:val="clear" w:color="auto" w:fill="auto"/>
            <w:vAlign w:val="bottom"/>
          </w:tcPr>
          <w:p w14:paraId="7529F4A5"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40" w:type="pct"/>
            <w:tcBorders>
              <w:top w:val="nil"/>
              <w:left w:val="nil"/>
              <w:bottom w:val="nil"/>
              <w:right w:val="nil"/>
            </w:tcBorders>
            <w:shd w:val="clear" w:color="auto" w:fill="auto"/>
            <w:vAlign w:val="bottom"/>
          </w:tcPr>
          <w:p w14:paraId="659B4BA2"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03" w:type="pct"/>
            <w:tcBorders>
              <w:top w:val="nil"/>
              <w:left w:val="nil"/>
              <w:bottom w:val="nil"/>
              <w:right w:val="nil"/>
            </w:tcBorders>
            <w:shd w:val="clear" w:color="auto" w:fill="auto"/>
            <w:vAlign w:val="bottom"/>
          </w:tcPr>
          <w:p w14:paraId="11B1830F"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556.993</w:t>
            </w:r>
          </w:p>
        </w:tc>
      </w:tr>
      <w:tr w:rsidR="00B66CB5" w:rsidRPr="003D1614" w14:paraId="69D2DC74" w14:textId="77777777" w:rsidTr="00CC1B61">
        <w:trPr>
          <w:trHeight w:hRule="exact" w:val="271"/>
        </w:trPr>
        <w:tc>
          <w:tcPr>
            <w:tcW w:w="1518" w:type="pct"/>
            <w:tcBorders>
              <w:top w:val="nil"/>
              <w:left w:val="nil"/>
              <w:bottom w:val="nil"/>
              <w:right w:val="nil"/>
            </w:tcBorders>
            <w:shd w:val="clear" w:color="auto" w:fill="auto"/>
            <w:vAlign w:val="bottom"/>
          </w:tcPr>
          <w:p w14:paraId="59A0983D" w14:textId="77777777" w:rsidR="00B66CB5" w:rsidRPr="003D1614" w:rsidRDefault="00B66CB5" w:rsidP="00CC1B61">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42" w:name="_Toc67330196"/>
            <w:r w:rsidRPr="003D1614">
              <w:rPr>
                <w:rFonts w:ascii="Arial" w:eastAsia="Times New Roman" w:hAnsi="Arial" w:cs="Arial"/>
                <w:color w:val="000000" w:themeColor="text1"/>
                <w:sz w:val="17"/>
                <w:szCs w:val="17"/>
              </w:rPr>
              <w:t>Upisani a neuplaćeni kapital EIF-a</w:t>
            </w:r>
            <w:bookmarkEnd w:id="842"/>
          </w:p>
        </w:tc>
        <w:tc>
          <w:tcPr>
            <w:tcW w:w="551" w:type="pct"/>
            <w:tcBorders>
              <w:top w:val="nil"/>
              <w:left w:val="nil"/>
              <w:bottom w:val="nil"/>
              <w:right w:val="nil"/>
            </w:tcBorders>
            <w:shd w:val="clear" w:color="auto" w:fill="auto"/>
            <w:vAlign w:val="bottom"/>
          </w:tcPr>
          <w:p w14:paraId="00FD41C4"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10.400</w:t>
            </w:r>
          </w:p>
        </w:tc>
        <w:tc>
          <w:tcPr>
            <w:tcW w:w="546" w:type="pct"/>
            <w:tcBorders>
              <w:top w:val="nil"/>
              <w:left w:val="nil"/>
              <w:bottom w:val="nil"/>
              <w:right w:val="nil"/>
            </w:tcBorders>
            <w:shd w:val="clear" w:color="auto" w:fill="auto"/>
            <w:vAlign w:val="bottom"/>
          </w:tcPr>
          <w:p w14:paraId="0ED0BB5F"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2" w:type="pct"/>
            <w:tcBorders>
              <w:top w:val="nil"/>
              <w:left w:val="nil"/>
              <w:bottom w:val="nil"/>
              <w:right w:val="nil"/>
            </w:tcBorders>
            <w:shd w:val="clear" w:color="auto" w:fill="auto"/>
            <w:vAlign w:val="bottom"/>
          </w:tcPr>
          <w:p w14:paraId="78B0E3B5"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570" w:type="pct"/>
            <w:tcBorders>
              <w:top w:val="nil"/>
              <w:left w:val="nil"/>
              <w:bottom w:val="nil"/>
              <w:right w:val="nil"/>
            </w:tcBorders>
            <w:shd w:val="clear" w:color="auto" w:fill="auto"/>
            <w:vAlign w:val="bottom"/>
          </w:tcPr>
          <w:p w14:paraId="351C84F0"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40" w:type="pct"/>
            <w:tcBorders>
              <w:top w:val="nil"/>
              <w:left w:val="nil"/>
              <w:bottom w:val="nil"/>
              <w:right w:val="nil"/>
            </w:tcBorders>
            <w:shd w:val="clear" w:color="auto" w:fill="auto"/>
            <w:vAlign w:val="bottom"/>
          </w:tcPr>
          <w:p w14:paraId="2224B5E5"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w:t>
            </w:r>
          </w:p>
        </w:tc>
        <w:tc>
          <w:tcPr>
            <w:tcW w:w="603" w:type="pct"/>
            <w:tcBorders>
              <w:top w:val="nil"/>
              <w:left w:val="nil"/>
              <w:bottom w:val="nil"/>
              <w:right w:val="nil"/>
            </w:tcBorders>
            <w:shd w:val="clear" w:color="auto" w:fill="auto"/>
            <w:vAlign w:val="bottom"/>
          </w:tcPr>
          <w:p w14:paraId="7562C956"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10.400</w:t>
            </w:r>
          </w:p>
        </w:tc>
      </w:tr>
      <w:tr w:rsidR="00B66CB5" w:rsidRPr="003D1614" w14:paraId="1E76F122" w14:textId="77777777" w:rsidTr="00CC1B61">
        <w:trPr>
          <w:trHeight w:hRule="exact" w:val="271"/>
        </w:trPr>
        <w:tc>
          <w:tcPr>
            <w:tcW w:w="1518" w:type="pct"/>
            <w:tcBorders>
              <w:top w:val="nil"/>
              <w:left w:val="nil"/>
              <w:bottom w:val="nil"/>
              <w:right w:val="nil"/>
            </w:tcBorders>
            <w:shd w:val="clear" w:color="auto" w:fill="auto"/>
            <w:vAlign w:val="bottom"/>
          </w:tcPr>
          <w:p w14:paraId="596043DA" w14:textId="77777777" w:rsidR="00B66CB5" w:rsidRPr="003D1614" w:rsidRDefault="00B66CB5" w:rsidP="00CC1B61">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43" w:name="_Toc67330197"/>
            <w:r w:rsidRPr="003D1614">
              <w:rPr>
                <w:rFonts w:ascii="Arial" w:eastAsia="Times New Roman" w:hAnsi="Arial" w:cs="Arial"/>
                <w:color w:val="000000"/>
                <w:sz w:val="17"/>
                <w:szCs w:val="17"/>
              </w:rPr>
              <w:t>Ugovorena obveza EIF CROGIP</w:t>
            </w:r>
            <w:bookmarkEnd w:id="843"/>
          </w:p>
        </w:tc>
        <w:tc>
          <w:tcPr>
            <w:tcW w:w="551" w:type="pct"/>
            <w:tcBorders>
              <w:top w:val="nil"/>
              <w:left w:val="nil"/>
              <w:bottom w:val="nil"/>
              <w:right w:val="nil"/>
            </w:tcBorders>
            <w:shd w:val="clear" w:color="auto" w:fill="auto"/>
            <w:vAlign w:val="bottom"/>
          </w:tcPr>
          <w:p w14:paraId="5D17E9BF"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204</w:t>
            </w:r>
          </w:p>
        </w:tc>
        <w:tc>
          <w:tcPr>
            <w:tcW w:w="546" w:type="pct"/>
            <w:tcBorders>
              <w:top w:val="nil"/>
              <w:left w:val="nil"/>
              <w:bottom w:val="nil"/>
              <w:right w:val="nil"/>
            </w:tcBorders>
            <w:shd w:val="clear" w:color="auto" w:fill="auto"/>
            <w:vAlign w:val="bottom"/>
          </w:tcPr>
          <w:p w14:paraId="796F1F46"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2.456</w:t>
            </w:r>
          </w:p>
        </w:tc>
        <w:tc>
          <w:tcPr>
            <w:tcW w:w="572" w:type="pct"/>
            <w:tcBorders>
              <w:top w:val="nil"/>
              <w:left w:val="nil"/>
              <w:bottom w:val="nil"/>
              <w:right w:val="nil"/>
            </w:tcBorders>
            <w:shd w:val="clear" w:color="auto" w:fill="auto"/>
            <w:vAlign w:val="bottom"/>
          </w:tcPr>
          <w:p w14:paraId="370FA6EF"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6.070</w:t>
            </w:r>
          </w:p>
        </w:tc>
        <w:tc>
          <w:tcPr>
            <w:tcW w:w="570" w:type="pct"/>
            <w:tcBorders>
              <w:top w:val="nil"/>
              <w:left w:val="nil"/>
              <w:bottom w:val="nil"/>
              <w:right w:val="nil"/>
            </w:tcBorders>
            <w:shd w:val="clear" w:color="auto" w:fill="auto"/>
            <w:vAlign w:val="bottom"/>
          </w:tcPr>
          <w:p w14:paraId="6E83E4E1"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15.400</w:t>
            </w:r>
          </w:p>
        </w:tc>
        <w:tc>
          <w:tcPr>
            <w:tcW w:w="640" w:type="pct"/>
            <w:tcBorders>
              <w:top w:val="nil"/>
              <w:left w:val="nil"/>
              <w:bottom w:val="nil"/>
              <w:right w:val="nil"/>
            </w:tcBorders>
            <w:shd w:val="clear" w:color="auto" w:fill="auto"/>
            <w:vAlign w:val="bottom"/>
          </w:tcPr>
          <w:p w14:paraId="54F08592"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6.330</w:t>
            </w:r>
          </w:p>
        </w:tc>
        <w:tc>
          <w:tcPr>
            <w:tcW w:w="603" w:type="pct"/>
            <w:tcBorders>
              <w:top w:val="nil"/>
              <w:left w:val="nil"/>
              <w:bottom w:val="nil"/>
              <w:right w:val="nil"/>
            </w:tcBorders>
            <w:shd w:val="clear" w:color="auto" w:fill="auto"/>
            <w:vAlign w:val="bottom"/>
          </w:tcPr>
          <w:p w14:paraId="2A41195E"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30.460</w:t>
            </w:r>
          </w:p>
        </w:tc>
      </w:tr>
      <w:tr w:rsidR="00B66CB5" w:rsidRPr="003D1614" w14:paraId="307E1F85" w14:textId="77777777" w:rsidTr="00CC1B61">
        <w:trPr>
          <w:trHeight w:hRule="exact" w:val="271"/>
        </w:trPr>
        <w:tc>
          <w:tcPr>
            <w:tcW w:w="1518" w:type="pct"/>
            <w:tcBorders>
              <w:top w:val="nil"/>
              <w:left w:val="nil"/>
              <w:bottom w:val="nil"/>
              <w:right w:val="nil"/>
            </w:tcBorders>
            <w:shd w:val="clear" w:color="auto" w:fill="auto"/>
            <w:vAlign w:val="bottom"/>
          </w:tcPr>
          <w:p w14:paraId="540D71DA" w14:textId="77777777" w:rsidR="00B66CB5" w:rsidRPr="003D1614" w:rsidRDefault="00B66CB5" w:rsidP="00CC1B61">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44" w:name="_Toc67330198"/>
            <w:r w:rsidRPr="003D1614">
              <w:rPr>
                <w:rFonts w:ascii="Arial" w:eastAsia="Times New Roman" w:hAnsi="Arial" w:cs="Arial"/>
                <w:color w:val="000000"/>
                <w:sz w:val="17"/>
                <w:szCs w:val="17"/>
              </w:rPr>
              <w:t>Ugovorena obveza EIF FRC2</w:t>
            </w:r>
            <w:bookmarkEnd w:id="844"/>
          </w:p>
        </w:tc>
        <w:tc>
          <w:tcPr>
            <w:tcW w:w="551" w:type="pct"/>
            <w:tcBorders>
              <w:top w:val="nil"/>
              <w:left w:val="nil"/>
              <w:bottom w:val="single" w:sz="8" w:space="0" w:color="auto"/>
              <w:right w:val="nil"/>
            </w:tcBorders>
            <w:shd w:val="clear" w:color="auto" w:fill="auto"/>
            <w:vAlign w:val="bottom"/>
          </w:tcPr>
          <w:p w14:paraId="22D5A37F"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5</w:t>
            </w:r>
          </w:p>
        </w:tc>
        <w:tc>
          <w:tcPr>
            <w:tcW w:w="546" w:type="pct"/>
            <w:tcBorders>
              <w:top w:val="nil"/>
              <w:left w:val="nil"/>
              <w:bottom w:val="single" w:sz="8" w:space="0" w:color="auto"/>
              <w:right w:val="nil"/>
            </w:tcBorders>
            <w:shd w:val="clear" w:color="auto" w:fill="auto"/>
            <w:vAlign w:val="bottom"/>
          </w:tcPr>
          <w:p w14:paraId="78EDF6CE"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w:t>
            </w:r>
          </w:p>
        </w:tc>
        <w:tc>
          <w:tcPr>
            <w:tcW w:w="572" w:type="pct"/>
            <w:tcBorders>
              <w:top w:val="nil"/>
              <w:left w:val="nil"/>
              <w:bottom w:val="single" w:sz="8" w:space="0" w:color="auto"/>
              <w:right w:val="nil"/>
            </w:tcBorders>
            <w:shd w:val="clear" w:color="auto" w:fill="auto"/>
            <w:vAlign w:val="bottom"/>
          </w:tcPr>
          <w:p w14:paraId="5C223B77"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16</w:t>
            </w:r>
          </w:p>
        </w:tc>
        <w:tc>
          <w:tcPr>
            <w:tcW w:w="570" w:type="pct"/>
            <w:tcBorders>
              <w:top w:val="nil"/>
              <w:left w:val="nil"/>
              <w:bottom w:val="single" w:sz="8" w:space="0" w:color="auto"/>
              <w:right w:val="nil"/>
            </w:tcBorders>
            <w:shd w:val="clear" w:color="auto" w:fill="auto"/>
            <w:vAlign w:val="bottom"/>
          </w:tcPr>
          <w:p w14:paraId="28501D2C"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35</w:t>
            </w:r>
          </w:p>
        </w:tc>
        <w:tc>
          <w:tcPr>
            <w:tcW w:w="640" w:type="pct"/>
            <w:tcBorders>
              <w:top w:val="nil"/>
              <w:left w:val="nil"/>
              <w:bottom w:val="single" w:sz="8" w:space="0" w:color="auto"/>
              <w:right w:val="nil"/>
            </w:tcBorders>
            <w:shd w:val="clear" w:color="auto" w:fill="auto"/>
            <w:vAlign w:val="bottom"/>
          </w:tcPr>
          <w:p w14:paraId="247BEBC4"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9</w:t>
            </w:r>
          </w:p>
        </w:tc>
        <w:tc>
          <w:tcPr>
            <w:tcW w:w="603" w:type="pct"/>
            <w:tcBorders>
              <w:top w:val="nil"/>
              <w:left w:val="nil"/>
              <w:bottom w:val="single" w:sz="8" w:space="0" w:color="auto"/>
              <w:right w:val="nil"/>
            </w:tcBorders>
            <w:shd w:val="clear" w:color="auto" w:fill="auto"/>
            <w:vAlign w:val="bottom"/>
          </w:tcPr>
          <w:p w14:paraId="41107C52" w14:textId="77777777" w:rsidR="00B66CB5" w:rsidRPr="003D1614" w:rsidRDefault="00B66CB5" w:rsidP="00CC1B61">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67</w:t>
            </w:r>
          </w:p>
        </w:tc>
      </w:tr>
      <w:tr w:rsidR="00B66CB5" w:rsidRPr="003D1614" w14:paraId="0E5717F6" w14:textId="77777777" w:rsidTr="00CC1B61">
        <w:trPr>
          <w:trHeight w:hRule="exact" w:val="267"/>
        </w:trPr>
        <w:tc>
          <w:tcPr>
            <w:tcW w:w="1518" w:type="pct"/>
            <w:tcBorders>
              <w:top w:val="nil"/>
              <w:left w:val="nil"/>
              <w:bottom w:val="nil"/>
              <w:right w:val="nil"/>
            </w:tcBorders>
            <w:shd w:val="clear" w:color="auto" w:fill="auto"/>
            <w:vAlign w:val="center"/>
          </w:tcPr>
          <w:p w14:paraId="718C00F6" w14:textId="77777777" w:rsidR="00B66CB5" w:rsidRPr="003D1614" w:rsidRDefault="00B66CB5" w:rsidP="00CC1B61">
            <w:pPr>
              <w:tabs>
                <w:tab w:val="right" w:pos="1202"/>
              </w:tabs>
              <w:suppressAutoHyphens/>
              <w:autoSpaceDN w:val="0"/>
              <w:spacing w:line="240" w:lineRule="exact"/>
              <w:outlineLvl w:val="0"/>
              <w:rPr>
                <w:rFonts w:ascii="Arial" w:eastAsia="Times New Roman" w:hAnsi="Arial" w:cs="Arial"/>
                <w:b/>
                <w:bCs/>
                <w:color w:val="000000" w:themeColor="text1"/>
                <w:spacing w:val="-2"/>
                <w:sz w:val="17"/>
                <w:szCs w:val="17"/>
              </w:rPr>
            </w:pPr>
            <w:bookmarkStart w:id="845" w:name="_Toc67330199"/>
            <w:r w:rsidRPr="003D1614">
              <w:rPr>
                <w:rFonts w:ascii="Arial" w:eastAsia="Times New Roman" w:hAnsi="Arial" w:cs="Arial"/>
                <w:b/>
                <w:bCs/>
                <w:color w:val="000000" w:themeColor="text1"/>
                <w:sz w:val="17"/>
                <w:szCs w:val="17"/>
              </w:rPr>
              <w:t>Ukupne garancije i preuzete obveze</w:t>
            </w:r>
            <w:bookmarkEnd w:id="845"/>
          </w:p>
        </w:tc>
        <w:tc>
          <w:tcPr>
            <w:tcW w:w="551" w:type="pct"/>
            <w:tcBorders>
              <w:top w:val="single" w:sz="8" w:space="0" w:color="auto"/>
              <w:left w:val="nil"/>
              <w:bottom w:val="single" w:sz="12" w:space="0" w:color="auto"/>
              <w:right w:val="nil"/>
            </w:tcBorders>
            <w:shd w:val="clear" w:color="auto" w:fill="auto"/>
            <w:vAlign w:val="bottom"/>
          </w:tcPr>
          <w:p w14:paraId="230DE0CB" w14:textId="77777777" w:rsidR="00B66CB5" w:rsidRPr="009576B7" w:rsidRDefault="00B66CB5" w:rsidP="00CC1B61">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611.458</w:t>
            </w:r>
          </w:p>
        </w:tc>
        <w:tc>
          <w:tcPr>
            <w:tcW w:w="546" w:type="pct"/>
            <w:tcBorders>
              <w:top w:val="single" w:sz="8" w:space="0" w:color="auto"/>
              <w:left w:val="nil"/>
              <w:bottom w:val="single" w:sz="12" w:space="0" w:color="auto"/>
              <w:right w:val="nil"/>
            </w:tcBorders>
            <w:shd w:val="clear" w:color="auto" w:fill="auto"/>
            <w:vAlign w:val="bottom"/>
          </w:tcPr>
          <w:p w14:paraId="6675964C" w14:textId="77777777" w:rsidR="00B66CB5" w:rsidRPr="009576B7" w:rsidRDefault="00B66CB5" w:rsidP="00CC1B61">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2.458</w:t>
            </w:r>
          </w:p>
        </w:tc>
        <w:tc>
          <w:tcPr>
            <w:tcW w:w="572" w:type="pct"/>
            <w:tcBorders>
              <w:top w:val="single" w:sz="8" w:space="0" w:color="auto"/>
              <w:left w:val="nil"/>
              <w:bottom w:val="single" w:sz="12" w:space="0" w:color="auto"/>
              <w:right w:val="nil"/>
            </w:tcBorders>
            <w:shd w:val="clear" w:color="auto" w:fill="auto"/>
            <w:vAlign w:val="bottom"/>
          </w:tcPr>
          <w:p w14:paraId="4813D78C" w14:textId="77777777" w:rsidR="00B66CB5" w:rsidRPr="009576B7" w:rsidRDefault="00B66CB5" w:rsidP="00CC1B61">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6.086</w:t>
            </w:r>
          </w:p>
        </w:tc>
        <w:tc>
          <w:tcPr>
            <w:tcW w:w="570" w:type="pct"/>
            <w:tcBorders>
              <w:top w:val="single" w:sz="8" w:space="0" w:color="auto"/>
              <w:left w:val="nil"/>
              <w:bottom w:val="single" w:sz="12" w:space="0" w:color="auto"/>
              <w:right w:val="nil"/>
            </w:tcBorders>
            <w:shd w:val="clear" w:color="auto" w:fill="auto"/>
            <w:vAlign w:val="bottom"/>
          </w:tcPr>
          <w:p w14:paraId="3C40EBF4" w14:textId="77777777" w:rsidR="00B66CB5" w:rsidRPr="009576B7" w:rsidRDefault="00B66CB5" w:rsidP="00CC1B61">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15.435</w:t>
            </w:r>
          </w:p>
        </w:tc>
        <w:tc>
          <w:tcPr>
            <w:tcW w:w="640" w:type="pct"/>
            <w:tcBorders>
              <w:top w:val="single" w:sz="8" w:space="0" w:color="auto"/>
              <w:left w:val="nil"/>
              <w:bottom w:val="single" w:sz="12" w:space="0" w:color="auto"/>
              <w:right w:val="nil"/>
            </w:tcBorders>
            <w:shd w:val="clear" w:color="auto" w:fill="auto"/>
            <w:vAlign w:val="bottom"/>
          </w:tcPr>
          <w:p w14:paraId="21A8BE2B" w14:textId="77777777" w:rsidR="00B66CB5" w:rsidRPr="009576B7" w:rsidRDefault="00B66CB5" w:rsidP="00CC1B61">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6.339</w:t>
            </w:r>
          </w:p>
        </w:tc>
        <w:tc>
          <w:tcPr>
            <w:tcW w:w="603" w:type="pct"/>
            <w:tcBorders>
              <w:top w:val="single" w:sz="8" w:space="0" w:color="auto"/>
              <w:left w:val="nil"/>
              <w:bottom w:val="single" w:sz="12" w:space="0" w:color="auto"/>
              <w:right w:val="nil"/>
            </w:tcBorders>
            <w:shd w:val="clear" w:color="auto" w:fill="auto"/>
            <w:vAlign w:val="bottom"/>
          </w:tcPr>
          <w:p w14:paraId="619438E2" w14:textId="77777777" w:rsidR="00B66CB5" w:rsidRPr="009576B7" w:rsidRDefault="00B66CB5" w:rsidP="00CC1B61">
            <w:pPr>
              <w:suppressAutoHyphens/>
              <w:autoSpaceDN w:val="0"/>
              <w:jc w:val="right"/>
              <w:rPr>
                <w:rFonts w:ascii="Arial" w:eastAsia="Times New Roman" w:hAnsi="Arial" w:cs="Arial"/>
                <w:b/>
                <w:bCs/>
                <w:color w:val="000000"/>
                <w:sz w:val="17"/>
                <w:szCs w:val="17"/>
              </w:rPr>
            </w:pPr>
            <w:r>
              <w:rPr>
                <w:rFonts w:ascii="Arial" w:eastAsia="Times New Roman" w:hAnsi="Arial" w:cs="Arial"/>
                <w:b/>
                <w:bCs/>
                <w:color w:val="000000"/>
                <w:sz w:val="17"/>
                <w:szCs w:val="17"/>
              </w:rPr>
              <w:t>641.776</w:t>
            </w:r>
          </w:p>
        </w:tc>
      </w:tr>
    </w:tbl>
    <w:p w14:paraId="424E16D4" w14:textId="77777777" w:rsidR="00661446" w:rsidRPr="003D1614" w:rsidRDefault="00661446" w:rsidP="00661446">
      <w:pPr>
        <w:suppressAutoHyphens/>
        <w:autoSpaceDN w:val="0"/>
        <w:jc w:val="both"/>
        <w:rPr>
          <w:rFonts w:ascii="Arial" w:eastAsia="Times New Roman" w:hAnsi="Arial" w:cs="Arial"/>
          <w:color w:val="000000" w:themeColor="text1"/>
          <w:sz w:val="20"/>
          <w:szCs w:val="20"/>
        </w:rPr>
      </w:pPr>
    </w:p>
    <w:p w14:paraId="3BAECBDA" w14:textId="77777777" w:rsidR="00661446" w:rsidRPr="003D1614" w:rsidRDefault="00661446" w:rsidP="00661446">
      <w:pPr>
        <w:suppressAutoHyphens/>
        <w:autoSpaceDN w:val="0"/>
        <w:spacing w:before="120" w:after="120"/>
        <w:jc w:val="both"/>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Stavke s neodređenim dospijećem iskazane su u razdoblju preko 3 godine.</w:t>
      </w:r>
    </w:p>
    <w:p w14:paraId="2548FCCA" w14:textId="77777777" w:rsidR="00B66CB5" w:rsidRPr="00757B55" w:rsidRDefault="00B66CB5" w:rsidP="00B66CB5">
      <w:pPr>
        <w:keepNext/>
        <w:ind w:right="-1"/>
        <w:jc w:val="both"/>
        <w:rPr>
          <w:rFonts w:ascii="Arial" w:hAnsi="Arial" w:cs="Arial"/>
          <w:bCs/>
          <w:i/>
          <w:strike/>
          <w:color w:val="000000" w:themeColor="text1"/>
          <w:sz w:val="18"/>
          <w:szCs w:val="18"/>
        </w:rPr>
      </w:pPr>
      <w:r w:rsidRPr="00F84C24">
        <w:rPr>
          <w:rFonts w:ascii="Arial" w:hAnsi="Arial" w:cs="Arial"/>
          <w:bCs/>
          <w:i/>
          <w:color w:val="000000" w:themeColor="text1"/>
          <w:sz w:val="18"/>
          <w:szCs w:val="18"/>
        </w:rPr>
        <w:t>*</w:t>
      </w:r>
      <w:r w:rsidRPr="00F84C24">
        <w:rPr>
          <w:rFonts w:ascii="Arial" w:hAnsi="Arial" w:cs="Arial"/>
          <w:b/>
          <w:bCs/>
          <w:color w:val="000000" w:themeColor="text1"/>
          <w:sz w:val="18"/>
          <w:szCs w:val="18"/>
        </w:rPr>
        <w:t xml:space="preserve"> </w:t>
      </w:r>
      <w:r w:rsidRPr="00F959D0">
        <w:rPr>
          <w:rFonts w:ascii="Arial" w:hAnsi="Arial" w:cs="Arial"/>
          <w:bCs/>
          <w:i/>
          <w:color w:val="000000" w:themeColor="text1"/>
          <w:sz w:val="18"/>
          <w:szCs w:val="18"/>
        </w:rPr>
        <w:t xml:space="preserve">Potraživanje u iznosu od </w:t>
      </w:r>
      <w:r>
        <w:rPr>
          <w:rFonts w:ascii="Arial" w:hAnsi="Arial" w:cs="Arial"/>
          <w:bCs/>
          <w:i/>
          <w:color w:val="000000" w:themeColor="text1"/>
          <w:sz w:val="18"/>
          <w:szCs w:val="18"/>
        </w:rPr>
        <w:t>50</w:t>
      </w:r>
      <w:r w:rsidRPr="00F959D0">
        <w:rPr>
          <w:rFonts w:ascii="Arial" w:hAnsi="Arial" w:cs="Arial"/>
          <w:bCs/>
          <w:i/>
          <w:color w:val="000000" w:themeColor="text1"/>
          <w:sz w:val="18"/>
          <w:szCs w:val="18"/>
        </w:rPr>
        <w:t>.</w:t>
      </w:r>
      <w:r>
        <w:rPr>
          <w:rFonts w:ascii="Arial" w:hAnsi="Arial" w:cs="Arial"/>
          <w:bCs/>
          <w:i/>
          <w:color w:val="000000" w:themeColor="text1"/>
          <w:sz w:val="18"/>
          <w:szCs w:val="18"/>
        </w:rPr>
        <w:t>000</w:t>
      </w:r>
      <w:r w:rsidRPr="00F959D0">
        <w:rPr>
          <w:rFonts w:ascii="Arial" w:hAnsi="Arial" w:cs="Arial"/>
          <w:bCs/>
          <w:i/>
          <w:color w:val="000000" w:themeColor="text1"/>
          <w:sz w:val="18"/>
          <w:szCs w:val="18"/>
        </w:rPr>
        <w:t xml:space="preserve"> tisuća </w:t>
      </w:r>
      <w:r>
        <w:rPr>
          <w:rFonts w:ascii="Arial" w:hAnsi="Arial" w:cs="Arial"/>
          <w:bCs/>
          <w:i/>
          <w:color w:val="000000" w:themeColor="text1"/>
          <w:sz w:val="18"/>
          <w:szCs w:val="18"/>
        </w:rPr>
        <w:t>eura</w:t>
      </w:r>
      <w:r w:rsidRPr="00F959D0">
        <w:rPr>
          <w:rFonts w:ascii="Arial" w:hAnsi="Arial" w:cs="Arial"/>
          <w:bCs/>
          <w:i/>
          <w:color w:val="000000" w:themeColor="text1"/>
          <w:sz w:val="18"/>
          <w:szCs w:val="18"/>
        </w:rPr>
        <w:t xml:space="preserve"> odnosi se na obrnute repo poslove. Kako je dio iznosa potraživanja produžen nakon datuma Izvještaja o financijskom položaju njegovo dospijeće iskazano je u razdoblju od 1 do 3 mjeseca u iznosu od </w:t>
      </w:r>
      <w:r>
        <w:rPr>
          <w:rFonts w:ascii="Arial" w:hAnsi="Arial" w:cs="Arial"/>
          <w:bCs/>
          <w:i/>
          <w:color w:val="000000" w:themeColor="text1"/>
          <w:sz w:val="18"/>
          <w:szCs w:val="18"/>
        </w:rPr>
        <w:t>10</w:t>
      </w:r>
      <w:r w:rsidRPr="00F959D0">
        <w:rPr>
          <w:rFonts w:ascii="Arial" w:hAnsi="Arial" w:cs="Arial"/>
          <w:bCs/>
          <w:i/>
          <w:color w:val="000000" w:themeColor="text1"/>
          <w:sz w:val="18"/>
          <w:szCs w:val="18"/>
        </w:rPr>
        <w:t>.</w:t>
      </w:r>
      <w:r>
        <w:rPr>
          <w:rFonts w:ascii="Arial" w:hAnsi="Arial" w:cs="Arial"/>
          <w:bCs/>
          <w:i/>
          <w:color w:val="000000" w:themeColor="text1"/>
          <w:sz w:val="18"/>
          <w:szCs w:val="18"/>
        </w:rPr>
        <w:t>000</w:t>
      </w:r>
      <w:r w:rsidRPr="00F959D0">
        <w:rPr>
          <w:rFonts w:ascii="Arial" w:hAnsi="Arial" w:cs="Arial"/>
          <w:bCs/>
          <w:i/>
          <w:color w:val="000000" w:themeColor="text1"/>
          <w:sz w:val="18"/>
          <w:szCs w:val="18"/>
        </w:rPr>
        <w:t xml:space="preserve"> tisuća </w:t>
      </w:r>
      <w:r>
        <w:rPr>
          <w:rFonts w:ascii="Arial" w:hAnsi="Arial" w:cs="Arial"/>
          <w:bCs/>
          <w:i/>
          <w:color w:val="000000" w:themeColor="text1"/>
          <w:sz w:val="18"/>
          <w:szCs w:val="18"/>
        </w:rPr>
        <w:t>eur</w:t>
      </w:r>
      <w:r w:rsidRPr="00F959D0">
        <w:rPr>
          <w:rFonts w:ascii="Arial" w:hAnsi="Arial" w:cs="Arial"/>
          <w:bCs/>
          <w:i/>
          <w:color w:val="000000" w:themeColor="text1"/>
          <w:sz w:val="18"/>
          <w:szCs w:val="18"/>
        </w:rPr>
        <w:t>a.</w:t>
      </w:r>
    </w:p>
    <w:p w14:paraId="673903A6" w14:textId="2547A0FC" w:rsidR="00661446" w:rsidRPr="003D1614" w:rsidRDefault="00B66CB5" w:rsidP="00661446">
      <w:pPr>
        <w:suppressAutoHyphens/>
        <w:autoSpaceDN w:val="0"/>
        <w:jc w:val="both"/>
        <w:rPr>
          <w:rFonts w:ascii="Arial" w:eastAsia="Times New Roman" w:hAnsi="Arial" w:cs="Arial"/>
          <w:bCs/>
          <w:i/>
          <w:color w:val="000000" w:themeColor="text1"/>
          <w:sz w:val="18"/>
          <w:szCs w:val="18"/>
        </w:rPr>
      </w:pPr>
      <w:r w:rsidRPr="003D1614">
        <w:rPr>
          <w:rFonts w:ascii="Arial" w:eastAsia="Calibri" w:hAnsi="Arial" w:cs="Arial"/>
          <w:bCs/>
          <w:i/>
          <w:color w:val="000000" w:themeColor="text1"/>
          <w:sz w:val="18"/>
          <w:szCs w:val="18"/>
        </w:rPr>
        <w:t>*</w:t>
      </w:r>
      <w:r>
        <w:rPr>
          <w:rFonts w:ascii="Arial" w:eastAsia="Calibri" w:hAnsi="Arial" w:cs="Arial"/>
          <w:bCs/>
          <w:i/>
          <w:color w:val="000000" w:themeColor="text1"/>
          <w:sz w:val="18"/>
          <w:szCs w:val="18"/>
        </w:rPr>
        <w:t>*</w:t>
      </w:r>
      <w:r w:rsidRPr="003D1614">
        <w:rPr>
          <w:rFonts w:ascii="Arial" w:eastAsia="Times New Roman" w:hAnsi="Arial" w:cs="Arial"/>
          <w:bCs/>
          <w:i/>
          <w:color w:val="000000" w:themeColor="text1"/>
          <w:sz w:val="18"/>
          <w:szCs w:val="18"/>
        </w:rPr>
        <w:t>Obračunata nedospjela kamata po kreditima raspoređena je u kategoriji od 1 do 3 mjeseca.</w:t>
      </w:r>
      <w:r w:rsidR="00661446" w:rsidRPr="003D1614">
        <w:rPr>
          <w:rFonts w:ascii="Arial" w:eastAsia="Times New Roman" w:hAnsi="Arial" w:cs="Arial"/>
          <w:bCs/>
          <w:i/>
          <w:color w:val="000000" w:themeColor="text1"/>
          <w:sz w:val="18"/>
          <w:szCs w:val="18"/>
        </w:rPr>
        <w:t>.</w:t>
      </w:r>
    </w:p>
    <w:p w14:paraId="08F1E7E5" w14:textId="77777777" w:rsidR="00661446" w:rsidRPr="003D1614" w:rsidRDefault="00661446" w:rsidP="00661446">
      <w:pPr>
        <w:suppressAutoHyphens/>
        <w:autoSpaceDN w:val="0"/>
        <w:jc w:val="both"/>
        <w:rPr>
          <w:rFonts w:ascii="Arial" w:eastAsia="Times New Roman" w:hAnsi="Arial" w:cs="Arial"/>
          <w:color w:val="000000" w:themeColor="text1"/>
          <w:sz w:val="20"/>
          <w:szCs w:val="20"/>
        </w:rPr>
        <w:sectPr w:rsidR="00661446" w:rsidRPr="003D1614" w:rsidSect="003278AB">
          <w:pgSz w:w="11906" w:h="16838"/>
          <w:pgMar w:top="1417" w:right="1417" w:bottom="1417" w:left="1417" w:header="708" w:footer="708" w:gutter="0"/>
          <w:cols w:space="708"/>
          <w:docGrid w:linePitch="360"/>
        </w:sectPr>
      </w:pPr>
    </w:p>
    <w:p w14:paraId="4359E1F5"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6A3E3C75" w14:textId="01AB5AE4"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70A24724" w14:textId="77777777"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p>
    <w:p w14:paraId="1C902CD6" w14:textId="679E8B8B" w:rsidR="00661446" w:rsidRPr="003D1614" w:rsidRDefault="00661446" w:rsidP="00661446">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.4. </w:t>
      </w:r>
      <w:r w:rsidRPr="003D1614">
        <w:rPr>
          <w:rFonts w:ascii="Arial" w:eastAsia="Times New Roman" w:hAnsi="Arial" w:cs="Arial"/>
          <w:b/>
          <w:bCs/>
          <w:color w:val="000000" w:themeColor="text1"/>
          <w:sz w:val="20"/>
          <w:szCs w:val="20"/>
        </w:rPr>
        <w:tab/>
        <w:t>Rizik likvidnosti (nastavak)</w:t>
      </w:r>
    </w:p>
    <w:p w14:paraId="0C9E6D93"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p w14:paraId="34DE4EB6" w14:textId="77777777" w:rsidR="00661446" w:rsidRPr="003D1614" w:rsidRDefault="00661446" w:rsidP="00661446">
      <w:pPr>
        <w:tabs>
          <w:tab w:val="left" w:pos="-720"/>
        </w:tabs>
        <w:suppressAutoHyphens/>
        <w:autoSpaceDN w:val="0"/>
        <w:jc w:val="both"/>
        <w:rPr>
          <w:rFonts w:ascii="Arial" w:eastAsia="Times New Roman" w:hAnsi="Arial" w:cs="Arial"/>
          <w:color w:val="000000" w:themeColor="text1"/>
          <w:sz w:val="20"/>
          <w:szCs w:val="20"/>
        </w:rPr>
      </w:pPr>
    </w:p>
    <w:tbl>
      <w:tblPr>
        <w:tblW w:w="5353" w:type="pct"/>
        <w:tblInd w:w="-142" w:type="dxa"/>
        <w:tblLayout w:type="fixed"/>
        <w:tblCellMar>
          <w:left w:w="120" w:type="dxa"/>
          <w:right w:w="120" w:type="dxa"/>
        </w:tblCellMar>
        <w:tblLook w:val="0000" w:firstRow="0" w:lastRow="0" w:firstColumn="0" w:lastColumn="0" w:noHBand="0" w:noVBand="0"/>
      </w:tblPr>
      <w:tblGrid>
        <w:gridCol w:w="2948"/>
        <w:gridCol w:w="1071"/>
        <w:gridCol w:w="1061"/>
        <w:gridCol w:w="1111"/>
        <w:gridCol w:w="1107"/>
        <w:gridCol w:w="1243"/>
        <w:gridCol w:w="1171"/>
      </w:tblGrid>
      <w:tr w:rsidR="00255D09" w:rsidRPr="005B35F4" w14:paraId="776109BF" w14:textId="77777777" w:rsidTr="00CA7F04">
        <w:trPr>
          <w:trHeight w:val="463"/>
        </w:trPr>
        <w:tc>
          <w:tcPr>
            <w:tcW w:w="1517" w:type="pct"/>
          </w:tcPr>
          <w:p w14:paraId="6B3F7B5D" w14:textId="77777777" w:rsidR="00255D09" w:rsidRPr="005B35F4" w:rsidRDefault="00255D09" w:rsidP="00CA7F04">
            <w:pPr>
              <w:tabs>
                <w:tab w:val="right" w:pos="1202"/>
              </w:tabs>
              <w:spacing w:line="240" w:lineRule="exact"/>
              <w:outlineLvl w:val="0"/>
              <w:rPr>
                <w:rFonts w:ascii="Arial" w:hAnsi="Arial" w:cs="Arial"/>
                <w:b/>
                <w:color w:val="000000" w:themeColor="text1"/>
                <w:sz w:val="17"/>
                <w:szCs w:val="17"/>
              </w:rPr>
            </w:pPr>
            <w:r w:rsidRPr="005B35F4">
              <w:rPr>
                <w:rFonts w:ascii="Arial" w:hAnsi="Arial" w:cs="Arial"/>
                <w:b/>
                <w:color w:val="000000" w:themeColor="text1"/>
                <w:sz w:val="17"/>
                <w:szCs w:val="17"/>
              </w:rPr>
              <w:t>Banka</w:t>
            </w:r>
          </w:p>
          <w:p w14:paraId="7D6C8116" w14:textId="77777777" w:rsidR="00255D09" w:rsidRPr="005B35F4" w:rsidRDefault="00255D09" w:rsidP="00CA7F04">
            <w:pPr>
              <w:tabs>
                <w:tab w:val="right" w:pos="1202"/>
              </w:tabs>
              <w:spacing w:line="240" w:lineRule="exact"/>
              <w:outlineLvl w:val="0"/>
              <w:rPr>
                <w:rFonts w:ascii="Arial" w:hAnsi="Arial" w:cs="Arial"/>
                <w:b/>
                <w:color w:val="000000" w:themeColor="text1"/>
                <w:sz w:val="17"/>
                <w:szCs w:val="17"/>
              </w:rPr>
            </w:pPr>
            <w:r w:rsidRPr="005B35F4">
              <w:rPr>
                <w:rFonts w:ascii="Arial" w:hAnsi="Arial" w:cs="Arial"/>
                <w:b/>
                <w:color w:val="000000" w:themeColor="text1"/>
                <w:sz w:val="17"/>
                <w:szCs w:val="17"/>
              </w:rPr>
              <w:t>31. prosinca 202</w:t>
            </w:r>
            <w:r>
              <w:rPr>
                <w:rFonts w:ascii="Arial" w:hAnsi="Arial" w:cs="Arial"/>
                <w:b/>
                <w:color w:val="000000" w:themeColor="text1"/>
                <w:sz w:val="17"/>
                <w:szCs w:val="17"/>
              </w:rPr>
              <w:t>3</w:t>
            </w:r>
            <w:r w:rsidRPr="005B35F4">
              <w:rPr>
                <w:rFonts w:ascii="Arial" w:hAnsi="Arial" w:cs="Arial"/>
                <w:b/>
                <w:color w:val="000000" w:themeColor="text1"/>
                <w:sz w:val="17"/>
                <w:szCs w:val="17"/>
              </w:rPr>
              <w:t xml:space="preserve">.  </w:t>
            </w:r>
          </w:p>
        </w:tc>
        <w:tc>
          <w:tcPr>
            <w:tcW w:w="551" w:type="pct"/>
          </w:tcPr>
          <w:p w14:paraId="46A1352F" w14:textId="77777777" w:rsidR="00255D09" w:rsidRPr="005B35F4" w:rsidRDefault="00255D09" w:rsidP="00CA7F04">
            <w:pPr>
              <w:tabs>
                <w:tab w:val="right" w:pos="1202"/>
              </w:tabs>
              <w:spacing w:line="240" w:lineRule="exact"/>
              <w:jc w:val="right"/>
              <w:outlineLvl w:val="0"/>
              <w:rPr>
                <w:rFonts w:ascii="Arial" w:hAnsi="Arial" w:cs="Arial"/>
                <w:b/>
                <w:color w:val="000000" w:themeColor="text1"/>
                <w:sz w:val="17"/>
                <w:szCs w:val="17"/>
              </w:rPr>
            </w:pPr>
            <w:r w:rsidRPr="005B35F4">
              <w:rPr>
                <w:rFonts w:ascii="Arial" w:hAnsi="Arial" w:cs="Arial"/>
                <w:b/>
                <w:color w:val="000000" w:themeColor="text1"/>
                <w:sz w:val="17"/>
                <w:szCs w:val="17"/>
              </w:rPr>
              <w:t>Do 1 mjesec</w:t>
            </w:r>
          </w:p>
        </w:tc>
        <w:tc>
          <w:tcPr>
            <w:tcW w:w="546" w:type="pct"/>
          </w:tcPr>
          <w:p w14:paraId="31822038" w14:textId="77777777" w:rsidR="00255D09" w:rsidRPr="005B35F4" w:rsidRDefault="00255D09" w:rsidP="00CA7F04">
            <w:pPr>
              <w:tabs>
                <w:tab w:val="right" w:pos="1202"/>
              </w:tabs>
              <w:spacing w:line="240" w:lineRule="exact"/>
              <w:jc w:val="right"/>
              <w:outlineLvl w:val="0"/>
              <w:rPr>
                <w:rFonts w:ascii="Arial" w:hAnsi="Arial" w:cs="Arial"/>
                <w:b/>
                <w:color w:val="000000" w:themeColor="text1"/>
                <w:sz w:val="17"/>
                <w:szCs w:val="17"/>
              </w:rPr>
            </w:pPr>
            <w:r w:rsidRPr="005B35F4">
              <w:rPr>
                <w:rFonts w:ascii="Arial" w:hAnsi="Arial" w:cs="Arial"/>
                <w:b/>
                <w:color w:val="000000" w:themeColor="text1"/>
                <w:sz w:val="17"/>
                <w:szCs w:val="17"/>
              </w:rPr>
              <w:t>1 do 3 mjeseca</w:t>
            </w:r>
          </w:p>
        </w:tc>
        <w:tc>
          <w:tcPr>
            <w:tcW w:w="572" w:type="pct"/>
          </w:tcPr>
          <w:p w14:paraId="681ADD82" w14:textId="77777777" w:rsidR="00255D09" w:rsidRPr="005B35F4" w:rsidRDefault="00255D09" w:rsidP="00CA7F04">
            <w:pPr>
              <w:tabs>
                <w:tab w:val="right" w:pos="1202"/>
              </w:tabs>
              <w:spacing w:line="240" w:lineRule="exact"/>
              <w:jc w:val="right"/>
              <w:outlineLvl w:val="0"/>
              <w:rPr>
                <w:rFonts w:ascii="Arial" w:hAnsi="Arial" w:cs="Arial"/>
                <w:b/>
                <w:color w:val="000000" w:themeColor="text1"/>
                <w:sz w:val="17"/>
                <w:szCs w:val="17"/>
              </w:rPr>
            </w:pPr>
            <w:r w:rsidRPr="005B35F4">
              <w:rPr>
                <w:rFonts w:ascii="Arial" w:hAnsi="Arial" w:cs="Arial"/>
                <w:b/>
                <w:color w:val="000000" w:themeColor="text1"/>
                <w:sz w:val="17"/>
                <w:szCs w:val="17"/>
              </w:rPr>
              <w:t>3 mj. do 1 godine</w:t>
            </w:r>
          </w:p>
        </w:tc>
        <w:tc>
          <w:tcPr>
            <w:tcW w:w="570" w:type="pct"/>
          </w:tcPr>
          <w:p w14:paraId="69B0A3E8" w14:textId="77777777" w:rsidR="00255D09" w:rsidRPr="005B35F4" w:rsidRDefault="00255D09" w:rsidP="00CA7F04">
            <w:pPr>
              <w:tabs>
                <w:tab w:val="right" w:pos="1202"/>
              </w:tabs>
              <w:spacing w:line="240" w:lineRule="exact"/>
              <w:jc w:val="right"/>
              <w:outlineLvl w:val="0"/>
              <w:rPr>
                <w:rFonts w:ascii="Arial" w:hAnsi="Arial" w:cs="Arial"/>
                <w:b/>
                <w:color w:val="000000" w:themeColor="text1"/>
                <w:sz w:val="17"/>
                <w:szCs w:val="17"/>
              </w:rPr>
            </w:pPr>
            <w:r w:rsidRPr="005B35F4">
              <w:rPr>
                <w:rFonts w:ascii="Arial" w:hAnsi="Arial" w:cs="Arial"/>
                <w:b/>
                <w:color w:val="000000" w:themeColor="text1"/>
                <w:sz w:val="17"/>
                <w:szCs w:val="17"/>
              </w:rPr>
              <w:t>1 do 3 godina</w:t>
            </w:r>
          </w:p>
        </w:tc>
        <w:tc>
          <w:tcPr>
            <w:tcW w:w="640" w:type="pct"/>
          </w:tcPr>
          <w:p w14:paraId="388CF9C3" w14:textId="77777777" w:rsidR="00255D09" w:rsidRPr="005B35F4" w:rsidRDefault="00255D09" w:rsidP="00CA7F04">
            <w:pPr>
              <w:tabs>
                <w:tab w:val="right" w:pos="1202"/>
              </w:tabs>
              <w:spacing w:line="240" w:lineRule="exact"/>
              <w:jc w:val="right"/>
              <w:outlineLvl w:val="0"/>
              <w:rPr>
                <w:rFonts w:ascii="Arial" w:hAnsi="Arial" w:cs="Arial"/>
                <w:b/>
                <w:color w:val="000000" w:themeColor="text1"/>
                <w:sz w:val="17"/>
                <w:szCs w:val="17"/>
              </w:rPr>
            </w:pPr>
            <w:r w:rsidRPr="005B35F4">
              <w:rPr>
                <w:rFonts w:ascii="Arial" w:hAnsi="Arial" w:cs="Arial"/>
                <w:b/>
                <w:color w:val="000000" w:themeColor="text1"/>
                <w:sz w:val="17"/>
                <w:szCs w:val="17"/>
              </w:rPr>
              <w:t>Preko 3 godine</w:t>
            </w:r>
          </w:p>
        </w:tc>
        <w:tc>
          <w:tcPr>
            <w:tcW w:w="603" w:type="pct"/>
          </w:tcPr>
          <w:p w14:paraId="135678B2" w14:textId="77777777" w:rsidR="00255D09" w:rsidRPr="005B35F4" w:rsidRDefault="00255D09" w:rsidP="00CA7F04">
            <w:pPr>
              <w:tabs>
                <w:tab w:val="right" w:pos="1202"/>
              </w:tabs>
              <w:spacing w:line="240" w:lineRule="exact"/>
              <w:jc w:val="right"/>
              <w:outlineLvl w:val="0"/>
              <w:rPr>
                <w:rFonts w:ascii="Arial" w:hAnsi="Arial" w:cs="Arial"/>
                <w:b/>
                <w:color w:val="000000" w:themeColor="text1"/>
                <w:sz w:val="17"/>
                <w:szCs w:val="17"/>
              </w:rPr>
            </w:pPr>
            <w:r w:rsidRPr="005B35F4">
              <w:rPr>
                <w:rFonts w:ascii="Arial" w:hAnsi="Arial" w:cs="Arial"/>
                <w:b/>
                <w:color w:val="000000" w:themeColor="text1"/>
                <w:sz w:val="17"/>
                <w:szCs w:val="17"/>
              </w:rPr>
              <w:t>Ukupno</w:t>
            </w:r>
          </w:p>
        </w:tc>
      </w:tr>
      <w:tr w:rsidR="00255D09" w:rsidRPr="005B35F4" w14:paraId="4C44E5B5" w14:textId="77777777" w:rsidTr="00CA7F04">
        <w:trPr>
          <w:trHeight w:val="152"/>
        </w:trPr>
        <w:tc>
          <w:tcPr>
            <w:tcW w:w="1517" w:type="pct"/>
          </w:tcPr>
          <w:p w14:paraId="60BFD05B" w14:textId="77777777" w:rsidR="00255D09" w:rsidRPr="005B35F4" w:rsidRDefault="00255D09" w:rsidP="00CA7F04">
            <w:pPr>
              <w:tabs>
                <w:tab w:val="left" w:pos="-720"/>
              </w:tabs>
              <w:suppressAutoHyphens/>
              <w:spacing w:line="240" w:lineRule="exact"/>
              <w:jc w:val="center"/>
              <w:rPr>
                <w:rFonts w:ascii="Arial" w:hAnsi="Arial" w:cs="Arial"/>
                <w:b/>
                <w:color w:val="000000" w:themeColor="text1"/>
                <w:spacing w:val="-2"/>
                <w:sz w:val="17"/>
                <w:szCs w:val="17"/>
              </w:rPr>
            </w:pPr>
          </w:p>
        </w:tc>
        <w:tc>
          <w:tcPr>
            <w:tcW w:w="551" w:type="pct"/>
            <w:tcBorders>
              <w:top w:val="nil"/>
              <w:left w:val="nil"/>
              <w:bottom w:val="nil"/>
              <w:right w:val="nil"/>
            </w:tcBorders>
            <w:shd w:val="clear" w:color="auto" w:fill="auto"/>
            <w:vAlign w:val="bottom"/>
          </w:tcPr>
          <w:p w14:paraId="39A92985" w14:textId="77777777" w:rsidR="00255D09" w:rsidRPr="00622C96" w:rsidRDefault="00255D09" w:rsidP="00CA7F04">
            <w:pPr>
              <w:tabs>
                <w:tab w:val="right" w:pos="1202"/>
              </w:tabs>
              <w:spacing w:line="240"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546" w:type="pct"/>
            <w:tcBorders>
              <w:top w:val="nil"/>
              <w:left w:val="nil"/>
              <w:bottom w:val="nil"/>
              <w:right w:val="nil"/>
            </w:tcBorders>
            <w:shd w:val="clear" w:color="auto" w:fill="auto"/>
            <w:vAlign w:val="bottom"/>
          </w:tcPr>
          <w:p w14:paraId="29AAB3D3" w14:textId="77777777" w:rsidR="00255D09" w:rsidRPr="00622C96" w:rsidRDefault="00255D09" w:rsidP="00CA7F04">
            <w:pPr>
              <w:tabs>
                <w:tab w:val="right" w:pos="1202"/>
              </w:tabs>
              <w:spacing w:line="240"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572" w:type="pct"/>
            <w:tcBorders>
              <w:top w:val="nil"/>
              <w:left w:val="nil"/>
              <w:bottom w:val="nil"/>
              <w:right w:val="nil"/>
            </w:tcBorders>
            <w:shd w:val="clear" w:color="auto" w:fill="auto"/>
            <w:vAlign w:val="bottom"/>
          </w:tcPr>
          <w:p w14:paraId="14C17DB2" w14:textId="77777777" w:rsidR="00255D09" w:rsidRPr="00622C96" w:rsidRDefault="00255D09" w:rsidP="00CA7F04">
            <w:pPr>
              <w:tabs>
                <w:tab w:val="right" w:pos="1202"/>
              </w:tabs>
              <w:spacing w:line="240"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570" w:type="pct"/>
            <w:tcBorders>
              <w:top w:val="nil"/>
              <w:left w:val="nil"/>
              <w:bottom w:val="nil"/>
              <w:right w:val="nil"/>
            </w:tcBorders>
            <w:shd w:val="clear" w:color="auto" w:fill="auto"/>
            <w:vAlign w:val="bottom"/>
          </w:tcPr>
          <w:p w14:paraId="5DFFD98C" w14:textId="77777777" w:rsidR="00255D09" w:rsidRPr="00622C96" w:rsidRDefault="00255D09" w:rsidP="00CA7F04">
            <w:pPr>
              <w:tabs>
                <w:tab w:val="right" w:pos="1202"/>
              </w:tabs>
              <w:spacing w:line="240"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640" w:type="pct"/>
            <w:tcBorders>
              <w:top w:val="nil"/>
              <w:left w:val="nil"/>
              <w:bottom w:val="nil"/>
              <w:right w:val="nil"/>
            </w:tcBorders>
            <w:shd w:val="clear" w:color="auto" w:fill="auto"/>
            <w:vAlign w:val="bottom"/>
          </w:tcPr>
          <w:p w14:paraId="3B49BF6E" w14:textId="77777777" w:rsidR="00255D09" w:rsidRPr="00622C96" w:rsidRDefault="00255D09" w:rsidP="00CA7F04">
            <w:pPr>
              <w:tabs>
                <w:tab w:val="right" w:pos="1202"/>
              </w:tabs>
              <w:spacing w:line="240"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603" w:type="pct"/>
            <w:vAlign w:val="bottom"/>
          </w:tcPr>
          <w:p w14:paraId="1741A433" w14:textId="77777777" w:rsidR="00255D09" w:rsidRPr="00622C96" w:rsidRDefault="00255D09" w:rsidP="00CA7F04">
            <w:pPr>
              <w:tabs>
                <w:tab w:val="right" w:pos="1202"/>
              </w:tabs>
              <w:spacing w:line="240" w:lineRule="exact"/>
              <w:jc w:val="right"/>
              <w:outlineLvl w:val="0"/>
              <w:rPr>
                <w:rFonts w:ascii="Arial" w:hAnsi="Arial" w:cs="Arial"/>
                <w:b/>
                <w:color w:val="000000" w:themeColor="text1"/>
                <w:sz w:val="17"/>
                <w:szCs w:val="17"/>
              </w:rPr>
            </w:pPr>
            <w:r w:rsidRPr="00622C96">
              <w:rPr>
                <w:rFonts w:ascii="Arial" w:hAnsi="Arial" w:cs="Arial"/>
                <w:b/>
                <w:color w:val="000000" w:themeColor="text1"/>
                <w:sz w:val="17"/>
                <w:szCs w:val="17"/>
              </w:rPr>
              <w:t>000 eura</w:t>
            </w:r>
          </w:p>
        </w:tc>
      </w:tr>
      <w:tr w:rsidR="00255D09" w:rsidRPr="005B35F4" w14:paraId="396481E8" w14:textId="77777777" w:rsidTr="00CA7F04">
        <w:trPr>
          <w:trHeight w:val="145"/>
        </w:trPr>
        <w:tc>
          <w:tcPr>
            <w:tcW w:w="1517" w:type="pct"/>
          </w:tcPr>
          <w:p w14:paraId="0A2D3EE7" w14:textId="77777777" w:rsidR="00255D09" w:rsidRPr="005B35F4" w:rsidRDefault="00255D09" w:rsidP="00CA7F04">
            <w:pPr>
              <w:tabs>
                <w:tab w:val="right" w:pos="1202"/>
              </w:tabs>
              <w:spacing w:line="240" w:lineRule="exact"/>
              <w:outlineLvl w:val="0"/>
              <w:rPr>
                <w:rFonts w:ascii="Arial" w:hAnsi="Arial" w:cs="Arial"/>
                <w:b/>
                <w:bCs/>
                <w:color w:val="000000" w:themeColor="text1"/>
                <w:sz w:val="17"/>
                <w:szCs w:val="17"/>
              </w:rPr>
            </w:pPr>
            <w:r w:rsidRPr="005B35F4">
              <w:rPr>
                <w:rFonts w:ascii="Arial" w:hAnsi="Arial" w:cs="Arial"/>
                <w:b/>
                <w:bCs/>
                <w:color w:val="000000" w:themeColor="text1"/>
                <w:sz w:val="17"/>
                <w:szCs w:val="17"/>
              </w:rPr>
              <w:t>Imovina</w:t>
            </w:r>
          </w:p>
        </w:tc>
        <w:tc>
          <w:tcPr>
            <w:tcW w:w="551" w:type="pct"/>
            <w:vAlign w:val="bottom"/>
          </w:tcPr>
          <w:p w14:paraId="04D2D7D9" w14:textId="77777777" w:rsidR="00255D09" w:rsidRPr="005B35F4" w:rsidRDefault="00255D09" w:rsidP="00CA7F04">
            <w:pPr>
              <w:tabs>
                <w:tab w:val="right" w:pos="1202"/>
              </w:tabs>
              <w:spacing w:line="240" w:lineRule="exact"/>
              <w:jc w:val="right"/>
              <w:outlineLvl w:val="0"/>
              <w:rPr>
                <w:rFonts w:ascii="Arial" w:hAnsi="Arial" w:cs="Arial"/>
                <w:b/>
                <w:bCs/>
                <w:color w:val="000000" w:themeColor="text1"/>
                <w:spacing w:val="-2"/>
                <w:sz w:val="17"/>
                <w:szCs w:val="17"/>
              </w:rPr>
            </w:pPr>
          </w:p>
        </w:tc>
        <w:tc>
          <w:tcPr>
            <w:tcW w:w="546" w:type="pct"/>
            <w:vAlign w:val="bottom"/>
          </w:tcPr>
          <w:p w14:paraId="27AF4E97" w14:textId="77777777" w:rsidR="00255D09" w:rsidRPr="005B35F4" w:rsidRDefault="00255D09" w:rsidP="00CA7F04">
            <w:pPr>
              <w:tabs>
                <w:tab w:val="right" w:pos="1202"/>
              </w:tabs>
              <w:spacing w:line="240" w:lineRule="exact"/>
              <w:jc w:val="right"/>
              <w:outlineLvl w:val="0"/>
              <w:rPr>
                <w:rFonts w:ascii="Arial" w:hAnsi="Arial" w:cs="Arial"/>
                <w:b/>
                <w:bCs/>
                <w:color w:val="000000" w:themeColor="text1"/>
                <w:spacing w:val="-2"/>
                <w:sz w:val="17"/>
                <w:szCs w:val="17"/>
              </w:rPr>
            </w:pPr>
          </w:p>
        </w:tc>
        <w:tc>
          <w:tcPr>
            <w:tcW w:w="572" w:type="pct"/>
            <w:vAlign w:val="bottom"/>
          </w:tcPr>
          <w:p w14:paraId="0B66B786" w14:textId="77777777" w:rsidR="00255D09" w:rsidRPr="005B35F4" w:rsidRDefault="00255D09" w:rsidP="00CA7F04">
            <w:pPr>
              <w:tabs>
                <w:tab w:val="right" w:pos="1202"/>
              </w:tabs>
              <w:spacing w:line="240" w:lineRule="exact"/>
              <w:jc w:val="right"/>
              <w:outlineLvl w:val="0"/>
              <w:rPr>
                <w:rFonts w:ascii="Arial" w:hAnsi="Arial" w:cs="Arial"/>
                <w:b/>
                <w:bCs/>
                <w:color w:val="000000" w:themeColor="text1"/>
                <w:spacing w:val="-2"/>
                <w:sz w:val="17"/>
                <w:szCs w:val="17"/>
              </w:rPr>
            </w:pPr>
          </w:p>
        </w:tc>
        <w:tc>
          <w:tcPr>
            <w:tcW w:w="570" w:type="pct"/>
            <w:vAlign w:val="bottom"/>
          </w:tcPr>
          <w:p w14:paraId="7E9B39C9" w14:textId="77777777" w:rsidR="00255D09" w:rsidRPr="005B35F4" w:rsidRDefault="00255D09" w:rsidP="00CA7F04">
            <w:pPr>
              <w:tabs>
                <w:tab w:val="right" w:pos="1202"/>
              </w:tabs>
              <w:spacing w:line="240" w:lineRule="exact"/>
              <w:jc w:val="right"/>
              <w:outlineLvl w:val="0"/>
              <w:rPr>
                <w:rFonts w:ascii="Arial" w:hAnsi="Arial" w:cs="Arial"/>
                <w:b/>
                <w:bCs/>
                <w:color w:val="000000" w:themeColor="text1"/>
                <w:spacing w:val="-2"/>
                <w:sz w:val="17"/>
                <w:szCs w:val="17"/>
              </w:rPr>
            </w:pPr>
          </w:p>
        </w:tc>
        <w:tc>
          <w:tcPr>
            <w:tcW w:w="640" w:type="pct"/>
            <w:vAlign w:val="bottom"/>
          </w:tcPr>
          <w:p w14:paraId="2404D75F" w14:textId="77777777" w:rsidR="00255D09" w:rsidRPr="005B35F4" w:rsidRDefault="00255D09" w:rsidP="00CA7F04">
            <w:pPr>
              <w:tabs>
                <w:tab w:val="right" w:pos="1202"/>
              </w:tabs>
              <w:spacing w:line="240" w:lineRule="exact"/>
              <w:jc w:val="right"/>
              <w:outlineLvl w:val="0"/>
              <w:rPr>
                <w:rFonts w:ascii="Arial" w:hAnsi="Arial" w:cs="Arial"/>
                <w:b/>
                <w:bCs/>
                <w:color w:val="000000" w:themeColor="text1"/>
                <w:spacing w:val="-2"/>
                <w:sz w:val="17"/>
                <w:szCs w:val="17"/>
              </w:rPr>
            </w:pPr>
          </w:p>
        </w:tc>
        <w:tc>
          <w:tcPr>
            <w:tcW w:w="603" w:type="pct"/>
            <w:vAlign w:val="bottom"/>
          </w:tcPr>
          <w:p w14:paraId="68C71B05" w14:textId="77777777" w:rsidR="00255D09" w:rsidRPr="005B35F4" w:rsidRDefault="00255D09" w:rsidP="00CA7F04">
            <w:pPr>
              <w:tabs>
                <w:tab w:val="right" w:pos="1202"/>
              </w:tabs>
              <w:spacing w:line="240" w:lineRule="exact"/>
              <w:jc w:val="right"/>
              <w:outlineLvl w:val="0"/>
              <w:rPr>
                <w:rFonts w:ascii="Arial" w:hAnsi="Arial" w:cs="Arial"/>
                <w:b/>
                <w:bCs/>
                <w:color w:val="000000" w:themeColor="text1"/>
                <w:spacing w:val="-2"/>
                <w:sz w:val="17"/>
                <w:szCs w:val="17"/>
              </w:rPr>
            </w:pPr>
          </w:p>
        </w:tc>
      </w:tr>
      <w:tr w:rsidR="00255D09" w:rsidRPr="005B35F4" w14:paraId="0B30D7F4" w14:textId="77777777" w:rsidTr="00CA7F04">
        <w:trPr>
          <w:trHeight w:val="261"/>
        </w:trPr>
        <w:tc>
          <w:tcPr>
            <w:tcW w:w="1517" w:type="pct"/>
            <w:vAlign w:val="bottom"/>
          </w:tcPr>
          <w:p w14:paraId="5FD87B1E" w14:textId="77777777" w:rsidR="00255D09" w:rsidRPr="005B35F4" w:rsidRDefault="00255D09" w:rsidP="00CA7F04">
            <w:pPr>
              <w:tabs>
                <w:tab w:val="right" w:pos="1202"/>
              </w:tabs>
              <w:spacing w:line="240" w:lineRule="exact"/>
              <w:outlineLvl w:val="0"/>
              <w:rPr>
                <w:rFonts w:ascii="Arial" w:hAnsi="Arial" w:cs="Arial"/>
                <w:color w:val="000000" w:themeColor="text1"/>
                <w:sz w:val="17"/>
                <w:szCs w:val="17"/>
              </w:rPr>
            </w:pPr>
            <w:r w:rsidRPr="005B35F4">
              <w:rPr>
                <w:rFonts w:ascii="Arial" w:hAnsi="Arial" w:cs="Arial"/>
                <w:color w:val="000000" w:themeColor="text1"/>
                <w:spacing w:val="-2"/>
                <w:sz w:val="17"/>
                <w:szCs w:val="17"/>
              </w:rPr>
              <w:t>Novčana sredstva i računi kod banaka</w:t>
            </w:r>
          </w:p>
        </w:tc>
        <w:tc>
          <w:tcPr>
            <w:tcW w:w="551" w:type="pct"/>
            <w:tcBorders>
              <w:top w:val="nil"/>
              <w:left w:val="nil"/>
              <w:bottom w:val="nil"/>
              <w:right w:val="nil"/>
            </w:tcBorders>
            <w:shd w:val="clear" w:color="auto" w:fill="auto"/>
            <w:vAlign w:val="bottom"/>
          </w:tcPr>
          <w:p w14:paraId="0EF825F0"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41.543 </w:t>
            </w:r>
          </w:p>
        </w:tc>
        <w:tc>
          <w:tcPr>
            <w:tcW w:w="546" w:type="pct"/>
            <w:tcBorders>
              <w:top w:val="nil"/>
              <w:left w:val="nil"/>
              <w:bottom w:val="nil"/>
              <w:right w:val="nil"/>
            </w:tcBorders>
            <w:shd w:val="clear" w:color="auto" w:fill="auto"/>
            <w:vAlign w:val="bottom"/>
          </w:tcPr>
          <w:p w14:paraId="60D41B36"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4424DB35"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54FA4C01"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2142B4B5"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171B3E47"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41.543 </w:t>
            </w:r>
          </w:p>
        </w:tc>
      </w:tr>
      <w:tr w:rsidR="00255D09" w:rsidRPr="005B35F4" w14:paraId="50168F64" w14:textId="77777777" w:rsidTr="00CA7F04">
        <w:trPr>
          <w:trHeight w:val="261"/>
        </w:trPr>
        <w:tc>
          <w:tcPr>
            <w:tcW w:w="1517" w:type="pct"/>
            <w:vAlign w:val="bottom"/>
          </w:tcPr>
          <w:p w14:paraId="6BD95AEB" w14:textId="77777777" w:rsidR="00255D09" w:rsidRPr="005B35F4" w:rsidRDefault="00255D09" w:rsidP="00CA7F04">
            <w:pPr>
              <w:tabs>
                <w:tab w:val="right" w:pos="1202"/>
              </w:tabs>
              <w:spacing w:line="240" w:lineRule="exact"/>
              <w:outlineLvl w:val="0"/>
              <w:rPr>
                <w:rFonts w:ascii="Arial" w:hAnsi="Arial" w:cs="Arial"/>
                <w:color w:val="000000" w:themeColor="text1"/>
                <w:sz w:val="17"/>
                <w:szCs w:val="17"/>
              </w:rPr>
            </w:pPr>
            <w:r w:rsidRPr="005B35F4">
              <w:rPr>
                <w:rFonts w:ascii="Arial" w:hAnsi="Arial" w:cs="Arial"/>
                <w:color w:val="000000" w:themeColor="text1"/>
                <w:spacing w:val="-2"/>
                <w:sz w:val="17"/>
                <w:szCs w:val="17"/>
              </w:rPr>
              <w:t>Depoziti kod drugih banaka</w:t>
            </w:r>
          </w:p>
        </w:tc>
        <w:tc>
          <w:tcPr>
            <w:tcW w:w="551" w:type="pct"/>
            <w:tcBorders>
              <w:top w:val="nil"/>
              <w:left w:val="nil"/>
              <w:bottom w:val="nil"/>
              <w:right w:val="nil"/>
            </w:tcBorders>
            <w:shd w:val="clear" w:color="auto" w:fill="auto"/>
            <w:vAlign w:val="bottom"/>
          </w:tcPr>
          <w:p w14:paraId="0C81DAD1"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68.152 </w:t>
            </w:r>
          </w:p>
        </w:tc>
        <w:tc>
          <w:tcPr>
            <w:tcW w:w="546" w:type="pct"/>
            <w:tcBorders>
              <w:top w:val="nil"/>
              <w:left w:val="nil"/>
              <w:bottom w:val="nil"/>
              <w:right w:val="nil"/>
            </w:tcBorders>
            <w:shd w:val="clear" w:color="auto" w:fill="auto"/>
            <w:vAlign w:val="bottom"/>
          </w:tcPr>
          <w:p w14:paraId="6CB437B3"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58C9BB92"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4E2DBF75"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4C16C92A"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1.304 </w:t>
            </w:r>
          </w:p>
        </w:tc>
        <w:tc>
          <w:tcPr>
            <w:tcW w:w="603" w:type="pct"/>
            <w:tcBorders>
              <w:top w:val="nil"/>
              <w:left w:val="nil"/>
              <w:bottom w:val="nil"/>
              <w:right w:val="nil"/>
            </w:tcBorders>
            <w:shd w:val="clear" w:color="auto" w:fill="auto"/>
            <w:vAlign w:val="bottom"/>
          </w:tcPr>
          <w:p w14:paraId="21302C0C"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69.456 </w:t>
            </w:r>
          </w:p>
        </w:tc>
      </w:tr>
      <w:tr w:rsidR="00255D09" w:rsidRPr="005B35F4" w14:paraId="12C77F3F" w14:textId="77777777" w:rsidTr="00CA7F04">
        <w:trPr>
          <w:trHeight w:val="261"/>
        </w:trPr>
        <w:tc>
          <w:tcPr>
            <w:tcW w:w="1517" w:type="pct"/>
            <w:vAlign w:val="bottom"/>
          </w:tcPr>
          <w:p w14:paraId="0C87D0AA" w14:textId="77777777" w:rsidR="00255D09" w:rsidRPr="005B35F4" w:rsidRDefault="00255D09" w:rsidP="00CA7F04">
            <w:pPr>
              <w:tabs>
                <w:tab w:val="right" w:pos="1202"/>
              </w:tabs>
              <w:spacing w:line="240" w:lineRule="exact"/>
              <w:outlineLvl w:val="0"/>
              <w:rPr>
                <w:rFonts w:ascii="Arial" w:hAnsi="Arial" w:cs="Arial"/>
                <w:color w:val="000000" w:themeColor="text1"/>
                <w:spacing w:val="-2"/>
                <w:sz w:val="17"/>
                <w:szCs w:val="17"/>
              </w:rPr>
            </w:pPr>
            <w:r w:rsidRPr="005B35F4">
              <w:rPr>
                <w:rFonts w:ascii="Arial" w:hAnsi="Arial" w:cs="Arial"/>
                <w:color w:val="000000" w:themeColor="text1"/>
                <w:spacing w:val="-2"/>
                <w:sz w:val="17"/>
                <w:szCs w:val="17"/>
              </w:rPr>
              <w:t>Krediti financijskim institucijama</w:t>
            </w:r>
            <w:r>
              <w:rPr>
                <w:rFonts w:ascii="Arial" w:hAnsi="Arial" w:cs="Arial"/>
                <w:color w:val="000000" w:themeColor="text1"/>
                <w:spacing w:val="-2"/>
                <w:sz w:val="17"/>
                <w:szCs w:val="17"/>
              </w:rPr>
              <w:t>*</w:t>
            </w:r>
          </w:p>
        </w:tc>
        <w:tc>
          <w:tcPr>
            <w:tcW w:w="551" w:type="pct"/>
            <w:tcBorders>
              <w:top w:val="nil"/>
              <w:left w:val="nil"/>
              <w:bottom w:val="nil"/>
              <w:right w:val="nil"/>
            </w:tcBorders>
            <w:shd w:val="clear" w:color="auto" w:fill="auto"/>
            <w:vAlign w:val="bottom"/>
          </w:tcPr>
          <w:p w14:paraId="515CBB5C"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90.275 </w:t>
            </w:r>
          </w:p>
        </w:tc>
        <w:tc>
          <w:tcPr>
            <w:tcW w:w="546" w:type="pct"/>
            <w:tcBorders>
              <w:top w:val="nil"/>
              <w:left w:val="nil"/>
              <w:bottom w:val="nil"/>
              <w:right w:val="nil"/>
            </w:tcBorders>
            <w:shd w:val="clear" w:color="auto" w:fill="auto"/>
            <w:vAlign w:val="bottom"/>
          </w:tcPr>
          <w:p w14:paraId="6D8C9BB3"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158.524 </w:t>
            </w:r>
          </w:p>
        </w:tc>
        <w:tc>
          <w:tcPr>
            <w:tcW w:w="572" w:type="pct"/>
            <w:tcBorders>
              <w:top w:val="nil"/>
              <w:left w:val="nil"/>
              <w:bottom w:val="nil"/>
              <w:right w:val="nil"/>
            </w:tcBorders>
            <w:shd w:val="clear" w:color="auto" w:fill="auto"/>
            <w:vAlign w:val="bottom"/>
          </w:tcPr>
          <w:p w14:paraId="463E15B7"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130.273 </w:t>
            </w:r>
          </w:p>
        </w:tc>
        <w:tc>
          <w:tcPr>
            <w:tcW w:w="570" w:type="pct"/>
            <w:tcBorders>
              <w:top w:val="nil"/>
              <w:left w:val="nil"/>
              <w:bottom w:val="nil"/>
              <w:right w:val="nil"/>
            </w:tcBorders>
            <w:shd w:val="clear" w:color="auto" w:fill="auto"/>
            <w:vAlign w:val="bottom"/>
          </w:tcPr>
          <w:p w14:paraId="56D3F8B4"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306.450 </w:t>
            </w:r>
          </w:p>
        </w:tc>
        <w:tc>
          <w:tcPr>
            <w:tcW w:w="640" w:type="pct"/>
            <w:tcBorders>
              <w:top w:val="nil"/>
              <w:left w:val="nil"/>
              <w:bottom w:val="nil"/>
              <w:right w:val="nil"/>
            </w:tcBorders>
            <w:shd w:val="clear" w:color="auto" w:fill="auto"/>
            <w:vAlign w:val="bottom"/>
          </w:tcPr>
          <w:p w14:paraId="1CF8E876"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563.359 </w:t>
            </w:r>
          </w:p>
        </w:tc>
        <w:tc>
          <w:tcPr>
            <w:tcW w:w="603" w:type="pct"/>
            <w:tcBorders>
              <w:top w:val="nil"/>
              <w:left w:val="nil"/>
              <w:bottom w:val="nil"/>
              <w:right w:val="nil"/>
            </w:tcBorders>
            <w:shd w:val="clear" w:color="auto" w:fill="auto"/>
            <w:vAlign w:val="bottom"/>
          </w:tcPr>
          <w:p w14:paraId="13FAACE5"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1.248.881 </w:t>
            </w:r>
          </w:p>
        </w:tc>
      </w:tr>
      <w:tr w:rsidR="00255D09" w:rsidRPr="005B35F4" w14:paraId="33A0E9CF" w14:textId="77777777" w:rsidTr="00CA7F04">
        <w:trPr>
          <w:trHeight w:val="261"/>
        </w:trPr>
        <w:tc>
          <w:tcPr>
            <w:tcW w:w="1517" w:type="pct"/>
            <w:vAlign w:val="bottom"/>
          </w:tcPr>
          <w:p w14:paraId="0A695441" w14:textId="77777777" w:rsidR="00255D09" w:rsidRPr="005B35F4" w:rsidRDefault="00255D09" w:rsidP="00CA7F04">
            <w:pPr>
              <w:tabs>
                <w:tab w:val="right" w:pos="1202"/>
              </w:tabs>
              <w:spacing w:line="240" w:lineRule="exact"/>
              <w:outlineLvl w:val="0"/>
              <w:rPr>
                <w:rFonts w:ascii="Arial" w:hAnsi="Arial" w:cs="Arial"/>
                <w:color w:val="000000" w:themeColor="text1"/>
                <w:spacing w:val="-2"/>
                <w:sz w:val="17"/>
                <w:szCs w:val="17"/>
              </w:rPr>
            </w:pPr>
            <w:r w:rsidRPr="005B35F4">
              <w:rPr>
                <w:rFonts w:ascii="Arial" w:hAnsi="Arial" w:cs="Arial"/>
                <w:color w:val="000000" w:themeColor="text1"/>
                <w:spacing w:val="-2"/>
                <w:sz w:val="17"/>
                <w:szCs w:val="17"/>
              </w:rPr>
              <w:t>Krediti ostalim korisnicima</w:t>
            </w:r>
          </w:p>
        </w:tc>
        <w:tc>
          <w:tcPr>
            <w:tcW w:w="551" w:type="pct"/>
            <w:tcBorders>
              <w:top w:val="nil"/>
              <w:left w:val="nil"/>
              <w:bottom w:val="nil"/>
              <w:right w:val="nil"/>
            </w:tcBorders>
            <w:shd w:val="clear" w:color="auto" w:fill="auto"/>
            <w:vAlign w:val="bottom"/>
          </w:tcPr>
          <w:p w14:paraId="05D1F638"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271.161 </w:t>
            </w:r>
          </w:p>
        </w:tc>
        <w:tc>
          <w:tcPr>
            <w:tcW w:w="546" w:type="pct"/>
            <w:tcBorders>
              <w:top w:val="nil"/>
              <w:left w:val="nil"/>
              <w:bottom w:val="nil"/>
              <w:right w:val="nil"/>
            </w:tcBorders>
            <w:shd w:val="clear" w:color="auto" w:fill="auto"/>
            <w:vAlign w:val="bottom"/>
          </w:tcPr>
          <w:p w14:paraId="62DF6316"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52.397 </w:t>
            </w:r>
          </w:p>
        </w:tc>
        <w:tc>
          <w:tcPr>
            <w:tcW w:w="572" w:type="pct"/>
            <w:tcBorders>
              <w:top w:val="nil"/>
              <w:left w:val="nil"/>
              <w:bottom w:val="nil"/>
              <w:right w:val="nil"/>
            </w:tcBorders>
            <w:shd w:val="clear" w:color="auto" w:fill="auto"/>
            <w:vAlign w:val="bottom"/>
          </w:tcPr>
          <w:p w14:paraId="2EE92B4B"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286.532 </w:t>
            </w:r>
          </w:p>
        </w:tc>
        <w:tc>
          <w:tcPr>
            <w:tcW w:w="570" w:type="pct"/>
            <w:tcBorders>
              <w:top w:val="nil"/>
              <w:left w:val="nil"/>
              <w:bottom w:val="nil"/>
              <w:right w:val="nil"/>
            </w:tcBorders>
            <w:shd w:val="clear" w:color="auto" w:fill="auto"/>
            <w:vAlign w:val="bottom"/>
          </w:tcPr>
          <w:p w14:paraId="422EB017"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586.168 </w:t>
            </w:r>
          </w:p>
        </w:tc>
        <w:tc>
          <w:tcPr>
            <w:tcW w:w="640" w:type="pct"/>
            <w:tcBorders>
              <w:top w:val="nil"/>
              <w:left w:val="nil"/>
              <w:bottom w:val="nil"/>
              <w:right w:val="nil"/>
            </w:tcBorders>
            <w:shd w:val="clear" w:color="auto" w:fill="auto"/>
            <w:vAlign w:val="bottom"/>
          </w:tcPr>
          <w:p w14:paraId="14264603"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1.154.938 </w:t>
            </w:r>
          </w:p>
        </w:tc>
        <w:tc>
          <w:tcPr>
            <w:tcW w:w="603" w:type="pct"/>
            <w:tcBorders>
              <w:top w:val="nil"/>
              <w:left w:val="nil"/>
              <w:bottom w:val="nil"/>
              <w:right w:val="nil"/>
            </w:tcBorders>
            <w:shd w:val="clear" w:color="auto" w:fill="auto"/>
            <w:vAlign w:val="bottom"/>
          </w:tcPr>
          <w:p w14:paraId="1B58AAE6"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2.351.196 </w:t>
            </w:r>
          </w:p>
        </w:tc>
      </w:tr>
      <w:tr w:rsidR="00255D09" w:rsidRPr="005B35F4" w14:paraId="766BFD25" w14:textId="77777777" w:rsidTr="00CA7F04">
        <w:trPr>
          <w:trHeight w:val="145"/>
        </w:trPr>
        <w:tc>
          <w:tcPr>
            <w:tcW w:w="1517" w:type="pct"/>
            <w:vAlign w:val="bottom"/>
          </w:tcPr>
          <w:p w14:paraId="3F368324" w14:textId="77777777" w:rsidR="00255D09" w:rsidRPr="005B35F4" w:rsidRDefault="00255D09" w:rsidP="00CA7F04">
            <w:pPr>
              <w:tabs>
                <w:tab w:val="right" w:pos="1202"/>
              </w:tabs>
              <w:spacing w:line="240" w:lineRule="exact"/>
              <w:outlineLvl w:val="0"/>
              <w:rPr>
                <w:rFonts w:ascii="Arial" w:hAnsi="Arial" w:cs="Arial"/>
                <w:color w:val="000000" w:themeColor="text1"/>
                <w:spacing w:val="-2"/>
                <w:sz w:val="17"/>
                <w:szCs w:val="17"/>
              </w:rPr>
            </w:pPr>
            <w:r w:rsidRPr="005B35F4">
              <w:rPr>
                <w:rFonts w:ascii="Arial" w:hAnsi="Arial" w:cs="Arial"/>
                <w:color w:val="000000" w:themeColor="text1"/>
                <w:sz w:val="17"/>
                <w:szCs w:val="17"/>
              </w:rPr>
              <w:t>Financijska imovina po fer vrijednosti kroz dobit ili gubitak</w:t>
            </w:r>
          </w:p>
        </w:tc>
        <w:tc>
          <w:tcPr>
            <w:tcW w:w="551" w:type="pct"/>
            <w:tcBorders>
              <w:top w:val="nil"/>
              <w:left w:val="nil"/>
              <w:bottom w:val="nil"/>
              <w:right w:val="nil"/>
            </w:tcBorders>
            <w:shd w:val="clear" w:color="auto" w:fill="auto"/>
            <w:vAlign w:val="bottom"/>
          </w:tcPr>
          <w:p w14:paraId="2951C6DC"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42 </w:t>
            </w:r>
          </w:p>
        </w:tc>
        <w:tc>
          <w:tcPr>
            <w:tcW w:w="546" w:type="pct"/>
            <w:tcBorders>
              <w:top w:val="nil"/>
              <w:left w:val="nil"/>
              <w:bottom w:val="nil"/>
              <w:right w:val="nil"/>
            </w:tcBorders>
            <w:shd w:val="clear" w:color="auto" w:fill="auto"/>
            <w:vAlign w:val="bottom"/>
          </w:tcPr>
          <w:p w14:paraId="4146A40A"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11 </w:t>
            </w:r>
          </w:p>
        </w:tc>
        <w:tc>
          <w:tcPr>
            <w:tcW w:w="572" w:type="pct"/>
            <w:tcBorders>
              <w:top w:val="nil"/>
              <w:left w:val="nil"/>
              <w:bottom w:val="nil"/>
              <w:right w:val="nil"/>
            </w:tcBorders>
            <w:shd w:val="clear" w:color="auto" w:fill="auto"/>
            <w:vAlign w:val="bottom"/>
          </w:tcPr>
          <w:p w14:paraId="4E0FDD5D"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51AC086F"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33.698 </w:t>
            </w:r>
          </w:p>
        </w:tc>
        <w:tc>
          <w:tcPr>
            <w:tcW w:w="640" w:type="pct"/>
            <w:tcBorders>
              <w:top w:val="nil"/>
              <w:left w:val="nil"/>
              <w:bottom w:val="nil"/>
              <w:right w:val="nil"/>
            </w:tcBorders>
            <w:shd w:val="clear" w:color="auto" w:fill="auto"/>
            <w:vAlign w:val="bottom"/>
          </w:tcPr>
          <w:p w14:paraId="4FCC6762"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19.171 </w:t>
            </w:r>
          </w:p>
        </w:tc>
        <w:tc>
          <w:tcPr>
            <w:tcW w:w="603" w:type="pct"/>
            <w:tcBorders>
              <w:top w:val="nil"/>
              <w:left w:val="nil"/>
              <w:bottom w:val="nil"/>
              <w:right w:val="nil"/>
            </w:tcBorders>
            <w:shd w:val="clear" w:color="auto" w:fill="auto"/>
            <w:vAlign w:val="bottom"/>
          </w:tcPr>
          <w:p w14:paraId="6FA70B5E"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52.922 </w:t>
            </w:r>
          </w:p>
        </w:tc>
      </w:tr>
      <w:tr w:rsidR="00255D09" w:rsidRPr="005B35F4" w14:paraId="2A30F17C" w14:textId="77777777" w:rsidTr="00CA7F04">
        <w:trPr>
          <w:trHeight w:val="145"/>
        </w:trPr>
        <w:tc>
          <w:tcPr>
            <w:tcW w:w="1517" w:type="pct"/>
            <w:vAlign w:val="bottom"/>
          </w:tcPr>
          <w:p w14:paraId="27DB7924" w14:textId="77777777" w:rsidR="00255D09" w:rsidRPr="005B35F4" w:rsidRDefault="00255D09" w:rsidP="00CA7F04">
            <w:pPr>
              <w:tabs>
                <w:tab w:val="right" w:pos="1202"/>
              </w:tabs>
              <w:spacing w:line="240" w:lineRule="exact"/>
              <w:outlineLvl w:val="0"/>
              <w:rPr>
                <w:rFonts w:ascii="Arial" w:hAnsi="Arial" w:cs="Arial"/>
                <w:color w:val="000000" w:themeColor="text1"/>
                <w:spacing w:val="-2"/>
                <w:sz w:val="17"/>
                <w:szCs w:val="17"/>
              </w:rPr>
            </w:pPr>
            <w:r w:rsidRPr="005B35F4">
              <w:rPr>
                <w:rFonts w:ascii="Arial" w:hAnsi="Arial" w:cs="Arial"/>
                <w:color w:val="000000" w:themeColor="text1"/>
                <w:sz w:val="17"/>
                <w:szCs w:val="17"/>
              </w:rPr>
              <w:t>Financijska imovina po fer vrijednosti kroz ostalu sveobuhvatnu dobit</w:t>
            </w:r>
          </w:p>
        </w:tc>
        <w:tc>
          <w:tcPr>
            <w:tcW w:w="551" w:type="pct"/>
            <w:tcBorders>
              <w:top w:val="nil"/>
              <w:left w:val="nil"/>
              <w:bottom w:val="nil"/>
              <w:right w:val="nil"/>
            </w:tcBorders>
            <w:shd w:val="clear" w:color="auto" w:fill="auto"/>
            <w:vAlign w:val="bottom"/>
          </w:tcPr>
          <w:p w14:paraId="29C327EE"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225.735 </w:t>
            </w:r>
          </w:p>
        </w:tc>
        <w:tc>
          <w:tcPr>
            <w:tcW w:w="546" w:type="pct"/>
            <w:tcBorders>
              <w:top w:val="nil"/>
              <w:left w:val="nil"/>
              <w:bottom w:val="nil"/>
              <w:right w:val="nil"/>
            </w:tcBorders>
            <w:shd w:val="clear" w:color="auto" w:fill="auto"/>
            <w:vAlign w:val="bottom"/>
          </w:tcPr>
          <w:p w14:paraId="3EDFA4BC"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3.123 </w:t>
            </w:r>
          </w:p>
        </w:tc>
        <w:tc>
          <w:tcPr>
            <w:tcW w:w="572" w:type="pct"/>
            <w:tcBorders>
              <w:top w:val="nil"/>
              <w:left w:val="nil"/>
              <w:bottom w:val="nil"/>
              <w:right w:val="nil"/>
            </w:tcBorders>
            <w:shd w:val="clear" w:color="auto" w:fill="auto"/>
            <w:vAlign w:val="bottom"/>
          </w:tcPr>
          <w:p w14:paraId="24BFA0E2"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668BB6BF"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18EEA384"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1603C889"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228.858 </w:t>
            </w:r>
          </w:p>
        </w:tc>
      </w:tr>
      <w:tr w:rsidR="00255D09" w:rsidRPr="005B35F4" w14:paraId="6D607BA2" w14:textId="77777777" w:rsidTr="00CA7F04">
        <w:trPr>
          <w:trHeight w:val="145"/>
        </w:trPr>
        <w:tc>
          <w:tcPr>
            <w:tcW w:w="1517" w:type="pct"/>
            <w:vAlign w:val="bottom"/>
          </w:tcPr>
          <w:p w14:paraId="32ACE0FD" w14:textId="77777777" w:rsidR="00255D09" w:rsidRPr="005B35F4" w:rsidRDefault="00255D09" w:rsidP="00CA7F04">
            <w:pPr>
              <w:tabs>
                <w:tab w:val="right" w:pos="1202"/>
              </w:tabs>
              <w:spacing w:line="240" w:lineRule="exact"/>
              <w:outlineLvl w:val="0"/>
              <w:rPr>
                <w:rFonts w:ascii="Arial" w:hAnsi="Arial" w:cs="Arial"/>
                <w:color w:val="000000" w:themeColor="text1"/>
                <w:spacing w:val="-2"/>
                <w:sz w:val="17"/>
                <w:szCs w:val="17"/>
              </w:rPr>
            </w:pPr>
            <w:r w:rsidRPr="005B35F4">
              <w:rPr>
                <w:rFonts w:ascii="Arial" w:hAnsi="Arial" w:cs="Arial"/>
                <w:color w:val="000000" w:themeColor="text1"/>
                <w:spacing w:val="-2"/>
                <w:sz w:val="17"/>
                <w:szCs w:val="17"/>
              </w:rPr>
              <w:t>Ulaganja u ovisna društva</w:t>
            </w:r>
          </w:p>
        </w:tc>
        <w:tc>
          <w:tcPr>
            <w:tcW w:w="551" w:type="pct"/>
            <w:tcBorders>
              <w:top w:val="nil"/>
              <w:left w:val="nil"/>
              <w:bottom w:val="nil"/>
              <w:right w:val="nil"/>
            </w:tcBorders>
            <w:shd w:val="clear" w:color="auto" w:fill="auto"/>
            <w:vAlign w:val="bottom"/>
          </w:tcPr>
          <w:p w14:paraId="2D401391"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46" w:type="pct"/>
            <w:tcBorders>
              <w:top w:val="nil"/>
              <w:left w:val="nil"/>
              <w:bottom w:val="nil"/>
              <w:right w:val="nil"/>
            </w:tcBorders>
            <w:shd w:val="clear" w:color="auto" w:fill="auto"/>
            <w:vAlign w:val="bottom"/>
          </w:tcPr>
          <w:p w14:paraId="0E3B6A5C"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186C063E"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0338428E"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205E06BF"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7.449 </w:t>
            </w:r>
          </w:p>
        </w:tc>
        <w:tc>
          <w:tcPr>
            <w:tcW w:w="603" w:type="pct"/>
            <w:tcBorders>
              <w:top w:val="nil"/>
              <w:left w:val="nil"/>
              <w:bottom w:val="nil"/>
              <w:right w:val="nil"/>
            </w:tcBorders>
            <w:shd w:val="clear" w:color="auto" w:fill="auto"/>
            <w:vAlign w:val="bottom"/>
          </w:tcPr>
          <w:p w14:paraId="523599F7"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7.449 </w:t>
            </w:r>
          </w:p>
        </w:tc>
      </w:tr>
      <w:tr w:rsidR="00255D09" w:rsidRPr="005B35F4" w14:paraId="1A1D5FF0" w14:textId="77777777" w:rsidTr="00CA7F04">
        <w:trPr>
          <w:trHeight w:val="293"/>
        </w:trPr>
        <w:tc>
          <w:tcPr>
            <w:tcW w:w="1517" w:type="pct"/>
            <w:vAlign w:val="bottom"/>
          </w:tcPr>
          <w:p w14:paraId="2973ED10" w14:textId="77777777" w:rsidR="00255D09" w:rsidRPr="005B35F4" w:rsidRDefault="00255D09" w:rsidP="00CA7F04">
            <w:pPr>
              <w:tabs>
                <w:tab w:val="right" w:pos="1202"/>
              </w:tabs>
              <w:spacing w:line="240" w:lineRule="exact"/>
              <w:outlineLvl w:val="0"/>
              <w:rPr>
                <w:rFonts w:ascii="Arial" w:hAnsi="Arial" w:cs="Arial"/>
                <w:color w:val="000000" w:themeColor="text1"/>
                <w:sz w:val="17"/>
                <w:szCs w:val="17"/>
              </w:rPr>
            </w:pPr>
            <w:r w:rsidRPr="005B35F4">
              <w:rPr>
                <w:rFonts w:ascii="Arial" w:hAnsi="Arial" w:cs="Arial"/>
                <w:color w:val="000000" w:themeColor="text1"/>
                <w:spacing w:val="-2"/>
                <w:sz w:val="17"/>
                <w:szCs w:val="17"/>
              </w:rPr>
              <w:t>Nekretnine, postrojenja i oprema i nematerijalna imovina</w:t>
            </w:r>
          </w:p>
        </w:tc>
        <w:tc>
          <w:tcPr>
            <w:tcW w:w="551" w:type="pct"/>
            <w:tcBorders>
              <w:top w:val="nil"/>
              <w:left w:val="nil"/>
              <w:bottom w:val="nil"/>
              <w:right w:val="nil"/>
            </w:tcBorders>
            <w:shd w:val="clear" w:color="auto" w:fill="auto"/>
            <w:vAlign w:val="bottom"/>
          </w:tcPr>
          <w:p w14:paraId="5F5A585A"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46" w:type="pct"/>
            <w:tcBorders>
              <w:top w:val="nil"/>
              <w:left w:val="nil"/>
              <w:bottom w:val="nil"/>
              <w:right w:val="nil"/>
            </w:tcBorders>
            <w:shd w:val="clear" w:color="auto" w:fill="auto"/>
            <w:vAlign w:val="bottom"/>
          </w:tcPr>
          <w:p w14:paraId="27FC50DC"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15B6CB6F"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20A72E0E"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489E8290"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4.723 </w:t>
            </w:r>
          </w:p>
        </w:tc>
        <w:tc>
          <w:tcPr>
            <w:tcW w:w="603" w:type="pct"/>
            <w:tcBorders>
              <w:top w:val="nil"/>
              <w:left w:val="nil"/>
              <w:bottom w:val="nil"/>
              <w:right w:val="nil"/>
            </w:tcBorders>
            <w:shd w:val="clear" w:color="auto" w:fill="auto"/>
            <w:vAlign w:val="bottom"/>
          </w:tcPr>
          <w:p w14:paraId="04039FFD"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4.723 </w:t>
            </w:r>
          </w:p>
        </w:tc>
      </w:tr>
      <w:tr w:rsidR="00255D09" w:rsidRPr="005B35F4" w14:paraId="597BCACE" w14:textId="77777777" w:rsidTr="00CA7F04">
        <w:trPr>
          <w:trHeight w:val="134"/>
        </w:trPr>
        <w:tc>
          <w:tcPr>
            <w:tcW w:w="1517" w:type="pct"/>
            <w:vAlign w:val="bottom"/>
          </w:tcPr>
          <w:p w14:paraId="73F64869" w14:textId="77777777" w:rsidR="00255D09" w:rsidRPr="005B35F4" w:rsidRDefault="00255D09" w:rsidP="00CA7F04">
            <w:pPr>
              <w:tabs>
                <w:tab w:val="right" w:pos="1202"/>
              </w:tabs>
              <w:spacing w:line="240" w:lineRule="exact"/>
              <w:outlineLvl w:val="0"/>
              <w:rPr>
                <w:rFonts w:ascii="Arial" w:hAnsi="Arial" w:cs="Arial"/>
                <w:color w:val="000000" w:themeColor="text1"/>
                <w:sz w:val="17"/>
                <w:szCs w:val="17"/>
              </w:rPr>
            </w:pPr>
            <w:r w:rsidRPr="005B35F4">
              <w:rPr>
                <w:rFonts w:ascii="Arial" w:hAnsi="Arial" w:cs="Arial"/>
                <w:color w:val="000000" w:themeColor="text1"/>
                <w:spacing w:val="-2"/>
                <w:sz w:val="17"/>
                <w:szCs w:val="17"/>
              </w:rPr>
              <w:t>Preuzeta imovina</w:t>
            </w:r>
          </w:p>
        </w:tc>
        <w:tc>
          <w:tcPr>
            <w:tcW w:w="551" w:type="pct"/>
            <w:tcBorders>
              <w:top w:val="nil"/>
              <w:left w:val="nil"/>
              <w:bottom w:val="nil"/>
              <w:right w:val="nil"/>
            </w:tcBorders>
            <w:shd w:val="clear" w:color="auto" w:fill="auto"/>
            <w:vAlign w:val="bottom"/>
          </w:tcPr>
          <w:p w14:paraId="4A44D643"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2 </w:t>
            </w:r>
          </w:p>
        </w:tc>
        <w:tc>
          <w:tcPr>
            <w:tcW w:w="546" w:type="pct"/>
            <w:tcBorders>
              <w:top w:val="nil"/>
              <w:left w:val="nil"/>
              <w:bottom w:val="nil"/>
              <w:right w:val="nil"/>
            </w:tcBorders>
            <w:shd w:val="clear" w:color="auto" w:fill="auto"/>
            <w:vAlign w:val="bottom"/>
          </w:tcPr>
          <w:p w14:paraId="4DDC9464"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148 </w:t>
            </w:r>
          </w:p>
        </w:tc>
        <w:tc>
          <w:tcPr>
            <w:tcW w:w="572" w:type="pct"/>
            <w:tcBorders>
              <w:top w:val="nil"/>
              <w:left w:val="nil"/>
              <w:bottom w:val="nil"/>
              <w:right w:val="nil"/>
            </w:tcBorders>
            <w:shd w:val="clear" w:color="auto" w:fill="auto"/>
            <w:vAlign w:val="bottom"/>
          </w:tcPr>
          <w:p w14:paraId="2235A82E"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149 </w:t>
            </w:r>
          </w:p>
        </w:tc>
        <w:tc>
          <w:tcPr>
            <w:tcW w:w="570" w:type="pct"/>
            <w:tcBorders>
              <w:top w:val="nil"/>
              <w:left w:val="nil"/>
              <w:bottom w:val="nil"/>
              <w:right w:val="nil"/>
            </w:tcBorders>
            <w:shd w:val="clear" w:color="auto" w:fill="auto"/>
            <w:vAlign w:val="bottom"/>
          </w:tcPr>
          <w:p w14:paraId="7F81BD1B"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820 </w:t>
            </w:r>
          </w:p>
        </w:tc>
        <w:tc>
          <w:tcPr>
            <w:tcW w:w="640" w:type="pct"/>
            <w:tcBorders>
              <w:top w:val="nil"/>
              <w:left w:val="nil"/>
              <w:bottom w:val="nil"/>
              <w:right w:val="nil"/>
            </w:tcBorders>
            <w:shd w:val="clear" w:color="auto" w:fill="auto"/>
            <w:vAlign w:val="bottom"/>
          </w:tcPr>
          <w:p w14:paraId="2F40B131"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1.172 </w:t>
            </w:r>
          </w:p>
        </w:tc>
        <w:tc>
          <w:tcPr>
            <w:tcW w:w="603" w:type="pct"/>
            <w:tcBorders>
              <w:top w:val="nil"/>
              <w:left w:val="nil"/>
              <w:bottom w:val="nil"/>
              <w:right w:val="nil"/>
            </w:tcBorders>
            <w:shd w:val="clear" w:color="auto" w:fill="auto"/>
            <w:vAlign w:val="bottom"/>
          </w:tcPr>
          <w:p w14:paraId="5FDA6C5B"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2.291 </w:t>
            </w:r>
          </w:p>
        </w:tc>
      </w:tr>
      <w:tr w:rsidR="00255D09" w:rsidRPr="005B35F4" w14:paraId="0025472A" w14:textId="77777777" w:rsidTr="00CA7F04">
        <w:trPr>
          <w:trHeight w:val="145"/>
        </w:trPr>
        <w:tc>
          <w:tcPr>
            <w:tcW w:w="1517" w:type="pct"/>
            <w:vAlign w:val="bottom"/>
          </w:tcPr>
          <w:p w14:paraId="7D202250" w14:textId="77777777" w:rsidR="00255D09" w:rsidRPr="005B35F4" w:rsidRDefault="00255D09" w:rsidP="00CA7F04">
            <w:pPr>
              <w:tabs>
                <w:tab w:val="right" w:pos="1202"/>
              </w:tabs>
              <w:spacing w:line="240" w:lineRule="exact"/>
              <w:outlineLvl w:val="0"/>
              <w:rPr>
                <w:rFonts w:ascii="Arial" w:hAnsi="Arial" w:cs="Arial"/>
                <w:color w:val="000000" w:themeColor="text1"/>
                <w:sz w:val="17"/>
                <w:szCs w:val="17"/>
              </w:rPr>
            </w:pPr>
            <w:r w:rsidRPr="005B35F4">
              <w:rPr>
                <w:rFonts w:ascii="Arial" w:hAnsi="Arial" w:cs="Arial"/>
                <w:color w:val="000000" w:themeColor="text1"/>
                <w:spacing w:val="-2"/>
                <w:sz w:val="17"/>
                <w:szCs w:val="17"/>
              </w:rPr>
              <w:t>Ostala imovina</w:t>
            </w:r>
          </w:p>
        </w:tc>
        <w:tc>
          <w:tcPr>
            <w:tcW w:w="551" w:type="pct"/>
            <w:tcBorders>
              <w:top w:val="nil"/>
              <w:left w:val="nil"/>
              <w:bottom w:val="single" w:sz="8" w:space="0" w:color="auto"/>
              <w:right w:val="nil"/>
            </w:tcBorders>
            <w:shd w:val="clear" w:color="auto" w:fill="auto"/>
            <w:vAlign w:val="bottom"/>
          </w:tcPr>
          <w:p w14:paraId="54D16354"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5.703 </w:t>
            </w:r>
          </w:p>
        </w:tc>
        <w:tc>
          <w:tcPr>
            <w:tcW w:w="546" w:type="pct"/>
            <w:tcBorders>
              <w:top w:val="nil"/>
              <w:left w:val="nil"/>
              <w:bottom w:val="single" w:sz="8" w:space="0" w:color="auto"/>
              <w:right w:val="nil"/>
            </w:tcBorders>
            <w:shd w:val="clear" w:color="auto" w:fill="auto"/>
            <w:vAlign w:val="bottom"/>
          </w:tcPr>
          <w:p w14:paraId="7FDC688D"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117 </w:t>
            </w:r>
          </w:p>
        </w:tc>
        <w:tc>
          <w:tcPr>
            <w:tcW w:w="572" w:type="pct"/>
            <w:tcBorders>
              <w:top w:val="nil"/>
              <w:left w:val="nil"/>
              <w:bottom w:val="single" w:sz="8" w:space="0" w:color="auto"/>
              <w:right w:val="nil"/>
            </w:tcBorders>
            <w:shd w:val="clear" w:color="auto" w:fill="auto"/>
            <w:vAlign w:val="bottom"/>
          </w:tcPr>
          <w:p w14:paraId="45A3DDA9"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2.662 </w:t>
            </w:r>
          </w:p>
        </w:tc>
        <w:tc>
          <w:tcPr>
            <w:tcW w:w="570" w:type="pct"/>
            <w:tcBorders>
              <w:top w:val="nil"/>
              <w:left w:val="nil"/>
              <w:bottom w:val="single" w:sz="8" w:space="0" w:color="auto"/>
              <w:right w:val="nil"/>
            </w:tcBorders>
            <w:shd w:val="clear" w:color="auto" w:fill="auto"/>
            <w:vAlign w:val="bottom"/>
          </w:tcPr>
          <w:p w14:paraId="3A7B80B9"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2.705 </w:t>
            </w:r>
          </w:p>
        </w:tc>
        <w:tc>
          <w:tcPr>
            <w:tcW w:w="640" w:type="pct"/>
            <w:tcBorders>
              <w:top w:val="nil"/>
              <w:left w:val="nil"/>
              <w:bottom w:val="single" w:sz="8" w:space="0" w:color="auto"/>
              <w:right w:val="nil"/>
            </w:tcBorders>
            <w:shd w:val="clear" w:color="auto" w:fill="auto"/>
            <w:vAlign w:val="bottom"/>
          </w:tcPr>
          <w:p w14:paraId="2F061B5D"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178 </w:t>
            </w:r>
          </w:p>
        </w:tc>
        <w:tc>
          <w:tcPr>
            <w:tcW w:w="603" w:type="pct"/>
            <w:tcBorders>
              <w:top w:val="nil"/>
              <w:left w:val="nil"/>
              <w:bottom w:val="single" w:sz="8" w:space="0" w:color="auto"/>
              <w:right w:val="nil"/>
            </w:tcBorders>
            <w:shd w:val="clear" w:color="auto" w:fill="auto"/>
            <w:vAlign w:val="bottom"/>
          </w:tcPr>
          <w:p w14:paraId="185496AE"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11.365 </w:t>
            </w:r>
          </w:p>
        </w:tc>
      </w:tr>
      <w:tr w:rsidR="00255D09" w:rsidRPr="005B35F4" w14:paraId="194B447B" w14:textId="77777777" w:rsidTr="00CA7F04">
        <w:trPr>
          <w:trHeight w:val="145"/>
        </w:trPr>
        <w:tc>
          <w:tcPr>
            <w:tcW w:w="1517" w:type="pct"/>
          </w:tcPr>
          <w:p w14:paraId="3127C158" w14:textId="77777777" w:rsidR="00255D09" w:rsidRPr="005B35F4" w:rsidRDefault="00255D09" w:rsidP="00CA7F04">
            <w:pPr>
              <w:tabs>
                <w:tab w:val="right" w:pos="1202"/>
              </w:tabs>
              <w:spacing w:line="240" w:lineRule="exact"/>
              <w:outlineLvl w:val="0"/>
              <w:rPr>
                <w:rFonts w:ascii="Arial" w:hAnsi="Arial" w:cs="Arial"/>
                <w:b/>
                <w:bCs/>
                <w:color w:val="000000" w:themeColor="text1"/>
                <w:sz w:val="17"/>
                <w:szCs w:val="17"/>
              </w:rPr>
            </w:pPr>
            <w:r w:rsidRPr="005B35F4">
              <w:rPr>
                <w:rFonts w:ascii="Arial" w:hAnsi="Arial" w:cs="Arial"/>
                <w:b/>
                <w:bCs/>
                <w:color w:val="000000" w:themeColor="text1"/>
                <w:sz w:val="17"/>
                <w:szCs w:val="17"/>
              </w:rPr>
              <w:t>Ukupna imovina</w:t>
            </w:r>
          </w:p>
        </w:tc>
        <w:tc>
          <w:tcPr>
            <w:tcW w:w="551" w:type="pct"/>
            <w:tcBorders>
              <w:top w:val="single" w:sz="8" w:space="0" w:color="auto"/>
              <w:left w:val="nil"/>
              <w:bottom w:val="single" w:sz="12" w:space="0" w:color="auto"/>
              <w:right w:val="nil"/>
            </w:tcBorders>
            <w:shd w:val="clear" w:color="auto" w:fill="auto"/>
            <w:vAlign w:val="bottom"/>
          </w:tcPr>
          <w:p w14:paraId="5D311174" w14:textId="77777777" w:rsidR="00255D09" w:rsidRPr="003C3893" w:rsidRDefault="00255D09" w:rsidP="00CA7F04">
            <w:pPr>
              <w:jc w:val="right"/>
              <w:rPr>
                <w:rFonts w:ascii="Arial" w:hAnsi="Arial" w:cs="Arial"/>
                <w:b/>
                <w:bCs/>
                <w:color w:val="000000"/>
                <w:sz w:val="17"/>
                <w:szCs w:val="17"/>
              </w:rPr>
            </w:pPr>
            <w:r w:rsidRPr="00F959D0">
              <w:rPr>
                <w:rFonts w:ascii="Arial" w:hAnsi="Arial" w:cs="Arial"/>
                <w:b/>
                <w:bCs/>
                <w:color w:val="000000"/>
                <w:sz w:val="17"/>
                <w:szCs w:val="17"/>
              </w:rPr>
              <w:t>702.613</w:t>
            </w:r>
          </w:p>
        </w:tc>
        <w:tc>
          <w:tcPr>
            <w:tcW w:w="546" w:type="pct"/>
            <w:tcBorders>
              <w:top w:val="single" w:sz="8" w:space="0" w:color="auto"/>
              <w:left w:val="nil"/>
              <w:bottom w:val="single" w:sz="12" w:space="0" w:color="auto"/>
              <w:right w:val="nil"/>
            </w:tcBorders>
            <w:shd w:val="clear" w:color="auto" w:fill="auto"/>
            <w:vAlign w:val="bottom"/>
          </w:tcPr>
          <w:p w14:paraId="3E77781E" w14:textId="77777777" w:rsidR="00255D09" w:rsidRPr="003C3893" w:rsidRDefault="00255D09" w:rsidP="00CA7F04">
            <w:pPr>
              <w:jc w:val="right"/>
              <w:rPr>
                <w:rFonts w:ascii="Arial" w:hAnsi="Arial" w:cs="Arial"/>
                <w:b/>
                <w:bCs/>
                <w:color w:val="000000"/>
                <w:sz w:val="17"/>
                <w:szCs w:val="17"/>
              </w:rPr>
            </w:pPr>
            <w:r w:rsidRPr="00F959D0">
              <w:rPr>
                <w:rFonts w:ascii="Arial" w:hAnsi="Arial" w:cs="Arial"/>
                <w:b/>
                <w:bCs/>
                <w:color w:val="000000"/>
                <w:sz w:val="17"/>
                <w:szCs w:val="17"/>
              </w:rPr>
              <w:t>214.320</w:t>
            </w:r>
          </w:p>
        </w:tc>
        <w:tc>
          <w:tcPr>
            <w:tcW w:w="572" w:type="pct"/>
            <w:tcBorders>
              <w:top w:val="single" w:sz="8" w:space="0" w:color="auto"/>
              <w:left w:val="nil"/>
              <w:bottom w:val="single" w:sz="12" w:space="0" w:color="auto"/>
              <w:right w:val="nil"/>
            </w:tcBorders>
            <w:shd w:val="clear" w:color="auto" w:fill="auto"/>
            <w:vAlign w:val="bottom"/>
          </w:tcPr>
          <w:p w14:paraId="0847DCBC" w14:textId="77777777" w:rsidR="00255D09" w:rsidRPr="003C3893" w:rsidRDefault="00255D09" w:rsidP="00CA7F04">
            <w:pPr>
              <w:jc w:val="right"/>
              <w:rPr>
                <w:rFonts w:ascii="Arial" w:hAnsi="Arial" w:cs="Arial"/>
                <w:b/>
                <w:bCs/>
                <w:color w:val="000000"/>
                <w:sz w:val="17"/>
                <w:szCs w:val="17"/>
              </w:rPr>
            </w:pPr>
            <w:r w:rsidRPr="00F959D0">
              <w:rPr>
                <w:rFonts w:ascii="Arial" w:hAnsi="Arial" w:cs="Arial"/>
                <w:b/>
                <w:bCs/>
                <w:color w:val="000000"/>
                <w:sz w:val="17"/>
                <w:szCs w:val="17"/>
              </w:rPr>
              <w:t>419.616</w:t>
            </w:r>
          </w:p>
        </w:tc>
        <w:tc>
          <w:tcPr>
            <w:tcW w:w="570" w:type="pct"/>
            <w:tcBorders>
              <w:top w:val="single" w:sz="8" w:space="0" w:color="auto"/>
              <w:left w:val="nil"/>
              <w:bottom w:val="single" w:sz="12" w:space="0" w:color="auto"/>
              <w:right w:val="nil"/>
            </w:tcBorders>
            <w:shd w:val="clear" w:color="auto" w:fill="auto"/>
            <w:vAlign w:val="bottom"/>
          </w:tcPr>
          <w:p w14:paraId="47EBD6DD" w14:textId="77777777" w:rsidR="00255D09" w:rsidRPr="003C3893" w:rsidRDefault="00255D09" w:rsidP="00CA7F04">
            <w:pPr>
              <w:jc w:val="right"/>
              <w:rPr>
                <w:rFonts w:ascii="Arial" w:hAnsi="Arial" w:cs="Arial"/>
                <w:b/>
                <w:bCs/>
                <w:color w:val="000000"/>
                <w:sz w:val="17"/>
                <w:szCs w:val="17"/>
              </w:rPr>
            </w:pPr>
            <w:r w:rsidRPr="00F959D0">
              <w:rPr>
                <w:rFonts w:ascii="Arial" w:hAnsi="Arial" w:cs="Arial"/>
                <w:b/>
                <w:bCs/>
                <w:color w:val="000000"/>
                <w:sz w:val="17"/>
                <w:szCs w:val="17"/>
              </w:rPr>
              <w:t>929.841</w:t>
            </w:r>
          </w:p>
        </w:tc>
        <w:tc>
          <w:tcPr>
            <w:tcW w:w="640" w:type="pct"/>
            <w:tcBorders>
              <w:top w:val="single" w:sz="8" w:space="0" w:color="auto"/>
              <w:left w:val="nil"/>
              <w:bottom w:val="single" w:sz="12" w:space="0" w:color="auto"/>
              <w:right w:val="nil"/>
            </w:tcBorders>
            <w:shd w:val="clear" w:color="auto" w:fill="auto"/>
            <w:vAlign w:val="bottom"/>
          </w:tcPr>
          <w:p w14:paraId="3D9EA976" w14:textId="77777777" w:rsidR="00255D09" w:rsidRPr="003C3893" w:rsidRDefault="00255D09" w:rsidP="00CA7F04">
            <w:pPr>
              <w:jc w:val="right"/>
              <w:rPr>
                <w:rFonts w:ascii="Arial" w:hAnsi="Arial" w:cs="Arial"/>
                <w:b/>
                <w:bCs/>
                <w:color w:val="000000"/>
                <w:sz w:val="17"/>
                <w:szCs w:val="17"/>
              </w:rPr>
            </w:pPr>
            <w:r w:rsidRPr="00F959D0">
              <w:rPr>
                <w:rFonts w:ascii="Arial" w:hAnsi="Arial" w:cs="Arial"/>
                <w:b/>
                <w:bCs/>
                <w:color w:val="000000"/>
                <w:sz w:val="17"/>
                <w:szCs w:val="17"/>
              </w:rPr>
              <w:t>1.752.294</w:t>
            </w:r>
          </w:p>
        </w:tc>
        <w:tc>
          <w:tcPr>
            <w:tcW w:w="603" w:type="pct"/>
            <w:tcBorders>
              <w:top w:val="single" w:sz="8" w:space="0" w:color="auto"/>
              <w:left w:val="nil"/>
              <w:bottom w:val="single" w:sz="12" w:space="0" w:color="auto"/>
              <w:right w:val="nil"/>
            </w:tcBorders>
            <w:shd w:val="clear" w:color="auto" w:fill="auto"/>
            <w:vAlign w:val="bottom"/>
          </w:tcPr>
          <w:p w14:paraId="0AD7F128" w14:textId="77777777" w:rsidR="00255D09" w:rsidRPr="003C3893" w:rsidRDefault="00255D09" w:rsidP="00CA7F04">
            <w:pPr>
              <w:jc w:val="right"/>
              <w:rPr>
                <w:rFonts w:ascii="Arial" w:hAnsi="Arial" w:cs="Arial"/>
                <w:b/>
                <w:bCs/>
                <w:color w:val="000000"/>
                <w:sz w:val="17"/>
                <w:szCs w:val="17"/>
              </w:rPr>
            </w:pPr>
            <w:r w:rsidRPr="00F959D0">
              <w:rPr>
                <w:rFonts w:ascii="Arial" w:hAnsi="Arial" w:cs="Arial"/>
                <w:b/>
                <w:bCs/>
                <w:color w:val="000000"/>
                <w:sz w:val="17"/>
                <w:szCs w:val="17"/>
              </w:rPr>
              <w:t>4.018.684</w:t>
            </w:r>
          </w:p>
        </w:tc>
      </w:tr>
      <w:tr w:rsidR="00255D09" w:rsidRPr="005B35F4" w14:paraId="7FF59A08" w14:textId="77777777" w:rsidTr="00CA7F04">
        <w:trPr>
          <w:trHeight w:hRule="exact" w:val="213"/>
        </w:trPr>
        <w:tc>
          <w:tcPr>
            <w:tcW w:w="1517" w:type="pct"/>
            <w:vAlign w:val="bottom"/>
          </w:tcPr>
          <w:p w14:paraId="778ED7F4" w14:textId="77777777" w:rsidR="00255D09" w:rsidRPr="005B35F4" w:rsidRDefault="00255D09" w:rsidP="00CA7F04">
            <w:pPr>
              <w:keepNext/>
              <w:keepLines/>
              <w:tabs>
                <w:tab w:val="decimal" w:pos="1202"/>
              </w:tabs>
              <w:spacing w:line="140" w:lineRule="exact"/>
              <w:rPr>
                <w:rFonts w:ascii="Arial" w:hAnsi="Arial" w:cs="Arial"/>
                <w:b/>
                <w:bCs/>
                <w:color w:val="000000" w:themeColor="text1"/>
                <w:position w:val="4"/>
                <w:sz w:val="17"/>
                <w:szCs w:val="17"/>
              </w:rPr>
            </w:pPr>
          </w:p>
        </w:tc>
        <w:tc>
          <w:tcPr>
            <w:tcW w:w="551" w:type="pct"/>
            <w:tcBorders>
              <w:top w:val="single" w:sz="12" w:space="0" w:color="auto"/>
            </w:tcBorders>
            <w:vAlign w:val="bottom"/>
          </w:tcPr>
          <w:p w14:paraId="3DFFB177" w14:textId="77777777" w:rsidR="00255D09" w:rsidRPr="005B35F4" w:rsidRDefault="00255D09" w:rsidP="00CA7F04">
            <w:pPr>
              <w:keepNext/>
              <w:keepLines/>
              <w:tabs>
                <w:tab w:val="decimal" w:pos="1202"/>
              </w:tabs>
              <w:spacing w:line="140" w:lineRule="exact"/>
              <w:jc w:val="right"/>
              <w:rPr>
                <w:rFonts w:ascii="Arial" w:hAnsi="Arial" w:cs="Arial"/>
                <w:b/>
                <w:bCs/>
                <w:color w:val="000000" w:themeColor="text1"/>
                <w:position w:val="4"/>
                <w:sz w:val="17"/>
                <w:szCs w:val="17"/>
              </w:rPr>
            </w:pPr>
          </w:p>
        </w:tc>
        <w:tc>
          <w:tcPr>
            <w:tcW w:w="546" w:type="pct"/>
            <w:tcBorders>
              <w:top w:val="single" w:sz="12" w:space="0" w:color="auto"/>
            </w:tcBorders>
            <w:vAlign w:val="bottom"/>
          </w:tcPr>
          <w:p w14:paraId="1547E598" w14:textId="77777777" w:rsidR="00255D09" w:rsidRPr="005B35F4" w:rsidRDefault="00255D09" w:rsidP="00CA7F04">
            <w:pPr>
              <w:keepNext/>
              <w:keepLines/>
              <w:tabs>
                <w:tab w:val="decimal" w:pos="1202"/>
              </w:tabs>
              <w:spacing w:line="140" w:lineRule="exact"/>
              <w:jc w:val="right"/>
              <w:rPr>
                <w:rFonts w:ascii="Arial" w:hAnsi="Arial" w:cs="Arial"/>
                <w:b/>
                <w:bCs/>
                <w:color w:val="000000" w:themeColor="text1"/>
                <w:position w:val="4"/>
                <w:sz w:val="17"/>
                <w:szCs w:val="17"/>
              </w:rPr>
            </w:pPr>
          </w:p>
        </w:tc>
        <w:tc>
          <w:tcPr>
            <w:tcW w:w="572" w:type="pct"/>
            <w:tcBorders>
              <w:top w:val="single" w:sz="12" w:space="0" w:color="auto"/>
            </w:tcBorders>
            <w:vAlign w:val="bottom"/>
          </w:tcPr>
          <w:p w14:paraId="023FB703" w14:textId="77777777" w:rsidR="00255D09" w:rsidRPr="005B35F4" w:rsidRDefault="00255D09" w:rsidP="00CA7F04">
            <w:pPr>
              <w:keepNext/>
              <w:keepLines/>
              <w:tabs>
                <w:tab w:val="decimal" w:pos="1202"/>
              </w:tabs>
              <w:spacing w:line="140" w:lineRule="exact"/>
              <w:jc w:val="right"/>
              <w:rPr>
                <w:rFonts w:ascii="Arial" w:hAnsi="Arial" w:cs="Arial"/>
                <w:b/>
                <w:bCs/>
                <w:color w:val="000000" w:themeColor="text1"/>
                <w:position w:val="4"/>
                <w:sz w:val="17"/>
                <w:szCs w:val="17"/>
              </w:rPr>
            </w:pPr>
          </w:p>
        </w:tc>
        <w:tc>
          <w:tcPr>
            <w:tcW w:w="570" w:type="pct"/>
            <w:tcBorders>
              <w:top w:val="single" w:sz="12" w:space="0" w:color="auto"/>
            </w:tcBorders>
            <w:vAlign w:val="bottom"/>
          </w:tcPr>
          <w:p w14:paraId="615CA9CE" w14:textId="77777777" w:rsidR="00255D09" w:rsidRPr="005B35F4" w:rsidRDefault="00255D09" w:rsidP="00CA7F04">
            <w:pPr>
              <w:keepNext/>
              <w:keepLines/>
              <w:tabs>
                <w:tab w:val="decimal" w:pos="1202"/>
              </w:tabs>
              <w:spacing w:line="140" w:lineRule="exact"/>
              <w:jc w:val="right"/>
              <w:rPr>
                <w:rFonts w:ascii="Arial" w:hAnsi="Arial" w:cs="Arial"/>
                <w:b/>
                <w:bCs/>
                <w:color w:val="000000" w:themeColor="text1"/>
                <w:position w:val="4"/>
                <w:sz w:val="17"/>
                <w:szCs w:val="17"/>
              </w:rPr>
            </w:pPr>
          </w:p>
        </w:tc>
        <w:tc>
          <w:tcPr>
            <w:tcW w:w="640" w:type="pct"/>
            <w:tcBorders>
              <w:top w:val="single" w:sz="12" w:space="0" w:color="auto"/>
            </w:tcBorders>
            <w:vAlign w:val="bottom"/>
          </w:tcPr>
          <w:p w14:paraId="3AEB3B20" w14:textId="77777777" w:rsidR="00255D09" w:rsidRPr="005B35F4" w:rsidRDefault="00255D09" w:rsidP="00CA7F04">
            <w:pPr>
              <w:keepNext/>
              <w:keepLines/>
              <w:tabs>
                <w:tab w:val="decimal" w:pos="1202"/>
              </w:tabs>
              <w:spacing w:line="140" w:lineRule="exact"/>
              <w:jc w:val="right"/>
              <w:rPr>
                <w:rFonts w:ascii="Arial" w:hAnsi="Arial" w:cs="Arial"/>
                <w:b/>
                <w:bCs/>
                <w:color w:val="000000" w:themeColor="text1"/>
                <w:position w:val="4"/>
                <w:sz w:val="17"/>
                <w:szCs w:val="17"/>
              </w:rPr>
            </w:pPr>
          </w:p>
        </w:tc>
        <w:tc>
          <w:tcPr>
            <w:tcW w:w="603" w:type="pct"/>
            <w:tcBorders>
              <w:top w:val="single" w:sz="12" w:space="0" w:color="auto"/>
            </w:tcBorders>
            <w:vAlign w:val="bottom"/>
          </w:tcPr>
          <w:p w14:paraId="6D480BB2" w14:textId="77777777" w:rsidR="00255D09" w:rsidRPr="005B35F4" w:rsidRDefault="00255D09" w:rsidP="00CA7F04">
            <w:pPr>
              <w:keepNext/>
              <w:keepLines/>
              <w:tabs>
                <w:tab w:val="decimal" w:pos="1202"/>
              </w:tabs>
              <w:spacing w:line="140" w:lineRule="exact"/>
              <w:jc w:val="right"/>
              <w:rPr>
                <w:rFonts w:ascii="Arial" w:hAnsi="Arial" w:cs="Arial"/>
                <w:b/>
                <w:bCs/>
                <w:color w:val="000000" w:themeColor="text1"/>
                <w:position w:val="4"/>
                <w:sz w:val="17"/>
                <w:szCs w:val="17"/>
              </w:rPr>
            </w:pPr>
          </w:p>
        </w:tc>
      </w:tr>
      <w:tr w:rsidR="00255D09" w:rsidRPr="005B35F4" w14:paraId="4F10C804" w14:textId="77777777" w:rsidTr="00CA7F04">
        <w:trPr>
          <w:trHeight w:val="145"/>
        </w:trPr>
        <w:tc>
          <w:tcPr>
            <w:tcW w:w="1517" w:type="pct"/>
            <w:vAlign w:val="bottom"/>
          </w:tcPr>
          <w:p w14:paraId="0C23142E" w14:textId="77777777" w:rsidR="00255D09" w:rsidRPr="005B35F4" w:rsidRDefault="00255D09" w:rsidP="00CA7F04">
            <w:pPr>
              <w:tabs>
                <w:tab w:val="right" w:pos="1202"/>
              </w:tabs>
              <w:spacing w:line="240" w:lineRule="exact"/>
              <w:outlineLvl w:val="0"/>
              <w:rPr>
                <w:rFonts w:ascii="Arial" w:hAnsi="Arial" w:cs="Arial"/>
                <w:b/>
                <w:bCs/>
                <w:color w:val="000000" w:themeColor="text1"/>
                <w:sz w:val="17"/>
                <w:szCs w:val="17"/>
              </w:rPr>
            </w:pPr>
            <w:r w:rsidRPr="005B35F4">
              <w:rPr>
                <w:rFonts w:ascii="Arial" w:hAnsi="Arial" w:cs="Arial"/>
                <w:b/>
                <w:bCs/>
                <w:color w:val="000000" w:themeColor="text1"/>
                <w:sz w:val="17"/>
                <w:szCs w:val="17"/>
              </w:rPr>
              <w:t>Obveze</w:t>
            </w:r>
          </w:p>
        </w:tc>
        <w:tc>
          <w:tcPr>
            <w:tcW w:w="551" w:type="pct"/>
            <w:vAlign w:val="bottom"/>
          </w:tcPr>
          <w:p w14:paraId="38C9D226" w14:textId="77777777" w:rsidR="00255D09" w:rsidRPr="005B35F4" w:rsidRDefault="00255D09" w:rsidP="00CA7F04">
            <w:pPr>
              <w:spacing w:line="240" w:lineRule="exact"/>
              <w:jc w:val="right"/>
              <w:outlineLvl w:val="0"/>
              <w:rPr>
                <w:rFonts w:ascii="Arial" w:hAnsi="Arial" w:cs="Arial"/>
                <w:color w:val="000000" w:themeColor="text1"/>
                <w:spacing w:val="-2"/>
                <w:sz w:val="17"/>
                <w:szCs w:val="17"/>
              </w:rPr>
            </w:pPr>
          </w:p>
        </w:tc>
        <w:tc>
          <w:tcPr>
            <w:tcW w:w="546" w:type="pct"/>
            <w:vAlign w:val="bottom"/>
          </w:tcPr>
          <w:p w14:paraId="318FC071" w14:textId="77777777" w:rsidR="00255D09" w:rsidRPr="005B35F4" w:rsidRDefault="00255D09" w:rsidP="00CA7F04">
            <w:pPr>
              <w:spacing w:line="240" w:lineRule="exact"/>
              <w:jc w:val="right"/>
              <w:outlineLvl w:val="0"/>
              <w:rPr>
                <w:rFonts w:ascii="Arial" w:hAnsi="Arial" w:cs="Arial"/>
                <w:color w:val="000000" w:themeColor="text1"/>
                <w:spacing w:val="-2"/>
                <w:sz w:val="17"/>
                <w:szCs w:val="17"/>
              </w:rPr>
            </w:pPr>
          </w:p>
        </w:tc>
        <w:tc>
          <w:tcPr>
            <w:tcW w:w="572" w:type="pct"/>
            <w:vAlign w:val="bottom"/>
          </w:tcPr>
          <w:p w14:paraId="72D67136" w14:textId="77777777" w:rsidR="00255D09" w:rsidRPr="005B35F4" w:rsidRDefault="00255D09" w:rsidP="00CA7F04">
            <w:pPr>
              <w:spacing w:line="240" w:lineRule="exact"/>
              <w:jc w:val="right"/>
              <w:outlineLvl w:val="0"/>
              <w:rPr>
                <w:rFonts w:ascii="Arial" w:hAnsi="Arial" w:cs="Arial"/>
                <w:color w:val="000000" w:themeColor="text1"/>
                <w:spacing w:val="-2"/>
                <w:sz w:val="17"/>
                <w:szCs w:val="17"/>
              </w:rPr>
            </w:pPr>
          </w:p>
        </w:tc>
        <w:tc>
          <w:tcPr>
            <w:tcW w:w="570" w:type="pct"/>
            <w:vAlign w:val="bottom"/>
          </w:tcPr>
          <w:p w14:paraId="27C20D5E" w14:textId="77777777" w:rsidR="00255D09" w:rsidRPr="005B35F4" w:rsidRDefault="00255D09" w:rsidP="00CA7F04">
            <w:pPr>
              <w:spacing w:line="240" w:lineRule="exact"/>
              <w:jc w:val="right"/>
              <w:outlineLvl w:val="0"/>
              <w:rPr>
                <w:rFonts w:ascii="Arial" w:hAnsi="Arial" w:cs="Arial"/>
                <w:color w:val="000000" w:themeColor="text1"/>
                <w:spacing w:val="-2"/>
                <w:sz w:val="17"/>
                <w:szCs w:val="17"/>
              </w:rPr>
            </w:pPr>
          </w:p>
        </w:tc>
        <w:tc>
          <w:tcPr>
            <w:tcW w:w="640" w:type="pct"/>
            <w:vAlign w:val="bottom"/>
          </w:tcPr>
          <w:p w14:paraId="5A87A697" w14:textId="77777777" w:rsidR="00255D09" w:rsidRPr="005B35F4" w:rsidRDefault="00255D09" w:rsidP="00CA7F04">
            <w:pPr>
              <w:spacing w:line="240" w:lineRule="exact"/>
              <w:jc w:val="right"/>
              <w:outlineLvl w:val="0"/>
              <w:rPr>
                <w:rFonts w:ascii="Arial" w:hAnsi="Arial" w:cs="Arial"/>
                <w:color w:val="000000" w:themeColor="text1"/>
                <w:spacing w:val="-2"/>
                <w:sz w:val="17"/>
                <w:szCs w:val="17"/>
              </w:rPr>
            </w:pPr>
          </w:p>
        </w:tc>
        <w:tc>
          <w:tcPr>
            <w:tcW w:w="603" w:type="pct"/>
            <w:vAlign w:val="bottom"/>
          </w:tcPr>
          <w:p w14:paraId="210EC7B9" w14:textId="77777777" w:rsidR="00255D09" w:rsidRPr="005B35F4" w:rsidRDefault="00255D09" w:rsidP="00CA7F04">
            <w:pPr>
              <w:spacing w:line="240" w:lineRule="exact"/>
              <w:jc w:val="right"/>
              <w:outlineLvl w:val="0"/>
              <w:rPr>
                <w:rFonts w:ascii="Arial" w:hAnsi="Arial" w:cs="Arial"/>
                <w:color w:val="000000" w:themeColor="text1"/>
                <w:spacing w:val="-2"/>
                <w:sz w:val="17"/>
                <w:szCs w:val="17"/>
              </w:rPr>
            </w:pPr>
          </w:p>
        </w:tc>
      </w:tr>
      <w:tr w:rsidR="00255D09" w:rsidRPr="005B35F4" w14:paraId="0E7CA16A" w14:textId="77777777" w:rsidTr="00CA7F04">
        <w:trPr>
          <w:trHeight w:val="152"/>
        </w:trPr>
        <w:tc>
          <w:tcPr>
            <w:tcW w:w="1517" w:type="pct"/>
            <w:vAlign w:val="bottom"/>
          </w:tcPr>
          <w:p w14:paraId="51D62A0D" w14:textId="77777777" w:rsidR="00255D09" w:rsidRPr="005B35F4" w:rsidRDefault="00255D09" w:rsidP="00CA7F04">
            <w:pPr>
              <w:tabs>
                <w:tab w:val="right" w:pos="1202"/>
              </w:tabs>
              <w:spacing w:line="240" w:lineRule="exact"/>
              <w:outlineLvl w:val="0"/>
              <w:rPr>
                <w:rFonts w:ascii="Arial" w:hAnsi="Arial" w:cs="Arial"/>
                <w:color w:val="000000" w:themeColor="text1"/>
                <w:sz w:val="17"/>
                <w:szCs w:val="17"/>
              </w:rPr>
            </w:pPr>
            <w:r w:rsidRPr="005B35F4">
              <w:rPr>
                <w:rFonts w:ascii="Arial" w:hAnsi="Arial" w:cs="Arial"/>
                <w:color w:val="000000" w:themeColor="text1"/>
                <w:spacing w:val="-2"/>
                <w:sz w:val="17"/>
                <w:szCs w:val="17"/>
              </w:rPr>
              <w:t>Obveze po depozitima</w:t>
            </w:r>
          </w:p>
        </w:tc>
        <w:tc>
          <w:tcPr>
            <w:tcW w:w="551" w:type="pct"/>
            <w:tcBorders>
              <w:top w:val="nil"/>
              <w:left w:val="nil"/>
              <w:bottom w:val="nil"/>
              <w:right w:val="nil"/>
            </w:tcBorders>
            <w:shd w:val="clear" w:color="auto" w:fill="auto"/>
            <w:vAlign w:val="bottom"/>
          </w:tcPr>
          <w:p w14:paraId="20182471"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148.059</w:t>
            </w:r>
          </w:p>
        </w:tc>
        <w:tc>
          <w:tcPr>
            <w:tcW w:w="546" w:type="pct"/>
            <w:tcBorders>
              <w:top w:val="nil"/>
              <w:left w:val="nil"/>
              <w:bottom w:val="nil"/>
              <w:right w:val="nil"/>
            </w:tcBorders>
            <w:shd w:val="clear" w:color="auto" w:fill="auto"/>
            <w:vAlign w:val="bottom"/>
          </w:tcPr>
          <w:p w14:paraId="593AD638"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12.586</w:t>
            </w:r>
          </w:p>
        </w:tc>
        <w:tc>
          <w:tcPr>
            <w:tcW w:w="572" w:type="pct"/>
            <w:tcBorders>
              <w:top w:val="nil"/>
              <w:left w:val="nil"/>
              <w:bottom w:val="nil"/>
              <w:right w:val="nil"/>
            </w:tcBorders>
            <w:shd w:val="clear" w:color="auto" w:fill="auto"/>
            <w:vAlign w:val="bottom"/>
          </w:tcPr>
          <w:p w14:paraId="41391403"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18.604</w:t>
            </w:r>
          </w:p>
        </w:tc>
        <w:tc>
          <w:tcPr>
            <w:tcW w:w="570" w:type="pct"/>
            <w:tcBorders>
              <w:top w:val="nil"/>
              <w:left w:val="nil"/>
              <w:bottom w:val="nil"/>
              <w:right w:val="nil"/>
            </w:tcBorders>
            <w:shd w:val="clear" w:color="auto" w:fill="auto"/>
            <w:vAlign w:val="bottom"/>
          </w:tcPr>
          <w:p w14:paraId="45C17F9F"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46</w:t>
            </w:r>
          </w:p>
        </w:tc>
        <w:tc>
          <w:tcPr>
            <w:tcW w:w="640" w:type="pct"/>
            <w:tcBorders>
              <w:top w:val="nil"/>
              <w:left w:val="nil"/>
              <w:bottom w:val="nil"/>
              <w:right w:val="nil"/>
            </w:tcBorders>
            <w:shd w:val="clear" w:color="auto" w:fill="auto"/>
            <w:vAlign w:val="bottom"/>
          </w:tcPr>
          <w:p w14:paraId="2B49CA02"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15.581</w:t>
            </w:r>
          </w:p>
        </w:tc>
        <w:tc>
          <w:tcPr>
            <w:tcW w:w="603" w:type="pct"/>
            <w:tcBorders>
              <w:top w:val="nil"/>
              <w:left w:val="nil"/>
              <w:bottom w:val="nil"/>
              <w:right w:val="nil"/>
            </w:tcBorders>
            <w:shd w:val="clear" w:color="auto" w:fill="auto"/>
            <w:vAlign w:val="bottom"/>
          </w:tcPr>
          <w:p w14:paraId="48D780FF"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194.876</w:t>
            </w:r>
          </w:p>
        </w:tc>
      </w:tr>
      <w:tr w:rsidR="00255D09" w:rsidRPr="005B35F4" w14:paraId="26B56F76" w14:textId="77777777" w:rsidTr="00CA7F04">
        <w:trPr>
          <w:trHeight w:val="80"/>
        </w:trPr>
        <w:tc>
          <w:tcPr>
            <w:tcW w:w="1517" w:type="pct"/>
            <w:vAlign w:val="bottom"/>
          </w:tcPr>
          <w:p w14:paraId="5E490CC3" w14:textId="77777777" w:rsidR="00255D09" w:rsidRPr="005B35F4" w:rsidRDefault="00255D09" w:rsidP="00CA7F04">
            <w:pPr>
              <w:tabs>
                <w:tab w:val="right" w:pos="1202"/>
              </w:tabs>
              <w:spacing w:line="240" w:lineRule="exact"/>
              <w:outlineLvl w:val="0"/>
              <w:rPr>
                <w:rFonts w:ascii="Arial" w:hAnsi="Arial" w:cs="Arial"/>
                <w:color w:val="000000" w:themeColor="text1"/>
                <w:sz w:val="17"/>
                <w:szCs w:val="17"/>
              </w:rPr>
            </w:pPr>
            <w:r w:rsidRPr="005B35F4">
              <w:rPr>
                <w:rFonts w:ascii="Arial" w:hAnsi="Arial" w:cs="Arial"/>
                <w:color w:val="000000" w:themeColor="text1"/>
                <w:spacing w:val="-2"/>
                <w:sz w:val="17"/>
                <w:szCs w:val="17"/>
              </w:rPr>
              <w:t>Obveze po kreditima</w:t>
            </w:r>
          </w:p>
        </w:tc>
        <w:tc>
          <w:tcPr>
            <w:tcW w:w="551" w:type="pct"/>
            <w:tcBorders>
              <w:top w:val="nil"/>
              <w:left w:val="nil"/>
              <w:bottom w:val="nil"/>
              <w:right w:val="nil"/>
            </w:tcBorders>
            <w:shd w:val="clear" w:color="auto" w:fill="auto"/>
            <w:vAlign w:val="bottom"/>
          </w:tcPr>
          <w:p w14:paraId="337B89F4"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59.784</w:t>
            </w:r>
          </w:p>
        </w:tc>
        <w:tc>
          <w:tcPr>
            <w:tcW w:w="546" w:type="pct"/>
            <w:tcBorders>
              <w:top w:val="nil"/>
              <w:left w:val="nil"/>
              <w:bottom w:val="nil"/>
              <w:right w:val="nil"/>
            </w:tcBorders>
            <w:shd w:val="clear" w:color="auto" w:fill="auto"/>
            <w:vAlign w:val="bottom"/>
          </w:tcPr>
          <w:p w14:paraId="25682BCF"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167.701</w:t>
            </w:r>
            <w:r>
              <w:rPr>
                <w:rFonts w:ascii="Arial" w:hAnsi="Arial" w:cs="Arial"/>
                <w:color w:val="000000"/>
                <w:sz w:val="17"/>
                <w:szCs w:val="17"/>
              </w:rPr>
              <w:t>**</w:t>
            </w:r>
          </w:p>
        </w:tc>
        <w:tc>
          <w:tcPr>
            <w:tcW w:w="572" w:type="pct"/>
            <w:tcBorders>
              <w:top w:val="nil"/>
              <w:left w:val="nil"/>
              <w:bottom w:val="nil"/>
              <w:right w:val="nil"/>
            </w:tcBorders>
            <w:shd w:val="clear" w:color="auto" w:fill="auto"/>
            <w:vAlign w:val="bottom"/>
          </w:tcPr>
          <w:p w14:paraId="286579B2"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262.67</w:t>
            </w:r>
            <w:r>
              <w:rPr>
                <w:rFonts w:ascii="Arial" w:hAnsi="Arial" w:cs="Arial"/>
                <w:color w:val="000000"/>
                <w:sz w:val="17"/>
                <w:szCs w:val="17"/>
              </w:rPr>
              <w:t>0</w:t>
            </w:r>
          </w:p>
        </w:tc>
        <w:tc>
          <w:tcPr>
            <w:tcW w:w="570" w:type="pct"/>
            <w:tcBorders>
              <w:top w:val="nil"/>
              <w:left w:val="nil"/>
              <w:bottom w:val="nil"/>
              <w:right w:val="nil"/>
            </w:tcBorders>
            <w:shd w:val="clear" w:color="auto" w:fill="auto"/>
            <w:vAlign w:val="bottom"/>
          </w:tcPr>
          <w:p w14:paraId="57FA5ECE"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640.802</w:t>
            </w:r>
          </w:p>
        </w:tc>
        <w:tc>
          <w:tcPr>
            <w:tcW w:w="640" w:type="pct"/>
            <w:tcBorders>
              <w:top w:val="nil"/>
              <w:left w:val="nil"/>
              <w:bottom w:val="nil"/>
              <w:right w:val="nil"/>
            </w:tcBorders>
            <w:shd w:val="clear" w:color="auto" w:fill="auto"/>
            <w:vAlign w:val="bottom"/>
          </w:tcPr>
          <w:p w14:paraId="3B13E711"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1.120.219</w:t>
            </w:r>
          </w:p>
        </w:tc>
        <w:tc>
          <w:tcPr>
            <w:tcW w:w="603" w:type="pct"/>
            <w:tcBorders>
              <w:top w:val="nil"/>
              <w:left w:val="nil"/>
              <w:bottom w:val="nil"/>
              <w:right w:val="nil"/>
            </w:tcBorders>
            <w:shd w:val="clear" w:color="auto" w:fill="auto"/>
            <w:vAlign w:val="bottom"/>
          </w:tcPr>
          <w:p w14:paraId="0594560A"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2.251.17</w:t>
            </w:r>
            <w:r>
              <w:rPr>
                <w:rFonts w:ascii="Arial" w:hAnsi="Arial" w:cs="Arial"/>
                <w:color w:val="000000"/>
                <w:sz w:val="17"/>
                <w:szCs w:val="17"/>
              </w:rPr>
              <w:t>6</w:t>
            </w:r>
          </w:p>
        </w:tc>
      </w:tr>
      <w:tr w:rsidR="00255D09" w:rsidRPr="005B35F4" w14:paraId="7C56C77A" w14:textId="77777777" w:rsidTr="00CA7F04">
        <w:trPr>
          <w:trHeight w:val="293"/>
        </w:trPr>
        <w:tc>
          <w:tcPr>
            <w:tcW w:w="1517" w:type="pct"/>
            <w:vAlign w:val="bottom"/>
          </w:tcPr>
          <w:p w14:paraId="1981D3B1" w14:textId="77777777" w:rsidR="00255D09" w:rsidRPr="005B35F4" w:rsidRDefault="00255D09" w:rsidP="00CA7F04">
            <w:pPr>
              <w:tabs>
                <w:tab w:val="right" w:pos="1202"/>
              </w:tabs>
              <w:spacing w:line="240" w:lineRule="exact"/>
              <w:outlineLvl w:val="0"/>
              <w:rPr>
                <w:rFonts w:ascii="Arial" w:hAnsi="Arial" w:cs="Arial"/>
                <w:color w:val="000000" w:themeColor="text1"/>
                <w:spacing w:val="-2"/>
                <w:sz w:val="17"/>
                <w:szCs w:val="17"/>
              </w:rPr>
            </w:pPr>
            <w:r w:rsidRPr="005B35F4">
              <w:rPr>
                <w:rFonts w:ascii="Arial" w:hAnsi="Arial" w:cs="Arial"/>
                <w:color w:val="000000" w:themeColor="text1"/>
                <w:spacing w:val="-2"/>
                <w:sz w:val="17"/>
                <w:szCs w:val="17"/>
              </w:rPr>
              <w:t>Rezerviranja za garancije, preuzete i ostale obveze</w:t>
            </w:r>
          </w:p>
        </w:tc>
        <w:tc>
          <w:tcPr>
            <w:tcW w:w="551" w:type="pct"/>
            <w:tcBorders>
              <w:top w:val="nil"/>
              <w:left w:val="nil"/>
              <w:bottom w:val="nil"/>
              <w:right w:val="nil"/>
            </w:tcBorders>
            <w:shd w:val="clear" w:color="auto" w:fill="auto"/>
            <w:vAlign w:val="bottom"/>
          </w:tcPr>
          <w:p w14:paraId="24A2EE44" w14:textId="77777777" w:rsidR="00255D09" w:rsidRPr="005B35F4" w:rsidDel="00F864B4" w:rsidRDefault="00255D09" w:rsidP="00CA7F04">
            <w:pPr>
              <w:jc w:val="right"/>
              <w:rPr>
                <w:rFonts w:ascii="Arial" w:hAnsi="Arial" w:cs="Arial"/>
                <w:color w:val="000000"/>
                <w:sz w:val="17"/>
                <w:szCs w:val="17"/>
              </w:rPr>
            </w:pPr>
            <w:r w:rsidRPr="00F959D0">
              <w:rPr>
                <w:rFonts w:ascii="Arial" w:hAnsi="Arial" w:cs="Arial"/>
                <w:color w:val="000000"/>
                <w:sz w:val="17"/>
                <w:szCs w:val="17"/>
              </w:rPr>
              <w:t>10.561</w:t>
            </w:r>
          </w:p>
        </w:tc>
        <w:tc>
          <w:tcPr>
            <w:tcW w:w="546" w:type="pct"/>
            <w:tcBorders>
              <w:top w:val="nil"/>
              <w:left w:val="nil"/>
              <w:bottom w:val="nil"/>
              <w:right w:val="nil"/>
            </w:tcBorders>
            <w:shd w:val="clear" w:color="auto" w:fill="auto"/>
            <w:vAlign w:val="bottom"/>
          </w:tcPr>
          <w:p w14:paraId="199B6CB0" w14:textId="77777777" w:rsidR="00255D09" w:rsidRPr="005B35F4" w:rsidDel="00F864B4" w:rsidRDefault="00255D09" w:rsidP="00CA7F04">
            <w:pPr>
              <w:jc w:val="right"/>
              <w:rPr>
                <w:rFonts w:ascii="Arial" w:hAnsi="Arial" w:cs="Arial"/>
                <w:color w:val="000000"/>
                <w:sz w:val="17"/>
                <w:szCs w:val="17"/>
              </w:rPr>
            </w:pPr>
            <w:r w:rsidRPr="00F959D0">
              <w:rPr>
                <w:rFonts w:ascii="Arial" w:hAnsi="Arial" w:cs="Arial"/>
                <w:color w:val="000000"/>
                <w:sz w:val="17"/>
                <w:szCs w:val="17"/>
              </w:rPr>
              <w:t>851</w:t>
            </w:r>
          </w:p>
        </w:tc>
        <w:tc>
          <w:tcPr>
            <w:tcW w:w="572" w:type="pct"/>
            <w:tcBorders>
              <w:top w:val="nil"/>
              <w:left w:val="nil"/>
              <w:bottom w:val="nil"/>
              <w:right w:val="nil"/>
            </w:tcBorders>
            <w:shd w:val="clear" w:color="auto" w:fill="auto"/>
            <w:vAlign w:val="bottom"/>
          </w:tcPr>
          <w:p w14:paraId="7AA56870" w14:textId="77777777" w:rsidR="00255D09" w:rsidRPr="005B35F4" w:rsidDel="00F864B4" w:rsidRDefault="00255D09" w:rsidP="00CA7F04">
            <w:pPr>
              <w:jc w:val="right"/>
              <w:rPr>
                <w:rFonts w:ascii="Arial" w:hAnsi="Arial" w:cs="Arial"/>
                <w:color w:val="000000"/>
                <w:sz w:val="17"/>
                <w:szCs w:val="17"/>
              </w:rPr>
            </w:pPr>
            <w:r w:rsidRPr="00F959D0">
              <w:rPr>
                <w:rFonts w:ascii="Arial" w:hAnsi="Arial" w:cs="Arial"/>
                <w:color w:val="000000"/>
                <w:sz w:val="17"/>
                <w:szCs w:val="17"/>
              </w:rPr>
              <w:t>3.203</w:t>
            </w:r>
          </w:p>
        </w:tc>
        <w:tc>
          <w:tcPr>
            <w:tcW w:w="570" w:type="pct"/>
            <w:tcBorders>
              <w:top w:val="nil"/>
              <w:left w:val="nil"/>
              <w:bottom w:val="nil"/>
              <w:right w:val="nil"/>
            </w:tcBorders>
            <w:shd w:val="clear" w:color="auto" w:fill="auto"/>
            <w:vAlign w:val="bottom"/>
          </w:tcPr>
          <w:p w14:paraId="36A47BFC" w14:textId="77777777" w:rsidR="00255D09" w:rsidRPr="005B35F4" w:rsidDel="00F864B4" w:rsidRDefault="00255D09" w:rsidP="00CA7F04">
            <w:pPr>
              <w:jc w:val="right"/>
              <w:rPr>
                <w:rFonts w:ascii="Arial" w:hAnsi="Arial" w:cs="Arial"/>
                <w:color w:val="000000"/>
                <w:sz w:val="17"/>
                <w:szCs w:val="17"/>
              </w:rPr>
            </w:pPr>
            <w:r w:rsidRPr="00F959D0">
              <w:rPr>
                <w:rFonts w:ascii="Arial" w:hAnsi="Arial" w:cs="Arial"/>
                <w:color w:val="000000"/>
                <w:sz w:val="17"/>
                <w:szCs w:val="17"/>
              </w:rPr>
              <w:t>6.343</w:t>
            </w:r>
          </w:p>
        </w:tc>
        <w:tc>
          <w:tcPr>
            <w:tcW w:w="640" w:type="pct"/>
            <w:tcBorders>
              <w:top w:val="nil"/>
              <w:left w:val="nil"/>
              <w:bottom w:val="nil"/>
              <w:right w:val="nil"/>
            </w:tcBorders>
            <w:shd w:val="clear" w:color="auto" w:fill="auto"/>
            <w:vAlign w:val="bottom"/>
          </w:tcPr>
          <w:p w14:paraId="5F355095" w14:textId="77777777" w:rsidR="00255D09" w:rsidRPr="005B35F4" w:rsidDel="00F864B4" w:rsidRDefault="00255D09" w:rsidP="00CA7F04">
            <w:pPr>
              <w:jc w:val="right"/>
              <w:rPr>
                <w:rFonts w:ascii="Arial" w:hAnsi="Arial" w:cs="Arial"/>
                <w:color w:val="000000"/>
                <w:sz w:val="17"/>
                <w:szCs w:val="17"/>
              </w:rPr>
            </w:pPr>
            <w:r w:rsidRPr="00F959D0">
              <w:rPr>
                <w:rFonts w:ascii="Arial" w:hAnsi="Arial" w:cs="Arial"/>
                <w:color w:val="000000"/>
                <w:sz w:val="17"/>
                <w:szCs w:val="17"/>
              </w:rPr>
              <w:t>3.422</w:t>
            </w:r>
          </w:p>
        </w:tc>
        <w:tc>
          <w:tcPr>
            <w:tcW w:w="603" w:type="pct"/>
            <w:tcBorders>
              <w:top w:val="nil"/>
              <w:left w:val="nil"/>
              <w:bottom w:val="nil"/>
              <w:right w:val="nil"/>
            </w:tcBorders>
            <w:shd w:val="clear" w:color="auto" w:fill="auto"/>
            <w:vAlign w:val="bottom"/>
          </w:tcPr>
          <w:p w14:paraId="1B613C66" w14:textId="77777777" w:rsidR="00255D09" w:rsidRPr="005B35F4" w:rsidDel="00F864B4" w:rsidRDefault="00255D09" w:rsidP="00CA7F04">
            <w:pPr>
              <w:jc w:val="right"/>
              <w:rPr>
                <w:rFonts w:ascii="Arial" w:hAnsi="Arial" w:cs="Arial"/>
                <w:color w:val="000000"/>
                <w:sz w:val="17"/>
                <w:szCs w:val="17"/>
              </w:rPr>
            </w:pPr>
            <w:r w:rsidRPr="00F959D0">
              <w:rPr>
                <w:rFonts w:ascii="Arial" w:hAnsi="Arial" w:cs="Arial"/>
                <w:color w:val="000000"/>
                <w:sz w:val="17"/>
                <w:szCs w:val="17"/>
              </w:rPr>
              <w:t>24.380</w:t>
            </w:r>
          </w:p>
        </w:tc>
      </w:tr>
      <w:tr w:rsidR="00255D09" w:rsidRPr="005B35F4" w14:paraId="340510C9" w14:textId="77777777" w:rsidTr="00CA7F04">
        <w:trPr>
          <w:trHeight w:val="137"/>
        </w:trPr>
        <w:tc>
          <w:tcPr>
            <w:tcW w:w="1517" w:type="pct"/>
            <w:vAlign w:val="bottom"/>
          </w:tcPr>
          <w:p w14:paraId="282F9CE4" w14:textId="77777777" w:rsidR="00255D09" w:rsidRPr="005B35F4" w:rsidRDefault="00255D09" w:rsidP="00CA7F04">
            <w:pPr>
              <w:tabs>
                <w:tab w:val="right" w:pos="1202"/>
              </w:tabs>
              <w:spacing w:line="240" w:lineRule="exact"/>
              <w:outlineLvl w:val="0"/>
              <w:rPr>
                <w:rFonts w:ascii="Arial" w:hAnsi="Arial" w:cs="Arial"/>
                <w:color w:val="000000" w:themeColor="text1"/>
                <w:sz w:val="17"/>
                <w:szCs w:val="17"/>
              </w:rPr>
            </w:pPr>
            <w:r w:rsidRPr="005B35F4">
              <w:rPr>
                <w:rFonts w:ascii="Arial" w:hAnsi="Arial" w:cs="Arial"/>
                <w:color w:val="000000" w:themeColor="text1"/>
                <w:spacing w:val="-2"/>
                <w:sz w:val="17"/>
                <w:szCs w:val="17"/>
              </w:rPr>
              <w:t>Ostale obveze</w:t>
            </w:r>
          </w:p>
        </w:tc>
        <w:tc>
          <w:tcPr>
            <w:tcW w:w="551" w:type="pct"/>
            <w:tcBorders>
              <w:top w:val="nil"/>
              <w:left w:val="nil"/>
              <w:bottom w:val="nil"/>
              <w:right w:val="nil"/>
            </w:tcBorders>
            <w:shd w:val="clear" w:color="auto" w:fill="auto"/>
            <w:vAlign w:val="bottom"/>
          </w:tcPr>
          <w:p w14:paraId="45A29D30"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39.304</w:t>
            </w:r>
          </w:p>
        </w:tc>
        <w:tc>
          <w:tcPr>
            <w:tcW w:w="546" w:type="pct"/>
            <w:tcBorders>
              <w:top w:val="nil"/>
              <w:left w:val="nil"/>
              <w:bottom w:val="nil"/>
              <w:right w:val="nil"/>
            </w:tcBorders>
            <w:shd w:val="clear" w:color="auto" w:fill="auto"/>
            <w:vAlign w:val="bottom"/>
          </w:tcPr>
          <w:p w14:paraId="0A75036C"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3.167</w:t>
            </w:r>
          </w:p>
        </w:tc>
        <w:tc>
          <w:tcPr>
            <w:tcW w:w="572" w:type="pct"/>
            <w:tcBorders>
              <w:top w:val="nil"/>
              <w:left w:val="nil"/>
              <w:bottom w:val="nil"/>
              <w:right w:val="nil"/>
            </w:tcBorders>
            <w:shd w:val="clear" w:color="auto" w:fill="auto"/>
            <w:vAlign w:val="bottom"/>
          </w:tcPr>
          <w:p w14:paraId="4610F690"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11.921</w:t>
            </w:r>
          </w:p>
        </w:tc>
        <w:tc>
          <w:tcPr>
            <w:tcW w:w="570" w:type="pct"/>
            <w:tcBorders>
              <w:top w:val="nil"/>
              <w:left w:val="nil"/>
              <w:bottom w:val="nil"/>
              <w:right w:val="nil"/>
            </w:tcBorders>
            <w:shd w:val="clear" w:color="auto" w:fill="auto"/>
            <w:vAlign w:val="bottom"/>
          </w:tcPr>
          <w:p w14:paraId="13CFD239"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23.605</w:t>
            </w:r>
          </w:p>
        </w:tc>
        <w:tc>
          <w:tcPr>
            <w:tcW w:w="640" w:type="pct"/>
            <w:tcBorders>
              <w:top w:val="nil"/>
              <w:left w:val="nil"/>
              <w:bottom w:val="nil"/>
              <w:right w:val="nil"/>
            </w:tcBorders>
            <w:shd w:val="clear" w:color="auto" w:fill="auto"/>
            <w:vAlign w:val="bottom"/>
          </w:tcPr>
          <w:p w14:paraId="26C09B5E"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12.732</w:t>
            </w:r>
          </w:p>
        </w:tc>
        <w:tc>
          <w:tcPr>
            <w:tcW w:w="603" w:type="pct"/>
            <w:tcBorders>
              <w:top w:val="nil"/>
              <w:left w:val="nil"/>
              <w:bottom w:val="nil"/>
              <w:right w:val="nil"/>
            </w:tcBorders>
            <w:shd w:val="clear" w:color="auto" w:fill="auto"/>
            <w:vAlign w:val="bottom"/>
          </w:tcPr>
          <w:p w14:paraId="461523A3"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90.729</w:t>
            </w:r>
          </w:p>
        </w:tc>
      </w:tr>
      <w:tr w:rsidR="00255D09" w:rsidRPr="005B35F4" w14:paraId="2B20C4B0" w14:textId="77777777" w:rsidTr="00CA7F04">
        <w:trPr>
          <w:trHeight w:val="145"/>
        </w:trPr>
        <w:tc>
          <w:tcPr>
            <w:tcW w:w="1517" w:type="pct"/>
          </w:tcPr>
          <w:p w14:paraId="4161D06D" w14:textId="77777777" w:rsidR="00255D09" w:rsidRPr="005B35F4" w:rsidRDefault="00255D09" w:rsidP="00CA7F04">
            <w:pPr>
              <w:tabs>
                <w:tab w:val="right" w:pos="1202"/>
              </w:tabs>
              <w:spacing w:line="240" w:lineRule="exact"/>
              <w:outlineLvl w:val="0"/>
              <w:rPr>
                <w:rFonts w:ascii="Arial" w:hAnsi="Arial" w:cs="Arial"/>
                <w:b/>
                <w:bCs/>
                <w:color w:val="000000" w:themeColor="text1"/>
                <w:sz w:val="17"/>
                <w:szCs w:val="17"/>
              </w:rPr>
            </w:pPr>
            <w:r w:rsidRPr="005B35F4">
              <w:rPr>
                <w:rFonts w:ascii="Arial" w:hAnsi="Arial" w:cs="Arial"/>
                <w:b/>
                <w:bCs/>
                <w:color w:val="000000" w:themeColor="text1"/>
                <w:sz w:val="17"/>
                <w:szCs w:val="17"/>
              </w:rPr>
              <w:t>Ukupne obveze</w:t>
            </w:r>
          </w:p>
        </w:tc>
        <w:tc>
          <w:tcPr>
            <w:tcW w:w="551" w:type="pct"/>
            <w:tcBorders>
              <w:top w:val="single" w:sz="8" w:space="0" w:color="auto"/>
              <w:left w:val="nil"/>
              <w:bottom w:val="single" w:sz="8" w:space="0" w:color="auto"/>
              <w:right w:val="nil"/>
            </w:tcBorders>
            <w:shd w:val="clear" w:color="auto" w:fill="auto"/>
            <w:vAlign w:val="bottom"/>
          </w:tcPr>
          <w:p w14:paraId="6085C488" w14:textId="77777777" w:rsidR="00255D09" w:rsidRPr="003C3893" w:rsidRDefault="00255D09" w:rsidP="00CA7F04">
            <w:pPr>
              <w:jc w:val="right"/>
              <w:rPr>
                <w:rFonts w:ascii="Arial" w:hAnsi="Arial" w:cs="Arial"/>
                <w:b/>
                <w:bCs/>
                <w:color w:val="000000"/>
                <w:sz w:val="17"/>
                <w:szCs w:val="17"/>
              </w:rPr>
            </w:pPr>
            <w:r w:rsidRPr="00F959D0">
              <w:rPr>
                <w:rFonts w:ascii="Arial" w:hAnsi="Arial" w:cs="Arial"/>
                <w:b/>
                <w:bCs/>
                <w:color w:val="000000"/>
                <w:sz w:val="17"/>
                <w:szCs w:val="17"/>
              </w:rPr>
              <w:t>257.708</w:t>
            </w:r>
          </w:p>
        </w:tc>
        <w:tc>
          <w:tcPr>
            <w:tcW w:w="546" w:type="pct"/>
            <w:tcBorders>
              <w:top w:val="single" w:sz="8" w:space="0" w:color="auto"/>
              <w:left w:val="nil"/>
              <w:bottom w:val="single" w:sz="8" w:space="0" w:color="auto"/>
              <w:right w:val="nil"/>
            </w:tcBorders>
            <w:shd w:val="clear" w:color="auto" w:fill="auto"/>
            <w:vAlign w:val="bottom"/>
          </w:tcPr>
          <w:p w14:paraId="06D17492" w14:textId="77777777" w:rsidR="00255D09" w:rsidRPr="003C3893" w:rsidRDefault="00255D09" w:rsidP="00CA7F04">
            <w:pPr>
              <w:jc w:val="right"/>
              <w:rPr>
                <w:rFonts w:ascii="Arial" w:hAnsi="Arial" w:cs="Arial"/>
                <w:b/>
                <w:bCs/>
                <w:color w:val="000000"/>
                <w:sz w:val="17"/>
                <w:szCs w:val="17"/>
              </w:rPr>
            </w:pPr>
            <w:r w:rsidRPr="00F959D0">
              <w:rPr>
                <w:rFonts w:ascii="Arial" w:hAnsi="Arial" w:cs="Arial"/>
                <w:b/>
                <w:bCs/>
                <w:color w:val="000000"/>
                <w:sz w:val="17"/>
                <w:szCs w:val="17"/>
              </w:rPr>
              <w:t>184.305</w:t>
            </w:r>
          </w:p>
        </w:tc>
        <w:tc>
          <w:tcPr>
            <w:tcW w:w="572" w:type="pct"/>
            <w:tcBorders>
              <w:top w:val="single" w:sz="8" w:space="0" w:color="auto"/>
              <w:left w:val="nil"/>
              <w:bottom w:val="single" w:sz="8" w:space="0" w:color="auto"/>
              <w:right w:val="nil"/>
            </w:tcBorders>
            <w:shd w:val="clear" w:color="auto" w:fill="auto"/>
            <w:vAlign w:val="bottom"/>
          </w:tcPr>
          <w:p w14:paraId="2C71AC61" w14:textId="77777777" w:rsidR="00255D09" w:rsidRPr="003C3893" w:rsidRDefault="00255D09" w:rsidP="00CA7F04">
            <w:pPr>
              <w:jc w:val="right"/>
              <w:rPr>
                <w:rFonts w:ascii="Arial" w:hAnsi="Arial" w:cs="Arial"/>
                <w:b/>
                <w:bCs/>
                <w:color w:val="000000"/>
                <w:sz w:val="17"/>
                <w:szCs w:val="17"/>
              </w:rPr>
            </w:pPr>
            <w:r w:rsidRPr="00F959D0">
              <w:rPr>
                <w:rFonts w:ascii="Arial" w:hAnsi="Arial" w:cs="Arial"/>
                <w:b/>
                <w:bCs/>
                <w:color w:val="000000"/>
                <w:sz w:val="17"/>
                <w:szCs w:val="17"/>
              </w:rPr>
              <w:t>296.39</w:t>
            </w:r>
            <w:r>
              <w:rPr>
                <w:rFonts w:ascii="Arial" w:hAnsi="Arial" w:cs="Arial"/>
                <w:b/>
                <w:bCs/>
                <w:color w:val="000000"/>
                <w:sz w:val="17"/>
                <w:szCs w:val="17"/>
              </w:rPr>
              <w:t>8</w:t>
            </w:r>
          </w:p>
        </w:tc>
        <w:tc>
          <w:tcPr>
            <w:tcW w:w="570" w:type="pct"/>
            <w:tcBorders>
              <w:top w:val="single" w:sz="8" w:space="0" w:color="auto"/>
              <w:left w:val="nil"/>
              <w:bottom w:val="single" w:sz="8" w:space="0" w:color="auto"/>
              <w:right w:val="nil"/>
            </w:tcBorders>
            <w:shd w:val="clear" w:color="auto" w:fill="auto"/>
            <w:vAlign w:val="bottom"/>
          </w:tcPr>
          <w:p w14:paraId="1FEEC694" w14:textId="77777777" w:rsidR="00255D09" w:rsidRPr="003C3893" w:rsidRDefault="00255D09" w:rsidP="00CA7F04">
            <w:pPr>
              <w:jc w:val="right"/>
              <w:rPr>
                <w:rFonts w:ascii="Arial" w:hAnsi="Arial" w:cs="Arial"/>
                <w:b/>
                <w:bCs/>
                <w:color w:val="000000"/>
                <w:sz w:val="17"/>
                <w:szCs w:val="17"/>
              </w:rPr>
            </w:pPr>
            <w:r w:rsidRPr="00F959D0">
              <w:rPr>
                <w:rFonts w:ascii="Arial" w:hAnsi="Arial" w:cs="Arial"/>
                <w:b/>
                <w:bCs/>
                <w:color w:val="000000"/>
                <w:sz w:val="17"/>
                <w:szCs w:val="17"/>
              </w:rPr>
              <w:t>670.796</w:t>
            </w:r>
          </w:p>
        </w:tc>
        <w:tc>
          <w:tcPr>
            <w:tcW w:w="640" w:type="pct"/>
            <w:tcBorders>
              <w:top w:val="single" w:sz="8" w:space="0" w:color="auto"/>
              <w:left w:val="nil"/>
              <w:bottom w:val="single" w:sz="8" w:space="0" w:color="auto"/>
              <w:right w:val="nil"/>
            </w:tcBorders>
            <w:shd w:val="clear" w:color="auto" w:fill="auto"/>
            <w:vAlign w:val="bottom"/>
          </w:tcPr>
          <w:p w14:paraId="2644DE3B" w14:textId="77777777" w:rsidR="00255D09" w:rsidRPr="003C3893" w:rsidRDefault="00255D09" w:rsidP="00CA7F04">
            <w:pPr>
              <w:jc w:val="right"/>
              <w:rPr>
                <w:rFonts w:ascii="Arial" w:hAnsi="Arial" w:cs="Arial"/>
                <w:b/>
                <w:bCs/>
                <w:color w:val="000000"/>
                <w:sz w:val="17"/>
                <w:szCs w:val="17"/>
              </w:rPr>
            </w:pPr>
            <w:r w:rsidRPr="00F959D0">
              <w:rPr>
                <w:rFonts w:ascii="Arial" w:hAnsi="Arial" w:cs="Arial"/>
                <w:b/>
                <w:bCs/>
                <w:color w:val="000000"/>
                <w:sz w:val="17"/>
                <w:szCs w:val="17"/>
              </w:rPr>
              <w:t>1.151.954</w:t>
            </w:r>
          </w:p>
        </w:tc>
        <w:tc>
          <w:tcPr>
            <w:tcW w:w="603" w:type="pct"/>
            <w:tcBorders>
              <w:top w:val="single" w:sz="8" w:space="0" w:color="auto"/>
              <w:left w:val="nil"/>
              <w:bottom w:val="single" w:sz="8" w:space="0" w:color="auto"/>
              <w:right w:val="nil"/>
            </w:tcBorders>
            <w:shd w:val="clear" w:color="auto" w:fill="auto"/>
            <w:vAlign w:val="bottom"/>
          </w:tcPr>
          <w:p w14:paraId="3B0E3555" w14:textId="77777777" w:rsidR="00255D09" w:rsidRPr="003C3893" w:rsidRDefault="00255D09" w:rsidP="00CA7F04">
            <w:pPr>
              <w:jc w:val="right"/>
              <w:rPr>
                <w:rFonts w:ascii="Arial" w:hAnsi="Arial" w:cs="Arial"/>
                <w:b/>
                <w:bCs/>
                <w:color w:val="000000"/>
                <w:sz w:val="17"/>
                <w:szCs w:val="17"/>
              </w:rPr>
            </w:pPr>
            <w:r w:rsidRPr="00F959D0">
              <w:rPr>
                <w:rFonts w:ascii="Arial" w:hAnsi="Arial" w:cs="Arial"/>
                <w:b/>
                <w:bCs/>
                <w:color w:val="000000"/>
                <w:sz w:val="17"/>
                <w:szCs w:val="17"/>
              </w:rPr>
              <w:t>2.561.16</w:t>
            </w:r>
            <w:r>
              <w:rPr>
                <w:rFonts w:ascii="Arial" w:hAnsi="Arial" w:cs="Arial"/>
                <w:b/>
                <w:bCs/>
                <w:color w:val="000000"/>
                <w:sz w:val="17"/>
                <w:szCs w:val="17"/>
              </w:rPr>
              <w:t>1</w:t>
            </w:r>
          </w:p>
        </w:tc>
      </w:tr>
      <w:tr w:rsidR="00255D09" w:rsidRPr="005B35F4" w14:paraId="61CDFEB2" w14:textId="77777777" w:rsidTr="00CA7F04">
        <w:trPr>
          <w:trHeight w:val="71"/>
        </w:trPr>
        <w:tc>
          <w:tcPr>
            <w:tcW w:w="1517" w:type="pct"/>
          </w:tcPr>
          <w:p w14:paraId="2326605E" w14:textId="77777777" w:rsidR="00255D09" w:rsidRPr="005B35F4" w:rsidRDefault="00255D09" w:rsidP="00CA7F04">
            <w:pPr>
              <w:tabs>
                <w:tab w:val="right" w:pos="1202"/>
              </w:tabs>
              <w:spacing w:line="240" w:lineRule="exact"/>
              <w:outlineLvl w:val="0"/>
              <w:rPr>
                <w:rFonts w:ascii="Arial" w:hAnsi="Arial" w:cs="Arial"/>
                <w:b/>
                <w:bCs/>
                <w:color w:val="000000" w:themeColor="text1"/>
                <w:spacing w:val="-2"/>
                <w:sz w:val="17"/>
                <w:szCs w:val="17"/>
              </w:rPr>
            </w:pPr>
            <w:proofErr w:type="spellStart"/>
            <w:r w:rsidRPr="005B35F4">
              <w:rPr>
                <w:rFonts w:ascii="Arial" w:hAnsi="Arial" w:cs="Arial"/>
                <w:b/>
                <w:bCs/>
                <w:color w:val="000000" w:themeColor="text1"/>
                <w:spacing w:val="-2"/>
                <w:sz w:val="17"/>
                <w:szCs w:val="17"/>
              </w:rPr>
              <w:t>Likvidnosni</w:t>
            </w:r>
            <w:proofErr w:type="spellEnd"/>
            <w:r w:rsidRPr="005B35F4">
              <w:rPr>
                <w:rFonts w:ascii="Arial" w:hAnsi="Arial" w:cs="Arial"/>
                <w:b/>
                <w:bCs/>
                <w:color w:val="000000" w:themeColor="text1"/>
                <w:spacing w:val="-2"/>
                <w:sz w:val="17"/>
                <w:szCs w:val="17"/>
              </w:rPr>
              <w:t xml:space="preserve"> jaz</w:t>
            </w:r>
          </w:p>
        </w:tc>
        <w:tc>
          <w:tcPr>
            <w:tcW w:w="551" w:type="pct"/>
            <w:tcBorders>
              <w:top w:val="single" w:sz="12" w:space="0" w:color="auto"/>
              <w:left w:val="nil"/>
              <w:bottom w:val="single" w:sz="12" w:space="0" w:color="auto"/>
              <w:right w:val="nil"/>
            </w:tcBorders>
            <w:shd w:val="clear" w:color="auto" w:fill="auto"/>
            <w:vAlign w:val="bottom"/>
          </w:tcPr>
          <w:p w14:paraId="124BB41E" w14:textId="77777777" w:rsidR="00255D09" w:rsidRPr="005B35F4" w:rsidRDefault="00255D09" w:rsidP="00CA7F04">
            <w:pPr>
              <w:jc w:val="right"/>
              <w:rPr>
                <w:rFonts w:ascii="Arial" w:hAnsi="Arial" w:cs="Arial"/>
                <w:b/>
                <w:bCs/>
                <w:color w:val="000000"/>
                <w:sz w:val="17"/>
                <w:szCs w:val="17"/>
              </w:rPr>
            </w:pPr>
            <w:r w:rsidRPr="00F959D0">
              <w:rPr>
                <w:rFonts w:ascii="Arial" w:hAnsi="Arial" w:cs="Arial"/>
                <w:b/>
                <w:bCs/>
                <w:color w:val="000000"/>
                <w:sz w:val="17"/>
                <w:szCs w:val="17"/>
              </w:rPr>
              <w:t>444.905</w:t>
            </w:r>
          </w:p>
        </w:tc>
        <w:tc>
          <w:tcPr>
            <w:tcW w:w="546" w:type="pct"/>
            <w:tcBorders>
              <w:top w:val="single" w:sz="12" w:space="0" w:color="auto"/>
              <w:left w:val="nil"/>
              <w:bottom w:val="single" w:sz="12" w:space="0" w:color="auto"/>
              <w:right w:val="nil"/>
            </w:tcBorders>
            <w:shd w:val="clear" w:color="auto" w:fill="auto"/>
            <w:vAlign w:val="bottom"/>
          </w:tcPr>
          <w:p w14:paraId="7D499EB0" w14:textId="77777777" w:rsidR="00255D09" w:rsidRPr="005B35F4" w:rsidRDefault="00255D09" w:rsidP="00CA7F04">
            <w:pPr>
              <w:jc w:val="right"/>
              <w:rPr>
                <w:rFonts w:ascii="Arial" w:hAnsi="Arial" w:cs="Arial"/>
                <w:b/>
                <w:bCs/>
                <w:color w:val="000000"/>
                <w:sz w:val="17"/>
                <w:szCs w:val="17"/>
              </w:rPr>
            </w:pPr>
            <w:r w:rsidRPr="00F959D0">
              <w:rPr>
                <w:rFonts w:ascii="Arial" w:hAnsi="Arial" w:cs="Arial"/>
                <w:b/>
                <w:bCs/>
                <w:color w:val="000000"/>
                <w:sz w:val="17"/>
                <w:szCs w:val="17"/>
              </w:rPr>
              <w:t>30.015</w:t>
            </w:r>
          </w:p>
        </w:tc>
        <w:tc>
          <w:tcPr>
            <w:tcW w:w="572" w:type="pct"/>
            <w:tcBorders>
              <w:top w:val="single" w:sz="12" w:space="0" w:color="auto"/>
              <w:left w:val="nil"/>
              <w:bottom w:val="single" w:sz="12" w:space="0" w:color="auto"/>
              <w:right w:val="nil"/>
            </w:tcBorders>
            <w:shd w:val="clear" w:color="auto" w:fill="auto"/>
            <w:vAlign w:val="bottom"/>
          </w:tcPr>
          <w:p w14:paraId="0C59C432" w14:textId="77777777" w:rsidR="00255D09" w:rsidRPr="005B35F4" w:rsidRDefault="00255D09" w:rsidP="00CA7F04">
            <w:pPr>
              <w:jc w:val="right"/>
              <w:rPr>
                <w:rFonts w:ascii="Arial" w:hAnsi="Arial" w:cs="Arial"/>
                <w:b/>
                <w:bCs/>
                <w:color w:val="000000"/>
                <w:sz w:val="17"/>
                <w:szCs w:val="17"/>
              </w:rPr>
            </w:pPr>
            <w:r w:rsidRPr="00F959D0">
              <w:rPr>
                <w:rFonts w:ascii="Arial" w:hAnsi="Arial" w:cs="Arial"/>
                <w:b/>
                <w:bCs/>
                <w:color w:val="000000"/>
                <w:sz w:val="17"/>
                <w:szCs w:val="17"/>
              </w:rPr>
              <w:t>123.21</w:t>
            </w:r>
            <w:r>
              <w:rPr>
                <w:rFonts w:ascii="Arial" w:hAnsi="Arial" w:cs="Arial"/>
                <w:b/>
                <w:bCs/>
                <w:color w:val="000000"/>
                <w:sz w:val="17"/>
                <w:szCs w:val="17"/>
              </w:rPr>
              <w:t>8</w:t>
            </w:r>
          </w:p>
        </w:tc>
        <w:tc>
          <w:tcPr>
            <w:tcW w:w="570" w:type="pct"/>
            <w:tcBorders>
              <w:top w:val="single" w:sz="12" w:space="0" w:color="auto"/>
              <w:left w:val="nil"/>
              <w:bottom w:val="single" w:sz="12" w:space="0" w:color="auto"/>
              <w:right w:val="nil"/>
            </w:tcBorders>
            <w:shd w:val="clear" w:color="auto" w:fill="auto"/>
            <w:vAlign w:val="bottom"/>
          </w:tcPr>
          <w:p w14:paraId="6AC8682F" w14:textId="77777777" w:rsidR="00255D09" w:rsidRPr="005B35F4" w:rsidRDefault="00255D09" w:rsidP="00CA7F04">
            <w:pPr>
              <w:jc w:val="right"/>
              <w:rPr>
                <w:rFonts w:ascii="Arial" w:hAnsi="Arial" w:cs="Arial"/>
                <w:b/>
                <w:bCs/>
                <w:color w:val="000000"/>
                <w:sz w:val="17"/>
                <w:szCs w:val="17"/>
              </w:rPr>
            </w:pPr>
            <w:r w:rsidRPr="00F959D0">
              <w:rPr>
                <w:rFonts w:ascii="Arial" w:hAnsi="Arial" w:cs="Arial"/>
                <w:b/>
                <w:bCs/>
                <w:color w:val="000000"/>
                <w:sz w:val="17"/>
                <w:szCs w:val="17"/>
              </w:rPr>
              <w:t>259.045</w:t>
            </w:r>
          </w:p>
        </w:tc>
        <w:tc>
          <w:tcPr>
            <w:tcW w:w="640" w:type="pct"/>
            <w:tcBorders>
              <w:top w:val="single" w:sz="12" w:space="0" w:color="auto"/>
              <w:left w:val="nil"/>
              <w:bottom w:val="single" w:sz="12" w:space="0" w:color="auto"/>
              <w:right w:val="nil"/>
            </w:tcBorders>
            <w:shd w:val="clear" w:color="auto" w:fill="auto"/>
            <w:vAlign w:val="bottom"/>
          </w:tcPr>
          <w:p w14:paraId="2551D1DB" w14:textId="77777777" w:rsidR="00255D09" w:rsidRPr="005B35F4" w:rsidRDefault="00255D09" w:rsidP="00CA7F04">
            <w:pPr>
              <w:jc w:val="right"/>
              <w:rPr>
                <w:rFonts w:ascii="Arial" w:hAnsi="Arial" w:cs="Arial"/>
                <w:b/>
                <w:bCs/>
                <w:color w:val="000000"/>
                <w:sz w:val="17"/>
                <w:szCs w:val="17"/>
              </w:rPr>
            </w:pPr>
            <w:r w:rsidRPr="00F959D0">
              <w:rPr>
                <w:rFonts w:ascii="Arial" w:hAnsi="Arial" w:cs="Arial"/>
                <w:b/>
                <w:bCs/>
                <w:color w:val="000000"/>
                <w:sz w:val="17"/>
                <w:szCs w:val="17"/>
              </w:rPr>
              <w:t>600.340</w:t>
            </w:r>
          </w:p>
        </w:tc>
        <w:tc>
          <w:tcPr>
            <w:tcW w:w="603" w:type="pct"/>
            <w:tcBorders>
              <w:top w:val="single" w:sz="12" w:space="0" w:color="auto"/>
              <w:left w:val="nil"/>
              <w:bottom w:val="single" w:sz="12" w:space="0" w:color="auto"/>
              <w:right w:val="nil"/>
            </w:tcBorders>
            <w:shd w:val="clear" w:color="auto" w:fill="auto"/>
            <w:vAlign w:val="bottom"/>
          </w:tcPr>
          <w:p w14:paraId="4EEC7EEC" w14:textId="77777777" w:rsidR="00255D09" w:rsidRPr="005B35F4" w:rsidRDefault="00255D09" w:rsidP="00CA7F04">
            <w:pPr>
              <w:jc w:val="right"/>
              <w:rPr>
                <w:rFonts w:ascii="Arial" w:hAnsi="Arial" w:cs="Arial"/>
                <w:b/>
                <w:bCs/>
                <w:color w:val="000000"/>
                <w:sz w:val="17"/>
                <w:szCs w:val="17"/>
              </w:rPr>
            </w:pPr>
            <w:r w:rsidRPr="00F959D0">
              <w:rPr>
                <w:rFonts w:ascii="Arial" w:hAnsi="Arial" w:cs="Arial"/>
                <w:b/>
                <w:bCs/>
                <w:color w:val="000000"/>
                <w:sz w:val="17"/>
                <w:szCs w:val="17"/>
              </w:rPr>
              <w:t>1.457.52</w:t>
            </w:r>
            <w:r>
              <w:rPr>
                <w:rFonts w:ascii="Arial" w:hAnsi="Arial" w:cs="Arial"/>
                <w:b/>
                <w:bCs/>
                <w:color w:val="000000"/>
                <w:sz w:val="17"/>
                <w:szCs w:val="17"/>
              </w:rPr>
              <w:t>3</w:t>
            </w:r>
          </w:p>
        </w:tc>
      </w:tr>
      <w:tr w:rsidR="00255D09" w:rsidRPr="005B35F4" w14:paraId="248A3524" w14:textId="77777777" w:rsidTr="00CA7F04">
        <w:trPr>
          <w:trHeight w:hRule="exact" w:val="219"/>
        </w:trPr>
        <w:tc>
          <w:tcPr>
            <w:tcW w:w="1517" w:type="pct"/>
            <w:vAlign w:val="bottom"/>
          </w:tcPr>
          <w:p w14:paraId="36B0E023" w14:textId="77777777" w:rsidR="00255D09" w:rsidRPr="005B35F4" w:rsidRDefault="00255D09" w:rsidP="00CA7F04">
            <w:pPr>
              <w:tabs>
                <w:tab w:val="right" w:pos="1202"/>
              </w:tabs>
              <w:spacing w:line="240" w:lineRule="exact"/>
              <w:outlineLvl w:val="0"/>
              <w:rPr>
                <w:rFonts w:ascii="Arial" w:hAnsi="Arial" w:cs="Arial"/>
                <w:b/>
                <w:bCs/>
                <w:color w:val="000000" w:themeColor="text1"/>
                <w:spacing w:val="-2"/>
                <w:sz w:val="17"/>
                <w:szCs w:val="17"/>
              </w:rPr>
            </w:pPr>
          </w:p>
        </w:tc>
        <w:tc>
          <w:tcPr>
            <w:tcW w:w="551" w:type="pct"/>
            <w:tcBorders>
              <w:top w:val="single" w:sz="12" w:space="0" w:color="auto"/>
              <w:left w:val="nil"/>
              <w:right w:val="nil"/>
            </w:tcBorders>
            <w:shd w:val="clear" w:color="auto" w:fill="auto"/>
            <w:vAlign w:val="bottom"/>
          </w:tcPr>
          <w:p w14:paraId="3A9360A7" w14:textId="77777777" w:rsidR="00255D09" w:rsidRPr="005B35F4" w:rsidRDefault="00255D09" w:rsidP="00CA7F04">
            <w:pPr>
              <w:jc w:val="right"/>
              <w:rPr>
                <w:rFonts w:ascii="Arial" w:hAnsi="Arial" w:cs="Arial"/>
                <w:color w:val="000000"/>
                <w:sz w:val="17"/>
                <w:szCs w:val="17"/>
              </w:rPr>
            </w:pPr>
          </w:p>
        </w:tc>
        <w:tc>
          <w:tcPr>
            <w:tcW w:w="546" w:type="pct"/>
            <w:tcBorders>
              <w:top w:val="single" w:sz="12" w:space="0" w:color="auto"/>
              <w:left w:val="nil"/>
              <w:right w:val="nil"/>
            </w:tcBorders>
            <w:shd w:val="clear" w:color="auto" w:fill="auto"/>
            <w:vAlign w:val="bottom"/>
          </w:tcPr>
          <w:p w14:paraId="42EFBA83" w14:textId="77777777" w:rsidR="00255D09" w:rsidRPr="005B35F4" w:rsidRDefault="00255D09" w:rsidP="00CA7F04">
            <w:pPr>
              <w:jc w:val="right"/>
              <w:rPr>
                <w:rFonts w:ascii="Arial" w:hAnsi="Arial" w:cs="Arial"/>
                <w:color w:val="000000"/>
                <w:sz w:val="17"/>
                <w:szCs w:val="17"/>
              </w:rPr>
            </w:pPr>
          </w:p>
        </w:tc>
        <w:tc>
          <w:tcPr>
            <w:tcW w:w="572" w:type="pct"/>
            <w:tcBorders>
              <w:top w:val="single" w:sz="12" w:space="0" w:color="auto"/>
              <w:left w:val="nil"/>
              <w:right w:val="nil"/>
            </w:tcBorders>
            <w:shd w:val="clear" w:color="auto" w:fill="auto"/>
            <w:vAlign w:val="bottom"/>
          </w:tcPr>
          <w:p w14:paraId="01D31740" w14:textId="77777777" w:rsidR="00255D09" w:rsidRPr="005B35F4" w:rsidRDefault="00255D09" w:rsidP="00CA7F04">
            <w:pPr>
              <w:jc w:val="right"/>
              <w:rPr>
                <w:rFonts w:ascii="Arial" w:hAnsi="Arial" w:cs="Arial"/>
                <w:color w:val="000000"/>
                <w:sz w:val="17"/>
                <w:szCs w:val="17"/>
              </w:rPr>
            </w:pPr>
          </w:p>
        </w:tc>
        <w:tc>
          <w:tcPr>
            <w:tcW w:w="570" w:type="pct"/>
            <w:tcBorders>
              <w:top w:val="single" w:sz="12" w:space="0" w:color="auto"/>
              <w:left w:val="nil"/>
              <w:right w:val="nil"/>
            </w:tcBorders>
            <w:shd w:val="clear" w:color="auto" w:fill="auto"/>
            <w:vAlign w:val="bottom"/>
          </w:tcPr>
          <w:p w14:paraId="1A2F95B2" w14:textId="77777777" w:rsidR="00255D09" w:rsidRPr="005B35F4" w:rsidRDefault="00255D09" w:rsidP="00CA7F04">
            <w:pPr>
              <w:jc w:val="right"/>
              <w:rPr>
                <w:rFonts w:ascii="Arial" w:hAnsi="Arial" w:cs="Arial"/>
                <w:color w:val="000000"/>
                <w:sz w:val="17"/>
                <w:szCs w:val="17"/>
              </w:rPr>
            </w:pPr>
          </w:p>
        </w:tc>
        <w:tc>
          <w:tcPr>
            <w:tcW w:w="640" w:type="pct"/>
            <w:tcBorders>
              <w:top w:val="single" w:sz="12" w:space="0" w:color="auto"/>
              <w:left w:val="nil"/>
              <w:right w:val="nil"/>
            </w:tcBorders>
            <w:shd w:val="clear" w:color="auto" w:fill="auto"/>
            <w:vAlign w:val="bottom"/>
          </w:tcPr>
          <w:p w14:paraId="2E8E7DEC" w14:textId="77777777" w:rsidR="00255D09" w:rsidRPr="005B35F4" w:rsidRDefault="00255D09" w:rsidP="00CA7F04">
            <w:pPr>
              <w:jc w:val="right"/>
              <w:rPr>
                <w:rFonts w:ascii="Arial" w:hAnsi="Arial" w:cs="Arial"/>
                <w:color w:val="000000"/>
                <w:sz w:val="17"/>
                <w:szCs w:val="17"/>
              </w:rPr>
            </w:pPr>
          </w:p>
        </w:tc>
        <w:tc>
          <w:tcPr>
            <w:tcW w:w="603" w:type="pct"/>
            <w:tcBorders>
              <w:top w:val="single" w:sz="12" w:space="0" w:color="auto"/>
              <w:left w:val="nil"/>
              <w:right w:val="nil"/>
            </w:tcBorders>
            <w:shd w:val="clear" w:color="auto" w:fill="auto"/>
            <w:vAlign w:val="bottom"/>
          </w:tcPr>
          <w:p w14:paraId="2B819051" w14:textId="77777777" w:rsidR="00255D09" w:rsidRPr="005B35F4" w:rsidRDefault="00255D09" w:rsidP="00CA7F04">
            <w:pPr>
              <w:jc w:val="right"/>
              <w:rPr>
                <w:rFonts w:ascii="Arial" w:hAnsi="Arial" w:cs="Arial"/>
                <w:color w:val="000000"/>
                <w:sz w:val="17"/>
                <w:szCs w:val="17"/>
              </w:rPr>
            </w:pPr>
          </w:p>
        </w:tc>
      </w:tr>
      <w:tr w:rsidR="00255D09" w:rsidRPr="005B35F4" w14:paraId="0E04912A" w14:textId="77777777" w:rsidTr="00CA7F04">
        <w:trPr>
          <w:trHeight w:hRule="exact" w:val="271"/>
        </w:trPr>
        <w:tc>
          <w:tcPr>
            <w:tcW w:w="1517" w:type="pct"/>
            <w:tcBorders>
              <w:top w:val="nil"/>
              <w:left w:val="nil"/>
              <w:bottom w:val="nil"/>
              <w:right w:val="nil"/>
            </w:tcBorders>
            <w:shd w:val="clear" w:color="auto" w:fill="auto"/>
            <w:vAlign w:val="center"/>
          </w:tcPr>
          <w:p w14:paraId="65256504" w14:textId="77777777" w:rsidR="00255D09" w:rsidRPr="005B35F4" w:rsidRDefault="00255D09" w:rsidP="00CA7F04">
            <w:pPr>
              <w:tabs>
                <w:tab w:val="right" w:pos="1202"/>
              </w:tabs>
              <w:spacing w:line="240" w:lineRule="exact"/>
              <w:outlineLvl w:val="0"/>
              <w:rPr>
                <w:rFonts w:ascii="Arial" w:hAnsi="Arial" w:cs="Arial"/>
                <w:b/>
                <w:bCs/>
                <w:color w:val="000000" w:themeColor="text1"/>
                <w:spacing w:val="-2"/>
                <w:sz w:val="17"/>
                <w:szCs w:val="17"/>
              </w:rPr>
            </w:pPr>
            <w:r w:rsidRPr="005B35F4">
              <w:rPr>
                <w:rFonts w:ascii="Arial" w:hAnsi="Arial" w:cs="Arial"/>
                <w:b/>
                <w:bCs/>
                <w:color w:val="000000" w:themeColor="text1"/>
                <w:sz w:val="17"/>
                <w:szCs w:val="17"/>
              </w:rPr>
              <w:t>Garancije i preuzete obveze</w:t>
            </w:r>
          </w:p>
        </w:tc>
        <w:tc>
          <w:tcPr>
            <w:tcW w:w="551" w:type="pct"/>
            <w:tcBorders>
              <w:top w:val="nil"/>
              <w:left w:val="nil"/>
              <w:bottom w:val="nil"/>
              <w:right w:val="nil"/>
            </w:tcBorders>
            <w:shd w:val="clear" w:color="auto" w:fill="auto"/>
            <w:vAlign w:val="bottom"/>
          </w:tcPr>
          <w:p w14:paraId="66A13A78" w14:textId="77777777" w:rsidR="00255D09" w:rsidRPr="005B35F4" w:rsidRDefault="00255D09" w:rsidP="00CA7F04">
            <w:pPr>
              <w:jc w:val="right"/>
              <w:rPr>
                <w:rFonts w:ascii="Arial" w:hAnsi="Arial" w:cs="Arial"/>
                <w:color w:val="000000"/>
                <w:sz w:val="17"/>
                <w:szCs w:val="17"/>
              </w:rPr>
            </w:pPr>
          </w:p>
        </w:tc>
        <w:tc>
          <w:tcPr>
            <w:tcW w:w="546" w:type="pct"/>
            <w:tcBorders>
              <w:top w:val="nil"/>
              <w:left w:val="nil"/>
              <w:bottom w:val="nil"/>
              <w:right w:val="nil"/>
            </w:tcBorders>
            <w:shd w:val="clear" w:color="auto" w:fill="auto"/>
            <w:vAlign w:val="bottom"/>
          </w:tcPr>
          <w:p w14:paraId="524CFCA3" w14:textId="77777777" w:rsidR="00255D09" w:rsidRPr="005B35F4" w:rsidRDefault="00255D09" w:rsidP="00CA7F04">
            <w:pPr>
              <w:jc w:val="right"/>
              <w:rPr>
                <w:rFonts w:ascii="Arial" w:hAnsi="Arial" w:cs="Arial"/>
                <w:color w:val="000000"/>
                <w:sz w:val="17"/>
                <w:szCs w:val="17"/>
              </w:rPr>
            </w:pPr>
          </w:p>
        </w:tc>
        <w:tc>
          <w:tcPr>
            <w:tcW w:w="572" w:type="pct"/>
            <w:tcBorders>
              <w:top w:val="nil"/>
              <w:left w:val="nil"/>
              <w:bottom w:val="nil"/>
              <w:right w:val="nil"/>
            </w:tcBorders>
            <w:shd w:val="clear" w:color="auto" w:fill="auto"/>
            <w:vAlign w:val="bottom"/>
          </w:tcPr>
          <w:p w14:paraId="6E84DA65" w14:textId="77777777" w:rsidR="00255D09" w:rsidRPr="005B35F4" w:rsidRDefault="00255D09" w:rsidP="00CA7F04">
            <w:pPr>
              <w:jc w:val="right"/>
              <w:rPr>
                <w:rFonts w:ascii="Arial" w:hAnsi="Arial" w:cs="Arial"/>
                <w:color w:val="000000"/>
                <w:sz w:val="17"/>
                <w:szCs w:val="17"/>
              </w:rPr>
            </w:pPr>
          </w:p>
        </w:tc>
        <w:tc>
          <w:tcPr>
            <w:tcW w:w="570" w:type="pct"/>
            <w:tcBorders>
              <w:top w:val="nil"/>
              <w:left w:val="nil"/>
              <w:bottom w:val="nil"/>
              <w:right w:val="nil"/>
            </w:tcBorders>
            <w:shd w:val="clear" w:color="auto" w:fill="auto"/>
            <w:vAlign w:val="bottom"/>
          </w:tcPr>
          <w:p w14:paraId="79BB4515" w14:textId="77777777" w:rsidR="00255D09" w:rsidRPr="005B35F4" w:rsidRDefault="00255D09" w:rsidP="00CA7F04">
            <w:pPr>
              <w:jc w:val="right"/>
              <w:rPr>
                <w:rFonts w:ascii="Arial" w:hAnsi="Arial" w:cs="Arial"/>
                <w:color w:val="000000"/>
                <w:sz w:val="17"/>
                <w:szCs w:val="17"/>
              </w:rPr>
            </w:pPr>
          </w:p>
        </w:tc>
        <w:tc>
          <w:tcPr>
            <w:tcW w:w="640" w:type="pct"/>
            <w:tcBorders>
              <w:top w:val="nil"/>
              <w:left w:val="nil"/>
              <w:bottom w:val="nil"/>
              <w:right w:val="nil"/>
            </w:tcBorders>
            <w:shd w:val="clear" w:color="auto" w:fill="auto"/>
            <w:vAlign w:val="bottom"/>
          </w:tcPr>
          <w:p w14:paraId="20562227" w14:textId="77777777" w:rsidR="00255D09" w:rsidRPr="005B35F4" w:rsidRDefault="00255D09" w:rsidP="00CA7F04">
            <w:pPr>
              <w:jc w:val="right"/>
              <w:rPr>
                <w:rFonts w:ascii="Arial" w:hAnsi="Arial" w:cs="Arial"/>
                <w:color w:val="000000"/>
                <w:sz w:val="17"/>
                <w:szCs w:val="17"/>
              </w:rPr>
            </w:pPr>
          </w:p>
        </w:tc>
        <w:tc>
          <w:tcPr>
            <w:tcW w:w="603" w:type="pct"/>
            <w:tcBorders>
              <w:top w:val="nil"/>
              <w:left w:val="nil"/>
              <w:bottom w:val="nil"/>
              <w:right w:val="nil"/>
            </w:tcBorders>
            <w:shd w:val="clear" w:color="auto" w:fill="auto"/>
            <w:vAlign w:val="bottom"/>
          </w:tcPr>
          <w:p w14:paraId="2368FED2" w14:textId="77777777" w:rsidR="00255D09" w:rsidRPr="005B35F4" w:rsidRDefault="00255D09" w:rsidP="00CA7F04">
            <w:pPr>
              <w:jc w:val="right"/>
              <w:rPr>
                <w:rFonts w:ascii="Arial" w:hAnsi="Arial" w:cs="Arial"/>
                <w:color w:val="000000"/>
                <w:sz w:val="17"/>
                <w:szCs w:val="17"/>
              </w:rPr>
            </w:pPr>
          </w:p>
        </w:tc>
      </w:tr>
      <w:tr w:rsidR="00255D09" w:rsidRPr="005B35F4" w14:paraId="2E9C6E63" w14:textId="77777777" w:rsidTr="00CA7F04">
        <w:trPr>
          <w:trHeight w:hRule="exact" w:val="271"/>
        </w:trPr>
        <w:tc>
          <w:tcPr>
            <w:tcW w:w="1517" w:type="pct"/>
            <w:tcBorders>
              <w:top w:val="nil"/>
              <w:left w:val="nil"/>
              <w:bottom w:val="nil"/>
              <w:right w:val="nil"/>
            </w:tcBorders>
            <w:shd w:val="clear" w:color="auto" w:fill="auto"/>
            <w:vAlign w:val="center"/>
          </w:tcPr>
          <w:p w14:paraId="6041A7B0" w14:textId="77777777" w:rsidR="00255D09" w:rsidRPr="005B35F4" w:rsidRDefault="00255D09" w:rsidP="00CA7F04">
            <w:pPr>
              <w:tabs>
                <w:tab w:val="right" w:pos="1202"/>
              </w:tabs>
              <w:spacing w:line="240" w:lineRule="exact"/>
              <w:outlineLvl w:val="0"/>
              <w:rPr>
                <w:rFonts w:ascii="Arial" w:hAnsi="Arial" w:cs="Arial"/>
                <w:b/>
                <w:bCs/>
                <w:color w:val="000000" w:themeColor="text1"/>
                <w:spacing w:val="-2"/>
                <w:sz w:val="17"/>
                <w:szCs w:val="17"/>
              </w:rPr>
            </w:pPr>
            <w:r w:rsidRPr="005B35F4">
              <w:rPr>
                <w:rFonts w:ascii="Arial" w:hAnsi="Arial" w:cs="Arial"/>
                <w:color w:val="000000" w:themeColor="text1"/>
                <w:sz w:val="17"/>
                <w:szCs w:val="17"/>
              </w:rPr>
              <w:t xml:space="preserve">Izdane garancije </w:t>
            </w:r>
          </w:p>
        </w:tc>
        <w:tc>
          <w:tcPr>
            <w:tcW w:w="551" w:type="pct"/>
            <w:tcBorders>
              <w:top w:val="nil"/>
              <w:left w:val="nil"/>
              <w:bottom w:val="nil"/>
              <w:right w:val="nil"/>
            </w:tcBorders>
            <w:shd w:val="clear" w:color="auto" w:fill="auto"/>
            <w:vAlign w:val="bottom"/>
          </w:tcPr>
          <w:p w14:paraId="51CAE3F4"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52.623 </w:t>
            </w:r>
          </w:p>
        </w:tc>
        <w:tc>
          <w:tcPr>
            <w:tcW w:w="546" w:type="pct"/>
            <w:tcBorders>
              <w:top w:val="nil"/>
              <w:left w:val="nil"/>
              <w:bottom w:val="nil"/>
              <w:right w:val="nil"/>
            </w:tcBorders>
            <w:shd w:val="clear" w:color="auto" w:fill="auto"/>
            <w:vAlign w:val="bottom"/>
          </w:tcPr>
          <w:p w14:paraId="6F97D963"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2F7B8B53"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319CB968"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6481A4D8"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5C9DD90B"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52.623 </w:t>
            </w:r>
          </w:p>
        </w:tc>
      </w:tr>
      <w:tr w:rsidR="00255D09" w:rsidRPr="005B35F4" w14:paraId="705B31F5" w14:textId="77777777" w:rsidTr="00CA7F04">
        <w:trPr>
          <w:trHeight w:hRule="exact" w:val="271"/>
        </w:trPr>
        <w:tc>
          <w:tcPr>
            <w:tcW w:w="1517" w:type="pct"/>
            <w:tcBorders>
              <w:top w:val="nil"/>
              <w:left w:val="nil"/>
              <w:bottom w:val="nil"/>
              <w:right w:val="nil"/>
            </w:tcBorders>
            <w:shd w:val="clear" w:color="auto" w:fill="auto"/>
            <w:vAlign w:val="center"/>
          </w:tcPr>
          <w:p w14:paraId="42439B50" w14:textId="77777777" w:rsidR="00255D09" w:rsidRPr="005B35F4" w:rsidRDefault="00255D09" w:rsidP="00CA7F04">
            <w:pPr>
              <w:tabs>
                <w:tab w:val="right" w:pos="1202"/>
              </w:tabs>
              <w:spacing w:line="240" w:lineRule="exact"/>
              <w:outlineLvl w:val="0"/>
              <w:rPr>
                <w:rFonts w:ascii="Arial" w:hAnsi="Arial" w:cs="Arial"/>
                <w:b/>
                <w:bCs/>
                <w:color w:val="000000" w:themeColor="text1"/>
                <w:spacing w:val="-2"/>
                <w:sz w:val="17"/>
                <w:szCs w:val="17"/>
              </w:rPr>
            </w:pPr>
            <w:r w:rsidRPr="005B35F4">
              <w:rPr>
                <w:rFonts w:ascii="Arial" w:hAnsi="Arial" w:cs="Arial"/>
                <w:color w:val="000000" w:themeColor="text1"/>
                <w:sz w:val="17"/>
                <w:szCs w:val="17"/>
              </w:rPr>
              <w:t>Izdane garancije u devizama</w:t>
            </w:r>
          </w:p>
        </w:tc>
        <w:tc>
          <w:tcPr>
            <w:tcW w:w="551" w:type="pct"/>
            <w:tcBorders>
              <w:top w:val="nil"/>
              <w:left w:val="nil"/>
              <w:bottom w:val="nil"/>
              <w:right w:val="nil"/>
            </w:tcBorders>
            <w:shd w:val="clear" w:color="auto" w:fill="auto"/>
            <w:vAlign w:val="bottom"/>
          </w:tcPr>
          <w:p w14:paraId="36AA339D"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7.716 </w:t>
            </w:r>
          </w:p>
        </w:tc>
        <w:tc>
          <w:tcPr>
            <w:tcW w:w="546" w:type="pct"/>
            <w:tcBorders>
              <w:top w:val="nil"/>
              <w:left w:val="nil"/>
              <w:bottom w:val="nil"/>
              <w:right w:val="nil"/>
            </w:tcBorders>
            <w:shd w:val="clear" w:color="auto" w:fill="auto"/>
            <w:vAlign w:val="bottom"/>
          </w:tcPr>
          <w:p w14:paraId="3A8AE8ED"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7E168C3C"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420EC638"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4BD725E3"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17D5639D"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7.716 </w:t>
            </w:r>
          </w:p>
        </w:tc>
      </w:tr>
      <w:tr w:rsidR="00255D09" w:rsidRPr="005B35F4" w14:paraId="5A77C0A7" w14:textId="77777777" w:rsidTr="00CA7F04">
        <w:trPr>
          <w:trHeight w:hRule="exact" w:val="271"/>
        </w:trPr>
        <w:tc>
          <w:tcPr>
            <w:tcW w:w="1517" w:type="pct"/>
            <w:tcBorders>
              <w:top w:val="nil"/>
              <w:left w:val="nil"/>
              <w:bottom w:val="nil"/>
              <w:right w:val="nil"/>
            </w:tcBorders>
            <w:shd w:val="clear" w:color="auto" w:fill="auto"/>
            <w:vAlign w:val="center"/>
          </w:tcPr>
          <w:p w14:paraId="75987F7C" w14:textId="77777777" w:rsidR="00255D09" w:rsidRPr="005B35F4" w:rsidRDefault="00255D09" w:rsidP="00CA7F04">
            <w:pPr>
              <w:tabs>
                <w:tab w:val="right" w:pos="1202"/>
              </w:tabs>
              <w:spacing w:line="240" w:lineRule="exact"/>
              <w:outlineLvl w:val="0"/>
              <w:rPr>
                <w:rFonts w:ascii="Arial" w:hAnsi="Arial" w:cs="Arial"/>
                <w:b/>
                <w:bCs/>
                <w:color w:val="000000" w:themeColor="text1"/>
                <w:spacing w:val="-2"/>
                <w:sz w:val="17"/>
                <w:szCs w:val="17"/>
              </w:rPr>
            </w:pPr>
            <w:r w:rsidRPr="005B35F4">
              <w:rPr>
                <w:rFonts w:ascii="Arial" w:hAnsi="Arial" w:cs="Arial"/>
                <w:color w:val="000000" w:themeColor="text1"/>
                <w:sz w:val="17"/>
                <w:szCs w:val="17"/>
              </w:rPr>
              <w:t>Preuzete obveze po kreditima</w:t>
            </w:r>
          </w:p>
        </w:tc>
        <w:tc>
          <w:tcPr>
            <w:tcW w:w="551" w:type="pct"/>
            <w:tcBorders>
              <w:top w:val="nil"/>
              <w:left w:val="nil"/>
              <w:bottom w:val="nil"/>
              <w:right w:val="nil"/>
            </w:tcBorders>
            <w:shd w:val="clear" w:color="auto" w:fill="auto"/>
            <w:vAlign w:val="bottom"/>
          </w:tcPr>
          <w:p w14:paraId="765F9F12"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445.273 </w:t>
            </w:r>
          </w:p>
        </w:tc>
        <w:tc>
          <w:tcPr>
            <w:tcW w:w="546" w:type="pct"/>
            <w:tcBorders>
              <w:top w:val="nil"/>
              <w:left w:val="nil"/>
              <w:bottom w:val="nil"/>
              <w:right w:val="nil"/>
            </w:tcBorders>
            <w:shd w:val="clear" w:color="auto" w:fill="auto"/>
            <w:vAlign w:val="bottom"/>
          </w:tcPr>
          <w:p w14:paraId="4D666C73"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6D5B5BCE"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64DDDA7B"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2E138936"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3E839F01"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445.273 </w:t>
            </w:r>
          </w:p>
        </w:tc>
      </w:tr>
      <w:tr w:rsidR="00255D09" w:rsidRPr="005B35F4" w14:paraId="4CCDE300" w14:textId="77777777" w:rsidTr="00CA7F04">
        <w:trPr>
          <w:trHeight w:hRule="exact" w:val="271"/>
        </w:trPr>
        <w:tc>
          <w:tcPr>
            <w:tcW w:w="1517" w:type="pct"/>
            <w:tcBorders>
              <w:top w:val="nil"/>
              <w:left w:val="nil"/>
              <w:bottom w:val="nil"/>
              <w:right w:val="nil"/>
            </w:tcBorders>
            <w:shd w:val="clear" w:color="auto" w:fill="auto"/>
            <w:vAlign w:val="bottom"/>
          </w:tcPr>
          <w:p w14:paraId="3F26B7F6" w14:textId="77777777" w:rsidR="00255D09" w:rsidRPr="005B35F4" w:rsidRDefault="00255D09" w:rsidP="00CA7F04">
            <w:pPr>
              <w:tabs>
                <w:tab w:val="right" w:pos="1202"/>
              </w:tabs>
              <w:spacing w:line="240" w:lineRule="exact"/>
              <w:outlineLvl w:val="0"/>
              <w:rPr>
                <w:rFonts w:ascii="Arial" w:hAnsi="Arial" w:cs="Arial"/>
                <w:color w:val="000000" w:themeColor="text1"/>
                <w:sz w:val="17"/>
                <w:szCs w:val="17"/>
              </w:rPr>
            </w:pPr>
            <w:r w:rsidRPr="005B35F4">
              <w:rPr>
                <w:rFonts w:ascii="Arial" w:hAnsi="Arial" w:cs="Arial"/>
                <w:color w:val="000000" w:themeColor="text1"/>
                <w:sz w:val="17"/>
                <w:szCs w:val="17"/>
              </w:rPr>
              <w:t>Upisani a neuplaćeni kapital EIF-a</w:t>
            </w:r>
          </w:p>
        </w:tc>
        <w:tc>
          <w:tcPr>
            <w:tcW w:w="551" w:type="pct"/>
            <w:tcBorders>
              <w:top w:val="nil"/>
              <w:left w:val="nil"/>
              <w:bottom w:val="nil"/>
              <w:right w:val="nil"/>
            </w:tcBorders>
            <w:shd w:val="clear" w:color="auto" w:fill="auto"/>
            <w:vAlign w:val="bottom"/>
          </w:tcPr>
          <w:p w14:paraId="4B6C246B"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10.400 </w:t>
            </w:r>
          </w:p>
        </w:tc>
        <w:tc>
          <w:tcPr>
            <w:tcW w:w="546" w:type="pct"/>
            <w:tcBorders>
              <w:top w:val="nil"/>
              <w:left w:val="nil"/>
              <w:bottom w:val="nil"/>
              <w:right w:val="nil"/>
            </w:tcBorders>
            <w:shd w:val="clear" w:color="auto" w:fill="auto"/>
            <w:vAlign w:val="bottom"/>
          </w:tcPr>
          <w:p w14:paraId="0EBE04BA"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72" w:type="pct"/>
            <w:tcBorders>
              <w:top w:val="nil"/>
              <w:left w:val="nil"/>
              <w:bottom w:val="nil"/>
              <w:right w:val="nil"/>
            </w:tcBorders>
            <w:shd w:val="clear" w:color="auto" w:fill="auto"/>
            <w:vAlign w:val="bottom"/>
          </w:tcPr>
          <w:p w14:paraId="2AC7FD9B"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570" w:type="pct"/>
            <w:tcBorders>
              <w:top w:val="nil"/>
              <w:left w:val="nil"/>
              <w:bottom w:val="nil"/>
              <w:right w:val="nil"/>
            </w:tcBorders>
            <w:shd w:val="clear" w:color="auto" w:fill="auto"/>
            <w:vAlign w:val="bottom"/>
          </w:tcPr>
          <w:p w14:paraId="5558F953"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640" w:type="pct"/>
            <w:tcBorders>
              <w:top w:val="nil"/>
              <w:left w:val="nil"/>
              <w:bottom w:val="nil"/>
              <w:right w:val="nil"/>
            </w:tcBorders>
            <w:shd w:val="clear" w:color="auto" w:fill="auto"/>
            <w:vAlign w:val="bottom"/>
          </w:tcPr>
          <w:p w14:paraId="5161D312"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 </w:t>
            </w:r>
          </w:p>
        </w:tc>
        <w:tc>
          <w:tcPr>
            <w:tcW w:w="603" w:type="pct"/>
            <w:tcBorders>
              <w:top w:val="nil"/>
              <w:left w:val="nil"/>
              <w:bottom w:val="nil"/>
              <w:right w:val="nil"/>
            </w:tcBorders>
            <w:shd w:val="clear" w:color="auto" w:fill="auto"/>
            <w:vAlign w:val="bottom"/>
          </w:tcPr>
          <w:p w14:paraId="30EB454A"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10.400 </w:t>
            </w:r>
          </w:p>
        </w:tc>
      </w:tr>
      <w:tr w:rsidR="00255D09" w:rsidRPr="005B35F4" w14:paraId="0899C889" w14:textId="77777777" w:rsidTr="00CA7F04">
        <w:trPr>
          <w:trHeight w:hRule="exact" w:val="271"/>
        </w:trPr>
        <w:tc>
          <w:tcPr>
            <w:tcW w:w="1517" w:type="pct"/>
            <w:tcBorders>
              <w:top w:val="nil"/>
              <w:left w:val="nil"/>
              <w:bottom w:val="nil"/>
              <w:right w:val="nil"/>
            </w:tcBorders>
            <w:shd w:val="clear" w:color="auto" w:fill="auto"/>
            <w:vAlign w:val="bottom"/>
          </w:tcPr>
          <w:p w14:paraId="118A5CE8" w14:textId="77777777" w:rsidR="00255D09" w:rsidRPr="005B35F4" w:rsidRDefault="00255D09" w:rsidP="00CA7F04">
            <w:pPr>
              <w:tabs>
                <w:tab w:val="right" w:pos="1202"/>
              </w:tabs>
              <w:spacing w:line="240" w:lineRule="exact"/>
              <w:outlineLvl w:val="0"/>
              <w:rPr>
                <w:rFonts w:ascii="Arial" w:hAnsi="Arial" w:cs="Arial"/>
                <w:color w:val="000000" w:themeColor="text1"/>
                <w:sz w:val="17"/>
                <w:szCs w:val="17"/>
              </w:rPr>
            </w:pPr>
            <w:r w:rsidRPr="005B35F4">
              <w:rPr>
                <w:rFonts w:ascii="Arial" w:hAnsi="Arial" w:cs="Arial"/>
                <w:color w:val="000000"/>
                <w:sz w:val="17"/>
                <w:szCs w:val="17"/>
              </w:rPr>
              <w:t>Ugovorena obveza EIF CROGIP</w:t>
            </w:r>
          </w:p>
        </w:tc>
        <w:tc>
          <w:tcPr>
            <w:tcW w:w="551" w:type="pct"/>
            <w:tcBorders>
              <w:top w:val="nil"/>
              <w:left w:val="nil"/>
              <w:bottom w:val="nil"/>
              <w:right w:val="nil"/>
            </w:tcBorders>
            <w:shd w:val="clear" w:color="auto" w:fill="auto"/>
            <w:vAlign w:val="bottom"/>
          </w:tcPr>
          <w:p w14:paraId="041AE4F6"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129 </w:t>
            </w:r>
          </w:p>
        </w:tc>
        <w:tc>
          <w:tcPr>
            <w:tcW w:w="546" w:type="pct"/>
            <w:tcBorders>
              <w:top w:val="nil"/>
              <w:left w:val="nil"/>
              <w:bottom w:val="nil"/>
              <w:right w:val="nil"/>
            </w:tcBorders>
            <w:shd w:val="clear" w:color="auto" w:fill="auto"/>
            <w:vAlign w:val="bottom"/>
          </w:tcPr>
          <w:p w14:paraId="16CE5915"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1.467 </w:t>
            </w:r>
          </w:p>
        </w:tc>
        <w:tc>
          <w:tcPr>
            <w:tcW w:w="572" w:type="pct"/>
            <w:tcBorders>
              <w:top w:val="nil"/>
              <w:left w:val="nil"/>
              <w:bottom w:val="nil"/>
              <w:right w:val="nil"/>
            </w:tcBorders>
            <w:shd w:val="clear" w:color="auto" w:fill="auto"/>
            <w:vAlign w:val="bottom"/>
          </w:tcPr>
          <w:p w14:paraId="053C3873"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7.404 </w:t>
            </w:r>
          </w:p>
        </w:tc>
        <w:tc>
          <w:tcPr>
            <w:tcW w:w="570" w:type="pct"/>
            <w:tcBorders>
              <w:top w:val="nil"/>
              <w:left w:val="nil"/>
              <w:bottom w:val="nil"/>
              <w:right w:val="nil"/>
            </w:tcBorders>
            <w:shd w:val="clear" w:color="auto" w:fill="auto"/>
            <w:vAlign w:val="bottom"/>
          </w:tcPr>
          <w:p w14:paraId="724E41A1"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15.800 </w:t>
            </w:r>
          </w:p>
        </w:tc>
        <w:tc>
          <w:tcPr>
            <w:tcW w:w="640" w:type="pct"/>
            <w:tcBorders>
              <w:top w:val="nil"/>
              <w:left w:val="nil"/>
              <w:bottom w:val="nil"/>
              <w:right w:val="nil"/>
            </w:tcBorders>
            <w:shd w:val="clear" w:color="auto" w:fill="auto"/>
            <w:vAlign w:val="bottom"/>
          </w:tcPr>
          <w:p w14:paraId="3F38C3FC"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6.660 </w:t>
            </w:r>
          </w:p>
        </w:tc>
        <w:tc>
          <w:tcPr>
            <w:tcW w:w="603" w:type="pct"/>
            <w:tcBorders>
              <w:top w:val="nil"/>
              <w:left w:val="nil"/>
              <w:bottom w:val="nil"/>
              <w:right w:val="nil"/>
            </w:tcBorders>
            <w:shd w:val="clear" w:color="auto" w:fill="auto"/>
            <w:vAlign w:val="bottom"/>
          </w:tcPr>
          <w:p w14:paraId="7FC3762E"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31.460 </w:t>
            </w:r>
          </w:p>
        </w:tc>
      </w:tr>
      <w:tr w:rsidR="00255D09" w:rsidRPr="005B35F4" w14:paraId="65E47645" w14:textId="77777777" w:rsidTr="00CA7F04">
        <w:trPr>
          <w:trHeight w:hRule="exact" w:val="271"/>
        </w:trPr>
        <w:tc>
          <w:tcPr>
            <w:tcW w:w="1517" w:type="pct"/>
            <w:tcBorders>
              <w:top w:val="nil"/>
              <w:left w:val="nil"/>
              <w:bottom w:val="nil"/>
              <w:right w:val="nil"/>
            </w:tcBorders>
            <w:shd w:val="clear" w:color="auto" w:fill="auto"/>
            <w:vAlign w:val="bottom"/>
          </w:tcPr>
          <w:p w14:paraId="0EAEF322" w14:textId="77777777" w:rsidR="00255D09" w:rsidRPr="005B35F4" w:rsidRDefault="00255D09" w:rsidP="00CA7F04">
            <w:pPr>
              <w:tabs>
                <w:tab w:val="right" w:pos="1202"/>
              </w:tabs>
              <w:spacing w:line="240" w:lineRule="exact"/>
              <w:outlineLvl w:val="0"/>
              <w:rPr>
                <w:rFonts w:ascii="Arial" w:hAnsi="Arial" w:cs="Arial"/>
                <w:color w:val="000000" w:themeColor="text1"/>
                <w:sz w:val="17"/>
                <w:szCs w:val="17"/>
              </w:rPr>
            </w:pPr>
            <w:r w:rsidRPr="005B35F4">
              <w:rPr>
                <w:rFonts w:ascii="Arial" w:hAnsi="Arial" w:cs="Arial"/>
                <w:color w:val="000000"/>
                <w:sz w:val="17"/>
                <w:szCs w:val="17"/>
              </w:rPr>
              <w:t>Ugovorena obveza EIF FRC2</w:t>
            </w:r>
          </w:p>
        </w:tc>
        <w:tc>
          <w:tcPr>
            <w:tcW w:w="551" w:type="pct"/>
            <w:tcBorders>
              <w:top w:val="nil"/>
              <w:left w:val="nil"/>
              <w:bottom w:val="single" w:sz="8" w:space="0" w:color="auto"/>
              <w:right w:val="nil"/>
            </w:tcBorders>
            <w:shd w:val="clear" w:color="auto" w:fill="auto"/>
            <w:vAlign w:val="bottom"/>
          </w:tcPr>
          <w:p w14:paraId="68B21E24"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14 </w:t>
            </w:r>
          </w:p>
        </w:tc>
        <w:tc>
          <w:tcPr>
            <w:tcW w:w="546" w:type="pct"/>
            <w:tcBorders>
              <w:top w:val="nil"/>
              <w:left w:val="nil"/>
              <w:bottom w:val="single" w:sz="8" w:space="0" w:color="auto"/>
              <w:right w:val="nil"/>
            </w:tcBorders>
            <w:shd w:val="clear" w:color="auto" w:fill="auto"/>
            <w:vAlign w:val="bottom"/>
          </w:tcPr>
          <w:p w14:paraId="143B2D2A"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4 </w:t>
            </w:r>
          </w:p>
        </w:tc>
        <w:tc>
          <w:tcPr>
            <w:tcW w:w="572" w:type="pct"/>
            <w:tcBorders>
              <w:top w:val="nil"/>
              <w:left w:val="nil"/>
              <w:bottom w:val="single" w:sz="8" w:space="0" w:color="auto"/>
              <w:right w:val="nil"/>
            </w:tcBorders>
            <w:shd w:val="clear" w:color="auto" w:fill="auto"/>
            <w:vAlign w:val="bottom"/>
          </w:tcPr>
          <w:p w14:paraId="3D404ED1"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13 </w:t>
            </w:r>
          </w:p>
        </w:tc>
        <w:tc>
          <w:tcPr>
            <w:tcW w:w="570" w:type="pct"/>
            <w:tcBorders>
              <w:top w:val="nil"/>
              <w:left w:val="nil"/>
              <w:bottom w:val="single" w:sz="8" w:space="0" w:color="auto"/>
              <w:right w:val="nil"/>
            </w:tcBorders>
            <w:shd w:val="clear" w:color="auto" w:fill="auto"/>
            <w:vAlign w:val="bottom"/>
          </w:tcPr>
          <w:p w14:paraId="671C885B"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40 </w:t>
            </w:r>
          </w:p>
        </w:tc>
        <w:tc>
          <w:tcPr>
            <w:tcW w:w="640" w:type="pct"/>
            <w:tcBorders>
              <w:top w:val="nil"/>
              <w:left w:val="nil"/>
              <w:bottom w:val="single" w:sz="8" w:space="0" w:color="auto"/>
              <w:right w:val="nil"/>
            </w:tcBorders>
            <w:shd w:val="clear" w:color="auto" w:fill="auto"/>
            <w:vAlign w:val="bottom"/>
          </w:tcPr>
          <w:p w14:paraId="4CA8027E"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10 </w:t>
            </w:r>
          </w:p>
        </w:tc>
        <w:tc>
          <w:tcPr>
            <w:tcW w:w="603" w:type="pct"/>
            <w:tcBorders>
              <w:top w:val="nil"/>
              <w:left w:val="nil"/>
              <w:bottom w:val="single" w:sz="8" w:space="0" w:color="auto"/>
              <w:right w:val="nil"/>
            </w:tcBorders>
            <w:shd w:val="clear" w:color="auto" w:fill="auto"/>
            <w:vAlign w:val="bottom"/>
          </w:tcPr>
          <w:p w14:paraId="64748A24" w14:textId="77777777" w:rsidR="00255D09" w:rsidRPr="005B35F4" w:rsidRDefault="00255D09" w:rsidP="00CA7F04">
            <w:pPr>
              <w:jc w:val="right"/>
              <w:rPr>
                <w:rFonts w:ascii="Arial" w:hAnsi="Arial" w:cs="Arial"/>
                <w:color w:val="000000"/>
                <w:sz w:val="17"/>
                <w:szCs w:val="17"/>
              </w:rPr>
            </w:pPr>
            <w:r w:rsidRPr="00F959D0">
              <w:rPr>
                <w:rFonts w:ascii="Arial" w:hAnsi="Arial" w:cs="Arial"/>
                <w:color w:val="000000"/>
                <w:sz w:val="17"/>
                <w:szCs w:val="17"/>
              </w:rPr>
              <w:t xml:space="preserve"> 81 </w:t>
            </w:r>
          </w:p>
        </w:tc>
      </w:tr>
      <w:tr w:rsidR="00255D09" w:rsidRPr="005B35F4" w14:paraId="7A90D498" w14:textId="77777777" w:rsidTr="00CA7F04">
        <w:trPr>
          <w:trHeight w:hRule="exact" w:val="267"/>
        </w:trPr>
        <w:tc>
          <w:tcPr>
            <w:tcW w:w="1517" w:type="pct"/>
            <w:tcBorders>
              <w:top w:val="nil"/>
              <w:left w:val="nil"/>
              <w:bottom w:val="nil"/>
              <w:right w:val="nil"/>
            </w:tcBorders>
            <w:shd w:val="clear" w:color="auto" w:fill="auto"/>
            <w:vAlign w:val="center"/>
          </w:tcPr>
          <w:p w14:paraId="089A2430" w14:textId="77777777" w:rsidR="00255D09" w:rsidRPr="005B35F4" w:rsidRDefault="00255D09" w:rsidP="00CA7F04">
            <w:pPr>
              <w:tabs>
                <w:tab w:val="right" w:pos="1202"/>
              </w:tabs>
              <w:spacing w:line="240" w:lineRule="exact"/>
              <w:outlineLvl w:val="0"/>
              <w:rPr>
                <w:rFonts w:ascii="Arial" w:hAnsi="Arial" w:cs="Arial"/>
                <w:b/>
                <w:bCs/>
                <w:color w:val="000000" w:themeColor="text1"/>
                <w:spacing w:val="-2"/>
                <w:sz w:val="17"/>
                <w:szCs w:val="17"/>
              </w:rPr>
            </w:pPr>
            <w:r w:rsidRPr="005B35F4">
              <w:rPr>
                <w:rFonts w:ascii="Arial" w:hAnsi="Arial" w:cs="Arial"/>
                <w:b/>
                <w:bCs/>
                <w:color w:val="000000" w:themeColor="text1"/>
                <w:sz w:val="17"/>
                <w:szCs w:val="17"/>
              </w:rPr>
              <w:t>Ukupne garancije i preuzete obveze</w:t>
            </w:r>
          </w:p>
        </w:tc>
        <w:tc>
          <w:tcPr>
            <w:tcW w:w="551" w:type="pct"/>
            <w:tcBorders>
              <w:top w:val="single" w:sz="8" w:space="0" w:color="auto"/>
              <w:left w:val="nil"/>
              <w:bottom w:val="single" w:sz="12" w:space="0" w:color="auto"/>
              <w:right w:val="nil"/>
            </w:tcBorders>
            <w:shd w:val="clear" w:color="auto" w:fill="auto"/>
            <w:vAlign w:val="bottom"/>
          </w:tcPr>
          <w:p w14:paraId="1C6B073A" w14:textId="77777777" w:rsidR="00255D09" w:rsidRPr="003C3893" w:rsidRDefault="00255D09" w:rsidP="00CA7F04">
            <w:pPr>
              <w:jc w:val="right"/>
              <w:rPr>
                <w:rFonts w:ascii="Arial" w:hAnsi="Arial" w:cs="Arial"/>
                <w:b/>
                <w:bCs/>
                <w:color w:val="000000"/>
                <w:sz w:val="17"/>
                <w:szCs w:val="17"/>
              </w:rPr>
            </w:pPr>
            <w:r w:rsidRPr="00F959D0">
              <w:rPr>
                <w:rFonts w:ascii="Arial" w:hAnsi="Arial" w:cs="Arial"/>
                <w:b/>
                <w:bCs/>
                <w:color w:val="000000"/>
                <w:sz w:val="17"/>
                <w:szCs w:val="17"/>
              </w:rPr>
              <w:t>516.155</w:t>
            </w:r>
          </w:p>
        </w:tc>
        <w:tc>
          <w:tcPr>
            <w:tcW w:w="546" w:type="pct"/>
            <w:tcBorders>
              <w:top w:val="single" w:sz="8" w:space="0" w:color="auto"/>
              <w:left w:val="nil"/>
              <w:bottom w:val="single" w:sz="12" w:space="0" w:color="auto"/>
              <w:right w:val="nil"/>
            </w:tcBorders>
            <w:shd w:val="clear" w:color="auto" w:fill="auto"/>
            <w:vAlign w:val="bottom"/>
          </w:tcPr>
          <w:p w14:paraId="510101FA" w14:textId="77777777" w:rsidR="00255D09" w:rsidRPr="003C3893" w:rsidRDefault="00255D09" w:rsidP="00CA7F04">
            <w:pPr>
              <w:jc w:val="right"/>
              <w:rPr>
                <w:rFonts w:ascii="Arial" w:hAnsi="Arial" w:cs="Arial"/>
                <w:b/>
                <w:bCs/>
                <w:color w:val="000000"/>
                <w:sz w:val="17"/>
                <w:szCs w:val="17"/>
              </w:rPr>
            </w:pPr>
            <w:r w:rsidRPr="00F959D0">
              <w:rPr>
                <w:rFonts w:ascii="Arial" w:hAnsi="Arial" w:cs="Arial"/>
                <w:b/>
                <w:bCs/>
                <w:color w:val="000000"/>
                <w:sz w:val="17"/>
                <w:szCs w:val="17"/>
              </w:rPr>
              <w:t>1.471</w:t>
            </w:r>
          </w:p>
        </w:tc>
        <w:tc>
          <w:tcPr>
            <w:tcW w:w="572" w:type="pct"/>
            <w:tcBorders>
              <w:top w:val="single" w:sz="8" w:space="0" w:color="auto"/>
              <w:left w:val="nil"/>
              <w:bottom w:val="single" w:sz="12" w:space="0" w:color="auto"/>
              <w:right w:val="nil"/>
            </w:tcBorders>
            <w:shd w:val="clear" w:color="auto" w:fill="auto"/>
            <w:vAlign w:val="bottom"/>
          </w:tcPr>
          <w:p w14:paraId="2EB5BFB8" w14:textId="77777777" w:rsidR="00255D09" w:rsidRPr="003C3893" w:rsidRDefault="00255D09" w:rsidP="00CA7F04">
            <w:pPr>
              <w:jc w:val="right"/>
              <w:rPr>
                <w:rFonts w:ascii="Arial" w:hAnsi="Arial" w:cs="Arial"/>
                <w:b/>
                <w:bCs/>
                <w:color w:val="000000"/>
                <w:sz w:val="17"/>
                <w:szCs w:val="17"/>
              </w:rPr>
            </w:pPr>
            <w:r w:rsidRPr="00F959D0">
              <w:rPr>
                <w:rFonts w:ascii="Arial" w:hAnsi="Arial" w:cs="Arial"/>
                <w:b/>
                <w:bCs/>
                <w:color w:val="000000"/>
                <w:sz w:val="17"/>
                <w:szCs w:val="17"/>
              </w:rPr>
              <w:t>7.417</w:t>
            </w:r>
          </w:p>
        </w:tc>
        <w:tc>
          <w:tcPr>
            <w:tcW w:w="570" w:type="pct"/>
            <w:tcBorders>
              <w:top w:val="single" w:sz="8" w:space="0" w:color="auto"/>
              <w:left w:val="nil"/>
              <w:bottom w:val="single" w:sz="12" w:space="0" w:color="auto"/>
              <w:right w:val="nil"/>
            </w:tcBorders>
            <w:shd w:val="clear" w:color="auto" w:fill="auto"/>
            <w:vAlign w:val="bottom"/>
          </w:tcPr>
          <w:p w14:paraId="0D88BEE7" w14:textId="77777777" w:rsidR="00255D09" w:rsidRPr="003C3893" w:rsidRDefault="00255D09" w:rsidP="00CA7F04">
            <w:pPr>
              <w:jc w:val="right"/>
              <w:rPr>
                <w:rFonts w:ascii="Arial" w:hAnsi="Arial" w:cs="Arial"/>
                <w:b/>
                <w:bCs/>
                <w:color w:val="000000"/>
                <w:sz w:val="17"/>
                <w:szCs w:val="17"/>
              </w:rPr>
            </w:pPr>
            <w:r w:rsidRPr="00F959D0">
              <w:rPr>
                <w:rFonts w:ascii="Arial" w:hAnsi="Arial" w:cs="Arial"/>
                <w:b/>
                <w:bCs/>
                <w:color w:val="000000"/>
                <w:sz w:val="17"/>
                <w:szCs w:val="17"/>
              </w:rPr>
              <w:t>15.840</w:t>
            </w:r>
          </w:p>
        </w:tc>
        <w:tc>
          <w:tcPr>
            <w:tcW w:w="640" w:type="pct"/>
            <w:tcBorders>
              <w:top w:val="single" w:sz="8" w:space="0" w:color="auto"/>
              <w:left w:val="nil"/>
              <w:bottom w:val="single" w:sz="12" w:space="0" w:color="auto"/>
              <w:right w:val="nil"/>
            </w:tcBorders>
            <w:shd w:val="clear" w:color="auto" w:fill="auto"/>
            <w:vAlign w:val="bottom"/>
          </w:tcPr>
          <w:p w14:paraId="52105B37" w14:textId="77777777" w:rsidR="00255D09" w:rsidRPr="003C3893" w:rsidRDefault="00255D09" w:rsidP="00CA7F04">
            <w:pPr>
              <w:jc w:val="right"/>
              <w:rPr>
                <w:rFonts w:ascii="Arial" w:hAnsi="Arial" w:cs="Arial"/>
                <w:b/>
                <w:bCs/>
                <w:color w:val="000000"/>
                <w:sz w:val="17"/>
                <w:szCs w:val="17"/>
              </w:rPr>
            </w:pPr>
            <w:r w:rsidRPr="00F959D0">
              <w:rPr>
                <w:rFonts w:ascii="Arial" w:hAnsi="Arial" w:cs="Arial"/>
                <w:b/>
                <w:bCs/>
                <w:color w:val="000000"/>
                <w:sz w:val="17"/>
                <w:szCs w:val="17"/>
              </w:rPr>
              <w:t>6.670</w:t>
            </w:r>
          </w:p>
        </w:tc>
        <w:tc>
          <w:tcPr>
            <w:tcW w:w="603" w:type="pct"/>
            <w:tcBorders>
              <w:top w:val="single" w:sz="8" w:space="0" w:color="auto"/>
              <w:left w:val="nil"/>
              <w:bottom w:val="single" w:sz="12" w:space="0" w:color="auto"/>
              <w:right w:val="nil"/>
            </w:tcBorders>
            <w:shd w:val="clear" w:color="auto" w:fill="auto"/>
            <w:vAlign w:val="bottom"/>
          </w:tcPr>
          <w:p w14:paraId="588828C4" w14:textId="77777777" w:rsidR="00255D09" w:rsidRPr="003C3893" w:rsidRDefault="00255D09" w:rsidP="00CA7F04">
            <w:pPr>
              <w:jc w:val="right"/>
              <w:rPr>
                <w:rFonts w:ascii="Arial" w:hAnsi="Arial" w:cs="Arial"/>
                <w:b/>
                <w:bCs/>
                <w:color w:val="000000"/>
                <w:sz w:val="17"/>
                <w:szCs w:val="17"/>
              </w:rPr>
            </w:pPr>
            <w:r w:rsidRPr="00F959D0">
              <w:rPr>
                <w:rFonts w:ascii="Arial" w:hAnsi="Arial" w:cs="Arial"/>
                <w:b/>
                <w:bCs/>
                <w:color w:val="000000"/>
                <w:sz w:val="17"/>
                <w:szCs w:val="17"/>
              </w:rPr>
              <w:t>547.553</w:t>
            </w:r>
          </w:p>
        </w:tc>
      </w:tr>
    </w:tbl>
    <w:p w14:paraId="04E6D53A" w14:textId="77777777" w:rsidR="00661446" w:rsidRPr="003D1614" w:rsidRDefault="00661446" w:rsidP="00661446">
      <w:pPr>
        <w:suppressAutoHyphens/>
        <w:autoSpaceDN w:val="0"/>
        <w:jc w:val="both"/>
        <w:rPr>
          <w:rFonts w:ascii="Arial" w:eastAsia="Times New Roman" w:hAnsi="Arial" w:cs="Arial"/>
          <w:color w:val="000000" w:themeColor="text1"/>
          <w:sz w:val="20"/>
          <w:szCs w:val="20"/>
        </w:rPr>
      </w:pPr>
    </w:p>
    <w:p w14:paraId="565D4DA2" w14:textId="77777777" w:rsidR="007B31F3" w:rsidRPr="005B35F4" w:rsidRDefault="007B31F3" w:rsidP="007B31F3">
      <w:pPr>
        <w:pStyle w:val="accountingpolicytitle"/>
        <w:spacing w:before="120" w:after="120"/>
        <w:rPr>
          <w:rFonts w:cs="Arial"/>
          <w:b w:val="0"/>
          <w:color w:val="000000" w:themeColor="text1"/>
          <w:sz w:val="18"/>
          <w:szCs w:val="18"/>
          <w:lang w:val="hr-HR"/>
        </w:rPr>
      </w:pPr>
      <w:r w:rsidRPr="005B35F4">
        <w:rPr>
          <w:rFonts w:cs="Arial"/>
          <w:b w:val="0"/>
          <w:color w:val="000000" w:themeColor="text1"/>
          <w:sz w:val="18"/>
          <w:szCs w:val="18"/>
          <w:lang w:val="hr-HR"/>
        </w:rPr>
        <w:t>Stavke s neodređenim dospijećem iskazane su u razdoblju preko 3 godine.</w:t>
      </w:r>
    </w:p>
    <w:p w14:paraId="54782D9F" w14:textId="77777777" w:rsidR="007B31F3" w:rsidRDefault="007B31F3" w:rsidP="007B31F3">
      <w:pPr>
        <w:keepNext/>
        <w:ind w:right="-1"/>
        <w:jc w:val="both"/>
        <w:rPr>
          <w:rFonts w:ascii="Arial" w:hAnsi="Arial" w:cs="Arial"/>
          <w:bCs/>
          <w:i/>
          <w:color w:val="000000" w:themeColor="text1"/>
          <w:sz w:val="18"/>
          <w:szCs w:val="18"/>
        </w:rPr>
      </w:pPr>
    </w:p>
    <w:p w14:paraId="217B0A93" w14:textId="77777777" w:rsidR="007B31F3" w:rsidRPr="00F959D0" w:rsidRDefault="007B31F3" w:rsidP="007B31F3">
      <w:pPr>
        <w:keepNext/>
        <w:ind w:right="-1"/>
        <w:jc w:val="both"/>
        <w:rPr>
          <w:rFonts w:ascii="Arial" w:hAnsi="Arial" w:cs="Arial"/>
          <w:bCs/>
          <w:i/>
          <w:strike/>
          <w:color w:val="000000" w:themeColor="text1"/>
          <w:sz w:val="18"/>
          <w:szCs w:val="18"/>
        </w:rPr>
      </w:pPr>
      <w:r w:rsidRPr="00F84C24">
        <w:rPr>
          <w:rFonts w:ascii="Arial" w:hAnsi="Arial" w:cs="Arial"/>
          <w:bCs/>
          <w:i/>
          <w:color w:val="000000" w:themeColor="text1"/>
          <w:sz w:val="18"/>
          <w:szCs w:val="18"/>
        </w:rPr>
        <w:t>*</w:t>
      </w:r>
      <w:r w:rsidRPr="00F84C24">
        <w:rPr>
          <w:rFonts w:ascii="Arial" w:hAnsi="Arial" w:cs="Arial"/>
          <w:b/>
          <w:bCs/>
          <w:color w:val="000000" w:themeColor="text1"/>
          <w:sz w:val="18"/>
          <w:szCs w:val="18"/>
        </w:rPr>
        <w:t xml:space="preserve"> </w:t>
      </w:r>
      <w:r w:rsidRPr="00F959D0">
        <w:rPr>
          <w:rFonts w:ascii="Arial" w:hAnsi="Arial" w:cs="Arial"/>
          <w:bCs/>
          <w:i/>
          <w:color w:val="000000" w:themeColor="text1"/>
          <w:sz w:val="18"/>
          <w:szCs w:val="18"/>
        </w:rPr>
        <w:t xml:space="preserve">Potraživanje u iznosu od </w:t>
      </w:r>
      <w:r>
        <w:rPr>
          <w:rFonts w:ascii="Arial" w:hAnsi="Arial" w:cs="Arial"/>
          <w:bCs/>
          <w:i/>
          <w:color w:val="000000" w:themeColor="text1"/>
          <w:sz w:val="18"/>
          <w:szCs w:val="18"/>
        </w:rPr>
        <w:t>193</w:t>
      </w:r>
      <w:r w:rsidRPr="00F959D0">
        <w:rPr>
          <w:rFonts w:ascii="Arial" w:hAnsi="Arial" w:cs="Arial"/>
          <w:bCs/>
          <w:i/>
          <w:color w:val="000000" w:themeColor="text1"/>
          <w:sz w:val="18"/>
          <w:szCs w:val="18"/>
        </w:rPr>
        <w:t>.</w:t>
      </w:r>
      <w:r>
        <w:rPr>
          <w:rFonts w:ascii="Arial" w:hAnsi="Arial" w:cs="Arial"/>
          <w:bCs/>
          <w:i/>
          <w:color w:val="000000" w:themeColor="text1"/>
          <w:sz w:val="18"/>
          <w:szCs w:val="18"/>
        </w:rPr>
        <w:t>000</w:t>
      </w:r>
      <w:r w:rsidRPr="00F959D0">
        <w:rPr>
          <w:rFonts w:ascii="Arial" w:hAnsi="Arial" w:cs="Arial"/>
          <w:bCs/>
          <w:i/>
          <w:color w:val="000000" w:themeColor="text1"/>
          <w:sz w:val="18"/>
          <w:szCs w:val="18"/>
        </w:rPr>
        <w:t xml:space="preserve"> tisuća </w:t>
      </w:r>
      <w:r>
        <w:rPr>
          <w:rFonts w:ascii="Arial" w:hAnsi="Arial" w:cs="Arial"/>
          <w:bCs/>
          <w:i/>
          <w:color w:val="000000" w:themeColor="text1"/>
          <w:sz w:val="18"/>
          <w:szCs w:val="18"/>
        </w:rPr>
        <w:t>eura</w:t>
      </w:r>
      <w:r w:rsidRPr="00F959D0">
        <w:rPr>
          <w:rFonts w:ascii="Arial" w:hAnsi="Arial" w:cs="Arial"/>
          <w:bCs/>
          <w:i/>
          <w:color w:val="000000" w:themeColor="text1"/>
          <w:sz w:val="18"/>
          <w:szCs w:val="18"/>
        </w:rPr>
        <w:t xml:space="preserve"> odnosi se na obrnute repo poslove. Kako je dio iznosa potraživanja produžen nakon datuma Izvještaja o financijskom položaju njegovo dospijeće iskazano je u razdoblju od 1 do 3 mjeseca u iznosu od </w:t>
      </w:r>
      <w:r>
        <w:rPr>
          <w:rFonts w:ascii="Arial" w:hAnsi="Arial" w:cs="Arial"/>
          <w:bCs/>
          <w:i/>
          <w:color w:val="000000" w:themeColor="text1"/>
          <w:sz w:val="18"/>
          <w:szCs w:val="18"/>
        </w:rPr>
        <w:t>128</w:t>
      </w:r>
      <w:r w:rsidRPr="00F959D0">
        <w:rPr>
          <w:rFonts w:ascii="Arial" w:hAnsi="Arial" w:cs="Arial"/>
          <w:bCs/>
          <w:i/>
          <w:color w:val="000000" w:themeColor="text1"/>
          <w:sz w:val="18"/>
          <w:szCs w:val="18"/>
        </w:rPr>
        <w:t>.</w:t>
      </w:r>
      <w:r>
        <w:rPr>
          <w:rFonts w:ascii="Arial" w:hAnsi="Arial" w:cs="Arial"/>
          <w:bCs/>
          <w:i/>
          <w:color w:val="000000" w:themeColor="text1"/>
          <w:sz w:val="18"/>
          <w:szCs w:val="18"/>
        </w:rPr>
        <w:t>000</w:t>
      </w:r>
      <w:r w:rsidRPr="00F959D0">
        <w:rPr>
          <w:rFonts w:ascii="Arial" w:hAnsi="Arial" w:cs="Arial"/>
          <w:bCs/>
          <w:i/>
          <w:color w:val="000000" w:themeColor="text1"/>
          <w:sz w:val="18"/>
          <w:szCs w:val="18"/>
        </w:rPr>
        <w:t xml:space="preserve"> tisuća </w:t>
      </w:r>
      <w:r>
        <w:rPr>
          <w:rFonts w:ascii="Arial" w:hAnsi="Arial" w:cs="Arial"/>
          <w:bCs/>
          <w:i/>
          <w:color w:val="000000" w:themeColor="text1"/>
          <w:sz w:val="18"/>
          <w:szCs w:val="18"/>
        </w:rPr>
        <w:t>eur</w:t>
      </w:r>
      <w:r w:rsidRPr="00F959D0">
        <w:rPr>
          <w:rFonts w:ascii="Arial" w:hAnsi="Arial" w:cs="Arial"/>
          <w:bCs/>
          <w:i/>
          <w:color w:val="000000" w:themeColor="text1"/>
          <w:sz w:val="18"/>
          <w:szCs w:val="18"/>
        </w:rPr>
        <w:t>a.</w:t>
      </w:r>
    </w:p>
    <w:p w14:paraId="08516CC4" w14:textId="77777777" w:rsidR="007B31F3" w:rsidRPr="005B35F4" w:rsidRDefault="007B31F3" w:rsidP="007B31F3">
      <w:pPr>
        <w:jc w:val="both"/>
        <w:rPr>
          <w:rFonts w:ascii="Arial" w:hAnsi="Arial" w:cs="Arial"/>
          <w:bCs/>
          <w:i/>
          <w:color w:val="000000" w:themeColor="text1"/>
          <w:sz w:val="18"/>
          <w:szCs w:val="18"/>
        </w:rPr>
      </w:pPr>
      <w:r w:rsidRPr="005B35F4">
        <w:rPr>
          <w:rFonts w:ascii="Arial" w:eastAsia="Calibri" w:hAnsi="Arial" w:cs="Arial"/>
          <w:bCs/>
          <w:i/>
          <w:color w:val="000000" w:themeColor="text1"/>
          <w:sz w:val="18"/>
          <w:szCs w:val="18"/>
        </w:rPr>
        <w:t>*</w:t>
      </w:r>
      <w:r>
        <w:rPr>
          <w:rFonts w:ascii="Arial" w:eastAsia="Calibri" w:hAnsi="Arial" w:cs="Arial"/>
          <w:bCs/>
          <w:i/>
          <w:color w:val="000000" w:themeColor="text1"/>
          <w:sz w:val="18"/>
          <w:szCs w:val="18"/>
        </w:rPr>
        <w:t>*</w:t>
      </w:r>
      <w:r w:rsidRPr="005B35F4">
        <w:rPr>
          <w:rFonts w:ascii="Arial" w:hAnsi="Arial" w:cs="Arial"/>
          <w:bCs/>
          <w:i/>
          <w:color w:val="000000" w:themeColor="text1"/>
          <w:sz w:val="18"/>
          <w:szCs w:val="18"/>
        </w:rPr>
        <w:t xml:space="preserve">Obračunata nedospjela kamata po kreditima raspoređena je u kategoriji od 1 do 3 mjeseca. </w:t>
      </w:r>
    </w:p>
    <w:p w14:paraId="09FC938C" w14:textId="77777777" w:rsidR="00661446" w:rsidRPr="003D1614" w:rsidRDefault="00661446" w:rsidP="00661446">
      <w:pPr>
        <w:suppressAutoHyphens/>
        <w:autoSpaceDN w:val="0"/>
        <w:jc w:val="both"/>
        <w:rPr>
          <w:rFonts w:ascii="Arial" w:eastAsia="Times New Roman" w:hAnsi="Arial" w:cs="Arial"/>
          <w:bCs/>
          <w:i/>
          <w:color w:val="000000" w:themeColor="text1"/>
          <w:sz w:val="18"/>
          <w:szCs w:val="18"/>
        </w:rPr>
        <w:sectPr w:rsidR="00661446" w:rsidRPr="003D1614" w:rsidSect="003278AB">
          <w:pgSz w:w="11906" w:h="16838"/>
          <w:pgMar w:top="1417" w:right="1417" w:bottom="1417" w:left="1417" w:header="708" w:footer="708" w:gutter="0"/>
          <w:cols w:space="708"/>
          <w:docGrid w:linePitch="360"/>
        </w:sectPr>
      </w:pPr>
    </w:p>
    <w:p w14:paraId="7192DBFC" w14:textId="77777777"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p>
    <w:p w14:paraId="2A0E342E" w14:textId="14831F90"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7DF49642" w14:textId="77777777"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p>
    <w:p w14:paraId="2B35621B" w14:textId="175E14CA"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.4. </w:t>
      </w:r>
      <w:r w:rsidRPr="003D1614">
        <w:rPr>
          <w:rFonts w:ascii="Arial" w:eastAsia="Times New Roman" w:hAnsi="Arial" w:cs="Arial"/>
          <w:b/>
          <w:bCs/>
          <w:color w:val="000000" w:themeColor="text1"/>
          <w:sz w:val="20"/>
          <w:szCs w:val="20"/>
        </w:rPr>
        <w:tab/>
        <w:t>Rizik likvidnosti (nastavak)</w:t>
      </w:r>
    </w:p>
    <w:p w14:paraId="3A0170AA" w14:textId="77777777" w:rsidR="000C7E59" w:rsidRPr="003D1614" w:rsidRDefault="000C7E59" w:rsidP="000C7E59">
      <w:pPr>
        <w:keepNext/>
        <w:suppressAutoHyphens/>
        <w:autoSpaceDN w:val="0"/>
        <w:jc w:val="both"/>
        <w:outlineLvl w:val="0"/>
        <w:rPr>
          <w:rFonts w:ascii="Arial" w:eastAsia="Times New Roman" w:hAnsi="Arial" w:cs="Arial"/>
          <w:bCs/>
          <w:color w:val="000000" w:themeColor="text1"/>
          <w:sz w:val="20"/>
          <w:szCs w:val="20"/>
        </w:rPr>
      </w:pPr>
    </w:p>
    <w:p w14:paraId="644BEED7" w14:textId="77777777" w:rsidR="000C7E59" w:rsidRPr="003D1614" w:rsidRDefault="000C7E59" w:rsidP="000C7E59">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Tabela u nastavku prikazuje preostalo ugovorno dospijeće financijskih obveza dok su garancije i preuzete obveza Grupe prikazane u kategoriji do 1 mjesec obzirom na mogućnost prijevremenog poziva na izvršenje obveze (</w:t>
      </w:r>
      <w:proofErr w:type="spellStart"/>
      <w:r w:rsidRPr="003D1614">
        <w:rPr>
          <w:rFonts w:ascii="Arial" w:eastAsia="Times New Roman" w:hAnsi="Arial" w:cs="Arial"/>
          <w:bCs/>
          <w:color w:val="000000" w:themeColor="text1"/>
          <w:sz w:val="20"/>
          <w:szCs w:val="20"/>
        </w:rPr>
        <w:t>nediskontirani</w:t>
      </w:r>
      <w:proofErr w:type="spellEnd"/>
      <w:r w:rsidRPr="003D1614">
        <w:rPr>
          <w:rFonts w:ascii="Arial" w:eastAsia="Times New Roman" w:hAnsi="Arial" w:cs="Arial"/>
          <w:bCs/>
          <w:color w:val="000000" w:themeColor="text1"/>
          <w:sz w:val="20"/>
          <w:szCs w:val="20"/>
        </w:rPr>
        <w:t xml:space="preserve"> iznosi):</w:t>
      </w:r>
    </w:p>
    <w:p w14:paraId="50169A14" w14:textId="77777777" w:rsidR="000C7E59" w:rsidRPr="003D1614" w:rsidRDefault="000C7E59" w:rsidP="000C7E59">
      <w:pPr>
        <w:keepNext/>
        <w:suppressAutoHyphens/>
        <w:autoSpaceDN w:val="0"/>
        <w:jc w:val="both"/>
        <w:outlineLvl w:val="0"/>
        <w:rPr>
          <w:rFonts w:ascii="Arial" w:eastAsia="Times New Roman" w:hAnsi="Arial" w:cs="Arial"/>
          <w:bCs/>
          <w:color w:val="000000" w:themeColor="text1"/>
          <w:sz w:val="20"/>
          <w:szCs w:val="20"/>
        </w:rPr>
      </w:pPr>
    </w:p>
    <w:tbl>
      <w:tblPr>
        <w:tblW w:w="5383" w:type="pct"/>
        <w:tblInd w:w="-468" w:type="dxa"/>
        <w:tblLayout w:type="fixed"/>
        <w:tblCellMar>
          <w:left w:w="120" w:type="dxa"/>
          <w:right w:w="120" w:type="dxa"/>
        </w:tblCellMar>
        <w:tblLook w:val="0000" w:firstRow="0" w:lastRow="0" w:firstColumn="0" w:lastColumn="0" w:noHBand="0" w:noVBand="0"/>
      </w:tblPr>
      <w:tblGrid>
        <w:gridCol w:w="3128"/>
        <w:gridCol w:w="1087"/>
        <w:gridCol w:w="1085"/>
        <w:gridCol w:w="1086"/>
        <w:gridCol w:w="1086"/>
        <w:gridCol w:w="1086"/>
        <w:gridCol w:w="1209"/>
      </w:tblGrid>
      <w:tr w:rsidR="000C7E59" w:rsidRPr="003D1614" w14:paraId="3E83B0E4" w14:textId="77777777" w:rsidTr="009218FE">
        <w:trPr>
          <w:trHeight w:val="452"/>
        </w:trPr>
        <w:tc>
          <w:tcPr>
            <w:tcW w:w="1601" w:type="pct"/>
          </w:tcPr>
          <w:p w14:paraId="0E21C14B" w14:textId="77777777" w:rsidR="000C7E59" w:rsidRPr="003D1614" w:rsidRDefault="000C7E59" w:rsidP="000C7E59">
            <w:pPr>
              <w:tabs>
                <w:tab w:val="right" w:pos="1202"/>
              </w:tabs>
              <w:suppressAutoHyphens/>
              <w:autoSpaceDN w:val="0"/>
              <w:spacing w:line="240" w:lineRule="atLeast"/>
              <w:outlineLvl w:val="0"/>
              <w:rPr>
                <w:rFonts w:ascii="Arial" w:eastAsia="Times New Roman" w:hAnsi="Arial" w:cs="Arial"/>
                <w:b/>
                <w:color w:val="000000" w:themeColor="text1"/>
                <w:sz w:val="17"/>
                <w:szCs w:val="17"/>
              </w:rPr>
            </w:pPr>
            <w:bookmarkStart w:id="846" w:name="_Toc67330262"/>
            <w:r w:rsidRPr="003D1614">
              <w:rPr>
                <w:rFonts w:ascii="Arial" w:eastAsia="Times New Roman" w:hAnsi="Arial" w:cs="Arial"/>
                <w:b/>
                <w:color w:val="000000" w:themeColor="text1"/>
                <w:sz w:val="17"/>
                <w:szCs w:val="17"/>
              </w:rPr>
              <w:t>Grupa</w:t>
            </w:r>
            <w:bookmarkEnd w:id="846"/>
          </w:p>
          <w:p w14:paraId="40010D6C" w14:textId="34FCC992" w:rsidR="000C7E59" w:rsidRPr="003D1614" w:rsidRDefault="000C7E59" w:rsidP="000C7E59">
            <w:pPr>
              <w:tabs>
                <w:tab w:val="right" w:pos="1202"/>
              </w:tabs>
              <w:suppressAutoHyphens/>
              <w:autoSpaceDN w:val="0"/>
              <w:spacing w:line="240" w:lineRule="atLeast"/>
              <w:outlineLvl w:val="0"/>
              <w:rPr>
                <w:rFonts w:ascii="Arial" w:eastAsia="Times New Roman" w:hAnsi="Arial" w:cs="Arial"/>
                <w:b/>
                <w:color w:val="000000" w:themeColor="text1"/>
                <w:sz w:val="17"/>
                <w:szCs w:val="17"/>
              </w:rPr>
            </w:pPr>
            <w:bookmarkStart w:id="847" w:name="_Toc67330263"/>
            <w:r w:rsidRPr="003D1614">
              <w:rPr>
                <w:rFonts w:ascii="Arial" w:eastAsia="Times New Roman" w:hAnsi="Arial" w:cs="Arial"/>
                <w:b/>
                <w:color w:val="000000" w:themeColor="text1"/>
                <w:sz w:val="17"/>
                <w:szCs w:val="17"/>
              </w:rPr>
              <w:t>31. ožujka 202</w:t>
            </w:r>
            <w:r w:rsidR="006439D2">
              <w:rPr>
                <w:rFonts w:ascii="Arial" w:eastAsia="Times New Roman" w:hAnsi="Arial" w:cs="Arial"/>
                <w:b/>
                <w:color w:val="000000" w:themeColor="text1"/>
                <w:sz w:val="17"/>
                <w:szCs w:val="17"/>
              </w:rPr>
              <w:t>4</w:t>
            </w:r>
            <w:r w:rsidRPr="003D1614">
              <w:rPr>
                <w:rFonts w:ascii="Arial" w:eastAsia="Times New Roman" w:hAnsi="Arial" w:cs="Arial"/>
                <w:b/>
                <w:color w:val="000000" w:themeColor="text1"/>
                <w:sz w:val="17"/>
                <w:szCs w:val="17"/>
              </w:rPr>
              <w:t>.</w:t>
            </w:r>
            <w:bookmarkEnd w:id="847"/>
            <w:r w:rsidRPr="003D1614">
              <w:rPr>
                <w:rFonts w:ascii="Arial" w:eastAsia="Times New Roman" w:hAnsi="Arial" w:cs="Arial"/>
                <w:b/>
                <w:color w:val="000000" w:themeColor="text1"/>
                <w:sz w:val="17"/>
                <w:szCs w:val="17"/>
              </w:rPr>
              <w:t xml:space="preserve"> </w:t>
            </w:r>
          </w:p>
        </w:tc>
        <w:tc>
          <w:tcPr>
            <w:tcW w:w="556" w:type="pct"/>
          </w:tcPr>
          <w:p w14:paraId="036CC466" w14:textId="77777777" w:rsidR="000C7E59" w:rsidRPr="003D1614" w:rsidRDefault="000C7E59" w:rsidP="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848" w:name="_Toc67330264"/>
            <w:r w:rsidRPr="003D1614">
              <w:rPr>
                <w:rFonts w:ascii="Arial" w:eastAsia="Times New Roman" w:hAnsi="Arial" w:cs="Arial"/>
                <w:b/>
                <w:color w:val="000000" w:themeColor="text1"/>
                <w:sz w:val="17"/>
                <w:szCs w:val="17"/>
              </w:rPr>
              <w:t>Do 1 mjesec</w:t>
            </w:r>
            <w:bookmarkEnd w:id="848"/>
          </w:p>
        </w:tc>
        <w:tc>
          <w:tcPr>
            <w:tcW w:w="555" w:type="pct"/>
          </w:tcPr>
          <w:p w14:paraId="7EB74090" w14:textId="77777777" w:rsidR="000C7E59" w:rsidRPr="003D1614" w:rsidRDefault="000C7E59" w:rsidP="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849" w:name="_Toc67330265"/>
            <w:r w:rsidRPr="003D1614">
              <w:rPr>
                <w:rFonts w:ascii="Arial" w:eastAsia="Times New Roman" w:hAnsi="Arial" w:cs="Arial"/>
                <w:b/>
                <w:color w:val="000000" w:themeColor="text1"/>
                <w:sz w:val="17"/>
                <w:szCs w:val="17"/>
              </w:rPr>
              <w:t>1 do 3 mjeseca</w:t>
            </w:r>
            <w:bookmarkEnd w:id="849"/>
          </w:p>
        </w:tc>
        <w:tc>
          <w:tcPr>
            <w:tcW w:w="556" w:type="pct"/>
          </w:tcPr>
          <w:p w14:paraId="5734C767" w14:textId="77777777" w:rsidR="000C7E59" w:rsidRPr="003D1614" w:rsidRDefault="000C7E59" w:rsidP="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850" w:name="_Toc67330266"/>
            <w:r w:rsidRPr="003D1614">
              <w:rPr>
                <w:rFonts w:ascii="Arial" w:eastAsia="Times New Roman" w:hAnsi="Arial" w:cs="Arial"/>
                <w:b/>
                <w:color w:val="000000" w:themeColor="text1"/>
                <w:sz w:val="17"/>
                <w:szCs w:val="17"/>
              </w:rPr>
              <w:t>3 mj. do 1 godine</w:t>
            </w:r>
            <w:bookmarkEnd w:id="850"/>
          </w:p>
        </w:tc>
        <w:tc>
          <w:tcPr>
            <w:tcW w:w="556" w:type="pct"/>
          </w:tcPr>
          <w:p w14:paraId="1ED29442" w14:textId="77777777" w:rsidR="000C7E59" w:rsidRPr="003D1614" w:rsidRDefault="000C7E59" w:rsidP="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851" w:name="_Toc67330267"/>
            <w:r w:rsidRPr="003D1614">
              <w:rPr>
                <w:rFonts w:ascii="Arial" w:eastAsia="Times New Roman" w:hAnsi="Arial" w:cs="Arial"/>
                <w:b/>
                <w:color w:val="000000" w:themeColor="text1"/>
                <w:sz w:val="17"/>
                <w:szCs w:val="17"/>
              </w:rPr>
              <w:t>1 do 3 godina</w:t>
            </w:r>
            <w:bookmarkEnd w:id="851"/>
          </w:p>
        </w:tc>
        <w:tc>
          <w:tcPr>
            <w:tcW w:w="556" w:type="pct"/>
          </w:tcPr>
          <w:p w14:paraId="0F8E79A7" w14:textId="77777777" w:rsidR="000C7E59" w:rsidRPr="003D1614" w:rsidRDefault="000C7E59" w:rsidP="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852" w:name="_Toc67330268"/>
            <w:r w:rsidRPr="003D1614">
              <w:rPr>
                <w:rFonts w:ascii="Arial" w:eastAsia="Times New Roman" w:hAnsi="Arial" w:cs="Arial"/>
                <w:b/>
                <w:color w:val="000000" w:themeColor="text1"/>
                <w:sz w:val="17"/>
                <w:szCs w:val="17"/>
              </w:rPr>
              <w:t>Preko 3 godine</w:t>
            </w:r>
            <w:bookmarkEnd w:id="852"/>
          </w:p>
        </w:tc>
        <w:tc>
          <w:tcPr>
            <w:tcW w:w="619" w:type="pct"/>
          </w:tcPr>
          <w:p w14:paraId="67DDAEB1" w14:textId="77777777" w:rsidR="000C7E59" w:rsidRPr="003D1614" w:rsidRDefault="000C7E59" w:rsidP="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853" w:name="_Toc67330269"/>
            <w:r w:rsidRPr="003D1614">
              <w:rPr>
                <w:rFonts w:ascii="Arial" w:eastAsia="Times New Roman" w:hAnsi="Arial" w:cs="Arial"/>
                <w:b/>
                <w:color w:val="000000" w:themeColor="text1"/>
                <w:sz w:val="17"/>
                <w:szCs w:val="17"/>
              </w:rPr>
              <w:t>Ukupno</w:t>
            </w:r>
            <w:bookmarkEnd w:id="853"/>
          </w:p>
        </w:tc>
      </w:tr>
      <w:tr w:rsidR="000C7E59" w:rsidRPr="003D1614" w14:paraId="4D8B06E4" w14:textId="77777777" w:rsidTr="009218FE">
        <w:trPr>
          <w:trHeight w:val="226"/>
        </w:trPr>
        <w:tc>
          <w:tcPr>
            <w:tcW w:w="1601" w:type="pct"/>
            <w:vAlign w:val="bottom"/>
          </w:tcPr>
          <w:p w14:paraId="5D25E694" w14:textId="77777777" w:rsidR="000C7E59" w:rsidRPr="003D1614" w:rsidRDefault="000C7E59" w:rsidP="000C7E59">
            <w:pPr>
              <w:tabs>
                <w:tab w:val="left" w:pos="-720"/>
              </w:tabs>
              <w:suppressAutoHyphens/>
              <w:autoSpaceDN w:val="0"/>
              <w:jc w:val="center"/>
              <w:rPr>
                <w:rFonts w:ascii="Arial" w:eastAsia="Times New Roman" w:hAnsi="Arial" w:cs="Arial"/>
                <w:b/>
                <w:color w:val="000000" w:themeColor="text1"/>
                <w:spacing w:val="-2"/>
                <w:sz w:val="17"/>
                <w:szCs w:val="17"/>
              </w:rPr>
            </w:pPr>
          </w:p>
        </w:tc>
        <w:tc>
          <w:tcPr>
            <w:tcW w:w="556" w:type="pct"/>
          </w:tcPr>
          <w:p w14:paraId="120BAE1C" w14:textId="200237C1"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854" w:name="_Toc67330270"/>
            <w:r w:rsidRPr="003D1614">
              <w:rPr>
                <w:rFonts w:ascii="Arial" w:eastAsia="Times New Roman" w:hAnsi="Arial" w:cs="Arial"/>
                <w:b/>
                <w:color w:val="000000" w:themeColor="text1"/>
                <w:sz w:val="17"/>
                <w:szCs w:val="17"/>
              </w:rPr>
              <w:t>000 eura</w:t>
            </w:r>
            <w:bookmarkEnd w:id="854"/>
          </w:p>
        </w:tc>
        <w:tc>
          <w:tcPr>
            <w:tcW w:w="555" w:type="pct"/>
          </w:tcPr>
          <w:p w14:paraId="652322B0" w14:textId="3CEA5F98"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855" w:name="_Toc67330271"/>
            <w:r w:rsidRPr="003D1614">
              <w:rPr>
                <w:rFonts w:ascii="Arial" w:eastAsia="Times New Roman" w:hAnsi="Arial" w:cs="Arial"/>
                <w:b/>
                <w:color w:val="000000" w:themeColor="text1"/>
                <w:sz w:val="17"/>
                <w:szCs w:val="17"/>
              </w:rPr>
              <w:t>000 eura</w:t>
            </w:r>
            <w:bookmarkEnd w:id="855"/>
          </w:p>
        </w:tc>
        <w:tc>
          <w:tcPr>
            <w:tcW w:w="556" w:type="pct"/>
          </w:tcPr>
          <w:p w14:paraId="0FF6B4D3" w14:textId="335FA1E8"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856" w:name="_Toc67330272"/>
            <w:r w:rsidRPr="003D1614">
              <w:rPr>
                <w:rFonts w:ascii="Arial" w:eastAsia="Times New Roman" w:hAnsi="Arial" w:cs="Arial"/>
                <w:b/>
                <w:color w:val="000000" w:themeColor="text1"/>
                <w:sz w:val="17"/>
                <w:szCs w:val="17"/>
              </w:rPr>
              <w:t>000 eura</w:t>
            </w:r>
            <w:bookmarkEnd w:id="856"/>
          </w:p>
        </w:tc>
        <w:tc>
          <w:tcPr>
            <w:tcW w:w="556" w:type="pct"/>
          </w:tcPr>
          <w:p w14:paraId="0683B1F0" w14:textId="2B7D2FD3"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857" w:name="_Toc67330273"/>
            <w:r w:rsidRPr="003D1614">
              <w:rPr>
                <w:rFonts w:ascii="Arial" w:eastAsia="Times New Roman" w:hAnsi="Arial" w:cs="Arial"/>
                <w:b/>
                <w:color w:val="000000" w:themeColor="text1"/>
                <w:sz w:val="17"/>
                <w:szCs w:val="17"/>
              </w:rPr>
              <w:t>000 eura</w:t>
            </w:r>
            <w:bookmarkEnd w:id="857"/>
          </w:p>
        </w:tc>
        <w:tc>
          <w:tcPr>
            <w:tcW w:w="556" w:type="pct"/>
          </w:tcPr>
          <w:p w14:paraId="054DE8E8" w14:textId="1C13CDBD"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858" w:name="_Toc67330274"/>
            <w:r w:rsidRPr="003D1614">
              <w:rPr>
                <w:rFonts w:ascii="Arial" w:eastAsia="Times New Roman" w:hAnsi="Arial" w:cs="Arial"/>
                <w:b/>
                <w:color w:val="000000" w:themeColor="text1"/>
                <w:sz w:val="17"/>
                <w:szCs w:val="17"/>
              </w:rPr>
              <w:t>000 eura</w:t>
            </w:r>
            <w:bookmarkEnd w:id="858"/>
          </w:p>
        </w:tc>
        <w:tc>
          <w:tcPr>
            <w:tcW w:w="619" w:type="pct"/>
          </w:tcPr>
          <w:p w14:paraId="18ECBFE9" w14:textId="2A5E8B25"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859" w:name="_Toc67330275"/>
            <w:r w:rsidRPr="003D1614">
              <w:rPr>
                <w:rFonts w:ascii="Arial" w:eastAsia="Times New Roman" w:hAnsi="Arial" w:cs="Arial"/>
                <w:b/>
                <w:color w:val="000000" w:themeColor="text1"/>
                <w:sz w:val="17"/>
                <w:szCs w:val="17"/>
              </w:rPr>
              <w:t>000 eura</w:t>
            </w:r>
            <w:bookmarkEnd w:id="859"/>
          </w:p>
        </w:tc>
      </w:tr>
      <w:tr w:rsidR="000C7E59" w:rsidRPr="003D1614" w14:paraId="7AC196DE" w14:textId="77777777" w:rsidTr="009218FE">
        <w:trPr>
          <w:trHeight w:hRule="exact" w:val="266"/>
        </w:trPr>
        <w:tc>
          <w:tcPr>
            <w:tcW w:w="1601" w:type="pct"/>
            <w:vAlign w:val="bottom"/>
          </w:tcPr>
          <w:p w14:paraId="699429F9" w14:textId="77777777" w:rsidR="000C7E59" w:rsidRPr="003D1614" w:rsidRDefault="000C7E59" w:rsidP="000C7E59">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bookmarkStart w:id="860" w:name="_Toc67330276"/>
            <w:r w:rsidRPr="003D1614">
              <w:rPr>
                <w:rFonts w:ascii="Arial" w:eastAsia="Times New Roman" w:hAnsi="Arial" w:cs="Arial"/>
                <w:b/>
                <w:bCs/>
                <w:color w:val="000000" w:themeColor="text1"/>
                <w:sz w:val="17"/>
                <w:szCs w:val="17"/>
              </w:rPr>
              <w:t>Financijske obveze</w:t>
            </w:r>
            <w:bookmarkEnd w:id="860"/>
          </w:p>
        </w:tc>
        <w:tc>
          <w:tcPr>
            <w:tcW w:w="556" w:type="pct"/>
            <w:vAlign w:val="bottom"/>
          </w:tcPr>
          <w:p w14:paraId="741B2ACB" w14:textId="77777777"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555" w:type="pct"/>
            <w:vAlign w:val="bottom"/>
          </w:tcPr>
          <w:p w14:paraId="514598D1" w14:textId="77777777"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556" w:type="pct"/>
            <w:vAlign w:val="bottom"/>
          </w:tcPr>
          <w:p w14:paraId="7604797E" w14:textId="77777777"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556" w:type="pct"/>
            <w:vAlign w:val="bottom"/>
          </w:tcPr>
          <w:p w14:paraId="24B5C25F" w14:textId="77777777"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556" w:type="pct"/>
            <w:vAlign w:val="bottom"/>
          </w:tcPr>
          <w:p w14:paraId="6BEE8A0E" w14:textId="77777777"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c>
          <w:tcPr>
            <w:tcW w:w="619" w:type="pct"/>
            <w:vAlign w:val="bottom"/>
          </w:tcPr>
          <w:p w14:paraId="3933293B" w14:textId="77777777"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color w:val="000000" w:themeColor="text1"/>
                <w:sz w:val="17"/>
                <w:szCs w:val="17"/>
              </w:rPr>
            </w:pPr>
          </w:p>
        </w:tc>
      </w:tr>
      <w:tr w:rsidR="00E056B2" w:rsidRPr="003D1614" w14:paraId="3262480C" w14:textId="77777777" w:rsidTr="009218FE">
        <w:trPr>
          <w:trHeight w:hRule="exact" w:val="213"/>
        </w:trPr>
        <w:tc>
          <w:tcPr>
            <w:tcW w:w="1601" w:type="pct"/>
            <w:vAlign w:val="bottom"/>
          </w:tcPr>
          <w:p w14:paraId="6FC5CC10" w14:textId="77777777" w:rsidR="00E056B2" w:rsidRPr="003D1614" w:rsidRDefault="00E056B2" w:rsidP="00E056B2">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861" w:name="_Toc67330277"/>
            <w:r w:rsidRPr="003D1614">
              <w:rPr>
                <w:rFonts w:ascii="Arial" w:eastAsia="Calibri" w:hAnsi="Arial" w:cs="Arial"/>
                <w:color w:val="000000" w:themeColor="text1"/>
                <w:spacing w:val="-2"/>
                <w:sz w:val="17"/>
                <w:szCs w:val="17"/>
              </w:rPr>
              <w:t>Obveze po depozitima</w:t>
            </w:r>
            <w:bookmarkEnd w:id="861"/>
          </w:p>
        </w:tc>
        <w:tc>
          <w:tcPr>
            <w:tcW w:w="556" w:type="pct"/>
            <w:tcBorders>
              <w:top w:val="nil"/>
              <w:left w:val="nil"/>
              <w:bottom w:val="nil"/>
              <w:right w:val="nil"/>
            </w:tcBorders>
            <w:shd w:val="clear" w:color="auto" w:fill="auto"/>
            <w:vAlign w:val="bottom"/>
          </w:tcPr>
          <w:p w14:paraId="1232871D" w14:textId="745E9AAA" w:rsidR="00E056B2" w:rsidRPr="009218FE" w:rsidRDefault="00E056B2" w:rsidP="00E056B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137.921</w:t>
            </w:r>
          </w:p>
        </w:tc>
        <w:tc>
          <w:tcPr>
            <w:tcW w:w="555" w:type="pct"/>
            <w:tcBorders>
              <w:top w:val="nil"/>
              <w:left w:val="nil"/>
              <w:bottom w:val="nil"/>
              <w:right w:val="nil"/>
            </w:tcBorders>
            <w:shd w:val="clear" w:color="auto" w:fill="auto"/>
            <w:vAlign w:val="bottom"/>
          </w:tcPr>
          <w:p w14:paraId="37761C68" w14:textId="6C607074" w:rsidR="00E056B2" w:rsidRPr="009218FE" w:rsidRDefault="00E056B2" w:rsidP="00E056B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82</w:t>
            </w:r>
          </w:p>
        </w:tc>
        <w:tc>
          <w:tcPr>
            <w:tcW w:w="556" w:type="pct"/>
            <w:tcBorders>
              <w:top w:val="nil"/>
              <w:left w:val="nil"/>
              <w:bottom w:val="nil"/>
              <w:right w:val="nil"/>
            </w:tcBorders>
            <w:shd w:val="clear" w:color="auto" w:fill="auto"/>
            <w:vAlign w:val="bottom"/>
          </w:tcPr>
          <w:p w14:paraId="492C9673" w14:textId="4AC7065B" w:rsidR="00E056B2" w:rsidRPr="009218FE" w:rsidRDefault="00E056B2" w:rsidP="00E056B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28.645</w:t>
            </w:r>
          </w:p>
        </w:tc>
        <w:tc>
          <w:tcPr>
            <w:tcW w:w="556" w:type="pct"/>
            <w:tcBorders>
              <w:top w:val="nil"/>
              <w:left w:val="nil"/>
              <w:bottom w:val="nil"/>
              <w:right w:val="nil"/>
            </w:tcBorders>
            <w:shd w:val="clear" w:color="auto" w:fill="auto"/>
            <w:vAlign w:val="bottom"/>
          </w:tcPr>
          <w:p w14:paraId="4E949D5B" w14:textId="504BA068" w:rsidR="00E056B2" w:rsidRPr="009218FE" w:rsidRDefault="00E056B2" w:rsidP="00E056B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46</w:t>
            </w:r>
          </w:p>
        </w:tc>
        <w:tc>
          <w:tcPr>
            <w:tcW w:w="556" w:type="pct"/>
            <w:tcBorders>
              <w:top w:val="nil"/>
              <w:left w:val="nil"/>
              <w:bottom w:val="nil"/>
              <w:right w:val="nil"/>
            </w:tcBorders>
            <w:shd w:val="clear" w:color="auto" w:fill="auto"/>
            <w:vAlign w:val="bottom"/>
          </w:tcPr>
          <w:p w14:paraId="36659542" w14:textId="00559D56" w:rsidR="00E056B2" w:rsidRPr="009218FE" w:rsidRDefault="00E056B2" w:rsidP="00E056B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11.815</w:t>
            </w:r>
          </w:p>
        </w:tc>
        <w:tc>
          <w:tcPr>
            <w:tcW w:w="619" w:type="pct"/>
            <w:tcBorders>
              <w:top w:val="nil"/>
              <w:left w:val="nil"/>
              <w:bottom w:val="nil"/>
              <w:right w:val="nil"/>
            </w:tcBorders>
            <w:shd w:val="clear" w:color="auto" w:fill="auto"/>
            <w:vAlign w:val="bottom"/>
          </w:tcPr>
          <w:p w14:paraId="721BDFB6" w14:textId="6F81A0C4" w:rsidR="00E056B2" w:rsidRPr="009218FE" w:rsidRDefault="00E056B2" w:rsidP="00E056B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178.509</w:t>
            </w:r>
          </w:p>
        </w:tc>
      </w:tr>
      <w:tr w:rsidR="00E056B2" w:rsidRPr="003D1614" w14:paraId="069E6556" w14:textId="77777777" w:rsidTr="009218FE">
        <w:trPr>
          <w:trHeight w:hRule="exact" w:val="213"/>
        </w:trPr>
        <w:tc>
          <w:tcPr>
            <w:tcW w:w="1601" w:type="pct"/>
            <w:vAlign w:val="bottom"/>
          </w:tcPr>
          <w:p w14:paraId="7F72C2CE" w14:textId="77777777" w:rsidR="00E056B2" w:rsidRPr="003D1614" w:rsidRDefault="00E056B2" w:rsidP="00E056B2">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862" w:name="_Toc67330284"/>
            <w:r w:rsidRPr="003D1614">
              <w:rPr>
                <w:rFonts w:ascii="Arial" w:eastAsia="Calibri" w:hAnsi="Arial" w:cs="Arial"/>
                <w:color w:val="000000" w:themeColor="text1"/>
                <w:spacing w:val="-2"/>
                <w:sz w:val="17"/>
                <w:szCs w:val="17"/>
              </w:rPr>
              <w:t>Obveze po kreditima</w:t>
            </w:r>
            <w:bookmarkEnd w:id="862"/>
          </w:p>
        </w:tc>
        <w:tc>
          <w:tcPr>
            <w:tcW w:w="556" w:type="pct"/>
            <w:tcBorders>
              <w:top w:val="nil"/>
              <w:left w:val="nil"/>
              <w:bottom w:val="nil"/>
              <w:right w:val="nil"/>
            </w:tcBorders>
            <w:shd w:val="clear" w:color="auto" w:fill="auto"/>
            <w:vAlign w:val="bottom"/>
          </w:tcPr>
          <w:p w14:paraId="70A85FDB" w14:textId="5B0165B5" w:rsidR="00E056B2" w:rsidRPr="009218FE" w:rsidRDefault="00E056B2" w:rsidP="00E056B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108.921</w:t>
            </w:r>
          </w:p>
        </w:tc>
        <w:tc>
          <w:tcPr>
            <w:tcW w:w="555" w:type="pct"/>
            <w:tcBorders>
              <w:top w:val="nil"/>
              <w:left w:val="nil"/>
              <w:bottom w:val="nil"/>
              <w:right w:val="nil"/>
            </w:tcBorders>
            <w:shd w:val="clear" w:color="auto" w:fill="auto"/>
            <w:vAlign w:val="bottom"/>
          </w:tcPr>
          <w:p w14:paraId="06723AB1" w14:textId="5FA7A532" w:rsidR="00E056B2" w:rsidRPr="009218FE" w:rsidRDefault="00E056B2" w:rsidP="00E056B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109.811</w:t>
            </w:r>
          </w:p>
        </w:tc>
        <w:tc>
          <w:tcPr>
            <w:tcW w:w="556" w:type="pct"/>
            <w:tcBorders>
              <w:top w:val="nil"/>
              <w:left w:val="nil"/>
              <w:bottom w:val="nil"/>
              <w:right w:val="nil"/>
            </w:tcBorders>
            <w:shd w:val="clear" w:color="auto" w:fill="auto"/>
            <w:vAlign w:val="bottom"/>
          </w:tcPr>
          <w:p w14:paraId="67423B97" w14:textId="3D796434" w:rsidR="00E056B2" w:rsidRPr="009218FE" w:rsidRDefault="00E056B2" w:rsidP="00E056B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280.376</w:t>
            </w:r>
          </w:p>
        </w:tc>
        <w:tc>
          <w:tcPr>
            <w:tcW w:w="556" w:type="pct"/>
            <w:tcBorders>
              <w:top w:val="nil"/>
              <w:left w:val="nil"/>
              <w:bottom w:val="nil"/>
              <w:right w:val="nil"/>
            </w:tcBorders>
            <w:shd w:val="clear" w:color="auto" w:fill="auto"/>
            <w:vAlign w:val="bottom"/>
          </w:tcPr>
          <w:p w14:paraId="72F4FEE5" w14:textId="7505EE16" w:rsidR="00E056B2" w:rsidRPr="009218FE" w:rsidRDefault="00E056B2" w:rsidP="00E056B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732.212</w:t>
            </w:r>
          </w:p>
        </w:tc>
        <w:tc>
          <w:tcPr>
            <w:tcW w:w="556" w:type="pct"/>
            <w:tcBorders>
              <w:top w:val="nil"/>
              <w:left w:val="nil"/>
              <w:bottom w:val="nil"/>
              <w:right w:val="nil"/>
            </w:tcBorders>
            <w:shd w:val="clear" w:color="auto" w:fill="auto"/>
            <w:vAlign w:val="bottom"/>
          </w:tcPr>
          <w:p w14:paraId="3BE39EBD" w14:textId="7F8BC1F7" w:rsidR="00E056B2" w:rsidRPr="009218FE" w:rsidRDefault="00E056B2" w:rsidP="00E056B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1.256.617</w:t>
            </w:r>
          </w:p>
        </w:tc>
        <w:tc>
          <w:tcPr>
            <w:tcW w:w="619" w:type="pct"/>
            <w:tcBorders>
              <w:top w:val="nil"/>
              <w:left w:val="nil"/>
              <w:bottom w:val="nil"/>
              <w:right w:val="nil"/>
            </w:tcBorders>
            <w:shd w:val="clear" w:color="auto" w:fill="auto"/>
            <w:vAlign w:val="bottom"/>
          </w:tcPr>
          <w:p w14:paraId="264D82C4" w14:textId="2F9D2A3A" w:rsidR="00E056B2" w:rsidRPr="009218FE" w:rsidRDefault="00E056B2" w:rsidP="00E056B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2.487.937</w:t>
            </w:r>
          </w:p>
        </w:tc>
      </w:tr>
      <w:tr w:rsidR="00E056B2" w:rsidRPr="003D1614" w14:paraId="20738B3C" w14:textId="77777777" w:rsidTr="009218FE">
        <w:trPr>
          <w:trHeight w:val="357"/>
        </w:trPr>
        <w:tc>
          <w:tcPr>
            <w:tcW w:w="1601" w:type="pct"/>
            <w:vAlign w:val="bottom"/>
          </w:tcPr>
          <w:p w14:paraId="05A23657" w14:textId="77777777" w:rsidR="00E056B2" w:rsidRPr="003D1614" w:rsidRDefault="00E056B2" w:rsidP="00E056B2">
            <w:pPr>
              <w:tabs>
                <w:tab w:val="right" w:pos="1202"/>
              </w:tabs>
              <w:suppressAutoHyphens/>
              <w:autoSpaceDN w:val="0"/>
              <w:spacing w:line="220" w:lineRule="exact"/>
              <w:outlineLvl w:val="0"/>
              <w:rPr>
                <w:rFonts w:ascii="Arial" w:eastAsia="Times New Roman" w:hAnsi="Arial" w:cs="Arial"/>
                <w:color w:val="000000" w:themeColor="text1"/>
                <w:spacing w:val="-2"/>
                <w:sz w:val="17"/>
                <w:szCs w:val="17"/>
              </w:rPr>
            </w:pPr>
            <w:bookmarkStart w:id="863" w:name="_Toc67330298"/>
            <w:r w:rsidRPr="003D1614">
              <w:rPr>
                <w:rFonts w:ascii="Arial" w:eastAsia="Times New Roman" w:hAnsi="Arial" w:cs="Arial"/>
                <w:spacing w:val="-2"/>
                <w:sz w:val="17"/>
                <w:szCs w:val="17"/>
              </w:rPr>
              <w:t>Rezerviranja za garancije, preuzete i ostale obveze</w:t>
            </w:r>
            <w:bookmarkEnd w:id="863"/>
          </w:p>
        </w:tc>
        <w:tc>
          <w:tcPr>
            <w:tcW w:w="556" w:type="pct"/>
            <w:tcBorders>
              <w:top w:val="nil"/>
              <w:left w:val="nil"/>
              <w:right w:val="nil"/>
            </w:tcBorders>
            <w:shd w:val="clear" w:color="auto" w:fill="auto"/>
            <w:vAlign w:val="bottom"/>
          </w:tcPr>
          <w:p w14:paraId="3B0B4D85" w14:textId="3B69B289" w:rsidR="00E056B2" w:rsidRPr="009218FE" w:rsidRDefault="00E056B2" w:rsidP="00E056B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13.077</w:t>
            </w:r>
          </w:p>
        </w:tc>
        <w:tc>
          <w:tcPr>
            <w:tcW w:w="555" w:type="pct"/>
            <w:tcBorders>
              <w:top w:val="nil"/>
              <w:left w:val="nil"/>
              <w:right w:val="nil"/>
            </w:tcBorders>
            <w:shd w:val="clear" w:color="auto" w:fill="auto"/>
            <w:vAlign w:val="bottom"/>
          </w:tcPr>
          <w:p w14:paraId="3BA9BDB6" w14:textId="60F305D6" w:rsidR="00E056B2" w:rsidRPr="009218FE" w:rsidRDefault="00E056B2" w:rsidP="00E056B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638</w:t>
            </w:r>
          </w:p>
        </w:tc>
        <w:tc>
          <w:tcPr>
            <w:tcW w:w="556" w:type="pct"/>
            <w:tcBorders>
              <w:top w:val="nil"/>
              <w:left w:val="nil"/>
              <w:right w:val="nil"/>
            </w:tcBorders>
            <w:shd w:val="clear" w:color="auto" w:fill="auto"/>
            <w:vAlign w:val="bottom"/>
          </w:tcPr>
          <w:p w14:paraId="79DFB326" w14:textId="6633DB4D" w:rsidR="00E056B2" w:rsidRPr="009218FE" w:rsidRDefault="00E056B2" w:rsidP="00E056B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2.225</w:t>
            </w:r>
          </w:p>
        </w:tc>
        <w:tc>
          <w:tcPr>
            <w:tcW w:w="556" w:type="pct"/>
            <w:tcBorders>
              <w:top w:val="nil"/>
              <w:left w:val="nil"/>
              <w:right w:val="nil"/>
            </w:tcBorders>
            <w:shd w:val="clear" w:color="auto" w:fill="auto"/>
            <w:vAlign w:val="bottom"/>
          </w:tcPr>
          <w:p w14:paraId="15E8B650" w14:textId="6E70FCC6" w:rsidR="00E056B2" w:rsidRPr="009218FE" w:rsidRDefault="00E056B2" w:rsidP="00E056B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4.121</w:t>
            </w:r>
          </w:p>
        </w:tc>
        <w:tc>
          <w:tcPr>
            <w:tcW w:w="556" w:type="pct"/>
            <w:tcBorders>
              <w:top w:val="nil"/>
              <w:left w:val="nil"/>
              <w:right w:val="nil"/>
            </w:tcBorders>
            <w:shd w:val="clear" w:color="auto" w:fill="auto"/>
            <w:vAlign w:val="bottom"/>
          </w:tcPr>
          <w:p w14:paraId="1BA6D822" w14:textId="7F9E3608" w:rsidR="00E056B2" w:rsidRPr="009218FE" w:rsidRDefault="00E056B2" w:rsidP="00E056B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1.772</w:t>
            </w:r>
          </w:p>
        </w:tc>
        <w:tc>
          <w:tcPr>
            <w:tcW w:w="619" w:type="pct"/>
            <w:tcBorders>
              <w:top w:val="nil"/>
              <w:left w:val="nil"/>
              <w:right w:val="nil"/>
            </w:tcBorders>
            <w:shd w:val="clear" w:color="auto" w:fill="auto"/>
            <w:vAlign w:val="bottom"/>
          </w:tcPr>
          <w:p w14:paraId="6ABE4540" w14:textId="738BC5B7" w:rsidR="00E056B2" w:rsidRPr="009218FE" w:rsidRDefault="00E056B2" w:rsidP="00E056B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21.833</w:t>
            </w:r>
          </w:p>
        </w:tc>
      </w:tr>
      <w:tr w:rsidR="00E056B2" w:rsidRPr="003D1614" w14:paraId="6BBA6018" w14:textId="77777777" w:rsidTr="009218FE">
        <w:trPr>
          <w:trHeight w:hRule="exact" w:val="213"/>
        </w:trPr>
        <w:tc>
          <w:tcPr>
            <w:tcW w:w="1601" w:type="pct"/>
            <w:vAlign w:val="bottom"/>
          </w:tcPr>
          <w:p w14:paraId="0BB12E41" w14:textId="77777777" w:rsidR="00E056B2" w:rsidRPr="003D1614" w:rsidRDefault="00E056B2" w:rsidP="00E056B2">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864" w:name="_Toc67330305"/>
            <w:r w:rsidRPr="003D1614">
              <w:rPr>
                <w:rFonts w:ascii="Arial" w:eastAsia="Calibri" w:hAnsi="Arial" w:cs="Arial"/>
                <w:color w:val="000000" w:themeColor="text1"/>
                <w:spacing w:val="-2"/>
                <w:sz w:val="17"/>
                <w:szCs w:val="17"/>
              </w:rPr>
              <w:t>Ostale obveze</w:t>
            </w:r>
            <w:bookmarkEnd w:id="864"/>
          </w:p>
        </w:tc>
        <w:tc>
          <w:tcPr>
            <w:tcW w:w="556" w:type="pct"/>
            <w:tcBorders>
              <w:top w:val="nil"/>
              <w:left w:val="nil"/>
              <w:bottom w:val="single" w:sz="4" w:space="0" w:color="auto"/>
              <w:right w:val="nil"/>
            </w:tcBorders>
            <w:shd w:val="clear" w:color="auto" w:fill="auto"/>
            <w:vAlign w:val="bottom"/>
          </w:tcPr>
          <w:p w14:paraId="27482298" w14:textId="542D0493" w:rsidR="00E056B2" w:rsidRPr="009218FE" w:rsidRDefault="00E056B2" w:rsidP="00E056B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54.155</w:t>
            </w:r>
          </w:p>
        </w:tc>
        <w:tc>
          <w:tcPr>
            <w:tcW w:w="555" w:type="pct"/>
            <w:tcBorders>
              <w:top w:val="nil"/>
              <w:left w:val="nil"/>
              <w:bottom w:val="single" w:sz="4" w:space="0" w:color="auto"/>
              <w:right w:val="nil"/>
            </w:tcBorders>
            <w:shd w:val="clear" w:color="auto" w:fill="auto"/>
            <w:vAlign w:val="bottom"/>
          </w:tcPr>
          <w:p w14:paraId="1563F6CA" w14:textId="5E15686C" w:rsidR="00E056B2" w:rsidRPr="009218FE" w:rsidRDefault="00E056B2" w:rsidP="00E056B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2.845</w:t>
            </w:r>
          </w:p>
        </w:tc>
        <w:tc>
          <w:tcPr>
            <w:tcW w:w="556" w:type="pct"/>
            <w:tcBorders>
              <w:top w:val="nil"/>
              <w:left w:val="nil"/>
              <w:bottom w:val="single" w:sz="4" w:space="0" w:color="auto"/>
              <w:right w:val="nil"/>
            </w:tcBorders>
            <w:shd w:val="clear" w:color="auto" w:fill="auto"/>
            <w:vAlign w:val="bottom"/>
          </w:tcPr>
          <w:p w14:paraId="36FF677E" w14:textId="7653DC16" w:rsidR="00E056B2" w:rsidRPr="009218FE" w:rsidRDefault="00E056B2" w:rsidP="00E056B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11.511</w:t>
            </w:r>
          </w:p>
        </w:tc>
        <w:tc>
          <w:tcPr>
            <w:tcW w:w="556" w:type="pct"/>
            <w:tcBorders>
              <w:top w:val="nil"/>
              <w:left w:val="nil"/>
              <w:bottom w:val="single" w:sz="4" w:space="0" w:color="auto"/>
              <w:right w:val="nil"/>
            </w:tcBorders>
            <w:shd w:val="clear" w:color="auto" w:fill="auto"/>
            <w:vAlign w:val="bottom"/>
          </w:tcPr>
          <w:p w14:paraId="7F322AE1" w14:textId="0A2F2491" w:rsidR="00E056B2" w:rsidRPr="009218FE" w:rsidRDefault="00E056B2" w:rsidP="00E056B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17.067</w:t>
            </w:r>
          </w:p>
        </w:tc>
        <w:tc>
          <w:tcPr>
            <w:tcW w:w="556" w:type="pct"/>
            <w:tcBorders>
              <w:top w:val="nil"/>
              <w:left w:val="nil"/>
              <w:bottom w:val="single" w:sz="4" w:space="0" w:color="auto"/>
              <w:right w:val="nil"/>
            </w:tcBorders>
            <w:shd w:val="clear" w:color="auto" w:fill="auto"/>
            <w:vAlign w:val="bottom"/>
          </w:tcPr>
          <w:p w14:paraId="42A3FF56" w14:textId="4D9A89CB" w:rsidR="00E056B2" w:rsidRPr="009218FE" w:rsidRDefault="00E056B2" w:rsidP="00E056B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7.333</w:t>
            </w:r>
          </w:p>
        </w:tc>
        <w:tc>
          <w:tcPr>
            <w:tcW w:w="619" w:type="pct"/>
            <w:tcBorders>
              <w:top w:val="nil"/>
              <w:left w:val="nil"/>
              <w:bottom w:val="single" w:sz="4" w:space="0" w:color="auto"/>
              <w:right w:val="nil"/>
            </w:tcBorders>
            <w:shd w:val="clear" w:color="auto" w:fill="auto"/>
            <w:vAlign w:val="bottom"/>
          </w:tcPr>
          <w:p w14:paraId="28875AFD" w14:textId="3CA516A6" w:rsidR="00E056B2" w:rsidRPr="009218FE" w:rsidRDefault="00E056B2" w:rsidP="00E056B2">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92.911</w:t>
            </w:r>
          </w:p>
        </w:tc>
      </w:tr>
      <w:tr w:rsidR="00E056B2" w:rsidRPr="003D1614" w14:paraId="2EEA7709" w14:textId="77777777" w:rsidTr="009218FE">
        <w:trPr>
          <w:trHeight w:hRule="exact" w:val="266"/>
        </w:trPr>
        <w:tc>
          <w:tcPr>
            <w:tcW w:w="1601" w:type="pct"/>
            <w:vAlign w:val="bottom"/>
          </w:tcPr>
          <w:p w14:paraId="68055DCB" w14:textId="77777777" w:rsidR="00E056B2" w:rsidRPr="003D1614" w:rsidRDefault="00E056B2" w:rsidP="00E056B2">
            <w:pPr>
              <w:tabs>
                <w:tab w:val="right" w:pos="1202"/>
              </w:tabs>
              <w:suppressAutoHyphens/>
              <w:autoSpaceDN w:val="0"/>
              <w:outlineLvl w:val="0"/>
              <w:rPr>
                <w:rFonts w:ascii="Arial" w:eastAsia="Times New Roman" w:hAnsi="Arial" w:cs="Arial"/>
                <w:b/>
                <w:bCs/>
                <w:color w:val="000000" w:themeColor="text1"/>
                <w:sz w:val="17"/>
                <w:szCs w:val="17"/>
              </w:rPr>
            </w:pPr>
            <w:bookmarkStart w:id="865" w:name="_Toc67330312"/>
            <w:r w:rsidRPr="003D1614">
              <w:rPr>
                <w:rFonts w:ascii="Arial" w:eastAsia="Times New Roman" w:hAnsi="Arial" w:cs="Arial"/>
                <w:b/>
                <w:bCs/>
                <w:color w:val="000000" w:themeColor="text1"/>
                <w:sz w:val="17"/>
                <w:szCs w:val="17"/>
              </w:rPr>
              <w:t>Ukupno</w:t>
            </w:r>
            <w:bookmarkEnd w:id="865"/>
          </w:p>
        </w:tc>
        <w:tc>
          <w:tcPr>
            <w:tcW w:w="556" w:type="pct"/>
            <w:tcBorders>
              <w:top w:val="single" w:sz="4" w:space="0" w:color="auto"/>
              <w:left w:val="nil"/>
              <w:bottom w:val="single" w:sz="12" w:space="0" w:color="auto"/>
              <w:right w:val="nil"/>
            </w:tcBorders>
            <w:shd w:val="clear" w:color="auto" w:fill="auto"/>
            <w:vAlign w:val="bottom"/>
          </w:tcPr>
          <w:p w14:paraId="30EC364C" w14:textId="2462B958" w:rsidR="00E056B2" w:rsidRPr="009218FE" w:rsidRDefault="00E056B2" w:rsidP="00E056B2">
            <w:pPr>
              <w:tabs>
                <w:tab w:val="right" w:pos="1202"/>
              </w:tabs>
              <w:suppressAutoHyphens/>
              <w:autoSpaceDN w:val="0"/>
              <w:spacing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314.074</w:t>
            </w:r>
          </w:p>
        </w:tc>
        <w:tc>
          <w:tcPr>
            <w:tcW w:w="555" w:type="pct"/>
            <w:tcBorders>
              <w:top w:val="nil"/>
              <w:left w:val="nil"/>
              <w:bottom w:val="single" w:sz="12" w:space="0" w:color="auto"/>
              <w:right w:val="nil"/>
            </w:tcBorders>
            <w:shd w:val="clear" w:color="auto" w:fill="auto"/>
            <w:vAlign w:val="bottom"/>
          </w:tcPr>
          <w:p w14:paraId="70EBDD9E" w14:textId="7A6D330A" w:rsidR="00E056B2" w:rsidRPr="009218FE" w:rsidRDefault="00E056B2" w:rsidP="00E056B2">
            <w:pPr>
              <w:tabs>
                <w:tab w:val="right" w:pos="1202"/>
              </w:tabs>
              <w:suppressAutoHyphens/>
              <w:autoSpaceDN w:val="0"/>
              <w:spacing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113.376</w:t>
            </w:r>
          </w:p>
        </w:tc>
        <w:tc>
          <w:tcPr>
            <w:tcW w:w="556" w:type="pct"/>
            <w:tcBorders>
              <w:top w:val="nil"/>
              <w:left w:val="nil"/>
              <w:bottom w:val="single" w:sz="12" w:space="0" w:color="auto"/>
              <w:right w:val="nil"/>
            </w:tcBorders>
            <w:shd w:val="clear" w:color="auto" w:fill="auto"/>
            <w:vAlign w:val="bottom"/>
          </w:tcPr>
          <w:p w14:paraId="23A1F8B3" w14:textId="4A4C112D" w:rsidR="00E056B2" w:rsidRPr="009218FE" w:rsidRDefault="00E056B2" w:rsidP="00E056B2">
            <w:pPr>
              <w:tabs>
                <w:tab w:val="right" w:pos="1202"/>
              </w:tabs>
              <w:suppressAutoHyphens/>
              <w:autoSpaceDN w:val="0"/>
              <w:spacing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322.757</w:t>
            </w:r>
          </w:p>
        </w:tc>
        <w:tc>
          <w:tcPr>
            <w:tcW w:w="556" w:type="pct"/>
            <w:tcBorders>
              <w:top w:val="nil"/>
              <w:left w:val="nil"/>
              <w:bottom w:val="single" w:sz="12" w:space="0" w:color="auto"/>
              <w:right w:val="nil"/>
            </w:tcBorders>
            <w:shd w:val="clear" w:color="auto" w:fill="auto"/>
            <w:vAlign w:val="bottom"/>
          </w:tcPr>
          <w:p w14:paraId="17CEC013" w14:textId="633BBFA4" w:rsidR="00E056B2" w:rsidRPr="009218FE" w:rsidRDefault="00E056B2" w:rsidP="00E056B2">
            <w:pPr>
              <w:tabs>
                <w:tab w:val="right" w:pos="1202"/>
              </w:tabs>
              <w:suppressAutoHyphens/>
              <w:autoSpaceDN w:val="0"/>
              <w:spacing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753.446</w:t>
            </w:r>
          </w:p>
        </w:tc>
        <w:tc>
          <w:tcPr>
            <w:tcW w:w="556" w:type="pct"/>
            <w:tcBorders>
              <w:top w:val="nil"/>
              <w:left w:val="nil"/>
              <w:bottom w:val="single" w:sz="12" w:space="0" w:color="auto"/>
              <w:right w:val="nil"/>
            </w:tcBorders>
            <w:shd w:val="clear" w:color="auto" w:fill="auto"/>
            <w:vAlign w:val="bottom"/>
          </w:tcPr>
          <w:p w14:paraId="71AB5298" w14:textId="0633DDAF" w:rsidR="00E056B2" w:rsidRPr="009218FE" w:rsidRDefault="00E056B2" w:rsidP="00E056B2">
            <w:pPr>
              <w:tabs>
                <w:tab w:val="right" w:pos="1202"/>
              </w:tabs>
              <w:suppressAutoHyphens/>
              <w:autoSpaceDN w:val="0"/>
              <w:spacing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1.277.537</w:t>
            </w:r>
          </w:p>
        </w:tc>
        <w:tc>
          <w:tcPr>
            <w:tcW w:w="619" w:type="pct"/>
            <w:tcBorders>
              <w:top w:val="nil"/>
              <w:left w:val="nil"/>
              <w:bottom w:val="single" w:sz="12" w:space="0" w:color="auto"/>
              <w:right w:val="nil"/>
            </w:tcBorders>
            <w:shd w:val="clear" w:color="auto" w:fill="auto"/>
            <w:vAlign w:val="bottom"/>
          </w:tcPr>
          <w:p w14:paraId="548C8C2D" w14:textId="0ECC33A8" w:rsidR="00E056B2" w:rsidRPr="009218FE" w:rsidRDefault="00E056B2" w:rsidP="00E056B2">
            <w:pPr>
              <w:tabs>
                <w:tab w:val="right" w:pos="1202"/>
              </w:tabs>
              <w:suppressAutoHyphens/>
              <w:autoSpaceDN w:val="0"/>
              <w:spacing w:line="240" w:lineRule="exact"/>
              <w:jc w:val="right"/>
              <w:outlineLvl w:val="0"/>
              <w:rPr>
                <w:rFonts w:ascii="Arial" w:eastAsia="Times New Roman" w:hAnsi="Arial" w:cs="Arial"/>
                <w:b/>
                <w:bCs/>
                <w:color w:val="000000"/>
                <w:sz w:val="17"/>
                <w:szCs w:val="17"/>
              </w:rPr>
            </w:pPr>
            <w:r>
              <w:rPr>
                <w:rFonts w:ascii="Arial" w:eastAsia="Times New Roman" w:hAnsi="Arial" w:cs="Arial"/>
                <w:b/>
                <w:bCs/>
                <w:color w:val="000000"/>
                <w:sz w:val="17"/>
                <w:szCs w:val="17"/>
              </w:rPr>
              <w:t>2.781.190</w:t>
            </w:r>
          </w:p>
        </w:tc>
      </w:tr>
      <w:tr w:rsidR="00E056B2" w:rsidRPr="003D1614" w14:paraId="62FF563D" w14:textId="77777777" w:rsidTr="009218FE">
        <w:trPr>
          <w:trHeight w:hRule="exact" w:val="106"/>
        </w:trPr>
        <w:tc>
          <w:tcPr>
            <w:tcW w:w="1601" w:type="pct"/>
            <w:vAlign w:val="bottom"/>
          </w:tcPr>
          <w:p w14:paraId="73E56231" w14:textId="77777777" w:rsidR="00E056B2" w:rsidRPr="003D1614" w:rsidRDefault="00E056B2" w:rsidP="00E056B2">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right w:val="nil"/>
            </w:tcBorders>
            <w:shd w:val="clear" w:color="auto" w:fill="auto"/>
            <w:vAlign w:val="bottom"/>
          </w:tcPr>
          <w:p w14:paraId="41F4EE68" w14:textId="77777777" w:rsidR="00E056B2" w:rsidRPr="003D1614" w:rsidRDefault="00E056B2" w:rsidP="00E056B2">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5" w:type="pct"/>
            <w:tcBorders>
              <w:top w:val="nil"/>
              <w:left w:val="nil"/>
              <w:right w:val="nil"/>
            </w:tcBorders>
            <w:shd w:val="clear" w:color="auto" w:fill="auto"/>
            <w:vAlign w:val="bottom"/>
          </w:tcPr>
          <w:p w14:paraId="6C6AE851" w14:textId="77777777" w:rsidR="00E056B2" w:rsidRPr="003D1614" w:rsidRDefault="00E056B2" w:rsidP="00E056B2">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right w:val="nil"/>
            </w:tcBorders>
            <w:shd w:val="clear" w:color="auto" w:fill="auto"/>
            <w:vAlign w:val="bottom"/>
          </w:tcPr>
          <w:p w14:paraId="5C5F51C7" w14:textId="77777777" w:rsidR="00E056B2" w:rsidRPr="003D1614" w:rsidRDefault="00E056B2" w:rsidP="00E056B2">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right w:val="nil"/>
            </w:tcBorders>
            <w:shd w:val="clear" w:color="auto" w:fill="auto"/>
            <w:vAlign w:val="bottom"/>
          </w:tcPr>
          <w:p w14:paraId="4FD11DED" w14:textId="77777777" w:rsidR="00E056B2" w:rsidRPr="003D1614" w:rsidRDefault="00E056B2" w:rsidP="00E056B2">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right w:val="nil"/>
            </w:tcBorders>
            <w:shd w:val="clear" w:color="auto" w:fill="auto"/>
            <w:vAlign w:val="bottom"/>
          </w:tcPr>
          <w:p w14:paraId="2475F6C0" w14:textId="77777777" w:rsidR="00E056B2" w:rsidRPr="003D1614" w:rsidRDefault="00E056B2" w:rsidP="00E056B2">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619" w:type="pct"/>
            <w:tcBorders>
              <w:top w:val="nil"/>
              <w:left w:val="nil"/>
              <w:right w:val="nil"/>
            </w:tcBorders>
            <w:shd w:val="clear" w:color="auto" w:fill="auto"/>
            <w:vAlign w:val="bottom"/>
          </w:tcPr>
          <w:p w14:paraId="5C87DB92" w14:textId="77777777" w:rsidR="00E056B2" w:rsidRPr="003D1614" w:rsidRDefault="00E056B2" w:rsidP="00E056B2">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r>
      <w:tr w:rsidR="00E056B2" w:rsidRPr="003D1614" w14:paraId="49D3B562" w14:textId="77777777" w:rsidTr="009218FE">
        <w:trPr>
          <w:trHeight w:val="170"/>
        </w:trPr>
        <w:tc>
          <w:tcPr>
            <w:tcW w:w="1601" w:type="pct"/>
            <w:tcBorders>
              <w:top w:val="nil"/>
              <w:left w:val="nil"/>
              <w:bottom w:val="nil"/>
              <w:right w:val="nil"/>
            </w:tcBorders>
            <w:shd w:val="clear" w:color="auto" w:fill="auto"/>
            <w:vAlign w:val="bottom"/>
          </w:tcPr>
          <w:p w14:paraId="789C5911" w14:textId="77777777" w:rsidR="00E056B2" w:rsidRPr="003D1614" w:rsidRDefault="00E056B2" w:rsidP="00E056B2">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bookmarkStart w:id="866" w:name="_Toc67330319"/>
            <w:r w:rsidRPr="003D1614">
              <w:rPr>
                <w:rFonts w:ascii="Arial" w:eastAsia="Times New Roman" w:hAnsi="Arial" w:cs="Arial"/>
                <w:b/>
                <w:bCs/>
                <w:color w:val="000000" w:themeColor="text1"/>
                <w:sz w:val="17"/>
                <w:szCs w:val="17"/>
              </w:rPr>
              <w:t>Garancije i preuzete obveze</w:t>
            </w:r>
            <w:bookmarkEnd w:id="866"/>
          </w:p>
        </w:tc>
        <w:tc>
          <w:tcPr>
            <w:tcW w:w="556" w:type="pct"/>
            <w:tcBorders>
              <w:top w:val="nil"/>
              <w:left w:val="nil"/>
              <w:bottom w:val="nil"/>
              <w:right w:val="nil"/>
            </w:tcBorders>
            <w:shd w:val="clear" w:color="auto" w:fill="auto"/>
            <w:vAlign w:val="bottom"/>
          </w:tcPr>
          <w:p w14:paraId="2111EB7F" w14:textId="77777777" w:rsidR="00E056B2" w:rsidRPr="003D1614" w:rsidRDefault="00E056B2" w:rsidP="00E056B2">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5" w:type="pct"/>
            <w:tcBorders>
              <w:top w:val="nil"/>
              <w:left w:val="nil"/>
              <w:bottom w:val="nil"/>
              <w:right w:val="nil"/>
            </w:tcBorders>
            <w:shd w:val="clear" w:color="auto" w:fill="auto"/>
            <w:vAlign w:val="bottom"/>
          </w:tcPr>
          <w:p w14:paraId="4784269A" w14:textId="77777777" w:rsidR="00E056B2" w:rsidRPr="003D1614" w:rsidRDefault="00E056B2" w:rsidP="00E056B2">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bottom w:val="nil"/>
              <w:right w:val="nil"/>
            </w:tcBorders>
            <w:shd w:val="clear" w:color="auto" w:fill="auto"/>
            <w:vAlign w:val="bottom"/>
          </w:tcPr>
          <w:p w14:paraId="33C9B604" w14:textId="77777777" w:rsidR="00E056B2" w:rsidRPr="003D1614" w:rsidRDefault="00E056B2" w:rsidP="00E056B2">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bottom w:val="nil"/>
              <w:right w:val="nil"/>
            </w:tcBorders>
            <w:shd w:val="clear" w:color="auto" w:fill="auto"/>
            <w:vAlign w:val="bottom"/>
          </w:tcPr>
          <w:p w14:paraId="5C5889A6" w14:textId="77777777" w:rsidR="00E056B2" w:rsidRPr="003D1614" w:rsidRDefault="00E056B2" w:rsidP="00E056B2">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556" w:type="pct"/>
            <w:tcBorders>
              <w:top w:val="nil"/>
              <w:left w:val="nil"/>
              <w:bottom w:val="nil"/>
              <w:right w:val="nil"/>
            </w:tcBorders>
            <w:shd w:val="clear" w:color="auto" w:fill="auto"/>
            <w:vAlign w:val="bottom"/>
          </w:tcPr>
          <w:p w14:paraId="4BA5891C" w14:textId="77777777" w:rsidR="00E056B2" w:rsidRPr="003D1614" w:rsidRDefault="00E056B2" w:rsidP="00E056B2">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c>
          <w:tcPr>
            <w:tcW w:w="619" w:type="pct"/>
            <w:tcBorders>
              <w:top w:val="nil"/>
              <w:left w:val="nil"/>
              <w:bottom w:val="nil"/>
              <w:right w:val="nil"/>
            </w:tcBorders>
            <w:shd w:val="clear" w:color="auto" w:fill="auto"/>
            <w:vAlign w:val="bottom"/>
          </w:tcPr>
          <w:p w14:paraId="2889CEEA" w14:textId="77777777" w:rsidR="00E056B2" w:rsidRPr="003D1614" w:rsidRDefault="00E056B2" w:rsidP="00E056B2">
            <w:pPr>
              <w:tabs>
                <w:tab w:val="right" w:pos="1202"/>
              </w:tabs>
              <w:suppressAutoHyphens/>
              <w:autoSpaceDN w:val="0"/>
              <w:spacing w:line="301" w:lineRule="exact"/>
              <w:outlineLvl w:val="0"/>
              <w:rPr>
                <w:rFonts w:ascii="Arial" w:eastAsia="Times New Roman" w:hAnsi="Arial" w:cs="Arial"/>
                <w:b/>
                <w:bCs/>
                <w:color w:val="000000" w:themeColor="text1"/>
                <w:sz w:val="17"/>
                <w:szCs w:val="17"/>
              </w:rPr>
            </w:pPr>
          </w:p>
        </w:tc>
      </w:tr>
      <w:tr w:rsidR="00E056B2" w:rsidRPr="003D1614" w14:paraId="4D4C4647" w14:textId="77777777" w:rsidTr="009218FE">
        <w:trPr>
          <w:trHeight w:hRule="exact" w:val="213"/>
        </w:trPr>
        <w:tc>
          <w:tcPr>
            <w:tcW w:w="1601" w:type="pct"/>
            <w:tcBorders>
              <w:top w:val="nil"/>
              <w:left w:val="nil"/>
              <w:bottom w:val="nil"/>
              <w:right w:val="nil"/>
            </w:tcBorders>
            <w:shd w:val="clear" w:color="auto" w:fill="auto"/>
            <w:vAlign w:val="bottom"/>
          </w:tcPr>
          <w:p w14:paraId="59E24A4A" w14:textId="436E1F52" w:rsidR="00E056B2" w:rsidRPr="003D1614" w:rsidRDefault="00E056B2" w:rsidP="00E056B2">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867" w:name="_Toc67330320"/>
            <w:r w:rsidRPr="003D1614">
              <w:rPr>
                <w:rFonts w:ascii="Arial" w:eastAsia="Calibri" w:hAnsi="Arial" w:cs="Arial"/>
                <w:color w:val="000000" w:themeColor="text1"/>
                <w:spacing w:val="-2"/>
                <w:sz w:val="17"/>
                <w:szCs w:val="17"/>
              </w:rPr>
              <w:t xml:space="preserve">Izdane garancije </w:t>
            </w:r>
            <w:bookmarkEnd w:id="867"/>
          </w:p>
        </w:tc>
        <w:tc>
          <w:tcPr>
            <w:tcW w:w="556" w:type="pct"/>
            <w:tcBorders>
              <w:top w:val="nil"/>
              <w:left w:val="nil"/>
              <w:bottom w:val="nil"/>
              <w:right w:val="nil"/>
            </w:tcBorders>
            <w:shd w:val="clear" w:color="auto" w:fill="auto"/>
            <w:vAlign w:val="bottom"/>
          </w:tcPr>
          <w:p w14:paraId="5948E2FB" w14:textId="7CDF5CEF" w:rsidR="00E056B2" w:rsidRPr="003D1614" w:rsidRDefault="00E056B2" w:rsidP="00E056B2">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Times New Roman" w:hAnsi="Arial" w:cs="Arial"/>
                <w:color w:val="000000"/>
                <w:sz w:val="17"/>
                <w:szCs w:val="17"/>
              </w:rPr>
              <w:t>36.431</w:t>
            </w:r>
          </w:p>
        </w:tc>
        <w:tc>
          <w:tcPr>
            <w:tcW w:w="555" w:type="pct"/>
            <w:tcBorders>
              <w:top w:val="nil"/>
              <w:left w:val="nil"/>
              <w:bottom w:val="nil"/>
              <w:right w:val="nil"/>
            </w:tcBorders>
            <w:shd w:val="clear" w:color="auto" w:fill="auto"/>
            <w:vAlign w:val="bottom"/>
          </w:tcPr>
          <w:p w14:paraId="5C3898D0" w14:textId="1FFD3576" w:rsidR="00E056B2" w:rsidRPr="003D1614" w:rsidRDefault="00E056B2" w:rsidP="00E056B2">
            <w:pPr>
              <w:suppressAutoHyphens/>
              <w:autoSpaceDN w:val="0"/>
              <w:jc w:val="right"/>
              <w:rPr>
                <w:rFonts w:ascii="Arial" w:eastAsia="Calibri" w:hAnsi="Arial" w:cs="Arial"/>
                <w:color w:val="000000" w:themeColor="text1"/>
                <w:spacing w:val="-2"/>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024B5768" w14:textId="4FF8B46D" w:rsidR="00E056B2" w:rsidRPr="003D1614" w:rsidRDefault="00E056B2" w:rsidP="00E056B2">
            <w:pPr>
              <w:suppressAutoHyphens/>
              <w:autoSpaceDN w:val="0"/>
              <w:jc w:val="right"/>
              <w:rPr>
                <w:rFonts w:ascii="Arial" w:eastAsia="Calibri" w:hAnsi="Arial" w:cs="Arial"/>
                <w:color w:val="000000" w:themeColor="text1"/>
                <w:spacing w:val="-2"/>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1F64DD37" w14:textId="132E9B28" w:rsidR="00E056B2" w:rsidRPr="003D1614" w:rsidRDefault="00E056B2" w:rsidP="00E056B2">
            <w:pPr>
              <w:suppressAutoHyphens/>
              <w:autoSpaceDN w:val="0"/>
              <w:jc w:val="right"/>
              <w:rPr>
                <w:rFonts w:ascii="Arial" w:eastAsia="Calibri" w:hAnsi="Arial" w:cs="Arial"/>
                <w:color w:val="000000" w:themeColor="text1"/>
                <w:spacing w:val="-2"/>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7B8755CE" w14:textId="7E031409" w:rsidR="00E056B2" w:rsidRPr="003D1614" w:rsidRDefault="00E056B2" w:rsidP="00E056B2">
            <w:pPr>
              <w:suppressAutoHyphens/>
              <w:autoSpaceDN w:val="0"/>
              <w:jc w:val="right"/>
              <w:rPr>
                <w:rFonts w:ascii="Arial" w:eastAsia="Calibri" w:hAnsi="Arial" w:cs="Arial"/>
                <w:color w:val="000000" w:themeColor="text1"/>
                <w:spacing w:val="-2"/>
                <w:sz w:val="17"/>
                <w:szCs w:val="17"/>
              </w:rPr>
            </w:pPr>
            <w:r>
              <w:rPr>
                <w:rFonts w:ascii="Arial" w:eastAsia="Times New Roman" w:hAnsi="Arial" w:cs="Arial"/>
                <w:color w:val="000000"/>
                <w:sz w:val="17"/>
                <w:szCs w:val="17"/>
              </w:rPr>
              <w:t>-</w:t>
            </w:r>
          </w:p>
        </w:tc>
        <w:tc>
          <w:tcPr>
            <w:tcW w:w="619" w:type="pct"/>
            <w:tcBorders>
              <w:top w:val="nil"/>
              <w:left w:val="nil"/>
              <w:bottom w:val="nil"/>
              <w:right w:val="nil"/>
            </w:tcBorders>
            <w:shd w:val="clear" w:color="auto" w:fill="auto"/>
            <w:vAlign w:val="bottom"/>
          </w:tcPr>
          <w:p w14:paraId="11F3B3FA" w14:textId="57249A8C" w:rsidR="00E056B2" w:rsidRPr="003D1614" w:rsidRDefault="00E056B2" w:rsidP="00E056B2">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Times New Roman" w:hAnsi="Arial" w:cs="Arial"/>
                <w:color w:val="000000"/>
                <w:sz w:val="17"/>
                <w:szCs w:val="17"/>
              </w:rPr>
              <w:t>36.431</w:t>
            </w:r>
          </w:p>
        </w:tc>
      </w:tr>
      <w:tr w:rsidR="00E056B2" w:rsidRPr="003D1614" w14:paraId="447782E5" w14:textId="77777777" w:rsidTr="009218FE">
        <w:trPr>
          <w:trHeight w:hRule="exact" w:val="213"/>
        </w:trPr>
        <w:tc>
          <w:tcPr>
            <w:tcW w:w="1601" w:type="pct"/>
            <w:tcBorders>
              <w:top w:val="nil"/>
              <w:left w:val="nil"/>
              <w:bottom w:val="nil"/>
              <w:right w:val="nil"/>
            </w:tcBorders>
            <w:shd w:val="clear" w:color="auto" w:fill="auto"/>
            <w:vAlign w:val="bottom"/>
          </w:tcPr>
          <w:p w14:paraId="0230DE13" w14:textId="77777777" w:rsidR="00E056B2" w:rsidRPr="003D1614" w:rsidRDefault="00E056B2" w:rsidP="00E056B2">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868" w:name="_Toc67330323"/>
            <w:r w:rsidRPr="003D1614">
              <w:rPr>
                <w:rFonts w:ascii="Arial" w:eastAsia="Calibri" w:hAnsi="Arial" w:cs="Arial"/>
                <w:color w:val="000000" w:themeColor="text1"/>
                <w:spacing w:val="-2"/>
                <w:sz w:val="17"/>
                <w:szCs w:val="17"/>
              </w:rPr>
              <w:t>Izdane garancije u devizama</w:t>
            </w:r>
            <w:bookmarkEnd w:id="868"/>
          </w:p>
        </w:tc>
        <w:tc>
          <w:tcPr>
            <w:tcW w:w="556" w:type="pct"/>
            <w:tcBorders>
              <w:top w:val="nil"/>
              <w:left w:val="nil"/>
              <w:bottom w:val="nil"/>
              <w:right w:val="nil"/>
            </w:tcBorders>
            <w:shd w:val="clear" w:color="auto" w:fill="auto"/>
            <w:vAlign w:val="bottom"/>
          </w:tcPr>
          <w:p w14:paraId="27C42EEF" w14:textId="3249E1AC" w:rsidR="00E056B2" w:rsidRPr="003D1614" w:rsidRDefault="00E056B2" w:rsidP="00E056B2">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Times New Roman" w:hAnsi="Arial" w:cs="Arial"/>
                <w:color w:val="000000"/>
                <w:sz w:val="17"/>
                <w:szCs w:val="17"/>
              </w:rPr>
              <w:t>7.425</w:t>
            </w:r>
          </w:p>
        </w:tc>
        <w:tc>
          <w:tcPr>
            <w:tcW w:w="555" w:type="pct"/>
            <w:tcBorders>
              <w:top w:val="nil"/>
              <w:left w:val="nil"/>
              <w:bottom w:val="nil"/>
              <w:right w:val="nil"/>
            </w:tcBorders>
            <w:shd w:val="clear" w:color="auto" w:fill="auto"/>
            <w:vAlign w:val="bottom"/>
          </w:tcPr>
          <w:p w14:paraId="2C494ADD" w14:textId="57636424" w:rsidR="00E056B2" w:rsidRPr="003D1614" w:rsidRDefault="00E056B2" w:rsidP="00E056B2">
            <w:pPr>
              <w:suppressAutoHyphens/>
              <w:autoSpaceDN w:val="0"/>
              <w:jc w:val="right"/>
              <w:rPr>
                <w:rFonts w:ascii="Arial" w:eastAsia="Calibri" w:hAnsi="Arial" w:cs="Arial"/>
                <w:color w:val="000000" w:themeColor="text1"/>
                <w:spacing w:val="-2"/>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12C9C812" w14:textId="1B059F0F" w:rsidR="00E056B2" w:rsidRPr="003D1614" w:rsidRDefault="00E056B2" w:rsidP="00E056B2">
            <w:pPr>
              <w:suppressAutoHyphens/>
              <w:autoSpaceDN w:val="0"/>
              <w:jc w:val="right"/>
              <w:rPr>
                <w:rFonts w:ascii="Arial" w:eastAsia="Calibri" w:hAnsi="Arial" w:cs="Arial"/>
                <w:color w:val="000000" w:themeColor="text1"/>
                <w:spacing w:val="-2"/>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620D0E76" w14:textId="41B3BE18" w:rsidR="00E056B2" w:rsidRPr="003D1614" w:rsidRDefault="00E056B2" w:rsidP="00E056B2">
            <w:pPr>
              <w:suppressAutoHyphens/>
              <w:autoSpaceDN w:val="0"/>
              <w:jc w:val="right"/>
              <w:rPr>
                <w:rFonts w:ascii="Arial" w:eastAsia="Calibri" w:hAnsi="Arial" w:cs="Arial"/>
                <w:color w:val="000000" w:themeColor="text1"/>
                <w:spacing w:val="-2"/>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29F0C05A" w14:textId="279068AD" w:rsidR="00E056B2" w:rsidRPr="003D1614" w:rsidRDefault="00E056B2" w:rsidP="00E056B2">
            <w:pPr>
              <w:suppressAutoHyphens/>
              <w:autoSpaceDN w:val="0"/>
              <w:jc w:val="right"/>
              <w:rPr>
                <w:rFonts w:ascii="Arial" w:eastAsia="Calibri" w:hAnsi="Arial" w:cs="Arial"/>
                <w:color w:val="000000" w:themeColor="text1"/>
                <w:spacing w:val="-2"/>
                <w:sz w:val="17"/>
                <w:szCs w:val="17"/>
              </w:rPr>
            </w:pPr>
            <w:r>
              <w:rPr>
                <w:rFonts w:ascii="Arial" w:eastAsia="Times New Roman" w:hAnsi="Arial" w:cs="Arial"/>
                <w:color w:val="000000"/>
                <w:sz w:val="17"/>
                <w:szCs w:val="17"/>
              </w:rPr>
              <w:t>-</w:t>
            </w:r>
          </w:p>
        </w:tc>
        <w:tc>
          <w:tcPr>
            <w:tcW w:w="619" w:type="pct"/>
            <w:tcBorders>
              <w:top w:val="nil"/>
              <w:left w:val="nil"/>
              <w:bottom w:val="nil"/>
              <w:right w:val="nil"/>
            </w:tcBorders>
            <w:shd w:val="clear" w:color="auto" w:fill="auto"/>
            <w:vAlign w:val="bottom"/>
          </w:tcPr>
          <w:p w14:paraId="140FFD5D" w14:textId="6A0C7309" w:rsidR="00E056B2" w:rsidRPr="003D1614" w:rsidRDefault="00E056B2" w:rsidP="00E056B2">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Times New Roman" w:hAnsi="Arial" w:cs="Arial"/>
                <w:color w:val="000000"/>
                <w:sz w:val="17"/>
                <w:szCs w:val="17"/>
              </w:rPr>
              <w:t>7.425</w:t>
            </w:r>
          </w:p>
        </w:tc>
      </w:tr>
      <w:tr w:rsidR="00E056B2" w:rsidRPr="003D1614" w14:paraId="04B11CE8" w14:textId="77777777" w:rsidTr="009218FE">
        <w:trPr>
          <w:trHeight w:hRule="exact" w:val="213"/>
        </w:trPr>
        <w:tc>
          <w:tcPr>
            <w:tcW w:w="1601" w:type="pct"/>
            <w:tcBorders>
              <w:top w:val="nil"/>
              <w:left w:val="nil"/>
              <w:bottom w:val="nil"/>
              <w:right w:val="nil"/>
            </w:tcBorders>
            <w:shd w:val="clear" w:color="auto" w:fill="auto"/>
            <w:vAlign w:val="bottom"/>
          </w:tcPr>
          <w:p w14:paraId="01FA04E0" w14:textId="77777777" w:rsidR="00E056B2" w:rsidRPr="003D1614" w:rsidRDefault="00E056B2" w:rsidP="00E056B2">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869" w:name="_Toc67330329"/>
            <w:r w:rsidRPr="003D1614">
              <w:rPr>
                <w:rFonts w:ascii="Arial" w:eastAsia="Calibri" w:hAnsi="Arial" w:cs="Arial"/>
                <w:color w:val="000000" w:themeColor="text1"/>
                <w:spacing w:val="-2"/>
                <w:sz w:val="17"/>
                <w:szCs w:val="17"/>
              </w:rPr>
              <w:t>Preuzete obveze po kreditima</w:t>
            </w:r>
            <w:bookmarkEnd w:id="869"/>
          </w:p>
        </w:tc>
        <w:tc>
          <w:tcPr>
            <w:tcW w:w="556" w:type="pct"/>
            <w:tcBorders>
              <w:top w:val="nil"/>
              <w:left w:val="nil"/>
              <w:bottom w:val="nil"/>
              <w:right w:val="nil"/>
            </w:tcBorders>
            <w:shd w:val="clear" w:color="auto" w:fill="auto"/>
            <w:vAlign w:val="bottom"/>
          </w:tcPr>
          <w:p w14:paraId="6F99B5B4" w14:textId="7AA61754" w:rsidR="00E056B2" w:rsidRPr="003D1614" w:rsidRDefault="00E056B2" w:rsidP="00E056B2">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Times New Roman" w:hAnsi="Arial" w:cs="Arial"/>
                <w:color w:val="000000"/>
                <w:sz w:val="17"/>
                <w:szCs w:val="17"/>
              </w:rPr>
              <w:t>556.993</w:t>
            </w:r>
          </w:p>
        </w:tc>
        <w:tc>
          <w:tcPr>
            <w:tcW w:w="555" w:type="pct"/>
            <w:tcBorders>
              <w:top w:val="nil"/>
              <w:left w:val="nil"/>
              <w:bottom w:val="nil"/>
              <w:right w:val="nil"/>
            </w:tcBorders>
            <w:shd w:val="clear" w:color="auto" w:fill="auto"/>
            <w:vAlign w:val="bottom"/>
          </w:tcPr>
          <w:p w14:paraId="76DC9A4C" w14:textId="50D9E368" w:rsidR="00E056B2" w:rsidRPr="003D1614" w:rsidRDefault="00E056B2" w:rsidP="00E056B2">
            <w:pPr>
              <w:suppressAutoHyphens/>
              <w:autoSpaceDN w:val="0"/>
              <w:jc w:val="right"/>
              <w:rPr>
                <w:rFonts w:ascii="Arial" w:eastAsia="Calibri" w:hAnsi="Arial" w:cs="Arial"/>
                <w:color w:val="000000" w:themeColor="text1"/>
                <w:spacing w:val="-2"/>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081859B6" w14:textId="51F5EA37" w:rsidR="00E056B2" w:rsidRPr="003D1614" w:rsidRDefault="00E056B2" w:rsidP="00E056B2">
            <w:pPr>
              <w:suppressAutoHyphens/>
              <w:autoSpaceDN w:val="0"/>
              <w:jc w:val="right"/>
              <w:rPr>
                <w:rFonts w:ascii="Arial" w:eastAsia="Calibri" w:hAnsi="Arial" w:cs="Arial"/>
                <w:color w:val="000000" w:themeColor="text1"/>
                <w:spacing w:val="-2"/>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29365796" w14:textId="62272D39" w:rsidR="00E056B2" w:rsidRPr="003D1614" w:rsidRDefault="00E056B2" w:rsidP="00E056B2">
            <w:pPr>
              <w:suppressAutoHyphens/>
              <w:autoSpaceDN w:val="0"/>
              <w:jc w:val="right"/>
              <w:rPr>
                <w:rFonts w:ascii="Arial" w:eastAsia="Calibri" w:hAnsi="Arial" w:cs="Arial"/>
                <w:color w:val="000000" w:themeColor="text1"/>
                <w:spacing w:val="-2"/>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24CADF60" w14:textId="13FEDD78" w:rsidR="00E056B2" w:rsidRPr="003D1614" w:rsidRDefault="00E056B2" w:rsidP="00E056B2">
            <w:pPr>
              <w:suppressAutoHyphens/>
              <w:autoSpaceDN w:val="0"/>
              <w:jc w:val="right"/>
              <w:rPr>
                <w:rFonts w:ascii="Arial" w:eastAsia="Calibri" w:hAnsi="Arial" w:cs="Arial"/>
                <w:color w:val="000000" w:themeColor="text1"/>
                <w:spacing w:val="-2"/>
                <w:sz w:val="17"/>
                <w:szCs w:val="17"/>
              </w:rPr>
            </w:pPr>
            <w:r>
              <w:rPr>
                <w:rFonts w:ascii="Arial" w:eastAsia="Times New Roman" w:hAnsi="Arial" w:cs="Arial"/>
                <w:color w:val="000000"/>
                <w:sz w:val="17"/>
                <w:szCs w:val="17"/>
              </w:rPr>
              <w:t>-</w:t>
            </w:r>
          </w:p>
        </w:tc>
        <w:tc>
          <w:tcPr>
            <w:tcW w:w="619" w:type="pct"/>
            <w:tcBorders>
              <w:top w:val="nil"/>
              <w:left w:val="nil"/>
              <w:bottom w:val="nil"/>
              <w:right w:val="nil"/>
            </w:tcBorders>
            <w:shd w:val="clear" w:color="auto" w:fill="auto"/>
            <w:vAlign w:val="bottom"/>
          </w:tcPr>
          <w:p w14:paraId="15E81D1A" w14:textId="3382FE71" w:rsidR="00E056B2" w:rsidRPr="003D1614" w:rsidRDefault="00E056B2" w:rsidP="00E056B2">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Times New Roman" w:hAnsi="Arial" w:cs="Arial"/>
                <w:color w:val="000000"/>
                <w:sz w:val="17"/>
                <w:szCs w:val="17"/>
              </w:rPr>
              <w:t>556.993</w:t>
            </w:r>
          </w:p>
        </w:tc>
      </w:tr>
      <w:tr w:rsidR="00E056B2" w:rsidRPr="003D1614" w14:paraId="54CC1564" w14:textId="77777777" w:rsidTr="009218FE">
        <w:trPr>
          <w:trHeight w:hRule="exact" w:val="213"/>
        </w:trPr>
        <w:tc>
          <w:tcPr>
            <w:tcW w:w="1601" w:type="pct"/>
            <w:tcBorders>
              <w:top w:val="nil"/>
              <w:left w:val="nil"/>
              <w:bottom w:val="nil"/>
              <w:right w:val="nil"/>
            </w:tcBorders>
            <w:shd w:val="clear" w:color="auto" w:fill="auto"/>
            <w:vAlign w:val="bottom"/>
          </w:tcPr>
          <w:p w14:paraId="19AE9513" w14:textId="77777777" w:rsidR="00E056B2" w:rsidRPr="003D1614" w:rsidRDefault="00E056B2" w:rsidP="00E056B2">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bookmarkStart w:id="870" w:name="_Toc67330332"/>
            <w:r w:rsidRPr="003D1614">
              <w:rPr>
                <w:rFonts w:ascii="Arial" w:eastAsia="Times New Roman" w:hAnsi="Arial" w:cs="Arial"/>
                <w:color w:val="000000" w:themeColor="text1"/>
                <w:sz w:val="17"/>
                <w:szCs w:val="17"/>
              </w:rPr>
              <w:t>Upisani a neuplaćeni kapital EIF-a</w:t>
            </w:r>
            <w:bookmarkEnd w:id="870"/>
          </w:p>
        </w:tc>
        <w:tc>
          <w:tcPr>
            <w:tcW w:w="556" w:type="pct"/>
            <w:tcBorders>
              <w:top w:val="nil"/>
              <w:left w:val="nil"/>
              <w:bottom w:val="nil"/>
              <w:right w:val="nil"/>
            </w:tcBorders>
            <w:shd w:val="clear" w:color="auto" w:fill="auto"/>
            <w:vAlign w:val="bottom"/>
          </w:tcPr>
          <w:p w14:paraId="5999B47F" w14:textId="4367F138" w:rsidR="00E056B2" w:rsidRPr="003D1614" w:rsidRDefault="00E056B2" w:rsidP="00E056B2">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Times New Roman" w:hAnsi="Arial" w:cs="Arial"/>
                <w:color w:val="000000"/>
                <w:sz w:val="17"/>
                <w:szCs w:val="17"/>
              </w:rPr>
              <w:t>10.400</w:t>
            </w:r>
          </w:p>
        </w:tc>
        <w:tc>
          <w:tcPr>
            <w:tcW w:w="555" w:type="pct"/>
            <w:tcBorders>
              <w:top w:val="nil"/>
              <w:left w:val="nil"/>
              <w:bottom w:val="nil"/>
              <w:right w:val="nil"/>
            </w:tcBorders>
            <w:shd w:val="clear" w:color="auto" w:fill="auto"/>
            <w:vAlign w:val="bottom"/>
          </w:tcPr>
          <w:p w14:paraId="78AE479F" w14:textId="059DC5B8" w:rsidR="00E056B2" w:rsidRPr="003D1614" w:rsidRDefault="00E056B2" w:rsidP="00E056B2">
            <w:pPr>
              <w:suppressAutoHyphens/>
              <w:autoSpaceDN w:val="0"/>
              <w:jc w:val="right"/>
              <w:rPr>
                <w:rFonts w:ascii="Arial" w:eastAsia="Calibri" w:hAnsi="Arial" w:cs="Arial"/>
                <w:color w:val="000000" w:themeColor="text1"/>
                <w:spacing w:val="-2"/>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50FE96A5" w14:textId="10B6C531" w:rsidR="00E056B2" w:rsidRPr="003D1614" w:rsidRDefault="00E056B2" w:rsidP="00E056B2">
            <w:pPr>
              <w:suppressAutoHyphens/>
              <w:autoSpaceDN w:val="0"/>
              <w:jc w:val="right"/>
              <w:rPr>
                <w:rFonts w:ascii="Arial" w:eastAsia="Calibri" w:hAnsi="Arial" w:cs="Arial"/>
                <w:color w:val="000000" w:themeColor="text1"/>
                <w:spacing w:val="-2"/>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51E629C2" w14:textId="4EB795C2" w:rsidR="00E056B2" w:rsidRPr="003D1614" w:rsidRDefault="00E056B2" w:rsidP="00E056B2">
            <w:pPr>
              <w:suppressAutoHyphens/>
              <w:autoSpaceDN w:val="0"/>
              <w:jc w:val="right"/>
              <w:rPr>
                <w:rFonts w:ascii="Arial" w:eastAsia="Calibri" w:hAnsi="Arial" w:cs="Arial"/>
                <w:color w:val="000000" w:themeColor="text1"/>
                <w:spacing w:val="-2"/>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05DCCDF3" w14:textId="73F90CB7" w:rsidR="00E056B2" w:rsidRPr="003D1614" w:rsidRDefault="00E056B2" w:rsidP="00E056B2">
            <w:pPr>
              <w:suppressAutoHyphens/>
              <w:autoSpaceDN w:val="0"/>
              <w:jc w:val="right"/>
              <w:rPr>
                <w:rFonts w:ascii="Arial" w:eastAsia="Calibri" w:hAnsi="Arial" w:cs="Arial"/>
                <w:color w:val="000000" w:themeColor="text1"/>
                <w:spacing w:val="-2"/>
                <w:sz w:val="17"/>
                <w:szCs w:val="17"/>
              </w:rPr>
            </w:pPr>
            <w:r>
              <w:rPr>
                <w:rFonts w:ascii="Arial" w:eastAsia="Times New Roman" w:hAnsi="Arial" w:cs="Arial"/>
                <w:color w:val="000000"/>
                <w:sz w:val="17"/>
                <w:szCs w:val="17"/>
              </w:rPr>
              <w:t>-</w:t>
            </w:r>
          </w:p>
        </w:tc>
        <w:tc>
          <w:tcPr>
            <w:tcW w:w="619" w:type="pct"/>
            <w:tcBorders>
              <w:top w:val="nil"/>
              <w:left w:val="nil"/>
              <w:bottom w:val="nil"/>
              <w:right w:val="nil"/>
            </w:tcBorders>
            <w:shd w:val="clear" w:color="auto" w:fill="auto"/>
            <w:vAlign w:val="bottom"/>
          </w:tcPr>
          <w:p w14:paraId="02D587EC" w14:textId="3469AF22" w:rsidR="00E056B2" w:rsidRPr="003D1614" w:rsidRDefault="00E056B2" w:rsidP="00E056B2">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Times New Roman" w:hAnsi="Arial" w:cs="Arial"/>
                <w:color w:val="000000"/>
                <w:sz w:val="17"/>
                <w:szCs w:val="17"/>
              </w:rPr>
              <w:t>10.400</w:t>
            </w:r>
          </w:p>
        </w:tc>
      </w:tr>
      <w:tr w:rsidR="00E056B2" w:rsidRPr="003D1614" w14:paraId="385D0074" w14:textId="77777777" w:rsidTr="009218FE">
        <w:trPr>
          <w:trHeight w:hRule="exact" w:val="213"/>
        </w:trPr>
        <w:tc>
          <w:tcPr>
            <w:tcW w:w="1601" w:type="pct"/>
            <w:tcBorders>
              <w:top w:val="nil"/>
              <w:left w:val="nil"/>
              <w:bottom w:val="nil"/>
              <w:right w:val="nil"/>
            </w:tcBorders>
            <w:shd w:val="clear" w:color="auto" w:fill="auto"/>
            <w:vAlign w:val="bottom"/>
          </w:tcPr>
          <w:p w14:paraId="345D8110" w14:textId="77777777" w:rsidR="00E056B2" w:rsidRPr="003D1614" w:rsidRDefault="00E056B2" w:rsidP="00E056B2">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71" w:name="_Toc67330335"/>
            <w:r w:rsidRPr="003D1614">
              <w:rPr>
                <w:rFonts w:ascii="Arial" w:eastAsia="Times New Roman" w:hAnsi="Arial" w:cs="Arial"/>
                <w:color w:val="000000"/>
                <w:sz w:val="17"/>
                <w:szCs w:val="17"/>
              </w:rPr>
              <w:t>Ugovorena obveza EIF CROGIP</w:t>
            </w:r>
            <w:bookmarkEnd w:id="871"/>
          </w:p>
        </w:tc>
        <w:tc>
          <w:tcPr>
            <w:tcW w:w="556" w:type="pct"/>
            <w:tcBorders>
              <w:top w:val="nil"/>
              <w:left w:val="nil"/>
              <w:bottom w:val="nil"/>
              <w:right w:val="nil"/>
            </w:tcBorders>
            <w:shd w:val="clear" w:color="auto" w:fill="auto"/>
            <w:vAlign w:val="bottom"/>
          </w:tcPr>
          <w:p w14:paraId="022D043B" w14:textId="55707F7F" w:rsidR="00E056B2" w:rsidRPr="003D1614" w:rsidRDefault="00E056B2" w:rsidP="00E056B2">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Times New Roman" w:hAnsi="Arial" w:cs="Arial"/>
                <w:color w:val="000000"/>
                <w:sz w:val="17"/>
                <w:szCs w:val="17"/>
              </w:rPr>
              <w:t>204</w:t>
            </w:r>
          </w:p>
        </w:tc>
        <w:tc>
          <w:tcPr>
            <w:tcW w:w="555" w:type="pct"/>
            <w:tcBorders>
              <w:top w:val="nil"/>
              <w:left w:val="nil"/>
              <w:bottom w:val="nil"/>
              <w:right w:val="nil"/>
            </w:tcBorders>
            <w:shd w:val="clear" w:color="auto" w:fill="auto"/>
            <w:vAlign w:val="bottom"/>
          </w:tcPr>
          <w:p w14:paraId="1407EE81" w14:textId="57D8044D" w:rsidR="00E056B2" w:rsidRPr="003D1614" w:rsidRDefault="00E056B2" w:rsidP="00E056B2">
            <w:pPr>
              <w:suppressAutoHyphens/>
              <w:autoSpaceDN w:val="0"/>
              <w:jc w:val="right"/>
              <w:rPr>
                <w:rFonts w:ascii="Arial" w:eastAsia="Calibri" w:hAnsi="Arial" w:cs="Arial"/>
                <w:color w:val="000000" w:themeColor="text1"/>
                <w:spacing w:val="-2"/>
                <w:sz w:val="17"/>
                <w:szCs w:val="17"/>
              </w:rPr>
            </w:pPr>
            <w:r>
              <w:rPr>
                <w:rFonts w:ascii="Arial" w:eastAsia="Times New Roman" w:hAnsi="Arial" w:cs="Arial"/>
                <w:color w:val="000000"/>
                <w:sz w:val="17"/>
                <w:szCs w:val="17"/>
              </w:rPr>
              <w:t>2.456</w:t>
            </w:r>
          </w:p>
        </w:tc>
        <w:tc>
          <w:tcPr>
            <w:tcW w:w="556" w:type="pct"/>
            <w:tcBorders>
              <w:top w:val="nil"/>
              <w:left w:val="nil"/>
              <w:bottom w:val="nil"/>
              <w:right w:val="nil"/>
            </w:tcBorders>
            <w:shd w:val="clear" w:color="auto" w:fill="auto"/>
            <w:vAlign w:val="bottom"/>
          </w:tcPr>
          <w:p w14:paraId="0F557EA5" w14:textId="1529DDA9" w:rsidR="00E056B2" w:rsidRPr="003D1614" w:rsidRDefault="00E056B2" w:rsidP="00E056B2">
            <w:pPr>
              <w:suppressAutoHyphens/>
              <w:autoSpaceDN w:val="0"/>
              <w:jc w:val="right"/>
              <w:rPr>
                <w:rFonts w:ascii="Arial" w:eastAsia="Calibri" w:hAnsi="Arial" w:cs="Arial"/>
                <w:color w:val="000000" w:themeColor="text1"/>
                <w:spacing w:val="-2"/>
                <w:sz w:val="17"/>
                <w:szCs w:val="17"/>
              </w:rPr>
            </w:pPr>
            <w:r>
              <w:rPr>
                <w:rFonts w:ascii="Arial" w:eastAsia="Times New Roman" w:hAnsi="Arial" w:cs="Arial"/>
                <w:color w:val="000000"/>
                <w:sz w:val="17"/>
                <w:szCs w:val="17"/>
              </w:rPr>
              <w:t>6.070</w:t>
            </w:r>
          </w:p>
        </w:tc>
        <w:tc>
          <w:tcPr>
            <w:tcW w:w="556" w:type="pct"/>
            <w:tcBorders>
              <w:top w:val="nil"/>
              <w:left w:val="nil"/>
              <w:bottom w:val="nil"/>
              <w:right w:val="nil"/>
            </w:tcBorders>
            <w:shd w:val="clear" w:color="auto" w:fill="auto"/>
            <w:vAlign w:val="bottom"/>
          </w:tcPr>
          <w:p w14:paraId="5DE837C3" w14:textId="02294E27" w:rsidR="00E056B2" w:rsidRPr="003D1614" w:rsidRDefault="00E056B2" w:rsidP="00E056B2">
            <w:pPr>
              <w:suppressAutoHyphens/>
              <w:autoSpaceDN w:val="0"/>
              <w:jc w:val="right"/>
              <w:rPr>
                <w:rFonts w:ascii="Arial" w:eastAsia="Calibri" w:hAnsi="Arial" w:cs="Arial"/>
                <w:color w:val="000000" w:themeColor="text1"/>
                <w:spacing w:val="-2"/>
                <w:sz w:val="17"/>
                <w:szCs w:val="17"/>
              </w:rPr>
            </w:pPr>
            <w:r>
              <w:rPr>
                <w:rFonts w:ascii="Arial" w:eastAsia="Times New Roman" w:hAnsi="Arial" w:cs="Arial"/>
                <w:color w:val="000000"/>
                <w:sz w:val="17"/>
                <w:szCs w:val="17"/>
              </w:rPr>
              <w:t>15.400</w:t>
            </w:r>
          </w:p>
        </w:tc>
        <w:tc>
          <w:tcPr>
            <w:tcW w:w="556" w:type="pct"/>
            <w:tcBorders>
              <w:top w:val="nil"/>
              <w:left w:val="nil"/>
              <w:bottom w:val="nil"/>
              <w:right w:val="nil"/>
            </w:tcBorders>
            <w:shd w:val="clear" w:color="auto" w:fill="auto"/>
            <w:vAlign w:val="bottom"/>
          </w:tcPr>
          <w:p w14:paraId="30B01A0B" w14:textId="05A7D2A9" w:rsidR="00E056B2" w:rsidRPr="003D1614" w:rsidRDefault="00E056B2" w:rsidP="00E056B2">
            <w:pPr>
              <w:suppressAutoHyphens/>
              <w:autoSpaceDN w:val="0"/>
              <w:jc w:val="right"/>
              <w:rPr>
                <w:rFonts w:ascii="Arial" w:eastAsia="Calibri" w:hAnsi="Arial" w:cs="Arial"/>
                <w:color w:val="000000" w:themeColor="text1"/>
                <w:spacing w:val="-2"/>
                <w:sz w:val="17"/>
                <w:szCs w:val="17"/>
              </w:rPr>
            </w:pPr>
            <w:r>
              <w:rPr>
                <w:rFonts w:ascii="Arial" w:eastAsia="Times New Roman" w:hAnsi="Arial" w:cs="Arial"/>
                <w:color w:val="000000"/>
                <w:sz w:val="17"/>
                <w:szCs w:val="17"/>
              </w:rPr>
              <w:t>6.330</w:t>
            </w:r>
          </w:p>
        </w:tc>
        <w:tc>
          <w:tcPr>
            <w:tcW w:w="619" w:type="pct"/>
            <w:tcBorders>
              <w:top w:val="nil"/>
              <w:left w:val="nil"/>
              <w:bottom w:val="nil"/>
              <w:right w:val="nil"/>
            </w:tcBorders>
            <w:shd w:val="clear" w:color="auto" w:fill="auto"/>
            <w:vAlign w:val="bottom"/>
          </w:tcPr>
          <w:p w14:paraId="6EE3E88B" w14:textId="1249627C" w:rsidR="00E056B2" w:rsidRPr="003D1614" w:rsidRDefault="00E056B2" w:rsidP="00E056B2">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Times New Roman" w:hAnsi="Arial" w:cs="Arial"/>
                <w:color w:val="000000"/>
                <w:sz w:val="17"/>
                <w:szCs w:val="17"/>
              </w:rPr>
              <w:t>30.460</w:t>
            </w:r>
          </w:p>
        </w:tc>
      </w:tr>
      <w:tr w:rsidR="00E056B2" w:rsidRPr="003D1614" w14:paraId="4D5CC910" w14:textId="77777777" w:rsidTr="009218FE">
        <w:trPr>
          <w:trHeight w:hRule="exact" w:val="213"/>
        </w:trPr>
        <w:tc>
          <w:tcPr>
            <w:tcW w:w="1601" w:type="pct"/>
            <w:tcBorders>
              <w:top w:val="nil"/>
              <w:left w:val="nil"/>
              <w:bottom w:val="nil"/>
              <w:right w:val="nil"/>
            </w:tcBorders>
            <w:shd w:val="clear" w:color="auto" w:fill="auto"/>
            <w:vAlign w:val="bottom"/>
          </w:tcPr>
          <w:p w14:paraId="62E7219A" w14:textId="77777777" w:rsidR="00E056B2" w:rsidRPr="003D1614" w:rsidRDefault="00E056B2" w:rsidP="00E056B2">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872" w:name="_Toc67330338"/>
            <w:r w:rsidRPr="003D1614">
              <w:rPr>
                <w:rFonts w:ascii="Arial" w:eastAsia="Times New Roman" w:hAnsi="Arial" w:cs="Arial"/>
                <w:color w:val="000000"/>
                <w:sz w:val="17"/>
                <w:szCs w:val="17"/>
              </w:rPr>
              <w:t>Ugovorena obveza EIF FRC2</w:t>
            </w:r>
            <w:bookmarkEnd w:id="872"/>
          </w:p>
        </w:tc>
        <w:tc>
          <w:tcPr>
            <w:tcW w:w="556" w:type="pct"/>
            <w:tcBorders>
              <w:top w:val="nil"/>
              <w:left w:val="nil"/>
              <w:bottom w:val="single" w:sz="8" w:space="0" w:color="auto"/>
              <w:right w:val="nil"/>
            </w:tcBorders>
            <w:shd w:val="clear" w:color="auto" w:fill="auto"/>
            <w:vAlign w:val="bottom"/>
          </w:tcPr>
          <w:p w14:paraId="58010B61" w14:textId="2453E54A" w:rsidR="00E056B2" w:rsidRPr="003D1614" w:rsidRDefault="00E056B2" w:rsidP="00E056B2">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Times New Roman" w:hAnsi="Arial" w:cs="Arial"/>
                <w:color w:val="000000"/>
                <w:sz w:val="17"/>
                <w:szCs w:val="17"/>
              </w:rPr>
              <w:t>5</w:t>
            </w:r>
          </w:p>
        </w:tc>
        <w:tc>
          <w:tcPr>
            <w:tcW w:w="555" w:type="pct"/>
            <w:tcBorders>
              <w:top w:val="nil"/>
              <w:left w:val="nil"/>
              <w:bottom w:val="single" w:sz="8" w:space="0" w:color="auto"/>
              <w:right w:val="nil"/>
            </w:tcBorders>
            <w:shd w:val="clear" w:color="auto" w:fill="auto"/>
            <w:vAlign w:val="bottom"/>
          </w:tcPr>
          <w:p w14:paraId="3B1E5A6F" w14:textId="418FFF98" w:rsidR="00E056B2" w:rsidRPr="003D1614" w:rsidRDefault="00E056B2" w:rsidP="00E056B2">
            <w:pPr>
              <w:suppressAutoHyphens/>
              <w:autoSpaceDN w:val="0"/>
              <w:jc w:val="right"/>
              <w:rPr>
                <w:rFonts w:ascii="Arial" w:eastAsia="Calibri" w:hAnsi="Arial" w:cs="Arial"/>
                <w:color w:val="000000" w:themeColor="text1"/>
                <w:spacing w:val="-2"/>
                <w:sz w:val="17"/>
                <w:szCs w:val="17"/>
              </w:rPr>
            </w:pPr>
            <w:r>
              <w:rPr>
                <w:rFonts w:ascii="Arial" w:eastAsia="Times New Roman" w:hAnsi="Arial" w:cs="Arial"/>
                <w:color w:val="000000"/>
                <w:sz w:val="17"/>
                <w:szCs w:val="17"/>
              </w:rPr>
              <w:t>2</w:t>
            </w:r>
          </w:p>
        </w:tc>
        <w:tc>
          <w:tcPr>
            <w:tcW w:w="556" w:type="pct"/>
            <w:tcBorders>
              <w:top w:val="nil"/>
              <w:left w:val="nil"/>
              <w:bottom w:val="single" w:sz="8" w:space="0" w:color="auto"/>
              <w:right w:val="nil"/>
            </w:tcBorders>
            <w:shd w:val="clear" w:color="auto" w:fill="auto"/>
            <w:vAlign w:val="bottom"/>
          </w:tcPr>
          <w:p w14:paraId="16803822" w14:textId="4C4D32C9" w:rsidR="00E056B2" w:rsidRPr="003D1614" w:rsidRDefault="00E056B2" w:rsidP="00E056B2">
            <w:pPr>
              <w:suppressAutoHyphens/>
              <w:autoSpaceDN w:val="0"/>
              <w:jc w:val="right"/>
              <w:rPr>
                <w:rFonts w:ascii="Arial" w:eastAsia="Calibri" w:hAnsi="Arial" w:cs="Arial"/>
                <w:color w:val="000000" w:themeColor="text1"/>
                <w:spacing w:val="-2"/>
                <w:sz w:val="17"/>
                <w:szCs w:val="17"/>
              </w:rPr>
            </w:pPr>
            <w:r>
              <w:rPr>
                <w:rFonts w:ascii="Arial" w:eastAsia="Times New Roman" w:hAnsi="Arial" w:cs="Arial"/>
                <w:color w:val="000000"/>
                <w:sz w:val="17"/>
                <w:szCs w:val="17"/>
              </w:rPr>
              <w:t>16</w:t>
            </w:r>
          </w:p>
        </w:tc>
        <w:tc>
          <w:tcPr>
            <w:tcW w:w="556" w:type="pct"/>
            <w:tcBorders>
              <w:top w:val="nil"/>
              <w:left w:val="nil"/>
              <w:bottom w:val="single" w:sz="8" w:space="0" w:color="auto"/>
              <w:right w:val="nil"/>
            </w:tcBorders>
            <w:shd w:val="clear" w:color="auto" w:fill="auto"/>
            <w:vAlign w:val="bottom"/>
          </w:tcPr>
          <w:p w14:paraId="4FF621BB" w14:textId="48A232F8" w:rsidR="00E056B2" w:rsidRPr="003D1614" w:rsidRDefault="00E056B2" w:rsidP="00E056B2">
            <w:pPr>
              <w:suppressAutoHyphens/>
              <w:autoSpaceDN w:val="0"/>
              <w:jc w:val="right"/>
              <w:rPr>
                <w:rFonts w:ascii="Arial" w:eastAsia="Calibri" w:hAnsi="Arial" w:cs="Arial"/>
                <w:color w:val="000000" w:themeColor="text1"/>
                <w:spacing w:val="-2"/>
                <w:sz w:val="17"/>
                <w:szCs w:val="17"/>
              </w:rPr>
            </w:pPr>
            <w:r>
              <w:rPr>
                <w:rFonts w:ascii="Arial" w:eastAsia="Times New Roman" w:hAnsi="Arial" w:cs="Arial"/>
                <w:color w:val="000000"/>
                <w:sz w:val="17"/>
                <w:szCs w:val="17"/>
              </w:rPr>
              <w:t>35</w:t>
            </w:r>
          </w:p>
        </w:tc>
        <w:tc>
          <w:tcPr>
            <w:tcW w:w="556" w:type="pct"/>
            <w:tcBorders>
              <w:top w:val="nil"/>
              <w:left w:val="nil"/>
              <w:bottom w:val="single" w:sz="8" w:space="0" w:color="auto"/>
              <w:right w:val="nil"/>
            </w:tcBorders>
            <w:shd w:val="clear" w:color="auto" w:fill="auto"/>
            <w:vAlign w:val="bottom"/>
          </w:tcPr>
          <w:p w14:paraId="3078D14F" w14:textId="118A27CB" w:rsidR="00E056B2" w:rsidRPr="003D1614" w:rsidRDefault="00E056B2" w:rsidP="00E056B2">
            <w:pPr>
              <w:suppressAutoHyphens/>
              <w:autoSpaceDN w:val="0"/>
              <w:jc w:val="right"/>
              <w:rPr>
                <w:rFonts w:ascii="Arial" w:eastAsia="Calibri" w:hAnsi="Arial" w:cs="Arial"/>
                <w:color w:val="000000" w:themeColor="text1"/>
                <w:spacing w:val="-2"/>
                <w:sz w:val="17"/>
                <w:szCs w:val="17"/>
              </w:rPr>
            </w:pPr>
            <w:r>
              <w:rPr>
                <w:rFonts w:ascii="Arial" w:eastAsia="Times New Roman" w:hAnsi="Arial" w:cs="Arial"/>
                <w:color w:val="000000"/>
                <w:sz w:val="17"/>
                <w:szCs w:val="17"/>
              </w:rPr>
              <w:t>9</w:t>
            </w:r>
          </w:p>
        </w:tc>
        <w:tc>
          <w:tcPr>
            <w:tcW w:w="619" w:type="pct"/>
            <w:tcBorders>
              <w:top w:val="nil"/>
              <w:left w:val="nil"/>
              <w:bottom w:val="single" w:sz="8" w:space="0" w:color="auto"/>
              <w:right w:val="nil"/>
            </w:tcBorders>
            <w:shd w:val="clear" w:color="auto" w:fill="auto"/>
            <w:vAlign w:val="bottom"/>
          </w:tcPr>
          <w:p w14:paraId="26029D64" w14:textId="7C254619" w:rsidR="00E056B2" w:rsidRPr="003D1614" w:rsidRDefault="00E056B2" w:rsidP="00E056B2">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Times New Roman" w:hAnsi="Arial" w:cs="Arial"/>
                <w:color w:val="000000"/>
                <w:sz w:val="17"/>
                <w:szCs w:val="17"/>
              </w:rPr>
              <w:t>67</w:t>
            </w:r>
          </w:p>
        </w:tc>
      </w:tr>
      <w:tr w:rsidR="00E056B2" w:rsidRPr="003D1614" w14:paraId="3A721DEC" w14:textId="77777777" w:rsidTr="009218FE">
        <w:trPr>
          <w:trHeight w:hRule="exact" w:val="340"/>
        </w:trPr>
        <w:tc>
          <w:tcPr>
            <w:tcW w:w="1601" w:type="pct"/>
            <w:tcBorders>
              <w:top w:val="nil"/>
              <w:left w:val="nil"/>
              <w:bottom w:val="nil"/>
              <w:right w:val="nil"/>
            </w:tcBorders>
            <w:shd w:val="clear" w:color="auto" w:fill="auto"/>
            <w:vAlign w:val="bottom"/>
          </w:tcPr>
          <w:p w14:paraId="7B9A4C71" w14:textId="77777777" w:rsidR="00E056B2" w:rsidRPr="003D1614" w:rsidRDefault="00E056B2" w:rsidP="00E056B2">
            <w:pPr>
              <w:tabs>
                <w:tab w:val="right" w:pos="1202"/>
              </w:tabs>
              <w:suppressAutoHyphens/>
              <w:autoSpaceDN w:val="0"/>
              <w:outlineLvl w:val="0"/>
              <w:rPr>
                <w:rFonts w:ascii="Arial" w:eastAsia="Times New Roman" w:hAnsi="Arial" w:cs="Arial"/>
                <w:b/>
                <w:bCs/>
                <w:color w:val="000000" w:themeColor="text1"/>
                <w:sz w:val="17"/>
                <w:szCs w:val="17"/>
              </w:rPr>
            </w:pPr>
            <w:bookmarkStart w:id="873" w:name="_Toc67330341"/>
            <w:r w:rsidRPr="003D1614">
              <w:rPr>
                <w:rFonts w:ascii="Arial" w:eastAsia="Times New Roman" w:hAnsi="Arial" w:cs="Arial"/>
                <w:b/>
                <w:bCs/>
                <w:color w:val="000000" w:themeColor="text1"/>
                <w:sz w:val="17"/>
                <w:szCs w:val="17"/>
              </w:rPr>
              <w:t>Ukupne garancije i preuzete obveze</w:t>
            </w:r>
            <w:bookmarkEnd w:id="873"/>
          </w:p>
        </w:tc>
        <w:tc>
          <w:tcPr>
            <w:tcW w:w="556" w:type="pct"/>
            <w:tcBorders>
              <w:top w:val="single" w:sz="8" w:space="0" w:color="auto"/>
              <w:left w:val="nil"/>
              <w:bottom w:val="single" w:sz="12" w:space="0" w:color="auto"/>
              <w:right w:val="nil"/>
            </w:tcBorders>
            <w:shd w:val="clear" w:color="auto" w:fill="auto"/>
            <w:vAlign w:val="bottom"/>
          </w:tcPr>
          <w:p w14:paraId="69737EE3" w14:textId="3CFF257E" w:rsidR="00E056B2" w:rsidRPr="003D1614" w:rsidRDefault="00E056B2" w:rsidP="00E056B2">
            <w:pPr>
              <w:tabs>
                <w:tab w:val="right" w:pos="1202"/>
              </w:tabs>
              <w:suppressAutoHyphens/>
              <w:autoSpaceDN w:val="0"/>
              <w:jc w:val="right"/>
              <w:outlineLvl w:val="0"/>
              <w:rPr>
                <w:rFonts w:ascii="Arial" w:eastAsia="Times New Roman" w:hAnsi="Arial" w:cs="Arial"/>
                <w:b/>
                <w:color w:val="000000" w:themeColor="text1"/>
                <w:sz w:val="17"/>
                <w:szCs w:val="17"/>
              </w:rPr>
            </w:pPr>
            <w:r>
              <w:rPr>
                <w:rFonts w:ascii="Arial" w:eastAsia="Times New Roman" w:hAnsi="Arial" w:cs="Arial"/>
                <w:b/>
                <w:bCs/>
                <w:color w:val="000000"/>
                <w:sz w:val="17"/>
                <w:szCs w:val="17"/>
              </w:rPr>
              <w:t>611.458</w:t>
            </w:r>
          </w:p>
        </w:tc>
        <w:tc>
          <w:tcPr>
            <w:tcW w:w="555" w:type="pct"/>
            <w:tcBorders>
              <w:top w:val="single" w:sz="8" w:space="0" w:color="auto"/>
              <w:left w:val="nil"/>
              <w:bottom w:val="single" w:sz="12" w:space="0" w:color="auto"/>
              <w:right w:val="nil"/>
            </w:tcBorders>
            <w:shd w:val="clear" w:color="auto" w:fill="auto"/>
            <w:vAlign w:val="bottom"/>
          </w:tcPr>
          <w:p w14:paraId="0ED7C3C7" w14:textId="234E28B8" w:rsidR="00E056B2" w:rsidRPr="003D1614" w:rsidRDefault="00E056B2" w:rsidP="00E056B2">
            <w:pPr>
              <w:suppressAutoHyphens/>
              <w:autoSpaceDN w:val="0"/>
              <w:jc w:val="right"/>
              <w:rPr>
                <w:rFonts w:ascii="Arial" w:eastAsia="Times New Roman" w:hAnsi="Arial" w:cs="Arial"/>
                <w:color w:val="000000" w:themeColor="text1"/>
                <w:sz w:val="17"/>
                <w:szCs w:val="17"/>
              </w:rPr>
            </w:pPr>
            <w:r>
              <w:rPr>
                <w:rFonts w:ascii="Arial" w:eastAsia="Times New Roman" w:hAnsi="Arial" w:cs="Arial"/>
                <w:b/>
                <w:bCs/>
                <w:color w:val="000000"/>
                <w:sz w:val="17"/>
                <w:szCs w:val="17"/>
              </w:rPr>
              <w:t>2.458</w:t>
            </w:r>
          </w:p>
        </w:tc>
        <w:tc>
          <w:tcPr>
            <w:tcW w:w="556" w:type="pct"/>
            <w:tcBorders>
              <w:top w:val="single" w:sz="8" w:space="0" w:color="auto"/>
              <w:left w:val="nil"/>
              <w:bottom w:val="single" w:sz="12" w:space="0" w:color="auto"/>
              <w:right w:val="nil"/>
            </w:tcBorders>
            <w:shd w:val="clear" w:color="auto" w:fill="auto"/>
            <w:vAlign w:val="bottom"/>
          </w:tcPr>
          <w:p w14:paraId="067E5FB2" w14:textId="087CDB70" w:rsidR="00E056B2" w:rsidRPr="003D1614" w:rsidRDefault="00E056B2" w:rsidP="00E056B2">
            <w:pPr>
              <w:suppressAutoHyphens/>
              <w:autoSpaceDN w:val="0"/>
              <w:jc w:val="right"/>
              <w:rPr>
                <w:rFonts w:ascii="Arial" w:eastAsia="Times New Roman" w:hAnsi="Arial" w:cs="Arial"/>
                <w:color w:val="000000" w:themeColor="text1"/>
                <w:sz w:val="17"/>
                <w:szCs w:val="17"/>
              </w:rPr>
            </w:pPr>
            <w:r>
              <w:rPr>
                <w:rFonts w:ascii="Arial" w:eastAsia="Times New Roman" w:hAnsi="Arial" w:cs="Arial"/>
                <w:b/>
                <w:bCs/>
                <w:color w:val="000000"/>
                <w:sz w:val="17"/>
                <w:szCs w:val="17"/>
              </w:rPr>
              <w:t>6.086</w:t>
            </w:r>
          </w:p>
        </w:tc>
        <w:tc>
          <w:tcPr>
            <w:tcW w:w="556" w:type="pct"/>
            <w:tcBorders>
              <w:top w:val="single" w:sz="8" w:space="0" w:color="auto"/>
              <w:left w:val="nil"/>
              <w:bottom w:val="single" w:sz="12" w:space="0" w:color="auto"/>
              <w:right w:val="nil"/>
            </w:tcBorders>
            <w:shd w:val="clear" w:color="auto" w:fill="auto"/>
            <w:vAlign w:val="bottom"/>
          </w:tcPr>
          <w:p w14:paraId="3929DE32" w14:textId="38FAFAD4" w:rsidR="00E056B2" w:rsidRPr="003D1614" w:rsidRDefault="00E056B2" w:rsidP="00E056B2">
            <w:pPr>
              <w:suppressAutoHyphens/>
              <w:autoSpaceDN w:val="0"/>
              <w:jc w:val="right"/>
              <w:rPr>
                <w:rFonts w:ascii="Arial" w:eastAsia="Times New Roman" w:hAnsi="Arial" w:cs="Arial"/>
                <w:color w:val="000000" w:themeColor="text1"/>
                <w:sz w:val="17"/>
                <w:szCs w:val="17"/>
              </w:rPr>
            </w:pPr>
            <w:r>
              <w:rPr>
                <w:rFonts w:ascii="Arial" w:eastAsia="Times New Roman" w:hAnsi="Arial" w:cs="Arial"/>
                <w:b/>
                <w:bCs/>
                <w:color w:val="000000"/>
                <w:sz w:val="17"/>
                <w:szCs w:val="17"/>
              </w:rPr>
              <w:t>15.435</w:t>
            </w:r>
          </w:p>
        </w:tc>
        <w:tc>
          <w:tcPr>
            <w:tcW w:w="556" w:type="pct"/>
            <w:tcBorders>
              <w:top w:val="single" w:sz="8" w:space="0" w:color="auto"/>
              <w:left w:val="nil"/>
              <w:bottom w:val="single" w:sz="12" w:space="0" w:color="auto"/>
              <w:right w:val="nil"/>
            </w:tcBorders>
            <w:shd w:val="clear" w:color="auto" w:fill="auto"/>
            <w:vAlign w:val="bottom"/>
          </w:tcPr>
          <w:p w14:paraId="163DF64A" w14:textId="0F757820" w:rsidR="00E056B2" w:rsidRPr="003D1614" w:rsidRDefault="00E056B2" w:rsidP="00E056B2">
            <w:pPr>
              <w:suppressAutoHyphens/>
              <w:autoSpaceDN w:val="0"/>
              <w:jc w:val="right"/>
              <w:rPr>
                <w:rFonts w:ascii="Arial" w:eastAsia="Times New Roman" w:hAnsi="Arial" w:cs="Arial"/>
                <w:color w:val="000000" w:themeColor="text1"/>
                <w:sz w:val="17"/>
                <w:szCs w:val="17"/>
              </w:rPr>
            </w:pPr>
            <w:r>
              <w:rPr>
                <w:rFonts w:ascii="Arial" w:eastAsia="Times New Roman" w:hAnsi="Arial" w:cs="Arial"/>
                <w:b/>
                <w:bCs/>
                <w:color w:val="000000"/>
                <w:sz w:val="17"/>
                <w:szCs w:val="17"/>
              </w:rPr>
              <w:t>6.339</w:t>
            </w:r>
          </w:p>
        </w:tc>
        <w:tc>
          <w:tcPr>
            <w:tcW w:w="619" w:type="pct"/>
            <w:tcBorders>
              <w:top w:val="single" w:sz="8" w:space="0" w:color="auto"/>
              <w:left w:val="nil"/>
              <w:bottom w:val="single" w:sz="12" w:space="0" w:color="auto"/>
              <w:right w:val="nil"/>
            </w:tcBorders>
            <w:shd w:val="clear" w:color="auto" w:fill="auto"/>
            <w:vAlign w:val="bottom"/>
          </w:tcPr>
          <w:p w14:paraId="621E2B5B" w14:textId="288E26B0" w:rsidR="00E056B2" w:rsidRPr="003D1614" w:rsidRDefault="00E056B2" w:rsidP="00E056B2">
            <w:pPr>
              <w:tabs>
                <w:tab w:val="right" w:pos="1202"/>
              </w:tabs>
              <w:suppressAutoHyphens/>
              <w:autoSpaceDN w:val="0"/>
              <w:jc w:val="right"/>
              <w:outlineLvl w:val="0"/>
              <w:rPr>
                <w:rFonts w:ascii="Arial" w:eastAsia="Times New Roman" w:hAnsi="Arial" w:cs="Arial"/>
                <w:b/>
                <w:color w:val="000000" w:themeColor="text1"/>
                <w:sz w:val="17"/>
                <w:szCs w:val="17"/>
              </w:rPr>
            </w:pPr>
            <w:r>
              <w:rPr>
                <w:rFonts w:ascii="Arial" w:eastAsia="Times New Roman" w:hAnsi="Arial" w:cs="Arial"/>
                <w:b/>
                <w:bCs/>
                <w:color w:val="000000"/>
                <w:sz w:val="17"/>
                <w:szCs w:val="17"/>
              </w:rPr>
              <w:t>641.776</w:t>
            </w:r>
          </w:p>
        </w:tc>
      </w:tr>
    </w:tbl>
    <w:p w14:paraId="46F2B4BC" w14:textId="77777777" w:rsidR="000C7E59" w:rsidRPr="003D1614" w:rsidRDefault="000C7E59" w:rsidP="000C7E59">
      <w:pPr>
        <w:tabs>
          <w:tab w:val="right" w:pos="1202"/>
          <w:tab w:val="center" w:pos="4536"/>
          <w:tab w:val="right" w:pos="9072"/>
        </w:tabs>
        <w:suppressAutoHyphens/>
        <w:autoSpaceDN w:val="0"/>
        <w:spacing w:line="301" w:lineRule="exact"/>
        <w:outlineLvl w:val="0"/>
        <w:rPr>
          <w:rFonts w:ascii="Arial" w:eastAsia="Times New Roman" w:hAnsi="Arial" w:cs="Arial"/>
          <w:i/>
          <w:color w:val="000000" w:themeColor="text1"/>
          <w:sz w:val="20"/>
          <w:szCs w:val="24"/>
        </w:rPr>
      </w:pPr>
    </w:p>
    <w:p w14:paraId="6DCEB82E" w14:textId="5D5D141D" w:rsidR="00661446" w:rsidRPr="003D1614" w:rsidRDefault="00661446" w:rsidP="00661446">
      <w:pPr>
        <w:suppressAutoHyphens/>
        <w:autoSpaceDN w:val="0"/>
        <w:jc w:val="both"/>
        <w:rPr>
          <w:rFonts w:ascii="Arial" w:eastAsia="Times New Roman" w:hAnsi="Arial" w:cs="Arial"/>
          <w:bCs/>
          <w:i/>
          <w:color w:val="000000" w:themeColor="text1"/>
          <w:sz w:val="18"/>
          <w:szCs w:val="18"/>
        </w:rPr>
      </w:pPr>
    </w:p>
    <w:tbl>
      <w:tblPr>
        <w:tblW w:w="5359" w:type="pct"/>
        <w:tblInd w:w="-468" w:type="dxa"/>
        <w:tblLayout w:type="fixed"/>
        <w:tblCellMar>
          <w:left w:w="120" w:type="dxa"/>
          <w:right w:w="120" w:type="dxa"/>
        </w:tblCellMar>
        <w:tblLook w:val="0000" w:firstRow="0" w:lastRow="0" w:firstColumn="0" w:lastColumn="0" w:noHBand="0" w:noVBand="0"/>
      </w:tblPr>
      <w:tblGrid>
        <w:gridCol w:w="3080"/>
        <w:gridCol w:w="1087"/>
        <w:gridCol w:w="1085"/>
        <w:gridCol w:w="1087"/>
        <w:gridCol w:w="1087"/>
        <w:gridCol w:w="1087"/>
        <w:gridCol w:w="1210"/>
      </w:tblGrid>
      <w:tr w:rsidR="00CA047C" w:rsidRPr="00C40415" w14:paraId="16E8F0F1" w14:textId="77777777" w:rsidTr="00CA7F04">
        <w:trPr>
          <w:trHeight w:val="452"/>
        </w:trPr>
        <w:tc>
          <w:tcPr>
            <w:tcW w:w="1584" w:type="pct"/>
          </w:tcPr>
          <w:p w14:paraId="3C37CEE4" w14:textId="77777777" w:rsidR="00CA047C" w:rsidRPr="00C40415" w:rsidRDefault="00CA047C" w:rsidP="00CA7F04">
            <w:pPr>
              <w:tabs>
                <w:tab w:val="right" w:pos="1202"/>
              </w:tabs>
              <w:spacing w:line="240" w:lineRule="atLeast"/>
              <w:outlineLvl w:val="0"/>
              <w:rPr>
                <w:rFonts w:ascii="Arial" w:hAnsi="Arial" w:cs="Arial"/>
                <w:b/>
                <w:color w:val="000000" w:themeColor="text1"/>
                <w:sz w:val="17"/>
                <w:szCs w:val="17"/>
              </w:rPr>
            </w:pPr>
            <w:r w:rsidRPr="00C40415">
              <w:rPr>
                <w:rFonts w:ascii="Arial" w:hAnsi="Arial" w:cs="Arial"/>
                <w:b/>
                <w:color w:val="000000" w:themeColor="text1"/>
                <w:sz w:val="17"/>
                <w:szCs w:val="17"/>
              </w:rPr>
              <w:t>Grupa</w:t>
            </w:r>
          </w:p>
          <w:p w14:paraId="4408CC48" w14:textId="77777777" w:rsidR="00CA047C" w:rsidRPr="00C40415" w:rsidRDefault="00CA047C" w:rsidP="00CA7F04">
            <w:pPr>
              <w:tabs>
                <w:tab w:val="right" w:pos="1202"/>
              </w:tabs>
              <w:spacing w:line="240" w:lineRule="atLeast"/>
              <w:outlineLvl w:val="0"/>
              <w:rPr>
                <w:rFonts w:ascii="Arial" w:hAnsi="Arial" w:cs="Arial"/>
                <w:b/>
                <w:color w:val="000000" w:themeColor="text1"/>
                <w:sz w:val="17"/>
                <w:szCs w:val="17"/>
              </w:rPr>
            </w:pPr>
            <w:r w:rsidRPr="00C40415">
              <w:rPr>
                <w:rFonts w:ascii="Arial" w:hAnsi="Arial" w:cs="Arial"/>
                <w:b/>
                <w:color w:val="000000" w:themeColor="text1"/>
                <w:sz w:val="17"/>
                <w:szCs w:val="17"/>
              </w:rPr>
              <w:t>31. prosinca 202</w:t>
            </w:r>
            <w:r>
              <w:rPr>
                <w:rFonts w:ascii="Arial" w:hAnsi="Arial" w:cs="Arial"/>
                <w:b/>
                <w:color w:val="000000" w:themeColor="text1"/>
                <w:sz w:val="17"/>
                <w:szCs w:val="17"/>
              </w:rPr>
              <w:t>3</w:t>
            </w:r>
            <w:r w:rsidRPr="00C40415">
              <w:rPr>
                <w:rFonts w:ascii="Arial" w:hAnsi="Arial" w:cs="Arial"/>
                <w:b/>
                <w:color w:val="000000" w:themeColor="text1"/>
                <w:sz w:val="17"/>
                <w:szCs w:val="17"/>
              </w:rPr>
              <w:t xml:space="preserve">. </w:t>
            </w:r>
          </w:p>
        </w:tc>
        <w:tc>
          <w:tcPr>
            <w:tcW w:w="559" w:type="pct"/>
          </w:tcPr>
          <w:p w14:paraId="2091BCA0" w14:textId="77777777" w:rsidR="00CA047C" w:rsidRPr="00C40415" w:rsidRDefault="00CA047C" w:rsidP="00CA7F04">
            <w:pPr>
              <w:tabs>
                <w:tab w:val="right" w:pos="1202"/>
              </w:tabs>
              <w:spacing w:line="240" w:lineRule="atLeast"/>
              <w:jc w:val="right"/>
              <w:outlineLvl w:val="0"/>
              <w:rPr>
                <w:rFonts w:ascii="Arial" w:hAnsi="Arial" w:cs="Arial"/>
                <w:b/>
                <w:color w:val="000000" w:themeColor="text1"/>
                <w:sz w:val="17"/>
                <w:szCs w:val="17"/>
              </w:rPr>
            </w:pPr>
            <w:r w:rsidRPr="00C40415">
              <w:rPr>
                <w:rFonts w:ascii="Arial" w:hAnsi="Arial" w:cs="Arial"/>
                <w:b/>
                <w:color w:val="000000" w:themeColor="text1"/>
                <w:sz w:val="17"/>
                <w:szCs w:val="17"/>
              </w:rPr>
              <w:t>Do 1 mjesec</w:t>
            </w:r>
          </w:p>
        </w:tc>
        <w:tc>
          <w:tcPr>
            <w:tcW w:w="558" w:type="pct"/>
          </w:tcPr>
          <w:p w14:paraId="11FE1122" w14:textId="77777777" w:rsidR="00CA047C" w:rsidRPr="00C40415" w:rsidRDefault="00CA047C" w:rsidP="00CA7F04">
            <w:pPr>
              <w:tabs>
                <w:tab w:val="right" w:pos="1202"/>
              </w:tabs>
              <w:spacing w:line="240" w:lineRule="atLeast"/>
              <w:jc w:val="right"/>
              <w:outlineLvl w:val="0"/>
              <w:rPr>
                <w:rFonts w:ascii="Arial" w:hAnsi="Arial" w:cs="Arial"/>
                <w:b/>
                <w:color w:val="000000" w:themeColor="text1"/>
                <w:sz w:val="17"/>
                <w:szCs w:val="17"/>
              </w:rPr>
            </w:pPr>
            <w:r w:rsidRPr="00C40415">
              <w:rPr>
                <w:rFonts w:ascii="Arial" w:hAnsi="Arial" w:cs="Arial"/>
                <w:b/>
                <w:color w:val="000000" w:themeColor="text1"/>
                <w:sz w:val="17"/>
                <w:szCs w:val="17"/>
              </w:rPr>
              <w:t>1 do 3 mjeseca</w:t>
            </w:r>
          </w:p>
        </w:tc>
        <w:tc>
          <w:tcPr>
            <w:tcW w:w="559" w:type="pct"/>
          </w:tcPr>
          <w:p w14:paraId="5AE3F202" w14:textId="77777777" w:rsidR="00CA047C" w:rsidRPr="00C40415" w:rsidRDefault="00CA047C" w:rsidP="00CA7F04">
            <w:pPr>
              <w:tabs>
                <w:tab w:val="right" w:pos="1202"/>
              </w:tabs>
              <w:spacing w:line="240" w:lineRule="atLeast"/>
              <w:jc w:val="right"/>
              <w:outlineLvl w:val="0"/>
              <w:rPr>
                <w:rFonts w:ascii="Arial" w:hAnsi="Arial" w:cs="Arial"/>
                <w:b/>
                <w:color w:val="000000" w:themeColor="text1"/>
                <w:sz w:val="17"/>
                <w:szCs w:val="17"/>
              </w:rPr>
            </w:pPr>
            <w:r w:rsidRPr="00C40415">
              <w:rPr>
                <w:rFonts w:ascii="Arial" w:hAnsi="Arial" w:cs="Arial"/>
                <w:b/>
                <w:color w:val="000000" w:themeColor="text1"/>
                <w:sz w:val="17"/>
                <w:szCs w:val="17"/>
              </w:rPr>
              <w:t>3 mj. do 1 godine</w:t>
            </w:r>
          </w:p>
        </w:tc>
        <w:tc>
          <w:tcPr>
            <w:tcW w:w="559" w:type="pct"/>
          </w:tcPr>
          <w:p w14:paraId="75C81A74" w14:textId="77777777" w:rsidR="00CA047C" w:rsidRPr="00C40415" w:rsidRDefault="00CA047C" w:rsidP="00CA7F04">
            <w:pPr>
              <w:tabs>
                <w:tab w:val="right" w:pos="1202"/>
              </w:tabs>
              <w:spacing w:line="240" w:lineRule="atLeast"/>
              <w:jc w:val="right"/>
              <w:outlineLvl w:val="0"/>
              <w:rPr>
                <w:rFonts w:ascii="Arial" w:hAnsi="Arial" w:cs="Arial"/>
                <w:b/>
                <w:color w:val="000000" w:themeColor="text1"/>
                <w:sz w:val="17"/>
                <w:szCs w:val="17"/>
              </w:rPr>
            </w:pPr>
            <w:r w:rsidRPr="00C40415">
              <w:rPr>
                <w:rFonts w:ascii="Arial" w:hAnsi="Arial" w:cs="Arial"/>
                <w:b/>
                <w:color w:val="000000" w:themeColor="text1"/>
                <w:sz w:val="17"/>
                <w:szCs w:val="17"/>
              </w:rPr>
              <w:t>1 do 3 godina</w:t>
            </w:r>
          </w:p>
        </w:tc>
        <w:tc>
          <w:tcPr>
            <w:tcW w:w="559" w:type="pct"/>
          </w:tcPr>
          <w:p w14:paraId="18ABCB48" w14:textId="77777777" w:rsidR="00CA047C" w:rsidRPr="00C40415" w:rsidRDefault="00CA047C" w:rsidP="00CA7F04">
            <w:pPr>
              <w:tabs>
                <w:tab w:val="right" w:pos="1202"/>
              </w:tabs>
              <w:spacing w:line="240" w:lineRule="atLeast"/>
              <w:jc w:val="right"/>
              <w:outlineLvl w:val="0"/>
              <w:rPr>
                <w:rFonts w:ascii="Arial" w:hAnsi="Arial" w:cs="Arial"/>
                <w:b/>
                <w:color w:val="000000" w:themeColor="text1"/>
                <w:sz w:val="17"/>
                <w:szCs w:val="17"/>
              </w:rPr>
            </w:pPr>
            <w:r w:rsidRPr="00C40415">
              <w:rPr>
                <w:rFonts w:ascii="Arial" w:hAnsi="Arial" w:cs="Arial"/>
                <w:b/>
                <w:color w:val="000000" w:themeColor="text1"/>
                <w:sz w:val="17"/>
                <w:szCs w:val="17"/>
              </w:rPr>
              <w:t>Preko 3 godine</w:t>
            </w:r>
          </w:p>
        </w:tc>
        <w:tc>
          <w:tcPr>
            <w:tcW w:w="622" w:type="pct"/>
          </w:tcPr>
          <w:p w14:paraId="11A23571" w14:textId="77777777" w:rsidR="00CA047C" w:rsidRPr="00C40415" w:rsidRDefault="00CA047C" w:rsidP="00CA7F04">
            <w:pPr>
              <w:tabs>
                <w:tab w:val="right" w:pos="1202"/>
              </w:tabs>
              <w:spacing w:line="240" w:lineRule="atLeast"/>
              <w:jc w:val="right"/>
              <w:outlineLvl w:val="0"/>
              <w:rPr>
                <w:rFonts w:ascii="Arial" w:hAnsi="Arial" w:cs="Arial"/>
                <w:b/>
                <w:color w:val="000000" w:themeColor="text1"/>
                <w:sz w:val="17"/>
                <w:szCs w:val="17"/>
              </w:rPr>
            </w:pPr>
            <w:r w:rsidRPr="00C40415">
              <w:rPr>
                <w:rFonts w:ascii="Arial" w:hAnsi="Arial" w:cs="Arial"/>
                <w:b/>
                <w:color w:val="000000" w:themeColor="text1"/>
                <w:sz w:val="17"/>
                <w:szCs w:val="17"/>
              </w:rPr>
              <w:t>Ukupno</w:t>
            </w:r>
          </w:p>
        </w:tc>
      </w:tr>
      <w:tr w:rsidR="00CA047C" w:rsidRPr="00C40415" w14:paraId="48802998" w14:textId="77777777" w:rsidTr="00CA7F04">
        <w:trPr>
          <w:trHeight w:val="226"/>
        </w:trPr>
        <w:tc>
          <w:tcPr>
            <w:tcW w:w="1584" w:type="pct"/>
            <w:vAlign w:val="bottom"/>
          </w:tcPr>
          <w:p w14:paraId="01700C92" w14:textId="77777777" w:rsidR="00CA047C" w:rsidRPr="00C40415" w:rsidRDefault="00CA047C" w:rsidP="00CA7F04">
            <w:pPr>
              <w:tabs>
                <w:tab w:val="left" w:pos="-720"/>
              </w:tabs>
              <w:suppressAutoHyphens/>
              <w:jc w:val="center"/>
              <w:rPr>
                <w:rFonts w:ascii="Arial" w:hAnsi="Arial" w:cs="Arial"/>
                <w:b/>
                <w:color w:val="000000" w:themeColor="text1"/>
                <w:spacing w:val="-2"/>
                <w:sz w:val="17"/>
                <w:szCs w:val="17"/>
              </w:rPr>
            </w:pPr>
          </w:p>
        </w:tc>
        <w:tc>
          <w:tcPr>
            <w:tcW w:w="559" w:type="pct"/>
            <w:tcBorders>
              <w:top w:val="nil"/>
              <w:left w:val="nil"/>
              <w:bottom w:val="nil"/>
              <w:right w:val="nil"/>
            </w:tcBorders>
            <w:shd w:val="clear" w:color="auto" w:fill="auto"/>
            <w:vAlign w:val="bottom"/>
          </w:tcPr>
          <w:p w14:paraId="429EE74C" w14:textId="77777777" w:rsidR="00CA047C" w:rsidRPr="00C40415" w:rsidRDefault="00CA047C" w:rsidP="00CA7F04">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558" w:type="pct"/>
            <w:tcBorders>
              <w:top w:val="nil"/>
              <w:left w:val="nil"/>
              <w:bottom w:val="nil"/>
              <w:right w:val="nil"/>
            </w:tcBorders>
            <w:shd w:val="clear" w:color="auto" w:fill="auto"/>
            <w:vAlign w:val="bottom"/>
          </w:tcPr>
          <w:p w14:paraId="651C3988" w14:textId="77777777" w:rsidR="00CA047C" w:rsidRPr="00C40415" w:rsidRDefault="00CA047C" w:rsidP="00CA7F04">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559" w:type="pct"/>
            <w:tcBorders>
              <w:top w:val="nil"/>
              <w:left w:val="nil"/>
              <w:bottom w:val="nil"/>
              <w:right w:val="nil"/>
            </w:tcBorders>
            <w:shd w:val="clear" w:color="auto" w:fill="auto"/>
            <w:vAlign w:val="bottom"/>
          </w:tcPr>
          <w:p w14:paraId="06D8036E" w14:textId="77777777" w:rsidR="00CA047C" w:rsidRPr="00C40415" w:rsidRDefault="00CA047C" w:rsidP="00CA7F04">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559" w:type="pct"/>
            <w:tcBorders>
              <w:top w:val="nil"/>
              <w:left w:val="nil"/>
              <w:bottom w:val="nil"/>
              <w:right w:val="nil"/>
            </w:tcBorders>
            <w:shd w:val="clear" w:color="auto" w:fill="auto"/>
            <w:vAlign w:val="bottom"/>
          </w:tcPr>
          <w:p w14:paraId="28085174" w14:textId="77777777" w:rsidR="00CA047C" w:rsidRPr="00C40415" w:rsidRDefault="00CA047C" w:rsidP="00CA7F04">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559" w:type="pct"/>
            <w:tcBorders>
              <w:top w:val="nil"/>
              <w:left w:val="nil"/>
              <w:bottom w:val="nil"/>
              <w:right w:val="nil"/>
            </w:tcBorders>
            <w:shd w:val="clear" w:color="auto" w:fill="auto"/>
            <w:vAlign w:val="bottom"/>
          </w:tcPr>
          <w:p w14:paraId="62299559" w14:textId="77777777" w:rsidR="00CA047C" w:rsidRPr="00C40415" w:rsidRDefault="00CA047C" w:rsidP="00CA7F04">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622" w:type="pct"/>
            <w:vAlign w:val="bottom"/>
          </w:tcPr>
          <w:p w14:paraId="705358BC" w14:textId="77777777" w:rsidR="00CA047C" w:rsidRPr="00C40415" w:rsidRDefault="00CA047C" w:rsidP="00CA7F04">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622C96">
              <w:rPr>
                <w:rFonts w:ascii="Arial" w:hAnsi="Arial" w:cs="Arial"/>
                <w:b/>
                <w:color w:val="000000" w:themeColor="text1"/>
                <w:sz w:val="17"/>
                <w:szCs w:val="17"/>
              </w:rPr>
              <w:t>000 eura</w:t>
            </w:r>
          </w:p>
        </w:tc>
      </w:tr>
      <w:tr w:rsidR="00CA047C" w:rsidRPr="00C40415" w14:paraId="18BD5FCE" w14:textId="77777777" w:rsidTr="00CA7F04">
        <w:trPr>
          <w:trHeight w:hRule="exact" w:val="266"/>
        </w:trPr>
        <w:tc>
          <w:tcPr>
            <w:tcW w:w="1584" w:type="pct"/>
            <w:vAlign w:val="bottom"/>
          </w:tcPr>
          <w:p w14:paraId="77C88B73" w14:textId="77777777" w:rsidR="00CA047C" w:rsidRPr="00C40415" w:rsidRDefault="00CA047C" w:rsidP="00CA7F04">
            <w:pPr>
              <w:tabs>
                <w:tab w:val="right" w:pos="1202"/>
              </w:tabs>
              <w:spacing w:line="301" w:lineRule="exact"/>
              <w:outlineLvl w:val="0"/>
              <w:rPr>
                <w:rFonts w:ascii="Arial" w:hAnsi="Arial" w:cs="Arial"/>
                <w:b/>
                <w:bCs/>
                <w:color w:val="000000" w:themeColor="text1"/>
                <w:sz w:val="17"/>
                <w:szCs w:val="17"/>
              </w:rPr>
            </w:pPr>
            <w:r w:rsidRPr="00C40415">
              <w:rPr>
                <w:rFonts w:ascii="Arial" w:hAnsi="Arial" w:cs="Arial"/>
                <w:b/>
                <w:bCs/>
                <w:color w:val="000000" w:themeColor="text1"/>
                <w:sz w:val="17"/>
                <w:szCs w:val="17"/>
              </w:rPr>
              <w:t>Financijske obveze</w:t>
            </w:r>
          </w:p>
        </w:tc>
        <w:tc>
          <w:tcPr>
            <w:tcW w:w="559" w:type="pct"/>
            <w:vAlign w:val="bottom"/>
          </w:tcPr>
          <w:p w14:paraId="639AB5CF" w14:textId="77777777" w:rsidR="00CA047C" w:rsidRPr="00C40415" w:rsidRDefault="00CA047C" w:rsidP="00CA7F04">
            <w:pPr>
              <w:tabs>
                <w:tab w:val="right" w:pos="1202"/>
                <w:tab w:val="center" w:pos="4153"/>
                <w:tab w:val="right" w:pos="8306"/>
              </w:tabs>
              <w:spacing w:line="301" w:lineRule="exact"/>
              <w:jc w:val="right"/>
              <w:outlineLvl w:val="0"/>
              <w:rPr>
                <w:rFonts w:ascii="Arial" w:hAnsi="Arial" w:cs="Arial"/>
                <w:color w:val="000000" w:themeColor="text1"/>
                <w:sz w:val="17"/>
                <w:szCs w:val="17"/>
              </w:rPr>
            </w:pPr>
          </w:p>
        </w:tc>
        <w:tc>
          <w:tcPr>
            <w:tcW w:w="558" w:type="pct"/>
            <w:vAlign w:val="bottom"/>
          </w:tcPr>
          <w:p w14:paraId="413DA9EE" w14:textId="77777777" w:rsidR="00CA047C" w:rsidRPr="00C40415" w:rsidRDefault="00CA047C" w:rsidP="00CA7F04">
            <w:pPr>
              <w:tabs>
                <w:tab w:val="right" w:pos="1202"/>
                <w:tab w:val="center" w:pos="4153"/>
                <w:tab w:val="right" w:pos="8306"/>
              </w:tabs>
              <w:spacing w:line="301" w:lineRule="exact"/>
              <w:jc w:val="right"/>
              <w:outlineLvl w:val="0"/>
              <w:rPr>
                <w:rFonts w:ascii="Arial" w:hAnsi="Arial" w:cs="Arial"/>
                <w:color w:val="000000" w:themeColor="text1"/>
                <w:sz w:val="17"/>
                <w:szCs w:val="17"/>
              </w:rPr>
            </w:pPr>
          </w:p>
        </w:tc>
        <w:tc>
          <w:tcPr>
            <w:tcW w:w="559" w:type="pct"/>
            <w:vAlign w:val="bottom"/>
          </w:tcPr>
          <w:p w14:paraId="75ACE03B" w14:textId="77777777" w:rsidR="00CA047C" w:rsidRPr="00C40415" w:rsidRDefault="00CA047C" w:rsidP="00CA7F04">
            <w:pPr>
              <w:tabs>
                <w:tab w:val="right" w:pos="1202"/>
                <w:tab w:val="center" w:pos="4153"/>
                <w:tab w:val="right" w:pos="8306"/>
              </w:tabs>
              <w:spacing w:line="301" w:lineRule="exact"/>
              <w:jc w:val="right"/>
              <w:outlineLvl w:val="0"/>
              <w:rPr>
                <w:rFonts w:ascii="Arial" w:hAnsi="Arial" w:cs="Arial"/>
                <w:color w:val="000000" w:themeColor="text1"/>
                <w:sz w:val="17"/>
                <w:szCs w:val="17"/>
              </w:rPr>
            </w:pPr>
          </w:p>
        </w:tc>
        <w:tc>
          <w:tcPr>
            <w:tcW w:w="559" w:type="pct"/>
            <w:vAlign w:val="bottom"/>
          </w:tcPr>
          <w:p w14:paraId="0423304C" w14:textId="77777777" w:rsidR="00CA047C" w:rsidRPr="00C40415" w:rsidRDefault="00CA047C" w:rsidP="00CA7F04">
            <w:pPr>
              <w:tabs>
                <w:tab w:val="right" w:pos="1202"/>
                <w:tab w:val="center" w:pos="4153"/>
                <w:tab w:val="right" w:pos="8306"/>
              </w:tabs>
              <w:spacing w:line="301" w:lineRule="exact"/>
              <w:jc w:val="right"/>
              <w:outlineLvl w:val="0"/>
              <w:rPr>
                <w:rFonts w:ascii="Arial" w:hAnsi="Arial" w:cs="Arial"/>
                <w:color w:val="000000" w:themeColor="text1"/>
                <w:sz w:val="17"/>
                <w:szCs w:val="17"/>
              </w:rPr>
            </w:pPr>
          </w:p>
        </w:tc>
        <w:tc>
          <w:tcPr>
            <w:tcW w:w="559" w:type="pct"/>
            <w:vAlign w:val="bottom"/>
          </w:tcPr>
          <w:p w14:paraId="550086A2" w14:textId="77777777" w:rsidR="00CA047C" w:rsidRPr="00C40415" w:rsidRDefault="00CA047C" w:rsidP="00CA7F04">
            <w:pPr>
              <w:tabs>
                <w:tab w:val="right" w:pos="1202"/>
                <w:tab w:val="center" w:pos="4153"/>
                <w:tab w:val="right" w:pos="8306"/>
              </w:tabs>
              <w:spacing w:line="301" w:lineRule="exact"/>
              <w:jc w:val="right"/>
              <w:outlineLvl w:val="0"/>
              <w:rPr>
                <w:rFonts w:ascii="Arial" w:hAnsi="Arial" w:cs="Arial"/>
                <w:color w:val="000000" w:themeColor="text1"/>
                <w:sz w:val="17"/>
                <w:szCs w:val="17"/>
              </w:rPr>
            </w:pPr>
          </w:p>
        </w:tc>
        <w:tc>
          <w:tcPr>
            <w:tcW w:w="622" w:type="pct"/>
            <w:vAlign w:val="bottom"/>
          </w:tcPr>
          <w:p w14:paraId="1039E971" w14:textId="77777777" w:rsidR="00CA047C" w:rsidRPr="00C40415" w:rsidRDefault="00CA047C" w:rsidP="00CA7F04">
            <w:pPr>
              <w:tabs>
                <w:tab w:val="right" w:pos="1202"/>
                <w:tab w:val="center" w:pos="4153"/>
                <w:tab w:val="right" w:pos="8306"/>
              </w:tabs>
              <w:spacing w:line="301" w:lineRule="exact"/>
              <w:jc w:val="right"/>
              <w:outlineLvl w:val="0"/>
              <w:rPr>
                <w:rFonts w:ascii="Arial" w:hAnsi="Arial" w:cs="Arial"/>
                <w:color w:val="000000" w:themeColor="text1"/>
                <w:sz w:val="17"/>
                <w:szCs w:val="17"/>
              </w:rPr>
            </w:pPr>
          </w:p>
        </w:tc>
      </w:tr>
      <w:tr w:rsidR="00CA047C" w:rsidRPr="00C40415" w14:paraId="3DF07ED3" w14:textId="77777777" w:rsidTr="00CA7F04">
        <w:trPr>
          <w:trHeight w:hRule="exact" w:val="213"/>
        </w:trPr>
        <w:tc>
          <w:tcPr>
            <w:tcW w:w="1584" w:type="pct"/>
            <w:vAlign w:val="bottom"/>
          </w:tcPr>
          <w:p w14:paraId="34112DD0" w14:textId="77777777" w:rsidR="00CA047C" w:rsidRPr="00C40415" w:rsidRDefault="00CA047C" w:rsidP="00CA7F04">
            <w:pPr>
              <w:tabs>
                <w:tab w:val="right" w:pos="1202"/>
              </w:tabs>
              <w:spacing w:line="240" w:lineRule="exact"/>
              <w:outlineLvl w:val="0"/>
              <w:rPr>
                <w:rFonts w:ascii="Arial" w:eastAsia="Calibri" w:hAnsi="Arial" w:cs="Arial"/>
                <w:color w:val="000000" w:themeColor="text1"/>
                <w:spacing w:val="-2"/>
                <w:sz w:val="17"/>
                <w:szCs w:val="17"/>
              </w:rPr>
            </w:pPr>
            <w:r w:rsidRPr="00C40415">
              <w:rPr>
                <w:rFonts w:ascii="Arial" w:eastAsia="Calibri" w:hAnsi="Arial" w:cs="Arial"/>
                <w:color w:val="000000" w:themeColor="text1"/>
                <w:spacing w:val="-2"/>
                <w:sz w:val="17"/>
                <w:szCs w:val="17"/>
              </w:rPr>
              <w:t>Obveze po depozitima</w:t>
            </w:r>
          </w:p>
        </w:tc>
        <w:tc>
          <w:tcPr>
            <w:tcW w:w="559" w:type="pct"/>
            <w:tcBorders>
              <w:top w:val="nil"/>
              <w:left w:val="nil"/>
              <w:bottom w:val="nil"/>
              <w:right w:val="nil"/>
            </w:tcBorders>
            <w:shd w:val="clear" w:color="auto" w:fill="auto"/>
            <w:vAlign w:val="bottom"/>
          </w:tcPr>
          <w:p w14:paraId="12176573" w14:textId="77777777" w:rsidR="00CA047C" w:rsidRPr="00F959D0" w:rsidRDefault="00CA047C"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148.059</w:t>
            </w:r>
          </w:p>
        </w:tc>
        <w:tc>
          <w:tcPr>
            <w:tcW w:w="558" w:type="pct"/>
            <w:tcBorders>
              <w:top w:val="nil"/>
              <w:left w:val="nil"/>
              <w:bottom w:val="nil"/>
              <w:right w:val="nil"/>
            </w:tcBorders>
            <w:shd w:val="clear" w:color="auto" w:fill="auto"/>
            <w:vAlign w:val="bottom"/>
          </w:tcPr>
          <w:p w14:paraId="269B9AEF" w14:textId="77777777" w:rsidR="00CA047C" w:rsidRPr="00F959D0" w:rsidRDefault="00CA047C"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12.586</w:t>
            </w:r>
          </w:p>
        </w:tc>
        <w:tc>
          <w:tcPr>
            <w:tcW w:w="559" w:type="pct"/>
            <w:tcBorders>
              <w:top w:val="nil"/>
              <w:left w:val="nil"/>
              <w:bottom w:val="nil"/>
              <w:right w:val="nil"/>
            </w:tcBorders>
            <w:shd w:val="clear" w:color="auto" w:fill="auto"/>
            <w:vAlign w:val="bottom"/>
          </w:tcPr>
          <w:p w14:paraId="3A939878" w14:textId="77777777" w:rsidR="00CA047C" w:rsidRPr="00F959D0" w:rsidRDefault="00CA047C"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18.604</w:t>
            </w:r>
          </w:p>
        </w:tc>
        <w:tc>
          <w:tcPr>
            <w:tcW w:w="559" w:type="pct"/>
            <w:tcBorders>
              <w:top w:val="nil"/>
              <w:left w:val="nil"/>
              <w:bottom w:val="nil"/>
              <w:right w:val="nil"/>
            </w:tcBorders>
            <w:shd w:val="clear" w:color="auto" w:fill="auto"/>
            <w:vAlign w:val="bottom"/>
          </w:tcPr>
          <w:p w14:paraId="4B4CFEAC" w14:textId="77777777" w:rsidR="00CA047C" w:rsidRPr="00F959D0" w:rsidRDefault="00CA047C"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46</w:t>
            </w:r>
          </w:p>
        </w:tc>
        <w:tc>
          <w:tcPr>
            <w:tcW w:w="559" w:type="pct"/>
            <w:tcBorders>
              <w:top w:val="nil"/>
              <w:left w:val="nil"/>
              <w:bottom w:val="nil"/>
              <w:right w:val="nil"/>
            </w:tcBorders>
            <w:shd w:val="clear" w:color="auto" w:fill="auto"/>
            <w:vAlign w:val="bottom"/>
          </w:tcPr>
          <w:p w14:paraId="63D2E679" w14:textId="77777777" w:rsidR="00CA047C" w:rsidRPr="00F959D0" w:rsidRDefault="00CA047C"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15.581</w:t>
            </w:r>
          </w:p>
        </w:tc>
        <w:tc>
          <w:tcPr>
            <w:tcW w:w="622" w:type="pct"/>
            <w:tcBorders>
              <w:top w:val="nil"/>
              <w:left w:val="nil"/>
              <w:bottom w:val="nil"/>
              <w:right w:val="nil"/>
            </w:tcBorders>
            <w:shd w:val="clear" w:color="auto" w:fill="auto"/>
            <w:vAlign w:val="bottom"/>
          </w:tcPr>
          <w:p w14:paraId="2CE08F91" w14:textId="77777777" w:rsidR="00CA047C" w:rsidRPr="00F959D0" w:rsidRDefault="00CA047C"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194.876</w:t>
            </w:r>
          </w:p>
        </w:tc>
      </w:tr>
      <w:tr w:rsidR="00CA047C" w:rsidRPr="00C40415" w14:paraId="63733DE4" w14:textId="77777777" w:rsidTr="00CA7F04">
        <w:trPr>
          <w:trHeight w:hRule="exact" w:val="213"/>
        </w:trPr>
        <w:tc>
          <w:tcPr>
            <w:tcW w:w="1584" w:type="pct"/>
            <w:vAlign w:val="bottom"/>
          </w:tcPr>
          <w:p w14:paraId="4E3E33A0" w14:textId="77777777" w:rsidR="00CA047C" w:rsidRPr="00C40415" w:rsidRDefault="00CA047C" w:rsidP="00CA7F04">
            <w:pPr>
              <w:tabs>
                <w:tab w:val="right" w:pos="1202"/>
              </w:tabs>
              <w:spacing w:line="240" w:lineRule="exact"/>
              <w:outlineLvl w:val="0"/>
              <w:rPr>
                <w:rFonts w:ascii="Arial" w:eastAsia="Calibri" w:hAnsi="Arial" w:cs="Arial"/>
                <w:color w:val="000000" w:themeColor="text1"/>
                <w:spacing w:val="-2"/>
                <w:sz w:val="17"/>
                <w:szCs w:val="17"/>
              </w:rPr>
            </w:pPr>
            <w:r w:rsidRPr="00C40415">
              <w:rPr>
                <w:rFonts w:ascii="Arial" w:eastAsia="Calibri" w:hAnsi="Arial" w:cs="Arial"/>
                <w:color w:val="000000" w:themeColor="text1"/>
                <w:spacing w:val="-2"/>
                <w:sz w:val="17"/>
                <w:szCs w:val="17"/>
              </w:rPr>
              <w:t>Obveze po kreditima</w:t>
            </w:r>
          </w:p>
        </w:tc>
        <w:tc>
          <w:tcPr>
            <w:tcW w:w="559" w:type="pct"/>
            <w:tcBorders>
              <w:top w:val="nil"/>
              <w:left w:val="nil"/>
              <w:bottom w:val="nil"/>
              <w:right w:val="nil"/>
            </w:tcBorders>
            <w:shd w:val="clear" w:color="auto" w:fill="auto"/>
            <w:vAlign w:val="bottom"/>
          </w:tcPr>
          <w:p w14:paraId="434F6C33" w14:textId="77777777" w:rsidR="00CA047C" w:rsidRPr="00F959D0" w:rsidRDefault="00CA047C"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61.798</w:t>
            </w:r>
          </w:p>
        </w:tc>
        <w:tc>
          <w:tcPr>
            <w:tcW w:w="558" w:type="pct"/>
            <w:tcBorders>
              <w:top w:val="nil"/>
              <w:left w:val="nil"/>
              <w:bottom w:val="nil"/>
              <w:right w:val="nil"/>
            </w:tcBorders>
            <w:shd w:val="clear" w:color="auto" w:fill="auto"/>
            <w:vAlign w:val="bottom"/>
          </w:tcPr>
          <w:p w14:paraId="58F6A9A8" w14:textId="77777777" w:rsidR="00CA047C" w:rsidRPr="00F959D0" w:rsidRDefault="00CA047C"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166.698</w:t>
            </w:r>
          </w:p>
        </w:tc>
        <w:tc>
          <w:tcPr>
            <w:tcW w:w="559" w:type="pct"/>
            <w:tcBorders>
              <w:top w:val="nil"/>
              <w:left w:val="nil"/>
              <w:bottom w:val="nil"/>
              <w:right w:val="nil"/>
            </w:tcBorders>
            <w:shd w:val="clear" w:color="auto" w:fill="auto"/>
            <w:vAlign w:val="bottom"/>
          </w:tcPr>
          <w:p w14:paraId="09D776AA" w14:textId="77777777" w:rsidR="00CA047C" w:rsidRPr="00F959D0" w:rsidRDefault="00CA047C"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296.933</w:t>
            </w:r>
          </w:p>
        </w:tc>
        <w:tc>
          <w:tcPr>
            <w:tcW w:w="559" w:type="pct"/>
            <w:tcBorders>
              <w:top w:val="nil"/>
              <w:left w:val="nil"/>
              <w:bottom w:val="nil"/>
              <w:right w:val="nil"/>
            </w:tcBorders>
            <w:shd w:val="clear" w:color="auto" w:fill="auto"/>
            <w:vAlign w:val="bottom"/>
          </w:tcPr>
          <w:p w14:paraId="29F00910" w14:textId="77777777" w:rsidR="00CA047C" w:rsidRPr="00F959D0" w:rsidRDefault="00CA047C"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723.743</w:t>
            </w:r>
          </w:p>
        </w:tc>
        <w:tc>
          <w:tcPr>
            <w:tcW w:w="559" w:type="pct"/>
            <w:tcBorders>
              <w:top w:val="nil"/>
              <w:left w:val="nil"/>
              <w:bottom w:val="nil"/>
              <w:right w:val="nil"/>
            </w:tcBorders>
            <w:shd w:val="clear" w:color="auto" w:fill="auto"/>
            <w:vAlign w:val="bottom"/>
          </w:tcPr>
          <w:p w14:paraId="78987237" w14:textId="77777777" w:rsidR="00CA047C" w:rsidRPr="00F959D0" w:rsidRDefault="00CA047C"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1.268.546</w:t>
            </w:r>
          </w:p>
        </w:tc>
        <w:tc>
          <w:tcPr>
            <w:tcW w:w="622" w:type="pct"/>
            <w:tcBorders>
              <w:top w:val="nil"/>
              <w:left w:val="nil"/>
              <w:bottom w:val="nil"/>
              <w:right w:val="nil"/>
            </w:tcBorders>
            <w:shd w:val="clear" w:color="auto" w:fill="auto"/>
            <w:vAlign w:val="bottom"/>
          </w:tcPr>
          <w:p w14:paraId="0B62AC28" w14:textId="77777777" w:rsidR="00CA047C" w:rsidRPr="00F959D0" w:rsidRDefault="00CA047C"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2.517.718</w:t>
            </w:r>
          </w:p>
        </w:tc>
      </w:tr>
      <w:tr w:rsidR="00CA047C" w:rsidRPr="00C40415" w14:paraId="505DAD41" w14:textId="77777777" w:rsidTr="00CA7F04">
        <w:trPr>
          <w:trHeight w:val="357"/>
        </w:trPr>
        <w:tc>
          <w:tcPr>
            <w:tcW w:w="1584" w:type="pct"/>
            <w:vAlign w:val="bottom"/>
          </w:tcPr>
          <w:p w14:paraId="571A38FB" w14:textId="77777777" w:rsidR="00CA047C" w:rsidRPr="00C40415" w:rsidRDefault="00CA047C" w:rsidP="00CA7F04">
            <w:pPr>
              <w:tabs>
                <w:tab w:val="right" w:pos="1202"/>
              </w:tabs>
              <w:spacing w:line="220" w:lineRule="exact"/>
              <w:outlineLvl w:val="0"/>
              <w:rPr>
                <w:rFonts w:ascii="Arial" w:hAnsi="Arial" w:cs="Arial"/>
                <w:color w:val="000000" w:themeColor="text1"/>
                <w:spacing w:val="-2"/>
                <w:sz w:val="17"/>
                <w:szCs w:val="17"/>
              </w:rPr>
            </w:pPr>
            <w:proofErr w:type="spellStart"/>
            <w:r w:rsidRPr="00C40415">
              <w:rPr>
                <w:rFonts w:ascii="Arial" w:hAnsi="Arial" w:cs="Arial"/>
                <w:spacing w:val="-2"/>
                <w:sz w:val="17"/>
                <w:szCs w:val="17"/>
                <w:lang w:val="it-IT"/>
              </w:rPr>
              <w:t>Rezerviranja</w:t>
            </w:r>
            <w:proofErr w:type="spellEnd"/>
            <w:r w:rsidRPr="00C40415">
              <w:rPr>
                <w:rFonts w:ascii="Arial" w:hAnsi="Arial" w:cs="Arial"/>
                <w:spacing w:val="-2"/>
                <w:sz w:val="17"/>
                <w:szCs w:val="17"/>
                <w:lang w:val="it-IT"/>
              </w:rPr>
              <w:t xml:space="preserve"> za </w:t>
            </w:r>
            <w:proofErr w:type="spellStart"/>
            <w:r w:rsidRPr="00C40415">
              <w:rPr>
                <w:rFonts w:ascii="Arial" w:hAnsi="Arial" w:cs="Arial"/>
                <w:spacing w:val="-2"/>
                <w:sz w:val="17"/>
                <w:szCs w:val="17"/>
                <w:lang w:val="it-IT"/>
              </w:rPr>
              <w:t>garancije</w:t>
            </w:r>
            <w:proofErr w:type="spellEnd"/>
            <w:r w:rsidRPr="00C40415">
              <w:rPr>
                <w:rFonts w:ascii="Arial" w:hAnsi="Arial" w:cs="Arial"/>
                <w:spacing w:val="-2"/>
                <w:sz w:val="17"/>
                <w:szCs w:val="17"/>
                <w:lang w:val="it-IT"/>
              </w:rPr>
              <w:t xml:space="preserve">, </w:t>
            </w:r>
            <w:proofErr w:type="spellStart"/>
            <w:r w:rsidRPr="00C40415">
              <w:rPr>
                <w:rFonts w:ascii="Arial" w:hAnsi="Arial" w:cs="Arial"/>
                <w:spacing w:val="-2"/>
                <w:sz w:val="17"/>
                <w:szCs w:val="17"/>
                <w:lang w:val="it-IT"/>
              </w:rPr>
              <w:t>preuzete</w:t>
            </w:r>
            <w:proofErr w:type="spellEnd"/>
            <w:r w:rsidRPr="00C40415">
              <w:rPr>
                <w:rFonts w:ascii="Arial" w:hAnsi="Arial" w:cs="Arial"/>
                <w:spacing w:val="-2"/>
                <w:sz w:val="17"/>
                <w:szCs w:val="17"/>
                <w:lang w:val="it-IT"/>
              </w:rPr>
              <w:t xml:space="preserve"> </w:t>
            </w:r>
            <w:proofErr w:type="gramStart"/>
            <w:r w:rsidRPr="00C40415">
              <w:rPr>
                <w:rFonts w:ascii="Arial" w:hAnsi="Arial" w:cs="Arial"/>
                <w:spacing w:val="-2"/>
                <w:sz w:val="17"/>
                <w:szCs w:val="17"/>
                <w:lang w:val="it-IT"/>
              </w:rPr>
              <w:t>i ostale</w:t>
            </w:r>
            <w:proofErr w:type="gramEnd"/>
            <w:r w:rsidRPr="00C40415">
              <w:rPr>
                <w:rFonts w:ascii="Arial" w:hAnsi="Arial" w:cs="Arial"/>
                <w:spacing w:val="-2"/>
                <w:sz w:val="17"/>
                <w:szCs w:val="17"/>
                <w:lang w:val="it-IT"/>
              </w:rPr>
              <w:t xml:space="preserve"> </w:t>
            </w:r>
            <w:proofErr w:type="spellStart"/>
            <w:r w:rsidRPr="00C40415">
              <w:rPr>
                <w:rFonts w:ascii="Arial" w:hAnsi="Arial" w:cs="Arial"/>
                <w:spacing w:val="-2"/>
                <w:sz w:val="17"/>
                <w:szCs w:val="17"/>
                <w:lang w:val="it-IT"/>
              </w:rPr>
              <w:t>obveze</w:t>
            </w:r>
            <w:proofErr w:type="spellEnd"/>
          </w:p>
        </w:tc>
        <w:tc>
          <w:tcPr>
            <w:tcW w:w="559" w:type="pct"/>
            <w:tcBorders>
              <w:top w:val="nil"/>
              <w:left w:val="nil"/>
              <w:right w:val="nil"/>
            </w:tcBorders>
            <w:shd w:val="clear" w:color="auto" w:fill="auto"/>
            <w:vAlign w:val="bottom"/>
          </w:tcPr>
          <w:p w14:paraId="2408D744" w14:textId="77777777" w:rsidR="00CA047C" w:rsidRPr="00F959D0" w:rsidRDefault="00CA047C"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10.561</w:t>
            </w:r>
          </w:p>
        </w:tc>
        <w:tc>
          <w:tcPr>
            <w:tcW w:w="558" w:type="pct"/>
            <w:tcBorders>
              <w:top w:val="nil"/>
              <w:left w:val="nil"/>
              <w:right w:val="nil"/>
            </w:tcBorders>
            <w:shd w:val="clear" w:color="auto" w:fill="auto"/>
            <w:vAlign w:val="bottom"/>
          </w:tcPr>
          <w:p w14:paraId="02371CA1" w14:textId="77777777" w:rsidR="00CA047C" w:rsidRPr="00F959D0" w:rsidRDefault="00CA047C"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851</w:t>
            </w:r>
          </w:p>
        </w:tc>
        <w:tc>
          <w:tcPr>
            <w:tcW w:w="559" w:type="pct"/>
            <w:tcBorders>
              <w:top w:val="nil"/>
              <w:left w:val="nil"/>
              <w:right w:val="nil"/>
            </w:tcBorders>
            <w:shd w:val="clear" w:color="auto" w:fill="auto"/>
            <w:vAlign w:val="bottom"/>
          </w:tcPr>
          <w:p w14:paraId="1752068F" w14:textId="77777777" w:rsidR="00CA047C" w:rsidRPr="00F959D0" w:rsidRDefault="00CA047C"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3.205</w:t>
            </w:r>
          </w:p>
        </w:tc>
        <w:tc>
          <w:tcPr>
            <w:tcW w:w="559" w:type="pct"/>
            <w:tcBorders>
              <w:top w:val="nil"/>
              <w:left w:val="nil"/>
              <w:right w:val="nil"/>
            </w:tcBorders>
            <w:shd w:val="clear" w:color="auto" w:fill="auto"/>
            <w:vAlign w:val="bottom"/>
          </w:tcPr>
          <w:p w14:paraId="40D26D06" w14:textId="77777777" w:rsidR="00CA047C" w:rsidRPr="00F959D0" w:rsidRDefault="00CA047C"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6.343</w:t>
            </w:r>
          </w:p>
        </w:tc>
        <w:tc>
          <w:tcPr>
            <w:tcW w:w="559" w:type="pct"/>
            <w:tcBorders>
              <w:top w:val="nil"/>
              <w:left w:val="nil"/>
              <w:right w:val="nil"/>
            </w:tcBorders>
            <w:shd w:val="clear" w:color="auto" w:fill="auto"/>
            <w:vAlign w:val="bottom"/>
          </w:tcPr>
          <w:p w14:paraId="63AD5E30" w14:textId="77777777" w:rsidR="00CA047C" w:rsidRPr="00F959D0" w:rsidRDefault="00CA047C"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3.422</w:t>
            </w:r>
          </w:p>
        </w:tc>
        <w:tc>
          <w:tcPr>
            <w:tcW w:w="622" w:type="pct"/>
            <w:tcBorders>
              <w:top w:val="nil"/>
              <w:left w:val="nil"/>
              <w:right w:val="nil"/>
            </w:tcBorders>
            <w:shd w:val="clear" w:color="auto" w:fill="auto"/>
            <w:vAlign w:val="bottom"/>
          </w:tcPr>
          <w:p w14:paraId="0D033D91" w14:textId="77777777" w:rsidR="00CA047C" w:rsidRPr="00F959D0" w:rsidRDefault="00CA047C"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24.382</w:t>
            </w:r>
          </w:p>
        </w:tc>
      </w:tr>
      <w:tr w:rsidR="00CA047C" w:rsidRPr="00C40415" w14:paraId="490B8A63" w14:textId="77777777" w:rsidTr="00CA7F04">
        <w:trPr>
          <w:trHeight w:hRule="exact" w:val="213"/>
        </w:trPr>
        <w:tc>
          <w:tcPr>
            <w:tcW w:w="1584" w:type="pct"/>
            <w:vAlign w:val="bottom"/>
          </w:tcPr>
          <w:p w14:paraId="34CC7EB1" w14:textId="77777777" w:rsidR="00CA047C" w:rsidRPr="00C40415" w:rsidRDefault="00CA047C" w:rsidP="00CA7F04">
            <w:pPr>
              <w:tabs>
                <w:tab w:val="right" w:pos="1202"/>
              </w:tabs>
              <w:spacing w:line="240" w:lineRule="exact"/>
              <w:outlineLvl w:val="0"/>
              <w:rPr>
                <w:rFonts w:ascii="Arial" w:eastAsia="Calibri" w:hAnsi="Arial" w:cs="Arial"/>
                <w:color w:val="000000" w:themeColor="text1"/>
                <w:spacing w:val="-2"/>
                <w:sz w:val="17"/>
                <w:szCs w:val="17"/>
              </w:rPr>
            </w:pPr>
            <w:r w:rsidRPr="00C40415">
              <w:rPr>
                <w:rFonts w:ascii="Arial" w:eastAsia="Calibri" w:hAnsi="Arial" w:cs="Arial"/>
                <w:color w:val="000000" w:themeColor="text1"/>
                <w:spacing w:val="-2"/>
                <w:sz w:val="17"/>
                <w:szCs w:val="17"/>
              </w:rPr>
              <w:t>Ostale obveze</w:t>
            </w:r>
          </w:p>
        </w:tc>
        <w:tc>
          <w:tcPr>
            <w:tcW w:w="559" w:type="pct"/>
            <w:tcBorders>
              <w:top w:val="nil"/>
              <w:left w:val="nil"/>
              <w:bottom w:val="single" w:sz="4" w:space="0" w:color="auto"/>
              <w:right w:val="nil"/>
            </w:tcBorders>
            <w:shd w:val="clear" w:color="auto" w:fill="auto"/>
            <w:vAlign w:val="bottom"/>
          </w:tcPr>
          <w:p w14:paraId="24250B3E" w14:textId="77777777" w:rsidR="00CA047C" w:rsidRPr="00F959D0" w:rsidRDefault="00CA047C"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39.304</w:t>
            </w:r>
          </w:p>
        </w:tc>
        <w:tc>
          <w:tcPr>
            <w:tcW w:w="558" w:type="pct"/>
            <w:tcBorders>
              <w:top w:val="nil"/>
              <w:left w:val="nil"/>
              <w:bottom w:val="single" w:sz="4" w:space="0" w:color="auto"/>
              <w:right w:val="nil"/>
            </w:tcBorders>
            <w:shd w:val="clear" w:color="auto" w:fill="auto"/>
            <w:vAlign w:val="bottom"/>
          </w:tcPr>
          <w:p w14:paraId="3C2D132E" w14:textId="77777777" w:rsidR="00CA047C" w:rsidRPr="00F959D0" w:rsidRDefault="00CA047C"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3.261</w:t>
            </w:r>
          </w:p>
        </w:tc>
        <w:tc>
          <w:tcPr>
            <w:tcW w:w="559" w:type="pct"/>
            <w:tcBorders>
              <w:top w:val="nil"/>
              <w:left w:val="nil"/>
              <w:bottom w:val="single" w:sz="4" w:space="0" w:color="auto"/>
              <w:right w:val="nil"/>
            </w:tcBorders>
            <w:shd w:val="clear" w:color="auto" w:fill="auto"/>
            <w:vAlign w:val="bottom"/>
          </w:tcPr>
          <w:p w14:paraId="28459465" w14:textId="77777777" w:rsidR="00CA047C" w:rsidRPr="00F959D0" w:rsidRDefault="00CA047C"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14.301</w:t>
            </w:r>
          </w:p>
        </w:tc>
        <w:tc>
          <w:tcPr>
            <w:tcW w:w="559" w:type="pct"/>
            <w:tcBorders>
              <w:top w:val="nil"/>
              <w:left w:val="nil"/>
              <w:bottom w:val="single" w:sz="4" w:space="0" w:color="auto"/>
              <w:right w:val="nil"/>
            </w:tcBorders>
            <w:shd w:val="clear" w:color="auto" w:fill="auto"/>
            <w:vAlign w:val="bottom"/>
          </w:tcPr>
          <w:p w14:paraId="105AA183" w14:textId="77777777" w:rsidR="00CA047C" w:rsidRPr="00F959D0" w:rsidRDefault="00CA047C"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23.605</w:t>
            </w:r>
          </w:p>
        </w:tc>
        <w:tc>
          <w:tcPr>
            <w:tcW w:w="559" w:type="pct"/>
            <w:tcBorders>
              <w:top w:val="nil"/>
              <w:left w:val="nil"/>
              <w:bottom w:val="single" w:sz="4" w:space="0" w:color="auto"/>
              <w:right w:val="nil"/>
            </w:tcBorders>
            <w:shd w:val="clear" w:color="auto" w:fill="auto"/>
            <w:vAlign w:val="bottom"/>
          </w:tcPr>
          <w:p w14:paraId="7FF2E89E" w14:textId="77777777" w:rsidR="00CA047C" w:rsidRPr="00F959D0" w:rsidRDefault="00CA047C"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12.752</w:t>
            </w:r>
          </w:p>
        </w:tc>
        <w:tc>
          <w:tcPr>
            <w:tcW w:w="622" w:type="pct"/>
            <w:tcBorders>
              <w:top w:val="nil"/>
              <w:left w:val="nil"/>
              <w:bottom w:val="single" w:sz="4" w:space="0" w:color="auto"/>
              <w:right w:val="nil"/>
            </w:tcBorders>
            <w:shd w:val="clear" w:color="auto" w:fill="auto"/>
            <w:vAlign w:val="bottom"/>
          </w:tcPr>
          <w:p w14:paraId="24D2E0EC" w14:textId="77777777" w:rsidR="00CA047C" w:rsidRPr="00F959D0" w:rsidRDefault="00CA047C"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93.223</w:t>
            </w:r>
          </w:p>
        </w:tc>
      </w:tr>
      <w:tr w:rsidR="00CA047C" w:rsidRPr="00C40415" w14:paraId="65762374" w14:textId="77777777" w:rsidTr="00CA7F04">
        <w:trPr>
          <w:trHeight w:hRule="exact" w:val="266"/>
        </w:trPr>
        <w:tc>
          <w:tcPr>
            <w:tcW w:w="1584" w:type="pct"/>
            <w:vAlign w:val="bottom"/>
          </w:tcPr>
          <w:p w14:paraId="5AC8CAD6" w14:textId="77777777" w:rsidR="00CA047C" w:rsidRPr="00C40415" w:rsidRDefault="00CA047C" w:rsidP="00CA7F04">
            <w:pPr>
              <w:tabs>
                <w:tab w:val="right" w:pos="1202"/>
              </w:tabs>
              <w:outlineLvl w:val="0"/>
              <w:rPr>
                <w:rFonts w:ascii="Arial" w:hAnsi="Arial" w:cs="Arial"/>
                <w:b/>
                <w:bCs/>
                <w:color w:val="000000" w:themeColor="text1"/>
                <w:sz w:val="17"/>
                <w:szCs w:val="17"/>
              </w:rPr>
            </w:pPr>
            <w:r w:rsidRPr="00C40415">
              <w:rPr>
                <w:rFonts w:ascii="Arial" w:hAnsi="Arial" w:cs="Arial"/>
                <w:b/>
                <w:bCs/>
                <w:color w:val="000000" w:themeColor="text1"/>
                <w:sz w:val="17"/>
                <w:szCs w:val="17"/>
              </w:rPr>
              <w:t>Ukupno</w:t>
            </w:r>
          </w:p>
        </w:tc>
        <w:tc>
          <w:tcPr>
            <w:tcW w:w="559" w:type="pct"/>
            <w:tcBorders>
              <w:top w:val="single" w:sz="4" w:space="0" w:color="auto"/>
              <w:left w:val="nil"/>
              <w:bottom w:val="single" w:sz="12" w:space="0" w:color="auto"/>
              <w:right w:val="nil"/>
            </w:tcBorders>
            <w:shd w:val="clear" w:color="auto" w:fill="auto"/>
            <w:vAlign w:val="bottom"/>
          </w:tcPr>
          <w:p w14:paraId="641A4989" w14:textId="77777777" w:rsidR="00CA047C" w:rsidRPr="00F959D0" w:rsidRDefault="00CA047C" w:rsidP="00CA7F04">
            <w:pPr>
              <w:tabs>
                <w:tab w:val="right" w:pos="1202"/>
              </w:tabs>
              <w:spacing w:line="240" w:lineRule="exact"/>
              <w:jc w:val="right"/>
              <w:outlineLvl w:val="0"/>
              <w:rPr>
                <w:rFonts w:ascii="Arial" w:hAnsi="Arial" w:cs="Arial"/>
                <w:b/>
                <w:bCs/>
                <w:sz w:val="17"/>
                <w:szCs w:val="17"/>
              </w:rPr>
            </w:pPr>
            <w:r w:rsidRPr="00F959D0">
              <w:rPr>
                <w:rFonts w:ascii="Arial" w:hAnsi="Arial" w:cs="Arial"/>
                <w:b/>
                <w:bCs/>
                <w:sz w:val="17"/>
                <w:szCs w:val="17"/>
              </w:rPr>
              <w:t>259.722</w:t>
            </w:r>
          </w:p>
        </w:tc>
        <w:tc>
          <w:tcPr>
            <w:tcW w:w="558" w:type="pct"/>
            <w:tcBorders>
              <w:top w:val="nil"/>
              <w:left w:val="nil"/>
              <w:bottom w:val="single" w:sz="12" w:space="0" w:color="auto"/>
              <w:right w:val="nil"/>
            </w:tcBorders>
            <w:shd w:val="clear" w:color="auto" w:fill="auto"/>
            <w:vAlign w:val="bottom"/>
          </w:tcPr>
          <w:p w14:paraId="5F83E5C8" w14:textId="77777777" w:rsidR="00CA047C" w:rsidRPr="00F959D0" w:rsidRDefault="00CA047C" w:rsidP="00CA7F04">
            <w:pPr>
              <w:tabs>
                <w:tab w:val="right" w:pos="1202"/>
              </w:tabs>
              <w:spacing w:line="240" w:lineRule="exact"/>
              <w:jc w:val="right"/>
              <w:outlineLvl w:val="0"/>
              <w:rPr>
                <w:rFonts w:ascii="Arial" w:hAnsi="Arial" w:cs="Arial"/>
                <w:b/>
                <w:bCs/>
                <w:sz w:val="17"/>
                <w:szCs w:val="17"/>
              </w:rPr>
            </w:pPr>
            <w:r w:rsidRPr="00F959D0">
              <w:rPr>
                <w:rFonts w:ascii="Arial" w:hAnsi="Arial" w:cs="Arial"/>
                <w:b/>
                <w:bCs/>
                <w:sz w:val="17"/>
                <w:szCs w:val="17"/>
              </w:rPr>
              <w:t>183.396</w:t>
            </w:r>
          </w:p>
        </w:tc>
        <w:tc>
          <w:tcPr>
            <w:tcW w:w="559" w:type="pct"/>
            <w:tcBorders>
              <w:top w:val="nil"/>
              <w:left w:val="nil"/>
              <w:bottom w:val="single" w:sz="12" w:space="0" w:color="auto"/>
              <w:right w:val="nil"/>
            </w:tcBorders>
            <w:shd w:val="clear" w:color="auto" w:fill="auto"/>
            <w:vAlign w:val="bottom"/>
          </w:tcPr>
          <w:p w14:paraId="621321C4" w14:textId="77777777" w:rsidR="00CA047C" w:rsidRPr="00F959D0" w:rsidRDefault="00CA047C" w:rsidP="00CA7F04">
            <w:pPr>
              <w:tabs>
                <w:tab w:val="right" w:pos="1202"/>
              </w:tabs>
              <w:spacing w:line="240" w:lineRule="exact"/>
              <w:jc w:val="right"/>
              <w:outlineLvl w:val="0"/>
              <w:rPr>
                <w:rFonts w:ascii="Arial" w:hAnsi="Arial" w:cs="Arial"/>
                <w:b/>
                <w:bCs/>
                <w:sz w:val="17"/>
                <w:szCs w:val="17"/>
              </w:rPr>
            </w:pPr>
            <w:r w:rsidRPr="00F959D0">
              <w:rPr>
                <w:rFonts w:ascii="Arial" w:hAnsi="Arial" w:cs="Arial"/>
                <w:b/>
                <w:bCs/>
                <w:sz w:val="17"/>
                <w:szCs w:val="17"/>
              </w:rPr>
              <w:t>333.043</w:t>
            </w:r>
          </w:p>
        </w:tc>
        <w:tc>
          <w:tcPr>
            <w:tcW w:w="559" w:type="pct"/>
            <w:tcBorders>
              <w:top w:val="nil"/>
              <w:left w:val="nil"/>
              <w:bottom w:val="single" w:sz="12" w:space="0" w:color="auto"/>
              <w:right w:val="nil"/>
            </w:tcBorders>
            <w:shd w:val="clear" w:color="auto" w:fill="auto"/>
            <w:vAlign w:val="bottom"/>
          </w:tcPr>
          <w:p w14:paraId="13033C90" w14:textId="77777777" w:rsidR="00CA047C" w:rsidRPr="00F959D0" w:rsidRDefault="00CA047C" w:rsidP="00CA7F04">
            <w:pPr>
              <w:tabs>
                <w:tab w:val="right" w:pos="1202"/>
              </w:tabs>
              <w:spacing w:line="240" w:lineRule="exact"/>
              <w:jc w:val="right"/>
              <w:outlineLvl w:val="0"/>
              <w:rPr>
                <w:rFonts w:ascii="Arial" w:hAnsi="Arial" w:cs="Arial"/>
                <w:b/>
                <w:bCs/>
                <w:sz w:val="17"/>
                <w:szCs w:val="17"/>
              </w:rPr>
            </w:pPr>
            <w:r w:rsidRPr="00F959D0">
              <w:rPr>
                <w:rFonts w:ascii="Arial" w:hAnsi="Arial" w:cs="Arial"/>
                <w:b/>
                <w:bCs/>
                <w:sz w:val="17"/>
                <w:szCs w:val="17"/>
              </w:rPr>
              <w:t>753.737</w:t>
            </w:r>
          </w:p>
        </w:tc>
        <w:tc>
          <w:tcPr>
            <w:tcW w:w="559" w:type="pct"/>
            <w:tcBorders>
              <w:top w:val="nil"/>
              <w:left w:val="nil"/>
              <w:bottom w:val="single" w:sz="12" w:space="0" w:color="auto"/>
              <w:right w:val="nil"/>
            </w:tcBorders>
            <w:shd w:val="clear" w:color="auto" w:fill="auto"/>
            <w:vAlign w:val="bottom"/>
          </w:tcPr>
          <w:p w14:paraId="7E372A6A" w14:textId="77777777" w:rsidR="00CA047C" w:rsidRPr="00F959D0" w:rsidRDefault="00CA047C" w:rsidP="00CA7F04">
            <w:pPr>
              <w:tabs>
                <w:tab w:val="right" w:pos="1202"/>
              </w:tabs>
              <w:spacing w:line="240" w:lineRule="exact"/>
              <w:jc w:val="right"/>
              <w:outlineLvl w:val="0"/>
              <w:rPr>
                <w:rFonts w:ascii="Arial" w:hAnsi="Arial" w:cs="Arial"/>
                <w:b/>
                <w:bCs/>
                <w:sz w:val="17"/>
                <w:szCs w:val="17"/>
              </w:rPr>
            </w:pPr>
            <w:r w:rsidRPr="00F959D0">
              <w:rPr>
                <w:rFonts w:ascii="Arial" w:hAnsi="Arial" w:cs="Arial"/>
                <w:b/>
                <w:bCs/>
                <w:sz w:val="17"/>
                <w:szCs w:val="17"/>
              </w:rPr>
              <w:t>1.300.301</w:t>
            </w:r>
          </w:p>
        </w:tc>
        <w:tc>
          <w:tcPr>
            <w:tcW w:w="622" w:type="pct"/>
            <w:tcBorders>
              <w:top w:val="nil"/>
              <w:left w:val="nil"/>
              <w:bottom w:val="single" w:sz="12" w:space="0" w:color="auto"/>
              <w:right w:val="nil"/>
            </w:tcBorders>
            <w:shd w:val="clear" w:color="auto" w:fill="auto"/>
            <w:vAlign w:val="bottom"/>
          </w:tcPr>
          <w:p w14:paraId="25631700" w14:textId="77777777" w:rsidR="00CA047C" w:rsidRPr="00F959D0" w:rsidRDefault="00CA047C" w:rsidP="00CA7F04">
            <w:pPr>
              <w:tabs>
                <w:tab w:val="right" w:pos="1202"/>
              </w:tabs>
              <w:spacing w:line="240" w:lineRule="exact"/>
              <w:jc w:val="right"/>
              <w:outlineLvl w:val="0"/>
              <w:rPr>
                <w:rFonts w:ascii="Arial" w:hAnsi="Arial" w:cs="Arial"/>
                <w:b/>
                <w:bCs/>
                <w:sz w:val="17"/>
                <w:szCs w:val="17"/>
              </w:rPr>
            </w:pPr>
            <w:r w:rsidRPr="00F959D0">
              <w:rPr>
                <w:rFonts w:ascii="Arial" w:hAnsi="Arial" w:cs="Arial"/>
                <w:b/>
                <w:bCs/>
                <w:sz w:val="17"/>
                <w:szCs w:val="17"/>
              </w:rPr>
              <w:t>2.830.199</w:t>
            </w:r>
          </w:p>
        </w:tc>
      </w:tr>
      <w:tr w:rsidR="00CA047C" w:rsidRPr="00C40415" w14:paraId="4627B8E4" w14:textId="77777777" w:rsidTr="00CA7F04">
        <w:trPr>
          <w:trHeight w:hRule="exact" w:val="106"/>
        </w:trPr>
        <w:tc>
          <w:tcPr>
            <w:tcW w:w="1584" w:type="pct"/>
            <w:vAlign w:val="bottom"/>
          </w:tcPr>
          <w:p w14:paraId="003B0BC9" w14:textId="77777777" w:rsidR="00CA047C" w:rsidRPr="00C40415" w:rsidRDefault="00CA047C" w:rsidP="00CA7F04">
            <w:pPr>
              <w:tabs>
                <w:tab w:val="right" w:pos="1202"/>
              </w:tabs>
              <w:spacing w:line="301" w:lineRule="exact"/>
              <w:outlineLvl w:val="0"/>
              <w:rPr>
                <w:rFonts w:ascii="Arial" w:hAnsi="Arial" w:cs="Arial"/>
                <w:b/>
                <w:bCs/>
                <w:color w:val="000000" w:themeColor="text1"/>
                <w:sz w:val="17"/>
                <w:szCs w:val="17"/>
              </w:rPr>
            </w:pPr>
          </w:p>
        </w:tc>
        <w:tc>
          <w:tcPr>
            <w:tcW w:w="559" w:type="pct"/>
            <w:tcBorders>
              <w:top w:val="nil"/>
              <w:left w:val="nil"/>
              <w:right w:val="nil"/>
            </w:tcBorders>
            <w:shd w:val="clear" w:color="auto" w:fill="auto"/>
            <w:vAlign w:val="bottom"/>
          </w:tcPr>
          <w:p w14:paraId="743FCE0C" w14:textId="77777777" w:rsidR="00CA047C" w:rsidRPr="00C40415" w:rsidRDefault="00CA047C" w:rsidP="00CA7F04">
            <w:pPr>
              <w:tabs>
                <w:tab w:val="right" w:pos="1202"/>
              </w:tabs>
              <w:spacing w:line="301" w:lineRule="exact"/>
              <w:outlineLvl w:val="0"/>
              <w:rPr>
                <w:rFonts w:ascii="Arial" w:hAnsi="Arial" w:cs="Arial"/>
                <w:b/>
                <w:bCs/>
                <w:color w:val="000000" w:themeColor="text1"/>
                <w:sz w:val="17"/>
                <w:szCs w:val="17"/>
              </w:rPr>
            </w:pPr>
          </w:p>
        </w:tc>
        <w:tc>
          <w:tcPr>
            <w:tcW w:w="558" w:type="pct"/>
            <w:tcBorders>
              <w:top w:val="nil"/>
              <w:left w:val="nil"/>
              <w:right w:val="nil"/>
            </w:tcBorders>
            <w:shd w:val="clear" w:color="auto" w:fill="auto"/>
            <w:vAlign w:val="bottom"/>
          </w:tcPr>
          <w:p w14:paraId="4ED08CC2" w14:textId="77777777" w:rsidR="00CA047C" w:rsidRPr="00C40415" w:rsidRDefault="00CA047C" w:rsidP="00CA7F04">
            <w:pPr>
              <w:tabs>
                <w:tab w:val="right" w:pos="1202"/>
              </w:tabs>
              <w:spacing w:line="301" w:lineRule="exact"/>
              <w:outlineLvl w:val="0"/>
              <w:rPr>
                <w:rFonts w:ascii="Arial" w:hAnsi="Arial" w:cs="Arial"/>
                <w:b/>
                <w:bCs/>
                <w:color w:val="000000" w:themeColor="text1"/>
                <w:sz w:val="17"/>
                <w:szCs w:val="17"/>
              </w:rPr>
            </w:pPr>
          </w:p>
        </w:tc>
        <w:tc>
          <w:tcPr>
            <w:tcW w:w="559" w:type="pct"/>
            <w:tcBorders>
              <w:top w:val="nil"/>
              <w:left w:val="nil"/>
              <w:right w:val="nil"/>
            </w:tcBorders>
            <w:shd w:val="clear" w:color="auto" w:fill="auto"/>
            <w:vAlign w:val="bottom"/>
          </w:tcPr>
          <w:p w14:paraId="31B4D401" w14:textId="77777777" w:rsidR="00CA047C" w:rsidRPr="00C40415" w:rsidRDefault="00CA047C" w:rsidP="00CA7F04">
            <w:pPr>
              <w:tabs>
                <w:tab w:val="right" w:pos="1202"/>
              </w:tabs>
              <w:spacing w:line="301" w:lineRule="exact"/>
              <w:outlineLvl w:val="0"/>
              <w:rPr>
                <w:rFonts w:ascii="Arial" w:hAnsi="Arial" w:cs="Arial"/>
                <w:b/>
                <w:bCs/>
                <w:color w:val="000000" w:themeColor="text1"/>
                <w:sz w:val="17"/>
                <w:szCs w:val="17"/>
              </w:rPr>
            </w:pPr>
          </w:p>
        </w:tc>
        <w:tc>
          <w:tcPr>
            <w:tcW w:w="559" w:type="pct"/>
            <w:tcBorders>
              <w:top w:val="nil"/>
              <w:left w:val="nil"/>
              <w:right w:val="nil"/>
            </w:tcBorders>
            <w:shd w:val="clear" w:color="auto" w:fill="auto"/>
            <w:vAlign w:val="bottom"/>
          </w:tcPr>
          <w:p w14:paraId="013608ED" w14:textId="77777777" w:rsidR="00CA047C" w:rsidRPr="00C40415" w:rsidRDefault="00CA047C" w:rsidP="00CA7F04">
            <w:pPr>
              <w:tabs>
                <w:tab w:val="right" w:pos="1202"/>
              </w:tabs>
              <w:spacing w:line="301" w:lineRule="exact"/>
              <w:outlineLvl w:val="0"/>
              <w:rPr>
                <w:rFonts w:ascii="Arial" w:hAnsi="Arial" w:cs="Arial"/>
                <w:b/>
                <w:bCs/>
                <w:color w:val="000000" w:themeColor="text1"/>
                <w:sz w:val="17"/>
                <w:szCs w:val="17"/>
              </w:rPr>
            </w:pPr>
          </w:p>
        </w:tc>
        <w:tc>
          <w:tcPr>
            <w:tcW w:w="559" w:type="pct"/>
            <w:tcBorders>
              <w:top w:val="nil"/>
              <w:left w:val="nil"/>
              <w:right w:val="nil"/>
            </w:tcBorders>
            <w:shd w:val="clear" w:color="auto" w:fill="auto"/>
            <w:vAlign w:val="bottom"/>
          </w:tcPr>
          <w:p w14:paraId="1101286B" w14:textId="77777777" w:rsidR="00CA047C" w:rsidRPr="00C40415" w:rsidRDefault="00CA047C" w:rsidP="00CA7F04">
            <w:pPr>
              <w:tabs>
                <w:tab w:val="right" w:pos="1202"/>
              </w:tabs>
              <w:spacing w:line="301" w:lineRule="exact"/>
              <w:outlineLvl w:val="0"/>
              <w:rPr>
                <w:rFonts w:ascii="Arial" w:hAnsi="Arial" w:cs="Arial"/>
                <w:b/>
                <w:bCs/>
                <w:color w:val="000000" w:themeColor="text1"/>
                <w:sz w:val="17"/>
                <w:szCs w:val="17"/>
              </w:rPr>
            </w:pPr>
          </w:p>
        </w:tc>
        <w:tc>
          <w:tcPr>
            <w:tcW w:w="622" w:type="pct"/>
            <w:tcBorders>
              <w:top w:val="nil"/>
              <w:left w:val="nil"/>
              <w:right w:val="nil"/>
            </w:tcBorders>
            <w:shd w:val="clear" w:color="auto" w:fill="auto"/>
            <w:vAlign w:val="bottom"/>
          </w:tcPr>
          <w:p w14:paraId="74784CD0" w14:textId="77777777" w:rsidR="00CA047C" w:rsidRPr="00C40415" w:rsidRDefault="00CA047C" w:rsidP="00CA7F04">
            <w:pPr>
              <w:tabs>
                <w:tab w:val="right" w:pos="1202"/>
              </w:tabs>
              <w:spacing w:line="301" w:lineRule="exact"/>
              <w:outlineLvl w:val="0"/>
              <w:rPr>
                <w:rFonts w:ascii="Arial" w:hAnsi="Arial" w:cs="Arial"/>
                <w:b/>
                <w:bCs/>
                <w:color w:val="000000" w:themeColor="text1"/>
                <w:sz w:val="17"/>
                <w:szCs w:val="17"/>
              </w:rPr>
            </w:pPr>
          </w:p>
        </w:tc>
      </w:tr>
      <w:tr w:rsidR="00CA047C" w:rsidRPr="00C40415" w14:paraId="30B5416D" w14:textId="77777777" w:rsidTr="00CA7F04">
        <w:trPr>
          <w:trHeight w:val="170"/>
        </w:trPr>
        <w:tc>
          <w:tcPr>
            <w:tcW w:w="1584" w:type="pct"/>
            <w:tcBorders>
              <w:top w:val="nil"/>
              <w:left w:val="nil"/>
              <w:bottom w:val="nil"/>
              <w:right w:val="nil"/>
            </w:tcBorders>
            <w:shd w:val="clear" w:color="auto" w:fill="auto"/>
            <w:vAlign w:val="bottom"/>
          </w:tcPr>
          <w:p w14:paraId="7CECE5A8" w14:textId="77777777" w:rsidR="00CA047C" w:rsidRPr="00C40415" w:rsidRDefault="00CA047C" w:rsidP="00CA7F04">
            <w:pPr>
              <w:tabs>
                <w:tab w:val="right" w:pos="1202"/>
              </w:tabs>
              <w:spacing w:line="301" w:lineRule="exact"/>
              <w:outlineLvl w:val="0"/>
              <w:rPr>
                <w:rFonts w:ascii="Arial" w:hAnsi="Arial" w:cs="Arial"/>
                <w:b/>
                <w:bCs/>
                <w:color w:val="000000" w:themeColor="text1"/>
                <w:sz w:val="17"/>
                <w:szCs w:val="17"/>
              </w:rPr>
            </w:pPr>
            <w:r w:rsidRPr="00C40415">
              <w:rPr>
                <w:rFonts w:ascii="Arial" w:hAnsi="Arial" w:cs="Arial"/>
                <w:b/>
                <w:bCs/>
                <w:color w:val="000000" w:themeColor="text1"/>
                <w:sz w:val="17"/>
                <w:szCs w:val="17"/>
              </w:rPr>
              <w:t>Garancije i preuzete obveze</w:t>
            </w:r>
          </w:p>
        </w:tc>
        <w:tc>
          <w:tcPr>
            <w:tcW w:w="559" w:type="pct"/>
            <w:tcBorders>
              <w:top w:val="nil"/>
              <w:left w:val="nil"/>
              <w:bottom w:val="nil"/>
              <w:right w:val="nil"/>
            </w:tcBorders>
            <w:shd w:val="clear" w:color="auto" w:fill="auto"/>
            <w:vAlign w:val="bottom"/>
          </w:tcPr>
          <w:p w14:paraId="27334E47" w14:textId="77777777" w:rsidR="00CA047C" w:rsidRPr="00C40415" w:rsidRDefault="00CA047C" w:rsidP="00CA7F04">
            <w:pPr>
              <w:tabs>
                <w:tab w:val="right" w:pos="1202"/>
              </w:tabs>
              <w:spacing w:line="301" w:lineRule="exact"/>
              <w:outlineLvl w:val="0"/>
              <w:rPr>
                <w:rFonts w:ascii="Arial" w:hAnsi="Arial" w:cs="Arial"/>
                <w:b/>
                <w:bCs/>
                <w:color w:val="000000" w:themeColor="text1"/>
                <w:sz w:val="17"/>
                <w:szCs w:val="17"/>
              </w:rPr>
            </w:pPr>
          </w:p>
        </w:tc>
        <w:tc>
          <w:tcPr>
            <w:tcW w:w="558" w:type="pct"/>
            <w:tcBorders>
              <w:top w:val="nil"/>
              <w:left w:val="nil"/>
              <w:bottom w:val="nil"/>
              <w:right w:val="nil"/>
            </w:tcBorders>
            <w:shd w:val="clear" w:color="auto" w:fill="auto"/>
            <w:vAlign w:val="bottom"/>
          </w:tcPr>
          <w:p w14:paraId="764EB129" w14:textId="77777777" w:rsidR="00CA047C" w:rsidRPr="00C40415" w:rsidRDefault="00CA047C" w:rsidP="00CA7F04">
            <w:pPr>
              <w:tabs>
                <w:tab w:val="right" w:pos="1202"/>
              </w:tabs>
              <w:spacing w:line="301" w:lineRule="exact"/>
              <w:outlineLvl w:val="0"/>
              <w:rPr>
                <w:rFonts w:ascii="Arial" w:hAnsi="Arial" w:cs="Arial"/>
                <w:b/>
                <w:bCs/>
                <w:color w:val="000000" w:themeColor="text1"/>
                <w:sz w:val="17"/>
                <w:szCs w:val="17"/>
              </w:rPr>
            </w:pPr>
          </w:p>
        </w:tc>
        <w:tc>
          <w:tcPr>
            <w:tcW w:w="559" w:type="pct"/>
            <w:tcBorders>
              <w:top w:val="nil"/>
              <w:left w:val="nil"/>
              <w:bottom w:val="nil"/>
              <w:right w:val="nil"/>
            </w:tcBorders>
            <w:shd w:val="clear" w:color="auto" w:fill="auto"/>
            <w:vAlign w:val="bottom"/>
          </w:tcPr>
          <w:p w14:paraId="43EF7B03" w14:textId="77777777" w:rsidR="00CA047C" w:rsidRPr="00C40415" w:rsidRDefault="00CA047C" w:rsidP="00CA7F04">
            <w:pPr>
              <w:tabs>
                <w:tab w:val="right" w:pos="1202"/>
              </w:tabs>
              <w:spacing w:line="301" w:lineRule="exact"/>
              <w:outlineLvl w:val="0"/>
              <w:rPr>
                <w:rFonts w:ascii="Arial" w:hAnsi="Arial" w:cs="Arial"/>
                <w:b/>
                <w:bCs/>
                <w:color w:val="000000" w:themeColor="text1"/>
                <w:sz w:val="17"/>
                <w:szCs w:val="17"/>
              </w:rPr>
            </w:pPr>
          </w:p>
        </w:tc>
        <w:tc>
          <w:tcPr>
            <w:tcW w:w="559" w:type="pct"/>
            <w:tcBorders>
              <w:top w:val="nil"/>
              <w:left w:val="nil"/>
              <w:bottom w:val="nil"/>
              <w:right w:val="nil"/>
            </w:tcBorders>
            <w:shd w:val="clear" w:color="auto" w:fill="auto"/>
            <w:vAlign w:val="bottom"/>
          </w:tcPr>
          <w:p w14:paraId="554F0B83" w14:textId="77777777" w:rsidR="00CA047C" w:rsidRPr="00C40415" w:rsidRDefault="00CA047C" w:rsidP="00CA7F04">
            <w:pPr>
              <w:tabs>
                <w:tab w:val="right" w:pos="1202"/>
              </w:tabs>
              <w:spacing w:line="301" w:lineRule="exact"/>
              <w:outlineLvl w:val="0"/>
              <w:rPr>
                <w:rFonts w:ascii="Arial" w:hAnsi="Arial" w:cs="Arial"/>
                <w:b/>
                <w:bCs/>
                <w:color w:val="000000" w:themeColor="text1"/>
                <w:sz w:val="17"/>
                <w:szCs w:val="17"/>
              </w:rPr>
            </w:pPr>
          </w:p>
        </w:tc>
        <w:tc>
          <w:tcPr>
            <w:tcW w:w="559" w:type="pct"/>
            <w:tcBorders>
              <w:top w:val="nil"/>
              <w:left w:val="nil"/>
              <w:bottom w:val="nil"/>
              <w:right w:val="nil"/>
            </w:tcBorders>
            <w:shd w:val="clear" w:color="auto" w:fill="auto"/>
            <w:vAlign w:val="bottom"/>
          </w:tcPr>
          <w:p w14:paraId="5479903B" w14:textId="77777777" w:rsidR="00CA047C" w:rsidRPr="00C40415" w:rsidRDefault="00CA047C" w:rsidP="00CA7F04">
            <w:pPr>
              <w:tabs>
                <w:tab w:val="right" w:pos="1202"/>
              </w:tabs>
              <w:spacing w:line="301" w:lineRule="exact"/>
              <w:outlineLvl w:val="0"/>
              <w:rPr>
                <w:rFonts w:ascii="Arial" w:hAnsi="Arial" w:cs="Arial"/>
                <w:b/>
                <w:bCs/>
                <w:color w:val="000000" w:themeColor="text1"/>
                <w:sz w:val="17"/>
                <w:szCs w:val="17"/>
              </w:rPr>
            </w:pPr>
          </w:p>
        </w:tc>
        <w:tc>
          <w:tcPr>
            <w:tcW w:w="622" w:type="pct"/>
            <w:tcBorders>
              <w:top w:val="nil"/>
              <w:left w:val="nil"/>
              <w:bottom w:val="nil"/>
              <w:right w:val="nil"/>
            </w:tcBorders>
            <w:shd w:val="clear" w:color="auto" w:fill="auto"/>
            <w:vAlign w:val="bottom"/>
          </w:tcPr>
          <w:p w14:paraId="569F19FF" w14:textId="77777777" w:rsidR="00CA047C" w:rsidRPr="00C40415" w:rsidRDefault="00CA047C" w:rsidP="00CA7F04">
            <w:pPr>
              <w:tabs>
                <w:tab w:val="right" w:pos="1202"/>
              </w:tabs>
              <w:spacing w:line="301" w:lineRule="exact"/>
              <w:outlineLvl w:val="0"/>
              <w:rPr>
                <w:rFonts w:ascii="Arial" w:hAnsi="Arial" w:cs="Arial"/>
                <w:b/>
                <w:bCs/>
                <w:color w:val="000000" w:themeColor="text1"/>
                <w:sz w:val="17"/>
                <w:szCs w:val="17"/>
              </w:rPr>
            </w:pPr>
          </w:p>
        </w:tc>
      </w:tr>
      <w:tr w:rsidR="00CA047C" w:rsidRPr="00C40415" w14:paraId="3460D87C" w14:textId="77777777" w:rsidTr="00CA7F04">
        <w:trPr>
          <w:trHeight w:val="215"/>
        </w:trPr>
        <w:tc>
          <w:tcPr>
            <w:tcW w:w="1584" w:type="pct"/>
            <w:tcBorders>
              <w:top w:val="nil"/>
              <w:left w:val="nil"/>
              <w:bottom w:val="nil"/>
              <w:right w:val="nil"/>
            </w:tcBorders>
            <w:shd w:val="clear" w:color="auto" w:fill="auto"/>
            <w:vAlign w:val="center"/>
          </w:tcPr>
          <w:p w14:paraId="349BBAC1" w14:textId="77777777" w:rsidR="00CA047C" w:rsidRPr="00C40415" w:rsidRDefault="00CA047C" w:rsidP="00CA7F04">
            <w:pPr>
              <w:tabs>
                <w:tab w:val="right" w:pos="1202"/>
              </w:tabs>
              <w:spacing w:line="240" w:lineRule="exact"/>
              <w:outlineLvl w:val="0"/>
              <w:rPr>
                <w:rFonts w:ascii="Arial" w:eastAsia="Calibri" w:hAnsi="Arial" w:cs="Arial"/>
                <w:color w:val="000000" w:themeColor="text1"/>
                <w:spacing w:val="-2"/>
                <w:sz w:val="17"/>
                <w:szCs w:val="17"/>
              </w:rPr>
            </w:pPr>
            <w:r w:rsidRPr="00C40415">
              <w:rPr>
                <w:rFonts w:ascii="Arial" w:eastAsia="Calibri" w:hAnsi="Arial" w:cs="Arial"/>
                <w:color w:val="000000" w:themeColor="text1"/>
                <w:spacing w:val="-2"/>
                <w:sz w:val="17"/>
                <w:szCs w:val="17"/>
              </w:rPr>
              <w:t xml:space="preserve">Izdane garancije </w:t>
            </w:r>
          </w:p>
        </w:tc>
        <w:tc>
          <w:tcPr>
            <w:tcW w:w="559" w:type="pct"/>
            <w:tcBorders>
              <w:top w:val="nil"/>
              <w:left w:val="nil"/>
              <w:bottom w:val="nil"/>
              <w:right w:val="nil"/>
            </w:tcBorders>
            <w:shd w:val="clear" w:color="auto" w:fill="auto"/>
            <w:vAlign w:val="bottom"/>
          </w:tcPr>
          <w:p w14:paraId="555854E1" w14:textId="77777777" w:rsidR="00CA047C" w:rsidRPr="00F959D0" w:rsidRDefault="00CA047C"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 xml:space="preserve"> 52.623 </w:t>
            </w:r>
          </w:p>
        </w:tc>
        <w:tc>
          <w:tcPr>
            <w:tcW w:w="558" w:type="pct"/>
            <w:tcBorders>
              <w:top w:val="nil"/>
              <w:left w:val="nil"/>
              <w:bottom w:val="nil"/>
              <w:right w:val="nil"/>
            </w:tcBorders>
            <w:shd w:val="clear" w:color="auto" w:fill="auto"/>
            <w:vAlign w:val="bottom"/>
          </w:tcPr>
          <w:p w14:paraId="38BD229E" w14:textId="77777777" w:rsidR="00CA047C" w:rsidRPr="00F959D0" w:rsidRDefault="00CA047C" w:rsidP="00CA7F04">
            <w:pPr>
              <w:jc w:val="right"/>
              <w:rPr>
                <w:rFonts w:ascii="Arial" w:hAnsi="Arial" w:cs="Arial"/>
                <w:sz w:val="17"/>
                <w:szCs w:val="17"/>
              </w:rPr>
            </w:pPr>
            <w:r w:rsidRPr="00F959D0">
              <w:rPr>
                <w:rFonts w:ascii="Arial" w:hAnsi="Arial" w:cs="Arial"/>
                <w:sz w:val="17"/>
                <w:szCs w:val="17"/>
              </w:rPr>
              <w:t xml:space="preserve"> - </w:t>
            </w:r>
          </w:p>
        </w:tc>
        <w:tc>
          <w:tcPr>
            <w:tcW w:w="559" w:type="pct"/>
            <w:tcBorders>
              <w:top w:val="nil"/>
              <w:left w:val="nil"/>
              <w:bottom w:val="nil"/>
              <w:right w:val="nil"/>
            </w:tcBorders>
            <w:shd w:val="clear" w:color="auto" w:fill="auto"/>
            <w:vAlign w:val="bottom"/>
          </w:tcPr>
          <w:p w14:paraId="4AE5C9EF" w14:textId="77777777" w:rsidR="00CA047C" w:rsidRPr="00F959D0" w:rsidRDefault="00CA047C" w:rsidP="00CA7F04">
            <w:pPr>
              <w:jc w:val="right"/>
              <w:rPr>
                <w:rFonts w:ascii="Arial" w:hAnsi="Arial" w:cs="Arial"/>
                <w:sz w:val="17"/>
                <w:szCs w:val="17"/>
              </w:rPr>
            </w:pPr>
            <w:r w:rsidRPr="00F959D0">
              <w:rPr>
                <w:rFonts w:ascii="Arial" w:hAnsi="Arial" w:cs="Arial"/>
                <w:sz w:val="17"/>
                <w:szCs w:val="17"/>
              </w:rPr>
              <w:t xml:space="preserve"> - </w:t>
            </w:r>
          </w:p>
        </w:tc>
        <w:tc>
          <w:tcPr>
            <w:tcW w:w="559" w:type="pct"/>
            <w:tcBorders>
              <w:top w:val="nil"/>
              <w:left w:val="nil"/>
              <w:bottom w:val="nil"/>
              <w:right w:val="nil"/>
            </w:tcBorders>
            <w:shd w:val="clear" w:color="auto" w:fill="auto"/>
            <w:vAlign w:val="bottom"/>
          </w:tcPr>
          <w:p w14:paraId="6C80BB0D" w14:textId="77777777" w:rsidR="00CA047C" w:rsidRPr="00F959D0" w:rsidRDefault="00CA047C" w:rsidP="00CA7F04">
            <w:pPr>
              <w:jc w:val="right"/>
              <w:rPr>
                <w:rFonts w:ascii="Arial" w:hAnsi="Arial" w:cs="Arial"/>
                <w:sz w:val="17"/>
                <w:szCs w:val="17"/>
              </w:rPr>
            </w:pPr>
            <w:r w:rsidRPr="00F959D0">
              <w:rPr>
                <w:rFonts w:ascii="Arial" w:hAnsi="Arial" w:cs="Arial"/>
                <w:sz w:val="17"/>
                <w:szCs w:val="17"/>
              </w:rPr>
              <w:t xml:space="preserve"> - </w:t>
            </w:r>
          </w:p>
        </w:tc>
        <w:tc>
          <w:tcPr>
            <w:tcW w:w="559" w:type="pct"/>
            <w:tcBorders>
              <w:top w:val="nil"/>
              <w:left w:val="nil"/>
              <w:bottom w:val="nil"/>
              <w:right w:val="nil"/>
            </w:tcBorders>
            <w:shd w:val="clear" w:color="auto" w:fill="auto"/>
            <w:vAlign w:val="bottom"/>
          </w:tcPr>
          <w:p w14:paraId="2194CAC6" w14:textId="77777777" w:rsidR="00CA047C" w:rsidRPr="00F959D0" w:rsidRDefault="00CA047C" w:rsidP="00CA7F04">
            <w:pPr>
              <w:jc w:val="right"/>
              <w:rPr>
                <w:rFonts w:ascii="Arial" w:hAnsi="Arial" w:cs="Arial"/>
                <w:sz w:val="17"/>
                <w:szCs w:val="17"/>
              </w:rPr>
            </w:pPr>
            <w:r w:rsidRPr="00F959D0">
              <w:rPr>
                <w:rFonts w:ascii="Arial" w:hAnsi="Arial" w:cs="Arial"/>
                <w:sz w:val="17"/>
                <w:szCs w:val="17"/>
              </w:rPr>
              <w:t xml:space="preserve"> - </w:t>
            </w:r>
          </w:p>
        </w:tc>
        <w:tc>
          <w:tcPr>
            <w:tcW w:w="622" w:type="pct"/>
            <w:tcBorders>
              <w:top w:val="nil"/>
              <w:left w:val="nil"/>
              <w:bottom w:val="nil"/>
              <w:right w:val="nil"/>
            </w:tcBorders>
            <w:shd w:val="clear" w:color="auto" w:fill="auto"/>
            <w:vAlign w:val="bottom"/>
          </w:tcPr>
          <w:p w14:paraId="6433DAE1" w14:textId="77777777" w:rsidR="00CA047C" w:rsidRPr="00F959D0" w:rsidRDefault="00CA047C"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 xml:space="preserve"> 52.623 </w:t>
            </w:r>
          </w:p>
        </w:tc>
      </w:tr>
      <w:tr w:rsidR="00CA047C" w:rsidRPr="00C40415" w14:paraId="6E7F5C60" w14:textId="77777777" w:rsidTr="00CA7F04">
        <w:trPr>
          <w:trHeight w:val="215"/>
        </w:trPr>
        <w:tc>
          <w:tcPr>
            <w:tcW w:w="1584" w:type="pct"/>
            <w:tcBorders>
              <w:top w:val="nil"/>
              <w:left w:val="nil"/>
              <w:bottom w:val="nil"/>
              <w:right w:val="nil"/>
            </w:tcBorders>
            <w:shd w:val="clear" w:color="auto" w:fill="auto"/>
            <w:vAlign w:val="center"/>
          </w:tcPr>
          <w:p w14:paraId="025DD25C" w14:textId="77777777" w:rsidR="00CA047C" w:rsidRPr="00C40415" w:rsidRDefault="00CA047C" w:rsidP="00CA7F04">
            <w:pPr>
              <w:tabs>
                <w:tab w:val="right" w:pos="1202"/>
              </w:tabs>
              <w:spacing w:line="240" w:lineRule="exact"/>
              <w:outlineLvl w:val="0"/>
              <w:rPr>
                <w:rFonts w:ascii="Arial" w:eastAsia="Calibri" w:hAnsi="Arial" w:cs="Arial"/>
                <w:color w:val="000000" w:themeColor="text1"/>
                <w:spacing w:val="-2"/>
                <w:sz w:val="17"/>
                <w:szCs w:val="17"/>
              </w:rPr>
            </w:pPr>
            <w:r w:rsidRPr="00C40415">
              <w:rPr>
                <w:rFonts w:ascii="Arial" w:eastAsia="Calibri" w:hAnsi="Arial" w:cs="Arial"/>
                <w:color w:val="000000" w:themeColor="text1"/>
                <w:spacing w:val="-2"/>
                <w:sz w:val="17"/>
                <w:szCs w:val="17"/>
              </w:rPr>
              <w:t>Izdane garancije u devizama</w:t>
            </w:r>
          </w:p>
        </w:tc>
        <w:tc>
          <w:tcPr>
            <w:tcW w:w="559" w:type="pct"/>
            <w:tcBorders>
              <w:top w:val="nil"/>
              <w:left w:val="nil"/>
              <w:bottom w:val="nil"/>
              <w:right w:val="nil"/>
            </w:tcBorders>
            <w:shd w:val="clear" w:color="auto" w:fill="auto"/>
            <w:vAlign w:val="bottom"/>
          </w:tcPr>
          <w:p w14:paraId="645BC792" w14:textId="77777777" w:rsidR="00CA047C" w:rsidRPr="00F959D0" w:rsidRDefault="00CA047C"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 xml:space="preserve"> 7.716 </w:t>
            </w:r>
          </w:p>
        </w:tc>
        <w:tc>
          <w:tcPr>
            <w:tcW w:w="558" w:type="pct"/>
            <w:tcBorders>
              <w:top w:val="nil"/>
              <w:left w:val="nil"/>
              <w:bottom w:val="nil"/>
              <w:right w:val="nil"/>
            </w:tcBorders>
            <w:shd w:val="clear" w:color="auto" w:fill="auto"/>
            <w:vAlign w:val="bottom"/>
          </w:tcPr>
          <w:p w14:paraId="30041611" w14:textId="77777777" w:rsidR="00CA047C" w:rsidRPr="00F959D0" w:rsidRDefault="00CA047C" w:rsidP="00CA7F04">
            <w:pPr>
              <w:jc w:val="right"/>
              <w:rPr>
                <w:rFonts w:ascii="Arial" w:hAnsi="Arial" w:cs="Arial"/>
                <w:sz w:val="17"/>
                <w:szCs w:val="17"/>
              </w:rPr>
            </w:pPr>
            <w:r w:rsidRPr="00F959D0">
              <w:rPr>
                <w:rFonts w:ascii="Arial" w:hAnsi="Arial" w:cs="Arial"/>
                <w:sz w:val="17"/>
                <w:szCs w:val="17"/>
              </w:rPr>
              <w:t xml:space="preserve"> - </w:t>
            </w:r>
          </w:p>
        </w:tc>
        <w:tc>
          <w:tcPr>
            <w:tcW w:w="559" w:type="pct"/>
            <w:tcBorders>
              <w:top w:val="nil"/>
              <w:left w:val="nil"/>
              <w:bottom w:val="nil"/>
              <w:right w:val="nil"/>
            </w:tcBorders>
            <w:shd w:val="clear" w:color="auto" w:fill="auto"/>
            <w:vAlign w:val="bottom"/>
          </w:tcPr>
          <w:p w14:paraId="27CF557B" w14:textId="77777777" w:rsidR="00CA047C" w:rsidRPr="00F959D0" w:rsidRDefault="00CA047C" w:rsidP="00CA7F04">
            <w:pPr>
              <w:jc w:val="right"/>
              <w:rPr>
                <w:rFonts w:ascii="Arial" w:hAnsi="Arial" w:cs="Arial"/>
                <w:sz w:val="17"/>
                <w:szCs w:val="17"/>
              </w:rPr>
            </w:pPr>
            <w:r w:rsidRPr="00F959D0">
              <w:rPr>
                <w:rFonts w:ascii="Arial" w:hAnsi="Arial" w:cs="Arial"/>
                <w:sz w:val="17"/>
                <w:szCs w:val="17"/>
              </w:rPr>
              <w:t xml:space="preserve"> - </w:t>
            </w:r>
          </w:p>
        </w:tc>
        <w:tc>
          <w:tcPr>
            <w:tcW w:w="559" w:type="pct"/>
            <w:tcBorders>
              <w:top w:val="nil"/>
              <w:left w:val="nil"/>
              <w:bottom w:val="nil"/>
              <w:right w:val="nil"/>
            </w:tcBorders>
            <w:shd w:val="clear" w:color="auto" w:fill="auto"/>
            <w:vAlign w:val="bottom"/>
          </w:tcPr>
          <w:p w14:paraId="580F1837" w14:textId="77777777" w:rsidR="00CA047C" w:rsidRPr="00F959D0" w:rsidRDefault="00CA047C" w:rsidP="00CA7F04">
            <w:pPr>
              <w:jc w:val="right"/>
              <w:rPr>
                <w:rFonts w:ascii="Arial" w:hAnsi="Arial" w:cs="Arial"/>
                <w:sz w:val="17"/>
                <w:szCs w:val="17"/>
              </w:rPr>
            </w:pPr>
            <w:r w:rsidRPr="00F959D0">
              <w:rPr>
                <w:rFonts w:ascii="Arial" w:hAnsi="Arial" w:cs="Arial"/>
                <w:sz w:val="17"/>
                <w:szCs w:val="17"/>
              </w:rPr>
              <w:t xml:space="preserve"> - </w:t>
            </w:r>
          </w:p>
        </w:tc>
        <w:tc>
          <w:tcPr>
            <w:tcW w:w="559" w:type="pct"/>
            <w:tcBorders>
              <w:top w:val="nil"/>
              <w:left w:val="nil"/>
              <w:bottom w:val="nil"/>
              <w:right w:val="nil"/>
            </w:tcBorders>
            <w:shd w:val="clear" w:color="auto" w:fill="auto"/>
            <w:vAlign w:val="bottom"/>
          </w:tcPr>
          <w:p w14:paraId="5620C93A" w14:textId="77777777" w:rsidR="00CA047C" w:rsidRPr="00F959D0" w:rsidRDefault="00CA047C" w:rsidP="00CA7F04">
            <w:pPr>
              <w:jc w:val="right"/>
              <w:rPr>
                <w:rFonts w:ascii="Arial" w:hAnsi="Arial" w:cs="Arial"/>
                <w:sz w:val="17"/>
                <w:szCs w:val="17"/>
              </w:rPr>
            </w:pPr>
            <w:r w:rsidRPr="00F959D0">
              <w:rPr>
                <w:rFonts w:ascii="Arial" w:hAnsi="Arial" w:cs="Arial"/>
                <w:sz w:val="17"/>
                <w:szCs w:val="17"/>
              </w:rPr>
              <w:t xml:space="preserve"> - </w:t>
            </w:r>
          </w:p>
        </w:tc>
        <w:tc>
          <w:tcPr>
            <w:tcW w:w="622" w:type="pct"/>
            <w:tcBorders>
              <w:top w:val="nil"/>
              <w:left w:val="nil"/>
              <w:bottom w:val="nil"/>
              <w:right w:val="nil"/>
            </w:tcBorders>
            <w:shd w:val="clear" w:color="auto" w:fill="auto"/>
            <w:vAlign w:val="bottom"/>
          </w:tcPr>
          <w:p w14:paraId="42D48857" w14:textId="77777777" w:rsidR="00CA047C" w:rsidRPr="00F959D0" w:rsidRDefault="00CA047C"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 xml:space="preserve"> 7.716 </w:t>
            </w:r>
          </w:p>
        </w:tc>
      </w:tr>
      <w:tr w:rsidR="00CA047C" w:rsidRPr="00C40415" w14:paraId="6BA7F42A" w14:textId="77777777" w:rsidTr="00CA7F04">
        <w:trPr>
          <w:trHeight w:val="215"/>
        </w:trPr>
        <w:tc>
          <w:tcPr>
            <w:tcW w:w="1584" w:type="pct"/>
            <w:tcBorders>
              <w:top w:val="nil"/>
              <w:left w:val="nil"/>
              <w:bottom w:val="nil"/>
              <w:right w:val="nil"/>
            </w:tcBorders>
            <w:shd w:val="clear" w:color="auto" w:fill="auto"/>
            <w:vAlign w:val="center"/>
          </w:tcPr>
          <w:p w14:paraId="2707C8DC" w14:textId="77777777" w:rsidR="00CA047C" w:rsidRPr="00C40415" w:rsidRDefault="00CA047C" w:rsidP="00CA7F04">
            <w:pPr>
              <w:tabs>
                <w:tab w:val="right" w:pos="1202"/>
              </w:tabs>
              <w:spacing w:line="240" w:lineRule="exact"/>
              <w:outlineLvl w:val="0"/>
              <w:rPr>
                <w:rFonts w:ascii="Arial" w:eastAsia="Calibri" w:hAnsi="Arial" w:cs="Arial"/>
                <w:color w:val="000000" w:themeColor="text1"/>
                <w:spacing w:val="-2"/>
                <w:sz w:val="17"/>
                <w:szCs w:val="17"/>
              </w:rPr>
            </w:pPr>
            <w:r w:rsidRPr="00C40415">
              <w:rPr>
                <w:rFonts w:ascii="Arial" w:eastAsia="Calibri" w:hAnsi="Arial" w:cs="Arial"/>
                <w:color w:val="000000" w:themeColor="text1"/>
                <w:spacing w:val="-2"/>
                <w:sz w:val="17"/>
                <w:szCs w:val="17"/>
              </w:rPr>
              <w:t>Preuzete obveze po kreditima</w:t>
            </w:r>
          </w:p>
        </w:tc>
        <w:tc>
          <w:tcPr>
            <w:tcW w:w="559" w:type="pct"/>
            <w:tcBorders>
              <w:top w:val="nil"/>
              <w:left w:val="nil"/>
              <w:bottom w:val="nil"/>
              <w:right w:val="nil"/>
            </w:tcBorders>
            <w:shd w:val="clear" w:color="auto" w:fill="auto"/>
            <w:vAlign w:val="bottom"/>
          </w:tcPr>
          <w:p w14:paraId="70B16EAB" w14:textId="77777777" w:rsidR="00CA047C" w:rsidRPr="00F959D0" w:rsidRDefault="00CA047C"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 xml:space="preserve"> 445.273 </w:t>
            </w:r>
          </w:p>
        </w:tc>
        <w:tc>
          <w:tcPr>
            <w:tcW w:w="558" w:type="pct"/>
            <w:tcBorders>
              <w:top w:val="nil"/>
              <w:left w:val="nil"/>
              <w:bottom w:val="nil"/>
              <w:right w:val="nil"/>
            </w:tcBorders>
            <w:shd w:val="clear" w:color="auto" w:fill="auto"/>
            <w:vAlign w:val="bottom"/>
          </w:tcPr>
          <w:p w14:paraId="61EF92A6" w14:textId="77777777" w:rsidR="00CA047C" w:rsidRPr="00F959D0" w:rsidRDefault="00CA047C" w:rsidP="00CA7F04">
            <w:pPr>
              <w:jc w:val="right"/>
              <w:rPr>
                <w:rFonts w:ascii="Arial" w:hAnsi="Arial" w:cs="Arial"/>
                <w:sz w:val="17"/>
                <w:szCs w:val="17"/>
              </w:rPr>
            </w:pPr>
            <w:r w:rsidRPr="00F959D0">
              <w:rPr>
                <w:rFonts w:ascii="Arial" w:hAnsi="Arial" w:cs="Arial"/>
                <w:sz w:val="17"/>
                <w:szCs w:val="17"/>
              </w:rPr>
              <w:t xml:space="preserve"> - </w:t>
            </w:r>
          </w:p>
        </w:tc>
        <w:tc>
          <w:tcPr>
            <w:tcW w:w="559" w:type="pct"/>
            <w:tcBorders>
              <w:top w:val="nil"/>
              <w:left w:val="nil"/>
              <w:bottom w:val="nil"/>
              <w:right w:val="nil"/>
            </w:tcBorders>
            <w:shd w:val="clear" w:color="auto" w:fill="auto"/>
            <w:vAlign w:val="bottom"/>
          </w:tcPr>
          <w:p w14:paraId="3ED9E650" w14:textId="77777777" w:rsidR="00CA047C" w:rsidRPr="00F959D0" w:rsidRDefault="00CA047C" w:rsidP="00CA7F04">
            <w:pPr>
              <w:jc w:val="right"/>
              <w:rPr>
                <w:rFonts w:ascii="Arial" w:hAnsi="Arial" w:cs="Arial"/>
                <w:sz w:val="17"/>
                <w:szCs w:val="17"/>
              </w:rPr>
            </w:pPr>
            <w:r w:rsidRPr="00F959D0">
              <w:rPr>
                <w:rFonts w:ascii="Arial" w:hAnsi="Arial" w:cs="Arial"/>
                <w:sz w:val="17"/>
                <w:szCs w:val="17"/>
              </w:rPr>
              <w:t xml:space="preserve"> - </w:t>
            </w:r>
          </w:p>
        </w:tc>
        <w:tc>
          <w:tcPr>
            <w:tcW w:w="559" w:type="pct"/>
            <w:tcBorders>
              <w:top w:val="nil"/>
              <w:left w:val="nil"/>
              <w:bottom w:val="nil"/>
              <w:right w:val="nil"/>
            </w:tcBorders>
            <w:shd w:val="clear" w:color="auto" w:fill="auto"/>
            <w:vAlign w:val="bottom"/>
          </w:tcPr>
          <w:p w14:paraId="48655624" w14:textId="77777777" w:rsidR="00CA047C" w:rsidRPr="00F959D0" w:rsidRDefault="00CA047C" w:rsidP="00CA7F04">
            <w:pPr>
              <w:jc w:val="right"/>
              <w:rPr>
                <w:rFonts w:ascii="Arial" w:hAnsi="Arial" w:cs="Arial"/>
                <w:sz w:val="17"/>
                <w:szCs w:val="17"/>
              </w:rPr>
            </w:pPr>
            <w:r w:rsidRPr="00F959D0">
              <w:rPr>
                <w:rFonts w:ascii="Arial" w:hAnsi="Arial" w:cs="Arial"/>
                <w:sz w:val="17"/>
                <w:szCs w:val="17"/>
              </w:rPr>
              <w:t xml:space="preserve"> - </w:t>
            </w:r>
          </w:p>
        </w:tc>
        <w:tc>
          <w:tcPr>
            <w:tcW w:w="559" w:type="pct"/>
            <w:tcBorders>
              <w:top w:val="nil"/>
              <w:left w:val="nil"/>
              <w:bottom w:val="nil"/>
              <w:right w:val="nil"/>
            </w:tcBorders>
            <w:shd w:val="clear" w:color="auto" w:fill="auto"/>
            <w:vAlign w:val="bottom"/>
          </w:tcPr>
          <w:p w14:paraId="72A67D10" w14:textId="77777777" w:rsidR="00CA047C" w:rsidRPr="00F959D0" w:rsidRDefault="00CA047C" w:rsidP="00CA7F04">
            <w:pPr>
              <w:jc w:val="right"/>
              <w:rPr>
                <w:rFonts w:ascii="Arial" w:hAnsi="Arial" w:cs="Arial"/>
                <w:sz w:val="17"/>
                <w:szCs w:val="17"/>
              </w:rPr>
            </w:pPr>
            <w:r w:rsidRPr="00F959D0">
              <w:rPr>
                <w:rFonts w:ascii="Arial" w:hAnsi="Arial" w:cs="Arial"/>
                <w:sz w:val="17"/>
                <w:szCs w:val="17"/>
              </w:rPr>
              <w:t xml:space="preserve"> - </w:t>
            </w:r>
          </w:p>
        </w:tc>
        <w:tc>
          <w:tcPr>
            <w:tcW w:w="622" w:type="pct"/>
            <w:tcBorders>
              <w:top w:val="nil"/>
              <w:left w:val="nil"/>
              <w:bottom w:val="nil"/>
              <w:right w:val="nil"/>
            </w:tcBorders>
            <w:shd w:val="clear" w:color="auto" w:fill="auto"/>
            <w:vAlign w:val="bottom"/>
          </w:tcPr>
          <w:p w14:paraId="7818D4C8" w14:textId="77777777" w:rsidR="00CA047C" w:rsidRPr="00F959D0" w:rsidRDefault="00CA047C"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 xml:space="preserve"> 445.273 </w:t>
            </w:r>
          </w:p>
        </w:tc>
      </w:tr>
      <w:tr w:rsidR="00CA047C" w:rsidRPr="00C40415" w14:paraId="2892B751" w14:textId="77777777" w:rsidTr="00CA7F04">
        <w:trPr>
          <w:trHeight w:val="215"/>
        </w:trPr>
        <w:tc>
          <w:tcPr>
            <w:tcW w:w="1584" w:type="pct"/>
            <w:tcBorders>
              <w:top w:val="nil"/>
              <w:left w:val="nil"/>
              <w:bottom w:val="nil"/>
              <w:right w:val="nil"/>
            </w:tcBorders>
            <w:shd w:val="clear" w:color="auto" w:fill="auto"/>
            <w:vAlign w:val="bottom"/>
          </w:tcPr>
          <w:p w14:paraId="254EE4AC" w14:textId="77777777" w:rsidR="00CA047C" w:rsidRPr="00C40415" w:rsidRDefault="00CA047C" w:rsidP="00CA7F04">
            <w:pPr>
              <w:tabs>
                <w:tab w:val="right" w:pos="1202"/>
              </w:tabs>
              <w:spacing w:line="240" w:lineRule="exact"/>
              <w:outlineLvl w:val="0"/>
              <w:rPr>
                <w:rFonts w:ascii="Arial" w:eastAsia="Calibri" w:hAnsi="Arial" w:cs="Arial"/>
                <w:color w:val="000000" w:themeColor="text1"/>
                <w:spacing w:val="-2"/>
                <w:sz w:val="17"/>
                <w:szCs w:val="17"/>
              </w:rPr>
            </w:pPr>
            <w:r w:rsidRPr="00C40415">
              <w:rPr>
                <w:rFonts w:ascii="Arial" w:hAnsi="Arial" w:cs="Arial"/>
                <w:color w:val="000000" w:themeColor="text1"/>
                <w:sz w:val="17"/>
                <w:szCs w:val="17"/>
              </w:rPr>
              <w:t>Upisani a neuplaćeni kapital EIF-a</w:t>
            </w:r>
          </w:p>
        </w:tc>
        <w:tc>
          <w:tcPr>
            <w:tcW w:w="559" w:type="pct"/>
            <w:tcBorders>
              <w:top w:val="nil"/>
              <w:left w:val="nil"/>
              <w:bottom w:val="nil"/>
              <w:right w:val="nil"/>
            </w:tcBorders>
            <w:shd w:val="clear" w:color="auto" w:fill="auto"/>
            <w:vAlign w:val="bottom"/>
          </w:tcPr>
          <w:p w14:paraId="5EA7663C" w14:textId="77777777" w:rsidR="00CA047C" w:rsidRPr="00F959D0" w:rsidRDefault="00CA047C"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 xml:space="preserve"> 10.400 </w:t>
            </w:r>
          </w:p>
        </w:tc>
        <w:tc>
          <w:tcPr>
            <w:tcW w:w="558" w:type="pct"/>
            <w:tcBorders>
              <w:top w:val="nil"/>
              <w:left w:val="nil"/>
              <w:bottom w:val="nil"/>
              <w:right w:val="nil"/>
            </w:tcBorders>
            <w:shd w:val="clear" w:color="auto" w:fill="auto"/>
            <w:vAlign w:val="bottom"/>
          </w:tcPr>
          <w:p w14:paraId="5709FE23" w14:textId="77777777" w:rsidR="00CA047C" w:rsidRPr="00F959D0" w:rsidRDefault="00CA047C" w:rsidP="00CA7F04">
            <w:pPr>
              <w:jc w:val="right"/>
              <w:rPr>
                <w:rFonts w:ascii="Arial" w:hAnsi="Arial" w:cs="Arial"/>
                <w:sz w:val="17"/>
                <w:szCs w:val="17"/>
              </w:rPr>
            </w:pPr>
            <w:r w:rsidRPr="00F959D0">
              <w:rPr>
                <w:rFonts w:ascii="Arial" w:hAnsi="Arial" w:cs="Arial"/>
                <w:sz w:val="17"/>
                <w:szCs w:val="17"/>
              </w:rPr>
              <w:t xml:space="preserve"> - </w:t>
            </w:r>
          </w:p>
        </w:tc>
        <w:tc>
          <w:tcPr>
            <w:tcW w:w="559" w:type="pct"/>
            <w:tcBorders>
              <w:top w:val="nil"/>
              <w:left w:val="nil"/>
              <w:bottom w:val="nil"/>
              <w:right w:val="nil"/>
            </w:tcBorders>
            <w:shd w:val="clear" w:color="auto" w:fill="auto"/>
            <w:vAlign w:val="bottom"/>
          </w:tcPr>
          <w:p w14:paraId="35676599" w14:textId="77777777" w:rsidR="00CA047C" w:rsidRPr="00F959D0" w:rsidRDefault="00CA047C" w:rsidP="00CA7F04">
            <w:pPr>
              <w:jc w:val="right"/>
              <w:rPr>
                <w:rFonts w:ascii="Arial" w:hAnsi="Arial" w:cs="Arial"/>
                <w:sz w:val="17"/>
                <w:szCs w:val="17"/>
              </w:rPr>
            </w:pPr>
            <w:r w:rsidRPr="00F959D0">
              <w:rPr>
                <w:rFonts w:ascii="Arial" w:hAnsi="Arial" w:cs="Arial"/>
                <w:sz w:val="17"/>
                <w:szCs w:val="17"/>
              </w:rPr>
              <w:t xml:space="preserve"> - </w:t>
            </w:r>
          </w:p>
        </w:tc>
        <w:tc>
          <w:tcPr>
            <w:tcW w:w="559" w:type="pct"/>
            <w:tcBorders>
              <w:top w:val="nil"/>
              <w:left w:val="nil"/>
              <w:bottom w:val="nil"/>
              <w:right w:val="nil"/>
            </w:tcBorders>
            <w:shd w:val="clear" w:color="auto" w:fill="auto"/>
            <w:vAlign w:val="bottom"/>
          </w:tcPr>
          <w:p w14:paraId="5AB1731A" w14:textId="77777777" w:rsidR="00CA047C" w:rsidRPr="00F959D0" w:rsidRDefault="00CA047C" w:rsidP="00CA7F04">
            <w:pPr>
              <w:jc w:val="right"/>
              <w:rPr>
                <w:rFonts w:ascii="Arial" w:hAnsi="Arial" w:cs="Arial"/>
                <w:sz w:val="17"/>
                <w:szCs w:val="17"/>
              </w:rPr>
            </w:pPr>
            <w:r w:rsidRPr="00F959D0">
              <w:rPr>
                <w:rFonts w:ascii="Arial" w:hAnsi="Arial" w:cs="Arial"/>
                <w:sz w:val="17"/>
                <w:szCs w:val="17"/>
              </w:rPr>
              <w:t xml:space="preserve"> - </w:t>
            </w:r>
          </w:p>
        </w:tc>
        <w:tc>
          <w:tcPr>
            <w:tcW w:w="559" w:type="pct"/>
            <w:tcBorders>
              <w:top w:val="nil"/>
              <w:left w:val="nil"/>
              <w:bottom w:val="nil"/>
              <w:right w:val="nil"/>
            </w:tcBorders>
            <w:shd w:val="clear" w:color="auto" w:fill="auto"/>
            <w:vAlign w:val="bottom"/>
          </w:tcPr>
          <w:p w14:paraId="64998216" w14:textId="77777777" w:rsidR="00CA047C" w:rsidRPr="00F959D0" w:rsidRDefault="00CA047C" w:rsidP="00CA7F04">
            <w:pPr>
              <w:jc w:val="right"/>
              <w:rPr>
                <w:rFonts w:ascii="Arial" w:hAnsi="Arial" w:cs="Arial"/>
                <w:sz w:val="17"/>
                <w:szCs w:val="17"/>
              </w:rPr>
            </w:pPr>
            <w:r w:rsidRPr="00F959D0">
              <w:rPr>
                <w:rFonts w:ascii="Arial" w:hAnsi="Arial" w:cs="Arial"/>
                <w:sz w:val="17"/>
                <w:szCs w:val="17"/>
              </w:rPr>
              <w:t xml:space="preserve"> - </w:t>
            </w:r>
          </w:p>
        </w:tc>
        <w:tc>
          <w:tcPr>
            <w:tcW w:w="622" w:type="pct"/>
            <w:tcBorders>
              <w:top w:val="nil"/>
              <w:left w:val="nil"/>
              <w:bottom w:val="nil"/>
              <w:right w:val="nil"/>
            </w:tcBorders>
            <w:shd w:val="clear" w:color="auto" w:fill="auto"/>
            <w:vAlign w:val="bottom"/>
          </w:tcPr>
          <w:p w14:paraId="7020776E" w14:textId="77777777" w:rsidR="00CA047C" w:rsidRPr="00F959D0" w:rsidRDefault="00CA047C"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 xml:space="preserve"> 10.400 </w:t>
            </w:r>
          </w:p>
        </w:tc>
      </w:tr>
      <w:tr w:rsidR="00CA047C" w:rsidRPr="00C40415" w14:paraId="7C3EDE5B" w14:textId="77777777" w:rsidTr="00CA7F04">
        <w:trPr>
          <w:trHeight w:val="215"/>
        </w:trPr>
        <w:tc>
          <w:tcPr>
            <w:tcW w:w="1584" w:type="pct"/>
            <w:tcBorders>
              <w:top w:val="nil"/>
              <w:left w:val="nil"/>
              <w:bottom w:val="nil"/>
              <w:right w:val="nil"/>
            </w:tcBorders>
            <w:shd w:val="clear" w:color="auto" w:fill="auto"/>
            <w:vAlign w:val="bottom"/>
          </w:tcPr>
          <w:p w14:paraId="1F8F57C0" w14:textId="77777777" w:rsidR="00CA047C" w:rsidRPr="00C40415" w:rsidRDefault="00CA047C" w:rsidP="00CA7F04">
            <w:pPr>
              <w:tabs>
                <w:tab w:val="right" w:pos="1202"/>
              </w:tabs>
              <w:spacing w:line="240" w:lineRule="exact"/>
              <w:outlineLvl w:val="0"/>
              <w:rPr>
                <w:rFonts w:ascii="Arial" w:hAnsi="Arial" w:cs="Arial"/>
                <w:color w:val="000000" w:themeColor="text1"/>
                <w:sz w:val="17"/>
                <w:szCs w:val="17"/>
              </w:rPr>
            </w:pPr>
            <w:r w:rsidRPr="00C40415">
              <w:rPr>
                <w:rFonts w:ascii="Arial" w:hAnsi="Arial" w:cs="Arial"/>
                <w:color w:val="000000"/>
                <w:sz w:val="17"/>
                <w:szCs w:val="17"/>
              </w:rPr>
              <w:t>Ugovorena obveza EIF CROGIP</w:t>
            </w:r>
          </w:p>
        </w:tc>
        <w:tc>
          <w:tcPr>
            <w:tcW w:w="559" w:type="pct"/>
            <w:tcBorders>
              <w:top w:val="nil"/>
              <w:left w:val="nil"/>
              <w:bottom w:val="nil"/>
              <w:right w:val="nil"/>
            </w:tcBorders>
            <w:shd w:val="clear" w:color="auto" w:fill="auto"/>
            <w:vAlign w:val="bottom"/>
          </w:tcPr>
          <w:p w14:paraId="59261280" w14:textId="77777777" w:rsidR="00CA047C" w:rsidRPr="00F959D0" w:rsidRDefault="00CA047C"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 xml:space="preserve"> 129 </w:t>
            </w:r>
          </w:p>
        </w:tc>
        <w:tc>
          <w:tcPr>
            <w:tcW w:w="558" w:type="pct"/>
            <w:tcBorders>
              <w:top w:val="nil"/>
              <w:left w:val="nil"/>
              <w:bottom w:val="nil"/>
              <w:right w:val="nil"/>
            </w:tcBorders>
            <w:shd w:val="clear" w:color="auto" w:fill="auto"/>
            <w:vAlign w:val="bottom"/>
          </w:tcPr>
          <w:p w14:paraId="24A0A9B8" w14:textId="77777777" w:rsidR="00CA047C" w:rsidRPr="00F959D0" w:rsidRDefault="00CA047C" w:rsidP="00CA7F04">
            <w:pPr>
              <w:jc w:val="right"/>
              <w:rPr>
                <w:rFonts w:ascii="Arial" w:hAnsi="Arial" w:cs="Arial"/>
                <w:sz w:val="17"/>
                <w:szCs w:val="17"/>
              </w:rPr>
            </w:pPr>
            <w:r w:rsidRPr="00F959D0">
              <w:rPr>
                <w:rFonts w:ascii="Arial" w:hAnsi="Arial" w:cs="Arial"/>
                <w:sz w:val="17"/>
                <w:szCs w:val="17"/>
              </w:rPr>
              <w:t xml:space="preserve"> 1.467 </w:t>
            </w:r>
          </w:p>
        </w:tc>
        <w:tc>
          <w:tcPr>
            <w:tcW w:w="559" w:type="pct"/>
            <w:tcBorders>
              <w:top w:val="nil"/>
              <w:left w:val="nil"/>
              <w:bottom w:val="nil"/>
              <w:right w:val="nil"/>
            </w:tcBorders>
            <w:shd w:val="clear" w:color="auto" w:fill="auto"/>
            <w:vAlign w:val="bottom"/>
          </w:tcPr>
          <w:p w14:paraId="429BBCEE" w14:textId="77777777" w:rsidR="00CA047C" w:rsidRPr="00F959D0" w:rsidRDefault="00CA047C" w:rsidP="00CA7F04">
            <w:pPr>
              <w:jc w:val="right"/>
              <w:rPr>
                <w:rFonts w:ascii="Arial" w:hAnsi="Arial" w:cs="Arial"/>
                <w:sz w:val="17"/>
                <w:szCs w:val="17"/>
              </w:rPr>
            </w:pPr>
            <w:r w:rsidRPr="00F959D0">
              <w:rPr>
                <w:rFonts w:ascii="Arial" w:hAnsi="Arial" w:cs="Arial"/>
                <w:sz w:val="17"/>
                <w:szCs w:val="17"/>
              </w:rPr>
              <w:t xml:space="preserve"> 7.404 </w:t>
            </w:r>
          </w:p>
        </w:tc>
        <w:tc>
          <w:tcPr>
            <w:tcW w:w="559" w:type="pct"/>
            <w:tcBorders>
              <w:top w:val="nil"/>
              <w:left w:val="nil"/>
              <w:bottom w:val="nil"/>
              <w:right w:val="nil"/>
            </w:tcBorders>
            <w:shd w:val="clear" w:color="auto" w:fill="auto"/>
            <w:vAlign w:val="bottom"/>
          </w:tcPr>
          <w:p w14:paraId="6BABBC11" w14:textId="77777777" w:rsidR="00CA047C" w:rsidRPr="00F959D0" w:rsidRDefault="00CA047C" w:rsidP="00CA7F04">
            <w:pPr>
              <w:jc w:val="right"/>
              <w:rPr>
                <w:rFonts w:ascii="Arial" w:hAnsi="Arial" w:cs="Arial"/>
                <w:sz w:val="17"/>
                <w:szCs w:val="17"/>
              </w:rPr>
            </w:pPr>
            <w:r w:rsidRPr="00F959D0">
              <w:rPr>
                <w:rFonts w:ascii="Arial" w:hAnsi="Arial" w:cs="Arial"/>
                <w:sz w:val="17"/>
                <w:szCs w:val="17"/>
              </w:rPr>
              <w:t xml:space="preserve"> 15.800 </w:t>
            </w:r>
          </w:p>
        </w:tc>
        <w:tc>
          <w:tcPr>
            <w:tcW w:w="559" w:type="pct"/>
            <w:tcBorders>
              <w:top w:val="nil"/>
              <w:left w:val="nil"/>
              <w:bottom w:val="nil"/>
              <w:right w:val="nil"/>
            </w:tcBorders>
            <w:shd w:val="clear" w:color="auto" w:fill="auto"/>
            <w:vAlign w:val="bottom"/>
          </w:tcPr>
          <w:p w14:paraId="365ACE90" w14:textId="77777777" w:rsidR="00CA047C" w:rsidRPr="00F959D0" w:rsidRDefault="00CA047C" w:rsidP="00CA7F04">
            <w:pPr>
              <w:jc w:val="right"/>
              <w:rPr>
                <w:rFonts w:ascii="Arial" w:hAnsi="Arial" w:cs="Arial"/>
                <w:sz w:val="17"/>
                <w:szCs w:val="17"/>
              </w:rPr>
            </w:pPr>
            <w:r w:rsidRPr="00F959D0">
              <w:rPr>
                <w:rFonts w:ascii="Arial" w:hAnsi="Arial" w:cs="Arial"/>
                <w:sz w:val="17"/>
                <w:szCs w:val="17"/>
              </w:rPr>
              <w:t xml:space="preserve"> 6.660 </w:t>
            </w:r>
          </w:p>
        </w:tc>
        <w:tc>
          <w:tcPr>
            <w:tcW w:w="622" w:type="pct"/>
            <w:tcBorders>
              <w:top w:val="nil"/>
              <w:left w:val="nil"/>
              <w:bottom w:val="nil"/>
              <w:right w:val="nil"/>
            </w:tcBorders>
            <w:shd w:val="clear" w:color="auto" w:fill="auto"/>
            <w:vAlign w:val="bottom"/>
          </w:tcPr>
          <w:p w14:paraId="54B343DA" w14:textId="77777777" w:rsidR="00CA047C" w:rsidRPr="00F959D0" w:rsidRDefault="00CA047C"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 xml:space="preserve"> 31.460 </w:t>
            </w:r>
          </w:p>
        </w:tc>
      </w:tr>
      <w:tr w:rsidR="00CA047C" w:rsidRPr="00C40415" w14:paraId="7C3D25C0" w14:textId="77777777" w:rsidTr="00CA7F04">
        <w:trPr>
          <w:trHeight w:val="215"/>
        </w:trPr>
        <w:tc>
          <w:tcPr>
            <w:tcW w:w="1584" w:type="pct"/>
            <w:tcBorders>
              <w:top w:val="nil"/>
              <w:left w:val="nil"/>
              <w:bottom w:val="nil"/>
              <w:right w:val="nil"/>
            </w:tcBorders>
            <w:shd w:val="clear" w:color="auto" w:fill="auto"/>
            <w:vAlign w:val="bottom"/>
          </w:tcPr>
          <w:p w14:paraId="12E532EF" w14:textId="77777777" w:rsidR="00CA047C" w:rsidRPr="00C40415" w:rsidRDefault="00CA047C" w:rsidP="00CA7F04">
            <w:pPr>
              <w:tabs>
                <w:tab w:val="right" w:pos="1202"/>
              </w:tabs>
              <w:spacing w:line="240" w:lineRule="exact"/>
              <w:outlineLvl w:val="0"/>
              <w:rPr>
                <w:rFonts w:ascii="Arial" w:hAnsi="Arial" w:cs="Arial"/>
                <w:color w:val="000000" w:themeColor="text1"/>
                <w:sz w:val="17"/>
                <w:szCs w:val="17"/>
              </w:rPr>
            </w:pPr>
            <w:r w:rsidRPr="00C40415">
              <w:rPr>
                <w:rFonts w:ascii="Arial" w:hAnsi="Arial" w:cs="Arial"/>
                <w:color w:val="000000"/>
                <w:sz w:val="17"/>
                <w:szCs w:val="17"/>
              </w:rPr>
              <w:t>Ugovorena obveza EIF FRC2</w:t>
            </w:r>
          </w:p>
        </w:tc>
        <w:tc>
          <w:tcPr>
            <w:tcW w:w="559" w:type="pct"/>
            <w:tcBorders>
              <w:top w:val="nil"/>
              <w:left w:val="nil"/>
              <w:bottom w:val="single" w:sz="8" w:space="0" w:color="auto"/>
              <w:right w:val="nil"/>
            </w:tcBorders>
            <w:shd w:val="clear" w:color="auto" w:fill="auto"/>
            <w:vAlign w:val="bottom"/>
          </w:tcPr>
          <w:p w14:paraId="7DDFC79F" w14:textId="77777777" w:rsidR="00CA047C" w:rsidRPr="00F959D0" w:rsidRDefault="00CA047C"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 xml:space="preserve"> 14 </w:t>
            </w:r>
          </w:p>
        </w:tc>
        <w:tc>
          <w:tcPr>
            <w:tcW w:w="558" w:type="pct"/>
            <w:tcBorders>
              <w:top w:val="nil"/>
              <w:left w:val="nil"/>
              <w:bottom w:val="single" w:sz="8" w:space="0" w:color="auto"/>
              <w:right w:val="nil"/>
            </w:tcBorders>
            <w:shd w:val="clear" w:color="auto" w:fill="auto"/>
            <w:vAlign w:val="bottom"/>
          </w:tcPr>
          <w:p w14:paraId="0CFA25F0" w14:textId="77777777" w:rsidR="00CA047C" w:rsidRPr="00F959D0" w:rsidRDefault="00CA047C" w:rsidP="00CA7F04">
            <w:pPr>
              <w:jc w:val="right"/>
              <w:rPr>
                <w:rFonts w:ascii="Arial" w:hAnsi="Arial" w:cs="Arial"/>
                <w:sz w:val="17"/>
                <w:szCs w:val="17"/>
              </w:rPr>
            </w:pPr>
            <w:r w:rsidRPr="00F959D0">
              <w:rPr>
                <w:rFonts w:ascii="Arial" w:hAnsi="Arial" w:cs="Arial"/>
                <w:sz w:val="17"/>
                <w:szCs w:val="17"/>
              </w:rPr>
              <w:t xml:space="preserve"> 4 </w:t>
            </w:r>
          </w:p>
        </w:tc>
        <w:tc>
          <w:tcPr>
            <w:tcW w:w="559" w:type="pct"/>
            <w:tcBorders>
              <w:top w:val="nil"/>
              <w:left w:val="nil"/>
              <w:bottom w:val="single" w:sz="8" w:space="0" w:color="auto"/>
              <w:right w:val="nil"/>
            </w:tcBorders>
            <w:shd w:val="clear" w:color="auto" w:fill="auto"/>
            <w:vAlign w:val="bottom"/>
          </w:tcPr>
          <w:p w14:paraId="738E0F5F" w14:textId="77777777" w:rsidR="00CA047C" w:rsidRPr="00F959D0" w:rsidRDefault="00CA047C" w:rsidP="00CA7F04">
            <w:pPr>
              <w:jc w:val="right"/>
              <w:rPr>
                <w:rFonts w:ascii="Arial" w:hAnsi="Arial" w:cs="Arial"/>
                <w:sz w:val="17"/>
                <w:szCs w:val="17"/>
              </w:rPr>
            </w:pPr>
            <w:r w:rsidRPr="00F959D0">
              <w:rPr>
                <w:rFonts w:ascii="Arial" w:hAnsi="Arial" w:cs="Arial"/>
                <w:sz w:val="17"/>
                <w:szCs w:val="17"/>
              </w:rPr>
              <w:t xml:space="preserve"> 13 </w:t>
            </w:r>
          </w:p>
        </w:tc>
        <w:tc>
          <w:tcPr>
            <w:tcW w:w="559" w:type="pct"/>
            <w:tcBorders>
              <w:top w:val="nil"/>
              <w:left w:val="nil"/>
              <w:bottom w:val="single" w:sz="8" w:space="0" w:color="auto"/>
              <w:right w:val="nil"/>
            </w:tcBorders>
            <w:shd w:val="clear" w:color="auto" w:fill="auto"/>
            <w:vAlign w:val="bottom"/>
          </w:tcPr>
          <w:p w14:paraId="2BF0AFA4" w14:textId="77777777" w:rsidR="00CA047C" w:rsidRPr="00F959D0" w:rsidRDefault="00CA047C" w:rsidP="00CA7F04">
            <w:pPr>
              <w:jc w:val="right"/>
              <w:rPr>
                <w:rFonts w:ascii="Arial" w:hAnsi="Arial" w:cs="Arial"/>
                <w:sz w:val="17"/>
                <w:szCs w:val="17"/>
              </w:rPr>
            </w:pPr>
            <w:r w:rsidRPr="00F959D0">
              <w:rPr>
                <w:rFonts w:ascii="Arial" w:hAnsi="Arial" w:cs="Arial"/>
                <w:sz w:val="17"/>
                <w:szCs w:val="17"/>
              </w:rPr>
              <w:t xml:space="preserve"> 40 </w:t>
            </w:r>
          </w:p>
        </w:tc>
        <w:tc>
          <w:tcPr>
            <w:tcW w:w="559" w:type="pct"/>
            <w:tcBorders>
              <w:top w:val="nil"/>
              <w:left w:val="nil"/>
              <w:bottom w:val="single" w:sz="8" w:space="0" w:color="auto"/>
              <w:right w:val="nil"/>
            </w:tcBorders>
            <w:shd w:val="clear" w:color="auto" w:fill="auto"/>
            <w:vAlign w:val="bottom"/>
          </w:tcPr>
          <w:p w14:paraId="4B8EF16E" w14:textId="77777777" w:rsidR="00CA047C" w:rsidRPr="00F959D0" w:rsidRDefault="00CA047C" w:rsidP="00CA7F04">
            <w:pPr>
              <w:jc w:val="right"/>
              <w:rPr>
                <w:rFonts w:ascii="Arial" w:hAnsi="Arial" w:cs="Arial"/>
                <w:sz w:val="17"/>
                <w:szCs w:val="17"/>
              </w:rPr>
            </w:pPr>
            <w:r w:rsidRPr="00F959D0">
              <w:rPr>
                <w:rFonts w:ascii="Arial" w:hAnsi="Arial" w:cs="Arial"/>
                <w:sz w:val="17"/>
                <w:szCs w:val="17"/>
              </w:rPr>
              <w:t xml:space="preserve"> 10 </w:t>
            </w:r>
          </w:p>
        </w:tc>
        <w:tc>
          <w:tcPr>
            <w:tcW w:w="622" w:type="pct"/>
            <w:tcBorders>
              <w:top w:val="nil"/>
              <w:left w:val="nil"/>
              <w:bottom w:val="single" w:sz="8" w:space="0" w:color="auto"/>
              <w:right w:val="nil"/>
            </w:tcBorders>
            <w:shd w:val="clear" w:color="auto" w:fill="auto"/>
            <w:vAlign w:val="bottom"/>
          </w:tcPr>
          <w:p w14:paraId="45D0F468" w14:textId="77777777" w:rsidR="00CA047C" w:rsidRPr="00F959D0" w:rsidRDefault="00CA047C"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 xml:space="preserve"> 81 </w:t>
            </w:r>
          </w:p>
        </w:tc>
      </w:tr>
      <w:tr w:rsidR="00CA047C" w:rsidRPr="00C40415" w14:paraId="415C2D3C" w14:textId="77777777" w:rsidTr="00CA7F04">
        <w:trPr>
          <w:trHeight w:val="215"/>
        </w:trPr>
        <w:tc>
          <w:tcPr>
            <w:tcW w:w="1584" w:type="pct"/>
            <w:tcBorders>
              <w:top w:val="nil"/>
              <w:left w:val="nil"/>
              <w:bottom w:val="nil"/>
              <w:right w:val="nil"/>
            </w:tcBorders>
            <w:shd w:val="clear" w:color="auto" w:fill="auto"/>
            <w:vAlign w:val="center"/>
          </w:tcPr>
          <w:p w14:paraId="50DE2D23" w14:textId="77777777" w:rsidR="00CA047C" w:rsidRPr="00C40415" w:rsidRDefault="00CA047C" w:rsidP="00CA7F04">
            <w:pPr>
              <w:tabs>
                <w:tab w:val="right" w:pos="1202"/>
              </w:tabs>
              <w:outlineLvl w:val="0"/>
              <w:rPr>
                <w:rFonts w:ascii="Arial" w:hAnsi="Arial" w:cs="Arial"/>
                <w:b/>
                <w:bCs/>
                <w:color w:val="000000" w:themeColor="text1"/>
                <w:sz w:val="17"/>
                <w:szCs w:val="17"/>
              </w:rPr>
            </w:pPr>
            <w:r w:rsidRPr="00C40415">
              <w:rPr>
                <w:rFonts w:ascii="Arial" w:hAnsi="Arial" w:cs="Arial"/>
                <w:b/>
                <w:bCs/>
                <w:color w:val="000000" w:themeColor="text1"/>
                <w:sz w:val="17"/>
                <w:szCs w:val="17"/>
              </w:rPr>
              <w:t>Ukupne garancije i preuzete obveze</w:t>
            </w:r>
          </w:p>
        </w:tc>
        <w:tc>
          <w:tcPr>
            <w:tcW w:w="559" w:type="pct"/>
            <w:tcBorders>
              <w:top w:val="single" w:sz="8" w:space="0" w:color="auto"/>
              <w:left w:val="nil"/>
              <w:bottom w:val="single" w:sz="12" w:space="0" w:color="auto"/>
              <w:right w:val="nil"/>
            </w:tcBorders>
            <w:shd w:val="clear" w:color="auto" w:fill="auto"/>
            <w:vAlign w:val="bottom"/>
          </w:tcPr>
          <w:p w14:paraId="76767140" w14:textId="77777777" w:rsidR="00CA047C" w:rsidRPr="00F959D0" w:rsidRDefault="00CA047C" w:rsidP="00CA7F04">
            <w:pPr>
              <w:tabs>
                <w:tab w:val="right" w:pos="1202"/>
              </w:tabs>
              <w:spacing w:line="240" w:lineRule="exact"/>
              <w:jc w:val="right"/>
              <w:outlineLvl w:val="0"/>
              <w:rPr>
                <w:rFonts w:ascii="Arial" w:hAnsi="Arial" w:cs="Arial"/>
                <w:b/>
                <w:bCs/>
                <w:sz w:val="17"/>
                <w:szCs w:val="17"/>
              </w:rPr>
            </w:pPr>
            <w:r w:rsidRPr="00F959D0">
              <w:rPr>
                <w:rFonts w:ascii="Arial" w:hAnsi="Arial" w:cs="Arial"/>
                <w:b/>
                <w:bCs/>
                <w:sz w:val="17"/>
                <w:szCs w:val="17"/>
              </w:rPr>
              <w:t>516.155</w:t>
            </w:r>
          </w:p>
        </w:tc>
        <w:tc>
          <w:tcPr>
            <w:tcW w:w="558" w:type="pct"/>
            <w:tcBorders>
              <w:top w:val="single" w:sz="8" w:space="0" w:color="auto"/>
              <w:left w:val="nil"/>
              <w:bottom w:val="single" w:sz="12" w:space="0" w:color="auto"/>
              <w:right w:val="nil"/>
            </w:tcBorders>
            <w:shd w:val="clear" w:color="auto" w:fill="auto"/>
            <w:vAlign w:val="bottom"/>
          </w:tcPr>
          <w:p w14:paraId="38E3A6C7" w14:textId="77777777" w:rsidR="00CA047C" w:rsidRPr="00F959D0" w:rsidRDefault="00CA047C" w:rsidP="00CA7F04">
            <w:pPr>
              <w:spacing w:line="240" w:lineRule="exact"/>
              <w:jc w:val="right"/>
              <w:rPr>
                <w:rFonts w:ascii="Arial" w:hAnsi="Arial" w:cs="Arial"/>
                <w:b/>
                <w:bCs/>
                <w:sz w:val="17"/>
                <w:szCs w:val="17"/>
              </w:rPr>
            </w:pPr>
            <w:r w:rsidRPr="00F959D0">
              <w:rPr>
                <w:rFonts w:ascii="Arial" w:hAnsi="Arial" w:cs="Arial"/>
                <w:b/>
                <w:bCs/>
                <w:sz w:val="17"/>
                <w:szCs w:val="17"/>
              </w:rPr>
              <w:t>1.471</w:t>
            </w:r>
          </w:p>
        </w:tc>
        <w:tc>
          <w:tcPr>
            <w:tcW w:w="559" w:type="pct"/>
            <w:tcBorders>
              <w:top w:val="single" w:sz="8" w:space="0" w:color="auto"/>
              <w:left w:val="nil"/>
              <w:bottom w:val="single" w:sz="12" w:space="0" w:color="auto"/>
              <w:right w:val="nil"/>
            </w:tcBorders>
            <w:shd w:val="clear" w:color="auto" w:fill="auto"/>
            <w:vAlign w:val="bottom"/>
          </w:tcPr>
          <w:p w14:paraId="1081E3F5" w14:textId="77777777" w:rsidR="00CA047C" w:rsidRPr="00F959D0" w:rsidRDefault="00CA047C" w:rsidP="00CA7F04">
            <w:pPr>
              <w:spacing w:line="240" w:lineRule="exact"/>
              <w:jc w:val="right"/>
              <w:rPr>
                <w:rFonts w:ascii="Arial" w:hAnsi="Arial" w:cs="Arial"/>
                <w:b/>
                <w:bCs/>
                <w:sz w:val="17"/>
                <w:szCs w:val="17"/>
              </w:rPr>
            </w:pPr>
            <w:r w:rsidRPr="00F959D0">
              <w:rPr>
                <w:rFonts w:ascii="Arial" w:hAnsi="Arial" w:cs="Arial"/>
                <w:b/>
                <w:bCs/>
                <w:sz w:val="17"/>
                <w:szCs w:val="17"/>
              </w:rPr>
              <w:t>7.417</w:t>
            </w:r>
          </w:p>
        </w:tc>
        <w:tc>
          <w:tcPr>
            <w:tcW w:w="559" w:type="pct"/>
            <w:tcBorders>
              <w:top w:val="single" w:sz="8" w:space="0" w:color="auto"/>
              <w:left w:val="nil"/>
              <w:bottom w:val="single" w:sz="12" w:space="0" w:color="auto"/>
              <w:right w:val="nil"/>
            </w:tcBorders>
            <w:shd w:val="clear" w:color="auto" w:fill="auto"/>
            <w:vAlign w:val="bottom"/>
          </w:tcPr>
          <w:p w14:paraId="6212E24D" w14:textId="77777777" w:rsidR="00CA047C" w:rsidRPr="00F959D0" w:rsidRDefault="00CA047C" w:rsidP="00CA7F04">
            <w:pPr>
              <w:spacing w:line="240" w:lineRule="exact"/>
              <w:jc w:val="right"/>
              <w:rPr>
                <w:rFonts w:ascii="Arial" w:hAnsi="Arial" w:cs="Arial"/>
                <w:b/>
                <w:bCs/>
                <w:sz w:val="17"/>
                <w:szCs w:val="17"/>
              </w:rPr>
            </w:pPr>
            <w:r w:rsidRPr="00F959D0">
              <w:rPr>
                <w:rFonts w:ascii="Arial" w:hAnsi="Arial" w:cs="Arial"/>
                <w:b/>
                <w:bCs/>
                <w:sz w:val="17"/>
                <w:szCs w:val="17"/>
              </w:rPr>
              <w:t>15.840</w:t>
            </w:r>
          </w:p>
        </w:tc>
        <w:tc>
          <w:tcPr>
            <w:tcW w:w="559" w:type="pct"/>
            <w:tcBorders>
              <w:top w:val="single" w:sz="8" w:space="0" w:color="auto"/>
              <w:left w:val="nil"/>
              <w:bottom w:val="single" w:sz="12" w:space="0" w:color="auto"/>
              <w:right w:val="nil"/>
            </w:tcBorders>
            <w:shd w:val="clear" w:color="auto" w:fill="auto"/>
            <w:vAlign w:val="bottom"/>
          </w:tcPr>
          <w:p w14:paraId="09809BF0" w14:textId="77777777" w:rsidR="00CA047C" w:rsidRPr="00F959D0" w:rsidRDefault="00CA047C" w:rsidP="00CA7F04">
            <w:pPr>
              <w:spacing w:line="240" w:lineRule="exact"/>
              <w:jc w:val="right"/>
              <w:rPr>
                <w:rFonts w:ascii="Arial" w:hAnsi="Arial" w:cs="Arial"/>
                <w:b/>
                <w:bCs/>
                <w:sz w:val="17"/>
                <w:szCs w:val="17"/>
              </w:rPr>
            </w:pPr>
            <w:r w:rsidRPr="00F959D0">
              <w:rPr>
                <w:rFonts w:ascii="Arial" w:hAnsi="Arial" w:cs="Arial"/>
                <w:b/>
                <w:bCs/>
                <w:sz w:val="17"/>
                <w:szCs w:val="17"/>
              </w:rPr>
              <w:t>6.670</w:t>
            </w:r>
          </w:p>
        </w:tc>
        <w:tc>
          <w:tcPr>
            <w:tcW w:w="622" w:type="pct"/>
            <w:tcBorders>
              <w:top w:val="single" w:sz="8" w:space="0" w:color="auto"/>
              <w:left w:val="nil"/>
              <w:bottom w:val="single" w:sz="12" w:space="0" w:color="auto"/>
              <w:right w:val="nil"/>
            </w:tcBorders>
            <w:shd w:val="clear" w:color="auto" w:fill="auto"/>
            <w:vAlign w:val="bottom"/>
          </w:tcPr>
          <w:p w14:paraId="25EAF23F" w14:textId="77777777" w:rsidR="00CA047C" w:rsidRPr="00F959D0" w:rsidRDefault="00CA047C" w:rsidP="00CA7F04">
            <w:pPr>
              <w:tabs>
                <w:tab w:val="right" w:pos="1202"/>
              </w:tabs>
              <w:spacing w:line="240" w:lineRule="exact"/>
              <w:jc w:val="right"/>
              <w:outlineLvl w:val="0"/>
              <w:rPr>
                <w:rFonts w:ascii="Arial" w:hAnsi="Arial" w:cs="Arial"/>
                <w:b/>
                <w:bCs/>
                <w:sz w:val="17"/>
                <w:szCs w:val="17"/>
              </w:rPr>
            </w:pPr>
            <w:r w:rsidRPr="00F959D0">
              <w:rPr>
                <w:rFonts w:ascii="Arial" w:hAnsi="Arial" w:cs="Arial"/>
                <w:b/>
                <w:bCs/>
                <w:sz w:val="17"/>
                <w:szCs w:val="17"/>
              </w:rPr>
              <w:t>547.553</w:t>
            </w:r>
          </w:p>
        </w:tc>
      </w:tr>
    </w:tbl>
    <w:p w14:paraId="56D97BFE" w14:textId="40094C26" w:rsidR="000C7E59" w:rsidRPr="003D1614" w:rsidRDefault="000C7E59" w:rsidP="00661446">
      <w:pPr>
        <w:suppressAutoHyphens/>
        <w:autoSpaceDN w:val="0"/>
        <w:jc w:val="both"/>
        <w:rPr>
          <w:rFonts w:ascii="Arial" w:eastAsia="Times New Roman" w:hAnsi="Arial" w:cs="Arial"/>
          <w:bCs/>
          <w:i/>
          <w:color w:val="000000" w:themeColor="text1"/>
          <w:sz w:val="18"/>
          <w:szCs w:val="18"/>
        </w:rPr>
      </w:pPr>
    </w:p>
    <w:p w14:paraId="073DB587" w14:textId="77777777" w:rsidR="000C7E59" w:rsidRPr="003D1614" w:rsidRDefault="000C7E59" w:rsidP="00661446">
      <w:pPr>
        <w:suppressAutoHyphens/>
        <w:autoSpaceDN w:val="0"/>
        <w:jc w:val="both"/>
        <w:rPr>
          <w:rFonts w:ascii="Arial" w:eastAsia="Times New Roman" w:hAnsi="Arial" w:cs="Arial"/>
          <w:bCs/>
          <w:i/>
          <w:color w:val="000000" w:themeColor="text1"/>
          <w:sz w:val="18"/>
          <w:szCs w:val="18"/>
        </w:rPr>
        <w:sectPr w:rsidR="000C7E59" w:rsidRPr="003D1614" w:rsidSect="003278AB">
          <w:pgSz w:w="11906" w:h="16838"/>
          <w:pgMar w:top="1417" w:right="1417" w:bottom="1417" w:left="1417" w:header="708" w:footer="708" w:gutter="0"/>
          <w:cols w:space="708"/>
          <w:docGrid w:linePitch="360"/>
        </w:sectPr>
      </w:pPr>
    </w:p>
    <w:p w14:paraId="17BFEFDF" w14:textId="77777777"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p>
    <w:p w14:paraId="396202F2" w14:textId="16C8183D"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w:t>
      </w:r>
      <w:r w:rsidRPr="003D1614">
        <w:rPr>
          <w:rFonts w:ascii="Arial" w:eastAsia="Times New Roman" w:hAnsi="Arial" w:cs="Arial"/>
          <w:b/>
          <w:bCs/>
          <w:color w:val="000000" w:themeColor="text1"/>
          <w:sz w:val="20"/>
          <w:szCs w:val="20"/>
        </w:rPr>
        <w:tab/>
        <w:t>Upravljanje rizicima (nastavak)</w:t>
      </w:r>
    </w:p>
    <w:p w14:paraId="0017DBF4" w14:textId="77777777"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p>
    <w:p w14:paraId="2E5DD18B" w14:textId="384969ED"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xml:space="preserve">.4. </w:t>
      </w:r>
      <w:r w:rsidRPr="003D1614">
        <w:rPr>
          <w:rFonts w:ascii="Arial" w:eastAsia="Times New Roman" w:hAnsi="Arial" w:cs="Arial"/>
          <w:b/>
          <w:bCs/>
          <w:color w:val="000000" w:themeColor="text1"/>
          <w:sz w:val="20"/>
          <w:szCs w:val="20"/>
        </w:rPr>
        <w:tab/>
        <w:t>Rizik likvidnosti (nastavak)</w:t>
      </w:r>
    </w:p>
    <w:p w14:paraId="603C9A49" w14:textId="77777777" w:rsidR="000C7E59" w:rsidRPr="003D1614" w:rsidRDefault="000C7E59" w:rsidP="000C7E59">
      <w:pPr>
        <w:keepNext/>
        <w:suppressAutoHyphens/>
        <w:autoSpaceDN w:val="0"/>
        <w:jc w:val="both"/>
        <w:outlineLvl w:val="0"/>
        <w:rPr>
          <w:rFonts w:ascii="Arial" w:eastAsia="Times New Roman" w:hAnsi="Arial" w:cs="Arial"/>
          <w:bCs/>
          <w:color w:val="000000" w:themeColor="text1"/>
          <w:sz w:val="20"/>
          <w:szCs w:val="20"/>
        </w:rPr>
      </w:pPr>
    </w:p>
    <w:p w14:paraId="0FF7D35D" w14:textId="77777777" w:rsidR="000C7E59" w:rsidRPr="003D1614" w:rsidRDefault="000C7E59" w:rsidP="000C7E59">
      <w:pPr>
        <w:keepNext/>
        <w:suppressAutoHyphens/>
        <w:autoSpaceDN w:val="0"/>
        <w:jc w:val="both"/>
        <w:outlineLvl w:val="0"/>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Tabela u nastavku prikazuje preostalo ugovorno dospijeće financijskih obveza dok su garancije i preuzete obveza Banke prikazane u kategoriji do 1 mjesec obzirom na mogućnost prijevremenog poziva na izvršenje obveze (</w:t>
      </w:r>
      <w:proofErr w:type="spellStart"/>
      <w:r w:rsidRPr="003D1614">
        <w:rPr>
          <w:rFonts w:ascii="Arial" w:eastAsia="Times New Roman" w:hAnsi="Arial" w:cs="Arial"/>
          <w:bCs/>
          <w:color w:val="000000" w:themeColor="text1"/>
          <w:sz w:val="20"/>
          <w:szCs w:val="20"/>
        </w:rPr>
        <w:t>nediskontirani</w:t>
      </w:r>
      <w:proofErr w:type="spellEnd"/>
      <w:r w:rsidRPr="003D1614">
        <w:rPr>
          <w:rFonts w:ascii="Arial" w:eastAsia="Times New Roman" w:hAnsi="Arial" w:cs="Arial"/>
          <w:bCs/>
          <w:color w:val="000000" w:themeColor="text1"/>
          <w:sz w:val="20"/>
          <w:szCs w:val="20"/>
        </w:rPr>
        <w:t xml:space="preserve"> iznosi):</w:t>
      </w:r>
    </w:p>
    <w:p w14:paraId="31745F64" w14:textId="77777777" w:rsidR="000C7E59" w:rsidRPr="003D1614" w:rsidRDefault="000C7E59" w:rsidP="000C7E59">
      <w:pPr>
        <w:keepNext/>
        <w:suppressAutoHyphens/>
        <w:autoSpaceDN w:val="0"/>
        <w:jc w:val="both"/>
        <w:outlineLvl w:val="0"/>
        <w:rPr>
          <w:rFonts w:ascii="Arial" w:eastAsia="Times New Roman" w:hAnsi="Arial" w:cs="Arial"/>
          <w:bCs/>
          <w:color w:val="000000" w:themeColor="text1"/>
          <w:sz w:val="20"/>
          <w:szCs w:val="20"/>
        </w:rPr>
      </w:pPr>
    </w:p>
    <w:tbl>
      <w:tblPr>
        <w:tblW w:w="5393" w:type="pct"/>
        <w:tblInd w:w="-499" w:type="dxa"/>
        <w:tblLayout w:type="fixed"/>
        <w:tblCellMar>
          <w:left w:w="120" w:type="dxa"/>
          <w:right w:w="120" w:type="dxa"/>
        </w:tblCellMar>
        <w:tblLook w:val="0000" w:firstRow="0" w:lastRow="0" w:firstColumn="0" w:lastColumn="0" w:noHBand="0" w:noVBand="0"/>
      </w:tblPr>
      <w:tblGrid>
        <w:gridCol w:w="3126"/>
        <w:gridCol w:w="1090"/>
        <w:gridCol w:w="1090"/>
        <w:gridCol w:w="1088"/>
        <w:gridCol w:w="1088"/>
        <w:gridCol w:w="1088"/>
        <w:gridCol w:w="1215"/>
      </w:tblGrid>
      <w:tr w:rsidR="000C7E59" w:rsidRPr="003D1614" w14:paraId="2E3E9D75" w14:textId="77777777" w:rsidTr="00AD0393">
        <w:trPr>
          <w:trHeight w:val="485"/>
        </w:trPr>
        <w:tc>
          <w:tcPr>
            <w:tcW w:w="1597" w:type="pct"/>
          </w:tcPr>
          <w:p w14:paraId="587C598A" w14:textId="77777777" w:rsidR="000C7E59" w:rsidRPr="003D1614" w:rsidRDefault="000C7E59" w:rsidP="000C7E59">
            <w:pPr>
              <w:tabs>
                <w:tab w:val="right" w:pos="1202"/>
              </w:tabs>
              <w:suppressAutoHyphens/>
              <w:autoSpaceDN w:val="0"/>
              <w:spacing w:line="240" w:lineRule="atLeast"/>
              <w:outlineLvl w:val="0"/>
              <w:rPr>
                <w:rFonts w:ascii="Arial" w:eastAsia="Times New Roman" w:hAnsi="Arial" w:cs="Arial"/>
                <w:b/>
                <w:color w:val="000000" w:themeColor="text1"/>
                <w:sz w:val="17"/>
                <w:szCs w:val="17"/>
              </w:rPr>
            </w:pPr>
            <w:bookmarkStart w:id="874" w:name="_Toc67330429"/>
            <w:r w:rsidRPr="003D1614">
              <w:rPr>
                <w:rFonts w:ascii="Arial" w:eastAsia="Times New Roman" w:hAnsi="Arial" w:cs="Arial"/>
                <w:b/>
                <w:color w:val="000000" w:themeColor="text1"/>
                <w:sz w:val="17"/>
                <w:szCs w:val="17"/>
              </w:rPr>
              <w:t>Banka</w:t>
            </w:r>
            <w:bookmarkEnd w:id="874"/>
          </w:p>
          <w:p w14:paraId="3583F7A6" w14:textId="02E82C34" w:rsidR="000C7E59" w:rsidRPr="003D1614" w:rsidRDefault="000C7E59" w:rsidP="000C7E59">
            <w:pPr>
              <w:tabs>
                <w:tab w:val="right" w:pos="1202"/>
              </w:tabs>
              <w:suppressAutoHyphens/>
              <w:autoSpaceDN w:val="0"/>
              <w:spacing w:line="240" w:lineRule="atLeast"/>
              <w:outlineLvl w:val="0"/>
              <w:rPr>
                <w:rFonts w:ascii="Arial" w:eastAsia="Times New Roman" w:hAnsi="Arial" w:cs="Arial"/>
                <w:b/>
                <w:color w:val="000000" w:themeColor="text1"/>
                <w:sz w:val="17"/>
                <w:szCs w:val="17"/>
              </w:rPr>
            </w:pPr>
            <w:bookmarkStart w:id="875" w:name="_Toc67330430"/>
            <w:r w:rsidRPr="003D1614">
              <w:rPr>
                <w:rFonts w:ascii="Arial" w:eastAsia="Times New Roman" w:hAnsi="Arial" w:cs="Arial"/>
                <w:b/>
                <w:color w:val="000000" w:themeColor="text1"/>
                <w:sz w:val="17"/>
                <w:szCs w:val="17"/>
              </w:rPr>
              <w:t>31. ožujka 202</w:t>
            </w:r>
            <w:r w:rsidR="00CA047C">
              <w:rPr>
                <w:rFonts w:ascii="Arial" w:eastAsia="Times New Roman" w:hAnsi="Arial" w:cs="Arial"/>
                <w:b/>
                <w:color w:val="000000" w:themeColor="text1"/>
                <w:sz w:val="17"/>
                <w:szCs w:val="17"/>
              </w:rPr>
              <w:t>4</w:t>
            </w:r>
            <w:r w:rsidRPr="003D1614">
              <w:rPr>
                <w:rFonts w:ascii="Arial" w:eastAsia="Times New Roman" w:hAnsi="Arial" w:cs="Arial"/>
                <w:b/>
                <w:color w:val="000000" w:themeColor="text1"/>
                <w:sz w:val="17"/>
                <w:szCs w:val="17"/>
              </w:rPr>
              <w:t>.</w:t>
            </w:r>
            <w:bookmarkEnd w:id="875"/>
            <w:r w:rsidRPr="003D1614">
              <w:rPr>
                <w:rFonts w:ascii="Arial" w:eastAsia="Times New Roman" w:hAnsi="Arial" w:cs="Arial"/>
                <w:b/>
                <w:color w:val="000000" w:themeColor="text1"/>
                <w:sz w:val="17"/>
                <w:szCs w:val="17"/>
              </w:rPr>
              <w:t xml:space="preserve"> </w:t>
            </w:r>
          </w:p>
        </w:tc>
        <w:tc>
          <w:tcPr>
            <w:tcW w:w="557" w:type="pct"/>
          </w:tcPr>
          <w:p w14:paraId="22C06017" w14:textId="77777777" w:rsidR="000C7E59" w:rsidRPr="003D1614" w:rsidRDefault="000C7E59" w:rsidP="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876" w:name="_Toc67330431"/>
            <w:r w:rsidRPr="003D1614">
              <w:rPr>
                <w:rFonts w:ascii="Arial" w:eastAsia="Times New Roman" w:hAnsi="Arial" w:cs="Arial"/>
                <w:b/>
                <w:color w:val="000000" w:themeColor="text1"/>
                <w:sz w:val="17"/>
                <w:szCs w:val="17"/>
              </w:rPr>
              <w:t>Do 1 mjesec</w:t>
            </w:r>
            <w:bookmarkEnd w:id="876"/>
          </w:p>
        </w:tc>
        <w:tc>
          <w:tcPr>
            <w:tcW w:w="557" w:type="pct"/>
          </w:tcPr>
          <w:p w14:paraId="49332274" w14:textId="77777777" w:rsidR="000C7E59" w:rsidRPr="003D1614" w:rsidRDefault="000C7E59" w:rsidP="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877" w:name="_Toc67330432"/>
            <w:r w:rsidRPr="003D1614">
              <w:rPr>
                <w:rFonts w:ascii="Arial" w:eastAsia="Times New Roman" w:hAnsi="Arial" w:cs="Arial"/>
                <w:b/>
                <w:color w:val="000000" w:themeColor="text1"/>
                <w:sz w:val="17"/>
                <w:szCs w:val="17"/>
              </w:rPr>
              <w:t>1 do 3 mjeseca</w:t>
            </w:r>
            <w:bookmarkEnd w:id="877"/>
          </w:p>
        </w:tc>
        <w:tc>
          <w:tcPr>
            <w:tcW w:w="556" w:type="pct"/>
          </w:tcPr>
          <w:p w14:paraId="49BD9CA6" w14:textId="77777777" w:rsidR="000C7E59" w:rsidRPr="003D1614" w:rsidRDefault="000C7E59" w:rsidP="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878" w:name="_Toc67330433"/>
            <w:r w:rsidRPr="003D1614">
              <w:rPr>
                <w:rFonts w:ascii="Arial" w:eastAsia="Times New Roman" w:hAnsi="Arial" w:cs="Arial"/>
                <w:b/>
                <w:color w:val="000000" w:themeColor="text1"/>
                <w:sz w:val="17"/>
                <w:szCs w:val="17"/>
              </w:rPr>
              <w:t>3 mj. do 1 godine</w:t>
            </w:r>
            <w:bookmarkEnd w:id="878"/>
          </w:p>
        </w:tc>
        <w:tc>
          <w:tcPr>
            <w:tcW w:w="556" w:type="pct"/>
          </w:tcPr>
          <w:p w14:paraId="0A2F6459" w14:textId="77777777" w:rsidR="000C7E59" w:rsidRPr="003D1614" w:rsidRDefault="000C7E59" w:rsidP="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879" w:name="_Toc67330434"/>
            <w:r w:rsidRPr="003D1614">
              <w:rPr>
                <w:rFonts w:ascii="Arial" w:eastAsia="Times New Roman" w:hAnsi="Arial" w:cs="Arial"/>
                <w:b/>
                <w:color w:val="000000" w:themeColor="text1"/>
                <w:sz w:val="17"/>
                <w:szCs w:val="17"/>
              </w:rPr>
              <w:t>1 do 3 godina</w:t>
            </w:r>
            <w:bookmarkEnd w:id="879"/>
          </w:p>
        </w:tc>
        <w:tc>
          <w:tcPr>
            <w:tcW w:w="556" w:type="pct"/>
          </w:tcPr>
          <w:p w14:paraId="57296E37" w14:textId="77777777" w:rsidR="000C7E59" w:rsidRPr="003D1614" w:rsidRDefault="000C7E59" w:rsidP="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880" w:name="_Toc67330435"/>
            <w:r w:rsidRPr="003D1614">
              <w:rPr>
                <w:rFonts w:ascii="Arial" w:eastAsia="Times New Roman" w:hAnsi="Arial" w:cs="Arial"/>
                <w:b/>
                <w:color w:val="000000" w:themeColor="text1"/>
                <w:sz w:val="17"/>
                <w:szCs w:val="17"/>
              </w:rPr>
              <w:t>Preko 3 godine</w:t>
            </w:r>
            <w:bookmarkEnd w:id="880"/>
          </w:p>
        </w:tc>
        <w:tc>
          <w:tcPr>
            <w:tcW w:w="621" w:type="pct"/>
          </w:tcPr>
          <w:p w14:paraId="6B76238C" w14:textId="77777777" w:rsidR="000C7E59" w:rsidRPr="003D1614" w:rsidRDefault="000C7E59" w:rsidP="000C7E59">
            <w:pPr>
              <w:tabs>
                <w:tab w:val="right" w:pos="1202"/>
              </w:tabs>
              <w:suppressAutoHyphens/>
              <w:autoSpaceDN w:val="0"/>
              <w:spacing w:line="240" w:lineRule="atLeast"/>
              <w:jc w:val="right"/>
              <w:outlineLvl w:val="0"/>
              <w:rPr>
                <w:rFonts w:ascii="Arial" w:eastAsia="Times New Roman" w:hAnsi="Arial" w:cs="Arial"/>
                <w:b/>
                <w:color w:val="000000" w:themeColor="text1"/>
                <w:sz w:val="17"/>
                <w:szCs w:val="17"/>
              </w:rPr>
            </w:pPr>
            <w:bookmarkStart w:id="881" w:name="_Toc67330436"/>
            <w:r w:rsidRPr="003D1614">
              <w:rPr>
                <w:rFonts w:ascii="Arial" w:eastAsia="Times New Roman" w:hAnsi="Arial" w:cs="Arial"/>
                <w:b/>
                <w:color w:val="000000" w:themeColor="text1"/>
                <w:sz w:val="17"/>
                <w:szCs w:val="17"/>
              </w:rPr>
              <w:t>Ukupno</w:t>
            </w:r>
            <w:bookmarkEnd w:id="881"/>
          </w:p>
        </w:tc>
      </w:tr>
      <w:tr w:rsidR="000C7E59" w:rsidRPr="003D1614" w14:paraId="157B6616" w14:textId="77777777" w:rsidTr="00AD0393">
        <w:trPr>
          <w:trHeight w:val="242"/>
        </w:trPr>
        <w:tc>
          <w:tcPr>
            <w:tcW w:w="1597" w:type="pct"/>
            <w:vAlign w:val="bottom"/>
          </w:tcPr>
          <w:p w14:paraId="332B650D" w14:textId="77777777" w:rsidR="000C7E59" w:rsidRPr="003D1614" w:rsidRDefault="000C7E59" w:rsidP="000C7E59">
            <w:pPr>
              <w:tabs>
                <w:tab w:val="left" w:pos="-720"/>
              </w:tabs>
              <w:suppressAutoHyphens/>
              <w:autoSpaceDN w:val="0"/>
              <w:jc w:val="center"/>
              <w:rPr>
                <w:rFonts w:ascii="Arial" w:eastAsia="Times New Roman" w:hAnsi="Arial" w:cs="Arial"/>
                <w:b/>
                <w:color w:val="000000" w:themeColor="text1"/>
                <w:spacing w:val="-2"/>
                <w:sz w:val="17"/>
                <w:szCs w:val="17"/>
              </w:rPr>
            </w:pPr>
          </w:p>
        </w:tc>
        <w:tc>
          <w:tcPr>
            <w:tcW w:w="557" w:type="pct"/>
          </w:tcPr>
          <w:p w14:paraId="22D06B82" w14:textId="6440B3B8"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882" w:name="_Toc67330437"/>
            <w:r w:rsidRPr="003D1614">
              <w:rPr>
                <w:rFonts w:ascii="Arial" w:eastAsia="Times New Roman" w:hAnsi="Arial" w:cs="Arial"/>
                <w:b/>
                <w:color w:val="000000" w:themeColor="text1"/>
                <w:sz w:val="17"/>
                <w:szCs w:val="17"/>
              </w:rPr>
              <w:t>000 eura</w:t>
            </w:r>
            <w:bookmarkEnd w:id="882"/>
          </w:p>
        </w:tc>
        <w:tc>
          <w:tcPr>
            <w:tcW w:w="557" w:type="pct"/>
          </w:tcPr>
          <w:p w14:paraId="30B90E27" w14:textId="28EAA57D"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883" w:name="_Toc67330438"/>
            <w:r w:rsidRPr="003D1614">
              <w:rPr>
                <w:rFonts w:ascii="Arial" w:eastAsia="Times New Roman" w:hAnsi="Arial" w:cs="Arial"/>
                <w:b/>
                <w:color w:val="000000" w:themeColor="text1"/>
                <w:sz w:val="17"/>
                <w:szCs w:val="17"/>
              </w:rPr>
              <w:t>000 eura</w:t>
            </w:r>
            <w:bookmarkEnd w:id="883"/>
          </w:p>
        </w:tc>
        <w:tc>
          <w:tcPr>
            <w:tcW w:w="556" w:type="pct"/>
          </w:tcPr>
          <w:p w14:paraId="4660C349" w14:textId="68CAC46E"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884" w:name="_Toc67330439"/>
            <w:r w:rsidRPr="003D1614">
              <w:rPr>
                <w:rFonts w:ascii="Arial" w:eastAsia="Times New Roman" w:hAnsi="Arial" w:cs="Arial"/>
                <w:b/>
                <w:color w:val="000000" w:themeColor="text1"/>
                <w:sz w:val="17"/>
                <w:szCs w:val="17"/>
              </w:rPr>
              <w:t>000 eura</w:t>
            </w:r>
            <w:bookmarkEnd w:id="884"/>
          </w:p>
        </w:tc>
        <w:tc>
          <w:tcPr>
            <w:tcW w:w="556" w:type="pct"/>
          </w:tcPr>
          <w:p w14:paraId="0930AE8D" w14:textId="3539A3D5"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885" w:name="_Toc67330440"/>
            <w:r w:rsidRPr="003D1614">
              <w:rPr>
                <w:rFonts w:ascii="Arial" w:eastAsia="Times New Roman" w:hAnsi="Arial" w:cs="Arial"/>
                <w:b/>
                <w:color w:val="000000" w:themeColor="text1"/>
                <w:sz w:val="17"/>
                <w:szCs w:val="17"/>
              </w:rPr>
              <w:t>000 eura</w:t>
            </w:r>
            <w:bookmarkEnd w:id="885"/>
          </w:p>
        </w:tc>
        <w:tc>
          <w:tcPr>
            <w:tcW w:w="556" w:type="pct"/>
          </w:tcPr>
          <w:p w14:paraId="2BA50155" w14:textId="6F91E4CE"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886" w:name="_Toc67330441"/>
            <w:r w:rsidRPr="003D1614">
              <w:rPr>
                <w:rFonts w:ascii="Arial" w:eastAsia="Times New Roman" w:hAnsi="Arial" w:cs="Arial"/>
                <w:b/>
                <w:color w:val="000000" w:themeColor="text1"/>
                <w:sz w:val="17"/>
                <w:szCs w:val="17"/>
              </w:rPr>
              <w:t>000 eura</w:t>
            </w:r>
            <w:bookmarkEnd w:id="886"/>
          </w:p>
        </w:tc>
        <w:tc>
          <w:tcPr>
            <w:tcW w:w="621" w:type="pct"/>
          </w:tcPr>
          <w:p w14:paraId="7430F6DD" w14:textId="773EAB33" w:rsidR="000C7E59" w:rsidRPr="003D1614" w:rsidRDefault="000C7E59" w:rsidP="000C7E59">
            <w:pPr>
              <w:tabs>
                <w:tab w:val="right" w:pos="1202"/>
                <w:tab w:val="center" w:pos="4153"/>
                <w:tab w:val="right" w:pos="8306"/>
              </w:tabs>
              <w:suppressAutoHyphens/>
              <w:autoSpaceDN w:val="0"/>
              <w:spacing w:line="301" w:lineRule="exact"/>
              <w:jc w:val="right"/>
              <w:outlineLvl w:val="0"/>
              <w:rPr>
                <w:rFonts w:ascii="Arial" w:eastAsia="Times New Roman" w:hAnsi="Arial" w:cs="Arial"/>
                <w:b/>
                <w:color w:val="000000" w:themeColor="text1"/>
                <w:sz w:val="17"/>
                <w:szCs w:val="17"/>
              </w:rPr>
            </w:pPr>
            <w:bookmarkStart w:id="887" w:name="_Toc67330442"/>
            <w:r w:rsidRPr="003D1614">
              <w:rPr>
                <w:rFonts w:ascii="Arial" w:eastAsia="Times New Roman" w:hAnsi="Arial" w:cs="Arial"/>
                <w:b/>
                <w:color w:val="000000" w:themeColor="text1"/>
                <w:sz w:val="17"/>
                <w:szCs w:val="17"/>
              </w:rPr>
              <w:t>000 eura</w:t>
            </w:r>
            <w:bookmarkEnd w:id="887"/>
          </w:p>
        </w:tc>
      </w:tr>
      <w:tr w:rsidR="000C7E59" w:rsidRPr="003D1614" w14:paraId="17B2217D" w14:textId="77777777" w:rsidTr="00AD0393">
        <w:trPr>
          <w:trHeight w:hRule="exact" w:val="211"/>
        </w:trPr>
        <w:tc>
          <w:tcPr>
            <w:tcW w:w="1597" w:type="pct"/>
            <w:vAlign w:val="bottom"/>
          </w:tcPr>
          <w:p w14:paraId="3A081FC0" w14:textId="77777777" w:rsidR="000C7E59" w:rsidRPr="003D1614" w:rsidRDefault="000C7E59" w:rsidP="000C7E59">
            <w:pPr>
              <w:tabs>
                <w:tab w:val="right" w:pos="1202"/>
              </w:tabs>
              <w:suppressAutoHyphens/>
              <w:autoSpaceDN w:val="0"/>
              <w:outlineLvl w:val="0"/>
              <w:rPr>
                <w:rFonts w:ascii="Arial" w:eastAsia="Times New Roman" w:hAnsi="Arial" w:cs="Arial"/>
                <w:b/>
                <w:bCs/>
                <w:color w:val="000000" w:themeColor="text1"/>
                <w:sz w:val="17"/>
                <w:szCs w:val="17"/>
              </w:rPr>
            </w:pPr>
            <w:bookmarkStart w:id="888" w:name="_Toc67330443"/>
            <w:r w:rsidRPr="003D1614">
              <w:rPr>
                <w:rFonts w:ascii="Arial" w:eastAsia="Times New Roman" w:hAnsi="Arial" w:cs="Arial"/>
                <w:b/>
                <w:bCs/>
                <w:color w:val="000000" w:themeColor="text1"/>
                <w:sz w:val="17"/>
                <w:szCs w:val="17"/>
              </w:rPr>
              <w:t>Financijske obveze</w:t>
            </w:r>
            <w:bookmarkEnd w:id="888"/>
          </w:p>
        </w:tc>
        <w:tc>
          <w:tcPr>
            <w:tcW w:w="557" w:type="pct"/>
          </w:tcPr>
          <w:p w14:paraId="64B6E6B5" w14:textId="77777777" w:rsidR="000C7E59" w:rsidRPr="003D1614" w:rsidRDefault="000C7E59" w:rsidP="000C7E59">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557" w:type="pct"/>
          </w:tcPr>
          <w:p w14:paraId="57BDA56A" w14:textId="77777777" w:rsidR="000C7E59" w:rsidRPr="003D1614" w:rsidRDefault="000C7E59" w:rsidP="000C7E59">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556" w:type="pct"/>
          </w:tcPr>
          <w:p w14:paraId="217FB06C" w14:textId="77777777" w:rsidR="000C7E59" w:rsidRPr="003D1614" w:rsidRDefault="000C7E59" w:rsidP="000C7E59">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556" w:type="pct"/>
          </w:tcPr>
          <w:p w14:paraId="3A9FDBB4" w14:textId="77777777" w:rsidR="000C7E59" w:rsidRPr="003D1614" w:rsidRDefault="000C7E59" w:rsidP="000C7E59">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556" w:type="pct"/>
          </w:tcPr>
          <w:p w14:paraId="21BC5246" w14:textId="77777777" w:rsidR="000C7E59" w:rsidRPr="003D1614" w:rsidRDefault="000C7E59" w:rsidP="000C7E59">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c>
          <w:tcPr>
            <w:tcW w:w="621" w:type="pct"/>
          </w:tcPr>
          <w:p w14:paraId="50ACFEA7" w14:textId="77777777" w:rsidR="000C7E59" w:rsidRPr="003D1614" w:rsidRDefault="000C7E59" w:rsidP="000C7E59">
            <w:pPr>
              <w:tabs>
                <w:tab w:val="right" w:pos="1202"/>
                <w:tab w:val="center" w:pos="4153"/>
                <w:tab w:val="right" w:pos="8306"/>
              </w:tabs>
              <w:suppressAutoHyphens/>
              <w:autoSpaceDN w:val="0"/>
              <w:jc w:val="right"/>
              <w:outlineLvl w:val="0"/>
              <w:rPr>
                <w:rFonts w:ascii="Arial" w:eastAsia="Times New Roman" w:hAnsi="Arial" w:cs="Arial"/>
                <w:color w:val="000000" w:themeColor="text1"/>
                <w:sz w:val="17"/>
                <w:szCs w:val="17"/>
              </w:rPr>
            </w:pPr>
          </w:p>
        </w:tc>
      </w:tr>
      <w:tr w:rsidR="00E056B2" w:rsidRPr="003D1614" w14:paraId="667487BA" w14:textId="77777777" w:rsidTr="009A5998">
        <w:trPr>
          <w:trHeight w:hRule="exact" w:val="211"/>
        </w:trPr>
        <w:tc>
          <w:tcPr>
            <w:tcW w:w="1597" w:type="pct"/>
            <w:vAlign w:val="bottom"/>
          </w:tcPr>
          <w:p w14:paraId="27BB8391" w14:textId="77777777" w:rsidR="00E056B2" w:rsidRPr="003D1614" w:rsidRDefault="00E056B2" w:rsidP="00E056B2">
            <w:pPr>
              <w:tabs>
                <w:tab w:val="right" w:pos="1202"/>
              </w:tabs>
              <w:suppressAutoHyphens/>
              <w:autoSpaceDN w:val="0"/>
              <w:outlineLvl w:val="0"/>
              <w:rPr>
                <w:rFonts w:ascii="Arial" w:eastAsia="Times New Roman" w:hAnsi="Arial" w:cs="Arial"/>
                <w:color w:val="000000" w:themeColor="text1"/>
                <w:sz w:val="17"/>
                <w:szCs w:val="17"/>
              </w:rPr>
            </w:pPr>
            <w:bookmarkStart w:id="889" w:name="_Toc67330444"/>
            <w:r w:rsidRPr="003D1614">
              <w:rPr>
                <w:rFonts w:ascii="Arial" w:eastAsia="Times New Roman" w:hAnsi="Arial" w:cs="Arial"/>
                <w:color w:val="000000" w:themeColor="text1"/>
                <w:spacing w:val="-2"/>
                <w:sz w:val="17"/>
                <w:szCs w:val="17"/>
              </w:rPr>
              <w:t>Obveze po depozitima</w:t>
            </w:r>
            <w:bookmarkEnd w:id="889"/>
          </w:p>
        </w:tc>
        <w:tc>
          <w:tcPr>
            <w:tcW w:w="557" w:type="pct"/>
            <w:tcBorders>
              <w:top w:val="nil"/>
              <w:left w:val="nil"/>
              <w:bottom w:val="nil"/>
              <w:right w:val="nil"/>
            </w:tcBorders>
            <w:shd w:val="clear" w:color="auto" w:fill="auto"/>
            <w:vAlign w:val="bottom"/>
          </w:tcPr>
          <w:p w14:paraId="5FB30C45" w14:textId="7A3E1E1E" w:rsidR="00E056B2" w:rsidRPr="009A5998" w:rsidRDefault="00E056B2" w:rsidP="00E056B2">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137.921</w:t>
            </w:r>
          </w:p>
        </w:tc>
        <w:tc>
          <w:tcPr>
            <w:tcW w:w="557" w:type="pct"/>
            <w:tcBorders>
              <w:top w:val="nil"/>
              <w:left w:val="nil"/>
              <w:bottom w:val="nil"/>
              <w:right w:val="nil"/>
            </w:tcBorders>
            <w:shd w:val="clear" w:color="auto" w:fill="auto"/>
            <w:vAlign w:val="bottom"/>
          </w:tcPr>
          <w:p w14:paraId="72EA8E8D" w14:textId="3C165FB5" w:rsidR="00E056B2" w:rsidRPr="009A5998" w:rsidRDefault="00E056B2" w:rsidP="00E056B2">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82</w:t>
            </w:r>
          </w:p>
        </w:tc>
        <w:tc>
          <w:tcPr>
            <w:tcW w:w="556" w:type="pct"/>
            <w:tcBorders>
              <w:top w:val="nil"/>
              <w:left w:val="nil"/>
              <w:bottom w:val="nil"/>
              <w:right w:val="nil"/>
            </w:tcBorders>
            <w:shd w:val="clear" w:color="auto" w:fill="auto"/>
            <w:vAlign w:val="bottom"/>
          </w:tcPr>
          <w:p w14:paraId="2B6BAF1C" w14:textId="41627181" w:rsidR="00E056B2" w:rsidRPr="009A5998" w:rsidRDefault="00E056B2" w:rsidP="00E056B2">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28.645</w:t>
            </w:r>
          </w:p>
        </w:tc>
        <w:tc>
          <w:tcPr>
            <w:tcW w:w="556" w:type="pct"/>
            <w:tcBorders>
              <w:top w:val="nil"/>
              <w:left w:val="nil"/>
              <w:bottom w:val="nil"/>
              <w:right w:val="nil"/>
            </w:tcBorders>
            <w:shd w:val="clear" w:color="auto" w:fill="auto"/>
            <w:vAlign w:val="bottom"/>
          </w:tcPr>
          <w:p w14:paraId="5D2990A0" w14:textId="78A93807" w:rsidR="00E056B2" w:rsidRPr="009A5998" w:rsidRDefault="00E056B2" w:rsidP="00E056B2">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46</w:t>
            </w:r>
          </w:p>
        </w:tc>
        <w:tc>
          <w:tcPr>
            <w:tcW w:w="556" w:type="pct"/>
            <w:tcBorders>
              <w:top w:val="nil"/>
              <w:left w:val="nil"/>
              <w:bottom w:val="nil"/>
              <w:right w:val="nil"/>
            </w:tcBorders>
            <w:shd w:val="clear" w:color="auto" w:fill="auto"/>
            <w:vAlign w:val="bottom"/>
          </w:tcPr>
          <w:p w14:paraId="1E9E2098" w14:textId="0ED76067" w:rsidR="00E056B2" w:rsidRPr="009A5998" w:rsidRDefault="00E056B2" w:rsidP="00E056B2">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11.815</w:t>
            </w:r>
          </w:p>
        </w:tc>
        <w:tc>
          <w:tcPr>
            <w:tcW w:w="621" w:type="pct"/>
            <w:tcBorders>
              <w:top w:val="nil"/>
              <w:left w:val="nil"/>
              <w:bottom w:val="nil"/>
              <w:right w:val="nil"/>
            </w:tcBorders>
            <w:shd w:val="clear" w:color="auto" w:fill="auto"/>
            <w:vAlign w:val="bottom"/>
          </w:tcPr>
          <w:p w14:paraId="33553239" w14:textId="779A0CA2" w:rsidR="00E056B2" w:rsidRPr="009A5998" w:rsidRDefault="00E056B2" w:rsidP="00E056B2">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178.509</w:t>
            </w:r>
          </w:p>
        </w:tc>
      </w:tr>
      <w:tr w:rsidR="00E056B2" w:rsidRPr="003D1614" w14:paraId="0F44F1E0" w14:textId="77777777" w:rsidTr="009A5998">
        <w:trPr>
          <w:trHeight w:hRule="exact" w:val="211"/>
        </w:trPr>
        <w:tc>
          <w:tcPr>
            <w:tcW w:w="1597" w:type="pct"/>
            <w:vAlign w:val="bottom"/>
          </w:tcPr>
          <w:p w14:paraId="1F87CE4D" w14:textId="77777777" w:rsidR="00E056B2" w:rsidRPr="003D1614" w:rsidRDefault="00E056B2" w:rsidP="00E056B2">
            <w:pPr>
              <w:tabs>
                <w:tab w:val="right" w:pos="1202"/>
              </w:tabs>
              <w:suppressAutoHyphens/>
              <w:autoSpaceDN w:val="0"/>
              <w:outlineLvl w:val="0"/>
              <w:rPr>
                <w:rFonts w:ascii="Arial" w:eastAsia="Times New Roman" w:hAnsi="Arial" w:cs="Arial"/>
                <w:color w:val="000000" w:themeColor="text1"/>
                <w:sz w:val="17"/>
                <w:szCs w:val="17"/>
              </w:rPr>
            </w:pPr>
            <w:bookmarkStart w:id="890" w:name="_Toc67330451"/>
            <w:r w:rsidRPr="003D1614">
              <w:rPr>
                <w:rFonts w:ascii="Arial" w:eastAsia="Times New Roman" w:hAnsi="Arial" w:cs="Arial"/>
                <w:color w:val="000000" w:themeColor="text1"/>
                <w:spacing w:val="-2"/>
                <w:sz w:val="17"/>
                <w:szCs w:val="17"/>
              </w:rPr>
              <w:t>Obveze po kreditima</w:t>
            </w:r>
            <w:bookmarkEnd w:id="890"/>
          </w:p>
        </w:tc>
        <w:tc>
          <w:tcPr>
            <w:tcW w:w="557" w:type="pct"/>
            <w:tcBorders>
              <w:top w:val="nil"/>
              <w:left w:val="nil"/>
              <w:bottom w:val="nil"/>
              <w:right w:val="nil"/>
            </w:tcBorders>
            <w:shd w:val="clear" w:color="auto" w:fill="auto"/>
            <w:vAlign w:val="bottom"/>
          </w:tcPr>
          <w:p w14:paraId="380230BF" w14:textId="6BE38C0C" w:rsidR="00E056B2" w:rsidRPr="009A5998" w:rsidRDefault="00E056B2" w:rsidP="00E056B2">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108.921</w:t>
            </w:r>
          </w:p>
        </w:tc>
        <w:tc>
          <w:tcPr>
            <w:tcW w:w="557" w:type="pct"/>
            <w:tcBorders>
              <w:top w:val="nil"/>
              <w:left w:val="nil"/>
              <w:bottom w:val="nil"/>
              <w:right w:val="nil"/>
            </w:tcBorders>
            <w:shd w:val="clear" w:color="auto" w:fill="auto"/>
            <w:vAlign w:val="bottom"/>
          </w:tcPr>
          <w:p w14:paraId="4714E1E2" w14:textId="1380A977" w:rsidR="00E056B2" w:rsidRPr="009A5998" w:rsidRDefault="00E056B2" w:rsidP="00E056B2">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109.811</w:t>
            </w:r>
          </w:p>
        </w:tc>
        <w:tc>
          <w:tcPr>
            <w:tcW w:w="556" w:type="pct"/>
            <w:tcBorders>
              <w:top w:val="nil"/>
              <w:left w:val="nil"/>
              <w:bottom w:val="nil"/>
              <w:right w:val="nil"/>
            </w:tcBorders>
            <w:shd w:val="clear" w:color="auto" w:fill="auto"/>
            <w:vAlign w:val="bottom"/>
          </w:tcPr>
          <w:p w14:paraId="072A746B" w14:textId="49F1EC82" w:rsidR="00E056B2" w:rsidRPr="009A5998" w:rsidRDefault="00E056B2" w:rsidP="00E056B2">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280.376</w:t>
            </w:r>
          </w:p>
        </w:tc>
        <w:tc>
          <w:tcPr>
            <w:tcW w:w="556" w:type="pct"/>
            <w:tcBorders>
              <w:top w:val="nil"/>
              <w:left w:val="nil"/>
              <w:bottom w:val="nil"/>
              <w:right w:val="nil"/>
            </w:tcBorders>
            <w:shd w:val="clear" w:color="auto" w:fill="auto"/>
            <w:vAlign w:val="bottom"/>
          </w:tcPr>
          <w:p w14:paraId="02C0F422" w14:textId="610B0C7E" w:rsidR="00E056B2" w:rsidRPr="009A5998" w:rsidRDefault="00E056B2" w:rsidP="00E056B2">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732.212</w:t>
            </w:r>
          </w:p>
        </w:tc>
        <w:tc>
          <w:tcPr>
            <w:tcW w:w="556" w:type="pct"/>
            <w:tcBorders>
              <w:top w:val="nil"/>
              <w:left w:val="nil"/>
              <w:bottom w:val="nil"/>
              <w:right w:val="nil"/>
            </w:tcBorders>
            <w:shd w:val="clear" w:color="auto" w:fill="auto"/>
            <w:vAlign w:val="bottom"/>
          </w:tcPr>
          <w:p w14:paraId="3F6265DD" w14:textId="7FEB32BC" w:rsidR="00E056B2" w:rsidRPr="009A5998" w:rsidRDefault="00E056B2" w:rsidP="00E056B2">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1.256.617</w:t>
            </w:r>
          </w:p>
        </w:tc>
        <w:tc>
          <w:tcPr>
            <w:tcW w:w="621" w:type="pct"/>
            <w:tcBorders>
              <w:top w:val="nil"/>
              <w:left w:val="nil"/>
              <w:bottom w:val="nil"/>
              <w:right w:val="nil"/>
            </w:tcBorders>
            <w:shd w:val="clear" w:color="auto" w:fill="auto"/>
            <w:vAlign w:val="bottom"/>
          </w:tcPr>
          <w:p w14:paraId="3CEA9AE4" w14:textId="7D0644E3" w:rsidR="00E056B2" w:rsidRPr="009A5998" w:rsidRDefault="00E056B2" w:rsidP="00E056B2">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2.487.937</w:t>
            </w:r>
          </w:p>
        </w:tc>
      </w:tr>
      <w:tr w:rsidR="00E056B2" w:rsidRPr="003D1614" w14:paraId="5634B757" w14:textId="77777777" w:rsidTr="009A5998">
        <w:trPr>
          <w:trHeight w:val="377"/>
        </w:trPr>
        <w:tc>
          <w:tcPr>
            <w:tcW w:w="1597" w:type="pct"/>
            <w:vAlign w:val="bottom"/>
          </w:tcPr>
          <w:p w14:paraId="62FFD811" w14:textId="77777777" w:rsidR="00E056B2" w:rsidRPr="003D1614" w:rsidRDefault="00E056B2" w:rsidP="00E056B2">
            <w:pPr>
              <w:tabs>
                <w:tab w:val="right" w:pos="1202"/>
              </w:tabs>
              <w:suppressAutoHyphens/>
              <w:autoSpaceDN w:val="0"/>
              <w:outlineLvl w:val="0"/>
              <w:rPr>
                <w:rFonts w:ascii="Arial" w:eastAsia="Times New Roman" w:hAnsi="Arial" w:cs="Arial"/>
                <w:color w:val="000000" w:themeColor="text1"/>
                <w:spacing w:val="-2"/>
                <w:sz w:val="17"/>
                <w:szCs w:val="17"/>
              </w:rPr>
            </w:pPr>
            <w:bookmarkStart w:id="891" w:name="_Toc67330465"/>
            <w:r w:rsidRPr="003D1614">
              <w:rPr>
                <w:rFonts w:ascii="Arial" w:eastAsia="Times New Roman" w:hAnsi="Arial" w:cs="Arial"/>
                <w:color w:val="000000" w:themeColor="text1"/>
                <w:spacing w:val="-2"/>
                <w:sz w:val="17"/>
                <w:szCs w:val="17"/>
              </w:rPr>
              <w:t>Rezerviranja za garancije, preuzete i ostale obveze</w:t>
            </w:r>
            <w:bookmarkEnd w:id="891"/>
          </w:p>
        </w:tc>
        <w:tc>
          <w:tcPr>
            <w:tcW w:w="557" w:type="pct"/>
            <w:tcBorders>
              <w:top w:val="nil"/>
              <w:left w:val="nil"/>
              <w:right w:val="nil"/>
            </w:tcBorders>
            <w:shd w:val="clear" w:color="auto" w:fill="auto"/>
            <w:vAlign w:val="bottom"/>
          </w:tcPr>
          <w:p w14:paraId="0C10FF23" w14:textId="748DBC8F" w:rsidR="00E056B2" w:rsidRPr="009A5998" w:rsidRDefault="00E056B2" w:rsidP="00E056B2">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13.077</w:t>
            </w:r>
          </w:p>
        </w:tc>
        <w:tc>
          <w:tcPr>
            <w:tcW w:w="557" w:type="pct"/>
            <w:tcBorders>
              <w:top w:val="nil"/>
              <w:left w:val="nil"/>
              <w:right w:val="nil"/>
            </w:tcBorders>
            <w:shd w:val="clear" w:color="auto" w:fill="auto"/>
            <w:vAlign w:val="bottom"/>
          </w:tcPr>
          <w:p w14:paraId="031897F8" w14:textId="7C87C324" w:rsidR="00E056B2" w:rsidRPr="009A5998" w:rsidRDefault="00E056B2" w:rsidP="00E056B2">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638</w:t>
            </w:r>
          </w:p>
        </w:tc>
        <w:tc>
          <w:tcPr>
            <w:tcW w:w="556" w:type="pct"/>
            <w:tcBorders>
              <w:top w:val="nil"/>
              <w:left w:val="nil"/>
              <w:right w:val="nil"/>
            </w:tcBorders>
            <w:shd w:val="clear" w:color="auto" w:fill="auto"/>
            <w:vAlign w:val="bottom"/>
          </w:tcPr>
          <w:p w14:paraId="618AA5B0" w14:textId="7F562C64" w:rsidR="00E056B2" w:rsidRPr="009A5998" w:rsidRDefault="00E056B2" w:rsidP="00E056B2">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2.225</w:t>
            </w:r>
          </w:p>
        </w:tc>
        <w:tc>
          <w:tcPr>
            <w:tcW w:w="556" w:type="pct"/>
            <w:tcBorders>
              <w:top w:val="nil"/>
              <w:left w:val="nil"/>
              <w:right w:val="nil"/>
            </w:tcBorders>
            <w:shd w:val="clear" w:color="auto" w:fill="auto"/>
            <w:vAlign w:val="bottom"/>
          </w:tcPr>
          <w:p w14:paraId="1F032B4E" w14:textId="27F20352" w:rsidR="00E056B2" w:rsidRPr="009A5998" w:rsidRDefault="00E056B2" w:rsidP="00E056B2">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4.121</w:t>
            </w:r>
          </w:p>
        </w:tc>
        <w:tc>
          <w:tcPr>
            <w:tcW w:w="556" w:type="pct"/>
            <w:tcBorders>
              <w:top w:val="nil"/>
              <w:left w:val="nil"/>
              <w:right w:val="nil"/>
            </w:tcBorders>
            <w:shd w:val="clear" w:color="auto" w:fill="auto"/>
            <w:vAlign w:val="bottom"/>
          </w:tcPr>
          <w:p w14:paraId="57A11C10" w14:textId="0A763889" w:rsidR="00E056B2" w:rsidRPr="009A5998" w:rsidRDefault="00E056B2" w:rsidP="00E056B2">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1.772</w:t>
            </w:r>
          </w:p>
        </w:tc>
        <w:tc>
          <w:tcPr>
            <w:tcW w:w="621" w:type="pct"/>
            <w:tcBorders>
              <w:top w:val="nil"/>
              <w:left w:val="nil"/>
              <w:right w:val="nil"/>
            </w:tcBorders>
            <w:shd w:val="clear" w:color="auto" w:fill="auto"/>
            <w:vAlign w:val="bottom"/>
          </w:tcPr>
          <w:p w14:paraId="5ABE6BA6" w14:textId="746387C7" w:rsidR="00E056B2" w:rsidRPr="009A5998" w:rsidRDefault="00E056B2" w:rsidP="00E056B2">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21.833</w:t>
            </w:r>
          </w:p>
        </w:tc>
      </w:tr>
      <w:tr w:rsidR="00E056B2" w:rsidRPr="003D1614" w14:paraId="2011E497" w14:textId="77777777" w:rsidTr="009A5998">
        <w:trPr>
          <w:trHeight w:hRule="exact" w:val="211"/>
        </w:trPr>
        <w:tc>
          <w:tcPr>
            <w:tcW w:w="1597" w:type="pct"/>
            <w:vAlign w:val="bottom"/>
          </w:tcPr>
          <w:p w14:paraId="3F6A5DFF" w14:textId="77777777" w:rsidR="00E056B2" w:rsidRPr="003D1614" w:rsidRDefault="00E056B2" w:rsidP="00E056B2">
            <w:pPr>
              <w:tabs>
                <w:tab w:val="right" w:pos="1202"/>
              </w:tabs>
              <w:suppressAutoHyphens/>
              <w:autoSpaceDN w:val="0"/>
              <w:outlineLvl w:val="0"/>
              <w:rPr>
                <w:rFonts w:ascii="Arial" w:eastAsia="Times New Roman" w:hAnsi="Arial" w:cs="Arial"/>
                <w:color w:val="000000" w:themeColor="text1"/>
                <w:sz w:val="17"/>
                <w:szCs w:val="17"/>
              </w:rPr>
            </w:pPr>
            <w:bookmarkStart w:id="892" w:name="_Toc67330472"/>
            <w:r w:rsidRPr="003D1614">
              <w:rPr>
                <w:rFonts w:ascii="Arial" w:eastAsia="Times New Roman" w:hAnsi="Arial" w:cs="Arial"/>
                <w:color w:val="000000" w:themeColor="text1"/>
                <w:spacing w:val="-2"/>
                <w:sz w:val="17"/>
                <w:szCs w:val="17"/>
              </w:rPr>
              <w:t>Ostale obveze</w:t>
            </w:r>
            <w:bookmarkEnd w:id="892"/>
          </w:p>
        </w:tc>
        <w:tc>
          <w:tcPr>
            <w:tcW w:w="557" w:type="pct"/>
            <w:tcBorders>
              <w:top w:val="nil"/>
              <w:left w:val="nil"/>
              <w:bottom w:val="single" w:sz="4" w:space="0" w:color="auto"/>
              <w:right w:val="nil"/>
            </w:tcBorders>
            <w:shd w:val="clear" w:color="auto" w:fill="auto"/>
            <w:vAlign w:val="bottom"/>
          </w:tcPr>
          <w:p w14:paraId="6EA4CDDC" w14:textId="295CDD59" w:rsidR="00E056B2" w:rsidRPr="009A5998" w:rsidRDefault="00E056B2" w:rsidP="00E056B2">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54.155</w:t>
            </w:r>
          </w:p>
        </w:tc>
        <w:tc>
          <w:tcPr>
            <w:tcW w:w="557" w:type="pct"/>
            <w:tcBorders>
              <w:top w:val="nil"/>
              <w:left w:val="nil"/>
              <w:bottom w:val="single" w:sz="4" w:space="0" w:color="auto"/>
              <w:right w:val="nil"/>
            </w:tcBorders>
            <w:shd w:val="clear" w:color="auto" w:fill="auto"/>
            <w:vAlign w:val="bottom"/>
          </w:tcPr>
          <w:p w14:paraId="437A630A" w14:textId="6AA46324" w:rsidR="00E056B2" w:rsidRPr="009A5998" w:rsidRDefault="00E056B2" w:rsidP="00E056B2">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2.644</w:t>
            </w:r>
          </w:p>
        </w:tc>
        <w:tc>
          <w:tcPr>
            <w:tcW w:w="556" w:type="pct"/>
            <w:tcBorders>
              <w:top w:val="nil"/>
              <w:left w:val="nil"/>
              <w:bottom w:val="single" w:sz="4" w:space="0" w:color="auto"/>
              <w:right w:val="nil"/>
            </w:tcBorders>
            <w:shd w:val="clear" w:color="auto" w:fill="auto"/>
            <w:vAlign w:val="bottom"/>
          </w:tcPr>
          <w:p w14:paraId="493642AF" w14:textId="3F7C44AE" w:rsidR="00E056B2" w:rsidRPr="009A5998" w:rsidRDefault="00E056B2" w:rsidP="00E056B2">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9.217</w:t>
            </w:r>
          </w:p>
        </w:tc>
        <w:tc>
          <w:tcPr>
            <w:tcW w:w="556" w:type="pct"/>
            <w:tcBorders>
              <w:top w:val="nil"/>
              <w:left w:val="nil"/>
              <w:bottom w:val="single" w:sz="4" w:space="0" w:color="auto"/>
              <w:right w:val="nil"/>
            </w:tcBorders>
            <w:shd w:val="clear" w:color="auto" w:fill="auto"/>
            <w:vAlign w:val="bottom"/>
          </w:tcPr>
          <w:p w14:paraId="41A91B6D" w14:textId="1D639091" w:rsidR="00E056B2" w:rsidRPr="009A5998" w:rsidRDefault="00E056B2" w:rsidP="00E056B2">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17.067</w:t>
            </w:r>
          </w:p>
        </w:tc>
        <w:tc>
          <w:tcPr>
            <w:tcW w:w="556" w:type="pct"/>
            <w:tcBorders>
              <w:top w:val="nil"/>
              <w:left w:val="nil"/>
              <w:bottom w:val="single" w:sz="4" w:space="0" w:color="auto"/>
              <w:right w:val="nil"/>
            </w:tcBorders>
            <w:shd w:val="clear" w:color="auto" w:fill="auto"/>
            <w:vAlign w:val="bottom"/>
          </w:tcPr>
          <w:p w14:paraId="0F8DF500" w14:textId="0FADDDD9" w:rsidR="00E056B2" w:rsidRPr="009A5998" w:rsidRDefault="00E056B2" w:rsidP="00E056B2">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7.333</w:t>
            </w:r>
          </w:p>
        </w:tc>
        <w:tc>
          <w:tcPr>
            <w:tcW w:w="621" w:type="pct"/>
            <w:tcBorders>
              <w:top w:val="nil"/>
              <w:left w:val="nil"/>
              <w:bottom w:val="single" w:sz="4" w:space="0" w:color="auto"/>
              <w:right w:val="nil"/>
            </w:tcBorders>
            <w:shd w:val="clear" w:color="auto" w:fill="auto"/>
            <w:vAlign w:val="bottom"/>
          </w:tcPr>
          <w:p w14:paraId="53FCB0A7" w14:textId="1C249923" w:rsidR="00E056B2" w:rsidRPr="009A5998" w:rsidRDefault="00E056B2" w:rsidP="00E056B2">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Calibri" w:hAnsi="Arial" w:cs="Arial"/>
                <w:color w:val="000000" w:themeColor="text1"/>
                <w:spacing w:val="-2"/>
                <w:sz w:val="17"/>
                <w:szCs w:val="17"/>
              </w:rPr>
              <w:t>90.416</w:t>
            </w:r>
          </w:p>
        </w:tc>
      </w:tr>
      <w:tr w:rsidR="00E056B2" w:rsidRPr="003D1614" w14:paraId="3A2BFBC8" w14:textId="77777777" w:rsidTr="009A5998">
        <w:trPr>
          <w:trHeight w:hRule="exact" w:val="265"/>
        </w:trPr>
        <w:tc>
          <w:tcPr>
            <w:tcW w:w="1597" w:type="pct"/>
            <w:vAlign w:val="bottom"/>
          </w:tcPr>
          <w:p w14:paraId="697B3A3D" w14:textId="77777777" w:rsidR="00E056B2" w:rsidRPr="003D1614" w:rsidRDefault="00E056B2" w:rsidP="00E056B2">
            <w:pPr>
              <w:tabs>
                <w:tab w:val="right" w:pos="1202"/>
              </w:tabs>
              <w:suppressAutoHyphens/>
              <w:autoSpaceDN w:val="0"/>
              <w:outlineLvl w:val="0"/>
              <w:rPr>
                <w:rFonts w:ascii="Arial" w:eastAsia="Times New Roman" w:hAnsi="Arial" w:cs="Arial"/>
                <w:b/>
                <w:bCs/>
                <w:color w:val="000000" w:themeColor="text1"/>
                <w:sz w:val="17"/>
                <w:szCs w:val="17"/>
              </w:rPr>
            </w:pPr>
            <w:bookmarkStart w:id="893" w:name="_Toc67330479"/>
            <w:r w:rsidRPr="003D1614">
              <w:rPr>
                <w:rFonts w:ascii="Arial" w:eastAsia="Times New Roman" w:hAnsi="Arial" w:cs="Arial"/>
                <w:b/>
                <w:bCs/>
                <w:color w:val="000000" w:themeColor="text1"/>
                <w:sz w:val="17"/>
                <w:szCs w:val="17"/>
              </w:rPr>
              <w:t>Ukupno</w:t>
            </w:r>
            <w:bookmarkEnd w:id="893"/>
          </w:p>
        </w:tc>
        <w:tc>
          <w:tcPr>
            <w:tcW w:w="557" w:type="pct"/>
            <w:tcBorders>
              <w:top w:val="single" w:sz="4" w:space="0" w:color="auto"/>
              <w:left w:val="nil"/>
              <w:bottom w:val="single" w:sz="12" w:space="0" w:color="auto"/>
              <w:right w:val="nil"/>
            </w:tcBorders>
            <w:vAlign w:val="bottom"/>
          </w:tcPr>
          <w:p w14:paraId="377617A5" w14:textId="43139C3F" w:rsidR="00E056B2" w:rsidRPr="002F173C" w:rsidRDefault="00E056B2" w:rsidP="00E056B2">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Pr>
                <w:rFonts w:ascii="Arial" w:eastAsia="Calibri" w:hAnsi="Arial" w:cs="Arial"/>
                <w:b/>
                <w:bCs/>
                <w:color w:val="000000" w:themeColor="text1"/>
                <w:spacing w:val="-2"/>
                <w:sz w:val="17"/>
                <w:szCs w:val="17"/>
              </w:rPr>
              <w:t>314.074</w:t>
            </w:r>
          </w:p>
        </w:tc>
        <w:tc>
          <w:tcPr>
            <w:tcW w:w="557" w:type="pct"/>
            <w:tcBorders>
              <w:top w:val="single" w:sz="4" w:space="0" w:color="auto"/>
              <w:left w:val="nil"/>
              <w:bottom w:val="single" w:sz="12" w:space="0" w:color="auto"/>
              <w:right w:val="nil"/>
            </w:tcBorders>
            <w:vAlign w:val="bottom"/>
          </w:tcPr>
          <w:p w14:paraId="4875D47B" w14:textId="625DF021" w:rsidR="00E056B2" w:rsidRPr="002F173C" w:rsidRDefault="00E056B2" w:rsidP="00E056B2">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Pr>
                <w:rFonts w:ascii="Arial" w:eastAsia="Calibri" w:hAnsi="Arial" w:cs="Arial"/>
                <w:b/>
                <w:bCs/>
                <w:color w:val="000000" w:themeColor="text1"/>
                <w:spacing w:val="-2"/>
                <w:sz w:val="17"/>
                <w:szCs w:val="17"/>
              </w:rPr>
              <w:t>113.175</w:t>
            </w:r>
          </w:p>
        </w:tc>
        <w:tc>
          <w:tcPr>
            <w:tcW w:w="556" w:type="pct"/>
            <w:tcBorders>
              <w:top w:val="single" w:sz="4" w:space="0" w:color="auto"/>
              <w:left w:val="nil"/>
              <w:bottom w:val="single" w:sz="12" w:space="0" w:color="auto"/>
              <w:right w:val="nil"/>
            </w:tcBorders>
            <w:vAlign w:val="bottom"/>
          </w:tcPr>
          <w:p w14:paraId="6B654DB8" w14:textId="48D21A9F" w:rsidR="00E056B2" w:rsidRPr="002F173C" w:rsidRDefault="00E056B2" w:rsidP="00E056B2">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Pr>
                <w:rFonts w:ascii="Arial" w:eastAsia="Calibri" w:hAnsi="Arial" w:cs="Arial"/>
                <w:b/>
                <w:bCs/>
                <w:color w:val="000000" w:themeColor="text1"/>
                <w:spacing w:val="-2"/>
                <w:sz w:val="17"/>
                <w:szCs w:val="17"/>
              </w:rPr>
              <w:t>320.463</w:t>
            </w:r>
          </w:p>
        </w:tc>
        <w:tc>
          <w:tcPr>
            <w:tcW w:w="556" w:type="pct"/>
            <w:tcBorders>
              <w:top w:val="single" w:sz="4" w:space="0" w:color="auto"/>
              <w:left w:val="nil"/>
              <w:bottom w:val="single" w:sz="12" w:space="0" w:color="auto"/>
              <w:right w:val="nil"/>
            </w:tcBorders>
            <w:vAlign w:val="bottom"/>
          </w:tcPr>
          <w:p w14:paraId="28638049" w14:textId="3F543089" w:rsidR="00E056B2" w:rsidRPr="002F173C" w:rsidRDefault="00E056B2" w:rsidP="00E056B2">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Pr>
                <w:rFonts w:ascii="Arial" w:eastAsia="Calibri" w:hAnsi="Arial" w:cs="Arial"/>
                <w:b/>
                <w:bCs/>
                <w:color w:val="000000" w:themeColor="text1"/>
                <w:spacing w:val="-2"/>
                <w:sz w:val="17"/>
                <w:szCs w:val="17"/>
              </w:rPr>
              <w:t>753.446</w:t>
            </w:r>
          </w:p>
        </w:tc>
        <w:tc>
          <w:tcPr>
            <w:tcW w:w="556" w:type="pct"/>
            <w:tcBorders>
              <w:top w:val="single" w:sz="4" w:space="0" w:color="auto"/>
              <w:left w:val="nil"/>
              <w:bottom w:val="single" w:sz="12" w:space="0" w:color="auto"/>
              <w:right w:val="nil"/>
            </w:tcBorders>
            <w:vAlign w:val="bottom"/>
          </w:tcPr>
          <w:p w14:paraId="0C3D2E7D" w14:textId="1BD6CB64" w:rsidR="00E056B2" w:rsidRPr="002F173C" w:rsidRDefault="00E056B2" w:rsidP="00E056B2">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Pr>
                <w:rFonts w:ascii="Arial" w:eastAsia="Calibri" w:hAnsi="Arial" w:cs="Arial"/>
                <w:b/>
                <w:bCs/>
                <w:color w:val="000000" w:themeColor="text1"/>
                <w:spacing w:val="-2"/>
                <w:sz w:val="17"/>
                <w:szCs w:val="17"/>
              </w:rPr>
              <w:t>1.277.537</w:t>
            </w:r>
          </w:p>
        </w:tc>
        <w:tc>
          <w:tcPr>
            <w:tcW w:w="621" w:type="pct"/>
            <w:tcBorders>
              <w:top w:val="single" w:sz="4" w:space="0" w:color="auto"/>
              <w:left w:val="nil"/>
              <w:bottom w:val="single" w:sz="12" w:space="0" w:color="auto"/>
              <w:right w:val="nil"/>
            </w:tcBorders>
            <w:vAlign w:val="bottom"/>
          </w:tcPr>
          <w:p w14:paraId="222D2D35" w14:textId="1A458A15" w:rsidR="00E056B2" w:rsidRPr="002F173C" w:rsidRDefault="00E056B2" w:rsidP="00E056B2">
            <w:pPr>
              <w:tabs>
                <w:tab w:val="right" w:pos="1202"/>
              </w:tabs>
              <w:suppressAutoHyphens/>
              <w:autoSpaceDN w:val="0"/>
              <w:spacing w:line="240" w:lineRule="exact"/>
              <w:jc w:val="right"/>
              <w:outlineLvl w:val="0"/>
              <w:rPr>
                <w:rFonts w:ascii="Arial" w:eastAsia="Calibri" w:hAnsi="Arial" w:cs="Arial"/>
                <w:b/>
                <w:bCs/>
                <w:color w:val="000000" w:themeColor="text1"/>
                <w:spacing w:val="-2"/>
                <w:sz w:val="17"/>
                <w:szCs w:val="17"/>
              </w:rPr>
            </w:pPr>
            <w:r>
              <w:rPr>
                <w:rFonts w:ascii="Arial" w:eastAsia="Calibri" w:hAnsi="Arial" w:cs="Arial"/>
                <w:b/>
                <w:bCs/>
                <w:color w:val="000000" w:themeColor="text1"/>
                <w:spacing w:val="-2"/>
                <w:sz w:val="17"/>
                <w:szCs w:val="17"/>
              </w:rPr>
              <w:t>2.778.695</w:t>
            </w:r>
          </w:p>
        </w:tc>
      </w:tr>
      <w:tr w:rsidR="00E056B2" w:rsidRPr="003D1614" w14:paraId="035EC871" w14:textId="77777777" w:rsidTr="00AD0393">
        <w:trPr>
          <w:trHeight w:hRule="exact" w:val="275"/>
        </w:trPr>
        <w:tc>
          <w:tcPr>
            <w:tcW w:w="1597" w:type="pct"/>
            <w:vAlign w:val="bottom"/>
          </w:tcPr>
          <w:p w14:paraId="446703F8" w14:textId="77777777" w:rsidR="00E056B2" w:rsidRPr="003D1614" w:rsidRDefault="00E056B2" w:rsidP="00E056B2">
            <w:pPr>
              <w:tabs>
                <w:tab w:val="right" w:pos="1202"/>
              </w:tabs>
              <w:suppressAutoHyphens/>
              <w:autoSpaceDN w:val="0"/>
              <w:spacing w:line="340" w:lineRule="exact"/>
              <w:outlineLvl w:val="0"/>
              <w:rPr>
                <w:rFonts w:ascii="Arial" w:eastAsia="Times New Roman" w:hAnsi="Arial" w:cs="Arial"/>
                <w:b/>
                <w:bCs/>
                <w:color w:val="000000" w:themeColor="text1"/>
                <w:sz w:val="17"/>
                <w:szCs w:val="17"/>
              </w:rPr>
            </w:pPr>
          </w:p>
        </w:tc>
        <w:tc>
          <w:tcPr>
            <w:tcW w:w="557" w:type="pct"/>
            <w:tcBorders>
              <w:top w:val="nil"/>
              <w:left w:val="nil"/>
              <w:right w:val="nil"/>
            </w:tcBorders>
            <w:shd w:val="clear" w:color="auto" w:fill="auto"/>
            <w:vAlign w:val="bottom"/>
          </w:tcPr>
          <w:p w14:paraId="3F10128B" w14:textId="77777777" w:rsidR="00E056B2" w:rsidRPr="003D1614" w:rsidRDefault="00E056B2" w:rsidP="00E056B2">
            <w:pPr>
              <w:tabs>
                <w:tab w:val="right" w:pos="1202"/>
              </w:tabs>
              <w:suppressAutoHyphens/>
              <w:autoSpaceDN w:val="0"/>
              <w:spacing w:line="340" w:lineRule="exact"/>
              <w:jc w:val="right"/>
              <w:outlineLvl w:val="0"/>
              <w:rPr>
                <w:rFonts w:ascii="Arial" w:eastAsia="Times New Roman" w:hAnsi="Arial" w:cs="Arial"/>
                <w:b/>
                <w:color w:val="000000" w:themeColor="text1"/>
                <w:sz w:val="17"/>
                <w:szCs w:val="17"/>
              </w:rPr>
            </w:pPr>
          </w:p>
        </w:tc>
        <w:tc>
          <w:tcPr>
            <w:tcW w:w="557" w:type="pct"/>
            <w:tcBorders>
              <w:top w:val="nil"/>
              <w:left w:val="nil"/>
              <w:right w:val="nil"/>
            </w:tcBorders>
            <w:shd w:val="clear" w:color="auto" w:fill="auto"/>
            <w:vAlign w:val="bottom"/>
          </w:tcPr>
          <w:p w14:paraId="66A422FB" w14:textId="77777777" w:rsidR="00E056B2" w:rsidRPr="003D1614" w:rsidRDefault="00E056B2" w:rsidP="00E056B2">
            <w:pPr>
              <w:tabs>
                <w:tab w:val="right" w:pos="1202"/>
              </w:tabs>
              <w:suppressAutoHyphens/>
              <w:autoSpaceDN w:val="0"/>
              <w:spacing w:line="340" w:lineRule="exact"/>
              <w:jc w:val="right"/>
              <w:outlineLvl w:val="0"/>
              <w:rPr>
                <w:rFonts w:ascii="Arial" w:eastAsia="Times New Roman" w:hAnsi="Arial" w:cs="Arial"/>
                <w:b/>
                <w:color w:val="000000" w:themeColor="text1"/>
                <w:sz w:val="17"/>
                <w:szCs w:val="17"/>
              </w:rPr>
            </w:pPr>
          </w:p>
        </w:tc>
        <w:tc>
          <w:tcPr>
            <w:tcW w:w="556" w:type="pct"/>
            <w:tcBorders>
              <w:top w:val="nil"/>
              <w:left w:val="nil"/>
              <w:right w:val="nil"/>
            </w:tcBorders>
            <w:shd w:val="clear" w:color="auto" w:fill="auto"/>
            <w:vAlign w:val="bottom"/>
          </w:tcPr>
          <w:p w14:paraId="41DED1C6" w14:textId="77777777" w:rsidR="00E056B2" w:rsidRPr="003D1614" w:rsidRDefault="00E056B2" w:rsidP="00E056B2">
            <w:pPr>
              <w:tabs>
                <w:tab w:val="right" w:pos="1202"/>
              </w:tabs>
              <w:suppressAutoHyphens/>
              <w:autoSpaceDN w:val="0"/>
              <w:spacing w:line="340" w:lineRule="exact"/>
              <w:jc w:val="right"/>
              <w:outlineLvl w:val="0"/>
              <w:rPr>
                <w:rFonts w:ascii="Arial" w:eastAsia="Times New Roman" w:hAnsi="Arial" w:cs="Arial"/>
                <w:b/>
                <w:color w:val="000000" w:themeColor="text1"/>
                <w:sz w:val="17"/>
                <w:szCs w:val="17"/>
              </w:rPr>
            </w:pPr>
          </w:p>
        </w:tc>
        <w:tc>
          <w:tcPr>
            <w:tcW w:w="556" w:type="pct"/>
            <w:tcBorders>
              <w:top w:val="nil"/>
              <w:left w:val="nil"/>
              <w:right w:val="nil"/>
            </w:tcBorders>
            <w:shd w:val="clear" w:color="auto" w:fill="auto"/>
            <w:vAlign w:val="bottom"/>
          </w:tcPr>
          <w:p w14:paraId="1C226390" w14:textId="77777777" w:rsidR="00E056B2" w:rsidRPr="003D1614" w:rsidRDefault="00E056B2" w:rsidP="00E056B2">
            <w:pPr>
              <w:tabs>
                <w:tab w:val="right" w:pos="1202"/>
              </w:tabs>
              <w:suppressAutoHyphens/>
              <w:autoSpaceDN w:val="0"/>
              <w:spacing w:line="340" w:lineRule="exact"/>
              <w:jc w:val="right"/>
              <w:outlineLvl w:val="0"/>
              <w:rPr>
                <w:rFonts w:ascii="Arial" w:eastAsia="Times New Roman" w:hAnsi="Arial" w:cs="Arial"/>
                <w:b/>
                <w:color w:val="000000" w:themeColor="text1"/>
                <w:sz w:val="17"/>
                <w:szCs w:val="17"/>
              </w:rPr>
            </w:pPr>
          </w:p>
        </w:tc>
        <w:tc>
          <w:tcPr>
            <w:tcW w:w="556" w:type="pct"/>
            <w:tcBorders>
              <w:top w:val="nil"/>
              <w:left w:val="nil"/>
              <w:right w:val="nil"/>
            </w:tcBorders>
            <w:shd w:val="clear" w:color="auto" w:fill="auto"/>
            <w:vAlign w:val="bottom"/>
          </w:tcPr>
          <w:p w14:paraId="6E523B7D" w14:textId="77777777" w:rsidR="00E056B2" w:rsidRPr="003D1614" w:rsidRDefault="00E056B2" w:rsidP="00E056B2">
            <w:pPr>
              <w:tabs>
                <w:tab w:val="right" w:pos="1202"/>
              </w:tabs>
              <w:suppressAutoHyphens/>
              <w:autoSpaceDN w:val="0"/>
              <w:spacing w:line="340" w:lineRule="exact"/>
              <w:jc w:val="right"/>
              <w:outlineLvl w:val="0"/>
              <w:rPr>
                <w:rFonts w:ascii="Arial" w:eastAsia="Times New Roman" w:hAnsi="Arial" w:cs="Arial"/>
                <w:b/>
                <w:color w:val="000000" w:themeColor="text1"/>
                <w:sz w:val="17"/>
                <w:szCs w:val="17"/>
              </w:rPr>
            </w:pPr>
          </w:p>
        </w:tc>
        <w:tc>
          <w:tcPr>
            <w:tcW w:w="621" w:type="pct"/>
            <w:tcBorders>
              <w:top w:val="nil"/>
              <w:left w:val="nil"/>
              <w:right w:val="nil"/>
            </w:tcBorders>
            <w:shd w:val="clear" w:color="auto" w:fill="auto"/>
            <w:vAlign w:val="bottom"/>
          </w:tcPr>
          <w:p w14:paraId="63C122BE" w14:textId="77777777" w:rsidR="00E056B2" w:rsidRPr="003D1614" w:rsidRDefault="00E056B2" w:rsidP="00E056B2">
            <w:pPr>
              <w:tabs>
                <w:tab w:val="right" w:pos="1202"/>
              </w:tabs>
              <w:suppressAutoHyphens/>
              <w:autoSpaceDN w:val="0"/>
              <w:spacing w:line="340" w:lineRule="exact"/>
              <w:jc w:val="right"/>
              <w:outlineLvl w:val="0"/>
              <w:rPr>
                <w:rFonts w:ascii="Arial" w:eastAsia="Times New Roman" w:hAnsi="Arial" w:cs="Arial"/>
                <w:b/>
                <w:color w:val="000000" w:themeColor="text1"/>
                <w:sz w:val="17"/>
                <w:szCs w:val="17"/>
              </w:rPr>
            </w:pPr>
          </w:p>
        </w:tc>
      </w:tr>
      <w:tr w:rsidR="00E056B2" w:rsidRPr="003D1614" w14:paraId="531B9937" w14:textId="77777777" w:rsidTr="00AD0393">
        <w:trPr>
          <w:trHeight w:hRule="exact" w:val="211"/>
        </w:trPr>
        <w:tc>
          <w:tcPr>
            <w:tcW w:w="1597" w:type="pct"/>
            <w:tcBorders>
              <w:top w:val="nil"/>
              <w:left w:val="nil"/>
              <w:bottom w:val="nil"/>
              <w:right w:val="nil"/>
            </w:tcBorders>
            <w:shd w:val="clear" w:color="auto" w:fill="auto"/>
          </w:tcPr>
          <w:p w14:paraId="663C3C5D" w14:textId="77777777" w:rsidR="00E056B2" w:rsidRPr="003D1614" w:rsidRDefault="00E056B2" w:rsidP="00E056B2">
            <w:pPr>
              <w:tabs>
                <w:tab w:val="right" w:pos="1202"/>
              </w:tabs>
              <w:suppressAutoHyphens/>
              <w:autoSpaceDN w:val="0"/>
              <w:outlineLvl w:val="0"/>
              <w:rPr>
                <w:rFonts w:ascii="Arial" w:eastAsia="Times New Roman" w:hAnsi="Arial" w:cs="Arial"/>
                <w:b/>
                <w:bCs/>
                <w:color w:val="000000" w:themeColor="text1"/>
                <w:sz w:val="17"/>
                <w:szCs w:val="17"/>
              </w:rPr>
            </w:pPr>
            <w:bookmarkStart w:id="894" w:name="_Toc67330486"/>
            <w:r w:rsidRPr="003D1614">
              <w:rPr>
                <w:rFonts w:ascii="Arial" w:eastAsia="Times New Roman" w:hAnsi="Arial" w:cs="Arial"/>
                <w:b/>
                <w:bCs/>
                <w:color w:val="000000" w:themeColor="text1"/>
                <w:sz w:val="17"/>
                <w:szCs w:val="17"/>
              </w:rPr>
              <w:t>Garancije i preuzete obveze</w:t>
            </w:r>
            <w:bookmarkEnd w:id="894"/>
          </w:p>
        </w:tc>
        <w:tc>
          <w:tcPr>
            <w:tcW w:w="557" w:type="pct"/>
            <w:tcBorders>
              <w:top w:val="nil"/>
              <w:left w:val="nil"/>
              <w:bottom w:val="nil"/>
              <w:right w:val="nil"/>
            </w:tcBorders>
            <w:shd w:val="clear" w:color="auto" w:fill="auto"/>
            <w:vAlign w:val="bottom"/>
          </w:tcPr>
          <w:p w14:paraId="2FE4A729" w14:textId="77777777" w:rsidR="00E056B2" w:rsidRPr="003D1614" w:rsidRDefault="00E056B2" w:rsidP="00E056B2">
            <w:pPr>
              <w:tabs>
                <w:tab w:val="right" w:pos="1202"/>
              </w:tabs>
              <w:suppressAutoHyphens/>
              <w:autoSpaceDN w:val="0"/>
              <w:jc w:val="right"/>
              <w:outlineLvl w:val="0"/>
              <w:rPr>
                <w:rFonts w:ascii="Arial" w:eastAsia="Times New Roman" w:hAnsi="Arial" w:cs="Arial"/>
                <w:b/>
                <w:color w:val="000000" w:themeColor="text1"/>
                <w:sz w:val="17"/>
                <w:szCs w:val="17"/>
              </w:rPr>
            </w:pPr>
          </w:p>
        </w:tc>
        <w:tc>
          <w:tcPr>
            <w:tcW w:w="557" w:type="pct"/>
            <w:tcBorders>
              <w:top w:val="nil"/>
              <w:left w:val="nil"/>
              <w:bottom w:val="nil"/>
              <w:right w:val="nil"/>
            </w:tcBorders>
            <w:shd w:val="clear" w:color="auto" w:fill="auto"/>
            <w:vAlign w:val="bottom"/>
          </w:tcPr>
          <w:p w14:paraId="71ED8E88" w14:textId="77777777" w:rsidR="00E056B2" w:rsidRPr="003D1614" w:rsidRDefault="00E056B2" w:rsidP="00E056B2">
            <w:pPr>
              <w:tabs>
                <w:tab w:val="right" w:pos="1202"/>
              </w:tabs>
              <w:suppressAutoHyphens/>
              <w:autoSpaceDN w:val="0"/>
              <w:jc w:val="right"/>
              <w:outlineLvl w:val="0"/>
              <w:rPr>
                <w:rFonts w:ascii="Arial" w:eastAsia="Times New Roman" w:hAnsi="Arial" w:cs="Arial"/>
                <w:b/>
                <w:color w:val="000000" w:themeColor="text1"/>
                <w:sz w:val="17"/>
                <w:szCs w:val="17"/>
              </w:rPr>
            </w:pPr>
          </w:p>
        </w:tc>
        <w:tc>
          <w:tcPr>
            <w:tcW w:w="556" w:type="pct"/>
            <w:tcBorders>
              <w:top w:val="nil"/>
              <w:left w:val="nil"/>
              <w:bottom w:val="nil"/>
              <w:right w:val="nil"/>
            </w:tcBorders>
            <w:shd w:val="clear" w:color="auto" w:fill="auto"/>
            <w:vAlign w:val="bottom"/>
          </w:tcPr>
          <w:p w14:paraId="4181F1EA" w14:textId="77777777" w:rsidR="00E056B2" w:rsidRPr="003D1614" w:rsidRDefault="00E056B2" w:rsidP="00E056B2">
            <w:pPr>
              <w:tabs>
                <w:tab w:val="right" w:pos="1202"/>
              </w:tabs>
              <w:suppressAutoHyphens/>
              <w:autoSpaceDN w:val="0"/>
              <w:jc w:val="right"/>
              <w:outlineLvl w:val="0"/>
              <w:rPr>
                <w:rFonts w:ascii="Arial" w:eastAsia="Times New Roman" w:hAnsi="Arial" w:cs="Arial"/>
                <w:b/>
                <w:color w:val="000000" w:themeColor="text1"/>
                <w:sz w:val="17"/>
                <w:szCs w:val="17"/>
              </w:rPr>
            </w:pPr>
          </w:p>
        </w:tc>
        <w:tc>
          <w:tcPr>
            <w:tcW w:w="556" w:type="pct"/>
            <w:tcBorders>
              <w:top w:val="nil"/>
              <w:left w:val="nil"/>
              <w:bottom w:val="nil"/>
              <w:right w:val="nil"/>
            </w:tcBorders>
            <w:shd w:val="clear" w:color="auto" w:fill="auto"/>
            <w:vAlign w:val="bottom"/>
          </w:tcPr>
          <w:p w14:paraId="312A7740" w14:textId="77777777" w:rsidR="00E056B2" w:rsidRPr="003D1614" w:rsidRDefault="00E056B2" w:rsidP="00E056B2">
            <w:pPr>
              <w:tabs>
                <w:tab w:val="right" w:pos="1202"/>
              </w:tabs>
              <w:suppressAutoHyphens/>
              <w:autoSpaceDN w:val="0"/>
              <w:jc w:val="right"/>
              <w:outlineLvl w:val="0"/>
              <w:rPr>
                <w:rFonts w:ascii="Arial" w:eastAsia="Times New Roman" w:hAnsi="Arial" w:cs="Arial"/>
                <w:b/>
                <w:color w:val="000000" w:themeColor="text1"/>
                <w:sz w:val="17"/>
                <w:szCs w:val="17"/>
              </w:rPr>
            </w:pPr>
          </w:p>
        </w:tc>
        <w:tc>
          <w:tcPr>
            <w:tcW w:w="556" w:type="pct"/>
            <w:tcBorders>
              <w:top w:val="nil"/>
              <w:left w:val="nil"/>
              <w:bottom w:val="nil"/>
              <w:right w:val="nil"/>
            </w:tcBorders>
            <w:shd w:val="clear" w:color="auto" w:fill="auto"/>
            <w:vAlign w:val="bottom"/>
          </w:tcPr>
          <w:p w14:paraId="452D928A" w14:textId="77777777" w:rsidR="00E056B2" w:rsidRPr="003D1614" w:rsidRDefault="00E056B2" w:rsidP="00E056B2">
            <w:pPr>
              <w:tabs>
                <w:tab w:val="right" w:pos="1202"/>
              </w:tabs>
              <w:suppressAutoHyphens/>
              <w:autoSpaceDN w:val="0"/>
              <w:jc w:val="right"/>
              <w:outlineLvl w:val="0"/>
              <w:rPr>
                <w:rFonts w:ascii="Arial" w:eastAsia="Times New Roman" w:hAnsi="Arial" w:cs="Arial"/>
                <w:b/>
                <w:color w:val="000000" w:themeColor="text1"/>
                <w:sz w:val="17"/>
                <w:szCs w:val="17"/>
              </w:rPr>
            </w:pPr>
          </w:p>
        </w:tc>
        <w:tc>
          <w:tcPr>
            <w:tcW w:w="621" w:type="pct"/>
            <w:tcBorders>
              <w:top w:val="nil"/>
              <w:left w:val="nil"/>
              <w:bottom w:val="nil"/>
              <w:right w:val="nil"/>
            </w:tcBorders>
            <w:shd w:val="clear" w:color="auto" w:fill="auto"/>
            <w:vAlign w:val="bottom"/>
          </w:tcPr>
          <w:p w14:paraId="005B8C22" w14:textId="77777777" w:rsidR="00E056B2" w:rsidRPr="003D1614" w:rsidRDefault="00E056B2" w:rsidP="00E056B2">
            <w:pPr>
              <w:tabs>
                <w:tab w:val="right" w:pos="1202"/>
              </w:tabs>
              <w:suppressAutoHyphens/>
              <w:autoSpaceDN w:val="0"/>
              <w:jc w:val="right"/>
              <w:outlineLvl w:val="0"/>
              <w:rPr>
                <w:rFonts w:ascii="Arial" w:eastAsia="Times New Roman" w:hAnsi="Arial" w:cs="Arial"/>
                <w:b/>
                <w:color w:val="000000" w:themeColor="text1"/>
                <w:sz w:val="17"/>
                <w:szCs w:val="17"/>
              </w:rPr>
            </w:pPr>
          </w:p>
        </w:tc>
      </w:tr>
      <w:tr w:rsidR="00B60F8B" w:rsidRPr="003D1614" w14:paraId="4D8B43D5" w14:textId="77777777" w:rsidTr="00AD0393">
        <w:trPr>
          <w:trHeight w:hRule="exact" w:val="211"/>
        </w:trPr>
        <w:tc>
          <w:tcPr>
            <w:tcW w:w="1597" w:type="pct"/>
            <w:tcBorders>
              <w:top w:val="nil"/>
              <w:left w:val="nil"/>
              <w:bottom w:val="nil"/>
              <w:right w:val="nil"/>
            </w:tcBorders>
            <w:shd w:val="clear" w:color="auto" w:fill="auto"/>
            <w:vAlign w:val="center"/>
          </w:tcPr>
          <w:p w14:paraId="64D1BAE8" w14:textId="77777777" w:rsidR="00B60F8B" w:rsidRPr="003D1614" w:rsidRDefault="00B60F8B" w:rsidP="00B60F8B">
            <w:pPr>
              <w:tabs>
                <w:tab w:val="right" w:pos="1202"/>
              </w:tabs>
              <w:suppressAutoHyphens/>
              <w:autoSpaceDN w:val="0"/>
              <w:outlineLvl w:val="0"/>
              <w:rPr>
                <w:rFonts w:ascii="Arial" w:eastAsia="Times New Roman" w:hAnsi="Arial" w:cs="Arial"/>
                <w:b/>
                <w:bCs/>
                <w:color w:val="000000" w:themeColor="text1"/>
                <w:sz w:val="17"/>
                <w:szCs w:val="17"/>
              </w:rPr>
            </w:pPr>
            <w:bookmarkStart w:id="895" w:name="_Toc67330487"/>
            <w:r w:rsidRPr="003D1614">
              <w:rPr>
                <w:rFonts w:ascii="Arial" w:eastAsia="Calibri" w:hAnsi="Arial" w:cs="Arial"/>
                <w:color w:val="000000" w:themeColor="text1"/>
                <w:spacing w:val="-2"/>
                <w:sz w:val="17"/>
                <w:szCs w:val="17"/>
              </w:rPr>
              <w:t>Izdane garancije u kunama</w:t>
            </w:r>
            <w:bookmarkEnd w:id="895"/>
          </w:p>
        </w:tc>
        <w:tc>
          <w:tcPr>
            <w:tcW w:w="557" w:type="pct"/>
            <w:tcBorders>
              <w:top w:val="nil"/>
              <w:left w:val="nil"/>
              <w:bottom w:val="nil"/>
              <w:right w:val="nil"/>
            </w:tcBorders>
            <w:shd w:val="clear" w:color="auto" w:fill="auto"/>
            <w:vAlign w:val="bottom"/>
          </w:tcPr>
          <w:p w14:paraId="5CFC3C08" w14:textId="51D2BFFF" w:rsidR="00B60F8B" w:rsidRPr="003D1614" w:rsidRDefault="00B60F8B" w:rsidP="00B60F8B">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Times New Roman" w:hAnsi="Arial" w:cs="Arial"/>
                <w:color w:val="000000"/>
                <w:sz w:val="17"/>
                <w:szCs w:val="17"/>
              </w:rPr>
              <w:t>36.431</w:t>
            </w:r>
          </w:p>
        </w:tc>
        <w:tc>
          <w:tcPr>
            <w:tcW w:w="557" w:type="pct"/>
            <w:tcBorders>
              <w:top w:val="nil"/>
              <w:left w:val="nil"/>
              <w:bottom w:val="nil"/>
              <w:right w:val="nil"/>
            </w:tcBorders>
            <w:shd w:val="clear" w:color="auto" w:fill="auto"/>
            <w:vAlign w:val="bottom"/>
          </w:tcPr>
          <w:p w14:paraId="5397F25F" w14:textId="1D1C816A" w:rsidR="00B60F8B" w:rsidRPr="003D1614" w:rsidRDefault="00B60F8B" w:rsidP="00B60F8B">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0739FCD5" w14:textId="699D88EF" w:rsidR="00B60F8B" w:rsidRPr="003D1614" w:rsidRDefault="00B60F8B" w:rsidP="00B60F8B">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56A53472" w14:textId="5B9B3953" w:rsidR="00B60F8B" w:rsidRPr="003D1614" w:rsidRDefault="00B60F8B" w:rsidP="00B60F8B">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1AD9D4AE" w14:textId="6CF312B2" w:rsidR="00B60F8B" w:rsidRPr="003D1614" w:rsidRDefault="00B60F8B" w:rsidP="00B60F8B">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sz w:val="17"/>
                <w:szCs w:val="17"/>
              </w:rPr>
              <w:t>-</w:t>
            </w:r>
          </w:p>
        </w:tc>
        <w:tc>
          <w:tcPr>
            <w:tcW w:w="621" w:type="pct"/>
            <w:tcBorders>
              <w:top w:val="nil"/>
              <w:left w:val="nil"/>
              <w:bottom w:val="nil"/>
              <w:right w:val="nil"/>
            </w:tcBorders>
            <w:shd w:val="clear" w:color="auto" w:fill="auto"/>
            <w:vAlign w:val="bottom"/>
          </w:tcPr>
          <w:p w14:paraId="31C0D3D4" w14:textId="442125EF" w:rsidR="00B60F8B" w:rsidRPr="003D1614" w:rsidRDefault="00B60F8B" w:rsidP="00B60F8B">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Times New Roman" w:hAnsi="Arial" w:cs="Arial"/>
                <w:color w:val="000000"/>
                <w:sz w:val="17"/>
                <w:szCs w:val="17"/>
              </w:rPr>
              <w:t>36.431</w:t>
            </w:r>
          </w:p>
        </w:tc>
      </w:tr>
      <w:tr w:rsidR="00B60F8B" w:rsidRPr="003D1614" w14:paraId="70FC2E50" w14:textId="77777777" w:rsidTr="00AD0393">
        <w:trPr>
          <w:trHeight w:hRule="exact" w:val="211"/>
        </w:trPr>
        <w:tc>
          <w:tcPr>
            <w:tcW w:w="1597" w:type="pct"/>
            <w:tcBorders>
              <w:top w:val="nil"/>
              <w:left w:val="nil"/>
              <w:bottom w:val="nil"/>
              <w:right w:val="nil"/>
            </w:tcBorders>
            <w:shd w:val="clear" w:color="auto" w:fill="auto"/>
            <w:vAlign w:val="center"/>
          </w:tcPr>
          <w:p w14:paraId="72B617B8" w14:textId="77777777" w:rsidR="00B60F8B" w:rsidRPr="003D1614" w:rsidRDefault="00B60F8B" w:rsidP="00B60F8B">
            <w:pPr>
              <w:tabs>
                <w:tab w:val="right" w:pos="1202"/>
              </w:tabs>
              <w:suppressAutoHyphens/>
              <w:autoSpaceDN w:val="0"/>
              <w:outlineLvl w:val="0"/>
              <w:rPr>
                <w:rFonts w:ascii="Arial" w:eastAsia="Times New Roman" w:hAnsi="Arial" w:cs="Arial"/>
                <w:b/>
                <w:bCs/>
                <w:color w:val="000000" w:themeColor="text1"/>
                <w:sz w:val="17"/>
                <w:szCs w:val="17"/>
              </w:rPr>
            </w:pPr>
            <w:bookmarkStart w:id="896" w:name="_Toc67330490"/>
            <w:r w:rsidRPr="003D1614">
              <w:rPr>
                <w:rFonts w:ascii="Arial" w:eastAsia="Calibri" w:hAnsi="Arial" w:cs="Arial"/>
                <w:color w:val="000000" w:themeColor="text1"/>
                <w:spacing w:val="-2"/>
                <w:sz w:val="17"/>
                <w:szCs w:val="17"/>
              </w:rPr>
              <w:t>Izdane garancije u devizama</w:t>
            </w:r>
            <w:bookmarkEnd w:id="896"/>
          </w:p>
        </w:tc>
        <w:tc>
          <w:tcPr>
            <w:tcW w:w="557" w:type="pct"/>
            <w:tcBorders>
              <w:top w:val="nil"/>
              <w:left w:val="nil"/>
              <w:bottom w:val="nil"/>
              <w:right w:val="nil"/>
            </w:tcBorders>
            <w:shd w:val="clear" w:color="auto" w:fill="auto"/>
            <w:vAlign w:val="bottom"/>
          </w:tcPr>
          <w:p w14:paraId="4EB8E9C6" w14:textId="46B9119F" w:rsidR="00B60F8B" w:rsidRPr="003D1614" w:rsidRDefault="00B60F8B" w:rsidP="00B60F8B">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Times New Roman" w:hAnsi="Arial" w:cs="Arial"/>
                <w:color w:val="000000"/>
                <w:sz w:val="17"/>
                <w:szCs w:val="17"/>
              </w:rPr>
              <w:t>7.425</w:t>
            </w:r>
          </w:p>
        </w:tc>
        <w:tc>
          <w:tcPr>
            <w:tcW w:w="557" w:type="pct"/>
            <w:tcBorders>
              <w:top w:val="nil"/>
              <w:left w:val="nil"/>
              <w:bottom w:val="nil"/>
              <w:right w:val="nil"/>
            </w:tcBorders>
            <w:shd w:val="clear" w:color="auto" w:fill="auto"/>
            <w:vAlign w:val="bottom"/>
          </w:tcPr>
          <w:p w14:paraId="26ED3B8E" w14:textId="44E5EBC2" w:rsidR="00B60F8B" w:rsidRPr="003D1614" w:rsidRDefault="00B60F8B" w:rsidP="00B60F8B">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76127C44" w14:textId="43925A00" w:rsidR="00B60F8B" w:rsidRPr="003D1614" w:rsidRDefault="00B60F8B" w:rsidP="00B60F8B">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3E363A0F" w14:textId="60939AC0" w:rsidR="00B60F8B" w:rsidRPr="003D1614" w:rsidRDefault="00B60F8B" w:rsidP="00B60F8B">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415E26F1" w14:textId="19A48F0B" w:rsidR="00B60F8B" w:rsidRPr="003D1614" w:rsidRDefault="00B60F8B" w:rsidP="00B60F8B">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sz w:val="17"/>
                <w:szCs w:val="17"/>
              </w:rPr>
              <w:t>-</w:t>
            </w:r>
          </w:p>
        </w:tc>
        <w:tc>
          <w:tcPr>
            <w:tcW w:w="621" w:type="pct"/>
            <w:tcBorders>
              <w:top w:val="nil"/>
              <w:left w:val="nil"/>
              <w:bottom w:val="nil"/>
              <w:right w:val="nil"/>
            </w:tcBorders>
            <w:shd w:val="clear" w:color="auto" w:fill="auto"/>
            <w:vAlign w:val="bottom"/>
          </w:tcPr>
          <w:p w14:paraId="5408CF0E" w14:textId="591063EC" w:rsidR="00B60F8B" w:rsidRPr="003D1614" w:rsidRDefault="00B60F8B" w:rsidP="00B60F8B">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Times New Roman" w:hAnsi="Arial" w:cs="Arial"/>
                <w:color w:val="000000"/>
                <w:sz w:val="17"/>
                <w:szCs w:val="17"/>
              </w:rPr>
              <w:t>7.425</w:t>
            </w:r>
          </w:p>
        </w:tc>
      </w:tr>
      <w:tr w:rsidR="00B60F8B" w:rsidRPr="003D1614" w14:paraId="49743FF4" w14:textId="77777777" w:rsidTr="00AD0393">
        <w:trPr>
          <w:trHeight w:hRule="exact" w:val="211"/>
        </w:trPr>
        <w:tc>
          <w:tcPr>
            <w:tcW w:w="1597" w:type="pct"/>
            <w:tcBorders>
              <w:top w:val="nil"/>
              <w:left w:val="nil"/>
              <w:bottom w:val="nil"/>
              <w:right w:val="nil"/>
            </w:tcBorders>
            <w:shd w:val="clear" w:color="auto" w:fill="auto"/>
            <w:vAlign w:val="center"/>
          </w:tcPr>
          <w:p w14:paraId="160EA9C4" w14:textId="77777777" w:rsidR="00B60F8B" w:rsidRPr="003D1614" w:rsidRDefault="00B60F8B" w:rsidP="00B60F8B">
            <w:pPr>
              <w:tabs>
                <w:tab w:val="right" w:pos="1202"/>
              </w:tabs>
              <w:suppressAutoHyphens/>
              <w:autoSpaceDN w:val="0"/>
              <w:outlineLvl w:val="0"/>
              <w:rPr>
                <w:rFonts w:ascii="Arial" w:eastAsia="Times New Roman" w:hAnsi="Arial" w:cs="Arial"/>
                <w:b/>
                <w:bCs/>
                <w:color w:val="000000" w:themeColor="text1"/>
                <w:sz w:val="17"/>
                <w:szCs w:val="17"/>
              </w:rPr>
            </w:pPr>
            <w:bookmarkStart w:id="897" w:name="_Toc67330496"/>
            <w:r w:rsidRPr="003D1614">
              <w:rPr>
                <w:rFonts w:ascii="Arial" w:eastAsia="Calibri" w:hAnsi="Arial" w:cs="Arial"/>
                <w:color w:val="000000" w:themeColor="text1"/>
                <w:spacing w:val="-2"/>
                <w:sz w:val="17"/>
                <w:szCs w:val="17"/>
              </w:rPr>
              <w:t>Preuzete obveze po kreditima</w:t>
            </w:r>
            <w:bookmarkEnd w:id="897"/>
          </w:p>
        </w:tc>
        <w:tc>
          <w:tcPr>
            <w:tcW w:w="557" w:type="pct"/>
            <w:tcBorders>
              <w:top w:val="nil"/>
              <w:left w:val="nil"/>
              <w:bottom w:val="nil"/>
              <w:right w:val="nil"/>
            </w:tcBorders>
            <w:shd w:val="clear" w:color="auto" w:fill="auto"/>
            <w:vAlign w:val="bottom"/>
          </w:tcPr>
          <w:p w14:paraId="4B937B5A" w14:textId="64D64726" w:rsidR="00B60F8B" w:rsidRPr="003D1614" w:rsidRDefault="00B60F8B" w:rsidP="00B60F8B">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Times New Roman" w:hAnsi="Arial" w:cs="Arial"/>
                <w:color w:val="000000"/>
                <w:sz w:val="17"/>
                <w:szCs w:val="17"/>
              </w:rPr>
              <w:t>556.993</w:t>
            </w:r>
          </w:p>
        </w:tc>
        <w:tc>
          <w:tcPr>
            <w:tcW w:w="557" w:type="pct"/>
            <w:tcBorders>
              <w:top w:val="nil"/>
              <w:left w:val="nil"/>
              <w:bottom w:val="nil"/>
              <w:right w:val="nil"/>
            </w:tcBorders>
            <w:shd w:val="clear" w:color="auto" w:fill="auto"/>
            <w:vAlign w:val="bottom"/>
          </w:tcPr>
          <w:p w14:paraId="73EFF98B" w14:textId="0B7464A9" w:rsidR="00B60F8B" w:rsidRPr="003D1614" w:rsidRDefault="00B60F8B" w:rsidP="00B60F8B">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58453F22" w14:textId="0B46516F" w:rsidR="00B60F8B" w:rsidRPr="003D1614" w:rsidRDefault="00B60F8B" w:rsidP="00B60F8B">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7393DC15" w14:textId="23AEBEFB" w:rsidR="00B60F8B" w:rsidRPr="003D1614" w:rsidRDefault="00B60F8B" w:rsidP="00B60F8B">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0A6EFE94" w14:textId="01E16ABF" w:rsidR="00B60F8B" w:rsidRPr="003D1614" w:rsidRDefault="00B60F8B" w:rsidP="00B60F8B">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sz w:val="17"/>
                <w:szCs w:val="17"/>
              </w:rPr>
              <w:t>-</w:t>
            </w:r>
          </w:p>
        </w:tc>
        <w:tc>
          <w:tcPr>
            <w:tcW w:w="621" w:type="pct"/>
            <w:tcBorders>
              <w:top w:val="nil"/>
              <w:left w:val="nil"/>
              <w:bottom w:val="nil"/>
              <w:right w:val="nil"/>
            </w:tcBorders>
            <w:shd w:val="clear" w:color="auto" w:fill="auto"/>
            <w:vAlign w:val="bottom"/>
          </w:tcPr>
          <w:p w14:paraId="5F292B70" w14:textId="3FC8C068" w:rsidR="00B60F8B" w:rsidRPr="003D1614" w:rsidRDefault="00B60F8B" w:rsidP="00B60F8B">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Times New Roman" w:hAnsi="Arial" w:cs="Arial"/>
                <w:color w:val="000000"/>
                <w:sz w:val="17"/>
                <w:szCs w:val="17"/>
              </w:rPr>
              <w:t>556.993</w:t>
            </w:r>
          </w:p>
        </w:tc>
      </w:tr>
      <w:tr w:rsidR="00B60F8B" w:rsidRPr="003D1614" w14:paraId="47087276" w14:textId="77777777" w:rsidTr="00AD0393">
        <w:trPr>
          <w:trHeight w:hRule="exact" w:val="211"/>
        </w:trPr>
        <w:tc>
          <w:tcPr>
            <w:tcW w:w="1597" w:type="pct"/>
            <w:tcBorders>
              <w:top w:val="nil"/>
              <w:left w:val="nil"/>
              <w:bottom w:val="nil"/>
              <w:right w:val="nil"/>
            </w:tcBorders>
            <w:shd w:val="clear" w:color="auto" w:fill="auto"/>
            <w:vAlign w:val="bottom"/>
          </w:tcPr>
          <w:p w14:paraId="0BC64C6F" w14:textId="77777777" w:rsidR="00B60F8B" w:rsidRPr="003D1614" w:rsidRDefault="00B60F8B" w:rsidP="00B60F8B">
            <w:pPr>
              <w:tabs>
                <w:tab w:val="right" w:pos="1202"/>
              </w:tabs>
              <w:suppressAutoHyphens/>
              <w:autoSpaceDN w:val="0"/>
              <w:outlineLvl w:val="0"/>
              <w:rPr>
                <w:rFonts w:ascii="Arial" w:eastAsia="Calibri" w:hAnsi="Arial" w:cs="Arial"/>
                <w:color w:val="000000" w:themeColor="text1"/>
                <w:spacing w:val="-2"/>
                <w:sz w:val="17"/>
                <w:szCs w:val="17"/>
              </w:rPr>
            </w:pPr>
            <w:bookmarkStart w:id="898" w:name="_Toc67330499"/>
            <w:r w:rsidRPr="003D1614">
              <w:rPr>
                <w:rFonts w:ascii="Arial" w:eastAsia="Times New Roman" w:hAnsi="Arial" w:cs="Arial"/>
                <w:color w:val="000000" w:themeColor="text1"/>
                <w:sz w:val="17"/>
                <w:szCs w:val="17"/>
              </w:rPr>
              <w:t>Upisani a neuplaćeni kapital EIF-a</w:t>
            </w:r>
            <w:bookmarkEnd w:id="898"/>
          </w:p>
        </w:tc>
        <w:tc>
          <w:tcPr>
            <w:tcW w:w="557" w:type="pct"/>
            <w:tcBorders>
              <w:top w:val="nil"/>
              <w:left w:val="nil"/>
              <w:bottom w:val="nil"/>
              <w:right w:val="nil"/>
            </w:tcBorders>
            <w:shd w:val="clear" w:color="auto" w:fill="auto"/>
            <w:vAlign w:val="bottom"/>
          </w:tcPr>
          <w:p w14:paraId="516EFB2A" w14:textId="138A3745" w:rsidR="00B60F8B" w:rsidRPr="003D1614" w:rsidRDefault="00B60F8B" w:rsidP="00B60F8B">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Times New Roman" w:hAnsi="Arial" w:cs="Arial"/>
                <w:color w:val="000000"/>
                <w:sz w:val="17"/>
                <w:szCs w:val="17"/>
              </w:rPr>
              <w:t>10.400</w:t>
            </w:r>
          </w:p>
        </w:tc>
        <w:tc>
          <w:tcPr>
            <w:tcW w:w="557" w:type="pct"/>
            <w:tcBorders>
              <w:top w:val="nil"/>
              <w:left w:val="nil"/>
              <w:bottom w:val="nil"/>
              <w:right w:val="nil"/>
            </w:tcBorders>
            <w:shd w:val="clear" w:color="auto" w:fill="auto"/>
            <w:vAlign w:val="bottom"/>
          </w:tcPr>
          <w:p w14:paraId="29A666FB" w14:textId="3877023F" w:rsidR="00B60F8B" w:rsidRPr="003D1614" w:rsidRDefault="00B60F8B" w:rsidP="00B60F8B">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6FC97429" w14:textId="489DFCDC" w:rsidR="00B60F8B" w:rsidRPr="003D1614" w:rsidRDefault="00B60F8B" w:rsidP="00B60F8B">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1E7A45F4" w14:textId="6FFA52D2" w:rsidR="00B60F8B" w:rsidRPr="003D1614" w:rsidRDefault="00B60F8B" w:rsidP="00B60F8B">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sz w:val="17"/>
                <w:szCs w:val="17"/>
              </w:rPr>
              <w:t>-</w:t>
            </w:r>
          </w:p>
        </w:tc>
        <w:tc>
          <w:tcPr>
            <w:tcW w:w="556" w:type="pct"/>
            <w:tcBorders>
              <w:top w:val="nil"/>
              <w:left w:val="nil"/>
              <w:bottom w:val="nil"/>
              <w:right w:val="nil"/>
            </w:tcBorders>
            <w:shd w:val="clear" w:color="auto" w:fill="auto"/>
            <w:vAlign w:val="bottom"/>
          </w:tcPr>
          <w:p w14:paraId="53DA5B42" w14:textId="71482664" w:rsidR="00B60F8B" w:rsidRPr="003D1614" w:rsidRDefault="00B60F8B" w:rsidP="00B60F8B">
            <w:pPr>
              <w:suppressAutoHyphens/>
              <w:autoSpaceDN w:val="0"/>
              <w:jc w:val="right"/>
              <w:rPr>
                <w:rFonts w:ascii="Arial" w:eastAsia="Times New Roman" w:hAnsi="Arial" w:cs="Arial"/>
                <w:color w:val="000000" w:themeColor="text1"/>
                <w:sz w:val="17"/>
                <w:szCs w:val="17"/>
              </w:rPr>
            </w:pPr>
            <w:r>
              <w:rPr>
                <w:rFonts w:ascii="Arial" w:eastAsia="Times New Roman" w:hAnsi="Arial" w:cs="Arial"/>
                <w:color w:val="000000"/>
                <w:sz w:val="17"/>
                <w:szCs w:val="17"/>
              </w:rPr>
              <w:t>-</w:t>
            </w:r>
          </w:p>
        </w:tc>
        <w:tc>
          <w:tcPr>
            <w:tcW w:w="621" w:type="pct"/>
            <w:tcBorders>
              <w:top w:val="nil"/>
              <w:left w:val="nil"/>
              <w:bottom w:val="nil"/>
              <w:right w:val="nil"/>
            </w:tcBorders>
            <w:shd w:val="clear" w:color="auto" w:fill="auto"/>
            <w:vAlign w:val="bottom"/>
          </w:tcPr>
          <w:p w14:paraId="7AEBE6F6" w14:textId="77F5BDF0" w:rsidR="00B60F8B" w:rsidRPr="003D1614" w:rsidRDefault="00B60F8B" w:rsidP="00B60F8B">
            <w:pPr>
              <w:tabs>
                <w:tab w:val="right" w:pos="1202"/>
              </w:tabs>
              <w:suppressAutoHyphens/>
              <w:autoSpaceDN w:val="0"/>
              <w:spacing w:line="240" w:lineRule="exact"/>
              <w:jc w:val="right"/>
              <w:outlineLvl w:val="0"/>
              <w:rPr>
                <w:rFonts w:ascii="Arial" w:eastAsia="Calibri" w:hAnsi="Arial" w:cs="Arial"/>
                <w:color w:val="000000" w:themeColor="text1"/>
                <w:spacing w:val="-2"/>
                <w:sz w:val="17"/>
                <w:szCs w:val="17"/>
              </w:rPr>
            </w:pPr>
            <w:r>
              <w:rPr>
                <w:rFonts w:ascii="Arial" w:eastAsia="Times New Roman" w:hAnsi="Arial" w:cs="Arial"/>
                <w:color w:val="000000"/>
                <w:sz w:val="17"/>
                <w:szCs w:val="17"/>
              </w:rPr>
              <w:t>10.400</w:t>
            </w:r>
          </w:p>
        </w:tc>
      </w:tr>
      <w:tr w:rsidR="00B60F8B" w:rsidRPr="003D1614" w14:paraId="554DDD91" w14:textId="77777777" w:rsidTr="00AD0393">
        <w:trPr>
          <w:trHeight w:hRule="exact" w:val="211"/>
        </w:trPr>
        <w:tc>
          <w:tcPr>
            <w:tcW w:w="1597" w:type="pct"/>
            <w:tcBorders>
              <w:top w:val="nil"/>
              <w:left w:val="nil"/>
              <w:bottom w:val="nil"/>
              <w:right w:val="nil"/>
            </w:tcBorders>
            <w:shd w:val="clear" w:color="auto" w:fill="auto"/>
            <w:vAlign w:val="bottom"/>
          </w:tcPr>
          <w:p w14:paraId="2A1C05E4" w14:textId="77777777" w:rsidR="00B60F8B" w:rsidRPr="003D1614" w:rsidRDefault="00B60F8B" w:rsidP="00B60F8B">
            <w:pPr>
              <w:tabs>
                <w:tab w:val="right" w:pos="1202"/>
              </w:tabs>
              <w:suppressAutoHyphens/>
              <w:autoSpaceDN w:val="0"/>
              <w:outlineLvl w:val="0"/>
              <w:rPr>
                <w:rFonts w:ascii="Arial" w:eastAsia="Times New Roman" w:hAnsi="Arial" w:cs="Arial"/>
                <w:color w:val="000000" w:themeColor="text1"/>
                <w:sz w:val="17"/>
                <w:szCs w:val="17"/>
              </w:rPr>
            </w:pPr>
            <w:bookmarkStart w:id="899" w:name="_Toc67330502"/>
            <w:r w:rsidRPr="003D1614">
              <w:rPr>
                <w:rFonts w:ascii="Arial" w:eastAsia="Times New Roman" w:hAnsi="Arial" w:cs="Arial"/>
                <w:color w:val="000000"/>
                <w:sz w:val="17"/>
                <w:szCs w:val="17"/>
              </w:rPr>
              <w:t>Ugovorena obveza EIF CROGIP</w:t>
            </w:r>
            <w:bookmarkEnd w:id="899"/>
          </w:p>
        </w:tc>
        <w:tc>
          <w:tcPr>
            <w:tcW w:w="557" w:type="pct"/>
            <w:tcBorders>
              <w:top w:val="nil"/>
              <w:left w:val="nil"/>
              <w:bottom w:val="nil"/>
              <w:right w:val="nil"/>
            </w:tcBorders>
            <w:shd w:val="clear" w:color="auto" w:fill="auto"/>
            <w:vAlign w:val="bottom"/>
          </w:tcPr>
          <w:p w14:paraId="101ABA52" w14:textId="2984AAE2" w:rsidR="00B60F8B" w:rsidRPr="003D1614" w:rsidRDefault="00B60F8B" w:rsidP="00B60F8B">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204</w:t>
            </w:r>
          </w:p>
        </w:tc>
        <w:tc>
          <w:tcPr>
            <w:tcW w:w="557" w:type="pct"/>
            <w:tcBorders>
              <w:top w:val="nil"/>
              <w:left w:val="nil"/>
              <w:bottom w:val="nil"/>
              <w:right w:val="nil"/>
            </w:tcBorders>
            <w:shd w:val="clear" w:color="auto" w:fill="auto"/>
            <w:vAlign w:val="bottom"/>
          </w:tcPr>
          <w:p w14:paraId="6C6AA1FF" w14:textId="619C5BF8" w:rsidR="00B60F8B" w:rsidRPr="003D1614" w:rsidRDefault="00B60F8B" w:rsidP="00B60F8B">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2.456</w:t>
            </w:r>
          </w:p>
        </w:tc>
        <w:tc>
          <w:tcPr>
            <w:tcW w:w="556" w:type="pct"/>
            <w:tcBorders>
              <w:top w:val="nil"/>
              <w:left w:val="nil"/>
              <w:bottom w:val="nil"/>
              <w:right w:val="nil"/>
            </w:tcBorders>
            <w:shd w:val="clear" w:color="auto" w:fill="auto"/>
            <w:vAlign w:val="bottom"/>
          </w:tcPr>
          <w:p w14:paraId="51D5950B" w14:textId="468117F4" w:rsidR="00B60F8B" w:rsidRPr="003D1614" w:rsidRDefault="00B60F8B" w:rsidP="00B60F8B">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6.070</w:t>
            </w:r>
          </w:p>
        </w:tc>
        <w:tc>
          <w:tcPr>
            <w:tcW w:w="556" w:type="pct"/>
            <w:tcBorders>
              <w:top w:val="nil"/>
              <w:left w:val="nil"/>
              <w:bottom w:val="nil"/>
              <w:right w:val="nil"/>
            </w:tcBorders>
            <w:shd w:val="clear" w:color="auto" w:fill="auto"/>
            <w:vAlign w:val="bottom"/>
          </w:tcPr>
          <w:p w14:paraId="09C3A5EF" w14:textId="6180C3D4" w:rsidR="00B60F8B" w:rsidRPr="003D1614" w:rsidRDefault="00B60F8B" w:rsidP="00B60F8B">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15.400</w:t>
            </w:r>
          </w:p>
        </w:tc>
        <w:tc>
          <w:tcPr>
            <w:tcW w:w="556" w:type="pct"/>
            <w:tcBorders>
              <w:top w:val="nil"/>
              <w:left w:val="nil"/>
              <w:bottom w:val="nil"/>
              <w:right w:val="nil"/>
            </w:tcBorders>
            <w:shd w:val="clear" w:color="auto" w:fill="auto"/>
            <w:vAlign w:val="bottom"/>
          </w:tcPr>
          <w:p w14:paraId="31C17A9F" w14:textId="23E59434" w:rsidR="00B60F8B" w:rsidRPr="003D1614" w:rsidRDefault="00B60F8B" w:rsidP="00B60F8B">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6.330</w:t>
            </w:r>
          </w:p>
        </w:tc>
        <w:tc>
          <w:tcPr>
            <w:tcW w:w="621" w:type="pct"/>
            <w:tcBorders>
              <w:top w:val="nil"/>
              <w:left w:val="nil"/>
              <w:bottom w:val="nil"/>
              <w:right w:val="nil"/>
            </w:tcBorders>
            <w:shd w:val="clear" w:color="auto" w:fill="auto"/>
            <w:vAlign w:val="bottom"/>
          </w:tcPr>
          <w:p w14:paraId="6689F376" w14:textId="39734FDB" w:rsidR="00B60F8B" w:rsidRPr="003D1614" w:rsidRDefault="00B60F8B" w:rsidP="00B60F8B">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30.460</w:t>
            </w:r>
          </w:p>
        </w:tc>
      </w:tr>
      <w:tr w:rsidR="00B60F8B" w:rsidRPr="003D1614" w14:paraId="7DEDE517" w14:textId="77777777" w:rsidTr="00AD0393">
        <w:trPr>
          <w:trHeight w:hRule="exact" w:val="211"/>
        </w:trPr>
        <w:tc>
          <w:tcPr>
            <w:tcW w:w="1597" w:type="pct"/>
            <w:tcBorders>
              <w:top w:val="nil"/>
              <w:left w:val="nil"/>
              <w:bottom w:val="nil"/>
              <w:right w:val="nil"/>
            </w:tcBorders>
            <w:shd w:val="clear" w:color="auto" w:fill="auto"/>
            <w:vAlign w:val="bottom"/>
          </w:tcPr>
          <w:p w14:paraId="2739EC81" w14:textId="77777777" w:rsidR="00B60F8B" w:rsidRPr="003D1614" w:rsidRDefault="00B60F8B" w:rsidP="00B60F8B">
            <w:pPr>
              <w:tabs>
                <w:tab w:val="right" w:pos="1202"/>
              </w:tabs>
              <w:suppressAutoHyphens/>
              <w:autoSpaceDN w:val="0"/>
              <w:outlineLvl w:val="0"/>
              <w:rPr>
                <w:rFonts w:ascii="Arial" w:eastAsia="Times New Roman" w:hAnsi="Arial" w:cs="Arial"/>
                <w:color w:val="000000" w:themeColor="text1"/>
                <w:sz w:val="17"/>
                <w:szCs w:val="17"/>
              </w:rPr>
            </w:pPr>
            <w:bookmarkStart w:id="900" w:name="_Toc67330505"/>
            <w:r w:rsidRPr="003D1614">
              <w:rPr>
                <w:rFonts w:ascii="Arial" w:eastAsia="Times New Roman" w:hAnsi="Arial" w:cs="Arial"/>
                <w:color w:val="000000"/>
                <w:sz w:val="17"/>
                <w:szCs w:val="17"/>
              </w:rPr>
              <w:t>Ugovorena obveza EIF FRC2</w:t>
            </w:r>
            <w:bookmarkEnd w:id="900"/>
          </w:p>
        </w:tc>
        <w:tc>
          <w:tcPr>
            <w:tcW w:w="557" w:type="pct"/>
            <w:tcBorders>
              <w:top w:val="nil"/>
              <w:left w:val="nil"/>
              <w:bottom w:val="single" w:sz="8" w:space="0" w:color="auto"/>
              <w:right w:val="nil"/>
            </w:tcBorders>
            <w:shd w:val="clear" w:color="auto" w:fill="auto"/>
            <w:vAlign w:val="bottom"/>
          </w:tcPr>
          <w:p w14:paraId="7432C8C2" w14:textId="17CB4A8B" w:rsidR="00B60F8B" w:rsidRPr="003D1614" w:rsidRDefault="00B60F8B" w:rsidP="00B60F8B">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5</w:t>
            </w:r>
          </w:p>
        </w:tc>
        <w:tc>
          <w:tcPr>
            <w:tcW w:w="557" w:type="pct"/>
            <w:tcBorders>
              <w:top w:val="nil"/>
              <w:left w:val="nil"/>
              <w:bottom w:val="single" w:sz="8" w:space="0" w:color="auto"/>
              <w:right w:val="nil"/>
            </w:tcBorders>
            <w:shd w:val="clear" w:color="auto" w:fill="auto"/>
            <w:vAlign w:val="bottom"/>
          </w:tcPr>
          <w:p w14:paraId="5B4CA7A5" w14:textId="6CF782FF" w:rsidR="00B60F8B" w:rsidRPr="003D1614" w:rsidRDefault="00B60F8B" w:rsidP="00B60F8B">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2</w:t>
            </w:r>
          </w:p>
        </w:tc>
        <w:tc>
          <w:tcPr>
            <w:tcW w:w="556" w:type="pct"/>
            <w:tcBorders>
              <w:top w:val="nil"/>
              <w:left w:val="nil"/>
              <w:bottom w:val="single" w:sz="8" w:space="0" w:color="auto"/>
              <w:right w:val="nil"/>
            </w:tcBorders>
            <w:shd w:val="clear" w:color="auto" w:fill="auto"/>
            <w:vAlign w:val="bottom"/>
          </w:tcPr>
          <w:p w14:paraId="26C857CF" w14:textId="6E695BEE" w:rsidR="00B60F8B" w:rsidRPr="003D1614" w:rsidRDefault="00B60F8B" w:rsidP="00B60F8B">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16</w:t>
            </w:r>
          </w:p>
        </w:tc>
        <w:tc>
          <w:tcPr>
            <w:tcW w:w="556" w:type="pct"/>
            <w:tcBorders>
              <w:top w:val="nil"/>
              <w:left w:val="nil"/>
              <w:bottom w:val="single" w:sz="8" w:space="0" w:color="auto"/>
              <w:right w:val="nil"/>
            </w:tcBorders>
            <w:shd w:val="clear" w:color="auto" w:fill="auto"/>
            <w:vAlign w:val="bottom"/>
          </w:tcPr>
          <w:p w14:paraId="6EDD6521" w14:textId="5AF8BDDC" w:rsidR="00B60F8B" w:rsidRPr="003D1614" w:rsidRDefault="00B60F8B" w:rsidP="00B60F8B">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35</w:t>
            </w:r>
          </w:p>
        </w:tc>
        <w:tc>
          <w:tcPr>
            <w:tcW w:w="556" w:type="pct"/>
            <w:tcBorders>
              <w:top w:val="nil"/>
              <w:left w:val="nil"/>
              <w:bottom w:val="single" w:sz="8" w:space="0" w:color="auto"/>
              <w:right w:val="nil"/>
            </w:tcBorders>
            <w:shd w:val="clear" w:color="auto" w:fill="auto"/>
            <w:vAlign w:val="bottom"/>
          </w:tcPr>
          <w:p w14:paraId="3E7DA763" w14:textId="13987944" w:rsidR="00B60F8B" w:rsidRPr="003D1614" w:rsidRDefault="00B60F8B" w:rsidP="00B60F8B">
            <w:pPr>
              <w:suppressAutoHyphens/>
              <w:autoSpaceDN w:val="0"/>
              <w:jc w:val="right"/>
              <w:rPr>
                <w:rFonts w:ascii="Arial" w:eastAsia="Times New Roman" w:hAnsi="Arial" w:cs="Arial"/>
                <w:color w:val="000000"/>
                <w:sz w:val="17"/>
                <w:szCs w:val="17"/>
              </w:rPr>
            </w:pPr>
            <w:r>
              <w:rPr>
                <w:rFonts w:ascii="Arial" w:eastAsia="Times New Roman" w:hAnsi="Arial" w:cs="Arial"/>
                <w:color w:val="000000"/>
                <w:sz w:val="17"/>
                <w:szCs w:val="17"/>
              </w:rPr>
              <w:t>9</w:t>
            </w:r>
          </w:p>
        </w:tc>
        <w:tc>
          <w:tcPr>
            <w:tcW w:w="621" w:type="pct"/>
            <w:tcBorders>
              <w:top w:val="nil"/>
              <w:left w:val="nil"/>
              <w:bottom w:val="single" w:sz="8" w:space="0" w:color="auto"/>
              <w:right w:val="nil"/>
            </w:tcBorders>
            <w:shd w:val="clear" w:color="auto" w:fill="auto"/>
            <w:vAlign w:val="bottom"/>
          </w:tcPr>
          <w:p w14:paraId="758B594D" w14:textId="5B70DF19" w:rsidR="00B60F8B" w:rsidRPr="003D1614" w:rsidRDefault="00B60F8B" w:rsidP="00B60F8B">
            <w:pPr>
              <w:tabs>
                <w:tab w:val="right" w:pos="1202"/>
              </w:tabs>
              <w:suppressAutoHyphens/>
              <w:autoSpaceDN w:val="0"/>
              <w:spacing w:line="240" w:lineRule="exact"/>
              <w:jc w:val="right"/>
              <w:outlineLvl w:val="0"/>
              <w:rPr>
                <w:rFonts w:ascii="Arial" w:eastAsia="Times New Roman" w:hAnsi="Arial" w:cs="Arial"/>
                <w:color w:val="000000"/>
                <w:sz w:val="17"/>
                <w:szCs w:val="17"/>
              </w:rPr>
            </w:pPr>
            <w:r>
              <w:rPr>
                <w:rFonts w:ascii="Arial" w:eastAsia="Times New Roman" w:hAnsi="Arial" w:cs="Arial"/>
                <w:color w:val="000000"/>
                <w:sz w:val="17"/>
                <w:szCs w:val="17"/>
              </w:rPr>
              <w:t>67</w:t>
            </w:r>
          </w:p>
        </w:tc>
      </w:tr>
      <w:tr w:rsidR="00B60F8B" w:rsidRPr="003D1614" w14:paraId="74761BC0" w14:textId="77777777" w:rsidTr="00AD0393">
        <w:trPr>
          <w:trHeight w:hRule="exact" w:val="265"/>
        </w:trPr>
        <w:tc>
          <w:tcPr>
            <w:tcW w:w="1597" w:type="pct"/>
            <w:tcBorders>
              <w:top w:val="nil"/>
              <w:left w:val="nil"/>
              <w:bottom w:val="nil"/>
              <w:right w:val="nil"/>
            </w:tcBorders>
            <w:shd w:val="clear" w:color="auto" w:fill="auto"/>
            <w:vAlign w:val="center"/>
          </w:tcPr>
          <w:p w14:paraId="2A7AA8F4" w14:textId="77777777" w:rsidR="00B60F8B" w:rsidRPr="003D1614" w:rsidRDefault="00B60F8B" w:rsidP="00B60F8B">
            <w:pPr>
              <w:tabs>
                <w:tab w:val="right" w:pos="1202"/>
              </w:tabs>
              <w:suppressAutoHyphens/>
              <w:autoSpaceDN w:val="0"/>
              <w:outlineLvl w:val="0"/>
              <w:rPr>
                <w:rFonts w:ascii="Arial" w:eastAsia="Calibri" w:hAnsi="Arial" w:cs="Arial"/>
                <w:color w:val="000000" w:themeColor="text1"/>
                <w:spacing w:val="-2"/>
                <w:sz w:val="17"/>
                <w:szCs w:val="17"/>
              </w:rPr>
            </w:pPr>
            <w:bookmarkStart w:id="901" w:name="_Toc67330508"/>
            <w:r w:rsidRPr="003D1614">
              <w:rPr>
                <w:rFonts w:ascii="Arial" w:eastAsia="Times New Roman" w:hAnsi="Arial" w:cs="Arial"/>
                <w:b/>
                <w:bCs/>
                <w:color w:val="000000" w:themeColor="text1"/>
                <w:sz w:val="17"/>
                <w:szCs w:val="17"/>
              </w:rPr>
              <w:t>Ukupne garancije i preuzete obveze</w:t>
            </w:r>
            <w:bookmarkEnd w:id="901"/>
          </w:p>
        </w:tc>
        <w:tc>
          <w:tcPr>
            <w:tcW w:w="557" w:type="pct"/>
            <w:tcBorders>
              <w:top w:val="single" w:sz="8" w:space="0" w:color="auto"/>
              <w:left w:val="nil"/>
              <w:bottom w:val="single" w:sz="12" w:space="0" w:color="auto"/>
              <w:right w:val="nil"/>
            </w:tcBorders>
            <w:shd w:val="clear" w:color="auto" w:fill="auto"/>
            <w:vAlign w:val="bottom"/>
          </w:tcPr>
          <w:p w14:paraId="3EB06D63" w14:textId="142BA12B" w:rsidR="00B60F8B" w:rsidRPr="003D1614" w:rsidRDefault="00B60F8B" w:rsidP="00B60F8B">
            <w:pPr>
              <w:tabs>
                <w:tab w:val="right" w:pos="1202"/>
              </w:tabs>
              <w:suppressAutoHyphens/>
              <w:autoSpaceDN w:val="0"/>
              <w:jc w:val="right"/>
              <w:outlineLvl w:val="0"/>
              <w:rPr>
                <w:rFonts w:ascii="Arial" w:eastAsia="Times New Roman" w:hAnsi="Arial" w:cs="Arial"/>
                <w:b/>
                <w:color w:val="000000" w:themeColor="text1"/>
                <w:sz w:val="17"/>
                <w:szCs w:val="17"/>
              </w:rPr>
            </w:pPr>
            <w:r>
              <w:rPr>
                <w:rFonts w:ascii="Arial" w:eastAsia="Times New Roman" w:hAnsi="Arial" w:cs="Arial"/>
                <w:b/>
                <w:bCs/>
                <w:color w:val="000000"/>
                <w:sz w:val="17"/>
                <w:szCs w:val="17"/>
              </w:rPr>
              <w:t>611.458</w:t>
            </w:r>
          </w:p>
        </w:tc>
        <w:tc>
          <w:tcPr>
            <w:tcW w:w="557" w:type="pct"/>
            <w:tcBorders>
              <w:top w:val="single" w:sz="8" w:space="0" w:color="auto"/>
              <w:left w:val="nil"/>
              <w:bottom w:val="single" w:sz="12" w:space="0" w:color="auto"/>
              <w:right w:val="nil"/>
            </w:tcBorders>
            <w:shd w:val="clear" w:color="auto" w:fill="auto"/>
            <w:vAlign w:val="bottom"/>
          </w:tcPr>
          <w:p w14:paraId="11613327" w14:textId="68D2B55A" w:rsidR="00B60F8B" w:rsidRPr="003D1614" w:rsidRDefault="00B60F8B" w:rsidP="00B60F8B">
            <w:pPr>
              <w:suppressAutoHyphens/>
              <w:autoSpaceDN w:val="0"/>
              <w:jc w:val="right"/>
              <w:rPr>
                <w:rFonts w:ascii="Arial" w:eastAsia="Times New Roman" w:hAnsi="Arial" w:cs="Arial"/>
                <w:color w:val="000000" w:themeColor="text1"/>
                <w:sz w:val="17"/>
                <w:szCs w:val="17"/>
              </w:rPr>
            </w:pPr>
            <w:r>
              <w:rPr>
                <w:rFonts w:ascii="Arial" w:eastAsia="Times New Roman" w:hAnsi="Arial" w:cs="Arial"/>
                <w:b/>
                <w:bCs/>
                <w:color w:val="000000"/>
                <w:sz w:val="17"/>
                <w:szCs w:val="17"/>
              </w:rPr>
              <w:t>2.458</w:t>
            </w:r>
          </w:p>
        </w:tc>
        <w:tc>
          <w:tcPr>
            <w:tcW w:w="556" w:type="pct"/>
            <w:tcBorders>
              <w:top w:val="single" w:sz="8" w:space="0" w:color="auto"/>
              <w:left w:val="nil"/>
              <w:bottom w:val="single" w:sz="12" w:space="0" w:color="auto"/>
              <w:right w:val="nil"/>
            </w:tcBorders>
            <w:shd w:val="clear" w:color="auto" w:fill="auto"/>
            <w:vAlign w:val="bottom"/>
          </w:tcPr>
          <w:p w14:paraId="58F41DE2" w14:textId="76842984" w:rsidR="00B60F8B" w:rsidRPr="003D1614" w:rsidRDefault="00B60F8B" w:rsidP="00B60F8B">
            <w:pPr>
              <w:suppressAutoHyphens/>
              <w:autoSpaceDN w:val="0"/>
              <w:jc w:val="right"/>
              <w:rPr>
                <w:rFonts w:ascii="Arial" w:eastAsia="Times New Roman" w:hAnsi="Arial" w:cs="Arial"/>
                <w:color w:val="000000" w:themeColor="text1"/>
                <w:sz w:val="17"/>
                <w:szCs w:val="17"/>
              </w:rPr>
            </w:pPr>
            <w:r>
              <w:rPr>
                <w:rFonts w:ascii="Arial" w:eastAsia="Times New Roman" w:hAnsi="Arial" w:cs="Arial"/>
                <w:b/>
                <w:bCs/>
                <w:color w:val="000000"/>
                <w:sz w:val="17"/>
                <w:szCs w:val="17"/>
              </w:rPr>
              <w:t>6.086</w:t>
            </w:r>
          </w:p>
        </w:tc>
        <w:tc>
          <w:tcPr>
            <w:tcW w:w="556" w:type="pct"/>
            <w:tcBorders>
              <w:top w:val="single" w:sz="8" w:space="0" w:color="auto"/>
              <w:left w:val="nil"/>
              <w:bottom w:val="single" w:sz="12" w:space="0" w:color="auto"/>
              <w:right w:val="nil"/>
            </w:tcBorders>
            <w:shd w:val="clear" w:color="auto" w:fill="auto"/>
            <w:vAlign w:val="bottom"/>
          </w:tcPr>
          <w:p w14:paraId="282B4237" w14:textId="47399567" w:rsidR="00B60F8B" w:rsidRPr="003D1614" w:rsidRDefault="00B60F8B" w:rsidP="00B60F8B">
            <w:pPr>
              <w:suppressAutoHyphens/>
              <w:autoSpaceDN w:val="0"/>
              <w:jc w:val="right"/>
              <w:rPr>
                <w:rFonts w:ascii="Arial" w:eastAsia="Times New Roman" w:hAnsi="Arial" w:cs="Arial"/>
                <w:color w:val="000000" w:themeColor="text1"/>
                <w:sz w:val="17"/>
                <w:szCs w:val="17"/>
              </w:rPr>
            </w:pPr>
            <w:r>
              <w:rPr>
                <w:rFonts w:ascii="Arial" w:eastAsia="Times New Roman" w:hAnsi="Arial" w:cs="Arial"/>
                <w:b/>
                <w:bCs/>
                <w:color w:val="000000"/>
                <w:sz w:val="17"/>
                <w:szCs w:val="17"/>
              </w:rPr>
              <w:t>15.435</w:t>
            </w:r>
          </w:p>
        </w:tc>
        <w:tc>
          <w:tcPr>
            <w:tcW w:w="556" w:type="pct"/>
            <w:tcBorders>
              <w:top w:val="single" w:sz="8" w:space="0" w:color="auto"/>
              <w:left w:val="nil"/>
              <w:bottom w:val="single" w:sz="12" w:space="0" w:color="auto"/>
              <w:right w:val="nil"/>
            </w:tcBorders>
            <w:shd w:val="clear" w:color="auto" w:fill="auto"/>
            <w:vAlign w:val="bottom"/>
          </w:tcPr>
          <w:p w14:paraId="1E980D07" w14:textId="0725725A" w:rsidR="00B60F8B" w:rsidRPr="003D1614" w:rsidRDefault="00B60F8B" w:rsidP="00B60F8B">
            <w:pPr>
              <w:suppressAutoHyphens/>
              <w:autoSpaceDN w:val="0"/>
              <w:jc w:val="right"/>
              <w:rPr>
                <w:rFonts w:ascii="Arial" w:eastAsia="Times New Roman" w:hAnsi="Arial" w:cs="Arial"/>
                <w:color w:val="000000" w:themeColor="text1"/>
                <w:sz w:val="17"/>
                <w:szCs w:val="17"/>
              </w:rPr>
            </w:pPr>
            <w:r>
              <w:rPr>
                <w:rFonts w:ascii="Arial" w:eastAsia="Times New Roman" w:hAnsi="Arial" w:cs="Arial"/>
                <w:b/>
                <w:bCs/>
                <w:color w:val="000000"/>
                <w:sz w:val="17"/>
                <w:szCs w:val="17"/>
              </w:rPr>
              <w:t>6.339</w:t>
            </w:r>
          </w:p>
        </w:tc>
        <w:tc>
          <w:tcPr>
            <w:tcW w:w="621" w:type="pct"/>
            <w:tcBorders>
              <w:top w:val="single" w:sz="8" w:space="0" w:color="auto"/>
              <w:left w:val="nil"/>
              <w:bottom w:val="single" w:sz="12" w:space="0" w:color="auto"/>
              <w:right w:val="nil"/>
            </w:tcBorders>
            <w:shd w:val="clear" w:color="auto" w:fill="auto"/>
            <w:vAlign w:val="bottom"/>
          </w:tcPr>
          <w:p w14:paraId="4A387F3D" w14:textId="42A0A9AE" w:rsidR="00B60F8B" w:rsidRPr="003D1614" w:rsidRDefault="00B60F8B" w:rsidP="00B60F8B">
            <w:pPr>
              <w:tabs>
                <w:tab w:val="right" w:pos="1202"/>
              </w:tabs>
              <w:suppressAutoHyphens/>
              <w:autoSpaceDN w:val="0"/>
              <w:jc w:val="right"/>
              <w:outlineLvl w:val="0"/>
              <w:rPr>
                <w:rFonts w:ascii="Arial" w:eastAsia="Times New Roman" w:hAnsi="Arial" w:cs="Arial"/>
                <w:b/>
                <w:color w:val="000000" w:themeColor="text1"/>
                <w:sz w:val="17"/>
                <w:szCs w:val="17"/>
              </w:rPr>
            </w:pPr>
            <w:r>
              <w:rPr>
                <w:rFonts w:ascii="Arial" w:eastAsia="Times New Roman" w:hAnsi="Arial" w:cs="Arial"/>
                <w:b/>
                <w:bCs/>
                <w:color w:val="000000"/>
                <w:sz w:val="17"/>
                <w:szCs w:val="17"/>
              </w:rPr>
              <w:t>641.776</w:t>
            </w:r>
          </w:p>
        </w:tc>
      </w:tr>
    </w:tbl>
    <w:p w14:paraId="721397B9" w14:textId="77777777" w:rsidR="000C7E59" w:rsidRPr="003D1614" w:rsidRDefault="000C7E59" w:rsidP="000C7E59">
      <w:pPr>
        <w:suppressAutoHyphens/>
        <w:autoSpaceDN w:val="0"/>
        <w:jc w:val="both"/>
        <w:outlineLvl w:val="0"/>
        <w:rPr>
          <w:rFonts w:ascii="Arial" w:eastAsia="Times New Roman" w:hAnsi="Arial" w:cs="Arial"/>
          <w:b/>
          <w:bCs/>
          <w:color w:val="000000" w:themeColor="text1"/>
          <w:sz w:val="20"/>
          <w:szCs w:val="20"/>
        </w:rPr>
      </w:pPr>
    </w:p>
    <w:p w14:paraId="3FBB15BC" w14:textId="15953179" w:rsidR="000C7E59" w:rsidRPr="003D1614" w:rsidRDefault="000C7E59" w:rsidP="00661446">
      <w:pPr>
        <w:suppressAutoHyphens/>
        <w:autoSpaceDN w:val="0"/>
        <w:jc w:val="both"/>
        <w:rPr>
          <w:rFonts w:ascii="Arial" w:eastAsia="Times New Roman" w:hAnsi="Arial" w:cs="Arial"/>
          <w:bCs/>
          <w:i/>
          <w:color w:val="000000" w:themeColor="text1"/>
          <w:sz w:val="18"/>
          <w:szCs w:val="18"/>
        </w:rPr>
      </w:pPr>
    </w:p>
    <w:tbl>
      <w:tblPr>
        <w:tblW w:w="5393" w:type="pct"/>
        <w:tblInd w:w="-499" w:type="dxa"/>
        <w:tblLayout w:type="fixed"/>
        <w:tblCellMar>
          <w:left w:w="120" w:type="dxa"/>
          <w:right w:w="120" w:type="dxa"/>
        </w:tblCellMar>
        <w:tblLook w:val="0000" w:firstRow="0" w:lastRow="0" w:firstColumn="0" w:lastColumn="0" w:noHBand="0" w:noVBand="0"/>
      </w:tblPr>
      <w:tblGrid>
        <w:gridCol w:w="3126"/>
        <w:gridCol w:w="1090"/>
        <w:gridCol w:w="1090"/>
        <w:gridCol w:w="1088"/>
        <w:gridCol w:w="1088"/>
        <w:gridCol w:w="1088"/>
        <w:gridCol w:w="1215"/>
      </w:tblGrid>
      <w:tr w:rsidR="00C61B75" w:rsidRPr="00C40415" w14:paraId="0051D0D7" w14:textId="77777777" w:rsidTr="00CA7F04">
        <w:trPr>
          <w:trHeight w:val="485"/>
        </w:trPr>
        <w:tc>
          <w:tcPr>
            <w:tcW w:w="1597" w:type="pct"/>
          </w:tcPr>
          <w:p w14:paraId="00B253A8" w14:textId="77777777" w:rsidR="00C61B75" w:rsidRPr="00C40415" w:rsidRDefault="00C61B75" w:rsidP="00CA7F04">
            <w:pPr>
              <w:tabs>
                <w:tab w:val="right" w:pos="1202"/>
              </w:tabs>
              <w:spacing w:line="240" w:lineRule="atLeast"/>
              <w:outlineLvl w:val="0"/>
              <w:rPr>
                <w:rFonts w:ascii="Arial" w:hAnsi="Arial" w:cs="Arial"/>
                <w:b/>
                <w:color w:val="000000" w:themeColor="text1"/>
                <w:sz w:val="17"/>
                <w:szCs w:val="17"/>
              </w:rPr>
            </w:pPr>
            <w:r w:rsidRPr="00C40415">
              <w:rPr>
                <w:rFonts w:ascii="Arial" w:hAnsi="Arial" w:cs="Arial"/>
                <w:b/>
                <w:color w:val="000000" w:themeColor="text1"/>
                <w:sz w:val="17"/>
                <w:szCs w:val="17"/>
              </w:rPr>
              <w:t>Banka</w:t>
            </w:r>
          </w:p>
          <w:p w14:paraId="54401225" w14:textId="77777777" w:rsidR="00C61B75" w:rsidRPr="00C40415" w:rsidRDefault="00C61B75" w:rsidP="00CA7F04">
            <w:pPr>
              <w:tabs>
                <w:tab w:val="right" w:pos="1202"/>
              </w:tabs>
              <w:spacing w:line="240" w:lineRule="atLeast"/>
              <w:outlineLvl w:val="0"/>
              <w:rPr>
                <w:rFonts w:ascii="Arial" w:hAnsi="Arial" w:cs="Arial"/>
                <w:b/>
                <w:color w:val="000000" w:themeColor="text1"/>
                <w:sz w:val="17"/>
                <w:szCs w:val="17"/>
              </w:rPr>
            </w:pPr>
            <w:r w:rsidRPr="00C40415">
              <w:rPr>
                <w:rFonts w:ascii="Arial" w:hAnsi="Arial" w:cs="Arial"/>
                <w:b/>
                <w:color w:val="000000" w:themeColor="text1"/>
                <w:sz w:val="17"/>
                <w:szCs w:val="17"/>
              </w:rPr>
              <w:t>31. prosinca 202</w:t>
            </w:r>
            <w:r>
              <w:rPr>
                <w:rFonts w:ascii="Arial" w:hAnsi="Arial" w:cs="Arial"/>
                <w:b/>
                <w:color w:val="000000" w:themeColor="text1"/>
                <w:sz w:val="17"/>
                <w:szCs w:val="17"/>
              </w:rPr>
              <w:t>3</w:t>
            </w:r>
            <w:r w:rsidRPr="00C40415">
              <w:rPr>
                <w:rFonts w:ascii="Arial" w:hAnsi="Arial" w:cs="Arial"/>
                <w:b/>
                <w:color w:val="000000" w:themeColor="text1"/>
                <w:sz w:val="17"/>
                <w:szCs w:val="17"/>
              </w:rPr>
              <w:t xml:space="preserve">. </w:t>
            </w:r>
          </w:p>
        </w:tc>
        <w:tc>
          <w:tcPr>
            <w:tcW w:w="557" w:type="pct"/>
          </w:tcPr>
          <w:p w14:paraId="39050589" w14:textId="77777777" w:rsidR="00C61B75" w:rsidRPr="00C40415" w:rsidRDefault="00C61B75" w:rsidP="00CA7F04">
            <w:pPr>
              <w:tabs>
                <w:tab w:val="right" w:pos="1202"/>
              </w:tabs>
              <w:spacing w:line="240" w:lineRule="atLeast"/>
              <w:jc w:val="right"/>
              <w:outlineLvl w:val="0"/>
              <w:rPr>
                <w:rFonts w:ascii="Arial" w:hAnsi="Arial" w:cs="Arial"/>
                <w:b/>
                <w:color w:val="000000" w:themeColor="text1"/>
                <w:sz w:val="17"/>
                <w:szCs w:val="17"/>
              </w:rPr>
            </w:pPr>
            <w:r w:rsidRPr="00C40415">
              <w:rPr>
                <w:rFonts w:ascii="Arial" w:hAnsi="Arial" w:cs="Arial"/>
                <w:b/>
                <w:color w:val="000000" w:themeColor="text1"/>
                <w:sz w:val="17"/>
                <w:szCs w:val="17"/>
              </w:rPr>
              <w:t>Do 1 mjesec</w:t>
            </w:r>
          </w:p>
        </w:tc>
        <w:tc>
          <w:tcPr>
            <w:tcW w:w="557" w:type="pct"/>
          </w:tcPr>
          <w:p w14:paraId="10B233E3" w14:textId="77777777" w:rsidR="00C61B75" w:rsidRPr="00C40415" w:rsidRDefault="00C61B75" w:rsidP="00CA7F04">
            <w:pPr>
              <w:tabs>
                <w:tab w:val="right" w:pos="1202"/>
              </w:tabs>
              <w:spacing w:line="240" w:lineRule="atLeast"/>
              <w:jc w:val="right"/>
              <w:outlineLvl w:val="0"/>
              <w:rPr>
                <w:rFonts w:ascii="Arial" w:hAnsi="Arial" w:cs="Arial"/>
                <w:b/>
                <w:color w:val="000000" w:themeColor="text1"/>
                <w:sz w:val="17"/>
                <w:szCs w:val="17"/>
              </w:rPr>
            </w:pPr>
            <w:r w:rsidRPr="00C40415">
              <w:rPr>
                <w:rFonts w:ascii="Arial" w:hAnsi="Arial" w:cs="Arial"/>
                <w:b/>
                <w:color w:val="000000" w:themeColor="text1"/>
                <w:sz w:val="17"/>
                <w:szCs w:val="17"/>
              </w:rPr>
              <w:t>1 do 3 mjeseca</w:t>
            </w:r>
          </w:p>
        </w:tc>
        <w:tc>
          <w:tcPr>
            <w:tcW w:w="556" w:type="pct"/>
          </w:tcPr>
          <w:p w14:paraId="1F7D3A26" w14:textId="77777777" w:rsidR="00C61B75" w:rsidRPr="00C40415" w:rsidRDefault="00C61B75" w:rsidP="00CA7F04">
            <w:pPr>
              <w:tabs>
                <w:tab w:val="right" w:pos="1202"/>
              </w:tabs>
              <w:spacing w:line="240" w:lineRule="atLeast"/>
              <w:jc w:val="right"/>
              <w:outlineLvl w:val="0"/>
              <w:rPr>
                <w:rFonts w:ascii="Arial" w:hAnsi="Arial" w:cs="Arial"/>
                <w:b/>
                <w:color w:val="000000" w:themeColor="text1"/>
                <w:sz w:val="17"/>
                <w:szCs w:val="17"/>
              </w:rPr>
            </w:pPr>
            <w:r w:rsidRPr="00C40415">
              <w:rPr>
                <w:rFonts w:ascii="Arial" w:hAnsi="Arial" w:cs="Arial"/>
                <w:b/>
                <w:color w:val="000000" w:themeColor="text1"/>
                <w:sz w:val="17"/>
                <w:szCs w:val="17"/>
              </w:rPr>
              <w:t>3 mj. do 1 godine</w:t>
            </w:r>
          </w:p>
        </w:tc>
        <w:tc>
          <w:tcPr>
            <w:tcW w:w="556" w:type="pct"/>
          </w:tcPr>
          <w:p w14:paraId="222C7D80" w14:textId="77777777" w:rsidR="00C61B75" w:rsidRPr="00C40415" w:rsidRDefault="00C61B75" w:rsidP="00CA7F04">
            <w:pPr>
              <w:tabs>
                <w:tab w:val="right" w:pos="1202"/>
              </w:tabs>
              <w:spacing w:line="240" w:lineRule="atLeast"/>
              <w:jc w:val="right"/>
              <w:outlineLvl w:val="0"/>
              <w:rPr>
                <w:rFonts w:ascii="Arial" w:hAnsi="Arial" w:cs="Arial"/>
                <w:b/>
                <w:color w:val="000000" w:themeColor="text1"/>
                <w:sz w:val="17"/>
                <w:szCs w:val="17"/>
              </w:rPr>
            </w:pPr>
            <w:r w:rsidRPr="00C40415">
              <w:rPr>
                <w:rFonts w:ascii="Arial" w:hAnsi="Arial" w:cs="Arial"/>
                <w:b/>
                <w:color w:val="000000" w:themeColor="text1"/>
                <w:sz w:val="17"/>
                <w:szCs w:val="17"/>
              </w:rPr>
              <w:t>1 do 3 godina</w:t>
            </w:r>
          </w:p>
        </w:tc>
        <w:tc>
          <w:tcPr>
            <w:tcW w:w="556" w:type="pct"/>
          </w:tcPr>
          <w:p w14:paraId="1FD76C19" w14:textId="77777777" w:rsidR="00C61B75" w:rsidRPr="00C40415" w:rsidRDefault="00C61B75" w:rsidP="00CA7F04">
            <w:pPr>
              <w:tabs>
                <w:tab w:val="right" w:pos="1202"/>
              </w:tabs>
              <w:spacing w:line="240" w:lineRule="atLeast"/>
              <w:jc w:val="right"/>
              <w:outlineLvl w:val="0"/>
              <w:rPr>
                <w:rFonts w:ascii="Arial" w:hAnsi="Arial" w:cs="Arial"/>
                <w:b/>
                <w:color w:val="000000" w:themeColor="text1"/>
                <w:sz w:val="17"/>
                <w:szCs w:val="17"/>
              </w:rPr>
            </w:pPr>
            <w:r w:rsidRPr="00C40415">
              <w:rPr>
                <w:rFonts w:ascii="Arial" w:hAnsi="Arial" w:cs="Arial"/>
                <w:b/>
                <w:color w:val="000000" w:themeColor="text1"/>
                <w:sz w:val="17"/>
                <w:szCs w:val="17"/>
              </w:rPr>
              <w:t>Preko 3 godine</w:t>
            </w:r>
          </w:p>
        </w:tc>
        <w:tc>
          <w:tcPr>
            <w:tcW w:w="621" w:type="pct"/>
          </w:tcPr>
          <w:p w14:paraId="265AB155" w14:textId="77777777" w:rsidR="00C61B75" w:rsidRPr="00C40415" w:rsidRDefault="00C61B75" w:rsidP="00CA7F04">
            <w:pPr>
              <w:tabs>
                <w:tab w:val="right" w:pos="1202"/>
              </w:tabs>
              <w:spacing w:line="240" w:lineRule="atLeast"/>
              <w:jc w:val="right"/>
              <w:outlineLvl w:val="0"/>
              <w:rPr>
                <w:rFonts w:ascii="Arial" w:hAnsi="Arial" w:cs="Arial"/>
                <w:b/>
                <w:color w:val="000000" w:themeColor="text1"/>
                <w:sz w:val="17"/>
                <w:szCs w:val="17"/>
              </w:rPr>
            </w:pPr>
            <w:r w:rsidRPr="00C40415">
              <w:rPr>
                <w:rFonts w:ascii="Arial" w:hAnsi="Arial" w:cs="Arial"/>
                <w:b/>
                <w:color w:val="000000" w:themeColor="text1"/>
                <w:sz w:val="17"/>
                <w:szCs w:val="17"/>
              </w:rPr>
              <w:t>Ukupno</w:t>
            </w:r>
          </w:p>
        </w:tc>
      </w:tr>
      <w:tr w:rsidR="00C61B75" w:rsidRPr="00C40415" w14:paraId="7DE63420" w14:textId="77777777" w:rsidTr="00CA7F04">
        <w:trPr>
          <w:trHeight w:val="242"/>
        </w:trPr>
        <w:tc>
          <w:tcPr>
            <w:tcW w:w="1597" w:type="pct"/>
            <w:vAlign w:val="bottom"/>
          </w:tcPr>
          <w:p w14:paraId="5DC57C1B" w14:textId="77777777" w:rsidR="00C61B75" w:rsidRPr="00C40415" w:rsidRDefault="00C61B75" w:rsidP="00CA7F04">
            <w:pPr>
              <w:tabs>
                <w:tab w:val="left" w:pos="-720"/>
              </w:tabs>
              <w:suppressAutoHyphens/>
              <w:jc w:val="center"/>
              <w:rPr>
                <w:rFonts w:ascii="Arial" w:hAnsi="Arial" w:cs="Arial"/>
                <w:b/>
                <w:color w:val="000000" w:themeColor="text1"/>
                <w:spacing w:val="-2"/>
                <w:sz w:val="17"/>
                <w:szCs w:val="17"/>
              </w:rPr>
            </w:pPr>
          </w:p>
        </w:tc>
        <w:tc>
          <w:tcPr>
            <w:tcW w:w="557" w:type="pct"/>
            <w:tcBorders>
              <w:top w:val="nil"/>
              <w:left w:val="nil"/>
              <w:bottom w:val="nil"/>
              <w:right w:val="nil"/>
            </w:tcBorders>
            <w:shd w:val="clear" w:color="auto" w:fill="auto"/>
            <w:vAlign w:val="bottom"/>
          </w:tcPr>
          <w:p w14:paraId="7C36F3E5" w14:textId="77777777" w:rsidR="00C61B75" w:rsidRPr="00C40415" w:rsidRDefault="00C61B75" w:rsidP="00CA7F04">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557" w:type="pct"/>
            <w:tcBorders>
              <w:top w:val="nil"/>
              <w:left w:val="nil"/>
              <w:bottom w:val="nil"/>
              <w:right w:val="nil"/>
            </w:tcBorders>
            <w:shd w:val="clear" w:color="auto" w:fill="auto"/>
            <w:vAlign w:val="bottom"/>
          </w:tcPr>
          <w:p w14:paraId="6337897B" w14:textId="77777777" w:rsidR="00C61B75" w:rsidRPr="00C40415" w:rsidRDefault="00C61B75" w:rsidP="00CA7F04">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556" w:type="pct"/>
            <w:tcBorders>
              <w:top w:val="nil"/>
              <w:left w:val="nil"/>
              <w:bottom w:val="nil"/>
              <w:right w:val="nil"/>
            </w:tcBorders>
            <w:shd w:val="clear" w:color="auto" w:fill="auto"/>
            <w:vAlign w:val="bottom"/>
          </w:tcPr>
          <w:p w14:paraId="64A22619" w14:textId="77777777" w:rsidR="00C61B75" w:rsidRPr="00C40415" w:rsidRDefault="00C61B75" w:rsidP="00CA7F04">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556" w:type="pct"/>
            <w:tcBorders>
              <w:top w:val="nil"/>
              <w:left w:val="nil"/>
              <w:bottom w:val="nil"/>
              <w:right w:val="nil"/>
            </w:tcBorders>
            <w:shd w:val="clear" w:color="auto" w:fill="auto"/>
            <w:vAlign w:val="bottom"/>
          </w:tcPr>
          <w:p w14:paraId="3B9C74EF" w14:textId="77777777" w:rsidR="00C61B75" w:rsidRPr="00C40415" w:rsidRDefault="00C61B75" w:rsidP="00CA7F04">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556" w:type="pct"/>
            <w:tcBorders>
              <w:top w:val="nil"/>
              <w:left w:val="nil"/>
              <w:bottom w:val="nil"/>
              <w:right w:val="nil"/>
            </w:tcBorders>
            <w:shd w:val="clear" w:color="auto" w:fill="auto"/>
            <w:vAlign w:val="bottom"/>
          </w:tcPr>
          <w:p w14:paraId="7C3EC538" w14:textId="77777777" w:rsidR="00C61B75" w:rsidRPr="00C40415" w:rsidRDefault="00C61B75" w:rsidP="00CA7F04">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622C96">
              <w:rPr>
                <w:rFonts w:ascii="Arial" w:eastAsia="Calibri" w:hAnsi="Arial" w:cs="Arial"/>
                <w:b/>
                <w:color w:val="000000" w:themeColor="text1"/>
                <w:sz w:val="17"/>
                <w:szCs w:val="17"/>
              </w:rPr>
              <w:t>000 eura</w:t>
            </w:r>
          </w:p>
        </w:tc>
        <w:tc>
          <w:tcPr>
            <w:tcW w:w="621" w:type="pct"/>
            <w:vAlign w:val="bottom"/>
          </w:tcPr>
          <w:p w14:paraId="0F20F1BA" w14:textId="77777777" w:rsidR="00C61B75" w:rsidRPr="00C40415" w:rsidRDefault="00C61B75" w:rsidP="00CA7F04">
            <w:pPr>
              <w:tabs>
                <w:tab w:val="right" w:pos="1202"/>
                <w:tab w:val="center" w:pos="4153"/>
                <w:tab w:val="right" w:pos="8306"/>
              </w:tabs>
              <w:spacing w:line="301" w:lineRule="exact"/>
              <w:jc w:val="right"/>
              <w:outlineLvl w:val="0"/>
              <w:rPr>
                <w:rFonts w:ascii="Arial" w:hAnsi="Arial" w:cs="Arial"/>
                <w:b/>
                <w:color w:val="000000" w:themeColor="text1"/>
                <w:sz w:val="17"/>
                <w:szCs w:val="17"/>
              </w:rPr>
            </w:pPr>
            <w:r w:rsidRPr="00622C96">
              <w:rPr>
                <w:rFonts w:ascii="Arial" w:hAnsi="Arial" w:cs="Arial"/>
                <w:b/>
                <w:color w:val="000000" w:themeColor="text1"/>
                <w:sz w:val="17"/>
                <w:szCs w:val="17"/>
              </w:rPr>
              <w:t>000 eura</w:t>
            </w:r>
          </w:p>
        </w:tc>
      </w:tr>
      <w:tr w:rsidR="00C61B75" w:rsidRPr="00C40415" w14:paraId="031C846D" w14:textId="77777777" w:rsidTr="00CA7F04">
        <w:trPr>
          <w:trHeight w:hRule="exact" w:val="211"/>
        </w:trPr>
        <w:tc>
          <w:tcPr>
            <w:tcW w:w="1597" w:type="pct"/>
            <w:vAlign w:val="bottom"/>
          </w:tcPr>
          <w:p w14:paraId="036A9B60" w14:textId="77777777" w:rsidR="00C61B75" w:rsidRPr="00C40415" w:rsidRDefault="00C61B75" w:rsidP="00CA7F04">
            <w:pPr>
              <w:tabs>
                <w:tab w:val="right" w:pos="1202"/>
              </w:tabs>
              <w:outlineLvl w:val="0"/>
              <w:rPr>
                <w:rFonts w:ascii="Arial" w:hAnsi="Arial" w:cs="Arial"/>
                <w:b/>
                <w:bCs/>
                <w:color w:val="000000" w:themeColor="text1"/>
                <w:sz w:val="17"/>
                <w:szCs w:val="17"/>
              </w:rPr>
            </w:pPr>
            <w:r w:rsidRPr="00C40415">
              <w:rPr>
                <w:rFonts w:ascii="Arial" w:hAnsi="Arial" w:cs="Arial"/>
                <w:b/>
                <w:bCs/>
                <w:color w:val="000000" w:themeColor="text1"/>
                <w:sz w:val="17"/>
                <w:szCs w:val="17"/>
              </w:rPr>
              <w:t>Financijske obveze</w:t>
            </w:r>
          </w:p>
        </w:tc>
        <w:tc>
          <w:tcPr>
            <w:tcW w:w="557" w:type="pct"/>
          </w:tcPr>
          <w:p w14:paraId="2BD76D25" w14:textId="77777777" w:rsidR="00C61B75" w:rsidRPr="00C40415" w:rsidRDefault="00C61B75" w:rsidP="00CA7F04">
            <w:pPr>
              <w:tabs>
                <w:tab w:val="right" w:pos="1202"/>
                <w:tab w:val="center" w:pos="4153"/>
                <w:tab w:val="right" w:pos="8306"/>
              </w:tabs>
              <w:jc w:val="right"/>
              <w:outlineLvl w:val="0"/>
              <w:rPr>
                <w:rFonts w:ascii="Arial" w:hAnsi="Arial" w:cs="Arial"/>
                <w:color w:val="000000" w:themeColor="text1"/>
                <w:sz w:val="17"/>
                <w:szCs w:val="17"/>
              </w:rPr>
            </w:pPr>
          </w:p>
        </w:tc>
        <w:tc>
          <w:tcPr>
            <w:tcW w:w="557" w:type="pct"/>
          </w:tcPr>
          <w:p w14:paraId="0282F1EC" w14:textId="77777777" w:rsidR="00C61B75" w:rsidRPr="00C40415" w:rsidRDefault="00C61B75" w:rsidP="00CA7F04">
            <w:pPr>
              <w:tabs>
                <w:tab w:val="right" w:pos="1202"/>
                <w:tab w:val="center" w:pos="4153"/>
                <w:tab w:val="right" w:pos="8306"/>
              </w:tabs>
              <w:jc w:val="right"/>
              <w:outlineLvl w:val="0"/>
              <w:rPr>
                <w:rFonts w:ascii="Arial" w:hAnsi="Arial" w:cs="Arial"/>
                <w:color w:val="000000" w:themeColor="text1"/>
                <w:sz w:val="17"/>
                <w:szCs w:val="17"/>
              </w:rPr>
            </w:pPr>
          </w:p>
        </w:tc>
        <w:tc>
          <w:tcPr>
            <w:tcW w:w="556" w:type="pct"/>
          </w:tcPr>
          <w:p w14:paraId="7487972A" w14:textId="77777777" w:rsidR="00C61B75" w:rsidRPr="00C40415" w:rsidRDefault="00C61B75" w:rsidP="00CA7F04">
            <w:pPr>
              <w:tabs>
                <w:tab w:val="right" w:pos="1202"/>
                <w:tab w:val="center" w:pos="4153"/>
                <w:tab w:val="right" w:pos="8306"/>
              </w:tabs>
              <w:jc w:val="right"/>
              <w:outlineLvl w:val="0"/>
              <w:rPr>
                <w:rFonts w:ascii="Arial" w:hAnsi="Arial" w:cs="Arial"/>
                <w:color w:val="000000" w:themeColor="text1"/>
                <w:sz w:val="17"/>
                <w:szCs w:val="17"/>
              </w:rPr>
            </w:pPr>
          </w:p>
        </w:tc>
        <w:tc>
          <w:tcPr>
            <w:tcW w:w="556" w:type="pct"/>
          </w:tcPr>
          <w:p w14:paraId="10BF1B74" w14:textId="77777777" w:rsidR="00C61B75" w:rsidRPr="00C40415" w:rsidRDefault="00C61B75" w:rsidP="00CA7F04">
            <w:pPr>
              <w:tabs>
                <w:tab w:val="right" w:pos="1202"/>
                <w:tab w:val="center" w:pos="4153"/>
                <w:tab w:val="right" w:pos="8306"/>
              </w:tabs>
              <w:jc w:val="right"/>
              <w:outlineLvl w:val="0"/>
              <w:rPr>
                <w:rFonts w:ascii="Arial" w:hAnsi="Arial" w:cs="Arial"/>
                <w:color w:val="000000" w:themeColor="text1"/>
                <w:sz w:val="17"/>
                <w:szCs w:val="17"/>
              </w:rPr>
            </w:pPr>
          </w:p>
        </w:tc>
        <w:tc>
          <w:tcPr>
            <w:tcW w:w="556" w:type="pct"/>
          </w:tcPr>
          <w:p w14:paraId="0E8CD8A2" w14:textId="77777777" w:rsidR="00C61B75" w:rsidRPr="00C40415" w:rsidRDefault="00C61B75" w:rsidP="00CA7F04">
            <w:pPr>
              <w:tabs>
                <w:tab w:val="right" w:pos="1202"/>
                <w:tab w:val="center" w:pos="4153"/>
                <w:tab w:val="right" w:pos="8306"/>
              </w:tabs>
              <w:jc w:val="right"/>
              <w:outlineLvl w:val="0"/>
              <w:rPr>
                <w:rFonts w:ascii="Arial" w:hAnsi="Arial" w:cs="Arial"/>
                <w:color w:val="000000" w:themeColor="text1"/>
                <w:sz w:val="17"/>
                <w:szCs w:val="17"/>
              </w:rPr>
            </w:pPr>
          </w:p>
        </w:tc>
        <w:tc>
          <w:tcPr>
            <w:tcW w:w="621" w:type="pct"/>
          </w:tcPr>
          <w:p w14:paraId="4C5F67C3" w14:textId="77777777" w:rsidR="00C61B75" w:rsidRPr="00C40415" w:rsidRDefault="00C61B75" w:rsidP="00CA7F04">
            <w:pPr>
              <w:tabs>
                <w:tab w:val="right" w:pos="1202"/>
                <w:tab w:val="center" w:pos="4153"/>
                <w:tab w:val="right" w:pos="8306"/>
              </w:tabs>
              <w:jc w:val="right"/>
              <w:outlineLvl w:val="0"/>
              <w:rPr>
                <w:rFonts w:ascii="Arial" w:hAnsi="Arial" w:cs="Arial"/>
                <w:color w:val="000000" w:themeColor="text1"/>
                <w:sz w:val="17"/>
                <w:szCs w:val="17"/>
              </w:rPr>
            </w:pPr>
          </w:p>
        </w:tc>
      </w:tr>
      <w:tr w:rsidR="00C61B75" w:rsidRPr="00C40415" w14:paraId="13CF64AE" w14:textId="77777777" w:rsidTr="00CA7F04">
        <w:trPr>
          <w:trHeight w:hRule="exact" w:val="211"/>
        </w:trPr>
        <w:tc>
          <w:tcPr>
            <w:tcW w:w="1597" w:type="pct"/>
            <w:vAlign w:val="bottom"/>
          </w:tcPr>
          <w:p w14:paraId="7811023E" w14:textId="77777777" w:rsidR="00C61B75" w:rsidRPr="00C40415" w:rsidRDefault="00C61B75" w:rsidP="00CA7F04">
            <w:pPr>
              <w:tabs>
                <w:tab w:val="right" w:pos="1202"/>
              </w:tabs>
              <w:outlineLvl w:val="0"/>
              <w:rPr>
                <w:rFonts w:ascii="Arial" w:hAnsi="Arial" w:cs="Arial"/>
                <w:color w:val="000000" w:themeColor="text1"/>
                <w:sz w:val="17"/>
                <w:szCs w:val="17"/>
              </w:rPr>
            </w:pPr>
            <w:r w:rsidRPr="00C40415">
              <w:rPr>
                <w:rFonts w:ascii="Arial" w:hAnsi="Arial" w:cs="Arial"/>
                <w:color w:val="000000" w:themeColor="text1"/>
                <w:spacing w:val="-2"/>
                <w:sz w:val="17"/>
                <w:szCs w:val="17"/>
              </w:rPr>
              <w:t>Obveze po depozitima</w:t>
            </w:r>
          </w:p>
        </w:tc>
        <w:tc>
          <w:tcPr>
            <w:tcW w:w="557" w:type="pct"/>
            <w:tcBorders>
              <w:top w:val="nil"/>
              <w:left w:val="nil"/>
              <w:bottom w:val="nil"/>
              <w:right w:val="nil"/>
            </w:tcBorders>
            <w:shd w:val="clear" w:color="auto" w:fill="auto"/>
            <w:vAlign w:val="bottom"/>
          </w:tcPr>
          <w:p w14:paraId="3F8FEAA7" w14:textId="77777777" w:rsidR="00C61B75" w:rsidRPr="00F959D0" w:rsidRDefault="00C61B75"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148.059</w:t>
            </w:r>
          </w:p>
        </w:tc>
        <w:tc>
          <w:tcPr>
            <w:tcW w:w="557" w:type="pct"/>
            <w:tcBorders>
              <w:top w:val="nil"/>
              <w:left w:val="nil"/>
              <w:bottom w:val="nil"/>
              <w:right w:val="nil"/>
            </w:tcBorders>
            <w:shd w:val="clear" w:color="auto" w:fill="auto"/>
            <w:vAlign w:val="bottom"/>
          </w:tcPr>
          <w:p w14:paraId="0F29E941" w14:textId="77777777" w:rsidR="00C61B75" w:rsidRPr="00F959D0" w:rsidRDefault="00C61B75"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12.586</w:t>
            </w:r>
          </w:p>
        </w:tc>
        <w:tc>
          <w:tcPr>
            <w:tcW w:w="556" w:type="pct"/>
            <w:tcBorders>
              <w:top w:val="nil"/>
              <w:left w:val="nil"/>
              <w:bottom w:val="nil"/>
              <w:right w:val="nil"/>
            </w:tcBorders>
            <w:shd w:val="clear" w:color="auto" w:fill="auto"/>
            <w:vAlign w:val="bottom"/>
          </w:tcPr>
          <w:p w14:paraId="55E61B42" w14:textId="77777777" w:rsidR="00C61B75" w:rsidRPr="00F959D0" w:rsidRDefault="00C61B75"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18.604</w:t>
            </w:r>
          </w:p>
        </w:tc>
        <w:tc>
          <w:tcPr>
            <w:tcW w:w="556" w:type="pct"/>
            <w:tcBorders>
              <w:top w:val="nil"/>
              <w:left w:val="nil"/>
              <w:bottom w:val="nil"/>
              <w:right w:val="nil"/>
            </w:tcBorders>
            <w:shd w:val="clear" w:color="auto" w:fill="auto"/>
            <w:vAlign w:val="bottom"/>
          </w:tcPr>
          <w:p w14:paraId="77B0991A" w14:textId="77777777" w:rsidR="00C61B75" w:rsidRPr="00F959D0" w:rsidRDefault="00C61B75"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46</w:t>
            </w:r>
          </w:p>
        </w:tc>
        <w:tc>
          <w:tcPr>
            <w:tcW w:w="556" w:type="pct"/>
            <w:tcBorders>
              <w:top w:val="nil"/>
              <w:left w:val="nil"/>
              <w:bottom w:val="nil"/>
              <w:right w:val="nil"/>
            </w:tcBorders>
            <w:shd w:val="clear" w:color="auto" w:fill="auto"/>
            <w:vAlign w:val="bottom"/>
          </w:tcPr>
          <w:p w14:paraId="4CEE6A63" w14:textId="77777777" w:rsidR="00C61B75" w:rsidRPr="00F959D0" w:rsidRDefault="00C61B75"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15.581</w:t>
            </w:r>
          </w:p>
        </w:tc>
        <w:tc>
          <w:tcPr>
            <w:tcW w:w="621" w:type="pct"/>
            <w:tcBorders>
              <w:top w:val="nil"/>
              <w:left w:val="nil"/>
              <w:bottom w:val="nil"/>
              <w:right w:val="nil"/>
            </w:tcBorders>
            <w:shd w:val="clear" w:color="auto" w:fill="auto"/>
            <w:vAlign w:val="bottom"/>
          </w:tcPr>
          <w:p w14:paraId="71744030" w14:textId="77777777" w:rsidR="00C61B75" w:rsidRPr="00F959D0" w:rsidRDefault="00C61B75"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194.876</w:t>
            </w:r>
          </w:p>
        </w:tc>
      </w:tr>
      <w:tr w:rsidR="00C61B75" w:rsidRPr="00C40415" w14:paraId="5D43D9A2" w14:textId="77777777" w:rsidTr="00CA7F04">
        <w:trPr>
          <w:trHeight w:hRule="exact" w:val="211"/>
        </w:trPr>
        <w:tc>
          <w:tcPr>
            <w:tcW w:w="1597" w:type="pct"/>
            <w:vAlign w:val="bottom"/>
          </w:tcPr>
          <w:p w14:paraId="165628C7" w14:textId="77777777" w:rsidR="00C61B75" w:rsidRPr="00C40415" w:rsidRDefault="00C61B75" w:rsidP="00CA7F04">
            <w:pPr>
              <w:tabs>
                <w:tab w:val="right" w:pos="1202"/>
              </w:tabs>
              <w:outlineLvl w:val="0"/>
              <w:rPr>
                <w:rFonts w:ascii="Arial" w:hAnsi="Arial" w:cs="Arial"/>
                <w:color w:val="000000" w:themeColor="text1"/>
                <w:sz w:val="17"/>
                <w:szCs w:val="17"/>
              </w:rPr>
            </w:pPr>
            <w:r w:rsidRPr="00C40415">
              <w:rPr>
                <w:rFonts w:ascii="Arial" w:hAnsi="Arial" w:cs="Arial"/>
                <w:color w:val="000000" w:themeColor="text1"/>
                <w:spacing w:val="-2"/>
                <w:sz w:val="17"/>
                <w:szCs w:val="17"/>
              </w:rPr>
              <w:t>Obveze po kreditima</w:t>
            </w:r>
          </w:p>
        </w:tc>
        <w:tc>
          <w:tcPr>
            <w:tcW w:w="557" w:type="pct"/>
            <w:tcBorders>
              <w:top w:val="nil"/>
              <w:left w:val="nil"/>
              <w:bottom w:val="nil"/>
              <w:right w:val="nil"/>
            </w:tcBorders>
            <w:shd w:val="clear" w:color="auto" w:fill="auto"/>
            <w:vAlign w:val="bottom"/>
          </w:tcPr>
          <w:p w14:paraId="02670B4D" w14:textId="77777777" w:rsidR="00C61B75" w:rsidRPr="00F959D0" w:rsidRDefault="00C61B75"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61.798</w:t>
            </w:r>
          </w:p>
        </w:tc>
        <w:tc>
          <w:tcPr>
            <w:tcW w:w="557" w:type="pct"/>
            <w:tcBorders>
              <w:top w:val="nil"/>
              <w:left w:val="nil"/>
              <w:bottom w:val="nil"/>
              <w:right w:val="nil"/>
            </w:tcBorders>
            <w:shd w:val="clear" w:color="auto" w:fill="auto"/>
            <w:vAlign w:val="bottom"/>
          </w:tcPr>
          <w:p w14:paraId="46293482" w14:textId="77777777" w:rsidR="00C61B75" w:rsidRPr="00F959D0" w:rsidRDefault="00C61B75" w:rsidP="00CA7F04">
            <w:pPr>
              <w:tabs>
                <w:tab w:val="right" w:pos="1202"/>
              </w:tabs>
              <w:spacing w:line="240" w:lineRule="exact"/>
              <w:jc w:val="right"/>
              <w:outlineLvl w:val="0"/>
              <w:rPr>
                <w:rFonts w:ascii="Arial" w:hAnsi="Arial" w:cs="Arial"/>
                <w:sz w:val="17"/>
                <w:szCs w:val="17"/>
              </w:rPr>
            </w:pPr>
            <w:r w:rsidRPr="003B2D75">
              <w:rPr>
                <w:rFonts w:ascii="Arial" w:hAnsi="Arial" w:cs="Arial"/>
                <w:sz w:val="17"/>
                <w:szCs w:val="17"/>
              </w:rPr>
              <w:t>166.698</w:t>
            </w:r>
          </w:p>
        </w:tc>
        <w:tc>
          <w:tcPr>
            <w:tcW w:w="556" w:type="pct"/>
            <w:tcBorders>
              <w:top w:val="nil"/>
              <w:left w:val="nil"/>
              <w:bottom w:val="nil"/>
              <w:right w:val="nil"/>
            </w:tcBorders>
            <w:shd w:val="clear" w:color="auto" w:fill="auto"/>
            <w:vAlign w:val="bottom"/>
          </w:tcPr>
          <w:p w14:paraId="35D02729" w14:textId="77777777" w:rsidR="00C61B75" w:rsidRPr="00F959D0" w:rsidRDefault="00C61B75"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296.93</w:t>
            </w:r>
            <w:r>
              <w:rPr>
                <w:rFonts w:ascii="Arial" w:hAnsi="Arial" w:cs="Arial"/>
                <w:sz w:val="17"/>
                <w:szCs w:val="17"/>
              </w:rPr>
              <w:t>3</w:t>
            </w:r>
          </w:p>
        </w:tc>
        <w:tc>
          <w:tcPr>
            <w:tcW w:w="556" w:type="pct"/>
            <w:tcBorders>
              <w:top w:val="nil"/>
              <w:left w:val="nil"/>
              <w:bottom w:val="nil"/>
              <w:right w:val="nil"/>
            </w:tcBorders>
            <w:shd w:val="clear" w:color="auto" w:fill="auto"/>
            <w:vAlign w:val="bottom"/>
          </w:tcPr>
          <w:p w14:paraId="0D7B28C3" w14:textId="77777777" w:rsidR="00C61B75" w:rsidRPr="00F959D0" w:rsidRDefault="00C61B75"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723.743</w:t>
            </w:r>
          </w:p>
        </w:tc>
        <w:tc>
          <w:tcPr>
            <w:tcW w:w="556" w:type="pct"/>
            <w:tcBorders>
              <w:top w:val="nil"/>
              <w:left w:val="nil"/>
              <w:bottom w:val="nil"/>
              <w:right w:val="nil"/>
            </w:tcBorders>
            <w:shd w:val="clear" w:color="auto" w:fill="auto"/>
            <w:vAlign w:val="bottom"/>
          </w:tcPr>
          <w:p w14:paraId="48D784A6" w14:textId="77777777" w:rsidR="00C61B75" w:rsidRPr="00F959D0" w:rsidRDefault="00C61B75"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1.268.546</w:t>
            </w:r>
          </w:p>
        </w:tc>
        <w:tc>
          <w:tcPr>
            <w:tcW w:w="621" w:type="pct"/>
            <w:tcBorders>
              <w:top w:val="nil"/>
              <w:left w:val="nil"/>
              <w:bottom w:val="nil"/>
              <w:right w:val="nil"/>
            </w:tcBorders>
            <w:shd w:val="clear" w:color="auto" w:fill="auto"/>
            <w:vAlign w:val="bottom"/>
          </w:tcPr>
          <w:p w14:paraId="0F08BCE8" w14:textId="77777777" w:rsidR="00C61B75" w:rsidRPr="00F959D0" w:rsidRDefault="00C61B75" w:rsidP="00CA7F04">
            <w:pPr>
              <w:tabs>
                <w:tab w:val="right" w:pos="1202"/>
              </w:tabs>
              <w:spacing w:line="240" w:lineRule="exact"/>
              <w:jc w:val="right"/>
              <w:outlineLvl w:val="0"/>
              <w:rPr>
                <w:rFonts w:ascii="Arial" w:hAnsi="Arial" w:cs="Arial"/>
                <w:sz w:val="17"/>
                <w:szCs w:val="17"/>
              </w:rPr>
            </w:pPr>
            <w:r w:rsidRPr="003B2D75">
              <w:rPr>
                <w:rFonts w:ascii="Arial" w:hAnsi="Arial" w:cs="Arial"/>
                <w:sz w:val="17"/>
                <w:szCs w:val="17"/>
              </w:rPr>
              <w:t>2.517.718</w:t>
            </w:r>
          </w:p>
        </w:tc>
      </w:tr>
      <w:tr w:rsidR="00C61B75" w:rsidRPr="00C40415" w14:paraId="193CAE67" w14:textId="77777777" w:rsidTr="00CA7F04">
        <w:trPr>
          <w:trHeight w:val="377"/>
        </w:trPr>
        <w:tc>
          <w:tcPr>
            <w:tcW w:w="1597" w:type="pct"/>
            <w:vAlign w:val="bottom"/>
          </w:tcPr>
          <w:p w14:paraId="0F011563" w14:textId="77777777" w:rsidR="00C61B75" w:rsidRPr="00C40415" w:rsidRDefault="00C61B75" w:rsidP="00CA7F04">
            <w:pPr>
              <w:tabs>
                <w:tab w:val="right" w:pos="1202"/>
              </w:tabs>
              <w:outlineLvl w:val="0"/>
              <w:rPr>
                <w:rFonts w:ascii="Arial" w:hAnsi="Arial" w:cs="Arial"/>
                <w:color w:val="000000" w:themeColor="text1"/>
                <w:spacing w:val="-2"/>
                <w:sz w:val="17"/>
                <w:szCs w:val="17"/>
              </w:rPr>
            </w:pPr>
            <w:r w:rsidRPr="00C40415">
              <w:rPr>
                <w:rFonts w:ascii="Arial" w:hAnsi="Arial" w:cs="Arial"/>
                <w:color w:val="000000" w:themeColor="text1"/>
                <w:spacing w:val="-2"/>
                <w:sz w:val="17"/>
                <w:szCs w:val="17"/>
              </w:rPr>
              <w:t>Rezerviranja za garancije, preuzete i ostale obveze</w:t>
            </w:r>
          </w:p>
        </w:tc>
        <w:tc>
          <w:tcPr>
            <w:tcW w:w="557" w:type="pct"/>
            <w:tcBorders>
              <w:top w:val="nil"/>
              <w:left w:val="nil"/>
              <w:right w:val="nil"/>
            </w:tcBorders>
            <w:shd w:val="clear" w:color="auto" w:fill="auto"/>
            <w:vAlign w:val="bottom"/>
          </w:tcPr>
          <w:p w14:paraId="379E4245" w14:textId="77777777" w:rsidR="00C61B75" w:rsidRPr="00F959D0" w:rsidRDefault="00C61B75"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10.561</w:t>
            </w:r>
          </w:p>
        </w:tc>
        <w:tc>
          <w:tcPr>
            <w:tcW w:w="557" w:type="pct"/>
            <w:tcBorders>
              <w:top w:val="nil"/>
              <w:left w:val="nil"/>
              <w:right w:val="nil"/>
            </w:tcBorders>
            <w:shd w:val="clear" w:color="auto" w:fill="auto"/>
            <w:vAlign w:val="bottom"/>
          </w:tcPr>
          <w:p w14:paraId="4D611999" w14:textId="77777777" w:rsidR="00C61B75" w:rsidRPr="00F959D0" w:rsidRDefault="00C61B75"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851</w:t>
            </w:r>
          </w:p>
        </w:tc>
        <w:tc>
          <w:tcPr>
            <w:tcW w:w="556" w:type="pct"/>
            <w:tcBorders>
              <w:top w:val="nil"/>
              <w:left w:val="nil"/>
              <w:right w:val="nil"/>
            </w:tcBorders>
            <w:shd w:val="clear" w:color="auto" w:fill="auto"/>
            <w:vAlign w:val="bottom"/>
          </w:tcPr>
          <w:p w14:paraId="211FD5D4" w14:textId="77777777" w:rsidR="00C61B75" w:rsidRPr="00F959D0" w:rsidRDefault="00C61B75"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3.203</w:t>
            </w:r>
          </w:p>
        </w:tc>
        <w:tc>
          <w:tcPr>
            <w:tcW w:w="556" w:type="pct"/>
            <w:tcBorders>
              <w:top w:val="nil"/>
              <w:left w:val="nil"/>
              <w:right w:val="nil"/>
            </w:tcBorders>
            <w:shd w:val="clear" w:color="auto" w:fill="auto"/>
            <w:vAlign w:val="bottom"/>
          </w:tcPr>
          <w:p w14:paraId="5D5AF849" w14:textId="77777777" w:rsidR="00C61B75" w:rsidRPr="00F959D0" w:rsidRDefault="00C61B75"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6.343</w:t>
            </w:r>
          </w:p>
        </w:tc>
        <w:tc>
          <w:tcPr>
            <w:tcW w:w="556" w:type="pct"/>
            <w:tcBorders>
              <w:top w:val="nil"/>
              <w:left w:val="nil"/>
              <w:right w:val="nil"/>
            </w:tcBorders>
            <w:shd w:val="clear" w:color="auto" w:fill="auto"/>
            <w:vAlign w:val="bottom"/>
          </w:tcPr>
          <w:p w14:paraId="05F3F34C" w14:textId="77777777" w:rsidR="00C61B75" w:rsidRPr="00F959D0" w:rsidRDefault="00C61B75"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3.422</w:t>
            </w:r>
          </w:p>
        </w:tc>
        <w:tc>
          <w:tcPr>
            <w:tcW w:w="621" w:type="pct"/>
            <w:tcBorders>
              <w:top w:val="nil"/>
              <w:left w:val="nil"/>
              <w:right w:val="nil"/>
            </w:tcBorders>
            <w:shd w:val="clear" w:color="auto" w:fill="auto"/>
            <w:vAlign w:val="bottom"/>
          </w:tcPr>
          <w:p w14:paraId="7AC957DD" w14:textId="77777777" w:rsidR="00C61B75" w:rsidRPr="00F959D0" w:rsidRDefault="00C61B75"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24.380</w:t>
            </w:r>
          </w:p>
        </w:tc>
      </w:tr>
      <w:tr w:rsidR="00C61B75" w:rsidRPr="00C40415" w14:paraId="4CD320C6" w14:textId="77777777" w:rsidTr="00CA7F04">
        <w:trPr>
          <w:trHeight w:hRule="exact" w:val="211"/>
        </w:trPr>
        <w:tc>
          <w:tcPr>
            <w:tcW w:w="1597" w:type="pct"/>
            <w:vAlign w:val="bottom"/>
          </w:tcPr>
          <w:p w14:paraId="47FB554C" w14:textId="77777777" w:rsidR="00C61B75" w:rsidRPr="00C40415" w:rsidRDefault="00C61B75" w:rsidP="00CA7F04">
            <w:pPr>
              <w:tabs>
                <w:tab w:val="right" w:pos="1202"/>
              </w:tabs>
              <w:outlineLvl w:val="0"/>
              <w:rPr>
                <w:rFonts w:ascii="Arial" w:hAnsi="Arial" w:cs="Arial"/>
                <w:color w:val="000000" w:themeColor="text1"/>
                <w:sz w:val="17"/>
                <w:szCs w:val="17"/>
              </w:rPr>
            </w:pPr>
            <w:r w:rsidRPr="00C40415">
              <w:rPr>
                <w:rFonts w:ascii="Arial" w:hAnsi="Arial" w:cs="Arial"/>
                <w:color w:val="000000" w:themeColor="text1"/>
                <w:spacing w:val="-2"/>
                <w:sz w:val="17"/>
                <w:szCs w:val="17"/>
              </w:rPr>
              <w:t>Ostale obveze</w:t>
            </w:r>
          </w:p>
        </w:tc>
        <w:tc>
          <w:tcPr>
            <w:tcW w:w="557" w:type="pct"/>
            <w:tcBorders>
              <w:top w:val="nil"/>
              <w:left w:val="nil"/>
              <w:bottom w:val="single" w:sz="4" w:space="0" w:color="auto"/>
              <w:right w:val="nil"/>
            </w:tcBorders>
            <w:shd w:val="clear" w:color="auto" w:fill="auto"/>
            <w:vAlign w:val="bottom"/>
          </w:tcPr>
          <w:p w14:paraId="10042113" w14:textId="77777777" w:rsidR="00C61B75" w:rsidRPr="00F959D0" w:rsidRDefault="00C61B75"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39.304</w:t>
            </w:r>
          </w:p>
        </w:tc>
        <w:tc>
          <w:tcPr>
            <w:tcW w:w="557" w:type="pct"/>
            <w:tcBorders>
              <w:top w:val="nil"/>
              <w:left w:val="nil"/>
              <w:bottom w:val="single" w:sz="4" w:space="0" w:color="auto"/>
              <w:right w:val="nil"/>
            </w:tcBorders>
            <w:shd w:val="clear" w:color="auto" w:fill="auto"/>
            <w:vAlign w:val="bottom"/>
          </w:tcPr>
          <w:p w14:paraId="09758EED" w14:textId="77777777" w:rsidR="00C61B75" w:rsidRPr="00F959D0" w:rsidRDefault="00C61B75"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3.167</w:t>
            </w:r>
          </w:p>
        </w:tc>
        <w:tc>
          <w:tcPr>
            <w:tcW w:w="556" w:type="pct"/>
            <w:tcBorders>
              <w:top w:val="nil"/>
              <w:left w:val="nil"/>
              <w:bottom w:val="single" w:sz="4" w:space="0" w:color="auto"/>
              <w:right w:val="nil"/>
            </w:tcBorders>
            <w:shd w:val="clear" w:color="auto" w:fill="auto"/>
            <w:vAlign w:val="bottom"/>
          </w:tcPr>
          <w:p w14:paraId="7DF8D656" w14:textId="77777777" w:rsidR="00C61B75" w:rsidRPr="00F959D0" w:rsidRDefault="00C61B75"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11.921</w:t>
            </w:r>
          </w:p>
        </w:tc>
        <w:tc>
          <w:tcPr>
            <w:tcW w:w="556" w:type="pct"/>
            <w:tcBorders>
              <w:top w:val="nil"/>
              <w:left w:val="nil"/>
              <w:bottom w:val="single" w:sz="4" w:space="0" w:color="auto"/>
              <w:right w:val="nil"/>
            </w:tcBorders>
            <w:shd w:val="clear" w:color="auto" w:fill="auto"/>
            <w:vAlign w:val="bottom"/>
          </w:tcPr>
          <w:p w14:paraId="4E43A2F1" w14:textId="77777777" w:rsidR="00C61B75" w:rsidRPr="00F959D0" w:rsidRDefault="00C61B75"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23.605</w:t>
            </w:r>
          </w:p>
        </w:tc>
        <w:tc>
          <w:tcPr>
            <w:tcW w:w="556" w:type="pct"/>
            <w:tcBorders>
              <w:top w:val="nil"/>
              <w:left w:val="nil"/>
              <w:bottom w:val="single" w:sz="4" w:space="0" w:color="auto"/>
              <w:right w:val="nil"/>
            </w:tcBorders>
            <w:shd w:val="clear" w:color="auto" w:fill="auto"/>
            <w:vAlign w:val="bottom"/>
          </w:tcPr>
          <w:p w14:paraId="13CEE194" w14:textId="77777777" w:rsidR="00C61B75" w:rsidRPr="00F959D0" w:rsidRDefault="00C61B75"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12.732</w:t>
            </w:r>
          </w:p>
        </w:tc>
        <w:tc>
          <w:tcPr>
            <w:tcW w:w="621" w:type="pct"/>
            <w:tcBorders>
              <w:top w:val="nil"/>
              <w:left w:val="nil"/>
              <w:bottom w:val="single" w:sz="4" w:space="0" w:color="auto"/>
              <w:right w:val="nil"/>
            </w:tcBorders>
            <w:shd w:val="clear" w:color="auto" w:fill="auto"/>
            <w:vAlign w:val="bottom"/>
          </w:tcPr>
          <w:p w14:paraId="02B09F12" w14:textId="77777777" w:rsidR="00C61B75" w:rsidRPr="00F959D0" w:rsidRDefault="00C61B75" w:rsidP="00CA7F04">
            <w:pPr>
              <w:tabs>
                <w:tab w:val="right" w:pos="1202"/>
              </w:tabs>
              <w:spacing w:line="240" w:lineRule="exact"/>
              <w:jc w:val="right"/>
              <w:outlineLvl w:val="0"/>
              <w:rPr>
                <w:rFonts w:ascii="Arial" w:hAnsi="Arial" w:cs="Arial"/>
                <w:sz w:val="17"/>
                <w:szCs w:val="17"/>
              </w:rPr>
            </w:pPr>
            <w:r w:rsidRPr="00F959D0">
              <w:rPr>
                <w:rFonts w:ascii="Arial" w:hAnsi="Arial" w:cs="Arial"/>
                <w:sz w:val="17"/>
                <w:szCs w:val="17"/>
              </w:rPr>
              <w:t>90.729</w:t>
            </w:r>
          </w:p>
        </w:tc>
      </w:tr>
      <w:tr w:rsidR="00C61B75" w:rsidRPr="00C40415" w14:paraId="49CEA199" w14:textId="77777777" w:rsidTr="00CA7F04">
        <w:trPr>
          <w:trHeight w:hRule="exact" w:val="265"/>
        </w:trPr>
        <w:tc>
          <w:tcPr>
            <w:tcW w:w="1597" w:type="pct"/>
            <w:vAlign w:val="bottom"/>
          </w:tcPr>
          <w:p w14:paraId="5A9D1E5A" w14:textId="77777777" w:rsidR="00C61B75" w:rsidRPr="00C40415" w:rsidRDefault="00C61B75" w:rsidP="00CA7F04">
            <w:pPr>
              <w:tabs>
                <w:tab w:val="right" w:pos="1202"/>
              </w:tabs>
              <w:outlineLvl w:val="0"/>
              <w:rPr>
                <w:rFonts w:ascii="Arial" w:hAnsi="Arial" w:cs="Arial"/>
                <w:b/>
                <w:bCs/>
                <w:color w:val="000000" w:themeColor="text1"/>
                <w:sz w:val="17"/>
                <w:szCs w:val="17"/>
              </w:rPr>
            </w:pPr>
            <w:r w:rsidRPr="00C40415">
              <w:rPr>
                <w:rFonts w:ascii="Arial" w:hAnsi="Arial" w:cs="Arial"/>
                <w:b/>
                <w:bCs/>
                <w:color w:val="000000" w:themeColor="text1"/>
                <w:sz w:val="17"/>
                <w:szCs w:val="17"/>
              </w:rPr>
              <w:t>Ukupno</w:t>
            </w:r>
          </w:p>
        </w:tc>
        <w:tc>
          <w:tcPr>
            <w:tcW w:w="557" w:type="pct"/>
            <w:tcBorders>
              <w:top w:val="single" w:sz="4" w:space="0" w:color="auto"/>
              <w:left w:val="nil"/>
              <w:bottom w:val="single" w:sz="12" w:space="0" w:color="auto"/>
              <w:right w:val="nil"/>
            </w:tcBorders>
            <w:vAlign w:val="bottom"/>
          </w:tcPr>
          <w:p w14:paraId="58A24C0B" w14:textId="77777777" w:rsidR="00C61B75" w:rsidRPr="00F959D0" w:rsidRDefault="00C61B75" w:rsidP="00CA7F04">
            <w:pPr>
              <w:tabs>
                <w:tab w:val="right" w:pos="1202"/>
              </w:tabs>
              <w:jc w:val="right"/>
              <w:outlineLvl w:val="0"/>
              <w:rPr>
                <w:rFonts w:ascii="Arial" w:hAnsi="Arial" w:cs="Arial"/>
                <w:b/>
                <w:bCs/>
                <w:sz w:val="17"/>
                <w:szCs w:val="17"/>
              </w:rPr>
            </w:pPr>
            <w:r w:rsidRPr="00F959D0">
              <w:rPr>
                <w:rFonts w:ascii="Arial" w:hAnsi="Arial" w:cs="Arial"/>
                <w:b/>
                <w:bCs/>
                <w:sz w:val="17"/>
                <w:szCs w:val="17"/>
              </w:rPr>
              <w:t>259.722</w:t>
            </w:r>
          </w:p>
        </w:tc>
        <w:tc>
          <w:tcPr>
            <w:tcW w:w="557" w:type="pct"/>
            <w:tcBorders>
              <w:top w:val="single" w:sz="4" w:space="0" w:color="auto"/>
              <w:left w:val="nil"/>
              <w:bottom w:val="single" w:sz="12" w:space="0" w:color="auto"/>
              <w:right w:val="nil"/>
            </w:tcBorders>
            <w:vAlign w:val="bottom"/>
          </w:tcPr>
          <w:p w14:paraId="654C2AAB" w14:textId="77777777" w:rsidR="00C61B75" w:rsidRPr="00F959D0" w:rsidRDefault="00C61B75" w:rsidP="00CA7F04">
            <w:pPr>
              <w:tabs>
                <w:tab w:val="right" w:pos="1202"/>
              </w:tabs>
              <w:jc w:val="right"/>
              <w:outlineLvl w:val="0"/>
              <w:rPr>
                <w:rFonts w:ascii="Arial" w:hAnsi="Arial" w:cs="Arial"/>
                <w:b/>
                <w:bCs/>
                <w:sz w:val="17"/>
                <w:szCs w:val="17"/>
              </w:rPr>
            </w:pPr>
            <w:r w:rsidRPr="003B2D75">
              <w:rPr>
                <w:rFonts w:ascii="Arial" w:hAnsi="Arial" w:cs="Arial"/>
                <w:b/>
                <w:bCs/>
                <w:sz w:val="17"/>
                <w:szCs w:val="17"/>
              </w:rPr>
              <w:t>183.302</w:t>
            </w:r>
          </w:p>
        </w:tc>
        <w:tc>
          <w:tcPr>
            <w:tcW w:w="556" w:type="pct"/>
            <w:tcBorders>
              <w:top w:val="single" w:sz="4" w:space="0" w:color="auto"/>
              <w:left w:val="nil"/>
              <w:bottom w:val="single" w:sz="12" w:space="0" w:color="auto"/>
              <w:right w:val="nil"/>
            </w:tcBorders>
            <w:vAlign w:val="bottom"/>
          </w:tcPr>
          <w:p w14:paraId="360DD8CF" w14:textId="77777777" w:rsidR="00C61B75" w:rsidRPr="00F959D0" w:rsidRDefault="00C61B75" w:rsidP="00CA7F04">
            <w:pPr>
              <w:tabs>
                <w:tab w:val="right" w:pos="1202"/>
              </w:tabs>
              <w:jc w:val="right"/>
              <w:outlineLvl w:val="0"/>
              <w:rPr>
                <w:rFonts w:ascii="Arial" w:hAnsi="Arial" w:cs="Arial"/>
                <w:b/>
                <w:bCs/>
                <w:sz w:val="17"/>
                <w:szCs w:val="17"/>
              </w:rPr>
            </w:pPr>
            <w:r w:rsidRPr="00F959D0">
              <w:rPr>
                <w:rFonts w:ascii="Arial" w:hAnsi="Arial" w:cs="Arial"/>
                <w:b/>
                <w:bCs/>
                <w:sz w:val="17"/>
                <w:szCs w:val="17"/>
              </w:rPr>
              <w:t>330.66</w:t>
            </w:r>
            <w:r>
              <w:rPr>
                <w:rFonts w:ascii="Arial" w:hAnsi="Arial" w:cs="Arial"/>
                <w:b/>
                <w:bCs/>
                <w:sz w:val="17"/>
                <w:szCs w:val="17"/>
              </w:rPr>
              <w:t>1</w:t>
            </w:r>
          </w:p>
        </w:tc>
        <w:tc>
          <w:tcPr>
            <w:tcW w:w="556" w:type="pct"/>
            <w:tcBorders>
              <w:top w:val="single" w:sz="4" w:space="0" w:color="auto"/>
              <w:left w:val="nil"/>
              <w:bottom w:val="single" w:sz="12" w:space="0" w:color="auto"/>
              <w:right w:val="nil"/>
            </w:tcBorders>
            <w:vAlign w:val="bottom"/>
          </w:tcPr>
          <w:p w14:paraId="4C434C40" w14:textId="77777777" w:rsidR="00C61B75" w:rsidRPr="00F959D0" w:rsidRDefault="00C61B75" w:rsidP="00CA7F04">
            <w:pPr>
              <w:tabs>
                <w:tab w:val="right" w:pos="1202"/>
              </w:tabs>
              <w:jc w:val="right"/>
              <w:outlineLvl w:val="0"/>
              <w:rPr>
                <w:rFonts w:ascii="Arial" w:hAnsi="Arial" w:cs="Arial"/>
                <w:b/>
                <w:bCs/>
                <w:sz w:val="17"/>
                <w:szCs w:val="17"/>
              </w:rPr>
            </w:pPr>
            <w:r w:rsidRPr="00F959D0">
              <w:rPr>
                <w:rFonts w:ascii="Arial" w:hAnsi="Arial" w:cs="Arial"/>
                <w:b/>
                <w:bCs/>
                <w:sz w:val="17"/>
                <w:szCs w:val="17"/>
              </w:rPr>
              <w:t>753.737</w:t>
            </w:r>
          </w:p>
        </w:tc>
        <w:tc>
          <w:tcPr>
            <w:tcW w:w="556" w:type="pct"/>
            <w:tcBorders>
              <w:top w:val="single" w:sz="4" w:space="0" w:color="auto"/>
              <w:left w:val="nil"/>
              <w:bottom w:val="single" w:sz="12" w:space="0" w:color="auto"/>
              <w:right w:val="nil"/>
            </w:tcBorders>
            <w:vAlign w:val="bottom"/>
          </w:tcPr>
          <w:p w14:paraId="4CD0FEED" w14:textId="77777777" w:rsidR="00C61B75" w:rsidRPr="00F959D0" w:rsidRDefault="00C61B75" w:rsidP="00CA7F04">
            <w:pPr>
              <w:tabs>
                <w:tab w:val="right" w:pos="1202"/>
              </w:tabs>
              <w:jc w:val="right"/>
              <w:outlineLvl w:val="0"/>
              <w:rPr>
                <w:rFonts w:ascii="Arial" w:hAnsi="Arial" w:cs="Arial"/>
                <w:b/>
                <w:bCs/>
                <w:sz w:val="17"/>
                <w:szCs w:val="17"/>
              </w:rPr>
            </w:pPr>
            <w:r w:rsidRPr="00F959D0">
              <w:rPr>
                <w:rFonts w:ascii="Arial" w:hAnsi="Arial" w:cs="Arial"/>
                <w:b/>
                <w:bCs/>
                <w:sz w:val="17"/>
                <w:szCs w:val="17"/>
              </w:rPr>
              <w:t>1.300.281</w:t>
            </w:r>
          </w:p>
        </w:tc>
        <w:tc>
          <w:tcPr>
            <w:tcW w:w="621" w:type="pct"/>
            <w:tcBorders>
              <w:top w:val="single" w:sz="4" w:space="0" w:color="auto"/>
              <w:left w:val="nil"/>
              <w:bottom w:val="single" w:sz="12" w:space="0" w:color="auto"/>
              <w:right w:val="nil"/>
            </w:tcBorders>
            <w:vAlign w:val="bottom"/>
          </w:tcPr>
          <w:p w14:paraId="08D0B579" w14:textId="77777777" w:rsidR="00C61B75" w:rsidRPr="00F959D0" w:rsidRDefault="00C61B75" w:rsidP="00CA7F04">
            <w:pPr>
              <w:tabs>
                <w:tab w:val="right" w:pos="1202"/>
              </w:tabs>
              <w:jc w:val="right"/>
              <w:outlineLvl w:val="0"/>
              <w:rPr>
                <w:rFonts w:ascii="Arial" w:hAnsi="Arial" w:cs="Arial"/>
                <w:b/>
                <w:bCs/>
                <w:sz w:val="17"/>
                <w:szCs w:val="17"/>
              </w:rPr>
            </w:pPr>
            <w:r w:rsidRPr="003B2D75">
              <w:rPr>
                <w:rFonts w:ascii="Arial" w:hAnsi="Arial" w:cs="Arial"/>
                <w:b/>
                <w:bCs/>
                <w:sz w:val="17"/>
                <w:szCs w:val="17"/>
              </w:rPr>
              <w:t>2.827.703</w:t>
            </w:r>
          </w:p>
        </w:tc>
      </w:tr>
      <w:tr w:rsidR="00C61B75" w:rsidRPr="00C40415" w14:paraId="139387EE" w14:textId="77777777" w:rsidTr="00CA7F04">
        <w:trPr>
          <w:trHeight w:hRule="exact" w:val="275"/>
        </w:trPr>
        <w:tc>
          <w:tcPr>
            <w:tcW w:w="1597" w:type="pct"/>
            <w:vAlign w:val="bottom"/>
          </w:tcPr>
          <w:p w14:paraId="171A3EBB" w14:textId="77777777" w:rsidR="00C61B75" w:rsidRPr="00C40415" w:rsidRDefault="00C61B75" w:rsidP="00CA7F04">
            <w:pPr>
              <w:tabs>
                <w:tab w:val="right" w:pos="1202"/>
              </w:tabs>
              <w:spacing w:line="340" w:lineRule="exact"/>
              <w:outlineLvl w:val="0"/>
              <w:rPr>
                <w:rFonts w:ascii="Arial" w:hAnsi="Arial" w:cs="Arial"/>
                <w:b/>
                <w:bCs/>
                <w:color w:val="000000" w:themeColor="text1"/>
                <w:sz w:val="17"/>
                <w:szCs w:val="17"/>
              </w:rPr>
            </w:pPr>
          </w:p>
        </w:tc>
        <w:tc>
          <w:tcPr>
            <w:tcW w:w="557" w:type="pct"/>
            <w:tcBorders>
              <w:top w:val="nil"/>
              <w:left w:val="nil"/>
              <w:right w:val="nil"/>
            </w:tcBorders>
            <w:shd w:val="clear" w:color="auto" w:fill="auto"/>
            <w:vAlign w:val="bottom"/>
          </w:tcPr>
          <w:p w14:paraId="64E53EBC" w14:textId="77777777" w:rsidR="00C61B75" w:rsidRPr="00C40415" w:rsidRDefault="00C61B75" w:rsidP="00CA7F04">
            <w:pPr>
              <w:tabs>
                <w:tab w:val="right" w:pos="1202"/>
              </w:tabs>
              <w:spacing w:line="340" w:lineRule="exact"/>
              <w:jc w:val="right"/>
              <w:outlineLvl w:val="0"/>
              <w:rPr>
                <w:rFonts w:ascii="Arial" w:hAnsi="Arial" w:cs="Arial"/>
                <w:b/>
                <w:color w:val="000000" w:themeColor="text1"/>
                <w:sz w:val="17"/>
                <w:szCs w:val="17"/>
              </w:rPr>
            </w:pPr>
          </w:p>
        </w:tc>
        <w:tc>
          <w:tcPr>
            <w:tcW w:w="557" w:type="pct"/>
            <w:tcBorders>
              <w:top w:val="nil"/>
              <w:left w:val="nil"/>
              <w:right w:val="nil"/>
            </w:tcBorders>
            <w:shd w:val="clear" w:color="auto" w:fill="auto"/>
            <w:vAlign w:val="bottom"/>
          </w:tcPr>
          <w:p w14:paraId="49A491FB" w14:textId="77777777" w:rsidR="00C61B75" w:rsidRPr="00C40415" w:rsidRDefault="00C61B75" w:rsidP="00CA7F04">
            <w:pPr>
              <w:tabs>
                <w:tab w:val="right" w:pos="1202"/>
              </w:tabs>
              <w:spacing w:line="340" w:lineRule="exact"/>
              <w:jc w:val="right"/>
              <w:outlineLvl w:val="0"/>
              <w:rPr>
                <w:rFonts w:ascii="Arial" w:hAnsi="Arial" w:cs="Arial"/>
                <w:b/>
                <w:color w:val="000000" w:themeColor="text1"/>
                <w:sz w:val="17"/>
                <w:szCs w:val="17"/>
              </w:rPr>
            </w:pPr>
          </w:p>
        </w:tc>
        <w:tc>
          <w:tcPr>
            <w:tcW w:w="556" w:type="pct"/>
            <w:tcBorders>
              <w:top w:val="nil"/>
              <w:left w:val="nil"/>
              <w:right w:val="nil"/>
            </w:tcBorders>
            <w:shd w:val="clear" w:color="auto" w:fill="auto"/>
            <w:vAlign w:val="bottom"/>
          </w:tcPr>
          <w:p w14:paraId="4981224D" w14:textId="77777777" w:rsidR="00C61B75" w:rsidRPr="00C40415" w:rsidRDefault="00C61B75" w:rsidP="00CA7F04">
            <w:pPr>
              <w:tabs>
                <w:tab w:val="right" w:pos="1202"/>
              </w:tabs>
              <w:spacing w:line="340" w:lineRule="exact"/>
              <w:jc w:val="right"/>
              <w:outlineLvl w:val="0"/>
              <w:rPr>
                <w:rFonts w:ascii="Arial" w:hAnsi="Arial" w:cs="Arial"/>
                <w:b/>
                <w:color w:val="000000" w:themeColor="text1"/>
                <w:sz w:val="17"/>
                <w:szCs w:val="17"/>
              </w:rPr>
            </w:pPr>
          </w:p>
        </w:tc>
        <w:tc>
          <w:tcPr>
            <w:tcW w:w="556" w:type="pct"/>
            <w:tcBorders>
              <w:top w:val="nil"/>
              <w:left w:val="nil"/>
              <w:right w:val="nil"/>
            </w:tcBorders>
            <w:shd w:val="clear" w:color="auto" w:fill="auto"/>
            <w:vAlign w:val="bottom"/>
          </w:tcPr>
          <w:p w14:paraId="7A0DAED3" w14:textId="77777777" w:rsidR="00C61B75" w:rsidRPr="00C40415" w:rsidRDefault="00C61B75" w:rsidP="00CA7F04">
            <w:pPr>
              <w:tabs>
                <w:tab w:val="right" w:pos="1202"/>
              </w:tabs>
              <w:spacing w:line="340" w:lineRule="exact"/>
              <w:jc w:val="right"/>
              <w:outlineLvl w:val="0"/>
              <w:rPr>
                <w:rFonts w:ascii="Arial" w:hAnsi="Arial" w:cs="Arial"/>
                <w:b/>
                <w:color w:val="000000" w:themeColor="text1"/>
                <w:sz w:val="17"/>
                <w:szCs w:val="17"/>
              </w:rPr>
            </w:pPr>
          </w:p>
        </w:tc>
        <w:tc>
          <w:tcPr>
            <w:tcW w:w="556" w:type="pct"/>
            <w:tcBorders>
              <w:top w:val="nil"/>
              <w:left w:val="nil"/>
              <w:right w:val="nil"/>
            </w:tcBorders>
            <w:shd w:val="clear" w:color="auto" w:fill="auto"/>
            <w:vAlign w:val="bottom"/>
          </w:tcPr>
          <w:p w14:paraId="79F8C019" w14:textId="77777777" w:rsidR="00C61B75" w:rsidRPr="00C40415" w:rsidRDefault="00C61B75" w:rsidP="00CA7F04">
            <w:pPr>
              <w:tabs>
                <w:tab w:val="right" w:pos="1202"/>
              </w:tabs>
              <w:spacing w:line="340" w:lineRule="exact"/>
              <w:jc w:val="right"/>
              <w:outlineLvl w:val="0"/>
              <w:rPr>
                <w:rFonts w:ascii="Arial" w:hAnsi="Arial" w:cs="Arial"/>
                <w:b/>
                <w:color w:val="000000" w:themeColor="text1"/>
                <w:sz w:val="17"/>
                <w:szCs w:val="17"/>
              </w:rPr>
            </w:pPr>
          </w:p>
        </w:tc>
        <w:tc>
          <w:tcPr>
            <w:tcW w:w="621" w:type="pct"/>
            <w:tcBorders>
              <w:top w:val="nil"/>
              <w:left w:val="nil"/>
              <w:right w:val="nil"/>
            </w:tcBorders>
            <w:shd w:val="clear" w:color="auto" w:fill="auto"/>
            <w:vAlign w:val="bottom"/>
          </w:tcPr>
          <w:p w14:paraId="56EE6B34" w14:textId="77777777" w:rsidR="00C61B75" w:rsidRPr="00C40415" w:rsidRDefault="00C61B75" w:rsidP="00CA7F04">
            <w:pPr>
              <w:tabs>
                <w:tab w:val="right" w:pos="1202"/>
              </w:tabs>
              <w:spacing w:line="340" w:lineRule="exact"/>
              <w:jc w:val="right"/>
              <w:outlineLvl w:val="0"/>
              <w:rPr>
                <w:rFonts w:ascii="Arial" w:hAnsi="Arial" w:cs="Arial"/>
                <w:b/>
                <w:color w:val="000000" w:themeColor="text1"/>
                <w:sz w:val="17"/>
                <w:szCs w:val="17"/>
              </w:rPr>
            </w:pPr>
          </w:p>
        </w:tc>
      </w:tr>
      <w:tr w:rsidR="00C61B75" w:rsidRPr="00C40415" w14:paraId="7A4BA9B4" w14:textId="77777777" w:rsidTr="00CA7F04">
        <w:trPr>
          <w:trHeight w:hRule="exact" w:val="211"/>
        </w:trPr>
        <w:tc>
          <w:tcPr>
            <w:tcW w:w="1597" w:type="pct"/>
            <w:tcBorders>
              <w:top w:val="nil"/>
              <w:left w:val="nil"/>
              <w:bottom w:val="nil"/>
              <w:right w:val="nil"/>
            </w:tcBorders>
            <w:shd w:val="clear" w:color="auto" w:fill="auto"/>
          </w:tcPr>
          <w:p w14:paraId="1DD2675E" w14:textId="77777777" w:rsidR="00C61B75" w:rsidRPr="00C40415" w:rsidRDefault="00C61B75" w:rsidP="00CA7F04">
            <w:pPr>
              <w:tabs>
                <w:tab w:val="right" w:pos="1202"/>
              </w:tabs>
              <w:outlineLvl w:val="0"/>
              <w:rPr>
                <w:rFonts w:ascii="Arial" w:hAnsi="Arial" w:cs="Arial"/>
                <w:b/>
                <w:bCs/>
                <w:color w:val="000000" w:themeColor="text1"/>
                <w:sz w:val="17"/>
                <w:szCs w:val="17"/>
              </w:rPr>
            </w:pPr>
            <w:r w:rsidRPr="00C40415">
              <w:rPr>
                <w:rFonts w:ascii="Arial" w:hAnsi="Arial" w:cs="Arial"/>
                <w:b/>
                <w:bCs/>
                <w:color w:val="000000" w:themeColor="text1"/>
                <w:sz w:val="17"/>
                <w:szCs w:val="17"/>
              </w:rPr>
              <w:t>Garancije i preuzete obveze</w:t>
            </w:r>
          </w:p>
        </w:tc>
        <w:tc>
          <w:tcPr>
            <w:tcW w:w="557" w:type="pct"/>
            <w:tcBorders>
              <w:top w:val="nil"/>
              <w:left w:val="nil"/>
              <w:bottom w:val="nil"/>
              <w:right w:val="nil"/>
            </w:tcBorders>
            <w:shd w:val="clear" w:color="auto" w:fill="auto"/>
            <w:vAlign w:val="bottom"/>
          </w:tcPr>
          <w:p w14:paraId="2BD43394" w14:textId="77777777" w:rsidR="00C61B75" w:rsidRPr="00C40415" w:rsidRDefault="00C61B75" w:rsidP="00CA7F04">
            <w:pPr>
              <w:tabs>
                <w:tab w:val="right" w:pos="1202"/>
              </w:tabs>
              <w:jc w:val="right"/>
              <w:outlineLvl w:val="0"/>
              <w:rPr>
                <w:rFonts w:ascii="Arial" w:hAnsi="Arial" w:cs="Arial"/>
                <w:b/>
                <w:color w:val="000000" w:themeColor="text1"/>
                <w:sz w:val="17"/>
                <w:szCs w:val="17"/>
              </w:rPr>
            </w:pPr>
          </w:p>
        </w:tc>
        <w:tc>
          <w:tcPr>
            <w:tcW w:w="557" w:type="pct"/>
            <w:tcBorders>
              <w:top w:val="nil"/>
              <w:left w:val="nil"/>
              <w:bottom w:val="nil"/>
              <w:right w:val="nil"/>
            </w:tcBorders>
            <w:shd w:val="clear" w:color="auto" w:fill="auto"/>
            <w:vAlign w:val="bottom"/>
          </w:tcPr>
          <w:p w14:paraId="06CB719C" w14:textId="77777777" w:rsidR="00C61B75" w:rsidRPr="00C40415" w:rsidRDefault="00C61B75" w:rsidP="00CA7F04">
            <w:pPr>
              <w:tabs>
                <w:tab w:val="right" w:pos="1202"/>
              </w:tabs>
              <w:jc w:val="right"/>
              <w:outlineLvl w:val="0"/>
              <w:rPr>
                <w:rFonts w:ascii="Arial" w:hAnsi="Arial" w:cs="Arial"/>
                <w:b/>
                <w:color w:val="000000" w:themeColor="text1"/>
                <w:sz w:val="17"/>
                <w:szCs w:val="17"/>
              </w:rPr>
            </w:pPr>
          </w:p>
        </w:tc>
        <w:tc>
          <w:tcPr>
            <w:tcW w:w="556" w:type="pct"/>
            <w:tcBorders>
              <w:top w:val="nil"/>
              <w:left w:val="nil"/>
              <w:bottom w:val="nil"/>
              <w:right w:val="nil"/>
            </w:tcBorders>
            <w:shd w:val="clear" w:color="auto" w:fill="auto"/>
            <w:vAlign w:val="bottom"/>
          </w:tcPr>
          <w:p w14:paraId="45D23408" w14:textId="77777777" w:rsidR="00C61B75" w:rsidRPr="00C40415" w:rsidRDefault="00C61B75" w:rsidP="00CA7F04">
            <w:pPr>
              <w:tabs>
                <w:tab w:val="right" w:pos="1202"/>
              </w:tabs>
              <w:jc w:val="right"/>
              <w:outlineLvl w:val="0"/>
              <w:rPr>
                <w:rFonts w:ascii="Arial" w:hAnsi="Arial" w:cs="Arial"/>
                <w:b/>
                <w:color w:val="000000" w:themeColor="text1"/>
                <w:sz w:val="17"/>
                <w:szCs w:val="17"/>
              </w:rPr>
            </w:pPr>
          </w:p>
        </w:tc>
        <w:tc>
          <w:tcPr>
            <w:tcW w:w="556" w:type="pct"/>
            <w:tcBorders>
              <w:top w:val="nil"/>
              <w:left w:val="nil"/>
              <w:bottom w:val="nil"/>
              <w:right w:val="nil"/>
            </w:tcBorders>
            <w:shd w:val="clear" w:color="auto" w:fill="auto"/>
            <w:vAlign w:val="bottom"/>
          </w:tcPr>
          <w:p w14:paraId="2C22DFE3" w14:textId="77777777" w:rsidR="00C61B75" w:rsidRPr="00C40415" w:rsidRDefault="00C61B75" w:rsidP="00CA7F04">
            <w:pPr>
              <w:tabs>
                <w:tab w:val="right" w:pos="1202"/>
              </w:tabs>
              <w:jc w:val="right"/>
              <w:outlineLvl w:val="0"/>
              <w:rPr>
                <w:rFonts w:ascii="Arial" w:hAnsi="Arial" w:cs="Arial"/>
                <w:b/>
                <w:color w:val="000000" w:themeColor="text1"/>
                <w:sz w:val="17"/>
                <w:szCs w:val="17"/>
              </w:rPr>
            </w:pPr>
          </w:p>
        </w:tc>
        <w:tc>
          <w:tcPr>
            <w:tcW w:w="556" w:type="pct"/>
            <w:tcBorders>
              <w:top w:val="nil"/>
              <w:left w:val="nil"/>
              <w:bottom w:val="nil"/>
              <w:right w:val="nil"/>
            </w:tcBorders>
            <w:shd w:val="clear" w:color="auto" w:fill="auto"/>
            <w:vAlign w:val="bottom"/>
          </w:tcPr>
          <w:p w14:paraId="50F3DE28" w14:textId="77777777" w:rsidR="00C61B75" w:rsidRPr="00C40415" w:rsidRDefault="00C61B75" w:rsidP="00CA7F04">
            <w:pPr>
              <w:tabs>
                <w:tab w:val="right" w:pos="1202"/>
              </w:tabs>
              <w:jc w:val="right"/>
              <w:outlineLvl w:val="0"/>
              <w:rPr>
                <w:rFonts w:ascii="Arial" w:hAnsi="Arial" w:cs="Arial"/>
                <w:b/>
                <w:color w:val="000000" w:themeColor="text1"/>
                <w:sz w:val="17"/>
                <w:szCs w:val="17"/>
              </w:rPr>
            </w:pPr>
          </w:p>
        </w:tc>
        <w:tc>
          <w:tcPr>
            <w:tcW w:w="621" w:type="pct"/>
            <w:tcBorders>
              <w:top w:val="nil"/>
              <w:left w:val="nil"/>
              <w:bottom w:val="nil"/>
              <w:right w:val="nil"/>
            </w:tcBorders>
            <w:shd w:val="clear" w:color="auto" w:fill="auto"/>
            <w:vAlign w:val="bottom"/>
          </w:tcPr>
          <w:p w14:paraId="369E8471" w14:textId="77777777" w:rsidR="00C61B75" w:rsidRPr="00C40415" w:rsidRDefault="00C61B75" w:rsidP="00CA7F04">
            <w:pPr>
              <w:tabs>
                <w:tab w:val="right" w:pos="1202"/>
              </w:tabs>
              <w:jc w:val="right"/>
              <w:outlineLvl w:val="0"/>
              <w:rPr>
                <w:rFonts w:ascii="Arial" w:hAnsi="Arial" w:cs="Arial"/>
                <w:b/>
                <w:color w:val="000000" w:themeColor="text1"/>
                <w:sz w:val="17"/>
                <w:szCs w:val="17"/>
              </w:rPr>
            </w:pPr>
          </w:p>
        </w:tc>
      </w:tr>
      <w:tr w:rsidR="00C61B75" w:rsidRPr="00C40415" w14:paraId="22E0F429" w14:textId="77777777" w:rsidTr="00CA7F04">
        <w:trPr>
          <w:trHeight w:hRule="exact" w:val="211"/>
        </w:trPr>
        <w:tc>
          <w:tcPr>
            <w:tcW w:w="1597" w:type="pct"/>
            <w:tcBorders>
              <w:top w:val="nil"/>
              <w:left w:val="nil"/>
              <w:bottom w:val="nil"/>
              <w:right w:val="nil"/>
            </w:tcBorders>
            <w:shd w:val="clear" w:color="auto" w:fill="auto"/>
            <w:vAlign w:val="center"/>
          </w:tcPr>
          <w:p w14:paraId="43BA699C" w14:textId="77777777" w:rsidR="00C61B75" w:rsidRPr="00C40415" w:rsidRDefault="00C61B75" w:rsidP="00CA7F04">
            <w:pPr>
              <w:tabs>
                <w:tab w:val="right" w:pos="1202"/>
              </w:tabs>
              <w:outlineLvl w:val="0"/>
              <w:rPr>
                <w:rFonts w:ascii="Arial" w:hAnsi="Arial" w:cs="Arial"/>
                <w:b/>
                <w:bCs/>
                <w:color w:val="000000" w:themeColor="text1"/>
                <w:sz w:val="17"/>
                <w:szCs w:val="17"/>
              </w:rPr>
            </w:pPr>
            <w:r w:rsidRPr="00C40415">
              <w:rPr>
                <w:rFonts w:ascii="Arial" w:eastAsia="Calibri" w:hAnsi="Arial" w:cs="Arial"/>
                <w:color w:val="000000" w:themeColor="text1"/>
                <w:spacing w:val="-2"/>
                <w:sz w:val="17"/>
                <w:szCs w:val="17"/>
              </w:rPr>
              <w:t xml:space="preserve">Izdane garancije </w:t>
            </w:r>
          </w:p>
        </w:tc>
        <w:tc>
          <w:tcPr>
            <w:tcW w:w="557" w:type="pct"/>
            <w:tcBorders>
              <w:top w:val="nil"/>
              <w:left w:val="nil"/>
              <w:bottom w:val="nil"/>
              <w:right w:val="nil"/>
            </w:tcBorders>
            <w:shd w:val="clear" w:color="auto" w:fill="auto"/>
            <w:vAlign w:val="bottom"/>
          </w:tcPr>
          <w:p w14:paraId="61724C07" w14:textId="77777777" w:rsidR="00C61B75" w:rsidRPr="00C40415" w:rsidRDefault="00C61B75" w:rsidP="00CA7F04">
            <w:pPr>
              <w:tabs>
                <w:tab w:val="right" w:pos="1202"/>
              </w:tabs>
              <w:spacing w:line="240" w:lineRule="exact"/>
              <w:jc w:val="right"/>
              <w:outlineLvl w:val="0"/>
              <w:rPr>
                <w:rFonts w:ascii="Arial" w:eastAsia="Calibri" w:hAnsi="Arial" w:cs="Arial"/>
                <w:color w:val="000000" w:themeColor="text1"/>
                <w:spacing w:val="-2"/>
                <w:sz w:val="17"/>
                <w:szCs w:val="17"/>
              </w:rPr>
            </w:pPr>
            <w:r w:rsidRPr="00AD7F10">
              <w:rPr>
                <w:rFonts w:ascii="Arial" w:hAnsi="Arial" w:cs="Arial"/>
                <w:sz w:val="17"/>
                <w:szCs w:val="17"/>
              </w:rPr>
              <w:t xml:space="preserve"> 52.623 </w:t>
            </w:r>
          </w:p>
        </w:tc>
        <w:tc>
          <w:tcPr>
            <w:tcW w:w="557" w:type="pct"/>
            <w:tcBorders>
              <w:top w:val="nil"/>
              <w:left w:val="nil"/>
              <w:bottom w:val="nil"/>
              <w:right w:val="nil"/>
            </w:tcBorders>
            <w:shd w:val="clear" w:color="auto" w:fill="auto"/>
            <w:vAlign w:val="bottom"/>
          </w:tcPr>
          <w:p w14:paraId="78DB97E2" w14:textId="77777777" w:rsidR="00C61B75" w:rsidRPr="00C40415" w:rsidRDefault="00C61B75" w:rsidP="00CA7F04">
            <w:pPr>
              <w:jc w:val="right"/>
              <w:rPr>
                <w:rFonts w:ascii="Arial" w:hAnsi="Arial" w:cs="Arial"/>
                <w:color w:val="000000" w:themeColor="text1"/>
                <w:sz w:val="17"/>
                <w:szCs w:val="17"/>
              </w:rPr>
            </w:pPr>
            <w:r w:rsidRPr="00AD7F10">
              <w:rPr>
                <w:rFonts w:ascii="Arial" w:hAnsi="Arial" w:cs="Arial"/>
                <w:sz w:val="17"/>
                <w:szCs w:val="17"/>
              </w:rPr>
              <w:t xml:space="preserve"> - </w:t>
            </w:r>
          </w:p>
        </w:tc>
        <w:tc>
          <w:tcPr>
            <w:tcW w:w="556" w:type="pct"/>
            <w:tcBorders>
              <w:top w:val="nil"/>
              <w:left w:val="nil"/>
              <w:bottom w:val="nil"/>
              <w:right w:val="nil"/>
            </w:tcBorders>
            <w:shd w:val="clear" w:color="auto" w:fill="auto"/>
            <w:vAlign w:val="bottom"/>
          </w:tcPr>
          <w:p w14:paraId="1B5EB629" w14:textId="77777777" w:rsidR="00C61B75" w:rsidRPr="00C40415" w:rsidRDefault="00C61B75" w:rsidP="00CA7F04">
            <w:pPr>
              <w:jc w:val="right"/>
              <w:rPr>
                <w:rFonts w:ascii="Arial" w:hAnsi="Arial" w:cs="Arial"/>
                <w:color w:val="000000" w:themeColor="text1"/>
                <w:sz w:val="17"/>
                <w:szCs w:val="17"/>
              </w:rPr>
            </w:pPr>
            <w:r w:rsidRPr="00AD7F10">
              <w:rPr>
                <w:rFonts w:ascii="Arial" w:hAnsi="Arial" w:cs="Arial"/>
                <w:sz w:val="17"/>
                <w:szCs w:val="17"/>
              </w:rPr>
              <w:t xml:space="preserve"> - </w:t>
            </w:r>
          </w:p>
        </w:tc>
        <w:tc>
          <w:tcPr>
            <w:tcW w:w="556" w:type="pct"/>
            <w:tcBorders>
              <w:top w:val="nil"/>
              <w:left w:val="nil"/>
              <w:bottom w:val="nil"/>
              <w:right w:val="nil"/>
            </w:tcBorders>
            <w:shd w:val="clear" w:color="auto" w:fill="auto"/>
            <w:vAlign w:val="bottom"/>
          </w:tcPr>
          <w:p w14:paraId="1B7EFC84" w14:textId="77777777" w:rsidR="00C61B75" w:rsidRPr="00C40415" w:rsidRDefault="00C61B75" w:rsidP="00CA7F04">
            <w:pPr>
              <w:jc w:val="right"/>
              <w:rPr>
                <w:rFonts w:ascii="Arial" w:hAnsi="Arial" w:cs="Arial"/>
                <w:color w:val="000000" w:themeColor="text1"/>
                <w:sz w:val="17"/>
                <w:szCs w:val="17"/>
              </w:rPr>
            </w:pPr>
            <w:r w:rsidRPr="00AD7F10">
              <w:rPr>
                <w:rFonts w:ascii="Arial" w:hAnsi="Arial" w:cs="Arial"/>
                <w:sz w:val="17"/>
                <w:szCs w:val="17"/>
              </w:rPr>
              <w:t xml:space="preserve"> - </w:t>
            </w:r>
          </w:p>
        </w:tc>
        <w:tc>
          <w:tcPr>
            <w:tcW w:w="556" w:type="pct"/>
            <w:tcBorders>
              <w:top w:val="nil"/>
              <w:left w:val="nil"/>
              <w:bottom w:val="nil"/>
              <w:right w:val="nil"/>
            </w:tcBorders>
            <w:shd w:val="clear" w:color="auto" w:fill="auto"/>
            <w:vAlign w:val="bottom"/>
          </w:tcPr>
          <w:p w14:paraId="71AA2193" w14:textId="77777777" w:rsidR="00C61B75" w:rsidRPr="00C40415" w:rsidRDefault="00C61B75" w:rsidP="00CA7F04">
            <w:pPr>
              <w:jc w:val="right"/>
              <w:rPr>
                <w:rFonts w:ascii="Arial" w:hAnsi="Arial" w:cs="Arial"/>
                <w:color w:val="000000" w:themeColor="text1"/>
                <w:sz w:val="17"/>
                <w:szCs w:val="17"/>
              </w:rPr>
            </w:pPr>
            <w:r w:rsidRPr="00AD7F10">
              <w:rPr>
                <w:rFonts w:ascii="Arial" w:hAnsi="Arial" w:cs="Arial"/>
                <w:sz w:val="17"/>
                <w:szCs w:val="17"/>
              </w:rPr>
              <w:t xml:space="preserve"> - </w:t>
            </w:r>
          </w:p>
        </w:tc>
        <w:tc>
          <w:tcPr>
            <w:tcW w:w="621" w:type="pct"/>
            <w:tcBorders>
              <w:top w:val="nil"/>
              <w:left w:val="nil"/>
              <w:bottom w:val="nil"/>
              <w:right w:val="nil"/>
            </w:tcBorders>
            <w:shd w:val="clear" w:color="auto" w:fill="auto"/>
            <w:vAlign w:val="bottom"/>
          </w:tcPr>
          <w:p w14:paraId="26D70B80" w14:textId="77777777" w:rsidR="00C61B75" w:rsidRPr="00C40415" w:rsidRDefault="00C61B75" w:rsidP="00CA7F04">
            <w:pPr>
              <w:tabs>
                <w:tab w:val="right" w:pos="1202"/>
              </w:tabs>
              <w:spacing w:line="240" w:lineRule="exact"/>
              <w:jc w:val="right"/>
              <w:outlineLvl w:val="0"/>
              <w:rPr>
                <w:rFonts w:ascii="Arial" w:eastAsia="Calibri" w:hAnsi="Arial" w:cs="Arial"/>
                <w:color w:val="000000" w:themeColor="text1"/>
                <w:spacing w:val="-2"/>
                <w:sz w:val="17"/>
                <w:szCs w:val="17"/>
              </w:rPr>
            </w:pPr>
            <w:r w:rsidRPr="00AD7F10">
              <w:rPr>
                <w:rFonts w:ascii="Arial" w:hAnsi="Arial" w:cs="Arial"/>
                <w:sz w:val="17"/>
                <w:szCs w:val="17"/>
              </w:rPr>
              <w:t xml:space="preserve"> 52.623 </w:t>
            </w:r>
          </w:p>
        </w:tc>
      </w:tr>
      <w:tr w:rsidR="00C61B75" w:rsidRPr="00C40415" w14:paraId="751AFDE4" w14:textId="77777777" w:rsidTr="00CA7F04">
        <w:trPr>
          <w:trHeight w:hRule="exact" w:val="211"/>
        </w:trPr>
        <w:tc>
          <w:tcPr>
            <w:tcW w:w="1597" w:type="pct"/>
            <w:tcBorders>
              <w:top w:val="nil"/>
              <w:left w:val="nil"/>
              <w:bottom w:val="nil"/>
              <w:right w:val="nil"/>
            </w:tcBorders>
            <w:shd w:val="clear" w:color="auto" w:fill="auto"/>
            <w:vAlign w:val="center"/>
          </w:tcPr>
          <w:p w14:paraId="2B038763" w14:textId="77777777" w:rsidR="00C61B75" w:rsidRPr="00C40415" w:rsidRDefault="00C61B75" w:rsidP="00CA7F04">
            <w:pPr>
              <w:tabs>
                <w:tab w:val="right" w:pos="1202"/>
              </w:tabs>
              <w:outlineLvl w:val="0"/>
              <w:rPr>
                <w:rFonts w:ascii="Arial" w:hAnsi="Arial" w:cs="Arial"/>
                <w:b/>
                <w:bCs/>
                <w:color w:val="000000" w:themeColor="text1"/>
                <w:sz w:val="17"/>
                <w:szCs w:val="17"/>
              </w:rPr>
            </w:pPr>
            <w:r w:rsidRPr="00C40415">
              <w:rPr>
                <w:rFonts w:ascii="Arial" w:eastAsia="Calibri" w:hAnsi="Arial" w:cs="Arial"/>
                <w:color w:val="000000" w:themeColor="text1"/>
                <w:spacing w:val="-2"/>
                <w:sz w:val="17"/>
                <w:szCs w:val="17"/>
              </w:rPr>
              <w:t>Izdane garancije u devizama</w:t>
            </w:r>
          </w:p>
        </w:tc>
        <w:tc>
          <w:tcPr>
            <w:tcW w:w="557" w:type="pct"/>
            <w:tcBorders>
              <w:top w:val="nil"/>
              <w:left w:val="nil"/>
              <w:bottom w:val="nil"/>
              <w:right w:val="nil"/>
            </w:tcBorders>
            <w:shd w:val="clear" w:color="auto" w:fill="auto"/>
            <w:vAlign w:val="bottom"/>
          </w:tcPr>
          <w:p w14:paraId="416DA72C" w14:textId="77777777" w:rsidR="00C61B75" w:rsidRPr="00C40415" w:rsidRDefault="00C61B75" w:rsidP="00CA7F04">
            <w:pPr>
              <w:tabs>
                <w:tab w:val="right" w:pos="1202"/>
              </w:tabs>
              <w:spacing w:line="240" w:lineRule="exact"/>
              <w:jc w:val="right"/>
              <w:outlineLvl w:val="0"/>
              <w:rPr>
                <w:rFonts w:ascii="Arial" w:eastAsia="Calibri" w:hAnsi="Arial" w:cs="Arial"/>
                <w:color w:val="000000" w:themeColor="text1"/>
                <w:spacing w:val="-2"/>
                <w:sz w:val="17"/>
                <w:szCs w:val="17"/>
              </w:rPr>
            </w:pPr>
            <w:r w:rsidRPr="00AD7F10">
              <w:rPr>
                <w:rFonts w:ascii="Arial" w:hAnsi="Arial" w:cs="Arial"/>
                <w:sz w:val="17"/>
                <w:szCs w:val="17"/>
              </w:rPr>
              <w:t xml:space="preserve"> 7.716 </w:t>
            </w:r>
          </w:p>
        </w:tc>
        <w:tc>
          <w:tcPr>
            <w:tcW w:w="557" w:type="pct"/>
            <w:tcBorders>
              <w:top w:val="nil"/>
              <w:left w:val="nil"/>
              <w:bottom w:val="nil"/>
              <w:right w:val="nil"/>
            </w:tcBorders>
            <w:shd w:val="clear" w:color="auto" w:fill="auto"/>
            <w:vAlign w:val="bottom"/>
          </w:tcPr>
          <w:p w14:paraId="26B32465" w14:textId="77777777" w:rsidR="00C61B75" w:rsidRPr="00C40415" w:rsidRDefault="00C61B75" w:rsidP="00CA7F04">
            <w:pPr>
              <w:jc w:val="right"/>
              <w:rPr>
                <w:rFonts w:ascii="Arial" w:hAnsi="Arial" w:cs="Arial"/>
                <w:color w:val="000000" w:themeColor="text1"/>
                <w:sz w:val="17"/>
                <w:szCs w:val="17"/>
              </w:rPr>
            </w:pPr>
            <w:r w:rsidRPr="00AD7F10">
              <w:rPr>
                <w:rFonts w:ascii="Arial" w:hAnsi="Arial" w:cs="Arial"/>
                <w:sz w:val="17"/>
                <w:szCs w:val="17"/>
              </w:rPr>
              <w:t xml:space="preserve"> - </w:t>
            </w:r>
          </w:p>
        </w:tc>
        <w:tc>
          <w:tcPr>
            <w:tcW w:w="556" w:type="pct"/>
            <w:tcBorders>
              <w:top w:val="nil"/>
              <w:left w:val="nil"/>
              <w:bottom w:val="nil"/>
              <w:right w:val="nil"/>
            </w:tcBorders>
            <w:shd w:val="clear" w:color="auto" w:fill="auto"/>
            <w:vAlign w:val="bottom"/>
          </w:tcPr>
          <w:p w14:paraId="4187EF43" w14:textId="77777777" w:rsidR="00C61B75" w:rsidRPr="00C40415" w:rsidRDefault="00C61B75" w:rsidP="00CA7F04">
            <w:pPr>
              <w:jc w:val="right"/>
              <w:rPr>
                <w:rFonts w:ascii="Arial" w:hAnsi="Arial" w:cs="Arial"/>
                <w:color w:val="000000" w:themeColor="text1"/>
                <w:sz w:val="17"/>
                <w:szCs w:val="17"/>
              </w:rPr>
            </w:pPr>
            <w:r w:rsidRPr="00AD7F10">
              <w:rPr>
                <w:rFonts w:ascii="Arial" w:hAnsi="Arial" w:cs="Arial"/>
                <w:sz w:val="17"/>
                <w:szCs w:val="17"/>
              </w:rPr>
              <w:t xml:space="preserve"> - </w:t>
            </w:r>
          </w:p>
        </w:tc>
        <w:tc>
          <w:tcPr>
            <w:tcW w:w="556" w:type="pct"/>
            <w:tcBorders>
              <w:top w:val="nil"/>
              <w:left w:val="nil"/>
              <w:bottom w:val="nil"/>
              <w:right w:val="nil"/>
            </w:tcBorders>
            <w:shd w:val="clear" w:color="auto" w:fill="auto"/>
            <w:vAlign w:val="bottom"/>
          </w:tcPr>
          <w:p w14:paraId="16F2BC80" w14:textId="77777777" w:rsidR="00C61B75" w:rsidRPr="00C40415" w:rsidRDefault="00C61B75" w:rsidP="00CA7F04">
            <w:pPr>
              <w:jc w:val="right"/>
              <w:rPr>
                <w:rFonts w:ascii="Arial" w:hAnsi="Arial" w:cs="Arial"/>
                <w:color w:val="000000" w:themeColor="text1"/>
                <w:sz w:val="17"/>
                <w:szCs w:val="17"/>
              </w:rPr>
            </w:pPr>
            <w:r w:rsidRPr="00AD7F10">
              <w:rPr>
                <w:rFonts w:ascii="Arial" w:hAnsi="Arial" w:cs="Arial"/>
                <w:sz w:val="17"/>
                <w:szCs w:val="17"/>
              </w:rPr>
              <w:t xml:space="preserve"> - </w:t>
            </w:r>
          </w:p>
        </w:tc>
        <w:tc>
          <w:tcPr>
            <w:tcW w:w="556" w:type="pct"/>
            <w:tcBorders>
              <w:top w:val="nil"/>
              <w:left w:val="nil"/>
              <w:bottom w:val="nil"/>
              <w:right w:val="nil"/>
            </w:tcBorders>
            <w:shd w:val="clear" w:color="auto" w:fill="auto"/>
            <w:vAlign w:val="bottom"/>
          </w:tcPr>
          <w:p w14:paraId="79364833" w14:textId="77777777" w:rsidR="00C61B75" w:rsidRPr="00C40415" w:rsidRDefault="00C61B75" w:rsidP="00CA7F04">
            <w:pPr>
              <w:jc w:val="right"/>
              <w:rPr>
                <w:rFonts w:ascii="Arial" w:hAnsi="Arial" w:cs="Arial"/>
                <w:color w:val="000000" w:themeColor="text1"/>
                <w:sz w:val="17"/>
                <w:szCs w:val="17"/>
              </w:rPr>
            </w:pPr>
            <w:r w:rsidRPr="00AD7F10">
              <w:rPr>
                <w:rFonts w:ascii="Arial" w:hAnsi="Arial" w:cs="Arial"/>
                <w:sz w:val="17"/>
                <w:szCs w:val="17"/>
              </w:rPr>
              <w:t xml:space="preserve"> - </w:t>
            </w:r>
          </w:p>
        </w:tc>
        <w:tc>
          <w:tcPr>
            <w:tcW w:w="621" w:type="pct"/>
            <w:tcBorders>
              <w:top w:val="nil"/>
              <w:left w:val="nil"/>
              <w:bottom w:val="nil"/>
              <w:right w:val="nil"/>
            </w:tcBorders>
            <w:shd w:val="clear" w:color="auto" w:fill="auto"/>
            <w:vAlign w:val="bottom"/>
          </w:tcPr>
          <w:p w14:paraId="327CB43B" w14:textId="77777777" w:rsidR="00C61B75" w:rsidRPr="00C40415" w:rsidRDefault="00C61B75" w:rsidP="00CA7F04">
            <w:pPr>
              <w:tabs>
                <w:tab w:val="right" w:pos="1202"/>
              </w:tabs>
              <w:spacing w:line="240" w:lineRule="exact"/>
              <w:jc w:val="right"/>
              <w:outlineLvl w:val="0"/>
              <w:rPr>
                <w:rFonts w:ascii="Arial" w:eastAsia="Calibri" w:hAnsi="Arial" w:cs="Arial"/>
                <w:color w:val="000000" w:themeColor="text1"/>
                <w:spacing w:val="-2"/>
                <w:sz w:val="17"/>
                <w:szCs w:val="17"/>
              </w:rPr>
            </w:pPr>
            <w:r w:rsidRPr="00AD7F10">
              <w:rPr>
                <w:rFonts w:ascii="Arial" w:hAnsi="Arial" w:cs="Arial"/>
                <w:sz w:val="17"/>
                <w:szCs w:val="17"/>
              </w:rPr>
              <w:t xml:space="preserve"> 7.716 </w:t>
            </w:r>
          </w:p>
        </w:tc>
      </w:tr>
      <w:tr w:rsidR="00C61B75" w:rsidRPr="00C40415" w14:paraId="124DA4FD" w14:textId="77777777" w:rsidTr="00CA7F04">
        <w:trPr>
          <w:trHeight w:hRule="exact" w:val="211"/>
        </w:trPr>
        <w:tc>
          <w:tcPr>
            <w:tcW w:w="1597" w:type="pct"/>
            <w:tcBorders>
              <w:top w:val="nil"/>
              <w:left w:val="nil"/>
              <w:bottom w:val="nil"/>
              <w:right w:val="nil"/>
            </w:tcBorders>
            <w:shd w:val="clear" w:color="auto" w:fill="auto"/>
            <w:vAlign w:val="center"/>
          </w:tcPr>
          <w:p w14:paraId="278B1874" w14:textId="77777777" w:rsidR="00C61B75" w:rsidRPr="00C40415" w:rsidRDefault="00C61B75" w:rsidP="00CA7F04">
            <w:pPr>
              <w:tabs>
                <w:tab w:val="right" w:pos="1202"/>
              </w:tabs>
              <w:outlineLvl w:val="0"/>
              <w:rPr>
                <w:rFonts w:ascii="Arial" w:hAnsi="Arial" w:cs="Arial"/>
                <w:b/>
                <w:bCs/>
                <w:color w:val="000000" w:themeColor="text1"/>
                <w:sz w:val="17"/>
                <w:szCs w:val="17"/>
              </w:rPr>
            </w:pPr>
            <w:r w:rsidRPr="00C40415">
              <w:rPr>
                <w:rFonts w:ascii="Arial" w:eastAsia="Calibri" w:hAnsi="Arial" w:cs="Arial"/>
                <w:color w:val="000000" w:themeColor="text1"/>
                <w:spacing w:val="-2"/>
                <w:sz w:val="17"/>
                <w:szCs w:val="17"/>
              </w:rPr>
              <w:t>Preuzete obveze po kreditima</w:t>
            </w:r>
          </w:p>
        </w:tc>
        <w:tc>
          <w:tcPr>
            <w:tcW w:w="557" w:type="pct"/>
            <w:tcBorders>
              <w:top w:val="nil"/>
              <w:left w:val="nil"/>
              <w:bottom w:val="nil"/>
              <w:right w:val="nil"/>
            </w:tcBorders>
            <w:shd w:val="clear" w:color="auto" w:fill="auto"/>
            <w:vAlign w:val="bottom"/>
          </w:tcPr>
          <w:p w14:paraId="1E35E11A" w14:textId="77777777" w:rsidR="00C61B75" w:rsidRPr="00C40415" w:rsidRDefault="00C61B75" w:rsidP="00CA7F04">
            <w:pPr>
              <w:tabs>
                <w:tab w:val="right" w:pos="1202"/>
              </w:tabs>
              <w:spacing w:line="240" w:lineRule="exact"/>
              <w:jc w:val="right"/>
              <w:outlineLvl w:val="0"/>
              <w:rPr>
                <w:rFonts w:ascii="Arial" w:eastAsia="Calibri" w:hAnsi="Arial" w:cs="Arial"/>
                <w:color w:val="000000" w:themeColor="text1"/>
                <w:spacing w:val="-2"/>
                <w:sz w:val="17"/>
                <w:szCs w:val="17"/>
              </w:rPr>
            </w:pPr>
            <w:r w:rsidRPr="00AD7F10">
              <w:rPr>
                <w:rFonts w:ascii="Arial" w:hAnsi="Arial" w:cs="Arial"/>
                <w:sz w:val="17"/>
                <w:szCs w:val="17"/>
              </w:rPr>
              <w:t xml:space="preserve"> 445.273 </w:t>
            </w:r>
          </w:p>
        </w:tc>
        <w:tc>
          <w:tcPr>
            <w:tcW w:w="557" w:type="pct"/>
            <w:tcBorders>
              <w:top w:val="nil"/>
              <w:left w:val="nil"/>
              <w:bottom w:val="nil"/>
              <w:right w:val="nil"/>
            </w:tcBorders>
            <w:shd w:val="clear" w:color="auto" w:fill="auto"/>
            <w:vAlign w:val="bottom"/>
          </w:tcPr>
          <w:p w14:paraId="14095673" w14:textId="77777777" w:rsidR="00C61B75" w:rsidRPr="00C40415" w:rsidRDefault="00C61B75" w:rsidP="00CA7F04">
            <w:pPr>
              <w:jc w:val="right"/>
              <w:rPr>
                <w:rFonts w:ascii="Arial" w:hAnsi="Arial" w:cs="Arial"/>
                <w:color w:val="000000" w:themeColor="text1"/>
                <w:sz w:val="17"/>
                <w:szCs w:val="17"/>
              </w:rPr>
            </w:pPr>
            <w:r w:rsidRPr="00AD7F10">
              <w:rPr>
                <w:rFonts w:ascii="Arial" w:hAnsi="Arial" w:cs="Arial"/>
                <w:sz w:val="17"/>
                <w:szCs w:val="17"/>
              </w:rPr>
              <w:t xml:space="preserve"> - </w:t>
            </w:r>
          </w:p>
        </w:tc>
        <w:tc>
          <w:tcPr>
            <w:tcW w:w="556" w:type="pct"/>
            <w:tcBorders>
              <w:top w:val="nil"/>
              <w:left w:val="nil"/>
              <w:bottom w:val="nil"/>
              <w:right w:val="nil"/>
            </w:tcBorders>
            <w:shd w:val="clear" w:color="auto" w:fill="auto"/>
            <w:vAlign w:val="bottom"/>
          </w:tcPr>
          <w:p w14:paraId="45462F80" w14:textId="77777777" w:rsidR="00C61B75" w:rsidRPr="00C40415" w:rsidRDefault="00C61B75" w:rsidP="00CA7F04">
            <w:pPr>
              <w:jc w:val="right"/>
              <w:rPr>
                <w:rFonts w:ascii="Arial" w:hAnsi="Arial" w:cs="Arial"/>
                <w:color w:val="000000" w:themeColor="text1"/>
                <w:sz w:val="17"/>
                <w:szCs w:val="17"/>
              </w:rPr>
            </w:pPr>
            <w:r w:rsidRPr="00AD7F10">
              <w:rPr>
                <w:rFonts w:ascii="Arial" w:hAnsi="Arial" w:cs="Arial"/>
                <w:sz w:val="17"/>
                <w:szCs w:val="17"/>
              </w:rPr>
              <w:t xml:space="preserve"> - </w:t>
            </w:r>
          </w:p>
        </w:tc>
        <w:tc>
          <w:tcPr>
            <w:tcW w:w="556" w:type="pct"/>
            <w:tcBorders>
              <w:top w:val="nil"/>
              <w:left w:val="nil"/>
              <w:bottom w:val="nil"/>
              <w:right w:val="nil"/>
            </w:tcBorders>
            <w:shd w:val="clear" w:color="auto" w:fill="auto"/>
            <w:vAlign w:val="bottom"/>
          </w:tcPr>
          <w:p w14:paraId="30992468" w14:textId="77777777" w:rsidR="00C61B75" w:rsidRPr="00C40415" w:rsidRDefault="00C61B75" w:rsidP="00CA7F04">
            <w:pPr>
              <w:jc w:val="right"/>
              <w:rPr>
                <w:rFonts w:ascii="Arial" w:hAnsi="Arial" w:cs="Arial"/>
                <w:color w:val="000000" w:themeColor="text1"/>
                <w:sz w:val="17"/>
                <w:szCs w:val="17"/>
              </w:rPr>
            </w:pPr>
            <w:r w:rsidRPr="00AD7F10">
              <w:rPr>
                <w:rFonts w:ascii="Arial" w:hAnsi="Arial" w:cs="Arial"/>
                <w:sz w:val="17"/>
                <w:szCs w:val="17"/>
              </w:rPr>
              <w:t xml:space="preserve"> - </w:t>
            </w:r>
          </w:p>
        </w:tc>
        <w:tc>
          <w:tcPr>
            <w:tcW w:w="556" w:type="pct"/>
            <w:tcBorders>
              <w:top w:val="nil"/>
              <w:left w:val="nil"/>
              <w:bottom w:val="nil"/>
              <w:right w:val="nil"/>
            </w:tcBorders>
            <w:shd w:val="clear" w:color="auto" w:fill="auto"/>
            <w:vAlign w:val="bottom"/>
          </w:tcPr>
          <w:p w14:paraId="7E167AA0" w14:textId="77777777" w:rsidR="00C61B75" w:rsidRPr="00C40415" w:rsidRDefault="00C61B75" w:rsidP="00CA7F04">
            <w:pPr>
              <w:jc w:val="right"/>
              <w:rPr>
                <w:rFonts w:ascii="Arial" w:hAnsi="Arial" w:cs="Arial"/>
                <w:color w:val="000000" w:themeColor="text1"/>
                <w:sz w:val="17"/>
                <w:szCs w:val="17"/>
              </w:rPr>
            </w:pPr>
            <w:r w:rsidRPr="00AD7F10">
              <w:rPr>
                <w:rFonts w:ascii="Arial" w:hAnsi="Arial" w:cs="Arial"/>
                <w:sz w:val="17"/>
                <w:szCs w:val="17"/>
              </w:rPr>
              <w:t xml:space="preserve"> - </w:t>
            </w:r>
          </w:p>
        </w:tc>
        <w:tc>
          <w:tcPr>
            <w:tcW w:w="621" w:type="pct"/>
            <w:tcBorders>
              <w:top w:val="nil"/>
              <w:left w:val="nil"/>
              <w:bottom w:val="nil"/>
              <w:right w:val="nil"/>
            </w:tcBorders>
            <w:shd w:val="clear" w:color="auto" w:fill="auto"/>
            <w:vAlign w:val="bottom"/>
          </w:tcPr>
          <w:p w14:paraId="3F6B4BF4" w14:textId="77777777" w:rsidR="00C61B75" w:rsidRPr="00C40415" w:rsidRDefault="00C61B75" w:rsidP="00CA7F04">
            <w:pPr>
              <w:tabs>
                <w:tab w:val="right" w:pos="1202"/>
              </w:tabs>
              <w:spacing w:line="240" w:lineRule="exact"/>
              <w:jc w:val="right"/>
              <w:outlineLvl w:val="0"/>
              <w:rPr>
                <w:rFonts w:ascii="Arial" w:eastAsia="Calibri" w:hAnsi="Arial" w:cs="Arial"/>
                <w:color w:val="000000" w:themeColor="text1"/>
                <w:spacing w:val="-2"/>
                <w:sz w:val="17"/>
                <w:szCs w:val="17"/>
              </w:rPr>
            </w:pPr>
            <w:r w:rsidRPr="00AD7F10">
              <w:rPr>
                <w:rFonts w:ascii="Arial" w:hAnsi="Arial" w:cs="Arial"/>
                <w:sz w:val="17"/>
                <w:szCs w:val="17"/>
              </w:rPr>
              <w:t xml:space="preserve"> 445.273 </w:t>
            </w:r>
          </w:p>
        </w:tc>
      </w:tr>
      <w:tr w:rsidR="00C61B75" w:rsidRPr="00C40415" w14:paraId="12DF46EA" w14:textId="77777777" w:rsidTr="00CA7F04">
        <w:trPr>
          <w:trHeight w:hRule="exact" w:val="211"/>
        </w:trPr>
        <w:tc>
          <w:tcPr>
            <w:tcW w:w="1597" w:type="pct"/>
            <w:tcBorders>
              <w:top w:val="nil"/>
              <w:left w:val="nil"/>
              <w:bottom w:val="nil"/>
              <w:right w:val="nil"/>
            </w:tcBorders>
            <w:shd w:val="clear" w:color="auto" w:fill="auto"/>
            <w:vAlign w:val="bottom"/>
          </w:tcPr>
          <w:p w14:paraId="47BF2D1D" w14:textId="77777777" w:rsidR="00C61B75" w:rsidRPr="00C40415" w:rsidRDefault="00C61B75" w:rsidP="00CA7F04">
            <w:pPr>
              <w:tabs>
                <w:tab w:val="right" w:pos="1202"/>
              </w:tabs>
              <w:outlineLvl w:val="0"/>
              <w:rPr>
                <w:rFonts w:ascii="Arial" w:eastAsia="Calibri" w:hAnsi="Arial" w:cs="Arial"/>
                <w:color w:val="000000" w:themeColor="text1"/>
                <w:spacing w:val="-2"/>
                <w:sz w:val="17"/>
                <w:szCs w:val="17"/>
              </w:rPr>
            </w:pPr>
            <w:r w:rsidRPr="00C40415">
              <w:rPr>
                <w:rFonts w:ascii="Arial" w:hAnsi="Arial" w:cs="Arial"/>
                <w:color w:val="000000" w:themeColor="text1"/>
                <w:sz w:val="17"/>
                <w:szCs w:val="17"/>
              </w:rPr>
              <w:t>Upisani a neuplaćeni kapital EIF-a</w:t>
            </w:r>
          </w:p>
        </w:tc>
        <w:tc>
          <w:tcPr>
            <w:tcW w:w="557" w:type="pct"/>
            <w:tcBorders>
              <w:top w:val="nil"/>
              <w:left w:val="nil"/>
              <w:bottom w:val="nil"/>
              <w:right w:val="nil"/>
            </w:tcBorders>
            <w:shd w:val="clear" w:color="auto" w:fill="auto"/>
            <w:vAlign w:val="bottom"/>
          </w:tcPr>
          <w:p w14:paraId="0C329C03" w14:textId="77777777" w:rsidR="00C61B75" w:rsidRPr="00C40415" w:rsidRDefault="00C61B75" w:rsidP="00CA7F04">
            <w:pPr>
              <w:tabs>
                <w:tab w:val="right" w:pos="1202"/>
              </w:tabs>
              <w:spacing w:line="240" w:lineRule="exact"/>
              <w:jc w:val="right"/>
              <w:outlineLvl w:val="0"/>
              <w:rPr>
                <w:rFonts w:ascii="Arial" w:eastAsia="Calibri" w:hAnsi="Arial" w:cs="Arial"/>
                <w:color w:val="000000" w:themeColor="text1"/>
                <w:spacing w:val="-2"/>
                <w:sz w:val="17"/>
                <w:szCs w:val="17"/>
              </w:rPr>
            </w:pPr>
            <w:r w:rsidRPr="00AD7F10">
              <w:rPr>
                <w:rFonts w:ascii="Arial" w:hAnsi="Arial" w:cs="Arial"/>
                <w:sz w:val="17"/>
                <w:szCs w:val="17"/>
              </w:rPr>
              <w:t xml:space="preserve"> 10.400 </w:t>
            </w:r>
          </w:p>
        </w:tc>
        <w:tc>
          <w:tcPr>
            <w:tcW w:w="557" w:type="pct"/>
            <w:tcBorders>
              <w:top w:val="nil"/>
              <w:left w:val="nil"/>
              <w:bottom w:val="nil"/>
              <w:right w:val="nil"/>
            </w:tcBorders>
            <w:shd w:val="clear" w:color="auto" w:fill="auto"/>
            <w:vAlign w:val="bottom"/>
          </w:tcPr>
          <w:p w14:paraId="0C97D6D7" w14:textId="77777777" w:rsidR="00C61B75" w:rsidRPr="00C40415" w:rsidRDefault="00C61B75" w:rsidP="00CA7F04">
            <w:pPr>
              <w:jc w:val="right"/>
              <w:rPr>
                <w:rFonts w:ascii="Arial" w:hAnsi="Arial" w:cs="Arial"/>
                <w:color w:val="000000" w:themeColor="text1"/>
                <w:sz w:val="17"/>
                <w:szCs w:val="17"/>
              </w:rPr>
            </w:pPr>
            <w:r w:rsidRPr="00AD7F10">
              <w:rPr>
                <w:rFonts w:ascii="Arial" w:hAnsi="Arial" w:cs="Arial"/>
                <w:sz w:val="17"/>
                <w:szCs w:val="17"/>
              </w:rPr>
              <w:t xml:space="preserve"> - </w:t>
            </w:r>
          </w:p>
        </w:tc>
        <w:tc>
          <w:tcPr>
            <w:tcW w:w="556" w:type="pct"/>
            <w:tcBorders>
              <w:top w:val="nil"/>
              <w:left w:val="nil"/>
              <w:bottom w:val="nil"/>
              <w:right w:val="nil"/>
            </w:tcBorders>
            <w:shd w:val="clear" w:color="auto" w:fill="auto"/>
            <w:vAlign w:val="bottom"/>
          </w:tcPr>
          <w:p w14:paraId="3819AEFA" w14:textId="77777777" w:rsidR="00C61B75" w:rsidRPr="00C40415" w:rsidRDefault="00C61B75" w:rsidP="00CA7F04">
            <w:pPr>
              <w:jc w:val="right"/>
              <w:rPr>
                <w:rFonts w:ascii="Arial" w:hAnsi="Arial" w:cs="Arial"/>
                <w:color w:val="000000" w:themeColor="text1"/>
                <w:sz w:val="17"/>
                <w:szCs w:val="17"/>
              </w:rPr>
            </w:pPr>
            <w:r w:rsidRPr="00AD7F10">
              <w:rPr>
                <w:rFonts w:ascii="Arial" w:hAnsi="Arial" w:cs="Arial"/>
                <w:sz w:val="17"/>
                <w:szCs w:val="17"/>
              </w:rPr>
              <w:t xml:space="preserve"> - </w:t>
            </w:r>
          </w:p>
        </w:tc>
        <w:tc>
          <w:tcPr>
            <w:tcW w:w="556" w:type="pct"/>
            <w:tcBorders>
              <w:top w:val="nil"/>
              <w:left w:val="nil"/>
              <w:bottom w:val="nil"/>
              <w:right w:val="nil"/>
            </w:tcBorders>
            <w:shd w:val="clear" w:color="auto" w:fill="auto"/>
            <w:vAlign w:val="bottom"/>
          </w:tcPr>
          <w:p w14:paraId="4C5A817D" w14:textId="77777777" w:rsidR="00C61B75" w:rsidRPr="00C40415" w:rsidRDefault="00C61B75" w:rsidP="00CA7F04">
            <w:pPr>
              <w:jc w:val="right"/>
              <w:rPr>
                <w:rFonts w:ascii="Arial" w:hAnsi="Arial" w:cs="Arial"/>
                <w:color w:val="000000" w:themeColor="text1"/>
                <w:sz w:val="17"/>
                <w:szCs w:val="17"/>
              </w:rPr>
            </w:pPr>
            <w:r w:rsidRPr="00AD7F10">
              <w:rPr>
                <w:rFonts w:ascii="Arial" w:hAnsi="Arial" w:cs="Arial"/>
                <w:sz w:val="17"/>
                <w:szCs w:val="17"/>
              </w:rPr>
              <w:t xml:space="preserve"> - </w:t>
            </w:r>
          </w:p>
        </w:tc>
        <w:tc>
          <w:tcPr>
            <w:tcW w:w="556" w:type="pct"/>
            <w:tcBorders>
              <w:top w:val="nil"/>
              <w:left w:val="nil"/>
              <w:bottom w:val="nil"/>
              <w:right w:val="nil"/>
            </w:tcBorders>
            <w:shd w:val="clear" w:color="auto" w:fill="auto"/>
            <w:vAlign w:val="bottom"/>
          </w:tcPr>
          <w:p w14:paraId="47267BFD" w14:textId="77777777" w:rsidR="00C61B75" w:rsidRPr="00C40415" w:rsidRDefault="00C61B75" w:rsidP="00CA7F04">
            <w:pPr>
              <w:jc w:val="right"/>
              <w:rPr>
                <w:rFonts w:ascii="Arial" w:hAnsi="Arial" w:cs="Arial"/>
                <w:color w:val="000000" w:themeColor="text1"/>
                <w:sz w:val="17"/>
                <w:szCs w:val="17"/>
              </w:rPr>
            </w:pPr>
            <w:r w:rsidRPr="00AD7F10">
              <w:rPr>
                <w:rFonts w:ascii="Arial" w:hAnsi="Arial" w:cs="Arial"/>
                <w:sz w:val="17"/>
                <w:szCs w:val="17"/>
              </w:rPr>
              <w:t xml:space="preserve"> - </w:t>
            </w:r>
          </w:p>
        </w:tc>
        <w:tc>
          <w:tcPr>
            <w:tcW w:w="621" w:type="pct"/>
            <w:tcBorders>
              <w:top w:val="nil"/>
              <w:left w:val="nil"/>
              <w:bottom w:val="nil"/>
              <w:right w:val="nil"/>
            </w:tcBorders>
            <w:shd w:val="clear" w:color="auto" w:fill="auto"/>
            <w:vAlign w:val="bottom"/>
          </w:tcPr>
          <w:p w14:paraId="2A6F821C" w14:textId="77777777" w:rsidR="00C61B75" w:rsidRPr="00C40415" w:rsidRDefault="00C61B75" w:rsidP="00CA7F04">
            <w:pPr>
              <w:tabs>
                <w:tab w:val="right" w:pos="1202"/>
              </w:tabs>
              <w:spacing w:line="240" w:lineRule="exact"/>
              <w:jc w:val="right"/>
              <w:outlineLvl w:val="0"/>
              <w:rPr>
                <w:rFonts w:ascii="Arial" w:eastAsia="Calibri" w:hAnsi="Arial" w:cs="Arial"/>
                <w:color w:val="000000" w:themeColor="text1"/>
                <w:spacing w:val="-2"/>
                <w:sz w:val="17"/>
                <w:szCs w:val="17"/>
              </w:rPr>
            </w:pPr>
            <w:r w:rsidRPr="00AD7F10">
              <w:rPr>
                <w:rFonts w:ascii="Arial" w:hAnsi="Arial" w:cs="Arial"/>
                <w:sz w:val="17"/>
                <w:szCs w:val="17"/>
              </w:rPr>
              <w:t xml:space="preserve"> 10.400 </w:t>
            </w:r>
          </w:p>
        </w:tc>
      </w:tr>
      <w:tr w:rsidR="00C61B75" w:rsidRPr="00C40415" w14:paraId="07EE19E4" w14:textId="77777777" w:rsidTr="00CA7F04">
        <w:trPr>
          <w:trHeight w:hRule="exact" w:val="211"/>
        </w:trPr>
        <w:tc>
          <w:tcPr>
            <w:tcW w:w="1597" w:type="pct"/>
            <w:tcBorders>
              <w:top w:val="nil"/>
              <w:left w:val="nil"/>
              <w:bottom w:val="nil"/>
              <w:right w:val="nil"/>
            </w:tcBorders>
            <w:shd w:val="clear" w:color="auto" w:fill="auto"/>
            <w:vAlign w:val="bottom"/>
          </w:tcPr>
          <w:p w14:paraId="1AB03136" w14:textId="77777777" w:rsidR="00C61B75" w:rsidRPr="00C40415" w:rsidRDefault="00C61B75" w:rsidP="00CA7F04">
            <w:pPr>
              <w:tabs>
                <w:tab w:val="right" w:pos="1202"/>
              </w:tabs>
              <w:outlineLvl w:val="0"/>
              <w:rPr>
                <w:rFonts w:ascii="Arial" w:hAnsi="Arial" w:cs="Arial"/>
                <w:color w:val="000000" w:themeColor="text1"/>
                <w:sz w:val="17"/>
                <w:szCs w:val="17"/>
              </w:rPr>
            </w:pPr>
            <w:r w:rsidRPr="00C40415">
              <w:rPr>
                <w:rFonts w:ascii="Arial" w:hAnsi="Arial" w:cs="Arial"/>
                <w:color w:val="000000"/>
                <w:sz w:val="17"/>
                <w:szCs w:val="17"/>
              </w:rPr>
              <w:t>Ugovorena obveza EIF CROGIP</w:t>
            </w:r>
          </w:p>
        </w:tc>
        <w:tc>
          <w:tcPr>
            <w:tcW w:w="557" w:type="pct"/>
            <w:tcBorders>
              <w:top w:val="nil"/>
              <w:left w:val="nil"/>
              <w:bottom w:val="nil"/>
              <w:right w:val="nil"/>
            </w:tcBorders>
            <w:shd w:val="clear" w:color="auto" w:fill="auto"/>
            <w:vAlign w:val="bottom"/>
          </w:tcPr>
          <w:p w14:paraId="745CB2EA" w14:textId="77777777" w:rsidR="00C61B75" w:rsidRPr="00C40415" w:rsidRDefault="00C61B75" w:rsidP="00CA7F04">
            <w:pPr>
              <w:tabs>
                <w:tab w:val="right" w:pos="1202"/>
              </w:tabs>
              <w:spacing w:line="240" w:lineRule="exact"/>
              <w:jc w:val="right"/>
              <w:outlineLvl w:val="0"/>
              <w:rPr>
                <w:rFonts w:ascii="Arial" w:hAnsi="Arial" w:cs="Arial"/>
                <w:color w:val="000000"/>
                <w:sz w:val="17"/>
                <w:szCs w:val="17"/>
              </w:rPr>
            </w:pPr>
            <w:r w:rsidRPr="00AD7F10">
              <w:rPr>
                <w:rFonts w:ascii="Arial" w:hAnsi="Arial" w:cs="Arial"/>
                <w:sz w:val="17"/>
                <w:szCs w:val="17"/>
              </w:rPr>
              <w:t xml:space="preserve"> 129 </w:t>
            </w:r>
          </w:p>
        </w:tc>
        <w:tc>
          <w:tcPr>
            <w:tcW w:w="557" w:type="pct"/>
            <w:tcBorders>
              <w:top w:val="nil"/>
              <w:left w:val="nil"/>
              <w:bottom w:val="nil"/>
              <w:right w:val="nil"/>
            </w:tcBorders>
            <w:shd w:val="clear" w:color="auto" w:fill="auto"/>
            <w:vAlign w:val="bottom"/>
          </w:tcPr>
          <w:p w14:paraId="2348B418" w14:textId="77777777" w:rsidR="00C61B75" w:rsidRPr="00C40415" w:rsidRDefault="00C61B75" w:rsidP="00CA7F04">
            <w:pPr>
              <w:jc w:val="right"/>
              <w:rPr>
                <w:rFonts w:ascii="Arial" w:hAnsi="Arial" w:cs="Arial"/>
                <w:color w:val="000000"/>
                <w:sz w:val="17"/>
                <w:szCs w:val="17"/>
              </w:rPr>
            </w:pPr>
            <w:r w:rsidRPr="00AD7F10">
              <w:rPr>
                <w:rFonts w:ascii="Arial" w:hAnsi="Arial" w:cs="Arial"/>
                <w:sz w:val="17"/>
                <w:szCs w:val="17"/>
              </w:rPr>
              <w:t xml:space="preserve"> 1.467 </w:t>
            </w:r>
          </w:p>
        </w:tc>
        <w:tc>
          <w:tcPr>
            <w:tcW w:w="556" w:type="pct"/>
            <w:tcBorders>
              <w:top w:val="nil"/>
              <w:left w:val="nil"/>
              <w:bottom w:val="nil"/>
              <w:right w:val="nil"/>
            </w:tcBorders>
            <w:shd w:val="clear" w:color="auto" w:fill="auto"/>
            <w:vAlign w:val="bottom"/>
          </w:tcPr>
          <w:p w14:paraId="3731C493" w14:textId="77777777" w:rsidR="00C61B75" w:rsidRPr="00C40415" w:rsidRDefault="00C61B75" w:rsidP="00CA7F04">
            <w:pPr>
              <w:jc w:val="right"/>
              <w:rPr>
                <w:rFonts w:ascii="Arial" w:hAnsi="Arial" w:cs="Arial"/>
                <w:color w:val="000000"/>
                <w:sz w:val="17"/>
                <w:szCs w:val="17"/>
              </w:rPr>
            </w:pPr>
            <w:r w:rsidRPr="00AD7F10">
              <w:rPr>
                <w:rFonts w:ascii="Arial" w:hAnsi="Arial" w:cs="Arial"/>
                <w:sz w:val="17"/>
                <w:szCs w:val="17"/>
              </w:rPr>
              <w:t xml:space="preserve"> 7.404 </w:t>
            </w:r>
          </w:p>
        </w:tc>
        <w:tc>
          <w:tcPr>
            <w:tcW w:w="556" w:type="pct"/>
            <w:tcBorders>
              <w:top w:val="nil"/>
              <w:left w:val="nil"/>
              <w:bottom w:val="nil"/>
              <w:right w:val="nil"/>
            </w:tcBorders>
            <w:shd w:val="clear" w:color="auto" w:fill="auto"/>
            <w:vAlign w:val="bottom"/>
          </w:tcPr>
          <w:p w14:paraId="0B4F1CAA" w14:textId="77777777" w:rsidR="00C61B75" w:rsidRPr="00C40415" w:rsidRDefault="00C61B75" w:rsidP="00CA7F04">
            <w:pPr>
              <w:jc w:val="right"/>
              <w:rPr>
                <w:rFonts w:ascii="Arial" w:hAnsi="Arial" w:cs="Arial"/>
                <w:color w:val="000000"/>
                <w:sz w:val="17"/>
                <w:szCs w:val="17"/>
              </w:rPr>
            </w:pPr>
            <w:r w:rsidRPr="00AD7F10">
              <w:rPr>
                <w:rFonts w:ascii="Arial" w:hAnsi="Arial" w:cs="Arial"/>
                <w:sz w:val="17"/>
                <w:szCs w:val="17"/>
              </w:rPr>
              <w:t xml:space="preserve"> 15.800 </w:t>
            </w:r>
          </w:p>
        </w:tc>
        <w:tc>
          <w:tcPr>
            <w:tcW w:w="556" w:type="pct"/>
            <w:tcBorders>
              <w:top w:val="nil"/>
              <w:left w:val="nil"/>
              <w:bottom w:val="nil"/>
              <w:right w:val="nil"/>
            </w:tcBorders>
            <w:shd w:val="clear" w:color="auto" w:fill="auto"/>
            <w:vAlign w:val="bottom"/>
          </w:tcPr>
          <w:p w14:paraId="750B5064" w14:textId="77777777" w:rsidR="00C61B75" w:rsidRPr="00C40415" w:rsidRDefault="00C61B75" w:rsidP="00CA7F04">
            <w:pPr>
              <w:jc w:val="right"/>
              <w:rPr>
                <w:rFonts w:ascii="Arial" w:hAnsi="Arial" w:cs="Arial"/>
                <w:color w:val="000000"/>
                <w:sz w:val="17"/>
                <w:szCs w:val="17"/>
              </w:rPr>
            </w:pPr>
            <w:r w:rsidRPr="00AD7F10">
              <w:rPr>
                <w:rFonts w:ascii="Arial" w:hAnsi="Arial" w:cs="Arial"/>
                <w:sz w:val="17"/>
                <w:szCs w:val="17"/>
              </w:rPr>
              <w:t xml:space="preserve"> 6.660 </w:t>
            </w:r>
          </w:p>
        </w:tc>
        <w:tc>
          <w:tcPr>
            <w:tcW w:w="621" w:type="pct"/>
            <w:tcBorders>
              <w:top w:val="nil"/>
              <w:left w:val="nil"/>
              <w:bottom w:val="nil"/>
              <w:right w:val="nil"/>
            </w:tcBorders>
            <w:shd w:val="clear" w:color="auto" w:fill="auto"/>
            <w:vAlign w:val="bottom"/>
          </w:tcPr>
          <w:p w14:paraId="4E17F3BB" w14:textId="77777777" w:rsidR="00C61B75" w:rsidRPr="00C40415" w:rsidRDefault="00C61B75" w:rsidP="00CA7F04">
            <w:pPr>
              <w:tabs>
                <w:tab w:val="right" w:pos="1202"/>
              </w:tabs>
              <w:spacing w:line="240" w:lineRule="exact"/>
              <w:jc w:val="right"/>
              <w:outlineLvl w:val="0"/>
              <w:rPr>
                <w:rFonts w:ascii="Arial" w:hAnsi="Arial" w:cs="Arial"/>
                <w:color w:val="000000"/>
                <w:sz w:val="17"/>
                <w:szCs w:val="17"/>
              </w:rPr>
            </w:pPr>
            <w:r w:rsidRPr="00AD7F10">
              <w:rPr>
                <w:rFonts w:ascii="Arial" w:hAnsi="Arial" w:cs="Arial"/>
                <w:sz w:val="17"/>
                <w:szCs w:val="17"/>
              </w:rPr>
              <w:t xml:space="preserve"> 31.460 </w:t>
            </w:r>
          </w:p>
        </w:tc>
      </w:tr>
      <w:tr w:rsidR="00C61B75" w:rsidRPr="00C40415" w14:paraId="71F3D1B8" w14:textId="77777777" w:rsidTr="00CA7F04">
        <w:trPr>
          <w:trHeight w:hRule="exact" w:val="211"/>
        </w:trPr>
        <w:tc>
          <w:tcPr>
            <w:tcW w:w="1597" w:type="pct"/>
            <w:tcBorders>
              <w:top w:val="nil"/>
              <w:left w:val="nil"/>
              <w:bottom w:val="nil"/>
              <w:right w:val="nil"/>
            </w:tcBorders>
            <w:shd w:val="clear" w:color="auto" w:fill="auto"/>
            <w:vAlign w:val="bottom"/>
          </w:tcPr>
          <w:p w14:paraId="5463E1D8" w14:textId="77777777" w:rsidR="00C61B75" w:rsidRPr="00C40415" w:rsidRDefault="00C61B75" w:rsidP="00CA7F04">
            <w:pPr>
              <w:tabs>
                <w:tab w:val="right" w:pos="1202"/>
              </w:tabs>
              <w:outlineLvl w:val="0"/>
              <w:rPr>
                <w:rFonts w:ascii="Arial" w:hAnsi="Arial" w:cs="Arial"/>
                <w:color w:val="000000" w:themeColor="text1"/>
                <w:sz w:val="17"/>
                <w:szCs w:val="17"/>
              </w:rPr>
            </w:pPr>
            <w:r w:rsidRPr="00C40415">
              <w:rPr>
                <w:rFonts w:ascii="Arial" w:hAnsi="Arial" w:cs="Arial"/>
                <w:color w:val="000000"/>
                <w:sz w:val="17"/>
                <w:szCs w:val="17"/>
              </w:rPr>
              <w:t>Ugovorena obveza EIF FRC2</w:t>
            </w:r>
          </w:p>
        </w:tc>
        <w:tc>
          <w:tcPr>
            <w:tcW w:w="557" w:type="pct"/>
            <w:tcBorders>
              <w:top w:val="nil"/>
              <w:left w:val="nil"/>
              <w:bottom w:val="single" w:sz="8" w:space="0" w:color="auto"/>
              <w:right w:val="nil"/>
            </w:tcBorders>
            <w:shd w:val="clear" w:color="auto" w:fill="auto"/>
            <w:vAlign w:val="bottom"/>
          </w:tcPr>
          <w:p w14:paraId="16DC0725" w14:textId="77777777" w:rsidR="00C61B75" w:rsidRPr="00C40415" w:rsidRDefault="00C61B75" w:rsidP="00CA7F04">
            <w:pPr>
              <w:tabs>
                <w:tab w:val="right" w:pos="1202"/>
              </w:tabs>
              <w:spacing w:line="240" w:lineRule="exact"/>
              <w:jc w:val="right"/>
              <w:outlineLvl w:val="0"/>
              <w:rPr>
                <w:rFonts w:ascii="Arial" w:hAnsi="Arial" w:cs="Arial"/>
                <w:color w:val="000000"/>
                <w:sz w:val="17"/>
                <w:szCs w:val="17"/>
              </w:rPr>
            </w:pPr>
            <w:r w:rsidRPr="00AD7F10">
              <w:rPr>
                <w:rFonts w:ascii="Arial" w:hAnsi="Arial" w:cs="Arial"/>
                <w:sz w:val="17"/>
                <w:szCs w:val="17"/>
              </w:rPr>
              <w:t xml:space="preserve"> 14 </w:t>
            </w:r>
          </w:p>
        </w:tc>
        <w:tc>
          <w:tcPr>
            <w:tcW w:w="557" w:type="pct"/>
            <w:tcBorders>
              <w:top w:val="nil"/>
              <w:left w:val="nil"/>
              <w:bottom w:val="single" w:sz="8" w:space="0" w:color="auto"/>
              <w:right w:val="nil"/>
            </w:tcBorders>
            <w:shd w:val="clear" w:color="auto" w:fill="auto"/>
            <w:vAlign w:val="bottom"/>
          </w:tcPr>
          <w:p w14:paraId="120ACA98" w14:textId="77777777" w:rsidR="00C61B75" w:rsidRPr="00C40415" w:rsidRDefault="00C61B75" w:rsidP="00CA7F04">
            <w:pPr>
              <w:jc w:val="right"/>
              <w:rPr>
                <w:rFonts w:ascii="Arial" w:hAnsi="Arial" w:cs="Arial"/>
                <w:color w:val="000000"/>
                <w:sz w:val="17"/>
                <w:szCs w:val="17"/>
              </w:rPr>
            </w:pPr>
            <w:r w:rsidRPr="00AD7F10">
              <w:rPr>
                <w:rFonts w:ascii="Arial" w:hAnsi="Arial" w:cs="Arial"/>
                <w:sz w:val="17"/>
                <w:szCs w:val="17"/>
              </w:rPr>
              <w:t xml:space="preserve"> 4 </w:t>
            </w:r>
          </w:p>
        </w:tc>
        <w:tc>
          <w:tcPr>
            <w:tcW w:w="556" w:type="pct"/>
            <w:tcBorders>
              <w:top w:val="nil"/>
              <w:left w:val="nil"/>
              <w:bottom w:val="single" w:sz="8" w:space="0" w:color="auto"/>
              <w:right w:val="nil"/>
            </w:tcBorders>
            <w:shd w:val="clear" w:color="auto" w:fill="auto"/>
            <w:vAlign w:val="bottom"/>
          </w:tcPr>
          <w:p w14:paraId="430AECE1" w14:textId="77777777" w:rsidR="00C61B75" w:rsidRPr="00C40415" w:rsidRDefault="00C61B75" w:rsidP="00CA7F04">
            <w:pPr>
              <w:jc w:val="right"/>
              <w:rPr>
                <w:rFonts w:ascii="Arial" w:hAnsi="Arial" w:cs="Arial"/>
                <w:color w:val="000000"/>
                <w:sz w:val="17"/>
                <w:szCs w:val="17"/>
              </w:rPr>
            </w:pPr>
            <w:r w:rsidRPr="00AD7F10">
              <w:rPr>
                <w:rFonts w:ascii="Arial" w:hAnsi="Arial" w:cs="Arial"/>
                <w:sz w:val="17"/>
                <w:szCs w:val="17"/>
              </w:rPr>
              <w:t xml:space="preserve"> 13 </w:t>
            </w:r>
          </w:p>
        </w:tc>
        <w:tc>
          <w:tcPr>
            <w:tcW w:w="556" w:type="pct"/>
            <w:tcBorders>
              <w:top w:val="nil"/>
              <w:left w:val="nil"/>
              <w:bottom w:val="single" w:sz="8" w:space="0" w:color="auto"/>
              <w:right w:val="nil"/>
            </w:tcBorders>
            <w:shd w:val="clear" w:color="auto" w:fill="auto"/>
            <w:vAlign w:val="bottom"/>
          </w:tcPr>
          <w:p w14:paraId="152E4E68" w14:textId="77777777" w:rsidR="00C61B75" w:rsidRPr="00C40415" w:rsidRDefault="00C61B75" w:rsidP="00CA7F04">
            <w:pPr>
              <w:jc w:val="right"/>
              <w:rPr>
                <w:rFonts w:ascii="Arial" w:hAnsi="Arial" w:cs="Arial"/>
                <w:color w:val="000000"/>
                <w:sz w:val="17"/>
                <w:szCs w:val="17"/>
              </w:rPr>
            </w:pPr>
            <w:r w:rsidRPr="00AD7F10">
              <w:rPr>
                <w:rFonts w:ascii="Arial" w:hAnsi="Arial" w:cs="Arial"/>
                <w:sz w:val="17"/>
                <w:szCs w:val="17"/>
              </w:rPr>
              <w:t xml:space="preserve"> 40 </w:t>
            </w:r>
          </w:p>
        </w:tc>
        <w:tc>
          <w:tcPr>
            <w:tcW w:w="556" w:type="pct"/>
            <w:tcBorders>
              <w:top w:val="nil"/>
              <w:left w:val="nil"/>
              <w:bottom w:val="single" w:sz="8" w:space="0" w:color="auto"/>
              <w:right w:val="nil"/>
            </w:tcBorders>
            <w:shd w:val="clear" w:color="auto" w:fill="auto"/>
            <w:vAlign w:val="bottom"/>
          </w:tcPr>
          <w:p w14:paraId="2C829704" w14:textId="77777777" w:rsidR="00C61B75" w:rsidRPr="00C40415" w:rsidRDefault="00C61B75" w:rsidP="00CA7F04">
            <w:pPr>
              <w:jc w:val="right"/>
              <w:rPr>
                <w:rFonts w:ascii="Arial" w:hAnsi="Arial" w:cs="Arial"/>
                <w:color w:val="000000"/>
                <w:sz w:val="17"/>
                <w:szCs w:val="17"/>
              </w:rPr>
            </w:pPr>
            <w:r w:rsidRPr="00AD7F10">
              <w:rPr>
                <w:rFonts w:ascii="Arial" w:hAnsi="Arial" w:cs="Arial"/>
                <w:sz w:val="17"/>
                <w:szCs w:val="17"/>
              </w:rPr>
              <w:t xml:space="preserve"> 10 </w:t>
            </w:r>
          </w:p>
        </w:tc>
        <w:tc>
          <w:tcPr>
            <w:tcW w:w="621" w:type="pct"/>
            <w:tcBorders>
              <w:top w:val="nil"/>
              <w:left w:val="nil"/>
              <w:bottom w:val="single" w:sz="8" w:space="0" w:color="auto"/>
              <w:right w:val="nil"/>
            </w:tcBorders>
            <w:shd w:val="clear" w:color="auto" w:fill="auto"/>
            <w:vAlign w:val="bottom"/>
          </w:tcPr>
          <w:p w14:paraId="28E846E0" w14:textId="77777777" w:rsidR="00C61B75" w:rsidRPr="00C40415" w:rsidRDefault="00C61B75" w:rsidP="00CA7F04">
            <w:pPr>
              <w:tabs>
                <w:tab w:val="right" w:pos="1202"/>
              </w:tabs>
              <w:spacing w:line="240" w:lineRule="exact"/>
              <w:jc w:val="right"/>
              <w:outlineLvl w:val="0"/>
              <w:rPr>
                <w:rFonts w:ascii="Arial" w:hAnsi="Arial" w:cs="Arial"/>
                <w:color w:val="000000"/>
                <w:sz w:val="17"/>
                <w:szCs w:val="17"/>
              </w:rPr>
            </w:pPr>
            <w:r w:rsidRPr="00AD7F10">
              <w:rPr>
                <w:rFonts w:ascii="Arial" w:hAnsi="Arial" w:cs="Arial"/>
                <w:sz w:val="17"/>
                <w:szCs w:val="17"/>
              </w:rPr>
              <w:t xml:space="preserve"> 81 </w:t>
            </w:r>
          </w:p>
        </w:tc>
      </w:tr>
      <w:tr w:rsidR="00C61B75" w:rsidRPr="00C40415" w14:paraId="76AB848A" w14:textId="77777777" w:rsidTr="00CA7F04">
        <w:trPr>
          <w:trHeight w:hRule="exact" w:val="265"/>
        </w:trPr>
        <w:tc>
          <w:tcPr>
            <w:tcW w:w="1597" w:type="pct"/>
            <w:tcBorders>
              <w:top w:val="nil"/>
              <w:left w:val="nil"/>
              <w:bottom w:val="nil"/>
              <w:right w:val="nil"/>
            </w:tcBorders>
            <w:shd w:val="clear" w:color="auto" w:fill="auto"/>
            <w:vAlign w:val="center"/>
          </w:tcPr>
          <w:p w14:paraId="31C17196" w14:textId="77777777" w:rsidR="00C61B75" w:rsidRPr="00C40415" w:rsidRDefault="00C61B75" w:rsidP="00CA7F04">
            <w:pPr>
              <w:tabs>
                <w:tab w:val="right" w:pos="1202"/>
              </w:tabs>
              <w:outlineLvl w:val="0"/>
              <w:rPr>
                <w:rFonts w:ascii="Arial" w:eastAsia="Calibri" w:hAnsi="Arial" w:cs="Arial"/>
                <w:color w:val="000000" w:themeColor="text1"/>
                <w:spacing w:val="-2"/>
                <w:sz w:val="17"/>
                <w:szCs w:val="17"/>
              </w:rPr>
            </w:pPr>
            <w:r w:rsidRPr="00C40415">
              <w:rPr>
                <w:rFonts w:ascii="Arial" w:hAnsi="Arial" w:cs="Arial"/>
                <w:b/>
                <w:bCs/>
                <w:color w:val="000000" w:themeColor="text1"/>
                <w:sz w:val="17"/>
                <w:szCs w:val="17"/>
              </w:rPr>
              <w:t>Ukupne garancije i preuzete obveze</w:t>
            </w:r>
          </w:p>
        </w:tc>
        <w:tc>
          <w:tcPr>
            <w:tcW w:w="557" w:type="pct"/>
            <w:tcBorders>
              <w:top w:val="single" w:sz="8" w:space="0" w:color="auto"/>
              <w:left w:val="nil"/>
              <w:bottom w:val="single" w:sz="12" w:space="0" w:color="auto"/>
              <w:right w:val="nil"/>
            </w:tcBorders>
            <w:shd w:val="clear" w:color="auto" w:fill="auto"/>
            <w:vAlign w:val="bottom"/>
          </w:tcPr>
          <w:p w14:paraId="652F5724" w14:textId="77777777" w:rsidR="00C61B75" w:rsidRPr="00C40415" w:rsidRDefault="00C61B75" w:rsidP="00CA7F04">
            <w:pPr>
              <w:tabs>
                <w:tab w:val="right" w:pos="1202"/>
              </w:tabs>
              <w:jc w:val="right"/>
              <w:outlineLvl w:val="0"/>
              <w:rPr>
                <w:rFonts w:ascii="Arial" w:hAnsi="Arial" w:cs="Arial"/>
                <w:b/>
                <w:color w:val="000000" w:themeColor="text1"/>
                <w:sz w:val="17"/>
                <w:szCs w:val="17"/>
              </w:rPr>
            </w:pPr>
            <w:r w:rsidRPr="00AD7F10">
              <w:rPr>
                <w:rFonts w:ascii="Arial" w:hAnsi="Arial" w:cs="Arial"/>
                <w:b/>
                <w:bCs/>
                <w:sz w:val="17"/>
                <w:szCs w:val="17"/>
              </w:rPr>
              <w:t>516.155</w:t>
            </w:r>
          </w:p>
        </w:tc>
        <w:tc>
          <w:tcPr>
            <w:tcW w:w="557" w:type="pct"/>
            <w:tcBorders>
              <w:top w:val="single" w:sz="8" w:space="0" w:color="auto"/>
              <w:left w:val="nil"/>
              <w:bottom w:val="single" w:sz="12" w:space="0" w:color="auto"/>
              <w:right w:val="nil"/>
            </w:tcBorders>
            <w:shd w:val="clear" w:color="auto" w:fill="auto"/>
            <w:vAlign w:val="bottom"/>
          </w:tcPr>
          <w:p w14:paraId="642EDD23" w14:textId="77777777" w:rsidR="00C61B75" w:rsidRPr="00C40415" w:rsidRDefault="00C61B75" w:rsidP="00CA7F04">
            <w:pPr>
              <w:jc w:val="right"/>
              <w:rPr>
                <w:rFonts w:ascii="Arial" w:hAnsi="Arial" w:cs="Arial"/>
                <w:color w:val="000000" w:themeColor="text1"/>
                <w:sz w:val="17"/>
                <w:szCs w:val="17"/>
              </w:rPr>
            </w:pPr>
            <w:r w:rsidRPr="00AD7F10">
              <w:rPr>
                <w:rFonts w:ascii="Arial" w:hAnsi="Arial" w:cs="Arial"/>
                <w:b/>
                <w:bCs/>
                <w:sz w:val="17"/>
                <w:szCs w:val="17"/>
              </w:rPr>
              <w:t>1.471</w:t>
            </w:r>
          </w:p>
        </w:tc>
        <w:tc>
          <w:tcPr>
            <w:tcW w:w="556" w:type="pct"/>
            <w:tcBorders>
              <w:top w:val="single" w:sz="8" w:space="0" w:color="auto"/>
              <w:left w:val="nil"/>
              <w:bottom w:val="single" w:sz="12" w:space="0" w:color="auto"/>
              <w:right w:val="nil"/>
            </w:tcBorders>
            <w:shd w:val="clear" w:color="auto" w:fill="auto"/>
            <w:vAlign w:val="bottom"/>
          </w:tcPr>
          <w:p w14:paraId="74E6787B" w14:textId="77777777" w:rsidR="00C61B75" w:rsidRPr="00C40415" w:rsidRDefault="00C61B75" w:rsidP="00CA7F04">
            <w:pPr>
              <w:jc w:val="right"/>
              <w:rPr>
                <w:rFonts w:ascii="Arial" w:hAnsi="Arial" w:cs="Arial"/>
                <w:color w:val="000000" w:themeColor="text1"/>
                <w:sz w:val="17"/>
                <w:szCs w:val="17"/>
              </w:rPr>
            </w:pPr>
            <w:r w:rsidRPr="00AD7F10">
              <w:rPr>
                <w:rFonts w:ascii="Arial" w:hAnsi="Arial" w:cs="Arial"/>
                <w:b/>
                <w:bCs/>
                <w:sz w:val="17"/>
                <w:szCs w:val="17"/>
              </w:rPr>
              <w:t>7.417</w:t>
            </w:r>
          </w:p>
        </w:tc>
        <w:tc>
          <w:tcPr>
            <w:tcW w:w="556" w:type="pct"/>
            <w:tcBorders>
              <w:top w:val="single" w:sz="8" w:space="0" w:color="auto"/>
              <w:left w:val="nil"/>
              <w:bottom w:val="single" w:sz="12" w:space="0" w:color="auto"/>
              <w:right w:val="nil"/>
            </w:tcBorders>
            <w:shd w:val="clear" w:color="auto" w:fill="auto"/>
            <w:vAlign w:val="bottom"/>
          </w:tcPr>
          <w:p w14:paraId="48A8EEAF" w14:textId="77777777" w:rsidR="00C61B75" w:rsidRPr="00C40415" w:rsidRDefault="00C61B75" w:rsidP="00CA7F04">
            <w:pPr>
              <w:jc w:val="right"/>
              <w:rPr>
                <w:rFonts w:ascii="Arial" w:hAnsi="Arial" w:cs="Arial"/>
                <w:color w:val="000000" w:themeColor="text1"/>
                <w:sz w:val="17"/>
                <w:szCs w:val="17"/>
              </w:rPr>
            </w:pPr>
            <w:r w:rsidRPr="00AD7F10">
              <w:rPr>
                <w:rFonts w:ascii="Arial" w:hAnsi="Arial" w:cs="Arial"/>
                <w:b/>
                <w:bCs/>
                <w:sz w:val="17"/>
                <w:szCs w:val="17"/>
              </w:rPr>
              <w:t>15.840</w:t>
            </w:r>
          </w:p>
        </w:tc>
        <w:tc>
          <w:tcPr>
            <w:tcW w:w="556" w:type="pct"/>
            <w:tcBorders>
              <w:top w:val="single" w:sz="8" w:space="0" w:color="auto"/>
              <w:left w:val="nil"/>
              <w:bottom w:val="single" w:sz="12" w:space="0" w:color="auto"/>
              <w:right w:val="nil"/>
            </w:tcBorders>
            <w:shd w:val="clear" w:color="auto" w:fill="auto"/>
            <w:vAlign w:val="bottom"/>
          </w:tcPr>
          <w:p w14:paraId="13D98DE9" w14:textId="77777777" w:rsidR="00C61B75" w:rsidRPr="00C40415" w:rsidRDefault="00C61B75" w:rsidP="00CA7F04">
            <w:pPr>
              <w:jc w:val="right"/>
              <w:rPr>
                <w:rFonts w:ascii="Arial" w:hAnsi="Arial" w:cs="Arial"/>
                <w:color w:val="000000" w:themeColor="text1"/>
                <w:sz w:val="17"/>
                <w:szCs w:val="17"/>
              </w:rPr>
            </w:pPr>
            <w:r w:rsidRPr="00AD7F10">
              <w:rPr>
                <w:rFonts w:ascii="Arial" w:hAnsi="Arial" w:cs="Arial"/>
                <w:b/>
                <w:bCs/>
                <w:sz w:val="17"/>
                <w:szCs w:val="17"/>
              </w:rPr>
              <w:t>6.670</w:t>
            </w:r>
          </w:p>
        </w:tc>
        <w:tc>
          <w:tcPr>
            <w:tcW w:w="621" w:type="pct"/>
            <w:tcBorders>
              <w:top w:val="single" w:sz="8" w:space="0" w:color="auto"/>
              <w:left w:val="nil"/>
              <w:bottom w:val="single" w:sz="12" w:space="0" w:color="auto"/>
              <w:right w:val="nil"/>
            </w:tcBorders>
            <w:shd w:val="clear" w:color="auto" w:fill="auto"/>
            <w:vAlign w:val="bottom"/>
          </w:tcPr>
          <w:p w14:paraId="1C25F16C" w14:textId="77777777" w:rsidR="00C61B75" w:rsidRPr="00C40415" w:rsidRDefault="00C61B75" w:rsidP="00CA7F04">
            <w:pPr>
              <w:tabs>
                <w:tab w:val="right" w:pos="1202"/>
              </w:tabs>
              <w:jc w:val="right"/>
              <w:outlineLvl w:val="0"/>
              <w:rPr>
                <w:rFonts w:ascii="Arial" w:hAnsi="Arial" w:cs="Arial"/>
                <w:b/>
                <w:color w:val="000000" w:themeColor="text1"/>
                <w:sz w:val="17"/>
                <w:szCs w:val="17"/>
              </w:rPr>
            </w:pPr>
            <w:r w:rsidRPr="00AD7F10">
              <w:rPr>
                <w:rFonts w:ascii="Arial" w:hAnsi="Arial" w:cs="Arial"/>
                <w:b/>
                <w:bCs/>
                <w:sz w:val="17"/>
                <w:szCs w:val="17"/>
              </w:rPr>
              <w:t>547.553</w:t>
            </w:r>
          </w:p>
        </w:tc>
      </w:tr>
    </w:tbl>
    <w:p w14:paraId="1797B505" w14:textId="05A2431E" w:rsidR="000C7E59" w:rsidRPr="003D1614" w:rsidRDefault="000C7E59" w:rsidP="00661446">
      <w:pPr>
        <w:suppressAutoHyphens/>
        <w:autoSpaceDN w:val="0"/>
        <w:jc w:val="both"/>
        <w:rPr>
          <w:rFonts w:ascii="Arial" w:eastAsia="Times New Roman" w:hAnsi="Arial" w:cs="Arial"/>
          <w:bCs/>
          <w:i/>
          <w:color w:val="000000" w:themeColor="text1"/>
          <w:sz w:val="18"/>
          <w:szCs w:val="18"/>
        </w:rPr>
      </w:pPr>
    </w:p>
    <w:p w14:paraId="2FDB199F" w14:textId="77777777" w:rsidR="000C7E59" w:rsidRPr="003D1614" w:rsidRDefault="000C7E59" w:rsidP="00661446">
      <w:pPr>
        <w:suppressAutoHyphens/>
        <w:autoSpaceDN w:val="0"/>
        <w:jc w:val="both"/>
        <w:rPr>
          <w:rFonts w:ascii="Arial" w:eastAsia="Times New Roman" w:hAnsi="Arial" w:cs="Arial"/>
          <w:bCs/>
          <w:i/>
          <w:color w:val="000000" w:themeColor="text1"/>
          <w:sz w:val="18"/>
          <w:szCs w:val="18"/>
        </w:rPr>
        <w:sectPr w:rsidR="000C7E59" w:rsidRPr="003D1614" w:rsidSect="003278AB">
          <w:pgSz w:w="11906" w:h="16838"/>
          <w:pgMar w:top="1417" w:right="1417" w:bottom="1417" w:left="1417" w:header="708" w:footer="708" w:gutter="0"/>
          <w:cols w:space="708"/>
          <w:docGrid w:linePitch="360"/>
        </w:sectPr>
      </w:pPr>
    </w:p>
    <w:p w14:paraId="6B27518C" w14:textId="77777777" w:rsidR="000C7E59" w:rsidRPr="003D1614" w:rsidRDefault="000C7E59" w:rsidP="000C7E59">
      <w:pPr>
        <w:keepNext/>
        <w:tabs>
          <w:tab w:val="left" w:pos="709"/>
          <w:tab w:val="left" w:pos="851"/>
        </w:tabs>
        <w:suppressAutoHyphens/>
        <w:autoSpaceDN w:val="0"/>
        <w:jc w:val="both"/>
        <w:outlineLvl w:val="0"/>
        <w:rPr>
          <w:rFonts w:ascii="Arial" w:eastAsia="Times New Roman" w:hAnsi="Arial" w:cs="Arial"/>
          <w:b/>
          <w:bCs/>
          <w:color w:val="000000" w:themeColor="text1"/>
          <w:sz w:val="20"/>
          <w:szCs w:val="20"/>
        </w:rPr>
      </w:pPr>
    </w:p>
    <w:p w14:paraId="5E705135" w14:textId="638B3070" w:rsidR="000C7E59" w:rsidRPr="003D1614" w:rsidRDefault="000C7E59" w:rsidP="000C7E59">
      <w:pPr>
        <w:keepNext/>
        <w:tabs>
          <w:tab w:val="left" w:pos="709"/>
          <w:tab w:val="left" w:pos="851"/>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15E84715" w14:textId="77777777"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p>
    <w:p w14:paraId="0AFBA887" w14:textId="173644DF"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rizici</w:t>
      </w:r>
    </w:p>
    <w:p w14:paraId="737D09D9" w14:textId="77777777" w:rsidR="000C7E59" w:rsidRPr="003D1614" w:rsidRDefault="000C7E59" w:rsidP="000C7E59">
      <w:pPr>
        <w:keepNext/>
        <w:suppressAutoHyphens/>
        <w:autoSpaceDN w:val="0"/>
        <w:jc w:val="both"/>
        <w:rPr>
          <w:rFonts w:ascii="Arial" w:eastAsia="Times New Roman" w:hAnsi="Arial" w:cs="Arial"/>
          <w:color w:val="000000" w:themeColor="text1"/>
          <w:sz w:val="20"/>
          <w:szCs w:val="20"/>
        </w:rPr>
      </w:pPr>
    </w:p>
    <w:p w14:paraId="1EEFBCA0" w14:textId="77777777" w:rsidR="000C7E59" w:rsidRPr="003D1614" w:rsidRDefault="000C7E59" w:rsidP="000C7E59">
      <w:pPr>
        <w:keepNext/>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Upravljanje tržišnim rizicima u Banci podrazumijeva svođenje kamatnog rizika i valutnog rizika na najmanju mjeru.  </w:t>
      </w:r>
    </w:p>
    <w:p w14:paraId="6E240417" w14:textId="77777777" w:rsidR="000C7E59" w:rsidRPr="003D1614" w:rsidRDefault="000C7E59" w:rsidP="000C7E59">
      <w:pPr>
        <w:tabs>
          <w:tab w:val="left" w:pos="-720"/>
          <w:tab w:val="left" w:pos="709"/>
        </w:tabs>
        <w:suppressAutoHyphens/>
        <w:autoSpaceDN w:val="0"/>
        <w:rPr>
          <w:rFonts w:ascii="Arial" w:eastAsia="Times New Roman" w:hAnsi="Arial" w:cs="Arial"/>
          <w:b/>
          <w:color w:val="000000" w:themeColor="text1"/>
          <w:spacing w:val="-3"/>
          <w:sz w:val="20"/>
          <w:szCs w:val="20"/>
        </w:rPr>
      </w:pPr>
    </w:p>
    <w:p w14:paraId="76BDC882" w14:textId="2A06692F" w:rsidR="000C7E59" w:rsidRPr="003D1614" w:rsidRDefault="000C7E59" w:rsidP="000C7E59">
      <w:pPr>
        <w:tabs>
          <w:tab w:val="left" w:pos="-720"/>
          <w:tab w:val="left" w:pos="709"/>
        </w:tabs>
        <w:suppressAutoHyphens/>
        <w:autoSpaceDN w:val="0"/>
        <w:rPr>
          <w:rFonts w:ascii="Arial" w:eastAsia="Times New Roman" w:hAnsi="Arial" w:cs="Arial"/>
          <w:b/>
          <w:color w:val="000000" w:themeColor="text1"/>
          <w:spacing w:val="-3"/>
          <w:sz w:val="20"/>
          <w:szCs w:val="20"/>
        </w:rPr>
      </w:pPr>
      <w:r w:rsidRPr="003D1614">
        <w:rPr>
          <w:rFonts w:ascii="Arial" w:eastAsia="Times New Roman" w:hAnsi="Arial" w:cs="Arial"/>
          <w:b/>
          <w:color w:val="000000" w:themeColor="text1"/>
          <w:spacing w:val="-3"/>
          <w:sz w:val="20"/>
          <w:szCs w:val="20"/>
        </w:rPr>
        <w:t xml:space="preserve">22.5.1.  Kamatni rizik </w:t>
      </w:r>
    </w:p>
    <w:p w14:paraId="69C221A1" w14:textId="77777777" w:rsidR="000C7E59" w:rsidRPr="003D1614" w:rsidRDefault="000C7E59" w:rsidP="000C7E59">
      <w:pPr>
        <w:tabs>
          <w:tab w:val="left" w:pos="-720"/>
          <w:tab w:val="left" w:pos="709"/>
        </w:tabs>
        <w:suppressAutoHyphens/>
        <w:autoSpaceDN w:val="0"/>
        <w:rPr>
          <w:rFonts w:ascii="Arial" w:eastAsia="Times New Roman" w:hAnsi="Arial" w:cs="Arial"/>
          <w:b/>
          <w:color w:val="000000" w:themeColor="text1"/>
          <w:spacing w:val="-3"/>
          <w:sz w:val="20"/>
          <w:szCs w:val="20"/>
        </w:rPr>
      </w:pPr>
    </w:p>
    <w:p w14:paraId="579107CF" w14:textId="05FD4A02" w:rsidR="000C7E59" w:rsidRPr="003D1614" w:rsidRDefault="000C7E59" w:rsidP="000C7E59">
      <w:pPr>
        <w:suppressAutoHyphens/>
        <w:autoSpaceDN w:val="0"/>
        <w:jc w:val="both"/>
        <w:rPr>
          <w:rFonts w:ascii="Arial" w:eastAsia="Times New Roman" w:hAnsi="Arial" w:cs="Arial"/>
          <w:iCs/>
          <w:color w:val="000000" w:themeColor="text1"/>
          <w:sz w:val="20"/>
          <w:szCs w:val="20"/>
        </w:rPr>
      </w:pPr>
      <w:r w:rsidRPr="003D1614">
        <w:rPr>
          <w:rFonts w:ascii="Arial" w:eastAsia="Times New Roman" w:hAnsi="Arial" w:cs="Arial"/>
          <w:iCs/>
          <w:color w:val="000000" w:themeColor="text1"/>
          <w:sz w:val="20"/>
          <w:szCs w:val="20"/>
        </w:rPr>
        <w:t>Tabele u nastavku prikazuju osjetljivost Grupe na rizik kamatnih stopa na dan 31. ožujka 202</w:t>
      </w:r>
      <w:r w:rsidR="00C61B75">
        <w:rPr>
          <w:rFonts w:ascii="Arial" w:eastAsia="Times New Roman" w:hAnsi="Arial" w:cs="Arial"/>
          <w:iCs/>
          <w:color w:val="000000" w:themeColor="text1"/>
          <w:sz w:val="20"/>
          <w:szCs w:val="20"/>
        </w:rPr>
        <w:t>4</w:t>
      </w:r>
      <w:r w:rsidRPr="003D1614">
        <w:rPr>
          <w:rFonts w:ascii="Arial" w:eastAsia="Times New Roman" w:hAnsi="Arial" w:cs="Arial"/>
          <w:iCs/>
          <w:color w:val="000000" w:themeColor="text1"/>
          <w:sz w:val="20"/>
          <w:szCs w:val="20"/>
        </w:rPr>
        <w:t>. i 31. prosinca 202</w:t>
      </w:r>
      <w:r w:rsidR="00C61B75">
        <w:rPr>
          <w:rFonts w:ascii="Arial" w:eastAsia="Times New Roman" w:hAnsi="Arial" w:cs="Arial"/>
          <w:iCs/>
          <w:color w:val="000000" w:themeColor="text1"/>
          <w:sz w:val="20"/>
          <w:szCs w:val="20"/>
        </w:rPr>
        <w:t>3</w:t>
      </w:r>
      <w:r w:rsidRPr="003D1614">
        <w:rPr>
          <w:rFonts w:ascii="Arial" w:eastAsia="Times New Roman" w:hAnsi="Arial" w:cs="Arial"/>
          <w:iCs/>
          <w:color w:val="000000" w:themeColor="text1"/>
          <w:sz w:val="20"/>
          <w:szCs w:val="20"/>
        </w:rPr>
        <w:t>. na temelju poznatih datuma promjene cijena imovine i obveza na koje se primjenjuju promjenjive i fiksne kamatne stope. Razdoblja promjena kamatnih stopa određena su na osnovi preostale ročnosti i ugovornog razdoblja promjena kamatnih stopa, ovisno o tome što je kraće.</w:t>
      </w:r>
    </w:p>
    <w:p w14:paraId="71E586BC" w14:textId="77777777" w:rsidR="000C7E59" w:rsidRPr="003D1614" w:rsidRDefault="000C7E59" w:rsidP="000C7E59">
      <w:pPr>
        <w:suppressAutoHyphens/>
        <w:autoSpaceDN w:val="0"/>
        <w:jc w:val="both"/>
        <w:rPr>
          <w:rFonts w:ascii="Arial" w:eastAsia="Times New Roman" w:hAnsi="Arial" w:cs="Arial"/>
          <w:iCs/>
          <w:color w:val="000000" w:themeColor="text1"/>
          <w:sz w:val="20"/>
          <w:szCs w:val="20"/>
        </w:rPr>
      </w:pPr>
    </w:p>
    <w:p w14:paraId="0D6EC1C7" w14:textId="77777777" w:rsidR="000C7E59" w:rsidRPr="003D1614" w:rsidRDefault="000C7E59" w:rsidP="000C7E59">
      <w:pPr>
        <w:suppressAutoHyphens/>
        <w:autoSpaceDN w:val="0"/>
        <w:jc w:val="both"/>
        <w:rPr>
          <w:rFonts w:ascii="Arial" w:eastAsia="Times New Roman" w:hAnsi="Arial" w:cs="Arial"/>
          <w:iCs/>
          <w:color w:val="000000" w:themeColor="text1"/>
          <w:sz w:val="20"/>
          <w:szCs w:val="20"/>
        </w:rPr>
      </w:pPr>
      <w:r w:rsidRPr="003D1614">
        <w:rPr>
          <w:rFonts w:ascii="Arial" w:eastAsia="Times New Roman" w:hAnsi="Arial" w:cs="Arial"/>
          <w:iCs/>
          <w:color w:val="000000" w:themeColor="text1"/>
          <w:sz w:val="20"/>
          <w:szCs w:val="20"/>
        </w:rPr>
        <w:t xml:space="preserve">Imovina i obveze na koje se ne primjenjuje kamatna stopa svrstani su u okviru kategorije </w:t>
      </w:r>
      <w:r w:rsidRPr="003D1614">
        <w:rPr>
          <w:rFonts w:ascii="Arial" w:eastAsia="Times New Roman" w:hAnsi="Arial" w:cs="Arial"/>
          <w:color w:val="000000" w:themeColor="text1"/>
          <w:sz w:val="20"/>
          <w:szCs w:val="20"/>
        </w:rPr>
        <w:t>‘</w:t>
      </w:r>
      <w:r w:rsidRPr="003D1614">
        <w:rPr>
          <w:rFonts w:ascii="Arial" w:eastAsia="Times New Roman" w:hAnsi="Arial" w:cs="Arial"/>
          <w:iCs/>
          <w:color w:val="000000" w:themeColor="text1"/>
          <w:sz w:val="20"/>
          <w:szCs w:val="20"/>
        </w:rPr>
        <w:t>Beskamatno</w:t>
      </w:r>
      <w:r w:rsidRPr="003D1614">
        <w:rPr>
          <w:rFonts w:ascii="Arial" w:eastAsia="Times New Roman" w:hAnsi="Arial" w:cs="Arial"/>
          <w:color w:val="000000" w:themeColor="text1"/>
          <w:sz w:val="20"/>
          <w:szCs w:val="20"/>
        </w:rPr>
        <w:t>‘</w:t>
      </w:r>
      <w:r w:rsidRPr="003D1614">
        <w:rPr>
          <w:rFonts w:ascii="Arial" w:eastAsia="Times New Roman" w:hAnsi="Arial" w:cs="Arial"/>
          <w:iCs/>
          <w:color w:val="000000" w:themeColor="text1"/>
          <w:sz w:val="20"/>
          <w:szCs w:val="20"/>
        </w:rPr>
        <w:t>.</w:t>
      </w:r>
    </w:p>
    <w:p w14:paraId="6D0C9CEC" w14:textId="1F2D1793" w:rsidR="000C7E59" w:rsidRDefault="000C7E59" w:rsidP="000C7E59">
      <w:pPr>
        <w:tabs>
          <w:tab w:val="left" w:pos="-720"/>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Tabele u nastavku prikazuju procjenu o izloženosti kamatnom riziku Grupe na dan 31. ožujka 202</w:t>
      </w:r>
      <w:r w:rsidR="00A14637">
        <w:rPr>
          <w:rFonts w:ascii="Arial" w:eastAsia="Times New Roman" w:hAnsi="Arial" w:cs="Arial"/>
          <w:color w:val="000000" w:themeColor="text1"/>
          <w:sz w:val="20"/>
          <w:szCs w:val="20"/>
        </w:rPr>
        <w:t>4</w:t>
      </w:r>
      <w:r w:rsidRPr="003D1614">
        <w:rPr>
          <w:rFonts w:ascii="Arial" w:eastAsia="Times New Roman" w:hAnsi="Arial" w:cs="Arial"/>
          <w:color w:val="000000" w:themeColor="text1"/>
          <w:sz w:val="20"/>
          <w:szCs w:val="20"/>
        </w:rPr>
        <w:t>. i 31. prosinca 202</w:t>
      </w:r>
      <w:r w:rsidR="00A14637">
        <w:rPr>
          <w:rFonts w:ascii="Arial" w:eastAsia="Times New Roman" w:hAnsi="Arial" w:cs="Arial"/>
          <w:color w:val="000000" w:themeColor="text1"/>
          <w:sz w:val="20"/>
          <w:szCs w:val="20"/>
        </w:rPr>
        <w:t>3</w:t>
      </w:r>
      <w:r w:rsidRPr="003D1614">
        <w:rPr>
          <w:rFonts w:ascii="Arial" w:eastAsia="Times New Roman" w:hAnsi="Arial" w:cs="Arial"/>
          <w:color w:val="000000" w:themeColor="text1"/>
          <w:sz w:val="20"/>
          <w:szCs w:val="20"/>
        </w:rPr>
        <w:t xml:space="preserve">. godine te nisu nužno indikativne za poziciju u drugom razdoblju. </w:t>
      </w:r>
    </w:p>
    <w:p w14:paraId="3CAA1E7D" w14:textId="77777777" w:rsidR="008B2FBE" w:rsidRDefault="008B2FBE" w:rsidP="000C7E59">
      <w:pPr>
        <w:tabs>
          <w:tab w:val="left" w:pos="-720"/>
        </w:tabs>
        <w:suppressAutoHyphens/>
        <w:autoSpaceDN w:val="0"/>
        <w:jc w:val="both"/>
        <w:rPr>
          <w:rFonts w:ascii="Arial" w:eastAsia="Times New Roman" w:hAnsi="Arial" w:cs="Arial"/>
          <w:color w:val="000000" w:themeColor="text1"/>
          <w:sz w:val="20"/>
          <w:szCs w:val="20"/>
        </w:rPr>
      </w:pPr>
    </w:p>
    <w:tbl>
      <w:tblPr>
        <w:tblW w:w="5662" w:type="pct"/>
        <w:tblInd w:w="-851" w:type="dxa"/>
        <w:tblLayout w:type="fixed"/>
        <w:tblCellMar>
          <w:left w:w="120" w:type="dxa"/>
          <w:right w:w="120" w:type="dxa"/>
        </w:tblCellMar>
        <w:tblLook w:val="0000" w:firstRow="0" w:lastRow="0" w:firstColumn="0" w:lastColumn="0" w:noHBand="0" w:noVBand="0"/>
      </w:tblPr>
      <w:tblGrid>
        <w:gridCol w:w="2339"/>
        <w:gridCol w:w="991"/>
        <w:gridCol w:w="993"/>
        <w:gridCol w:w="992"/>
        <w:gridCol w:w="992"/>
        <w:gridCol w:w="990"/>
        <w:gridCol w:w="992"/>
        <w:gridCol w:w="992"/>
        <w:gridCol w:w="992"/>
      </w:tblGrid>
      <w:tr w:rsidR="008B2FBE" w:rsidRPr="003D1614" w14:paraId="21C01BD3" w14:textId="77777777" w:rsidTr="00422DD5">
        <w:trPr>
          <w:trHeight w:val="533"/>
        </w:trPr>
        <w:tc>
          <w:tcPr>
            <w:tcW w:w="1138" w:type="pct"/>
          </w:tcPr>
          <w:p w14:paraId="5698E4C3" w14:textId="77777777" w:rsidR="008B2FBE" w:rsidRPr="003D1614" w:rsidRDefault="008B2FBE" w:rsidP="00422DD5">
            <w:pPr>
              <w:tabs>
                <w:tab w:val="right" w:pos="1202"/>
              </w:tabs>
              <w:suppressAutoHyphens/>
              <w:autoSpaceDN w:val="0"/>
              <w:spacing w:line="240" w:lineRule="atLeast"/>
              <w:outlineLvl w:val="0"/>
              <w:rPr>
                <w:rFonts w:ascii="Arial" w:eastAsia="Calibri" w:hAnsi="Arial" w:cs="Arial"/>
                <w:b/>
                <w:color w:val="000000" w:themeColor="text1"/>
                <w:sz w:val="15"/>
                <w:szCs w:val="15"/>
              </w:rPr>
            </w:pPr>
            <w:bookmarkStart w:id="902" w:name="_Toc67330566"/>
            <w:r w:rsidRPr="003D1614">
              <w:rPr>
                <w:rFonts w:ascii="Arial" w:eastAsia="Calibri" w:hAnsi="Arial" w:cs="Arial"/>
                <w:b/>
                <w:color w:val="000000" w:themeColor="text1"/>
                <w:sz w:val="15"/>
                <w:szCs w:val="15"/>
              </w:rPr>
              <w:t>Grupa</w:t>
            </w:r>
            <w:bookmarkEnd w:id="902"/>
          </w:p>
          <w:p w14:paraId="428CE3D5" w14:textId="77777777" w:rsidR="008B2FBE" w:rsidRPr="003D1614" w:rsidRDefault="008B2FBE" w:rsidP="00422DD5">
            <w:pPr>
              <w:tabs>
                <w:tab w:val="right" w:pos="1202"/>
              </w:tabs>
              <w:suppressAutoHyphens/>
              <w:autoSpaceDN w:val="0"/>
              <w:spacing w:line="240" w:lineRule="atLeast"/>
              <w:outlineLvl w:val="0"/>
              <w:rPr>
                <w:rFonts w:ascii="Arial" w:eastAsia="Calibri" w:hAnsi="Arial" w:cs="Arial"/>
                <w:b/>
                <w:color w:val="000000" w:themeColor="text1"/>
                <w:sz w:val="15"/>
                <w:szCs w:val="15"/>
              </w:rPr>
            </w:pPr>
            <w:bookmarkStart w:id="903" w:name="_Toc67330567"/>
            <w:r w:rsidRPr="003D1614">
              <w:rPr>
                <w:rFonts w:ascii="Arial" w:eastAsia="Calibri" w:hAnsi="Arial" w:cs="Arial"/>
                <w:b/>
                <w:color w:val="000000" w:themeColor="text1"/>
                <w:sz w:val="15"/>
                <w:szCs w:val="15"/>
              </w:rPr>
              <w:t>31. ožujka 202</w:t>
            </w:r>
            <w:r>
              <w:rPr>
                <w:rFonts w:ascii="Arial" w:eastAsia="Calibri" w:hAnsi="Arial" w:cs="Arial"/>
                <w:b/>
                <w:color w:val="000000" w:themeColor="text1"/>
                <w:sz w:val="15"/>
                <w:szCs w:val="15"/>
              </w:rPr>
              <w:t>4</w:t>
            </w:r>
            <w:r w:rsidRPr="003D1614">
              <w:rPr>
                <w:rFonts w:ascii="Arial" w:eastAsia="Calibri" w:hAnsi="Arial" w:cs="Arial"/>
                <w:b/>
                <w:color w:val="000000" w:themeColor="text1"/>
                <w:sz w:val="15"/>
                <w:szCs w:val="15"/>
              </w:rPr>
              <w:t>.</w:t>
            </w:r>
            <w:bookmarkEnd w:id="903"/>
          </w:p>
        </w:tc>
        <w:tc>
          <w:tcPr>
            <w:tcW w:w="482" w:type="pct"/>
          </w:tcPr>
          <w:p w14:paraId="320D37CC" w14:textId="77777777" w:rsidR="008B2FBE" w:rsidRPr="003D1614" w:rsidRDefault="008B2FBE" w:rsidP="00422DD5">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04" w:name="_Toc67330568"/>
            <w:r w:rsidRPr="003D1614">
              <w:rPr>
                <w:rFonts w:ascii="Arial" w:eastAsia="Calibri" w:hAnsi="Arial" w:cs="Arial"/>
                <w:b/>
                <w:color w:val="000000" w:themeColor="text1"/>
                <w:sz w:val="15"/>
                <w:szCs w:val="15"/>
              </w:rPr>
              <w:t>Do 1 mjesec</w:t>
            </w:r>
            <w:bookmarkEnd w:id="904"/>
          </w:p>
        </w:tc>
        <w:tc>
          <w:tcPr>
            <w:tcW w:w="483" w:type="pct"/>
          </w:tcPr>
          <w:p w14:paraId="402269A5" w14:textId="77777777" w:rsidR="008B2FBE" w:rsidRPr="003D1614" w:rsidRDefault="008B2FBE" w:rsidP="00422DD5">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05" w:name="_Toc67330569"/>
            <w:r w:rsidRPr="003D1614">
              <w:rPr>
                <w:rFonts w:ascii="Arial" w:eastAsia="Calibri" w:hAnsi="Arial" w:cs="Arial"/>
                <w:b/>
                <w:color w:val="000000" w:themeColor="text1"/>
                <w:sz w:val="15"/>
                <w:szCs w:val="15"/>
              </w:rPr>
              <w:t>1 do 3 mjeseca</w:t>
            </w:r>
            <w:bookmarkEnd w:id="905"/>
          </w:p>
        </w:tc>
        <w:tc>
          <w:tcPr>
            <w:tcW w:w="483" w:type="pct"/>
          </w:tcPr>
          <w:p w14:paraId="033BC54C" w14:textId="77777777" w:rsidR="008B2FBE" w:rsidRPr="003D1614" w:rsidRDefault="008B2FBE" w:rsidP="00422DD5">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06" w:name="_Toc67330570"/>
            <w:r w:rsidRPr="003D1614">
              <w:rPr>
                <w:rFonts w:ascii="Arial" w:eastAsia="Calibri" w:hAnsi="Arial" w:cs="Arial"/>
                <w:b/>
                <w:color w:val="000000" w:themeColor="text1"/>
                <w:sz w:val="15"/>
                <w:szCs w:val="15"/>
              </w:rPr>
              <w:t>3 mj. do 1 godine</w:t>
            </w:r>
            <w:bookmarkEnd w:id="906"/>
          </w:p>
        </w:tc>
        <w:tc>
          <w:tcPr>
            <w:tcW w:w="483" w:type="pct"/>
          </w:tcPr>
          <w:p w14:paraId="270CACBC" w14:textId="77777777" w:rsidR="008B2FBE" w:rsidRPr="003D1614" w:rsidRDefault="008B2FBE" w:rsidP="00422DD5">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07" w:name="_Toc67330571"/>
            <w:r w:rsidRPr="003D1614">
              <w:rPr>
                <w:rFonts w:ascii="Arial" w:eastAsia="Calibri" w:hAnsi="Arial" w:cs="Arial"/>
                <w:b/>
                <w:color w:val="000000" w:themeColor="text1"/>
                <w:sz w:val="15"/>
                <w:szCs w:val="15"/>
              </w:rPr>
              <w:t>1 do 3 godina</w:t>
            </w:r>
            <w:bookmarkEnd w:id="907"/>
          </w:p>
        </w:tc>
        <w:tc>
          <w:tcPr>
            <w:tcW w:w="482" w:type="pct"/>
          </w:tcPr>
          <w:p w14:paraId="2C4B5DA6" w14:textId="77777777" w:rsidR="008B2FBE" w:rsidRPr="003D1614" w:rsidRDefault="008B2FBE" w:rsidP="00422DD5">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08" w:name="_Toc67330572"/>
            <w:r w:rsidRPr="003D1614">
              <w:rPr>
                <w:rFonts w:ascii="Arial" w:eastAsia="Calibri" w:hAnsi="Arial" w:cs="Arial"/>
                <w:b/>
                <w:color w:val="000000" w:themeColor="text1"/>
                <w:sz w:val="15"/>
                <w:szCs w:val="15"/>
              </w:rPr>
              <w:t>Preko 3 godine</w:t>
            </w:r>
            <w:bookmarkEnd w:id="908"/>
          </w:p>
        </w:tc>
        <w:tc>
          <w:tcPr>
            <w:tcW w:w="483" w:type="pct"/>
          </w:tcPr>
          <w:p w14:paraId="6254805F" w14:textId="77777777" w:rsidR="008B2FBE" w:rsidRPr="003D1614" w:rsidRDefault="008B2FBE" w:rsidP="00422DD5">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09" w:name="_Toc67330573"/>
            <w:proofErr w:type="spellStart"/>
            <w:r w:rsidRPr="003D1614">
              <w:rPr>
                <w:rFonts w:ascii="Arial" w:eastAsia="Calibri" w:hAnsi="Arial" w:cs="Arial"/>
                <w:b/>
                <w:color w:val="000000" w:themeColor="text1"/>
                <w:sz w:val="15"/>
                <w:szCs w:val="15"/>
              </w:rPr>
              <w:t>Beska-matno</w:t>
            </w:r>
            <w:bookmarkEnd w:id="909"/>
            <w:proofErr w:type="spellEnd"/>
          </w:p>
        </w:tc>
        <w:tc>
          <w:tcPr>
            <w:tcW w:w="483" w:type="pct"/>
          </w:tcPr>
          <w:p w14:paraId="5ECD98E6" w14:textId="77777777" w:rsidR="008B2FBE" w:rsidRPr="003D1614" w:rsidRDefault="008B2FBE" w:rsidP="00422DD5">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10" w:name="_Toc67330574"/>
            <w:r w:rsidRPr="003D1614">
              <w:rPr>
                <w:rFonts w:ascii="Arial" w:eastAsia="Calibri" w:hAnsi="Arial" w:cs="Arial"/>
                <w:b/>
                <w:color w:val="000000" w:themeColor="text1"/>
                <w:sz w:val="15"/>
                <w:szCs w:val="15"/>
              </w:rPr>
              <w:t>Ukupno</w:t>
            </w:r>
            <w:bookmarkEnd w:id="910"/>
          </w:p>
        </w:tc>
        <w:tc>
          <w:tcPr>
            <w:tcW w:w="483" w:type="pct"/>
          </w:tcPr>
          <w:p w14:paraId="106F87F9" w14:textId="77777777" w:rsidR="008B2FBE" w:rsidRPr="003D1614" w:rsidRDefault="008B2FBE" w:rsidP="00422DD5">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11" w:name="_Toc67330575"/>
            <w:r w:rsidRPr="003D1614">
              <w:rPr>
                <w:rFonts w:ascii="Arial" w:eastAsia="Calibri" w:hAnsi="Arial" w:cs="Arial"/>
                <w:b/>
                <w:color w:val="000000" w:themeColor="text1"/>
                <w:sz w:val="15"/>
                <w:szCs w:val="15"/>
              </w:rPr>
              <w:t>Fiksna kamatna stopa</w:t>
            </w:r>
            <w:bookmarkEnd w:id="911"/>
          </w:p>
        </w:tc>
      </w:tr>
      <w:tr w:rsidR="008B2FBE" w:rsidRPr="003D1614" w14:paraId="0FFE14EC" w14:textId="77777777" w:rsidTr="00422DD5">
        <w:trPr>
          <w:trHeight w:val="258"/>
        </w:trPr>
        <w:tc>
          <w:tcPr>
            <w:tcW w:w="1138" w:type="pct"/>
            <w:vAlign w:val="bottom"/>
          </w:tcPr>
          <w:p w14:paraId="61F82240" w14:textId="77777777" w:rsidR="008B2FBE" w:rsidRPr="003D1614" w:rsidRDefault="008B2FBE" w:rsidP="00422DD5">
            <w:pPr>
              <w:tabs>
                <w:tab w:val="right" w:pos="1202"/>
              </w:tabs>
              <w:suppressAutoHyphens/>
              <w:autoSpaceDN w:val="0"/>
              <w:spacing w:line="240" w:lineRule="atLeast"/>
              <w:outlineLvl w:val="0"/>
              <w:rPr>
                <w:rFonts w:ascii="Arial" w:eastAsia="Calibri" w:hAnsi="Arial" w:cs="Arial"/>
                <w:b/>
                <w:color w:val="000000" w:themeColor="text1"/>
                <w:sz w:val="15"/>
                <w:szCs w:val="15"/>
              </w:rPr>
            </w:pPr>
          </w:p>
        </w:tc>
        <w:tc>
          <w:tcPr>
            <w:tcW w:w="482" w:type="pct"/>
          </w:tcPr>
          <w:p w14:paraId="0746DEB9" w14:textId="77777777" w:rsidR="008B2FBE" w:rsidRPr="003D1614" w:rsidRDefault="008B2FBE" w:rsidP="00422DD5">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12" w:name="_Toc67330576"/>
            <w:r w:rsidRPr="003D1614">
              <w:rPr>
                <w:rFonts w:ascii="Arial" w:eastAsia="Calibri" w:hAnsi="Arial" w:cs="Arial"/>
                <w:b/>
                <w:color w:val="000000" w:themeColor="text1"/>
                <w:sz w:val="15"/>
                <w:szCs w:val="15"/>
              </w:rPr>
              <w:t>000 eura</w:t>
            </w:r>
            <w:bookmarkEnd w:id="912"/>
          </w:p>
        </w:tc>
        <w:tc>
          <w:tcPr>
            <w:tcW w:w="483" w:type="pct"/>
          </w:tcPr>
          <w:p w14:paraId="44DB2125" w14:textId="77777777" w:rsidR="008B2FBE" w:rsidRPr="003D1614" w:rsidRDefault="008B2FBE" w:rsidP="00422DD5">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13" w:name="_Toc67330577"/>
            <w:r w:rsidRPr="003D1614">
              <w:rPr>
                <w:rFonts w:ascii="Arial" w:eastAsia="Calibri" w:hAnsi="Arial" w:cs="Arial"/>
                <w:b/>
                <w:color w:val="000000" w:themeColor="text1"/>
                <w:sz w:val="15"/>
                <w:szCs w:val="15"/>
              </w:rPr>
              <w:t>000 eura</w:t>
            </w:r>
            <w:bookmarkEnd w:id="913"/>
          </w:p>
        </w:tc>
        <w:tc>
          <w:tcPr>
            <w:tcW w:w="483" w:type="pct"/>
          </w:tcPr>
          <w:p w14:paraId="25935C4A" w14:textId="77777777" w:rsidR="008B2FBE" w:rsidRPr="003D1614" w:rsidRDefault="008B2FBE" w:rsidP="00422DD5">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14" w:name="_Toc67330578"/>
            <w:r w:rsidRPr="003D1614">
              <w:rPr>
                <w:rFonts w:ascii="Arial" w:eastAsia="Calibri" w:hAnsi="Arial" w:cs="Arial"/>
                <w:b/>
                <w:color w:val="000000" w:themeColor="text1"/>
                <w:sz w:val="15"/>
                <w:szCs w:val="15"/>
              </w:rPr>
              <w:t>000 eura</w:t>
            </w:r>
            <w:bookmarkEnd w:id="914"/>
          </w:p>
        </w:tc>
        <w:tc>
          <w:tcPr>
            <w:tcW w:w="483" w:type="pct"/>
          </w:tcPr>
          <w:p w14:paraId="2148402D" w14:textId="77777777" w:rsidR="008B2FBE" w:rsidRPr="003D1614" w:rsidRDefault="008B2FBE" w:rsidP="00422DD5">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15" w:name="_Toc67330579"/>
            <w:r w:rsidRPr="003D1614">
              <w:rPr>
                <w:rFonts w:ascii="Arial" w:eastAsia="Calibri" w:hAnsi="Arial" w:cs="Arial"/>
                <w:b/>
                <w:color w:val="000000" w:themeColor="text1"/>
                <w:sz w:val="15"/>
                <w:szCs w:val="15"/>
              </w:rPr>
              <w:t>000 eura</w:t>
            </w:r>
            <w:bookmarkEnd w:id="915"/>
          </w:p>
        </w:tc>
        <w:tc>
          <w:tcPr>
            <w:tcW w:w="482" w:type="pct"/>
          </w:tcPr>
          <w:p w14:paraId="6BD2C826" w14:textId="77777777" w:rsidR="008B2FBE" w:rsidRPr="003D1614" w:rsidRDefault="008B2FBE" w:rsidP="00422DD5">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16" w:name="_Toc67330580"/>
            <w:r w:rsidRPr="003D1614">
              <w:rPr>
                <w:rFonts w:ascii="Arial" w:eastAsia="Calibri" w:hAnsi="Arial" w:cs="Arial"/>
                <w:b/>
                <w:color w:val="000000" w:themeColor="text1"/>
                <w:sz w:val="15"/>
                <w:szCs w:val="15"/>
              </w:rPr>
              <w:t>000 eura</w:t>
            </w:r>
            <w:bookmarkEnd w:id="916"/>
          </w:p>
        </w:tc>
        <w:tc>
          <w:tcPr>
            <w:tcW w:w="483" w:type="pct"/>
          </w:tcPr>
          <w:p w14:paraId="105556CA" w14:textId="77777777" w:rsidR="008B2FBE" w:rsidRPr="003D1614" w:rsidRDefault="008B2FBE" w:rsidP="00422DD5">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17" w:name="_Toc67330581"/>
            <w:r w:rsidRPr="003D1614">
              <w:rPr>
                <w:rFonts w:ascii="Arial" w:eastAsia="Calibri" w:hAnsi="Arial" w:cs="Arial"/>
                <w:b/>
                <w:color w:val="000000" w:themeColor="text1"/>
                <w:sz w:val="15"/>
                <w:szCs w:val="15"/>
              </w:rPr>
              <w:t>000 eura</w:t>
            </w:r>
            <w:bookmarkEnd w:id="917"/>
          </w:p>
        </w:tc>
        <w:tc>
          <w:tcPr>
            <w:tcW w:w="483" w:type="pct"/>
          </w:tcPr>
          <w:p w14:paraId="34EF35F6" w14:textId="77777777" w:rsidR="008B2FBE" w:rsidRPr="003D1614" w:rsidRDefault="008B2FBE" w:rsidP="00422DD5">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18" w:name="_Toc67330582"/>
            <w:r w:rsidRPr="003D1614">
              <w:rPr>
                <w:rFonts w:ascii="Arial" w:eastAsia="Calibri" w:hAnsi="Arial" w:cs="Arial"/>
                <w:b/>
                <w:color w:val="000000" w:themeColor="text1"/>
                <w:sz w:val="15"/>
                <w:szCs w:val="15"/>
              </w:rPr>
              <w:t>000 eura</w:t>
            </w:r>
            <w:bookmarkEnd w:id="918"/>
          </w:p>
        </w:tc>
        <w:tc>
          <w:tcPr>
            <w:tcW w:w="483" w:type="pct"/>
          </w:tcPr>
          <w:p w14:paraId="57F5E925" w14:textId="77777777" w:rsidR="008B2FBE" w:rsidRPr="003D1614" w:rsidRDefault="008B2FBE" w:rsidP="00422DD5">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19" w:name="_Toc67330583"/>
            <w:r w:rsidRPr="003D1614">
              <w:rPr>
                <w:rFonts w:ascii="Arial" w:eastAsia="Calibri" w:hAnsi="Arial" w:cs="Arial"/>
                <w:b/>
                <w:color w:val="000000" w:themeColor="text1"/>
                <w:sz w:val="15"/>
                <w:szCs w:val="15"/>
              </w:rPr>
              <w:t>000 eura</w:t>
            </w:r>
            <w:bookmarkEnd w:id="919"/>
          </w:p>
        </w:tc>
      </w:tr>
      <w:tr w:rsidR="008B2FBE" w:rsidRPr="003D1614" w14:paraId="60D3393D" w14:textId="77777777" w:rsidTr="00422DD5">
        <w:trPr>
          <w:trHeight w:val="227"/>
        </w:trPr>
        <w:tc>
          <w:tcPr>
            <w:tcW w:w="1138" w:type="pct"/>
            <w:vAlign w:val="bottom"/>
          </w:tcPr>
          <w:p w14:paraId="21756B77" w14:textId="77777777" w:rsidR="008B2FBE" w:rsidRPr="003D1614" w:rsidRDefault="008B2FBE" w:rsidP="00422DD5">
            <w:pPr>
              <w:tabs>
                <w:tab w:val="left" w:pos="-720"/>
              </w:tabs>
              <w:suppressAutoHyphens/>
              <w:autoSpaceDN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Imovina</w:t>
            </w:r>
          </w:p>
        </w:tc>
        <w:tc>
          <w:tcPr>
            <w:tcW w:w="482" w:type="pct"/>
          </w:tcPr>
          <w:p w14:paraId="30A883E1" w14:textId="77777777" w:rsidR="008B2FBE" w:rsidRPr="003D1614" w:rsidRDefault="008B2FBE" w:rsidP="00422DD5">
            <w:pPr>
              <w:tabs>
                <w:tab w:val="left" w:pos="-720"/>
              </w:tabs>
              <w:suppressAutoHyphens/>
              <w:autoSpaceDN w:val="0"/>
              <w:jc w:val="right"/>
              <w:rPr>
                <w:rFonts w:ascii="Arial" w:eastAsia="Calibri" w:hAnsi="Arial" w:cs="Arial"/>
                <w:color w:val="000000" w:themeColor="text1"/>
                <w:sz w:val="15"/>
                <w:szCs w:val="15"/>
              </w:rPr>
            </w:pPr>
          </w:p>
        </w:tc>
        <w:tc>
          <w:tcPr>
            <w:tcW w:w="483" w:type="pct"/>
          </w:tcPr>
          <w:p w14:paraId="4BD82BCC" w14:textId="77777777" w:rsidR="008B2FBE" w:rsidRPr="003D1614" w:rsidRDefault="008B2FBE" w:rsidP="00422DD5">
            <w:pPr>
              <w:tabs>
                <w:tab w:val="left" w:pos="-720"/>
              </w:tabs>
              <w:suppressAutoHyphens/>
              <w:autoSpaceDN w:val="0"/>
              <w:jc w:val="right"/>
              <w:rPr>
                <w:rFonts w:ascii="Arial" w:eastAsia="Calibri" w:hAnsi="Arial" w:cs="Arial"/>
                <w:color w:val="000000" w:themeColor="text1"/>
                <w:sz w:val="15"/>
                <w:szCs w:val="15"/>
              </w:rPr>
            </w:pPr>
          </w:p>
        </w:tc>
        <w:tc>
          <w:tcPr>
            <w:tcW w:w="483" w:type="pct"/>
          </w:tcPr>
          <w:p w14:paraId="3F1521E0" w14:textId="77777777" w:rsidR="008B2FBE" w:rsidRPr="003D1614" w:rsidRDefault="008B2FBE" w:rsidP="00422DD5">
            <w:pPr>
              <w:tabs>
                <w:tab w:val="left" w:pos="-720"/>
              </w:tabs>
              <w:suppressAutoHyphens/>
              <w:autoSpaceDN w:val="0"/>
              <w:jc w:val="right"/>
              <w:rPr>
                <w:rFonts w:ascii="Arial" w:eastAsia="Calibri" w:hAnsi="Arial" w:cs="Arial"/>
                <w:color w:val="000000" w:themeColor="text1"/>
                <w:sz w:val="15"/>
                <w:szCs w:val="15"/>
              </w:rPr>
            </w:pPr>
          </w:p>
        </w:tc>
        <w:tc>
          <w:tcPr>
            <w:tcW w:w="483" w:type="pct"/>
          </w:tcPr>
          <w:p w14:paraId="28C17661" w14:textId="77777777" w:rsidR="008B2FBE" w:rsidRPr="003D1614" w:rsidRDefault="008B2FBE" w:rsidP="00422DD5">
            <w:pPr>
              <w:tabs>
                <w:tab w:val="left" w:pos="-720"/>
              </w:tabs>
              <w:suppressAutoHyphens/>
              <w:autoSpaceDN w:val="0"/>
              <w:jc w:val="right"/>
              <w:rPr>
                <w:rFonts w:ascii="Arial" w:eastAsia="Calibri" w:hAnsi="Arial" w:cs="Arial"/>
                <w:color w:val="000000" w:themeColor="text1"/>
                <w:sz w:val="15"/>
                <w:szCs w:val="15"/>
              </w:rPr>
            </w:pPr>
          </w:p>
        </w:tc>
        <w:tc>
          <w:tcPr>
            <w:tcW w:w="482" w:type="pct"/>
          </w:tcPr>
          <w:p w14:paraId="20E71F36" w14:textId="77777777" w:rsidR="008B2FBE" w:rsidRPr="003D1614" w:rsidRDefault="008B2FBE" w:rsidP="00422DD5">
            <w:pPr>
              <w:tabs>
                <w:tab w:val="left" w:pos="-720"/>
              </w:tabs>
              <w:suppressAutoHyphens/>
              <w:autoSpaceDN w:val="0"/>
              <w:jc w:val="right"/>
              <w:rPr>
                <w:rFonts w:ascii="Arial" w:eastAsia="Calibri" w:hAnsi="Arial" w:cs="Arial"/>
                <w:color w:val="000000" w:themeColor="text1"/>
                <w:sz w:val="15"/>
                <w:szCs w:val="15"/>
              </w:rPr>
            </w:pPr>
          </w:p>
        </w:tc>
        <w:tc>
          <w:tcPr>
            <w:tcW w:w="483" w:type="pct"/>
          </w:tcPr>
          <w:p w14:paraId="5DA52864" w14:textId="77777777" w:rsidR="008B2FBE" w:rsidRPr="003D1614" w:rsidRDefault="008B2FBE" w:rsidP="00422DD5">
            <w:pPr>
              <w:tabs>
                <w:tab w:val="left" w:pos="-720"/>
              </w:tabs>
              <w:suppressAutoHyphens/>
              <w:autoSpaceDN w:val="0"/>
              <w:spacing w:line="360" w:lineRule="auto"/>
              <w:jc w:val="right"/>
              <w:rPr>
                <w:rFonts w:ascii="Arial" w:eastAsia="Calibri" w:hAnsi="Arial" w:cs="Arial"/>
                <w:color w:val="000000" w:themeColor="text1"/>
                <w:sz w:val="15"/>
                <w:szCs w:val="15"/>
              </w:rPr>
            </w:pPr>
          </w:p>
        </w:tc>
        <w:tc>
          <w:tcPr>
            <w:tcW w:w="483" w:type="pct"/>
          </w:tcPr>
          <w:p w14:paraId="240B7300" w14:textId="77777777" w:rsidR="008B2FBE" w:rsidRPr="003D1614" w:rsidRDefault="008B2FBE" w:rsidP="00422DD5">
            <w:pPr>
              <w:tabs>
                <w:tab w:val="left" w:pos="-720"/>
              </w:tabs>
              <w:suppressAutoHyphens/>
              <w:autoSpaceDN w:val="0"/>
              <w:jc w:val="right"/>
              <w:rPr>
                <w:rFonts w:ascii="Arial" w:eastAsia="Calibri" w:hAnsi="Arial" w:cs="Arial"/>
                <w:color w:val="000000" w:themeColor="text1"/>
                <w:sz w:val="15"/>
                <w:szCs w:val="15"/>
              </w:rPr>
            </w:pPr>
          </w:p>
        </w:tc>
        <w:tc>
          <w:tcPr>
            <w:tcW w:w="483" w:type="pct"/>
          </w:tcPr>
          <w:p w14:paraId="66478557" w14:textId="77777777" w:rsidR="008B2FBE" w:rsidRPr="003D1614" w:rsidRDefault="008B2FBE" w:rsidP="00422DD5">
            <w:pPr>
              <w:tabs>
                <w:tab w:val="left" w:pos="-720"/>
              </w:tabs>
              <w:suppressAutoHyphens/>
              <w:autoSpaceDN w:val="0"/>
              <w:jc w:val="right"/>
              <w:rPr>
                <w:rFonts w:ascii="Arial" w:eastAsia="Calibri" w:hAnsi="Arial" w:cs="Arial"/>
                <w:color w:val="000000" w:themeColor="text1"/>
                <w:sz w:val="15"/>
                <w:szCs w:val="15"/>
              </w:rPr>
            </w:pPr>
          </w:p>
        </w:tc>
      </w:tr>
      <w:tr w:rsidR="008B2FBE" w:rsidRPr="003D1614" w14:paraId="7C9243FC" w14:textId="77777777" w:rsidTr="00422DD5">
        <w:trPr>
          <w:trHeight w:val="217"/>
        </w:trPr>
        <w:tc>
          <w:tcPr>
            <w:tcW w:w="1138" w:type="pct"/>
            <w:vAlign w:val="bottom"/>
          </w:tcPr>
          <w:p w14:paraId="2247C2D0" w14:textId="77777777" w:rsidR="008B2FBE" w:rsidRPr="003D1614" w:rsidRDefault="008B2FBE" w:rsidP="00422DD5">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Novčana sredstva i računi kod banaka</w:t>
            </w:r>
          </w:p>
        </w:tc>
        <w:tc>
          <w:tcPr>
            <w:tcW w:w="482" w:type="pct"/>
            <w:vAlign w:val="bottom"/>
          </w:tcPr>
          <w:p w14:paraId="36095D63"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77.372</w:t>
            </w:r>
          </w:p>
        </w:tc>
        <w:tc>
          <w:tcPr>
            <w:tcW w:w="483" w:type="pct"/>
            <w:vAlign w:val="bottom"/>
          </w:tcPr>
          <w:p w14:paraId="20505ECE"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4651D562"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4C73F48E"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2" w:type="pct"/>
            <w:vAlign w:val="bottom"/>
          </w:tcPr>
          <w:p w14:paraId="1779D144"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375DE3D6"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27FA632F"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77.372</w:t>
            </w:r>
          </w:p>
        </w:tc>
        <w:tc>
          <w:tcPr>
            <w:tcW w:w="483" w:type="pct"/>
            <w:vAlign w:val="bottom"/>
          </w:tcPr>
          <w:p w14:paraId="4BBBBEC4"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77.372</w:t>
            </w:r>
          </w:p>
        </w:tc>
      </w:tr>
      <w:tr w:rsidR="008B2FBE" w:rsidRPr="003D1614" w14:paraId="2D3B89C1" w14:textId="77777777" w:rsidTr="00422DD5">
        <w:trPr>
          <w:trHeight w:val="206"/>
        </w:trPr>
        <w:tc>
          <w:tcPr>
            <w:tcW w:w="1138" w:type="pct"/>
            <w:vAlign w:val="bottom"/>
          </w:tcPr>
          <w:p w14:paraId="12471223" w14:textId="77777777" w:rsidR="008B2FBE" w:rsidRPr="003D1614" w:rsidRDefault="008B2FBE" w:rsidP="00422DD5">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Depoziti kod drugih banaka</w:t>
            </w:r>
          </w:p>
        </w:tc>
        <w:tc>
          <w:tcPr>
            <w:tcW w:w="482" w:type="pct"/>
            <w:vAlign w:val="bottom"/>
          </w:tcPr>
          <w:p w14:paraId="4B8F784B"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128.098</w:t>
            </w:r>
          </w:p>
        </w:tc>
        <w:tc>
          <w:tcPr>
            <w:tcW w:w="483" w:type="pct"/>
            <w:vAlign w:val="bottom"/>
          </w:tcPr>
          <w:p w14:paraId="5A06BC32"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4F6EBA08"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65E3A603"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2" w:type="pct"/>
            <w:vAlign w:val="bottom"/>
          </w:tcPr>
          <w:p w14:paraId="6964AA83"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55EE533B"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1.102</w:t>
            </w:r>
          </w:p>
        </w:tc>
        <w:tc>
          <w:tcPr>
            <w:tcW w:w="483" w:type="pct"/>
            <w:vAlign w:val="bottom"/>
          </w:tcPr>
          <w:p w14:paraId="32FBF100"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 xml:space="preserve">      129.200</w:t>
            </w:r>
          </w:p>
        </w:tc>
        <w:tc>
          <w:tcPr>
            <w:tcW w:w="483" w:type="pct"/>
            <w:vAlign w:val="bottom"/>
          </w:tcPr>
          <w:p w14:paraId="06595C6E"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128.098</w:t>
            </w:r>
          </w:p>
        </w:tc>
      </w:tr>
      <w:tr w:rsidR="008B2FBE" w:rsidRPr="003D1614" w14:paraId="35CB4E53" w14:textId="77777777" w:rsidTr="00422DD5">
        <w:trPr>
          <w:trHeight w:val="164"/>
        </w:trPr>
        <w:tc>
          <w:tcPr>
            <w:tcW w:w="1138" w:type="pct"/>
            <w:vAlign w:val="bottom"/>
          </w:tcPr>
          <w:p w14:paraId="602087E1" w14:textId="77777777" w:rsidR="008B2FBE" w:rsidRPr="003D1614" w:rsidRDefault="008B2FBE" w:rsidP="00422DD5">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Krediti financijskim institucijama</w:t>
            </w:r>
          </w:p>
        </w:tc>
        <w:tc>
          <w:tcPr>
            <w:tcW w:w="482" w:type="pct"/>
            <w:tcBorders>
              <w:top w:val="nil"/>
              <w:left w:val="nil"/>
              <w:bottom w:val="nil"/>
              <w:right w:val="nil"/>
            </w:tcBorders>
            <w:vAlign w:val="bottom"/>
          </w:tcPr>
          <w:p w14:paraId="5B09A99D"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64.446</w:t>
            </w:r>
          </w:p>
        </w:tc>
        <w:tc>
          <w:tcPr>
            <w:tcW w:w="483" w:type="pct"/>
            <w:tcBorders>
              <w:top w:val="nil"/>
              <w:left w:val="nil"/>
              <w:bottom w:val="nil"/>
              <w:right w:val="nil"/>
            </w:tcBorders>
            <w:vAlign w:val="bottom"/>
          </w:tcPr>
          <w:p w14:paraId="1CBCD4F0"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58.083</w:t>
            </w:r>
          </w:p>
        </w:tc>
        <w:tc>
          <w:tcPr>
            <w:tcW w:w="483" w:type="pct"/>
            <w:tcBorders>
              <w:top w:val="nil"/>
              <w:left w:val="nil"/>
              <w:bottom w:val="nil"/>
              <w:right w:val="nil"/>
            </w:tcBorders>
            <w:vAlign w:val="bottom"/>
          </w:tcPr>
          <w:p w14:paraId="1341BA0E"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130.027</w:t>
            </w:r>
          </w:p>
        </w:tc>
        <w:tc>
          <w:tcPr>
            <w:tcW w:w="483" w:type="pct"/>
            <w:tcBorders>
              <w:top w:val="nil"/>
              <w:left w:val="nil"/>
              <w:bottom w:val="nil"/>
              <w:right w:val="nil"/>
            </w:tcBorders>
            <w:vAlign w:val="bottom"/>
          </w:tcPr>
          <w:p w14:paraId="5B8B6DC5"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312.954</w:t>
            </w:r>
          </w:p>
        </w:tc>
        <w:tc>
          <w:tcPr>
            <w:tcW w:w="482" w:type="pct"/>
            <w:tcBorders>
              <w:top w:val="nil"/>
              <w:left w:val="nil"/>
              <w:bottom w:val="nil"/>
              <w:right w:val="nil"/>
            </w:tcBorders>
            <w:vAlign w:val="bottom"/>
          </w:tcPr>
          <w:p w14:paraId="0EFF11BC"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570.071</w:t>
            </w:r>
          </w:p>
        </w:tc>
        <w:tc>
          <w:tcPr>
            <w:tcW w:w="483" w:type="pct"/>
            <w:tcBorders>
              <w:top w:val="nil"/>
              <w:left w:val="nil"/>
              <w:bottom w:val="nil"/>
              <w:right w:val="nil"/>
            </w:tcBorders>
            <w:vAlign w:val="bottom"/>
          </w:tcPr>
          <w:p w14:paraId="6A5813BD"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2.485</w:t>
            </w:r>
          </w:p>
        </w:tc>
        <w:tc>
          <w:tcPr>
            <w:tcW w:w="483" w:type="pct"/>
            <w:tcBorders>
              <w:top w:val="nil"/>
              <w:left w:val="nil"/>
              <w:bottom w:val="nil"/>
              <w:right w:val="nil"/>
            </w:tcBorders>
            <w:vAlign w:val="bottom"/>
          </w:tcPr>
          <w:p w14:paraId="4FFA2D93"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1.138.066</w:t>
            </w:r>
          </w:p>
        </w:tc>
        <w:tc>
          <w:tcPr>
            <w:tcW w:w="483" w:type="pct"/>
            <w:tcBorders>
              <w:top w:val="nil"/>
              <w:left w:val="nil"/>
              <w:bottom w:val="nil"/>
              <w:right w:val="nil"/>
            </w:tcBorders>
            <w:vAlign w:val="bottom"/>
          </w:tcPr>
          <w:p w14:paraId="4BB33A2B"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1.122.155</w:t>
            </w:r>
          </w:p>
        </w:tc>
      </w:tr>
      <w:tr w:rsidR="008B2FBE" w:rsidRPr="003D1614" w14:paraId="605246DD" w14:textId="77777777" w:rsidTr="00422DD5">
        <w:trPr>
          <w:trHeight w:val="92"/>
        </w:trPr>
        <w:tc>
          <w:tcPr>
            <w:tcW w:w="1138" w:type="pct"/>
            <w:vAlign w:val="bottom"/>
          </w:tcPr>
          <w:p w14:paraId="5388A3A9" w14:textId="77777777" w:rsidR="008B2FBE" w:rsidRPr="003D1614" w:rsidRDefault="008B2FBE" w:rsidP="00422DD5">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Krediti ostalim korisnicima</w:t>
            </w:r>
          </w:p>
        </w:tc>
        <w:tc>
          <w:tcPr>
            <w:tcW w:w="482" w:type="pct"/>
            <w:tcBorders>
              <w:top w:val="nil"/>
              <w:left w:val="nil"/>
              <w:bottom w:val="nil"/>
              <w:right w:val="nil"/>
            </w:tcBorders>
            <w:vAlign w:val="bottom"/>
          </w:tcPr>
          <w:p w14:paraId="3BFB7E9C"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232.947</w:t>
            </w:r>
          </w:p>
        </w:tc>
        <w:tc>
          <w:tcPr>
            <w:tcW w:w="483" w:type="pct"/>
            <w:tcBorders>
              <w:top w:val="nil"/>
              <w:left w:val="nil"/>
              <w:bottom w:val="nil"/>
              <w:right w:val="nil"/>
            </w:tcBorders>
            <w:vAlign w:val="bottom"/>
          </w:tcPr>
          <w:p w14:paraId="3A34F5F2"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136.264</w:t>
            </w:r>
          </w:p>
        </w:tc>
        <w:tc>
          <w:tcPr>
            <w:tcW w:w="483" w:type="pct"/>
            <w:tcBorders>
              <w:top w:val="nil"/>
              <w:left w:val="nil"/>
              <w:bottom w:val="nil"/>
              <w:right w:val="nil"/>
            </w:tcBorders>
            <w:vAlign w:val="bottom"/>
          </w:tcPr>
          <w:p w14:paraId="1CCC2580"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287.910</w:t>
            </w:r>
          </w:p>
        </w:tc>
        <w:tc>
          <w:tcPr>
            <w:tcW w:w="483" w:type="pct"/>
            <w:tcBorders>
              <w:top w:val="nil"/>
              <w:left w:val="nil"/>
              <w:bottom w:val="nil"/>
              <w:right w:val="nil"/>
            </w:tcBorders>
            <w:vAlign w:val="bottom"/>
          </w:tcPr>
          <w:p w14:paraId="5EC75825"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538.061</w:t>
            </w:r>
          </w:p>
        </w:tc>
        <w:tc>
          <w:tcPr>
            <w:tcW w:w="482" w:type="pct"/>
            <w:tcBorders>
              <w:top w:val="nil"/>
              <w:left w:val="nil"/>
              <w:bottom w:val="nil"/>
              <w:right w:val="nil"/>
            </w:tcBorders>
            <w:vAlign w:val="bottom"/>
          </w:tcPr>
          <w:p w14:paraId="208D6992"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1.117.483</w:t>
            </w:r>
          </w:p>
        </w:tc>
        <w:tc>
          <w:tcPr>
            <w:tcW w:w="483" w:type="pct"/>
            <w:tcBorders>
              <w:top w:val="nil"/>
              <w:left w:val="nil"/>
              <w:bottom w:val="nil"/>
              <w:right w:val="nil"/>
            </w:tcBorders>
            <w:vAlign w:val="bottom"/>
          </w:tcPr>
          <w:p w14:paraId="6C17CF9E"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25.179</w:t>
            </w:r>
          </w:p>
        </w:tc>
        <w:tc>
          <w:tcPr>
            <w:tcW w:w="483" w:type="pct"/>
            <w:tcBorders>
              <w:top w:val="nil"/>
              <w:left w:val="nil"/>
              <w:bottom w:val="nil"/>
              <w:right w:val="nil"/>
            </w:tcBorders>
            <w:vAlign w:val="bottom"/>
          </w:tcPr>
          <w:p w14:paraId="6884C879"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2.337.844</w:t>
            </w:r>
          </w:p>
        </w:tc>
        <w:tc>
          <w:tcPr>
            <w:tcW w:w="483" w:type="pct"/>
            <w:tcBorders>
              <w:top w:val="nil"/>
              <w:left w:val="nil"/>
              <w:bottom w:val="nil"/>
              <w:right w:val="nil"/>
            </w:tcBorders>
            <w:vAlign w:val="bottom"/>
          </w:tcPr>
          <w:p w14:paraId="490BAF56"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2.202.331</w:t>
            </w:r>
          </w:p>
        </w:tc>
      </w:tr>
      <w:tr w:rsidR="008B2FBE" w:rsidRPr="003D1614" w14:paraId="3A4455E2" w14:textId="77777777" w:rsidTr="00422DD5">
        <w:trPr>
          <w:trHeight w:val="170"/>
        </w:trPr>
        <w:tc>
          <w:tcPr>
            <w:tcW w:w="1138" w:type="pct"/>
            <w:vAlign w:val="bottom"/>
          </w:tcPr>
          <w:p w14:paraId="4F757735" w14:textId="77777777" w:rsidR="008B2FBE" w:rsidRPr="003D1614" w:rsidRDefault="008B2FBE" w:rsidP="00422DD5">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Financijska imovina po fer vrijednosti kroz dobit ili gubitak</w:t>
            </w:r>
          </w:p>
        </w:tc>
        <w:tc>
          <w:tcPr>
            <w:tcW w:w="482" w:type="pct"/>
            <w:vAlign w:val="bottom"/>
          </w:tcPr>
          <w:p w14:paraId="686B0DCF"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6DFDAB11"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3798A875" w14:textId="77777777" w:rsidR="008B2FBE" w:rsidRDefault="008B2FBE" w:rsidP="00422DD5">
            <w:pPr>
              <w:suppressAutoHyphens/>
              <w:autoSpaceDN w:val="0"/>
              <w:jc w:val="right"/>
              <w:rPr>
                <w:rFonts w:ascii="Arial" w:eastAsia="Calibri" w:hAnsi="Arial" w:cs="Arial"/>
                <w:bCs/>
                <w:color w:val="000000" w:themeColor="text1"/>
                <w:sz w:val="15"/>
                <w:szCs w:val="15"/>
              </w:rPr>
            </w:pPr>
          </w:p>
          <w:p w14:paraId="76835EF3"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28DE974D"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33.272</w:t>
            </w:r>
          </w:p>
        </w:tc>
        <w:tc>
          <w:tcPr>
            <w:tcW w:w="482" w:type="pct"/>
            <w:vAlign w:val="bottom"/>
          </w:tcPr>
          <w:p w14:paraId="7E5F24BC"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2311303E"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20.500</w:t>
            </w:r>
          </w:p>
        </w:tc>
        <w:tc>
          <w:tcPr>
            <w:tcW w:w="483" w:type="pct"/>
            <w:vAlign w:val="bottom"/>
          </w:tcPr>
          <w:p w14:paraId="65747C62"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53.772</w:t>
            </w:r>
          </w:p>
        </w:tc>
        <w:tc>
          <w:tcPr>
            <w:tcW w:w="483" w:type="pct"/>
            <w:vAlign w:val="bottom"/>
          </w:tcPr>
          <w:p w14:paraId="40D4AED7"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33.272</w:t>
            </w:r>
          </w:p>
        </w:tc>
      </w:tr>
      <w:tr w:rsidR="008B2FBE" w:rsidRPr="003D1614" w14:paraId="207DE1E4" w14:textId="77777777" w:rsidTr="00422DD5">
        <w:trPr>
          <w:trHeight w:val="163"/>
        </w:trPr>
        <w:tc>
          <w:tcPr>
            <w:tcW w:w="1138" w:type="pct"/>
            <w:vAlign w:val="bottom"/>
          </w:tcPr>
          <w:p w14:paraId="6A9F8887" w14:textId="77777777" w:rsidR="008B2FBE" w:rsidRPr="003D1614" w:rsidRDefault="008B2FBE" w:rsidP="00422DD5">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Financijska imovina po fer vrijednosti kroz ostalu sveobuhvatnu dobit</w:t>
            </w:r>
          </w:p>
        </w:tc>
        <w:tc>
          <w:tcPr>
            <w:tcW w:w="482" w:type="pct"/>
            <w:vAlign w:val="bottom"/>
          </w:tcPr>
          <w:p w14:paraId="0545A38D"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23.160</w:t>
            </w:r>
          </w:p>
        </w:tc>
        <w:tc>
          <w:tcPr>
            <w:tcW w:w="483" w:type="pct"/>
            <w:vAlign w:val="bottom"/>
          </w:tcPr>
          <w:p w14:paraId="5B9FF90A"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vAlign w:val="bottom"/>
          </w:tcPr>
          <w:p w14:paraId="2321E3E7"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146.211</w:t>
            </w:r>
          </w:p>
        </w:tc>
        <w:tc>
          <w:tcPr>
            <w:tcW w:w="483" w:type="pct"/>
            <w:vAlign w:val="bottom"/>
          </w:tcPr>
          <w:p w14:paraId="6630E4A4"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24.748</w:t>
            </w:r>
          </w:p>
        </w:tc>
        <w:tc>
          <w:tcPr>
            <w:tcW w:w="482" w:type="pct"/>
            <w:vAlign w:val="bottom"/>
          </w:tcPr>
          <w:p w14:paraId="7CC04B9B"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42.485</w:t>
            </w:r>
          </w:p>
        </w:tc>
        <w:tc>
          <w:tcPr>
            <w:tcW w:w="483" w:type="pct"/>
            <w:vAlign w:val="bottom"/>
          </w:tcPr>
          <w:p w14:paraId="782165F4"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9.286</w:t>
            </w:r>
          </w:p>
        </w:tc>
        <w:tc>
          <w:tcPr>
            <w:tcW w:w="483" w:type="pct"/>
            <w:vAlign w:val="bottom"/>
          </w:tcPr>
          <w:p w14:paraId="34512A2B"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245.890</w:t>
            </w:r>
          </w:p>
        </w:tc>
        <w:tc>
          <w:tcPr>
            <w:tcW w:w="483" w:type="pct"/>
            <w:vAlign w:val="bottom"/>
          </w:tcPr>
          <w:p w14:paraId="28CB7616"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236.604</w:t>
            </w:r>
          </w:p>
        </w:tc>
      </w:tr>
      <w:tr w:rsidR="008B2FBE" w:rsidRPr="003D1614" w14:paraId="146B63A3" w14:textId="77777777" w:rsidTr="00422DD5">
        <w:trPr>
          <w:trHeight w:val="206"/>
        </w:trPr>
        <w:tc>
          <w:tcPr>
            <w:tcW w:w="1138" w:type="pct"/>
            <w:vAlign w:val="bottom"/>
          </w:tcPr>
          <w:p w14:paraId="184FAEA3" w14:textId="77777777" w:rsidR="008B2FBE" w:rsidRPr="003D1614" w:rsidRDefault="008B2FBE" w:rsidP="00422DD5">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Ostala imovina</w:t>
            </w:r>
          </w:p>
        </w:tc>
        <w:tc>
          <w:tcPr>
            <w:tcW w:w="482" w:type="pct"/>
            <w:tcBorders>
              <w:bottom w:val="single" w:sz="4" w:space="0" w:color="auto"/>
            </w:tcBorders>
            <w:vAlign w:val="bottom"/>
          </w:tcPr>
          <w:p w14:paraId="43EB6FA4"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bottom w:val="single" w:sz="4" w:space="0" w:color="auto"/>
            </w:tcBorders>
            <w:vAlign w:val="bottom"/>
          </w:tcPr>
          <w:p w14:paraId="3A26CAE8"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bottom w:val="single" w:sz="4" w:space="0" w:color="auto"/>
            </w:tcBorders>
            <w:vAlign w:val="bottom"/>
          </w:tcPr>
          <w:p w14:paraId="7D43086F" w14:textId="77777777" w:rsidR="008B2FBE"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p w14:paraId="0FA78895"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bottom w:val="single" w:sz="4" w:space="0" w:color="auto"/>
            </w:tcBorders>
            <w:vAlign w:val="bottom"/>
          </w:tcPr>
          <w:p w14:paraId="292F7227" w14:textId="77777777" w:rsidR="008B2FBE" w:rsidRDefault="008B2FBE" w:rsidP="00422DD5">
            <w:pPr>
              <w:suppressAutoHyphens/>
              <w:autoSpaceDN w:val="0"/>
              <w:jc w:val="right"/>
              <w:rPr>
                <w:rFonts w:ascii="Arial" w:eastAsia="Calibri" w:hAnsi="Arial" w:cs="Arial"/>
                <w:bCs/>
                <w:color w:val="000000" w:themeColor="text1"/>
                <w:sz w:val="15"/>
                <w:szCs w:val="15"/>
              </w:rPr>
            </w:pPr>
          </w:p>
          <w:p w14:paraId="1C3B1A96"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2" w:type="pct"/>
            <w:tcBorders>
              <w:bottom w:val="single" w:sz="4" w:space="0" w:color="auto"/>
            </w:tcBorders>
            <w:vAlign w:val="bottom"/>
          </w:tcPr>
          <w:p w14:paraId="2277ACDC"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bottom w:val="single" w:sz="4" w:space="0" w:color="auto"/>
            </w:tcBorders>
            <w:vAlign w:val="bottom"/>
          </w:tcPr>
          <w:p w14:paraId="642F2885"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8.265</w:t>
            </w:r>
          </w:p>
        </w:tc>
        <w:tc>
          <w:tcPr>
            <w:tcW w:w="483" w:type="pct"/>
            <w:tcBorders>
              <w:bottom w:val="single" w:sz="4" w:space="0" w:color="auto"/>
            </w:tcBorders>
            <w:vAlign w:val="bottom"/>
          </w:tcPr>
          <w:p w14:paraId="003263CA"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8.265</w:t>
            </w:r>
          </w:p>
        </w:tc>
        <w:tc>
          <w:tcPr>
            <w:tcW w:w="483" w:type="pct"/>
            <w:tcBorders>
              <w:bottom w:val="single" w:sz="4" w:space="0" w:color="auto"/>
            </w:tcBorders>
            <w:vAlign w:val="bottom"/>
          </w:tcPr>
          <w:p w14:paraId="282AFE52"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r>
      <w:tr w:rsidR="008B2FBE" w:rsidRPr="003D1614" w14:paraId="5EB11279" w14:textId="77777777" w:rsidTr="00422DD5">
        <w:trPr>
          <w:trHeight w:hRule="exact" w:val="308"/>
        </w:trPr>
        <w:tc>
          <w:tcPr>
            <w:tcW w:w="1138" w:type="pct"/>
            <w:vAlign w:val="bottom"/>
          </w:tcPr>
          <w:p w14:paraId="76DA2FE4" w14:textId="77777777" w:rsidR="008B2FBE" w:rsidRPr="003D1614" w:rsidRDefault="008B2FBE" w:rsidP="00422DD5">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20" w:name="_Toc67330584"/>
            <w:r w:rsidRPr="003D1614">
              <w:rPr>
                <w:rFonts w:ascii="Arial" w:eastAsia="Calibri" w:hAnsi="Arial" w:cs="Arial"/>
                <w:b/>
                <w:bCs/>
                <w:color w:val="000000" w:themeColor="text1"/>
                <w:sz w:val="15"/>
                <w:szCs w:val="15"/>
              </w:rPr>
              <w:t>Imovina</w:t>
            </w:r>
            <w:bookmarkEnd w:id="920"/>
            <w:r w:rsidRPr="003D1614">
              <w:rPr>
                <w:rFonts w:ascii="Arial" w:eastAsia="Calibri" w:hAnsi="Arial" w:cs="Arial"/>
                <w:b/>
                <w:bCs/>
                <w:color w:val="000000" w:themeColor="text1"/>
                <w:sz w:val="15"/>
                <w:szCs w:val="15"/>
              </w:rPr>
              <w:t xml:space="preserve"> </w:t>
            </w:r>
          </w:p>
        </w:tc>
        <w:tc>
          <w:tcPr>
            <w:tcW w:w="482" w:type="pct"/>
            <w:tcBorders>
              <w:top w:val="nil"/>
              <w:left w:val="nil"/>
              <w:bottom w:val="single" w:sz="8" w:space="0" w:color="auto"/>
              <w:right w:val="nil"/>
            </w:tcBorders>
            <w:vAlign w:val="bottom"/>
          </w:tcPr>
          <w:p w14:paraId="2B6C2934" w14:textId="77777777" w:rsidR="008B2FBE" w:rsidRPr="009D3F79" w:rsidRDefault="008B2FBE" w:rsidP="00422DD5">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526.023</w:t>
            </w:r>
          </w:p>
        </w:tc>
        <w:tc>
          <w:tcPr>
            <w:tcW w:w="483" w:type="pct"/>
            <w:tcBorders>
              <w:top w:val="nil"/>
              <w:left w:val="nil"/>
              <w:bottom w:val="single" w:sz="8" w:space="0" w:color="auto"/>
              <w:right w:val="nil"/>
            </w:tcBorders>
            <w:vAlign w:val="bottom"/>
          </w:tcPr>
          <w:p w14:paraId="6F756E9A" w14:textId="77777777" w:rsidR="008B2FBE" w:rsidRPr="009D3F79" w:rsidRDefault="008B2FBE" w:rsidP="00422DD5">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194.347</w:t>
            </w:r>
          </w:p>
        </w:tc>
        <w:tc>
          <w:tcPr>
            <w:tcW w:w="483" w:type="pct"/>
            <w:tcBorders>
              <w:top w:val="nil"/>
              <w:left w:val="nil"/>
              <w:bottom w:val="single" w:sz="8" w:space="0" w:color="auto"/>
              <w:right w:val="nil"/>
            </w:tcBorders>
            <w:vAlign w:val="bottom"/>
          </w:tcPr>
          <w:p w14:paraId="07210B6D" w14:textId="77777777" w:rsidR="008B2FBE" w:rsidRPr="009D3F79" w:rsidRDefault="008B2FBE" w:rsidP="00422DD5">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564.148</w:t>
            </w:r>
          </w:p>
        </w:tc>
        <w:tc>
          <w:tcPr>
            <w:tcW w:w="483" w:type="pct"/>
            <w:tcBorders>
              <w:top w:val="nil"/>
              <w:left w:val="nil"/>
              <w:bottom w:val="single" w:sz="8" w:space="0" w:color="auto"/>
              <w:right w:val="nil"/>
            </w:tcBorders>
            <w:vAlign w:val="bottom"/>
          </w:tcPr>
          <w:p w14:paraId="19C00348" w14:textId="77777777" w:rsidR="008B2FBE" w:rsidRPr="009D3F79" w:rsidRDefault="008B2FBE" w:rsidP="00422DD5">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909.035</w:t>
            </w:r>
          </w:p>
        </w:tc>
        <w:tc>
          <w:tcPr>
            <w:tcW w:w="482" w:type="pct"/>
            <w:tcBorders>
              <w:top w:val="nil"/>
              <w:left w:val="nil"/>
              <w:bottom w:val="single" w:sz="8" w:space="0" w:color="auto"/>
              <w:right w:val="nil"/>
            </w:tcBorders>
            <w:vAlign w:val="bottom"/>
          </w:tcPr>
          <w:p w14:paraId="764A9AD9" w14:textId="77777777" w:rsidR="008B2FBE" w:rsidRPr="009D3F79" w:rsidRDefault="008B2FBE" w:rsidP="00422DD5">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1.730.039</w:t>
            </w:r>
          </w:p>
        </w:tc>
        <w:tc>
          <w:tcPr>
            <w:tcW w:w="483" w:type="pct"/>
            <w:tcBorders>
              <w:top w:val="nil"/>
              <w:left w:val="nil"/>
              <w:bottom w:val="single" w:sz="8" w:space="0" w:color="auto"/>
              <w:right w:val="nil"/>
            </w:tcBorders>
            <w:vAlign w:val="bottom"/>
          </w:tcPr>
          <w:p w14:paraId="272371CB" w14:textId="77777777" w:rsidR="008B2FBE" w:rsidRPr="009D3F79" w:rsidRDefault="008B2FBE" w:rsidP="00422DD5">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66.817</w:t>
            </w:r>
          </w:p>
        </w:tc>
        <w:tc>
          <w:tcPr>
            <w:tcW w:w="483" w:type="pct"/>
            <w:tcBorders>
              <w:top w:val="nil"/>
              <w:left w:val="nil"/>
              <w:bottom w:val="single" w:sz="8" w:space="0" w:color="auto"/>
              <w:right w:val="nil"/>
            </w:tcBorders>
            <w:vAlign w:val="bottom"/>
          </w:tcPr>
          <w:p w14:paraId="15D12F12" w14:textId="77777777" w:rsidR="008B2FBE" w:rsidRPr="009D3F79" w:rsidRDefault="008B2FBE" w:rsidP="00422DD5">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3.990.409</w:t>
            </w:r>
          </w:p>
        </w:tc>
        <w:tc>
          <w:tcPr>
            <w:tcW w:w="483" w:type="pct"/>
            <w:tcBorders>
              <w:top w:val="nil"/>
              <w:left w:val="nil"/>
              <w:bottom w:val="single" w:sz="8" w:space="0" w:color="auto"/>
              <w:right w:val="nil"/>
            </w:tcBorders>
            <w:vAlign w:val="bottom"/>
          </w:tcPr>
          <w:p w14:paraId="15079378" w14:textId="77777777" w:rsidR="008B2FBE" w:rsidRPr="009D3F79" w:rsidRDefault="008B2FBE" w:rsidP="00422DD5">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3.799.832</w:t>
            </w:r>
          </w:p>
        </w:tc>
      </w:tr>
      <w:tr w:rsidR="008B2FBE" w:rsidRPr="003D1614" w14:paraId="394ED833" w14:textId="77777777" w:rsidTr="00422DD5">
        <w:trPr>
          <w:trHeight w:hRule="exact" w:val="187"/>
        </w:trPr>
        <w:tc>
          <w:tcPr>
            <w:tcW w:w="1138" w:type="pct"/>
            <w:vAlign w:val="bottom"/>
          </w:tcPr>
          <w:p w14:paraId="4A1E886B" w14:textId="77777777" w:rsidR="008B2FBE" w:rsidRPr="003D1614" w:rsidRDefault="008B2FBE" w:rsidP="00422DD5">
            <w:pPr>
              <w:tabs>
                <w:tab w:val="right" w:pos="1202"/>
              </w:tabs>
              <w:suppressAutoHyphens/>
              <w:autoSpaceDN w:val="0"/>
              <w:spacing w:line="240" w:lineRule="exact"/>
              <w:outlineLvl w:val="0"/>
              <w:rPr>
                <w:rFonts w:ascii="Arial" w:eastAsia="Calibri" w:hAnsi="Arial" w:cs="Arial"/>
                <w:b/>
                <w:bCs/>
                <w:color w:val="000000" w:themeColor="text1"/>
                <w:sz w:val="15"/>
                <w:szCs w:val="15"/>
              </w:rPr>
            </w:pPr>
          </w:p>
        </w:tc>
        <w:tc>
          <w:tcPr>
            <w:tcW w:w="482" w:type="pct"/>
            <w:tcBorders>
              <w:top w:val="single" w:sz="12" w:space="0" w:color="auto"/>
              <w:left w:val="nil"/>
              <w:right w:val="nil"/>
            </w:tcBorders>
            <w:vAlign w:val="bottom"/>
          </w:tcPr>
          <w:p w14:paraId="10645042" w14:textId="77777777" w:rsidR="008B2FBE" w:rsidRPr="009D3F79" w:rsidRDefault="008B2FBE" w:rsidP="00422DD5">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7367B037" w14:textId="77777777" w:rsidR="008B2FBE" w:rsidRPr="009D3F79" w:rsidRDefault="008B2FBE" w:rsidP="00422DD5">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6BE02FAE" w14:textId="77777777" w:rsidR="008B2FBE" w:rsidRPr="009D3F79" w:rsidRDefault="008B2FBE" w:rsidP="00422DD5">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1292103D" w14:textId="77777777" w:rsidR="008B2FBE" w:rsidRPr="009D3F79" w:rsidRDefault="008B2FBE" w:rsidP="00422DD5">
            <w:pPr>
              <w:suppressAutoHyphens/>
              <w:autoSpaceDN w:val="0"/>
              <w:jc w:val="right"/>
              <w:rPr>
                <w:rFonts w:ascii="Arial" w:eastAsia="Calibri" w:hAnsi="Arial" w:cs="Arial"/>
                <w:bCs/>
                <w:color w:val="000000" w:themeColor="text1"/>
                <w:sz w:val="15"/>
                <w:szCs w:val="15"/>
              </w:rPr>
            </w:pPr>
          </w:p>
        </w:tc>
        <w:tc>
          <w:tcPr>
            <w:tcW w:w="482" w:type="pct"/>
            <w:tcBorders>
              <w:top w:val="single" w:sz="12" w:space="0" w:color="auto"/>
              <w:left w:val="nil"/>
              <w:right w:val="nil"/>
            </w:tcBorders>
            <w:vAlign w:val="bottom"/>
          </w:tcPr>
          <w:p w14:paraId="0885A88A" w14:textId="77777777" w:rsidR="008B2FBE" w:rsidRPr="009D3F79" w:rsidRDefault="008B2FBE" w:rsidP="00422DD5">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0A9F6857" w14:textId="77777777" w:rsidR="008B2FBE" w:rsidRPr="009D3F79" w:rsidRDefault="008B2FBE" w:rsidP="00422DD5">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2072798B" w14:textId="77777777" w:rsidR="008B2FBE" w:rsidRPr="009D3F79" w:rsidRDefault="008B2FBE" w:rsidP="00422DD5">
            <w:pPr>
              <w:suppressAutoHyphens/>
              <w:autoSpaceDN w:val="0"/>
              <w:jc w:val="right"/>
              <w:rPr>
                <w:rFonts w:ascii="Arial" w:eastAsia="Calibri" w:hAnsi="Arial" w:cs="Arial"/>
                <w:bCs/>
                <w:color w:val="000000" w:themeColor="text1"/>
                <w:sz w:val="15"/>
                <w:szCs w:val="15"/>
              </w:rPr>
            </w:pPr>
          </w:p>
        </w:tc>
        <w:tc>
          <w:tcPr>
            <w:tcW w:w="483" w:type="pct"/>
            <w:tcBorders>
              <w:top w:val="single" w:sz="12" w:space="0" w:color="auto"/>
              <w:left w:val="nil"/>
              <w:right w:val="nil"/>
            </w:tcBorders>
            <w:vAlign w:val="bottom"/>
          </w:tcPr>
          <w:p w14:paraId="62AD9C37" w14:textId="77777777" w:rsidR="008B2FBE" w:rsidRPr="009D3F79" w:rsidRDefault="008B2FBE" w:rsidP="00422DD5">
            <w:pPr>
              <w:suppressAutoHyphens/>
              <w:autoSpaceDN w:val="0"/>
              <w:jc w:val="right"/>
              <w:rPr>
                <w:rFonts w:ascii="Arial" w:eastAsia="Calibri" w:hAnsi="Arial" w:cs="Arial"/>
                <w:bCs/>
                <w:color w:val="000000" w:themeColor="text1"/>
                <w:sz w:val="15"/>
                <w:szCs w:val="15"/>
              </w:rPr>
            </w:pPr>
          </w:p>
        </w:tc>
      </w:tr>
      <w:tr w:rsidR="008B2FBE" w:rsidRPr="003D1614" w14:paraId="2B1083A4" w14:textId="77777777" w:rsidTr="00422DD5">
        <w:trPr>
          <w:trHeight w:hRule="exact" w:val="235"/>
        </w:trPr>
        <w:tc>
          <w:tcPr>
            <w:tcW w:w="1138" w:type="pct"/>
          </w:tcPr>
          <w:p w14:paraId="20C8FDC9" w14:textId="77777777" w:rsidR="008B2FBE" w:rsidRPr="003D1614" w:rsidRDefault="008B2FBE" w:rsidP="00422DD5">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21" w:name="_Toc67330585"/>
            <w:r w:rsidRPr="003D1614">
              <w:rPr>
                <w:rFonts w:ascii="Arial" w:eastAsia="Calibri" w:hAnsi="Arial" w:cs="Arial"/>
                <w:b/>
                <w:bCs/>
                <w:color w:val="000000" w:themeColor="text1"/>
                <w:sz w:val="15"/>
                <w:szCs w:val="15"/>
              </w:rPr>
              <w:t>Obveze</w:t>
            </w:r>
            <w:bookmarkEnd w:id="921"/>
          </w:p>
        </w:tc>
        <w:tc>
          <w:tcPr>
            <w:tcW w:w="482" w:type="pct"/>
            <w:tcBorders>
              <w:left w:val="nil"/>
              <w:right w:val="nil"/>
            </w:tcBorders>
            <w:vAlign w:val="bottom"/>
          </w:tcPr>
          <w:p w14:paraId="59BCD904" w14:textId="77777777" w:rsidR="008B2FBE" w:rsidRPr="009D3F79" w:rsidRDefault="008B2FBE" w:rsidP="00422DD5">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3CDE55DB" w14:textId="77777777" w:rsidR="008B2FBE" w:rsidRPr="009D3F79" w:rsidRDefault="008B2FBE" w:rsidP="00422DD5">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38907F83" w14:textId="77777777" w:rsidR="008B2FBE" w:rsidRPr="009D3F79" w:rsidRDefault="008B2FBE" w:rsidP="00422DD5">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1A788CF9" w14:textId="77777777" w:rsidR="008B2FBE" w:rsidRPr="009D3F79" w:rsidRDefault="008B2FBE" w:rsidP="00422DD5">
            <w:pPr>
              <w:suppressAutoHyphens/>
              <w:autoSpaceDN w:val="0"/>
              <w:jc w:val="right"/>
              <w:rPr>
                <w:rFonts w:ascii="Arial" w:eastAsia="Calibri" w:hAnsi="Arial" w:cs="Arial"/>
                <w:bCs/>
                <w:color w:val="000000" w:themeColor="text1"/>
                <w:sz w:val="15"/>
                <w:szCs w:val="15"/>
              </w:rPr>
            </w:pPr>
          </w:p>
        </w:tc>
        <w:tc>
          <w:tcPr>
            <w:tcW w:w="482" w:type="pct"/>
            <w:tcBorders>
              <w:left w:val="nil"/>
              <w:right w:val="nil"/>
            </w:tcBorders>
            <w:vAlign w:val="bottom"/>
          </w:tcPr>
          <w:p w14:paraId="1DC4F1C5" w14:textId="77777777" w:rsidR="008B2FBE" w:rsidRPr="009D3F79" w:rsidRDefault="008B2FBE" w:rsidP="00422DD5">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277BC6B8" w14:textId="77777777" w:rsidR="008B2FBE" w:rsidRPr="009D3F79" w:rsidRDefault="008B2FBE" w:rsidP="00422DD5">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52834481" w14:textId="77777777" w:rsidR="008B2FBE" w:rsidRPr="009D3F79" w:rsidRDefault="008B2FBE" w:rsidP="00422DD5">
            <w:pPr>
              <w:suppressAutoHyphens/>
              <w:autoSpaceDN w:val="0"/>
              <w:jc w:val="right"/>
              <w:rPr>
                <w:rFonts w:ascii="Arial" w:eastAsia="Calibri" w:hAnsi="Arial" w:cs="Arial"/>
                <w:bCs/>
                <w:color w:val="000000" w:themeColor="text1"/>
                <w:sz w:val="15"/>
                <w:szCs w:val="15"/>
              </w:rPr>
            </w:pPr>
          </w:p>
        </w:tc>
        <w:tc>
          <w:tcPr>
            <w:tcW w:w="483" w:type="pct"/>
            <w:tcBorders>
              <w:left w:val="nil"/>
              <w:right w:val="nil"/>
            </w:tcBorders>
            <w:vAlign w:val="bottom"/>
          </w:tcPr>
          <w:p w14:paraId="10E7E388" w14:textId="77777777" w:rsidR="008B2FBE" w:rsidRPr="009D3F79" w:rsidRDefault="008B2FBE" w:rsidP="00422DD5">
            <w:pPr>
              <w:suppressAutoHyphens/>
              <w:autoSpaceDN w:val="0"/>
              <w:jc w:val="right"/>
              <w:rPr>
                <w:rFonts w:ascii="Arial" w:eastAsia="Calibri" w:hAnsi="Arial" w:cs="Arial"/>
                <w:bCs/>
                <w:color w:val="000000" w:themeColor="text1"/>
                <w:sz w:val="15"/>
                <w:szCs w:val="15"/>
              </w:rPr>
            </w:pPr>
          </w:p>
        </w:tc>
      </w:tr>
      <w:tr w:rsidR="008B2FBE" w:rsidRPr="003D1614" w14:paraId="7F53F1DB" w14:textId="77777777" w:rsidTr="00422DD5">
        <w:trPr>
          <w:trHeight w:hRule="exact" w:val="262"/>
        </w:trPr>
        <w:tc>
          <w:tcPr>
            <w:tcW w:w="1138" w:type="pct"/>
            <w:vAlign w:val="bottom"/>
          </w:tcPr>
          <w:p w14:paraId="3396FD00" w14:textId="77777777" w:rsidR="008B2FBE" w:rsidRPr="003D1614" w:rsidRDefault="008B2FBE" w:rsidP="00422DD5">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22" w:name="_Toc67330586"/>
            <w:r w:rsidRPr="003D1614">
              <w:rPr>
                <w:rFonts w:ascii="Arial" w:eastAsia="Calibri" w:hAnsi="Arial" w:cs="Arial"/>
                <w:color w:val="000000" w:themeColor="text1"/>
                <w:spacing w:val="-2"/>
                <w:sz w:val="15"/>
                <w:szCs w:val="15"/>
              </w:rPr>
              <w:t>Obveze po depozitima</w:t>
            </w:r>
            <w:bookmarkEnd w:id="922"/>
          </w:p>
        </w:tc>
        <w:tc>
          <w:tcPr>
            <w:tcW w:w="482" w:type="pct"/>
            <w:tcBorders>
              <w:top w:val="nil"/>
              <w:left w:val="nil"/>
              <w:bottom w:val="nil"/>
              <w:right w:val="nil"/>
            </w:tcBorders>
            <w:vAlign w:val="bottom"/>
          </w:tcPr>
          <w:p w14:paraId="4274BB59"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76.412</w:t>
            </w:r>
          </w:p>
        </w:tc>
        <w:tc>
          <w:tcPr>
            <w:tcW w:w="483" w:type="pct"/>
            <w:tcBorders>
              <w:top w:val="nil"/>
              <w:left w:val="nil"/>
              <w:bottom w:val="nil"/>
              <w:right w:val="nil"/>
            </w:tcBorders>
            <w:vAlign w:val="bottom"/>
          </w:tcPr>
          <w:p w14:paraId="134410B7"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nil"/>
              <w:right w:val="nil"/>
            </w:tcBorders>
            <w:vAlign w:val="bottom"/>
          </w:tcPr>
          <w:p w14:paraId="3541E59E"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nil"/>
              <w:right w:val="nil"/>
            </w:tcBorders>
            <w:vAlign w:val="bottom"/>
          </w:tcPr>
          <w:p w14:paraId="3C12AD86"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2" w:type="pct"/>
            <w:tcBorders>
              <w:top w:val="nil"/>
              <w:left w:val="nil"/>
              <w:bottom w:val="nil"/>
              <w:right w:val="nil"/>
            </w:tcBorders>
            <w:vAlign w:val="bottom"/>
          </w:tcPr>
          <w:p w14:paraId="3397C054"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nil"/>
              <w:right w:val="nil"/>
            </w:tcBorders>
            <w:vAlign w:val="bottom"/>
          </w:tcPr>
          <w:p w14:paraId="5FBA1767"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102.097</w:t>
            </w:r>
          </w:p>
        </w:tc>
        <w:tc>
          <w:tcPr>
            <w:tcW w:w="483" w:type="pct"/>
            <w:tcBorders>
              <w:top w:val="nil"/>
              <w:left w:val="nil"/>
              <w:bottom w:val="nil"/>
              <w:right w:val="nil"/>
            </w:tcBorders>
            <w:vAlign w:val="bottom"/>
          </w:tcPr>
          <w:p w14:paraId="0120AFCD"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178.509</w:t>
            </w:r>
          </w:p>
        </w:tc>
        <w:tc>
          <w:tcPr>
            <w:tcW w:w="483" w:type="pct"/>
            <w:tcBorders>
              <w:top w:val="nil"/>
              <w:left w:val="nil"/>
              <w:bottom w:val="nil"/>
              <w:right w:val="nil"/>
            </w:tcBorders>
            <w:vAlign w:val="bottom"/>
          </w:tcPr>
          <w:p w14:paraId="5E04F5BB"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76.412</w:t>
            </w:r>
          </w:p>
        </w:tc>
      </w:tr>
      <w:tr w:rsidR="008B2FBE" w:rsidRPr="003D1614" w14:paraId="246EADEE" w14:textId="77777777" w:rsidTr="00422DD5">
        <w:trPr>
          <w:trHeight w:hRule="exact" w:val="254"/>
        </w:trPr>
        <w:tc>
          <w:tcPr>
            <w:tcW w:w="1138" w:type="pct"/>
            <w:vAlign w:val="bottom"/>
          </w:tcPr>
          <w:p w14:paraId="52724B94" w14:textId="77777777" w:rsidR="008B2FBE" w:rsidRPr="003D1614" w:rsidRDefault="008B2FBE" w:rsidP="00422DD5">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23" w:name="_Toc67330587"/>
            <w:r w:rsidRPr="003D1614">
              <w:rPr>
                <w:rFonts w:ascii="Arial" w:eastAsia="Calibri" w:hAnsi="Arial" w:cs="Arial"/>
                <w:color w:val="000000" w:themeColor="text1"/>
                <w:spacing w:val="-2"/>
                <w:sz w:val="15"/>
                <w:szCs w:val="15"/>
              </w:rPr>
              <w:t>Obveze po kreditima</w:t>
            </w:r>
            <w:bookmarkEnd w:id="923"/>
          </w:p>
        </w:tc>
        <w:tc>
          <w:tcPr>
            <w:tcW w:w="482" w:type="pct"/>
            <w:tcBorders>
              <w:top w:val="nil"/>
              <w:left w:val="nil"/>
              <w:bottom w:val="nil"/>
              <w:right w:val="nil"/>
            </w:tcBorders>
            <w:vAlign w:val="bottom"/>
          </w:tcPr>
          <w:p w14:paraId="05CA51B3"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102.022</w:t>
            </w:r>
          </w:p>
        </w:tc>
        <w:tc>
          <w:tcPr>
            <w:tcW w:w="483" w:type="pct"/>
            <w:tcBorders>
              <w:top w:val="nil"/>
              <w:left w:val="nil"/>
              <w:bottom w:val="nil"/>
              <w:right w:val="nil"/>
            </w:tcBorders>
            <w:vAlign w:val="bottom"/>
          </w:tcPr>
          <w:p w14:paraId="3DACE6D7"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105.641</w:t>
            </w:r>
          </w:p>
        </w:tc>
        <w:tc>
          <w:tcPr>
            <w:tcW w:w="483" w:type="pct"/>
            <w:tcBorders>
              <w:top w:val="nil"/>
              <w:left w:val="nil"/>
              <w:bottom w:val="nil"/>
              <w:right w:val="nil"/>
            </w:tcBorders>
            <w:vAlign w:val="bottom"/>
          </w:tcPr>
          <w:p w14:paraId="2D20A365"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305.254</w:t>
            </w:r>
          </w:p>
        </w:tc>
        <w:tc>
          <w:tcPr>
            <w:tcW w:w="483" w:type="pct"/>
            <w:tcBorders>
              <w:top w:val="nil"/>
              <w:left w:val="nil"/>
              <w:bottom w:val="nil"/>
              <w:right w:val="nil"/>
            </w:tcBorders>
            <w:vAlign w:val="bottom"/>
          </w:tcPr>
          <w:p w14:paraId="582912A3"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639.834</w:t>
            </w:r>
          </w:p>
        </w:tc>
        <w:tc>
          <w:tcPr>
            <w:tcW w:w="482" w:type="pct"/>
            <w:tcBorders>
              <w:top w:val="nil"/>
              <w:left w:val="nil"/>
              <w:bottom w:val="nil"/>
              <w:right w:val="nil"/>
            </w:tcBorders>
            <w:vAlign w:val="bottom"/>
          </w:tcPr>
          <w:p w14:paraId="3ABCD2DA"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1.068.097</w:t>
            </w:r>
          </w:p>
        </w:tc>
        <w:tc>
          <w:tcPr>
            <w:tcW w:w="483" w:type="pct"/>
            <w:tcBorders>
              <w:top w:val="nil"/>
              <w:left w:val="nil"/>
              <w:bottom w:val="nil"/>
              <w:right w:val="nil"/>
            </w:tcBorders>
            <w:vAlign w:val="bottom"/>
          </w:tcPr>
          <w:p w14:paraId="78F1D4A7"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8.481</w:t>
            </w:r>
          </w:p>
        </w:tc>
        <w:tc>
          <w:tcPr>
            <w:tcW w:w="483" w:type="pct"/>
            <w:tcBorders>
              <w:top w:val="nil"/>
              <w:left w:val="nil"/>
              <w:bottom w:val="nil"/>
              <w:right w:val="nil"/>
            </w:tcBorders>
            <w:vAlign w:val="bottom"/>
          </w:tcPr>
          <w:p w14:paraId="7077F43D"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2.229.329</w:t>
            </w:r>
          </w:p>
        </w:tc>
        <w:tc>
          <w:tcPr>
            <w:tcW w:w="483" w:type="pct"/>
            <w:tcBorders>
              <w:top w:val="nil"/>
              <w:left w:val="nil"/>
              <w:bottom w:val="nil"/>
              <w:right w:val="nil"/>
            </w:tcBorders>
            <w:vAlign w:val="bottom"/>
          </w:tcPr>
          <w:p w14:paraId="44E1C5D1"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2.160.624</w:t>
            </w:r>
          </w:p>
        </w:tc>
      </w:tr>
      <w:tr w:rsidR="008B2FBE" w:rsidRPr="003D1614" w14:paraId="4D323C37" w14:textId="77777777" w:rsidTr="00422DD5">
        <w:trPr>
          <w:trHeight w:hRule="exact" w:val="468"/>
        </w:trPr>
        <w:tc>
          <w:tcPr>
            <w:tcW w:w="1138" w:type="pct"/>
            <w:vAlign w:val="bottom"/>
          </w:tcPr>
          <w:p w14:paraId="4513567B" w14:textId="77777777" w:rsidR="008B2FBE" w:rsidRPr="003D1614" w:rsidRDefault="008B2FBE" w:rsidP="00422DD5">
            <w:pPr>
              <w:tabs>
                <w:tab w:val="right" w:pos="1202"/>
              </w:tabs>
              <w:suppressAutoHyphens/>
              <w:autoSpaceDN w:val="0"/>
              <w:spacing w:line="240" w:lineRule="exact"/>
              <w:outlineLvl w:val="0"/>
              <w:rPr>
                <w:rFonts w:ascii="Arial" w:eastAsia="Calibri" w:hAnsi="Arial" w:cs="Arial"/>
                <w:color w:val="000000" w:themeColor="text1"/>
                <w:spacing w:val="-2"/>
                <w:sz w:val="15"/>
                <w:szCs w:val="15"/>
              </w:rPr>
            </w:pPr>
            <w:bookmarkStart w:id="924" w:name="_Toc67330589"/>
            <w:r w:rsidRPr="003D1614">
              <w:rPr>
                <w:rFonts w:ascii="Arial" w:eastAsia="Calibri" w:hAnsi="Arial" w:cs="Arial"/>
                <w:color w:val="000000" w:themeColor="text1"/>
                <w:spacing w:val="-2"/>
                <w:sz w:val="15"/>
                <w:szCs w:val="15"/>
              </w:rPr>
              <w:t>Rezerviranja za garancije, preuzete i ostale obveze</w:t>
            </w:r>
            <w:bookmarkEnd w:id="924"/>
          </w:p>
        </w:tc>
        <w:tc>
          <w:tcPr>
            <w:tcW w:w="482" w:type="pct"/>
            <w:tcBorders>
              <w:top w:val="nil"/>
              <w:left w:val="nil"/>
              <w:bottom w:val="nil"/>
              <w:right w:val="nil"/>
            </w:tcBorders>
            <w:vAlign w:val="bottom"/>
          </w:tcPr>
          <w:p w14:paraId="11E9906B" w14:textId="77777777" w:rsidR="008B2FBE" w:rsidRPr="003D1614" w:rsidDel="00344206"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nil"/>
              <w:right w:val="nil"/>
            </w:tcBorders>
            <w:vAlign w:val="bottom"/>
          </w:tcPr>
          <w:p w14:paraId="48560348" w14:textId="77777777" w:rsidR="008B2FBE" w:rsidRPr="003D1614" w:rsidDel="00344206"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nil"/>
              <w:right w:val="nil"/>
            </w:tcBorders>
            <w:vAlign w:val="bottom"/>
          </w:tcPr>
          <w:p w14:paraId="26C8B3A7" w14:textId="77777777" w:rsidR="008B2FBE" w:rsidRPr="003D1614" w:rsidDel="00344206"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nil"/>
              <w:right w:val="nil"/>
            </w:tcBorders>
            <w:vAlign w:val="bottom"/>
          </w:tcPr>
          <w:p w14:paraId="7CA0E6FB" w14:textId="77777777" w:rsidR="008B2FBE" w:rsidRPr="003D1614" w:rsidDel="00344206"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2" w:type="pct"/>
            <w:tcBorders>
              <w:top w:val="nil"/>
              <w:left w:val="nil"/>
              <w:bottom w:val="nil"/>
              <w:right w:val="nil"/>
            </w:tcBorders>
            <w:vAlign w:val="bottom"/>
          </w:tcPr>
          <w:p w14:paraId="43CA18CE" w14:textId="77777777" w:rsidR="008B2FBE" w:rsidRPr="003D1614" w:rsidDel="00344206"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nil"/>
              <w:right w:val="nil"/>
            </w:tcBorders>
            <w:vAlign w:val="bottom"/>
          </w:tcPr>
          <w:p w14:paraId="3B2666C9" w14:textId="77777777" w:rsidR="008B2FBE" w:rsidRPr="003D1614" w:rsidDel="00344206"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21.833</w:t>
            </w:r>
          </w:p>
        </w:tc>
        <w:tc>
          <w:tcPr>
            <w:tcW w:w="483" w:type="pct"/>
            <w:tcBorders>
              <w:top w:val="nil"/>
              <w:left w:val="nil"/>
              <w:bottom w:val="nil"/>
              <w:right w:val="nil"/>
            </w:tcBorders>
            <w:vAlign w:val="bottom"/>
          </w:tcPr>
          <w:p w14:paraId="4B41FF97" w14:textId="77777777" w:rsidR="008B2FBE" w:rsidRPr="003D1614" w:rsidDel="00344206"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21.833</w:t>
            </w:r>
          </w:p>
        </w:tc>
        <w:tc>
          <w:tcPr>
            <w:tcW w:w="483" w:type="pct"/>
            <w:tcBorders>
              <w:top w:val="nil"/>
              <w:left w:val="nil"/>
              <w:bottom w:val="nil"/>
              <w:right w:val="nil"/>
            </w:tcBorders>
            <w:vAlign w:val="bottom"/>
          </w:tcPr>
          <w:p w14:paraId="3DF72424" w14:textId="77777777" w:rsidR="008B2FBE" w:rsidRPr="003D1614" w:rsidDel="00344206"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r>
      <w:tr w:rsidR="008B2FBE" w:rsidRPr="003D1614" w14:paraId="1DBE055D" w14:textId="77777777" w:rsidTr="00422DD5">
        <w:trPr>
          <w:trHeight w:hRule="exact" w:val="251"/>
        </w:trPr>
        <w:tc>
          <w:tcPr>
            <w:tcW w:w="1138" w:type="pct"/>
            <w:vAlign w:val="bottom"/>
          </w:tcPr>
          <w:p w14:paraId="1B3CDA3B" w14:textId="77777777" w:rsidR="008B2FBE" w:rsidRPr="003D1614" w:rsidRDefault="008B2FBE" w:rsidP="00422DD5">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25" w:name="_Toc67330590"/>
            <w:r w:rsidRPr="003D1614">
              <w:rPr>
                <w:rFonts w:ascii="Arial" w:eastAsia="Calibri" w:hAnsi="Arial" w:cs="Arial"/>
                <w:color w:val="000000" w:themeColor="text1"/>
                <w:spacing w:val="-2"/>
                <w:sz w:val="15"/>
                <w:szCs w:val="15"/>
              </w:rPr>
              <w:t>Ostale obveze</w:t>
            </w:r>
            <w:bookmarkEnd w:id="925"/>
          </w:p>
        </w:tc>
        <w:tc>
          <w:tcPr>
            <w:tcW w:w="482" w:type="pct"/>
            <w:tcBorders>
              <w:top w:val="nil"/>
              <w:left w:val="nil"/>
              <w:bottom w:val="nil"/>
              <w:right w:val="nil"/>
            </w:tcBorders>
            <w:vAlign w:val="bottom"/>
          </w:tcPr>
          <w:p w14:paraId="088CD185"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nil"/>
              <w:right w:val="nil"/>
            </w:tcBorders>
            <w:vAlign w:val="bottom"/>
          </w:tcPr>
          <w:p w14:paraId="1D4E84C1"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nil"/>
              <w:right w:val="nil"/>
            </w:tcBorders>
            <w:vAlign w:val="bottom"/>
          </w:tcPr>
          <w:p w14:paraId="6847A4BF"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bottom w:val="nil"/>
              <w:right w:val="nil"/>
            </w:tcBorders>
            <w:vAlign w:val="bottom"/>
          </w:tcPr>
          <w:p w14:paraId="1F881BEA"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2" w:type="pct"/>
            <w:tcBorders>
              <w:top w:val="nil"/>
              <w:left w:val="nil"/>
              <w:bottom w:val="nil"/>
              <w:right w:val="nil"/>
            </w:tcBorders>
            <w:vAlign w:val="bottom"/>
          </w:tcPr>
          <w:p w14:paraId="43A3A265"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3" w:type="pct"/>
            <w:tcBorders>
              <w:top w:val="nil"/>
              <w:left w:val="nil"/>
              <w:right w:val="nil"/>
            </w:tcBorders>
            <w:vAlign w:val="bottom"/>
          </w:tcPr>
          <w:p w14:paraId="7799D3FB"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92.911</w:t>
            </w:r>
          </w:p>
        </w:tc>
        <w:tc>
          <w:tcPr>
            <w:tcW w:w="483" w:type="pct"/>
            <w:tcBorders>
              <w:top w:val="nil"/>
              <w:left w:val="nil"/>
              <w:right w:val="nil"/>
            </w:tcBorders>
            <w:vAlign w:val="bottom"/>
          </w:tcPr>
          <w:p w14:paraId="63663579"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92.911</w:t>
            </w:r>
          </w:p>
        </w:tc>
        <w:tc>
          <w:tcPr>
            <w:tcW w:w="483" w:type="pct"/>
            <w:tcBorders>
              <w:top w:val="nil"/>
              <w:left w:val="nil"/>
              <w:right w:val="nil"/>
            </w:tcBorders>
            <w:vAlign w:val="bottom"/>
          </w:tcPr>
          <w:p w14:paraId="631E555F" w14:textId="77777777" w:rsidR="008B2FBE" w:rsidRPr="003D1614" w:rsidRDefault="008B2FBE" w:rsidP="00422DD5">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r>
      <w:tr w:rsidR="008B2FBE" w:rsidRPr="003D1614" w14:paraId="374A30E6" w14:textId="77777777" w:rsidTr="00422DD5">
        <w:trPr>
          <w:trHeight w:hRule="exact" w:val="281"/>
        </w:trPr>
        <w:tc>
          <w:tcPr>
            <w:tcW w:w="1138" w:type="pct"/>
            <w:vAlign w:val="bottom"/>
          </w:tcPr>
          <w:p w14:paraId="1DE09130" w14:textId="77777777" w:rsidR="008B2FBE" w:rsidRPr="003D1614" w:rsidRDefault="008B2FBE" w:rsidP="00422DD5">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26" w:name="_Toc67330591"/>
            <w:r w:rsidRPr="003D1614">
              <w:rPr>
                <w:rFonts w:ascii="Arial" w:eastAsia="Calibri" w:hAnsi="Arial" w:cs="Arial"/>
                <w:b/>
                <w:bCs/>
                <w:color w:val="000000" w:themeColor="text1"/>
                <w:sz w:val="15"/>
                <w:szCs w:val="15"/>
              </w:rPr>
              <w:t>Obveze</w:t>
            </w:r>
            <w:bookmarkEnd w:id="926"/>
          </w:p>
        </w:tc>
        <w:tc>
          <w:tcPr>
            <w:tcW w:w="482" w:type="pct"/>
            <w:tcBorders>
              <w:top w:val="single" w:sz="8" w:space="0" w:color="auto"/>
              <w:left w:val="nil"/>
              <w:bottom w:val="single" w:sz="12" w:space="0" w:color="auto"/>
              <w:right w:val="nil"/>
            </w:tcBorders>
            <w:vAlign w:val="bottom"/>
          </w:tcPr>
          <w:p w14:paraId="4B2E8E17" w14:textId="77777777" w:rsidR="008B2FBE" w:rsidRPr="009D3F79" w:rsidRDefault="008B2FBE" w:rsidP="00422DD5">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178.434</w:t>
            </w:r>
          </w:p>
        </w:tc>
        <w:tc>
          <w:tcPr>
            <w:tcW w:w="483" w:type="pct"/>
            <w:tcBorders>
              <w:top w:val="single" w:sz="8" w:space="0" w:color="auto"/>
              <w:left w:val="nil"/>
              <w:bottom w:val="single" w:sz="12" w:space="0" w:color="auto"/>
              <w:right w:val="nil"/>
            </w:tcBorders>
            <w:vAlign w:val="bottom"/>
          </w:tcPr>
          <w:p w14:paraId="540DF646" w14:textId="77777777" w:rsidR="008B2FBE" w:rsidRPr="009D3F79" w:rsidRDefault="008B2FBE" w:rsidP="00422DD5">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105.641</w:t>
            </w:r>
          </w:p>
        </w:tc>
        <w:tc>
          <w:tcPr>
            <w:tcW w:w="483" w:type="pct"/>
            <w:tcBorders>
              <w:top w:val="single" w:sz="8" w:space="0" w:color="auto"/>
              <w:left w:val="nil"/>
              <w:bottom w:val="single" w:sz="12" w:space="0" w:color="auto"/>
              <w:right w:val="nil"/>
            </w:tcBorders>
            <w:vAlign w:val="bottom"/>
          </w:tcPr>
          <w:p w14:paraId="36ADC72D" w14:textId="77777777" w:rsidR="008B2FBE" w:rsidRPr="009D3F79" w:rsidRDefault="008B2FBE" w:rsidP="00422DD5">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305.254</w:t>
            </w:r>
          </w:p>
        </w:tc>
        <w:tc>
          <w:tcPr>
            <w:tcW w:w="483" w:type="pct"/>
            <w:tcBorders>
              <w:top w:val="single" w:sz="8" w:space="0" w:color="auto"/>
              <w:left w:val="nil"/>
              <w:bottom w:val="single" w:sz="12" w:space="0" w:color="auto"/>
              <w:right w:val="nil"/>
            </w:tcBorders>
            <w:vAlign w:val="bottom"/>
          </w:tcPr>
          <w:p w14:paraId="43BEEAD4" w14:textId="77777777" w:rsidR="008B2FBE" w:rsidRPr="009D3F79" w:rsidRDefault="008B2FBE" w:rsidP="00422DD5">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639.834</w:t>
            </w:r>
          </w:p>
        </w:tc>
        <w:tc>
          <w:tcPr>
            <w:tcW w:w="482" w:type="pct"/>
            <w:tcBorders>
              <w:top w:val="single" w:sz="8" w:space="0" w:color="auto"/>
              <w:left w:val="nil"/>
              <w:bottom w:val="single" w:sz="12" w:space="0" w:color="auto"/>
              <w:right w:val="nil"/>
            </w:tcBorders>
            <w:vAlign w:val="bottom"/>
          </w:tcPr>
          <w:p w14:paraId="0E43ACEC" w14:textId="77777777" w:rsidR="008B2FBE" w:rsidRPr="009D3F79" w:rsidRDefault="008B2FBE" w:rsidP="00422DD5">
            <w:pPr>
              <w:suppressAutoHyphens/>
              <w:autoSpaceDN w:val="0"/>
              <w:jc w:val="center"/>
              <w:rPr>
                <w:rFonts w:ascii="Arial" w:eastAsia="Calibri" w:hAnsi="Arial" w:cs="Arial"/>
                <w:b/>
                <w:color w:val="000000" w:themeColor="text1"/>
                <w:sz w:val="15"/>
                <w:szCs w:val="15"/>
              </w:rPr>
            </w:pPr>
            <w:r>
              <w:rPr>
                <w:rFonts w:ascii="Arial" w:eastAsia="Calibri" w:hAnsi="Arial" w:cs="Arial"/>
                <w:b/>
                <w:color w:val="000000" w:themeColor="text1"/>
                <w:sz w:val="15"/>
                <w:szCs w:val="15"/>
              </w:rPr>
              <w:t>1.068.097</w:t>
            </w:r>
          </w:p>
        </w:tc>
        <w:tc>
          <w:tcPr>
            <w:tcW w:w="483" w:type="pct"/>
            <w:tcBorders>
              <w:top w:val="single" w:sz="8" w:space="0" w:color="auto"/>
              <w:left w:val="nil"/>
              <w:bottom w:val="single" w:sz="12" w:space="0" w:color="auto"/>
              <w:right w:val="nil"/>
            </w:tcBorders>
            <w:vAlign w:val="bottom"/>
          </w:tcPr>
          <w:p w14:paraId="554D8E68" w14:textId="77777777" w:rsidR="008B2FBE" w:rsidRPr="009D3F79" w:rsidRDefault="008B2FBE" w:rsidP="00422DD5">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225.322</w:t>
            </w:r>
          </w:p>
        </w:tc>
        <w:tc>
          <w:tcPr>
            <w:tcW w:w="483" w:type="pct"/>
            <w:tcBorders>
              <w:top w:val="single" w:sz="8" w:space="0" w:color="auto"/>
              <w:left w:val="nil"/>
              <w:bottom w:val="single" w:sz="12" w:space="0" w:color="auto"/>
              <w:right w:val="nil"/>
            </w:tcBorders>
            <w:vAlign w:val="bottom"/>
          </w:tcPr>
          <w:p w14:paraId="1B5D2039" w14:textId="77777777" w:rsidR="008B2FBE" w:rsidRPr="009D3F79" w:rsidRDefault="008B2FBE" w:rsidP="00422DD5">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2.522.582</w:t>
            </w:r>
          </w:p>
        </w:tc>
        <w:tc>
          <w:tcPr>
            <w:tcW w:w="483" w:type="pct"/>
            <w:tcBorders>
              <w:top w:val="single" w:sz="8" w:space="0" w:color="auto"/>
              <w:left w:val="nil"/>
              <w:bottom w:val="single" w:sz="12" w:space="0" w:color="auto"/>
              <w:right w:val="nil"/>
            </w:tcBorders>
            <w:vAlign w:val="bottom"/>
          </w:tcPr>
          <w:p w14:paraId="5EA9E885" w14:textId="77777777" w:rsidR="008B2FBE" w:rsidRPr="009D3F79" w:rsidRDefault="008B2FBE" w:rsidP="00422DD5">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2.237.036</w:t>
            </w:r>
          </w:p>
        </w:tc>
      </w:tr>
      <w:tr w:rsidR="008B2FBE" w:rsidRPr="003D1614" w14:paraId="5E625CC0" w14:textId="77777777" w:rsidTr="00422DD5">
        <w:trPr>
          <w:trHeight w:hRule="exact" w:val="285"/>
        </w:trPr>
        <w:tc>
          <w:tcPr>
            <w:tcW w:w="1138" w:type="pct"/>
            <w:vAlign w:val="bottom"/>
          </w:tcPr>
          <w:p w14:paraId="3442C7B0" w14:textId="77777777" w:rsidR="008B2FBE" w:rsidRPr="003D1614" w:rsidRDefault="008B2FBE" w:rsidP="00422DD5">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27" w:name="_Toc67330592"/>
            <w:r w:rsidRPr="003D1614">
              <w:rPr>
                <w:rFonts w:ascii="Arial" w:eastAsia="Calibri" w:hAnsi="Arial" w:cs="Arial"/>
                <w:b/>
                <w:bCs/>
                <w:color w:val="000000" w:themeColor="text1"/>
                <w:spacing w:val="-2"/>
                <w:sz w:val="15"/>
                <w:szCs w:val="15"/>
              </w:rPr>
              <w:t>Kamatni jaz</w:t>
            </w:r>
            <w:bookmarkEnd w:id="927"/>
          </w:p>
        </w:tc>
        <w:tc>
          <w:tcPr>
            <w:tcW w:w="482" w:type="pct"/>
            <w:tcBorders>
              <w:top w:val="nil"/>
              <w:left w:val="nil"/>
              <w:bottom w:val="single" w:sz="12" w:space="0" w:color="auto"/>
              <w:right w:val="nil"/>
            </w:tcBorders>
            <w:shd w:val="clear" w:color="auto" w:fill="auto"/>
            <w:vAlign w:val="bottom"/>
          </w:tcPr>
          <w:p w14:paraId="00F38681" w14:textId="77777777" w:rsidR="008B2FBE" w:rsidRPr="009D3F79" w:rsidRDefault="008B2FBE" w:rsidP="00422DD5">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347.589</w:t>
            </w:r>
          </w:p>
        </w:tc>
        <w:tc>
          <w:tcPr>
            <w:tcW w:w="483" w:type="pct"/>
            <w:tcBorders>
              <w:top w:val="nil"/>
              <w:left w:val="nil"/>
              <w:bottom w:val="single" w:sz="12" w:space="0" w:color="auto"/>
              <w:right w:val="nil"/>
            </w:tcBorders>
            <w:shd w:val="clear" w:color="auto" w:fill="auto"/>
            <w:vAlign w:val="bottom"/>
          </w:tcPr>
          <w:p w14:paraId="197BB4FE" w14:textId="77777777" w:rsidR="008B2FBE" w:rsidRPr="009D3F79" w:rsidRDefault="008B2FBE" w:rsidP="00422DD5">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88.706</w:t>
            </w:r>
          </w:p>
        </w:tc>
        <w:tc>
          <w:tcPr>
            <w:tcW w:w="483" w:type="pct"/>
            <w:tcBorders>
              <w:top w:val="nil"/>
              <w:left w:val="nil"/>
              <w:bottom w:val="single" w:sz="12" w:space="0" w:color="auto"/>
              <w:right w:val="nil"/>
            </w:tcBorders>
            <w:shd w:val="clear" w:color="auto" w:fill="auto"/>
            <w:vAlign w:val="bottom"/>
          </w:tcPr>
          <w:p w14:paraId="39DB3B9B" w14:textId="77777777" w:rsidR="008B2FBE" w:rsidRPr="009D3F79" w:rsidRDefault="008B2FBE" w:rsidP="00422DD5">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258.894</w:t>
            </w:r>
          </w:p>
        </w:tc>
        <w:tc>
          <w:tcPr>
            <w:tcW w:w="483" w:type="pct"/>
            <w:tcBorders>
              <w:top w:val="nil"/>
              <w:left w:val="nil"/>
              <w:bottom w:val="single" w:sz="12" w:space="0" w:color="auto"/>
              <w:right w:val="nil"/>
            </w:tcBorders>
            <w:shd w:val="clear" w:color="auto" w:fill="auto"/>
            <w:vAlign w:val="bottom"/>
          </w:tcPr>
          <w:p w14:paraId="2A8A8BA7" w14:textId="77777777" w:rsidR="008B2FBE" w:rsidRPr="009D3F79" w:rsidRDefault="008B2FBE" w:rsidP="00422DD5">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269.201</w:t>
            </w:r>
          </w:p>
        </w:tc>
        <w:tc>
          <w:tcPr>
            <w:tcW w:w="482" w:type="pct"/>
            <w:tcBorders>
              <w:top w:val="nil"/>
              <w:left w:val="nil"/>
              <w:bottom w:val="single" w:sz="12" w:space="0" w:color="auto"/>
              <w:right w:val="nil"/>
            </w:tcBorders>
            <w:shd w:val="clear" w:color="auto" w:fill="auto"/>
            <w:vAlign w:val="bottom"/>
          </w:tcPr>
          <w:p w14:paraId="201C5BD6" w14:textId="77777777" w:rsidR="008B2FBE" w:rsidRPr="009D3F79" w:rsidRDefault="008B2FBE" w:rsidP="00422DD5">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661.942</w:t>
            </w:r>
          </w:p>
        </w:tc>
        <w:tc>
          <w:tcPr>
            <w:tcW w:w="483" w:type="pct"/>
            <w:tcBorders>
              <w:top w:val="nil"/>
              <w:left w:val="nil"/>
              <w:bottom w:val="single" w:sz="12" w:space="0" w:color="auto"/>
              <w:right w:val="nil"/>
            </w:tcBorders>
            <w:shd w:val="clear" w:color="auto" w:fill="auto"/>
            <w:vAlign w:val="bottom"/>
          </w:tcPr>
          <w:p w14:paraId="7AFBF63B" w14:textId="77777777" w:rsidR="008B2FBE" w:rsidRPr="009D3F79" w:rsidRDefault="008B2FBE" w:rsidP="00422DD5">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(158.505)</w:t>
            </w:r>
          </w:p>
        </w:tc>
        <w:tc>
          <w:tcPr>
            <w:tcW w:w="483" w:type="pct"/>
            <w:tcBorders>
              <w:top w:val="nil"/>
              <w:left w:val="nil"/>
              <w:bottom w:val="single" w:sz="12" w:space="0" w:color="auto"/>
              <w:right w:val="nil"/>
            </w:tcBorders>
            <w:shd w:val="clear" w:color="auto" w:fill="auto"/>
            <w:vAlign w:val="bottom"/>
          </w:tcPr>
          <w:p w14:paraId="2F223F4E" w14:textId="77777777" w:rsidR="008B2FBE" w:rsidRPr="009D3F79" w:rsidRDefault="008B2FBE" w:rsidP="00422DD5">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1.467.827</w:t>
            </w:r>
          </w:p>
        </w:tc>
        <w:tc>
          <w:tcPr>
            <w:tcW w:w="483" w:type="pct"/>
            <w:tcBorders>
              <w:top w:val="nil"/>
              <w:left w:val="nil"/>
              <w:bottom w:val="single" w:sz="12" w:space="0" w:color="auto"/>
              <w:right w:val="nil"/>
            </w:tcBorders>
            <w:shd w:val="clear" w:color="auto" w:fill="auto"/>
            <w:vAlign w:val="bottom"/>
          </w:tcPr>
          <w:p w14:paraId="4FE34F34" w14:textId="77777777" w:rsidR="008B2FBE" w:rsidRPr="009D3F79" w:rsidRDefault="008B2FBE" w:rsidP="00422DD5">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1.562.796</w:t>
            </w:r>
          </w:p>
        </w:tc>
      </w:tr>
    </w:tbl>
    <w:p w14:paraId="40820224" w14:textId="77777777" w:rsidR="008B2FBE" w:rsidRPr="003D1614" w:rsidRDefault="008B2FBE" w:rsidP="000C7E59">
      <w:pPr>
        <w:tabs>
          <w:tab w:val="left" w:pos="-720"/>
        </w:tabs>
        <w:suppressAutoHyphens/>
        <w:autoSpaceDN w:val="0"/>
        <w:jc w:val="both"/>
        <w:rPr>
          <w:rFonts w:ascii="Arial" w:eastAsia="Times New Roman" w:hAnsi="Arial" w:cs="Arial"/>
          <w:color w:val="000000" w:themeColor="text1"/>
          <w:sz w:val="20"/>
          <w:szCs w:val="20"/>
        </w:rPr>
      </w:pPr>
    </w:p>
    <w:p w14:paraId="17ECFB54" w14:textId="77777777"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p>
    <w:p w14:paraId="79728713" w14:textId="77777777" w:rsidR="000C7E59" w:rsidRPr="003D1614" w:rsidRDefault="000C7E59" w:rsidP="000C7E59">
      <w:pPr>
        <w:tabs>
          <w:tab w:val="left" w:pos="-720"/>
        </w:tabs>
        <w:suppressAutoHyphens/>
        <w:autoSpaceDN w:val="0"/>
        <w:ind w:right="-5"/>
        <w:jc w:val="both"/>
        <w:rPr>
          <w:rFonts w:ascii="Arial" w:eastAsia="Times New Roman" w:hAnsi="Arial" w:cs="Arial"/>
          <w:color w:val="000000" w:themeColor="text1"/>
          <w:sz w:val="20"/>
          <w:szCs w:val="20"/>
        </w:rPr>
      </w:pPr>
    </w:p>
    <w:p w14:paraId="3CF576CB" w14:textId="07CBE02A" w:rsidR="000C7E59" w:rsidRPr="003D1614" w:rsidRDefault="000C7E59" w:rsidP="00661446">
      <w:pPr>
        <w:suppressAutoHyphens/>
        <w:autoSpaceDN w:val="0"/>
        <w:jc w:val="both"/>
        <w:rPr>
          <w:rFonts w:ascii="Arial" w:eastAsia="Times New Roman" w:hAnsi="Arial" w:cs="Arial"/>
          <w:bCs/>
          <w:i/>
          <w:color w:val="000000" w:themeColor="text1"/>
          <w:sz w:val="18"/>
          <w:szCs w:val="18"/>
        </w:rPr>
      </w:pPr>
    </w:p>
    <w:p w14:paraId="490AA43D" w14:textId="77777777" w:rsidR="000C7E59" w:rsidRPr="003D1614" w:rsidRDefault="000C7E59" w:rsidP="00661446">
      <w:pPr>
        <w:suppressAutoHyphens/>
        <w:autoSpaceDN w:val="0"/>
        <w:jc w:val="both"/>
        <w:rPr>
          <w:rFonts w:ascii="Arial" w:eastAsia="Times New Roman" w:hAnsi="Arial" w:cs="Arial"/>
          <w:bCs/>
          <w:i/>
          <w:color w:val="000000" w:themeColor="text1"/>
          <w:sz w:val="18"/>
          <w:szCs w:val="18"/>
        </w:rPr>
        <w:sectPr w:rsidR="000C7E59" w:rsidRPr="003D1614" w:rsidSect="003278AB">
          <w:pgSz w:w="11906" w:h="16838"/>
          <w:pgMar w:top="1417" w:right="1417" w:bottom="1417" w:left="1417" w:header="708" w:footer="708" w:gutter="0"/>
          <w:cols w:space="708"/>
          <w:docGrid w:linePitch="360"/>
        </w:sectPr>
      </w:pPr>
    </w:p>
    <w:p w14:paraId="384B9F30" w14:textId="77777777" w:rsidR="000C7E59" w:rsidRPr="003D1614" w:rsidRDefault="000C7E59" w:rsidP="000C7E59">
      <w:pPr>
        <w:keepNext/>
        <w:tabs>
          <w:tab w:val="left" w:pos="709"/>
          <w:tab w:val="left" w:pos="851"/>
        </w:tabs>
        <w:suppressAutoHyphens/>
        <w:autoSpaceDN w:val="0"/>
        <w:jc w:val="both"/>
        <w:outlineLvl w:val="0"/>
        <w:rPr>
          <w:rFonts w:ascii="Arial" w:eastAsia="Times New Roman" w:hAnsi="Arial" w:cs="Arial"/>
          <w:b/>
          <w:bCs/>
          <w:color w:val="000000" w:themeColor="text1"/>
          <w:sz w:val="20"/>
          <w:szCs w:val="20"/>
        </w:rPr>
      </w:pPr>
    </w:p>
    <w:p w14:paraId="4826C4E9" w14:textId="5A154C38" w:rsidR="000C7E59" w:rsidRPr="003D1614" w:rsidRDefault="000C7E59" w:rsidP="000C7E59">
      <w:pPr>
        <w:keepNext/>
        <w:tabs>
          <w:tab w:val="left" w:pos="709"/>
          <w:tab w:val="left" w:pos="851"/>
        </w:tabs>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125CFBA2" w14:textId="77777777"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p>
    <w:p w14:paraId="142E394A" w14:textId="40A05113" w:rsidR="000C7E59" w:rsidRPr="003D1614" w:rsidRDefault="000C7E59" w:rsidP="000C7E59">
      <w:pPr>
        <w:keepNext/>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rizici (nastavak)</w:t>
      </w:r>
    </w:p>
    <w:p w14:paraId="0A18656F" w14:textId="77777777" w:rsidR="000C7E59" w:rsidRPr="003D1614" w:rsidRDefault="000C7E59" w:rsidP="000C7E59">
      <w:pPr>
        <w:tabs>
          <w:tab w:val="left" w:pos="-720"/>
          <w:tab w:val="left" w:pos="709"/>
        </w:tabs>
        <w:suppressAutoHyphens/>
        <w:autoSpaceDN w:val="0"/>
        <w:rPr>
          <w:rFonts w:ascii="Arial" w:eastAsia="Times New Roman" w:hAnsi="Arial" w:cs="Arial"/>
          <w:b/>
          <w:color w:val="000000" w:themeColor="text1"/>
          <w:spacing w:val="-3"/>
          <w:sz w:val="20"/>
          <w:szCs w:val="20"/>
        </w:rPr>
      </w:pPr>
    </w:p>
    <w:p w14:paraId="64F809F2" w14:textId="4C8292DE" w:rsidR="000C7E59" w:rsidRPr="003D1614" w:rsidRDefault="000C7E59" w:rsidP="000C7E59">
      <w:pPr>
        <w:tabs>
          <w:tab w:val="left" w:pos="-720"/>
          <w:tab w:val="left" w:pos="709"/>
        </w:tabs>
        <w:suppressAutoHyphens/>
        <w:autoSpaceDN w:val="0"/>
        <w:rPr>
          <w:rFonts w:ascii="Arial" w:eastAsia="Times New Roman" w:hAnsi="Arial" w:cs="Arial"/>
          <w:b/>
          <w:color w:val="000000" w:themeColor="text1"/>
          <w:spacing w:val="-3"/>
          <w:sz w:val="20"/>
          <w:szCs w:val="20"/>
        </w:rPr>
      </w:pPr>
      <w:r w:rsidRPr="003D1614">
        <w:rPr>
          <w:rFonts w:ascii="Arial" w:eastAsia="Times New Roman" w:hAnsi="Arial" w:cs="Arial"/>
          <w:b/>
          <w:color w:val="000000" w:themeColor="text1"/>
          <w:spacing w:val="-3"/>
          <w:sz w:val="20"/>
          <w:szCs w:val="20"/>
        </w:rPr>
        <w:t>2</w:t>
      </w:r>
      <w:r w:rsidR="00C55B0C">
        <w:rPr>
          <w:rFonts w:ascii="Arial" w:eastAsia="Times New Roman" w:hAnsi="Arial" w:cs="Arial"/>
          <w:b/>
          <w:color w:val="000000" w:themeColor="text1"/>
          <w:spacing w:val="-3"/>
          <w:sz w:val="20"/>
          <w:szCs w:val="20"/>
        </w:rPr>
        <w:t>3</w:t>
      </w:r>
      <w:r w:rsidRPr="003D1614">
        <w:rPr>
          <w:rFonts w:ascii="Arial" w:eastAsia="Times New Roman" w:hAnsi="Arial" w:cs="Arial"/>
          <w:b/>
          <w:color w:val="000000" w:themeColor="text1"/>
          <w:spacing w:val="-3"/>
          <w:sz w:val="20"/>
          <w:szCs w:val="20"/>
        </w:rPr>
        <w:t xml:space="preserve">.5.1.  Kamatni rizik </w:t>
      </w:r>
      <w:r w:rsidRPr="003D1614">
        <w:rPr>
          <w:rFonts w:ascii="Arial" w:eastAsia="Times New Roman" w:hAnsi="Arial" w:cs="Arial"/>
          <w:b/>
          <w:bCs/>
          <w:color w:val="000000" w:themeColor="text1"/>
          <w:sz w:val="20"/>
          <w:szCs w:val="20"/>
        </w:rPr>
        <w:t>(nastavak)</w:t>
      </w:r>
    </w:p>
    <w:p w14:paraId="237AC8C1" w14:textId="77777777"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p>
    <w:p w14:paraId="38745DFE" w14:textId="77777777" w:rsidR="000C7E59" w:rsidRPr="003D1614" w:rsidRDefault="000C7E59" w:rsidP="000C7E59">
      <w:pPr>
        <w:tabs>
          <w:tab w:val="left" w:pos="-720"/>
        </w:tabs>
        <w:suppressAutoHyphens/>
        <w:autoSpaceDN w:val="0"/>
        <w:ind w:right="-5"/>
        <w:jc w:val="both"/>
        <w:rPr>
          <w:rFonts w:ascii="Arial" w:eastAsia="Times New Roman" w:hAnsi="Arial" w:cs="Arial"/>
          <w:color w:val="000000" w:themeColor="text1"/>
          <w:sz w:val="20"/>
          <w:szCs w:val="20"/>
        </w:rPr>
      </w:pPr>
    </w:p>
    <w:tbl>
      <w:tblPr>
        <w:tblW w:w="5662" w:type="pct"/>
        <w:tblInd w:w="-851" w:type="dxa"/>
        <w:tblLayout w:type="fixed"/>
        <w:tblCellMar>
          <w:left w:w="120" w:type="dxa"/>
          <w:right w:w="120" w:type="dxa"/>
        </w:tblCellMar>
        <w:tblLook w:val="0000" w:firstRow="0" w:lastRow="0" w:firstColumn="0" w:lastColumn="0" w:noHBand="0" w:noVBand="0"/>
      </w:tblPr>
      <w:tblGrid>
        <w:gridCol w:w="2339"/>
        <w:gridCol w:w="991"/>
        <w:gridCol w:w="993"/>
        <w:gridCol w:w="992"/>
        <w:gridCol w:w="992"/>
        <w:gridCol w:w="990"/>
        <w:gridCol w:w="992"/>
        <w:gridCol w:w="992"/>
        <w:gridCol w:w="992"/>
      </w:tblGrid>
      <w:tr w:rsidR="000F1BD9" w:rsidRPr="00D47D1C" w14:paraId="0DEE36B6" w14:textId="77777777" w:rsidTr="00CA7F04">
        <w:trPr>
          <w:trHeight w:val="533"/>
        </w:trPr>
        <w:tc>
          <w:tcPr>
            <w:tcW w:w="1138" w:type="pct"/>
          </w:tcPr>
          <w:p w14:paraId="7BF6697A" w14:textId="77777777" w:rsidR="000F1BD9" w:rsidRPr="00D47D1C" w:rsidRDefault="000F1BD9" w:rsidP="00CA7F04">
            <w:pPr>
              <w:tabs>
                <w:tab w:val="right" w:pos="1202"/>
              </w:tabs>
              <w:spacing w:line="240" w:lineRule="atLeas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Grupa</w:t>
            </w:r>
          </w:p>
          <w:p w14:paraId="373964FB" w14:textId="77777777" w:rsidR="000F1BD9" w:rsidRPr="00D47D1C" w:rsidRDefault="000F1BD9" w:rsidP="00CA7F04">
            <w:pPr>
              <w:tabs>
                <w:tab w:val="right" w:pos="1202"/>
              </w:tabs>
              <w:spacing w:line="240" w:lineRule="atLeas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31. prosinca 202</w:t>
            </w:r>
            <w:r>
              <w:rPr>
                <w:rFonts w:ascii="Arial" w:eastAsia="Calibri" w:hAnsi="Arial" w:cs="Arial"/>
                <w:b/>
                <w:color w:val="000000" w:themeColor="text1"/>
                <w:sz w:val="15"/>
                <w:szCs w:val="15"/>
              </w:rPr>
              <w:t>3</w:t>
            </w:r>
            <w:r w:rsidRPr="00D47D1C">
              <w:rPr>
                <w:rFonts w:ascii="Arial" w:eastAsia="Calibri" w:hAnsi="Arial" w:cs="Arial"/>
                <w:b/>
                <w:color w:val="000000" w:themeColor="text1"/>
                <w:sz w:val="15"/>
                <w:szCs w:val="15"/>
              </w:rPr>
              <w:t>.</w:t>
            </w:r>
          </w:p>
        </w:tc>
        <w:tc>
          <w:tcPr>
            <w:tcW w:w="482" w:type="pct"/>
          </w:tcPr>
          <w:p w14:paraId="2FE3CE2C" w14:textId="77777777" w:rsidR="000F1BD9" w:rsidRPr="00D47D1C" w:rsidRDefault="000F1BD9" w:rsidP="00CA7F04">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Do 1 mjesec</w:t>
            </w:r>
          </w:p>
        </w:tc>
        <w:tc>
          <w:tcPr>
            <w:tcW w:w="483" w:type="pct"/>
          </w:tcPr>
          <w:p w14:paraId="5169316B" w14:textId="77777777" w:rsidR="000F1BD9" w:rsidRPr="00D47D1C" w:rsidRDefault="000F1BD9" w:rsidP="00CA7F04">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1 do 3 mjeseca</w:t>
            </w:r>
          </w:p>
        </w:tc>
        <w:tc>
          <w:tcPr>
            <w:tcW w:w="483" w:type="pct"/>
          </w:tcPr>
          <w:p w14:paraId="4B99C1FE" w14:textId="77777777" w:rsidR="000F1BD9" w:rsidRPr="00D47D1C" w:rsidRDefault="000F1BD9" w:rsidP="00CA7F04">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3 mj. do 1 godine</w:t>
            </w:r>
          </w:p>
        </w:tc>
        <w:tc>
          <w:tcPr>
            <w:tcW w:w="483" w:type="pct"/>
          </w:tcPr>
          <w:p w14:paraId="64B40B3B" w14:textId="77777777" w:rsidR="000F1BD9" w:rsidRPr="00D47D1C" w:rsidRDefault="000F1BD9" w:rsidP="00CA7F04">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1 do 3 godina</w:t>
            </w:r>
          </w:p>
        </w:tc>
        <w:tc>
          <w:tcPr>
            <w:tcW w:w="482" w:type="pct"/>
          </w:tcPr>
          <w:p w14:paraId="6A1FCE18" w14:textId="77777777" w:rsidR="000F1BD9" w:rsidRPr="00D47D1C" w:rsidRDefault="000F1BD9" w:rsidP="00CA7F04">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Preko 3 godine</w:t>
            </w:r>
          </w:p>
        </w:tc>
        <w:tc>
          <w:tcPr>
            <w:tcW w:w="483" w:type="pct"/>
          </w:tcPr>
          <w:p w14:paraId="61324BA1" w14:textId="77777777" w:rsidR="000F1BD9" w:rsidRPr="00D47D1C" w:rsidRDefault="000F1BD9" w:rsidP="00CA7F04">
            <w:pPr>
              <w:tabs>
                <w:tab w:val="right" w:pos="1202"/>
              </w:tabs>
              <w:spacing w:line="240" w:lineRule="atLeast"/>
              <w:jc w:val="right"/>
              <w:outlineLvl w:val="0"/>
              <w:rPr>
                <w:rFonts w:ascii="Arial" w:eastAsia="Calibri" w:hAnsi="Arial" w:cs="Arial"/>
                <w:b/>
                <w:color w:val="000000" w:themeColor="text1"/>
                <w:sz w:val="15"/>
                <w:szCs w:val="15"/>
              </w:rPr>
            </w:pPr>
            <w:proofErr w:type="spellStart"/>
            <w:r w:rsidRPr="00D47D1C">
              <w:rPr>
                <w:rFonts w:ascii="Arial" w:eastAsia="Calibri" w:hAnsi="Arial" w:cs="Arial"/>
                <w:b/>
                <w:color w:val="000000" w:themeColor="text1"/>
                <w:sz w:val="15"/>
                <w:szCs w:val="15"/>
              </w:rPr>
              <w:t>Beska-matno</w:t>
            </w:r>
            <w:proofErr w:type="spellEnd"/>
          </w:p>
        </w:tc>
        <w:tc>
          <w:tcPr>
            <w:tcW w:w="483" w:type="pct"/>
          </w:tcPr>
          <w:p w14:paraId="618C4251" w14:textId="77777777" w:rsidR="000F1BD9" w:rsidRPr="00D47D1C" w:rsidRDefault="000F1BD9" w:rsidP="00CA7F04">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Ukupno</w:t>
            </w:r>
          </w:p>
        </w:tc>
        <w:tc>
          <w:tcPr>
            <w:tcW w:w="483" w:type="pct"/>
          </w:tcPr>
          <w:p w14:paraId="5CD90DAB" w14:textId="77777777" w:rsidR="000F1BD9" w:rsidRPr="00D47D1C" w:rsidRDefault="000F1BD9" w:rsidP="00CA7F04">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Fiksna kamatna stopa</w:t>
            </w:r>
          </w:p>
        </w:tc>
      </w:tr>
      <w:tr w:rsidR="000F1BD9" w:rsidRPr="00D47D1C" w14:paraId="59895071" w14:textId="77777777" w:rsidTr="00CA7F04">
        <w:trPr>
          <w:trHeight w:val="258"/>
        </w:trPr>
        <w:tc>
          <w:tcPr>
            <w:tcW w:w="1138" w:type="pct"/>
            <w:vAlign w:val="bottom"/>
          </w:tcPr>
          <w:p w14:paraId="06B59294" w14:textId="77777777" w:rsidR="000F1BD9" w:rsidRPr="00D47D1C" w:rsidRDefault="000F1BD9" w:rsidP="00CA7F04">
            <w:pPr>
              <w:tabs>
                <w:tab w:val="right" w:pos="1202"/>
              </w:tabs>
              <w:spacing w:line="240" w:lineRule="atLeast"/>
              <w:outlineLvl w:val="0"/>
              <w:rPr>
                <w:rFonts w:ascii="Arial" w:eastAsia="Calibri" w:hAnsi="Arial" w:cs="Arial"/>
                <w:b/>
                <w:color w:val="000000" w:themeColor="text1"/>
                <w:sz w:val="15"/>
                <w:szCs w:val="15"/>
              </w:rPr>
            </w:pPr>
          </w:p>
        </w:tc>
        <w:tc>
          <w:tcPr>
            <w:tcW w:w="482" w:type="pct"/>
          </w:tcPr>
          <w:p w14:paraId="7EC4DC8D" w14:textId="77777777" w:rsidR="000F1BD9" w:rsidRPr="00D47D1C" w:rsidRDefault="000F1BD9" w:rsidP="00CA7F04">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83" w:type="pct"/>
          </w:tcPr>
          <w:p w14:paraId="614E148B" w14:textId="77777777" w:rsidR="000F1BD9" w:rsidRPr="00D47D1C" w:rsidRDefault="000F1BD9" w:rsidP="00CA7F04">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83" w:type="pct"/>
          </w:tcPr>
          <w:p w14:paraId="0B76F423" w14:textId="77777777" w:rsidR="000F1BD9" w:rsidRPr="00D47D1C" w:rsidRDefault="000F1BD9" w:rsidP="00CA7F04">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83" w:type="pct"/>
          </w:tcPr>
          <w:p w14:paraId="6D809BCF" w14:textId="77777777" w:rsidR="000F1BD9" w:rsidRPr="00D47D1C" w:rsidRDefault="000F1BD9" w:rsidP="00CA7F04">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82" w:type="pct"/>
          </w:tcPr>
          <w:p w14:paraId="79E63DC5" w14:textId="77777777" w:rsidR="000F1BD9" w:rsidRPr="00D47D1C" w:rsidRDefault="000F1BD9" w:rsidP="00CA7F04">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83" w:type="pct"/>
          </w:tcPr>
          <w:p w14:paraId="10DCAC39" w14:textId="77777777" w:rsidR="000F1BD9" w:rsidRPr="00D47D1C" w:rsidRDefault="000F1BD9" w:rsidP="00CA7F04">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83" w:type="pct"/>
          </w:tcPr>
          <w:p w14:paraId="7CC7D1B5" w14:textId="77777777" w:rsidR="000F1BD9" w:rsidRPr="00D47D1C" w:rsidRDefault="000F1BD9" w:rsidP="00CA7F04">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83" w:type="pct"/>
          </w:tcPr>
          <w:p w14:paraId="18C50624" w14:textId="77777777" w:rsidR="000F1BD9" w:rsidRPr="00D47D1C" w:rsidRDefault="000F1BD9" w:rsidP="00CA7F04">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r>
      <w:tr w:rsidR="000F1BD9" w:rsidRPr="00D47D1C" w14:paraId="00B3E9E5" w14:textId="77777777" w:rsidTr="00CA7F04">
        <w:trPr>
          <w:trHeight w:val="227"/>
        </w:trPr>
        <w:tc>
          <w:tcPr>
            <w:tcW w:w="1138" w:type="pct"/>
            <w:vAlign w:val="bottom"/>
          </w:tcPr>
          <w:p w14:paraId="03DFF631" w14:textId="77777777" w:rsidR="000F1BD9" w:rsidRPr="00D47D1C" w:rsidRDefault="000F1BD9" w:rsidP="00CA7F04">
            <w:pPr>
              <w:tabs>
                <w:tab w:val="left" w:pos="-720"/>
              </w:tabs>
              <w:suppressAutoHyphens/>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Imovina</w:t>
            </w:r>
          </w:p>
        </w:tc>
        <w:tc>
          <w:tcPr>
            <w:tcW w:w="482" w:type="pct"/>
          </w:tcPr>
          <w:p w14:paraId="41F461EF" w14:textId="77777777" w:rsidR="000F1BD9" w:rsidRPr="00D47D1C" w:rsidRDefault="000F1BD9" w:rsidP="00CA7F04">
            <w:pPr>
              <w:tabs>
                <w:tab w:val="left" w:pos="-720"/>
              </w:tabs>
              <w:suppressAutoHyphens/>
              <w:jc w:val="right"/>
              <w:rPr>
                <w:rFonts w:ascii="Arial" w:eastAsia="Calibri" w:hAnsi="Arial" w:cs="Arial"/>
                <w:color w:val="000000" w:themeColor="text1"/>
                <w:sz w:val="15"/>
                <w:szCs w:val="15"/>
              </w:rPr>
            </w:pPr>
          </w:p>
        </w:tc>
        <w:tc>
          <w:tcPr>
            <w:tcW w:w="483" w:type="pct"/>
          </w:tcPr>
          <w:p w14:paraId="575DE723" w14:textId="77777777" w:rsidR="000F1BD9" w:rsidRPr="00D47D1C" w:rsidRDefault="000F1BD9" w:rsidP="00CA7F04">
            <w:pPr>
              <w:tabs>
                <w:tab w:val="left" w:pos="-720"/>
              </w:tabs>
              <w:suppressAutoHyphens/>
              <w:jc w:val="right"/>
              <w:rPr>
                <w:rFonts w:ascii="Arial" w:eastAsia="Calibri" w:hAnsi="Arial" w:cs="Arial"/>
                <w:color w:val="000000" w:themeColor="text1"/>
                <w:sz w:val="15"/>
                <w:szCs w:val="15"/>
              </w:rPr>
            </w:pPr>
          </w:p>
        </w:tc>
        <w:tc>
          <w:tcPr>
            <w:tcW w:w="483" w:type="pct"/>
          </w:tcPr>
          <w:p w14:paraId="48791756" w14:textId="77777777" w:rsidR="000F1BD9" w:rsidRPr="00D47D1C" w:rsidRDefault="000F1BD9" w:rsidP="00CA7F04">
            <w:pPr>
              <w:tabs>
                <w:tab w:val="left" w:pos="-720"/>
              </w:tabs>
              <w:suppressAutoHyphens/>
              <w:jc w:val="right"/>
              <w:rPr>
                <w:rFonts w:ascii="Arial" w:eastAsia="Calibri" w:hAnsi="Arial" w:cs="Arial"/>
                <w:color w:val="000000" w:themeColor="text1"/>
                <w:sz w:val="15"/>
                <w:szCs w:val="15"/>
              </w:rPr>
            </w:pPr>
          </w:p>
        </w:tc>
        <w:tc>
          <w:tcPr>
            <w:tcW w:w="483" w:type="pct"/>
          </w:tcPr>
          <w:p w14:paraId="68810E1D" w14:textId="77777777" w:rsidR="000F1BD9" w:rsidRPr="00D47D1C" w:rsidRDefault="000F1BD9" w:rsidP="00CA7F04">
            <w:pPr>
              <w:tabs>
                <w:tab w:val="left" w:pos="-720"/>
              </w:tabs>
              <w:suppressAutoHyphens/>
              <w:jc w:val="right"/>
              <w:rPr>
                <w:rFonts w:ascii="Arial" w:eastAsia="Calibri" w:hAnsi="Arial" w:cs="Arial"/>
                <w:color w:val="000000" w:themeColor="text1"/>
                <w:sz w:val="15"/>
                <w:szCs w:val="15"/>
              </w:rPr>
            </w:pPr>
          </w:p>
        </w:tc>
        <w:tc>
          <w:tcPr>
            <w:tcW w:w="482" w:type="pct"/>
          </w:tcPr>
          <w:p w14:paraId="3A076080" w14:textId="77777777" w:rsidR="000F1BD9" w:rsidRPr="00D47D1C" w:rsidRDefault="000F1BD9" w:rsidP="00CA7F04">
            <w:pPr>
              <w:tabs>
                <w:tab w:val="left" w:pos="-720"/>
              </w:tabs>
              <w:suppressAutoHyphens/>
              <w:jc w:val="right"/>
              <w:rPr>
                <w:rFonts w:ascii="Arial" w:eastAsia="Calibri" w:hAnsi="Arial" w:cs="Arial"/>
                <w:color w:val="000000" w:themeColor="text1"/>
                <w:sz w:val="15"/>
                <w:szCs w:val="15"/>
              </w:rPr>
            </w:pPr>
          </w:p>
        </w:tc>
        <w:tc>
          <w:tcPr>
            <w:tcW w:w="483" w:type="pct"/>
          </w:tcPr>
          <w:p w14:paraId="480DF2E7" w14:textId="77777777" w:rsidR="000F1BD9" w:rsidRPr="00D47D1C" w:rsidRDefault="000F1BD9" w:rsidP="00CA7F04">
            <w:pPr>
              <w:tabs>
                <w:tab w:val="left" w:pos="-720"/>
              </w:tabs>
              <w:suppressAutoHyphens/>
              <w:spacing w:line="360" w:lineRule="auto"/>
              <w:jc w:val="right"/>
              <w:rPr>
                <w:rFonts w:ascii="Arial" w:eastAsia="Calibri" w:hAnsi="Arial" w:cs="Arial"/>
                <w:color w:val="000000" w:themeColor="text1"/>
                <w:sz w:val="15"/>
                <w:szCs w:val="15"/>
              </w:rPr>
            </w:pPr>
          </w:p>
        </w:tc>
        <w:tc>
          <w:tcPr>
            <w:tcW w:w="483" w:type="pct"/>
          </w:tcPr>
          <w:p w14:paraId="5A2C710B" w14:textId="77777777" w:rsidR="000F1BD9" w:rsidRPr="00D47D1C" w:rsidRDefault="000F1BD9" w:rsidP="00CA7F04">
            <w:pPr>
              <w:tabs>
                <w:tab w:val="left" w:pos="-720"/>
              </w:tabs>
              <w:suppressAutoHyphens/>
              <w:jc w:val="right"/>
              <w:rPr>
                <w:rFonts w:ascii="Arial" w:eastAsia="Calibri" w:hAnsi="Arial" w:cs="Arial"/>
                <w:color w:val="000000" w:themeColor="text1"/>
                <w:sz w:val="15"/>
                <w:szCs w:val="15"/>
              </w:rPr>
            </w:pPr>
          </w:p>
        </w:tc>
        <w:tc>
          <w:tcPr>
            <w:tcW w:w="483" w:type="pct"/>
          </w:tcPr>
          <w:p w14:paraId="75F986C3" w14:textId="77777777" w:rsidR="000F1BD9" w:rsidRPr="00D47D1C" w:rsidRDefault="000F1BD9" w:rsidP="00CA7F04">
            <w:pPr>
              <w:tabs>
                <w:tab w:val="left" w:pos="-720"/>
              </w:tabs>
              <w:suppressAutoHyphens/>
              <w:jc w:val="right"/>
              <w:rPr>
                <w:rFonts w:ascii="Arial" w:eastAsia="Calibri" w:hAnsi="Arial" w:cs="Arial"/>
                <w:color w:val="000000" w:themeColor="text1"/>
                <w:sz w:val="15"/>
                <w:szCs w:val="15"/>
              </w:rPr>
            </w:pPr>
          </w:p>
        </w:tc>
      </w:tr>
      <w:tr w:rsidR="000F1BD9" w:rsidRPr="00D47D1C" w14:paraId="0972904E" w14:textId="77777777" w:rsidTr="00CA7F04">
        <w:trPr>
          <w:trHeight w:val="217"/>
        </w:trPr>
        <w:tc>
          <w:tcPr>
            <w:tcW w:w="1138" w:type="pct"/>
            <w:vAlign w:val="bottom"/>
          </w:tcPr>
          <w:p w14:paraId="11209DD5" w14:textId="77777777" w:rsidR="000F1BD9" w:rsidRPr="00D47D1C" w:rsidRDefault="000F1BD9" w:rsidP="00CA7F04">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Novčana sredstva i računi kod banaka</w:t>
            </w:r>
          </w:p>
        </w:tc>
        <w:tc>
          <w:tcPr>
            <w:tcW w:w="482" w:type="pct"/>
            <w:vAlign w:val="bottom"/>
          </w:tcPr>
          <w:p w14:paraId="2B53AB3B"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42.133 </w:t>
            </w:r>
          </w:p>
        </w:tc>
        <w:tc>
          <w:tcPr>
            <w:tcW w:w="483" w:type="pct"/>
            <w:vAlign w:val="bottom"/>
          </w:tcPr>
          <w:p w14:paraId="43DCB3EA"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vAlign w:val="bottom"/>
          </w:tcPr>
          <w:p w14:paraId="04EEE00E"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vAlign w:val="bottom"/>
          </w:tcPr>
          <w:p w14:paraId="5B16322E"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2" w:type="pct"/>
            <w:vAlign w:val="bottom"/>
          </w:tcPr>
          <w:p w14:paraId="7D8FF848"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vAlign w:val="bottom"/>
          </w:tcPr>
          <w:p w14:paraId="1734DFBD"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vAlign w:val="bottom"/>
          </w:tcPr>
          <w:p w14:paraId="6278199E"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42.133 </w:t>
            </w:r>
          </w:p>
        </w:tc>
        <w:tc>
          <w:tcPr>
            <w:tcW w:w="483" w:type="pct"/>
            <w:vAlign w:val="bottom"/>
          </w:tcPr>
          <w:p w14:paraId="347BB8F0"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42.133 </w:t>
            </w:r>
          </w:p>
        </w:tc>
      </w:tr>
      <w:tr w:rsidR="000F1BD9" w:rsidRPr="00D47D1C" w14:paraId="1773C574" w14:textId="77777777" w:rsidTr="00CA7F04">
        <w:trPr>
          <w:trHeight w:val="206"/>
        </w:trPr>
        <w:tc>
          <w:tcPr>
            <w:tcW w:w="1138" w:type="pct"/>
            <w:vAlign w:val="bottom"/>
          </w:tcPr>
          <w:p w14:paraId="0B16ADE5" w14:textId="77777777" w:rsidR="000F1BD9" w:rsidRPr="00D47D1C" w:rsidRDefault="000F1BD9" w:rsidP="00CA7F04">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Depoziti kod drugih banaka</w:t>
            </w:r>
          </w:p>
        </w:tc>
        <w:tc>
          <w:tcPr>
            <w:tcW w:w="482" w:type="pct"/>
            <w:vAlign w:val="bottom"/>
          </w:tcPr>
          <w:p w14:paraId="0019EE75"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70.431 </w:t>
            </w:r>
          </w:p>
        </w:tc>
        <w:tc>
          <w:tcPr>
            <w:tcW w:w="483" w:type="pct"/>
            <w:vAlign w:val="bottom"/>
          </w:tcPr>
          <w:p w14:paraId="7DDD9DD2"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vAlign w:val="bottom"/>
          </w:tcPr>
          <w:p w14:paraId="39FC7EA5"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vAlign w:val="bottom"/>
          </w:tcPr>
          <w:p w14:paraId="26936313"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2" w:type="pct"/>
            <w:vAlign w:val="bottom"/>
          </w:tcPr>
          <w:p w14:paraId="7F4C8F4A"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vAlign w:val="bottom"/>
          </w:tcPr>
          <w:p w14:paraId="3721FD59"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1.330 </w:t>
            </w:r>
          </w:p>
        </w:tc>
        <w:tc>
          <w:tcPr>
            <w:tcW w:w="483" w:type="pct"/>
            <w:vAlign w:val="bottom"/>
          </w:tcPr>
          <w:p w14:paraId="2E0115BA"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71.761 </w:t>
            </w:r>
          </w:p>
        </w:tc>
        <w:tc>
          <w:tcPr>
            <w:tcW w:w="483" w:type="pct"/>
            <w:vAlign w:val="bottom"/>
          </w:tcPr>
          <w:p w14:paraId="7AAB449A"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70.431 </w:t>
            </w:r>
          </w:p>
        </w:tc>
      </w:tr>
      <w:tr w:rsidR="000F1BD9" w:rsidRPr="00D47D1C" w14:paraId="034FBCC1" w14:textId="77777777" w:rsidTr="00CA7F04">
        <w:trPr>
          <w:trHeight w:val="164"/>
        </w:trPr>
        <w:tc>
          <w:tcPr>
            <w:tcW w:w="1138" w:type="pct"/>
            <w:vAlign w:val="bottom"/>
          </w:tcPr>
          <w:p w14:paraId="4F6AB035" w14:textId="77777777" w:rsidR="000F1BD9" w:rsidRPr="00D47D1C" w:rsidRDefault="000F1BD9" w:rsidP="00CA7F04">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Krediti financijskim institucijama</w:t>
            </w:r>
          </w:p>
        </w:tc>
        <w:tc>
          <w:tcPr>
            <w:tcW w:w="482" w:type="pct"/>
            <w:tcBorders>
              <w:top w:val="nil"/>
              <w:left w:val="nil"/>
              <w:bottom w:val="nil"/>
              <w:right w:val="nil"/>
            </w:tcBorders>
            <w:vAlign w:val="bottom"/>
          </w:tcPr>
          <w:p w14:paraId="4AF6BC84"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87.993 </w:t>
            </w:r>
          </w:p>
        </w:tc>
        <w:tc>
          <w:tcPr>
            <w:tcW w:w="483" w:type="pct"/>
            <w:tcBorders>
              <w:top w:val="nil"/>
              <w:left w:val="nil"/>
              <w:bottom w:val="nil"/>
              <w:right w:val="nil"/>
            </w:tcBorders>
            <w:vAlign w:val="bottom"/>
          </w:tcPr>
          <w:p w14:paraId="76AAF6EE"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168.026 </w:t>
            </w:r>
          </w:p>
        </w:tc>
        <w:tc>
          <w:tcPr>
            <w:tcW w:w="483" w:type="pct"/>
            <w:tcBorders>
              <w:top w:val="nil"/>
              <w:left w:val="nil"/>
              <w:bottom w:val="nil"/>
              <w:right w:val="nil"/>
            </w:tcBorders>
            <w:vAlign w:val="bottom"/>
          </w:tcPr>
          <w:p w14:paraId="17D006A5"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128.016 </w:t>
            </w:r>
          </w:p>
        </w:tc>
        <w:tc>
          <w:tcPr>
            <w:tcW w:w="483" w:type="pct"/>
            <w:tcBorders>
              <w:top w:val="nil"/>
              <w:left w:val="nil"/>
              <w:bottom w:val="nil"/>
              <w:right w:val="nil"/>
            </w:tcBorders>
            <w:vAlign w:val="bottom"/>
          </w:tcPr>
          <w:p w14:paraId="229B96EC"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301.413 </w:t>
            </w:r>
          </w:p>
        </w:tc>
        <w:tc>
          <w:tcPr>
            <w:tcW w:w="482" w:type="pct"/>
            <w:tcBorders>
              <w:top w:val="nil"/>
              <w:left w:val="nil"/>
              <w:bottom w:val="nil"/>
              <w:right w:val="nil"/>
            </w:tcBorders>
            <w:vAlign w:val="bottom"/>
          </w:tcPr>
          <w:p w14:paraId="45F9B14D"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561.073 </w:t>
            </w:r>
          </w:p>
        </w:tc>
        <w:tc>
          <w:tcPr>
            <w:tcW w:w="483" w:type="pct"/>
            <w:tcBorders>
              <w:top w:val="nil"/>
              <w:left w:val="nil"/>
              <w:bottom w:val="nil"/>
              <w:right w:val="nil"/>
            </w:tcBorders>
            <w:vAlign w:val="bottom"/>
          </w:tcPr>
          <w:p w14:paraId="1713C173"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2.360 </w:t>
            </w:r>
          </w:p>
        </w:tc>
        <w:tc>
          <w:tcPr>
            <w:tcW w:w="483" w:type="pct"/>
            <w:tcBorders>
              <w:top w:val="nil"/>
              <w:left w:val="nil"/>
              <w:bottom w:val="nil"/>
              <w:right w:val="nil"/>
            </w:tcBorders>
            <w:vAlign w:val="bottom"/>
          </w:tcPr>
          <w:p w14:paraId="6BF11086"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1.248.881 </w:t>
            </w:r>
          </w:p>
        </w:tc>
        <w:tc>
          <w:tcPr>
            <w:tcW w:w="483" w:type="pct"/>
            <w:tcBorders>
              <w:top w:val="nil"/>
              <w:left w:val="nil"/>
              <w:bottom w:val="nil"/>
              <w:right w:val="nil"/>
            </w:tcBorders>
            <w:vAlign w:val="bottom"/>
          </w:tcPr>
          <w:p w14:paraId="1A13C3EB"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1.235.651 </w:t>
            </w:r>
          </w:p>
        </w:tc>
      </w:tr>
      <w:tr w:rsidR="000F1BD9" w:rsidRPr="00D47D1C" w14:paraId="3F61428F" w14:textId="77777777" w:rsidTr="00CA7F04">
        <w:trPr>
          <w:trHeight w:val="92"/>
        </w:trPr>
        <w:tc>
          <w:tcPr>
            <w:tcW w:w="1138" w:type="pct"/>
            <w:vAlign w:val="bottom"/>
          </w:tcPr>
          <w:p w14:paraId="2508FC4D" w14:textId="77777777" w:rsidR="000F1BD9" w:rsidRPr="00D47D1C" w:rsidRDefault="000F1BD9" w:rsidP="00CA7F04">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Krediti ostalim korisnicima</w:t>
            </w:r>
          </w:p>
        </w:tc>
        <w:tc>
          <w:tcPr>
            <w:tcW w:w="482" w:type="pct"/>
            <w:tcBorders>
              <w:top w:val="nil"/>
              <w:left w:val="nil"/>
              <w:bottom w:val="nil"/>
              <w:right w:val="nil"/>
            </w:tcBorders>
            <w:vAlign w:val="bottom"/>
          </w:tcPr>
          <w:p w14:paraId="64C3D4B0"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239.908 </w:t>
            </w:r>
          </w:p>
        </w:tc>
        <w:tc>
          <w:tcPr>
            <w:tcW w:w="483" w:type="pct"/>
            <w:tcBorders>
              <w:top w:val="nil"/>
              <w:left w:val="nil"/>
              <w:bottom w:val="nil"/>
              <w:right w:val="nil"/>
            </w:tcBorders>
            <w:vAlign w:val="bottom"/>
          </w:tcPr>
          <w:p w14:paraId="47C3560E"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94.026 </w:t>
            </w:r>
          </w:p>
        </w:tc>
        <w:tc>
          <w:tcPr>
            <w:tcW w:w="483" w:type="pct"/>
            <w:tcBorders>
              <w:top w:val="nil"/>
              <w:left w:val="nil"/>
              <w:bottom w:val="nil"/>
              <w:right w:val="nil"/>
            </w:tcBorders>
            <w:vAlign w:val="bottom"/>
          </w:tcPr>
          <w:p w14:paraId="2BC92311"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284.057 </w:t>
            </w:r>
          </w:p>
        </w:tc>
        <w:tc>
          <w:tcPr>
            <w:tcW w:w="483" w:type="pct"/>
            <w:tcBorders>
              <w:top w:val="nil"/>
              <w:left w:val="nil"/>
              <w:bottom w:val="nil"/>
              <w:right w:val="nil"/>
            </w:tcBorders>
            <w:vAlign w:val="bottom"/>
          </w:tcPr>
          <w:p w14:paraId="5E52FDB1"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574.254 </w:t>
            </w:r>
          </w:p>
        </w:tc>
        <w:tc>
          <w:tcPr>
            <w:tcW w:w="482" w:type="pct"/>
            <w:tcBorders>
              <w:top w:val="nil"/>
              <w:left w:val="nil"/>
              <w:bottom w:val="nil"/>
              <w:right w:val="nil"/>
            </w:tcBorders>
            <w:vAlign w:val="bottom"/>
          </w:tcPr>
          <w:p w14:paraId="30DB6A2F"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1.136.498 </w:t>
            </w:r>
          </w:p>
        </w:tc>
        <w:tc>
          <w:tcPr>
            <w:tcW w:w="483" w:type="pct"/>
            <w:tcBorders>
              <w:top w:val="nil"/>
              <w:left w:val="nil"/>
              <w:bottom w:val="nil"/>
              <w:right w:val="nil"/>
            </w:tcBorders>
            <w:vAlign w:val="bottom"/>
          </w:tcPr>
          <w:p w14:paraId="6C8562B7"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22.453 </w:t>
            </w:r>
          </w:p>
        </w:tc>
        <w:tc>
          <w:tcPr>
            <w:tcW w:w="483" w:type="pct"/>
            <w:tcBorders>
              <w:top w:val="nil"/>
              <w:left w:val="nil"/>
              <w:bottom w:val="nil"/>
              <w:right w:val="nil"/>
            </w:tcBorders>
            <w:vAlign w:val="bottom"/>
          </w:tcPr>
          <w:p w14:paraId="5428F7EC"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2.351.196 </w:t>
            </w:r>
          </w:p>
        </w:tc>
        <w:tc>
          <w:tcPr>
            <w:tcW w:w="483" w:type="pct"/>
            <w:tcBorders>
              <w:top w:val="nil"/>
              <w:left w:val="nil"/>
              <w:bottom w:val="nil"/>
              <w:right w:val="nil"/>
            </w:tcBorders>
            <w:vAlign w:val="bottom"/>
          </w:tcPr>
          <w:p w14:paraId="42BBF2E0"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2.200.795 </w:t>
            </w:r>
          </w:p>
        </w:tc>
      </w:tr>
      <w:tr w:rsidR="000F1BD9" w:rsidRPr="00D47D1C" w14:paraId="6D9B2695" w14:textId="77777777" w:rsidTr="00CA7F04">
        <w:trPr>
          <w:trHeight w:val="170"/>
        </w:trPr>
        <w:tc>
          <w:tcPr>
            <w:tcW w:w="1138" w:type="pct"/>
            <w:vAlign w:val="bottom"/>
          </w:tcPr>
          <w:p w14:paraId="114330DC" w14:textId="77777777" w:rsidR="000F1BD9" w:rsidRPr="00D47D1C" w:rsidRDefault="000F1BD9" w:rsidP="00CA7F04">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Financijska imovina po fer vrijednosti kroz dobit ili gubitak</w:t>
            </w:r>
          </w:p>
        </w:tc>
        <w:tc>
          <w:tcPr>
            <w:tcW w:w="482" w:type="pct"/>
            <w:vAlign w:val="bottom"/>
          </w:tcPr>
          <w:p w14:paraId="59B61148"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vAlign w:val="bottom"/>
          </w:tcPr>
          <w:p w14:paraId="38C1DB30"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vAlign w:val="bottom"/>
          </w:tcPr>
          <w:p w14:paraId="000286B9"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vAlign w:val="bottom"/>
          </w:tcPr>
          <w:p w14:paraId="7BF72937"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33.698 </w:t>
            </w:r>
          </w:p>
        </w:tc>
        <w:tc>
          <w:tcPr>
            <w:tcW w:w="482" w:type="pct"/>
            <w:vAlign w:val="bottom"/>
          </w:tcPr>
          <w:p w14:paraId="53F52428"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vAlign w:val="bottom"/>
          </w:tcPr>
          <w:p w14:paraId="7E78FFFF"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19.224 </w:t>
            </w:r>
          </w:p>
        </w:tc>
        <w:tc>
          <w:tcPr>
            <w:tcW w:w="483" w:type="pct"/>
            <w:vAlign w:val="bottom"/>
          </w:tcPr>
          <w:p w14:paraId="0301E84E"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52.922 </w:t>
            </w:r>
          </w:p>
        </w:tc>
        <w:tc>
          <w:tcPr>
            <w:tcW w:w="483" w:type="pct"/>
            <w:vAlign w:val="bottom"/>
          </w:tcPr>
          <w:p w14:paraId="7B39A5D0"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33.698 </w:t>
            </w:r>
          </w:p>
        </w:tc>
      </w:tr>
      <w:tr w:rsidR="000F1BD9" w:rsidRPr="00D47D1C" w14:paraId="5515442E" w14:textId="77777777" w:rsidTr="00CA7F04">
        <w:trPr>
          <w:trHeight w:val="163"/>
        </w:trPr>
        <w:tc>
          <w:tcPr>
            <w:tcW w:w="1138" w:type="pct"/>
            <w:vAlign w:val="bottom"/>
          </w:tcPr>
          <w:p w14:paraId="74240302" w14:textId="77777777" w:rsidR="000F1BD9" w:rsidRPr="00D47D1C" w:rsidRDefault="000F1BD9" w:rsidP="00CA7F04">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Financijska imovina po fer vrijednosti kroz ostalu sveobuhvatnu dobit</w:t>
            </w:r>
          </w:p>
        </w:tc>
        <w:tc>
          <w:tcPr>
            <w:tcW w:w="482" w:type="pct"/>
            <w:vAlign w:val="bottom"/>
          </w:tcPr>
          <w:p w14:paraId="24945EB0"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13.332 </w:t>
            </w:r>
          </w:p>
        </w:tc>
        <w:tc>
          <w:tcPr>
            <w:tcW w:w="483" w:type="pct"/>
            <w:vAlign w:val="bottom"/>
          </w:tcPr>
          <w:p w14:paraId="6B013C42"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4.976 </w:t>
            </w:r>
          </w:p>
        </w:tc>
        <w:tc>
          <w:tcPr>
            <w:tcW w:w="483" w:type="pct"/>
            <w:vAlign w:val="bottom"/>
          </w:tcPr>
          <w:p w14:paraId="2971A444"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52.642 </w:t>
            </w:r>
          </w:p>
        </w:tc>
        <w:tc>
          <w:tcPr>
            <w:tcW w:w="483" w:type="pct"/>
            <w:vAlign w:val="bottom"/>
          </w:tcPr>
          <w:p w14:paraId="07B79AF3"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110.714 </w:t>
            </w:r>
          </w:p>
        </w:tc>
        <w:tc>
          <w:tcPr>
            <w:tcW w:w="482" w:type="pct"/>
            <w:vAlign w:val="bottom"/>
          </w:tcPr>
          <w:p w14:paraId="29C01261"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42.647 </w:t>
            </w:r>
          </w:p>
        </w:tc>
        <w:tc>
          <w:tcPr>
            <w:tcW w:w="483" w:type="pct"/>
            <w:vAlign w:val="bottom"/>
          </w:tcPr>
          <w:p w14:paraId="488DCC42"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10.888 </w:t>
            </w:r>
          </w:p>
        </w:tc>
        <w:tc>
          <w:tcPr>
            <w:tcW w:w="483" w:type="pct"/>
            <w:vAlign w:val="bottom"/>
          </w:tcPr>
          <w:p w14:paraId="02E1E296"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235.199 </w:t>
            </w:r>
          </w:p>
        </w:tc>
        <w:tc>
          <w:tcPr>
            <w:tcW w:w="483" w:type="pct"/>
            <w:vAlign w:val="bottom"/>
          </w:tcPr>
          <w:p w14:paraId="2EBE4978"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224.311 </w:t>
            </w:r>
          </w:p>
        </w:tc>
      </w:tr>
      <w:tr w:rsidR="000F1BD9" w:rsidRPr="00D47D1C" w14:paraId="1B7AC270" w14:textId="77777777" w:rsidTr="00CA7F04">
        <w:trPr>
          <w:trHeight w:val="206"/>
        </w:trPr>
        <w:tc>
          <w:tcPr>
            <w:tcW w:w="1138" w:type="pct"/>
            <w:vAlign w:val="bottom"/>
          </w:tcPr>
          <w:p w14:paraId="2BE58369" w14:textId="77777777" w:rsidR="000F1BD9" w:rsidRPr="00D47D1C" w:rsidRDefault="000F1BD9" w:rsidP="00CA7F04">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Ostala imovina</w:t>
            </w:r>
          </w:p>
        </w:tc>
        <w:tc>
          <w:tcPr>
            <w:tcW w:w="482" w:type="pct"/>
            <w:tcBorders>
              <w:bottom w:val="single" w:sz="4" w:space="0" w:color="auto"/>
            </w:tcBorders>
            <w:vAlign w:val="bottom"/>
          </w:tcPr>
          <w:p w14:paraId="1EEF1FCC"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tcBorders>
              <w:bottom w:val="single" w:sz="4" w:space="0" w:color="auto"/>
            </w:tcBorders>
            <w:vAlign w:val="bottom"/>
          </w:tcPr>
          <w:p w14:paraId="56A3A7FB"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tcBorders>
              <w:bottom w:val="single" w:sz="4" w:space="0" w:color="auto"/>
            </w:tcBorders>
            <w:vAlign w:val="bottom"/>
          </w:tcPr>
          <w:p w14:paraId="5F701DFA"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tcBorders>
              <w:bottom w:val="single" w:sz="4" w:space="0" w:color="auto"/>
            </w:tcBorders>
            <w:vAlign w:val="bottom"/>
          </w:tcPr>
          <w:p w14:paraId="6B3AD8D5"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2" w:type="pct"/>
            <w:tcBorders>
              <w:bottom w:val="single" w:sz="4" w:space="0" w:color="auto"/>
            </w:tcBorders>
            <w:vAlign w:val="bottom"/>
          </w:tcPr>
          <w:p w14:paraId="4B9D5B7D"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tcBorders>
              <w:bottom w:val="single" w:sz="4" w:space="0" w:color="auto"/>
            </w:tcBorders>
            <w:vAlign w:val="bottom"/>
          </w:tcPr>
          <w:p w14:paraId="6ECBAAD7"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12.285 </w:t>
            </w:r>
          </w:p>
        </w:tc>
        <w:tc>
          <w:tcPr>
            <w:tcW w:w="483" w:type="pct"/>
            <w:tcBorders>
              <w:bottom w:val="single" w:sz="4" w:space="0" w:color="auto"/>
            </w:tcBorders>
            <w:vAlign w:val="bottom"/>
          </w:tcPr>
          <w:p w14:paraId="1665F18B"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12.285 </w:t>
            </w:r>
          </w:p>
        </w:tc>
        <w:tc>
          <w:tcPr>
            <w:tcW w:w="483" w:type="pct"/>
            <w:tcBorders>
              <w:bottom w:val="single" w:sz="4" w:space="0" w:color="auto"/>
            </w:tcBorders>
            <w:vAlign w:val="bottom"/>
          </w:tcPr>
          <w:p w14:paraId="5FF029A7"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r>
      <w:tr w:rsidR="000F1BD9" w:rsidRPr="00D47D1C" w14:paraId="176F71E8" w14:textId="77777777" w:rsidTr="00CA7F04">
        <w:trPr>
          <w:trHeight w:hRule="exact" w:val="308"/>
        </w:trPr>
        <w:tc>
          <w:tcPr>
            <w:tcW w:w="1138" w:type="pct"/>
            <w:vAlign w:val="bottom"/>
          </w:tcPr>
          <w:p w14:paraId="4F820333" w14:textId="77777777" w:rsidR="000F1BD9" w:rsidRPr="00D47D1C" w:rsidRDefault="000F1BD9" w:rsidP="00CA7F04">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b/>
                <w:bCs/>
                <w:color w:val="000000" w:themeColor="text1"/>
                <w:sz w:val="15"/>
                <w:szCs w:val="15"/>
              </w:rPr>
              <w:t xml:space="preserve">Imovina </w:t>
            </w:r>
          </w:p>
        </w:tc>
        <w:tc>
          <w:tcPr>
            <w:tcW w:w="482" w:type="pct"/>
            <w:tcBorders>
              <w:top w:val="nil"/>
              <w:left w:val="nil"/>
              <w:bottom w:val="single" w:sz="8" w:space="0" w:color="auto"/>
              <w:right w:val="nil"/>
            </w:tcBorders>
            <w:vAlign w:val="bottom"/>
          </w:tcPr>
          <w:p w14:paraId="49C1A46D" w14:textId="77777777" w:rsidR="000F1BD9" w:rsidRPr="00D47D1C" w:rsidRDefault="000F1BD9" w:rsidP="00CA7F04">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453.797 </w:t>
            </w:r>
          </w:p>
        </w:tc>
        <w:tc>
          <w:tcPr>
            <w:tcW w:w="483" w:type="pct"/>
            <w:tcBorders>
              <w:top w:val="nil"/>
              <w:left w:val="nil"/>
              <w:bottom w:val="single" w:sz="8" w:space="0" w:color="auto"/>
              <w:right w:val="nil"/>
            </w:tcBorders>
            <w:vAlign w:val="bottom"/>
          </w:tcPr>
          <w:p w14:paraId="24CDCED4" w14:textId="77777777" w:rsidR="000F1BD9" w:rsidRPr="00D47D1C" w:rsidRDefault="000F1BD9" w:rsidP="00CA7F04">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267.028 </w:t>
            </w:r>
          </w:p>
        </w:tc>
        <w:tc>
          <w:tcPr>
            <w:tcW w:w="483" w:type="pct"/>
            <w:tcBorders>
              <w:top w:val="nil"/>
              <w:left w:val="nil"/>
              <w:bottom w:val="single" w:sz="8" w:space="0" w:color="auto"/>
              <w:right w:val="nil"/>
            </w:tcBorders>
            <w:vAlign w:val="bottom"/>
          </w:tcPr>
          <w:p w14:paraId="06845DB5" w14:textId="77777777" w:rsidR="000F1BD9" w:rsidRPr="00D47D1C" w:rsidRDefault="000F1BD9" w:rsidP="00CA7F04">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464.715 </w:t>
            </w:r>
          </w:p>
        </w:tc>
        <w:tc>
          <w:tcPr>
            <w:tcW w:w="483" w:type="pct"/>
            <w:tcBorders>
              <w:top w:val="nil"/>
              <w:left w:val="nil"/>
              <w:bottom w:val="single" w:sz="8" w:space="0" w:color="auto"/>
              <w:right w:val="nil"/>
            </w:tcBorders>
            <w:vAlign w:val="bottom"/>
          </w:tcPr>
          <w:p w14:paraId="1F0B8F32" w14:textId="77777777" w:rsidR="000F1BD9" w:rsidRPr="00D47D1C" w:rsidRDefault="000F1BD9" w:rsidP="00CA7F04">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1.020.079 </w:t>
            </w:r>
          </w:p>
        </w:tc>
        <w:tc>
          <w:tcPr>
            <w:tcW w:w="482" w:type="pct"/>
            <w:tcBorders>
              <w:top w:val="nil"/>
              <w:left w:val="nil"/>
              <w:bottom w:val="single" w:sz="8" w:space="0" w:color="auto"/>
              <w:right w:val="nil"/>
            </w:tcBorders>
            <w:vAlign w:val="bottom"/>
          </w:tcPr>
          <w:p w14:paraId="19812B9C" w14:textId="77777777" w:rsidR="000F1BD9" w:rsidRPr="00D47D1C" w:rsidRDefault="000F1BD9" w:rsidP="00CA7F04">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1.740.218 </w:t>
            </w:r>
          </w:p>
        </w:tc>
        <w:tc>
          <w:tcPr>
            <w:tcW w:w="483" w:type="pct"/>
            <w:tcBorders>
              <w:top w:val="nil"/>
              <w:left w:val="nil"/>
              <w:bottom w:val="single" w:sz="8" w:space="0" w:color="auto"/>
              <w:right w:val="nil"/>
            </w:tcBorders>
            <w:vAlign w:val="bottom"/>
          </w:tcPr>
          <w:p w14:paraId="0B72CD3A" w14:textId="77777777" w:rsidR="000F1BD9" w:rsidRPr="00D47D1C" w:rsidRDefault="000F1BD9" w:rsidP="00CA7F04">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68.540 </w:t>
            </w:r>
          </w:p>
        </w:tc>
        <w:tc>
          <w:tcPr>
            <w:tcW w:w="483" w:type="pct"/>
            <w:tcBorders>
              <w:top w:val="nil"/>
              <w:left w:val="nil"/>
              <w:bottom w:val="single" w:sz="8" w:space="0" w:color="auto"/>
              <w:right w:val="nil"/>
            </w:tcBorders>
            <w:vAlign w:val="bottom"/>
          </w:tcPr>
          <w:p w14:paraId="4E37DD78" w14:textId="77777777" w:rsidR="000F1BD9" w:rsidRPr="00D47D1C" w:rsidRDefault="000F1BD9" w:rsidP="00CA7F04">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4.014.377 </w:t>
            </w:r>
          </w:p>
        </w:tc>
        <w:tc>
          <w:tcPr>
            <w:tcW w:w="483" w:type="pct"/>
            <w:tcBorders>
              <w:top w:val="nil"/>
              <w:left w:val="nil"/>
              <w:bottom w:val="single" w:sz="8" w:space="0" w:color="auto"/>
              <w:right w:val="nil"/>
            </w:tcBorders>
            <w:vAlign w:val="bottom"/>
          </w:tcPr>
          <w:p w14:paraId="503835A9" w14:textId="77777777" w:rsidR="000F1BD9" w:rsidRPr="00D47D1C" w:rsidRDefault="000F1BD9" w:rsidP="00CA7F04">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3.807.019 </w:t>
            </w:r>
          </w:p>
        </w:tc>
      </w:tr>
      <w:tr w:rsidR="000F1BD9" w:rsidRPr="00D47D1C" w14:paraId="176E7ED3" w14:textId="77777777" w:rsidTr="00CA7F04">
        <w:trPr>
          <w:trHeight w:hRule="exact" w:val="187"/>
        </w:trPr>
        <w:tc>
          <w:tcPr>
            <w:tcW w:w="1138" w:type="pct"/>
            <w:vAlign w:val="bottom"/>
          </w:tcPr>
          <w:p w14:paraId="29719F22" w14:textId="77777777" w:rsidR="000F1BD9" w:rsidRPr="00D47D1C" w:rsidRDefault="000F1BD9" w:rsidP="00CA7F04">
            <w:pPr>
              <w:tabs>
                <w:tab w:val="right" w:pos="1202"/>
              </w:tabs>
              <w:spacing w:line="240" w:lineRule="exact"/>
              <w:outlineLvl w:val="0"/>
              <w:rPr>
                <w:rFonts w:ascii="Arial" w:eastAsia="Calibri" w:hAnsi="Arial" w:cs="Arial"/>
                <w:b/>
                <w:bCs/>
                <w:color w:val="000000" w:themeColor="text1"/>
                <w:sz w:val="15"/>
                <w:szCs w:val="15"/>
              </w:rPr>
            </w:pPr>
          </w:p>
        </w:tc>
        <w:tc>
          <w:tcPr>
            <w:tcW w:w="482" w:type="pct"/>
            <w:tcBorders>
              <w:top w:val="single" w:sz="12" w:space="0" w:color="auto"/>
              <w:left w:val="nil"/>
              <w:right w:val="nil"/>
            </w:tcBorders>
            <w:vAlign w:val="bottom"/>
          </w:tcPr>
          <w:p w14:paraId="06F2AAA1" w14:textId="77777777" w:rsidR="000F1BD9" w:rsidRPr="00D47D1C" w:rsidRDefault="000F1BD9" w:rsidP="00CA7F04">
            <w:pPr>
              <w:jc w:val="right"/>
              <w:rPr>
                <w:rFonts w:ascii="Arial" w:eastAsia="Calibri" w:hAnsi="Arial" w:cs="Arial"/>
                <w:b/>
                <w:color w:val="000000" w:themeColor="text1"/>
                <w:sz w:val="15"/>
                <w:szCs w:val="15"/>
              </w:rPr>
            </w:pPr>
          </w:p>
        </w:tc>
        <w:tc>
          <w:tcPr>
            <w:tcW w:w="483" w:type="pct"/>
            <w:tcBorders>
              <w:top w:val="single" w:sz="12" w:space="0" w:color="auto"/>
              <w:left w:val="nil"/>
              <w:right w:val="nil"/>
            </w:tcBorders>
            <w:vAlign w:val="bottom"/>
          </w:tcPr>
          <w:p w14:paraId="26889CB6" w14:textId="77777777" w:rsidR="000F1BD9" w:rsidRPr="00D47D1C" w:rsidRDefault="000F1BD9" w:rsidP="00CA7F04">
            <w:pPr>
              <w:jc w:val="right"/>
              <w:rPr>
                <w:rFonts w:ascii="Arial" w:eastAsia="Calibri" w:hAnsi="Arial" w:cs="Arial"/>
                <w:b/>
                <w:color w:val="000000" w:themeColor="text1"/>
                <w:sz w:val="15"/>
                <w:szCs w:val="15"/>
              </w:rPr>
            </w:pPr>
          </w:p>
        </w:tc>
        <w:tc>
          <w:tcPr>
            <w:tcW w:w="483" w:type="pct"/>
            <w:tcBorders>
              <w:top w:val="single" w:sz="12" w:space="0" w:color="auto"/>
              <w:left w:val="nil"/>
              <w:right w:val="nil"/>
            </w:tcBorders>
            <w:vAlign w:val="bottom"/>
          </w:tcPr>
          <w:p w14:paraId="61F0AAC3" w14:textId="77777777" w:rsidR="000F1BD9" w:rsidRPr="00D47D1C" w:rsidRDefault="000F1BD9" w:rsidP="00CA7F04">
            <w:pPr>
              <w:jc w:val="right"/>
              <w:rPr>
                <w:rFonts w:ascii="Arial" w:eastAsia="Calibri" w:hAnsi="Arial" w:cs="Arial"/>
                <w:b/>
                <w:color w:val="000000" w:themeColor="text1"/>
                <w:sz w:val="15"/>
                <w:szCs w:val="15"/>
              </w:rPr>
            </w:pPr>
          </w:p>
        </w:tc>
        <w:tc>
          <w:tcPr>
            <w:tcW w:w="483" w:type="pct"/>
            <w:tcBorders>
              <w:top w:val="single" w:sz="12" w:space="0" w:color="auto"/>
              <w:left w:val="nil"/>
              <w:right w:val="nil"/>
            </w:tcBorders>
            <w:vAlign w:val="bottom"/>
          </w:tcPr>
          <w:p w14:paraId="68D3E0F7" w14:textId="77777777" w:rsidR="000F1BD9" w:rsidRPr="00D47D1C" w:rsidRDefault="000F1BD9" w:rsidP="00CA7F04">
            <w:pPr>
              <w:jc w:val="right"/>
              <w:rPr>
                <w:rFonts w:ascii="Arial" w:eastAsia="Calibri" w:hAnsi="Arial" w:cs="Arial"/>
                <w:b/>
                <w:color w:val="000000" w:themeColor="text1"/>
                <w:sz w:val="15"/>
                <w:szCs w:val="15"/>
              </w:rPr>
            </w:pPr>
          </w:p>
        </w:tc>
        <w:tc>
          <w:tcPr>
            <w:tcW w:w="482" w:type="pct"/>
            <w:tcBorders>
              <w:top w:val="single" w:sz="12" w:space="0" w:color="auto"/>
              <w:left w:val="nil"/>
              <w:right w:val="nil"/>
            </w:tcBorders>
            <w:vAlign w:val="bottom"/>
          </w:tcPr>
          <w:p w14:paraId="236A53AD" w14:textId="77777777" w:rsidR="000F1BD9" w:rsidRPr="00D47D1C" w:rsidRDefault="000F1BD9" w:rsidP="00CA7F04">
            <w:pPr>
              <w:jc w:val="right"/>
              <w:rPr>
                <w:rFonts w:ascii="Arial" w:eastAsia="Calibri" w:hAnsi="Arial" w:cs="Arial"/>
                <w:b/>
                <w:color w:val="000000" w:themeColor="text1"/>
                <w:sz w:val="15"/>
                <w:szCs w:val="15"/>
              </w:rPr>
            </w:pPr>
          </w:p>
        </w:tc>
        <w:tc>
          <w:tcPr>
            <w:tcW w:w="483" w:type="pct"/>
            <w:tcBorders>
              <w:top w:val="single" w:sz="12" w:space="0" w:color="auto"/>
              <w:left w:val="nil"/>
              <w:right w:val="nil"/>
            </w:tcBorders>
            <w:vAlign w:val="bottom"/>
          </w:tcPr>
          <w:p w14:paraId="4118D58F" w14:textId="77777777" w:rsidR="000F1BD9" w:rsidRPr="00D47D1C" w:rsidRDefault="000F1BD9" w:rsidP="00CA7F04">
            <w:pPr>
              <w:jc w:val="right"/>
              <w:rPr>
                <w:rFonts w:ascii="Arial" w:eastAsia="Calibri" w:hAnsi="Arial" w:cs="Arial"/>
                <w:b/>
                <w:color w:val="000000" w:themeColor="text1"/>
                <w:sz w:val="15"/>
                <w:szCs w:val="15"/>
              </w:rPr>
            </w:pPr>
          </w:p>
        </w:tc>
        <w:tc>
          <w:tcPr>
            <w:tcW w:w="483" w:type="pct"/>
            <w:tcBorders>
              <w:top w:val="single" w:sz="12" w:space="0" w:color="auto"/>
              <w:left w:val="nil"/>
              <w:right w:val="nil"/>
            </w:tcBorders>
            <w:vAlign w:val="bottom"/>
          </w:tcPr>
          <w:p w14:paraId="70C5B440" w14:textId="77777777" w:rsidR="000F1BD9" w:rsidRPr="00D47D1C" w:rsidRDefault="000F1BD9" w:rsidP="00CA7F04">
            <w:pPr>
              <w:jc w:val="right"/>
              <w:rPr>
                <w:rFonts w:ascii="Arial" w:eastAsia="Calibri" w:hAnsi="Arial" w:cs="Arial"/>
                <w:b/>
                <w:color w:val="000000" w:themeColor="text1"/>
                <w:sz w:val="15"/>
                <w:szCs w:val="15"/>
              </w:rPr>
            </w:pPr>
          </w:p>
        </w:tc>
        <w:tc>
          <w:tcPr>
            <w:tcW w:w="483" w:type="pct"/>
            <w:tcBorders>
              <w:top w:val="single" w:sz="12" w:space="0" w:color="auto"/>
              <w:left w:val="nil"/>
              <w:right w:val="nil"/>
            </w:tcBorders>
            <w:vAlign w:val="bottom"/>
          </w:tcPr>
          <w:p w14:paraId="6BA0EB44" w14:textId="77777777" w:rsidR="000F1BD9" w:rsidRPr="00D47D1C" w:rsidRDefault="000F1BD9" w:rsidP="00CA7F04">
            <w:pPr>
              <w:jc w:val="right"/>
              <w:rPr>
                <w:rFonts w:ascii="Arial" w:eastAsia="Calibri" w:hAnsi="Arial" w:cs="Arial"/>
                <w:b/>
                <w:color w:val="000000" w:themeColor="text1"/>
                <w:sz w:val="15"/>
                <w:szCs w:val="15"/>
              </w:rPr>
            </w:pPr>
          </w:p>
        </w:tc>
      </w:tr>
      <w:tr w:rsidR="000F1BD9" w:rsidRPr="00D47D1C" w14:paraId="6F761011" w14:textId="77777777" w:rsidTr="00CA7F04">
        <w:trPr>
          <w:trHeight w:hRule="exact" w:val="235"/>
        </w:trPr>
        <w:tc>
          <w:tcPr>
            <w:tcW w:w="1138" w:type="pct"/>
          </w:tcPr>
          <w:p w14:paraId="05042685" w14:textId="77777777" w:rsidR="000F1BD9" w:rsidRPr="00D47D1C" w:rsidRDefault="000F1BD9" w:rsidP="00CA7F04">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b/>
                <w:bCs/>
                <w:color w:val="000000" w:themeColor="text1"/>
                <w:sz w:val="15"/>
                <w:szCs w:val="15"/>
              </w:rPr>
              <w:t>Obveze</w:t>
            </w:r>
          </w:p>
        </w:tc>
        <w:tc>
          <w:tcPr>
            <w:tcW w:w="482" w:type="pct"/>
            <w:tcBorders>
              <w:left w:val="nil"/>
              <w:right w:val="nil"/>
            </w:tcBorders>
            <w:vAlign w:val="bottom"/>
          </w:tcPr>
          <w:p w14:paraId="0B4662D5" w14:textId="77777777" w:rsidR="000F1BD9" w:rsidRPr="00D47D1C" w:rsidRDefault="000F1BD9" w:rsidP="00CA7F04">
            <w:pPr>
              <w:jc w:val="right"/>
              <w:rPr>
                <w:rFonts w:ascii="Arial" w:eastAsia="Calibri" w:hAnsi="Arial" w:cs="Arial"/>
                <w:b/>
                <w:color w:val="000000" w:themeColor="text1"/>
                <w:sz w:val="15"/>
                <w:szCs w:val="15"/>
              </w:rPr>
            </w:pPr>
          </w:p>
        </w:tc>
        <w:tc>
          <w:tcPr>
            <w:tcW w:w="483" w:type="pct"/>
            <w:tcBorders>
              <w:left w:val="nil"/>
              <w:right w:val="nil"/>
            </w:tcBorders>
            <w:vAlign w:val="bottom"/>
          </w:tcPr>
          <w:p w14:paraId="264A46CB" w14:textId="77777777" w:rsidR="000F1BD9" w:rsidRPr="00D47D1C" w:rsidRDefault="000F1BD9" w:rsidP="00CA7F04">
            <w:pPr>
              <w:jc w:val="right"/>
              <w:rPr>
                <w:rFonts w:ascii="Arial" w:eastAsia="Calibri" w:hAnsi="Arial" w:cs="Arial"/>
                <w:b/>
                <w:color w:val="000000" w:themeColor="text1"/>
                <w:sz w:val="15"/>
                <w:szCs w:val="15"/>
              </w:rPr>
            </w:pPr>
          </w:p>
        </w:tc>
        <w:tc>
          <w:tcPr>
            <w:tcW w:w="483" w:type="pct"/>
            <w:tcBorders>
              <w:left w:val="nil"/>
              <w:right w:val="nil"/>
            </w:tcBorders>
            <w:vAlign w:val="bottom"/>
          </w:tcPr>
          <w:p w14:paraId="0A8AA32E" w14:textId="77777777" w:rsidR="000F1BD9" w:rsidRPr="00D47D1C" w:rsidRDefault="000F1BD9" w:rsidP="00CA7F04">
            <w:pPr>
              <w:jc w:val="right"/>
              <w:rPr>
                <w:rFonts w:ascii="Arial" w:eastAsia="Calibri" w:hAnsi="Arial" w:cs="Arial"/>
                <w:b/>
                <w:color w:val="000000" w:themeColor="text1"/>
                <w:sz w:val="15"/>
                <w:szCs w:val="15"/>
              </w:rPr>
            </w:pPr>
          </w:p>
        </w:tc>
        <w:tc>
          <w:tcPr>
            <w:tcW w:w="483" w:type="pct"/>
            <w:tcBorders>
              <w:left w:val="nil"/>
              <w:right w:val="nil"/>
            </w:tcBorders>
            <w:vAlign w:val="bottom"/>
          </w:tcPr>
          <w:p w14:paraId="03A2CF7E" w14:textId="77777777" w:rsidR="000F1BD9" w:rsidRPr="00D47D1C" w:rsidRDefault="000F1BD9" w:rsidP="00CA7F04">
            <w:pPr>
              <w:jc w:val="right"/>
              <w:rPr>
                <w:rFonts w:ascii="Arial" w:eastAsia="Calibri" w:hAnsi="Arial" w:cs="Arial"/>
                <w:b/>
                <w:color w:val="000000" w:themeColor="text1"/>
                <w:sz w:val="15"/>
                <w:szCs w:val="15"/>
              </w:rPr>
            </w:pPr>
          </w:p>
        </w:tc>
        <w:tc>
          <w:tcPr>
            <w:tcW w:w="482" w:type="pct"/>
            <w:tcBorders>
              <w:left w:val="nil"/>
              <w:right w:val="nil"/>
            </w:tcBorders>
            <w:vAlign w:val="bottom"/>
          </w:tcPr>
          <w:p w14:paraId="17FEB598" w14:textId="77777777" w:rsidR="000F1BD9" w:rsidRPr="00D47D1C" w:rsidRDefault="000F1BD9" w:rsidP="00CA7F04">
            <w:pPr>
              <w:jc w:val="right"/>
              <w:rPr>
                <w:rFonts w:ascii="Arial" w:eastAsia="Calibri" w:hAnsi="Arial" w:cs="Arial"/>
                <w:b/>
                <w:color w:val="000000" w:themeColor="text1"/>
                <w:sz w:val="15"/>
                <w:szCs w:val="15"/>
              </w:rPr>
            </w:pPr>
          </w:p>
        </w:tc>
        <w:tc>
          <w:tcPr>
            <w:tcW w:w="483" w:type="pct"/>
            <w:tcBorders>
              <w:left w:val="nil"/>
              <w:right w:val="nil"/>
            </w:tcBorders>
            <w:vAlign w:val="bottom"/>
          </w:tcPr>
          <w:p w14:paraId="21895120" w14:textId="77777777" w:rsidR="000F1BD9" w:rsidRPr="00D47D1C" w:rsidRDefault="000F1BD9" w:rsidP="00CA7F04">
            <w:pPr>
              <w:jc w:val="right"/>
              <w:rPr>
                <w:rFonts w:ascii="Arial" w:eastAsia="Calibri" w:hAnsi="Arial" w:cs="Arial"/>
                <w:b/>
                <w:color w:val="000000" w:themeColor="text1"/>
                <w:sz w:val="15"/>
                <w:szCs w:val="15"/>
              </w:rPr>
            </w:pPr>
          </w:p>
        </w:tc>
        <w:tc>
          <w:tcPr>
            <w:tcW w:w="483" w:type="pct"/>
            <w:tcBorders>
              <w:left w:val="nil"/>
              <w:right w:val="nil"/>
            </w:tcBorders>
            <w:vAlign w:val="bottom"/>
          </w:tcPr>
          <w:p w14:paraId="2BFA085A" w14:textId="77777777" w:rsidR="000F1BD9" w:rsidRPr="00D47D1C" w:rsidRDefault="000F1BD9" w:rsidP="00CA7F04">
            <w:pPr>
              <w:jc w:val="right"/>
              <w:rPr>
                <w:rFonts w:ascii="Arial" w:eastAsia="Calibri" w:hAnsi="Arial" w:cs="Arial"/>
                <w:b/>
                <w:color w:val="000000" w:themeColor="text1"/>
                <w:sz w:val="15"/>
                <w:szCs w:val="15"/>
              </w:rPr>
            </w:pPr>
          </w:p>
        </w:tc>
        <w:tc>
          <w:tcPr>
            <w:tcW w:w="483" w:type="pct"/>
            <w:tcBorders>
              <w:left w:val="nil"/>
              <w:right w:val="nil"/>
            </w:tcBorders>
            <w:vAlign w:val="bottom"/>
          </w:tcPr>
          <w:p w14:paraId="321F225D" w14:textId="77777777" w:rsidR="000F1BD9" w:rsidRPr="00D47D1C" w:rsidRDefault="000F1BD9" w:rsidP="00CA7F04">
            <w:pPr>
              <w:jc w:val="right"/>
              <w:rPr>
                <w:rFonts w:ascii="Arial" w:eastAsia="Calibri" w:hAnsi="Arial" w:cs="Arial"/>
                <w:b/>
                <w:color w:val="000000" w:themeColor="text1"/>
                <w:sz w:val="15"/>
                <w:szCs w:val="15"/>
              </w:rPr>
            </w:pPr>
          </w:p>
        </w:tc>
      </w:tr>
      <w:tr w:rsidR="000F1BD9" w:rsidRPr="00D47D1C" w14:paraId="5FEBEEA8" w14:textId="77777777" w:rsidTr="00CA7F04">
        <w:trPr>
          <w:trHeight w:hRule="exact" w:val="262"/>
        </w:trPr>
        <w:tc>
          <w:tcPr>
            <w:tcW w:w="1138" w:type="pct"/>
            <w:vAlign w:val="bottom"/>
          </w:tcPr>
          <w:p w14:paraId="1F53448E" w14:textId="77777777" w:rsidR="000F1BD9" w:rsidRPr="00D47D1C" w:rsidRDefault="000F1BD9" w:rsidP="00CA7F04">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color w:val="000000" w:themeColor="text1"/>
                <w:spacing w:val="-2"/>
                <w:sz w:val="15"/>
                <w:szCs w:val="15"/>
              </w:rPr>
              <w:t>Obveze po depozitima</w:t>
            </w:r>
          </w:p>
        </w:tc>
        <w:tc>
          <w:tcPr>
            <w:tcW w:w="482" w:type="pct"/>
            <w:tcBorders>
              <w:top w:val="nil"/>
              <w:left w:val="nil"/>
              <w:bottom w:val="nil"/>
              <w:right w:val="nil"/>
            </w:tcBorders>
            <w:vAlign w:val="bottom"/>
          </w:tcPr>
          <w:p w14:paraId="5879B01C"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77.717 </w:t>
            </w:r>
          </w:p>
        </w:tc>
        <w:tc>
          <w:tcPr>
            <w:tcW w:w="483" w:type="pct"/>
            <w:tcBorders>
              <w:top w:val="nil"/>
              <w:left w:val="nil"/>
              <w:bottom w:val="nil"/>
              <w:right w:val="nil"/>
            </w:tcBorders>
            <w:vAlign w:val="bottom"/>
          </w:tcPr>
          <w:p w14:paraId="4F6608AC"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18679AE9"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59AE89C0"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2" w:type="pct"/>
            <w:tcBorders>
              <w:top w:val="nil"/>
              <w:left w:val="nil"/>
              <w:bottom w:val="nil"/>
              <w:right w:val="nil"/>
            </w:tcBorders>
            <w:vAlign w:val="bottom"/>
          </w:tcPr>
          <w:p w14:paraId="17E771EE"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250A6F82"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117.159 </w:t>
            </w:r>
          </w:p>
        </w:tc>
        <w:tc>
          <w:tcPr>
            <w:tcW w:w="483" w:type="pct"/>
            <w:tcBorders>
              <w:top w:val="nil"/>
              <w:left w:val="nil"/>
              <w:bottom w:val="nil"/>
              <w:right w:val="nil"/>
            </w:tcBorders>
            <w:vAlign w:val="bottom"/>
          </w:tcPr>
          <w:p w14:paraId="1C64A2F9"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194.876 </w:t>
            </w:r>
          </w:p>
        </w:tc>
        <w:tc>
          <w:tcPr>
            <w:tcW w:w="483" w:type="pct"/>
            <w:tcBorders>
              <w:top w:val="nil"/>
              <w:left w:val="nil"/>
              <w:bottom w:val="nil"/>
              <w:right w:val="nil"/>
            </w:tcBorders>
            <w:vAlign w:val="bottom"/>
          </w:tcPr>
          <w:p w14:paraId="5BCCEEA4"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77.717 </w:t>
            </w:r>
          </w:p>
        </w:tc>
      </w:tr>
      <w:tr w:rsidR="000F1BD9" w:rsidRPr="00D47D1C" w14:paraId="64EFF691" w14:textId="77777777" w:rsidTr="00CA7F04">
        <w:trPr>
          <w:trHeight w:hRule="exact" w:val="254"/>
        </w:trPr>
        <w:tc>
          <w:tcPr>
            <w:tcW w:w="1138" w:type="pct"/>
            <w:vAlign w:val="bottom"/>
          </w:tcPr>
          <w:p w14:paraId="792F7E24" w14:textId="77777777" w:rsidR="000F1BD9" w:rsidRPr="00D47D1C" w:rsidRDefault="000F1BD9" w:rsidP="00CA7F04">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color w:val="000000" w:themeColor="text1"/>
                <w:spacing w:val="-2"/>
                <w:sz w:val="15"/>
                <w:szCs w:val="15"/>
              </w:rPr>
              <w:t>Obveze po kreditima</w:t>
            </w:r>
          </w:p>
        </w:tc>
        <w:tc>
          <w:tcPr>
            <w:tcW w:w="482" w:type="pct"/>
            <w:tcBorders>
              <w:top w:val="nil"/>
              <w:left w:val="nil"/>
              <w:bottom w:val="nil"/>
              <w:right w:val="nil"/>
            </w:tcBorders>
            <w:vAlign w:val="bottom"/>
          </w:tcPr>
          <w:p w14:paraId="2E07267D"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59.925 </w:t>
            </w:r>
          </w:p>
        </w:tc>
        <w:tc>
          <w:tcPr>
            <w:tcW w:w="483" w:type="pct"/>
            <w:tcBorders>
              <w:top w:val="nil"/>
              <w:left w:val="nil"/>
              <w:bottom w:val="nil"/>
              <w:right w:val="nil"/>
            </w:tcBorders>
            <w:vAlign w:val="bottom"/>
          </w:tcPr>
          <w:p w14:paraId="635C432E"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162.220 </w:t>
            </w:r>
          </w:p>
        </w:tc>
        <w:tc>
          <w:tcPr>
            <w:tcW w:w="483" w:type="pct"/>
            <w:tcBorders>
              <w:top w:val="nil"/>
              <w:left w:val="nil"/>
              <w:bottom w:val="nil"/>
              <w:right w:val="nil"/>
            </w:tcBorders>
            <w:vAlign w:val="bottom"/>
          </w:tcPr>
          <w:p w14:paraId="658A1745"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301.277 </w:t>
            </w:r>
          </w:p>
        </w:tc>
        <w:tc>
          <w:tcPr>
            <w:tcW w:w="483" w:type="pct"/>
            <w:tcBorders>
              <w:top w:val="nil"/>
              <w:left w:val="nil"/>
              <w:bottom w:val="nil"/>
              <w:right w:val="nil"/>
            </w:tcBorders>
            <w:vAlign w:val="bottom"/>
          </w:tcPr>
          <w:p w14:paraId="7DABB0EB"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637.050 </w:t>
            </w:r>
          </w:p>
        </w:tc>
        <w:tc>
          <w:tcPr>
            <w:tcW w:w="482" w:type="pct"/>
            <w:tcBorders>
              <w:top w:val="nil"/>
              <w:left w:val="nil"/>
              <w:bottom w:val="nil"/>
              <w:right w:val="nil"/>
            </w:tcBorders>
            <w:vAlign w:val="bottom"/>
          </w:tcPr>
          <w:p w14:paraId="3EAF1511"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1.084.967 </w:t>
            </w:r>
          </w:p>
        </w:tc>
        <w:tc>
          <w:tcPr>
            <w:tcW w:w="483" w:type="pct"/>
            <w:tcBorders>
              <w:top w:val="nil"/>
              <w:left w:val="nil"/>
              <w:bottom w:val="nil"/>
              <w:right w:val="nil"/>
            </w:tcBorders>
            <w:vAlign w:val="bottom"/>
          </w:tcPr>
          <w:p w14:paraId="5DC80404"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5.737 </w:t>
            </w:r>
          </w:p>
        </w:tc>
        <w:tc>
          <w:tcPr>
            <w:tcW w:w="483" w:type="pct"/>
            <w:tcBorders>
              <w:top w:val="nil"/>
              <w:left w:val="nil"/>
              <w:bottom w:val="nil"/>
              <w:right w:val="nil"/>
            </w:tcBorders>
            <w:vAlign w:val="bottom"/>
          </w:tcPr>
          <w:p w14:paraId="5D4EFB4C"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2.251.176 </w:t>
            </w:r>
          </w:p>
        </w:tc>
        <w:tc>
          <w:tcPr>
            <w:tcW w:w="483" w:type="pct"/>
            <w:tcBorders>
              <w:top w:val="nil"/>
              <w:left w:val="nil"/>
              <w:bottom w:val="nil"/>
              <w:right w:val="nil"/>
            </w:tcBorders>
            <w:vAlign w:val="bottom"/>
          </w:tcPr>
          <w:p w14:paraId="3A0B7763"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2.198.507 </w:t>
            </w:r>
          </w:p>
        </w:tc>
      </w:tr>
      <w:tr w:rsidR="000F1BD9" w:rsidRPr="00D47D1C" w14:paraId="35B9B94B" w14:textId="77777777" w:rsidTr="00CA7F04">
        <w:trPr>
          <w:trHeight w:hRule="exact" w:val="468"/>
        </w:trPr>
        <w:tc>
          <w:tcPr>
            <w:tcW w:w="1138" w:type="pct"/>
            <w:vAlign w:val="bottom"/>
          </w:tcPr>
          <w:p w14:paraId="64D2FE34" w14:textId="77777777" w:rsidR="000F1BD9" w:rsidRPr="00D47D1C" w:rsidRDefault="000F1BD9" w:rsidP="00CA7F04">
            <w:pPr>
              <w:tabs>
                <w:tab w:val="right" w:pos="1202"/>
              </w:tabs>
              <w:spacing w:line="240" w:lineRule="exact"/>
              <w:outlineLvl w:val="0"/>
              <w:rPr>
                <w:rFonts w:ascii="Arial" w:eastAsia="Calibri" w:hAnsi="Arial" w:cs="Arial"/>
                <w:color w:val="000000" w:themeColor="text1"/>
                <w:spacing w:val="-2"/>
                <w:sz w:val="15"/>
                <w:szCs w:val="15"/>
              </w:rPr>
            </w:pPr>
            <w:r w:rsidRPr="00D47D1C">
              <w:rPr>
                <w:rFonts w:ascii="Arial" w:eastAsia="Calibri" w:hAnsi="Arial" w:cs="Arial"/>
                <w:color w:val="000000" w:themeColor="text1"/>
                <w:spacing w:val="-2"/>
                <w:sz w:val="15"/>
                <w:szCs w:val="15"/>
              </w:rPr>
              <w:t>Rezerviranja za garancije, preuzete i ostale obveze</w:t>
            </w:r>
          </w:p>
        </w:tc>
        <w:tc>
          <w:tcPr>
            <w:tcW w:w="482" w:type="pct"/>
            <w:tcBorders>
              <w:top w:val="nil"/>
              <w:left w:val="nil"/>
              <w:bottom w:val="nil"/>
              <w:right w:val="nil"/>
            </w:tcBorders>
            <w:vAlign w:val="bottom"/>
          </w:tcPr>
          <w:p w14:paraId="0D6EEF74" w14:textId="77777777" w:rsidR="000F1BD9" w:rsidRPr="00D47D1C" w:rsidDel="00344206"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73E4F174" w14:textId="77777777" w:rsidR="000F1BD9" w:rsidRPr="00D47D1C" w:rsidDel="00344206"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310FF7D0" w14:textId="77777777" w:rsidR="000F1BD9" w:rsidRPr="00D47D1C" w:rsidDel="00344206"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4CA2A607" w14:textId="77777777" w:rsidR="000F1BD9" w:rsidRPr="00D47D1C" w:rsidDel="00344206"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2" w:type="pct"/>
            <w:tcBorders>
              <w:top w:val="nil"/>
              <w:left w:val="nil"/>
              <w:bottom w:val="nil"/>
              <w:right w:val="nil"/>
            </w:tcBorders>
            <w:vAlign w:val="bottom"/>
          </w:tcPr>
          <w:p w14:paraId="16C82E9E" w14:textId="77777777" w:rsidR="000F1BD9" w:rsidRPr="00D47D1C" w:rsidDel="00344206"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18B10F3C" w14:textId="77777777" w:rsidR="000F1BD9" w:rsidRPr="00D47D1C" w:rsidDel="00344206"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24.382 </w:t>
            </w:r>
          </w:p>
        </w:tc>
        <w:tc>
          <w:tcPr>
            <w:tcW w:w="483" w:type="pct"/>
            <w:tcBorders>
              <w:top w:val="nil"/>
              <w:left w:val="nil"/>
              <w:bottom w:val="nil"/>
              <w:right w:val="nil"/>
            </w:tcBorders>
            <w:vAlign w:val="bottom"/>
          </w:tcPr>
          <w:p w14:paraId="5BA22E3D" w14:textId="77777777" w:rsidR="000F1BD9" w:rsidRPr="00D47D1C" w:rsidDel="00344206"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24.382 </w:t>
            </w:r>
          </w:p>
        </w:tc>
        <w:tc>
          <w:tcPr>
            <w:tcW w:w="483" w:type="pct"/>
            <w:tcBorders>
              <w:top w:val="nil"/>
              <w:left w:val="nil"/>
              <w:bottom w:val="nil"/>
              <w:right w:val="nil"/>
            </w:tcBorders>
            <w:vAlign w:val="bottom"/>
          </w:tcPr>
          <w:p w14:paraId="77D4B1E6" w14:textId="77777777" w:rsidR="000F1BD9" w:rsidRPr="00D47D1C" w:rsidDel="00344206"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r>
      <w:tr w:rsidR="000F1BD9" w:rsidRPr="00D47D1C" w14:paraId="1D7162CA" w14:textId="77777777" w:rsidTr="00CA7F04">
        <w:trPr>
          <w:trHeight w:hRule="exact" w:val="251"/>
        </w:trPr>
        <w:tc>
          <w:tcPr>
            <w:tcW w:w="1138" w:type="pct"/>
            <w:vAlign w:val="bottom"/>
          </w:tcPr>
          <w:p w14:paraId="31064C16" w14:textId="77777777" w:rsidR="000F1BD9" w:rsidRPr="00D47D1C" w:rsidRDefault="000F1BD9" w:rsidP="00CA7F04">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color w:val="000000" w:themeColor="text1"/>
                <w:spacing w:val="-2"/>
                <w:sz w:val="15"/>
                <w:szCs w:val="15"/>
              </w:rPr>
              <w:t>Ostale obveze</w:t>
            </w:r>
          </w:p>
        </w:tc>
        <w:tc>
          <w:tcPr>
            <w:tcW w:w="482" w:type="pct"/>
            <w:tcBorders>
              <w:top w:val="nil"/>
              <w:left w:val="nil"/>
              <w:bottom w:val="nil"/>
              <w:right w:val="nil"/>
            </w:tcBorders>
            <w:vAlign w:val="bottom"/>
          </w:tcPr>
          <w:p w14:paraId="59A1B9AA"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2C5C8826"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74DFE807"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tcBorders>
              <w:top w:val="nil"/>
              <w:left w:val="nil"/>
              <w:bottom w:val="nil"/>
              <w:right w:val="nil"/>
            </w:tcBorders>
            <w:vAlign w:val="bottom"/>
          </w:tcPr>
          <w:p w14:paraId="4CD546A9"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2" w:type="pct"/>
            <w:tcBorders>
              <w:top w:val="nil"/>
              <w:left w:val="nil"/>
              <w:bottom w:val="nil"/>
              <w:right w:val="nil"/>
            </w:tcBorders>
            <w:vAlign w:val="bottom"/>
          </w:tcPr>
          <w:p w14:paraId="2D048D73"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3" w:type="pct"/>
            <w:tcBorders>
              <w:top w:val="nil"/>
              <w:left w:val="nil"/>
              <w:right w:val="nil"/>
            </w:tcBorders>
            <w:vAlign w:val="bottom"/>
          </w:tcPr>
          <w:p w14:paraId="22B33644"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93.223 </w:t>
            </w:r>
          </w:p>
        </w:tc>
        <w:tc>
          <w:tcPr>
            <w:tcW w:w="483" w:type="pct"/>
            <w:tcBorders>
              <w:top w:val="nil"/>
              <w:left w:val="nil"/>
              <w:right w:val="nil"/>
            </w:tcBorders>
            <w:vAlign w:val="bottom"/>
          </w:tcPr>
          <w:p w14:paraId="50359F1A"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93.223 </w:t>
            </w:r>
          </w:p>
        </w:tc>
        <w:tc>
          <w:tcPr>
            <w:tcW w:w="483" w:type="pct"/>
            <w:tcBorders>
              <w:top w:val="nil"/>
              <w:left w:val="nil"/>
              <w:right w:val="nil"/>
            </w:tcBorders>
            <w:vAlign w:val="bottom"/>
          </w:tcPr>
          <w:p w14:paraId="34257E77" w14:textId="77777777" w:rsidR="000F1BD9" w:rsidRPr="00D47D1C" w:rsidRDefault="000F1BD9"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r>
      <w:tr w:rsidR="000F1BD9" w:rsidRPr="00D47D1C" w14:paraId="260B8FB9" w14:textId="77777777" w:rsidTr="00CA7F04">
        <w:trPr>
          <w:trHeight w:hRule="exact" w:val="281"/>
        </w:trPr>
        <w:tc>
          <w:tcPr>
            <w:tcW w:w="1138" w:type="pct"/>
            <w:vAlign w:val="bottom"/>
          </w:tcPr>
          <w:p w14:paraId="21E7A4C5" w14:textId="77777777" w:rsidR="000F1BD9" w:rsidRPr="00D47D1C" w:rsidRDefault="000F1BD9" w:rsidP="00CA7F04">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b/>
                <w:bCs/>
                <w:color w:val="000000" w:themeColor="text1"/>
                <w:sz w:val="15"/>
                <w:szCs w:val="15"/>
              </w:rPr>
              <w:t>Obveze</w:t>
            </w:r>
          </w:p>
        </w:tc>
        <w:tc>
          <w:tcPr>
            <w:tcW w:w="482" w:type="pct"/>
            <w:tcBorders>
              <w:top w:val="single" w:sz="8" w:space="0" w:color="auto"/>
              <w:left w:val="nil"/>
              <w:bottom w:val="single" w:sz="12" w:space="0" w:color="auto"/>
              <w:right w:val="nil"/>
            </w:tcBorders>
            <w:vAlign w:val="bottom"/>
          </w:tcPr>
          <w:p w14:paraId="4EA8D4AF" w14:textId="77777777" w:rsidR="000F1BD9" w:rsidRPr="00D47D1C" w:rsidRDefault="000F1BD9" w:rsidP="00CA7F04">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137.642 </w:t>
            </w:r>
          </w:p>
        </w:tc>
        <w:tc>
          <w:tcPr>
            <w:tcW w:w="483" w:type="pct"/>
            <w:tcBorders>
              <w:top w:val="single" w:sz="8" w:space="0" w:color="auto"/>
              <w:left w:val="nil"/>
              <w:bottom w:val="single" w:sz="12" w:space="0" w:color="auto"/>
              <w:right w:val="nil"/>
            </w:tcBorders>
            <w:vAlign w:val="bottom"/>
          </w:tcPr>
          <w:p w14:paraId="3DF4237A" w14:textId="77777777" w:rsidR="000F1BD9" w:rsidRPr="00D47D1C" w:rsidRDefault="000F1BD9" w:rsidP="00CA7F04">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162.220 </w:t>
            </w:r>
          </w:p>
        </w:tc>
        <w:tc>
          <w:tcPr>
            <w:tcW w:w="483" w:type="pct"/>
            <w:tcBorders>
              <w:top w:val="single" w:sz="8" w:space="0" w:color="auto"/>
              <w:left w:val="nil"/>
              <w:bottom w:val="single" w:sz="12" w:space="0" w:color="auto"/>
              <w:right w:val="nil"/>
            </w:tcBorders>
            <w:vAlign w:val="bottom"/>
          </w:tcPr>
          <w:p w14:paraId="5A01DA5B" w14:textId="77777777" w:rsidR="000F1BD9" w:rsidRPr="00D47D1C" w:rsidRDefault="000F1BD9" w:rsidP="00CA7F04">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301.277 </w:t>
            </w:r>
          </w:p>
        </w:tc>
        <w:tc>
          <w:tcPr>
            <w:tcW w:w="483" w:type="pct"/>
            <w:tcBorders>
              <w:top w:val="single" w:sz="8" w:space="0" w:color="auto"/>
              <w:left w:val="nil"/>
              <w:bottom w:val="single" w:sz="12" w:space="0" w:color="auto"/>
              <w:right w:val="nil"/>
            </w:tcBorders>
            <w:vAlign w:val="bottom"/>
          </w:tcPr>
          <w:p w14:paraId="1422C980" w14:textId="77777777" w:rsidR="000F1BD9" w:rsidRPr="00D47D1C" w:rsidRDefault="000F1BD9" w:rsidP="00CA7F04">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637.050 </w:t>
            </w:r>
          </w:p>
        </w:tc>
        <w:tc>
          <w:tcPr>
            <w:tcW w:w="482" w:type="pct"/>
            <w:tcBorders>
              <w:top w:val="single" w:sz="8" w:space="0" w:color="auto"/>
              <w:left w:val="nil"/>
              <w:bottom w:val="single" w:sz="12" w:space="0" w:color="auto"/>
              <w:right w:val="nil"/>
            </w:tcBorders>
            <w:vAlign w:val="bottom"/>
          </w:tcPr>
          <w:p w14:paraId="1598F152" w14:textId="77777777" w:rsidR="000F1BD9" w:rsidRPr="00D47D1C" w:rsidRDefault="000F1BD9" w:rsidP="00CA7F04">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1.084.967 </w:t>
            </w:r>
          </w:p>
        </w:tc>
        <w:tc>
          <w:tcPr>
            <w:tcW w:w="483" w:type="pct"/>
            <w:tcBorders>
              <w:top w:val="single" w:sz="8" w:space="0" w:color="auto"/>
              <w:left w:val="nil"/>
              <w:bottom w:val="single" w:sz="12" w:space="0" w:color="auto"/>
              <w:right w:val="nil"/>
            </w:tcBorders>
            <w:vAlign w:val="bottom"/>
          </w:tcPr>
          <w:p w14:paraId="276E84A6" w14:textId="77777777" w:rsidR="000F1BD9" w:rsidRPr="00D47D1C" w:rsidRDefault="000F1BD9" w:rsidP="00CA7F04">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240.501 </w:t>
            </w:r>
          </w:p>
        </w:tc>
        <w:tc>
          <w:tcPr>
            <w:tcW w:w="483" w:type="pct"/>
            <w:tcBorders>
              <w:top w:val="single" w:sz="8" w:space="0" w:color="auto"/>
              <w:left w:val="nil"/>
              <w:bottom w:val="single" w:sz="12" w:space="0" w:color="auto"/>
              <w:right w:val="nil"/>
            </w:tcBorders>
            <w:vAlign w:val="bottom"/>
          </w:tcPr>
          <w:p w14:paraId="55E38E13" w14:textId="77777777" w:rsidR="000F1BD9" w:rsidRPr="00D47D1C" w:rsidRDefault="000F1BD9" w:rsidP="00CA7F04">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2.563.657 </w:t>
            </w:r>
          </w:p>
        </w:tc>
        <w:tc>
          <w:tcPr>
            <w:tcW w:w="483" w:type="pct"/>
            <w:tcBorders>
              <w:top w:val="single" w:sz="8" w:space="0" w:color="auto"/>
              <w:left w:val="nil"/>
              <w:bottom w:val="single" w:sz="12" w:space="0" w:color="auto"/>
              <w:right w:val="nil"/>
            </w:tcBorders>
            <w:vAlign w:val="bottom"/>
          </w:tcPr>
          <w:p w14:paraId="15CE4A78" w14:textId="77777777" w:rsidR="000F1BD9" w:rsidRPr="00D47D1C" w:rsidRDefault="000F1BD9" w:rsidP="00CA7F04">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2.276.224 </w:t>
            </w:r>
          </w:p>
        </w:tc>
      </w:tr>
      <w:tr w:rsidR="000F1BD9" w:rsidRPr="00D47D1C" w14:paraId="31299F1C" w14:textId="77777777" w:rsidTr="00CA7F04">
        <w:trPr>
          <w:trHeight w:hRule="exact" w:val="285"/>
        </w:trPr>
        <w:tc>
          <w:tcPr>
            <w:tcW w:w="1138" w:type="pct"/>
            <w:vAlign w:val="bottom"/>
          </w:tcPr>
          <w:p w14:paraId="2495738A" w14:textId="77777777" w:rsidR="000F1BD9" w:rsidRPr="00D47D1C" w:rsidRDefault="000F1BD9" w:rsidP="00CA7F04">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b/>
                <w:bCs/>
                <w:color w:val="000000" w:themeColor="text1"/>
                <w:spacing w:val="-2"/>
                <w:sz w:val="15"/>
                <w:szCs w:val="15"/>
              </w:rPr>
              <w:t>Kamatni jaz</w:t>
            </w:r>
          </w:p>
        </w:tc>
        <w:tc>
          <w:tcPr>
            <w:tcW w:w="482" w:type="pct"/>
            <w:tcBorders>
              <w:top w:val="nil"/>
              <w:left w:val="nil"/>
              <w:bottom w:val="single" w:sz="12" w:space="0" w:color="auto"/>
              <w:right w:val="nil"/>
            </w:tcBorders>
            <w:shd w:val="clear" w:color="auto" w:fill="auto"/>
            <w:vAlign w:val="bottom"/>
          </w:tcPr>
          <w:p w14:paraId="147E4BFA" w14:textId="77777777" w:rsidR="000F1BD9" w:rsidRPr="00D47D1C" w:rsidRDefault="000F1BD9" w:rsidP="00CA7F04">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316.155 </w:t>
            </w:r>
          </w:p>
        </w:tc>
        <w:tc>
          <w:tcPr>
            <w:tcW w:w="483" w:type="pct"/>
            <w:tcBorders>
              <w:top w:val="nil"/>
              <w:left w:val="nil"/>
              <w:bottom w:val="single" w:sz="12" w:space="0" w:color="auto"/>
              <w:right w:val="nil"/>
            </w:tcBorders>
            <w:shd w:val="clear" w:color="auto" w:fill="auto"/>
            <w:vAlign w:val="bottom"/>
          </w:tcPr>
          <w:p w14:paraId="4C357D4D" w14:textId="77777777" w:rsidR="000F1BD9" w:rsidRPr="00D47D1C" w:rsidRDefault="000F1BD9" w:rsidP="00CA7F04">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104.808 </w:t>
            </w:r>
          </w:p>
        </w:tc>
        <w:tc>
          <w:tcPr>
            <w:tcW w:w="483" w:type="pct"/>
            <w:tcBorders>
              <w:top w:val="nil"/>
              <w:left w:val="nil"/>
              <w:bottom w:val="single" w:sz="12" w:space="0" w:color="auto"/>
              <w:right w:val="nil"/>
            </w:tcBorders>
            <w:shd w:val="clear" w:color="auto" w:fill="auto"/>
            <w:vAlign w:val="bottom"/>
          </w:tcPr>
          <w:p w14:paraId="3B14D7C0" w14:textId="77777777" w:rsidR="000F1BD9" w:rsidRPr="00D47D1C" w:rsidRDefault="000F1BD9" w:rsidP="00CA7F04">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163.438 </w:t>
            </w:r>
          </w:p>
        </w:tc>
        <w:tc>
          <w:tcPr>
            <w:tcW w:w="483" w:type="pct"/>
            <w:tcBorders>
              <w:top w:val="nil"/>
              <w:left w:val="nil"/>
              <w:bottom w:val="single" w:sz="12" w:space="0" w:color="auto"/>
              <w:right w:val="nil"/>
            </w:tcBorders>
            <w:shd w:val="clear" w:color="auto" w:fill="auto"/>
            <w:vAlign w:val="bottom"/>
          </w:tcPr>
          <w:p w14:paraId="29A5C65B" w14:textId="77777777" w:rsidR="000F1BD9" w:rsidRPr="00D47D1C" w:rsidRDefault="000F1BD9" w:rsidP="00CA7F04">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383.029 </w:t>
            </w:r>
          </w:p>
        </w:tc>
        <w:tc>
          <w:tcPr>
            <w:tcW w:w="482" w:type="pct"/>
            <w:tcBorders>
              <w:top w:val="nil"/>
              <w:left w:val="nil"/>
              <w:bottom w:val="single" w:sz="12" w:space="0" w:color="auto"/>
              <w:right w:val="nil"/>
            </w:tcBorders>
            <w:shd w:val="clear" w:color="auto" w:fill="auto"/>
            <w:vAlign w:val="bottom"/>
          </w:tcPr>
          <w:p w14:paraId="57B75039" w14:textId="77777777" w:rsidR="000F1BD9" w:rsidRPr="00D47D1C" w:rsidRDefault="000F1BD9" w:rsidP="00CA7F04">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655.251 </w:t>
            </w:r>
          </w:p>
        </w:tc>
        <w:tc>
          <w:tcPr>
            <w:tcW w:w="483" w:type="pct"/>
            <w:tcBorders>
              <w:top w:val="nil"/>
              <w:left w:val="nil"/>
              <w:bottom w:val="single" w:sz="12" w:space="0" w:color="auto"/>
              <w:right w:val="nil"/>
            </w:tcBorders>
            <w:shd w:val="clear" w:color="auto" w:fill="auto"/>
            <w:vAlign w:val="bottom"/>
          </w:tcPr>
          <w:p w14:paraId="2E8D7945" w14:textId="77777777" w:rsidR="000F1BD9" w:rsidRPr="00D47D1C" w:rsidRDefault="000F1BD9" w:rsidP="00CA7F04">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(171.961)</w:t>
            </w:r>
          </w:p>
        </w:tc>
        <w:tc>
          <w:tcPr>
            <w:tcW w:w="483" w:type="pct"/>
            <w:tcBorders>
              <w:top w:val="nil"/>
              <w:left w:val="nil"/>
              <w:bottom w:val="single" w:sz="12" w:space="0" w:color="auto"/>
              <w:right w:val="nil"/>
            </w:tcBorders>
            <w:shd w:val="clear" w:color="auto" w:fill="auto"/>
            <w:vAlign w:val="bottom"/>
          </w:tcPr>
          <w:p w14:paraId="04720863" w14:textId="77777777" w:rsidR="000F1BD9" w:rsidRPr="00D47D1C" w:rsidRDefault="000F1BD9" w:rsidP="00CA7F04">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1.450.720 </w:t>
            </w:r>
          </w:p>
        </w:tc>
        <w:tc>
          <w:tcPr>
            <w:tcW w:w="483" w:type="pct"/>
            <w:tcBorders>
              <w:top w:val="nil"/>
              <w:left w:val="nil"/>
              <w:bottom w:val="single" w:sz="12" w:space="0" w:color="auto"/>
              <w:right w:val="nil"/>
            </w:tcBorders>
            <w:shd w:val="clear" w:color="auto" w:fill="auto"/>
            <w:vAlign w:val="bottom"/>
          </w:tcPr>
          <w:p w14:paraId="25B879E9" w14:textId="77777777" w:rsidR="000F1BD9" w:rsidRPr="00D47D1C" w:rsidRDefault="000F1BD9" w:rsidP="00CA7F04">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1.530.795 </w:t>
            </w:r>
          </w:p>
        </w:tc>
      </w:tr>
    </w:tbl>
    <w:p w14:paraId="1D873643" w14:textId="77777777" w:rsidR="000C7E59" w:rsidRPr="003D1614" w:rsidRDefault="000C7E59" w:rsidP="000C7E59">
      <w:pPr>
        <w:suppressAutoHyphens/>
        <w:autoSpaceDN w:val="0"/>
        <w:jc w:val="both"/>
        <w:rPr>
          <w:rFonts w:ascii="Arial" w:eastAsia="Times New Roman" w:hAnsi="Arial" w:cs="Arial"/>
          <w:bCs/>
          <w:i/>
          <w:color w:val="000000" w:themeColor="text1"/>
          <w:sz w:val="18"/>
          <w:szCs w:val="18"/>
        </w:rPr>
      </w:pPr>
    </w:p>
    <w:p w14:paraId="33635871" w14:textId="0ACBA84D" w:rsidR="000C7E59" w:rsidRPr="003D1614" w:rsidRDefault="000C7E59" w:rsidP="00661446">
      <w:pPr>
        <w:suppressAutoHyphens/>
        <w:autoSpaceDN w:val="0"/>
        <w:jc w:val="both"/>
        <w:rPr>
          <w:rFonts w:ascii="Arial" w:eastAsia="Times New Roman" w:hAnsi="Arial" w:cs="Arial"/>
          <w:bCs/>
          <w:i/>
          <w:color w:val="000000" w:themeColor="text1"/>
          <w:sz w:val="18"/>
          <w:szCs w:val="18"/>
        </w:rPr>
      </w:pPr>
    </w:p>
    <w:p w14:paraId="3734321C" w14:textId="77777777" w:rsidR="000C7E59" w:rsidRPr="003D1614" w:rsidRDefault="000C7E59" w:rsidP="00661446">
      <w:pPr>
        <w:suppressAutoHyphens/>
        <w:autoSpaceDN w:val="0"/>
        <w:jc w:val="both"/>
        <w:rPr>
          <w:rFonts w:ascii="Arial" w:eastAsia="Times New Roman" w:hAnsi="Arial" w:cs="Arial"/>
          <w:bCs/>
          <w:i/>
          <w:color w:val="000000" w:themeColor="text1"/>
          <w:sz w:val="18"/>
          <w:szCs w:val="18"/>
        </w:rPr>
        <w:sectPr w:rsidR="000C7E59" w:rsidRPr="003D1614" w:rsidSect="003278AB">
          <w:pgSz w:w="11906" w:h="16838"/>
          <w:pgMar w:top="1417" w:right="1417" w:bottom="1417" w:left="1417" w:header="708" w:footer="708" w:gutter="0"/>
          <w:cols w:space="708"/>
          <w:docGrid w:linePitch="360"/>
        </w:sectPr>
      </w:pPr>
    </w:p>
    <w:p w14:paraId="39FF6D44" w14:textId="77777777" w:rsidR="000C7E59" w:rsidRPr="003D1614" w:rsidRDefault="000C7E59" w:rsidP="000C7E59">
      <w:pPr>
        <w:tabs>
          <w:tab w:val="left" w:pos="-720"/>
        </w:tabs>
        <w:suppressAutoHyphens/>
        <w:autoSpaceDN w:val="0"/>
        <w:rPr>
          <w:rFonts w:ascii="Arial" w:eastAsia="Times New Roman" w:hAnsi="Arial" w:cs="Arial"/>
          <w:b/>
          <w:color w:val="000000" w:themeColor="text1"/>
          <w:spacing w:val="-3"/>
          <w:sz w:val="20"/>
          <w:szCs w:val="20"/>
        </w:rPr>
      </w:pPr>
    </w:p>
    <w:p w14:paraId="170FA20C" w14:textId="3B46C233"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4DC85FC1" w14:textId="77777777"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p>
    <w:p w14:paraId="1B0E4E33" w14:textId="03C96BA6"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0EDAC143" w14:textId="77777777"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p>
    <w:p w14:paraId="7934ECCC" w14:textId="0F1A6512"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.5.1.  Kamatni rizik (nastavak)</w:t>
      </w:r>
    </w:p>
    <w:p w14:paraId="7E6D368E" w14:textId="77777777" w:rsidR="000C7E59" w:rsidRPr="003D1614" w:rsidRDefault="000C7E59" w:rsidP="000C7E59">
      <w:pPr>
        <w:suppressAutoHyphens/>
        <w:autoSpaceDN w:val="0"/>
        <w:ind w:right="-6"/>
        <w:jc w:val="both"/>
        <w:rPr>
          <w:rFonts w:ascii="Arial" w:eastAsia="Times New Roman" w:hAnsi="Arial" w:cs="Arial"/>
          <w:iCs/>
          <w:color w:val="000000" w:themeColor="text1"/>
          <w:sz w:val="20"/>
          <w:szCs w:val="20"/>
        </w:rPr>
      </w:pPr>
    </w:p>
    <w:p w14:paraId="3ED2EDE2" w14:textId="0BA2FBF5" w:rsidR="000C7E59" w:rsidRPr="003D1614" w:rsidRDefault="000C7E59" w:rsidP="000C7E59">
      <w:pPr>
        <w:suppressAutoHyphens/>
        <w:autoSpaceDN w:val="0"/>
        <w:jc w:val="both"/>
        <w:rPr>
          <w:rFonts w:ascii="Arial" w:eastAsia="Times New Roman" w:hAnsi="Arial" w:cs="Arial"/>
          <w:iCs/>
          <w:color w:val="000000" w:themeColor="text1"/>
          <w:sz w:val="20"/>
          <w:szCs w:val="20"/>
        </w:rPr>
      </w:pPr>
      <w:r w:rsidRPr="003D1614">
        <w:rPr>
          <w:rFonts w:ascii="Arial" w:eastAsia="Times New Roman" w:hAnsi="Arial" w:cs="Arial"/>
          <w:iCs/>
          <w:color w:val="000000" w:themeColor="text1"/>
          <w:sz w:val="20"/>
          <w:szCs w:val="20"/>
        </w:rPr>
        <w:t xml:space="preserve">Tabele u nastavku prikazuju osjetljivost HBOR-a na rizik kamatnih stopa na dan 31. </w:t>
      </w:r>
      <w:r w:rsidR="00C55B0C">
        <w:rPr>
          <w:rFonts w:ascii="Arial" w:eastAsia="Times New Roman" w:hAnsi="Arial" w:cs="Arial"/>
          <w:iCs/>
          <w:color w:val="000000" w:themeColor="text1"/>
          <w:sz w:val="20"/>
          <w:szCs w:val="20"/>
        </w:rPr>
        <w:t>ožujka</w:t>
      </w:r>
      <w:r w:rsidRPr="003D1614">
        <w:rPr>
          <w:rFonts w:ascii="Arial" w:eastAsia="Times New Roman" w:hAnsi="Arial" w:cs="Arial"/>
          <w:iCs/>
          <w:color w:val="000000" w:themeColor="text1"/>
          <w:sz w:val="20"/>
          <w:szCs w:val="20"/>
        </w:rPr>
        <w:t xml:space="preserve"> 202</w:t>
      </w:r>
      <w:r w:rsidR="000F1BD9">
        <w:rPr>
          <w:rFonts w:ascii="Arial" w:eastAsia="Times New Roman" w:hAnsi="Arial" w:cs="Arial"/>
          <w:iCs/>
          <w:color w:val="000000" w:themeColor="text1"/>
          <w:sz w:val="20"/>
          <w:szCs w:val="20"/>
        </w:rPr>
        <w:t>4</w:t>
      </w:r>
      <w:r w:rsidRPr="003D1614">
        <w:rPr>
          <w:rFonts w:ascii="Arial" w:eastAsia="Times New Roman" w:hAnsi="Arial" w:cs="Arial"/>
          <w:iCs/>
          <w:color w:val="000000" w:themeColor="text1"/>
          <w:sz w:val="20"/>
          <w:szCs w:val="20"/>
        </w:rPr>
        <w:t xml:space="preserve">. i </w:t>
      </w:r>
      <w:r w:rsidR="00C55B0C">
        <w:rPr>
          <w:rFonts w:ascii="Arial" w:eastAsia="Times New Roman" w:hAnsi="Arial" w:cs="Arial"/>
          <w:iCs/>
          <w:color w:val="000000" w:themeColor="text1"/>
          <w:sz w:val="20"/>
          <w:szCs w:val="20"/>
        </w:rPr>
        <w:t xml:space="preserve">31. prosinca </w:t>
      </w:r>
      <w:r w:rsidRPr="003D1614">
        <w:rPr>
          <w:rFonts w:ascii="Arial" w:eastAsia="Times New Roman" w:hAnsi="Arial" w:cs="Arial"/>
          <w:iCs/>
          <w:color w:val="000000" w:themeColor="text1"/>
          <w:sz w:val="20"/>
          <w:szCs w:val="20"/>
        </w:rPr>
        <w:t>202</w:t>
      </w:r>
      <w:r w:rsidR="000F1BD9">
        <w:rPr>
          <w:rFonts w:ascii="Arial" w:eastAsia="Times New Roman" w:hAnsi="Arial" w:cs="Arial"/>
          <w:iCs/>
          <w:color w:val="000000" w:themeColor="text1"/>
          <w:sz w:val="20"/>
          <w:szCs w:val="20"/>
        </w:rPr>
        <w:t>3</w:t>
      </w:r>
      <w:r w:rsidRPr="003D1614">
        <w:rPr>
          <w:rFonts w:ascii="Arial" w:eastAsia="Times New Roman" w:hAnsi="Arial" w:cs="Arial"/>
          <w:iCs/>
          <w:color w:val="000000" w:themeColor="text1"/>
          <w:sz w:val="20"/>
          <w:szCs w:val="20"/>
        </w:rPr>
        <w:t>. godine na temelju poznatih datuma promjene cijena imovine i obveza na koje se primjenjuju promjenjive i fiksne kamatne stope. Razdoblja promjena kamatnih stopa određena su na osnovi preostale ročnosti i ugovornog razdoblja promjena kamatnih stopa, ovisno o tome što je kraće.</w:t>
      </w:r>
    </w:p>
    <w:p w14:paraId="3CFCBA2A" w14:textId="77777777" w:rsidR="000C7E59" w:rsidRPr="003D1614" w:rsidRDefault="000C7E59" w:rsidP="000C7E59">
      <w:pPr>
        <w:suppressAutoHyphens/>
        <w:autoSpaceDN w:val="0"/>
        <w:jc w:val="both"/>
        <w:rPr>
          <w:rFonts w:ascii="Arial" w:eastAsia="Times New Roman" w:hAnsi="Arial" w:cs="Arial"/>
          <w:iCs/>
          <w:color w:val="000000" w:themeColor="text1"/>
          <w:sz w:val="20"/>
          <w:szCs w:val="20"/>
        </w:rPr>
      </w:pPr>
    </w:p>
    <w:p w14:paraId="467EA68A" w14:textId="77777777" w:rsidR="000C7E59" w:rsidRPr="003D1614" w:rsidRDefault="000C7E59" w:rsidP="000C7E59">
      <w:pPr>
        <w:suppressAutoHyphens/>
        <w:autoSpaceDN w:val="0"/>
        <w:jc w:val="both"/>
        <w:rPr>
          <w:rFonts w:ascii="Arial" w:eastAsia="Times New Roman" w:hAnsi="Arial" w:cs="Arial"/>
          <w:iCs/>
          <w:color w:val="000000" w:themeColor="text1"/>
          <w:sz w:val="20"/>
          <w:szCs w:val="20"/>
        </w:rPr>
      </w:pPr>
      <w:r w:rsidRPr="003D1614">
        <w:rPr>
          <w:rFonts w:ascii="Arial" w:eastAsia="Times New Roman" w:hAnsi="Arial" w:cs="Arial"/>
          <w:iCs/>
          <w:color w:val="000000" w:themeColor="text1"/>
          <w:sz w:val="20"/>
          <w:szCs w:val="20"/>
        </w:rPr>
        <w:t xml:space="preserve">Imovina i obveze na koje se ne primjenjuje kamatna stopa svrstani su u okviru kategorije </w:t>
      </w:r>
      <w:r w:rsidRPr="003D1614">
        <w:rPr>
          <w:rFonts w:ascii="Arial" w:eastAsia="Times New Roman" w:hAnsi="Arial" w:cs="Arial"/>
          <w:color w:val="000000" w:themeColor="text1"/>
          <w:sz w:val="20"/>
          <w:szCs w:val="20"/>
        </w:rPr>
        <w:t>‘</w:t>
      </w:r>
      <w:r w:rsidRPr="003D1614">
        <w:rPr>
          <w:rFonts w:ascii="Arial" w:eastAsia="Times New Roman" w:hAnsi="Arial" w:cs="Arial"/>
          <w:iCs/>
          <w:color w:val="000000" w:themeColor="text1"/>
          <w:sz w:val="20"/>
          <w:szCs w:val="20"/>
        </w:rPr>
        <w:t>Beskamatno</w:t>
      </w:r>
      <w:r w:rsidRPr="003D1614">
        <w:rPr>
          <w:rFonts w:ascii="Arial" w:eastAsia="Times New Roman" w:hAnsi="Arial" w:cs="Arial"/>
          <w:color w:val="000000" w:themeColor="text1"/>
          <w:sz w:val="20"/>
          <w:szCs w:val="20"/>
        </w:rPr>
        <w:t>‘</w:t>
      </w:r>
      <w:r w:rsidRPr="003D1614">
        <w:rPr>
          <w:rFonts w:ascii="Arial" w:eastAsia="Times New Roman" w:hAnsi="Arial" w:cs="Arial"/>
          <w:iCs/>
          <w:color w:val="000000" w:themeColor="text1"/>
          <w:sz w:val="20"/>
          <w:szCs w:val="20"/>
        </w:rPr>
        <w:t>.</w:t>
      </w:r>
    </w:p>
    <w:p w14:paraId="03C7C857" w14:textId="25E5D77E"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Tabele u nastavku prikazuju procjenu o izloženosti kamatnom riziku HBOR-a na dan 31. </w:t>
      </w:r>
      <w:r w:rsidR="00C55B0C">
        <w:rPr>
          <w:rFonts w:ascii="Arial" w:eastAsia="Times New Roman" w:hAnsi="Arial" w:cs="Arial"/>
          <w:color w:val="000000" w:themeColor="text1"/>
          <w:sz w:val="20"/>
          <w:szCs w:val="20"/>
        </w:rPr>
        <w:t>ožujka</w:t>
      </w:r>
      <w:r w:rsidRPr="003D1614">
        <w:rPr>
          <w:rFonts w:ascii="Arial" w:eastAsia="Times New Roman" w:hAnsi="Arial" w:cs="Arial"/>
          <w:color w:val="000000" w:themeColor="text1"/>
          <w:sz w:val="20"/>
          <w:szCs w:val="20"/>
        </w:rPr>
        <w:t xml:space="preserve"> 202</w:t>
      </w:r>
      <w:r w:rsidR="00B817E2">
        <w:rPr>
          <w:rFonts w:ascii="Arial" w:eastAsia="Times New Roman" w:hAnsi="Arial" w:cs="Arial"/>
          <w:color w:val="000000" w:themeColor="text1"/>
          <w:sz w:val="20"/>
          <w:szCs w:val="20"/>
        </w:rPr>
        <w:t>4</w:t>
      </w:r>
      <w:r w:rsidRPr="003D1614">
        <w:rPr>
          <w:rFonts w:ascii="Arial" w:eastAsia="Times New Roman" w:hAnsi="Arial" w:cs="Arial"/>
          <w:color w:val="000000" w:themeColor="text1"/>
          <w:sz w:val="20"/>
          <w:szCs w:val="20"/>
        </w:rPr>
        <w:t xml:space="preserve">. i </w:t>
      </w:r>
      <w:r w:rsidR="00C55B0C">
        <w:rPr>
          <w:rFonts w:ascii="Arial" w:eastAsia="Times New Roman" w:hAnsi="Arial" w:cs="Arial"/>
          <w:color w:val="000000" w:themeColor="text1"/>
          <w:sz w:val="20"/>
          <w:szCs w:val="20"/>
        </w:rPr>
        <w:t xml:space="preserve">31. prosinca </w:t>
      </w:r>
      <w:r w:rsidRPr="003D1614">
        <w:rPr>
          <w:rFonts w:ascii="Arial" w:eastAsia="Times New Roman" w:hAnsi="Arial" w:cs="Arial"/>
          <w:color w:val="000000" w:themeColor="text1"/>
          <w:sz w:val="20"/>
          <w:szCs w:val="20"/>
        </w:rPr>
        <w:t>202</w:t>
      </w:r>
      <w:r w:rsidR="00B817E2">
        <w:rPr>
          <w:rFonts w:ascii="Arial" w:eastAsia="Times New Roman" w:hAnsi="Arial" w:cs="Arial"/>
          <w:color w:val="000000" w:themeColor="text1"/>
          <w:sz w:val="20"/>
          <w:szCs w:val="20"/>
        </w:rPr>
        <w:t>3</w:t>
      </w:r>
      <w:r w:rsidRPr="003D1614">
        <w:rPr>
          <w:rFonts w:ascii="Arial" w:eastAsia="Times New Roman" w:hAnsi="Arial" w:cs="Arial"/>
          <w:color w:val="000000" w:themeColor="text1"/>
          <w:sz w:val="20"/>
          <w:szCs w:val="20"/>
        </w:rPr>
        <w:t xml:space="preserve">. godine te nisu nužno indikativne za poziciju u drugom razdoblju. </w:t>
      </w:r>
    </w:p>
    <w:p w14:paraId="225D5AAB" w14:textId="77777777"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p>
    <w:p w14:paraId="726C1A46" w14:textId="77777777"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p>
    <w:tbl>
      <w:tblPr>
        <w:tblW w:w="5564" w:type="pct"/>
        <w:tblInd w:w="-567" w:type="dxa"/>
        <w:tblLayout w:type="fixed"/>
        <w:tblCellMar>
          <w:left w:w="120" w:type="dxa"/>
          <w:right w:w="120" w:type="dxa"/>
        </w:tblCellMar>
        <w:tblLook w:val="0000" w:firstRow="0" w:lastRow="0" w:firstColumn="0" w:lastColumn="0" w:noHBand="0" w:noVBand="0"/>
      </w:tblPr>
      <w:tblGrid>
        <w:gridCol w:w="2341"/>
        <w:gridCol w:w="961"/>
        <w:gridCol w:w="959"/>
        <w:gridCol w:w="959"/>
        <w:gridCol w:w="957"/>
        <w:gridCol w:w="987"/>
        <w:gridCol w:w="957"/>
        <w:gridCol w:w="989"/>
        <w:gridCol w:w="985"/>
      </w:tblGrid>
      <w:tr w:rsidR="00856CFF" w:rsidRPr="003D1614" w14:paraId="1E47E802" w14:textId="77777777" w:rsidTr="0008792D">
        <w:trPr>
          <w:trHeight w:val="635"/>
        </w:trPr>
        <w:tc>
          <w:tcPr>
            <w:tcW w:w="1159" w:type="pct"/>
            <w:vAlign w:val="bottom"/>
          </w:tcPr>
          <w:p w14:paraId="47E1E96A" w14:textId="77777777" w:rsidR="00856CFF" w:rsidRPr="003D1614" w:rsidRDefault="00856CFF" w:rsidP="0008792D">
            <w:pPr>
              <w:tabs>
                <w:tab w:val="right" w:pos="1202"/>
              </w:tabs>
              <w:suppressAutoHyphens/>
              <w:autoSpaceDN w:val="0"/>
              <w:spacing w:line="240" w:lineRule="atLeast"/>
              <w:outlineLvl w:val="0"/>
              <w:rPr>
                <w:rFonts w:ascii="Arial" w:eastAsia="Calibri" w:hAnsi="Arial" w:cs="Arial"/>
                <w:b/>
                <w:color w:val="000000" w:themeColor="text1"/>
                <w:sz w:val="15"/>
                <w:szCs w:val="15"/>
              </w:rPr>
            </w:pPr>
            <w:bookmarkStart w:id="928" w:name="_Toc67330620"/>
            <w:r w:rsidRPr="003D1614">
              <w:rPr>
                <w:rFonts w:ascii="Arial" w:eastAsia="Calibri" w:hAnsi="Arial" w:cs="Arial"/>
                <w:b/>
                <w:color w:val="000000" w:themeColor="text1"/>
                <w:sz w:val="15"/>
                <w:szCs w:val="15"/>
              </w:rPr>
              <w:t>Banka</w:t>
            </w:r>
            <w:bookmarkEnd w:id="928"/>
          </w:p>
          <w:p w14:paraId="40C467A4" w14:textId="77777777" w:rsidR="00856CFF" w:rsidRPr="003D1614" w:rsidRDefault="00856CFF" w:rsidP="0008792D">
            <w:pPr>
              <w:tabs>
                <w:tab w:val="right" w:pos="1202"/>
              </w:tabs>
              <w:suppressAutoHyphens/>
              <w:autoSpaceDN w:val="0"/>
              <w:spacing w:line="240" w:lineRule="atLeast"/>
              <w:outlineLvl w:val="0"/>
              <w:rPr>
                <w:rFonts w:ascii="Arial" w:eastAsia="Calibri" w:hAnsi="Arial" w:cs="Arial"/>
                <w:b/>
                <w:color w:val="000000" w:themeColor="text1"/>
                <w:sz w:val="15"/>
                <w:szCs w:val="15"/>
              </w:rPr>
            </w:pPr>
          </w:p>
          <w:p w14:paraId="49C8DA24" w14:textId="77777777" w:rsidR="00856CFF" w:rsidRPr="003D1614" w:rsidRDefault="00856CFF" w:rsidP="0008792D">
            <w:pPr>
              <w:tabs>
                <w:tab w:val="right" w:pos="1202"/>
              </w:tabs>
              <w:suppressAutoHyphens/>
              <w:autoSpaceDN w:val="0"/>
              <w:spacing w:line="240" w:lineRule="atLeast"/>
              <w:outlineLvl w:val="0"/>
              <w:rPr>
                <w:rFonts w:ascii="Arial" w:eastAsia="Calibri" w:hAnsi="Arial" w:cs="Arial"/>
                <w:b/>
                <w:color w:val="000000" w:themeColor="text1"/>
                <w:sz w:val="15"/>
                <w:szCs w:val="15"/>
              </w:rPr>
            </w:pPr>
            <w:bookmarkStart w:id="929" w:name="_Toc67330621"/>
            <w:r w:rsidRPr="003D1614">
              <w:rPr>
                <w:rFonts w:ascii="Arial" w:eastAsia="Calibri" w:hAnsi="Arial" w:cs="Arial"/>
                <w:b/>
                <w:color w:val="000000" w:themeColor="text1"/>
                <w:sz w:val="15"/>
                <w:szCs w:val="15"/>
              </w:rPr>
              <w:t>31.ožujka 202</w:t>
            </w:r>
            <w:r>
              <w:rPr>
                <w:rFonts w:ascii="Arial" w:eastAsia="Calibri" w:hAnsi="Arial" w:cs="Arial"/>
                <w:b/>
                <w:color w:val="000000" w:themeColor="text1"/>
                <w:sz w:val="15"/>
                <w:szCs w:val="15"/>
              </w:rPr>
              <w:t>4</w:t>
            </w:r>
            <w:r w:rsidRPr="003D1614">
              <w:rPr>
                <w:rFonts w:ascii="Arial" w:eastAsia="Calibri" w:hAnsi="Arial" w:cs="Arial"/>
                <w:b/>
                <w:color w:val="000000" w:themeColor="text1"/>
                <w:sz w:val="15"/>
                <w:szCs w:val="15"/>
              </w:rPr>
              <w:t>.</w:t>
            </w:r>
            <w:bookmarkEnd w:id="929"/>
            <w:r w:rsidRPr="003D1614">
              <w:rPr>
                <w:rFonts w:ascii="Arial" w:eastAsia="Calibri" w:hAnsi="Arial" w:cs="Arial"/>
                <w:b/>
                <w:color w:val="000000" w:themeColor="text1"/>
                <w:sz w:val="15"/>
                <w:szCs w:val="15"/>
              </w:rPr>
              <w:t xml:space="preserve">  </w:t>
            </w:r>
          </w:p>
        </w:tc>
        <w:tc>
          <w:tcPr>
            <w:tcW w:w="476" w:type="pct"/>
          </w:tcPr>
          <w:p w14:paraId="39656F92" w14:textId="77777777" w:rsidR="00856CFF" w:rsidRPr="003D1614" w:rsidRDefault="00856CFF" w:rsidP="0008792D">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30" w:name="_Toc67330622"/>
            <w:r w:rsidRPr="003D1614">
              <w:rPr>
                <w:rFonts w:ascii="Arial" w:eastAsia="Calibri" w:hAnsi="Arial" w:cs="Arial"/>
                <w:b/>
                <w:color w:val="000000" w:themeColor="text1"/>
                <w:sz w:val="15"/>
                <w:szCs w:val="15"/>
              </w:rPr>
              <w:t>Do 1 mjesec</w:t>
            </w:r>
            <w:bookmarkEnd w:id="930"/>
          </w:p>
        </w:tc>
        <w:tc>
          <w:tcPr>
            <w:tcW w:w="475" w:type="pct"/>
          </w:tcPr>
          <w:p w14:paraId="0375FB60" w14:textId="77777777" w:rsidR="00856CFF" w:rsidRPr="003D1614" w:rsidRDefault="00856CFF" w:rsidP="0008792D">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31" w:name="_Toc67330623"/>
            <w:r w:rsidRPr="003D1614">
              <w:rPr>
                <w:rFonts w:ascii="Arial" w:eastAsia="Calibri" w:hAnsi="Arial" w:cs="Arial"/>
                <w:b/>
                <w:color w:val="000000" w:themeColor="text1"/>
                <w:sz w:val="15"/>
                <w:szCs w:val="15"/>
              </w:rPr>
              <w:t>1 do 3 mjeseca</w:t>
            </w:r>
            <w:bookmarkEnd w:id="931"/>
          </w:p>
        </w:tc>
        <w:tc>
          <w:tcPr>
            <w:tcW w:w="475" w:type="pct"/>
          </w:tcPr>
          <w:p w14:paraId="6039425A" w14:textId="77777777" w:rsidR="00856CFF" w:rsidRPr="003D1614" w:rsidRDefault="00856CFF" w:rsidP="0008792D">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32" w:name="_Toc67330624"/>
            <w:r w:rsidRPr="003D1614">
              <w:rPr>
                <w:rFonts w:ascii="Arial" w:eastAsia="Calibri" w:hAnsi="Arial" w:cs="Arial"/>
                <w:b/>
                <w:color w:val="000000" w:themeColor="text1"/>
                <w:sz w:val="15"/>
                <w:szCs w:val="15"/>
              </w:rPr>
              <w:t>3 mj. do 1 godine</w:t>
            </w:r>
            <w:bookmarkEnd w:id="932"/>
          </w:p>
        </w:tc>
        <w:tc>
          <w:tcPr>
            <w:tcW w:w="474" w:type="pct"/>
          </w:tcPr>
          <w:p w14:paraId="0FB3648B" w14:textId="77777777" w:rsidR="00856CFF" w:rsidRPr="003D1614" w:rsidRDefault="00856CFF" w:rsidP="0008792D">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33" w:name="_Toc67330625"/>
            <w:r w:rsidRPr="003D1614">
              <w:rPr>
                <w:rFonts w:ascii="Arial" w:eastAsia="Calibri" w:hAnsi="Arial" w:cs="Arial"/>
                <w:b/>
                <w:color w:val="000000" w:themeColor="text1"/>
                <w:sz w:val="15"/>
                <w:szCs w:val="15"/>
              </w:rPr>
              <w:t>1 do 3 godina</w:t>
            </w:r>
            <w:bookmarkEnd w:id="933"/>
          </w:p>
        </w:tc>
        <w:tc>
          <w:tcPr>
            <w:tcW w:w="489" w:type="pct"/>
          </w:tcPr>
          <w:p w14:paraId="7024E6E9" w14:textId="77777777" w:rsidR="00856CFF" w:rsidRPr="003D1614" w:rsidRDefault="00856CFF" w:rsidP="0008792D">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34" w:name="_Toc67330626"/>
            <w:r w:rsidRPr="003D1614">
              <w:rPr>
                <w:rFonts w:ascii="Arial" w:eastAsia="Calibri" w:hAnsi="Arial" w:cs="Arial"/>
                <w:b/>
                <w:color w:val="000000" w:themeColor="text1"/>
                <w:sz w:val="15"/>
                <w:szCs w:val="15"/>
              </w:rPr>
              <w:t>Preko 3 godine</w:t>
            </w:r>
            <w:bookmarkEnd w:id="934"/>
          </w:p>
        </w:tc>
        <w:tc>
          <w:tcPr>
            <w:tcW w:w="474" w:type="pct"/>
          </w:tcPr>
          <w:p w14:paraId="52BB5E3F" w14:textId="77777777" w:rsidR="00856CFF" w:rsidRPr="003D1614" w:rsidRDefault="00856CFF" w:rsidP="0008792D">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35" w:name="_Toc67330627"/>
            <w:proofErr w:type="spellStart"/>
            <w:r w:rsidRPr="003D1614">
              <w:rPr>
                <w:rFonts w:ascii="Arial" w:eastAsia="Calibri" w:hAnsi="Arial" w:cs="Arial"/>
                <w:b/>
                <w:color w:val="000000" w:themeColor="text1"/>
                <w:sz w:val="15"/>
                <w:szCs w:val="15"/>
              </w:rPr>
              <w:t>Beska-matno</w:t>
            </w:r>
            <w:bookmarkEnd w:id="935"/>
            <w:proofErr w:type="spellEnd"/>
          </w:p>
        </w:tc>
        <w:tc>
          <w:tcPr>
            <w:tcW w:w="490" w:type="pct"/>
          </w:tcPr>
          <w:p w14:paraId="791B7C69" w14:textId="77777777" w:rsidR="00856CFF" w:rsidRPr="003D1614" w:rsidRDefault="00856CFF" w:rsidP="0008792D">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36" w:name="_Toc67330628"/>
            <w:r w:rsidRPr="003D1614">
              <w:rPr>
                <w:rFonts w:ascii="Arial" w:eastAsia="Calibri" w:hAnsi="Arial" w:cs="Arial"/>
                <w:b/>
                <w:color w:val="000000" w:themeColor="text1"/>
                <w:sz w:val="15"/>
                <w:szCs w:val="15"/>
              </w:rPr>
              <w:t>Ukupno</w:t>
            </w:r>
            <w:bookmarkEnd w:id="936"/>
          </w:p>
        </w:tc>
        <w:tc>
          <w:tcPr>
            <w:tcW w:w="488" w:type="pct"/>
          </w:tcPr>
          <w:p w14:paraId="2E80CD12" w14:textId="77777777" w:rsidR="00856CFF" w:rsidRPr="003D1614" w:rsidRDefault="00856CFF" w:rsidP="0008792D">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37" w:name="_Toc67330629"/>
            <w:r w:rsidRPr="003D1614">
              <w:rPr>
                <w:rFonts w:ascii="Arial" w:eastAsia="Calibri" w:hAnsi="Arial" w:cs="Arial"/>
                <w:b/>
                <w:color w:val="000000" w:themeColor="text1"/>
                <w:sz w:val="15"/>
                <w:szCs w:val="15"/>
              </w:rPr>
              <w:t>Fiksna kamatna stopa</w:t>
            </w:r>
            <w:bookmarkEnd w:id="937"/>
          </w:p>
        </w:tc>
      </w:tr>
      <w:tr w:rsidR="00856CFF" w:rsidRPr="003D1614" w14:paraId="27404837" w14:textId="77777777" w:rsidTr="0008792D">
        <w:trPr>
          <w:trHeight w:val="258"/>
        </w:trPr>
        <w:tc>
          <w:tcPr>
            <w:tcW w:w="1159" w:type="pct"/>
            <w:vAlign w:val="bottom"/>
          </w:tcPr>
          <w:p w14:paraId="479C5E9B" w14:textId="77777777" w:rsidR="00856CFF" w:rsidRPr="003D1614" w:rsidRDefault="00856CFF" w:rsidP="0008792D">
            <w:pPr>
              <w:tabs>
                <w:tab w:val="right" w:pos="1202"/>
              </w:tabs>
              <w:suppressAutoHyphens/>
              <w:autoSpaceDN w:val="0"/>
              <w:spacing w:line="240" w:lineRule="atLeast"/>
              <w:outlineLvl w:val="0"/>
              <w:rPr>
                <w:rFonts w:ascii="Arial" w:eastAsia="Calibri" w:hAnsi="Arial" w:cs="Arial"/>
                <w:b/>
                <w:color w:val="000000" w:themeColor="text1"/>
                <w:sz w:val="15"/>
                <w:szCs w:val="15"/>
              </w:rPr>
            </w:pPr>
          </w:p>
        </w:tc>
        <w:tc>
          <w:tcPr>
            <w:tcW w:w="476" w:type="pct"/>
          </w:tcPr>
          <w:p w14:paraId="54E63DE5" w14:textId="77777777" w:rsidR="00856CFF" w:rsidRPr="003D1614" w:rsidRDefault="00856CFF" w:rsidP="0008792D">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38" w:name="_Toc67330630"/>
            <w:r w:rsidRPr="003D1614">
              <w:rPr>
                <w:rFonts w:ascii="Arial" w:eastAsia="Calibri" w:hAnsi="Arial" w:cs="Arial"/>
                <w:b/>
                <w:color w:val="000000" w:themeColor="text1"/>
                <w:sz w:val="15"/>
                <w:szCs w:val="15"/>
              </w:rPr>
              <w:t>000 eura</w:t>
            </w:r>
            <w:bookmarkEnd w:id="938"/>
          </w:p>
        </w:tc>
        <w:tc>
          <w:tcPr>
            <w:tcW w:w="475" w:type="pct"/>
          </w:tcPr>
          <w:p w14:paraId="1FE14F03" w14:textId="77777777" w:rsidR="00856CFF" w:rsidRPr="003D1614" w:rsidRDefault="00856CFF" w:rsidP="0008792D">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39" w:name="_Toc67330631"/>
            <w:r w:rsidRPr="003D1614">
              <w:rPr>
                <w:rFonts w:ascii="Arial" w:eastAsia="Calibri" w:hAnsi="Arial" w:cs="Arial"/>
                <w:b/>
                <w:color w:val="000000" w:themeColor="text1"/>
                <w:sz w:val="15"/>
                <w:szCs w:val="15"/>
              </w:rPr>
              <w:t>000 eura</w:t>
            </w:r>
            <w:bookmarkEnd w:id="939"/>
          </w:p>
        </w:tc>
        <w:tc>
          <w:tcPr>
            <w:tcW w:w="475" w:type="pct"/>
          </w:tcPr>
          <w:p w14:paraId="21A0F13F" w14:textId="77777777" w:rsidR="00856CFF" w:rsidRPr="003D1614" w:rsidRDefault="00856CFF" w:rsidP="0008792D">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40" w:name="_Toc67330632"/>
            <w:r w:rsidRPr="003D1614">
              <w:rPr>
                <w:rFonts w:ascii="Arial" w:eastAsia="Calibri" w:hAnsi="Arial" w:cs="Arial"/>
                <w:b/>
                <w:color w:val="000000" w:themeColor="text1"/>
                <w:sz w:val="15"/>
                <w:szCs w:val="15"/>
              </w:rPr>
              <w:t>000 eura</w:t>
            </w:r>
            <w:bookmarkEnd w:id="940"/>
          </w:p>
        </w:tc>
        <w:tc>
          <w:tcPr>
            <w:tcW w:w="474" w:type="pct"/>
          </w:tcPr>
          <w:p w14:paraId="3653B87B" w14:textId="77777777" w:rsidR="00856CFF" w:rsidRPr="003D1614" w:rsidRDefault="00856CFF" w:rsidP="0008792D">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41" w:name="_Toc67330633"/>
            <w:r w:rsidRPr="003D1614">
              <w:rPr>
                <w:rFonts w:ascii="Arial" w:eastAsia="Calibri" w:hAnsi="Arial" w:cs="Arial"/>
                <w:b/>
                <w:color w:val="000000" w:themeColor="text1"/>
                <w:sz w:val="15"/>
                <w:szCs w:val="15"/>
              </w:rPr>
              <w:t>000 eura</w:t>
            </w:r>
            <w:bookmarkEnd w:id="941"/>
          </w:p>
        </w:tc>
        <w:tc>
          <w:tcPr>
            <w:tcW w:w="489" w:type="pct"/>
          </w:tcPr>
          <w:p w14:paraId="44D9222C" w14:textId="77777777" w:rsidR="00856CFF" w:rsidRPr="003D1614" w:rsidRDefault="00856CFF" w:rsidP="0008792D">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42" w:name="_Toc67330634"/>
            <w:r w:rsidRPr="003D1614">
              <w:rPr>
                <w:rFonts w:ascii="Arial" w:eastAsia="Calibri" w:hAnsi="Arial" w:cs="Arial"/>
                <w:b/>
                <w:color w:val="000000" w:themeColor="text1"/>
                <w:sz w:val="15"/>
                <w:szCs w:val="15"/>
              </w:rPr>
              <w:t>000 eura</w:t>
            </w:r>
            <w:bookmarkEnd w:id="942"/>
          </w:p>
        </w:tc>
        <w:tc>
          <w:tcPr>
            <w:tcW w:w="474" w:type="pct"/>
          </w:tcPr>
          <w:p w14:paraId="5900C381" w14:textId="77777777" w:rsidR="00856CFF" w:rsidRPr="003D1614" w:rsidRDefault="00856CFF" w:rsidP="0008792D">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43" w:name="_Toc67330635"/>
            <w:r w:rsidRPr="003D1614">
              <w:rPr>
                <w:rFonts w:ascii="Arial" w:eastAsia="Calibri" w:hAnsi="Arial" w:cs="Arial"/>
                <w:b/>
                <w:color w:val="000000" w:themeColor="text1"/>
                <w:sz w:val="15"/>
                <w:szCs w:val="15"/>
              </w:rPr>
              <w:t>000 eura</w:t>
            </w:r>
            <w:bookmarkEnd w:id="943"/>
          </w:p>
        </w:tc>
        <w:tc>
          <w:tcPr>
            <w:tcW w:w="490" w:type="pct"/>
          </w:tcPr>
          <w:p w14:paraId="0D591DAF" w14:textId="77777777" w:rsidR="00856CFF" w:rsidRPr="003D1614" w:rsidRDefault="00856CFF" w:rsidP="0008792D">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44" w:name="_Toc67330636"/>
            <w:r w:rsidRPr="003D1614">
              <w:rPr>
                <w:rFonts w:ascii="Arial" w:eastAsia="Calibri" w:hAnsi="Arial" w:cs="Arial"/>
                <w:b/>
                <w:color w:val="000000" w:themeColor="text1"/>
                <w:sz w:val="15"/>
                <w:szCs w:val="15"/>
              </w:rPr>
              <w:t>000 eura</w:t>
            </w:r>
            <w:bookmarkEnd w:id="944"/>
          </w:p>
        </w:tc>
        <w:tc>
          <w:tcPr>
            <w:tcW w:w="488" w:type="pct"/>
          </w:tcPr>
          <w:p w14:paraId="2ED472AE" w14:textId="77777777" w:rsidR="00856CFF" w:rsidRPr="003D1614" w:rsidRDefault="00856CFF" w:rsidP="0008792D">
            <w:pPr>
              <w:tabs>
                <w:tab w:val="right" w:pos="1202"/>
              </w:tabs>
              <w:suppressAutoHyphens/>
              <w:autoSpaceDN w:val="0"/>
              <w:spacing w:line="240" w:lineRule="atLeast"/>
              <w:jc w:val="right"/>
              <w:outlineLvl w:val="0"/>
              <w:rPr>
                <w:rFonts w:ascii="Arial" w:eastAsia="Calibri" w:hAnsi="Arial" w:cs="Arial"/>
                <w:b/>
                <w:color w:val="000000" w:themeColor="text1"/>
                <w:sz w:val="15"/>
                <w:szCs w:val="15"/>
              </w:rPr>
            </w:pPr>
            <w:bookmarkStart w:id="945" w:name="_Toc67330637"/>
            <w:r w:rsidRPr="003D1614">
              <w:rPr>
                <w:rFonts w:ascii="Arial" w:eastAsia="Calibri" w:hAnsi="Arial" w:cs="Arial"/>
                <w:b/>
                <w:color w:val="000000" w:themeColor="text1"/>
                <w:sz w:val="15"/>
                <w:szCs w:val="15"/>
              </w:rPr>
              <w:t>000 eura</w:t>
            </w:r>
            <w:bookmarkEnd w:id="945"/>
          </w:p>
        </w:tc>
      </w:tr>
      <w:tr w:rsidR="00856CFF" w:rsidRPr="003D1614" w14:paraId="34FB8EE6" w14:textId="77777777" w:rsidTr="0008792D">
        <w:trPr>
          <w:trHeight w:val="227"/>
        </w:trPr>
        <w:tc>
          <w:tcPr>
            <w:tcW w:w="1159" w:type="pct"/>
            <w:vAlign w:val="bottom"/>
          </w:tcPr>
          <w:p w14:paraId="681F3900" w14:textId="77777777" w:rsidR="00856CFF" w:rsidRPr="003D1614" w:rsidRDefault="00856CFF" w:rsidP="0008792D">
            <w:pPr>
              <w:tabs>
                <w:tab w:val="left" w:pos="-720"/>
              </w:tabs>
              <w:suppressAutoHyphens/>
              <w:autoSpaceDN w:val="0"/>
              <w:rPr>
                <w:rFonts w:ascii="Arial" w:eastAsia="Calibri" w:hAnsi="Arial" w:cs="Arial"/>
                <w:b/>
                <w:color w:val="000000" w:themeColor="text1"/>
                <w:sz w:val="15"/>
                <w:szCs w:val="15"/>
              </w:rPr>
            </w:pPr>
            <w:r w:rsidRPr="003D1614">
              <w:rPr>
                <w:rFonts w:ascii="Arial" w:eastAsia="Calibri" w:hAnsi="Arial" w:cs="Arial"/>
                <w:b/>
                <w:color w:val="000000" w:themeColor="text1"/>
                <w:sz w:val="15"/>
                <w:szCs w:val="15"/>
              </w:rPr>
              <w:t>Imovina</w:t>
            </w:r>
          </w:p>
        </w:tc>
        <w:tc>
          <w:tcPr>
            <w:tcW w:w="476" w:type="pct"/>
          </w:tcPr>
          <w:p w14:paraId="10DA98BC" w14:textId="77777777" w:rsidR="00856CFF" w:rsidRPr="003D1614" w:rsidRDefault="00856CFF" w:rsidP="0008792D">
            <w:pPr>
              <w:tabs>
                <w:tab w:val="left" w:pos="-720"/>
              </w:tabs>
              <w:suppressAutoHyphens/>
              <w:autoSpaceDN w:val="0"/>
              <w:jc w:val="right"/>
              <w:rPr>
                <w:rFonts w:ascii="Arial" w:eastAsia="Calibri" w:hAnsi="Arial" w:cs="Arial"/>
                <w:color w:val="000000" w:themeColor="text1"/>
                <w:sz w:val="15"/>
                <w:szCs w:val="15"/>
              </w:rPr>
            </w:pPr>
          </w:p>
        </w:tc>
        <w:tc>
          <w:tcPr>
            <w:tcW w:w="475" w:type="pct"/>
          </w:tcPr>
          <w:p w14:paraId="2D220EB5" w14:textId="77777777" w:rsidR="00856CFF" w:rsidRPr="003D1614" w:rsidRDefault="00856CFF" w:rsidP="0008792D">
            <w:pPr>
              <w:tabs>
                <w:tab w:val="left" w:pos="-720"/>
              </w:tabs>
              <w:suppressAutoHyphens/>
              <w:autoSpaceDN w:val="0"/>
              <w:jc w:val="right"/>
              <w:rPr>
                <w:rFonts w:ascii="Arial" w:eastAsia="Calibri" w:hAnsi="Arial" w:cs="Arial"/>
                <w:color w:val="000000" w:themeColor="text1"/>
                <w:sz w:val="15"/>
                <w:szCs w:val="15"/>
              </w:rPr>
            </w:pPr>
          </w:p>
        </w:tc>
        <w:tc>
          <w:tcPr>
            <w:tcW w:w="475" w:type="pct"/>
          </w:tcPr>
          <w:p w14:paraId="0E9B0841" w14:textId="77777777" w:rsidR="00856CFF" w:rsidRPr="003D1614" w:rsidRDefault="00856CFF" w:rsidP="0008792D">
            <w:pPr>
              <w:tabs>
                <w:tab w:val="left" w:pos="-720"/>
              </w:tabs>
              <w:suppressAutoHyphens/>
              <w:autoSpaceDN w:val="0"/>
              <w:jc w:val="right"/>
              <w:rPr>
                <w:rFonts w:ascii="Arial" w:eastAsia="Calibri" w:hAnsi="Arial" w:cs="Arial"/>
                <w:color w:val="000000" w:themeColor="text1"/>
                <w:sz w:val="15"/>
                <w:szCs w:val="15"/>
              </w:rPr>
            </w:pPr>
          </w:p>
        </w:tc>
        <w:tc>
          <w:tcPr>
            <w:tcW w:w="474" w:type="pct"/>
          </w:tcPr>
          <w:p w14:paraId="6C985890" w14:textId="77777777" w:rsidR="00856CFF" w:rsidRPr="003D1614" w:rsidRDefault="00856CFF" w:rsidP="0008792D">
            <w:pPr>
              <w:tabs>
                <w:tab w:val="left" w:pos="-720"/>
              </w:tabs>
              <w:suppressAutoHyphens/>
              <w:autoSpaceDN w:val="0"/>
              <w:jc w:val="right"/>
              <w:rPr>
                <w:rFonts w:ascii="Arial" w:eastAsia="Calibri" w:hAnsi="Arial" w:cs="Arial"/>
                <w:color w:val="000000" w:themeColor="text1"/>
                <w:sz w:val="15"/>
                <w:szCs w:val="15"/>
              </w:rPr>
            </w:pPr>
          </w:p>
        </w:tc>
        <w:tc>
          <w:tcPr>
            <w:tcW w:w="489" w:type="pct"/>
          </w:tcPr>
          <w:p w14:paraId="2B8A79EF" w14:textId="77777777" w:rsidR="00856CFF" w:rsidRPr="003D1614" w:rsidRDefault="00856CFF" w:rsidP="0008792D">
            <w:pPr>
              <w:tabs>
                <w:tab w:val="left" w:pos="-720"/>
              </w:tabs>
              <w:suppressAutoHyphens/>
              <w:autoSpaceDN w:val="0"/>
              <w:jc w:val="right"/>
              <w:rPr>
                <w:rFonts w:ascii="Arial" w:eastAsia="Calibri" w:hAnsi="Arial" w:cs="Arial"/>
                <w:color w:val="000000" w:themeColor="text1"/>
                <w:sz w:val="15"/>
                <w:szCs w:val="15"/>
              </w:rPr>
            </w:pPr>
          </w:p>
        </w:tc>
        <w:tc>
          <w:tcPr>
            <w:tcW w:w="474" w:type="pct"/>
          </w:tcPr>
          <w:p w14:paraId="7A7495C5" w14:textId="77777777" w:rsidR="00856CFF" w:rsidRPr="003D1614" w:rsidRDefault="00856CFF" w:rsidP="0008792D">
            <w:pPr>
              <w:tabs>
                <w:tab w:val="left" w:pos="-720"/>
              </w:tabs>
              <w:suppressAutoHyphens/>
              <w:autoSpaceDN w:val="0"/>
              <w:spacing w:line="360" w:lineRule="auto"/>
              <w:jc w:val="right"/>
              <w:rPr>
                <w:rFonts w:ascii="Arial" w:eastAsia="Calibri" w:hAnsi="Arial" w:cs="Arial"/>
                <w:color w:val="000000" w:themeColor="text1"/>
                <w:sz w:val="15"/>
                <w:szCs w:val="15"/>
              </w:rPr>
            </w:pPr>
          </w:p>
        </w:tc>
        <w:tc>
          <w:tcPr>
            <w:tcW w:w="490" w:type="pct"/>
          </w:tcPr>
          <w:p w14:paraId="65A29F80" w14:textId="77777777" w:rsidR="00856CFF" w:rsidRPr="003D1614" w:rsidRDefault="00856CFF" w:rsidP="0008792D">
            <w:pPr>
              <w:tabs>
                <w:tab w:val="left" w:pos="-720"/>
              </w:tabs>
              <w:suppressAutoHyphens/>
              <w:autoSpaceDN w:val="0"/>
              <w:jc w:val="right"/>
              <w:rPr>
                <w:rFonts w:ascii="Arial" w:eastAsia="Calibri" w:hAnsi="Arial" w:cs="Arial"/>
                <w:color w:val="000000" w:themeColor="text1"/>
                <w:sz w:val="15"/>
                <w:szCs w:val="15"/>
              </w:rPr>
            </w:pPr>
          </w:p>
        </w:tc>
        <w:tc>
          <w:tcPr>
            <w:tcW w:w="488" w:type="pct"/>
          </w:tcPr>
          <w:p w14:paraId="2ACDD1EF" w14:textId="77777777" w:rsidR="00856CFF" w:rsidRPr="003D1614" w:rsidRDefault="00856CFF" w:rsidP="0008792D">
            <w:pPr>
              <w:tabs>
                <w:tab w:val="left" w:pos="-720"/>
              </w:tabs>
              <w:suppressAutoHyphens/>
              <w:autoSpaceDN w:val="0"/>
              <w:jc w:val="right"/>
              <w:rPr>
                <w:rFonts w:ascii="Arial" w:eastAsia="Calibri" w:hAnsi="Arial" w:cs="Arial"/>
                <w:color w:val="000000" w:themeColor="text1"/>
                <w:sz w:val="15"/>
                <w:szCs w:val="15"/>
              </w:rPr>
            </w:pPr>
          </w:p>
        </w:tc>
      </w:tr>
      <w:tr w:rsidR="00856CFF" w:rsidRPr="003D1614" w14:paraId="11432FD9" w14:textId="77777777" w:rsidTr="0008792D">
        <w:trPr>
          <w:trHeight w:val="217"/>
        </w:trPr>
        <w:tc>
          <w:tcPr>
            <w:tcW w:w="1159" w:type="pct"/>
            <w:vAlign w:val="bottom"/>
          </w:tcPr>
          <w:p w14:paraId="31A5D590" w14:textId="77777777" w:rsidR="00856CFF" w:rsidRPr="003D1614" w:rsidRDefault="00856CFF" w:rsidP="0008792D">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Novčana sredstva i računi kod banaka</w:t>
            </w:r>
          </w:p>
        </w:tc>
        <w:tc>
          <w:tcPr>
            <w:tcW w:w="476" w:type="pct"/>
            <w:vAlign w:val="bottom"/>
          </w:tcPr>
          <w:p w14:paraId="41FEBE25"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76.953</w:t>
            </w:r>
          </w:p>
        </w:tc>
        <w:tc>
          <w:tcPr>
            <w:tcW w:w="475" w:type="pct"/>
            <w:vAlign w:val="bottom"/>
          </w:tcPr>
          <w:p w14:paraId="64D15A32"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vAlign w:val="bottom"/>
          </w:tcPr>
          <w:p w14:paraId="4E7E1850"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vAlign w:val="bottom"/>
          </w:tcPr>
          <w:p w14:paraId="5677A155"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9" w:type="pct"/>
            <w:vAlign w:val="bottom"/>
          </w:tcPr>
          <w:p w14:paraId="467525C7"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vAlign w:val="bottom"/>
          </w:tcPr>
          <w:p w14:paraId="17370C5A"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90" w:type="pct"/>
            <w:vAlign w:val="bottom"/>
          </w:tcPr>
          <w:p w14:paraId="35E18FFE"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76.953</w:t>
            </w:r>
          </w:p>
        </w:tc>
        <w:tc>
          <w:tcPr>
            <w:tcW w:w="488" w:type="pct"/>
            <w:vAlign w:val="bottom"/>
          </w:tcPr>
          <w:p w14:paraId="295DDF10"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76.953</w:t>
            </w:r>
          </w:p>
        </w:tc>
      </w:tr>
      <w:tr w:rsidR="00856CFF" w:rsidRPr="003D1614" w14:paraId="54E69093" w14:textId="77777777" w:rsidTr="0008792D">
        <w:trPr>
          <w:trHeight w:val="206"/>
        </w:trPr>
        <w:tc>
          <w:tcPr>
            <w:tcW w:w="1159" w:type="pct"/>
            <w:vAlign w:val="bottom"/>
          </w:tcPr>
          <w:p w14:paraId="598F52CD" w14:textId="77777777" w:rsidR="00856CFF" w:rsidRPr="003D1614" w:rsidRDefault="00856CFF" w:rsidP="0008792D">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Depoziti kod drugih banaka</w:t>
            </w:r>
          </w:p>
        </w:tc>
        <w:tc>
          <w:tcPr>
            <w:tcW w:w="476" w:type="pct"/>
            <w:vAlign w:val="bottom"/>
          </w:tcPr>
          <w:p w14:paraId="6A685A70"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125.794</w:t>
            </w:r>
          </w:p>
        </w:tc>
        <w:tc>
          <w:tcPr>
            <w:tcW w:w="475" w:type="pct"/>
            <w:vAlign w:val="bottom"/>
          </w:tcPr>
          <w:p w14:paraId="40625DF8"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vAlign w:val="bottom"/>
          </w:tcPr>
          <w:p w14:paraId="18BBC06C"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vAlign w:val="bottom"/>
          </w:tcPr>
          <w:p w14:paraId="75D1B417"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9" w:type="pct"/>
            <w:vAlign w:val="bottom"/>
          </w:tcPr>
          <w:p w14:paraId="08F6D3CA"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vAlign w:val="bottom"/>
          </w:tcPr>
          <w:p w14:paraId="0027A28F"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1.102</w:t>
            </w:r>
          </w:p>
        </w:tc>
        <w:tc>
          <w:tcPr>
            <w:tcW w:w="490" w:type="pct"/>
            <w:vAlign w:val="bottom"/>
          </w:tcPr>
          <w:p w14:paraId="0B9407F1"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126.896</w:t>
            </w:r>
          </w:p>
        </w:tc>
        <w:tc>
          <w:tcPr>
            <w:tcW w:w="488" w:type="pct"/>
            <w:vAlign w:val="bottom"/>
          </w:tcPr>
          <w:p w14:paraId="490160AC"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125.794</w:t>
            </w:r>
          </w:p>
        </w:tc>
      </w:tr>
      <w:tr w:rsidR="00856CFF" w:rsidRPr="003D1614" w14:paraId="34871090" w14:textId="77777777" w:rsidTr="0008792D">
        <w:trPr>
          <w:trHeight w:val="164"/>
        </w:trPr>
        <w:tc>
          <w:tcPr>
            <w:tcW w:w="1159" w:type="pct"/>
            <w:vAlign w:val="bottom"/>
          </w:tcPr>
          <w:p w14:paraId="2C4529C0" w14:textId="77777777" w:rsidR="00856CFF" w:rsidRPr="003D1614" w:rsidRDefault="00856CFF" w:rsidP="0008792D">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Krediti financijskim institucijama</w:t>
            </w:r>
          </w:p>
        </w:tc>
        <w:tc>
          <w:tcPr>
            <w:tcW w:w="476" w:type="pct"/>
            <w:tcBorders>
              <w:top w:val="nil"/>
              <w:left w:val="nil"/>
              <w:bottom w:val="nil"/>
              <w:right w:val="nil"/>
            </w:tcBorders>
            <w:vAlign w:val="bottom"/>
          </w:tcPr>
          <w:p w14:paraId="745F7620"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64.446</w:t>
            </w:r>
          </w:p>
        </w:tc>
        <w:tc>
          <w:tcPr>
            <w:tcW w:w="475" w:type="pct"/>
            <w:tcBorders>
              <w:top w:val="nil"/>
              <w:left w:val="nil"/>
              <w:bottom w:val="nil"/>
              <w:right w:val="nil"/>
            </w:tcBorders>
            <w:vAlign w:val="bottom"/>
          </w:tcPr>
          <w:p w14:paraId="0D439F7E"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58.083</w:t>
            </w:r>
          </w:p>
        </w:tc>
        <w:tc>
          <w:tcPr>
            <w:tcW w:w="475" w:type="pct"/>
            <w:tcBorders>
              <w:top w:val="nil"/>
              <w:left w:val="nil"/>
              <w:bottom w:val="nil"/>
              <w:right w:val="nil"/>
            </w:tcBorders>
            <w:vAlign w:val="bottom"/>
          </w:tcPr>
          <w:p w14:paraId="764A4D9B"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130.027</w:t>
            </w:r>
          </w:p>
        </w:tc>
        <w:tc>
          <w:tcPr>
            <w:tcW w:w="474" w:type="pct"/>
            <w:tcBorders>
              <w:top w:val="nil"/>
              <w:left w:val="nil"/>
              <w:bottom w:val="nil"/>
              <w:right w:val="nil"/>
            </w:tcBorders>
            <w:vAlign w:val="bottom"/>
          </w:tcPr>
          <w:p w14:paraId="1B90334A"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312.954</w:t>
            </w:r>
          </w:p>
        </w:tc>
        <w:tc>
          <w:tcPr>
            <w:tcW w:w="489" w:type="pct"/>
            <w:tcBorders>
              <w:top w:val="nil"/>
              <w:left w:val="nil"/>
              <w:bottom w:val="nil"/>
              <w:right w:val="nil"/>
            </w:tcBorders>
            <w:vAlign w:val="bottom"/>
          </w:tcPr>
          <w:p w14:paraId="060C5AA7"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570.071</w:t>
            </w:r>
          </w:p>
        </w:tc>
        <w:tc>
          <w:tcPr>
            <w:tcW w:w="474" w:type="pct"/>
            <w:tcBorders>
              <w:top w:val="nil"/>
              <w:left w:val="nil"/>
              <w:bottom w:val="nil"/>
              <w:right w:val="nil"/>
            </w:tcBorders>
            <w:vAlign w:val="bottom"/>
          </w:tcPr>
          <w:p w14:paraId="22FE780F"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2.485</w:t>
            </w:r>
          </w:p>
        </w:tc>
        <w:tc>
          <w:tcPr>
            <w:tcW w:w="490" w:type="pct"/>
            <w:tcBorders>
              <w:top w:val="nil"/>
              <w:left w:val="nil"/>
              <w:bottom w:val="nil"/>
              <w:right w:val="nil"/>
            </w:tcBorders>
            <w:vAlign w:val="bottom"/>
          </w:tcPr>
          <w:p w14:paraId="1750A48E"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1.138.066</w:t>
            </w:r>
          </w:p>
        </w:tc>
        <w:tc>
          <w:tcPr>
            <w:tcW w:w="488" w:type="pct"/>
            <w:tcBorders>
              <w:top w:val="nil"/>
              <w:left w:val="nil"/>
              <w:bottom w:val="nil"/>
              <w:right w:val="nil"/>
            </w:tcBorders>
            <w:vAlign w:val="bottom"/>
          </w:tcPr>
          <w:p w14:paraId="0BC58B8B"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1.122.155</w:t>
            </w:r>
          </w:p>
        </w:tc>
      </w:tr>
      <w:tr w:rsidR="00856CFF" w:rsidRPr="003D1614" w14:paraId="188E45A9" w14:textId="77777777" w:rsidTr="0008792D">
        <w:trPr>
          <w:trHeight w:val="92"/>
        </w:trPr>
        <w:tc>
          <w:tcPr>
            <w:tcW w:w="1159" w:type="pct"/>
            <w:vAlign w:val="bottom"/>
          </w:tcPr>
          <w:p w14:paraId="3C933F93" w14:textId="77777777" w:rsidR="00856CFF" w:rsidRPr="003D1614" w:rsidRDefault="00856CFF" w:rsidP="0008792D">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Krediti ostalim korisnicima</w:t>
            </w:r>
          </w:p>
        </w:tc>
        <w:tc>
          <w:tcPr>
            <w:tcW w:w="476" w:type="pct"/>
            <w:tcBorders>
              <w:top w:val="nil"/>
              <w:left w:val="nil"/>
              <w:bottom w:val="nil"/>
              <w:right w:val="nil"/>
            </w:tcBorders>
            <w:vAlign w:val="bottom"/>
          </w:tcPr>
          <w:p w14:paraId="77FACD61"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232.947</w:t>
            </w:r>
          </w:p>
        </w:tc>
        <w:tc>
          <w:tcPr>
            <w:tcW w:w="475" w:type="pct"/>
            <w:tcBorders>
              <w:top w:val="nil"/>
              <w:left w:val="nil"/>
              <w:bottom w:val="nil"/>
              <w:right w:val="nil"/>
            </w:tcBorders>
            <w:vAlign w:val="bottom"/>
          </w:tcPr>
          <w:p w14:paraId="6BA6006A"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136.264</w:t>
            </w:r>
          </w:p>
        </w:tc>
        <w:tc>
          <w:tcPr>
            <w:tcW w:w="475" w:type="pct"/>
            <w:tcBorders>
              <w:top w:val="nil"/>
              <w:left w:val="nil"/>
              <w:bottom w:val="nil"/>
              <w:right w:val="nil"/>
            </w:tcBorders>
            <w:vAlign w:val="bottom"/>
          </w:tcPr>
          <w:p w14:paraId="5A6ADE37"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287.910</w:t>
            </w:r>
          </w:p>
        </w:tc>
        <w:tc>
          <w:tcPr>
            <w:tcW w:w="474" w:type="pct"/>
            <w:tcBorders>
              <w:top w:val="nil"/>
              <w:left w:val="nil"/>
              <w:bottom w:val="nil"/>
              <w:right w:val="nil"/>
            </w:tcBorders>
            <w:vAlign w:val="bottom"/>
          </w:tcPr>
          <w:p w14:paraId="50DBB99F"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538.061</w:t>
            </w:r>
          </w:p>
        </w:tc>
        <w:tc>
          <w:tcPr>
            <w:tcW w:w="489" w:type="pct"/>
            <w:tcBorders>
              <w:top w:val="nil"/>
              <w:left w:val="nil"/>
              <w:bottom w:val="nil"/>
              <w:right w:val="nil"/>
            </w:tcBorders>
            <w:vAlign w:val="bottom"/>
          </w:tcPr>
          <w:p w14:paraId="186CFA35"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1.117.483</w:t>
            </w:r>
          </w:p>
        </w:tc>
        <w:tc>
          <w:tcPr>
            <w:tcW w:w="474" w:type="pct"/>
            <w:tcBorders>
              <w:top w:val="nil"/>
              <w:left w:val="nil"/>
              <w:bottom w:val="nil"/>
              <w:right w:val="nil"/>
            </w:tcBorders>
            <w:vAlign w:val="bottom"/>
          </w:tcPr>
          <w:p w14:paraId="27C776E2"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25.179</w:t>
            </w:r>
          </w:p>
        </w:tc>
        <w:tc>
          <w:tcPr>
            <w:tcW w:w="490" w:type="pct"/>
            <w:tcBorders>
              <w:top w:val="nil"/>
              <w:left w:val="nil"/>
              <w:bottom w:val="nil"/>
              <w:right w:val="nil"/>
            </w:tcBorders>
            <w:vAlign w:val="bottom"/>
          </w:tcPr>
          <w:p w14:paraId="2A287559"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2.337.844</w:t>
            </w:r>
          </w:p>
        </w:tc>
        <w:tc>
          <w:tcPr>
            <w:tcW w:w="488" w:type="pct"/>
            <w:tcBorders>
              <w:top w:val="nil"/>
              <w:left w:val="nil"/>
              <w:bottom w:val="nil"/>
              <w:right w:val="nil"/>
            </w:tcBorders>
            <w:vAlign w:val="bottom"/>
          </w:tcPr>
          <w:p w14:paraId="6D2AA87A"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2.202.331</w:t>
            </w:r>
          </w:p>
        </w:tc>
      </w:tr>
      <w:tr w:rsidR="00856CFF" w:rsidRPr="003D1614" w14:paraId="2DBB52F6" w14:textId="77777777" w:rsidTr="0008792D">
        <w:trPr>
          <w:trHeight w:val="170"/>
        </w:trPr>
        <w:tc>
          <w:tcPr>
            <w:tcW w:w="1159" w:type="pct"/>
            <w:vAlign w:val="bottom"/>
          </w:tcPr>
          <w:p w14:paraId="25132941" w14:textId="77777777" w:rsidR="00856CFF" w:rsidRPr="003D1614" w:rsidRDefault="00856CFF" w:rsidP="0008792D">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Financijska imovina po fer vrijednosti kroz dobit ili gubitak</w:t>
            </w:r>
          </w:p>
        </w:tc>
        <w:tc>
          <w:tcPr>
            <w:tcW w:w="476" w:type="pct"/>
            <w:vAlign w:val="bottom"/>
          </w:tcPr>
          <w:p w14:paraId="6B2279AD"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vAlign w:val="bottom"/>
          </w:tcPr>
          <w:p w14:paraId="24A2E499"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vAlign w:val="bottom"/>
          </w:tcPr>
          <w:p w14:paraId="18289A13"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vAlign w:val="bottom"/>
          </w:tcPr>
          <w:p w14:paraId="68AB923B"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33.272</w:t>
            </w:r>
          </w:p>
        </w:tc>
        <w:tc>
          <w:tcPr>
            <w:tcW w:w="489" w:type="pct"/>
            <w:vAlign w:val="bottom"/>
          </w:tcPr>
          <w:p w14:paraId="1915DEA4"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vAlign w:val="bottom"/>
          </w:tcPr>
          <w:p w14:paraId="770B010F"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20.500</w:t>
            </w:r>
          </w:p>
        </w:tc>
        <w:tc>
          <w:tcPr>
            <w:tcW w:w="490" w:type="pct"/>
            <w:vAlign w:val="bottom"/>
          </w:tcPr>
          <w:p w14:paraId="7C348139"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53.772</w:t>
            </w:r>
          </w:p>
        </w:tc>
        <w:tc>
          <w:tcPr>
            <w:tcW w:w="488" w:type="pct"/>
            <w:vAlign w:val="bottom"/>
          </w:tcPr>
          <w:p w14:paraId="054E73C0"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33.272</w:t>
            </w:r>
          </w:p>
        </w:tc>
      </w:tr>
      <w:tr w:rsidR="00856CFF" w:rsidRPr="003D1614" w14:paraId="3CFC9C29" w14:textId="77777777" w:rsidTr="0008792D">
        <w:trPr>
          <w:trHeight w:val="163"/>
        </w:trPr>
        <w:tc>
          <w:tcPr>
            <w:tcW w:w="1159" w:type="pct"/>
            <w:vAlign w:val="bottom"/>
          </w:tcPr>
          <w:p w14:paraId="066A626A" w14:textId="77777777" w:rsidR="00856CFF" w:rsidRPr="003D1614" w:rsidRDefault="00856CFF" w:rsidP="0008792D">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Financijska imovina po fer vrijednosti kroz ostalu sveobuhvatnu dobit</w:t>
            </w:r>
          </w:p>
        </w:tc>
        <w:tc>
          <w:tcPr>
            <w:tcW w:w="476" w:type="pct"/>
            <w:vAlign w:val="bottom"/>
          </w:tcPr>
          <w:p w14:paraId="3A4E3514"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16.916</w:t>
            </w:r>
          </w:p>
        </w:tc>
        <w:tc>
          <w:tcPr>
            <w:tcW w:w="475" w:type="pct"/>
            <w:vAlign w:val="bottom"/>
          </w:tcPr>
          <w:p w14:paraId="65571F6C"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vAlign w:val="bottom"/>
          </w:tcPr>
          <w:p w14:paraId="5A5D664C"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146.211</w:t>
            </w:r>
          </w:p>
        </w:tc>
        <w:tc>
          <w:tcPr>
            <w:tcW w:w="474" w:type="pct"/>
            <w:vAlign w:val="bottom"/>
          </w:tcPr>
          <w:p w14:paraId="4C2A594F"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24.748</w:t>
            </w:r>
          </w:p>
        </w:tc>
        <w:tc>
          <w:tcPr>
            <w:tcW w:w="489" w:type="pct"/>
            <w:vAlign w:val="bottom"/>
          </w:tcPr>
          <w:p w14:paraId="0FB11487"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42.485</w:t>
            </w:r>
          </w:p>
        </w:tc>
        <w:tc>
          <w:tcPr>
            <w:tcW w:w="474" w:type="pct"/>
            <w:vAlign w:val="bottom"/>
          </w:tcPr>
          <w:p w14:paraId="176D36F1"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9.240</w:t>
            </w:r>
          </w:p>
        </w:tc>
        <w:tc>
          <w:tcPr>
            <w:tcW w:w="490" w:type="pct"/>
            <w:vAlign w:val="bottom"/>
          </w:tcPr>
          <w:p w14:paraId="53E1825B"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239.600</w:t>
            </w:r>
          </w:p>
        </w:tc>
        <w:tc>
          <w:tcPr>
            <w:tcW w:w="488" w:type="pct"/>
            <w:vAlign w:val="bottom"/>
          </w:tcPr>
          <w:p w14:paraId="0D52CFDA"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230.360</w:t>
            </w:r>
          </w:p>
        </w:tc>
      </w:tr>
      <w:tr w:rsidR="00856CFF" w:rsidRPr="003D1614" w14:paraId="00B5FB3F" w14:textId="77777777" w:rsidTr="0008792D">
        <w:trPr>
          <w:trHeight w:val="206"/>
        </w:trPr>
        <w:tc>
          <w:tcPr>
            <w:tcW w:w="1159" w:type="pct"/>
            <w:vAlign w:val="bottom"/>
          </w:tcPr>
          <w:p w14:paraId="41FFB30D" w14:textId="77777777" w:rsidR="00856CFF" w:rsidRPr="003D1614" w:rsidRDefault="00856CFF" w:rsidP="0008792D">
            <w:pPr>
              <w:tabs>
                <w:tab w:val="left" w:pos="-720"/>
              </w:tabs>
              <w:suppressAutoHyphens/>
              <w:autoSpaceDN w:val="0"/>
              <w:spacing w:line="240" w:lineRule="exact"/>
              <w:rPr>
                <w:rFonts w:ascii="Arial" w:eastAsia="Calibri" w:hAnsi="Arial" w:cs="Arial"/>
                <w:color w:val="000000" w:themeColor="text1"/>
                <w:sz w:val="15"/>
                <w:szCs w:val="15"/>
              </w:rPr>
            </w:pPr>
            <w:r w:rsidRPr="003D1614">
              <w:rPr>
                <w:rFonts w:ascii="Arial" w:eastAsia="Calibri" w:hAnsi="Arial" w:cs="Arial"/>
                <w:color w:val="000000" w:themeColor="text1"/>
                <w:sz w:val="15"/>
                <w:szCs w:val="15"/>
              </w:rPr>
              <w:t>Ostala imovina</w:t>
            </w:r>
          </w:p>
        </w:tc>
        <w:tc>
          <w:tcPr>
            <w:tcW w:w="476" w:type="pct"/>
            <w:tcBorders>
              <w:bottom w:val="single" w:sz="4" w:space="0" w:color="auto"/>
            </w:tcBorders>
            <w:vAlign w:val="bottom"/>
          </w:tcPr>
          <w:p w14:paraId="0984D19E"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bottom w:val="single" w:sz="4" w:space="0" w:color="auto"/>
            </w:tcBorders>
            <w:vAlign w:val="bottom"/>
          </w:tcPr>
          <w:p w14:paraId="476A5059"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bottom w:val="single" w:sz="4" w:space="0" w:color="auto"/>
            </w:tcBorders>
            <w:vAlign w:val="bottom"/>
          </w:tcPr>
          <w:p w14:paraId="549937C7"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bottom w:val="single" w:sz="4" w:space="0" w:color="auto"/>
            </w:tcBorders>
            <w:vAlign w:val="bottom"/>
          </w:tcPr>
          <w:p w14:paraId="14FDB825"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9" w:type="pct"/>
            <w:tcBorders>
              <w:bottom w:val="single" w:sz="4" w:space="0" w:color="auto"/>
            </w:tcBorders>
            <w:vAlign w:val="bottom"/>
          </w:tcPr>
          <w:p w14:paraId="648E17AA"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bottom w:val="single" w:sz="4" w:space="0" w:color="auto"/>
            </w:tcBorders>
            <w:vAlign w:val="bottom"/>
          </w:tcPr>
          <w:p w14:paraId="3A2EC5C0"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7.250</w:t>
            </w:r>
          </w:p>
        </w:tc>
        <w:tc>
          <w:tcPr>
            <w:tcW w:w="490" w:type="pct"/>
            <w:tcBorders>
              <w:bottom w:val="single" w:sz="4" w:space="0" w:color="auto"/>
            </w:tcBorders>
            <w:vAlign w:val="bottom"/>
          </w:tcPr>
          <w:p w14:paraId="2F652D4B"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7.250</w:t>
            </w:r>
          </w:p>
        </w:tc>
        <w:tc>
          <w:tcPr>
            <w:tcW w:w="488" w:type="pct"/>
            <w:tcBorders>
              <w:bottom w:val="single" w:sz="4" w:space="0" w:color="auto"/>
            </w:tcBorders>
            <w:vAlign w:val="bottom"/>
          </w:tcPr>
          <w:p w14:paraId="57876837"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r>
      <w:tr w:rsidR="00856CFF" w:rsidRPr="003D1614" w14:paraId="0602AA63" w14:textId="77777777" w:rsidTr="0008792D">
        <w:trPr>
          <w:trHeight w:hRule="exact" w:val="308"/>
        </w:trPr>
        <w:tc>
          <w:tcPr>
            <w:tcW w:w="1159" w:type="pct"/>
            <w:vAlign w:val="center"/>
          </w:tcPr>
          <w:p w14:paraId="60745DA0" w14:textId="77777777" w:rsidR="00856CFF" w:rsidRPr="003D1614" w:rsidRDefault="00856CFF" w:rsidP="0008792D">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46" w:name="_Toc67330638"/>
            <w:r w:rsidRPr="003D1614">
              <w:rPr>
                <w:rFonts w:ascii="Arial" w:eastAsia="Calibri" w:hAnsi="Arial" w:cs="Arial"/>
                <w:b/>
                <w:bCs/>
                <w:color w:val="000000" w:themeColor="text1"/>
                <w:sz w:val="15"/>
                <w:szCs w:val="15"/>
              </w:rPr>
              <w:t>Imovina</w:t>
            </w:r>
            <w:bookmarkEnd w:id="946"/>
            <w:r w:rsidRPr="003D1614">
              <w:rPr>
                <w:rFonts w:ascii="Arial" w:eastAsia="Calibri" w:hAnsi="Arial" w:cs="Arial"/>
                <w:b/>
                <w:bCs/>
                <w:color w:val="000000" w:themeColor="text1"/>
                <w:sz w:val="15"/>
                <w:szCs w:val="15"/>
              </w:rPr>
              <w:t xml:space="preserve"> </w:t>
            </w:r>
          </w:p>
        </w:tc>
        <w:tc>
          <w:tcPr>
            <w:tcW w:w="476" w:type="pct"/>
            <w:tcBorders>
              <w:top w:val="nil"/>
              <w:left w:val="nil"/>
              <w:bottom w:val="single" w:sz="8" w:space="0" w:color="auto"/>
              <w:right w:val="nil"/>
            </w:tcBorders>
            <w:vAlign w:val="bottom"/>
          </w:tcPr>
          <w:p w14:paraId="6B38B6BD"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517.056</w:t>
            </w:r>
          </w:p>
        </w:tc>
        <w:tc>
          <w:tcPr>
            <w:tcW w:w="475" w:type="pct"/>
            <w:tcBorders>
              <w:top w:val="nil"/>
              <w:left w:val="nil"/>
              <w:bottom w:val="single" w:sz="8" w:space="0" w:color="auto"/>
              <w:right w:val="nil"/>
            </w:tcBorders>
            <w:vAlign w:val="bottom"/>
          </w:tcPr>
          <w:p w14:paraId="79C76060"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194.347</w:t>
            </w:r>
          </w:p>
        </w:tc>
        <w:tc>
          <w:tcPr>
            <w:tcW w:w="475" w:type="pct"/>
            <w:tcBorders>
              <w:top w:val="nil"/>
              <w:left w:val="nil"/>
              <w:bottom w:val="single" w:sz="8" w:space="0" w:color="auto"/>
              <w:right w:val="nil"/>
            </w:tcBorders>
            <w:vAlign w:val="bottom"/>
          </w:tcPr>
          <w:p w14:paraId="70C93C7B"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564.148</w:t>
            </w:r>
          </w:p>
        </w:tc>
        <w:tc>
          <w:tcPr>
            <w:tcW w:w="474" w:type="pct"/>
            <w:tcBorders>
              <w:top w:val="nil"/>
              <w:left w:val="nil"/>
              <w:bottom w:val="single" w:sz="8" w:space="0" w:color="auto"/>
              <w:right w:val="nil"/>
            </w:tcBorders>
            <w:vAlign w:val="bottom"/>
          </w:tcPr>
          <w:p w14:paraId="73223364"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909.035</w:t>
            </w:r>
          </w:p>
        </w:tc>
        <w:tc>
          <w:tcPr>
            <w:tcW w:w="489" w:type="pct"/>
            <w:tcBorders>
              <w:top w:val="nil"/>
              <w:left w:val="nil"/>
              <w:bottom w:val="single" w:sz="8" w:space="0" w:color="auto"/>
              <w:right w:val="nil"/>
            </w:tcBorders>
            <w:vAlign w:val="bottom"/>
          </w:tcPr>
          <w:p w14:paraId="021A7526"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1.730.039</w:t>
            </w:r>
          </w:p>
        </w:tc>
        <w:tc>
          <w:tcPr>
            <w:tcW w:w="474" w:type="pct"/>
            <w:tcBorders>
              <w:top w:val="nil"/>
              <w:left w:val="nil"/>
              <w:bottom w:val="single" w:sz="8" w:space="0" w:color="auto"/>
              <w:right w:val="nil"/>
            </w:tcBorders>
            <w:vAlign w:val="bottom"/>
          </w:tcPr>
          <w:p w14:paraId="4C0CE2FC"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65.756</w:t>
            </w:r>
          </w:p>
        </w:tc>
        <w:tc>
          <w:tcPr>
            <w:tcW w:w="490" w:type="pct"/>
            <w:tcBorders>
              <w:top w:val="nil"/>
              <w:left w:val="nil"/>
              <w:bottom w:val="single" w:sz="8" w:space="0" w:color="auto"/>
              <w:right w:val="nil"/>
            </w:tcBorders>
            <w:vAlign w:val="bottom"/>
          </w:tcPr>
          <w:p w14:paraId="256CAF86"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3.980.381</w:t>
            </w:r>
          </w:p>
        </w:tc>
        <w:tc>
          <w:tcPr>
            <w:tcW w:w="488" w:type="pct"/>
            <w:tcBorders>
              <w:top w:val="nil"/>
              <w:left w:val="nil"/>
              <w:bottom w:val="single" w:sz="8" w:space="0" w:color="auto"/>
              <w:right w:val="nil"/>
            </w:tcBorders>
            <w:vAlign w:val="bottom"/>
          </w:tcPr>
          <w:p w14:paraId="55966738"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3.790.865</w:t>
            </w:r>
          </w:p>
        </w:tc>
      </w:tr>
      <w:tr w:rsidR="00856CFF" w:rsidRPr="003D1614" w14:paraId="5A72BC28" w14:textId="77777777" w:rsidTr="0008792D">
        <w:trPr>
          <w:trHeight w:hRule="exact" w:val="187"/>
        </w:trPr>
        <w:tc>
          <w:tcPr>
            <w:tcW w:w="1159" w:type="pct"/>
            <w:vAlign w:val="bottom"/>
          </w:tcPr>
          <w:p w14:paraId="2F4F3FAE" w14:textId="77777777" w:rsidR="00856CFF" w:rsidRPr="003D1614" w:rsidRDefault="00856CFF" w:rsidP="0008792D">
            <w:pPr>
              <w:tabs>
                <w:tab w:val="right" w:pos="1202"/>
              </w:tabs>
              <w:suppressAutoHyphens/>
              <w:autoSpaceDN w:val="0"/>
              <w:spacing w:line="240" w:lineRule="exact"/>
              <w:outlineLvl w:val="0"/>
              <w:rPr>
                <w:rFonts w:ascii="Arial" w:eastAsia="Calibri" w:hAnsi="Arial" w:cs="Arial"/>
                <w:b/>
                <w:bCs/>
                <w:color w:val="000000" w:themeColor="text1"/>
                <w:sz w:val="15"/>
                <w:szCs w:val="15"/>
              </w:rPr>
            </w:pPr>
          </w:p>
        </w:tc>
        <w:tc>
          <w:tcPr>
            <w:tcW w:w="476" w:type="pct"/>
            <w:tcBorders>
              <w:top w:val="single" w:sz="12" w:space="0" w:color="auto"/>
              <w:left w:val="nil"/>
              <w:right w:val="nil"/>
            </w:tcBorders>
            <w:vAlign w:val="bottom"/>
          </w:tcPr>
          <w:p w14:paraId="0E4AB408"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p>
        </w:tc>
        <w:tc>
          <w:tcPr>
            <w:tcW w:w="475" w:type="pct"/>
            <w:tcBorders>
              <w:top w:val="single" w:sz="12" w:space="0" w:color="auto"/>
              <w:left w:val="nil"/>
              <w:right w:val="nil"/>
            </w:tcBorders>
            <w:vAlign w:val="bottom"/>
          </w:tcPr>
          <w:p w14:paraId="62E944C3"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p>
        </w:tc>
        <w:tc>
          <w:tcPr>
            <w:tcW w:w="475" w:type="pct"/>
            <w:tcBorders>
              <w:top w:val="single" w:sz="12" w:space="0" w:color="auto"/>
              <w:left w:val="nil"/>
              <w:right w:val="nil"/>
            </w:tcBorders>
            <w:vAlign w:val="bottom"/>
          </w:tcPr>
          <w:p w14:paraId="29FFCCF9"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p>
        </w:tc>
        <w:tc>
          <w:tcPr>
            <w:tcW w:w="474" w:type="pct"/>
            <w:tcBorders>
              <w:top w:val="single" w:sz="12" w:space="0" w:color="auto"/>
              <w:left w:val="nil"/>
              <w:right w:val="nil"/>
            </w:tcBorders>
            <w:vAlign w:val="bottom"/>
          </w:tcPr>
          <w:p w14:paraId="55674805"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p>
        </w:tc>
        <w:tc>
          <w:tcPr>
            <w:tcW w:w="489" w:type="pct"/>
            <w:tcBorders>
              <w:top w:val="single" w:sz="12" w:space="0" w:color="auto"/>
              <w:left w:val="nil"/>
              <w:right w:val="nil"/>
            </w:tcBorders>
            <w:vAlign w:val="bottom"/>
          </w:tcPr>
          <w:p w14:paraId="7642C04E"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p>
        </w:tc>
        <w:tc>
          <w:tcPr>
            <w:tcW w:w="474" w:type="pct"/>
            <w:tcBorders>
              <w:top w:val="single" w:sz="12" w:space="0" w:color="auto"/>
              <w:left w:val="nil"/>
              <w:right w:val="nil"/>
            </w:tcBorders>
            <w:vAlign w:val="bottom"/>
          </w:tcPr>
          <w:p w14:paraId="79D85E07"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p>
        </w:tc>
        <w:tc>
          <w:tcPr>
            <w:tcW w:w="490" w:type="pct"/>
            <w:tcBorders>
              <w:top w:val="single" w:sz="12" w:space="0" w:color="auto"/>
              <w:left w:val="nil"/>
              <w:right w:val="nil"/>
            </w:tcBorders>
            <w:vAlign w:val="bottom"/>
          </w:tcPr>
          <w:p w14:paraId="7C9C2FBF"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p>
        </w:tc>
        <w:tc>
          <w:tcPr>
            <w:tcW w:w="488" w:type="pct"/>
            <w:tcBorders>
              <w:top w:val="single" w:sz="12" w:space="0" w:color="auto"/>
              <w:left w:val="nil"/>
              <w:right w:val="nil"/>
            </w:tcBorders>
            <w:vAlign w:val="bottom"/>
          </w:tcPr>
          <w:p w14:paraId="0EE0A04F"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p>
        </w:tc>
      </w:tr>
      <w:tr w:rsidR="00856CFF" w:rsidRPr="003D1614" w14:paraId="0E1EECB2" w14:textId="77777777" w:rsidTr="0008792D">
        <w:trPr>
          <w:trHeight w:hRule="exact" w:val="235"/>
        </w:trPr>
        <w:tc>
          <w:tcPr>
            <w:tcW w:w="1159" w:type="pct"/>
          </w:tcPr>
          <w:p w14:paraId="7EA932FA" w14:textId="77777777" w:rsidR="00856CFF" w:rsidRPr="003D1614" w:rsidRDefault="00856CFF" w:rsidP="0008792D">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47" w:name="_Toc67330639"/>
            <w:r w:rsidRPr="003D1614">
              <w:rPr>
                <w:rFonts w:ascii="Arial" w:eastAsia="Calibri" w:hAnsi="Arial" w:cs="Arial"/>
                <w:b/>
                <w:bCs/>
                <w:color w:val="000000" w:themeColor="text1"/>
                <w:sz w:val="15"/>
                <w:szCs w:val="15"/>
              </w:rPr>
              <w:t>Obveze</w:t>
            </w:r>
            <w:bookmarkEnd w:id="947"/>
          </w:p>
        </w:tc>
        <w:tc>
          <w:tcPr>
            <w:tcW w:w="476" w:type="pct"/>
            <w:tcBorders>
              <w:left w:val="nil"/>
              <w:right w:val="nil"/>
            </w:tcBorders>
            <w:vAlign w:val="bottom"/>
          </w:tcPr>
          <w:p w14:paraId="3C15A8F7"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p>
        </w:tc>
        <w:tc>
          <w:tcPr>
            <w:tcW w:w="475" w:type="pct"/>
            <w:tcBorders>
              <w:left w:val="nil"/>
              <w:right w:val="nil"/>
            </w:tcBorders>
            <w:vAlign w:val="bottom"/>
          </w:tcPr>
          <w:p w14:paraId="25FFE738"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p>
        </w:tc>
        <w:tc>
          <w:tcPr>
            <w:tcW w:w="475" w:type="pct"/>
            <w:tcBorders>
              <w:left w:val="nil"/>
              <w:right w:val="nil"/>
            </w:tcBorders>
            <w:vAlign w:val="bottom"/>
          </w:tcPr>
          <w:p w14:paraId="655620DD"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p>
        </w:tc>
        <w:tc>
          <w:tcPr>
            <w:tcW w:w="474" w:type="pct"/>
            <w:tcBorders>
              <w:left w:val="nil"/>
              <w:right w:val="nil"/>
            </w:tcBorders>
            <w:vAlign w:val="bottom"/>
          </w:tcPr>
          <w:p w14:paraId="3437B01A"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p>
        </w:tc>
        <w:tc>
          <w:tcPr>
            <w:tcW w:w="489" w:type="pct"/>
            <w:tcBorders>
              <w:left w:val="nil"/>
              <w:right w:val="nil"/>
            </w:tcBorders>
            <w:vAlign w:val="bottom"/>
          </w:tcPr>
          <w:p w14:paraId="576BABE9"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p>
        </w:tc>
        <w:tc>
          <w:tcPr>
            <w:tcW w:w="474" w:type="pct"/>
            <w:tcBorders>
              <w:left w:val="nil"/>
              <w:right w:val="nil"/>
            </w:tcBorders>
            <w:vAlign w:val="bottom"/>
          </w:tcPr>
          <w:p w14:paraId="58AEFB03"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p>
        </w:tc>
        <w:tc>
          <w:tcPr>
            <w:tcW w:w="490" w:type="pct"/>
            <w:tcBorders>
              <w:left w:val="nil"/>
              <w:right w:val="nil"/>
            </w:tcBorders>
            <w:vAlign w:val="bottom"/>
          </w:tcPr>
          <w:p w14:paraId="4BE0751C"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p>
        </w:tc>
        <w:tc>
          <w:tcPr>
            <w:tcW w:w="488" w:type="pct"/>
            <w:tcBorders>
              <w:left w:val="nil"/>
              <w:right w:val="nil"/>
            </w:tcBorders>
            <w:vAlign w:val="bottom"/>
          </w:tcPr>
          <w:p w14:paraId="7CF996E6"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p>
        </w:tc>
      </w:tr>
      <w:tr w:rsidR="00856CFF" w:rsidRPr="003D1614" w14:paraId="643FC4B0" w14:textId="77777777" w:rsidTr="0008792D">
        <w:trPr>
          <w:trHeight w:hRule="exact" w:val="262"/>
        </w:trPr>
        <w:tc>
          <w:tcPr>
            <w:tcW w:w="1159" w:type="pct"/>
            <w:vAlign w:val="bottom"/>
          </w:tcPr>
          <w:p w14:paraId="536B14F2" w14:textId="77777777" w:rsidR="00856CFF" w:rsidRPr="003D1614" w:rsidRDefault="00856CFF" w:rsidP="0008792D">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48" w:name="_Toc67330640"/>
            <w:r w:rsidRPr="003D1614">
              <w:rPr>
                <w:rFonts w:ascii="Arial" w:eastAsia="Calibri" w:hAnsi="Arial" w:cs="Arial"/>
                <w:color w:val="000000" w:themeColor="text1"/>
                <w:spacing w:val="-2"/>
                <w:sz w:val="15"/>
                <w:szCs w:val="15"/>
              </w:rPr>
              <w:t>Obveze po depozitima</w:t>
            </w:r>
            <w:bookmarkEnd w:id="948"/>
          </w:p>
        </w:tc>
        <w:tc>
          <w:tcPr>
            <w:tcW w:w="476" w:type="pct"/>
            <w:tcBorders>
              <w:top w:val="nil"/>
              <w:left w:val="nil"/>
              <w:bottom w:val="nil"/>
              <w:right w:val="nil"/>
            </w:tcBorders>
            <w:vAlign w:val="bottom"/>
          </w:tcPr>
          <w:p w14:paraId="4E0F6F2A"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76.412</w:t>
            </w:r>
          </w:p>
        </w:tc>
        <w:tc>
          <w:tcPr>
            <w:tcW w:w="475" w:type="pct"/>
            <w:tcBorders>
              <w:top w:val="nil"/>
              <w:left w:val="nil"/>
              <w:bottom w:val="nil"/>
              <w:right w:val="nil"/>
            </w:tcBorders>
            <w:vAlign w:val="bottom"/>
          </w:tcPr>
          <w:p w14:paraId="412883A3"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top w:val="nil"/>
              <w:left w:val="nil"/>
              <w:bottom w:val="nil"/>
              <w:right w:val="nil"/>
            </w:tcBorders>
            <w:vAlign w:val="bottom"/>
          </w:tcPr>
          <w:p w14:paraId="4A4ED4D6"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top w:val="nil"/>
              <w:left w:val="nil"/>
              <w:bottom w:val="nil"/>
              <w:right w:val="nil"/>
            </w:tcBorders>
            <w:vAlign w:val="bottom"/>
          </w:tcPr>
          <w:p w14:paraId="4D4800AA"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9" w:type="pct"/>
            <w:tcBorders>
              <w:top w:val="nil"/>
              <w:left w:val="nil"/>
              <w:bottom w:val="nil"/>
              <w:right w:val="nil"/>
            </w:tcBorders>
            <w:vAlign w:val="bottom"/>
          </w:tcPr>
          <w:p w14:paraId="5E4E5B50"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top w:val="nil"/>
              <w:left w:val="nil"/>
              <w:bottom w:val="nil"/>
              <w:right w:val="nil"/>
            </w:tcBorders>
            <w:vAlign w:val="bottom"/>
          </w:tcPr>
          <w:p w14:paraId="7F11F8EE"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102.097</w:t>
            </w:r>
          </w:p>
        </w:tc>
        <w:tc>
          <w:tcPr>
            <w:tcW w:w="490" w:type="pct"/>
            <w:tcBorders>
              <w:top w:val="nil"/>
              <w:left w:val="nil"/>
              <w:bottom w:val="nil"/>
              <w:right w:val="nil"/>
            </w:tcBorders>
            <w:vAlign w:val="bottom"/>
          </w:tcPr>
          <w:p w14:paraId="6F87BFBD"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178.509</w:t>
            </w:r>
          </w:p>
        </w:tc>
        <w:tc>
          <w:tcPr>
            <w:tcW w:w="488" w:type="pct"/>
            <w:tcBorders>
              <w:top w:val="nil"/>
              <w:left w:val="nil"/>
              <w:bottom w:val="nil"/>
              <w:right w:val="nil"/>
            </w:tcBorders>
            <w:vAlign w:val="bottom"/>
          </w:tcPr>
          <w:p w14:paraId="45D3AA79"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76.412</w:t>
            </w:r>
          </w:p>
        </w:tc>
      </w:tr>
      <w:tr w:rsidR="00856CFF" w:rsidRPr="003D1614" w14:paraId="62947112" w14:textId="77777777" w:rsidTr="0008792D">
        <w:trPr>
          <w:trHeight w:hRule="exact" w:val="254"/>
        </w:trPr>
        <w:tc>
          <w:tcPr>
            <w:tcW w:w="1159" w:type="pct"/>
            <w:vAlign w:val="bottom"/>
          </w:tcPr>
          <w:p w14:paraId="7D6980E1" w14:textId="77777777" w:rsidR="00856CFF" w:rsidRPr="003D1614" w:rsidRDefault="00856CFF" w:rsidP="0008792D">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49" w:name="_Toc67330641"/>
            <w:r w:rsidRPr="003D1614">
              <w:rPr>
                <w:rFonts w:ascii="Arial" w:eastAsia="Calibri" w:hAnsi="Arial" w:cs="Arial"/>
                <w:color w:val="000000" w:themeColor="text1"/>
                <w:spacing w:val="-2"/>
                <w:sz w:val="15"/>
                <w:szCs w:val="15"/>
              </w:rPr>
              <w:t>Obveze po kreditima</w:t>
            </w:r>
            <w:bookmarkEnd w:id="949"/>
          </w:p>
        </w:tc>
        <w:tc>
          <w:tcPr>
            <w:tcW w:w="476" w:type="pct"/>
            <w:tcBorders>
              <w:top w:val="nil"/>
              <w:left w:val="nil"/>
              <w:bottom w:val="nil"/>
              <w:right w:val="nil"/>
            </w:tcBorders>
            <w:vAlign w:val="bottom"/>
          </w:tcPr>
          <w:p w14:paraId="53823BFC"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102.022</w:t>
            </w:r>
          </w:p>
        </w:tc>
        <w:tc>
          <w:tcPr>
            <w:tcW w:w="475" w:type="pct"/>
            <w:tcBorders>
              <w:top w:val="nil"/>
              <w:left w:val="nil"/>
              <w:bottom w:val="nil"/>
              <w:right w:val="nil"/>
            </w:tcBorders>
            <w:vAlign w:val="bottom"/>
          </w:tcPr>
          <w:p w14:paraId="46442350"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105.641</w:t>
            </w:r>
          </w:p>
        </w:tc>
        <w:tc>
          <w:tcPr>
            <w:tcW w:w="475" w:type="pct"/>
            <w:tcBorders>
              <w:top w:val="nil"/>
              <w:left w:val="nil"/>
              <w:bottom w:val="nil"/>
              <w:right w:val="nil"/>
            </w:tcBorders>
            <w:vAlign w:val="bottom"/>
          </w:tcPr>
          <w:p w14:paraId="3F0B9C10"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305.254</w:t>
            </w:r>
          </w:p>
        </w:tc>
        <w:tc>
          <w:tcPr>
            <w:tcW w:w="474" w:type="pct"/>
            <w:tcBorders>
              <w:top w:val="nil"/>
              <w:left w:val="nil"/>
              <w:bottom w:val="nil"/>
              <w:right w:val="nil"/>
            </w:tcBorders>
            <w:vAlign w:val="bottom"/>
          </w:tcPr>
          <w:p w14:paraId="3B6EF026"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639.834</w:t>
            </w:r>
          </w:p>
        </w:tc>
        <w:tc>
          <w:tcPr>
            <w:tcW w:w="489" w:type="pct"/>
            <w:tcBorders>
              <w:top w:val="nil"/>
              <w:left w:val="nil"/>
              <w:bottom w:val="nil"/>
              <w:right w:val="nil"/>
            </w:tcBorders>
            <w:vAlign w:val="bottom"/>
          </w:tcPr>
          <w:p w14:paraId="29FFAF95"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1.068.097</w:t>
            </w:r>
          </w:p>
        </w:tc>
        <w:tc>
          <w:tcPr>
            <w:tcW w:w="474" w:type="pct"/>
            <w:tcBorders>
              <w:top w:val="nil"/>
              <w:left w:val="nil"/>
              <w:bottom w:val="nil"/>
              <w:right w:val="nil"/>
            </w:tcBorders>
            <w:vAlign w:val="bottom"/>
          </w:tcPr>
          <w:p w14:paraId="50FFAF6F"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8.481</w:t>
            </w:r>
          </w:p>
        </w:tc>
        <w:tc>
          <w:tcPr>
            <w:tcW w:w="490" w:type="pct"/>
            <w:tcBorders>
              <w:top w:val="nil"/>
              <w:left w:val="nil"/>
              <w:bottom w:val="nil"/>
              <w:right w:val="nil"/>
            </w:tcBorders>
            <w:vAlign w:val="bottom"/>
          </w:tcPr>
          <w:p w14:paraId="7BFA1A06"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2.229.329</w:t>
            </w:r>
          </w:p>
        </w:tc>
        <w:tc>
          <w:tcPr>
            <w:tcW w:w="488" w:type="pct"/>
            <w:tcBorders>
              <w:top w:val="nil"/>
              <w:left w:val="nil"/>
              <w:bottom w:val="nil"/>
              <w:right w:val="nil"/>
            </w:tcBorders>
            <w:vAlign w:val="bottom"/>
          </w:tcPr>
          <w:p w14:paraId="44C55D2D"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2.160.624</w:t>
            </w:r>
          </w:p>
        </w:tc>
      </w:tr>
      <w:tr w:rsidR="00856CFF" w:rsidRPr="003D1614" w14:paraId="69D519BF" w14:textId="77777777" w:rsidTr="0008792D">
        <w:trPr>
          <w:trHeight w:hRule="exact" w:val="533"/>
        </w:trPr>
        <w:tc>
          <w:tcPr>
            <w:tcW w:w="1159" w:type="pct"/>
            <w:vAlign w:val="bottom"/>
          </w:tcPr>
          <w:p w14:paraId="73C2A4B0" w14:textId="77777777" w:rsidR="00856CFF" w:rsidRPr="003D1614" w:rsidRDefault="00856CFF" w:rsidP="0008792D">
            <w:pPr>
              <w:tabs>
                <w:tab w:val="right" w:pos="1202"/>
              </w:tabs>
              <w:suppressAutoHyphens/>
              <w:autoSpaceDN w:val="0"/>
              <w:spacing w:line="240" w:lineRule="exact"/>
              <w:outlineLvl w:val="0"/>
              <w:rPr>
                <w:rFonts w:ascii="Arial" w:eastAsia="Calibri" w:hAnsi="Arial" w:cs="Arial"/>
                <w:color w:val="000000" w:themeColor="text1"/>
                <w:spacing w:val="-2"/>
                <w:sz w:val="15"/>
                <w:szCs w:val="15"/>
              </w:rPr>
            </w:pPr>
            <w:bookmarkStart w:id="950" w:name="_Toc67330643"/>
            <w:r w:rsidRPr="003D1614">
              <w:rPr>
                <w:rFonts w:ascii="Arial" w:eastAsia="Calibri" w:hAnsi="Arial" w:cs="Arial"/>
                <w:color w:val="000000" w:themeColor="text1"/>
                <w:spacing w:val="-2"/>
                <w:sz w:val="15"/>
                <w:szCs w:val="15"/>
              </w:rPr>
              <w:t>Rezerviranja za garancije, preuzete i ostale obveze</w:t>
            </w:r>
            <w:bookmarkEnd w:id="950"/>
          </w:p>
        </w:tc>
        <w:tc>
          <w:tcPr>
            <w:tcW w:w="476" w:type="pct"/>
            <w:tcBorders>
              <w:top w:val="nil"/>
              <w:left w:val="nil"/>
              <w:bottom w:val="nil"/>
              <w:right w:val="nil"/>
            </w:tcBorders>
            <w:vAlign w:val="bottom"/>
          </w:tcPr>
          <w:p w14:paraId="0D34FC63" w14:textId="77777777" w:rsidR="00856CFF" w:rsidRPr="003D1614" w:rsidDel="00344206"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top w:val="nil"/>
              <w:left w:val="nil"/>
              <w:bottom w:val="nil"/>
              <w:right w:val="nil"/>
            </w:tcBorders>
            <w:vAlign w:val="bottom"/>
          </w:tcPr>
          <w:p w14:paraId="44C30C99" w14:textId="77777777" w:rsidR="00856CFF" w:rsidRPr="003D1614" w:rsidDel="00344206"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top w:val="nil"/>
              <w:left w:val="nil"/>
              <w:bottom w:val="nil"/>
              <w:right w:val="nil"/>
            </w:tcBorders>
            <w:vAlign w:val="bottom"/>
          </w:tcPr>
          <w:p w14:paraId="09C730FD" w14:textId="77777777" w:rsidR="00856CFF" w:rsidRPr="003D1614" w:rsidDel="00344206"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top w:val="nil"/>
              <w:left w:val="nil"/>
              <w:bottom w:val="nil"/>
              <w:right w:val="nil"/>
            </w:tcBorders>
            <w:vAlign w:val="bottom"/>
          </w:tcPr>
          <w:p w14:paraId="39AF0080" w14:textId="77777777" w:rsidR="00856CFF" w:rsidRPr="003D1614" w:rsidDel="00344206"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9" w:type="pct"/>
            <w:tcBorders>
              <w:top w:val="nil"/>
              <w:left w:val="nil"/>
              <w:bottom w:val="nil"/>
              <w:right w:val="nil"/>
            </w:tcBorders>
            <w:vAlign w:val="bottom"/>
          </w:tcPr>
          <w:p w14:paraId="09B2F6E2" w14:textId="77777777" w:rsidR="00856CFF" w:rsidRPr="003D1614" w:rsidDel="00344206"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top w:val="nil"/>
              <w:left w:val="nil"/>
              <w:bottom w:val="nil"/>
              <w:right w:val="nil"/>
            </w:tcBorders>
            <w:vAlign w:val="bottom"/>
          </w:tcPr>
          <w:p w14:paraId="31B60169" w14:textId="77777777" w:rsidR="00856CFF" w:rsidRPr="003D1614" w:rsidDel="00344206"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21.833</w:t>
            </w:r>
          </w:p>
        </w:tc>
        <w:tc>
          <w:tcPr>
            <w:tcW w:w="490" w:type="pct"/>
            <w:tcBorders>
              <w:top w:val="nil"/>
              <w:left w:val="nil"/>
              <w:bottom w:val="nil"/>
              <w:right w:val="nil"/>
            </w:tcBorders>
            <w:vAlign w:val="bottom"/>
          </w:tcPr>
          <w:p w14:paraId="2E60F3A9" w14:textId="77777777" w:rsidR="00856CFF" w:rsidRPr="003D1614" w:rsidDel="00344206"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21.833</w:t>
            </w:r>
          </w:p>
        </w:tc>
        <w:tc>
          <w:tcPr>
            <w:tcW w:w="488" w:type="pct"/>
            <w:tcBorders>
              <w:top w:val="nil"/>
              <w:left w:val="nil"/>
              <w:bottom w:val="nil"/>
              <w:right w:val="nil"/>
            </w:tcBorders>
            <w:vAlign w:val="bottom"/>
          </w:tcPr>
          <w:p w14:paraId="58705E0E" w14:textId="77777777" w:rsidR="00856CFF" w:rsidRPr="003D1614" w:rsidDel="00344206"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r>
      <w:tr w:rsidR="00856CFF" w:rsidRPr="003D1614" w14:paraId="72A60DDA" w14:textId="77777777" w:rsidTr="0008792D">
        <w:trPr>
          <w:trHeight w:hRule="exact" w:val="251"/>
        </w:trPr>
        <w:tc>
          <w:tcPr>
            <w:tcW w:w="1159" w:type="pct"/>
            <w:vAlign w:val="bottom"/>
          </w:tcPr>
          <w:p w14:paraId="2F49AC59" w14:textId="77777777" w:rsidR="00856CFF" w:rsidRPr="003D1614" w:rsidRDefault="00856CFF" w:rsidP="0008792D">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51" w:name="_Toc67330644"/>
            <w:r w:rsidRPr="003D1614">
              <w:rPr>
                <w:rFonts w:ascii="Arial" w:eastAsia="Calibri" w:hAnsi="Arial" w:cs="Arial"/>
                <w:color w:val="000000" w:themeColor="text1"/>
                <w:spacing w:val="-2"/>
                <w:sz w:val="15"/>
                <w:szCs w:val="15"/>
              </w:rPr>
              <w:t>Ostale obveze</w:t>
            </w:r>
            <w:bookmarkEnd w:id="951"/>
          </w:p>
        </w:tc>
        <w:tc>
          <w:tcPr>
            <w:tcW w:w="476" w:type="pct"/>
            <w:tcBorders>
              <w:top w:val="nil"/>
              <w:left w:val="nil"/>
              <w:bottom w:val="nil"/>
              <w:right w:val="nil"/>
            </w:tcBorders>
            <w:vAlign w:val="bottom"/>
          </w:tcPr>
          <w:p w14:paraId="3865A4C1"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top w:val="nil"/>
              <w:left w:val="nil"/>
              <w:bottom w:val="nil"/>
              <w:right w:val="nil"/>
            </w:tcBorders>
            <w:vAlign w:val="bottom"/>
          </w:tcPr>
          <w:p w14:paraId="2E6E5276"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5" w:type="pct"/>
            <w:tcBorders>
              <w:top w:val="nil"/>
              <w:left w:val="nil"/>
              <w:bottom w:val="nil"/>
              <w:right w:val="nil"/>
            </w:tcBorders>
            <w:vAlign w:val="bottom"/>
          </w:tcPr>
          <w:p w14:paraId="595E443E"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top w:val="nil"/>
              <w:left w:val="nil"/>
              <w:bottom w:val="nil"/>
              <w:right w:val="nil"/>
            </w:tcBorders>
            <w:vAlign w:val="bottom"/>
          </w:tcPr>
          <w:p w14:paraId="106CF464"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89" w:type="pct"/>
            <w:tcBorders>
              <w:top w:val="nil"/>
              <w:left w:val="nil"/>
              <w:bottom w:val="nil"/>
              <w:right w:val="nil"/>
            </w:tcBorders>
            <w:vAlign w:val="bottom"/>
          </w:tcPr>
          <w:p w14:paraId="3EE84917"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c>
          <w:tcPr>
            <w:tcW w:w="474" w:type="pct"/>
            <w:tcBorders>
              <w:top w:val="nil"/>
              <w:left w:val="nil"/>
              <w:right w:val="nil"/>
            </w:tcBorders>
            <w:vAlign w:val="bottom"/>
          </w:tcPr>
          <w:p w14:paraId="7048CA00"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90.416</w:t>
            </w:r>
          </w:p>
        </w:tc>
        <w:tc>
          <w:tcPr>
            <w:tcW w:w="490" w:type="pct"/>
            <w:tcBorders>
              <w:top w:val="nil"/>
              <w:left w:val="nil"/>
              <w:right w:val="nil"/>
            </w:tcBorders>
            <w:vAlign w:val="bottom"/>
          </w:tcPr>
          <w:p w14:paraId="337A4941"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90.416</w:t>
            </w:r>
          </w:p>
        </w:tc>
        <w:tc>
          <w:tcPr>
            <w:tcW w:w="488" w:type="pct"/>
            <w:tcBorders>
              <w:top w:val="nil"/>
              <w:left w:val="nil"/>
              <w:right w:val="nil"/>
            </w:tcBorders>
            <w:vAlign w:val="bottom"/>
          </w:tcPr>
          <w:p w14:paraId="755901C6" w14:textId="77777777" w:rsidR="00856CFF" w:rsidRPr="003D1614" w:rsidRDefault="00856CFF" w:rsidP="0008792D">
            <w:pPr>
              <w:suppressAutoHyphens/>
              <w:autoSpaceDN w:val="0"/>
              <w:jc w:val="right"/>
              <w:rPr>
                <w:rFonts w:ascii="Arial" w:eastAsia="Calibri" w:hAnsi="Arial" w:cs="Arial"/>
                <w:bCs/>
                <w:color w:val="000000" w:themeColor="text1"/>
                <w:sz w:val="15"/>
                <w:szCs w:val="15"/>
              </w:rPr>
            </w:pPr>
            <w:r>
              <w:rPr>
                <w:rFonts w:ascii="Arial" w:eastAsia="Calibri" w:hAnsi="Arial" w:cs="Arial"/>
                <w:bCs/>
                <w:color w:val="000000" w:themeColor="text1"/>
                <w:sz w:val="15"/>
                <w:szCs w:val="15"/>
              </w:rPr>
              <w:t>-</w:t>
            </w:r>
          </w:p>
        </w:tc>
      </w:tr>
      <w:tr w:rsidR="00856CFF" w:rsidRPr="003D1614" w14:paraId="201A4E0F" w14:textId="77777777" w:rsidTr="0008792D">
        <w:trPr>
          <w:trHeight w:hRule="exact" w:val="281"/>
        </w:trPr>
        <w:tc>
          <w:tcPr>
            <w:tcW w:w="1159" w:type="pct"/>
            <w:vAlign w:val="center"/>
          </w:tcPr>
          <w:p w14:paraId="676E4706" w14:textId="77777777" w:rsidR="00856CFF" w:rsidRPr="003D1614" w:rsidRDefault="00856CFF" w:rsidP="0008792D">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52" w:name="_Toc67330645"/>
            <w:r w:rsidRPr="003D1614">
              <w:rPr>
                <w:rFonts w:ascii="Arial" w:eastAsia="Calibri" w:hAnsi="Arial" w:cs="Arial"/>
                <w:b/>
                <w:bCs/>
                <w:color w:val="000000" w:themeColor="text1"/>
                <w:sz w:val="15"/>
                <w:szCs w:val="15"/>
              </w:rPr>
              <w:t>Obveze</w:t>
            </w:r>
            <w:bookmarkEnd w:id="952"/>
          </w:p>
        </w:tc>
        <w:tc>
          <w:tcPr>
            <w:tcW w:w="476" w:type="pct"/>
            <w:tcBorders>
              <w:top w:val="single" w:sz="8" w:space="0" w:color="auto"/>
              <w:left w:val="nil"/>
              <w:bottom w:val="single" w:sz="12" w:space="0" w:color="auto"/>
              <w:right w:val="nil"/>
            </w:tcBorders>
            <w:vAlign w:val="bottom"/>
          </w:tcPr>
          <w:p w14:paraId="0CA7A180"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178.434</w:t>
            </w:r>
          </w:p>
        </w:tc>
        <w:tc>
          <w:tcPr>
            <w:tcW w:w="475" w:type="pct"/>
            <w:tcBorders>
              <w:top w:val="single" w:sz="8" w:space="0" w:color="auto"/>
              <w:left w:val="nil"/>
              <w:bottom w:val="single" w:sz="12" w:space="0" w:color="auto"/>
              <w:right w:val="nil"/>
            </w:tcBorders>
            <w:vAlign w:val="bottom"/>
          </w:tcPr>
          <w:p w14:paraId="15EB69B2"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105.641</w:t>
            </w:r>
          </w:p>
        </w:tc>
        <w:tc>
          <w:tcPr>
            <w:tcW w:w="475" w:type="pct"/>
            <w:tcBorders>
              <w:top w:val="single" w:sz="8" w:space="0" w:color="auto"/>
              <w:left w:val="nil"/>
              <w:bottom w:val="single" w:sz="12" w:space="0" w:color="auto"/>
              <w:right w:val="nil"/>
            </w:tcBorders>
            <w:vAlign w:val="bottom"/>
          </w:tcPr>
          <w:p w14:paraId="03427C01"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305.254</w:t>
            </w:r>
          </w:p>
        </w:tc>
        <w:tc>
          <w:tcPr>
            <w:tcW w:w="474" w:type="pct"/>
            <w:tcBorders>
              <w:top w:val="single" w:sz="8" w:space="0" w:color="auto"/>
              <w:left w:val="nil"/>
              <w:bottom w:val="single" w:sz="12" w:space="0" w:color="auto"/>
              <w:right w:val="nil"/>
            </w:tcBorders>
            <w:vAlign w:val="bottom"/>
          </w:tcPr>
          <w:p w14:paraId="289BD788"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639.834</w:t>
            </w:r>
          </w:p>
        </w:tc>
        <w:tc>
          <w:tcPr>
            <w:tcW w:w="489" w:type="pct"/>
            <w:tcBorders>
              <w:top w:val="single" w:sz="8" w:space="0" w:color="auto"/>
              <w:left w:val="nil"/>
              <w:bottom w:val="single" w:sz="12" w:space="0" w:color="auto"/>
              <w:right w:val="nil"/>
            </w:tcBorders>
            <w:vAlign w:val="bottom"/>
          </w:tcPr>
          <w:p w14:paraId="7DA8337A"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1.068.097</w:t>
            </w:r>
          </w:p>
        </w:tc>
        <w:tc>
          <w:tcPr>
            <w:tcW w:w="474" w:type="pct"/>
            <w:tcBorders>
              <w:top w:val="single" w:sz="8" w:space="0" w:color="auto"/>
              <w:left w:val="nil"/>
              <w:bottom w:val="single" w:sz="12" w:space="0" w:color="auto"/>
              <w:right w:val="nil"/>
            </w:tcBorders>
            <w:vAlign w:val="bottom"/>
          </w:tcPr>
          <w:p w14:paraId="38CBD392"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222.827</w:t>
            </w:r>
          </w:p>
        </w:tc>
        <w:tc>
          <w:tcPr>
            <w:tcW w:w="490" w:type="pct"/>
            <w:tcBorders>
              <w:top w:val="single" w:sz="8" w:space="0" w:color="auto"/>
              <w:left w:val="nil"/>
              <w:bottom w:val="single" w:sz="12" w:space="0" w:color="auto"/>
              <w:right w:val="nil"/>
            </w:tcBorders>
            <w:vAlign w:val="bottom"/>
          </w:tcPr>
          <w:p w14:paraId="7E805270"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2.520.087</w:t>
            </w:r>
          </w:p>
        </w:tc>
        <w:tc>
          <w:tcPr>
            <w:tcW w:w="488" w:type="pct"/>
            <w:tcBorders>
              <w:top w:val="single" w:sz="8" w:space="0" w:color="auto"/>
              <w:left w:val="nil"/>
              <w:bottom w:val="single" w:sz="12" w:space="0" w:color="auto"/>
              <w:right w:val="nil"/>
            </w:tcBorders>
            <w:vAlign w:val="bottom"/>
          </w:tcPr>
          <w:p w14:paraId="1BE7A10E"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2.237.036</w:t>
            </w:r>
          </w:p>
        </w:tc>
      </w:tr>
      <w:tr w:rsidR="00856CFF" w:rsidRPr="003D1614" w14:paraId="479C6C19" w14:textId="77777777" w:rsidTr="0008792D">
        <w:trPr>
          <w:trHeight w:hRule="exact" w:val="353"/>
        </w:trPr>
        <w:tc>
          <w:tcPr>
            <w:tcW w:w="1159" w:type="pct"/>
            <w:vAlign w:val="center"/>
          </w:tcPr>
          <w:p w14:paraId="2C31633A" w14:textId="77777777" w:rsidR="00856CFF" w:rsidRPr="003D1614" w:rsidRDefault="00856CFF" w:rsidP="0008792D">
            <w:pPr>
              <w:tabs>
                <w:tab w:val="right" w:pos="1202"/>
              </w:tabs>
              <w:suppressAutoHyphens/>
              <w:autoSpaceDN w:val="0"/>
              <w:spacing w:line="240" w:lineRule="exact"/>
              <w:outlineLvl w:val="0"/>
              <w:rPr>
                <w:rFonts w:ascii="Arial" w:eastAsia="Calibri" w:hAnsi="Arial" w:cs="Arial"/>
                <w:b/>
                <w:bCs/>
                <w:color w:val="000000" w:themeColor="text1"/>
                <w:sz w:val="15"/>
                <w:szCs w:val="15"/>
              </w:rPr>
            </w:pPr>
            <w:bookmarkStart w:id="953" w:name="_Toc67330646"/>
            <w:r w:rsidRPr="003D1614">
              <w:rPr>
                <w:rFonts w:ascii="Arial" w:eastAsia="Calibri" w:hAnsi="Arial" w:cs="Arial"/>
                <w:b/>
                <w:bCs/>
                <w:color w:val="000000" w:themeColor="text1"/>
                <w:spacing w:val="-2"/>
                <w:sz w:val="15"/>
                <w:szCs w:val="15"/>
              </w:rPr>
              <w:t>Kamatni jaz</w:t>
            </w:r>
            <w:bookmarkEnd w:id="953"/>
          </w:p>
        </w:tc>
        <w:tc>
          <w:tcPr>
            <w:tcW w:w="476" w:type="pct"/>
            <w:tcBorders>
              <w:top w:val="nil"/>
              <w:left w:val="nil"/>
              <w:bottom w:val="single" w:sz="12" w:space="0" w:color="auto"/>
              <w:right w:val="nil"/>
            </w:tcBorders>
            <w:shd w:val="clear" w:color="auto" w:fill="auto"/>
            <w:vAlign w:val="bottom"/>
          </w:tcPr>
          <w:p w14:paraId="7DB8705F"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338.622</w:t>
            </w:r>
          </w:p>
        </w:tc>
        <w:tc>
          <w:tcPr>
            <w:tcW w:w="475" w:type="pct"/>
            <w:tcBorders>
              <w:top w:val="nil"/>
              <w:left w:val="nil"/>
              <w:bottom w:val="single" w:sz="12" w:space="0" w:color="auto"/>
              <w:right w:val="nil"/>
            </w:tcBorders>
            <w:shd w:val="clear" w:color="auto" w:fill="auto"/>
            <w:vAlign w:val="bottom"/>
          </w:tcPr>
          <w:p w14:paraId="27BBF795"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88.706</w:t>
            </w:r>
          </w:p>
        </w:tc>
        <w:tc>
          <w:tcPr>
            <w:tcW w:w="475" w:type="pct"/>
            <w:tcBorders>
              <w:top w:val="nil"/>
              <w:left w:val="nil"/>
              <w:bottom w:val="single" w:sz="12" w:space="0" w:color="auto"/>
              <w:right w:val="nil"/>
            </w:tcBorders>
            <w:shd w:val="clear" w:color="auto" w:fill="auto"/>
            <w:vAlign w:val="bottom"/>
          </w:tcPr>
          <w:p w14:paraId="7115C766"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258.894</w:t>
            </w:r>
          </w:p>
        </w:tc>
        <w:tc>
          <w:tcPr>
            <w:tcW w:w="474" w:type="pct"/>
            <w:tcBorders>
              <w:top w:val="nil"/>
              <w:left w:val="nil"/>
              <w:bottom w:val="single" w:sz="12" w:space="0" w:color="auto"/>
              <w:right w:val="nil"/>
            </w:tcBorders>
            <w:shd w:val="clear" w:color="auto" w:fill="auto"/>
            <w:vAlign w:val="bottom"/>
          </w:tcPr>
          <w:p w14:paraId="6B8F7DB4"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269.201</w:t>
            </w:r>
          </w:p>
        </w:tc>
        <w:tc>
          <w:tcPr>
            <w:tcW w:w="489" w:type="pct"/>
            <w:tcBorders>
              <w:top w:val="nil"/>
              <w:left w:val="nil"/>
              <w:bottom w:val="single" w:sz="12" w:space="0" w:color="auto"/>
              <w:right w:val="nil"/>
            </w:tcBorders>
            <w:shd w:val="clear" w:color="auto" w:fill="auto"/>
            <w:vAlign w:val="bottom"/>
          </w:tcPr>
          <w:p w14:paraId="7AD640B9"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661.942</w:t>
            </w:r>
          </w:p>
        </w:tc>
        <w:tc>
          <w:tcPr>
            <w:tcW w:w="474" w:type="pct"/>
            <w:tcBorders>
              <w:top w:val="nil"/>
              <w:left w:val="nil"/>
              <w:bottom w:val="single" w:sz="12" w:space="0" w:color="auto"/>
              <w:right w:val="nil"/>
            </w:tcBorders>
            <w:shd w:val="clear" w:color="auto" w:fill="auto"/>
            <w:vAlign w:val="bottom"/>
          </w:tcPr>
          <w:p w14:paraId="087DED6D"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(157.071)</w:t>
            </w:r>
          </w:p>
        </w:tc>
        <w:tc>
          <w:tcPr>
            <w:tcW w:w="490" w:type="pct"/>
            <w:tcBorders>
              <w:top w:val="nil"/>
              <w:left w:val="nil"/>
              <w:bottom w:val="single" w:sz="12" w:space="0" w:color="auto"/>
              <w:right w:val="nil"/>
            </w:tcBorders>
            <w:shd w:val="clear" w:color="auto" w:fill="auto"/>
            <w:vAlign w:val="bottom"/>
          </w:tcPr>
          <w:p w14:paraId="620A1795"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1.460.294</w:t>
            </w:r>
          </w:p>
        </w:tc>
        <w:tc>
          <w:tcPr>
            <w:tcW w:w="488" w:type="pct"/>
            <w:tcBorders>
              <w:top w:val="nil"/>
              <w:left w:val="nil"/>
              <w:bottom w:val="single" w:sz="12" w:space="0" w:color="auto"/>
              <w:right w:val="nil"/>
            </w:tcBorders>
            <w:shd w:val="clear" w:color="auto" w:fill="auto"/>
            <w:vAlign w:val="bottom"/>
          </w:tcPr>
          <w:p w14:paraId="383796AE" w14:textId="77777777" w:rsidR="00856CFF" w:rsidRPr="003D1614" w:rsidRDefault="00856CFF" w:rsidP="0008792D">
            <w:pPr>
              <w:suppressAutoHyphens/>
              <w:autoSpaceDN w:val="0"/>
              <w:jc w:val="right"/>
              <w:rPr>
                <w:rFonts w:ascii="Arial" w:eastAsia="Calibri" w:hAnsi="Arial" w:cs="Arial"/>
                <w:b/>
                <w:color w:val="000000" w:themeColor="text1"/>
                <w:sz w:val="15"/>
                <w:szCs w:val="15"/>
              </w:rPr>
            </w:pPr>
            <w:r>
              <w:rPr>
                <w:rFonts w:ascii="Arial" w:eastAsia="Calibri" w:hAnsi="Arial" w:cs="Arial"/>
                <w:b/>
                <w:color w:val="000000" w:themeColor="text1"/>
                <w:sz w:val="15"/>
                <w:szCs w:val="15"/>
              </w:rPr>
              <w:t>1.553.829</w:t>
            </w:r>
          </w:p>
        </w:tc>
      </w:tr>
    </w:tbl>
    <w:p w14:paraId="5D0D7109" w14:textId="77777777"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p>
    <w:p w14:paraId="54DEEC6C" w14:textId="77777777" w:rsidR="000C7E59" w:rsidRPr="003D1614" w:rsidRDefault="000C7E59" w:rsidP="00661446">
      <w:pPr>
        <w:suppressAutoHyphens/>
        <w:autoSpaceDN w:val="0"/>
        <w:jc w:val="both"/>
        <w:rPr>
          <w:rFonts w:ascii="Arial" w:eastAsia="Times New Roman" w:hAnsi="Arial" w:cs="Arial"/>
          <w:bCs/>
          <w:i/>
          <w:color w:val="000000" w:themeColor="text1"/>
          <w:sz w:val="18"/>
          <w:szCs w:val="18"/>
        </w:rPr>
        <w:sectPr w:rsidR="000C7E59" w:rsidRPr="003D1614" w:rsidSect="003278AB">
          <w:pgSz w:w="11906" w:h="16838"/>
          <w:pgMar w:top="1417" w:right="1417" w:bottom="1417" w:left="1417" w:header="708" w:footer="708" w:gutter="0"/>
          <w:cols w:space="708"/>
          <w:docGrid w:linePitch="360"/>
        </w:sectPr>
      </w:pPr>
    </w:p>
    <w:p w14:paraId="48489341" w14:textId="77777777" w:rsidR="000C7E59" w:rsidRPr="003D1614" w:rsidRDefault="000C7E59" w:rsidP="000C7E59">
      <w:pPr>
        <w:tabs>
          <w:tab w:val="left" w:pos="-720"/>
        </w:tabs>
        <w:suppressAutoHyphens/>
        <w:autoSpaceDN w:val="0"/>
        <w:rPr>
          <w:rFonts w:ascii="Arial" w:eastAsia="Times New Roman" w:hAnsi="Arial" w:cs="Arial"/>
          <w:b/>
          <w:color w:val="000000" w:themeColor="text1"/>
          <w:spacing w:val="-3"/>
          <w:sz w:val="20"/>
          <w:szCs w:val="20"/>
        </w:rPr>
      </w:pPr>
      <w:bookmarkStart w:id="954" w:name="_Hlk131604424"/>
    </w:p>
    <w:p w14:paraId="234601FA" w14:textId="34FFBC92"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4FC693BC" w14:textId="77777777"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p>
    <w:p w14:paraId="101E6AD1" w14:textId="4C386055"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79F48D64" w14:textId="77777777"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p>
    <w:p w14:paraId="35E141BF" w14:textId="59288801"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.5.1.  Kamatni rizik (nastavak)</w:t>
      </w:r>
    </w:p>
    <w:p w14:paraId="6C3BF41D" w14:textId="5310FF6F"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p>
    <w:bookmarkEnd w:id="954"/>
    <w:p w14:paraId="4E242BC0" w14:textId="77777777" w:rsidR="000C7E59" w:rsidRPr="003D1614" w:rsidRDefault="000C7E59" w:rsidP="000C7E59">
      <w:pPr>
        <w:keepNext/>
        <w:suppressAutoHyphens/>
        <w:autoSpaceDN w:val="0"/>
        <w:ind w:left="709" w:hanging="709"/>
        <w:jc w:val="both"/>
        <w:outlineLvl w:val="0"/>
        <w:rPr>
          <w:rFonts w:ascii="Arial" w:eastAsia="Times New Roman" w:hAnsi="Arial" w:cs="Arial"/>
          <w:b/>
          <w:bCs/>
          <w:color w:val="000000" w:themeColor="text1"/>
          <w:sz w:val="20"/>
          <w:szCs w:val="20"/>
        </w:rPr>
      </w:pPr>
    </w:p>
    <w:tbl>
      <w:tblPr>
        <w:tblW w:w="5564" w:type="pct"/>
        <w:tblInd w:w="-567" w:type="dxa"/>
        <w:tblLayout w:type="fixed"/>
        <w:tblCellMar>
          <w:left w:w="120" w:type="dxa"/>
          <w:right w:w="120" w:type="dxa"/>
        </w:tblCellMar>
        <w:tblLook w:val="0000" w:firstRow="0" w:lastRow="0" w:firstColumn="0" w:lastColumn="0" w:noHBand="0" w:noVBand="0"/>
      </w:tblPr>
      <w:tblGrid>
        <w:gridCol w:w="2341"/>
        <w:gridCol w:w="961"/>
        <w:gridCol w:w="959"/>
        <w:gridCol w:w="959"/>
        <w:gridCol w:w="957"/>
        <w:gridCol w:w="987"/>
        <w:gridCol w:w="957"/>
        <w:gridCol w:w="989"/>
        <w:gridCol w:w="985"/>
      </w:tblGrid>
      <w:tr w:rsidR="0086682B" w:rsidRPr="00D47D1C" w14:paraId="1932E591" w14:textId="77777777" w:rsidTr="00CA7F04">
        <w:trPr>
          <w:trHeight w:val="635"/>
        </w:trPr>
        <w:tc>
          <w:tcPr>
            <w:tcW w:w="1159" w:type="pct"/>
            <w:vAlign w:val="bottom"/>
          </w:tcPr>
          <w:p w14:paraId="03D3514C" w14:textId="77777777" w:rsidR="0086682B" w:rsidRPr="00D47D1C" w:rsidRDefault="0086682B" w:rsidP="00CA7F04">
            <w:pPr>
              <w:tabs>
                <w:tab w:val="right" w:pos="1202"/>
              </w:tabs>
              <w:spacing w:line="240" w:lineRule="atLeas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Banka</w:t>
            </w:r>
          </w:p>
          <w:p w14:paraId="5CE2734D" w14:textId="77777777" w:rsidR="0086682B" w:rsidRPr="00D47D1C" w:rsidRDefault="0086682B" w:rsidP="00CA7F04">
            <w:pPr>
              <w:tabs>
                <w:tab w:val="right" w:pos="1202"/>
              </w:tabs>
              <w:spacing w:line="240" w:lineRule="atLeast"/>
              <w:outlineLvl w:val="0"/>
              <w:rPr>
                <w:rFonts w:ascii="Arial" w:eastAsia="Calibri" w:hAnsi="Arial" w:cs="Arial"/>
                <w:b/>
                <w:color w:val="000000" w:themeColor="text1"/>
                <w:sz w:val="15"/>
                <w:szCs w:val="15"/>
              </w:rPr>
            </w:pPr>
          </w:p>
          <w:p w14:paraId="766E2EA1" w14:textId="77777777" w:rsidR="0086682B" w:rsidRPr="00D47D1C" w:rsidRDefault="0086682B" w:rsidP="00CA7F04">
            <w:pPr>
              <w:tabs>
                <w:tab w:val="right" w:pos="1202"/>
              </w:tabs>
              <w:spacing w:line="240" w:lineRule="atLeas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31. prosinca 202</w:t>
            </w:r>
            <w:r>
              <w:rPr>
                <w:rFonts w:ascii="Arial" w:eastAsia="Calibri" w:hAnsi="Arial" w:cs="Arial"/>
                <w:b/>
                <w:color w:val="000000" w:themeColor="text1"/>
                <w:sz w:val="15"/>
                <w:szCs w:val="15"/>
              </w:rPr>
              <w:t>3</w:t>
            </w:r>
            <w:r w:rsidRPr="00D47D1C">
              <w:rPr>
                <w:rFonts w:ascii="Arial" w:eastAsia="Calibri" w:hAnsi="Arial" w:cs="Arial"/>
                <w:b/>
                <w:color w:val="000000" w:themeColor="text1"/>
                <w:sz w:val="15"/>
                <w:szCs w:val="15"/>
              </w:rPr>
              <w:t xml:space="preserve">.  </w:t>
            </w:r>
          </w:p>
        </w:tc>
        <w:tc>
          <w:tcPr>
            <w:tcW w:w="476" w:type="pct"/>
          </w:tcPr>
          <w:p w14:paraId="7BFFD8A3" w14:textId="77777777" w:rsidR="0086682B" w:rsidRPr="00D47D1C" w:rsidRDefault="0086682B" w:rsidP="00CA7F04">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Do 1 mjesec</w:t>
            </w:r>
          </w:p>
        </w:tc>
        <w:tc>
          <w:tcPr>
            <w:tcW w:w="475" w:type="pct"/>
          </w:tcPr>
          <w:p w14:paraId="2126D2B0" w14:textId="77777777" w:rsidR="0086682B" w:rsidRPr="00D47D1C" w:rsidRDefault="0086682B" w:rsidP="00CA7F04">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1 do 3 mjeseca</w:t>
            </w:r>
          </w:p>
        </w:tc>
        <w:tc>
          <w:tcPr>
            <w:tcW w:w="475" w:type="pct"/>
          </w:tcPr>
          <w:p w14:paraId="696D6BF2" w14:textId="77777777" w:rsidR="0086682B" w:rsidRPr="00D47D1C" w:rsidRDefault="0086682B" w:rsidP="00CA7F04">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3 mj. do 1 godine</w:t>
            </w:r>
          </w:p>
        </w:tc>
        <w:tc>
          <w:tcPr>
            <w:tcW w:w="474" w:type="pct"/>
          </w:tcPr>
          <w:p w14:paraId="25D32418" w14:textId="77777777" w:rsidR="0086682B" w:rsidRPr="00D47D1C" w:rsidRDefault="0086682B" w:rsidP="00CA7F04">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1 do 3 godina</w:t>
            </w:r>
          </w:p>
        </w:tc>
        <w:tc>
          <w:tcPr>
            <w:tcW w:w="489" w:type="pct"/>
          </w:tcPr>
          <w:p w14:paraId="301C65E4" w14:textId="77777777" w:rsidR="0086682B" w:rsidRPr="00D47D1C" w:rsidRDefault="0086682B" w:rsidP="00CA7F04">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Preko 3 godine</w:t>
            </w:r>
          </w:p>
        </w:tc>
        <w:tc>
          <w:tcPr>
            <w:tcW w:w="474" w:type="pct"/>
          </w:tcPr>
          <w:p w14:paraId="4C7DA602" w14:textId="77777777" w:rsidR="0086682B" w:rsidRPr="00D47D1C" w:rsidRDefault="0086682B" w:rsidP="00CA7F04">
            <w:pPr>
              <w:tabs>
                <w:tab w:val="right" w:pos="1202"/>
              </w:tabs>
              <w:spacing w:line="240" w:lineRule="atLeast"/>
              <w:jc w:val="right"/>
              <w:outlineLvl w:val="0"/>
              <w:rPr>
                <w:rFonts w:ascii="Arial" w:eastAsia="Calibri" w:hAnsi="Arial" w:cs="Arial"/>
                <w:b/>
                <w:color w:val="000000" w:themeColor="text1"/>
                <w:sz w:val="15"/>
                <w:szCs w:val="15"/>
              </w:rPr>
            </w:pPr>
            <w:proofErr w:type="spellStart"/>
            <w:r w:rsidRPr="00D47D1C">
              <w:rPr>
                <w:rFonts w:ascii="Arial" w:eastAsia="Calibri" w:hAnsi="Arial" w:cs="Arial"/>
                <w:b/>
                <w:color w:val="000000" w:themeColor="text1"/>
                <w:sz w:val="15"/>
                <w:szCs w:val="15"/>
              </w:rPr>
              <w:t>Beska-matno</w:t>
            </w:r>
            <w:proofErr w:type="spellEnd"/>
          </w:p>
        </w:tc>
        <w:tc>
          <w:tcPr>
            <w:tcW w:w="490" w:type="pct"/>
          </w:tcPr>
          <w:p w14:paraId="0B566DD3" w14:textId="77777777" w:rsidR="0086682B" w:rsidRPr="00D47D1C" w:rsidRDefault="0086682B" w:rsidP="00CA7F04">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Ukupno</w:t>
            </w:r>
          </w:p>
        </w:tc>
        <w:tc>
          <w:tcPr>
            <w:tcW w:w="488" w:type="pct"/>
          </w:tcPr>
          <w:p w14:paraId="0DBFFBFE" w14:textId="77777777" w:rsidR="0086682B" w:rsidRPr="00D47D1C" w:rsidRDefault="0086682B" w:rsidP="00CA7F04">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Fiksna kamatna stopa</w:t>
            </w:r>
          </w:p>
        </w:tc>
      </w:tr>
      <w:tr w:rsidR="0086682B" w:rsidRPr="00D47D1C" w14:paraId="460E2D69" w14:textId="77777777" w:rsidTr="00CA7F04">
        <w:trPr>
          <w:trHeight w:val="258"/>
        </w:trPr>
        <w:tc>
          <w:tcPr>
            <w:tcW w:w="1159" w:type="pct"/>
            <w:vAlign w:val="bottom"/>
          </w:tcPr>
          <w:p w14:paraId="509D982F" w14:textId="77777777" w:rsidR="0086682B" w:rsidRPr="00D47D1C" w:rsidRDefault="0086682B" w:rsidP="00CA7F04">
            <w:pPr>
              <w:tabs>
                <w:tab w:val="right" w:pos="1202"/>
              </w:tabs>
              <w:spacing w:line="240" w:lineRule="atLeast"/>
              <w:outlineLvl w:val="0"/>
              <w:rPr>
                <w:rFonts w:ascii="Arial" w:eastAsia="Calibri" w:hAnsi="Arial" w:cs="Arial"/>
                <w:b/>
                <w:color w:val="000000" w:themeColor="text1"/>
                <w:sz w:val="15"/>
                <w:szCs w:val="15"/>
              </w:rPr>
            </w:pPr>
          </w:p>
        </w:tc>
        <w:tc>
          <w:tcPr>
            <w:tcW w:w="476" w:type="pct"/>
          </w:tcPr>
          <w:p w14:paraId="48E418DE" w14:textId="77777777" w:rsidR="0086682B" w:rsidRPr="00D47D1C" w:rsidRDefault="0086682B" w:rsidP="00CA7F04">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75" w:type="pct"/>
          </w:tcPr>
          <w:p w14:paraId="719AD5A9" w14:textId="77777777" w:rsidR="0086682B" w:rsidRPr="00D47D1C" w:rsidRDefault="0086682B" w:rsidP="00CA7F04">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75" w:type="pct"/>
          </w:tcPr>
          <w:p w14:paraId="5C03AC81" w14:textId="77777777" w:rsidR="0086682B" w:rsidRPr="00D47D1C" w:rsidRDefault="0086682B" w:rsidP="00CA7F04">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74" w:type="pct"/>
          </w:tcPr>
          <w:p w14:paraId="13FDB14D" w14:textId="77777777" w:rsidR="0086682B" w:rsidRPr="00D47D1C" w:rsidRDefault="0086682B" w:rsidP="00CA7F04">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89" w:type="pct"/>
          </w:tcPr>
          <w:p w14:paraId="068781B0" w14:textId="77777777" w:rsidR="0086682B" w:rsidRPr="00D47D1C" w:rsidRDefault="0086682B" w:rsidP="00CA7F04">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74" w:type="pct"/>
          </w:tcPr>
          <w:p w14:paraId="1786DE95" w14:textId="77777777" w:rsidR="0086682B" w:rsidRPr="00D47D1C" w:rsidRDefault="0086682B" w:rsidP="00CA7F04">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90" w:type="pct"/>
          </w:tcPr>
          <w:p w14:paraId="2C15C2F6" w14:textId="77777777" w:rsidR="0086682B" w:rsidRPr="00D47D1C" w:rsidRDefault="0086682B" w:rsidP="00CA7F04">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c>
          <w:tcPr>
            <w:tcW w:w="488" w:type="pct"/>
          </w:tcPr>
          <w:p w14:paraId="59E5201F" w14:textId="77777777" w:rsidR="0086682B" w:rsidRPr="00D47D1C" w:rsidRDefault="0086682B" w:rsidP="00CA7F04">
            <w:pPr>
              <w:tabs>
                <w:tab w:val="right" w:pos="1202"/>
              </w:tabs>
              <w:spacing w:line="240" w:lineRule="atLeast"/>
              <w:jc w:val="right"/>
              <w:outlineLvl w:val="0"/>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 xml:space="preserve">000 </w:t>
            </w:r>
            <w:r>
              <w:rPr>
                <w:rFonts w:ascii="Arial" w:eastAsia="Calibri" w:hAnsi="Arial" w:cs="Arial"/>
                <w:b/>
                <w:color w:val="000000" w:themeColor="text1"/>
                <w:sz w:val="15"/>
                <w:szCs w:val="15"/>
              </w:rPr>
              <w:t>eura</w:t>
            </w:r>
          </w:p>
        </w:tc>
      </w:tr>
      <w:tr w:rsidR="0086682B" w:rsidRPr="00D47D1C" w14:paraId="4CB322AC" w14:textId="77777777" w:rsidTr="00CA7F04">
        <w:trPr>
          <w:trHeight w:val="227"/>
        </w:trPr>
        <w:tc>
          <w:tcPr>
            <w:tcW w:w="1159" w:type="pct"/>
            <w:vAlign w:val="bottom"/>
          </w:tcPr>
          <w:p w14:paraId="28F1016B" w14:textId="77777777" w:rsidR="0086682B" w:rsidRPr="00D47D1C" w:rsidRDefault="0086682B" w:rsidP="00CA7F04">
            <w:pPr>
              <w:tabs>
                <w:tab w:val="left" w:pos="-720"/>
              </w:tabs>
              <w:suppressAutoHyphens/>
              <w:rPr>
                <w:rFonts w:ascii="Arial" w:eastAsia="Calibri" w:hAnsi="Arial" w:cs="Arial"/>
                <w:b/>
                <w:color w:val="000000" w:themeColor="text1"/>
                <w:sz w:val="15"/>
                <w:szCs w:val="15"/>
              </w:rPr>
            </w:pPr>
            <w:r w:rsidRPr="00D47D1C">
              <w:rPr>
                <w:rFonts w:ascii="Arial" w:eastAsia="Calibri" w:hAnsi="Arial" w:cs="Arial"/>
                <w:b/>
                <w:color w:val="000000" w:themeColor="text1"/>
                <w:sz w:val="15"/>
                <w:szCs w:val="15"/>
              </w:rPr>
              <w:t>Imovina</w:t>
            </w:r>
          </w:p>
        </w:tc>
        <w:tc>
          <w:tcPr>
            <w:tcW w:w="476" w:type="pct"/>
          </w:tcPr>
          <w:p w14:paraId="40D02B68" w14:textId="77777777" w:rsidR="0086682B" w:rsidRPr="00D47D1C" w:rsidRDefault="0086682B" w:rsidP="00CA7F04">
            <w:pPr>
              <w:tabs>
                <w:tab w:val="left" w:pos="-720"/>
              </w:tabs>
              <w:suppressAutoHyphens/>
              <w:jc w:val="right"/>
              <w:rPr>
                <w:rFonts w:ascii="Arial" w:eastAsia="Calibri" w:hAnsi="Arial" w:cs="Arial"/>
                <w:color w:val="000000" w:themeColor="text1"/>
                <w:sz w:val="15"/>
                <w:szCs w:val="15"/>
              </w:rPr>
            </w:pPr>
          </w:p>
        </w:tc>
        <w:tc>
          <w:tcPr>
            <w:tcW w:w="475" w:type="pct"/>
          </w:tcPr>
          <w:p w14:paraId="0D1DFDD7" w14:textId="77777777" w:rsidR="0086682B" w:rsidRPr="00D47D1C" w:rsidRDefault="0086682B" w:rsidP="00CA7F04">
            <w:pPr>
              <w:tabs>
                <w:tab w:val="left" w:pos="-720"/>
              </w:tabs>
              <w:suppressAutoHyphens/>
              <w:jc w:val="right"/>
              <w:rPr>
                <w:rFonts w:ascii="Arial" w:eastAsia="Calibri" w:hAnsi="Arial" w:cs="Arial"/>
                <w:color w:val="000000" w:themeColor="text1"/>
                <w:sz w:val="15"/>
                <w:szCs w:val="15"/>
              </w:rPr>
            </w:pPr>
          </w:p>
        </w:tc>
        <w:tc>
          <w:tcPr>
            <w:tcW w:w="475" w:type="pct"/>
          </w:tcPr>
          <w:p w14:paraId="529FD867" w14:textId="77777777" w:rsidR="0086682B" w:rsidRPr="00D47D1C" w:rsidRDefault="0086682B" w:rsidP="00CA7F04">
            <w:pPr>
              <w:tabs>
                <w:tab w:val="left" w:pos="-720"/>
              </w:tabs>
              <w:suppressAutoHyphens/>
              <w:jc w:val="right"/>
              <w:rPr>
                <w:rFonts w:ascii="Arial" w:eastAsia="Calibri" w:hAnsi="Arial" w:cs="Arial"/>
                <w:color w:val="000000" w:themeColor="text1"/>
                <w:sz w:val="15"/>
                <w:szCs w:val="15"/>
              </w:rPr>
            </w:pPr>
          </w:p>
        </w:tc>
        <w:tc>
          <w:tcPr>
            <w:tcW w:w="474" w:type="pct"/>
          </w:tcPr>
          <w:p w14:paraId="593DC334" w14:textId="77777777" w:rsidR="0086682B" w:rsidRPr="00D47D1C" w:rsidRDefault="0086682B" w:rsidP="00CA7F04">
            <w:pPr>
              <w:tabs>
                <w:tab w:val="left" w:pos="-720"/>
              </w:tabs>
              <w:suppressAutoHyphens/>
              <w:jc w:val="right"/>
              <w:rPr>
                <w:rFonts w:ascii="Arial" w:eastAsia="Calibri" w:hAnsi="Arial" w:cs="Arial"/>
                <w:color w:val="000000" w:themeColor="text1"/>
                <w:sz w:val="15"/>
                <w:szCs w:val="15"/>
              </w:rPr>
            </w:pPr>
          </w:p>
        </w:tc>
        <w:tc>
          <w:tcPr>
            <w:tcW w:w="489" w:type="pct"/>
          </w:tcPr>
          <w:p w14:paraId="31768F4A" w14:textId="77777777" w:rsidR="0086682B" w:rsidRPr="00D47D1C" w:rsidRDefault="0086682B" w:rsidP="00CA7F04">
            <w:pPr>
              <w:tabs>
                <w:tab w:val="left" w:pos="-720"/>
              </w:tabs>
              <w:suppressAutoHyphens/>
              <w:jc w:val="right"/>
              <w:rPr>
                <w:rFonts w:ascii="Arial" w:eastAsia="Calibri" w:hAnsi="Arial" w:cs="Arial"/>
                <w:color w:val="000000" w:themeColor="text1"/>
                <w:sz w:val="15"/>
                <w:szCs w:val="15"/>
              </w:rPr>
            </w:pPr>
          </w:p>
        </w:tc>
        <w:tc>
          <w:tcPr>
            <w:tcW w:w="474" w:type="pct"/>
          </w:tcPr>
          <w:p w14:paraId="2C63C4DA" w14:textId="77777777" w:rsidR="0086682B" w:rsidRPr="00D47D1C" w:rsidRDefault="0086682B" w:rsidP="00CA7F04">
            <w:pPr>
              <w:tabs>
                <w:tab w:val="left" w:pos="-720"/>
              </w:tabs>
              <w:suppressAutoHyphens/>
              <w:spacing w:line="360" w:lineRule="auto"/>
              <w:jc w:val="right"/>
              <w:rPr>
                <w:rFonts w:ascii="Arial" w:eastAsia="Calibri" w:hAnsi="Arial" w:cs="Arial"/>
                <w:color w:val="000000" w:themeColor="text1"/>
                <w:sz w:val="15"/>
                <w:szCs w:val="15"/>
              </w:rPr>
            </w:pPr>
          </w:p>
        </w:tc>
        <w:tc>
          <w:tcPr>
            <w:tcW w:w="490" w:type="pct"/>
          </w:tcPr>
          <w:p w14:paraId="0A83B72A" w14:textId="77777777" w:rsidR="0086682B" w:rsidRPr="00D47D1C" w:rsidRDefault="0086682B" w:rsidP="00CA7F04">
            <w:pPr>
              <w:tabs>
                <w:tab w:val="left" w:pos="-720"/>
              </w:tabs>
              <w:suppressAutoHyphens/>
              <w:jc w:val="right"/>
              <w:rPr>
                <w:rFonts w:ascii="Arial" w:eastAsia="Calibri" w:hAnsi="Arial" w:cs="Arial"/>
                <w:color w:val="000000" w:themeColor="text1"/>
                <w:sz w:val="15"/>
                <w:szCs w:val="15"/>
              </w:rPr>
            </w:pPr>
          </w:p>
        </w:tc>
        <w:tc>
          <w:tcPr>
            <w:tcW w:w="488" w:type="pct"/>
          </w:tcPr>
          <w:p w14:paraId="7A16832C" w14:textId="77777777" w:rsidR="0086682B" w:rsidRPr="00D47D1C" w:rsidRDefault="0086682B" w:rsidP="00CA7F04">
            <w:pPr>
              <w:tabs>
                <w:tab w:val="left" w:pos="-720"/>
              </w:tabs>
              <w:suppressAutoHyphens/>
              <w:jc w:val="right"/>
              <w:rPr>
                <w:rFonts w:ascii="Arial" w:eastAsia="Calibri" w:hAnsi="Arial" w:cs="Arial"/>
                <w:color w:val="000000" w:themeColor="text1"/>
                <w:sz w:val="15"/>
                <w:szCs w:val="15"/>
              </w:rPr>
            </w:pPr>
          </w:p>
        </w:tc>
      </w:tr>
      <w:tr w:rsidR="0086682B" w:rsidRPr="00D47D1C" w14:paraId="21BDA3F4" w14:textId="77777777" w:rsidTr="00CA7F04">
        <w:trPr>
          <w:trHeight w:val="217"/>
        </w:trPr>
        <w:tc>
          <w:tcPr>
            <w:tcW w:w="1159" w:type="pct"/>
            <w:vAlign w:val="bottom"/>
          </w:tcPr>
          <w:p w14:paraId="0F460BB6" w14:textId="77777777" w:rsidR="0086682B" w:rsidRPr="00D47D1C" w:rsidRDefault="0086682B" w:rsidP="00CA7F04">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Novčana sredstva i računi kod banaka</w:t>
            </w:r>
          </w:p>
        </w:tc>
        <w:tc>
          <w:tcPr>
            <w:tcW w:w="476" w:type="pct"/>
            <w:vAlign w:val="bottom"/>
          </w:tcPr>
          <w:p w14:paraId="0D3BF5D3"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41.543 </w:t>
            </w:r>
          </w:p>
        </w:tc>
        <w:tc>
          <w:tcPr>
            <w:tcW w:w="475" w:type="pct"/>
            <w:vAlign w:val="bottom"/>
          </w:tcPr>
          <w:p w14:paraId="505255AD"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5" w:type="pct"/>
            <w:vAlign w:val="bottom"/>
          </w:tcPr>
          <w:p w14:paraId="01ADA644"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4" w:type="pct"/>
            <w:vAlign w:val="bottom"/>
          </w:tcPr>
          <w:p w14:paraId="7DD03F10"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9" w:type="pct"/>
            <w:vAlign w:val="bottom"/>
          </w:tcPr>
          <w:p w14:paraId="39104A24"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4" w:type="pct"/>
            <w:vAlign w:val="bottom"/>
          </w:tcPr>
          <w:p w14:paraId="40F92543"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90" w:type="pct"/>
            <w:vAlign w:val="bottom"/>
          </w:tcPr>
          <w:p w14:paraId="3117618B"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41.543 </w:t>
            </w:r>
          </w:p>
        </w:tc>
        <w:tc>
          <w:tcPr>
            <w:tcW w:w="488" w:type="pct"/>
            <w:vAlign w:val="bottom"/>
          </w:tcPr>
          <w:p w14:paraId="6905E20B"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41.543 </w:t>
            </w:r>
          </w:p>
        </w:tc>
      </w:tr>
      <w:tr w:rsidR="0086682B" w:rsidRPr="00D47D1C" w14:paraId="46C0350F" w14:textId="77777777" w:rsidTr="00CA7F04">
        <w:trPr>
          <w:trHeight w:val="206"/>
        </w:trPr>
        <w:tc>
          <w:tcPr>
            <w:tcW w:w="1159" w:type="pct"/>
            <w:vAlign w:val="bottom"/>
          </w:tcPr>
          <w:p w14:paraId="034786F6" w14:textId="77777777" w:rsidR="0086682B" w:rsidRPr="00D47D1C" w:rsidRDefault="0086682B" w:rsidP="00CA7F04">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Depoziti kod drugih banaka</w:t>
            </w:r>
          </w:p>
        </w:tc>
        <w:tc>
          <w:tcPr>
            <w:tcW w:w="476" w:type="pct"/>
            <w:vAlign w:val="bottom"/>
          </w:tcPr>
          <w:p w14:paraId="6A112B22"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68.126 </w:t>
            </w:r>
          </w:p>
        </w:tc>
        <w:tc>
          <w:tcPr>
            <w:tcW w:w="475" w:type="pct"/>
            <w:vAlign w:val="bottom"/>
          </w:tcPr>
          <w:p w14:paraId="2FB0B828"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5" w:type="pct"/>
            <w:vAlign w:val="bottom"/>
          </w:tcPr>
          <w:p w14:paraId="2995AA3A"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4" w:type="pct"/>
            <w:vAlign w:val="bottom"/>
          </w:tcPr>
          <w:p w14:paraId="6DB048C9"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9" w:type="pct"/>
            <w:vAlign w:val="bottom"/>
          </w:tcPr>
          <w:p w14:paraId="1EE53F6F"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4" w:type="pct"/>
            <w:vAlign w:val="bottom"/>
          </w:tcPr>
          <w:p w14:paraId="5BBF34E7"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1.330 </w:t>
            </w:r>
          </w:p>
        </w:tc>
        <w:tc>
          <w:tcPr>
            <w:tcW w:w="490" w:type="pct"/>
            <w:vAlign w:val="bottom"/>
          </w:tcPr>
          <w:p w14:paraId="515D68DE"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69.456 </w:t>
            </w:r>
          </w:p>
        </w:tc>
        <w:tc>
          <w:tcPr>
            <w:tcW w:w="488" w:type="pct"/>
            <w:vAlign w:val="bottom"/>
          </w:tcPr>
          <w:p w14:paraId="078CFC85"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68.126 </w:t>
            </w:r>
          </w:p>
        </w:tc>
      </w:tr>
      <w:tr w:rsidR="0086682B" w:rsidRPr="00D47D1C" w14:paraId="6330E795" w14:textId="77777777" w:rsidTr="00CA7F04">
        <w:trPr>
          <w:trHeight w:val="164"/>
        </w:trPr>
        <w:tc>
          <w:tcPr>
            <w:tcW w:w="1159" w:type="pct"/>
            <w:vAlign w:val="bottom"/>
          </w:tcPr>
          <w:p w14:paraId="56C069DF" w14:textId="77777777" w:rsidR="0086682B" w:rsidRPr="00D47D1C" w:rsidRDefault="0086682B" w:rsidP="00CA7F04">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Krediti financijskim institucijama</w:t>
            </w:r>
          </w:p>
        </w:tc>
        <w:tc>
          <w:tcPr>
            <w:tcW w:w="476" w:type="pct"/>
            <w:tcBorders>
              <w:top w:val="nil"/>
              <w:left w:val="nil"/>
              <w:bottom w:val="nil"/>
              <w:right w:val="nil"/>
            </w:tcBorders>
            <w:vAlign w:val="bottom"/>
          </w:tcPr>
          <w:p w14:paraId="2EAA7FA8"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87.993 </w:t>
            </w:r>
          </w:p>
        </w:tc>
        <w:tc>
          <w:tcPr>
            <w:tcW w:w="475" w:type="pct"/>
            <w:tcBorders>
              <w:top w:val="nil"/>
              <w:left w:val="nil"/>
              <w:bottom w:val="nil"/>
              <w:right w:val="nil"/>
            </w:tcBorders>
            <w:vAlign w:val="bottom"/>
          </w:tcPr>
          <w:p w14:paraId="5DF01C3B"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168.026 </w:t>
            </w:r>
          </w:p>
        </w:tc>
        <w:tc>
          <w:tcPr>
            <w:tcW w:w="475" w:type="pct"/>
            <w:tcBorders>
              <w:top w:val="nil"/>
              <w:left w:val="nil"/>
              <w:bottom w:val="nil"/>
              <w:right w:val="nil"/>
            </w:tcBorders>
            <w:vAlign w:val="bottom"/>
          </w:tcPr>
          <w:p w14:paraId="5F77F938"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128.016 </w:t>
            </w:r>
          </w:p>
        </w:tc>
        <w:tc>
          <w:tcPr>
            <w:tcW w:w="474" w:type="pct"/>
            <w:tcBorders>
              <w:top w:val="nil"/>
              <w:left w:val="nil"/>
              <w:bottom w:val="nil"/>
              <w:right w:val="nil"/>
            </w:tcBorders>
            <w:vAlign w:val="bottom"/>
          </w:tcPr>
          <w:p w14:paraId="18A0C7DE"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301.413 </w:t>
            </w:r>
          </w:p>
        </w:tc>
        <w:tc>
          <w:tcPr>
            <w:tcW w:w="489" w:type="pct"/>
            <w:tcBorders>
              <w:top w:val="nil"/>
              <w:left w:val="nil"/>
              <w:bottom w:val="nil"/>
              <w:right w:val="nil"/>
            </w:tcBorders>
            <w:vAlign w:val="bottom"/>
          </w:tcPr>
          <w:p w14:paraId="6B20400D"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561.073 </w:t>
            </w:r>
          </w:p>
        </w:tc>
        <w:tc>
          <w:tcPr>
            <w:tcW w:w="474" w:type="pct"/>
            <w:tcBorders>
              <w:top w:val="nil"/>
              <w:left w:val="nil"/>
              <w:bottom w:val="nil"/>
              <w:right w:val="nil"/>
            </w:tcBorders>
            <w:vAlign w:val="bottom"/>
          </w:tcPr>
          <w:p w14:paraId="4F461999"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2.360 </w:t>
            </w:r>
          </w:p>
        </w:tc>
        <w:tc>
          <w:tcPr>
            <w:tcW w:w="490" w:type="pct"/>
            <w:tcBorders>
              <w:top w:val="nil"/>
              <w:left w:val="nil"/>
              <w:bottom w:val="nil"/>
              <w:right w:val="nil"/>
            </w:tcBorders>
            <w:vAlign w:val="bottom"/>
          </w:tcPr>
          <w:p w14:paraId="4F50EB8E"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1.248.881 </w:t>
            </w:r>
          </w:p>
        </w:tc>
        <w:tc>
          <w:tcPr>
            <w:tcW w:w="488" w:type="pct"/>
            <w:tcBorders>
              <w:top w:val="nil"/>
              <w:left w:val="nil"/>
              <w:bottom w:val="nil"/>
              <w:right w:val="nil"/>
            </w:tcBorders>
            <w:vAlign w:val="bottom"/>
          </w:tcPr>
          <w:p w14:paraId="6E6992C8"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1.235.651 </w:t>
            </w:r>
          </w:p>
        </w:tc>
      </w:tr>
      <w:tr w:rsidR="0086682B" w:rsidRPr="00D47D1C" w14:paraId="6EED8962" w14:textId="77777777" w:rsidTr="00CA7F04">
        <w:trPr>
          <w:trHeight w:val="92"/>
        </w:trPr>
        <w:tc>
          <w:tcPr>
            <w:tcW w:w="1159" w:type="pct"/>
            <w:vAlign w:val="bottom"/>
          </w:tcPr>
          <w:p w14:paraId="663132BE" w14:textId="77777777" w:rsidR="0086682B" w:rsidRPr="00D47D1C" w:rsidRDefault="0086682B" w:rsidP="00CA7F04">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Krediti ostalim korisnicima</w:t>
            </w:r>
          </w:p>
        </w:tc>
        <w:tc>
          <w:tcPr>
            <w:tcW w:w="476" w:type="pct"/>
            <w:tcBorders>
              <w:top w:val="nil"/>
              <w:left w:val="nil"/>
              <w:bottom w:val="nil"/>
              <w:right w:val="nil"/>
            </w:tcBorders>
            <w:vAlign w:val="bottom"/>
          </w:tcPr>
          <w:p w14:paraId="08748748"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239.908 </w:t>
            </w:r>
          </w:p>
        </w:tc>
        <w:tc>
          <w:tcPr>
            <w:tcW w:w="475" w:type="pct"/>
            <w:tcBorders>
              <w:top w:val="nil"/>
              <w:left w:val="nil"/>
              <w:bottom w:val="nil"/>
              <w:right w:val="nil"/>
            </w:tcBorders>
            <w:vAlign w:val="bottom"/>
          </w:tcPr>
          <w:p w14:paraId="797689FA"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94.026 </w:t>
            </w:r>
          </w:p>
        </w:tc>
        <w:tc>
          <w:tcPr>
            <w:tcW w:w="475" w:type="pct"/>
            <w:tcBorders>
              <w:top w:val="nil"/>
              <w:left w:val="nil"/>
              <w:bottom w:val="nil"/>
              <w:right w:val="nil"/>
            </w:tcBorders>
            <w:vAlign w:val="bottom"/>
          </w:tcPr>
          <w:p w14:paraId="53983E32"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284.057 </w:t>
            </w:r>
          </w:p>
        </w:tc>
        <w:tc>
          <w:tcPr>
            <w:tcW w:w="474" w:type="pct"/>
            <w:tcBorders>
              <w:top w:val="nil"/>
              <w:left w:val="nil"/>
              <w:bottom w:val="nil"/>
              <w:right w:val="nil"/>
            </w:tcBorders>
            <w:vAlign w:val="bottom"/>
          </w:tcPr>
          <w:p w14:paraId="1296E01B"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574.254 </w:t>
            </w:r>
          </w:p>
        </w:tc>
        <w:tc>
          <w:tcPr>
            <w:tcW w:w="489" w:type="pct"/>
            <w:tcBorders>
              <w:top w:val="nil"/>
              <w:left w:val="nil"/>
              <w:bottom w:val="nil"/>
              <w:right w:val="nil"/>
            </w:tcBorders>
            <w:vAlign w:val="bottom"/>
          </w:tcPr>
          <w:p w14:paraId="41201A6A"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1.136.498 </w:t>
            </w:r>
          </w:p>
        </w:tc>
        <w:tc>
          <w:tcPr>
            <w:tcW w:w="474" w:type="pct"/>
            <w:tcBorders>
              <w:top w:val="nil"/>
              <w:left w:val="nil"/>
              <w:bottom w:val="nil"/>
              <w:right w:val="nil"/>
            </w:tcBorders>
            <w:vAlign w:val="bottom"/>
          </w:tcPr>
          <w:p w14:paraId="07A22D9A"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22.453 </w:t>
            </w:r>
          </w:p>
        </w:tc>
        <w:tc>
          <w:tcPr>
            <w:tcW w:w="490" w:type="pct"/>
            <w:tcBorders>
              <w:top w:val="nil"/>
              <w:left w:val="nil"/>
              <w:bottom w:val="nil"/>
              <w:right w:val="nil"/>
            </w:tcBorders>
            <w:vAlign w:val="bottom"/>
          </w:tcPr>
          <w:p w14:paraId="73BC1F4B"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2.351.196 </w:t>
            </w:r>
          </w:p>
        </w:tc>
        <w:tc>
          <w:tcPr>
            <w:tcW w:w="488" w:type="pct"/>
            <w:tcBorders>
              <w:top w:val="nil"/>
              <w:left w:val="nil"/>
              <w:bottom w:val="nil"/>
              <w:right w:val="nil"/>
            </w:tcBorders>
            <w:vAlign w:val="bottom"/>
          </w:tcPr>
          <w:p w14:paraId="130982D9"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2.200.795 </w:t>
            </w:r>
          </w:p>
        </w:tc>
      </w:tr>
      <w:tr w:rsidR="0086682B" w:rsidRPr="00D47D1C" w14:paraId="71F10BB9" w14:textId="77777777" w:rsidTr="00CA7F04">
        <w:trPr>
          <w:trHeight w:val="170"/>
        </w:trPr>
        <w:tc>
          <w:tcPr>
            <w:tcW w:w="1159" w:type="pct"/>
            <w:vAlign w:val="bottom"/>
          </w:tcPr>
          <w:p w14:paraId="29BC6A8A" w14:textId="77777777" w:rsidR="0086682B" w:rsidRPr="00D47D1C" w:rsidRDefault="0086682B" w:rsidP="00CA7F04">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Financijska imovina po fer vrijednosti kroz dobit ili gubitak</w:t>
            </w:r>
          </w:p>
        </w:tc>
        <w:tc>
          <w:tcPr>
            <w:tcW w:w="476" w:type="pct"/>
            <w:vAlign w:val="bottom"/>
          </w:tcPr>
          <w:p w14:paraId="3C500660"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5" w:type="pct"/>
            <w:vAlign w:val="bottom"/>
          </w:tcPr>
          <w:p w14:paraId="65116D56"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5" w:type="pct"/>
            <w:vAlign w:val="bottom"/>
          </w:tcPr>
          <w:p w14:paraId="689C5BA0"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4" w:type="pct"/>
            <w:vAlign w:val="bottom"/>
          </w:tcPr>
          <w:p w14:paraId="5173EBBB"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33.698 </w:t>
            </w:r>
          </w:p>
        </w:tc>
        <w:tc>
          <w:tcPr>
            <w:tcW w:w="489" w:type="pct"/>
            <w:vAlign w:val="bottom"/>
          </w:tcPr>
          <w:p w14:paraId="67274045"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4" w:type="pct"/>
            <w:vAlign w:val="bottom"/>
          </w:tcPr>
          <w:p w14:paraId="67D98103"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19.224 </w:t>
            </w:r>
          </w:p>
        </w:tc>
        <w:tc>
          <w:tcPr>
            <w:tcW w:w="490" w:type="pct"/>
            <w:vAlign w:val="bottom"/>
          </w:tcPr>
          <w:p w14:paraId="1E374A27"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52.922 </w:t>
            </w:r>
          </w:p>
        </w:tc>
        <w:tc>
          <w:tcPr>
            <w:tcW w:w="488" w:type="pct"/>
            <w:vAlign w:val="bottom"/>
          </w:tcPr>
          <w:p w14:paraId="4A246986"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33.698 </w:t>
            </w:r>
          </w:p>
        </w:tc>
      </w:tr>
      <w:tr w:rsidR="0086682B" w:rsidRPr="00D47D1C" w14:paraId="5BE12E58" w14:textId="77777777" w:rsidTr="00CA7F04">
        <w:trPr>
          <w:trHeight w:val="163"/>
        </w:trPr>
        <w:tc>
          <w:tcPr>
            <w:tcW w:w="1159" w:type="pct"/>
            <w:vAlign w:val="bottom"/>
          </w:tcPr>
          <w:p w14:paraId="475BB470" w14:textId="77777777" w:rsidR="0086682B" w:rsidRPr="00D47D1C" w:rsidRDefault="0086682B" w:rsidP="00CA7F04">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Financijska imovina po fer vrijednosti kroz ostalu sveobuhvatnu dobit</w:t>
            </w:r>
          </w:p>
        </w:tc>
        <w:tc>
          <w:tcPr>
            <w:tcW w:w="476" w:type="pct"/>
            <w:vAlign w:val="bottom"/>
          </w:tcPr>
          <w:p w14:paraId="24260CD3"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6.991 </w:t>
            </w:r>
          </w:p>
        </w:tc>
        <w:tc>
          <w:tcPr>
            <w:tcW w:w="475" w:type="pct"/>
            <w:vAlign w:val="bottom"/>
          </w:tcPr>
          <w:p w14:paraId="62C6AFDA"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4.976 </w:t>
            </w:r>
          </w:p>
        </w:tc>
        <w:tc>
          <w:tcPr>
            <w:tcW w:w="475" w:type="pct"/>
            <w:vAlign w:val="bottom"/>
          </w:tcPr>
          <w:p w14:paraId="7B5516AF"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52.642 </w:t>
            </w:r>
          </w:p>
        </w:tc>
        <w:tc>
          <w:tcPr>
            <w:tcW w:w="474" w:type="pct"/>
            <w:vAlign w:val="bottom"/>
          </w:tcPr>
          <w:p w14:paraId="0A542546"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110.714 </w:t>
            </w:r>
          </w:p>
        </w:tc>
        <w:tc>
          <w:tcPr>
            <w:tcW w:w="489" w:type="pct"/>
            <w:vAlign w:val="bottom"/>
          </w:tcPr>
          <w:p w14:paraId="59269EE8"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42.647 </w:t>
            </w:r>
          </w:p>
        </w:tc>
        <w:tc>
          <w:tcPr>
            <w:tcW w:w="474" w:type="pct"/>
            <w:vAlign w:val="bottom"/>
          </w:tcPr>
          <w:p w14:paraId="39AB1820"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10.888 </w:t>
            </w:r>
          </w:p>
        </w:tc>
        <w:tc>
          <w:tcPr>
            <w:tcW w:w="490" w:type="pct"/>
            <w:vAlign w:val="bottom"/>
          </w:tcPr>
          <w:p w14:paraId="73C96867"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228.858 </w:t>
            </w:r>
          </w:p>
        </w:tc>
        <w:tc>
          <w:tcPr>
            <w:tcW w:w="488" w:type="pct"/>
            <w:vAlign w:val="bottom"/>
          </w:tcPr>
          <w:p w14:paraId="10B71D06"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217.970 </w:t>
            </w:r>
          </w:p>
        </w:tc>
      </w:tr>
      <w:tr w:rsidR="0086682B" w:rsidRPr="00D47D1C" w14:paraId="0596E380" w14:textId="77777777" w:rsidTr="00CA7F04">
        <w:trPr>
          <w:trHeight w:val="206"/>
        </w:trPr>
        <w:tc>
          <w:tcPr>
            <w:tcW w:w="1159" w:type="pct"/>
            <w:vAlign w:val="bottom"/>
          </w:tcPr>
          <w:p w14:paraId="68BBC487" w14:textId="77777777" w:rsidR="0086682B" w:rsidRPr="00D47D1C" w:rsidRDefault="0086682B" w:rsidP="00CA7F04">
            <w:pPr>
              <w:tabs>
                <w:tab w:val="left" w:pos="-720"/>
              </w:tabs>
              <w:suppressAutoHyphens/>
              <w:spacing w:line="240" w:lineRule="exact"/>
              <w:rPr>
                <w:rFonts w:ascii="Arial" w:eastAsia="Calibri" w:hAnsi="Arial" w:cs="Arial"/>
                <w:color w:val="000000" w:themeColor="text1"/>
                <w:sz w:val="15"/>
                <w:szCs w:val="15"/>
              </w:rPr>
            </w:pPr>
            <w:r w:rsidRPr="00D47D1C">
              <w:rPr>
                <w:rFonts w:ascii="Arial" w:eastAsia="Calibri" w:hAnsi="Arial" w:cs="Arial"/>
                <w:color w:val="000000" w:themeColor="text1"/>
                <w:sz w:val="15"/>
                <w:szCs w:val="15"/>
              </w:rPr>
              <w:t>Ostala imovina</w:t>
            </w:r>
          </w:p>
        </w:tc>
        <w:tc>
          <w:tcPr>
            <w:tcW w:w="476" w:type="pct"/>
            <w:tcBorders>
              <w:bottom w:val="single" w:sz="4" w:space="0" w:color="auto"/>
            </w:tcBorders>
            <w:vAlign w:val="bottom"/>
          </w:tcPr>
          <w:p w14:paraId="066F51BA"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5" w:type="pct"/>
            <w:tcBorders>
              <w:bottom w:val="single" w:sz="4" w:space="0" w:color="auto"/>
            </w:tcBorders>
            <w:vAlign w:val="bottom"/>
          </w:tcPr>
          <w:p w14:paraId="779F0883"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5" w:type="pct"/>
            <w:tcBorders>
              <w:bottom w:val="single" w:sz="4" w:space="0" w:color="auto"/>
            </w:tcBorders>
            <w:vAlign w:val="bottom"/>
          </w:tcPr>
          <w:p w14:paraId="2B166F6B"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4" w:type="pct"/>
            <w:tcBorders>
              <w:bottom w:val="single" w:sz="4" w:space="0" w:color="auto"/>
            </w:tcBorders>
            <w:vAlign w:val="bottom"/>
          </w:tcPr>
          <w:p w14:paraId="16BD3005"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9" w:type="pct"/>
            <w:tcBorders>
              <w:bottom w:val="single" w:sz="4" w:space="0" w:color="auto"/>
            </w:tcBorders>
            <w:vAlign w:val="bottom"/>
          </w:tcPr>
          <w:p w14:paraId="72E7E29D"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4" w:type="pct"/>
            <w:tcBorders>
              <w:bottom w:val="single" w:sz="4" w:space="0" w:color="auto"/>
            </w:tcBorders>
            <w:vAlign w:val="bottom"/>
          </w:tcPr>
          <w:p w14:paraId="44EDA715"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11.365 </w:t>
            </w:r>
          </w:p>
        </w:tc>
        <w:tc>
          <w:tcPr>
            <w:tcW w:w="490" w:type="pct"/>
            <w:tcBorders>
              <w:bottom w:val="single" w:sz="4" w:space="0" w:color="auto"/>
            </w:tcBorders>
            <w:vAlign w:val="bottom"/>
          </w:tcPr>
          <w:p w14:paraId="6C2FA8D1"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11.365 </w:t>
            </w:r>
          </w:p>
        </w:tc>
        <w:tc>
          <w:tcPr>
            <w:tcW w:w="488" w:type="pct"/>
            <w:tcBorders>
              <w:bottom w:val="single" w:sz="4" w:space="0" w:color="auto"/>
            </w:tcBorders>
            <w:vAlign w:val="bottom"/>
          </w:tcPr>
          <w:p w14:paraId="7B6C521C"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r>
      <w:tr w:rsidR="0086682B" w:rsidRPr="00D47D1C" w14:paraId="45FCED0E" w14:textId="77777777" w:rsidTr="00CA7F04">
        <w:trPr>
          <w:trHeight w:hRule="exact" w:val="308"/>
        </w:trPr>
        <w:tc>
          <w:tcPr>
            <w:tcW w:w="1159" w:type="pct"/>
            <w:vAlign w:val="center"/>
          </w:tcPr>
          <w:p w14:paraId="08A26B90" w14:textId="77777777" w:rsidR="0086682B" w:rsidRPr="00D47D1C" w:rsidRDefault="0086682B" w:rsidP="00CA7F04">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b/>
                <w:bCs/>
                <w:color w:val="000000" w:themeColor="text1"/>
                <w:sz w:val="15"/>
                <w:szCs w:val="15"/>
              </w:rPr>
              <w:t xml:space="preserve">Imovina </w:t>
            </w:r>
          </w:p>
        </w:tc>
        <w:tc>
          <w:tcPr>
            <w:tcW w:w="476" w:type="pct"/>
            <w:tcBorders>
              <w:top w:val="nil"/>
              <w:left w:val="nil"/>
              <w:bottom w:val="single" w:sz="8" w:space="0" w:color="auto"/>
              <w:right w:val="nil"/>
            </w:tcBorders>
            <w:vAlign w:val="bottom"/>
          </w:tcPr>
          <w:p w14:paraId="5A05206B" w14:textId="77777777" w:rsidR="0086682B" w:rsidRPr="005943B3" w:rsidRDefault="0086682B" w:rsidP="00CA7F04">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444.561 </w:t>
            </w:r>
          </w:p>
        </w:tc>
        <w:tc>
          <w:tcPr>
            <w:tcW w:w="475" w:type="pct"/>
            <w:tcBorders>
              <w:top w:val="nil"/>
              <w:left w:val="nil"/>
              <w:bottom w:val="single" w:sz="8" w:space="0" w:color="auto"/>
              <w:right w:val="nil"/>
            </w:tcBorders>
            <w:vAlign w:val="bottom"/>
          </w:tcPr>
          <w:p w14:paraId="11B9900D" w14:textId="77777777" w:rsidR="0086682B" w:rsidRPr="005943B3" w:rsidRDefault="0086682B" w:rsidP="00CA7F04">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267.028 </w:t>
            </w:r>
          </w:p>
        </w:tc>
        <w:tc>
          <w:tcPr>
            <w:tcW w:w="475" w:type="pct"/>
            <w:tcBorders>
              <w:top w:val="nil"/>
              <w:left w:val="nil"/>
              <w:bottom w:val="single" w:sz="8" w:space="0" w:color="auto"/>
              <w:right w:val="nil"/>
            </w:tcBorders>
            <w:vAlign w:val="bottom"/>
          </w:tcPr>
          <w:p w14:paraId="16D7FAC6" w14:textId="77777777" w:rsidR="0086682B" w:rsidRPr="005943B3" w:rsidRDefault="0086682B" w:rsidP="00CA7F04">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464.715 </w:t>
            </w:r>
          </w:p>
        </w:tc>
        <w:tc>
          <w:tcPr>
            <w:tcW w:w="474" w:type="pct"/>
            <w:tcBorders>
              <w:top w:val="nil"/>
              <w:left w:val="nil"/>
              <w:bottom w:val="single" w:sz="8" w:space="0" w:color="auto"/>
              <w:right w:val="nil"/>
            </w:tcBorders>
            <w:vAlign w:val="bottom"/>
          </w:tcPr>
          <w:p w14:paraId="76BC2C4F" w14:textId="77777777" w:rsidR="0086682B" w:rsidRPr="005943B3" w:rsidRDefault="0086682B" w:rsidP="00CA7F04">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1.020.079 </w:t>
            </w:r>
          </w:p>
        </w:tc>
        <w:tc>
          <w:tcPr>
            <w:tcW w:w="489" w:type="pct"/>
            <w:tcBorders>
              <w:top w:val="nil"/>
              <w:left w:val="nil"/>
              <w:bottom w:val="single" w:sz="8" w:space="0" w:color="auto"/>
              <w:right w:val="nil"/>
            </w:tcBorders>
            <w:vAlign w:val="bottom"/>
          </w:tcPr>
          <w:p w14:paraId="2BFCBD40" w14:textId="77777777" w:rsidR="0086682B" w:rsidRPr="005943B3" w:rsidRDefault="0086682B" w:rsidP="00CA7F04">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1.740.218 </w:t>
            </w:r>
          </w:p>
        </w:tc>
        <w:tc>
          <w:tcPr>
            <w:tcW w:w="474" w:type="pct"/>
            <w:tcBorders>
              <w:top w:val="nil"/>
              <w:left w:val="nil"/>
              <w:bottom w:val="single" w:sz="8" w:space="0" w:color="auto"/>
              <w:right w:val="nil"/>
            </w:tcBorders>
            <w:vAlign w:val="bottom"/>
          </w:tcPr>
          <w:p w14:paraId="19F4FF1E" w14:textId="77777777" w:rsidR="0086682B" w:rsidRPr="005943B3" w:rsidRDefault="0086682B" w:rsidP="00CA7F04">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67.620 </w:t>
            </w:r>
          </w:p>
        </w:tc>
        <w:tc>
          <w:tcPr>
            <w:tcW w:w="490" w:type="pct"/>
            <w:tcBorders>
              <w:top w:val="nil"/>
              <w:left w:val="nil"/>
              <w:bottom w:val="single" w:sz="8" w:space="0" w:color="auto"/>
              <w:right w:val="nil"/>
            </w:tcBorders>
            <w:vAlign w:val="bottom"/>
          </w:tcPr>
          <w:p w14:paraId="66EBE495" w14:textId="77777777" w:rsidR="0086682B" w:rsidRPr="005943B3" w:rsidRDefault="0086682B" w:rsidP="00CA7F04">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4.004.221 </w:t>
            </w:r>
          </w:p>
        </w:tc>
        <w:tc>
          <w:tcPr>
            <w:tcW w:w="488" w:type="pct"/>
            <w:tcBorders>
              <w:top w:val="nil"/>
              <w:left w:val="nil"/>
              <w:bottom w:val="single" w:sz="8" w:space="0" w:color="auto"/>
              <w:right w:val="nil"/>
            </w:tcBorders>
            <w:vAlign w:val="bottom"/>
          </w:tcPr>
          <w:p w14:paraId="02AD1B4C" w14:textId="77777777" w:rsidR="0086682B" w:rsidRPr="005943B3" w:rsidRDefault="0086682B" w:rsidP="00CA7F04">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3.797.783 </w:t>
            </w:r>
          </w:p>
        </w:tc>
      </w:tr>
      <w:tr w:rsidR="0086682B" w:rsidRPr="00D47D1C" w14:paraId="6BE37583" w14:textId="77777777" w:rsidTr="00CA7F04">
        <w:trPr>
          <w:trHeight w:hRule="exact" w:val="187"/>
        </w:trPr>
        <w:tc>
          <w:tcPr>
            <w:tcW w:w="1159" w:type="pct"/>
            <w:vAlign w:val="bottom"/>
          </w:tcPr>
          <w:p w14:paraId="131EFFA4" w14:textId="77777777" w:rsidR="0086682B" w:rsidRPr="00D47D1C" w:rsidRDefault="0086682B" w:rsidP="00CA7F04">
            <w:pPr>
              <w:tabs>
                <w:tab w:val="right" w:pos="1202"/>
              </w:tabs>
              <w:spacing w:line="240" w:lineRule="exact"/>
              <w:outlineLvl w:val="0"/>
              <w:rPr>
                <w:rFonts w:ascii="Arial" w:eastAsia="Calibri" w:hAnsi="Arial" w:cs="Arial"/>
                <w:b/>
                <w:bCs/>
                <w:color w:val="000000" w:themeColor="text1"/>
                <w:sz w:val="15"/>
                <w:szCs w:val="15"/>
              </w:rPr>
            </w:pPr>
          </w:p>
        </w:tc>
        <w:tc>
          <w:tcPr>
            <w:tcW w:w="476" w:type="pct"/>
            <w:tcBorders>
              <w:top w:val="single" w:sz="12" w:space="0" w:color="auto"/>
              <w:left w:val="nil"/>
              <w:right w:val="nil"/>
            </w:tcBorders>
            <w:vAlign w:val="bottom"/>
          </w:tcPr>
          <w:p w14:paraId="274200FC" w14:textId="77777777" w:rsidR="0086682B" w:rsidRPr="00D47D1C" w:rsidRDefault="0086682B" w:rsidP="00CA7F04">
            <w:pPr>
              <w:jc w:val="right"/>
              <w:rPr>
                <w:rFonts w:ascii="Arial" w:eastAsia="Calibri" w:hAnsi="Arial" w:cs="Arial"/>
                <w:b/>
                <w:color w:val="000000" w:themeColor="text1"/>
                <w:sz w:val="15"/>
                <w:szCs w:val="15"/>
              </w:rPr>
            </w:pPr>
          </w:p>
        </w:tc>
        <w:tc>
          <w:tcPr>
            <w:tcW w:w="475" w:type="pct"/>
            <w:tcBorders>
              <w:top w:val="single" w:sz="12" w:space="0" w:color="auto"/>
              <w:left w:val="nil"/>
              <w:right w:val="nil"/>
            </w:tcBorders>
            <w:vAlign w:val="bottom"/>
          </w:tcPr>
          <w:p w14:paraId="2A2C8530" w14:textId="77777777" w:rsidR="0086682B" w:rsidRPr="00D47D1C" w:rsidRDefault="0086682B" w:rsidP="00CA7F04">
            <w:pPr>
              <w:jc w:val="right"/>
              <w:rPr>
                <w:rFonts w:ascii="Arial" w:eastAsia="Calibri" w:hAnsi="Arial" w:cs="Arial"/>
                <w:b/>
                <w:color w:val="000000" w:themeColor="text1"/>
                <w:sz w:val="15"/>
                <w:szCs w:val="15"/>
              </w:rPr>
            </w:pPr>
          </w:p>
        </w:tc>
        <w:tc>
          <w:tcPr>
            <w:tcW w:w="475" w:type="pct"/>
            <w:tcBorders>
              <w:top w:val="single" w:sz="12" w:space="0" w:color="auto"/>
              <w:left w:val="nil"/>
              <w:right w:val="nil"/>
            </w:tcBorders>
            <w:vAlign w:val="bottom"/>
          </w:tcPr>
          <w:p w14:paraId="08FE3A6A" w14:textId="77777777" w:rsidR="0086682B" w:rsidRPr="00D47D1C" w:rsidRDefault="0086682B" w:rsidP="00CA7F04">
            <w:pPr>
              <w:jc w:val="right"/>
              <w:rPr>
                <w:rFonts w:ascii="Arial" w:eastAsia="Calibri" w:hAnsi="Arial" w:cs="Arial"/>
                <w:b/>
                <w:color w:val="000000" w:themeColor="text1"/>
                <w:sz w:val="15"/>
                <w:szCs w:val="15"/>
              </w:rPr>
            </w:pPr>
          </w:p>
        </w:tc>
        <w:tc>
          <w:tcPr>
            <w:tcW w:w="474" w:type="pct"/>
            <w:tcBorders>
              <w:top w:val="single" w:sz="12" w:space="0" w:color="auto"/>
              <w:left w:val="nil"/>
              <w:right w:val="nil"/>
            </w:tcBorders>
            <w:vAlign w:val="bottom"/>
          </w:tcPr>
          <w:p w14:paraId="1C139BEC" w14:textId="77777777" w:rsidR="0086682B" w:rsidRPr="00D47D1C" w:rsidRDefault="0086682B" w:rsidP="00CA7F04">
            <w:pPr>
              <w:jc w:val="right"/>
              <w:rPr>
                <w:rFonts w:ascii="Arial" w:eastAsia="Calibri" w:hAnsi="Arial" w:cs="Arial"/>
                <w:b/>
                <w:color w:val="000000" w:themeColor="text1"/>
                <w:sz w:val="15"/>
                <w:szCs w:val="15"/>
              </w:rPr>
            </w:pPr>
          </w:p>
        </w:tc>
        <w:tc>
          <w:tcPr>
            <w:tcW w:w="489" w:type="pct"/>
            <w:tcBorders>
              <w:top w:val="single" w:sz="12" w:space="0" w:color="auto"/>
              <w:left w:val="nil"/>
              <w:right w:val="nil"/>
            </w:tcBorders>
            <w:vAlign w:val="bottom"/>
          </w:tcPr>
          <w:p w14:paraId="3751750B" w14:textId="77777777" w:rsidR="0086682B" w:rsidRPr="00D47D1C" w:rsidRDefault="0086682B" w:rsidP="00CA7F04">
            <w:pPr>
              <w:jc w:val="right"/>
              <w:rPr>
                <w:rFonts w:ascii="Arial" w:eastAsia="Calibri" w:hAnsi="Arial" w:cs="Arial"/>
                <w:b/>
                <w:color w:val="000000" w:themeColor="text1"/>
                <w:sz w:val="15"/>
                <w:szCs w:val="15"/>
              </w:rPr>
            </w:pPr>
          </w:p>
        </w:tc>
        <w:tc>
          <w:tcPr>
            <w:tcW w:w="474" w:type="pct"/>
            <w:tcBorders>
              <w:top w:val="single" w:sz="12" w:space="0" w:color="auto"/>
              <w:left w:val="nil"/>
              <w:right w:val="nil"/>
            </w:tcBorders>
            <w:vAlign w:val="bottom"/>
          </w:tcPr>
          <w:p w14:paraId="4B03E556" w14:textId="77777777" w:rsidR="0086682B" w:rsidRPr="00D47D1C" w:rsidRDefault="0086682B" w:rsidP="00CA7F04">
            <w:pPr>
              <w:jc w:val="right"/>
              <w:rPr>
                <w:rFonts w:ascii="Arial" w:eastAsia="Calibri" w:hAnsi="Arial" w:cs="Arial"/>
                <w:b/>
                <w:color w:val="000000" w:themeColor="text1"/>
                <w:sz w:val="15"/>
                <w:szCs w:val="15"/>
              </w:rPr>
            </w:pPr>
          </w:p>
        </w:tc>
        <w:tc>
          <w:tcPr>
            <w:tcW w:w="490" w:type="pct"/>
            <w:tcBorders>
              <w:top w:val="single" w:sz="12" w:space="0" w:color="auto"/>
              <w:left w:val="nil"/>
              <w:right w:val="nil"/>
            </w:tcBorders>
            <w:vAlign w:val="bottom"/>
          </w:tcPr>
          <w:p w14:paraId="6F81F2E0" w14:textId="77777777" w:rsidR="0086682B" w:rsidRPr="00D47D1C" w:rsidRDefault="0086682B" w:rsidP="00CA7F04">
            <w:pPr>
              <w:jc w:val="right"/>
              <w:rPr>
                <w:rFonts w:ascii="Arial" w:eastAsia="Calibri" w:hAnsi="Arial" w:cs="Arial"/>
                <w:b/>
                <w:color w:val="000000" w:themeColor="text1"/>
                <w:sz w:val="15"/>
                <w:szCs w:val="15"/>
              </w:rPr>
            </w:pPr>
          </w:p>
        </w:tc>
        <w:tc>
          <w:tcPr>
            <w:tcW w:w="488" w:type="pct"/>
            <w:tcBorders>
              <w:top w:val="single" w:sz="12" w:space="0" w:color="auto"/>
              <w:left w:val="nil"/>
              <w:right w:val="nil"/>
            </w:tcBorders>
            <w:vAlign w:val="bottom"/>
          </w:tcPr>
          <w:p w14:paraId="674F6506" w14:textId="77777777" w:rsidR="0086682B" w:rsidRPr="00D47D1C" w:rsidRDefault="0086682B" w:rsidP="00CA7F04">
            <w:pPr>
              <w:jc w:val="right"/>
              <w:rPr>
                <w:rFonts w:ascii="Arial" w:eastAsia="Calibri" w:hAnsi="Arial" w:cs="Arial"/>
                <w:b/>
                <w:color w:val="000000" w:themeColor="text1"/>
                <w:sz w:val="15"/>
                <w:szCs w:val="15"/>
              </w:rPr>
            </w:pPr>
          </w:p>
        </w:tc>
      </w:tr>
      <w:tr w:rsidR="0086682B" w:rsidRPr="00D47D1C" w14:paraId="0FEF0CDB" w14:textId="77777777" w:rsidTr="00CA7F04">
        <w:trPr>
          <w:trHeight w:hRule="exact" w:val="235"/>
        </w:trPr>
        <w:tc>
          <w:tcPr>
            <w:tcW w:w="1159" w:type="pct"/>
          </w:tcPr>
          <w:p w14:paraId="102016BB" w14:textId="77777777" w:rsidR="0086682B" w:rsidRPr="00D47D1C" w:rsidRDefault="0086682B" w:rsidP="00CA7F04">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b/>
                <w:bCs/>
                <w:color w:val="000000" w:themeColor="text1"/>
                <w:sz w:val="15"/>
                <w:szCs w:val="15"/>
              </w:rPr>
              <w:t>Obveze</w:t>
            </w:r>
          </w:p>
        </w:tc>
        <w:tc>
          <w:tcPr>
            <w:tcW w:w="476" w:type="pct"/>
            <w:tcBorders>
              <w:left w:val="nil"/>
              <w:right w:val="nil"/>
            </w:tcBorders>
            <w:vAlign w:val="bottom"/>
          </w:tcPr>
          <w:p w14:paraId="3A14CC64" w14:textId="77777777" w:rsidR="0086682B" w:rsidRPr="00D47D1C" w:rsidRDefault="0086682B" w:rsidP="00CA7F04">
            <w:pPr>
              <w:jc w:val="right"/>
              <w:rPr>
                <w:rFonts w:ascii="Arial" w:eastAsia="Calibri" w:hAnsi="Arial" w:cs="Arial"/>
                <w:b/>
                <w:color w:val="000000" w:themeColor="text1"/>
                <w:sz w:val="15"/>
                <w:szCs w:val="15"/>
              </w:rPr>
            </w:pPr>
          </w:p>
        </w:tc>
        <w:tc>
          <w:tcPr>
            <w:tcW w:w="475" w:type="pct"/>
            <w:tcBorders>
              <w:left w:val="nil"/>
              <w:right w:val="nil"/>
            </w:tcBorders>
            <w:vAlign w:val="bottom"/>
          </w:tcPr>
          <w:p w14:paraId="4AF1E49B" w14:textId="77777777" w:rsidR="0086682B" w:rsidRPr="00D47D1C" w:rsidRDefault="0086682B" w:rsidP="00CA7F04">
            <w:pPr>
              <w:jc w:val="right"/>
              <w:rPr>
                <w:rFonts w:ascii="Arial" w:eastAsia="Calibri" w:hAnsi="Arial" w:cs="Arial"/>
                <w:b/>
                <w:color w:val="000000" w:themeColor="text1"/>
                <w:sz w:val="15"/>
                <w:szCs w:val="15"/>
              </w:rPr>
            </w:pPr>
          </w:p>
        </w:tc>
        <w:tc>
          <w:tcPr>
            <w:tcW w:w="475" w:type="pct"/>
            <w:tcBorders>
              <w:left w:val="nil"/>
              <w:right w:val="nil"/>
            </w:tcBorders>
            <w:vAlign w:val="bottom"/>
          </w:tcPr>
          <w:p w14:paraId="3CDBE4B4" w14:textId="77777777" w:rsidR="0086682B" w:rsidRPr="00D47D1C" w:rsidRDefault="0086682B" w:rsidP="00CA7F04">
            <w:pPr>
              <w:jc w:val="right"/>
              <w:rPr>
                <w:rFonts w:ascii="Arial" w:eastAsia="Calibri" w:hAnsi="Arial" w:cs="Arial"/>
                <w:b/>
                <w:color w:val="000000" w:themeColor="text1"/>
                <w:sz w:val="15"/>
                <w:szCs w:val="15"/>
              </w:rPr>
            </w:pPr>
          </w:p>
        </w:tc>
        <w:tc>
          <w:tcPr>
            <w:tcW w:w="474" w:type="pct"/>
            <w:tcBorders>
              <w:left w:val="nil"/>
              <w:right w:val="nil"/>
            </w:tcBorders>
            <w:vAlign w:val="bottom"/>
          </w:tcPr>
          <w:p w14:paraId="5AE1916D" w14:textId="77777777" w:rsidR="0086682B" w:rsidRPr="00D47D1C" w:rsidRDefault="0086682B" w:rsidP="00CA7F04">
            <w:pPr>
              <w:jc w:val="right"/>
              <w:rPr>
                <w:rFonts w:ascii="Arial" w:eastAsia="Calibri" w:hAnsi="Arial" w:cs="Arial"/>
                <w:b/>
                <w:color w:val="000000" w:themeColor="text1"/>
                <w:sz w:val="15"/>
                <w:szCs w:val="15"/>
              </w:rPr>
            </w:pPr>
          </w:p>
        </w:tc>
        <w:tc>
          <w:tcPr>
            <w:tcW w:w="489" w:type="pct"/>
            <w:tcBorders>
              <w:left w:val="nil"/>
              <w:right w:val="nil"/>
            </w:tcBorders>
            <w:vAlign w:val="bottom"/>
          </w:tcPr>
          <w:p w14:paraId="1A94D9BE" w14:textId="77777777" w:rsidR="0086682B" w:rsidRPr="00D47D1C" w:rsidRDefault="0086682B" w:rsidP="00CA7F04">
            <w:pPr>
              <w:jc w:val="right"/>
              <w:rPr>
                <w:rFonts w:ascii="Arial" w:eastAsia="Calibri" w:hAnsi="Arial" w:cs="Arial"/>
                <w:b/>
                <w:color w:val="000000" w:themeColor="text1"/>
                <w:sz w:val="15"/>
                <w:szCs w:val="15"/>
              </w:rPr>
            </w:pPr>
          </w:p>
        </w:tc>
        <w:tc>
          <w:tcPr>
            <w:tcW w:w="474" w:type="pct"/>
            <w:tcBorders>
              <w:left w:val="nil"/>
              <w:right w:val="nil"/>
            </w:tcBorders>
            <w:vAlign w:val="bottom"/>
          </w:tcPr>
          <w:p w14:paraId="5B720B04" w14:textId="77777777" w:rsidR="0086682B" w:rsidRPr="00D47D1C" w:rsidRDefault="0086682B" w:rsidP="00CA7F04">
            <w:pPr>
              <w:jc w:val="right"/>
              <w:rPr>
                <w:rFonts w:ascii="Arial" w:eastAsia="Calibri" w:hAnsi="Arial" w:cs="Arial"/>
                <w:b/>
                <w:color w:val="000000" w:themeColor="text1"/>
                <w:sz w:val="15"/>
                <w:szCs w:val="15"/>
              </w:rPr>
            </w:pPr>
          </w:p>
        </w:tc>
        <w:tc>
          <w:tcPr>
            <w:tcW w:w="490" w:type="pct"/>
            <w:tcBorders>
              <w:left w:val="nil"/>
              <w:right w:val="nil"/>
            </w:tcBorders>
            <w:vAlign w:val="bottom"/>
          </w:tcPr>
          <w:p w14:paraId="411D6CBF" w14:textId="77777777" w:rsidR="0086682B" w:rsidRPr="00D47D1C" w:rsidRDefault="0086682B" w:rsidP="00CA7F04">
            <w:pPr>
              <w:jc w:val="right"/>
              <w:rPr>
                <w:rFonts w:ascii="Arial" w:eastAsia="Calibri" w:hAnsi="Arial" w:cs="Arial"/>
                <w:b/>
                <w:color w:val="000000" w:themeColor="text1"/>
                <w:sz w:val="15"/>
                <w:szCs w:val="15"/>
              </w:rPr>
            </w:pPr>
          </w:p>
        </w:tc>
        <w:tc>
          <w:tcPr>
            <w:tcW w:w="488" w:type="pct"/>
            <w:tcBorders>
              <w:left w:val="nil"/>
              <w:right w:val="nil"/>
            </w:tcBorders>
            <w:vAlign w:val="bottom"/>
          </w:tcPr>
          <w:p w14:paraId="20E1C27E" w14:textId="77777777" w:rsidR="0086682B" w:rsidRPr="00D47D1C" w:rsidRDefault="0086682B" w:rsidP="00CA7F04">
            <w:pPr>
              <w:jc w:val="right"/>
              <w:rPr>
                <w:rFonts w:ascii="Arial" w:eastAsia="Calibri" w:hAnsi="Arial" w:cs="Arial"/>
                <w:b/>
                <w:color w:val="000000" w:themeColor="text1"/>
                <w:sz w:val="15"/>
                <w:szCs w:val="15"/>
              </w:rPr>
            </w:pPr>
          </w:p>
        </w:tc>
      </w:tr>
      <w:tr w:rsidR="0086682B" w:rsidRPr="00D47D1C" w14:paraId="3AE9F2EE" w14:textId="77777777" w:rsidTr="00CA7F04">
        <w:trPr>
          <w:trHeight w:hRule="exact" w:val="262"/>
        </w:trPr>
        <w:tc>
          <w:tcPr>
            <w:tcW w:w="1159" w:type="pct"/>
            <w:vAlign w:val="bottom"/>
          </w:tcPr>
          <w:p w14:paraId="60CCE00F" w14:textId="77777777" w:rsidR="0086682B" w:rsidRPr="00D47D1C" w:rsidRDefault="0086682B" w:rsidP="00CA7F04">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color w:val="000000" w:themeColor="text1"/>
                <w:spacing w:val="-2"/>
                <w:sz w:val="15"/>
                <w:szCs w:val="15"/>
              </w:rPr>
              <w:t>Obveze po depozitima</w:t>
            </w:r>
          </w:p>
        </w:tc>
        <w:tc>
          <w:tcPr>
            <w:tcW w:w="476" w:type="pct"/>
            <w:tcBorders>
              <w:top w:val="nil"/>
              <w:left w:val="nil"/>
              <w:bottom w:val="nil"/>
              <w:right w:val="nil"/>
            </w:tcBorders>
            <w:vAlign w:val="bottom"/>
          </w:tcPr>
          <w:p w14:paraId="2EBC89A0"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77.717 </w:t>
            </w:r>
          </w:p>
        </w:tc>
        <w:tc>
          <w:tcPr>
            <w:tcW w:w="475" w:type="pct"/>
            <w:tcBorders>
              <w:top w:val="nil"/>
              <w:left w:val="nil"/>
              <w:bottom w:val="nil"/>
              <w:right w:val="nil"/>
            </w:tcBorders>
            <w:vAlign w:val="bottom"/>
          </w:tcPr>
          <w:p w14:paraId="11F8815D"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05879625"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4" w:type="pct"/>
            <w:tcBorders>
              <w:top w:val="nil"/>
              <w:left w:val="nil"/>
              <w:bottom w:val="nil"/>
              <w:right w:val="nil"/>
            </w:tcBorders>
            <w:vAlign w:val="bottom"/>
          </w:tcPr>
          <w:p w14:paraId="3D97B640"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9" w:type="pct"/>
            <w:tcBorders>
              <w:top w:val="nil"/>
              <w:left w:val="nil"/>
              <w:bottom w:val="nil"/>
              <w:right w:val="nil"/>
            </w:tcBorders>
            <w:vAlign w:val="bottom"/>
          </w:tcPr>
          <w:p w14:paraId="0037808F"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4" w:type="pct"/>
            <w:tcBorders>
              <w:top w:val="nil"/>
              <w:left w:val="nil"/>
              <w:bottom w:val="nil"/>
              <w:right w:val="nil"/>
            </w:tcBorders>
            <w:vAlign w:val="bottom"/>
          </w:tcPr>
          <w:p w14:paraId="6C4B901D"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117.159 </w:t>
            </w:r>
          </w:p>
        </w:tc>
        <w:tc>
          <w:tcPr>
            <w:tcW w:w="490" w:type="pct"/>
            <w:tcBorders>
              <w:top w:val="nil"/>
              <w:left w:val="nil"/>
              <w:bottom w:val="nil"/>
              <w:right w:val="nil"/>
            </w:tcBorders>
            <w:vAlign w:val="bottom"/>
          </w:tcPr>
          <w:p w14:paraId="29E4A226"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194.876 </w:t>
            </w:r>
          </w:p>
        </w:tc>
        <w:tc>
          <w:tcPr>
            <w:tcW w:w="488" w:type="pct"/>
            <w:tcBorders>
              <w:top w:val="nil"/>
              <w:left w:val="nil"/>
              <w:bottom w:val="nil"/>
              <w:right w:val="nil"/>
            </w:tcBorders>
            <w:vAlign w:val="bottom"/>
          </w:tcPr>
          <w:p w14:paraId="432D462D"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77.717 </w:t>
            </w:r>
          </w:p>
        </w:tc>
      </w:tr>
      <w:tr w:rsidR="0086682B" w:rsidRPr="00D47D1C" w14:paraId="3AB973FD" w14:textId="77777777" w:rsidTr="00CA7F04">
        <w:trPr>
          <w:trHeight w:hRule="exact" w:val="254"/>
        </w:trPr>
        <w:tc>
          <w:tcPr>
            <w:tcW w:w="1159" w:type="pct"/>
            <w:vAlign w:val="bottom"/>
          </w:tcPr>
          <w:p w14:paraId="3C197259" w14:textId="77777777" w:rsidR="0086682B" w:rsidRPr="00D47D1C" w:rsidRDefault="0086682B" w:rsidP="00CA7F04">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color w:val="000000" w:themeColor="text1"/>
                <w:spacing w:val="-2"/>
                <w:sz w:val="15"/>
                <w:szCs w:val="15"/>
              </w:rPr>
              <w:t>Obveze po kreditima</w:t>
            </w:r>
          </w:p>
        </w:tc>
        <w:tc>
          <w:tcPr>
            <w:tcW w:w="476" w:type="pct"/>
            <w:tcBorders>
              <w:top w:val="nil"/>
              <w:left w:val="nil"/>
              <w:bottom w:val="nil"/>
              <w:right w:val="nil"/>
            </w:tcBorders>
            <w:vAlign w:val="bottom"/>
          </w:tcPr>
          <w:p w14:paraId="37448AA9"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59.925 </w:t>
            </w:r>
          </w:p>
        </w:tc>
        <w:tc>
          <w:tcPr>
            <w:tcW w:w="475" w:type="pct"/>
            <w:tcBorders>
              <w:top w:val="nil"/>
              <w:left w:val="nil"/>
              <w:bottom w:val="nil"/>
              <w:right w:val="nil"/>
            </w:tcBorders>
            <w:vAlign w:val="bottom"/>
          </w:tcPr>
          <w:p w14:paraId="5B88566D"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162.220 </w:t>
            </w:r>
          </w:p>
        </w:tc>
        <w:tc>
          <w:tcPr>
            <w:tcW w:w="475" w:type="pct"/>
            <w:tcBorders>
              <w:top w:val="nil"/>
              <w:left w:val="nil"/>
              <w:bottom w:val="nil"/>
              <w:right w:val="nil"/>
            </w:tcBorders>
            <w:vAlign w:val="bottom"/>
          </w:tcPr>
          <w:p w14:paraId="1868760E"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301.277 </w:t>
            </w:r>
          </w:p>
        </w:tc>
        <w:tc>
          <w:tcPr>
            <w:tcW w:w="474" w:type="pct"/>
            <w:tcBorders>
              <w:top w:val="nil"/>
              <w:left w:val="nil"/>
              <w:bottom w:val="nil"/>
              <w:right w:val="nil"/>
            </w:tcBorders>
            <w:vAlign w:val="bottom"/>
          </w:tcPr>
          <w:p w14:paraId="7A85C47C"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637.050 </w:t>
            </w:r>
          </w:p>
        </w:tc>
        <w:tc>
          <w:tcPr>
            <w:tcW w:w="489" w:type="pct"/>
            <w:tcBorders>
              <w:top w:val="nil"/>
              <w:left w:val="nil"/>
              <w:bottom w:val="nil"/>
              <w:right w:val="nil"/>
            </w:tcBorders>
            <w:vAlign w:val="bottom"/>
          </w:tcPr>
          <w:p w14:paraId="78CFBB3C"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1.084.967 </w:t>
            </w:r>
          </w:p>
        </w:tc>
        <w:tc>
          <w:tcPr>
            <w:tcW w:w="474" w:type="pct"/>
            <w:tcBorders>
              <w:top w:val="nil"/>
              <w:left w:val="nil"/>
              <w:bottom w:val="nil"/>
              <w:right w:val="nil"/>
            </w:tcBorders>
            <w:vAlign w:val="bottom"/>
          </w:tcPr>
          <w:p w14:paraId="544EE61B"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5.737 </w:t>
            </w:r>
          </w:p>
        </w:tc>
        <w:tc>
          <w:tcPr>
            <w:tcW w:w="490" w:type="pct"/>
            <w:tcBorders>
              <w:top w:val="nil"/>
              <w:left w:val="nil"/>
              <w:bottom w:val="nil"/>
              <w:right w:val="nil"/>
            </w:tcBorders>
            <w:vAlign w:val="bottom"/>
          </w:tcPr>
          <w:p w14:paraId="71DE76A4"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2.251.176 </w:t>
            </w:r>
          </w:p>
        </w:tc>
        <w:tc>
          <w:tcPr>
            <w:tcW w:w="488" w:type="pct"/>
            <w:tcBorders>
              <w:top w:val="nil"/>
              <w:left w:val="nil"/>
              <w:bottom w:val="nil"/>
              <w:right w:val="nil"/>
            </w:tcBorders>
            <w:vAlign w:val="bottom"/>
          </w:tcPr>
          <w:p w14:paraId="7E7A73CD"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2.198.507 </w:t>
            </w:r>
          </w:p>
        </w:tc>
      </w:tr>
      <w:tr w:rsidR="0086682B" w:rsidRPr="00D47D1C" w14:paraId="5752C928" w14:textId="77777777" w:rsidTr="00CA7F04">
        <w:trPr>
          <w:trHeight w:hRule="exact" w:val="533"/>
        </w:trPr>
        <w:tc>
          <w:tcPr>
            <w:tcW w:w="1159" w:type="pct"/>
            <w:vAlign w:val="bottom"/>
          </w:tcPr>
          <w:p w14:paraId="77A375C4" w14:textId="77777777" w:rsidR="0086682B" w:rsidRPr="00D47D1C" w:rsidRDefault="0086682B" w:rsidP="00CA7F04">
            <w:pPr>
              <w:tabs>
                <w:tab w:val="right" w:pos="1202"/>
              </w:tabs>
              <w:spacing w:line="240" w:lineRule="exact"/>
              <w:outlineLvl w:val="0"/>
              <w:rPr>
                <w:rFonts w:ascii="Arial" w:eastAsia="Calibri" w:hAnsi="Arial" w:cs="Arial"/>
                <w:color w:val="000000" w:themeColor="text1"/>
                <w:spacing w:val="-2"/>
                <w:sz w:val="15"/>
                <w:szCs w:val="15"/>
              </w:rPr>
            </w:pPr>
            <w:r w:rsidRPr="00D47D1C">
              <w:rPr>
                <w:rFonts w:ascii="Arial" w:eastAsia="Calibri" w:hAnsi="Arial" w:cs="Arial"/>
                <w:color w:val="000000" w:themeColor="text1"/>
                <w:spacing w:val="-2"/>
                <w:sz w:val="15"/>
                <w:szCs w:val="15"/>
              </w:rPr>
              <w:t>Rezerviranja za garancije, preuzete i ostale obveze</w:t>
            </w:r>
          </w:p>
        </w:tc>
        <w:tc>
          <w:tcPr>
            <w:tcW w:w="476" w:type="pct"/>
            <w:tcBorders>
              <w:top w:val="nil"/>
              <w:left w:val="nil"/>
              <w:bottom w:val="nil"/>
              <w:right w:val="nil"/>
            </w:tcBorders>
            <w:vAlign w:val="bottom"/>
          </w:tcPr>
          <w:p w14:paraId="54E9DDA2" w14:textId="77777777" w:rsidR="0086682B" w:rsidRPr="00D47D1C" w:rsidDel="00344206"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2AE86C64" w14:textId="77777777" w:rsidR="0086682B" w:rsidRPr="00D47D1C" w:rsidDel="00344206"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3192F851" w14:textId="77777777" w:rsidR="0086682B" w:rsidRPr="00D47D1C" w:rsidDel="00344206"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4" w:type="pct"/>
            <w:tcBorders>
              <w:top w:val="nil"/>
              <w:left w:val="nil"/>
              <w:bottom w:val="nil"/>
              <w:right w:val="nil"/>
            </w:tcBorders>
            <w:vAlign w:val="bottom"/>
          </w:tcPr>
          <w:p w14:paraId="6E4D19E8" w14:textId="77777777" w:rsidR="0086682B" w:rsidRPr="00D47D1C" w:rsidDel="00344206"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9" w:type="pct"/>
            <w:tcBorders>
              <w:top w:val="nil"/>
              <w:left w:val="nil"/>
              <w:bottom w:val="nil"/>
              <w:right w:val="nil"/>
            </w:tcBorders>
            <w:vAlign w:val="bottom"/>
          </w:tcPr>
          <w:p w14:paraId="1EE7DB5C" w14:textId="77777777" w:rsidR="0086682B" w:rsidRPr="00D47D1C" w:rsidDel="00344206"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4" w:type="pct"/>
            <w:tcBorders>
              <w:top w:val="nil"/>
              <w:left w:val="nil"/>
              <w:bottom w:val="nil"/>
              <w:right w:val="nil"/>
            </w:tcBorders>
            <w:vAlign w:val="bottom"/>
          </w:tcPr>
          <w:p w14:paraId="3FD7187C" w14:textId="77777777" w:rsidR="0086682B" w:rsidRPr="00D47D1C" w:rsidDel="00344206"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24.380 </w:t>
            </w:r>
          </w:p>
        </w:tc>
        <w:tc>
          <w:tcPr>
            <w:tcW w:w="490" w:type="pct"/>
            <w:tcBorders>
              <w:top w:val="nil"/>
              <w:left w:val="nil"/>
              <w:bottom w:val="nil"/>
              <w:right w:val="nil"/>
            </w:tcBorders>
            <w:vAlign w:val="bottom"/>
          </w:tcPr>
          <w:p w14:paraId="39D33280" w14:textId="77777777" w:rsidR="0086682B" w:rsidRPr="00D47D1C" w:rsidDel="00344206"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24.380 </w:t>
            </w:r>
          </w:p>
        </w:tc>
        <w:tc>
          <w:tcPr>
            <w:tcW w:w="488" w:type="pct"/>
            <w:tcBorders>
              <w:top w:val="nil"/>
              <w:left w:val="nil"/>
              <w:bottom w:val="nil"/>
              <w:right w:val="nil"/>
            </w:tcBorders>
            <w:vAlign w:val="bottom"/>
          </w:tcPr>
          <w:p w14:paraId="76453017" w14:textId="77777777" w:rsidR="0086682B" w:rsidRPr="00D47D1C" w:rsidDel="00344206"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r>
      <w:tr w:rsidR="0086682B" w:rsidRPr="00D47D1C" w14:paraId="6B0959C8" w14:textId="77777777" w:rsidTr="00CA7F04">
        <w:trPr>
          <w:trHeight w:hRule="exact" w:val="251"/>
        </w:trPr>
        <w:tc>
          <w:tcPr>
            <w:tcW w:w="1159" w:type="pct"/>
            <w:vAlign w:val="bottom"/>
          </w:tcPr>
          <w:p w14:paraId="1DFBE577" w14:textId="77777777" w:rsidR="0086682B" w:rsidRPr="00D47D1C" w:rsidRDefault="0086682B" w:rsidP="00CA7F04">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color w:val="000000" w:themeColor="text1"/>
                <w:spacing w:val="-2"/>
                <w:sz w:val="15"/>
                <w:szCs w:val="15"/>
              </w:rPr>
              <w:t>Ostale obveze</w:t>
            </w:r>
          </w:p>
        </w:tc>
        <w:tc>
          <w:tcPr>
            <w:tcW w:w="476" w:type="pct"/>
            <w:tcBorders>
              <w:top w:val="nil"/>
              <w:left w:val="nil"/>
              <w:bottom w:val="nil"/>
              <w:right w:val="nil"/>
            </w:tcBorders>
            <w:vAlign w:val="bottom"/>
          </w:tcPr>
          <w:p w14:paraId="639EC937"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5D9A2BA7"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5" w:type="pct"/>
            <w:tcBorders>
              <w:top w:val="nil"/>
              <w:left w:val="nil"/>
              <w:bottom w:val="nil"/>
              <w:right w:val="nil"/>
            </w:tcBorders>
            <w:vAlign w:val="bottom"/>
          </w:tcPr>
          <w:p w14:paraId="7E899C5A"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4" w:type="pct"/>
            <w:tcBorders>
              <w:top w:val="nil"/>
              <w:left w:val="nil"/>
              <w:bottom w:val="nil"/>
              <w:right w:val="nil"/>
            </w:tcBorders>
            <w:vAlign w:val="bottom"/>
          </w:tcPr>
          <w:p w14:paraId="00401E1D"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89" w:type="pct"/>
            <w:tcBorders>
              <w:top w:val="nil"/>
              <w:left w:val="nil"/>
              <w:bottom w:val="nil"/>
              <w:right w:val="nil"/>
            </w:tcBorders>
            <w:vAlign w:val="bottom"/>
          </w:tcPr>
          <w:p w14:paraId="36CFE3ED"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c>
          <w:tcPr>
            <w:tcW w:w="474" w:type="pct"/>
            <w:tcBorders>
              <w:top w:val="nil"/>
              <w:left w:val="nil"/>
              <w:right w:val="nil"/>
            </w:tcBorders>
            <w:vAlign w:val="bottom"/>
          </w:tcPr>
          <w:p w14:paraId="6067C713"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90.729 </w:t>
            </w:r>
          </w:p>
        </w:tc>
        <w:tc>
          <w:tcPr>
            <w:tcW w:w="490" w:type="pct"/>
            <w:tcBorders>
              <w:top w:val="nil"/>
              <w:left w:val="nil"/>
              <w:right w:val="nil"/>
            </w:tcBorders>
            <w:vAlign w:val="bottom"/>
          </w:tcPr>
          <w:p w14:paraId="084D132D"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90.729 </w:t>
            </w:r>
          </w:p>
        </w:tc>
        <w:tc>
          <w:tcPr>
            <w:tcW w:w="488" w:type="pct"/>
            <w:tcBorders>
              <w:top w:val="nil"/>
              <w:left w:val="nil"/>
              <w:right w:val="nil"/>
            </w:tcBorders>
            <w:vAlign w:val="bottom"/>
          </w:tcPr>
          <w:p w14:paraId="0FE54EB6" w14:textId="77777777" w:rsidR="0086682B" w:rsidRPr="00D47D1C" w:rsidRDefault="0086682B" w:rsidP="00CA7F04">
            <w:pPr>
              <w:jc w:val="right"/>
              <w:rPr>
                <w:rFonts w:ascii="Arial" w:eastAsia="Calibri" w:hAnsi="Arial" w:cs="Arial"/>
                <w:bCs/>
                <w:color w:val="000000" w:themeColor="text1"/>
                <w:sz w:val="15"/>
                <w:szCs w:val="15"/>
              </w:rPr>
            </w:pPr>
            <w:r w:rsidRPr="00F959D0">
              <w:rPr>
                <w:rFonts w:ascii="Arial" w:eastAsia="Calibri" w:hAnsi="Arial" w:cs="Arial"/>
                <w:bCs/>
                <w:color w:val="000000" w:themeColor="text1"/>
                <w:sz w:val="15"/>
                <w:szCs w:val="15"/>
              </w:rPr>
              <w:t xml:space="preserve"> - </w:t>
            </w:r>
          </w:p>
        </w:tc>
      </w:tr>
      <w:tr w:rsidR="0086682B" w:rsidRPr="00D47D1C" w14:paraId="0B8F9CD1" w14:textId="77777777" w:rsidTr="00CA7F04">
        <w:trPr>
          <w:trHeight w:hRule="exact" w:val="281"/>
        </w:trPr>
        <w:tc>
          <w:tcPr>
            <w:tcW w:w="1159" w:type="pct"/>
            <w:vAlign w:val="center"/>
          </w:tcPr>
          <w:p w14:paraId="60C63A4D" w14:textId="77777777" w:rsidR="0086682B" w:rsidRPr="00D47D1C" w:rsidRDefault="0086682B" w:rsidP="00CA7F04">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b/>
                <w:bCs/>
                <w:color w:val="000000" w:themeColor="text1"/>
                <w:sz w:val="15"/>
                <w:szCs w:val="15"/>
              </w:rPr>
              <w:t>Obveze</w:t>
            </w:r>
          </w:p>
        </w:tc>
        <w:tc>
          <w:tcPr>
            <w:tcW w:w="476" w:type="pct"/>
            <w:tcBorders>
              <w:top w:val="single" w:sz="8" w:space="0" w:color="auto"/>
              <w:left w:val="nil"/>
              <w:bottom w:val="single" w:sz="12" w:space="0" w:color="auto"/>
              <w:right w:val="nil"/>
            </w:tcBorders>
            <w:vAlign w:val="bottom"/>
          </w:tcPr>
          <w:p w14:paraId="2FB78480" w14:textId="77777777" w:rsidR="0086682B" w:rsidRPr="005943B3" w:rsidRDefault="0086682B" w:rsidP="00CA7F04">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137.642 </w:t>
            </w:r>
          </w:p>
        </w:tc>
        <w:tc>
          <w:tcPr>
            <w:tcW w:w="475" w:type="pct"/>
            <w:tcBorders>
              <w:top w:val="single" w:sz="8" w:space="0" w:color="auto"/>
              <w:left w:val="nil"/>
              <w:bottom w:val="single" w:sz="12" w:space="0" w:color="auto"/>
              <w:right w:val="nil"/>
            </w:tcBorders>
            <w:vAlign w:val="bottom"/>
          </w:tcPr>
          <w:p w14:paraId="2E62E4E3" w14:textId="77777777" w:rsidR="0086682B" w:rsidRPr="005943B3" w:rsidRDefault="0086682B" w:rsidP="00CA7F04">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162.220 </w:t>
            </w:r>
          </w:p>
        </w:tc>
        <w:tc>
          <w:tcPr>
            <w:tcW w:w="475" w:type="pct"/>
            <w:tcBorders>
              <w:top w:val="single" w:sz="8" w:space="0" w:color="auto"/>
              <w:left w:val="nil"/>
              <w:bottom w:val="single" w:sz="12" w:space="0" w:color="auto"/>
              <w:right w:val="nil"/>
            </w:tcBorders>
            <w:vAlign w:val="bottom"/>
          </w:tcPr>
          <w:p w14:paraId="22F3AFC2" w14:textId="77777777" w:rsidR="0086682B" w:rsidRPr="005943B3" w:rsidRDefault="0086682B" w:rsidP="00CA7F04">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301.277 </w:t>
            </w:r>
          </w:p>
        </w:tc>
        <w:tc>
          <w:tcPr>
            <w:tcW w:w="474" w:type="pct"/>
            <w:tcBorders>
              <w:top w:val="single" w:sz="8" w:space="0" w:color="auto"/>
              <w:left w:val="nil"/>
              <w:bottom w:val="single" w:sz="12" w:space="0" w:color="auto"/>
              <w:right w:val="nil"/>
            </w:tcBorders>
            <w:vAlign w:val="bottom"/>
          </w:tcPr>
          <w:p w14:paraId="79AA7067" w14:textId="77777777" w:rsidR="0086682B" w:rsidRPr="005943B3" w:rsidRDefault="0086682B" w:rsidP="00CA7F04">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637.050 </w:t>
            </w:r>
          </w:p>
        </w:tc>
        <w:tc>
          <w:tcPr>
            <w:tcW w:w="489" w:type="pct"/>
            <w:tcBorders>
              <w:top w:val="single" w:sz="8" w:space="0" w:color="auto"/>
              <w:left w:val="nil"/>
              <w:bottom w:val="single" w:sz="12" w:space="0" w:color="auto"/>
              <w:right w:val="nil"/>
            </w:tcBorders>
            <w:vAlign w:val="bottom"/>
          </w:tcPr>
          <w:p w14:paraId="1AA711D6" w14:textId="77777777" w:rsidR="0086682B" w:rsidRPr="005943B3" w:rsidRDefault="0086682B" w:rsidP="00CA7F04">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1.084.967 </w:t>
            </w:r>
          </w:p>
        </w:tc>
        <w:tc>
          <w:tcPr>
            <w:tcW w:w="474" w:type="pct"/>
            <w:tcBorders>
              <w:top w:val="single" w:sz="8" w:space="0" w:color="auto"/>
              <w:left w:val="nil"/>
              <w:bottom w:val="single" w:sz="12" w:space="0" w:color="auto"/>
              <w:right w:val="nil"/>
            </w:tcBorders>
            <w:vAlign w:val="bottom"/>
          </w:tcPr>
          <w:p w14:paraId="1664004F" w14:textId="77777777" w:rsidR="0086682B" w:rsidRPr="005943B3" w:rsidRDefault="0086682B" w:rsidP="00CA7F04">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238.005 </w:t>
            </w:r>
          </w:p>
        </w:tc>
        <w:tc>
          <w:tcPr>
            <w:tcW w:w="490" w:type="pct"/>
            <w:tcBorders>
              <w:top w:val="single" w:sz="8" w:space="0" w:color="auto"/>
              <w:left w:val="nil"/>
              <w:bottom w:val="single" w:sz="12" w:space="0" w:color="auto"/>
              <w:right w:val="nil"/>
            </w:tcBorders>
            <w:vAlign w:val="bottom"/>
          </w:tcPr>
          <w:p w14:paraId="156C87B5" w14:textId="77777777" w:rsidR="0086682B" w:rsidRPr="005943B3" w:rsidRDefault="0086682B" w:rsidP="00CA7F04">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2.561.161 </w:t>
            </w:r>
          </w:p>
        </w:tc>
        <w:tc>
          <w:tcPr>
            <w:tcW w:w="488" w:type="pct"/>
            <w:tcBorders>
              <w:top w:val="single" w:sz="8" w:space="0" w:color="auto"/>
              <w:left w:val="nil"/>
              <w:bottom w:val="single" w:sz="12" w:space="0" w:color="auto"/>
              <w:right w:val="nil"/>
            </w:tcBorders>
            <w:vAlign w:val="bottom"/>
          </w:tcPr>
          <w:p w14:paraId="7F9ED649" w14:textId="77777777" w:rsidR="0086682B" w:rsidRPr="005943B3" w:rsidRDefault="0086682B" w:rsidP="00CA7F04">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2.276.224 </w:t>
            </w:r>
          </w:p>
        </w:tc>
      </w:tr>
      <w:tr w:rsidR="0086682B" w:rsidRPr="00D47D1C" w14:paraId="33F5B387" w14:textId="77777777" w:rsidTr="00CA7F04">
        <w:trPr>
          <w:trHeight w:hRule="exact" w:val="353"/>
        </w:trPr>
        <w:tc>
          <w:tcPr>
            <w:tcW w:w="1159" w:type="pct"/>
            <w:vAlign w:val="center"/>
          </w:tcPr>
          <w:p w14:paraId="1F7FBFCA" w14:textId="77777777" w:rsidR="0086682B" w:rsidRPr="00D47D1C" w:rsidRDefault="0086682B" w:rsidP="00CA7F04">
            <w:pPr>
              <w:tabs>
                <w:tab w:val="right" w:pos="1202"/>
              </w:tabs>
              <w:spacing w:line="240" w:lineRule="exact"/>
              <w:outlineLvl w:val="0"/>
              <w:rPr>
                <w:rFonts w:ascii="Arial" w:eastAsia="Calibri" w:hAnsi="Arial" w:cs="Arial"/>
                <w:b/>
                <w:bCs/>
                <w:color w:val="000000" w:themeColor="text1"/>
                <w:sz w:val="15"/>
                <w:szCs w:val="15"/>
              </w:rPr>
            </w:pPr>
            <w:r w:rsidRPr="00D47D1C">
              <w:rPr>
                <w:rFonts w:ascii="Arial" w:eastAsia="Calibri" w:hAnsi="Arial" w:cs="Arial"/>
                <w:b/>
                <w:bCs/>
                <w:color w:val="000000" w:themeColor="text1"/>
                <w:spacing w:val="-2"/>
                <w:sz w:val="15"/>
                <w:szCs w:val="15"/>
              </w:rPr>
              <w:t>Kamatni jaz</w:t>
            </w:r>
          </w:p>
        </w:tc>
        <w:tc>
          <w:tcPr>
            <w:tcW w:w="476" w:type="pct"/>
            <w:tcBorders>
              <w:top w:val="nil"/>
              <w:left w:val="nil"/>
              <w:bottom w:val="single" w:sz="12" w:space="0" w:color="auto"/>
              <w:right w:val="nil"/>
            </w:tcBorders>
            <w:shd w:val="clear" w:color="auto" w:fill="auto"/>
            <w:vAlign w:val="bottom"/>
          </w:tcPr>
          <w:p w14:paraId="02ED7543" w14:textId="77777777" w:rsidR="0086682B" w:rsidRPr="005943B3" w:rsidRDefault="0086682B" w:rsidP="00CA7F04">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306.919 </w:t>
            </w:r>
          </w:p>
        </w:tc>
        <w:tc>
          <w:tcPr>
            <w:tcW w:w="475" w:type="pct"/>
            <w:tcBorders>
              <w:top w:val="nil"/>
              <w:left w:val="nil"/>
              <w:bottom w:val="single" w:sz="12" w:space="0" w:color="auto"/>
              <w:right w:val="nil"/>
            </w:tcBorders>
            <w:shd w:val="clear" w:color="auto" w:fill="auto"/>
            <w:vAlign w:val="bottom"/>
          </w:tcPr>
          <w:p w14:paraId="6AB84CC0" w14:textId="77777777" w:rsidR="0086682B" w:rsidRPr="005943B3" w:rsidRDefault="0086682B" w:rsidP="00CA7F04">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104.808 </w:t>
            </w:r>
          </w:p>
        </w:tc>
        <w:tc>
          <w:tcPr>
            <w:tcW w:w="475" w:type="pct"/>
            <w:tcBorders>
              <w:top w:val="nil"/>
              <w:left w:val="nil"/>
              <w:bottom w:val="single" w:sz="12" w:space="0" w:color="auto"/>
              <w:right w:val="nil"/>
            </w:tcBorders>
            <w:shd w:val="clear" w:color="auto" w:fill="auto"/>
            <w:vAlign w:val="bottom"/>
          </w:tcPr>
          <w:p w14:paraId="3B65518C" w14:textId="77777777" w:rsidR="0086682B" w:rsidRPr="005943B3" w:rsidRDefault="0086682B" w:rsidP="00CA7F04">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163.438 </w:t>
            </w:r>
          </w:p>
        </w:tc>
        <w:tc>
          <w:tcPr>
            <w:tcW w:w="474" w:type="pct"/>
            <w:tcBorders>
              <w:top w:val="nil"/>
              <w:left w:val="nil"/>
              <w:bottom w:val="single" w:sz="12" w:space="0" w:color="auto"/>
              <w:right w:val="nil"/>
            </w:tcBorders>
            <w:shd w:val="clear" w:color="auto" w:fill="auto"/>
            <w:vAlign w:val="bottom"/>
          </w:tcPr>
          <w:p w14:paraId="38F632A3" w14:textId="77777777" w:rsidR="0086682B" w:rsidRPr="005943B3" w:rsidRDefault="0086682B" w:rsidP="00CA7F04">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383.029 </w:t>
            </w:r>
          </w:p>
        </w:tc>
        <w:tc>
          <w:tcPr>
            <w:tcW w:w="489" w:type="pct"/>
            <w:tcBorders>
              <w:top w:val="nil"/>
              <w:left w:val="nil"/>
              <w:bottom w:val="single" w:sz="12" w:space="0" w:color="auto"/>
              <w:right w:val="nil"/>
            </w:tcBorders>
            <w:shd w:val="clear" w:color="auto" w:fill="auto"/>
            <w:vAlign w:val="bottom"/>
          </w:tcPr>
          <w:p w14:paraId="58017BB1" w14:textId="77777777" w:rsidR="0086682B" w:rsidRPr="005943B3" w:rsidRDefault="0086682B" w:rsidP="00CA7F04">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655.251 </w:t>
            </w:r>
          </w:p>
        </w:tc>
        <w:tc>
          <w:tcPr>
            <w:tcW w:w="474" w:type="pct"/>
            <w:tcBorders>
              <w:top w:val="nil"/>
              <w:left w:val="nil"/>
              <w:bottom w:val="single" w:sz="12" w:space="0" w:color="auto"/>
              <w:right w:val="nil"/>
            </w:tcBorders>
            <w:shd w:val="clear" w:color="auto" w:fill="auto"/>
            <w:vAlign w:val="bottom"/>
          </w:tcPr>
          <w:p w14:paraId="4BF32565" w14:textId="77777777" w:rsidR="0086682B" w:rsidRPr="005943B3" w:rsidRDefault="0086682B" w:rsidP="00CA7F04">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(170.385)</w:t>
            </w:r>
          </w:p>
        </w:tc>
        <w:tc>
          <w:tcPr>
            <w:tcW w:w="490" w:type="pct"/>
            <w:tcBorders>
              <w:top w:val="nil"/>
              <w:left w:val="nil"/>
              <w:bottom w:val="single" w:sz="12" w:space="0" w:color="auto"/>
              <w:right w:val="nil"/>
            </w:tcBorders>
            <w:shd w:val="clear" w:color="auto" w:fill="auto"/>
            <w:vAlign w:val="bottom"/>
          </w:tcPr>
          <w:p w14:paraId="49EE6357" w14:textId="77777777" w:rsidR="0086682B" w:rsidRPr="005943B3" w:rsidRDefault="0086682B" w:rsidP="00CA7F04">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1.443.060 </w:t>
            </w:r>
          </w:p>
        </w:tc>
        <w:tc>
          <w:tcPr>
            <w:tcW w:w="488" w:type="pct"/>
            <w:tcBorders>
              <w:top w:val="nil"/>
              <w:left w:val="nil"/>
              <w:bottom w:val="single" w:sz="12" w:space="0" w:color="auto"/>
              <w:right w:val="nil"/>
            </w:tcBorders>
            <w:shd w:val="clear" w:color="auto" w:fill="auto"/>
            <w:vAlign w:val="bottom"/>
          </w:tcPr>
          <w:p w14:paraId="5965DDAA" w14:textId="77777777" w:rsidR="0086682B" w:rsidRPr="005943B3" w:rsidRDefault="0086682B" w:rsidP="00CA7F04">
            <w:pPr>
              <w:jc w:val="right"/>
              <w:rPr>
                <w:rFonts w:ascii="Arial" w:eastAsia="Calibri" w:hAnsi="Arial" w:cs="Arial"/>
                <w:b/>
                <w:color w:val="000000" w:themeColor="text1"/>
                <w:sz w:val="15"/>
                <w:szCs w:val="15"/>
              </w:rPr>
            </w:pPr>
            <w:r w:rsidRPr="00F959D0">
              <w:rPr>
                <w:rFonts w:ascii="Arial" w:eastAsia="Calibri" w:hAnsi="Arial" w:cs="Arial"/>
                <w:b/>
                <w:color w:val="000000" w:themeColor="text1"/>
                <w:sz w:val="15"/>
                <w:szCs w:val="15"/>
              </w:rPr>
              <w:t xml:space="preserve"> 1.521.559 </w:t>
            </w:r>
          </w:p>
        </w:tc>
      </w:tr>
    </w:tbl>
    <w:p w14:paraId="63E5B0FF" w14:textId="77777777" w:rsidR="000C7E59" w:rsidRPr="003D1614" w:rsidRDefault="000C7E59" w:rsidP="000C7E59">
      <w:pPr>
        <w:tabs>
          <w:tab w:val="left" w:pos="-720"/>
        </w:tabs>
        <w:suppressAutoHyphens/>
        <w:autoSpaceDN w:val="0"/>
        <w:jc w:val="both"/>
        <w:rPr>
          <w:rFonts w:ascii="Arial" w:eastAsia="Times New Roman" w:hAnsi="Arial" w:cs="Arial"/>
          <w:color w:val="000000" w:themeColor="text1"/>
          <w:sz w:val="20"/>
          <w:szCs w:val="20"/>
        </w:rPr>
      </w:pPr>
    </w:p>
    <w:p w14:paraId="6F5D56E5" w14:textId="77777777" w:rsidR="009243A8" w:rsidRPr="003D1614" w:rsidRDefault="009243A8" w:rsidP="00661446">
      <w:pPr>
        <w:suppressAutoHyphens/>
        <w:autoSpaceDN w:val="0"/>
        <w:jc w:val="both"/>
        <w:rPr>
          <w:rFonts w:ascii="Arial" w:eastAsia="Times New Roman" w:hAnsi="Arial" w:cs="Arial"/>
          <w:bCs/>
          <w:i/>
          <w:color w:val="000000" w:themeColor="text1"/>
          <w:sz w:val="18"/>
          <w:szCs w:val="18"/>
        </w:rPr>
        <w:sectPr w:rsidR="009243A8" w:rsidRPr="003D1614" w:rsidSect="003278AB">
          <w:pgSz w:w="11906" w:h="16838"/>
          <w:pgMar w:top="1417" w:right="1417" w:bottom="1417" w:left="1417" w:header="708" w:footer="708" w:gutter="0"/>
          <w:cols w:space="708"/>
          <w:docGrid w:linePitch="360"/>
        </w:sectPr>
      </w:pPr>
    </w:p>
    <w:p w14:paraId="68FF977C" w14:textId="77777777" w:rsidR="009243A8" w:rsidRPr="003D1614" w:rsidRDefault="009243A8" w:rsidP="009243A8">
      <w:pPr>
        <w:tabs>
          <w:tab w:val="left" w:pos="-720"/>
        </w:tabs>
        <w:suppressAutoHyphens/>
        <w:autoSpaceDN w:val="0"/>
        <w:rPr>
          <w:rFonts w:ascii="Arial" w:eastAsia="Times New Roman" w:hAnsi="Arial" w:cs="Arial"/>
          <w:b/>
          <w:color w:val="000000" w:themeColor="text1"/>
          <w:spacing w:val="-3"/>
          <w:sz w:val="20"/>
          <w:szCs w:val="20"/>
        </w:rPr>
      </w:pPr>
    </w:p>
    <w:p w14:paraId="30635221" w14:textId="41D786C3"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6D528CE9" w14:textId="7777777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p>
    <w:p w14:paraId="12F4A715" w14:textId="0130A82D"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4EBA7B6A" w14:textId="7777777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p>
    <w:p w14:paraId="631D607B" w14:textId="06FF282D"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.5.1.  Kamatni rizik (nastavak)</w:t>
      </w:r>
    </w:p>
    <w:p w14:paraId="790B39C1" w14:textId="7777777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p>
    <w:p w14:paraId="387BB309" w14:textId="77777777" w:rsidR="009243A8" w:rsidRDefault="009243A8" w:rsidP="009243A8">
      <w:pPr>
        <w:tabs>
          <w:tab w:val="left" w:pos="-720"/>
        </w:tabs>
        <w:suppressAutoHyphens/>
        <w:autoSpaceDN w:val="0"/>
        <w:ind w:right="-6"/>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Iznos ukupne imovine i ukupnih obveza prema mogućnosti promjene kamatnih stopa (fiksna i varijabilna):</w:t>
      </w:r>
    </w:p>
    <w:p w14:paraId="1812EF3D" w14:textId="77777777" w:rsidR="008B2FBE" w:rsidRDefault="008B2FBE" w:rsidP="009243A8">
      <w:pPr>
        <w:tabs>
          <w:tab w:val="left" w:pos="-720"/>
        </w:tabs>
        <w:suppressAutoHyphens/>
        <w:autoSpaceDN w:val="0"/>
        <w:ind w:right="-6"/>
        <w:jc w:val="both"/>
        <w:rPr>
          <w:rFonts w:ascii="Arial" w:eastAsia="Times New Roman" w:hAnsi="Arial" w:cs="Arial"/>
          <w:color w:val="000000" w:themeColor="text1"/>
          <w:sz w:val="20"/>
          <w:szCs w:val="20"/>
        </w:rPr>
      </w:pPr>
    </w:p>
    <w:tbl>
      <w:tblPr>
        <w:tblW w:w="5000" w:type="pct"/>
        <w:tblInd w:w="-142" w:type="dxa"/>
        <w:tblLayout w:type="fixed"/>
        <w:tblCellMar>
          <w:left w:w="120" w:type="dxa"/>
          <w:right w:w="120" w:type="dxa"/>
        </w:tblCellMar>
        <w:tblLook w:val="0000" w:firstRow="0" w:lastRow="0" w:firstColumn="0" w:lastColumn="0" w:noHBand="0" w:noVBand="0"/>
      </w:tblPr>
      <w:tblGrid>
        <w:gridCol w:w="3345"/>
        <w:gridCol w:w="1431"/>
        <w:gridCol w:w="1432"/>
        <w:gridCol w:w="1432"/>
        <w:gridCol w:w="1432"/>
      </w:tblGrid>
      <w:tr w:rsidR="008B2FBE" w:rsidRPr="003D1614" w14:paraId="5FB7D8F4" w14:textId="77777777" w:rsidTr="00422DD5">
        <w:trPr>
          <w:trHeight w:val="239"/>
        </w:trPr>
        <w:tc>
          <w:tcPr>
            <w:tcW w:w="1844" w:type="pct"/>
            <w:shd w:val="clear" w:color="auto" w:fill="auto"/>
            <w:vAlign w:val="bottom"/>
          </w:tcPr>
          <w:p w14:paraId="29430690" w14:textId="77777777" w:rsidR="008B2FBE" w:rsidRPr="003D1614" w:rsidRDefault="008B2FBE" w:rsidP="00422DD5">
            <w:pPr>
              <w:tabs>
                <w:tab w:val="left" w:pos="-720"/>
              </w:tabs>
              <w:suppressAutoHyphens/>
              <w:autoSpaceDN w:val="0"/>
              <w:spacing w:line="360" w:lineRule="auto"/>
              <w:ind w:right="-5"/>
              <w:jc w:val="both"/>
              <w:rPr>
                <w:rFonts w:ascii="Arial" w:eastAsia="Times New Roman" w:hAnsi="Arial" w:cs="Arial"/>
                <w:b/>
                <w:color w:val="000000" w:themeColor="text1"/>
                <w:sz w:val="18"/>
                <w:szCs w:val="18"/>
              </w:rPr>
            </w:pPr>
          </w:p>
        </w:tc>
        <w:tc>
          <w:tcPr>
            <w:tcW w:w="1578" w:type="pct"/>
            <w:gridSpan w:val="2"/>
            <w:shd w:val="clear" w:color="auto" w:fill="auto"/>
            <w:vAlign w:val="bottom"/>
          </w:tcPr>
          <w:p w14:paraId="0B5F8A06" w14:textId="77777777" w:rsidR="008B2FBE" w:rsidRPr="003D1614" w:rsidRDefault="008B2FBE"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955" w:name="_Toc67330674"/>
            <w:r w:rsidRPr="003D1614">
              <w:rPr>
                <w:rFonts w:ascii="Arial" w:eastAsia="Times New Roman" w:hAnsi="Arial" w:cs="Arial"/>
                <w:b/>
                <w:color w:val="000000" w:themeColor="text1"/>
                <w:sz w:val="18"/>
                <w:szCs w:val="18"/>
              </w:rPr>
              <w:t>Grupa</w:t>
            </w:r>
            <w:bookmarkEnd w:id="955"/>
          </w:p>
        </w:tc>
        <w:tc>
          <w:tcPr>
            <w:tcW w:w="1578" w:type="pct"/>
            <w:gridSpan w:val="2"/>
            <w:shd w:val="clear" w:color="auto" w:fill="auto"/>
            <w:vAlign w:val="bottom"/>
          </w:tcPr>
          <w:p w14:paraId="6B3EB522" w14:textId="77777777" w:rsidR="008B2FBE" w:rsidRPr="003D1614" w:rsidRDefault="008B2FBE"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956" w:name="_Toc67330675"/>
            <w:r w:rsidRPr="003D1614">
              <w:rPr>
                <w:rFonts w:ascii="Arial" w:eastAsia="Times New Roman" w:hAnsi="Arial" w:cs="Arial"/>
                <w:b/>
                <w:color w:val="000000" w:themeColor="text1"/>
                <w:sz w:val="18"/>
                <w:szCs w:val="18"/>
              </w:rPr>
              <w:t>Banka</w:t>
            </w:r>
            <w:bookmarkEnd w:id="956"/>
          </w:p>
        </w:tc>
      </w:tr>
      <w:tr w:rsidR="008B2FBE" w:rsidRPr="003D1614" w14:paraId="0410E8CA" w14:textId="77777777" w:rsidTr="00422DD5">
        <w:trPr>
          <w:trHeight w:val="211"/>
        </w:trPr>
        <w:tc>
          <w:tcPr>
            <w:tcW w:w="1844" w:type="pct"/>
            <w:shd w:val="clear" w:color="auto" w:fill="auto"/>
            <w:vAlign w:val="bottom"/>
          </w:tcPr>
          <w:p w14:paraId="2B0AEF5E" w14:textId="77777777" w:rsidR="008B2FBE" w:rsidRPr="003D1614" w:rsidRDefault="008B2FBE" w:rsidP="00422DD5">
            <w:pPr>
              <w:tabs>
                <w:tab w:val="left" w:pos="-720"/>
              </w:tabs>
              <w:suppressAutoHyphens/>
              <w:autoSpaceDN w:val="0"/>
              <w:spacing w:line="360" w:lineRule="auto"/>
              <w:ind w:right="-5"/>
              <w:jc w:val="both"/>
              <w:rPr>
                <w:rFonts w:ascii="Arial" w:eastAsia="Times New Roman" w:hAnsi="Arial" w:cs="Arial"/>
                <w:b/>
                <w:color w:val="000000" w:themeColor="text1"/>
                <w:sz w:val="18"/>
                <w:szCs w:val="18"/>
              </w:rPr>
            </w:pPr>
          </w:p>
        </w:tc>
        <w:tc>
          <w:tcPr>
            <w:tcW w:w="789" w:type="pct"/>
            <w:shd w:val="clear" w:color="auto" w:fill="auto"/>
            <w:vAlign w:val="bottom"/>
          </w:tcPr>
          <w:p w14:paraId="5D8DC41C" w14:textId="77777777" w:rsidR="008B2FBE" w:rsidRPr="003D1614" w:rsidRDefault="008B2FBE"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31. ožujka 202</w:t>
            </w:r>
            <w:r>
              <w:rPr>
                <w:rFonts w:ascii="Arial" w:eastAsia="Times New Roman" w:hAnsi="Arial" w:cs="Arial"/>
                <w:b/>
                <w:color w:val="000000" w:themeColor="text1"/>
                <w:sz w:val="18"/>
                <w:szCs w:val="18"/>
              </w:rPr>
              <w:t>4</w:t>
            </w:r>
            <w:r w:rsidRPr="003D1614">
              <w:rPr>
                <w:rFonts w:ascii="Arial" w:eastAsia="Times New Roman" w:hAnsi="Arial" w:cs="Arial"/>
                <w:b/>
                <w:color w:val="000000" w:themeColor="text1"/>
                <w:sz w:val="18"/>
                <w:szCs w:val="18"/>
              </w:rPr>
              <w:t>.</w:t>
            </w:r>
          </w:p>
        </w:tc>
        <w:tc>
          <w:tcPr>
            <w:tcW w:w="789" w:type="pct"/>
            <w:shd w:val="clear" w:color="auto" w:fill="auto"/>
            <w:vAlign w:val="bottom"/>
          </w:tcPr>
          <w:p w14:paraId="22A953A5" w14:textId="77777777" w:rsidR="008B2FBE" w:rsidRPr="003D1614" w:rsidRDefault="008B2FBE"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957" w:name="_Toc67330677"/>
            <w:r w:rsidRPr="003D1614">
              <w:rPr>
                <w:rFonts w:ascii="Arial" w:eastAsia="Times New Roman" w:hAnsi="Arial" w:cs="Arial"/>
                <w:b/>
                <w:color w:val="000000" w:themeColor="text1"/>
                <w:sz w:val="18"/>
                <w:szCs w:val="18"/>
              </w:rPr>
              <w:t>31. prosinca 202</w:t>
            </w:r>
            <w:r>
              <w:rPr>
                <w:rFonts w:ascii="Arial" w:eastAsia="Times New Roman" w:hAnsi="Arial" w:cs="Arial"/>
                <w:b/>
                <w:color w:val="000000" w:themeColor="text1"/>
                <w:sz w:val="18"/>
                <w:szCs w:val="18"/>
              </w:rPr>
              <w:t>3</w:t>
            </w:r>
            <w:r w:rsidRPr="003D1614">
              <w:rPr>
                <w:rFonts w:ascii="Arial" w:eastAsia="Times New Roman" w:hAnsi="Arial" w:cs="Arial"/>
                <w:b/>
                <w:color w:val="000000" w:themeColor="text1"/>
                <w:sz w:val="18"/>
                <w:szCs w:val="18"/>
              </w:rPr>
              <w:t>.</w:t>
            </w:r>
            <w:bookmarkEnd w:id="957"/>
          </w:p>
        </w:tc>
        <w:tc>
          <w:tcPr>
            <w:tcW w:w="789" w:type="pct"/>
            <w:shd w:val="clear" w:color="auto" w:fill="auto"/>
            <w:vAlign w:val="bottom"/>
          </w:tcPr>
          <w:p w14:paraId="54FAA2E1" w14:textId="77777777" w:rsidR="008B2FBE" w:rsidRPr="003D1614" w:rsidRDefault="008B2FBE"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958" w:name="_Toc67330678"/>
            <w:r w:rsidRPr="003D1614">
              <w:rPr>
                <w:rFonts w:ascii="Arial" w:eastAsia="Times New Roman" w:hAnsi="Arial" w:cs="Arial"/>
                <w:b/>
                <w:color w:val="000000" w:themeColor="text1"/>
                <w:sz w:val="18"/>
                <w:szCs w:val="18"/>
              </w:rPr>
              <w:t>31. ožujka 202</w:t>
            </w:r>
            <w:r>
              <w:rPr>
                <w:rFonts w:ascii="Arial" w:eastAsia="Times New Roman" w:hAnsi="Arial" w:cs="Arial"/>
                <w:b/>
                <w:color w:val="000000" w:themeColor="text1"/>
                <w:sz w:val="18"/>
                <w:szCs w:val="18"/>
              </w:rPr>
              <w:t>4</w:t>
            </w:r>
            <w:r w:rsidRPr="003D1614">
              <w:rPr>
                <w:rFonts w:ascii="Arial" w:eastAsia="Times New Roman" w:hAnsi="Arial" w:cs="Arial"/>
                <w:b/>
                <w:color w:val="000000" w:themeColor="text1"/>
                <w:sz w:val="18"/>
                <w:szCs w:val="18"/>
              </w:rPr>
              <w:t>.</w:t>
            </w:r>
            <w:bookmarkEnd w:id="958"/>
          </w:p>
        </w:tc>
        <w:tc>
          <w:tcPr>
            <w:tcW w:w="789" w:type="pct"/>
            <w:shd w:val="clear" w:color="auto" w:fill="auto"/>
            <w:vAlign w:val="bottom"/>
          </w:tcPr>
          <w:p w14:paraId="2E476596" w14:textId="77777777" w:rsidR="008B2FBE" w:rsidRPr="003D1614" w:rsidRDefault="008B2FBE"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959" w:name="_Toc67330679"/>
            <w:r w:rsidRPr="003D1614">
              <w:rPr>
                <w:rFonts w:ascii="Arial" w:eastAsia="Times New Roman" w:hAnsi="Arial" w:cs="Arial"/>
                <w:b/>
                <w:color w:val="000000" w:themeColor="text1"/>
                <w:sz w:val="18"/>
                <w:szCs w:val="18"/>
              </w:rPr>
              <w:t>31. prosinca 202</w:t>
            </w:r>
            <w:r>
              <w:rPr>
                <w:rFonts w:ascii="Arial" w:eastAsia="Times New Roman" w:hAnsi="Arial" w:cs="Arial"/>
                <w:b/>
                <w:color w:val="000000" w:themeColor="text1"/>
                <w:sz w:val="18"/>
                <w:szCs w:val="18"/>
              </w:rPr>
              <w:t>3</w:t>
            </w:r>
            <w:r w:rsidRPr="003D1614">
              <w:rPr>
                <w:rFonts w:ascii="Arial" w:eastAsia="Times New Roman" w:hAnsi="Arial" w:cs="Arial"/>
                <w:b/>
                <w:color w:val="000000" w:themeColor="text1"/>
                <w:sz w:val="18"/>
                <w:szCs w:val="18"/>
              </w:rPr>
              <w:t>.</w:t>
            </w:r>
            <w:bookmarkEnd w:id="959"/>
          </w:p>
        </w:tc>
      </w:tr>
      <w:tr w:rsidR="008B2FBE" w:rsidRPr="003D1614" w14:paraId="3918A2B3" w14:textId="77777777" w:rsidTr="00422DD5">
        <w:trPr>
          <w:trHeight w:val="249"/>
        </w:trPr>
        <w:tc>
          <w:tcPr>
            <w:tcW w:w="1844" w:type="pct"/>
            <w:shd w:val="clear" w:color="auto" w:fill="auto"/>
            <w:vAlign w:val="bottom"/>
          </w:tcPr>
          <w:p w14:paraId="17BF30D4" w14:textId="77777777" w:rsidR="008B2FBE" w:rsidRPr="003D1614" w:rsidRDefault="008B2FBE" w:rsidP="00422DD5">
            <w:pPr>
              <w:tabs>
                <w:tab w:val="left" w:pos="-720"/>
              </w:tabs>
              <w:suppressAutoHyphens/>
              <w:autoSpaceDN w:val="0"/>
              <w:spacing w:line="360" w:lineRule="auto"/>
              <w:ind w:right="-5"/>
              <w:jc w:val="both"/>
              <w:rPr>
                <w:rFonts w:ascii="Arial" w:eastAsia="Times New Roman" w:hAnsi="Arial" w:cs="Arial"/>
                <w:color w:val="000000" w:themeColor="text1"/>
                <w:sz w:val="18"/>
                <w:szCs w:val="18"/>
              </w:rPr>
            </w:pPr>
          </w:p>
        </w:tc>
        <w:tc>
          <w:tcPr>
            <w:tcW w:w="789" w:type="pct"/>
            <w:shd w:val="clear" w:color="auto" w:fill="auto"/>
            <w:vAlign w:val="bottom"/>
          </w:tcPr>
          <w:p w14:paraId="1CC0E546" w14:textId="77777777" w:rsidR="008B2FBE" w:rsidRPr="003D1614" w:rsidRDefault="008B2FBE"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960" w:name="_Toc67330680"/>
            <w:r w:rsidRPr="003D1614">
              <w:rPr>
                <w:rFonts w:ascii="Arial" w:eastAsia="Times New Roman" w:hAnsi="Arial" w:cs="Arial"/>
                <w:b/>
                <w:color w:val="000000" w:themeColor="text1"/>
                <w:sz w:val="18"/>
                <w:szCs w:val="18"/>
              </w:rPr>
              <w:t>000 eura</w:t>
            </w:r>
            <w:bookmarkEnd w:id="960"/>
          </w:p>
        </w:tc>
        <w:tc>
          <w:tcPr>
            <w:tcW w:w="789" w:type="pct"/>
            <w:shd w:val="clear" w:color="auto" w:fill="auto"/>
            <w:vAlign w:val="bottom"/>
          </w:tcPr>
          <w:p w14:paraId="2F286102" w14:textId="77777777" w:rsidR="008B2FBE" w:rsidRPr="003D1614" w:rsidRDefault="008B2FBE"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961" w:name="_Toc67330681"/>
            <w:r w:rsidRPr="003D1614">
              <w:rPr>
                <w:rFonts w:ascii="Arial" w:eastAsia="Times New Roman" w:hAnsi="Arial" w:cs="Arial"/>
                <w:b/>
                <w:color w:val="000000" w:themeColor="text1"/>
                <w:sz w:val="18"/>
                <w:szCs w:val="18"/>
              </w:rPr>
              <w:t>000 eura</w:t>
            </w:r>
            <w:bookmarkEnd w:id="961"/>
          </w:p>
        </w:tc>
        <w:tc>
          <w:tcPr>
            <w:tcW w:w="789" w:type="pct"/>
            <w:shd w:val="clear" w:color="auto" w:fill="auto"/>
            <w:vAlign w:val="bottom"/>
          </w:tcPr>
          <w:p w14:paraId="3B1E5481" w14:textId="77777777" w:rsidR="008B2FBE" w:rsidRPr="003D1614" w:rsidRDefault="008B2FBE"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962" w:name="_Toc67330682"/>
            <w:r w:rsidRPr="003D1614">
              <w:rPr>
                <w:rFonts w:ascii="Arial" w:eastAsia="Times New Roman" w:hAnsi="Arial" w:cs="Arial"/>
                <w:b/>
                <w:color w:val="000000" w:themeColor="text1"/>
                <w:sz w:val="18"/>
                <w:szCs w:val="18"/>
              </w:rPr>
              <w:t>000 eura</w:t>
            </w:r>
            <w:bookmarkEnd w:id="962"/>
          </w:p>
        </w:tc>
        <w:tc>
          <w:tcPr>
            <w:tcW w:w="789" w:type="pct"/>
            <w:shd w:val="clear" w:color="auto" w:fill="auto"/>
            <w:vAlign w:val="bottom"/>
          </w:tcPr>
          <w:p w14:paraId="159CBD58" w14:textId="77777777" w:rsidR="008B2FBE" w:rsidRPr="003D1614" w:rsidRDefault="008B2FBE" w:rsidP="00422DD5">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bookmarkStart w:id="963" w:name="_Toc67330683"/>
            <w:r w:rsidRPr="003D1614">
              <w:rPr>
                <w:rFonts w:ascii="Arial" w:eastAsia="Times New Roman" w:hAnsi="Arial" w:cs="Arial"/>
                <w:b/>
                <w:color w:val="000000" w:themeColor="text1"/>
                <w:sz w:val="18"/>
                <w:szCs w:val="18"/>
              </w:rPr>
              <w:t>000 eura</w:t>
            </w:r>
            <w:bookmarkEnd w:id="963"/>
          </w:p>
        </w:tc>
      </w:tr>
      <w:tr w:rsidR="008B2FBE" w:rsidRPr="003D1614" w14:paraId="33B79686" w14:textId="77777777" w:rsidTr="00422DD5">
        <w:trPr>
          <w:trHeight w:hRule="exact" w:val="284"/>
        </w:trPr>
        <w:tc>
          <w:tcPr>
            <w:tcW w:w="1844" w:type="pct"/>
            <w:shd w:val="clear" w:color="auto" w:fill="auto"/>
            <w:vAlign w:val="bottom"/>
          </w:tcPr>
          <w:p w14:paraId="01267CAE" w14:textId="77777777" w:rsidR="008B2FBE" w:rsidRPr="003D1614" w:rsidRDefault="008B2FBE" w:rsidP="00422DD5">
            <w:pPr>
              <w:tabs>
                <w:tab w:val="left" w:pos="-720"/>
              </w:tabs>
              <w:suppressAutoHyphens/>
              <w:autoSpaceDN w:val="0"/>
              <w:ind w:right="-5"/>
              <w:rPr>
                <w:rFonts w:ascii="Arial" w:eastAsia="Times New Roman" w:hAnsi="Arial" w:cs="Arial"/>
                <w:b/>
                <w:color w:val="000000" w:themeColor="text1"/>
                <w:sz w:val="18"/>
                <w:szCs w:val="18"/>
              </w:rPr>
            </w:pPr>
            <w:r w:rsidRPr="003D1614">
              <w:rPr>
                <w:rFonts w:ascii="Arial" w:eastAsia="Times New Roman" w:hAnsi="Arial" w:cs="Arial"/>
                <w:b/>
                <w:color w:val="000000" w:themeColor="text1"/>
                <w:sz w:val="18"/>
                <w:szCs w:val="18"/>
              </w:rPr>
              <w:t>Imovina</w:t>
            </w:r>
          </w:p>
        </w:tc>
        <w:tc>
          <w:tcPr>
            <w:tcW w:w="789" w:type="pct"/>
            <w:shd w:val="clear" w:color="auto" w:fill="auto"/>
            <w:vAlign w:val="bottom"/>
          </w:tcPr>
          <w:p w14:paraId="3C89D5E9" w14:textId="77777777" w:rsidR="008B2FBE" w:rsidRPr="003D1614"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0EE0160E" w14:textId="77777777" w:rsidR="008B2FBE" w:rsidRPr="003D1614"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45BABDD3" w14:textId="77777777" w:rsidR="008B2FBE" w:rsidRPr="003D1614"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28111DF9" w14:textId="77777777" w:rsidR="008B2FBE" w:rsidRPr="003D1614"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p>
        </w:tc>
      </w:tr>
      <w:tr w:rsidR="008B2FBE" w:rsidRPr="003D1614" w14:paraId="11CD0F5C" w14:textId="77777777" w:rsidTr="00422DD5">
        <w:trPr>
          <w:trHeight w:hRule="exact" w:val="345"/>
        </w:trPr>
        <w:tc>
          <w:tcPr>
            <w:tcW w:w="1844" w:type="pct"/>
            <w:shd w:val="clear" w:color="auto" w:fill="auto"/>
            <w:vAlign w:val="bottom"/>
          </w:tcPr>
          <w:p w14:paraId="25166DF2" w14:textId="77777777" w:rsidR="008B2FBE" w:rsidRPr="003D1614" w:rsidRDefault="008B2FBE" w:rsidP="00422DD5">
            <w:pPr>
              <w:tabs>
                <w:tab w:val="left" w:pos="-720"/>
              </w:tabs>
              <w:suppressAutoHyphens/>
              <w:autoSpaceDN w:val="0"/>
              <w:ind w:right="-5"/>
              <w:rPr>
                <w:rFonts w:ascii="Arial" w:eastAsia="Times New Roman" w:hAnsi="Arial" w:cs="Arial"/>
                <w:b/>
                <w:color w:val="000000" w:themeColor="text1"/>
                <w:sz w:val="18"/>
                <w:szCs w:val="18"/>
              </w:rPr>
            </w:pPr>
          </w:p>
        </w:tc>
        <w:tc>
          <w:tcPr>
            <w:tcW w:w="789" w:type="pct"/>
            <w:shd w:val="clear" w:color="auto" w:fill="auto"/>
            <w:vAlign w:val="bottom"/>
          </w:tcPr>
          <w:p w14:paraId="68849987" w14:textId="77777777" w:rsidR="008B2FBE" w:rsidRPr="003D1614"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4202CE39" w14:textId="77777777" w:rsidR="008B2FBE" w:rsidRPr="003D1614"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00AE360E" w14:textId="77777777" w:rsidR="008B2FBE" w:rsidRPr="003D1614"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365C664B" w14:textId="77777777" w:rsidR="008B2FBE" w:rsidRPr="003D1614"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p>
        </w:tc>
      </w:tr>
      <w:tr w:rsidR="008B2FBE" w:rsidRPr="003D1614" w14:paraId="7978D3B8" w14:textId="77777777" w:rsidTr="00422DD5">
        <w:trPr>
          <w:trHeight w:hRule="exact" w:val="284"/>
        </w:trPr>
        <w:tc>
          <w:tcPr>
            <w:tcW w:w="1844" w:type="pct"/>
            <w:shd w:val="clear" w:color="auto" w:fill="auto"/>
            <w:vAlign w:val="bottom"/>
          </w:tcPr>
          <w:p w14:paraId="02D2FFA3" w14:textId="77777777" w:rsidR="008B2FBE" w:rsidRPr="003D1614" w:rsidRDefault="008B2FBE" w:rsidP="00422DD5">
            <w:pPr>
              <w:tabs>
                <w:tab w:val="left" w:pos="-720"/>
              </w:tabs>
              <w:suppressAutoHyphens/>
              <w:autoSpaceDN w:val="0"/>
              <w:ind w:right="-5"/>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Imovina uz fiksnu kamatnu stopu</w:t>
            </w:r>
          </w:p>
        </w:tc>
        <w:tc>
          <w:tcPr>
            <w:tcW w:w="789" w:type="pct"/>
            <w:tcBorders>
              <w:top w:val="nil"/>
              <w:left w:val="nil"/>
              <w:bottom w:val="nil"/>
              <w:right w:val="nil"/>
            </w:tcBorders>
            <w:shd w:val="clear" w:color="auto" w:fill="auto"/>
            <w:vAlign w:val="bottom"/>
          </w:tcPr>
          <w:p w14:paraId="73A5C111" w14:textId="77777777" w:rsidR="008B2FBE" w:rsidRPr="0056069E"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3.799.832</w:t>
            </w:r>
          </w:p>
        </w:tc>
        <w:tc>
          <w:tcPr>
            <w:tcW w:w="789" w:type="pct"/>
            <w:tcBorders>
              <w:top w:val="nil"/>
              <w:left w:val="nil"/>
              <w:bottom w:val="nil"/>
              <w:right w:val="nil"/>
            </w:tcBorders>
            <w:shd w:val="clear" w:color="auto" w:fill="auto"/>
            <w:vAlign w:val="bottom"/>
          </w:tcPr>
          <w:p w14:paraId="38EC9381" w14:textId="77777777" w:rsidR="008B2FBE" w:rsidRPr="003D1614"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r w:rsidRPr="00F959D0">
              <w:rPr>
                <w:rFonts w:ascii="Arial" w:hAnsi="Arial" w:cs="Arial"/>
                <w:sz w:val="18"/>
                <w:szCs w:val="18"/>
              </w:rPr>
              <w:t xml:space="preserve"> 3.807.019 </w:t>
            </w:r>
          </w:p>
        </w:tc>
        <w:tc>
          <w:tcPr>
            <w:tcW w:w="789" w:type="pct"/>
            <w:tcBorders>
              <w:top w:val="nil"/>
              <w:left w:val="nil"/>
              <w:bottom w:val="nil"/>
              <w:right w:val="nil"/>
            </w:tcBorders>
            <w:shd w:val="clear" w:color="auto" w:fill="auto"/>
            <w:vAlign w:val="bottom"/>
          </w:tcPr>
          <w:p w14:paraId="66E37CAD" w14:textId="77777777" w:rsidR="008B2FBE" w:rsidRPr="0056069E"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3.790.865</w:t>
            </w:r>
          </w:p>
        </w:tc>
        <w:tc>
          <w:tcPr>
            <w:tcW w:w="789" w:type="pct"/>
            <w:tcBorders>
              <w:top w:val="nil"/>
              <w:left w:val="nil"/>
              <w:bottom w:val="nil"/>
              <w:right w:val="nil"/>
            </w:tcBorders>
            <w:shd w:val="clear" w:color="auto" w:fill="auto"/>
            <w:vAlign w:val="bottom"/>
          </w:tcPr>
          <w:p w14:paraId="4032D742" w14:textId="77777777" w:rsidR="008B2FBE" w:rsidRPr="003D1614"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r w:rsidRPr="00F959D0">
              <w:rPr>
                <w:rFonts w:ascii="Arial" w:hAnsi="Arial" w:cs="Arial"/>
                <w:sz w:val="18"/>
                <w:szCs w:val="18"/>
              </w:rPr>
              <w:t>3.797.783</w:t>
            </w:r>
          </w:p>
        </w:tc>
      </w:tr>
      <w:tr w:rsidR="008B2FBE" w:rsidRPr="003D1614" w14:paraId="21AA7CAD" w14:textId="77777777" w:rsidTr="00422DD5">
        <w:trPr>
          <w:trHeight w:hRule="exact" w:val="284"/>
        </w:trPr>
        <w:tc>
          <w:tcPr>
            <w:tcW w:w="1844" w:type="pct"/>
            <w:shd w:val="clear" w:color="auto" w:fill="auto"/>
            <w:vAlign w:val="bottom"/>
          </w:tcPr>
          <w:p w14:paraId="2B5F2465" w14:textId="77777777" w:rsidR="008B2FBE" w:rsidRPr="003D1614" w:rsidRDefault="008B2FBE" w:rsidP="00422DD5">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Imovina uz varijabilnu kamatnu stopu</w:t>
            </w:r>
          </w:p>
        </w:tc>
        <w:tc>
          <w:tcPr>
            <w:tcW w:w="789" w:type="pct"/>
            <w:tcBorders>
              <w:top w:val="nil"/>
              <w:left w:val="nil"/>
              <w:bottom w:val="nil"/>
              <w:right w:val="nil"/>
            </w:tcBorders>
            <w:shd w:val="clear" w:color="auto" w:fill="auto"/>
            <w:vAlign w:val="bottom"/>
          </w:tcPr>
          <w:p w14:paraId="7C03F58E" w14:textId="77777777" w:rsidR="008B2FBE" w:rsidRPr="0056069E"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123.760</w:t>
            </w:r>
          </w:p>
        </w:tc>
        <w:tc>
          <w:tcPr>
            <w:tcW w:w="789" w:type="pct"/>
            <w:tcBorders>
              <w:top w:val="nil"/>
              <w:left w:val="nil"/>
              <w:bottom w:val="nil"/>
              <w:right w:val="nil"/>
            </w:tcBorders>
            <w:shd w:val="clear" w:color="auto" w:fill="auto"/>
            <w:vAlign w:val="bottom"/>
          </w:tcPr>
          <w:p w14:paraId="3EF031A3" w14:textId="77777777" w:rsidR="008B2FBE" w:rsidRPr="003D1614"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r w:rsidRPr="00F959D0">
              <w:rPr>
                <w:rFonts w:ascii="Arial" w:hAnsi="Arial" w:cs="Arial"/>
                <w:sz w:val="18"/>
                <w:szCs w:val="18"/>
              </w:rPr>
              <w:t>138.818</w:t>
            </w:r>
          </w:p>
        </w:tc>
        <w:tc>
          <w:tcPr>
            <w:tcW w:w="789" w:type="pct"/>
            <w:tcBorders>
              <w:top w:val="nil"/>
              <w:left w:val="nil"/>
              <w:bottom w:val="nil"/>
              <w:right w:val="nil"/>
            </w:tcBorders>
            <w:shd w:val="clear" w:color="auto" w:fill="auto"/>
            <w:vAlign w:val="bottom"/>
          </w:tcPr>
          <w:p w14:paraId="1FAD072B" w14:textId="77777777" w:rsidR="008B2FBE" w:rsidRPr="0056069E"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123.760</w:t>
            </w:r>
          </w:p>
        </w:tc>
        <w:tc>
          <w:tcPr>
            <w:tcW w:w="789" w:type="pct"/>
            <w:tcBorders>
              <w:top w:val="nil"/>
              <w:left w:val="nil"/>
              <w:bottom w:val="nil"/>
              <w:right w:val="nil"/>
            </w:tcBorders>
            <w:shd w:val="clear" w:color="auto" w:fill="auto"/>
            <w:vAlign w:val="bottom"/>
          </w:tcPr>
          <w:p w14:paraId="4BF8C500" w14:textId="77777777" w:rsidR="008B2FBE" w:rsidRPr="003D1614"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r w:rsidRPr="00F959D0">
              <w:rPr>
                <w:rFonts w:ascii="Arial" w:hAnsi="Arial" w:cs="Arial"/>
                <w:sz w:val="18"/>
                <w:szCs w:val="18"/>
              </w:rPr>
              <w:t>138.818</w:t>
            </w:r>
          </w:p>
        </w:tc>
      </w:tr>
      <w:tr w:rsidR="008B2FBE" w:rsidRPr="003D1614" w14:paraId="2F43CC01" w14:textId="77777777" w:rsidTr="00422DD5">
        <w:trPr>
          <w:trHeight w:hRule="exact" w:val="284"/>
        </w:trPr>
        <w:tc>
          <w:tcPr>
            <w:tcW w:w="1844" w:type="pct"/>
            <w:shd w:val="clear" w:color="auto" w:fill="auto"/>
            <w:vAlign w:val="bottom"/>
          </w:tcPr>
          <w:p w14:paraId="247DAD00" w14:textId="77777777" w:rsidR="008B2FBE" w:rsidRPr="003D1614" w:rsidRDefault="008B2FBE" w:rsidP="00422DD5">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Beskamatno</w:t>
            </w:r>
          </w:p>
        </w:tc>
        <w:tc>
          <w:tcPr>
            <w:tcW w:w="789" w:type="pct"/>
            <w:tcBorders>
              <w:top w:val="nil"/>
              <w:left w:val="nil"/>
              <w:bottom w:val="single" w:sz="4" w:space="0" w:color="auto"/>
              <w:right w:val="nil"/>
            </w:tcBorders>
            <w:shd w:val="clear" w:color="auto" w:fill="auto"/>
            <w:vAlign w:val="bottom"/>
          </w:tcPr>
          <w:p w14:paraId="04629CAA" w14:textId="77777777" w:rsidR="008B2FBE" w:rsidRPr="0056069E"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66.817</w:t>
            </w:r>
          </w:p>
        </w:tc>
        <w:tc>
          <w:tcPr>
            <w:tcW w:w="789" w:type="pct"/>
            <w:tcBorders>
              <w:top w:val="nil"/>
              <w:left w:val="nil"/>
              <w:bottom w:val="single" w:sz="4" w:space="0" w:color="auto"/>
              <w:right w:val="nil"/>
            </w:tcBorders>
            <w:shd w:val="clear" w:color="auto" w:fill="auto"/>
            <w:vAlign w:val="bottom"/>
          </w:tcPr>
          <w:p w14:paraId="5620DA0F" w14:textId="77777777" w:rsidR="008B2FBE" w:rsidRPr="003D1614"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r w:rsidRPr="00F959D0">
              <w:rPr>
                <w:rFonts w:ascii="Arial" w:hAnsi="Arial" w:cs="Arial"/>
                <w:sz w:val="18"/>
                <w:szCs w:val="18"/>
              </w:rPr>
              <w:t xml:space="preserve"> 68.540 </w:t>
            </w:r>
          </w:p>
        </w:tc>
        <w:tc>
          <w:tcPr>
            <w:tcW w:w="789" w:type="pct"/>
            <w:tcBorders>
              <w:top w:val="nil"/>
              <w:left w:val="nil"/>
              <w:bottom w:val="single" w:sz="4" w:space="0" w:color="auto"/>
              <w:right w:val="nil"/>
            </w:tcBorders>
            <w:shd w:val="clear" w:color="auto" w:fill="auto"/>
            <w:vAlign w:val="bottom"/>
          </w:tcPr>
          <w:p w14:paraId="455A430C" w14:textId="77777777" w:rsidR="008B2FBE" w:rsidRPr="0056069E"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65.756</w:t>
            </w:r>
          </w:p>
        </w:tc>
        <w:tc>
          <w:tcPr>
            <w:tcW w:w="789" w:type="pct"/>
            <w:tcBorders>
              <w:top w:val="nil"/>
              <w:left w:val="nil"/>
              <w:bottom w:val="single" w:sz="4" w:space="0" w:color="auto"/>
              <w:right w:val="nil"/>
            </w:tcBorders>
            <w:shd w:val="clear" w:color="auto" w:fill="auto"/>
            <w:vAlign w:val="bottom"/>
          </w:tcPr>
          <w:p w14:paraId="32CAF5C8" w14:textId="77777777" w:rsidR="008B2FBE" w:rsidRPr="003D1614"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r w:rsidRPr="00F959D0">
              <w:rPr>
                <w:rFonts w:ascii="Arial" w:hAnsi="Arial" w:cs="Arial"/>
                <w:sz w:val="18"/>
                <w:szCs w:val="18"/>
              </w:rPr>
              <w:t>67.620</w:t>
            </w:r>
          </w:p>
        </w:tc>
      </w:tr>
      <w:tr w:rsidR="008B2FBE" w:rsidRPr="003D1614" w14:paraId="6629D034" w14:textId="77777777" w:rsidTr="00422DD5">
        <w:trPr>
          <w:trHeight w:hRule="exact" w:val="382"/>
        </w:trPr>
        <w:tc>
          <w:tcPr>
            <w:tcW w:w="1844" w:type="pct"/>
            <w:shd w:val="clear" w:color="auto" w:fill="auto"/>
            <w:vAlign w:val="bottom"/>
          </w:tcPr>
          <w:p w14:paraId="56F60DBD" w14:textId="77777777" w:rsidR="008B2FBE" w:rsidRPr="003D1614" w:rsidRDefault="008B2FBE" w:rsidP="00422DD5">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b/>
                <w:color w:val="000000" w:themeColor="text1"/>
                <w:sz w:val="18"/>
                <w:szCs w:val="18"/>
              </w:rPr>
              <w:t>Ukupno</w:t>
            </w:r>
          </w:p>
        </w:tc>
        <w:tc>
          <w:tcPr>
            <w:tcW w:w="789" w:type="pct"/>
            <w:tcBorders>
              <w:top w:val="single" w:sz="4" w:space="0" w:color="auto"/>
              <w:left w:val="nil"/>
              <w:bottom w:val="single" w:sz="12" w:space="0" w:color="auto"/>
              <w:right w:val="nil"/>
            </w:tcBorders>
            <w:shd w:val="clear" w:color="auto" w:fill="auto"/>
            <w:vAlign w:val="bottom"/>
          </w:tcPr>
          <w:p w14:paraId="387A0186" w14:textId="77777777" w:rsidR="008B2FBE" w:rsidRPr="0056069E" w:rsidRDefault="008B2FBE" w:rsidP="00422DD5">
            <w:pPr>
              <w:tabs>
                <w:tab w:val="left" w:pos="-720"/>
              </w:tabs>
              <w:suppressAutoHyphens/>
              <w:autoSpaceDN w:val="0"/>
              <w:ind w:right="-5"/>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3.990.409</w:t>
            </w:r>
          </w:p>
        </w:tc>
        <w:tc>
          <w:tcPr>
            <w:tcW w:w="789" w:type="pct"/>
            <w:tcBorders>
              <w:top w:val="single" w:sz="4" w:space="0" w:color="auto"/>
              <w:left w:val="nil"/>
              <w:bottom w:val="single" w:sz="12" w:space="0" w:color="auto"/>
              <w:right w:val="nil"/>
            </w:tcBorders>
            <w:shd w:val="clear" w:color="auto" w:fill="auto"/>
            <w:vAlign w:val="bottom"/>
          </w:tcPr>
          <w:p w14:paraId="3B9940CE" w14:textId="77777777" w:rsidR="008B2FBE" w:rsidRPr="0056069E" w:rsidRDefault="008B2FBE" w:rsidP="00422DD5">
            <w:pPr>
              <w:tabs>
                <w:tab w:val="left" w:pos="-720"/>
              </w:tabs>
              <w:suppressAutoHyphens/>
              <w:autoSpaceDN w:val="0"/>
              <w:ind w:right="-5"/>
              <w:jc w:val="right"/>
              <w:rPr>
                <w:rFonts w:ascii="Arial" w:eastAsia="Times New Roman" w:hAnsi="Arial" w:cs="Arial"/>
                <w:b/>
                <w:bCs/>
                <w:color w:val="000000" w:themeColor="text1"/>
                <w:sz w:val="18"/>
                <w:szCs w:val="18"/>
              </w:rPr>
            </w:pPr>
            <w:r w:rsidRPr="00B4232F">
              <w:rPr>
                <w:rFonts w:ascii="Arial" w:hAnsi="Arial" w:cs="Arial"/>
                <w:b/>
                <w:bCs/>
                <w:color w:val="000000"/>
                <w:sz w:val="18"/>
                <w:szCs w:val="18"/>
              </w:rPr>
              <w:t>4.014.377</w:t>
            </w:r>
          </w:p>
        </w:tc>
        <w:tc>
          <w:tcPr>
            <w:tcW w:w="789" w:type="pct"/>
            <w:tcBorders>
              <w:top w:val="single" w:sz="4" w:space="0" w:color="auto"/>
              <w:left w:val="nil"/>
              <w:bottom w:val="single" w:sz="12" w:space="0" w:color="auto"/>
              <w:right w:val="nil"/>
            </w:tcBorders>
            <w:shd w:val="clear" w:color="auto" w:fill="auto"/>
            <w:vAlign w:val="bottom"/>
          </w:tcPr>
          <w:p w14:paraId="0157F17C" w14:textId="77777777" w:rsidR="008B2FBE" w:rsidRPr="0056069E" w:rsidRDefault="008B2FBE" w:rsidP="00422DD5">
            <w:pPr>
              <w:tabs>
                <w:tab w:val="left" w:pos="-720"/>
              </w:tabs>
              <w:suppressAutoHyphens/>
              <w:autoSpaceDN w:val="0"/>
              <w:ind w:right="-5"/>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3.980.381</w:t>
            </w:r>
          </w:p>
        </w:tc>
        <w:tc>
          <w:tcPr>
            <w:tcW w:w="789" w:type="pct"/>
            <w:tcBorders>
              <w:top w:val="single" w:sz="4" w:space="0" w:color="auto"/>
              <w:left w:val="nil"/>
              <w:bottom w:val="single" w:sz="12" w:space="0" w:color="auto"/>
              <w:right w:val="nil"/>
            </w:tcBorders>
            <w:shd w:val="clear" w:color="auto" w:fill="auto"/>
            <w:vAlign w:val="bottom"/>
          </w:tcPr>
          <w:p w14:paraId="25D7E2F0" w14:textId="77777777" w:rsidR="008B2FBE" w:rsidRPr="0056069E"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r w:rsidRPr="00F959D0">
              <w:rPr>
                <w:rFonts w:ascii="Arial" w:hAnsi="Arial" w:cs="Arial"/>
                <w:b/>
                <w:bCs/>
                <w:sz w:val="18"/>
                <w:szCs w:val="18"/>
              </w:rPr>
              <w:t>4.004.221</w:t>
            </w:r>
          </w:p>
        </w:tc>
      </w:tr>
      <w:tr w:rsidR="008B2FBE" w:rsidRPr="003D1614" w14:paraId="3118477F" w14:textId="77777777" w:rsidTr="00422DD5">
        <w:trPr>
          <w:trHeight w:hRule="exact" w:val="382"/>
        </w:trPr>
        <w:tc>
          <w:tcPr>
            <w:tcW w:w="1844" w:type="pct"/>
            <w:shd w:val="clear" w:color="auto" w:fill="auto"/>
            <w:vAlign w:val="bottom"/>
          </w:tcPr>
          <w:p w14:paraId="6D253703" w14:textId="77777777" w:rsidR="008B2FBE" w:rsidRPr="003D1614" w:rsidRDefault="008B2FBE" w:rsidP="00422DD5">
            <w:pPr>
              <w:tabs>
                <w:tab w:val="left" w:pos="-720"/>
              </w:tabs>
              <w:suppressAutoHyphens/>
              <w:autoSpaceDN w:val="0"/>
              <w:spacing w:line="240" w:lineRule="exact"/>
              <w:ind w:right="-6"/>
              <w:rPr>
                <w:rFonts w:ascii="Arial" w:eastAsia="Times New Roman" w:hAnsi="Arial" w:cs="Arial"/>
                <w:b/>
                <w:color w:val="000000" w:themeColor="text1"/>
                <w:sz w:val="18"/>
                <w:szCs w:val="18"/>
              </w:rPr>
            </w:pPr>
          </w:p>
        </w:tc>
        <w:tc>
          <w:tcPr>
            <w:tcW w:w="789" w:type="pct"/>
            <w:tcBorders>
              <w:top w:val="single" w:sz="12" w:space="0" w:color="auto"/>
            </w:tcBorders>
            <w:shd w:val="clear" w:color="auto" w:fill="auto"/>
            <w:vAlign w:val="bottom"/>
          </w:tcPr>
          <w:p w14:paraId="47BC67A0" w14:textId="77777777" w:rsidR="008B2FBE" w:rsidRPr="0056069E"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tcBorders>
              <w:top w:val="single" w:sz="12" w:space="0" w:color="auto"/>
            </w:tcBorders>
            <w:shd w:val="clear" w:color="auto" w:fill="auto"/>
            <w:vAlign w:val="bottom"/>
          </w:tcPr>
          <w:p w14:paraId="21E03094" w14:textId="77777777" w:rsidR="008B2FBE" w:rsidRPr="0056069E"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tcBorders>
              <w:top w:val="single" w:sz="12" w:space="0" w:color="auto"/>
            </w:tcBorders>
            <w:shd w:val="clear" w:color="auto" w:fill="auto"/>
            <w:vAlign w:val="bottom"/>
          </w:tcPr>
          <w:p w14:paraId="30B4743C" w14:textId="77777777" w:rsidR="008B2FBE" w:rsidRPr="0056069E"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tcBorders>
              <w:top w:val="single" w:sz="12" w:space="0" w:color="auto"/>
            </w:tcBorders>
            <w:shd w:val="clear" w:color="auto" w:fill="auto"/>
            <w:vAlign w:val="bottom"/>
          </w:tcPr>
          <w:p w14:paraId="15DBECCE" w14:textId="77777777" w:rsidR="008B2FBE" w:rsidRPr="0056069E"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p>
        </w:tc>
      </w:tr>
      <w:tr w:rsidR="008B2FBE" w:rsidRPr="003D1614" w14:paraId="66036000" w14:textId="77777777" w:rsidTr="00422DD5">
        <w:trPr>
          <w:trHeight w:hRule="exact" w:val="284"/>
        </w:trPr>
        <w:tc>
          <w:tcPr>
            <w:tcW w:w="1844" w:type="pct"/>
            <w:shd w:val="clear" w:color="auto" w:fill="auto"/>
            <w:vAlign w:val="bottom"/>
          </w:tcPr>
          <w:p w14:paraId="0B7B9082" w14:textId="77777777" w:rsidR="008B2FBE" w:rsidRPr="003D1614" w:rsidRDefault="008B2FBE" w:rsidP="00422DD5">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b/>
                <w:color w:val="000000" w:themeColor="text1"/>
                <w:sz w:val="18"/>
                <w:szCs w:val="18"/>
              </w:rPr>
              <w:t>Obveze</w:t>
            </w:r>
          </w:p>
        </w:tc>
        <w:tc>
          <w:tcPr>
            <w:tcW w:w="789" w:type="pct"/>
            <w:shd w:val="clear" w:color="auto" w:fill="auto"/>
            <w:vAlign w:val="bottom"/>
          </w:tcPr>
          <w:p w14:paraId="1E6375A3" w14:textId="77777777" w:rsidR="008B2FBE" w:rsidRPr="0056069E"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68A4C0B5" w14:textId="77777777" w:rsidR="008B2FBE" w:rsidRPr="003D1614"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1381DF6F" w14:textId="77777777" w:rsidR="008B2FBE" w:rsidRPr="0056069E"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78656C94" w14:textId="77777777" w:rsidR="008B2FBE" w:rsidRPr="003D1614"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p>
        </w:tc>
      </w:tr>
      <w:tr w:rsidR="008B2FBE" w:rsidRPr="003D1614" w14:paraId="351E92BC" w14:textId="77777777" w:rsidTr="00422DD5">
        <w:trPr>
          <w:trHeight w:hRule="exact" w:val="284"/>
        </w:trPr>
        <w:tc>
          <w:tcPr>
            <w:tcW w:w="1844" w:type="pct"/>
            <w:shd w:val="clear" w:color="auto" w:fill="auto"/>
            <w:vAlign w:val="bottom"/>
          </w:tcPr>
          <w:p w14:paraId="2A86D21E" w14:textId="77777777" w:rsidR="008B2FBE" w:rsidRPr="003D1614" w:rsidRDefault="008B2FBE" w:rsidP="00422DD5">
            <w:pPr>
              <w:tabs>
                <w:tab w:val="left" w:pos="-720"/>
              </w:tabs>
              <w:suppressAutoHyphens/>
              <w:autoSpaceDN w:val="0"/>
              <w:spacing w:line="240" w:lineRule="exact"/>
              <w:ind w:right="-6"/>
              <w:rPr>
                <w:rFonts w:ascii="Arial" w:eastAsia="Times New Roman" w:hAnsi="Arial" w:cs="Arial"/>
                <w:b/>
                <w:color w:val="000000" w:themeColor="text1"/>
                <w:sz w:val="18"/>
                <w:szCs w:val="18"/>
              </w:rPr>
            </w:pPr>
          </w:p>
        </w:tc>
        <w:tc>
          <w:tcPr>
            <w:tcW w:w="789" w:type="pct"/>
            <w:shd w:val="clear" w:color="auto" w:fill="auto"/>
            <w:vAlign w:val="bottom"/>
          </w:tcPr>
          <w:p w14:paraId="113794E1" w14:textId="77777777" w:rsidR="008B2FBE" w:rsidRPr="0056069E"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1C573643" w14:textId="77777777" w:rsidR="008B2FBE" w:rsidRPr="003D1614"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58C9567F" w14:textId="77777777" w:rsidR="008B2FBE" w:rsidRPr="0056069E"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p>
        </w:tc>
        <w:tc>
          <w:tcPr>
            <w:tcW w:w="789" w:type="pct"/>
            <w:shd w:val="clear" w:color="auto" w:fill="auto"/>
            <w:vAlign w:val="bottom"/>
          </w:tcPr>
          <w:p w14:paraId="3F081BC8" w14:textId="77777777" w:rsidR="008B2FBE" w:rsidRPr="003D1614"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p>
        </w:tc>
      </w:tr>
      <w:tr w:rsidR="008B2FBE" w:rsidRPr="003D1614" w14:paraId="230B1F39" w14:textId="77777777" w:rsidTr="00422DD5">
        <w:trPr>
          <w:trHeight w:hRule="exact" w:val="284"/>
        </w:trPr>
        <w:tc>
          <w:tcPr>
            <w:tcW w:w="1844" w:type="pct"/>
            <w:shd w:val="clear" w:color="auto" w:fill="auto"/>
            <w:vAlign w:val="bottom"/>
          </w:tcPr>
          <w:p w14:paraId="70F01048" w14:textId="77777777" w:rsidR="008B2FBE" w:rsidRPr="003D1614" w:rsidRDefault="008B2FBE" w:rsidP="00422DD5">
            <w:pPr>
              <w:tabs>
                <w:tab w:val="left" w:pos="-720"/>
              </w:tabs>
              <w:suppressAutoHyphens/>
              <w:autoSpaceDN w:val="0"/>
              <w:spacing w:line="240" w:lineRule="exact"/>
              <w:ind w:right="-6"/>
              <w:rPr>
                <w:rFonts w:ascii="Arial" w:eastAsia="Times New Roman" w:hAnsi="Arial" w:cs="Arial"/>
                <w:b/>
                <w:color w:val="000000" w:themeColor="text1"/>
                <w:sz w:val="18"/>
                <w:szCs w:val="18"/>
              </w:rPr>
            </w:pPr>
            <w:r w:rsidRPr="003D1614">
              <w:rPr>
                <w:rFonts w:ascii="Arial" w:eastAsia="Times New Roman" w:hAnsi="Arial" w:cs="Arial"/>
                <w:color w:val="000000" w:themeColor="text1"/>
                <w:sz w:val="18"/>
                <w:szCs w:val="18"/>
              </w:rPr>
              <w:t>Obveze uz fiksnu kamatnu stopu</w:t>
            </w:r>
          </w:p>
        </w:tc>
        <w:tc>
          <w:tcPr>
            <w:tcW w:w="789" w:type="pct"/>
            <w:tcBorders>
              <w:top w:val="nil"/>
              <w:left w:val="nil"/>
              <w:bottom w:val="nil"/>
              <w:right w:val="nil"/>
            </w:tcBorders>
            <w:shd w:val="clear" w:color="auto" w:fill="auto"/>
            <w:vAlign w:val="bottom"/>
          </w:tcPr>
          <w:p w14:paraId="44ADA021" w14:textId="77777777" w:rsidR="008B2FBE" w:rsidRPr="0056069E"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2.237.036</w:t>
            </w:r>
          </w:p>
        </w:tc>
        <w:tc>
          <w:tcPr>
            <w:tcW w:w="789" w:type="pct"/>
            <w:tcBorders>
              <w:top w:val="nil"/>
              <w:left w:val="nil"/>
              <w:bottom w:val="nil"/>
              <w:right w:val="nil"/>
            </w:tcBorders>
            <w:shd w:val="clear" w:color="auto" w:fill="auto"/>
            <w:vAlign w:val="bottom"/>
          </w:tcPr>
          <w:p w14:paraId="53E4E322" w14:textId="77777777" w:rsidR="008B2FBE" w:rsidRPr="003D1614"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r w:rsidRPr="00F959D0">
              <w:rPr>
                <w:rFonts w:ascii="Arial" w:hAnsi="Arial" w:cs="Arial"/>
                <w:sz w:val="18"/>
                <w:szCs w:val="18"/>
              </w:rPr>
              <w:t xml:space="preserve"> 2.276.224 </w:t>
            </w:r>
          </w:p>
        </w:tc>
        <w:tc>
          <w:tcPr>
            <w:tcW w:w="789" w:type="pct"/>
            <w:tcBorders>
              <w:top w:val="nil"/>
              <w:left w:val="nil"/>
              <w:bottom w:val="nil"/>
              <w:right w:val="nil"/>
            </w:tcBorders>
            <w:shd w:val="clear" w:color="auto" w:fill="auto"/>
            <w:vAlign w:val="bottom"/>
          </w:tcPr>
          <w:p w14:paraId="0EEA84B1" w14:textId="77777777" w:rsidR="008B2FBE" w:rsidRPr="0056069E"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2.237.036</w:t>
            </w:r>
          </w:p>
        </w:tc>
        <w:tc>
          <w:tcPr>
            <w:tcW w:w="789" w:type="pct"/>
            <w:tcBorders>
              <w:top w:val="nil"/>
              <w:left w:val="nil"/>
              <w:bottom w:val="nil"/>
              <w:right w:val="nil"/>
            </w:tcBorders>
            <w:shd w:val="clear" w:color="auto" w:fill="auto"/>
            <w:vAlign w:val="bottom"/>
          </w:tcPr>
          <w:p w14:paraId="55F13F02" w14:textId="77777777" w:rsidR="008B2FBE" w:rsidRPr="003D1614"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r w:rsidRPr="00F959D0">
              <w:rPr>
                <w:rFonts w:ascii="Arial" w:hAnsi="Arial" w:cs="Arial"/>
                <w:sz w:val="18"/>
                <w:szCs w:val="18"/>
              </w:rPr>
              <w:t>2.276.224</w:t>
            </w:r>
          </w:p>
        </w:tc>
      </w:tr>
      <w:tr w:rsidR="008B2FBE" w:rsidRPr="003D1614" w14:paraId="7B4DBE56" w14:textId="77777777" w:rsidTr="00422DD5">
        <w:trPr>
          <w:trHeight w:hRule="exact" w:val="284"/>
        </w:trPr>
        <w:tc>
          <w:tcPr>
            <w:tcW w:w="1844" w:type="pct"/>
            <w:shd w:val="clear" w:color="auto" w:fill="auto"/>
            <w:vAlign w:val="bottom"/>
          </w:tcPr>
          <w:p w14:paraId="7CB98BF8" w14:textId="77777777" w:rsidR="008B2FBE" w:rsidRPr="003D1614" w:rsidRDefault="008B2FBE" w:rsidP="00422DD5">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Obveze uz varijabilnu kamatnu stopu</w:t>
            </w:r>
          </w:p>
        </w:tc>
        <w:tc>
          <w:tcPr>
            <w:tcW w:w="789" w:type="pct"/>
            <w:tcBorders>
              <w:top w:val="nil"/>
              <w:left w:val="nil"/>
              <w:bottom w:val="nil"/>
              <w:right w:val="nil"/>
            </w:tcBorders>
            <w:shd w:val="clear" w:color="auto" w:fill="auto"/>
            <w:vAlign w:val="bottom"/>
          </w:tcPr>
          <w:p w14:paraId="753BA71F" w14:textId="77777777" w:rsidR="008B2FBE" w:rsidRPr="0056069E"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60.224</w:t>
            </w:r>
          </w:p>
        </w:tc>
        <w:tc>
          <w:tcPr>
            <w:tcW w:w="789" w:type="pct"/>
            <w:tcBorders>
              <w:top w:val="nil"/>
              <w:left w:val="nil"/>
              <w:bottom w:val="nil"/>
              <w:right w:val="nil"/>
            </w:tcBorders>
            <w:shd w:val="clear" w:color="auto" w:fill="auto"/>
            <w:vAlign w:val="bottom"/>
          </w:tcPr>
          <w:p w14:paraId="0C873E2F" w14:textId="77777777" w:rsidR="008B2FBE" w:rsidRPr="003D1614"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r w:rsidRPr="00F959D0">
              <w:rPr>
                <w:rFonts w:ascii="Arial" w:hAnsi="Arial" w:cs="Arial"/>
                <w:sz w:val="18"/>
                <w:szCs w:val="18"/>
              </w:rPr>
              <w:t>46.932</w:t>
            </w:r>
          </w:p>
        </w:tc>
        <w:tc>
          <w:tcPr>
            <w:tcW w:w="789" w:type="pct"/>
            <w:tcBorders>
              <w:top w:val="nil"/>
              <w:left w:val="nil"/>
              <w:bottom w:val="nil"/>
              <w:right w:val="nil"/>
            </w:tcBorders>
            <w:shd w:val="clear" w:color="auto" w:fill="auto"/>
            <w:vAlign w:val="bottom"/>
          </w:tcPr>
          <w:p w14:paraId="3B695689" w14:textId="77777777" w:rsidR="008B2FBE" w:rsidRPr="0056069E"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60.224</w:t>
            </w:r>
          </w:p>
        </w:tc>
        <w:tc>
          <w:tcPr>
            <w:tcW w:w="789" w:type="pct"/>
            <w:tcBorders>
              <w:top w:val="nil"/>
              <w:left w:val="nil"/>
              <w:bottom w:val="nil"/>
              <w:right w:val="nil"/>
            </w:tcBorders>
            <w:shd w:val="clear" w:color="auto" w:fill="auto"/>
            <w:vAlign w:val="bottom"/>
          </w:tcPr>
          <w:p w14:paraId="532987DB" w14:textId="77777777" w:rsidR="008B2FBE" w:rsidRPr="003D1614"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r w:rsidRPr="00F959D0">
              <w:rPr>
                <w:rFonts w:ascii="Arial" w:hAnsi="Arial" w:cs="Arial"/>
                <w:sz w:val="18"/>
                <w:szCs w:val="18"/>
              </w:rPr>
              <w:t>46.932</w:t>
            </w:r>
          </w:p>
        </w:tc>
      </w:tr>
      <w:tr w:rsidR="008B2FBE" w:rsidRPr="003D1614" w14:paraId="5F845885" w14:textId="77777777" w:rsidTr="00422DD5">
        <w:trPr>
          <w:trHeight w:hRule="exact" w:val="284"/>
        </w:trPr>
        <w:tc>
          <w:tcPr>
            <w:tcW w:w="1844" w:type="pct"/>
            <w:shd w:val="clear" w:color="auto" w:fill="auto"/>
            <w:vAlign w:val="bottom"/>
          </w:tcPr>
          <w:p w14:paraId="708BEB04" w14:textId="77777777" w:rsidR="008B2FBE" w:rsidRPr="003D1614" w:rsidRDefault="008B2FBE" w:rsidP="00422DD5">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Beskamatno</w:t>
            </w:r>
          </w:p>
        </w:tc>
        <w:tc>
          <w:tcPr>
            <w:tcW w:w="789" w:type="pct"/>
            <w:tcBorders>
              <w:top w:val="nil"/>
              <w:left w:val="nil"/>
              <w:bottom w:val="single" w:sz="4" w:space="0" w:color="auto"/>
              <w:right w:val="nil"/>
            </w:tcBorders>
            <w:shd w:val="clear" w:color="auto" w:fill="auto"/>
            <w:vAlign w:val="bottom"/>
          </w:tcPr>
          <w:p w14:paraId="42C3E95F" w14:textId="77777777" w:rsidR="008B2FBE" w:rsidRPr="0056069E"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225.322</w:t>
            </w:r>
          </w:p>
        </w:tc>
        <w:tc>
          <w:tcPr>
            <w:tcW w:w="789" w:type="pct"/>
            <w:tcBorders>
              <w:top w:val="nil"/>
              <w:left w:val="nil"/>
              <w:bottom w:val="single" w:sz="4" w:space="0" w:color="auto"/>
              <w:right w:val="nil"/>
            </w:tcBorders>
            <w:shd w:val="clear" w:color="auto" w:fill="auto"/>
            <w:vAlign w:val="bottom"/>
          </w:tcPr>
          <w:p w14:paraId="70DCB128" w14:textId="77777777" w:rsidR="008B2FBE" w:rsidRPr="003D1614"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r w:rsidRPr="00F959D0">
              <w:rPr>
                <w:rFonts w:ascii="Arial" w:hAnsi="Arial" w:cs="Arial"/>
                <w:sz w:val="18"/>
                <w:szCs w:val="18"/>
              </w:rPr>
              <w:t xml:space="preserve"> 240.501 </w:t>
            </w:r>
          </w:p>
        </w:tc>
        <w:tc>
          <w:tcPr>
            <w:tcW w:w="789" w:type="pct"/>
            <w:tcBorders>
              <w:top w:val="nil"/>
              <w:left w:val="nil"/>
              <w:bottom w:val="single" w:sz="4" w:space="0" w:color="auto"/>
              <w:right w:val="nil"/>
            </w:tcBorders>
            <w:shd w:val="clear" w:color="auto" w:fill="auto"/>
            <w:vAlign w:val="bottom"/>
          </w:tcPr>
          <w:p w14:paraId="5D854EF4" w14:textId="77777777" w:rsidR="008B2FBE" w:rsidRPr="0056069E"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222.827</w:t>
            </w:r>
          </w:p>
        </w:tc>
        <w:tc>
          <w:tcPr>
            <w:tcW w:w="789" w:type="pct"/>
            <w:tcBorders>
              <w:top w:val="nil"/>
              <w:left w:val="nil"/>
              <w:bottom w:val="single" w:sz="4" w:space="0" w:color="auto"/>
              <w:right w:val="nil"/>
            </w:tcBorders>
            <w:shd w:val="clear" w:color="auto" w:fill="auto"/>
            <w:vAlign w:val="bottom"/>
          </w:tcPr>
          <w:p w14:paraId="5E32D78E" w14:textId="77777777" w:rsidR="008B2FBE" w:rsidRPr="003D1614"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r w:rsidRPr="00F959D0">
              <w:rPr>
                <w:rFonts w:ascii="Arial" w:hAnsi="Arial" w:cs="Arial"/>
                <w:sz w:val="18"/>
                <w:szCs w:val="18"/>
              </w:rPr>
              <w:t>238.005</w:t>
            </w:r>
          </w:p>
        </w:tc>
      </w:tr>
      <w:tr w:rsidR="008B2FBE" w:rsidRPr="003D1614" w14:paraId="7CDBF8CF" w14:textId="77777777" w:rsidTr="00422DD5">
        <w:trPr>
          <w:trHeight w:hRule="exact" w:val="397"/>
        </w:trPr>
        <w:tc>
          <w:tcPr>
            <w:tcW w:w="1844" w:type="pct"/>
            <w:shd w:val="clear" w:color="auto" w:fill="auto"/>
            <w:vAlign w:val="bottom"/>
          </w:tcPr>
          <w:p w14:paraId="7344E2C5" w14:textId="77777777" w:rsidR="008B2FBE" w:rsidRPr="003D1614" w:rsidRDefault="008B2FBE" w:rsidP="00422DD5">
            <w:pPr>
              <w:tabs>
                <w:tab w:val="left" w:pos="-720"/>
              </w:tabs>
              <w:suppressAutoHyphens/>
              <w:autoSpaceDN w:val="0"/>
              <w:spacing w:line="240" w:lineRule="exact"/>
              <w:ind w:right="-6"/>
              <w:rPr>
                <w:rFonts w:ascii="Arial" w:eastAsia="Times New Roman" w:hAnsi="Arial" w:cs="Arial"/>
                <w:color w:val="000000" w:themeColor="text1"/>
                <w:sz w:val="18"/>
                <w:szCs w:val="18"/>
              </w:rPr>
            </w:pPr>
            <w:r w:rsidRPr="003D1614">
              <w:rPr>
                <w:rFonts w:ascii="Arial" w:eastAsia="Times New Roman" w:hAnsi="Arial" w:cs="Arial"/>
                <w:b/>
                <w:color w:val="000000" w:themeColor="text1"/>
                <w:sz w:val="18"/>
                <w:szCs w:val="18"/>
              </w:rPr>
              <w:t>Ukupne obveze</w:t>
            </w:r>
          </w:p>
        </w:tc>
        <w:tc>
          <w:tcPr>
            <w:tcW w:w="789" w:type="pct"/>
            <w:tcBorders>
              <w:top w:val="single" w:sz="4" w:space="0" w:color="auto"/>
              <w:left w:val="nil"/>
              <w:bottom w:val="single" w:sz="12" w:space="0" w:color="auto"/>
              <w:right w:val="nil"/>
            </w:tcBorders>
            <w:shd w:val="clear" w:color="auto" w:fill="auto"/>
            <w:vAlign w:val="bottom"/>
          </w:tcPr>
          <w:p w14:paraId="34BC9475" w14:textId="77777777" w:rsidR="008B2FBE" w:rsidRPr="0056069E" w:rsidRDefault="008B2FBE" w:rsidP="00422DD5">
            <w:pPr>
              <w:tabs>
                <w:tab w:val="left" w:pos="-720"/>
              </w:tabs>
              <w:suppressAutoHyphens/>
              <w:autoSpaceDN w:val="0"/>
              <w:ind w:right="-5"/>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2.522.582</w:t>
            </w:r>
          </w:p>
        </w:tc>
        <w:tc>
          <w:tcPr>
            <w:tcW w:w="789" w:type="pct"/>
            <w:tcBorders>
              <w:top w:val="single" w:sz="4" w:space="0" w:color="auto"/>
              <w:left w:val="nil"/>
              <w:bottom w:val="single" w:sz="12" w:space="0" w:color="auto"/>
              <w:right w:val="nil"/>
            </w:tcBorders>
            <w:shd w:val="clear" w:color="auto" w:fill="auto"/>
            <w:vAlign w:val="bottom"/>
          </w:tcPr>
          <w:p w14:paraId="41980DC4" w14:textId="77777777" w:rsidR="008B2FBE" w:rsidRPr="0056069E" w:rsidRDefault="008B2FBE" w:rsidP="00422DD5">
            <w:pPr>
              <w:tabs>
                <w:tab w:val="left" w:pos="-720"/>
              </w:tabs>
              <w:suppressAutoHyphens/>
              <w:autoSpaceDN w:val="0"/>
              <w:ind w:right="-5"/>
              <w:jc w:val="right"/>
              <w:rPr>
                <w:rFonts w:ascii="Arial" w:eastAsia="Times New Roman" w:hAnsi="Arial" w:cs="Arial"/>
                <w:b/>
                <w:bCs/>
                <w:color w:val="000000" w:themeColor="text1"/>
                <w:sz w:val="18"/>
                <w:szCs w:val="18"/>
              </w:rPr>
            </w:pPr>
            <w:r w:rsidRPr="00B4232F">
              <w:rPr>
                <w:rFonts w:ascii="Arial" w:hAnsi="Arial" w:cs="Arial"/>
                <w:b/>
                <w:bCs/>
                <w:color w:val="000000"/>
                <w:sz w:val="18"/>
                <w:szCs w:val="18"/>
              </w:rPr>
              <w:t>2.563.657</w:t>
            </w:r>
          </w:p>
        </w:tc>
        <w:tc>
          <w:tcPr>
            <w:tcW w:w="789" w:type="pct"/>
            <w:tcBorders>
              <w:top w:val="single" w:sz="4" w:space="0" w:color="auto"/>
              <w:left w:val="nil"/>
              <w:bottom w:val="single" w:sz="12" w:space="0" w:color="auto"/>
              <w:right w:val="nil"/>
            </w:tcBorders>
            <w:shd w:val="clear" w:color="auto" w:fill="auto"/>
            <w:vAlign w:val="bottom"/>
          </w:tcPr>
          <w:p w14:paraId="0154FA10" w14:textId="77777777" w:rsidR="008B2FBE" w:rsidRPr="0056069E" w:rsidRDefault="008B2FBE" w:rsidP="00422DD5">
            <w:pPr>
              <w:tabs>
                <w:tab w:val="left" w:pos="-720"/>
              </w:tabs>
              <w:suppressAutoHyphens/>
              <w:autoSpaceDN w:val="0"/>
              <w:ind w:right="-5"/>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2.520.087</w:t>
            </w:r>
          </w:p>
        </w:tc>
        <w:tc>
          <w:tcPr>
            <w:tcW w:w="789" w:type="pct"/>
            <w:tcBorders>
              <w:top w:val="single" w:sz="4" w:space="0" w:color="auto"/>
              <w:left w:val="nil"/>
              <w:bottom w:val="single" w:sz="12" w:space="0" w:color="auto"/>
              <w:right w:val="nil"/>
            </w:tcBorders>
            <w:shd w:val="clear" w:color="auto" w:fill="auto"/>
            <w:vAlign w:val="bottom"/>
          </w:tcPr>
          <w:p w14:paraId="3409F3D5" w14:textId="77777777" w:rsidR="008B2FBE" w:rsidRPr="0056069E" w:rsidRDefault="008B2FBE" w:rsidP="00422DD5">
            <w:pPr>
              <w:tabs>
                <w:tab w:val="left" w:pos="-720"/>
              </w:tabs>
              <w:suppressAutoHyphens/>
              <w:autoSpaceDN w:val="0"/>
              <w:ind w:right="-5"/>
              <w:jc w:val="right"/>
              <w:rPr>
                <w:rFonts w:ascii="Arial" w:eastAsia="Times New Roman" w:hAnsi="Arial" w:cs="Arial"/>
                <w:color w:val="000000" w:themeColor="text1"/>
                <w:sz w:val="18"/>
                <w:szCs w:val="18"/>
              </w:rPr>
            </w:pPr>
            <w:r w:rsidRPr="00F959D0">
              <w:rPr>
                <w:rFonts w:ascii="Arial" w:hAnsi="Arial" w:cs="Arial"/>
                <w:b/>
                <w:bCs/>
                <w:sz w:val="18"/>
                <w:szCs w:val="18"/>
              </w:rPr>
              <w:t>2.561.161</w:t>
            </w:r>
          </w:p>
        </w:tc>
      </w:tr>
    </w:tbl>
    <w:p w14:paraId="634355E4" w14:textId="77777777" w:rsidR="008B2FBE" w:rsidRPr="003D1614" w:rsidRDefault="008B2FBE" w:rsidP="009243A8">
      <w:pPr>
        <w:tabs>
          <w:tab w:val="left" w:pos="-720"/>
        </w:tabs>
        <w:suppressAutoHyphens/>
        <w:autoSpaceDN w:val="0"/>
        <w:ind w:right="-6"/>
        <w:jc w:val="both"/>
        <w:rPr>
          <w:rFonts w:ascii="Arial" w:eastAsia="Times New Roman" w:hAnsi="Arial" w:cs="Arial"/>
          <w:color w:val="000000" w:themeColor="text1"/>
          <w:sz w:val="20"/>
          <w:szCs w:val="20"/>
        </w:rPr>
      </w:pPr>
    </w:p>
    <w:p w14:paraId="7C902E6B" w14:textId="77777777" w:rsidR="009243A8" w:rsidRPr="003D1614" w:rsidRDefault="009243A8" w:rsidP="009243A8">
      <w:pPr>
        <w:tabs>
          <w:tab w:val="left" w:pos="-720"/>
        </w:tabs>
        <w:suppressAutoHyphens/>
        <w:autoSpaceDN w:val="0"/>
        <w:spacing w:line="300" w:lineRule="exact"/>
        <w:ind w:right="-6"/>
        <w:jc w:val="both"/>
        <w:rPr>
          <w:rFonts w:ascii="Arial" w:eastAsia="Times New Roman" w:hAnsi="Arial" w:cs="Arial"/>
          <w:color w:val="000000" w:themeColor="text1"/>
          <w:sz w:val="20"/>
          <w:szCs w:val="20"/>
        </w:rPr>
      </w:pPr>
    </w:p>
    <w:p w14:paraId="42043A0F" w14:textId="4FDA82D4" w:rsidR="000C7E59" w:rsidRPr="003D1614" w:rsidRDefault="000C7E59" w:rsidP="00661446">
      <w:pPr>
        <w:suppressAutoHyphens/>
        <w:autoSpaceDN w:val="0"/>
        <w:jc w:val="both"/>
        <w:rPr>
          <w:rFonts w:ascii="Arial" w:eastAsia="Times New Roman" w:hAnsi="Arial" w:cs="Arial"/>
          <w:bCs/>
          <w:i/>
          <w:color w:val="000000" w:themeColor="text1"/>
          <w:sz w:val="18"/>
          <w:szCs w:val="18"/>
        </w:rPr>
      </w:pPr>
    </w:p>
    <w:p w14:paraId="0CD9E838" w14:textId="1EAE60B9" w:rsidR="009243A8" w:rsidRPr="003D1614" w:rsidRDefault="009243A8" w:rsidP="00661446">
      <w:pPr>
        <w:suppressAutoHyphens/>
        <w:autoSpaceDN w:val="0"/>
        <w:jc w:val="both"/>
        <w:rPr>
          <w:rFonts w:ascii="Arial" w:eastAsia="Times New Roman" w:hAnsi="Arial" w:cs="Arial"/>
          <w:bCs/>
          <w:i/>
          <w:color w:val="000000" w:themeColor="text1"/>
          <w:sz w:val="18"/>
          <w:szCs w:val="18"/>
        </w:rPr>
      </w:pPr>
    </w:p>
    <w:p w14:paraId="6C76C971" w14:textId="77777777" w:rsidR="009243A8" w:rsidRPr="003D1614" w:rsidRDefault="009243A8" w:rsidP="00661446">
      <w:pPr>
        <w:suppressAutoHyphens/>
        <w:autoSpaceDN w:val="0"/>
        <w:jc w:val="both"/>
        <w:rPr>
          <w:rFonts w:ascii="Arial" w:eastAsia="Times New Roman" w:hAnsi="Arial" w:cs="Arial"/>
          <w:bCs/>
          <w:i/>
          <w:color w:val="000000" w:themeColor="text1"/>
          <w:sz w:val="18"/>
          <w:szCs w:val="18"/>
        </w:rPr>
        <w:sectPr w:rsidR="009243A8" w:rsidRPr="003D1614" w:rsidSect="003278AB">
          <w:pgSz w:w="11906" w:h="16838"/>
          <w:pgMar w:top="1417" w:right="1417" w:bottom="1417" w:left="1417" w:header="708" w:footer="708" w:gutter="0"/>
          <w:cols w:space="708"/>
          <w:docGrid w:linePitch="360"/>
        </w:sectPr>
      </w:pPr>
    </w:p>
    <w:p w14:paraId="1B07E43E" w14:textId="7777777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p>
    <w:p w14:paraId="18CBE136" w14:textId="08DE5C7A"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608BA16B" w14:textId="7777777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p>
    <w:p w14:paraId="67BC66AD" w14:textId="546FE06D"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41BBEEC3" w14:textId="7777777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p>
    <w:p w14:paraId="61C3889A" w14:textId="4E476917" w:rsidR="009243A8" w:rsidRPr="003D1614" w:rsidRDefault="009243A8" w:rsidP="009243A8">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.5.1.  Kamatni rizik (nastavak)</w:t>
      </w:r>
    </w:p>
    <w:p w14:paraId="255C6D04" w14:textId="77777777" w:rsidR="009243A8" w:rsidRPr="003D1614" w:rsidRDefault="009243A8" w:rsidP="009243A8">
      <w:pPr>
        <w:suppressAutoHyphens/>
        <w:autoSpaceDN w:val="0"/>
        <w:jc w:val="both"/>
        <w:rPr>
          <w:rFonts w:ascii="Arial" w:eastAsia="Times New Roman" w:hAnsi="Arial" w:cs="Arial"/>
          <w:b/>
          <w:bCs/>
          <w:color w:val="000000" w:themeColor="text1"/>
          <w:sz w:val="20"/>
          <w:szCs w:val="20"/>
        </w:rPr>
      </w:pPr>
    </w:p>
    <w:p w14:paraId="65CEE999" w14:textId="77777777" w:rsidR="009243A8" w:rsidRPr="003D1614" w:rsidRDefault="009243A8" w:rsidP="009243A8">
      <w:pPr>
        <w:suppressAutoHyphens/>
        <w:autoSpaceDN w:val="0"/>
        <w:jc w:val="both"/>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Analiza osjetljivosti</w:t>
      </w:r>
    </w:p>
    <w:p w14:paraId="4DE486CC" w14:textId="77777777" w:rsidR="009243A8" w:rsidRPr="003D1614" w:rsidRDefault="009243A8" w:rsidP="009243A8">
      <w:pPr>
        <w:keepNext/>
        <w:suppressAutoHyphens/>
        <w:autoSpaceDN w:val="0"/>
        <w:jc w:val="both"/>
        <w:rPr>
          <w:rFonts w:ascii="Arial" w:eastAsia="Times New Roman" w:hAnsi="Arial" w:cs="Arial"/>
          <w:color w:val="000000" w:themeColor="text1"/>
          <w:sz w:val="20"/>
          <w:szCs w:val="20"/>
        </w:rPr>
      </w:pPr>
    </w:p>
    <w:p w14:paraId="53140F62" w14:textId="77777777" w:rsidR="009243A8" w:rsidRPr="003D1614" w:rsidRDefault="009243A8" w:rsidP="009243A8">
      <w:pPr>
        <w:keepNext/>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Postavke korištene u izradi analize osjetljivosti za kamatni rizik vezane su uz moguće promjene referentnih kamatnih stopa radi procjene hipotetskog utjecaja na dobit HBOR-a.</w:t>
      </w:r>
    </w:p>
    <w:p w14:paraId="439F032F" w14:textId="77777777" w:rsidR="009243A8" w:rsidRPr="003D1614" w:rsidRDefault="009243A8" w:rsidP="009243A8">
      <w:pPr>
        <w:keepNext/>
        <w:suppressAutoHyphens/>
        <w:autoSpaceDN w:val="0"/>
        <w:jc w:val="both"/>
        <w:rPr>
          <w:rFonts w:ascii="Arial" w:eastAsia="Times New Roman" w:hAnsi="Arial" w:cs="Arial"/>
          <w:color w:val="000000" w:themeColor="text1"/>
          <w:sz w:val="20"/>
          <w:szCs w:val="20"/>
        </w:rPr>
      </w:pPr>
    </w:p>
    <w:p w14:paraId="201868C2" w14:textId="6637A08D" w:rsidR="009243A8" w:rsidRDefault="00C55B0C" w:rsidP="009243A8">
      <w:pPr>
        <w:keepNext/>
        <w:suppressAutoHyphens/>
        <w:autoSpaceDN w:val="0"/>
        <w:jc w:val="both"/>
        <w:rPr>
          <w:rFonts w:ascii="Arial" w:eastAsia="Times New Roman" w:hAnsi="Arial" w:cs="Arial"/>
          <w:color w:val="000000" w:themeColor="text1"/>
          <w:sz w:val="20"/>
          <w:szCs w:val="20"/>
        </w:rPr>
      </w:pPr>
      <w:r w:rsidRPr="00C55B0C">
        <w:rPr>
          <w:rFonts w:ascii="Arial" w:eastAsia="Times New Roman" w:hAnsi="Arial" w:cs="Arial"/>
          <w:color w:val="000000" w:themeColor="text1"/>
          <w:sz w:val="20"/>
          <w:szCs w:val="20"/>
        </w:rPr>
        <w:t>Primjenom metode standardne devijacije na dnevne promjene referentnih kamatnih stopa vezanih uz EUR i USD utvrđena je volatilnost navedenih stopa u razdoblju od prethodnih 12 mjeseci u odnosu na izvještajni datum. Temeljem ovih volatilnosti utvrđene su veličine mogućih promjena referentnih kamatnih stopa vezanih uz EUR i USD koje su primijenjene u analizi osjetljivosti</w:t>
      </w:r>
    </w:p>
    <w:p w14:paraId="7F1720E7" w14:textId="77777777" w:rsidR="00C55B0C" w:rsidRPr="003D1614" w:rsidRDefault="00C55B0C" w:rsidP="009243A8">
      <w:pPr>
        <w:keepNext/>
        <w:suppressAutoHyphens/>
        <w:autoSpaceDN w:val="0"/>
        <w:jc w:val="both"/>
        <w:rPr>
          <w:rFonts w:ascii="Arial" w:eastAsia="Times New Roman" w:hAnsi="Arial" w:cs="Arial"/>
          <w:bCs/>
          <w:color w:val="000000" w:themeColor="text1"/>
          <w:sz w:val="20"/>
          <w:szCs w:val="20"/>
        </w:rPr>
      </w:pPr>
    </w:p>
    <w:p w14:paraId="6377A40E" w14:textId="77777777" w:rsidR="009243A8" w:rsidRPr="003D1614" w:rsidRDefault="009243A8" w:rsidP="009243A8">
      <w:pPr>
        <w:keepNext/>
        <w:suppressAutoHyphens/>
        <w:autoSpaceDN w:val="0"/>
        <w:jc w:val="both"/>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Analiza prikazuje osjetljivost na razumno očekivane promjene bazičnih bodova promjenjivih kamatnih stopa. Sve ostale varijable ostaju nepromijenjene.</w:t>
      </w:r>
    </w:p>
    <w:p w14:paraId="7FDD9528" w14:textId="77777777" w:rsidR="009243A8" w:rsidRPr="003D1614" w:rsidRDefault="009243A8" w:rsidP="009243A8">
      <w:pPr>
        <w:keepNext/>
        <w:suppressAutoHyphens/>
        <w:autoSpaceDN w:val="0"/>
        <w:jc w:val="both"/>
        <w:rPr>
          <w:rFonts w:ascii="Arial" w:eastAsia="Times New Roman" w:hAnsi="Arial" w:cs="Arial"/>
          <w:bCs/>
          <w:color w:val="000000" w:themeColor="text1"/>
          <w:sz w:val="20"/>
          <w:szCs w:val="20"/>
        </w:rPr>
      </w:pPr>
    </w:p>
    <w:p w14:paraId="72B02B32" w14:textId="77777777" w:rsidR="009243A8" w:rsidRPr="003D1614" w:rsidRDefault="009243A8" w:rsidP="009243A8">
      <w:pPr>
        <w:keepNext/>
        <w:suppressAutoHyphens/>
        <w:autoSpaceDN w:val="0"/>
        <w:jc w:val="both"/>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Osjetljivost dobiti je pod utjecajem pretpostavljenih promjena u kamatnim stopama u razdoblju od godine dana, bazirano na </w:t>
      </w:r>
      <w:proofErr w:type="spellStart"/>
      <w:r w:rsidRPr="003D1614">
        <w:rPr>
          <w:rFonts w:ascii="Arial" w:eastAsia="Times New Roman" w:hAnsi="Arial" w:cs="Arial"/>
          <w:bCs/>
          <w:color w:val="000000" w:themeColor="text1"/>
          <w:sz w:val="20"/>
          <w:szCs w:val="20"/>
        </w:rPr>
        <w:t>kamatonosnoj</w:t>
      </w:r>
      <w:proofErr w:type="spellEnd"/>
      <w:r w:rsidRPr="003D1614">
        <w:rPr>
          <w:rFonts w:ascii="Arial" w:eastAsia="Times New Roman" w:hAnsi="Arial" w:cs="Arial"/>
          <w:bCs/>
          <w:color w:val="000000" w:themeColor="text1"/>
          <w:sz w:val="20"/>
          <w:szCs w:val="20"/>
        </w:rPr>
        <w:t xml:space="preserve"> imovini i obvezama uz promjenjivu kamatnu stopu.</w:t>
      </w:r>
    </w:p>
    <w:p w14:paraId="6B760D2E" w14:textId="77777777" w:rsidR="009243A8" w:rsidRPr="003D1614" w:rsidRDefault="009243A8" w:rsidP="009243A8">
      <w:pPr>
        <w:keepNext/>
        <w:suppressAutoHyphens/>
        <w:autoSpaceDN w:val="0"/>
        <w:jc w:val="both"/>
        <w:rPr>
          <w:rFonts w:ascii="Arial" w:eastAsia="Times New Roman" w:hAnsi="Arial" w:cs="Arial"/>
          <w:bCs/>
          <w:color w:val="000000" w:themeColor="text1"/>
          <w:sz w:val="20"/>
          <w:szCs w:val="20"/>
        </w:rPr>
      </w:pPr>
    </w:p>
    <w:p w14:paraId="2AE48CD5" w14:textId="77777777" w:rsidR="009243A8" w:rsidRPr="003D1614" w:rsidRDefault="009243A8" w:rsidP="009243A8">
      <w:pPr>
        <w:keepNext/>
        <w:suppressAutoHyphens/>
        <w:autoSpaceDN w:val="0"/>
        <w:jc w:val="both"/>
        <w:rPr>
          <w:rFonts w:ascii="Arial" w:eastAsia="Times New Roman" w:hAnsi="Arial" w:cs="Arial"/>
          <w:bCs/>
          <w:color w:val="000000" w:themeColor="text1"/>
          <w:sz w:val="20"/>
          <w:szCs w:val="20"/>
        </w:rPr>
      </w:pPr>
    </w:p>
    <w:tbl>
      <w:tblPr>
        <w:tblW w:w="5001" w:type="pct"/>
        <w:jc w:val="center"/>
        <w:tblLook w:val="01E0" w:firstRow="1" w:lastRow="1" w:firstColumn="1" w:lastColumn="1" w:noHBand="0" w:noVBand="0"/>
      </w:tblPr>
      <w:tblGrid>
        <w:gridCol w:w="2340"/>
        <w:gridCol w:w="1683"/>
        <w:gridCol w:w="1683"/>
        <w:gridCol w:w="1682"/>
        <w:gridCol w:w="1686"/>
      </w:tblGrid>
      <w:tr w:rsidR="009243A8" w:rsidRPr="003D1614" w14:paraId="126058EC" w14:textId="77777777" w:rsidTr="00BC10BC">
        <w:trPr>
          <w:trHeight w:hRule="exact" w:val="814"/>
          <w:jc w:val="center"/>
        </w:trPr>
        <w:tc>
          <w:tcPr>
            <w:tcW w:w="1289" w:type="pct"/>
            <w:shd w:val="clear" w:color="auto" w:fill="auto"/>
          </w:tcPr>
          <w:p w14:paraId="1CFB893E" w14:textId="77777777" w:rsidR="009243A8" w:rsidRPr="003D1614" w:rsidRDefault="009243A8" w:rsidP="009243A8">
            <w:pPr>
              <w:suppressAutoHyphens/>
              <w:autoSpaceDN w:val="0"/>
              <w:spacing w:before="240" w:after="120" w:line="360" w:lineRule="auto"/>
              <w:rPr>
                <w:rFonts w:ascii="Arial" w:eastAsia="Times New Roman" w:hAnsi="Arial" w:cs="Arial"/>
                <w:bCs/>
                <w:color w:val="000000" w:themeColor="text1"/>
                <w:sz w:val="18"/>
                <w:szCs w:val="18"/>
              </w:rPr>
            </w:pPr>
            <w:r w:rsidRPr="003D1614">
              <w:rPr>
                <w:rFonts w:ascii="Arial" w:eastAsia="Times New Roman" w:hAnsi="Arial" w:cs="Arial"/>
                <w:b/>
                <w:bCs/>
                <w:color w:val="000000" w:themeColor="text1"/>
                <w:sz w:val="18"/>
                <w:szCs w:val="18"/>
              </w:rPr>
              <w:t>Valuta</w:t>
            </w:r>
          </w:p>
        </w:tc>
        <w:tc>
          <w:tcPr>
            <w:tcW w:w="927" w:type="pct"/>
            <w:shd w:val="clear" w:color="auto" w:fill="auto"/>
          </w:tcPr>
          <w:p w14:paraId="78CCDC66"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Povećanje bazičnih bodova </w:t>
            </w:r>
          </w:p>
          <w:p w14:paraId="66301CD4" w14:textId="3449B00B"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31.3.202</w:t>
            </w:r>
            <w:r w:rsidR="00A62051">
              <w:rPr>
                <w:rFonts w:ascii="Arial" w:eastAsia="Times New Roman" w:hAnsi="Arial" w:cs="Arial"/>
                <w:b/>
                <w:bCs/>
                <w:color w:val="000000" w:themeColor="text1"/>
                <w:sz w:val="18"/>
                <w:szCs w:val="18"/>
              </w:rPr>
              <w:t>4</w:t>
            </w:r>
            <w:r w:rsidRPr="003D1614">
              <w:rPr>
                <w:rFonts w:ascii="Arial" w:eastAsia="Times New Roman" w:hAnsi="Arial" w:cs="Arial"/>
                <w:b/>
                <w:bCs/>
                <w:color w:val="000000" w:themeColor="text1"/>
                <w:sz w:val="18"/>
                <w:szCs w:val="18"/>
              </w:rPr>
              <w:t>.</w:t>
            </w:r>
          </w:p>
        </w:tc>
        <w:tc>
          <w:tcPr>
            <w:tcW w:w="927" w:type="pct"/>
            <w:shd w:val="clear" w:color="auto" w:fill="auto"/>
          </w:tcPr>
          <w:p w14:paraId="5ECEE0E2"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Utjecaj </w:t>
            </w:r>
          </w:p>
          <w:p w14:paraId="41961F35"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na dobit</w:t>
            </w:r>
          </w:p>
          <w:p w14:paraId="37381DAE" w14:textId="582AD80A"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31.3.202</w:t>
            </w:r>
            <w:r w:rsidR="00A62051">
              <w:rPr>
                <w:rFonts w:ascii="Arial" w:eastAsia="Times New Roman" w:hAnsi="Arial" w:cs="Arial"/>
                <w:b/>
                <w:bCs/>
                <w:color w:val="000000" w:themeColor="text1"/>
                <w:sz w:val="18"/>
                <w:szCs w:val="18"/>
              </w:rPr>
              <w:t>4</w:t>
            </w:r>
            <w:r w:rsidRPr="003D1614">
              <w:rPr>
                <w:rFonts w:ascii="Arial" w:eastAsia="Times New Roman" w:hAnsi="Arial" w:cs="Arial"/>
                <w:b/>
                <w:bCs/>
                <w:color w:val="000000" w:themeColor="text1"/>
                <w:sz w:val="18"/>
                <w:szCs w:val="18"/>
              </w:rPr>
              <w:t>.</w:t>
            </w:r>
          </w:p>
        </w:tc>
        <w:tc>
          <w:tcPr>
            <w:tcW w:w="927" w:type="pct"/>
            <w:shd w:val="clear" w:color="auto" w:fill="auto"/>
          </w:tcPr>
          <w:p w14:paraId="7ED7657D"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Povećanje bazičnih bodova </w:t>
            </w:r>
          </w:p>
          <w:p w14:paraId="285D5EFA" w14:textId="132E2610"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31.12.202</w:t>
            </w:r>
            <w:r w:rsidR="00A62051">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w:t>
            </w:r>
          </w:p>
        </w:tc>
        <w:tc>
          <w:tcPr>
            <w:tcW w:w="929" w:type="pct"/>
            <w:shd w:val="clear" w:color="auto" w:fill="auto"/>
          </w:tcPr>
          <w:p w14:paraId="21116C52"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Utjecaj </w:t>
            </w:r>
          </w:p>
          <w:p w14:paraId="347554EA"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na dobit</w:t>
            </w:r>
          </w:p>
          <w:p w14:paraId="144767A8" w14:textId="2B73B273"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31.12.202</w:t>
            </w:r>
            <w:r w:rsidR="00A62051">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w:t>
            </w:r>
          </w:p>
        </w:tc>
      </w:tr>
      <w:tr w:rsidR="009243A8" w:rsidRPr="003D1614" w14:paraId="16A06397" w14:textId="77777777" w:rsidTr="00BC10BC">
        <w:trPr>
          <w:trHeight w:hRule="exact" w:val="331"/>
          <w:jc w:val="center"/>
        </w:trPr>
        <w:tc>
          <w:tcPr>
            <w:tcW w:w="1289" w:type="pct"/>
            <w:shd w:val="clear" w:color="auto" w:fill="auto"/>
          </w:tcPr>
          <w:p w14:paraId="154014C1" w14:textId="77777777" w:rsidR="009243A8" w:rsidRPr="003D1614" w:rsidRDefault="009243A8" w:rsidP="009243A8">
            <w:pPr>
              <w:suppressAutoHyphens/>
              <w:autoSpaceDN w:val="0"/>
              <w:spacing w:before="240" w:after="120" w:line="360" w:lineRule="auto"/>
              <w:jc w:val="both"/>
              <w:rPr>
                <w:rFonts w:ascii="Arial" w:eastAsia="Times New Roman" w:hAnsi="Arial" w:cs="Arial"/>
                <w:bCs/>
                <w:color w:val="000000" w:themeColor="text1"/>
                <w:sz w:val="18"/>
                <w:szCs w:val="18"/>
              </w:rPr>
            </w:pPr>
          </w:p>
        </w:tc>
        <w:tc>
          <w:tcPr>
            <w:tcW w:w="927" w:type="pct"/>
            <w:shd w:val="clear" w:color="auto" w:fill="auto"/>
            <w:vAlign w:val="center"/>
          </w:tcPr>
          <w:p w14:paraId="5668DA5F"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p>
        </w:tc>
        <w:tc>
          <w:tcPr>
            <w:tcW w:w="927" w:type="pct"/>
            <w:shd w:val="clear" w:color="auto" w:fill="auto"/>
            <w:vAlign w:val="center"/>
          </w:tcPr>
          <w:p w14:paraId="0F8E5970" w14:textId="4DD26518"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color w:val="000000" w:themeColor="text1"/>
                <w:sz w:val="18"/>
                <w:szCs w:val="18"/>
              </w:rPr>
              <w:t>000 eura</w:t>
            </w:r>
          </w:p>
        </w:tc>
        <w:tc>
          <w:tcPr>
            <w:tcW w:w="927" w:type="pct"/>
            <w:shd w:val="clear" w:color="auto" w:fill="auto"/>
            <w:vAlign w:val="center"/>
          </w:tcPr>
          <w:p w14:paraId="6309D8E1" w14:textId="77777777"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p>
        </w:tc>
        <w:tc>
          <w:tcPr>
            <w:tcW w:w="929" w:type="pct"/>
            <w:shd w:val="clear" w:color="auto" w:fill="auto"/>
            <w:vAlign w:val="center"/>
          </w:tcPr>
          <w:p w14:paraId="0BD21C9D" w14:textId="2B7C2E9B" w:rsidR="009243A8" w:rsidRPr="003D1614" w:rsidRDefault="009243A8" w:rsidP="009243A8">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color w:val="000000" w:themeColor="text1"/>
                <w:sz w:val="18"/>
                <w:szCs w:val="18"/>
              </w:rPr>
              <w:t>000 eura</w:t>
            </w:r>
          </w:p>
        </w:tc>
      </w:tr>
      <w:tr w:rsidR="009243A8" w:rsidRPr="003D1614" w14:paraId="1AAD3518" w14:textId="77777777" w:rsidTr="00BC10BC">
        <w:trPr>
          <w:trHeight w:hRule="exact" w:val="113"/>
          <w:jc w:val="center"/>
        </w:trPr>
        <w:tc>
          <w:tcPr>
            <w:tcW w:w="1289" w:type="pct"/>
            <w:shd w:val="clear" w:color="auto" w:fill="auto"/>
          </w:tcPr>
          <w:p w14:paraId="2219664F" w14:textId="77777777" w:rsidR="009243A8" w:rsidRPr="003D1614" w:rsidRDefault="009243A8" w:rsidP="009243A8">
            <w:pPr>
              <w:suppressAutoHyphens/>
              <w:autoSpaceDN w:val="0"/>
              <w:spacing w:before="240" w:after="120" w:line="360" w:lineRule="auto"/>
              <w:jc w:val="both"/>
              <w:rPr>
                <w:rFonts w:ascii="Arial" w:eastAsia="Times New Roman" w:hAnsi="Arial" w:cs="Arial"/>
                <w:bCs/>
                <w:color w:val="000000" w:themeColor="text1"/>
                <w:sz w:val="18"/>
                <w:szCs w:val="18"/>
              </w:rPr>
            </w:pPr>
          </w:p>
        </w:tc>
        <w:tc>
          <w:tcPr>
            <w:tcW w:w="927" w:type="pct"/>
            <w:shd w:val="clear" w:color="auto" w:fill="auto"/>
            <w:vAlign w:val="center"/>
          </w:tcPr>
          <w:p w14:paraId="43769EFE" w14:textId="77777777" w:rsidR="009243A8" w:rsidRPr="003D1614" w:rsidRDefault="009243A8" w:rsidP="009243A8">
            <w:pPr>
              <w:suppressAutoHyphens/>
              <w:autoSpaceDN w:val="0"/>
              <w:spacing w:line="0" w:lineRule="atLeast"/>
              <w:rPr>
                <w:rFonts w:ascii="Arial" w:eastAsia="Times New Roman" w:hAnsi="Arial" w:cs="Arial"/>
                <w:b/>
                <w:bCs/>
                <w:color w:val="000000" w:themeColor="text1"/>
                <w:sz w:val="18"/>
                <w:szCs w:val="18"/>
              </w:rPr>
            </w:pPr>
          </w:p>
        </w:tc>
        <w:tc>
          <w:tcPr>
            <w:tcW w:w="927" w:type="pct"/>
            <w:shd w:val="clear" w:color="auto" w:fill="auto"/>
            <w:vAlign w:val="center"/>
          </w:tcPr>
          <w:p w14:paraId="38BE5C40" w14:textId="77777777" w:rsidR="009243A8" w:rsidRPr="003D1614" w:rsidRDefault="009243A8" w:rsidP="009243A8">
            <w:pPr>
              <w:suppressAutoHyphens/>
              <w:autoSpaceDN w:val="0"/>
              <w:spacing w:line="0" w:lineRule="atLeast"/>
              <w:rPr>
                <w:rFonts w:ascii="Arial" w:eastAsia="Times New Roman" w:hAnsi="Arial" w:cs="Arial"/>
                <w:b/>
                <w:bCs/>
                <w:color w:val="000000" w:themeColor="text1"/>
                <w:sz w:val="18"/>
                <w:szCs w:val="18"/>
              </w:rPr>
            </w:pPr>
          </w:p>
        </w:tc>
        <w:tc>
          <w:tcPr>
            <w:tcW w:w="927" w:type="pct"/>
            <w:shd w:val="clear" w:color="auto" w:fill="auto"/>
            <w:vAlign w:val="center"/>
          </w:tcPr>
          <w:p w14:paraId="79E5E541" w14:textId="77777777" w:rsidR="009243A8" w:rsidRPr="003D1614" w:rsidRDefault="009243A8" w:rsidP="009243A8">
            <w:pPr>
              <w:suppressAutoHyphens/>
              <w:autoSpaceDN w:val="0"/>
              <w:spacing w:line="0" w:lineRule="atLeast"/>
              <w:rPr>
                <w:rFonts w:ascii="Arial" w:eastAsia="Times New Roman" w:hAnsi="Arial" w:cs="Arial"/>
                <w:b/>
                <w:bCs/>
                <w:color w:val="000000" w:themeColor="text1"/>
                <w:sz w:val="18"/>
                <w:szCs w:val="18"/>
              </w:rPr>
            </w:pPr>
          </w:p>
        </w:tc>
        <w:tc>
          <w:tcPr>
            <w:tcW w:w="929" w:type="pct"/>
            <w:shd w:val="clear" w:color="auto" w:fill="auto"/>
            <w:vAlign w:val="center"/>
          </w:tcPr>
          <w:p w14:paraId="0398DEEF" w14:textId="77777777" w:rsidR="009243A8" w:rsidRPr="003D1614" w:rsidRDefault="009243A8" w:rsidP="009243A8">
            <w:pPr>
              <w:suppressAutoHyphens/>
              <w:autoSpaceDN w:val="0"/>
              <w:spacing w:line="0" w:lineRule="atLeast"/>
              <w:jc w:val="right"/>
              <w:rPr>
                <w:rFonts w:ascii="Arial" w:eastAsia="Times New Roman" w:hAnsi="Arial" w:cs="Arial"/>
                <w:b/>
                <w:color w:val="000000" w:themeColor="text1"/>
                <w:sz w:val="18"/>
                <w:szCs w:val="18"/>
              </w:rPr>
            </w:pPr>
          </w:p>
        </w:tc>
      </w:tr>
      <w:tr w:rsidR="00C16194" w:rsidRPr="0053342B" w14:paraId="4233C160" w14:textId="77777777" w:rsidTr="00DA6CB9">
        <w:trPr>
          <w:trHeight w:hRule="exact" w:val="326"/>
          <w:jc w:val="center"/>
        </w:trPr>
        <w:tc>
          <w:tcPr>
            <w:tcW w:w="1289" w:type="pct"/>
            <w:shd w:val="clear" w:color="auto" w:fill="auto"/>
            <w:vAlign w:val="bottom"/>
          </w:tcPr>
          <w:p w14:paraId="04738CCD" w14:textId="7C41C2BA" w:rsidR="00C16194" w:rsidRPr="003D1614" w:rsidRDefault="00C16194" w:rsidP="00C16194">
            <w:pPr>
              <w:suppressAutoHyphens/>
              <w:autoSpaceDN w:val="0"/>
              <w:spacing w:line="360" w:lineRule="auto"/>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EUR</w:t>
            </w:r>
          </w:p>
        </w:tc>
        <w:tc>
          <w:tcPr>
            <w:tcW w:w="927" w:type="pct"/>
            <w:shd w:val="clear" w:color="auto" w:fill="auto"/>
            <w:vAlign w:val="bottom"/>
          </w:tcPr>
          <w:p w14:paraId="5FED525D" w14:textId="31613287" w:rsidR="00C16194" w:rsidRPr="0053342B" w:rsidRDefault="005A1F61" w:rsidP="00C16194">
            <w:pPr>
              <w:suppressAutoHyphens/>
              <w:autoSpaceDN w:val="0"/>
              <w:spacing w:line="360" w:lineRule="auto"/>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+0,3</w:t>
            </w:r>
          </w:p>
        </w:tc>
        <w:tc>
          <w:tcPr>
            <w:tcW w:w="927" w:type="pct"/>
            <w:shd w:val="clear" w:color="auto" w:fill="auto"/>
            <w:vAlign w:val="bottom"/>
          </w:tcPr>
          <w:p w14:paraId="2E7D94F9" w14:textId="6FE04F0C" w:rsidR="00C16194" w:rsidRPr="00E576CE" w:rsidRDefault="00E576CE" w:rsidP="00C16194">
            <w:pPr>
              <w:suppressAutoHyphens/>
              <w:autoSpaceDN w:val="0"/>
              <w:spacing w:line="360" w:lineRule="auto"/>
              <w:jc w:val="right"/>
              <w:rPr>
                <w:rFonts w:ascii="Arial" w:eastAsia="Times New Roman" w:hAnsi="Arial" w:cs="Arial"/>
                <w:bCs/>
                <w:color w:val="000000" w:themeColor="text1"/>
                <w:sz w:val="18"/>
                <w:szCs w:val="18"/>
              </w:rPr>
            </w:pPr>
            <w:r w:rsidRPr="005D1219">
              <w:rPr>
                <w:rFonts w:ascii="Arial" w:eastAsia="Times New Roman" w:hAnsi="Arial" w:cs="Arial"/>
                <w:bCs/>
                <w:color w:val="000000" w:themeColor="text1"/>
                <w:sz w:val="18"/>
                <w:szCs w:val="18"/>
              </w:rPr>
              <w:t>1.7</w:t>
            </w:r>
          </w:p>
        </w:tc>
        <w:tc>
          <w:tcPr>
            <w:tcW w:w="927" w:type="pct"/>
            <w:shd w:val="clear" w:color="auto" w:fill="auto"/>
            <w:vAlign w:val="bottom"/>
          </w:tcPr>
          <w:p w14:paraId="22C8F079" w14:textId="33DAD8EC" w:rsidR="00C16194" w:rsidRPr="0053342B" w:rsidRDefault="00C16194" w:rsidP="00C16194">
            <w:pPr>
              <w:suppressAutoHyphens/>
              <w:autoSpaceDN w:val="0"/>
              <w:spacing w:line="360" w:lineRule="auto"/>
              <w:jc w:val="right"/>
              <w:rPr>
                <w:rFonts w:ascii="Arial" w:eastAsia="Times New Roman" w:hAnsi="Arial" w:cs="Arial"/>
                <w:bCs/>
                <w:color w:val="000000" w:themeColor="text1"/>
                <w:sz w:val="18"/>
                <w:szCs w:val="18"/>
              </w:rPr>
            </w:pPr>
            <w:r>
              <w:rPr>
                <w:rFonts w:ascii="Arial" w:hAnsi="Arial" w:cs="Arial"/>
                <w:bCs/>
                <w:color w:val="000000" w:themeColor="text1"/>
                <w:sz w:val="18"/>
                <w:szCs w:val="18"/>
              </w:rPr>
              <w:t>+0,6</w:t>
            </w:r>
          </w:p>
        </w:tc>
        <w:tc>
          <w:tcPr>
            <w:tcW w:w="929" w:type="pct"/>
            <w:shd w:val="clear" w:color="auto" w:fill="auto"/>
            <w:vAlign w:val="bottom"/>
          </w:tcPr>
          <w:p w14:paraId="11BE0789" w14:textId="6CEF4C75" w:rsidR="00C16194" w:rsidRPr="0053342B" w:rsidRDefault="00C16194" w:rsidP="00C16194">
            <w:pPr>
              <w:suppressAutoHyphens/>
              <w:autoSpaceDN w:val="0"/>
              <w:spacing w:line="360" w:lineRule="auto"/>
              <w:jc w:val="right"/>
              <w:rPr>
                <w:rFonts w:ascii="Arial" w:eastAsia="Times New Roman" w:hAnsi="Arial" w:cs="Arial"/>
                <w:bCs/>
                <w:color w:val="000000" w:themeColor="text1"/>
                <w:sz w:val="18"/>
                <w:szCs w:val="18"/>
              </w:rPr>
            </w:pPr>
            <w:r>
              <w:rPr>
                <w:rFonts w:ascii="Arial" w:hAnsi="Arial" w:cs="Arial"/>
                <w:bCs/>
                <w:color w:val="000000" w:themeColor="text1"/>
                <w:sz w:val="18"/>
                <w:szCs w:val="18"/>
              </w:rPr>
              <w:t>5</w:t>
            </w:r>
          </w:p>
        </w:tc>
      </w:tr>
      <w:tr w:rsidR="00C16194" w:rsidRPr="003D1614" w14:paraId="2191C368" w14:textId="77777777" w:rsidTr="00DA6CB9">
        <w:trPr>
          <w:trHeight w:hRule="exact" w:val="284"/>
          <w:jc w:val="center"/>
        </w:trPr>
        <w:tc>
          <w:tcPr>
            <w:tcW w:w="1289" w:type="pct"/>
            <w:shd w:val="clear" w:color="auto" w:fill="auto"/>
            <w:vAlign w:val="bottom"/>
          </w:tcPr>
          <w:p w14:paraId="7F978F8C" w14:textId="77777777" w:rsidR="00C16194" w:rsidRPr="003D1614" w:rsidRDefault="00C16194" w:rsidP="00C16194">
            <w:pPr>
              <w:suppressAutoHyphens/>
              <w:autoSpaceDN w:val="0"/>
              <w:spacing w:line="360" w:lineRule="auto"/>
              <w:jc w:val="both"/>
              <w:rPr>
                <w:rFonts w:ascii="Arial" w:eastAsia="Times New Roman" w:hAnsi="Arial" w:cs="Arial"/>
                <w:bCs/>
                <w:color w:val="000000" w:themeColor="text1"/>
                <w:sz w:val="18"/>
                <w:szCs w:val="18"/>
              </w:rPr>
            </w:pPr>
            <w:r w:rsidRPr="003D1614">
              <w:rPr>
                <w:rFonts w:ascii="Arial" w:eastAsia="Times New Roman" w:hAnsi="Arial" w:cs="Arial"/>
                <w:bCs/>
                <w:color w:val="000000" w:themeColor="text1"/>
                <w:sz w:val="18"/>
                <w:szCs w:val="18"/>
              </w:rPr>
              <w:t>USD</w:t>
            </w:r>
          </w:p>
        </w:tc>
        <w:tc>
          <w:tcPr>
            <w:tcW w:w="927" w:type="pct"/>
            <w:shd w:val="clear" w:color="auto" w:fill="auto"/>
            <w:vAlign w:val="bottom"/>
          </w:tcPr>
          <w:p w14:paraId="746AEA50" w14:textId="4BDABF81" w:rsidR="00C16194" w:rsidRPr="003D1614" w:rsidRDefault="005A1F61" w:rsidP="00C16194">
            <w:pPr>
              <w:suppressAutoHyphens/>
              <w:autoSpaceDN w:val="0"/>
              <w:spacing w:line="360" w:lineRule="auto"/>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+0,2</w:t>
            </w:r>
          </w:p>
        </w:tc>
        <w:tc>
          <w:tcPr>
            <w:tcW w:w="927" w:type="pct"/>
            <w:shd w:val="clear" w:color="auto" w:fill="auto"/>
            <w:vAlign w:val="bottom"/>
          </w:tcPr>
          <w:p w14:paraId="44ABF407" w14:textId="0B457CCB" w:rsidR="00C16194" w:rsidRPr="00E576CE" w:rsidRDefault="00E576CE" w:rsidP="00C16194">
            <w:pPr>
              <w:suppressAutoHyphens/>
              <w:autoSpaceDN w:val="0"/>
              <w:spacing w:line="360" w:lineRule="auto"/>
              <w:jc w:val="right"/>
              <w:rPr>
                <w:rFonts w:ascii="Arial" w:eastAsia="Times New Roman" w:hAnsi="Arial" w:cs="Arial"/>
                <w:bCs/>
                <w:color w:val="000000" w:themeColor="text1"/>
                <w:sz w:val="18"/>
                <w:szCs w:val="18"/>
              </w:rPr>
            </w:pPr>
            <w:r w:rsidRPr="005D1219">
              <w:rPr>
                <w:rFonts w:ascii="Arial" w:eastAsia="Times New Roman" w:hAnsi="Arial" w:cs="Arial"/>
                <w:bCs/>
                <w:color w:val="000000" w:themeColor="text1"/>
                <w:sz w:val="18"/>
                <w:szCs w:val="18"/>
              </w:rPr>
              <w:t>0.2</w:t>
            </w:r>
          </w:p>
        </w:tc>
        <w:tc>
          <w:tcPr>
            <w:tcW w:w="927" w:type="pct"/>
            <w:shd w:val="clear" w:color="auto" w:fill="auto"/>
            <w:vAlign w:val="bottom"/>
          </w:tcPr>
          <w:p w14:paraId="13BD78DA" w14:textId="151F2070" w:rsidR="00C16194" w:rsidRPr="003D1614" w:rsidRDefault="00C16194" w:rsidP="00C16194">
            <w:pPr>
              <w:suppressAutoHyphens/>
              <w:autoSpaceDN w:val="0"/>
              <w:spacing w:line="360" w:lineRule="auto"/>
              <w:jc w:val="right"/>
              <w:rPr>
                <w:rFonts w:ascii="Arial" w:eastAsia="Times New Roman" w:hAnsi="Arial" w:cs="Arial"/>
                <w:bCs/>
                <w:color w:val="000000" w:themeColor="text1"/>
                <w:sz w:val="18"/>
                <w:szCs w:val="18"/>
              </w:rPr>
            </w:pPr>
            <w:r>
              <w:rPr>
                <w:rFonts w:ascii="Arial" w:hAnsi="Arial" w:cs="Arial"/>
                <w:bCs/>
                <w:color w:val="000000" w:themeColor="text1"/>
                <w:sz w:val="18"/>
                <w:szCs w:val="18"/>
              </w:rPr>
              <w:t>+0,4</w:t>
            </w:r>
          </w:p>
        </w:tc>
        <w:tc>
          <w:tcPr>
            <w:tcW w:w="929" w:type="pct"/>
            <w:shd w:val="clear" w:color="auto" w:fill="auto"/>
            <w:vAlign w:val="bottom"/>
          </w:tcPr>
          <w:p w14:paraId="66D20189" w14:textId="6026D6D9" w:rsidR="00C16194" w:rsidRPr="003D1614" w:rsidRDefault="00C16194" w:rsidP="00C16194">
            <w:pPr>
              <w:suppressAutoHyphens/>
              <w:autoSpaceDN w:val="0"/>
              <w:spacing w:line="360" w:lineRule="auto"/>
              <w:jc w:val="right"/>
              <w:rPr>
                <w:rFonts w:ascii="Arial" w:eastAsia="Times New Roman" w:hAnsi="Arial" w:cs="Arial"/>
                <w:bCs/>
                <w:color w:val="000000" w:themeColor="text1"/>
                <w:sz w:val="18"/>
                <w:szCs w:val="18"/>
              </w:rPr>
            </w:pPr>
            <w:r>
              <w:rPr>
                <w:rFonts w:ascii="Arial" w:hAnsi="Arial" w:cs="Arial"/>
                <w:bCs/>
                <w:color w:val="000000" w:themeColor="text1"/>
                <w:sz w:val="18"/>
                <w:szCs w:val="18"/>
              </w:rPr>
              <w:t>0.4</w:t>
            </w:r>
          </w:p>
        </w:tc>
      </w:tr>
      <w:tr w:rsidR="00C16194" w:rsidRPr="003D1614" w14:paraId="7D75BF91" w14:textId="77777777" w:rsidTr="00BC10BC">
        <w:trPr>
          <w:trHeight w:hRule="exact" w:val="284"/>
          <w:jc w:val="center"/>
        </w:trPr>
        <w:tc>
          <w:tcPr>
            <w:tcW w:w="1289" w:type="pct"/>
            <w:shd w:val="clear" w:color="auto" w:fill="auto"/>
            <w:vAlign w:val="center"/>
          </w:tcPr>
          <w:p w14:paraId="70023010" w14:textId="77777777" w:rsidR="00C16194" w:rsidRPr="003D1614" w:rsidRDefault="00C16194" w:rsidP="00C16194">
            <w:pPr>
              <w:suppressAutoHyphens/>
              <w:autoSpaceDN w:val="0"/>
              <w:spacing w:line="360" w:lineRule="auto"/>
              <w:jc w:val="both"/>
              <w:rPr>
                <w:rFonts w:ascii="Arial" w:eastAsia="Times New Roman" w:hAnsi="Arial" w:cs="Arial"/>
                <w:bCs/>
                <w:color w:val="000000" w:themeColor="text1"/>
                <w:sz w:val="18"/>
                <w:szCs w:val="18"/>
              </w:rPr>
            </w:pPr>
          </w:p>
        </w:tc>
        <w:tc>
          <w:tcPr>
            <w:tcW w:w="927" w:type="pct"/>
            <w:shd w:val="clear" w:color="auto" w:fill="auto"/>
            <w:vAlign w:val="center"/>
          </w:tcPr>
          <w:p w14:paraId="1EFADA5D" w14:textId="77777777" w:rsidR="00C16194" w:rsidRPr="003D1614" w:rsidRDefault="00C16194" w:rsidP="00C16194">
            <w:pPr>
              <w:suppressAutoHyphens/>
              <w:autoSpaceDN w:val="0"/>
              <w:spacing w:line="360" w:lineRule="auto"/>
              <w:jc w:val="right"/>
              <w:rPr>
                <w:rFonts w:ascii="Arial" w:eastAsia="Times New Roman" w:hAnsi="Arial" w:cs="Arial"/>
                <w:bCs/>
                <w:color w:val="000000" w:themeColor="text1"/>
                <w:sz w:val="18"/>
                <w:szCs w:val="18"/>
              </w:rPr>
            </w:pPr>
          </w:p>
        </w:tc>
        <w:tc>
          <w:tcPr>
            <w:tcW w:w="927" w:type="pct"/>
            <w:shd w:val="clear" w:color="auto" w:fill="auto"/>
            <w:vAlign w:val="center"/>
          </w:tcPr>
          <w:p w14:paraId="1897E1B4" w14:textId="77777777" w:rsidR="00C16194" w:rsidRPr="003D1614" w:rsidRDefault="00C16194" w:rsidP="00C16194">
            <w:pPr>
              <w:suppressAutoHyphens/>
              <w:autoSpaceDN w:val="0"/>
              <w:spacing w:line="360" w:lineRule="auto"/>
              <w:jc w:val="right"/>
              <w:rPr>
                <w:rFonts w:ascii="Arial" w:eastAsia="Times New Roman" w:hAnsi="Arial" w:cs="Arial"/>
                <w:bCs/>
                <w:color w:val="000000" w:themeColor="text1"/>
                <w:sz w:val="18"/>
                <w:szCs w:val="18"/>
              </w:rPr>
            </w:pPr>
          </w:p>
        </w:tc>
        <w:tc>
          <w:tcPr>
            <w:tcW w:w="927" w:type="pct"/>
            <w:shd w:val="clear" w:color="auto" w:fill="auto"/>
            <w:vAlign w:val="center"/>
          </w:tcPr>
          <w:p w14:paraId="15BA678C" w14:textId="77777777" w:rsidR="00C16194" w:rsidRPr="003D1614" w:rsidRDefault="00C16194" w:rsidP="00C16194">
            <w:pPr>
              <w:suppressAutoHyphens/>
              <w:autoSpaceDN w:val="0"/>
              <w:spacing w:line="360" w:lineRule="auto"/>
              <w:jc w:val="right"/>
              <w:rPr>
                <w:rFonts w:ascii="Arial" w:eastAsia="Times New Roman" w:hAnsi="Arial" w:cs="Arial"/>
                <w:bCs/>
                <w:color w:val="000000" w:themeColor="text1"/>
                <w:sz w:val="18"/>
                <w:szCs w:val="18"/>
              </w:rPr>
            </w:pPr>
          </w:p>
        </w:tc>
        <w:tc>
          <w:tcPr>
            <w:tcW w:w="929" w:type="pct"/>
            <w:shd w:val="clear" w:color="auto" w:fill="auto"/>
            <w:vAlign w:val="center"/>
          </w:tcPr>
          <w:p w14:paraId="2B231F55" w14:textId="77777777" w:rsidR="00C16194" w:rsidRPr="003D1614" w:rsidRDefault="00C16194" w:rsidP="00C16194">
            <w:pPr>
              <w:suppressAutoHyphens/>
              <w:autoSpaceDN w:val="0"/>
              <w:spacing w:line="360" w:lineRule="auto"/>
              <w:jc w:val="right"/>
              <w:rPr>
                <w:rFonts w:ascii="Arial" w:eastAsia="Times New Roman" w:hAnsi="Arial" w:cs="Arial"/>
                <w:bCs/>
                <w:color w:val="000000" w:themeColor="text1"/>
                <w:sz w:val="18"/>
                <w:szCs w:val="18"/>
              </w:rPr>
            </w:pPr>
          </w:p>
        </w:tc>
      </w:tr>
      <w:tr w:rsidR="00C16194" w:rsidRPr="003D1614" w14:paraId="29F49544" w14:textId="77777777" w:rsidTr="00BC10BC">
        <w:trPr>
          <w:trHeight w:hRule="exact" w:val="830"/>
          <w:jc w:val="center"/>
        </w:trPr>
        <w:tc>
          <w:tcPr>
            <w:tcW w:w="1289" w:type="pct"/>
            <w:shd w:val="clear" w:color="auto" w:fill="auto"/>
            <w:vAlign w:val="center"/>
          </w:tcPr>
          <w:p w14:paraId="294306A7" w14:textId="77777777" w:rsidR="00C16194" w:rsidRPr="003D1614" w:rsidRDefault="00C16194" w:rsidP="00C16194">
            <w:pPr>
              <w:suppressAutoHyphens/>
              <w:autoSpaceDN w:val="0"/>
              <w:spacing w:before="240" w:after="120" w:line="360" w:lineRule="auto"/>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Valuta</w:t>
            </w:r>
          </w:p>
        </w:tc>
        <w:tc>
          <w:tcPr>
            <w:tcW w:w="927" w:type="pct"/>
            <w:shd w:val="clear" w:color="auto" w:fill="auto"/>
          </w:tcPr>
          <w:p w14:paraId="0B62FA94" w14:textId="77777777" w:rsidR="00C16194" w:rsidRPr="003D1614" w:rsidRDefault="00C16194" w:rsidP="00C16194">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Smanjenje bazičnih bodova </w:t>
            </w:r>
          </w:p>
          <w:p w14:paraId="6F33C54C" w14:textId="79772701" w:rsidR="00C16194" w:rsidRPr="003D1614" w:rsidRDefault="00C16194" w:rsidP="00C16194">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31.3.202</w:t>
            </w:r>
            <w:r>
              <w:rPr>
                <w:rFonts w:ascii="Arial" w:eastAsia="Times New Roman" w:hAnsi="Arial" w:cs="Arial"/>
                <w:b/>
                <w:bCs/>
                <w:color w:val="000000" w:themeColor="text1"/>
                <w:sz w:val="18"/>
                <w:szCs w:val="18"/>
              </w:rPr>
              <w:t>4</w:t>
            </w:r>
            <w:r w:rsidRPr="003D1614">
              <w:rPr>
                <w:rFonts w:ascii="Arial" w:eastAsia="Times New Roman" w:hAnsi="Arial" w:cs="Arial"/>
                <w:b/>
                <w:bCs/>
                <w:color w:val="000000" w:themeColor="text1"/>
                <w:sz w:val="18"/>
                <w:szCs w:val="18"/>
              </w:rPr>
              <w:t>.</w:t>
            </w:r>
          </w:p>
        </w:tc>
        <w:tc>
          <w:tcPr>
            <w:tcW w:w="927" w:type="pct"/>
            <w:shd w:val="clear" w:color="auto" w:fill="auto"/>
          </w:tcPr>
          <w:p w14:paraId="3024E407" w14:textId="77777777" w:rsidR="00C16194" w:rsidRPr="003D1614" w:rsidRDefault="00C16194" w:rsidP="00C16194">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Utjecaj </w:t>
            </w:r>
          </w:p>
          <w:p w14:paraId="124CBE48" w14:textId="77777777" w:rsidR="00C16194" w:rsidRPr="003D1614" w:rsidRDefault="00C16194" w:rsidP="00C16194">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na dobit</w:t>
            </w:r>
          </w:p>
          <w:p w14:paraId="252C8C8D" w14:textId="4F53B71D" w:rsidR="00C16194" w:rsidRPr="003D1614" w:rsidRDefault="00C16194" w:rsidP="00C16194">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31.3.202</w:t>
            </w:r>
            <w:r>
              <w:rPr>
                <w:rFonts w:ascii="Arial" w:eastAsia="Times New Roman" w:hAnsi="Arial" w:cs="Arial"/>
                <w:b/>
                <w:bCs/>
                <w:color w:val="000000" w:themeColor="text1"/>
                <w:sz w:val="18"/>
                <w:szCs w:val="18"/>
              </w:rPr>
              <w:t>4</w:t>
            </w:r>
            <w:r w:rsidRPr="003D1614">
              <w:rPr>
                <w:rFonts w:ascii="Arial" w:eastAsia="Times New Roman" w:hAnsi="Arial" w:cs="Arial"/>
                <w:b/>
                <w:bCs/>
                <w:color w:val="000000" w:themeColor="text1"/>
                <w:sz w:val="18"/>
                <w:szCs w:val="18"/>
              </w:rPr>
              <w:t>.</w:t>
            </w:r>
          </w:p>
        </w:tc>
        <w:tc>
          <w:tcPr>
            <w:tcW w:w="927" w:type="pct"/>
            <w:shd w:val="clear" w:color="auto" w:fill="auto"/>
          </w:tcPr>
          <w:p w14:paraId="3918C022" w14:textId="77777777" w:rsidR="00C16194" w:rsidRPr="003D1614" w:rsidRDefault="00C16194" w:rsidP="00C16194">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Smanjenje bazičnih bodova </w:t>
            </w:r>
          </w:p>
          <w:p w14:paraId="058FBA10" w14:textId="79F10086" w:rsidR="00C16194" w:rsidRPr="003D1614" w:rsidRDefault="00C16194" w:rsidP="00C16194">
            <w:pPr>
              <w:suppressAutoHyphens/>
              <w:autoSpaceDN w:val="0"/>
              <w:spacing w:line="360" w:lineRule="auto"/>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31.12.202</w:t>
            </w:r>
            <w:r w:rsidR="00CF72B1">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w:t>
            </w:r>
          </w:p>
        </w:tc>
        <w:tc>
          <w:tcPr>
            <w:tcW w:w="929" w:type="pct"/>
            <w:shd w:val="clear" w:color="auto" w:fill="auto"/>
          </w:tcPr>
          <w:p w14:paraId="75E1A5E4" w14:textId="77777777" w:rsidR="00C16194" w:rsidRPr="003D1614" w:rsidRDefault="00C16194" w:rsidP="00C16194">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Utjecaj </w:t>
            </w:r>
          </w:p>
          <w:p w14:paraId="6CA610DD" w14:textId="77777777" w:rsidR="00C16194" w:rsidRPr="003D1614" w:rsidRDefault="00C16194" w:rsidP="00C16194">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na dobit</w:t>
            </w:r>
          </w:p>
          <w:p w14:paraId="39E1E400" w14:textId="0ADF8E5E" w:rsidR="00C16194" w:rsidRPr="003D1614" w:rsidRDefault="00C16194" w:rsidP="00C16194">
            <w:pPr>
              <w:suppressAutoHyphens/>
              <w:autoSpaceDN w:val="0"/>
              <w:spacing w:line="360" w:lineRule="auto"/>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31.12.202</w:t>
            </w:r>
            <w:r w:rsidR="00CF72B1">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w:t>
            </w:r>
          </w:p>
        </w:tc>
      </w:tr>
      <w:tr w:rsidR="00C16194" w:rsidRPr="003D1614" w14:paraId="04165F74" w14:textId="77777777" w:rsidTr="00BC10BC">
        <w:trPr>
          <w:trHeight w:hRule="exact" w:val="279"/>
          <w:jc w:val="center"/>
        </w:trPr>
        <w:tc>
          <w:tcPr>
            <w:tcW w:w="1289" w:type="pct"/>
            <w:shd w:val="clear" w:color="auto" w:fill="auto"/>
            <w:vAlign w:val="bottom"/>
          </w:tcPr>
          <w:p w14:paraId="270F0D33" w14:textId="77777777" w:rsidR="00C16194" w:rsidRPr="003D1614" w:rsidRDefault="00C16194" w:rsidP="00C16194">
            <w:pPr>
              <w:suppressAutoHyphens/>
              <w:autoSpaceDN w:val="0"/>
              <w:spacing w:line="360" w:lineRule="auto"/>
              <w:jc w:val="both"/>
              <w:rPr>
                <w:rFonts w:ascii="Arial" w:eastAsia="Times New Roman" w:hAnsi="Arial" w:cs="Arial"/>
                <w:b/>
                <w:bCs/>
                <w:color w:val="000000" w:themeColor="text1"/>
                <w:sz w:val="18"/>
                <w:szCs w:val="18"/>
              </w:rPr>
            </w:pPr>
          </w:p>
        </w:tc>
        <w:tc>
          <w:tcPr>
            <w:tcW w:w="927" w:type="pct"/>
            <w:shd w:val="clear" w:color="auto" w:fill="auto"/>
            <w:vAlign w:val="center"/>
          </w:tcPr>
          <w:p w14:paraId="077A198C" w14:textId="77777777" w:rsidR="00C16194" w:rsidRPr="003D1614" w:rsidRDefault="00C16194" w:rsidP="00C16194">
            <w:pPr>
              <w:suppressAutoHyphens/>
              <w:autoSpaceDN w:val="0"/>
              <w:spacing w:line="0" w:lineRule="atLeast"/>
              <w:jc w:val="right"/>
              <w:rPr>
                <w:rFonts w:ascii="Arial" w:eastAsia="Times New Roman" w:hAnsi="Arial" w:cs="Arial"/>
                <w:b/>
                <w:bCs/>
                <w:color w:val="000000" w:themeColor="text1"/>
                <w:sz w:val="18"/>
                <w:szCs w:val="18"/>
              </w:rPr>
            </w:pPr>
          </w:p>
        </w:tc>
        <w:tc>
          <w:tcPr>
            <w:tcW w:w="927" w:type="pct"/>
            <w:shd w:val="clear" w:color="auto" w:fill="auto"/>
            <w:vAlign w:val="center"/>
          </w:tcPr>
          <w:p w14:paraId="7232D64A" w14:textId="72BF11F6" w:rsidR="00C16194" w:rsidRPr="003D1614" w:rsidRDefault="00C16194" w:rsidP="00C16194">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color w:val="000000" w:themeColor="text1"/>
                <w:sz w:val="18"/>
                <w:szCs w:val="18"/>
              </w:rPr>
              <w:t>000 eura</w:t>
            </w:r>
          </w:p>
        </w:tc>
        <w:tc>
          <w:tcPr>
            <w:tcW w:w="927" w:type="pct"/>
            <w:shd w:val="clear" w:color="auto" w:fill="auto"/>
            <w:vAlign w:val="center"/>
          </w:tcPr>
          <w:p w14:paraId="2353CB32" w14:textId="77777777" w:rsidR="00C16194" w:rsidRPr="003D1614" w:rsidRDefault="00C16194" w:rsidP="00C16194">
            <w:pPr>
              <w:suppressAutoHyphens/>
              <w:autoSpaceDN w:val="0"/>
              <w:spacing w:line="0" w:lineRule="atLeast"/>
              <w:jc w:val="right"/>
              <w:rPr>
                <w:rFonts w:ascii="Arial" w:eastAsia="Times New Roman" w:hAnsi="Arial" w:cs="Arial"/>
                <w:b/>
                <w:bCs/>
                <w:color w:val="000000" w:themeColor="text1"/>
                <w:sz w:val="18"/>
                <w:szCs w:val="18"/>
              </w:rPr>
            </w:pPr>
          </w:p>
        </w:tc>
        <w:tc>
          <w:tcPr>
            <w:tcW w:w="929" w:type="pct"/>
            <w:shd w:val="clear" w:color="auto" w:fill="auto"/>
            <w:vAlign w:val="center"/>
          </w:tcPr>
          <w:p w14:paraId="60A70FCF" w14:textId="394918AB" w:rsidR="00C16194" w:rsidRPr="003D1614" w:rsidRDefault="00C16194" w:rsidP="00C16194">
            <w:pPr>
              <w:suppressAutoHyphens/>
              <w:autoSpaceDN w:val="0"/>
              <w:spacing w:line="0" w:lineRule="atLeast"/>
              <w:jc w:val="right"/>
              <w:rPr>
                <w:rFonts w:ascii="Arial" w:eastAsia="Times New Roman" w:hAnsi="Arial" w:cs="Arial"/>
                <w:b/>
                <w:bCs/>
                <w:color w:val="000000" w:themeColor="text1"/>
                <w:sz w:val="18"/>
                <w:szCs w:val="18"/>
              </w:rPr>
            </w:pPr>
            <w:r w:rsidRPr="003D1614">
              <w:rPr>
                <w:rFonts w:ascii="Arial" w:eastAsia="Times New Roman" w:hAnsi="Arial" w:cs="Arial"/>
                <w:b/>
                <w:color w:val="000000" w:themeColor="text1"/>
                <w:sz w:val="18"/>
                <w:szCs w:val="18"/>
              </w:rPr>
              <w:t>000 eura</w:t>
            </w:r>
          </w:p>
        </w:tc>
      </w:tr>
      <w:tr w:rsidR="00C16194" w:rsidRPr="003D1614" w14:paraId="5B5D86DE" w14:textId="77777777" w:rsidTr="00BC10BC">
        <w:trPr>
          <w:trHeight w:hRule="exact" w:val="113"/>
          <w:jc w:val="center"/>
        </w:trPr>
        <w:tc>
          <w:tcPr>
            <w:tcW w:w="1289" w:type="pct"/>
            <w:shd w:val="clear" w:color="auto" w:fill="auto"/>
            <w:vAlign w:val="center"/>
          </w:tcPr>
          <w:p w14:paraId="6958A427" w14:textId="77777777" w:rsidR="00C16194" w:rsidRPr="003D1614" w:rsidRDefault="00C16194" w:rsidP="00C16194">
            <w:pPr>
              <w:suppressAutoHyphens/>
              <w:autoSpaceDN w:val="0"/>
              <w:spacing w:line="360" w:lineRule="auto"/>
              <w:jc w:val="both"/>
              <w:rPr>
                <w:rFonts w:ascii="Arial" w:eastAsia="Times New Roman" w:hAnsi="Arial" w:cs="Arial"/>
                <w:bCs/>
                <w:color w:val="000000" w:themeColor="text1"/>
                <w:sz w:val="18"/>
                <w:szCs w:val="18"/>
              </w:rPr>
            </w:pPr>
          </w:p>
        </w:tc>
        <w:tc>
          <w:tcPr>
            <w:tcW w:w="927" w:type="pct"/>
            <w:shd w:val="clear" w:color="auto" w:fill="auto"/>
            <w:vAlign w:val="center"/>
          </w:tcPr>
          <w:p w14:paraId="089E6328" w14:textId="77777777" w:rsidR="00C16194" w:rsidRPr="003D1614" w:rsidRDefault="00C16194" w:rsidP="00C16194">
            <w:pPr>
              <w:suppressAutoHyphens/>
              <w:autoSpaceDN w:val="0"/>
              <w:spacing w:line="360" w:lineRule="auto"/>
              <w:jc w:val="right"/>
              <w:rPr>
                <w:rFonts w:ascii="Arial" w:eastAsia="Times New Roman" w:hAnsi="Arial" w:cs="Arial"/>
                <w:bCs/>
                <w:color w:val="000000" w:themeColor="text1"/>
                <w:sz w:val="18"/>
                <w:szCs w:val="18"/>
              </w:rPr>
            </w:pPr>
          </w:p>
        </w:tc>
        <w:tc>
          <w:tcPr>
            <w:tcW w:w="927" w:type="pct"/>
            <w:shd w:val="clear" w:color="auto" w:fill="auto"/>
            <w:vAlign w:val="center"/>
          </w:tcPr>
          <w:p w14:paraId="3F4EBA17" w14:textId="77777777" w:rsidR="00C16194" w:rsidRPr="003D1614" w:rsidRDefault="00C16194" w:rsidP="00C16194">
            <w:pPr>
              <w:suppressAutoHyphens/>
              <w:autoSpaceDN w:val="0"/>
              <w:spacing w:line="360" w:lineRule="auto"/>
              <w:jc w:val="right"/>
              <w:rPr>
                <w:rFonts w:ascii="Arial" w:eastAsia="Times New Roman" w:hAnsi="Arial" w:cs="Arial"/>
                <w:bCs/>
                <w:color w:val="000000" w:themeColor="text1"/>
                <w:sz w:val="18"/>
                <w:szCs w:val="18"/>
              </w:rPr>
            </w:pPr>
          </w:p>
        </w:tc>
        <w:tc>
          <w:tcPr>
            <w:tcW w:w="927" w:type="pct"/>
            <w:shd w:val="clear" w:color="auto" w:fill="auto"/>
            <w:vAlign w:val="center"/>
          </w:tcPr>
          <w:p w14:paraId="4A45E5E9" w14:textId="77777777" w:rsidR="00C16194" w:rsidRPr="003D1614" w:rsidRDefault="00C16194" w:rsidP="00C16194">
            <w:pPr>
              <w:suppressAutoHyphens/>
              <w:autoSpaceDN w:val="0"/>
              <w:spacing w:line="360" w:lineRule="auto"/>
              <w:jc w:val="right"/>
              <w:rPr>
                <w:rFonts w:ascii="Arial" w:eastAsia="Times New Roman" w:hAnsi="Arial" w:cs="Arial"/>
                <w:bCs/>
                <w:color w:val="000000" w:themeColor="text1"/>
                <w:sz w:val="18"/>
                <w:szCs w:val="18"/>
              </w:rPr>
            </w:pPr>
          </w:p>
        </w:tc>
        <w:tc>
          <w:tcPr>
            <w:tcW w:w="929" w:type="pct"/>
            <w:shd w:val="clear" w:color="auto" w:fill="auto"/>
            <w:vAlign w:val="center"/>
          </w:tcPr>
          <w:p w14:paraId="76920883" w14:textId="77777777" w:rsidR="00C16194" w:rsidRPr="003D1614" w:rsidRDefault="00C16194" w:rsidP="00C16194">
            <w:pPr>
              <w:suppressAutoHyphens/>
              <w:autoSpaceDN w:val="0"/>
              <w:spacing w:line="360" w:lineRule="auto"/>
              <w:jc w:val="right"/>
              <w:rPr>
                <w:rFonts w:ascii="Arial" w:eastAsia="Times New Roman" w:hAnsi="Arial" w:cs="Arial"/>
                <w:bCs/>
                <w:color w:val="000000" w:themeColor="text1"/>
                <w:sz w:val="18"/>
                <w:szCs w:val="18"/>
              </w:rPr>
            </w:pPr>
          </w:p>
        </w:tc>
      </w:tr>
      <w:tr w:rsidR="000C2FC9" w:rsidRPr="003D1614" w14:paraId="09D551D6" w14:textId="77777777" w:rsidTr="00565049">
        <w:trPr>
          <w:trHeight w:hRule="exact" w:val="268"/>
          <w:jc w:val="center"/>
        </w:trPr>
        <w:tc>
          <w:tcPr>
            <w:tcW w:w="1289" w:type="pct"/>
            <w:shd w:val="clear" w:color="auto" w:fill="auto"/>
            <w:vAlign w:val="center"/>
          </w:tcPr>
          <w:p w14:paraId="266ACA5C" w14:textId="72EB987C" w:rsidR="000C2FC9" w:rsidRPr="003D1614" w:rsidRDefault="000C2FC9" w:rsidP="000C2FC9">
            <w:pPr>
              <w:suppressAutoHyphens/>
              <w:autoSpaceDN w:val="0"/>
              <w:spacing w:line="360" w:lineRule="auto"/>
              <w:jc w:val="both"/>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EUR</w:t>
            </w:r>
          </w:p>
        </w:tc>
        <w:tc>
          <w:tcPr>
            <w:tcW w:w="927" w:type="pct"/>
            <w:shd w:val="clear" w:color="auto" w:fill="auto"/>
            <w:vAlign w:val="center"/>
          </w:tcPr>
          <w:p w14:paraId="69E1F992" w14:textId="0F6841E4" w:rsidR="000C2FC9" w:rsidRPr="003D1614" w:rsidRDefault="005A1F61" w:rsidP="000C2FC9">
            <w:pPr>
              <w:suppressAutoHyphens/>
              <w:autoSpaceDN w:val="0"/>
              <w:spacing w:line="360" w:lineRule="auto"/>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-0,3</w:t>
            </w:r>
          </w:p>
        </w:tc>
        <w:tc>
          <w:tcPr>
            <w:tcW w:w="927" w:type="pct"/>
            <w:shd w:val="clear" w:color="auto" w:fill="auto"/>
            <w:vAlign w:val="center"/>
          </w:tcPr>
          <w:p w14:paraId="1D304130" w14:textId="03D12DEC" w:rsidR="000C2FC9" w:rsidRPr="005D1219" w:rsidRDefault="00E576CE" w:rsidP="000C2FC9">
            <w:pPr>
              <w:suppressAutoHyphens/>
              <w:autoSpaceDN w:val="0"/>
              <w:spacing w:line="360" w:lineRule="auto"/>
              <w:jc w:val="right"/>
              <w:rPr>
                <w:rFonts w:ascii="Arial" w:eastAsia="Times New Roman" w:hAnsi="Arial" w:cs="Arial"/>
                <w:bCs/>
                <w:color w:val="000000" w:themeColor="text1"/>
                <w:sz w:val="18"/>
                <w:szCs w:val="18"/>
                <w:highlight w:val="yellow"/>
              </w:rPr>
            </w:pPr>
            <w:r w:rsidRPr="005D1219">
              <w:rPr>
                <w:rFonts w:ascii="Arial" w:eastAsia="Times New Roman" w:hAnsi="Arial" w:cs="Arial"/>
                <w:bCs/>
                <w:color w:val="000000" w:themeColor="text1"/>
                <w:sz w:val="18"/>
                <w:szCs w:val="18"/>
              </w:rPr>
              <w:t>(1.7)</w:t>
            </w:r>
          </w:p>
        </w:tc>
        <w:tc>
          <w:tcPr>
            <w:tcW w:w="927" w:type="pct"/>
            <w:shd w:val="clear" w:color="auto" w:fill="auto"/>
            <w:vAlign w:val="bottom"/>
          </w:tcPr>
          <w:p w14:paraId="5F419E89" w14:textId="16E3EDEC" w:rsidR="000C2FC9" w:rsidRPr="003D1614" w:rsidRDefault="000C2FC9" w:rsidP="000C2FC9">
            <w:pPr>
              <w:suppressAutoHyphens/>
              <w:autoSpaceDN w:val="0"/>
              <w:spacing w:line="360" w:lineRule="auto"/>
              <w:jc w:val="right"/>
              <w:rPr>
                <w:rFonts w:ascii="Arial" w:eastAsia="Times New Roman" w:hAnsi="Arial" w:cs="Arial"/>
                <w:bCs/>
                <w:color w:val="000000" w:themeColor="text1"/>
                <w:sz w:val="18"/>
                <w:szCs w:val="18"/>
              </w:rPr>
            </w:pPr>
            <w:r>
              <w:rPr>
                <w:rFonts w:ascii="Arial" w:hAnsi="Arial" w:cs="Arial"/>
                <w:bCs/>
                <w:color w:val="000000" w:themeColor="text1"/>
                <w:sz w:val="18"/>
                <w:szCs w:val="18"/>
              </w:rPr>
              <w:t>-0,6</w:t>
            </w:r>
          </w:p>
        </w:tc>
        <w:tc>
          <w:tcPr>
            <w:tcW w:w="929" w:type="pct"/>
            <w:shd w:val="clear" w:color="auto" w:fill="auto"/>
            <w:vAlign w:val="bottom"/>
          </w:tcPr>
          <w:p w14:paraId="736BCE46" w14:textId="2F05168B" w:rsidR="000C2FC9" w:rsidRPr="003D1614" w:rsidRDefault="000C2FC9" w:rsidP="000C2FC9">
            <w:pPr>
              <w:suppressAutoHyphens/>
              <w:autoSpaceDN w:val="0"/>
              <w:spacing w:line="360" w:lineRule="auto"/>
              <w:jc w:val="right"/>
              <w:rPr>
                <w:rFonts w:ascii="Arial" w:eastAsia="Times New Roman" w:hAnsi="Arial" w:cs="Arial"/>
                <w:bCs/>
                <w:color w:val="000000" w:themeColor="text1"/>
                <w:sz w:val="18"/>
                <w:szCs w:val="18"/>
              </w:rPr>
            </w:pPr>
            <w:r>
              <w:rPr>
                <w:rFonts w:ascii="Arial" w:hAnsi="Arial" w:cs="Arial"/>
                <w:bCs/>
                <w:color w:val="000000" w:themeColor="text1"/>
                <w:sz w:val="18"/>
                <w:szCs w:val="18"/>
              </w:rPr>
              <w:t>(5)</w:t>
            </w:r>
          </w:p>
        </w:tc>
      </w:tr>
      <w:tr w:rsidR="000C2FC9" w:rsidRPr="003D1614" w14:paraId="5A27F2C9" w14:textId="77777777" w:rsidTr="00565049">
        <w:trPr>
          <w:trHeight w:hRule="exact" w:val="284"/>
          <w:jc w:val="center"/>
        </w:trPr>
        <w:tc>
          <w:tcPr>
            <w:tcW w:w="1289" w:type="pct"/>
            <w:shd w:val="clear" w:color="auto" w:fill="auto"/>
            <w:vAlign w:val="center"/>
          </w:tcPr>
          <w:p w14:paraId="2F41A7EE" w14:textId="77777777" w:rsidR="000C2FC9" w:rsidRPr="003D1614" w:rsidRDefault="000C2FC9" w:rsidP="000C2FC9">
            <w:pPr>
              <w:suppressAutoHyphens/>
              <w:autoSpaceDN w:val="0"/>
              <w:spacing w:line="360" w:lineRule="auto"/>
              <w:jc w:val="both"/>
              <w:rPr>
                <w:rFonts w:ascii="Arial" w:eastAsia="Times New Roman" w:hAnsi="Arial" w:cs="Arial"/>
                <w:bCs/>
                <w:color w:val="000000" w:themeColor="text1"/>
                <w:sz w:val="18"/>
                <w:szCs w:val="18"/>
              </w:rPr>
            </w:pPr>
            <w:r w:rsidRPr="003D1614">
              <w:rPr>
                <w:rFonts w:ascii="Arial" w:eastAsia="Times New Roman" w:hAnsi="Arial" w:cs="Arial"/>
                <w:bCs/>
                <w:color w:val="000000" w:themeColor="text1"/>
                <w:sz w:val="18"/>
                <w:szCs w:val="18"/>
              </w:rPr>
              <w:t>USD</w:t>
            </w:r>
          </w:p>
        </w:tc>
        <w:tc>
          <w:tcPr>
            <w:tcW w:w="927" w:type="pct"/>
            <w:shd w:val="clear" w:color="auto" w:fill="auto"/>
            <w:vAlign w:val="bottom"/>
          </w:tcPr>
          <w:p w14:paraId="04D41CDF" w14:textId="5DF20191" w:rsidR="000C2FC9" w:rsidRPr="003D1614" w:rsidRDefault="005A1F61" w:rsidP="000C2FC9">
            <w:pPr>
              <w:suppressAutoHyphens/>
              <w:autoSpaceDN w:val="0"/>
              <w:spacing w:line="360" w:lineRule="auto"/>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-0,2</w:t>
            </w:r>
          </w:p>
        </w:tc>
        <w:tc>
          <w:tcPr>
            <w:tcW w:w="927" w:type="pct"/>
            <w:shd w:val="clear" w:color="auto" w:fill="auto"/>
            <w:vAlign w:val="bottom"/>
          </w:tcPr>
          <w:p w14:paraId="58644E75" w14:textId="0ADB76BA" w:rsidR="000C2FC9" w:rsidRPr="005D1219" w:rsidRDefault="00E576CE" w:rsidP="000C2FC9">
            <w:pPr>
              <w:suppressAutoHyphens/>
              <w:autoSpaceDN w:val="0"/>
              <w:spacing w:line="360" w:lineRule="auto"/>
              <w:jc w:val="right"/>
              <w:rPr>
                <w:rFonts w:ascii="Arial" w:eastAsia="Times New Roman" w:hAnsi="Arial" w:cs="Arial"/>
                <w:bCs/>
                <w:color w:val="000000" w:themeColor="text1"/>
                <w:sz w:val="18"/>
                <w:szCs w:val="18"/>
                <w:highlight w:val="yellow"/>
              </w:rPr>
            </w:pPr>
            <w:r w:rsidRPr="005D1219">
              <w:rPr>
                <w:rFonts w:ascii="Arial" w:eastAsia="Times New Roman" w:hAnsi="Arial" w:cs="Arial"/>
                <w:bCs/>
                <w:color w:val="000000" w:themeColor="text1"/>
                <w:sz w:val="18"/>
                <w:szCs w:val="18"/>
              </w:rPr>
              <w:t>(0.2)</w:t>
            </w:r>
          </w:p>
        </w:tc>
        <w:tc>
          <w:tcPr>
            <w:tcW w:w="927" w:type="pct"/>
            <w:shd w:val="clear" w:color="auto" w:fill="auto"/>
            <w:vAlign w:val="bottom"/>
          </w:tcPr>
          <w:p w14:paraId="1B22C83B" w14:textId="0891FD05" w:rsidR="000C2FC9" w:rsidRPr="003D1614" w:rsidRDefault="000C2FC9" w:rsidP="000C2FC9">
            <w:pPr>
              <w:suppressAutoHyphens/>
              <w:autoSpaceDN w:val="0"/>
              <w:spacing w:line="360" w:lineRule="auto"/>
              <w:jc w:val="right"/>
              <w:rPr>
                <w:rFonts w:ascii="Arial" w:eastAsia="Times New Roman" w:hAnsi="Arial" w:cs="Arial"/>
                <w:bCs/>
                <w:color w:val="000000" w:themeColor="text1"/>
                <w:sz w:val="18"/>
                <w:szCs w:val="18"/>
              </w:rPr>
            </w:pPr>
            <w:r>
              <w:rPr>
                <w:rFonts w:ascii="Arial" w:hAnsi="Arial" w:cs="Arial"/>
                <w:bCs/>
                <w:color w:val="000000" w:themeColor="text1"/>
                <w:sz w:val="18"/>
                <w:szCs w:val="18"/>
              </w:rPr>
              <w:t>-0,4</w:t>
            </w:r>
          </w:p>
        </w:tc>
        <w:tc>
          <w:tcPr>
            <w:tcW w:w="929" w:type="pct"/>
            <w:shd w:val="clear" w:color="auto" w:fill="auto"/>
            <w:vAlign w:val="bottom"/>
          </w:tcPr>
          <w:p w14:paraId="20683E3A" w14:textId="3147D402" w:rsidR="000C2FC9" w:rsidRPr="003D1614" w:rsidRDefault="000C2FC9" w:rsidP="000C2FC9">
            <w:pPr>
              <w:suppressAutoHyphens/>
              <w:autoSpaceDN w:val="0"/>
              <w:spacing w:line="360" w:lineRule="auto"/>
              <w:jc w:val="right"/>
              <w:rPr>
                <w:rFonts w:ascii="Arial" w:eastAsia="Times New Roman" w:hAnsi="Arial" w:cs="Arial"/>
                <w:bCs/>
                <w:color w:val="000000" w:themeColor="text1"/>
                <w:sz w:val="18"/>
                <w:szCs w:val="18"/>
              </w:rPr>
            </w:pPr>
            <w:r>
              <w:rPr>
                <w:rFonts w:ascii="Arial" w:hAnsi="Arial" w:cs="Arial"/>
                <w:bCs/>
                <w:color w:val="000000" w:themeColor="text1"/>
                <w:sz w:val="18"/>
                <w:szCs w:val="18"/>
              </w:rPr>
              <w:t>(0.4)</w:t>
            </w:r>
          </w:p>
        </w:tc>
      </w:tr>
    </w:tbl>
    <w:p w14:paraId="22C14B69" w14:textId="241AED23" w:rsidR="009243A8" w:rsidRPr="003D1614" w:rsidRDefault="009243A8" w:rsidP="00661446">
      <w:pPr>
        <w:suppressAutoHyphens/>
        <w:autoSpaceDN w:val="0"/>
        <w:jc w:val="both"/>
        <w:rPr>
          <w:rFonts w:ascii="Arial" w:eastAsia="Times New Roman" w:hAnsi="Arial" w:cs="Arial"/>
          <w:bCs/>
          <w:i/>
          <w:color w:val="000000" w:themeColor="text1"/>
          <w:sz w:val="18"/>
          <w:szCs w:val="18"/>
        </w:rPr>
      </w:pPr>
    </w:p>
    <w:p w14:paraId="27AD5DBD" w14:textId="77777777" w:rsidR="006A67A0" w:rsidRPr="003D1614" w:rsidRDefault="006A67A0" w:rsidP="00661446">
      <w:pPr>
        <w:suppressAutoHyphens/>
        <w:autoSpaceDN w:val="0"/>
        <w:jc w:val="both"/>
        <w:rPr>
          <w:rFonts w:ascii="Arial" w:eastAsia="Times New Roman" w:hAnsi="Arial" w:cs="Arial"/>
          <w:bCs/>
          <w:i/>
          <w:color w:val="000000" w:themeColor="text1"/>
          <w:sz w:val="18"/>
          <w:szCs w:val="18"/>
        </w:rPr>
        <w:sectPr w:rsidR="006A67A0" w:rsidRPr="003D1614" w:rsidSect="003278AB">
          <w:pgSz w:w="11906" w:h="16838"/>
          <w:pgMar w:top="1417" w:right="1417" w:bottom="1417" w:left="1417" w:header="708" w:footer="708" w:gutter="0"/>
          <w:cols w:space="708"/>
          <w:docGrid w:linePitch="360"/>
        </w:sectPr>
      </w:pPr>
    </w:p>
    <w:p w14:paraId="5A5265CE" w14:textId="77777777" w:rsidR="006A67A0" w:rsidRPr="003D1614" w:rsidRDefault="006A67A0" w:rsidP="006A67A0">
      <w:pPr>
        <w:keepNext/>
        <w:suppressAutoHyphens/>
        <w:autoSpaceDN w:val="0"/>
        <w:jc w:val="both"/>
        <w:outlineLvl w:val="0"/>
        <w:rPr>
          <w:rFonts w:ascii="Arial" w:eastAsia="Times New Roman" w:hAnsi="Arial" w:cs="Arial"/>
          <w:b/>
          <w:bCs/>
          <w:color w:val="000000" w:themeColor="text1"/>
          <w:sz w:val="20"/>
          <w:szCs w:val="20"/>
        </w:rPr>
      </w:pPr>
    </w:p>
    <w:p w14:paraId="26188553" w14:textId="4857DFE8"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15BF93CD"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7195E05C" w14:textId="1D16758B"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1DCD0ECD"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5EBD9F2B" w14:textId="34C18423"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.5.2.  Valutni rizik</w:t>
      </w:r>
    </w:p>
    <w:p w14:paraId="2B902683" w14:textId="77777777" w:rsidR="006A67A0" w:rsidRPr="003D1614" w:rsidRDefault="006A67A0" w:rsidP="006A67A0">
      <w:pPr>
        <w:suppressAutoHyphens/>
        <w:autoSpaceDN w:val="0"/>
        <w:jc w:val="both"/>
        <w:rPr>
          <w:rFonts w:ascii="Arial" w:eastAsia="Times New Roman" w:hAnsi="Arial" w:cs="Arial"/>
          <w:color w:val="000000" w:themeColor="text1"/>
          <w:sz w:val="20"/>
          <w:szCs w:val="20"/>
        </w:rPr>
      </w:pPr>
    </w:p>
    <w:p w14:paraId="54224D06" w14:textId="5F790FAB" w:rsidR="006A67A0" w:rsidRPr="003D1614" w:rsidRDefault="006A67A0" w:rsidP="006A67A0">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Iznos ukupne imovine i ukupnih obveza na dan 31. ožujka 202</w:t>
      </w:r>
      <w:r w:rsidR="007F18E1">
        <w:rPr>
          <w:rFonts w:ascii="Arial" w:eastAsia="Times New Roman" w:hAnsi="Arial" w:cs="Arial"/>
          <w:color w:val="000000" w:themeColor="text1"/>
          <w:sz w:val="20"/>
          <w:szCs w:val="20"/>
        </w:rPr>
        <w:t>4</w:t>
      </w:r>
      <w:r w:rsidRPr="003D1614">
        <w:rPr>
          <w:rFonts w:ascii="Arial" w:eastAsia="Times New Roman" w:hAnsi="Arial" w:cs="Arial"/>
          <w:color w:val="000000" w:themeColor="text1"/>
          <w:sz w:val="20"/>
          <w:szCs w:val="20"/>
        </w:rPr>
        <w:t>. i 31. prosinca 202</w:t>
      </w:r>
      <w:r w:rsidR="007F18E1">
        <w:rPr>
          <w:rFonts w:ascii="Arial" w:eastAsia="Times New Roman" w:hAnsi="Arial" w:cs="Arial"/>
          <w:color w:val="000000" w:themeColor="text1"/>
          <w:sz w:val="20"/>
          <w:szCs w:val="20"/>
        </w:rPr>
        <w:t>3</w:t>
      </w:r>
      <w:r w:rsidRPr="003D1614">
        <w:rPr>
          <w:rFonts w:ascii="Arial" w:eastAsia="Times New Roman" w:hAnsi="Arial" w:cs="Arial"/>
          <w:color w:val="000000" w:themeColor="text1"/>
          <w:sz w:val="20"/>
          <w:szCs w:val="20"/>
        </w:rPr>
        <w:t xml:space="preserve">. u </w:t>
      </w:r>
      <w:r w:rsidR="0056069E">
        <w:rPr>
          <w:rFonts w:ascii="Arial" w:eastAsia="Times New Roman" w:hAnsi="Arial" w:cs="Arial"/>
          <w:color w:val="000000" w:themeColor="text1"/>
          <w:sz w:val="20"/>
          <w:szCs w:val="20"/>
        </w:rPr>
        <w:t>eurima</w:t>
      </w:r>
      <w:r w:rsidRPr="003D1614">
        <w:rPr>
          <w:rFonts w:ascii="Arial" w:eastAsia="Times New Roman" w:hAnsi="Arial" w:cs="Arial"/>
          <w:color w:val="000000" w:themeColor="text1"/>
          <w:sz w:val="20"/>
          <w:szCs w:val="20"/>
        </w:rPr>
        <w:t xml:space="preserve"> i devizama:</w:t>
      </w:r>
    </w:p>
    <w:p w14:paraId="42F1CC6D" w14:textId="77777777" w:rsidR="006A67A0" w:rsidRPr="003D1614" w:rsidRDefault="006A67A0" w:rsidP="006A67A0">
      <w:pPr>
        <w:keepNext/>
        <w:suppressAutoHyphens/>
        <w:autoSpaceDN w:val="0"/>
        <w:jc w:val="both"/>
        <w:outlineLvl w:val="0"/>
        <w:rPr>
          <w:rFonts w:ascii="Arial" w:eastAsia="Times New Roman" w:hAnsi="Arial" w:cs="Arial"/>
          <w:color w:val="000000" w:themeColor="text1"/>
          <w:sz w:val="20"/>
          <w:szCs w:val="20"/>
        </w:rPr>
      </w:pPr>
    </w:p>
    <w:tbl>
      <w:tblPr>
        <w:tblW w:w="5061" w:type="pct"/>
        <w:tblLayout w:type="fixed"/>
        <w:tblCellMar>
          <w:left w:w="10" w:type="dxa"/>
          <w:right w:w="10" w:type="dxa"/>
        </w:tblCellMar>
        <w:tblLook w:val="0000" w:firstRow="0" w:lastRow="0" w:firstColumn="0" w:lastColumn="0" w:noHBand="0" w:noVBand="0"/>
      </w:tblPr>
      <w:tblGrid>
        <w:gridCol w:w="3515"/>
        <w:gridCol w:w="1417"/>
        <w:gridCol w:w="1417"/>
        <w:gridCol w:w="1417"/>
        <w:gridCol w:w="1417"/>
      </w:tblGrid>
      <w:tr w:rsidR="00B47639" w:rsidRPr="003D1614" w14:paraId="2EB2F3F7" w14:textId="77777777" w:rsidTr="00CE46C0">
        <w:trPr>
          <w:trHeight w:val="415"/>
        </w:trPr>
        <w:tc>
          <w:tcPr>
            <w:tcW w:w="3515" w:type="dxa"/>
            <w:tcMar>
              <w:top w:w="0" w:type="dxa"/>
              <w:left w:w="120" w:type="dxa"/>
              <w:bottom w:w="0" w:type="dxa"/>
              <w:right w:w="120" w:type="dxa"/>
            </w:tcMar>
            <w:vAlign w:val="bottom"/>
          </w:tcPr>
          <w:p w14:paraId="2CF3829F" w14:textId="77777777" w:rsidR="00B47639" w:rsidRPr="003D1614" w:rsidRDefault="00B47639" w:rsidP="00B47639">
            <w:pPr>
              <w:tabs>
                <w:tab w:val="right" w:pos="1202"/>
              </w:tabs>
              <w:suppressAutoHyphens/>
              <w:autoSpaceDN w:val="0"/>
              <w:spacing w:line="220" w:lineRule="exact"/>
              <w:outlineLvl w:val="0"/>
              <w:rPr>
                <w:rFonts w:ascii="Arial" w:eastAsia="Calibri" w:hAnsi="Arial" w:cs="Arial"/>
                <w:b/>
                <w:color w:val="000000" w:themeColor="text1"/>
                <w:sz w:val="17"/>
                <w:szCs w:val="17"/>
              </w:rPr>
            </w:pPr>
            <w:bookmarkStart w:id="964" w:name="_Toc67330684"/>
            <w:r w:rsidRPr="003D1614">
              <w:rPr>
                <w:rFonts w:ascii="Arial" w:eastAsia="Calibri" w:hAnsi="Arial" w:cs="Arial"/>
                <w:b/>
                <w:color w:val="000000" w:themeColor="text1"/>
                <w:sz w:val="17"/>
                <w:szCs w:val="17"/>
              </w:rPr>
              <w:t>Grupa</w:t>
            </w:r>
          </w:p>
          <w:p w14:paraId="14E6D6D2" w14:textId="77777777" w:rsidR="00B47639" w:rsidRPr="003D1614" w:rsidRDefault="00B47639" w:rsidP="00B47639">
            <w:pPr>
              <w:tabs>
                <w:tab w:val="right" w:pos="1202"/>
              </w:tabs>
              <w:suppressAutoHyphens/>
              <w:autoSpaceDN w:val="0"/>
              <w:spacing w:line="220" w:lineRule="exact"/>
              <w:outlineLvl w:val="0"/>
              <w:rPr>
                <w:rFonts w:ascii="Arial" w:eastAsia="Calibri" w:hAnsi="Arial" w:cs="Arial"/>
                <w:b/>
                <w:color w:val="000000" w:themeColor="text1"/>
                <w:sz w:val="17"/>
                <w:szCs w:val="17"/>
              </w:rPr>
            </w:pPr>
          </w:p>
          <w:p w14:paraId="76CBED95" w14:textId="77777777" w:rsidR="00B47639" w:rsidRPr="003D1614" w:rsidRDefault="00B47639" w:rsidP="00B47639">
            <w:pPr>
              <w:tabs>
                <w:tab w:val="right" w:pos="1202"/>
              </w:tabs>
              <w:suppressAutoHyphens/>
              <w:autoSpaceDN w:val="0"/>
              <w:spacing w:line="220" w:lineRule="exact"/>
              <w:outlineLvl w:val="0"/>
              <w:rPr>
                <w:rFonts w:ascii="Arial" w:eastAsia="Calibri" w:hAnsi="Arial" w:cs="Arial"/>
                <w:b/>
                <w:color w:val="000000" w:themeColor="text1"/>
                <w:sz w:val="17"/>
                <w:szCs w:val="17"/>
              </w:rPr>
            </w:pPr>
            <w:r w:rsidRPr="003D1614">
              <w:rPr>
                <w:rFonts w:ascii="Arial" w:eastAsia="Calibri" w:hAnsi="Arial" w:cs="Arial"/>
                <w:b/>
                <w:color w:val="000000" w:themeColor="text1"/>
                <w:sz w:val="17"/>
                <w:szCs w:val="17"/>
              </w:rPr>
              <w:t>31. ožujka 202</w:t>
            </w:r>
            <w:r>
              <w:rPr>
                <w:rFonts w:ascii="Arial" w:eastAsia="Calibri" w:hAnsi="Arial" w:cs="Arial"/>
                <w:b/>
                <w:color w:val="000000" w:themeColor="text1"/>
                <w:sz w:val="17"/>
                <w:szCs w:val="17"/>
              </w:rPr>
              <w:t>4</w:t>
            </w:r>
            <w:r w:rsidRPr="003D1614">
              <w:rPr>
                <w:rFonts w:ascii="Arial" w:eastAsia="Calibri" w:hAnsi="Arial" w:cs="Arial"/>
                <w:b/>
                <w:color w:val="000000" w:themeColor="text1"/>
                <w:sz w:val="17"/>
                <w:szCs w:val="17"/>
              </w:rPr>
              <w:t xml:space="preserve">. </w:t>
            </w:r>
          </w:p>
        </w:tc>
        <w:tc>
          <w:tcPr>
            <w:tcW w:w="1417" w:type="dxa"/>
            <w:tcMar>
              <w:top w:w="0" w:type="dxa"/>
              <w:left w:w="120" w:type="dxa"/>
              <w:bottom w:w="0" w:type="dxa"/>
              <w:right w:w="120" w:type="dxa"/>
            </w:tcMar>
          </w:tcPr>
          <w:p w14:paraId="08666F48" w14:textId="77777777" w:rsidR="00B47639" w:rsidRPr="003D1614" w:rsidRDefault="00B47639" w:rsidP="00B47639">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56069E">
              <w:rPr>
                <w:rFonts w:ascii="Arial" w:eastAsia="Calibri" w:hAnsi="Arial" w:cs="Arial"/>
                <w:b/>
                <w:color w:val="000000" w:themeColor="text1"/>
                <w:sz w:val="17"/>
                <w:szCs w:val="17"/>
              </w:rPr>
              <w:t>EUR</w:t>
            </w:r>
          </w:p>
        </w:tc>
        <w:tc>
          <w:tcPr>
            <w:tcW w:w="1417" w:type="dxa"/>
            <w:tcMar>
              <w:top w:w="0" w:type="dxa"/>
              <w:left w:w="120" w:type="dxa"/>
              <w:bottom w:w="0" w:type="dxa"/>
              <w:right w:w="120" w:type="dxa"/>
            </w:tcMar>
          </w:tcPr>
          <w:p w14:paraId="5CC7E443" w14:textId="77777777" w:rsidR="00B47639" w:rsidRPr="0056069E" w:rsidRDefault="00B47639" w:rsidP="00B47639">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56069E">
              <w:rPr>
                <w:rFonts w:ascii="Arial" w:eastAsia="Calibri" w:hAnsi="Arial" w:cs="Arial"/>
                <w:b/>
                <w:color w:val="000000" w:themeColor="text1"/>
                <w:sz w:val="17"/>
                <w:szCs w:val="17"/>
              </w:rPr>
              <w:t>USD</w:t>
            </w:r>
          </w:p>
        </w:tc>
        <w:tc>
          <w:tcPr>
            <w:tcW w:w="1417" w:type="dxa"/>
            <w:tcMar>
              <w:top w:w="0" w:type="dxa"/>
              <w:left w:w="120" w:type="dxa"/>
              <w:bottom w:w="0" w:type="dxa"/>
              <w:right w:w="120" w:type="dxa"/>
            </w:tcMar>
          </w:tcPr>
          <w:p w14:paraId="7B8CC6A3" w14:textId="77777777" w:rsidR="00B47639" w:rsidRPr="003D1614" w:rsidRDefault="00B47639" w:rsidP="00B47639">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3D1614">
              <w:rPr>
                <w:rFonts w:ascii="Arial" w:eastAsia="Calibri" w:hAnsi="Arial" w:cs="Arial"/>
                <w:b/>
                <w:color w:val="000000" w:themeColor="text1"/>
                <w:sz w:val="17"/>
                <w:szCs w:val="17"/>
              </w:rPr>
              <w:t>Ostale valute</w:t>
            </w:r>
          </w:p>
        </w:tc>
        <w:tc>
          <w:tcPr>
            <w:tcW w:w="1417" w:type="dxa"/>
            <w:tcMar>
              <w:top w:w="0" w:type="dxa"/>
              <w:left w:w="120" w:type="dxa"/>
              <w:bottom w:w="0" w:type="dxa"/>
              <w:right w:w="120" w:type="dxa"/>
            </w:tcMar>
          </w:tcPr>
          <w:p w14:paraId="62AD556C" w14:textId="77777777" w:rsidR="00B47639" w:rsidRPr="003D1614" w:rsidRDefault="00B47639" w:rsidP="00B47639">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3D1614">
              <w:rPr>
                <w:rFonts w:ascii="Arial" w:eastAsia="Calibri" w:hAnsi="Arial" w:cs="Arial"/>
                <w:b/>
                <w:color w:val="000000" w:themeColor="text1"/>
                <w:sz w:val="17"/>
                <w:szCs w:val="17"/>
              </w:rPr>
              <w:t>Ukupno</w:t>
            </w:r>
          </w:p>
        </w:tc>
      </w:tr>
      <w:tr w:rsidR="00B47639" w:rsidRPr="003D1614" w14:paraId="500D687D" w14:textId="77777777" w:rsidTr="00CE46C0">
        <w:trPr>
          <w:trHeight w:hRule="exact" w:val="272"/>
        </w:trPr>
        <w:tc>
          <w:tcPr>
            <w:tcW w:w="3515" w:type="dxa"/>
            <w:tcMar>
              <w:top w:w="0" w:type="dxa"/>
              <w:left w:w="120" w:type="dxa"/>
              <w:bottom w:w="0" w:type="dxa"/>
              <w:right w:w="120" w:type="dxa"/>
            </w:tcMar>
          </w:tcPr>
          <w:p w14:paraId="22461B81" w14:textId="77777777" w:rsidR="00B47639" w:rsidRPr="003D1614" w:rsidRDefault="00B47639" w:rsidP="00B47639">
            <w:pPr>
              <w:tabs>
                <w:tab w:val="right" w:pos="1202"/>
              </w:tabs>
              <w:suppressAutoHyphens/>
              <w:autoSpaceDN w:val="0"/>
              <w:spacing w:line="220" w:lineRule="exact"/>
              <w:outlineLvl w:val="0"/>
              <w:rPr>
                <w:rFonts w:ascii="Arial" w:eastAsia="Calibri" w:hAnsi="Arial" w:cs="Arial"/>
                <w:b/>
                <w:color w:val="000000" w:themeColor="text1"/>
                <w:sz w:val="17"/>
                <w:szCs w:val="17"/>
              </w:rPr>
            </w:pPr>
          </w:p>
        </w:tc>
        <w:tc>
          <w:tcPr>
            <w:tcW w:w="1417" w:type="dxa"/>
            <w:tcMar>
              <w:top w:w="0" w:type="dxa"/>
              <w:left w:w="120" w:type="dxa"/>
              <w:bottom w:w="0" w:type="dxa"/>
              <w:right w:w="120" w:type="dxa"/>
            </w:tcMar>
          </w:tcPr>
          <w:p w14:paraId="7699F65B" w14:textId="77777777" w:rsidR="00B47639" w:rsidRPr="003D1614" w:rsidRDefault="00B47639" w:rsidP="00B47639">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3D1614">
              <w:rPr>
                <w:rFonts w:ascii="Arial" w:eastAsia="Calibri" w:hAnsi="Arial" w:cs="Arial"/>
                <w:b/>
                <w:color w:val="000000" w:themeColor="text1"/>
                <w:sz w:val="17"/>
                <w:szCs w:val="17"/>
              </w:rPr>
              <w:t>000 eura</w:t>
            </w:r>
          </w:p>
        </w:tc>
        <w:tc>
          <w:tcPr>
            <w:tcW w:w="1417" w:type="dxa"/>
            <w:tcMar>
              <w:top w:w="0" w:type="dxa"/>
              <w:left w:w="120" w:type="dxa"/>
              <w:bottom w:w="0" w:type="dxa"/>
              <w:right w:w="120" w:type="dxa"/>
            </w:tcMar>
          </w:tcPr>
          <w:p w14:paraId="0B8D00BD" w14:textId="77777777" w:rsidR="00B47639" w:rsidRPr="0056069E" w:rsidRDefault="00B47639" w:rsidP="00B47639">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56069E">
              <w:rPr>
                <w:rFonts w:ascii="Arial" w:eastAsia="Calibri" w:hAnsi="Arial" w:cs="Arial"/>
                <w:b/>
                <w:color w:val="000000" w:themeColor="text1"/>
                <w:sz w:val="17"/>
                <w:szCs w:val="17"/>
              </w:rPr>
              <w:t>000 eura</w:t>
            </w:r>
          </w:p>
        </w:tc>
        <w:tc>
          <w:tcPr>
            <w:tcW w:w="1417" w:type="dxa"/>
            <w:tcMar>
              <w:top w:w="0" w:type="dxa"/>
              <w:left w:w="120" w:type="dxa"/>
              <w:bottom w:w="0" w:type="dxa"/>
              <w:right w:w="120" w:type="dxa"/>
            </w:tcMar>
          </w:tcPr>
          <w:p w14:paraId="3B6219EB" w14:textId="77777777" w:rsidR="00B47639" w:rsidRPr="003D1614" w:rsidRDefault="00B47639" w:rsidP="00B47639">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3D1614">
              <w:rPr>
                <w:rFonts w:ascii="Arial" w:eastAsia="Calibri" w:hAnsi="Arial" w:cs="Arial"/>
                <w:b/>
                <w:color w:val="000000" w:themeColor="text1"/>
                <w:sz w:val="17"/>
                <w:szCs w:val="17"/>
              </w:rPr>
              <w:t>000 eura</w:t>
            </w:r>
          </w:p>
        </w:tc>
        <w:tc>
          <w:tcPr>
            <w:tcW w:w="1417" w:type="dxa"/>
            <w:tcMar>
              <w:top w:w="0" w:type="dxa"/>
              <w:left w:w="120" w:type="dxa"/>
              <w:bottom w:w="0" w:type="dxa"/>
              <w:right w:w="120" w:type="dxa"/>
            </w:tcMar>
          </w:tcPr>
          <w:p w14:paraId="3D891C3F" w14:textId="77777777" w:rsidR="00B47639" w:rsidRPr="003D1614" w:rsidRDefault="00B47639" w:rsidP="00B47639">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3D1614">
              <w:rPr>
                <w:rFonts w:ascii="Arial" w:eastAsia="Calibri" w:hAnsi="Arial" w:cs="Arial"/>
                <w:b/>
                <w:color w:val="000000" w:themeColor="text1"/>
                <w:sz w:val="17"/>
                <w:szCs w:val="17"/>
              </w:rPr>
              <w:t>000 eura</w:t>
            </w:r>
          </w:p>
        </w:tc>
      </w:tr>
      <w:tr w:rsidR="00B47639" w:rsidRPr="003D1614" w14:paraId="5762F6D8" w14:textId="77777777" w:rsidTr="00CE46C0">
        <w:trPr>
          <w:trHeight w:val="240"/>
        </w:trPr>
        <w:tc>
          <w:tcPr>
            <w:tcW w:w="3515" w:type="dxa"/>
            <w:tcMar>
              <w:top w:w="0" w:type="dxa"/>
              <w:left w:w="120" w:type="dxa"/>
              <w:bottom w:w="0" w:type="dxa"/>
              <w:right w:w="120" w:type="dxa"/>
            </w:tcMar>
          </w:tcPr>
          <w:p w14:paraId="2D6E67D1" w14:textId="77777777" w:rsidR="00B47639" w:rsidRPr="003D1614" w:rsidRDefault="00B47639" w:rsidP="00B47639">
            <w:pPr>
              <w:tabs>
                <w:tab w:val="right" w:pos="1202"/>
              </w:tabs>
              <w:suppressAutoHyphens/>
              <w:autoSpaceDN w:val="0"/>
              <w:spacing w:line="240" w:lineRule="exact"/>
              <w:outlineLvl w:val="0"/>
              <w:rPr>
                <w:rFonts w:ascii="Arial" w:eastAsia="Calibri" w:hAnsi="Arial" w:cs="Arial"/>
                <w:b/>
                <w:color w:val="000000" w:themeColor="text1"/>
                <w:sz w:val="17"/>
                <w:szCs w:val="17"/>
              </w:rPr>
            </w:pPr>
            <w:r w:rsidRPr="003D1614">
              <w:rPr>
                <w:rFonts w:ascii="Arial" w:eastAsia="Calibri" w:hAnsi="Arial" w:cs="Arial"/>
                <w:b/>
                <w:color w:val="000000" w:themeColor="text1"/>
                <w:sz w:val="17"/>
                <w:szCs w:val="17"/>
              </w:rPr>
              <w:t>Imovina</w:t>
            </w:r>
          </w:p>
        </w:tc>
        <w:tc>
          <w:tcPr>
            <w:tcW w:w="1417" w:type="dxa"/>
            <w:tcMar>
              <w:top w:w="0" w:type="dxa"/>
              <w:left w:w="120" w:type="dxa"/>
              <w:bottom w:w="0" w:type="dxa"/>
              <w:right w:w="120" w:type="dxa"/>
            </w:tcMar>
            <w:vAlign w:val="bottom"/>
          </w:tcPr>
          <w:p w14:paraId="7F917FAF"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p>
        </w:tc>
        <w:tc>
          <w:tcPr>
            <w:tcW w:w="1417" w:type="dxa"/>
            <w:tcMar>
              <w:top w:w="0" w:type="dxa"/>
              <w:left w:w="120" w:type="dxa"/>
              <w:bottom w:w="0" w:type="dxa"/>
              <w:right w:w="120" w:type="dxa"/>
            </w:tcMar>
            <w:vAlign w:val="bottom"/>
          </w:tcPr>
          <w:p w14:paraId="0BDC56B6"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p>
        </w:tc>
        <w:tc>
          <w:tcPr>
            <w:tcW w:w="1417" w:type="dxa"/>
            <w:tcMar>
              <w:top w:w="0" w:type="dxa"/>
              <w:left w:w="120" w:type="dxa"/>
              <w:bottom w:w="0" w:type="dxa"/>
              <w:right w:w="120" w:type="dxa"/>
            </w:tcMar>
            <w:vAlign w:val="bottom"/>
          </w:tcPr>
          <w:p w14:paraId="1EF73A98"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p>
        </w:tc>
        <w:tc>
          <w:tcPr>
            <w:tcW w:w="1417" w:type="dxa"/>
            <w:tcMar>
              <w:top w:w="0" w:type="dxa"/>
              <w:left w:w="120" w:type="dxa"/>
              <w:bottom w:w="0" w:type="dxa"/>
              <w:right w:w="120" w:type="dxa"/>
            </w:tcMar>
            <w:vAlign w:val="bottom"/>
          </w:tcPr>
          <w:p w14:paraId="0D8F8EB9"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p>
        </w:tc>
      </w:tr>
      <w:tr w:rsidR="00B47639" w:rsidRPr="003D1614" w14:paraId="08C8E2EF" w14:textId="77777777" w:rsidTr="00CE46C0">
        <w:trPr>
          <w:trHeight w:val="178"/>
        </w:trPr>
        <w:tc>
          <w:tcPr>
            <w:tcW w:w="3515" w:type="dxa"/>
            <w:tcMar>
              <w:top w:w="0" w:type="dxa"/>
              <w:left w:w="120" w:type="dxa"/>
              <w:bottom w:w="0" w:type="dxa"/>
              <w:right w:w="120" w:type="dxa"/>
            </w:tcMar>
            <w:vAlign w:val="bottom"/>
          </w:tcPr>
          <w:p w14:paraId="0AA499AF" w14:textId="77777777" w:rsidR="00B47639" w:rsidRPr="003D1614" w:rsidRDefault="00B47639" w:rsidP="00B47639">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pacing w:val="-2"/>
                <w:sz w:val="17"/>
                <w:szCs w:val="17"/>
              </w:rPr>
              <w:t>Novčana sredstva i računi kod banaka</w:t>
            </w:r>
          </w:p>
        </w:tc>
        <w:tc>
          <w:tcPr>
            <w:tcW w:w="1417" w:type="dxa"/>
            <w:tcBorders>
              <w:top w:val="nil"/>
              <w:left w:val="nil"/>
              <w:right w:val="nil"/>
            </w:tcBorders>
            <w:tcMar>
              <w:top w:w="0" w:type="dxa"/>
              <w:left w:w="120" w:type="dxa"/>
              <w:bottom w:w="0" w:type="dxa"/>
              <w:right w:w="120" w:type="dxa"/>
            </w:tcMar>
            <w:vAlign w:val="bottom"/>
          </w:tcPr>
          <w:p w14:paraId="67A8808D"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76.510</w:t>
            </w:r>
          </w:p>
        </w:tc>
        <w:tc>
          <w:tcPr>
            <w:tcW w:w="1417" w:type="dxa"/>
            <w:tcBorders>
              <w:top w:val="nil"/>
              <w:left w:val="nil"/>
              <w:right w:val="nil"/>
            </w:tcBorders>
            <w:tcMar>
              <w:top w:w="0" w:type="dxa"/>
              <w:left w:w="120" w:type="dxa"/>
              <w:bottom w:w="0" w:type="dxa"/>
              <w:right w:w="120" w:type="dxa"/>
            </w:tcMar>
            <w:vAlign w:val="bottom"/>
          </w:tcPr>
          <w:p w14:paraId="465880FB"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842</w:t>
            </w:r>
          </w:p>
        </w:tc>
        <w:tc>
          <w:tcPr>
            <w:tcW w:w="1417" w:type="dxa"/>
            <w:tcBorders>
              <w:top w:val="nil"/>
              <w:left w:val="nil"/>
              <w:right w:val="nil"/>
            </w:tcBorders>
            <w:tcMar>
              <w:top w:w="0" w:type="dxa"/>
              <w:left w:w="120" w:type="dxa"/>
              <w:bottom w:w="0" w:type="dxa"/>
              <w:right w:w="120" w:type="dxa"/>
            </w:tcMar>
            <w:vAlign w:val="bottom"/>
          </w:tcPr>
          <w:p w14:paraId="4C58FC44"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20</w:t>
            </w:r>
          </w:p>
        </w:tc>
        <w:tc>
          <w:tcPr>
            <w:tcW w:w="1417" w:type="dxa"/>
            <w:tcBorders>
              <w:top w:val="nil"/>
              <w:left w:val="nil"/>
            </w:tcBorders>
            <w:tcMar>
              <w:top w:w="0" w:type="dxa"/>
              <w:left w:w="120" w:type="dxa"/>
              <w:bottom w:w="0" w:type="dxa"/>
              <w:right w:w="120" w:type="dxa"/>
            </w:tcMar>
            <w:vAlign w:val="bottom"/>
          </w:tcPr>
          <w:p w14:paraId="0CD2A9CD"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77.372</w:t>
            </w:r>
          </w:p>
        </w:tc>
      </w:tr>
      <w:tr w:rsidR="00B47639" w:rsidRPr="003D1614" w14:paraId="46E8050C" w14:textId="77777777" w:rsidTr="00CE46C0">
        <w:trPr>
          <w:trHeight w:val="240"/>
        </w:trPr>
        <w:tc>
          <w:tcPr>
            <w:tcW w:w="3515" w:type="dxa"/>
            <w:tcMar>
              <w:top w:w="0" w:type="dxa"/>
              <w:left w:w="120" w:type="dxa"/>
              <w:bottom w:w="0" w:type="dxa"/>
              <w:right w:w="120" w:type="dxa"/>
            </w:tcMar>
            <w:vAlign w:val="bottom"/>
          </w:tcPr>
          <w:p w14:paraId="1DB6ACEA" w14:textId="77777777" w:rsidR="00B47639" w:rsidRPr="003D1614" w:rsidRDefault="00B47639" w:rsidP="00B47639">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pacing w:val="-2"/>
                <w:sz w:val="17"/>
                <w:szCs w:val="17"/>
              </w:rPr>
              <w:t>Depoziti kod drugih banaka</w:t>
            </w:r>
          </w:p>
        </w:tc>
        <w:tc>
          <w:tcPr>
            <w:tcW w:w="1417" w:type="dxa"/>
            <w:tcBorders>
              <w:top w:val="nil"/>
              <w:left w:val="nil"/>
              <w:bottom w:val="nil"/>
              <w:right w:val="nil"/>
            </w:tcBorders>
            <w:tcMar>
              <w:top w:w="0" w:type="dxa"/>
              <w:left w:w="120" w:type="dxa"/>
              <w:bottom w:w="0" w:type="dxa"/>
              <w:right w:w="120" w:type="dxa"/>
            </w:tcMar>
            <w:vAlign w:val="bottom"/>
          </w:tcPr>
          <w:p w14:paraId="0414486E"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129.200</w:t>
            </w:r>
          </w:p>
        </w:tc>
        <w:tc>
          <w:tcPr>
            <w:tcW w:w="1417" w:type="dxa"/>
            <w:tcBorders>
              <w:top w:val="nil"/>
              <w:left w:val="nil"/>
              <w:bottom w:val="nil"/>
              <w:right w:val="nil"/>
            </w:tcBorders>
            <w:tcMar>
              <w:top w:w="0" w:type="dxa"/>
              <w:left w:w="120" w:type="dxa"/>
              <w:bottom w:w="0" w:type="dxa"/>
              <w:right w:w="120" w:type="dxa"/>
            </w:tcMar>
            <w:vAlign w:val="bottom"/>
          </w:tcPr>
          <w:p w14:paraId="192B5903"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right w:val="nil"/>
            </w:tcBorders>
            <w:tcMar>
              <w:top w:w="0" w:type="dxa"/>
              <w:left w:w="120" w:type="dxa"/>
              <w:bottom w:w="0" w:type="dxa"/>
              <w:right w:w="120" w:type="dxa"/>
            </w:tcMar>
            <w:vAlign w:val="bottom"/>
          </w:tcPr>
          <w:p w14:paraId="2F0292A5"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tcBorders>
            <w:tcMar>
              <w:top w:w="0" w:type="dxa"/>
              <w:left w:w="120" w:type="dxa"/>
              <w:bottom w:w="0" w:type="dxa"/>
              <w:right w:w="120" w:type="dxa"/>
            </w:tcMar>
            <w:vAlign w:val="bottom"/>
          </w:tcPr>
          <w:p w14:paraId="10C09385"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129.200</w:t>
            </w:r>
          </w:p>
        </w:tc>
      </w:tr>
      <w:tr w:rsidR="00B47639" w:rsidRPr="003D1614" w14:paraId="6B0A4C58" w14:textId="77777777" w:rsidTr="00CE46C0">
        <w:trPr>
          <w:trHeight w:val="117"/>
        </w:trPr>
        <w:tc>
          <w:tcPr>
            <w:tcW w:w="3515" w:type="dxa"/>
            <w:tcMar>
              <w:top w:w="0" w:type="dxa"/>
              <w:left w:w="120" w:type="dxa"/>
              <w:bottom w:w="0" w:type="dxa"/>
              <w:right w:w="120" w:type="dxa"/>
            </w:tcMar>
            <w:vAlign w:val="bottom"/>
          </w:tcPr>
          <w:p w14:paraId="4E166BE2" w14:textId="77777777" w:rsidR="00B47639" w:rsidRPr="003D1614" w:rsidRDefault="00B47639" w:rsidP="00B47639">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3D1614">
              <w:rPr>
                <w:rFonts w:ascii="Arial" w:eastAsia="Calibri" w:hAnsi="Arial" w:cs="Arial"/>
                <w:color w:val="000000" w:themeColor="text1"/>
                <w:spacing w:val="-2"/>
                <w:sz w:val="17"/>
                <w:szCs w:val="17"/>
              </w:rPr>
              <w:t>Krediti financijskim institucijama</w:t>
            </w:r>
          </w:p>
        </w:tc>
        <w:tc>
          <w:tcPr>
            <w:tcW w:w="1417" w:type="dxa"/>
            <w:tcBorders>
              <w:top w:val="nil"/>
              <w:left w:val="nil"/>
              <w:bottom w:val="nil"/>
              <w:right w:val="nil"/>
            </w:tcBorders>
            <w:tcMar>
              <w:top w:w="0" w:type="dxa"/>
              <w:left w:w="120" w:type="dxa"/>
              <w:bottom w:w="0" w:type="dxa"/>
              <w:right w:w="120" w:type="dxa"/>
            </w:tcMar>
            <w:vAlign w:val="bottom"/>
          </w:tcPr>
          <w:p w14:paraId="4D35A4BA"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1.138.066</w:t>
            </w:r>
          </w:p>
        </w:tc>
        <w:tc>
          <w:tcPr>
            <w:tcW w:w="1417" w:type="dxa"/>
            <w:tcBorders>
              <w:top w:val="nil"/>
              <w:left w:val="nil"/>
              <w:bottom w:val="nil"/>
              <w:right w:val="nil"/>
            </w:tcBorders>
            <w:tcMar>
              <w:top w:w="0" w:type="dxa"/>
              <w:left w:w="120" w:type="dxa"/>
              <w:bottom w:w="0" w:type="dxa"/>
              <w:right w:w="120" w:type="dxa"/>
            </w:tcMar>
            <w:vAlign w:val="bottom"/>
          </w:tcPr>
          <w:p w14:paraId="1DFD556E"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right w:val="nil"/>
            </w:tcBorders>
            <w:tcMar>
              <w:top w:w="0" w:type="dxa"/>
              <w:left w:w="120" w:type="dxa"/>
              <w:bottom w:w="0" w:type="dxa"/>
              <w:right w:w="120" w:type="dxa"/>
            </w:tcMar>
            <w:vAlign w:val="bottom"/>
          </w:tcPr>
          <w:p w14:paraId="1AC318FB"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tcBorders>
            <w:tcMar>
              <w:top w:w="0" w:type="dxa"/>
              <w:left w:w="120" w:type="dxa"/>
              <w:bottom w:w="0" w:type="dxa"/>
              <w:right w:w="120" w:type="dxa"/>
            </w:tcMar>
            <w:vAlign w:val="bottom"/>
          </w:tcPr>
          <w:p w14:paraId="49A21B9E"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1.138.066</w:t>
            </w:r>
          </w:p>
        </w:tc>
      </w:tr>
      <w:tr w:rsidR="00B47639" w:rsidRPr="003D1614" w14:paraId="06269E8E" w14:textId="77777777" w:rsidTr="00CE46C0">
        <w:trPr>
          <w:trHeight w:val="70"/>
        </w:trPr>
        <w:tc>
          <w:tcPr>
            <w:tcW w:w="3515" w:type="dxa"/>
            <w:tcMar>
              <w:top w:w="0" w:type="dxa"/>
              <w:left w:w="120" w:type="dxa"/>
              <w:bottom w:w="0" w:type="dxa"/>
              <w:right w:w="120" w:type="dxa"/>
            </w:tcMar>
            <w:vAlign w:val="bottom"/>
          </w:tcPr>
          <w:p w14:paraId="051FC4E8" w14:textId="77777777" w:rsidR="00B47639" w:rsidRPr="003D1614" w:rsidRDefault="00B47639" w:rsidP="00B47639">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3D1614">
              <w:rPr>
                <w:rFonts w:ascii="Arial" w:eastAsia="Calibri" w:hAnsi="Arial" w:cs="Arial"/>
                <w:color w:val="000000" w:themeColor="text1"/>
                <w:spacing w:val="-2"/>
                <w:sz w:val="17"/>
                <w:szCs w:val="17"/>
              </w:rPr>
              <w:t>Krediti ostalim korisnicima</w:t>
            </w:r>
          </w:p>
        </w:tc>
        <w:tc>
          <w:tcPr>
            <w:tcW w:w="1417" w:type="dxa"/>
            <w:tcBorders>
              <w:top w:val="nil"/>
              <w:left w:val="nil"/>
              <w:bottom w:val="nil"/>
              <w:right w:val="nil"/>
            </w:tcBorders>
            <w:tcMar>
              <w:top w:w="0" w:type="dxa"/>
              <w:left w:w="120" w:type="dxa"/>
              <w:bottom w:w="0" w:type="dxa"/>
              <w:right w:w="120" w:type="dxa"/>
            </w:tcMar>
            <w:vAlign w:val="bottom"/>
          </w:tcPr>
          <w:p w14:paraId="2ED1B25A"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2.286.107</w:t>
            </w:r>
          </w:p>
        </w:tc>
        <w:tc>
          <w:tcPr>
            <w:tcW w:w="1417" w:type="dxa"/>
            <w:tcBorders>
              <w:top w:val="nil"/>
              <w:left w:val="nil"/>
              <w:bottom w:val="nil"/>
              <w:right w:val="nil"/>
            </w:tcBorders>
            <w:tcMar>
              <w:top w:w="0" w:type="dxa"/>
              <w:left w:w="120" w:type="dxa"/>
              <w:bottom w:w="0" w:type="dxa"/>
              <w:right w:w="120" w:type="dxa"/>
            </w:tcMar>
            <w:vAlign w:val="bottom"/>
          </w:tcPr>
          <w:p w14:paraId="3DB3F7C5"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29.348</w:t>
            </w:r>
          </w:p>
        </w:tc>
        <w:tc>
          <w:tcPr>
            <w:tcW w:w="1417" w:type="dxa"/>
            <w:tcBorders>
              <w:top w:val="nil"/>
              <w:left w:val="nil"/>
              <w:bottom w:val="nil"/>
              <w:right w:val="nil"/>
            </w:tcBorders>
            <w:tcMar>
              <w:top w:w="0" w:type="dxa"/>
              <w:left w:w="120" w:type="dxa"/>
              <w:bottom w:w="0" w:type="dxa"/>
              <w:right w:w="120" w:type="dxa"/>
            </w:tcMar>
            <w:vAlign w:val="bottom"/>
          </w:tcPr>
          <w:p w14:paraId="3C350893"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22.389</w:t>
            </w:r>
          </w:p>
        </w:tc>
        <w:tc>
          <w:tcPr>
            <w:tcW w:w="1417" w:type="dxa"/>
            <w:tcBorders>
              <w:top w:val="nil"/>
              <w:left w:val="nil"/>
              <w:bottom w:val="nil"/>
            </w:tcBorders>
            <w:tcMar>
              <w:top w:w="0" w:type="dxa"/>
              <w:left w:w="120" w:type="dxa"/>
              <w:bottom w:w="0" w:type="dxa"/>
              <w:right w:w="120" w:type="dxa"/>
            </w:tcMar>
            <w:vAlign w:val="bottom"/>
          </w:tcPr>
          <w:p w14:paraId="5996B83B"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2.337.844</w:t>
            </w:r>
          </w:p>
        </w:tc>
      </w:tr>
      <w:tr w:rsidR="00B47639" w:rsidRPr="003D1614" w14:paraId="39827BF3" w14:textId="77777777" w:rsidTr="00CE46C0">
        <w:trPr>
          <w:trHeight w:val="224"/>
        </w:trPr>
        <w:tc>
          <w:tcPr>
            <w:tcW w:w="3515" w:type="dxa"/>
            <w:tcMar>
              <w:top w:w="0" w:type="dxa"/>
              <w:left w:w="120" w:type="dxa"/>
              <w:bottom w:w="0" w:type="dxa"/>
              <w:right w:w="120" w:type="dxa"/>
            </w:tcMar>
            <w:vAlign w:val="bottom"/>
          </w:tcPr>
          <w:p w14:paraId="129D6F60" w14:textId="77777777" w:rsidR="00B47639" w:rsidRPr="003D1614" w:rsidRDefault="00B47639" w:rsidP="00B47639">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3D1614">
              <w:rPr>
                <w:rFonts w:ascii="Arial" w:eastAsia="Calibri" w:hAnsi="Arial" w:cs="Arial"/>
                <w:color w:val="000000" w:themeColor="text1"/>
                <w:sz w:val="17"/>
                <w:szCs w:val="17"/>
              </w:rPr>
              <w:t>Financijska imovina po fer vrijednosti kroz dobit ili gubitak</w:t>
            </w:r>
          </w:p>
        </w:tc>
        <w:tc>
          <w:tcPr>
            <w:tcW w:w="1417" w:type="dxa"/>
            <w:tcBorders>
              <w:top w:val="nil"/>
              <w:left w:val="nil"/>
              <w:bottom w:val="nil"/>
              <w:right w:val="nil"/>
            </w:tcBorders>
            <w:tcMar>
              <w:top w:w="0" w:type="dxa"/>
              <w:left w:w="120" w:type="dxa"/>
              <w:bottom w:w="0" w:type="dxa"/>
              <w:right w:w="120" w:type="dxa"/>
            </w:tcMar>
            <w:vAlign w:val="bottom"/>
          </w:tcPr>
          <w:p w14:paraId="3CC67BC9"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49.407</w:t>
            </w:r>
          </w:p>
        </w:tc>
        <w:tc>
          <w:tcPr>
            <w:tcW w:w="1417" w:type="dxa"/>
            <w:tcBorders>
              <w:top w:val="nil"/>
              <w:left w:val="nil"/>
              <w:bottom w:val="nil"/>
              <w:right w:val="nil"/>
            </w:tcBorders>
            <w:tcMar>
              <w:top w:w="0" w:type="dxa"/>
              <w:left w:w="120" w:type="dxa"/>
              <w:bottom w:w="0" w:type="dxa"/>
              <w:right w:w="120" w:type="dxa"/>
            </w:tcMar>
            <w:vAlign w:val="bottom"/>
          </w:tcPr>
          <w:p w14:paraId="2587938E"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4.365</w:t>
            </w:r>
          </w:p>
        </w:tc>
        <w:tc>
          <w:tcPr>
            <w:tcW w:w="1417" w:type="dxa"/>
            <w:tcBorders>
              <w:top w:val="nil"/>
              <w:left w:val="nil"/>
              <w:bottom w:val="nil"/>
              <w:right w:val="nil"/>
            </w:tcBorders>
            <w:tcMar>
              <w:top w:w="0" w:type="dxa"/>
              <w:left w:w="120" w:type="dxa"/>
              <w:bottom w:w="0" w:type="dxa"/>
              <w:right w:w="120" w:type="dxa"/>
            </w:tcMar>
            <w:vAlign w:val="bottom"/>
          </w:tcPr>
          <w:p w14:paraId="5D3477A4"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tcBorders>
            <w:tcMar>
              <w:top w:w="0" w:type="dxa"/>
              <w:left w:w="120" w:type="dxa"/>
              <w:bottom w:w="0" w:type="dxa"/>
              <w:right w:w="120" w:type="dxa"/>
            </w:tcMar>
            <w:vAlign w:val="bottom"/>
          </w:tcPr>
          <w:p w14:paraId="40DEAC3D"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53.772</w:t>
            </w:r>
          </w:p>
        </w:tc>
      </w:tr>
      <w:tr w:rsidR="00B47639" w:rsidRPr="003D1614" w14:paraId="2ECC7643" w14:textId="77777777" w:rsidTr="00CE46C0">
        <w:trPr>
          <w:trHeight w:val="240"/>
        </w:trPr>
        <w:tc>
          <w:tcPr>
            <w:tcW w:w="3515" w:type="dxa"/>
            <w:tcMar>
              <w:top w:w="0" w:type="dxa"/>
              <w:left w:w="120" w:type="dxa"/>
              <w:bottom w:w="0" w:type="dxa"/>
              <w:right w:w="120" w:type="dxa"/>
            </w:tcMar>
            <w:vAlign w:val="bottom"/>
          </w:tcPr>
          <w:p w14:paraId="5DD9E04F" w14:textId="77777777" w:rsidR="00B47639" w:rsidRPr="003D1614" w:rsidRDefault="00B47639" w:rsidP="00B47639">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z w:val="17"/>
                <w:szCs w:val="17"/>
              </w:rPr>
              <w:t>Financijska imovina po fer vrijednosti kroz ostalu sveobuhvatnu dobit</w:t>
            </w:r>
          </w:p>
        </w:tc>
        <w:tc>
          <w:tcPr>
            <w:tcW w:w="1417" w:type="dxa"/>
            <w:tcBorders>
              <w:top w:val="nil"/>
              <w:left w:val="nil"/>
              <w:bottom w:val="nil"/>
              <w:right w:val="nil"/>
            </w:tcBorders>
            <w:tcMar>
              <w:top w:w="0" w:type="dxa"/>
              <w:left w:w="120" w:type="dxa"/>
              <w:bottom w:w="0" w:type="dxa"/>
              <w:right w:w="120" w:type="dxa"/>
            </w:tcMar>
            <w:vAlign w:val="bottom"/>
          </w:tcPr>
          <w:p w14:paraId="0A7F1809"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245.890</w:t>
            </w:r>
          </w:p>
        </w:tc>
        <w:tc>
          <w:tcPr>
            <w:tcW w:w="1417" w:type="dxa"/>
            <w:tcBorders>
              <w:top w:val="nil"/>
              <w:left w:val="nil"/>
              <w:bottom w:val="nil"/>
              <w:right w:val="nil"/>
            </w:tcBorders>
            <w:tcMar>
              <w:top w:w="0" w:type="dxa"/>
              <w:left w:w="120" w:type="dxa"/>
              <w:bottom w:w="0" w:type="dxa"/>
              <w:right w:w="120" w:type="dxa"/>
            </w:tcMar>
            <w:vAlign w:val="bottom"/>
          </w:tcPr>
          <w:p w14:paraId="48C9C2DF"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right w:val="nil"/>
            </w:tcBorders>
            <w:tcMar>
              <w:top w:w="0" w:type="dxa"/>
              <w:left w:w="120" w:type="dxa"/>
              <w:bottom w:w="0" w:type="dxa"/>
              <w:right w:w="120" w:type="dxa"/>
            </w:tcMar>
            <w:vAlign w:val="bottom"/>
          </w:tcPr>
          <w:p w14:paraId="7F45C84A"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tcBorders>
            <w:tcMar>
              <w:top w:w="0" w:type="dxa"/>
              <w:left w:w="120" w:type="dxa"/>
              <w:bottom w:w="0" w:type="dxa"/>
              <w:right w:w="120" w:type="dxa"/>
            </w:tcMar>
            <w:vAlign w:val="bottom"/>
          </w:tcPr>
          <w:p w14:paraId="3321B293"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245.890</w:t>
            </w:r>
          </w:p>
        </w:tc>
      </w:tr>
      <w:tr w:rsidR="00B47639" w:rsidRPr="003D1614" w14:paraId="12BF2642" w14:textId="77777777" w:rsidTr="00CE46C0">
        <w:trPr>
          <w:trHeight w:val="466"/>
        </w:trPr>
        <w:tc>
          <w:tcPr>
            <w:tcW w:w="3515" w:type="dxa"/>
            <w:tcMar>
              <w:top w:w="0" w:type="dxa"/>
              <w:left w:w="120" w:type="dxa"/>
              <w:bottom w:w="0" w:type="dxa"/>
              <w:right w:w="120" w:type="dxa"/>
            </w:tcMar>
            <w:vAlign w:val="bottom"/>
          </w:tcPr>
          <w:p w14:paraId="74E1BF67" w14:textId="77777777" w:rsidR="00B47639" w:rsidRPr="003D1614" w:rsidRDefault="00B47639" w:rsidP="00B47639">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pacing w:val="-2"/>
                <w:sz w:val="17"/>
                <w:szCs w:val="17"/>
              </w:rPr>
              <w:t>Nekretnine, postrojenja i oprema i nematerijalna imovina</w:t>
            </w:r>
          </w:p>
        </w:tc>
        <w:tc>
          <w:tcPr>
            <w:tcW w:w="1417" w:type="dxa"/>
            <w:tcBorders>
              <w:top w:val="nil"/>
              <w:left w:val="nil"/>
              <w:bottom w:val="nil"/>
              <w:right w:val="nil"/>
            </w:tcBorders>
            <w:tcMar>
              <w:top w:w="0" w:type="dxa"/>
              <w:left w:w="120" w:type="dxa"/>
              <w:bottom w:w="0" w:type="dxa"/>
              <w:right w:w="120" w:type="dxa"/>
            </w:tcMar>
            <w:vAlign w:val="bottom"/>
          </w:tcPr>
          <w:p w14:paraId="1378D52C"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4.955</w:t>
            </w:r>
          </w:p>
        </w:tc>
        <w:tc>
          <w:tcPr>
            <w:tcW w:w="1417" w:type="dxa"/>
            <w:tcBorders>
              <w:top w:val="nil"/>
              <w:left w:val="nil"/>
              <w:bottom w:val="nil"/>
              <w:right w:val="nil"/>
            </w:tcBorders>
            <w:tcMar>
              <w:top w:w="0" w:type="dxa"/>
              <w:left w:w="120" w:type="dxa"/>
              <w:bottom w:w="0" w:type="dxa"/>
              <w:right w:w="120" w:type="dxa"/>
            </w:tcMar>
            <w:vAlign w:val="bottom"/>
          </w:tcPr>
          <w:p w14:paraId="1D96AB1D"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right w:val="nil"/>
            </w:tcBorders>
            <w:tcMar>
              <w:top w:w="0" w:type="dxa"/>
              <w:left w:w="120" w:type="dxa"/>
              <w:bottom w:w="0" w:type="dxa"/>
              <w:right w:w="120" w:type="dxa"/>
            </w:tcMar>
            <w:vAlign w:val="bottom"/>
          </w:tcPr>
          <w:p w14:paraId="382F3EDE"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tcBorders>
            <w:tcMar>
              <w:top w:w="0" w:type="dxa"/>
              <w:left w:w="120" w:type="dxa"/>
              <w:bottom w:w="0" w:type="dxa"/>
              <w:right w:w="120" w:type="dxa"/>
            </w:tcMar>
            <w:vAlign w:val="bottom"/>
          </w:tcPr>
          <w:p w14:paraId="078BA17E"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4.955</w:t>
            </w:r>
          </w:p>
        </w:tc>
      </w:tr>
      <w:tr w:rsidR="00B47639" w:rsidRPr="003D1614" w14:paraId="077D8380" w14:textId="77777777" w:rsidTr="00CE46C0">
        <w:trPr>
          <w:trHeight w:val="234"/>
        </w:trPr>
        <w:tc>
          <w:tcPr>
            <w:tcW w:w="3515" w:type="dxa"/>
            <w:tcMar>
              <w:top w:w="0" w:type="dxa"/>
              <w:left w:w="120" w:type="dxa"/>
              <w:bottom w:w="0" w:type="dxa"/>
              <w:right w:w="120" w:type="dxa"/>
            </w:tcMar>
            <w:vAlign w:val="bottom"/>
          </w:tcPr>
          <w:p w14:paraId="4A2B7064" w14:textId="77777777" w:rsidR="00B47639" w:rsidRPr="003D1614" w:rsidRDefault="00B47639" w:rsidP="00B47639">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pacing w:val="-2"/>
                <w:sz w:val="17"/>
                <w:szCs w:val="17"/>
              </w:rPr>
              <w:t>Preuzeta imovina</w:t>
            </w:r>
          </w:p>
        </w:tc>
        <w:tc>
          <w:tcPr>
            <w:tcW w:w="1417" w:type="dxa"/>
            <w:tcBorders>
              <w:top w:val="nil"/>
              <w:left w:val="nil"/>
              <w:bottom w:val="nil"/>
              <w:right w:val="nil"/>
            </w:tcBorders>
            <w:tcMar>
              <w:top w:w="0" w:type="dxa"/>
              <w:left w:w="120" w:type="dxa"/>
              <w:bottom w:w="0" w:type="dxa"/>
              <w:right w:w="120" w:type="dxa"/>
            </w:tcMar>
            <w:vAlign w:val="bottom"/>
          </w:tcPr>
          <w:p w14:paraId="7F8391ED"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2.141</w:t>
            </w:r>
          </w:p>
        </w:tc>
        <w:tc>
          <w:tcPr>
            <w:tcW w:w="1417" w:type="dxa"/>
            <w:tcBorders>
              <w:top w:val="nil"/>
              <w:left w:val="nil"/>
              <w:bottom w:val="nil"/>
              <w:right w:val="nil"/>
            </w:tcBorders>
            <w:tcMar>
              <w:top w:w="0" w:type="dxa"/>
              <w:left w:w="120" w:type="dxa"/>
              <w:bottom w:w="0" w:type="dxa"/>
              <w:right w:w="120" w:type="dxa"/>
            </w:tcMar>
            <w:vAlign w:val="bottom"/>
          </w:tcPr>
          <w:p w14:paraId="75823CFC"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right w:val="nil"/>
            </w:tcBorders>
            <w:tcMar>
              <w:top w:w="0" w:type="dxa"/>
              <w:left w:w="120" w:type="dxa"/>
              <w:bottom w:w="0" w:type="dxa"/>
              <w:right w:w="120" w:type="dxa"/>
            </w:tcMar>
            <w:vAlign w:val="bottom"/>
          </w:tcPr>
          <w:p w14:paraId="206A948C"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tcBorders>
            <w:tcMar>
              <w:top w:w="0" w:type="dxa"/>
              <w:left w:w="120" w:type="dxa"/>
              <w:bottom w:w="0" w:type="dxa"/>
              <w:right w:w="120" w:type="dxa"/>
            </w:tcMar>
            <w:vAlign w:val="bottom"/>
          </w:tcPr>
          <w:p w14:paraId="33D18239"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2.141</w:t>
            </w:r>
          </w:p>
        </w:tc>
      </w:tr>
      <w:tr w:rsidR="00B47639" w:rsidRPr="003D1614" w14:paraId="44A8B60D" w14:textId="77777777" w:rsidTr="00CE46C0">
        <w:trPr>
          <w:trHeight w:val="224"/>
        </w:trPr>
        <w:tc>
          <w:tcPr>
            <w:tcW w:w="3515" w:type="dxa"/>
            <w:tcMar>
              <w:top w:w="0" w:type="dxa"/>
              <w:left w:w="120" w:type="dxa"/>
              <w:bottom w:w="0" w:type="dxa"/>
              <w:right w:w="120" w:type="dxa"/>
            </w:tcMar>
            <w:vAlign w:val="bottom"/>
          </w:tcPr>
          <w:p w14:paraId="752A8137" w14:textId="77777777" w:rsidR="00B47639" w:rsidRPr="003D1614" w:rsidRDefault="00B47639" w:rsidP="00B47639">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pacing w:val="-2"/>
                <w:sz w:val="17"/>
                <w:szCs w:val="17"/>
              </w:rPr>
              <w:t>Ostala imovina</w:t>
            </w:r>
          </w:p>
        </w:tc>
        <w:tc>
          <w:tcPr>
            <w:tcW w:w="1417" w:type="dxa"/>
            <w:tcBorders>
              <w:top w:val="nil"/>
              <w:left w:val="nil"/>
              <w:bottom w:val="nil"/>
              <w:right w:val="nil"/>
            </w:tcBorders>
            <w:tcMar>
              <w:top w:w="0" w:type="dxa"/>
              <w:left w:w="120" w:type="dxa"/>
              <w:bottom w:w="0" w:type="dxa"/>
              <w:right w:w="120" w:type="dxa"/>
            </w:tcMar>
            <w:vAlign w:val="bottom"/>
          </w:tcPr>
          <w:p w14:paraId="7AAC1243"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8.265</w:t>
            </w:r>
          </w:p>
        </w:tc>
        <w:tc>
          <w:tcPr>
            <w:tcW w:w="1417" w:type="dxa"/>
            <w:tcBorders>
              <w:top w:val="nil"/>
              <w:left w:val="nil"/>
              <w:bottom w:val="nil"/>
              <w:right w:val="nil"/>
            </w:tcBorders>
            <w:tcMar>
              <w:top w:w="0" w:type="dxa"/>
              <w:left w:w="120" w:type="dxa"/>
              <w:bottom w:w="0" w:type="dxa"/>
              <w:right w:w="120" w:type="dxa"/>
            </w:tcMar>
            <w:vAlign w:val="bottom"/>
          </w:tcPr>
          <w:p w14:paraId="36459B23"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right w:val="nil"/>
            </w:tcBorders>
            <w:tcMar>
              <w:top w:w="0" w:type="dxa"/>
              <w:left w:w="120" w:type="dxa"/>
              <w:bottom w:w="0" w:type="dxa"/>
              <w:right w:w="120" w:type="dxa"/>
            </w:tcMar>
            <w:vAlign w:val="bottom"/>
          </w:tcPr>
          <w:p w14:paraId="275D5EDD"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tcBorders>
            <w:tcMar>
              <w:top w:w="0" w:type="dxa"/>
              <w:left w:w="120" w:type="dxa"/>
              <w:bottom w:w="0" w:type="dxa"/>
              <w:right w:w="120" w:type="dxa"/>
            </w:tcMar>
            <w:vAlign w:val="bottom"/>
          </w:tcPr>
          <w:p w14:paraId="440D1342"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8.265</w:t>
            </w:r>
          </w:p>
        </w:tc>
      </w:tr>
      <w:tr w:rsidR="00B47639" w:rsidRPr="003D1614" w14:paraId="276E942F" w14:textId="77777777" w:rsidTr="00CE46C0">
        <w:trPr>
          <w:trHeight w:val="285"/>
        </w:trPr>
        <w:tc>
          <w:tcPr>
            <w:tcW w:w="3515" w:type="dxa"/>
            <w:tcMar>
              <w:top w:w="0" w:type="dxa"/>
              <w:left w:w="120" w:type="dxa"/>
              <w:bottom w:w="0" w:type="dxa"/>
              <w:right w:w="120" w:type="dxa"/>
            </w:tcMar>
            <w:vAlign w:val="bottom"/>
          </w:tcPr>
          <w:p w14:paraId="175CD9DB" w14:textId="77777777" w:rsidR="00B47639" w:rsidRPr="003D1614" w:rsidRDefault="00B47639" w:rsidP="00B47639">
            <w:pPr>
              <w:tabs>
                <w:tab w:val="right" w:pos="1202"/>
              </w:tabs>
              <w:suppressAutoHyphens/>
              <w:autoSpaceDN w:val="0"/>
              <w:spacing w:line="240" w:lineRule="exact"/>
              <w:outlineLvl w:val="0"/>
              <w:rPr>
                <w:rFonts w:ascii="Arial" w:eastAsia="Calibri" w:hAnsi="Arial" w:cs="Arial"/>
                <w:b/>
                <w:bCs/>
                <w:color w:val="000000" w:themeColor="text1"/>
                <w:sz w:val="17"/>
                <w:szCs w:val="17"/>
              </w:rPr>
            </w:pPr>
            <w:r w:rsidRPr="003D1614">
              <w:rPr>
                <w:rFonts w:ascii="Arial" w:eastAsia="Calibri" w:hAnsi="Arial" w:cs="Arial"/>
                <w:b/>
                <w:bCs/>
                <w:color w:val="000000" w:themeColor="text1"/>
                <w:sz w:val="17"/>
                <w:szCs w:val="17"/>
              </w:rPr>
              <w:t xml:space="preserve">Ukupna imovina </w:t>
            </w:r>
          </w:p>
        </w:tc>
        <w:tc>
          <w:tcPr>
            <w:tcW w:w="1417" w:type="dxa"/>
            <w:tcBorders>
              <w:top w:val="single" w:sz="4" w:space="0" w:color="000000"/>
              <w:bottom w:val="single" w:sz="8" w:space="0" w:color="000000"/>
            </w:tcBorders>
            <w:tcMar>
              <w:top w:w="0" w:type="dxa"/>
              <w:left w:w="120" w:type="dxa"/>
              <w:bottom w:w="0" w:type="dxa"/>
              <w:right w:w="120" w:type="dxa"/>
            </w:tcMar>
            <w:vAlign w:val="bottom"/>
          </w:tcPr>
          <w:p w14:paraId="601E64D3" w14:textId="77777777" w:rsidR="00B47639" w:rsidRPr="00AF0360" w:rsidRDefault="00B47639" w:rsidP="00B47639">
            <w:pPr>
              <w:suppressAutoHyphens/>
              <w:autoSpaceDN w:val="0"/>
              <w:spacing w:line="240" w:lineRule="exact"/>
              <w:jc w:val="right"/>
              <w:rPr>
                <w:rFonts w:ascii="Arial" w:eastAsia="Arial Unicode MS" w:hAnsi="Arial" w:cs="Arial"/>
                <w:b/>
                <w:bCs/>
                <w:color w:val="000000" w:themeColor="text1"/>
                <w:sz w:val="17"/>
                <w:szCs w:val="17"/>
              </w:rPr>
            </w:pPr>
            <w:r>
              <w:rPr>
                <w:rFonts w:ascii="Arial" w:eastAsia="Arial Unicode MS" w:hAnsi="Arial" w:cs="Arial"/>
                <w:b/>
                <w:bCs/>
                <w:color w:val="000000" w:themeColor="text1"/>
                <w:sz w:val="17"/>
                <w:szCs w:val="17"/>
              </w:rPr>
              <w:t>3.940.541</w:t>
            </w:r>
          </w:p>
        </w:tc>
        <w:tc>
          <w:tcPr>
            <w:tcW w:w="1417" w:type="dxa"/>
            <w:tcBorders>
              <w:top w:val="single" w:sz="4" w:space="0" w:color="000000"/>
              <w:bottom w:val="single" w:sz="8" w:space="0" w:color="000000"/>
            </w:tcBorders>
            <w:tcMar>
              <w:top w:w="0" w:type="dxa"/>
              <w:left w:w="120" w:type="dxa"/>
              <w:bottom w:w="0" w:type="dxa"/>
              <w:right w:w="120" w:type="dxa"/>
            </w:tcMar>
            <w:vAlign w:val="bottom"/>
          </w:tcPr>
          <w:p w14:paraId="090ECA52" w14:textId="77777777" w:rsidR="00B47639" w:rsidRPr="00AF0360" w:rsidRDefault="00B47639" w:rsidP="00B47639">
            <w:pPr>
              <w:suppressAutoHyphens/>
              <w:autoSpaceDN w:val="0"/>
              <w:spacing w:line="240" w:lineRule="exact"/>
              <w:jc w:val="right"/>
              <w:rPr>
                <w:rFonts w:ascii="Arial" w:eastAsia="Arial Unicode MS" w:hAnsi="Arial" w:cs="Arial"/>
                <w:b/>
                <w:bCs/>
                <w:color w:val="000000" w:themeColor="text1"/>
                <w:sz w:val="17"/>
                <w:szCs w:val="17"/>
              </w:rPr>
            </w:pPr>
            <w:r>
              <w:rPr>
                <w:rFonts w:ascii="Arial" w:eastAsia="Arial Unicode MS" w:hAnsi="Arial" w:cs="Arial"/>
                <w:b/>
                <w:bCs/>
                <w:color w:val="000000" w:themeColor="text1"/>
                <w:sz w:val="17"/>
                <w:szCs w:val="17"/>
              </w:rPr>
              <w:t>34.555</w:t>
            </w:r>
          </w:p>
        </w:tc>
        <w:tc>
          <w:tcPr>
            <w:tcW w:w="1417" w:type="dxa"/>
            <w:tcBorders>
              <w:top w:val="single" w:sz="4" w:space="0" w:color="000000"/>
              <w:bottom w:val="single" w:sz="8" w:space="0" w:color="000000"/>
            </w:tcBorders>
            <w:tcMar>
              <w:top w:w="0" w:type="dxa"/>
              <w:left w:w="120" w:type="dxa"/>
              <w:bottom w:w="0" w:type="dxa"/>
              <w:right w:w="120" w:type="dxa"/>
            </w:tcMar>
            <w:vAlign w:val="bottom"/>
          </w:tcPr>
          <w:p w14:paraId="17747333" w14:textId="77777777" w:rsidR="00B47639" w:rsidRPr="00AF0360" w:rsidRDefault="00B47639" w:rsidP="00B47639">
            <w:pPr>
              <w:suppressAutoHyphens/>
              <w:autoSpaceDN w:val="0"/>
              <w:spacing w:line="240" w:lineRule="exact"/>
              <w:jc w:val="right"/>
              <w:rPr>
                <w:rFonts w:ascii="Arial" w:eastAsia="Arial Unicode MS" w:hAnsi="Arial" w:cs="Arial"/>
                <w:b/>
                <w:bCs/>
                <w:color w:val="000000" w:themeColor="text1"/>
                <w:sz w:val="17"/>
                <w:szCs w:val="17"/>
              </w:rPr>
            </w:pPr>
            <w:r>
              <w:rPr>
                <w:rFonts w:ascii="Arial" w:eastAsia="Arial Unicode MS" w:hAnsi="Arial" w:cs="Arial"/>
                <w:b/>
                <w:bCs/>
                <w:color w:val="000000" w:themeColor="text1"/>
                <w:sz w:val="17"/>
                <w:szCs w:val="17"/>
              </w:rPr>
              <w:t>22.409</w:t>
            </w:r>
          </w:p>
        </w:tc>
        <w:tc>
          <w:tcPr>
            <w:tcW w:w="1417" w:type="dxa"/>
            <w:tcBorders>
              <w:top w:val="single" w:sz="4" w:space="0" w:color="000000"/>
              <w:bottom w:val="single" w:sz="8" w:space="0" w:color="000000"/>
            </w:tcBorders>
            <w:tcMar>
              <w:top w:w="0" w:type="dxa"/>
              <w:left w:w="120" w:type="dxa"/>
              <w:bottom w:w="0" w:type="dxa"/>
              <w:right w:w="120" w:type="dxa"/>
            </w:tcMar>
            <w:vAlign w:val="bottom"/>
          </w:tcPr>
          <w:p w14:paraId="697422F9" w14:textId="77777777" w:rsidR="00B47639" w:rsidRPr="00AF0360" w:rsidRDefault="00B47639" w:rsidP="00B47639">
            <w:pPr>
              <w:suppressAutoHyphens/>
              <w:autoSpaceDN w:val="0"/>
              <w:spacing w:line="240" w:lineRule="exact"/>
              <w:jc w:val="right"/>
              <w:rPr>
                <w:rFonts w:ascii="Arial" w:eastAsia="Arial Unicode MS" w:hAnsi="Arial" w:cs="Arial"/>
                <w:b/>
                <w:bCs/>
                <w:color w:val="000000" w:themeColor="text1"/>
                <w:sz w:val="17"/>
                <w:szCs w:val="17"/>
              </w:rPr>
            </w:pPr>
            <w:r>
              <w:rPr>
                <w:rFonts w:ascii="Arial" w:eastAsia="Arial Unicode MS" w:hAnsi="Arial" w:cs="Arial"/>
                <w:b/>
                <w:bCs/>
                <w:color w:val="000000" w:themeColor="text1"/>
                <w:sz w:val="17"/>
                <w:szCs w:val="17"/>
              </w:rPr>
              <w:t>3.997.505</w:t>
            </w:r>
          </w:p>
        </w:tc>
      </w:tr>
      <w:tr w:rsidR="00B47639" w:rsidRPr="003D1614" w14:paraId="09C6D46A" w14:textId="77777777" w:rsidTr="00CE46C0">
        <w:trPr>
          <w:trHeight w:val="224"/>
        </w:trPr>
        <w:tc>
          <w:tcPr>
            <w:tcW w:w="3515" w:type="dxa"/>
            <w:tcMar>
              <w:top w:w="0" w:type="dxa"/>
              <w:left w:w="120" w:type="dxa"/>
              <w:bottom w:w="0" w:type="dxa"/>
              <w:right w:w="120" w:type="dxa"/>
            </w:tcMar>
            <w:vAlign w:val="bottom"/>
          </w:tcPr>
          <w:p w14:paraId="58378DDD" w14:textId="77777777" w:rsidR="00B47639" w:rsidRPr="003D1614" w:rsidRDefault="00B47639" w:rsidP="00B47639">
            <w:pPr>
              <w:tabs>
                <w:tab w:val="right" w:pos="1202"/>
              </w:tabs>
              <w:suppressAutoHyphens/>
              <w:autoSpaceDN w:val="0"/>
              <w:spacing w:line="240" w:lineRule="exact"/>
              <w:outlineLvl w:val="0"/>
              <w:rPr>
                <w:rFonts w:ascii="Arial" w:eastAsia="Calibri" w:hAnsi="Arial" w:cs="Arial"/>
                <w:b/>
                <w:bCs/>
                <w:color w:val="000000" w:themeColor="text1"/>
                <w:sz w:val="17"/>
                <w:szCs w:val="17"/>
              </w:rPr>
            </w:pPr>
            <w:r w:rsidRPr="003D1614">
              <w:rPr>
                <w:rFonts w:ascii="Arial" w:eastAsia="Calibri" w:hAnsi="Arial" w:cs="Arial"/>
                <w:b/>
                <w:bCs/>
                <w:color w:val="000000" w:themeColor="text1"/>
                <w:sz w:val="17"/>
                <w:szCs w:val="17"/>
              </w:rPr>
              <w:t>Obveze</w:t>
            </w:r>
          </w:p>
        </w:tc>
        <w:tc>
          <w:tcPr>
            <w:tcW w:w="1417" w:type="dxa"/>
            <w:tcBorders>
              <w:top w:val="single" w:sz="12" w:space="0" w:color="000000"/>
            </w:tcBorders>
            <w:tcMar>
              <w:top w:w="0" w:type="dxa"/>
              <w:left w:w="120" w:type="dxa"/>
              <w:bottom w:w="0" w:type="dxa"/>
              <w:right w:w="120" w:type="dxa"/>
            </w:tcMar>
            <w:vAlign w:val="bottom"/>
          </w:tcPr>
          <w:p w14:paraId="664A395D" w14:textId="77777777" w:rsidR="00B47639" w:rsidRPr="00AF0360" w:rsidRDefault="00B47639" w:rsidP="00B47639">
            <w:pPr>
              <w:suppressAutoHyphens/>
              <w:autoSpaceDN w:val="0"/>
              <w:spacing w:line="240" w:lineRule="exact"/>
              <w:jc w:val="right"/>
              <w:rPr>
                <w:rFonts w:ascii="Arial" w:eastAsia="Arial Unicode MS" w:hAnsi="Arial" w:cs="Arial"/>
                <w:color w:val="000000" w:themeColor="text1"/>
                <w:sz w:val="17"/>
                <w:szCs w:val="17"/>
              </w:rPr>
            </w:pPr>
          </w:p>
        </w:tc>
        <w:tc>
          <w:tcPr>
            <w:tcW w:w="1417" w:type="dxa"/>
            <w:tcBorders>
              <w:top w:val="single" w:sz="12" w:space="0" w:color="000000"/>
            </w:tcBorders>
            <w:tcMar>
              <w:top w:w="0" w:type="dxa"/>
              <w:left w:w="120" w:type="dxa"/>
              <w:bottom w:w="0" w:type="dxa"/>
              <w:right w:w="120" w:type="dxa"/>
            </w:tcMar>
            <w:vAlign w:val="bottom"/>
          </w:tcPr>
          <w:p w14:paraId="48879C12" w14:textId="77777777" w:rsidR="00B47639" w:rsidRPr="00AF0360" w:rsidRDefault="00B47639" w:rsidP="00B47639">
            <w:pPr>
              <w:suppressAutoHyphens/>
              <w:autoSpaceDN w:val="0"/>
              <w:spacing w:line="240" w:lineRule="exact"/>
              <w:jc w:val="right"/>
              <w:rPr>
                <w:rFonts w:ascii="Arial" w:eastAsia="Arial Unicode MS" w:hAnsi="Arial" w:cs="Arial"/>
                <w:color w:val="000000" w:themeColor="text1"/>
                <w:sz w:val="17"/>
                <w:szCs w:val="17"/>
              </w:rPr>
            </w:pPr>
          </w:p>
        </w:tc>
        <w:tc>
          <w:tcPr>
            <w:tcW w:w="1417" w:type="dxa"/>
            <w:tcBorders>
              <w:top w:val="single" w:sz="12" w:space="0" w:color="000000"/>
            </w:tcBorders>
            <w:tcMar>
              <w:top w:w="0" w:type="dxa"/>
              <w:left w:w="120" w:type="dxa"/>
              <w:bottom w:w="0" w:type="dxa"/>
              <w:right w:w="120" w:type="dxa"/>
            </w:tcMar>
            <w:vAlign w:val="bottom"/>
          </w:tcPr>
          <w:p w14:paraId="157B3EFA" w14:textId="77777777" w:rsidR="00B47639" w:rsidRPr="00AF0360" w:rsidRDefault="00B47639" w:rsidP="00B47639">
            <w:pPr>
              <w:suppressAutoHyphens/>
              <w:autoSpaceDN w:val="0"/>
              <w:spacing w:line="240" w:lineRule="exact"/>
              <w:jc w:val="right"/>
              <w:rPr>
                <w:rFonts w:ascii="Arial" w:eastAsia="Arial Unicode MS" w:hAnsi="Arial" w:cs="Arial"/>
                <w:color w:val="000000" w:themeColor="text1"/>
                <w:sz w:val="17"/>
                <w:szCs w:val="17"/>
              </w:rPr>
            </w:pPr>
          </w:p>
        </w:tc>
        <w:tc>
          <w:tcPr>
            <w:tcW w:w="1417" w:type="dxa"/>
            <w:tcBorders>
              <w:top w:val="single" w:sz="12" w:space="0" w:color="000000"/>
            </w:tcBorders>
            <w:tcMar>
              <w:top w:w="0" w:type="dxa"/>
              <w:left w:w="120" w:type="dxa"/>
              <w:bottom w:w="0" w:type="dxa"/>
              <w:right w:w="120" w:type="dxa"/>
            </w:tcMar>
            <w:vAlign w:val="bottom"/>
          </w:tcPr>
          <w:p w14:paraId="342BA788" w14:textId="77777777" w:rsidR="00B47639" w:rsidRPr="00AF0360" w:rsidRDefault="00B47639" w:rsidP="00B47639">
            <w:pPr>
              <w:suppressAutoHyphens/>
              <w:autoSpaceDN w:val="0"/>
              <w:spacing w:line="240" w:lineRule="exact"/>
              <w:jc w:val="right"/>
              <w:rPr>
                <w:rFonts w:ascii="Arial" w:eastAsia="Arial Unicode MS" w:hAnsi="Arial" w:cs="Arial"/>
                <w:color w:val="000000" w:themeColor="text1"/>
                <w:sz w:val="17"/>
                <w:szCs w:val="17"/>
              </w:rPr>
            </w:pPr>
          </w:p>
        </w:tc>
      </w:tr>
      <w:tr w:rsidR="00B47639" w:rsidRPr="003D1614" w14:paraId="20C30FA4" w14:textId="77777777" w:rsidTr="00CE46C0">
        <w:trPr>
          <w:trHeight w:val="240"/>
        </w:trPr>
        <w:tc>
          <w:tcPr>
            <w:tcW w:w="3515" w:type="dxa"/>
            <w:tcMar>
              <w:top w:w="0" w:type="dxa"/>
              <w:left w:w="120" w:type="dxa"/>
              <w:bottom w:w="0" w:type="dxa"/>
              <w:right w:w="120" w:type="dxa"/>
            </w:tcMar>
            <w:vAlign w:val="bottom"/>
          </w:tcPr>
          <w:p w14:paraId="2BCFAF57" w14:textId="77777777" w:rsidR="00B47639" w:rsidRPr="003D1614" w:rsidRDefault="00B47639" w:rsidP="00B47639">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z w:val="17"/>
                <w:szCs w:val="17"/>
              </w:rPr>
              <w:t>Obveze po depozitima</w:t>
            </w:r>
          </w:p>
        </w:tc>
        <w:tc>
          <w:tcPr>
            <w:tcW w:w="1417" w:type="dxa"/>
            <w:tcBorders>
              <w:top w:val="nil"/>
              <w:left w:val="nil"/>
              <w:bottom w:val="nil"/>
              <w:right w:val="nil"/>
            </w:tcBorders>
            <w:tcMar>
              <w:top w:w="0" w:type="dxa"/>
              <w:left w:w="120" w:type="dxa"/>
              <w:bottom w:w="0" w:type="dxa"/>
              <w:right w:w="120" w:type="dxa"/>
            </w:tcMar>
            <w:vAlign w:val="bottom"/>
          </w:tcPr>
          <w:p w14:paraId="5986655C"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162.570</w:t>
            </w:r>
          </w:p>
        </w:tc>
        <w:tc>
          <w:tcPr>
            <w:tcW w:w="1417" w:type="dxa"/>
            <w:tcBorders>
              <w:top w:val="nil"/>
              <w:left w:val="nil"/>
              <w:bottom w:val="nil"/>
              <w:right w:val="nil"/>
            </w:tcBorders>
            <w:tcMar>
              <w:top w:w="0" w:type="dxa"/>
              <w:left w:w="120" w:type="dxa"/>
              <w:bottom w:w="0" w:type="dxa"/>
              <w:right w:w="120" w:type="dxa"/>
            </w:tcMar>
            <w:vAlign w:val="bottom"/>
          </w:tcPr>
          <w:p w14:paraId="13EB6293"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15.939</w:t>
            </w:r>
          </w:p>
        </w:tc>
        <w:tc>
          <w:tcPr>
            <w:tcW w:w="1417" w:type="dxa"/>
            <w:tcBorders>
              <w:top w:val="nil"/>
              <w:left w:val="nil"/>
              <w:bottom w:val="nil"/>
              <w:right w:val="nil"/>
            </w:tcBorders>
            <w:tcMar>
              <w:top w:w="0" w:type="dxa"/>
              <w:left w:w="120" w:type="dxa"/>
              <w:bottom w:w="0" w:type="dxa"/>
              <w:right w:w="120" w:type="dxa"/>
            </w:tcMar>
            <w:vAlign w:val="bottom"/>
          </w:tcPr>
          <w:p w14:paraId="4831674F"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tcBorders>
            <w:tcMar>
              <w:top w:w="0" w:type="dxa"/>
              <w:left w:w="120" w:type="dxa"/>
              <w:bottom w:w="0" w:type="dxa"/>
              <w:right w:w="120" w:type="dxa"/>
            </w:tcMar>
            <w:vAlign w:val="bottom"/>
          </w:tcPr>
          <w:p w14:paraId="2A552D99"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178.509</w:t>
            </w:r>
          </w:p>
        </w:tc>
      </w:tr>
      <w:tr w:rsidR="00B47639" w:rsidRPr="003D1614" w14:paraId="10BF8A4A" w14:textId="77777777" w:rsidTr="00CE46C0">
        <w:trPr>
          <w:trHeight w:val="177"/>
        </w:trPr>
        <w:tc>
          <w:tcPr>
            <w:tcW w:w="3515" w:type="dxa"/>
            <w:tcMar>
              <w:top w:w="0" w:type="dxa"/>
              <w:left w:w="120" w:type="dxa"/>
              <w:bottom w:w="0" w:type="dxa"/>
              <w:right w:w="120" w:type="dxa"/>
            </w:tcMar>
            <w:vAlign w:val="bottom"/>
          </w:tcPr>
          <w:p w14:paraId="763BBDDF" w14:textId="77777777" w:rsidR="00B47639" w:rsidRPr="003D1614" w:rsidRDefault="00B47639" w:rsidP="00B47639">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z w:val="17"/>
                <w:szCs w:val="17"/>
              </w:rPr>
              <w:t>Obveze po kreditima</w:t>
            </w:r>
          </w:p>
        </w:tc>
        <w:tc>
          <w:tcPr>
            <w:tcW w:w="1417" w:type="dxa"/>
            <w:tcBorders>
              <w:top w:val="nil"/>
              <w:left w:val="nil"/>
              <w:bottom w:val="nil"/>
              <w:right w:val="nil"/>
            </w:tcBorders>
            <w:tcMar>
              <w:top w:w="0" w:type="dxa"/>
              <w:left w:w="120" w:type="dxa"/>
              <w:bottom w:w="0" w:type="dxa"/>
              <w:right w:w="120" w:type="dxa"/>
            </w:tcMar>
            <w:vAlign w:val="bottom"/>
          </w:tcPr>
          <w:p w14:paraId="6CF01629"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2.209.407</w:t>
            </w:r>
          </w:p>
        </w:tc>
        <w:tc>
          <w:tcPr>
            <w:tcW w:w="1417" w:type="dxa"/>
            <w:tcBorders>
              <w:top w:val="nil"/>
              <w:left w:val="nil"/>
              <w:bottom w:val="nil"/>
              <w:right w:val="nil"/>
            </w:tcBorders>
            <w:tcMar>
              <w:top w:w="0" w:type="dxa"/>
              <w:left w:w="120" w:type="dxa"/>
              <w:bottom w:w="0" w:type="dxa"/>
              <w:right w:w="120" w:type="dxa"/>
            </w:tcMar>
            <w:vAlign w:val="bottom"/>
          </w:tcPr>
          <w:p w14:paraId="518F105D"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19.922</w:t>
            </w:r>
          </w:p>
        </w:tc>
        <w:tc>
          <w:tcPr>
            <w:tcW w:w="1417" w:type="dxa"/>
            <w:tcBorders>
              <w:top w:val="nil"/>
              <w:left w:val="nil"/>
              <w:bottom w:val="nil"/>
              <w:right w:val="nil"/>
            </w:tcBorders>
            <w:tcMar>
              <w:top w:w="0" w:type="dxa"/>
              <w:left w:w="120" w:type="dxa"/>
              <w:bottom w:w="0" w:type="dxa"/>
              <w:right w:w="120" w:type="dxa"/>
            </w:tcMar>
            <w:vAlign w:val="bottom"/>
          </w:tcPr>
          <w:p w14:paraId="7873A828"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tcBorders>
            <w:tcMar>
              <w:top w:w="0" w:type="dxa"/>
              <w:left w:w="120" w:type="dxa"/>
              <w:bottom w:w="0" w:type="dxa"/>
              <w:right w:w="120" w:type="dxa"/>
            </w:tcMar>
            <w:vAlign w:val="bottom"/>
          </w:tcPr>
          <w:p w14:paraId="080707B6"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2.229.329</w:t>
            </w:r>
          </w:p>
        </w:tc>
      </w:tr>
      <w:tr w:rsidR="00B47639" w:rsidRPr="003D1614" w14:paraId="776386FA" w14:textId="77777777" w:rsidTr="00CE46C0">
        <w:trPr>
          <w:trHeight w:val="466"/>
        </w:trPr>
        <w:tc>
          <w:tcPr>
            <w:tcW w:w="3515" w:type="dxa"/>
            <w:tcMar>
              <w:top w:w="0" w:type="dxa"/>
              <w:left w:w="120" w:type="dxa"/>
              <w:bottom w:w="0" w:type="dxa"/>
              <w:right w:w="120" w:type="dxa"/>
            </w:tcMar>
            <w:vAlign w:val="bottom"/>
          </w:tcPr>
          <w:p w14:paraId="1F290310" w14:textId="77777777" w:rsidR="00B47639" w:rsidRPr="003D1614" w:rsidRDefault="00B47639" w:rsidP="00B47639">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z w:val="17"/>
                <w:szCs w:val="17"/>
              </w:rPr>
              <w:t>Rezerviranja za garancije, preuzete i ostale obveze</w:t>
            </w:r>
          </w:p>
        </w:tc>
        <w:tc>
          <w:tcPr>
            <w:tcW w:w="1417" w:type="dxa"/>
            <w:tcBorders>
              <w:top w:val="nil"/>
              <w:left w:val="nil"/>
              <w:bottom w:val="nil"/>
              <w:right w:val="nil"/>
            </w:tcBorders>
            <w:tcMar>
              <w:top w:w="0" w:type="dxa"/>
              <w:left w:w="120" w:type="dxa"/>
              <w:bottom w:w="0" w:type="dxa"/>
              <w:right w:w="120" w:type="dxa"/>
            </w:tcMar>
            <w:vAlign w:val="bottom"/>
          </w:tcPr>
          <w:p w14:paraId="03674FE9"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19.563</w:t>
            </w:r>
          </w:p>
        </w:tc>
        <w:tc>
          <w:tcPr>
            <w:tcW w:w="1417" w:type="dxa"/>
            <w:tcBorders>
              <w:top w:val="nil"/>
              <w:left w:val="nil"/>
              <w:bottom w:val="nil"/>
              <w:right w:val="nil"/>
            </w:tcBorders>
            <w:tcMar>
              <w:top w:w="0" w:type="dxa"/>
              <w:left w:w="120" w:type="dxa"/>
              <w:bottom w:w="0" w:type="dxa"/>
              <w:right w:w="120" w:type="dxa"/>
            </w:tcMar>
            <w:vAlign w:val="bottom"/>
          </w:tcPr>
          <w:p w14:paraId="2D7161FB"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nil"/>
              <w:right w:val="nil"/>
            </w:tcBorders>
            <w:tcMar>
              <w:top w:w="0" w:type="dxa"/>
              <w:left w:w="120" w:type="dxa"/>
              <w:bottom w:w="0" w:type="dxa"/>
              <w:right w:w="120" w:type="dxa"/>
            </w:tcMar>
            <w:vAlign w:val="bottom"/>
          </w:tcPr>
          <w:p w14:paraId="71C8A6D5"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2.270</w:t>
            </w:r>
          </w:p>
        </w:tc>
        <w:tc>
          <w:tcPr>
            <w:tcW w:w="1417" w:type="dxa"/>
            <w:tcBorders>
              <w:top w:val="nil"/>
              <w:left w:val="nil"/>
              <w:bottom w:val="nil"/>
            </w:tcBorders>
            <w:tcMar>
              <w:top w:w="0" w:type="dxa"/>
              <w:left w:w="120" w:type="dxa"/>
              <w:bottom w:w="0" w:type="dxa"/>
              <w:right w:w="120" w:type="dxa"/>
            </w:tcMar>
            <w:vAlign w:val="bottom"/>
          </w:tcPr>
          <w:p w14:paraId="39B5329D"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21.833</w:t>
            </w:r>
          </w:p>
        </w:tc>
      </w:tr>
      <w:tr w:rsidR="00B47639" w:rsidRPr="003D1614" w14:paraId="68CC3ED3" w14:textId="77777777" w:rsidTr="00CE46C0">
        <w:trPr>
          <w:trHeight w:val="139"/>
        </w:trPr>
        <w:tc>
          <w:tcPr>
            <w:tcW w:w="3515" w:type="dxa"/>
            <w:tcMar>
              <w:top w:w="0" w:type="dxa"/>
              <w:left w:w="120" w:type="dxa"/>
              <w:bottom w:w="0" w:type="dxa"/>
              <w:right w:w="120" w:type="dxa"/>
            </w:tcMar>
            <w:vAlign w:val="bottom"/>
          </w:tcPr>
          <w:p w14:paraId="403E0BC6" w14:textId="77777777" w:rsidR="00B47639" w:rsidRPr="003D1614" w:rsidRDefault="00B47639" w:rsidP="00B47639">
            <w:pPr>
              <w:tabs>
                <w:tab w:val="right" w:pos="1202"/>
              </w:tabs>
              <w:suppressAutoHyphens/>
              <w:autoSpaceDN w:val="0"/>
              <w:spacing w:line="240" w:lineRule="exact"/>
              <w:outlineLvl w:val="0"/>
              <w:rPr>
                <w:rFonts w:ascii="Arial" w:eastAsia="Calibri" w:hAnsi="Arial" w:cs="Arial"/>
                <w:color w:val="000000" w:themeColor="text1"/>
                <w:sz w:val="17"/>
                <w:szCs w:val="17"/>
              </w:rPr>
            </w:pPr>
            <w:r w:rsidRPr="003D1614">
              <w:rPr>
                <w:rFonts w:ascii="Arial" w:eastAsia="Calibri" w:hAnsi="Arial" w:cs="Arial"/>
                <w:color w:val="000000" w:themeColor="text1"/>
                <w:sz w:val="17"/>
                <w:szCs w:val="17"/>
              </w:rPr>
              <w:t>Ostale obveze</w:t>
            </w:r>
          </w:p>
        </w:tc>
        <w:tc>
          <w:tcPr>
            <w:tcW w:w="1417" w:type="dxa"/>
            <w:tcBorders>
              <w:top w:val="nil"/>
              <w:left w:val="nil"/>
              <w:bottom w:val="single" w:sz="4" w:space="0" w:color="auto"/>
              <w:right w:val="nil"/>
            </w:tcBorders>
            <w:tcMar>
              <w:top w:w="0" w:type="dxa"/>
              <w:left w:w="120" w:type="dxa"/>
              <w:bottom w:w="0" w:type="dxa"/>
              <w:right w:w="120" w:type="dxa"/>
            </w:tcMar>
            <w:vAlign w:val="bottom"/>
          </w:tcPr>
          <w:p w14:paraId="27567496"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92.911</w:t>
            </w:r>
          </w:p>
        </w:tc>
        <w:tc>
          <w:tcPr>
            <w:tcW w:w="1417" w:type="dxa"/>
            <w:tcBorders>
              <w:top w:val="nil"/>
              <w:left w:val="nil"/>
              <w:bottom w:val="single" w:sz="4" w:space="0" w:color="auto"/>
              <w:right w:val="nil"/>
            </w:tcBorders>
            <w:tcMar>
              <w:top w:w="0" w:type="dxa"/>
              <w:left w:w="120" w:type="dxa"/>
              <w:bottom w:w="0" w:type="dxa"/>
              <w:right w:w="120" w:type="dxa"/>
            </w:tcMar>
            <w:vAlign w:val="bottom"/>
          </w:tcPr>
          <w:p w14:paraId="3AC3672C"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single" w:sz="4" w:space="0" w:color="auto"/>
              <w:right w:val="nil"/>
            </w:tcBorders>
            <w:tcMar>
              <w:top w:w="0" w:type="dxa"/>
              <w:left w:w="120" w:type="dxa"/>
              <w:bottom w:w="0" w:type="dxa"/>
              <w:right w:w="120" w:type="dxa"/>
            </w:tcMar>
            <w:vAlign w:val="bottom"/>
          </w:tcPr>
          <w:p w14:paraId="7559E42A"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w:t>
            </w:r>
          </w:p>
        </w:tc>
        <w:tc>
          <w:tcPr>
            <w:tcW w:w="1417" w:type="dxa"/>
            <w:tcBorders>
              <w:top w:val="nil"/>
              <w:left w:val="nil"/>
              <w:bottom w:val="single" w:sz="4" w:space="0" w:color="auto"/>
            </w:tcBorders>
            <w:tcMar>
              <w:top w:w="0" w:type="dxa"/>
              <w:left w:w="120" w:type="dxa"/>
              <w:bottom w:w="0" w:type="dxa"/>
              <w:right w:w="120" w:type="dxa"/>
            </w:tcMar>
            <w:vAlign w:val="bottom"/>
          </w:tcPr>
          <w:p w14:paraId="14930FA7" w14:textId="77777777" w:rsidR="00B47639" w:rsidRPr="003D1614" w:rsidRDefault="00B47639" w:rsidP="00B47639">
            <w:pPr>
              <w:suppressAutoHyphens/>
              <w:autoSpaceDN w:val="0"/>
              <w:spacing w:line="240" w:lineRule="exact"/>
              <w:jc w:val="right"/>
              <w:rPr>
                <w:rFonts w:ascii="Arial" w:eastAsia="Arial Unicode MS" w:hAnsi="Arial" w:cs="Arial"/>
                <w:color w:val="000000" w:themeColor="text1"/>
                <w:sz w:val="17"/>
                <w:szCs w:val="17"/>
              </w:rPr>
            </w:pPr>
            <w:r>
              <w:rPr>
                <w:rFonts w:ascii="Arial" w:eastAsia="Arial Unicode MS" w:hAnsi="Arial" w:cs="Arial"/>
                <w:color w:val="000000" w:themeColor="text1"/>
                <w:sz w:val="17"/>
                <w:szCs w:val="17"/>
              </w:rPr>
              <w:t>92.911</w:t>
            </w:r>
          </w:p>
        </w:tc>
      </w:tr>
      <w:tr w:rsidR="00B47639" w:rsidRPr="003D1614" w14:paraId="255E5F68" w14:textId="77777777" w:rsidTr="00CE46C0">
        <w:trPr>
          <w:trHeight w:val="310"/>
        </w:trPr>
        <w:tc>
          <w:tcPr>
            <w:tcW w:w="3515" w:type="dxa"/>
            <w:tcMar>
              <w:top w:w="0" w:type="dxa"/>
              <w:left w:w="120" w:type="dxa"/>
              <w:bottom w:w="0" w:type="dxa"/>
              <w:right w:w="120" w:type="dxa"/>
            </w:tcMar>
            <w:vAlign w:val="bottom"/>
          </w:tcPr>
          <w:p w14:paraId="7E931797" w14:textId="77777777" w:rsidR="00B47639" w:rsidRPr="003D1614" w:rsidRDefault="00B47639" w:rsidP="00B47639">
            <w:pPr>
              <w:tabs>
                <w:tab w:val="right" w:pos="1202"/>
              </w:tabs>
              <w:suppressAutoHyphens/>
              <w:autoSpaceDN w:val="0"/>
              <w:spacing w:line="240" w:lineRule="exact"/>
              <w:outlineLvl w:val="0"/>
              <w:rPr>
                <w:rFonts w:ascii="Arial" w:eastAsia="Calibri" w:hAnsi="Arial" w:cs="Arial"/>
                <w:b/>
                <w:bCs/>
                <w:color w:val="000000" w:themeColor="text1"/>
                <w:sz w:val="17"/>
                <w:szCs w:val="17"/>
              </w:rPr>
            </w:pPr>
            <w:r w:rsidRPr="003D1614">
              <w:rPr>
                <w:rFonts w:ascii="Arial" w:eastAsia="Calibri" w:hAnsi="Arial" w:cs="Arial"/>
                <w:b/>
                <w:bCs/>
                <w:color w:val="000000" w:themeColor="text1"/>
                <w:sz w:val="17"/>
                <w:szCs w:val="17"/>
              </w:rPr>
              <w:t>Ukupne obveze</w:t>
            </w:r>
          </w:p>
        </w:tc>
        <w:tc>
          <w:tcPr>
            <w:tcW w:w="1417" w:type="dxa"/>
            <w:tcBorders>
              <w:top w:val="single" w:sz="4" w:space="0" w:color="auto"/>
              <w:left w:val="nil"/>
              <w:bottom w:val="single" w:sz="12" w:space="0" w:color="auto"/>
              <w:right w:val="nil"/>
            </w:tcBorders>
            <w:tcMar>
              <w:top w:w="0" w:type="dxa"/>
              <w:left w:w="120" w:type="dxa"/>
              <w:bottom w:w="0" w:type="dxa"/>
              <w:right w:w="120" w:type="dxa"/>
            </w:tcMar>
            <w:vAlign w:val="bottom"/>
          </w:tcPr>
          <w:p w14:paraId="6BFCEE1E" w14:textId="77777777" w:rsidR="00B47639" w:rsidRPr="00AF0360" w:rsidRDefault="00B47639" w:rsidP="00B47639">
            <w:pPr>
              <w:suppressAutoHyphens/>
              <w:autoSpaceDN w:val="0"/>
              <w:spacing w:line="240" w:lineRule="exact"/>
              <w:jc w:val="right"/>
              <w:rPr>
                <w:rFonts w:ascii="Arial" w:eastAsia="Arial Unicode MS" w:hAnsi="Arial" w:cs="Arial"/>
                <w:b/>
                <w:bCs/>
                <w:color w:val="000000" w:themeColor="text1"/>
                <w:sz w:val="17"/>
                <w:szCs w:val="17"/>
              </w:rPr>
            </w:pPr>
            <w:r>
              <w:rPr>
                <w:rFonts w:ascii="Arial" w:eastAsia="Arial Unicode MS" w:hAnsi="Arial" w:cs="Arial"/>
                <w:b/>
                <w:bCs/>
                <w:color w:val="000000" w:themeColor="text1"/>
                <w:sz w:val="17"/>
                <w:szCs w:val="17"/>
              </w:rPr>
              <w:t>2.484.451</w:t>
            </w:r>
          </w:p>
        </w:tc>
        <w:tc>
          <w:tcPr>
            <w:tcW w:w="1417" w:type="dxa"/>
            <w:tcBorders>
              <w:top w:val="single" w:sz="4" w:space="0" w:color="auto"/>
              <w:left w:val="nil"/>
              <w:bottom w:val="single" w:sz="12" w:space="0" w:color="auto"/>
              <w:right w:val="nil"/>
            </w:tcBorders>
            <w:tcMar>
              <w:top w:w="0" w:type="dxa"/>
              <w:left w:w="120" w:type="dxa"/>
              <w:bottom w:w="0" w:type="dxa"/>
              <w:right w:w="120" w:type="dxa"/>
            </w:tcMar>
            <w:vAlign w:val="bottom"/>
          </w:tcPr>
          <w:p w14:paraId="6147F540" w14:textId="77777777" w:rsidR="00B47639" w:rsidRPr="00AF0360" w:rsidRDefault="00B47639" w:rsidP="00B47639">
            <w:pPr>
              <w:suppressAutoHyphens/>
              <w:autoSpaceDN w:val="0"/>
              <w:spacing w:line="240" w:lineRule="exact"/>
              <w:jc w:val="right"/>
              <w:rPr>
                <w:rFonts w:ascii="Arial" w:eastAsia="Arial Unicode MS" w:hAnsi="Arial" w:cs="Arial"/>
                <w:b/>
                <w:bCs/>
                <w:color w:val="000000" w:themeColor="text1"/>
                <w:sz w:val="17"/>
                <w:szCs w:val="17"/>
              </w:rPr>
            </w:pPr>
            <w:r>
              <w:rPr>
                <w:rFonts w:ascii="Arial" w:eastAsia="Arial Unicode MS" w:hAnsi="Arial" w:cs="Arial"/>
                <w:b/>
                <w:bCs/>
                <w:color w:val="000000" w:themeColor="text1"/>
                <w:sz w:val="17"/>
                <w:szCs w:val="17"/>
              </w:rPr>
              <w:t>35.861</w:t>
            </w:r>
          </w:p>
        </w:tc>
        <w:tc>
          <w:tcPr>
            <w:tcW w:w="1417" w:type="dxa"/>
            <w:tcBorders>
              <w:top w:val="single" w:sz="4" w:space="0" w:color="auto"/>
              <w:left w:val="nil"/>
              <w:bottom w:val="single" w:sz="12" w:space="0" w:color="auto"/>
              <w:right w:val="nil"/>
            </w:tcBorders>
            <w:tcMar>
              <w:top w:w="0" w:type="dxa"/>
              <w:left w:w="120" w:type="dxa"/>
              <w:bottom w:w="0" w:type="dxa"/>
              <w:right w:w="120" w:type="dxa"/>
            </w:tcMar>
            <w:vAlign w:val="bottom"/>
          </w:tcPr>
          <w:p w14:paraId="209877F0" w14:textId="77777777" w:rsidR="00B47639" w:rsidRPr="00AF0360" w:rsidRDefault="00B47639" w:rsidP="00B47639">
            <w:pPr>
              <w:suppressAutoHyphens/>
              <w:autoSpaceDN w:val="0"/>
              <w:spacing w:line="240" w:lineRule="exact"/>
              <w:jc w:val="right"/>
              <w:rPr>
                <w:rFonts w:ascii="Arial" w:eastAsia="Arial Unicode MS" w:hAnsi="Arial" w:cs="Arial"/>
                <w:b/>
                <w:bCs/>
                <w:color w:val="000000" w:themeColor="text1"/>
                <w:sz w:val="17"/>
                <w:szCs w:val="17"/>
              </w:rPr>
            </w:pPr>
            <w:r>
              <w:rPr>
                <w:rFonts w:ascii="Arial" w:eastAsia="Arial Unicode MS" w:hAnsi="Arial" w:cs="Arial"/>
                <w:b/>
                <w:bCs/>
                <w:color w:val="000000" w:themeColor="text1"/>
                <w:sz w:val="17"/>
                <w:szCs w:val="17"/>
              </w:rPr>
              <w:t>2.270</w:t>
            </w:r>
          </w:p>
        </w:tc>
        <w:tc>
          <w:tcPr>
            <w:tcW w:w="1417" w:type="dxa"/>
            <w:tcBorders>
              <w:top w:val="single" w:sz="4" w:space="0" w:color="auto"/>
              <w:left w:val="nil"/>
              <w:bottom w:val="single" w:sz="12" w:space="0" w:color="auto"/>
            </w:tcBorders>
            <w:tcMar>
              <w:top w:w="0" w:type="dxa"/>
              <w:left w:w="120" w:type="dxa"/>
              <w:bottom w:w="0" w:type="dxa"/>
              <w:right w:w="120" w:type="dxa"/>
            </w:tcMar>
            <w:vAlign w:val="bottom"/>
          </w:tcPr>
          <w:p w14:paraId="143DE3F1" w14:textId="77777777" w:rsidR="00B47639" w:rsidRPr="00AF0360" w:rsidRDefault="00B47639" w:rsidP="00B47639">
            <w:pPr>
              <w:suppressAutoHyphens/>
              <w:autoSpaceDN w:val="0"/>
              <w:spacing w:line="240" w:lineRule="exact"/>
              <w:jc w:val="right"/>
              <w:rPr>
                <w:rFonts w:ascii="Arial" w:eastAsia="Arial Unicode MS" w:hAnsi="Arial" w:cs="Arial"/>
                <w:b/>
                <w:bCs/>
                <w:color w:val="000000" w:themeColor="text1"/>
                <w:sz w:val="17"/>
                <w:szCs w:val="17"/>
              </w:rPr>
            </w:pPr>
            <w:r>
              <w:rPr>
                <w:rFonts w:ascii="Arial" w:eastAsia="Arial Unicode MS" w:hAnsi="Arial" w:cs="Arial"/>
                <w:b/>
                <w:bCs/>
                <w:color w:val="000000" w:themeColor="text1"/>
                <w:sz w:val="17"/>
                <w:szCs w:val="17"/>
              </w:rPr>
              <w:t>2.522.582</w:t>
            </w:r>
          </w:p>
        </w:tc>
      </w:tr>
      <w:tr w:rsidR="00B47639" w:rsidRPr="003D1614" w14:paraId="6D7DD0FD" w14:textId="77777777" w:rsidTr="00CE46C0">
        <w:trPr>
          <w:trHeight w:val="323"/>
        </w:trPr>
        <w:tc>
          <w:tcPr>
            <w:tcW w:w="3515" w:type="dxa"/>
            <w:tcMar>
              <w:top w:w="0" w:type="dxa"/>
              <w:left w:w="120" w:type="dxa"/>
              <w:bottom w:w="0" w:type="dxa"/>
              <w:right w:w="120" w:type="dxa"/>
            </w:tcMar>
            <w:vAlign w:val="bottom"/>
          </w:tcPr>
          <w:p w14:paraId="307EDDDE" w14:textId="77777777" w:rsidR="00B47639" w:rsidRPr="003D1614" w:rsidRDefault="00B47639" w:rsidP="00B47639">
            <w:pPr>
              <w:suppressAutoHyphens/>
              <w:autoSpaceDN w:val="0"/>
              <w:spacing w:line="240" w:lineRule="exact"/>
              <w:rPr>
                <w:rFonts w:ascii="Arial" w:eastAsia="Times New Roman" w:hAnsi="Arial" w:cs="Arial"/>
                <w:b/>
                <w:bCs/>
                <w:color w:val="000000" w:themeColor="text1"/>
                <w:sz w:val="17"/>
                <w:szCs w:val="17"/>
              </w:rPr>
            </w:pPr>
            <w:r w:rsidRPr="003D1614">
              <w:rPr>
                <w:rFonts w:ascii="Arial" w:eastAsia="Times New Roman" w:hAnsi="Arial" w:cs="Arial"/>
                <w:b/>
                <w:bCs/>
                <w:color w:val="000000" w:themeColor="text1"/>
                <w:sz w:val="17"/>
                <w:szCs w:val="17"/>
              </w:rPr>
              <w:t>Valutni jaz</w:t>
            </w:r>
          </w:p>
        </w:tc>
        <w:tc>
          <w:tcPr>
            <w:tcW w:w="1417"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0E125343" w14:textId="77777777" w:rsidR="00B47639" w:rsidRPr="00AF0360" w:rsidRDefault="00B47639" w:rsidP="00B47639">
            <w:pPr>
              <w:suppressAutoHyphens/>
              <w:autoSpaceDN w:val="0"/>
              <w:spacing w:line="240" w:lineRule="exact"/>
              <w:jc w:val="right"/>
              <w:rPr>
                <w:rFonts w:ascii="Arial" w:eastAsia="Arial Unicode MS" w:hAnsi="Arial" w:cs="Arial"/>
                <w:b/>
                <w:bCs/>
                <w:color w:val="000000" w:themeColor="text1"/>
                <w:sz w:val="17"/>
                <w:szCs w:val="17"/>
              </w:rPr>
            </w:pPr>
            <w:r>
              <w:rPr>
                <w:rFonts w:ascii="Arial" w:eastAsia="Arial Unicode MS" w:hAnsi="Arial" w:cs="Arial"/>
                <w:b/>
                <w:bCs/>
                <w:color w:val="000000" w:themeColor="text1"/>
                <w:sz w:val="17"/>
                <w:szCs w:val="17"/>
              </w:rPr>
              <w:t>1.456.090</w:t>
            </w:r>
          </w:p>
        </w:tc>
        <w:tc>
          <w:tcPr>
            <w:tcW w:w="1417"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7010DAFF" w14:textId="77777777" w:rsidR="00B47639" w:rsidRPr="00AF0360" w:rsidRDefault="00B47639" w:rsidP="00B47639">
            <w:pPr>
              <w:suppressAutoHyphens/>
              <w:autoSpaceDN w:val="0"/>
              <w:spacing w:line="240" w:lineRule="exact"/>
              <w:jc w:val="right"/>
              <w:rPr>
                <w:rFonts w:ascii="Arial" w:eastAsia="Arial Unicode MS" w:hAnsi="Arial" w:cs="Arial"/>
                <w:b/>
                <w:bCs/>
                <w:color w:val="000000" w:themeColor="text1"/>
                <w:sz w:val="17"/>
                <w:szCs w:val="17"/>
              </w:rPr>
            </w:pPr>
            <w:r>
              <w:rPr>
                <w:rFonts w:ascii="Arial" w:eastAsia="Arial Unicode MS" w:hAnsi="Arial" w:cs="Arial"/>
                <w:b/>
                <w:bCs/>
                <w:color w:val="000000" w:themeColor="text1"/>
                <w:sz w:val="17"/>
                <w:szCs w:val="17"/>
              </w:rPr>
              <w:t>(1.306)</w:t>
            </w:r>
          </w:p>
        </w:tc>
        <w:tc>
          <w:tcPr>
            <w:tcW w:w="1417"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51AE688A" w14:textId="77777777" w:rsidR="00B47639" w:rsidRPr="00AF0360" w:rsidRDefault="00B47639" w:rsidP="00B47639">
            <w:pPr>
              <w:suppressAutoHyphens/>
              <w:autoSpaceDN w:val="0"/>
              <w:spacing w:line="240" w:lineRule="exact"/>
              <w:jc w:val="right"/>
              <w:rPr>
                <w:rFonts w:ascii="Arial" w:eastAsia="Arial Unicode MS" w:hAnsi="Arial" w:cs="Arial"/>
                <w:b/>
                <w:bCs/>
                <w:color w:val="000000" w:themeColor="text1"/>
                <w:sz w:val="17"/>
                <w:szCs w:val="17"/>
              </w:rPr>
            </w:pPr>
            <w:r>
              <w:rPr>
                <w:rFonts w:ascii="Arial" w:eastAsia="Arial Unicode MS" w:hAnsi="Arial" w:cs="Arial"/>
                <w:b/>
                <w:bCs/>
                <w:color w:val="000000" w:themeColor="text1"/>
                <w:sz w:val="17"/>
                <w:szCs w:val="17"/>
              </w:rPr>
              <w:t>20.139</w:t>
            </w:r>
          </w:p>
        </w:tc>
        <w:tc>
          <w:tcPr>
            <w:tcW w:w="1417" w:type="dxa"/>
            <w:tcBorders>
              <w:top w:val="single" w:sz="12" w:space="0" w:color="auto"/>
              <w:left w:val="nil"/>
              <w:bottom w:val="single" w:sz="12" w:space="0" w:color="auto"/>
            </w:tcBorders>
            <w:shd w:val="clear" w:color="000000" w:fill="auto"/>
            <w:tcMar>
              <w:top w:w="0" w:type="dxa"/>
              <w:left w:w="120" w:type="dxa"/>
              <w:bottom w:w="0" w:type="dxa"/>
              <w:right w:w="120" w:type="dxa"/>
            </w:tcMar>
            <w:vAlign w:val="bottom"/>
          </w:tcPr>
          <w:p w14:paraId="2AED525F" w14:textId="77777777" w:rsidR="00B47639" w:rsidRPr="00AF0360" w:rsidRDefault="00B47639" w:rsidP="00B47639">
            <w:pPr>
              <w:suppressAutoHyphens/>
              <w:autoSpaceDN w:val="0"/>
              <w:spacing w:line="240" w:lineRule="exact"/>
              <w:jc w:val="right"/>
              <w:rPr>
                <w:rFonts w:ascii="Arial" w:eastAsia="Arial Unicode MS" w:hAnsi="Arial" w:cs="Arial"/>
                <w:b/>
                <w:bCs/>
                <w:color w:val="000000" w:themeColor="text1"/>
                <w:sz w:val="17"/>
                <w:szCs w:val="17"/>
              </w:rPr>
            </w:pPr>
            <w:r>
              <w:rPr>
                <w:rFonts w:ascii="Arial" w:eastAsia="Arial Unicode MS" w:hAnsi="Arial" w:cs="Arial"/>
                <w:b/>
                <w:bCs/>
                <w:color w:val="000000" w:themeColor="text1"/>
                <w:sz w:val="17"/>
                <w:szCs w:val="17"/>
              </w:rPr>
              <w:t>1.474.923</w:t>
            </w:r>
          </w:p>
        </w:tc>
      </w:tr>
      <w:bookmarkEnd w:id="964"/>
    </w:tbl>
    <w:p w14:paraId="03E9C3DF" w14:textId="77777777" w:rsidR="006A67A0" w:rsidRPr="003D1614" w:rsidRDefault="006A67A0" w:rsidP="006A67A0">
      <w:pPr>
        <w:tabs>
          <w:tab w:val="right" w:pos="1202"/>
        </w:tabs>
        <w:suppressAutoHyphens/>
        <w:autoSpaceDN w:val="0"/>
        <w:outlineLvl w:val="0"/>
        <w:rPr>
          <w:rFonts w:ascii="Arial" w:eastAsia="Times New Roman" w:hAnsi="Arial" w:cs="Arial"/>
          <w:i/>
          <w:color w:val="000000" w:themeColor="text1"/>
          <w:sz w:val="20"/>
          <w:szCs w:val="20"/>
        </w:rPr>
      </w:pPr>
    </w:p>
    <w:p w14:paraId="3A0BF2B7" w14:textId="77777777" w:rsidR="006A67A0" w:rsidRPr="003D1614" w:rsidRDefault="006A67A0" w:rsidP="006A67A0">
      <w:pPr>
        <w:tabs>
          <w:tab w:val="right" w:pos="1202"/>
        </w:tabs>
        <w:suppressAutoHyphens/>
        <w:autoSpaceDN w:val="0"/>
        <w:outlineLvl w:val="0"/>
        <w:rPr>
          <w:rFonts w:ascii="Arial" w:eastAsia="Times New Roman" w:hAnsi="Arial" w:cs="Arial"/>
          <w:i/>
          <w:color w:val="000000" w:themeColor="text1"/>
          <w:sz w:val="20"/>
          <w:szCs w:val="20"/>
        </w:rPr>
      </w:pPr>
    </w:p>
    <w:p w14:paraId="38081F92" w14:textId="5DADF29C" w:rsidR="009243A8"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r w:rsidRPr="003D1614">
        <w:rPr>
          <w:rFonts w:ascii="Arial" w:eastAsia="Times New Roman" w:hAnsi="Arial" w:cs="Arial"/>
          <w:i/>
          <w:color w:val="000000" w:themeColor="text1"/>
          <w:sz w:val="18"/>
          <w:szCs w:val="18"/>
        </w:rPr>
        <w:t xml:space="preserve"> </w:t>
      </w:r>
    </w:p>
    <w:p w14:paraId="479D8F39" w14:textId="77777777" w:rsidR="006A67A0" w:rsidRPr="003D1614" w:rsidRDefault="006A67A0" w:rsidP="006A67A0">
      <w:pPr>
        <w:tabs>
          <w:tab w:val="right" w:pos="1202"/>
        </w:tabs>
        <w:suppressAutoHyphens/>
        <w:autoSpaceDN w:val="0"/>
        <w:jc w:val="both"/>
        <w:outlineLvl w:val="0"/>
        <w:rPr>
          <w:rFonts w:ascii="Arial" w:eastAsia="Times New Roman" w:hAnsi="Arial" w:cs="Arial"/>
          <w:bCs/>
          <w:i/>
          <w:color w:val="000000" w:themeColor="text1"/>
          <w:sz w:val="18"/>
          <w:szCs w:val="18"/>
        </w:rPr>
        <w:sectPr w:rsidR="006A67A0" w:rsidRPr="003D1614" w:rsidSect="003278AB">
          <w:pgSz w:w="11906" w:h="16838"/>
          <w:pgMar w:top="1417" w:right="1417" w:bottom="1417" w:left="1417" w:header="708" w:footer="708" w:gutter="0"/>
          <w:cols w:space="708"/>
          <w:docGrid w:linePitch="360"/>
        </w:sectPr>
      </w:pPr>
    </w:p>
    <w:p w14:paraId="028C4C63" w14:textId="77777777" w:rsidR="006A67A0" w:rsidRPr="003D1614" w:rsidRDefault="006A67A0" w:rsidP="006A67A0">
      <w:pPr>
        <w:keepNext/>
        <w:suppressAutoHyphens/>
        <w:autoSpaceDN w:val="0"/>
        <w:jc w:val="both"/>
        <w:outlineLvl w:val="0"/>
        <w:rPr>
          <w:rFonts w:ascii="Arial" w:eastAsia="Times New Roman" w:hAnsi="Arial" w:cs="Arial"/>
          <w:b/>
          <w:bCs/>
          <w:color w:val="000000" w:themeColor="text1"/>
          <w:sz w:val="20"/>
          <w:szCs w:val="20"/>
        </w:rPr>
      </w:pPr>
    </w:p>
    <w:p w14:paraId="5B5B1ACD" w14:textId="6789AB2B"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51200417"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5449BA20" w14:textId="5519DA30"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2B763A50"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71A7DCFC" w14:textId="7AF73F2A"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.5.2.  Valutni rizik</w:t>
      </w:r>
    </w:p>
    <w:p w14:paraId="4FD5AC27" w14:textId="77777777" w:rsidR="006A67A0" w:rsidRPr="003D1614" w:rsidRDefault="006A67A0" w:rsidP="006A67A0">
      <w:pPr>
        <w:suppressAutoHyphens/>
        <w:autoSpaceDN w:val="0"/>
        <w:jc w:val="both"/>
        <w:rPr>
          <w:rFonts w:ascii="Arial" w:eastAsia="Times New Roman" w:hAnsi="Arial" w:cs="Arial"/>
          <w:color w:val="000000" w:themeColor="text1"/>
          <w:sz w:val="20"/>
          <w:szCs w:val="20"/>
        </w:rPr>
      </w:pPr>
    </w:p>
    <w:p w14:paraId="7A6B4FBD" w14:textId="77777777" w:rsidR="006A67A0" w:rsidRPr="003D1614" w:rsidRDefault="006A67A0" w:rsidP="006A67A0">
      <w:pPr>
        <w:keepNext/>
        <w:suppressAutoHyphens/>
        <w:autoSpaceDN w:val="0"/>
        <w:jc w:val="both"/>
        <w:outlineLvl w:val="0"/>
        <w:rPr>
          <w:rFonts w:ascii="Arial" w:eastAsia="Times New Roman" w:hAnsi="Arial" w:cs="Arial"/>
          <w:color w:val="000000" w:themeColor="text1"/>
          <w:sz w:val="20"/>
          <w:szCs w:val="20"/>
        </w:rPr>
      </w:pPr>
    </w:p>
    <w:tbl>
      <w:tblPr>
        <w:tblW w:w="5061" w:type="pct"/>
        <w:tblLayout w:type="fixed"/>
        <w:tblCellMar>
          <w:left w:w="10" w:type="dxa"/>
          <w:right w:w="10" w:type="dxa"/>
        </w:tblCellMar>
        <w:tblLook w:val="0000" w:firstRow="0" w:lastRow="0" w:firstColumn="0" w:lastColumn="0" w:noHBand="0" w:noVBand="0"/>
      </w:tblPr>
      <w:tblGrid>
        <w:gridCol w:w="3507"/>
        <w:gridCol w:w="1419"/>
        <w:gridCol w:w="1419"/>
        <w:gridCol w:w="1419"/>
        <w:gridCol w:w="1419"/>
      </w:tblGrid>
      <w:tr w:rsidR="00165B1C" w:rsidRPr="00F97A44" w14:paraId="1F84B5AA" w14:textId="77777777" w:rsidTr="00CA7F04">
        <w:trPr>
          <w:trHeight w:val="415"/>
        </w:trPr>
        <w:tc>
          <w:tcPr>
            <w:tcW w:w="3625" w:type="dxa"/>
            <w:tcMar>
              <w:top w:w="0" w:type="dxa"/>
              <w:left w:w="120" w:type="dxa"/>
              <w:bottom w:w="0" w:type="dxa"/>
              <w:right w:w="120" w:type="dxa"/>
            </w:tcMar>
            <w:vAlign w:val="bottom"/>
          </w:tcPr>
          <w:p w14:paraId="0AB1884C" w14:textId="77777777" w:rsidR="00165B1C" w:rsidRPr="00F97A44" w:rsidRDefault="00165B1C" w:rsidP="00CA7F04">
            <w:pPr>
              <w:tabs>
                <w:tab w:val="right" w:pos="1202"/>
              </w:tabs>
              <w:suppressAutoHyphens/>
              <w:autoSpaceDN w:val="0"/>
              <w:spacing w:line="220" w:lineRule="exact"/>
              <w:outlineLvl w:val="0"/>
              <w:rPr>
                <w:rFonts w:ascii="Arial" w:eastAsia="Calibri" w:hAnsi="Arial" w:cs="Arial"/>
                <w:b/>
                <w:color w:val="000000" w:themeColor="text1"/>
                <w:sz w:val="17"/>
                <w:szCs w:val="17"/>
              </w:rPr>
            </w:pPr>
            <w:r w:rsidRPr="00F97A44">
              <w:rPr>
                <w:rFonts w:ascii="Arial" w:eastAsia="Calibri" w:hAnsi="Arial" w:cs="Arial"/>
                <w:b/>
                <w:color w:val="000000" w:themeColor="text1"/>
                <w:sz w:val="17"/>
                <w:szCs w:val="17"/>
              </w:rPr>
              <w:t>Grupa</w:t>
            </w:r>
          </w:p>
          <w:p w14:paraId="57C680F5" w14:textId="77777777" w:rsidR="00165B1C" w:rsidRPr="00F97A44" w:rsidRDefault="00165B1C" w:rsidP="00CA7F04">
            <w:pPr>
              <w:tabs>
                <w:tab w:val="right" w:pos="1202"/>
              </w:tabs>
              <w:suppressAutoHyphens/>
              <w:autoSpaceDN w:val="0"/>
              <w:spacing w:line="220" w:lineRule="exact"/>
              <w:outlineLvl w:val="0"/>
              <w:rPr>
                <w:rFonts w:ascii="Arial" w:eastAsia="Calibri" w:hAnsi="Arial" w:cs="Arial"/>
                <w:b/>
                <w:color w:val="000000" w:themeColor="text1"/>
                <w:sz w:val="17"/>
                <w:szCs w:val="17"/>
              </w:rPr>
            </w:pPr>
          </w:p>
          <w:p w14:paraId="754E1D6E" w14:textId="77777777" w:rsidR="00165B1C" w:rsidRPr="00F97A44" w:rsidRDefault="00165B1C" w:rsidP="00CA7F04">
            <w:pPr>
              <w:tabs>
                <w:tab w:val="right" w:pos="1202"/>
              </w:tabs>
              <w:suppressAutoHyphens/>
              <w:autoSpaceDN w:val="0"/>
              <w:spacing w:line="220" w:lineRule="exact"/>
              <w:outlineLvl w:val="0"/>
              <w:rPr>
                <w:rFonts w:ascii="Arial" w:eastAsia="Calibri" w:hAnsi="Arial" w:cs="Arial"/>
                <w:b/>
                <w:color w:val="000000" w:themeColor="text1"/>
                <w:sz w:val="17"/>
                <w:szCs w:val="17"/>
              </w:rPr>
            </w:pPr>
            <w:r w:rsidRPr="00F97A44">
              <w:rPr>
                <w:rFonts w:ascii="Arial" w:eastAsia="Calibri" w:hAnsi="Arial" w:cs="Arial"/>
                <w:b/>
                <w:color w:val="000000" w:themeColor="text1"/>
                <w:sz w:val="17"/>
                <w:szCs w:val="17"/>
              </w:rPr>
              <w:t xml:space="preserve">31. </w:t>
            </w:r>
            <w:r>
              <w:rPr>
                <w:rFonts w:ascii="Arial" w:eastAsia="Calibri" w:hAnsi="Arial" w:cs="Arial"/>
                <w:b/>
                <w:color w:val="000000" w:themeColor="text1"/>
                <w:sz w:val="17"/>
                <w:szCs w:val="17"/>
              </w:rPr>
              <w:t>prosinca</w:t>
            </w:r>
            <w:r w:rsidRPr="00F97A44">
              <w:rPr>
                <w:rFonts w:ascii="Arial" w:eastAsia="Calibri" w:hAnsi="Arial" w:cs="Arial"/>
                <w:b/>
                <w:color w:val="000000" w:themeColor="text1"/>
                <w:sz w:val="17"/>
                <w:szCs w:val="17"/>
              </w:rPr>
              <w:t xml:space="preserve"> 2023. </w:t>
            </w:r>
          </w:p>
        </w:tc>
        <w:tc>
          <w:tcPr>
            <w:tcW w:w="1461" w:type="dxa"/>
            <w:tcMar>
              <w:top w:w="0" w:type="dxa"/>
              <w:left w:w="120" w:type="dxa"/>
              <w:bottom w:w="0" w:type="dxa"/>
              <w:right w:w="120" w:type="dxa"/>
            </w:tcMar>
            <w:vAlign w:val="bottom"/>
          </w:tcPr>
          <w:p w14:paraId="50CBEA6A" w14:textId="77777777" w:rsidR="00165B1C" w:rsidRPr="00F97A44" w:rsidRDefault="00165B1C" w:rsidP="00CA7F04">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6D3818">
              <w:rPr>
                <w:rFonts w:ascii="Arial" w:eastAsia="Calibri" w:hAnsi="Arial" w:cs="Arial"/>
                <w:b/>
                <w:color w:val="000000" w:themeColor="text1"/>
                <w:sz w:val="17"/>
                <w:szCs w:val="17"/>
              </w:rPr>
              <w:t>EUR</w:t>
            </w:r>
          </w:p>
        </w:tc>
        <w:tc>
          <w:tcPr>
            <w:tcW w:w="1461" w:type="dxa"/>
            <w:tcMar>
              <w:top w:w="0" w:type="dxa"/>
              <w:left w:w="120" w:type="dxa"/>
              <w:bottom w:w="0" w:type="dxa"/>
              <w:right w:w="120" w:type="dxa"/>
            </w:tcMar>
            <w:vAlign w:val="bottom"/>
          </w:tcPr>
          <w:p w14:paraId="39ECBC40" w14:textId="77777777" w:rsidR="00165B1C" w:rsidRPr="00F97A44" w:rsidRDefault="00165B1C" w:rsidP="00CA7F04">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6D3818">
              <w:rPr>
                <w:rFonts w:ascii="Arial" w:eastAsia="Calibri" w:hAnsi="Arial" w:cs="Arial"/>
                <w:b/>
                <w:color w:val="000000" w:themeColor="text1"/>
                <w:sz w:val="17"/>
                <w:szCs w:val="17"/>
              </w:rPr>
              <w:t>USD</w:t>
            </w:r>
          </w:p>
        </w:tc>
        <w:tc>
          <w:tcPr>
            <w:tcW w:w="1461" w:type="dxa"/>
            <w:tcMar>
              <w:top w:w="0" w:type="dxa"/>
              <w:left w:w="120" w:type="dxa"/>
              <w:bottom w:w="0" w:type="dxa"/>
              <w:right w:w="120" w:type="dxa"/>
            </w:tcMar>
            <w:vAlign w:val="bottom"/>
          </w:tcPr>
          <w:p w14:paraId="49FEB1A0" w14:textId="77777777" w:rsidR="00165B1C" w:rsidRPr="00F97A44" w:rsidRDefault="00165B1C" w:rsidP="00CA7F04">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C145D7">
              <w:rPr>
                <w:rFonts w:ascii="Arial" w:eastAsia="Calibri" w:hAnsi="Arial" w:cs="Arial"/>
                <w:b/>
                <w:color w:val="000000" w:themeColor="text1"/>
                <w:sz w:val="17"/>
                <w:szCs w:val="17"/>
              </w:rPr>
              <w:t>Ostale valute</w:t>
            </w:r>
          </w:p>
        </w:tc>
        <w:tc>
          <w:tcPr>
            <w:tcW w:w="1461" w:type="dxa"/>
            <w:tcMar>
              <w:top w:w="0" w:type="dxa"/>
              <w:left w:w="120" w:type="dxa"/>
              <w:bottom w:w="0" w:type="dxa"/>
              <w:right w:w="120" w:type="dxa"/>
            </w:tcMar>
            <w:vAlign w:val="bottom"/>
          </w:tcPr>
          <w:p w14:paraId="4AF120D0" w14:textId="77777777" w:rsidR="00165B1C" w:rsidRPr="00F97A44" w:rsidRDefault="00165B1C" w:rsidP="00CA7F04">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C145D7">
              <w:rPr>
                <w:rFonts w:ascii="Arial" w:eastAsia="Calibri" w:hAnsi="Arial" w:cs="Arial"/>
                <w:b/>
                <w:color w:val="000000" w:themeColor="text1"/>
                <w:sz w:val="17"/>
                <w:szCs w:val="17"/>
              </w:rPr>
              <w:t>Ukupno</w:t>
            </w:r>
          </w:p>
        </w:tc>
      </w:tr>
      <w:tr w:rsidR="00165B1C" w:rsidRPr="00F97A44" w14:paraId="5D44C0D2" w14:textId="77777777" w:rsidTr="00CA7F04">
        <w:trPr>
          <w:trHeight w:hRule="exact" w:val="272"/>
        </w:trPr>
        <w:tc>
          <w:tcPr>
            <w:tcW w:w="3625" w:type="dxa"/>
            <w:tcMar>
              <w:top w:w="0" w:type="dxa"/>
              <w:left w:w="120" w:type="dxa"/>
              <w:bottom w:w="0" w:type="dxa"/>
              <w:right w:w="120" w:type="dxa"/>
            </w:tcMar>
          </w:tcPr>
          <w:p w14:paraId="4139F607" w14:textId="77777777" w:rsidR="00165B1C" w:rsidRPr="00F97A44" w:rsidRDefault="00165B1C" w:rsidP="00CA7F04">
            <w:pPr>
              <w:tabs>
                <w:tab w:val="right" w:pos="1202"/>
              </w:tabs>
              <w:suppressAutoHyphens/>
              <w:autoSpaceDN w:val="0"/>
              <w:spacing w:line="220" w:lineRule="exact"/>
              <w:outlineLvl w:val="0"/>
              <w:rPr>
                <w:rFonts w:ascii="Arial" w:eastAsia="Calibri" w:hAnsi="Arial" w:cs="Arial"/>
                <w:b/>
                <w:color w:val="000000" w:themeColor="text1"/>
                <w:sz w:val="17"/>
                <w:szCs w:val="17"/>
              </w:rPr>
            </w:pPr>
          </w:p>
        </w:tc>
        <w:tc>
          <w:tcPr>
            <w:tcW w:w="1461" w:type="dxa"/>
            <w:tcMar>
              <w:top w:w="0" w:type="dxa"/>
              <w:left w:w="120" w:type="dxa"/>
              <w:bottom w:w="0" w:type="dxa"/>
              <w:right w:w="120" w:type="dxa"/>
            </w:tcMar>
          </w:tcPr>
          <w:p w14:paraId="67A03804" w14:textId="77777777" w:rsidR="00165B1C" w:rsidRPr="00F97A44" w:rsidRDefault="00165B1C" w:rsidP="00CA7F04">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F97A44">
              <w:rPr>
                <w:rFonts w:ascii="Arial" w:eastAsia="Calibri" w:hAnsi="Arial" w:cs="Arial"/>
                <w:b/>
                <w:color w:val="000000" w:themeColor="text1"/>
                <w:sz w:val="17"/>
                <w:szCs w:val="17"/>
              </w:rPr>
              <w:t>000 eura</w:t>
            </w:r>
          </w:p>
        </w:tc>
        <w:tc>
          <w:tcPr>
            <w:tcW w:w="1461" w:type="dxa"/>
            <w:tcMar>
              <w:top w:w="0" w:type="dxa"/>
              <w:left w:w="120" w:type="dxa"/>
              <w:bottom w:w="0" w:type="dxa"/>
              <w:right w:w="120" w:type="dxa"/>
            </w:tcMar>
          </w:tcPr>
          <w:p w14:paraId="0891EA9E" w14:textId="77777777" w:rsidR="00165B1C" w:rsidRPr="00F97A44" w:rsidRDefault="00165B1C" w:rsidP="00CA7F04">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F97A44">
              <w:rPr>
                <w:rFonts w:ascii="Arial" w:eastAsia="Calibri" w:hAnsi="Arial" w:cs="Arial"/>
                <w:b/>
                <w:color w:val="000000" w:themeColor="text1"/>
                <w:sz w:val="17"/>
                <w:szCs w:val="17"/>
              </w:rPr>
              <w:t>000 eura</w:t>
            </w:r>
          </w:p>
        </w:tc>
        <w:tc>
          <w:tcPr>
            <w:tcW w:w="1461" w:type="dxa"/>
            <w:tcMar>
              <w:top w:w="0" w:type="dxa"/>
              <w:left w:w="120" w:type="dxa"/>
              <w:bottom w:w="0" w:type="dxa"/>
              <w:right w:w="120" w:type="dxa"/>
            </w:tcMar>
          </w:tcPr>
          <w:p w14:paraId="60E257DC" w14:textId="77777777" w:rsidR="00165B1C" w:rsidRPr="00F97A44" w:rsidRDefault="00165B1C" w:rsidP="00CA7F04">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F97A44">
              <w:rPr>
                <w:rFonts w:ascii="Arial" w:eastAsia="Calibri" w:hAnsi="Arial" w:cs="Arial"/>
                <w:b/>
                <w:color w:val="000000" w:themeColor="text1"/>
                <w:sz w:val="17"/>
                <w:szCs w:val="17"/>
              </w:rPr>
              <w:t>000 eura</w:t>
            </w:r>
          </w:p>
        </w:tc>
        <w:tc>
          <w:tcPr>
            <w:tcW w:w="1461" w:type="dxa"/>
            <w:tcMar>
              <w:top w:w="0" w:type="dxa"/>
              <w:left w:w="120" w:type="dxa"/>
              <w:bottom w:w="0" w:type="dxa"/>
              <w:right w:w="120" w:type="dxa"/>
            </w:tcMar>
          </w:tcPr>
          <w:p w14:paraId="6651700E" w14:textId="77777777" w:rsidR="00165B1C" w:rsidRPr="00F97A44" w:rsidRDefault="00165B1C" w:rsidP="00CA7F04">
            <w:pPr>
              <w:tabs>
                <w:tab w:val="right" w:pos="1202"/>
              </w:tabs>
              <w:suppressAutoHyphens/>
              <w:autoSpaceDN w:val="0"/>
              <w:spacing w:line="220" w:lineRule="exact"/>
              <w:jc w:val="right"/>
              <w:outlineLvl w:val="0"/>
              <w:rPr>
                <w:rFonts w:ascii="Arial" w:eastAsia="Calibri" w:hAnsi="Arial" w:cs="Arial"/>
                <w:b/>
                <w:color w:val="000000" w:themeColor="text1"/>
                <w:sz w:val="17"/>
                <w:szCs w:val="17"/>
              </w:rPr>
            </w:pPr>
            <w:r w:rsidRPr="00F97A44">
              <w:rPr>
                <w:rFonts w:ascii="Arial" w:eastAsia="Calibri" w:hAnsi="Arial" w:cs="Arial"/>
                <w:b/>
                <w:color w:val="000000" w:themeColor="text1"/>
                <w:sz w:val="17"/>
                <w:szCs w:val="17"/>
              </w:rPr>
              <w:t>000 eura</w:t>
            </w:r>
          </w:p>
        </w:tc>
      </w:tr>
      <w:tr w:rsidR="00165B1C" w:rsidRPr="00F97A44" w14:paraId="625FFF04" w14:textId="77777777" w:rsidTr="00CA7F04">
        <w:trPr>
          <w:trHeight w:val="240"/>
        </w:trPr>
        <w:tc>
          <w:tcPr>
            <w:tcW w:w="3625" w:type="dxa"/>
            <w:tcMar>
              <w:top w:w="0" w:type="dxa"/>
              <w:left w:w="120" w:type="dxa"/>
              <w:bottom w:w="0" w:type="dxa"/>
              <w:right w:w="120" w:type="dxa"/>
            </w:tcMar>
            <w:vAlign w:val="bottom"/>
          </w:tcPr>
          <w:p w14:paraId="31A61C2B" w14:textId="77777777" w:rsidR="00165B1C" w:rsidRPr="00F97A44" w:rsidRDefault="00165B1C" w:rsidP="00CA7F04">
            <w:pPr>
              <w:tabs>
                <w:tab w:val="right" w:pos="1202"/>
              </w:tabs>
              <w:suppressAutoHyphens/>
              <w:autoSpaceDN w:val="0"/>
              <w:spacing w:line="240" w:lineRule="exact"/>
              <w:outlineLvl w:val="0"/>
              <w:rPr>
                <w:rFonts w:ascii="Arial" w:eastAsia="Calibri" w:hAnsi="Arial" w:cs="Arial"/>
                <w:b/>
                <w:color w:val="000000" w:themeColor="text1"/>
                <w:sz w:val="17"/>
                <w:szCs w:val="17"/>
              </w:rPr>
            </w:pPr>
            <w:r w:rsidRPr="00F97A44">
              <w:rPr>
                <w:rFonts w:ascii="Arial" w:eastAsia="Calibri" w:hAnsi="Arial" w:cs="Arial"/>
                <w:b/>
                <w:color w:val="000000" w:themeColor="text1"/>
                <w:sz w:val="17"/>
                <w:szCs w:val="17"/>
              </w:rPr>
              <w:t>Imovina</w:t>
            </w:r>
          </w:p>
        </w:tc>
        <w:tc>
          <w:tcPr>
            <w:tcW w:w="1461" w:type="dxa"/>
            <w:tcMar>
              <w:top w:w="0" w:type="dxa"/>
              <w:left w:w="120" w:type="dxa"/>
              <w:bottom w:w="0" w:type="dxa"/>
              <w:right w:w="120" w:type="dxa"/>
            </w:tcMar>
            <w:vAlign w:val="bottom"/>
          </w:tcPr>
          <w:p w14:paraId="4C937C54" w14:textId="77777777" w:rsidR="00165B1C" w:rsidRPr="00F97A44" w:rsidRDefault="00165B1C" w:rsidP="00CA7F04">
            <w:pPr>
              <w:suppressAutoHyphens/>
              <w:autoSpaceDN w:val="0"/>
              <w:spacing w:line="240" w:lineRule="exact"/>
              <w:jc w:val="right"/>
              <w:rPr>
                <w:rFonts w:ascii="Arial" w:eastAsia="Arial Unicode MS" w:hAnsi="Arial" w:cs="Arial"/>
                <w:color w:val="000000" w:themeColor="text1"/>
                <w:sz w:val="17"/>
                <w:szCs w:val="17"/>
              </w:rPr>
            </w:pPr>
          </w:p>
        </w:tc>
        <w:tc>
          <w:tcPr>
            <w:tcW w:w="1461" w:type="dxa"/>
            <w:tcMar>
              <w:top w:w="0" w:type="dxa"/>
              <w:left w:w="120" w:type="dxa"/>
              <w:bottom w:w="0" w:type="dxa"/>
              <w:right w:w="120" w:type="dxa"/>
            </w:tcMar>
            <w:vAlign w:val="bottom"/>
          </w:tcPr>
          <w:p w14:paraId="51159322" w14:textId="77777777" w:rsidR="00165B1C" w:rsidRPr="00F97A44" w:rsidRDefault="00165B1C" w:rsidP="00CA7F04">
            <w:pPr>
              <w:suppressAutoHyphens/>
              <w:autoSpaceDN w:val="0"/>
              <w:spacing w:line="240" w:lineRule="exact"/>
              <w:jc w:val="right"/>
              <w:rPr>
                <w:rFonts w:ascii="Arial" w:eastAsia="Arial Unicode MS" w:hAnsi="Arial" w:cs="Arial"/>
                <w:color w:val="000000" w:themeColor="text1"/>
                <w:sz w:val="17"/>
                <w:szCs w:val="17"/>
              </w:rPr>
            </w:pPr>
          </w:p>
        </w:tc>
        <w:tc>
          <w:tcPr>
            <w:tcW w:w="1461" w:type="dxa"/>
            <w:tcMar>
              <w:top w:w="0" w:type="dxa"/>
              <w:left w:w="120" w:type="dxa"/>
              <w:bottom w:w="0" w:type="dxa"/>
              <w:right w:w="120" w:type="dxa"/>
            </w:tcMar>
            <w:vAlign w:val="bottom"/>
          </w:tcPr>
          <w:p w14:paraId="43BA596A" w14:textId="77777777" w:rsidR="00165B1C" w:rsidRPr="00F97A44" w:rsidRDefault="00165B1C" w:rsidP="00CA7F04">
            <w:pPr>
              <w:suppressAutoHyphens/>
              <w:autoSpaceDN w:val="0"/>
              <w:spacing w:line="240" w:lineRule="exact"/>
              <w:jc w:val="right"/>
              <w:rPr>
                <w:rFonts w:ascii="Arial" w:eastAsia="Arial Unicode MS" w:hAnsi="Arial" w:cs="Arial"/>
                <w:color w:val="000000" w:themeColor="text1"/>
                <w:sz w:val="17"/>
                <w:szCs w:val="17"/>
              </w:rPr>
            </w:pPr>
          </w:p>
        </w:tc>
        <w:tc>
          <w:tcPr>
            <w:tcW w:w="1461" w:type="dxa"/>
            <w:tcMar>
              <w:top w:w="0" w:type="dxa"/>
              <w:left w:w="120" w:type="dxa"/>
              <w:bottom w:w="0" w:type="dxa"/>
              <w:right w:w="120" w:type="dxa"/>
            </w:tcMar>
            <w:vAlign w:val="bottom"/>
          </w:tcPr>
          <w:p w14:paraId="5F051E15" w14:textId="77777777" w:rsidR="00165B1C" w:rsidRPr="00F97A44" w:rsidRDefault="00165B1C" w:rsidP="00CA7F04">
            <w:pPr>
              <w:suppressAutoHyphens/>
              <w:autoSpaceDN w:val="0"/>
              <w:spacing w:line="240" w:lineRule="exact"/>
              <w:jc w:val="right"/>
              <w:rPr>
                <w:rFonts w:ascii="Arial" w:eastAsia="Arial Unicode MS" w:hAnsi="Arial" w:cs="Arial"/>
                <w:color w:val="000000" w:themeColor="text1"/>
                <w:sz w:val="17"/>
                <w:szCs w:val="17"/>
              </w:rPr>
            </w:pPr>
          </w:p>
        </w:tc>
      </w:tr>
      <w:tr w:rsidR="00165B1C" w:rsidRPr="00F97A44" w14:paraId="7B9DE5A2" w14:textId="77777777" w:rsidTr="00CA7F04">
        <w:trPr>
          <w:trHeight w:val="178"/>
        </w:trPr>
        <w:tc>
          <w:tcPr>
            <w:tcW w:w="3625" w:type="dxa"/>
            <w:tcMar>
              <w:top w:w="0" w:type="dxa"/>
              <w:left w:w="120" w:type="dxa"/>
              <w:bottom w:w="0" w:type="dxa"/>
              <w:right w:w="120" w:type="dxa"/>
            </w:tcMar>
            <w:vAlign w:val="bottom"/>
          </w:tcPr>
          <w:p w14:paraId="17C7322B" w14:textId="77777777" w:rsidR="00165B1C" w:rsidRPr="00F97A44" w:rsidRDefault="00165B1C" w:rsidP="00CA7F04">
            <w:pPr>
              <w:tabs>
                <w:tab w:val="right" w:pos="1202"/>
              </w:tabs>
              <w:suppressAutoHyphens/>
              <w:autoSpaceDN w:val="0"/>
              <w:spacing w:line="240" w:lineRule="exact"/>
              <w:outlineLvl w:val="0"/>
              <w:rPr>
                <w:rFonts w:ascii="Arial" w:eastAsia="Calibri" w:hAnsi="Arial" w:cs="Arial"/>
                <w:color w:val="000000" w:themeColor="text1"/>
                <w:sz w:val="17"/>
                <w:szCs w:val="17"/>
              </w:rPr>
            </w:pPr>
            <w:r w:rsidRPr="00F97A44">
              <w:rPr>
                <w:rFonts w:ascii="Arial" w:eastAsia="Calibri" w:hAnsi="Arial" w:cs="Arial"/>
                <w:color w:val="000000" w:themeColor="text1"/>
                <w:spacing w:val="-2"/>
                <w:sz w:val="17"/>
                <w:szCs w:val="17"/>
              </w:rPr>
              <w:t>Novčana sredstva i računi kod banaka</w:t>
            </w:r>
          </w:p>
        </w:tc>
        <w:tc>
          <w:tcPr>
            <w:tcW w:w="1461" w:type="dxa"/>
            <w:tcBorders>
              <w:top w:val="nil"/>
              <w:left w:val="nil"/>
              <w:right w:val="nil"/>
            </w:tcBorders>
            <w:tcMar>
              <w:top w:w="0" w:type="dxa"/>
              <w:left w:w="120" w:type="dxa"/>
              <w:bottom w:w="0" w:type="dxa"/>
              <w:right w:w="120" w:type="dxa"/>
            </w:tcMar>
            <w:vAlign w:val="bottom"/>
          </w:tcPr>
          <w:p w14:paraId="4FDC5CCF"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42.023 </w:t>
            </w:r>
          </w:p>
        </w:tc>
        <w:tc>
          <w:tcPr>
            <w:tcW w:w="1461" w:type="dxa"/>
            <w:tcBorders>
              <w:top w:val="nil"/>
              <w:left w:val="nil"/>
              <w:right w:val="nil"/>
            </w:tcBorders>
            <w:tcMar>
              <w:top w:w="0" w:type="dxa"/>
              <w:left w:w="120" w:type="dxa"/>
              <w:bottom w:w="0" w:type="dxa"/>
              <w:right w:w="120" w:type="dxa"/>
            </w:tcMar>
            <w:vAlign w:val="bottom"/>
          </w:tcPr>
          <w:p w14:paraId="53E14C16"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91 </w:t>
            </w:r>
          </w:p>
        </w:tc>
        <w:tc>
          <w:tcPr>
            <w:tcW w:w="1461" w:type="dxa"/>
            <w:tcBorders>
              <w:top w:val="nil"/>
              <w:left w:val="nil"/>
              <w:right w:val="nil"/>
            </w:tcBorders>
            <w:tcMar>
              <w:top w:w="0" w:type="dxa"/>
              <w:left w:w="120" w:type="dxa"/>
              <w:bottom w:w="0" w:type="dxa"/>
              <w:right w:w="120" w:type="dxa"/>
            </w:tcMar>
            <w:vAlign w:val="bottom"/>
          </w:tcPr>
          <w:p w14:paraId="0530CE7F"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19 </w:t>
            </w:r>
          </w:p>
        </w:tc>
        <w:tc>
          <w:tcPr>
            <w:tcW w:w="1461" w:type="dxa"/>
            <w:tcBorders>
              <w:top w:val="nil"/>
              <w:left w:val="nil"/>
            </w:tcBorders>
            <w:tcMar>
              <w:top w:w="0" w:type="dxa"/>
              <w:left w:w="120" w:type="dxa"/>
              <w:bottom w:w="0" w:type="dxa"/>
              <w:right w:w="120" w:type="dxa"/>
            </w:tcMar>
            <w:vAlign w:val="bottom"/>
          </w:tcPr>
          <w:p w14:paraId="3C6EA432"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42.133 </w:t>
            </w:r>
          </w:p>
        </w:tc>
      </w:tr>
      <w:tr w:rsidR="00165B1C" w:rsidRPr="00F97A44" w14:paraId="10D4A8AE" w14:textId="77777777" w:rsidTr="00CA7F04">
        <w:trPr>
          <w:trHeight w:val="240"/>
        </w:trPr>
        <w:tc>
          <w:tcPr>
            <w:tcW w:w="3625" w:type="dxa"/>
            <w:tcMar>
              <w:top w:w="0" w:type="dxa"/>
              <w:left w:w="120" w:type="dxa"/>
              <w:bottom w:w="0" w:type="dxa"/>
              <w:right w:w="120" w:type="dxa"/>
            </w:tcMar>
            <w:vAlign w:val="bottom"/>
          </w:tcPr>
          <w:p w14:paraId="737F5F06" w14:textId="77777777" w:rsidR="00165B1C" w:rsidRPr="00F97A44" w:rsidRDefault="00165B1C" w:rsidP="00CA7F04">
            <w:pPr>
              <w:tabs>
                <w:tab w:val="right" w:pos="1202"/>
              </w:tabs>
              <w:suppressAutoHyphens/>
              <w:autoSpaceDN w:val="0"/>
              <w:spacing w:line="240" w:lineRule="exact"/>
              <w:outlineLvl w:val="0"/>
              <w:rPr>
                <w:rFonts w:ascii="Arial" w:eastAsia="Calibri" w:hAnsi="Arial" w:cs="Arial"/>
                <w:color w:val="000000" w:themeColor="text1"/>
                <w:sz w:val="17"/>
                <w:szCs w:val="17"/>
              </w:rPr>
            </w:pPr>
            <w:r w:rsidRPr="00F97A44">
              <w:rPr>
                <w:rFonts w:ascii="Arial" w:eastAsia="Calibri" w:hAnsi="Arial" w:cs="Arial"/>
                <w:color w:val="000000" w:themeColor="text1"/>
                <w:spacing w:val="-2"/>
                <w:sz w:val="17"/>
                <w:szCs w:val="17"/>
              </w:rPr>
              <w:t>Depoziti kod drugih banaka</w:t>
            </w:r>
          </w:p>
        </w:tc>
        <w:tc>
          <w:tcPr>
            <w:tcW w:w="1461" w:type="dxa"/>
            <w:tcBorders>
              <w:top w:val="nil"/>
              <w:left w:val="nil"/>
              <w:bottom w:val="nil"/>
              <w:right w:val="nil"/>
            </w:tcBorders>
            <w:tcMar>
              <w:top w:w="0" w:type="dxa"/>
              <w:left w:w="120" w:type="dxa"/>
              <w:bottom w:w="0" w:type="dxa"/>
              <w:right w:w="120" w:type="dxa"/>
            </w:tcMar>
            <w:vAlign w:val="bottom"/>
          </w:tcPr>
          <w:p w14:paraId="786D6E06"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69.318 </w:t>
            </w:r>
          </w:p>
        </w:tc>
        <w:tc>
          <w:tcPr>
            <w:tcW w:w="1461" w:type="dxa"/>
            <w:tcBorders>
              <w:top w:val="nil"/>
              <w:left w:val="nil"/>
              <w:bottom w:val="nil"/>
              <w:right w:val="nil"/>
            </w:tcBorders>
            <w:tcMar>
              <w:top w:w="0" w:type="dxa"/>
              <w:left w:w="120" w:type="dxa"/>
              <w:bottom w:w="0" w:type="dxa"/>
              <w:right w:w="120" w:type="dxa"/>
            </w:tcMar>
            <w:vAlign w:val="bottom"/>
          </w:tcPr>
          <w:p w14:paraId="1922DE55"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2.443 </w:t>
            </w:r>
          </w:p>
        </w:tc>
        <w:tc>
          <w:tcPr>
            <w:tcW w:w="1461" w:type="dxa"/>
            <w:tcBorders>
              <w:top w:val="nil"/>
              <w:left w:val="nil"/>
              <w:bottom w:val="nil"/>
              <w:right w:val="nil"/>
            </w:tcBorders>
            <w:tcMar>
              <w:top w:w="0" w:type="dxa"/>
              <w:left w:w="120" w:type="dxa"/>
              <w:bottom w:w="0" w:type="dxa"/>
              <w:right w:w="120" w:type="dxa"/>
            </w:tcMar>
            <w:vAlign w:val="bottom"/>
          </w:tcPr>
          <w:p w14:paraId="69B829FC"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   </w:t>
            </w:r>
          </w:p>
        </w:tc>
        <w:tc>
          <w:tcPr>
            <w:tcW w:w="1461" w:type="dxa"/>
            <w:tcBorders>
              <w:top w:val="nil"/>
              <w:left w:val="nil"/>
              <w:bottom w:val="nil"/>
            </w:tcBorders>
            <w:tcMar>
              <w:top w:w="0" w:type="dxa"/>
              <w:left w:w="120" w:type="dxa"/>
              <w:bottom w:w="0" w:type="dxa"/>
              <w:right w:w="120" w:type="dxa"/>
            </w:tcMar>
            <w:vAlign w:val="bottom"/>
          </w:tcPr>
          <w:p w14:paraId="592F90D9"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71.761 </w:t>
            </w:r>
          </w:p>
        </w:tc>
      </w:tr>
      <w:tr w:rsidR="00165B1C" w:rsidRPr="00F97A44" w14:paraId="7763CAAF" w14:textId="77777777" w:rsidTr="00CA7F04">
        <w:trPr>
          <w:trHeight w:val="117"/>
        </w:trPr>
        <w:tc>
          <w:tcPr>
            <w:tcW w:w="3625" w:type="dxa"/>
            <w:tcMar>
              <w:top w:w="0" w:type="dxa"/>
              <w:left w:w="120" w:type="dxa"/>
              <w:bottom w:w="0" w:type="dxa"/>
              <w:right w:w="120" w:type="dxa"/>
            </w:tcMar>
            <w:vAlign w:val="bottom"/>
          </w:tcPr>
          <w:p w14:paraId="4957D881" w14:textId="77777777" w:rsidR="00165B1C" w:rsidRPr="00F97A44" w:rsidRDefault="00165B1C" w:rsidP="00CA7F04">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F97A44">
              <w:rPr>
                <w:rFonts w:ascii="Arial" w:eastAsia="Calibri" w:hAnsi="Arial" w:cs="Arial"/>
                <w:color w:val="000000" w:themeColor="text1"/>
                <w:spacing w:val="-2"/>
                <w:sz w:val="17"/>
                <w:szCs w:val="17"/>
              </w:rPr>
              <w:t>Krediti financijskim institucijama</w:t>
            </w:r>
          </w:p>
        </w:tc>
        <w:tc>
          <w:tcPr>
            <w:tcW w:w="1461" w:type="dxa"/>
            <w:tcBorders>
              <w:top w:val="nil"/>
              <w:left w:val="nil"/>
              <w:bottom w:val="nil"/>
              <w:right w:val="nil"/>
            </w:tcBorders>
            <w:tcMar>
              <w:top w:w="0" w:type="dxa"/>
              <w:left w:w="120" w:type="dxa"/>
              <w:bottom w:w="0" w:type="dxa"/>
              <w:right w:w="120" w:type="dxa"/>
            </w:tcMar>
            <w:vAlign w:val="bottom"/>
          </w:tcPr>
          <w:p w14:paraId="4A1996AB"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1.248.881 </w:t>
            </w:r>
          </w:p>
        </w:tc>
        <w:tc>
          <w:tcPr>
            <w:tcW w:w="1461" w:type="dxa"/>
            <w:tcBorders>
              <w:top w:val="nil"/>
              <w:left w:val="nil"/>
              <w:bottom w:val="nil"/>
              <w:right w:val="nil"/>
            </w:tcBorders>
            <w:tcMar>
              <w:top w:w="0" w:type="dxa"/>
              <w:left w:w="120" w:type="dxa"/>
              <w:bottom w:w="0" w:type="dxa"/>
              <w:right w:w="120" w:type="dxa"/>
            </w:tcMar>
            <w:vAlign w:val="bottom"/>
          </w:tcPr>
          <w:p w14:paraId="52B5F4BD"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   </w:t>
            </w:r>
          </w:p>
        </w:tc>
        <w:tc>
          <w:tcPr>
            <w:tcW w:w="1461" w:type="dxa"/>
            <w:tcBorders>
              <w:top w:val="nil"/>
              <w:left w:val="nil"/>
              <w:bottom w:val="nil"/>
              <w:right w:val="nil"/>
            </w:tcBorders>
            <w:tcMar>
              <w:top w:w="0" w:type="dxa"/>
              <w:left w:w="120" w:type="dxa"/>
              <w:bottom w:w="0" w:type="dxa"/>
              <w:right w:w="120" w:type="dxa"/>
            </w:tcMar>
            <w:vAlign w:val="bottom"/>
          </w:tcPr>
          <w:p w14:paraId="297ACF9A"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   </w:t>
            </w:r>
          </w:p>
        </w:tc>
        <w:tc>
          <w:tcPr>
            <w:tcW w:w="1461" w:type="dxa"/>
            <w:tcBorders>
              <w:top w:val="nil"/>
              <w:left w:val="nil"/>
              <w:bottom w:val="nil"/>
            </w:tcBorders>
            <w:tcMar>
              <w:top w:w="0" w:type="dxa"/>
              <w:left w:w="120" w:type="dxa"/>
              <w:bottom w:w="0" w:type="dxa"/>
              <w:right w:w="120" w:type="dxa"/>
            </w:tcMar>
            <w:vAlign w:val="bottom"/>
          </w:tcPr>
          <w:p w14:paraId="677B11B9"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1.248.881 </w:t>
            </w:r>
          </w:p>
        </w:tc>
      </w:tr>
      <w:tr w:rsidR="00165B1C" w:rsidRPr="00F97A44" w14:paraId="7C591F59" w14:textId="77777777" w:rsidTr="00CA7F04">
        <w:trPr>
          <w:trHeight w:val="70"/>
        </w:trPr>
        <w:tc>
          <w:tcPr>
            <w:tcW w:w="3625" w:type="dxa"/>
            <w:tcMar>
              <w:top w:w="0" w:type="dxa"/>
              <w:left w:w="120" w:type="dxa"/>
              <w:bottom w:w="0" w:type="dxa"/>
              <w:right w:w="120" w:type="dxa"/>
            </w:tcMar>
            <w:vAlign w:val="bottom"/>
          </w:tcPr>
          <w:p w14:paraId="4A638BAB" w14:textId="77777777" w:rsidR="00165B1C" w:rsidRPr="00F97A44" w:rsidRDefault="00165B1C" w:rsidP="00CA7F04">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F97A44">
              <w:rPr>
                <w:rFonts w:ascii="Arial" w:eastAsia="Calibri" w:hAnsi="Arial" w:cs="Arial"/>
                <w:color w:val="000000" w:themeColor="text1"/>
                <w:spacing w:val="-2"/>
                <w:sz w:val="17"/>
                <w:szCs w:val="17"/>
              </w:rPr>
              <w:t>Krediti ostalim korisnicima</w:t>
            </w:r>
          </w:p>
        </w:tc>
        <w:tc>
          <w:tcPr>
            <w:tcW w:w="1461" w:type="dxa"/>
            <w:tcBorders>
              <w:top w:val="nil"/>
              <w:left w:val="nil"/>
              <w:bottom w:val="nil"/>
              <w:right w:val="nil"/>
            </w:tcBorders>
            <w:tcMar>
              <w:top w:w="0" w:type="dxa"/>
              <w:left w:w="120" w:type="dxa"/>
              <w:bottom w:w="0" w:type="dxa"/>
              <w:right w:w="120" w:type="dxa"/>
            </w:tcMar>
            <w:vAlign w:val="bottom"/>
          </w:tcPr>
          <w:p w14:paraId="67F1EEC5"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2.302.547 </w:t>
            </w:r>
          </w:p>
        </w:tc>
        <w:tc>
          <w:tcPr>
            <w:tcW w:w="1461" w:type="dxa"/>
            <w:tcBorders>
              <w:top w:val="nil"/>
              <w:left w:val="nil"/>
              <w:bottom w:val="nil"/>
              <w:right w:val="nil"/>
            </w:tcBorders>
            <w:tcMar>
              <w:top w:w="0" w:type="dxa"/>
              <w:left w:w="120" w:type="dxa"/>
              <w:bottom w:w="0" w:type="dxa"/>
              <w:right w:w="120" w:type="dxa"/>
            </w:tcMar>
            <w:vAlign w:val="bottom"/>
          </w:tcPr>
          <w:p w14:paraId="4761D8A1"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26.458 </w:t>
            </w:r>
          </w:p>
        </w:tc>
        <w:tc>
          <w:tcPr>
            <w:tcW w:w="1461" w:type="dxa"/>
            <w:tcBorders>
              <w:top w:val="nil"/>
              <w:left w:val="nil"/>
              <w:bottom w:val="nil"/>
              <w:right w:val="nil"/>
            </w:tcBorders>
            <w:tcMar>
              <w:top w:w="0" w:type="dxa"/>
              <w:left w:w="120" w:type="dxa"/>
              <w:bottom w:w="0" w:type="dxa"/>
              <w:right w:w="120" w:type="dxa"/>
            </w:tcMar>
            <w:vAlign w:val="bottom"/>
          </w:tcPr>
          <w:p w14:paraId="0FC062E5"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22.191 </w:t>
            </w:r>
          </w:p>
        </w:tc>
        <w:tc>
          <w:tcPr>
            <w:tcW w:w="1461" w:type="dxa"/>
            <w:tcBorders>
              <w:top w:val="nil"/>
              <w:left w:val="nil"/>
              <w:bottom w:val="nil"/>
            </w:tcBorders>
            <w:tcMar>
              <w:top w:w="0" w:type="dxa"/>
              <w:left w:w="120" w:type="dxa"/>
              <w:bottom w:w="0" w:type="dxa"/>
              <w:right w:w="120" w:type="dxa"/>
            </w:tcMar>
            <w:vAlign w:val="bottom"/>
          </w:tcPr>
          <w:p w14:paraId="629EACD4"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2.351.196 </w:t>
            </w:r>
          </w:p>
        </w:tc>
      </w:tr>
      <w:tr w:rsidR="00165B1C" w:rsidRPr="00F97A44" w14:paraId="52AF4C12" w14:textId="77777777" w:rsidTr="00CA7F04">
        <w:trPr>
          <w:trHeight w:val="224"/>
        </w:trPr>
        <w:tc>
          <w:tcPr>
            <w:tcW w:w="3625" w:type="dxa"/>
            <w:tcMar>
              <w:top w:w="0" w:type="dxa"/>
              <w:left w:w="120" w:type="dxa"/>
              <w:bottom w:w="0" w:type="dxa"/>
              <w:right w:w="120" w:type="dxa"/>
            </w:tcMar>
            <w:vAlign w:val="bottom"/>
          </w:tcPr>
          <w:p w14:paraId="02148D7A" w14:textId="77777777" w:rsidR="00165B1C" w:rsidRPr="00F97A44" w:rsidRDefault="00165B1C" w:rsidP="00CA7F04">
            <w:pPr>
              <w:tabs>
                <w:tab w:val="right" w:pos="1202"/>
              </w:tabs>
              <w:suppressAutoHyphens/>
              <w:autoSpaceDN w:val="0"/>
              <w:spacing w:line="240" w:lineRule="exact"/>
              <w:outlineLvl w:val="0"/>
              <w:rPr>
                <w:rFonts w:ascii="Arial" w:eastAsia="Calibri" w:hAnsi="Arial" w:cs="Arial"/>
                <w:color w:val="000000" w:themeColor="text1"/>
                <w:spacing w:val="-2"/>
                <w:sz w:val="17"/>
                <w:szCs w:val="17"/>
              </w:rPr>
            </w:pPr>
            <w:r w:rsidRPr="00F97A44">
              <w:rPr>
                <w:rFonts w:ascii="Arial" w:eastAsia="Calibri" w:hAnsi="Arial" w:cs="Arial"/>
                <w:color w:val="000000" w:themeColor="text1"/>
                <w:sz w:val="17"/>
                <w:szCs w:val="17"/>
              </w:rPr>
              <w:t>Financijska imovina po fer vrijednosti kroz dobit ili gubitak</w:t>
            </w:r>
          </w:p>
        </w:tc>
        <w:tc>
          <w:tcPr>
            <w:tcW w:w="1461" w:type="dxa"/>
            <w:tcBorders>
              <w:top w:val="nil"/>
              <w:left w:val="nil"/>
              <w:bottom w:val="nil"/>
              <w:right w:val="nil"/>
            </w:tcBorders>
            <w:tcMar>
              <w:top w:w="0" w:type="dxa"/>
              <w:left w:w="120" w:type="dxa"/>
              <w:bottom w:w="0" w:type="dxa"/>
              <w:right w:w="120" w:type="dxa"/>
            </w:tcMar>
            <w:vAlign w:val="bottom"/>
          </w:tcPr>
          <w:p w14:paraId="69842369"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48.034 </w:t>
            </w:r>
          </w:p>
        </w:tc>
        <w:tc>
          <w:tcPr>
            <w:tcW w:w="1461" w:type="dxa"/>
            <w:tcBorders>
              <w:top w:val="nil"/>
              <w:left w:val="nil"/>
              <w:bottom w:val="nil"/>
              <w:right w:val="nil"/>
            </w:tcBorders>
            <w:tcMar>
              <w:top w:w="0" w:type="dxa"/>
              <w:left w:w="120" w:type="dxa"/>
              <w:bottom w:w="0" w:type="dxa"/>
              <w:right w:w="120" w:type="dxa"/>
            </w:tcMar>
            <w:vAlign w:val="bottom"/>
          </w:tcPr>
          <w:p w14:paraId="0D4F65CA"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4.888 </w:t>
            </w:r>
          </w:p>
        </w:tc>
        <w:tc>
          <w:tcPr>
            <w:tcW w:w="1461" w:type="dxa"/>
            <w:tcBorders>
              <w:top w:val="nil"/>
              <w:left w:val="nil"/>
              <w:bottom w:val="nil"/>
              <w:right w:val="nil"/>
            </w:tcBorders>
            <w:tcMar>
              <w:top w:w="0" w:type="dxa"/>
              <w:left w:w="120" w:type="dxa"/>
              <w:bottom w:w="0" w:type="dxa"/>
              <w:right w:w="120" w:type="dxa"/>
            </w:tcMar>
            <w:vAlign w:val="bottom"/>
          </w:tcPr>
          <w:p w14:paraId="3A00BD6A"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   </w:t>
            </w:r>
          </w:p>
        </w:tc>
        <w:tc>
          <w:tcPr>
            <w:tcW w:w="1461" w:type="dxa"/>
            <w:tcBorders>
              <w:top w:val="nil"/>
              <w:left w:val="nil"/>
              <w:bottom w:val="nil"/>
            </w:tcBorders>
            <w:tcMar>
              <w:top w:w="0" w:type="dxa"/>
              <w:left w:w="120" w:type="dxa"/>
              <w:bottom w:w="0" w:type="dxa"/>
              <w:right w:w="120" w:type="dxa"/>
            </w:tcMar>
            <w:vAlign w:val="bottom"/>
          </w:tcPr>
          <w:p w14:paraId="496F6CD7"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52.922 </w:t>
            </w:r>
          </w:p>
        </w:tc>
      </w:tr>
      <w:tr w:rsidR="00165B1C" w:rsidRPr="00F97A44" w14:paraId="7FF98117" w14:textId="77777777" w:rsidTr="00CA7F04">
        <w:trPr>
          <w:trHeight w:val="240"/>
        </w:trPr>
        <w:tc>
          <w:tcPr>
            <w:tcW w:w="3625" w:type="dxa"/>
            <w:tcMar>
              <w:top w:w="0" w:type="dxa"/>
              <w:left w:w="120" w:type="dxa"/>
              <w:bottom w:w="0" w:type="dxa"/>
              <w:right w:w="120" w:type="dxa"/>
            </w:tcMar>
            <w:vAlign w:val="bottom"/>
          </w:tcPr>
          <w:p w14:paraId="2A0631D2" w14:textId="77777777" w:rsidR="00165B1C" w:rsidRPr="00F97A44" w:rsidRDefault="00165B1C" w:rsidP="00CA7F04">
            <w:pPr>
              <w:tabs>
                <w:tab w:val="right" w:pos="1202"/>
              </w:tabs>
              <w:suppressAutoHyphens/>
              <w:autoSpaceDN w:val="0"/>
              <w:spacing w:line="240" w:lineRule="exact"/>
              <w:outlineLvl w:val="0"/>
              <w:rPr>
                <w:rFonts w:ascii="Arial" w:eastAsia="Calibri" w:hAnsi="Arial" w:cs="Arial"/>
                <w:color w:val="000000" w:themeColor="text1"/>
                <w:sz w:val="17"/>
                <w:szCs w:val="17"/>
              </w:rPr>
            </w:pPr>
            <w:r w:rsidRPr="00F97A44">
              <w:rPr>
                <w:rFonts w:ascii="Arial" w:eastAsia="Calibri" w:hAnsi="Arial" w:cs="Arial"/>
                <w:color w:val="000000" w:themeColor="text1"/>
                <w:sz w:val="17"/>
                <w:szCs w:val="17"/>
              </w:rPr>
              <w:t>Financijska imovina po fer vrijednosti kroz ostalu sveobuhvatnu dobit</w:t>
            </w:r>
          </w:p>
        </w:tc>
        <w:tc>
          <w:tcPr>
            <w:tcW w:w="1461" w:type="dxa"/>
            <w:tcBorders>
              <w:top w:val="nil"/>
              <w:left w:val="nil"/>
              <w:bottom w:val="nil"/>
              <w:right w:val="nil"/>
            </w:tcBorders>
            <w:tcMar>
              <w:top w:w="0" w:type="dxa"/>
              <w:left w:w="120" w:type="dxa"/>
              <w:bottom w:w="0" w:type="dxa"/>
              <w:right w:w="120" w:type="dxa"/>
            </w:tcMar>
            <w:vAlign w:val="bottom"/>
          </w:tcPr>
          <w:p w14:paraId="4AB2129D"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235.199 </w:t>
            </w:r>
          </w:p>
        </w:tc>
        <w:tc>
          <w:tcPr>
            <w:tcW w:w="1461" w:type="dxa"/>
            <w:tcBorders>
              <w:top w:val="nil"/>
              <w:left w:val="nil"/>
              <w:bottom w:val="nil"/>
              <w:right w:val="nil"/>
            </w:tcBorders>
            <w:tcMar>
              <w:top w:w="0" w:type="dxa"/>
              <w:left w:w="120" w:type="dxa"/>
              <w:bottom w:w="0" w:type="dxa"/>
              <w:right w:w="120" w:type="dxa"/>
            </w:tcMar>
            <w:vAlign w:val="bottom"/>
          </w:tcPr>
          <w:p w14:paraId="2C80FC42"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   </w:t>
            </w:r>
          </w:p>
        </w:tc>
        <w:tc>
          <w:tcPr>
            <w:tcW w:w="1461" w:type="dxa"/>
            <w:tcBorders>
              <w:top w:val="nil"/>
              <w:left w:val="nil"/>
              <w:bottom w:val="nil"/>
              <w:right w:val="nil"/>
            </w:tcBorders>
            <w:tcMar>
              <w:top w:w="0" w:type="dxa"/>
              <w:left w:w="120" w:type="dxa"/>
              <w:bottom w:w="0" w:type="dxa"/>
              <w:right w:w="120" w:type="dxa"/>
            </w:tcMar>
            <w:vAlign w:val="bottom"/>
          </w:tcPr>
          <w:p w14:paraId="6B5A470A"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   </w:t>
            </w:r>
          </w:p>
        </w:tc>
        <w:tc>
          <w:tcPr>
            <w:tcW w:w="1461" w:type="dxa"/>
            <w:tcBorders>
              <w:top w:val="nil"/>
              <w:left w:val="nil"/>
              <w:bottom w:val="nil"/>
            </w:tcBorders>
            <w:tcMar>
              <w:top w:w="0" w:type="dxa"/>
              <w:left w:w="120" w:type="dxa"/>
              <w:bottom w:w="0" w:type="dxa"/>
              <w:right w:w="120" w:type="dxa"/>
            </w:tcMar>
            <w:vAlign w:val="bottom"/>
          </w:tcPr>
          <w:p w14:paraId="01644D63"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235.199 </w:t>
            </w:r>
          </w:p>
        </w:tc>
      </w:tr>
      <w:tr w:rsidR="00165B1C" w:rsidRPr="00F97A44" w14:paraId="0B2DA17B" w14:textId="77777777" w:rsidTr="00CA7F04">
        <w:trPr>
          <w:trHeight w:val="466"/>
        </w:trPr>
        <w:tc>
          <w:tcPr>
            <w:tcW w:w="3625" w:type="dxa"/>
            <w:tcMar>
              <w:top w:w="0" w:type="dxa"/>
              <w:left w:w="120" w:type="dxa"/>
              <w:bottom w:w="0" w:type="dxa"/>
              <w:right w:w="120" w:type="dxa"/>
            </w:tcMar>
            <w:vAlign w:val="bottom"/>
          </w:tcPr>
          <w:p w14:paraId="21DA3D0E" w14:textId="77777777" w:rsidR="00165B1C" w:rsidRPr="00F97A44" w:rsidRDefault="00165B1C" w:rsidP="00CA7F04">
            <w:pPr>
              <w:tabs>
                <w:tab w:val="right" w:pos="1202"/>
              </w:tabs>
              <w:suppressAutoHyphens/>
              <w:autoSpaceDN w:val="0"/>
              <w:spacing w:line="240" w:lineRule="exact"/>
              <w:outlineLvl w:val="0"/>
              <w:rPr>
                <w:rFonts w:ascii="Arial" w:eastAsia="Calibri" w:hAnsi="Arial" w:cs="Arial"/>
                <w:color w:val="000000" w:themeColor="text1"/>
                <w:sz w:val="17"/>
                <w:szCs w:val="17"/>
              </w:rPr>
            </w:pPr>
            <w:r w:rsidRPr="00F97A44">
              <w:rPr>
                <w:rFonts w:ascii="Arial" w:eastAsia="Calibri" w:hAnsi="Arial" w:cs="Arial"/>
                <w:color w:val="000000" w:themeColor="text1"/>
                <w:spacing w:val="-2"/>
                <w:sz w:val="17"/>
                <w:szCs w:val="17"/>
              </w:rPr>
              <w:t>Nekretnine, postrojenja i oprema i nematerijalna imovina</w:t>
            </w:r>
          </w:p>
        </w:tc>
        <w:tc>
          <w:tcPr>
            <w:tcW w:w="1461" w:type="dxa"/>
            <w:tcBorders>
              <w:top w:val="nil"/>
              <w:left w:val="nil"/>
              <w:bottom w:val="nil"/>
              <w:right w:val="nil"/>
            </w:tcBorders>
            <w:tcMar>
              <w:top w:w="0" w:type="dxa"/>
              <w:left w:w="120" w:type="dxa"/>
              <w:bottom w:w="0" w:type="dxa"/>
              <w:right w:w="120" w:type="dxa"/>
            </w:tcMar>
            <w:vAlign w:val="bottom"/>
          </w:tcPr>
          <w:p w14:paraId="4C64FE1A"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4.868 </w:t>
            </w:r>
          </w:p>
        </w:tc>
        <w:tc>
          <w:tcPr>
            <w:tcW w:w="1461" w:type="dxa"/>
            <w:tcBorders>
              <w:top w:val="nil"/>
              <w:left w:val="nil"/>
              <w:bottom w:val="nil"/>
              <w:right w:val="nil"/>
            </w:tcBorders>
            <w:tcMar>
              <w:top w:w="0" w:type="dxa"/>
              <w:left w:w="120" w:type="dxa"/>
              <w:bottom w:w="0" w:type="dxa"/>
              <w:right w:w="120" w:type="dxa"/>
            </w:tcMar>
            <w:vAlign w:val="bottom"/>
          </w:tcPr>
          <w:p w14:paraId="5975183D"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   </w:t>
            </w:r>
          </w:p>
        </w:tc>
        <w:tc>
          <w:tcPr>
            <w:tcW w:w="1461" w:type="dxa"/>
            <w:tcBorders>
              <w:top w:val="nil"/>
              <w:left w:val="nil"/>
              <w:bottom w:val="nil"/>
              <w:right w:val="nil"/>
            </w:tcBorders>
            <w:tcMar>
              <w:top w:w="0" w:type="dxa"/>
              <w:left w:w="120" w:type="dxa"/>
              <w:bottom w:w="0" w:type="dxa"/>
              <w:right w:w="120" w:type="dxa"/>
            </w:tcMar>
            <w:vAlign w:val="bottom"/>
          </w:tcPr>
          <w:p w14:paraId="7C2FD278"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   </w:t>
            </w:r>
          </w:p>
        </w:tc>
        <w:tc>
          <w:tcPr>
            <w:tcW w:w="1461" w:type="dxa"/>
            <w:tcBorders>
              <w:top w:val="nil"/>
              <w:left w:val="nil"/>
              <w:bottom w:val="nil"/>
            </w:tcBorders>
            <w:tcMar>
              <w:top w:w="0" w:type="dxa"/>
              <w:left w:w="120" w:type="dxa"/>
              <w:bottom w:w="0" w:type="dxa"/>
              <w:right w:w="120" w:type="dxa"/>
            </w:tcMar>
            <w:vAlign w:val="bottom"/>
          </w:tcPr>
          <w:p w14:paraId="51AA3E87"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4.868 </w:t>
            </w:r>
          </w:p>
        </w:tc>
      </w:tr>
      <w:tr w:rsidR="00165B1C" w:rsidRPr="00F97A44" w14:paraId="32F7261D" w14:textId="77777777" w:rsidTr="00CA7F04">
        <w:trPr>
          <w:trHeight w:val="234"/>
        </w:trPr>
        <w:tc>
          <w:tcPr>
            <w:tcW w:w="3625" w:type="dxa"/>
            <w:tcMar>
              <w:top w:w="0" w:type="dxa"/>
              <w:left w:w="120" w:type="dxa"/>
              <w:bottom w:w="0" w:type="dxa"/>
              <w:right w:w="120" w:type="dxa"/>
            </w:tcMar>
            <w:vAlign w:val="bottom"/>
          </w:tcPr>
          <w:p w14:paraId="70989664" w14:textId="77777777" w:rsidR="00165B1C" w:rsidRPr="00F97A44" w:rsidRDefault="00165B1C" w:rsidP="00CA7F04">
            <w:pPr>
              <w:tabs>
                <w:tab w:val="right" w:pos="1202"/>
              </w:tabs>
              <w:suppressAutoHyphens/>
              <w:autoSpaceDN w:val="0"/>
              <w:spacing w:line="240" w:lineRule="exact"/>
              <w:outlineLvl w:val="0"/>
              <w:rPr>
                <w:rFonts w:ascii="Arial" w:eastAsia="Calibri" w:hAnsi="Arial" w:cs="Arial"/>
                <w:color w:val="000000" w:themeColor="text1"/>
                <w:sz w:val="17"/>
                <w:szCs w:val="17"/>
              </w:rPr>
            </w:pPr>
            <w:r w:rsidRPr="00F97A44">
              <w:rPr>
                <w:rFonts w:ascii="Arial" w:eastAsia="Calibri" w:hAnsi="Arial" w:cs="Arial"/>
                <w:color w:val="000000" w:themeColor="text1"/>
                <w:spacing w:val="-2"/>
                <w:sz w:val="17"/>
                <w:szCs w:val="17"/>
              </w:rPr>
              <w:t>Preuzeta imovina</w:t>
            </w:r>
          </w:p>
        </w:tc>
        <w:tc>
          <w:tcPr>
            <w:tcW w:w="1461" w:type="dxa"/>
            <w:tcBorders>
              <w:top w:val="nil"/>
              <w:left w:val="nil"/>
              <w:bottom w:val="nil"/>
              <w:right w:val="nil"/>
            </w:tcBorders>
            <w:tcMar>
              <w:top w:w="0" w:type="dxa"/>
              <w:left w:w="120" w:type="dxa"/>
              <w:bottom w:w="0" w:type="dxa"/>
              <w:right w:w="120" w:type="dxa"/>
            </w:tcMar>
            <w:vAlign w:val="bottom"/>
          </w:tcPr>
          <w:p w14:paraId="28CE68B3"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2.291 </w:t>
            </w:r>
          </w:p>
        </w:tc>
        <w:tc>
          <w:tcPr>
            <w:tcW w:w="1461" w:type="dxa"/>
            <w:tcBorders>
              <w:top w:val="nil"/>
              <w:left w:val="nil"/>
              <w:bottom w:val="nil"/>
              <w:right w:val="nil"/>
            </w:tcBorders>
            <w:tcMar>
              <w:top w:w="0" w:type="dxa"/>
              <w:left w:w="120" w:type="dxa"/>
              <w:bottom w:w="0" w:type="dxa"/>
              <w:right w:w="120" w:type="dxa"/>
            </w:tcMar>
            <w:vAlign w:val="bottom"/>
          </w:tcPr>
          <w:p w14:paraId="119363F0"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   </w:t>
            </w:r>
          </w:p>
        </w:tc>
        <w:tc>
          <w:tcPr>
            <w:tcW w:w="1461" w:type="dxa"/>
            <w:tcBorders>
              <w:top w:val="nil"/>
              <w:left w:val="nil"/>
              <w:bottom w:val="nil"/>
              <w:right w:val="nil"/>
            </w:tcBorders>
            <w:tcMar>
              <w:top w:w="0" w:type="dxa"/>
              <w:left w:w="120" w:type="dxa"/>
              <w:bottom w:w="0" w:type="dxa"/>
              <w:right w:w="120" w:type="dxa"/>
            </w:tcMar>
            <w:vAlign w:val="bottom"/>
          </w:tcPr>
          <w:p w14:paraId="5E6D978C"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   </w:t>
            </w:r>
          </w:p>
        </w:tc>
        <w:tc>
          <w:tcPr>
            <w:tcW w:w="1461" w:type="dxa"/>
            <w:tcBorders>
              <w:top w:val="nil"/>
              <w:left w:val="nil"/>
              <w:bottom w:val="nil"/>
            </w:tcBorders>
            <w:tcMar>
              <w:top w:w="0" w:type="dxa"/>
              <w:left w:w="120" w:type="dxa"/>
              <w:bottom w:w="0" w:type="dxa"/>
              <w:right w:w="120" w:type="dxa"/>
            </w:tcMar>
            <w:vAlign w:val="bottom"/>
          </w:tcPr>
          <w:p w14:paraId="2D5BB9E4"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2.291 </w:t>
            </w:r>
          </w:p>
        </w:tc>
      </w:tr>
      <w:tr w:rsidR="00165B1C" w:rsidRPr="00F97A44" w14:paraId="4281B1A2" w14:textId="77777777" w:rsidTr="00CA7F04">
        <w:trPr>
          <w:trHeight w:val="224"/>
        </w:trPr>
        <w:tc>
          <w:tcPr>
            <w:tcW w:w="3625" w:type="dxa"/>
            <w:tcMar>
              <w:top w:w="0" w:type="dxa"/>
              <w:left w:w="120" w:type="dxa"/>
              <w:bottom w:w="0" w:type="dxa"/>
              <w:right w:w="120" w:type="dxa"/>
            </w:tcMar>
            <w:vAlign w:val="bottom"/>
          </w:tcPr>
          <w:p w14:paraId="4E7DE88C" w14:textId="77777777" w:rsidR="00165B1C" w:rsidRPr="00F97A44" w:rsidRDefault="00165B1C" w:rsidP="00CA7F04">
            <w:pPr>
              <w:tabs>
                <w:tab w:val="right" w:pos="1202"/>
              </w:tabs>
              <w:suppressAutoHyphens/>
              <w:autoSpaceDN w:val="0"/>
              <w:spacing w:line="240" w:lineRule="exact"/>
              <w:outlineLvl w:val="0"/>
              <w:rPr>
                <w:rFonts w:ascii="Arial" w:eastAsia="Calibri" w:hAnsi="Arial" w:cs="Arial"/>
                <w:color w:val="000000" w:themeColor="text1"/>
                <w:sz w:val="17"/>
                <w:szCs w:val="17"/>
              </w:rPr>
            </w:pPr>
            <w:r w:rsidRPr="00F97A44">
              <w:rPr>
                <w:rFonts w:ascii="Arial" w:eastAsia="Calibri" w:hAnsi="Arial" w:cs="Arial"/>
                <w:color w:val="000000" w:themeColor="text1"/>
                <w:spacing w:val="-2"/>
                <w:sz w:val="17"/>
                <w:szCs w:val="17"/>
              </w:rPr>
              <w:t>Ostala imovina</w:t>
            </w:r>
          </w:p>
        </w:tc>
        <w:tc>
          <w:tcPr>
            <w:tcW w:w="1461" w:type="dxa"/>
            <w:tcBorders>
              <w:top w:val="nil"/>
              <w:left w:val="nil"/>
              <w:bottom w:val="nil"/>
              <w:right w:val="nil"/>
            </w:tcBorders>
            <w:tcMar>
              <w:top w:w="0" w:type="dxa"/>
              <w:left w:w="120" w:type="dxa"/>
              <w:bottom w:w="0" w:type="dxa"/>
              <w:right w:w="120" w:type="dxa"/>
            </w:tcMar>
            <w:vAlign w:val="bottom"/>
          </w:tcPr>
          <w:p w14:paraId="4F4F1DAC"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12.285 </w:t>
            </w:r>
          </w:p>
        </w:tc>
        <w:tc>
          <w:tcPr>
            <w:tcW w:w="1461" w:type="dxa"/>
            <w:tcBorders>
              <w:top w:val="nil"/>
              <w:left w:val="nil"/>
              <w:bottom w:val="nil"/>
              <w:right w:val="nil"/>
            </w:tcBorders>
            <w:tcMar>
              <w:top w:w="0" w:type="dxa"/>
              <w:left w:w="120" w:type="dxa"/>
              <w:bottom w:w="0" w:type="dxa"/>
              <w:right w:w="120" w:type="dxa"/>
            </w:tcMar>
            <w:vAlign w:val="bottom"/>
          </w:tcPr>
          <w:p w14:paraId="29322F05"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   </w:t>
            </w:r>
          </w:p>
        </w:tc>
        <w:tc>
          <w:tcPr>
            <w:tcW w:w="1461" w:type="dxa"/>
            <w:tcBorders>
              <w:top w:val="nil"/>
              <w:left w:val="nil"/>
              <w:bottom w:val="nil"/>
              <w:right w:val="nil"/>
            </w:tcBorders>
            <w:tcMar>
              <w:top w:w="0" w:type="dxa"/>
              <w:left w:w="120" w:type="dxa"/>
              <w:bottom w:w="0" w:type="dxa"/>
              <w:right w:w="120" w:type="dxa"/>
            </w:tcMar>
            <w:vAlign w:val="bottom"/>
          </w:tcPr>
          <w:p w14:paraId="05429D00"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   </w:t>
            </w:r>
          </w:p>
        </w:tc>
        <w:tc>
          <w:tcPr>
            <w:tcW w:w="1461" w:type="dxa"/>
            <w:tcBorders>
              <w:top w:val="nil"/>
              <w:left w:val="nil"/>
              <w:bottom w:val="nil"/>
            </w:tcBorders>
            <w:tcMar>
              <w:top w:w="0" w:type="dxa"/>
              <w:left w:w="120" w:type="dxa"/>
              <w:bottom w:w="0" w:type="dxa"/>
              <w:right w:w="120" w:type="dxa"/>
            </w:tcMar>
            <w:vAlign w:val="bottom"/>
          </w:tcPr>
          <w:p w14:paraId="678DB5BB"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12.285 </w:t>
            </w:r>
          </w:p>
        </w:tc>
      </w:tr>
      <w:tr w:rsidR="00165B1C" w:rsidRPr="00F97A44" w14:paraId="677DE839" w14:textId="77777777" w:rsidTr="00CA7F04">
        <w:trPr>
          <w:trHeight w:val="285"/>
        </w:trPr>
        <w:tc>
          <w:tcPr>
            <w:tcW w:w="3625" w:type="dxa"/>
            <w:tcMar>
              <w:top w:w="0" w:type="dxa"/>
              <w:left w:w="120" w:type="dxa"/>
              <w:bottom w:w="0" w:type="dxa"/>
              <w:right w:w="120" w:type="dxa"/>
            </w:tcMar>
            <w:vAlign w:val="bottom"/>
          </w:tcPr>
          <w:p w14:paraId="04886082" w14:textId="77777777" w:rsidR="00165B1C" w:rsidRPr="00F97A44" w:rsidRDefault="00165B1C" w:rsidP="00CA7F04">
            <w:pPr>
              <w:tabs>
                <w:tab w:val="right" w:pos="1202"/>
              </w:tabs>
              <w:suppressAutoHyphens/>
              <w:autoSpaceDN w:val="0"/>
              <w:spacing w:line="240" w:lineRule="exact"/>
              <w:outlineLvl w:val="0"/>
              <w:rPr>
                <w:rFonts w:ascii="Arial" w:eastAsia="Calibri" w:hAnsi="Arial" w:cs="Arial"/>
                <w:b/>
                <w:bCs/>
                <w:color w:val="000000" w:themeColor="text1"/>
                <w:sz w:val="17"/>
                <w:szCs w:val="17"/>
              </w:rPr>
            </w:pPr>
            <w:r w:rsidRPr="00F97A44">
              <w:rPr>
                <w:rFonts w:ascii="Arial" w:eastAsia="Calibri" w:hAnsi="Arial" w:cs="Arial"/>
                <w:b/>
                <w:bCs/>
                <w:color w:val="000000" w:themeColor="text1"/>
                <w:sz w:val="17"/>
                <w:szCs w:val="17"/>
              </w:rPr>
              <w:t xml:space="preserve">Ukupna imovina </w:t>
            </w:r>
          </w:p>
        </w:tc>
        <w:tc>
          <w:tcPr>
            <w:tcW w:w="1461" w:type="dxa"/>
            <w:tcBorders>
              <w:top w:val="single" w:sz="4" w:space="0" w:color="000000"/>
              <w:bottom w:val="single" w:sz="8" w:space="0" w:color="000000"/>
            </w:tcBorders>
            <w:tcMar>
              <w:top w:w="0" w:type="dxa"/>
              <w:left w:w="120" w:type="dxa"/>
              <w:bottom w:w="0" w:type="dxa"/>
              <w:right w:w="120" w:type="dxa"/>
            </w:tcMar>
            <w:vAlign w:val="bottom"/>
          </w:tcPr>
          <w:p w14:paraId="7EEB07BB" w14:textId="77777777" w:rsidR="00165B1C" w:rsidRPr="00F959D0" w:rsidRDefault="00165B1C" w:rsidP="00CA7F04">
            <w:pPr>
              <w:spacing w:line="240" w:lineRule="exact"/>
              <w:jc w:val="right"/>
              <w:rPr>
                <w:rFonts w:ascii="Arial" w:hAnsi="Arial" w:cs="Arial"/>
                <w:b/>
                <w:bCs/>
                <w:sz w:val="17"/>
                <w:szCs w:val="17"/>
              </w:rPr>
            </w:pPr>
            <w:r w:rsidRPr="00F959D0">
              <w:rPr>
                <w:rFonts w:ascii="Arial" w:hAnsi="Arial" w:cs="Arial"/>
                <w:b/>
                <w:bCs/>
                <w:sz w:val="17"/>
                <w:szCs w:val="17"/>
              </w:rPr>
              <w:t xml:space="preserve"> 3.965.446 </w:t>
            </w:r>
          </w:p>
        </w:tc>
        <w:tc>
          <w:tcPr>
            <w:tcW w:w="1461" w:type="dxa"/>
            <w:tcBorders>
              <w:top w:val="single" w:sz="4" w:space="0" w:color="000000"/>
              <w:bottom w:val="single" w:sz="8" w:space="0" w:color="000000"/>
            </w:tcBorders>
            <w:tcMar>
              <w:top w:w="0" w:type="dxa"/>
              <w:left w:w="120" w:type="dxa"/>
              <w:bottom w:w="0" w:type="dxa"/>
              <w:right w:w="120" w:type="dxa"/>
            </w:tcMar>
            <w:vAlign w:val="bottom"/>
          </w:tcPr>
          <w:p w14:paraId="19948D18" w14:textId="77777777" w:rsidR="00165B1C" w:rsidRPr="00F959D0" w:rsidRDefault="00165B1C" w:rsidP="00CA7F04">
            <w:pPr>
              <w:spacing w:line="240" w:lineRule="exact"/>
              <w:jc w:val="right"/>
              <w:rPr>
                <w:rFonts w:ascii="Arial" w:hAnsi="Arial" w:cs="Arial"/>
                <w:b/>
                <w:bCs/>
                <w:sz w:val="17"/>
                <w:szCs w:val="17"/>
              </w:rPr>
            </w:pPr>
            <w:r w:rsidRPr="00F959D0">
              <w:rPr>
                <w:rFonts w:ascii="Arial" w:hAnsi="Arial" w:cs="Arial"/>
                <w:b/>
                <w:bCs/>
                <w:sz w:val="17"/>
                <w:szCs w:val="17"/>
              </w:rPr>
              <w:t xml:space="preserve"> 33.880 </w:t>
            </w:r>
          </w:p>
        </w:tc>
        <w:tc>
          <w:tcPr>
            <w:tcW w:w="1461" w:type="dxa"/>
            <w:tcBorders>
              <w:top w:val="single" w:sz="4" w:space="0" w:color="000000"/>
              <w:bottom w:val="single" w:sz="8" w:space="0" w:color="000000"/>
            </w:tcBorders>
            <w:tcMar>
              <w:top w:w="0" w:type="dxa"/>
              <w:left w:w="120" w:type="dxa"/>
              <w:bottom w:w="0" w:type="dxa"/>
              <w:right w:w="120" w:type="dxa"/>
            </w:tcMar>
            <w:vAlign w:val="bottom"/>
          </w:tcPr>
          <w:p w14:paraId="72F58471" w14:textId="77777777" w:rsidR="00165B1C" w:rsidRPr="00F959D0" w:rsidRDefault="00165B1C" w:rsidP="00CA7F04">
            <w:pPr>
              <w:spacing w:line="240" w:lineRule="exact"/>
              <w:jc w:val="right"/>
              <w:rPr>
                <w:rFonts w:ascii="Arial" w:hAnsi="Arial" w:cs="Arial"/>
                <w:b/>
                <w:bCs/>
                <w:sz w:val="17"/>
                <w:szCs w:val="17"/>
              </w:rPr>
            </w:pPr>
            <w:r w:rsidRPr="00F959D0">
              <w:rPr>
                <w:rFonts w:ascii="Arial" w:hAnsi="Arial" w:cs="Arial"/>
                <w:b/>
                <w:bCs/>
                <w:sz w:val="17"/>
                <w:szCs w:val="17"/>
              </w:rPr>
              <w:t xml:space="preserve"> 22.210 </w:t>
            </w:r>
          </w:p>
        </w:tc>
        <w:tc>
          <w:tcPr>
            <w:tcW w:w="1461" w:type="dxa"/>
            <w:tcBorders>
              <w:top w:val="single" w:sz="4" w:space="0" w:color="000000"/>
              <w:bottom w:val="single" w:sz="8" w:space="0" w:color="000000"/>
            </w:tcBorders>
            <w:tcMar>
              <w:top w:w="0" w:type="dxa"/>
              <w:left w:w="120" w:type="dxa"/>
              <w:bottom w:w="0" w:type="dxa"/>
              <w:right w:w="120" w:type="dxa"/>
            </w:tcMar>
            <w:vAlign w:val="bottom"/>
          </w:tcPr>
          <w:p w14:paraId="4FE6E221" w14:textId="77777777" w:rsidR="00165B1C" w:rsidRPr="00F959D0" w:rsidRDefault="00165B1C" w:rsidP="00CA7F04">
            <w:pPr>
              <w:spacing w:line="240" w:lineRule="exact"/>
              <w:jc w:val="right"/>
              <w:rPr>
                <w:rFonts w:ascii="Arial" w:hAnsi="Arial" w:cs="Arial"/>
                <w:b/>
                <w:bCs/>
                <w:sz w:val="17"/>
                <w:szCs w:val="17"/>
              </w:rPr>
            </w:pPr>
            <w:r w:rsidRPr="00F959D0">
              <w:rPr>
                <w:rFonts w:ascii="Arial" w:hAnsi="Arial" w:cs="Arial"/>
                <w:b/>
                <w:bCs/>
                <w:sz w:val="17"/>
                <w:szCs w:val="17"/>
              </w:rPr>
              <w:t xml:space="preserve"> 4.021.536 </w:t>
            </w:r>
          </w:p>
        </w:tc>
      </w:tr>
      <w:tr w:rsidR="00165B1C" w:rsidRPr="00F97A44" w14:paraId="4B999EC3" w14:textId="77777777" w:rsidTr="00CA7F04">
        <w:trPr>
          <w:trHeight w:val="224"/>
        </w:trPr>
        <w:tc>
          <w:tcPr>
            <w:tcW w:w="3625" w:type="dxa"/>
            <w:tcMar>
              <w:top w:w="0" w:type="dxa"/>
              <w:left w:w="120" w:type="dxa"/>
              <w:bottom w:w="0" w:type="dxa"/>
              <w:right w:w="120" w:type="dxa"/>
            </w:tcMar>
            <w:vAlign w:val="bottom"/>
          </w:tcPr>
          <w:p w14:paraId="6442C38C" w14:textId="77777777" w:rsidR="00165B1C" w:rsidRPr="00F97A44" w:rsidRDefault="00165B1C" w:rsidP="00CA7F04">
            <w:pPr>
              <w:tabs>
                <w:tab w:val="right" w:pos="1202"/>
              </w:tabs>
              <w:suppressAutoHyphens/>
              <w:autoSpaceDN w:val="0"/>
              <w:spacing w:line="240" w:lineRule="exact"/>
              <w:outlineLvl w:val="0"/>
              <w:rPr>
                <w:rFonts w:ascii="Arial" w:eastAsia="Calibri" w:hAnsi="Arial" w:cs="Arial"/>
                <w:b/>
                <w:bCs/>
                <w:color w:val="000000" w:themeColor="text1"/>
                <w:sz w:val="17"/>
                <w:szCs w:val="17"/>
              </w:rPr>
            </w:pPr>
            <w:r w:rsidRPr="00F97A44">
              <w:rPr>
                <w:rFonts w:ascii="Arial" w:eastAsia="Calibri" w:hAnsi="Arial" w:cs="Arial"/>
                <w:b/>
                <w:bCs/>
                <w:color w:val="000000" w:themeColor="text1"/>
                <w:sz w:val="17"/>
                <w:szCs w:val="17"/>
              </w:rPr>
              <w:t>Obveze</w:t>
            </w:r>
          </w:p>
        </w:tc>
        <w:tc>
          <w:tcPr>
            <w:tcW w:w="1461" w:type="dxa"/>
            <w:tcBorders>
              <w:top w:val="single" w:sz="12" w:space="0" w:color="000000"/>
            </w:tcBorders>
            <w:tcMar>
              <w:top w:w="0" w:type="dxa"/>
              <w:left w:w="120" w:type="dxa"/>
              <w:bottom w:w="0" w:type="dxa"/>
              <w:right w:w="120" w:type="dxa"/>
            </w:tcMar>
            <w:vAlign w:val="bottom"/>
          </w:tcPr>
          <w:p w14:paraId="7054C0D3" w14:textId="77777777" w:rsidR="00165B1C" w:rsidRPr="00F959D0" w:rsidRDefault="00165B1C" w:rsidP="00CA7F04">
            <w:pPr>
              <w:spacing w:line="240" w:lineRule="exact"/>
              <w:jc w:val="right"/>
              <w:rPr>
                <w:rFonts w:ascii="Arial" w:hAnsi="Arial" w:cs="Arial"/>
                <w:sz w:val="17"/>
                <w:szCs w:val="17"/>
              </w:rPr>
            </w:pPr>
          </w:p>
        </w:tc>
        <w:tc>
          <w:tcPr>
            <w:tcW w:w="1461" w:type="dxa"/>
            <w:tcBorders>
              <w:top w:val="single" w:sz="12" w:space="0" w:color="000000"/>
            </w:tcBorders>
            <w:tcMar>
              <w:top w:w="0" w:type="dxa"/>
              <w:left w:w="120" w:type="dxa"/>
              <w:bottom w:w="0" w:type="dxa"/>
              <w:right w:w="120" w:type="dxa"/>
            </w:tcMar>
            <w:vAlign w:val="bottom"/>
          </w:tcPr>
          <w:p w14:paraId="7E765F3A" w14:textId="77777777" w:rsidR="00165B1C" w:rsidRPr="00F959D0" w:rsidRDefault="00165B1C" w:rsidP="00CA7F04">
            <w:pPr>
              <w:spacing w:line="240" w:lineRule="exact"/>
              <w:jc w:val="right"/>
              <w:rPr>
                <w:rFonts w:ascii="Arial" w:hAnsi="Arial" w:cs="Arial"/>
                <w:sz w:val="17"/>
                <w:szCs w:val="17"/>
              </w:rPr>
            </w:pPr>
          </w:p>
        </w:tc>
        <w:tc>
          <w:tcPr>
            <w:tcW w:w="1461" w:type="dxa"/>
            <w:tcBorders>
              <w:top w:val="single" w:sz="12" w:space="0" w:color="000000"/>
            </w:tcBorders>
            <w:tcMar>
              <w:top w:w="0" w:type="dxa"/>
              <w:left w:w="120" w:type="dxa"/>
              <w:bottom w:w="0" w:type="dxa"/>
              <w:right w:w="120" w:type="dxa"/>
            </w:tcMar>
            <w:vAlign w:val="bottom"/>
          </w:tcPr>
          <w:p w14:paraId="1E302896" w14:textId="77777777" w:rsidR="00165B1C" w:rsidRPr="00F959D0" w:rsidRDefault="00165B1C" w:rsidP="00CA7F04">
            <w:pPr>
              <w:spacing w:line="240" w:lineRule="exact"/>
              <w:jc w:val="right"/>
              <w:rPr>
                <w:rFonts w:ascii="Arial" w:hAnsi="Arial" w:cs="Arial"/>
                <w:sz w:val="17"/>
                <w:szCs w:val="17"/>
              </w:rPr>
            </w:pPr>
          </w:p>
        </w:tc>
        <w:tc>
          <w:tcPr>
            <w:tcW w:w="1461" w:type="dxa"/>
            <w:tcBorders>
              <w:top w:val="single" w:sz="12" w:space="0" w:color="000000"/>
            </w:tcBorders>
            <w:tcMar>
              <w:top w:w="0" w:type="dxa"/>
              <w:left w:w="120" w:type="dxa"/>
              <w:bottom w:w="0" w:type="dxa"/>
              <w:right w:w="120" w:type="dxa"/>
            </w:tcMar>
            <w:vAlign w:val="bottom"/>
          </w:tcPr>
          <w:p w14:paraId="3891C75A" w14:textId="77777777" w:rsidR="00165B1C" w:rsidRPr="00F959D0" w:rsidRDefault="00165B1C" w:rsidP="00CA7F04">
            <w:pPr>
              <w:spacing w:line="240" w:lineRule="exact"/>
              <w:jc w:val="right"/>
              <w:rPr>
                <w:rFonts w:ascii="Arial" w:hAnsi="Arial" w:cs="Arial"/>
                <w:sz w:val="17"/>
                <w:szCs w:val="17"/>
              </w:rPr>
            </w:pPr>
          </w:p>
        </w:tc>
      </w:tr>
      <w:tr w:rsidR="00165B1C" w:rsidRPr="00F97A44" w14:paraId="2F4618A7" w14:textId="77777777" w:rsidTr="00CA7F04">
        <w:trPr>
          <w:trHeight w:val="240"/>
        </w:trPr>
        <w:tc>
          <w:tcPr>
            <w:tcW w:w="3625" w:type="dxa"/>
            <w:tcMar>
              <w:top w:w="0" w:type="dxa"/>
              <w:left w:w="120" w:type="dxa"/>
              <w:bottom w:w="0" w:type="dxa"/>
              <w:right w:w="120" w:type="dxa"/>
            </w:tcMar>
            <w:vAlign w:val="bottom"/>
          </w:tcPr>
          <w:p w14:paraId="5F6C7B3A" w14:textId="77777777" w:rsidR="00165B1C" w:rsidRPr="00F97A44" w:rsidRDefault="00165B1C" w:rsidP="00CA7F04">
            <w:pPr>
              <w:tabs>
                <w:tab w:val="right" w:pos="1202"/>
              </w:tabs>
              <w:suppressAutoHyphens/>
              <w:autoSpaceDN w:val="0"/>
              <w:spacing w:line="240" w:lineRule="exact"/>
              <w:outlineLvl w:val="0"/>
              <w:rPr>
                <w:rFonts w:ascii="Arial" w:eastAsia="Calibri" w:hAnsi="Arial" w:cs="Arial"/>
                <w:color w:val="000000" w:themeColor="text1"/>
                <w:sz w:val="17"/>
                <w:szCs w:val="17"/>
              </w:rPr>
            </w:pPr>
            <w:r w:rsidRPr="00F97A44">
              <w:rPr>
                <w:rFonts w:ascii="Arial" w:eastAsia="Calibri" w:hAnsi="Arial" w:cs="Arial"/>
                <w:color w:val="000000" w:themeColor="text1"/>
                <w:sz w:val="17"/>
                <w:szCs w:val="17"/>
              </w:rPr>
              <w:t>Obveze po depozitima</w:t>
            </w:r>
          </w:p>
        </w:tc>
        <w:tc>
          <w:tcPr>
            <w:tcW w:w="1461" w:type="dxa"/>
            <w:tcBorders>
              <w:top w:val="nil"/>
              <w:left w:val="nil"/>
              <w:bottom w:val="nil"/>
              <w:right w:val="nil"/>
            </w:tcBorders>
            <w:tcMar>
              <w:top w:w="0" w:type="dxa"/>
              <w:left w:w="120" w:type="dxa"/>
              <w:bottom w:w="0" w:type="dxa"/>
              <w:right w:w="120" w:type="dxa"/>
            </w:tcMar>
            <w:vAlign w:val="bottom"/>
          </w:tcPr>
          <w:p w14:paraId="5FC0387C"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180.779 </w:t>
            </w:r>
          </w:p>
        </w:tc>
        <w:tc>
          <w:tcPr>
            <w:tcW w:w="1461" w:type="dxa"/>
            <w:tcBorders>
              <w:top w:val="nil"/>
              <w:left w:val="nil"/>
              <w:bottom w:val="nil"/>
              <w:right w:val="nil"/>
            </w:tcBorders>
            <w:tcMar>
              <w:top w:w="0" w:type="dxa"/>
              <w:left w:w="120" w:type="dxa"/>
              <w:bottom w:w="0" w:type="dxa"/>
              <w:right w:w="120" w:type="dxa"/>
            </w:tcMar>
            <w:vAlign w:val="bottom"/>
          </w:tcPr>
          <w:p w14:paraId="6C43D3C5"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14.097 </w:t>
            </w:r>
          </w:p>
        </w:tc>
        <w:tc>
          <w:tcPr>
            <w:tcW w:w="1461" w:type="dxa"/>
            <w:tcBorders>
              <w:top w:val="nil"/>
              <w:left w:val="nil"/>
              <w:bottom w:val="nil"/>
              <w:right w:val="nil"/>
            </w:tcBorders>
            <w:tcMar>
              <w:top w:w="0" w:type="dxa"/>
              <w:left w:w="120" w:type="dxa"/>
              <w:bottom w:w="0" w:type="dxa"/>
              <w:right w:w="120" w:type="dxa"/>
            </w:tcMar>
            <w:vAlign w:val="bottom"/>
          </w:tcPr>
          <w:p w14:paraId="01202DE6"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   </w:t>
            </w:r>
          </w:p>
        </w:tc>
        <w:tc>
          <w:tcPr>
            <w:tcW w:w="1461" w:type="dxa"/>
            <w:tcBorders>
              <w:top w:val="nil"/>
              <w:left w:val="nil"/>
              <w:bottom w:val="nil"/>
            </w:tcBorders>
            <w:tcMar>
              <w:top w:w="0" w:type="dxa"/>
              <w:left w:w="120" w:type="dxa"/>
              <w:bottom w:w="0" w:type="dxa"/>
              <w:right w:w="120" w:type="dxa"/>
            </w:tcMar>
            <w:vAlign w:val="bottom"/>
          </w:tcPr>
          <w:p w14:paraId="4A8D7173"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194.876 </w:t>
            </w:r>
          </w:p>
        </w:tc>
      </w:tr>
      <w:tr w:rsidR="00165B1C" w:rsidRPr="00F97A44" w14:paraId="7D38F1D1" w14:textId="77777777" w:rsidTr="00CA7F04">
        <w:trPr>
          <w:trHeight w:val="177"/>
        </w:trPr>
        <w:tc>
          <w:tcPr>
            <w:tcW w:w="3625" w:type="dxa"/>
            <w:tcMar>
              <w:top w:w="0" w:type="dxa"/>
              <w:left w:w="120" w:type="dxa"/>
              <w:bottom w:w="0" w:type="dxa"/>
              <w:right w:w="120" w:type="dxa"/>
            </w:tcMar>
            <w:vAlign w:val="bottom"/>
          </w:tcPr>
          <w:p w14:paraId="2F2C95BC" w14:textId="77777777" w:rsidR="00165B1C" w:rsidRPr="00F97A44" w:rsidRDefault="00165B1C" w:rsidP="00CA7F04">
            <w:pPr>
              <w:tabs>
                <w:tab w:val="right" w:pos="1202"/>
              </w:tabs>
              <w:suppressAutoHyphens/>
              <w:autoSpaceDN w:val="0"/>
              <w:spacing w:line="240" w:lineRule="exact"/>
              <w:outlineLvl w:val="0"/>
              <w:rPr>
                <w:rFonts w:ascii="Arial" w:eastAsia="Calibri" w:hAnsi="Arial" w:cs="Arial"/>
                <w:color w:val="000000" w:themeColor="text1"/>
                <w:sz w:val="17"/>
                <w:szCs w:val="17"/>
              </w:rPr>
            </w:pPr>
            <w:r w:rsidRPr="00F97A44">
              <w:rPr>
                <w:rFonts w:ascii="Arial" w:eastAsia="Calibri" w:hAnsi="Arial" w:cs="Arial"/>
                <w:color w:val="000000" w:themeColor="text1"/>
                <w:sz w:val="17"/>
                <w:szCs w:val="17"/>
              </w:rPr>
              <w:t>Obveze po kreditima</w:t>
            </w:r>
          </w:p>
        </w:tc>
        <w:tc>
          <w:tcPr>
            <w:tcW w:w="1461" w:type="dxa"/>
            <w:tcBorders>
              <w:top w:val="nil"/>
              <w:left w:val="nil"/>
              <w:bottom w:val="nil"/>
              <w:right w:val="nil"/>
            </w:tcBorders>
            <w:tcMar>
              <w:top w:w="0" w:type="dxa"/>
              <w:left w:w="120" w:type="dxa"/>
              <w:bottom w:w="0" w:type="dxa"/>
              <w:right w:w="120" w:type="dxa"/>
            </w:tcMar>
            <w:vAlign w:val="bottom"/>
          </w:tcPr>
          <w:p w14:paraId="5C7929AF"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2.230.910 </w:t>
            </w:r>
          </w:p>
        </w:tc>
        <w:tc>
          <w:tcPr>
            <w:tcW w:w="1461" w:type="dxa"/>
            <w:tcBorders>
              <w:top w:val="nil"/>
              <w:left w:val="nil"/>
              <w:bottom w:val="nil"/>
              <w:right w:val="nil"/>
            </w:tcBorders>
            <w:tcMar>
              <w:top w:w="0" w:type="dxa"/>
              <w:left w:w="120" w:type="dxa"/>
              <w:bottom w:w="0" w:type="dxa"/>
              <w:right w:w="120" w:type="dxa"/>
            </w:tcMar>
            <w:vAlign w:val="bottom"/>
          </w:tcPr>
          <w:p w14:paraId="2F40F6FE"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20.266 </w:t>
            </w:r>
          </w:p>
        </w:tc>
        <w:tc>
          <w:tcPr>
            <w:tcW w:w="1461" w:type="dxa"/>
            <w:tcBorders>
              <w:top w:val="nil"/>
              <w:left w:val="nil"/>
              <w:bottom w:val="nil"/>
              <w:right w:val="nil"/>
            </w:tcBorders>
            <w:tcMar>
              <w:top w:w="0" w:type="dxa"/>
              <w:left w:w="120" w:type="dxa"/>
              <w:bottom w:w="0" w:type="dxa"/>
              <w:right w:w="120" w:type="dxa"/>
            </w:tcMar>
            <w:vAlign w:val="bottom"/>
          </w:tcPr>
          <w:p w14:paraId="6A502EA2"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   </w:t>
            </w:r>
          </w:p>
        </w:tc>
        <w:tc>
          <w:tcPr>
            <w:tcW w:w="1461" w:type="dxa"/>
            <w:tcBorders>
              <w:top w:val="nil"/>
              <w:left w:val="nil"/>
              <w:bottom w:val="nil"/>
            </w:tcBorders>
            <w:tcMar>
              <w:top w:w="0" w:type="dxa"/>
              <w:left w:w="120" w:type="dxa"/>
              <w:bottom w:w="0" w:type="dxa"/>
              <w:right w:w="120" w:type="dxa"/>
            </w:tcMar>
            <w:vAlign w:val="bottom"/>
          </w:tcPr>
          <w:p w14:paraId="2119FE2E"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2.251.176 </w:t>
            </w:r>
          </w:p>
        </w:tc>
      </w:tr>
      <w:tr w:rsidR="00165B1C" w:rsidRPr="00F97A44" w14:paraId="41174346" w14:textId="77777777" w:rsidTr="00CA7F04">
        <w:trPr>
          <w:trHeight w:val="466"/>
        </w:trPr>
        <w:tc>
          <w:tcPr>
            <w:tcW w:w="3625" w:type="dxa"/>
            <w:tcMar>
              <w:top w:w="0" w:type="dxa"/>
              <w:left w:w="120" w:type="dxa"/>
              <w:bottom w:w="0" w:type="dxa"/>
              <w:right w:w="120" w:type="dxa"/>
            </w:tcMar>
            <w:vAlign w:val="bottom"/>
          </w:tcPr>
          <w:p w14:paraId="0CA1C73B" w14:textId="77777777" w:rsidR="00165B1C" w:rsidRPr="00F97A44" w:rsidRDefault="00165B1C" w:rsidP="00CA7F04">
            <w:pPr>
              <w:tabs>
                <w:tab w:val="right" w:pos="1202"/>
              </w:tabs>
              <w:suppressAutoHyphens/>
              <w:autoSpaceDN w:val="0"/>
              <w:spacing w:line="240" w:lineRule="exact"/>
              <w:outlineLvl w:val="0"/>
              <w:rPr>
                <w:rFonts w:ascii="Arial" w:eastAsia="Calibri" w:hAnsi="Arial" w:cs="Arial"/>
                <w:color w:val="000000" w:themeColor="text1"/>
                <w:sz w:val="17"/>
                <w:szCs w:val="17"/>
              </w:rPr>
            </w:pPr>
            <w:r w:rsidRPr="00F97A44">
              <w:rPr>
                <w:rFonts w:ascii="Arial" w:eastAsia="Calibri" w:hAnsi="Arial" w:cs="Arial"/>
                <w:color w:val="000000" w:themeColor="text1"/>
                <w:sz w:val="17"/>
                <w:szCs w:val="17"/>
              </w:rPr>
              <w:t>Rezerviranja za garancije, preuzete i ostale obveze</w:t>
            </w:r>
          </w:p>
        </w:tc>
        <w:tc>
          <w:tcPr>
            <w:tcW w:w="1461" w:type="dxa"/>
            <w:tcBorders>
              <w:top w:val="nil"/>
              <w:left w:val="nil"/>
              <w:bottom w:val="nil"/>
              <w:right w:val="nil"/>
            </w:tcBorders>
            <w:tcMar>
              <w:top w:w="0" w:type="dxa"/>
              <w:left w:w="120" w:type="dxa"/>
              <w:bottom w:w="0" w:type="dxa"/>
              <w:right w:w="120" w:type="dxa"/>
            </w:tcMar>
            <w:vAlign w:val="bottom"/>
          </w:tcPr>
          <w:p w14:paraId="3564CFEB"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21.957 </w:t>
            </w:r>
          </w:p>
        </w:tc>
        <w:tc>
          <w:tcPr>
            <w:tcW w:w="1461" w:type="dxa"/>
            <w:tcBorders>
              <w:top w:val="nil"/>
              <w:left w:val="nil"/>
              <w:bottom w:val="nil"/>
              <w:right w:val="nil"/>
            </w:tcBorders>
            <w:tcMar>
              <w:top w:w="0" w:type="dxa"/>
              <w:left w:w="120" w:type="dxa"/>
              <w:bottom w:w="0" w:type="dxa"/>
              <w:right w:w="120" w:type="dxa"/>
            </w:tcMar>
            <w:vAlign w:val="bottom"/>
          </w:tcPr>
          <w:p w14:paraId="778927A9"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66 </w:t>
            </w:r>
          </w:p>
        </w:tc>
        <w:tc>
          <w:tcPr>
            <w:tcW w:w="1461" w:type="dxa"/>
            <w:tcBorders>
              <w:top w:val="nil"/>
              <w:left w:val="nil"/>
              <w:bottom w:val="nil"/>
              <w:right w:val="nil"/>
            </w:tcBorders>
            <w:tcMar>
              <w:top w:w="0" w:type="dxa"/>
              <w:left w:w="120" w:type="dxa"/>
              <w:bottom w:w="0" w:type="dxa"/>
              <w:right w:w="120" w:type="dxa"/>
            </w:tcMar>
            <w:vAlign w:val="bottom"/>
          </w:tcPr>
          <w:p w14:paraId="63C36E8F"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2.359 </w:t>
            </w:r>
          </w:p>
        </w:tc>
        <w:tc>
          <w:tcPr>
            <w:tcW w:w="1461" w:type="dxa"/>
            <w:tcBorders>
              <w:top w:val="nil"/>
              <w:left w:val="nil"/>
              <w:bottom w:val="nil"/>
            </w:tcBorders>
            <w:tcMar>
              <w:top w:w="0" w:type="dxa"/>
              <w:left w:w="120" w:type="dxa"/>
              <w:bottom w:w="0" w:type="dxa"/>
              <w:right w:w="120" w:type="dxa"/>
            </w:tcMar>
            <w:vAlign w:val="bottom"/>
          </w:tcPr>
          <w:p w14:paraId="5B756101"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24.382 </w:t>
            </w:r>
          </w:p>
        </w:tc>
      </w:tr>
      <w:tr w:rsidR="00165B1C" w:rsidRPr="00F97A44" w14:paraId="16670ED6" w14:textId="77777777" w:rsidTr="00CA7F04">
        <w:trPr>
          <w:trHeight w:val="139"/>
        </w:trPr>
        <w:tc>
          <w:tcPr>
            <w:tcW w:w="3625" w:type="dxa"/>
            <w:tcMar>
              <w:top w:w="0" w:type="dxa"/>
              <w:left w:w="120" w:type="dxa"/>
              <w:bottom w:w="0" w:type="dxa"/>
              <w:right w:w="120" w:type="dxa"/>
            </w:tcMar>
            <w:vAlign w:val="bottom"/>
          </w:tcPr>
          <w:p w14:paraId="347C9B17" w14:textId="77777777" w:rsidR="00165B1C" w:rsidRPr="00F97A44" w:rsidRDefault="00165B1C" w:rsidP="00CA7F04">
            <w:pPr>
              <w:tabs>
                <w:tab w:val="right" w:pos="1202"/>
              </w:tabs>
              <w:suppressAutoHyphens/>
              <w:autoSpaceDN w:val="0"/>
              <w:spacing w:line="240" w:lineRule="exact"/>
              <w:outlineLvl w:val="0"/>
              <w:rPr>
                <w:rFonts w:ascii="Arial" w:eastAsia="Calibri" w:hAnsi="Arial" w:cs="Arial"/>
                <w:color w:val="000000" w:themeColor="text1"/>
                <w:sz w:val="17"/>
                <w:szCs w:val="17"/>
              </w:rPr>
            </w:pPr>
            <w:r w:rsidRPr="00F97A44">
              <w:rPr>
                <w:rFonts w:ascii="Arial" w:eastAsia="Calibri" w:hAnsi="Arial" w:cs="Arial"/>
                <w:color w:val="000000" w:themeColor="text1"/>
                <w:sz w:val="17"/>
                <w:szCs w:val="17"/>
              </w:rPr>
              <w:t>Ostale obveze</w:t>
            </w:r>
          </w:p>
        </w:tc>
        <w:tc>
          <w:tcPr>
            <w:tcW w:w="1461" w:type="dxa"/>
            <w:tcBorders>
              <w:top w:val="nil"/>
              <w:left w:val="nil"/>
              <w:bottom w:val="single" w:sz="4" w:space="0" w:color="auto"/>
              <w:right w:val="nil"/>
            </w:tcBorders>
            <w:tcMar>
              <w:top w:w="0" w:type="dxa"/>
              <w:left w:w="120" w:type="dxa"/>
              <w:bottom w:w="0" w:type="dxa"/>
              <w:right w:w="120" w:type="dxa"/>
            </w:tcMar>
            <w:vAlign w:val="bottom"/>
          </w:tcPr>
          <w:p w14:paraId="2B567FD9"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93.223 </w:t>
            </w:r>
          </w:p>
        </w:tc>
        <w:tc>
          <w:tcPr>
            <w:tcW w:w="1461" w:type="dxa"/>
            <w:tcBorders>
              <w:top w:val="nil"/>
              <w:left w:val="nil"/>
              <w:bottom w:val="single" w:sz="4" w:space="0" w:color="auto"/>
              <w:right w:val="nil"/>
            </w:tcBorders>
            <w:tcMar>
              <w:top w:w="0" w:type="dxa"/>
              <w:left w:w="120" w:type="dxa"/>
              <w:bottom w:w="0" w:type="dxa"/>
              <w:right w:w="120" w:type="dxa"/>
            </w:tcMar>
            <w:vAlign w:val="bottom"/>
          </w:tcPr>
          <w:p w14:paraId="30736E0B"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   </w:t>
            </w:r>
          </w:p>
        </w:tc>
        <w:tc>
          <w:tcPr>
            <w:tcW w:w="1461" w:type="dxa"/>
            <w:tcBorders>
              <w:top w:val="nil"/>
              <w:left w:val="nil"/>
              <w:bottom w:val="single" w:sz="4" w:space="0" w:color="auto"/>
              <w:right w:val="nil"/>
            </w:tcBorders>
            <w:tcMar>
              <w:top w:w="0" w:type="dxa"/>
              <w:left w:w="120" w:type="dxa"/>
              <w:bottom w:w="0" w:type="dxa"/>
              <w:right w:w="120" w:type="dxa"/>
            </w:tcMar>
            <w:vAlign w:val="bottom"/>
          </w:tcPr>
          <w:p w14:paraId="5751570A"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   </w:t>
            </w:r>
          </w:p>
        </w:tc>
        <w:tc>
          <w:tcPr>
            <w:tcW w:w="1461" w:type="dxa"/>
            <w:tcBorders>
              <w:top w:val="nil"/>
              <w:left w:val="nil"/>
              <w:bottom w:val="single" w:sz="4" w:space="0" w:color="auto"/>
            </w:tcBorders>
            <w:tcMar>
              <w:top w:w="0" w:type="dxa"/>
              <w:left w:w="120" w:type="dxa"/>
              <w:bottom w:w="0" w:type="dxa"/>
              <w:right w:w="120" w:type="dxa"/>
            </w:tcMar>
            <w:vAlign w:val="bottom"/>
          </w:tcPr>
          <w:p w14:paraId="6684F991" w14:textId="77777777" w:rsidR="00165B1C" w:rsidRPr="00F959D0" w:rsidRDefault="00165B1C" w:rsidP="00CA7F04">
            <w:pPr>
              <w:spacing w:line="240" w:lineRule="exact"/>
              <w:jc w:val="right"/>
              <w:rPr>
                <w:rFonts w:ascii="Arial" w:hAnsi="Arial" w:cs="Arial"/>
                <w:sz w:val="17"/>
                <w:szCs w:val="17"/>
              </w:rPr>
            </w:pPr>
            <w:r w:rsidRPr="00F959D0">
              <w:rPr>
                <w:rFonts w:ascii="Arial" w:hAnsi="Arial" w:cs="Arial"/>
                <w:sz w:val="17"/>
                <w:szCs w:val="17"/>
              </w:rPr>
              <w:t xml:space="preserve"> 93.223 </w:t>
            </w:r>
          </w:p>
        </w:tc>
      </w:tr>
      <w:tr w:rsidR="00165B1C" w:rsidRPr="00F97A44" w14:paraId="57F3811A" w14:textId="77777777" w:rsidTr="00CA7F04">
        <w:trPr>
          <w:trHeight w:val="310"/>
        </w:trPr>
        <w:tc>
          <w:tcPr>
            <w:tcW w:w="3625" w:type="dxa"/>
            <w:tcMar>
              <w:top w:w="0" w:type="dxa"/>
              <w:left w:w="120" w:type="dxa"/>
              <w:bottom w:w="0" w:type="dxa"/>
              <w:right w:w="120" w:type="dxa"/>
            </w:tcMar>
            <w:vAlign w:val="bottom"/>
          </w:tcPr>
          <w:p w14:paraId="0AB0F572" w14:textId="77777777" w:rsidR="00165B1C" w:rsidRPr="00F97A44" w:rsidRDefault="00165B1C" w:rsidP="00CA7F04">
            <w:pPr>
              <w:tabs>
                <w:tab w:val="right" w:pos="1202"/>
              </w:tabs>
              <w:suppressAutoHyphens/>
              <w:autoSpaceDN w:val="0"/>
              <w:spacing w:line="240" w:lineRule="exact"/>
              <w:outlineLvl w:val="0"/>
              <w:rPr>
                <w:rFonts w:ascii="Arial" w:eastAsia="Calibri" w:hAnsi="Arial" w:cs="Arial"/>
                <w:b/>
                <w:bCs/>
                <w:color w:val="000000" w:themeColor="text1"/>
                <w:sz w:val="17"/>
                <w:szCs w:val="17"/>
              </w:rPr>
            </w:pPr>
            <w:r w:rsidRPr="00F97A44">
              <w:rPr>
                <w:rFonts w:ascii="Arial" w:eastAsia="Calibri" w:hAnsi="Arial" w:cs="Arial"/>
                <w:b/>
                <w:bCs/>
                <w:color w:val="000000" w:themeColor="text1"/>
                <w:sz w:val="17"/>
                <w:szCs w:val="17"/>
              </w:rPr>
              <w:t>Ukupne obveze</w:t>
            </w:r>
          </w:p>
        </w:tc>
        <w:tc>
          <w:tcPr>
            <w:tcW w:w="1461" w:type="dxa"/>
            <w:tcBorders>
              <w:top w:val="single" w:sz="4" w:space="0" w:color="auto"/>
              <w:left w:val="nil"/>
              <w:bottom w:val="single" w:sz="12" w:space="0" w:color="auto"/>
              <w:right w:val="nil"/>
            </w:tcBorders>
            <w:tcMar>
              <w:top w:w="0" w:type="dxa"/>
              <w:left w:w="120" w:type="dxa"/>
              <w:bottom w:w="0" w:type="dxa"/>
              <w:right w:w="120" w:type="dxa"/>
            </w:tcMar>
            <w:vAlign w:val="bottom"/>
          </w:tcPr>
          <w:p w14:paraId="41C4D7C0" w14:textId="77777777" w:rsidR="00165B1C" w:rsidRPr="00F959D0" w:rsidRDefault="00165B1C" w:rsidP="00CA7F04">
            <w:pPr>
              <w:spacing w:line="240" w:lineRule="exact"/>
              <w:jc w:val="right"/>
              <w:rPr>
                <w:rFonts w:ascii="Arial" w:hAnsi="Arial" w:cs="Arial"/>
                <w:b/>
                <w:bCs/>
                <w:sz w:val="17"/>
                <w:szCs w:val="17"/>
              </w:rPr>
            </w:pPr>
            <w:r w:rsidRPr="00F959D0">
              <w:rPr>
                <w:rFonts w:ascii="Arial" w:hAnsi="Arial" w:cs="Arial"/>
                <w:b/>
                <w:bCs/>
                <w:sz w:val="17"/>
                <w:szCs w:val="17"/>
              </w:rPr>
              <w:t xml:space="preserve"> 2.526.869 </w:t>
            </w:r>
          </w:p>
        </w:tc>
        <w:tc>
          <w:tcPr>
            <w:tcW w:w="1461" w:type="dxa"/>
            <w:tcBorders>
              <w:top w:val="single" w:sz="4" w:space="0" w:color="auto"/>
              <w:left w:val="nil"/>
              <w:bottom w:val="single" w:sz="12" w:space="0" w:color="auto"/>
              <w:right w:val="nil"/>
            </w:tcBorders>
            <w:tcMar>
              <w:top w:w="0" w:type="dxa"/>
              <w:left w:w="120" w:type="dxa"/>
              <w:bottom w:w="0" w:type="dxa"/>
              <w:right w:w="120" w:type="dxa"/>
            </w:tcMar>
            <w:vAlign w:val="bottom"/>
          </w:tcPr>
          <w:p w14:paraId="3795C993" w14:textId="77777777" w:rsidR="00165B1C" w:rsidRPr="00F959D0" w:rsidRDefault="00165B1C" w:rsidP="00CA7F04">
            <w:pPr>
              <w:spacing w:line="240" w:lineRule="exact"/>
              <w:jc w:val="right"/>
              <w:rPr>
                <w:rFonts w:ascii="Arial" w:hAnsi="Arial" w:cs="Arial"/>
                <w:b/>
                <w:bCs/>
                <w:sz w:val="17"/>
                <w:szCs w:val="17"/>
              </w:rPr>
            </w:pPr>
            <w:r w:rsidRPr="00F959D0">
              <w:rPr>
                <w:rFonts w:ascii="Arial" w:hAnsi="Arial" w:cs="Arial"/>
                <w:b/>
                <w:bCs/>
                <w:sz w:val="17"/>
                <w:szCs w:val="17"/>
              </w:rPr>
              <w:t xml:space="preserve"> 34.429 </w:t>
            </w:r>
          </w:p>
        </w:tc>
        <w:tc>
          <w:tcPr>
            <w:tcW w:w="1461" w:type="dxa"/>
            <w:tcBorders>
              <w:top w:val="single" w:sz="4" w:space="0" w:color="auto"/>
              <w:left w:val="nil"/>
              <w:bottom w:val="single" w:sz="12" w:space="0" w:color="auto"/>
              <w:right w:val="nil"/>
            </w:tcBorders>
            <w:tcMar>
              <w:top w:w="0" w:type="dxa"/>
              <w:left w:w="120" w:type="dxa"/>
              <w:bottom w:w="0" w:type="dxa"/>
              <w:right w:w="120" w:type="dxa"/>
            </w:tcMar>
            <w:vAlign w:val="bottom"/>
          </w:tcPr>
          <w:p w14:paraId="0862EAAA" w14:textId="77777777" w:rsidR="00165B1C" w:rsidRPr="00F959D0" w:rsidRDefault="00165B1C" w:rsidP="00CA7F04">
            <w:pPr>
              <w:spacing w:line="240" w:lineRule="exact"/>
              <w:jc w:val="right"/>
              <w:rPr>
                <w:rFonts w:ascii="Arial" w:hAnsi="Arial" w:cs="Arial"/>
                <w:b/>
                <w:bCs/>
                <w:sz w:val="17"/>
                <w:szCs w:val="17"/>
              </w:rPr>
            </w:pPr>
            <w:r w:rsidRPr="00F959D0">
              <w:rPr>
                <w:rFonts w:ascii="Arial" w:hAnsi="Arial" w:cs="Arial"/>
                <w:b/>
                <w:bCs/>
                <w:sz w:val="17"/>
                <w:szCs w:val="17"/>
              </w:rPr>
              <w:t xml:space="preserve"> 2.359 </w:t>
            </w:r>
          </w:p>
        </w:tc>
        <w:tc>
          <w:tcPr>
            <w:tcW w:w="1461" w:type="dxa"/>
            <w:tcBorders>
              <w:top w:val="single" w:sz="4" w:space="0" w:color="auto"/>
              <w:left w:val="nil"/>
              <w:bottom w:val="single" w:sz="12" w:space="0" w:color="auto"/>
            </w:tcBorders>
            <w:tcMar>
              <w:top w:w="0" w:type="dxa"/>
              <w:left w:w="120" w:type="dxa"/>
              <w:bottom w:w="0" w:type="dxa"/>
              <w:right w:w="120" w:type="dxa"/>
            </w:tcMar>
            <w:vAlign w:val="bottom"/>
          </w:tcPr>
          <w:p w14:paraId="55D14290" w14:textId="77777777" w:rsidR="00165B1C" w:rsidRPr="00F959D0" w:rsidRDefault="00165B1C" w:rsidP="00CA7F04">
            <w:pPr>
              <w:spacing w:line="240" w:lineRule="exact"/>
              <w:jc w:val="right"/>
              <w:rPr>
                <w:rFonts w:ascii="Arial" w:hAnsi="Arial" w:cs="Arial"/>
                <w:b/>
                <w:bCs/>
                <w:sz w:val="17"/>
                <w:szCs w:val="17"/>
              </w:rPr>
            </w:pPr>
            <w:r w:rsidRPr="00F959D0">
              <w:rPr>
                <w:rFonts w:ascii="Arial" w:hAnsi="Arial" w:cs="Arial"/>
                <w:b/>
                <w:bCs/>
                <w:sz w:val="17"/>
                <w:szCs w:val="17"/>
              </w:rPr>
              <w:t xml:space="preserve"> 2.563.657 </w:t>
            </w:r>
          </w:p>
        </w:tc>
      </w:tr>
      <w:tr w:rsidR="00165B1C" w:rsidRPr="00F97A44" w14:paraId="533213AC" w14:textId="77777777" w:rsidTr="00CA7F04">
        <w:trPr>
          <w:trHeight w:val="323"/>
        </w:trPr>
        <w:tc>
          <w:tcPr>
            <w:tcW w:w="3625" w:type="dxa"/>
            <w:tcMar>
              <w:top w:w="0" w:type="dxa"/>
              <w:left w:w="120" w:type="dxa"/>
              <w:bottom w:w="0" w:type="dxa"/>
              <w:right w:w="120" w:type="dxa"/>
            </w:tcMar>
            <w:vAlign w:val="bottom"/>
          </w:tcPr>
          <w:p w14:paraId="33ACA6C6" w14:textId="77777777" w:rsidR="00165B1C" w:rsidRPr="00F97A44" w:rsidRDefault="00165B1C" w:rsidP="00CA7F04">
            <w:pPr>
              <w:suppressAutoHyphens/>
              <w:autoSpaceDN w:val="0"/>
              <w:spacing w:line="240" w:lineRule="exact"/>
              <w:rPr>
                <w:rFonts w:ascii="Arial" w:hAnsi="Arial" w:cs="Arial"/>
                <w:b/>
                <w:bCs/>
                <w:color w:val="000000" w:themeColor="text1"/>
                <w:sz w:val="17"/>
                <w:szCs w:val="17"/>
              </w:rPr>
            </w:pPr>
            <w:r w:rsidRPr="00F97A44">
              <w:rPr>
                <w:rFonts w:ascii="Arial" w:hAnsi="Arial" w:cs="Arial"/>
                <w:b/>
                <w:bCs/>
                <w:color w:val="000000" w:themeColor="text1"/>
                <w:sz w:val="17"/>
                <w:szCs w:val="17"/>
              </w:rPr>
              <w:t>Valutni jaz</w:t>
            </w:r>
          </w:p>
        </w:tc>
        <w:tc>
          <w:tcPr>
            <w:tcW w:w="1461"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0186DC17" w14:textId="77777777" w:rsidR="00165B1C" w:rsidRPr="00F959D0" w:rsidRDefault="00165B1C" w:rsidP="00CA7F04">
            <w:pPr>
              <w:spacing w:line="240" w:lineRule="exact"/>
              <w:jc w:val="right"/>
              <w:rPr>
                <w:rFonts w:ascii="Arial" w:hAnsi="Arial" w:cs="Arial"/>
                <w:b/>
                <w:bCs/>
                <w:sz w:val="17"/>
                <w:szCs w:val="17"/>
              </w:rPr>
            </w:pPr>
            <w:r w:rsidRPr="00F959D0">
              <w:rPr>
                <w:rFonts w:ascii="Arial" w:hAnsi="Arial" w:cs="Arial"/>
                <w:b/>
                <w:bCs/>
                <w:sz w:val="17"/>
                <w:szCs w:val="17"/>
              </w:rPr>
              <w:t xml:space="preserve"> 1.438.577 </w:t>
            </w:r>
          </w:p>
        </w:tc>
        <w:tc>
          <w:tcPr>
            <w:tcW w:w="1461"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2DB60FE2" w14:textId="77777777" w:rsidR="00165B1C" w:rsidRPr="00F959D0" w:rsidRDefault="00165B1C" w:rsidP="00CA7F04">
            <w:pPr>
              <w:spacing w:line="240" w:lineRule="exact"/>
              <w:jc w:val="right"/>
              <w:rPr>
                <w:rFonts w:ascii="Arial" w:hAnsi="Arial" w:cs="Arial"/>
                <w:b/>
                <w:bCs/>
                <w:sz w:val="17"/>
                <w:szCs w:val="17"/>
              </w:rPr>
            </w:pPr>
            <w:r w:rsidRPr="00F959D0">
              <w:rPr>
                <w:rFonts w:ascii="Arial" w:hAnsi="Arial" w:cs="Arial"/>
                <w:b/>
                <w:bCs/>
                <w:sz w:val="17"/>
                <w:szCs w:val="17"/>
              </w:rPr>
              <w:t xml:space="preserve"> (549)</w:t>
            </w:r>
          </w:p>
        </w:tc>
        <w:tc>
          <w:tcPr>
            <w:tcW w:w="1461"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3C8C2D6A" w14:textId="77777777" w:rsidR="00165B1C" w:rsidRPr="00F959D0" w:rsidRDefault="00165B1C" w:rsidP="00CA7F04">
            <w:pPr>
              <w:spacing w:line="240" w:lineRule="exact"/>
              <w:jc w:val="right"/>
              <w:rPr>
                <w:rFonts w:ascii="Arial" w:hAnsi="Arial" w:cs="Arial"/>
                <w:b/>
                <w:bCs/>
                <w:sz w:val="17"/>
                <w:szCs w:val="17"/>
              </w:rPr>
            </w:pPr>
            <w:r w:rsidRPr="00F959D0">
              <w:rPr>
                <w:rFonts w:ascii="Arial" w:hAnsi="Arial" w:cs="Arial"/>
                <w:b/>
                <w:bCs/>
                <w:sz w:val="17"/>
                <w:szCs w:val="17"/>
              </w:rPr>
              <w:t xml:space="preserve"> 19.851 </w:t>
            </w:r>
          </w:p>
        </w:tc>
        <w:tc>
          <w:tcPr>
            <w:tcW w:w="1461" w:type="dxa"/>
            <w:tcBorders>
              <w:top w:val="single" w:sz="12" w:space="0" w:color="auto"/>
              <w:left w:val="nil"/>
              <w:bottom w:val="single" w:sz="12" w:space="0" w:color="auto"/>
            </w:tcBorders>
            <w:shd w:val="clear" w:color="000000" w:fill="auto"/>
            <w:tcMar>
              <w:top w:w="0" w:type="dxa"/>
              <w:left w:w="120" w:type="dxa"/>
              <w:bottom w:w="0" w:type="dxa"/>
              <w:right w:w="120" w:type="dxa"/>
            </w:tcMar>
            <w:vAlign w:val="bottom"/>
          </w:tcPr>
          <w:p w14:paraId="68B71874" w14:textId="77777777" w:rsidR="00165B1C" w:rsidRPr="00F959D0" w:rsidRDefault="00165B1C" w:rsidP="00CA7F04">
            <w:pPr>
              <w:spacing w:line="240" w:lineRule="exact"/>
              <w:jc w:val="right"/>
              <w:rPr>
                <w:rFonts w:ascii="Arial" w:hAnsi="Arial" w:cs="Arial"/>
                <w:b/>
                <w:bCs/>
                <w:sz w:val="17"/>
                <w:szCs w:val="17"/>
              </w:rPr>
            </w:pPr>
            <w:r w:rsidRPr="00F959D0">
              <w:rPr>
                <w:rFonts w:ascii="Arial" w:hAnsi="Arial" w:cs="Arial"/>
                <w:b/>
                <w:bCs/>
                <w:sz w:val="17"/>
                <w:szCs w:val="17"/>
              </w:rPr>
              <w:t xml:space="preserve"> 1.457.879 </w:t>
            </w:r>
          </w:p>
        </w:tc>
      </w:tr>
    </w:tbl>
    <w:p w14:paraId="375B78C7" w14:textId="77777777" w:rsidR="006A67A0" w:rsidRPr="003D1614" w:rsidRDefault="006A67A0" w:rsidP="006A67A0">
      <w:pPr>
        <w:tabs>
          <w:tab w:val="right" w:pos="1202"/>
        </w:tabs>
        <w:suppressAutoHyphens/>
        <w:autoSpaceDN w:val="0"/>
        <w:outlineLvl w:val="0"/>
        <w:rPr>
          <w:rFonts w:ascii="Arial" w:eastAsia="Times New Roman" w:hAnsi="Arial" w:cs="Arial"/>
          <w:i/>
          <w:color w:val="000000" w:themeColor="text1"/>
          <w:sz w:val="20"/>
          <w:szCs w:val="20"/>
        </w:rPr>
      </w:pPr>
    </w:p>
    <w:p w14:paraId="4B352D94" w14:textId="77777777" w:rsidR="006A67A0" w:rsidRPr="003D1614" w:rsidRDefault="006A67A0" w:rsidP="006A67A0">
      <w:pPr>
        <w:tabs>
          <w:tab w:val="right" w:pos="1202"/>
        </w:tabs>
        <w:suppressAutoHyphens/>
        <w:autoSpaceDN w:val="0"/>
        <w:outlineLvl w:val="0"/>
        <w:rPr>
          <w:rFonts w:ascii="Arial" w:eastAsia="Times New Roman" w:hAnsi="Arial" w:cs="Arial"/>
          <w:i/>
          <w:color w:val="000000" w:themeColor="text1"/>
          <w:sz w:val="20"/>
          <w:szCs w:val="20"/>
        </w:rPr>
      </w:pPr>
    </w:p>
    <w:p w14:paraId="522264F3" w14:textId="60A975AC" w:rsidR="006A67A0" w:rsidRPr="003D1614" w:rsidRDefault="006A67A0" w:rsidP="006A67A0">
      <w:pPr>
        <w:tabs>
          <w:tab w:val="right" w:pos="1202"/>
        </w:tabs>
        <w:suppressAutoHyphens/>
        <w:autoSpaceDN w:val="0"/>
        <w:jc w:val="both"/>
        <w:outlineLvl w:val="0"/>
        <w:rPr>
          <w:rFonts w:ascii="Arial" w:eastAsia="Times New Roman" w:hAnsi="Arial" w:cs="Arial"/>
          <w:bCs/>
          <w:i/>
          <w:color w:val="000000" w:themeColor="text1"/>
          <w:sz w:val="18"/>
          <w:szCs w:val="18"/>
        </w:rPr>
      </w:pPr>
      <w:r w:rsidRPr="003D1614">
        <w:rPr>
          <w:rFonts w:ascii="Arial" w:eastAsia="Times New Roman" w:hAnsi="Arial" w:cs="Arial"/>
          <w:i/>
          <w:color w:val="000000" w:themeColor="text1"/>
          <w:sz w:val="18"/>
          <w:szCs w:val="18"/>
        </w:rPr>
        <w:t xml:space="preserve"> </w:t>
      </w:r>
    </w:p>
    <w:p w14:paraId="41968C9F" w14:textId="615157D0" w:rsidR="006A67A0" w:rsidRPr="003D1614" w:rsidRDefault="006A67A0" w:rsidP="006A67A0">
      <w:pPr>
        <w:tabs>
          <w:tab w:val="right" w:pos="1202"/>
        </w:tabs>
        <w:suppressAutoHyphens/>
        <w:autoSpaceDN w:val="0"/>
        <w:jc w:val="both"/>
        <w:outlineLvl w:val="0"/>
        <w:rPr>
          <w:rFonts w:ascii="Arial" w:eastAsia="Times New Roman" w:hAnsi="Arial" w:cs="Arial"/>
          <w:bCs/>
          <w:i/>
          <w:color w:val="000000" w:themeColor="text1"/>
          <w:sz w:val="18"/>
          <w:szCs w:val="18"/>
        </w:rPr>
      </w:pPr>
    </w:p>
    <w:p w14:paraId="61B9C38C" w14:textId="77777777" w:rsidR="006A67A0" w:rsidRPr="003D1614" w:rsidRDefault="006A67A0" w:rsidP="006A67A0">
      <w:pPr>
        <w:tabs>
          <w:tab w:val="right" w:pos="1202"/>
        </w:tabs>
        <w:suppressAutoHyphens/>
        <w:autoSpaceDN w:val="0"/>
        <w:jc w:val="both"/>
        <w:outlineLvl w:val="0"/>
        <w:rPr>
          <w:rFonts w:ascii="Arial" w:eastAsia="Times New Roman" w:hAnsi="Arial" w:cs="Arial"/>
          <w:bCs/>
          <w:i/>
          <w:color w:val="000000" w:themeColor="text1"/>
          <w:sz w:val="18"/>
          <w:szCs w:val="18"/>
        </w:rPr>
        <w:sectPr w:rsidR="006A67A0" w:rsidRPr="003D1614" w:rsidSect="003278AB">
          <w:pgSz w:w="11906" w:h="16838"/>
          <w:pgMar w:top="1417" w:right="1417" w:bottom="1417" w:left="1417" w:header="708" w:footer="708" w:gutter="0"/>
          <w:cols w:space="708"/>
          <w:docGrid w:linePitch="360"/>
        </w:sectPr>
      </w:pPr>
    </w:p>
    <w:p w14:paraId="2937A8DC" w14:textId="77777777" w:rsidR="006A67A0" w:rsidRPr="003D1614" w:rsidRDefault="006A67A0" w:rsidP="006A67A0">
      <w:pPr>
        <w:keepNext/>
        <w:suppressAutoHyphens/>
        <w:autoSpaceDN w:val="0"/>
        <w:jc w:val="both"/>
        <w:outlineLvl w:val="0"/>
        <w:rPr>
          <w:rFonts w:ascii="Arial" w:eastAsia="Times New Roman" w:hAnsi="Arial" w:cs="Arial"/>
          <w:b/>
          <w:bCs/>
          <w:color w:val="000000" w:themeColor="text1"/>
          <w:sz w:val="20"/>
          <w:szCs w:val="20"/>
        </w:rPr>
      </w:pPr>
    </w:p>
    <w:p w14:paraId="5755CA06" w14:textId="64DAB721"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11343AAC"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1BBBA0F1" w14:textId="4A0F5CDB"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081A09D5"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69F7E068" w14:textId="6280BC31"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.5.2.  Valutni rizik</w:t>
      </w:r>
    </w:p>
    <w:p w14:paraId="6568E02D" w14:textId="77777777" w:rsidR="006A67A0" w:rsidRPr="003D1614" w:rsidRDefault="006A67A0" w:rsidP="006A67A0">
      <w:pPr>
        <w:suppressAutoHyphens/>
        <w:autoSpaceDN w:val="0"/>
        <w:jc w:val="both"/>
        <w:rPr>
          <w:rFonts w:ascii="Arial" w:eastAsia="Times New Roman" w:hAnsi="Arial" w:cs="Arial"/>
          <w:color w:val="000000" w:themeColor="text1"/>
          <w:sz w:val="20"/>
          <w:szCs w:val="20"/>
        </w:rPr>
      </w:pPr>
    </w:p>
    <w:p w14:paraId="036D1BDB" w14:textId="56806100" w:rsidR="006A67A0" w:rsidRPr="003D1614" w:rsidRDefault="006A67A0" w:rsidP="006A67A0">
      <w:pPr>
        <w:keepNext/>
        <w:suppressAutoHyphens/>
        <w:autoSpaceDN w:val="0"/>
        <w:jc w:val="both"/>
        <w:outlineLvl w:val="0"/>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Iznos ukupne imovine i ukupnih obveza na dan 31. ožujka 202</w:t>
      </w:r>
      <w:r w:rsidR="00165B1C">
        <w:rPr>
          <w:rFonts w:ascii="Arial" w:eastAsia="Times New Roman" w:hAnsi="Arial" w:cs="Arial"/>
          <w:color w:val="000000" w:themeColor="text1"/>
          <w:sz w:val="20"/>
          <w:szCs w:val="20"/>
        </w:rPr>
        <w:t>4</w:t>
      </w:r>
      <w:r w:rsidRPr="003D1614">
        <w:rPr>
          <w:rFonts w:ascii="Arial" w:eastAsia="Times New Roman" w:hAnsi="Arial" w:cs="Arial"/>
          <w:color w:val="000000" w:themeColor="text1"/>
          <w:sz w:val="20"/>
          <w:szCs w:val="20"/>
        </w:rPr>
        <w:t>. i 31. prosinca 202</w:t>
      </w:r>
      <w:r w:rsidR="00165B1C">
        <w:rPr>
          <w:rFonts w:ascii="Arial" w:eastAsia="Times New Roman" w:hAnsi="Arial" w:cs="Arial"/>
          <w:color w:val="000000" w:themeColor="text1"/>
          <w:sz w:val="20"/>
          <w:szCs w:val="20"/>
        </w:rPr>
        <w:t>3</w:t>
      </w:r>
      <w:r w:rsidRPr="003D1614">
        <w:rPr>
          <w:rFonts w:ascii="Arial" w:eastAsia="Times New Roman" w:hAnsi="Arial" w:cs="Arial"/>
          <w:color w:val="000000" w:themeColor="text1"/>
          <w:sz w:val="20"/>
          <w:szCs w:val="20"/>
        </w:rPr>
        <w:t xml:space="preserve">. u </w:t>
      </w:r>
      <w:r w:rsidR="0056069E">
        <w:rPr>
          <w:rFonts w:ascii="Arial" w:eastAsia="Times New Roman" w:hAnsi="Arial" w:cs="Arial"/>
          <w:color w:val="000000" w:themeColor="text1"/>
          <w:sz w:val="20"/>
          <w:szCs w:val="20"/>
        </w:rPr>
        <w:t>eurima</w:t>
      </w:r>
      <w:r w:rsidRPr="003D1614">
        <w:rPr>
          <w:rFonts w:ascii="Arial" w:eastAsia="Times New Roman" w:hAnsi="Arial" w:cs="Arial"/>
          <w:color w:val="000000" w:themeColor="text1"/>
          <w:sz w:val="20"/>
          <w:szCs w:val="20"/>
        </w:rPr>
        <w:t xml:space="preserve"> i devizama:</w:t>
      </w:r>
    </w:p>
    <w:p w14:paraId="020C2E38" w14:textId="77777777" w:rsidR="006A67A0" w:rsidRPr="003D1614" w:rsidRDefault="006A67A0" w:rsidP="006A67A0">
      <w:pPr>
        <w:tabs>
          <w:tab w:val="right" w:pos="1202"/>
        </w:tabs>
        <w:suppressAutoHyphens/>
        <w:autoSpaceDN w:val="0"/>
        <w:spacing w:line="240" w:lineRule="exact"/>
        <w:outlineLvl w:val="0"/>
        <w:rPr>
          <w:rFonts w:ascii="Arial" w:eastAsia="Times New Roman" w:hAnsi="Arial" w:cs="Arial"/>
          <w:b/>
          <w:bCs/>
          <w:color w:val="000000" w:themeColor="text1"/>
          <w:sz w:val="20"/>
          <w:szCs w:val="20"/>
        </w:rPr>
      </w:pPr>
    </w:p>
    <w:p w14:paraId="7FA4DB51"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20"/>
          <w:szCs w:val="20"/>
        </w:rPr>
      </w:pPr>
    </w:p>
    <w:tbl>
      <w:tblPr>
        <w:tblpPr w:leftFromText="180" w:rightFromText="180" w:vertAnchor="page" w:horzAnchor="margin" w:tblpY="4426"/>
        <w:tblW w:w="5000" w:type="pct"/>
        <w:tblLayout w:type="fixed"/>
        <w:tblCellMar>
          <w:left w:w="120" w:type="dxa"/>
          <w:right w:w="120" w:type="dxa"/>
        </w:tblCellMar>
        <w:tblLook w:val="0000" w:firstRow="0" w:lastRow="0" w:firstColumn="0" w:lastColumn="0" w:noHBand="0" w:noVBand="0"/>
      </w:tblPr>
      <w:tblGrid>
        <w:gridCol w:w="3472"/>
        <w:gridCol w:w="1401"/>
        <w:gridCol w:w="1401"/>
        <w:gridCol w:w="1401"/>
        <w:gridCol w:w="1397"/>
      </w:tblGrid>
      <w:tr w:rsidR="006A2FE0" w:rsidRPr="003D1614" w14:paraId="6C6B9DA0" w14:textId="77777777" w:rsidTr="0008792D">
        <w:trPr>
          <w:trHeight w:val="380"/>
        </w:trPr>
        <w:tc>
          <w:tcPr>
            <w:tcW w:w="1914" w:type="pct"/>
            <w:vAlign w:val="bottom"/>
          </w:tcPr>
          <w:p w14:paraId="5CA53244" w14:textId="77777777" w:rsidR="006A2FE0" w:rsidRPr="003D1614" w:rsidRDefault="006A2FE0" w:rsidP="0008792D">
            <w:pPr>
              <w:tabs>
                <w:tab w:val="right" w:pos="1202"/>
              </w:tabs>
              <w:suppressAutoHyphens/>
              <w:autoSpaceDN w:val="0"/>
              <w:spacing w:line="220" w:lineRule="exact"/>
              <w:outlineLvl w:val="0"/>
              <w:rPr>
                <w:rFonts w:ascii="Arial" w:eastAsia="Times New Roman" w:hAnsi="Arial" w:cs="Arial"/>
                <w:b/>
                <w:color w:val="000000" w:themeColor="text1"/>
                <w:sz w:val="17"/>
                <w:szCs w:val="17"/>
              </w:rPr>
            </w:pPr>
            <w:bookmarkStart w:id="965" w:name="_Toc67330752"/>
            <w:r w:rsidRPr="003D1614">
              <w:rPr>
                <w:rFonts w:ascii="Arial" w:eastAsia="Times New Roman" w:hAnsi="Arial" w:cs="Arial"/>
                <w:b/>
                <w:color w:val="000000" w:themeColor="text1"/>
                <w:sz w:val="17"/>
                <w:szCs w:val="17"/>
              </w:rPr>
              <w:t>Banka</w:t>
            </w:r>
            <w:bookmarkEnd w:id="965"/>
          </w:p>
          <w:p w14:paraId="4886556F" w14:textId="77777777" w:rsidR="006A2FE0" w:rsidRPr="003D1614" w:rsidRDefault="006A2FE0" w:rsidP="0008792D">
            <w:pPr>
              <w:tabs>
                <w:tab w:val="right" w:pos="1202"/>
              </w:tabs>
              <w:suppressAutoHyphens/>
              <w:autoSpaceDN w:val="0"/>
              <w:spacing w:line="220" w:lineRule="exact"/>
              <w:outlineLvl w:val="0"/>
              <w:rPr>
                <w:rFonts w:ascii="Arial" w:eastAsia="Times New Roman" w:hAnsi="Arial" w:cs="Arial"/>
                <w:b/>
                <w:color w:val="000000" w:themeColor="text1"/>
                <w:sz w:val="17"/>
                <w:szCs w:val="17"/>
              </w:rPr>
            </w:pPr>
          </w:p>
          <w:p w14:paraId="64887164" w14:textId="77777777" w:rsidR="006A2FE0" w:rsidRPr="003D1614" w:rsidRDefault="006A2FE0" w:rsidP="0008792D">
            <w:pPr>
              <w:tabs>
                <w:tab w:val="right" w:pos="1202"/>
              </w:tabs>
              <w:suppressAutoHyphens/>
              <w:autoSpaceDN w:val="0"/>
              <w:spacing w:line="220" w:lineRule="exact"/>
              <w:outlineLvl w:val="0"/>
              <w:rPr>
                <w:rFonts w:ascii="Arial" w:eastAsia="Times New Roman" w:hAnsi="Arial" w:cs="Arial"/>
                <w:b/>
                <w:color w:val="000000" w:themeColor="text1"/>
                <w:sz w:val="17"/>
                <w:szCs w:val="17"/>
              </w:rPr>
            </w:pPr>
            <w:bookmarkStart w:id="966" w:name="_Toc67330753"/>
            <w:r w:rsidRPr="003D1614">
              <w:rPr>
                <w:rFonts w:ascii="Arial" w:eastAsia="Times New Roman" w:hAnsi="Arial" w:cs="Arial"/>
                <w:b/>
                <w:color w:val="000000" w:themeColor="text1"/>
                <w:sz w:val="17"/>
                <w:szCs w:val="17"/>
              </w:rPr>
              <w:t>31. ožujka 202</w:t>
            </w:r>
            <w:r>
              <w:rPr>
                <w:rFonts w:ascii="Arial" w:eastAsia="Times New Roman" w:hAnsi="Arial" w:cs="Arial"/>
                <w:b/>
                <w:color w:val="000000" w:themeColor="text1"/>
                <w:sz w:val="17"/>
                <w:szCs w:val="17"/>
              </w:rPr>
              <w:t>4</w:t>
            </w:r>
            <w:r w:rsidRPr="003D1614">
              <w:rPr>
                <w:rFonts w:ascii="Arial" w:eastAsia="Times New Roman" w:hAnsi="Arial" w:cs="Arial"/>
                <w:b/>
                <w:color w:val="000000" w:themeColor="text1"/>
                <w:sz w:val="17"/>
                <w:szCs w:val="17"/>
              </w:rPr>
              <w:t>.</w:t>
            </w:r>
            <w:bookmarkEnd w:id="966"/>
            <w:r w:rsidRPr="003D1614">
              <w:rPr>
                <w:rFonts w:ascii="Arial" w:eastAsia="Times New Roman" w:hAnsi="Arial" w:cs="Arial"/>
                <w:b/>
                <w:color w:val="000000" w:themeColor="text1"/>
                <w:sz w:val="17"/>
                <w:szCs w:val="17"/>
              </w:rPr>
              <w:t xml:space="preserve"> </w:t>
            </w:r>
          </w:p>
        </w:tc>
        <w:tc>
          <w:tcPr>
            <w:tcW w:w="772" w:type="pct"/>
          </w:tcPr>
          <w:p w14:paraId="61730303" w14:textId="77777777" w:rsidR="006A2FE0" w:rsidRPr="003D1614" w:rsidRDefault="006A2FE0" w:rsidP="0008792D">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Pr>
                <w:rFonts w:ascii="Arial" w:eastAsia="Times New Roman" w:hAnsi="Arial" w:cs="Arial"/>
                <w:b/>
                <w:color w:val="000000" w:themeColor="text1"/>
                <w:sz w:val="17"/>
                <w:szCs w:val="17"/>
              </w:rPr>
              <w:t>EUR</w:t>
            </w:r>
          </w:p>
        </w:tc>
        <w:tc>
          <w:tcPr>
            <w:tcW w:w="772" w:type="pct"/>
          </w:tcPr>
          <w:p w14:paraId="14476355" w14:textId="77777777" w:rsidR="006A2FE0" w:rsidRPr="0056069E" w:rsidRDefault="006A2FE0" w:rsidP="0008792D">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r>
              <w:rPr>
                <w:rFonts w:ascii="Arial" w:eastAsia="Times New Roman" w:hAnsi="Arial" w:cs="Arial"/>
                <w:b/>
                <w:color w:val="000000" w:themeColor="text1"/>
                <w:sz w:val="17"/>
                <w:szCs w:val="17"/>
              </w:rPr>
              <w:t>USD</w:t>
            </w:r>
            <w:r w:rsidRPr="0056069E">
              <w:rPr>
                <w:rFonts w:ascii="Arial" w:eastAsia="Times New Roman" w:hAnsi="Arial" w:cs="Arial"/>
                <w:b/>
                <w:color w:val="000000" w:themeColor="text1"/>
                <w:sz w:val="17"/>
                <w:szCs w:val="17"/>
              </w:rPr>
              <w:t xml:space="preserve"> </w:t>
            </w:r>
          </w:p>
        </w:tc>
        <w:tc>
          <w:tcPr>
            <w:tcW w:w="772" w:type="pct"/>
          </w:tcPr>
          <w:p w14:paraId="11BA742C" w14:textId="77777777" w:rsidR="006A2FE0" w:rsidRPr="003D1614" w:rsidRDefault="006A2FE0" w:rsidP="0008792D">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967" w:name="_Toc67330756"/>
            <w:r w:rsidRPr="003D1614">
              <w:rPr>
                <w:rFonts w:ascii="Arial" w:eastAsia="Times New Roman" w:hAnsi="Arial" w:cs="Arial"/>
                <w:b/>
                <w:color w:val="000000" w:themeColor="text1"/>
                <w:sz w:val="17"/>
                <w:szCs w:val="17"/>
              </w:rPr>
              <w:t>Ostale valute</w:t>
            </w:r>
            <w:bookmarkEnd w:id="967"/>
          </w:p>
        </w:tc>
        <w:tc>
          <w:tcPr>
            <w:tcW w:w="770" w:type="pct"/>
          </w:tcPr>
          <w:p w14:paraId="3907699E" w14:textId="77777777" w:rsidR="006A2FE0" w:rsidRPr="003D1614" w:rsidRDefault="006A2FE0" w:rsidP="0008792D">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968" w:name="_Toc67330759"/>
            <w:r w:rsidRPr="003D1614">
              <w:rPr>
                <w:rFonts w:ascii="Arial" w:eastAsia="Times New Roman" w:hAnsi="Arial" w:cs="Arial"/>
                <w:b/>
                <w:color w:val="000000" w:themeColor="text1"/>
                <w:sz w:val="17"/>
                <w:szCs w:val="17"/>
              </w:rPr>
              <w:t>Ukupno</w:t>
            </w:r>
            <w:bookmarkEnd w:id="968"/>
          </w:p>
        </w:tc>
      </w:tr>
      <w:tr w:rsidR="006A2FE0" w:rsidRPr="003D1614" w14:paraId="1F1833A8" w14:textId="77777777" w:rsidTr="0008792D">
        <w:trPr>
          <w:trHeight w:hRule="exact" w:val="201"/>
        </w:trPr>
        <w:tc>
          <w:tcPr>
            <w:tcW w:w="1914" w:type="pct"/>
          </w:tcPr>
          <w:p w14:paraId="778AEB0C" w14:textId="77777777" w:rsidR="006A2FE0" w:rsidRPr="003D1614" w:rsidRDefault="006A2FE0" w:rsidP="0008792D">
            <w:pPr>
              <w:tabs>
                <w:tab w:val="right" w:pos="1202"/>
              </w:tabs>
              <w:suppressAutoHyphens/>
              <w:autoSpaceDN w:val="0"/>
              <w:spacing w:line="220" w:lineRule="exact"/>
              <w:outlineLvl w:val="0"/>
              <w:rPr>
                <w:rFonts w:ascii="Arial" w:eastAsia="Times New Roman" w:hAnsi="Arial" w:cs="Arial"/>
                <w:b/>
                <w:color w:val="000000" w:themeColor="text1"/>
                <w:sz w:val="17"/>
                <w:szCs w:val="17"/>
              </w:rPr>
            </w:pPr>
          </w:p>
        </w:tc>
        <w:tc>
          <w:tcPr>
            <w:tcW w:w="772" w:type="pct"/>
          </w:tcPr>
          <w:p w14:paraId="2768292A" w14:textId="77777777" w:rsidR="006A2FE0" w:rsidRPr="003D1614" w:rsidRDefault="006A2FE0" w:rsidP="0008792D">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969" w:name="_Toc67330760"/>
            <w:r w:rsidRPr="003D1614">
              <w:rPr>
                <w:rFonts w:ascii="Arial" w:eastAsia="Times New Roman" w:hAnsi="Arial" w:cs="Arial"/>
                <w:b/>
                <w:color w:val="000000" w:themeColor="text1"/>
                <w:sz w:val="17"/>
                <w:szCs w:val="17"/>
              </w:rPr>
              <w:t>000 eura</w:t>
            </w:r>
            <w:bookmarkEnd w:id="969"/>
          </w:p>
        </w:tc>
        <w:tc>
          <w:tcPr>
            <w:tcW w:w="772" w:type="pct"/>
          </w:tcPr>
          <w:p w14:paraId="62000932" w14:textId="77777777" w:rsidR="006A2FE0" w:rsidRPr="0056069E" w:rsidRDefault="006A2FE0" w:rsidP="0008792D">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970" w:name="_Toc67330761"/>
            <w:r w:rsidRPr="0056069E">
              <w:rPr>
                <w:rFonts w:ascii="Arial" w:eastAsia="Times New Roman" w:hAnsi="Arial" w:cs="Arial"/>
                <w:b/>
                <w:color w:val="000000" w:themeColor="text1"/>
                <w:sz w:val="17"/>
                <w:szCs w:val="17"/>
              </w:rPr>
              <w:t>000 eura</w:t>
            </w:r>
            <w:bookmarkEnd w:id="970"/>
          </w:p>
        </w:tc>
        <w:tc>
          <w:tcPr>
            <w:tcW w:w="772" w:type="pct"/>
          </w:tcPr>
          <w:p w14:paraId="366DB44F" w14:textId="77777777" w:rsidR="006A2FE0" w:rsidRPr="003D1614" w:rsidRDefault="006A2FE0" w:rsidP="0008792D">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971" w:name="_Toc67330762"/>
            <w:r w:rsidRPr="003D1614">
              <w:rPr>
                <w:rFonts w:ascii="Arial" w:eastAsia="Times New Roman" w:hAnsi="Arial" w:cs="Arial"/>
                <w:b/>
                <w:color w:val="000000" w:themeColor="text1"/>
                <w:sz w:val="17"/>
                <w:szCs w:val="17"/>
              </w:rPr>
              <w:t>000 eura</w:t>
            </w:r>
            <w:bookmarkEnd w:id="971"/>
          </w:p>
        </w:tc>
        <w:tc>
          <w:tcPr>
            <w:tcW w:w="770" w:type="pct"/>
          </w:tcPr>
          <w:p w14:paraId="29AAF8D1" w14:textId="77777777" w:rsidR="006A2FE0" w:rsidRPr="003D1614" w:rsidRDefault="006A2FE0" w:rsidP="0008792D">
            <w:pPr>
              <w:tabs>
                <w:tab w:val="right" w:pos="1202"/>
              </w:tabs>
              <w:suppressAutoHyphens/>
              <w:autoSpaceDN w:val="0"/>
              <w:spacing w:line="220" w:lineRule="exact"/>
              <w:jc w:val="right"/>
              <w:outlineLvl w:val="0"/>
              <w:rPr>
                <w:rFonts w:ascii="Arial" w:eastAsia="Times New Roman" w:hAnsi="Arial" w:cs="Arial"/>
                <w:b/>
                <w:color w:val="000000" w:themeColor="text1"/>
                <w:sz w:val="17"/>
                <w:szCs w:val="17"/>
              </w:rPr>
            </w:pPr>
            <w:bookmarkStart w:id="972" w:name="_Toc67330765"/>
            <w:r w:rsidRPr="003D1614">
              <w:rPr>
                <w:rFonts w:ascii="Arial" w:eastAsia="Times New Roman" w:hAnsi="Arial" w:cs="Arial"/>
                <w:b/>
                <w:color w:val="000000" w:themeColor="text1"/>
                <w:sz w:val="17"/>
                <w:szCs w:val="17"/>
              </w:rPr>
              <w:t>000 eura</w:t>
            </w:r>
            <w:bookmarkEnd w:id="972"/>
          </w:p>
        </w:tc>
      </w:tr>
      <w:tr w:rsidR="006A2FE0" w:rsidRPr="003D1614" w14:paraId="67868F9F" w14:textId="77777777" w:rsidTr="0008792D">
        <w:trPr>
          <w:trHeight w:val="248"/>
        </w:trPr>
        <w:tc>
          <w:tcPr>
            <w:tcW w:w="1914" w:type="pct"/>
          </w:tcPr>
          <w:p w14:paraId="7E8283AD" w14:textId="77777777" w:rsidR="006A2FE0" w:rsidRPr="003D1614" w:rsidRDefault="006A2FE0" w:rsidP="0008792D">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973" w:name="_Toc67330766"/>
            <w:r w:rsidRPr="003D1614">
              <w:rPr>
                <w:rFonts w:ascii="Arial" w:eastAsia="Times New Roman" w:hAnsi="Arial" w:cs="Arial"/>
                <w:b/>
                <w:bCs/>
                <w:color w:val="000000" w:themeColor="text1"/>
                <w:sz w:val="17"/>
                <w:szCs w:val="17"/>
              </w:rPr>
              <w:t>Imovina</w:t>
            </w:r>
            <w:bookmarkEnd w:id="973"/>
          </w:p>
        </w:tc>
        <w:tc>
          <w:tcPr>
            <w:tcW w:w="772" w:type="pct"/>
            <w:vAlign w:val="bottom"/>
          </w:tcPr>
          <w:p w14:paraId="70028745" w14:textId="77777777" w:rsidR="006A2FE0" w:rsidRPr="003D1614" w:rsidRDefault="006A2FE0" w:rsidP="0008792D">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p>
        </w:tc>
        <w:tc>
          <w:tcPr>
            <w:tcW w:w="772" w:type="pct"/>
            <w:vAlign w:val="bottom"/>
          </w:tcPr>
          <w:p w14:paraId="2C0C52FC" w14:textId="77777777" w:rsidR="006A2FE0" w:rsidRPr="003D1614" w:rsidRDefault="006A2FE0" w:rsidP="0008792D">
            <w:pPr>
              <w:tabs>
                <w:tab w:val="right" w:pos="1202"/>
              </w:tabs>
              <w:suppressAutoHyphens/>
              <w:autoSpaceDN w:val="0"/>
              <w:spacing w:line="240" w:lineRule="exact"/>
              <w:jc w:val="right"/>
              <w:outlineLvl w:val="0"/>
              <w:rPr>
                <w:rFonts w:ascii="Arial" w:eastAsia="Times New Roman" w:hAnsi="Arial" w:cs="Arial"/>
                <w:b/>
                <w:bCs/>
                <w:color w:val="000000" w:themeColor="text1"/>
                <w:sz w:val="17"/>
                <w:szCs w:val="17"/>
              </w:rPr>
            </w:pPr>
          </w:p>
        </w:tc>
        <w:tc>
          <w:tcPr>
            <w:tcW w:w="772" w:type="pct"/>
            <w:vAlign w:val="bottom"/>
          </w:tcPr>
          <w:p w14:paraId="6FD85D31" w14:textId="77777777" w:rsidR="006A2FE0" w:rsidRPr="003D1614" w:rsidRDefault="006A2FE0" w:rsidP="0008792D">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p>
        </w:tc>
        <w:tc>
          <w:tcPr>
            <w:tcW w:w="770" w:type="pct"/>
            <w:vAlign w:val="bottom"/>
          </w:tcPr>
          <w:p w14:paraId="5A7C2439" w14:textId="77777777" w:rsidR="006A2FE0" w:rsidRPr="003D1614" w:rsidRDefault="006A2FE0" w:rsidP="0008792D">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p>
        </w:tc>
      </w:tr>
      <w:tr w:rsidR="006A2FE0" w:rsidRPr="003D1614" w14:paraId="4F99BD7D" w14:textId="77777777" w:rsidTr="0008792D">
        <w:trPr>
          <w:trHeight w:hRule="exact" w:val="268"/>
        </w:trPr>
        <w:tc>
          <w:tcPr>
            <w:tcW w:w="1914" w:type="pct"/>
            <w:vAlign w:val="bottom"/>
          </w:tcPr>
          <w:p w14:paraId="3040BCB3" w14:textId="77777777" w:rsidR="006A2FE0" w:rsidRPr="003D1614" w:rsidRDefault="006A2FE0" w:rsidP="0008792D">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974" w:name="_Toc67330767"/>
            <w:r w:rsidRPr="003D1614">
              <w:rPr>
                <w:rFonts w:ascii="Arial" w:eastAsia="Times New Roman" w:hAnsi="Arial" w:cs="Arial"/>
                <w:color w:val="000000" w:themeColor="text1"/>
                <w:spacing w:val="-2"/>
                <w:sz w:val="17"/>
                <w:szCs w:val="17"/>
              </w:rPr>
              <w:t>Novčana sredstva i računi kod banaka</w:t>
            </w:r>
            <w:bookmarkEnd w:id="974"/>
          </w:p>
        </w:tc>
        <w:tc>
          <w:tcPr>
            <w:tcW w:w="772" w:type="pct"/>
            <w:tcBorders>
              <w:top w:val="nil"/>
              <w:left w:val="nil"/>
              <w:right w:val="nil"/>
            </w:tcBorders>
            <w:vAlign w:val="bottom"/>
          </w:tcPr>
          <w:p w14:paraId="3E93F51F"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76.091</w:t>
            </w:r>
          </w:p>
        </w:tc>
        <w:tc>
          <w:tcPr>
            <w:tcW w:w="772" w:type="pct"/>
            <w:tcBorders>
              <w:top w:val="nil"/>
              <w:left w:val="nil"/>
              <w:right w:val="nil"/>
            </w:tcBorders>
            <w:vAlign w:val="bottom"/>
          </w:tcPr>
          <w:p w14:paraId="4D2F74C9"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842</w:t>
            </w:r>
          </w:p>
        </w:tc>
        <w:tc>
          <w:tcPr>
            <w:tcW w:w="772" w:type="pct"/>
            <w:tcBorders>
              <w:top w:val="nil"/>
              <w:left w:val="nil"/>
              <w:right w:val="nil"/>
            </w:tcBorders>
            <w:vAlign w:val="bottom"/>
          </w:tcPr>
          <w:p w14:paraId="30A02AA6"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20</w:t>
            </w:r>
          </w:p>
        </w:tc>
        <w:tc>
          <w:tcPr>
            <w:tcW w:w="770" w:type="pct"/>
            <w:tcBorders>
              <w:top w:val="nil"/>
              <w:left w:val="nil"/>
            </w:tcBorders>
            <w:vAlign w:val="bottom"/>
          </w:tcPr>
          <w:p w14:paraId="0B90DDCD"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76.953</w:t>
            </w:r>
          </w:p>
        </w:tc>
      </w:tr>
      <w:tr w:rsidR="006A2FE0" w:rsidRPr="003D1614" w14:paraId="4A5A9574" w14:textId="77777777" w:rsidTr="0008792D">
        <w:trPr>
          <w:trHeight w:hRule="exact" w:val="268"/>
        </w:trPr>
        <w:tc>
          <w:tcPr>
            <w:tcW w:w="1914" w:type="pct"/>
            <w:vAlign w:val="bottom"/>
          </w:tcPr>
          <w:p w14:paraId="58075134" w14:textId="77777777" w:rsidR="006A2FE0" w:rsidRPr="003D1614" w:rsidRDefault="006A2FE0" w:rsidP="0008792D">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975" w:name="_Toc67330768"/>
            <w:r w:rsidRPr="003D1614">
              <w:rPr>
                <w:rFonts w:ascii="Arial" w:eastAsia="Times New Roman" w:hAnsi="Arial" w:cs="Arial"/>
                <w:color w:val="000000" w:themeColor="text1"/>
                <w:spacing w:val="-2"/>
                <w:sz w:val="17"/>
                <w:szCs w:val="17"/>
              </w:rPr>
              <w:t>Depoziti kod drugih banaka</w:t>
            </w:r>
            <w:bookmarkEnd w:id="975"/>
          </w:p>
        </w:tc>
        <w:tc>
          <w:tcPr>
            <w:tcW w:w="772" w:type="pct"/>
            <w:tcBorders>
              <w:top w:val="nil"/>
              <w:left w:val="nil"/>
              <w:bottom w:val="nil"/>
              <w:right w:val="nil"/>
            </w:tcBorders>
            <w:vAlign w:val="bottom"/>
          </w:tcPr>
          <w:p w14:paraId="2BC32E34"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126.896</w:t>
            </w:r>
          </w:p>
        </w:tc>
        <w:tc>
          <w:tcPr>
            <w:tcW w:w="772" w:type="pct"/>
            <w:tcBorders>
              <w:top w:val="nil"/>
              <w:left w:val="nil"/>
              <w:bottom w:val="nil"/>
              <w:right w:val="nil"/>
            </w:tcBorders>
            <w:vAlign w:val="bottom"/>
          </w:tcPr>
          <w:p w14:paraId="79D05375"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481EB626"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0" w:type="pct"/>
            <w:tcBorders>
              <w:top w:val="nil"/>
              <w:left w:val="nil"/>
              <w:bottom w:val="nil"/>
            </w:tcBorders>
            <w:vAlign w:val="bottom"/>
          </w:tcPr>
          <w:p w14:paraId="5D3EB961"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126.896</w:t>
            </w:r>
          </w:p>
        </w:tc>
      </w:tr>
      <w:tr w:rsidR="006A2FE0" w:rsidRPr="003D1614" w14:paraId="28C9DCCB" w14:textId="77777777" w:rsidTr="0008792D">
        <w:trPr>
          <w:trHeight w:hRule="exact" w:val="268"/>
        </w:trPr>
        <w:tc>
          <w:tcPr>
            <w:tcW w:w="1914" w:type="pct"/>
            <w:vAlign w:val="bottom"/>
          </w:tcPr>
          <w:p w14:paraId="10246D78" w14:textId="77777777" w:rsidR="006A2FE0" w:rsidRPr="003D1614" w:rsidRDefault="006A2FE0" w:rsidP="0008792D">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976" w:name="_Toc67330769"/>
            <w:r w:rsidRPr="003D1614">
              <w:rPr>
                <w:rFonts w:ascii="Arial" w:eastAsia="Times New Roman" w:hAnsi="Arial" w:cs="Arial"/>
                <w:color w:val="000000" w:themeColor="text1"/>
                <w:spacing w:val="-2"/>
                <w:sz w:val="17"/>
                <w:szCs w:val="17"/>
              </w:rPr>
              <w:t>Krediti financijskim institucijama</w:t>
            </w:r>
            <w:bookmarkEnd w:id="976"/>
          </w:p>
        </w:tc>
        <w:tc>
          <w:tcPr>
            <w:tcW w:w="772" w:type="pct"/>
            <w:tcBorders>
              <w:top w:val="nil"/>
              <w:left w:val="nil"/>
              <w:bottom w:val="nil"/>
              <w:right w:val="nil"/>
            </w:tcBorders>
            <w:vAlign w:val="bottom"/>
          </w:tcPr>
          <w:p w14:paraId="60883E67"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1.138.066</w:t>
            </w:r>
          </w:p>
        </w:tc>
        <w:tc>
          <w:tcPr>
            <w:tcW w:w="772" w:type="pct"/>
            <w:tcBorders>
              <w:top w:val="nil"/>
              <w:left w:val="nil"/>
              <w:bottom w:val="nil"/>
              <w:right w:val="nil"/>
            </w:tcBorders>
            <w:vAlign w:val="bottom"/>
          </w:tcPr>
          <w:p w14:paraId="65CEDCE4"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4BFD111C"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0" w:type="pct"/>
            <w:tcBorders>
              <w:top w:val="nil"/>
              <w:left w:val="nil"/>
              <w:bottom w:val="nil"/>
            </w:tcBorders>
            <w:vAlign w:val="bottom"/>
          </w:tcPr>
          <w:p w14:paraId="468649CB"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1.138.066</w:t>
            </w:r>
          </w:p>
        </w:tc>
      </w:tr>
      <w:tr w:rsidR="006A2FE0" w:rsidRPr="003D1614" w14:paraId="38C7D62B" w14:textId="77777777" w:rsidTr="0008792D">
        <w:trPr>
          <w:trHeight w:hRule="exact" w:val="268"/>
        </w:trPr>
        <w:tc>
          <w:tcPr>
            <w:tcW w:w="1914" w:type="pct"/>
            <w:vAlign w:val="bottom"/>
          </w:tcPr>
          <w:p w14:paraId="63282EBC" w14:textId="77777777" w:rsidR="006A2FE0" w:rsidRPr="003D1614" w:rsidRDefault="006A2FE0" w:rsidP="0008792D">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977" w:name="_Toc67330770"/>
            <w:r w:rsidRPr="003D1614">
              <w:rPr>
                <w:rFonts w:ascii="Arial" w:eastAsia="Times New Roman" w:hAnsi="Arial" w:cs="Arial"/>
                <w:color w:val="000000" w:themeColor="text1"/>
                <w:spacing w:val="-2"/>
                <w:sz w:val="17"/>
                <w:szCs w:val="17"/>
              </w:rPr>
              <w:t>Krediti ostalim korisnicima</w:t>
            </w:r>
            <w:bookmarkEnd w:id="977"/>
          </w:p>
        </w:tc>
        <w:tc>
          <w:tcPr>
            <w:tcW w:w="772" w:type="pct"/>
            <w:tcBorders>
              <w:top w:val="nil"/>
              <w:left w:val="nil"/>
              <w:bottom w:val="nil"/>
              <w:right w:val="nil"/>
            </w:tcBorders>
            <w:vAlign w:val="bottom"/>
          </w:tcPr>
          <w:p w14:paraId="1795DE15"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2.286.107</w:t>
            </w:r>
          </w:p>
        </w:tc>
        <w:tc>
          <w:tcPr>
            <w:tcW w:w="772" w:type="pct"/>
            <w:tcBorders>
              <w:top w:val="nil"/>
              <w:left w:val="nil"/>
              <w:bottom w:val="nil"/>
              <w:right w:val="nil"/>
            </w:tcBorders>
            <w:vAlign w:val="bottom"/>
          </w:tcPr>
          <w:p w14:paraId="6B7581CD"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29.348</w:t>
            </w:r>
          </w:p>
        </w:tc>
        <w:tc>
          <w:tcPr>
            <w:tcW w:w="772" w:type="pct"/>
            <w:tcBorders>
              <w:top w:val="nil"/>
              <w:left w:val="nil"/>
              <w:bottom w:val="nil"/>
              <w:right w:val="nil"/>
            </w:tcBorders>
            <w:vAlign w:val="bottom"/>
          </w:tcPr>
          <w:p w14:paraId="16017BD4"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22.389</w:t>
            </w:r>
          </w:p>
        </w:tc>
        <w:tc>
          <w:tcPr>
            <w:tcW w:w="770" w:type="pct"/>
            <w:tcBorders>
              <w:top w:val="nil"/>
              <w:left w:val="nil"/>
              <w:bottom w:val="nil"/>
            </w:tcBorders>
            <w:vAlign w:val="bottom"/>
          </w:tcPr>
          <w:p w14:paraId="51F82C49"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2.337.844</w:t>
            </w:r>
          </w:p>
        </w:tc>
      </w:tr>
      <w:tr w:rsidR="006A2FE0" w:rsidRPr="003D1614" w14:paraId="586687E5" w14:textId="77777777" w:rsidTr="0008792D">
        <w:trPr>
          <w:trHeight w:hRule="exact" w:val="493"/>
        </w:trPr>
        <w:tc>
          <w:tcPr>
            <w:tcW w:w="1914" w:type="pct"/>
            <w:vAlign w:val="bottom"/>
          </w:tcPr>
          <w:p w14:paraId="65700DCE" w14:textId="77777777" w:rsidR="006A2FE0" w:rsidRPr="003D1614" w:rsidRDefault="006A2FE0" w:rsidP="0008792D">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978" w:name="_Toc67330771"/>
            <w:r w:rsidRPr="003D1614">
              <w:rPr>
                <w:rFonts w:ascii="Arial" w:eastAsia="Times New Roman" w:hAnsi="Arial" w:cs="Arial"/>
                <w:color w:val="000000" w:themeColor="text1"/>
                <w:sz w:val="17"/>
                <w:szCs w:val="17"/>
              </w:rPr>
              <w:t>Financijska imovina po fer vrijednosti kroz dobit ili gubitak</w:t>
            </w:r>
            <w:bookmarkEnd w:id="978"/>
          </w:p>
        </w:tc>
        <w:tc>
          <w:tcPr>
            <w:tcW w:w="772" w:type="pct"/>
            <w:tcBorders>
              <w:top w:val="nil"/>
              <w:left w:val="nil"/>
              <w:bottom w:val="nil"/>
              <w:right w:val="nil"/>
            </w:tcBorders>
            <w:vAlign w:val="bottom"/>
          </w:tcPr>
          <w:p w14:paraId="16CE7E0A"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49.407</w:t>
            </w:r>
          </w:p>
        </w:tc>
        <w:tc>
          <w:tcPr>
            <w:tcW w:w="772" w:type="pct"/>
            <w:tcBorders>
              <w:top w:val="nil"/>
              <w:left w:val="nil"/>
              <w:bottom w:val="nil"/>
              <w:right w:val="nil"/>
            </w:tcBorders>
            <w:vAlign w:val="bottom"/>
          </w:tcPr>
          <w:p w14:paraId="0AC6162F"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4.365</w:t>
            </w:r>
          </w:p>
        </w:tc>
        <w:tc>
          <w:tcPr>
            <w:tcW w:w="772" w:type="pct"/>
            <w:tcBorders>
              <w:top w:val="nil"/>
              <w:left w:val="nil"/>
              <w:bottom w:val="nil"/>
              <w:right w:val="nil"/>
            </w:tcBorders>
            <w:vAlign w:val="bottom"/>
          </w:tcPr>
          <w:p w14:paraId="6C4DC6AA"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0" w:type="pct"/>
            <w:tcBorders>
              <w:top w:val="nil"/>
              <w:left w:val="nil"/>
              <w:bottom w:val="nil"/>
            </w:tcBorders>
            <w:vAlign w:val="bottom"/>
          </w:tcPr>
          <w:p w14:paraId="7ECB4D6F"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53.772</w:t>
            </w:r>
          </w:p>
        </w:tc>
      </w:tr>
      <w:tr w:rsidR="006A2FE0" w:rsidRPr="003D1614" w14:paraId="5E8282DE" w14:textId="77777777" w:rsidTr="0008792D">
        <w:trPr>
          <w:trHeight w:hRule="exact" w:val="541"/>
        </w:trPr>
        <w:tc>
          <w:tcPr>
            <w:tcW w:w="1914" w:type="pct"/>
            <w:vAlign w:val="bottom"/>
          </w:tcPr>
          <w:p w14:paraId="70783DAC" w14:textId="77777777" w:rsidR="006A2FE0" w:rsidRPr="003D1614" w:rsidRDefault="006A2FE0" w:rsidP="0008792D">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979" w:name="_Toc67330772"/>
            <w:r w:rsidRPr="003D1614">
              <w:rPr>
                <w:rFonts w:ascii="Arial" w:eastAsia="Times New Roman" w:hAnsi="Arial" w:cs="Arial"/>
                <w:color w:val="000000" w:themeColor="text1"/>
                <w:sz w:val="17"/>
                <w:szCs w:val="17"/>
              </w:rPr>
              <w:t>Financijska imovina po fer vrijednosti kroz ostalu sveobuhvatnu dobit</w:t>
            </w:r>
            <w:bookmarkEnd w:id="979"/>
          </w:p>
        </w:tc>
        <w:tc>
          <w:tcPr>
            <w:tcW w:w="772" w:type="pct"/>
            <w:tcBorders>
              <w:top w:val="nil"/>
              <w:left w:val="nil"/>
              <w:bottom w:val="nil"/>
              <w:right w:val="nil"/>
            </w:tcBorders>
            <w:vAlign w:val="bottom"/>
          </w:tcPr>
          <w:p w14:paraId="4FE2D563"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239.600</w:t>
            </w:r>
          </w:p>
        </w:tc>
        <w:tc>
          <w:tcPr>
            <w:tcW w:w="772" w:type="pct"/>
            <w:tcBorders>
              <w:top w:val="nil"/>
              <w:left w:val="nil"/>
              <w:bottom w:val="nil"/>
              <w:right w:val="nil"/>
            </w:tcBorders>
            <w:vAlign w:val="bottom"/>
          </w:tcPr>
          <w:p w14:paraId="4C211201"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2BBC7E71"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0" w:type="pct"/>
            <w:tcBorders>
              <w:top w:val="nil"/>
              <w:left w:val="nil"/>
              <w:bottom w:val="nil"/>
            </w:tcBorders>
            <w:vAlign w:val="bottom"/>
          </w:tcPr>
          <w:p w14:paraId="794B72DD"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239.600</w:t>
            </w:r>
          </w:p>
        </w:tc>
      </w:tr>
      <w:tr w:rsidR="006A2FE0" w:rsidRPr="003D1614" w14:paraId="6B54A0DE" w14:textId="77777777" w:rsidTr="0008792D">
        <w:trPr>
          <w:trHeight w:hRule="exact" w:val="268"/>
        </w:trPr>
        <w:tc>
          <w:tcPr>
            <w:tcW w:w="1914" w:type="pct"/>
            <w:vAlign w:val="bottom"/>
          </w:tcPr>
          <w:p w14:paraId="4FE35EC8" w14:textId="77777777" w:rsidR="006A2FE0" w:rsidRPr="003D1614" w:rsidRDefault="006A2FE0" w:rsidP="0008792D">
            <w:pPr>
              <w:tabs>
                <w:tab w:val="right" w:pos="1202"/>
              </w:tabs>
              <w:suppressAutoHyphens/>
              <w:autoSpaceDN w:val="0"/>
              <w:spacing w:line="240" w:lineRule="exact"/>
              <w:outlineLvl w:val="0"/>
              <w:rPr>
                <w:rFonts w:ascii="Arial" w:eastAsia="Times New Roman" w:hAnsi="Arial" w:cs="Arial"/>
                <w:color w:val="000000" w:themeColor="text1"/>
                <w:spacing w:val="-2"/>
                <w:sz w:val="17"/>
                <w:szCs w:val="17"/>
              </w:rPr>
            </w:pPr>
            <w:bookmarkStart w:id="980" w:name="_Toc67330773"/>
            <w:r w:rsidRPr="003D1614">
              <w:rPr>
                <w:rFonts w:ascii="Arial" w:eastAsia="Times New Roman" w:hAnsi="Arial" w:cs="Arial"/>
                <w:color w:val="000000" w:themeColor="text1"/>
                <w:spacing w:val="-2"/>
                <w:sz w:val="17"/>
                <w:szCs w:val="17"/>
              </w:rPr>
              <w:t>Ulaganja u ovisna društva</w:t>
            </w:r>
            <w:bookmarkEnd w:id="980"/>
          </w:p>
        </w:tc>
        <w:tc>
          <w:tcPr>
            <w:tcW w:w="772" w:type="pct"/>
            <w:tcBorders>
              <w:top w:val="nil"/>
              <w:left w:val="nil"/>
              <w:bottom w:val="nil"/>
              <w:right w:val="nil"/>
            </w:tcBorders>
            <w:vAlign w:val="bottom"/>
          </w:tcPr>
          <w:p w14:paraId="60B7FA38"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7.449</w:t>
            </w:r>
          </w:p>
        </w:tc>
        <w:tc>
          <w:tcPr>
            <w:tcW w:w="772" w:type="pct"/>
            <w:tcBorders>
              <w:top w:val="nil"/>
              <w:left w:val="nil"/>
              <w:bottom w:val="nil"/>
              <w:right w:val="nil"/>
            </w:tcBorders>
            <w:vAlign w:val="bottom"/>
          </w:tcPr>
          <w:p w14:paraId="0D070ED6"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62D0EF12"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0" w:type="pct"/>
            <w:tcBorders>
              <w:top w:val="nil"/>
              <w:left w:val="nil"/>
              <w:bottom w:val="nil"/>
            </w:tcBorders>
            <w:vAlign w:val="bottom"/>
          </w:tcPr>
          <w:p w14:paraId="047082C0"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7.449</w:t>
            </w:r>
          </w:p>
        </w:tc>
      </w:tr>
      <w:tr w:rsidR="006A2FE0" w:rsidRPr="003D1614" w14:paraId="099E9A71" w14:textId="77777777" w:rsidTr="0008792D">
        <w:trPr>
          <w:trHeight w:hRule="exact" w:val="493"/>
        </w:trPr>
        <w:tc>
          <w:tcPr>
            <w:tcW w:w="1914" w:type="pct"/>
            <w:vAlign w:val="bottom"/>
          </w:tcPr>
          <w:p w14:paraId="28AC496E" w14:textId="77777777" w:rsidR="006A2FE0" w:rsidRPr="003D1614" w:rsidRDefault="006A2FE0" w:rsidP="0008792D">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981" w:name="_Toc67330774"/>
            <w:r w:rsidRPr="003D1614">
              <w:rPr>
                <w:rFonts w:ascii="Arial" w:eastAsia="Times New Roman" w:hAnsi="Arial" w:cs="Arial"/>
                <w:color w:val="000000" w:themeColor="text1"/>
                <w:spacing w:val="-2"/>
                <w:sz w:val="17"/>
                <w:szCs w:val="17"/>
              </w:rPr>
              <w:t>Nekretnine, postrojenja i oprema i nematerijalna imovina</w:t>
            </w:r>
            <w:bookmarkEnd w:id="981"/>
          </w:p>
        </w:tc>
        <w:tc>
          <w:tcPr>
            <w:tcW w:w="772" w:type="pct"/>
            <w:tcBorders>
              <w:top w:val="nil"/>
              <w:left w:val="nil"/>
              <w:bottom w:val="nil"/>
              <w:right w:val="nil"/>
            </w:tcBorders>
            <w:vAlign w:val="bottom"/>
          </w:tcPr>
          <w:p w14:paraId="7489C046"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4.685</w:t>
            </w:r>
          </w:p>
        </w:tc>
        <w:tc>
          <w:tcPr>
            <w:tcW w:w="772" w:type="pct"/>
            <w:tcBorders>
              <w:top w:val="nil"/>
              <w:left w:val="nil"/>
              <w:bottom w:val="nil"/>
              <w:right w:val="nil"/>
            </w:tcBorders>
            <w:vAlign w:val="bottom"/>
          </w:tcPr>
          <w:p w14:paraId="63A229ED"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5F2F4389"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0" w:type="pct"/>
            <w:tcBorders>
              <w:top w:val="nil"/>
              <w:left w:val="nil"/>
              <w:bottom w:val="nil"/>
            </w:tcBorders>
            <w:vAlign w:val="bottom"/>
          </w:tcPr>
          <w:p w14:paraId="333EC1D3"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4.685</w:t>
            </w:r>
          </w:p>
        </w:tc>
      </w:tr>
      <w:tr w:rsidR="006A2FE0" w:rsidRPr="003D1614" w14:paraId="43958BBF" w14:textId="77777777" w:rsidTr="0008792D">
        <w:trPr>
          <w:trHeight w:hRule="exact" w:val="281"/>
        </w:trPr>
        <w:tc>
          <w:tcPr>
            <w:tcW w:w="1914" w:type="pct"/>
            <w:vAlign w:val="bottom"/>
          </w:tcPr>
          <w:p w14:paraId="24978BE9" w14:textId="77777777" w:rsidR="006A2FE0" w:rsidRPr="003D1614" w:rsidRDefault="006A2FE0" w:rsidP="0008792D">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982" w:name="_Toc67330775"/>
            <w:r w:rsidRPr="003D1614">
              <w:rPr>
                <w:rFonts w:ascii="Arial" w:eastAsia="Times New Roman" w:hAnsi="Arial" w:cs="Arial"/>
                <w:color w:val="000000" w:themeColor="text1"/>
                <w:spacing w:val="-2"/>
                <w:sz w:val="17"/>
                <w:szCs w:val="17"/>
              </w:rPr>
              <w:t>Preuzeta imovina</w:t>
            </w:r>
            <w:bookmarkEnd w:id="982"/>
          </w:p>
        </w:tc>
        <w:tc>
          <w:tcPr>
            <w:tcW w:w="772" w:type="pct"/>
            <w:tcBorders>
              <w:top w:val="nil"/>
              <w:left w:val="nil"/>
              <w:bottom w:val="nil"/>
              <w:right w:val="nil"/>
            </w:tcBorders>
            <w:vAlign w:val="bottom"/>
          </w:tcPr>
          <w:p w14:paraId="64DF3F96"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2.141</w:t>
            </w:r>
          </w:p>
        </w:tc>
        <w:tc>
          <w:tcPr>
            <w:tcW w:w="772" w:type="pct"/>
            <w:tcBorders>
              <w:top w:val="nil"/>
              <w:left w:val="nil"/>
              <w:bottom w:val="nil"/>
              <w:right w:val="nil"/>
            </w:tcBorders>
            <w:vAlign w:val="bottom"/>
          </w:tcPr>
          <w:p w14:paraId="63974471"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3D2992EB"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0" w:type="pct"/>
            <w:tcBorders>
              <w:top w:val="nil"/>
              <w:left w:val="nil"/>
              <w:bottom w:val="nil"/>
            </w:tcBorders>
            <w:vAlign w:val="bottom"/>
          </w:tcPr>
          <w:p w14:paraId="7EF6227A"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2.141</w:t>
            </w:r>
          </w:p>
        </w:tc>
      </w:tr>
      <w:tr w:rsidR="006A2FE0" w:rsidRPr="003D1614" w14:paraId="30DCDB49" w14:textId="77777777" w:rsidTr="0008792D">
        <w:trPr>
          <w:trHeight w:hRule="exact" w:val="268"/>
        </w:trPr>
        <w:tc>
          <w:tcPr>
            <w:tcW w:w="1914" w:type="pct"/>
            <w:vAlign w:val="bottom"/>
          </w:tcPr>
          <w:p w14:paraId="5B1EE7BD" w14:textId="77777777" w:rsidR="006A2FE0" w:rsidRPr="003D1614" w:rsidRDefault="006A2FE0" w:rsidP="0008792D">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983" w:name="_Toc67330776"/>
            <w:r w:rsidRPr="003D1614">
              <w:rPr>
                <w:rFonts w:ascii="Arial" w:eastAsia="Times New Roman" w:hAnsi="Arial" w:cs="Arial"/>
                <w:color w:val="000000" w:themeColor="text1"/>
                <w:spacing w:val="-2"/>
                <w:sz w:val="17"/>
                <w:szCs w:val="17"/>
              </w:rPr>
              <w:t>Ostala imovina</w:t>
            </w:r>
            <w:bookmarkEnd w:id="983"/>
          </w:p>
        </w:tc>
        <w:tc>
          <w:tcPr>
            <w:tcW w:w="772" w:type="pct"/>
            <w:tcBorders>
              <w:top w:val="nil"/>
              <w:left w:val="nil"/>
              <w:bottom w:val="nil"/>
              <w:right w:val="nil"/>
            </w:tcBorders>
            <w:vAlign w:val="bottom"/>
          </w:tcPr>
          <w:p w14:paraId="4BAD3732"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7.250</w:t>
            </w:r>
          </w:p>
        </w:tc>
        <w:tc>
          <w:tcPr>
            <w:tcW w:w="772" w:type="pct"/>
            <w:tcBorders>
              <w:top w:val="nil"/>
              <w:left w:val="nil"/>
              <w:bottom w:val="nil"/>
              <w:right w:val="nil"/>
            </w:tcBorders>
            <w:vAlign w:val="bottom"/>
          </w:tcPr>
          <w:p w14:paraId="4F2B4477"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49EE7820"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0" w:type="pct"/>
            <w:tcBorders>
              <w:top w:val="nil"/>
              <w:left w:val="nil"/>
              <w:bottom w:val="nil"/>
            </w:tcBorders>
            <w:vAlign w:val="bottom"/>
          </w:tcPr>
          <w:p w14:paraId="5C8336DE"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7.250</w:t>
            </w:r>
          </w:p>
        </w:tc>
      </w:tr>
      <w:tr w:rsidR="006A2FE0" w:rsidRPr="003D1614" w14:paraId="6DC88002" w14:textId="77777777" w:rsidTr="0008792D">
        <w:trPr>
          <w:trHeight w:hRule="exact" w:val="268"/>
        </w:trPr>
        <w:tc>
          <w:tcPr>
            <w:tcW w:w="1914" w:type="pct"/>
            <w:vAlign w:val="bottom"/>
          </w:tcPr>
          <w:p w14:paraId="23D543EE" w14:textId="77777777" w:rsidR="006A2FE0" w:rsidRPr="003D1614" w:rsidRDefault="006A2FE0" w:rsidP="0008792D">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984" w:name="_Toc67330777"/>
            <w:r w:rsidRPr="003D1614">
              <w:rPr>
                <w:rFonts w:ascii="Arial" w:eastAsia="Times New Roman" w:hAnsi="Arial" w:cs="Arial"/>
                <w:b/>
                <w:bCs/>
                <w:color w:val="000000" w:themeColor="text1"/>
                <w:sz w:val="17"/>
                <w:szCs w:val="17"/>
              </w:rPr>
              <w:t>Ukupna imovina</w:t>
            </w:r>
            <w:bookmarkEnd w:id="984"/>
          </w:p>
        </w:tc>
        <w:tc>
          <w:tcPr>
            <w:tcW w:w="772" w:type="pct"/>
            <w:tcBorders>
              <w:top w:val="single" w:sz="4" w:space="0" w:color="000000"/>
              <w:bottom w:val="single" w:sz="8" w:space="0" w:color="000000"/>
            </w:tcBorders>
            <w:vAlign w:val="bottom"/>
          </w:tcPr>
          <w:p w14:paraId="479BD515" w14:textId="77777777" w:rsidR="006A2FE0" w:rsidRPr="00253968" w:rsidRDefault="006A2FE0" w:rsidP="0008792D">
            <w:pPr>
              <w:suppressAutoHyphens/>
              <w:autoSpaceDN w:val="0"/>
              <w:spacing w:line="240" w:lineRule="exact"/>
              <w:ind w:left="-123"/>
              <w:jc w:val="right"/>
              <w:rPr>
                <w:rFonts w:ascii="Arial" w:eastAsia="Times New Roman" w:hAnsi="Arial" w:cs="Arial"/>
                <w:b/>
                <w:bCs/>
                <w:color w:val="000000" w:themeColor="text1"/>
                <w:spacing w:val="-2"/>
                <w:sz w:val="17"/>
                <w:szCs w:val="17"/>
              </w:rPr>
            </w:pPr>
            <w:r>
              <w:rPr>
                <w:rFonts w:ascii="Arial" w:eastAsia="Times New Roman" w:hAnsi="Arial" w:cs="Arial"/>
                <w:b/>
                <w:bCs/>
                <w:color w:val="000000" w:themeColor="text1"/>
                <w:spacing w:val="-2"/>
                <w:sz w:val="17"/>
                <w:szCs w:val="17"/>
              </w:rPr>
              <w:t>3.937.692</w:t>
            </w:r>
          </w:p>
        </w:tc>
        <w:tc>
          <w:tcPr>
            <w:tcW w:w="772" w:type="pct"/>
            <w:tcBorders>
              <w:top w:val="single" w:sz="4" w:space="0" w:color="000000"/>
              <w:bottom w:val="single" w:sz="8" w:space="0" w:color="000000"/>
            </w:tcBorders>
            <w:vAlign w:val="bottom"/>
          </w:tcPr>
          <w:p w14:paraId="404A5561" w14:textId="77777777" w:rsidR="006A2FE0" w:rsidRPr="00253968" w:rsidRDefault="006A2FE0" w:rsidP="0008792D">
            <w:pPr>
              <w:suppressAutoHyphens/>
              <w:autoSpaceDN w:val="0"/>
              <w:spacing w:line="240" w:lineRule="exact"/>
              <w:ind w:left="-123"/>
              <w:jc w:val="right"/>
              <w:rPr>
                <w:rFonts w:ascii="Arial" w:eastAsia="Times New Roman" w:hAnsi="Arial" w:cs="Arial"/>
                <w:b/>
                <w:bCs/>
                <w:color w:val="000000" w:themeColor="text1"/>
                <w:spacing w:val="-2"/>
                <w:sz w:val="17"/>
                <w:szCs w:val="17"/>
              </w:rPr>
            </w:pPr>
            <w:r>
              <w:rPr>
                <w:rFonts w:ascii="Arial" w:eastAsia="Times New Roman" w:hAnsi="Arial" w:cs="Arial"/>
                <w:b/>
                <w:bCs/>
                <w:color w:val="000000" w:themeColor="text1"/>
                <w:spacing w:val="-2"/>
                <w:sz w:val="17"/>
                <w:szCs w:val="17"/>
              </w:rPr>
              <w:t>34.555</w:t>
            </w:r>
          </w:p>
        </w:tc>
        <w:tc>
          <w:tcPr>
            <w:tcW w:w="772" w:type="pct"/>
            <w:tcBorders>
              <w:top w:val="single" w:sz="4" w:space="0" w:color="000000"/>
              <w:bottom w:val="single" w:sz="8" w:space="0" w:color="000000"/>
            </w:tcBorders>
            <w:vAlign w:val="bottom"/>
          </w:tcPr>
          <w:p w14:paraId="7EBA4067" w14:textId="77777777" w:rsidR="006A2FE0" w:rsidRPr="00253968" w:rsidRDefault="006A2FE0" w:rsidP="0008792D">
            <w:pPr>
              <w:suppressAutoHyphens/>
              <w:autoSpaceDN w:val="0"/>
              <w:spacing w:line="240" w:lineRule="exact"/>
              <w:ind w:left="-123"/>
              <w:jc w:val="right"/>
              <w:rPr>
                <w:rFonts w:ascii="Arial" w:eastAsia="Times New Roman" w:hAnsi="Arial" w:cs="Arial"/>
                <w:b/>
                <w:bCs/>
                <w:color w:val="000000" w:themeColor="text1"/>
                <w:spacing w:val="-2"/>
                <w:sz w:val="17"/>
                <w:szCs w:val="17"/>
              </w:rPr>
            </w:pPr>
            <w:r>
              <w:rPr>
                <w:rFonts w:ascii="Arial" w:eastAsia="Times New Roman" w:hAnsi="Arial" w:cs="Arial"/>
                <w:b/>
                <w:bCs/>
                <w:color w:val="000000" w:themeColor="text1"/>
                <w:spacing w:val="-2"/>
                <w:sz w:val="17"/>
                <w:szCs w:val="17"/>
              </w:rPr>
              <w:t>22.409</w:t>
            </w:r>
          </w:p>
        </w:tc>
        <w:tc>
          <w:tcPr>
            <w:tcW w:w="770" w:type="pct"/>
            <w:tcBorders>
              <w:top w:val="single" w:sz="4" w:space="0" w:color="000000"/>
              <w:bottom w:val="single" w:sz="8" w:space="0" w:color="000000"/>
            </w:tcBorders>
            <w:vAlign w:val="bottom"/>
          </w:tcPr>
          <w:p w14:paraId="4A45AB46" w14:textId="77777777" w:rsidR="006A2FE0" w:rsidRPr="00253968" w:rsidRDefault="006A2FE0" w:rsidP="0008792D">
            <w:pPr>
              <w:suppressAutoHyphens/>
              <w:autoSpaceDN w:val="0"/>
              <w:spacing w:line="240" w:lineRule="exact"/>
              <w:ind w:left="-123"/>
              <w:jc w:val="right"/>
              <w:rPr>
                <w:rFonts w:ascii="Arial" w:eastAsia="Times New Roman" w:hAnsi="Arial" w:cs="Arial"/>
                <w:b/>
                <w:bCs/>
                <w:color w:val="000000" w:themeColor="text1"/>
                <w:spacing w:val="-2"/>
                <w:sz w:val="17"/>
                <w:szCs w:val="17"/>
              </w:rPr>
            </w:pPr>
            <w:r>
              <w:rPr>
                <w:rFonts w:ascii="Arial" w:eastAsia="Times New Roman" w:hAnsi="Arial" w:cs="Arial"/>
                <w:b/>
                <w:bCs/>
                <w:color w:val="000000" w:themeColor="text1"/>
                <w:spacing w:val="-2"/>
                <w:sz w:val="17"/>
                <w:szCs w:val="17"/>
              </w:rPr>
              <w:t>3.994.656</w:t>
            </w:r>
          </w:p>
        </w:tc>
      </w:tr>
      <w:tr w:rsidR="006A2FE0" w:rsidRPr="003D1614" w14:paraId="32E418EF" w14:textId="77777777" w:rsidTr="0008792D">
        <w:trPr>
          <w:trHeight w:val="235"/>
        </w:trPr>
        <w:tc>
          <w:tcPr>
            <w:tcW w:w="1914" w:type="pct"/>
            <w:vAlign w:val="bottom"/>
          </w:tcPr>
          <w:p w14:paraId="3FE3B5ED" w14:textId="77777777" w:rsidR="006A2FE0" w:rsidRPr="003D1614" w:rsidRDefault="006A2FE0" w:rsidP="0008792D">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985" w:name="_Toc67330778"/>
            <w:r w:rsidRPr="003D1614">
              <w:rPr>
                <w:rFonts w:ascii="Arial" w:eastAsia="Times New Roman" w:hAnsi="Arial" w:cs="Arial"/>
                <w:b/>
                <w:bCs/>
                <w:color w:val="000000" w:themeColor="text1"/>
                <w:sz w:val="17"/>
                <w:szCs w:val="17"/>
              </w:rPr>
              <w:t>Obveze</w:t>
            </w:r>
            <w:bookmarkEnd w:id="985"/>
          </w:p>
        </w:tc>
        <w:tc>
          <w:tcPr>
            <w:tcW w:w="772" w:type="pct"/>
            <w:tcBorders>
              <w:top w:val="single" w:sz="12" w:space="0" w:color="000000"/>
            </w:tcBorders>
            <w:vAlign w:val="bottom"/>
          </w:tcPr>
          <w:p w14:paraId="1DC71FD7" w14:textId="77777777" w:rsidR="006A2FE0" w:rsidRPr="003D1614"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p>
        </w:tc>
        <w:tc>
          <w:tcPr>
            <w:tcW w:w="772" w:type="pct"/>
            <w:tcBorders>
              <w:top w:val="single" w:sz="12" w:space="0" w:color="000000"/>
            </w:tcBorders>
            <w:vAlign w:val="bottom"/>
          </w:tcPr>
          <w:p w14:paraId="7B1D2D4E" w14:textId="77777777" w:rsidR="006A2FE0" w:rsidRPr="003D1614" w:rsidRDefault="006A2FE0" w:rsidP="0008792D">
            <w:pPr>
              <w:suppressAutoHyphens/>
              <w:autoSpaceDN w:val="0"/>
              <w:spacing w:line="240" w:lineRule="exact"/>
              <w:jc w:val="right"/>
              <w:rPr>
                <w:rFonts w:ascii="Arial" w:eastAsia="Times New Roman" w:hAnsi="Arial" w:cs="Arial"/>
                <w:color w:val="000000" w:themeColor="text1"/>
                <w:spacing w:val="-2"/>
                <w:sz w:val="17"/>
                <w:szCs w:val="17"/>
              </w:rPr>
            </w:pPr>
          </w:p>
        </w:tc>
        <w:tc>
          <w:tcPr>
            <w:tcW w:w="772" w:type="pct"/>
            <w:tcBorders>
              <w:top w:val="single" w:sz="12" w:space="0" w:color="000000"/>
            </w:tcBorders>
            <w:vAlign w:val="bottom"/>
          </w:tcPr>
          <w:p w14:paraId="295FFE00" w14:textId="77777777" w:rsidR="006A2FE0" w:rsidRPr="003D1614" w:rsidRDefault="006A2FE0" w:rsidP="0008792D">
            <w:pPr>
              <w:suppressAutoHyphens/>
              <w:autoSpaceDN w:val="0"/>
              <w:spacing w:line="240" w:lineRule="exact"/>
              <w:jc w:val="right"/>
              <w:rPr>
                <w:rFonts w:ascii="Arial" w:eastAsia="Times New Roman" w:hAnsi="Arial" w:cs="Arial"/>
                <w:color w:val="000000" w:themeColor="text1"/>
                <w:spacing w:val="-2"/>
                <w:sz w:val="17"/>
                <w:szCs w:val="17"/>
              </w:rPr>
            </w:pPr>
          </w:p>
        </w:tc>
        <w:tc>
          <w:tcPr>
            <w:tcW w:w="770" w:type="pct"/>
            <w:tcBorders>
              <w:top w:val="single" w:sz="12" w:space="0" w:color="000000"/>
            </w:tcBorders>
            <w:vAlign w:val="bottom"/>
          </w:tcPr>
          <w:p w14:paraId="62A018CB" w14:textId="77777777" w:rsidR="006A2FE0" w:rsidRPr="00253968" w:rsidRDefault="006A2FE0" w:rsidP="0008792D">
            <w:pPr>
              <w:suppressAutoHyphens/>
              <w:autoSpaceDN w:val="0"/>
              <w:spacing w:line="240" w:lineRule="exact"/>
              <w:jc w:val="right"/>
              <w:rPr>
                <w:rFonts w:ascii="Arial" w:eastAsia="Times New Roman" w:hAnsi="Arial" w:cs="Arial"/>
                <w:color w:val="000000" w:themeColor="text1"/>
                <w:spacing w:val="-2"/>
                <w:sz w:val="17"/>
                <w:szCs w:val="17"/>
              </w:rPr>
            </w:pPr>
          </w:p>
        </w:tc>
      </w:tr>
      <w:tr w:rsidR="006A2FE0" w:rsidRPr="003D1614" w14:paraId="1A83AE92" w14:textId="77777777" w:rsidTr="0008792D">
        <w:trPr>
          <w:trHeight w:hRule="exact" w:val="268"/>
        </w:trPr>
        <w:tc>
          <w:tcPr>
            <w:tcW w:w="1914" w:type="pct"/>
            <w:vAlign w:val="bottom"/>
          </w:tcPr>
          <w:p w14:paraId="739D65F5" w14:textId="77777777" w:rsidR="006A2FE0" w:rsidRPr="003D1614" w:rsidRDefault="006A2FE0" w:rsidP="0008792D">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986" w:name="_Toc67330779"/>
            <w:r w:rsidRPr="003D1614">
              <w:rPr>
                <w:rFonts w:ascii="Arial" w:eastAsia="Times New Roman" w:hAnsi="Arial" w:cs="Arial"/>
                <w:color w:val="000000" w:themeColor="text1"/>
                <w:sz w:val="17"/>
                <w:szCs w:val="17"/>
              </w:rPr>
              <w:t>Obveze po depozitima</w:t>
            </w:r>
            <w:bookmarkEnd w:id="986"/>
          </w:p>
        </w:tc>
        <w:tc>
          <w:tcPr>
            <w:tcW w:w="772" w:type="pct"/>
            <w:tcBorders>
              <w:top w:val="nil"/>
              <w:left w:val="nil"/>
              <w:bottom w:val="nil"/>
              <w:right w:val="nil"/>
            </w:tcBorders>
            <w:vAlign w:val="bottom"/>
          </w:tcPr>
          <w:p w14:paraId="785D5FBC"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162.570</w:t>
            </w:r>
          </w:p>
        </w:tc>
        <w:tc>
          <w:tcPr>
            <w:tcW w:w="772" w:type="pct"/>
            <w:tcBorders>
              <w:top w:val="nil"/>
              <w:left w:val="nil"/>
              <w:bottom w:val="nil"/>
              <w:right w:val="nil"/>
            </w:tcBorders>
            <w:vAlign w:val="bottom"/>
          </w:tcPr>
          <w:p w14:paraId="312EB9B1"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15.939</w:t>
            </w:r>
          </w:p>
        </w:tc>
        <w:tc>
          <w:tcPr>
            <w:tcW w:w="772" w:type="pct"/>
            <w:tcBorders>
              <w:top w:val="nil"/>
              <w:left w:val="nil"/>
              <w:bottom w:val="nil"/>
              <w:right w:val="nil"/>
            </w:tcBorders>
            <w:vAlign w:val="bottom"/>
          </w:tcPr>
          <w:p w14:paraId="689681A8"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0" w:type="pct"/>
            <w:tcBorders>
              <w:top w:val="nil"/>
              <w:left w:val="nil"/>
              <w:bottom w:val="nil"/>
            </w:tcBorders>
            <w:vAlign w:val="bottom"/>
          </w:tcPr>
          <w:p w14:paraId="70F8F95F"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178.509</w:t>
            </w:r>
          </w:p>
        </w:tc>
      </w:tr>
      <w:tr w:rsidR="006A2FE0" w:rsidRPr="003D1614" w14:paraId="706C396D" w14:textId="77777777" w:rsidTr="0008792D">
        <w:trPr>
          <w:trHeight w:hRule="exact" w:val="268"/>
        </w:trPr>
        <w:tc>
          <w:tcPr>
            <w:tcW w:w="1914" w:type="pct"/>
            <w:vAlign w:val="bottom"/>
          </w:tcPr>
          <w:p w14:paraId="48CCD0A9" w14:textId="77777777" w:rsidR="006A2FE0" w:rsidRPr="003D1614" w:rsidRDefault="006A2FE0" w:rsidP="0008792D">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987" w:name="_Toc67330780"/>
            <w:r w:rsidRPr="003D1614">
              <w:rPr>
                <w:rFonts w:ascii="Arial" w:eastAsia="Times New Roman" w:hAnsi="Arial" w:cs="Arial"/>
                <w:color w:val="000000" w:themeColor="text1"/>
                <w:sz w:val="17"/>
                <w:szCs w:val="17"/>
              </w:rPr>
              <w:t>Obveze po kreditima</w:t>
            </w:r>
            <w:bookmarkEnd w:id="987"/>
          </w:p>
        </w:tc>
        <w:tc>
          <w:tcPr>
            <w:tcW w:w="772" w:type="pct"/>
            <w:tcBorders>
              <w:top w:val="nil"/>
              <w:left w:val="nil"/>
              <w:bottom w:val="nil"/>
              <w:right w:val="nil"/>
            </w:tcBorders>
            <w:vAlign w:val="bottom"/>
          </w:tcPr>
          <w:p w14:paraId="746DB104"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2.209.407</w:t>
            </w:r>
          </w:p>
        </w:tc>
        <w:tc>
          <w:tcPr>
            <w:tcW w:w="772" w:type="pct"/>
            <w:tcBorders>
              <w:top w:val="nil"/>
              <w:left w:val="nil"/>
              <w:bottom w:val="nil"/>
              <w:right w:val="nil"/>
            </w:tcBorders>
            <w:vAlign w:val="bottom"/>
          </w:tcPr>
          <w:p w14:paraId="2F2CED8D"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19.922</w:t>
            </w:r>
          </w:p>
        </w:tc>
        <w:tc>
          <w:tcPr>
            <w:tcW w:w="772" w:type="pct"/>
            <w:tcBorders>
              <w:top w:val="nil"/>
              <w:left w:val="nil"/>
              <w:bottom w:val="nil"/>
              <w:right w:val="nil"/>
            </w:tcBorders>
            <w:vAlign w:val="bottom"/>
          </w:tcPr>
          <w:p w14:paraId="69A200E1"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0" w:type="pct"/>
            <w:tcBorders>
              <w:top w:val="nil"/>
              <w:left w:val="nil"/>
              <w:bottom w:val="nil"/>
            </w:tcBorders>
            <w:vAlign w:val="bottom"/>
          </w:tcPr>
          <w:p w14:paraId="07089C98"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2.229.329</w:t>
            </w:r>
          </w:p>
        </w:tc>
      </w:tr>
      <w:tr w:rsidR="006A2FE0" w:rsidRPr="003D1614" w14:paraId="574B5C70" w14:textId="77777777" w:rsidTr="0008792D">
        <w:trPr>
          <w:trHeight w:hRule="exact" w:val="439"/>
        </w:trPr>
        <w:tc>
          <w:tcPr>
            <w:tcW w:w="1914" w:type="pct"/>
            <w:vAlign w:val="bottom"/>
          </w:tcPr>
          <w:p w14:paraId="02E3EC02" w14:textId="77777777" w:rsidR="006A2FE0" w:rsidRPr="003D1614" w:rsidRDefault="006A2FE0" w:rsidP="0008792D">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988" w:name="_Toc67330782"/>
            <w:r w:rsidRPr="003D1614">
              <w:rPr>
                <w:rFonts w:ascii="Arial" w:eastAsia="Times New Roman" w:hAnsi="Arial" w:cs="Arial"/>
                <w:color w:val="000000" w:themeColor="text1"/>
                <w:sz w:val="17"/>
                <w:szCs w:val="17"/>
              </w:rPr>
              <w:t>Rezerviranja za garancije, preuzete i ostale obveze</w:t>
            </w:r>
            <w:bookmarkEnd w:id="988"/>
          </w:p>
        </w:tc>
        <w:tc>
          <w:tcPr>
            <w:tcW w:w="772" w:type="pct"/>
            <w:tcBorders>
              <w:top w:val="nil"/>
              <w:left w:val="nil"/>
              <w:bottom w:val="nil"/>
              <w:right w:val="nil"/>
            </w:tcBorders>
            <w:vAlign w:val="bottom"/>
          </w:tcPr>
          <w:p w14:paraId="7CE1C14B"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19.563</w:t>
            </w:r>
          </w:p>
        </w:tc>
        <w:tc>
          <w:tcPr>
            <w:tcW w:w="772" w:type="pct"/>
            <w:tcBorders>
              <w:top w:val="nil"/>
              <w:left w:val="nil"/>
              <w:bottom w:val="nil"/>
              <w:right w:val="nil"/>
            </w:tcBorders>
            <w:vAlign w:val="bottom"/>
          </w:tcPr>
          <w:p w14:paraId="7BC15FC4"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2" w:type="pct"/>
            <w:tcBorders>
              <w:top w:val="nil"/>
              <w:left w:val="nil"/>
              <w:bottom w:val="nil"/>
              <w:right w:val="nil"/>
            </w:tcBorders>
            <w:vAlign w:val="bottom"/>
          </w:tcPr>
          <w:p w14:paraId="4483ED58"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2.270</w:t>
            </w:r>
          </w:p>
        </w:tc>
        <w:tc>
          <w:tcPr>
            <w:tcW w:w="770" w:type="pct"/>
            <w:tcBorders>
              <w:top w:val="nil"/>
              <w:left w:val="nil"/>
              <w:bottom w:val="nil"/>
            </w:tcBorders>
            <w:vAlign w:val="bottom"/>
          </w:tcPr>
          <w:p w14:paraId="14352EA6"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21.833</w:t>
            </w:r>
          </w:p>
        </w:tc>
      </w:tr>
      <w:tr w:rsidR="006A2FE0" w:rsidRPr="003D1614" w14:paraId="696DB1AA" w14:textId="77777777" w:rsidTr="0008792D">
        <w:trPr>
          <w:trHeight w:hRule="exact" w:val="268"/>
        </w:trPr>
        <w:tc>
          <w:tcPr>
            <w:tcW w:w="1914" w:type="pct"/>
            <w:vAlign w:val="bottom"/>
          </w:tcPr>
          <w:p w14:paraId="01260F21" w14:textId="77777777" w:rsidR="006A2FE0" w:rsidRPr="003D1614" w:rsidRDefault="006A2FE0" w:rsidP="0008792D">
            <w:pPr>
              <w:tabs>
                <w:tab w:val="right" w:pos="1202"/>
              </w:tabs>
              <w:suppressAutoHyphens/>
              <w:autoSpaceDN w:val="0"/>
              <w:spacing w:line="240" w:lineRule="exact"/>
              <w:outlineLvl w:val="0"/>
              <w:rPr>
                <w:rFonts w:ascii="Arial" w:eastAsia="Times New Roman" w:hAnsi="Arial" w:cs="Arial"/>
                <w:color w:val="000000" w:themeColor="text1"/>
                <w:sz w:val="17"/>
                <w:szCs w:val="17"/>
              </w:rPr>
            </w:pPr>
            <w:bookmarkStart w:id="989" w:name="_Toc67330783"/>
            <w:r w:rsidRPr="003D1614">
              <w:rPr>
                <w:rFonts w:ascii="Arial" w:eastAsia="Times New Roman" w:hAnsi="Arial" w:cs="Arial"/>
                <w:color w:val="000000" w:themeColor="text1"/>
                <w:sz w:val="17"/>
                <w:szCs w:val="17"/>
              </w:rPr>
              <w:t>Ostale obveze</w:t>
            </w:r>
            <w:bookmarkEnd w:id="989"/>
          </w:p>
        </w:tc>
        <w:tc>
          <w:tcPr>
            <w:tcW w:w="772" w:type="pct"/>
            <w:tcBorders>
              <w:top w:val="nil"/>
              <w:left w:val="nil"/>
              <w:bottom w:val="single" w:sz="4" w:space="0" w:color="auto"/>
              <w:right w:val="nil"/>
            </w:tcBorders>
            <w:vAlign w:val="bottom"/>
          </w:tcPr>
          <w:p w14:paraId="2C1F21AF"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90.416</w:t>
            </w:r>
          </w:p>
        </w:tc>
        <w:tc>
          <w:tcPr>
            <w:tcW w:w="772" w:type="pct"/>
            <w:tcBorders>
              <w:top w:val="nil"/>
              <w:left w:val="nil"/>
              <w:bottom w:val="single" w:sz="4" w:space="0" w:color="auto"/>
              <w:right w:val="nil"/>
            </w:tcBorders>
            <w:vAlign w:val="bottom"/>
          </w:tcPr>
          <w:p w14:paraId="415BEEFF"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2" w:type="pct"/>
            <w:tcBorders>
              <w:top w:val="nil"/>
              <w:left w:val="nil"/>
              <w:bottom w:val="single" w:sz="4" w:space="0" w:color="auto"/>
              <w:right w:val="nil"/>
            </w:tcBorders>
            <w:vAlign w:val="bottom"/>
          </w:tcPr>
          <w:p w14:paraId="7EEC895B"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w:t>
            </w:r>
          </w:p>
        </w:tc>
        <w:tc>
          <w:tcPr>
            <w:tcW w:w="770" w:type="pct"/>
            <w:tcBorders>
              <w:top w:val="nil"/>
              <w:left w:val="nil"/>
              <w:bottom w:val="single" w:sz="4" w:space="0" w:color="auto"/>
            </w:tcBorders>
            <w:vAlign w:val="bottom"/>
          </w:tcPr>
          <w:p w14:paraId="535E72FA" w14:textId="77777777" w:rsidR="006A2FE0" w:rsidRPr="00253968" w:rsidRDefault="006A2FE0" w:rsidP="0008792D">
            <w:pPr>
              <w:suppressAutoHyphens/>
              <w:autoSpaceDN w:val="0"/>
              <w:spacing w:line="240" w:lineRule="exact"/>
              <w:ind w:left="-123"/>
              <w:jc w:val="right"/>
              <w:rPr>
                <w:rFonts w:ascii="Arial" w:eastAsia="Times New Roman" w:hAnsi="Arial" w:cs="Arial"/>
                <w:color w:val="000000" w:themeColor="text1"/>
                <w:spacing w:val="-2"/>
                <w:sz w:val="17"/>
                <w:szCs w:val="17"/>
              </w:rPr>
            </w:pPr>
            <w:r>
              <w:rPr>
                <w:rFonts w:ascii="Arial" w:eastAsia="Times New Roman" w:hAnsi="Arial" w:cs="Arial"/>
                <w:color w:val="000000" w:themeColor="text1"/>
                <w:spacing w:val="-2"/>
                <w:sz w:val="17"/>
                <w:szCs w:val="17"/>
              </w:rPr>
              <w:t>90.416</w:t>
            </w:r>
          </w:p>
        </w:tc>
      </w:tr>
      <w:tr w:rsidR="006A2FE0" w:rsidRPr="003D1614" w14:paraId="13468038" w14:textId="77777777" w:rsidTr="0008792D">
        <w:trPr>
          <w:trHeight w:hRule="exact" w:val="268"/>
        </w:trPr>
        <w:tc>
          <w:tcPr>
            <w:tcW w:w="1914" w:type="pct"/>
            <w:vAlign w:val="bottom"/>
          </w:tcPr>
          <w:p w14:paraId="3045C696" w14:textId="77777777" w:rsidR="006A2FE0" w:rsidRPr="003D1614" w:rsidRDefault="006A2FE0" w:rsidP="0008792D">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990" w:name="_Toc67330784"/>
            <w:r w:rsidRPr="003D1614">
              <w:rPr>
                <w:rFonts w:ascii="Arial" w:eastAsia="Times New Roman" w:hAnsi="Arial" w:cs="Arial"/>
                <w:b/>
                <w:bCs/>
                <w:color w:val="000000" w:themeColor="text1"/>
                <w:sz w:val="17"/>
                <w:szCs w:val="17"/>
              </w:rPr>
              <w:t>Ukupne obveze</w:t>
            </w:r>
            <w:bookmarkEnd w:id="990"/>
          </w:p>
        </w:tc>
        <w:tc>
          <w:tcPr>
            <w:tcW w:w="772" w:type="pct"/>
            <w:tcBorders>
              <w:top w:val="single" w:sz="4" w:space="0" w:color="auto"/>
              <w:left w:val="nil"/>
              <w:bottom w:val="single" w:sz="12" w:space="0" w:color="auto"/>
              <w:right w:val="nil"/>
            </w:tcBorders>
            <w:vAlign w:val="bottom"/>
          </w:tcPr>
          <w:p w14:paraId="7FE03DAF" w14:textId="77777777" w:rsidR="006A2FE0" w:rsidRPr="00253968" w:rsidRDefault="006A2FE0" w:rsidP="0008792D">
            <w:pPr>
              <w:suppressAutoHyphens/>
              <w:autoSpaceDN w:val="0"/>
              <w:spacing w:line="240" w:lineRule="exact"/>
              <w:ind w:left="-123"/>
              <w:jc w:val="right"/>
              <w:rPr>
                <w:rFonts w:ascii="Arial" w:eastAsia="Times New Roman" w:hAnsi="Arial" w:cs="Arial"/>
                <w:b/>
                <w:bCs/>
                <w:color w:val="000000" w:themeColor="text1"/>
                <w:spacing w:val="-2"/>
                <w:sz w:val="17"/>
                <w:szCs w:val="17"/>
              </w:rPr>
            </w:pPr>
            <w:r>
              <w:rPr>
                <w:rFonts w:ascii="Arial" w:eastAsia="Times New Roman" w:hAnsi="Arial" w:cs="Arial"/>
                <w:b/>
                <w:bCs/>
                <w:color w:val="000000" w:themeColor="text1"/>
                <w:spacing w:val="-2"/>
                <w:sz w:val="17"/>
                <w:szCs w:val="17"/>
              </w:rPr>
              <w:t>2.481.956</w:t>
            </w:r>
          </w:p>
        </w:tc>
        <w:tc>
          <w:tcPr>
            <w:tcW w:w="772" w:type="pct"/>
            <w:tcBorders>
              <w:top w:val="single" w:sz="4" w:space="0" w:color="auto"/>
              <w:left w:val="nil"/>
              <w:bottom w:val="single" w:sz="12" w:space="0" w:color="auto"/>
              <w:right w:val="nil"/>
            </w:tcBorders>
            <w:vAlign w:val="bottom"/>
          </w:tcPr>
          <w:p w14:paraId="58AB5091" w14:textId="77777777" w:rsidR="006A2FE0" w:rsidRPr="00253968" w:rsidRDefault="006A2FE0" w:rsidP="0008792D">
            <w:pPr>
              <w:suppressAutoHyphens/>
              <w:autoSpaceDN w:val="0"/>
              <w:spacing w:line="240" w:lineRule="exact"/>
              <w:ind w:left="-123"/>
              <w:jc w:val="right"/>
              <w:rPr>
                <w:rFonts w:ascii="Arial" w:eastAsia="Times New Roman" w:hAnsi="Arial" w:cs="Arial"/>
                <w:b/>
                <w:bCs/>
                <w:color w:val="000000" w:themeColor="text1"/>
                <w:spacing w:val="-2"/>
                <w:sz w:val="17"/>
                <w:szCs w:val="17"/>
              </w:rPr>
            </w:pPr>
            <w:r>
              <w:rPr>
                <w:rFonts w:ascii="Arial" w:eastAsia="Times New Roman" w:hAnsi="Arial" w:cs="Arial"/>
                <w:b/>
                <w:bCs/>
                <w:color w:val="000000" w:themeColor="text1"/>
                <w:spacing w:val="-2"/>
                <w:sz w:val="17"/>
                <w:szCs w:val="17"/>
              </w:rPr>
              <w:t>35.861</w:t>
            </w:r>
          </w:p>
        </w:tc>
        <w:tc>
          <w:tcPr>
            <w:tcW w:w="772" w:type="pct"/>
            <w:tcBorders>
              <w:top w:val="single" w:sz="4" w:space="0" w:color="auto"/>
              <w:left w:val="nil"/>
              <w:bottom w:val="single" w:sz="12" w:space="0" w:color="auto"/>
              <w:right w:val="nil"/>
            </w:tcBorders>
            <w:vAlign w:val="bottom"/>
          </w:tcPr>
          <w:p w14:paraId="3F3EBD64" w14:textId="77777777" w:rsidR="006A2FE0" w:rsidRPr="00253968" w:rsidRDefault="006A2FE0" w:rsidP="0008792D">
            <w:pPr>
              <w:suppressAutoHyphens/>
              <w:autoSpaceDN w:val="0"/>
              <w:spacing w:line="240" w:lineRule="exact"/>
              <w:ind w:left="-123"/>
              <w:jc w:val="right"/>
              <w:rPr>
                <w:rFonts w:ascii="Arial" w:eastAsia="Times New Roman" w:hAnsi="Arial" w:cs="Arial"/>
                <w:b/>
                <w:bCs/>
                <w:color w:val="000000" w:themeColor="text1"/>
                <w:spacing w:val="-2"/>
                <w:sz w:val="17"/>
                <w:szCs w:val="17"/>
              </w:rPr>
            </w:pPr>
            <w:r>
              <w:rPr>
                <w:rFonts w:ascii="Arial" w:eastAsia="Times New Roman" w:hAnsi="Arial" w:cs="Arial"/>
                <w:b/>
                <w:bCs/>
                <w:color w:val="000000" w:themeColor="text1"/>
                <w:spacing w:val="-2"/>
                <w:sz w:val="17"/>
                <w:szCs w:val="17"/>
              </w:rPr>
              <w:t>2.270</w:t>
            </w:r>
          </w:p>
        </w:tc>
        <w:tc>
          <w:tcPr>
            <w:tcW w:w="770" w:type="pct"/>
            <w:tcBorders>
              <w:top w:val="single" w:sz="4" w:space="0" w:color="auto"/>
              <w:left w:val="nil"/>
              <w:bottom w:val="single" w:sz="12" w:space="0" w:color="auto"/>
            </w:tcBorders>
            <w:vAlign w:val="bottom"/>
          </w:tcPr>
          <w:p w14:paraId="64F482B0" w14:textId="77777777" w:rsidR="006A2FE0" w:rsidRPr="00253968" w:rsidRDefault="006A2FE0" w:rsidP="0008792D">
            <w:pPr>
              <w:suppressAutoHyphens/>
              <w:autoSpaceDN w:val="0"/>
              <w:spacing w:line="240" w:lineRule="exact"/>
              <w:ind w:left="-123"/>
              <w:jc w:val="right"/>
              <w:rPr>
                <w:rFonts w:ascii="Arial" w:eastAsia="Times New Roman" w:hAnsi="Arial" w:cs="Arial"/>
                <w:b/>
                <w:bCs/>
                <w:color w:val="000000" w:themeColor="text1"/>
                <w:spacing w:val="-2"/>
                <w:sz w:val="17"/>
                <w:szCs w:val="17"/>
              </w:rPr>
            </w:pPr>
            <w:r>
              <w:rPr>
                <w:rFonts w:ascii="Arial" w:eastAsia="Times New Roman" w:hAnsi="Arial" w:cs="Arial"/>
                <w:b/>
                <w:bCs/>
                <w:color w:val="000000" w:themeColor="text1"/>
                <w:spacing w:val="-2"/>
                <w:sz w:val="17"/>
                <w:szCs w:val="17"/>
              </w:rPr>
              <w:t>2.520.087</w:t>
            </w:r>
          </w:p>
        </w:tc>
      </w:tr>
      <w:tr w:rsidR="006A2FE0" w:rsidRPr="003D1614" w14:paraId="559DA051" w14:textId="77777777" w:rsidTr="0008792D">
        <w:trPr>
          <w:trHeight w:hRule="exact" w:val="397"/>
        </w:trPr>
        <w:tc>
          <w:tcPr>
            <w:tcW w:w="1914" w:type="pct"/>
            <w:vAlign w:val="bottom"/>
          </w:tcPr>
          <w:p w14:paraId="12B19580" w14:textId="77777777" w:rsidR="006A2FE0" w:rsidRPr="003D1614" w:rsidRDefault="006A2FE0" w:rsidP="0008792D">
            <w:pPr>
              <w:tabs>
                <w:tab w:val="right" w:pos="1202"/>
              </w:tabs>
              <w:suppressAutoHyphens/>
              <w:autoSpaceDN w:val="0"/>
              <w:spacing w:line="240" w:lineRule="exact"/>
              <w:outlineLvl w:val="0"/>
              <w:rPr>
                <w:rFonts w:ascii="Arial" w:eastAsia="Times New Roman" w:hAnsi="Arial" w:cs="Arial"/>
                <w:b/>
                <w:bCs/>
                <w:color w:val="000000" w:themeColor="text1"/>
                <w:sz w:val="17"/>
                <w:szCs w:val="17"/>
              </w:rPr>
            </w:pPr>
            <w:bookmarkStart w:id="991" w:name="_Toc67330785"/>
            <w:r w:rsidRPr="003D1614">
              <w:rPr>
                <w:rFonts w:ascii="Arial" w:eastAsia="Times New Roman" w:hAnsi="Arial" w:cs="Arial"/>
                <w:b/>
                <w:bCs/>
                <w:color w:val="000000" w:themeColor="text1"/>
                <w:sz w:val="17"/>
                <w:szCs w:val="17"/>
              </w:rPr>
              <w:t>Valutni jaz</w:t>
            </w:r>
            <w:bookmarkEnd w:id="991"/>
          </w:p>
        </w:tc>
        <w:tc>
          <w:tcPr>
            <w:tcW w:w="772" w:type="pct"/>
            <w:tcBorders>
              <w:top w:val="single" w:sz="12" w:space="0" w:color="auto"/>
              <w:left w:val="nil"/>
              <w:bottom w:val="single" w:sz="12" w:space="0" w:color="auto"/>
              <w:right w:val="nil"/>
            </w:tcBorders>
            <w:shd w:val="clear" w:color="000000" w:fill="auto"/>
            <w:vAlign w:val="bottom"/>
          </w:tcPr>
          <w:p w14:paraId="41C108F8" w14:textId="77777777" w:rsidR="006A2FE0" w:rsidRPr="00253968" w:rsidRDefault="006A2FE0" w:rsidP="0008792D">
            <w:pPr>
              <w:suppressAutoHyphens/>
              <w:autoSpaceDN w:val="0"/>
              <w:spacing w:line="240" w:lineRule="exact"/>
              <w:ind w:left="-123"/>
              <w:jc w:val="right"/>
              <w:rPr>
                <w:rFonts w:ascii="Arial" w:eastAsia="Times New Roman" w:hAnsi="Arial" w:cs="Arial"/>
                <w:b/>
                <w:bCs/>
                <w:color w:val="000000" w:themeColor="text1"/>
                <w:spacing w:val="-2"/>
                <w:sz w:val="17"/>
                <w:szCs w:val="17"/>
              </w:rPr>
            </w:pPr>
            <w:r>
              <w:rPr>
                <w:rFonts w:ascii="Arial" w:eastAsia="Times New Roman" w:hAnsi="Arial" w:cs="Arial"/>
                <w:b/>
                <w:bCs/>
                <w:color w:val="000000" w:themeColor="text1"/>
                <w:spacing w:val="-2"/>
                <w:sz w:val="17"/>
                <w:szCs w:val="17"/>
              </w:rPr>
              <w:t>1.455.736</w:t>
            </w:r>
          </w:p>
        </w:tc>
        <w:tc>
          <w:tcPr>
            <w:tcW w:w="772" w:type="pct"/>
            <w:tcBorders>
              <w:top w:val="single" w:sz="12" w:space="0" w:color="auto"/>
              <w:left w:val="nil"/>
              <w:bottom w:val="single" w:sz="12" w:space="0" w:color="auto"/>
              <w:right w:val="nil"/>
            </w:tcBorders>
            <w:shd w:val="clear" w:color="000000" w:fill="auto"/>
            <w:vAlign w:val="bottom"/>
          </w:tcPr>
          <w:p w14:paraId="2581F826" w14:textId="77777777" w:rsidR="006A2FE0" w:rsidRPr="00253968" w:rsidRDefault="006A2FE0" w:rsidP="0008792D">
            <w:pPr>
              <w:suppressAutoHyphens/>
              <w:autoSpaceDN w:val="0"/>
              <w:spacing w:line="240" w:lineRule="exact"/>
              <w:ind w:left="-123"/>
              <w:jc w:val="right"/>
              <w:rPr>
                <w:rFonts w:ascii="Arial" w:eastAsia="Times New Roman" w:hAnsi="Arial" w:cs="Arial"/>
                <w:b/>
                <w:bCs/>
                <w:color w:val="000000" w:themeColor="text1"/>
                <w:spacing w:val="-2"/>
                <w:sz w:val="17"/>
                <w:szCs w:val="17"/>
              </w:rPr>
            </w:pPr>
            <w:r>
              <w:rPr>
                <w:rFonts w:ascii="Arial" w:eastAsia="Times New Roman" w:hAnsi="Arial" w:cs="Arial"/>
                <w:b/>
                <w:bCs/>
                <w:color w:val="000000" w:themeColor="text1"/>
                <w:spacing w:val="-2"/>
                <w:sz w:val="17"/>
                <w:szCs w:val="17"/>
              </w:rPr>
              <w:t>(1.306)</w:t>
            </w:r>
          </w:p>
        </w:tc>
        <w:tc>
          <w:tcPr>
            <w:tcW w:w="772" w:type="pct"/>
            <w:tcBorders>
              <w:top w:val="single" w:sz="12" w:space="0" w:color="auto"/>
              <w:left w:val="nil"/>
              <w:bottom w:val="single" w:sz="12" w:space="0" w:color="auto"/>
              <w:right w:val="nil"/>
            </w:tcBorders>
            <w:shd w:val="clear" w:color="000000" w:fill="auto"/>
            <w:vAlign w:val="bottom"/>
          </w:tcPr>
          <w:p w14:paraId="06198C6B" w14:textId="77777777" w:rsidR="006A2FE0" w:rsidRPr="00253968" w:rsidRDefault="006A2FE0" w:rsidP="0008792D">
            <w:pPr>
              <w:suppressAutoHyphens/>
              <w:autoSpaceDN w:val="0"/>
              <w:spacing w:line="240" w:lineRule="exact"/>
              <w:ind w:left="-123"/>
              <w:jc w:val="right"/>
              <w:rPr>
                <w:rFonts w:ascii="Arial" w:eastAsia="Times New Roman" w:hAnsi="Arial" w:cs="Arial"/>
                <w:b/>
                <w:bCs/>
                <w:color w:val="000000" w:themeColor="text1"/>
                <w:spacing w:val="-2"/>
                <w:sz w:val="17"/>
                <w:szCs w:val="17"/>
              </w:rPr>
            </w:pPr>
            <w:r>
              <w:rPr>
                <w:rFonts w:ascii="Arial" w:eastAsia="Times New Roman" w:hAnsi="Arial" w:cs="Arial"/>
                <w:b/>
                <w:bCs/>
                <w:color w:val="000000" w:themeColor="text1"/>
                <w:spacing w:val="-2"/>
                <w:sz w:val="17"/>
                <w:szCs w:val="17"/>
              </w:rPr>
              <w:t>20.139</w:t>
            </w:r>
          </w:p>
        </w:tc>
        <w:tc>
          <w:tcPr>
            <w:tcW w:w="770" w:type="pct"/>
            <w:tcBorders>
              <w:top w:val="single" w:sz="12" w:space="0" w:color="auto"/>
              <w:left w:val="nil"/>
              <w:bottom w:val="single" w:sz="12" w:space="0" w:color="auto"/>
            </w:tcBorders>
            <w:shd w:val="clear" w:color="000000" w:fill="auto"/>
            <w:vAlign w:val="bottom"/>
          </w:tcPr>
          <w:p w14:paraId="1D2CAAB5" w14:textId="77777777" w:rsidR="006A2FE0" w:rsidRPr="00253968" w:rsidRDefault="006A2FE0" w:rsidP="0008792D">
            <w:pPr>
              <w:suppressAutoHyphens/>
              <w:autoSpaceDN w:val="0"/>
              <w:spacing w:line="240" w:lineRule="exact"/>
              <w:ind w:left="-123"/>
              <w:jc w:val="right"/>
              <w:rPr>
                <w:rFonts w:ascii="Arial" w:eastAsia="Times New Roman" w:hAnsi="Arial" w:cs="Arial"/>
                <w:b/>
                <w:bCs/>
                <w:color w:val="000000" w:themeColor="text1"/>
                <w:spacing w:val="-2"/>
                <w:sz w:val="17"/>
                <w:szCs w:val="17"/>
              </w:rPr>
            </w:pPr>
            <w:r>
              <w:rPr>
                <w:rFonts w:ascii="Arial" w:eastAsia="Times New Roman" w:hAnsi="Arial" w:cs="Arial"/>
                <w:b/>
                <w:bCs/>
                <w:color w:val="000000" w:themeColor="text1"/>
                <w:spacing w:val="-2"/>
                <w:sz w:val="17"/>
                <w:szCs w:val="17"/>
              </w:rPr>
              <w:t>1.474.569</w:t>
            </w:r>
          </w:p>
        </w:tc>
      </w:tr>
    </w:tbl>
    <w:p w14:paraId="727EC090"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20"/>
          <w:szCs w:val="20"/>
        </w:rPr>
      </w:pPr>
    </w:p>
    <w:p w14:paraId="03AE442F"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7DC0B4EA"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6D59124F"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29896543"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3D3293F7"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71BAD8AF"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2F96166B"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51E027F4"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32FCA5CF"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26E4FA32" w14:textId="77777777" w:rsidR="0056069E" w:rsidRDefault="0056069E"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5FB19AB7"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5677C1AD" w14:textId="330A193F"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0492EBAE"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sectPr w:rsidR="006A67A0" w:rsidRPr="003D1614" w:rsidSect="003278AB">
          <w:pgSz w:w="11906" w:h="16838"/>
          <w:pgMar w:top="1417" w:right="1417" w:bottom="1417" w:left="1417" w:header="708" w:footer="708" w:gutter="0"/>
          <w:cols w:space="708"/>
          <w:docGrid w:linePitch="360"/>
        </w:sectPr>
      </w:pPr>
    </w:p>
    <w:p w14:paraId="13681C06" w14:textId="77777777" w:rsidR="006A67A0" w:rsidRPr="003D1614" w:rsidRDefault="006A67A0" w:rsidP="006A67A0">
      <w:pPr>
        <w:keepNext/>
        <w:suppressAutoHyphens/>
        <w:autoSpaceDN w:val="0"/>
        <w:jc w:val="both"/>
        <w:outlineLvl w:val="0"/>
        <w:rPr>
          <w:rFonts w:ascii="Arial" w:eastAsia="Times New Roman" w:hAnsi="Arial" w:cs="Arial"/>
          <w:b/>
          <w:bCs/>
          <w:color w:val="000000" w:themeColor="text1"/>
          <w:sz w:val="20"/>
          <w:szCs w:val="20"/>
        </w:rPr>
      </w:pPr>
    </w:p>
    <w:p w14:paraId="1C07D34B" w14:textId="18B1B675"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7341B82A"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3B430DE2" w14:textId="542334DA"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16785CDD" w14:textId="77777777"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p>
    <w:p w14:paraId="228F41E2" w14:textId="186B2CC4" w:rsidR="006A67A0" w:rsidRPr="003D1614" w:rsidRDefault="006A67A0" w:rsidP="006A67A0">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sidR="00C55B0C">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.5.2.  Valutni rizik</w:t>
      </w:r>
    </w:p>
    <w:p w14:paraId="2C580390" w14:textId="77777777" w:rsidR="006A67A0" w:rsidRPr="003D1614" w:rsidRDefault="006A67A0" w:rsidP="006A67A0">
      <w:pPr>
        <w:tabs>
          <w:tab w:val="right" w:pos="1202"/>
        </w:tabs>
        <w:suppressAutoHyphens/>
        <w:autoSpaceDN w:val="0"/>
        <w:spacing w:line="240" w:lineRule="exact"/>
        <w:outlineLvl w:val="0"/>
        <w:rPr>
          <w:rFonts w:ascii="Arial" w:eastAsia="Times New Roman" w:hAnsi="Arial" w:cs="Arial"/>
          <w:b/>
          <w:bCs/>
          <w:color w:val="000000" w:themeColor="text1"/>
          <w:sz w:val="20"/>
          <w:szCs w:val="20"/>
        </w:rPr>
      </w:pPr>
    </w:p>
    <w:p w14:paraId="478D7531"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20"/>
          <w:szCs w:val="20"/>
        </w:rPr>
      </w:pPr>
    </w:p>
    <w:tbl>
      <w:tblPr>
        <w:tblW w:w="5000" w:type="pct"/>
        <w:tblLayout w:type="fixed"/>
        <w:tblCellMar>
          <w:left w:w="10" w:type="dxa"/>
          <w:right w:w="10" w:type="dxa"/>
        </w:tblCellMar>
        <w:tblLook w:val="0000" w:firstRow="0" w:lastRow="0" w:firstColumn="0" w:lastColumn="0" w:noHBand="0" w:noVBand="0"/>
      </w:tblPr>
      <w:tblGrid>
        <w:gridCol w:w="3509"/>
        <w:gridCol w:w="1491"/>
        <w:gridCol w:w="1223"/>
        <w:gridCol w:w="1491"/>
        <w:gridCol w:w="1358"/>
      </w:tblGrid>
      <w:tr w:rsidR="005F7218" w:rsidRPr="00C145D7" w14:paraId="3DFEB54B" w14:textId="77777777" w:rsidTr="00CA7F04">
        <w:trPr>
          <w:trHeight w:val="421"/>
        </w:trPr>
        <w:tc>
          <w:tcPr>
            <w:tcW w:w="3627" w:type="dxa"/>
            <w:tcMar>
              <w:top w:w="0" w:type="dxa"/>
              <w:left w:w="120" w:type="dxa"/>
              <w:bottom w:w="0" w:type="dxa"/>
              <w:right w:w="120" w:type="dxa"/>
            </w:tcMar>
            <w:vAlign w:val="bottom"/>
          </w:tcPr>
          <w:p w14:paraId="59861DFC" w14:textId="77777777" w:rsidR="005F7218" w:rsidRPr="00C145D7" w:rsidRDefault="005F7218" w:rsidP="00CA7F04">
            <w:pPr>
              <w:tabs>
                <w:tab w:val="right" w:pos="1202"/>
              </w:tabs>
              <w:spacing w:line="220" w:lineRule="exact"/>
              <w:outlineLvl w:val="0"/>
              <w:rPr>
                <w:rFonts w:ascii="Arial" w:eastAsia="Calibri" w:hAnsi="Arial" w:cs="Arial"/>
                <w:b/>
                <w:color w:val="000000" w:themeColor="text1"/>
                <w:sz w:val="17"/>
                <w:szCs w:val="17"/>
              </w:rPr>
            </w:pPr>
            <w:r>
              <w:rPr>
                <w:rFonts w:ascii="Arial" w:eastAsia="Calibri" w:hAnsi="Arial" w:cs="Arial"/>
                <w:b/>
                <w:color w:val="000000" w:themeColor="text1"/>
                <w:sz w:val="17"/>
                <w:szCs w:val="17"/>
              </w:rPr>
              <w:t>Banka</w:t>
            </w:r>
          </w:p>
          <w:p w14:paraId="09393C45" w14:textId="77777777" w:rsidR="005F7218" w:rsidRPr="00C145D7" w:rsidRDefault="005F7218" w:rsidP="00CA7F04">
            <w:pPr>
              <w:tabs>
                <w:tab w:val="right" w:pos="1202"/>
              </w:tabs>
              <w:spacing w:line="220" w:lineRule="exact"/>
              <w:outlineLvl w:val="0"/>
              <w:rPr>
                <w:rFonts w:ascii="Arial" w:eastAsia="Calibri" w:hAnsi="Arial" w:cs="Arial"/>
                <w:b/>
                <w:color w:val="000000" w:themeColor="text1"/>
                <w:sz w:val="17"/>
                <w:szCs w:val="17"/>
              </w:rPr>
            </w:pPr>
          </w:p>
          <w:p w14:paraId="73C9CFDF" w14:textId="77777777" w:rsidR="005F7218" w:rsidRPr="00C145D7" w:rsidRDefault="005F7218" w:rsidP="00CA7F04">
            <w:pPr>
              <w:tabs>
                <w:tab w:val="right" w:pos="1202"/>
              </w:tabs>
              <w:spacing w:line="220" w:lineRule="exact"/>
              <w:outlineLvl w:val="0"/>
              <w:rPr>
                <w:rFonts w:ascii="Arial" w:eastAsia="Calibri" w:hAnsi="Arial" w:cs="Arial"/>
                <w:b/>
                <w:color w:val="000000" w:themeColor="text1"/>
                <w:sz w:val="17"/>
                <w:szCs w:val="17"/>
              </w:rPr>
            </w:pPr>
            <w:r w:rsidRPr="00C145D7">
              <w:rPr>
                <w:rFonts w:ascii="Arial" w:eastAsia="Calibri" w:hAnsi="Arial" w:cs="Arial"/>
                <w:b/>
                <w:color w:val="000000" w:themeColor="text1"/>
                <w:sz w:val="17"/>
                <w:szCs w:val="17"/>
              </w:rPr>
              <w:t>31. prosinca 202</w:t>
            </w:r>
            <w:r>
              <w:rPr>
                <w:rFonts w:ascii="Arial" w:eastAsia="Calibri" w:hAnsi="Arial" w:cs="Arial"/>
                <w:b/>
                <w:color w:val="000000" w:themeColor="text1"/>
                <w:sz w:val="17"/>
                <w:szCs w:val="17"/>
              </w:rPr>
              <w:t>3</w:t>
            </w:r>
            <w:r w:rsidRPr="00C145D7">
              <w:rPr>
                <w:rFonts w:ascii="Arial" w:eastAsia="Calibri" w:hAnsi="Arial" w:cs="Arial"/>
                <w:b/>
                <w:color w:val="000000" w:themeColor="text1"/>
                <w:sz w:val="17"/>
                <w:szCs w:val="17"/>
              </w:rPr>
              <w:t xml:space="preserve">. </w:t>
            </w:r>
          </w:p>
        </w:tc>
        <w:tc>
          <w:tcPr>
            <w:tcW w:w="1536" w:type="dxa"/>
            <w:tcMar>
              <w:top w:w="0" w:type="dxa"/>
              <w:left w:w="120" w:type="dxa"/>
              <w:bottom w:w="0" w:type="dxa"/>
              <w:right w:w="120" w:type="dxa"/>
            </w:tcMar>
            <w:vAlign w:val="bottom"/>
          </w:tcPr>
          <w:p w14:paraId="20388FAE" w14:textId="77777777" w:rsidR="005F7218" w:rsidRPr="00C145D7" w:rsidRDefault="005F7218" w:rsidP="00CA7F04">
            <w:pPr>
              <w:tabs>
                <w:tab w:val="right" w:pos="1202"/>
              </w:tabs>
              <w:spacing w:line="220" w:lineRule="exact"/>
              <w:jc w:val="right"/>
              <w:outlineLvl w:val="0"/>
              <w:rPr>
                <w:rFonts w:ascii="Arial" w:eastAsia="Calibri" w:hAnsi="Arial" w:cs="Arial"/>
                <w:b/>
                <w:color w:val="000000" w:themeColor="text1"/>
                <w:sz w:val="17"/>
                <w:szCs w:val="17"/>
              </w:rPr>
            </w:pPr>
            <w:r w:rsidRPr="006D3818">
              <w:rPr>
                <w:rFonts w:ascii="Arial" w:eastAsia="Calibri" w:hAnsi="Arial" w:cs="Arial"/>
                <w:b/>
                <w:color w:val="000000" w:themeColor="text1"/>
                <w:sz w:val="17"/>
                <w:szCs w:val="17"/>
              </w:rPr>
              <w:t>EUR</w:t>
            </w:r>
          </w:p>
        </w:tc>
        <w:tc>
          <w:tcPr>
            <w:tcW w:w="1258" w:type="dxa"/>
            <w:tcMar>
              <w:top w:w="0" w:type="dxa"/>
              <w:left w:w="120" w:type="dxa"/>
              <w:bottom w:w="0" w:type="dxa"/>
              <w:right w:w="120" w:type="dxa"/>
            </w:tcMar>
            <w:vAlign w:val="bottom"/>
          </w:tcPr>
          <w:p w14:paraId="34ECCED1" w14:textId="77777777" w:rsidR="005F7218" w:rsidRPr="00C145D7" w:rsidRDefault="005F7218" w:rsidP="00CA7F04">
            <w:pPr>
              <w:tabs>
                <w:tab w:val="right" w:pos="1202"/>
              </w:tabs>
              <w:spacing w:line="220" w:lineRule="exact"/>
              <w:jc w:val="right"/>
              <w:outlineLvl w:val="0"/>
              <w:rPr>
                <w:rFonts w:ascii="Arial" w:eastAsia="Calibri" w:hAnsi="Arial" w:cs="Arial"/>
                <w:b/>
                <w:color w:val="000000" w:themeColor="text1"/>
                <w:sz w:val="17"/>
                <w:szCs w:val="17"/>
              </w:rPr>
            </w:pPr>
            <w:r w:rsidRPr="006D3818">
              <w:rPr>
                <w:rFonts w:ascii="Arial" w:eastAsia="Calibri" w:hAnsi="Arial" w:cs="Arial"/>
                <w:b/>
                <w:color w:val="000000" w:themeColor="text1"/>
                <w:sz w:val="17"/>
                <w:szCs w:val="17"/>
              </w:rPr>
              <w:t>USD</w:t>
            </w:r>
          </w:p>
        </w:tc>
        <w:tc>
          <w:tcPr>
            <w:tcW w:w="1536" w:type="dxa"/>
            <w:tcMar>
              <w:top w:w="0" w:type="dxa"/>
              <w:left w:w="120" w:type="dxa"/>
              <w:bottom w:w="0" w:type="dxa"/>
              <w:right w:w="120" w:type="dxa"/>
            </w:tcMar>
            <w:vAlign w:val="bottom"/>
          </w:tcPr>
          <w:p w14:paraId="7BC70223" w14:textId="77777777" w:rsidR="005F7218" w:rsidRPr="00C145D7" w:rsidRDefault="005F7218" w:rsidP="00CA7F04">
            <w:pPr>
              <w:tabs>
                <w:tab w:val="right" w:pos="1202"/>
              </w:tabs>
              <w:spacing w:line="220" w:lineRule="exact"/>
              <w:jc w:val="right"/>
              <w:outlineLvl w:val="0"/>
              <w:rPr>
                <w:rFonts w:ascii="Arial" w:eastAsia="Calibri" w:hAnsi="Arial" w:cs="Arial"/>
                <w:b/>
                <w:color w:val="000000" w:themeColor="text1"/>
                <w:sz w:val="17"/>
                <w:szCs w:val="17"/>
              </w:rPr>
            </w:pPr>
            <w:r w:rsidRPr="00C145D7">
              <w:rPr>
                <w:rFonts w:ascii="Arial" w:eastAsia="Calibri" w:hAnsi="Arial" w:cs="Arial"/>
                <w:b/>
                <w:color w:val="000000" w:themeColor="text1"/>
                <w:sz w:val="17"/>
                <w:szCs w:val="17"/>
              </w:rPr>
              <w:t>Ostale valute</w:t>
            </w:r>
          </w:p>
        </w:tc>
        <w:tc>
          <w:tcPr>
            <w:tcW w:w="1398" w:type="dxa"/>
            <w:tcMar>
              <w:top w:w="0" w:type="dxa"/>
              <w:left w:w="120" w:type="dxa"/>
              <w:bottom w:w="0" w:type="dxa"/>
              <w:right w:w="120" w:type="dxa"/>
            </w:tcMar>
            <w:vAlign w:val="bottom"/>
          </w:tcPr>
          <w:p w14:paraId="1CA9ED3B" w14:textId="77777777" w:rsidR="005F7218" w:rsidRPr="00C145D7" w:rsidRDefault="005F7218" w:rsidP="00CA7F04">
            <w:pPr>
              <w:tabs>
                <w:tab w:val="right" w:pos="1202"/>
              </w:tabs>
              <w:spacing w:line="220" w:lineRule="exact"/>
              <w:jc w:val="right"/>
              <w:outlineLvl w:val="0"/>
              <w:rPr>
                <w:rFonts w:ascii="Arial" w:eastAsia="Calibri" w:hAnsi="Arial" w:cs="Arial"/>
                <w:b/>
                <w:color w:val="000000" w:themeColor="text1"/>
                <w:sz w:val="17"/>
                <w:szCs w:val="17"/>
              </w:rPr>
            </w:pPr>
            <w:r w:rsidRPr="00C145D7">
              <w:rPr>
                <w:rFonts w:ascii="Arial" w:eastAsia="Calibri" w:hAnsi="Arial" w:cs="Arial"/>
                <w:b/>
                <w:color w:val="000000" w:themeColor="text1"/>
                <w:sz w:val="17"/>
                <w:szCs w:val="17"/>
              </w:rPr>
              <w:t>Ukupno</w:t>
            </w:r>
          </w:p>
        </w:tc>
      </w:tr>
      <w:tr w:rsidR="005F7218" w:rsidRPr="00C145D7" w14:paraId="0105CE1E" w14:textId="77777777" w:rsidTr="00CA7F04">
        <w:trPr>
          <w:trHeight w:hRule="exact" w:val="276"/>
        </w:trPr>
        <w:tc>
          <w:tcPr>
            <w:tcW w:w="3627" w:type="dxa"/>
            <w:tcMar>
              <w:top w:w="0" w:type="dxa"/>
              <w:left w:w="120" w:type="dxa"/>
              <w:bottom w:w="0" w:type="dxa"/>
              <w:right w:w="120" w:type="dxa"/>
            </w:tcMar>
            <w:vAlign w:val="bottom"/>
          </w:tcPr>
          <w:p w14:paraId="6F7DD54F" w14:textId="77777777" w:rsidR="005F7218" w:rsidRPr="00C145D7" w:rsidRDefault="005F7218" w:rsidP="00CA7F04">
            <w:pPr>
              <w:tabs>
                <w:tab w:val="right" w:pos="1202"/>
              </w:tabs>
              <w:spacing w:line="220" w:lineRule="exact"/>
              <w:outlineLvl w:val="0"/>
              <w:rPr>
                <w:rFonts w:ascii="Arial" w:eastAsia="Calibri" w:hAnsi="Arial" w:cs="Arial"/>
                <w:b/>
                <w:color w:val="000000" w:themeColor="text1"/>
                <w:sz w:val="17"/>
                <w:szCs w:val="17"/>
              </w:rPr>
            </w:pPr>
          </w:p>
        </w:tc>
        <w:tc>
          <w:tcPr>
            <w:tcW w:w="1536" w:type="dxa"/>
            <w:tcMar>
              <w:top w:w="0" w:type="dxa"/>
              <w:left w:w="120" w:type="dxa"/>
              <w:bottom w:w="0" w:type="dxa"/>
              <w:right w:w="120" w:type="dxa"/>
            </w:tcMar>
            <w:vAlign w:val="bottom"/>
          </w:tcPr>
          <w:p w14:paraId="496D3A73" w14:textId="77777777" w:rsidR="005F7218" w:rsidRPr="00C145D7" w:rsidRDefault="005F7218" w:rsidP="00CA7F04">
            <w:pPr>
              <w:tabs>
                <w:tab w:val="right" w:pos="1202"/>
              </w:tabs>
              <w:spacing w:line="220" w:lineRule="exact"/>
              <w:jc w:val="right"/>
              <w:outlineLvl w:val="0"/>
              <w:rPr>
                <w:rFonts w:ascii="Arial" w:eastAsia="Calibri" w:hAnsi="Arial" w:cs="Arial"/>
                <w:b/>
                <w:color w:val="000000" w:themeColor="text1"/>
                <w:sz w:val="17"/>
                <w:szCs w:val="17"/>
              </w:rPr>
            </w:pPr>
            <w:r w:rsidRPr="00C145D7">
              <w:rPr>
                <w:rFonts w:ascii="Arial" w:eastAsia="Calibri" w:hAnsi="Arial" w:cs="Arial"/>
                <w:b/>
                <w:color w:val="000000" w:themeColor="text1"/>
                <w:sz w:val="17"/>
                <w:szCs w:val="17"/>
              </w:rPr>
              <w:t>000 eura</w:t>
            </w:r>
          </w:p>
        </w:tc>
        <w:tc>
          <w:tcPr>
            <w:tcW w:w="1258" w:type="dxa"/>
            <w:tcMar>
              <w:top w:w="0" w:type="dxa"/>
              <w:left w:w="120" w:type="dxa"/>
              <w:bottom w:w="0" w:type="dxa"/>
              <w:right w:w="120" w:type="dxa"/>
            </w:tcMar>
            <w:vAlign w:val="bottom"/>
          </w:tcPr>
          <w:p w14:paraId="7E682644" w14:textId="77777777" w:rsidR="005F7218" w:rsidRPr="00C145D7" w:rsidRDefault="005F7218" w:rsidP="00CA7F04">
            <w:pPr>
              <w:tabs>
                <w:tab w:val="right" w:pos="1202"/>
              </w:tabs>
              <w:spacing w:line="220" w:lineRule="exact"/>
              <w:jc w:val="right"/>
              <w:outlineLvl w:val="0"/>
              <w:rPr>
                <w:rFonts w:ascii="Arial" w:eastAsia="Calibri" w:hAnsi="Arial" w:cs="Arial"/>
                <w:b/>
                <w:color w:val="000000" w:themeColor="text1"/>
                <w:sz w:val="17"/>
                <w:szCs w:val="17"/>
              </w:rPr>
            </w:pPr>
            <w:r w:rsidRPr="00C145D7">
              <w:rPr>
                <w:rFonts w:ascii="Arial" w:eastAsia="Calibri" w:hAnsi="Arial" w:cs="Arial"/>
                <w:b/>
                <w:color w:val="000000" w:themeColor="text1"/>
                <w:sz w:val="17"/>
                <w:szCs w:val="17"/>
              </w:rPr>
              <w:t>000 eura</w:t>
            </w:r>
          </w:p>
        </w:tc>
        <w:tc>
          <w:tcPr>
            <w:tcW w:w="1536" w:type="dxa"/>
            <w:tcMar>
              <w:top w:w="0" w:type="dxa"/>
              <w:left w:w="120" w:type="dxa"/>
              <w:bottom w:w="0" w:type="dxa"/>
              <w:right w:w="120" w:type="dxa"/>
            </w:tcMar>
            <w:vAlign w:val="bottom"/>
          </w:tcPr>
          <w:p w14:paraId="7C90EC65" w14:textId="77777777" w:rsidR="005F7218" w:rsidRPr="00C145D7" w:rsidRDefault="005F7218" w:rsidP="00CA7F04">
            <w:pPr>
              <w:tabs>
                <w:tab w:val="right" w:pos="1202"/>
              </w:tabs>
              <w:spacing w:line="220" w:lineRule="exact"/>
              <w:jc w:val="right"/>
              <w:outlineLvl w:val="0"/>
              <w:rPr>
                <w:rFonts w:ascii="Arial" w:eastAsia="Calibri" w:hAnsi="Arial" w:cs="Arial"/>
                <w:b/>
                <w:color w:val="000000" w:themeColor="text1"/>
                <w:sz w:val="17"/>
                <w:szCs w:val="17"/>
              </w:rPr>
            </w:pPr>
            <w:r w:rsidRPr="00C145D7">
              <w:rPr>
                <w:rFonts w:ascii="Arial" w:eastAsia="Calibri" w:hAnsi="Arial" w:cs="Arial"/>
                <w:b/>
                <w:color w:val="000000" w:themeColor="text1"/>
                <w:sz w:val="17"/>
                <w:szCs w:val="17"/>
              </w:rPr>
              <w:t>000 eura</w:t>
            </w:r>
          </w:p>
        </w:tc>
        <w:tc>
          <w:tcPr>
            <w:tcW w:w="1398" w:type="dxa"/>
            <w:tcMar>
              <w:top w:w="0" w:type="dxa"/>
              <w:left w:w="120" w:type="dxa"/>
              <w:bottom w:w="0" w:type="dxa"/>
              <w:right w:w="120" w:type="dxa"/>
            </w:tcMar>
            <w:vAlign w:val="bottom"/>
          </w:tcPr>
          <w:p w14:paraId="5EC9DBE5" w14:textId="77777777" w:rsidR="005F7218" w:rsidRPr="00C145D7" w:rsidRDefault="005F7218" w:rsidP="00CA7F04">
            <w:pPr>
              <w:tabs>
                <w:tab w:val="right" w:pos="1202"/>
              </w:tabs>
              <w:spacing w:line="220" w:lineRule="exact"/>
              <w:jc w:val="right"/>
              <w:outlineLvl w:val="0"/>
              <w:rPr>
                <w:rFonts w:ascii="Arial" w:eastAsia="Calibri" w:hAnsi="Arial" w:cs="Arial"/>
                <w:b/>
                <w:color w:val="000000" w:themeColor="text1"/>
                <w:sz w:val="17"/>
                <w:szCs w:val="17"/>
              </w:rPr>
            </w:pPr>
            <w:r w:rsidRPr="00C145D7">
              <w:rPr>
                <w:rFonts w:ascii="Arial" w:eastAsia="Calibri" w:hAnsi="Arial" w:cs="Arial"/>
                <w:b/>
                <w:color w:val="000000" w:themeColor="text1"/>
                <w:sz w:val="17"/>
                <w:szCs w:val="17"/>
              </w:rPr>
              <w:t>000 eura</w:t>
            </w:r>
          </w:p>
        </w:tc>
      </w:tr>
      <w:tr w:rsidR="005F7218" w:rsidRPr="00C145D7" w14:paraId="4505CB72" w14:textId="77777777" w:rsidTr="00CA7F04">
        <w:trPr>
          <w:trHeight w:val="243"/>
        </w:trPr>
        <w:tc>
          <w:tcPr>
            <w:tcW w:w="3627" w:type="dxa"/>
            <w:tcMar>
              <w:top w:w="0" w:type="dxa"/>
              <w:left w:w="120" w:type="dxa"/>
              <w:bottom w:w="0" w:type="dxa"/>
              <w:right w:w="120" w:type="dxa"/>
            </w:tcMar>
            <w:vAlign w:val="bottom"/>
          </w:tcPr>
          <w:p w14:paraId="56C0F3EB" w14:textId="77777777" w:rsidR="005F7218" w:rsidRPr="00C145D7" w:rsidRDefault="005F7218" w:rsidP="00CA7F04">
            <w:pPr>
              <w:tabs>
                <w:tab w:val="right" w:pos="1202"/>
              </w:tabs>
              <w:spacing w:line="240" w:lineRule="exact"/>
              <w:outlineLvl w:val="0"/>
              <w:rPr>
                <w:rFonts w:ascii="Arial" w:eastAsia="Calibri" w:hAnsi="Arial" w:cs="Arial"/>
                <w:b/>
                <w:color w:val="000000" w:themeColor="text1"/>
                <w:sz w:val="17"/>
                <w:szCs w:val="17"/>
              </w:rPr>
            </w:pPr>
            <w:r w:rsidRPr="00C145D7">
              <w:rPr>
                <w:rFonts w:ascii="Arial" w:eastAsia="Calibri" w:hAnsi="Arial" w:cs="Arial"/>
                <w:b/>
                <w:color w:val="000000" w:themeColor="text1"/>
                <w:sz w:val="17"/>
                <w:szCs w:val="17"/>
              </w:rPr>
              <w:t>Imovina</w:t>
            </w:r>
          </w:p>
        </w:tc>
        <w:tc>
          <w:tcPr>
            <w:tcW w:w="1536" w:type="dxa"/>
            <w:tcMar>
              <w:top w:w="0" w:type="dxa"/>
              <w:left w:w="120" w:type="dxa"/>
              <w:bottom w:w="0" w:type="dxa"/>
              <w:right w:w="120" w:type="dxa"/>
            </w:tcMar>
            <w:vAlign w:val="bottom"/>
          </w:tcPr>
          <w:p w14:paraId="435A5FDB"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p>
        </w:tc>
        <w:tc>
          <w:tcPr>
            <w:tcW w:w="1258" w:type="dxa"/>
            <w:tcMar>
              <w:top w:w="0" w:type="dxa"/>
              <w:left w:w="120" w:type="dxa"/>
              <w:bottom w:w="0" w:type="dxa"/>
              <w:right w:w="120" w:type="dxa"/>
            </w:tcMar>
            <w:vAlign w:val="bottom"/>
          </w:tcPr>
          <w:p w14:paraId="7D1C1F8F"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p>
        </w:tc>
        <w:tc>
          <w:tcPr>
            <w:tcW w:w="1536" w:type="dxa"/>
            <w:tcMar>
              <w:top w:w="0" w:type="dxa"/>
              <w:left w:w="120" w:type="dxa"/>
              <w:bottom w:w="0" w:type="dxa"/>
              <w:right w:w="120" w:type="dxa"/>
            </w:tcMar>
            <w:vAlign w:val="bottom"/>
          </w:tcPr>
          <w:p w14:paraId="3AF3AA55"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p>
        </w:tc>
        <w:tc>
          <w:tcPr>
            <w:tcW w:w="1398" w:type="dxa"/>
            <w:tcMar>
              <w:top w:w="0" w:type="dxa"/>
              <w:left w:w="120" w:type="dxa"/>
              <w:bottom w:w="0" w:type="dxa"/>
              <w:right w:w="120" w:type="dxa"/>
            </w:tcMar>
            <w:vAlign w:val="bottom"/>
          </w:tcPr>
          <w:p w14:paraId="30DA629C"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p>
        </w:tc>
      </w:tr>
      <w:tr w:rsidR="005F7218" w:rsidRPr="00C145D7" w14:paraId="45552617" w14:textId="77777777" w:rsidTr="00CA7F04">
        <w:trPr>
          <w:trHeight w:val="181"/>
        </w:trPr>
        <w:tc>
          <w:tcPr>
            <w:tcW w:w="3627" w:type="dxa"/>
            <w:tcMar>
              <w:top w:w="0" w:type="dxa"/>
              <w:left w:w="120" w:type="dxa"/>
              <w:bottom w:w="0" w:type="dxa"/>
              <w:right w:w="120" w:type="dxa"/>
            </w:tcMar>
            <w:vAlign w:val="bottom"/>
          </w:tcPr>
          <w:p w14:paraId="0A5AA6EA" w14:textId="77777777" w:rsidR="005F7218" w:rsidRPr="00C145D7" w:rsidRDefault="005F7218" w:rsidP="00CA7F04">
            <w:pPr>
              <w:tabs>
                <w:tab w:val="right" w:pos="1202"/>
              </w:tabs>
              <w:spacing w:line="240" w:lineRule="exact"/>
              <w:outlineLvl w:val="0"/>
              <w:rPr>
                <w:rFonts w:ascii="Arial" w:eastAsia="Calibri" w:hAnsi="Arial" w:cs="Arial"/>
                <w:color w:val="000000" w:themeColor="text1"/>
                <w:sz w:val="17"/>
                <w:szCs w:val="17"/>
              </w:rPr>
            </w:pPr>
            <w:r w:rsidRPr="00C145D7">
              <w:rPr>
                <w:rFonts w:ascii="Arial" w:eastAsia="Calibri" w:hAnsi="Arial" w:cs="Arial"/>
                <w:color w:val="000000" w:themeColor="text1"/>
                <w:spacing w:val="-2"/>
                <w:sz w:val="17"/>
                <w:szCs w:val="17"/>
              </w:rPr>
              <w:t>Novčana sredstva i računi kod banaka</w:t>
            </w:r>
          </w:p>
        </w:tc>
        <w:tc>
          <w:tcPr>
            <w:tcW w:w="1536" w:type="dxa"/>
            <w:tcBorders>
              <w:top w:val="nil"/>
              <w:left w:val="nil"/>
              <w:right w:val="nil"/>
            </w:tcBorders>
            <w:tcMar>
              <w:top w:w="0" w:type="dxa"/>
              <w:left w:w="120" w:type="dxa"/>
              <w:bottom w:w="0" w:type="dxa"/>
              <w:right w:w="120" w:type="dxa"/>
            </w:tcMar>
            <w:vAlign w:val="bottom"/>
          </w:tcPr>
          <w:p w14:paraId="52C211F5"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41.433 </w:t>
            </w:r>
          </w:p>
        </w:tc>
        <w:tc>
          <w:tcPr>
            <w:tcW w:w="1258" w:type="dxa"/>
            <w:tcBorders>
              <w:top w:val="nil"/>
              <w:left w:val="nil"/>
              <w:right w:val="nil"/>
            </w:tcBorders>
            <w:tcMar>
              <w:top w:w="0" w:type="dxa"/>
              <w:left w:w="120" w:type="dxa"/>
              <w:bottom w:w="0" w:type="dxa"/>
              <w:right w:w="120" w:type="dxa"/>
            </w:tcMar>
            <w:vAlign w:val="bottom"/>
          </w:tcPr>
          <w:p w14:paraId="7A37D19F"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91 </w:t>
            </w:r>
          </w:p>
        </w:tc>
        <w:tc>
          <w:tcPr>
            <w:tcW w:w="1536" w:type="dxa"/>
            <w:tcBorders>
              <w:top w:val="nil"/>
              <w:left w:val="nil"/>
              <w:right w:val="nil"/>
            </w:tcBorders>
            <w:tcMar>
              <w:top w:w="0" w:type="dxa"/>
              <w:left w:w="120" w:type="dxa"/>
              <w:bottom w:w="0" w:type="dxa"/>
              <w:right w:w="120" w:type="dxa"/>
            </w:tcMar>
            <w:vAlign w:val="bottom"/>
          </w:tcPr>
          <w:p w14:paraId="4A71B700"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19 </w:t>
            </w:r>
          </w:p>
        </w:tc>
        <w:tc>
          <w:tcPr>
            <w:tcW w:w="1398" w:type="dxa"/>
            <w:tcBorders>
              <w:top w:val="nil"/>
              <w:left w:val="nil"/>
            </w:tcBorders>
            <w:tcMar>
              <w:top w:w="0" w:type="dxa"/>
              <w:left w:w="120" w:type="dxa"/>
              <w:bottom w:w="0" w:type="dxa"/>
              <w:right w:w="120" w:type="dxa"/>
            </w:tcMar>
            <w:vAlign w:val="bottom"/>
          </w:tcPr>
          <w:p w14:paraId="078646C2"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41.543 </w:t>
            </w:r>
          </w:p>
        </w:tc>
      </w:tr>
      <w:tr w:rsidR="005F7218" w:rsidRPr="00C145D7" w14:paraId="2A92F6CC" w14:textId="77777777" w:rsidTr="00CA7F04">
        <w:trPr>
          <w:trHeight w:val="243"/>
        </w:trPr>
        <w:tc>
          <w:tcPr>
            <w:tcW w:w="3627" w:type="dxa"/>
            <w:tcMar>
              <w:top w:w="0" w:type="dxa"/>
              <w:left w:w="120" w:type="dxa"/>
              <w:bottom w:w="0" w:type="dxa"/>
              <w:right w:w="120" w:type="dxa"/>
            </w:tcMar>
            <w:vAlign w:val="bottom"/>
          </w:tcPr>
          <w:p w14:paraId="6EA3213C" w14:textId="77777777" w:rsidR="005F7218" w:rsidRPr="00C145D7" w:rsidRDefault="005F7218" w:rsidP="00CA7F04">
            <w:pPr>
              <w:tabs>
                <w:tab w:val="right" w:pos="1202"/>
              </w:tabs>
              <w:spacing w:line="240" w:lineRule="exact"/>
              <w:outlineLvl w:val="0"/>
              <w:rPr>
                <w:rFonts w:ascii="Arial" w:eastAsia="Calibri" w:hAnsi="Arial" w:cs="Arial"/>
                <w:color w:val="000000" w:themeColor="text1"/>
                <w:sz w:val="17"/>
                <w:szCs w:val="17"/>
              </w:rPr>
            </w:pPr>
            <w:r w:rsidRPr="00C145D7">
              <w:rPr>
                <w:rFonts w:ascii="Arial" w:eastAsia="Calibri" w:hAnsi="Arial" w:cs="Arial"/>
                <w:color w:val="000000" w:themeColor="text1"/>
                <w:spacing w:val="-2"/>
                <w:sz w:val="17"/>
                <w:szCs w:val="17"/>
              </w:rPr>
              <w:t>Depoziti kod drugih banaka</w:t>
            </w:r>
          </w:p>
        </w:tc>
        <w:tc>
          <w:tcPr>
            <w:tcW w:w="1536" w:type="dxa"/>
            <w:tcBorders>
              <w:top w:val="nil"/>
              <w:left w:val="nil"/>
              <w:bottom w:val="nil"/>
              <w:right w:val="nil"/>
            </w:tcBorders>
            <w:tcMar>
              <w:top w:w="0" w:type="dxa"/>
              <w:left w:w="120" w:type="dxa"/>
              <w:bottom w:w="0" w:type="dxa"/>
              <w:right w:w="120" w:type="dxa"/>
            </w:tcMar>
            <w:vAlign w:val="bottom"/>
          </w:tcPr>
          <w:p w14:paraId="033EF5AF"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67.013 </w:t>
            </w:r>
          </w:p>
        </w:tc>
        <w:tc>
          <w:tcPr>
            <w:tcW w:w="1258" w:type="dxa"/>
            <w:tcBorders>
              <w:top w:val="nil"/>
              <w:left w:val="nil"/>
              <w:bottom w:val="nil"/>
              <w:right w:val="nil"/>
            </w:tcBorders>
            <w:tcMar>
              <w:top w:w="0" w:type="dxa"/>
              <w:left w:w="120" w:type="dxa"/>
              <w:bottom w:w="0" w:type="dxa"/>
              <w:right w:w="120" w:type="dxa"/>
            </w:tcMar>
            <w:vAlign w:val="bottom"/>
          </w:tcPr>
          <w:p w14:paraId="2163E9DB"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2.443 </w:t>
            </w:r>
          </w:p>
        </w:tc>
        <w:tc>
          <w:tcPr>
            <w:tcW w:w="1536" w:type="dxa"/>
            <w:tcBorders>
              <w:top w:val="nil"/>
              <w:left w:val="nil"/>
              <w:bottom w:val="nil"/>
              <w:right w:val="nil"/>
            </w:tcBorders>
            <w:tcMar>
              <w:top w:w="0" w:type="dxa"/>
              <w:left w:w="120" w:type="dxa"/>
              <w:bottom w:w="0" w:type="dxa"/>
              <w:right w:w="120" w:type="dxa"/>
            </w:tcMar>
            <w:vAlign w:val="bottom"/>
          </w:tcPr>
          <w:p w14:paraId="110F41A4"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 </w:t>
            </w:r>
          </w:p>
        </w:tc>
        <w:tc>
          <w:tcPr>
            <w:tcW w:w="1398" w:type="dxa"/>
            <w:tcBorders>
              <w:top w:val="nil"/>
              <w:left w:val="nil"/>
              <w:bottom w:val="nil"/>
            </w:tcBorders>
            <w:tcMar>
              <w:top w:w="0" w:type="dxa"/>
              <w:left w:w="120" w:type="dxa"/>
              <w:bottom w:w="0" w:type="dxa"/>
              <w:right w:w="120" w:type="dxa"/>
            </w:tcMar>
            <w:vAlign w:val="bottom"/>
          </w:tcPr>
          <w:p w14:paraId="1155FB36"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69.456 </w:t>
            </w:r>
          </w:p>
        </w:tc>
      </w:tr>
      <w:tr w:rsidR="005F7218" w:rsidRPr="00C145D7" w14:paraId="2647EDF2" w14:textId="77777777" w:rsidTr="00CA7F04">
        <w:trPr>
          <w:trHeight w:val="119"/>
        </w:trPr>
        <w:tc>
          <w:tcPr>
            <w:tcW w:w="3627" w:type="dxa"/>
            <w:tcMar>
              <w:top w:w="0" w:type="dxa"/>
              <w:left w:w="120" w:type="dxa"/>
              <w:bottom w:w="0" w:type="dxa"/>
              <w:right w:w="120" w:type="dxa"/>
            </w:tcMar>
            <w:vAlign w:val="bottom"/>
          </w:tcPr>
          <w:p w14:paraId="6312C214" w14:textId="77777777" w:rsidR="005F7218" w:rsidRPr="00C145D7" w:rsidRDefault="005F7218" w:rsidP="00CA7F04">
            <w:pPr>
              <w:tabs>
                <w:tab w:val="right" w:pos="1202"/>
              </w:tabs>
              <w:spacing w:line="240" w:lineRule="exact"/>
              <w:outlineLvl w:val="0"/>
              <w:rPr>
                <w:rFonts w:ascii="Arial" w:eastAsia="Calibri" w:hAnsi="Arial" w:cs="Arial"/>
                <w:color w:val="000000" w:themeColor="text1"/>
                <w:spacing w:val="-2"/>
                <w:sz w:val="17"/>
                <w:szCs w:val="17"/>
              </w:rPr>
            </w:pPr>
            <w:r w:rsidRPr="00C145D7">
              <w:rPr>
                <w:rFonts w:ascii="Arial" w:eastAsia="Calibri" w:hAnsi="Arial" w:cs="Arial"/>
                <w:color w:val="000000" w:themeColor="text1"/>
                <w:spacing w:val="-2"/>
                <w:sz w:val="17"/>
                <w:szCs w:val="17"/>
              </w:rPr>
              <w:t>Krediti financijskim institucijama</w:t>
            </w:r>
          </w:p>
        </w:tc>
        <w:tc>
          <w:tcPr>
            <w:tcW w:w="1536" w:type="dxa"/>
            <w:tcBorders>
              <w:top w:val="nil"/>
              <w:left w:val="nil"/>
              <w:bottom w:val="nil"/>
              <w:right w:val="nil"/>
            </w:tcBorders>
            <w:tcMar>
              <w:top w:w="0" w:type="dxa"/>
              <w:left w:w="120" w:type="dxa"/>
              <w:bottom w:w="0" w:type="dxa"/>
              <w:right w:w="120" w:type="dxa"/>
            </w:tcMar>
            <w:vAlign w:val="bottom"/>
          </w:tcPr>
          <w:p w14:paraId="61AC6E87"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1.248.881 </w:t>
            </w:r>
          </w:p>
        </w:tc>
        <w:tc>
          <w:tcPr>
            <w:tcW w:w="1258" w:type="dxa"/>
            <w:tcBorders>
              <w:top w:val="nil"/>
              <w:left w:val="nil"/>
              <w:bottom w:val="nil"/>
              <w:right w:val="nil"/>
            </w:tcBorders>
            <w:tcMar>
              <w:top w:w="0" w:type="dxa"/>
              <w:left w:w="120" w:type="dxa"/>
              <w:bottom w:w="0" w:type="dxa"/>
              <w:right w:w="120" w:type="dxa"/>
            </w:tcMar>
            <w:vAlign w:val="bottom"/>
          </w:tcPr>
          <w:p w14:paraId="2F191526"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 </w:t>
            </w:r>
          </w:p>
        </w:tc>
        <w:tc>
          <w:tcPr>
            <w:tcW w:w="1536" w:type="dxa"/>
            <w:tcBorders>
              <w:top w:val="nil"/>
              <w:left w:val="nil"/>
              <w:bottom w:val="nil"/>
              <w:right w:val="nil"/>
            </w:tcBorders>
            <w:tcMar>
              <w:top w:w="0" w:type="dxa"/>
              <w:left w:w="120" w:type="dxa"/>
              <w:bottom w:w="0" w:type="dxa"/>
              <w:right w:w="120" w:type="dxa"/>
            </w:tcMar>
            <w:vAlign w:val="bottom"/>
          </w:tcPr>
          <w:p w14:paraId="704D200E"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 </w:t>
            </w:r>
          </w:p>
        </w:tc>
        <w:tc>
          <w:tcPr>
            <w:tcW w:w="1398" w:type="dxa"/>
            <w:tcBorders>
              <w:top w:val="nil"/>
              <w:left w:val="nil"/>
              <w:bottom w:val="nil"/>
            </w:tcBorders>
            <w:tcMar>
              <w:top w:w="0" w:type="dxa"/>
              <w:left w:w="120" w:type="dxa"/>
              <w:bottom w:w="0" w:type="dxa"/>
              <w:right w:w="120" w:type="dxa"/>
            </w:tcMar>
            <w:vAlign w:val="bottom"/>
          </w:tcPr>
          <w:p w14:paraId="59D39D57"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1.248.881 </w:t>
            </w:r>
          </w:p>
        </w:tc>
      </w:tr>
      <w:tr w:rsidR="005F7218" w:rsidRPr="00C145D7" w14:paraId="25CEC278" w14:textId="77777777" w:rsidTr="00CA7F04">
        <w:trPr>
          <w:trHeight w:val="71"/>
        </w:trPr>
        <w:tc>
          <w:tcPr>
            <w:tcW w:w="3627" w:type="dxa"/>
            <w:tcMar>
              <w:top w:w="0" w:type="dxa"/>
              <w:left w:w="120" w:type="dxa"/>
              <w:bottom w:w="0" w:type="dxa"/>
              <w:right w:w="120" w:type="dxa"/>
            </w:tcMar>
            <w:vAlign w:val="bottom"/>
          </w:tcPr>
          <w:p w14:paraId="30802080" w14:textId="77777777" w:rsidR="005F7218" w:rsidRPr="00C145D7" w:rsidRDefault="005F7218" w:rsidP="00CA7F04">
            <w:pPr>
              <w:tabs>
                <w:tab w:val="right" w:pos="1202"/>
              </w:tabs>
              <w:spacing w:line="240" w:lineRule="exact"/>
              <w:outlineLvl w:val="0"/>
              <w:rPr>
                <w:rFonts w:ascii="Arial" w:eastAsia="Calibri" w:hAnsi="Arial" w:cs="Arial"/>
                <w:color w:val="000000" w:themeColor="text1"/>
                <w:spacing w:val="-2"/>
                <w:sz w:val="17"/>
                <w:szCs w:val="17"/>
              </w:rPr>
            </w:pPr>
            <w:r w:rsidRPr="00C145D7">
              <w:rPr>
                <w:rFonts w:ascii="Arial" w:eastAsia="Calibri" w:hAnsi="Arial" w:cs="Arial"/>
                <w:color w:val="000000" w:themeColor="text1"/>
                <w:spacing w:val="-2"/>
                <w:sz w:val="17"/>
                <w:szCs w:val="17"/>
              </w:rPr>
              <w:t>Krediti ostalim korisnicima</w:t>
            </w:r>
          </w:p>
        </w:tc>
        <w:tc>
          <w:tcPr>
            <w:tcW w:w="1536" w:type="dxa"/>
            <w:tcBorders>
              <w:top w:val="nil"/>
              <w:left w:val="nil"/>
              <w:bottom w:val="nil"/>
              <w:right w:val="nil"/>
            </w:tcBorders>
            <w:tcMar>
              <w:top w:w="0" w:type="dxa"/>
              <w:left w:w="120" w:type="dxa"/>
              <w:bottom w:w="0" w:type="dxa"/>
              <w:right w:w="120" w:type="dxa"/>
            </w:tcMar>
            <w:vAlign w:val="bottom"/>
          </w:tcPr>
          <w:p w14:paraId="3E6BA232"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2.302.547 </w:t>
            </w:r>
          </w:p>
        </w:tc>
        <w:tc>
          <w:tcPr>
            <w:tcW w:w="1258" w:type="dxa"/>
            <w:tcBorders>
              <w:top w:val="nil"/>
              <w:left w:val="nil"/>
              <w:bottom w:val="nil"/>
              <w:right w:val="nil"/>
            </w:tcBorders>
            <w:tcMar>
              <w:top w:w="0" w:type="dxa"/>
              <w:left w:w="120" w:type="dxa"/>
              <w:bottom w:w="0" w:type="dxa"/>
              <w:right w:w="120" w:type="dxa"/>
            </w:tcMar>
            <w:vAlign w:val="bottom"/>
          </w:tcPr>
          <w:p w14:paraId="423A2DE2"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26.458 </w:t>
            </w:r>
          </w:p>
        </w:tc>
        <w:tc>
          <w:tcPr>
            <w:tcW w:w="1536" w:type="dxa"/>
            <w:tcBorders>
              <w:top w:val="nil"/>
              <w:left w:val="nil"/>
              <w:bottom w:val="nil"/>
              <w:right w:val="nil"/>
            </w:tcBorders>
            <w:tcMar>
              <w:top w:w="0" w:type="dxa"/>
              <w:left w:w="120" w:type="dxa"/>
              <w:bottom w:w="0" w:type="dxa"/>
              <w:right w:w="120" w:type="dxa"/>
            </w:tcMar>
            <w:vAlign w:val="bottom"/>
          </w:tcPr>
          <w:p w14:paraId="4CFF0926"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22.191 </w:t>
            </w:r>
          </w:p>
        </w:tc>
        <w:tc>
          <w:tcPr>
            <w:tcW w:w="1398" w:type="dxa"/>
            <w:tcBorders>
              <w:top w:val="nil"/>
              <w:left w:val="nil"/>
              <w:bottom w:val="nil"/>
            </w:tcBorders>
            <w:tcMar>
              <w:top w:w="0" w:type="dxa"/>
              <w:left w:w="120" w:type="dxa"/>
              <w:bottom w:w="0" w:type="dxa"/>
              <w:right w:w="120" w:type="dxa"/>
            </w:tcMar>
            <w:vAlign w:val="bottom"/>
          </w:tcPr>
          <w:p w14:paraId="6F0ECCAC"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2.351.196 </w:t>
            </w:r>
          </w:p>
        </w:tc>
      </w:tr>
      <w:tr w:rsidR="005F7218" w:rsidRPr="00C145D7" w14:paraId="0631ABED" w14:textId="77777777" w:rsidTr="00CA7F04">
        <w:trPr>
          <w:trHeight w:val="227"/>
        </w:trPr>
        <w:tc>
          <w:tcPr>
            <w:tcW w:w="3627" w:type="dxa"/>
            <w:tcMar>
              <w:top w:w="0" w:type="dxa"/>
              <w:left w:w="120" w:type="dxa"/>
              <w:bottom w:w="0" w:type="dxa"/>
              <w:right w:w="120" w:type="dxa"/>
            </w:tcMar>
            <w:vAlign w:val="bottom"/>
          </w:tcPr>
          <w:p w14:paraId="0807434C" w14:textId="77777777" w:rsidR="005F7218" w:rsidRPr="00C145D7" w:rsidRDefault="005F7218" w:rsidP="00CA7F04">
            <w:pPr>
              <w:tabs>
                <w:tab w:val="right" w:pos="1202"/>
              </w:tabs>
              <w:spacing w:line="240" w:lineRule="exact"/>
              <w:outlineLvl w:val="0"/>
              <w:rPr>
                <w:rFonts w:ascii="Arial" w:eastAsia="Calibri" w:hAnsi="Arial" w:cs="Arial"/>
                <w:color w:val="000000" w:themeColor="text1"/>
                <w:spacing w:val="-2"/>
                <w:sz w:val="17"/>
                <w:szCs w:val="17"/>
              </w:rPr>
            </w:pPr>
            <w:r w:rsidRPr="00C145D7">
              <w:rPr>
                <w:rFonts w:ascii="Arial" w:eastAsia="Calibri" w:hAnsi="Arial" w:cs="Arial"/>
                <w:color w:val="000000" w:themeColor="text1"/>
                <w:sz w:val="17"/>
                <w:szCs w:val="17"/>
              </w:rPr>
              <w:t>Financijska imovina po fer vrijednosti kroz dobit ili gubitak</w:t>
            </w:r>
          </w:p>
        </w:tc>
        <w:tc>
          <w:tcPr>
            <w:tcW w:w="1536" w:type="dxa"/>
            <w:tcBorders>
              <w:top w:val="nil"/>
              <w:left w:val="nil"/>
              <w:bottom w:val="nil"/>
              <w:right w:val="nil"/>
            </w:tcBorders>
            <w:tcMar>
              <w:top w:w="0" w:type="dxa"/>
              <w:left w:w="120" w:type="dxa"/>
              <w:bottom w:w="0" w:type="dxa"/>
              <w:right w:w="120" w:type="dxa"/>
            </w:tcMar>
            <w:vAlign w:val="bottom"/>
          </w:tcPr>
          <w:p w14:paraId="19AD7BF3"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48.034 </w:t>
            </w:r>
          </w:p>
        </w:tc>
        <w:tc>
          <w:tcPr>
            <w:tcW w:w="1258" w:type="dxa"/>
            <w:tcBorders>
              <w:top w:val="nil"/>
              <w:left w:val="nil"/>
              <w:bottom w:val="nil"/>
              <w:right w:val="nil"/>
            </w:tcBorders>
            <w:tcMar>
              <w:top w:w="0" w:type="dxa"/>
              <w:left w:w="120" w:type="dxa"/>
              <w:bottom w:w="0" w:type="dxa"/>
              <w:right w:w="120" w:type="dxa"/>
            </w:tcMar>
            <w:vAlign w:val="bottom"/>
          </w:tcPr>
          <w:p w14:paraId="2F78DBBD"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4.888 </w:t>
            </w:r>
          </w:p>
        </w:tc>
        <w:tc>
          <w:tcPr>
            <w:tcW w:w="1536" w:type="dxa"/>
            <w:tcBorders>
              <w:top w:val="nil"/>
              <w:left w:val="nil"/>
              <w:bottom w:val="nil"/>
              <w:right w:val="nil"/>
            </w:tcBorders>
            <w:tcMar>
              <w:top w:w="0" w:type="dxa"/>
              <w:left w:w="120" w:type="dxa"/>
              <w:bottom w:w="0" w:type="dxa"/>
              <w:right w:w="120" w:type="dxa"/>
            </w:tcMar>
            <w:vAlign w:val="bottom"/>
          </w:tcPr>
          <w:p w14:paraId="4A92BFEB"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 </w:t>
            </w:r>
          </w:p>
        </w:tc>
        <w:tc>
          <w:tcPr>
            <w:tcW w:w="1398" w:type="dxa"/>
            <w:tcBorders>
              <w:top w:val="nil"/>
              <w:left w:val="nil"/>
              <w:bottom w:val="nil"/>
            </w:tcBorders>
            <w:tcMar>
              <w:top w:w="0" w:type="dxa"/>
              <w:left w:w="120" w:type="dxa"/>
              <w:bottom w:w="0" w:type="dxa"/>
              <w:right w:w="120" w:type="dxa"/>
            </w:tcMar>
            <w:vAlign w:val="bottom"/>
          </w:tcPr>
          <w:p w14:paraId="7AD9878A"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52.922 </w:t>
            </w:r>
          </w:p>
        </w:tc>
      </w:tr>
      <w:tr w:rsidR="005F7218" w:rsidRPr="00C145D7" w14:paraId="6F6FA612" w14:textId="77777777" w:rsidTr="00CA7F04">
        <w:trPr>
          <w:trHeight w:val="243"/>
        </w:trPr>
        <w:tc>
          <w:tcPr>
            <w:tcW w:w="3627" w:type="dxa"/>
            <w:tcMar>
              <w:top w:w="0" w:type="dxa"/>
              <w:left w:w="120" w:type="dxa"/>
              <w:bottom w:w="0" w:type="dxa"/>
              <w:right w:w="120" w:type="dxa"/>
            </w:tcMar>
            <w:vAlign w:val="bottom"/>
          </w:tcPr>
          <w:p w14:paraId="3A9D6110" w14:textId="77777777" w:rsidR="005F7218" w:rsidRPr="00C145D7" w:rsidRDefault="005F7218" w:rsidP="00CA7F04">
            <w:pPr>
              <w:tabs>
                <w:tab w:val="right" w:pos="1202"/>
              </w:tabs>
              <w:spacing w:line="240" w:lineRule="exact"/>
              <w:outlineLvl w:val="0"/>
              <w:rPr>
                <w:rFonts w:ascii="Arial" w:eastAsia="Calibri" w:hAnsi="Arial" w:cs="Arial"/>
                <w:color w:val="000000" w:themeColor="text1"/>
                <w:sz w:val="17"/>
                <w:szCs w:val="17"/>
              </w:rPr>
            </w:pPr>
            <w:r w:rsidRPr="00C145D7">
              <w:rPr>
                <w:rFonts w:ascii="Arial" w:eastAsia="Calibri" w:hAnsi="Arial" w:cs="Arial"/>
                <w:color w:val="000000" w:themeColor="text1"/>
                <w:sz w:val="17"/>
                <w:szCs w:val="17"/>
              </w:rPr>
              <w:t>Financijska imovina po fer vrijednosti kroz ostalu sveobuhvatnu dobit</w:t>
            </w:r>
          </w:p>
        </w:tc>
        <w:tc>
          <w:tcPr>
            <w:tcW w:w="1536" w:type="dxa"/>
            <w:tcBorders>
              <w:top w:val="nil"/>
              <w:left w:val="nil"/>
              <w:bottom w:val="nil"/>
              <w:right w:val="nil"/>
            </w:tcBorders>
            <w:tcMar>
              <w:top w:w="0" w:type="dxa"/>
              <w:left w:w="120" w:type="dxa"/>
              <w:bottom w:w="0" w:type="dxa"/>
              <w:right w:w="120" w:type="dxa"/>
            </w:tcMar>
            <w:vAlign w:val="bottom"/>
          </w:tcPr>
          <w:p w14:paraId="42A184F8"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228.858 </w:t>
            </w:r>
          </w:p>
        </w:tc>
        <w:tc>
          <w:tcPr>
            <w:tcW w:w="1258" w:type="dxa"/>
            <w:tcBorders>
              <w:top w:val="nil"/>
              <w:left w:val="nil"/>
              <w:bottom w:val="nil"/>
              <w:right w:val="nil"/>
            </w:tcBorders>
            <w:tcMar>
              <w:top w:w="0" w:type="dxa"/>
              <w:left w:w="120" w:type="dxa"/>
              <w:bottom w:w="0" w:type="dxa"/>
              <w:right w:w="120" w:type="dxa"/>
            </w:tcMar>
            <w:vAlign w:val="bottom"/>
          </w:tcPr>
          <w:p w14:paraId="4976F5FC"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 </w:t>
            </w:r>
          </w:p>
        </w:tc>
        <w:tc>
          <w:tcPr>
            <w:tcW w:w="1536" w:type="dxa"/>
            <w:tcBorders>
              <w:top w:val="nil"/>
              <w:left w:val="nil"/>
              <w:bottom w:val="nil"/>
              <w:right w:val="nil"/>
            </w:tcBorders>
            <w:tcMar>
              <w:top w:w="0" w:type="dxa"/>
              <w:left w:w="120" w:type="dxa"/>
              <w:bottom w:w="0" w:type="dxa"/>
              <w:right w:w="120" w:type="dxa"/>
            </w:tcMar>
            <w:vAlign w:val="bottom"/>
          </w:tcPr>
          <w:p w14:paraId="73C7A0DB"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 </w:t>
            </w:r>
          </w:p>
        </w:tc>
        <w:tc>
          <w:tcPr>
            <w:tcW w:w="1398" w:type="dxa"/>
            <w:tcBorders>
              <w:top w:val="nil"/>
              <w:left w:val="nil"/>
              <w:bottom w:val="nil"/>
            </w:tcBorders>
            <w:tcMar>
              <w:top w:w="0" w:type="dxa"/>
              <w:left w:w="120" w:type="dxa"/>
              <w:bottom w:w="0" w:type="dxa"/>
              <w:right w:w="120" w:type="dxa"/>
            </w:tcMar>
            <w:vAlign w:val="bottom"/>
          </w:tcPr>
          <w:p w14:paraId="4C72E95E"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228.858 </w:t>
            </w:r>
          </w:p>
        </w:tc>
      </w:tr>
      <w:tr w:rsidR="005F7218" w:rsidRPr="00C145D7" w14:paraId="65F3F6E8" w14:textId="77777777" w:rsidTr="00CA7F04">
        <w:trPr>
          <w:trHeight w:val="243"/>
        </w:trPr>
        <w:tc>
          <w:tcPr>
            <w:tcW w:w="3627" w:type="dxa"/>
            <w:tcMar>
              <w:top w:w="0" w:type="dxa"/>
              <w:left w:w="120" w:type="dxa"/>
              <w:bottom w:w="0" w:type="dxa"/>
              <w:right w:w="120" w:type="dxa"/>
            </w:tcMar>
            <w:vAlign w:val="bottom"/>
          </w:tcPr>
          <w:p w14:paraId="2942E219" w14:textId="77777777" w:rsidR="005F7218" w:rsidRPr="00C145D7" w:rsidRDefault="005F7218" w:rsidP="00CA7F04">
            <w:pPr>
              <w:tabs>
                <w:tab w:val="right" w:pos="1202"/>
              </w:tabs>
              <w:spacing w:line="240" w:lineRule="exact"/>
              <w:outlineLvl w:val="0"/>
              <w:rPr>
                <w:rFonts w:ascii="Arial" w:eastAsia="Calibri" w:hAnsi="Arial" w:cs="Arial"/>
                <w:color w:val="000000" w:themeColor="text1"/>
                <w:sz w:val="17"/>
                <w:szCs w:val="17"/>
              </w:rPr>
            </w:pPr>
            <w:r w:rsidRPr="00B4232F">
              <w:rPr>
                <w:rFonts w:ascii="Arial" w:eastAsia="Calibri" w:hAnsi="Arial" w:cs="Arial"/>
                <w:color w:val="000000" w:themeColor="text1"/>
                <w:sz w:val="17"/>
                <w:szCs w:val="17"/>
              </w:rPr>
              <w:t>Ulaganja u ovisna društva</w:t>
            </w:r>
          </w:p>
        </w:tc>
        <w:tc>
          <w:tcPr>
            <w:tcW w:w="1536" w:type="dxa"/>
            <w:tcBorders>
              <w:top w:val="nil"/>
              <w:left w:val="nil"/>
              <w:bottom w:val="nil"/>
              <w:right w:val="nil"/>
            </w:tcBorders>
            <w:tcMar>
              <w:top w:w="0" w:type="dxa"/>
              <w:left w:w="120" w:type="dxa"/>
              <w:bottom w:w="0" w:type="dxa"/>
              <w:right w:w="120" w:type="dxa"/>
            </w:tcMar>
            <w:vAlign w:val="bottom"/>
          </w:tcPr>
          <w:p w14:paraId="05E89FBE" w14:textId="77777777" w:rsidR="005F7218" w:rsidRPr="00B4232F"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7.449 </w:t>
            </w:r>
          </w:p>
        </w:tc>
        <w:tc>
          <w:tcPr>
            <w:tcW w:w="1258" w:type="dxa"/>
            <w:tcBorders>
              <w:top w:val="nil"/>
              <w:left w:val="nil"/>
              <w:bottom w:val="nil"/>
              <w:right w:val="nil"/>
            </w:tcBorders>
            <w:tcMar>
              <w:top w:w="0" w:type="dxa"/>
              <w:left w:w="120" w:type="dxa"/>
              <w:bottom w:w="0" w:type="dxa"/>
              <w:right w:w="120" w:type="dxa"/>
            </w:tcMar>
            <w:vAlign w:val="bottom"/>
          </w:tcPr>
          <w:p w14:paraId="4844FA83" w14:textId="77777777" w:rsidR="005F7218" w:rsidRPr="00B4232F"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 </w:t>
            </w:r>
          </w:p>
        </w:tc>
        <w:tc>
          <w:tcPr>
            <w:tcW w:w="1536" w:type="dxa"/>
            <w:tcBorders>
              <w:top w:val="nil"/>
              <w:left w:val="nil"/>
              <w:bottom w:val="nil"/>
              <w:right w:val="nil"/>
            </w:tcBorders>
            <w:tcMar>
              <w:top w:w="0" w:type="dxa"/>
              <w:left w:w="120" w:type="dxa"/>
              <w:bottom w:w="0" w:type="dxa"/>
              <w:right w:w="120" w:type="dxa"/>
            </w:tcMar>
            <w:vAlign w:val="bottom"/>
          </w:tcPr>
          <w:p w14:paraId="194B602A" w14:textId="77777777" w:rsidR="005F7218" w:rsidRPr="00B4232F"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 </w:t>
            </w:r>
          </w:p>
        </w:tc>
        <w:tc>
          <w:tcPr>
            <w:tcW w:w="1398" w:type="dxa"/>
            <w:tcBorders>
              <w:top w:val="nil"/>
              <w:left w:val="nil"/>
              <w:bottom w:val="nil"/>
            </w:tcBorders>
            <w:tcMar>
              <w:top w:w="0" w:type="dxa"/>
              <w:left w:w="120" w:type="dxa"/>
              <w:bottom w:w="0" w:type="dxa"/>
              <w:right w:w="120" w:type="dxa"/>
            </w:tcMar>
            <w:vAlign w:val="bottom"/>
          </w:tcPr>
          <w:p w14:paraId="7BB4E64C" w14:textId="77777777" w:rsidR="005F7218" w:rsidRPr="00B4232F"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7.449 </w:t>
            </w:r>
          </w:p>
        </w:tc>
      </w:tr>
      <w:tr w:rsidR="005F7218" w:rsidRPr="00C145D7" w14:paraId="3017F30B" w14:textId="77777777" w:rsidTr="00CA7F04">
        <w:trPr>
          <w:trHeight w:val="472"/>
        </w:trPr>
        <w:tc>
          <w:tcPr>
            <w:tcW w:w="3627" w:type="dxa"/>
            <w:tcMar>
              <w:top w:w="0" w:type="dxa"/>
              <w:left w:w="120" w:type="dxa"/>
              <w:bottom w:w="0" w:type="dxa"/>
              <w:right w:w="120" w:type="dxa"/>
            </w:tcMar>
            <w:vAlign w:val="bottom"/>
          </w:tcPr>
          <w:p w14:paraId="5B540184" w14:textId="77777777" w:rsidR="005F7218" w:rsidRPr="00C145D7" w:rsidRDefault="005F7218" w:rsidP="00CA7F04">
            <w:pPr>
              <w:tabs>
                <w:tab w:val="right" w:pos="1202"/>
              </w:tabs>
              <w:spacing w:line="240" w:lineRule="exact"/>
              <w:outlineLvl w:val="0"/>
              <w:rPr>
                <w:rFonts w:ascii="Arial" w:eastAsia="Calibri" w:hAnsi="Arial" w:cs="Arial"/>
                <w:color w:val="000000" w:themeColor="text1"/>
                <w:sz w:val="17"/>
                <w:szCs w:val="17"/>
              </w:rPr>
            </w:pPr>
            <w:r w:rsidRPr="00C145D7">
              <w:rPr>
                <w:rFonts w:ascii="Arial" w:eastAsia="Calibri" w:hAnsi="Arial" w:cs="Arial"/>
                <w:color w:val="000000" w:themeColor="text1"/>
                <w:spacing w:val="-2"/>
                <w:sz w:val="17"/>
                <w:szCs w:val="17"/>
              </w:rPr>
              <w:t>Nekretnine, postrojenja i oprema i nematerijalna imovina</w:t>
            </w:r>
          </w:p>
        </w:tc>
        <w:tc>
          <w:tcPr>
            <w:tcW w:w="1536" w:type="dxa"/>
            <w:tcBorders>
              <w:top w:val="nil"/>
              <w:left w:val="nil"/>
              <w:bottom w:val="nil"/>
              <w:right w:val="nil"/>
            </w:tcBorders>
            <w:tcMar>
              <w:top w:w="0" w:type="dxa"/>
              <w:left w:w="120" w:type="dxa"/>
              <w:bottom w:w="0" w:type="dxa"/>
              <w:right w:w="120" w:type="dxa"/>
            </w:tcMar>
            <w:vAlign w:val="bottom"/>
          </w:tcPr>
          <w:p w14:paraId="40CAF99F"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4.723 </w:t>
            </w:r>
          </w:p>
        </w:tc>
        <w:tc>
          <w:tcPr>
            <w:tcW w:w="1258" w:type="dxa"/>
            <w:tcBorders>
              <w:top w:val="nil"/>
              <w:left w:val="nil"/>
              <w:bottom w:val="nil"/>
              <w:right w:val="nil"/>
            </w:tcBorders>
            <w:tcMar>
              <w:top w:w="0" w:type="dxa"/>
              <w:left w:w="120" w:type="dxa"/>
              <w:bottom w:w="0" w:type="dxa"/>
              <w:right w:w="120" w:type="dxa"/>
            </w:tcMar>
            <w:vAlign w:val="bottom"/>
          </w:tcPr>
          <w:p w14:paraId="45D72C57"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 </w:t>
            </w:r>
          </w:p>
        </w:tc>
        <w:tc>
          <w:tcPr>
            <w:tcW w:w="1536" w:type="dxa"/>
            <w:tcBorders>
              <w:top w:val="nil"/>
              <w:left w:val="nil"/>
              <w:bottom w:val="nil"/>
              <w:right w:val="nil"/>
            </w:tcBorders>
            <w:tcMar>
              <w:top w:w="0" w:type="dxa"/>
              <w:left w:w="120" w:type="dxa"/>
              <w:bottom w:w="0" w:type="dxa"/>
              <w:right w:w="120" w:type="dxa"/>
            </w:tcMar>
            <w:vAlign w:val="bottom"/>
          </w:tcPr>
          <w:p w14:paraId="6ACCEECD"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 </w:t>
            </w:r>
          </w:p>
        </w:tc>
        <w:tc>
          <w:tcPr>
            <w:tcW w:w="1398" w:type="dxa"/>
            <w:tcBorders>
              <w:top w:val="nil"/>
              <w:left w:val="nil"/>
              <w:bottom w:val="nil"/>
            </w:tcBorders>
            <w:tcMar>
              <w:top w:w="0" w:type="dxa"/>
              <w:left w:w="120" w:type="dxa"/>
              <w:bottom w:w="0" w:type="dxa"/>
              <w:right w:w="120" w:type="dxa"/>
            </w:tcMar>
            <w:vAlign w:val="bottom"/>
          </w:tcPr>
          <w:p w14:paraId="52F22F93"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4.723 </w:t>
            </w:r>
          </w:p>
        </w:tc>
      </w:tr>
      <w:tr w:rsidR="005F7218" w:rsidRPr="00C145D7" w14:paraId="6F891FB2" w14:textId="77777777" w:rsidTr="00CA7F04">
        <w:trPr>
          <w:trHeight w:val="237"/>
        </w:trPr>
        <w:tc>
          <w:tcPr>
            <w:tcW w:w="3627" w:type="dxa"/>
            <w:tcMar>
              <w:top w:w="0" w:type="dxa"/>
              <w:left w:w="120" w:type="dxa"/>
              <w:bottom w:w="0" w:type="dxa"/>
              <w:right w:w="120" w:type="dxa"/>
            </w:tcMar>
            <w:vAlign w:val="bottom"/>
          </w:tcPr>
          <w:p w14:paraId="21D3C244" w14:textId="77777777" w:rsidR="005F7218" w:rsidRPr="00C145D7" w:rsidRDefault="005F7218" w:rsidP="00CA7F04">
            <w:pPr>
              <w:tabs>
                <w:tab w:val="right" w:pos="1202"/>
              </w:tabs>
              <w:spacing w:line="240" w:lineRule="exact"/>
              <w:outlineLvl w:val="0"/>
              <w:rPr>
                <w:rFonts w:ascii="Arial" w:eastAsia="Calibri" w:hAnsi="Arial" w:cs="Arial"/>
                <w:color w:val="000000" w:themeColor="text1"/>
                <w:sz w:val="17"/>
                <w:szCs w:val="17"/>
              </w:rPr>
            </w:pPr>
            <w:r w:rsidRPr="00C145D7">
              <w:rPr>
                <w:rFonts w:ascii="Arial" w:eastAsia="Calibri" w:hAnsi="Arial" w:cs="Arial"/>
                <w:color w:val="000000" w:themeColor="text1"/>
                <w:spacing w:val="-2"/>
                <w:sz w:val="17"/>
                <w:szCs w:val="17"/>
              </w:rPr>
              <w:t>Preuzeta imovina</w:t>
            </w:r>
          </w:p>
        </w:tc>
        <w:tc>
          <w:tcPr>
            <w:tcW w:w="1536" w:type="dxa"/>
            <w:tcBorders>
              <w:top w:val="nil"/>
              <w:left w:val="nil"/>
              <w:bottom w:val="nil"/>
              <w:right w:val="nil"/>
            </w:tcBorders>
            <w:tcMar>
              <w:top w:w="0" w:type="dxa"/>
              <w:left w:w="120" w:type="dxa"/>
              <w:bottom w:w="0" w:type="dxa"/>
              <w:right w:w="120" w:type="dxa"/>
            </w:tcMar>
            <w:vAlign w:val="bottom"/>
          </w:tcPr>
          <w:p w14:paraId="53D0794D"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2.291 </w:t>
            </w:r>
          </w:p>
        </w:tc>
        <w:tc>
          <w:tcPr>
            <w:tcW w:w="1258" w:type="dxa"/>
            <w:tcBorders>
              <w:top w:val="nil"/>
              <w:left w:val="nil"/>
              <w:bottom w:val="nil"/>
              <w:right w:val="nil"/>
            </w:tcBorders>
            <w:tcMar>
              <w:top w:w="0" w:type="dxa"/>
              <w:left w:w="120" w:type="dxa"/>
              <w:bottom w:w="0" w:type="dxa"/>
              <w:right w:w="120" w:type="dxa"/>
            </w:tcMar>
            <w:vAlign w:val="bottom"/>
          </w:tcPr>
          <w:p w14:paraId="7FCA6D90"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 </w:t>
            </w:r>
          </w:p>
        </w:tc>
        <w:tc>
          <w:tcPr>
            <w:tcW w:w="1536" w:type="dxa"/>
            <w:tcBorders>
              <w:top w:val="nil"/>
              <w:left w:val="nil"/>
              <w:bottom w:val="nil"/>
              <w:right w:val="nil"/>
            </w:tcBorders>
            <w:tcMar>
              <w:top w:w="0" w:type="dxa"/>
              <w:left w:w="120" w:type="dxa"/>
              <w:bottom w:w="0" w:type="dxa"/>
              <w:right w:w="120" w:type="dxa"/>
            </w:tcMar>
            <w:vAlign w:val="bottom"/>
          </w:tcPr>
          <w:p w14:paraId="13DA316A"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 </w:t>
            </w:r>
          </w:p>
        </w:tc>
        <w:tc>
          <w:tcPr>
            <w:tcW w:w="1398" w:type="dxa"/>
            <w:tcBorders>
              <w:top w:val="nil"/>
              <w:left w:val="nil"/>
              <w:bottom w:val="nil"/>
            </w:tcBorders>
            <w:tcMar>
              <w:top w:w="0" w:type="dxa"/>
              <w:left w:w="120" w:type="dxa"/>
              <w:bottom w:w="0" w:type="dxa"/>
              <w:right w:w="120" w:type="dxa"/>
            </w:tcMar>
            <w:vAlign w:val="bottom"/>
          </w:tcPr>
          <w:p w14:paraId="34A66BFA"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2.291 </w:t>
            </w:r>
          </w:p>
        </w:tc>
      </w:tr>
      <w:tr w:rsidR="005F7218" w:rsidRPr="00C145D7" w14:paraId="17684680" w14:textId="77777777" w:rsidTr="00CA7F04">
        <w:trPr>
          <w:trHeight w:val="227"/>
        </w:trPr>
        <w:tc>
          <w:tcPr>
            <w:tcW w:w="3627" w:type="dxa"/>
            <w:tcMar>
              <w:top w:w="0" w:type="dxa"/>
              <w:left w:w="120" w:type="dxa"/>
              <w:bottom w:w="0" w:type="dxa"/>
              <w:right w:w="120" w:type="dxa"/>
            </w:tcMar>
            <w:vAlign w:val="bottom"/>
          </w:tcPr>
          <w:p w14:paraId="7A91F39C" w14:textId="77777777" w:rsidR="005F7218" w:rsidRPr="00C145D7" w:rsidRDefault="005F7218" w:rsidP="00CA7F04">
            <w:pPr>
              <w:tabs>
                <w:tab w:val="right" w:pos="1202"/>
              </w:tabs>
              <w:spacing w:line="240" w:lineRule="exact"/>
              <w:outlineLvl w:val="0"/>
              <w:rPr>
                <w:rFonts w:ascii="Arial" w:eastAsia="Calibri" w:hAnsi="Arial" w:cs="Arial"/>
                <w:color w:val="000000" w:themeColor="text1"/>
                <w:sz w:val="17"/>
                <w:szCs w:val="17"/>
              </w:rPr>
            </w:pPr>
            <w:r w:rsidRPr="00C145D7">
              <w:rPr>
                <w:rFonts w:ascii="Arial" w:eastAsia="Calibri" w:hAnsi="Arial" w:cs="Arial"/>
                <w:color w:val="000000" w:themeColor="text1"/>
                <w:spacing w:val="-2"/>
                <w:sz w:val="17"/>
                <w:szCs w:val="17"/>
              </w:rPr>
              <w:t>Ostala imovina</w:t>
            </w:r>
          </w:p>
        </w:tc>
        <w:tc>
          <w:tcPr>
            <w:tcW w:w="1536" w:type="dxa"/>
            <w:tcBorders>
              <w:top w:val="nil"/>
              <w:left w:val="nil"/>
              <w:bottom w:val="nil"/>
              <w:right w:val="nil"/>
            </w:tcBorders>
            <w:tcMar>
              <w:top w:w="0" w:type="dxa"/>
              <w:left w:w="120" w:type="dxa"/>
              <w:bottom w:w="0" w:type="dxa"/>
              <w:right w:w="120" w:type="dxa"/>
            </w:tcMar>
            <w:vAlign w:val="bottom"/>
          </w:tcPr>
          <w:p w14:paraId="4C3BA2EE"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11.365 </w:t>
            </w:r>
          </w:p>
        </w:tc>
        <w:tc>
          <w:tcPr>
            <w:tcW w:w="1258" w:type="dxa"/>
            <w:tcBorders>
              <w:top w:val="nil"/>
              <w:left w:val="nil"/>
              <w:bottom w:val="nil"/>
              <w:right w:val="nil"/>
            </w:tcBorders>
            <w:tcMar>
              <w:top w:w="0" w:type="dxa"/>
              <w:left w:w="120" w:type="dxa"/>
              <w:bottom w:w="0" w:type="dxa"/>
              <w:right w:w="120" w:type="dxa"/>
            </w:tcMar>
            <w:vAlign w:val="bottom"/>
          </w:tcPr>
          <w:p w14:paraId="26E656A9"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 </w:t>
            </w:r>
          </w:p>
        </w:tc>
        <w:tc>
          <w:tcPr>
            <w:tcW w:w="1536" w:type="dxa"/>
            <w:tcBorders>
              <w:top w:val="nil"/>
              <w:left w:val="nil"/>
              <w:bottom w:val="nil"/>
              <w:right w:val="nil"/>
            </w:tcBorders>
            <w:tcMar>
              <w:top w:w="0" w:type="dxa"/>
              <w:left w:w="120" w:type="dxa"/>
              <w:bottom w:w="0" w:type="dxa"/>
              <w:right w:w="120" w:type="dxa"/>
            </w:tcMar>
            <w:vAlign w:val="bottom"/>
          </w:tcPr>
          <w:p w14:paraId="6D974ED5"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 </w:t>
            </w:r>
          </w:p>
        </w:tc>
        <w:tc>
          <w:tcPr>
            <w:tcW w:w="1398" w:type="dxa"/>
            <w:tcBorders>
              <w:top w:val="nil"/>
              <w:left w:val="nil"/>
              <w:bottom w:val="nil"/>
            </w:tcBorders>
            <w:tcMar>
              <w:top w:w="0" w:type="dxa"/>
              <w:left w:w="120" w:type="dxa"/>
              <w:bottom w:w="0" w:type="dxa"/>
              <w:right w:w="120" w:type="dxa"/>
            </w:tcMar>
            <w:vAlign w:val="bottom"/>
          </w:tcPr>
          <w:p w14:paraId="60B83F7B"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11.365 </w:t>
            </w:r>
          </w:p>
        </w:tc>
      </w:tr>
      <w:tr w:rsidR="005F7218" w:rsidRPr="00B4232F" w14:paraId="122B3FCF" w14:textId="77777777" w:rsidTr="00CA7F04">
        <w:trPr>
          <w:trHeight w:val="289"/>
        </w:trPr>
        <w:tc>
          <w:tcPr>
            <w:tcW w:w="3627" w:type="dxa"/>
            <w:tcMar>
              <w:top w:w="0" w:type="dxa"/>
              <w:left w:w="120" w:type="dxa"/>
              <w:bottom w:w="0" w:type="dxa"/>
              <w:right w:w="120" w:type="dxa"/>
            </w:tcMar>
            <w:vAlign w:val="bottom"/>
          </w:tcPr>
          <w:p w14:paraId="166556CC" w14:textId="77777777" w:rsidR="005F7218" w:rsidRPr="00C145D7" w:rsidRDefault="005F7218" w:rsidP="00CA7F04">
            <w:pPr>
              <w:tabs>
                <w:tab w:val="right" w:pos="1202"/>
              </w:tabs>
              <w:spacing w:line="240" w:lineRule="exact"/>
              <w:outlineLvl w:val="0"/>
              <w:rPr>
                <w:rFonts w:ascii="Arial" w:eastAsia="Calibri" w:hAnsi="Arial" w:cs="Arial"/>
                <w:b/>
                <w:bCs/>
                <w:color w:val="000000" w:themeColor="text1"/>
                <w:sz w:val="17"/>
                <w:szCs w:val="17"/>
              </w:rPr>
            </w:pPr>
            <w:r w:rsidRPr="00C145D7">
              <w:rPr>
                <w:rFonts w:ascii="Arial" w:eastAsia="Calibri" w:hAnsi="Arial" w:cs="Arial"/>
                <w:b/>
                <w:bCs/>
                <w:color w:val="000000" w:themeColor="text1"/>
                <w:sz w:val="17"/>
                <w:szCs w:val="17"/>
              </w:rPr>
              <w:t xml:space="preserve">Ukupna imovina </w:t>
            </w:r>
          </w:p>
        </w:tc>
        <w:tc>
          <w:tcPr>
            <w:tcW w:w="1536" w:type="dxa"/>
            <w:tcBorders>
              <w:top w:val="single" w:sz="4" w:space="0" w:color="000000"/>
              <w:bottom w:val="single" w:sz="8" w:space="0" w:color="000000"/>
            </w:tcBorders>
            <w:tcMar>
              <w:top w:w="0" w:type="dxa"/>
              <w:left w:w="120" w:type="dxa"/>
              <w:bottom w:w="0" w:type="dxa"/>
              <w:right w:w="120" w:type="dxa"/>
            </w:tcMar>
            <w:vAlign w:val="bottom"/>
          </w:tcPr>
          <w:p w14:paraId="48BF8FB9" w14:textId="77777777" w:rsidR="005F7218" w:rsidRPr="00C145D7" w:rsidRDefault="005F7218" w:rsidP="00CA7F04">
            <w:pPr>
              <w:spacing w:line="240" w:lineRule="exact"/>
              <w:jc w:val="right"/>
              <w:rPr>
                <w:rFonts w:ascii="Arial" w:eastAsia="Arial Unicode MS" w:hAnsi="Arial" w:cs="Arial"/>
                <w:b/>
                <w:bCs/>
                <w:color w:val="000000" w:themeColor="text1"/>
                <w:sz w:val="17"/>
                <w:szCs w:val="17"/>
              </w:rPr>
            </w:pPr>
            <w:r w:rsidRPr="00F959D0">
              <w:rPr>
                <w:rFonts w:ascii="Arial" w:eastAsia="Arial Unicode MS" w:hAnsi="Arial" w:cs="Arial"/>
                <w:b/>
                <w:bCs/>
                <w:color w:val="000000" w:themeColor="text1"/>
                <w:sz w:val="17"/>
                <w:szCs w:val="17"/>
              </w:rPr>
              <w:t xml:space="preserve"> 3.962.594 </w:t>
            </w:r>
          </w:p>
        </w:tc>
        <w:tc>
          <w:tcPr>
            <w:tcW w:w="1258" w:type="dxa"/>
            <w:tcBorders>
              <w:top w:val="single" w:sz="4" w:space="0" w:color="000000"/>
              <w:bottom w:val="single" w:sz="8" w:space="0" w:color="000000"/>
            </w:tcBorders>
            <w:tcMar>
              <w:top w:w="0" w:type="dxa"/>
              <w:left w:w="120" w:type="dxa"/>
              <w:bottom w:w="0" w:type="dxa"/>
              <w:right w:w="120" w:type="dxa"/>
            </w:tcMar>
            <w:vAlign w:val="bottom"/>
          </w:tcPr>
          <w:p w14:paraId="77F98E36" w14:textId="77777777" w:rsidR="005F7218" w:rsidRPr="00C145D7" w:rsidRDefault="005F7218" w:rsidP="00CA7F04">
            <w:pPr>
              <w:spacing w:line="240" w:lineRule="exact"/>
              <w:jc w:val="right"/>
              <w:rPr>
                <w:rFonts w:ascii="Arial" w:eastAsia="Arial Unicode MS" w:hAnsi="Arial" w:cs="Arial"/>
                <w:b/>
                <w:bCs/>
                <w:color w:val="000000" w:themeColor="text1"/>
                <w:sz w:val="17"/>
                <w:szCs w:val="17"/>
              </w:rPr>
            </w:pPr>
            <w:r w:rsidRPr="00F959D0">
              <w:rPr>
                <w:rFonts w:ascii="Arial" w:eastAsia="Arial Unicode MS" w:hAnsi="Arial" w:cs="Arial"/>
                <w:b/>
                <w:bCs/>
                <w:color w:val="000000" w:themeColor="text1"/>
                <w:sz w:val="17"/>
                <w:szCs w:val="17"/>
              </w:rPr>
              <w:t xml:space="preserve"> 33.880 </w:t>
            </w:r>
          </w:p>
        </w:tc>
        <w:tc>
          <w:tcPr>
            <w:tcW w:w="1536" w:type="dxa"/>
            <w:tcBorders>
              <w:top w:val="single" w:sz="4" w:space="0" w:color="000000"/>
              <w:bottom w:val="single" w:sz="8" w:space="0" w:color="000000"/>
            </w:tcBorders>
            <w:tcMar>
              <w:top w:w="0" w:type="dxa"/>
              <w:left w:w="120" w:type="dxa"/>
              <w:bottom w:w="0" w:type="dxa"/>
              <w:right w:w="120" w:type="dxa"/>
            </w:tcMar>
            <w:vAlign w:val="bottom"/>
          </w:tcPr>
          <w:p w14:paraId="3BD19DEF" w14:textId="77777777" w:rsidR="005F7218" w:rsidRPr="00C145D7" w:rsidRDefault="005F7218" w:rsidP="00CA7F04">
            <w:pPr>
              <w:spacing w:line="240" w:lineRule="exact"/>
              <w:jc w:val="right"/>
              <w:rPr>
                <w:rFonts w:ascii="Arial" w:eastAsia="Arial Unicode MS" w:hAnsi="Arial" w:cs="Arial"/>
                <w:b/>
                <w:bCs/>
                <w:color w:val="000000" w:themeColor="text1"/>
                <w:sz w:val="17"/>
                <w:szCs w:val="17"/>
              </w:rPr>
            </w:pPr>
            <w:r w:rsidRPr="00F959D0">
              <w:rPr>
                <w:rFonts w:ascii="Arial" w:eastAsia="Arial Unicode MS" w:hAnsi="Arial" w:cs="Arial"/>
                <w:b/>
                <w:bCs/>
                <w:color w:val="000000" w:themeColor="text1"/>
                <w:sz w:val="17"/>
                <w:szCs w:val="17"/>
              </w:rPr>
              <w:t xml:space="preserve"> 22.210 </w:t>
            </w:r>
          </w:p>
        </w:tc>
        <w:tc>
          <w:tcPr>
            <w:tcW w:w="1398" w:type="dxa"/>
            <w:tcBorders>
              <w:top w:val="single" w:sz="4" w:space="0" w:color="000000"/>
              <w:bottom w:val="single" w:sz="8" w:space="0" w:color="000000"/>
            </w:tcBorders>
            <w:tcMar>
              <w:top w:w="0" w:type="dxa"/>
              <w:left w:w="120" w:type="dxa"/>
              <w:bottom w:w="0" w:type="dxa"/>
              <w:right w:w="120" w:type="dxa"/>
            </w:tcMar>
            <w:vAlign w:val="bottom"/>
          </w:tcPr>
          <w:p w14:paraId="73A4BE73" w14:textId="77777777" w:rsidR="005F7218" w:rsidRPr="00C145D7" w:rsidRDefault="005F7218" w:rsidP="00CA7F04">
            <w:pPr>
              <w:spacing w:line="240" w:lineRule="exact"/>
              <w:jc w:val="right"/>
              <w:rPr>
                <w:rFonts w:ascii="Arial" w:eastAsia="Arial Unicode MS" w:hAnsi="Arial" w:cs="Arial"/>
                <w:b/>
                <w:bCs/>
                <w:color w:val="000000" w:themeColor="text1"/>
                <w:sz w:val="17"/>
                <w:szCs w:val="17"/>
              </w:rPr>
            </w:pPr>
            <w:r w:rsidRPr="00F959D0">
              <w:rPr>
                <w:rFonts w:ascii="Arial" w:eastAsia="Arial Unicode MS" w:hAnsi="Arial" w:cs="Arial"/>
                <w:b/>
                <w:bCs/>
                <w:color w:val="000000" w:themeColor="text1"/>
                <w:sz w:val="17"/>
                <w:szCs w:val="17"/>
              </w:rPr>
              <w:t xml:space="preserve"> 4.018.684 </w:t>
            </w:r>
          </w:p>
        </w:tc>
      </w:tr>
      <w:tr w:rsidR="005F7218" w:rsidRPr="00C145D7" w14:paraId="02822B18" w14:textId="77777777" w:rsidTr="00CA7F04">
        <w:trPr>
          <w:trHeight w:val="227"/>
        </w:trPr>
        <w:tc>
          <w:tcPr>
            <w:tcW w:w="3627" w:type="dxa"/>
            <w:tcMar>
              <w:top w:w="0" w:type="dxa"/>
              <w:left w:w="120" w:type="dxa"/>
              <w:bottom w:w="0" w:type="dxa"/>
              <w:right w:w="120" w:type="dxa"/>
            </w:tcMar>
            <w:vAlign w:val="bottom"/>
          </w:tcPr>
          <w:p w14:paraId="203BAFC2" w14:textId="77777777" w:rsidR="005F7218" w:rsidRPr="00C145D7" w:rsidRDefault="005F7218" w:rsidP="00CA7F04">
            <w:pPr>
              <w:tabs>
                <w:tab w:val="right" w:pos="1202"/>
              </w:tabs>
              <w:spacing w:line="240" w:lineRule="exact"/>
              <w:outlineLvl w:val="0"/>
              <w:rPr>
                <w:rFonts w:ascii="Arial" w:eastAsia="Calibri" w:hAnsi="Arial" w:cs="Arial"/>
                <w:b/>
                <w:bCs/>
                <w:color w:val="000000" w:themeColor="text1"/>
                <w:sz w:val="17"/>
                <w:szCs w:val="17"/>
              </w:rPr>
            </w:pPr>
            <w:r w:rsidRPr="00C145D7">
              <w:rPr>
                <w:rFonts w:ascii="Arial" w:eastAsia="Calibri" w:hAnsi="Arial" w:cs="Arial"/>
                <w:b/>
                <w:bCs/>
                <w:color w:val="000000" w:themeColor="text1"/>
                <w:sz w:val="17"/>
                <w:szCs w:val="17"/>
              </w:rPr>
              <w:t>Obveze</w:t>
            </w:r>
          </w:p>
        </w:tc>
        <w:tc>
          <w:tcPr>
            <w:tcW w:w="1536" w:type="dxa"/>
            <w:tcBorders>
              <w:top w:val="single" w:sz="12" w:space="0" w:color="000000"/>
            </w:tcBorders>
            <w:tcMar>
              <w:top w:w="0" w:type="dxa"/>
              <w:left w:w="120" w:type="dxa"/>
              <w:bottom w:w="0" w:type="dxa"/>
              <w:right w:w="120" w:type="dxa"/>
            </w:tcMar>
            <w:vAlign w:val="bottom"/>
          </w:tcPr>
          <w:p w14:paraId="2CD26ADD" w14:textId="77777777" w:rsidR="005F7218" w:rsidRPr="00C145D7" w:rsidRDefault="005F7218" w:rsidP="00CA7F04">
            <w:pPr>
              <w:spacing w:line="240" w:lineRule="exact"/>
              <w:ind w:left="-123"/>
              <w:jc w:val="right"/>
              <w:rPr>
                <w:rFonts w:ascii="Arial" w:hAnsi="Arial" w:cs="Arial"/>
                <w:color w:val="000000" w:themeColor="text1"/>
                <w:spacing w:val="-2"/>
                <w:sz w:val="17"/>
                <w:szCs w:val="17"/>
              </w:rPr>
            </w:pPr>
          </w:p>
        </w:tc>
        <w:tc>
          <w:tcPr>
            <w:tcW w:w="1258" w:type="dxa"/>
            <w:tcBorders>
              <w:top w:val="single" w:sz="12" w:space="0" w:color="000000"/>
            </w:tcBorders>
            <w:tcMar>
              <w:top w:w="0" w:type="dxa"/>
              <w:left w:w="120" w:type="dxa"/>
              <w:bottom w:w="0" w:type="dxa"/>
              <w:right w:w="120" w:type="dxa"/>
            </w:tcMar>
            <w:vAlign w:val="bottom"/>
          </w:tcPr>
          <w:p w14:paraId="1F5A5B68" w14:textId="77777777" w:rsidR="005F7218" w:rsidRPr="00C145D7" w:rsidRDefault="005F7218" w:rsidP="00CA7F04">
            <w:pPr>
              <w:spacing w:line="240" w:lineRule="exact"/>
              <w:jc w:val="right"/>
              <w:rPr>
                <w:rFonts w:ascii="Arial" w:hAnsi="Arial" w:cs="Arial"/>
                <w:color w:val="000000" w:themeColor="text1"/>
                <w:spacing w:val="-2"/>
                <w:sz w:val="17"/>
                <w:szCs w:val="17"/>
              </w:rPr>
            </w:pPr>
          </w:p>
        </w:tc>
        <w:tc>
          <w:tcPr>
            <w:tcW w:w="1536" w:type="dxa"/>
            <w:tcBorders>
              <w:top w:val="single" w:sz="12" w:space="0" w:color="000000"/>
            </w:tcBorders>
            <w:tcMar>
              <w:top w:w="0" w:type="dxa"/>
              <w:left w:w="120" w:type="dxa"/>
              <w:bottom w:w="0" w:type="dxa"/>
              <w:right w:w="120" w:type="dxa"/>
            </w:tcMar>
            <w:vAlign w:val="bottom"/>
          </w:tcPr>
          <w:p w14:paraId="68716451" w14:textId="77777777" w:rsidR="005F7218" w:rsidRPr="00C145D7" w:rsidRDefault="005F7218" w:rsidP="00CA7F04">
            <w:pPr>
              <w:spacing w:line="240" w:lineRule="exact"/>
              <w:jc w:val="right"/>
              <w:rPr>
                <w:rFonts w:ascii="Arial" w:hAnsi="Arial" w:cs="Arial"/>
                <w:color w:val="000000" w:themeColor="text1"/>
                <w:spacing w:val="-2"/>
                <w:sz w:val="17"/>
                <w:szCs w:val="17"/>
              </w:rPr>
            </w:pPr>
          </w:p>
        </w:tc>
        <w:tc>
          <w:tcPr>
            <w:tcW w:w="1398" w:type="dxa"/>
            <w:tcBorders>
              <w:top w:val="single" w:sz="12" w:space="0" w:color="000000"/>
            </w:tcBorders>
            <w:tcMar>
              <w:top w:w="0" w:type="dxa"/>
              <w:left w:w="120" w:type="dxa"/>
              <w:bottom w:w="0" w:type="dxa"/>
              <w:right w:w="120" w:type="dxa"/>
            </w:tcMar>
            <w:vAlign w:val="bottom"/>
          </w:tcPr>
          <w:p w14:paraId="612278D3" w14:textId="77777777" w:rsidR="005F7218" w:rsidRPr="00C145D7" w:rsidRDefault="005F7218" w:rsidP="00CA7F04">
            <w:pPr>
              <w:spacing w:line="240" w:lineRule="exact"/>
              <w:jc w:val="right"/>
              <w:rPr>
                <w:rFonts w:ascii="Arial" w:hAnsi="Arial" w:cs="Arial"/>
                <w:b/>
                <w:color w:val="000000" w:themeColor="text1"/>
                <w:sz w:val="17"/>
                <w:szCs w:val="17"/>
              </w:rPr>
            </w:pPr>
          </w:p>
        </w:tc>
      </w:tr>
      <w:tr w:rsidR="005F7218" w:rsidRPr="00C145D7" w14:paraId="33ADA9A2" w14:textId="77777777" w:rsidTr="00CA7F04">
        <w:trPr>
          <w:trHeight w:val="243"/>
        </w:trPr>
        <w:tc>
          <w:tcPr>
            <w:tcW w:w="3627" w:type="dxa"/>
            <w:tcMar>
              <w:top w:w="0" w:type="dxa"/>
              <w:left w:w="120" w:type="dxa"/>
              <w:bottom w:w="0" w:type="dxa"/>
              <w:right w:w="120" w:type="dxa"/>
            </w:tcMar>
            <w:vAlign w:val="bottom"/>
          </w:tcPr>
          <w:p w14:paraId="56BBF589" w14:textId="77777777" w:rsidR="005F7218" w:rsidRPr="00C145D7" w:rsidRDefault="005F7218" w:rsidP="00CA7F04">
            <w:pPr>
              <w:tabs>
                <w:tab w:val="right" w:pos="1202"/>
              </w:tabs>
              <w:spacing w:line="240" w:lineRule="exact"/>
              <w:outlineLvl w:val="0"/>
              <w:rPr>
                <w:rFonts w:ascii="Arial" w:eastAsia="Calibri" w:hAnsi="Arial" w:cs="Arial"/>
                <w:color w:val="000000" w:themeColor="text1"/>
                <w:sz w:val="17"/>
                <w:szCs w:val="17"/>
              </w:rPr>
            </w:pPr>
            <w:r w:rsidRPr="00C145D7">
              <w:rPr>
                <w:rFonts w:ascii="Arial" w:eastAsia="Calibri" w:hAnsi="Arial" w:cs="Arial"/>
                <w:color w:val="000000" w:themeColor="text1"/>
                <w:sz w:val="17"/>
                <w:szCs w:val="17"/>
              </w:rPr>
              <w:t>Obveze po depozitima</w:t>
            </w:r>
          </w:p>
        </w:tc>
        <w:tc>
          <w:tcPr>
            <w:tcW w:w="1536" w:type="dxa"/>
            <w:tcBorders>
              <w:top w:val="nil"/>
              <w:left w:val="nil"/>
              <w:bottom w:val="nil"/>
              <w:right w:val="nil"/>
            </w:tcBorders>
            <w:tcMar>
              <w:top w:w="0" w:type="dxa"/>
              <w:left w:w="120" w:type="dxa"/>
              <w:bottom w:w="0" w:type="dxa"/>
              <w:right w:w="120" w:type="dxa"/>
            </w:tcMar>
            <w:vAlign w:val="bottom"/>
          </w:tcPr>
          <w:p w14:paraId="03C75CFF"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180.779 </w:t>
            </w:r>
          </w:p>
        </w:tc>
        <w:tc>
          <w:tcPr>
            <w:tcW w:w="1258" w:type="dxa"/>
            <w:tcBorders>
              <w:top w:val="nil"/>
              <w:left w:val="nil"/>
              <w:bottom w:val="nil"/>
              <w:right w:val="nil"/>
            </w:tcBorders>
            <w:tcMar>
              <w:top w:w="0" w:type="dxa"/>
              <w:left w:w="120" w:type="dxa"/>
              <w:bottom w:w="0" w:type="dxa"/>
              <w:right w:w="120" w:type="dxa"/>
            </w:tcMar>
            <w:vAlign w:val="bottom"/>
          </w:tcPr>
          <w:p w14:paraId="12474D0D"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14.097 </w:t>
            </w:r>
          </w:p>
        </w:tc>
        <w:tc>
          <w:tcPr>
            <w:tcW w:w="1536" w:type="dxa"/>
            <w:tcBorders>
              <w:top w:val="nil"/>
              <w:left w:val="nil"/>
              <w:bottom w:val="nil"/>
              <w:right w:val="nil"/>
            </w:tcBorders>
            <w:tcMar>
              <w:top w:w="0" w:type="dxa"/>
              <w:left w:w="120" w:type="dxa"/>
              <w:bottom w:w="0" w:type="dxa"/>
              <w:right w:w="120" w:type="dxa"/>
            </w:tcMar>
            <w:vAlign w:val="bottom"/>
          </w:tcPr>
          <w:p w14:paraId="546397DB"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 </w:t>
            </w:r>
          </w:p>
        </w:tc>
        <w:tc>
          <w:tcPr>
            <w:tcW w:w="1398" w:type="dxa"/>
            <w:tcBorders>
              <w:top w:val="nil"/>
              <w:left w:val="nil"/>
              <w:bottom w:val="nil"/>
            </w:tcBorders>
            <w:tcMar>
              <w:top w:w="0" w:type="dxa"/>
              <w:left w:w="120" w:type="dxa"/>
              <w:bottom w:w="0" w:type="dxa"/>
              <w:right w:w="120" w:type="dxa"/>
            </w:tcMar>
            <w:vAlign w:val="bottom"/>
          </w:tcPr>
          <w:p w14:paraId="0BC585E0"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194.876 </w:t>
            </w:r>
          </w:p>
        </w:tc>
      </w:tr>
      <w:tr w:rsidR="005F7218" w:rsidRPr="00C145D7" w14:paraId="412FF350" w14:textId="77777777" w:rsidTr="00CA7F04">
        <w:trPr>
          <w:trHeight w:val="180"/>
        </w:trPr>
        <w:tc>
          <w:tcPr>
            <w:tcW w:w="3627" w:type="dxa"/>
            <w:tcMar>
              <w:top w:w="0" w:type="dxa"/>
              <w:left w:w="120" w:type="dxa"/>
              <w:bottom w:w="0" w:type="dxa"/>
              <w:right w:w="120" w:type="dxa"/>
            </w:tcMar>
            <w:vAlign w:val="bottom"/>
          </w:tcPr>
          <w:p w14:paraId="28517BBA" w14:textId="77777777" w:rsidR="005F7218" w:rsidRPr="00C145D7" w:rsidRDefault="005F7218" w:rsidP="00CA7F04">
            <w:pPr>
              <w:tabs>
                <w:tab w:val="right" w:pos="1202"/>
              </w:tabs>
              <w:spacing w:line="240" w:lineRule="exact"/>
              <w:outlineLvl w:val="0"/>
              <w:rPr>
                <w:rFonts w:ascii="Arial" w:eastAsia="Calibri" w:hAnsi="Arial" w:cs="Arial"/>
                <w:color w:val="000000" w:themeColor="text1"/>
                <w:sz w:val="17"/>
                <w:szCs w:val="17"/>
              </w:rPr>
            </w:pPr>
            <w:r w:rsidRPr="00C145D7">
              <w:rPr>
                <w:rFonts w:ascii="Arial" w:eastAsia="Calibri" w:hAnsi="Arial" w:cs="Arial"/>
                <w:color w:val="000000" w:themeColor="text1"/>
                <w:sz w:val="17"/>
                <w:szCs w:val="17"/>
              </w:rPr>
              <w:t>Obveze po kreditima</w:t>
            </w:r>
          </w:p>
        </w:tc>
        <w:tc>
          <w:tcPr>
            <w:tcW w:w="1536" w:type="dxa"/>
            <w:tcBorders>
              <w:top w:val="nil"/>
              <w:left w:val="nil"/>
              <w:bottom w:val="nil"/>
              <w:right w:val="nil"/>
            </w:tcBorders>
            <w:tcMar>
              <w:top w:w="0" w:type="dxa"/>
              <w:left w:w="120" w:type="dxa"/>
              <w:bottom w:w="0" w:type="dxa"/>
              <w:right w:w="120" w:type="dxa"/>
            </w:tcMar>
            <w:vAlign w:val="bottom"/>
          </w:tcPr>
          <w:p w14:paraId="59045A2C"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2.230.910 </w:t>
            </w:r>
          </w:p>
        </w:tc>
        <w:tc>
          <w:tcPr>
            <w:tcW w:w="1258" w:type="dxa"/>
            <w:tcBorders>
              <w:top w:val="nil"/>
              <w:left w:val="nil"/>
              <w:bottom w:val="nil"/>
              <w:right w:val="nil"/>
            </w:tcBorders>
            <w:tcMar>
              <w:top w:w="0" w:type="dxa"/>
              <w:left w:w="120" w:type="dxa"/>
              <w:bottom w:w="0" w:type="dxa"/>
              <w:right w:w="120" w:type="dxa"/>
            </w:tcMar>
            <w:vAlign w:val="bottom"/>
          </w:tcPr>
          <w:p w14:paraId="17042E64"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20.266 </w:t>
            </w:r>
          </w:p>
        </w:tc>
        <w:tc>
          <w:tcPr>
            <w:tcW w:w="1536" w:type="dxa"/>
            <w:tcBorders>
              <w:top w:val="nil"/>
              <w:left w:val="nil"/>
              <w:bottom w:val="nil"/>
              <w:right w:val="nil"/>
            </w:tcBorders>
            <w:tcMar>
              <w:top w:w="0" w:type="dxa"/>
              <w:left w:w="120" w:type="dxa"/>
              <w:bottom w:w="0" w:type="dxa"/>
              <w:right w:w="120" w:type="dxa"/>
            </w:tcMar>
            <w:vAlign w:val="bottom"/>
          </w:tcPr>
          <w:p w14:paraId="16747518"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 </w:t>
            </w:r>
          </w:p>
        </w:tc>
        <w:tc>
          <w:tcPr>
            <w:tcW w:w="1398" w:type="dxa"/>
            <w:tcBorders>
              <w:top w:val="nil"/>
              <w:left w:val="nil"/>
              <w:bottom w:val="nil"/>
            </w:tcBorders>
            <w:tcMar>
              <w:top w:w="0" w:type="dxa"/>
              <w:left w:w="120" w:type="dxa"/>
              <w:bottom w:w="0" w:type="dxa"/>
              <w:right w:w="120" w:type="dxa"/>
            </w:tcMar>
            <w:vAlign w:val="bottom"/>
          </w:tcPr>
          <w:p w14:paraId="0CBCC721"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2.251.176 </w:t>
            </w:r>
          </w:p>
        </w:tc>
      </w:tr>
      <w:tr w:rsidR="005F7218" w:rsidRPr="00C145D7" w14:paraId="073C3209" w14:textId="77777777" w:rsidTr="00CA7F04">
        <w:trPr>
          <w:trHeight w:val="472"/>
        </w:trPr>
        <w:tc>
          <w:tcPr>
            <w:tcW w:w="3627" w:type="dxa"/>
            <w:tcMar>
              <w:top w:w="0" w:type="dxa"/>
              <w:left w:w="120" w:type="dxa"/>
              <w:bottom w:w="0" w:type="dxa"/>
              <w:right w:w="120" w:type="dxa"/>
            </w:tcMar>
            <w:vAlign w:val="bottom"/>
          </w:tcPr>
          <w:p w14:paraId="679611FC" w14:textId="77777777" w:rsidR="005F7218" w:rsidRPr="00C145D7" w:rsidRDefault="005F7218" w:rsidP="00CA7F04">
            <w:pPr>
              <w:tabs>
                <w:tab w:val="right" w:pos="1202"/>
              </w:tabs>
              <w:spacing w:line="240" w:lineRule="exact"/>
              <w:outlineLvl w:val="0"/>
              <w:rPr>
                <w:rFonts w:ascii="Arial" w:eastAsia="Calibri" w:hAnsi="Arial" w:cs="Arial"/>
                <w:color w:val="000000" w:themeColor="text1"/>
                <w:sz w:val="17"/>
                <w:szCs w:val="17"/>
              </w:rPr>
            </w:pPr>
            <w:r w:rsidRPr="00C145D7">
              <w:rPr>
                <w:rFonts w:ascii="Arial" w:eastAsia="Calibri" w:hAnsi="Arial" w:cs="Arial"/>
                <w:color w:val="000000" w:themeColor="text1"/>
                <w:sz w:val="17"/>
                <w:szCs w:val="17"/>
              </w:rPr>
              <w:t>Rezerviranja za garancije, preuzete i ostale obveze</w:t>
            </w:r>
          </w:p>
        </w:tc>
        <w:tc>
          <w:tcPr>
            <w:tcW w:w="1536" w:type="dxa"/>
            <w:tcBorders>
              <w:top w:val="nil"/>
              <w:left w:val="nil"/>
              <w:bottom w:val="nil"/>
              <w:right w:val="nil"/>
            </w:tcBorders>
            <w:tcMar>
              <w:top w:w="0" w:type="dxa"/>
              <w:left w:w="120" w:type="dxa"/>
              <w:bottom w:w="0" w:type="dxa"/>
              <w:right w:w="120" w:type="dxa"/>
            </w:tcMar>
            <w:vAlign w:val="bottom"/>
          </w:tcPr>
          <w:p w14:paraId="033CED28"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21.955 </w:t>
            </w:r>
          </w:p>
        </w:tc>
        <w:tc>
          <w:tcPr>
            <w:tcW w:w="1258" w:type="dxa"/>
            <w:tcBorders>
              <w:top w:val="nil"/>
              <w:left w:val="nil"/>
              <w:bottom w:val="nil"/>
              <w:right w:val="nil"/>
            </w:tcBorders>
            <w:tcMar>
              <w:top w:w="0" w:type="dxa"/>
              <w:left w:w="120" w:type="dxa"/>
              <w:bottom w:w="0" w:type="dxa"/>
              <w:right w:w="120" w:type="dxa"/>
            </w:tcMar>
            <w:vAlign w:val="bottom"/>
          </w:tcPr>
          <w:p w14:paraId="5362CDA1"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66 </w:t>
            </w:r>
          </w:p>
        </w:tc>
        <w:tc>
          <w:tcPr>
            <w:tcW w:w="1536" w:type="dxa"/>
            <w:tcBorders>
              <w:top w:val="nil"/>
              <w:left w:val="nil"/>
              <w:bottom w:val="nil"/>
              <w:right w:val="nil"/>
            </w:tcBorders>
            <w:tcMar>
              <w:top w:w="0" w:type="dxa"/>
              <w:left w:w="120" w:type="dxa"/>
              <w:bottom w:w="0" w:type="dxa"/>
              <w:right w:w="120" w:type="dxa"/>
            </w:tcMar>
            <w:vAlign w:val="bottom"/>
          </w:tcPr>
          <w:p w14:paraId="107778E1"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2.359 </w:t>
            </w:r>
          </w:p>
        </w:tc>
        <w:tc>
          <w:tcPr>
            <w:tcW w:w="1398" w:type="dxa"/>
            <w:tcBorders>
              <w:top w:val="nil"/>
              <w:left w:val="nil"/>
              <w:bottom w:val="nil"/>
            </w:tcBorders>
            <w:tcMar>
              <w:top w:w="0" w:type="dxa"/>
              <w:left w:w="120" w:type="dxa"/>
              <w:bottom w:w="0" w:type="dxa"/>
              <w:right w:w="120" w:type="dxa"/>
            </w:tcMar>
            <w:vAlign w:val="bottom"/>
          </w:tcPr>
          <w:p w14:paraId="5264FC9F"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24.380 </w:t>
            </w:r>
          </w:p>
        </w:tc>
      </w:tr>
      <w:tr w:rsidR="005F7218" w:rsidRPr="00C145D7" w14:paraId="539D4272" w14:textId="77777777" w:rsidTr="00CA7F04">
        <w:trPr>
          <w:trHeight w:val="141"/>
        </w:trPr>
        <w:tc>
          <w:tcPr>
            <w:tcW w:w="3627" w:type="dxa"/>
            <w:tcMar>
              <w:top w:w="0" w:type="dxa"/>
              <w:left w:w="120" w:type="dxa"/>
              <w:bottom w:w="0" w:type="dxa"/>
              <w:right w:w="120" w:type="dxa"/>
            </w:tcMar>
            <w:vAlign w:val="bottom"/>
          </w:tcPr>
          <w:p w14:paraId="2B5847AE" w14:textId="77777777" w:rsidR="005F7218" w:rsidRPr="00C145D7" w:rsidRDefault="005F7218" w:rsidP="00CA7F04">
            <w:pPr>
              <w:tabs>
                <w:tab w:val="right" w:pos="1202"/>
              </w:tabs>
              <w:spacing w:line="240" w:lineRule="exact"/>
              <w:outlineLvl w:val="0"/>
              <w:rPr>
                <w:rFonts w:ascii="Arial" w:eastAsia="Calibri" w:hAnsi="Arial" w:cs="Arial"/>
                <w:color w:val="000000" w:themeColor="text1"/>
                <w:sz w:val="17"/>
                <w:szCs w:val="17"/>
              </w:rPr>
            </w:pPr>
            <w:r w:rsidRPr="00C145D7">
              <w:rPr>
                <w:rFonts w:ascii="Arial" w:eastAsia="Calibri" w:hAnsi="Arial" w:cs="Arial"/>
                <w:color w:val="000000" w:themeColor="text1"/>
                <w:sz w:val="17"/>
                <w:szCs w:val="17"/>
              </w:rPr>
              <w:t>Ostale obveze</w:t>
            </w:r>
          </w:p>
        </w:tc>
        <w:tc>
          <w:tcPr>
            <w:tcW w:w="1536" w:type="dxa"/>
            <w:tcBorders>
              <w:top w:val="nil"/>
              <w:left w:val="nil"/>
              <w:bottom w:val="single" w:sz="4" w:space="0" w:color="auto"/>
              <w:right w:val="nil"/>
            </w:tcBorders>
            <w:tcMar>
              <w:top w:w="0" w:type="dxa"/>
              <w:left w:w="120" w:type="dxa"/>
              <w:bottom w:w="0" w:type="dxa"/>
              <w:right w:w="120" w:type="dxa"/>
            </w:tcMar>
            <w:vAlign w:val="bottom"/>
          </w:tcPr>
          <w:p w14:paraId="74C2B1D4"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90.729 </w:t>
            </w:r>
          </w:p>
        </w:tc>
        <w:tc>
          <w:tcPr>
            <w:tcW w:w="1258" w:type="dxa"/>
            <w:tcBorders>
              <w:top w:val="nil"/>
              <w:left w:val="nil"/>
              <w:bottom w:val="single" w:sz="4" w:space="0" w:color="auto"/>
              <w:right w:val="nil"/>
            </w:tcBorders>
            <w:tcMar>
              <w:top w:w="0" w:type="dxa"/>
              <w:left w:w="120" w:type="dxa"/>
              <w:bottom w:w="0" w:type="dxa"/>
              <w:right w:w="120" w:type="dxa"/>
            </w:tcMar>
            <w:vAlign w:val="bottom"/>
          </w:tcPr>
          <w:p w14:paraId="6C2D0720"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 </w:t>
            </w:r>
          </w:p>
        </w:tc>
        <w:tc>
          <w:tcPr>
            <w:tcW w:w="1536" w:type="dxa"/>
            <w:tcBorders>
              <w:top w:val="nil"/>
              <w:left w:val="nil"/>
              <w:bottom w:val="single" w:sz="4" w:space="0" w:color="auto"/>
              <w:right w:val="nil"/>
            </w:tcBorders>
            <w:tcMar>
              <w:top w:w="0" w:type="dxa"/>
              <w:left w:w="120" w:type="dxa"/>
              <w:bottom w:w="0" w:type="dxa"/>
              <w:right w:w="120" w:type="dxa"/>
            </w:tcMar>
            <w:vAlign w:val="bottom"/>
          </w:tcPr>
          <w:p w14:paraId="1677533C"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 </w:t>
            </w:r>
          </w:p>
        </w:tc>
        <w:tc>
          <w:tcPr>
            <w:tcW w:w="1398" w:type="dxa"/>
            <w:tcBorders>
              <w:top w:val="nil"/>
              <w:left w:val="nil"/>
              <w:bottom w:val="single" w:sz="4" w:space="0" w:color="auto"/>
            </w:tcBorders>
            <w:tcMar>
              <w:top w:w="0" w:type="dxa"/>
              <w:left w:w="120" w:type="dxa"/>
              <w:bottom w:w="0" w:type="dxa"/>
              <w:right w:w="120" w:type="dxa"/>
            </w:tcMar>
            <w:vAlign w:val="bottom"/>
          </w:tcPr>
          <w:p w14:paraId="7AC0DAF7" w14:textId="77777777" w:rsidR="005F7218" w:rsidRPr="00C145D7" w:rsidRDefault="005F7218" w:rsidP="00CA7F04">
            <w:pPr>
              <w:spacing w:line="240" w:lineRule="exact"/>
              <w:jc w:val="right"/>
              <w:rPr>
                <w:rFonts w:ascii="Arial" w:eastAsia="Arial Unicode MS" w:hAnsi="Arial" w:cs="Arial"/>
                <w:color w:val="000000" w:themeColor="text1"/>
                <w:sz w:val="17"/>
                <w:szCs w:val="17"/>
              </w:rPr>
            </w:pPr>
            <w:r w:rsidRPr="00F959D0">
              <w:rPr>
                <w:rFonts w:ascii="Arial" w:eastAsia="Arial Unicode MS" w:hAnsi="Arial" w:cs="Arial"/>
                <w:color w:val="000000" w:themeColor="text1"/>
                <w:sz w:val="17"/>
                <w:szCs w:val="17"/>
              </w:rPr>
              <w:t xml:space="preserve"> 90.729 </w:t>
            </w:r>
          </w:p>
        </w:tc>
      </w:tr>
      <w:tr w:rsidR="005F7218" w:rsidRPr="00C145D7" w14:paraId="66805C31" w14:textId="77777777" w:rsidTr="00CA7F04">
        <w:trPr>
          <w:trHeight w:val="314"/>
        </w:trPr>
        <w:tc>
          <w:tcPr>
            <w:tcW w:w="3627" w:type="dxa"/>
            <w:tcMar>
              <w:top w:w="0" w:type="dxa"/>
              <w:left w:w="120" w:type="dxa"/>
              <w:bottom w:w="0" w:type="dxa"/>
              <w:right w:w="120" w:type="dxa"/>
            </w:tcMar>
            <w:vAlign w:val="bottom"/>
          </w:tcPr>
          <w:p w14:paraId="530AEE0C" w14:textId="77777777" w:rsidR="005F7218" w:rsidRPr="00C145D7" w:rsidRDefault="005F7218" w:rsidP="00CA7F04">
            <w:pPr>
              <w:tabs>
                <w:tab w:val="right" w:pos="1202"/>
              </w:tabs>
              <w:spacing w:line="240" w:lineRule="exact"/>
              <w:outlineLvl w:val="0"/>
              <w:rPr>
                <w:rFonts w:ascii="Arial" w:eastAsia="Calibri" w:hAnsi="Arial" w:cs="Arial"/>
                <w:b/>
                <w:bCs/>
                <w:color w:val="000000" w:themeColor="text1"/>
                <w:sz w:val="17"/>
                <w:szCs w:val="17"/>
              </w:rPr>
            </w:pPr>
            <w:r w:rsidRPr="00C145D7">
              <w:rPr>
                <w:rFonts w:ascii="Arial" w:eastAsia="Calibri" w:hAnsi="Arial" w:cs="Arial"/>
                <w:b/>
                <w:bCs/>
                <w:color w:val="000000" w:themeColor="text1"/>
                <w:sz w:val="17"/>
                <w:szCs w:val="17"/>
              </w:rPr>
              <w:t>Ukupne obveze</w:t>
            </w:r>
          </w:p>
        </w:tc>
        <w:tc>
          <w:tcPr>
            <w:tcW w:w="1536" w:type="dxa"/>
            <w:tcBorders>
              <w:top w:val="single" w:sz="4" w:space="0" w:color="auto"/>
              <w:left w:val="nil"/>
              <w:bottom w:val="single" w:sz="12" w:space="0" w:color="auto"/>
              <w:right w:val="nil"/>
            </w:tcBorders>
            <w:tcMar>
              <w:top w:w="0" w:type="dxa"/>
              <w:left w:w="120" w:type="dxa"/>
              <w:bottom w:w="0" w:type="dxa"/>
              <w:right w:w="120" w:type="dxa"/>
            </w:tcMar>
            <w:vAlign w:val="bottom"/>
          </w:tcPr>
          <w:p w14:paraId="655B2C02" w14:textId="77777777" w:rsidR="005F7218" w:rsidRPr="00B4232F" w:rsidRDefault="005F7218" w:rsidP="00CA7F04">
            <w:pPr>
              <w:spacing w:line="240" w:lineRule="exact"/>
              <w:jc w:val="right"/>
              <w:rPr>
                <w:rFonts w:ascii="Arial" w:eastAsia="Arial Unicode MS" w:hAnsi="Arial" w:cs="Arial"/>
                <w:b/>
                <w:bCs/>
                <w:color w:val="000000" w:themeColor="text1"/>
                <w:sz w:val="17"/>
                <w:szCs w:val="17"/>
              </w:rPr>
            </w:pPr>
            <w:r w:rsidRPr="00F959D0">
              <w:rPr>
                <w:rFonts w:ascii="Arial" w:eastAsia="Arial Unicode MS" w:hAnsi="Arial" w:cs="Arial"/>
                <w:b/>
                <w:bCs/>
                <w:color w:val="000000" w:themeColor="text1"/>
                <w:sz w:val="17"/>
                <w:szCs w:val="17"/>
              </w:rPr>
              <w:t xml:space="preserve"> 2.524.373 </w:t>
            </w:r>
          </w:p>
        </w:tc>
        <w:tc>
          <w:tcPr>
            <w:tcW w:w="1258" w:type="dxa"/>
            <w:tcBorders>
              <w:top w:val="single" w:sz="4" w:space="0" w:color="auto"/>
              <w:left w:val="nil"/>
              <w:bottom w:val="single" w:sz="12" w:space="0" w:color="auto"/>
              <w:right w:val="nil"/>
            </w:tcBorders>
            <w:tcMar>
              <w:top w:w="0" w:type="dxa"/>
              <w:left w:w="120" w:type="dxa"/>
              <w:bottom w:w="0" w:type="dxa"/>
              <w:right w:w="120" w:type="dxa"/>
            </w:tcMar>
            <w:vAlign w:val="bottom"/>
          </w:tcPr>
          <w:p w14:paraId="75B426E9" w14:textId="77777777" w:rsidR="005F7218" w:rsidRPr="00B4232F" w:rsidRDefault="005F7218" w:rsidP="00CA7F04">
            <w:pPr>
              <w:spacing w:line="240" w:lineRule="exact"/>
              <w:jc w:val="right"/>
              <w:rPr>
                <w:rFonts w:ascii="Arial" w:eastAsia="Arial Unicode MS" w:hAnsi="Arial" w:cs="Arial"/>
                <w:b/>
                <w:bCs/>
                <w:color w:val="000000" w:themeColor="text1"/>
                <w:sz w:val="17"/>
                <w:szCs w:val="17"/>
              </w:rPr>
            </w:pPr>
            <w:r w:rsidRPr="00F959D0">
              <w:rPr>
                <w:rFonts w:ascii="Arial" w:eastAsia="Arial Unicode MS" w:hAnsi="Arial" w:cs="Arial"/>
                <w:b/>
                <w:bCs/>
                <w:color w:val="000000" w:themeColor="text1"/>
                <w:sz w:val="17"/>
                <w:szCs w:val="17"/>
              </w:rPr>
              <w:t xml:space="preserve"> 34.429 </w:t>
            </w:r>
          </w:p>
        </w:tc>
        <w:tc>
          <w:tcPr>
            <w:tcW w:w="1536" w:type="dxa"/>
            <w:tcBorders>
              <w:top w:val="single" w:sz="4" w:space="0" w:color="auto"/>
              <w:left w:val="nil"/>
              <w:bottom w:val="single" w:sz="12" w:space="0" w:color="auto"/>
              <w:right w:val="nil"/>
            </w:tcBorders>
            <w:tcMar>
              <w:top w:w="0" w:type="dxa"/>
              <w:left w:w="120" w:type="dxa"/>
              <w:bottom w:w="0" w:type="dxa"/>
              <w:right w:w="120" w:type="dxa"/>
            </w:tcMar>
            <w:vAlign w:val="bottom"/>
          </w:tcPr>
          <w:p w14:paraId="1B459ED9" w14:textId="77777777" w:rsidR="005F7218" w:rsidRPr="00B4232F" w:rsidRDefault="005F7218" w:rsidP="00CA7F04">
            <w:pPr>
              <w:spacing w:line="240" w:lineRule="exact"/>
              <w:jc w:val="right"/>
              <w:rPr>
                <w:rFonts w:ascii="Arial" w:eastAsia="Arial Unicode MS" w:hAnsi="Arial" w:cs="Arial"/>
                <w:b/>
                <w:bCs/>
                <w:color w:val="000000" w:themeColor="text1"/>
                <w:sz w:val="17"/>
                <w:szCs w:val="17"/>
              </w:rPr>
            </w:pPr>
            <w:r w:rsidRPr="00F959D0">
              <w:rPr>
                <w:rFonts w:ascii="Arial" w:eastAsia="Arial Unicode MS" w:hAnsi="Arial" w:cs="Arial"/>
                <w:b/>
                <w:bCs/>
                <w:color w:val="000000" w:themeColor="text1"/>
                <w:sz w:val="17"/>
                <w:szCs w:val="17"/>
              </w:rPr>
              <w:t xml:space="preserve"> 2.359 </w:t>
            </w:r>
          </w:p>
        </w:tc>
        <w:tc>
          <w:tcPr>
            <w:tcW w:w="1398" w:type="dxa"/>
            <w:tcBorders>
              <w:top w:val="single" w:sz="4" w:space="0" w:color="auto"/>
              <w:left w:val="nil"/>
              <w:bottom w:val="single" w:sz="12" w:space="0" w:color="auto"/>
            </w:tcBorders>
            <w:tcMar>
              <w:top w:w="0" w:type="dxa"/>
              <w:left w:w="120" w:type="dxa"/>
              <w:bottom w:w="0" w:type="dxa"/>
              <w:right w:w="120" w:type="dxa"/>
            </w:tcMar>
            <w:vAlign w:val="bottom"/>
          </w:tcPr>
          <w:p w14:paraId="58EBBB61" w14:textId="77777777" w:rsidR="005F7218" w:rsidRPr="00B4232F" w:rsidRDefault="005F7218" w:rsidP="00CA7F04">
            <w:pPr>
              <w:spacing w:line="240" w:lineRule="exact"/>
              <w:jc w:val="right"/>
              <w:rPr>
                <w:rFonts w:ascii="Arial" w:eastAsia="Arial Unicode MS" w:hAnsi="Arial" w:cs="Arial"/>
                <w:b/>
                <w:bCs/>
                <w:color w:val="000000" w:themeColor="text1"/>
                <w:sz w:val="17"/>
                <w:szCs w:val="17"/>
              </w:rPr>
            </w:pPr>
            <w:r w:rsidRPr="00F959D0">
              <w:rPr>
                <w:rFonts w:ascii="Arial" w:eastAsia="Arial Unicode MS" w:hAnsi="Arial" w:cs="Arial"/>
                <w:b/>
                <w:bCs/>
                <w:color w:val="000000" w:themeColor="text1"/>
                <w:sz w:val="17"/>
                <w:szCs w:val="17"/>
              </w:rPr>
              <w:t xml:space="preserve"> 2.561.161 </w:t>
            </w:r>
          </w:p>
        </w:tc>
      </w:tr>
      <w:tr w:rsidR="005F7218" w:rsidRPr="00C145D7" w14:paraId="6D60A10C" w14:textId="77777777" w:rsidTr="00CA7F04">
        <w:trPr>
          <w:trHeight w:val="323"/>
        </w:trPr>
        <w:tc>
          <w:tcPr>
            <w:tcW w:w="3627" w:type="dxa"/>
            <w:tcMar>
              <w:top w:w="0" w:type="dxa"/>
              <w:left w:w="120" w:type="dxa"/>
              <w:bottom w:w="0" w:type="dxa"/>
              <w:right w:w="120" w:type="dxa"/>
            </w:tcMar>
            <w:vAlign w:val="bottom"/>
          </w:tcPr>
          <w:p w14:paraId="655DA97A" w14:textId="77777777" w:rsidR="005F7218" w:rsidRPr="00C145D7" w:rsidRDefault="005F7218" w:rsidP="00CA7F04">
            <w:pPr>
              <w:spacing w:line="240" w:lineRule="exact"/>
              <w:rPr>
                <w:rFonts w:ascii="Arial" w:hAnsi="Arial" w:cs="Arial"/>
                <w:b/>
                <w:bCs/>
                <w:color w:val="000000" w:themeColor="text1"/>
                <w:sz w:val="17"/>
                <w:szCs w:val="17"/>
              </w:rPr>
            </w:pPr>
            <w:r w:rsidRPr="00C145D7">
              <w:rPr>
                <w:rFonts w:ascii="Arial" w:hAnsi="Arial" w:cs="Arial"/>
                <w:b/>
                <w:bCs/>
                <w:color w:val="000000" w:themeColor="text1"/>
                <w:sz w:val="17"/>
                <w:szCs w:val="17"/>
              </w:rPr>
              <w:t>Valutni jaz</w:t>
            </w:r>
          </w:p>
        </w:tc>
        <w:tc>
          <w:tcPr>
            <w:tcW w:w="1536"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553B99D1" w14:textId="77777777" w:rsidR="005F7218" w:rsidRPr="00C145D7" w:rsidRDefault="005F7218" w:rsidP="00CA7F04">
            <w:pPr>
              <w:spacing w:line="240" w:lineRule="exact"/>
              <w:jc w:val="right"/>
              <w:rPr>
                <w:rFonts w:ascii="Arial" w:eastAsia="Arial Unicode MS" w:hAnsi="Arial" w:cs="Arial"/>
                <w:b/>
                <w:bCs/>
                <w:color w:val="000000" w:themeColor="text1"/>
                <w:sz w:val="17"/>
                <w:szCs w:val="17"/>
              </w:rPr>
            </w:pPr>
            <w:r w:rsidRPr="00F959D0">
              <w:rPr>
                <w:rFonts w:ascii="Arial" w:eastAsia="Arial Unicode MS" w:hAnsi="Arial" w:cs="Arial"/>
                <w:b/>
                <w:bCs/>
                <w:color w:val="000000" w:themeColor="text1"/>
                <w:sz w:val="17"/>
                <w:szCs w:val="17"/>
              </w:rPr>
              <w:t xml:space="preserve"> 1.438.221 </w:t>
            </w:r>
          </w:p>
        </w:tc>
        <w:tc>
          <w:tcPr>
            <w:tcW w:w="1258"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6A88C15D" w14:textId="77777777" w:rsidR="005F7218" w:rsidRPr="00C145D7" w:rsidRDefault="005F7218" w:rsidP="00CA7F04">
            <w:pPr>
              <w:spacing w:line="240" w:lineRule="exact"/>
              <w:jc w:val="right"/>
              <w:rPr>
                <w:rFonts w:ascii="Arial" w:eastAsia="Arial Unicode MS" w:hAnsi="Arial" w:cs="Arial"/>
                <w:b/>
                <w:bCs/>
                <w:color w:val="000000" w:themeColor="text1"/>
                <w:sz w:val="17"/>
                <w:szCs w:val="17"/>
              </w:rPr>
            </w:pPr>
            <w:r w:rsidRPr="00F959D0">
              <w:rPr>
                <w:rFonts w:ascii="Arial" w:eastAsia="Arial Unicode MS" w:hAnsi="Arial" w:cs="Arial"/>
                <w:b/>
                <w:bCs/>
                <w:color w:val="000000" w:themeColor="text1"/>
                <w:sz w:val="17"/>
                <w:szCs w:val="17"/>
              </w:rPr>
              <w:t xml:space="preserve"> (549)</w:t>
            </w:r>
          </w:p>
        </w:tc>
        <w:tc>
          <w:tcPr>
            <w:tcW w:w="1536"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1B6EEFD8" w14:textId="77777777" w:rsidR="005F7218" w:rsidRPr="00C145D7" w:rsidRDefault="005F7218" w:rsidP="00CA7F04">
            <w:pPr>
              <w:spacing w:line="240" w:lineRule="exact"/>
              <w:jc w:val="right"/>
              <w:rPr>
                <w:rFonts w:ascii="Arial" w:eastAsia="Arial Unicode MS" w:hAnsi="Arial" w:cs="Arial"/>
                <w:b/>
                <w:bCs/>
                <w:color w:val="000000" w:themeColor="text1"/>
                <w:sz w:val="17"/>
                <w:szCs w:val="17"/>
              </w:rPr>
            </w:pPr>
            <w:r w:rsidRPr="00F959D0">
              <w:rPr>
                <w:rFonts w:ascii="Arial" w:eastAsia="Arial Unicode MS" w:hAnsi="Arial" w:cs="Arial"/>
                <w:b/>
                <w:bCs/>
                <w:color w:val="000000" w:themeColor="text1"/>
                <w:sz w:val="17"/>
                <w:szCs w:val="17"/>
              </w:rPr>
              <w:t xml:space="preserve"> 19.851 </w:t>
            </w:r>
          </w:p>
        </w:tc>
        <w:tc>
          <w:tcPr>
            <w:tcW w:w="1398" w:type="dxa"/>
            <w:tcBorders>
              <w:top w:val="single" w:sz="12" w:space="0" w:color="auto"/>
              <w:left w:val="nil"/>
              <w:bottom w:val="single" w:sz="12" w:space="0" w:color="auto"/>
            </w:tcBorders>
            <w:shd w:val="clear" w:color="000000" w:fill="auto"/>
            <w:tcMar>
              <w:top w:w="0" w:type="dxa"/>
              <w:left w:w="120" w:type="dxa"/>
              <w:bottom w:w="0" w:type="dxa"/>
              <w:right w:w="120" w:type="dxa"/>
            </w:tcMar>
            <w:vAlign w:val="bottom"/>
          </w:tcPr>
          <w:p w14:paraId="09F3E9E5" w14:textId="77777777" w:rsidR="005F7218" w:rsidRPr="00C145D7" w:rsidRDefault="005F7218" w:rsidP="00CA7F04">
            <w:pPr>
              <w:spacing w:line="240" w:lineRule="exact"/>
              <w:jc w:val="right"/>
              <w:rPr>
                <w:rFonts w:ascii="Arial" w:eastAsia="Arial Unicode MS" w:hAnsi="Arial" w:cs="Arial"/>
                <w:b/>
                <w:bCs/>
                <w:color w:val="000000" w:themeColor="text1"/>
                <w:sz w:val="17"/>
                <w:szCs w:val="17"/>
              </w:rPr>
            </w:pPr>
            <w:r w:rsidRPr="00F959D0">
              <w:rPr>
                <w:rFonts w:ascii="Arial" w:eastAsia="Arial Unicode MS" w:hAnsi="Arial" w:cs="Arial"/>
                <w:b/>
                <w:bCs/>
                <w:color w:val="000000" w:themeColor="text1"/>
                <w:sz w:val="17"/>
                <w:szCs w:val="17"/>
              </w:rPr>
              <w:t xml:space="preserve"> 1.457.523 </w:t>
            </w:r>
          </w:p>
        </w:tc>
      </w:tr>
    </w:tbl>
    <w:p w14:paraId="5B7D4988"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20"/>
          <w:szCs w:val="20"/>
        </w:rPr>
      </w:pPr>
    </w:p>
    <w:p w14:paraId="707ACD81" w14:textId="77777777"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322ACBAB" w14:textId="0B2A2F22" w:rsidR="006A67A0" w:rsidRPr="003D1614" w:rsidRDefault="006A67A0" w:rsidP="006A67A0">
      <w:pPr>
        <w:tabs>
          <w:tab w:val="right" w:pos="1202"/>
        </w:tabs>
        <w:suppressAutoHyphens/>
        <w:autoSpaceDN w:val="0"/>
        <w:jc w:val="both"/>
        <w:outlineLvl w:val="0"/>
        <w:rPr>
          <w:rFonts w:ascii="Arial" w:eastAsia="Times New Roman" w:hAnsi="Arial" w:cs="Arial"/>
          <w:i/>
          <w:color w:val="000000" w:themeColor="text1"/>
          <w:sz w:val="18"/>
          <w:szCs w:val="18"/>
        </w:rPr>
      </w:pPr>
    </w:p>
    <w:p w14:paraId="7B1F8004" w14:textId="05BA64F7" w:rsidR="006A67A0" w:rsidRDefault="006A67A0" w:rsidP="00F40C51">
      <w:pPr>
        <w:tabs>
          <w:tab w:val="left" w:pos="7751"/>
        </w:tabs>
        <w:suppressAutoHyphens/>
        <w:autoSpaceDN w:val="0"/>
        <w:jc w:val="both"/>
        <w:outlineLvl w:val="0"/>
        <w:rPr>
          <w:rFonts w:ascii="Arial" w:eastAsia="Times New Roman" w:hAnsi="Arial" w:cs="Arial"/>
          <w:i/>
          <w:color w:val="000000" w:themeColor="text1"/>
          <w:sz w:val="18"/>
          <w:szCs w:val="18"/>
        </w:rPr>
      </w:pPr>
    </w:p>
    <w:p w14:paraId="7A3B905A" w14:textId="77777777" w:rsidR="000D12FF" w:rsidRDefault="000D12FF" w:rsidP="00847D57">
      <w:pPr>
        <w:rPr>
          <w:rFonts w:ascii="Arial" w:eastAsia="Times New Roman" w:hAnsi="Arial" w:cs="Arial"/>
          <w:sz w:val="18"/>
          <w:szCs w:val="18"/>
        </w:rPr>
        <w:sectPr w:rsidR="000D12FF" w:rsidSect="003278AB">
          <w:pgSz w:w="11906" w:h="16838"/>
          <w:pgMar w:top="1417" w:right="1417" w:bottom="1417" w:left="1417" w:header="708" w:footer="708" w:gutter="0"/>
          <w:cols w:space="708"/>
          <w:docGrid w:linePitch="360"/>
        </w:sectPr>
      </w:pPr>
    </w:p>
    <w:p w14:paraId="5F2DC931" w14:textId="77777777" w:rsidR="00847D57" w:rsidRPr="00847D57" w:rsidRDefault="00847D57" w:rsidP="00847D57">
      <w:pPr>
        <w:rPr>
          <w:rFonts w:ascii="Arial" w:eastAsia="Times New Roman" w:hAnsi="Arial" w:cs="Arial"/>
          <w:sz w:val="18"/>
          <w:szCs w:val="18"/>
        </w:rPr>
      </w:pPr>
    </w:p>
    <w:p w14:paraId="2566421E" w14:textId="77777777" w:rsidR="00827649" w:rsidRPr="003D1614" w:rsidRDefault="00827649" w:rsidP="0082764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        Upravljanje rizicima (nastavak)</w:t>
      </w:r>
    </w:p>
    <w:p w14:paraId="5F034B18" w14:textId="77777777" w:rsidR="00827649" w:rsidRPr="003D1614" w:rsidRDefault="00827649" w:rsidP="00827649">
      <w:pPr>
        <w:keepNext/>
        <w:suppressAutoHyphens/>
        <w:autoSpaceDN w:val="0"/>
        <w:ind w:left="709" w:hanging="709"/>
        <w:jc w:val="both"/>
        <w:outlineLvl w:val="0"/>
        <w:rPr>
          <w:rFonts w:ascii="Arial" w:eastAsia="Times New Roman" w:hAnsi="Arial" w:cs="Arial"/>
          <w:b/>
          <w:bCs/>
          <w:color w:val="000000" w:themeColor="text1"/>
          <w:sz w:val="20"/>
          <w:szCs w:val="20"/>
        </w:rPr>
      </w:pPr>
    </w:p>
    <w:p w14:paraId="1C64BB87" w14:textId="77777777" w:rsidR="00827649" w:rsidRPr="003D1614" w:rsidRDefault="00827649" w:rsidP="0082764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     Tržišni rizik (nastavak)</w:t>
      </w:r>
    </w:p>
    <w:p w14:paraId="5F7ADB6B" w14:textId="77777777" w:rsidR="00827649" w:rsidRPr="003D1614" w:rsidRDefault="00827649" w:rsidP="00827649">
      <w:pPr>
        <w:keepNext/>
        <w:suppressAutoHyphens/>
        <w:autoSpaceDN w:val="0"/>
        <w:ind w:left="709" w:hanging="709"/>
        <w:jc w:val="both"/>
        <w:outlineLvl w:val="0"/>
        <w:rPr>
          <w:rFonts w:ascii="Arial" w:eastAsia="Times New Roman" w:hAnsi="Arial" w:cs="Arial"/>
          <w:b/>
          <w:bCs/>
          <w:color w:val="000000" w:themeColor="text1"/>
          <w:sz w:val="20"/>
          <w:szCs w:val="20"/>
        </w:rPr>
      </w:pPr>
    </w:p>
    <w:p w14:paraId="07408C9D" w14:textId="77777777" w:rsidR="00827649" w:rsidRPr="003D1614" w:rsidRDefault="00827649" w:rsidP="00827649">
      <w:pPr>
        <w:keepNext/>
        <w:suppressAutoHyphens/>
        <w:autoSpaceDN w:val="0"/>
        <w:ind w:left="709" w:hanging="709"/>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2</w:t>
      </w:r>
      <w:r>
        <w:rPr>
          <w:rFonts w:ascii="Arial" w:eastAsia="Times New Roman" w:hAnsi="Arial" w:cs="Arial"/>
          <w:b/>
          <w:bCs/>
          <w:color w:val="000000" w:themeColor="text1"/>
          <w:sz w:val="20"/>
          <w:szCs w:val="20"/>
        </w:rPr>
        <w:t>3</w:t>
      </w:r>
      <w:r w:rsidRPr="003D1614">
        <w:rPr>
          <w:rFonts w:ascii="Arial" w:eastAsia="Times New Roman" w:hAnsi="Arial" w:cs="Arial"/>
          <w:b/>
          <w:bCs/>
          <w:color w:val="000000" w:themeColor="text1"/>
          <w:sz w:val="20"/>
          <w:szCs w:val="20"/>
        </w:rPr>
        <w:t>.5.2.  Valutni rizik (nastavak)</w:t>
      </w:r>
    </w:p>
    <w:p w14:paraId="525F165C" w14:textId="77777777" w:rsidR="00827649" w:rsidRPr="003D1614" w:rsidRDefault="00827649" w:rsidP="00827649">
      <w:pPr>
        <w:suppressAutoHyphens/>
        <w:autoSpaceDN w:val="0"/>
        <w:jc w:val="both"/>
        <w:outlineLvl w:val="0"/>
        <w:rPr>
          <w:rFonts w:ascii="Arial" w:eastAsia="Times New Roman" w:hAnsi="Arial" w:cs="Arial"/>
          <w:b/>
          <w:bCs/>
          <w:color w:val="000000" w:themeColor="text1"/>
          <w:sz w:val="20"/>
          <w:szCs w:val="20"/>
        </w:rPr>
      </w:pPr>
    </w:p>
    <w:p w14:paraId="24E9B186" w14:textId="77777777" w:rsidR="00827649" w:rsidRPr="003D1614" w:rsidRDefault="00827649" w:rsidP="00827649">
      <w:pPr>
        <w:suppressAutoHyphens/>
        <w:autoSpaceDN w:val="0"/>
        <w:jc w:val="both"/>
        <w:outlineLvl w:val="0"/>
        <w:rPr>
          <w:rFonts w:ascii="Arial" w:eastAsia="Times New Roman" w:hAnsi="Arial" w:cs="Arial"/>
          <w:b/>
          <w:bCs/>
          <w:color w:val="000000" w:themeColor="text1"/>
          <w:sz w:val="20"/>
          <w:szCs w:val="20"/>
        </w:rPr>
      </w:pPr>
      <w:r w:rsidRPr="003D1614">
        <w:rPr>
          <w:rFonts w:ascii="Arial" w:eastAsia="Times New Roman" w:hAnsi="Arial" w:cs="Arial"/>
          <w:b/>
          <w:bCs/>
          <w:color w:val="000000" w:themeColor="text1"/>
          <w:sz w:val="20"/>
          <w:szCs w:val="20"/>
        </w:rPr>
        <w:t>Analiza osjetljivosti</w:t>
      </w:r>
    </w:p>
    <w:p w14:paraId="344C1CF3" w14:textId="77777777" w:rsidR="00827649" w:rsidRPr="003D1614" w:rsidRDefault="00827649" w:rsidP="00827649">
      <w:pPr>
        <w:suppressAutoHyphens/>
        <w:autoSpaceDN w:val="0"/>
        <w:jc w:val="both"/>
        <w:outlineLvl w:val="0"/>
        <w:rPr>
          <w:rFonts w:ascii="Arial" w:eastAsia="Times New Roman" w:hAnsi="Arial" w:cs="Arial"/>
          <w:b/>
          <w:bCs/>
          <w:color w:val="000000" w:themeColor="text1"/>
          <w:sz w:val="20"/>
          <w:szCs w:val="20"/>
        </w:rPr>
      </w:pPr>
    </w:p>
    <w:p w14:paraId="66FF63C0" w14:textId="77777777" w:rsidR="00827649" w:rsidRPr="003D1614" w:rsidRDefault="00827649" w:rsidP="00827649">
      <w:pPr>
        <w:suppressAutoHyphens/>
        <w:autoSpaceDN w:val="0"/>
        <w:jc w:val="both"/>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Analiza osjetljivosti ukupne imovine i ukupnih obveza Banke na promjene deviznih tečajeva provodi se za one strane valute koje na izvještajni datum predstavljaju značajnu valutu Banke. </w:t>
      </w:r>
    </w:p>
    <w:p w14:paraId="6EA2B5E8" w14:textId="77777777" w:rsidR="00827649" w:rsidRPr="003D1614" w:rsidRDefault="00827649" w:rsidP="00827649">
      <w:pPr>
        <w:suppressAutoHyphens/>
        <w:autoSpaceDN w:val="0"/>
        <w:jc w:val="both"/>
        <w:rPr>
          <w:rFonts w:ascii="Arial" w:eastAsia="Times New Roman" w:hAnsi="Arial" w:cs="Arial"/>
          <w:bCs/>
          <w:color w:val="000000" w:themeColor="text1"/>
          <w:sz w:val="20"/>
          <w:szCs w:val="20"/>
        </w:rPr>
      </w:pPr>
    </w:p>
    <w:p w14:paraId="73297A77" w14:textId="0CDEA5ED" w:rsidR="00827649" w:rsidRPr="003D1614" w:rsidRDefault="00827649" w:rsidP="00827649">
      <w:pPr>
        <w:keepNext/>
        <w:suppressAutoHyphens/>
        <w:autoSpaceDN w:val="0"/>
        <w:jc w:val="both"/>
        <w:rPr>
          <w:rFonts w:ascii="Arial" w:eastAsia="Times New Roman" w:hAnsi="Arial" w:cs="Arial"/>
          <w:bCs/>
          <w:color w:val="000000" w:themeColor="text1"/>
          <w:sz w:val="20"/>
          <w:szCs w:val="20"/>
        </w:rPr>
      </w:pPr>
      <w:r w:rsidRPr="003D1614">
        <w:rPr>
          <w:rFonts w:ascii="Arial" w:eastAsia="Times New Roman" w:hAnsi="Arial" w:cs="Arial"/>
          <w:bCs/>
          <w:color w:val="000000" w:themeColor="text1"/>
          <w:sz w:val="20"/>
          <w:szCs w:val="20"/>
        </w:rPr>
        <w:t xml:space="preserve">U analizi osjetljivosti za valutni rizik primijenjena je pretpostavka razumno </w:t>
      </w:r>
      <w:r w:rsidRPr="00A17457">
        <w:rPr>
          <w:rFonts w:ascii="Arial" w:eastAsia="Times New Roman" w:hAnsi="Arial" w:cs="Arial"/>
          <w:bCs/>
          <w:color w:val="000000" w:themeColor="text1"/>
          <w:sz w:val="20"/>
          <w:szCs w:val="20"/>
        </w:rPr>
        <w:t>moguće promjene tečaja USD u odnosu na euro,</w:t>
      </w:r>
      <w:r w:rsidRPr="001A34C1">
        <w:rPr>
          <w:rFonts w:ascii="Arial" w:eastAsia="Times New Roman" w:hAnsi="Arial" w:cs="Arial"/>
          <w:bCs/>
          <w:color w:val="000000" w:themeColor="text1"/>
          <w:sz w:val="20"/>
          <w:szCs w:val="20"/>
        </w:rPr>
        <w:t xml:space="preserve"> uz ostale varijable stabilne, radi procjene hipotetskog utjecaja na dobit HBOR-a na dan 31. ožujka 202</w:t>
      </w:r>
      <w:r w:rsidR="00F01189">
        <w:rPr>
          <w:rFonts w:ascii="Arial" w:eastAsia="Times New Roman" w:hAnsi="Arial" w:cs="Arial"/>
          <w:bCs/>
          <w:color w:val="000000" w:themeColor="text1"/>
          <w:sz w:val="20"/>
          <w:szCs w:val="20"/>
        </w:rPr>
        <w:t>4</w:t>
      </w:r>
      <w:r w:rsidRPr="001A34C1">
        <w:rPr>
          <w:rFonts w:ascii="Arial" w:eastAsia="Times New Roman" w:hAnsi="Arial" w:cs="Arial"/>
          <w:bCs/>
          <w:color w:val="000000" w:themeColor="text1"/>
          <w:sz w:val="20"/>
          <w:szCs w:val="20"/>
        </w:rPr>
        <w:t>.</w:t>
      </w:r>
    </w:p>
    <w:p w14:paraId="194C2ABB" w14:textId="77777777" w:rsidR="00827649" w:rsidRPr="003D1614" w:rsidRDefault="00827649" w:rsidP="00827649">
      <w:pPr>
        <w:keepNext/>
        <w:suppressAutoHyphens/>
        <w:autoSpaceDN w:val="0"/>
        <w:jc w:val="both"/>
        <w:rPr>
          <w:rFonts w:ascii="Arial" w:eastAsia="Times New Roman" w:hAnsi="Arial" w:cs="Arial"/>
          <w:bCs/>
          <w:color w:val="000000" w:themeColor="text1"/>
          <w:sz w:val="20"/>
          <w:szCs w:val="20"/>
        </w:rPr>
      </w:pPr>
    </w:p>
    <w:p w14:paraId="1A101962" w14:textId="00D8C4DA" w:rsidR="00827649" w:rsidRPr="003D1614" w:rsidRDefault="00827649" w:rsidP="00827649">
      <w:pPr>
        <w:keepNext/>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bCs/>
          <w:color w:val="000000" w:themeColor="text1"/>
          <w:sz w:val="20"/>
          <w:szCs w:val="20"/>
        </w:rPr>
        <w:t xml:space="preserve">Primjenom metode standardne </w:t>
      </w:r>
      <w:r w:rsidRPr="003D1614">
        <w:rPr>
          <w:rFonts w:ascii="Arial" w:eastAsia="Times New Roman" w:hAnsi="Arial" w:cs="Arial"/>
          <w:color w:val="000000" w:themeColor="text1"/>
          <w:sz w:val="20"/>
          <w:szCs w:val="20"/>
        </w:rPr>
        <w:t>devijacije na promjene tečaja EUR/</w:t>
      </w:r>
      <w:r>
        <w:rPr>
          <w:rFonts w:ascii="Arial" w:eastAsia="Times New Roman" w:hAnsi="Arial" w:cs="Arial"/>
          <w:color w:val="000000" w:themeColor="text1"/>
          <w:sz w:val="20"/>
          <w:szCs w:val="20"/>
        </w:rPr>
        <w:t>USD</w:t>
      </w:r>
      <w:r w:rsidRPr="003D1614">
        <w:rPr>
          <w:rFonts w:ascii="Arial" w:eastAsia="Times New Roman" w:hAnsi="Arial" w:cs="Arial"/>
          <w:color w:val="000000" w:themeColor="text1"/>
          <w:sz w:val="20"/>
          <w:szCs w:val="20"/>
        </w:rPr>
        <w:t xml:space="preserve"> utvrđena je volatilnost tečaja EUR/</w:t>
      </w:r>
      <w:r>
        <w:rPr>
          <w:rFonts w:ascii="Arial" w:eastAsia="Times New Roman" w:hAnsi="Arial" w:cs="Arial"/>
          <w:color w:val="000000" w:themeColor="text1"/>
          <w:sz w:val="20"/>
          <w:szCs w:val="20"/>
        </w:rPr>
        <w:t>USD</w:t>
      </w:r>
      <w:r w:rsidRPr="003D1614">
        <w:rPr>
          <w:rFonts w:ascii="Arial" w:eastAsia="Times New Roman" w:hAnsi="Arial" w:cs="Arial"/>
          <w:color w:val="000000" w:themeColor="text1"/>
          <w:sz w:val="20"/>
          <w:szCs w:val="20"/>
        </w:rPr>
        <w:t xml:space="preserve"> koja je u razdoblju od prethodnih 12 mjeseci iznosila </w:t>
      </w:r>
      <w:r w:rsidR="00EE4844">
        <w:rPr>
          <w:rFonts w:ascii="Arial" w:eastAsia="Times New Roman" w:hAnsi="Arial" w:cs="Arial"/>
          <w:color w:val="000000" w:themeColor="text1"/>
          <w:sz w:val="20"/>
          <w:szCs w:val="20"/>
        </w:rPr>
        <w:t>6,42</w:t>
      </w:r>
      <w:r w:rsidRPr="003D1614">
        <w:rPr>
          <w:rFonts w:ascii="Arial" w:eastAsia="Times New Roman" w:hAnsi="Arial" w:cs="Arial"/>
          <w:color w:val="000000" w:themeColor="text1"/>
          <w:sz w:val="20"/>
          <w:szCs w:val="20"/>
        </w:rPr>
        <w:t>%.</w:t>
      </w:r>
    </w:p>
    <w:p w14:paraId="76AA8915" w14:textId="77777777" w:rsidR="00827649" w:rsidRPr="003D1614" w:rsidRDefault="00827649" w:rsidP="00827649">
      <w:pPr>
        <w:keepNext/>
        <w:suppressAutoHyphens/>
        <w:autoSpaceDN w:val="0"/>
        <w:jc w:val="both"/>
        <w:rPr>
          <w:rFonts w:ascii="Arial" w:eastAsia="Times New Roman" w:hAnsi="Arial" w:cs="Arial"/>
          <w:color w:val="000000" w:themeColor="text1"/>
          <w:sz w:val="20"/>
          <w:szCs w:val="20"/>
        </w:rPr>
      </w:pPr>
    </w:p>
    <w:p w14:paraId="0759EB96" w14:textId="77777777" w:rsidR="00827649" w:rsidRPr="0016387E" w:rsidRDefault="00827649" w:rsidP="00827649">
      <w:pPr>
        <w:suppressAutoHyphens/>
        <w:autoSpaceDN w:val="0"/>
        <w:jc w:val="both"/>
        <w:rPr>
          <w:rFonts w:ascii="Arial" w:eastAsia="Times New Roman" w:hAnsi="Arial" w:cs="Arial"/>
          <w:bCs/>
          <w:color w:val="000000" w:themeColor="text1"/>
          <w:sz w:val="20"/>
          <w:szCs w:val="20"/>
        </w:rPr>
      </w:pPr>
      <w:r w:rsidRPr="00A17457">
        <w:rPr>
          <w:rFonts w:ascii="Arial" w:eastAsia="Times New Roman" w:hAnsi="Arial" w:cs="Arial"/>
          <w:bCs/>
          <w:color w:val="000000" w:themeColor="text1"/>
          <w:sz w:val="20"/>
          <w:szCs w:val="20"/>
        </w:rPr>
        <w:t>U nastavku se iskazuje utjecaj pretpostavljene promjene tečaja EUR/</w:t>
      </w:r>
      <w:r>
        <w:rPr>
          <w:rFonts w:ascii="Arial" w:eastAsia="Times New Roman" w:hAnsi="Arial" w:cs="Arial"/>
          <w:bCs/>
          <w:color w:val="000000" w:themeColor="text1"/>
          <w:sz w:val="20"/>
          <w:szCs w:val="20"/>
        </w:rPr>
        <w:t>USD</w:t>
      </w:r>
      <w:r w:rsidRPr="002E49B8">
        <w:rPr>
          <w:rFonts w:ascii="Arial" w:eastAsia="Times New Roman" w:hAnsi="Arial" w:cs="Arial"/>
          <w:bCs/>
          <w:color w:val="000000" w:themeColor="text1"/>
          <w:sz w:val="20"/>
          <w:szCs w:val="20"/>
        </w:rPr>
        <w:t xml:space="preserve">, po stavkama ukupne imovine i ukupnih obveza denominiranim ili vezanim uz </w:t>
      </w:r>
      <w:r>
        <w:rPr>
          <w:rFonts w:ascii="Arial" w:eastAsia="Times New Roman" w:hAnsi="Arial" w:cs="Arial"/>
          <w:bCs/>
          <w:color w:val="000000" w:themeColor="text1"/>
          <w:sz w:val="20"/>
          <w:szCs w:val="20"/>
        </w:rPr>
        <w:t>USD</w:t>
      </w:r>
      <w:r w:rsidRPr="002E49B8">
        <w:rPr>
          <w:rFonts w:ascii="Arial" w:eastAsia="Times New Roman" w:hAnsi="Arial" w:cs="Arial"/>
          <w:bCs/>
          <w:color w:val="000000" w:themeColor="text1"/>
          <w:sz w:val="20"/>
          <w:szCs w:val="20"/>
        </w:rPr>
        <w:t>,</w:t>
      </w:r>
      <w:r w:rsidRPr="002E49B8" w:rsidDel="007E1CF7">
        <w:rPr>
          <w:rFonts w:ascii="Arial" w:eastAsia="Times New Roman" w:hAnsi="Arial" w:cs="Arial"/>
          <w:bCs/>
          <w:color w:val="000000" w:themeColor="text1"/>
          <w:sz w:val="20"/>
          <w:szCs w:val="20"/>
        </w:rPr>
        <w:t xml:space="preserve"> </w:t>
      </w:r>
      <w:r w:rsidRPr="002E49B8">
        <w:rPr>
          <w:rFonts w:ascii="Arial" w:eastAsia="Times New Roman" w:hAnsi="Arial" w:cs="Arial"/>
          <w:bCs/>
          <w:color w:val="000000" w:themeColor="text1"/>
          <w:sz w:val="20"/>
          <w:szCs w:val="20"/>
        </w:rPr>
        <w:t>na dobit HBOR-a.</w:t>
      </w:r>
    </w:p>
    <w:p w14:paraId="1FAF7DD6" w14:textId="77777777" w:rsidR="00827649" w:rsidRPr="0016387E" w:rsidRDefault="00827649" w:rsidP="00827649">
      <w:pPr>
        <w:suppressAutoHyphens/>
        <w:autoSpaceDN w:val="0"/>
        <w:jc w:val="both"/>
        <w:rPr>
          <w:rFonts w:ascii="Arial" w:eastAsia="Times New Roman" w:hAnsi="Arial" w:cs="Arial"/>
          <w:bCs/>
          <w:color w:val="000000" w:themeColor="text1"/>
          <w:sz w:val="20"/>
          <w:szCs w:val="20"/>
        </w:rPr>
      </w:pPr>
    </w:p>
    <w:p w14:paraId="2A7B31E4" w14:textId="77777777" w:rsidR="00827649" w:rsidRPr="0016387E" w:rsidRDefault="00827649" w:rsidP="00827649">
      <w:pPr>
        <w:suppressAutoHyphens/>
        <w:autoSpaceDN w:val="0"/>
        <w:jc w:val="both"/>
        <w:rPr>
          <w:rFonts w:ascii="Arial" w:eastAsia="Times New Roman" w:hAnsi="Arial" w:cs="Arial"/>
          <w:bCs/>
          <w:color w:val="000000" w:themeColor="text1"/>
          <w:sz w:val="20"/>
          <w:szCs w:val="20"/>
        </w:rPr>
      </w:pPr>
    </w:p>
    <w:tbl>
      <w:tblPr>
        <w:tblW w:w="4999" w:type="pct"/>
        <w:jc w:val="center"/>
        <w:tblLook w:val="01E0" w:firstRow="1" w:lastRow="1" w:firstColumn="1" w:lastColumn="1" w:noHBand="0" w:noVBand="0"/>
      </w:tblPr>
      <w:tblGrid>
        <w:gridCol w:w="1791"/>
        <w:gridCol w:w="1820"/>
        <w:gridCol w:w="1821"/>
        <w:gridCol w:w="1819"/>
        <w:gridCol w:w="1819"/>
      </w:tblGrid>
      <w:tr w:rsidR="00827649" w:rsidRPr="0016387E" w14:paraId="301C711C" w14:textId="53B340E6" w:rsidTr="00827649">
        <w:trPr>
          <w:trHeight w:hRule="exact" w:val="673"/>
          <w:jc w:val="center"/>
        </w:trPr>
        <w:tc>
          <w:tcPr>
            <w:tcW w:w="987" w:type="pct"/>
          </w:tcPr>
          <w:p w14:paraId="5335C5AE" w14:textId="77777777" w:rsidR="00827649" w:rsidRPr="0016387E" w:rsidRDefault="00827649" w:rsidP="00827649">
            <w:pPr>
              <w:suppressAutoHyphens/>
              <w:autoSpaceDN w:val="0"/>
              <w:spacing w:before="240" w:after="120" w:line="360" w:lineRule="auto"/>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Valuta</w:t>
            </w:r>
          </w:p>
        </w:tc>
        <w:tc>
          <w:tcPr>
            <w:tcW w:w="1003" w:type="pct"/>
          </w:tcPr>
          <w:p w14:paraId="50ED737C" w14:textId="77777777" w:rsidR="00827649" w:rsidRPr="0016387E" w:rsidRDefault="00827649" w:rsidP="00827649">
            <w:pPr>
              <w:suppressAutoHyphens/>
              <w:autoSpaceDN w:val="0"/>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Promjene tečaja valute</w:t>
            </w:r>
          </w:p>
          <w:p w14:paraId="40743CA1" w14:textId="1532B718" w:rsidR="00827649" w:rsidRPr="0016387E" w:rsidRDefault="00827649" w:rsidP="00827649">
            <w:pPr>
              <w:suppressAutoHyphens/>
              <w:autoSpaceDN w:val="0"/>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31.3.202</w:t>
            </w:r>
            <w:r>
              <w:rPr>
                <w:rFonts w:ascii="Arial" w:eastAsia="Times New Roman" w:hAnsi="Arial" w:cs="Arial"/>
                <w:b/>
                <w:bCs/>
                <w:color w:val="000000" w:themeColor="text1"/>
                <w:sz w:val="19"/>
                <w:szCs w:val="19"/>
              </w:rPr>
              <w:t>4</w:t>
            </w:r>
            <w:r w:rsidRPr="0016387E">
              <w:rPr>
                <w:rFonts w:ascii="Arial" w:eastAsia="Times New Roman" w:hAnsi="Arial" w:cs="Arial"/>
                <w:b/>
                <w:bCs/>
                <w:color w:val="000000" w:themeColor="text1"/>
                <w:sz w:val="19"/>
                <w:szCs w:val="19"/>
              </w:rPr>
              <w:t xml:space="preserve">. </w:t>
            </w:r>
          </w:p>
          <w:p w14:paraId="4646CB7F" w14:textId="77777777" w:rsidR="00827649" w:rsidRPr="0016387E" w:rsidRDefault="00827649" w:rsidP="00827649">
            <w:pPr>
              <w:suppressAutoHyphens/>
              <w:autoSpaceDN w:val="0"/>
              <w:jc w:val="right"/>
              <w:rPr>
                <w:rFonts w:ascii="Arial" w:eastAsia="Times New Roman" w:hAnsi="Arial" w:cs="Arial"/>
                <w:b/>
                <w:bCs/>
                <w:color w:val="000000" w:themeColor="text1"/>
                <w:sz w:val="19"/>
                <w:szCs w:val="19"/>
              </w:rPr>
            </w:pPr>
          </w:p>
        </w:tc>
        <w:tc>
          <w:tcPr>
            <w:tcW w:w="1004" w:type="pct"/>
          </w:tcPr>
          <w:p w14:paraId="053A2484" w14:textId="77777777" w:rsidR="00827649" w:rsidRPr="0016387E" w:rsidRDefault="00827649" w:rsidP="00827649">
            <w:pPr>
              <w:suppressAutoHyphens/>
              <w:autoSpaceDN w:val="0"/>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Utjecaj na</w:t>
            </w:r>
          </w:p>
          <w:p w14:paraId="2297999F" w14:textId="77777777" w:rsidR="00827649" w:rsidRPr="0016387E" w:rsidRDefault="00827649" w:rsidP="00827649">
            <w:pPr>
              <w:suppressAutoHyphens/>
              <w:autoSpaceDN w:val="0"/>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 xml:space="preserve"> dobit </w:t>
            </w:r>
          </w:p>
          <w:p w14:paraId="17C211BD" w14:textId="75FB0A39" w:rsidR="00827649" w:rsidRPr="0016387E" w:rsidRDefault="00827649" w:rsidP="00827649">
            <w:pPr>
              <w:suppressAutoHyphens/>
              <w:autoSpaceDN w:val="0"/>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31.3.202</w:t>
            </w:r>
            <w:r>
              <w:rPr>
                <w:rFonts w:ascii="Arial" w:eastAsia="Times New Roman" w:hAnsi="Arial" w:cs="Arial"/>
                <w:b/>
                <w:bCs/>
                <w:color w:val="000000" w:themeColor="text1"/>
                <w:sz w:val="19"/>
                <w:szCs w:val="19"/>
              </w:rPr>
              <w:t>4</w:t>
            </w:r>
            <w:r w:rsidRPr="0016387E">
              <w:rPr>
                <w:rFonts w:ascii="Arial" w:eastAsia="Times New Roman" w:hAnsi="Arial" w:cs="Arial"/>
                <w:b/>
                <w:bCs/>
                <w:color w:val="000000" w:themeColor="text1"/>
                <w:sz w:val="19"/>
                <w:szCs w:val="19"/>
              </w:rPr>
              <w:t>.</w:t>
            </w:r>
          </w:p>
        </w:tc>
        <w:tc>
          <w:tcPr>
            <w:tcW w:w="1003" w:type="pct"/>
          </w:tcPr>
          <w:p w14:paraId="1BD9DB3F" w14:textId="77777777" w:rsidR="00884386" w:rsidRDefault="00884386" w:rsidP="00827649">
            <w:pPr>
              <w:suppressAutoHyphens/>
              <w:autoSpaceDN w:val="0"/>
              <w:jc w:val="right"/>
              <w:rPr>
                <w:rFonts w:ascii="Arial" w:eastAsia="Times New Roman" w:hAnsi="Arial" w:cs="Arial"/>
                <w:b/>
                <w:bCs/>
                <w:color w:val="000000" w:themeColor="text1"/>
                <w:sz w:val="19"/>
                <w:szCs w:val="19"/>
              </w:rPr>
            </w:pPr>
            <w:r>
              <w:rPr>
                <w:rFonts w:ascii="Arial" w:eastAsia="Times New Roman" w:hAnsi="Arial" w:cs="Arial"/>
                <w:b/>
                <w:bCs/>
                <w:color w:val="000000" w:themeColor="text1"/>
                <w:sz w:val="19"/>
                <w:szCs w:val="19"/>
              </w:rPr>
              <w:t>Promjene tečaja valute</w:t>
            </w:r>
          </w:p>
          <w:p w14:paraId="0B2F4951" w14:textId="13D49AE3" w:rsidR="00827649" w:rsidRPr="0016387E" w:rsidRDefault="00884386" w:rsidP="00827649">
            <w:pPr>
              <w:suppressAutoHyphens/>
              <w:autoSpaceDN w:val="0"/>
              <w:jc w:val="right"/>
              <w:rPr>
                <w:rFonts w:ascii="Arial" w:eastAsia="Times New Roman" w:hAnsi="Arial" w:cs="Arial"/>
                <w:b/>
                <w:bCs/>
                <w:color w:val="000000" w:themeColor="text1"/>
                <w:sz w:val="19"/>
                <w:szCs w:val="19"/>
              </w:rPr>
            </w:pPr>
            <w:r>
              <w:rPr>
                <w:rFonts w:ascii="Arial" w:eastAsia="Times New Roman" w:hAnsi="Arial" w:cs="Arial"/>
                <w:b/>
                <w:bCs/>
                <w:color w:val="000000" w:themeColor="text1"/>
                <w:sz w:val="19"/>
                <w:szCs w:val="19"/>
              </w:rPr>
              <w:t xml:space="preserve">   31.</w:t>
            </w:r>
            <w:r w:rsidR="00721128">
              <w:rPr>
                <w:rFonts w:ascii="Arial" w:eastAsia="Times New Roman" w:hAnsi="Arial" w:cs="Arial"/>
                <w:b/>
                <w:bCs/>
                <w:color w:val="000000" w:themeColor="text1"/>
                <w:sz w:val="19"/>
                <w:szCs w:val="19"/>
              </w:rPr>
              <w:t>12</w:t>
            </w:r>
            <w:r>
              <w:rPr>
                <w:rFonts w:ascii="Arial" w:eastAsia="Times New Roman" w:hAnsi="Arial" w:cs="Arial"/>
                <w:b/>
                <w:bCs/>
                <w:color w:val="000000" w:themeColor="text1"/>
                <w:sz w:val="19"/>
                <w:szCs w:val="19"/>
              </w:rPr>
              <w:t>.2023.</w:t>
            </w:r>
          </w:p>
        </w:tc>
        <w:tc>
          <w:tcPr>
            <w:tcW w:w="1003" w:type="pct"/>
          </w:tcPr>
          <w:p w14:paraId="34A563D4" w14:textId="77777777" w:rsidR="00827649" w:rsidRPr="0016387E" w:rsidRDefault="00827649" w:rsidP="00827649">
            <w:pPr>
              <w:suppressAutoHyphens/>
              <w:autoSpaceDN w:val="0"/>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Utjecaj na</w:t>
            </w:r>
          </w:p>
          <w:p w14:paraId="47F39A5A" w14:textId="77777777" w:rsidR="00827649" w:rsidRPr="0016387E" w:rsidRDefault="00827649" w:rsidP="00827649">
            <w:pPr>
              <w:suppressAutoHyphens/>
              <w:autoSpaceDN w:val="0"/>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 xml:space="preserve"> dobit </w:t>
            </w:r>
          </w:p>
          <w:p w14:paraId="1ECD99DD" w14:textId="103F2317" w:rsidR="00827649" w:rsidRPr="0016387E" w:rsidRDefault="00827649" w:rsidP="00827649">
            <w:pPr>
              <w:suppressAutoHyphens/>
              <w:autoSpaceDN w:val="0"/>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31.</w:t>
            </w:r>
            <w:r w:rsidR="00721128">
              <w:rPr>
                <w:rFonts w:ascii="Arial" w:eastAsia="Times New Roman" w:hAnsi="Arial" w:cs="Arial"/>
                <w:b/>
                <w:bCs/>
                <w:color w:val="000000" w:themeColor="text1"/>
                <w:sz w:val="19"/>
                <w:szCs w:val="19"/>
              </w:rPr>
              <w:t>12</w:t>
            </w:r>
            <w:r w:rsidRPr="0016387E">
              <w:rPr>
                <w:rFonts w:ascii="Arial" w:eastAsia="Times New Roman" w:hAnsi="Arial" w:cs="Arial"/>
                <w:b/>
                <w:bCs/>
                <w:color w:val="000000" w:themeColor="text1"/>
                <w:sz w:val="19"/>
                <w:szCs w:val="19"/>
              </w:rPr>
              <w:t>.2023.</w:t>
            </w:r>
          </w:p>
        </w:tc>
      </w:tr>
      <w:tr w:rsidR="00827649" w:rsidRPr="0016387E" w14:paraId="4C371D84" w14:textId="10B6617D" w:rsidTr="00413328">
        <w:trPr>
          <w:trHeight w:hRule="exact" w:val="221"/>
          <w:jc w:val="center"/>
        </w:trPr>
        <w:tc>
          <w:tcPr>
            <w:tcW w:w="987" w:type="pct"/>
          </w:tcPr>
          <w:p w14:paraId="4E2BF9FD" w14:textId="77777777" w:rsidR="00827649" w:rsidRPr="0016387E" w:rsidRDefault="00827649" w:rsidP="00827649">
            <w:pPr>
              <w:suppressAutoHyphens/>
              <w:autoSpaceDN w:val="0"/>
              <w:spacing w:line="360" w:lineRule="auto"/>
              <w:jc w:val="both"/>
              <w:rPr>
                <w:rFonts w:ascii="Arial" w:eastAsia="Times New Roman" w:hAnsi="Arial" w:cs="Arial"/>
                <w:bCs/>
                <w:color w:val="000000" w:themeColor="text1"/>
                <w:sz w:val="19"/>
                <w:szCs w:val="19"/>
              </w:rPr>
            </w:pPr>
          </w:p>
        </w:tc>
        <w:tc>
          <w:tcPr>
            <w:tcW w:w="1003" w:type="pct"/>
          </w:tcPr>
          <w:p w14:paraId="08224F4E" w14:textId="77777777" w:rsidR="00827649" w:rsidRPr="0016387E" w:rsidRDefault="00827649" w:rsidP="00827649">
            <w:pPr>
              <w:suppressAutoHyphens/>
              <w:autoSpaceDN w:val="0"/>
              <w:spacing w:line="360" w:lineRule="auto"/>
              <w:jc w:val="right"/>
              <w:rPr>
                <w:rFonts w:ascii="Arial" w:eastAsia="Times New Roman" w:hAnsi="Arial" w:cs="Arial"/>
                <w:b/>
                <w:bCs/>
                <w:color w:val="000000" w:themeColor="text1"/>
                <w:sz w:val="19"/>
                <w:szCs w:val="19"/>
              </w:rPr>
            </w:pPr>
            <w:r w:rsidRPr="0016387E">
              <w:rPr>
                <w:rFonts w:ascii="Arial" w:eastAsia="Times New Roman" w:hAnsi="Arial" w:cs="Arial"/>
                <w:b/>
                <w:bCs/>
                <w:color w:val="000000" w:themeColor="text1"/>
                <w:sz w:val="19"/>
                <w:szCs w:val="19"/>
              </w:rPr>
              <w:t>%</w:t>
            </w:r>
          </w:p>
        </w:tc>
        <w:tc>
          <w:tcPr>
            <w:tcW w:w="1004" w:type="pct"/>
          </w:tcPr>
          <w:p w14:paraId="3CA35CB7" w14:textId="7153C950" w:rsidR="00827649" w:rsidRPr="0016387E" w:rsidRDefault="00E45740" w:rsidP="00827649">
            <w:pPr>
              <w:suppressAutoHyphens/>
              <w:autoSpaceDN w:val="0"/>
              <w:spacing w:line="360" w:lineRule="auto"/>
              <w:jc w:val="right"/>
              <w:rPr>
                <w:rFonts w:ascii="Arial" w:eastAsia="Times New Roman" w:hAnsi="Arial" w:cs="Arial"/>
                <w:b/>
                <w:bCs/>
                <w:color w:val="000000" w:themeColor="text1"/>
                <w:sz w:val="19"/>
                <w:szCs w:val="19"/>
              </w:rPr>
            </w:pPr>
            <w:r w:rsidRPr="0016387E">
              <w:rPr>
                <w:rFonts w:ascii="Arial" w:eastAsia="Times New Roman" w:hAnsi="Arial" w:cs="Arial"/>
                <w:b/>
                <w:color w:val="000000" w:themeColor="text1"/>
                <w:sz w:val="19"/>
                <w:szCs w:val="19"/>
              </w:rPr>
              <w:t>000 eura</w:t>
            </w:r>
          </w:p>
        </w:tc>
        <w:tc>
          <w:tcPr>
            <w:tcW w:w="1003" w:type="pct"/>
            <w:vAlign w:val="center"/>
          </w:tcPr>
          <w:p w14:paraId="6228A462" w14:textId="03628896" w:rsidR="00827649" w:rsidRPr="0016387E" w:rsidRDefault="00827649" w:rsidP="00827649">
            <w:pPr>
              <w:suppressAutoHyphens/>
              <w:autoSpaceDN w:val="0"/>
              <w:spacing w:line="360" w:lineRule="auto"/>
              <w:jc w:val="right"/>
              <w:rPr>
                <w:rFonts w:ascii="Arial" w:eastAsia="Times New Roman" w:hAnsi="Arial" w:cs="Arial"/>
                <w:b/>
                <w:bCs/>
                <w:color w:val="000000" w:themeColor="text1"/>
                <w:sz w:val="19"/>
                <w:szCs w:val="19"/>
              </w:rPr>
            </w:pPr>
          </w:p>
        </w:tc>
        <w:tc>
          <w:tcPr>
            <w:tcW w:w="1003" w:type="pct"/>
            <w:vAlign w:val="center"/>
          </w:tcPr>
          <w:p w14:paraId="3FC6B5DA" w14:textId="179DB644" w:rsidR="00827649" w:rsidRPr="0016387E" w:rsidRDefault="00827649" w:rsidP="00827649">
            <w:pPr>
              <w:suppressAutoHyphens/>
              <w:autoSpaceDN w:val="0"/>
              <w:spacing w:line="360" w:lineRule="auto"/>
              <w:jc w:val="right"/>
              <w:rPr>
                <w:rFonts w:ascii="Arial" w:eastAsia="Times New Roman" w:hAnsi="Arial" w:cs="Arial"/>
                <w:b/>
                <w:bCs/>
                <w:color w:val="000000" w:themeColor="text1"/>
                <w:sz w:val="19"/>
                <w:szCs w:val="19"/>
              </w:rPr>
            </w:pPr>
            <w:r w:rsidRPr="0016387E">
              <w:rPr>
                <w:rFonts w:ascii="Arial" w:eastAsia="Times New Roman" w:hAnsi="Arial" w:cs="Arial"/>
                <w:b/>
                <w:color w:val="000000" w:themeColor="text1"/>
                <w:sz w:val="19"/>
                <w:szCs w:val="19"/>
              </w:rPr>
              <w:t>000 eura</w:t>
            </w:r>
          </w:p>
        </w:tc>
      </w:tr>
      <w:tr w:rsidR="00827649" w:rsidRPr="0016387E" w14:paraId="2CCC629B" w14:textId="52169A00" w:rsidTr="00413328">
        <w:trPr>
          <w:trHeight w:hRule="exact" w:val="175"/>
          <w:jc w:val="center"/>
        </w:trPr>
        <w:tc>
          <w:tcPr>
            <w:tcW w:w="987" w:type="pct"/>
          </w:tcPr>
          <w:p w14:paraId="79742997" w14:textId="77777777" w:rsidR="00827649" w:rsidRPr="0016387E" w:rsidRDefault="00827649" w:rsidP="00827649">
            <w:pPr>
              <w:suppressAutoHyphens/>
              <w:autoSpaceDN w:val="0"/>
              <w:spacing w:line="360" w:lineRule="auto"/>
              <w:jc w:val="both"/>
              <w:rPr>
                <w:rFonts w:ascii="Arial" w:eastAsia="Times New Roman" w:hAnsi="Arial" w:cs="Arial"/>
                <w:bCs/>
                <w:color w:val="000000" w:themeColor="text1"/>
                <w:sz w:val="19"/>
                <w:szCs w:val="19"/>
              </w:rPr>
            </w:pPr>
          </w:p>
        </w:tc>
        <w:tc>
          <w:tcPr>
            <w:tcW w:w="1003" w:type="pct"/>
          </w:tcPr>
          <w:p w14:paraId="786C817C" w14:textId="77777777" w:rsidR="00827649" w:rsidRPr="0016387E" w:rsidRDefault="00827649" w:rsidP="00827649">
            <w:pPr>
              <w:suppressAutoHyphens/>
              <w:autoSpaceDN w:val="0"/>
              <w:spacing w:line="360" w:lineRule="auto"/>
              <w:jc w:val="center"/>
              <w:rPr>
                <w:rFonts w:ascii="Arial" w:eastAsia="Times New Roman" w:hAnsi="Arial" w:cs="Arial"/>
                <w:bCs/>
                <w:color w:val="000000" w:themeColor="text1"/>
                <w:sz w:val="19"/>
                <w:szCs w:val="19"/>
              </w:rPr>
            </w:pPr>
          </w:p>
        </w:tc>
        <w:tc>
          <w:tcPr>
            <w:tcW w:w="1004" w:type="pct"/>
          </w:tcPr>
          <w:p w14:paraId="0B726624" w14:textId="77777777" w:rsidR="00827649" w:rsidRPr="0016387E" w:rsidRDefault="00827649" w:rsidP="00827649">
            <w:pPr>
              <w:suppressAutoHyphens/>
              <w:autoSpaceDN w:val="0"/>
              <w:spacing w:line="360" w:lineRule="auto"/>
              <w:jc w:val="right"/>
              <w:rPr>
                <w:rFonts w:ascii="Arial" w:eastAsia="Times New Roman" w:hAnsi="Arial" w:cs="Arial"/>
                <w:bCs/>
                <w:color w:val="000000" w:themeColor="text1"/>
                <w:sz w:val="19"/>
                <w:szCs w:val="19"/>
              </w:rPr>
            </w:pPr>
          </w:p>
        </w:tc>
        <w:tc>
          <w:tcPr>
            <w:tcW w:w="1003" w:type="pct"/>
            <w:vAlign w:val="center"/>
          </w:tcPr>
          <w:p w14:paraId="3EC52940" w14:textId="58AFAB49" w:rsidR="00827649" w:rsidRPr="0016387E" w:rsidRDefault="00827649" w:rsidP="00827649">
            <w:pPr>
              <w:suppressAutoHyphens/>
              <w:autoSpaceDN w:val="0"/>
              <w:spacing w:line="360" w:lineRule="auto"/>
              <w:jc w:val="right"/>
              <w:rPr>
                <w:rFonts w:ascii="Arial" w:eastAsia="Times New Roman" w:hAnsi="Arial" w:cs="Arial"/>
                <w:b/>
                <w:color w:val="000000" w:themeColor="text1"/>
                <w:sz w:val="19"/>
                <w:szCs w:val="19"/>
              </w:rPr>
            </w:pPr>
          </w:p>
        </w:tc>
        <w:tc>
          <w:tcPr>
            <w:tcW w:w="1003" w:type="pct"/>
            <w:vAlign w:val="center"/>
          </w:tcPr>
          <w:p w14:paraId="481EDC19" w14:textId="77777777" w:rsidR="00827649" w:rsidRPr="0016387E" w:rsidRDefault="00827649" w:rsidP="00827649">
            <w:pPr>
              <w:suppressAutoHyphens/>
              <w:autoSpaceDN w:val="0"/>
              <w:spacing w:line="360" w:lineRule="auto"/>
              <w:jc w:val="right"/>
              <w:rPr>
                <w:rFonts w:ascii="Arial" w:eastAsia="Times New Roman" w:hAnsi="Arial" w:cs="Arial"/>
                <w:b/>
                <w:color w:val="000000" w:themeColor="text1"/>
                <w:sz w:val="19"/>
                <w:szCs w:val="19"/>
              </w:rPr>
            </w:pPr>
          </w:p>
        </w:tc>
      </w:tr>
      <w:tr w:rsidR="00827649" w:rsidRPr="0016387E" w14:paraId="587CE42D" w14:textId="2FEC2ACD" w:rsidTr="00413328">
        <w:trPr>
          <w:trHeight w:hRule="exact" w:val="284"/>
          <w:jc w:val="center"/>
        </w:trPr>
        <w:tc>
          <w:tcPr>
            <w:tcW w:w="987" w:type="pct"/>
            <w:vAlign w:val="center"/>
          </w:tcPr>
          <w:p w14:paraId="37EF8C6E" w14:textId="77777777" w:rsidR="00827649" w:rsidRPr="002E49B8" w:rsidRDefault="00827649" w:rsidP="00827649">
            <w:pPr>
              <w:suppressAutoHyphens/>
              <w:autoSpaceDN w:val="0"/>
              <w:spacing w:line="360" w:lineRule="auto"/>
              <w:jc w:val="both"/>
              <w:rPr>
                <w:rFonts w:ascii="Arial" w:eastAsia="Times New Roman" w:hAnsi="Arial" w:cs="Arial"/>
                <w:bCs/>
                <w:color w:val="000000" w:themeColor="text1"/>
                <w:sz w:val="19"/>
                <w:szCs w:val="19"/>
              </w:rPr>
            </w:pPr>
            <w:r>
              <w:rPr>
                <w:rFonts w:ascii="Arial" w:eastAsia="Times New Roman" w:hAnsi="Arial" w:cs="Arial"/>
                <w:bCs/>
                <w:color w:val="000000" w:themeColor="text1"/>
                <w:sz w:val="19"/>
                <w:szCs w:val="19"/>
              </w:rPr>
              <w:t>USD</w:t>
            </w:r>
          </w:p>
        </w:tc>
        <w:tc>
          <w:tcPr>
            <w:tcW w:w="1003" w:type="pct"/>
            <w:vAlign w:val="center"/>
          </w:tcPr>
          <w:p w14:paraId="7BEB33AB" w14:textId="096B5E01" w:rsidR="00827649" w:rsidRPr="0016387E" w:rsidRDefault="00EE4844" w:rsidP="00827649">
            <w:pPr>
              <w:suppressAutoHyphens/>
              <w:autoSpaceDN w:val="0"/>
              <w:jc w:val="right"/>
              <w:outlineLvl w:val="0"/>
              <w:rPr>
                <w:rFonts w:ascii="Arial" w:eastAsia="Times New Roman" w:hAnsi="Arial" w:cs="Arial"/>
                <w:bCs/>
                <w:color w:val="000000" w:themeColor="text1"/>
                <w:sz w:val="19"/>
                <w:szCs w:val="19"/>
              </w:rPr>
            </w:pPr>
            <w:r>
              <w:rPr>
                <w:rFonts w:ascii="Arial" w:eastAsia="Times New Roman" w:hAnsi="Arial" w:cs="Arial"/>
                <w:bCs/>
                <w:color w:val="000000" w:themeColor="text1"/>
                <w:sz w:val="19"/>
                <w:szCs w:val="19"/>
              </w:rPr>
              <w:t>+6,42</w:t>
            </w:r>
          </w:p>
        </w:tc>
        <w:tc>
          <w:tcPr>
            <w:tcW w:w="1004" w:type="pct"/>
            <w:vAlign w:val="center"/>
          </w:tcPr>
          <w:p w14:paraId="3316572C" w14:textId="7CF23C3D" w:rsidR="00827649" w:rsidRPr="0016387E" w:rsidRDefault="00EE4844" w:rsidP="00827649">
            <w:pPr>
              <w:suppressAutoHyphens/>
              <w:autoSpaceDN w:val="0"/>
              <w:jc w:val="right"/>
              <w:outlineLvl w:val="0"/>
              <w:rPr>
                <w:rFonts w:ascii="Arial" w:eastAsia="Times New Roman" w:hAnsi="Arial" w:cs="Arial"/>
                <w:bCs/>
                <w:color w:val="000000" w:themeColor="text1"/>
                <w:sz w:val="19"/>
                <w:szCs w:val="19"/>
              </w:rPr>
            </w:pPr>
            <w:r>
              <w:rPr>
                <w:rFonts w:ascii="Arial" w:eastAsia="Times New Roman" w:hAnsi="Arial" w:cs="Arial"/>
                <w:bCs/>
                <w:color w:val="000000" w:themeColor="text1"/>
                <w:sz w:val="19"/>
                <w:szCs w:val="19"/>
              </w:rPr>
              <w:t>72</w:t>
            </w:r>
          </w:p>
        </w:tc>
        <w:tc>
          <w:tcPr>
            <w:tcW w:w="1003" w:type="pct"/>
            <w:vAlign w:val="center"/>
          </w:tcPr>
          <w:p w14:paraId="7B1B118A" w14:textId="702ACB53" w:rsidR="00827649" w:rsidRPr="0016387E" w:rsidRDefault="00827649" w:rsidP="00827649">
            <w:pPr>
              <w:suppressAutoHyphens/>
              <w:autoSpaceDN w:val="0"/>
              <w:jc w:val="right"/>
              <w:outlineLvl w:val="0"/>
              <w:rPr>
                <w:rFonts w:ascii="Arial" w:eastAsia="Times New Roman" w:hAnsi="Arial" w:cs="Arial"/>
                <w:bCs/>
                <w:color w:val="000000" w:themeColor="text1"/>
                <w:sz w:val="19"/>
                <w:szCs w:val="19"/>
              </w:rPr>
            </w:pPr>
            <w:r>
              <w:rPr>
                <w:rFonts w:ascii="Arial" w:eastAsia="Times New Roman" w:hAnsi="Arial" w:cs="Arial"/>
                <w:bCs/>
                <w:color w:val="000000" w:themeColor="text1"/>
                <w:sz w:val="19"/>
                <w:szCs w:val="19"/>
              </w:rPr>
              <w:t>+</w:t>
            </w:r>
            <w:r w:rsidR="00721128">
              <w:rPr>
                <w:rFonts w:ascii="Arial" w:eastAsia="Times New Roman" w:hAnsi="Arial" w:cs="Arial"/>
                <w:bCs/>
                <w:color w:val="000000" w:themeColor="text1"/>
                <w:sz w:val="19"/>
                <w:szCs w:val="19"/>
              </w:rPr>
              <w:t>7,39</w:t>
            </w:r>
          </w:p>
        </w:tc>
        <w:tc>
          <w:tcPr>
            <w:tcW w:w="1003" w:type="pct"/>
            <w:vAlign w:val="center"/>
          </w:tcPr>
          <w:p w14:paraId="1232C960" w14:textId="01D3402E" w:rsidR="00827649" w:rsidRPr="0016387E" w:rsidRDefault="00721128" w:rsidP="00827649">
            <w:pPr>
              <w:suppressAutoHyphens/>
              <w:autoSpaceDN w:val="0"/>
              <w:jc w:val="right"/>
              <w:outlineLvl w:val="0"/>
              <w:rPr>
                <w:rFonts w:ascii="Arial" w:eastAsia="Times New Roman" w:hAnsi="Arial" w:cs="Arial"/>
                <w:bCs/>
                <w:color w:val="000000" w:themeColor="text1"/>
                <w:sz w:val="19"/>
                <w:szCs w:val="19"/>
              </w:rPr>
            </w:pPr>
            <w:r>
              <w:rPr>
                <w:rFonts w:ascii="Arial" w:eastAsia="Times New Roman" w:hAnsi="Arial" w:cs="Arial"/>
                <w:bCs/>
                <w:color w:val="000000" w:themeColor="text1"/>
                <w:sz w:val="19"/>
                <w:szCs w:val="19"/>
              </w:rPr>
              <w:t>27</w:t>
            </w:r>
          </w:p>
        </w:tc>
      </w:tr>
      <w:tr w:rsidR="00827649" w:rsidRPr="0016387E" w14:paraId="41DF28C7" w14:textId="4374238F" w:rsidTr="00413328">
        <w:trPr>
          <w:trHeight w:hRule="exact" w:val="103"/>
          <w:jc w:val="center"/>
        </w:trPr>
        <w:tc>
          <w:tcPr>
            <w:tcW w:w="987" w:type="pct"/>
            <w:vAlign w:val="center"/>
          </w:tcPr>
          <w:p w14:paraId="4A4A74BA" w14:textId="77777777" w:rsidR="00827649" w:rsidRPr="00A17457" w:rsidRDefault="00827649" w:rsidP="00827649">
            <w:pPr>
              <w:suppressAutoHyphens/>
              <w:autoSpaceDN w:val="0"/>
              <w:spacing w:line="360" w:lineRule="auto"/>
              <w:jc w:val="both"/>
              <w:rPr>
                <w:rFonts w:ascii="Arial" w:eastAsia="Times New Roman" w:hAnsi="Arial" w:cs="Arial"/>
                <w:bCs/>
                <w:color w:val="000000" w:themeColor="text1"/>
                <w:sz w:val="19"/>
                <w:szCs w:val="19"/>
              </w:rPr>
            </w:pPr>
          </w:p>
        </w:tc>
        <w:tc>
          <w:tcPr>
            <w:tcW w:w="1003" w:type="pct"/>
            <w:vAlign w:val="center"/>
          </w:tcPr>
          <w:p w14:paraId="256CF05E" w14:textId="77777777" w:rsidR="00827649" w:rsidRPr="0016387E" w:rsidRDefault="00827649" w:rsidP="00827649">
            <w:pPr>
              <w:suppressAutoHyphens/>
              <w:autoSpaceDN w:val="0"/>
              <w:spacing w:line="360" w:lineRule="auto"/>
              <w:jc w:val="right"/>
              <w:rPr>
                <w:rFonts w:ascii="Arial" w:eastAsia="Times New Roman" w:hAnsi="Arial" w:cs="Arial"/>
                <w:bCs/>
                <w:color w:val="000000" w:themeColor="text1"/>
                <w:sz w:val="19"/>
                <w:szCs w:val="19"/>
              </w:rPr>
            </w:pPr>
          </w:p>
        </w:tc>
        <w:tc>
          <w:tcPr>
            <w:tcW w:w="1004" w:type="pct"/>
            <w:vAlign w:val="center"/>
          </w:tcPr>
          <w:p w14:paraId="51B28FA7" w14:textId="77777777" w:rsidR="00827649" w:rsidRPr="0016387E" w:rsidRDefault="00827649" w:rsidP="00827649">
            <w:pPr>
              <w:suppressAutoHyphens/>
              <w:autoSpaceDN w:val="0"/>
              <w:jc w:val="right"/>
              <w:outlineLvl w:val="0"/>
              <w:rPr>
                <w:rFonts w:ascii="Arial" w:eastAsia="Times New Roman" w:hAnsi="Arial" w:cs="Arial"/>
                <w:bCs/>
                <w:color w:val="000000" w:themeColor="text1"/>
                <w:sz w:val="19"/>
                <w:szCs w:val="19"/>
              </w:rPr>
            </w:pPr>
          </w:p>
        </w:tc>
        <w:tc>
          <w:tcPr>
            <w:tcW w:w="1003" w:type="pct"/>
            <w:vAlign w:val="center"/>
          </w:tcPr>
          <w:p w14:paraId="4A3DD9F3" w14:textId="5614FA0E" w:rsidR="00827649" w:rsidRPr="0016387E" w:rsidRDefault="00827649" w:rsidP="00827649">
            <w:pPr>
              <w:suppressAutoHyphens/>
              <w:autoSpaceDN w:val="0"/>
              <w:jc w:val="right"/>
              <w:outlineLvl w:val="0"/>
              <w:rPr>
                <w:rFonts w:ascii="Arial" w:eastAsia="Times New Roman" w:hAnsi="Arial" w:cs="Arial"/>
                <w:bCs/>
                <w:color w:val="000000" w:themeColor="text1"/>
                <w:sz w:val="19"/>
                <w:szCs w:val="19"/>
              </w:rPr>
            </w:pPr>
          </w:p>
        </w:tc>
        <w:tc>
          <w:tcPr>
            <w:tcW w:w="1003" w:type="pct"/>
            <w:vAlign w:val="center"/>
          </w:tcPr>
          <w:p w14:paraId="59850023" w14:textId="77777777" w:rsidR="00827649" w:rsidRPr="0016387E" w:rsidRDefault="00827649" w:rsidP="00827649">
            <w:pPr>
              <w:suppressAutoHyphens/>
              <w:autoSpaceDN w:val="0"/>
              <w:jc w:val="right"/>
              <w:outlineLvl w:val="0"/>
              <w:rPr>
                <w:rFonts w:ascii="Arial" w:eastAsia="Times New Roman" w:hAnsi="Arial" w:cs="Arial"/>
                <w:bCs/>
                <w:color w:val="000000" w:themeColor="text1"/>
                <w:sz w:val="19"/>
                <w:szCs w:val="19"/>
              </w:rPr>
            </w:pPr>
          </w:p>
        </w:tc>
      </w:tr>
      <w:tr w:rsidR="00827649" w:rsidRPr="003D1614" w14:paraId="4F8BBC75" w14:textId="30AFA932" w:rsidTr="00413328">
        <w:trPr>
          <w:trHeight w:hRule="exact" w:val="284"/>
          <w:jc w:val="center"/>
        </w:trPr>
        <w:tc>
          <w:tcPr>
            <w:tcW w:w="987" w:type="pct"/>
            <w:vAlign w:val="center"/>
          </w:tcPr>
          <w:p w14:paraId="292C2A8B" w14:textId="77777777" w:rsidR="00827649" w:rsidRPr="002E49B8" w:rsidRDefault="00827649" w:rsidP="00827649">
            <w:pPr>
              <w:suppressAutoHyphens/>
              <w:autoSpaceDN w:val="0"/>
              <w:spacing w:line="360" w:lineRule="auto"/>
              <w:jc w:val="both"/>
              <w:rPr>
                <w:rFonts w:ascii="Arial" w:eastAsia="Times New Roman" w:hAnsi="Arial" w:cs="Arial"/>
                <w:bCs/>
                <w:color w:val="000000" w:themeColor="text1"/>
                <w:sz w:val="19"/>
                <w:szCs w:val="19"/>
              </w:rPr>
            </w:pPr>
            <w:r>
              <w:rPr>
                <w:rFonts w:ascii="Arial" w:eastAsia="Times New Roman" w:hAnsi="Arial" w:cs="Arial"/>
                <w:bCs/>
                <w:color w:val="000000" w:themeColor="text1"/>
                <w:sz w:val="19"/>
                <w:szCs w:val="19"/>
              </w:rPr>
              <w:t>USD</w:t>
            </w:r>
          </w:p>
        </w:tc>
        <w:tc>
          <w:tcPr>
            <w:tcW w:w="1003" w:type="pct"/>
            <w:vAlign w:val="center"/>
          </w:tcPr>
          <w:p w14:paraId="1E68DE94" w14:textId="760F63C5" w:rsidR="00827649" w:rsidRPr="0016387E" w:rsidRDefault="00EE4844" w:rsidP="00827649">
            <w:pPr>
              <w:suppressAutoHyphens/>
              <w:autoSpaceDN w:val="0"/>
              <w:jc w:val="right"/>
              <w:outlineLvl w:val="0"/>
              <w:rPr>
                <w:rFonts w:ascii="Arial" w:eastAsia="Times New Roman" w:hAnsi="Arial" w:cs="Arial"/>
                <w:bCs/>
                <w:color w:val="000000" w:themeColor="text1"/>
                <w:sz w:val="19"/>
                <w:szCs w:val="19"/>
              </w:rPr>
            </w:pPr>
            <w:r>
              <w:rPr>
                <w:rFonts w:ascii="Arial" w:eastAsia="Times New Roman" w:hAnsi="Arial" w:cs="Arial"/>
                <w:bCs/>
                <w:color w:val="000000" w:themeColor="text1"/>
                <w:sz w:val="19"/>
                <w:szCs w:val="19"/>
              </w:rPr>
              <w:t>-6,42</w:t>
            </w:r>
          </w:p>
        </w:tc>
        <w:tc>
          <w:tcPr>
            <w:tcW w:w="1004" w:type="pct"/>
            <w:vAlign w:val="center"/>
          </w:tcPr>
          <w:p w14:paraId="16A2B650" w14:textId="7983A0DF" w:rsidR="00827649" w:rsidRPr="003D1614" w:rsidRDefault="00695755" w:rsidP="00827649">
            <w:pPr>
              <w:suppressAutoHyphens/>
              <w:autoSpaceDN w:val="0"/>
              <w:jc w:val="right"/>
              <w:outlineLvl w:val="0"/>
              <w:rPr>
                <w:rFonts w:ascii="Arial" w:eastAsia="Times New Roman" w:hAnsi="Arial" w:cs="Arial"/>
                <w:bCs/>
                <w:color w:val="000000" w:themeColor="text1"/>
                <w:sz w:val="19"/>
                <w:szCs w:val="19"/>
              </w:rPr>
            </w:pPr>
            <w:r>
              <w:rPr>
                <w:rFonts w:ascii="Arial" w:eastAsia="Times New Roman" w:hAnsi="Arial" w:cs="Arial"/>
                <w:bCs/>
                <w:color w:val="000000" w:themeColor="text1"/>
                <w:sz w:val="19"/>
                <w:szCs w:val="19"/>
              </w:rPr>
              <w:t>(111)</w:t>
            </w:r>
          </w:p>
        </w:tc>
        <w:tc>
          <w:tcPr>
            <w:tcW w:w="1003" w:type="pct"/>
            <w:vAlign w:val="center"/>
          </w:tcPr>
          <w:p w14:paraId="7B38DD39" w14:textId="704994A5" w:rsidR="00827649" w:rsidRPr="003D1614" w:rsidRDefault="00827649" w:rsidP="00827649">
            <w:pPr>
              <w:suppressAutoHyphens/>
              <w:autoSpaceDN w:val="0"/>
              <w:jc w:val="right"/>
              <w:outlineLvl w:val="0"/>
              <w:rPr>
                <w:rFonts w:ascii="Arial" w:eastAsia="Times New Roman" w:hAnsi="Arial" w:cs="Arial"/>
                <w:bCs/>
                <w:color w:val="000000" w:themeColor="text1"/>
                <w:sz w:val="19"/>
                <w:szCs w:val="19"/>
              </w:rPr>
            </w:pPr>
            <w:r>
              <w:rPr>
                <w:rFonts w:ascii="Arial" w:eastAsia="Times New Roman" w:hAnsi="Arial" w:cs="Arial"/>
                <w:bCs/>
                <w:color w:val="000000" w:themeColor="text1"/>
                <w:sz w:val="19"/>
                <w:szCs w:val="19"/>
              </w:rPr>
              <w:t>-</w:t>
            </w:r>
            <w:r w:rsidR="00721128">
              <w:rPr>
                <w:rFonts w:ascii="Arial" w:eastAsia="Times New Roman" w:hAnsi="Arial" w:cs="Arial"/>
                <w:bCs/>
                <w:color w:val="000000" w:themeColor="text1"/>
                <w:sz w:val="19"/>
                <w:szCs w:val="19"/>
              </w:rPr>
              <w:t>7,39</w:t>
            </w:r>
          </w:p>
        </w:tc>
        <w:tc>
          <w:tcPr>
            <w:tcW w:w="1003" w:type="pct"/>
            <w:vAlign w:val="center"/>
          </w:tcPr>
          <w:p w14:paraId="5DFABC41" w14:textId="04F9E9B5" w:rsidR="00827649" w:rsidRPr="003D1614" w:rsidRDefault="00721128" w:rsidP="00827649">
            <w:pPr>
              <w:suppressAutoHyphens/>
              <w:autoSpaceDN w:val="0"/>
              <w:jc w:val="right"/>
              <w:outlineLvl w:val="0"/>
              <w:rPr>
                <w:rFonts w:ascii="Arial" w:eastAsia="Times New Roman" w:hAnsi="Arial" w:cs="Arial"/>
                <w:bCs/>
                <w:color w:val="000000" w:themeColor="text1"/>
                <w:sz w:val="19"/>
                <w:szCs w:val="19"/>
              </w:rPr>
            </w:pPr>
            <w:r>
              <w:rPr>
                <w:rFonts w:ascii="Arial" w:eastAsia="Times New Roman" w:hAnsi="Arial" w:cs="Arial"/>
                <w:bCs/>
                <w:color w:val="000000" w:themeColor="text1"/>
                <w:sz w:val="19"/>
                <w:szCs w:val="19"/>
              </w:rPr>
              <w:t>(52)</w:t>
            </w:r>
          </w:p>
        </w:tc>
      </w:tr>
    </w:tbl>
    <w:p w14:paraId="3EC9ABF2" w14:textId="77777777" w:rsidR="00827649" w:rsidRPr="003D1614" w:rsidRDefault="00827649" w:rsidP="00827649">
      <w:pPr>
        <w:suppressAutoHyphens/>
        <w:autoSpaceDN w:val="0"/>
        <w:jc w:val="both"/>
        <w:rPr>
          <w:rFonts w:ascii="Arial" w:eastAsia="Times New Roman" w:hAnsi="Arial" w:cs="Arial"/>
          <w:b/>
          <w:color w:val="000000" w:themeColor="text1"/>
        </w:rPr>
      </w:pPr>
    </w:p>
    <w:p w14:paraId="37F75CB8" w14:textId="77777777" w:rsidR="00847D57" w:rsidRPr="00847D57" w:rsidRDefault="00847D57" w:rsidP="00847D57">
      <w:pPr>
        <w:rPr>
          <w:rFonts w:ascii="Arial" w:eastAsia="Times New Roman" w:hAnsi="Arial" w:cs="Arial"/>
          <w:sz w:val="18"/>
          <w:szCs w:val="18"/>
        </w:rPr>
      </w:pPr>
    </w:p>
    <w:p w14:paraId="4B90E514" w14:textId="77777777" w:rsidR="000D12FF" w:rsidRDefault="000D12FF" w:rsidP="00847D57">
      <w:pPr>
        <w:rPr>
          <w:rFonts w:ascii="Arial" w:eastAsia="Times New Roman" w:hAnsi="Arial" w:cs="Arial"/>
          <w:sz w:val="18"/>
          <w:szCs w:val="18"/>
        </w:rPr>
        <w:sectPr w:rsidR="000D12FF" w:rsidSect="003278AB">
          <w:pgSz w:w="11906" w:h="16838"/>
          <w:pgMar w:top="1417" w:right="1417" w:bottom="1417" w:left="1417" w:header="708" w:footer="708" w:gutter="0"/>
          <w:cols w:space="708"/>
          <w:docGrid w:linePitch="360"/>
        </w:sectPr>
      </w:pPr>
    </w:p>
    <w:p w14:paraId="2527F4D4" w14:textId="77777777" w:rsidR="00F208CA" w:rsidRPr="00F208CA" w:rsidRDefault="00F208CA" w:rsidP="00F208CA">
      <w:pPr>
        <w:rPr>
          <w:rFonts w:ascii="Arial" w:eastAsia="Times New Roman" w:hAnsi="Arial" w:cs="Arial"/>
          <w:sz w:val="18"/>
          <w:szCs w:val="18"/>
        </w:rPr>
      </w:pPr>
    </w:p>
    <w:p w14:paraId="34C53053" w14:textId="77777777" w:rsidR="00C21B42" w:rsidRPr="003D1614" w:rsidRDefault="00C21B42" w:rsidP="00C21B42">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 </w:t>
      </w:r>
      <w:r w:rsidRPr="003D1614">
        <w:rPr>
          <w:rFonts w:ascii="Arial" w:eastAsia="Times New Roman" w:hAnsi="Arial" w:cs="Arial"/>
          <w:b/>
          <w:bCs/>
          <w:color w:val="000000" w:themeColor="text1"/>
          <w:spacing w:val="-3"/>
          <w:sz w:val="20"/>
          <w:szCs w:val="20"/>
        </w:rPr>
        <w:tab/>
        <w:t>Fer vrijednost financijske imovine i financijskih obveza</w:t>
      </w:r>
    </w:p>
    <w:p w14:paraId="0BDBBFC4" w14:textId="77777777" w:rsidR="00C21B42" w:rsidRPr="003D1614" w:rsidRDefault="00C21B42" w:rsidP="00C21B42">
      <w:pPr>
        <w:keepNext/>
        <w:suppressAutoHyphens/>
        <w:autoSpaceDN w:val="0"/>
        <w:ind w:left="709" w:hanging="709"/>
        <w:jc w:val="both"/>
        <w:outlineLvl w:val="0"/>
        <w:rPr>
          <w:rFonts w:ascii="Arial" w:eastAsia="Times New Roman" w:hAnsi="Arial" w:cs="Arial"/>
          <w:bCs/>
          <w:color w:val="000000" w:themeColor="text1"/>
          <w:spacing w:val="-3"/>
          <w:sz w:val="12"/>
          <w:szCs w:val="12"/>
        </w:rPr>
      </w:pPr>
    </w:p>
    <w:p w14:paraId="08586CFE" w14:textId="77777777" w:rsidR="00C21B42" w:rsidRPr="003D1614" w:rsidRDefault="00C21B42" w:rsidP="00C21B42">
      <w:pPr>
        <w:keepNext/>
        <w:suppressAutoHyphens/>
        <w:autoSpaceDN w:val="0"/>
        <w:ind w:left="709" w:hanging="709"/>
        <w:jc w:val="both"/>
        <w:outlineLvl w:val="0"/>
        <w:rPr>
          <w:rFonts w:ascii="Arial" w:eastAsia="Times New Roman" w:hAnsi="Arial" w:cs="Arial"/>
          <w:bCs/>
          <w:color w:val="000000" w:themeColor="text1"/>
          <w:spacing w:val="-3"/>
          <w:sz w:val="20"/>
          <w:szCs w:val="20"/>
        </w:rPr>
      </w:pPr>
      <w:r w:rsidRPr="003D1614">
        <w:rPr>
          <w:rFonts w:ascii="Arial" w:eastAsia="Times New Roman" w:hAnsi="Arial" w:cs="Arial"/>
          <w:bCs/>
          <w:color w:val="000000" w:themeColor="text1"/>
          <w:spacing w:val="-3"/>
          <w:sz w:val="20"/>
          <w:szCs w:val="20"/>
        </w:rPr>
        <w:t>Računovodstvena politika mjerenja fer vrijednosti opisana je u bilješci 4.1.</w:t>
      </w:r>
    </w:p>
    <w:p w14:paraId="4359F4E2" w14:textId="77777777" w:rsidR="00C21B42" w:rsidRPr="003D1614" w:rsidRDefault="00C21B42" w:rsidP="00C21B42">
      <w:pPr>
        <w:keepNext/>
        <w:suppressAutoHyphens/>
        <w:autoSpaceDN w:val="0"/>
        <w:ind w:left="709" w:hanging="709"/>
        <w:jc w:val="both"/>
        <w:outlineLvl w:val="0"/>
        <w:rPr>
          <w:rFonts w:ascii="Arial" w:eastAsia="Times New Roman" w:hAnsi="Arial" w:cs="Arial"/>
          <w:b/>
          <w:bCs/>
          <w:color w:val="000000" w:themeColor="text1"/>
          <w:spacing w:val="-3"/>
          <w:sz w:val="14"/>
          <w:szCs w:val="14"/>
        </w:rPr>
      </w:pPr>
    </w:p>
    <w:p w14:paraId="6D146D2C" w14:textId="77777777" w:rsidR="00C21B42" w:rsidRPr="003D1614" w:rsidRDefault="00C21B42" w:rsidP="00C21B42">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.1. </w:t>
      </w:r>
      <w:r w:rsidRPr="003D1614">
        <w:rPr>
          <w:rFonts w:ascii="Arial" w:eastAsia="Times New Roman" w:hAnsi="Arial" w:cs="Arial"/>
          <w:b/>
          <w:bCs/>
          <w:color w:val="000000" w:themeColor="text1"/>
          <w:spacing w:val="-3"/>
          <w:sz w:val="20"/>
          <w:szCs w:val="20"/>
        </w:rPr>
        <w:tab/>
        <w:t xml:space="preserve">Fer vrijednost financijske imovine i financijskih obveza koji se vode po fer vrijednosti </w:t>
      </w:r>
    </w:p>
    <w:p w14:paraId="43AD207A" w14:textId="77777777" w:rsidR="00C21B42" w:rsidRPr="003D1614" w:rsidRDefault="00C21B42" w:rsidP="00C21B42">
      <w:pPr>
        <w:keepNext/>
        <w:suppressAutoHyphens/>
        <w:autoSpaceDN w:val="0"/>
        <w:jc w:val="both"/>
        <w:outlineLvl w:val="0"/>
        <w:rPr>
          <w:rFonts w:ascii="Arial" w:eastAsia="Times New Roman" w:hAnsi="Arial" w:cs="Arial"/>
          <w:color w:val="000000" w:themeColor="text1"/>
          <w:spacing w:val="-3"/>
          <w:sz w:val="12"/>
          <w:szCs w:val="12"/>
        </w:rPr>
      </w:pPr>
    </w:p>
    <w:p w14:paraId="63C3CCF2" w14:textId="21FC6E64" w:rsidR="00C21B42" w:rsidRPr="003D1614" w:rsidRDefault="00C21B42" w:rsidP="00C21B42">
      <w:pPr>
        <w:keepNext/>
        <w:suppressAutoHyphens/>
        <w:autoSpaceDN w:val="0"/>
        <w:jc w:val="both"/>
        <w:outlineLvl w:val="0"/>
        <w:rPr>
          <w:rFonts w:ascii="Arial" w:eastAsia="Times New Roman" w:hAnsi="Arial" w:cs="Arial"/>
          <w:color w:val="000000" w:themeColor="text1"/>
          <w:spacing w:val="-3"/>
          <w:sz w:val="20"/>
          <w:szCs w:val="20"/>
        </w:rPr>
      </w:pPr>
      <w:r w:rsidRPr="003D1614">
        <w:rPr>
          <w:rFonts w:ascii="Arial" w:eastAsia="Times New Roman" w:hAnsi="Arial" w:cs="Arial"/>
          <w:color w:val="000000" w:themeColor="text1"/>
          <w:spacing w:val="-3"/>
          <w:sz w:val="20"/>
          <w:szCs w:val="20"/>
        </w:rPr>
        <w:t>Tabele u nastavku daju prikaz financijske imovine po fer vrijednosti po razinama temeljem MSFI 9 klasifikacije na dan 31. ožujka 202</w:t>
      </w:r>
      <w:r w:rsidR="006B38DC">
        <w:rPr>
          <w:rFonts w:ascii="Arial" w:eastAsia="Times New Roman" w:hAnsi="Arial" w:cs="Arial"/>
          <w:color w:val="000000" w:themeColor="text1"/>
          <w:spacing w:val="-3"/>
          <w:sz w:val="20"/>
          <w:szCs w:val="20"/>
        </w:rPr>
        <w:t>4</w:t>
      </w:r>
      <w:r w:rsidRPr="003D1614">
        <w:rPr>
          <w:rFonts w:ascii="Arial" w:eastAsia="Times New Roman" w:hAnsi="Arial" w:cs="Arial"/>
          <w:color w:val="000000" w:themeColor="text1"/>
          <w:spacing w:val="-3"/>
          <w:sz w:val="20"/>
          <w:szCs w:val="20"/>
        </w:rPr>
        <w:t>. i 31. prosinca 202</w:t>
      </w:r>
      <w:r w:rsidR="006B38DC">
        <w:rPr>
          <w:rFonts w:ascii="Arial" w:eastAsia="Times New Roman" w:hAnsi="Arial" w:cs="Arial"/>
          <w:color w:val="000000" w:themeColor="text1"/>
          <w:spacing w:val="-3"/>
          <w:sz w:val="20"/>
          <w:szCs w:val="20"/>
        </w:rPr>
        <w:t>3</w:t>
      </w:r>
      <w:r w:rsidRPr="003D1614">
        <w:rPr>
          <w:rFonts w:ascii="Arial" w:eastAsia="Times New Roman" w:hAnsi="Arial" w:cs="Arial"/>
          <w:color w:val="000000" w:themeColor="text1"/>
          <w:spacing w:val="-3"/>
          <w:sz w:val="20"/>
          <w:szCs w:val="20"/>
        </w:rPr>
        <w:t xml:space="preserve">. </w:t>
      </w:r>
    </w:p>
    <w:p w14:paraId="699A5DF1" w14:textId="77777777" w:rsidR="00C21B42" w:rsidRPr="003D1614" w:rsidRDefault="00C21B42" w:rsidP="00C21B42">
      <w:pPr>
        <w:keepNext/>
        <w:suppressAutoHyphens/>
        <w:autoSpaceDN w:val="0"/>
        <w:jc w:val="both"/>
        <w:outlineLvl w:val="0"/>
        <w:rPr>
          <w:rFonts w:ascii="Arial" w:eastAsia="Times New Roman" w:hAnsi="Arial" w:cs="Arial"/>
          <w:color w:val="000000" w:themeColor="text1"/>
          <w:spacing w:val="-3"/>
          <w:sz w:val="16"/>
          <w:szCs w:val="16"/>
        </w:rPr>
      </w:pPr>
    </w:p>
    <w:tbl>
      <w:tblPr>
        <w:tblW w:w="5114" w:type="pct"/>
        <w:jc w:val="center"/>
        <w:tblLayout w:type="fixed"/>
        <w:tblCellMar>
          <w:left w:w="122" w:type="dxa"/>
          <w:right w:w="122" w:type="dxa"/>
        </w:tblCellMar>
        <w:tblLook w:val="0000" w:firstRow="0" w:lastRow="0" w:firstColumn="0" w:lastColumn="0" w:noHBand="0" w:noVBand="0"/>
      </w:tblPr>
      <w:tblGrid>
        <w:gridCol w:w="5928"/>
        <w:gridCol w:w="1030"/>
        <w:gridCol w:w="1195"/>
        <w:gridCol w:w="1126"/>
      </w:tblGrid>
      <w:tr w:rsidR="00C21B42" w:rsidRPr="003D1614" w14:paraId="425D764E" w14:textId="77777777" w:rsidTr="00CA7F04">
        <w:trPr>
          <w:trHeight w:val="276"/>
          <w:jc w:val="center"/>
        </w:trPr>
        <w:tc>
          <w:tcPr>
            <w:tcW w:w="3194" w:type="pct"/>
            <w:shd w:val="clear" w:color="auto" w:fill="auto"/>
          </w:tcPr>
          <w:p w14:paraId="6212D452" w14:textId="77777777" w:rsidR="00C21B42" w:rsidRPr="003D1614" w:rsidRDefault="00C21B42" w:rsidP="00CA7F04">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color w:val="000000"/>
                <w:sz w:val="17"/>
                <w:szCs w:val="17"/>
              </w:rPr>
              <w:t>Grupa</w:t>
            </w:r>
          </w:p>
        </w:tc>
        <w:tc>
          <w:tcPr>
            <w:tcW w:w="1806" w:type="pct"/>
            <w:gridSpan w:val="3"/>
          </w:tcPr>
          <w:p w14:paraId="07682B9A" w14:textId="68FDC630" w:rsidR="00C21B42" w:rsidRPr="003D1614" w:rsidRDefault="00C21B42" w:rsidP="00CA7F04">
            <w:pPr>
              <w:tabs>
                <w:tab w:val="right" w:pos="1202"/>
              </w:tabs>
              <w:suppressAutoHyphens/>
              <w:autoSpaceDN w:val="0"/>
              <w:jc w:val="right"/>
              <w:outlineLvl w:val="0"/>
              <w:rPr>
                <w:rFonts w:ascii="Arial" w:eastAsia="Calibri" w:hAnsi="Arial" w:cs="Arial"/>
                <w:b/>
                <w:bCs/>
                <w:color w:val="000000"/>
                <w:sz w:val="17"/>
                <w:szCs w:val="17"/>
              </w:rPr>
            </w:pPr>
            <w:r w:rsidRPr="003D1614">
              <w:rPr>
                <w:rFonts w:ascii="Arial" w:eastAsia="Calibri" w:hAnsi="Arial" w:cs="Arial"/>
                <w:b/>
                <w:bCs/>
                <w:color w:val="000000"/>
                <w:sz w:val="17"/>
                <w:szCs w:val="17"/>
              </w:rPr>
              <w:t>31. ožujka 202</w:t>
            </w:r>
            <w:r w:rsidR="00FB69B7">
              <w:rPr>
                <w:rFonts w:ascii="Arial" w:eastAsia="Calibri" w:hAnsi="Arial" w:cs="Arial"/>
                <w:b/>
                <w:bCs/>
                <w:color w:val="000000"/>
                <w:sz w:val="17"/>
                <w:szCs w:val="17"/>
              </w:rPr>
              <w:t>4</w:t>
            </w:r>
            <w:r w:rsidRPr="003D1614">
              <w:rPr>
                <w:rFonts w:ascii="Arial" w:eastAsia="Calibri" w:hAnsi="Arial" w:cs="Arial"/>
                <w:b/>
                <w:bCs/>
                <w:color w:val="000000"/>
                <w:sz w:val="17"/>
                <w:szCs w:val="17"/>
              </w:rPr>
              <w:t>.</w:t>
            </w:r>
          </w:p>
        </w:tc>
      </w:tr>
      <w:tr w:rsidR="00C21B42" w:rsidRPr="003D1614" w14:paraId="63227F27" w14:textId="77777777" w:rsidTr="00CA7F04">
        <w:trPr>
          <w:trHeight w:val="276"/>
          <w:jc w:val="center"/>
        </w:trPr>
        <w:tc>
          <w:tcPr>
            <w:tcW w:w="3194" w:type="pct"/>
            <w:shd w:val="clear" w:color="auto" w:fill="auto"/>
            <w:vAlign w:val="bottom"/>
          </w:tcPr>
          <w:p w14:paraId="1690737E" w14:textId="77777777" w:rsidR="00C21B42" w:rsidRPr="003D1614" w:rsidRDefault="00C21B42" w:rsidP="00CA7F04">
            <w:pPr>
              <w:tabs>
                <w:tab w:val="right" w:pos="1202"/>
              </w:tabs>
              <w:suppressAutoHyphens/>
              <w:autoSpaceDN w:val="0"/>
              <w:ind w:left="-482"/>
              <w:outlineLvl w:val="0"/>
              <w:rPr>
                <w:rFonts w:ascii="Arial" w:eastAsia="Calibri" w:hAnsi="Arial" w:cs="Arial"/>
                <w:color w:val="000000"/>
                <w:spacing w:val="-2"/>
                <w:sz w:val="17"/>
                <w:szCs w:val="17"/>
              </w:rPr>
            </w:pPr>
          </w:p>
        </w:tc>
        <w:tc>
          <w:tcPr>
            <w:tcW w:w="555" w:type="pct"/>
            <w:shd w:val="clear" w:color="auto" w:fill="auto"/>
            <w:vAlign w:val="bottom"/>
          </w:tcPr>
          <w:p w14:paraId="3EAB647E" w14:textId="77777777" w:rsidR="00C21B42" w:rsidRPr="003D1614" w:rsidRDefault="00C21B42" w:rsidP="00CA7F04">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Razina 1</w:t>
            </w:r>
          </w:p>
        </w:tc>
        <w:tc>
          <w:tcPr>
            <w:tcW w:w="644" w:type="pct"/>
            <w:shd w:val="clear" w:color="auto" w:fill="auto"/>
            <w:vAlign w:val="bottom"/>
          </w:tcPr>
          <w:p w14:paraId="503B06B2" w14:textId="77777777" w:rsidR="00C21B42" w:rsidRPr="003D1614" w:rsidRDefault="00C21B42" w:rsidP="00CA7F04">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Razina 2</w:t>
            </w:r>
          </w:p>
        </w:tc>
        <w:tc>
          <w:tcPr>
            <w:tcW w:w="607" w:type="pct"/>
            <w:shd w:val="clear" w:color="auto" w:fill="auto"/>
            <w:vAlign w:val="bottom"/>
          </w:tcPr>
          <w:p w14:paraId="037CBB1A" w14:textId="77777777" w:rsidR="00C21B42" w:rsidRPr="003D1614" w:rsidRDefault="00C21B42" w:rsidP="00CA7F04">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Razina 3</w:t>
            </w:r>
          </w:p>
        </w:tc>
      </w:tr>
      <w:tr w:rsidR="00C21B42" w:rsidRPr="003D1614" w14:paraId="37D08670" w14:textId="77777777" w:rsidTr="00CA7F04">
        <w:trPr>
          <w:trHeight w:hRule="exact" w:val="200"/>
          <w:jc w:val="center"/>
        </w:trPr>
        <w:tc>
          <w:tcPr>
            <w:tcW w:w="3194" w:type="pct"/>
            <w:shd w:val="clear" w:color="auto" w:fill="auto"/>
            <w:vAlign w:val="bottom"/>
          </w:tcPr>
          <w:p w14:paraId="3D74E98A" w14:textId="77777777" w:rsidR="00C21B42" w:rsidRPr="003D1614" w:rsidRDefault="00C21B42" w:rsidP="00CA7F04">
            <w:pPr>
              <w:tabs>
                <w:tab w:val="right" w:pos="1202"/>
              </w:tabs>
              <w:suppressAutoHyphens/>
              <w:autoSpaceDN w:val="0"/>
              <w:outlineLvl w:val="0"/>
              <w:rPr>
                <w:rFonts w:ascii="Arial" w:eastAsia="Calibri" w:hAnsi="Arial" w:cs="Arial"/>
                <w:color w:val="000000"/>
                <w:spacing w:val="-2"/>
                <w:sz w:val="17"/>
                <w:szCs w:val="17"/>
              </w:rPr>
            </w:pPr>
          </w:p>
        </w:tc>
        <w:tc>
          <w:tcPr>
            <w:tcW w:w="555" w:type="pct"/>
            <w:shd w:val="clear" w:color="auto" w:fill="auto"/>
            <w:vAlign w:val="bottom"/>
          </w:tcPr>
          <w:p w14:paraId="49301BF6" w14:textId="77777777" w:rsidR="00C21B42" w:rsidRPr="003D1614" w:rsidRDefault="00C21B42" w:rsidP="00CA7F04">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c>
          <w:tcPr>
            <w:tcW w:w="644" w:type="pct"/>
            <w:shd w:val="clear" w:color="auto" w:fill="auto"/>
            <w:vAlign w:val="bottom"/>
          </w:tcPr>
          <w:p w14:paraId="55AD9B7C" w14:textId="77777777" w:rsidR="00C21B42" w:rsidRPr="003D1614" w:rsidRDefault="00C21B42" w:rsidP="00CA7F04">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c>
          <w:tcPr>
            <w:tcW w:w="607" w:type="pct"/>
            <w:shd w:val="clear" w:color="auto" w:fill="auto"/>
            <w:vAlign w:val="bottom"/>
          </w:tcPr>
          <w:p w14:paraId="0032CC34" w14:textId="77777777" w:rsidR="00C21B42" w:rsidRPr="003D1614" w:rsidRDefault="00C21B42" w:rsidP="00CA7F04">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r>
      <w:tr w:rsidR="00C21B42" w:rsidRPr="003D1614" w14:paraId="43B687D9" w14:textId="77777777" w:rsidTr="00CA7F04">
        <w:trPr>
          <w:trHeight w:hRule="exact" w:val="255"/>
          <w:jc w:val="center"/>
        </w:trPr>
        <w:tc>
          <w:tcPr>
            <w:tcW w:w="3194" w:type="pct"/>
            <w:vAlign w:val="bottom"/>
          </w:tcPr>
          <w:p w14:paraId="55C23C39" w14:textId="77777777" w:rsidR="00C21B42" w:rsidRPr="003D1614" w:rsidRDefault="00C21B42" w:rsidP="00CA7F04">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b/>
                <w:color w:val="000000"/>
                <w:sz w:val="17"/>
                <w:szCs w:val="17"/>
              </w:rPr>
              <w:t>Financijska imovina po fer vrijednosti kroz dobit ili gubitak:</w:t>
            </w:r>
          </w:p>
        </w:tc>
        <w:tc>
          <w:tcPr>
            <w:tcW w:w="555" w:type="pct"/>
            <w:vAlign w:val="bottom"/>
          </w:tcPr>
          <w:p w14:paraId="178D2E27" w14:textId="77777777" w:rsidR="00C21B42" w:rsidRPr="003D1614" w:rsidRDefault="00C21B42" w:rsidP="00CA7F04">
            <w:pPr>
              <w:tabs>
                <w:tab w:val="right" w:pos="1202"/>
              </w:tabs>
              <w:suppressAutoHyphens/>
              <w:autoSpaceDN w:val="0"/>
              <w:jc w:val="right"/>
              <w:outlineLvl w:val="0"/>
              <w:rPr>
                <w:rFonts w:ascii="Arial" w:eastAsia="Calibri" w:hAnsi="Arial" w:cs="Arial"/>
                <w:b/>
                <w:color w:val="000000"/>
                <w:spacing w:val="-2"/>
                <w:sz w:val="17"/>
                <w:szCs w:val="17"/>
              </w:rPr>
            </w:pPr>
          </w:p>
        </w:tc>
        <w:tc>
          <w:tcPr>
            <w:tcW w:w="644" w:type="pct"/>
            <w:vAlign w:val="bottom"/>
          </w:tcPr>
          <w:p w14:paraId="1E3040AC" w14:textId="77777777" w:rsidR="00C21B42" w:rsidRPr="003D1614" w:rsidRDefault="00C21B42" w:rsidP="00CA7F04">
            <w:pPr>
              <w:tabs>
                <w:tab w:val="right" w:pos="1202"/>
              </w:tabs>
              <w:suppressAutoHyphens/>
              <w:autoSpaceDN w:val="0"/>
              <w:jc w:val="right"/>
              <w:outlineLvl w:val="0"/>
              <w:rPr>
                <w:rFonts w:ascii="Arial" w:eastAsia="Calibri" w:hAnsi="Arial" w:cs="Arial"/>
                <w:b/>
                <w:color w:val="000000"/>
                <w:spacing w:val="-2"/>
                <w:sz w:val="17"/>
                <w:szCs w:val="17"/>
              </w:rPr>
            </w:pPr>
          </w:p>
        </w:tc>
        <w:tc>
          <w:tcPr>
            <w:tcW w:w="607" w:type="pct"/>
            <w:vAlign w:val="bottom"/>
          </w:tcPr>
          <w:p w14:paraId="3C2DCA4C" w14:textId="77777777" w:rsidR="00C21B42" w:rsidRPr="003D1614" w:rsidRDefault="00C21B42" w:rsidP="00CA7F04">
            <w:pPr>
              <w:tabs>
                <w:tab w:val="right" w:pos="1202"/>
              </w:tabs>
              <w:suppressAutoHyphens/>
              <w:autoSpaceDN w:val="0"/>
              <w:jc w:val="right"/>
              <w:outlineLvl w:val="0"/>
              <w:rPr>
                <w:rFonts w:ascii="Arial" w:eastAsia="Calibri" w:hAnsi="Arial" w:cs="Arial"/>
                <w:b/>
                <w:color w:val="000000"/>
                <w:spacing w:val="-2"/>
                <w:sz w:val="17"/>
                <w:szCs w:val="17"/>
              </w:rPr>
            </w:pPr>
          </w:p>
        </w:tc>
      </w:tr>
      <w:tr w:rsidR="00C21B42" w:rsidRPr="003D1614" w14:paraId="27DBB2F1" w14:textId="77777777" w:rsidTr="00CA7F04">
        <w:trPr>
          <w:trHeight w:hRule="exact" w:val="255"/>
          <w:jc w:val="center"/>
        </w:trPr>
        <w:tc>
          <w:tcPr>
            <w:tcW w:w="3194" w:type="pct"/>
            <w:vAlign w:val="bottom"/>
          </w:tcPr>
          <w:p w14:paraId="4C865930" w14:textId="77777777" w:rsidR="00C21B42" w:rsidRPr="003D1614" w:rsidRDefault="00C21B42" w:rsidP="00CA7F04">
            <w:pPr>
              <w:tabs>
                <w:tab w:val="right" w:pos="1202"/>
              </w:tabs>
              <w:suppressAutoHyphens/>
              <w:autoSpaceDN w:val="0"/>
              <w:outlineLvl w:val="0"/>
              <w:rPr>
                <w:rFonts w:ascii="Arial" w:eastAsia="Calibri" w:hAnsi="Arial" w:cs="Arial"/>
                <w:b/>
                <w:i/>
                <w:color w:val="000000"/>
                <w:sz w:val="17"/>
                <w:szCs w:val="17"/>
              </w:rPr>
            </w:pPr>
            <w:r w:rsidRPr="003D1614">
              <w:rPr>
                <w:rFonts w:ascii="Arial" w:eastAsia="Calibri" w:hAnsi="Arial" w:cs="Arial"/>
                <w:b/>
                <w:i/>
                <w:color w:val="000000"/>
                <w:sz w:val="17"/>
                <w:szCs w:val="17"/>
              </w:rPr>
              <w:t>Krediti po fer vrijednosti kroz dobit ili gubitak:</w:t>
            </w:r>
          </w:p>
        </w:tc>
        <w:tc>
          <w:tcPr>
            <w:tcW w:w="555" w:type="pct"/>
            <w:tcBorders>
              <w:top w:val="nil"/>
              <w:left w:val="nil"/>
              <w:right w:val="nil"/>
            </w:tcBorders>
            <w:shd w:val="clear" w:color="auto" w:fill="auto"/>
            <w:vAlign w:val="bottom"/>
          </w:tcPr>
          <w:p w14:paraId="5918599B" w14:textId="77777777" w:rsidR="00C21B42" w:rsidRPr="003D1614" w:rsidRDefault="00C21B42" w:rsidP="00CA7F04">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163280FA" w14:textId="77777777" w:rsidR="00C21B42" w:rsidRPr="003D1614" w:rsidRDefault="00C21B42" w:rsidP="00CA7F04">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2A8ABF5A" w14:textId="77777777" w:rsidR="00C21B42" w:rsidRPr="003D1614" w:rsidRDefault="00C21B42" w:rsidP="00CA7F04">
            <w:pPr>
              <w:tabs>
                <w:tab w:val="right" w:pos="1202"/>
              </w:tabs>
              <w:suppressAutoHyphens/>
              <w:autoSpaceDN w:val="0"/>
              <w:jc w:val="right"/>
              <w:outlineLvl w:val="0"/>
              <w:rPr>
                <w:rFonts w:ascii="Arial" w:eastAsia="Calibri" w:hAnsi="Arial" w:cs="Arial"/>
                <w:color w:val="000000"/>
                <w:sz w:val="17"/>
                <w:szCs w:val="17"/>
              </w:rPr>
            </w:pPr>
          </w:p>
        </w:tc>
      </w:tr>
      <w:tr w:rsidR="00C21B42" w:rsidRPr="003D1614" w14:paraId="20FE5526" w14:textId="77777777" w:rsidTr="00CA7F04">
        <w:trPr>
          <w:trHeight w:val="251"/>
          <w:jc w:val="center"/>
        </w:trPr>
        <w:tc>
          <w:tcPr>
            <w:tcW w:w="3194" w:type="pct"/>
            <w:vAlign w:val="bottom"/>
          </w:tcPr>
          <w:p w14:paraId="326C99D3" w14:textId="77777777" w:rsidR="00C21B42" w:rsidRPr="003D1614" w:rsidRDefault="00C21B42" w:rsidP="00CA7F04">
            <w:pPr>
              <w:tabs>
                <w:tab w:val="right" w:pos="1202"/>
              </w:tabs>
              <w:suppressAutoHyphens/>
              <w:autoSpaceDN w:val="0"/>
              <w:outlineLvl w:val="0"/>
              <w:rPr>
                <w:rFonts w:ascii="Arial" w:eastAsia="Calibri" w:hAnsi="Arial" w:cs="Arial"/>
                <w:color w:val="000000"/>
                <w:sz w:val="17"/>
                <w:szCs w:val="17"/>
              </w:rPr>
            </w:pPr>
            <w:proofErr w:type="spellStart"/>
            <w:r w:rsidRPr="003D1614">
              <w:rPr>
                <w:rFonts w:ascii="Arial" w:eastAsia="Calibri" w:hAnsi="Arial" w:cs="Arial"/>
                <w:color w:val="000000"/>
                <w:sz w:val="17"/>
                <w:szCs w:val="17"/>
              </w:rPr>
              <w:t>Mezzanine</w:t>
            </w:r>
            <w:proofErr w:type="spellEnd"/>
            <w:r w:rsidRPr="003D1614">
              <w:rPr>
                <w:rFonts w:ascii="Arial" w:eastAsia="Calibri" w:hAnsi="Arial" w:cs="Arial"/>
                <w:color w:val="000000"/>
                <w:sz w:val="17"/>
                <w:szCs w:val="17"/>
              </w:rPr>
              <w:t xml:space="preserve"> krediti</w:t>
            </w:r>
          </w:p>
        </w:tc>
        <w:tc>
          <w:tcPr>
            <w:tcW w:w="555" w:type="pct"/>
            <w:tcBorders>
              <w:top w:val="nil"/>
              <w:left w:val="nil"/>
              <w:right w:val="nil"/>
            </w:tcBorders>
            <w:shd w:val="clear" w:color="auto" w:fill="auto"/>
            <w:vAlign w:val="bottom"/>
          </w:tcPr>
          <w:p w14:paraId="0B55F811" w14:textId="47E74370" w:rsidR="00C21B42" w:rsidRPr="003D1614" w:rsidRDefault="001A5B79"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right w:val="nil"/>
            </w:tcBorders>
            <w:shd w:val="clear" w:color="auto" w:fill="auto"/>
            <w:vAlign w:val="bottom"/>
          </w:tcPr>
          <w:p w14:paraId="7C1A516E" w14:textId="5AAA000F" w:rsidR="00C21B42" w:rsidRPr="003D1614" w:rsidRDefault="001A5B79"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right w:val="nil"/>
            </w:tcBorders>
            <w:shd w:val="clear" w:color="auto" w:fill="auto"/>
            <w:vAlign w:val="bottom"/>
          </w:tcPr>
          <w:p w14:paraId="18B2DE14" w14:textId="7FA484E6" w:rsidR="00C21B42" w:rsidRPr="003D1614" w:rsidRDefault="001A5B79"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33.272</w:t>
            </w:r>
          </w:p>
        </w:tc>
      </w:tr>
      <w:tr w:rsidR="00C21B42" w:rsidRPr="003D1614" w14:paraId="2DF71965" w14:textId="77777777" w:rsidTr="00CA7F04">
        <w:trPr>
          <w:trHeight w:hRule="exact" w:val="251"/>
          <w:jc w:val="center"/>
        </w:trPr>
        <w:tc>
          <w:tcPr>
            <w:tcW w:w="3194" w:type="pct"/>
            <w:vAlign w:val="bottom"/>
          </w:tcPr>
          <w:p w14:paraId="581548E7" w14:textId="77777777" w:rsidR="00C21B42" w:rsidRPr="003D1614" w:rsidRDefault="00C21B42" w:rsidP="00CA7F04">
            <w:pPr>
              <w:tabs>
                <w:tab w:val="right" w:pos="1202"/>
              </w:tabs>
              <w:suppressAutoHyphens/>
              <w:autoSpaceDN w:val="0"/>
              <w:outlineLvl w:val="0"/>
              <w:rPr>
                <w:rFonts w:ascii="Arial" w:eastAsia="Calibri" w:hAnsi="Arial" w:cs="Arial"/>
                <w:b/>
                <w:i/>
                <w:color w:val="000000"/>
                <w:sz w:val="17"/>
                <w:szCs w:val="17"/>
              </w:rPr>
            </w:pPr>
            <w:r w:rsidRPr="003D1614">
              <w:rPr>
                <w:rFonts w:ascii="Arial" w:eastAsia="Calibri" w:hAnsi="Arial" w:cs="Arial"/>
                <w:b/>
                <w:i/>
                <w:color w:val="000000"/>
                <w:sz w:val="17"/>
                <w:szCs w:val="17"/>
              </w:rPr>
              <w:t>Ulaganja u investicijske fondove:</w:t>
            </w:r>
          </w:p>
        </w:tc>
        <w:tc>
          <w:tcPr>
            <w:tcW w:w="555" w:type="pct"/>
            <w:tcBorders>
              <w:top w:val="nil"/>
              <w:left w:val="nil"/>
              <w:right w:val="nil"/>
            </w:tcBorders>
            <w:shd w:val="clear" w:color="auto" w:fill="auto"/>
            <w:vAlign w:val="bottom"/>
          </w:tcPr>
          <w:p w14:paraId="439AA54D" w14:textId="77777777" w:rsidR="00C21B42" w:rsidRPr="003D1614" w:rsidRDefault="00C21B42" w:rsidP="00CA7F04">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1EC45D95" w14:textId="77777777" w:rsidR="00C21B42" w:rsidRPr="003D1614" w:rsidRDefault="00C21B42" w:rsidP="00CA7F04">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6E46D21A" w14:textId="77777777" w:rsidR="00C21B42" w:rsidRPr="003D1614" w:rsidRDefault="00C21B42" w:rsidP="00CA7F04">
            <w:pPr>
              <w:tabs>
                <w:tab w:val="right" w:pos="1202"/>
              </w:tabs>
              <w:suppressAutoHyphens/>
              <w:autoSpaceDN w:val="0"/>
              <w:jc w:val="right"/>
              <w:outlineLvl w:val="0"/>
              <w:rPr>
                <w:rFonts w:ascii="Arial" w:eastAsia="Calibri" w:hAnsi="Arial" w:cs="Arial"/>
                <w:color w:val="000000"/>
                <w:sz w:val="17"/>
                <w:szCs w:val="17"/>
              </w:rPr>
            </w:pPr>
          </w:p>
        </w:tc>
      </w:tr>
      <w:tr w:rsidR="00C21B42" w:rsidRPr="003D1614" w14:paraId="662FDD23" w14:textId="77777777" w:rsidTr="00CA7F04">
        <w:trPr>
          <w:trHeight w:hRule="exact" w:val="227"/>
          <w:jc w:val="center"/>
        </w:trPr>
        <w:tc>
          <w:tcPr>
            <w:tcW w:w="3194" w:type="pct"/>
            <w:vAlign w:val="bottom"/>
          </w:tcPr>
          <w:p w14:paraId="7B960B88" w14:textId="77777777" w:rsidR="00C21B42" w:rsidRPr="003D1614" w:rsidRDefault="00C21B42" w:rsidP="00CA7F04">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Udjeli u investicijskim fondovima po fer vrijednosti kroz dobit ili gubitak</w:t>
            </w:r>
          </w:p>
        </w:tc>
        <w:tc>
          <w:tcPr>
            <w:tcW w:w="555" w:type="pct"/>
            <w:tcBorders>
              <w:top w:val="nil"/>
              <w:left w:val="nil"/>
              <w:right w:val="nil"/>
            </w:tcBorders>
            <w:shd w:val="clear" w:color="auto" w:fill="auto"/>
            <w:vAlign w:val="bottom"/>
          </w:tcPr>
          <w:p w14:paraId="46456A6D" w14:textId="216C79D7" w:rsidR="00C21B42" w:rsidRPr="003D1614" w:rsidRDefault="001A5B79" w:rsidP="00CA7F04">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20.333</w:t>
            </w:r>
          </w:p>
        </w:tc>
        <w:tc>
          <w:tcPr>
            <w:tcW w:w="644" w:type="pct"/>
            <w:tcBorders>
              <w:top w:val="nil"/>
              <w:left w:val="nil"/>
              <w:right w:val="nil"/>
            </w:tcBorders>
            <w:shd w:val="clear" w:color="auto" w:fill="auto"/>
            <w:vAlign w:val="bottom"/>
          </w:tcPr>
          <w:p w14:paraId="7010A18D" w14:textId="05D45FC7" w:rsidR="00C21B42" w:rsidRPr="003D1614" w:rsidRDefault="001A5B79" w:rsidP="00CA7F04">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07" w:type="pct"/>
            <w:tcBorders>
              <w:top w:val="nil"/>
              <w:left w:val="nil"/>
              <w:right w:val="nil"/>
            </w:tcBorders>
            <w:shd w:val="clear" w:color="auto" w:fill="auto"/>
            <w:vAlign w:val="bottom"/>
          </w:tcPr>
          <w:p w14:paraId="491282C7" w14:textId="741E7D26" w:rsidR="00C21B42" w:rsidRPr="003D1614" w:rsidRDefault="001A5B79" w:rsidP="00CA7F04">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C21B42" w:rsidRPr="003D1614" w14:paraId="41E19DC9" w14:textId="77777777" w:rsidTr="00CA7F04">
        <w:trPr>
          <w:trHeight w:val="192"/>
          <w:jc w:val="center"/>
        </w:trPr>
        <w:tc>
          <w:tcPr>
            <w:tcW w:w="3194" w:type="pct"/>
            <w:vAlign w:val="bottom"/>
          </w:tcPr>
          <w:p w14:paraId="5543878B" w14:textId="77777777" w:rsidR="00C21B42" w:rsidRPr="003D1614" w:rsidRDefault="00C21B42" w:rsidP="00CA7F04">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color w:val="000000"/>
                <w:sz w:val="17"/>
                <w:szCs w:val="17"/>
              </w:rPr>
              <w:t>Vlasnički vrijednosni papiri:</w:t>
            </w:r>
          </w:p>
        </w:tc>
        <w:tc>
          <w:tcPr>
            <w:tcW w:w="555" w:type="pct"/>
            <w:tcBorders>
              <w:top w:val="nil"/>
              <w:left w:val="nil"/>
              <w:right w:val="nil"/>
            </w:tcBorders>
            <w:shd w:val="clear" w:color="auto" w:fill="auto"/>
            <w:vAlign w:val="bottom"/>
          </w:tcPr>
          <w:p w14:paraId="1AB3B4B1" w14:textId="77777777" w:rsidR="00C21B42" w:rsidRPr="003D1614" w:rsidRDefault="00C21B42" w:rsidP="00CA7F04">
            <w:pPr>
              <w:tabs>
                <w:tab w:val="right" w:pos="1202"/>
              </w:tabs>
              <w:suppressAutoHyphens/>
              <w:autoSpaceDN w:val="0"/>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7B27B1EE" w14:textId="77777777" w:rsidR="00C21B42" w:rsidRPr="003D1614" w:rsidRDefault="00C21B42" w:rsidP="00CA7F04">
            <w:pPr>
              <w:tabs>
                <w:tab w:val="right" w:pos="1202"/>
              </w:tabs>
              <w:suppressAutoHyphens/>
              <w:autoSpaceDN w:val="0"/>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3CE1EA2D" w14:textId="77777777" w:rsidR="00C21B42" w:rsidRPr="003D1614" w:rsidRDefault="00C21B42" w:rsidP="00CA7F04">
            <w:pPr>
              <w:tabs>
                <w:tab w:val="right" w:pos="1202"/>
              </w:tabs>
              <w:suppressAutoHyphens/>
              <w:autoSpaceDN w:val="0"/>
              <w:outlineLvl w:val="0"/>
              <w:rPr>
                <w:rFonts w:ascii="Arial" w:eastAsia="Calibri" w:hAnsi="Arial" w:cs="Arial"/>
                <w:color w:val="000000"/>
                <w:sz w:val="17"/>
                <w:szCs w:val="17"/>
              </w:rPr>
            </w:pPr>
          </w:p>
        </w:tc>
      </w:tr>
      <w:tr w:rsidR="00C21B42" w:rsidRPr="003D1614" w14:paraId="183F7EF4" w14:textId="77777777" w:rsidTr="00CA7F04">
        <w:trPr>
          <w:trHeight w:val="192"/>
          <w:jc w:val="center"/>
        </w:trPr>
        <w:tc>
          <w:tcPr>
            <w:tcW w:w="3194" w:type="pct"/>
            <w:vAlign w:val="bottom"/>
          </w:tcPr>
          <w:p w14:paraId="076EEEE8" w14:textId="77777777" w:rsidR="00C21B42" w:rsidRPr="003D1614" w:rsidRDefault="00C21B42" w:rsidP="00CA7F04">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i/>
                <w:color w:val="000000"/>
                <w:spacing w:val="-2"/>
                <w:sz w:val="17"/>
                <w:szCs w:val="17"/>
              </w:rPr>
              <w:t>Vlasnički vrijednosni papiri koji ne kotiraju:</w:t>
            </w:r>
          </w:p>
        </w:tc>
        <w:tc>
          <w:tcPr>
            <w:tcW w:w="555" w:type="pct"/>
            <w:tcBorders>
              <w:left w:val="nil"/>
              <w:right w:val="nil"/>
            </w:tcBorders>
            <w:shd w:val="clear" w:color="auto" w:fill="auto"/>
            <w:vAlign w:val="bottom"/>
          </w:tcPr>
          <w:p w14:paraId="45CFE750" w14:textId="77777777" w:rsidR="00C21B42" w:rsidRPr="003D1614" w:rsidRDefault="00C21B42" w:rsidP="00CA7F04">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53E9C845" w14:textId="77777777" w:rsidR="00C21B42" w:rsidRPr="003D1614" w:rsidRDefault="00C21B42" w:rsidP="00CA7F04">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4AB4E199" w14:textId="77777777" w:rsidR="00C21B42" w:rsidRPr="003D1614" w:rsidRDefault="00C21B42" w:rsidP="00CA7F04">
            <w:pPr>
              <w:tabs>
                <w:tab w:val="right" w:pos="1202"/>
              </w:tabs>
              <w:suppressAutoHyphens/>
              <w:autoSpaceDN w:val="0"/>
              <w:jc w:val="right"/>
              <w:outlineLvl w:val="0"/>
              <w:rPr>
                <w:rFonts w:ascii="Arial" w:eastAsia="Calibri" w:hAnsi="Arial" w:cs="Arial"/>
                <w:color w:val="000000"/>
                <w:sz w:val="17"/>
                <w:szCs w:val="17"/>
              </w:rPr>
            </w:pPr>
          </w:p>
        </w:tc>
      </w:tr>
      <w:tr w:rsidR="00C21B42" w:rsidRPr="003D1614" w14:paraId="467F950E" w14:textId="77777777" w:rsidTr="00CA7F04">
        <w:trPr>
          <w:trHeight w:hRule="exact" w:val="227"/>
          <w:jc w:val="center"/>
        </w:trPr>
        <w:tc>
          <w:tcPr>
            <w:tcW w:w="3194" w:type="pct"/>
            <w:vAlign w:val="bottom"/>
          </w:tcPr>
          <w:p w14:paraId="68CFEB97" w14:textId="77777777" w:rsidR="00C21B42" w:rsidRPr="003D1614" w:rsidRDefault="00C21B42" w:rsidP="00CA7F04">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Depozitarne potvrde - DR</w:t>
            </w:r>
          </w:p>
        </w:tc>
        <w:tc>
          <w:tcPr>
            <w:tcW w:w="555" w:type="pct"/>
            <w:tcBorders>
              <w:left w:val="nil"/>
              <w:right w:val="nil"/>
            </w:tcBorders>
            <w:shd w:val="clear" w:color="auto" w:fill="auto"/>
            <w:vAlign w:val="bottom"/>
          </w:tcPr>
          <w:p w14:paraId="0B8DEEC1" w14:textId="376FD3B8" w:rsidR="00C21B42" w:rsidRPr="003D1614" w:rsidRDefault="001A5B79"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right w:val="nil"/>
            </w:tcBorders>
            <w:shd w:val="clear" w:color="auto" w:fill="auto"/>
            <w:vAlign w:val="bottom"/>
          </w:tcPr>
          <w:p w14:paraId="5F0D0EFE" w14:textId="17B6DA15" w:rsidR="00C21B42" w:rsidRPr="003D1614" w:rsidRDefault="001A5B79"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right w:val="nil"/>
            </w:tcBorders>
            <w:shd w:val="clear" w:color="auto" w:fill="auto"/>
            <w:vAlign w:val="bottom"/>
          </w:tcPr>
          <w:p w14:paraId="13051EE9" w14:textId="20ECDFE4" w:rsidR="00C21B42" w:rsidRPr="003D1614" w:rsidRDefault="001A5B79"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42</w:t>
            </w:r>
          </w:p>
        </w:tc>
      </w:tr>
      <w:tr w:rsidR="00C21B42" w:rsidRPr="003D1614" w14:paraId="5CC91A8F" w14:textId="77777777" w:rsidTr="00CA7F04">
        <w:trPr>
          <w:trHeight w:hRule="exact" w:val="227"/>
          <w:jc w:val="center"/>
        </w:trPr>
        <w:tc>
          <w:tcPr>
            <w:tcW w:w="3194" w:type="pct"/>
            <w:shd w:val="clear" w:color="auto" w:fill="auto"/>
            <w:vAlign w:val="bottom"/>
          </w:tcPr>
          <w:p w14:paraId="27860DB5" w14:textId="77777777" w:rsidR="00C21B42" w:rsidRPr="003D1614" w:rsidRDefault="00C21B42" w:rsidP="00CA7F04">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b/>
                <w:color w:val="000000"/>
                <w:sz w:val="17"/>
                <w:szCs w:val="17"/>
              </w:rPr>
              <w:t>Derivativna financijska imovina – pozitivna fer vrijednost</w:t>
            </w:r>
          </w:p>
        </w:tc>
        <w:tc>
          <w:tcPr>
            <w:tcW w:w="555" w:type="pct"/>
            <w:tcBorders>
              <w:left w:val="nil"/>
              <w:right w:val="nil"/>
            </w:tcBorders>
            <w:shd w:val="clear" w:color="auto" w:fill="auto"/>
            <w:vAlign w:val="bottom"/>
          </w:tcPr>
          <w:p w14:paraId="5CC8A781" w14:textId="77777777" w:rsidR="00C21B42" w:rsidRPr="003D1614" w:rsidRDefault="00C21B42" w:rsidP="00CA7F04">
            <w:pPr>
              <w:tabs>
                <w:tab w:val="right" w:pos="1202"/>
              </w:tabs>
              <w:suppressAutoHyphens/>
              <w:autoSpaceDN w:val="0"/>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18CED609" w14:textId="77777777" w:rsidR="00C21B42" w:rsidRPr="003D1614" w:rsidRDefault="00C21B42" w:rsidP="00CA7F04">
            <w:pPr>
              <w:tabs>
                <w:tab w:val="right" w:pos="1202"/>
              </w:tabs>
              <w:suppressAutoHyphens/>
              <w:autoSpaceDN w:val="0"/>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51F5C666" w14:textId="77777777" w:rsidR="00C21B42" w:rsidRPr="003D1614" w:rsidRDefault="00C21B42" w:rsidP="00CA7F04">
            <w:pPr>
              <w:tabs>
                <w:tab w:val="right" w:pos="1202"/>
              </w:tabs>
              <w:suppressAutoHyphens/>
              <w:autoSpaceDN w:val="0"/>
              <w:jc w:val="right"/>
              <w:outlineLvl w:val="0"/>
              <w:rPr>
                <w:rFonts w:ascii="Arial" w:eastAsia="Calibri" w:hAnsi="Arial" w:cs="Arial"/>
                <w:color w:val="000000"/>
                <w:sz w:val="17"/>
                <w:szCs w:val="17"/>
              </w:rPr>
            </w:pPr>
          </w:p>
        </w:tc>
      </w:tr>
      <w:tr w:rsidR="00C21B42" w:rsidRPr="003D1614" w14:paraId="08167BF1" w14:textId="77777777" w:rsidTr="00CA7F04">
        <w:trPr>
          <w:trHeight w:hRule="exact" w:val="227"/>
          <w:jc w:val="center"/>
        </w:trPr>
        <w:tc>
          <w:tcPr>
            <w:tcW w:w="3194" w:type="pct"/>
            <w:shd w:val="clear" w:color="auto" w:fill="auto"/>
            <w:vAlign w:val="bottom"/>
          </w:tcPr>
          <w:p w14:paraId="2A0CC22F" w14:textId="77777777" w:rsidR="00C21B42" w:rsidRPr="003D1614" w:rsidRDefault="00C21B42" w:rsidP="00CA7F04">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bCs/>
                <w:color w:val="000000"/>
                <w:sz w:val="17"/>
                <w:szCs w:val="17"/>
              </w:rPr>
              <w:t xml:space="preserve">FX </w:t>
            </w:r>
            <w:proofErr w:type="spellStart"/>
            <w:r w:rsidRPr="003D1614">
              <w:rPr>
                <w:rFonts w:ascii="Arial" w:eastAsia="Calibri" w:hAnsi="Arial" w:cs="Arial"/>
                <w:bCs/>
                <w:color w:val="000000"/>
                <w:sz w:val="17"/>
                <w:szCs w:val="17"/>
              </w:rPr>
              <w:t>swap</w:t>
            </w:r>
            <w:proofErr w:type="spellEnd"/>
          </w:p>
        </w:tc>
        <w:tc>
          <w:tcPr>
            <w:tcW w:w="555" w:type="pct"/>
            <w:tcBorders>
              <w:left w:val="nil"/>
              <w:right w:val="nil"/>
            </w:tcBorders>
            <w:shd w:val="clear" w:color="auto" w:fill="auto"/>
            <w:vAlign w:val="bottom"/>
          </w:tcPr>
          <w:p w14:paraId="46823D92" w14:textId="1E562D32" w:rsidR="00C21B42" w:rsidRPr="003D1614" w:rsidRDefault="001A5B79"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right w:val="nil"/>
            </w:tcBorders>
            <w:shd w:val="clear" w:color="auto" w:fill="auto"/>
            <w:vAlign w:val="bottom"/>
          </w:tcPr>
          <w:p w14:paraId="0D80E23C" w14:textId="7EEA8CA7" w:rsidR="00C21B42" w:rsidRPr="003D1614" w:rsidRDefault="001A5B79"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125</w:t>
            </w:r>
          </w:p>
        </w:tc>
        <w:tc>
          <w:tcPr>
            <w:tcW w:w="607" w:type="pct"/>
            <w:tcBorders>
              <w:top w:val="nil"/>
              <w:left w:val="nil"/>
              <w:right w:val="nil"/>
            </w:tcBorders>
            <w:shd w:val="clear" w:color="auto" w:fill="auto"/>
            <w:vAlign w:val="bottom"/>
          </w:tcPr>
          <w:p w14:paraId="2473C342" w14:textId="6EB39FA3" w:rsidR="00C21B42" w:rsidRPr="003D1614" w:rsidRDefault="001A5B79"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C21B42" w:rsidRPr="003D1614" w14:paraId="41FC718E" w14:textId="77777777" w:rsidTr="00CA7F04">
        <w:trPr>
          <w:trHeight w:hRule="exact" w:val="255"/>
          <w:jc w:val="center"/>
        </w:trPr>
        <w:tc>
          <w:tcPr>
            <w:tcW w:w="3194" w:type="pct"/>
            <w:vAlign w:val="bottom"/>
          </w:tcPr>
          <w:p w14:paraId="619D9288" w14:textId="77777777" w:rsidR="00C21B42" w:rsidRPr="003D1614" w:rsidRDefault="00C21B42" w:rsidP="00CA7F04">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color w:val="000000"/>
                <w:sz w:val="17"/>
                <w:szCs w:val="17"/>
              </w:rPr>
              <w:t>Ukupno financijska imovina po fer vrijednosti kroz dobit ili gubitak</w:t>
            </w:r>
          </w:p>
        </w:tc>
        <w:tc>
          <w:tcPr>
            <w:tcW w:w="555" w:type="pct"/>
            <w:tcBorders>
              <w:top w:val="single" w:sz="4" w:space="0" w:color="auto"/>
              <w:left w:val="nil"/>
              <w:bottom w:val="single" w:sz="12" w:space="0" w:color="auto"/>
              <w:right w:val="nil"/>
            </w:tcBorders>
            <w:shd w:val="clear" w:color="auto" w:fill="auto"/>
            <w:vAlign w:val="bottom"/>
          </w:tcPr>
          <w:p w14:paraId="750B5E45" w14:textId="226D2891" w:rsidR="00C21B42" w:rsidRPr="003D1614" w:rsidRDefault="001A5B79" w:rsidP="00CA7F04">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z w:val="17"/>
                <w:szCs w:val="17"/>
              </w:rPr>
              <w:t>20.333</w:t>
            </w:r>
          </w:p>
        </w:tc>
        <w:tc>
          <w:tcPr>
            <w:tcW w:w="644" w:type="pct"/>
            <w:tcBorders>
              <w:top w:val="single" w:sz="4" w:space="0" w:color="auto"/>
              <w:left w:val="nil"/>
              <w:bottom w:val="single" w:sz="12" w:space="0" w:color="auto"/>
              <w:right w:val="nil"/>
            </w:tcBorders>
            <w:shd w:val="clear" w:color="auto" w:fill="auto"/>
            <w:vAlign w:val="bottom"/>
          </w:tcPr>
          <w:p w14:paraId="502C685D" w14:textId="486748EA" w:rsidR="00C21B42" w:rsidRPr="003D1614" w:rsidRDefault="001A5B79" w:rsidP="00CA7F04">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z w:val="17"/>
                <w:szCs w:val="17"/>
              </w:rPr>
              <w:t>125</w:t>
            </w:r>
          </w:p>
        </w:tc>
        <w:tc>
          <w:tcPr>
            <w:tcW w:w="607" w:type="pct"/>
            <w:tcBorders>
              <w:top w:val="single" w:sz="4" w:space="0" w:color="auto"/>
              <w:left w:val="nil"/>
              <w:bottom w:val="single" w:sz="12" w:space="0" w:color="auto"/>
              <w:right w:val="nil"/>
            </w:tcBorders>
            <w:shd w:val="clear" w:color="auto" w:fill="auto"/>
            <w:vAlign w:val="bottom"/>
          </w:tcPr>
          <w:p w14:paraId="52AC95D2" w14:textId="4C5C1377" w:rsidR="00C21B42" w:rsidRPr="003D1614" w:rsidRDefault="001A5B79" w:rsidP="00CA7F04">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z w:val="17"/>
                <w:szCs w:val="17"/>
              </w:rPr>
              <w:t>33.314</w:t>
            </w:r>
          </w:p>
        </w:tc>
      </w:tr>
      <w:tr w:rsidR="00C21B42" w:rsidRPr="003D1614" w14:paraId="09A94986" w14:textId="77777777" w:rsidTr="00CA7F04">
        <w:trPr>
          <w:trHeight w:hRule="exact" w:val="255"/>
          <w:jc w:val="center"/>
        </w:trPr>
        <w:tc>
          <w:tcPr>
            <w:tcW w:w="3194" w:type="pct"/>
            <w:shd w:val="clear" w:color="auto" w:fill="auto"/>
            <w:vAlign w:val="bottom"/>
          </w:tcPr>
          <w:p w14:paraId="0C9D2D61" w14:textId="77777777" w:rsidR="00C21B42" w:rsidRPr="003D1614" w:rsidRDefault="00C21B42" w:rsidP="00CA7F04">
            <w:pPr>
              <w:tabs>
                <w:tab w:val="right" w:pos="1202"/>
              </w:tabs>
              <w:suppressAutoHyphens/>
              <w:autoSpaceDN w:val="0"/>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Financijska imovina po fer vrijednosti kroz ostalu sveobuhvatnu dobit:</w:t>
            </w:r>
          </w:p>
        </w:tc>
        <w:tc>
          <w:tcPr>
            <w:tcW w:w="555" w:type="pct"/>
            <w:vAlign w:val="bottom"/>
          </w:tcPr>
          <w:p w14:paraId="04E29F16" w14:textId="77777777" w:rsidR="00C21B42" w:rsidRPr="003D1614" w:rsidDel="00561A80" w:rsidRDefault="00C21B42"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644" w:type="pct"/>
            <w:vAlign w:val="bottom"/>
          </w:tcPr>
          <w:p w14:paraId="04FDAEFE" w14:textId="77777777" w:rsidR="00C21B42" w:rsidRPr="003D1614" w:rsidDel="00561A80" w:rsidRDefault="00C21B42"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607" w:type="pct"/>
            <w:vAlign w:val="bottom"/>
          </w:tcPr>
          <w:p w14:paraId="132EE8E5" w14:textId="77777777" w:rsidR="00C21B42" w:rsidRPr="003D1614" w:rsidDel="00561A80" w:rsidRDefault="00C21B42" w:rsidP="00CA7F04">
            <w:pPr>
              <w:tabs>
                <w:tab w:val="right" w:pos="1202"/>
              </w:tabs>
              <w:suppressAutoHyphens/>
              <w:autoSpaceDN w:val="0"/>
              <w:jc w:val="right"/>
              <w:outlineLvl w:val="0"/>
              <w:rPr>
                <w:rFonts w:ascii="Arial" w:eastAsia="Calibri" w:hAnsi="Arial" w:cs="Arial"/>
                <w:color w:val="000000"/>
                <w:spacing w:val="-2"/>
                <w:sz w:val="17"/>
                <w:szCs w:val="17"/>
              </w:rPr>
            </w:pPr>
          </w:p>
        </w:tc>
      </w:tr>
      <w:tr w:rsidR="00C21B42" w:rsidRPr="003D1614" w14:paraId="49D88951" w14:textId="77777777" w:rsidTr="00CA7F04">
        <w:trPr>
          <w:trHeight w:hRule="exact" w:val="255"/>
          <w:jc w:val="center"/>
        </w:trPr>
        <w:tc>
          <w:tcPr>
            <w:tcW w:w="3194" w:type="pct"/>
            <w:shd w:val="clear" w:color="auto" w:fill="auto"/>
            <w:vAlign w:val="bottom"/>
          </w:tcPr>
          <w:p w14:paraId="3E76533A" w14:textId="77777777" w:rsidR="00C21B42" w:rsidRPr="003D1614" w:rsidRDefault="00C21B42" w:rsidP="00CA7F04">
            <w:pPr>
              <w:tabs>
                <w:tab w:val="right" w:pos="1202"/>
              </w:tabs>
              <w:suppressAutoHyphens/>
              <w:autoSpaceDN w:val="0"/>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Dužnički vrijednosni papiri:</w:t>
            </w:r>
          </w:p>
        </w:tc>
        <w:tc>
          <w:tcPr>
            <w:tcW w:w="555" w:type="pct"/>
            <w:vAlign w:val="bottom"/>
          </w:tcPr>
          <w:p w14:paraId="5C639EBA" w14:textId="77777777" w:rsidR="00C21B42" w:rsidRPr="003D1614" w:rsidDel="00561A80" w:rsidRDefault="00C21B42"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644" w:type="pct"/>
            <w:vAlign w:val="bottom"/>
          </w:tcPr>
          <w:p w14:paraId="74CD2A6C" w14:textId="77777777" w:rsidR="00C21B42" w:rsidRPr="003D1614" w:rsidDel="00561A80" w:rsidRDefault="00C21B42"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607" w:type="pct"/>
            <w:vAlign w:val="bottom"/>
          </w:tcPr>
          <w:p w14:paraId="7DE15DCD" w14:textId="77777777" w:rsidR="00C21B42" w:rsidRPr="003D1614" w:rsidDel="00561A80" w:rsidRDefault="00C21B42" w:rsidP="00CA7F04">
            <w:pPr>
              <w:tabs>
                <w:tab w:val="right" w:pos="1202"/>
              </w:tabs>
              <w:suppressAutoHyphens/>
              <w:autoSpaceDN w:val="0"/>
              <w:jc w:val="right"/>
              <w:outlineLvl w:val="0"/>
              <w:rPr>
                <w:rFonts w:ascii="Arial" w:eastAsia="Calibri" w:hAnsi="Arial" w:cs="Arial"/>
                <w:color w:val="000000"/>
                <w:spacing w:val="-2"/>
                <w:sz w:val="17"/>
                <w:szCs w:val="17"/>
              </w:rPr>
            </w:pPr>
          </w:p>
        </w:tc>
      </w:tr>
      <w:tr w:rsidR="00C21B42" w:rsidRPr="003D1614" w14:paraId="29FC8DFE" w14:textId="77777777" w:rsidTr="00CA7F04">
        <w:trPr>
          <w:trHeight w:hRule="exact" w:val="255"/>
          <w:jc w:val="center"/>
        </w:trPr>
        <w:tc>
          <w:tcPr>
            <w:tcW w:w="3194" w:type="pct"/>
            <w:shd w:val="clear" w:color="auto" w:fill="auto"/>
            <w:vAlign w:val="bottom"/>
          </w:tcPr>
          <w:p w14:paraId="1318CE68" w14:textId="77777777" w:rsidR="00C21B42" w:rsidRPr="003D1614" w:rsidRDefault="00C21B42" w:rsidP="00CA7F04">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b/>
                <w:i/>
                <w:color w:val="000000"/>
                <w:spacing w:val="-2"/>
                <w:sz w:val="17"/>
                <w:szCs w:val="17"/>
              </w:rPr>
              <w:t>Dužnički vrijednosni papiri koji kotiraju:</w:t>
            </w:r>
          </w:p>
        </w:tc>
        <w:tc>
          <w:tcPr>
            <w:tcW w:w="555" w:type="pct"/>
            <w:vAlign w:val="bottom"/>
          </w:tcPr>
          <w:p w14:paraId="39B3276D" w14:textId="77777777" w:rsidR="00C21B42" w:rsidRPr="003D1614" w:rsidDel="00561A80" w:rsidRDefault="00C21B42"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644" w:type="pct"/>
            <w:vAlign w:val="bottom"/>
          </w:tcPr>
          <w:p w14:paraId="28FC4A8E" w14:textId="77777777" w:rsidR="00C21B42" w:rsidRPr="003D1614" w:rsidDel="00561A80" w:rsidRDefault="00C21B42"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607" w:type="pct"/>
            <w:vAlign w:val="bottom"/>
          </w:tcPr>
          <w:p w14:paraId="71C4E7C6" w14:textId="77777777" w:rsidR="00C21B42" w:rsidRPr="003D1614" w:rsidDel="00561A80" w:rsidRDefault="00C21B42" w:rsidP="00CA7F04">
            <w:pPr>
              <w:tabs>
                <w:tab w:val="right" w:pos="1202"/>
              </w:tabs>
              <w:suppressAutoHyphens/>
              <w:autoSpaceDN w:val="0"/>
              <w:jc w:val="right"/>
              <w:outlineLvl w:val="0"/>
              <w:rPr>
                <w:rFonts w:ascii="Arial" w:eastAsia="Calibri" w:hAnsi="Arial" w:cs="Arial"/>
                <w:color w:val="000000"/>
                <w:spacing w:val="-2"/>
                <w:sz w:val="17"/>
                <w:szCs w:val="17"/>
              </w:rPr>
            </w:pPr>
          </w:p>
        </w:tc>
      </w:tr>
      <w:tr w:rsidR="00C21B42" w:rsidRPr="003D1614" w14:paraId="1C31CC45" w14:textId="77777777" w:rsidTr="00CA7F04">
        <w:trPr>
          <w:trHeight w:hRule="exact" w:val="227"/>
          <w:jc w:val="center"/>
        </w:trPr>
        <w:tc>
          <w:tcPr>
            <w:tcW w:w="3194" w:type="pct"/>
            <w:shd w:val="clear" w:color="auto" w:fill="auto"/>
            <w:vAlign w:val="bottom"/>
          </w:tcPr>
          <w:p w14:paraId="58E014E0" w14:textId="77777777" w:rsidR="00C21B42" w:rsidRPr="003D1614" w:rsidRDefault="00C21B42" w:rsidP="00CA7F04">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Obveznice Republike Hrvatske</w:t>
            </w:r>
          </w:p>
        </w:tc>
        <w:tc>
          <w:tcPr>
            <w:tcW w:w="555" w:type="pct"/>
            <w:tcBorders>
              <w:top w:val="nil"/>
              <w:left w:val="nil"/>
              <w:bottom w:val="nil"/>
              <w:right w:val="nil"/>
            </w:tcBorders>
            <w:shd w:val="clear" w:color="auto" w:fill="auto"/>
            <w:vAlign w:val="bottom"/>
          </w:tcPr>
          <w:p w14:paraId="278DB9C8" w14:textId="26225AA9" w:rsidR="00C21B42" w:rsidRPr="003D1614" w:rsidRDefault="00E635F5" w:rsidP="00CA7F04">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209.630</w:t>
            </w:r>
          </w:p>
        </w:tc>
        <w:tc>
          <w:tcPr>
            <w:tcW w:w="644" w:type="pct"/>
            <w:tcBorders>
              <w:top w:val="nil"/>
              <w:left w:val="nil"/>
              <w:bottom w:val="nil"/>
              <w:right w:val="nil"/>
            </w:tcBorders>
            <w:shd w:val="clear" w:color="auto" w:fill="auto"/>
            <w:vAlign w:val="bottom"/>
          </w:tcPr>
          <w:p w14:paraId="031CF06C" w14:textId="39B704ED" w:rsidR="00C21B42" w:rsidRPr="003D1614" w:rsidRDefault="001A5B79" w:rsidP="00CA7F04">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07" w:type="pct"/>
            <w:tcBorders>
              <w:top w:val="nil"/>
              <w:left w:val="nil"/>
              <w:bottom w:val="nil"/>
              <w:right w:val="nil"/>
            </w:tcBorders>
            <w:shd w:val="clear" w:color="auto" w:fill="auto"/>
            <w:vAlign w:val="bottom"/>
          </w:tcPr>
          <w:p w14:paraId="08400CA5" w14:textId="1DA77792" w:rsidR="00C21B42" w:rsidRPr="003D1614" w:rsidRDefault="001A5B79" w:rsidP="00CA7F04">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C21B42" w:rsidRPr="003D1614" w14:paraId="71E0D9E9" w14:textId="77777777" w:rsidTr="00CA7F04">
        <w:trPr>
          <w:trHeight w:hRule="exact" w:val="227"/>
          <w:jc w:val="center"/>
        </w:trPr>
        <w:tc>
          <w:tcPr>
            <w:tcW w:w="3194" w:type="pct"/>
            <w:shd w:val="clear" w:color="auto" w:fill="auto"/>
            <w:vAlign w:val="bottom"/>
          </w:tcPr>
          <w:p w14:paraId="3D76319F" w14:textId="77777777" w:rsidR="00C21B42" w:rsidRPr="003D1614" w:rsidRDefault="00C21B42" w:rsidP="00CA7F04">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Obveznice trgovačkih društava</w:t>
            </w:r>
          </w:p>
        </w:tc>
        <w:tc>
          <w:tcPr>
            <w:tcW w:w="555" w:type="pct"/>
            <w:tcBorders>
              <w:top w:val="nil"/>
              <w:left w:val="nil"/>
              <w:bottom w:val="nil"/>
              <w:right w:val="nil"/>
            </w:tcBorders>
            <w:shd w:val="clear" w:color="auto" w:fill="auto"/>
            <w:vAlign w:val="bottom"/>
          </w:tcPr>
          <w:p w14:paraId="7A5A850D" w14:textId="0EFCBB15" w:rsidR="00C21B42" w:rsidRPr="003D1614" w:rsidRDefault="001A5B79" w:rsidP="00CA7F04">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30</w:t>
            </w:r>
            <w:r w:rsidR="00E635F5">
              <w:rPr>
                <w:rFonts w:ascii="Arial" w:eastAsia="Calibri" w:hAnsi="Arial" w:cs="Arial"/>
                <w:color w:val="000000"/>
                <w:spacing w:val="-2"/>
                <w:sz w:val="17"/>
                <w:szCs w:val="17"/>
              </w:rPr>
              <w:t>0</w:t>
            </w:r>
          </w:p>
        </w:tc>
        <w:tc>
          <w:tcPr>
            <w:tcW w:w="644" w:type="pct"/>
            <w:tcBorders>
              <w:top w:val="nil"/>
              <w:left w:val="nil"/>
              <w:bottom w:val="nil"/>
              <w:right w:val="nil"/>
            </w:tcBorders>
            <w:shd w:val="clear" w:color="auto" w:fill="auto"/>
            <w:vAlign w:val="bottom"/>
          </w:tcPr>
          <w:p w14:paraId="7DAF359C" w14:textId="218B4DA7" w:rsidR="00C21B42" w:rsidRPr="003D1614" w:rsidRDefault="001A5B79" w:rsidP="00CA7F04">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07" w:type="pct"/>
            <w:tcBorders>
              <w:top w:val="nil"/>
              <w:left w:val="nil"/>
              <w:bottom w:val="nil"/>
              <w:right w:val="nil"/>
            </w:tcBorders>
            <w:shd w:val="clear" w:color="auto" w:fill="auto"/>
            <w:vAlign w:val="bottom"/>
          </w:tcPr>
          <w:p w14:paraId="45A8A579" w14:textId="270F328F" w:rsidR="00C21B42" w:rsidRPr="003D1614" w:rsidRDefault="001A5B79" w:rsidP="00CA7F04">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C21B42" w:rsidRPr="003D1614" w14:paraId="7913C1D8" w14:textId="77777777" w:rsidTr="00CA7F04">
        <w:trPr>
          <w:trHeight w:hRule="exact" w:val="227"/>
          <w:jc w:val="center"/>
        </w:trPr>
        <w:tc>
          <w:tcPr>
            <w:tcW w:w="3194" w:type="pct"/>
            <w:shd w:val="clear" w:color="auto" w:fill="auto"/>
            <w:vAlign w:val="bottom"/>
          </w:tcPr>
          <w:p w14:paraId="5A14C05F" w14:textId="77777777" w:rsidR="00C21B42" w:rsidRPr="003D1614" w:rsidRDefault="00C21B42" w:rsidP="00CA7F04">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Trezorski zapisi Ministarstva financija</w:t>
            </w:r>
          </w:p>
        </w:tc>
        <w:tc>
          <w:tcPr>
            <w:tcW w:w="555" w:type="pct"/>
            <w:tcBorders>
              <w:top w:val="nil"/>
              <w:left w:val="nil"/>
              <w:bottom w:val="nil"/>
              <w:right w:val="nil"/>
            </w:tcBorders>
            <w:shd w:val="clear" w:color="auto" w:fill="auto"/>
            <w:vAlign w:val="bottom"/>
          </w:tcPr>
          <w:p w14:paraId="6924D8BF" w14:textId="10A1E0DF" w:rsidR="00C21B42" w:rsidRPr="003D1614" w:rsidRDefault="00E635F5" w:rsidP="00CA7F04">
            <w:pPr>
              <w:tabs>
                <w:tab w:val="right" w:pos="1202"/>
              </w:tabs>
              <w:suppressAutoHyphens/>
              <w:autoSpaceDN w:val="0"/>
              <w:jc w:val="right"/>
              <w:outlineLvl w:val="0"/>
              <w:rPr>
                <w:rFonts w:ascii="Arial" w:eastAsia="Calibri" w:hAnsi="Arial" w:cs="Arial"/>
                <w:color w:val="000000"/>
                <w:spacing w:val="-2"/>
                <w:sz w:val="17"/>
                <w:szCs w:val="17"/>
              </w:rPr>
            </w:pPr>
            <w:r w:rsidRPr="00E635F5">
              <w:rPr>
                <w:rFonts w:ascii="Arial" w:eastAsia="Calibri" w:hAnsi="Arial" w:cs="Arial"/>
                <w:color w:val="000000"/>
                <w:spacing w:val="-2"/>
                <w:sz w:val="17"/>
                <w:szCs w:val="17"/>
              </w:rPr>
              <w:t>26.400</w:t>
            </w:r>
          </w:p>
        </w:tc>
        <w:tc>
          <w:tcPr>
            <w:tcW w:w="644" w:type="pct"/>
            <w:tcBorders>
              <w:top w:val="nil"/>
              <w:left w:val="nil"/>
              <w:bottom w:val="nil"/>
              <w:right w:val="nil"/>
            </w:tcBorders>
            <w:shd w:val="clear" w:color="auto" w:fill="auto"/>
            <w:vAlign w:val="bottom"/>
          </w:tcPr>
          <w:p w14:paraId="459C083B" w14:textId="6B82A06D" w:rsidR="00C21B42" w:rsidRPr="003D1614" w:rsidRDefault="001A5B79" w:rsidP="00CA7F04">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07" w:type="pct"/>
            <w:tcBorders>
              <w:top w:val="nil"/>
              <w:left w:val="nil"/>
              <w:bottom w:val="nil"/>
              <w:right w:val="nil"/>
            </w:tcBorders>
            <w:shd w:val="clear" w:color="auto" w:fill="auto"/>
            <w:vAlign w:val="bottom"/>
          </w:tcPr>
          <w:p w14:paraId="0DF4880B" w14:textId="59482E32" w:rsidR="00C21B42" w:rsidRPr="003D1614" w:rsidRDefault="001A5B79" w:rsidP="00CA7F04">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C21B42" w:rsidRPr="003D1614" w14:paraId="1D448CC3" w14:textId="77777777" w:rsidTr="00CA7F04">
        <w:trPr>
          <w:trHeight w:hRule="exact" w:val="227"/>
          <w:jc w:val="center"/>
        </w:trPr>
        <w:tc>
          <w:tcPr>
            <w:tcW w:w="3194" w:type="pct"/>
            <w:shd w:val="clear" w:color="auto" w:fill="auto"/>
            <w:vAlign w:val="bottom"/>
          </w:tcPr>
          <w:p w14:paraId="06006FFC" w14:textId="77777777" w:rsidR="00C21B42" w:rsidRPr="003D1614" w:rsidRDefault="00C21B42" w:rsidP="00CA7F04">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 xml:space="preserve">Obračunata kamata </w:t>
            </w:r>
          </w:p>
        </w:tc>
        <w:tc>
          <w:tcPr>
            <w:tcW w:w="555" w:type="pct"/>
            <w:tcBorders>
              <w:top w:val="nil"/>
              <w:left w:val="nil"/>
              <w:bottom w:val="nil"/>
              <w:right w:val="nil"/>
            </w:tcBorders>
            <w:shd w:val="clear" w:color="auto" w:fill="auto"/>
            <w:vAlign w:val="bottom"/>
          </w:tcPr>
          <w:p w14:paraId="59D4DB68" w14:textId="2D3C8ABD" w:rsidR="00C21B42" w:rsidRPr="003D1614" w:rsidRDefault="00E635F5" w:rsidP="00CA7F04">
            <w:pPr>
              <w:tabs>
                <w:tab w:val="right" w:pos="1202"/>
              </w:tabs>
              <w:suppressAutoHyphens/>
              <w:autoSpaceDN w:val="0"/>
              <w:jc w:val="right"/>
              <w:outlineLvl w:val="0"/>
              <w:rPr>
                <w:rFonts w:ascii="Arial" w:eastAsia="Calibri" w:hAnsi="Arial" w:cs="Arial"/>
                <w:color w:val="000000"/>
                <w:spacing w:val="-2"/>
                <w:sz w:val="17"/>
                <w:szCs w:val="17"/>
              </w:rPr>
            </w:pPr>
            <w:r w:rsidRPr="00E635F5">
              <w:rPr>
                <w:rFonts w:ascii="Arial" w:eastAsia="Calibri" w:hAnsi="Arial" w:cs="Arial"/>
                <w:color w:val="000000"/>
                <w:spacing w:val="-2"/>
                <w:sz w:val="17"/>
                <w:szCs w:val="17"/>
              </w:rPr>
              <w:t>1.519</w:t>
            </w:r>
          </w:p>
        </w:tc>
        <w:tc>
          <w:tcPr>
            <w:tcW w:w="644" w:type="pct"/>
            <w:tcBorders>
              <w:top w:val="nil"/>
              <w:left w:val="nil"/>
              <w:bottom w:val="nil"/>
              <w:right w:val="nil"/>
            </w:tcBorders>
            <w:shd w:val="clear" w:color="auto" w:fill="auto"/>
            <w:vAlign w:val="bottom"/>
          </w:tcPr>
          <w:p w14:paraId="55F1FBD9" w14:textId="290B0F08" w:rsidR="00C21B42" w:rsidRPr="003D1614" w:rsidRDefault="001A5B79" w:rsidP="00CA7F04">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07" w:type="pct"/>
            <w:tcBorders>
              <w:top w:val="nil"/>
              <w:left w:val="nil"/>
              <w:bottom w:val="nil"/>
              <w:right w:val="nil"/>
            </w:tcBorders>
            <w:shd w:val="clear" w:color="auto" w:fill="auto"/>
            <w:vAlign w:val="bottom"/>
          </w:tcPr>
          <w:p w14:paraId="3F579038" w14:textId="5805574C" w:rsidR="00C21B42" w:rsidRPr="003D1614" w:rsidRDefault="001A5B79" w:rsidP="00CA7F04">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C21B42" w:rsidRPr="003D1614" w14:paraId="0199234C" w14:textId="77777777" w:rsidTr="00CA7F04">
        <w:trPr>
          <w:trHeight w:hRule="exact" w:val="249"/>
          <w:jc w:val="center"/>
        </w:trPr>
        <w:tc>
          <w:tcPr>
            <w:tcW w:w="3194" w:type="pct"/>
            <w:shd w:val="clear" w:color="auto" w:fill="auto"/>
            <w:vAlign w:val="bottom"/>
          </w:tcPr>
          <w:p w14:paraId="69D8D533" w14:textId="77777777" w:rsidR="00C21B42" w:rsidRPr="003D1614" w:rsidRDefault="00C21B42" w:rsidP="00CA7F04">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b/>
                <w:i/>
                <w:color w:val="000000"/>
                <w:spacing w:val="-2"/>
                <w:sz w:val="17"/>
                <w:szCs w:val="17"/>
              </w:rPr>
              <w:t>Dužnički vrijednosni papiri koji ne kotiraju:</w:t>
            </w:r>
          </w:p>
        </w:tc>
        <w:tc>
          <w:tcPr>
            <w:tcW w:w="555" w:type="pct"/>
            <w:tcBorders>
              <w:top w:val="nil"/>
              <w:left w:val="nil"/>
              <w:bottom w:val="nil"/>
              <w:right w:val="nil"/>
            </w:tcBorders>
            <w:shd w:val="clear" w:color="auto" w:fill="auto"/>
            <w:vAlign w:val="bottom"/>
          </w:tcPr>
          <w:p w14:paraId="3E7806DB" w14:textId="77777777" w:rsidR="00C21B42" w:rsidRPr="003D1614" w:rsidRDefault="00C21B42"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644" w:type="pct"/>
            <w:tcBorders>
              <w:top w:val="nil"/>
              <w:left w:val="nil"/>
              <w:bottom w:val="nil"/>
              <w:right w:val="nil"/>
            </w:tcBorders>
            <w:shd w:val="clear" w:color="auto" w:fill="auto"/>
            <w:vAlign w:val="bottom"/>
          </w:tcPr>
          <w:p w14:paraId="1DABC6AB" w14:textId="77777777" w:rsidR="00C21B42" w:rsidRPr="003D1614" w:rsidRDefault="00C21B42"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607" w:type="pct"/>
            <w:tcBorders>
              <w:top w:val="nil"/>
              <w:left w:val="nil"/>
              <w:bottom w:val="nil"/>
              <w:right w:val="nil"/>
            </w:tcBorders>
            <w:shd w:val="clear" w:color="auto" w:fill="auto"/>
            <w:vAlign w:val="bottom"/>
          </w:tcPr>
          <w:p w14:paraId="61F1500E" w14:textId="77777777" w:rsidR="00C21B42" w:rsidRPr="003D1614" w:rsidRDefault="00C21B42" w:rsidP="00CA7F04">
            <w:pPr>
              <w:tabs>
                <w:tab w:val="right" w:pos="1202"/>
              </w:tabs>
              <w:suppressAutoHyphens/>
              <w:autoSpaceDN w:val="0"/>
              <w:jc w:val="right"/>
              <w:outlineLvl w:val="0"/>
              <w:rPr>
                <w:rFonts w:ascii="Arial" w:eastAsia="Calibri" w:hAnsi="Arial" w:cs="Arial"/>
                <w:color w:val="000000"/>
                <w:spacing w:val="-2"/>
                <w:sz w:val="17"/>
                <w:szCs w:val="17"/>
              </w:rPr>
            </w:pPr>
          </w:p>
        </w:tc>
      </w:tr>
      <w:tr w:rsidR="00C21B42" w:rsidRPr="003D1614" w14:paraId="51759AFF" w14:textId="77777777" w:rsidTr="00CA7F04">
        <w:trPr>
          <w:trHeight w:hRule="exact" w:val="227"/>
          <w:jc w:val="center"/>
        </w:trPr>
        <w:tc>
          <w:tcPr>
            <w:tcW w:w="3194" w:type="pct"/>
            <w:shd w:val="clear" w:color="auto" w:fill="auto"/>
            <w:vAlign w:val="bottom"/>
          </w:tcPr>
          <w:p w14:paraId="6AEBD7E6" w14:textId="77777777" w:rsidR="00C21B42" w:rsidRPr="003D1614" w:rsidRDefault="00C21B42" w:rsidP="00CA7F04">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 xml:space="preserve">Obveznice trgovačkih društava </w:t>
            </w:r>
          </w:p>
        </w:tc>
        <w:tc>
          <w:tcPr>
            <w:tcW w:w="555" w:type="pct"/>
            <w:tcBorders>
              <w:top w:val="nil"/>
              <w:left w:val="nil"/>
              <w:bottom w:val="nil"/>
              <w:right w:val="nil"/>
            </w:tcBorders>
            <w:shd w:val="clear" w:color="auto" w:fill="auto"/>
            <w:vAlign w:val="bottom"/>
          </w:tcPr>
          <w:p w14:paraId="74C682B8" w14:textId="3B2C7ECE" w:rsidR="00C21B42" w:rsidRPr="003D1614" w:rsidRDefault="001A5B79"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bottom w:val="nil"/>
              <w:right w:val="nil"/>
            </w:tcBorders>
            <w:shd w:val="clear" w:color="auto" w:fill="auto"/>
            <w:vAlign w:val="bottom"/>
          </w:tcPr>
          <w:p w14:paraId="7E91D56F" w14:textId="5C3C60DA" w:rsidR="00C21B42" w:rsidRPr="003D1614" w:rsidRDefault="001A5B79"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bottom w:val="nil"/>
              <w:right w:val="nil"/>
            </w:tcBorders>
            <w:shd w:val="clear" w:color="auto" w:fill="auto"/>
            <w:vAlign w:val="bottom"/>
          </w:tcPr>
          <w:p w14:paraId="3BB6089F" w14:textId="06A34DF1" w:rsidR="00C21B42" w:rsidRPr="003D1614" w:rsidRDefault="00E635F5" w:rsidP="00CA7F04">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79</w:t>
            </w:r>
          </w:p>
        </w:tc>
      </w:tr>
      <w:tr w:rsidR="00C21B42" w:rsidRPr="003D1614" w14:paraId="46835DD7" w14:textId="77777777" w:rsidTr="00CA7F04">
        <w:trPr>
          <w:trHeight w:hRule="exact" w:val="227"/>
          <w:jc w:val="center"/>
        </w:trPr>
        <w:tc>
          <w:tcPr>
            <w:tcW w:w="3194" w:type="pct"/>
            <w:shd w:val="clear" w:color="auto" w:fill="auto"/>
            <w:vAlign w:val="bottom"/>
          </w:tcPr>
          <w:p w14:paraId="27C7FD4F" w14:textId="77777777" w:rsidR="00C21B42" w:rsidRPr="003D1614" w:rsidRDefault="00C21B42" w:rsidP="00CA7F04">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Zamjenjive obveznice CB</w:t>
            </w:r>
          </w:p>
        </w:tc>
        <w:tc>
          <w:tcPr>
            <w:tcW w:w="555" w:type="pct"/>
            <w:tcBorders>
              <w:top w:val="nil"/>
              <w:left w:val="nil"/>
              <w:bottom w:val="nil"/>
              <w:right w:val="nil"/>
            </w:tcBorders>
            <w:shd w:val="clear" w:color="auto" w:fill="auto"/>
            <w:vAlign w:val="bottom"/>
          </w:tcPr>
          <w:p w14:paraId="3E4D7CEB" w14:textId="55D8C072" w:rsidR="00C21B42" w:rsidRPr="003D1614" w:rsidRDefault="001A5B79"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bottom w:val="nil"/>
              <w:right w:val="nil"/>
            </w:tcBorders>
            <w:shd w:val="clear" w:color="auto" w:fill="auto"/>
            <w:vAlign w:val="bottom"/>
          </w:tcPr>
          <w:p w14:paraId="3DBE0635" w14:textId="74E92575" w:rsidR="00C21B42" w:rsidRPr="003D1614" w:rsidRDefault="001A5B79"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bottom w:val="nil"/>
              <w:right w:val="nil"/>
            </w:tcBorders>
            <w:shd w:val="clear" w:color="auto" w:fill="auto"/>
            <w:vAlign w:val="bottom"/>
          </w:tcPr>
          <w:p w14:paraId="3E00F9FE" w14:textId="59F5C59F" w:rsidR="00C21B42" w:rsidRPr="003D1614" w:rsidRDefault="001A5B79" w:rsidP="00CA7F04">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195</w:t>
            </w:r>
          </w:p>
        </w:tc>
      </w:tr>
      <w:tr w:rsidR="00C21B42" w:rsidRPr="003D1614" w14:paraId="52BFDD71" w14:textId="77777777" w:rsidTr="00CA7F04">
        <w:trPr>
          <w:trHeight w:hRule="exact" w:val="227"/>
          <w:jc w:val="center"/>
        </w:trPr>
        <w:tc>
          <w:tcPr>
            <w:tcW w:w="3194" w:type="pct"/>
            <w:shd w:val="clear" w:color="auto" w:fill="auto"/>
            <w:vAlign w:val="bottom"/>
          </w:tcPr>
          <w:p w14:paraId="38B3CF68" w14:textId="77777777" w:rsidR="00C21B42" w:rsidRPr="003D1614" w:rsidRDefault="00C21B42" w:rsidP="00CA7F04">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Obračunata kamata</w:t>
            </w:r>
          </w:p>
        </w:tc>
        <w:tc>
          <w:tcPr>
            <w:tcW w:w="555" w:type="pct"/>
            <w:tcBorders>
              <w:top w:val="nil"/>
              <w:left w:val="nil"/>
              <w:bottom w:val="nil"/>
              <w:right w:val="nil"/>
            </w:tcBorders>
            <w:shd w:val="clear" w:color="auto" w:fill="auto"/>
            <w:vAlign w:val="bottom"/>
          </w:tcPr>
          <w:p w14:paraId="65289B80" w14:textId="4356096C" w:rsidR="00C21B42" w:rsidRPr="003D1614" w:rsidRDefault="001A5B79"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bottom w:val="nil"/>
              <w:right w:val="nil"/>
            </w:tcBorders>
            <w:shd w:val="clear" w:color="auto" w:fill="auto"/>
            <w:vAlign w:val="bottom"/>
          </w:tcPr>
          <w:p w14:paraId="61E26BB8" w14:textId="34604981" w:rsidR="00C21B42" w:rsidRPr="003D1614" w:rsidRDefault="001A5B79"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bottom w:val="single" w:sz="4" w:space="0" w:color="auto"/>
              <w:right w:val="nil"/>
            </w:tcBorders>
            <w:shd w:val="clear" w:color="auto" w:fill="auto"/>
            <w:vAlign w:val="bottom"/>
          </w:tcPr>
          <w:p w14:paraId="464B531A" w14:textId="091C253F" w:rsidR="00C21B42" w:rsidRPr="003D1614" w:rsidRDefault="001A5B79" w:rsidP="00CA7F04">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2</w:t>
            </w:r>
          </w:p>
        </w:tc>
      </w:tr>
      <w:tr w:rsidR="00C21B42" w:rsidRPr="003D1614" w14:paraId="159CEBA1" w14:textId="77777777" w:rsidTr="00CA7F04">
        <w:trPr>
          <w:trHeight w:val="259"/>
          <w:jc w:val="center"/>
        </w:trPr>
        <w:tc>
          <w:tcPr>
            <w:tcW w:w="3194" w:type="pct"/>
            <w:shd w:val="clear" w:color="auto" w:fill="auto"/>
            <w:vAlign w:val="bottom"/>
          </w:tcPr>
          <w:p w14:paraId="259F1F74" w14:textId="77777777" w:rsidR="00C21B42" w:rsidRPr="003D1614" w:rsidRDefault="00C21B42" w:rsidP="00CA7F04">
            <w:pPr>
              <w:tabs>
                <w:tab w:val="right" w:pos="1202"/>
              </w:tabs>
              <w:suppressAutoHyphens/>
              <w:autoSpaceDN w:val="0"/>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Ukupno dužnički vrijednosni papiri</w:t>
            </w:r>
          </w:p>
        </w:tc>
        <w:tc>
          <w:tcPr>
            <w:tcW w:w="555" w:type="pct"/>
            <w:tcBorders>
              <w:top w:val="single" w:sz="4" w:space="0" w:color="auto"/>
              <w:left w:val="nil"/>
              <w:bottom w:val="single" w:sz="12" w:space="0" w:color="auto"/>
              <w:right w:val="nil"/>
            </w:tcBorders>
            <w:shd w:val="clear" w:color="auto" w:fill="auto"/>
            <w:vAlign w:val="bottom"/>
          </w:tcPr>
          <w:p w14:paraId="64867217" w14:textId="73719531" w:rsidR="00C21B42" w:rsidRPr="003D1614" w:rsidRDefault="00E635F5" w:rsidP="00CA7F04">
            <w:pPr>
              <w:tabs>
                <w:tab w:val="right" w:pos="1202"/>
              </w:tabs>
              <w:suppressAutoHyphens/>
              <w:autoSpaceDN w:val="0"/>
              <w:jc w:val="right"/>
              <w:outlineLvl w:val="0"/>
              <w:rPr>
                <w:rFonts w:ascii="Arial" w:eastAsia="Calibri" w:hAnsi="Arial" w:cs="Arial"/>
                <w:b/>
                <w:color w:val="000000"/>
                <w:spacing w:val="-2"/>
                <w:sz w:val="17"/>
                <w:szCs w:val="17"/>
                <w:lang w:eastAsia="hr-HR"/>
              </w:rPr>
            </w:pPr>
            <w:r w:rsidRPr="00E635F5">
              <w:rPr>
                <w:rFonts w:ascii="Arial" w:eastAsia="Calibri" w:hAnsi="Arial" w:cs="Arial"/>
                <w:b/>
                <w:color w:val="000000"/>
                <w:spacing w:val="-2"/>
                <w:sz w:val="17"/>
                <w:szCs w:val="17"/>
                <w:lang w:eastAsia="hr-HR"/>
              </w:rPr>
              <w:t>237.849</w:t>
            </w:r>
          </w:p>
        </w:tc>
        <w:tc>
          <w:tcPr>
            <w:tcW w:w="644" w:type="pct"/>
            <w:tcBorders>
              <w:top w:val="single" w:sz="4" w:space="0" w:color="auto"/>
              <w:left w:val="nil"/>
              <w:bottom w:val="single" w:sz="12" w:space="0" w:color="auto"/>
              <w:right w:val="nil"/>
            </w:tcBorders>
            <w:shd w:val="clear" w:color="auto" w:fill="auto"/>
            <w:vAlign w:val="bottom"/>
          </w:tcPr>
          <w:p w14:paraId="14D3CB1A" w14:textId="5D52EB00" w:rsidR="00C21B42" w:rsidRPr="003D1614" w:rsidRDefault="001A5B79" w:rsidP="00CA7F04">
            <w:pPr>
              <w:tabs>
                <w:tab w:val="right" w:pos="1202"/>
              </w:tabs>
              <w:suppressAutoHyphens/>
              <w:autoSpaceDN w:val="0"/>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w:t>
            </w:r>
          </w:p>
        </w:tc>
        <w:tc>
          <w:tcPr>
            <w:tcW w:w="607" w:type="pct"/>
            <w:tcBorders>
              <w:top w:val="single" w:sz="4" w:space="0" w:color="auto"/>
              <w:left w:val="nil"/>
              <w:bottom w:val="single" w:sz="12" w:space="0" w:color="auto"/>
              <w:right w:val="nil"/>
            </w:tcBorders>
            <w:shd w:val="clear" w:color="auto" w:fill="auto"/>
            <w:vAlign w:val="bottom"/>
          </w:tcPr>
          <w:p w14:paraId="1C2369C2" w14:textId="67756A8A" w:rsidR="00C21B42" w:rsidRPr="003D1614" w:rsidRDefault="001A5B79" w:rsidP="00CA7F04">
            <w:pPr>
              <w:tabs>
                <w:tab w:val="right" w:pos="1202"/>
              </w:tabs>
              <w:suppressAutoHyphens/>
              <w:autoSpaceDN w:val="0"/>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27</w:t>
            </w:r>
            <w:r w:rsidR="00E635F5">
              <w:rPr>
                <w:rFonts w:ascii="Arial" w:eastAsia="Calibri" w:hAnsi="Arial" w:cs="Arial"/>
                <w:b/>
                <w:color w:val="000000"/>
                <w:spacing w:val="-2"/>
                <w:sz w:val="17"/>
                <w:szCs w:val="17"/>
                <w:lang w:eastAsia="hr-HR"/>
              </w:rPr>
              <w:t>6</w:t>
            </w:r>
          </w:p>
        </w:tc>
      </w:tr>
      <w:tr w:rsidR="00C21B42" w:rsidRPr="003D1614" w14:paraId="4D9D030D" w14:textId="77777777" w:rsidTr="00CA7F04">
        <w:trPr>
          <w:trHeight w:hRule="exact" w:val="257"/>
          <w:jc w:val="center"/>
        </w:trPr>
        <w:tc>
          <w:tcPr>
            <w:tcW w:w="3194" w:type="pct"/>
            <w:shd w:val="clear" w:color="auto" w:fill="auto"/>
            <w:vAlign w:val="bottom"/>
          </w:tcPr>
          <w:p w14:paraId="40084326" w14:textId="77777777" w:rsidR="00C21B42" w:rsidRPr="003D1614" w:rsidRDefault="00C21B42" w:rsidP="00CA7F04">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b/>
                <w:i/>
                <w:color w:val="000000"/>
                <w:spacing w:val="-2"/>
                <w:sz w:val="17"/>
                <w:szCs w:val="17"/>
              </w:rPr>
              <w:t>Vlasnički vrijednosni papiri koji ne kotiraju:</w:t>
            </w:r>
          </w:p>
        </w:tc>
        <w:tc>
          <w:tcPr>
            <w:tcW w:w="555" w:type="pct"/>
            <w:tcBorders>
              <w:top w:val="single" w:sz="12" w:space="0" w:color="auto"/>
            </w:tcBorders>
            <w:vAlign w:val="bottom"/>
          </w:tcPr>
          <w:p w14:paraId="1804E378" w14:textId="77777777" w:rsidR="00C21B42" w:rsidRPr="003D1614" w:rsidDel="00561A80" w:rsidRDefault="00C21B42"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644" w:type="pct"/>
            <w:tcBorders>
              <w:top w:val="single" w:sz="12" w:space="0" w:color="auto"/>
            </w:tcBorders>
            <w:vAlign w:val="bottom"/>
          </w:tcPr>
          <w:p w14:paraId="0E974432" w14:textId="77777777" w:rsidR="00C21B42" w:rsidRPr="003D1614" w:rsidDel="00561A80" w:rsidRDefault="00C21B42"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607" w:type="pct"/>
            <w:tcBorders>
              <w:top w:val="single" w:sz="12" w:space="0" w:color="auto"/>
            </w:tcBorders>
            <w:vAlign w:val="bottom"/>
          </w:tcPr>
          <w:p w14:paraId="5C1FDE38" w14:textId="77777777" w:rsidR="00C21B42" w:rsidRPr="003D1614" w:rsidDel="00561A80" w:rsidRDefault="00C21B42" w:rsidP="00CA7F04">
            <w:pPr>
              <w:tabs>
                <w:tab w:val="right" w:pos="1202"/>
              </w:tabs>
              <w:suppressAutoHyphens/>
              <w:autoSpaceDN w:val="0"/>
              <w:jc w:val="right"/>
              <w:outlineLvl w:val="0"/>
              <w:rPr>
                <w:rFonts w:ascii="Arial" w:eastAsia="Calibri" w:hAnsi="Arial" w:cs="Arial"/>
                <w:color w:val="000000"/>
                <w:spacing w:val="-2"/>
                <w:sz w:val="17"/>
                <w:szCs w:val="17"/>
              </w:rPr>
            </w:pPr>
          </w:p>
        </w:tc>
      </w:tr>
      <w:tr w:rsidR="00C21B42" w:rsidRPr="003D1614" w14:paraId="7AB365F8" w14:textId="77777777" w:rsidTr="00CA7F04">
        <w:trPr>
          <w:trHeight w:hRule="exact" w:val="227"/>
          <w:jc w:val="center"/>
        </w:trPr>
        <w:tc>
          <w:tcPr>
            <w:tcW w:w="3194" w:type="pct"/>
            <w:shd w:val="clear" w:color="auto" w:fill="auto"/>
            <w:vAlign w:val="bottom"/>
          </w:tcPr>
          <w:p w14:paraId="1B8AFB77" w14:textId="77777777" w:rsidR="00C21B42" w:rsidRPr="003D1614" w:rsidRDefault="00C21B42" w:rsidP="00CA7F04">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Dionice inozemnih pravnih osoba - SWIFT</w:t>
            </w:r>
          </w:p>
        </w:tc>
        <w:tc>
          <w:tcPr>
            <w:tcW w:w="555" w:type="pct"/>
            <w:tcBorders>
              <w:top w:val="nil"/>
              <w:left w:val="nil"/>
              <w:bottom w:val="nil"/>
              <w:right w:val="nil"/>
            </w:tcBorders>
            <w:shd w:val="clear" w:color="auto" w:fill="auto"/>
            <w:vAlign w:val="bottom"/>
          </w:tcPr>
          <w:p w14:paraId="3DDDD3BB" w14:textId="2640C683" w:rsidR="00C21B42" w:rsidRPr="003D1614" w:rsidRDefault="001A5B79"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bottom w:val="nil"/>
              <w:right w:val="nil"/>
            </w:tcBorders>
            <w:shd w:val="clear" w:color="auto" w:fill="auto"/>
            <w:vAlign w:val="bottom"/>
          </w:tcPr>
          <w:p w14:paraId="02107C10" w14:textId="6CDEDFA7" w:rsidR="00C21B42" w:rsidRPr="003D1614" w:rsidRDefault="001A5B79"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8</w:t>
            </w:r>
          </w:p>
        </w:tc>
        <w:tc>
          <w:tcPr>
            <w:tcW w:w="607" w:type="pct"/>
            <w:tcBorders>
              <w:top w:val="nil"/>
              <w:left w:val="nil"/>
              <w:bottom w:val="nil"/>
              <w:right w:val="nil"/>
            </w:tcBorders>
            <w:shd w:val="clear" w:color="auto" w:fill="auto"/>
            <w:vAlign w:val="bottom"/>
          </w:tcPr>
          <w:p w14:paraId="4D741E18" w14:textId="48F80BC4" w:rsidR="00C21B42" w:rsidRPr="003D1614" w:rsidRDefault="001A5B79"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C21B42" w:rsidRPr="003D1614" w14:paraId="3D0303ED" w14:textId="77777777" w:rsidTr="00CA7F04">
        <w:trPr>
          <w:trHeight w:hRule="exact" w:val="227"/>
          <w:jc w:val="center"/>
        </w:trPr>
        <w:tc>
          <w:tcPr>
            <w:tcW w:w="3194" w:type="pct"/>
            <w:shd w:val="clear" w:color="auto" w:fill="auto"/>
            <w:vAlign w:val="bottom"/>
          </w:tcPr>
          <w:p w14:paraId="4F5BD779" w14:textId="77777777" w:rsidR="00C21B42" w:rsidRPr="003D1614" w:rsidRDefault="00C21B42" w:rsidP="00CA7F04">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Dionice inozemnih financijskih institucija – EIF</w:t>
            </w:r>
          </w:p>
        </w:tc>
        <w:tc>
          <w:tcPr>
            <w:tcW w:w="555" w:type="pct"/>
            <w:tcBorders>
              <w:top w:val="nil"/>
              <w:left w:val="nil"/>
              <w:bottom w:val="nil"/>
              <w:right w:val="nil"/>
            </w:tcBorders>
            <w:shd w:val="clear" w:color="auto" w:fill="auto"/>
            <w:vAlign w:val="bottom"/>
          </w:tcPr>
          <w:p w14:paraId="11662AE1" w14:textId="3E98EF70" w:rsidR="00C21B42" w:rsidRPr="003D1614" w:rsidRDefault="001A5B79"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bottom w:val="nil"/>
              <w:right w:val="nil"/>
            </w:tcBorders>
            <w:shd w:val="clear" w:color="auto" w:fill="auto"/>
            <w:vAlign w:val="bottom"/>
          </w:tcPr>
          <w:p w14:paraId="1787BF20" w14:textId="63E02886" w:rsidR="00C21B42" w:rsidRPr="003D1614" w:rsidRDefault="001A5B79"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7.757</w:t>
            </w:r>
          </w:p>
        </w:tc>
        <w:tc>
          <w:tcPr>
            <w:tcW w:w="607" w:type="pct"/>
            <w:tcBorders>
              <w:top w:val="nil"/>
              <w:left w:val="nil"/>
              <w:bottom w:val="nil"/>
              <w:right w:val="nil"/>
            </w:tcBorders>
            <w:shd w:val="clear" w:color="auto" w:fill="auto"/>
            <w:vAlign w:val="bottom"/>
          </w:tcPr>
          <w:p w14:paraId="4DBBE9BE" w14:textId="189CDD9F" w:rsidR="00C21B42" w:rsidRPr="003D1614" w:rsidRDefault="001A5B79"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C21B42" w:rsidRPr="003D1614" w14:paraId="24A7CC8B" w14:textId="77777777" w:rsidTr="005D1219">
        <w:trPr>
          <w:trHeight w:hRule="exact" w:val="244"/>
          <w:jc w:val="center"/>
        </w:trPr>
        <w:tc>
          <w:tcPr>
            <w:tcW w:w="3194" w:type="pct"/>
            <w:shd w:val="clear" w:color="auto" w:fill="auto"/>
            <w:vAlign w:val="bottom"/>
          </w:tcPr>
          <w:p w14:paraId="37BA7623" w14:textId="77777777" w:rsidR="00C21B42" w:rsidRPr="003D1614" w:rsidRDefault="00C21B42" w:rsidP="00CA7F04">
            <w:pPr>
              <w:tabs>
                <w:tab w:val="right" w:pos="1202"/>
              </w:tabs>
              <w:suppressAutoHyphens/>
              <w:autoSpaceDN w:val="0"/>
              <w:outlineLvl w:val="0"/>
              <w:rPr>
                <w:rFonts w:ascii="Arial" w:eastAsia="Calibri" w:hAnsi="Arial" w:cs="Arial"/>
                <w:b/>
                <w:color w:val="000000"/>
                <w:sz w:val="17"/>
                <w:szCs w:val="17"/>
              </w:rPr>
            </w:pPr>
            <w:r w:rsidRPr="003D1614">
              <w:rPr>
                <w:rFonts w:ascii="Arial" w:eastAsia="Calibri" w:hAnsi="Arial" w:cs="Arial"/>
                <w:b/>
                <w:color w:val="000000"/>
                <w:sz w:val="17"/>
                <w:szCs w:val="17"/>
              </w:rPr>
              <w:t>Ukupno vlasnički vrijednosni papiri</w:t>
            </w:r>
          </w:p>
        </w:tc>
        <w:tc>
          <w:tcPr>
            <w:tcW w:w="555" w:type="pct"/>
            <w:tcBorders>
              <w:top w:val="single" w:sz="4" w:space="0" w:color="auto"/>
              <w:left w:val="nil"/>
              <w:bottom w:val="single" w:sz="12" w:space="0" w:color="auto"/>
              <w:right w:val="nil"/>
            </w:tcBorders>
            <w:shd w:val="clear" w:color="auto" w:fill="auto"/>
            <w:vAlign w:val="bottom"/>
          </w:tcPr>
          <w:p w14:paraId="0752EACB" w14:textId="1D7B866F" w:rsidR="00C21B42" w:rsidRPr="003D1614" w:rsidRDefault="001A5B79" w:rsidP="00CA7F04">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z w:val="17"/>
                <w:szCs w:val="17"/>
              </w:rPr>
              <w:t>-</w:t>
            </w:r>
          </w:p>
        </w:tc>
        <w:tc>
          <w:tcPr>
            <w:tcW w:w="644" w:type="pct"/>
            <w:tcBorders>
              <w:top w:val="single" w:sz="4" w:space="0" w:color="auto"/>
              <w:left w:val="nil"/>
              <w:bottom w:val="single" w:sz="12" w:space="0" w:color="auto"/>
              <w:right w:val="nil"/>
            </w:tcBorders>
            <w:shd w:val="clear" w:color="auto" w:fill="auto"/>
            <w:vAlign w:val="bottom"/>
          </w:tcPr>
          <w:p w14:paraId="13062B91" w14:textId="19DFECED" w:rsidR="00C21B42" w:rsidRPr="003D1614" w:rsidRDefault="001A5B79" w:rsidP="00CA7F04">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z w:val="17"/>
                <w:szCs w:val="17"/>
              </w:rPr>
              <w:t>7.765</w:t>
            </w:r>
          </w:p>
        </w:tc>
        <w:tc>
          <w:tcPr>
            <w:tcW w:w="607" w:type="pct"/>
            <w:tcBorders>
              <w:top w:val="single" w:sz="4" w:space="0" w:color="auto"/>
              <w:left w:val="nil"/>
              <w:bottom w:val="single" w:sz="12" w:space="0" w:color="auto"/>
              <w:right w:val="nil"/>
            </w:tcBorders>
            <w:shd w:val="clear" w:color="auto" w:fill="auto"/>
            <w:vAlign w:val="bottom"/>
          </w:tcPr>
          <w:p w14:paraId="6EC20788" w14:textId="65549C9F" w:rsidR="00C21B42" w:rsidRPr="003D1614" w:rsidRDefault="001A5B79" w:rsidP="00CA7F04">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z w:val="17"/>
                <w:szCs w:val="17"/>
              </w:rPr>
              <w:t>-</w:t>
            </w:r>
          </w:p>
        </w:tc>
      </w:tr>
      <w:tr w:rsidR="00C21B42" w:rsidRPr="003D1614" w14:paraId="08458CD8" w14:textId="77777777" w:rsidTr="005D1219">
        <w:trPr>
          <w:trHeight w:hRule="exact" w:val="255"/>
          <w:jc w:val="center"/>
        </w:trPr>
        <w:tc>
          <w:tcPr>
            <w:tcW w:w="3194" w:type="pct"/>
            <w:shd w:val="clear" w:color="auto" w:fill="auto"/>
            <w:vAlign w:val="bottom"/>
          </w:tcPr>
          <w:p w14:paraId="545EA5C5" w14:textId="77777777" w:rsidR="00C21B42" w:rsidRPr="003D1614" w:rsidRDefault="00C21B42" w:rsidP="00CA7F04">
            <w:pPr>
              <w:tabs>
                <w:tab w:val="right" w:pos="1202"/>
              </w:tabs>
              <w:suppressAutoHyphens/>
              <w:autoSpaceDN w:val="0"/>
              <w:outlineLvl w:val="0"/>
              <w:rPr>
                <w:rFonts w:ascii="Arial" w:eastAsia="Calibri" w:hAnsi="Arial" w:cs="Arial"/>
                <w:b/>
                <w:color w:val="000000"/>
                <w:sz w:val="17"/>
                <w:szCs w:val="17"/>
              </w:rPr>
            </w:pPr>
            <w:r w:rsidRPr="003D1614">
              <w:rPr>
                <w:rFonts w:ascii="Arial" w:eastAsia="Calibri" w:hAnsi="Arial" w:cs="Arial"/>
                <w:b/>
                <w:color w:val="000000"/>
                <w:sz w:val="17"/>
                <w:szCs w:val="17"/>
              </w:rPr>
              <w:t>Ukupno imovina po fer vrijednosti kroz ostalu sveobuhvatnu dobit</w:t>
            </w:r>
          </w:p>
        </w:tc>
        <w:tc>
          <w:tcPr>
            <w:tcW w:w="555" w:type="pct"/>
            <w:tcBorders>
              <w:top w:val="single" w:sz="12" w:space="0" w:color="auto"/>
              <w:left w:val="nil"/>
              <w:bottom w:val="single" w:sz="4" w:space="0" w:color="auto"/>
              <w:right w:val="nil"/>
            </w:tcBorders>
            <w:shd w:val="clear" w:color="auto" w:fill="auto"/>
            <w:vAlign w:val="bottom"/>
          </w:tcPr>
          <w:p w14:paraId="4E0A5606" w14:textId="1E852626" w:rsidR="00C21B42" w:rsidRPr="003D1614" w:rsidRDefault="00E635F5" w:rsidP="00CA7F04">
            <w:pPr>
              <w:tabs>
                <w:tab w:val="right" w:pos="1202"/>
              </w:tabs>
              <w:suppressAutoHyphens/>
              <w:autoSpaceDN w:val="0"/>
              <w:jc w:val="right"/>
              <w:outlineLvl w:val="0"/>
              <w:rPr>
                <w:rFonts w:ascii="Arial" w:eastAsia="Calibri" w:hAnsi="Arial" w:cs="Arial"/>
                <w:b/>
                <w:color w:val="000000"/>
                <w:spacing w:val="-2"/>
                <w:sz w:val="17"/>
                <w:szCs w:val="17"/>
                <w:lang w:eastAsia="hr-HR"/>
              </w:rPr>
            </w:pPr>
            <w:r w:rsidRPr="00E635F5">
              <w:rPr>
                <w:rFonts w:ascii="Arial" w:eastAsia="Calibri" w:hAnsi="Arial" w:cs="Arial"/>
                <w:b/>
                <w:color w:val="000000"/>
                <w:spacing w:val="-2"/>
                <w:sz w:val="17"/>
                <w:szCs w:val="17"/>
                <w:lang w:eastAsia="hr-HR"/>
              </w:rPr>
              <w:t>237.849</w:t>
            </w:r>
          </w:p>
        </w:tc>
        <w:tc>
          <w:tcPr>
            <w:tcW w:w="644" w:type="pct"/>
            <w:tcBorders>
              <w:top w:val="single" w:sz="12" w:space="0" w:color="auto"/>
              <w:left w:val="nil"/>
              <w:bottom w:val="single" w:sz="4" w:space="0" w:color="auto"/>
              <w:right w:val="nil"/>
            </w:tcBorders>
            <w:shd w:val="clear" w:color="auto" w:fill="auto"/>
            <w:vAlign w:val="bottom"/>
          </w:tcPr>
          <w:p w14:paraId="7D930DC0" w14:textId="2E30A1DD" w:rsidR="00C21B42" w:rsidRPr="003D1614" w:rsidRDefault="001A5B79" w:rsidP="00CA7F04">
            <w:pPr>
              <w:tabs>
                <w:tab w:val="right" w:pos="1202"/>
              </w:tabs>
              <w:suppressAutoHyphens/>
              <w:autoSpaceDN w:val="0"/>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7.765</w:t>
            </w:r>
          </w:p>
        </w:tc>
        <w:tc>
          <w:tcPr>
            <w:tcW w:w="607" w:type="pct"/>
            <w:tcBorders>
              <w:top w:val="single" w:sz="12" w:space="0" w:color="auto"/>
              <w:left w:val="nil"/>
              <w:bottom w:val="single" w:sz="4" w:space="0" w:color="auto"/>
              <w:right w:val="nil"/>
            </w:tcBorders>
            <w:shd w:val="clear" w:color="auto" w:fill="auto"/>
            <w:vAlign w:val="bottom"/>
          </w:tcPr>
          <w:p w14:paraId="0D837C55" w14:textId="75153680" w:rsidR="00C21B42" w:rsidRPr="003D1614" w:rsidRDefault="001A5B79" w:rsidP="00CA7F04">
            <w:pPr>
              <w:tabs>
                <w:tab w:val="right" w:pos="1202"/>
              </w:tabs>
              <w:suppressAutoHyphens/>
              <w:autoSpaceDN w:val="0"/>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27</w:t>
            </w:r>
            <w:r w:rsidR="00E635F5">
              <w:rPr>
                <w:rFonts w:ascii="Arial" w:eastAsia="Calibri" w:hAnsi="Arial" w:cs="Arial"/>
                <w:b/>
                <w:color w:val="000000"/>
                <w:spacing w:val="-2"/>
                <w:sz w:val="17"/>
                <w:szCs w:val="17"/>
                <w:lang w:eastAsia="hr-HR"/>
              </w:rPr>
              <w:t>6</w:t>
            </w:r>
          </w:p>
        </w:tc>
      </w:tr>
      <w:tr w:rsidR="001A5B79" w:rsidRPr="003D1614" w14:paraId="3E29FC65" w14:textId="77777777" w:rsidTr="005D1219">
        <w:trPr>
          <w:trHeight w:hRule="exact" w:val="255"/>
          <w:jc w:val="center"/>
        </w:trPr>
        <w:tc>
          <w:tcPr>
            <w:tcW w:w="3194" w:type="pct"/>
            <w:shd w:val="clear" w:color="auto" w:fill="auto"/>
            <w:vAlign w:val="bottom"/>
          </w:tcPr>
          <w:p w14:paraId="74CAAA16" w14:textId="73529091" w:rsidR="001A5B79" w:rsidRPr="003D1614" w:rsidRDefault="001A5B79" w:rsidP="001A5B79">
            <w:pPr>
              <w:tabs>
                <w:tab w:val="right" w:pos="1202"/>
              </w:tabs>
              <w:suppressAutoHyphens/>
              <w:autoSpaceDN w:val="0"/>
              <w:outlineLvl w:val="0"/>
              <w:rPr>
                <w:rFonts w:ascii="Arial" w:eastAsia="Calibri" w:hAnsi="Arial" w:cs="Arial"/>
                <w:b/>
                <w:color w:val="000000"/>
                <w:sz w:val="17"/>
                <w:szCs w:val="17"/>
              </w:rPr>
            </w:pPr>
            <w:r>
              <w:rPr>
                <w:rFonts w:ascii="Arial" w:eastAsia="Calibri" w:hAnsi="Arial" w:cs="Arial"/>
                <w:b/>
                <w:color w:val="000000"/>
                <w:sz w:val="17"/>
                <w:szCs w:val="17"/>
              </w:rPr>
              <w:t>Derivativne financijske obveze – negativna fer vrijednost</w:t>
            </w:r>
          </w:p>
        </w:tc>
        <w:tc>
          <w:tcPr>
            <w:tcW w:w="555" w:type="pct"/>
            <w:tcBorders>
              <w:top w:val="single" w:sz="4" w:space="0" w:color="auto"/>
              <w:left w:val="nil"/>
              <w:right w:val="nil"/>
            </w:tcBorders>
            <w:shd w:val="clear" w:color="auto" w:fill="auto"/>
            <w:vAlign w:val="bottom"/>
          </w:tcPr>
          <w:p w14:paraId="1DEBF685" w14:textId="77777777" w:rsidR="001A5B79" w:rsidRDefault="001A5B79" w:rsidP="001A5B79">
            <w:pPr>
              <w:tabs>
                <w:tab w:val="right" w:pos="1202"/>
              </w:tabs>
              <w:suppressAutoHyphens/>
              <w:autoSpaceDN w:val="0"/>
              <w:jc w:val="right"/>
              <w:outlineLvl w:val="0"/>
              <w:rPr>
                <w:rFonts w:ascii="Arial" w:eastAsia="Calibri" w:hAnsi="Arial" w:cs="Arial"/>
                <w:b/>
                <w:color w:val="000000"/>
                <w:spacing w:val="-2"/>
                <w:sz w:val="17"/>
                <w:szCs w:val="17"/>
                <w:lang w:eastAsia="hr-HR"/>
              </w:rPr>
            </w:pPr>
          </w:p>
        </w:tc>
        <w:tc>
          <w:tcPr>
            <w:tcW w:w="644" w:type="pct"/>
            <w:tcBorders>
              <w:top w:val="single" w:sz="4" w:space="0" w:color="auto"/>
              <w:left w:val="nil"/>
              <w:right w:val="nil"/>
            </w:tcBorders>
            <w:shd w:val="clear" w:color="auto" w:fill="auto"/>
            <w:vAlign w:val="bottom"/>
          </w:tcPr>
          <w:p w14:paraId="005D0EC8" w14:textId="77777777" w:rsidR="001A5B79" w:rsidRDefault="001A5B79" w:rsidP="001A5B79">
            <w:pPr>
              <w:tabs>
                <w:tab w:val="right" w:pos="1202"/>
              </w:tabs>
              <w:suppressAutoHyphens/>
              <w:autoSpaceDN w:val="0"/>
              <w:jc w:val="right"/>
              <w:outlineLvl w:val="0"/>
              <w:rPr>
                <w:rFonts w:ascii="Arial" w:eastAsia="Calibri" w:hAnsi="Arial" w:cs="Arial"/>
                <w:b/>
                <w:color w:val="000000"/>
                <w:spacing w:val="-2"/>
                <w:sz w:val="17"/>
                <w:szCs w:val="17"/>
                <w:lang w:eastAsia="hr-HR"/>
              </w:rPr>
            </w:pPr>
          </w:p>
        </w:tc>
        <w:tc>
          <w:tcPr>
            <w:tcW w:w="607" w:type="pct"/>
            <w:tcBorders>
              <w:top w:val="single" w:sz="4" w:space="0" w:color="auto"/>
              <w:left w:val="nil"/>
              <w:right w:val="nil"/>
            </w:tcBorders>
            <w:shd w:val="clear" w:color="auto" w:fill="auto"/>
            <w:vAlign w:val="bottom"/>
          </w:tcPr>
          <w:p w14:paraId="0D0CC68E" w14:textId="77777777" w:rsidR="001A5B79" w:rsidRDefault="001A5B79" w:rsidP="001A5B79">
            <w:pPr>
              <w:tabs>
                <w:tab w:val="right" w:pos="1202"/>
              </w:tabs>
              <w:suppressAutoHyphens/>
              <w:autoSpaceDN w:val="0"/>
              <w:jc w:val="right"/>
              <w:outlineLvl w:val="0"/>
              <w:rPr>
                <w:rFonts w:ascii="Arial" w:eastAsia="Calibri" w:hAnsi="Arial" w:cs="Arial"/>
                <w:b/>
                <w:color w:val="000000"/>
                <w:spacing w:val="-2"/>
                <w:sz w:val="17"/>
                <w:szCs w:val="17"/>
                <w:lang w:eastAsia="hr-HR"/>
              </w:rPr>
            </w:pPr>
          </w:p>
        </w:tc>
      </w:tr>
      <w:tr w:rsidR="001A5B79" w:rsidRPr="003D1614" w14:paraId="0A4A99E5" w14:textId="77777777" w:rsidTr="005D1219">
        <w:trPr>
          <w:trHeight w:hRule="exact" w:val="255"/>
          <w:jc w:val="center"/>
        </w:trPr>
        <w:tc>
          <w:tcPr>
            <w:tcW w:w="3194" w:type="pct"/>
            <w:shd w:val="clear" w:color="auto" w:fill="auto"/>
            <w:vAlign w:val="bottom"/>
          </w:tcPr>
          <w:p w14:paraId="7DA280FB" w14:textId="5B16163F" w:rsidR="001A5B79" w:rsidRPr="005D1219" w:rsidRDefault="001A5B79" w:rsidP="001A5B79">
            <w:pPr>
              <w:tabs>
                <w:tab w:val="right" w:pos="1202"/>
              </w:tabs>
              <w:suppressAutoHyphens/>
              <w:autoSpaceDN w:val="0"/>
              <w:outlineLvl w:val="0"/>
              <w:rPr>
                <w:rFonts w:ascii="Arial" w:eastAsia="Calibri" w:hAnsi="Arial" w:cs="Arial"/>
                <w:bCs/>
                <w:color w:val="000000"/>
                <w:sz w:val="17"/>
                <w:szCs w:val="17"/>
              </w:rPr>
            </w:pPr>
            <w:r w:rsidRPr="005D1219">
              <w:rPr>
                <w:rFonts w:ascii="Arial" w:eastAsia="Calibri" w:hAnsi="Arial" w:cs="Arial"/>
                <w:bCs/>
                <w:color w:val="000000"/>
                <w:sz w:val="17"/>
                <w:szCs w:val="17"/>
              </w:rPr>
              <w:t xml:space="preserve">FX </w:t>
            </w:r>
            <w:proofErr w:type="spellStart"/>
            <w:r w:rsidRPr="005D1219">
              <w:rPr>
                <w:rFonts w:ascii="Arial" w:eastAsia="Calibri" w:hAnsi="Arial" w:cs="Arial"/>
                <w:bCs/>
                <w:color w:val="000000"/>
                <w:sz w:val="17"/>
                <w:szCs w:val="17"/>
              </w:rPr>
              <w:t>swap</w:t>
            </w:r>
            <w:proofErr w:type="spellEnd"/>
          </w:p>
        </w:tc>
        <w:tc>
          <w:tcPr>
            <w:tcW w:w="555" w:type="pct"/>
            <w:tcBorders>
              <w:left w:val="nil"/>
              <w:bottom w:val="single" w:sz="4" w:space="0" w:color="auto"/>
              <w:right w:val="nil"/>
            </w:tcBorders>
            <w:shd w:val="clear" w:color="auto" w:fill="auto"/>
            <w:vAlign w:val="bottom"/>
          </w:tcPr>
          <w:p w14:paraId="5E3B1751" w14:textId="5C5A25B0" w:rsidR="001A5B79" w:rsidRPr="005D1219" w:rsidRDefault="001A5B79" w:rsidP="001A5B79">
            <w:pPr>
              <w:tabs>
                <w:tab w:val="right" w:pos="1202"/>
              </w:tabs>
              <w:suppressAutoHyphens/>
              <w:autoSpaceDN w:val="0"/>
              <w:jc w:val="right"/>
              <w:outlineLvl w:val="0"/>
              <w:rPr>
                <w:rFonts w:ascii="Arial" w:eastAsia="Calibri" w:hAnsi="Arial" w:cs="Arial"/>
                <w:bCs/>
                <w:color w:val="000000"/>
                <w:spacing w:val="-2"/>
                <w:sz w:val="17"/>
                <w:szCs w:val="17"/>
                <w:lang w:eastAsia="hr-HR"/>
              </w:rPr>
            </w:pPr>
            <w:r w:rsidRPr="005D1219">
              <w:rPr>
                <w:rFonts w:ascii="Arial" w:eastAsia="Calibri" w:hAnsi="Arial" w:cs="Arial"/>
                <w:bCs/>
                <w:color w:val="000000"/>
                <w:spacing w:val="-2"/>
                <w:sz w:val="17"/>
                <w:szCs w:val="17"/>
                <w:lang w:eastAsia="hr-HR"/>
              </w:rPr>
              <w:t>-</w:t>
            </w:r>
          </w:p>
        </w:tc>
        <w:tc>
          <w:tcPr>
            <w:tcW w:w="644" w:type="pct"/>
            <w:tcBorders>
              <w:left w:val="nil"/>
              <w:bottom w:val="single" w:sz="4" w:space="0" w:color="auto"/>
              <w:right w:val="nil"/>
            </w:tcBorders>
            <w:shd w:val="clear" w:color="auto" w:fill="auto"/>
            <w:vAlign w:val="bottom"/>
          </w:tcPr>
          <w:p w14:paraId="1BFA5B44" w14:textId="0DA16B53" w:rsidR="001A5B79" w:rsidRPr="005D1219" w:rsidRDefault="001A5B79" w:rsidP="001A5B79">
            <w:pPr>
              <w:tabs>
                <w:tab w:val="right" w:pos="1202"/>
              </w:tabs>
              <w:suppressAutoHyphens/>
              <w:autoSpaceDN w:val="0"/>
              <w:jc w:val="right"/>
              <w:outlineLvl w:val="0"/>
              <w:rPr>
                <w:rFonts w:ascii="Arial" w:eastAsia="Calibri" w:hAnsi="Arial" w:cs="Arial"/>
                <w:bCs/>
                <w:color w:val="000000"/>
                <w:spacing w:val="-2"/>
                <w:sz w:val="17"/>
                <w:szCs w:val="17"/>
                <w:lang w:eastAsia="hr-HR"/>
              </w:rPr>
            </w:pPr>
            <w:r w:rsidRPr="005D1219">
              <w:rPr>
                <w:rFonts w:ascii="Arial" w:eastAsia="Calibri" w:hAnsi="Arial" w:cs="Arial"/>
                <w:bCs/>
                <w:color w:val="000000"/>
                <w:spacing w:val="-2"/>
                <w:sz w:val="17"/>
                <w:szCs w:val="17"/>
                <w:lang w:eastAsia="hr-HR"/>
              </w:rPr>
              <w:t>36</w:t>
            </w:r>
          </w:p>
        </w:tc>
        <w:tc>
          <w:tcPr>
            <w:tcW w:w="607" w:type="pct"/>
            <w:tcBorders>
              <w:left w:val="nil"/>
              <w:bottom w:val="single" w:sz="4" w:space="0" w:color="auto"/>
              <w:right w:val="nil"/>
            </w:tcBorders>
            <w:shd w:val="clear" w:color="auto" w:fill="auto"/>
            <w:vAlign w:val="bottom"/>
          </w:tcPr>
          <w:p w14:paraId="6E8BF533" w14:textId="1C7C51E0" w:rsidR="001A5B79" w:rsidRPr="005D1219" w:rsidRDefault="001A5B79" w:rsidP="001A5B79">
            <w:pPr>
              <w:tabs>
                <w:tab w:val="right" w:pos="1202"/>
              </w:tabs>
              <w:suppressAutoHyphens/>
              <w:autoSpaceDN w:val="0"/>
              <w:jc w:val="right"/>
              <w:outlineLvl w:val="0"/>
              <w:rPr>
                <w:rFonts w:ascii="Arial" w:eastAsia="Calibri" w:hAnsi="Arial" w:cs="Arial"/>
                <w:bCs/>
                <w:color w:val="000000"/>
                <w:spacing w:val="-2"/>
                <w:sz w:val="17"/>
                <w:szCs w:val="17"/>
                <w:lang w:eastAsia="hr-HR"/>
              </w:rPr>
            </w:pPr>
            <w:r w:rsidRPr="005D1219">
              <w:rPr>
                <w:rFonts w:ascii="Arial" w:eastAsia="Calibri" w:hAnsi="Arial" w:cs="Arial"/>
                <w:bCs/>
                <w:color w:val="000000"/>
                <w:spacing w:val="-2"/>
                <w:sz w:val="17"/>
                <w:szCs w:val="17"/>
                <w:lang w:eastAsia="hr-HR"/>
              </w:rPr>
              <w:t>-</w:t>
            </w:r>
          </w:p>
        </w:tc>
      </w:tr>
      <w:tr w:rsidR="001A5B79" w:rsidRPr="003D1614" w14:paraId="28993FCA" w14:textId="77777777" w:rsidTr="005D1219">
        <w:trPr>
          <w:trHeight w:hRule="exact" w:val="255"/>
          <w:jc w:val="center"/>
        </w:trPr>
        <w:tc>
          <w:tcPr>
            <w:tcW w:w="3194" w:type="pct"/>
            <w:shd w:val="clear" w:color="auto" w:fill="auto"/>
            <w:vAlign w:val="bottom"/>
          </w:tcPr>
          <w:p w14:paraId="2639DA29" w14:textId="46DE93B0" w:rsidR="001A5B79" w:rsidRDefault="001A5B79" w:rsidP="001A5B79">
            <w:pPr>
              <w:tabs>
                <w:tab w:val="right" w:pos="1202"/>
              </w:tabs>
              <w:suppressAutoHyphens/>
              <w:autoSpaceDN w:val="0"/>
              <w:outlineLvl w:val="0"/>
              <w:rPr>
                <w:rFonts w:ascii="Arial" w:eastAsia="Calibri" w:hAnsi="Arial" w:cs="Arial"/>
                <w:b/>
                <w:color w:val="000000"/>
                <w:sz w:val="17"/>
                <w:szCs w:val="17"/>
              </w:rPr>
            </w:pPr>
            <w:r>
              <w:rPr>
                <w:rFonts w:ascii="Arial" w:eastAsia="Calibri" w:hAnsi="Arial" w:cs="Arial"/>
                <w:b/>
                <w:color w:val="000000"/>
                <w:sz w:val="17"/>
                <w:szCs w:val="17"/>
              </w:rPr>
              <w:t>Ukupno obveze</w:t>
            </w:r>
          </w:p>
        </w:tc>
        <w:tc>
          <w:tcPr>
            <w:tcW w:w="555" w:type="pct"/>
            <w:tcBorders>
              <w:top w:val="single" w:sz="4" w:space="0" w:color="auto"/>
              <w:left w:val="nil"/>
              <w:bottom w:val="single" w:sz="12" w:space="0" w:color="auto"/>
              <w:right w:val="nil"/>
            </w:tcBorders>
            <w:shd w:val="clear" w:color="auto" w:fill="auto"/>
            <w:vAlign w:val="bottom"/>
          </w:tcPr>
          <w:p w14:paraId="1473135D" w14:textId="0231E603" w:rsidR="001A5B79" w:rsidRDefault="001A5B79" w:rsidP="001A5B79">
            <w:pPr>
              <w:tabs>
                <w:tab w:val="right" w:pos="1202"/>
              </w:tabs>
              <w:suppressAutoHyphens/>
              <w:autoSpaceDN w:val="0"/>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w:t>
            </w:r>
          </w:p>
        </w:tc>
        <w:tc>
          <w:tcPr>
            <w:tcW w:w="644" w:type="pct"/>
            <w:tcBorders>
              <w:top w:val="single" w:sz="4" w:space="0" w:color="auto"/>
              <w:left w:val="nil"/>
              <w:bottom w:val="single" w:sz="12" w:space="0" w:color="auto"/>
              <w:right w:val="nil"/>
            </w:tcBorders>
            <w:shd w:val="clear" w:color="auto" w:fill="auto"/>
            <w:vAlign w:val="bottom"/>
          </w:tcPr>
          <w:p w14:paraId="1DBAA0AB" w14:textId="3A319CB6" w:rsidR="001A5B79" w:rsidRDefault="001A5B79" w:rsidP="001A5B79">
            <w:pPr>
              <w:tabs>
                <w:tab w:val="right" w:pos="1202"/>
              </w:tabs>
              <w:suppressAutoHyphens/>
              <w:autoSpaceDN w:val="0"/>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36</w:t>
            </w:r>
          </w:p>
        </w:tc>
        <w:tc>
          <w:tcPr>
            <w:tcW w:w="607" w:type="pct"/>
            <w:tcBorders>
              <w:top w:val="single" w:sz="4" w:space="0" w:color="auto"/>
              <w:left w:val="nil"/>
              <w:bottom w:val="single" w:sz="12" w:space="0" w:color="auto"/>
              <w:right w:val="nil"/>
            </w:tcBorders>
            <w:shd w:val="clear" w:color="auto" w:fill="auto"/>
            <w:vAlign w:val="bottom"/>
          </w:tcPr>
          <w:p w14:paraId="1BB27759" w14:textId="240B216F" w:rsidR="001A5B79" w:rsidRDefault="001A5B79" w:rsidP="001A5B79">
            <w:pPr>
              <w:tabs>
                <w:tab w:val="right" w:pos="1202"/>
              </w:tabs>
              <w:suppressAutoHyphens/>
              <w:autoSpaceDN w:val="0"/>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w:t>
            </w:r>
          </w:p>
        </w:tc>
      </w:tr>
    </w:tbl>
    <w:p w14:paraId="6F38E447" w14:textId="77777777" w:rsidR="00C21B42" w:rsidRPr="003D1614" w:rsidRDefault="00C21B42" w:rsidP="00C21B42">
      <w:pPr>
        <w:keepNext/>
        <w:suppressAutoHyphens/>
        <w:autoSpaceDN w:val="0"/>
        <w:jc w:val="both"/>
        <w:outlineLvl w:val="0"/>
        <w:rPr>
          <w:rFonts w:ascii="Arial" w:eastAsia="Times New Roman" w:hAnsi="Arial" w:cs="Arial"/>
          <w:color w:val="000000" w:themeColor="text1"/>
          <w:spacing w:val="-3"/>
          <w:sz w:val="10"/>
          <w:szCs w:val="20"/>
        </w:rPr>
      </w:pPr>
    </w:p>
    <w:p w14:paraId="749A5F44" w14:textId="77777777" w:rsidR="00C21B42" w:rsidRPr="003D1614" w:rsidRDefault="00C21B42" w:rsidP="00C21B42">
      <w:pPr>
        <w:keepNext/>
        <w:suppressAutoHyphens/>
        <w:autoSpaceDN w:val="0"/>
        <w:jc w:val="both"/>
        <w:outlineLvl w:val="0"/>
        <w:rPr>
          <w:rFonts w:ascii="Arial" w:eastAsia="Times New Roman" w:hAnsi="Arial" w:cs="Arial"/>
          <w:color w:val="000000" w:themeColor="text1"/>
          <w:spacing w:val="-3"/>
          <w:sz w:val="10"/>
          <w:szCs w:val="20"/>
        </w:rPr>
      </w:pPr>
    </w:p>
    <w:p w14:paraId="6145AE0F" w14:textId="77777777" w:rsidR="00C21B42" w:rsidRPr="003D1614" w:rsidRDefault="00C21B42" w:rsidP="00C21B42">
      <w:pPr>
        <w:suppressAutoHyphens/>
        <w:autoSpaceDN w:val="0"/>
        <w:jc w:val="both"/>
        <w:rPr>
          <w:rFonts w:ascii="Arial" w:eastAsia="Times New Roman" w:hAnsi="Arial" w:cs="Arial"/>
          <w:color w:val="000000"/>
          <w:sz w:val="20"/>
          <w:szCs w:val="20"/>
        </w:rPr>
      </w:pPr>
      <w:r w:rsidRPr="003D1614">
        <w:rPr>
          <w:rFonts w:ascii="Arial" w:eastAsia="Times New Roman" w:hAnsi="Arial" w:cs="Arial"/>
          <w:color w:val="000000"/>
          <w:sz w:val="20"/>
          <w:szCs w:val="20"/>
        </w:rPr>
        <w:t xml:space="preserve">Trezorski zapisi Ministarstva financija prikazani su na razini </w:t>
      </w:r>
      <w:r>
        <w:rPr>
          <w:rFonts w:ascii="Arial" w:eastAsia="Times New Roman" w:hAnsi="Arial" w:cs="Arial"/>
          <w:color w:val="000000"/>
          <w:sz w:val="20"/>
          <w:szCs w:val="20"/>
        </w:rPr>
        <w:t>1</w:t>
      </w:r>
      <w:r w:rsidRPr="003D1614">
        <w:rPr>
          <w:rFonts w:ascii="Arial" w:eastAsia="Times New Roman" w:hAnsi="Arial" w:cs="Arial"/>
          <w:color w:val="000000"/>
          <w:sz w:val="20"/>
          <w:szCs w:val="20"/>
        </w:rPr>
        <w:t xml:space="preserve"> hijerarhije fer vrijednosti kotirane kupovne („</w:t>
      </w:r>
      <w:proofErr w:type="spellStart"/>
      <w:r w:rsidRPr="003D1614">
        <w:rPr>
          <w:rFonts w:ascii="Arial" w:eastAsia="Times New Roman" w:hAnsi="Arial" w:cs="Arial"/>
          <w:color w:val="000000"/>
          <w:sz w:val="20"/>
          <w:szCs w:val="20"/>
        </w:rPr>
        <w:t>bid</w:t>
      </w:r>
      <w:proofErr w:type="spellEnd"/>
      <w:r w:rsidRPr="003D1614">
        <w:rPr>
          <w:rFonts w:ascii="Arial" w:eastAsia="Times New Roman" w:hAnsi="Arial" w:cs="Arial"/>
          <w:color w:val="000000"/>
          <w:sz w:val="20"/>
          <w:szCs w:val="20"/>
        </w:rPr>
        <w:t>“) cijene na Bloombergu</w:t>
      </w:r>
      <w:r>
        <w:rPr>
          <w:rFonts w:ascii="Arial" w:eastAsia="Times New Roman" w:hAnsi="Arial" w:cs="Arial"/>
          <w:color w:val="000000"/>
          <w:sz w:val="20"/>
          <w:szCs w:val="20"/>
        </w:rPr>
        <w:t xml:space="preserve"> te se kao tehnika vrednovanja primjenjuje cijena kotirana na tržištu.</w:t>
      </w:r>
      <w:r w:rsidRPr="003D1614">
        <w:rPr>
          <w:rFonts w:ascii="Arial" w:eastAsia="Times New Roman" w:hAnsi="Arial" w:cs="Arial"/>
          <w:sz w:val="20"/>
          <w:szCs w:val="20"/>
        </w:rPr>
        <w:t xml:space="preserve"> </w:t>
      </w:r>
    </w:p>
    <w:p w14:paraId="4933671D" w14:textId="77777777" w:rsidR="00C21B42" w:rsidRPr="003D1614" w:rsidRDefault="00C21B42" w:rsidP="00C21B42">
      <w:pPr>
        <w:suppressAutoHyphens/>
        <w:autoSpaceDN w:val="0"/>
        <w:jc w:val="both"/>
        <w:rPr>
          <w:rFonts w:ascii="Arial" w:eastAsia="Times New Roman" w:hAnsi="Arial" w:cs="Arial"/>
          <w:color w:val="000000"/>
          <w:sz w:val="12"/>
          <w:szCs w:val="12"/>
          <w:lang w:eastAsia="zh-CN"/>
        </w:rPr>
      </w:pPr>
    </w:p>
    <w:p w14:paraId="5407B26E" w14:textId="77777777" w:rsidR="00C21B42" w:rsidRPr="003D1614" w:rsidRDefault="00C21B42" w:rsidP="00C21B42">
      <w:pPr>
        <w:suppressAutoHyphens/>
        <w:autoSpaceDN w:val="0"/>
        <w:jc w:val="both"/>
        <w:rPr>
          <w:rFonts w:ascii="Arial" w:eastAsia="Times New Roman" w:hAnsi="Arial" w:cs="Arial"/>
          <w:color w:val="000000"/>
          <w:sz w:val="20"/>
          <w:szCs w:val="20"/>
          <w:lang w:eastAsia="hr-HR"/>
        </w:rPr>
      </w:pPr>
      <w:r w:rsidRPr="003D1614">
        <w:rPr>
          <w:rFonts w:ascii="Arial" w:eastAsia="Times New Roman" w:hAnsi="Arial" w:cs="Arial"/>
          <w:color w:val="000000"/>
          <w:sz w:val="20"/>
          <w:szCs w:val="20"/>
        </w:rPr>
        <w:t xml:space="preserve">Dužnički vrijednosni papiri – obveznice trgovačkih društava prikazane su na razini 3 hijerarhije fer vrijednosti. Pri vrednovanju je korištena metoda diskontiranih novčanih tijekova </w:t>
      </w:r>
      <w:r w:rsidRPr="003D1614">
        <w:rPr>
          <w:rFonts w:ascii="Arial" w:eastAsia="Times New Roman" w:hAnsi="Arial" w:cs="Arial"/>
          <w:color w:val="000000"/>
          <w:sz w:val="20"/>
          <w:szCs w:val="20"/>
          <w:lang w:eastAsia="hr-HR"/>
        </w:rPr>
        <w:t xml:space="preserve">temeljem tržišnih kamatnih stopa, </w:t>
      </w:r>
      <w:proofErr w:type="spellStart"/>
      <w:r w:rsidRPr="003D1614">
        <w:rPr>
          <w:rFonts w:ascii="Arial" w:eastAsia="Times New Roman" w:hAnsi="Arial" w:cs="Arial"/>
          <w:color w:val="000000"/>
          <w:sz w:val="20"/>
          <w:szCs w:val="20"/>
          <w:lang w:eastAsia="hr-HR"/>
        </w:rPr>
        <w:t>spreada</w:t>
      </w:r>
      <w:proofErr w:type="spellEnd"/>
      <w:r w:rsidRPr="003D1614">
        <w:rPr>
          <w:rFonts w:ascii="Arial" w:eastAsia="Times New Roman" w:hAnsi="Arial" w:cs="Arial"/>
          <w:color w:val="000000"/>
          <w:sz w:val="20"/>
          <w:szCs w:val="20"/>
          <w:lang w:eastAsia="hr-HR"/>
        </w:rPr>
        <w:t xml:space="preserve"> temeljem internog kreditnog rejtinga i interno definiranog </w:t>
      </w:r>
      <w:proofErr w:type="spellStart"/>
      <w:r w:rsidRPr="003D1614">
        <w:rPr>
          <w:rFonts w:ascii="Arial" w:eastAsia="Times New Roman" w:hAnsi="Arial" w:cs="Arial"/>
          <w:color w:val="000000"/>
          <w:sz w:val="20"/>
          <w:szCs w:val="20"/>
          <w:lang w:eastAsia="hr-HR"/>
        </w:rPr>
        <w:t>spreada</w:t>
      </w:r>
      <w:proofErr w:type="spellEnd"/>
      <w:r w:rsidRPr="003D1614">
        <w:rPr>
          <w:rFonts w:ascii="Arial" w:eastAsia="Times New Roman" w:hAnsi="Arial" w:cs="Arial"/>
          <w:color w:val="000000"/>
          <w:sz w:val="20"/>
          <w:szCs w:val="20"/>
          <w:lang w:eastAsia="hr-HR"/>
        </w:rPr>
        <w:t xml:space="preserve"> vezanog uz likvidnost vrijednosnog papira.</w:t>
      </w:r>
    </w:p>
    <w:p w14:paraId="4654F935" w14:textId="77777777" w:rsidR="00C21B42" w:rsidRPr="003D1614" w:rsidRDefault="00C21B42" w:rsidP="00C21B42">
      <w:pPr>
        <w:suppressAutoHyphens/>
        <w:autoSpaceDN w:val="0"/>
        <w:jc w:val="both"/>
        <w:rPr>
          <w:rFonts w:ascii="Arial" w:eastAsia="Times New Roman" w:hAnsi="Arial" w:cs="Arial"/>
          <w:color w:val="000000"/>
          <w:sz w:val="12"/>
          <w:szCs w:val="12"/>
          <w:lang w:eastAsia="hr-HR"/>
        </w:rPr>
      </w:pPr>
    </w:p>
    <w:p w14:paraId="44E93886" w14:textId="77777777" w:rsidR="00C21B42" w:rsidRDefault="00C21B42" w:rsidP="00C21B42">
      <w:pPr>
        <w:suppressAutoHyphens/>
        <w:autoSpaceDN w:val="0"/>
        <w:jc w:val="both"/>
        <w:rPr>
          <w:rFonts w:ascii="Arial" w:eastAsia="Times New Roman" w:hAnsi="Arial" w:cs="Arial"/>
          <w:color w:val="000000"/>
          <w:sz w:val="20"/>
          <w:szCs w:val="20"/>
          <w:lang w:eastAsia="hr-HR"/>
        </w:rPr>
      </w:pPr>
      <w:r w:rsidRPr="00B32071">
        <w:rPr>
          <w:rFonts w:ascii="Arial" w:eastAsia="Times New Roman" w:hAnsi="Arial" w:cs="Arial"/>
          <w:color w:val="000000"/>
          <w:sz w:val="20"/>
          <w:szCs w:val="20"/>
          <w:lang w:eastAsia="hr-HR"/>
        </w:rPr>
        <w:t xml:space="preserve">OTC FX </w:t>
      </w:r>
      <w:proofErr w:type="spellStart"/>
      <w:r w:rsidRPr="00B32071">
        <w:rPr>
          <w:rFonts w:ascii="Arial" w:eastAsia="Times New Roman" w:hAnsi="Arial" w:cs="Arial"/>
          <w:color w:val="000000"/>
          <w:sz w:val="20"/>
          <w:szCs w:val="20"/>
          <w:lang w:eastAsia="hr-HR"/>
        </w:rPr>
        <w:t>swap</w:t>
      </w:r>
      <w:proofErr w:type="spellEnd"/>
      <w:r w:rsidRPr="00B32071">
        <w:rPr>
          <w:rFonts w:ascii="Arial" w:eastAsia="Times New Roman" w:hAnsi="Arial" w:cs="Arial"/>
          <w:color w:val="000000"/>
          <w:sz w:val="20"/>
          <w:szCs w:val="20"/>
          <w:lang w:eastAsia="hr-HR"/>
        </w:rPr>
        <w:t xml:space="preserve"> ne kotira na aktivnom tržištu, a cijena im se izračunava po opće</w:t>
      </w:r>
      <w:r>
        <w:rPr>
          <w:rFonts w:ascii="Arial" w:eastAsia="Times New Roman" w:hAnsi="Arial" w:cs="Arial"/>
          <w:color w:val="000000"/>
          <w:sz w:val="20"/>
          <w:szCs w:val="20"/>
          <w:lang w:eastAsia="hr-HR"/>
        </w:rPr>
        <w:t xml:space="preserve"> </w:t>
      </w:r>
      <w:r w:rsidRPr="00B32071">
        <w:rPr>
          <w:rFonts w:ascii="Arial" w:eastAsia="Times New Roman" w:hAnsi="Arial" w:cs="Arial"/>
          <w:color w:val="000000"/>
          <w:sz w:val="20"/>
          <w:szCs w:val="20"/>
          <w:lang w:eastAsia="hr-HR"/>
        </w:rPr>
        <w:t>prihvaćenom modelu korištenjem trenutnih tržišnih parametara izvedenih iz deviznog spot tečaja i razlike kamatnih stopa ugovorene ročnosti za devize koje su predmet ugovora.</w:t>
      </w:r>
    </w:p>
    <w:p w14:paraId="3CDEF39B" w14:textId="77777777" w:rsidR="00FE61FD" w:rsidRDefault="00FE61FD" w:rsidP="00C21B42">
      <w:pPr>
        <w:suppressAutoHyphens/>
        <w:autoSpaceDN w:val="0"/>
        <w:jc w:val="both"/>
        <w:rPr>
          <w:rFonts w:ascii="Arial" w:eastAsia="Times New Roman" w:hAnsi="Arial" w:cs="Arial"/>
          <w:color w:val="000000"/>
          <w:sz w:val="20"/>
          <w:szCs w:val="20"/>
          <w:lang w:eastAsia="hr-HR"/>
        </w:rPr>
      </w:pPr>
    </w:p>
    <w:p w14:paraId="601ACCA7" w14:textId="77777777" w:rsidR="00FE61FD" w:rsidRPr="001A5E0D" w:rsidRDefault="00FE61FD" w:rsidP="00FE61FD">
      <w:pPr>
        <w:jc w:val="both"/>
        <w:rPr>
          <w:rFonts w:ascii="Arial" w:eastAsia="Calibri" w:hAnsi="Arial" w:cs="Arial"/>
          <w:color w:val="000000" w:themeColor="text1"/>
          <w:sz w:val="20"/>
          <w:szCs w:val="20"/>
        </w:rPr>
        <w:sectPr w:rsidR="00FE61FD" w:rsidRPr="001A5E0D" w:rsidSect="005F07DF">
          <w:pgSz w:w="11906" w:h="16838"/>
          <w:pgMar w:top="1417" w:right="1417" w:bottom="1417" w:left="1417" w:header="708" w:footer="708" w:gutter="0"/>
          <w:cols w:space="708"/>
          <w:docGrid w:linePitch="360"/>
        </w:sectPr>
      </w:pPr>
      <w:r w:rsidRPr="001A5E0D">
        <w:rPr>
          <w:rFonts w:ascii="Arial" w:eastAsia="Calibri" w:hAnsi="Arial" w:cs="Arial"/>
          <w:color w:val="000000" w:themeColor="text1"/>
          <w:sz w:val="20"/>
          <w:szCs w:val="20"/>
        </w:rPr>
        <w:t xml:space="preserve">U izvještajnom razdoblju nije bilo transfera između razina. </w:t>
      </w:r>
    </w:p>
    <w:p w14:paraId="20381401" w14:textId="77777777" w:rsidR="00F208CA" w:rsidRPr="00F208CA" w:rsidRDefault="00F208CA" w:rsidP="00F208CA">
      <w:pPr>
        <w:rPr>
          <w:rFonts w:ascii="Arial" w:eastAsia="Times New Roman" w:hAnsi="Arial" w:cs="Arial"/>
          <w:sz w:val="18"/>
          <w:szCs w:val="18"/>
        </w:rPr>
      </w:pPr>
    </w:p>
    <w:p w14:paraId="73B78CC3" w14:textId="77777777" w:rsidR="00BD775D" w:rsidRPr="003D1614" w:rsidRDefault="00BD775D" w:rsidP="00BD775D">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 </w:t>
      </w:r>
      <w:r w:rsidRPr="003D1614">
        <w:rPr>
          <w:rFonts w:ascii="Arial" w:eastAsia="Times New Roman" w:hAnsi="Arial" w:cs="Arial"/>
          <w:b/>
          <w:bCs/>
          <w:color w:val="000000" w:themeColor="text1"/>
          <w:spacing w:val="-3"/>
          <w:sz w:val="20"/>
          <w:szCs w:val="20"/>
        </w:rPr>
        <w:tab/>
        <w:t>Fer vrijednost financijske imovine i financijskih obveza (nastavak)</w:t>
      </w:r>
    </w:p>
    <w:p w14:paraId="639FF977" w14:textId="77777777" w:rsidR="00BD775D" w:rsidRPr="003D1614" w:rsidRDefault="00BD775D" w:rsidP="00BD775D">
      <w:pPr>
        <w:keepNext/>
        <w:suppressAutoHyphens/>
        <w:autoSpaceDN w:val="0"/>
        <w:ind w:left="709" w:hanging="709"/>
        <w:jc w:val="both"/>
        <w:outlineLvl w:val="0"/>
        <w:rPr>
          <w:rFonts w:ascii="Arial" w:eastAsia="Times New Roman" w:hAnsi="Arial" w:cs="Arial"/>
          <w:bCs/>
          <w:color w:val="000000" w:themeColor="text1"/>
          <w:spacing w:val="-3"/>
          <w:sz w:val="12"/>
          <w:szCs w:val="12"/>
        </w:rPr>
      </w:pPr>
    </w:p>
    <w:p w14:paraId="0B324857" w14:textId="77777777" w:rsidR="00BD775D" w:rsidRPr="003D1614" w:rsidRDefault="00BD775D" w:rsidP="00BD775D">
      <w:pPr>
        <w:keepNext/>
        <w:suppressAutoHyphens/>
        <w:autoSpaceDN w:val="0"/>
        <w:ind w:left="709" w:hanging="709"/>
        <w:jc w:val="both"/>
        <w:outlineLvl w:val="0"/>
        <w:rPr>
          <w:rFonts w:ascii="Arial" w:eastAsia="Times New Roman" w:hAnsi="Arial" w:cs="Arial"/>
          <w:b/>
          <w:bCs/>
          <w:color w:val="000000" w:themeColor="text1"/>
          <w:spacing w:val="-3"/>
          <w:sz w:val="14"/>
          <w:szCs w:val="14"/>
        </w:rPr>
      </w:pPr>
    </w:p>
    <w:p w14:paraId="230DD99F" w14:textId="77777777" w:rsidR="00BD775D" w:rsidRPr="003D1614" w:rsidRDefault="00BD775D" w:rsidP="00BD775D">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.1. </w:t>
      </w:r>
      <w:r w:rsidRPr="003D1614">
        <w:rPr>
          <w:rFonts w:ascii="Arial" w:eastAsia="Times New Roman" w:hAnsi="Arial" w:cs="Arial"/>
          <w:b/>
          <w:bCs/>
          <w:color w:val="000000" w:themeColor="text1"/>
          <w:spacing w:val="-3"/>
          <w:sz w:val="20"/>
          <w:szCs w:val="20"/>
        </w:rPr>
        <w:tab/>
        <w:t>Fer vrijednost financijske imovine i financijskih obveza koji se vode po fer vrijednosti (nastavak)</w:t>
      </w:r>
    </w:p>
    <w:p w14:paraId="65625C16" w14:textId="77777777" w:rsidR="00BD775D" w:rsidRPr="003D1614" w:rsidRDefault="00BD775D" w:rsidP="00BD775D">
      <w:pPr>
        <w:keepNext/>
        <w:suppressAutoHyphens/>
        <w:autoSpaceDN w:val="0"/>
        <w:jc w:val="both"/>
        <w:outlineLvl w:val="0"/>
        <w:rPr>
          <w:rFonts w:ascii="Arial" w:eastAsia="Times New Roman" w:hAnsi="Arial" w:cs="Arial"/>
          <w:color w:val="000000" w:themeColor="text1"/>
          <w:spacing w:val="-3"/>
          <w:sz w:val="12"/>
          <w:szCs w:val="12"/>
        </w:rPr>
      </w:pPr>
    </w:p>
    <w:p w14:paraId="0973A218" w14:textId="77777777" w:rsidR="00BD775D" w:rsidRPr="003D1614" w:rsidRDefault="00BD775D" w:rsidP="00BD775D">
      <w:pPr>
        <w:tabs>
          <w:tab w:val="right" w:pos="1202"/>
        </w:tabs>
        <w:suppressAutoHyphens/>
        <w:autoSpaceDN w:val="0"/>
        <w:jc w:val="both"/>
        <w:outlineLvl w:val="0"/>
        <w:rPr>
          <w:rFonts w:ascii="Arial" w:eastAsia="Times New Roman" w:hAnsi="Arial" w:cs="Arial"/>
          <w:i/>
          <w:color w:val="000000" w:themeColor="text1"/>
          <w:sz w:val="18"/>
          <w:szCs w:val="18"/>
        </w:rPr>
      </w:pPr>
    </w:p>
    <w:tbl>
      <w:tblPr>
        <w:tblW w:w="5114" w:type="pct"/>
        <w:jc w:val="center"/>
        <w:tblLayout w:type="fixed"/>
        <w:tblCellMar>
          <w:left w:w="122" w:type="dxa"/>
          <w:right w:w="122" w:type="dxa"/>
        </w:tblCellMar>
        <w:tblLook w:val="0000" w:firstRow="0" w:lastRow="0" w:firstColumn="0" w:lastColumn="0" w:noHBand="0" w:noVBand="0"/>
      </w:tblPr>
      <w:tblGrid>
        <w:gridCol w:w="5928"/>
        <w:gridCol w:w="1030"/>
        <w:gridCol w:w="1195"/>
        <w:gridCol w:w="1126"/>
      </w:tblGrid>
      <w:tr w:rsidR="00C162C6" w:rsidRPr="00736C15" w14:paraId="3D417967" w14:textId="77777777" w:rsidTr="00CA7F04">
        <w:trPr>
          <w:trHeight w:val="276"/>
          <w:jc w:val="center"/>
        </w:trPr>
        <w:tc>
          <w:tcPr>
            <w:tcW w:w="3194" w:type="pct"/>
            <w:shd w:val="clear" w:color="auto" w:fill="auto"/>
          </w:tcPr>
          <w:p w14:paraId="1F68A3C3" w14:textId="77777777" w:rsidR="00C162C6" w:rsidRPr="00736C15" w:rsidRDefault="00C162C6" w:rsidP="00CA7F04">
            <w:pPr>
              <w:tabs>
                <w:tab w:val="right" w:pos="1202"/>
              </w:tabs>
              <w:outlineLvl w:val="0"/>
              <w:rPr>
                <w:rFonts w:ascii="Arial" w:eastAsia="Calibri" w:hAnsi="Arial" w:cs="Arial"/>
                <w:color w:val="000000"/>
                <w:sz w:val="17"/>
                <w:szCs w:val="17"/>
              </w:rPr>
            </w:pPr>
            <w:r w:rsidRPr="00736C15">
              <w:rPr>
                <w:rFonts w:ascii="Arial" w:eastAsia="Calibri" w:hAnsi="Arial" w:cs="Arial"/>
                <w:b/>
                <w:color w:val="000000"/>
                <w:sz w:val="17"/>
                <w:szCs w:val="17"/>
              </w:rPr>
              <w:t>Grupa</w:t>
            </w:r>
          </w:p>
        </w:tc>
        <w:tc>
          <w:tcPr>
            <w:tcW w:w="1806" w:type="pct"/>
            <w:gridSpan w:val="3"/>
          </w:tcPr>
          <w:p w14:paraId="0C5F40B1" w14:textId="77777777" w:rsidR="00C162C6" w:rsidRPr="00736C15" w:rsidRDefault="00C162C6" w:rsidP="00CA7F04">
            <w:pPr>
              <w:tabs>
                <w:tab w:val="right" w:pos="1202"/>
              </w:tabs>
              <w:jc w:val="right"/>
              <w:outlineLvl w:val="0"/>
              <w:rPr>
                <w:rFonts w:ascii="Arial" w:eastAsia="Calibri" w:hAnsi="Arial" w:cs="Arial"/>
                <w:b/>
                <w:bCs/>
                <w:color w:val="000000"/>
                <w:sz w:val="17"/>
                <w:szCs w:val="17"/>
              </w:rPr>
            </w:pPr>
            <w:r w:rsidRPr="00736C15">
              <w:rPr>
                <w:rFonts w:ascii="Arial" w:eastAsia="Calibri" w:hAnsi="Arial" w:cs="Arial"/>
                <w:b/>
                <w:bCs/>
                <w:color w:val="000000"/>
                <w:sz w:val="17"/>
                <w:szCs w:val="17"/>
              </w:rPr>
              <w:t>3</w:t>
            </w:r>
            <w:r>
              <w:rPr>
                <w:rFonts w:ascii="Arial" w:eastAsia="Calibri" w:hAnsi="Arial" w:cs="Arial"/>
                <w:b/>
                <w:bCs/>
                <w:color w:val="000000"/>
                <w:sz w:val="17"/>
                <w:szCs w:val="17"/>
              </w:rPr>
              <w:t>1</w:t>
            </w:r>
            <w:r w:rsidRPr="00736C15">
              <w:rPr>
                <w:rFonts w:ascii="Arial" w:eastAsia="Calibri" w:hAnsi="Arial" w:cs="Arial"/>
                <w:b/>
                <w:bCs/>
                <w:color w:val="000000"/>
                <w:sz w:val="17"/>
                <w:szCs w:val="17"/>
              </w:rPr>
              <w:t xml:space="preserve">. </w:t>
            </w:r>
            <w:r>
              <w:rPr>
                <w:rFonts w:ascii="Arial" w:eastAsia="Calibri" w:hAnsi="Arial" w:cs="Arial"/>
                <w:b/>
                <w:bCs/>
                <w:color w:val="000000"/>
                <w:sz w:val="17"/>
                <w:szCs w:val="17"/>
              </w:rPr>
              <w:t>prosinca</w:t>
            </w:r>
            <w:r w:rsidRPr="00736C15">
              <w:rPr>
                <w:rFonts w:ascii="Arial" w:eastAsia="Calibri" w:hAnsi="Arial" w:cs="Arial"/>
                <w:b/>
                <w:bCs/>
                <w:color w:val="000000"/>
                <w:sz w:val="17"/>
                <w:szCs w:val="17"/>
              </w:rPr>
              <w:t xml:space="preserve"> 202</w:t>
            </w:r>
            <w:r>
              <w:rPr>
                <w:rFonts w:ascii="Arial" w:eastAsia="Calibri" w:hAnsi="Arial" w:cs="Arial"/>
                <w:b/>
                <w:bCs/>
                <w:color w:val="000000"/>
                <w:sz w:val="17"/>
                <w:szCs w:val="17"/>
              </w:rPr>
              <w:t>3</w:t>
            </w:r>
            <w:r w:rsidRPr="00736C15">
              <w:rPr>
                <w:rFonts w:ascii="Arial" w:eastAsia="Calibri" w:hAnsi="Arial" w:cs="Arial"/>
                <w:b/>
                <w:bCs/>
                <w:color w:val="000000"/>
                <w:sz w:val="17"/>
                <w:szCs w:val="17"/>
              </w:rPr>
              <w:t>.</w:t>
            </w:r>
          </w:p>
        </w:tc>
      </w:tr>
      <w:tr w:rsidR="00C162C6" w:rsidRPr="00736C15" w14:paraId="0AAA87B5" w14:textId="77777777" w:rsidTr="00CA7F04">
        <w:trPr>
          <w:trHeight w:val="276"/>
          <w:jc w:val="center"/>
        </w:trPr>
        <w:tc>
          <w:tcPr>
            <w:tcW w:w="3194" w:type="pct"/>
            <w:shd w:val="clear" w:color="auto" w:fill="auto"/>
            <w:vAlign w:val="bottom"/>
          </w:tcPr>
          <w:p w14:paraId="13DB399D" w14:textId="77777777" w:rsidR="00C162C6" w:rsidRPr="00736C15" w:rsidRDefault="00C162C6" w:rsidP="00CA7F04">
            <w:pPr>
              <w:tabs>
                <w:tab w:val="right" w:pos="1202"/>
              </w:tabs>
              <w:ind w:left="-482"/>
              <w:outlineLvl w:val="0"/>
              <w:rPr>
                <w:rFonts w:ascii="Arial" w:eastAsia="Calibri" w:hAnsi="Arial" w:cs="Arial"/>
                <w:color w:val="000000"/>
                <w:spacing w:val="-2"/>
                <w:sz w:val="17"/>
                <w:szCs w:val="17"/>
              </w:rPr>
            </w:pPr>
          </w:p>
        </w:tc>
        <w:tc>
          <w:tcPr>
            <w:tcW w:w="555" w:type="pct"/>
            <w:shd w:val="clear" w:color="auto" w:fill="auto"/>
            <w:vAlign w:val="bottom"/>
          </w:tcPr>
          <w:p w14:paraId="5C3E03AA" w14:textId="77777777" w:rsidR="00C162C6" w:rsidRPr="00736C15" w:rsidRDefault="00C162C6" w:rsidP="00CA7F04">
            <w:pPr>
              <w:tabs>
                <w:tab w:val="right" w:pos="1202"/>
              </w:tabs>
              <w:jc w:val="right"/>
              <w:outlineLvl w:val="0"/>
              <w:rPr>
                <w:rFonts w:ascii="Arial" w:eastAsia="Calibri" w:hAnsi="Arial" w:cs="Arial"/>
                <w:b/>
                <w:color w:val="000000"/>
                <w:spacing w:val="-2"/>
                <w:sz w:val="17"/>
                <w:szCs w:val="17"/>
              </w:rPr>
            </w:pPr>
            <w:r w:rsidRPr="00736C15">
              <w:rPr>
                <w:rFonts w:ascii="Arial" w:eastAsia="Calibri" w:hAnsi="Arial" w:cs="Arial"/>
                <w:b/>
                <w:color w:val="000000"/>
                <w:spacing w:val="-2"/>
                <w:sz w:val="17"/>
                <w:szCs w:val="17"/>
              </w:rPr>
              <w:t>Razina 1</w:t>
            </w:r>
          </w:p>
        </w:tc>
        <w:tc>
          <w:tcPr>
            <w:tcW w:w="644" w:type="pct"/>
            <w:shd w:val="clear" w:color="auto" w:fill="auto"/>
            <w:vAlign w:val="bottom"/>
          </w:tcPr>
          <w:p w14:paraId="521F8379" w14:textId="77777777" w:rsidR="00C162C6" w:rsidRPr="00736C15" w:rsidRDefault="00C162C6" w:rsidP="00CA7F04">
            <w:pPr>
              <w:tabs>
                <w:tab w:val="right" w:pos="1202"/>
              </w:tabs>
              <w:jc w:val="right"/>
              <w:outlineLvl w:val="0"/>
              <w:rPr>
                <w:rFonts w:ascii="Arial" w:eastAsia="Calibri" w:hAnsi="Arial" w:cs="Arial"/>
                <w:b/>
                <w:color w:val="000000"/>
                <w:spacing w:val="-2"/>
                <w:sz w:val="17"/>
                <w:szCs w:val="17"/>
              </w:rPr>
            </w:pPr>
            <w:r w:rsidRPr="00736C15">
              <w:rPr>
                <w:rFonts w:ascii="Arial" w:eastAsia="Calibri" w:hAnsi="Arial" w:cs="Arial"/>
                <w:b/>
                <w:color w:val="000000"/>
                <w:spacing w:val="-2"/>
                <w:sz w:val="17"/>
                <w:szCs w:val="17"/>
              </w:rPr>
              <w:t>Razina 2</w:t>
            </w:r>
          </w:p>
        </w:tc>
        <w:tc>
          <w:tcPr>
            <w:tcW w:w="607" w:type="pct"/>
            <w:shd w:val="clear" w:color="auto" w:fill="auto"/>
            <w:vAlign w:val="bottom"/>
          </w:tcPr>
          <w:p w14:paraId="1E039652" w14:textId="77777777" w:rsidR="00C162C6" w:rsidRPr="00736C15" w:rsidRDefault="00C162C6" w:rsidP="00CA7F04">
            <w:pPr>
              <w:tabs>
                <w:tab w:val="right" w:pos="1202"/>
              </w:tabs>
              <w:jc w:val="right"/>
              <w:outlineLvl w:val="0"/>
              <w:rPr>
                <w:rFonts w:ascii="Arial" w:eastAsia="Calibri" w:hAnsi="Arial" w:cs="Arial"/>
                <w:b/>
                <w:color w:val="000000"/>
                <w:spacing w:val="-2"/>
                <w:sz w:val="17"/>
                <w:szCs w:val="17"/>
              </w:rPr>
            </w:pPr>
            <w:r w:rsidRPr="00736C15">
              <w:rPr>
                <w:rFonts w:ascii="Arial" w:eastAsia="Calibri" w:hAnsi="Arial" w:cs="Arial"/>
                <w:b/>
                <w:color w:val="000000"/>
                <w:spacing w:val="-2"/>
                <w:sz w:val="17"/>
                <w:szCs w:val="17"/>
              </w:rPr>
              <w:t>Razina 3</w:t>
            </w:r>
          </w:p>
        </w:tc>
      </w:tr>
      <w:tr w:rsidR="00C162C6" w:rsidRPr="00736C15" w14:paraId="6E3D656D" w14:textId="77777777" w:rsidTr="00CA7F04">
        <w:trPr>
          <w:trHeight w:hRule="exact" w:val="200"/>
          <w:jc w:val="center"/>
        </w:trPr>
        <w:tc>
          <w:tcPr>
            <w:tcW w:w="3194" w:type="pct"/>
            <w:shd w:val="clear" w:color="auto" w:fill="auto"/>
            <w:vAlign w:val="bottom"/>
          </w:tcPr>
          <w:p w14:paraId="4B24DBE8" w14:textId="77777777" w:rsidR="00C162C6" w:rsidRPr="00736C15" w:rsidRDefault="00C162C6" w:rsidP="00CA7F04">
            <w:pPr>
              <w:tabs>
                <w:tab w:val="right" w:pos="1202"/>
              </w:tabs>
              <w:outlineLvl w:val="0"/>
              <w:rPr>
                <w:rFonts w:ascii="Arial" w:eastAsia="Calibri" w:hAnsi="Arial" w:cs="Arial"/>
                <w:color w:val="000000"/>
                <w:spacing w:val="-2"/>
                <w:sz w:val="17"/>
                <w:szCs w:val="17"/>
              </w:rPr>
            </w:pPr>
          </w:p>
        </w:tc>
        <w:tc>
          <w:tcPr>
            <w:tcW w:w="555" w:type="pct"/>
            <w:shd w:val="clear" w:color="auto" w:fill="auto"/>
            <w:vAlign w:val="bottom"/>
          </w:tcPr>
          <w:p w14:paraId="6015331D" w14:textId="77777777" w:rsidR="00C162C6" w:rsidRPr="00736C15" w:rsidRDefault="00C162C6" w:rsidP="00CA7F04">
            <w:pPr>
              <w:tabs>
                <w:tab w:val="right" w:pos="1202"/>
              </w:tabs>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c>
          <w:tcPr>
            <w:tcW w:w="644" w:type="pct"/>
            <w:shd w:val="clear" w:color="auto" w:fill="auto"/>
            <w:vAlign w:val="bottom"/>
          </w:tcPr>
          <w:p w14:paraId="2856C597" w14:textId="77777777" w:rsidR="00C162C6" w:rsidRPr="00736C15" w:rsidRDefault="00C162C6" w:rsidP="00CA7F04">
            <w:pPr>
              <w:tabs>
                <w:tab w:val="right" w:pos="1202"/>
              </w:tabs>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c>
          <w:tcPr>
            <w:tcW w:w="607" w:type="pct"/>
            <w:shd w:val="clear" w:color="auto" w:fill="auto"/>
            <w:vAlign w:val="bottom"/>
          </w:tcPr>
          <w:p w14:paraId="23E6F478" w14:textId="77777777" w:rsidR="00C162C6" w:rsidRPr="00736C15" w:rsidRDefault="00C162C6" w:rsidP="00CA7F04">
            <w:pPr>
              <w:tabs>
                <w:tab w:val="right" w:pos="1202"/>
              </w:tabs>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r>
      <w:tr w:rsidR="00C162C6" w:rsidRPr="00736C15" w14:paraId="4A896CF3" w14:textId="77777777" w:rsidTr="00CA7F04">
        <w:trPr>
          <w:trHeight w:hRule="exact" w:val="255"/>
          <w:jc w:val="center"/>
        </w:trPr>
        <w:tc>
          <w:tcPr>
            <w:tcW w:w="3194" w:type="pct"/>
            <w:vAlign w:val="bottom"/>
          </w:tcPr>
          <w:p w14:paraId="4468EB87" w14:textId="77777777" w:rsidR="00C162C6" w:rsidRPr="00736C15" w:rsidRDefault="00C162C6" w:rsidP="00CA7F04">
            <w:pPr>
              <w:tabs>
                <w:tab w:val="right" w:pos="1202"/>
              </w:tabs>
              <w:outlineLvl w:val="0"/>
              <w:rPr>
                <w:rFonts w:ascii="Arial" w:eastAsia="Calibri" w:hAnsi="Arial" w:cs="Arial"/>
                <w:color w:val="000000"/>
                <w:spacing w:val="-2"/>
                <w:sz w:val="17"/>
                <w:szCs w:val="17"/>
              </w:rPr>
            </w:pPr>
            <w:r w:rsidRPr="00736C15">
              <w:rPr>
                <w:rFonts w:ascii="Arial" w:eastAsia="Calibri" w:hAnsi="Arial" w:cs="Arial"/>
                <w:b/>
                <w:color w:val="000000"/>
                <w:sz w:val="17"/>
                <w:szCs w:val="17"/>
              </w:rPr>
              <w:t>Financijska imovina po fer vrijednosti kroz dobit ili gubitak:</w:t>
            </w:r>
          </w:p>
        </w:tc>
        <w:tc>
          <w:tcPr>
            <w:tcW w:w="555" w:type="pct"/>
            <w:vAlign w:val="bottom"/>
          </w:tcPr>
          <w:p w14:paraId="0820674C" w14:textId="77777777" w:rsidR="00C162C6" w:rsidRPr="00736C15" w:rsidRDefault="00C162C6" w:rsidP="00CA7F04">
            <w:pPr>
              <w:tabs>
                <w:tab w:val="right" w:pos="1202"/>
              </w:tabs>
              <w:jc w:val="right"/>
              <w:outlineLvl w:val="0"/>
              <w:rPr>
                <w:rFonts w:ascii="Arial" w:eastAsia="Calibri" w:hAnsi="Arial" w:cs="Arial"/>
                <w:b/>
                <w:color w:val="000000"/>
                <w:spacing w:val="-2"/>
                <w:sz w:val="17"/>
                <w:szCs w:val="17"/>
              </w:rPr>
            </w:pPr>
          </w:p>
        </w:tc>
        <w:tc>
          <w:tcPr>
            <w:tcW w:w="644" w:type="pct"/>
            <w:vAlign w:val="bottom"/>
          </w:tcPr>
          <w:p w14:paraId="5E278C80" w14:textId="77777777" w:rsidR="00C162C6" w:rsidRPr="00736C15" w:rsidRDefault="00C162C6" w:rsidP="00CA7F04">
            <w:pPr>
              <w:tabs>
                <w:tab w:val="right" w:pos="1202"/>
              </w:tabs>
              <w:jc w:val="right"/>
              <w:outlineLvl w:val="0"/>
              <w:rPr>
                <w:rFonts w:ascii="Arial" w:eastAsia="Calibri" w:hAnsi="Arial" w:cs="Arial"/>
                <w:b/>
                <w:color w:val="000000"/>
                <w:spacing w:val="-2"/>
                <w:sz w:val="17"/>
                <w:szCs w:val="17"/>
              </w:rPr>
            </w:pPr>
          </w:p>
        </w:tc>
        <w:tc>
          <w:tcPr>
            <w:tcW w:w="607" w:type="pct"/>
            <w:vAlign w:val="bottom"/>
          </w:tcPr>
          <w:p w14:paraId="2E45E5B0" w14:textId="77777777" w:rsidR="00C162C6" w:rsidRPr="00736C15" w:rsidRDefault="00C162C6" w:rsidP="00CA7F04">
            <w:pPr>
              <w:tabs>
                <w:tab w:val="right" w:pos="1202"/>
              </w:tabs>
              <w:jc w:val="right"/>
              <w:outlineLvl w:val="0"/>
              <w:rPr>
                <w:rFonts w:ascii="Arial" w:eastAsia="Calibri" w:hAnsi="Arial" w:cs="Arial"/>
                <w:b/>
                <w:color w:val="000000"/>
                <w:spacing w:val="-2"/>
                <w:sz w:val="17"/>
                <w:szCs w:val="17"/>
              </w:rPr>
            </w:pPr>
          </w:p>
        </w:tc>
      </w:tr>
      <w:tr w:rsidR="00C162C6" w:rsidRPr="00736C15" w14:paraId="16D58786" w14:textId="77777777" w:rsidTr="00CA7F04">
        <w:trPr>
          <w:trHeight w:hRule="exact" w:val="255"/>
          <w:jc w:val="center"/>
        </w:trPr>
        <w:tc>
          <w:tcPr>
            <w:tcW w:w="3194" w:type="pct"/>
            <w:vAlign w:val="bottom"/>
          </w:tcPr>
          <w:p w14:paraId="15258238" w14:textId="77777777" w:rsidR="00C162C6" w:rsidRPr="00736C15" w:rsidRDefault="00C162C6" w:rsidP="00CA7F04">
            <w:pPr>
              <w:tabs>
                <w:tab w:val="right" w:pos="1202"/>
              </w:tabs>
              <w:outlineLvl w:val="0"/>
              <w:rPr>
                <w:rFonts w:ascii="Arial" w:eastAsia="Calibri" w:hAnsi="Arial" w:cs="Arial"/>
                <w:b/>
                <w:i/>
                <w:color w:val="000000"/>
                <w:sz w:val="17"/>
                <w:szCs w:val="17"/>
              </w:rPr>
            </w:pPr>
            <w:r w:rsidRPr="00736C15">
              <w:rPr>
                <w:rFonts w:ascii="Arial" w:eastAsia="Calibri" w:hAnsi="Arial" w:cs="Arial"/>
                <w:b/>
                <w:i/>
                <w:color w:val="000000"/>
                <w:sz w:val="17"/>
                <w:szCs w:val="17"/>
              </w:rPr>
              <w:t>Krediti po fer vrijednosti kroz dobit ili gubitak:</w:t>
            </w:r>
          </w:p>
        </w:tc>
        <w:tc>
          <w:tcPr>
            <w:tcW w:w="555" w:type="pct"/>
            <w:tcBorders>
              <w:top w:val="nil"/>
              <w:left w:val="nil"/>
              <w:right w:val="nil"/>
            </w:tcBorders>
            <w:shd w:val="clear" w:color="auto" w:fill="auto"/>
            <w:vAlign w:val="bottom"/>
          </w:tcPr>
          <w:p w14:paraId="5B014CF3" w14:textId="77777777" w:rsidR="00C162C6" w:rsidRPr="00736C15" w:rsidRDefault="00C162C6" w:rsidP="00CA7F04">
            <w:pPr>
              <w:tabs>
                <w:tab w:val="right" w:pos="1202"/>
              </w:tabs>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5BF1DF5E" w14:textId="77777777" w:rsidR="00C162C6" w:rsidRPr="00736C15" w:rsidRDefault="00C162C6" w:rsidP="00CA7F04">
            <w:pPr>
              <w:tabs>
                <w:tab w:val="right" w:pos="1202"/>
              </w:tabs>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6912F1DD" w14:textId="77777777" w:rsidR="00C162C6" w:rsidRPr="00736C15" w:rsidRDefault="00C162C6" w:rsidP="00CA7F04">
            <w:pPr>
              <w:tabs>
                <w:tab w:val="right" w:pos="1202"/>
              </w:tabs>
              <w:jc w:val="right"/>
              <w:outlineLvl w:val="0"/>
              <w:rPr>
                <w:rFonts w:ascii="Arial" w:eastAsia="Calibri" w:hAnsi="Arial" w:cs="Arial"/>
                <w:color w:val="000000"/>
                <w:sz w:val="17"/>
                <w:szCs w:val="17"/>
              </w:rPr>
            </w:pPr>
          </w:p>
        </w:tc>
      </w:tr>
      <w:tr w:rsidR="00C162C6" w:rsidRPr="00736C15" w14:paraId="775410A2" w14:textId="77777777" w:rsidTr="00CA7F04">
        <w:trPr>
          <w:trHeight w:val="251"/>
          <w:jc w:val="center"/>
        </w:trPr>
        <w:tc>
          <w:tcPr>
            <w:tcW w:w="3194" w:type="pct"/>
            <w:vAlign w:val="bottom"/>
          </w:tcPr>
          <w:p w14:paraId="18BCEA29" w14:textId="77777777" w:rsidR="00C162C6" w:rsidRPr="00736C15" w:rsidRDefault="00C162C6" w:rsidP="00CA7F04">
            <w:pPr>
              <w:tabs>
                <w:tab w:val="right" w:pos="1202"/>
              </w:tabs>
              <w:outlineLvl w:val="0"/>
              <w:rPr>
                <w:rFonts w:ascii="Arial" w:eastAsia="Calibri" w:hAnsi="Arial" w:cs="Arial"/>
                <w:color w:val="000000"/>
                <w:sz w:val="17"/>
                <w:szCs w:val="17"/>
              </w:rPr>
            </w:pPr>
            <w:proofErr w:type="spellStart"/>
            <w:r w:rsidRPr="00736C15">
              <w:rPr>
                <w:rFonts w:ascii="Arial" w:eastAsia="Calibri" w:hAnsi="Arial" w:cs="Arial"/>
                <w:color w:val="000000"/>
                <w:sz w:val="17"/>
                <w:szCs w:val="17"/>
              </w:rPr>
              <w:t>Mezzanine</w:t>
            </w:r>
            <w:proofErr w:type="spellEnd"/>
            <w:r w:rsidRPr="00736C15">
              <w:rPr>
                <w:rFonts w:ascii="Arial" w:eastAsia="Calibri" w:hAnsi="Arial" w:cs="Arial"/>
                <w:color w:val="000000"/>
                <w:sz w:val="17"/>
                <w:szCs w:val="17"/>
              </w:rPr>
              <w:t xml:space="preserve"> krediti</w:t>
            </w:r>
          </w:p>
        </w:tc>
        <w:tc>
          <w:tcPr>
            <w:tcW w:w="555" w:type="pct"/>
            <w:tcBorders>
              <w:top w:val="nil"/>
              <w:left w:val="nil"/>
              <w:right w:val="nil"/>
            </w:tcBorders>
            <w:shd w:val="clear" w:color="auto" w:fill="auto"/>
            <w:vAlign w:val="bottom"/>
          </w:tcPr>
          <w:p w14:paraId="226FEF81" w14:textId="77777777" w:rsidR="00C162C6" w:rsidRPr="00736C15" w:rsidRDefault="00C162C6" w:rsidP="00CA7F04">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right w:val="nil"/>
            </w:tcBorders>
            <w:shd w:val="clear" w:color="auto" w:fill="auto"/>
            <w:vAlign w:val="bottom"/>
          </w:tcPr>
          <w:p w14:paraId="3B43DBB7" w14:textId="77777777" w:rsidR="00C162C6" w:rsidRPr="00736C15" w:rsidRDefault="00C162C6" w:rsidP="00CA7F04">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right w:val="nil"/>
            </w:tcBorders>
            <w:shd w:val="clear" w:color="auto" w:fill="auto"/>
            <w:vAlign w:val="bottom"/>
          </w:tcPr>
          <w:p w14:paraId="3550C9A2" w14:textId="77777777" w:rsidR="00C162C6" w:rsidRPr="00736C15" w:rsidRDefault="00C162C6" w:rsidP="00CA7F04">
            <w:pPr>
              <w:tabs>
                <w:tab w:val="right" w:pos="1202"/>
              </w:tabs>
              <w:jc w:val="right"/>
              <w:outlineLvl w:val="0"/>
              <w:rPr>
                <w:rFonts w:ascii="Arial" w:eastAsia="Calibri" w:hAnsi="Arial" w:cs="Arial"/>
                <w:color w:val="000000"/>
                <w:sz w:val="17"/>
                <w:szCs w:val="17"/>
              </w:rPr>
            </w:pPr>
            <w:r w:rsidRPr="00134EDA">
              <w:rPr>
                <w:rFonts w:ascii="Arial" w:eastAsia="Calibri" w:hAnsi="Arial" w:cs="Arial"/>
                <w:color w:val="000000"/>
                <w:sz w:val="17"/>
                <w:szCs w:val="17"/>
              </w:rPr>
              <w:t>33.698</w:t>
            </w:r>
          </w:p>
        </w:tc>
      </w:tr>
      <w:tr w:rsidR="00C162C6" w:rsidRPr="00736C15" w14:paraId="2A921F41" w14:textId="77777777" w:rsidTr="00CA7F04">
        <w:trPr>
          <w:trHeight w:hRule="exact" w:val="251"/>
          <w:jc w:val="center"/>
        </w:trPr>
        <w:tc>
          <w:tcPr>
            <w:tcW w:w="3194" w:type="pct"/>
            <w:vAlign w:val="bottom"/>
          </w:tcPr>
          <w:p w14:paraId="6F0F0D50" w14:textId="77777777" w:rsidR="00C162C6" w:rsidRPr="00736C15" w:rsidRDefault="00C162C6" w:rsidP="00CA7F04">
            <w:pPr>
              <w:tabs>
                <w:tab w:val="right" w:pos="1202"/>
              </w:tabs>
              <w:outlineLvl w:val="0"/>
              <w:rPr>
                <w:rFonts w:ascii="Arial" w:eastAsia="Calibri" w:hAnsi="Arial" w:cs="Arial"/>
                <w:b/>
                <w:i/>
                <w:color w:val="000000"/>
                <w:sz w:val="17"/>
                <w:szCs w:val="17"/>
              </w:rPr>
            </w:pPr>
            <w:r w:rsidRPr="00736C15">
              <w:rPr>
                <w:rFonts w:ascii="Arial" w:eastAsia="Calibri" w:hAnsi="Arial" w:cs="Arial"/>
                <w:b/>
                <w:i/>
                <w:color w:val="000000"/>
                <w:sz w:val="17"/>
                <w:szCs w:val="17"/>
              </w:rPr>
              <w:t>Ulaganja u investicijske fondove:</w:t>
            </w:r>
          </w:p>
        </w:tc>
        <w:tc>
          <w:tcPr>
            <w:tcW w:w="555" w:type="pct"/>
            <w:tcBorders>
              <w:top w:val="nil"/>
              <w:left w:val="nil"/>
              <w:right w:val="nil"/>
            </w:tcBorders>
            <w:shd w:val="clear" w:color="auto" w:fill="auto"/>
            <w:vAlign w:val="bottom"/>
          </w:tcPr>
          <w:p w14:paraId="2F7E96A5" w14:textId="77777777" w:rsidR="00C162C6" w:rsidRPr="00736C15" w:rsidRDefault="00C162C6" w:rsidP="00CA7F04">
            <w:pPr>
              <w:tabs>
                <w:tab w:val="right" w:pos="1202"/>
              </w:tabs>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26661707" w14:textId="77777777" w:rsidR="00C162C6" w:rsidRPr="00736C15" w:rsidRDefault="00C162C6" w:rsidP="00CA7F04">
            <w:pPr>
              <w:tabs>
                <w:tab w:val="right" w:pos="1202"/>
              </w:tabs>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358E2E47" w14:textId="77777777" w:rsidR="00C162C6" w:rsidRPr="00736C15" w:rsidRDefault="00C162C6" w:rsidP="00CA7F04">
            <w:pPr>
              <w:tabs>
                <w:tab w:val="right" w:pos="1202"/>
              </w:tabs>
              <w:jc w:val="right"/>
              <w:outlineLvl w:val="0"/>
              <w:rPr>
                <w:rFonts w:ascii="Arial" w:eastAsia="Calibri" w:hAnsi="Arial" w:cs="Arial"/>
                <w:color w:val="000000"/>
                <w:sz w:val="17"/>
                <w:szCs w:val="17"/>
              </w:rPr>
            </w:pPr>
          </w:p>
        </w:tc>
      </w:tr>
      <w:tr w:rsidR="00C162C6" w:rsidRPr="00736C15" w14:paraId="7215A36D" w14:textId="77777777" w:rsidTr="00CA7F04">
        <w:trPr>
          <w:trHeight w:hRule="exact" w:val="227"/>
          <w:jc w:val="center"/>
        </w:trPr>
        <w:tc>
          <w:tcPr>
            <w:tcW w:w="3194" w:type="pct"/>
            <w:vAlign w:val="bottom"/>
          </w:tcPr>
          <w:p w14:paraId="42C5C2B3" w14:textId="77777777" w:rsidR="00C162C6" w:rsidRPr="00736C15" w:rsidRDefault="00C162C6" w:rsidP="00CA7F04">
            <w:pPr>
              <w:tabs>
                <w:tab w:val="right" w:pos="1202"/>
              </w:tabs>
              <w:outlineLvl w:val="0"/>
              <w:rPr>
                <w:rFonts w:ascii="Arial" w:eastAsia="Calibri" w:hAnsi="Arial" w:cs="Arial"/>
                <w:color w:val="000000"/>
                <w:spacing w:val="-2"/>
                <w:sz w:val="17"/>
                <w:szCs w:val="17"/>
              </w:rPr>
            </w:pPr>
            <w:r w:rsidRPr="00736C15">
              <w:rPr>
                <w:rFonts w:ascii="Arial" w:eastAsia="Calibri" w:hAnsi="Arial" w:cs="Arial"/>
                <w:color w:val="000000"/>
                <w:spacing w:val="-2"/>
                <w:sz w:val="17"/>
                <w:szCs w:val="17"/>
              </w:rPr>
              <w:t>Udjeli u investicijskim fondovima po fer vrijednosti kroz dobit ili gubitak</w:t>
            </w:r>
          </w:p>
        </w:tc>
        <w:tc>
          <w:tcPr>
            <w:tcW w:w="555" w:type="pct"/>
            <w:tcBorders>
              <w:top w:val="nil"/>
              <w:left w:val="nil"/>
              <w:right w:val="nil"/>
            </w:tcBorders>
            <w:shd w:val="clear" w:color="auto" w:fill="auto"/>
            <w:vAlign w:val="bottom"/>
          </w:tcPr>
          <w:p w14:paraId="37CB2ECF" w14:textId="77777777" w:rsidR="00C162C6" w:rsidRPr="00736C15" w:rsidRDefault="00C162C6" w:rsidP="00CA7F04">
            <w:pPr>
              <w:tabs>
                <w:tab w:val="right" w:pos="1202"/>
              </w:tabs>
              <w:jc w:val="right"/>
              <w:outlineLvl w:val="0"/>
              <w:rPr>
                <w:rFonts w:ascii="Arial" w:eastAsia="Calibri" w:hAnsi="Arial" w:cs="Arial"/>
                <w:color w:val="000000"/>
                <w:spacing w:val="-2"/>
                <w:sz w:val="17"/>
                <w:szCs w:val="17"/>
              </w:rPr>
            </w:pPr>
            <w:r w:rsidRPr="00134EDA">
              <w:rPr>
                <w:rFonts w:ascii="Arial" w:eastAsia="Calibri" w:hAnsi="Arial" w:cs="Arial"/>
                <w:color w:val="000000"/>
                <w:spacing w:val="-2"/>
                <w:sz w:val="17"/>
                <w:szCs w:val="17"/>
              </w:rPr>
              <w:t>19.171</w:t>
            </w:r>
          </w:p>
        </w:tc>
        <w:tc>
          <w:tcPr>
            <w:tcW w:w="644" w:type="pct"/>
            <w:tcBorders>
              <w:top w:val="nil"/>
              <w:left w:val="nil"/>
              <w:right w:val="nil"/>
            </w:tcBorders>
            <w:shd w:val="clear" w:color="auto" w:fill="auto"/>
            <w:vAlign w:val="bottom"/>
          </w:tcPr>
          <w:p w14:paraId="08CF969E" w14:textId="77777777" w:rsidR="00C162C6" w:rsidRPr="00736C15" w:rsidRDefault="00C162C6" w:rsidP="00CA7F04">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07" w:type="pct"/>
            <w:tcBorders>
              <w:top w:val="nil"/>
              <w:left w:val="nil"/>
              <w:right w:val="nil"/>
            </w:tcBorders>
            <w:shd w:val="clear" w:color="auto" w:fill="auto"/>
            <w:vAlign w:val="bottom"/>
          </w:tcPr>
          <w:p w14:paraId="1ED1CF97" w14:textId="77777777" w:rsidR="00C162C6" w:rsidRPr="00736C15" w:rsidRDefault="00C162C6" w:rsidP="00CA7F04">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C162C6" w:rsidRPr="00736C15" w14:paraId="6C8AFCD0" w14:textId="77777777" w:rsidTr="00CA7F04">
        <w:trPr>
          <w:trHeight w:val="192"/>
          <w:jc w:val="center"/>
        </w:trPr>
        <w:tc>
          <w:tcPr>
            <w:tcW w:w="3194" w:type="pct"/>
            <w:vAlign w:val="bottom"/>
          </w:tcPr>
          <w:p w14:paraId="432B890E" w14:textId="77777777" w:rsidR="00C162C6" w:rsidRPr="00736C15" w:rsidRDefault="00C162C6" w:rsidP="00CA7F04">
            <w:pPr>
              <w:tabs>
                <w:tab w:val="right" w:pos="1202"/>
              </w:tabs>
              <w:outlineLvl w:val="0"/>
              <w:rPr>
                <w:rFonts w:ascii="Arial" w:eastAsia="Calibri" w:hAnsi="Arial" w:cs="Arial"/>
                <w:color w:val="000000"/>
                <w:sz w:val="17"/>
                <w:szCs w:val="17"/>
              </w:rPr>
            </w:pPr>
            <w:r w:rsidRPr="00736C15">
              <w:rPr>
                <w:rFonts w:ascii="Arial" w:eastAsia="Calibri" w:hAnsi="Arial" w:cs="Arial"/>
                <w:b/>
                <w:color w:val="000000"/>
                <w:sz w:val="17"/>
                <w:szCs w:val="17"/>
              </w:rPr>
              <w:t>Vlasnički vrijednosni papiri:</w:t>
            </w:r>
          </w:p>
        </w:tc>
        <w:tc>
          <w:tcPr>
            <w:tcW w:w="555" w:type="pct"/>
            <w:tcBorders>
              <w:top w:val="nil"/>
              <w:left w:val="nil"/>
              <w:right w:val="nil"/>
            </w:tcBorders>
            <w:shd w:val="clear" w:color="auto" w:fill="auto"/>
            <w:vAlign w:val="bottom"/>
          </w:tcPr>
          <w:p w14:paraId="7835ACAF" w14:textId="77777777" w:rsidR="00C162C6" w:rsidRPr="00736C15" w:rsidRDefault="00C162C6" w:rsidP="00CA7F04">
            <w:pPr>
              <w:tabs>
                <w:tab w:val="right" w:pos="1202"/>
              </w:tabs>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3E2EA42B" w14:textId="77777777" w:rsidR="00C162C6" w:rsidRPr="00736C15" w:rsidRDefault="00C162C6" w:rsidP="00CA7F04">
            <w:pPr>
              <w:tabs>
                <w:tab w:val="right" w:pos="1202"/>
              </w:tabs>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1E5CE35C" w14:textId="77777777" w:rsidR="00C162C6" w:rsidRPr="00736C15" w:rsidRDefault="00C162C6" w:rsidP="00CA7F04">
            <w:pPr>
              <w:tabs>
                <w:tab w:val="right" w:pos="1202"/>
              </w:tabs>
              <w:outlineLvl w:val="0"/>
              <w:rPr>
                <w:rFonts w:ascii="Arial" w:eastAsia="Calibri" w:hAnsi="Arial" w:cs="Arial"/>
                <w:color w:val="000000"/>
                <w:sz w:val="17"/>
                <w:szCs w:val="17"/>
              </w:rPr>
            </w:pPr>
          </w:p>
        </w:tc>
      </w:tr>
      <w:tr w:rsidR="00C162C6" w:rsidRPr="00736C15" w14:paraId="3C461301" w14:textId="77777777" w:rsidTr="00CA7F04">
        <w:trPr>
          <w:trHeight w:val="192"/>
          <w:jc w:val="center"/>
        </w:trPr>
        <w:tc>
          <w:tcPr>
            <w:tcW w:w="3194" w:type="pct"/>
            <w:vAlign w:val="bottom"/>
          </w:tcPr>
          <w:p w14:paraId="2B11A0D7" w14:textId="77777777" w:rsidR="00C162C6" w:rsidRPr="00736C15" w:rsidRDefault="00C162C6" w:rsidP="00CA7F04">
            <w:pPr>
              <w:tabs>
                <w:tab w:val="right" w:pos="1202"/>
              </w:tabs>
              <w:outlineLvl w:val="0"/>
              <w:rPr>
                <w:rFonts w:ascii="Arial" w:eastAsia="Calibri" w:hAnsi="Arial" w:cs="Arial"/>
                <w:color w:val="000000"/>
                <w:sz w:val="17"/>
                <w:szCs w:val="17"/>
              </w:rPr>
            </w:pPr>
            <w:r w:rsidRPr="00736C15">
              <w:rPr>
                <w:rFonts w:ascii="Arial" w:eastAsia="Calibri" w:hAnsi="Arial" w:cs="Arial"/>
                <w:b/>
                <w:i/>
                <w:color w:val="000000"/>
                <w:spacing w:val="-2"/>
                <w:sz w:val="17"/>
                <w:szCs w:val="17"/>
              </w:rPr>
              <w:t>Vlasnički vrijednosni papiri koji ne kotiraju:</w:t>
            </w:r>
          </w:p>
        </w:tc>
        <w:tc>
          <w:tcPr>
            <w:tcW w:w="555" w:type="pct"/>
            <w:tcBorders>
              <w:left w:val="nil"/>
              <w:right w:val="nil"/>
            </w:tcBorders>
            <w:shd w:val="clear" w:color="auto" w:fill="auto"/>
            <w:vAlign w:val="bottom"/>
          </w:tcPr>
          <w:p w14:paraId="5E541386" w14:textId="77777777" w:rsidR="00C162C6" w:rsidRPr="00736C15" w:rsidRDefault="00C162C6" w:rsidP="00CA7F04">
            <w:pPr>
              <w:tabs>
                <w:tab w:val="right" w:pos="1202"/>
              </w:tabs>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5A7DD717" w14:textId="77777777" w:rsidR="00C162C6" w:rsidRPr="00736C15" w:rsidRDefault="00C162C6" w:rsidP="00CA7F04">
            <w:pPr>
              <w:tabs>
                <w:tab w:val="right" w:pos="1202"/>
              </w:tabs>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28B17E46" w14:textId="77777777" w:rsidR="00C162C6" w:rsidRPr="00736C15" w:rsidRDefault="00C162C6" w:rsidP="00CA7F04">
            <w:pPr>
              <w:tabs>
                <w:tab w:val="right" w:pos="1202"/>
              </w:tabs>
              <w:jc w:val="right"/>
              <w:outlineLvl w:val="0"/>
              <w:rPr>
                <w:rFonts w:ascii="Arial" w:eastAsia="Calibri" w:hAnsi="Arial" w:cs="Arial"/>
                <w:color w:val="000000"/>
                <w:sz w:val="17"/>
                <w:szCs w:val="17"/>
              </w:rPr>
            </w:pPr>
          </w:p>
        </w:tc>
      </w:tr>
      <w:tr w:rsidR="00C162C6" w:rsidRPr="00736C15" w14:paraId="52EFEBB3" w14:textId="77777777" w:rsidTr="00CA7F04">
        <w:trPr>
          <w:trHeight w:hRule="exact" w:val="227"/>
          <w:jc w:val="center"/>
        </w:trPr>
        <w:tc>
          <w:tcPr>
            <w:tcW w:w="3194" w:type="pct"/>
            <w:vAlign w:val="bottom"/>
          </w:tcPr>
          <w:p w14:paraId="6753E374" w14:textId="77777777" w:rsidR="00C162C6" w:rsidRPr="00736C15" w:rsidRDefault="00C162C6" w:rsidP="00CA7F04">
            <w:pPr>
              <w:tabs>
                <w:tab w:val="right" w:pos="1202"/>
              </w:tabs>
              <w:outlineLvl w:val="0"/>
              <w:rPr>
                <w:rFonts w:ascii="Arial" w:eastAsia="Calibri" w:hAnsi="Arial" w:cs="Arial"/>
                <w:color w:val="000000"/>
                <w:spacing w:val="-2"/>
                <w:sz w:val="17"/>
                <w:szCs w:val="17"/>
              </w:rPr>
            </w:pPr>
            <w:r w:rsidRPr="00736C15">
              <w:rPr>
                <w:rFonts w:ascii="Arial" w:eastAsia="Calibri" w:hAnsi="Arial" w:cs="Arial"/>
                <w:color w:val="000000"/>
                <w:spacing w:val="-2"/>
                <w:sz w:val="17"/>
                <w:szCs w:val="17"/>
              </w:rPr>
              <w:t>Dionice trgovačkih društava</w:t>
            </w:r>
          </w:p>
        </w:tc>
        <w:tc>
          <w:tcPr>
            <w:tcW w:w="555" w:type="pct"/>
            <w:tcBorders>
              <w:left w:val="nil"/>
              <w:right w:val="nil"/>
            </w:tcBorders>
            <w:shd w:val="clear" w:color="auto" w:fill="auto"/>
            <w:vAlign w:val="bottom"/>
          </w:tcPr>
          <w:p w14:paraId="1849CE08" w14:textId="77777777" w:rsidR="00C162C6" w:rsidRPr="00736C15" w:rsidRDefault="00C162C6" w:rsidP="00CA7F04">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right w:val="nil"/>
            </w:tcBorders>
            <w:shd w:val="clear" w:color="auto" w:fill="auto"/>
            <w:vAlign w:val="bottom"/>
          </w:tcPr>
          <w:p w14:paraId="6271CA2B" w14:textId="77777777" w:rsidR="00C162C6" w:rsidRPr="00736C15" w:rsidRDefault="00C162C6" w:rsidP="00CA7F04">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right w:val="nil"/>
            </w:tcBorders>
            <w:shd w:val="clear" w:color="auto" w:fill="auto"/>
            <w:vAlign w:val="bottom"/>
          </w:tcPr>
          <w:p w14:paraId="4265B57A" w14:textId="77777777" w:rsidR="00C162C6" w:rsidRPr="00736C15" w:rsidRDefault="00C162C6" w:rsidP="00CA7F04">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C162C6" w:rsidRPr="00736C15" w14:paraId="5CB0E91C" w14:textId="77777777" w:rsidTr="00CA7F04">
        <w:trPr>
          <w:trHeight w:hRule="exact" w:val="227"/>
          <w:jc w:val="center"/>
        </w:trPr>
        <w:tc>
          <w:tcPr>
            <w:tcW w:w="3194" w:type="pct"/>
            <w:vAlign w:val="bottom"/>
          </w:tcPr>
          <w:p w14:paraId="59321ED2" w14:textId="77777777" w:rsidR="00C162C6" w:rsidRPr="00736C15" w:rsidRDefault="00C162C6" w:rsidP="00CA7F04">
            <w:pPr>
              <w:tabs>
                <w:tab w:val="right" w:pos="1202"/>
              </w:tabs>
              <w:outlineLvl w:val="0"/>
              <w:rPr>
                <w:rFonts w:ascii="Arial" w:eastAsia="Calibri" w:hAnsi="Arial" w:cs="Arial"/>
                <w:color w:val="000000"/>
                <w:spacing w:val="-2"/>
                <w:sz w:val="17"/>
                <w:szCs w:val="17"/>
              </w:rPr>
            </w:pPr>
            <w:r w:rsidRPr="00736C15">
              <w:rPr>
                <w:rFonts w:ascii="Arial" w:eastAsia="Calibri" w:hAnsi="Arial" w:cs="Arial"/>
                <w:color w:val="000000"/>
                <w:spacing w:val="-2"/>
                <w:sz w:val="17"/>
                <w:szCs w:val="17"/>
              </w:rPr>
              <w:t>Depozitarne potvrde - DR</w:t>
            </w:r>
          </w:p>
        </w:tc>
        <w:tc>
          <w:tcPr>
            <w:tcW w:w="555" w:type="pct"/>
            <w:tcBorders>
              <w:left w:val="nil"/>
              <w:right w:val="nil"/>
            </w:tcBorders>
            <w:shd w:val="clear" w:color="auto" w:fill="auto"/>
            <w:vAlign w:val="bottom"/>
          </w:tcPr>
          <w:p w14:paraId="72D55499" w14:textId="77777777" w:rsidR="00C162C6" w:rsidRPr="00736C15" w:rsidRDefault="00C162C6" w:rsidP="00CA7F04">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right w:val="nil"/>
            </w:tcBorders>
            <w:shd w:val="clear" w:color="auto" w:fill="auto"/>
            <w:vAlign w:val="bottom"/>
          </w:tcPr>
          <w:p w14:paraId="7D1B6A83" w14:textId="77777777" w:rsidR="00C162C6" w:rsidRPr="00736C15" w:rsidRDefault="00C162C6" w:rsidP="00CA7F04">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right w:val="nil"/>
            </w:tcBorders>
            <w:shd w:val="clear" w:color="auto" w:fill="auto"/>
            <w:vAlign w:val="bottom"/>
          </w:tcPr>
          <w:p w14:paraId="1FD22A63" w14:textId="77777777" w:rsidR="00C162C6" w:rsidRPr="00736C15" w:rsidRDefault="00C162C6" w:rsidP="00CA7F04">
            <w:pPr>
              <w:tabs>
                <w:tab w:val="right" w:pos="1202"/>
              </w:tabs>
              <w:jc w:val="right"/>
              <w:outlineLvl w:val="0"/>
              <w:rPr>
                <w:rFonts w:ascii="Arial" w:eastAsia="Calibri" w:hAnsi="Arial" w:cs="Arial"/>
                <w:color w:val="000000"/>
                <w:sz w:val="17"/>
                <w:szCs w:val="17"/>
              </w:rPr>
            </w:pPr>
            <w:r w:rsidRPr="00134EDA">
              <w:rPr>
                <w:rFonts w:ascii="Arial" w:eastAsia="Calibri" w:hAnsi="Arial" w:cs="Arial"/>
                <w:color w:val="000000"/>
                <w:sz w:val="17"/>
                <w:szCs w:val="17"/>
              </w:rPr>
              <w:t>42</w:t>
            </w:r>
          </w:p>
        </w:tc>
      </w:tr>
      <w:tr w:rsidR="00C162C6" w:rsidRPr="00736C15" w14:paraId="786CC791" w14:textId="77777777" w:rsidTr="00CA7F04">
        <w:trPr>
          <w:trHeight w:hRule="exact" w:val="227"/>
          <w:jc w:val="center"/>
        </w:trPr>
        <w:tc>
          <w:tcPr>
            <w:tcW w:w="3194" w:type="pct"/>
            <w:shd w:val="clear" w:color="auto" w:fill="auto"/>
            <w:vAlign w:val="bottom"/>
          </w:tcPr>
          <w:p w14:paraId="09EBCC83" w14:textId="77777777" w:rsidR="00C162C6" w:rsidRPr="00736C15" w:rsidRDefault="00C162C6" w:rsidP="00CA7F04">
            <w:pPr>
              <w:tabs>
                <w:tab w:val="right" w:pos="1202"/>
              </w:tabs>
              <w:outlineLvl w:val="0"/>
              <w:rPr>
                <w:rFonts w:ascii="Arial" w:eastAsia="Calibri" w:hAnsi="Arial" w:cs="Arial"/>
                <w:color w:val="000000"/>
                <w:spacing w:val="-2"/>
                <w:sz w:val="17"/>
                <w:szCs w:val="17"/>
              </w:rPr>
            </w:pPr>
            <w:r w:rsidRPr="00736C15">
              <w:rPr>
                <w:rFonts w:ascii="Arial" w:eastAsia="Calibri" w:hAnsi="Arial" w:cs="Arial"/>
                <w:b/>
                <w:color w:val="000000"/>
                <w:sz w:val="17"/>
                <w:szCs w:val="17"/>
              </w:rPr>
              <w:t>Derivativna financijska imovina – pozitivna fer vrijednost</w:t>
            </w:r>
          </w:p>
        </w:tc>
        <w:tc>
          <w:tcPr>
            <w:tcW w:w="555" w:type="pct"/>
            <w:tcBorders>
              <w:left w:val="nil"/>
              <w:right w:val="nil"/>
            </w:tcBorders>
            <w:shd w:val="clear" w:color="auto" w:fill="auto"/>
            <w:vAlign w:val="bottom"/>
          </w:tcPr>
          <w:p w14:paraId="3611824D" w14:textId="77777777" w:rsidR="00C162C6" w:rsidRDefault="00C162C6" w:rsidP="00CA7F04">
            <w:pPr>
              <w:tabs>
                <w:tab w:val="right" w:pos="1202"/>
              </w:tabs>
              <w:jc w:val="right"/>
              <w:outlineLvl w:val="0"/>
              <w:rPr>
                <w:rFonts w:ascii="Arial" w:eastAsia="Calibri" w:hAnsi="Arial" w:cs="Arial"/>
                <w:color w:val="000000"/>
                <w:sz w:val="17"/>
                <w:szCs w:val="17"/>
              </w:rPr>
            </w:pPr>
          </w:p>
        </w:tc>
        <w:tc>
          <w:tcPr>
            <w:tcW w:w="644" w:type="pct"/>
            <w:tcBorders>
              <w:top w:val="nil"/>
              <w:left w:val="nil"/>
              <w:right w:val="nil"/>
            </w:tcBorders>
            <w:shd w:val="clear" w:color="auto" w:fill="auto"/>
            <w:vAlign w:val="bottom"/>
          </w:tcPr>
          <w:p w14:paraId="58C08D1A" w14:textId="77777777" w:rsidR="00C162C6" w:rsidRDefault="00C162C6" w:rsidP="00CA7F04">
            <w:pPr>
              <w:tabs>
                <w:tab w:val="right" w:pos="1202"/>
              </w:tabs>
              <w:jc w:val="right"/>
              <w:outlineLvl w:val="0"/>
              <w:rPr>
                <w:rFonts w:ascii="Arial" w:eastAsia="Calibri" w:hAnsi="Arial" w:cs="Arial"/>
                <w:color w:val="000000"/>
                <w:sz w:val="17"/>
                <w:szCs w:val="17"/>
              </w:rPr>
            </w:pPr>
          </w:p>
        </w:tc>
        <w:tc>
          <w:tcPr>
            <w:tcW w:w="607" w:type="pct"/>
            <w:tcBorders>
              <w:top w:val="nil"/>
              <w:left w:val="nil"/>
              <w:right w:val="nil"/>
            </w:tcBorders>
            <w:shd w:val="clear" w:color="auto" w:fill="auto"/>
            <w:vAlign w:val="bottom"/>
          </w:tcPr>
          <w:p w14:paraId="6DF20312" w14:textId="77777777" w:rsidR="00C162C6" w:rsidRDefault="00C162C6" w:rsidP="00CA7F04">
            <w:pPr>
              <w:tabs>
                <w:tab w:val="right" w:pos="1202"/>
              </w:tabs>
              <w:jc w:val="right"/>
              <w:outlineLvl w:val="0"/>
              <w:rPr>
                <w:rFonts w:ascii="Arial" w:eastAsia="Calibri" w:hAnsi="Arial" w:cs="Arial"/>
                <w:color w:val="000000"/>
                <w:sz w:val="17"/>
                <w:szCs w:val="17"/>
              </w:rPr>
            </w:pPr>
          </w:p>
        </w:tc>
      </w:tr>
      <w:tr w:rsidR="00C162C6" w:rsidRPr="00736C15" w14:paraId="7A7E93B9" w14:textId="77777777" w:rsidTr="00CA7F04">
        <w:trPr>
          <w:trHeight w:hRule="exact" w:val="227"/>
          <w:jc w:val="center"/>
        </w:trPr>
        <w:tc>
          <w:tcPr>
            <w:tcW w:w="3194" w:type="pct"/>
            <w:shd w:val="clear" w:color="auto" w:fill="auto"/>
            <w:vAlign w:val="bottom"/>
          </w:tcPr>
          <w:p w14:paraId="0030F39A" w14:textId="77777777" w:rsidR="00C162C6" w:rsidRPr="00736C15" w:rsidRDefault="00C162C6" w:rsidP="00CA7F04">
            <w:pPr>
              <w:tabs>
                <w:tab w:val="right" w:pos="1202"/>
              </w:tabs>
              <w:outlineLvl w:val="0"/>
              <w:rPr>
                <w:rFonts w:ascii="Arial" w:eastAsia="Calibri" w:hAnsi="Arial" w:cs="Arial"/>
                <w:color w:val="000000"/>
                <w:spacing w:val="-2"/>
                <w:sz w:val="17"/>
                <w:szCs w:val="17"/>
              </w:rPr>
            </w:pPr>
            <w:r w:rsidRPr="00736C15">
              <w:rPr>
                <w:rFonts w:ascii="Arial" w:eastAsia="Calibri" w:hAnsi="Arial" w:cs="Arial"/>
                <w:bCs/>
                <w:color w:val="000000"/>
                <w:sz w:val="17"/>
                <w:szCs w:val="17"/>
              </w:rPr>
              <w:t xml:space="preserve">FX </w:t>
            </w:r>
            <w:proofErr w:type="spellStart"/>
            <w:r w:rsidRPr="00736C15">
              <w:rPr>
                <w:rFonts w:ascii="Arial" w:eastAsia="Calibri" w:hAnsi="Arial" w:cs="Arial"/>
                <w:bCs/>
                <w:color w:val="000000"/>
                <w:sz w:val="17"/>
                <w:szCs w:val="17"/>
              </w:rPr>
              <w:t>swap</w:t>
            </w:r>
            <w:proofErr w:type="spellEnd"/>
          </w:p>
        </w:tc>
        <w:tc>
          <w:tcPr>
            <w:tcW w:w="555" w:type="pct"/>
            <w:tcBorders>
              <w:left w:val="nil"/>
              <w:right w:val="nil"/>
            </w:tcBorders>
            <w:shd w:val="clear" w:color="auto" w:fill="auto"/>
            <w:vAlign w:val="bottom"/>
          </w:tcPr>
          <w:p w14:paraId="70FDFA0A" w14:textId="77777777" w:rsidR="00C162C6" w:rsidRDefault="00C162C6" w:rsidP="00CA7F04">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right w:val="nil"/>
            </w:tcBorders>
            <w:shd w:val="clear" w:color="auto" w:fill="auto"/>
            <w:vAlign w:val="bottom"/>
          </w:tcPr>
          <w:p w14:paraId="5A6E3A15" w14:textId="77777777" w:rsidR="00C162C6" w:rsidRDefault="00C162C6" w:rsidP="00CA7F04">
            <w:pPr>
              <w:tabs>
                <w:tab w:val="right" w:pos="1202"/>
              </w:tabs>
              <w:jc w:val="right"/>
              <w:outlineLvl w:val="0"/>
              <w:rPr>
                <w:rFonts w:ascii="Arial" w:eastAsia="Calibri" w:hAnsi="Arial" w:cs="Arial"/>
                <w:color w:val="000000"/>
                <w:sz w:val="17"/>
                <w:szCs w:val="17"/>
              </w:rPr>
            </w:pPr>
            <w:r w:rsidRPr="00134EDA">
              <w:rPr>
                <w:rFonts w:ascii="Arial" w:eastAsia="Calibri" w:hAnsi="Arial" w:cs="Arial"/>
                <w:color w:val="000000"/>
                <w:sz w:val="17"/>
                <w:szCs w:val="17"/>
              </w:rPr>
              <w:t>11</w:t>
            </w:r>
          </w:p>
        </w:tc>
        <w:tc>
          <w:tcPr>
            <w:tcW w:w="607" w:type="pct"/>
            <w:tcBorders>
              <w:top w:val="nil"/>
              <w:left w:val="nil"/>
              <w:right w:val="nil"/>
            </w:tcBorders>
            <w:shd w:val="clear" w:color="auto" w:fill="auto"/>
            <w:vAlign w:val="bottom"/>
          </w:tcPr>
          <w:p w14:paraId="51B727CC" w14:textId="77777777" w:rsidR="00C162C6" w:rsidRDefault="00C162C6" w:rsidP="00CA7F04">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C162C6" w:rsidRPr="00736C15" w14:paraId="61B13B32" w14:textId="77777777" w:rsidTr="00CA7F04">
        <w:trPr>
          <w:trHeight w:hRule="exact" w:val="255"/>
          <w:jc w:val="center"/>
        </w:trPr>
        <w:tc>
          <w:tcPr>
            <w:tcW w:w="3194" w:type="pct"/>
            <w:vAlign w:val="bottom"/>
          </w:tcPr>
          <w:p w14:paraId="64F61F82" w14:textId="77777777" w:rsidR="00C162C6" w:rsidRPr="00736C15" w:rsidRDefault="00C162C6" w:rsidP="00CA7F04">
            <w:pPr>
              <w:tabs>
                <w:tab w:val="right" w:pos="1202"/>
              </w:tabs>
              <w:outlineLvl w:val="0"/>
              <w:rPr>
                <w:rFonts w:ascii="Arial" w:eastAsia="Calibri" w:hAnsi="Arial" w:cs="Arial"/>
                <w:color w:val="000000"/>
                <w:sz w:val="17"/>
                <w:szCs w:val="17"/>
              </w:rPr>
            </w:pPr>
            <w:r w:rsidRPr="00736C15">
              <w:rPr>
                <w:rFonts w:ascii="Arial" w:eastAsia="Calibri" w:hAnsi="Arial" w:cs="Arial"/>
                <w:b/>
                <w:color w:val="000000"/>
                <w:sz w:val="17"/>
                <w:szCs w:val="17"/>
              </w:rPr>
              <w:t>Ukupno financijska imovina po fer vrijednosti kroz dobit ili gubitak</w:t>
            </w:r>
          </w:p>
        </w:tc>
        <w:tc>
          <w:tcPr>
            <w:tcW w:w="555" w:type="pct"/>
            <w:tcBorders>
              <w:top w:val="single" w:sz="4" w:space="0" w:color="auto"/>
              <w:left w:val="nil"/>
              <w:bottom w:val="single" w:sz="12" w:space="0" w:color="auto"/>
              <w:right w:val="nil"/>
            </w:tcBorders>
            <w:shd w:val="clear" w:color="auto" w:fill="auto"/>
            <w:vAlign w:val="bottom"/>
          </w:tcPr>
          <w:p w14:paraId="5123AF71" w14:textId="77777777" w:rsidR="00C162C6" w:rsidRPr="00F959D0" w:rsidRDefault="00C162C6" w:rsidP="00CA7F04">
            <w:pPr>
              <w:tabs>
                <w:tab w:val="right" w:pos="1202"/>
              </w:tabs>
              <w:jc w:val="right"/>
              <w:outlineLvl w:val="0"/>
              <w:rPr>
                <w:rFonts w:ascii="Arial" w:eastAsia="Calibri" w:hAnsi="Arial" w:cs="Arial"/>
                <w:b/>
                <w:color w:val="000000"/>
                <w:spacing w:val="-2"/>
                <w:sz w:val="17"/>
                <w:szCs w:val="17"/>
                <w:lang w:eastAsia="hr-HR"/>
              </w:rPr>
            </w:pPr>
            <w:r w:rsidRPr="00AD7F10">
              <w:rPr>
                <w:rFonts w:ascii="Arial" w:eastAsia="Calibri" w:hAnsi="Arial" w:cs="Arial"/>
                <w:b/>
                <w:color w:val="000000"/>
                <w:spacing w:val="-2"/>
                <w:sz w:val="17"/>
                <w:szCs w:val="17"/>
                <w:lang w:eastAsia="hr-HR"/>
              </w:rPr>
              <w:t>19.171</w:t>
            </w:r>
          </w:p>
        </w:tc>
        <w:tc>
          <w:tcPr>
            <w:tcW w:w="644" w:type="pct"/>
            <w:tcBorders>
              <w:top w:val="single" w:sz="4" w:space="0" w:color="auto"/>
              <w:left w:val="nil"/>
              <w:bottom w:val="single" w:sz="12" w:space="0" w:color="auto"/>
              <w:right w:val="nil"/>
            </w:tcBorders>
            <w:shd w:val="clear" w:color="auto" w:fill="auto"/>
            <w:vAlign w:val="bottom"/>
          </w:tcPr>
          <w:p w14:paraId="610E6D7F" w14:textId="77777777" w:rsidR="00C162C6" w:rsidRPr="00F959D0" w:rsidRDefault="00C162C6" w:rsidP="00CA7F04">
            <w:pPr>
              <w:tabs>
                <w:tab w:val="right" w:pos="1202"/>
              </w:tabs>
              <w:jc w:val="right"/>
              <w:outlineLvl w:val="0"/>
              <w:rPr>
                <w:rFonts w:ascii="Arial" w:eastAsia="Calibri" w:hAnsi="Arial" w:cs="Arial"/>
                <w:b/>
                <w:color w:val="000000"/>
                <w:spacing w:val="-2"/>
                <w:sz w:val="17"/>
                <w:szCs w:val="17"/>
                <w:lang w:eastAsia="hr-HR"/>
              </w:rPr>
            </w:pPr>
            <w:r w:rsidRPr="00AD7F10">
              <w:rPr>
                <w:rFonts w:ascii="Arial" w:eastAsia="Calibri" w:hAnsi="Arial" w:cs="Arial"/>
                <w:b/>
                <w:color w:val="000000"/>
                <w:spacing w:val="-2"/>
                <w:sz w:val="17"/>
                <w:szCs w:val="17"/>
                <w:lang w:eastAsia="hr-HR"/>
              </w:rPr>
              <w:t>11</w:t>
            </w:r>
          </w:p>
        </w:tc>
        <w:tc>
          <w:tcPr>
            <w:tcW w:w="607" w:type="pct"/>
            <w:tcBorders>
              <w:top w:val="single" w:sz="4" w:space="0" w:color="auto"/>
              <w:left w:val="nil"/>
              <w:bottom w:val="single" w:sz="12" w:space="0" w:color="auto"/>
              <w:right w:val="nil"/>
            </w:tcBorders>
            <w:shd w:val="clear" w:color="auto" w:fill="auto"/>
            <w:vAlign w:val="bottom"/>
          </w:tcPr>
          <w:p w14:paraId="018B8D1D" w14:textId="77777777" w:rsidR="00C162C6" w:rsidRPr="00F959D0" w:rsidRDefault="00C162C6" w:rsidP="00CA7F04">
            <w:pPr>
              <w:tabs>
                <w:tab w:val="right" w:pos="1202"/>
              </w:tabs>
              <w:jc w:val="right"/>
              <w:outlineLvl w:val="0"/>
              <w:rPr>
                <w:rFonts w:ascii="Arial" w:eastAsia="Calibri" w:hAnsi="Arial" w:cs="Arial"/>
                <w:b/>
                <w:color w:val="000000"/>
                <w:spacing w:val="-2"/>
                <w:sz w:val="17"/>
                <w:szCs w:val="17"/>
                <w:lang w:eastAsia="hr-HR"/>
              </w:rPr>
            </w:pPr>
            <w:r w:rsidRPr="00AD7F10">
              <w:rPr>
                <w:rFonts w:ascii="Arial" w:eastAsia="Calibri" w:hAnsi="Arial" w:cs="Arial"/>
                <w:b/>
                <w:color w:val="000000"/>
                <w:spacing w:val="-2"/>
                <w:sz w:val="17"/>
                <w:szCs w:val="17"/>
                <w:lang w:eastAsia="hr-HR"/>
              </w:rPr>
              <w:t>33.740</w:t>
            </w:r>
          </w:p>
        </w:tc>
      </w:tr>
      <w:tr w:rsidR="00C162C6" w:rsidRPr="00736C15" w14:paraId="1478BF11" w14:textId="77777777" w:rsidTr="00CA7F04">
        <w:trPr>
          <w:trHeight w:hRule="exact" w:val="255"/>
          <w:jc w:val="center"/>
        </w:trPr>
        <w:tc>
          <w:tcPr>
            <w:tcW w:w="3194" w:type="pct"/>
            <w:shd w:val="clear" w:color="auto" w:fill="auto"/>
            <w:vAlign w:val="bottom"/>
          </w:tcPr>
          <w:p w14:paraId="6738C6B4" w14:textId="77777777" w:rsidR="00C162C6" w:rsidRPr="00736C15" w:rsidRDefault="00C162C6" w:rsidP="00CA7F04">
            <w:pPr>
              <w:tabs>
                <w:tab w:val="right" w:pos="1202"/>
              </w:tabs>
              <w:outlineLvl w:val="0"/>
              <w:rPr>
                <w:rFonts w:ascii="Arial" w:eastAsia="Calibri" w:hAnsi="Arial" w:cs="Arial"/>
                <w:b/>
                <w:color w:val="000000"/>
                <w:spacing w:val="-2"/>
                <w:sz w:val="17"/>
                <w:szCs w:val="17"/>
              </w:rPr>
            </w:pPr>
            <w:r w:rsidRPr="00736C15">
              <w:rPr>
                <w:rFonts w:ascii="Arial" w:eastAsia="Calibri" w:hAnsi="Arial" w:cs="Arial"/>
                <w:b/>
                <w:color w:val="000000"/>
                <w:spacing w:val="-2"/>
                <w:sz w:val="17"/>
                <w:szCs w:val="17"/>
              </w:rPr>
              <w:t>Financijska imovina po fer vrijednosti kroz ostalu sveobuhvatnu dobit:</w:t>
            </w:r>
          </w:p>
        </w:tc>
        <w:tc>
          <w:tcPr>
            <w:tcW w:w="555" w:type="pct"/>
            <w:vAlign w:val="bottom"/>
          </w:tcPr>
          <w:p w14:paraId="082BCF05" w14:textId="77777777" w:rsidR="00C162C6" w:rsidRPr="00736C15" w:rsidDel="00561A80" w:rsidRDefault="00C162C6" w:rsidP="00CA7F04">
            <w:pPr>
              <w:tabs>
                <w:tab w:val="right" w:pos="1202"/>
              </w:tabs>
              <w:jc w:val="right"/>
              <w:outlineLvl w:val="0"/>
              <w:rPr>
                <w:rFonts w:ascii="Arial" w:eastAsia="Calibri" w:hAnsi="Arial" w:cs="Arial"/>
                <w:color w:val="000000"/>
                <w:spacing w:val="-2"/>
                <w:sz w:val="17"/>
                <w:szCs w:val="17"/>
              </w:rPr>
            </w:pPr>
          </w:p>
        </w:tc>
        <w:tc>
          <w:tcPr>
            <w:tcW w:w="644" w:type="pct"/>
            <w:vAlign w:val="bottom"/>
          </w:tcPr>
          <w:p w14:paraId="13B1AE50" w14:textId="77777777" w:rsidR="00C162C6" w:rsidRPr="00736C15" w:rsidDel="00561A80" w:rsidRDefault="00C162C6" w:rsidP="00CA7F04">
            <w:pPr>
              <w:tabs>
                <w:tab w:val="right" w:pos="1202"/>
              </w:tabs>
              <w:jc w:val="right"/>
              <w:outlineLvl w:val="0"/>
              <w:rPr>
                <w:rFonts w:ascii="Arial" w:eastAsia="Calibri" w:hAnsi="Arial" w:cs="Arial"/>
                <w:color w:val="000000"/>
                <w:spacing w:val="-2"/>
                <w:sz w:val="17"/>
                <w:szCs w:val="17"/>
              </w:rPr>
            </w:pPr>
          </w:p>
        </w:tc>
        <w:tc>
          <w:tcPr>
            <w:tcW w:w="607" w:type="pct"/>
            <w:vAlign w:val="bottom"/>
          </w:tcPr>
          <w:p w14:paraId="2278EF15" w14:textId="77777777" w:rsidR="00C162C6" w:rsidRPr="00736C15" w:rsidDel="00561A80" w:rsidRDefault="00C162C6" w:rsidP="00CA7F04">
            <w:pPr>
              <w:tabs>
                <w:tab w:val="right" w:pos="1202"/>
              </w:tabs>
              <w:jc w:val="right"/>
              <w:outlineLvl w:val="0"/>
              <w:rPr>
                <w:rFonts w:ascii="Arial" w:eastAsia="Calibri" w:hAnsi="Arial" w:cs="Arial"/>
                <w:color w:val="000000"/>
                <w:spacing w:val="-2"/>
                <w:sz w:val="17"/>
                <w:szCs w:val="17"/>
              </w:rPr>
            </w:pPr>
          </w:p>
        </w:tc>
      </w:tr>
      <w:tr w:rsidR="00C162C6" w:rsidRPr="00736C15" w14:paraId="2E6E111D" w14:textId="77777777" w:rsidTr="00CA7F04">
        <w:trPr>
          <w:trHeight w:hRule="exact" w:val="255"/>
          <w:jc w:val="center"/>
        </w:trPr>
        <w:tc>
          <w:tcPr>
            <w:tcW w:w="3194" w:type="pct"/>
            <w:shd w:val="clear" w:color="auto" w:fill="auto"/>
            <w:vAlign w:val="bottom"/>
          </w:tcPr>
          <w:p w14:paraId="774698C2" w14:textId="77777777" w:rsidR="00C162C6" w:rsidRPr="00736C15" w:rsidRDefault="00C162C6" w:rsidP="00CA7F04">
            <w:pPr>
              <w:tabs>
                <w:tab w:val="right" w:pos="1202"/>
              </w:tabs>
              <w:outlineLvl w:val="0"/>
              <w:rPr>
                <w:rFonts w:ascii="Arial" w:eastAsia="Calibri" w:hAnsi="Arial" w:cs="Arial"/>
                <w:b/>
                <w:color w:val="000000"/>
                <w:spacing w:val="-2"/>
                <w:sz w:val="17"/>
                <w:szCs w:val="17"/>
              </w:rPr>
            </w:pPr>
            <w:r w:rsidRPr="00736C15">
              <w:rPr>
                <w:rFonts w:ascii="Arial" w:eastAsia="Calibri" w:hAnsi="Arial" w:cs="Arial"/>
                <w:b/>
                <w:color w:val="000000"/>
                <w:spacing w:val="-2"/>
                <w:sz w:val="17"/>
                <w:szCs w:val="17"/>
              </w:rPr>
              <w:t>Dužnički vrijednosni papiri:</w:t>
            </w:r>
          </w:p>
        </w:tc>
        <w:tc>
          <w:tcPr>
            <w:tcW w:w="555" w:type="pct"/>
            <w:vAlign w:val="bottom"/>
          </w:tcPr>
          <w:p w14:paraId="6A5F4369" w14:textId="77777777" w:rsidR="00C162C6" w:rsidRPr="00736C15" w:rsidDel="00561A80" w:rsidRDefault="00C162C6" w:rsidP="00CA7F04">
            <w:pPr>
              <w:tabs>
                <w:tab w:val="right" w:pos="1202"/>
              </w:tabs>
              <w:jc w:val="right"/>
              <w:outlineLvl w:val="0"/>
              <w:rPr>
                <w:rFonts w:ascii="Arial" w:eastAsia="Calibri" w:hAnsi="Arial" w:cs="Arial"/>
                <w:color w:val="000000"/>
                <w:spacing w:val="-2"/>
                <w:sz w:val="17"/>
                <w:szCs w:val="17"/>
              </w:rPr>
            </w:pPr>
          </w:p>
        </w:tc>
        <w:tc>
          <w:tcPr>
            <w:tcW w:w="644" w:type="pct"/>
            <w:vAlign w:val="bottom"/>
          </w:tcPr>
          <w:p w14:paraId="63A9F393" w14:textId="77777777" w:rsidR="00C162C6" w:rsidRPr="00736C15" w:rsidDel="00561A80" w:rsidRDefault="00C162C6" w:rsidP="00CA7F04">
            <w:pPr>
              <w:tabs>
                <w:tab w:val="right" w:pos="1202"/>
              </w:tabs>
              <w:jc w:val="right"/>
              <w:outlineLvl w:val="0"/>
              <w:rPr>
                <w:rFonts w:ascii="Arial" w:eastAsia="Calibri" w:hAnsi="Arial" w:cs="Arial"/>
                <w:color w:val="000000"/>
                <w:spacing w:val="-2"/>
                <w:sz w:val="17"/>
                <w:szCs w:val="17"/>
              </w:rPr>
            </w:pPr>
          </w:p>
        </w:tc>
        <w:tc>
          <w:tcPr>
            <w:tcW w:w="607" w:type="pct"/>
            <w:vAlign w:val="bottom"/>
          </w:tcPr>
          <w:p w14:paraId="09F245D7" w14:textId="77777777" w:rsidR="00C162C6" w:rsidRPr="00736C15" w:rsidDel="00561A80" w:rsidRDefault="00C162C6" w:rsidP="00CA7F04">
            <w:pPr>
              <w:tabs>
                <w:tab w:val="right" w:pos="1202"/>
              </w:tabs>
              <w:jc w:val="right"/>
              <w:outlineLvl w:val="0"/>
              <w:rPr>
                <w:rFonts w:ascii="Arial" w:eastAsia="Calibri" w:hAnsi="Arial" w:cs="Arial"/>
                <w:color w:val="000000"/>
                <w:spacing w:val="-2"/>
                <w:sz w:val="17"/>
                <w:szCs w:val="17"/>
              </w:rPr>
            </w:pPr>
          </w:p>
        </w:tc>
      </w:tr>
      <w:tr w:rsidR="00C162C6" w:rsidRPr="00736C15" w14:paraId="1E65D350" w14:textId="77777777" w:rsidTr="00CA7F04">
        <w:trPr>
          <w:trHeight w:hRule="exact" w:val="255"/>
          <w:jc w:val="center"/>
        </w:trPr>
        <w:tc>
          <w:tcPr>
            <w:tcW w:w="3194" w:type="pct"/>
            <w:shd w:val="clear" w:color="auto" w:fill="auto"/>
            <w:vAlign w:val="bottom"/>
          </w:tcPr>
          <w:p w14:paraId="4F934E5D" w14:textId="77777777" w:rsidR="00C162C6" w:rsidRPr="00736C15" w:rsidRDefault="00C162C6" w:rsidP="00CA7F04">
            <w:pPr>
              <w:tabs>
                <w:tab w:val="right" w:pos="1202"/>
              </w:tabs>
              <w:outlineLvl w:val="0"/>
              <w:rPr>
                <w:rFonts w:ascii="Arial" w:eastAsia="Calibri" w:hAnsi="Arial" w:cs="Arial"/>
                <w:b/>
                <w:i/>
                <w:color w:val="000000"/>
                <w:spacing w:val="-2"/>
                <w:sz w:val="17"/>
                <w:szCs w:val="17"/>
              </w:rPr>
            </w:pPr>
            <w:r w:rsidRPr="00736C15">
              <w:rPr>
                <w:rFonts w:ascii="Arial" w:eastAsia="Calibri" w:hAnsi="Arial" w:cs="Arial"/>
                <w:b/>
                <w:i/>
                <w:color w:val="000000"/>
                <w:spacing w:val="-2"/>
                <w:sz w:val="17"/>
                <w:szCs w:val="17"/>
              </w:rPr>
              <w:t>Dužnički vrijednosni papiri koji kotiraju:</w:t>
            </w:r>
          </w:p>
        </w:tc>
        <w:tc>
          <w:tcPr>
            <w:tcW w:w="555" w:type="pct"/>
            <w:vAlign w:val="bottom"/>
          </w:tcPr>
          <w:p w14:paraId="613234E7" w14:textId="77777777" w:rsidR="00C162C6" w:rsidRPr="00736C15" w:rsidDel="00561A80" w:rsidRDefault="00C162C6" w:rsidP="00CA7F04">
            <w:pPr>
              <w:tabs>
                <w:tab w:val="right" w:pos="1202"/>
              </w:tabs>
              <w:jc w:val="right"/>
              <w:outlineLvl w:val="0"/>
              <w:rPr>
                <w:rFonts w:ascii="Arial" w:eastAsia="Calibri" w:hAnsi="Arial" w:cs="Arial"/>
                <w:color w:val="000000"/>
                <w:spacing w:val="-2"/>
                <w:sz w:val="17"/>
                <w:szCs w:val="17"/>
              </w:rPr>
            </w:pPr>
          </w:p>
        </w:tc>
        <w:tc>
          <w:tcPr>
            <w:tcW w:w="644" w:type="pct"/>
            <w:vAlign w:val="bottom"/>
          </w:tcPr>
          <w:p w14:paraId="5E246A11" w14:textId="77777777" w:rsidR="00C162C6" w:rsidRPr="00736C15" w:rsidDel="00561A80" w:rsidRDefault="00C162C6" w:rsidP="00CA7F04">
            <w:pPr>
              <w:tabs>
                <w:tab w:val="right" w:pos="1202"/>
              </w:tabs>
              <w:jc w:val="right"/>
              <w:outlineLvl w:val="0"/>
              <w:rPr>
                <w:rFonts w:ascii="Arial" w:eastAsia="Calibri" w:hAnsi="Arial" w:cs="Arial"/>
                <w:color w:val="000000"/>
                <w:spacing w:val="-2"/>
                <w:sz w:val="17"/>
                <w:szCs w:val="17"/>
              </w:rPr>
            </w:pPr>
          </w:p>
        </w:tc>
        <w:tc>
          <w:tcPr>
            <w:tcW w:w="607" w:type="pct"/>
            <w:vAlign w:val="bottom"/>
          </w:tcPr>
          <w:p w14:paraId="3605FA73" w14:textId="77777777" w:rsidR="00C162C6" w:rsidRPr="00736C15" w:rsidDel="00561A80" w:rsidRDefault="00C162C6" w:rsidP="00CA7F04">
            <w:pPr>
              <w:tabs>
                <w:tab w:val="right" w:pos="1202"/>
              </w:tabs>
              <w:jc w:val="right"/>
              <w:outlineLvl w:val="0"/>
              <w:rPr>
                <w:rFonts w:ascii="Arial" w:eastAsia="Calibri" w:hAnsi="Arial" w:cs="Arial"/>
                <w:color w:val="000000"/>
                <w:spacing w:val="-2"/>
                <w:sz w:val="17"/>
                <w:szCs w:val="17"/>
              </w:rPr>
            </w:pPr>
          </w:p>
        </w:tc>
      </w:tr>
      <w:tr w:rsidR="00C162C6" w:rsidRPr="00736C15" w14:paraId="3EEE96A2" w14:textId="77777777" w:rsidTr="00CA7F04">
        <w:trPr>
          <w:trHeight w:hRule="exact" w:val="227"/>
          <w:jc w:val="center"/>
        </w:trPr>
        <w:tc>
          <w:tcPr>
            <w:tcW w:w="3194" w:type="pct"/>
            <w:shd w:val="clear" w:color="auto" w:fill="auto"/>
            <w:vAlign w:val="bottom"/>
          </w:tcPr>
          <w:p w14:paraId="43686D1E" w14:textId="77777777" w:rsidR="00C162C6" w:rsidRPr="00736C15" w:rsidRDefault="00C162C6" w:rsidP="00CA7F04">
            <w:pPr>
              <w:tabs>
                <w:tab w:val="right" w:pos="1202"/>
              </w:tabs>
              <w:outlineLvl w:val="0"/>
              <w:rPr>
                <w:rFonts w:ascii="Arial" w:eastAsia="Calibri" w:hAnsi="Arial" w:cs="Arial"/>
                <w:color w:val="000000"/>
                <w:spacing w:val="-2"/>
                <w:sz w:val="17"/>
                <w:szCs w:val="17"/>
              </w:rPr>
            </w:pPr>
            <w:r w:rsidRPr="00736C15">
              <w:rPr>
                <w:rFonts w:ascii="Arial" w:eastAsia="Calibri" w:hAnsi="Arial" w:cs="Arial"/>
                <w:color w:val="000000"/>
                <w:spacing w:val="-2"/>
                <w:sz w:val="17"/>
                <w:szCs w:val="17"/>
              </w:rPr>
              <w:t>Obveznice Republike Hrvatske</w:t>
            </w:r>
          </w:p>
        </w:tc>
        <w:tc>
          <w:tcPr>
            <w:tcW w:w="555" w:type="pct"/>
            <w:tcBorders>
              <w:top w:val="nil"/>
              <w:left w:val="nil"/>
              <w:bottom w:val="nil"/>
              <w:right w:val="nil"/>
            </w:tcBorders>
            <w:shd w:val="clear" w:color="auto" w:fill="auto"/>
            <w:vAlign w:val="bottom"/>
          </w:tcPr>
          <w:p w14:paraId="182EF590" w14:textId="77777777" w:rsidR="00C162C6" w:rsidRPr="00736C15" w:rsidRDefault="00C162C6" w:rsidP="00CA7F04">
            <w:pPr>
              <w:tabs>
                <w:tab w:val="right" w:pos="1202"/>
              </w:tabs>
              <w:jc w:val="right"/>
              <w:outlineLvl w:val="0"/>
              <w:rPr>
                <w:rFonts w:ascii="Arial" w:eastAsia="Calibri" w:hAnsi="Arial" w:cs="Arial"/>
                <w:color w:val="000000"/>
                <w:spacing w:val="-2"/>
                <w:sz w:val="17"/>
                <w:szCs w:val="17"/>
              </w:rPr>
            </w:pPr>
            <w:r w:rsidRPr="00DF5C55">
              <w:rPr>
                <w:rFonts w:ascii="Arial" w:eastAsia="Calibri" w:hAnsi="Arial" w:cs="Arial"/>
                <w:color w:val="000000"/>
                <w:spacing w:val="-2"/>
                <w:sz w:val="17"/>
                <w:szCs w:val="17"/>
              </w:rPr>
              <w:t>185.225</w:t>
            </w:r>
          </w:p>
        </w:tc>
        <w:tc>
          <w:tcPr>
            <w:tcW w:w="644" w:type="pct"/>
            <w:tcBorders>
              <w:top w:val="nil"/>
              <w:left w:val="nil"/>
              <w:bottom w:val="nil"/>
              <w:right w:val="nil"/>
            </w:tcBorders>
            <w:shd w:val="clear" w:color="auto" w:fill="auto"/>
            <w:vAlign w:val="bottom"/>
          </w:tcPr>
          <w:p w14:paraId="5C8F4ABC" w14:textId="77777777" w:rsidR="00C162C6" w:rsidRPr="00586B14" w:rsidRDefault="00C162C6" w:rsidP="00CA7F04">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07" w:type="pct"/>
            <w:tcBorders>
              <w:top w:val="nil"/>
              <w:left w:val="nil"/>
              <w:bottom w:val="nil"/>
              <w:right w:val="nil"/>
            </w:tcBorders>
            <w:shd w:val="clear" w:color="auto" w:fill="auto"/>
            <w:vAlign w:val="bottom"/>
          </w:tcPr>
          <w:p w14:paraId="0032FBB2" w14:textId="77777777" w:rsidR="00C162C6" w:rsidRPr="00586B14" w:rsidRDefault="00C162C6" w:rsidP="00CA7F04">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C162C6" w:rsidRPr="00736C15" w14:paraId="00FB32EA" w14:textId="77777777" w:rsidTr="00CA7F04">
        <w:trPr>
          <w:trHeight w:hRule="exact" w:val="227"/>
          <w:jc w:val="center"/>
        </w:trPr>
        <w:tc>
          <w:tcPr>
            <w:tcW w:w="3194" w:type="pct"/>
            <w:shd w:val="clear" w:color="auto" w:fill="auto"/>
            <w:vAlign w:val="bottom"/>
          </w:tcPr>
          <w:p w14:paraId="62159CD1" w14:textId="77777777" w:rsidR="00C162C6" w:rsidRPr="00736C15" w:rsidRDefault="00C162C6" w:rsidP="00CA7F04">
            <w:pPr>
              <w:tabs>
                <w:tab w:val="right" w:pos="1202"/>
              </w:tabs>
              <w:outlineLvl w:val="0"/>
              <w:rPr>
                <w:rFonts w:ascii="Arial" w:eastAsia="Calibri" w:hAnsi="Arial" w:cs="Arial"/>
                <w:color w:val="000000"/>
                <w:spacing w:val="-2"/>
                <w:sz w:val="17"/>
                <w:szCs w:val="17"/>
              </w:rPr>
            </w:pPr>
            <w:r w:rsidRPr="00736C15">
              <w:rPr>
                <w:rFonts w:ascii="Arial" w:eastAsia="Calibri" w:hAnsi="Arial" w:cs="Arial"/>
                <w:color w:val="000000"/>
                <w:spacing w:val="-2"/>
                <w:sz w:val="17"/>
                <w:szCs w:val="17"/>
              </w:rPr>
              <w:t>Obveznice trgovačkih društava</w:t>
            </w:r>
          </w:p>
        </w:tc>
        <w:tc>
          <w:tcPr>
            <w:tcW w:w="555" w:type="pct"/>
            <w:tcBorders>
              <w:top w:val="nil"/>
              <w:left w:val="nil"/>
              <w:bottom w:val="nil"/>
              <w:right w:val="nil"/>
            </w:tcBorders>
            <w:shd w:val="clear" w:color="auto" w:fill="auto"/>
            <w:vAlign w:val="bottom"/>
          </w:tcPr>
          <w:p w14:paraId="722DEF97" w14:textId="77777777" w:rsidR="00C162C6" w:rsidRPr="00736C15" w:rsidRDefault="00C162C6" w:rsidP="00CA7F04">
            <w:pPr>
              <w:tabs>
                <w:tab w:val="right" w:pos="1202"/>
              </w:tabs>
              <w:jc w:val="right"/>
              <w:outlineLvl w:val="0"/>
              <w:rPr>
                <w:rFonts w:ascii="Arial" w:eastAsia="Calibri" w:hAnsi="Arial" w:cs="Arial"/>
                <w:color w:val="000000"/>
                <w:spacing w:val="-2"/>
                <w:sz w:val="17"/>
                <w:szCs w:val="17"/>
              </w:rPr>
            </w:pPr>
            <w:r w:rsidRPr="00DF5C55">
              <w:rPr>
                <w:rFonts w:ascii="Arial" w:eastAsia="Calibri" w:hAnsi="Arial" w:cs="Arial"/>
                <w:color w:val="000000"/>
                <w:spacing w:val="-2"/>
                <w:sz w:val="17"/>
                <w:szCs w:val="17"/>
              </w:rPr>
              <w:t>303</w:t>
            </w:r>
          </w:p>
        </w:tc>
        <w:tc>
          <w:tcPr>
            <w:tcW w:w="644" w:type="pct"/>
            <w:tcBorders>
              <w:top w:val="nil"/>
              <w:left w:val="nil"/>
              <w:bottom w:val="nil"/>
              <w:right w:val="nil"/>
            </w:tcBorders>
            <w:shd w:val="clear" w:color="auto" w:fill="auto"/>
            <w:vAlign w:val="bottom"/>
          </w:tcPr>
          <w:p w14:paraId="674D62BF" w14:textId="77777777" w:rsidR="00C162C6" w:rsidRPr="00586B14" w:rsidRDefault="00C162C6" w:rsidP="00CA7F04">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07" w:type="pct"/>
            <w:tcBorders>
              <w:top w:val="nil"/>
              <w:left w:val="nil"/>
              <w:bottom w:val="nil"/>
              <w:right w:val="nil"/>
            </w:tcBorders>
            <w:shd w:val="clear" w:color="auto" w:fill="auto"/>
            <w:vAlign w:val="bottom"/>
          </w:tcPr>
          <w:p w14:paraId="1ED232FF" w14:textId="77777777" w:rsidR="00C162C6" w:rsidRPr="00586B14" w:rsidRDefault="00C162C6" w:rsidP="00CA7F04">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C162C6" w:rsidRPr="00736C15" w14:paraId="558B93AB" w14:textId="77777777" w:rsidTr="00CA7F04">
        <w:trPr>
          <w:trHeight w:hRule="exact" w:val="227"/>
          <w:jc w:val="center"/>
        </w:trPr>
        <w:tc>
          <w:tcPr>
            <w:tcW w:w="3194" w:type="pct"/>
            <w:shd w:val="clear" w:color="auto" w:fill="auto"/>
            <w:vAlign w:val="bottom"/>
          </w:tcPr>
          <w:p w14:paraId="3FDCD90E" w14:textId="77777777" w:rsidR="00C162C6" w:rsidRPr="00736C15" w:rsidRDefault="00C162C6" w:rsidP="00CA7F04">
            <w:pPr>
              <w:tabs>
                <w:tab w:val="right" w:pos="1202"/>
              </w:tabs>
              <w:outlineLvl w:val="0"/>
              <w:rPr>
                <w:rFonts w:ascii="Arial" w:eastAsia="Calibri" w:hAnsi="Arial" w:cs="Arial"/>
                <w:color w:val="000000"/>
                <w:spacing w:val="-2"/>
                <w:sz w:val="17"/>
                <w:szCs w:val="17"/>
              </w:rPr>
            </w:pPr>
            <w:r w:rsidRPr="00736C15">
              <w:rPr>
                <w:rFonts w:ascii="Arial" w:eastAsia="Calibri" w:hAnsi="Arial" w:cs="Arial"/>
                <w:color w:val="000000"/>
                <w:spacing w:val="-2"/>
                <w:sz w:val="17"/>
                <w:szCs w:val="17"/>
              </w:rPr>
              <w:t>Trezorski zapisi Ministarstva financija</w:t>
            </w:r>
          </w:p>
        </w:tc>
        <w:tc>
          <w:tcPr>
            <w:tcW w:w="555" w:type="pct"/>
            <w:tcBorders>
              <w:top w:val="nil"/>
              <w:left w:val="nil"/>
              <w:bottom w:val="nil"/>
              <w:right w:val="nil"/>
            </w:tcBorders>
            <w:shd w:val="clear" w:color="auto" w:fill="auto"/>
            <w:vAlign w:val="bottom"/>
          </w:tcPr>
          <w:p w14:paraId="167FC1B6" w14:textId="77777777" w:rsidR="00C162C6" w:rsidRPr="00736C15" w:rsidRDefault="00C162C6" w:rsidP="00CA7F04">
            <w:pPr>
              <w:tabs>
                <w:tab w:val="right" w:pos="1202"/>
              </w:tabs>
              <w:jc w:val="right"/>
              <w:outlineLvl w:val="0"/>
              <w:rPr>
                <w:rFonts w:ascii="Arial" w:eastAsia="Calibri" w:hAnsi="Arial" w:cs="Arial"/>
                <w:color w:val="000000"/>
                <w:spacing w:val="-2"/>
                <w:sz w:val="17"/>
                <w:szCs w:val="17"/>
              </w:rPr>
            </w:pPr>
            <w:r w:rsidRPr="00DF5C55">
              <w:rPr>
                <w:rFonts w:ascii="Arial" w:eastAsia="Calibri" w:hAnsi="Arial" w:cs="Arial"/>
                <w:color w:val="000000"/>
                <w:spacing w:val="-2"/>
                <w:sz w:val="17"/>
                <w:szCs w:val="17"/>
              </w:rPr>
              <w:t>38.451</w:t>
            </w:r>
          </w:p>
        </w:tc>
        <w:tc>
          <w:tcPr>
            <w:tcW w:w="644" w:type="pct"/>
            <w:tcBorders>
              <w:top w:val="nil"/>
              <w:left w:val="nil"/>
              <w:bottom w:val="nil"/>
              <w:right w:val="nil"/>
            </w:tcBorders>
            <w:shd w:val="clear" w:color="auto" w:fill="auto"/>
            <w:vAlign w:val="bottom"/>
          </w:tcPr>
          <w:p w14:paraId="3E3716F8" w14:textId="77777777" w:rsidR="00C162C6" w:rsidRPr="00586B14" w:rsidRDefault="00C162C6" w:rsidP="00CA7F04">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07" w:type="pct"/>
            <w:tcBorders>
              <w:top w:val="nil"/>
              <w:left w:val="nil"/>
              <w:bottom w:val="nil"/>
              <w:right w:val="nil"/>
            </w:tcBorders>
            <w:shd w:val="clear" w:color="auto" w:fill="auto"/>
            <w:vAlign w:val="bottom"/>
          </w:tcPr>
          <w:p w14:paraId="6278F63E" w14:textId="77777777" w:rsidR="00C162C6" w:rsidRPr="00586B14" w:rsidRDefault="00C162C6" w:rsidP="00CA7F04">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C162C6" w:rsidRPr="00736C15" w14:paraId="0FBC507E" w14:textId="77777777" w:rsidTr="00CA7F04">
        <w:trPr>
          <w:trHeight w:hRule="exact" w:val="227"/>
          <w:jc w:val="center"/>
        </w:trPr>
        <w:tc>
          <w:tcPr>
            <w:tcW w:w="3194" w:type="pct"/>
            <w:shd w:val="clear" w:color="auto" w:fill="auto"/>
            <w:vAlign w:val="bottom"/>
          </w:tcPr>
          <w:p w14:paraId="66ACFD95" w14:textId="77777777" w:rsidR="00C162C6" w:rsidRPr="00736C15" w:rsidRDefault="00C162C6" w:rsidP="00CA7F04">
            <w:pPr>
              <w:tabs>
                <w:tab w:val="right" w:pos="1202"/>
              </w:tabs>
              <w:outlineLvl w:val="0"/>
              <w:rPr>
                <w:rFonts w:ascii="Arial" w:eastAsia="Calibri" w:hAnsi="Arial" w:cs="Arial"/>
                <w:color w:val="000000"/>
                <w:spacing w:val="-2"/>
                <w:sz w:val="17"/>
                <w:szCs w:val="17"/>
              </w:rPr>
            </w:pPr>
            <w:r w:rsidRPr="00736C15">
              <w:rPr>
                <w:rFonts w:ascii="Arial" w:eastAsia="Calibri" w:hAnsi="Arial" w:cs="Arial"/>
                <w:color w:val="000000"/>
                <w:spacing w:val="-2"/>
                <w:sz w:val="17"/>
                <w:szCs w:val="17"/>
              </w:rPr>
              <w:t xml:space="preserve">Obračunata kamata </w:t>
            </w:r>
          </w:p>
        </w:tc>
        <w:tc>
          <w:tcPr>
            <w:tcW w:w="555" w:type="pct"/>
            <w:tcBorders>
              <w:top w:val="nil"/>
              <w:left w:val="nil"/>
              <w:bottom w:val="nil"/>
              <w:right w:val="nil"/>
            </w:tcBorders>
            <w:shd w:val="clear" w:color="auto" w:fill="auto"/>
            <w:vAlign w:val="bottom"/>
          </w:tcPr>
          <w:p w14:paraId="15891DA4" w14:textId="77777777" w:rsidR="00C162C6" w:rsidRPr="00736C15" w:rsidRDefault="00C162C6" w:rsidP="00CA7F04">
            <w:pPr>
              <w:tabs>
                <w:tab w:val="right" w:pos="1202"/>
              </w:tabs>
              <w:jc w:val="right"/>
              <w:outlineLvl w:val="0"/>
              <w:rPr>
                <w:rFonts w:ascii="Arial" w:eastAsia="Calibri" w:hAnsi="Arial" w:cs="Arial"/>
                <w:color w:val="000000"/>
                <w:spacing w:val="-2"/>
                <w:sz w:val="17"/>
                <w:szCs w:val="17"/>
              </w:rPr>
            </w:pPr>
            <w:r w:rsidRPr="00DF5C55">
              <w:rPr>
                <w:rFonts w:ascii="Arial" w:eastAsia="Calibri" w:hAnsi="Arial" w:cs="Arial"/>
                <w:color w:val="000000"/>
                <w:spacing w:val="-2"/>
                <w:sz w:val="17"/>
                <w:szCs w:val="17"/>
              </w:rPr>
              <w:t>3.177</w:t>
            </w:r>
          </w:p>
        </w:tc>
        <w:tc>
          <w:tcPr>
            <w:tcW w:w="644" w:type="pct"/>
            <w:tcBorders>
              <w:top w:val="nil"/>
              <w:left w:val="nil"/>
              <w:bottom w:val="nil"/>
              <w:right w:val="nil"/>
            </w:tcBorders>
            <w:shd w:val="clear" w:color="auto" w:fill="auto"/>
            <w:vAlign w:val="bottom"/>
          </w:tcPr>
          <w:p w14:paraId="4842CE41" w14:textId="77777777" w:rsidR="00C162C6" w:rsidRPr="00586B14" w:rsidRDefault="00C162C6" w:rsidP="00CA7F04">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607" w:type="pct"/>
            <w:tcBorders>
              <w:top w:val="nil"/>
              <w:left w:val="nil"/>
              <w:bottom w:val="nil"/>
              <w:right w:val="nil"/>
            </w:tcBorders>
            <w:shd w:val="clear" w:color="auto" w:fill="auto"/>
            <w:vAlign w:val="bottom"/>
          </w:tcPr>
          <w:p w14:paraId="45EF7DDD" w14:textId="77777777" w:rsidR="00C162C6" w:rsidRPr="00586B14" w:rsidRDefault="00C162C6" w:rsidP="00CA7F04">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r>
      <w:tr w:rsidR="00C162C6" w:rsidRPr="00736C15" w14:paraId="21275A68" w14:textId="77777777" w:rsidTr="00CA7F04">
        <w:trPr>
          <w:trHeight w:hRule="exact" w:val="249"/>
          <w:jc w:val="center"/>
        </w:trPr>
        <w:tc>
          <w:tcPr>
            <w:tcW w:w="3194" w:type="pct"/>
            <w:shd w:val="clear" w:color="auto" w:fill="auto"/>
            <w:vAlign w:val="bottom"/>
          </w:tcPr>
          <w:p w14:paraId="4668B702" w14:textId="77777777" w:rsidR="00C162C6" w:rsidRPr="00736C15" w:rsidRDefault="00C162C6" w:rsidP="00CA7F04">
            <w:pPr>
              <w:tabs>
                <w:tab w:val="right" w:pos="1202"/>
              </w:tabs>
              <w:outlineLvl w:val="0"/>
              <w:rPr>
                <w:rFonts w:ascii="Arial" w:eastAsia="Calibri" w:hAnsi="Arial" w:cs="Arial"/>
                <w:b/>
                <w:i/>
                <w:color w:val="000000"/>
                <w:spacing w:val="-2"/>
                <w:sz w:val="17"/>
                <w:szCs w:val="17"/>
              </w:rPr>
            </w:pPr>
            <w:r w:rsidRPr="00736C15">
              <w:rPr>
                <w:rFonts w:ascii="Arial" w:eastAsia="Calibri" w:hAnsi="Arial" w:cs="Arial"/>
                <w:b/>
                <w:i/>
                <w:color w:val="000000"/>
                <w:spacing w:val="-2"/>
                <w:sz w:val="17"/>
                <w:szCs w:val="17"/>
              </w:rPr>
              <w:t>Dužnički vrijednosni papiri koji ne kotiraju:</w:t>
            </w:r>
          </w:p>
        </w:tc>
        <w:tc>
          <w:tcPr>
            <w:tcW w:w="555" w:type="pct"/>
            <w:tcBorders>
              <w:top w:val="nil"/>
              <w:left w:val="nil"/>
              <w:bottom w:val="nil"/>
              <w:right w:val="nil"/>
            </w:tcBorders>
            <w:shd w:val="clear" w:color="auto" w:fill="auto"/>
            <w:vAlign w:val="bottom"/>
          </w:tcPr>
          <w:p w14:paraId="3A419B46" w14:textId="77777777" w:rsidR="00C162C6" w:rsidRPr="00736C15" w:rsidRDefault="00C162C6" w:rsidP="00CA7F04">
            <w:pPr>
              <w:tabs>
                <w:tab w:val="right" w:pos="1202"/>
              </w:tabs>
              <w:jc w:val="right"/>
              <w:outlineLvl w:val="0"/>
              <w:rPr>
                <w:rFonts w:ascii="Arial" w:eastAsia="Calibri" w:hAnsi="Arial" w:cs="Arial"/>
                <w:color w:val="000000"/>
                <w:spacing w:val="-2"/>
                <w:sz w:val="17"/>
                <w:szCs w:val="17"/>
              </w:rPr>
            </w:pPr>
          </w:p>
        </w:tc>
        <w:tc>
          <w:tcPr>
            <w:tcW w:w="644" w:type="pct"/>
            <w:tcBorders>
              <w:top w:val="nil"/>
              <w:left w:val="nil"/>
              <w:bottom w:val="nil"/>
              <w:right w:val="nil"/>
            </w:tcBorders>
            <w:shd w:val="clear" w:color="auto" w:fill="auto"/>
            <w:vAlign w:val="bottom"/>
          </w:tcPr>
          <w:p w14:paraId="01EE9437" w14:textId="77777777" w:rsidR="00C162C6" w:rsidRPr="00736C15" w:rsidRDefault="00C162C6" w:rsidP="00CA7F04">
            <w:pPr>
              <w:tabs>
                <w:tab w:val="right" w:pos="1202"/>
              </w:tabs>
              <w:jc w:val="right"/>
              <w:outlineLvl w:val="0"/>
              <w:rPr>
                <w:rFonts w:ascii="Arial" w:eastAsia="Calibri" w:hAnsi="Arial" w:cs="Arial"/>
                <w:color w:val="000000"/>
                <w:spacing w:val="-2"/>
                <w:sz w:val="17"/>
                <w:szCs w:val="17"/>
              </w:rPr>
            </w:pPr>
          </w:p>
        </w:tc>
        <w:tc>
          <w:tcPr>
            <w:tcW w:w="607" w:type="pct"/>
            <w:tcBorders>
              <w:top w:val="nil"/>
              <w:left w:val="nil"/>
              <w:bottom w:val="nil"/>
              <w:right w:val="nil"/>
            </w:tcBorders>
            <w:shd w:val="clear" w:color="auto" w:fill="auto"/>
            <w:vAlign w:val="bottom"/>
          </w:tcPr>
          <w:p w14:paraId="38B8B5E8" w14:textId="77777777" w:rsidR="00C162C6" w:rsidRPr="00736C15" w:rsidRDefault="00C162C6" w:rsidP="00CA7F04">
            <w:pPr>
              <w:tabs>
                <w:tab w:val="right" w:pos="1202"/>
              </w:tabs>
              <w:jc w:val="right"/>
              <w:outlineLvl w:val="0"/>
              <w:rPr>
                <w:rFonts w:ascii="Arial" w:eastAsia="Calibri" w:hAnsi="Arial" w:cs="Arial"/>
                <w:color w:val="000000"/>
                <w:spacing w:val="-2"/>
                <w:sz w:val="17"/>
                <w:szCs w:val="17"/>
              </w:rPr>
            </w:pPr>
          </w:p>
        </w:tc>
      </w:tr>
      <w:tr w:rsidR="00C162C6" w:rsidRPr="00736C15" w14:paraId="0EBA01C6" w14:textId="77777777" w:rsidTr="00CA7F04">
        <w:trPr>
          <w:trHeight w:hRule="exact" w:val="227"/>
          <w:jc w:val="center"/>
        </w:trPr>
        <w:tc>
          <w:tcPr>
            <w:tcW w:w="3194" w:type="pct"/>
            <w:shd w:val="clear" w:color="auto" w:fill="auto"/>
            <w:vAlign w:val="bottom"/>
          </w:tcPr>
          <w:p w14:paraId="7DC3F915" w14:textId="77777777" w:rsidR="00C162C6" w:rsidRPr="00736C15" w:rsidRDefault="00C162C6" w:rsidP="00CA7F04">
            <w:pPr>
              <w:tabs>
                <w:tab w:val="right" w:pos="1202"/>
              </w:tabs>
              <w:outlineLvl w:val="0"/>
              <w:rPr>
                <w:rFonts w:ascii="Arial" w:eastAsia="Calibri" w:hAnsi="Arial" w:cs="Arial"/>
                <w:color w:val="000000"/>
                <w:spacing w:val="-2"/>
                <w:sz w:val="17"/>
                <w:szCs w:val="17"/>
              </w:rPr>
            </w:pPr>
            <w:r w:rsidRPr="00736C15">
              <w:rPr>
                <w:rFonts w:ascii="Arial" w:eastAsia="Calibri" w:hAnsi="Arial" w:cs="Arial"/>
                <w:color w:val="000000"/>
                <w:spacing w:val="-2"/>
                <w:sz w:val="17"/>
                <w:szCs w:val="17"/>
              </w:rPr>
              <w:t xml:space="preserve">Obveznice trgovačkih društava </w:t>
            </w:r>
          </w:p>
        </w:tc>
        <w:tc>
          <w:tcPr>
            <w:tcW w:w="555" w:type="pct"/>
            <w:tcBorders>
              <w:top w:val="nil"/>
              <w:left w:val="nil"/>
              <w:bottom w:val="nil"/>
              <w:right w:val="nil"/>
            </w:tcBorders>
            <w:shd w:val="clear" w:color="auto" w:fill="auto"/>
            <w:vAlign w:val="bottom"/>
          </w:tcPr>
          <w:p w14:paraId="62378866" w14:textId="77777777" w:rsidR="00C162C6" w:rsidRPr="00736C15" w:rsidRDefault="00C162C6" w:rsidP="00CA7F04">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bottom w:val="nil"/>
              <w:right w:val="nil"/>
            </w:tcBorders>
            <w:shd w:val="clear" w:color="auto" w:fill="auto"/>
            <w:vAlign w:val="bottom"/>
          </w:tcPr>
          <w:p w14:paraId="07788EF2" w14:textId="77777777" w:rsidR="00C162C6" w:rsidRPr="00736C15" w:rsidRDefault="00C162C6" w:rsidP="00CA7F04">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bottom w:val="nil"/>
              <w:right w:val="nil"/>
            </w:tcBorders>
            <w:shd w:val="clear" w:color="auto" w:fill="auto"/>
            <w:vAlign w:val="bottom"/>
          </w:tcPr>
          <w:p w14:paraId="37107DE1" w14:textId="77777777" w:rsidR="00C162C6" w:rsidRPr="00F959D0" w:rsidRDefault="00C162C6" w:rsidP="00CA7F04">
            <w:pPr>
              <w:tabs>
                <w:tab w:val="right" w:pos="1202"/>
              </w:tabs>
              <w:jc w:val="right"/>
              <w:outlineLvl w:val="0"/>
              <w:rPr>
                <w:rFonts w:ascii="Arial" w:eastAsia="Calibri" w:hAnsi="Arial" w:cs="Arial"/>
                <w:color w:val="000000"/>
                <w:sz w:val="17"/>
                <w:szCs w:val="17"/>
              </w:rPr>
            </w:pPr>
            <w:r w:rsidRPr="00DF5C55">
              <w:rPr>
                <w:rFonts w:ascii="Arial" w:eastAsia="Calibri" w:hAnsi="Arial" w:cs="Arial"/>
                <w:color w:val="000000"/>
                <w:sz w:val="17"/>
                <w:szCs w:val="17"/>
              </w:rPr>
              <w:t>81</w:t>
            </w:r>
          </w:p>
        </w:tc>
      </w:tr>
      <w:tr w:rsidR="00C162C6" w:rsidRPr="00736C15" w14:paraId="1E7EB70A" w14:textId="77777777" w:rsidTr="00CA7F04">
        <w:trPr>
          <w:trHeight w:hRule="exact" w:val="227"/>
          <w:jc w:val="center"/>
        </w:trPr>
        <w:tc>
          <w:tcPr>
            <w:tcW w:w="3194" w:type="pct"/>
            <w:shd w:val="clear" w:color="auto" w:fill="auto"/>
            <w:vAlign w:val="bottom"/>
          </w:tcPr>
          <w:p w14:paraId="10E2C506" w14:textId="77777777" w:rsidR="00C162C6" w:rsidRPr="00736C15" w:rsidRDefault="00C162C6" w:rsidP="00CA7F04">
            <w:pPr>
              <w:tabs>
                <w:tab w:val="right" w:pos="1202"/>
              </w:tabs>
              <w:outlineLvl w:val="0"/>
              <w:rPr>
                <w:rFonts w:ascii="Arial" w:eastAsia="Calibri" w:hAnsi="Arial" w:cs="Arial"/>
                <w:color w:val="000000"/>
                <w:spacing w:val="-2"/>
                <w:sz w:val="17"/>
                <w:szCs w:val="17"/>
              </w:rPr>
            </w:pPr>
            <w:r w:rsidRPr="00736C15">
              <w:rPr>
                <w:rFonts w:ascii="Arial" w:eastAsia="Calibri" w:hAnsi="Arial" w:cs="Arial"/>
                <w:color w:val="000000"/>
                <w:spacing w:val="-2"/>
                <w:sz w:val="17"/>
                <w:szCs w:val="17"/>
              </w:rPr>
              <w:t>Zamjenjive obveznice CB</w:t>
            </w:r>
          </w:p>
        </w:tc>
        <w:tc>
          <w:tcPr>
            <w:tcW w:w="555" w:type="pct"/>
            <w:tcBorders>
              <w:top w:val="nil"/>
              <w:left w:val="nil"/>
              <w:bottom w:val="nil"/>
              <w:right w:val="nil"/>
            </w:tcBorders>
            <w:shd w:val="clear" w:color="auto" w:fill="auto"/>
            <w:vAlign w:val="bottom"/>
          </w:tcPr>
          <w:p w14:paraId="66AD4494" w14:textId="77777777" w:rsidR="00C162C6" w:rsidRPr="00736C15" w:rsidRDefault="00C162C6" w:rsidP="00CA7F04">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bottom w:val="nil"/>
              <w:right w:val="nil"/>
            </w:tcBorders>
            <w:shd w:val="clear" w:color="auto" w:fill="auto"/>
            <w:vAlign w:val="bottom"/>
          </w:tcPr>
          <w:p w14:paraId="202CD3F5" w14:textId="77777777" w:rsidR="00C162C6" w:rsidRPr="00736C15" w:rsidRDefault="00C162C6" w:rsidP="00CA7F04">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bottom w:val="nil"/>
              <w:right w:val="nil"/>
            </w:tcBorders>
            <w:shd w:val="clear" w:color="auto" w:fill="auto"/>
            <w:vAlign w:val="bottom"/>
          </w:tcPr>
          <w:p w14:paraId="72CC30F2" w14:textId="77777777" w:rsidR="00C162C6" w:rsidRPr="00F959D0" w:rsidRDefault="00C162C6" w:rsidP="00CA7F04">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195</w:t>
            </w:r>
          </w:p>
        </w:tc>
      </w:tr>
      <w:tr w:rsidR="00C162C6" w:rsidRPr="00736C15" w14:paraId="20B570A7" w14:textId="77777777" w:rsidTr="00CA7F04">
        <w:trPr>
          <w:trHeight w:hRule="exact" w:val="227"/>
          <w:jc w:val="center"/>
        </w:trPr>
        <w:tc>
          <w:tcPr>
            <w:tcW w:w="3194" w:type="pct"/>
            <w:shd w:val="clear" w:color="auto" w:fill="auto"/>
            <w:vAlign w:val="bottom"/>
          </w:tcPr>
          <w:p w14:paraId="7E40CFAC" w14:textId="77777777" w:rsidR="00C162C6" w:rsidRPr="00736C15" w:rsidRDefault="00C162C6" w:rsidP="00CA7F04">
            <w:pPr>
              <w:tabs>
                <w:tab w:val="right" w:pos="1202"/>
              </w:tabs>
              <w:outlineLvl w:val="0"/>
              <w:rPr>
                <w:rFonts w:ascii="Arial" w:eastAsia="Calibri" w:hAnsi="Arial" w:cs="Arial"/>
                <w:color w:val="000000"/>
                <w:spacing w:val="-2"/>
                <w:sz w:val="17"/>
                <w:szCs w:val="17"/>
              </w:rPr>
            </w:pPr>
            <w:r w:rsidRPr="00736C15">
              <w:rPr>
                <w:rFonts w:ascii="Arial" w:eastAsia="Calibri" w:hAnsi="Arial" w:cs="Arial"/>
                <w:color w:val="000000"/>
                <w:spacing w:val="-2"/>
                <w:sz w:val="17"/>
                <w:szCs w:val="17"/>
              </w:rPr>
              <w:t>Obračunata kamata</w:t>
            </w:r>
          </w:p>
        </w:tc>
        <w:tc>
          <w:tcPr>
            <w:tcW w:w="555" w:type="pct"/>
            <w:tcBorders>
              <w:top w:val="nil"/>
              <w:left w:val="nil"/>
              <w:bottom w:val="nil"/>
              <w:right w:val="nil"/>
            </w:tcBorders>
            <w:shd w:val="clear" w:color="auto" w:fill="auto"/>
            <w:vAlign w:val="bottom"/>
          </w:tcPr>
          <w:p w14:paraId="176BFFE9" w14:textId="77777777" w:rsidR="00C162C6" w:rsidRPr="00736C15" w:rsidRDefault="00C162C6" w:rsidP="00CA7F04">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bottom w:val="nil"/>
              <w:right w:val="nil"/>
            </w:tcBorders>
            <w:shd w:val="clear" w:color="auto" w:fill="auto"/>
            <w:vAlign w:val="bottom"/>
          </w:tcPr>
          <w:p w14:paraId="25453C07" w14:textId="77777777" w:rsidR="00C162C6" w:rsidRPr="00736C15" w:rsidRDefault="00C162C6" w:rsidP="00CA7F04">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07" w:type="pct"/>
            <w:tcBorders>
              <w:top w:val="nil"/>
              <w:left w:val="nil"/>
              <w:bottom w:val="single" w:sz="4" w:space="0" w:color="auto"/>
              <w:right w:val="nil"/>
            </w:tcBorders>
            <w:shd w:val="clear" w:color="auto" w:fill="auto"/>
            <w:vAlign w:val="bottom"/>
          </w:tcPr>
          <w:p w14:paraId="6C1C9CBA" w14:textId="77777777" w:rsidR="00C162C6" w:rsidRPr="00F959D0" w:rsidRDefault="00C162C6" w:rsidP="00CA7F04">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2</w:t>
            </w:r>
          </w:p>
        </w:tc>
      </w:tr>
      <w:tr w:rsidR="00C162C6" w:rsidRPr="00736C15" w14:paraId="64ADFE8B" w14:textId="77777777" w:rsidTr="00CA7F04">
        <w:trPr>
          <w:trHeight w:val="259"/>
          <w:jc w:val="center"/>
        </w:trPr>
        <w:tc>
          <w:tcPr>
            <w:tcW w:w="3194" w:type="pct"/>
            <w:shd w:val="clear" w:color="auto" w:fill="auto"/>
            <w:vAlign w:val="bottom"/>
          </w:tcPr>
          <w:p w14:paraId="6BAF6B7D" w14:textId="77777777" w:rsidR="00C162C6" w:rsidRPr="00736C15" w:rsidRDefault="00C162C6" w:rsidP="00CA7F04">
            <w:pPr>
              <w:tabs>
                <w:tab w:val="right" w:pos="1202"/>
              </w:tabs>
              <w:outlineLvl w:val="0"/>
              <w:rPr>
                <w:rFonts w:ascii="Arial" w:eastAsia="Calibri" w:hAnsi="Arial" w:cs="Arial"/>
                <w:b/>
                <w:color w:val="000000"/>
                <w:spacing w:val="-2"/>
                <w:sz w:val="17"/>
                <w:szCs w:val="17"/>
              </w:rPr>
            </w:pPr>
            <w:r w:rsidRPr="00736C15">
              <w:rPr>
                <w:rFonts w:ascii="Arial" w:eastAsia="Calibri" w:hAnsi="Arial" w:cs="Arial"/>
                <w:b/>
                <w:color w:val="000000"/>
                <w:spacing w:val="-2"/>
                <w:sz w:val="17"/>
                <w:szCs w:val="17"/>
              </w:rPr>
              <w:t>Ukupno dužnički vrijednosni papiri</w:t>
            </w:r>
          </w:p>
        </w:tc>
        <w:tc>
          <w:tcPr>
            <w:tcW w:w="555" w:type="pct"/>
            <w:tcBorders>
              <w:top w:val="single" w:sz="4" w:space="0" w:color="auto"/>
              <w:left w:val="nil"/>
              <w:bottom w:val="single" w:sz="12" w:space="0" w:color="auto"/>
              <w:right w:val="nil"/>
            </w:tcBorders>
            <w:shd w:val="clear" w:color="auto" w:fill="auto"/>
            <w:vAlign w:val="bottom"/>
          </w:tcPr>
          <w:p w14:paraId="43BB9CC9" w14:textId="77777777" w:rsidR="00C162C6" w:rsidRPr="00736C15" w:rsidRDefault="00C162C6" w:rsidP="00CA7F04">
            <w:pPr>
              <w:tabs>
                <w:tab w:val="right" w:pos="1202"/>
              </w:tabs>
              <w:jc w:val="right"/>
              <w:outlineLvl w:val="0"/>
              <w:rPr>
                <w:rFonts w:ascii="Arial" w:eastAsia="Calibri" w:hAnsi="Arial" w:cs="Arial"/>
                <w:b/>
                <w:color w:val="000000"/>
                <w:spacing w:val="-2"/>
                <w:sz w:val="17"/>
                <w:szCs w:val="17"/>
                <w:lang w:eastAsia="hr-HR"/>
              </w:rPr>
            </w:pPr>
            <w:r w:rsidRPr="00DF5C55">
              <w:rPr>
                <w:rFonts w:ascii="Arial" w:eastAsia="Calibri" w:hAnsi="Arial" w:cs="Arial"/>
                <w:b/>
                <w:color w:val="000000"/>
                <w:spacing w:val="-2"/>
                <w:sz w:val="17"/>
                <w:szCs w:val="17"/>
                <w:lang w:eastAsia="hr-HR"/>
              </w:rPr>
              <w:t>227.156</w:t>
            </w:r>
          </w:p>
        </w:tc>
        <w:tc>
          <w:tcPr>
            <w:tcW w:w="644" w:type="pct"/>
            <w:tcBorders>
              <w:top w:val="single" w:sz="4" w:space="0" w:color="auto"/>
              <w:left w:val="nil"/>
              <w:bottom w:val="single" w:sz="12" w:space="0" w:color="auto"/>
              <w:right w:val="nil"/>
            </w:tcBorders>
            <w:shd w:val="clear" w:color="auto" w:fill="auto"/>
            <w:vAlign w:val="bottom"/>
          </w:tcPr>
          <w:p w14:paraId="0F7AA6F6" w14:textId="77777777" w:rsidR="00C162C6" w:rsidRPr="00736C15" w:rsidRDefault="00C162C6" w:rsidP="00CA7F04">
            <w:pPr>
              <w:tabs>
                <w:tab w:val="right" w:pos="1202"/>
              </w:tabs>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w:t>
            </w:r>
          </w:p>
        </w:tc>
        <w:tc>
          <w:tcPr>
            <w:tcW w:w="607" w:type="pct"/>
            <w:tcBorders>
              <w:top w:val="single" w:sz="4" w:space="0" w:color="auto"/>
              <w:left w:val="nil"/>
              <w:bottom w:val="single" w:sz="12" w:space="0" w:color="auto"/>
              <w:right w:val="nil"/>
            </w:tcBorders>
            <w:shd w:val="clear" w:color="auto" w:fill="auto"/>
            <w:vAlign w:val="bottom"/>
          </w:tcPr>
          <w:p w14:paraId="6F63D9F8" w14:textId="77777777" w:rsidR="00C162C6" w:rsidRPr="00736C15" w:rsidRDefault="00C162C6" w:rsidP="00CA7F04">
            <w:pPr>
              <w:tabs>
                <w:tab w:val="right" w:pos="1202"/>
              </w:tabs>
              <w:jc w:val="right"/>
              <w:outlineLvl w:val="0"/>
              <w:rPr>
                <w:rFonts w:ascii="Arial" w:eastAsia="Calibri" w:hAnsi="Arial" w:cs="Arial"/>
                <w:b/>
                <w:color w:val="000000"/>
                <w:spacing w:val="-2"/>
                <w:sz w:val="17"/>
                <w:szCs w:val="17"/>
                <w:lang w:eastAsia="hr-HR"/>
              </w:rPr>
            </w:pPr>
            <w:r>
              <w:rPr>
                <w:rFonts w:ascii="Arial" w:eastAsia="Calibri" w:hAnsi="Arial" w:cs="Arial"/>
                <w:b/>
                <w:color w:val="000000"/>
                <w:spacing w:val="-2"/>
                <w:sz w:val="17"/>
                <w:szCs w:val="17"/>
                <w:lang w:eastAsia="hr-HR"/>
              </w:rPr>
              <w:t>278</w:t>
            </w:r>
          </w:p>
        </w:tc>
      </w:tr>
      <w:tr w:rsidR="00C162C6" w:rsidRPr="00736C15" w14:paraId="61A9D0F7" w14:textId="77777777" w:rsidTr="00CA7F04">
        <w:trPr>
          <w:trHeight w:hRule="exact" w:val="257"/>
          <w:jc w:val="center"/>
        </w:trPr>
        <w:tc>
          <w:tcPr>
            <w:tcW w:w="3194" w:type="pct"/>
            <w:shd w:val="clear" w:color="auto" w:fill="auto"/>
            <w:vAlign w:val="bottom"/>
          </w:tcPr>
          <w:p w14:paraId="020B19A7" w14:textId="77777777" w:rsidR="00C162C6" w:rsidRPr="00736C15" w:rsidRDefault="00C162C6" w:rsidP="00CA7F04">
            <w:pPr>
              <w:tabs>
                <w:tab w:val="right" w:pos="1202"/>
              </w:tabs>
              <w:outlineLvl w:val="0"/>
              <w:rPr>
                <w:rFonts w:ascii="Arial" w:eastAsia="Calibri" w:hAnsi="Arial" w:cs="Arial"/>
                <w:b/>
                <w:i/>
                <w:color w:val="000000"/>
                <w:spacing w:val="-2"/>
                <w:sz w:val="17"/>
                <w:szCs w:val="17"/>
              </w:rPr>
            </w:pPr>
            <w:r w:rsidRPr="00736C15">
              <w:rPr>
                <w:rFonts w:ascii="Arial" w:eastAsia="Calibri" w:hAnsi="Arial" w:cs="Arial"/>
                <w:b/>
                <w:i/>
                <w:color w:val="000000"/>
                <w:spacing w:val="-2"/>
                <w:sz w:val="17"/>
                <w:szCs w:val="17"/>
              </w:rPr>
              <w:t>Vlasnički vrijednosni papiri koji ne kotiraju:</w:t>
            </w:r>
          </w:p>
        </w:tc>
        <w:tc>
          <w:tcPr>
            <w:tcW w:w="555" w:type="pct"/>
            <w:tcBorders>
              <w:top w:val="single" w:sz="12" w:space="0" w:color="auto"/>
            </w:tcBorders>
            <w:vAlign w:val="bottom"/>
          </w:tcPr>
          <w:p w14:paraId="7EE3D882" w14:textId="77777777" w:rsidR="00C162C6" w:rsidRPr="00736C15" w:rsidDel="00561A80" w:rsidRDefault="00C162C6" w:rsidP="00CA7F04">
            <w:pPr>
              <w:tabs>
                <w:tab w:val="right" w:pos="1202"/>
              </w:tabs>
              <w:jc w:val="right"/>
              <w:outlineLvl w:val="0"/>
              <w:rPr>
                <w:rFonts w:ascii="Arial" w:eastAsia="Calibri" w:hAnsi="Arial" w:cs="Arial"/>
                <w:color w:val="000000"/>
                <w:spacing w:val="-2"/>
                <w:sz w:val="17"/>
                <w:szCs w:val="17"/>
              </w:rPr>
            </w:pPr>
          </w:p>
        </w:tc>
        <w:tc>
          <w:tcPr>
            <w:tcW w:w="644" w:type="pct"/>
            <w:tcBorders>
              <w:top w:val="single" w:sz="12" w:space="0" w:color="auto"/>
            </w:tcBorders>
            <w:vAlign w:val="bottom"/>
          </w:tcPr>
          <w:p w14:paraId="05F5DFF4" w14:textId="77777777" w:rsidR="00C162C6" w:rsidRPr="00736C15" w:rsidDel="00561A80" w:rsidRDefault="00C162C6" w:rsidP="00CA7F04">
            <w:pPr>
              <w:tabs>
                <w:tab w:val="right" w:pos="1202"/>
              </w:tabs>
              <w:jc w:val="right"/>
              <w:outlineLvl w:val="0"/>
              <w:rPr>
                <w:rFonts w:ascii="Arial" w:eastAsia="Calibri" w:hAnsi="Arial" w:cs="Arial"/>
                <w:color w:val="000000"/>
                <w:spacing w:val="-2"/>
                <w:sz w:val="17"/>
                <w:szCs w:val="17"/>
              </w:rPr>
            </w:pPr>
          </w:p>
        </w:tc>
        <w:tc>
          <w:tcPr>
            <w:tcW w:w="607" w:type="pct"/>
            <w:tcBorders>
              <w:top w:val="single" w:sz="12" w:space="0" w:color="auto"/>
            </w:tcBorders>
            <w:vAlign w:val="bottom"/>
          </w:tcPr>
          <w:p w14:paraId="449D4D43" w14:textId="77777777" w:rsidR="00C162C6" w:rsidRPr="00736C15" w:rsidDel="00561A80" w:rsidRDefault="00C162C6" w:rsidP="00CA7F04">
            <w:pPr>
              <w:tabs>
                <w:tab w:val="right" w:pos="1202"/>
              </w:tabs>
              <w:jc w:val="right"/>
              <w:outlineLvl w:val="0"/>
              <w:rPr>
                <w:rFonts w:ascii="Arial" w:eastAsia="Calibri" w:hAnsi="Arial" w:cs="Arial"/>
                <w:color w:val="000000"/>
                <w:spacing w:val="-2"/>
                <w:sz w:val="17"/>
                <w:szCs w:val="17"/>
              </w:rPr>
            </w:pPr>
          </w:p>
        </w:tc>
      </w:tr>
      <w:tr w:rsidR="00C162C6" w:rsidRPr="00736C15" w14:paraId="7032E6D7" w14:textId="77777777" w:rsidTr="00CA7F04">
        <w:trPr>
          <w:trHeight w:hRule="exact" w:val="227"/>
          <w:jc w:val="center"/>
        </w:trPr>
        <w:tc>
          <w:tcPr>
            <w:tcW w:w="3194" w:type="pct"/>
            <w:shd w:val="clear" w:color="auto" w:fill="auto"/>
            <w:vAlign w:val="bottom"/>
          </w:tcPr>
          <w:p w14:paraId="4AC27476" w14:textId="77777777" w:rsidR="00C162C6" w:rsidRPr="00736C15" w:rsidRDefault="00C162C6" w:rsidP="00CA7F04">
            <w:pPr>
              <w:tabs>
                <w:tab w:val="right" w:pos="1202"/>
              </w:tabs>
              <w:outlineLvl w:val="0"/>
              <w:rPr>
                <w:rFonts w:ascii="Arial" w:eastAsia="Calibri" w:hAnsi="Arial" w:cs="Arial"/>
                <w:color w:val="000000"/>
                <w:sz w:val="17"/>
                <w:szCs w:val="17"/>
              </w:rPr>
            </w:pPr>
            <w:r w:rsidRPr="00736C15">
              <w:rPr>
                <w:rFonts w:ascii="Arial" w:eastAsia="Calibri" w:hAnsi="Arial" w:cs="Arial"/>
                <w:color w:val="000000"/>
                <w:sz w:val="17"/>
                <w:szCs w:val="17"/>
              </w:rPr>
              <w:t>Dionice inozemnih pravnih osoba - SWIFT</w:t>
            </w:r>
          </w:p>
        </w:tc>
        <w:tc>
          <w:tcPr>
            <w:tcW w:w="555" w:type="pct"/>
            <w:tcBorders>
              <w:top w:val="nil"/>
              <w:left w:val="nil"/>
              <w:bottom w:val="nil"/>
              <w:right w:val="nil"/>
            </w:tcBorders>
            <w:shd w:val="clear" w:color="auto" w:fill="auto"/>
            <w:vAlign w:val="bottom"/>
          </w:tcPr>
          <w:p w14:paraId="20FABFD1" w14:textId="77777777" w:rsidR="00C162C6" w:rsidRPr="00736C15" w:rsidRDefault="00C162C6" w:rsidP="00CA7F04">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bottom w:val="nil"/>
              <w:right w:val="nil"/>
            </w:tcBorders>
            <w:shd w:val="clear" w:color="auto" w:fill="auto"/>
            <w:vAlign w:val="bottom"/>
          </w:tcPr>
          <w:p w14:paraId="4E9D6C72" w14:textId="77777777" w:rsidR="00C162C6" w:rsidRPr="00736C15" w:rsidRDefault="00C162C6" w:rsidP="00CA7F04">
            <w:pPr>
              <w:tabs>
                <w:tab w:val="right" w:pos="1202"/>
              </w:tabs>
              <w:jc w:val="right"/>
              <w:outlineLvl w:val="0"/>
              <w:rPr>
                <w:rFonts w:ascii="Arial" w:eastAsia="Calibri" w:hAnsi="Arial" w:cs="Arial"/>
                <w:color w:val="000000"/>
                <w:sz w:val="17"/>
                <w:szCs w:val="17"/>
              </w:rPr>
            </w:pPr>
            <w:r w:rsidRPr="00AD7F10">
              <w:rPr>
                <w:rFonts w:ascii="Arial" w:eastAsia="Calibri" w:hAnsi="Arial" w:cs="Arial"/>
                <w:color w:val="000000"/>
                <w:sz w:val="17"/>
                <w:szCs w:val="17"/>
              </w:rPr>
              <w:t>8</w:t>
            </w:r>
          </w:p>
        </w:tc>
        <w:tc>
          <w:tcPr>
            <w:tcW w:w="607" w:type="pct"/>
            <w:tcBorders>
              <w:top w:val="nil"/>
              <w:left w:val="nil"/>
              <w:bottom w:val="nil"/>
              <w:right w:val="nil"/>
            </w:tcBorders>
            <w:shd w:val="clear" w:color="auto" w:fill="auto"/>
            <w:vAlign w:val="bottom"/>
          </w:tcPr>
          <w:p w14:paraId="0856421C" w14:textId="77777777" w:rsidR="00C162C6" w:rsidRPr="00736C15" w:rsidRDefault="00C162C6" w:rsidP="00CA7F04">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C162C6" w:rsidRPr="00736C15" w14:paraId="5CC1EADE" w14:textId="77777777" w:rsidTr="00CA7F04">
        <w:trPr>
          <w:trHeight w:hRule="exact" w:val="227"/>
          <w:jc w:val="center"/>
        </w:trPr>
        <w:tc>
          <w:tcPr>
            <w:tcW w:w="3194" w:type="pct"/>
            <w:shd w:val="clear" w:color="auto" w:fill="auto"/>
            <w:vAlign w:val="bottom"/>
          </w:tcPr>
          <w:p w14:paraId="6BCEA88F" w14:textId="77777777" w:rsidR="00C162C6" w:rsidRPr="00736C15" w:rsidRDefault="00C162C6" w:rsidP="00CA7F04">
            <w:pPr>
              <w:tabs>
                <w:tab w:val="right" w:pos="1202"/>
              </w:tabs>
              <w:outlineLvl w:val="0"/>
              <w:rPr>
                <w:rFonts w:ascii="Arial" w:eastAsia="Calibri" w:hAnsi="Arial" w:cs="Arial"/>
                <w:color w:val="000000"/>
                <w:sz w:val="17"/>
                <w:szCs w:val="17"/>
              </w:rPr>
            </w:pPr>
            <w:r w:rsidRPr="00736C15">
              <w:rPr>
                <w:rFonts w:ascii="Arial" w:eastAsia="Calibri" w:hAnsi="Arial" w:cs="Arial"/>
                <w:color w:val="000000"/>
                <w:sz w:val="17"/>
                <w:szCs w:val="17"/>
              </w:rPr>
              <w:t>Dionice inozemnih financijskih institucija – EIF</w:t>
            </w:r>
          </w:p>
        </w:tc>
        <w:tc>
          <w:tcPr>
            <w:tcW w:w="555" w:type="pct"/>
            <w:tcBorders>
              <w:top w:val="nil"/>
              <w:left w:val="nil"/>
              <w:bottom w:val="nil"/>
              <w:right w:val="nil"/>
            </w:tcBorders>
            <w:shd w:val="clear" w:color="auto" w:fill="auto"/>
            <w:vAlign w:val="bottom"/>
          </w:tcPr>
          <w:p w14:paraId="722569DC" w14:textId="77777777" w:rsidR="00C162C6" w:rsidRPr="00736C15" w:rsidRDefault="00C162C6" w:rsidP="00CA7F04">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644" w:type="pct"/>
            <w:tcBorders>
              <w:top w:val="nil"/>
              <w:left w:val="nil"/>
              <w:bottom w:val="nil"/>
              <w:right w:val="nil"/>
            </w:tcBorders>
            <w:shd w:val="clear" w:color="auto" w:fill="auto"/>
            <w:vAlign w:val="bottom"/>
          </w:tcPr>
          <w:p w14:paraId="205B1D20" w14:textId="77777777" w:rsidR="00C162C6" w:rsidRPr="00736C15" w:rsidRDefault="00C162C6" w:rsidP="00CA7F04">
            <w:pPr>
              <w:tabs>
                <w:tab w:val="right" w:pos="1202"/>
              </w:tabs>
              <w:jc w:val="right"/>
              <w:outlineLvl w:val="0"/>
              <w:rPr>
                <w:rFonts w:ascii="Arial" w:eastAsia="Calibri" w:hAnsi="Arial" w:cs="Arial"/>
                <w:color w:val="000000"/>
                <w:sz w:val="17"/>
                <w:szCs w:val="17"/>
              </w:rPr>
            </w:pPr>
            <w:r w:rsidRPr="00AD7F10">
              <w:rPr>
                <w:rFonts w:ascii="Arial" w:eastAsia="Calibri" w:hAnsi="Arial" w:cs="Arial"/>
                <w:color w:val="000000"/>
                <w:sz w:val="17"/>
                <w:szCs w:val="17"/>
              </w:rPr>
              <w:t>7.757</w:t>
            </w:r>
          </w:p>
        </w:tc>
        <w:tc>
          <w:tcPr>
            <w:tcW w:w="607" w:type="pct"/>
            <w:tcBorders>
              <w:top w:val="nil"/>
              <w:left w:val="nil"/>
              <w:bottom w:val="nil"/>
              <w:right w:val="nil"/>
            </w:tcBorders>
            <w:shd w:val="clear" w:color="auto" w:fill="auto"/>
            <w:vAlign w:val="bottom"/>
          </w:tcPr>
          <w:p w14:paraId="6279265F" w14:textId="77777777" w:rsidR="00C162C6" w:rsidRPr="00736C15" w:rsidRDefault="00C162C6" w:rsidP="00CA7F04">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C162C6" w:rsidRPr="00736C15" w14:paraId="4A7B312F" w14:textId="77777777" w:rsidTr="00CA7F04">
        <w:trPr>
          <w:trHeight w:hRule="exact" w:val="244"/>
          <w:jc w:val="center"/>
        </w:trPr>
        <w:tc>
          <w:tcPr>
            <w:tcW w:w="3194" w:type="pct"/>
            <w:shd w:val="clear" w:color="auto" w:fill="auto"/>
            <w:vAlign w:val="bottom"/>
          </w:tcPr>
          <w:p w14:paraId="165C371E" w14:textId="77777777" w:rsidR="00C162C6" w:rsidRPr="00736C15" w:rsidRDefault="00C162C6" w:rsidP="00CA7F04">
            <w:pPr>
              <w:tabs>
                <w:tab w:val="right" w:pos="1202"/>
              </w:tabs>
              <w:outlineLvl w:val="0"/>
              <w:rPr>
                <w:rFonts w:ascii="Arial" w:eastAsia="Calibri" w:hAnsi="Arial" w:cs="Arial"/>
                <w:b/>
                <w:color w:val="000000"/>
                <w:sz w:val="17"/>
                <w:szCs w:val="17"/>
              </w:rPr>
            </w:pPr>
            <w:r w:rsidRPr="00736C15">
              <w:rPr>
                <w:rFonts w:ascii="Arial" w:eastAsia="Calibri" w:hAnsi="Arial" w:cs="Arial"/>
                <w:b/>
                <w:color w:val="000000"/>
                <w:sz w:val="17"/>
                <w:szCs w:val="17"/>
              </w:rPr>
              <w:t>Ukupno vlasnički vrijednosni papiri</w:t>
            </w:r>
          </w:p>
        </w:tc>
        <w:tc>
          <w:tcPr>
            <w:tcW w:w="555" w:type="pct"/>
            <w:tcBorders>
              <w:top w:val="single" w:sz="4" w:space="0" w:color="auto"/>
              <w:left w:val="nil"/>
              <w:bottom w:val="single" w:sz="8" w:space="0" w:color="auto"/>
              <w:right w:val="nil"/>
            </w:tcBorders>
            <w:shd w:val="clear" w:color="auto" w:fill="auto"/>
            <w:vAlign w:val="bottom"/>
          </w:tcPr>
          <w:p w14:paraId="6ABB4606" w14:textId="77777777" w:rsidR="00C162C6" w:rsidRPr="00F959D0" w:rsidRDefault="00C162C6" w:rsidP="00CA7F04">
            <w:pPr>
              <w:tabs>
                <w:tab w:val="right" w:pos="1202"/>
              </w:tabs>
              <w:jc w:val="right"/>
              <w:outlineLvl w:val="0"/>
              <w:rPr>
                <w:rFonts w:ascii="Arial" w:eastAsia="Calibri" w:hAnsi="Arial" w:cs="Arial"/>
                <w:b/>
                <w:color w:val="000000"/>
                <w:spacing w:val="-2"/>
                <w:sz w:val="17"/>
                <w:szCs w:val="17"/>
                <w:lang w:eastAsia="hr-HR"/>
              </w:rPr>
            </w:pPr>
            <w:r w:rsidRPr="00AD7F10">
              <w:rPr>
                <w:rFonts w:ascii="Arial" w:eastAsia="Calibri" w:hAnsi="Arial" w:cs="Arial"/>
                <w:b/>
                <w:color w:val="000000"/>
                <w:spacing w:val="-2"/>
                <w:sz w:val="17"/>
                <w:szCs w:val="17"/>
                <w:lang w:eastAsia="hr-HR"/>
              </w:rPr>
              <w:t>-</w:t>
            </w:r>
          </w:p>
        </w:tc>
        <w:tc>
          <w:tcPr>
            <w:tcW w:w="644" w:type="pct"/>
            <w:tcBorders>
              <w:top w:val="single" w:sz="4" w:space="0" w:color="auto"/>
              <w:left w:val="nil"/>
              <w:bottom w:val="single" w:sz="8" w:space="0" w:color="auto"/>
              <w:right w:val="nil"/>
            </w:tcBorders>
            <w:shd w:val="clear" w:color="auto" w:fill="auto"/>
            <w:vAlign w:val="bottom"/>
          </w:tcPr>
          <w:p w14:paraId="2D7A4300" w14:textId="77777777" w:rsidR="00C162C6" w:rsidRPr="00F959D0" w:rsidRDefault="00C162C6" w:rsidP="00CA7F04">
            <w:pPr>
              <w:tabs>
                <w:tab w:val="right" w:pos="1202"/>
              </w:tabs>
              <w:jc w:val="right"/>
              <w:outlineLvl w:val="0"/>
              <w:rPr>
                <w:rFonts w:ascii="Arial" w:eastAsia="Calibri" w:hAnsi="Arial" w:cs="Arial"/>
                <w:b/>
                <w:color w:val="000000"/>
                <w:spacing w:val="-2"/>
                <w:sz w:val="17"/>
                <w:szCs w:val="17"/>
                <w:lang w:eastAsia="hr-HR"/>
              </w:rPr>
            </w:pPr>
            <w:r w:rsidRPr="00AD7F10">
              <w:rPr>
                <w:rFonts w:ascii="Arial" w:eastAsia="Calibri" w:hAnsi="Arial" w:cs="Arial"/>
                <w:b/>
                <w:color w:val="000000"/>
                <w:spacing w:val="-2"/>
                <w:sz w:val="17"/>
                <w:szCs w:val="17"/>
                <w:lang w:eastAsia="hr-HR"/>
              </w:rPr>
              <w:t>7.765</w:t>
            </w:r>
          </w:p>
        </w:tc>
        <w:tc>
          <w:tcPr>
            <w:tcW w:w="607" w:type="pct"/>
            <w:tcBorders>
              <w:top w:val="single" w:sz="4" w:space="0" w:color="auto"/>
              <w:left w:val="nil"/>
              <w:bottom w:val="single" w:sz="8" w:space="0" w:color="auto"/>
              <w:right w:val="nil"/>
            </w:tcBorders>
            <w:shd w:val="clear" w:color="auto" w:fill="auto"/>
            <w:vAlign w:val="bottom"/>
          </w:tcPr>
          <w:p w14:paraId="46692347" w14:textId="77777777" w:rsidR="00C162C6" w:rsidRPr="00F959D0" w:rsidRDefault="00C162C6" w:rsidP="00CA7F04">
            <w:pPr>
              <w:tabs>
                <w:tab w:val="right" w:pos="1202"/>
              </w:tabs>
              <w:jc w:val="right"/>
              <w:outlineLvl w:val="0"/>
              <w:rPr>
                <w:rFonts w:ascii="Arial" w:eastAsia="Calibri" w:hAnsi="Arial" w:cs="Arial"/>
                <w:b/>
                <w:color w:val="000000"/>
                <w:spacing w:val="-2"/>
                <w:sz w:val="17"/>
                <w:szCs w:val="17"/>
                <w:lang w:eastAsia="hr-HR"/>
              </w:rPr>
            </w:pPr>
            <w:r w:rsidRPr="00AD7F10">
              <w:rPr>
                <w:rFonts w:ascii="Arial" w:eastAsia="Calibri" w:hAnsi="Arial" w:cs="Arial"/>
                <w:b/>
                <w:color w:val="000000"/>
                <w:spacing w:val="-2"/>
                <w:sz w:val="17"/>
                <w:szCs w:val="17"/>
                <w:lang w:eastAsia="hr-HR"/>
              </w:rPr>
              <w:t>-</w:t>
            </w:r>
          </w:p>
        </w:tc>
      </w:tr>
      <w:tr w:rsidR="00C162C6" w:rsidRPr="00736C15" w14:paraId="20150B54" w14:textId="77777777" w:rsidTr="00CA7F04">
        <w:trPr>
          <w:trHeight w:hRule="exact" w:val="255"/>
          <w:jc w:val="center"/>
        </w:trPr>
        <w:tc>
          <w:tcPr>
            <w:tcW w:w="3194" w:type="pct"/>
            <w:shd w:val="clear" w:color="auto" w:fill="auto"/>
            <w:vAlign w:val="bottom"/>
          </w:tcPr>
          <w:p w14:paraId="731AC278" w14:textId="77777777" w:rsidR="00C162C6" w:rsidRPr="00DF5C55" w:rsidRDefault="00C162C6" w:rsidP="00CA7F04">
            <w:pPr>
              <w:tabs>
                <w:tab w:val="right" w:pos="1202"/>
              </w:tabs>
              <w:outlineLvl w:val="0"/>
              <w:rPr>
                <w:rFonts w:ascii="Arial" w:eastAsia="Calibri" w:hAnsi="Arial" w:cs="Arial"/>
                <w:b/>
                <w:color w:val="000000"/>
                <w:sz w:val="17"/>
                <w:szCs w:val="17"/>
              </w:rPr>
            </w:pPr>
            <w:r w:rsidRPr="00DF5C55">
              <w:rPr>
                <w:rFonts w:ascii="Arial" w:eastAsia="Calibri" w:hAnsi="Arial" w:cs="Arial"/>
                <w:b/>
                <w:color w:val="000000"/>
                <w:sz w:val="17"/>
                <w:szCs w:val="17"/>
              </w:rPr>
              <w:t>Ukupno imovina po fer vrijednosti kroz ostalu sveobuhvatnu dobit</w:t>
            </w:r>
          </w:p>
        </w:tc>
        <w:tc>
          <w:tcPr>
            <w:tcW w:w="555" w:type="pct"/>
            <w:tcBorders>
              <w:top w:val="single" w:sz="12" w:space="0" w:color="auto"/>
              <w:left w:val="nil"/>
              <w:bottom w:val="single" w:sz="12" w:space="0" w:color="auto"/>
              <w:right w:val="nil"/>
            </w:tcBorders>
            <w:shd w:val="clear" w:color="auto" w:fill="auto"/>
            <w:vAlign w:val="bottom"/>
          </w:tcPr>
          <w:p w14:paraId="64A37319" w14:textId="77777777" w:rsidR="00C162C6" w:rsidRPr="00736C15" w:rsidRDefault="00C162C6" w:rsidP="00CA7F04">
            <w:pPr>
              <w:tabs>
                <w:tab w:val="right" w:pos="1202"/>
              </w:tabs>
              <w:jc w:val="right"/>
              <w:outlineLvl w:val="0"/>
              <w:rPr>
                <w:rFonts w:ascii="Arial" w:eastAsia="Calibri" w:hAnsi="Arial" w:cs="Arial"/>
                <w:b/>
                <w:color w:val="000000"/>
                <w:spacing w:val="-2"/>
                <w:sz w:val="17"/>
                <w:szCs w:val="17"/>
                <w:lang w:eastAsia="hr-HR"/>
              </w:rPr>
            </w:pPr>
            <w:r w:rsidRPr="00DF5C55">
              <w:rPr>
                <w:rFonts w:ascii="Arial" w:eastAsia="Calibri" w:hAnsi="Arial" w:cs="Arial"/>
                <w:b/>
                <w:color w:val="000000"/>
                <w:spacing w:val="-2"/>
                <w:sz w:val="17"/>
                <w:szCs w:val="17"/>
                <w:lang w:eastAsia="hr-HR"/>
              </w:rPr>
              <w:t>227.156</w:t>
            </w:r>
          </w:p>
        </w:tc>
        <w:tc>
          <w:tcPr>
            <w:tcW w:w="644" w:type="pct"/>
            <w:tcBorders>
              <w:top w:val="single" w:sz="12" w:space="0" w:color="auto"/>
              <w:left w:val="nil"/>
              <w:bottom w:val="single" w:sz="12" w:space="0" w:color="auto"/>
              <w:right w:val="nil"/>
            </w:tcBorders>
            <w:shd w:val="clear" w:color="auto" w:fill="auto"/>
            <w:vAlign w:val="bottom"/>
          </w:tcPr>
          <w:p w14:paraId="6D836982" w14:textId="77777777" w:rsidR="00C162C6" w:rsidRPr="00736C15" w:rsidRDefault="00C162C6" w:rsidP="00CA7F04">
            <w:pPr>
              <w:tabs>
                <w:tab w:val="right" w:pos="1202"/>
              </w:tabs>
              <w:jc w:val="right"/>
              <w:outlineLvl w:val="0"/>
              <w:rPr>
                <w:rFonts w:ascii="Arial" w:eastAsia="Calibri" w:hAnsi="Arial" w:cs="Arial"/>
                <w:b/>
                <w:color w:val="000000"/>
                <w:spacing w:val="-2"/>
                <w:sz w:val="17"/>
                <w:szCs w:val="17"/>
                <w:lang w:eastAsia="hr-HR"/>
              </w:rPr>
            </w:pPr>
            <w:r w:rsidRPr="00DF5C55">
              <w:rPr>
                <w:rFonts w:ascii="Arial" w:eastAsia="Calibri" w:hAnsi="Arial" w:cs="Arial"/>
                <w:b/>
                <w:color w:val="000000"/>
                <w:spacing w:val="-2"/>
                <w:sz w:val="17"/>
                <w:szCs w:val="17"/>
                <w:lang w:eastAsia="hr-HR"/>
              </w:rPr>
              <w:t>7.765</w:t>
            </w:r>
          </w:p>
        </w:tc>
        <w:tc>
          <w:tcPr>
            <w:tcW w:w="607" w:type="pct"/>
            <w:tcBorders>
              <w:top w:val="single" w:sz="12" w:space="0" w:color="auto"/>
              <w:left w:val="nil"/>
              <w:bottom w:val="single" w:sz="12" w:space="0" w:color="auto"/>
              <w:right w:val="nil"/>
            </w:tcBorders>
            <w:shd w:val="clear" w:color="auto" w:fill="auto"/>
            <w:vAlign w:val="bottom"/>
          </w:tcPr>
          <w:p w14:paraId="6573A1DA" w14:textId="77777777" w:rsidR="00C162C6" w:rsidRPr="00736C15" w:rsidRDefault="00C162C6" w:rsidP="00CA7F04">
            <w:pPr>
              <w:tabs>
                <w:tab w:val="right" w:pos="1202"/>
              </w:tabs>
              <w:jc w:val="right"/>
              <w:outlineLvl w:val="0"/>
              <w:rPr>
                <w:rFonts w:ascii="Arial" w:eastAsia="Calibri" w:hAnsi="Arial" w:cs="Arial"/>
                <w:b/>
                <w:color w:val="000000"/>
                <w:spacing w:val="-2"/>
                <w:sz w:val="17"/>
                <w:szCs w:val="17"/>
                <w:lang w:eastAsia="hr-HR"/>
              </w:rPr>
            </w:pPr>
            <w:r w:rsidRPr="00DF5C55">
              <w:rPr>
                <w:rFonts w:ascii="Arial" w:eastAsia="Calibri" w:hAnsi="Arial" w:cs="Arial"/>
                <w:b/>
                <w:color w:val="000000"/>
                <w:spacing w:val="-2"/>
                <w:sz w:val="17"/>
                <w:szCs w:val="17"/>
                <w:lang w:eastAsia="hr-HR"/>
              </w:rPr>
              <w:t>278</w:t>
            </w:r>
          </w:p>
        </w:tc>
      </w:tr>
      <w:tr w:rsidR="00C162C6" w:rsidRPr="00736C15" w14:paraId="3AF3DBBC" w14:textId="77777777" w:rsidTr="00CA7F04">
        <w:trPr>
          <w:trHeight w:hRule="exact" w:val="255"/>
          <w:jc w:val="center"/>
        </w:trPr>
        <w:tc>
          <w:tcPr>
            <w:tcW w:w="3194" w:type="pct"/>
            <w:shd w:val="clear" w:color="auto" w:fill="auto"/>
            <w:vAlign w:val="bottom"/>
          </w:tcPr>
          <w:p w14:paraId="626054E7" w14:textId="77777777" w:rsidR="00C162C6" w:rsidRPr="00DF5C55" w:rsidRDefault="00C162C6" w:rsidP="00CA7F04">
            <w:pPr>
              <w:tabs>
                <w:tab w:val="right" w:pos="1202"/>
              </w:tabs>
              <w:outlineLvl w:val="0"/>
              <w:rPr>
                <w:rFonts w:ascii="Arial" w:eastAsia="Calibri" w:hAnsi="Arial" w:cs="Arial"/>
                <w:b/>
                <w:color w:val="000000"/>
                <w:sz w:val="17"/>
                <w:szCs w:val="17"/>
              </w:rPr>
            </w:pPr>
            <w:r w:rsidRPr="00F959D0">
              <w:rPr>
                <w:rFonts w:ascii="Arial" w:eastAsia="Calibri" w:hAnsi="Arial" w:cs="Arial"/>
                <w:b/>
                <w:color w:val="000000"/>
                <w:sz w:val="17"/>
                <w:szCs w:val="17"/>
              </w:rPr>
              <w:t>Derivativne financijske obveze</w:t>
            </w:r>
          </w:p>
        </w:tc>
        <w:tc>
          <w:tcPr>
            <w:tcW w:w="555" w:type="pct"/>
            <w:tcBorders>
              <w:top w:val="single" w:sz="12" w:space="0" w:color="auto"/>
              <w:left w:val="nil"/>
              <w:bottom w:val="single" w:sz="4" w:space="0" w:color="auto"/>
              <w:right w:val="nil"/>
            </w:tcBorders>
            <w:shd w:val="clear" w:color="auto" w:fill="auto"/>
            <w:vAlign w:val="bottom"/>
          </w:tcPr>
          <w:p w14:paraId="24A61562" w14:textId="77777777" w:rsidR="00C162C6" w:rsidRPr="00736C15" w:rsidRDefault="00C162C6" w:rsidP="00CA7F04">
            <w:pPr>
              <w:tabs>
                <w:tab w:val="right" w:pos="1202"/>
              </w:tabs>
              <w:jc w:val="right"/>
              <w:outlineLvl w:val="0"/>
              <w:rPr>
                <w:rFonts w:ascii="Arial" w:eastAsia="Calibri" w:hAnsi="Arial" w:cs="Arial"/>
                <w:b/>
                <w:color w:val="000000"/>
                <w:spacing w:val="-2"/>
                <w:sz w:val="17"/>
                <w:szCs w:val="17"/>
                <w:lang w:eastAsia="hr-HR"/>
              </w:rPr>
            </w:pPr>
          </w:p>
        </w:tc>
        <w:tc>
          <w:tcPr>
            <w:tcW w:w="644" w:type="pct"/>
            <w:tcBorders>
              <w:top w:val="single" w:sz="12" w:space="0" w:color="auto"/>
              <w:left w:val="nil"/>
              <w:bottom w:val="single" w:sz="4" w:space="0" w:color="auto"/>
              <w:right w:val="nil"/>
            </w:tcBorders>
            <w:shd w:val="clear" w:color="auto" w:fill="auto"/>
            <w:vAlign w:val="bottom"/>
          </w:tcPr>
          <w:p w14:paraId="128F26EC" w14:textId="77777777" w:rsidR="00C162C6" w:rsidRPr="00736C15" w:rsidRDefault="00C162C6" w:rsidP="00CA7F04">
            <w:pPr>
              <w:tabs>
                <w:tab w:val="right" w:pos="1202"/>
              </w:tabs>
              <w:jc w:val="right"/>
              <w:outlineLvl w:val="0"/>
              <w:rPr>
                <w:rFonts w:ascii="Arial" w:eastAsia="Calibri" w:hAnsi="Arial" w:cs="Arial"/>
                <w:b/>
                <w:color w:val="000000"/>
                <w:spacing w:val="-2"/>
                <w:sz w:val="17"/>
                <w:szCs w:val="17"/>
                <w:lang w:eastAsia="hr-HR"/>
              </w:rPr>
            </w:pPr>
          </w:p>
        </w:tc>
        <w:tc>
          <w:tcPr>
            <w:tcW w:w="607" w:type="pct"/>
            <w:tcBorders>
              <w:top w:val="single" w:sz="12" w:space="0" w:color="auto"/>
              <w:left w:val="nil"/>
              <w:bottom w:val="single" w:sz="4" w:space="0" w:color="auto"/>
              <w:right w:val="nil"/>
            </w:tcBorders>
            <w:shd w:val="clear" w:color="auto" w:fill="auto"/>
            <w:vAlign w:val="bottom"/>
          </w:tcPr>
          <w:p w14:paraId="18D4E8CE" w14:textId="77777777" w:rsidR="00C162C6" w:rsidRPr="00736C15" w:rsidRDefault="00C162C6" w:rsidP="00CA7F04">
            <w:pPr>
              <w:tabs>
                <w:tab w:val="right" w:pos="1202"/>
              </w:tabs>
              <w:jc w:val="right"/>
              <w:outlineLvl w:val="0"/>
              <w:rPr>
                <w:rFonts w:ascii="Arial" w:eastAsia="Calibri" w:hAnsi="Arial" w:cs="Arial"/>
                <w:b/>
                <w:color w:val="000000"/>
                <w:spacing w:val="-2"/>
                <w:sz w:val="17"/>
                <w:szCs w:val="17"/>
                <w:lang w:eastAsia="hr-HR"/>
              </w:rPr>
            </w:pPr>
          </w:p>
        </w:tc>
      </w:tr>
      <w:tr w:rsidR="00C162C6" w:rsidRPr="00736C15" w14:paraId="1766C871" w14:textId="77777777" w:rsidTr="00CA7F04">
        <w:trPr>
          <w:trHeight w:hRule="exact" w:val="255"/>
          <w:jc w:val="center"/>
        </w:trPr>
        <w:tc>
          <w:tcPr>
            <w:tcW w:w="3194" w:type="pct"/>
            <w:shd w:val="clear" w:color="auto" w:fill="auto"/>
            <w:vAlign w:val="bottom"/>
          </w:tcPr>
          <w:p w14:paraId="38419E47" w14:textId="77777777" w:rsidR="00C162C6" w:rsidRPr="00DF5C55" w:rsidRDefault="00C162C6" w:rsidP="00CA7F04">
            <w:pPr>
              <w:tabs>
                <w:tab w:val="right" w:pos="1202"/>
              </w:tabs>
              <w:outlineLvl w:val="0"/>
              <w:rPr>
                <w:rFonts w:ascii="Arial" w:eastAsia="Calibri" w:hAnsi="Arial" w:cs="Arial"/>
                <w:b/>
                <w:color w:val="000000"/>
                <w:sz w:val="17"/>
                <w:szCs w:val="17"/>
              </w:rPr>
            </w:pPr>
            <w:r w:rsidRPr="00F959D0">
              <w:rPr>
                <w:rFonts w:ascii="Arial" w:eastAsia="Calibri" w:hAnsi="Arial" w:cs="Arial"/>
                <w:bCs/>
                <w:color w:val="000000"/>
                <w:sz w:val="17"/>
                <w:szCs w:val="17"/>
              </w:rPr>
              <w:t xml:space="preserve">FX </w:t>
            </w:r>
            <w:proofErr w:type="spellStart"/>
            <w:r w:rsidRPr="00F959D0">
              <w:rPr>
                <w:rFonts w:ascii="Arial" w:eastAsia="Calibri" w:hAnsi="Arial" w:cs="Arial"/>
                <w:bCs/>
                <w:color w:val="000000"/>
                <w:sz w:val="17"/>
                <w:szCs w:val="17"/>
              </w:rPr>
              <w:t>swap</w:t>
            </w:r>
            <w:proofErr w:type="spellEnd"/>
          </w:p>
        </w:tc>
        <w:tc>
          <w:tcPr>
            <w:tcW w:w="555" w:type="pct"/>
            <w:tcBorders>
              <w:top w:val="single" w:sz="4" w:space="0" w:color="auto"/>
              <w:left w:val="nil"/>
              <w:bottom w:val="single" w:sz="12" w:space="0" w:color="auto"/>
              <w:right w:val="nil"/>
            </w:tcBorders>
            <w:shd w:val="clear" w:color="auto" w:fill="auto"/>
            <w:vAlign w:val="bottom"/>
          </w:tcPr>
          <w:p w14:paraId="4861E19C" w14:textId="77777777" w:rsidR="00C162C6" w:rsidRPr="00736C15" w:rsidRDefault="00C162C6" w:rsidP="00CA7F04">
            <w:pPr>
              <w:tabs>
                <w:tab w:val="right" w:pos="1202"/>
              </w:tabs>
              <w:jc w:val="right"/>
              <w:outlineLvl w:val="0"/>
              <w:rPr>
                <w:rFonts w:ascii="Arial" w:eastAsia="Calibri" w:hAnsi="Arial" w:cs="Arial"/>
                <w:b/>
                <w:color w:val="000000"/>
                <w:spacing w:val="-2"/>
                <w:sz w:val="17"/>
                <w:szCs w:val="17"/>
                <w:lang w:eastAsia="hr-HR"/>
              </w:rPr>
            </w:pPr>
            <w:r w:rsidRPr="00671A0D">
              <w:rPr>
                <w:rFonts w:ascii="Arial" w:eastAsia="Calibri" w:hAnsi="Arial" w:cs="Arial"/>
                <w:b/>
                <w:color w:val="000000"/>
                <w:spacing w:val="-2"/>
                <w:sz w:val="17"/>
                <w:szCs w:val="17"/>
                <w:lang w:eastAsia="hr-HR"/>
              </w:rPr>
              <w:t>-</w:t>
            </w:r>
          </w:p>
        </w:tc>
        <w:tc>
          <w:tcPr>
            <w:tcW w:w="644" w:type="pct"/>
            <w:tcBorders>
              <w:top w:val="single" w:sz="4" w:space="0" w:color="auto"/>
              <w:left w:val="nil"/>
              <w:bottom w:val="single" w:sz="12" w:space="0" w:color="auto"/>
              <w:right w:val="nil"/>
            </w:tcBorders>
            <w:shd w:val="clear" w:color="auto" w:fill="auto"/>
            <w:vAlign w:val="bottom"/>
          </w:tcPr>
          <w:p w14:paraId="6E18F303" w14:textId="77777777" w:rsidR="00C162C6" w:rsidRPr="00736C15" w:rsidRDefault="00C162C6" w:rsidP="00CA7F04">
            <w:pPr>
              <w:tabs>
                <w:tab w:val="right" w:pos="1202"/>
              </w:tabs>
              <w:jc w:val="right"/>
              <w:outlineLvl w:val="0"/>
              <w:rPr>
                <w:rFonts w:ascii="Arial" w:eastAsia="Calibri" w:hAnsi="Arial" w:cs="Arial"/>
                <w:b/>
                <w:color w:val="000000"/>
                <w:spacing w:val="-2"/>
                <w:sz w:val="17"/>
                <w:szCs w:val="17"/>
                <w:lang w:eastAsia="hr-HR"/>
              </w:rPr>
            </w:pPr>
            <w:r w:rsidRPr="00671A0D">
              <w:rPr>
                <w:rFonts w:ascii="Arial" w:eastAsia="Calibri" w:hAnsi="Arial" w:cs="Arial"/>
                <w:b/>
                <w:color w:val="000000"/>
                <w:spacing w:val="-2"/>
                <w:sz w:val="17"/>
                <w:szCs w:val="17"/>
                <w:lang w:eastAsia="hr-HR"/>
              </w:rPr>
              <w:t>100</w:t>
            </w:r>
          </w:p>
        </w:tc>
        <w:tc>
          <w:tcPr>
            <w:tcW w:w="607" w:type="pct"/>
            <w:tcBorders>
              <w:top w:val="single" w:sz="4" w:space="0" w:color="auto"/>
              <w:left w:val="nil"/>
              <w:bottom w:val="single" w:sz="12" w:space="0" w:color="auto"/>
              <w:right w:val="nil"/>
            </w:tcBorders>
            <w:shd w:val="clear" w:color="auto" w:fill="auto"/>
            <w:vAlign w:val="bottom"/>
          </w:tcPr>
          <w:p w14:paraId="4E2FB605" w14:textId="77777777" w:rsidR="00C162C6" w:rsidRPr="00736C15" w:rsidRDefault="00C162C6" w:rsidP="00CA7F04">
            <w:pPr>
              <w:tabs>
                <w:tab w:val="right" w:pos="1202"/>
              </w:tabs>
              <w:jc w:val="right"/>
              <w:outlineLvl w:val="0"/>
              <w:rPr>
                <w:rFonts w:ascii="Arial" w:eastAsia="Calibri" w:hAnsi="Arial" w:cs="Arial"/>
                <w:b/>
                <w:color w:val="000000"/>
                <w:spacing w:val="-2"/>
                <w:sz w:val="17"/>
                <w:szCs w:val="17"/>
                <w:lang w:eastAsia="hr-HR"/>
              </w:rPr>
            </w:pPr>
            <w:r w:rsidRPr="00671A0D">
              <w:rPr>
                <w:rFonts w:ascii="Arial" w:eastAsia="Calibri" w:hAnsi="Arial" w:cs="Arial"/>
                <w:b/>
                <w:color w:val="000000"/>
                <w:spacing w:val="-2"/>
                <w:sz w:val="17"/>
                <w:szCs w:val="17"/>
                <w:lang w:eastAsia="hr-HR"/>
              </w:rPr>
              <w:t>-</w:t>
            </w:r>
          </w:p>
        </w:tc>
      </w:tr>
      <w:tr w:rsidR="00C162C6" w:rsidRPr="00736C15" w14:paraId="4BFDE694" w14:textId="77777777" w:rsidTr="00CA7F04">
        <w:trPr>
          <w:trHeight w:hRule="exact" w:val="255"/>
          <w:jc w:val="center"/>
        </w:trPr>
        <w:tc>
          <w:tcPr>
            <w:tcW w:w="3194" w:type="pct"/>
            <w:shd w:val="clear" w:color="auto" w:fill="auto"/>
            <w:vAlign w:val="bottom"/>
          </w:tcPr>
          <w:p w14:paraId="5D245CBC" w14:textId="77777777" w:rsidR="00C162C6" w:rsidRPr="00DF5C55" w:rsidRDefault="00C162C6" w:rsidP="00CA7F04">
            <w:pPr>
              <w:tabs>
                <w:tab w:val="right" w:pos="1202"/>
              </w:tabs>
              <w:outlineLvl w:val="0"/>
              <w:rPr>
                <w:rFonts w:ascii="Arial" w:eastAsia="Calibri" w:hAnsi="Arial" w:cs="Arial"/>
                <w:b/>
                <w:color w:val="000000"/>
                <w:sz w:val="17"/>
                <w:szCs w:val="17"/>
              </w:rPr>
            </w:pPr>
            <w:r w:rsidRPr="00F959D0">
              <w:rPr>
                <w:rFonts w:ascii="Arial" w:eastAsia="Calibri" w:hAnsi="Arial" w:cs="Arial"/>
                <w:b/>
                <w:color w:val="000000"/>
                <w:sz w:val="17"/>
                <w:szCs w:val="17"/>
              </w:rPr>
              <w:t>Ukupno obveze</w:t>
            </w:r>
          </w:p>
        </w:tc>
        <w:tc>
          <w:tcPr>
            <w:tcW w:w="555" w:type="pct"/>
            <w:tcBorders>
              <w:top w:val="single" w:sz="12" w:space="0" w:color="auto"/>
              <w:left w:val="nil"/>
              <w:bottom w:val="single" w:sz="12" w:space="0" w:color="auto"/>
              <w:right w:val="nil"/>
            </w:tcBorders>
            <w:shd w:val="clear" w:color="auto" w:fill="auto"/>
            <w:vAlign w:val="bottom"/>
          </w:tcPr>
          <w:p w14:paraId="57066F4A" w14:textId="77777777" w:rsidR="00C162C6" w:rsidRPr="00736C15" w:rsidRDefault="00C162C6" w:rsidP="00CA7F04">
            <w:pPr>
              <w:tabs>
                <w:tab w:val="right" w:pos="1202"/>
              </w:tabs>
              <w:jc w:val="right"/>
              <w:outlineLvl w:val="0"/>
              <w:rPr>
                <w:rFonts w:ascii="Arial" w:eastAsia="Calibri" w:hAnsi="Arial" w:cs="Arial"/>
                <w:b/>
                <w:color w:val="000000"/>
                <w:spacing w:val="-2"/>
                <w:sz w:val="17"/>
                <w:szCs w:val="17"/>
                <w:lang w:eastAsia="hr-HR"/>
              </w:rPr>
            </w:pPr>
            <w:r w:rsidRPr="00671A0D">
              <w:rPr>
                <w:rFonts w:ascii="Arial" w:eastAsia="Calibri" w:hAnsi="Arial" w:cs="Arial"/>
                <w:b/>
                <w:color w:val="000000"/>
                <w:spacing w:val="-2"/>
                <w:sz w:val="17"/>
                <w:szCs w:val="17"/>
                <w:lang w:eastAsia="hr-HR"/>
              </w:rPr>
              <w:t>-</w:t>
            </w:r>
          </w:p>
        </w:tc>
        <w:tc>
          <w:tcPr>
            <w:tcW w:w="644" w:type="pct"/>
            <w:tcBorders>
              <w:top w:val="single" w:sz="12" w:space="0" w:color="auto"/>
              <w:left w:val="nil"/>
              <w:bottom w:val="single" w:sz="12" w:space="0" w:color="auto"/>
              <w:right w:val="nil"/>
            </w:tcBorders>
            <w:shd w:val="clear" w:color="auto" w:fill="auto"/>
            <w:vAlign w:val="bottom"/>
          </w:tcPr>
          <w:p w14:paraId="2CE83F4D" w14:textId="77777777" w:rsidR="00C162C6" w:rsidRPr="00736C15" w:rsidRDefault="00C162C6" w:rsidP="00CA7F04">
            <w:pPr>
              <w:tabs>
                <w:tab w:val="right" w:pos="1202"/>
              </w:tabs>
              <w:jc w:val="right"/>
              <w:outlineLvl w:val="0"/>
              <w:rPr>
                <w:rFonts w:ascii="Arial" w:eastAsia="Calibri" w:hAnsi="Arial" w:cs="Arial"/>
                <w:b/>
                <w:color w:val="000000"/>
                <w:spacing w:val="-2"/>
                <w:sz w:val="17"/>
                <w:szCs w:val="17"/>
                <w:lang w:eastAsia="hr-HR"/>
              </w:rPr>
            </w:pPr>
            <w:r w:rsidRPr="00671A0D">
              <w:rPr>
                <w:rFonts w:ascii="Arial" w:eastAsia="Calibri" w:hAnsi="Arial" w:cs="Arial"/>
                <w:b/>
                <w:color w:val="000000"/>
                <w:spacing w:val="-2"/>
                <w:sz w:val="17"/>
                <w:szCs w:val="17"/>
                <w:lang w:eastAsia="hr-HR"/>
              </w:rPr>
              <w:t>100</w:t>
            </w:r>
          </w:p>
        </w:tc>
        <w:tc>
          <w:tcPr>
            <w:tcW w:w="607" w:type="pct"/>
            <w:tcBorders>
              <w:top w:val="single" w:sz="12" w:space="0" w:color="auto"/>
              <w:left w:val="nil"/>
              <w:bottom w:val="single" w:sz="12" w:space="0" w:color="auto"/>
              <w:right w:val="nil"/>
            </w:tcBorders>
            <w:shd w:val="clear" w:color="auto" w:fill="auto"/>
            <w:vAlign w:val="bottom"/>
          </w:tcPr>
          <w:p w14:paraId="64D14982" w14:textId="77777777" w:rsidR="00C162C6" w:rsidRPr="00736C15" w:rsidRDefault="00C162C6" w:rsidP="00CA7F04">
            <w:pPr>
              <w:tabs>
                <w:tab w:val="right" w:pos="1202"/>
              </w:tabs>
              <w:jc w:val="right"/>
              <w:outlineLvl w:val="0"/>
              <w:rPr>
                <w:rFonts w:ascii="Arial" w:eastAsia="Calibri" w:hAnsi="Arial" w:cs="Arial"/>
                <w:b/>
                <w:color w:val="000000"/>
                <w:spacing w:val="-2"/>
                <w:sz w:val="17"/>
                <w:szCs w:val="17"/>
                <w:lang w:eastAsia="hr-HR"/>
              </w:rPr>
            </w:pPr>
            <w:r w:rsidRPr="00671A0D">
              <w:rPr>
                <w:rFonts w:ascii="Arial" w:eastAsia="Calibri" w:hAnsi="Arial" w:cs="Arial"/>
                <w:b/>
                <w:color w:val="000000"/>
                <w:spacing w:val="-2"/>
                <w:sz w:val="17"/>
                <w:szCs w:val="17"/>
                <w:lang w:eastAsia="hr-HR"/>
              </w:rPr>
              <w:t>-</w:t>
            </w:r>
          </w:p>
        </w:tc>
      </w:tr>
    </w:tbl>
    <w:p w14:paraId="362ED3BF" w14:textId="77777777" w:rsidR="00BD775D" w:rsidRPr="003D1614" w:rsidRDefault="00BD775D" w:rsidP="00BD775D">
      <w:pPr>
        <w:tabs>
          <w:tab w:val="right" w:pos="1202"/>
        </w:tabs>
        <w:suppressAutoHyphens/>
        <w:autoSpaceDN w:val="0"/>
        <w:jc w:val="both"/>
        <w:outlineLvl w:val="0"/>
        <w:rPr>
          <w:rFonts w:ascii="Arial" w:eastAsia="Times New Roman" w:hAnsi="Arial" w:cs="Arial"/>
          <w:i/>
          <w:color w:val="000000" w:themeColor="text1"/>
          <w:sz w:val="18"/>
          <w:szCs w:val="18"/>
        </w:rPr>
      </w:pPr>
    </w:p>
    <w:p w14:paraId="3D7E0D45" w14:textId="77777777" w:rsidR="00BD775D" w:rsidRPr="003D1614" w:rsidRDefault="00BD775D" w:rsidP="00BD775D">
      <w:pPr>
        <w:tabs>
          <w:tab w:val="right" w:pos="1202"/>
        </w:tabs>
        <w:suppressAutoHyphens/>
        <w:autoSpaceDN w:val="0"/>
        <w:jc w:val="both"/>
        <w:outlineLvl w:val="0"/>
        <w:rPr>
          <w:rFonts w:ascii="Arial" w:eastAsia="Times New Roman" w:hAnsi="Arial" w:cs="Arial"/>
          <w:i/>
          <w:color w:val="000000" w:themeColor="text1"/>
          <w:sz w:val="18"/>
          <w:szCs w:val="18"/>
        </w:rPr>
      </w:pPr>
    </w:p>
    <w:p w14:paraId="6A744FC5" w14:textId="77777777" w:rsidR="00BD775D" w:rsidRDefault="00BD775D" w:rsidP="00F208CA">
      <w:pPr>
        <w:rPr>
          <w:rFonts w:ascii="Arial" w:eastAsia="Times New Roman" w:hAnsi="Arial" w:cs="Arial"/>
          <w:sz w:val="18"/>
          <w:szCs w:val="18"/>
        </w:rPr>
        <w:sectPr w:rsidR="00BD775D" w:rsidSect="003278AB">
          <w:pgSz w:w="11906" w:h="16838"/>
          <w:pgMar w:top="1417" w:right="1417" w:bottom="1417" w:left="1417" w:header="708" w:footer="708" w:gutter="0"/>
          <w:cols w:space="708"/>
          <w:docGrid w:linePitch="360"/>
        </w:sectPr>
      </w:pPr>
    </w:p>
    <w:p w14:paraId="772703C6" w14:textId="77777777" w:rsidR="00F208CA" w:rsidRDefault="00F208CA" w:rsidP="00F208CA">
      <w:pPr>
        <w:rPr>
          <w:rFonts w:ascii="Arial" w:eastAsia="Times New Roman" w:hAnsi="Arial" w:cs="Arial"/>
          <w:sz w:val="18"/>
          <w:szCs w:val="18"/>
        </w:rPr>
      </w:pPr>
    </w:p>
    <w:p w14:paraId="77A32D7E" w14:textId="77777777" w:rsidR="00E071AF" w:rsidRPr="003D1614" w:rsidRDefault="00E071AF" w:rsidP="00E071AF">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 </w:t>
      </w:r>
      <w:r w:rsidRPr="003D1614">
        <w:rPr>
          <w:rFonts w:ascii="Arial" w:eastAsia="Times New Roman" w:hAnsi="Arial" w:cs="Arial"/>
          <w:b/>
          <w:bCs/>
          <w:color w:val="000000" w:themeColor="text1"/>
          <w:spacing w:val="-3"/>
          <w:sz w:val="20"/>
          <w:szCs w:val="20"/>
        </w:rPr>
        <w:tab/>
        <w:t>Fer vrijednost financijske imovine i financijskih obveza (nastavak)</w:t>
      </w:r>
    </w:p>
    <w:p w14:paraId="4A153B5A" w14:textId="77777777" w:rsidR="00E071AF" w:rsidRPr="003D1614" w:rsidRDefault="00E071AF" w:rsidP="00E071AF">
      <w:pPr>
        <w:keepNext/>
        <w:suppressAutoHyphens/>
        <w:autoSpaceDN w:val="0"/>
        <w:ind w:left="709" w:hanging="709"/>
        <w:jc w:val="both"/>
        <w:outlineLvl w:val="0"/>
        <w:rPr>
          <w:rFonts w:ascii="Arial" w:eastAsia="Times New Roman" w:hAnsi="Arial" w:cs="Arial"/>
          <w:bCs/>
          <w:color w:val="000000" w:themeColor="text1"/>
          <w:spacing w:val="-3"/>
          <w:sz w:val="12"/>
          <w:szCs w:val="12"/>
        </w:rPr>
      </w:pPr>
    </w:p>
    <w:p w14:paraId="2B92B9D9" w14:textId="77777777" w:rsidR="00E071AF" w:rsidRPr="003D1614" w:rsidRDefault="00E071AF" w:rsidP="00E071AF">
      <w:pPr>
        <w:keepNext/>
        <w:suppressAutoHyphens/>
        <w:autoSpaceDN w:val="0"/>
        <w:ind w:left="709" w:hanging="709"/>
        <w:jc w:val="both"/>
        <w:outlineLvl w:val="0"/>
        <w:rPr>
          <w:rFonts w:ascii="Arial" w:eastAsia="Times New Roman" w:hAnsi="Arial" w:cs="Arial"/>
          <w:b/>
          <w:bCs/>
          <w:color w:val="000000" w:themeColor="text1"/>
          <w:spacing w:val="-3"/>
          <w:sz w:val="14"/>
          <w:szCs w:val="14"/>
        </w:rPr>
      </w:pPr>
    </w:p>
    <w:p w14:paraId="36F07E9E" w14:textId="77777777" w:rsidR="00E071AF" w:rsidRPr="003D1614" w:rsidRDefault="00E071AF" w:rsidP="00E071AF">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.1. </w:t>
      </w:r>
      <w:r w:rsidRPr="003D1614">
        <w:rPr>
          <w:rFonts w:ascii="Arial" w:eastAsia="Times New Roman" w:hAnsi="Arial" w:cs="Arial"/>
          <w:b/>
          <w:bCs/>
          <w:color w:val="000000" w:themeColor="text1"/>
          <w:spacing w:val="-3"/>
          <w:sz w:val="20"/>
          <w:szCs w:val="20"/>
        </w:rPr>
        <w:tab/>
        <w:t>Fer vrijednost financijske imovine i financijskih obveza koji se vode po fer vrijednosti (nastavak)</w:t>
      </w:r>
    </w:p>
    <w:p w14:paraId="4336437F" w14:textId="77777777" w:rsidR="00E071AF" w:rsidRPr="003D1614" w:rsidRDefault="00E071AF" w:rsidP="00E071AF">
      <w:pPr>
        <w:keepNext/>
        <w:suppressAutoHyphens/>
        <w:autoSpaceDN w:val="0"/>
        <w:jc w:val="both"/>
        <w:outlineLvl w:val="0"/>
        <w:rPr>
          <w:rFonts w:ascii="Arial" w:eastAsia="Times New Roman" w:hAnsi="Arial" w:cs="Arial"/>
          <w:color w:val="000000" w:themeColor="text1"/>
          <w:spacing w:val="-3"/>
          <w:sz w:val="12"/>
          <w:szCs w:val="12"/>
        </w:rPr>
      </w:pPr>
    </w:p>
    <w:p w14:paraId="13C83FA6" w14:textId="77777777" w:rsidR="00E071AF" w:rsidRPr="003D1614" w:rsidRDefault="00E071AF" w:rsidP="00E071AF">
      <w:pPr>
        <w:keepNext/>
        <w:suppressAutoHyphens/>
        <w:autoSpaceDN w:val="0"/>
        <w:jc w:val="both"/>
        <w:outlineLvl w:val="0"/>
        <w:rPr>
          <w:rFonts w:ascii="Arial" w:eastAsia="Times New Roman" w:hAnsi="Arial" w:cs="Arial"/>
          <w:color w:val="000000" w:themeColor="text1"/>
          <w:spacing w:val="-3"/>
          <w:sz w:val="12"/>
          <w:szCs w:val="12"/>
        </w:rPr>
      </w:pPr>
    </w:p>
    <w:tbl>
      <w:tblPr>
        <w:tblW w:w="9274" w:type="dxa"/>
        <w:jc w:val="center"/>
        <w:tblLayout w:type="fixed"/>
        <w:tblCellMar>
          <w:left w:w="122" w:type="dxa"/>
          <w:right w:w="122" w:type="dxa"/>
        </w:tblCellMar>
        <w:tblLook w:val="0000" w:firstRow="0" w:lastRow="0" w:firstColumn="0" w:lastColumn="0" w:noHBand="0" w:noVBand="0"/>
      </w:tblPr>
      <w:tblGrid>
        <w:gridCol w:w="6094"/>
        <w:gridCol w:w="1060"/>
        <w:gridCol w:w="1060"/>
        <w:gridCol w:w="1060"/>
      </w:tblGrid>
      <w:tr w:rsidR="00E071AF" w:rsidRPr="003D1614" w14:paraId="792F8A87" w14:textId="77777777" w:rsidTr="00CA7F04">
        <w:trPr>
          <w:trHeight w:val="311"/>
          <w:jc w:val="center"/>
        </w:trPr>
        <w:tc>
          <w:tcPr>
            <w:tcW w:w="6094" w:type="dxa"/>
            <w:shd w:val="clear" w:color="auto" w:fill="auto"/>
          </w:tcPr>
          <w:p w14:paraId="043E74FC" w14:textId="77777777" w:rsidR="00E071AF" w:rsidRPr="003D1614" w:rsidRDefault="00E071AF" w:rsidP="00CA7F04">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color w:val="000000"/>
                <w:sz w:val="17"/>
                <w:szCs w:val="17"/>
              </w:rPr>
              <w:t>Banka</w:t>
            </w:r>
          </w:p>
        </w:tc>
        <w:tc>
          <w:tcPr>
            <w:tcW w:w="3180" w:type="dxa"/>
            <w:gridSpan w:val="3"/>
          </w:tcPr>
          <w:p w14:paraId="6B1AAB6E" w14:textId="0EBB3057" w:rsidR="00E071AF" w:rsidRPr="003D1614" w:rsidRDefault="00E071AF" w:rsidP="00CA7F04">
            <w:pPr>
              <w:tabs>
                <w:tab w:val="right" w:pos="1202"/>
              </w:tabs>
              <w:suppressAutoHyphens/>
              <w:autoSpaceDN w:val="0"/>
              <w:jc w:val="right"/>
              <w:outlineLvl w:val="0"/>
              <w:rPr>
                <w:rFonts w:ascii="Arial" w:eastAsia="Calibri" w:hAnsi="Arial" w:cs="Arial"/>
                <w:b/>
                <w:bCs/>
                <w:color w:val="000000"/>
                <w:sz w:val="17"/>
                <w:szCs w:val="17"/>
              </w:rPr>
            </w:pPr>
            <w:r w:rsidRPr="003D1614">
              <w:rPr>
                <w:rFonts w:ascii="Arial" w:eastAsia="Calibri" w:hAnsi="Arial" w:cs="Arial"/>
                <w:b/>
                <w:bCs/>
                <w:color w:val="000000"/>
                <w:sz w:val="17"/>
                <w:szCs w:val="17"/>
              </w:rPr>
              <w:t>31. ožujka 202</w:t>
            </w:r>
            <w:r w:rsidR="002F20EB">
              <w:rPr>
                <w:rFonts w:ascii="Arial" w:eastAsia="Calibri" w:hAnsi="Arial" w:cs="Arial"/>
                <w:b/>
                <w:bCs/>
                <w:color w:val="000000"/>
                <w:sz w:val="17"/>
                <w:szCs w:val="17"/>
              </w:rPr>
              <w:t>4</w:t>
            </w:r>
            <w:r w:rsidRPr="003D1614">
              <w:rPr>
                <w:rFonts w:ascii="Arial" w:eastAsia="Calibri" w:hAnsi="Arial" w:cs="Arial"/>
                <w:b/>
                <w:bCs/>
                <w:color w:val="000000"/>
                <w:sz w:val="17"/>
                <w:szCs w:val="17"/>
              </w:rPr>
              <w:t>.</w:t>
            </w:r>
          </w:p>
        </w:tc>
      </w:tr>
      <w:tr w:rsidR="00E071AF" w:rsidRPr="003D1614" w14:paraId="662C953A" w14:textId="77777777" w:rsidTr="00CA7F04">
        <w:trPr>
          <w:trHeight w:val="311"/>
          <w:jc w:val="center"/>
        </w:trPr>
        <w:tc>
          <w:tcPr>
            <w:tcW w:w="6094" w:type="dxa"/>
            <w:shd w:val="clear" w:color="auto" w:fill="auto"/>
            <w:vAlign w:val="bottom"/>
          </w:tcPr>
          <w:p w14:paraId="2FE248B7" w14:textId="77777777" w:rsidR="00E071AF" w:rsidRPr="003D1614" w:rsidRDefault="00E071AF" w:rsidP="00CA7F04">
            <w:pPr>
              <w:tabs>
                <w:tab w:val="right" w:pos="1202"/>
              </w:tabs>
              <w:suppressAutoHyphens/>
              <w:autoSpaceDN w:val="0"/>
              <w:outlineLvl w:val="0"/>
              <w:rPr>
                <w:rFonts w:ascii="Arial" w:eastAsia="Calibri" w:hAnsi="Arial" w:cs="Arial"/>
                <w:color w:val="000000"/>
                <w:spacing w:val="-2"/>
                <w:sz w:val="17"/>
                <w:szCs w:val="17"/>
              </w:rPr>
            </w:pPr>
          </w:p>
        </w:tc>
        <w:tc>
          <w:tcPr>
            <w:tcW w:w="1060" w:type="dxa"/>
            <w:shd w:val="clear" w:color="auto" w:fill="auto"/>
            <w:vAlign w:val="bottom"/>
          </w:tcPr>
          <w:p w14:paraId="170C6F12" w14:textId="77777777" w:rsidR="00E071AF" w:rsidRPr="003D1614" w:rsidRDefault="00E071AF" w:rsidP="00CA7F04">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Razina 1</w:t>
            </w:r>
          </w:p>
        </w:tc>
        <w:tc>
          <w:tcPr>
            <w:tcW w:w="1060" w:type="dxa"/>
            <w:shd w:val="clear" w:color="auto" w:fill="auto"/>
            <w:vAlign w:val="bottom"/>
          </w:tcPr>
          <w:p w14:paraId="530DD02B" w14:textId="77777777" w:rsidR="00E071AF" w:rsidRPr="003D1614" w:rsidRDefault="00E071AF" w:rsidP="00CA7F04">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Razina 2</w:t>
            </w:r>
          </w:p>
        </w:tc>
        <w:tc>
          <w:tcPr>
            <w:tcW w:w="1060" w:type="dxa"/>
            <w:shd w:val="clear" w:color="auto" w:fill="auto"/>
            <w:vAlign w:val="bottom"/>
          </w:tcPr>
          <w:p w14:paraId="53F7D82A" w14:textId="77777777" w:rsidR="00E071AF" w:rsidRPr="003D1614" w:rsidRDefault="00E071AF" w:rsidP="00CA7F04">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Razina 3</w:t>
            </w:r>
          </w:p>
        </w:tc>
      </w:tr>
      <w:tr w:rsidR="00E071AF" w:rsidRPr="003D1614" w14:paraId="26172FEC" w14:textId="77777777" w:rsidTr="00CA7F04">
        <w:trPr>
          <w:trHeight w:val="311"/>
          <w:jc w:val="center"/>
        </w:trPr>
        <w:tc>
          <w:tcPr>
            <w:tcW w:w="6094" w:type="dxa"/>
            <w:shd w:val="clear" w:color="auto" w:fill="auto"/>
            <w:vAlign w:val="bottom"/>
          </w:tcPr>
          <w:p w14:paraId="5765C755" w14:textId="77777777" w:rsidR="00E071AF" w:rsidRPr="003D1614" w:rsidRDefault="00E071AF" w:rsidP="00CA7F04">
            <w:pPr>
              <w:tabs>
                <w:tab w:val="right" w:pos="1202"/>
              </w:tabs>
              <w:suppressAutoHyphens/>
              <w:autoSpaceDN w:val="0"/>
              <w:outlineLvl w:val="0"/>
              <w:rPr>
                <w:rFonts w:ascii="Arial" w:eastAsia="Calibri" w:hAnsi="Arial" w:cs="Arial"/>
                <w:color w:val="000000"/>
                <w:spacing w:val="-2"/>
                <w:sz w:val="17"/>
                <w:szCs w:val="17"/>
              </w:rPr>
            </w:pPr>
          </w:p>
        </w:tc>
        <w:tc>
          <w:tcPr>
            <w:tcW w:w="1060" w:type="dxa"/>
            <w:shd w:val="clear" w:color="auto" w:fill="auto"/>
            <w:vAlign w:val="bottom"/>
          </w:tcPr>
          <w:p w14:paraId="769CEBFB" w14:textId="77777777" w:rsidR="00E071AF" w:rsidRPr="003D1614" w:rsidRDefault="00E071AF" w:rsidP="00CA7F04">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c>
          <w:tcPr>
            <w:tcW w:w="1060" w:type="dxa"/>
            <w:shd w:val="clear" w:color="auto" w:fill="auto"/>
            <w:vAlign w:val="bottom"/>
          </w:tcPr>
          <w:p w14:paraId="7D15EFCB" w14:textId="77777777" w:rsidR="00E071AF" w:rsidRPr="003D1614" w:rsidRDefault="00E071AF" w:rsidP="00CA7F04">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c>
          <w:tcPr>
            <w:tcW w:w="1060" w:type="dxa"/>
            <w:shd w:val="clear" w:color="auto" w:fill="auto"/>
            <w:vAlign w:val="bottom"/>
          </w:tcPr>
          <w:p w14:paraId="4D9D4970" w14:textId="77777777" w:rsidR="00E071AF" w:rsidRPr="003D1614" w:rsidRDefault="00E071AF" w:rsidP="00CA7F04">
            <w:pPr>
              <w:tabs>
                <w:tab w:val="right" w:pos="1202"/>
              </w:tabs>
              <w:suppressAutoHyphens/>
              <w:autoSpaceDN w:val="0"/>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r>
      <w:tr w:rsidR="00E071AF" w:rsidRPr="003D1614" w14:paraId="7351F681" w14:textId="77777777" w:rsidTr="00CA7F04">
        <w:trPr>
          <w:trHeight w:val="283"/>
          <w:jc w:val="center"/>
        </w:trPr>
        <w:tc>
          <w:tcPr>
            <w:tcW w:w="6094" w:type="dxa"/>
            <w:vAlign w:val="bottom"/>
          </w:tcPr>
          <w:p w14:paraId="6296293B" w14:textId="77777777" w:rsidR="00E071AF" w:rsidRPr="003D1614" w:rsidRDefault="00E071AF" w:rsidP="00CA7F04">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b/>
                <w:color w:val="000000"/>
                <w:sz w:val="17"/>
                <w:szCs w:val="17"/>
              </w:rPr>
              <w:t>Financijska imovina po fer vrijednosti kroz dobit ili gubitak:</w:t>
            </w:r>
          </w:p>
        </w:tc>
        <w:tc>
          <w:tcPr>
            <w:tcW w:w="1060" w:type="dxa"/>
            <w:vAlign w:val="bottom"/>
          </w:tcPr>
          <w:p w14:paraId="35B894A0" w14:textId="77777777" w:rsidR="00E071AF" w:rsidRPr="003D1614" w:rsidRDefault="00E071AF" w:rsidP="00CA7F04">
            <w:pPr>
              <w:tabs>
                <w:tab w:val="right" w:pos="1202"/>
              </w:tabs>
              <w:suppressAutoHyphens/>
              <w:autoSpaceDN w:val="0"/>
              <w:jc w:val="right"/>
              <w:outlineLvl w:val="0"/>
              <w:rPr>
                <w:rFonts w:ascii="Arial" w:eastAsia="Calibri" w:hAnsi="Arial" w:cs="Arial"/>
                <w:b/>
                <w:color w:val="000000"/>
                <w:spacing w:val="-2"/>
                <w:sz w:val="17"/>
                <w:szCs w:val="17"/>
              </w:rPr>
            </w:pPr>
          </w:p>
        </w:tc>
        <w:tc>
          <w:tcPr>
            <w:tcW w:w="1060" w:type="dxa"/>
            <w:vAlign w:val="bottom"/>
          </w:tcPr>
          <w:p w14:paraId="052A8FF3" w14:textId="77777777" w:rsidR="00E071AF" w:rsidRPr="003D1614" w:rsidRDefault="00E071AF" w:rsidP="00CA7F04">
            <w:pPr>
              <w:tabs>
                <w:tab w:val="right" w:pos="1202"/>
              </w:tabs>
              <w:suppressAutoHyphens/>
              <w:autoSpaceDN w:val="0"/>
              <w:jc w:val="right"/>
              <w:outlineLvl w:val="0"/>
              <w:rPr>
                <w:rFonts w:ascii="Arial" w:eastAsia="Calibri" w:hAnsi="Arial" w:cs="Arial"/>
                <w:b/>
                <w:color w:val="000000"/>
                <w:spacing w:val="-2"/>
                <w:sz w:val="17"/>
                <w:szCs w:val="17"/>
              </w:rPr>
            </w:pPr>
          </w:p>
        </w:tc>
        <w:tc>
          <w:tcPr>
            <w:tcW w:w="1060" w:type="dxa"/>
            <w:vAlign w:val="bottom"/>
          </w:tcPr>
          <w:p w14:paraId="4CE11E3D" w14:textId="77777777" w:rsidR="00E071AF" w:rsidRPr="003D1614" w:rsidRDefault="00E071AF" w:rsidP="00CA7F04">
            <w:pPr>
              <w:tabs>
                <w:tab w:val="right" w:pos="1202"/>
              </w:tabs>
              <w:suppressAutoHyphens/>
              <w:autoSpaceDN w:val="0"/>
              <w:jc w:val="right"/>
              <w:outlineLvl w:val="0"/>
              <w:rPr>
                <w:rFonts w:ascii="Arial" w:eastAsia="Calibri" w:hAnsi="Arial" w:cs="Arial"/>
                <w:b/>
                <w:color w:val="000000"/>
                <w:spacing w:val="-2"/>
                <w:sz w:val="17"/>
                <w:szCs w:val="17"/>
              </w:rPr>
            </w:pPr>
          </w:p>
        </w:tc>
      </w:tr>
      <w:tr w:rsidR="00E071AF" w:rsidRPr="003D1614" w14:paraId="1992E71A" w14:textId="77777777" w:rsidTr="00CA7F04">
        <w:trPr>
          <w:trHeight w:val="283"/>
          <w:jc w:val="center"/>
        </w:trPr>
        <w:tc>
          <w:tcPr>
            <w:tcW w:w="6094" w:type="dxa"/>
            <w:vAlign w:val="bottom"/>
          </w:tcPr>
          <w:p w14:paraId="2A6AA5BB" w14:textId="77777777" w:rsidR="00E071AF" w:rsidRPr="003D1614" w:rsidRDefault="00E071AF" w:rsidP="00CA7F04">
            <w:pPr>
              <w:tabs>
                <w:tab w:val="right" w:pos="1202"/>
              </w:tabs>
              <w:suppressAutoHyphens/>
              <w:autoSpaceDN w:val="0"/>
              <w:outlineLvl w:val="0"/>
              <w:rPr>
                <w:rFonts w:ascii="Arial" w:eastAsia="Calibri" w:hAnsi="Arial" w:cs="Arial"/>
                <w:b/>
                <w:i/>
                <w:color w:val="000000"/>
                <w:sz w:val="17"/>
                <w:szCs w:val="17"/>
              </w:rPr>
            </w:pPr>
            <w:r w:rsidRPr="003D1614">
              <w:rPr>
                <w:rFonts w:ascii="Arial" w:eastAsia="Calibri" w:hAnsi="Arial" w:cs="Arial"/>
                <w:b/>
                <w:i/>
                <w:color w:val="000000"/>
                <w:sz w:val="17"/>
                <w:szCs w:val="17"/>
              </w:rPr>
              <w:t>Krediti po fer vrijednosti kroz dobit ili gubitak:</w:t>
            </w:r>
          </w:p>
        </w:tc>
        <w:tc>
          <w:tcPr>
            <w:tcW w:w="1060" w:type="dxa"/>
            <w:tcBorders>
              <w:top w:val="nil"/>
              <w:left w:val="nil"/>
              <w:right w:val="nil"/>
            </w:tcBorders>
            <w:shd w:val="clear" w:color="auto" w:fill="auto"/>
            <w:vAlign w:val="bottom"/>
          </w:tcPr>
          <w:p w14:paraId="5864BBF1" w14:textId="77777777" w:rsidR="00E071AF" w:rsidRPr="003D1614" w:rsidRDefault="00E071AF" w:rsidP="00CA7F04">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2B8AF18E" w14:textId="77777777" w:rsidR="00E071AF" w:rsidRPr="003D1614" w:rsidRDefault="00E071AF" w:rsidP="00CA7F04">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0C61A8BC" w14:textId="77777777" w:rsidR="00E071AF" w:rsidRPr="003D1614" w:rsidRDefault="00E071AF" w:rsidP="00CA7F04">
            <w:pPr>
              <w:tabs>
                <w:tab w:val="right" w:pos="1202"/>
              </w:tabs>
              <w:suppressAutoHyphens/>
              <w:autoSpaceDN w:val="0"/>
              <w:jc w:val="right"/>
              <w:outlineLvl w:val="0"/>
              <w:rPr>
                <w:rFonts w:ascii="Arial" w:eastAsia="Calibri" w:hAnsi="Arial" w:cs="Arial"/>
                <w:color w:val="000000"/>
                <w:sz w:val="17"/>
                <w:szCs w:val="17"/>
              </w:rPr>
            </w:pPr>
          </w:p>
        </w:tc>
      </w:tr>
      <w:tr w:rsidR="00E071AF" w:rsidRPr="003D1614" w14:paraId="2F8D9527" w14:textId="77777777" w:rsidTr="00CA7F04">
        <w:trPr>
          <w:trHeight w:val="283"/>
          <w:jc w:val="center"/>
        </w:trPr>
        <w:tc>
          <w:tcPr>
            <w:tcW w:w="6094" w:type="dxa"/>
            <w:vAlign w:val="bottom"/>
          </w:tcPr>
          <w:p w14:paraId="33B889C4" w14:textId="77777777" w:rsidR="00E071AF" w:rsidRPr="003D1614" w:rsidRDefault="00E071AF" w:rsidP="00CA7F04">
            <w:pPr>
              <w:tabs>
                <w:tab w:val="right" w:pos="1202"/>
              </w:tabs>
              <w:suppressAutoHyphens/>
              <w:autoSpaceDN w:val="0"/>
              <w:outlineLvl w:val="0"/>
              <w:rPr>
                <w:rFonts w:ascii="Arial" w:eastAsia="Calibri" w:hAnsi="Arial" w:cs="Arial"/>
                <w:color w:val="000000"/>
                <w:sz w:val="17"/>
                <w:szCs w:val="17"/>
              </w:rPr>
            </w:pPr>
            <w:proofErr w:type="spellStart"/>
            <w:r w:rsidRPr="003D1614">
              <w:rPr>
                <w:rFonts w:ascii="Arial" w:eastAsia="Calibri" w:hAnsi="Arial" w:cs="Arial"/>
                <w:color w:val="000000"/>
                <w:sz w:val="17"/>
                <w:szCs w:val="17"/>
              </w:rPr>
              <w:t>Mezzanine</w:t>
            </w:r>
            <w:proofErr w:type="spellEnd"/>
            <w:r w:rsidRPr="003D1614">
              <w:rPr>
                <w:rFonts w:ascii="Arial" w:eastAsia="Calibri" w:hAnsi="Arial" w:cs="Arial"/>
                <w:color w:val="000000"/>
                <w:sz w:val="17"/>
                <w:szCs w:val="17"/>
              </w:rPr>
              <w:t xml:space="preserve"> krediti</w:t>
            </w:r>
          </w:p>
        </w:tc>
        <w:tc>
          <w:tcPr>
            <w:tcW w:w="1060" w:type="dxa"/>
            <w:tcBorders>
              <w:top w:val="nil"/>
              <w:left w:val="nil"/>
              <w:right w:val="nil"/>
            </w:tcBorders>
            <w:shd w:val="clear" w:color="auto" w:fill="auto"/>
            <w:vAlign w:val="bottom"/>
          </w:tcPr>
          <w:p w14:paraId="4989FC52" w14:textId="5D95797B" w:rsidR="00E071AF" w:rsidRPr="003D1614" w:rsidRDefault="003A5740"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4DA1A0A4" w14:textId="7C503002" w:rsidR="00E071AF" w:rsidRPr="003D1614" w:rsidRDefault="003A5740"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4C9C9F06" w14:textId="79F21A93" w:rsidR="00E071AF" w:rsidRPr="003D1614" w:rsidRDefault="003A5740"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33.272</w:t>
            </w:r>
          </w:p>
        </w:tc>
      </w:tr>
      <w:tr w:rsidR="00E071AF" w:rsidRPr="003D1614" w14:paraId="12A72BFF" w14:textId="77777777" w:rsidTr="00CA7F04">
        <w:trPr>
          <w:trHeight w:val="283"/>
          <w:jc w:val="center"/>
        </w:trPr>
        <w:tc>
          <w:tcPr>
            <w:tcW w:w="6094" w:type="dxa"/>
            <w:vAlign w:val="bottom"/>
          </w:tcPr>
          <w:p w14:paraId="659FC930" w14:textId="77777777" w:rsidR="00E071AF" w:rsidRPr="003D1614" w:rsidRDefault="00E071AF" w:rsidP="00CA7F04">
            <w:pPr>
              <w:tabs>
                <w:tab w:val="right" w:pos="1202"/>
              </w:tabs>
              <w:suppressAutoHyphens/>
              <w:autoSpaceDN w:val="0"/>
              <w:outlineLvl w:val="0"/>
              <w:rPr>
                <w:rFonts w:ascii="Arial" w:eastAsia="Calibri" w:hAnsi="Arial" w:cs="Arial"/>
                <w:b/>
                <w:i/>
                <w:color w:val="000000"/>
                <w:sz w:val="17"/>
                <w:szCs w:val="17"/>
              </w:rPr>
            </w:pPr>
            <w:r w:rsidRPr="003D1614">
              <w:rPr>
                <w:rFonts w:ascii="Arial" w:eastAsia="Calibri" w:hAnsi="Arial" w:cs="Arial"/>
                <w:b/>
                <w:i/>
                <w:color w:val="000000"/>
                <w:sz w:val="17"/>
                <w:szCs w:val="17"/>
              </w:rPr>
              <w:t>Ulaganja u investicijske fondove:</w:t>
            </w:r>
          </w:p>
        </w:tc>
        <w:tc>
          <w:tcPr>
            <w:tcW w:w="1060" w:type="dxa"/>
            <w:tcBorders>
              <w:top w:val="nil"/>
              <w:left w:val="nil"/>
              <w:right w:val="nil"/>
            </w:tcBorders>
            <w:shd w:val="clear" w:color="auto" w:fill="auto"/>
            <w:vAlign w:val="bottom"/>
          </w:tcPr>
          <w:p w14:paraId="3DF63657" w14:textId="77777777" w:rsidR="00E071AF" w:rsidRPr="003D1614" w:rsidRDefault="00E071AF" w:rsidP="00CA7F04">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298F83C5" w14:textId="77777777" w:rsidR="00E071AF" w:rsidRPr="003D1614" w:rsidRDefault="00E071AF" w:rsidP="00CA7F04">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01BEE015" w14:textId="77777777" w:rsidR="00E071AF" w:rsidRPr="003D1614" w:rsidRDefault="00E071AF" w:rsidP="00CA7F04">
            <w:pPr>
              <w:tabs>
                <w:tab w:val="right" w:pos="1202"/>
              </w:tabs>
              <w:suppressAutoHyphens/>
              <w:autoSpaceDN w:val="0"/>
              <w:jc w:val="right"/>
              <w:outlineLvl w:val="0"/>
              <w:rPr>
                <w:rFonts w:ascii="Arial" w:eastAsia="Calibri" w:hAnsi="Arial" w:cs="Arial"/>
                <w:color w:val="000000"/>
                <w:sz w:val="17"/>
                <w:szCs w:val="17"/>
              </w:rPr>
            </w:pPr>
          </w:p>
        </w:tc>
      </w:tr>
      <w:tr w:rsidR="00E071AF" w:rsidRPr="003D1614" w14:paraId="121218B3" w14:textId="77777777" w:rsidTr="00CA7F04">
        <w:trPr>
          <w:trHeight w:val="283"/>
          <w:jc w:val="center"/>
        </w:trPr>
        <w:tc>
          <w:tcPr>
            <w:tcW w:w="6094" w:type="dxa"/>
            <w:vAlign w:val="bottom"/>
          </w:tcPr>
          <w:p w14:paraId="324F891E" w14:textId="77777777" w:rsidR="00E071AF" w:rsidRPr="003D1614" w:rsidRDefault="00E071AF" w:rsidP="00CA7F04">
            <w:pPr>
              <w:tabs>
                <w:tab w:val="right" w:pos="1202"/>
              </w:tabs>
              <w:suppressAutoHyphens/>
              <w:autoSpaceDN w:val="0"/>
              <w:outlineLvl w:val="0"/>
              <w:rPr>
                <w:rFonts w:ascii="Arial" w:eastAsia="Calibri" w:hAnsi="Arial" w:cs="Arial"/>
                <w:b/>
                <w:i/>
                <w:color w:val="000000"/>
                <w:sz w:val="17"/>
                <w:szCs w:val="17"/>
              </w:rPr>
            </w:pPr>
            <w:r w:rsidRPr="003D1614">
              <w:rPr>
                <w:rFonts w:ascii="Arial" w:eastAsia="Calibri" w:hAnsi="Arial" w:cs="Arial"/>
                <w:color w:val="000000"/>
                <w:sz w:val="17"/>
                <w:szCs w:val="17"/>
              </w:rPr>
              <w:t>Udjeli u investicijskim fondovima po fer vrijednosti kroz dobit ili gubitak</w:t>
            </w:r>
          </w:p>
        </w:tc>
        <w:tc>
          <w:tcPr>
            <w:tcW w:w="1060" w:type="dxa"/>
            <w:tcBorders>
              <w:top w:val="nil"/>
              <w:left w:val="nil"/>
              <w:right w:val="nil"/>
            </w:tcBorders>
            <w:shd w:val="clear" w:color="auto" w:fill="auto"/>
            <w:vAlign w:val="bottom"/>
          </w:tcPr>
          <w:p w14:paraId="304C0636" w14:textId="1A77FE08" w:rsidR="00E071AF" w:rsidRPr="003D1614" w:rsidRDefault="003A5740"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20.333</w:t>
            </w:r>
          </w:p>
        </w:tc>
        <w:tc>
          <w:tcPr>
            <w:tcW w:w="1060" w:type="dxa"/>
            <w:tcBorders>
              <w:top w:val="nil"/>
              <w:left w:val="nil"/>
              <w:right w:val="nil"/>
            </w:tcBorders>
            <w:shd w:val="clear" w:color="auto" w:fill="auto"/>
            <w:vAlign w:val="bottom"/>
          </w:tcPr>
          <w:p w14:paraId="6F9715F0" w14:textId="2471714D" w:rsidR="00E071AF" w:rsidRPr="003D1614" w:rsidRDefault="003A5740"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12318D9A" w14:textId="4B84EC57" w:rsidR="00E071AF" w:rsidRPr="003D1614" w:rsidRDefault="003A5740"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E071AF" w:rsidRPr="003D1614" w14:paraId="272A56AD" w14:textId="77777777" w:rsidTr="00CA7F04">
        <w:trPr>
          <w:trHeight w:val="216"/>
          <w:jc w:val="center"/>
        </w:trPr>
        <w:tc>
          <w:tcPr>
            <w:tcW w:w="6094" w:type="dxa"/>
            <w:vAlign w:val="bottom"/>
          </w:tcPr>
          <w:p w14:paraId="5B4A5701" w14:textId="77777777" w:rsidR="00E071AF" w:rsidRPr="003D1614" w:rsidRDefault="00E071AF" w:rsidP="00CA7F04">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color w:val="000000"/>
                <w:sz w:val="17"/>
                <w:szCs w:val="17"/>
              </w:rPr>
              <w:t>Vlasnički vrijednosni papiri:</w:t>
            </w:r>
          </w:p>
        </w:tc>
        <w:tc>
          <w:tcPr>
            <w:tcW w:w="1060" w:type="dxa"/>
            <w:tcBorders>
              <w:top w:val="nil"/>
              <w:left w:val="nil"/>
              <w:right w:val="nil"/>
            </w:tcBorders>
            <w:shd w:val="clear" w:color="auto" w:fill="auto"/>
            <w:vAlign w:val="bottom"/>
          </w:tcPr>
          <w:p w14:paraId="4DF8A23F" w14:textId="77777777" w:rsidR="00E071AF" w:rsidRPr="003D1614" w:rsidRDefault="00E071AF" w:rsidP="00CA7F04">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56751F68" w14:textId="77777777" w:rsidR="00E071AF" w:rsidRPr="003D1614" w:rsidRDefault="00E071AF" w:rsidP="00CA7F04">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6642AE6C" w14:textId="77777777" w:rsidR="00E071AF" w:rsidRPr="003D1614" w:rsidRDefault="00E071AF" w:rsidP="00CA7F04">
            <w:pPr>
              <w:tabs>
                <w:tab w:val="right" w:pos="1202"/>
              </w:tabs>
              <w:suppressAutoHyphens/>
              <w:autoSpaceDN w:val="0"/>
              <w:jc w:val="right"/>
              <w:outlineLvl w:val="0"/>
              <w:rPr>
                <w:rFonts w:ascii="Arial" w:eastAsia="Calibri" w:hAnsi="Arial" w:cs="Arial"/>
                <w:color w:val="000000"/>
                <w:sz w:val="17"/>
                <w:szCs w:val="17"/>
              </w:rPr>
            </w:pPr>
          </w:p>
        </w:tc>
      </w:tr>
      <w:tr w:rsidR="00E071AF" w:rsidRPr="003D1614" w14:paraId="6D88A11F" w14:textId="77777777" w:rsidTr="00CA7F04">
        <w:trPr>
          <w:trHeight w:val="216"/>
          <w:jc w:val="center"/>
        </w:trPr>
        <w:tc>
          <w:tcPr>
            <w:tcW w:w="6094" w:type="dxa"/>
            <w:vAlign w:val="bottom"/>
          </w:tcPr>
          <w:p w14:paraId="1E4C04D7" w14:textId="77777777" w:rsidR="00E071AF" w:rsidRPr="003D1614" w:rsidRDefault="00E071AF" w:rsidP="00CA7F04">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i/>
                <w:color w:val="000000"/>
                <w:spacing w:val="-2"/>
                <w:sz w:val="17"/>
                <w:szCs w:val="17"/>
              </w:rPr>
              <w:t>Vlasnički vrijednosni papiri koji ne kotiraju:</w:t>
            </w:r>
          </w:p>
        </w:tc>
        <w:tc>
          <w:tcPr>
            <w:tcW w:w="1060" w:type="dxa"/>
            <w:tcBorders>
              <w:left w:val="nil"/>
              <w:right w:val="nil"/>
            </w:tcBorders>
            <w:shd w:val="clear" w:color="auto" w:fill="auto"/>
            <w:vAlign w:val="bottom"/>
          </w:tcPr>
          <w:p w14:paraId="65626559" w14:textId="77777777" w:rsidR="00E071AF" w:rsidRPr="003D1614" w:rsidRDefault="00E071AF" w:rsidP="00CA7F04">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0AD6FED9" w14:textId="77777777" w:rsidR="00E071AF" w:rsidRPr="003D1614" w:rsidRDefault="00E071AF" w:rsidP="00CA7F04">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74FB7371" w14:textId="77777777" w:rsidR="00E071AF" w:rsidRPr="003D1614" w:rsidRDefault="00E071AF" w:rsidP="00CA7F04">
            <w:pPr>
              <w:tabs>
                <w:tab w:val="right" w:pos="1202"/>
              </w:tabs>
              <w:suppressAutoHyphens/>
              <w:autoSpaceDN w:val="0"/>
              <w:jc w:val="right"/>
              <w:outlineLvl w:val="0"/>
              <w:rPr>
                <w:rFonts w:ascii="Arial" w:eastAsia="Calibri" w:hAnsi="Arial" w:cs="Arial"/>
                <w:color w:val="000000"/>
                <w:sz w:val="17"/>
                <w:szCs w:val="17"/>
              </w:rPr>
            </w:pPr>
          </w:p>
        </w:tc>
      </w:tr>
      <w:tr w:rsidR="00E071AF" w:rsidRPr="003D1614" w14:paraId="49F6650A" w14:textId="77777777" w:rsidTr="00CA7F04">
        <w:trPr>
          <w:trHeight w:val="283"/>
          <w:jc w:val="center"/>
        </w:trPr>
        <w:tc>
          <w:tcPr>
            <w:tcW w:w="6094" w:type="dxa"/>
            <w:vAlign w:val="bottom"/>
          </w:tcPr>
          <w:p w14:paraId="28321350" w14:textId="77777777" w:rsidR="00E071AF" w:rsidRPr="003D1614" w:rsidRDefault="00E071AF" w:rsidP="00CA7F04">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Depozitarne potvrde - DR</w:t>
            </w:r>
          </w:p>
        </w:tc>
        <w:tc>
          <w:tcPr>
            <w:tcW w:w="1060" w:type="dxa"/>
            <w:tcBorders>
              <w:left w:val="nil"/>
              <w:right w:val="nil"/>
            </w:tcBorders>
            <w:shd w:val="clear" w:color="auto" w:fill="auto"/>
            <w:vAlign w:val="bottom"/>
          </w:tcPr>
          <w:p w14:paraId="241BB67C" w14:textId="17F97CAD" w:rsidR="00E071AF" w:rsidRPr="003D1614" w:rsidRDefault="003A5740"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56348564" w14:textId="42041711" w:rsidR="00E071AF" w:rsidRPr="003D1614" w:rsidRDefault="003A5740"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37EE3F12" w14:textId="7A080C8F" w:rsidR="00E071AF" w:rsidRPr="003D1614" w:rsidRDefault="003A5740"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42</w:t>
            </w:r>
          </w:p>
        </w:tc>
      </w:tr>
      <w:tr w:rsidR="00E071AF" w:rsidRPr="003D1614" w14:paraId="1E1A3CB8" w14:textId="77777777" w:rsidTr="00CA7F04">
        <w:trPr>
          <w:trHeight w:val="283"/>
          <w:jc w:val="center"/>
        </w:trPr>
        <w:tc>
          <w:tcPr>
            <w:tcW w:w="6094" w:type="dxa"/>
            <w:vAlign w:val="bottom"/>
          </w:tcPr>
          <w:p w14:paraId="0C8EFFC3" w14:textId="77777777" w:rsidR="00E071AF" w:rsidRPr="003D1614" w:rsidRDefault="00E071AF" w:rsidP="00CA7F04">
            <w:pPr>
              <w:tabs>
                <w:tab w:val="right" w:pos="1202"/>
              </w:tabs>
              <w:suppressAutoHyphens/>
              <w:autoSpaceDN w:val="0"/>
              <w:outlineLvl w:val="0"/>
              <w:rPr>
                <w:rFonts w:ascii="Arial" w:eastAsia="Calibri" w:hAnsi="Arial" w:cs="Arial"/>
                <w:b/>
                <w:bCs/>
                <w:color w:val="000000"/>
                <w:sz w:val="17"/>
                <w:szCs w:val="17"/>
              </w:rPr>
            </w:pPr>
            <w:r w:rsidRPr="003D1614">
              <w:rPr>
                <w:rFonts w:ascii="Arial" w:eastAsia="Calibri" w:hAnsi="Arial" w:cs="Arial"/>
                <w:b/>
                <w:bCs/>
                <w:color w:val="000000"/>
                <w:sz w:val="17"/>
                <w:szCs w:val="17"/>
              </w:rPr>
              <w:t>Derivativna financijska imovina – pozitivna fer vrijednost</w:t>
            </w:r>
          </w:p>
        </w:tc>
        <w:tc>
          <w:tcPr>
            <w:tcW w:w="1060" w:type="dxa"/>
            <w:tcBorders>
              <w:left w:val="nil"/>
              <w:right w:val="nil"/>
            </w:tcBorders>
            <w:shd w:val="clear" w:color="auto" w:fill="auto"/>
            <w:vAlign w:val="bottom"/>
          </w:tcPr>
          <w:p w14:paraId="64F6881F" w14:textId="77777777" w:rsidR="00E071AF" w:rsidRPr="003D1614" w:rsidRDefault="00E071AF" w:rsidP="00CA7F04">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60D0F483" w14:textId="77777777" w:rsidR="00E071AF" w:rsidRPr="003D1614" w:rsidRDefault="00E071AF" w:rsidP="00CA7F04">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4B412AF8" w14:textId="77777777" w:rsidR="00E071AF" w:rsidRPr="003D1614" w:rsidRDefault="00E071AF" w:rsidP="00CA7F04">
            <w:pPr>
              <w:tabs>
                <w:tab w:val="right" w:pos="1202"/>
              </w:tabs>
              <w:suppressAutoHyphens/>
              <w:autoSpaceDN w:val="0"/>
              <w:jc w:val="right"/>
              <w:outlineLvl w:val="0"/>
              <w:rPr>
                <w:rFonts w:ascii="Arial" w:eastAsia="Calibri" w:hAnsi="Arial" w:cs="Arial"/>
                <w:color w:val="000000"/>
                <w:sz w:val="17"/>
                <w:szCs w:val="17"/>
              </w:rPr>
            </w:pPr>
          </w:p>
        </w:tc>
      </w:tr>
      <w:tr w:rsidR="00E071AF" w:rsidRPr="003D1614" w14:paraId="51E6E58E" w14:textId="77777777" w:rsidTr="00CA7F04">
        <w:trPr>
          <w:trHeight w:val="283"/>
          <w:jc w:val="center"/>
        </w:trPr>
        <w:tc>
          <w:tcPr>
            <w:tcW w:w="6094" w:type="dxa"/>
            <w:vAlign w:val="bottom"/>
          </w:tcPr>
          <w:p w14:paraId="6F982367" w14:textId="77777777" w:rsidR="00E071AF" w:rsidRPr="003D1614" w:rsidRDefault="00E071AF" w:rsidP="00CA7F04">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 xml:space="preserve">FX </w:t>
            </w:r>
            <w:proofErr w:type="spellStart"/>
            <w:r w:rsidRPr="003D1614">
              <w:rPr>
                <w:rFonts w:ascii="Arial" w:eastAsia="Calibri" w:hAnsi="Arial" w:cs="Arial"/>
                <w:color w:val="000000"/>
                <w:sz w:val="17"/>
                <w:szCs w:val="17"/>
              </w:rPr>
              <w:t>swap</w:t>
            </w:r>
            <w:proofErr w:type="spellEnd"/>
          </w:p>
        </w:tc>
        <w:tc>
          <w:tcPr>
            <w:tcW w:w="1060" w:type="dxa"/>
            <w:tcBorders>
              <w:left w:val="nil"/>
              <w:right w:val="nil"/>
            </w:tcBorders>
            <w:shd w:val="clear" w:color="auto" w:fill="auto"/>
            <w:vAlign w:val="bottom"/>
          </w:tcPr>
          <w:p w14:paraId="3A9307FA" w14:textId="5B2C464E" w:rsidR="00E071AF" w:rsidRPr="003D1614" w:rsidRDefault="003A5740"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35A5C87B" w14:textId="6D527100" w:rsidR="00E071AF" w:rsidRPr="003D1614" w:rsidRDefault="003A5740"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125</w:t>
            </w:r>
          </w:p>
        </w:tc>
        <w:tc>
          <w:tcPr>
            <w:tcW w:w="1060" w:type="dxa"/>
            <w:tcBorders>
              <w:top w:val="nil"/>
              <w:left w:val="nil"/>
              <w:right w:val="nil"/>
            </w:tcBorders>
            <w:shd w:val="clear" w:color="auto" w:fill="auto"/>
            <w:vAlign w:val="bottom"/>
          </w:tcPr>
          <w:p w14:paraId="3408D52D" w14:textId="43BAD522" w:rsidR="00E071AF" w:rsidRPr="003D1614" w:rsidRDefault="003A5740"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E071AF" w:rsidRPr="003D1614" w14:paraId="45276CF4" w14:textId="77777777" w:rsidTr="00CA7F04">
        <w:trPr>
          <w:trHeight w:val="283"/>
          <w:jc w:val="center"/>
        </w:trPr>
        <w:tc>
          <w:tcPr>
            <w:tcW w:w="6094" w:type="dxa"/>
            <w:vAlign w:val="bottom"/>
          </w:tcPr>
          <w:p w14:paraId="220159FF" w14:textId="77777777" w:rsidR="00E071AF" w:rsidRPr="003D1614" w:rsidRDefault="00E071AF" w:rsidP="00CA7F04">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b/>
                <w:color w:val="000000"/>
                <w:sz w:val="17"/>
                <w:szCs w:val="17"/>
              </w:rPr>
              <w:t>Ukupno financijska imovina po fer vrijednosti kroz dobit ili gubitak</w:t>
            </w:r>
          </w:p>
        </w:tc>
        <w:tc>
          <w:tcPr>
            <w:tcW w:w="1060" w:type="dxa"/>
            <w:tcBorders>
              <w:top w:val="single" w:sz="4" w:space="0" w:color="auto"/>
              <w:left w:val="nil"/>
              <w:bottom w:val="single" w:sz="12" w:space="0" w:color="auto"/>
              <w:right w:val="nil"/>
            </w:tcBorders>
            <w:shd w:val="clear" w:color="auto" w:fill="auto"/>
            <w:vAlign w:val="bottom"/>
          </w:tcPr>
          <w:p w14:paraId="28E64436" w14:textId="3DDD078C" w:rsidR="00E071AF" w:rsidRPr="003D1614" w:rsidRDefault="003A5740" w:rsidP="00CA7F04">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z w:val="17"/>
                <w:szCs w:val="17"/>
              </w:rPr>
              <w:t>20.333</w:t>
            </w:r>
          </w:p>
        </w:tc>
        <w:tc>
          <w:tcPr>
            <w:tcW w:w="1060" w:type="dxa"/>
            <w:tcBorders>
              <w:top w:val="single" w:sz="4" w:space="0" w:color="auto"/>
              <w:left w:val="nil"/>
              <w:bottom w:val="single" w:sz="12" w:space="0" w:color="auto"/>
              <w:right w:val="nil"/>
            </w:tcBorders>
            <w:shd w:val="clear" w:color="auto" w:fill="auto"/>
            <w:vAlign w:val="bottom"/>
          </w:tcPr>
          <w:p w14:paraId="24D3846A" w14:textId="30C1A281" w:rsidR="00E071AF" w:rsidRPr="003D1614" w:rsidRDefault="003A5740" w:rsidP="00CA7F04">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z w:val="17"/>
                <w:szCs w:val="17"/>
              </w:rPr>
              <w:t>125</w:t>
            </w:r>
          </w:p>
        </w:tc>
        <w:tc>
          <w:tcPr>
            <w:tcW w:w="1060" w:type="dxa"/>
            <w:tcBorders>
              <w:top w:val="single" w:sz="4" w:space="0" w:color="auto"/>
              <w:left w:val="nil"/>
              <w:bottom w:val="single" w:sz="12" w:space="0" w:color="auto"/>
              <w:right w:val="nil"/>
            </w:tcBorders>
            <w:shd w:val="clear" w:color="auto" w:fill="auto"/>
            <w:vAlign w:val="bottom"/>
          </w:tcPr>
          <w:p w14:paraId="618BA435" w14:textId="3FD6AB48" w:rsidR="00E071AF" w:rsidRPr="003D1614" w:rsidRDefault="003A5740" w:rsidP="00CA7F04">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z w:val="17"/>
                <w:szCs w:val="17"/>
              </w:rPr>
              <w:t>33.314</w:t>
            </w:r>
          </w:p>
        </w:tc>
      </w:tr>
      <w:tr w:rsidR="00E071AF" w:rsidRPr="003D1614" w14:paraId="58DAF7EA" w14:textId="77777777" w:rsidTr="00CA7F04">
        <w:trPr>
          <w:trHeight w:val="283"/>
          <w:jc w:val="center"/>
        </w:trPr>
        <w:tc>
          <w:tcPr>
            <w:tcW w:w="6094" w:type="dxa"/>
            <w:shd w:val="clear" w:color="auto" w:fill="auto"/>
            <w:vAlign w:val="bottom"/>
          </w:tcPr>
          <w:p w14:paraId="148BB578" w14:textId="77777777" w:rsidR="00E071AF" w:rsidRPr="003D1614" w:rsidRDefault="00E071AF" w:rsidP="00CA7F04">
            <w:pPr>
              <w:tabs>
                <w:tab w:val="right" w:pos="1202"/>
              </w:tabs>
              <w:suppressAutoHyphens/>
              <w:autoSpaceDN w:val="0"/>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Financijska imovina po fer vrijednosti kroz ostalu sveobuhvatnu dobit:</w:t>
            </w:r>
          </w:p>
        </w:tc>
        <w:tc>
          <w:tcPr>
            <w:tcW w:w="1060" w:type="dxa"/>
            <w:vAlign w:val="bottom"/>
          </w:tcPr>
          <w:p w14:paraId="4EBD747D" w14:textId="77777777" w:rsidR="00E071AF" w:rsidRPr="003D1614" w:rsidDel="00561A80" w:rsidRDefault="00E071AF"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vAlign w:val="bottom"/>
          </w:tcPr>
          <w:p w14:paraId="552ACC94" w14:textId="77777777" w:rsidR="00E071AF" w:rsidRPr="003D1614" w:rsidDel="00561A80" w:rsidRDefault="00E071AF"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vAlign w:val="bottom"/>
          </w:tcPr>
          <w:p w14:paraId="65F73C8E" w14:textId="77777777" w:rsidR="00E071AF" w:rsidRPr="003D1614" w:rsidDel="00561A80" w:rsidRDefault="00E071AF" w:rsidP="00CA7F04">
            <w:pPr>
              <w:tabs>
                <w:tab w:val="right" w:pos="1202"/>
              </w:tabs>
              <w:suppressAutoHyphens/>
              <w:autoSpaceDN w:val="0"/>
              <w:jc w:val="right"/>
              <w:outlineLvl w:val="0"/>
              <w:rPr>
                <w:rFonts w:ascii="Arial" w:eastAsia="Calibri" w:hAnsi="Arial" w:cs="Arial"/>
                <w:color w:val="000000"/>
                <w:spacing w:val="-2"/>
                <w:sz w:val="17"/>
                <w:szCs w:val="17"/>
              </w:rPr>
            </w:pPr>
          </w:p>
        </w:tc>
      </w:tr>
      <w:tr w:rsidR="00E071AF" w:rsidRPr="003D1614" w14:paraId="0B6865D2" w14:textId="77777777" w:rsidTr="00CA7F04">
        <w:trPr>
          <w:trHeight w:val="283"/>
          <w:jc w:val="center"/>
        </w:trPr>
        <w:tc>
          <w:tcPr>
            <w:tcW w:w="6094" w:type="dxa"/>
            <w:shd w:val="clear" w:color="auto" w:fill="auto"/>
            <w:vAlign w:val="bottom"/>
          </w:tcPr>
          <w:p w14:paraId="6365AE29" w14:textId="77777777" w:rsidR="00E071AF" w:rsidRPr="003D1614" w:rsidRDefault="00E071AF" w:rsidP="00CA7F04">
            <w:pPr>
              <w:tabs>
                <w:tab w:val="right" w:pos="1202"/>
              </w:tabs>
              <w:suppressAutoHyphens/>
              <w:autoSpaceDN w:val="0"/>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Dužnički vrijednosni papiri:</w:t>
            </w:r>
          </w:p>
        </w:tc>
        <w:tc>
          <w:tcPr>
            <w:tcW w:w="1060" w:type="dxa"/>
            <w:vAlign w:val="bottom"/>
          </w:tcPr>
          <w:p w14:paraId="4ED75926" w14:textId="77777777" w:rsidR="00E071AF" w:rsidRPr="003D1614" w:rsidDel="00561A80" w:rsidRDefault="00E071AF"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vAlign w:val="bottom"/>
          </w:tcPr>
          <w:p w14:paraId="3683E31E" w14:textId="77777777" w:rsidR="00E071AF" w:rsidRPr="003D1614" w:rsidDel="00561A80" w:rsidRDefault="00E071AF"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vAlign w:val="bottom"/>
          </w:tcPr>
          <w:p w14:paraId="7CACC758" w14:textId="77777777" w:rsidR="00E071AF" w:rsidRPr="003D1614" w:rsidDel="00561A80" w:rsidRDefault="00E071AF" w:rsidP="00CA7F04">
            <w:pPr>
              <w:tabs>
                <w:tab w:val="right" w:pos="1202"/>
              </w:tabs>
              <w:suppressAutoHyphens/>
              <w:autoSpaceDN w:val="0"/>
              <w:jc w:val="right"/>
              <w:outlineLvl w:val="0"/>
              <w:rPr>
                <w:rFonts w:ascii="Arial" w:eastAsia="Calibri" w:hAnsi="Arial" w:cs="Arial"/>
                <w:color w:val="000000"/>
                <w:spacing w:val="-2"/>
                <w:sz w:val="17"/>
                <w:szCs w:val="17"/>
              </w:rPr>
            </w:pPr>
          </w:p>
        </w:tc>
      </w:tr>
      <w:tr w:rsidR="00E071AF" w:rsidRPr="003D1614" w14:paraId="7EDE5F15" w14:textId="77777777" w:rsidTr="00CA7F04">
        <w:trPr>
          <w:trHeight w:val="283"/>
          <w:jc w:val="center"/>
        </w:trPr>
        <w:tc>
          <w:tcPr>
            <w:tcW w:w="6094" w:type="dxa"/>
            <w:shd w:val="clear" w:color="auto" w:fill="auto"/>
            <w:vAlign w:val="bottom"/>
          </w:tcPr>
          <w:p w14:paraId="3F16DDAA" w14:textId="77777777" w:rsidR="00E071AF" w:rsidRPr="003D1614" w:rsidRDefault="00E071AF" w:rsidP="00CA7F04">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b/>
                <w:i/>
                <w:color w:val="000000"/>
                <w:spacing w:val="-2"/>
                <w:sz w:val="17"/>
                <w:szCs w:val="17"/>
              </w:rPr>
              <w:t>Dužnički vrijednosni papiri koji kotiraju:</w:t>
            </w:r>
          </w:p>
        </w:tc>
        <w:tc>
          <w:tcPr>
            <w:tcW w:w="1060" w:type="dxa"/>
            <w:shd w:val="clear" w:color="auto" w:fill="auto"/>
            <w:vAlign w:val="bottom"/>
          </w:tcPr>
          <w:p w14:paraId="6B429B52" w14:textId="77777777" w:rsidR="00E071AF" w:rsidRPr="003D1614" w:rsidDel="00561A80" w:rsidRDefault="00E071AF"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shd w:val="clear" w:color="auto" w:fill="auto"/>
            <w:vAlign w:val="bottom"/>
          </w:tcPr>
          <w:p w14:paraId="754D8D73" w14:textId="77777777" w:rsidR="00E071AF" w:rsidRPr="003D1614" w:rsidDel="00561A80" w:rsidRDefault="00E071AF"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shd w:val="clear" w:color="auto" w:fill="auto"/>
            <w:vAlign w:val="bottom"/>
          </w:tcPr>
          <w:p w14:paraId="3B386DF0" w14:textId="77777777" w:rsidR="00E071AF" w:rsidRPr="003D1614" w:rsidDel="00561A80" w:rsidRDefault="00E071AF" w:rsidP="00CA7F04">
            <w:pPr>
              <w:tabs>
                <w:tab w:val="right" w:pos="1202"/>
              </w:tabs>
              <w:suppressAutoHyphens/>
              <w:autoSpaceDN w:val="0"/>
              <w:jc w:val="right"/>
              <w:outlineLvl w:val="0"/>
              <w:rPr>
                <w:rFonts w:ascii="Arial" w:eastAsia="Calibri" w:hAnsi="Arial" w:cs="Arial"/>
                <w:color w:val="000000"/>
                <w:spacing w:val="-2"/>
                <w:sz w:val="17"/>
                <w:szCs w:val="17"/>
              </w:rPr>
            </w:pPr>
          </w:p>
        </w:tc>
      </w:tr>
      <w:tr w:rsidR="00E071AF" w:rsidRPr="003D1614" w14:paraId="3491249C" w14:textId="77777777" w:rsidTr="00CA7F04">
        <w:trPr>
          <w:trHeight w:val="283"/>
          <w:jc w:val="center"/>
        </w:trPr>
        <w:tc>
          <w:tcPr>
            <w:tcW w:w="6094" w:type="dxa"/>
            <w:shd w:val="clear" w:color="auto" w:fill="auto"/>
            <w:vAlign w:val="bottom"/>
          </w:tcPr>
          <w:p w14:paraId="33F2B319" w14:textId="77777777" w:rsidR="00E071AF" w:rsidRPr="003D1614" w:rsidRDefault="00E071AF" w:rsidP="00CA7F04">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Obveznice Republike Hrvatske</w:t>
            </w:r>
          </w:p>
        </w:tc>
        <w:tc>
          <w:tcPr>
            <w:tcW w:w="1060" w:type="dxa"/>
            <w:tcBorders>
              <w:top w:val="nil"/>
              <w:left w:val="nil"/>
              <w:bottom w:val="nil"/>
              <w:right w:val="nil"/>
            </w:tcBorders>
            <w:shd w:val="clear" w:color="auto" w:fill="auto"/>
            <w:vAlign w:val="bottom"/>
          </w:tcPr>
          <w:p w14:paraId="00CD9356" w14:textId="37AA23CF" w:rsidR="00E071AF" w:rsidRPr="003D1614" w:rsidRDefault="003A5740"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203.686</w:t>
            </w:r>
          </w:p>
        </w:tc>
        <w:tc>
          <w:tcPr>
            <w:tcW w:w="1060" w:type="dxa"/>
            <w:tcBorders>
              <w:top w:val="nil"/>
              <w:left w:val="nil"/>
              <w:bottom w:val="nil"/>
              <w:right w:val="nil"/>
            </w:tcBorders>
            <w:shd w:val="clear" w:color="auto" w:fill="auto"/>
            <w:vAlign w:val="bottom"/>
          </w:tcPr>
          <w:p w14:paraId="699A0821" w14:textId="04C27CDF" w:rsidR="00E071AF" w:rsidRPr="003D1614" w:rsidRDefault="003A5740"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5536DB8A" w14:textId="20B11BB5" w:rsidR="00E071AF" w:rsidRPr="003D1614" w:rsidRDefault="003A5740"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E071AF" w:rsidRPr="003D1614" w14:paraId="637EA67F" w14:textId="77777777" w:rsidTr="00CA7F04">
        <w:trPr>
          <w:trHeight w:val="283"/>
          <w:jc w:val="center"/>
        </w:trPr>
        <w:tc>
          <w:tcPr>
            <w:tcW w:w="6094" w:type="dxa"/>
            <w:shd w:val="clear" w:color="auto" w:fill="auto"/>
            <w:vAlign w:val="bottom"/>
          </w:tcPr>
          <w:p w14:paraId="3F364898" w14:textId="77777777" w:rsidR="00E071AF" w:rsidRPr="003D1614" w:rsidRDefault="00E071AF" w:rsidP="00CA7F04">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Trezorski zapisi Ministarstva financija</w:t>
            </w:r>
          </w:p>
        </w:tc>
        <w:tc>
          <w:tcPr>
            <w:tcW w:w="1060" w:type="dxa"/>
            <w:tcBorders>
              <w:top w:val="nil"/>
              <w:left w:val="nil"/>
              <w:bottom w:val="nil"/>
              <w:right w:val="nil"/>
            </w:tcBorders>
            <w:shd w:val="clear" w:color="auto" w:fill="auto"/>
            <w:vAlign w:val="bottom"/>
          </w:tcPr>
          <w:p w14:paraId="208BB37B" w14:textId="103E7188" w:rsidR="00E071AF" w:rsidRPr="003D1614" w:rsidRDefault="003A5740"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26.400</w:t>
            </w:r>
          </w:p>
        </w:tc>
        <w:tc>
          <w:tcPr>
            <w:tcW w:w="1060" w:type="dxa"/>
            <w:tcBorders>
              <w:top w:val="nil"/>
              <w:left w:val="nil"/>
              <w:bottom w:val="nil"/>
              <w:right w:val="nil"/>
            </w:tcBorders>
            <w:shd w:val="clear" w:color="auto" w:fill="auto"/>
            <w:vAlign w:val="bottom"/>
          </w:tcPr>
          <w:p w14:paraId="2A713B5E" w14:textId="253E0EFE" w:rsidR="00E071AF" w:rsidRPr="003D1614" w:rsidRDefault="003A5740"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54FF5C24" w14:textId="3A4BF4B2" w:rsidR="00E071AF" w:rsidRPr="003D1614" w:rsidRDefault="003A5740"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E071AF" w:rsidRPr="003D1614" w14:paraId="264D5916" w14:textId="77777777" w:rsidTr="00CA7F04">
        <w:trPr>
          <w:trHeight w:val="283"/>
          <w:jc w:val="center"/>
        </w:trPr>
        <w:tc>
          <w:tcPr>
            <w:tcW w:w="6094" w:type="dxa"/>
            <w:shd w:val="clear" w:color="auto" w:fill="auto"/>
            <w:vAlign w:val="bottom"/>
          </w:tcPr>
          <w:p w14:paraId="0CC632AD" w14:textId="77777777" w:rsidR="00E071AF" w:rsidRPr="003D1614" w:rsidRDefault="00E071AF" w:rsidP="00CA7F04">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 xml:space="preserve">Obračunana kamata </w:t>
            </w:r>
          </w:p>
        </w:tc>
        <w:tc>
          <w:tcPr>
            <w:tcW w:w="1060" w:type="dxa"/>
            <w:tcBorders>
              <w:top w:val="nil"/>
              <w:left w:val="nil"/>
              <w:bottom w:val="nil"/>
              <w:right w:val="nil"/>
            </w:tcBorders>
            <w:shd w:val="clear" w:color="auto" w:fill="auto"/>
            <w:vAlign w:val="bottom"/>
          </w:tcPr>
          <w:p w14:paraId="2A92D6D7" w14:textId="042B317A" w:rsidR="00E071AF" w:rsidRPr="003D1614" w:rsidRDefault="003A5740"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1.473</w:t>
            </w:r>
          </w:p>
        </w:tc>
        <w:tc>
          <w:tcPr>
            <w:tcW w:w="1060" w:type="dxa"/>
            <w:tcBorders>
              <w:top w:val="nil"/>
              <w:left w:val="nil"/>
              <w:bottom w:val="nil"/>
              <w:right w:val="nil"/>
            </w:tcBorders>
            <w:shd w:val="clear" w:color="auto" w:fill="auto"/>
            <w:vAlign w:val="bottom"/>
          </w:tcPr>
          <w:p w14:paraId="5E48AE3A" w14:textId="22EF34F2" w:rsidR="00E071AF" w:rsidRPr="003D1614" w:rsidRDefault="003A5740"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2550C2C9" w14:textId="6DFDC7B6" w:rsidR="00E071AF" w:rsidRPr="003D1614" w:rsidRDefault="003A5740"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E071AF" w:rsidRPr="003D1614" w14:paraId="59AEDA07" w14:textId="77777777" w:rsidTr="00CA7F04">
        <w:trPr>
          <w:trHeight w:val="283"/>
          <w:jc w:val="center"/>
        </w:trPr>
        <w:tc>
          <w:tcPr>
            <w:tcW w:w="6094" w:type="dxa"/>
            <w:shd w:val="clear" w:color="auto" w:fill="auto"/>
            <w:vAlign w:val="bottom"/>
          </w:tcPr>
          <w:p w14:paraId="005F6016" w14:textId="77777777" w:rsidR="00E071AF" w:rsidRPr="003D1614" w:rsidRDefault="00E071AF" w:rsidP="00CA7F04">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b/>
                <w:i/>
                <w:color w:val="000000"/>
                <w:spacing w:val="-2"/>
                <w:sz w:val="17"/>
                <w:szCs w:val="17"/>
              </w:rPr>
              <w:t>Dužnički vrijednosni papiri koji ne kotiraju:</w:t>
            </w:r>
          </w:p>
        </w:tc>
        <w:tc>
          <w:tcPr>
            <w:tcW w:w="1060" w:type="dxa"/>
            <w:tcBorders>
              <w:top w:val="nil"/>
              <w:left w:val="nil"/>
              <w:bottom w:val="nil"/>
              <w:right w:val="nil"/>
            </w:tcBorders>
            <w:shd w:val="clear" w:color="auto" w:fill="auto"/>
            <w:vAlign w:val="bottom"/>
          </w:tcPr>
          <w:p w14:paraId="65F5DD38" w14:textId="37448B3C" w:rsidR="00E071AF" w:rsidRPr="003D1614" w:rsidRDefault="00E071AF" w:rsidP="00CA7F04">
            <w:pPr>
              <w:tabs>
                <w:tab w:val="right" w:pos="1202"/>
              </w:tabs>
              <w:suppressAutoHyphens/>
              <w:autoSpaceDN w:val="0"/>
              <w:jc w:val="right"/>
              <w:outlineLvl w:val="0"/>
              <w:rPr>
                <w:rFonts w:ascii="Arial" w:eastAsia="Calibri" w:hAnsi="Arial" w:cs="Arial"/>
                <w:color w:val="000000"/>
                <w:sz w:val="17"/>
                <w:szCs w:val="17"/>
              </w:rPr>
            </w:pPr>
          </w:p>
        </w:tc>
        <w:tc>
          <w:tcPr>
            <w:tcW w:w="1060" w:type="dxa"/>
            <w:tcBorders>
              <w:top w:val="nil"/>
              <w:left w:val="nil"/>
              <w:bottom w:val="nil"/>
              <w:right w:val="nil"/>
            </w:tcBorders>
            <w:shd w:val="clear" w:color="auto" w:fill="auto"/>
            <w:vAlign w:val="bottom"/>
          </w:tcPr>
          <w:p w14:paraId="24349426" w14:textId="2BAD6D3D" w:rsidR="00E071AF" w:rsidRPr="003D1614" w:rsidRDefault="00E071AF"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tcBorders>
              <w:top w:val="nil"/>
              <w:left w:val="nil"/>
              <w:bottom w:val="nil"/>
              <w:right w:val="nil"/>
            </w:tcBorders>
            <w:shd w:val="clear" w:color="auto" w:fill="auto"/>
            <w:vAlign w:val="bottom"/>
          </w:tcPr>
          <w:p w14:paraId="10243FC3" w14:textId="0FB4F1D0" w:rsidR="00E071AF" w:rsidRPr="003D1614" w:rsidRDefault="00E071AF" w:rsidP="00CA7F04">
            <w:pPr>
              <w:tabs>
                <w:tab w:val="right" w:pos="1202"/>
              </w:tabs>
              <w:suppressAutoHyphens/>
              <w:autoSpaceDN w:val="0"/>
              <w:jc w:val="right"/>
              <w:outlineLvl w:val="0"/>
              <w:rPr>
                <w:rFonts w:ascii="Arial" w:eastAsia="Calibri" w:hAnsi="Arial" w:cs="Arial"/>
                <w:color w:val="000000"/>
                <w:spacing w:val="-2"/>
                <w:sz w:val="17"/>
                <w:szCs w:val="17"/>
              </w:rPr>
            </w:pPr>
          </w:p>
        </w:tc>
      </w:tr>
      <w:tr w:rsidR="00E071AF" w:rsidRPr="003D1614" w14:paraId="2F9EBE9E" w14:textId="77777777" w:rsidTr="00CA7F04">
        <w:trPr>
          <w:trHeight w:val="283"/>
          <w:jc w:val="center"/>
        </w:trPr>
        <w:tc>
          <w:tcPr>
            <w:tcW w:w="6094" w:type="dxa"/>
            <w:shd w:val="clear" w:color="auto" w:fill="auto"/>
            <w:vAlign w:val="bottom"/>
          </w:tcPr>
          <w:p w14:paraId="23EF359B" w14:textId="77777777" w:rsidR="00E071AF" w:rsidRPr="003D1614" w:rsidRDefault="00E071AF" w:rsidP="00CA7F04">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 xml:space="preserve">Obveznice trgovačkih društava </w:t>
            </w:r>
          </w:p>
        </w:tc>
        <w:tc>
          <w:tcPr>
            <w:tcW w:w="1060" w:type="dxa"/>
            <w:tcBorders>
              <w:top w:val="nil"/>
              <w:left w:val="nil"/>
              <w:bottom w:val="nil"/>
              <w:right w:val="nil"/>
            </w:tcBorders>
            <w:shd w:val="clear" w:color="auto" w:fill="auto"/>
            <w:vAlign w:val="bottom"/>
          </w:tcPr>
          <w:p w14:paraId="2AE846D7" w14:textId="366A4E30" w:rsidR="00E071AF" w:rsidRPr="003D1614" w:rsidRDefault="003A5740" w:rsidP="00CA7F04">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060" w:type="dxa"/>
            <w:tcBorders>
              <w:top w:val="nil"/>
              <w:left w:val="nil"/>
              <w:bottom w:val="nil"/>
              <w:right w:val="nil"/>
            </w:tcBorders>
            <w:shd w:val="clear" w:color="auto" w:fill="auto"/>
            <w:vAlign w:val="bottom"/>
          </w:tcPr>
          <w:p w14:paraId="2BF25D2E" w14:textId="011D36EA" w:rsidR="00E071AF" w:rsidRPr="003D1614" w:rsidRDefault="003A5740" w:rsidP="00CA7F04">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060" w:type="dxa"/>
            <w:tcBorders>
              <w:top w:val="nil"/>
              <w:left w:val="nil"/>
              <w:bottom w:val="nil"/>
              <w:right w:val="nil"/>
            </w:tcBorders>
            <w:shd w:val="clear" w:color="auto" w:fill="auto"/>
            <w:vAlign w:val="bottom"/>
          </w:tcPr>
          <w:p w14:paraId="0BED7499" w14:textId="557D21E7" w:rsidR="00E071AF" w:rsidRPr="003D1614" w:rsidRDefault="003A5740" w:rsidP="00CA7F04">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79</w:t>
            </w:r>
          </w:p>
        </w:tc>
      </w:tr>
      <w:tr w:rsidR="00E071AF" w:rsidRPr="003D1614" w14:paraId="672D57D3" w14:textId="77777777" w:rsidTr="00CA7F04">
        <w:trPr>
          <w:trHeight w:val="283"/>
          <w:jc w:val="center"/>
        </w:trPr>
        <w:tc>
          <w:tcPr>
            <w:tcW w:w="6094" w:type="dxa"/>
            <w:shd w:val="clear" w:color="auto" w:fill="auto"/>
            <w:vAlign w:val="bottom"/>
          </w:tcPr>
          <w:p w14:paraId="78036D3D" w14:textId="77777777" w:rsidR="00E071AF" w:rsidRPr="003D1614" w:rsidRDefault="00E071AF" w:rsidP="00CA7F04">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Zamjenjive obveznice CB</w:t>
            </w:r>
          </w:p>
        </w:tc>
        <w:tc>
          <w:tcPr>
            <w:tcW w:w="1060" w:type="dxa"/>
            <w:tcBorders>
              <w:top w:val="nil"/>
              <w:left w:val="nil"/>
              <w:bottom w:val="nil"/>
              <w:right w:val="nil"/>
            </w:tcBorders>
            <w:shd w:val="clear" w:color="auto" w:fill="auto"/>
            <w:vAlign w:val="bottom"/>
          </w:tcPr>
          <w:p w14:paraId="3682C60E" w14:textId="2BF3A576" w:rsidR="00E071AF" w:rsidRPr="003D1614" w:rsidRDefault="003A5740" w:rsidP="00CA7F04">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060" w:type="dxa"/>
            <w:tcBorders>
              <w:top w:val="nil"/>
              <w:left w:val="nil"/>
              <w:bottom w:val="nil"/>
              <w:right w:val="nil"/>
            </w:tcBorders>
            <w:shd w:val="clear" w:color="auto" w:fill="auto"/>
            <w:vAlign w:val="bottom"/>
          </w:tcPr>
          <w:p w14:paraId="51F4DB88" w14:textId="385E4645" w:rsidR="00E071AF" w:rsidRPr="003D1614" w:rsidRDefault="003A5740" w:rsidP="00CA7F04">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060" w:type="dxa"/>
            <w:tcBorders>
              <w:top w:val="nil"/>
              <w:left w:val="nil"/>
              <w:bottom w:val="nil"/>
              <w:right w:val="nil"/>
            </w:tcBorders>
            <w:shd w:val="clear" w:color="auto" w:fill="auto"/>
            <w:vAlign w:val="bottom"/>
          </w:tcPr>
          <w:p w14:paraId="3996BF15" w14:textId="6E91D17D" w:rsidR="00E071AF" w:rsidRPr="003D1614" w:rsidRDefault="003A5740" w:rsidP="00CA7F04">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195</w:t>
            </w:r>
          </w:p>
        </w:tc>
      </w:tr>
      <w:tr w:rsidR="00E071AF" w:rsidRPr="003D1614" w14:paraId="738CE11F" w14:textId="77777777" w:rsidTr="00CA7F04">
        <w:trPr>
          <w:trHeight w:val="283"/>
          <w:jc w:val="center"/>
        </w:trPr>
        <w:tc>
          <w:tcPr>
            <w:tcW w:w="6094" w:type="dxa"/>
            <w:shd w:val="clear" w:color="auto" w:fill="auto"/>
            <w:vAlign w:val="bottom"/>
          </w:tcPr>
          <w:p w14:paraId="518F39A1" w14:textId="77777777" w:rsidR="00E071AF" w:rsidRPr="003D1614" w:rsidRDefault="00E071AF" w:rsidP="00CA7F04">
            <w:pPr>
              <w:tabs>
                <w:tab w:val="right" w:pos="1202"/>
              </w:tabs>
              <w:suppressAutoHyphens/>
              <w:autoSpaceDN w:val="0"/>
              <w:outlineLvl w:val="0"/>
              <w:rPr>
                <w:rFonts w:ascii="Arial" w:eastAsia="Calibri" w:hAnsi="Arial" w:cs="Arial"/>
                <w:color w:val="000000"/>
                <w:spacing w:val="-2"/>
                <w:sz w:val="17"/>
                <w:szCs w:val="17"/>
              </w:rPr>
            </w:pPr>
            <w:r w:rsidRPr="003D1614">
              <w:rPr>
                <w:rFonts w:ascii="Arial" w:eastAsia="Calibri" w:hAnsi="Arial" w:cs="Arial"/>
                <w:color w:val="000000"/>
                <w:spacing w:val="-2"/>
                <w:sz w:val="17"/>
                <w:szCs w:val="17"/>
              </w:rPr>
              <w:t>Obračunata kamata</w:t>
            </w:r>
          </w:p>
        </w:tc>
        <w:tc>
          <w:tcPr>
            <w:tcW w:w="1060" w:type="dxa"/>
            <w:tcBorders>
              <w:top w:val="nil"/>
              <w:left w:val="nil"/>
              <w:bottom w:val="single" w:sz="4" w:space="0" w:color="auto"/>
              <w:right w:val="nil"/>
            </w:tcBorders>
            <w:shd w:val="clear" w:color="auto" w:fill="auto"/>
            <w:vAlign w:val="bottom"/>
          </w:tcPr>
          <w:p w14:paraId="7EA2B89D" w14:textId="1A27B1AF" w:rsidR="00E071AF" w:rsidRPr="003D1614" w:rsidRDefault="003A5740" w:rsidP="00CA7F04">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060" w:type="dxa"/>
            <w:tcBorders>
              <w:top w:val="nil"/>
              <w:left w:val="nil"/>
              <w:bottom w:val="single" w:sz="4" w:space="0" w:color="auto"/>
              <w:right w:val="nil"/>
            </w:tcBorders>
            <w:shd w:val="clear" w:color="auto" w:fill="auto"/>
            <w:vAlign w:val="bottom"/>
          </w:tcPr>
          <w:p w14:paraId="43916B27" w14:textId="6F947CB1" w:rsidR="00E071AF" w:rsidRPr="003D1614" w:rsidRDefault="003A5740" w:rsidP="00CA7F04">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w:t>
            </w:r>
          </w:p>
        </w:tc>
        <w:tc>
          <w:tcPr>
            <w:tcW w:w="1060" w:type="dxa"/>
            <w:tcBorders>
              <w:top w:val="nil"/>
              <w:left w:val="nil"/>
              <w:bottom w:val="single" w:sz="4" w:space="0" w:color="auto"/>
              <w:right w:val="nil"/>
            </w:tcBorders>
            <w:shd w:val="clear" w:color="auto" w:fill="auto"/>
            <w:vAlign w:val="bottom"/>
          </w:tcPr>
          <w:p w14:paraId="3CC8846B" w14:textId="17FB44CE" w:rsidR="00E071AF" w:rsidRPr="003D1614" w:rsidRDefault="003A5740" w:rsidP="00CA7F04">
            <w:pPr>
              <w:tabs>
                <w:tab w:val="right" w:pos="1202"/>
              </w:tabs>
              <w:suppressAutoHyphens/>
              <w:autoSpaceDN w:val="0"/>
              <w:jc w:val="right"/>
              <w:outlineLvl w:val="0"/>
              <w:rPr>
                <w:rFonts w:ascii="Arial" w:eastAsia="Calibri" w:hAnsi="Arial" w:cs="Arial"/>
                <w:color w:val="000000"/>
                <w:spacing w:val="-2"/>
                <w:sz w:val="17"/>
                <w:szCs w:val="17"/>
              </w:rPr>
            </w:pPr>
            <w:r>
              <w:rPr>
                <w:rFonts w:ascii="Arial" w:eastAsia="Calibri" w:hAnsi="Arial" w:cs="Arial"/>
                <w:color w:val="000000"/>
                <w:spacing w:val="-2"/>
                <w:sz w:val="17"/>
                <w:szCs w:val="17"/>
              </w:rPr>
              <w:t>2</w:t>
            </w:r>
          </w:p>
        </w:tc>
      </w:tr>
      <w:tr w:rsidR="00E071AF" w:rsidRPr="003D1614" w14:paraId="2B397196" w14:textId="77777777" w:rsidTr="00CA7F04">
        <w:trPr>
          <w:trHeight w:val="283"/>
          <w:jc w:val="center"/>
        </w:trPr>
        <w:tc>
          <w:tcPr>
            <w:tcW w:w="6094" w:type="dxa"/>
            <w:shd w:val="clear" w:color="auto" w:fill="auto"/>
            <w:vAlign w:val="bottom"/>
          </w:tcPr>
          <w:p w14:paraId="7EA563CF" w14:textId="77777777" w:rsidR="00E071AF" w:rsidRPr="003D1614" w:rsidRDefault="00E071AF" w:rsidP="00CA7F04">
            <w:pPr>
              <w:tabs>
                <w:tab w:val="right" w:pos="1202"/>
              </w:tabs>
              <w:suppressAutoHyphens/>
              <w:autoSpaceDN w:val="0"/>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Ukupno dužnički vrijednosni papiri</w:t>
            </w:r>
          </w:p>
        </w:tc>
        <w:tc>
          <w:tcPr>
            <w:tcW w:w="1060" w:type="dxa"/>
            <w:tcBorders>
              <w:top w:val="single" w:sz="4" w:space="0" w:color="auto"/>
              <w:left w:val="nil"/>
              <w:bottom w:val="single" w:sz="4" w:space="0" w:color="auto"/>
              <w:right w:val="nil"/>
            </w:tcBorders>
            <w:shd w:val="clear" w:color="auto" w:fill="auto"/>
            <w:vAlign w:val="bottom"/>
          </w:tcPr>
          <w:p w14:paraId="29F2FEA7" w14:textId="597A024B" w:rsidR="00E071AF" w:rsidRPr="003D1614" w:rsidRDefault="003A5740" w:rsidP="00CA7F04">
            <w:pPr>
              <w:tabs>
                <w:tab w:val="right" w:pos="1202"/>
              </w:tabs>
              <w:suppressAutoHyphens/>
              <w:autoSpaceDN w:val="0"/>
              <w:jc w:val="right"/>
              <w:outlineLvl w:val="0"/>
              <w:rPr>
                <w:rFonts w:ascii="Arial" w:eastAsia="Calibri" w:hAnsi="Arial" w:cs="Arial"/>
                <w:b/>
                <w:bCs/>
                <w:color w:val="000000"/>
                <w:spacing w:val="-2"/>
                <w:sz w:val="17"/>
                <w:szCs w:val="17"/>
              </w:rPr>
            </w:pPr>
            <w:r>
              <w:rPr>
                <w:rFonts w:ascii="Arial" w:eastAsia="Calibri" w:hAnsi="Arial" w:cs="Arial"/>
                <w:b/>
                <w:bCs/>
                <w:color w:val="000000"/>
                <w:spacing w:val="-2"/>
                <w:sz w:val="17"/>
                <w:szCs w:val="17"/>
              </w:rPr>
              <w:t>231.559</w:t>
            </w:r>
          </w:p>
        </w:tc>
        <w:tc>
          <w:tcPr>
            <w:tcW w:w="1060" w:type="dxa"/>
            <w:tcBorders>
              <w:top w:val="single" w:sz="4" w:space="0" w:color="auto"/>
              <w:left w:val="nil"/>
              <w:bottom w:val="single" w:sz="4" w:space="0" w:color="auto"/>
              <w:right w:val="nil"/>
            </w:tcBorders>
            <w:shd w:val="clear" w:color="auto" w:fill="auto"/>
            <w:vAlign w:val="bottom"/>
          </w:tcPr>
          <w:p w14:paraId="6A200948" w14:textId="517C2611" w:rsidR="00E071AF" w:rsidRPr="003D1614" w:rsidRDefault="003A5740" w:rsidP="00CA7F04">
            <w:pPr>
              <w:tabs>
                <w:tab w:val="right" w:pos="1202"/>
              </w:tabs>
              <w:suppressAutoHyphens/>
              <w:autoSpaceDN w:val="0"/>
              <w:jc w:val="right"/>
              <w:outlineLvl w:val="0"/>
              <w:rPr>
                <w:rFonts w:ascii="Arial" w:eastAsia="Calibri" w:hAnsi="Arial" w:cs="Arial"/>
                <w:b/>
                <w:bCs/>
                <w:color w:val="000000"/>
                <w:spacing w:val="-2"/>
                <w:sz w:val="17"/>
                <w:szCs w:val="17"/>
              </w:rPr>
            </w:pPr>
            <w:r>
              <w:rPr>
                <w:rFonts w:ascii="Arial" w:eastAsia="Calibri" w:hAnsi="Arial" w:cs="Arial"/>
                <w:b/>
                <w:bCs/>
                <w:color w:val="000000"/>
                <w:spacing w:val="-2"/>
                <w:sz w:val="17"/>
                <w:szCs w:val="17"/>
              </w:rPr>
              <w:t>-</w:t>
            </w:r>
          </w:p>
        </w:tc>
        <w:tc>
          <w:tcPr>
            <w:tcW w:w="1060" w:type="dxa"/>
            <w:tcBorders>
              <w:top w:val="single" w:sz="4" w:space="0" w:color="auto"/>
              <w:left w:val="nil"/>
              <w:bottom w:val="single" w:sz="4" w:space="0" w:color="auto"/>
              <w:right w:val="nil"/>
            </w:tcBorders>
            <w:shd w:val="clear" w:color="auto" w:fill="auto"/>
            <w:vAlign w:val="bottom"/>
          </w:tcPr>
          <w:p w14:paraId="6A110D55" w14:textId="5DB3A536" w:rsidR="00E071AF" w:rsidRPr="003D1614" w:rsidRDefault="003A5740" w:rsidP="00CA7F04">
            <w:pPr>
              <w:tabs>
                <w:tab w:val="right" w:pos="1202"/>
              </w:tabs>
              <w:suppressAutoHyphens/>
              <w:autoSpaceDN w:val="0"/>
              <w:jc w:val="right"/>
              <w:outlineLvl w:val="0"/>
              <w:rPr>
                <w:rFonts w:ascii="Arial" w:eastAsia="Calibri" w:hAnsi="Arial" w:cs="Arial"/>
                <w:b/>
                <w:bCs/>
                <w:color w:val="000000"/>
                <w:spacing w:val="-2"/>
                <w:sz w:val="17"/>
                <w:szCs w:val="17"/>
              </w:rPr>
            </w:pPr>
            <w:r>
              <w:rPr>
                <w:rFonts w:ascii="Arial" w:eastAsia="Calibri" w:hAnsi="Arial" w:cs="Arial"/>
                <w:b/>
                <w:bCs/>
                <w:color w:val="000000"/>
                <w:spacing w:val="-2"/>
                <w:sz w:val="17"/>
                <w:szCs w:val="17"/>
              </w:rPr>
              <w:t>276</w:t>
            </w:r>
          </w:p>
        </w:tc>
      </w:tr>
      <w:tr w:rsidR="00E071AF" w:rsidRPr="003D1614" w14:paraId="33940410" w14:textId="77777777" w:rsidTr="00CA7F04">
        <w:trPr>
          <w:trHeight w:val="283"/>
          <w:jc w:val="center"/>
        </w:trPr>
        <w:tc>
          <w:tcPr>
            <w:tcW w:w="6094" w:type="dxa"/>
            <w:shd w:val="clear" w:color="auto" w:fill="auto"/>
            <w:vAlign w:val="bottom"/>
          </w:tcPr>
          <w:p w14:paraId="55C75D0F" w14:textId="77777777" w:rsidR="00E071AF" w:rsidRPr="003D1614" w:rsidRDefault="00E071AF" w:rsidP="00CA7F04">
            <w:pPr>
              <w:tabs>
                <w:tab w:val="right" w:pos="1202"/>
              </w:tabs>
              <w:suppressAutoHyphens/>
              <w:autoSpaceDN w:val="0"/>
              <w:outlineLvl w:val="0"/>
              <w:rPr>
                <w:rFonts w:ascii="Arial" w:eastAsia="Calibri" w:hAnsi="Arial" w:cs="Arial"/>
                <w:b/>
                <w:i/>
                <w:color w:val="000000"/>
                <w:spacing w:val="-2"/>
                <w:sz w:val="17"/>
                <w:szCs w:val="17"/>
              </w:rPr>
            </w:pPr>
            <w:r w:rsidRPr="003D1614">
              <w:rPr>
                <w:rFonts w:ascii="Arial" w:eastAsia="Calibri" w:hAnsi="Arial" w:cs="Arial"/>
                <w:b/>
                <w:i/>
                <w:color w:val="000000"/>
                <w:spacing w:val="-2"/>
                <w:sz w:val="17"/>
                <w:szCs w:val="17"/>
              </w:rPr>
              <w:t>Vlasnički vrijednosni papiri koji ne kotiraju:</w:t>
            </w:r>
          </w:p>
        </w:tc>
        <w:tc>
          <w:tcPr>
            <w:tcW w:w="1060" w:type="dxa"/>
            <w:tcBorders>
              <w:top w:val="single" w:sz="4" w:space="0" w:color="auto"/>
              <w:left w:val="nil"/>
              <w:right w:val="nil"/>
            </w:tcBorders>
            <w:shd w:val="clear" w:color="auto" w:fill="auto"/>
            <w:vAlign w:val="bottom"/>
          </w:tcPr>
          <w:p w14:paraId="5C49F2EC" w14:textId="77777777" w:rsidR="00E071AF" w:rsidRPr="003D1614" w:rsidDel="00561A80" w:rsidRDefault="00E071AF"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tcBorders>
              <w:top w:val="single" w:sz="4" w:space="0" w:color="auto"/>
              <w:left w:val="nil"/>
              <w:right w:val="nil"/>
            </w:tcBorders>
            <w:shd w:val="clear" w:color="auto" w:fill="auto"/>
            <w:vAlign w:val="bottom"/>
          </w:tcPr>
          <w:p w14:paraId="1BF925D9" w14:textId="77777777" w:rsidR="00E071AF" w:rsidRPr="003D1614" w:rsidDel="00561A80" w:rsidRDefault="00E071AF" w:rsidP="00CA7F04">
            <w:pPr>
              <w:tabs>
                <w:tab w:val="right" w:pos="1202"/>
              </w:tabs>
              <w:suppressAutoHyphens/>
              <w:autoSpaceDN w:val="0"/>
              <w:jc w:val="right"/>
              <w:outlineLvl w:val="0"/>
              <w:rPr>
                <w:rFonts w:ascii="Arial" w:eastAsia="Calibri" w:hAnsi="Arial" w:cs="Arial"/>
                <w:color w:val="000000"/>
                <w:spacing w:val="-2"/>
                <w:sz w:val="17"/>
                <w:szCs w:val="17"/>
              </w:rPr>
            </w:pPr>
          </w:p>
        </w:tc>
        <w:tc>
          <w:tcPr>
            <w:tcW w:w="1060" w:type="dxa"/>
            <w:tcBorders>
              <w:top w:val="single" w:sz="4" w:space="0" w:color="auto"/>
              <w:left w:val="nil"/>
              <w:right w:val="nil"/>
            </w:tcBorders>
            <w:shd w:val="clear" w:color="auto" w:fill="auto"/>
            <w:vAlign w:val="bottom"/>
          </w:tcPr>
          <w:p w14:paraId="402DAEB4" w14:textId="77777777" w:rsidR="00E071AF" w:rsidRPr="003D1614" w:rsidDel="00561A80" w:rsidRDefault="00E071AF" w:rsidP="00CA7F04">
            <w:pPr>
              <w:tabs>
                <w:tab w:val="right" w:pos="1202"/>
              </w:tabs>
              <w:suppressAutoHyphens/>
              <w:autoSpaceDN w:val="0"/>
              <w:jc w:val="right"/>
              <w:outlineLvl w:val="0"/>
              <w:rPr>
                <w:rFonts w:ascii="Arial" w:eastAsia="Calibri" w:hAnsi="Arial" w:cs="Arial"/>
                <w:color w:val="000000"/>
                <w:spacing w:val="-2"/>
                <w:sz w:val="17"/>
                <w:szCs w:val="17"/>
              </w:rPr>
            </w:pPr>
          </w:p>
        </w:tc>
      </w:tr>
      <w:tr w:rsidR="00E071AF" w:rsidRPr="003D1614" w14:paraId="11BCAC08" w14:textId="77777777" w:rsidTr="00CA7F04">
        <w:trPr>
          <w:trHeight w:val="283"/>
          <w:jc w:val="center"/>
        </w:trPr>
        <w:tc>
          <w:tcPr>
            <w:tcW w:w="6094" w:type="dxa"/>
            <w:shd w:val="clear" w:color="auto" w:fill="auto"/>
            <w:vAlign w:val="bottom"/>
          </w:tcPr>
          <w:p w14:paraId="506C9707" w14:textId="77777777" w:rsidR="00E071AF" w:rsidRPr="003D1614" w:rsidRDefault="00E071AF" w:rsidP="00CA7F04">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Dionice inozemnih pravnih osoba - SWIFT</w:t>
            </w:r>
          </w:p>
        </w:tc>
        <w:tc>
          <w:tcPr>
            <w:tcW w:w="1060" w:type="dxa"/>
            <w:tcBorders>
              <w:top w:val="nil"/>
              <w:left w:val="nil"/>
              <w:bottom w:val="nil"/>
              <w:right w:val="nil"/>
            </w:tcBorders>
            <w:shd w:val="clear" w:color="auto" w:fill="auto"/>
            <w:vAlign w:val="bottom"/>
          </w:tcPr>
          <w:p w14:paraId="70EAD0BD" w14:textId="382487B9" w:rsidR="00E071AF" w:rsidRPr="003D1614" w:rsidRDefault="003A5740"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7B56E3C2" w14:textId="59485721" w:rsidR="00E071AF" w:rsidRPr="003D1614" w:rsidRDefault="003A5740"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8</w:t>
            </w:r>
          </w:p>
        </w:tc>
        <w:tc>
          <w:tcPr>
            <w:tcW w:w="1060" w:type="dxa"/>
            <w:tcBorders>
              <w:top w:val="nil"/>
              <w:left w:val="nil"/>
              <w:bottom w:val="nil"/>
              <w:right w:val="nil"/>
            </w:tcBorders>
            <w:shd w:val="clear" w:color="auto" w:fill="auto"/>
            <w:vAlign w:val="bottom"/>
          </w:tcPr>
          <w:p w14:paraId="4F6C887B" w14:textId="210D8D1E" w:rsidR="00E071AF" w:rsidRPr="003D1614" w:rsidRDefault="003A5740"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E071AF" w:rsidRPr="003D1614" w14:paraId="63CA1AAC" w14:textId="77777777" w:rsidTr="00CA7F04">
        <w:trPr>
          <w:trHeight w:val="283"/>
          <w:jc w:val="center"/>
        </w:trPr>
        <w:tc>
          <w:tcPr>
            <w:tcW w:w="6094" w:type="dxa"/>
            <w:shd w:val="clear" w:color="auto" w:fill="auto"/>
            <w:vAlign w:val="bottom"/>
          </w:tcPr>
          <w:p w14:paraId="0E205E1D" w14:textId="77777777" w:rsidR="00E071AF" w:rsidRPr="003D1614" w:rsidRDefault="00E071AF" w:rsidP="00CA7F04">
            <w:pPr>
              <w:tabs>
                <w:tab w:val="right" w:pos="1202"/>
              </w:tabs>
              <w:suppressAutoHyphens/>
              <w:autoSpaceDN w:val="0"/>
              <w:outlineLvl w:val="0"/>
              <w:rPr>
                <w:rFonts w:ascii="Arial" w:eastAsia="Calibri" w:hAnsi="Arial" w:cs="Arial"/>
                <w:color w:val="000000"/>
                <w:sz w:val="17"/>
                <w:szCs w:val="17"/>
              </w:rPr>
            </w:pPr>
            <w:r w:rsidRPr="003D1614">
              <w:rPr>
                <w:rFonts w:ascii="Arial" w:eastAsia="Calibri" w:hAnsi="Arial" w:cs="Arial"/>
                <w:color w:val="000000"/>
                <w:sz w:val="17"/>
                <w:szCs w:val="17"/>
              </w:rPr>
              <w:t>Dionice inozemnih financijskih institucija – EIF</w:t>
            </w:r>
          </w:p>
        </w:tc>
        <w:tc>
          <w:tcPr>
            <w:tcW w:w="1060" w:type="dxa"/>
            <w:tcBorders>
              <w:top w:val="nil"/>
              <w:left w:val="nil"/>
              <w:bottom w:val="single" w:sz="4" w:space="0" w:color="auto"/>
              <w:right w:val="nil"/>
            </w:tcBorders>
            <w:shd w:val="clear" w:color="auto" w:fill="auto"/>
            <w:vAlign w:val="bottom"/>
          </w:tcPr>
          <w:p w14:paraId="0AC742A6" w14:textId="2D3569E6" w:rsidR="00E071AF" w:rsidRPr="003D1614" w:rsidRDefault="003A5740"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1954920E" w14:textId="10281664" w:rsidR="00E071AF" w:rsidRPr="003D1614" w:rsidRDefault="003A5740"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7.757</w:t>
            </w:r>
          </w:p>
        </w:tc>
        <w:tc>
          <w:tcPr>
            <w:tcW w:w="1060" w:type="dxa"/>
            <w:tcBorders>
              <w:top w:val="nil"/>
              <w:left w:val="nil"/>
              <w:bottom w:val="single" w:sz="4" w:space="0" w:color="auto"/>
              <w:right w:val="nil"/>
            </w:tcBorders>
            <w:shd w:val="clear" w:color="auto" w:fill="auto"/>
            <w:vAlign w:val="bottom"/>
          </w:tcPr>
          <w:p w14:paraId="5C73DBF5" w14:textId="553A2BD4" w:rsidR="00E071AF" w:rsidRPr="003D1614" w:rsidRDefault="003A5740" w:rsidP="00CA7F04">
            <w:pPr>
              <w:tabs>
                <w:tab w:val="right" w:pos="1202"/>
              </w:tabs>
              <w:suppressAutoHyphens/>
              <w:autoSpaceDN w:val="0"/>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E071AF" w:rsidRPr="003D1614" w14:paraId="281E076E" w14:textId="77777777" w:rsidTr="005D1219">
        <w:trPr>
          <w:trHeight w:val="283"/>
          <w:jc w:val="center"/>
        </w:trPr>
        <w:tc>
          <w:tcPr>
            <w:tcW w:w="6094" w:type="dxa"/>
            <w:shd w:val="clear" w:color="auto" w:fill="auto"/>
            <w:vAlign w:val="bottom"/>
          </w:tcPr>
          <w:p w14:paraId="5B6E1C10" w14:textId="77777777" w:rsidR="00E071AF" w:rsidRPr="003D1614" w:rsidRDefault="00E071AF" w:rsidP="00CA7F04">
            <w:pPr>
              <w:tabs>
                <w:tab w:val="right" w:pos="1202"/>
              </w:tabs>
              <w:suppressAutoHyphens/>
              <w:autoSpaceDN w:val="0"/>
              <w:outlineLvl w:val="0"/>
              <w:rPr>
                <w:rFonts w:ascii="Arial" w:eastAsia="Calibri" w:hAnsi="Arial" w:cs="Arial"/>
                <w:b/>
                <w:color w:val="000000"/>
                <w:sz w:val="17"/>
                <w:szCs w:val="17"/>
              </w:rPr>
            </w:pPr>
            <w:r w:rsidRPr="003D1614">
              <w:rPr>
                <w:rFonts w:ascii="Arial" w:eastAsia="Calibri" w:hAnsi="Arial" w:cs="Arial"/>
                <w:b/>
                <w:color w:val="000000"/>
                <w:sz w:val="17"/>
                <w:szCs w:val="17"/>
              </w:rPr>
              <w:t>Ukupno vlasnički vrijednosni papiri</w:t>
            </w:r>
          </w:p>
        </w:tc>
        <w:tc>
          <w:tcPr>
            <w:tcW w:w="1060" w:type="dxa"/>
            <w:tcBorders>
              <w:top w:val="single" w:sz="4" w:space="0" w:color="auto"/>
              <w:left w:val="nil"/>
              <w:bottom w:val="single" w:sz="12" w:space="0" w:color="auto"/>
              <w:right w:val="nil"/>
            </w:tcBorders>
            <w:shd w:val="clear" w:color="auto" w:fill="auto"/>
            <w:vAlign w:val="bottom"/>
          </w:tcPr>
          <w:p w14:paraId="2A377B03" w14:textId="158ABAAB" w:rsidR="00E071AF" w:rsidRPr="003D1614" w:rsidRDefault="003A5740" w:rsidP="00CA7F04">
            <w:pPr>
              <w:tabs>
                <w:tab w:val="right" w:pos="1202"/>
              </w:tabs>
              <w:suppressAutoHyphens/>
              <w:autoSpaceDN w:val="0"/>
              <w:jc w:val="right"/>
              <w:outlineLvl w:val="0"/>
              <w:rPr>
                <w:rFonts w:ascii="Arial" w:eastAsia="Calibri" w:hAnsi="Arial" w:cs="Arial"/>
                <w:b/>
                <w:bCs/>
                <w:color w:val="000000"/>
                <w:sz w:val="17"/>
                <w:szCs w:val="17"/>
              </w:rPr>
            </w:pPr>
            <w:r>
              <w:rPr>
                <w:rFonts w:ascii="Arial" w:eastAsia="Calibri" w:hAnsi="Arial" w:cs="Arial"/>
                <w:b/>
                <w:bCs/>
                <w:color w:val="000000"/>
                <w:sz w:val="17"/>
                <w:szCs w:val="17"/>
              </w:rPr>
              <w:t>-</w:t>
            </w:r>
          </w:p>
        </w:tc>
        <w:tc>
          <w:tcPr>
            <w:tcW w:w="1060" w:type="dxa"/>
            <w:tcBorders>
              <w:top w:val="single" w:sz="4" w:space="0" w:color="auto"/>
              <w:left w:val="nil"/>
              <w:bottom w:val="single" w:sz="12" w:space="0" w:color="auto"/>
              <w:right w:val="nil"/>
            </w:tcBorders>
            <w:shd w:val="clear" w:color="auto" w:fill="auto"/>
            <w:vAlign w:val="bottom"/>
          </w:tcPr>
          <w:p w14:paraId="2D76FCD4" w14:textId="2F8C581A" w:rsidR="00E071AF" w:rsidRPr="003D1614" w:rsidRDefault="003A5740" w:rsidP="00CA7F04">
            <w:pPr>
              <w:tabs>
                <w:tab w:val="right" w:pos="1202"/>
              </w:tabs>
              <w:suppressAutoHyphens/>
              <w:autoSpaceDN w:val="0"/>
              <w:jc w:val="right"/>
              <w:outlineLvl w:val="0"/>
              <w:rPr>
                <w:rFonts w:ascii="Arial" w:eastAsia="Calibri" w:hAnsi="Arial" w:cs="Arial"/>
                <w:b/>
                <w:bCs/>
                <w:color w:val="000000"/>
                <w:sz w:val="17"/>
                <w:szCs w:val="17"/>
              </w:rPr>
            </w:pPr>
            <w:r>
              <w:rPr>
                <w:rFonts w:ascii="Arial" w:eastAsia="Calibri" w:hAnsi="Arial" w:cs="Arial"/>
                <w:b/>
                <w:bCs/>
                <w:color w:val="000000"/>
                <w:sz w:val="17"/>
                <w:szCs w:val="17"/>
              </w:rPr>
              <w:t>7.765</w:t>
            </w:r>
          </w:p>
        </w:tc>
        <w:tc>
          <w:tcPr>
            <w:tcW w:w="1060" w:type="dxa"/>
            <w:tcBorders>
              <w:top w:val="single" w:sz="4" w:space="0" w:color="auto"/>
              <w:left w:val="nil"/>
              <w:bottom w:val="single" w:sz="12" w:space="0" w:color="auto"/>
              <w:right w:val="nil"/>
            </w:tcBorders>
            <w:shd w:val="clear" w:color="auto" w:fill="auto"/>
            <w:vAlign w:val="bottom"/>
          </w:tcPr>
          <w:p w14:paraId="48CE2995" w14:textId="496989E2" w:rsidR="00E071AF" w:rsidRPr="003D1614" w:rsidRDefault="003A5740" w:rsidP="00CA7F04">
            <w:pPr>
              <w:tabs>
                <w:tab w:val="right" w:pos="1202"/>
              </w:tabs>
              <w:suppressAutoHyphens/>
              <w:autoSpaceDN w:val="0"/>
              <w:jc w:val="right"/>
              <w:outlineLvl w:val="0"/>
              <w:rPr>
                <w:rFonts w:ascii="Arial" w:eastAsia="Calibri" w:hAnsi="Arial" w:cs="Arial"/>
                <w:b/>
                <w:bCs/>
                <w:color w:val="000000"/>
                <w:sz w:val="17"/>
                <w:szCs w:val="17"/>
              </w:rPr>
            </w:pPr>
            <w:r>
              <w:rPr>
                <w:rFonts w:ascii="Arial" w:eastAsia="Calibri" w:hAnsi="Arial" w:cs="Arial"/>
                <w:b/>
                <w:bCs/>
                <w:color w:val="000000"/>
                <w:sz w:val="17"/>
                <w:szCs w:val="17"/>
              </w:rPr>
              <w:t>-</w:t>
            </w:r>
          </w:p>
        </w:tc>
      </w:tr>
      <w:tr w:rsidR="00E071AF" w:rsidRPr="003D1614" w14:paraId="662D6501" w14:textId="77777777" w:rsidTr="005D1219">
        <w:trPr>
          <w:trHeight w:val="283"/>
          <w:jc w:val="center"/>
        </w:trPr>
        <w:tc>
          <w:tcPr>
            <w:tcW w:w="6094" w:type="dxa"/>
            <w:shd w:val="clear" w:color="auto" w:fill="auto"/>
            <w:vAlign w:val="bottom"/>
          </w:tcPr>
          <w:p w14:paraId="230FD9AF" w14:textId="77777777" w:rsidR="00E071AF" w:rsidRPr="003D1614" w:rsidRDefault="00E071AF" w:rsidP="00CA7F04">
            <w:pPr>
              <w:tabs>
                <w:tab w:val="right" w:pos="1202"/>
              </w:tabs>
              <w:suppressAutoHyphens/>
              <w:autoSpaceDN w:val="0"/>
              <w:outlineLvl w:val="0"/>
              <w:rPr>
                <w:rFonts w:ascii="Arial" w:eastAsia="Calibri" w:hAnsi="Arial" w:cs="Arial"/>
                <w:b/>
                <w:color w:val="000000"/>
                <w:sz w:val="17"/>
                <w:szCs w:val="17"/>
              </w:rPr>
            </w:pPr>
            <w:r w:rsidRPr="003D1614">
              <w:rPr>
                <w:rFonts w:ascii="Arial" w:eastAsia="Calibri" w:hAnsi="Arial" w:cs="Arial"/>
                <w:b/>
                <w:color w:val="000000"/>
                <w:sz w:val="17"/>
                <w:szCs w:val="17"/>
              </w:rPr>
              <w:t>Ukupno imovina po fer vrijednosti kroz ostalu sveobuhvatnu dobit</w:t>
            </w:r>
          </w:p>
        </w:tc>
        <w:tc>
          <w:tcPr>
            <w:tcW w:w="1060" w:type="dxa"/>
            <w:tcBorders>
              <w:top w:val="single" w:sz="12" w:space="0" w:color="auto"/>
              <w:left w:val="nil"/>
              <w:bottom w:val="single" w:sz="4" w:space="0" w:color="auto"/>
              <w:right w:val="nil"/>
            </w:tcBorders>
            <w:shd w:val="clear" w:color="auto" w:fill="auto"/>
            <w:vAlign w:val="bottom"/>
          </w:tcPr>
          <w:p w14:paraId="321ED66E" w14:textId="0DE73CE4" w:rsidR="00E071AF" w:rsidRPr="003D1614" w:rsidRDefault="003A5740" w:rsidP="00CA7F04">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z w:val="17"/>
                <w:szCs w:val="17"/>
              </w:rPr>
              <w:t>231.559</w:t>
            </w:r>
          </w:p>
        </w:tc>
        <w:tc>
          <w:tcPr>
            <w:tcW w:w="1060" w:type="dxa"/>
            <w:tcBorders>
              <w:top w:val="single" w:sz="12" w:space="0" w:color="auto"/>
              <w:left w:val="nil"/>
              <w:bottom w:val="single" w:sz="4" w:space="0" w:color="auto"/>
              <w:right w:val="nil"/>
            </w:tcBorders>
            <w:shd w:val="clear" w:color="auto" w:fill="auto"/>
            <w:vAlign w:val="bottom"/>
          </w:tcPr>
          <w:p w14:paraId="64151B37" w14:textId="5E151D7A" w:rsidR="00E071AF" w:rsidRPr="003D1614" w:rsidRDefault="003A5740" w:rsidP="00CA7F04">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z w:val="17"/>
                <w:szCs w:val="17"/>
              </w:rPr>
              <w:t>7.765</w:t>
            </w:r>
          </w:p>
        </w:tc>
        <w:tc>
          <w:tcPr>
            <w:tcW w:w="1060" w:type="dxa"/>
            <w:tcBorders>
              <w:top w:val="single" w:sz="12" w:space="0" w:color="auto"/>
              <w:left w:val="nil"/>
              <w:bottom w:val="single" w:sz="4" w:space="0" w:color="auto"/>
              <w:right w:val="nil"/>
            </w:tcBorders>
            <w:shd w:val="clear" w:color="auto" w:fill="auto"/>
            <w:vAlign w:val="bottom"/>
          </w:tcPr>
          <w:p w14:paraId="18C20458" w14:textId="6D987456" w:rsidR="00E071AF" w:rsidRPr="003D1614" w:rsidRDefault="003A5740" w:rsidP="00CA7F04">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z w:val="17"/>
                <w:szCs w:val="17"/>
              </w:rPr>
              <w:t>276</w:t>
            </w:r>
          </w:p>
        </w:tc>
      </w:tr>
      <w:tr w:rsidR="003A5740" w:rsidRPr="003D1614" w14:paraId="2A1BCC14" w14:textId="77777777" w:rsidTr="005D1219">
        <w:trPr>
          <w:trHeight w:val="283"/>
          <w:jc w:val="center"/>
        </w:trPr>
        <w:tc>
          <w:tcPr>
            <w:tcW w:w="6094" w:type="dxa"/>
            <w:shd w:val="clear" w:color="auto" w:fill="auto"/>
            <w:vAlign w:val="bottom"/>
          </w:tcPr>
          <w:p w14:paraId="25E45DA3" w14:textId="20475263" w:rsidR="003A5740" w:rsidRPr="003D1614" w:rsidRDefault="003A5740" w:rsidP="003A5740">
            <w:pPr>
              <w:tabs>
                <w:tab w:val="right" w:pos="1202"/>
              </w:tabs>
              <w:suppressAutoHyphens/>
              <w:autoSpaceDN w:val="0"/>
              <w:outlineLvl w:val="0"/>
              <w:rPr>
                <w:rFonts w:ascii="Arial" w:eastAsia="Calibri" w:hAnsi="Arial" w:cs="Arial"/>
                <w:b/>
                <w:color w:val="000000"/>
                <w:sz w:val="17"/>
                <w:szCs w:val="17"/>
              </w:rPr>
            </w:pPr>
            <w:r>
              <w:rPr>
                <w:rFonts w:ascii="Arial" w:eastAsia="Calibri" w:hAnsi="Arial" w:cs="Arial"/>
                <w:b/>
                <w:color w:val="000000"/>
                <w:sz w:val="17"/>
                <w:szCs w:val="17"/>
              </w:rPr>
              <w:t>Derivativne financijske obveze – negativna fer vrijednost</w:t>
            </w:r>
          </w:p>
        </w:tc>
        <w:tc>
          <w:tcPr>
            <w:tcW w:w="1060" w:type="dxa"/>
            <w:tcBorders>
              <w:top w:val="single" w:sz="4" w:space="0" w:color="auto"/>
              <w:left w:val="nil"/>
              <w:right w:val="nil"/>
            </w:tcBorders>
            <w:shd w:val="clear" w:color="auto" w:fill="auto"/>
            <w:vAlign w:val="bottom"/>
          </w:tcPr>
          <w:p w14:paraId="44E91021" w14:textId="77777777" w:rsidR="003A5740" w:rsidRDefault="003A5740" w:rsidP="003A5740">
            <w:pPr>
              <w:tabs>
                <w:tab w:val="right" w:pos="1202"/>
              </w:tabs>
              <w:suppressAutoHyphens/>
              <w:autoSpaceDN w:val="0"/>
              <w:jc w:val="right"/>
              <w:outlineLvl w:val="0"/>
              <w:rPr>
                <w:rFonts w:ascii="Arial" w:eastAsia="Calibri" w:hAnsi="Arial" w:cs="Arial"/>
                <w:b/>
                <w:color w:val="000000"/>
                <w:sz w:val="17"/>
                <w:szCs w:val="17"/>
              </w:rPr>
            </w:pPr>
          </w:p>
        </w:tc>
        <w:tc>
          <w:tcPr>
            <w:tcW w:w="1060" w:type="dxa"/>
            <w:tcBorders>
              <w:top w:val="single" w:sz="4" w:space="0" w:color="auto"/>
              <w:left w:val="nil"/>
              <w:right w:val="nil"/>
            </w:tcBorders>
            <w:shd w:val="clear" w:color="auto" w:fill="auto"/>
            <w:vAlign w:val="bottom"/>
          </w:tcPr>
          <w:p w14:paraId="3C1C9AA1" w14:textId="77777777" w:rsidR="003A5740" w:rsidRDefault="003A5740" w:rsidP="003A5740">
            <w:pPr>
              <w:tabs>
                <w:tab w:val="right" w:pos="1202"/>
              </w:tabs>
              <w:suppressAutoHyphens/>
              <w:autoSpaceDN w:val="0"/>
              <w:jc w:val="right"/>
              <w:outlineLvl w:val="0"/>
              <w:rPr>
                <w:rFonts w:ascii="Arial" w:eastAsia="Calibri" w:hAnsi="Arial" w:cs="Arial"/>
                <w:b/>
                <w:color w:val="000000"/>
                <w:sz w:val="17"/>
                <w:szCs w:val="17"/>
              </w:rPr>
            </w:pPr>
          </w:p>
        </w:tc>
        <w:tc>
          <w:tcPr>
            <w:tcW w:w="1060" w:type="dxa"/>
            <w:tcBorders>
              <w:top w:val="single" w:sz="4" w:space="0" w:color="auto"/>
              <w:left w:val="nil"/>
              <w:right w:val="nil"/>
            </w:tcBorders>
            <w:shd w:val="clear" w:color="auto" w:fill="auto"/>
            <w:vAlign w:val="bottom"/>
          </w:tcPr>
          <w:p w14:paraId="3064E7C2" w14:textId="77777777" w:rsidR="003A5740" w:rsidRDefault="003A5740" w:rsidP="003A5740">
            <w:pPr>
              <w:tabs>
                <w:tab w:val="right" w:pos="1202"/>
              </w:tabs>
              <w:suppressAutoHyphens/>
              <w:autoSpaceDN w:val="0"/>
              <w:jc w:val="right"/>
              <w:outlineLvl w:val="0"/>
              <w:rPr>
                <w:rFonts w:ascii="Arial" w:eastAsia="Calibri" w:hAnsi="Arial" w:cs="Arial"/>
                <w:b/>
                <w:color w:val="000000"/>
                <w:sz w:val="17"/>
                <w:szCs w:val="17"/>
              </w:rPr>
            </w:pPr>
          </w:p>
        </w:tc>
      </w:tr>
      <w:tr w:rsidR="003A5740" w:rsidRPr="003D1614" w14:paraId="1C5C7481" w14:textId="77777777" w:rsidTr="005D1219">
        <w:trPr>
          <w:trHeight w:val="283"/>
          <w:jc w:val="center"/>
        </w:trPr>
        <w:tc>
          <w:tcPr>
            <w:tcW w:w="6094" w:type="dxa"/>
            <w:shd w:val="clear" w:color="auto" w:fill="auto"/>
            <w:vAlign w:val="bottom"/>
          </w:tcPr>
          <w:p w14:paraId="6D79DF0D" w14:textId="6B306845" w:rsidR="003A5740" w:rsidRPr="003D1614" w:rsidRDefault="003A5740" w:rsidP="003A5740">
            <w:pPr>
              <w:tabs>
                <w:tab w:val="right" w:pos="1202"/>
              </w:tabs>
              <w:suppressAutoHyphens/>
              <w:autoSpaceDN w:val="0"/>
              <w:outlineLvl w:val="0"/>
              <w:rPr>
                <w:rFonts w:ascii="Arial" w:eastAsia="Calibri" w:hAnsi="Arial" w:cs="Arial"/>
                <w:b/>
                <w:color w:val="000000"/>
                <w:sz w:val="17"/>
                <w:szCs w:val="17"/>
              </w:rPr>
            </w:pPr>
            <w:r w:rsidRPr="001A5E0D">
              <w:rPr>
                <w:rFonts w:ascii="Arial" w:eastAsia="Calibri" w:hAnsi="Arial" w:cs="Arial"/>
                <w:bCs/>
                <w:color w:val="000000"/>
                <w:sz w:val="17"/>
                <w:szCs w:val="17"/>
              </w:rPr>
              <w:t xml:space="preserve">FX </w:t>
            </w:r>
            <w:proofErr w:type="spellStart"/>
            <w:r w:rsidRPr="001A5E0D">
              <w:rPr>
                <w:rFonts w:ascii="Arial" w:eastAsia="Calibri" w:hAnsi="Arial" w:cs="Arial"/>
                <w:bCs/>
                <w:color w:val="000000"/>
                <w:sz w:val="17"/>
                <w:szCs w:val="17"/>
              </w:rPr>
              <w:t>swap</w:t>
            </w:r>
            <w:proofErr w:type="spellEnd"/>
          </w:p>
        </w:tc>
        <w:tc>
          <w:tcPr>
            <w:tcW w:w="1060" w:type="dxa"/>
            <w:tcBorders>
              <w:left w:val="nil"/>
              <w:bottom w:val="single" w:sz="4" w:space="0" w:color="auto"/>
              <w:right w:val="nil"/>
            </w:tcBorders>
            <w:shd w:val="clear" w:color="auto" w:fill="auto"/>
            <w:vAlign w:val="bottom"/>
          </w:tcPr>
          <w:p w14:paraId="776EDBD9" w14:textId="1C1510BB" w:rsidR="003A5740" w:rsidRPr="005D1219" w:rsidRDefault="003A5740" w:rsidP="003A5740">
            <w:pPr>
              <w:tabs>
                <w:tab w:val="right" w:pos="1202"/>
              </w:tabs>
              <w:suppressAutoHyphens/>
              <w:autoSpaceDN w:val="0"/>
              <w:jc w:val="right"/>
              <w:outlineLvl w:val="0"/>
              <w:rPr>
                <w:rFonts w:ascii="Arial" w:eastAsia="Calibri" w:hAnsi="Arial" w:cs="Arial"/>
                <w:bCs/>
                <w:color w:val="000000"/>
                <w:sz w:val="17"/>
                <w:szCs w:val="17"/>
              </w:rPr>
            </w:pPr>
            <w:r w:rsidRPr="005D1219">
              <w:rPr>
                <w:rFonts w:ascii="Arial" w:eastAsia="Calibri" w:hAnsi="Arial" w:cs="Arial"/>
                <w:bCs/>
                <w:color w:val="000000"/>
                <w:sz w:val="17"/>
                <w:szCs w:val="17"/>
              </w:rPr>
              <w:t>-</w:t>
            </w:r>
          </w:p>
        </w:tc>
        <w:tc>
          <w:tcPr>
            <w:tcW w:w="1060" w:type="dxa"/>
            <w:tcBorders>
              <w:left w:val="nil"/>
              <w:bottom w:val="single" w:sz="4" w:space="0" w:color="auto"/>
              <w:right w:val="nil"/>
            </w:tcBorders>
            <w:shd w:val="clear" w:color="auto" w:fill="auto"/>
            <w:vAlign w:val="bottom"/>
          </w:tcPr>
          <w:p w14:paraId="72F503D9" w14:textId="0564FCDD" w:rsidR="003A5740" w:rsidRPr="005D1219" w:rsidRDefault="003A5740" w:rsidP="003A5740">
            <w:pPr>
              <w:tabs>
                <w:tab w:val="right" w:pos="1202"/>
              </w:tabs>
              <w:suppressAutoHyphens/>
              <w:autoSpaceDN w:val="0"/>
              <w:jc w:val="right"/>
              <w:outlineLvl w:val="0"/>
              <w:rPr>
                <w:rFonts w:ascii="Arial" w:eastAsia="Calibri" w:hAnsi="Arial" w:cs="Arial"/>
                <w:bCs/>
                <w:color w:val="000000"/>
                <w:sz w:val="17"/>
                <w:szCs w:val="17"/>
              </w:rPr>
            </w:pPr>
            <w:r w:rsidRPr="005D1219">
              <w:rPr>
                <w:rFonts w:ascii="Arial" w:eastAsia="Calibri" w:hAnsi="Arial" w:cs="Arial"/>
                <w:bCs/>
                <w:color w:val="000000"/>
                <w:sz w:val="17"/>
                <w:szCs w:val="17"/>
              </w:rPr>
              <w:t>36</w:t>
            </w:r>
          </w:p>
        </w:tc>
        <w:tc>
          <w:tcPr>
            <w:tcW w:w="1060" w:type="dxa"/>
            <w:tcBorders>
              <w:left w:val="nil"/>
              <w:bottom w:val="single" w:sz="4" w:space="0" w:color="auto"/>
              <w:right w:val="nil"/>
            </w:tcBorders>
            <w:shd w:val="clear" w:color="auto" w:fill="auto"/>
            <w:vAlign w:val="bottom"/>
          </w:tcPr>
          <w:p w14:paraId="3CA18AF4" w14:textId="5E2DE6AF" w:rsidR="003A5740" w:rsidRPr="005D1219" w:rsidRDefault="003A5740" w:rsidP="003A5740">
            <w:pPr>
              <w:tabs>
                <w:tab w:val="right" w:pos="1202"/>
              </w:tabs>
              <w:suppressAutoHyphens/>
              <w:autoSpaceDN w:val="0"/>
              <w:jc w:val="right"/>
              <w:outlineLvl w:val="0"/>
              <w:rPr>
                <w:rFonts w:ascii="Arial" w:eastAsia="Calibri" w:hAnsi="Arial" w:cs="Arial"/>
                <w:bCs/>
                <w:color w:val="000000"/>
                <w:sz w:val="17"/>
                <w:szCs w:val="17"/>
              </w:rPr>
            </w:pPr>
            <w:r w:rsidRPr="005D1219">
              <w:rPr>
                <w:rFonts w:ascii="Arial" w:eastAsia="Calibri" w:hAnsi="Arial" w:cs="Arial"/>
                <w:bCs/>
                <w:color w:val="000000"/>
                <w:sz w:val="17"/>
                <w:szCs w:val="17"/>
              </w:rPr>
              <w:t>-</w:t>
            </w:r>
          </w:p>
        </w:tc>
      </w:tr>
      <w:tr w:rsidR="003A5740" w:rsidRPr="003D1614" w14:paraId="5CED285A" w14:textId="77777777" w:rsidTr="005D1219">
        <w:trPr>
          <w:trHeight w:val="283"/>
          <w:jc w:val="center"/>
        </w:trPr>
        <w:tc>
          <w:tcPr>
            <w:tcW w:w="6094" w:type="dxa"/>
            <w:shd w:val="clear" w:color="auto" w:fill="auto"/>
            <w:vAlign w:val="bottom"/>
          </w:tcPr>
          <w:p w14:paraId="578B0412" w14:textId="3B1D03C5" w:rsidR="003A5740" w:rsidRPr="003D1614" w:rsidRDefault="003A5740" w:rsidP="003A5740">
            <w:pPr>
              <w:tabs>
                <w:tab w:val="right" w:pos="1202"/>
              </w:tabs>
              <w:suppressAutoHyphens/>
              <w:autoSpaceDN w:val="0"/>
              <w:outlineLvl w:val="0"/>
              <w:rPr>
                <w:rFonts w:ascii="Arial" w:eastAsia="Calibri" w:hAnsi="Arial" w:cs="Arial"/>
                <w:b/>
                <w:color w:val="000000"/>
                <w:sz w:val="17"/>
                <w:szCs w:val="17"/>
              </w:rPr>
            </w:pPr>
            <w:r w:rsidRPr="001A5E0D">
              <w:rPr>
                <w:rFonts w:ascii="Arial" w:hAnsi="Arial" w:cs="Arial"/>
                <w:b/>
                <w:color w:val="000000" w:themeColor="text1"/>
                <w:sz w:val="17"/>
                <w:szCs w:val="17"/>
              </w:rPr>
              <w:t>Ukupno obveze</w:t>
            </w:r>
          </w:p>
        </w:tc>
        <w:tc>
          <w:tcPr>
            <w:tcW w:w="1060" w:type="dxa"/>
            <w:tcBorders>
              <w:top w:val="single" w:sz="4" w:space="0" w:color="auto"/>
              <w:left w:val="nil"/>
              <w:bottom w:val="single" w:sz="12" w:space="0" w:color="auto"/>
              <w:right w:val="nil"/>
            </w:tcBorders>
            <w:shd w:val="clear" w:color="auto" w:fill="auto"/>
            <w:vAlign w:val="bottom"/>
          </w:tcPr>
          <w:p w14:paraId="0B28075A" w14:textId="7F72D607" w:rsidR="003A5740" w:rsidRDefault="003A5740" w:rsidP="003A5740">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z w:val="17"/>
                <w:szCs w:val="17"/>
              </w:rPr>
              <w:t>-</w:t>
            </w:r>
          </w:p>
        </w:tc>
        <w:tc>
          <w:tcPr>
            <w:tcW w:w="1060" w:type="dxa"/>
            <w:tcBorders>
              <w:top w:val="single" w:sz="4" w:space="0" w:color="auto"/>
              <w:left w:val="nil"/>
              <w:bottom w:val="single" w:sz="12" w:space="0" w:color="auto"/>
              <w:right w:val="nil"/>
            </w:tcBorders>
            <w:shd w:val="clear" w:color="auto" w:fill="auto"/>
            <w:vAlign w:val="bottom"/>
          </w:tcPr>
          <w:p w14:paraId="19AEAEE3" w14:textId="56667522" w:rsidR="003A5740" w:rsidRDefault="003A5740" w:rsidP="003A5740">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z w:val="17"/>
                <w:szCs w:val="17"/>
              </w:rPr>
              <w:t>36</w:t>
            </w:r>
          </w:p>
        </w:tc>
        <w:tc>
          <w:tcPr>
            <w:tcW w:w="1060" w:type="dxa"/>
            <w:tcBorders>
              <w:top w:val="single" w:sz="4" w:space="0" w:color="auto"/>
              <w:left w:val="nil"/>
              <w:bottom w:val="single" w:sz="12" w:space="0" w:color="auto"/>
              <w:right w:val="nil"/>
            </w:tcBorders>
            <w:shd w:val="clear" w:color="auto" w:fill="auto"/>
            <w:vAlign w:val="bottom"/>
          </w:tcPr>
          <w:p w14:paraId="5D77EDDD" w14:textId="45B5E25A" w:rsidR="003A5740" w:rsidRDefault="003A5740" w:rsidP="003A5740">
            <w:pPr>
              <w:tabs>
                <w:tab w:val="right" w:pos="1202"/>
              </w:tabs>
              <w:suppressAutoHyphens/>
              <w:autoSpaceDN w:val="0"/>
              <w:jc w:val="right"/>
              <w:outlineLvl w:val="0"/>
              <w:rPr>
                <w:rFonts w:ascii="Arial" w:eastAsia="Calibri" w:hAnsi="Arial" w:cs="Arial"/>
                <w:b/>
                <w:color w:val="000000"/>
                <w:sz w:val="17"/>
                <w:szCs w:val="17"/>
              </w:rPr>
            </w:pPr>
            <w:r>
              <w:rPr>
                <w:rFonts w:ascii="Arial" w:eastAsia="Calibri" w:hAnsi="Arial" w:cs="Arial"/>
                <w:b/>
                <w:color w:val="000000"/>
                <w:sz w:val="17"/>
                <w:szCs w:val="17"/>
              </w:rPr>
              <w:t>-</w:t>
            </w:r>
          </w:p>
        </w:tc>
      </w:tr>
    </w:tbl>
    <w:p w14:paraId="7688CAAD" w14:textId="77777777" w:rsidR="00E071AF" w:rsidRPr="003D1614" w:rsidRDefault="00E071AF" w:rsidP="00E071AF">
      <w:pPr>
        <w:tabs>
          <w:tab w:val="right" w:pos="1202"/>
        </w:tabs>
        <w:suppressAutoHyphens/>
        <w:autoSpaceDN w:val="0"/>
        <w:jc w:val="both"/>
        <w:outlineLvl w:val="0"/>
        <w:rPr>
          <w:rFonts w:ascii="Arial" w:eastAsia="Times New Roman" w:hAnsi="Arial" w:cs="Arial"/>
          <w:i/>
          <w:color w:val="000000" w:themeColor="text1"/>
          <w:sz w:val="18"/>
          <w:szCs w:val="18"/>
        </w:rPr>
      </w:pPr>
    </w:p>
    <w:p w14:paraId="78D43D97" w14:textId="77777777" w:rsidR="00E071AF" w:rsidRPr="003D1614" w:rsidRDefault="00E071AF" w:rsidP="00E071AF">
      <w:pPr>
        <w:tabs>
          <w:tab w:val="right" w:pos="1202"/>
        </w:tabs>
        <w:suppressAutoHyphens/>
        <w:autoSpaceDN w:val="0"/>
        <w:jc w:val="both"/>
        <w:outlineLvl w:val="0"/>
        <w:rPr>
          <w:rFonts w:ascii="Arial" w:eastAsia="Times New Roman" w:hAnsi="Arial" w:cs="Arial"/>
          <w:i/>
          <w:color w:val="000000" w:themeColor="text1"/>
          <w:sz w:val="18"/>
          <w:szCs w:val="18"/>
        </w:rPr>
      </w:pPr>
    </w:p>
    <w:p w14:paraId="416EC569" w14:textId="77777777" w:rsidR="00E071AF" w:rsidRDefault="00E071AF" w:rsidP="00F208CA">
      <w:pPr>
        <w:rPr>
          <w:rFonts w:ascii="Arial" w:eastAsia="Times New Roman" w:hAnsi="Arial" w:cs="Arial"/>
          <w:sz w:val="18"/>
          <w:szCs w:val="18"/>
        </w:rPr>
        <w:sectPr w:rsidR="00E071AF" w:rsidSect="003278AB">
          <w:pgSz w:w="11906" w:h="16838"/>
          <w:pgMar w:top="1417" w:right="1417" w:bottom="1417" w:left="1417" w:header="708" w:footer="708" w:gutter="0"/>
          <w:cols w:space="708"/>
          <w:docGrid w:linePitch="360"/>
        </w:sectPr>
      </w:pPr>
    </w:p>
    <w:p w14:paraId="4051D310" w14:textId="77777777" w:rsidR="00E071AF" w:rsidRDefault="00E071AF" w:rsidP="00F208CA">
      <w:pPr>
        <w:rPr>
          <w:rFonts w:ascii="Arial" w:eastAsia="Times New Roman" w:hAnsi="Arial" w:cs="Arial"/>
          <w:sz w:val="18"/>
          <w:szCs w:val="18"/>
        </w:rPr>
      </w:pPr>
    </w:p>
    <w:p w14:paraId="71F27D0B" w14:textId="77777777" w:rsidR="00AF11F3" w:rsidRPr="003D1614" w:rsidRDefault="00AF11F3" w:rsidP="00AF11F3">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 </w:t>
      </w:r>
      <w:r w:rsidRPr="003D1614">
        <w:rPr>
          <w:rFonts w:ascii="Arial" w:eastAsia="Times New Roman" w:hAnsi="Arial" w:cs="Arial"/>
          <w:b/>
          <w:bCs/>
          <w:color w:val="000000" w:themeColor="text1"/>
          <w:spacing w:val="-3"/>
          <w:sz w:val="20"/>
          <w:szCs w:val="20"/>
        </w:rPr>
        <w:tab/>
        <w:t>Fer vrijednost financijske imovine i financijskih obveza (nastavak)</w:t>
      </w:r>
    </w:p>
    <w:p w14:paraId="7EB40587" w14:textId="77777777" w:rsidR="00AF11F3" w:rsidRPr="003D1614" w:rsidRDefault="00AF11F3" w:rsidP="00AF11F3">
      <w:pPr>
        <w:keepNext/>
        <w:suppressAutoHyphens/>
        <w:autoSpaceDN w:val="0"/>
        <w:ind w:left="709" w:hanging="709"/>
        <w:jc w:val="both"/>
        <w:outlineLvl w:val="0"/>
        <w:rPr>
          <w:rFonts w:ascii="Arial" w:eastAsia="Times New Roman" w:hAnsi="Arial" w:cs="Arial"/>
          <w:bCs/>
          <w:color w:val="000000" w:themeColor="text1"/>
          <w:spacing w:val="-3"/>
          <w:sz w:val="12"/>
          <w:szCs w:val="12"/>
        </w:rPr>
      </w:pPr>
    </w:p>
    <w:p w14:paraId="5B451A08" w14:textId="77777777" w:rsidR="00AF11F3" w:rsidRPr="003D1614" w:rsidRDefault="00AF11F3" w:rsidP="00AF11F3">
      <w:pPr>
        <w:keepNext/>
        <w:suppressAutoHyphens/>
        <w:autoSpaceDN w:val="0"/>
        <w:ind w:left="709" w:hanging="709"/>
        <w:jc w:val="both"/>
        <w:outlineLvl w:val="0"/>
        <w:rPr>
          <w:rFonts w:ascii="Arial" w:eastAsia="Times New Roman" w:hAnsi="Arial" w:cs="Arial"/>
          <w:b/>
          <w:bCs/>
          <w:color w:val="000000" w:themeColor="text1"/>
          <w:spacing w:val="-3"/>
          <w:sz w:val="14"/>
          <w:szCs w:val="14"/>
        </w:rPr>
      </w:pPr>
    </w:p>
    <w:p w14:paraId="050486D7" w14:textId="77777777" w:rsidR="00AF11F3" w:rsidRPr="003D1614" w:rsidRDefault="00AF11F3" w:rsidP="00AF11F3">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.1. </w:t>
      </w:r>
      <w:r w:rsidRPr="003D1614">
        <w:rPr>
          <w:rFonts w:ascii="Arial" w:eastAsia="Times New Roman" w:hAnsi="Arial" w:cs="Arial"/>
          <w:b/>
          <w:bCs/>
          <w:color w:val="000000" w:themeColor="text1"/>
          <w:spacing w:val="-3"/>
          <w:sz w:val="20"/>
          <w:szCs w:val="20"/>
        </w:rPr>
        <w:tab/>
        <w:t>Fer vrijednost financijske imovine i financijskih obveza koji se vode po fer vrijednosti (nastavak)</w:t>
      </w:r>
    </w:p>
    <w:p w14:paraId="19B5A918" w14:textId="77777777" w:rsidR="00AF11F3" w:rsidRPr="003D1614" w:rsidRDefault="00AF11F3" w:rsidP="00AF11F3">
      <w:pPr>
        <w:keepNext/>
        <w:suppressAutoHyphens/>
        <w:autoSpaceDN w:val="0"/>
        <w:jc w:val="both"/>
        <w:outlineLvl w:val="0"/>
        <w:rPr>
          <w:rFonts w:ascii="Arial" w:eastAsia="Times New Roman" w:hAnsi="Arial" w:cs="Arial"/>
          <w:color w:val="000000" w:themeColor="text1"/>
          <w:spacing w:val="-3"/>
          <w:sz w:val="12"/>
          <w:szCs w:val="12"/>
        </w:rPr>
      </w:pPr>
    </w:p>
    <w:p w14:paraId="6924C007" w14:textId="77777777" w:rsidR="00AF11F3" w:rsidRPr="003D1614" w:rsidRDefault="00AF11F3" w:rsidP="00AF11F3">
      <w:pPr>
        <w:keepNext/>
        <w:suppressAutoHyphens/>
        <w:autoSpaceDN w:val="0"/>
        <w:jc w:val="both"/>
        <w:outlineLvl w:val="0"/>
        <w:rPr>
          <w:rFonts w:ascii="Arial" w:eastAsia="Times New Roman" w:hAnsi="Arial" w:cs="Arial"/>
          <w:color w:val="000000" w:themeColor="text1"/>
          <w:spacing w:val="-3"/>
          <w:sz w:val="12"/>
          <w:szCs w:val="12"/>
        </w:rPr>
      </w:pPr>
    </w:p>
    <w:tbl>
      <w:tblPr>
        <w:tblW w:w="9274" w:type="dxa"/>
        <w:jc w:val="center"/>
        <w:tblLayout w:type="fixed"/>
        <w:tblCellMar>
          <w:left w:w="122" w:type="dxa"/>
          <w:right w:w="122" w:type="dxa"/>
        </w:tblCellMar>
        <w:tblLook w:val="0000" w:firstRow="0" w:lastRow="0" w:firstColumn="0" w:lastColumn="0" w:noHBand="0" w:noVBand="0"/>
      </w:tblPr>
      <w:tblGrid>
        <w:gridCol w:w="6094"/>
        <w:gridCol w:w="1060"/>
        <w:gridCol w:w="1060"/>
        <w:gridCol w:w="1060"/>
      </w:tblGrid>
      <w:tr w:rsidR="00EA0A0F" w:rsidRPr="00736C15" w14:paraId="56841193" w14:textId="77777777" w:rsidTr="00CA7F04">
        <w:trPr>
          <w:trHeight w:val="311"/>
          <w:jc w:val="center"/>
        </w:trPr>
        <w:tc>
          <w:tcPr>
            <w:tcW w:w="6094" w:type="dxa"/>
            <w:shd w:val="clear" w:color="auto" w:fill="auto"/>
          </w:tcPr>
          <w:p w14:paraId="053F334B" w14:textId="77777777" w:rsidR="00EA0A0F" w:rsidRPr="00736C15" w:rsidRDefault="00EA0A0F" w:rsidP="00CA7F04">
            <w:pPr>
              <w:tabs>
                <w:tab w:val="right" w:pos="1202"/>
              </w:tabs>
              <w:outlineLvl w:val="0"/>
              <w:rPr>
                <w:rFonts w:ascii="Arial" w:eastAsia="Calibri" w:hAnsi="Arial" w:cs="Arial"/>
                <w:color w:val="000000"/>
                <w:sz w:val="17"/>
                <w:szCs w:val="17"/>
              </w:rPr>
            </w:pPr>
            <w:r w:rsidRPr="00736C15">
              <w:rPr>
                <w:rFonts w:ascii="Arial" w:eastAsia="Calibri" w:hAnsi="Arial" w:cs="Arial"/>
                <w:b/>
                <w:color w:val="000000"/>
                <w:sz w:val="17"/>
                <w:szCs w:val="17"/>
              </w:rPr>
              <w:t>Banka</w:t>
            </w:r>
          </w:p>
        </w:tc>
        <w:tc>
          <w:tcPr>
            <w:tcW w:w="3180" w:type="dxa"/>
            <w:gridSpan w:val="3"/>
          </w:tcPr>
          <w:p w14:paraId="649F837C" w14:textId="77777777" w:rsidR="00EA0A0F" w:rsidRPr="00736C15" w:rsidRDefault="00EA0A0F" w:rsidP="00CA7F04">
            <w:pPr>
              <w:tabs>
                <w:tab w:val="right" w:pos="1202"/>
              </w:tabs>
              <w:jc w:val="right"/>
              <w:outlineLvl w:val="0"/>
              <w:rPr>
                <w:rFonts w:ascii="Arial" w:eastAsia="Calibri" w:hAnsi="Arial" w:cs="Arial"/>
                <w:b/>
                <w:bCs/>
                <w:color w:val="000000"/>
                <w:sz w:val="17"/>
                <w:szCs w:val="17"/>
              </w:rPr>
            </w:pPr>
            <w:r w:rsidRPr="00736C15">
              <w:rPr>
                <w:rFonts w:ascii="Arial" w:eastAsia="Calibri" w:hAnsi="Arial" w:cs="Arial"/>
                <w:b/>
                <w:bCs/>
                <w:color w:val="000000"/>
                <w:sz w:val="17"/>
                <w:szCs w:val="17"/>
              </w:rPr>
              <w:t>3</w:t>
            </w:r>
            <w:r>
              <w:rPr>
                <w:rFonts w:ascii="Arial" w:eastAsia="Calibri" w:hAnsi="Arial" w:cs="Arial"/>
                <w:b/>
                <w:bCs/>
                <w:color w:val="000000"/>
                <w:sz w:val="17"/>
                <w:szCs w:val="17"/>
              </w:rPr>
              <w:t>1</w:t>
            </w:r>
            <w:r w:rsidRPr="00736C15">
              <w:rPr>
                <w:rFonts w:ascii="Arial" w:eastAsia="Calibri" w:hAnsi="Arial" w:cs="Arial"/>
                <w:b/>
                <w:bCs/>
                <w:color w:val="000000"/>
                <w:sz w:val="17"/>
                <w:szCs w:val="17"/>
              </w:rPr>
              <w:t xml:space="preserve">. </w:t>
            </w:r>
            <w:r>
              <w:rPr>
                <w:rFonts w:ascii="Arial" w:eastAsia="Calibri" w:hAnsi="Arial" w:cs="Arial"/>
                <w:b/>
                <w:bCs/>
                <w:color w:val="000000"/>
                <w:sz w:val="17"/>
                <w:szCs w:val="17"/>
              </w:rPr>
              <w:t>prosinca</w:t>
            </w:r>
            <w:r w:rsidRPr="00736C15">
              <w:rPr>
                <w:rFonts w:ascii="Arial" w:eastAsia="Calibri" w:hAnsi="Arial" w:cs="Arial"/>
                <w:b/>
                <w:bCs/>
                <w:color w:val="000000"/>
                <w:sz w:val="17"/>
                <w:szCs w:val="17"/>
              </w:rPr>
              <w:t xml:space="preserve"> 202</w:t>
            </w:r>
            <w:r>
              <w:rPr>
                <w:rFonts w:ascii="Arial" w:eastAsia="Calibri" w:hAnsi="Arial" w:cs="Arial"/>
                <w:b/>
                <w:bCs/>
                <w:color w:val="000000"/>
                <w:sz w:val="17"/>
                <w:szCs w:val="17"/>
              </w:rPr>
              <w:t>3</w:t>
            </w:r>
            <w:r w:rsidRPr="00736C15">
              <w:rPr>
                <w:rFonts w:ascii="Arial" w:eastAsia="Calibri" w:hAnsi="Arial" w:cs="Arial"/>
                <w:b/>
                <w:bCs/>
                <w:color w:val="000000"/>
                <w:sz w:val="17"/>
                <w:szCs w:val="17"/>
              </w:rPr>
              <w:t>.</w:t>
            </w:r>
          </w:p>
        </w:tc>
      </w:tr>
      <w:tr w:rsidR="00EA0A0F" w:rsidRPr="00736C15" w14:paraId="2B82E190" w14:textId="77777777" w:rsidTr="00CA7F04">
        <w:trPr>
          <w:trHeight w:val="311"/>
          <w:jc w:val="center"/>
        </w:trPr>
        <w:tc>
          <w:tcPr>
            <w:tcW w:w="6094" w:type="dxa"/>
            <w:shd w:val="clear" w:color="auto" w:fill="auto"/>
            <w:vAlign w:val="bottom"/>
          </w:tcPr>
          <w:p w14:paraId="23A312F7" w14:textId="77777777" w:rsidR="00EA0A0F" w:rsidRPr="00736C15" w:rsidRDefault="00EA0A0F" w:rsidP="00CA7F04">
            <w:pPr>
              <w:tabs>
                <w:tab w:val="right" w:pos="1202"/>
              </w:tabs>
              <w:outlineLvl w:val="0"/>
              <w:rPr>
                <w:rFonts w:ascii="Arial" w:eastAsia="Calibri" w:hAnsi="Arial" w:cs="Arial"/>
                <w:color w:val="000000"/>
                <w:spacing w:val="-2"/>
                <w:sz w:val="17"/>
                <w:szCs w:val="17"/>
              </w:rPr>
            </w:pPr>
          </w:p>
        </w:tc>
        <w:tc>
          <w:tcPr>
            <w:tcW w:w="1060" w:type="dxa"/>
            <w:shd w:val="clear" w:color="auto" w:fill="auto"/>
            <w:vAlign w:val="bottom"/>
          </w:tcPr>
          <w:p w14:paraId="421B4A0C" w14:textId="77777777" w:rsidR="00EA0A0F" w:rsidRPr="00736C15" w:rsidRDefault="00EA0A0F" w:rsidP="00CA7F04">
            <w:pPr>
              <w:tabs>
                <w:tab w:val="right" w:pos="1202"/>
              </w:tabs>
              <w:jc w:val="right"/>
              <w:outlineLvl w:val="0"/>
              <w:rPr>
                <w:rFonts w:ascii="Arial" w:eastAsia="Calibri" w:hAnsi="Arial" w:cs="Arial"/>
                <w:b/>
                <w:color w:val="000000"/>
                <w:spacing w:val="-2"/>
                <w:sz w:val="17"/>
                <w:szCs w:val="17"/>
              </w:rPr>
            </w:pPr>
            <w:r w:rsidRPr="00736C15">
              <w:rPr>
                <w:rFonts w:ascii="Arial" w:eastAsia="Calibri" w:hAnsi="Arial" w:cs="Arial"/>
                <w:b/>
                <w:color w:val="000000"/>
                <w:spacing w:val="-2"/>
                <w:sz w:val="17"/>
                <w:szCs w:val="17"/>
              </w:rPr>
              <w:t>Razina 1</w:t>
            </w:r>
          </w:p>
        </w:tc>
        <w:tc>
          <w:tcPr>
            <w:tcW w:w="1060" w:type="dxa"/>
            <w:shd w:val="clear" w:color="auto" w:fill="auto"/>
            <w:vAlign w:val="bottom"/>
          </w:tcPr>
          <w:p w14:paraId="2BF490AB" w14:textId="77777777" w:rsidR="00EA0A0F" w:rsidRPr="00736C15" w:rsidRDefault="00EA0A0F" w:rsidP="00CA7F04">
            <w:pPr>
              <w:tabs>
                <w:tab w:val="right" w:pos="1202"/>
              </w:tabs>
              <w:jc w:val="right"/>
              <w:outlineLvl w:val="0"/>
              <w:rPr>
                <w:rFonts w:ascii="Arial" w:eastAsia="Calibri" w:hAnsi="Arial" w:cs="Arial"/>
                <w:b/>
                <w:color w:val="000000"/>
                <w:spacing w:val="-2"/>
                <w:sz w:val="17"/>
                <w:szCs w:val="17"/>
              </w:rPr>
            </w:pPr>
            <w:r w:rsidRPr="00736C15">
              <w:rPr>
                <w:rFonts w:ascii="Arial" w:eastAsia="Calibri" w:hAnsi="Arial" w:cs="Arial"/>
                <w:b/>
                <w:color w:val="000000"/>
                <w:spacing w:val="-2"/>
                <w:sz w:val="17"/>
                <w:szCs w:val="17"/>
              </w:rPr>
              <w:t>Razina 2</w:t>
            </w:r>
          </w:p>
        </w:tc>
        <w:tc>
          <w:tcPr>
            <w:tcW w:w="1060" w:type="dxa"/>
            <w:shd w:val="clear" w:color="auto" w:fill="auto"/>
            <w:vAlign w:val="bottom"/>
          </w:tcPr>
          <w:p w14:paraId="605EAF95" w14:textId="77777777" w:rsidR="00EA0A0F" w:rsidRPr="00736C15" w:rsidRDefault="00EA0A0F" w:rsidP="00CA7F04">
            <w:pPr>
              <w:tabs>
                <w:tab w:val="right" w:pos="1202"/>
              </w:tabs>
              <w:jc w:val="right"/>
              <w:outlineLvl w:val="0"/>
              <w:rPr>
                <w:rFonts w:ascii="Arial" w:eastAsia="Calibri" w:hAnsi="Arial" w:cs="Arial"/>
                <w:b/>
                <w:color w:val="000000"/>
                <w:spacing w:val="-2"/>
                <w:sz w:val="17"/>
                <w:szCs w:val="17"/>
              </w:rPr>
            </w:pPr>
            <w:r w:rsidRPr="00736C15">
              <w:rPr>
                <w:rFonts w:ascii="Arial" w:eastAsia="Calibri" w:hAnsi="Arial" w:cs="Arial"/>
                <w:b/>
                <w:color w:val="000000"/>
                <w:spacing w:val="-2"/>
                <w:sz w:val="17"/>
                <w:szCs w:val="17"/>
              </w:rPr>
              <w:t>Razina 3</w:t>
            </w:r>
          </w:p>
        </w:tc>
      </w:tr>
      <w:tr w:rsidR="00EA0A0F" w:rsidRPr="00736C15" w14:paraId="51726AE6" w14:textId="77777777" w:rsidTr="00CA7F04">
        <w:trPr>
          <w:trHeight w:val="311"/>
          <w:jc w:val="center"/>
        </w:trPr>
        <w:tc>
          <w:tcPr>
            <w:tcW w:w="6094" w:type="dxa"/>
            <w:shd w:val="clear" w:color="auto" w:fill="auto"/>
            <w:vAlign w:val="bottom"/>
          </w:tcPr>
          <w:p w14:paraId="57142382" w14:textId="77777777" w:rsidR="00EA0A0F" w:rsidRPr="00736C15" w:rsidRDefault="00EA0A0F" w:rsidP="00CA7F04">
            <w:pPr>
              <w:tabs>
                <w:tab w:val="right" w:pos="1202"/>
              </w:tabs>
              <w:outlineLvl w:val="0"/>
              <w:rPr>
                <w:rFonts w:ascii="Arial" w:eastAsia="Calibri" w:hAnsi="Arial" w:cs="Arial"/>
                <w:color w:val="000000"/>
                <w:spacing w:val="-2"/>
                <w:sz w:val="17"/>
                <w:szCs w:val="17"/>
              </w:rPr>
            </w:pPr>
          </w:p>
        </w:tc>
        <w:tc>
          <w:tcPr>
            <w:tcW w:w="1060" w:type="dxa"/>
            <w:shd w:val="clear" w:color="auto" w:fill="auto"/>
            <w:vAlign w:val="bottom"/>
          </w:tcPr>
          <w:p w14:paraId="3AA31608" w14:textId="77777777" w:rsidR="00EA0A0F" w:rsidRPr="00736C15" w:rsidRDefault="00EA0A0F" w:rsidP="00CA7F04">
            <w:pPr>
              <w:tabs>
                <w:tab w:val="right" w:pos="1202"/>
              </w:tabs>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c>
          <w:tcPr>
            <w:tcW w:w="1060" w:type="dxa"/>
            <w:shd w:val="clear" w:color="auto" w:fill="auto"/>
            <w:vAlign w:val="bottom"/>
          </w:tcPr>
          <w:p w14:paraId="1D9108A6" w14:textId="77777777" w:rsidR="00EA0A0F" w:rsidRPr="00736C15" w:rsidRDefault="00EA0A0F" w:rsidP="00CA7F04">
            <w:pPr>
              <w:tabs>
                <w:tab w:val="right" w:pos="1202"/>
              </w:tabs>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c>
          <w:tcPr>
            <w:tcW w:w="1060" w:type="dxa"/>
            <w:shd w:val="clear" w:color="auto" w:fill="auto"/>
            <w:vAlign w:val="bottom"/>
          </w:tcPr>
          <w:p w14:paraId="600596AE" w14:textId="77777777" w:rsidR="00EA0A0F" w:rsidRPr="00736C15" w:rsidRDefault="00EA0A0F" w:rsidP="00CA7F04">
            <w:pPr>
              <w:tabs>
                <w:tab w:val="right" w:pos="1202"/>
              </w:tabs>
              <w:jc w:val="right"/>
              <w:outlineLvl w:val="0"/>
              <w:rPr>
                <w:rFonts w:ascii="Arial" w:eastAsia="Calibri" w:hAnsi="Arial" w:cs="Arial"/>
                <w:b/>
                <w:color w:val="000000"/>
                <w:spacing w:val="-2"/>
                <w:sz w:val="17"/>
                <w:szCs w:val="17"/>
              </w:rPr>
            </w:pPr>
            <w:r w:rsidRPr="003D1614">
              <w:rPr>
                <w:rFonts w:ascii="Arial" w:eastAsia="Calibri" w:hAnsi="Arial" w:cs="Arial"/>
                <w:b/>
                <w:color w:val="000000"/>
                <w:spacing w:val="-2"/>
                <w:sz w:val="17"/>
                <w:szCs w:val="17"/>
              </w:rPr>
              <w:t>000 eura</w:t>
            </w:r>
          </w:p>
        </w:tc>
      </w:tr>
      <w:tr w:rsidR="00EA0A0F" w:rsidRPr="00736C15" w14:paraId="49F0163A" w14:textId="77777777" w:rsidTr="00CA7F04">
        <w:trPr>
          <w:trHeight w:val="283"/>
          <w:jc w:val="center"/>
        </w:trPr>
        <w:tc>
          <w:tcPr>
            <w:tcW w:w="6094" w:type="dxa"/>
            <w:vAlign w:val="bottom"/>
          </w:tcPr>
          <w:p w14:paraId="2D7BE3A8" w14:textId="77777777" w:rsidR="00EA0A0F" w:rsidRPr="00736C15" w:rsidRDefault="00EA0A0F" w:rsidP="00CA7F04">
            <w:pPr>
              <w:tabs>
                <w:tab w:val="right" w:pos="1202"/>
              </w:tabs>
              <w:outlineLvl w:val="0"/>
              <w:rPr>
                <w:rFonts w:ascii="Arial" w:eastAsia="Calibri" w:hAnsi="Arial" w:cs="Arial"/>
                <w:color w:val="000000"/>
                <w:spacing w:val="-2"/>
                <w:sz w:val="17"/>
                <w:szCs w:val="17"/>
              </w:rPr>
            </w:pPr>
            <w:r w:rsidRPr="00736C15">
              <w:rPr>
                <w:rFonts w:ascii="Arial" w:eastAsia="Calibri" w:hAnsi="Arial" w:cs="Arial"/>
                <w:b/>
                <w:color w:val="000000"/>
                <w:sz w:val="17"/>
                <w:szCs w:val="17"/>
              </w:rPr>
              <w:t>Financijska imovina po fer vrijednosti kroz dobit ili gubitak:</w:t>
            </w:r>
          </w:p>
        </w:tc>
        <w:tc>
          <w:tcPr>
            <w:tcW w:w="1060" w:type="dxa"/>
            <w:vAlign w:val="bottom"/>
          </w:tcPr>
          <w:p w14:paraId="04D95F4E" w14:textId="77777777" w:rsidR="00EA0A0F" w:rsidRPr="00736C15" w:rsidRDefault="00EA0A0F" w:rsidP="00CA7F04">
            <w:pPr>
              <w:tabs>
                <w:tab w:val="right" w:pos="1202"/>
              </w:tabs>
              <w:jc w:val="right"/>
              <w:outlineLvl w:val="0"/>
              <w:rPr>
                <w:rFonts w:ascii="Arial" w:eastAsia="Calibri" w:hAnsi="Arial" w:cs="Arial"/>
                <w:b/>
                <w:color w:val="000000"/>
                <w:spacing w:val="-2"/>
                <w:sz w:val="17"/>
                <w:szCs w:val="17"/>
              </w:rPr>
            </w:pPr>
          </w:p>
        </w:tc>
        <w:tc>
          <w:tcPr>
            <w:tcW w:w="1060" w:type="dxa"/>
            <w:vAlign w:val="bottom"/>
          </w:tcPr>
          <w:p w14:paraId="2229DA73" w14:textId="77777777" w:rsidR="00EA0A0F" w:rsidRPr="00736C15" w:rsidRDefault="00EA0A0F" w:rsidP="00CA7F04">
            <w:pPr>
              <w:tabs>
                <w:tab w:val="right" w:pos="1202"/>
              </w:tabs>
              <w:jc w:val="right"/>
              <w:outlineLvl w:val="0"/>
              <w:rPr>
                <w:rFonts w:ascii="Arial" w:eastAsia="Calibri" w:hAnsi="Arial" w:cs="Arial"/>
                <w:b/>
                <w:color w:val="000000"/>
                <w:spacing w:val="-2"/>
                <w:sz w:val="17"/>
                <w:szCs w:val="17"/>
              </w:rPr>
            </w:pPr>
          </w:p>
        </w:tc>
        <w:tc>
          <w:tcPr>
            <w:tcW w:w="1060" w:type="dxa"/>
            <w:vAlign w:val="bottom"/>
          </w:tcPr>
          <w:p w14:paraId="3AAE4093" w14:textId="77777777" w:rsidR="00EA0A0F" w:rsidRPr="00736C15" w:rsidRDefault="00EA0A0F" w:rsidP="00CA7F04">
            <w:pPr>
              <w:tabs>
                <w:tab w:val="right" w:pos="1202"/>
              </w:tabs>
              <w:jc w:val="right"/>
              <w:outlineLvl w:val="0"/>
              <w:rPr>
                <w:rFonts w:ascii="Arial" w:eastAsia="Calibri" w:hAnsi="Arial" w:cs="Arial"/>
                <w:b/>
                <w:color w:val="000000"/>
                <w:spacing w:val="-2"/>
                <w:sz w:val="17"/>
                <w:szCs w:val="17"/>
              </w:rPr>
            </w:pPr>
          </w:p>
        </w:tc>
      </w:tr>
      <w:tr w:rsidR="00EA0A0F" w:rsidRPr="00736C15" w14:paraId="6C7FD827" w14:textId="77777777" w:rsidTr="00CA7F04">
        <w:trPr>
          <w:trHeight w:val="283"/>
          <w:jc w:val="center"/>
        </w:trPr>
        <w:tc>
          <w:tcPr>
            <w:tcW w:w="6094" w:type="dxa"/>
            <w:vAlign w:val="bottom"/>
          </w:tcPr>
          <w:p w14:paraId="1A918C35" w14:textId="77777777" w:rsidR="00EA0A0F" w:rsidRPr="00736C15" w:rsidRDefault="00EA0A0F" w:rsidP="00CA7F04">
            <w:pPr>
              <w:tabs>
                <w:tab w:val="right" w:pos="1202"/>
              </w:tabs>
              <w:outlineLvl w:val="0"/>
              <w:rPr>
                <w:rFonts w:ascii="Arial" w:eastAsia="Calibri" w:hAnsi="Arial" w:cs="Arial"/>
                <w:b/>
                <w:i/>
                <w:color w:val="000000"/>
                <w:sz w:val="17"/>
                <w:szCs w:val="17"/>
              </w:rPr>
            </w:pPr>
            <w:r w:rsidRPr="00736C15">
              <w:rPr>
                <w:rFonts w:ascii="Arial" w:eastAsia="Calibri" w:hAnsi="Arial" w:cs="Arial"/>
                <w:b/>
                <w:i/>
                <w:color w:val="000000"/>
                <w:sz w:val="17"/>
                <w:szCs w:val="17"/>
              </w:rPr>
              <w:t>Krediti po fer vrijednosti kroz dobit ili gubitak:</w:t>
            </w:r>
          </w:p>
        </w:tc>
        <w:tc>
          <w:tcPr>
            <w:tcW w:w="1060" w:type="dxa"/>
            <w:tcBorders>
              <w:top w:val="nil"/>
              <w:left w:val="nil"/>
              <w:right w:val="nil"/>
            </w:tcBorders>
            <w:shd w:val="clear" w:color="auto" w:fill="auto"/>
            <w:vAlign w:val="bottom"/>
          </w:tcPr>
          <w:p w14:paraId="5CBC9EA0" w14:textId="77777777" w:rsidR="00EA0A0F" w:rsidRPr="00736C15" w:rsidRDefault="00EA0A0F" w:rsidP="00CA7F04">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4B1E4401" w14:textId="77777777" w:rsidR="00EA0A0F" w:rsidRPr="00736C15" w:rsidRDefault="00EA0A0F" w:rsidP="00CA7F04">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6323B912" w14:textId="77777777" w:rsidR="00EA0A0F" w:rsidRPr="00736C15" w:rsidRDefault="00EA0A0F" w:rsidP="00CA7F04">
            <w:pPr>
              <w:tabs>
                <w:tab w:val="right" w:pos="1202"/>
              </w:tabs>
              <w:jc w:val="right"/>
              <w:outlineLvl w:val="0"/>
              <w:rPr>
                <w:rFonts w:ascii="Arial" w:eastAsia="Calibri" w:hAnsi="Arial" w:cs="Arial"/>
                <w:color w:val="000000"/>
                <w:sz w:val="17"/>
                <w:szCs w:val="17"/>
              </w:rPr>
            </w:pPr>
          </w:p>
        </w:tc>
      </w:tr>
      <w:tr w:rsidR="00EA0A0F" w:rsidRPr="00736C15" w14:paraId="20E49588" w14:textId="77777777" w:rsidTr="00CA7F04">
        <w:trPr>
          <w:trHeight w:val="283"/>
          <w:jc w:val="center"/>
        </w:trPr>
        <w:tc>
          <w:tcPr>
            <w:tcW w:w="6094" w:type="dxa"/>
            <w:vAlign w:val="bottom"/>
          </w:tcPr>
          <w:p w14:paraId="7F945097" w14:textId="77777777" w:rsidR="00EA0A0F" w:rsidRPr="00736C15" w:rsidRDefault="00EA0A0F" w:rsidP="00CA7F04">
            <w:pPr>
              <w:tabs>
                <w:tab w:val="right" w:pos="1202"/>
              </w:tabs>
              <w:outlineLvl w:val="0"/>
              <w:rPr>
                <w:rFonts w:ascii="Arial" w:eastAsia="Calibri" w:hAnsi="Arial" w:cs="Arial"/>
                <w:color w:val="000000"/>
                <w:sz w:val="17"/>
                <w:szCs w:val="17"/>
              </w:rPr>
            </w:pPr>
            <w:proofErr w:type="spellStart"/>
            <w:r w:rsidRPr="00736C15">
              <w:rPr>
                <w:rFonts w:ascii="Arial" w:eastAsia="Calibri" w:hAnsi="Arial" w:cs="Arial"/>
                <w:color w:val="000000"/>
                <w:sz w:val="17"/>
                <w:szCs w:val="17"/>
              </w:rPr>
              <w:t>Mezzanine</w:t>
            </w:r>
            <w:proofErr w:type="spellEnd"/>
            <w:r w:rsidRPr="00736C15">
              <w:rPr>
                <w:rFonts w:ascii="Arial" w:eastAsia="Calibri" w:hAnsi="Arial" w:cs="Arial"/>
                <w:color w:val="000000"/>
                <w:sz w:val="17"/>
                <w:szCs w:val="17"/>
              </w:rPr>
              <w:t xml:space="preserve"> krediti</w:t>
            </w:r>
          </w:p>
        </w:tc>
        <w:tc>
          <w:tcPr>
            <w:tcW w:w="1060" w:type="dxa"/>
            <w:tcBorders>
              <w:top w:val="nil"/>
              <w:left w:val="nil"/>
              <w:right w:val="nil"/>
            </w:tcBorders>
            <w:shd w:val="clear" w:color="auto" w:fill="auto"/>
            <w:vAlign w:val="bottom"/>
          </w:tcPr>
          <w:p w14:paraId="77E4BDF1" w14:textId="77777777" w:rsidR="00EA0A0F" w:rsidRPr="00736C15" w:rsidRDefault="00EA0A0F" w:rsidP="00CA7F04">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1D57C7F4" w14:textId="77777777" w:rsidR="00EA0A0F" w:rsidRPr="00736C15" w:rsidRDefault="00EA0A0F" w:rsidP="00CA7F04">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4B9EA9CA" w14:textId="77777777" w:rsidR="00EA0A0F" w:rsidRPr="00736C15" w:rsidRDefault="00EA0A0F" w:rsidP="00CA7F04">
            <w:pPr>
              <w:tabs>
                <w:tab w:val="right" w:pos="1202"/>
              </w:tabs>
              <w:jc w:val="right"/>
              <w:outlineLvl w:val="0"/>
              <w:rPr>
                <w:rFonts w:ascii="Arial" w:eastAsia="Calibri" w:hAnsi="Arial" w:cs="Arial"/>
                <w:color w:val="000000"/>
                <w:sz w:val="17"/>
                <w:szCs w:val="17"/>
              </w:rPr>
            </w:pPr>
            <w:r w:rsidRPr="00134EDA">
              <w:rPr>
                <w:rFonts w:ascii="Arial" w:eastAsia="Calibri" w:hAnsi="Arial" w:cs="Arial"/>
                <w:color w:val="000000"/>
                <w:sz w:val="17"/>
                <w:szCs w:val="17"/>
              </w:rPr>
              <w:t>33.698</w:t>
            </w:r>
          </w:p>
        </w:tc>
      </w:tr>
      <w:tr w:rsidR="00EA0A0F" w:rsidRPr="00736C15" w14:paraId="4E089929" w14:textId="77777777" w:rsidTr="00CA7F04">
        <w:trPr>
          <w:trHeight w:val="283"/>
          <w:jc w:val="center"/>
        </w:trPr>
        <w:tc>
          <w:tcPr>
            <w:tcW w:w="6094" w:type="dxa"/>
            <w:vAlign w:val="bottom"/>
          </w:tcPr>
          <w:p w14:paraId="7C495280" w14:textId="77777777" w:rsidR="00EA0A0F" w:rsidRPr="00736C15" w:rsidRDefault="00EA0A0F" w:rsidP="00CA7F04">
            <w:pPr>
              <w:tabs>
                <w:tab w:val="right" w:pos="1202"/>
              </w:tabs>
              <w:outlineLvl w:val="0"/>
              <w:rPr>
                <w:rFonts w:ascii="Arial" w:eastAsia="Calibri" w:hAnsi="Arial" w:cs="Arial"/>
                <w:b/>
                <w:i/>
                <w:color w:val="000000"/>
                <w:sz w:val="17"/>
                <w:szCs w:val="17"/>
              </w:rPr>
            </w:pPr>
            <w:r w:rsidRPr="00736C15">
              <w:rPr>
                <w:rFonts w:ascii="Arial" w:eastAsia="Calibri" w:hAnsi="Arial" w:cs="Arial"/>
                <w:b/>
                <w:i/>
                <w:color w:val="000000"/>
                <w:sz w:val="17"/>
                <w:szCs w:val="17"/>
              </w:rPr>
              <w:t>Ulaganja u investicijske fondove:</w:t>
            </w:r>
          </w:p>
        </w:tc>
        <w:tc>
          <w:tcPr>
            <w:tcW w:w="1060" w:type="dxa"/>
            <w:tcBorders>
              <w:top w:val="nil"/>
              <w:left w:val="nil"/>
              <w:right w:val="nil"/>
            </w:tcBorders>
            <w:shd w:val="clear" w:color="auto" w:fill="auto"/>
            <w:vAlign w:val="bottom"/>
          </w:tcPr>
          <w:p w14:paraId="23EEFF5F" w14:textId="77777777" w:rsidR="00EA0A0F" w:rsidRPr="00736C15" w:rsidRDefault="00EA0A0F" w:rsidP="00CA7F04">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22C7B78E" w14:textId="77777777" w:rsidR="00EA0A0F" w:rsidRPr="00736C15" w:rsidRDefault="00EA0A0F" w:rsidP="00CA7F04">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62D98678" w14:textId="77777777" w:rsidR="00EA0A0F" w:rsidRPr="00736C15" w:rsidRDefault="00EA0A0F" w:rsidP="00CA7F04">
            <w:pPr>
              <w:tabs>
                <w:tab w:val="right" w:pos="1202"/>
              </w:tabs>
              <w:jc w:val="right"/>
              <w:outlineLvl w:val="0"/>
              <w:rPr>
                <w:rFonts w:ascii="Arial" w:eastAsia="Calibri" w:hAnsi="Arial" w:cs="Arial"/>
                <w:color w:val="000000"/>
                <w:sz w:val="17"/>
                <w:szCs w:val="17"/>
              </w:rPr>
            </w:pPr>
          </w:p>
        </w:tc>
      </w:tr>
      <w:tr w:rsidR="00EA0A0F" w:rsidRPr="00736C15" w14:paraId="640CF1A2" w14:textId="77777777" w:rsidTr="00CA7F04">
        <w:trPr>
          <w:trHeight w:val="283"/>
          <w:jc w:val="center"/>
        </w:trPr>
        <w:tc>
          <w:tcPr>
            <w:tcW w:w="6094" w:type="dxa"/>
            <w:vAlign w:val="bottom"/>
          </w:tcPr>
          <w:p w14:paraId="3AE8A57E" w14:textId="77777777" w:rsidR="00EA0A0F" w:rsidRPr="00736C15" w:rsidRDefault="00EA0A0F" w:rsidP="00CA7F04">
            <w:pPr>
              <w:tabs>
                <w:tab w:val="right" w:pos="1202"/>
              </w:tabs>
              <w:outlineLvl w:val="0"/>
              <w:rPr>
                <w:rFonts w:ascii="Arial" w:eastAsia="Calibri" w:hAnsi="Arial" w:cs="Arial"/>
                <w:b/>
                <w:i/>
                <w:color w:val="000000"/>
                <w:sz w:val="17"/>
                <w:szCs w:val="17"/>
              </w:rPr>
            </w:pPr>
            <w:r w:rsidRPr="00736C15">
              <w:rPr>
                <w:rFonts w:ascii="Arial" w:eastAsia="Calibri" w:hAnsi="Arial" w:cs="Arial"/>
                <w:color w:val="000000"/>
                <w:sz w:val="17"/>
                <w:szCs w:val="17"/>
              </w:rPr>
              <w:t>Udjeli u investicijskim fondovima po fer vrijednosti kroz dobit ili gubitak</w:t>
            </w:r>
          </w:p>
        </w:tc>
        <w:tc>
          <w:tcPr>
            <w:tcW w:w="1060" w:type="dxa"/>
            <w:tcBorders>
              <w:top w:val="nil"/>
              <w:left w:val="nil"/>
              <w:right w:val="nil"/>
            </w:tcBorders>
            <w:shd w:val="clear" w:color="auto" w:fill="auto"/>
            <w:vAlign w:val="bottom"/>
          </w:tcPr>
          <w:p w14:paraId="0A21A652" w14:textId="77777777" w:rsidR="00EA0A0F" w:rsidRPr="00736C15" w:rsidRDefault="00EA0A0F" w:rsidP="00CA7F04">
            <w:pPr>
              <w:tabs>
                <w:tab w:val="right" w:pos="1202"/>
              </w:tabs>
              <w:jc w:val="right"/>
              <w:outlineLvl w:val="0"/>
              <w:rPr>
                <w:rFonts w:ascii="Arial" w:eastAsia="Calibri" w:hAnsi="Arial" w:cs="Arial"/>
                <w:color w:val="000000"/>
                <w:sz w:val="17"/>
                <w:szCs w:val="17"/>
              </w:rPr>
            </w:pPr>
            <w:r w:rsidRPr="00134EDA">
              <w:rPr>
                <w:rFonts w:ascii="Arial" w:eastAsia="Calibri" w:hAnsi="Arial" w:cs="Arial"/>
                <w:color w:val="000000"/>
                <w:spacing w:val="-2"/>
                <w:sz w:val="17"/>
                <w:szCs w:val="17"/>
              </w:rPr>
              <w:t>19.171</w:t>
            </w:r>
          </w:p>
        </w:tc>
        <w:tc>
          <w:tcPr>
            <w:tcW w:w="1060" w:type="dxa"/>
            <w:tcBorders>
              <w:top w:val="nil"/>
              <w:left w:val="nil"/>
              <w:right w:val="nil"/>
            </w:tcBorders>
            <w:shd w:val="clear" w:color="auto" w:fill="auto"/>
            <w:vAlign w:val="bottom"/>
          </w:tcPr>
          <w:p w14:paraId="47F65F92" w14:textId="77777777" w:rsidR="00EA0A0F" w:rsidRPr="00736C15" w:rsidRDefault="00EA0A0F" w:rsidP="00CA7F04">
            <w:pPr>
              <w:tabs>
                <w:tab w:val="right" w:pos="1202"/>
              </w:tabs>
              <w:jc w:val="right"/>
              <w:outlineLvl w:val="0"/>
              <w:rPr>
                <w:rFonts w:ascii="Arial" w:eastAsia="Calibri" w:hAnsi="Arial" w:cs="Arial"/>
                <w:color w:val="000000"/>
                <w:sz w:val="17"/>
                <w:szCs w:val="17"/>
              </w:rPr>
            </w:pPr>
            <w:r>
              <w:rPr>
                <w:rFonts w:ascii="Arial" w:eastAsia="Calibri" w:hAnsi="Arial" w:cs="Arial"/>
                <w:color w:val="000000"/>
                <w:spacing w:val="-2"/>
                <w:sz w:val="17"/>
                <w:szCs w:val="17"/>
              </w:rPr>
              <w:t>-</w:t>
            </w:r>
          </w:p>
        </w:tc>
        <w:tc>
          <w:tcPr>
            <w:tcW w:w="1060" w:type="dxa"/>
            <w:tcBorders>
              <w:top w:val="nil"/>
              <w:left w:val="nil"/>
              <w:right w:val="nil"/>
            </w:tcBorders>
            <w:shd w:val="clear" w:color="auto" w:fill="auto"/>
            <w:vAlign w:val="bottom"/>
          </w:tcPr>
          <w:p w14:paraId="51BD3E54" w14:textId="77777777" w:rsidR="00EA0A0F" w:rsidRPr="00736C15" w:rsidRDefault="00EA0A0F" w:rsidP="00CA7F04">
            <w:pPr>
              <w:tabs>
                <w:tab w:val="right" w:pos="1202"/>
              </w:tabs>
              <w:jc w:val="right"/>
              <w:outlineLvl w:val="0"/>
              <w:rPr>
                <w:rFonts w:ascii="Arial" w:eastAsia="Calibri" w:hAnsi="Arial" w:cs="Arial"/>
                <w:color w:val="000000"/>
                <w:sz w:val="17"/>
                <w:szCs w:val="17"/>
              </w:rPr>
            </w:pPr>
            <w:r>
              <w:rPr>
                <w:rFonts w:ascii="Arial" w:eastAsia="Calibri" w:hAnsi="Arial" w:cs="Arial"/>
                <w:color w:val="000000"/>
                <w:spacing w:val="-2"/>
                <w:sz w:val="17"/>
                <w:szCs w:val="17"/>
              </w:rPr>
              <w:t>-</w:t>
            </w:r>
          </w:p>
        </w:tc>
      </w:tr>
      <w:tr w:rsidR="00EA0A0F" w:rsidRPr="00736C15" w14:paraId="3DF66425" w14:textId="77777777" w:rsidTr="00CA7F04">
        <w:trPr>
          <w:trHeight w:val="216"/>
          <w:jc w:val="center"/>
        </w:trPr>
        <w:tc>
          <w:tcPr>
            <w:tcW w:w="6094" w:type="dxa"/>
            <w:vAlign w:val="bottom"/>
          </w:tcPr>
          <w:p w14:paraId="5F9EBAE0" w14:textId="77777777" w:rsidR="00EA0A0F" w:rsidRPr="00736C15" w:rsidRDefault="00EA0A0F" w:rsidP="00CA7F04">
            <w:pPr>
              <w:tabs>
                <w:tab w:val="right" w:pos="1202"/>
              </w:tabs>
              <w:outlineLvl w:val="0"/>
              <w:rPr>
                <w:rFonts w:ascii="Arial" w:eastAsia="Calibri" w:hAnsi="Arial" w:cs="Arial"/>
                <w:color w:val="000000"/>
                <w:sz w:val="17"/>
                <w:szCs w:val="17"/>
              </w:rPr>
            </w:pPr>
            <w:r w:rsidRPr="00736C15">
              <w:rPr>
                <w:rFonts w:ascii="Arial" w:eastAsia="Calibri" w:hAnsi="Arial" w:cs="Arial"/>
                <w:b/>
                <w:color w:val="000000"/>
                <w:sz w:val="17"/>
                <w:szCs w:val="17"/>
              </w:rPr>
              <w:t>Vlasnički vrijednosni papiri:</w:t>
            </w:r>
          </w:p>
        </w:tc>
        <w:tc>
          <w:tcPr>
            <w:tcW w:w="1060" w:type="dxa"/>
            <w:tcBorders>
              <w:top w:val="nil"/>
              <w:left w:val="nil"/>
              <w:right w:val="nil"/>
            </w:tcBorders>
            <w:shd w:val="clear" w:color="auto" w:fill="auto"/>
            <w:vAlign w:val="bottom"/>
          </w:tcPr>
          <w:p w14:paraId="67741A36" w14:textId="77777777" w:rsidR="00EA0A0F" w:rsidRPr="00736C15" w:rsidRDefault="00EA0A0F" w:rsidP="00CA7F04">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6C1E669A" w14:textId="77777777" w:rsidR="00EA0A0F" w:rsidRPr="00736C15" w:rsidRDefault="00EA0A0F" w:rsidP="00CA7F04">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65530BBE" w14:textId="77777777" w:rsidR="00EA0A0F" w:rsidRPr="00736C15" w:rsidRDefault="00EA0A0F" w:rsidP="00CA7F04">
            <w:pPr>
              <w:tabs>
                <w:tab w:val="right" w:pos="1202"/>
              </w:tabs>
              <w:jc w:val="right"/>
              <w:outlineLvl w:val="0"/>
              <w:rPr>
                <w:rFonts w:ascii="Arial" w:eastAsia="Calibri" w:hAnsi="Arial" w:cs="Arial"/>
                <w:color w:val="000000"/>
                <w:sz w:val="17"/>
                <w:szCs w:val="17"/>
              </w:rPr>
            </w:pPr>
          </w:p>
        </w:tc>
      </w:tr>
      <w:tr w:rsidR="00EA0A0F" w:rsidRPr="00736C15" w14:paraId="6131CFD9" w14:textId="77777777" w:rsidTr="00CA7F04">
        <w:trPr>
          <w:trHeight w:val="216"/>
          <w:jc w:val="center"/>
        </w:trPr>
        <w:tc>
          <w:tcPr>
            <w:tcW w:w="6094" w:type="dxa"/>
            <w:vAlign w:val="bottom"/>
          </w:tcPr>
          <w:p w14:paraId="306CBD67" w14:textId="77777777" w:rsidR="00EA0A0F" w:rsidRPr="00736C15" w:rsidRDefault="00EA0A0F" w:rsidP="00CA7F04">
            <w:pPr>
              <w:tabs>
                <w:tab w:val="right" w:pos="1202"/>
              </w:tabs>
              <w:outlineLvl w:val="0"/>
              <w:rPr>
                <w:rFonts w:ascii="Arial" w:eastAsia="Calibri" w:hAnsi="Arial" w:cs="Arial"/>
                <w:color w:val="000000"/>
                <w:sz w:val="17"/>
                <w:szCs w:val="17"/>
              </w:rPr>
            </w:pPr>
            <w:r w:rsidRPr="00736C15">
              <w:rPr>
                <w:rFonts w:ascii="Arial" w:eastAsia="Calibri" w:hAnsi="Arial" w:cs="Arial"/>
                <w:b/>
                <w:i/>
                <w:color w:val="000000"/>
                <w:spacing w:val="-2"/>
                <w:sz w:val="17"/>
                <w:szCs w:val="17"/>
              </w:rPr>
              <w:t>Vlasnički vrijednosni papiri koji ne kotiraju:</w:t>
            </w:r>
          </w:p>
        </w:tc>
        <w:tc>
          <w:tcPr>
            <w:tcW w:w="1060" w:type="dxa"/>
            <w:tcBorders>
              <w:left w:val="nil"/>
              <w:right w:val="nil"/>
            </w:tcBorders>
            <w:shd w:val="clear" w:color="auto" w:fill="auto"/>
            <w:vAlign w:val="bottom"/>
          </w:tcPr>
          <w:p w14:paraId="56AAE9B7" w14:textId="77777777" w:rsidR="00EA0A0F" w:rsidRPr="00736C15" w:rsidRDefault="00EA0A0F" w:rsidP="00CA7F04">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75D4EE63" w14:textId="77777777" w:rsidR="00EA0A0F" w:rsidRPr="00736C15" w:rsidRDefault="00EA0A0F" w:rsidP="00CA7F04">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04CA552A" w14:textId="77777777" w:rsidR="00EA0A0F" w:rsidRPr="00736C15" w:rsidRDefault="00EA0A0F" w:rsidP="00CA7F04">
            <w:pPr>
              <w:tabs>
                <w:tab w:val="right" w:pos="1202"/>
              </w:tabs>
              <w:jc w:val="right"/>
              <w:outlineLvl w:val="0"/>
              <w:rPr>
                <w:rFonts w:ascii="Arial" w:eastAsia="Calibri" w:hAnsi="Arial" w:cs="Arial"/>
                <w:color w:val="000000"/>
                <w:sz w:val="17"/>
                <w:szCs w:val="17"/>
              </w:rPr>
            </w:pPr>
          </w:p>
        </w:tc>
      </w:tr>
      <w:tr w:rsidR="00EA0A0F" w:rsidRPr="00736C15" w14:paraId="51EEBDE3" w14:textId="77777777" w:rsidTr="00CA7F04">
        <w:trPr>
          <w:trHeight w:val="283"/>
          <w:jc w:val="center"/>
        </w:trPr>
        <w:tc>
          <w:tcPr>
            <w:tcW w:w="6094" w:type="dxa"/>
            <w:vAlign w:val="bottom"/>
          </w:tcPr>
          <w:p w14:paraId="4EFF9C63" w14:textId="77777777" w:rsidR="00EA0A0F" w:rsidRPr="00736C15" w:rsidRDefault="00EA0A0F" w:rsidP="00CA7F04">
            <w:pPr>
              <w:tabs>
                <w:tab w:val="right" w:pos="1202"/>
              </w:tabs>
              <w:outlineLvl w:val="0"/>
              <w:rPr>
                <w:rFonts w:ascii="Arial" w:eastAsia="Calibri" w:hAnsi="Arial" w:cs="Arial"/>
                <w:b/>
                <w:i/>
                <w:color w:val="000000"/>
                <w:spacing w:val="-2"/>
                <w:sz w:val="17"/>
                <w:szCs w:val="17"/>
              </w:rPr>
            </w:pPr>
            <w:r w:rsidRPr="00736C15">
              <w:rPr>
                <w:rFonts w:ascii="Arial" w:eastAsia="Calibri" w:hAnsi="Arial" w:cs="Arial"/>
                <w:color w:val="000000"/>
                <w:sz w:val="17"/>
                <w:szCs w:val="17"/>
              </w:rPr>
              <w:t>Dionice trgovačkih društava</w:t>
            </w:r>
          </w:p>
        </w:tc>
        <w:tc>
          <w:tcPr>
            <w:tcW w:w="1060" w:type="dxa"/>
            <w:tcBorders>
              <w:left w:val="nil"/>
              <w:right w:val="nil"/>
            </w:tcBorders>
            <w:shd w:val="clear" w:color="auto" w:fill="auto"/>
            <w:vAlign w:val="bottom"/>
          </w:tcPr>
          <w:p w14:paraId="3F1F52AA" w14:textId="77777777" w:rsidR="00EA0A0F" w:rsidRPr="00736C15" w:rsidRDefault="00EA0A0F" w:rsidP="00CA7F04">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2FB30F49" w14:textId="77777777" w:rsidR="00EA0A0F" w:rsidRPr="00736C15" w:rsidRDefault="00EA0A0F" w:rsidP="00CA7F04">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035E40F6" w14:textId="77777777" w:rsidR="00EA0A0F" w:rsidRPr="00736C15" w:rsidRDefault="00EA0A0F" w:rsidP="00CA7F04">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EA0A0F" w:rsidRPr="00736C15" w14:paraId="5691CDA5" w14:textId="77777777" w:rsidTr="00CA7F04">
        <w:trPr>
          <w:trHeight w:val="283"/>
          <w:jc w:val="center"/>
        </w:trPr>
        <w:tc>
          <w:tcPr>
            <w:tcW w:w="6094" w:type="dxa"/>
            <w:vAlign w:val="bottom"/>
          </w:tcPr>
          <w:p w14:paraId="4EF780DC" w14:textId="77777777" w:rsidR="00EA0A0F" w:rsidRPr="00736C15" w:rsidRDefault="00EA0A0F" w:rsidP="00CA7F04">
            <w:pPr>
              <w:tabs>
                <w:tab w:val="right" w:pos="1202"/>
              </w:tabs>
              <w:outlineLvl w:val="0"/>
              <w:rPr>
                <w:rFonts w:ascii="Arial" w:eastAsia="Calibri" w:hAnsi="Arial" w:cs="Arial"/>
                <w:color w:val="000000"/>
                <w:sz w:val="17"/>
                <w:szCs w:val="17"/>
              </w:rPr>
            </w:pPr>
            <w:r w:rsidRPr="00736C15">
              <w:rPr>
                <w:rFonts w:ascii="Arial" w:eastAsia="Calibri" w:hAnsi="Arial" w:cs="Arial"/>
                <w:color w:val="000000"/>
                <w:sz w:val="17"/>
                <w:szCs w:val="17"/>
              </w:rPr>
              <w:t>Depozitarne potvrde - DR</w:t>
            </w:r>
          </w:p>
        </w:tc>
        <w:tc>
          <w:tcPr>
            <w:tcW w:w="1060" w:type="dxa"/>
            <w:tcBorders>
              <w:left w:val="nil"/>
              <w:right w:val="nil"/>
            </w:tcBorders>
            <w:shd w:val="clear" w:color="auto" w:fill="auto"/>
            <w:vAlign w:val="bottom"/>
          </w:tcPr>
          <w:p w14:paraId="08175822" w14:textId="77777777" w:rsidR="00EA0A0F" w:rsidRPr="00736C15" w:rsidRDefault="00EA0A0F" w:rsidP="00CA7F04">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029CCC86" w14:textId="77777777" w:rsidR="00EA0A0F" w:rsidRPr="00736C15" w:rsidRDefault="00EA0A0F" w:rsidP="00CA7F04">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545EDEAF" w14:textId="77777777" w:rsidR="00EA0A0F" w:rsidRPr="00736C15" w:rsidRDefault="00EA0A0F" w:rsidP="00CA7F04">
            <w:pPr>
              <w:tabs>
                <w:tab w:val="right" w:pos="1202"/>
              </w:tabs>
              <w:jc w:val="right"/>
              <w:outlineLvl w:val="0"/>
              <w:rPr>
                <w:rFonts w:ascii="Arial" w:eastAsia="Calibri" w:hAnsi="Arial" w:cs="Arial"/>
                <w:color w:val="000000"/>
                <w:sz w:val="17"/>
                <w:szCs w:val="17"/>
              </w:rPr>
            </w:pPr>
            <w:r w:rsidRPr="00134EDA">
              <w:rPr>
                <w:rFonts w:ascii="Arial" w:eastAsia="Calibri" w:hAnsi="Arial" w:cs="Arial"/>
                <w:color w:val="000000"/>
                <w:sz w:val="17"/>
                <w:szCs w:val="17"/>
              </w:rPr>
              <w:t>42</w:t>
            </w:r>
          </w:p>
        </w:tc>
      </w:tr>
      <w:tr w:rsidR="00EA0A0F" w:rsidRPr="00736C15" w14:paraId="45374B28" w14:textId="77777777" w:rsidTr="00CA7F04">
        <w:trPr>
          <w:trHeight w:val="283"/>
          <w:jc w:val="center"/>
        </w:trPr>
        <w:tc>
          <w:tcPr>
            <w:tcW w:w="6094" w:type="dxa"/>
            <w:vAlign w:val="bottom"/>
          </w:tcPr>
          <w:p w14:paraId="328B1D44" w14:textId="77777777" w:rsidR="00EA0A0F" w:rsidRPr="006F4749" w:rsidRDefault="00EA0A0F" w:rsidP="00CA7F04">
            <w:pPr>
              <w:tabs>
                <w:tab w:val="right" w:pos="1202"/>
              </w:tabs>
              <w:outlineLvl w:val="0"/>
              <w:rPr>
                <w:rFonts w:ascii="Arial" w:eastAsia="Calibri" w:hAnsi="Arial" w:cs="Arial"/>
                <w:b/>
                <w:bCs/>
                <w:color w:val="000000"/>
                <w:sz w:val="17"/>
                <w:szCs w:val="17"/>
              </w:rPr>
            </w:pPr>
            <w:r w:rsidRPr="006F4749">
              <w:rPr>
                <w:rFonts w:ascii="Arial" w:eastAsia="Calibri" w:hAnsi="Arial" w:cs="Arial"/>
                <w:b/>
                <w:bCs/>
                <w:color w:val="000000"/>
                <w:sz w:val="17"/>
                <w:szCs w:val="17"/>
              </w:rPr>
              <w:t>Derivativna financijska imovina – pozitivna fer vrijednost</w:t>
            </w:r>
          </w:p>
        </w:tc>
        <w:tc>
          <w:tcPr>
            <w:tcW w:w="1060" w:type="dxa"/>
            <w:tcBorders>
              <w:left w:val="nil"/>
              <w:right w:val="nil"/>
            </w:tcBorders>
            <w:shd w:val="clear" w:color="auto" w:fill="auto"/>
            <w:vAlign w:val="bottom"/>
          </w:tcPr>
          <w:p w14:paraId="1DEE89E1" w14:textId="77777777" w:rsidR="00EA0A0F" w:rsidRDefault="00EA0A0F" w:rsidP="00CA7F04">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632C3DD9" w14:textId="77777777" w:rsidR="00EA0A0F" w:rsidRDefault="00EA0A0F" w:rsidP="00CA7F04">
            <w:pPr>
              <w:tabs>
                <w:tab w:val="right" w:pos="1202"/>
              </w:tabs>
              <w:jc w:val="right"/>
              <w:outlineLvl w:val="0"/>
              <w:rPr>
                <w:rFonts w:ascii="Arial" w:eastAsia="Calibri" w:hAnsi="Arial" w:cs="Arial"/>
                <w:color w:val="000000"/>
                <w:sz w:val="17"/>
                <w:szCs w:val="17"/>
              </w:rPr>
            </w:pPr>
          </w:p>
        </w:tc>
        <w:tc>
          <w:tcPr>
            <w:tcW w:w="1060" w:type="dxa"/>
            <w:tcBorders>
              <w:top w:val="nil"/>
              <w:left w:val="nil"/>
              <w:right w:val="nil"/>
            </w:tcBorders>
            <w:shd w:val="clear" w:color="auto" w:fill="auto"/>
            <w:vAlign w:val="bottom"/>
          </w:tcPr>
          <w:p w14:paraId="334DA81E" w14:textId="77777777" w:rsidR="00EA0A0F" w:rsidRPr="00747110" w:rsidRDefault="00EA0A0F" w:rsidP="00CA7F04">
            <w:pPr>
              <w:tabs>
                <w:tab w:val="right" w:pos="1202"/>
              </w:tabs>
              <w:jc w:val="right"/>
              <w:outlineLvl w:val="0"/>
              <w:rPr>
                <w:rFonts w:ascii="Arial" w:eastAsia="Calibri" w:hAnsi="Arial" w:cs="Arial"/>
                <w:color w:val="000000"/>
                <w:sz w:val="17"/>
                <w:szCs w:val="17"/>
              </w:rPr>
            </w:pPr>
          </w:p>
        </w:tc>
      </w:tr>
      <w:tr w:rsidR="00EA0A0F" w:rsidRPr="00736C15" w14:paraId="555C74D0" w14:textId="77777777" w:rsidTr="00CA7F04">
        <w:trPr>
          <w:trHeight w:val="283"/>
          <w:jc w:val="center"/>
        </w:trPr>
        <w:tc>
          <w:tcPr>
            <w:tcW w:w="6094" w:type="dxa"/>
            <w:vAlign w:val="bottom"/>
          </w:tcPr>
          <w:p w14:paraId="754B2993" w14:textId="77777777" w:rsidR="00EA0A0F" w:rsidRPr="00736C15" w:rsidRDefault="00EA0A0F" w:rsidP="00CA7F04">
            <w:pPr>
              <w:tabs>
                <w:tab w:val="right" w:pos="1202"/>
              </w:tabs>
              <w:outlineLvl w:val="0"/>
              <w:rPr>
                <w:rFonts w:ascii="Arial" w:eastAsia="Calibri" w:hAnsi="Arial" w:cs="Arial"/>
                <w:color w:val="000000"/>
                <w:sz w:val="17"/>
                <w:szCs w:val="17"/>
              </w:rPr>
            </w:pPr>
            <w:r w:rsidRPr="006F4749">
              <w:rPr>
                <w:rFonts w:ascii="Arial" w:eastAsia="Calibri" w:hAnsi="Arial" w:cs="Arial"/>
                <w:color w:val="000000"/>
                <w:sz w:val="17"/>
                <w:szCs w:val="17"/>
              </w:rPr>
              <w:t xml:space="preserve">FX </w:t>
            </w:r>
            <w:proofErr w:type="spellStart"/>
            <w:r w:rsidRPr="006F4749">
              <w:rPr>
                <w:rFonts w:ascii="Arial" w:eastAsia="Calibri" w:hAnsi="Arial" w:cs="Arial"/>
                <w:color w:val="000000"/>
                <w:sz w:val="17"/>
                <w:szCs w:val="17"/>
              </w:rPr>
              <w:t>swap</w:t>
            </w:r>
            <w:proofErr w:type="spellEnd"/>
          </w:p>
        </w:tc>
        <w:tc>
          <w:tcPr>
            <w:tcW w:w="1060" w:type="dxa"/>
            <w:tcBorders>
              <w:left w:val="nil"/>
              <w:right w:val="nil"/>
            </w:tcBorders>
            <w:shd w:val="clear" w:color="auto" w:fill="auto"/>
            <w:vAlign w:val="bottom"/>
          </w:tcPr>
          <w:p w14:paraId="5F86E9C1" w14:textId="77777777" w:rsidR="00EA0A0F" w:rsidRDefault="00EA0A0F" w:rsidP="00CA7F04">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right w:val="nil"/>
            </w:tcBorders>
            <w:shd w:val="clear" w:color="auto" w:fill="auto"/>
            <w:vAlign w:val="bottom"/>
          </w:tcPr>
          <w:p w14:paraId="55C28CF8" w14:textId="77777777" w:rsidR="00EA0A0F" w:rsidRDefault="00EA0A0F" w:rsidP="00CA7F04">
            <w:pPr>
              <w:tabs>
                <w:tab w:val="right" w:pos="1202"/>
              </w:tabs>
              <w:jc w:val="right"/>
              <w:outlineLvl w:val="0"/>
              <w:rPr>
                <w:rFonts w:ascii="Arial" w:eastAsia="Calibri" w:hAnsi="Arial" w:cs="Arial"/>
                <w:color w:val="000000"/>
                <w:sz w:val="17"/>
                <w:szCs w:val="17"/>
              </w:rPr>
            </w:pPr>
            <w:r w:rsidRPr="00134EDA">
              <w:rPr>
                <w:rFonts w:ascii="Arial" w:eastAsia="Calibri" w:hAnsi="Arial" w:cs="Arial"/>
                <w:color w:val="000000"/>
                <w:sz w:val="17"/>
                <w:szCs w:val="17"/>
              </w:rPr>
              <w:t>11</w:t>
            </w:r>
          </w:p>
        </w:tc>
        <w:tc>
          <w:tcPr>
            <w:tcW w:w="1060" w:type="dxa"/>
            <w:tcBorders>
              <w:top w:val="nil"/>
              <w:left w:val="nil"/>
              <w:right w:val="nil"/>
            </w:tcBorders>
            <w:shd w:val="clear" w:color="auto" w:fill="auto"/>
            <w:vAlign w:val="bottom"/>
          </w:tcPr>
          <w:p w14:paraId="23A6E99A" w14:textId="77777777" w:rsidR="00EA0A0F" w:rsidRPr="00747110" w:rsidRDefault="00EA0A0F" w:rsidP="00CA7F04">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EA0A0F" w:rsidRPr="00736C15" w14:paraId="0DB0EA84" w14:textId="77777777" w:rsidTr="00CA7F04">
        <w:trPr>
          <w:trHeight w:val="283"/>
          <w:jc w:val="center"/>
        </w:trPr>
        <w:tc>
          <w:tcPr>
            <w:tcW w:w="6094" w:type="dxa"/>
            <w:vAlign w:val="bottom"/>
          </w:tcPr>
          <w:p w14:paraId="56FA2E6C" w14:textId="77777777" w:rsidR="00EA0A0F" w:rsidRPr="00736C15" w:rsidRDefault="00EA0A0F" w:rsidP="00CA7F04">
            <w:pPr>
              <w:tabs>
                <w:tab w:val="right" w:pos="1202"/>
              </w:tabs>
              <w:outlineLvl w:val="0"/>
              <w:rPr>
                <w:rFonts w:ascii="Arial" w:eastAsia="Calibri" w:hAnsi="Arial" w:cs="Arial"/>
                <w:color w:val="000000"/>
                <w:sz w:val="17"/>
                <w:szCs w:val="17"/>
              </w:rPr>
            </w:pPr>
            <w:r w:rsidRPr="00736C15">
              <w:rPr>
                <w:rFonts w:ascii="Arial" w:eastAsia="Calibri" w:hAnsi="Arial" w:cs="Arial"/>
                <w:b/>
                <w:color w:val="000000"/>
                <w:sz w:val="17"/>
                <w:szCs w:val="17"/>
              </w:rPr>
              <w:t>Ukupno financijska imovina po fer vrijednosti kroz dobit ili gubitak</w:t>
            </w:r>
          </w:p>
        </w:tc>
        <w:tc>
          <w:tcPr>
            <w:tcW w:w="1060" w:type="dxa"/>
            <w:tcBorders>
              <w:top w:val="single" w:sz="4" w:space="0" w:color="auto"/>
              <w:left w:val="nil"/>
              <w:bottom w:val="single" w:sz="12" w:space="0" w:color="auto"/>
              <w:right w:val="nil"/>
            </w:tcBorders>
            <w:shd w:val="clear" w:color="auto" w:fill="auto"/>
            <w:vAlign w:val="bottom"/>
          </w:tcPr>
          <w:p w14:paraId="56D3BD6D" w14:textId="77777777" w:rsidR="00EA0A0F" w:rsidRPr="00736C15" w:rsidRDefault="00EA0A0F" w:rsidP="00CA7F04">
            <w:pPr>
              <w:tabs>
                <w:tab w:val="right" w:pos="1202"/>
              </w:tabs>
              <w:jc w:val="right"/>
              <w:outlineLvl w:val="0"/>
              <w:rPr>
                <w:rFonts w:ascii="Arial" w:eastAsia="Calibri" w:hAnsi="Arial" w:cs="Arial"/>
                <w:b/>
                <w:color w:val="000000"/>
                <w:sz w:val="17"/>
                <w:szCs w:val="17"/>
              </w:rPr>
            </w:pPr>
            <w:r w:rsidRPr="00AD7F10">
              <w:rPr>
                <w:rFonts w:ascii="Arial" w:eastAsia="Calibri" w:hAnsi="Arial" w:cs="Arial"/>
                <w:b/>
                <w:color w:val="000000"/>
                <w:spacing w:val="-2"/>
                <w:sz w:val="17"/>
                <w:szCs w:val="17"/>
                <w:lang w:eastAsia="hr-HR"/>
              </w:rPr>
              <w:t>19.171</w:t>
            </w:r>
          </w:p>
        </w:tc>
        <w:tc>
          <w:tcPr>
            <w:tcW w:w="1060" w:type="dxa"/>
            <w:tcBorders>
              <w:top w:val="single" w:sz="4" w:space="0" w:color="auto"/>
              <w:left w:val="nil"/>
              <w:bottom w:val="single" w:sz="12" w:space="0" w:color="auto"/>
              <w:right w:val="nil"/>
            </w:tcBorders>
            <w:shd w:val="clear" w:color="auto" w:fill="auto"/>
            <w:vAlign w:val="bottom"/>
          </w:tcPr>
          <w:p w14:paraId="1416D06C" w14:textId="77777777" w:rsidR="00EA0A0F" w:rsidRPr="00736C15" w:rsidRDefault="00EA0A0F" w:rsidP="00CA7F04">
            <w:pPr>
              <w:tabs>
                <w:tab w:val="right" w:pos="1202"/>
              </w:tabs>
              <w:jc w:val="right"/>
              <w:outlineLvl w:val="0"/>
              <w:rPr>
                <w:rFonts w:ascii="Arial" w:eastAsia="Calibri" w:hAnsi="Arial" w:cs="Arial"/>
                <w:b/>
                <w:color w:val="000000"/>
                <w:sz w:val="17"/>
                <w:szCs w:val="17"/>
              </w:rPr>
            </w:pPr>
            <w:r w:rsidRPr="00AD7F10">
              <w:rPr>
                <w:rFonts w:ascii="Arial" w:eastAsia="Calibri" w:hAnsi="Arial" w:cs="Arial"/>
                <w:b/>
                <w:color w:val="000000"/>
                <w:spacing w:val="-2"/>
                <w:sz w:val="17"/>
                <w:szCs w:val="17"/>
                <w:lang w:eastAsia="hr-HR"/>
              </w:rPr>
              <w:t>11</w:t>
            </w:r>
          </w:p>
        </w:tc>
        <w:tc>
          <w:tcPr>
            <w:tcW w:w="1060" w:type="dxa"/>
            <w:tcBorders>
              <w:top w:val="single" w:sz="4" w:space="0" w:color="auto"/>
              <w:left w:val="nil"/>
              <w:bottom w:val="single" w:sz="12" w:space="0" w:color="auto"/>
              <w:right w:val="nil"/>
            </w:tcBorders>
            <w:shd w:val="clear" w:color="auto" w:fill="auto"/>
            <w:vAlign w:val="bottom"/>
          </w:tcPr>
          <w:p w14:paraId="4A468032" w14:textId="77777777" w:rsidR="00EA0A0F" w:rsidRPr="00736C15" w:rsidRDefault="00EA0A0F" w:rsidP="00CA7F04">
            <w:pPr>
              <w:tabs>
                <w:tab w:val="right" w:pos="1202"/>
              </w:tabs>
              <w:jc w:val="right"/>
              <w:outlineLvl w:val="0"/>
              <w:rPr>
                <w:rFonts w:ascii="Arial" w:eastAsia="Calibri" w:hAnsi="Arial" w:cs="Arial"/>
                <w:b/>
                <w:color w:val="000000"/>
                <w:sz w:val="17"/>
                <w:szCs w:val="17"/>
              </w:rPr>
            </w:pPr>
            <w:r w:rsidRPr="00AD7F10">
              <w:rPr>
                <w:rFonts w:ascii="Arial" w:eastAsia="Calibri" w:hAnsi="Arial" w:cs="Arial"/>
                <w:b/>
                <w:color w:val="000000"/>
                <w:spacing w:val="-2"/>
                <w:sz w:val="17"/>
                <w:szCs w:val="17"/>
                <w:lang w:eastAsia="hr-HR"/>
              </w:rPr>
              <w:t>33.740</w:t>
            </w:r>
          </w:p>
        </w:tc>
      </w:tr>
      <w:tr w:rsidR="00EA0A0F" w:rsidRPr="00736C15" w14:paraId="550D37D2" w14:textId="77777777" w:rsidTr="00CA7F04">
        <w:trPr>
          <w:trHeight w:val="283"/>
          <w:jc w:val="center"/>
        </w:trPr>
        <w:tc>
          <w:tcPr>
            <w:tcW w:w="6094" w:type="dxa"/>
            <w:shd w:val="clear" w:color="auto" w:fill="auto"/>
            <w:vAlign w:val="bottom"/>
          </w:tcPr>
          <w:p w14:paraId="57217017" w14:textId="77777777" w:rsidR="00EA0A0F" w:rsidRPr="00736C15" w:rsidRDefault="00EA0A0F" w:rsidP="00CA7F04">
            <w:pPr>
              <w:tabs>
                <w:tab w:val="right" w:pos="1202"/>
              </w:tabs>
              <w:outlineLvl w:val="0"/>
              <w:rPr>
                <w:rFonts w:ascii="Arial" w:eastAsia="Calibri" w:hAnsi="Arial" w:cs="Arial"/>
                <w:b/>
                <w:color w:val="000000"/>
                <w:spacing w:val="-2"/>
                <w:sz w:val="17"/>
                <w:szCs w:val="17"/>
              </w:rPr>
            </w:pPr>
            <w:r w:rsidRPr="00736C15">
              <w:rPr>
                <w:rFonts w:ascii="Arial" w:eastAsia="Calibri" w:hAnsi="Arial" w:cs="Arial"/>
                <w:b/>
                <w:color w:val="000000"/>
                <w:spacing w:val="-2"/>
                <w:sz w:val="17"/>
                <w:szCs w:val="17"/>
              </w:rPr>
              <w:t>Financijska imovina po fer vrijednosti kroz ostalu sveobuhvatnu dobit:</w:t>
            </w:r>
          </w:p>
        </w:tc>
        <w:tc>
          <w:tcPr>
            <w:tcW w:w="1060" w:type="dxa"/>
            <w:vAlign w:val="bottom"/>
          </w:tcPr>
          <w:p w14:paraId="38D60DA7" w14:textId="77777777" w:rsidR="00EA0A0F" w:rsidRPr="00736C15" w:rsidDel="00561A80" w:rsidRDefault="00EA0A0F" w:rsidP="00CA7F04">
            <w:pPr>
              <w:tabs>
                <w:tab w:val="right" w:pos="1202"/>
              </w:tabs>
              <w:jc w:val="right"/>
              <w:outlineLvl w:val="0"/>
              <w:rPr>
                <w:rFonts w:ascii="Arial" w:eastAsia="Calibri" w:hAnsi="Arial" w:cs="Arial"/>
                <w:color w:val="000000"/>
                <w:spacing w:val="-2"/>
                <w:sz w:val="17"/>
                <w:szCs w:val="17"/>
              </w:rPr>
            </w:pPr>
          </w:p>
        </w:tc>
        <w:tc>
          <w:tcPr>
            <w:tcW w:w="1060" w:type="dxa"/>
            <w:vAlign w:val="bottom"/>
          </w:tcPr>
          <w:p w14:paraId="06D69DB5" w14:textId="77777777" w:rsidR="00EA0A0F" w:rsidRPr="00736C15" w:rsidDel="00561A80" w:rsidRDefault="00EA0A0F" w:rsidP="00CA7F04">
            <w:pPr>
              <w:tabs>
                <w:tab w:val="right" w:pos="1202"/>
              </w:tabs>
              <w:jc w:val="right"/>
              <w:outlineLvl w:val="0"/>
              <w:rPr>
                <w:rFonts w:ascii="Arial" w:eastAsia="Calibri" w:hAnsi="Arial" w:cs="Arial"/>
                <w:color w:val="000000"/>
                <w:spacing w:val="-2"/>
                <w:sz w:val="17"/>
                <w:szCs w:val="17"/>
              </w:rPr>
            </w:pPr>
          </w:p>
        </w:tc>
        <w:tc>
          <w:tcPr>
            <w:tcW w:w="1060" w:type="dxa"/>
            <w:vAlign w:val="bottom"/>
          </w:tcPr>
          <w:p w14:paraId="726CDAA7" w14:textId="77777777" w:rsidR="00EA0A0F" w:rsidRPr="00736C15" w:rsidDel="00561A80" w:rsidRDefault="00EA0A0F" w:rsidP="00CA7F04">
            <w:pPr>
              <w:tabs>
                <w:tab w:val="right" w:pos="1202"/>
              </w:tabs>
              <w:jc w:val="right"/>
              <w:outlineLvl w:val="0"/>
              <w:rPr>
                <w:rFonts w:ascii="Arial" w:eastAsia="Calibri" w:hAnsi="Arial" w:cs="Arial"/>
                <w:color w:val="000000"/>
                <w:spacing w:val="-2"/>
                <w:sz w:val="17"/>
                <w:szCs w:val="17"/>
              </w:rPr>
            </w:pPr>
          </w:p>
        </w:tc>
      </w:tr>
      <w:tr w:rsidR="00EA0A0F" w:rsidRPr="00736C15" w14:paraId="27F88E22" w14:textId="77777777" w:rsidTr="00CA7F04">
        <w:trPr>
          <w:trHeight w:val="283"/>
          <w:jc w:val="center"/>
        </w:trPr>
        <w:tc>
          <w:tcPr>
            <w:tcW w:w="6094" w:type="dxa"/>
            <w:shd w:val="clear" w:color="auto" w:fill="auto"/>
            <w:vAlign w:val="bottom"/>
          </w:tcPr>
          <w:p w14:paraId="77235691" w14:textId="77777777" w:rsidR="00EA0A0F" w:rsidRPr="00736C15" w:rsidRDefault="00EA0A0F" w:rsidP="00CA7F04">
            <w:pPr>
              <w:tabs>
                <w:tab w:val="right" w:pos="1202"/>
              </w:tabs>
              <w:outlineLvl w:val="0"/>
              <w:rPr>
                <w:rFonts w:ascii="Arial" w:eastAsia="Calibri" w:hAnsi="Arial" w:cs="Arial"/>
                <w:b/>
                <w:color w:val="000000"/>
                <w:spacing w:val="-2"/>
                <w:sz w:val="17"/>
                <w:szCs w:val="17"/>
              </w:rPr>
            </w:pPr>
            <w:r w:rsidRPr="00736C15">
              <w:rPr>
                <w:rFonts w:ascii="Arial" w:eastAsia="Calibri" w:hAnsi="Arial" w:cs="Arial"/>
                <w:b/>
                <w:color w:val="000000"/>
                <w:spacing w:val="-2"/>
                <w:sz w:val="17"/>
                <w:szCs w:val="17"/>
              </w:rPr>
              <w:t>Dužnički vrijednosni papiri:</w:t>
            </w:r>
          </w:p>
        </w:tc>
        <w:tc>
          <w:tcPr>
            <w:tcW w:w="1060" w:type="dxa"/>
            <w:vAlign w:val="bottom"/>
          </w:tcPr>
          <w:p w14:paraId="21BCEC5E" w14:textId="77777777" w:rsidR="00EA0A0F" w:rsidRPr="00736C15" w:rsidDel="00561A80" w:rsidRDefault="00EA0A0F" w:rsidP="00CA7F04">
            <w:pPr>
              <w:tabs>
                <w:tab w:val="right" w:pos="1202"/>
              </w:tabs>
              <w:jc w:val="right"/>
              <w:outlineLvl w:val="0"/>
              <w:rPr>
                <w:rFonts w:ascii="Arial" w:eastAsia="Calibri" w:hAnsi="Arial" w:cs="Arial"/>
                <w:color w:val="000000"/>
                <w:spacing w:val="-2"/>
                <w:sz w:val="17"/>
                <w:szCs w:val="17"/>
              </w:rPr>
            </w:pPr>
          </w:p>
        </w:tc>
        <w:tc>
          <w:tcPr>
            <w:tcW w:w="1060" w:type="dxa"/>
            <w:vAlign w:val="bottom"/>
          </w:tcPr>
          <w:p w14:paraId="67C49701" w14:textId="77777777" w:rsidR="00EA0A0F" w:rsidRPr="00736C15" w:rsidDel="00561A80" w:rsidRDefault="00EA0A0F" w:rsidP="00CA7F04">
            <w:pPr>
              <w:tabs>
                <w:tab w:val="right" w:pos="1202"/>
              </w:tabs>
              <w:jc w:val="right"/>
              <w:outlineLvl w:val="0"/>
              <w:rPr>
                <w:rFonts w:ascii="Arial" w:eastAsia="Calibri" w:hAnsi="Arial" w:cs="Arial"/>
                <w:color w:val="000000"/>
                <w:spacing w:val="-2"/>
                <w:sz w:val="17"/>
                <w:szCs w:val="17"/>
              </w:rPr>
            </w:pPr>
          </w:p>
        </w:tc>
        <w:tc>
          <w:tcPr>
            <w:tcW w:w="1060" w:type="dxa"/>
            <w:vAlign w:val="bottom"/>
          </w:tcPr>
          <w:p w14:paraId="7BE1FECA" w14:textId="77777777" w:rsidR="00EA0A0F" w:rsidRPr="00736C15" w:rsidDel="00561A80" w:rsidRDefault="00EA0A0F" w:rsidP="00CA7F04">
            <w:pPr>
              <w:tabs>
                <w:tab w:val="right" w:pos="1202"/>
              </w:tabs>
              <w:jc w:val="right"/>
              <w:outlineLvl w:val="0"/>
              <w:rPr>
                <w:rFonts w:ascii="Arial" w:eastAsia="Calibri" w:hAnsi="Arial" w:cs="Arial"/>
                <w:color w:val="000000"/>
                <w:spacing w:val="-2"/>
                <w:sz w:val="17"/>
                <w:szCs w:val="17"/>
              </w:rPr>
            </w:pPr>
          </w:p>
        </w:tc>
      </w:tr>
      <w:tr w:rsidR="00EA0A0F" w:rsidRPr="00736C15" w14:paraId="7F23F0ED" w14:textId="77777777" w:rsidTr="00CA7F04">
        <w:trPr>
          <w:trHeight w:val="283"/>
          <w:jc w:val="center"/>
        </w:trPr>
        <w:tc>
          <w:tcPr>
            <w:tcW w:w="6094" w:type="dxa"/>
            <w:shd w:val="clear" w:color="auto" w:fill="auto"/>
            <w:vAlign w:val="bottom"/>
          </w:tcPr>
          <w:p w14:paraId="057186D9" w14:textId="77777777" w:rsidR="00EA0A0F" w:rsidRPr="00736C15" w:rsidRDefault="00EA0A0F" w:rsidP="00CA7F04">
            <w:pPr>
              <w:tabs>
                <w:tab w:val="right" w:pos="1202"/>
              </w:tabs>
              <w:outlineLvl w:val="0"/>
              <w:rPr>
                <w:rFonts w:ascii="Arial" w:eastAsia="Calibri" w:hAnsi="Arial" w:cs="Arial"/>
                <w:b/>
                <w:i/>
                <w:color w:val="000000"/>
                <w:spacing w:val="-2"/>
                <w:sz w:val="17"/>
                <w:szCs w:val="17"/>
              </w:rPr>
            </w:pPr>
            <w:r w:rsidRPr="00736C15">
              <w:rPr>
                <w:rFonts w:ascii="Arial" w:eastAsia="Calibri" w:hAnsi="Arial" w:cs="Arial"/>
                <w:b/>
                <w:i/>
                <w:color w:val="000000"/>
                <w:spacing w:val="-2"/>
                <w:sz w:val="17"/>
                <w:szCs w:val="17"/>
              </w:rPr>
              <w:t>Dužnički vrijednosni papiri koji kotiraju:</w:t>
            </w:r>
          </w:p>
        </w:tc>
        <w:tc>
          <w:tcPr>
            <w:tcW w:w="1060" w:type="dxa"/>
            <w:shd w:val="clear" w:color="auto" w:fill="auto"/>
            <w:vAlign w:val="bottom"/>
          </w:tcPr>
          <w:p w14:paraId="6F4ED3CC" w14:textId="77777777" w:rsidR="00EA0A0F" w:rsidRPr="00736C15" w:rsidDel="00561A80" w:rsidRDefault="00EA0A0F" w:rsidP="00CA7F04">
            <w:pPr>
              <w:tabs>
                <w:tab w:val="right" w:pos="1202"/>
              </w:tabs>
              <w:jc w:val="right"/>
              <w:outlineLvl w:val="0"/>
              <w:rPr>
                <w:rFonts w:ascii="Arial" w:eastAsia="Calibri" w:hAnsi="Arial" w:cs="Arial"/>
                <w:color w:val="000000"/>
                <w:spacing w:val="-2"/>
                <w:sz w:val="17"/>
                <w:szCs w:val="17"/>
              </w:rPr>
            </w:pPr>
          </w:p>
        </w:tc>
        <w:tc>
          <w:tcPr>
            <w:tcW w:w="1060" w:type="dxa"/>
            <w:shd w:val="clear" w:color="auto" w:fill="auto"/>
            <w:vAlign w:val="bottom"/>
          </w:tcPr>
          <w:p w14:paraId="3E203651" w14:textId="77777777" w:rsidR="00EA0A0F" w:rsidRPr="00736C15" w:rsidDel="00561A80" w:rsidRDefault="00EA0A0F" w:rsidP="00CA7F04">
            <w:pPr>
              <w:tabs>
                <w:tab w:val="right" w:pos="1202"/>
              </w:tabs>
              <w:jc w:val="right"/>
              <w:outlineLvl w:val="0"/>
              <w:rPr>
                <w:rFonts w:ascii="Arial" w:eastAsia="Calibri" w:hAnsi="Arial" w:cs="Arial"/>
                <w:color w:val="000000"/>
                <w:spacing w:val="-2"/>
                <w:sz w:val="17"/>
                <w:szCs w:val="17"/>
              </w:rPr>
            </w:pPr>
          </w:p>
        </w:tc>
        <w:tc>
          <w:tcPr>
            <w:tcW w:w="1060" w:type="dxa"/>
            <w:shd w:val="clear" w:color="auto" w:fill="auto"/>
            <w:vAlign w:val="bottom"/>
          </w:tcPr>
          <w:p w14:paraId="74D088FB" w14:textId="77777777" w:rsidR="00EA0A0F" w:rsidRPr="00736C15" w:rsidDel="00561A80" w:rsidRDefault="00EA0A0F" w:rsidP="00CA7F04">
            <w:pPr>
              <w:tabs>
                <w:tab w:val="right" w:pos="1202"/>
              </w:tabs>
              <w:jc w:val="right"/>
              <w:outlineLvl w:val="0"/>
              <w:rPr>
                <w:rFonts w:ascii="Arial" w:eastAsia="Calibri" w:hAnsi="Arial" w:cs="Arial"/>
                <w:color w:val="000000"/>
                <w:spacing w:val="-2"/>
                <w:sz w:val="17"/>
                <w:szCs w:val="17"/>
              </w:rPr>
            </w:pPr>
          </w:p>
        </w:tc>
      </w:tr>
      <w:tr w:rsidR="00EA0A0F" w:rsidRPr="00736C15" w14:paraId="2D744B24" w14:textId="77777777" w:rsidTr="00CA7F04">
        <w:trPr>
          <w:trHeight w:val="283"/>
          <w:jc w:val="center"/>
        </w:trPr>
        <w:tc>
          <w:tcPr>
            <w:tcW w:w="6094" w:type="dxa"/>
            <w:shd w:val="clear" w:color="auto" w:fill="auto"/>
            <w:vAlign w:val="bottom"/>
          </w:tcPr>
          <w:p w14:paraId="20DEBC18" w14:textId="77777777" w:rsidR="00EA0A0F" w:rsidRPr="00736C15" w:rsidRDefault="00EA0A0F" w:rsidP="00CA7F04">
            <w:pPr>
              <w:tabs>
                <w:tab w:val="right" w:pos="1202"/>
              </w:tabs>
              <w:outlineLvl w:val="0"/>
              <w:rPr>
                <w:rFonts w:ascii="Arial" w:eastAsia="Calibri" w:hAnsi="Arial" w:cs="Arial"/>
                <w:color w:val="000000"/>
                <w:spacing w:val="-2"/>
                <w:sz w:val="17"/>
                <w:szCs w:val="17"/>
              </w:rPr>
            </w:pPr>
            <w:r w:rsidRPr="00736C15">
              <w:rPr>
                <w:rFonts w:ascii="Arial" w:eastAsia="Calibri" w:hAnsi="Arial" w:cs="Arial"/>
                <w:color w:val="000000"/>
                <w:spacing w:val="-2"/>
                <w:sz w:val="17"/>
                <w:szCs w:val="17"/>
              </w:rPr>
              <w:t>Obveznice Republike Hrvatske</w:t>
            </w:r>
          </w:p>
        </w:tc>
        <w:tc>
          <w:tcPr>
            <w:tcW w:w="1060" w:type="dxa"/>
            <w:tcBorders>
              <w:top w:val="nil"/>
              <w:left w:val="nil"/>
              <w:bottom w:val="nil"/>
              <w:right w:val="nil"/>
            </w:tcBorders>
            <w:shd w:val="clear" w:color="auto" w:fill="auto"/>
            <w:vAlign w:val="bottom"/>
          </w:tcPr>
          <w:p w14:paraId="1BE2B246" w14:textId="77777777" w:rsidR="00EA0A0F" w:rsidRPr="00736C15" w:rsidRDefault="00EA0A0F" w:rsidP="00CA7F04">
            <w:pPr>
              <w:tabs>
                <w:tab w:val="right" w:pos="1202"/>
              </w:tabs>
              <w:jc w:val="right"/>
              <w:outlineLvl w:val="0"/>
              <w:rPr>
                <w:rFonts w:ascii="Arial" w:eastAsia="Calibri" w:hAnsi="Arial" w:cs="Arial"/>
                <w:color w:val="000000"/>
                <w:sz w:val="17"/>
                <w:szCs w:val="17"/>
              </w:rPr>
            </w:pPr>
            <w:r w:rsidRPr="00134EDA">
              <w:rPr>
                <w:rFonts w:ascii="Arial" w:eastAsia="Calibri" w:hAnsi="Arial" w:cs="Arial"/>
                <w:color w:val="000000"/>
                <w:spacing w:val="-2"/>
                <w:sz w:val="17"/>
                <w:szCs w:val="17"/>
              </w:rPr>
              <w:t>179.243</w:t>
            </w:r>
          </w:p>
        </w:tc>
        <w:tc>
          <w:tcPr>
            <w:tcW w:w="1060" w:type="dxa"/>
            <w:tcBorders>
              <w:top w:val="nil"/>
              <w:left w:val="nil"/>
              <w:bottom w:val="nil"/>
              <w:right w:val="nil"/>
            </w:tcBorders>
            <w:shd w:val="clear" w:color="auto" w:fill="auto"/>
            <w:vAlign w:val="bottom"/>
          </w:tcPr>
          <w:p w14:paraId="62DDDAD4" w14:textId="77777777" w:rsidR="00EA0A0F" w:rsidRPr="00736C15" w:rsidRDefault="00EA0A0F" w:rsidP="00CA7F04">
            <w:pPr>
              <w:tabs>
                <w:tab w:val="right" w:pos="1202"/>
              </w:tabs>
              <w:jc w:val="right"/>
              <w:outlineLvl w:val="0"/>
              <w:rPr>
                <w:rFonts w:ascii="Arial" w:eastAsia="Calibri" w:hAnsi="Arial" w:cs="Arial"/>
                <w:color w:val="000000"/>
                <w:sz w:val="17"/>
                <w:szCs w:val="17"/>
              </w:rPr>
            </w:pPr>
            <w:r>
              <w:rPr>
                <w:rFonts w:ascii="Arial" w:eastAsia="Calibri" w:hAnsi="Arial" w:cs="Arial"/>
                <w:color w:val="000000"/>
                <w:spacing w:val="-2"/>
                <w:sz w:val="17"/>
                <w:szCs w:val="17"/>
              </w:rPr>
              <w:t>-</w:t>
            </w:r>
          </w:p>
        </w:tc>
        <w:tc>
          <w:tcPr>
            <w:tcW w:w="1060" w:type="dxa"/>
            <w:tcBorders>
              <w:top w:val="nil"/>
              <w:left w:val="nil"/>
              <w:bottom w:val="nil"/>
              <w:right w:val="nil"/>
            </w:tcBorders>
            <w:shd w:val="clear" w:color="auto" w:fill="auto"/>
            <w:vAlign w:val="bottom"/>
          </w:tcPr>
          <w:p w14:paraId="7420E814" w14:textId="77777777" w:rsidR="00EA0A0F" w:rsidRPr="00736C15" w:rsidRDefault="00EA0A0F" w:rsidP="00CA7F04">
            <w:pPr>
              <w:tabs>
                <w:tab w:val="right" w:pos="1202"/>
              </w:tabs>
              <w:jc w:val="right"/>
              <w:outlineLvl w:val="0"/>
              <w:rPr>
                <w:rFonts w:ascii="Arial" w:eastAsia="Calibri" w:hAnsi="Arial" w:cs="Arial"/>
                <w:color w:val="000000"/>
                <w:sz w:val="17"/>
                <w:szCs w:val="17"/>
              </w:rPr>
            </w:pPr>
            <w:r>
              <w:rPr>
                <w:rFonts w:ascii="Arial" w:eastAsia="Calibri" w:hAnsi="Arial" w:cs="Arial"/>
                <w:color w:val="000000"/>
                <w:spacing w:val="-2"/>
                <w:sz w:val="17"/>
                <w:szCs w:val="17"/>
              </w:rPr>
              <w:t>-</w:t>
            </w:r>
          </w:p>
        </w:tc>
      </w:tr>
      <w:tr w:rsidR="00EA0A0F" w:rsidRPr="00736C15" w14:paraId="3DA10D84" w14:textId="77777777" w:rsidTr="00CA7F04">
        <w:trPr>
          <w:trHeight w:val="283"/>
          <w:jc w:val="center"/>
        </w:trPr>
        <w:tc>
          <w:tcPr>
            <w:tcW w:w="6094" w:type="dxa"/>
            <w:shd w:val="clear" w:color="auto" w:fill="auto"/>
            <w:vAlign w:val="bottom"/>
          </w:tcPr>
          <w:p w14:paraId="617371ED" w14:textId="77777777" w:rsidR="00EA0A0F" w:rsidRPr="00736C15" w:rsidRDefault="00EA0A0F" w:rsidP="00CA7F04">
            <w:pPr>
              <w:tabs>
                <w:tab w:val="right" w:pos="1202"/>
              </w:tabs>
              <w:outlineLvl w:val="0"/>
              <w:rPr>
                <w:rFonts w:ascii="Arial" w:eastAsia="Calibri" w:hAnsi="Arial" w:cs="Arial"/>
                <w:color w:val="000000"/>
                <w:spacing w:val="-2"/>
                <w:sz w:val="17"/>
                <w:szCs w:val="17"/>
              </w:rPr>
            </w:pPr>
            <w:r w:rsidRPr="00736C15">
              <w:rPr>
                <w:rFonts w:ascii="Arial" w:eastAsia="Calibri" w:hAnsi="Arial" w:cs="Arial"/>
                <w:color w:val="000000"/>
                <w:spacing w:val="-2"/>
                <w:sz w:val="17"/>
                <w:szCs w:val="17"/>
              </w:rPr>
              <w:t>Trezorski zapisi Ministarstva financija</w:t>
            </w:r>
          </w:p>
        </w:tc>
        <w:tc>
          <w:tcPr>
            <w:tcW w:w="1060" w:type="dxa"/>
            <w:tcBorders>
              <w:top w:val="nil"/>
              <w:left w:val="nil"/>
              <w:bottom w:val="nil"/>
              <w:right w:val="nil"/>
            </w:tcBorders>
            <w:shd w:val="clear" w:color="auto" w:fill="auto"/>
            <w:vAlign w:val="bottom"/>
          </w:tcPr>
          <w:p w14:paraId="24E686BD" w14:textId="77777777" w:rsidR="00EA0A0F" w:rsidRPr="00736C15" w:rsidRDefault="00EA0A0F" w:rsidP="00CA7F04">
            <w:pPr>
              <w:tabs>
                <w:tab w:val="right" w:pos="1202"/>
              </w:tabs>
              <w:jc w:val="right"/>
              <w:outlineLvl w:val="0"/>
              <w:rPr>
                <w:rFonts w:ascii="Arial" w:eastAsia="Calibri" w:hAnsi="Arial" w:cs="Arial"/>
                <w:color w:val="000000"/>
                <w:sz w:val="17"/>
                <w:szCs w:val="17"/>
              </w:rPr>
            </w:pPr>
            <w:r w:rsidRPr="00134EDA">
              <w:rPr>
                <w:rFonts w:ascii="Arial" w:eastAsia="Calibri" w:hAnsi="Arial" w:cs="Arial"/>
                <w:color w:val="000000"/>
                <w:spacing w:val="-2"/>
                <w:sz w:val="17"/>
                <w:szCs w:val="17"/>
              </w:rPr>
              <w:t>38.451</w:t>
            </w:r>
          </w:p>
        </w:tc>
        <w:tc>
          <w:tcPr>
            <w:tcW w:w="1060" w:type="dxa"/>
            <w:tcBorders>
              <w:top w:val="nil"/>
              <w:left w:val="nil"/>
              <w:bottom w:val="nil"/>
              <w:right w:val="nil"/>
            </w:tcBorders>
            <w:shd w:val="clear" w:color="auto" w:fill="auto"/>
            <w:vAlign w:val="bottom"/>
          </w:tcPr>
          <w:p w14:paraId="3ACBBAE1" w14:textId="77777777" w:rsidR="00EA0A0F" w:rsidRPr="00736C15" w:rsidRDefault="00EA0A0F" w:rsidP="00CA7F04">
            <w:pPr>
              <w:tabs>
                <w:tab w:val="right" w:pos="1202"/>
              </w:tabs>
              <w:jc w:val="right"/>
              <w:outlineLvl w:val="0"/>
              <w:rPr>
                <w:rFonts w:ascii="Arial" w:eastAsia="Calibri" w:hAnsi="Arial" w:cs="Arial"/>
                <w:color w:val="000000"/>
                <w:sz w:val="17"/>
                <w:szCs w:val="17"/>
              </w:rPr>
            </w:pPr>
            <w:r>
              <w:rPr>
                <w:rFonts w:ascii="Arial" w:eastAsia="Calibri" w:hAnsi="Arial" w:cs="Arial"/>
                <w:color w:val="000000"/>
                <w:spacing w:val="-2"/>
                <w:sz w:val="17"/>
                <w:szCs w:val="17"/>
              </w:rPr>
              <w:t>-</w:t>
            </w:r>
          </w:p>
        </w:tc>
        <w:tc>
          <w:tcPr>
            <w:tcW w:w="1060" w:type="dxa"/>
            <w:tcBorders>
              <w:top w:val="nil"/>
              <w:left w:val="nil"/>
              <w:bottom w:val="nil"/>
              <w:right w:val="nil"/>
            </w:tcBorders>
            <w:shd w:val="clear" w:color="auto" w:fill="auto"/>
            <w:vAlign w:val="bottom"/>
          </w:tcPr>
          <w:p w14:paraId="34CD28C0" w14:textId="77777777" w:rsidR="00EA0A0F" w:rsidRPr="00736C15" w:rsidRDefault="00EA0A0F" w:rsidP="00CA7F04">
            <w:pPr>
              <w:tabs>
                <w:tab w:val="right" w:pos="1202"/>
              </w:tabs>
              <w:jc w:val="right"/>
              <w:outlineLvl w:val="0"/>
              <w:rPr>
                <w:rFonts w:ascii="Arial" w:eastAsia="Calibri" w:hAnsi="Arial" w:cs="Arial"/>
                <w:color w:val="000000"/>
                <w:sz w:val="17"/>
                <w:szCs w:val="17"/>
              </w:rPr>
            </w:pPr>
            <w:r>
              <w:rPr>
                <w:rFonts w:ascii="Arial" w:eastAsia="Calibri" w:hAnsi="Arial" w:cs="Arial"/>
                <w:color w:val="000000"/>
                <w:spacing w:val="-2"/>
                <w:sz w:val="17"/>
                <w:szCs w:val="17"/>
              </w:rPr>
              <w:t>-</w:t>
            </w:r>
          </w:p>
        </w:tc>
      </w:tr>
      <w:tr w:rsidR="00EA0A0F" w:rsidRPr="00736C15" w14:paraId="193F8C5C" w14:textId="77777777" w:rsidTr="00CA7F04">
        <w:trPr>
          <w:trHeight w:val="283"/>
          <w:jc w:val="center"/>
        </w:trPr>
        <w:tc>
          <w:tcPr>
            <w:tcW w:w="6094" w:type="dxa"/>
            <w:shd w:val="clear" w:color="auto" w:fill="auto"/>
            <w:vAlign w:val="bottom"/>
          </w:tcPr>
          <w:p w14:paraId="66904A88" w14:textId="77777777" w:rsidR="00EA0A0F" w:rsidRPr="00736C15" w:rsidRDefault="00EA0A0F" w:rsidP="00CA7F04">
            <w:pPr>
              <w:tabs>
                <w:tab w:val="right" w:pos="1202"/>
              </w:tabs>
              <w:outlineLvl w:val="0"/>
              <w:rPr>
                <w:rFonts w:ascii="Arial" w:eastAsia="Calibri" w:hAnsi="Arial" w:cs="Arial"/>
                <w:color w:val="000000"/>
                <w:spacing w:val="-2"/>
                <w:sz w:val="17"/>
                <w:szCs w:val="17"/>
              </w:rPr>
            </w:pPr>
            <w:r w:rsidRPr="00736C15">
              <w:rPr>
                <w:rFonts w:ascii="Arial" w:eastAsia="Calibri" w:hAnsi="Arial" w:cs="Arial"/>
                <w:color w:val="000000"/>
                <w:spacing w:val="-2"/>
                <w:sz w:val="17"/>
                <w:szCs w:val="17"/>
              </w:rPr>
              <w:t xml:space="preserve">Obračunana kamata </w:t>
            </w:r>
          </w:p>
        </w:tc>
        <w:tc>
          <w:tcPr>
            <w:tcW w:w="1060" w:type="dxa"/>
            <w:tcBorders>
              <w:top w:val="nil"/>
              <w:left w:val="nil"/>
              <w:bottom w:val="nil"/>
              <w:right w:val="nil"/>
            </w:tcBorders>
            <w:shd w:val="clear" w:color="auto" w:fill="auto"/>
            <w:vAlign w:val="bottom"/>
          </w:tcPr>
          <w:p w14:paraId="48882B7B" w14:textId="77777777" w:rsidR="00EA0A0F" w:rsidRPr="00736C15" w:rsidRDefault="00EA0A0F" w:rsidP="00CA7F04">
            <w:pPr>
              <w:tabs>
                <w:tab w:val="right" w:pos="1202"/>
              </w:tabs>
              <w:jc w:val="right"/>
              <w:outlineLvl w:val="0"/>
              <w:rPr>
                <w:rFonts w:ascii="Arial" w:eastAsia="Calibri" w:hAnsi="Arial" w:cs="Arial"/>
                <w:color w:val="000000"/>
                <w:sz w:val="17"/>
                <w:szCs w:val="17"/>
              </w:rPr>
            </w:pPr>
            <w:r w:rsidRPr="00134EDA">
              <w:rPr>
                <w:rFonts w:ascii="Arial" w:eastAsia="Calibri" w:hAnsi="Arial" w:cs="Arial"/>
                <w:color w:val="000000"/>
                <w:spacing w:val="-2"/>
                <w:sz w:val="17"/>
                <w:szCs w:val="17"/>
              </w:rPr>
              <w:t>3.121</w:t>
            </w:r>
          </w:p>
        </w:tc>
        <w:tc>
          <w:tcPr>
            <w:tcW w:w="1060" w:type="dxa"/>
            <w:tcBorders>
              <w:top w:val="nil"/>
              <w:left w:val="nil"/>
              <w:bottom w:val="nil"/>
              <w:right w:val="nil"/>
            </w:tcBorders>
            <w:shd w:val="clear" w:color="auto" w:fill="auto"/>
            <w:vAlign w:val="bottom"/>
          </w:tcPr>
          <w:p w14:paraId="2AF8F2FD" w14:textId="77777777" w:rsidR="00EA0A0F" w:rsidRPr="00736C15" w:rsidRDefault="00EA0A0F" w:rsidP="00CA7F04">
            <w:pPr>
              <w:tabs>
                <w:tab w:val="right" w:pos="1202"/>
              </w:tabs>
              <w:jc w:val="right"/>
              <w:outlineLvl w:val="0"/>
              <w:rPr>
                <w:rFonts w:ascii="Arial" w:eastAsia="Calibri" w:hAnsi="Arial" w:cs="Arial"/>
                <w:color w:val="000000"/>
                <w:sz w:val="17"/>
                <w:szCs w:val="17"/>
              </w:rPr>
            </w:pPr>
            <w:r>
              <w:rPr>
                <w:rFonts w:ascii="Arial" w:eastAsia="Calibri" w:hAnsi="Arial" w:cs="Arial"/>
                <w:color w:val="000000"/>
                <w:spacing w:val="-2"/>
                <w:sz w:val="17"/>
                <w:szCs w:val="17"/>
              </w:rPr>
              <w:t>-</w:t>
            </w:r>
          </w:p>
        </w:tc>
        <w:tc>
          <w:tcPr>
            <w:tcW w:w="1060" w:type="dxa"/>
            <w:tcBorders>
              <w:top w:val="nil"/>
              <w:left w:val="nil"/>
              <w:bottom w:val="nil"/>
              <w:right w:val="nil"/>
            </w:tcBorders>
            <w:shd w:val="clear" w:color="auto" w:fill="auto"/>
            <w:vAlign w:val="bottom"/>
          </w:tcPr>
          <w:p w14:paraId="2B8E9D91" w14:textId="77777777" w:rsidR="00EA0A0F" w:rsidRPr="00736C15" w:rsidRDefault="00EA0A0F" w:rsidP="00CA7F04">
            <w:pPr>
              <w:tabs>
                <w:tab w:val="right" w:pos="1202"/>
              </w:tabs>
              <w:jc w:val="right"/>
              <w:outlineLvl w:val="0"/>
              <w:rPr>
                <w:rFonts w:ascii="Arial" w:eastAsia="Calibri" w:hAnsi="Arial" w:cs="Arial"/>
                <w:color w:val="000000"/>
                <w:sz w:val="17"/>
                <w:szCs w:val="17"/>
              </w:rPr>
            </w:pPr>
            <w:r>
              <w:rPr>
                <w:rFonts w:ascii="Arial" w:eastAsia="Calibri" w:hAnsi="Arial" w:cs="Arial"/>
                <w:color w:val="000000"/>
                <w:spacing w:val="-2"/>
                <w:sz w:val="17"/>
                <w:szCs w:val="17"/>
              </w:rPr>
              <w:t>-</w:t>
            </w:r>
          </w:p>
        </w:tc>
      </w:tr>
      <w:tr w:rsidR="00EA0A0F" w:rsidRPr="00736C15" w14:paraId="452BDEA2" w14:textId="77777777" w:rsidTr="00CA7F04">
        <w:trPr>
          <w:trHeight w:val="283"/>
          <w:jc w:val="center"/>
        </w:trPr>
        <w:tc>
          <w:tcPr>
            <w:tcW w:w="6094" w:type="dxa"/>
            <w:shd w:val="clear" w:color="auto" w:fill="auto"/>
            <w:vAlign w:val="bottom"/>
          </w:tcPr>
          <w:p w14:paraId="35F8603E" w14:textId="77777777" w:rsidR="00EA0A0F" w:rsidRPr="00736C15" w:rsidRDefault="00EA0A0F" w:rsidP="00CA7F04">
            <w:pPr>
              <w:tabs>
                <w:tab w:val="right" w:pos="1202"/>
              </w:tabs>
              <w:outlineLvl w:val="0"/>
              <w:rPr>
                <w:rFonts w:ascii="Arial" w:eastAsia="Calibri" w:hAnsi="Arial" w:cs="Arial"/>
                <w:b/>
                <w:i/>
                <w:color w:val="000000"/>
                <w:spacing w:val="-2"/>
                <w:sz w:val="17"/>
                <w:szCs w:val="17"/>
              </w:rPr>
            </w:pPr>
            <w:r w:rsidRPr="00736C15">
              <w:rPr>
                <w:rFonts w:ascii="Arial" w:eastAsia="Calibri" w:hAnsi="Arial" w:cs="Arial"/>
                <w:b/>
                <w:i/>
                <w:color w:val="000000"/>
                <w:spacing w:val="-2"/>
                <w:sz w:val="17"/>
                <w:szCs w:val="17"/>
              </w:rPr>
              <w:t>Dužnički vrijednosni papiri koji ne kotiraju:</w:t>
            </w:r>
          </w:p>
        </w:tc>
        <w:tc>
          <w:tcPr>
            <w:tcW w:w="1060" w:type="dxa"/>
            <w:tcBorders>
              <w:top w:val="nil"/>
              <w:left w:val="nil"/>
              <w:bottom w:val="nil"/>
              <w:right w:val="nil"/>
            </w:tcBorders>
            <w:shd w:val="clear" w:color="auto" w:fill="auto"/>
            <w:vAlign w:val="bottom"/>
          </w:tcPr>
          <w:p w14:paraId="1490F48E" w14:textId="77777777" w:rsidR="00EA0A0F" w:rsidRPr="00736C15" w:rsidRDefault="00EA0A0F" w:rsidP="00CA7F04">
            <w:pPr>
              <w:tabs>
                <w:tab w:val="right" w:pos="1202"/>
              </w:tabs>
              <w:jc w:val="right"/>
              <w:outlineLvl w:val="0"/>
              <w:rPr>
                <w:rFonts w:ascii="Arial" w:eastAsia="Calibri" w:hAnsi="Arial" w:cs="Arial"/>
                <w:color w:val="000000"/>
                <w:sz w:val="17"/>
                <w:szCs w:val="17"/>
              </w:rPr>
            </w:pPr>
          </w:p>
        </w:tc>
        <w:tc>
          <w:tcPr>
            <w:tcW w:w="1060" w:type="dxa"/>
            <w:tcBorders>
              <w:top w:val="nil"/>
              <w:left w:val="nil"/>
              <w:bottom w:val="nil"/>
              <w:right w:val="nil"/>
            </w:tcBorders>
            <w:shd w:val="clear" w:color="auto" w:fill="auto"/>
            <w:vAlign w:val="bottom"/>
          </w:tcPr>
          <w:p w14:paraId="1802B0BF" w14:textId="77777777" w:rsidR="00EA0A0F" w:rsidRPr="00736C15" w:rsidRDefault="00EA0A0F" w:rsidP="00CA7F04">
            <w:pPr>
              <w:tabs>
                <w:tab w:val="right" w:pos="1202"/>
              </w:tabs>
              <w:jc w:val="right"/>
              <w:outlineLvl w:val="0"/>
              <w:rPr>
                <w:rFonts w:ascii="Arial" w:eastAsia="Calibri" w:hAnsi="Arial" w:cs="Arial"/>
                <w:color w:val="000000"/>
                <w:spacing w:val="-2"/>
                <w:sz w:val="17"/>
                <w:szCs w:val="17"/>
              </w:rPr>
            </w:pPr>
          </w:p>
        </w:tc>
        <w:tc>
          <w:tcPr>
            <w:tcW w:w="1060" w:type="dxa"/>
            <w:tcBorders>
              <w:top w:val="nil"/>
              <w:left w:val="nil"/>
              <w:bottom w:val="nil"/>
              <w:right w:val="nil"/>
            </w:tcBorders>
            <w:shd w:val="clear" w:color="auto" w:fill="auto"/>
            <w:vAlign w:val="bottom"/>
          </w:tcPr>
          <w:p w14:paraId="3A435BF7" w14:textId="77777777" w:rsidR="00EA0A0F" w:rsidRPr="00736C15" w:rsidRDefault="00EA0A0F" w:rsidP="00CA7F04">
            <w:pPr>
              <w:tabs>
                <w:tab w:val="right" w:pos="1202"/>
              </w:tabs>
              <w:jc w:val="right"/>
              <w:outlineLvl w:val="0"/>
              <w:rPr>
                <w:rFonts w:ascii="Arial" w:eastAsia="Calibri" w:hAnsi="Arial" w:cs="Arial"/>
                <w:color w:val="000000"/>
                <w:spacing w:val="-2"/>
                <w:sz w:val="17"/>
                <w:szCs w:val="17"/>
              </w:rPr>
            </w:pPr>
          </w:p>
        </w:tc>
      </w:tr>
      <w:tr w:rsidR="00EA0A0F" w:rsidRPr="00736C15" w14:paraId="6BB093A5" w14:textId="77777777" w:rsidTr="00CA7F04">
        <w:trPr>
          <w:trHeight w:val="283"/>
          <w:jc w:val="center"/>
        </w:trPr>
        <w:tc>
          <w:tcPr>
            <w:tcW w:w="6094" w:type="dxa"/>
            <w:shd w:val="clear" w:color="auto" w:fill="auto"/>
            <w:vAlign w:val="bottom"/>
          </w:tcPr>
          <w:p w14:paraId="3F08C6C4" w14:textId="77777777" w:rsidR="00EA0A0F" w:rsidRPr="00736C15" w:rsidRDefault="00EA0A0F" w:rsidP="00CA7F04">
            <w:pPr>
              <w:tabs>
                <w:tab w:val="right" w:pos="1202"/>
              </w:tabs>
              <w:outlineLvl w:val="0"/>
              <w:rPr>
                <w:rFonts w:ascii="Arial" w:eastAsia="Calibri" w:hAnsi="Arial" w:cs="Arial"/>
                <w:color w:val="000000"/>
                <w:spacing w:val="-2"/>
                <w:sz w:val="17"/>
                <w:szCs w:val="17"/>
              </w:rPr>
            </w:pPr>
            <w:r w:rsidRPr="00736C15">
              <w:rPr>
                <w:rFonts w:ascii="Arial" w:eastAsia="Calibri" w:hAnsi="Arial" w:cs="Arial"/>
                <w:color w:val="000000"/>
                <w:spacing w:val="-2"/>
                <w:sz w:val="17"/>
                <w:szCs w:val="17"/>
              </w:rPr>
              <w:t xml:space="preserve">Obveznice trgovačkih društava </w:t>
            </w:r>
          </w:p>
        </w:tc>
        <w:tc>
          <w:tcPr>
            <w:tcW w:w="1060" w:type="dxa"/>
            <w:tcBorders>
              <w:top w:val="nil"/>
              <w:left w:val="nil"/>
              <w:bottom w:val="nil"/>
              <w:right w:val="nil"/>
            </w:tcBorders>
            <w:shd w:val="clear" w:color="auto" w:fill="auto"/>
            <w:vAlign w:val="bottom"/>
          </w:tcPr>
          <w:p w14:paraId="4EBE25D8" w14:textId="77777777" w:rsidR="00EA0A0F" w:rsidRPr="00736C15" w:rsidRDefault="00EA0A0F" w:rsidP="00CA7F04">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6FBEA4BC" w14:textId="77777777" w:rsidR="00EA0A0F" w:rsidRPr="00736C15" w:rsidRDefault="00EA0A0F" w:rsidP="00CA7F04">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7FC2B542" w14:textId="77777777" w:rsidR="00EA0A0F" w:rsidRPr="00736C15" w:rsidRDefault="00EA0A0F" w:rsidP="00CA7F04">
            <w:pPr>
              <w:tabs>
                <w:tab w:val="right" w:pos="1202"/>
              </w:tabs>
              <w:jc w:val="right"/>
              <w:outlineLvl w:val="0"/>
              <w:rPr>
                <w:rFonts w:ascii="Arial" w:eastAsia="Calibri" w:hAnsi="Arial" w:cs="Arial"/>
                <w:color w:val="000000"/>
                <w:spacing w:val="-2"/>
                <w:sz w:val="17"/>
                <w:szCs w:val="17"/>
              </w:rPr>
            </w:pPr>
            <w:r w:rsidRPr="00AD7F10">
              <w:rPr>
                <w:rFonts w:ascii="Arial" w:eastAsia="Calibri" w:hAnsi="Arial" w:cs="Arial"/>
                <w:color w:val="000000"/>
                <w:sz w:val="17"/>
                <w:szCs w:val="17"/>
              </w:rPr>
              <w:t>81</w:t>
            </w:r>
          </w:p>
        </w:tc>
      </w:tr>
      <w:tr w:rsidR="00EA0A0F" w:rsidRPr="00736C15" w14:paraId="073111F3" w14:textId="77777777" w:rsidTr="00CA7F04">
        <w:trPr>
          <w:trHeight w:val="283"/>
          <w:jc w:val="center"/>
        </w:trPr>
        <w:tc>
          <w:tcPr>
            <w:tcW w:w="6094" w:type="dxa"/>
            <w:shd w:val="clear" w:color="auto" w:fill="auto"/>
            <w:vAlign w:val="bottom"/>
          </w:tcPr>
          <w:p w14:paraId="701D05B8" w14:textId="77777777" w:rsidR="00EA0A0F" w:rsidRPr="00736C15" w:rsidRDefault="00EA0A0F" w:rsidP="00CA7F04">
            <w:pPr>
              <w:tabs>
                <w:tab w:val="right" w:pos="1202"/>
              </w:tabs>
              <w:outlineLvl w:val="0"/>
              <w:rPr>
                <w:rFonts w:ascii="Arial" w:eastAsia="Calibri" w:hAnsi="Arial" w:cs="Arial"/>
                <w:color w:val="000000"/>
                <w:spacing w:val="-2"/>
                <w:sz w:val="17"/>
                <w:szCs w:val="17"/>
              </w:rPr>
            </w:pPr>
            <w:r w:rsidRPr="00736C15">
              <w:rPr>
                <w:rFonts w:ascii="Arial" w:eastAsia="Calibri" w:hAnsi="Arial" w:cs="Arial"/>
                <w:color w:val="000000"/>
                <w:spacing w:val="-2"/>
                <w:sz w:val="17"/>
                <w:szCs w:val="17"/>
              </w:rPr>
              <w:t>Zamjenjive obvezni</w:t>
            </w:r>
            <w:r>
              <w:rPr>
                <w:rFonts w:ascii="Arial" w:eastAsia="Calibri" w:hAnsi="Arial" w:cs="Arial"/>
                <w:color w:val="000000"/>
                <w:spacing w:val="-2"/>
                <w:sz w:val="17"/>
                <w:szCs w:val="17"/>
              </w:rPr>
              <w:t>c</w:t>
            </w:r>
            <w:r w:rsidRPr="00736C15">
              <w:rPr>
                <w:rFonts w:ascii="Arial" w:eastAsia="Calibri" w:hAnsi="Arial" w:cs="Arial"/>
                <w:color w:val="000000"/>
                <w:spacing w:val="-2"/>
                <w:sz w:val="17"/>
                <w:szCs w:val="17"/>
              </w:rPr>
              <w:t>e CB</w:t>
            </w:r>
          </w:p>
        </w:tc>
        <w:tc>
          <w:tcPr>
            <w:tcW w:w="1060" w:type="dxa"/>
            <w:tcBorders>
              <w:top w:val="nil"/>
              <w:left w:val="nil"/>
              <w:bottom w:val="nil"/>
              <w:right w:val="nil"/>
            </w:tcBorders>
            <w:shd w:val="clear" w:color="auto" w:fill="auto"/>
            <w:vAlign w:val="bottom"/>
          </w:tcPr>
          <w:p w14:paraId="24714986" w14:textId="77777777" w:rsidR="00EA0A0F" w:rsidRPr="00736C15" w:rsidRDefault="00EA0A0F" w:rsidP="00CA7F04">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291E5FE4" w14:textId="77777777" w:rsidR="00EA0A0F" w:rsidRPr="00736C15" w:rsidRDefault="00EA0A0F" w:rsidP="00CA7F04">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0D5168E0" w14:textId="77777777" w:rsidR="00EA0A0F" w:rsidRPr="00736C15" w:rsidRDefault="00EA0A0F" w:rsidP="00CA7F04">
            <w:pPr>
              <w:tabs>
                <w:tab w:val="right" w:pos="1202"/>
              </w:tabs>
              <w:jc w:val="right"/>
              <w:outlineLvl w:val="0"/>
              <w:rPr>
                <w:rFonts w:ascii="Arial" w:eastAsia="Calibri" w:hAnsi="Arial" w:cs="Arial"/>
                <w:color w:val="000000"/>
                <w:spacing w:val="-2"/>
                <w:sz w:val="17"/>
                <w:szCs w:val="17"/>
              </w:rPr>
            </w:pPr>
            <w:r w:rsidRPr="00AD7F10">
              <w:rPr>
                <w:rFonts w:ascii="Arial" w:eastAsia="Calibri" w:hAnsi="Arial" w:cs="Arial"/>
                <w:color w:val="000000"/>
                <w:sz w:val="17"/>
                <w:szCs w:val="17"/>
              </w:rPr>
              <w:t>195</w:t>
            </w:r>
          </w:p>
        </w:tc>
      </w:tr>
      <w:tr w:rsidR="00EA0A0F" w:rsidRPr="00736C15" w14:paraId="5E4284AD" w14:textId="77777777" w:rsidTr="00CA7F04">
        <w:trPr>
          <w:trHeight w:val="283"/>
          <w:jc w:val="center"/>
        </w:trPr>
        <w:tc>
          <w:tcPr>
            <w:tcW w:w="6094" w:type="dxa"/>
            <w:shd w:val="clear" w:color="auto" w:fill="auto"/>
            <w:vAlign w:val="bottom"/>
          </w:tcPr>
          <w:p w14:paraId="008A5014" w14:textId="77777777" w:rsidR="00EA0A0F" w:rsidRPr="00736C15" w:rsidRDefault="00EA0A0F" w:rsidP="00CA7F04">
            <w:pPr>
              <w:tabs>
                <w:tab w:val="right" w:pos="1202"/>
              </w:tabs>
              <w:outlineLvl w:val="0"/>
              <w:rPr>
                <w:rFonts w:ascii="Arial" w:eastAsia="Calibri" w:hAnsi="Arial" w:cs="Arial"/>
                <w:color w:val="000000"/>
                <w:spacing w:val="-2"/>
                <w:sz w:val="17"/>
                <w:szCs w:val="17"/>
              </w:rPr>
            </w:pPr>
            <w:r w:rsidRPr="00736C15">
              <w:rPr>
                <w:rFonts w:ascii="Arial" w:eastAsia="Calibri" w:hAnsi="Arial" w:cs="Arial"/>
                <w:color w:val="000000"/>
                <w:spacing w:val="-2"/>
                <w:sz w:val="17"/>
                <w:szCs w:val="17"/>
              </w:rPr>
              <w:t>Obračunata kamata</w:t>
            </w:r>
          </w:p>
        </w:tc>
        <w:tc>
          <w:tcPr>
            <w:tcW w:w="1060" w:type="dxa"/>
            <w:tcBorders>
              <w:top w:val="nil"/>
              <w:left w:val="nil"/>
              <w:bottom w:val="nil"/>
              <w:right w:val="nil"/>
            </w:tcBorders>
            <w:shd w:val="clear" w:color="auto" w:fill="auto"/>
            <w:vAlign w:val="bottom"/>
          </w:tcPr>
          <w:p w14:paraId="552EB69A" w14:textId="77777777" w:rsidR="00EA0A0F" w:rsidRPr="00736C15" w:rsidRDefault="00EA0A0F" w:rsidP="00CA7F04">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7C2019A5" w14:textId="77777777" w:rsidR="00EA0A0F" w:rsidRPr="00736C15" w:rsidRDefault="00EA0A0F" w:rsidP="00CA7F04">
            <w:pPr>
              <w:tabs>
                <w:tab w:val="right" w:pos="1202"/>
              </w:tabs>
              <w:jc w:val="right"/>
              <w:outlineLvl w:val="0"/>
              <w:rPr>
                <w:rFonts w:ascii="Arial" w:eastAsia="Calibri" w:hAnsi="Arial" w:cs="Arial"/>
                <w:color w:val="000000"/>
                <w:spacing w:val="-2"/>
                <w:sz w:val="17"/>
                <w:szCs w:val="17"/>
              </w:rPr>
            </w:pPr>
            <w:r>
              <w:rPr>
                <w:rFonts w:ascii="Arial" w:eastAsia="Calibri" w:hAnsi="Arial" w:cs="Arial"/>
                <w:color w:val="000000"/>
                <w:sz w:val="17"/>
                <w:szCs w:val="17"/>
              </w:rPr>
              <w:t>-</w:t>
            </w:r>
          </w:p>
        </w:tc>
        <w:tc>
          <w:tcPr>
            <w:tcW w:w="1060" w:type="dxa"/>
            <w:tcBorders>
              <w:top w:val="nil"/>
              <w:left w:val="nil"/>
              <w:bottom w:val="single" w:sz="4" w:space="0" w:color="auto"/>
              <w:right w:val="nil"/>
            </w:tcBorders>
            <w:shd w:val="clear" w:color="auto" w:fill="auto"/>
            <w:vAlign w:val="bottom"/>
          </w:tcPr>
          <w:p w14:paraId="7684C33A" w14:textId="77777777" w:rsidR="00EA0A0F" w:rsidRPr="00736C15" w:rsidRDefault="00EA0A0F" w:rsidP="00CA7F04">
            <w:pPr>
              <w:tabs>
                <w:tab w:val="right" w:pos="1202"/>
              </w:tabs>
              <w:jc w:val="right"/>
              <w:outlineLvl w:val="0"/>
              <w:rPr>
                <w:rFonts w:ascii="Arial" w:eastAsia="Calibri" w:hAnsi="Arial" w:cs="Arial"/>
                <w:color w:val="000000"/>
                <w:spacing w:val="-2"/>
                <w:sz w:val="17"/>
                <w:szCs w:val="17"/>
              </w:rPr>
            </w:pPr>
            <w:r w:rsidRPr="00AD7F10">
              <w:rPr>
                <w:rFonts w:ascii="Arial" w:eastAsia="Calibri" w:hAnsi="Arial" w:cs="Arial"/>
                <w:color w:val="000000"/>
                <w:sz w:val="17"/>
                <w:szCs w:val="17"/>
              </w:rPr>
              <w:t>2</w:t>
            </w:r>
          </w:p>
        </w:tc>
      </w:tr>
      <w:tr w:rsidR="00EA0A0F" w:rsidRPr="00736C15" w14:paraId="560FD1AB" w14:textId="77777777" w:rsidTr="00CA7F04">
        <w:trPr>
          <w:trHeight w:val="283"/>
          <w:jc w:val="center"/>
        </w:trPr>
        <w:tc>
          <w:tcPr>
            <w:tcW w:w="6094" w:type="dxa"/>
            <w:shd w:val="clear" w:color="auto" w:fill="auto"/>
            <w:vAlign w:val="bottom"/>
          </w:tcPr>
          <w:p w14:paraId="38E8BD63" w14:textId="77777777" w:rsidR="00EA0A0F" w:rsidRPr="00736C15" w:rsidRDefault="00EA0A0F" w:rsidP="00CA7F04">
            <w:pPr>
              <w:tabs>
                <w:tab w:val="right" w:pos="1202"/>
              </w:tabs>
              <w:outlineLvl w:val="0"/>
              <w:rPr>
                <w:rFonts w:ascii="Arial" w:eastAsia="Calibri" w:hAnsi="Arial" w:cs="Arial"/>
                <w:b/>
                <w:color w:val="000000"/>
                <w:spacing w:val="-2"/>
                <w:sz w:val="17"/>
                <w:szCs w:val="17"/>
              </w:rPr>
            </w:pPr>
            <w:r w:rsidRPr="00736C15">
              <w:rPr>
                <w:rFonts w:ascii="Arial" w:eastAsia="Calibri" w:hAnsi="Arial" w:cs="Arial"/>
                <w:b/>
                <w:color w:val="000000"/>
                <w:spacing w:val="-2"/>
                <w:sz w:val="17"/>
                <w:szCs w:val="17"/>
              </w:rPr>
              <w:t>Ukupno dužnički vrijednosni papiri</w:t>
            </w:r>
          </w:p>
        </w:tc>
        <w:tc>
          <w:tcPr>
            <w:tcW w:w="1060" w:type="dxa"/>
            <w:tcBorders>
              <w:top w:val="single" w:sz="4" w:space="0" w:color="auto"/>
              <w:left w:val="nil"/>
              <w:bottom w:val="single" w:sz="12" w:space="0" w:color="auto"/>
              <w:right w:val="nil"/>
            </w:tcBorders>
            <w:shd w:val="clear" w:color="auto" w:fill="auto"/>
            <w:vAlign w:val="bottom"/>
          </w:tcPr>
          <w:p w14:paraId="53B63EF4" w14:textId="77777777" w:rsidR="00EA0A0F" w:rsidRPr="00736C15" w:rsidRDefault="00EA0A0F" w:rsidP="00CA7F04">
            <w:pPr>
              <w:tabs>
                <w:tab w:val="right" w:pos="1202"/>
              </w:tabs>
              <w:jc w:val="right"/>
              <w:outlineLvl w:val="0"/>
              <w:rPr>
                <w:rFonts w:ascii="Arial" w:eastAsia="Calibri" w:hAnsi="Arial" w:cs="Arial"/>
                <w:b/>
                <w:bCs/>
                <w:color w:val="000000"/>
                <w:spacing w:val="-2"/>
                <w:sz w:val="17"/>
                <w:szCs w:val="17"/>
              </w:rPr>
            </w:pPr>
            <w:r w:rsidRPr="00AD7F10">
              <w:rPr>
                <w:rFonts w:ascii="Arial" w:eastAsia="Calibri" w:hAnsi="Arial" w:cs="Arial"/>
                <w:b/>
                <w:color w:val="000000"/>
                <w:spacing w:val="-2"/>
                <w:sz w:val="17"/>
                <w:szCs w:val="17"/>
                <w:lang w:eastAsia="hr-HR"/>
              </w:rPr>
              <w:t>220.815</w:t>
            </w:r>
          </w:p>
        </w:tc>
        <w:tc>
          <w:tcPr>
            <w:tcW w:w="1060" w:type="dxa"/>
            <w:tcBorders>
              <w:top w:val="single" w:sz="4" w:space="0" w:color="auto"/>
              <w:left w:val="nil"/>
              <w:bottom w:val="single" w:sz="12" w:space="0" w:color="auto"/>
              <w:right w:val="nil"/>
            </w:tcBorders>
            <w:shd w:val="clear" w:color="auto" w:fill="auto"/>
            <w:vAlign w:val="bottom"/>
          </w:tcPr>
          <w:p w14:paraId="1199F521" w14:textId="77777777" w:rsidR="00EA0A0F" w:rsidRPr="00736C15" w:rsidRDefault="00EA0A0F" w:rsidP="00CA7F04">
            <w:pPr>
              <w:tabs>
                <w:tab w:val="right" w:pos="1202"/>
              </w:tabs>
              <w:jc w:val="right"/>
              <w:outlineLvl w:val="0"/>
              <w:rPr>
                <w:rFonts w:ascii="Arial" w:eastAsia="Calibri" w:hAnsi="Arial" w:cs="Arial"/>
                <w:b/>
                <w:bCs/>
                <w:color w:val="000000"/>
                <w:spacing w:val="-2"/>
                <w:sz w:val="17"/>
                <w:szCs w:val="17"/>
              </w:rPr>
            </w:pPr>
            <w:r>
              <w:rPr>
                <w:rFonts w:ascii="Arial" w:eastAsia="Calibri" w:hAnsi="Arial" w:cs="Arial"/>
                <w:b/>
                <w:color w:val="000000"/>
                <w:spacing w:val="-2"/>
                <w:sz w:val="17"/>
                <w:szCs w:val="17"/>
                <w:lang w:eastAsia="hr-HR"/>
              </w:rPr>
              <w:t>-</w:t>
            </w:r>
          </w:p>
        </w:tc>
        <w:tc>
          <w:tcPr>
            <w:tcW w:w="1060" w:type="dxa"/>
            <w:tcBorders>
              <w:top w:val="single" w:sz="4" w:space="0" w:color="auto"/>
              <w:left w:val="nil"/>
              <w:bottom w:val="single" w:sz="12" w:space="0" w:color="auto"/>
              <w:right w:val="nil"/>
            </w:tcBorders>
            <w:shd w:val="clear" w:color="auto" w:fill="auto"/>
            <w:vAlign w:val="bottom"/>
          </w:tcPr>
          <w:p w14:paraId="5A5DA856" w14:textId="77777777" w:rsidR="00EA0A0F" w:rsidRPr="00736C15" w:rsidRDefault="00EA0A0F" w:rsidP="00CA7F04">
            <w:pPr>
              <w:tabs>
                <w:tab w:val="right" w:pos="1202"/>
              </w:tabs>
              <w:jc w:val="right"/>
              <w:outlineLvl w:val="0"/>
              <w:rPr>
                <w:rFonts w:ascii="Arial" w:eastAsia="Calibri" w:hAnsi="Arial" w:cs="Arial"/>
                <w:b/>
                <w:bCs/>
                <w:color w:val="000000"/>
                <w:spacing w:val="-2"/>
                <w:sz w:val="17"/>
                <w:szCs w:val="17"/>
              </w:rPr>
            </w:pPr>
            <w:r w:rsidRPr="00AD7F10">
              <w:rPr>
                <w:rFonts w:ascii="Arial" w:eastAsia="Calibri" w:hAnsi="Arial" w:cs="Arial"/>
                <w:b/>
                <w:color w:val="000000"/>
                <w:spacing w:val="-2"/>
                <w:sz w:val="17"/>
                <w:szCs w:val="17"/>
                <w:lang w:eastAsia="hr-HR"/>
              </w:rPr>
              <w:t>278</w:t>
            </w:r>
          </w:p>
        </w:tc>
      </w:tr>
      <w:tr w:rsidR="00EA0A0F" w:rsidRPr="00736C15" w14:paraId="6B12BDCD" w14:textId="77777777" w:rsidTr="00CA7F04">
        <w:trPr>
          <w:trHeight w:val="283"/>
          <w:jc w:val="center"/>
        </w:trPr>
        <w:tc>
          <w:tcPr>
            <w:tcW w:w="6094" w:type="dxa"/>
            <w:shd w:val="clear" w:color="auto" w:fill="auto"/>
            <w:vAlign w:val="bottom"/>
          </w:tcPr>
          <w:p w14:paraId="37EB7293" w14:textId="77777777" w:rsidR="00EA0A0F" w:rsidRPr="00736C15" w:rsidRDefault="00EA0A0F" w:rsidP="00CA7F04">
            <w:pPr>
              <w:tabs>
                <w:tab w:val="right" w:pos="1202"/>
              </w:tabs>
              <w:outlineLvl w:val="0"/>
              <w:rPr>
                <w:rFonts w:ascii="Arial" w:eastAsia="Calibri" w:hAnsi="Arial" w:cs="Arial"/>
                <w:b/>
                <w:i/>
                <w:color w:val="000000"/>
                <w:spacing w:val="-2"/>
                <w:sz w:val="17"/>
                <w:szCs w:val="17"/>
              </w:rPr>
            </w:pPr>
            <w:r w:rsidRPr="00736C15">
              <w:rPr>
                <w:rFonts w:ascii="Arial" w:eastAsia="Calibri" w:hAnsi="Arial" w:cs="Arial"/>
                <w:b/>
                <w:i/>
                <w:color w:val="000000"/>
                <w:spacing w:val="-2"/>
                <w:sz w:val="17"/>
                <w:szCs w:val="17"/>
              </w:rPr>
              <w:t>Vlasnički vrijednosni papiri koji ne kotiraju:</w:t>
            </w:r>
          </w:p>
        </w:tc>
        <w:tc>
          <w:tcPr>
            <w:tcW w:w="1060" w:type="dxa"/>
            <w:tcBorders>
              <w:top w:val="single" w:sz="4" w:space="0" w:color="auto"/>
              <w:left w:val="nil"/>
              <w:right w:val="nil"/>
            </w:tcBorders>
            <w:shd w:val="clear" w:color="auto" w:fill="auto"/>
            <w:vAlign w:val="bottom"/>
          </w:tcPr>
          <w:p w14:paraId="5E9748FE" w14:textId="77777777" w:rsidR="00EA0A0F" w:rsidRPr="00736C15" w:rsidDel="00561A80" w:rsidRDefault="00EA0A0F" w:rsidP="00CA7F04">
            <w:pPr>
              <w:tabs>
                <w:tab w:val="right" w:pos="1202"/>
              </w:tabs>
              <w:jc w:val="right"/>
              <w:outlineLvl w:val="0"/>
              <w:rPr>
                <w:rFonts w:ascii="Arial" w:eastAsia="Calibri" w:hAnsi="Arial" w:cs="Arial"/>
                <w:color w:val="000000"/>
                <w:spacing w:val="-2"/>
                <w:sz w:val="17"/>
                <w:szCs w:val="17"/>
              </w:rPr>
            </w:pPr>
          </w:p>
        </w:tc>
        <w:tc>
          <w:tcPr>
            <w:tcW w:w="1060" w:type="dxa"/>
            <w:tcBorders>
              <w:top w:val="single" w:sz="4" w:space="0" w:color="auto"/>
              <w:left w:val="nil"/>
              <w:right w:val="nil"/>
            </w:tcBorders>
            <w:shd w:val="clear" w:color="auto" w:fill="auto"/>
            <w:vAlign w:val="bottom"/>
          </w:tcPr>
          <w:p w14:paraId="6CD81F13" w14:textId="77777777" w:rsidR="00EA0A0F" w:rsidRPr="00736C15" w:rsidDel="00561A80" w:rsidRDefault="00EA0A0F" w:rsidP="00CA7F04">
            <w:pPr>
              <w:tabs>
                <w:tab w:val="right" w:pos="1202"/>
              </w:tabs>
              <w:jc w:val="right"/>
              <w:outlineLvl w:val="0"/>
              <w:rPr>
                <w:rFonts w:ascii="Arial" w:eastAsia="Calibri" w:hAnsi="Arial" w:cs="Arial"/>
                <w:color w:val="000000"/>
                <w:spacing w:val="-2"/>
                <w:sz w:val="17"/>
                <w:szCs w:val="17"/>
              </w:rPr>
            </w:pPr>
          </w:p>
        </w:tc>
        <w:tc>
          <w:tcPr>
            <w:tcW w:w="1060" w:type="dxa"/>
            <w:tcBorders>
              <w:top w:val="single" w:sz="4" w:space="0" w:color="auto"/>
              <w:left w:val="nil"/>
              <w:right w:val="nil"/>
            </w:tcBorders>
            <w:shd w:val="clear" w:color="auto" w:fill="auto"/>
            <w:vAlign w:val="bottom"/>
          </w:tcPr>
          <w:p w14:paraId="3A2CFDD6" w14:textId="77777777" w:rsidR="00EA0A0F" w:rsidRPr="00736C15" w:rsidDel="00561A80" w:rsidRDefault="00EA0A0F" w:rsidP="00CA7F04">
            <w:pPr>
              <w:tabs>
                <w:tab w:val="right" w:pos="1202"/>
              </w:tabs>
              <w:jc w:val="right"/>
              <w:outlineLvl w:val="0"/>
              <w:rPr>
                <w:rFonts w:ascii="Arial" w:eastAsia="Calibri" w:hAnsi="Arial" w:cs="Arial"/>
                <w:color w:val="000000"/>
                <w:spacing w:val="-2"/>
                <w:sz w:val="17"/>
                <w:szCs w:val="17"/>
              </w:rPr>
            </w:pPr>
          </w:p>
        </w:tc>
      </w:tr>
      <w:tr w:rsidR="00EA0A0F" w:rsidRPr="00736C15" w14:paraId="31575BDF" w14:textId="77777777" w:rsidTr="00CA7F04">
        <w:trPr>
          <w:trHeight w:val="283"/>
          <w:jc w:val="center"/>
        </w:trPr>
        <w:tc>
          <w:tcPr>
            <w:tcW w:w="6094" w:type="dxa"/>
            <w:shd w:val="clear" w:color="auto" w:fill="auto"/>
            <w:vAlign w:val="bottom"/>
          </w:tcPr>
          <w:p w14:paraId="4908511E" w14:textId="77777777" w:rsidR="00EA0A0F" w:rsidRPr="00736C15" w:rsidRDefault="00EA0A0F" w:rsidP="00CA7F04">
            <w:pPr>
              <w:tabs>
                <w:tab w:val="right" w:pos="1202"/>
              </w:tabs>
              <w:outlineLvl w:val="0"/>
              <w:rPr>
                <w:rFonts w:ascii="Arial" w:eastAsia="Calibri" w:hAnsi="Arial" w:cs="Arial"/>
                <w:color w:val="000000"/>
                <w:sz w:val="17"/>
                <w:szCs w:val="17"/>
              </w:rPr>
            </w:pPr>
            <w:r w:rsidRPr="00736C15">
              <w:rPr>
                <w:rFonts w:ascii="Arial" w:eastAsia="Calibri" w:hAnsi="Arial" w:cs="Arial"/>
                <w:color w:val="000000"/>
                <w:sz w:val="17"/>
                <w:szCs w:val="17"/>
              </w:rPr>
              <w:t>Dionice inozemnih pravnih osoba - SWIFT</w:t>
            </w:r>
          </w:p>
        </w:tc>
        <w:tc>
          <w:tcPr>
            <w:tcW w:w="1060" w:type="dxa"/>
            <w:tcBorders>
              <w:top w:val="nil"/>
              <w:left w:val="nil"/>
              <w:bottom w:val="nil"/>
              <w:right w:val="nil"/>
            </w:tcBorders>
            <w:shd w:val="clear" w:color="auto" w:fill="auto"/>
            <w:vAlign w:val="bottom"/>
          </w:tcPr>
          <w:p w14:paraId="5F1CB840" w14:textId="77777777" w:rsidR="00EA0A0F" w:rsidRPr="00736C15" w:rsidRDefault="00EA0A0F" w:rsidP="00CA7F04">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6BD54C9C" w14:textId="77777777" w:rsidR="00EA0A0F" w:rsidRPr="00736C15" w:rsidRDefault="00EA0A0F" w:rsidP="00CA7F04">
            <w:pPr>
              <w:tabs>
                <w:tab w:val="right" w:pos="1202"/>
              </w:tabs>
              <w:jc w:val="right"/>
              <w:outlineLvl w:val="0"/>
              <w:rPr>
                <w:rFonts w:ascii="Arial" w:eastAsia="Calibri" w:hAnsi="Arial" w:cs="Arial"/>
                <w:color w:val="000000"/>
                <w:sz w:val="17"/>
                <w:szCs w:val="17"/>
              </w:rPr>
            </w:pPr>
            <w:r w:rsidRPr="00AD7F10">
              <w:rPr>
                <w:rFonts w:ascii="Arial" w:eastAsia="Calibri" w:hAnsi="Arial" w:cs="Arial"/>
                <w:color w:val="000000"/>
                <w:sz w:val="17"/>
                <w:szCs w:val="17"/>
              </w:rPr>
              <w:t>8</w:t>
            </w:r>
          </w:p>
        </w:tc>
        <w:tc>
          <w:tcPr>
            <w:tcW w:w="1060" w:type="dxa"/>
            <w:tcBorders>
              <w:top w:val="nil"/>
              <w:left w:val="nil"/>
              <w:bottom w:val="nil"/>
              <w:right w:val="nil"/>
            </w:tcBorders>
            <w:shd w:val="clear" w:color="auto" w:fill="auto"/>
            <w:vAlign w:val="bottom"/>
          </w:tcPr>
          <w:p w14:paraId="70E8E2F2" w14:textId="77777777" w:rsidR="00EA0A0F" w:rsidRPr="00736C15" w:rsidRDefault="00EA0A0F" w:rsidP="00CA7F04">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EA0A0F" w:rsidRPr="00736C15" w14:paraId="5567FED3" w14:textId="77777777" w:rsidTr="00CA7F04">
        <w:trPr>
          <w:trHeight w:val="283"/>
          <w:jc w:val="center"/>
        </w:trPr>
        <w:tc>
          <w:tcPr>
            <w:tcW w:w="6094" w:type="dxa"/>
            <w:shd w:val="clear" w:color="auto" w:fill="auto"/>
            <w:vAlign w:val="bottom"/>
          </w:tcPr>
          <w:p w14:paraId="7F6C3A85" w14:textId="77777777" w:rsidR="00EA0A0F" w:rsidRPr="00736C15" w:rsidRDefault="00EA0A0F" w:rsidP="00CA7F04">
            <w:pPr>
              <w:tabs>
                <w:tab w:val="right" w:pos="1202"/>
              </w:tabs>
              <w:outlineLvl w:val="0"/>
              <w:rPr>
                <w:rFonts w:ascii="Arial" w:eastAsia="Calibri" w:hAnsi="Arial" w:cs="Arial"/>
                <w:color w:val="000000"/>
                <w:sz w:val="17"/>
                <w:szCs w:val="17"/>
              </w:rPr>
            </w:pPr>
            <w:r w:rsidRPr="00736C15">
              <w:rPr>
                <w:rFonts w:ascii="Arial" w:eastAsia="Calibri" w:hAnsi="Arial" w:cs="Arial"/>
                <w:color w:val="000000"/>
                <w:sz w:val="17"/>
                <w:szCs w:val="17"/>
              </w:rPr>
              <w:t>Dionice inozemnih financijskih institucija – EIF</w:t>
            </w:r>
          </w:p>
        </w:tc>
        <w:tc>
          <w:tcPr>
            <w:tcW w:w="1060" w:type="dxa"/>
            <w:tcBorders>
              <w:top w:val="nil"/>
              <w:left w:val="nil"/>
              <w:bottom w:val="nil"/>
              <w:right w:val="nil"/>
            </w:tcBorders>
            <w:shd w:val="clear" w:color="auto" w:fill="auto"/>
            <w:vAlign w:val="bottom"/>
          </w:tcPr>
          <w:p w14:paraId="760E0F94" w14:textId="77777777" w:rsidR="00EA0A0F" w:rsidRPr="00736C15" w:rsidRDefault="00EA0A0F" w:rsidP="00CA7F04">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c>
          <w:tcPr>
            <w:tcW w:w="1060" w:type="dxa"/>
            <w:tcBorders>
              <w:top w:val="nil"/>
              <w:left w:val="nil"/>
              <w:bottom w:val="nil"/>
              <w:right w:val="nil"/>
            </w:tcBorders>
            <w:shd w:val="clear" w:color="auto" w:fill="auto"/>
            <w:vAlign w:val="bottom"/>
          </w:tcPr>
          <w:p w14:paraId="147885FF" w14:textId="77777777" w:rsidR="00EA0A0F" w:rsidRPr="00736C15" w:rsidRDefault="00EA0A0F" w:rsidP="00CA7F04">
            <w:pPr>
              <w:tabs>
                <w:tab w:val="right" w:pos="1202"/>
              </w:tabs>
              <w:jc w:val="right"/>
              <w:outlineLvl w:val="0"/>
              <w:rPr>
                <w:rFonts w:ascii="Arial" w:eastAsia="Calibri" w:hAnsi="Arial" w:cs="Arial"/>
                <w:color w:val="000000"/>
                <w:sz w:val="17"/>
                <w:szCs w:val="17"/>
              </w:rPr>
            </w:pPr>
            <w:r w:rsidRPr="00AD7F10">
              <w:rPr>
                <w:rFonts w:ascii="Arial" w:eastAsia="Calibri" w:hAnsi="Arial" w:cs="Arial"/>
                <w:color w:val="000000"/>
                <w:sz w:val="17"/>
                <w:szCs w:val="17"/>
              </w:rPr>
              <w:t>7.757</w:t>
            </w:r>
          </w:p>
        </w:tc>
        <w:tc>
          <w:tcPr>
            <w:tcW w:w="1060" w:type="dxa"/>
            <w:tcBorders>
              <w:top w:val="nil"/>
              <w:left w:val="nil"/>
              <w:bottom w:val="nil"/>
              <w:right w:val="nil"/>
            </w:tcBorders>
            <w:shd w:val="clear" w:color="auto" w:fill="auto"/>
            <w:vAlign w:val="bottom"/>
          </w:tcPr>
          <w:p w14:paraId="6EB94A65" w14:textId="77777777" w:rsidR="00EA0A0F" w:rsidRPr="00736C15" w:rsidRDefault="00EA0A0F" w:rsidP="00CA7F04">
            <w:pPr>
              <w:tabs>
                <w:tab w:val="right" w:pos="1202"/>
              </w:tabs>
              <w:jc w:val="right"/>
              <w:outlineLvl w:val="0"/>
              <w:rPr>
                <w:rFonts w:ascii="Arial" w:eastAsia="Calibri" w:hAnsi="Arial" w:cs="Arial"/>
                <w:color w:val="000000"/>
                <w:sz w:val="17"/>
                <w:szCs w:val="17"/>
              </w:rPr>
            </w:pPr>
            <w:r>
              <w:rPr>
                <w:rFonts w:ascii="Arial" w:eastAsia="Calibri" w:hAnsi="Arial" w:cs="Arial"/>
                <w:color w:val="000000"/>
                <w:sz w:val="17"/>
                <w:szCs w:val="17"/>
              </w:rPr>
              <w:t>-</w:t>
            </w:r>
          </w:p>
        </w:tc>
      </w:tr>
      <w:tr w:rsidR="00EA0A0F" w:rsidRPr="00736C15" w14:paraId="6FD00C31" w14:textId="77777777" w:rsidTr="00CA7F04">
        <w:trPr>
          <w:trHeight w:val="283"/>
          <w:jc w:val="center"/>
        </w:trPr>
        <w:tc>
          <w:tcPr>
            <w:tcW w:w="6094" w:type="dxa"/>
            <w:shd w:val="clear" w:color="auto" w:fill="auto"/>
            <w:vAlign w:val="bottom"/>
          </w:tcPr>
          <w:p w14:paraId="11A7C17E" w14:textId="77777777" w:rsidR="00EA0A0F" w:rsidRPr="00736C15" w:rsidRDefault="00EA0A0F" w:rsidP="00CA7F04">
            <w:pPr>
              <w:tabs>
                <w:tab w:val="right" w:pos="1202"/>
              </w:tabs>
              <w:outlineLvl w:val="0"/>
              <w:rPr>
                <w:rFonts w:ascii="Arial" w:eastAsia="Calibri" w:hAnsi="Arial" w:cs="Arial"/>
                <w:b/>
                <w:color w:val="000000"/>
                <w:sz w:val="17"/>
                <w:szCs w:val="17"/>
              </w:rPr>
            </w:pPr>
            <w:r w:rsidRPr="00736C15">
              <w:rPr>
                <w:rFonts w:ascii="Arial" w:eastAsia="Calibri" w:hAnsi="Arial" w:cs="Arial"/>
                <w:b/>
                <w:color w:val="000000"/>
                <w:sz w:val="17"/>
                <w:szCs w:val="17"/>
              </w:rPr>
              <w:t>Ukupno vlasnički vrijednosni papiri</w:t>
            </w:r>
          </w:p>
        </w:tc>
        <w:tc>
          <w:tcPr>
            <w:tcW w:w="1060" w:type="dxa"/>
            <w:tcBorders>
              <w:top w:val="single" w:sz="4" w:space="0" w:color="auto"/>
              <w:left w:val="nil"/>
              <w:bottom w:val="single" w:sz="8" w:space="0" w:color="auto"/>
              <w:right w:val="nil"/>
            </w:tcBorders>
            <w:shd w:val="clear" w:color="auto" w:fill="auto"/>
            <w:vAlign w:val="bottom"/>
          </w:tcPr>
          <w:p w14:paraId="6BB6B445" w14:textId="77777777" w:rsidR="00EA0A0F" w:rsidRPr="00736C15" w:rsidRDefault="00EA0A0F" w:rsidP="00CA7F04">
            <w:pPr>
              <w:tabs>
                <w:tab w:val="right" w:pos="1202"/>
              </w:tabs>
              <w:jc w:val="right"/>
              <w:outlineLvl w:val="0"/>
              <w:rPr>
                <w:rFonts w:ascii="Arial" w:eastAsia="Calibri" w:hAnsi="Arial" w:cs="Arial"/>
                <w:b/>
                <w:bCs/>
                <w:color w:val="000000"/>
                <w:sz w:val="17"/>
                <w:szCs w:val="17"/>
              </w:rPr>
            </w:pPr>
            <w:r w:rsidRPr="00AD7F10">
              <w:rPr>
                <w:rFonts w:ascii="Arial" w:eastAsia="Calibri" w:hAnsi="Arial" w:cs="Arial"/>
                <w:b/>
                <w:color w:val="000000"/>
                <w:spacing w:val="-2"/>
                <w:sz w:val="17"/>
                <w:szCs w:val="17"/>
                <w:lang w:eastAsia="hr-HR"/>
              </w:rPr>
              <w:t>-</w:t>
            </w:r>
          </w:p>
        </w:tc>
        <w:tc>
          <w:tcPr>
            <w:tcW w:w="1060" w:type="dxa"/>
            <w:tcBorders>
              <w:top w:val="single" w:sz="4" w:space="0" w:color="auto"/>
              <w:left w:val="nil"/>
              <w:bottom w:val="single" w:sz="8" w:space="0" w:color="auto"/>
              <w:right w:val="nil"/>
            </w:tcBorders>
            <w:shd w:val="clear" w:color="auto" w:fill="auto"/>
            <w:vAlign w:val="bottom"/>
          </w:tcPr>
          <w:p w14:paraId="5B2EAF6E" w14:textId="77777777" w:rsidR="00EA0A0F" w:rsidRPr="00736C15" w:rsidRDefault="00EA0A0F" w:rsidP="00CA7F04">
            <w:pPr>
              <w:tabs>
                <w:tab w:val="right" w:pos="1202"/>
              </w:tabs>
              <w:jc w:val="right"/>
              <w:outlineLvl w:val="0"/>
              <w:rPr>
                <w:rFonts w:ascii="Arial" w:eastAsia="Calibri" w:hAnsi="Arial" w:cs="Arial"/>
                <w:b/>
                <w:bCs/>
                <w:color w:val="000000"/>
                <w:sz w:val="17"/>
                <w:szCs w:val="17"/>
              </w:rPr>
            </w:pPr>
            <w:r w:rsidRPr="00AD7F10">
              <w:rPr>
                <w:rFonts w:ascii="Arial" w:eastAsia="Calibri" w:hAnsi="Arial" w:cs="Arial"/>
                <w:b/>
                <w:color w:val="000000"/>
                <w:spacing w:val="-2"/>
                <w:sz w:val="17"/>
                <w:szCs w:val="17"/>
                <w:lang w:eastAsia="hr-HR"/>
              </w:rPr>
              <w:t>7.765</w:t>
            </w:r>
          </w:p>
        </w:tc>
        <w:tc>
          <w:tcPr>
            <w:tcW w:w="1060" w:type="dxa"/>
            <w:tcBorders>
              <w:top w:val="single" w:sz="4" w:space="0" w:color="auto"/>
              <w:left w:val="nil"/>
              <w:bottom w:val="single" w:sz="8" w:space="0" w:color="auto"/>
              <w:right w:val="nil"/>
            </w:tcBorders>
            <w:shd w:val="clear" w:color="auto" w:fill="auto"/>
            <w:vAlign w:val="bottom"/>
          </w:tcPr>
          <w:p w14:paraId="290CEC40" w14:textId="77777777" w:rsidR="00EA0A0F" w:rsidRPr="00736C15" w:rsidRDefault="00EA0A0F" w:rsidP="00CA7F04">
            <w:pPr>
              <w:tabs>
                <w:tab w:val="right" w:pos="1202"/>
              </w:tabs>
              <w:jc w:val="right"/>
              <w:outlineLvl w:val="0"/>
              <w:rPr>
                <w:rFonts w:ascii="Arial" w:eastAsia="Calibri" w:hAnsi="Arial" w:cs="Arial"/>
                <w:b/>
                <w:bCs/>
                <w:color w:val="000000"/>
                <w:sz w:val="17"/>
                <w:szCs w:val="17"/>
              </w:rPr>
            </w:pPr>
            <w:r w:rsidRPr="00AD7F10">
              <w:rPr>
                <w:rFonts w:ascii="Arial" w:eastAsia="Calibri" w:hAnsi="Arial" w:cs="Arial"/>
                <w:b/>
                <w:color w:val="000000"/>
                <w:spacing w:val="-2"/>
                <w:sz w:val="17"/>
                <w:szCs w:val="17"/>
                <w:lang w:eastAsia="hr-HR"/>
              </w:rPr>
              <w:t>-</w:t>
            </w:r>
          </w:p>
        </w:tc>
      </w:tr>
      <w:tr w:rsidR="00EA0A0F" w:rsidRPr="00736C15" w14:paraId="1AC42B93" w14:textId="77777777" w:rsidTr="00CA7F04">
        <w:trPr>
          <w:trHeight w:val="283"/>
          <w:jc w:val="center"/>
        </w:trPr>
        <w:tc>
          <w:tcPr>
            <w:tcW w:w="6094" w:type="dxa"/>
            <w:shd w:val="clear" w:color="auto" w:fill="auto"/>
            <w:vAlign w:val="bottom"/>
          </w:tcPr>
          <w:p w14:paraId="1B70B5CE" w14:textId="77777777" w:rsidR="00EA0A0F" w:rsidRPr="00736C15" w:rsidRDefault="00EA0A0F" w:rsidP="00CA7F04">
            <w:pPr>
              <w:tabs>
                <w:tab w:val="right" w:pos="1202"/>
              </w:tabs>
              <w:outlineLvl w:val="0"/>
              <w:rPr>
                <w:rFonts w:ascii="Arial" w:eastAsia="Calibri" w:hAnsi="Arial" w:cs="Arial"/>
                <w:b/>
                <w:color w:val="000000"/>
                <w:sz w:val="17"/>
                <w:szCs w:val="17"/>
              </w:rPr>
            </w:pPr>
            <w:r w:rsidRPr="00736C15">
              <w:rPr>
                <w:rFonts w:ascii="Arial" w:eastAsia="Calibri" w:hAnsi="Arial" w:cs="Arial"/>
                <w:b/>
                <w:color w:val="000000"/>
                <w:sz w:val="17"/>
                <w:szCs w:val="17"/>
              </w:rPr>
              <w:t>Ukupno imovina po fer vrijednosti kroz ostalu sveobuhvatnu dobit</w:t>
            </w:r>
          </w:p>
        </w:tc>
        <w:tc>
          <w:tcPr>
            <w:tcW w:w="1060" w:type="dxa"/>
            <w:tcBorders>
              <w:top w:val="single" w:sz="12" w:space="0" w:color="auto"/>
              <w:left w:val="nil"/>
              <w:bottom w:val="single" w:sz="12" w:space="0" w:color="auto"/>
              <w:right w:val="nil"/>
            </w:tcBorders>
            <w:shd w:val="clear" w:color="auto" w:fill="auto"/>
            <w:vAlign w:val="bottom"/>
          </w:tcPr>
          <w:p w14:paraId="4DFB5901" w14:textId="77777777" w:rsidR="00EA0A0F" w:rsidRPr="00736C15" w:rsidRDefault="00EA0A0F" w:rsidP="00CA7F04">
            <w:pPr>
              <w:tabs>
                <w:tab w:val="right" w:pos="1202"/>
              </w:tabs>
              <w:jc w:val="right"/>
              <w:outlineLvl w:val="0"/>
              <w:rPr>
                <w:rFonts w:ascii="Arial" w:eastAsia="Calibri" w:hAnsi="Arial" w:cs="Arial"/>
                <w:b/>
                <w:color w:val="000000"/>
                <w:sz w:val="17"/>
                <w:szCs w:val="17"/>
              </w:rPr>
            </w:pPr>
            <w:r w:rsidRPr="00AD7F10">
              <w:rPr>
                <w:rFonts w:ascii="Arial" w:eastAsia="Calibri" w:hAnsi="Arial" w:cs="Arial"/>
                <w:b/>
                <w:color w:val="000000"/>
                <w:spacing w:val="-2"/>
                <w:sz w:val="17"/>
                <w:szCs w:val="17"/>
                <w:lang w:eastAsia="hr-HR"/>
              </w:rPr>
              <w:t>220.815</w:t>
            </w:r>
          </w:p>
        </w:tc>
        <w:tc>
          <w:tcPr>
            <w:tcW w:w="1060" w:type="dxa"/>
            <w:tcBorders>
              <w:top w:val="single" w:sz="12" w:space="0" w:color="auto"/>
              <w:left w:val="nil"/>
              <w:bottom w:val="single" w:sz="12" w:space="0" w:color="auto"/>
              <w:right w:val="nil"/>
            </w:tcBorders>
            <w:shd w:val="clear" w:color="auto" w:fill="auto"/>
            <w:vAlign w:val="bottom"/>
          </w:tcPr>
          <w:p w14:paraId="3E926BE8" w14:textId="77777777" w:rsidR="00EA0A0F" w:rsidRPr="00736C15" w:rsidRDefault="00EA0A0F" w:rsidP="00CA7F04">
            <w:pPr>
              <w:tabs>
                <w:tab w:val="right" w:pos="1202"/>
              </w:tabs>
              <w:jc w:val="right"/>
              <w:outlineLvl w:val="0"/>
              <w:rPr>
                <w:rFonts w:ascii="Arial" w:eastAsia="Calibri" w:hAnsi="Arial" w:cs="Arial"/>
                <w:b/>
                <w:color w:val="000000"/>
                <w:sz w:val="17"/>
                <w:szCs w:val="17"/>
              </w:rPr>
            </w:pPr>
            <w:r w:rsidRPr="00AD7F10">
              <w:rPr>
                <w:rFonts w:ascii="Arial" w:eastAsia="Calibri" w:hAnsi="Arial" w:cs="Arial"/>
                <w:b/>
                <w:color w:val="000000"/>
                <w:spacing w:val="-2"/>
                <w:sz w:val="17"/>
                <w:szCs w:val="17"/>
                <w:lang w:eastAsia="hr-HR"/>
              </w:rPr>
              <w:t>7.765</w:t>
            </w:r>
          </w:p>
        </w:tc>
        <w:tc>
          <w:tcPr>
            <w:tcW w:w="1060" w:type="dxa"/>
            <w:tcBorders>
              <w:top w:val="single" w:sz="12" w:space="0" w:color="auto"/>
              <w:left w:val="nil"/>
              <w:bottom w:val="single" w:sz="12" w:space="0" w:color="auto"/>
              <w:right w:val="nil"/>
            </w:tcBorders>
            <w:shd w:val="clear" w:color="auto" w:fill="auto"/>
            <w:vAlign w:val="bottom"/>
          </w:tcPr>
          <w:p w14:paraId="12427661" w14:textId="77777777" w:rsidR="00EA0A0F" w:rsidRPr="00736C15" w:rsidRDefault="00EA0A0F" w:rsidP="00CA7F04">
            <w:pPr>
              <w:tabs>
                <w:tab w:val="right" w:pos="1202"/>
              </w:tabs>
              <w:jc w:val="right"/>
              <w:outlineLvl w:val="0"/>
              <w:rPr>
                <w:rFonts w:ascii="Arial" w:eastAsia="Calibri" w:hAnsi="Arial" w:cs="Arial"/>
                <w:b/>
                <w:color w:val="000000"/>
                <w:sz w:val="17"/>
                <w:szCs w:val="17"/>
              </w:rPr>
            </w:pPr>
            <w:r w:rsidRPr="00AD7F10">
              <w:rPr>
                <w:rFonts w:ascii="Arial" w:eastAsia="Calibri" w:hAnsi="Arial" w:cs="Arial"/>
                <w:b/>
                <w:color w:val="000000"/>
                <w:spacing w:val="-2"/>
                <w:sz w:val="17"/>
                <w:szCs w:val="17"/>
                <w:lang w:eastAsia="hr-HR"/>
              </w:rPr>
              <w:t>278</w:t>
            </w:r>
          </w:p>
        </w:tc>
      </w:tr>
      <w:tr w:rsidR="00EA0A0F" w:rsidRPr="00736C15" w14:paraId="4656B627" w14:textId="77777777" w:rsidTr="00CA7F04">
        <w:trPr>
          <w:trHeight w:val="283"/>
          <w:jc w:val="center"/>
        </w:trPr>
        <w:tc>
          <w:tcPr>
            <w:tcW w:w="6094" w:type="dxa"/>
            <w:shd w:val="clear" w:color="auto" w:fill="auto"/>
            <w:vAlign w:val="bottom"/>
          </w:tcPr>
          <w:p w14:paraId="72C8730D" w14:textId="77777777" w:rsidR="00EA0A0F" w:rsidRPr="00D46628" w:rsidRDefault="00EA0A0F" w:rsidP="00CA7F04">
            <w:pPr>
              <w:tabs>
                <w:tab w:val="right" w:pos="1202"/>
              </w:tabs>
              <w:outlineLvl w:val="0"/>
              <w:rPr>
                <w:rFonts w:ascii="Arial" w:eastAsia="Calibri" w:hAnsi="Arial" w:cs="Arial"/>
                <w:b/>
                <w:color w:val="000000"/>
                <w:sz w:val="17"/>
                <w:szCs w:val="17"/>
              </w:rPr>
            </w:pPr>
            <w:r w:rsidRPr="00D46628">
              <w:rPr>
                <w:rFonts w:ascii="Arial" w:eastAsia="Calibri" w:hAnsi="Arial" w:cs="Arial"/>
                <w:b/>
                <w:color w:val="000000"/>
                <w:sz w:val="17"/>
                <w:szCs w:val="17"/>
              </w:rPr>
              <w:t>Derivativne financijske obveze</w:t>
            </w:r>
          </w:p>
        </w:tc>
        <w:tc>
          <w:tcPr>
            <w:tcW w:w="1060" w:type="dxa"/>
            <w:tcBorders>
              <w:top w:val="single" w:sz="12" w:space="0" w:color="auto"/>
              <w:left w:val="nil"/>
              <w:bottom w:val="single" w:sz="4" w:space="0" w:color="auto"/>
              <w:right w:val="nil"/>
            </w:tcBorders>
            <w:shd w:val="clear" w:color="auto" w:fill="auto"/>
            <w:vAlign w:val="bottom"/>
          </w:tcPr>
          <w:p w14:paraId="0EF2B2F6" w14:textId="77777777" w:rsidR="00EA0A0F" w:rsidRPr="00F959D0" w:rsidRDefault="00EA0A0F" w:rsidP="00CA7F04">
            <w:pPr>
              <w:tabs>
                <w:tab w:val="right" w:pos="1202"/>
              </w:tabs>
              <w:jc w:val="right"/>
              <w:outlineLvl w:val="0"/>
              <w:rPr>
                <w:rFonts w:ascii="Arial" w:eastAsia="Calibri" w:hAnsi="Arial" w:cs="Arial"/>
                <w:b/>
                <w:color w:val="000000"/>
                <w:spacing w:val="-2"/>
                <w:sz w:val="17"/>
                <w:szCs w:val="17"/>
                <w:highlight w:val="yellow"/>
                <w:lang w:eastAsia="hr-HR"/>
              </w:rPr>
            </w:pPr>
          </w:p>
        </w:tc>
        <w:tc>
          <w:tcPr>
            <w:tcW w:w="1060" w:type="dxa"/>
            <w:tcBorders>
              <w:top w:val="single" w:sz="12" w:space="0" w:color="auto"/>
              <w:left w:val="nil"/>
              <w:bottom w:val="single" w:sz="4" w:space="0" w:color="auto"/>
              <w:right w:val="nil"/>
            </w:tcBorders>
            <w:shd w:val="clear" w:color="auto" w:fill="auto"/>
            <w:vAlign w:val="bottom"/>
          </w:tcPr>
          <w:p w14:paraId="0FC836F3" w14:textId="77777777" w:rsidR="00EA0A0F" w:rsidRPr="00F959D0" w:rsidRDefault="00EA0A0F" w:rsidP="00CA7F04">
            <w:pPr>
              <w:tabs>
                <w:tab w:val="right" w:pos="1202"/>
              </w:tabs>
              <w:jc w:val="right"/>
              <w:outlineLvl w:val="0"/>
              <w:rPr>
                <w:rFonts w:ascii="Arial" w:eastAsia="Calibri" w:hAnsi="Arial" w:cs="Arial"/>
                <w:b/>
                <w:color w:val="000000"/>
                <w:spacing w:val="-2"/>
                <w:sz w:val="17"/>
                <w:szCs w:val="17"/>
                <w:highlight w:val="yellow"/>
                <w:lang w:eastAsia="hr-HR"/>
              </w:rPr>
            </w:pPr>
          </w:p>
        </w:tc>
        <w:tc>
          <w:tcPr>
            <w:tcW w:w="1060" w:type="dxa"/>
            <w:tcBorders>
              <w:top w:val="single" w:sz="12" w:space="0" w:color="auto"/>
              <w:left w:val="nil"/>
              <w:bottom w:val="single" w:sz="4" w:space="0" w:color="auto"/>
              <w:right w:val="nil"/>
            </w:tcBorders>
            <w:shd w:val="clear" w:color="auto" w:fill="auto"/>
            <w:vAlign w:val="bottom"/>
          </w:tcPr>
          <w:p w14:paraId="0EF0C8DE" w14:textId="77777777" w:rsidR="00EA0A0F" w:rsidRPr="00F959D0" w:rsidRDefault="00EA0A0F" w:rsidP="00CA7F04">
            <w:pPr>
              <w:tabs>
                <w:tab w:val="right" w:pos="1202"/>
              </w:tabs>
              <w:jc w:val="right"/>
              <w:outlineLvl w:val="0"/>
              <w:rPr>
                <w:rFonts w:ascii="Arial" w:eastAsia="Calibri" w:hAnsi="Arial" w:cs="Arial"/>
                <w:b/>
                <w:color w:val="000000"/>
                <w:spacing w:val="-2"/>
                <w:sz w:val="17"/>
                <w:szCs w:val="17"/>
                <w:highlight w:val="yellow"/>
                <w:lang w:eastAsia="hr-HR"/>
              </w:rPr>
            </w:pPr>
          </w:p>
        </w:tc>
      </w:tr>
      <w:tr w:rsidR="00EA0A0F" w:rsidRPr="00736C15" w14:paraId="34568920" w14:textId="77777777" w:rsidTr="00CA7F04">
        <w:trPr>
          <w:trHeight w:val="283"/>
          <w:jc w:val="center"/>
        </w:trPr>
        <w:tc>
          <w:tcPr>
            <w:tcW w:w="6094" w:type="dxa"/>
            <w:shd w:val="clear" w:color="auto" w:fill="auto"/>
            <w:vAlign w:val="bottom"/>
          </w:tcPr>
          <w:p w14:paraId="0796D747" w14:textId="77777777" w:rsidR="00EA0A0F" w:rsidRPr="00F959D0" w:rsidRDefault="00EA0A0F" w:rsidP="00CA7F04">
            <w:pPr>
              <w:tabs>
                <w:tab w:val="right" w:pos="1202"/>
              </w:tabs>
              <w:outlineLvl w:val="0"/>
              <w:rPr>
                <w:rFonts w:ascii="Arial" w:eastAsia="Calibri" w:hAnsi="Arial" w:cs="Arial"/>
                <w:bCs/>
                <w:color w:val="000000"/>
                <w:sz w:val="17"/>
                <w:szCs w:val="17"/>
              </w:rPr>
            </w:pPr>
            <w:r w:rsidRPr="00F959D0">
              <w:rPr>
                <w:rFonts w:ascii="Arial" w:eastAsia="Calibri" w:hAnsi="Arial" w:cs="Arial"/>
                <w:bCs/>
                <w:color w:val="000000"/>
                <w:sz w:val="17"/>
                <w:szCs w:val="17"/>
              </w:rPr>
              <w:t xml:space="preserve">FX </w:t>
            </w:r>
            <w:proofErr w:type="spellStart"/>
            <w:r w:rsidRPr="00F959D0">
              <w:rPr>
                <w:rFonts w:ascii="Arial" w:eastAsia="Calibri" w:hAnsi="Arial" w:cs="Arial"/>
                <w:bCs/>
                <w:color w:val="000000"/>
                <w:sz w:val="17"/>
                <w:szCs w:val="17"/>
              </w:rPr>
              <w:t>swap</w:t>
            </w:r>
            <w:proofErr w:type="spellEnd"/>
          </w:p>
        </w:tc>
        <w:tc>
          <w:tcPr>
            <w:tcW w:w="1060" w:type="dxa"/>
            <w:tcBorders>
              <w:top w:val="single" w:sz="4" w:space="0" w:color="auto"/>
              <w:left w:val="nil"/>
              <w:bottom w:val="single" w:sz="12" w:space="0" w:color="auto"/>
              <w:right w:val="nil"/>
            </w:tcBorders>
            <w:shd w:val="clear" w:color="auto" w:fill="auto"/>
            <w:vAlign w:val="bottom"/>
          </w:tcPr>
          <w:p w14:paraId="40CD81DB" w14:textId="77777777" w:rsidR="00EA0A0F" w:rsidRPr="00D46628" w:rsidRDefault="00EA0A0F" w:rsidP="00CA7F04">
            <w:pPr>
              <w:tabs>
                <w:tab w:val="right" w:pos="1202"/>
              </w:tabs>
              <w:jc w:val="right"/>
              <w:outlineLvl w:val="0"/>
              <w:rPr>
                <w:rFonts w:ascii="Arial" w:eastAsia="Calibri" w:hAnsi="Arial" w:cs="Arial"/>
                <w:b/>
                <w:color w:val="000000"/>
                <w:spacing w:val="-2"/>
                <w:sz w:val="17"/>
                <w:szCs w:val="17"/>
                <w:lang w:eastAsia="hr-HR"/>
              </w:rPr>
            </w:pPr>
            <w:r w:rsidRPr="00F959D0">
              <w:rPr>
                <w:rFonts w:ascii="Arial" w:eastAsia="Calibri" w:hAnsi="Arial" w:cs="Arial"/>
                <w:b/>
                <w:color w:val="000000"/>
                <w:spacing w:val="-2"/>
                <w:sz w:val="17"/>
                <w:szCs w:val="17"/>
                <w:lang w:eastAsia="hr-HR"/>
              </w:rPr>
              <w:t>-</w:t>
            </w:r>
          </w:p>
        </w:tc>
        <w:tc>
          <w:tcPr>
            <w:tcW w:w="1060" w:type="dxa"/>
            <w:tcBorders>
              <w:top w:val="single" w:sz="4" w:space="0" w:color="auto"/>
              <w:left w:val="nil"/>
              <w:bottom w:val="single" w:sz="12" w:space="0" w:color="auto"/>
              <w:right w:val="nil"/>
            </w:tcBorders>
            <w:shd w:val="clear" w:color="auto" w:fill="auto"/>
            <w:vAlign w:val="bottom"/>
          </w:tcPr>
          <w:p w14:paraId="26FB77D7" w14:textId="77777777" w:rsidR="00EA0A0F" w:rsidRPr="00D46628" w:rsidRDefault="00EA0A0F" w:rsidP="00CA7F04">
            <w:pPr>
              <w:tabs>
                <w:tab w:val="right" w:pos="1202"/>
              </w:tabs>
              <w:jc w:val="right"/>
              <w:outlineLvl w:val="0"/>
              <w:rPr>
                <w:rFonts w:ascii="Arial" w:eastAsia="Calibri" w:hAnsi="Arial" w:cs="Arial"/>
                <w:b/>
                <w:color w:val="000000"/>
                <w:spacing w:val="-2"/>
                <w:sz w:val="17"/>
                <w:szCs w:val="17"/>
                <w:lang w:eastAsia="hr-HR"/>
              </w:rPr>
            </w:pPr>
            <w:r w:rsidRPr="00F959D0">
              <w:rPr>
                <w:rFonts w:ascii="Arial" w:eastAsia="Calibri" w:hAnsi="Arial" w:cs="Arial"/>
                <w:b/>
                <w:color w:val="000000"/>
                <w:spacing w:val="-2"/>
                <w:sz w:val="17"/>
                <w:szCs w:val="17"/>
                <w:lang w:eastAsia="hr-HR"/>
              </w:rPr>
              <w:t>100</w:t>
            </w:r>
          </w:p>
        </w:tc>
        <w:tc>
          <w:tcPr>
            <w:tcW w:w="1060" w:type="dxa"/>
            <w:tcBorders>
              <w:top w:val="single" w:sz="4" w:space="0" w:color="auto"/>
              <w:left w:val="nil"/>
              <w:bottom w:val="single" w:sz="12" w:space="0" w:color="auto"/>
              <w:right w:val="nil"/>
            </w:tcBorders>
            <w:shd w:val="clear" w:color="auto" w:fill="auto"/>
            <w:vAlign w:val="bottom"/>
          </w:tcPr>
          <w:p w14:paraId="18313F4F" w14:textId="77777777" w:rsidR="00EA0A0F" w:rsidRPr="00D46628" w:rsidRDefault="00EA0A0F" w:rsidP="00CA7F04">
            <w:pPr>
              <w:tabs>
                <w:tab w:val="right" w:pos="1202"/>
              </w:tabs>
              <w:jc w:val="right"/>
              <w:outlineLvl w:val="0"/>
              <w:rPr>
                <w:rFonts w:ascii="Arial" w:eastAsia="Calibri" w:hAnsi="Arial" w:cs="Arial"/>
                <w:b/>
                <w:color w:val="000000"/>
                <w:spacing w:val="-2"/>
                <w:sz w:val="17"/>
                <w:szCs w:val="17"/>
                <w:lang w:eastAsia="hr-HR"/>
              </w:rPr>
            </w:pPr>
            <w:r w:rsidRPr="00F959D0">
              <w:rPr>
                <w:rFonts w:ascii="Arial" w:eastAsia="Calibri" w:hAnsi="Arial" w:cs="Arial"/>
                <w:b/>
                <w:color w:val="000000"/>
                <w:spacing w:val="-2"/>
                <w:sz w:val="17"/>
                <w:szCs w:val="17"/>
                <w:lang w:eastAsia="hr-HR"/>
              </w:rPr>
              <w:t>-</w:t>
            </w:r>
          </w:p>
        </w:tc>
      </w:tr>
      <w:tr w:rsidR="00EA0A0F" w:rsidRPr="00736C15" w14:paraId="44AE638C" w14:textId="77777777" w:rsidTr="00CA7F04">
        <w:trPr>
          <w:trHeight w:val="283"/>
          <w:jc w:val="center"/>
        </w:trPr>
        <w:tc>
          <w:tcPr>
            <w:tcW w:w="6094" w:type="dxa"/>
            <w:shd w:val="clear" w:color="auto" w:fill="auto"/>
            <w:vAlign w:val="bottom"/>
          </w:tcPr>
          <w:p w14:paraId="76D758C7" w14:textId="77777777" w:rsidR="00EA0A0F" w:rsidRPr="00D46628" w:rsidRDefault="00EA0A0F" w:rsidP="00CA7F04">
            <w:pPr>
              <w:tabs>
                <w:tab w:val="right" w:pos="1202"/>
              </w:tabs>
              <w:outlineLvl w:val="0"/>
              <w:rPr>
                <w:rFonts w:ascii="Arial" w:eastAsia="Calibri" w:hAnsi="Arial" w:cs="Arial"/>
                <w:b/>
                <w:color w:val="000000"/>
                <w:sz w:val="17"/>
                <w:szCs w:val="17"/>
              </w:rPr>
            </w:pPr>
            <w:r w:rsidRPr="00D46628">
              <w:rPr>
                <w:rFonts w:ascii="Arial" w:eastAsia="Calibri" w:hAnsi="Arial" w:cs="Arial"/>
                <w:b/>
                <w:color w:val="000000"/>
                <w:sz w:val="17"/>
                <w:szCs w:val="17"/>
              </w:rPr>
              <w:t>Ukupno obveze</w:t>
            </w:r>
          </w:p>
        </w:tc>
        <w:tc>
          <w:tcPr>
            <w:tcW w:w="1060" w:type="dxa"/>
            <w:tcBorders>
              <w:top w:val="single" w:sz="12" w:space="0" w:color="auto"/>
              <w:left w:val="nil"/>
              <w:bottom w:val="single" w:sz="12" w:space="0" w:color="auto"/>
              <w:right w:val="nil"/>
            </w:tcBorders>
            <w:shd w:val="clear" w:color="auto" w:fill="auto"/>
            <w:vAlign w:val="bottom"/>
          </w:tcPr>
          <w:p w14:paraId="3E75C76C" w14:textId="77777777" w:rsidR="00EA0A0F" w:rsidRPr="00D46628" w:rsidRDefault="00EA0A0F" w:rsidP="00CA7F04">
            <w:pPr>
              <w:tabs>
                <w:tab w:val="right" w:pos="1202"/>
              </w:tabs>
              <w:jc w:val="right"/>
              <w:outlineLvl w:val="0"/>
              <w:rPr>
                <w:rFonts w:ascii="Arial" w:eastAsia="Calibri" w:hAnsi="Arial" w:cs="Arial"/>
                <w:b/>
                <w:color w:val="000000"/>
                <w:spacing w:val="-2"/>
                <w:sz w:val="17"/>
                <w:szCs w:val="17"/>
                <w:lang w:eastAsia="hr-HR"/>
              </w:rPr>
            </w:pPr>
            <w:r w:rsidRPr="00F959D0">
              <w:rPr>
                <w:rFonts w:ascii="Arial" w:eastAsia="Calibri" w:hAnsi="Arial" w:cs="Arial"/>
                <w:b/>
                <w:color w:val="000000"/>
                <w:spacing w:val="-2"/>
                <w:sz w:val="17"/>
                <w:szCs w:val="17"/>
                <w:lang w:eastAsia="hr-HR"/>
              </w:rPr>
              <w:t>-</w:t>
            </w:r>
          </w:p>
        </w:tc>
        <w:tc>
          <w:tcPr>
            <w:tcW w:w="1060" w:type="dxa"/>
            <w:tcBorders>
              <w:top w:val="single" w:sz="12" w:space="0" w:color="auto"/>
              <w:left w:val="nil"/>
              <w:bottom w:val="single" w:sz="12" w:space="0" w:color="auto"/>
              <w:right w:val="nil"/>
            </w:tcBorders>
            <w:shd w:val="clear" w:color="auto" w:fill="auto"/>
            <w:vAlign w:val="bottom"/>
          </w:tcPr>
          <w:p w14:paraId="47706143" w14:textId="77777777" w:rsidR="00EA0A0F" w:rsidRPr="00D46628" w:rsidRDefault="00EA0A0F" w:rsidP="00CA7F04">
            <w:pPr>
              <w:tabs>
                <w:tab w:val="right" w:pos="1202"/>
              </w:tabs>
              <w:jc w:val="right"/>
              <w:outlineLvl w:val="0"/>
              <w:rPr>
                <w:rFonts w:ascii="Arial" w:eastAsia="Calibri" w:hAnsi="Arial" w:cs="Arial"/>
                <w:b/>
                <w:color w:val="000000"/>
                <w:spacing w:val="-2"/>
                <w:sz w:val="17"/>
                <w:szCs w:val="17"/>
                <w:lang w:eastAsia="hr-HR"/>
              </w:rPr>
            </w:pPr>
            <w:r w:rsidRPr="00F959D0">
              <w:rPr>
                <w:rFonts w:ascii="Arial" w:eastAsia="Calibri" w:hAnsi="Arial" w:cs="Arial"/>
                <w:b/>
                <w:color w:val="000000"/>
                <w:spacing w:val="-2"/>
                <w:sz w:val="17"/>
                <w:szCs w:val="17"/>
                <w:lang w:eastAsia="hr-HR"/>
              </w:rPr>
              <w:t>100</w:t>
            </w:r>
          </w:p>
        </w:tc>
        <w:tc>
          <w:tcPr>
            <w:tcW w:w="1060" w:type="dxa"/>
            <w:tcBorders>
              <w:top w:val="single" w:sz="12" w:space="0" w:color="auto"/>
              <w:left w:val="nil"/>
              <w:bottom w:val="single" w:sz="12" w:space="0" w:color="auto"/>
              <w:right w:val="nil"/>
            </w:tcBorders>
            <w:shd w:val="clear" w:color="auto" w:fill="auto"/>
            <w:vAlign w:val="bottom"/>
          </w:tcPr>
          <w:p w14:paraId="3D5017D0" w14:textId="77777777" w:rsidR="00EA0A0F" w:rsidRPr="00D46628" w:rsidRDefault="00EA0A0F" w:rsidP="00CA7F04">
            <w:pPr>
              <w:tabs>
                <w:tab w:val="right" w:pos="1202"/>
              </w:tabs>
              <w:jc w:val="right"/>
              <w:outlineLvl w:val="0"/>
              <w:rPr>
                <w:rFonts w:ascii="Arial" w:eastAsia="Calibri" w:hAnsi="Arial" w:cs="Arial"/>
                <w:b/>
                <w:color w:val="000000"/>
                <w:spacing w:val="-2"/>
                <w:sz w:val="17"/>
                <w:szCs w:val="17"/>
                <w:lang w:eastAsia="hr-HR"/>
              </w:rPr>
            </w:pPr>
            <w:r w:rsidRPr="00F959D0">
              <w:rPr>
                <w:rFonts w:ascii="Arial" w:eastAsia="Calibri" w:hAnsi="Arial" w:cs="Arial"/>
                <w:b/>
                <w:color w:val="000000"/>
                <w:spacing w:val="-2"/>
                <w:sz w:val="17"/>
                <w:szCs w:val="17"/>
                <w:lang w:eastAsia="hr-HR"/>
              </w:rPr>
              <w:t>-</w:t>
            </w:r>
          </w:p>
        </w:tc>
      </w:tr>
    </w:tbl>
    <w:p w14:paraId="6CE01608" w14:textId="77777777" w:rsidR="00AF11F3" w:rsidRPr="003D1614" w:rsidRDefault="00AF11F3" w:rsidP="00AF11F3">
      <w:pPr>
        <w:tabs>
          <w:tab w:val="right" w:pos="1202"/>
        </w:tabs>
        <w:suppressAutoHyphens/>
        <w:autoSpaceDN w:val="0"/>
        <w:jc w:val="both"/>
        <w:outlineLvl w:val="0"/>
        <w:rPr>
          <w:rFonts w:ascii="Arial" w:eastAsia="Times New Roman" w:hAnsi="Arial" w:cs="Arial"/>
          <w:i/>
          <w:color w:val="000000" w:themeColor="text1"/>
          <w:sz w:val="18"/>
          <w:szCs w:val="18"/>
        </w:rPr>
      </w:pPr>
    </w:p>
    <w:p w14:paraId="6BBA2DBC" w14:textId="77777777" w:rsidR="00AF11F3" w:rsidRPr="003D1614" w:rsidRDefault="00AF11F3" w:rsidP="00AF11F3">
      <w:pPr>
        <w:tabs>
          <w:tab w:val="right" w:pos="1202"/>
        </w:tabs>
        <w:suppressAutoHyphens/>
        <w:autoSpaceDN w:val="0"/>
        <w:jc w:val="both"/>
        <w:outlineLvl w:val="0"/>
        <w:rPr>
          <w:rFonts w:ascii="Arial" w:eastAsia="Times New Roman" w:hAnsi="Arial" w:cs="Arial"/>
          <w:i/>
          <w:color w:val="000000" w:themeColor="text1"/>
          <w:sz w:val="18"/>
          <w:szCs w:val="18"/>
        </w:rPr>
      </w:pPr>
    </w:p>
    <w:p w14:paraId="607976D0" w14:textId="77777777" w:rsidR="00AF11F3" w:rsidRPr="003D1614" w:rsidRDefault="00AF11F3" w:rsidP="00AF11F3">
      <w:pPr>
        <w:tabs>
          <w:tab w:val="right" w:pos="1202"/>
        </w:tabs>
        <w:suppressAutoHyphens/>
        <w:autoSpaceDN w:val="0"/>
        <w:jc w:val="both"/>
        <w:outlineLvl w:val="0"/>
        <w:rPr>
          <w:rFonts w:ascii="Arial" w:eastAsia="Times New Roman" w:hAnsi="Arial" w:cs="Arial"/>
          <w:i/>
          <w:color w:val="000000" w:themeColor="text1"/>
          <w:sz w:val="18"/>
          <w:szCs w:val="18"/>
        </w:rPr>
      </w:pPr>
    </w:p>
    <w:p w14:paraId="4D2AF0C7" w14:textId="77777777" w:rsidR="00AF11F3" w:rsidRDefault="00AF11F3" w:rsidP="00F208CA">
      <w:pPr>
        <w:rPr>
          <w:rFonts w:ascii="Arial" w:eastAsia="Times New Roman" w:hAnsi="Arial" w:cs="Arial"/>
          <w:sz w:val="18"/>
          <w:szCs w:val="18"/>
        </w:rPr>
        <w:sectPr w:rsidR="00AF11F3" w:rsidSect="003278AB">
          <w:pgSz w:w="11906" w:h="16838"/>
          <w:pgMar w:top="1417" w:right="1417" w:bottom="1417" w:left="1417" w:header="708" w:footer="708" w:gutter="0"/>
          <w:cols w:space="708"/>
          <w:docGrid w:linePitch="360"/>
        </w:sectPr>
      </w:pPr>
    </w:p>
    <w:p w14:paraId="5EE44477" w14:textId="77777777" w:rsidR="00AF11F3" w:rsidRDefault="00AF11F3" w:rsidP="00F208CA">
      <w:pPr>
        <w:rPr>
          <w:rFonts w:ascii="Arial" w:eastAsia="Times New Roman" w:hAnsi="Arial" w:cs="Arial"/>
          <w:sz w:val="18"/>
          <w:szCs w:val="18"/>
        </w:rPr>
      </w:pPr>
    </w:p>
    <w:p w14:paraId="15EA5A5B" w14:textId="77777777" w:rsidR="003F032B" w:rsidRPr="003D1614" w:rsidRDefault="003F032B" w:rsidP="003F032B">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 </w:t>
      </w:r>
      <w:r w:rsidRPr="003D1614">
        <w:rPr>
          <w:rFonts w:ascii="Arial" w:eastAsia="Times New Roman" w:hAnsi="Arial" w:cs="Arial"/>
          <w:b/>
          <w:bCs/>
          <w:color w:val="000000" w:themeColor="text1"/>
          <w:spacing w:val="-3"/>
          <w:sz w:val="20"/>
          <w:szCs w:val="20"/>
        </w:rPr>
        <w:tab/>
        <w:t>Fer vrijednost financijske imovine i financijskih obveza (nastavak)</w:t>
      </w:r>
    </w:p>
    <w:p w14:paraId="5A990D8E" w14:textId="77777777" w:rsidR="003F032B" w:rsidRPr="003D1614" w:rsidRDefault="003F032B" w:rsidP="003F032B">
      <w:pPr>
        <w:keepNext/>
        <w:suppressAutoHyphens/>
        <w:autoSpaceDN w:val="0"/>
        <w:ind w:left="709" w:hanging="709"/>
        <w:jc w:val="both"/>
        <w:outlineLvl w:val="0"/>
        <w:rPr>
          <w:rFonts w:ascii="Arial" w:eastAsia="Times New Roman" w:hAnsi="Arial" w:cs="Arial"/>
          <w:bCs/>
          <w:color w:val="000000" w:themeColor="text1"/>
          <w:spacing w:val="-3"/>
          <w:sz w:val="12"/>
          <w:szCs w:val="12"/>
        </w:rPr>
      </w:pPr>
    </w:p>
    <w:p w14:paraId="3CA9D8C7" w14:textId="77777777" w:rsidR="003F032B" w:rsidRPr="003D1614" w:rsidRDefault="003F032B" w:rsidP="003F032B">
      <w:pPr>
        <w:keepNext/>
        <w:suppressAutoHyphens/>
        <w:autoSpaceDN w:val="0"/>
        <w:ind w:left="709" w:hanging="709"/>
        <w:jc w:val="both"/>
        <w:outlineLvl w:val="0"/>
        <w:rPr>
          <w:rFonts w:ascii="Arial" w:eastAsia="Times New Roman" w:hAnsi="Arial" w:cs="Arial"/>
          <w:b/>
          <w:bCs/>
          <w:color w:val="000000" w:themeColor="text1"/>
          <w:spacing w:val="-3"/>
          <w:sz w:val="14"/>
          <w:szCs w:val="14"/>
        </w:rPr>
      </w:pPr>
    </w:p>
    <w:p w14:paraId="5AEE1C1D" w14:textId="77777777" w:rsidR="003F032B" w:rsidRDefault="003F032B" w:rsidP="003F032B">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.1. </w:t>
      </w:r>
      <w:r w:rsidRPr="003D1614">
        <w:rPr>
          <w:rFonts w:ascii="Arial" w:eastAsia="Times New Roman" w:hAnsi="Arial" w:cs="Arial"/>
          <w:b/>
          <w:bCs/>
          <w:color w:val="000000" w:themeColor="text1"/>
          <w:spacing w:val="-3"/>
          <w:sz w:val="20"/>
          <w:szCs w:val="20"/>
        </w:rPr>
        <w:tab/>
        <w:t>Fer vrijednost financijske imovine i financijskih obveza koji se vode po fer vrijednosti (nastavak)</w:t>
      </w:r>
    </w:p>
    <w:p w14:paraId="7BB96BDC" w14:textId="77777777" w:rsidR="003F032B" w:rsidRPr="003D1614" w:rsidRDefault="003F032B" w:rsidP="003F032B">
      <w:pPr>
        <w:keepNext/>
        <w:suppressAutoHyphens/>
        <w:autoSpaceDN w:val="0"/>
        <w:ind w:left="709" w:hanging="709"/>
        <w:jc w:val="both"/>
        <w:outlineLvl w:val="0"/>
        <w:rPr>
          <w:rFonts w:ascii="Arial" w:eastAsia="Times New Roman" w:hAnsi="Arial" w:cs="Arial"/>
          <w:b/>
          <w:bCs/>
          <w:color w:val="000000" w:themeColor="text1"/>
          <w:spacing w:val="-3"/>
          <w:sz w:val="20"/>
          <w:szCs w:val="20"/>
        </w:rPr>
      </w:pPr>
    </w:p>
    <w:p w14:paraId="136BC345" w14:textId="77777777" w:rsidR="003F032B" w:rsidRPr="003D1614" w:rsidRDefault="003F032B" w:rsidP="003F032B">
      <w:pPr>
        <w:suppressAutoHyphens/>
        <w:autoSpaceDN w:val="0"/>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Pr>
          <w:rFonts w:ascii="Arial" w:eastAsia="Calibri" w:hAnsi="Arial" w:cs="Arial"/>
          <w:b/>
          <w:color w:val="000000" w:themeColor="text1"/>
          <w:sz w:val="20"/>
          <w:szCs w:val="20"/>
        </w:rPr>
        <w:t>4</w:t>
      </w:r>
      <w:r w:rsidRPr="003D1614">
        <w:rPr>
          <w:rFonts w:ascii="Arial" w:eastAsia="Calibri" w:hAnsi="Arial" w:cs="Arial"/>
          <w:b/>
          <w:color w:val="000000" w:themeColor="text1"/>
          <w:sz w:val="20"/>
          <w:szCs w:val="20"/>
        </w:rPr>
        <w:t xml:space="preserve">.1.1. </w:t>
      </w:r>
      <w:r w:rsidRPr="003D1614">
        <w:rPr>
          <w:rFonts w:ascii="Arial" w:eastAsia="Calibri" w:hAnsi="Arial" w:cs="Arial"/>
          <w:b/>
          <w:color w:val="000000" w:themeColor="text1"/>
          <w:sz w:val="20"/>
          <w:szCs w:val="20"/>
        </w:rPr>
        <w:tab/>
        <w:t>Razina 3 - fer vrijednosti</w:t>
      </w:r>
    </w:p>
    <w:p w14:paraId="282EFAB8" w14:textId="77777777" w:rsidR="003F032B" w:rsidRPr="003D1614" w:rsidRDefault="003F032B" w:rsidP="003F032B">
      <w:pPr>
        <w:suppressAutoHyphens/>
        <w:autoSpaceDN w:val="0"/>
        <w:rPr>
          <w:rFonts w:ascii="Arial" w:eastAsia="Calibri" w:hAnsi="Arial" w:cs="Arial"/>
          <w:color w:val="000000" w:themeColor="text1"/>
          <w:sz w:val="20"/>
          <w:szCs w:val="20"/>
        </w:rPr>
      </w:pPr>
    </w:p>
    <w:p w14:paraId="2D5537B7" w14:textId="77777777" w:rsidR="003F032B" w:rsidRPr="003D1614" w:rsidRDefault="003F032B" w:rsidP="003F032B">
      <w:pPr>
        <w:suppressAutoHyphens/>
        <w:autoSpaceDN w:val="0"/>
        <w:rPr>
          <w:rFonts w:ascii="Arial" w:eastAsia="Calibri" w:hAnsi="Arial" w:cs="Arial"/>
          <w:b/>
          <w:i/>
          <w:color w:val="000000" w:themeColor="text1"/>
          <w:sz w:val="20"/>
          <w:szCs w:val="20"/>
        </w:rPr>
      </w:pPr>
      <w:r w:rsidRPr="003D1614">
        <w:rPr>
          <w:rFonts w:ascii="Arial" w:eastAsia="Calibri" w:hAnsi="Arial" w:cs="Arial"/>
          <w:b/>
          <w:i/>
          <w:color w:val="000000" w:themeColor="text1"/>
          <w:sz w:val="20"/>
          <w:szCs w:val="20"/>
        </w:rPr>
        <w:t xml:space="preserve">a)  </w:t>
      </w:r>
      <w:proofErr w:type="spellStart"/>
      <w:r w:rsidRPr="003D1614">
        <w:rPr>
          <w:rFonts w:ascii="Arial" w:eastAsia="Calibri" w:hAnsi="Arial" w:cs="Arial"/>
          <w:b/>
          <w:i/>
          <w:color w:val="000000" w:themeColor="text1"/>
          <w:sz w:val="20"/>
          <w:szCs w:val="20"/>
        </w:rPr>
        <w:t>Mezzanine</w:t>
      </w:r>
      <w:proofErr w:type="spellEnd"/>
      <w:r w:rsidRPr="003D1614">
        <w:rPr>
          <w:rFonts w:ascii="Arial" w:eastAsia="Calibri" w:hAnsi="Arial" w:cs="Arial"/>
          <w:b/>
          <w:i/>
          <w:color w:val="000000" w:themeColor="text1"/>
          <w:sz w:val="20"/>
          <w:szCs w:val="20"/>
        </w:rPr>
        <w:t xml:space="preserve"> krediti</w:t>
      </w:r>
    </w:p>
    <w:p w14:paraId="39473D46" w14:textId="77777777" w:rsidR="003F032B" w:rsidRPr="003D1614" w:rsidRDefault="003F032B" w:rsidP="003F032B">
      <w:pPr>
        <w:suppressAutoHyphens/>
        <w:autoSpaceDN w:val="0"/>
        <w:rPr>
          <w:rFonts w:ascii="Arial" w:eastAsia="Calibri" w:hAnsi="Arial" w:cs="Arial"/>
          <w:b/>
          <w:i/>
          <w:color w:val="000000" w:themeColor="text1"/>
          <w:sz w:val="20"/>
          <w:szCs w:val="20"/>
        </w:rPr>
      </w:pPr>
    </w:p>
    <w:p w14:paraId="7D067F71" w14:textId="77777777" w:rsidR="003F032B" w:rsidRPr="003D1614" w:rsidRDefault="003F032B" w:rsidP="003F032B">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Za procjenu fer vrijednosti </w:t>
      </w:r>
      <w:proofErr w:type="spellStart"/>
      <w:r w:rsidRPr="003D1614">
        <w:rPr>
          <w:rFonts w:ascii="Arial" w:eastAsia="Calibri" w:hAnsi="Arial" w:cs="Arial"/>
          <w:color w:val="000000" w:themeColor="text1"/>
          <w:sz w:val="20"/>
          <w:szCs w:val="20"/>
        </w:rPr>
        <w:t>mezzanine</w:t>
      </w:r>
      <w:proofErr w:type="spellEnd"/>
      <w:r w:rsidRPr="003D1614">
        <w:rPr>
          <w:rFonts w:ascii="Arial" w:eastAsia="Calibri" w:hAnsi="Arial" w:cs="Arial"/>
          <w:color w:val="000000" w:themeColor="text1"/>
          <w:sz w:val="20"/>
          <w:szCs w:val="20"/>
        </w:rPr>
        <w:t xml:space="preserve"> kredita koristi se metoda diskontiranja očekivanih budućih novčanih tijekova.</w:t>
      </w:r>
    </w:p>
    <w:p w14:paraId="7D540A28" w14:textId="77777777" w:rsidR="003F032B" w:rsidRPr="003D1614" w:rsidRDefault="003F032B" w:rsidP="003F032B">
      <w:pPr>
        <w:suppressAutoHyphens/>
        <w:autoSpaceDN w:val="0"/>
        <w:spacing w:after="120"/>
        <w:jc w:val="both"/>
        <w:rPr>
          <w:rFonts w:ascii="Arial" w:eastAsia="Calibri" w:hAnsi="Arial" w:cs="Arial"/>
          <w:color w:val="000000" w:themeColor="text1"/>
          <w:sz w:val="20"/>
          <w:szCs w:val="20"/>
        </w:rPr>
      </w:pPr>
      <w:proofErr w:type="spellStart"/>
      <w:r w:rsidRPr="003D1614">
        <w:rPr>
          <w:rFonts w:ascii="Arial" w:eastAsia="Calibri" w:hAnsi="Arial" w:cs="Arial"/>
          <w:color w:val="000000" w:themeColor="text1"/>
          <w:sz w:val="20"/>
          <w:szCs w:val="20"/>
        </w:rPr>
        <w:t>Mezzanine</w:t>
      </w:r>
      <w:proofErr w:type="spellEnd"/>
      <w:r w:rsidRPr="003D1614">
        <w:rPr>
          <w:rFonts w:ascii="Arial" w:eastAsia="Calibri" w:hAnsi="Arial" w:cs="Arial"/>
          <w:color w:val="000000" w:themeColor="text1"/>
          <w:sz w:val="20"/>
          <w:szCs w:val="20"/>
        </w:rPr>
        <w:t xml:space="preserve"> kreditni plasmani zbog svojih ugovornih karakteristika ne prolaze na SPPI testu. Karakteristike zbog kojih </w:t>
      </w:r>
      <w:proofErr w:type="spellStart"/>
      <w:r w:rsidRPr="003D1614">
        <w:rPr>
          <w:rFonts w:ascii="Arial" w:eastAsia="Calibri" w:hAnsi="Arial" w:cs="Arial"/>
          <w:color w:val="000000" w:themeColor="text1"/>
          <w:sz w:val="20"/>
          <w:szCs w:val="20"/>
        </w:rPr>
        <w:t>mezzanine</w:t>
      </w:r>
      <w:proofErr w:type="spellEnd"/>
      <w:r w:rsidRPr="003D1614">
        <w:rPr>
          <w:rFonts w:ascii="Arial" w:eastAsia="Calibri" w:hAnsi="Arial" w:cs="Arial"/>
          <w:color w:val="000000" w:themeColor="text1"/>
          <w:sz w:val="20"/>
          <w:szCs w:val="20"/>
        </w:rPr>
        <w:t xml:space="preserve"> krediti ne prolaze SPPI test su sljedeće:</w:t>
      </w:r>
    </w:p>
    <w:p w14:paraId="1C16A754" w14:textId="77777777" w:rsidR="003F032B" w:rsidRPr="003D1614" w:rsidRDefault="003F032B" w:rsidP="003F032B">
      <w:pPr>
        <w:numPr>
          <w:ilvl w:val="0"/>
          <w:numId w:val="3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dužnik ima pravo prijevremeno otplatiti </w:t>
      </w:r>
      <w:proofErr w:type="spellStart"/>
      <w:r w:rsidRPr="003D1614">
        <w:rPr>
          <w:rFonts w:ascii="Arial" w:eastAsia="Calibri" w:hAnsi="Arial" w:cs="Arial"/>
          <w:color w:val="000000" w:themeColor="text1"/>
          <w:sz w:val="20"/>
          <w:szCs w:val="20"/>
        </w:rPr>
        <w:t>mezzanine</w:t>
      </w:r>
      <w:proofErr w:type="spellEnd"/>
      <w:r w:rsidRPr="003D1614">
        <w:rPr>
          <w:rFonts w:ascii="Arial" w:eastAsia="Calibri" w:hAnsi="Arial" w:cs="Arial"/>
          <w:color w:val="000000" w:themeColor="text1"/>
          <w:sz w:val="20"/>
          <w:szCs w:val="20"/>
        </w:rPr>
        <w:t xml:space="preserve"> dug vjerovniku,</w:t>
      </w:r>
    </w:p>
    <w:p w14:paraId="2C1E12AA" w14:textId="77777777" w:rsidR="003F032B" w:rsidRPr="003D1614" w:rsidRDefault="003F032B" w:rsidP="003F032B">
      <w:pPr>
        <w:numPr>
          <w:ilvl w:val="0"/>
          <w:numId w:val="3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u slučaju ostvarenja ugovorom definiranih pokazatelja poslovanja dužnika (omjer neto duga dužnika i prosječnog iznosa EBITDA za prethodne tri godine mora biti niži od limita) tijekom unaprijed određenog razdoblja, vjerovnik </w:t>
      </w:r>
      <w:proofErr w:type="spellStart"/>
      <w:r w:rsidRPr="003D1614">
        <w:rPr>
          <w:rFonts w:ascii="Arial" w:eastAsia="Calibri" w:hAnsi="Arial" w:cs="Arial"/>
          <w:color w:val="000000" w:themeColor="text1"/>
          <w:sz w:val="20"/>
          <w:szCs w:val="20"/>
        </w:rPr>
        <w:t>mezzanine</w:t>
      </w:r>
      <w:proofErr w:type="spellEnd"/>
      <w:r w:rsidRPr="003D1614">
        <w:rPr>
          <w:rFonts w:ascii="Arial" w:eastAsia="Calibri" w:hAnsi="Arial" w:cs="Arial"/>
          <w:color w:val="000000" w:themeColor="text1"/>
          <w:sz w:val="20"/>
          <w:szCs w:val="20"/>
        </w:rPr>
        <w:t xml:space="preserve"> duga ima pravo, ali ne i obvezu, konverzije </w:t>
      </w:r>
      <w:proofErr w:type="spellStart"/>
      <w:r w:rsidRPr="003D1614">
        <w:rPr>
          <w:rFonts w:ascii="Arial" w:eastAsia="Calibri" w:hAnsi="Arial" w:cs="Arial"/>
          <w:color w:val="000000" w:themeColor="text1"/>
          <w:sz w:val="20"/>
          <w:szCs w:val="20"/>
        </w:rPr>
        <w:t>mezzanine</w:t>
      </w:r>
      <w:proofErr w:type="spellEnd"/>
      <w:r w:rsidRPr="003D1614">
        <w:rPr>
          <w:rFonts w:ascii="Arial" w:eastAsia="Calibri" w:hAnsi="Arial" w:cs="Arial"/>
          <w:color w:val="000000" w:themeColor="text1"/>
          <w:sz w:val="20"/>
          <w:szCs w:val="20"/>
        </w:rPr>
        <w:t xml:space="preserve"> duga u „senior dug“</w:t>
      </w:r>
    </w:p>
    <w:p w14:paraId="18BED2BC" w14:textId="77777777" w:rsidR="003F032B" w:rsidRPr="003D1614" w:rsidRDefault="003F032B" w:rsidP="003F032B">
      <w:pPr>
        <w:numPr>
          <w:ilvl w:val="0"/>
          <w:numId w:val="3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vjerovnik </w:t>
      </w:r>
      <w:proofErr w:type="spellStart"/>
      <w:r w:rsidRPr="003D1614">
        <w:rPr>
          <w:rFonts w:ascii="Arial" w:eastAsia="Calibri" w:hAnsi="Arial" w:cs="Arial"/>
          <w:color w:val="000000" w:themeColor="text1"/>
          <w:sz w:val="20"/>
          <w:szCs w:val="20"/>
        </w:rPr>
        <w:t>mezzanine</w:t>
      </w:r>
      <w:proofErr w:type="spellEnd"/>
      <w:r w:rsidRPr="003D1614">
        <w:rPr>
          <w:rFonts w:ascii="Arial" w:eastAsia="Calibri" w:hAnsi="Arial" w:cs="Arial"/>
          <w:color w:val="000000" w:themeColor="text1"/>
          <w:sz w:val="20"/>
          <w:szCs w:val="20"/>
        </w:rPr>
        <w:t xml:space="preserve"> duga ima pravo, ali ne i obvezu, zatražiti od dužnika da se dugovani iznos </w:t>
      </w:r>
      <w:proofErr w:type="spellStart"/>
      <w:r w:rsidRPr="003D1614">
        <w:rPr>
          <w:rFonts w:ascii="Arial" w:eastAsia="Calibri" w:hAnsi="Arial" w:cs="Arial"/>
          <w:color w:val="000000" w:themeColor="text1"/>
          <w:sz w:val="20"/>
          <w:szCs w:val="20"/>
        </w:rPr>
        <w:t>mezzanine</w:t>
      </w:r>
      <w:proofErr w:type="spellEnd"/>
      <w:r w:rsidRPr="003D1614">
        <w:rPr>
          <w:rFonts w:ascii="Arial" w:eastAsia="Calibri" w:hAnsi="Arial" w:cs="Arial"/>
          <w:color w:val="000000" w:themeColor="text1"/>
          <w:sz w:val="20"/>
          <w:szCs w:val="20"/>
        </w:rPr>
        <w:t xml:space="preserve"> duga unese u temeljni kapital dužnika (povećanje temeljnog kapitala dužnika unosom prava-tražbine) </w:t>
      </w:r>
    </w:p>
    <w:p w14:paraId="6BA73B01" w14:textId="77777777" w:rsidR="003F032B" w:rsidRPr="003D1614" w:rsidRDefault="003F032B" w:rsidP="003F032B">
      <w:pPr>
        <w:numPr>
          <w:ilvl w:val="0"/>
          <w:numId w:val="3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dužnik ima mogućnost zatvoriti dug refinanciranjem od strane drugog vjerovnika</w:t>
      </w:r>
    </w:p>
    <w:p w14:paraId="098F84DC" w14:textId="168FBB3D" w:rsidR="003F032B" w:rsidRPr="003D1614" w:rsidRDefault="003F032B" w:rsidP="003F032B">
      <w:pPr>
        <w:numPr>
          <w:ilvl w:val="0"/>
          <w:numId w:val="3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u slučaju da sve mogućnosti zatvaranja </w:t>
      </w:r>
      <w:proofErr w:type="spellStart"/>
      <w:r w:rsidRPr="003D1614">
        <w:rPr>
          <w:rFonts w:ascii="Arial" w:eastAsia="Calibri" w:hAnsi="Arial" w:cs="Arial"/>
          <w:color w:val="000000" w:themeColor="text1"/>
          <w:sz w:val="20"/>
          <w:szCs w:val="20"/>
        </w:rPr>
        <w:t>mezzanine</w:t>
      </w:r>
      <w:proofErr w:type="spellEnd"/>
      <w:r w:rsidRPr="003D1614">
        <w:rPr>
          <w:rFonts w:ascii="Arial" w:eastAsia="Calibri" w:hAnsi="Arial" w:cs="Arial"/>
          <w:color w:val="000000" w:themeColor="text1"/>
          <w:sz w:val="20"/>
          <w:szCs w:val="20"/>
        </w:rPr>
        <w:t xml:space="preserve"> duga nisu provedene, zatvaranje </w:t>
      </w:r>
      <w:proofErr w:type="spellStart"/>
      <w:r w:rsidRPr="003D1614">
        <w:rPr>
          <w:rFonts w:ascii="Arial" w:eastAsia="Calibri" w:hAnsi="Arial" w:cs="Arial"/>
          <w:color w:val="000000" w:themeColor="text1"/>
          <w:sz w:val="20"/>
          <w:szCs w:val="20"/>
        </w:rPr>
        <w:t>mezzanine</w:t>
      </w:r>
      <w:proofErr w:type="spellEnd"/>
      <w:r w:rsidRPr="003D1614">
        <w:rPr>
          <w:rFonts w:ascii="Arial" w:eastAsia="Calibri" w:hAnsi="Arial" w:cs="Arial"/>
          <w:color w:val="000000" w:themeColor="text1"/>
          <w:sz w:val="20"/>
          <w:szCs w:val="20"/>
        </w:rPr>
        <w:t xml:space="preserve"> duga moguće je iz prodaje </w:t>
      </w:r>
      <w:r w:rsidR="00EF5E0B">
        <w:rPr>
          <w:rFonts w:ascii="Arial" w:eastAsia="Calibri" w:hAnsi="Arial" w:cs="Arial"/>
          <w:color w:val="000000" w:themeColor="text1"/>
          <w:sz w:val="20"/>
          <w:szCs w:val="20"/>
        </w:rPr>
        <w:t>b</w:t>
      </w:r>
      <w:r w:rsidR="00FC3227">
        <w:rPr>
          <w:rFonts w:ascii="Arial" w:eastAsia="Calibri" w:hAnsi="Arial" w:cs="Arial"/>
          <w:color w:val="000000" w:themeColor="text1"/>
          <w:sz w:val="20"/>
          <w:szCs w:val="20"/>
        </w:rPr>
        <w:t>r</w:t>
      </w:r>
      <w:r w:rsidR="00EF5E0B">
        <w:rPr>
          <w:rFonts w:ascii="Arial" w:eastAsia="Calibri" w:hAnsi="Arial" w:cs="Arial"/>
          <w:color w:val="000000" w:themeColor="text1"/>
          <w:sz w:val="20"/>
          <w:szCs w:val="20"/>
        </w:rPr>
        <w:t>o</w:t>
      </w:r>
      <w:r w:rsidR="00FC3227">
        <w:rPr>
          <w:rFonts w:ascii="Arial" w:eastAsia="Calibri" w:hAnsi="Arial" w:cs="Arial"/>
          <w:color w:val="000000" w:themeColor="text1"/>
          <w:sz w:val="20"/>
          <w:szCs w:val="20"/>
        </w:rPr>
        <w:t>do</w:t>
      </w:r>
      <w:r w:rsidR="00EF5E0B">
        <w:rPr>
          <w:rFonts w:ascii="Arial" w:eastAsia="Calibri" w:hAnsi="Arial" w:cs="Arial"/>
          <w:color w:val="000000" w:themeColor="text1"/>
          <w:sz w:val="20"/>
          <w:szCs w:val="20"/>
        </w:rPr>
        <w:t>va</w:t>
      </w:r>
      <w:r w:rsidRPr="003D1614">
        <w:rPr>
          <w:rFonts w:ascii="Arial" w:eastAsia="Calibri" w:hAnsi="Arial" w:cs="Arial"/>
          <w:color w:val="000000" w:themeColor="text1"/>
          <w:sz w:val="20"/>
          <w:szCs w:val="20"/>
        </w:rPr>
        <w:t xml:space="preserve"> u vlasništvu dužnika i  </w:t>
      </w:r>
    </w:p>
    <w:p w14:paraId="61E8AA2F" w14:textId="77777777" w:rsidR="003F032B" w:rsidRPr="003D1614" w:rsidRDefault="003F032B" w:rsidP="003F032B">
      <w:pPr>
        <w:numPr>
          <w:ilvl w:val="0"/>
          <w:numId w:val="30"/>
        </w:numPr>
        <w:suppressAutoHyphens/>
        <w:autoSpaceDN w:val="0"/>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u slučaju prijevremenog zatvaranja </w:t>
      </w:r>
      <w:proofErr w:type="spellStart"/>
      <w:r w:rsidRPr="003D1614">
        <w:rPr>
          <w:rFonts w:ascii="Arial" w:eastAsia="Calibri" w:hAnsi="Arial" w:cs="Arial"/>
          <w:color w:val="000000" w:themeColor="text1"/>
          <w:sz w:val="20"/>
          <w:szCs w:val="20"/>
        </w:rPr>
        <w:t>mezzanine</w:t>
      </w:r>
      <w:proofErr w:type="spellEnd"/>
      <w:r w:rsidRPr="003D1614">
        <w:rPr>
          <w:rFonts w:ascii="Arial" w:eastAsia="Calibri" w:hAnsi="Arial" w:cs="Arial"/>
          <w:color w:val="000000" w:themeColor="text1"/>
          <w:sz w:val="20"/>
          <w:szCs w:val="20"/>
        </w:rPr>
        <w:t xml:space="preserve"> duga otplatom, refinanciranjem ili pretvaranjem </w:t>
      </w:r>
      <w:proofErr w:type="spellStart"/>
      <w:r w:rsidRPr="003D1614">
        <w:rPr>
          <w:rFonts w:ascii="Arial" w:eastAsia="Calibri" w:hAnsi="Arial" w:cs="Arial"/>
          <w:color w:val="000000" w:themeColor="text1"/>
          <w:sz w:val="20"/>
          <w:szCs w:val="20"/>
        </w:rPr>
        <w:t>mezzanine</w:t>
      </w:r>
      <w:proofErr w:type="spellEnd"/>
      <w:r w:rsidRPr="003D1614">
        <w:rPr>
          <w:rFonts w:ascii="Arial" w:eastAsia="Calibri" w:hAnsi="Arial" w:cs="Arial"/>
          <w:color w:val="000000" w:themeColor="text1"/>
          <w:sz w:val="20"/>
          <w:szCs w:val="20"/>
        </w:rPr>
        <w:t xml:space="preserve"> duga u kapital, kamata na </w:t>
      </w:r>
      <w:proofErr w:type="spellStart"/>
      <w:r w:rsidRPr="003D1614">
        <w:rPr>
          <w:rFonts w:ascii="Arial" w:eastAsia="Calibri" w:hAnsi="Arial" w:cs="Arial"/>
          <w:color w:val="000000" w:themeColor="text1"/>
          <w:sz w:val="20"/>
          <w:szCs w:val="20"/>
        </w:rPr>
        <w:t>mezzanine</w:t>
      </w:r>
      <w:proofErr w:type="spellEnd"/>
      <w:r w:rsidRPr="003D1614">
        <w:rPr>
          <w:rFonts w:ascii="Arial" w:eastAsia="Calibri" w:hAnsi="Arial" w:cs="Arial"/>
          <w:color w:val="000000" w:themeColor="text1"/>
          <w:sz w:val="20"/>
          <w:szCs w:val="20"/>
        </w:rPr>
        <w:t xml:space="preserve"> dug obračunava se do dana prijevremenog zatvaranja </w:t>
      </w:r>
      <w:proofErr w:type="spellStart"/>
      <w:r w:rsidRPr="003D1614">
        <w:rPr>
          <w:rFonts w:ascii="Arial" w:eastAsia="Calibri" w:hAnsi="Arial" w:cs="Arial"/>
          <w:color w:val="000000" w:themeColor="text1"/>
          <w:sz w:val="20"/>
          <w:szCs w:val="20"/>
        </w:rPr>
        <w:t>mezzanine</w:t>
      </w:r>
      <w:proofErr w:type="spellEnd"/>
      <w:r w:rsidRPr="003D1614">
        <w:rPr>
          <w:rFonts w:ascii="Arial" w:eastAsia="Calibri" w:hAnsi="Arial" w:cs="Arial"/>
          <w:color w:val="000000" w:themeColor="text1"/>
          <w:sz w:val="20"/>
          <w:szCs w:val="20"/>
        </w:rPr>
        <w:t xml:space="preserve"> duga, odnosno dok </w:t>
      </w:r>
      <w:proofErr w:type="spellStart"/>
      <w:r w:rsidRPr="003D1614">
        <w:rPr>
          <w:rFonts w:ascii="Arial" w:eastAsia="Calibri" w:hAnsi="Arial" w:cs="Arial"/>
          <w:color w:val="000000" w:themeColor="text1"/>
          <w:sz w:val="20"/>
          <w:szCs w:val="20"/>
        </w:rPr>
        <w:t>mezzanine</w:t>
      </w:r>
      <w:proofErr w:type="spellEnd"/>
      <w:r w:rsidRPr="003D1614">
        <w:rPr>
          <w:rFonts w:ascii="Arial" w:eastAsia="Calibri" w:hAnsi="Arial" w:cs="Arial"/>
          <w:color w:val="000000" w:themeColor="text1"/>
          <w:sz w:val="20"/>
          <w:szCs w:val="20"/>
        </w:rPr>
        <w:t xml:space="preserve"> dug postoji u tom obliku.</w:t>
      </w:r>
    </w:p>
    <w:p w14:paraId="35D5CB1B" w14:textId="77777777" w:rsidR="003F032B" w:rsidRPr="003D1614" w:rsidRDefault="003F032B" w:rsidP="003F032B">
      <w:pPr>
        <w:suppressAutoHyphens/>
        <w:autoSpaceDN w:val="0"/>
        <w:ind w:left="720"/>
        <w:contextualSpacing/>
        <w:jc w:val="both"/>
        <w:rPr>
          <w:rFonts w:ascii="Arial" w:eastAsia="Calibri" w:hAnsi="Arial" w:cs="Arial"/>
          <w:color w:val="000000" w:themeColor="text1"/>
          <w:sz w:val="20"/>
          <w:szCs w:val="20"/>
        </w:rPr>
      </w:pPr>
    </w:p>
    <w:p w14:paraId="65DD9237" w14:textId="230EDBD8" w:rsidR="003F032B" w:rsidRPr="003D1614" w:rsidRDefault="003F032B" w:rsidP="003F032B">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Zbog navedenih karakteristika </w:t>
      </w:r>
      <w:proofErr w:type="spellStart"/>
      <w:r w:rsidRPr="003D1614">
        <w:rPr>
          <w:rFonts w:ascii="Arial" w:eastAsia="Calibri" w:hAnsi="Arial" w:cs="Arial"/>
          <w:color w:val="000000" w:themeColor="text1"/>
          <w:sz w:val="20"/>
          <w:szCs w:val="20"/>
        </w:rPr>
        <w:t>mezzanine</w:t>
      </w:r>
      <w:proofErr w:type="spellEnd"/>
      <w:r w:rsidRPr="003D1614">
        <w:rPr>
          <w:rFonts w:ascii="Arial" w:eastAsia="Calibri" w:hAnsi="Arial" w:cs="Arial"/>
          <w:color w:val="000000" w:themeColor="text1"/>
          <w:sz w:val="20"/>
          <w:szCs w:val="20"/>
        </w:rPr>
        <w:t xml:space="preserve"> kredita procjena fer vrijednosti ovih kredita obavljena je uz uvažavanje načela opreznosti, prema kojem se prihodi priznaju samo onda kad su stvarno nastali, a rashodi i onda kada su mogući, uz pretpostavku nastavka redovnog poslovanja dužnika u budućnosti. Navedeno predstavlja situaciju u kojoj bi </w:t>
      </w:r>
      <w:r w:rsidR="00832338">
        <w:rPr>
          <w:rFonts w:ascii="Arial" w:eastAsia="Calibri" w:hAnsi="Arial" w:cs="Arial"/>
          <w:color w:val="000000" w:themeColor="text1"/>
          <w:sz w:val="20"/>
          <w:szCs w:val="20"/>
        </w:rPr>
        <w:t>Banka</w:t>
      </w:r>
      <w:r w:rsidRPr="003D1614">
        <w:rPr>
          <w:rFonts w:ascii="Arial" w:eastAsia="Calibri" w:hAnsi="Arial" w:cs="Arial"/>
          <w:color w:val="000000" w:themeColor="text1"/>
          <w:sz w:val="20"/>
          <w:szCs w:val="20"/>
        </w:rPr>
        <w:t xml:space="preserve"> po konačnom dospijeću </w:t>
      </w:r>
      <w:proofErr w:type="spellStart"/>
      <w:r w:rsidRPr="003D1614">
        <w:rPr>
          <w:rFonts w:ascii="Arial" w:eastAsia="Calibri" w:hAnsi="Arial" w:cs="Arial"/>
          <w:color w:val="000000" w:themeColor="text1"/>
          <w:sz w:val="20"/>
          <w:szCs w:val="20"/>
        </w:rPr>
        <w:t>mezzanine</w:t>
      </w:r>
      <w:proofErr w:type="spellEnd"/>
      <w:r w:rsidRPr="003D1614">
        <w:rPr>
          <w:rFonts w:ascii="Arial" w:eastAsia="Calibri" w:hAnsi="Arial" w:cs="Arial"/>
          <w:color w:val="000000" w:themeColor="text1"/>
          <w:sz w:val="20"/>
          <w:szCs w:val="20"/>
        </w:rPr>
        <w:t xml:space="preserve"> kredita svoja potraživanja konvertirala u temeljni kapital dužnika.</w:t>
      </w:r>
    </w:p>
    <w:p w14:paraId="003F25CB" w14:textId="77777777" w:rsidR="003F032B" w:rsidRPr="003D1614" w:rsidRDefault="003F032B" w:rsidP="003F032B">
      <w:pPr>
        <w:suppressAutoHyphens/>
        <w:autoSpaceDN w:val="0"/>
        <w:jc w:val="both"/>
        <w:rPr>
          <w:rFonts w:ascii="Arial" w:eastAsia="Calibri" w:hAnsi="Arial" w:cs="Arial"/>
          <w:color w:val="000000" w:themeColor="text1"/>
          <w:sz w:val="20"/>
          <w:szCs w:val="20"/>
          <w:highlight w:val="yellow"/>
        </w:rPr>
      </w:pPr>
    </w:p>
    <w:p w14:paraId="1199A01C" w14:textId="125C1E2B" w:rsidR="003F032B" w:rsidRPr="003C78A7" w:rsidRDefault="003F032B" w:rsidP="003F032B">
      <w:pPr>
        <w:suppressAutoHyphens/>
        <w:autoSpaceDN w:val="0"/>
        <w:jc w:val="both"/>
        <w:rPr>
          <w:rFonts w:ascii="Arial" w:eastAsia="Calibri" w:hAnsi="Arial" w:cs="Arial"/>
          <w:color w:val="000000" w:themeColor="text1"/>
          <w:sz w:val="20"/>
          <w:szCs w:val="20"/>
        </w:rPr>
      </w:pPr>
      <w:r w:rsidRPr="00A17457">
        <w:rPr>
          <w:rFonts w:ascii="Arial" w:eastAsia="Calibri" w:hAnsi="Arial" w:cs="Arial"/>
          <w:color w:val="000000" w:themeColor="text1"/>
          <w:sz w:val="20"/>
          <w:szCs w:val="20"/>
        </w:rPr>
        <w:t>Dana 31. ožujka 202</w:t>
      </w:r>
      <w:r w:rsidR="00994966">
        <w:rPr>
          <w:rFonts w:ascii="Arial" w:eastAsia="Calibri" w:hAnsi="Arial" w:cs="Arial"/>
          <w:color w:val="000000" w:themeColor="text1"/>
          <w:sz w:val="20"/>
          <w:szCs w:val="20"/>
        </w:rPr>
        <w:t>4</w:t>
      </w:r>
      <w:r w:rsidRPr="00A17457">
        <w:rPr>
          <w:rFonts w:ascii="Arial" w:eastAsia="Calibri" w:hAnsi="Arial" w:cs="Arial"/>
          <w:color w:val="000000" w:themeColor="text1"/>
          <w:sz w:val="20"/>
          <w:szCs w:val="20"/>
        </w:rPr>
        <w:t xml:space="preserve">. tržišna cijena redovnih dionica dužnika koje bi Banka mogla upisati iznosila je </w:t>
      </w:r>
      <w:r w:rsidR="006A75E0">
        <w:rPr>
          <w:rFonts w:ascii="Arial" w:eastAsia="Calibri" w:hAnsi="Arial" w:cs="Arial"/>
          <w:color w:val="000000" w:themeColor="text1"/>
          <w:sz w:val="20"/>
          <w:szCs w:val="20"/>
        </w:rPr>
        <w:t xml:space="preserve"> 4.365</w:t>
      </w:r>
      <w:r w:rsidRPr="00A17457">
        <w:rPr>
          <w:rFonts w:ascii="Arial" w:eastAsia="Calibri" w:hAnsi="Arial" w:cs="Arial"/>
          <w:color w:val="000000" w:themeColor="text1"/>
          <w:sz w:val="20"/>
          <w:szCs w:val="20"/>
        </w:rPr>
        <w:t xml:space="preserve"> tisuća eura uz pretpostavku da su u tržišnu cijenu dionica uključena sva tržišna očekivanja vezana uz buduće poslovanje izdavatelja. Obzirom da je izračun napravljen pod pretpostavkom konverzije </w:t>
      </w:r>
      <w:proofErr w:type="spellStart"/>
      <w:r w:rsidRPr="00A17457">
        <w:rPr>
          <w:rFonts w:ascii="Arial" w:eastAsia="Calibri" w:hAnsi="Arial" w:cs="Arial"/>
          <w:color w:val="000000" w:themeColor="text1"/>
          <w:sz w:val="20"/>
          <w:szCs w:val="20"/>
        </w:rPr>
        <w:t>mezzanine</w:t>
      </w:r>
      <w:proofErr w:type="spellEnd"/>
      <w:r w:rsidRPr="00A17457">
        <w:rPr>
          <w:rFonts w:ascii="Arial" w:eastAsia="Calibri" w:hAnsi="Arial" w:cs="Arial"/>
          <w:color w:val="000000" w:themeColor="text1"/>
          <w:sz w:val="20"/>
          <w:szCs w:val="20"/>
        </w:rPr>
        <w:t xml:space="preserve"> duga dužnika u temeljni kapital dužnika s danom 31. ožujka 202</w:t>
      </w:r>
      <w:r w:rsidR="00994966">
        <w:rPr>
          <w:rFonts w:ascii="Arial" w:eastAsia="Calibri" w:hAnsi="Arial" w:cs="Arial"/>
          <w:color w:val="000000" w:themeColor="text1"/>
          <w:sz w:val="20"/>
          <w:szCs w:val="20"/>
        </w:rPr>
        <w:t>4</w:t>
      </w:r>
      <w:r w:rsidRPr="00A17457">
        <w:rPr>
          <w:rFonts w:ascii="Arial" w:eastAsia="Calibri" w:hAnsi="Arial" w:cs="Arial"/>
          <w:color w:val="000000" w:themeColor="text1"/>
          <w:sz w:val="20"/>
          <w:szCs w:val="20"/>
        </w:rPr>
        <w:t xml:space="preserve">., tržišnu vrijednost redovnih dionica dužnika koje bi Banka mogla upisati nije potrebno diskontirati te na ovaj način namirenja procijenjena fer vrijednost </w:t>
      </w:r>
      <w:proofErr w:type="spellStart"/>
      <w:r w:rsidRPr="00A17457">
        <w:rPr>
          <w:rFonts w:ascii="Arial" w:eastAsia="Calibri" w:hAnsi="Arial" w:cs="Arial"/>
          <w:color w:val="000000" w:themeColor="text1"/>
          <w:sz w:val="20"/>
          <w:szCs w:val="20"/>
        </w:rPr>
        <w:t>mezzanine</w:t>
      </w:r>
      <w:proofErr w:type="spellEnd"/>
      <w:r w:rsidRPr="00A17457">
        <w:rPr>
          <w:rFonts w:ascii="Arial" w:eastAsia="Calibri" w:hAnsi="Arial" w:cs="Arial"/>
          <w:color w:val="000000" w:themeColor="text1"/>
          <w:sz w:val="20"/>
          <w:szCs w:val="20"/>
        </w:rPr>
        <w:t xml:space="preserve"> kredita na dan 31. ožujka 202</w:t>
      </w:r>
      <w:r w:rsidR="00994966">
        <w:rPr>
          <w:rFonts w:ascii="Arial" w:eastAsia="Calibri" w:hAnsi="Arial" w:cs="Arial"/>
          <w:color w:val="000000" w:themeColor="text1"/>
          <w:sz w:val="20"/>
          <w:szCs w:val="20"/>
        </w:rPr>
        <w:t>4</w:t>
      </w:r>
      <w:r w:rsidRPr="00A17457">
        <w:rPr>
          <w:rFonts w:ascii="Arial" w:eastAsia="Calibri" w:hAnsi="Arial" w:cs="Arial"/>
          <w:color w:val="000000" w:themeColor="text1"/>
          <w:sz w:val="20"/>
          <w:szCs w:val="20"/>
        </w:rPr>
        <w:t xml:space="preserve">. iznosi </w:t>
      </w:r>
      <w:r w:rsidR="004E4FA5">
        <w:rPr>
          <w:rFonts w:ascii="Arial" w:eastAsia="Calibri" w:hAnsi="Arial" w:cs="Arial"/>
          <w:color w:val="000000" w:themeColor="text1"/>
          <w:sz w:val="20"/>
          <w:szCs w:val="20"/>
        </w:rPr>
        <w:t>4.365</w:t>
      </w:r>
      <w:r w:rsidRPr="00A17457">
        <w:rPr>
          <w:rFonts w:ascii="Arial" w:eastAsia="Calibri" w:hAnsi="Arial" w:cs="Arial"/>
          <w:color w:val="000000" w:themeColor="text1"/>
          <w:sz w:val="20"/>
          <w:szCs w:val="20"/>
        </w:rPr>
        <w:t xml:space="preserve"> tisuća eura tj. </w:t>
      </w:r>
      <w:r w:rsidR="004E4FA5">
        <w:rPr>
          <w:rFonts w:ascii="Arial" w:eastAsia="Calibri" w:hAnsi="Arial" w:cs="Arial"/>
          <w:color w:val="000000" w:themeColor="text1"/>
          <w:sz w:val="20"/>
          <w:szCs w:val="20"/>
        </w:rPr>
        <w:t>4.719</w:t>
      </w:r>
      <w:r w:rsidRPr="00A17457">
        <w:rPr>
          <w:rFonts w:ascii="Arial" w:eastAsia="Calibri" w:hAnsi="Arial" w:cs="Arial"/>
          <w:color w:val="000000" w:themeColor="text1"/>
          <w:sz w:val="20"/>
          <w:szCs w:val="20"/>
        </w:rPr>
        <w:t xml:space="preserve"> tisuća USD po tečaju na dan 31. ožujka 202</w:t>
      </w:r>
      <w:r w:rsidR="00994966">
        <w:rPr>
          <w:rFonts w:ascii="Arial" w:eastAsia="Calibri" w:hAnsi="Arial" w:cs="Arial"/>
          <w:color w:val="000000" w:themeColor="text1"/>
          <w:sz w:val="20"/>
          <w:szCs w:val="20"/>
        </w:rPr>
        <w:t>4</w:t>
      </w:r>
      <w:r w:rsidRPr="00A17457">
        <w:rPr>
          <w:rFonts w:ascii="Arial" w:eastAsia="Calibri" w:hAnsi="Arial" w:cs="Arial"/>
          <w:color w:val="000000" w:themeColor="text1"/>
          <w:sz w:val="20"/>
          <w:szCs w:val="20"/>
        </w:rPr>
        <w:t>.</w:t>
      </w:r>
    </w:p>
    <w:p w14:paraId="4DA010F6" w14:textId="77777777" w:rsidR="003F032B" w:rsidRPr="003C78A7" w:rsidRDefault="003F032B" w:rsidP="003F032B">
      <w:pPr>
        <w:suppressAutoHyphens/>
        <w:autoSpaceDN w:val="0"/>
        <w:jc w:val="both"/>
        <w:rPr>
          <w:rFonts w:ascii="Arial" w:eastAsia="Calibri" w:hAnsi="Arial" w:cs="Arial"/>
          <w:color w:val="000000" w:themeColor="text1"/>
          <w:sz w:val="20"/>
          <w:szCs w:val="20"/>
        </w:rPr>
      </w:pPr>
    </w:p>
    <w:p w14:paraId="10B79DD2" w14:textId="72FE2432" w:rsidR="003F032B" w:rsidRPr="003D1614" w:rsidRDefault="003F032B" w:rsidP="003F032B">
      <w:pPr>
        <w:suppressAutoHyphens/>
        <w:autoSpaceDN w:val="0"/>
        <w:jc w:val="both"/>
        <w:rPr>
          <w:rFonts w:ascii="Arial" w:eastAsia="Calibri" w:hAnsi="Arial" w:cs="Arial"/>
          <w:color w:val="000000" w:themeColor="text1"/>
          <w:sz w:val="20"/>
          <w:szCs w:val="20"/>
        </w:rPr>
      </w:pPr>
      <w:r w:rsidRPr="00A17457">
        <w:rPr>
          <w:rFonts w:ascii="Arial" w:eastAsia="Calibri" w:hAnsi="Arial" w:cs="Arial"/>
          <w:color w:val="000000" w:themeColor="text1"/>
          <w:sz w:val="20"/>
          <w:szCs w:val="20"/>
        </w:rPr>
        <w:t xml:space="preserve">Temeljem Rješenja u predstečajnom postupku, HBOR je preuzeo 50% tražbina dužnika kao senior dug i 50% tražbina kao </w:t>
      </w:r>
      <w:proofErr w:type="spellStart"/>
      <w:r w:rsidRPr="00A17457">
        <w:rPr>
          <w:rFonts w:ascii="Arial" w:eastAsia="Calibri" w:hAnsi="Arial" w:cs="Arial"/>
          <w:color w:val="000000" w:themeColor="text1"/>
          <w:sz w:val="20"/>
          <w:szCs w:val="20"/>
        </w:rPr>
        <w:t>mezzanine</w:t>
      </w:r>
      <w:proofErr w:type="spellEnd"/>
      <w:r w:rsidRPr="00A17457">
        <w:rPr>
          <w:rFonts w:ascii="Arial" w:eastAsia="Calibri" w:hAnsi="Arial" w:cs="Arial"/>
          <w:color w:val="000000" w:themeColor="text1"/>
          <w:sz w:val="20"/>
          <w:szCs w:val="20"/>
        </w:rPr>
        <w:t xml:space="preserve"> dug. </w:t>
      </w:r>
      <w:proofErr w:type="spellStart"/>
      <w:r w:rsidRPr="00A17457">
        <w:rPr>
          <w:rFonts w:ascii="Arial" w:eastAsia="Calibri" w:hAnsi="Arial" w:cs="Arial"/>
          <w:color w:val="000000" w:themeColor="text1"/>
          <w:sz w:val="20"/>
          <w:szCs w:val="20"/>
        </w:rPr>
        <w:t>Mezzanine</w:t>
      </w:r>
      <w:proofErr w:type="spellEnd"/>
      <w:r w:rsidRPr="00A17457">
        <w:rPr>
          <w:rFonts w:ascii="Arial" w:eastAsia="Calibri" w:hAnsi="Arial" w:cs="Arial"/>
          <w:color w:val="000000" w:themeColor="text1"/>
          <w:sz w:val="20"/>
          <w:szCs w:val="20"/>
        </w:rPr>
        <w:t xml:space="preserve"> dug je iskazan u visini od </w:t>
      </w:r>
      <w:r w:rsidR="006C1B0A">
        <w:rPr>
          <w:rFonts w:ascii="Arial" w:eastAsia="Calibri" w:hAnsi="Arial" w:cs="Arial"/>
          <w:color w:val="000000" w:themeColor="text1"/>
          <w:sz w:val="20"/>
          <w:szCs w:val="20"/>
        </w:rPr>
        <w:t xml:space="preserve"> 4.365</w:t>
      </w:r>
      <w:r w:rsidRPr="00A17457">
        <w:rPr>
          <w:rFonts w:ascii="Arial" w:eastAsia="Calibri" w:hAnsi="Arial" w:cs="Arial"/>
          <w:color w:val="000000" w:themeColor="text1"/>
          <w:sz w:val="20"/>
          <w:szCs w:val="20"/>
        </w:rPr>
        <w:t xml:space="preserve"> tisuća eura</w:t>
      </w:r>
      <w:r w:rsidRPr="003C78A7">
        <w:rPr>
          <w:rFonts w:ascii="Arial" w:eastAsia="Calibri" w:hAnsi="Arial" w:cs="Arial"/>
          <w:color w:val="000000" w:themeColor="text1"/>
          <w:sz w:val="20"/>
          <w:szCs w:val="20"/>
        </w:rPr>
        <w:t>.</w:t>
      </w:r>
    </w:p>
    <w:p w14:paraId="6F2E2EEB" w14:textId="77777777" w:rsidR="003F032B" w:rsidRDefault="003F032B" w:rsidP="003F032B">
      <w:pPr>
        <w:suppressAutoHyphens/>
        <w:autoSpaceDN w:val="0"/>
        <w:jc w:val="both"/>
        <w:rPr>
          <w:rFonts w:ascii="Arial" w:eastAsia="Calibri" w:hAnsi="Arial" w:cs="Arial"/>
          <w:color w:val="000000" w:themeColor="text1"/>
          <w:sz w:val="20"/>
          <w:szCs w:val="20"/>
        </w:rPr>
      </w:pPr>
    </w:p>
    <w:p w14:paraId="47EC409D" w14:textId="07CE7503" w:rsidR="005D1254" w:rsidRPr="005D1219" w:rsidRDefault="00E93E1E" w:rsidP="005D1254">
      <w:pPr>
        <w:suppressAutoHyphens/>
        <w:autoSpaceDN w:val="0"/>
        <w:jc w:val="both"/>
      </w:pPr>
      <w:bookmarkStart w:id="992" w:name="_Hlk142485984"/>
      <w:r w:rsidRPr="005D1219">
        <w:rPr>
          <w:rFonts w:ascii="Arial" w:eastAsia="Calibri" w:hAnsi="Arial" w:cs="Arial"/>
          <w:sz w:val="20"/>
          <w:szCs w:val="20"/>
        </w:rPr>
        <w:t>Banka ima</w:t>
      </w:r>
      <w:r w:rsidR="005D1254" w:rsidRPr="005D1219">
        <w:rPr>
          <w:rFonts w:ascii="Arial" w:eastAsia="Calibri" w:hAnsi="Arial" w:cs="Arial"/>
          <w:sz w:val="20"/>
          <w:szCs w:val="20"/>
        </w:rPr>
        <w:t xml:space="preserve"> plasiran  </w:t>
      </w:r>
      <w:proofErr w:type="spellStart"/>
      <w:r w:rsidR="005D1254" w:rsidRPr="005D1219">
        <w:rPr>
          <w:rFonts w:ascii="Arial" w:eastAsia="Calibri" w:hAnsi="Arial" w:cs="Arial"/>
          <w:sz w:val="20"/>
          <w:szCs w:val="20"/>
        </w:rPr>
        <w:t>mezzanin</w:t>
      </w:r>
      <w:proofErr w:type="spellEnd"/>
      <w:r w:rsidR="005D1254" w:rsidRPr="005D1219">
        <w:rPr>
          <w:rFonts w:ascii="Arial" w:eastAsia="Calibri" w:hAnsi="Arial" w:cs="Arial"/>
          <w:sz w:val="20"/>
          <w:szCs w:val="20"/>
        </w:rPr>
        <w:t xml:space="preserve"> kredit u visini od 30.000 tisuća eura. Fer vrijednost ovog </w:t>
      </w:r>
      <w:proofErr w:type="spellStart"/>
      <w:r w:rsidR="005D1254" w:rsidRPr="005D1219">
        <w:rPr>
          <w:rFonts w:ascii="Arial" w:eastAsia="Calibri" w:hAnsi="Arial" w:cs="Arial"/>
          <w:sz w:val="20"/>
          <w:szCs w:val="20"/>
        </w:rPr>
        <w:t>mezzanine</w:t>
      </w:r>
      <w:proofErr w:type="spellEnd"/>
      <w:r w:rsidR="005D1254" w:rsidRPr="005D1219">
        <w:rPr>
          <w:rFonts w:ascii="Arial" w:eastAsia="Calibri" w:hAnsi="Arial" w:cs="Arial"/>
          <w:sz w:val="20"/>
          <w:szCs w:val="20"/>
        </w:rPr>
        <w:t xml:space="preserve"> duga na </w:t>
      </w:r>
      <w:r w:rsidR="00A83F79" w:rsidRPr="005D1219">
        <w:rPr>
          <w:rFonts w:ascii="Arial" w:eastAsia="Calibri" w:hAnsi="Arial" w:cs="Arial"/>
          <w:sz w:val="20"/>
          <w:szCs w:val="20"/>
        </w:rPr>
        <w:t xml:space="preserve">31. ožujka 2024. iznosi </w:t>
      </w:r>
      <w:r w:rsidRPr="005D1219">
        <w:rPr>
          <w:rFonts w:ascii="Arial" w:eastAsia="Calibri" w:hAnsi="Arial" w:cs="Arial"/>
          <w:sz w:val="20"/>
          <w:szCs w:val="20"/>
        </w:rPr>
        <w:t>28.907</w:t>
      </w:r>
      <w:r w:rsidR="00A83F79" w:rsidRPr="005D1219">
        <w:rPr>
          <w:rFonts w:ascii="Arial" w:eastAsia="Calibri" w:hAnsi="Arial" w:cs="Arial"/>
          <w:sz w:val="20"/>
          <w:szCs w:val="20"/>
        </w:rPr>
        <w:t xml:space="preserve"> tisuća eura (</w:t>
      </w:r>
      <w:r w:rsidR="005D1254" w:rsidRPr="005D1219">
        <w:rPr>
          <w:rFonts w:ascii="Arial" w:eastAsia="Calibri" w:hAnsi="Arial" w:cs="Arial"/>
          <w:sz w:val="20"/>
          <w:szCs w:val="20"/>
        </w:rPr>
        <w:t>31. prosinca 2023.</w:t>
      </w:r>
      <w:r w:rsidR="00A83F79" w:rsidRPr="005D1219">
        <w:rPr>
          <w:rFonts w:ascii="Arial" w:eastAsia="Calibri" w:hAnsi="Arial" w:cs="Arial"/>
          <w:sz w:val="20"/>
          <w:szCs w:val="20"/>
        </w:rPr>
        <w:t xml:space="preserve">: </w:t>
      </w:r>
      <w:r w:rsidR="005D1254" w:rsidRPr="005D1219">
        <w:rPr>
          <w:rFonts w:ascii="Arial" w:eastAsia="Calibri" w:hAnsi="Arial" w:cs="Arial"/>
          <w:sz w:val="20"/>
          <w:szCs w:val="20"/>
        </w:rPr>
        <w:t>28.810 tisuća eura</w:t>
      </w:r>
      <w:r w:rsidR="00A83F79" w:rsidRPr="005D1219">
        <w:rPr>
          <w:rFonts w:ascii="Arial" w:eastAsia="Calibri" w:hAnsi="Arial" w:cs="Arial"/>
          <w:sz w:val="20"/>
          <w:szCs w:val="20"/>
        </w:rPr>
        <w:t>)</w:t>
      </w:r>
      <w:r w:rsidR="005D1254" w:rsidRPr="005D1219">
        <w:rPr>
          <w:rFonts w:ascii="Arial" w:eastAsia="Calibri" w:hAnsi="Arial" w:cs="Arial"/>
          <w:sz w:val="20"/>
          <w:szCs w:val="20"/>
        </w:rPr>
        <w:t>. Fer vrijednost je izračunata koristeći podatke sa Bloomberg platforme – krivulje potrebne za revalorizaciju i projekcija varijabilne kamatne stope uz korištenje premije za rizik likvidnosti.</w:t>
      </w:r>
    </w:p>
    <w:p w14:paraId="4D77A080" w14:textId="77777777" w:rsidR="005D1254" w:rsidRPr="005D1219" w:rsidRDefault="005D1254" w:rsidP="005D1254">
      <w:pPr>
        <w:suppressAutoHyphens/>
        <w:autoSpaceDN w:val="0"/>
        <w:rPr>
          <w:rFonts w:ascii="Arial" w:eastAsia="Calibri" w:hAnsi="Arial" w:cs="Arial"/>
          <w:sz w:val="20"/>
          <w:szCs w:val="20"/>
        </w:rPr>
      </w:pPr>
    </w:p>
    <w:p w14:paraId="015523B3" w14:textId="166BB8CD" w:rsidR="005D1254" w:rsidRPr="005D1219" w:rsidRDefault="005D1254" w:rsidP="00D91608">
      <w:pPr>
        <w:suppressAutoHyphens/>
        <w:autoSpaceDN w:val="0"/>
        <w:jc w:val="both"/>
        <w:rPr>
          <w:rFonts w:ascii="Arial" w:eastAsia="Calibri" w:hAnsi="Arial" w:cs="Arial"/>
          <w:sz w:val="20"/>
          <w:szCs w:val="20"/>
        </w:rPr>
        <w:sectPr w:rsidR="005D1254" w:rsidRPr="005D1219" w:rsidSect="003278AB">
          <w:footerReference w:type="default" r:id="rId27"/>
          <w:pgSz w:w="11906" w:h="16838"/>
          <w:pgMar w:top="1417" w:right="1417" w:bottom="1417" w:left="1417" w:header="708" w:footer="708" w:gutter="0"/>
          <w:cols w:space="708"/>
          <w:docGrid w:linePitch="360"/>
        </w:sectPr>
      </w:pPr>
      <w:r w:rsidRPr="005D1219">
        <w:rPr>
          <w:rFonts w:ascii="Arial" w:eastAsia="Calibri" w:hAnsi="Arial" w:cs="Arial"/>
          <w:sz w:val="20"/>
          <w:szCs w:val="20"/>
        </w:rPr>
        <w:t xml:space="preserve">Ukupna fer vrijednost </w:t>
      </w:r>
      <w:proofErr w:type="spellStart"/>
      <w:r w:rsidRPr="005D1219">
        <w:rPr>
          <w:rFonts w:ascii="Arial" w:eastAsia="Calibri" w:hAnsi="Arial" w:cs="Arial"/>
          <w:sz w:val="20"/>
          <w:szCs w:val="20"/>
        </w:rPr>
        <w:t>mezzanine</w:t>
      </w:r>
      <w:proofErr w:type="spellEnd"/>
      <w:r w:rsidRPr="005D1219">
        <w:rPr>
          <w:rFonts w:ascii="Arial" w:eastAsia="Calibri" w:hAnsi="Arial" w:cs="Arial"/>
          <w:sz w:val="20"/>
          <w:szCs w:val="20"/>
        </w:rPr>
        <w:t xml:space="preserve"> duga na 31. </w:t>
      </w:r>
      <w:r w:rsidR="00A83F79" w:rsidRPr="005D1219">
        <w:rPr>
          <w:rFonts w:ascii="Arial" w:eastAsia="Calibri" w:hAnsi="Arial" w:cs="Arial"/>
          <w:sz w:val="20"/>
          <w:szCs w:val="20"/>
        </w:rPr>
        <w:t xml:space="preserve">ožujka 2024.  iznosi </w:t>
      </w:r>
      <w:r w:rsidR="001B3EC2" w:rsidRPr="005D1219">
        <w:rPr>
          <w:rFonts w:ascii="Arial" w:eastAsia="Calibri" w:hAnsi="Arial" w:cs="Arial"/>
          <w:sz w:val="20"/>
          <w:szCs w:val="20"/>
        </w:rPr>
        <w:t>33.272</w:t>
      </w:r>
      <w:r w:rsidR="00A83F79" w:rsidRPr="005D1219">
        <w:rPr>
          <w:rFonts w:ascii="Arial" w:eastAsia="Calibri" w:hAnsi="Arial" w:cs="Arial"/>
          <w:sz w:val="20"/>
          <w:szCs w:val="20"/>
        </w:rPr>
        <w:t xml:space="preserve"> tisuća kuna (31.</w:t>
      </w:r>
      <w:r w:rsidRPr="005D1219">
        <w:rPr>
          <w:rFonts w:ascii="Arial" w:eastAsia="Calibri" w:hAnsi="Arial" w:cs="Arial"/>
          <w:sz w:val="20"/>
          <w:szCs w:val="20"/>
        </w:rPr>
        <w:t>prosinca 2023.</w:t>
      </w:r>
      <w:r w:rsidR="00A83F79" w:rsidRPr="005D1219">
        <w:rPr>
          <w:rFonts w:ascii="Arial" w:eastAsia="Calibri" w:hAnsi="Arial" w:cs="Arial"/>
          <w:sz w:val="20"/>
          <w:szCs w:val="20"/>
        </w:rPr>
        <w:t>:</w:t>
      </w:r>
      <w:r w:rsidRPr="005D1219">
        <w:rPr>
          <w:rFonts w:ascii="Arial" w:eastAsia="Calibri" w:hAnsi="Arial" w:cs="Arial"/>
          <w:sz w:val="20"/>
          <w:szCs w:val="20"/>
        </w:rPr>
        <w:t xml:space="preserve"> 33.698 tisuća eura</w:t>
      </w:r>
      <w:r w:rsidR="00A83F79" w:rsidRPr="005D1219">
        <w:rPr>
          <w:rFonts w:ascii="Arial" w:eastAsia="Calibri" w:hAnsi="Arial" w:cs="Arial"/>
          <w:sz w:val="20"/>
          <w:szCs w:val="20"/>
        </w:rPr>
        <w:t>)</w:t>
      </w:r>
      <w:r w:rsidRPr="005D1219">
        <w:rPr>
          <w:rFonts w:ascii="Arial" w:eastAsia="Calibri" w:hAnsi="Arial" w:cs="Arial"/>
          <w:sz w:val="20"/>
          <w:szCs w:val="20"/>
        </w:rPr>
        <w:t>.</w:t>
      </w:r>
    </w:p>
    <w:bookmarkEnd w:id="992"/>
    <w:p w14:paraId="1470F5F4" w14:textId="77777777" w:rsidR="005D1254" w:rsidRPr="003D1614" w:rsidRDefault="005D1254" w:rsidP="003F032B">
      <w:pPr>
        <w:suppressAutoHyphens/>
        <w:autoSpaceDN w:val="0"/>
        <w:jc w:val="both"/>
        <w:rPr>
          <w:rFonts w:ascii="Arial" w:eastAsia="Calibri" w:hAnsi="Arial" w:cs="Arial"/>
          <w:color w:val="000000" w:themeColor="text1"/>
          <w:sz w:val="20"/>
          <w:szCs w:val="20"/>
        </w:rPr>
      </w:pPr>
    </w:p>
    <w:p w14:paraId="267AEAE5" w14:textId="77777777" w:rsidR="00A01719" w:rsidRPr="003D1614" w:rsidRDefault="00A01719" w:rsidP="00A01719">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 </w:t>
      </w:r>
      <w:r w:rsidRPr="003D1614">
        <w:rPr>
          <w:rFonts w:ascii="Arial" w:eastAsia="Times New Roman" w:hAnsi="Arial" w:cs="Arial"/>
          <w:b/>
          <w:bCs/>
          <w:color w:val="000000" w:themeColor="text1"/>
          <w:spacing w:val="-3"/>
          <w:sz w:val="20"/>
          <w:szCs w:val="20"/>
        </w:rPr>
        <w:tab/>
        <w:t>Fer vrijednost financijske imovine i financijskih obveza (nastavak)</w:t>
      </w:r>
    </w:p>
    <w:p w14:paraId="549224B6" w14:textId="77777777" w:rsidR="00A01719" w:rsidRPr="003D1614" w:rsidRDefault="00A01719" w:rsidP="00A01719">
      <w:pPr>
        <w:keepNext/>
        <w:suppressAutoHyphens/>
        <w:autoSpaceDN w:val="0"/>
        <w:ind w:left="709" w:hanging="709"/>
        <w:jc w:val="both"/>
        <w:outlineLvl w:val="0"/>
        <w:rPr>
          <w:rFonts w:ascii="Arial" w:eastAsia="Times New Roman" w:hAnsi="Arial" w:cs="Arial"/>
          <w:bCs/>
          <w:color w:val="000000" w:themeColor="text1"/>
          <w:spacing w:val="-3"/>
          <w:sz w:val="12"/>
          <w:szCs w:val="12"/>
        </w:rPr>
      </w:pPr>
    </w:p>
    <w:p w14:paraId="05974BF0" w14:textId="77777777" w:rsidR="00A01719" w:rsidRPr="003D1614" w:rsidRDefault="00A01719" w:rsidP="00A01719">
      <w:pPr>
        <w:keepNext/>
        <w:suppressAutoHyphens/>
        <w:autoSpaceDN w:val="0"/>
        <w:ind w:left="709" w:hanging="709"/>
        <w:jc w:val="both"/>
        <w:outlineLvl w:val="0"/>
        <w:rPr>
          <w:rFonts w:ascii="Arial" w:eastAsia="Times New Roman" w:hAnsi="Arial" w:cs="Arial"/>
          <w:b/>
          <w:bCs/>
          <w:color w:val="000000" w:themeColor="text1"/>
          <w:spacing w:val="-3"/>
          <w:sz w:val="14"/>
          <w:szCs w:val="14"/>
        </w:rPr>
      </w:pPr>
    </w:p>
    <w:p w14:paraId="1848E64B" w14:textId="77777777" w:rsidR="00A01719" w:rsidRDefault="00A01719" w:rsidP="00A01719">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.1. </w:t>
      </w:r>
      <w:r w:rsidRPr="003D1614">
        <w:rPr>
          <w:rFonts w:ascii="Arial" w:eastAsia="Times New Roman" w:hAnsi="Arial" w:cs="Arial"/>
          <w:b/>
          <w:bCs/>
          <w:color w:val="000000" w:themeColor="text1"/>
          <w:spacing w:val="-3"/>
          <w:sz w:val="20"/>
          <w:szCs w:val="20"/>
        </w:rPr>
        <w:tab/>
        <w:t>Fer vrijednost financijske imovine i financijskih obveza koji se vode po fer vrijednosti (nastavak)</w:t>
      </w:r>
    </w:p>
    <w:p w14:paraId="3FB79640" w14:textId="77777777" w:rsidR="00A01719" w:rsidRPr="003D1614" w:rsidRDefault="00A01719" w:rsidP="00A01719">
      <w:pPr>
        <w:keepNext/>
        <w:suppressAutoHyphens/>
        <w:autoSpaceDN w:val="0"/>
        <w:ind w:left="709" w:hanging="709"/>
        <w:jc w:val="both"/>
        <w:outlineLvl w:val="0"/>
        <w:rPr>
          <w:rFonts w:ascii="Arial" w:eastAsia="Times New Roman" w:hAnsi="Arial" w:cs="Arial"/>
          <w:b/>
          <w:bCs/>
          <w:color w:val="000000" w:themeColor="text1"/>
          <w:spacing w:val="-3"/>
          <w:sz w:val="20"/>
          <w:szCs w:val="20"/>
        </w:rPr>
      </w:pPr>
    </w:p>
    <w:p w14:paraId="010BE846" w14:textId="26777C47" w:rsidR="00A01719" w:rsidRPr="003D1614" w:rsidRDefault="00A01719" w:rsidP="00A01719">
      <w:pPr>
        <w:suppressAutoHyphens/>
        <w:autoSpaceDN w:val="0"/>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Pr>
          <w:rFonts w:ascii="Arial" w:eastAsia="Calibri" w:hAnsi="Arial" w:cs="Arial"/>
          <w:b/>
          <w:color w:val="000000" w:themeColor="text1"/>
          <w:sz w:val="20"/>
          <w:szCs w:val="20"/>
        </w:rPr>
        <w:t>4</w:t>
      </w:r>
      <w:r w:rsidRPr="003D1614">
        <w:rPr>
          <w:rFonts w:ascii="Arial" w:eastAsia="Calibri" w:hAnsi="Arial" w:cs="Arial"/>
          <w:b/>
          <w:color w:val="000000" w:themeColor="text1"/>
          <w:sz w:val="20"/>
          <w:szCs w:val="20"/>
        </w:rPr>
        <w:t xml:space="preserve">.1.1. </w:t>
      </w:r>
      <w:r w:rsidRPr="003D1614">
        <w:rPr>
          <w:rFonts w:ascii="Arial" w:eastAsia="Calibri" w:hAnsi="Arial" w:cs="Arial"/>
          <w:b/>
          <w:color w:val="000000" w:themeColor="text1"/>
          <w:sz w:val="20"/>
          <w:szCs w:val="20"/>
        </w:rPr>
        <w:tab/>
        <w:t>Razina 3 - fer vrijednosti</w:t>
      </w:r>
      <w:r>
        <w:rPr>
          <w:rFonts w:ascii="Arial" w:eastAsia="Calibri" w:hAnsi="Arial" w:cs="Arial"/>
          <w:b/>
          <w:color w:val="000000" w:themeColor="text1"/>
          <w:sz w:val="20"/>
          <w:szCs w:val="20"/>
        </w:rPr>
        <w:t xml:space="preserve"> (nastavak)</w:t>
      </w:r>
    </w:p>
    <w:p w14:paraId="59CADEF6" w14:textId="77777777" w:rsidR="003F032B" w:rsidRPr="003D1614" w:rsidRDefault="003F032B" w:rsidP="003F032B">
      <w:pPr>
        <w:suppressAutoHyphens/>
        <w:autoSpaceDN w:val="0"/>
        <w:rPr>
          <w:rFonts w:ascii="Arial" w:eastAsia="Calibri" w:hAnsi="Arial" w:cs="Arial"/>
          <w:color w:val="000000" w:themeColor="text1"/>
          <w:sz w:val="20"/>
          <w:szCs w:val="20"/>
        </w:rPr>
      </w:pPr>
    </w:p>
    <w:p w14:paraId="56D86B4B" w14:textId="77777777" w:rsidR="003F032B" w:rsidRPr="003D1614" w:rsidRDefault="003F032B" w:rsidP="003F032B">
      <w:pPr>
        <w:tabs>
          <w:tab w:val="left" w:pos="284"/>
        </w:tabs>
        <w:suppressAutoHyphens/>
        <w:autoSpaceDN w:val="0"/>
        <w:rPr>
          <w:rFonts w:ascii="Arial" w:eastAsia="Calibri" w:hAnsi="Arial" w:cs="Arial"/>
          <w:b/>
          <w:i/>
          <w:color w:val="000000" w:themeColor="text1"/>
          <w:sz w:val="20"/>
          <w:szCs w:val="20"/>
        </w:rPr>
      </w:pPr>
      <w:r w:rsidRPr="003D1614">
        <w:rPr>
          <w:rFonts w:ascii="Arial" w:eastAsia="Calibri" w:hAnsi="Arial" w:cs="Arial"/>
          <w:b/>
          <w:i/>
          <w:color w:val="000000" w:themeColor="text1"/>
          <w:sz w:val="20"/>
          <w:szCs w:val="20"/>
        </w:rPr>
        <w:t xml:space="preserve">b) </w:t>
      </w:r>
      <w:r w:rsidRPr="003D1614">
        <w:rPr>
          <w:rFonts w:ascii="Arial" w:eastAsia="Calibri" w:hAnsi="Arial" w:cs="Arial"/>
          <w:b/>
          <w:i/>
          <w:color w:val="000000" w:themeColor="text1"/>
          <w:sz w:val="20"/>
          <w:szCs w:val="20"/>
        </w:rPr>
        <w:tab/>
        <w:t>Korporativne obveznice koje su raspoređene u razinu 3</w:t>
      </w:r>
    </w:p>
    <w:p w14:paraId="4798F39D" w14:textId="77777777" w:rsidR="003F032B" w:rsidRPr="003D1614" w:rsidRDefault="003F032B" w:rsidP="003F032B">
      <w:pPr>
        <w:suppressAutoHyphens/>
        <w:autoSpaceDN w:val="0"/>
        <w:rPr>
          <w:rFonts w:ascii="Arial" w:eastAsia="Calibri" w:hAnsi="Arial" w:cs="Arial"/>
          <w:b/>
          <w:i/>
          <w:color w:val="000000" w:themeColor="text1"/>
          <w:sz w:val="20"/>
          <w:szCs w:val="20"/>
        </w:rPr>
      </w:pPr>
    </w:p>
    <w:p w14:paraId="51C69FEE" w14:textId="77777777" w:rsidR="003F032B" w:rsidRPr="003D1614" w:rsidRDefault="003F032B" w:rsidP="003F032B">
      <w:pPr>
        <w:suppressAutoHyphens/>
        <w:autoSpaceDN w:val="0"/>
        <w:rPr>
          <w:rFonts w:ascii="Arial" w:eastAsia="Calibri" w:hAnsi="Arial" w:cs="Arial"/>
          <w:i/>
          <w:color w:val="000000" w:themeColor="text1"/>
          <w:sz w:val="20"/>
          <w:szCs w:val="20"/>
        </w:rPr>
      </w:pPr>
      <w:r w:rsidRPr="003D1614">
        <w:rPr>
          <w:rFonts w:ascii="Arial" w:eastAsia="Calibri" w:hAnsi="Arial" w:cs="Arial"/>
          <w:i/>
          <w:color w:val="000000" w:themeColor="text1"/>
          <w:sz w:val="20"/>
          <w:szCs w:val="20"/>
        </w:rPr>
        <w:t>(i) Tehnike vrednovanja i značajni ulazni podaci koji nisu vidljivi</w:t>
      </w:r>
    </w:p>
    <w:p w14:paraId="4BF25BC1" w14:textId="77777777" w:rsidR="003F032B" w:rsidRPr="003D1614" w:rsidRDefault="003F032B" w:rsidP="003F032B">
      <w:pPr>
        <w:suppressAutoHyphens/>
        <w:autoSpaceDN w:val="0"/>
        <w:jc w:val="both"/>
        <w:rPr>
          <w:rFonts w:ascii="Arial" w:eastAsia="Calibri" w:hAnsi="Arial" w:cs="Arial"/>
          <w:b/>
          <w:i/>
          <w:color w:val="000000" w:themeColor="text1"/>
          <w:sz w:val="20"/>
          <w:szCs w:val="20"/>
        </w:rPr>
      </w:pPr>
    </w:p>
    <w:p w14:paraId="2BB6E357" w14:textId="3B0EAC41" w:rsidR="003F032B" w:rsidRPr="003D1614" w:rsidRDefault="003F032B" w:rsidP="003F032B">
      <w:pPr>
        <w:tabs>
          <w:tab w:val="right" w:pos="1202"/>
        </w:tabs>
        <w:suppressAutoHyphens/>
        <w:autoSpaceDN w:val="0"/>
        <w:jc w:val="both"/>
        <w:outlineLvl w:val="0"/>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Za procjenu fer vrijednosti nelikvidnih korporativnih obveznica u portfelju HBOR-a koristi se metoda diskontiranog novčanog tijeka obveznice. Fer vrijednost obveznica je sadašnja vrijednost svih budućih novčanih tijekova obveznica izračunata primjenom diskontne stope definirane kao prinos na nerizična ulaganja uvećan za premiju specifičnog kreditnog rizika za promatranu obveznicu i premiju rizika likvidnosti obveznice</w:t>
      </w:r>
      <w:r>
        <w:rPr>
          <w:rFonts w:ascii="Arial" w:eastAsia="Calibri" w:hAnsi="Arial" w:cs="Arial"/>
          <w:color w:val="000000" w:themeColor="text1"/>
          <w:sz w:val="20"/>
          <w:szCs w:val="20"/>
        </w:rPr>
        <w:t>.</w:t>
      </w:r>
    </w:p>
    <w:p w14:paraId="5D205403" w14:textId="77777777" w:rsidR="003F032B" w:rsidRDefault="003F032B" w:rsidP="00F208CA">
      <w:pPr>
        <w:tabs>
          <w:tab w:val="left" w:pos="3068"/>
        </w:tabs>
        <w:rPr>
          <w:rFonts w:ascii="Arial" w:eastAsia="Times New Roman" w:hAnsi="Arial" w:cs="Arial"/>
          <w:sz w:val="18"/>
          <w:szCs w:val="18"/>
        </w:rPr>
      </w:pPr>
    </w:p>
    <w:p w14:paraId="72669D38" w14:textId="77777777" w:rsidR="00DF6E3A" w:rsidRPr="003D1614" w:rsidRDefault="00DF6E3A" w:rsidP="00DF6E3A">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Visina diskontne stope na nerizična ulaganja izračunava se kao linearno interpolirani/ekstrapolirani prinos obveznica Republike Hrvatske istog trajanja (</w:t>
      </w:r>
      <w:proofErr w:type="spellStart"/>
      <w:r w:rsidRPr="003D1614">
        <w:rPr>
          <w:rFonts w:ascii="Arial" w:eastAsia="Calibri" w:hAnsi="Arial" w:cs="Arial"/>
          <w:color w:val="000000" w:themeColor="text1"/>
          <w:sz w:val="20"/>
          <w:szCs w:val="20"/>
        </w:rPr>
        <w:t>duracije</w:t>
      </w:r>
      <w:proofErr w:type="spellEnd"/>
      <w:r w:rsidRPr="003D1614">
        <w:rPr>
          <w:rFonts w:ascii="Arial" w:eastAsia="Calibri" w:hAnsi="Arial" w:cs="Arial"/>
          <w:color w:val="000000" w:themeColor="text1"/>
          <w:sz w:val="20"/>
          <w:szCs w:val="20"/>
        </w:rPr>
        <w:t>) i iste devize kao vrednovane obveznice. Izvor informacija o prinosima na obveznice Republike Hrvatske je informacijski sustav Bloomberg.</w:t>
      </w:r>
    </w:p>
    <w:p w14:paraId="65AA62FB" w14:textId="77777777" w:rsidR="00DF6E3A" w:rsidRPr="003D1614" w:rsidRDefault="00DF6E3A" w:rsidP="00DF6E3A">
      <w:pPr>
        <w:suppressAutoHyphens/>
        <w:autoSpaceDN w:val="0"/>
        <w:jc w:val="both"/>
        <w:rPr>
          <w:rFonts w:ascii="Arial" w:eastAsia="Calibri" w:hAnsi="Arial" w:cs="Arial"/>
          <w:color w:val="000000" w:themeColor="text1"/>
          <w:sz w:val="20"/>
          <w:szCs w:val="20"/>
        </w:rPr>
      </w:pPr>
    </w:p>
    <w:p w14:paraId="54A417EA" w14:textId="77777777" w:rsidR="00DF6E3A" w:rsidRPr="003D1614" w:rsidRDefault="00DF6E3A" w:rsidP="00DF6E3A">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Premija iznosa specifičnog rizika za promatranu obveznicu ovisi o HBOR-ovom internom kreditnom rejtingu izdavatelja obveznice, odnosno ako je izdavatelj član poslovne grupacije, premija rizika ovisi o internom kreditnom rejtingu matičnog društva. </w:t>
      </w:r>
    </w:p>
    <w:p w14:paraId="363658F4" w14:textId="77777777" w:rsidR="00DF6E3A" w:rsidRPr="003D1614" w:rsidRDefault="00DF6E3A" w:rsidP="00DF6E3A">
      <w:pPr>
        <w:suppressAutoHyphens/>
        <w:autoSpaceDN w:val="0"/>
        <w:ind w:left="708"/>
        <w:rPr>
          <w:rFonts w:ascii="Arial" w:eastAsia="Calibri" w:hAnsi="Arial" w:cs="Arial"/>
          <w:b/>
          <w:i/>
          <w:color w:val="000000" w:themeColor="text1"/>
          <w:sz w:val="20"/>
          <w:szCs w:val="20"/>
        </w:rPr>
      </w:pPr>
      <w:r w:rsidRPr="003D1614">
        <w:rPr>
          <w:rFonts w:ascii="Arial" w:eastAsia="Calibri" w:hAnsi="Arial" w:cs="Arial"/>
          <w:color w:val="000000" w:themeColor="text1"/>
          <w:sz w:val="20"/>
          <w:szCs w:val="20"/>
        </w:rPr>
        <w:t> </w:t>
      </w:r>
    </w:p>
    <w:p w14:paraId="5DFF6686" w14:textId="3D24D48F" w:rsidR="00DF6E3A" w:rsidRPr="003D1614" w:rsidRDefault="00DF6E3A" w:rsidP="00DF6E3A">
      <w:pPr>
        <w:keepNext/>
        <w:tabs>
          <w:tab w:val="left" w:pos="567"/>
        </w:tabs>
        <w:suppressAutoHyphens/>
        <w:autoSpaceDN w:val="0"/>
        <w:jc w:val="both"/>
        <w:rPr>
          <w:rFonts w:ascii="Arial" w:eastAsia="Times New Roman" w:hAnsi="Arial" w:cs="Arial"/>
          <w:bCs/>
          <w:i/>
          <w:color w:val="000000" w:themeColor="text1"/>
          <w:sz w:val="20"/>
          <w:szCs w:val="20"/>
        </w:rPr>
      </w:pPr>
      <w:r w:rsidRPr="003D1614">
        <w:rPr>
          <w:rFonts w:ascii="Arial" w:eastAsia="Times New Roman" w:hAnsi="Arial" w:cs="Arial"/>
          <w:bCs/>
          <w:i/>
          <w:color w:val="000000" w:themeColor="text1"/>
          <w:spacing w:val="-3"/>
          <w:sz w:val="20"/>
          <w:szCs w:val="20"/>
        </w:rPr>
        <w:t xml:space="preserve">(ii) Analiza senzitivnosti korporativne obveznice </w:t>
      </w:r>
      <w:r w:rsidRPr="003D1614">
        <w:rPr>
          <w:rFonts w:ascii="Arial" w:eastAsia="Times New Roman" w:hAnsi="Arial" w:cs="Arial"/>
          <w:bCs/>
          <w:i/>
          <w:color w:val="000000" w:themeColor="text1"/>
          <w:sz w:val="20"/>
          <w:szCs w:val="20"/>
        </w:rPr>
        <w:t>s iskazanim potencijalnim učinkom na dobit/gubitak na dan 31. ožujka 202</w:t>
      </w:r>
      <w:r w:rsidR="00F73690">
        <w:rPr>
          <w:rFonts w:ascii="Arial" w:eastAsia="Times New Roman" w:hAnsi="Arial" w:cs="Arial"/>
          <w:bCs/>
          <w:i/>
          <w:color w:val="000000" w:themeColor="text1"/>
          <w:sz w:val="20"/>
          <w:szCs w:val="20"/>
        </w:rPr>
        <w:t>4</w:t>
      </w:r>
      <w:r w:rsidRPr="003D1614">
        <w:rPr>
          <w:rFonts w:ascii="Arial" w:eastAsia="Times New Roman" w:hAnsi="Arial" w:cs="Arial"/>
          <w:bCs/>
          <w:i/>
          <w:color w:val="000000" w:themeColor="text1"/>
          <w:sz w:val="20"/>
          <w:szCs w:val="20"/>
        </w:rPr>
        <w:t>., uz pretpostavku promjene diskontirane stope (prinosa) za 2% i za 10%</w:t>
      </w:r>
    </w:p>
    <w:p w14:paraId="2A0D1360" w14:textId="77777777" w:rsidR="00DF6E3A" w:rsidRPr="003D1614" w:rsidRDefault="00DF6E3A" w:rsidP="00DF6E3A">
      <w:pPr>
        <w:suppressAutoHyphens/>
        <w:autoSpaceDN w:val="0"/>
        <w:jc w:val="both"/>
        <w:rPr>
          <w:rFonts w:ascii="Arial" w:eastAsia="Calibri" w:hAnsi="Arial" w:cs="Arial"/>
          <w:i/>
          <w:color w:val="000000" w:themeColor="text1"/>
          <w:sz w:val="20"/>
          <w:szCs w:val="20"/>
        </w:rPr>
      </w:pPr>
    </w:p>
    <w:p w14:paraId="52AD048B" w14:textId="6AA02CA3" w:rsidR="00DF6E3A" w:rsidRPr="003D1614" w:rsidRDefault="00DF6E3A" w:rsidP="00DF6E3A">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Pod pretpostavkom da se tržišne kamatne stope promjene za 2% u odnosu na važeće na dan 31. ožujka 202</w:t>
      </w:r>
      <w:r w:rsidR="00F73690">
        <w:rPr>
          <w:rFonts w:ascii="Arial" w:eastAsia="Calibri" w:hAnsi="Arial" w:cs="Arial"/>
          <w:color w:val="000000" w:themeColor="text1"/>
          <w:sz w:val="20"/>
          <w:szCs w:val="20"/>
        </w:rPr>
        <w:t>4</w:t>
      </w:r>
      <w:r w:rsidRPr="003D1614">
        <w:rPr>
          <w:rFonts w:ascii="Arial" w:eastAsia="Calibri" w:hAnsi="Arial" w:cs="Arial"/>
          <w:color w:val="000000" w:themeColor="text1"/>
          <w:sz w:val="20"/>
          <w:szCs w:val="20"/>
        </w:rPr>
        <w:t>., efekti bi bili sljedeći:</w:t>
      </w:r>
    </w:p>
    <w:p w14:paraId="52942AF3" w14:textId="6F82AEB9" w:rsidR="00DF6E3A" w:rsidRPr="004A58D8" w:rsidRDefault="00DF6E3A" w:rsidP="00DF6E3A">
      <w:pPr>
        <w:numPr>
          <w:ilvl w:val="0"/>
          <w:numId w:val="31"/>
        </w:num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U slučaju smanjenja tržišnih prinosa na nerizična ulaganja (linearno interpolirani/ekstrapolirani prinos obveznica Republike Hrvatske istog trajanja/</w:t>
      </w:r>
      <w:proofErr w:type="spellStart"/>
      <w:r w:rsidRPr="003D1614">
        <w:rPr>
          <w:rFonts w:ascii="Arial" w:eastAsia="Times New Roman" w:hAnsi="Arial" w:cs="Arial"/>
          <w:color w:val="000000" w:themeColor="text1"/>
          <w:sz w:val="20"/>
          <w:szCs w:val="20"/>
        </w:rPr>
        <w:t>duracije</w:t>
      </w:r>
      <w:proofErr w:type="spellEnd"/>
      <w:r w:rsidRPr="003D1614">
        <w:rPr>
          <w:rFonts w:ascii="Arial" w:eastAsia="Times New Roman" w:hAnsi="Arial" w:cs="Arial"/>
          <w:color w:val="000000" w:themeColor="text1"/>
          <w:sz w:val="20"/>
          <w:szCs w:val="20"/>
        </w:rPr>
        <w:t xml:space="preserve"> i iste devize kao predmetna obveznica) za 2%, diskontna stopa bi iznosila </w:t>
      </w:r>
      <w:r w:rsidRPr="005D1219">
        <w:rPr>
          <w:rFonts w:ascii="Arial" w:eastAsia="Times New Roman" w:hAnsi="Arial" w:cs="Arial"/>
          <w:color w:val="000000" w:themeColor="text1"/>
          <w:sz w:val="20"/>
          <w:szCs w:val="20"/>
        </w:rPr>
        <w:t>15,</w:t>
      </w:r>
      <w:r w:rsidR="004A58D8" w:rsidRPr="005D1219">
        <w:rPr>
          <w:rFonts w:ascii="Arial" w:eastAsia="Times New Roman" w:hAnsi="Arial" w:cs="Arial"/>
          <w:color w:val="000000" w:themeColor="text1"/>
          <w:sz w:val="20"/>
          <w:szCs w:val="20"/>
        </w:rPr>
        <w:t>71</w:t>
      </w:r>
      <w:r w:rsidRPr="004A58D8">
        <w:rPr>
          <w:rFonts w:ascii="Arial" w:eastAsia="Times New Roman" w:hAnsi="Arial" w:cs="Arial"/>
          <w:color w:val="000000" w:themeColor="text1"/>
          <w:sz w:val="20"/>
          <w:szCs w:val="20"/>
        </w:rPr>
        <w:t>%,</w:t>
      </w:r>
      <w:r w:rsidRPr="003D1614">
        <w:rPr>
          <w:rFonts w:ascii="Arial" w:eastAsia="Times New Roman" w:hAnsi="Arial" w:cs="Arial"/>
          <w:color w:val="000000" w:themeColor="text1"/>
          <w:sz w:val="20"/>
          <w:szCs w:val="20"/>
        </w:rPr>
        <w:t xml:space="preserve"> cijena obveznica bi </w:t>
      </w:r>
      <w:r w:rsidRPr="00530878">
        <w:rPr>
          <w:rFonts w:ascii="Arial" w:eastAsia="Times New Roman" w:hAnsi="Arial" w:cs="Arial"/>
          <w:color w:val="000000" w:themeColor="text1"/>
          <w:sz w:val="20"/>
          <w:szCs w:val="20"/>
        </w:rPr>
        <w:t xml:space="preserve">bila </w:t>
      </w:r>
      <w:r w:rsidR="004A58D8" w:rsidRPr="004A58D8">
        <w:rPr>
          <w:rFonts w:ascii="Arial" w:eastAsia="Times New Roman" w:hAnsi="Arial" w:cs="Arial"/>
          <w:color w:val="000000" w:themeColor="text1"/>
          <w:sz w:val="20"/>
          <w:szCs w:val="20"/>
        </w:rPr>
        <w:t>44,29</w:t>
      </w:r>
      <w:r w:rsidRPr="005D1219">
        <w:rPr>
          <w:rFonts w:ascii="Arial" w:eastAsia="Times New Roman" w:hAnsi="Arial" w:cs="Arial"/>
          <w:color w:val="000000" w:themeColor="text1"/>
          <w:sz w:val="20"/>
          <w:szCs w:val="20"/>
        </w:rPr>
        <w:t>%,</w:t>
      </w:r>
      <w:r w:rsidRPr="004A58D8">
        <w:rPr>
          <w:rFonts w:ascii="Arial" w:eastAsia="Times New Roman" w:hAnsi="Arial" w:cs="Arial"/>
          <w:color w:val="000000" w:themeColor="text1"/>
          <w:sz w:val="20"/>
          <w:szCs w:val="20"/>
        </w:rPr>
        <w:t xml:space="preserve"> što bi rezultiralo povećanjem ostvarene dobiti HBOR-a za </w:t>
      </w:r>
      <w:r w:rsidRPr="005D1219">
        <w:rPr>
          <w:rFonts w:ascii="Arial" w:eastAsia="Times New Roman" w:hAnsi="Arial" w:cs="Arial"/>
          <w:color w:val="000000" w:themeColor="text1"/>
          <w:sz w:val="20"/>
          <w:szCs w:val="20"/>
        </w:rPr>
        <w:t>1</w:t>
      </w:r>
      <w:r w:rsidR="004A58D8">
        <w:rPr>
          <w:rFonts w:ascii="Arial" w:eastAsia="Times New Roman" w:hAnsi="Arial" w:cs="Arial"/>
          <w:color w:val="000000" w:themeColor="text1"/>
          <w:sz w:val="20"/>
          <w:szCs w:val="20"/>
        </w:rPr>
        <w:t>,2</w:t>
      </w:r>
      <w:r w:rsidRPr="004A58D8">
        <w:rPr>
          <w:rFonts w:ascii="Arial" w:eastAsia="Times New Roman" w:hAnsi="Arial" w:cs="Arial"/>
          <w:sz w:val="20"/>
          <w:szCs w:val="20"/>
        </w:rPr>
        <w:t xml:space="preserve"> </w:t>
      </w:r>
      <w:r w:rsidRPr="004A58D8">
        <w:rPr>
          <w:rFonts w:ascii="Arial" w:eastAsia="Times New Roman" w:hAnsi="Arial" w:cs="Arial"/>
          <w:color w:val="000000" w:themeColor="text1"/>
          <w:sz w:val="20"/>
          <w:szCs w:val="20"/>
        </w:rPr>
        <w:t>tisuć</w:t>
      </w:r>
      <w:r w:rsidR="00F73690" w:rsidRPr="004A58D8">
        <w:rPr>
          <w:rFonts w:ascii="Arial" w:eastAsia="Times New Roman" w:hAnsi="Arial" w:cs="Arial"/>
          <w:color w:val="000000" w:themeColor="text1"/>
          <w:sz w:val="20"/>
          <w:szCs w:val="20"/>
        </w:rPr>
        <w:t>a</w:t>
      </w:r>
      <w:r w:rsidRPr="004A58D8">
        <w:rPr>
          <w:rFonts w:ascii="Arial" w:eastAsia="Times New Roman" w:hAnsi="Arial" w:cs="Arial"/>
          <w:color w:val="000000" w:themeColor="text1"/>
          <w:sz w:val="20"/>
          <w:szCs w:val="20"/>
        </w:rPr>
        <w:t xml:space="preserve"> eura.</w:t>
      </w:r>
    </w:p>
    <w:p w14:paraId="1940A00B" w14:textId="5B1007B0" w:rsidR="00DF6E3A" w:rsidRPr="004A58D8" w:rsidRDefault="00DF6E3A" w:rsidP="00DF6E3A">
      <w:pPr>
        <w:numPr>
          <w:ilvl w:val="0"/>
          <w:numId w:val="31"/>
        </w:numPr>
        <w:suppressAutoHyphens/>
        <w:autoSpaceDN w:val="0"/>
        <w:contextualSpacing/>
        <w:jc w:val="both"/>
        <w:rPr>
          <w:rFonts w:ascii="Arial" w:eastAsia="Times New Roman" w:hAnsi="Arial" w:cs="Arial"/>
          <w:color w:val="000000" w:themeColor="text1"/>
          <w:sz w:val="20"/>
          <w:szCs w:val="20"/>
        </w:rPr>
      </w:pPr>
      <w:r w:rsidRPr="004A58D8">
        <w:rPr>
          <w:rFonts w:ascii="Arial" w:eastAsia="Times New Roman" w:hAnsi="Arial" w:cs="Arial"/>
          <w:color w:val="000000" w:themeColor="text1"/>
          <w:sz w:val="20"/>
          <w:szCs w:val="20"/>
        </w:rPr>
        <w:t>U slučaju povećanja tržišnih prinosa na nerizična ulaganja (linearno interpolirani/ekstrapolirani prinos obveznica Republike Hrvatske istog trajanja/</w:t>
      </w:r>
      <w:proofErr w:type="spellStart"/>
      <w:r w:rsidRPr="004A58D8">
        <w:rPr>
          <w:rFonts w:ascii="Arial" w:eastAsia="Times New Roman" w:hAnsi="Arial" w:cs="Arial"/>
          <w:color w:val="000000" w:themeColor="text1"/>
          <w:sz w:val="20"/>
          <w:szCs w:val="20"/>
        </w:rPr>
        <w:t>duracije</w:t>
      </w:r>
      <w:proofErr w:type="spellEnd"/>
      <w:r w:rsidRPr="004A58D8">
        <w:rPr>
          <w:rFonts w:ascii="Arial" w:eastAsia="Times New Roman" w:hAnsi="Arial" w:cs="Arial"/>
          <w:color w:val="000000" w:themeColor="text1"/>
          <w:sz w:val="20"/>
          <w:szCs w:val="20"/>
        </w:rPr>
        <w:t xml:space="preserve"> i iste devize kao korporativne obveznice) za 2%, diskontna stopa bi iznosila </w:t>
      </w:r>
      <w:r w:rsidRPr="005D1219">
        <w:rPr>
          <w:rFonts w:ascii="Arial" w:eastAsia="Times New Roman" w:hAnsi="Arial" w:cs="Arial"/>
          <w:color w:val="000000" w:themeColor="text1"/>
          <w:sz w:val="20"/>
          <w:szCs w:val="20"/>
        </w:rPr>
        <w:t>19,</w:t>
      </w:r>
      <w:r w:rsidR="004A58D8">
        <w:rPr>
          <w:rFonts w:ascii="Arial" w:eastAsia="Times New Roman" w:hAnsi="Arial" w:cs="Arial"/>
          <w:color w:val="000000" w:themeColor="text1"/>
          <w:sz w:val="20"/>
          <w:szCs w:val="20"/>
        </w:rPr>
        <w:t>71</w:t>
      </w:r>
      <w:r w:rsidRPr="004A58D8">
        <w:rPr>
          <w:rFonts w:ascii="Arial" w:eastAsia="Times New Roman" w:hAnsi="Arial" w:cs="Arial"/>
          <w:color w:val="000000" w:themeColor="text1"/>
          <w:sz w:val="20"/>
          <w:szCs w:val="20"/>
        </w:rPr>
        <w:t xml:space="preserve">%, cijena obveznice bi </w:t>
      </w:r>
      <w:r w:rsidRPr="005D1219">
        <w:rPr>
          <w:rFonts w:ascii="Arial" w:eastAsia="Times New Roman" w:hAnsi="Arial" w:cs="Arial"/>
          <w:color w:val="000000" w:themeColor="text1"/>
          <w:sz w:val="20"/>
          <w:szCs w:val="20"/>
        </w:rPr>
        <w:t xml:space="preserve">bila </w:t>
      </w:r>
      <w:r w:rsidR="006E72C6">
        <w:rPr>
          <w:rFonts w:ascii="Arial" w:eastAsia="Times New Roman" w:hAnsi="Arial" w:cs="Arial"/>
          <w:color w:val="000000" w:themeColor="text1"/>
          <w:sz w:val="20"/>
          <w:szCs w:val="20"/>
        </w:rPr>
        <w:t>42,99</w:t>
      </w:r>
      <w:r w:rsidRPr="004A58D8">
        <w:rPr>
          <w:rFonts w:ascii="Arial" w:eastAsia="Times New Roman" w:hAnsi="Arial" w:cs="Arial"/>
          <w:color w:val="000000" w:themeColor="text1"/>
          <w:sz w:val="20"/>
          <w:szCs w:val="20"/>
        </w:rPr>
        <w:t xml:space="preserve">%, što bi rezultiralo smanjenjem ostvarene dobiti HBOR-a za </w:t>
      </w:r>
      <w:r w:rsidRPr="005D1219">
        <w:rPr>
          <w:rFonts w:ascii="Arial" w:eastAsia="Times New Roman" w:hAnsi="Arial" w:cs="Arial"/>
          <w:color w:val="000000" w:themeColor="text1"/>
          <w:sz w:val="20"/>
          <w:szCs w:val="20"/>
        </w:rPr>
        <w:t>1</w:t>
      </w:r>
      <w:r w:rsidR="006E72C6">
        <w:rPr>
          <w:rFonts w:ascii="Arial" w:eastAsia="Times New Roman" w:hAnsi="Arial" w:cs="Arial"/>
          <w:color w:val="000000" w:themeColor="text1"/>
          <w:sz w:val="20"/>
          <w:szCs w:val="20"/>
        </w:rPr>
        <w:t>,1</w:t>
      </w:r>
      <w:r w:rsidRPr="004A58D8">
        <w:rPr>
          <w:rFonts w:ascii="Arial" w:eastAsia="Times New Roman" w:hAnsi="Arial" w:cs="Arial"/>
          <w:color w:val="000000" w:themeColor="text1"/>
          <w:sz w:val="20"/>
          <w:szCs w:val="20"/>
        </w:rPr>
        <w:t xml:space="preserve"> tisuć</w:t>
      </w:r>
      <w:r w:rsidR="00F73690" w:rsidRPr="004A58D8">
        <w:rPr>
          <w:rFonts w:ascii="Arial" w:eastAsia="Times New Roman" w:hAnsi="Arial" w:cs="Arial"/>
          <w:color w:val="000000" w:themeColor="text1"/>
          <w:sz w:val="20"/>
          <w:szCs w:val="20"/>
        </w:rPr>
        <w:t>a</w:t>
      </w:r>
      <w:r w:rsidRPr="004A58D8">
        <w:rPr>
          <w:rFonts w:ascii="Arial" w:eastAsia="Times New Roman" w:hAnsi="Arial" w:cs="Arial"/>
          <w:color w:val="000000" w:themeColor="text1"/>
          <w:sz w:val="20"/>
          <w:szCs w:val="20"/>
        </w:rPr>
        <w:t xml:space="preserve"> eura.</w:t>
      </w:r>
    </w:p>
    <w:p w14:paraId="5F4891D2" w14:textId="77777777" w:rsidR="00DF6E3A" w:rsidRPr="003D1614" w:rsidRDefault="00DF6E3A" w:rsidP="00DF6E3A">
      <w:pPr>
        <w:suppressAutoHyphens/>
        <w:autoSpaceDN w:val="0"/>
        <w:ind w:left="720"/>
        <w:rPr>
          <w:rFonts w:ascii="Arial" w:eastAsia="Calibri" w:hAnsi="Arial" w:cs="Arial"/>
          <w:color w:val="000000" w:themeColor="text1"/>
          <w:sz w:val="20"/>
          <w:szCs w:val="20"/>
        </w:rPr>
      </w:pPr>
    </w:p>
    <w:p w14:paraId="7E0F1E98" w14:textId="7A137B38" w:rsidR="00DF6E3A" w:rsidRPr="003D1614" w:rsidRDefault="00DF6E3A" w:rsidP="00DF6E3A">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Kao osnova za promjenu tržišne kamatne stope od 2% u odnosu na važeće tržišne uvjete dana 31. ožujka 202</w:t>
      </w:r>
      <w:r w:rsidR="00F73690">
        <w:rPr>
          <w:rFonts w:ascii="Arial" w:eastAsia="Calibri" w:hAnsi="Arial" w:cs="Arial"/>
          <w:color w:val="000000" w:themeColor="text1"/>
          <w:sz w:val="20"/>
          <w:szCs w:val="20"/>
        </w:rPr>
        <w:t>4</w:t>
      </w:r>
      <w:r w:rsidRPr="003D1614">
        <w:rPr>
          <w:rFonts w:ascii="Arial" w:eastAsia="Calibri" w:hAnsi="Arial" w:cs="Arial"/>
          <w:color w:val="000000" w:themeColor="text1"/>
          <w:sz w:val="20"/>
          <w:szCs w:val="20"/>
        </w:rPr>
        <w:t>. korištena je definirana promjena kamatnih stopa iz „Odluke o upravljanju kamatnim rizikom u knjizi banke“, a koja se koristi za izračun standardnog kamatnog šoka. „Standardni kamatni šok jest paralelni pozitivan i negativan pomak kamatnih stopa na referentnoj krivulji prinosa za 200 baznih bodova, primjenjujući donju granicu stope od 0%, osim u slučajevima u kojima je ostvariva negativna kamatna stopa.“</w:t>
      </w:r>
    </w:p>
    <w:p w14:paraId="2515B058" w14:textId="77777777" w:rsidR="00DF6E3A" w:rsidRPr="003D1614" w:rsidRDefault="00DF6E3A" w:rsidP="00DF6E3A">
      <w:pPr>
        <w:suppressAutoHyphens/>
        <w:autoSpaceDN w:val="0"/>
        <w:jc w:val="both"/>
        <w:rPr>
          <w:rFonts w:ascii="Arial" w:eastAsia="Calibri" w:hAnsi="Arial" w:cs="Arial"/>
          <w:color w:val="000000" w:themeColor="text1"/>
          <w:sz w:val="20"/>
          <w:szCs w:val="20"/>
        </w:rPr>
      </w:pPr>
    </w:p>
    <w:p w14:paraId="4C1AF503" w14:textId="1103D3FD" w:rsidR="00DF6E3A" w:rsidRPr="003D1614" w:rsidRDefault="00DF6E3A" w:rsidP="00DF6E3A">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U slučaju smanjenja očekivanih novčanih tijekova po korporativnoj obveznici za 10%, ostvarena dobit HBOR-a bi se smanjila </w:t>
      </w:r>
      <w:r w:rsidRPr="005D1219">
        <w:rPr>
          <w:rFonts w:ascii="Arial" w:eastAsia="Calibri" w:hAnsi="Arial" w:cs="Arial"/>
          <w:color w:val="000000" w:themeColor="text1"/>
          <w:sz w:val="20"/>
          <w:szCs w:val="20"/>
        </w:rPr>
        <w:t xml:space="preserve">za </w:t>
      </w:r>
      <w:r w:rsidR="00A5239F">
        <w:rPr>
          <w:rFonts w:ascii="Arial" w:eastAsia="Calibri" w:hAnsi="Arial" w:cs="Arial"/>
          <w:color w:val="000000" w:themeColor="text1"/>
          <w:sz w:val="20"/>
          <w:szCs w:val="20"/>
        </w:rPr>
        <w:t>8</w:t>
      </w:r>
      <w:r w:rsidRPr="00A5239F">
        <w:rPr>
          <w:rFonts w:ascii="Arial" w:eastAsia="Calibri" w:hAnsi="Arial" w:cs="Arial"/>
          <w:color w:val="000000" w:themeColor="text1"/>
          <w:sz w:val="20"/>
          <w:szCs w:val="20"/>
        </w:rPr>
        <w:t xml:space="preserve"> tisuća</w:t>
      </w:r>
      <w:r w:rsidRPr="003D1614">
        <w:rPr>
          <w:rFonts w:ascii="Arial" w:eastAsia="Calibri" w:hAnsi="Arial" w:cs="Arial"/>
          <w:color w:val="000000" w:themeColor="text1"/>
          <w:sz w:val="20"/>
          <w:szCs w:val="20"/>
        </w:rPr>
        <w:t xml:space="preserve"> eura.</w:t>
      </w:r>
    </w:p>
    <w:p w14:paraId="41365426" w14:textId="77777777" w:rsidR="00DF6E3A" w:rsidRDefault="00DF6E3A" w:rsidP="00DF6E3A">
      <w:pPr>
        <w:suppressAutoHyphens/>
        <w:autoSpaceDN w:val="0"/>
        <w:jc w:val="both"/>
        <w:rPr>
          <w:rFonts w:ascii="Arial" w:eastAsia="Calibri" w:hAnsi="Arial" w:cs="Arial"/>
          <w:color w:val="000000" w:themeColor="text1"/>
          <w:sz w:val="20"/>
          <w:szCs w:val="20"/>
        </w:rPr>
      </w:pPr>
    </w:p>
    <w:p w14:paraId="18488D12" w14:textId="77777777" w:rsidR="00DF6E3A" w:rsidRDefault="00DF6E3A" w:rsidP="00DF6E3A">
      <w:pPr>
        <w:suppressAutoHyphens/>
        <w:autoSpaceDN w:val="0"/>
        <w:jc w:val="both"/>
        <w:rPr>
          <w:rFonts w:ascii="Arial" w:eastAsia="Calibri" w:hAnsi="Arial" w:cs="Arial"/>
          <w:color w:val="000000" w:themeColor="text1"/>
          <w:sz w:val="20"/>
          <w:szCs w:val="20"/>
        </w:rPr>
      </w:pPr>
    </w:p>
    <w:p w14:paraId="0D9F8534" w14:textId="77777777" w:rsidR="00DF6E3A" w:rsidRDefault="00DF6E3A" w:rsidP="00DF6E3A">
      <w:pPr>
        <w:suppressAutoHyphens/>
        <w:autoSpaceDN w:val="0"/>
        <w:jc w:val="both"/>
        <w:rPr>
          <w:rFonts w:ascii="Arial" w:eastAsia="Calibri" w:hAnsi="Arial" w:cs="Arial"/>
          <w:color w:val="000000" w:themeColor="text1"/>
          <w:sz w:val="20"/>
          <w:szCs w:val="20"/>
        </w:rPr>
      </w:pPr>
    </w:p>
    <w:p w14:paraId="320114AC" w14:textId="77777777" w:rsidR="00DF6E3A" w:rsidRDefault="00DF6E3A" w:rsidP="00DF6E3A">
      <w:pPr>
        <w:suppressAutoHyphens/>
        <w:autoSpaceDN w:val="0"/>
        <w:jc w:val="both"/>
        <w:rPr>
          <w:rFonts w:ascii="Arial" w:eastAsia="Calibri" w:hAnsi="Arial" w:cs="Arial"/>
          <w:color w:val="000000" w:themeColor="text1"/>
          <w:sz w:val="20"/>
          <w:szCs w:val="20"/>
        </w:rPr>
      </w:pPr>
    </w:p>
    <w:p w14:paraId="2A762441" w14:textId="77777777" w:rsidR="00DF6E3A" w:rsidRDefault="00DF6E3A" w:rsidP="00DF6E3A">
      <w:pPr>
        <w:suppressAutoHyphens/>
        <w:autoSpaceDN w:val="0"/>
        <w:jc w:val="both"/>
        <w:rPr>
          <w:rFonts w:ascii="Arial" w:eastAsia="Calibri" w:hAnsi="Arial" w:cs="Arial"/>
          <w:color w:val="000000" w:themeColor="text1"/>
          <w:sz w:val="20"/>
          <w:szCs w:val="20"/>
        </w:rPr>
      </w:pPr>
    </w:p>
    <w:p w14:paraId="388B15BB" w14:textId="77777777" w:rsidR="00DF6E3A" w:rsidRDefault="00DF6E3A" w:rsidP="00DF6E3A">
      <w:pPr>
        <w:suppressAutoHyphens/>
        <w:autoSpaceDN w:val="0"/>
        <w:jc w:val="both"/>
        <w:rPr>
          <w:rFonts w:ascii="Arial" w:eastAsia="Calibri" w:hAnsi="Arial" w:cs="Arial"/>
          <w:color w:val="000000" w:themeColor="text1"/>
          <w:sz w:val="20"/>
          <w:szCs w:val="20"/>
        </w:rPr>
        <w:sectPr w:rsidR="00DF6E3A" w:rsidSect="003278AB">
          <w:footerReference w:type="default" r:id="rId28"/>
          <w:pgSz w:w="11906" w:h="16838"/>
          <w:pgMar w:top="1417" w:right="1417" w:bottom="1417" w:left="1417" w:header="708" w:footer="708" w:gutter="0"/>
          <w:cols w:space="708"/>
          <w:docGrid w:linePitch="360"/>
        </w:sectPr>
      </w:pPr>
    </w:p>
    <w:p w14:paraId="3583F04D" w14:textId="77777777" w:rsidR="00DF6E3A" w:rsidRDefault="00DF6E3A" w:rsidP="00DF6E3A">
      <w:pPr>
        <w:suppressAutoHyphens/>
        <w:autoSpaceDN w:val="0"/>
        <w:jc w:val="both"/>
        <w:rPr>
          <w:rFonts w:ascii="Arial" w:eastAsia="Calibri" w:hAnsi="Arial" w:cs="Arial"/>
          <w:color w:val="000000" w:themeColor="text1"/>
          <w:sz w:val="20"/>
          <w:szCs w:val="20"/>
        </w:rPr>
      </w:pPr>
    </w:p>
    <w:p w14:paraId="797BF934" w14:textId="77777777" w:rsidR="008552FD" w:rsidRPr="003D1614" w:rsidRDefault="008552FD" w:rsidP="008552FD">
      <w:pPr>
        <w:keepNext/>
        <w:tabs>
          <w:tab w:val="left" w:pos="567"/>
        </w:tabs>
        <w:suppressAutoHyphens/>
        <w:autoSpaceDN w:val="0"/>
        <w:jc w:val="both"/>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 xml:space="preserve">. </w:t>
      </w:r>
      <w:r w:rsidRPr="003D1614">
        <w:rPr>
          <w:rFonts w:ascii="Arial" w:eastAsia="Times New Roman" w:hAnsi="Arial" w:cs="Arial"/>
          <w:b/>
          <w:bCs/>
          <w:color w:val="000000" w:themeColor="text1"/>
          <w:spacing w:val="-3"/>
          <w:sz w:val="20"/>
          <w:szCs w:val="20"/>
        </w:rPr>
        <w:tab/>
        <w:t>Fer vrijednost financijske imovine i financijskih obveza (nastavak)</w:t>
      </w:r>
    </w:p>
    <w:p w14:paraId="24143947" w14:textId="77777777" w:rsidR="008552FD" w:rsidRPr="003D1614" w:rsidRDefault="008552FD" w:rsidP="008552FD">
      <w:pPr>
        <w:keepNext/>
        <w:suppressAutoHyphens/>
        <w:autoSpaceDN w:val="0"/>
        <w:ind w:left="1428"/>
        <w:contextualSpacing/>
        <w:jc w:val="both"/>
        <w:rPr>
          <w:rFonts w:ascii="Arial" w:eastAsia="Times New Roman" w:hAnsi="Arial" w:cs="Arial"/>
          <w:b/>
          <w:bCs/>
          <w:color w:val="000000" w:themeColor="text1"/>
          <w:spacing w:val="-3"/>
          <w:sz w:val="20"/>
          <w:szCs w:val="20"/>
        </w:rPr>
      </w:pPr>
    </w:p>
    <w:p w14:paraId="36E61629" w14:textId="77777777" w:rsidR="008552FD" w:rsidRPr="003D1614" w:rsidRDefault="008552FD" w:rsidP="008552FD">
      <w:pPr>
        <w:keepNext/>
        <w:suppressAutoHyphens/>
        <w:autoSpaceDN w:val="0"/>
        <w:ind w:left="567" w:hanging="567"/>
        <w:jc w:val="both"/>
        <w:rPr>
          <w:rFonts w:ascii="Arial" w:eastAsia="Times New Roman" w:hAnsi="Arial" w:cs="Arial"/>
          <w:b/>
          <w:bCs/>
          <w:color w:val="000000" w:themeColor="text1"/>
          <w:spacing w:val="-3"/>
          <w:sz w:val="20"/>
          <w:szCs w:val="20"/>
        </w:rPr>
      </w:pPr>
      <w:r w:rsidRPr="003D1614">
        <w:rPr>
          <w:rFonts w:ascii="Arial" w:eastAsia="Times New Roman" w:hAnsi="Arial" w:cs="Arial"/>
          <w:b/>
          <w:bCs/>
          <w:color w:val="000000" w:themeColor="text1"/>
          <w:spacing w:val="-3"/>
          <w:sz w:val="20"/>
          <w:szCs w:val="20"/>
        </w:rPr>
        <w:t>2</w:t>
      </w:r>
      <w:r>
        <w:rPr>
          <w:rFonts w:ascii="Arial" w:eastAsia="Times New Roman" w:hAnsi="Arial" w:cs="Arial"/>
          <w:b/>
          <w:bCs/>
          <w:color w:val="000000" w:themeColor="text1"/>
          <w:spacing w:val="-3"/>
          <w:sz w:val="20"/>
          <w:szCs w:val="20"/>
        </w:rPr>
        <w:t>4</w:t>
      </w:r>
      <w:r w:rsidRPr="003D1614">
        <w:rPr>
          <w:rFonts w:ascii="Arial" w:eastAsia="Times New Roman" w:hAnsi="Arial" w:cs="Arial"/>
          <w:b/>
          <w:bCs/>
          <w:color w:val="000000" w:themeColor="text1"/>
          <w:spacing w:val="-3"/>
          <w:sz w:val="20"/>
          <w:szCs w:val="20"/>
        </w:rPr>
        <w:t>.1.</w:t>
      </w:r>
      <w:r w:rsidRPr="003D1614">
        <w:rPr>
          <w:rFonts w:ascii="Arial" w:eastAsia="Times New Roman" w:hAnsi="Arial" w:cs="Arial"/>
          <w:b/>
          <w:bCs/>
          <w:color w:val="000000" w:themeColor="text1"/>
          <w:spacing w:val="-3"/>
          <w:sz w:val="20"/>
          <w:szCs w:val="20"/>
        </w:rPr>
        <w:tab/>
        <w:t xml:space="preserve">Fer vrijednost financijske imovine i financijskih obveza koji se vode po fer vrijednosti (nastavak) </w:t>
      </w:r>
    </w:p>
    <w:p w14:paraId="33ECF3AB" w14:textId="77777777" w:rsidR="008552FD" w:rsidRPr="003D1614" w:rsidRDefault="008552FD" w:rsidP="008552FD">
      <w:pPr>
        <w:keepNext/>
        <w:tabs>
          <w:tab w:val="left" w:pos="567"/>
        </w:tabs>
        <w:suppressAutoHyphens/>
        <w:autoSpaceDN w:val="0"/>
        <w:ind w:left="1428"/>
        <w:contextualSpacing/>
        <w:jc w:val="both"/>
        <w:rPr>
          <w:rFonts w:ascii="Arial" w:eastAsia="Times New Roman" w:hAnsi="Arial" w:cs="Arial"/>
          <w:b/>
          <w:bCs/>
          <w:color w:val="000000" w:themeColor="text1"/>
          <w:spacing w:val="-3"/>
          <w:sz w:val="20"/>
          <w:szCs w:val="20"/>
        </w:rPr>
      </w:pPr>
    </w:p>
    <w:p w14:paraId="244CB99F" w14:textId="77777777" w:rsidR="008552FD" w:rsidRPr="003D1614" w:rsidRDefault="008552FD" w:rsidP="008552FD">
      <w:pPr>
        <w:tabs>
          <w:tab w:val="left" w:pos="851"/>
        </w:tabs>
        <w:suppressAutoHyphens/>
        <w:autoSpaceDN w:val="0"/>
        <w:rPr>
          <w:rFonts w:ascii="Arial" w:eastAsia="Calibri" w:hAnsi="Arial" w:cs="Arial"/>
          <w:b/>
          <w:color w:val="000000" w:themeColor="text1"/>
          <w:sz w:val="20"/>
          <w:szCs w:val="20"/>
        </w:rPr>
      </w:pPr>
      <w:r w:rsidRPr="003D1614">
        <w:rPr>
          <w:rFonts w:ascii="Arial" w:eastAsia="Calibri" w:hAnsi="Arial" w:cs="Arial"/>
          <w:b/>
          <w:color w:val="000000" w:themeColor="text1"/>
          <w:sz w:val="20"/>
          <w:szCs w:val="20"/>
        </w:rPr>
        <w:t>2</w:t>
      </w:r>
      <w:r>
        <w:rPr>
          <w:rFonts w:ascii="Arial" w:eastAsia="Calibri" w:hAnsi="Arial" w:cs="Arial"/>
          <w:b/>
          <w:color w:val="000000" w:themeColor="text1"/>
          <w:sz w:val="20"/>
          <w:szCs w:val="20"/>
        </w:rPr>
        <w:t>4</w:t>
      </w:r>
      <w:r w:rsidRPr="003D1614">
        <w:rPr>
          <w:rFonts w:ascii="Arial" w:eastAsia="Calibri" w:hAnsi="Arial" w:cs="Arial"/>
          <w:b/>
          <w:color w:val="000000" w:themeColor="text1"/>
          <w:sz w:val="20"/>
          <w:szCs w:val="20"/>
        </w:rPr>
        <w:t>.1.1.</w:t>
      </w:r>
      <w:r w:rsidRPr="003D1614">
        <w:rPr>
          <w:rFonts w:ascii="Arial" w:eastAsia="Calibri" w:hAnsi="Arial" w:cs="Arial"/>
          <w:b/>
          <w:color w:val="000000" w:themeColor="text1"/>
          <w:sz w:val="20"/>
          <w:szCs w:val="20"/>
        </w:rPr>
        <w:tab/>
        <w:t>Razina 3 - fer vrijednosti (nastavak)</w:t>
      </w:r>
    </w:p>
    <w:p w14:paraId="2E79BBB7" w14:textId="77777777" w:rsidR="008552FD" w:rsidRPr="003D1614" w:rsidRDefault="008552FD" w:rsidP="008552FD">
      <w:pPr>
        <w:suppressAutoHyphens/>
        <w:autoSpaceDN w:val="0"/>
        <w:ind w:left="1428"/>
        <w:contextualSpacing/>
        <w:rPr>
          <w:rFonts w:ascii="Arial" w:eastAsia="Calibri" w:hAnsi="Arial" w:cs="Arial"/>
          <w:color w:val="000000" w:themeColor="text1"/>
          <w:sz w:val="20"/>
          <w:szCs w:val="20"/>
        </w:rPr>
      </w:pPr>
    </w:p>
    <w:p w14:paraId="0F2322BE" w14:textId="77777777" w:rsidR="008552FD" w:rsidRPr="003D1614" w:rsidRDefault="008552FD" w:rsidP="008552FD">
      <w:pPr>
        <w:tabs>
          <w:tab w:val="left" w:pos="284"/>
        </w:tabs>
        <w:suppressAutoHyphens/>
        <w:autoSpaceDN w:val="0"/>
        <w:rPr>
          <w:rFonts w:ascii="Arial" w:eastAsia="Calibri" w:hAnsi="Arial" w:cs="Arial"/>
          <w:b/>
          <w:i/>
          <w:color w:val="000000" w:themeColor="text1"/>
          <w:sz w:val="20"/>
          <w:szCs w:val="20"/>
        </w:rPr>
      </w:pPr>
      <w:r w:rsidRPr="003D1614">
        <w:rPr>
          <w:rFonts w:ascii="Arial" w:eastAsia="Calibri" w:hAnsi="Arial" w:cs="Arial"/>
          <w:b/>
          <w:i/>
          <w:color w:val="000000" w:themeColor="text1"/>
          <w:sz w:val="20"/>
          <w:szCs w:val="20"/>
        </w:rPr>
        <w:t>c)</w:t>
      </w:r>
      <w:r w:rsidRPr="003D1614">
        <w:rPr>
          <w:rFonts w:ascii="Arial" w:eastAsia="Calibri" w:hAnsi="Arial" w:cs="Arial"/>
          <w:b/>
          <w:i/>
          <w:color w:val="000000" w:themeColor="text1"/>
          <w:sz w:val="20"/>
          <w:szCs w:val="20"/>
        </w:rPr>
        <w:tab/>
        <w:t xml:space="preserve">Usklađivanje fer vrijednosti Razine 3: </w:t>
      </w:r>
    </w:p>
    <w:p w14:paraId="51F87C88" w14:textId="77777777" w:rsidR="008552FD" w:rsidRPr="003D1614" w:rsidRDefault="008552FD" w:rsidP="008552FD">
      <w:pPr>
        <w:suppressAutoHyphens/>
        <w:autoSpaceDN w:val="0"/>
        <w:rPr>
          <w:rFonts w:ascii="Arial" w:eastAsia="Calibri" w:hAnsi="Arial" w:cs="Arial"/>
          <w:color w:val="000000" w:themeColor="text1"/>
          <w:sz w:val="20"/>
          <w:szCs w:val="20"/>
        </w:rPr>
      </w:pPr>
    </w:p>
    <w:p w14:paraId="44CE5F5F" w14:textId="77777777" w:rsidR="008552FD" w:rsidRPr="003D1614" w:rsidRDefault="008552FD" w:rsidP="008552FD">
      <w:pPr>
        <w:numPr>
          <w:ilvl w:val="0"/>
          <w:numId w:val="32"/>
        </w:numPr>
        <w:tabs>
          <w:tab w:val="left" w:pos="426"/>
        </w:tabs>
        <w:suppressAutoHyphens/>
        <w:autoSpaceDN w:val="0"/>
        <w:ind w:left="284" w:hanging="142"/>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 xml:space="preserve">Fer vrijednosti financijske imovine razine 3 koja je nakon početnog priznavanja svedena na fer vrijednost – </w:t>
      </w:r>
      <w:proofErr w:type="spellStart"/>
      <w:r w:rsidRPr="003D1614">
        <w:rPr>
          <w:rFonts w:ascii="Arial" w:eastAsia="Calibri" w:hAnsi="Arial" w:cs="Arial"/>
          <w:color w:val="000000" w:themeColor="text1"/>
          <w:sz w:val="20"/>
          <w:szCs w:val="20"/>
        </w:rPr>
        <w:t>mezzanine</w:t>
      </w:r>
      <w:proofErr w:type="spellEnd"/>
      <w:r w:rsidRPr="003D1614">
        <w:rPr>
          <w:rFonts w:ascii="Arial" w:eastAsia="Calibri" w:hAnsi="Arial" w:cs="Arial"/>
          <w:color w:val="000000" w:themeColor="text1"/>
          <w:sz w:val="20"/>
          <w:szCs w:val="20"/>
        </w:rPr>
        <w:t xml:space="preserve"> krediti:</w:t>
      </w:r>
    </w:p>
    <w:p w14:paraId="3C2DA3EB" w14:textId="77777777" w:rsidR="008552FD" w:rsidRPr="003D1614" w:rsidRDefault="008552FD" w:rsidP="008552FD">
      <w:pPr>
        <w:suppressAutoHyphens/>
        <w:autoSpaceDN w:val="0"/>
        <w:rPr>
          <w:rFonts w:ascii="Arial" w:eastAsia="Calibri" w:hAnsi="Arial" w:cs="Arial"/>
          <w:color w:val="000000" w:themeColor="text1"/>
          <w:sz w:val="20"/>
          <w:szCs w:val="20"/>
        </w:rPr>
      </w:pPr>
    </w:p>
    <w:tbl>
      <w:tblPr>
        <w:tblW w:w="5000" w:type="pct"/>
        <w:jc w:val="center"/>
        <w:tblCellMar>
          <w:left w:w="122" w:type="dxa"/>
          <w:right w:w="122" w:type="dxa"/>
        </w:tblCellMar>
        <w:tblLook w:val="04A0" w:firstRow="1" w:lastRow="0" w:firstColumn="1" w:lastColumn="0" w:noHBand="0" w:noVBand="1"/>
      </w:tblPr>
      <w:tblGrid>
        <w:gridCol w:w="5004"/>
        <w:gridCol w:w="2036"/>
        <w:gridCol w:w="2032"/>
      </w:tblGrid>
      <w:tr w:rsidR="008552FD" w:rsidRPr="003D1614" w14:paraId="09185635" w14:textId="77777777" w:rsidTr="00CA7F04">
        <w:trPr>
          <w:trHeight w:hRule="exact" w:val="267"/>
          <w:jc w:val="center"/>
        </w:trPr>
        <w:tc>
          <w:tcPr>
            <w:tcW w:w="2758" w:type="pct"/>
          </w:tcPr>
          <w:p w14:paraId="3DF63122" w14:textId="77777777" w:rsidR="008552FD" w:rsidRPr="003D1614" w:rsidRDefault="008552FD" w:rsidP="00CA7F04">
            <w:pPr>
              <w:tabs>
                <w:tab w:val="right" w:pos="1202"/>
              </w:tabs>
              <w:suppressAutoHyphens/>
              <w:autoSpaceDN w:val="0"/>
              <w:spacing w:line="260" w:lineRule="exact"/>
              <w:outlineLvl w:val="0"/>
              <w:rPr>
                <w:rFonts w:ascii="Arial" w:eastAsia="Calibri" w:hAnsi="Arial" w:cs="Arial"/>
                <w:b/>
                <w:color w:val="000000"/>
                <w:spacing w:val="-2"/>
                <w:sz w:val="20"/>
                <w:szCs w:val="20"/>
              </w:rPr>
            </w:pPr>
            <w:r w:rsidRPr="003D1614">
              <w:rPr>
                <w:rFonts w:ascii="Arial" w:eastAsia="Calibri" w:hAnsi="Arial" w:cs="Arial"/>
                <w:b/>
                <w:color w:val="000000"/>
                <w:spacing w:val="-2"/>
                <w:sz w:val="20"/>
                <w:szCs w:val="20"/>
              </w:rPr>
              <w:t>Grupa i Banka</w:t>
            </w:r>
          </w:p>
        </w:tc>
        <w:tc>
          <w:tcPr>
            <w:tcW w:w="1122" w:type="pct"/>
            <w:vAlign w:val="center"/>
          </w:tcPr>
          <w:p w14:paraId="28C7B920" w14:textId="1CAEECA5" w:rsidR="008552FD" w:rsidRPr="003D1614" w:rsidRDefault="008552FD" w:rsidP="00CA7F04">
            <w:pPr>
              <w:tabs>
                <w:tab w:val="right" w:pos="1202"/>
              </w:tabs>
              <w:suppressAutoHyphens/>
              <w:autoSpaceDN w:val="0"/>
              <w:spacing w:line="260" w:lineRule="exact"/>
              <w:jc w:val="right"/>
              <w:outlineLvl w:val="0"/>
              <w:rPr>
                <w:rFonts w:ascii="Arial" w:eastAsia="Calibri" w:hAnsi="Arial" w:cs="Arial"/>
                <w:b/>
                <w:color w:val="000000"/>
                <w:sz w:val="20"/>
                <w:szCs w:val="20"/>
              </w:rPr>
            </w:pPr>
            <w:r w:rsidRPr="003D1614">
              <w:rPr>
                <w:rFonts w:ascii="Arial" w:eastAsia="Calibri" w:hAnsi="Arial" w:cs="Arial"/>
                <w:b/>
                <w:color w:val="000000"/>
                <w:sz w:val="20"/>
                <w:szCs w:val="20"/>
              </w:rPr>
              <w:t>31.3.202</w:t>
            </w:r>
            <w:r w:rsidR="00F73690">
              <w:rPr>
                <w:rFonts w:ascii="Arial" w:eastAsia="Calibri" w:hAnsi="Arial" w:cs="Arial"/>
                <w:b/>
                <w:color w:val="000000"/>
                <w:sz w:val="20"/>
                <w:szCs w:val="20"/>
              </w:rPr>
              <w:t>4</w:t>
            </w:r>
            <w:r w:rsidRPr="003D1614">
              <w:rPr>
                <w:rFonts w:ascii="Arial" w:eastAsia="Calibri" w:hAnsi="Arial" w:cs="Arial"/>
                <w:b/>
                <w:color w:val="000000"/>
                <w:sz w:val="20"/>
                <w:szCs w:val="20"/>
              </w:rPr>
              <w:t>.</w:t>
            </w:r>
          </w:p>
        </w:tc>
        <w:tc>
          <w:tcPr>
            <w:tcW w:w="1120" w:type="pct"/>
          </w:tcPr>
          <w:p w14:paraId="1115B6F4" w14:textId="42BB5F1C" w:rsidR="008552FD" w:rsidRPr="003D1614" w:rsidRDefault="008552FD" w:rsidP="00CA7F04">
            <w:pPr>
              <w:tabs>
                <w:tab w:val="right" w:pos="1202"/>
              </w:tabs>
              <w:suppressAutoHyphens/>
              <w:autoSpaceDN w:val="0"/>
              <w:spacing w:line="260" w:lineRule="exact"/>
              <w:jc w:val="right"/>
              <w:outlineLvl w:val="0"/>
              <w:rPr>
                <w:rFonts w:ascii="Arial" w:eastAsia="Calibri" w:hAnsi="Arial" w:cs="Arial"/>
                <w:b/>
                <w:color w:val="000000"/>
                <w:sz w:val="20"/>
                <w:szCs w:val="20"/>
              </w:rPr>
            </w:pPr>
            <w:r w:rsidRPr="003D1614">
              <w:rPr>
                <w:rFonts w:ascii="Arial" w:eastAsia="Calibri" w:hAnsi="Arial" w:cs="Arial"/>
                <w:b/>
                <w:color w:val="000000"/>
                <w:sz w:val="20"/>
                <w:szCs w:val="20"/>
              </w:rPr>
              <w:t>31.3.202</w:t>
            </w:r>
            <w:r w:rsidR="00C20CAB">
              <w:rPr>
                <w:rFonts w:ascii="Arial" w:eastAsia="Calibri" w:hAnsi="Arial" w:cs="Arial"/>
                <w:b/>
                <w:color w:val="000000"/>
                <w:sz w:val="20"/>
                <w:szCs w:val="20"/>
              </w:rPr>
              <w:t>3</w:t>
            </w:r>
            <w:r w:rsidRPr="003D1614">
              <w:rPr>
                <w:rFonts w:ascii="Arial" w:eastAsia="Calibri" w:hAnsi="Arial" w:cs="Arial"/>
                <w:b/>
                <w:color w:val="000000"/>
                <w:sz w:val="20"/>
                <w:szCs w:val="20"/>
              </w:rPr>
              <w:t>.</w:t>
            </w:r>
          </w:p>
        </w:tc>
      </w:tr>
      <w:tr w:rsidR="008552FD" w:rsidRPr="003D1614" w14:paraId="6190B785" w14:textId="77777777" w:rsidTr="00CA7F04">
        <w:trPr>
          <w:trHeight w:hRule="exact" w:val="239"/>
          <w:jc w:val="center"/>
        </w:trPr>
        <w:tc>
          <w:tcPr>
            <w:tcW w:w="2758" w:type="pct"/>
          </w:tcPr>
          <w:p w14:paraId="05AFDF23" w14:textId="77777777" w:rsidR="008552FD" w:rsidRPr="003D1614" w:rsidRDefault="008552FD" w:rsidP="00CA7F04">
            <w:pPr>
              <w:tabs>
                <w:tab w:val="right" w:pos="1202"/>
              </w:tabs>
              <w:suppressAutoHyphens/>
              <w:autoSpaceDN w:val="0"/>
              <w:spacing w:line="260" w:lineRule="exact"/>
              <w:outlineLvl w:val="0"/>
              <w:rPr>
                <w:rFonts w:ascii="Arial" w:eastAsia="Calibri" w:hAnsi="Arial" w:cs="Arial"/>
                <w:b/>
                <w:color w:val="000000"/>
                <w:spacing w:val="-2"/>
                <w:sz w:val="20"/>
                <w:szCs w:val="20"/>
              </w:rPr>
            </w:pPr>
          </w:p>
        </w:tc>
        <w:tc>
          <w:tcPr>
            <w:tcW w:w="1122" w:type="pct"/>
          </w:tcPr>
          <w:p w14:paraId="470FF7D0" w14:textId="77777777" w:rsidR="008552FD" w:rsidRPr="003D1614" w:rsidRDefault="008552FD" w:rsidP="00CA7F04">
            <w:pPr>
              <w:tabs>
                <w:tab w:val="right" w:pos="1202"/>
              </w:tabs>
              <w:suppressAutoHyphens/>
              <w:autoSpaceDN w:val="0"/>
              <w:spacing w:line="260" w:lineRule="exact"/>
              <w:jc w:val="right"/>
              <w:outlineLvl w:val="0"/>
              <w:rPr>
                <w:rFonts w:ascii="Arial" w:eastAsia="Calibri" w:hAnsi="Arial" w:cs="Arial"/>
                <w:b/>
                <w:color w:val="000000"/>
                <w:sz w:val="20"/>
                <w:szCs w:val="20"/>
              </w:rPr>
            </w:pPr>
            <w:r w:rsidRPr="003D1614">
              <w:rPr>
                <w:rFonts w:ascii="Arial" w:eastAsia="Calibri" w:hAnsi="Arial" w:cs="Arial"/>
                <w:b/>
                <w:color w:val="000000"/>
                <w:sz w:val="20"/>
                <w:szCs w:val="20"/>
              </w:rPr>
              <w:t>000 eura</w:t>
            </w:r>
          </w:p>
        </w:tc>
        <w:tc>
          <w:tcPr>
            <w:tcW w:w="1120" w:type="pct"/>
          </w:tcPr>
          <w:p w14:paraId="4AA2C5F2" w14:textId="77777777" w:rsidR="008552FD" w:rsidRPr="003D1614" w:rsidRDefault="008552FD" w:rsidP="00CA7F04">
            <w:pPr>
              <w:tabs>
                <w:tab w:val="right" w:pos="1202"/>
              </w:tabs>
              <w:suppressAutoHyphens/>
              <w:autoSpaceDN w:val="0"/>
              <w:spacing w:line="260" w:lineRule="exact"/>
              <w:jc w:val="right"/>
              <w:outlineLvl w:val="0"/>
              <w:rPr>
                <w:rFonts w:ascii="Arial" w:eastAsia="Calibri" w:hAnsi="Arial" w:cs="Arial"/>
                <w:b/>
                <w:color w:val="000000"/>
                <w:sz w:val="20"/>
                <w:szCs w:val="20"/>
              </w:rPr>
            </w:pPr>
            <w:r w:rsidRPr="003D1614">
              <w:rPr>
                <w:rFonts w:ascii="Arial" w:eastAsia="Calibri" w:hAnsi="Arial" w:cs="Arial"/>
                <w:b/>
                <w:color w:val="000000"/>
                <w:sz w:val="20"/>
                <w:szCs w:val="20"/>
              </w:rPr>
              <w:t>000 eura</w:t>
            </w:r>
          </w:p>
        </w:tc>
      </w:tr>
      <w:tr w:rsidR="008552FD" w:rsidRPr="003D1614" w14:paraId="55E50F70" w14:textId="77777777" w:rsidTr="00CA7F04">
        <w:trPr>
          <w:trHeight w:hRule="exact" w:val="299"/>
          <w:jc w:val="center"/>
        </w:trPr>
        <w:tc>
          <w:tcPr>
            <w:tcW w:w="2758" w:type="pct"/>
          </w:tcPr>
          <w:p w14:paraId="07DD44A8" w14:textId="77777777" w:rsidR="008552FD" w:rsidRPr="003D1614" w:rsidRDefault="008552FD" w:rsidP="00CA7F04">
            <w:pPr>
              <w:tabs>
                <w:tab w:val="right" w:pos="1202"/>
              </w:tabs>
              <w:suppressAutoHyphens/>
              <w:autoSpaceDN w:val="0"/>
              <w:spacing w:line="260" w:lineRule="exact"/>
              <w:outlineLvl w:val="0"/>
              <w:rPr>
                <w:rFonts w:ascii="Arial" w:eastAsia="Calibri" w:hAnsi="Arial" w:cs="Arial"/>
                <w:b/>
                <w:i/>
                <w:color w:val="000000"/>
                <w:spacing w:val="-2"/>
                <w:sz w:val="20"/>
                <w:szCs w:val="20"/>
              </w:rPr>
            </w:pPr>
          </w:p>
        </w:tc>
        <w:tc>
          <w:tcPr>
            <w:tcW w:w="1122" w:type="pct"/>
          </w:tcPr>
          <w:p w14:paraId="4E9FA49E" w14:textId="77777777" w:rsidR="008552FD" w:rsidRPr="003D1614" w:rsidRDefault="008552FD" w:rsidP="00CA7F04">
            <w:pPr>
              <w:tabs>
                <w:tab w:val="right" w:pos="1202"/>
              </w:tabs>
              <w:suppressAutoHyphens/>
              <w:autoSpaceDN w:val="0"/>
              <w:spacing w:line="260" w:lineRule="exact"/>
              <w:jc w:val="right"/>
              <w:outlineLvl w:val="0"/>
              <w:rPr>
                <w:rFonts w:ascii="Arial" w:eastAsia="Calibri" w:hAnsi="Arial" w:cs="Arial"/>
                <w:color w:val="000000"/>
                <w:sz w:val="20"/>
                <w:szCs w:val="20"/>
              </w:rPr>
            </w:pPr>
          </w:p>
        </w:tc>
        <w:tc>
          <w:tcPr>
            <w:tcW w:w="1120" w:type="pct"/>
          </w:tcPr>
          <w:p w14:paraId="5D7B1518" w14:textId="77777777" w:rsidR="008552FD" w:rsidRPr="003D1614" w:rsidRDefault="008552FD" w:rsidP="00CA7F04">
            <w:pPr>
              <w:tabs>
                <w:tab w:val="right" w:pos="1202"/>
              </w:tabs>
              <w:suppressAutoHyphens/>
              <w:autoSpaceDN w:val="0"/>
              <w:spacing w:line="260" w:lineRule="exact"/>
              <w:jc w:val="right"/>
              <w:outlineLvl w:val="0"/>
              <w:rPr>
                <w:rFonts w:ascii="Arial" w:eastAsia="Calibri" w:hAnsi="Arial" w:cs="Arial"/>
                <w:color w:val="000000"/>
                <w:sz w:val="20"/>
                <w:szCs w:val="20"/>
              </w:rPr>
            </w:pPr>
          </w:p>
        </w:tc>
      </w:tr>
      <w:tr w:rsidR="00C20CAB" w:rsidRPr="003D1614" w14:paraId="20098A27" w14:textId="77777777" w:rsidTr="00CA7F04">
        <w:trPr>
          <w:trHeight w:val="298"/>
          <w:jc w:val="center"/>
        </w:trPr>
        <w:tc>
          <w:tcPr>
            <w:tcW w:w="2758" w:type="pct"/>
            <w:vAlign w:val="bottom"/>
            <w:hideMark/>
          </w:tcPr>
          <w:p w14:paraId="4F8E0DBC" w14:textId="77777777" w:rsidR="00C20CAB" w:rsidRPr="003D1614" w:rsidRDefault="00C20CAB" w:rsidP="00C20CAB">
            <w:pPr>
              <w:suppressAutoHyphens/>
              <w:autoSpaceDN w:val="0"/>
              <w:spacing w:line="256" w:lineRule="auto"/>
              <w:rPr>
                <w:rFonts w:ascii="Arial" w:eastAsia="Calibri" w:hAnsi="Arial" w:cs="Arial"/>
                <w:b/>
                <w:bCs/>
                <w:color w:val="000000"/>
                <w:sz w:val="20"/>
                <w:szCs w:val="20"/>
              </w:rPr>
            </w:pPr>
            <w:r w:rsidRPr="003D1614">
              <w:rPr>
                <w:rFonts w:ascii="Arial" w:eastAsia="Calibri" w:hAnsi="Arial" w:cs="Arial"/>
                <w:b/>
                <w:bCs/>
                <w:color w:val="000000"/>
                <w:sz w:val="20"/>
                <w:szCs w:val="20"/>
              </w:rPr>
              <w:t xml:space="preserve">Stanje 1. siječnja </w:t>
            </w:r>
          </w:p>
        </w:tc>
        <w:tc>
          <w:tcPr>
            <w:tcW w:w="1122" w:type="pct"/>
            <w:tcBorders>
              <w:top w:val="nil"/>
              <w:left w:val="nil"/>
              <w:bottom w:val="single" w:sz="2" w:space="0" w:color="auto"/>
              <w:right w:val="nil"/>
            </w:tcBorders>
            <w:vAlign w:val="bottom"/>
          </w:tcPr>
          <w:p w14:paraId="17B1BB2B" w14:textId="6CFCDF76" w:rsidR="00C20CAB" w:rsidRPr="003D1614" w:rsidRDefault="00686FD6" w:rsidP="00C20CAB">
            <w:pPr>
              <w:tabs>
                <w:tab w:val="right" w:pos="1202"/>
              </w:tabs>
              <w:suppressAutoHyphens/>
              <w:autoSpaceDN w:val="0"/>
              <w:spacing w:line="260" w:lineRule="exact"/>
              <w:jc w:val="right"/>
              <w:outlineLvl w:val="0"/>
              <w:rPr>
                <w:rFonts w:ascii="Arial" w:eastAsia="Calibri" w:hAnsi="Arial" w:cs="Arial"/>
                <w:b/>
                <w:color w:val="000000"/>
                <w:sz w:val="20"/>
                <w:szCs w:val="20"/>
              </w:rPr>
            </w:pPr>
            <w:r w:rsidRPr="00686FD6">
              <w:rPr>
                <w:rFonts w:ascii="Arial" w:eastAsia="Calibri" w:hAnsi="Arial" w:cs="Arial"/>
                <w:b/>
                <w:color w:val="000000"/>
                <w:sz w:val="20"/>
                <w:szCs w:val="20"/>
              </w:rPr>
              <w:t>33.698</w:t>
            </w:r>
          </w:p>
        </w:tc>
        <w:tc>
          <w:tcPr>
            <w:tcW w:w="1120" w:type="pct"/>
            <w:tcBorders>
              <w:top w:val="nil"/>
              <w:left w:val="nil"/>
              <w:bottom w:val="single" w:sz="2" w:space="0" w:color="auto"/>
              <w:right w:val="nil"/>
            </w:tcBorders>
            <w:vAlign w:val="bottom"/>
          </w:tcPr>
          <w:p w14:paraId="18661A3E" w14:textId="4FBCCECA" w:rsidR="00C20CAB" w:rsidRPr="006345D9" w:rsidRDefault="00C20CAB" w:rsidP="00C20CAB">
            <w:pPr>
              <w:tabs>
                <w:tab w:val="right" w:pos="1202"/>
              </w:tabs>
              <w:suppressAutoHyphens/>
              <w:autoSpaceDN w:val="0"/>
              <w:spacing w:line="260" w:lineRule="exact"/>
              <w:jc w:val="right"/>
              <w:outlineLvl w:val="0"/>
              <w:rPr>
                <w:rFonts w:ascii="Arial" w:eastAsia="Calibri" w:hAnsi="Arial" w:cs="Arial"/>
                <w:b/>
                <w:color w:val="000000"/>
                <w:sz w:val="20"/>
                <w:szCs w:val="20"/>
                <w:highlight w:val="yellow"/>
              </w:rPr>
            </w:pPr>
            <w:r w:rsidRPr="00BC47F3">
              <w:rPr>
                <w:rFonts w:ascii="Arial" w:eastAsia="Calibri" w:hAnsi="Arial" w:cs="Arial"/>
                <w:b/>
                <w:color w:val="000000"/>
                <w:sz w:val="20"/>
                <w:szCs w:val="20"/>
              </w:rPr>
              <w:t>3.030</w:t>
            </w:r>
          </w:p>
        </w:tc>
      </w:tr>
      <w:tr w:rsidR="00C20CAB" w:rsidRPr="003D1614" w14:paraId="1D5E5A7B" w14:textId="77777777" w:rsidTr="00CA7F04">
        <w:trPr>
          <w:trHeight w:val="298"/>
          <w:jc w:val="center"/>
        </w:trPr>
        <w:tc>
          <w:tcPr>
            <w:tcW w:w="2758" w:type="pct"/>
            <w:vAlign w:val="bottom"/>
            <w:hideMark/>
          </w:tcPr>
          <w:p w14:paraId="2905B48A" w14:textId="77777777" w:rsidR="00C20CAB" w:rsidRPr="003D1614" w:rsidRDefault="00C20CAB" w:rsidP="00C20CAB">
            <w:pPr>
              <w:suppressAutoHyphens/>
              <w:autoSpaceDN w:val="0"/>
              <w:spacing w:line="256" w:lineRule="auto"/>
              <w:rPr>
                <w:rFonts w:ascii="Arial" w:eastAsia="Calibri" w:hAnsi="Arial" w:cs="Arial"/>
                <w:color w:val="000000"/>
                <w:sz w:val="20"/>
                <w:szCs w:val="20"/>
              </w:rPr>
            </w:pPr>
            <w:r w:rsidRPr="003D1614">
              <w:rPr>
                <w:rFonts w:ascii="Arial" w:eastAsia="Calibri" w:hAnsi="Arial" w:cs="Arial"/>
                <w:color w:val="000000"/>
                <w:sz w:val="20"/>
                <w:szCs w:val="20"/>
              </w:rPr>
              <w:t>Povećanje/smanjenje fer vrijednosti kroz račun dobiti i gubitka</w:t>
            </w:r>
          </w:p>
        </w:tc>
        <w:tc>
          <w:tcPr>
            <w:tcW w:w="1122" w:type="pct"/>
            <w:tcBorders>
              <w:top w:val="single" w:sz="2" w:space="0" w:color="auto"/>
              <w:left w:val="nil"/>
              <w:right w:val="nil"/>
            </w:tcBorders>
            <w:shd w:val="clear" w:color="auto" w:fill="auto"/>
            <w:vAlign w:val="bottom"/>
          </w:tcPr>
          <w:p w14:paraId="5AEBD8B7" w14:textId="6005CCC6" w:rsidR="00C20CAB" w:rsidRPr="003D1614" w:rsidRDefault="00686FD6" w:rsidP="00C20CAB">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w:t>
            </w:r>
            <w:r w:rsidRPr="00686FD6">
              <w:rPr>
                <w:rFonts w:ascii="Arial" w:eastAsia="Calibri" w:hAnsi="Arial" w:cs="Arial"/>
                <w:color w:val="000000"/>
                <w:sz w:val="20"/>
                <w:szCs w:val="20"/>
              </w:rPr>
              <w:t>534</w:t>
            </w:r>
            <w:r>
              <w:rPr>
                <w:rFonts w:ascii="Arial" w:eastAsia="Calibri" w:hAnsi="Arial" w:cs="Arial"/>
                <w:color w:val="000000"/>
                <w:sz w:val="20"/>
                <w:szCs w:val="20"/>
              </w:rPr>
              <w:t>)</w:t>
            </w:r>
          </w:p>
        </w:tc>
        <w:tc>
          <w:tcPr>
            <w:tcW w:w="1120" w:type="pct"/>
            <w:tcBorders>
              <w:top w:val="single" w:sz="2" w:space="0" w:color="auto"/>
              <w:left w:val="nil"/>
              <w:right w:val="nil"/>
            </w:tcBorders>
            <w:shd w:val="clear" w:color="auto" w:fill="auto"/>
            <w:vAlign w:val="bottom"/>
          </w:tcPr>
          <w:p w14:paraId="24E5C25E" w14:textId="133FCB47" w:rsidR="00C20CAB" w:rsidRPr="006345D9" w:rsidRDefault="00C20CAB" w:rsidP="00C20CAB">
            <w:pPr>
              <w:tabs>
                <w:tab w:val="right" w:pos="1202"/>
              </w:tabs>
              <w:suppressAutoHyphens/>
              <w:autoSpaceDN w:val="0"/>
              <w:spacing w:line="260" w:lineRule="exact"/>
              <w:jc w:val="right"/>
              <w:outlineLvl w:val="0"/>
              <w:rPr>
                <w:rFonts w:ascii="Arial" w:eastAsia="Calibri" w:hAnsi="Arial" w:cs="Arial"/>
                <w:color w:val="000000"/>
                <w:sz w:val="20"/>
                <w:szCs w:val="20"/>
                <w:highlight w:val="yellow"/>
              </w:rPr>
            </w:pPr>
            <w:r>
              <w:rPr>
                <w:rFonts w:ascii="Arial" w:eastAsia="Calibri" w:hAnsi="Arial" w:cs="Arial"/>
                <w:color w:val="000000"/>
                <w:sz w:val="20"/>
                <w:szCs w:val="20"/>
              </w:rPr>
              <w:t>2.516</w:t>
            </w:r>
          </w:p>
        </w:tc>
      </w:tr>
      <w:tr w:rsidR="00C20CAB" w:rsidRPr="003D1614" w14:paraId="311F7BF1" w14:textId="77777777" w:rsidTr="00CA7F04">
        <w:trPr>
          <w:trHeight w:val="298"/>
          <w:jc w:val="center"/>
        </w:trPr>
        <w:tc>
          <w:tcPr>
            <w:tcW w:w="2758" w:type="pct"/>
            <w:vAlign w:val="bottom"/>
          </w:tcPr>
          <w:p w14:paraId="47C1DB5A" w14:textId="77777777" w:rsidR="00C20CAB" w:rsidRPr="003D1614" w:rsidRDefault="00C20CAB" w:rsidP="00C20CAB">
            <w:pPr>
              <w:suppressAutoHyphens/>
              <w:autoSpaceDN w:val="0"/>
              <w:spacing w:line="256" w:lineRule="auto"/>
              <w:rPr>
                <w:rFonts w:ascii="Arial" w:eastAsia="Calibri" w:hAnsi="Arial" w:cs="Arial"/>
                <w:color w:val="000000"/>
                <w:sz w:val="20"/>
                <w:szCs w:val="20"/>
              </w:rPr>
            </w:pPr>
            <w:r w:rsidRPr="003D1614">
              <w:rPr>
                <w:rFonts w:ascii="Arial" w:eastAsia="Calibri" w:hAnsi="Arial" w:cs="Arial"/>
                <w:color w:val="000000"/>
                <w:sz w:val="20"/>
                <w:szCs w:val="20"/>
              </w:rPr>
              <w:t>Neto tečajne razlike</w:t>
            </w:r>
          </w:p>
        </w:tc>
        <w:tc>
          <w:tcPr>
            <w:tcW w:w="1122" w:type="pct"/>
            <w:tcBorders>
              <w:left w:val="nil"/>
              <w:right w:val="nil"/>
            </w:tcBorders>
            <w:shd w:val="clear" w:color="auto" w:fill="auto"/>
            <w:vAlign w:val="bottom"/>
          </w:tcPr>
          <w:p w14:paraId="7308EE26" w14:textId="53AB82CC" w:rsidR="00C20CAB" w:rsidRPr="003D1614" w:rsidRDefault="00686FD6" w:rsidP="00C20CAB">
            <w:pPr>
              <w:tabs>
                <w:tab w:val="right" w:pos="1202"/>
              </w:tabs>
              <w:suppressAutoHyphens/>
              <w:autoSpaceDN w:val="0"/>
              <w:spacing w:line="260" w:lineRule="exact"/>
              <w:jc w:val="right"/>
              <w:outlineLvl w:val="0"/>
              <w:rPr>
                <w:rFonts w:ascii="Arial" w:eastAsia="Calibri" w:hAnsi="Arial" w:cs="Arial"/>
                <w:color w:val="000000"/>
                <w:sz w:val="20"/>
                <w:szCs w:val="20"/>
              </w:rPr>
            </w:pPr>
            <w:r w:rsidRPr="00686FD6">
              <w:rPr>
                <w:rFonts w:ascii="Arial" w:eastAsia="Calibri" w:hAnsi="Arial" w:cs="Arial"/>
                <w:color w:val="000000"/>
                <w:sz w:val="20"/>
                <w:szCs w:val="20"/>
              </w:rPr>
              <w:t>108</w:t>
            </w:r>
          </w:p>
        </w:tc>
        <w:tc>
          <w:tcPr>
            <w:tcW w:w="1120" w:type="pct"/>
            <w:tcBorders>
              <w:left w:val="nil"/>
              <w:right w:val="nil"/>
            </w:tcBorders>
            <w:shd w:val="clear" w:color="auto" w:fill="auto"/>
            <w:vAlign w:val="bottom"/>
          </w:tcPr>
          <w:p w14:paraId="38A51B92" w14:textId="14266A1B" w:rsidR="00C20CAB" w:rsidRPr="006345D9" w:rsidRDefault="00C20CAB" w:rsidP="00C20CAB">
            <w:pPr>
              <w:tabs>
                <w:tab w:val="right" w:pos="1202"/>
              </w:tabs>
              <w:suppressAutoHyphens/>
              <w:autoSpaceDN w:val="0"/>
              <w:spacing w:line="260" w:lineRule="exact"/>
              <w:jc w:val="right"/>
              <w:outlineLvl w:val="0"/>
              <w:rPr>
                <w:rFonts w:ascii="Arial" w:eastAsia="Calibri" w:hAnsi="Arial" w:cs="Arial"/>
                <w:color w:val="000000"/>
                <w:sz w:val="20"/>
                <w:szCs w:val="20"/>
                <w:highlight w:val="yellow"/>
              </w:rPr>
            </w:pPr>
            <w:r>
              <w:rPr>
                <w:rFonts w:ascii="Arial" w:eastAsia="Calibri" w:hAnsi="Arial" w:cs="Arial"/>
                <w:color w:val="000000"/>
                <w:sz w:val="20"/>
                <w:szCs w:val="20"/>
              </w:rPr>
              <w:t>(61)</w:t>
            </w:r>
          </w:p>
        </w:tc>
      </w:tr>
      <w:tr w:rsidR="00C20CAB" w:rsidRPr="003D1614" w14:paraId="69F05C88" w14:textId="77777777" w:rsidTr="00CA7F04">
        <w:trPr>
          <w:trHeight w:val="298"/>
          <w:jc w:val="center"/>
        </w:trPr>
        <w:tc>
          <w:tcPr>
            <w:tcW w:w="2758" w:type="pct"/>
            <w:vAlign w:val="bottom"/>
          </w:tcPr>
          <w:p w14:paraId="3E7139B5" w14:textId="77777777" w:rsidR="00C20CAB" w:rsidRPr="003D1614" w:rsidRDefault="00C20CAB" w:rsidP="00C20CAB">
            <w:pPr>
              <w:suppressAutoHyphens/>
              <w:autoSpaceDN w:val="0"/>
              <w:rPr>
                <w:rFonts w:ascii="Arial" w:eastAsia="Calibri" w:hAnsi="Arial" w:cs="Arial"/>
                <w:b/>
                <w:bCs/>
                <w:color w:val="000000"/>
                <w:sz w:val="20"/>
                <w:szCs w:val="20"/>
              </w:rPr>
            </w:pPr>
            <w:r w:rsidRPr="003D1614">
              <w:rPr>
                <w:rFonts w:ascii="Arial" w:eastAsia="Calibri" w:hAnsi="Arial" w:cs="Arial"/>
                <w:b/>
                <w:bCs/>
                <w:color w:val="000000"/>
                <w:sz w:val="20"/>
                <w:szCs w:val="20"/>
              </w:rPr>
              <w:t>Stanje 31. ožujka</w:t>
            </w:r>
          </w:p>
        </w:tc>
        <w:tc>
          <w:tcPr>
            <w:tcW w:w="1122" w:type="pct"/>
            <w:tcBorders>
              <w:top w:val="single" w:sz="8" w:space="0" w:color="000000"/>
              <w:left w:val="nil"/>
              <w:bottom w:val="single" w:sz="12" w:space="0" w:color="auto"/>
              <w:right w:val="nil"/>
            </w:tcBorders>
            <w:shd w:val="clear" w:color="auto" w:fill="auto"/>
            <w:vAlign w:val="bottom"/>
          </w:tcPr>
          <w:p w14:paraId="18BFB27E" w14:textId="588C9CDF" w:rsidR="00C20CAB" w:rsidRPr="003D1614" w:rsidRDefault="00686FD6" w:rsidP="00C20CAB">
            <w:pPr>
              <w:tabs>
                <w:tab w:val="right" w:pos="1202"/>
              </w:tabs>
              <w:suppressAutoHyphens/>
              <w:autoSpaceDN w:val="0"/>
              <w:jc w:val="right"/>
              <w:outlineLvl w:val="0"/>
              <w:rPr>
                <w:rFonts w:ascii="Arial" w:eastAsia="Calibri" w:hAnsi="Arial" w:cs="Arial"/>
                <w:b/>
                <w:color w:val="000000"/>
                <w:sz w:val="20"/>
                <w:szCs w:val="20"/>
              </w:rPr>
            </w:pPr>
            <w:r w:rsidRPr="00686FD6">
              <w:rPr>
                <w:rFonts w:ascii="Arial" w:eastAsia="Calibri" w:hAnsi="Arial" w:cs="Arial"/>
                <w:b/>
                <w:color w:val="000000"/>
                <w:sz w:val="20"/>
                <w:szCs w:val="20"/>
              </w:rPr>
              <w:t>33.272</w:t>
            </w:r>
          </w:p>
        </w:tc>
        <w:tc>
          <w:tcPr>
            <w:tcW w:w="1120" w:type="pct"/>
            <w:tcBorders>
              <w:top w:val="single" w:sz="8" w:space="0" w:color="000000"/>
              <w:left w:val="nil"/>
              <w:bottom w:val="single" w:sz="12" w:space="0" w:color="auto"/>
              <w:right w:val="nil"/>
            </w:tcBorders>
            <w:shd w:val="clear" w:color="auto" w:fill="auto"/>
            <w:vAlign w:val="bottom"/>
          </w:tcPr>
          <w:p w14:paraId="0D2F482B" w14:textId="3EBC7351" w:rsidR="00C20CAB" w:rsidRPr="006345D9" w:rsidRDefault="00C20CAB" w:rsidP="00C20CAB">
            <w:pPr>
              <w:tabs>
                <w:tab w:val="right" w:pos="1202"/>
              </w:tabs>
              <w:suppressAutoHyphens/>
              <w:autoSpaceDN w:val="0"/>
              <w:spacing w:line="260" w:lineRule="exact"/>
              <w:jc w:val="right"/>
              <w:outlineLvl w:val="0"/>
              <w:rPr>
                <w:rFonts w:ascii="Arial" w:eastAsia="Calibri" w:hAnsi="Arial" w:cs="Arial"/>
                <w:b/>
                <w:color w:val="000000"/>
                <w:sz w:val="20"/>
                <w:szCs w:val="20"/>
                <w:highlight w:val="yellow"/>
              </w:rPr>
            </w:pPr>
            <w:r>
              <w:rPr>
                <w:rFonts w:ascii="Arial" w:eastAsia="Calibri" w:hAnsi="Arial" w:cs="Arial"/>
                <w:b/>
                <w:color w:val="000000"/>
                <w:sz w:val="20"/>
                <w:szCs w:val="20"/>
              </w:rPr>
              <w:t>5.485</w:t>
            </w:r>
          </w:p>
        </w:tc>
      </w:tr>
    </w:tbl>
    <w:p w14:paraId="451AAF1D" w14:textId="77777777" w:rsidR="008552FD" w:rsidRPr="003D1614" w:rsidRDefault="008552FD" w:rsidP="008552FD">
      <w:pPr>
        <w:suppressAutoHyphens/>
        <w:autoSpaceDN w:val="0"/>
        <w:ind w:left="284"/>
        <w:contextualSpacing/>
        <w:rPr>
          <w:rFonts w:ascii="Arial" w:eastAsia="Calibri" w:hAnsi="Arial" w:cs="Arial"/>
          <w:color w:val="000000" w:themeColor="text1"/>
          <w:sz w:val="20"/>
          <w:szCs w:val="20"/>
        </w:rPr>
      </w:pPr>
    </w:p>
    <w:p w14:paraId="2BBCBFFB" w14:textId="77777777" w:rsidR="008552FD" w:rsidRPr="003D1614" w:rsidRDefault="008552FD" w:rsidP="008552FD">
      <w:pPr>
        <w:suppressAutoHyphens/>
        <w:autoSpaceDN w:val="0"/>
        <w:ind w:left="284"/>
        <w:contextualSpacing/>
        <w:rPr>
          <w:rFonts w:ascii="Arial" w:eastAsia="Calibri" w:hAnsi="Arial" w:cs="Arial"/>
          <w:color w:val="000000" w:themeColor="text1"/>
          <w:sz w:val="20"/>
          <w:szCs w:val="20"/>
        </w:rPr>
      </w:pPr>
    </w:p>
    <w:p w14:paraId="031DCEDD" w14:textId="77777777" w:rsidR="008552FD" w:rsidRPr="003D1614" w:rsidRDefault="008552FD" w:rsidP="008552FD">
      <w:pPr>
        <w:suppressAutoHyphens/>
        <w:autoSpaceDN w:val="0"/>
        <w:rPr>
          <w:rFonts w:ascii="Arial" w:eastAsia="Calibri" w:hAnsi="Arial" w:cs="Arial"/>
          <w:color w:val="000000" w:themeColor="text1"/>
          <w:sz w:val="20"/>
          <w:szCs w:val="20"/>
        </w:rPr>
      </w:pPr>
    </w:p>
    <w:p w14:paraId="29959D1F" w14:textId="77777777" w:rsidR="008552FD" w:rsidRPr="003D1614" w:rsidRDefault="008552FD" w:rsidP="008552FD">
      <w:pPr>
        <w:numPr>
          <w:ilvl w:val="2"/>
          <w:numId w:val="28"/>
        </w:numPr>
        <w:suppressAutoHyphens/>
        <w:autoSpaceDN w:val="0"/>
        <w:ind w:left="284" w:hanging="142"/>
        <w:contextualSpacing/>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Fer vrijednost financijske imovine razine 3 koja je nakon početnog priznavanja svedena na fer vrijednost – dužnički vrijednosni papiri koji ne kotiraju:</w:t>
      </w:r>
    </w:p>
    <w:p w14:paraId="6BB987E0" w14:textId="77777777" w:rsidR="008552FD" w:rsidRPr="003D1614" w:rsidRDefault="008552FD" w:rsidP="008552FD">
      <w:pPr>
        <w:suppressAutoHyphens/>
        <w:autoSpaceDN w:val="0"/>
        <w:rPr>
          <w:rFonts w:ascii="Arial" w:eastAsia="Calibri" w:hAnsi="Arial" w:cs="Arial"/>
          <w:color w:val="000000" w:themeColor="text1"/>
          <w:sz w:val="20"/>
          <w:szCs w:val="20"/>
        </w:rPr>
      </w:pPr>
    </w:p>
    <w:tbl>
      <w:tblPr>
        <w:tblW w:w="5000" w:type="pct"/>
        <w:jc w:val="center"/>
        <w:tblCellMar>
          <w:left w:w="122" w:type="dxa"/>
          <w:right w:w="122" w:type="dxa"/>
        </w:tblCellMar>
        <w:tblLook w:val="04A0" w:firstRow="1" w:lastRow="0" w:firstColumn="1" w:lastColumn="0" w:noHBand="0" w:noVBand="1"/>
      </w:tblPr>
      <w:tblGrid>
        <w:gridCol w:w="5004"/>
        <w:gridCol w:w="2034"/>
        <w:gridCol w:w="2034"/>
      </w:tblGrid>
      <w:tr w:rsidR="008552FD" w:rsidRPr="003D1614" w14:paraId="75FD5DD8" w14:textId="77777777" w:rsidTr="00CA7F04">
        <w:trPr>
          <w:trHeight w:hRule="exact" w:val="253"/>
          <w:jc w:val="center"/>
        </w:trPr>
        <w:tc>
          <w:tcPr>
            <w:tcW w:w="2758" w:type="pct"/>
          </w:tcPr>
          <w:p w14:paraId="479E9682" w14:textId="77777777" w:rsidR="008552FD" w:rsidRPr="003D1614" w:rsidRDefault="008552FD" w:rsidP="00CA7F04">
            <w:pPr>
              <w:tabs>
                <w:tab w:val="right" w:pos="1202"/>
              </w:tabs>
              <w:suppressAutoHyphens/>
              <w:autoSpaceDN w:val="0"/>
              <w:spacing w:line="260" w:lineRule="exact"/>
              <w:outlineLvl w:val="0"/>
              <w:rPr>
                <w:rFonts w:ascii="Arial" w:eastAsia="Calibri" w:hAnsi="Arial" w:cs="Arial"/>
                <w:b/>
                <w:color w:val="000000"/>
                <w:spacing w:val="-2"/>
                <w:sz w:val="20"/>
                <w:szCs w:val="20"/>
              </w:rPr>
            </w:pPr>
            <w:r w:rsidRPr="003D1614">
              <w:rPr>
                <w:rFonts w:ascii="Arial" w:eastAsia="Calibri" w:hAnsi="Arial" w:cs="Arial"/>
                <w:b/>
                <w:color w:val="000000"/>
                <w:spacing w:val="-2"/>
                <w:sz w:val="20"/>
                <w:szCs w:val="20"/>
              </w:rPr>
              <w:t>Grupa i Banka</w:t>
            </w:r>
          </w:p>
        </w:tc>
        <w:tc>
          <w:tcPr>
            <w:tcW w:w="1121" w:type="pct"/>
            <w:vAlign w:val="center"/>
          </w:tcPr>
          <w:p w14:paraId="2A00D610" w14:textId="3726E24F" w:rsidR="008552FD" w:rsidRPr="003D1614" w:rsidRDefault="008552FD" w:rsidP="00CA7F04">
            <w:pPr>
              <w:tabs>
                <w:tab w:val="right" w:pos="1202"/>
              </w:tabs>
              <w:suppressAutoHyphens/>
              <w:autoSpaceDN w:val="0"/>
              <w:spacing w:line="260" w:lineRule="exact"/>
              <w:jc w:val="right"/>
              <w:outlineLvl w:val="0"/>
              <w:rPr>
                <w:rFonts w:ascii="Arial" w:eastAsia="Calibri" w:hAnsi="Arial" w:cs="Arial"/>
                <w:b/>
                <w:color w:val="000000"/>
                <w:sz w:val="20"/>
                <w:szCs w:val="20"/>
              </w:rPr>
            </w:pPr>
            <w:r w:rsidRPr="003D1614">
              <w:rPr>
                <w:rFonts w:ascii="Arial" w:eastAsia="Calibri" w:hAnsi="Arial" w:cs="Arial"/>
                <w:b/>
                <w:color w:val="000000"/>
                <w:sz w:val="20"/>
                <w:szCs w:val="20"/>
              </w:rPr>
              <w:t>31.3.202</w:t>
            </w:r>
            <w:r w:rsidR="00C20CAB">
              <w:rPr>
                <w:rFonts w:ascii="Arial" w:eastAsia="Calibri" w:hAnsi="Arial" w:cs="Arial"/>
                <w:b/>
                <w:color w:val="000000"/>
                <w:sz w:val="20"/>
                <w:szCs w:val="20"/>
              </w:rPr>
              <w:t>4</w:t>
            </w:r>
            <w:r w:rsidRPr="003D1614">
              <w:rPr>
                <w:rFonts w:ascii="Arial" w:eastAsia="Calibri" w:hAnsi="Arial" w:cs="Arial"/>
                <w:b/>
                <w:color w:val="000000"/>
                <w:sz w:val="20"/>
                <w:szCs w:val="20"/>
              </w:rPr>
              <w:t>.</w:t>
            </w:r>
          </w:p>
        </w:tc>
        <w:tc>
          <w:tcPr>
            <w:tcW w:w="1121" w:type="pct"/>
          </w:tcPr>
          <w:p w14:paraId="7D20FFAC" w14:textId="3E10BC81" w:rsidR="008552FD" w:rsidRPr="003D1614" w:rsidRDefault="008552FD" w:rsidP="00CA7F04">
            <w:pPr>
              <w:tabs>
                <w:tab w:val="right" w:pos="1202"/>
              </w:tabs>
              <w:suppressAutoHyphens/>
              <w:autoSpaceDN w:val="0"/>
              <w:spacing w:line="260" w:lineRule="exact"/>
              <w:jc w:val="right"/>
              <w:outlineLvl w:val="0"/>
              <w:rPr>
                <w:rFonts w:ascii="Arial" w:eastAsia="Calibri" w:hAnsi="Arial" w:cs="Arial"/>
                <w:b/>
                <w:color w:val="000000"/>
                <w:sz w:val="20"/>
                <w:szCs w:val="20"/>
              </w:rPr>
            </w:pPr>
            <w:r w:rsidRPr="003D1614">
              <w:rPr>
                <w:rFonts w:ascii="Arial" w:eastAsia="Calibri" w:hAnsi="Arial" w:cs="Arial"/>
                <w:b/>
                <w:color w:val="000000"/>
                <w:sz w:val="20"/>
                <w:szCs w:val="20"/>
              </w:rPr>
              <w:t>31.3.202</w:t>
            </w:r>
            <w:r w:rsidR="00C20CAB">
              <w:rPr>
                <w:rFonts w:ascii="Arial" w:eastAsia="Calibri" w:hAnsi="Arial" w:cs="Arial"/>
                <w:b/>
                <w:color w:val="000000"/>
                <w:sz w:val="20"/>
                <w:szCs w:val="20"/>
              </w:rPr>
              <w:t>3</w:t>
            </w:r>
            <w:r w:rsidRPr="003D1614">
              <w:rPr>
                <w:rFonts w:ascii="Arial" w:eastAsia="Calibri" w:hAnsi="Arial" w:cs="Arial"/>
                <w:b/>
                <w:color w:val="000000"/>
                <w:sz w:val="20"/>
                <w:szCs w:val="20"/>
              </w:rPr>
              <w:t>.</w:t>
            </w:r>
          </w:p>
        </w:tc>
      </w:tr>
      <w:tr w:rsidR="008552FD" w:rsidRPr="003D1614" w14:paraId="520B352D" w14:textId="77777777" w:rsidTr="00CA7F04">
        <w:trPr>
          <w:trHeight w:hRule="exact" w:val="227"/>
          <w:jc w:val="center"/>
        </w:trPr>
        <w:tc>
          <w:tcPr>
            <w:tcW w:w="2758" w:type="pct"/>
          </w:tcPr>
          <w:p w14:paraId="14062B1F" w14:textId="77777777" w:rsidR="008552FD" w:rsidRPr="003D1614" w:rsidRDefault="008552FD" w:rsidP="00CA7F04">
            <w:pPr>
              <w:tabs>
                <w:tab w:val="right" w:pos="1202"/>
              </w:tabs>
              <w:suppressAutoHyphens/>
              <w:autoSpaceDN w:val="0"/>
              <w:spacing w:line="260" w:lineRule="exact"/>
              <w:outlineLvl w:val="0"/>
              <w:rPr>
                <w:rFonts w:ascii="Arial" w:eastAsia="Calibri" w:hAnsi="Arial" w:cs="Arial"/>
                <w:b/>
                <w:color w:val="000000"/>
                <w:spacing w:val="-2"/>
                <w:sz w:val="20"/>
                <w:szCs w:val="20"/>
              </w:rPr>
            </w:pPr>
          </w:p>
        </w:tc>
        <w:tc>
          <w:tcPr>
            <w:tcW w:w="1121" w:type="pct"/>
          </w:tcPr>
          <w:p w14:paraId="4BB0FD48" w14:textId="77777777" w:rsidR="008552FD" w:rsidRPr="003D1614" w:rsidRDefault="008552FD" w:rsidP="00CA7F04">
            <w:pPr>
              <w:tabs>
                <w:tab w:val="right" w:pos="1202"/>
              </w:tabs>
              <w:suppressAutoHyphens/>
              <w:autoSpaceDN w:val="0"/>
              <w:spacing w:line="260" w:lineRule="exact"/>
              <w:jc w:val="right"/>
              <w:outlineLvl w:val="0"/>
              <w:rPr>
                <w:rFonts w:ascii="Arial" w:eastAsia="Calibri" w:hAnsi="Arial" w:cs="Arial"/>
                <w:b/>
                <w:color w:val="000000"/>
                <w:sz w:val="20"/>
                <w:szCs w:val="20"/>
              </w:rPr>
            </w:pPr>
            <w:r w:rsidRPr="003D1614">
              <w:rPr>
                <w:rFonts w:ascii="Arial" w:eastAsia="Calibri" w:hAnsi="Arial" w:cs="Arial"/>
                <w:b/>
                <w:color w:val="000000"/>
                <w:sz w:val="20"/>
                <w:szCs w:val="20"/>
              </w:rPr>
              <w:t>000 eura</w:t>
            </w:r>
          </w:p>
        </w:tc>
        <w:tc>
          <w:tcPr>
            <w:tcW w:w="1121" w:type="pct"/>
          </w:tcPr>
          <w:p w14:paraId="5FF195C3" w14:textId="77777777" w:rsidR="008552FD" w:rsidRPr="003D1614" w:rsidRDefault="008552FD" w:rsidP="00CA7F04">
            <w:pPr>
              <w:tabs>
                <w:tab w:val="right" w:pos="1202"/>
              </w:tabs>
              <w:suppressAutoHyphens/>
              <w:autoSpaceDN w:val="0"/>
              <w:spacing w:line="260" w:lineRule="exact"/>
              <w:jc w:val="right"/>
              <w:outlineLvl w:val="0"/>
              <w:rPr>
                <w:rFonts w:ascii="Arial" w:eastAsia="Calibri" w:hAnsi="Arial" w:cs="Arial"/>
                <w:b/>
                <w:color w:val="000000"/>
                <w:sz w:val="20"/>
                <w:szCs w:val="20"/>
              </w:rPr>
            </w:pPr>
            <w:r w:rsidRPr="003D1614">
              <w:rPr>
                <w:rFonts w:ascii="Arial" w:eastAsia="Calibri" w:hAnsi="Arial" w:cs="Arial"/>
                <w:b/>
                <w:color w:val="000000"/>
                <w:sz w:val="20"/>
                <w:szCs w:val="20"/>
              </w:rPr>
              <w:t>000 eura</w:t>
            </w:r>
          </w:p>
        </w:tc>
      </w:tr>
      <w:tr w:rsidR="008552FD" w:rsidRPr="003D1614" w14:paraId="3E955522" w14:textId="77777777" w:rsidTr="00CA7F04">
        <w:trPr>
          <w:trHeight w:hRule="exact" w:val="284"/>
          <w:jc w:val="center"/>
        </w:trPr>
        <w:tc>
          <w:tcPr>
            <w:tcW w:w="2758" w:type="pct"/>
          </w:tcPr>
          <w:p w14:paraId="1303E94D" w14:textId="77777777" w:rsidR="008552FD" w:rsidRPr="003D1614" w:rsidRDefault="008552FD" w:rsidP="00CA7F04">
            <w:pPr>
              <w:tabs>
                <w:tab w:val="right" w:pos="1202"/>
              </w:tabs>
              <w:suppressAutoHyphens/>
              <w:autoSpaceDN w:val="0"/>
              <w:spacing w:line="260" w:lineRule="exact"/>
              <w:outlineLvl w:val="0"/>
              <w:rPr>
                <w:rFonts w:ascii="Arial" w:eastAsia="Calibri" w:hAnsi="Arial" w:cs="Arial"/>
                <w:b/>
                <w:i/>
                <w:color w:val="000000"/>
                <w:spacing w:val="-2"/>
                <w:sz w:val="20"/>
                <w:szCs w:val="20"/>
              </w:rPr>
            </w:pPr>
          </w:p>
        </w:tc>
        <w:tc>
          <w:tcPr>
            <w:tcW w:w="1121" w:type="pct"/>
          </w:tcPr>
          <w:p w14:paraId="1819DC4F" w14:textId="77777777" w:rsidR="008552FD" w:rsidRPr="003D1614" w:rsidRDefault="008552FD" w:rsidP="00CA7F04">
            <w:pPr>
              <w:tabs>
                <w:tab w:val="right" w:pos="1202"/>
              </w:tabs>
              <w:suppressAutoHyphens/>
              <w:autoSpaceDN w:val="0"/>
              <w:spacing w:line="260" w:lineRule="exact"/>
              <w:jc w:val="right"/>
              <w:outlineLvl w:val="0"/>
              <w:rPr>
                <w:rFonts w:ascii="Arial" w:eastAsia="Calibri" w:hAnsi="Arial" w:cs="Arial"/>
                <w:color w:val="000000"/>
                <w:sz w:val="20"/>
                <w:szCs w:val="20"/>
              </w:rPr>
            </w:pPr>
          </w:p>
        </w:tc>
        <w:tc>
          <w:tcPr>
            <w:tcW w:w="1121" w:type="pct"/>
          </w:tcPr>
          <w:p w14:paraId="3325720E" w14:textId="77777777" w:rsidR="008552FD" w:rsidRPr="003D1614" w:rsidRDefault="008552FD" w:rsidP="00CA7F04">
            <w:pPr>
              <w:tabs>
                <w:tab w:val="right" w:pos="1202"/>
              </w:tabs>
              <w:suppressAutoHyphens/>
              <w:autoSpaceDN w:val="0"/>
              <w:spacing w:line="260" w:lineRule="exact"/>
              <w:jc w:val="right"/>
              <w:outlineLvl w:val="0"/>
              <w:rPr>
                <w:rFonts w:ascii="Arial" w:eastAsia="Calibri" w:hAnsi="Arial" w:cs="Arial"/>
                <w:color w:val="000000"/>
                <w:sz w:val="20"/>
                <w:szCs w:val="20"/>
              </w:rPr>
            </w:pPr>
          </w:p>
        </w:tc>
      </w:tr>
      <w:tr w:rsidR="00C20CAB" w:rsidRPr="003D1614" w14:paraId="6B711FD0" w14:textId="77777777" w:rsidTr="00CA7F04">
        <w:trPr>
          <w:trHeight w:val="283"/>
          <w:jc w:val="center"/>
        </w:trPr>
        <w:tc>
          <w:tcPr>
            <w:tcW w:w="2758" w:type="pct"/>
            <w:vAlign w:val="bottom"/>
            <w:hideMark/>
          </w:tcPr>
          <w:p w14:paraId="01EFCF39" w14:textId="77777777" w:rsidR="00C20CAB" w:rsidRPr="003D1614" w:rsidRDefault="00C20CAB" w:rsidP="00C20CAB">
            <w:pPr>
              <w:suppressAutoHyphens/>
              <w:autoSpaceDN w:val="0"/>
              <w:spacing w:line="256" w:lineRule="auto"/>
              <w:rPr>
                <w:rFonts w:ascii="Arial" w:eastAsia="Calibri" w:hAnsi="Arial" w:cs="Arial"/>
                <w:b/>
                <w:bCs/>
                <w:color w:val="000000"/>
                <w:sz w:val="20"/>
                <w:szCs w:val="20"/>
              </w:rPr>
            </w:pPr>
            <w:r w:rsidRPr="003D1614">
              <w:rPr>
                <w:rFonts w:ascii="Arial" w:eastAsia="Calibri" w:hAnsi="Arial" w:cs="Arial"/>
                <w:b/>
                <w:bCs/>
                <w:color w:val="000000"/>
                <w:sz w:val="20"/>
                <w:szCs w:val="20"/>
              </w:rPr>
              <w:t xml:space="preserve">Stanje 1. siječnja </w:t>
            </w:r>
          </w:p>
        </w:tc>
        <w:tc>
          <w:tcPr>
            <w:tcW w:w="1121" w:type="pct"/>
            <w:tcBorders>
              <w:top w:val="nil"/>
              <w:left w:val="nil"/>
              <w:bottom w:val="single" w:sz="2" w:space="0" w:color="auto"/>
              <w:right w:val="nil"/>
            </w:tcBorders>
            <w:vAlign w:val="bottom"/>
          </w:tcPr>
          <w:p w14:paraId="67ED7753" w14:textId="47135912" w:rsidR="00C20CAB" w:rsidRPr="003D1614" w:rsidRDefault="00686FD6" w:rsidP="00C20CAB">
            <w:pPr>
              <w:tabs>
                <w:tab w:val="right" w:pos="1202"/>
              </w:tabs>
              <w:suppressAutoHyphens/>
              <w:autoSpaceDN w:val="0"/>
              <w:spacing w:line="260" w:lineRule="exact"/>
              <w:jc w:val="right"/>
              <w:outlineLvl w:val="0"/>
              <w:rPr>
                <w:rFonts w:ascii="Arial" w:eastAsia="Calibri" w:hAnsi="Arial" w:cs="Arial"/>
                <w:b/>
                <w:color w:val="000000"/>
                <w:sz w:val="20"/>
                <w:szCs w:val="20"/>
              </w:rPr>
            </w:pPr>
            <w:r w:rsidRPr="00686FD6">
              <w:rPr>
                <w:rFonts w:ascii="Arial" w:eastAsia="Calibri" w:hAnsi="Arial" w:cs="Arial"/>
                <w:b/>
                <w:color w:val="000000"/>
                <w:sz w:val="20"/>
                <w:szCs w:val="20"/>
              </w:rPr>
              <w:t>278</w:t>
            </w:r>
          </w:p>
        </w:tc>
        <w:tc>
          <w:tcPr>
            <w:tcW w:w="1121" w:type="pct"/>
            <w:tcBorders>
              <w:top w:val="nil"/>
              <w:left w:val="nil"/>
              <w:bottom w:val="single" w:sz="2" w:space="0" w:color="auto"/>
              <w:right w:val="nil"/>
            </w:tcBorders>
            <w:vAlign w:val="bottom"/>
          </w:tcPr>
          <w:p w14:paraId="1C079F25" w14:textId="5CA03700" w:rsidR="00C20CAB" w:rsidRPr="006345D9" w:rsidRDefault="00C20CAB" w:rsidP="00C20CAB">
            <w:pPr>
              <w:tabs>
                <w:tab w:val="right" w:pos="1202"/>
              </w:tabs>
              <w:suppressAutoHyphens/>
              <w:autoSpaceDN w:val="0"/>
              <w:spacing w:line="260" w:lineRule="exact"/>
              <w:jc w:val="right"/>
              <w:outlineLvl w:val="0"/>
              <w:rPr>
                <w:rFonts w:ascii="Arial" w:eastAsia="Calibri" w:hAnsi="Arial" w:cs="Arial"/>
                <w:b/>
                <w:color w:val="000000"/>
                <w:sz w:val="20"/>
                <w:szCs w:val="20"/>
              </w:rPr>
            </w:pPr>
            <w:r>
              <w:rPr>
                <w:rFonts w:ascii="Arial" w:eastAsia="Calibri" w:hAnsi="Arial" w:cs="Arial"/>
                <w:b/>
                <w:color w:val="000000"/>
                <w:sz w:val="20"/>
                <w:szCs w:val="20"/>
              </w:rPr>
              <w:t>261</w:t>
            </w:r>
          </w:p>
        </w:tc>
      </w:tr>
      <w:tr w:rsidR="00C20CAB" w:rsidRPr="003D1614" w14:paraId="4D35628B" w14:textId="77777777" w:rsidTr="00CA7F04">
        <w:trPr>
          <w:trHeight w:val="283"/>
          <w:jc w:val="center"/>
        </w:trPr>
        <w:tc>
          <w:tcPr>
            <w:tcW w:w="2758" w:type="pct"/>
            <w:vAlign w:val="bottom"/>
            <w:hideMark/>
          </w:tcPr>
          <w:p w14:paraId="6DDE5270" w14:textId="5AE85DB6" w:rsidR="00C20CAB" w:rsidRPr="003D1614" w:rsidRDefault="00686FD6" w:rsidP="00C20CAB">
            <w:pPr>
              <w:suppressAutoHyphens/>
              <w:autoSpaceDN w:val="0"/>
              <w:spacing w:line="256" w:lineRule="auto"/>
              <w:rPr>
                <w:rFonts w:ascii="Arial" w:eastAsia="Calibri" w:hAnsi="Arial" w:cs="Arial"/>
                <w:color w:val="000000"/>
                <w:sz w:val="20"/>
                <w:szCs w:val="20"/>
              </w:rPr>
            </w:pPr>
            <w:r>
              <w:rPr>
                <w:rFonts w:ascii="Arial" w:eastAsia="Calibri" w:hAnsi="Arial" w:cs="Arial"/>
                <w:color w:val="000000"/>
                <w:sz w:val="20"/>
                <w:szCs w:val="20"/>
              </w:rPr>
              <w:t>Povećanje</w:t>
            </w:r>
            <w:r w:rsidRPr="003D1614">
              <w:rPr>
                <w:rFonts w:ascii="Arial" w:eastAsia="Calibri" w:hAnsi="Arial" w:cs="Arial"/>
                <w:color w:val="000000"/>
                <w:sz w:val="20"/>
                <w:szCs w:val="20"/>
              </w:rPr>
              <w:t xml:space="preserve"> </w:t>
            </w:r>
            <w:r w:rsidR="00C20CAB" w:rsidRPr="003D1614">
              <w:rPr>
                <w:rFonts w:ascii="Arial" w:eastAsia="Calibri" w:hAnsi="Arial" w:cs="Arial"/>
                <w:color w:val="000000"/>
                <w:sz w:val="20"/>
                <w:szCs w:val="20"/>
              </w:rPr>
              <w:t>fer vrijednosti kroz ostalu sveobuhvatnu dobit</w:t>
            </w:r>
          </w:p>
        </w:tc>
        <w:tc>
          <w:tcPr>
            <w:tcW w:w="1121" w:type="pct"/>
            <w:tcBorders>
              <w:top w:val="nil"/>
              <w:left w:val="nil"/>
              <w:right w:val="nil"/>
            </w:tcBorders>
            <w:shd w:val="clear" w:color="auto" w:fill="auto"/>
            <w:vAlign w:val="bottom"/>
          </w:tcPr>
          <w:p w14:paraId="050D97D7" w14:textId="292EBF59" w:rsidR="00C20CAB" w:rsidRPr="003D1614" w:rsidRDefault="00686FD6" w:rsidP="00C20CAB">
            <w:pPr>
              <w:tabs>
                <w:tab w:val="right" w:pos="1202"/>
              </w:tabs>
              <w:suppressAutoHyphens/>
              <w:autoSpaceDN w:val="0"/>
              <w:spacing w:line="260" w:lineRule="exact"/>
              <w:jc w:val="right"/>
              <w:outlineLvl w:val="0"/>
              <w:rPr>
                <w:rFonts w:ascii="Arial" w:eastAsia="Calibri" w:hAnsi="Arial" w:cs="Arial"/>
                <w:color w:val="000000"/>
                <w:sz w:val="20"/>
                <w:szCs w:val="20"/>
              </w:rPr>
            </w:pPr>
            <w:r w:rsidRPr="00686FD6">
              <w:rPr>
                <w:rFonts w:ascii="Arial" w:eastAsia="Calibri" w:hAnsi="Arial" w:cs="Arial"/>
                <w:color w:val="000000"/>
                <w:sz w:val="20"/>
                <w:szCs w:val="20"/>
              </w:rPr>
              <w:t>3</w:t>
            </w:r>
          </w:p>
        </w:tc>
        <w:tc>
          <w:tcPr>
            <w:tcW w:w="1121" w:type="pct"/>
            <w:tcBorders>
              <w:top w:val="nil"/>
              <w:left w:val="nil"/>
              <w:right w:val="nil"/>
            </w:tcBorders>
            <w:shd w:val="clear" w:color="auto" w:fill="auto"/>
            <w:vAlign w:val="bottom"/>
          </w:tcPr>
          <w:p w14:paraId="7586BE09" w14:textId="63BBBF08" w:rsidR="00C20CAB" w:rsidRPr="006345D9" w:rsidRDefault="00C20CAB" w:rsidP="00C20CAB">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w:t>
            </w:r>
          </w:p>
        </w:tc>
      </w:tr>
      <w:tr w:rsidR="00C20CAB" w:rsidRPr="003D1614" w14:paraId="35B36D9D" w14:textId="77777777" w:rsidTr="00CA7F04">
        <w:trPr>
          <w:trHeight w:val="283"/>
          <w:jc w:val="center"/>
        </w:trPr>
        <w:tc>
          <w:tcPr>
            <w:tcW w:w="2758" w:type="pct"/>
            <w:vAlign w:val="bottom"/>
          </w:tcPr>
          <w:p w14:paraId="14125154" w14:textId="77777777" w:rsidR="00C20CAB" w:rsidRPr="003D1614" w:rsidRDefault="00C20CAB" w:rsidP="00C20CAB">
            <w:pPr>
              <w:suppressAutoHyphens/>
              <w:autoSpaceDN w:val="0"/>
              <w:spacing w:line="256" w:lineRule="auto"/>
              <w:rPr>
                <w:rFonts w:ascii="Arial" w:eastAsia="Calibri" w:hAnsi="Arial" w:cs="Arial"/>
                <w:color w:val="000000"/>
                <w:sz w:val="20"/>
                <w:szCs w:val="20"/>
              </w:rPr>
            </w:pPr>
            <w:r w:rsidRPr="005333AB">
              <w:rPr>
                <w:rFonts w:ascii="Arial" w:eastAsia="Calibri" w:hAnsi="Arial" w:cs="Arial"/>
                <w:color w:val="000000"/>
                <w:sz w:val="20"/>
                <w:szCs w:val="20"/>
              </w:rPr>
              <w:t>Dospijeće glavnice</w:t>
            </w:r>
          </w:p>
        </w:tc>
        <w:tc>
          <w:tcPr>
            <w:tcW w:w="1121" w:type="pct"/>
            <w:tcBorders>
              <w:top w:val="nil"/>
              <w:left w:val="nil"/>
              <w:right w:val="nil"/>
            </w:tcBorders>
            <w:shd w:val="clear" w:color="auto" w:fill="auto"/>
            <w:vAlign w:val="bottom"/>
          </w:tcPr>
          <w:p w14:paraId="1DC6CD66" w14:textId="22326CE4" w:rsidR="00C20CAB" w:rsidRDefault="00686FD6" w:rsidP="00C20CAB">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w:t>
            </w:r>
            <w:r w:rsidRPr="00686FD6">
              <w:rPr>
                <w:rFonts w:ascii="Arial" w:eastAsia="Calibri" w:hAnsi="Arial" w:cs="Arial"/>
                <w:color w:val="000000"/>
                <w:sz w:val="20"/>
                <w:szCs w:val="20"/>
              </w:rPr>
              <w:t>5</w:t>
            </w:r>
            <w:r>
              <w:rPr>
                <w:rFonts w:ascii="Arial" w:eastAsia="Calibri" w:hAnsi="Arial" w:cs="Arial"/>
                <w:color w:val="000000"/>
                <w:sz w:val="20"/>
                <w:szCs w:val="20"/>
              </w:rPr>
              <w:t>)</w:t>
            </w:r>
          </w:p>
        </w:tc>
        <w:tc>
          <w:tcPr>
            <w:tcW w:w="1121" w:type="pct"/>
            <w:tcBorders>
              <w:top w:val="nil"/>
              <w:left w:val="nil"/>
              <w:right w:val="nil"/>
            </w:tcBorders>
            <w:shd w:val="clear" w:color="auto" w:fill="auto"/>
            <w:vAlign w:val="bottom"/>
          </w:tcPr>
          <w:p w14:paraId="6EC27946" w14:textId="74BC12E9" w:rsidR="00C20CAB" w:rsidRPr="006345D9" w:rsidRDefault="00C20CAB" w:rsidP="00C20CAB">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(3)</w:t>
            </w:r>
          </w:p>
        </w:tc>
      </w:tr>
      <w:tr w:rsidR="00C20CAB" w:rsidRPr="003D1614" w14:paraId="34A62798" w14:textId="77777777" w:rsidTr="00CA7F04">
        <w:trPr>
          <w:trHeight w:val="283"/>
          <w:jc w:val="center"/>
        </w:trPr>
        <w:tc>
          <w:tcPr>
            <w:tcW w:w="2758" w:type="pct"/>
            <w:vAlign w:val="bottom"/>
          </w:tcPr>
          <w:p w14:paraId="76048A3F" w14:textId="77777777" w:rsidR="00C20CAB" w:rsidRPr="003D1614" w:rsidRDefault="00C20CAB" w:rsidP="00C20CAB">
            <w:pPr>
              <w:suppressAutoHyphens/>
              <w:autoSpaceDN w:val="0"/>
              <w:spacing w:line="256" w:lineRule="auto"/>
              <w:rPr>
                <w:rFonts w:ascii="Arial" w:eastAsia="Calibri" w:hAnsi="Arial" w:cs="Arial"/>
                <w:color w:val="000000"/>
                <w:sz w:val="20"/>
                <w:szCs w:val="20"/>
              </w:rPr>
            </w:pPr>
            <w:r w:rsidRPr="003D1614">
              <w:rPr>
                <w:rFonts w:ascii="Arial" w:eastAsia="Calibri" w:hAnsi="Arial" w:cs="Arial"/>
                <w:color w:val="000000"/>
                <w:sz w:val="20"/>
                <w:szCs w:val="20"/>
              </w:rPr>
              <w:t>Obračunane kamate</w:t>
            </w:r>
          </w:p>
        </w:tc>
        <w:tc>
          <w:tcPr>
            <w:tcW w:w="1121" w:type="pct"/>
            <w:tcBorders>
              <w:left w:val="nil"/>
              <w:bottom w:val="single" w:sz="8" w:space="0" w:color="000000"/>
              <w:right w:val="nil"/>
            </w:tcBorders>
            <w:shd w:val="clear" w:color="auto" w:fill="auto"/>
            <w:vAlign w:val="bottom"/>
          </w:tcPr>
          <w:p w14:paraId="27388FB8" w14:textId="2ED85169" w:rsidR="00C20CAB" w:rsidRPr="003D1614" w:rsidRDefault="00686FD6" w:rsidP="00C20CAB">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w:t>
            </w:r>
          </w:p>
        </w:tc>
        <w:tc>
          <w:tcPr>
            <w:tcW w:w="1121" w:type="pct"/>
            <w:tcBorders>
              <w:left w:val="nil"/>
              <w:bottom w:val="single" w:sz="8" w:space="0" w:color="000000"/>
              <w:right w:val="nil"/>
            </w:tcBorders>
            <w:shd w:val="clear" w:color="auto" w:fill="auto"/>
            <w:vAlign w:val="bottom"/>
          </w:tcPr>
          <w:p w14:paraId="3FEE50FF" w14:textId="4D26470A" w:rsidR="00C20CAB" w:rsidRPr="006345D9" w:rsidRDefault="00C20CAB" w:rsidP="00C20CAB">
            <w:pPr>
              <w:tabs>
                <w:tab w:val="right" w:pos="1202"/>
              </w:tabs>
              <w:suppressAutoHyphens/>
              <w:autoSpaceDN w:val="0"/>
              <w:spacing w:line="260" w:lineRule="exact"/>
              <w:jc w:val="right"/>
              <w:outlineLvl w:val="0"/>
              <w:rPr>
                <w:rFonts w:ascii="Arial" w:eastAsia="Calibri" w:hAnsi="Arial" w:cs="Arial"/>
                <w:color w:val="000000"/>
                <w:sz w:val="20"/>
                <w:szCs w:val="20"/>
              </w:rPr>
            </w:pPr>
            <w:r>
              <w:rPr>
                <w:rFonts w:ascii="Arial" w:eastAsia="Calibri" w:hAnsi="Arial" w:cs="Arial"/>
                <w:color w:val="000000"/>
                <w:sz w:val="20"/>
                <w:szCs w:val="20"/>
              </w:rPr>
              <w:t>(2)</w:t>
            </w:r>
          </w:p>
        </w:tc>
      </w:tr>
      <w:tr w:rsidR="00C20CAB" w:rsidRPr="003D1614" w14:paraId="24F5D45B" w14:textId="77777777" w:rsidTr="00CA7F04">
        <w:trPr>
          <w:trHeight w:val="283"/>
          <w:jc w:val="center"/>
        </w:trPr>
        <w:tc>
          <w:tcPr>
            <w:tcW w:w="2758" w:type="pct"/>
            <w:vAlign w:val="bottom"/>
          </w:tcPr>
          <w:p w14:paraId="6549CDB4" w14:textId="77777777" w:rsidR="00C20CAB" w:rsidRPr="003D1614" w:rsidRDefault="00C20CAB" w:rsidP="00C20CAB">
            <w:pPr>
              <w:suppressAutoHyphens/>
              <w:autoSpaceDN w:val="0"/>
              <w:rPr>
                <w:rFonts w:ascii="Arial" w:eastAsia="Calibri" w:hAnsi="Arial" w:cs="Arial"/>
                <w:b/>
                <w:bCs/>
                <w:color w:val="000000"/>
                <w:sz w:val="20"/>
                <w:szCs w:val="20"/>
              </w:rPr>
            </w:pPr>
            <w:r w:rsidRPr="003D1614">
              <w:rPr>
                <w:rFonts w:ascii="Arial" w:eastAsia="Calibri" w:hAnsi="Arial" w:cs="Arial"/>
                <w:b/>
                <w:bCs/>
                <w:color w:val="000000"/>
                <w:sz w:val="20"/>
                <w:szCs w:val="20"/>
              </w:rPr>
              <w:t>Stanje 31. ožujka</w:t>
            </w:r>
          </w:p>
        </w:tc>
        <w:tc>
          <w:tcPr>
            <w:tcW w:w="1121" w:type="pct"/>
            <w:tcBorders>
              <w:top w:val="single" w:sz="8" w:space="0" w:color="000000"/>
              <w:left w:val="nil"/>
              <w:bottom w:val="single" w:sz="12" w:space="0" w:color="auto"/>
              <w:right w:val="nil"/>
            </w:tcBorders>
            <w:shd w:val="clear" w:color="auto" w:fill="auto"/>
            <w:vAlign w:val="bottom"/>
          </w:tcPr>
          <w:p w14:paraId="5B656A46" w14:textId="4D8A7251" w:rsidR="00C20CAB" w:rsidRPr="003D1614" w:rsidRDefault="00686FD6" w:rsidP="00C20CAB">
            <w:pPr>
              <w:tabs>
                <w:tab w:val="right" w:pos="1202"/>
              </w:tabs>
              <w:suppressAutoHyphens/>
              <w:autoSpaceDN w:val="0"/>
              <w:jc w:val="right"/>
              <w:outlineLvl w:val="0"/>
              <w:rPr>
                <w:rFonts w:ascii="Arial" w:eastAsia="Calibri" w:hAnsi="Arial" w:cs="Arial"/>
                <w:b/>
                <w:color w:val="000000"/>
                <w:sz w:val="20"/>
                <w:szCs w:val="20"/>
              </w:rPr>
            </w:pPr>
            <w:r w:rsidRPr="00686FD6">
              <w:rPr>
                <w:rFonts w:ascii="Arial" w:eastAsia="Calibri" w:hAnsi="Arial" w:cs="Arial"/>
                <w:b/>
                <w:color w:val="000000"/>
                <w:sz w:val="20"/>
                <w:szCs w:val="20"/>
              </w:rPr>
              <w:t>276</w:t>
            </w:r>
          </w:p>
        </w:tc>
        <w:tc>
          <w:tcPr>
            <w:tcW w:w="1121" w:type="pct"/>
            <w:tcBorders>
              <w:top w:val="single" w:sz="8" w:space="0" w:color="000000"/>
              <w:left w:val="nil"/>
              <w:bottom w:val="single" w:sz="12" w:space="0" w:color="auto"/>
              <w:right w:val="nil"/>
            </w:tcBorders>
            <w:shd w:val="clear" w:color="auto" w:fill="auto"/>
            <w:vAlign w:val="bottom"/>
          </w:tcPr>
          <w:p w14:paraId="5CAAF13F" w14:textId="5CF31F6C" w:rsidR="00C20CAB" w:rsidRPr="006345D9" w:rsidRDefault="00C20CAB" w:rsidP="00C20CAB">
            <w:pPr>
              <w:tabs>
                <w:tab w:val="right" w:pos="1202"/>
              </w:tabs>
              <w:suppressAutoHyphens/>
              <w:autoSpaceDN w:val="0"/>
              <w:jc w:val="right"/>
              <w:outlineLvl w:val="0"/>
              <w:rPr>
                <w:rFonts w:ascii="Arial" w:eastAsia="Calibri" w:hAnsi="Arial" w:cs="Arial"/>
                <w:b/>
                <w:color w:val="000000"/>
                <w:sz w:val="20"/>
                <w:szCs w:val="20"/>
              </w:rPr>
            </w:pPr>
            <w:r>
              <w:rPr>
                <w:rFonts w:ascii="Arial" w:eastAsia="Calibri" w:hAnsi="Arial" w:cs="Arial"/>
                <w:b/>
                <w:color w:val="000000"/>
                <w:sz w:val="20"/>
                <w:szCs w:val="20"/>
              </w:rPr>
              <w:t>256</w:t>
            </w:r>
          </w:p>
        </w:tc>
      </w:tr>
    </w:tbl>
    <w:p w14:paraId="05E07211" w14:textId="77777777" w:rsidR="008552FD" w:rsidRPr="003D1614" w:rsidRDefault="008552FD" w:rsidP="008552FD">
      <w:pPr>
        <w:suppressAutoHyphens/>
        <w:autoSpaceDN w:val="0"/>
        <w:rPr>
          <w:rFonts w:ascii="Arial" w:eastAsia="Calibri" w:hAnsi="Arial" w:cs="Arial"/>
          <w:color w:val="000000" w:themeColor="text1"/>
        </w:rPr>
      </w:pPr>
    </w:p>
    <w:p w14:paraId="0E84A2D6" w14:textId="77777777" w:rsidR="008552FD" w:rsidRPr="003D1614" w:rsidRDefault="008552FD" w:rsidP="008552FD">
      <w:pPr>
        <w:suppressAutoHyphens/>
        <w:autoSpaceDN w:val="0"/>
        <w:jc w:val="both"/>
        <w:rPr>
          <w:rFonts w:ascii="Arial" w:eastAsia="Calibri" w:hAnsi="Arial" w:cs="Arial"/>
          <w:color w:val="000000" w:themeColor="text1"/>
          <w:sz w:val="20"/>
          <w:szCs w:val="20"/>
        </w:rPr>
      </w:pPr>
    </w:p>
    <w:p w14:paraId="0B84C6A3" w14:textId="77777777" w:rsidR="00DF6E3A" w:rsidRDefault="00DF6E3A" w:rsidP="00DF6E3A">
      <w:pPr>
        <w:suppressAutoHyphens/>
        <w:autoSpaceDN w:val="0"/>
        <w:jc w:val="both"/>
        <w:rPr>
          <w:rFonts w:ascii="Arial" w:eastAsia="Calibri" w:hAnsi="Arial" w:cs="Arial"/>
          <w:color w:val="000000" w:themeColor="text1"/>
          <w:sz w:val="20"/>
          <w:szCs w:val="20"/>
        </w:rPr>
      </w:pPr>
    </w:p>
    <w:p w14:paraId="490D48BA" w14:textId="77777777" w:rsidR="00DF6E3A" w:rsidRDefault="00DF6E3A" w:rsidP="00DF6E3A">
      <w:pPr>
        <w:suppressAutoHyphens/>
        <w:autoSpaceDN w:val="0"/>
        <w:jc w:val="both"/>
        <w:rPr>
          <w:rFonts w:ascii="Arial" w:eastAsia="Calibri" w:hAnsi="Arial" w:cs="Arial"/>
          <w:color w:val="000000" w:themeColor="text1"/>
          <w:sz w:val="20"/>
          <w:szCs w:val="20"/>
        </w:rPr>
      </w:pPr>
    </w:p>
    <w:p w14:paraId="6643C731" w14:textId="77777777" w:rsidR="00DF6E3A" w:rsidRDefault="00DF6E3A" w:rsidP="00DF6E3A">
      <w:pPr>
        <w:suppressAutoHyphens/>
        <w:autoSpaceDN w:val="0"/>
        <w:jc w:val="both"/>
        <w:rPr>
          <w:rFonts w:ascii="Arial" w:eastAsia="Calibri" w:hAnsi="Arial" w:cs="Arial"/>
          <w:color w:val="000000" w:themeColor="text1"/>
          <w:sz w:val="20"/>
          <w:szCs w:val="20"/>
        </w:rPr>
      </w:pPr>
    </w:p>
    <w:p w14:paraId="44867054" w14:textId="77777777" w:rsidR="00DF6E3A" w:rsidRDefault="00DF6E3A" w:rsidP="00DF6E3A">
      <w:pPr>
        <w:suppressAutoHyphens/>
        <w:autoSpaceDN w:val="0"/>
        <w:jc w:val="both"/>
        <w:rPr>
          <w:rFonts w:ascii="Arial" w:eastAsia="Calibri" w:hAnsi="Arial" w:cs="Arial"/>
          <w:color w:val="000000" w:themeColor="text1"/>
          <w:sz w:val="20"/>
          <w:szCs w:val="20"/>
        </w:rPr>
      </w:pPr>
    </w:p>
    <w:p w14:paraId="7993AFCE" w14:textId="77777777" w:rsidR="008552FD" w:rsidRDefault="008552FD" w:rsidP="00DF6E3A">
      <w:pPr>
        <w:suppressAutoHyphens/>
        <w:autoSpaceDN w:val="0"/>
        <w:jc w:val="both"/>
        <w:rPr>
          <w:rFonts w:ascii="Arial" w:eastAsia="Calibri" w:hAnsi="Arial" w:cs="Arial"/>
          <w:color w:val="000000" w:themeColor="text1"/>
          <w:sz w:val="20"/>
          <w:szCs w:val="20"/>
        </w:rPr>
      </w:pPr>
    </w:p>
    <w:p w14:paraId="0B6AD985" w14:textId="77777777" w:rsidR="008552FD" w:rsidRDefault="008552FD" w:rsidP="00DF6E3A">
      <w:pPr>
        <w:suppressAutoHyphens/>
        <w:autoSpaceDN w:val="0"/>
        <w:jc w:val="both"/>
        <w:rPr>
          <w:rFonts w:ascii="Arial" w:eastAsia="Calibri" w:hAnsi="Arial" w:cs="Arial"/>
          <w:color w:val="000000" w:themeColor="text1"/>
          <w:sz w:val="20"/>
          <w:szCs w:val="20"/>
        </w:rPr>
      </w:pPr>
    </w:p>
    <w:p w14:paraId="0C86CC9F" w14:textId="77777777" w:rsidR="008552FD" w:rsidRDefault="008552FD" w:rsidP="00DF6E3A">
      <w:pPr>
        <w:suppressAutoHyphens/>
        <w:autoSpaceDN w:val="0"/>
        <w:jc w:val="both"/>
        <w:rPr>
          <w:rFonts w:ascii="Arial" w:eastAsia="Calibri" w:hAnsi="Arial" w:cs="Arial"/>
          <w:color w:val="000000" w:themeColor="text1"/>
          <w:sz w:val="20"/>
          <w:szCs w:val="20"/>
        </w:rPr>
      </w:pPr>
    </w:p>
    <w:p w14:paraId="736C7A98" w14:textId="77777777" w:rsidR="008552FD" w:rsidRDefault="008552FD" w:rsidP="00DF6E3A">
      <w:pPr>
        <w:suppressAutoHyphens/>
        <w:autoSpaceDN w:val="0"/>
        <w:jc w:val="both"/>
        <w:rPr>
          <w:rFonts w:ascii="Arial" w:eastAsia="Calibri" w:hAnsi="Arial" w:cs="Arial"/>
          <w:color w:val="000000" w:themeColor="text1"/>
          <w:sz w:val="20"/>
          <w:szCs w:val="20"/>
        </w:rPr>
      </w:pPr>
    </w:p>
    <w:p w14:paraId="01FB4089" w14:textId="77777777" w:rsidR="008552FD" w:rsidRDefault="008552FD" w:rsidP="00DF6E3A">
      <w:pPr>
        <w:suppressAutoHyphens/>
        <w:autoSpaceDN w:val="0"/>
        <w:jc w:val="both"/>
        <w:rPr>
          <w:rFonts w:ascii="Arial" w:eastAsia="Calibri" w:hAnsi="Arial" w:cs="Arial"/>
          <w:color w:val="000000" w:themeColor="text1"/>
          <w:sz w:val="20"/>
          <w:szCs w:val="20"/>
        </w:rPr>
      </w:pPr>
    </w:p>
    <w:p w14:paraId="53321B27" w14:textId="77777777" w:rsidR="008552FD" w:rsidRDefault="008552FD" w:rsidP="00DF6E3A">
      <w:pPr>
        <w:suppressAutoHyphens/>
        <w:autoSpaceDN w:val="0"/>
        <w:jc w:val="both"/>
        <w:rPr>
          <w:rFonts w:ascii="Arial" w:eastAsia="Calibri" w:hAnsi="Arial" w:cs="Arial"/>
          <w:color w:val="000000" w:themeColor="text1"/>
          <w:sz w:val="20"/>
          <w:szCs w:val="20"/>
        </w:rPr>
        <w:sectPr w:rsidR="008552FD" w:rsidSect="003278AB">
          <w:footerReference w:type="default" r:id="rId29"/>
          <w:pgSz w:w="11906" w:h="16838"/>
          <w:pgMar w:top="1417" w:right="1417" w:bottom="1417" w:left="1417" w:header="708" w:footer="708" w:gutter="0"/>
          <w:cols w:space="708"/>
          <w:docGrid w:linePitch="360"/>
        </w:sectPr>
      </w:pPr>
    </w:p>
    <w:p w14:paraId="31BD8E12" w14:textId="77777777" w:rsidR="008552FD" w:rsidRDefault="008552FD" w:rsidP="00DF6E3A">
      <w:pPr>
        <w:suppressAutoHyphens/>
        <w:autoSpaceDN w:val="0"/>
        <w:jc w:val="both"/>
        <w:rPr>
          <w:rFonts w:ascii="Arial" w:eastAsia="Calibri" w:hAnsi="Arial" w:cs="Arial"/>
          <w:color w:val="000000" w:themeColor="text1"/>
          <w:sz w:val="20"/>
          <w:szCs w:val="20"/>
        </w:rPr>
      </w:pPr>
    </w:p>
    <w:p w14:paraId="29099859" w14:textId="77777777" w:rsidR="0053176F" w:rsidRPr="003D1614" w:rsidRDefault="0053176F" w:rsidP="0053176F">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pacing w:val="-3"/>
          <w:sz w:val="20"/>
          <w:szCs w:val="20"/>
        </w:rPr>
        <w:t>2</w:t>
      </w:r>
      <w:r>
        <w:rPr>
          <w:rFonts w:ascii="Arial" w:eastAsia="Times New Roman" w:hAnsi="Arial" w:cs="Arial"/>
          <w:b/>
          <w:color w:val="000000" w:themeColor="text1"/>
          <w:spacing w:val="-3"/>
          <w:sz w:val="20"/>
          <w:szCs w:val="20"/>
        </w:rPr>
        <w:t>5</w:t>
      </w:r>
      <w:r w:rsidRPr="003D1614">
        <w:rPr>
          <w:rFonts w:ascii="Arial" w:eastAsia="Times New Roman" w:hAnsi="Arial" w:cs="Arial"/>
          <w:b/>
          <w:color w:val="000000" w:themeColor="text1"/>
          <w:spacing w:val="-3"/>
          <w:sz w:val="20"/>
          <w:szCs w:val="20"/>
        </w:rPr>
        <w:t xml:space="preserve">. </w:t>
      </w:r>
      <w:r w:rsidRPr="003D1614">
        <w:rPr>
          <w:rFonts w:ascii="Arial" w:eastAsia="Times New Roman" w:hAnsi="Arial" w:cs="Arial"/>
          <w:b/>
          <w:color w:val="000000" w:themeColor="text1"/>
          <w:spacing w:val="-3"/>
          <w:sz w:val="20"/>
          <w:szCs w:val="20"/>
        </w:rPr>
        <w:tab/>
      </w:r>
      <w:r w:rsidRPr="003D1614">
        <w:rPr>
          <w:rFonts w:ascii="Arial" w:eastAsia="Times New Roman" w:hAnsi="Arial" w:cs="Arial"/>
          <w:b/>
          <w:color w:val="000000" w:themeColor="text1"/>
          <w:sz w:val="20"/>
          <w:szCs w:val="20"/>
        </w:rPr>
        <w:t>Izvještavanje po segmentima</w:t>
      </w:r>
    </w:p>
    <w:p w14:paraId="7026573C" w14:textId="77777777" w:rsidR="0053176F" w:rsidRPr="003D1614" w:rsidRDefault="0053176F" w:rsidP="0053176F">
      <w:pPr>
        <w:suppressAutoHyphens/>
        <w:autoSpaceDN w:val="0"/>
        <w:jc w:val="both"/>
        <w:rPr>
          <w:rFonts w:ascii="Arial" w:eastAsia="Times New Roman" w:hAnsi="Arial" w:cs="Arial"/>
          <w:b/>
          <w:color w:val="000000" w:themeColor="text1"/>
          <w:sz w:val="20"/>
          <w:szCs w:val="20"/>
        </w:rPr>
      </w:pPr>
    </w:p>
    <w:p w14:paraId="09ED8EE3" w14:textId="77777777" w:rsidR="0053176F" w:rsidRPr="003D1614" w:rsidRDefault="0053176F" w:rsidP="0053176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Osnovne informacije o segmentima su predstavljene u odnosu na poslovne segmente Grupe. </w:t>
      </w:r>
    </w:p>
    <w:p w14:paraId="798F5821" w14:textId="77777777" w:rsidR="0053176F" w:rsidRPr="003D1614" w:rsidRDefault="0053176F" w:rsidP="0053176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Kako Grupa ne raspoređuje administrativne troškove i kapital i rezerve po segmentima, nije prikazana profitabilnost segmenata.</w:t>
      </w:r>
    </w:p>
    <w:p w14:paraId="0B34D6A3" w14:textId="77777777" w:rsidR="0053176F" w:rsidRPr="003D1614" w:rsidRDefault="0053176F" w:rsidP="0053176F">
      <w:pPr>
        <w:suppressAutoHyphens/>
        <w:autoSpaceDN w:val="0"/>
        <w:jc w:val="both"/>
        <w:rPr>
          <w:rFonts w:ascii="Arial" w:eastAsia="Times New Roman" w:hAnsi="Arial" w:cs="Arial"/>
          <w:color w:val="000000" w:themeColor="text1"/>
          <w:sz w:val="20"/>
          <w:szCs w:val="20"/>
        </w:rPr>
      </w:pPr>
    </w:p>
    <w:p w14:paraId="051AED61" w14:textId="77777777" w:rsidR="0053176F" w:rsidRPr="003D1614" w:rsidRDefault="0053176F" w:rsidP="0053176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Imovina i obveze po segmentima iskazani su neto, tj. bruto nakon umanjenja vrijednosti i rezerviranja, a prije uzimanja u obzir primljenih kolaterala.  </w:t>
      </w:r>
    </w:p>
    <w:p w14:paraId="7511649F" w14:textId="77777777" w:rsidR="0053176F" w:rsidRPr="003D1614" w:rsidRDefault="0053176F" w:rsidP="0053176F">
      <w:pPr>
        <w:suppressAutoHyphens/>
        <w:autoSpaceDN w:val="0"/>
        <w:jc w:val="both"/>
        <w:rPr>
          <w:rFonts w:ascii="Arial" w:eastAsia="Times New Roman" w:hAnsi="Arial" w:cs="Arial"/>
          <w:color w:val="000000" w:themeColor="text1"/>
          <w:sz w:val="20"/>
          <w:szCs w:val="20"/>
        </w:rPr>
      </w:pPr>
    </w:p>
    <w:p w14:paraId="374E256B" w14:textId="77777777" w:rsidR="0053176F" w:rsidRPr="003D1614" w:rsidRDefault="0053176F" w:rsidP="0053176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Poslovanje segmenata je organizacijski i upravljački odvojeno i svaki segment predstavlja cjelinu koja pruža različite proizvode i usluge i posluje na različitim tržištima.</w:t>
      </w:r>
    </w:p>
    <w:p w14:paraId="4BFE44E0" w14:textId="77777777" w:rsidR="0053176F" w:rsidRPr="003D1614" w:rsidRDefault="0053176F" w:rsidP="0053176F">
      <w:pPr>
        <w:suppressAutoHyphens/>
        <w:autoSpaceDN w:val="0"/>
        <w:jc w:val="both"/>
        <w:rPr>
          <w:rFonts w:ascii="Arial" w:eastAsia="Times New Roman" w:hAnsi="Arial" w:cs="Arial"/>
          <w:color w:val="000000" w:themeColor="text1"/>
          <w:sz w:val="20"/>
          <w:szCs w:val="20"/>
        </w:rPr>
      </w:pPr>
    </w:p>
    <w:p w14:paraId="74A51865" w14:textId="77777777" w:rsidR="0053176F" w:rsidRPr="003D1614" w:rsidRDefault="0053176F" w:rsidP="0053176F">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Poslovni segmenti:</w:t>
      </w:r>
    </w:p>
    <w:p w14:paraId="7CA5BE6B" w14:textId="77777777" w:rsidR="0053176F" w:rsidRPr="003D1614" w:rsidRDefault="0053176F" w:rsidP="0053176F">
      <w:pPr>
        <w:suppressAutoHyphens/>
        <w:autoSpaceDN w:val="0"/>
        <w:jc w:val="both"/>
        <w:rPr>
          <w:rFonts w:ascii="Arial" w:eastAsia="Times New Roman" w:hAnsi="Arial" w:cs="Arial"/>
          <w:b/>
          <w:color w:val="000000" w:themeColor="text1"/>
          <w:sz w:val="20"/>
          <w:szCs w:val="20"/>
        </w:rPr>
      </w:pPr>
    </w:p>
    <w:p w14:paraId="7D870614" w14:textId="77777777" w:rsidR="0053176F" w:rsidRPr="003D1614" w:rsidRDefault="0053176F" w:rsidP="0053176F">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Grupa ima sljedeće poslovne segmente:</w:t>
      </w:r>
    </w:p>
    <w:tbl>
      <w:tblPr>
        <w:tblW w:w="0" w:type="auto"/>
        <w:tblLook w:val="01E0" w:firstRow="1" w:lastRow="1" w:firstColumn="1" w:lastColumn="1" w:noHBand="0" w:noVBand="0"/>
      </w:tblPr>
      <w:tblGrid>
        <w:gridCol w:w="3461"/>
        <w:gridCol w:w="235"/>
        <w:gridCol w:w="5376"/>
      </w:tblGrid>
      <w:tr w:rsidR="0053176F" w:rsidRPr="003D1614" w14:paraId="7CB60805" w14:textId="77777777" w:rsidTr="00CA7F04">
        <w:trPr>
          <w:trHeight w:val="153"/>
        </w:trPr>
        <w:tc>
          <w:tcPr>
            <w:tcW w:w="3528" w:type="dxa"/>
            <w:shd w:val="clear" w:color="auto" w:fill="auto"/>
          </w:tcPr>
          <w:p w14:paraId="40012D2B" w14:textId="77777777" w:rsidR="0053176F" w:rsidRPr="003D1614" w:rsidRDefault="0053176F" w:rsidP="00CA7F04">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z w:val="20"/>
                <w:szCs w:val="20"/>
              </w:rPr>
              <w:t>Segment:</w:t>
            </w:r>
          </w:p>
        </w:tc>
        <w:tc>
          <w:tcPr>
            <w:tcW w:w="236" w:type="dxa"/>
            <w:shd w:val="clear" w:color="auto" w:fill="auto"/>
          </w:tcPr>
          <w:p w14:paraId="082EA6DD" w14:textId="77777777" w:rsidR="0053176F" w:rsidRPr="003D1614" w:rsidRDefault="0053176F" w:rsidP="00CA7F04">
            <w:pPr>
              <w:suppressAutoHyphens/>
              <w:autoSpaceDN w:val="0"/>
              <w:jc w:val="both"/>
              <w:rPr>
                <w:rFonts w:ascii="Arial" w:eastAsia="Times New Roman" w:hAnsi="Arial" w:cs="Arial"/>
                <w:b/>
                <w:color w:val="000000" w:themeColor="text1"/>
                <w:sz w:val="20"/>
                <w:szCs w:val="20"/>
              </w:rPr>
            </w:pPr>
          </w:p>
        </w:tc>
        <w:tc>
          <w:tcPr>
            <w:tcW w:w="5524" w:type="dxa"/>
            <w:shd w:val="clear" w:color="auto" w:fill="auto"/>
          </w:tcPr>
          <w:p w14:paraId="00C41068" w14:textId="77777777" w:rsidR="0053176F" w:rsidRPr="003D1614" w:rsidRDefault="0053176F" w:rsidP="00CA7F04">
            <w:pPr>
              <w:jc w:val="both"/>
              <w:rPr>
                <w:rFonts w:ascii="Arial" w:eastAsia="Times New Roman" w:hAnsi="Arial" w:cs="Arial"/>
                <w:b/>
                <w:color w:val="000000" w:themeColor="text1"/>
                <w:sz w:val="20"/>
                <w:szCs w:val="20"/>
                <w:lang w:eastAsia="hr-HR"/>
              </w:rPr>
            </w:pPr>
            <w:r w:rsidRPr="003D1614">
              <w:rPr>
                <w:rFonts w:ascii="Arial" w:eastAsia="Times New Roman" w:hAnsi="Arial" w:cs="Arial"/>
                <w:b/>
                <w:color w:val="000000" w:themeColor="text1"/>
                <w:sz w:val="20"/>
                <w:szCs w:val="20"/>
                <w:lang w:eastAsia="hr-HR"/>
              </w:rPr>
              <w:t>Poslovne aktivnosti segmenta uključuju:</w:t>
            </w:r>
          </w:p>
        </w:tc>
      </w:tr>
      <w:tr w:rsidR="0053176F" w:rsidRPr="003D1614" w14:paraId="10458FBF" w14:textId="77777777" w:rsidTr="00CA7F04">
        <w:tc>
          <w:tcPr>
            <w:tcW w:w="3528" w:type="dxa"/>
            <w:shd w:val="clear" w:color="auto" w:fill="auto"/>
          </w:tcPr>
          <w:p w14:paraId="6E5EA864" w14:textId="77777777" w:rsidR="0053176F" w:rsidRPr="003D1614" w:rsidRDefault="0053176F" w:rsidP="00CA7F04">
            <w:pPr>
              <w:suppressAutoHyphens/>
              <w:autoSpaceDN w:val="0"/>
              <w:jc w:val="both"/>
              <w:rPr>
                <w:rFonts w:ascii="Arial" w:eastAsia="Times New Roman" w:hAnsi="Arial" w:cs="Arial"/>
                <w:color w:val="000000" w:themeColor="text1"/>
                <w:sz w:val="20"/>
                <w:szCs w:val="20"/>
              </w:rPr>
            </w:pPr>
          </w:p>
        </w:tc>
        <w:tc>
          <w:tcPr>
            <w:tcW w:w="236" w:type="dxa"/>
            <w:shd w:val="clear" w:color="auto" w:fill="auto"/>
          </w:tcPr>
          <w:p w14:paraId="406F0462" w14:textId="77777777" w:rsidR="0053176F" w:rsidRPr="003D1614" w:rsidRDefault="0053176F" w:rsidP="00CA7F04">
            <w:pPr>
              <w:suppressAutoHyphens/>
              <w:autoSpaceDN w:val="0"/>
              <w:jc w:val="both"/>
              <w:rPr>
                <w:rFonts w:ascii="Arial" w:eastAsia="Times New Roman" w:hAnsi="Arial" w:cs="Arial"/>
                <w:color w:val="000000" w:themeColor="text1"/>
                <w:sz w:val="20"/>
                <w:szCs w:val="20"/>
              </w:rPr>
            </w:pPr>
          </w:p>
        </w:tc>
        <w:tc>
          <w:tcPr>
            <w:tcW w:w="5524" w:type="dxa"/>
            <w:shd w:val="clear" w:color="auto" w:fill="auto"/>
          </w:tcPr>
          <w:p w14:paraId="7E07E769" w14:textId="77777777" w:rsidR="0053176F" w:rsidRPr="003D1614" w:rsidRDefault="0053176F" w:rsidP="00CA7F04">
            <w:pPr>
              <w:jc w:val="both"/>
              <w:rPr>
                <w:rFonts w:ascii="Arial" w:eastAsia="Times New Roman" w:hAnsi="Arial" w:cs="Arial"/>
                <w:color w:val="000000" w:themeColor="text1"/>
                <w:sz w:val="20"/>
                <w:szCs w:val="20"/>
                <w:lang w:eastAsia="hr-HR"/>
              </w:rPr>
            </w:pPr>
          </w:p>
        </w:tc>
      </w:tr>
      <w:tr w:rsidR="0053176F" w:rsidRPr="003D1614" w14:paraId="373DBC33" w14:textId="77777777" w:rsidTr="00CA7F04">
        <w:tc>
          <w:tcPr>
            <w:tcW w:w="3528" w:type="dxa"/>
            <w:shd w:val="clear" w:color="auto" w:fill="auto"/>
          </w:tcPr>
          <w:p w14:paraId="57A85BBE" w14:textId="77777777" w:rsidR="0053176F" w:rsidRPr="003D1614" w:rsidRDefault="0053176F" w:rsidP="00CA7F0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Bankarske aktivnosti</w:t>
            </w:r>
          </w:p>
        </w:tc>
        <w:tc>
          <w:tcPr>
            <w:tcW w:w="236" w:type="dxa"/>
            <w:shd w:val="clear" w:color="auto" w:fill="auto"/>
          </w:tcPr>
          <w:p w14:paraId="70D45B31" w14:textId="77777777" w:rsidR="0053176F" w:rsidRPr="003D1614" w:rsidRDefault="0053176F" w:rsidP="00CA7F04">
            <w:pPr>
              <w:suppressAutoHyphens/>
              <w:autoSpaceDN w:val="0"/>
              <w:jc w:val="both"/>
              <w:rPr>
                <w:rFonts w:ascii="Arial" w:eastAsia="Times New Roman" w:hAnsi="Arial" w:cs="Arial"/>
                <w:color w:val="000000" w:themeColor="text1"/>
                <w:sz w:val="20"/>
                <w:szCs w:val="20"/>
              </w:rPr>
            </w:pPr>
          </w:p>
        </w:tc>
        <w:tc>
          <w:tcPr>
            <w:tcW w:w="5524" w:type="dxa"/>
            <w:shd w:val="clear" w:color="auto" w:fill="auto"/>
          </w:tcPr>
          <w:p w14:paraId="1DBB5878" w14:textId="77777777" w:rsidR="0053176F" w:rsidRPr="003D1614" w:rsidRDefault="0053176F" w:rsidP="00CA7F04">
            <w:pPr>
              <w:jc w:val="both"/>
              <w:rPr>
                <w:rFonts w:ascii="Arial" w:eastAsia="Times New Roman" w:hAnsi="Arial" w:cs="Arial"/>
                <w:color w:val="000000" w:themeColor="text1"/>
                <w:sz w:val="20"/>
                <w:szCs w:val="20"/>
                <w:lang w:eastAsia="hr-HR"/>
              </w:rPr>
            </w:pPr>
            <w:r w:rsidRPr="003D1614">
              <w:rPr>
                <w:rFonts w:ascii="Arial" w:eastAsia="Times New Roman" w:hAnsi="Arial" w:cs="Arial"/>
                <w:color w:val="000000" w:themeColor="text1"/>
                <w:sz w:val="20"/>
                <w:szCs w:val="20"/>
                <w:lang w:eastAsia="hr-HR"/>
              </w:rPr>
              <w:t xml:space="preserve">financiranje obnove i razvitka hrvatskoga gospodarstva, financiranje infrastrukture, poticanje izvoza, potporu razvitku malog i srednjeg poduzetništva, poticanje zaštite okoliša, kao i osiguranje izvoza hrvatskih roba i usluga od netržišnih rizika u ime i za račun Republike Hrvatske. </w:t>
            </w:r>
          </w:p>
        </w:tc>
      </w:tr>
      <w:tr w:rsidR="0053176F" w:rsidRPr="003D1614" w14:paraId="704F3073" w14:textId="77777777" w:rsidTr="00CA7F04">
        <w:tc>
          <w:tcPr>
            <w:tcW w:w="3528" w:type="dxa"/>
            <w:shd w:val="clear" w:color="auto" w:fill="auto"/>
          </w:tcPr>
          <w:p w14:paraId="5669CABD" w14:textId="77777777" w:rsidR="0053176F" w:rsidRPr="003D1614" w:rsidRDefault="0053176F" w:rsidP="00CA7F04">
            <w:pPr>
              <w:suppressAutoHyphens/>
              <w:autoSpaceDN w:val="0"/>
              <w:jc w:val="both"/>
              <w:rPr>
                <w:rFonts w:ascii="Arial" w:eastAsia="Times New Roman" w:hAnsi="Arial" w:cs="Arial"/>
                <w:color w:val="000000" w:themeColor="text1"/>
                <w:sz w:val="20"/>
                <w:szCs w:val="20"/>
              </w:rPr>
            </w:pPr>
          </w:p>
        </w:tc>
        <w:tc>
          <w:tcPr>
            <w:tcW w:w="236" w:type="dxa"/>
            <w:shd w:val="clear" w:color="auto" w:fill="auto"/>
          </w:tcPr>
          <w:p w14:paraId="3393A92D" w14:textId="77777777" w:rsidR="0053176F" w:rsidRPr="003D1614" w:rsidRDefault="0053176F" w:rsidP="00CA7F04">
            <w:pPr>
              <w:suppressAutoHyphens/>
              <w:autoSpaceDN w:val="0"/>
              <w:jc w:val="both"/>
              <w:rPr>
                <w:rFonts w:ascii="Arial" w:eastAsia="Times New Roman" w:hAnsi="Arial" w:cs="Arial"/>
                <w:color w:val="000000" w:themeColor="text1"/>
                <w:sz w:val="20"/>
                <w:szCs w:val="20"/>
              </w:rPr>
            </w:pPr>
          </w:p>
        </w:tc>
        <w:tc>
          <w:tcPr>
            <w:tcW w:w="5524" w:type="dxa"/>
            <w:shd w:val="clear" w:color="auto" w:fill="auto"/>
          </w:tcPr>
          <w:p w14:paraId="42CDE822" w14:textId="77777777" w:rsidR="0053176F" w:rsidRPr="003D1614" w:rsidRDefault="0053176F" w:rsidP="00CA7F04">
            <w:pPr>
              <w:suppressAutoHyphens/>
              <w:autoSpaceDN w:val="0"/>
              <w:jc w:val="both"/>
              <w:rPr>
                <w:rFonts w:ascii="Arial" w:eastAsia="Times New Roman" w:hAnsi="Arial" w:cs="Arial"/>
                <w:color w:val="000000" w:themeColor="text1"/>
                <w:sz w:val="20"/>
                <w:szCs w:val="20"/>
              </w:rPr>
            </w:pPr>
          </w:p>
        </w:tc>
      </w:tr>
      <w:tr w:rsidR="0053176F" w:rsidRPr="003D1614" w14:paraId="4A5F29BB" w14:textId="77777777" w:rsidTr="00CA7F04">
        <w:tc>
          <w:tcPr>
            <w:tcW w:w="3528" w:type="dxa"/>
            <w:shd w:val="clear" w:color="auto" w:fill="auto"/>
          </w:tcPr>
          <w:p w14:paraId="29028C49" w14:textId="77777777" w:rsidR="0053176F" w:rsidRPr="003D1614" w:rsidRDefault="0053176F" w:rsidP="00CA7F04">
            <w:pPr>
              <w:suppressAutoHyphens/>
              <w:autoSpaceDN w:val="0"/>
              <w:jc w:val="both"/>
              <w:rPr>
                <w:rFonts w:ascii="Arial" w:eastAsia="Times New Roman" w:hAnsi="Arial" w:cs="Arial"/>
                <w:color w:val="000000" w:themeColor="text1"/>
                <w:sz w:val="20"/>
                <w:szCs w:val="20"/>
              </w:rPr>
            </w:pPr>
            <w:proofErr w:type="spellStart"/>
            <w:r w:rsidRPr="003D1614">
              <w:rPr>
                <w:rFonts w:ascii="Arial" w:eastAsia="Times New Roman" w:hAnsi="Arial" w:cs="Arial"/>
                <w:color w:val="000000" w:themeColor="text1"/>
                <w:sz w:val="20"/>
                <w:szCs w:val="20"/>
              </w:rPr>
              <w:t>Osiguravateljske</w:t>
            </w:r>
            <w:proofErr w:type="spellEnd"/>
            <w:r w:rsidRPr="003D1614">
              <w:rPr>
                <w:rFonts w:ascii="Arial" w:eastAsia="Times New Roman" w:hAnsi="Arial" w:cs="Arial"/>
                <w:color w:val="000000" w:themeColor="text1"/>
                <w:sz w:val="20"/>
                <w:szCs w:val="20"/>
              </w:rPr>
              <w:t xml:space="preserve"> aktivnosti</w:t>
            </w:r>
          </w:p>
        </w:tc>
        <w:tc>
          <w:tcPr>
            <w:tcW w:w="236" w:type="dxa"/>
            <w:shd w:val="clear" w:color="auto" w:fill="auto"/>
          </w:tcPr>
          <w:p w14:paraId="61CCA48F" w14:textId="77777777" w:rsidR="0053176F" w:rsidRPr="003D1614" w:rsidRDefault="0053176F" w:rsidP="00CA7F04">
            <w:pPr>
              <w:suppressAutoHyphens/>
              <w:autoSpaceDN w:val="0"/>
              <w:jc w:val="both"/>
              <w:rPr>
                <w:rFonts w:ascii="Arial" w:eastAsia="Times New Roman" w:hAnsi="Arial" w:cs="Arial"/>
                <w:color w:val="000000" w:themeColor="text1"/>
                <w:sz w:val="20"/>
                <w:szCs w:val="20"/>
              </w:rPr>
            </w:pPr>
          </w:p>
        </w:tc>
        <w:tc>
          <w:tcPr>
            <w:tcW w:w="5524" w:type="dxa"/>
            <w:shd w:val="clear" w:color="auto" w:fill="auto"/>
          </w:tcPr>
          <w:p w14:paraId="02D1EC34" w14:textId="77777777" w:rsidR="0053176F" w:rsidRPr="003D1614" w:rsidRDefault="0053176F" w:rsidP="00CA7F0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osiguravanje inozemnih i domaćih kratkoročnih potraživanja poslovnih subjekata vezanih za isporuke roba i usluga </w:t>
            </w:r>
          </w:p>
        </w:tc>
      </w:tr>
      <w:tr w:rsidR="0053176F" w:rsidRPr="003D1614" w14:paraId="7244FFF4" w14:textId="77777777" w:rsidTr="00CA7F04">
        <w:tc>
          <w:tcPr>
            <w:tcW w:w="3528" w:type="dxa"/>
            <w:shd w:val="clear" w:color="auto" w:fill="auto"/>
          </w:tcPr>
          <w:p w14:paraId="3FD0D689" w14:textId="77777777" w:rsidR="0053176F" w:rsidRPr="003D1614" w:rsidRDefault="0053176F" w:rsidP="00CA7F04">
            <w:pPr>
              <w:suppressAutoHyphens/>
              <w:autoSpaceDN w:val="0"/>
              <w:jc w:val="both"/>
              <w:rPr>
                <w:rFonts w:ascii="Arial" w:eastAsia="Times New Roman" w:hAnsi="Arial" w:cs="Arial"/>
                <w:color w:val="000000" w:themeColor="text1"/>
                <w:sz w:val="20"/>
                <w:szCs w:val="20"/>
              </w:rPr>
            </w:pPr>
          </w:p>
        </w:tc>
        <w:tc>
          <w:tcPr>
            <w:tcW w:w="236" w:type="dxa"/>
            <w:shd w:val="clear" w:color="auto" w:fill="auto"/>
          </w:tcPr>
          <w:p w14:paraId="49C309F4" w14:textId="77777777" w:rsidR="0053176F" w:rsidRPr="003D1614" w:rsidRDefault="0053176F" w:rsidP="00CA7F04">
            <w:pPr>
              <w:suppressAutoHyphens/>
              <w:autoSpaceDN w:val="0"/>
              <w:jc w:val="both"/>
              <w:rPr>
                <w:rFonts w:ascii="Arial" w:eastAsia="Times New Roman" w:hAnsi="Arial" w:cs="Arial"/>
                <w:color w:val="000000" w:themeColor="text1"/>
                <w:sz w:val="20"/>
                <w:szCs w:val="20"/>
              </w:rPr>
            </w:pPr>
          </w:p>
        </w:tc>
        <w:tc>
          <w:tcPr>
            <w:tcW w:w="5524" w:type="dxa"/>
            <w:shd w:val="clear" w:color="auto" w:fill="auto"/>
          </w:tcPr>
          <w:p w14:paraId="5A61BAB8" w14:textId="77777777" w:rsidR="0053176F" w:rsidRPr="003D1614" w:rsidRDefault="0053176F" w:rsidP="00CA7F04">
            <w:pPr>
              <w:suppressAutoHyphens/>
              <w:autoSpaceDN w:val="0"/>
              <w:jc w:val="both"/>
              <w:rPr>
                <w:rFonts w:ascii="Arial" w:eastAsia="Times New Roman" w:hAnsi="Arial" w:cs="Arial"/>
                <w:color w:val="000000" w:themeColor="text1"/>
                <w:sz w:val="20"/>
                <w:szCs w:val="20"/>
              </w:rPr>
            </w:pPr>
          </w:p>
        </w:tc>
      </w:tr>
      <w:tr w:rsidR="0053176F" w:rsidRPr="003D1614" w14:paraId="21755BBC" w14:textId="77777777" w:rsidTr="00CA7F04">
        <w:tc>
          <w:tcPr>
            <w:tcW w:w="3528" w:type="dxa"/>
            <w:shd w:val="clear" w:color="auto" w:fill="auto"/>
          </w:tcPr>
          <w:p w14:paraId="5C1C2F0C" w14:textId="77777777" w:rsidR="0053176F" w:rsidRPr="003D1614" w:rsidRDefault="0053176F" w:rsidP="00CA7F0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Ostalo</w:t>
            </w:r>
          </w:p>
        </w:tc>
        <w:tc>
          <w:tcPr>
            <w:tcW w:w="236" w:type="dxa"/>
            <w:shd w:val="clear" w:color="auto" w:fill="auto"/>
          </w:tcPr>
          <w:p w14:paraId="4045BF7E" w14:textId="77777777" w:rsidR="0053176F" w:rsidRPr="003D1614" w:rsidRDefault="0053176F" w:rsidP="00CA7F04">
            <w:pPr>
              <w:suppressAutoHyphens/>
              <w:autoSpaceDN w:val="0"/>
              <w:jc w:val="both"/>
              <w:rPr>
                <w:rFonts w:ascii="Arial" w:eastAsia="Times New Roman" w:hAnsi="Arial" w:cs="Arial"/>
                <w:color w:val="000000" w:themeColor="text1"/>
                <w:sz w:val="20"/>
                <w:szCs w:val="20"/>
              </w:rPr>
            </w:pPr>
          </w:p>
        </w:tc>
        <w:tc>
          <w:tcPr>
            <w:tcW w:w="5524" w:type="dxa"/>
            <w:shd w:val="clear" w:color="auto" w:fill="auto"/>
          </w:tcPr>
          <w:p w14:paraId="4ED02056" w14:textId="77777777" w:rsidR="0053176F" w:rsidRPr="003D1614" w:rsidRDefault="0053176F" w:rsidP="00CA7F04">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 xml:space="preserve">izrade analiza, procjena kreditnih rizika i pružanje informacija o kreditnoj sposobnosti </w:t>
            </w:r>
          </w:p>
        </w:tc>
      </w:tr>
    </w:tbl>
    <w:p w14:paraId="2E4D02A1" w14:textId="77777777" w:rsidR="0053176F" w:rsidRPr="003D1614" w:rsidRDefault="0053176F" w:rsidP="0053176F">
      <w:pPr>
        <w:suppressAutoHyphens/>
        <w:autoSpaceDN w:val="0"/>
        <w:jc w:val="both"/>
        <w:rPr>
          <w:rFonts w:ascii="Arial" w:eastAsia="Calibri" w:hAnsi="Arial" w:cs="Arial"/>
          <w:color w:val="000000" w:themeColor="text1"/>
          <w:sz w:val="20"/>
          <w:szCs w:val="20"/>
        </w:rPr>
      </w:pPr>
    </w:p>
    <w:p w14:paraId="5B6AB154" w14:textId="77777777" w:rsidR="0053176F" w:rsidRPr="003D1614" w:rsidRDefault="0053176F" w:rsidP="0053176F">
      <w:pPr>
        <w:suppressAutoHyphens/>
        <w:autoSpaceDN w:val="0"/>
        <w:jc w:val="both"/>
        <w:rPr>
          <w:rFonts w:ascii="Arial" w:eastAsia="Calibri" w:hAnsi="Arial" w:cs="Arial"/>
          <w:color w:val="000000" w:themeColor="text1"/>
          <w:sz w:val="20"/>
          <w:szCs w:val="20"/>
        </w:rPr>
      </w:pPr>
    </w:p>
    <w:p w14:paraId="2E67C99B" w14:textId="77777777" w:rsidR="008552FD" w:rsidRDefault="008552FD" w:rsidP="00DF6E3A">
      <w:pPr>
        <w:suppressAutoHyphens/>
        <w:autoSpaceDN w:val="0"/>
        <w:jc w:val="both"/>
        <w:rPr>
          <w:rFonts w:ascii="Arial" w:eastAsia="Calibri" w:hAnsi="Arial" w:cs="Arial"/>
          <w:color w:val="000000" w:themeColor="text1"/>
          <w:sz w:val="20"/>
          <w:szCs w:val="20"/>
        </w:rPr>
      </w:pPr>
    </w:p>
    <w:p w14:paraId="63104647" w14:textId="77777777" w:rsidR="0053176F" w:rsidRDefault="0053176F" w:rsidP="00DF6E3A">
      <w:pPr>
        <w:suppressAutoHyphens/>
        <w:autoSpaceDN w:val="0"/>
        <w:jc w:val="both"/>
        <w:rPr>
          <w:rFonts w:ascii="Arial" w:eastAsia="Calibri" w:hAnsi="Arial" w:cs="Arial"/>
          <w:color w:val="000000" w:themeColor="text1"/>
          <w:sz w:val="20"/>
          <w:szCs w:val="20"/>
        </w:rPr>
      </w:pPr>
    </w:p>
    <w:p w14:paraId="793123A9" w14:textId="77777777" w:rsidR="0053176F" w:rsidRDefault="0053176F" w:rsidP="00DF6E3A">
      <w:pPr>
        <w:suppressAutoHyphens/>
        <w:autoSpaceDN w:val="0"/>
        <w:jc w:val="both"/>
        <w:rPr>
          <w:rFonts w:ascii="Arial" w:eastAsia="Calibri" w:hAnsi="Arial" w:cs="Arial"/>
          <w:color w:val="000000" w:themeColor="text1"/>
          <w:sz w:val="20"/>
          <w:szCs w:val="20"/>
        </w:rPr>
      </w:pPr>
    </w:p>
    <w:p w14:paraId="334C1E27" w14:textId="77777777" w:rsidR="0053176F" w:rsidRDefault="0053176F" w:rsidP="00DF6E3A">
      <w:pPr>
        <w:suppressAutoHyphens/>
        <w:autoSpaceDN w:val="0"/>
        <w:jc w:val="both"/>
        <w:rPr>
          <w:rFonts w:ascii="Arial" w:eastAsia="Calibri" w:hAnsi="Arial" w:cs="Arial"/>
          <w:color w:val="000000" w:themeColor="text1"/>
          <w:sz w:val="20"/>
          <w:szCs w:val="20"/>
        </w:rPr>
      </w:pPr>
    </w:p>
    <w:p w14:paraId="10DA25A9" w14:textId="77777777" w:rsidR="0053176F" w:rsidRDefault="0053176F" w:rsidP="00DF6E3A">
      <w:pPr>
        <w:suppressAutoHyphens/>
        <w:autoSpaceDN w:val="0"/>
        <w:jc w:val="both"/>
        <w:rPr>
          <w:rFonts w:ascii="Arial" w:eastAsia="Calibri" w:hAnsi="Arial" w:cs="Arial"/>
          <w:color w:val="000000" w:themeColor="text1"/>
          <w:sz w:val="20"/>
          <w:szCs w:val="20"/>
        </w:rPr>
      </w:pPr>
    </w:p>
    <w:p w14:paraId="044BCBB7" w14:textId="77777777" w:rsidR="0053176F" w:rsidRDefault="0053176F" w:rsidP="00DF6E3A">
      <w:pPr>
        <w:suppressAutoHyphens/>
        <w:autoSpaceDN w:val="0"/>
        <w:jc w:val="both"/>
        <w:rPr>
          <w:rFonts w:ascii="Arial" w:eastAsia="Calibri" w:hAnsi="Arial" w:cs="Arial"/>
          <w:color w:val="000000" w:themeColor="text1"/>
          <w:sz w:val="20"/>
          <w:szCs w:val="20"/>
        </w:rPr>
      </w:pPr>
    </w:p>
    <w:p w14:paraId="396C4FE6" w14:textId="77777777" w:rsidR="0053176F" w:rsidRDefault="0053176F" w:rsidP="00DF6E3A">
      <w:pPr>
        <w:suppressAutoHyphens/>
        <w:autoSpaceDN w:val="0"/>
        <w:jc w:val="both"/>
        <w:rPr>
          <w:rFonts w:ascii="Arial" w:eastAsia="Calibri" w:hAnsi="Arial" w:cs="Arial"/>
          <w:color w:val="000000" w:themeColor="text1"/>
          <w:sz w:val="20"/>
          <w:szCs w:val="20"/>
        </w:rPr>
      </w:pPr>
    </w:p>
    <w:p w14:paraId="7B5C8EA4" w14:textId="77777777" w:rsidR="0053176F" w:rsidRDefault="0053176F" w:rsidP="00DF6E3A">
      <w:pPr>
        <w:suppressAutoHyphens/>
        <w:autoSpaceDN w:val="0"/>
        <w:jc w:val="both"/>
        <w:rPr>
          <w:rFonts w:ascii="Arial" w:eastAsia="Calibri" w:hAnsi="Arial" w:cs="Arial"/>
          <w:color w:val="000000" w:themeColor="text1"/>
          <w:sz w:val="20"/>
          <w:szCs w:val="20"/>
        </w:rPr>
      </w:pPr>
    </w:p>
    <w:p w14:paraId="2CE87DA1" w14:textId="77777777" w:rsidR="0053176F" w:rsidRDefault="0053176F" w:rsidP="00DF6E3A">
      <w:pPr>
        <w:suppressAutoHyphens/>
        <w:autoSpaceDN w:val="0"/>
        <w:jc w:val="both"/>
        <w:rPr>
          <w:rFonts w:ascii="Arial" w:eastAsia="Calibri" w:hAnsi="Arial" w:cs="Arial"/>
          <w:color w:val="000000" w:themeColor="text1"/>
          <w:sz w:val="20"/>
          <w:szCs w:val="20"/>
        </w:rPr>
      </w:pPr>
    </w:p>
    <w:p w14:paraId="1E634018" w14:textId="77777777" w:rsidR="0053176F" w:rsidRDefault="0053176F" w:rsidP="00DF6E3A">
      <w:pPr>
        <w:suppressAutoHyphens/>
        <w:autoSpaceDN w:val="0"/>
        <w:jc w:val="both"/>
        <w:rPr>
          <w:rFonts w:ascii="Arial" w:eastAsia="Calibri" w:hAnsi="Arial" w:cs="Arial"/>
          <w:color w:val="000000" w:themeColor="text1"/>
          <w:sz w:val="20"/>
          <w:szCs w:val="20"/>
        </w:rPr>
      </w:pPr>
    </w:p>
    <w:p w14:paraId="41B97AB1" w14:textId="77777777" w:rsidR="0053176F" w:rsidRDefault="0053176F" w:rsidP="00DF6E3A">
      <w:pPr>
        <w:suppressAutoHyphens/>
        <w:autoSpaceDN w:val="0"/>
        <w:jc w:val="both"/>
        <w:rPr>
          <w:rFonts w:ascii="Arial" w:eastAsia="Calibri" w:hAnsi="Arial" w:cs="Arial"/>
          <w:color w:val="000000" w:themeColor="text1"/>
          <w:sz w:val="20"/>
          <w:szCs w:val="20"/>
        </w:rPr>
      </w:pPr>
    </w:p>
    <w:p w14:paraId="614A15A0" w14:textId="77777777" w:rsidR="0053176F" w:rsidRDefault="0053176F" w:rsidP="00DF6E3A">
      <w:pPr>
        <w:suppressAutoHyphens/>
        <w:autoSpaceDN w:val="0"/>
        <w:jc w:val="both"/>
        <w:rPr>
          <w:rFonts w:ascii="Arial" w:eastAsia="Calibri" w:hAnsi="Arial" w:cs="Arial"/>
          <w:color w:val="000000" w:themeColor="text1"/>
          <w:sz w:val="20"/>
          <w:szCs w:val="20"/>
        </w:rPr>
      </w:pPr>
    </w:p>
    <w:p w14:paraId="32DFC7BE" w14:textId="77777777" w:rsidR="0053176F" w:rsidRDefault="0053176F" w:rsidP="00DF6E3A">
      <w:pPr>
        <w:suppressAutoHyphens/>
        <w:autoSpaceDN w:val="0"/>
        <w:jc w:val="both"/>
        <w:rPr>
          <w:rFonts w:ascii="Arial" w:eastAsia="Calibri" w:hAnsi="Arial" w:cs="Arial"/>
          <w:color w:val="000000" w:themeColor="text1"/>
          <w:sz w:val="20"/>
          <w:szCs w:val="20"/>
        </w:rPr>
      </w:pPr>
    </w:p>
    <w:p w14:paraId="3A7F8A07" w14:textId="77777777" w:rsidR="0053176F" w:rsidRDefault="0053176F" w:rsidP="00DF6E3A">
      <w:pPr>
        <w:suppressAutoHyphens/>
        <w:autoSpaceDN w:val="0"/>
        <w:jc w:val="both"/>
        <w:rPr>
          <w:rFonts w:ascii="Arial" w:eastAsia="Calibri" w:hAnsi="Arial" w:cs="Arial"/>
          <w:color w:val="000000" w:themeColor="text1"/>
          <w:sz w:val="20"/>
          <w:szCs w:val="20"/>
        </w:rPr>
      </w:pPr>
    </w:p>
    <w:p w14:paraId="0D489E28" w14:textId="77777777" w:rsidR="0053176F" w:rsidRDefault="0053176F" w:rsidP="00DF6E3A">
      <w:pPr>
        <w:suppressAutoHyphens/>
        <w:autoSpaceDN w:val="0"/>
        <w:jc w:val="both"/>
        <w:rPr>
          <w:rFonts w:ascii="Arial" w:eastAsia="Calibri" w:hAnsi="Arial" w:cs="Arial"/>
          <w:color w:val="000000" w:themeColor="text1"/>
          <w:sz w:val="20"/>
          <w:szCs w:val="20"/>
        </w:rPr>
      </w:pPr>
    </w:p>
    <w:p w14:paraId="227DE6F4" w14:textId="77777777" w:rsidR="0053176F" w:rsidRDefault="0053176F" w:rsidP="00DF6E3A">
      <w:pPr>
        <w:suppressAutoHyphens/>
        <w:autoSpaceDN w:val="0"/>
        <w:jc w:val="both"/>
        <w:rPr>
          <w:rFonts w:ascii="Arial" w:eastAsia="Calibri" w:hAnsi="Arial" w:cs="Arial"/>
          <w:color w:val="000000" w:themeColor="text1"/>
          <w:sz w:val="20"/>
          <w:szCs w:val="20"/>
        </w:rPr>
      </w:pPr>
    </w:p>
    <w:p w14:paraId="42DF859A" w14:textId="77777777" w:rsidR="0053176F" w:rsidRDefault="0053176F" w:rsidP="00DF6E3A">
      <w:pPr>
        <w:suppressAutoHyphens/>
        <w:autoSpaceDN w:val="0"/>
        <w:jc w:val="both"/>
        <w:rPr>
          <w:rFonts w:ascii="Arial" w:eastAsia="Calibri" w:hAnsi="Arial" w:cs="Arial"/>
          <w:color w:val="000000" w:themeColor="text1"/>
          <w:sz w:val="20"/>
          <w:szCs w:val="20"/>
        </w:rPr>
        <w:sectPr w:rsidR="0053176F" w:rsidSect="003278AB">
          <w:footerReference w:type="default" r:id="rId30"/>
          <w:pgSz w:w="11906" w:h="16838"/>
          <w:pgMar w:top="1417" w:right="1417" w:bottom="1417" w:left="1417" w:header="708" w:footer="708" w:gutter="0"/>
          <w:cols w:space="708"/>
          <w:docGrid w:linePitch="360"/>
        </w:sectPr>
      </w:pPr>
    </w:p>
    <w:p w14:paraId="71F529AF" w14:textId="77777777" w:rsidR="0053176F" w:rsidRDefault="0053176F" w:rsidP="00DF6E3A">
      <w:pPr>
        <w:suppressAutoHyphens/>
        <w:autoSpaceDN w:val="0"/>
        <w:jc w:val="both"/>
        <w:rPr>
          <w:rFonts w:ascii="Arial" w:eastAsia="Calibri" w:hAnsi="Arial" w:cs="Arial"/>
          <w:color w:val="000000" w:themeColor="text1"/>
          <w:sz w:val="20"/>
          <w:szCs w:val="20"/>
        </w:rPr>
      </w:pPr>
    </w:p>
    <w:p w14:paraId="5D2618EE" w14:textId="77777777" w:rsidR="00106FF5" w:rsidRPr="003D1614" w:rsidRDefault="00106FF5" w:rsidP="00106FF5">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pacing w:val="-3"/>
          <w:sz w:val="20"/>
          <w:szCs w:val="20"/>
        </w:rPr>
        <w:t>2</w:t>
      </w:r>
      <w:r>
        <w:rPr>
          <w:rFonts w:ascii="Arial" w:eastAsia="Times New Roman" w:hAnsi="Arial" w:cs="Arial"/>
          <w:b/>
          <w:color w:val="000000" w:themeColor="text1"/>
          <w:spacing w:val="-3"/>
          <w:sz w:val="20"/>
          <w:szCs w:val="20"/>
        </w:rPr>
        <w:t>5</w:t>
      </w:r>
      <w:r w:rsidRPr="003D1614">
        <w:rPr>
          <w:rFonts w:ascii="Arial" w:eastAsia="Times New Roman" w:hAnsi="Arial" w:cs="Arial"/>
          <w:b/>
          <w:color w:val="000000" w:themeColor="text1"/>
          <w:spacing w:val="-3"/>
          <w:sz w:val="20"/>
          <w:szCs w:val="20"/>
        </w:rPr>
        <w:t xml:space="preserve">. </w:t>
      </w:r>
      <w:r w:rsidRPr="003D1614">
        <w:rPr>
          <w:rFonts w:ascii="Arial" w:eastAsia="Times New Roman" w:hAnsi="Arial" w:cs="Arial"/>
          <w:b/>
          <w:color w:val="000000" w:themeColor="text1"/>
          <w:spacing w:val="-3"/>
          <w:sz w:val="20"/>
          <w:szCs w:val="20"/>
        </w:rPr>
        <w:tab/>
      </w:r>
      <w:r w:rsidRPr="003D1614">
        <w:rPr>
          <w:rFonts w:ascii="Arial" w:eastAsia="Times New Roman" w:hAnsi="Arial" w:cs="Arial"/>
          <w:b/>
          <w:color w:val="000000" w:themeColor="text1"/>
          <w:sz w:val="20"/>
          <w:szCs w:val="20"/>
        </w:rPr>
        <w:t>Izvještavanje po segmentima (nastavak)</w:t>
      </w:r>
    </w:p>
    <w:tbl>
      <w:tblPr>
        <w:tblpPr w:leftFromText="181" w:rightFromText="181" w:vertAnchor="text" w:horzAnchor="margin" w:tblpXSpec="center" w:tblpY="1"/>
        <w:tblW w:w="9923" w:type="dxa"/>
        <w:tblLayout w:type="fixed"/>
        <w:tblLook w:val="04A0" w:firstRow="1" w:lastRow="0" w:firstColumn="1" w:lastColumn="0" w:noHBand="0" w:noVBand="1"/>
      </w:tblPr>
      <w:tblGrid>
        <w:gridCol w:w="3261"/>
        <w:gridCol w:w="1134"/>
        <w:gridCol w:w="1667"/>
        <w:gridCol w:w="1168"/>
        <w:gridCol w:w="1559"/>
        <w:gridCol w:w="1134"/>
      </w:tblGrid>
      <w:tr w:rsidR="00252822" w:rsidRPr="003D1614" w14:paraId="083C67BC" w14:textId="77777777" w:rsidTr="00422DD5">
        <w:trPr>
          <w:trHeight w:val="300"/>
        </w:trPr>
        <w:tc>
          <w:tcPr>
            <w:tcW w:w="3261" w:type="dxa"/>
            <w:tcBorders>
              <w:top w:val="nil"/>
              <w:left w:val="nil"/>
              <w:right w:val="nil"/>
            </w:tcBorders>
            <w:shd w:val="clear" w:color="auto" w:fill="auto"/>
            <w:vAlign w:val="bottom"/>
          </w:tcPr>
          <w:p w14:paraId="40CAB7A7" w14:textId="77777777" w:rsidR="00252822" w:rsidRPr="003D1614" w:rsidRDefault="00252822" w:rsidP="00422DD5">
            <w:pPr>
              <w:suppressAutoHyphens/>
              <w:autoSpaceDN w:val="0"/>
              <w:spacing w:line="300" w:lineRule="exact"/>
              <w:rPr>
                <w:rFonts w:ascii="Arial" w:eastAsia="Times New Roman" w:hAnsi="Arial" w:cs="Arial"/>
                <w:b/>
                <w:bCs/>
                <w:color w:val="000000" w:themeColor="text1"/>
                <w:sz w:val="18"/>
                <w:szCs w:val="18"/>
              </w:rPr>
            </w:pPr>
          </w:p>
        </w:tc>
        <w:tc>
          <w:tcPr>
            <w:tcW w:w="1134" w:type="dxa"/>
            <w:tcBorders>
              <w:top w:val="nil"/>
              <w:left w:val="nil"/>
              <w:right w:val="nil"/>
            </w:tcBorders>
            <w:shd w:val="clear" w:color="auto" w:fill="auto"/>
            <w:noWrap/>
          </w:tcPr>
          <w:p w14:paraId="3BF44E65" w14:textId="77777777" w:rsidR="00252822" w:rsidRPr="003D1614" w:rsidRDefault="00252822" w:rsidP="00422DD5">
            <w:pPr>
              <w:suppressAutoHyphens/>
              <w:autoSpaceDN w:val="0"/>
              <w:spacing w:line="300" w:lineRule="exact"/>
              <w:jc w:val="right"/>
              <w:rPr>
                <w:rFonts w:ascii="Arial" w:eastAsia="Times New Roman" w:hAnsi="Arial" w:cs="Arial"/>
                <w:b/>
                <w:color w:val="000000" w:themeColor="text1"/>
                <w:sz w:val="18"/>
                <w:szCs w:val="18"/>
              </w:rPr>
            </w:pPr>
          </w:p>
        </w:tc>
        <w:tc>
          <w:tcPr>
            <w:tcW w:w="1667" w:type="dxa"/>
            <w:tcBorders>
              <w:top w:val="nil"/>
              <w:left w:val="nil"/>
              <w:right w:val="nil"/>
            </w:tcBorders>
            <w:shd w:val="clear" w:color="auto" w:fill="auto"/>
            <w:noWrap/>
            <w:vAlign w:val="bottom"/>
          </w:tcPr>
          <w:p w14:paraId="26705288" w14:textId="77777777" w:rsidR="00252822" w:rsidRPr="003D1614" w:rsidRDefault="00252822" w:rsidP="00422DD5">
            <w:pPr>
              <w:suppressAutoHyphens/>
              <w:autoSpaceDN w:val="0"/>
              <w:spacing w:line="300" w:lineRule="exact"/>
              <w:jc w:val="right"/>
              <w:rPr>
                <w:rFonts w:ascii="Arial" w:eastAsia="Times New Roman" w:hAnsi="Arial" w:cs="Arial"/>
                <w:b/>
                <w:color w:val="000000" w:themeColor="text1"/>
                <w:sz w:val="18"/>
                <w:szCs w:val="18"/>
              </w:rPr>
            </w:pPr>
          </w:p>
        </w:tc>
        <w:tc>
          <w:tcPr>
            <w:tcW w:w="1168" w:type="dxa"/>
            <w:tcBorders>
              <w:top w:val="nil"/>
              <w:left w:val="nil"/>
              <w:right w:val="nil"/>
            </w:tcBorders>
            <w:shd w:val="clear" w:color="auto" w:fill="auto"/>
            <w:noWrap/>
            <w:vAlign w:val="bottom"/>
          </w:tcPr>
          <w:p w14:paraId="3E1AFD14" w14:textId="77777777" w:rsidR="00252822" w:rsidRPr="003D1614" w:rsidRDefault="00252822" w:rsidP="00422DD5">
            <w:pPr>
              <w:suppressAutoHyphens/>
              <w:autoSpaceDN w:val="0"/>
              <w:spacing w:line="300" w:lineRule="exact"/>
              <w:jc w:val="right"/>
              <w:rPr>
                <w:rFonts w:ascii="Arial" w:eastAsia="Times New Roman" w:hAnsi="Arial" w:cs="Arial"/>
                <w:b/>
                <w:color w:val="000000" w:themeColor="text1"/>
                <w:sz w:val="18"/>
                <w:szCs w:val="18"/>
              </w:rPr>
            </w:pPr>
          </w:p>
        </w:tc>
        <w:tc>
          <w:tcPr>
            <w:tcW w:w="1559" w:type="dxa"/>
            <w:tcBorders>
              <w:top w:val="nil"/>
              <w:left w:val="nil"/>
              <w:right w:val="nil"/>
            </w:tcBorders>
            <w:shd w:val="clear" w:color="auto" w:fill="auto"/>
            <w:noWrap/>
            <w:vAlign w:val="bottom"/>
          </w:tcPr>
          <w:p w14:paraId="2C6BC1A8" w14:textId="77777777" w:rsidR="00252822" w:rsidRPr="003D1614" w:rsidRDefault="00252822" w:rsidP="00422DD5">
            <w:pPr>
              <w:suppressAutoHyphens/>
              <w:autoSpaceDN w:val="0"/>
              <w:spacing w:line="300" w:lineRule="exact"/>
              <w:jc w:val="right"/>
              <w:rPr>
                <w:rFonts w:ascii="Arial" w:eastAsia="Times New Roman" w:hAnsi="Arial" w:cs="Arial"/>
                <w:b/>
                <w:color w:val="000000" w:themeColor="text1"/>
                <w:sz w:val="18"/>
                <w:szCs w:val="18"/>
              </w:rPr>
            </w:pPr>
          </w:p>
        </w:tc>
        <w:tc>
          <w:tcPr>
            <w:tcW w:w="1134" w:type="dxa"/>
            <w:tcBorders>
              <w:top w:val="nil"/>
              <w:left w:val="nil"/>
              <w:right w:val="nil"/>
            </w:tcBorders>
            <w:shd w:val="clear" w:color="auto" w:fill="auto"/>
            <w:noWrap/>
            <w:vAlign w:val="bottom"/>
          </w:tcPr>
          <w:p w14:paraId="3CF11842" w14:textId="77777777" w:rsidR="00252822" w:rsidRPr="003D1614" w:rsidRDefault="00252822" w:rsidP="00422DD5">
            <w:pPr>
              <w:suppressAutoHyphens/>
              <w:autoSpaceDN w:val="0"/>
              <w:spacing w:line="300" w:lineRule="exact"/>
              <w:jc w:val="right"/>
              <w:rPr>
                <w:rFonts w:ascii="Arial" w:eastAsia="Times New Roman" w:hAnsi="Arial" w:cs="Arial"/>
                <w:b/>
                <w:color w:val="000000" w:themeColor="text1"/>
                <w:sz w:val="18"/>
                <w:szCs w:val="18"/>
              </w:rPr>
            </w:pPr>
          </w:p>
        </w:tc>
      </w:tr>
      <w:tr w:rsidR="00252822" w:rsidRPr="003D1614" w14:paraId="713E5901" w14:textId="77777777" w:rsidTr="00422DD5">
        <w:trPr>
          <w:trHeight w:val="600"/>
        </w:trPr>
        <w:tc>
          <w:tcPr>
            <w:tcW w:w="3261" w:type="dxa"/>
            <w:tcBorders>
              <w:left w:val="nil"/>
              <w:right w:val="nil"/>
            </w:tcBorders>
            <w:shd w:val="clear" w:color="auto" w:fill="auto"/>
            <w:vAlign w:val="bottom"/>
          </w:tcPr>
          <w:p w14:paraId="10643CEA" w14:textId="77777777" w:rsidR="00252822" w:rsidRPr="003D1614" w:rsidRDefault="00252822" w:rsidP="00422DD5">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1. siječnja - 31. ožujka 202</w:t>
            </w:r>
            <w:r>
              <w:rPr>
                <w:rFonts w:ascii="Arial" w:eastAsia="Times New Roman" w:hAnsi="Arial" w:cs="Arial"/>
                <w:b/>
                <w:bCs/>
                <w:color w:val="000000" w:themeColor="text1"/>
                <w:sz w:val="18"/>
                <w:szCs w:val="18"/>
              </w:rPr>
              <w:t>4</w:t>
            </w:r>
            <w:r w:rsidRPr="003D1614">
              <w:rPr>
                <w:rFonts w:ascii="Arial" w:eastAsia="Times New Roman" w:hAnsi="Arial" w:cs="Arial"/>
                <w:b/>
                <w:bCs/>
                <w:color w:val="000000" w:themeColor="text1"/>
                <w:sz w:val="18"/>
                <w:szCs w:val="18"/>
              </w:rPr>
              <w:t>.</w:t>
            </w:r>
          </w:p>
        </w:tc>
        <w:tc>
          <w:tcPr>
            <w:tcW w:w="1134" w:type="dxa"/>
            <w:tcBorders>
              <w:left w:val="nil"/>
              <w:right w:val="nil"/>
            </w:tcBorders>
            <w:shd w:val="clear" w:color="auto" w:fill="auto"/>
          </w:tcPr>
          <w:p w14:paraId="70819786"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Bankarske aktivnosti</w:t>
            </w:r>
          </w:p>
        </w:tc>
        <w:tc>
          <w:tcPr>
            <w:tcW w:w="1667" w:type="dxa"/>
            <w:tcBorders>
              <w:left w:val="nil"/>
              <w:right w:val="nil"/>
            </w:tcBorders>
            <w:shd w:val="clear" w:color="auto" w:fill="auto"/>
          </w:tcPr>
          <w:p w14:paraId="369EEA90"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proofErr w:type="spellStart"/>
            <w:r w:rsidRPr="003D1614">
              <w:rPr>
                <w:rFonts w:ascii="Arial" w:eastAsia="Times New Roman" w:hAnsi="Arial" w:cs="Arial"/>
                <w:b/>
                <w:bCs/>
                <w:color w:val="000000" w:themeColor="text1"/>
                <w:sz w:val="18"/>
                <w:szCs w:val="18"/>
              </w:rPr>
              <w:t>Osiguravateljske</w:t>
            </w:r>
            <w:proofErr w:type="spellEnd"/>
            <w:r w:rsidRPr="003D1614">
              <w:rPr>
                <w:rFonts w:ascii="Arial" w:eastAsia="Times New Roman" w:hAnsi="Arial" w:cs="Arial"/>
                <w:b/>
                <w:bCs/>
                <w:color w:val="000000" w:themeColor="text1"/>
                <w:sz w:val="18"/>
                <w:szCs w:val="18"/>
              </w:rPr>
              <w:t xml:space="preserve"> aktivnosti</w:t>
            </w:r>
          </w:p>
        </w:tc>
        <w:tc>
          <w:tcPr>
            <w:tcW w:w="1168" w:type="dxa"/>
            <w:tcBorders>
              <w:left w:val="nil"/>
              <w:right w:val="nil"/>
            </w:tcBorders>
            <w:shd w:val="clear" w:color="auto" w:fill="auto"/>
          </w:tcPr>
          <w:p w14:paraId="09996BF6"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Ostale aktivnosti</w:t>
            </w:r>
          </w:p>
        </w:tc>
        <w:tc>
          <w:tcPr>
            <w:tcW w:w="1559" w:type="dxa"/>
            <w:tcBorders>
              <w:left w:val="nil"/>
              <w:right w:val="nil"/>
            </w:tcBorders>
            <w:shd w:val="clear" w:color="auto" w:fill="auto"/>
          </w:tcPr>
          <w:p w14:paraId="5DCF6115"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Neraspoređeno</w:t>
            </w:r>
          </w:p>
        </w:tc>
        <w:tc>
          <w:tcPr>
            <w:tcW w:w="1134" w:type="dxa"/>
            <w:tcBorders>
              <w:left w:val="nil"/>
              <w:right w:val="nil"/>
            </w:tcBorders>
            <w:shd w:val="clear" w:color="auto" w:fill="auto"/>
          </w:tcPr>
          <w:p w14:paraId="77CC3C9D"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Ukupno</w:t>
            </w:r>
          </w:p>
        </w:tc>
      </w:tr>
      <w:tr w:rsidR="00252822" w:rsidRPr="003D1614" w14:paraId="25FAF1C4" w14:textId="77777777" w:rsidTr="00422DD5">
        <w:trPr>
          <w:trHeight w:val="234"/>
        </w:trPr>
        <w:tc>
          <w:tcPr>
            <w:tcW w:w="3261" w:type="dxa"/>
            <w:tcBorders>
              <w:left w:val="nil"/>
              <w:bottom w:val="nil"/>
              <w:right w:val="nil"/>
            </w:tcBorders>
            <w:shd w:val="clear" w:color="auto" w:fill="auto"/>
            <w:vAlign w:val="bottom"/>
          </w:tcPr>
          <w:p w14:paraId="7FE972DF" w14:textId="77777777" w:rsidR="00252822" w:rsidRPr="003D1614" w:rsidRDefault="00252822" w:rsidP="00422DD5">
            <w:pPr>
              <w:suppressAutoHyphens/>
              <w:autoSpaceDN w:val="0"/>
              <w:spacing w:line="300" w:lineRule="exact"/>
              <w:rPr>
                <w:rFonts w:ascii="Arial" w:eastAsia="Times New Roman" w:hAnsi="Arial" w:cs="Arial"/>
                <w:b/>
                <w:bCs/>
                <w:color w:val="000000" w:themeColor="text1"/>
                <w:sz w:val="18"/>
                <w:szCs w:val="18"/>
              </w:rPr>
            </w:pPr>
          </w:p>
        </w:tc>
        <w:tc>
          <w:tcPr>
            <w:tcW w:w="1134" w:type="dxa"/>
            <w:tcBorders>
              <w:left w:val="nil"/>
              <w:bottom w:val="nil"/>
              <w:right w:val="nil"/>
            </w:tcBorders>
            <w:shd w:val="clear" w:color="auto" w:fill="auto"/>
            <w:noWrap/>
            <w:vAlign w:val="bottom"/>
          </w:tcPr>
          <w:p w14:paraId="39E8CA6D"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c>
          <w:tcPr>
            <w:tcW w:w="1667" w:type="dxa"/>
            <w:tcBorders>
              <w:left w:val="nil"/>
              <w:bottom w:val="nil"/>
              <w:right w:val="nil"/>
            </w:tcBorders>
            <w:shd w:val="clear" w:color="auto" w:fill="auto"/>
            <w:noWrap/>
            <w:vAlign w:val="bottom"/>
          </w:tcPr>
          <w:p w14:paraId="32AA835A"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c>
          <w:tcPr>
            <w:tcW w:w="1168" w:type="dxa"/>
            <w:tcBorders>
              <w:left w:val="nil"/>
              <w:bottom w:val="nil"/>
              <w:right w:val="nil"/>
            </w:tcBorders>
            <w:shd w:val="clear" w:color="auto" w:fill="auto"/>
            <w:noWrap/>
            <w:vAlign w:val="bottom"/>
          </w:tcPr>
          <w:p w14:paraId="527DDFAC"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c>
          <w:tcPr>
            <w:tcW w:w="1559" w:type="dxa"/>
            <w:tcBorders>
              <w:left w:val="nil"/>
              <w:bottom w:val="nil"/>
              <w:right w:val="nil"/>
            </w:tcBorders>
            <w:shd w:val="clear" w:color="auto" w:fill="auto"/>
            <w:noWrap/>
            <w:vAlign w:val="bottom"/>
          </w:tcPr>
          <w:p w14:paraId="41FAAA5E"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c>
          <w:tcPr>
            <w:tcW w:w="1134" w:type="dxa"/>
            <w:tcBorders>
              <w:left w:val="nil"/>
              <w:bottom w:val="nil"/>
              <w:right w:val="nil"/>
            </w:tcBorders>
            <w:shd w:val="clear" w:color="auto" w:fill="auto"/>
            <w:noWrap/>
            <w:vAlign w:val="bottom"/>
          </w:tcPr>
          <w:p w14:paraId="4866ACAB"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r>
      <w:tr w:rsidR="00252822" w:rsidRPr="003D1614" w14:paraId="5F0530A2" w14:textId="77777777" w:rsidTr="00422DD5">
        <w:trPr>
          <w:trHeight w:val="59"/>
        </w:trPr>
        <w:tc>
          <w:tcPr>
            <w:tcW w:w="3261" w:type="dxa"/>
            <w:tcBorders>
              <w:top w:val="nil"/>
              <w:left w:val="nil"/>
              <w:bottom w:val="nil"/>
              <w:right w:val="nil"/>
            </w:tcBorders>
            <w:shd w:val="clear" w:color="auto" w:fill="auto"/>
            <w:vAlign w:val="bottom"/>
          </w:tcPr>
          <w:p w14:paraId="2719B748" w14:textId="77777777" w:rsidR="00252822" w:rsidRPr="003D1614" w:rsidRDefault="00252822" w:rsidP="00422DD5">
            <w:pPr>
              <w:suppressAutoHyphens/>
              <w:autoSpaceDN w:val="0"/>
              <w:spacing w:line="140" w:lineRule="exac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noWrap/>
            <w:vAlign w:val="bottom"/>
          </w:tcPr>
          <w:p w14:paraId="20991F26" w14:textId="77777777" w:rsidR="00252822" w:rsidRPr="003D1614" w:rsidRDefault="00252822" w:rsidP="00422DD5">
            <w:pPr>
              <w:suppressAutoHyphens/>
              <w:autoSpaceDN w:val="0"/>
              <w:spacing w:line="140" w:lineRule="exact"/>
              <w:rPr>
                <w:rFonts w:ascii="Arial" w:eastAsia="Times New Roman" w:hAnsi="Arial" w:cs="Arial"/>
                <w:color w:val="000000" w:themeColor="text1"/>
                <w:sz w:val="18"/>
                <w:szCs w:val="18"/>
              </w:rPr>
            </w:pPr>
          </w:p>
        </w:tc>
        <w:tc>
          <w:tcPr>
            <w:tcW w:w="1667" w:type="dxa"/>
            <w:tcBorders>
              <w:top w:val="nil"/>
              <w:left w:val="nil"/>
              <w:bottom w:val="nil"/>
              <w:right w:val="nil"/>
            </w:tcBorders>
            <w:shd w:val="clear" w:color="auto" w:fill="auto"/>
            <w:noWrap/>
            <w:vAlign w:val="bottom"/>
          </w:tcPr>
          <w:p w14:paraId="2D4CAE0D" w14:textId="77777777" w:rsidR="00252822" w:rsidRPr="003D1614" w:rsidRDefault="00252822" w:rsidP="00422DD5">
            <w:pPr>
              <w:suppressAutoHyphens/>
              <w:autoSpaceDN w:val="0"/>
              <w:spacing w:line="140" w:lineRule="exact"/>
              <w:rPr>
                <w:rFonts w:ascii="Arial" w:eastAsia="Times New Roman" w:hAnsi="Arial" w:cs="Arial"/>
                <w:color w:val="000000" w:themeColor="text1"/>
                <w:sz w:val="18"/>
                <w:szCs w:val="18"/>
              </w:rPr>
            </w:pPr>
          </w:p>
        </w:tc>
        <w:tc>
          <w:tcPr>
            <w:tcW w:w="1168" w:type="dxa"/>
            <w:tcBorders>
              <w:top w:val="nil"/>
              <w:left w:val="nil"/>
              <w:bottom w:val="nil"/>
              <w:right w:val="nil"/>
            </w:tcBorders>
            <w:shd w:val="clear" w:color="auto" w:fill="auto"/>
            <w:noWrap/>
            <w:vAlign w:val="bottom"/>
          </w:tcPr>
          <w:p w14:paraId="71BDF9DE" w14:textId="77777777" w:rsidR="00252822" w:rsidRPr="003D1614" w:rsidRDefault="00252822" w:rsidP="00422DD5">
            <w:pPr>
              <w:suppressAutoHyphens/>
              <w:autoSpaceDN w:val="0"/>
              <w:spacing w:line="140" w:lineRule="exact"/>
              <w:rPr>
                <w:rFonts w:ascii="Arial" w:eastAsia="Times New Roman" w:hAnsi="Arial" w:cs="Arial"/>
                <w:color w:val="000000" w:themeColor="text1"/>
                <w:sz w:val="18"/>
                <w:szCs w:val="18"/>
              </w:rPr>
            </w:pPr>
          </w:p>
        </w:tc>
        <w:tc>
          <w:tcPr>
            <w:tcW w:w="1559" w:type="dxa"/>
            <w:tcBorders>
              <w:top w:val="nil"/>
              <w:left w:val="nil"/>
              <w:bottom w:val="nil"/>
              <w:right w:val="nil"/>
            </w:tcBorders>
            <w:shd w:val="clear" w:color="auto" w:fill="auto"/>
            <w:noWrap/>
            <w:vAlign w:val="bottom"/>
          </w:tcPr>
          <w:p w14:paraId="2027AEFD" w14:textId="77777777" w:rsidR="00252822" w:rsidRPr="003D1614" w:rsidRDefault="00252822" w:rsidP="00422DD5">
            <w:pPr>
              <w:suppressAutoHyphens/>
              <w:autoSpaceDN w:val="0"/>
              <w:spacing w:line="140" w:lineRule="exac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noWrap/>
            <w:vAlign w:val="bottom"/>
          </w:tcPr>
          <w:p w14:paraId="2D70E4C5" w14:textId="77777777" w:rsidR="00252822" w:rsidRPr="003D1614" w:rsidRDefault="00252822" w:rsidP="00422DD5">
            <w:pPr>
              <w:suppressAutoHyphens/>
              <w:autoSpaceDN w:val="0"/>
              <w:spacing w:line="140" w:lineRule="exact"/>
              <w:rPr>
                <w:rFonts w:ascii="Arial" w:eastAsia="Times New Roman" w:hAnsi="Arial" w:cs="Arial"/>
                <w:color w:val="000000" w:themeColor="text1"/>
                <w:sz w:val="18"/>
                <w:szCs w:val="18"/>
              </w:rPr>
            </w:pPr>
          </w:p>
        </w:tc>
      </w:tr>
      <w:tr w:rsidR="00252822" w:rsidRPr="003D1614" w14:paraId="42F67EC8" w14:textId="77777777" w:rsidTr="00422DD5">
        <w:trPr>
          <w:trHeight w:val="300"/>
        </w:trPr>
        <w:tc>
          <w:tcPr>
            <w:tcW w:w="3261" w:type="dxa"/>
            <w:tcBorders>
              <w:top w:val="nil"/>
              <w:left w:val="nil"/>
              <w:bottom w:val="nil"/>
              <w:right w:val="nil"/>
            </w:tcBorders>
            <w:shd w:val="clear" w:color="auto" w:fill="auto"/>
            <w:vAlign w:val="bottom"/>
          </w:tcPr>
          <w:p w14:paraId="6527933C" w14:textId="77777777" w:rsidR="00252822" w:rsidRPr="003D1614" w:rsidRDefault="00252822" w:rsidP="00422DD5">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Neto prihod od kamata</w:t>
            </w:r>
          </w:p>
        </w:tc>
        <w:tc>
          <w:tcPr>
            <w:tcW w:w="1134" w:type="dxa"/>
            <w:shd w:val="clear" w:color="auto" w:fill="auto"/>
            <w:noWrap/>
            <w:vAlign w:val="bottom"/>
          </w:tcPr>
          <w:p w14:paraId="3A486394"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sidRPr="0019109B">
              <w:rPr>
                <w:rFonts w:ascii="Arial" w:eastAsia="Times New Roman" w:hAnsi="Arial" w:cs="Arial"/>
                <w:color w:val="000000" w:themeColor="text1"/>
                <w:sz w:val="18"/>
                <w:szCs w:val="18"/>
              </w:rPr>
              <w:t>16.935</w:t>
            </w:r>
          </w:p>
        </w:tc>
        <w:tc>
          <w:tcPr>
            <w:tcW w:w="1667" w:type="dxa"/>
            <w:shd w:val="clear" w:color="auto" w:fill="auto"/>
            <w:noWrap/>
            <w:vAlign w:val="bottom"/>
          </w:tcPr>
          <w:p w14:paraId="0620E522"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61</w:t>
            </w:r>
          </w:p>
        </w:tc>
        <w:tc>
          <w:tcPr>
            <w:tcW w:w="1168" w:type="dxa"/>
            <w:shd w:val="clear" w:color="auto" w:fill="auto"/>
            <w:noWrap/>
            <w:vAlign w:val="bottom"/>
          </w:tcPr>
          <w:p w14:paraId="3702FDF4"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08D540C0"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7821C7AF"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sidRPr="0019109B">
              <w:rPr>
                <w:rFonts w:ascii="Arial" w:eastAsia="Times New Roman" w:hAnsi="Arial" w:cs="Arial"/>
                <w:color w:val="000000" w:themeColor="text1"/>
                <w:sz w:val="18"/>
                <w:szCs w:val="18"/>
              </w:rPr>
              <w:t>16.996</w:t>
            </w:r>
          </w:p>
        </w:tc>
      </w:tr>
      <w:tr w:rsidR="00252822" w:rsidRPr="003D1614" w14:paraId="33D1310A" w14:textId="77777777" w:rsidTr="00422DD5">
        <w:trPr>
          <w:trHeight w:val="300"/>
        </w:trPr>
        <w:tc>
          <w:tcPr>
            <w:tcW w:w="3261" w:type="dxa"/>
            <w:tcBorders>
              <w:top w:val="nil"/>
              <w:left w:val="nil"/>
              <w:bottom w:val="nil"/>
              <w:right w:val="nil"/>
            </w:tcBorders>
            <w:shd w:val="clear" w:color="auto" w:fill="auto"/>
            <w:vAlign w:val="bottom"/>
          </w:tcPr>
          <w:p w14:paraId="056AA264" w14:textId="77777777" w:rsidR="00252822" w:rsidRPr="003D1614" w:rsidRDefault="00252822" w:rsidP="00422DD5">
            <w:pPr>
              <w:suppressAutoHyphens/>
              <w:autoSpaceDN w:val="0"/>
              <w:spacing w:line="300" w:lineRule="exact"/>
              <w:rPr>
                <w:rFonts w:ascii="Arial" w:eastAsia="Times New Roman" w:hAnsi="Arial" w:cs="Arial"/>
                <w:color w:val="000000" w:themeColor="text1"/>
                <w:sz w:val="18"/>
                <w:szCs w:val="18"/>
              </w:rPr>
            </w:pPr>
            <w:r w:rsidRPr="0019109B">
              <w:rPr>
                <w:rFonts w:ascii="Arial" w:eastAsia="Times New Roman" w:hAnsi="Arial" w:cs="Arial"/>
                <w:color w:val="000000" w:themeColor="text1"/>
                <w:sz w:val="18"/>
                <w:szCs w:val="18"/>
              </w:rPr>
              <w:t>Prihod od ukidanja razgraničenja subvencije na teret poslovanja HBOR-a</w:t>
            </w:r>
          </w:p>
        </w:tc>
        <w:tc>
          <w:tcPr>
            <w:tcW w:w="1134" w:type="dxa"/>
            <w:shd w:val="clear" w:color="auto" w:fill="auto"/>
            <w:noWrap/>
            <w:vAlign w:val="bottom"/>
          </w:tcPr>
          <w:p w14:paraId="66E480BC" w14:textId="77777777" w:rsidR="00252822" w:rsidRPr="0047597C" w:rsidRDefault="00252822" w:rsidP="00422DD5">
            <w:pPr>
              <w:suppressAutoHyphens/>
              <w:autoSpaceDN w:val="0"/>
              <w:spacing w:line="300" w:lineRule="exact"/>
              <w:jc w:val="right"/>
              <w:rPr>
                <w:rFonts w:ascii="Arial" w:eastAsia="Times New Roman" w:hAnsi="Arial" w:cs="Arial"/>
                <w:color w:val="000000" w:themeColor="text1"/>
                <w:sz w:val="18"/>
                <w:szCs w:val="18"/>
              </w:rPr>
            </w:pPr>
            <w:r w:rsidRPr="0019109B">
              <w:rPr>
                <w:rFonts w:ascii="Arial" w:eastAsia="Times New Roman" w:hAnsi="Arial" w:cs="Arial"/>
                <w:color w:val="000000" w:themeColor="text1"/>
                <w:sz w:val="18"/>
                <w:szCs w:val="18"/>
              </w:rPr>
              <w:t>139</w:t>
            </w:r>
          </w:p>
        </w:tc>
        <w:tc>
          <w:tcPr>
            <w:tcW w:w="1667" w:type="dxa"/>
            <w:shd w:val="clear" w:color="auto" w:fill="auto"/>
            <w:noWrap/>
            <w:vAlign w:val="bottom"/>
          </w:tcPr>
          <w:p w14:paraId="672BA527" w14:textId="77777777" w:rsidR="00252822" w:rsidRPr="0047597C" w:rsidRDefault="00252822" w:rsidP="00422DD5">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106BC8D9" w14:textId="77777777" w:rsidR="00252822" w:rsidRDefault="00252822" w:rsidP="00422DD5">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1204F418" w14:textId="77777777" w:rsidR="00252822" w:rsidRDefault="00252822" w:rsidP="00422DD5">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6314E63A" w14:textId="77777777" w:rsidR="00252822" w:rsidRPr="0047597C" w:rsidRDefault="00252822" w:rsidP="00422DD5">
            <w:pPr>
              <w:suppressAutoHyphens/>
              <w:autoSpaceDN w:val="0"/>
              <w:spacing w:line="300" w:lineRule="exact"/>
              <w:jc w:val="right"/>
              <w:rPr>
                <w:rFonts w:ascii="Arial" w:eastAsia="Times New Roman" w:hAnsi="Arial" w:cs="Arial"/>
                <w:color w:val="000000" w:themeColor="text1"/>
                <w:sz w:val="18"/>
                <w:szCs w:val="18"/>
              </w:rPr>
            </w:pPr>
            <w:r w:rsidRPr="0019109B">
              <w:rPr>
                <w:rFonts w:ascii="Arial" w:eastAsia="Times New Roman" w:hAnsi="Arial" w:cs="Arial"/>
                <w:color w:val="000000" w:themeColor="text1"/>
                <w:sz w:val="18"/>
                <w:szCs w:val="18"/>
              </w:rPr>
              <w:t>139</w:t>
            </w:r>
          </w:p>
        </w:tc>
      </w:tr>
      <w:tr w:rsidR="00252822" w:rsidRPr="003D1614" w14:paraId="569F7820" w14:textId="77777777" w:rsidTr="00422DD5">
        <w:trPr>
          <w:trHeight w:val="300"/>
        </w:trPr>
        <w:tc>
          <w:tcPr>
            <w:tcW w:w="3261" w:type="dxa"/>
            <w:tcBorders>
              <w:top w:val="nil"/>
              <w:left w:val="nil"/>
              <w:bottom w:val="nil"/>
              <w:right w:val="nil"/>
            </w:tcBorders>
            <w:shd w:val="clear" w:color="auto" w:fill="auto"/>
            <w:vAlign w:val="bottom"/>
          </w:tcPr>
          <w:p w14:paraId="7B530AAC" w14:textId="77777777" w:rsidR="00252822" w:rsidRPr="003D1614" w:rsidRDefault="00252822" w:rsidP="00422DD5">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Neto prihod od naknada</w:t>
            </w:r>
          </w:p>
        </w:tc>
        <w:tc>
          <w:tcPr>
            <w:tcW w:w="1134" w:type="dxa"/>
            <w:shd w:val="clear" w:color="auto" w:fill="auto"/>
            <w:noWrap/>
            <w:vAlign w:val="bottom"/>
          </w:tcPr>
          <w:p w14:paraId="3BCD519C"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270</w:t>
            </w:r>
          </w:p>
        </w:tc>
        <w:tc>
          <w:tcPr>
            <w:tcW w:w="1667" w:type="dxa"/>
            <w:shd w:val="clear" w:color="auto" w:fill="auto"/>
            <w:noWrap/>
            <w:vAlign w:val="bottom"/>
          </w:tcPr>
          <w:p w14:paraId="4EC0A184"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4F01289B"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82</w:t>
            </w:r>
          </w:p>
        </w:tc>
        <w:tc>
          <w:tcPr>
            <w:tcW w:w="1559" w:type="dxa"/>
            <w:shd w:val="clear" w:color="auto" w:fill="auto"/>
            <w:noWrap/>
            <w:vAlign w:val="bottom"/>
          </w:tcPr>
          <w:p w14:paraId="7A7FB279"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0FEEC8F1"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352</w:t>
            </w:r>
          </w:p>
        </w:tc>
      </w:tr>
      <w:tr w:rsidR="00252822" w:rsidRPr="003D1614" w14:paraId="4927E8A5" w14:textId="77777777" w:rsidTr="00422DD5">
        <w:trPr>
          <w:trHeight w:val="280"/>
        </w:trPr>
        <w:tc>
          <w:tcPr>
            <w:tcW w:w="3261" w:type="dxa"/>
            <w:tcBorders>
              <w:top w:val="nil"/>
              <w:left w:val="nil"/>
              <w:bottom w:val="nil"/>
              <w:right w:val="nil"/>
            </w:tcBorders>
            <w:shd w:val="clear" w:color="auto" w:fill="auto"/>
            <w:vAlign w:val="bottom"/>
          </w:tcPr>
          <w:p w14:paraId="3ED054C4" w14:textId="77777777" w:rsidR="00252822" w:rsidRPr="003D1614" w:rsidRDefault="00252822" w:rsidP="00422DD5">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 xml:space="preserve">Neto prihodi/(rashodi) od financijskih aktivnosti </w:t>
            </w:r>
          </w:p>
        </w:tc>
        <w:tc>
          <w:tcPr>
            <w:tcW w:w="1134" w:type="dxa"/>
            <w:shd w:val="clear" w:color="auto" w:fill="auto"/>
            <w:noWrap/>
            <w:vAlign w:val="bottom"/>
          </w:tcPr>
          <w:p w14:paraId="5950C7AE"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41</w:t>
            </w:r>
          </w:p>
        </w:tc>
        <w:tc>
          <w:tcPr>
            <w:tcW w:w="1667" w:type="dxa"/>
            <w:shd w:val="clear" w:color="auto" w:fill="auto"/>
            <w:noWrap/>
            <w:vAlign w:val="bottom"/>
          </w:tcPr>
          <w:p w14:paraId="0B094E4F"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7F0DD5FB"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50D7019B"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63658839"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41</w:t>
            </w:r>
          </w:p>
        </w:tc>
      </w:tr>
      <w:tr w:rsidR="00252822" w:rsidRPr="003D1614" w14:paraId="4849770E" w14:textId="77777777" w:rsidTr="00422DD5">
        <w:trPr>
          <w:trHeight w:val="280"/>
        </w:trPr>
        <w:tc>
          <w:tcPr>
            <w:tcW w:w="3261" w:type="dxa"/>
            <w:tcBorders>
              <w:top w:val="nil"/>
              <w:left w:val="nil"/>
              <w:bottom w:val="nil"/>
              <w:right w:val="nil"/>
            </w:tcBorders>
            <w:shd w:val="clear" w:color="auto" w:fill="auto"/>
            <w:vAlign w:val="bottom"/>
          </w:tcPr>
          <w:p w14:paraId="1B14D809" w14:textId="77777777" w:rsidR="00252822" w:rsidRPr="003D1614" w:rsidRDefault="00252822" w:rsidP="00422DD5">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Dobitak od umanjenja vrijednosti</w:t>
            </w:r>
          </w:p>
        </w:tc>
        <w:tc>
          <w:tcPr>
            <w:tcW w:w="1134" w:type="dxa"/>
            <w:shd w:val="clear" w:color="auto" w:fill="auto"/>
            <w:noWrap/>
            <w:vAlign w:val="bottom"/>
          </w:tcPr>
          <w:p w14:paraId="09B09FCC" w14:textId="526707BF"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5.9</w:t>
            </w:r>
            <w:r w:rsidR="00910726">
              <w:rPr>
                <w:rFonts w:ascii="Arial" w:eastAsia="Times New Roman" w:hAnsi="Arial" w:cs="Arial"/>
                <w:color w:val="000000" w:themeColor="text1"/>
                <w:sz w:val="18"/>
                <w:szCs w:val="18"/>
              </w:rPr>
              <w:t>39</w:t>
            </w:r>
          </w:p>
        </w:tc>
        <w:tc>
          <w:tcPr>
            <w:tcW w:w="1667" w:type="dxa"/>
            <w:shd w:val="clear" w:color="auto" w:fill="auto"/>
            <w:noWrap/>
            <w:vAlign w:val="bottom"/>
          </w:tcPr>
          <w:p w14:paraId="57EF165F" w14:textId="1DD86EFC" w:rsidR="00252822" w:rsidRPr="003D1614" w:rsidRDefault="00910726" w:rsidP="00422DD5">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w:t>
            </w:r>
          </w:p>
        </w:tc>
        <w:tc>
          <w:tcPr>
            <w:tcW w:w="1168" w:type="dxa"/>
            <w:shd w:val="clear" w:color="auto" w:fill="auto"/>
            <w:noWrap/>
            <w:vAlign w:val="bottom"/>
          </w:tcPr>
          <w:p w14:paraId="0A3A1C5F"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725F2487"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47093BD7"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5.943</w:t>
            </w:r>
          </w:p>
        </w:tc>
      </w:tr>
      <w:tr w:rsidR="00252822" w:rsidRPr="003D1614" w14:paraId="7DAD4568" w14:textId="77777777" w:rsidTr="00422DD5">
        <w:trPr>
          <w:trHeight w:val="300"/>
        </w:trPr>
        <w:tc>
          <w:tcPr>
            <w:tcW w:w="3261" w:type="dxa"/>
            <w:tcBorders>
              <w:top w:val="nil"/>
              <w:left w:val="nil"/>
              <w:bottom w:val="nil"/>
              <w:right w:val="nil"/>
            </w:tcBorders>
            <w:shd w:val="clear" w:color="auto" w:fill="auto"/>
            <w:vAlign w:val="bottom"/>
          </w:tcPr>
          <w:p w14:paraId="456926A8" w14:textId="77777777" w:rsidR="00252822" w:rsidRPr="003D1614" w:rsidRDefault="00252822" w:rsidP="00422DD5">
            <w:pPr>
              <w:suppressAutoHyphens/>
              <w:autoSpaceDN w:val="0"/>
              <w:spacing w:line="300" w:lineRule="exac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Neto zarađene premije</w:t>
            </w:r>
          </w:p>
        </w:tc>
        <w:tc>
          <w:tcPr>
            <w:tcW w:w="1134" w:type="dxa"/>
            <w:shd w:val="clear" w:color="auto" w:fill="auto"/>
            <w:noWrap/>
            <w:vAlign w:val="bottom"/>
          </w:tcPr>
          <w:p w14:paraId="6DFCDB50"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667" w:type="dxa"/>
            <w:shd w:val="clear" w:color="auto" w:fill="auto"/>
            <w:noWrap/>
            <w:vAlign w:val="bottom"/>
          </w:tcPr>
          <w:p w14:paraId="18767590"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628</w:t>
            </w:r>
          </w:p>
        </w:tc>
        <w:tc>
          <w:tcPr>
            <w:tcW w:w="1168" w:type="dxa"/>
            <w:shd w:val="clear" w:color="auto" w:fill="auto"/>
            <w:noWrap/>
            <w:vAlign w:val="bottom"/>
          </w:tcPr>
          <w:p w14:paraId="1388E590"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05DB8D66"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52CC2B7D"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628</w:t>
            </w:r>
          </w:p>
        </w:tc>
      </w:tr>
      <w:tr w:rsidR="00252822" w:rsidRPr="003D1614" w14:paraId="7054E031" w14:textId="77777777" w:rsidTr="00422DD5">
        <w:trPr>
          <w:trHeight w:val="300"/>
        </w:trPr>
        <w:tc>
          <w:tcPr>
            <w:tcW w:w="3261" w:type="dxa"/>
            <w:tcBorders>
              <w:top w:val="nil"/>
              <w:left w:val="nil"/>
              <w:right w:val="nil"/>
            </w:tcBorders>
            <w:shd w:val="clear" w:color="auto" w:fill="auto"/>
            <w:vAlign w:val="bottom"/>
          </w:tcPr>
          <w:p w14:paraId="7B4C8F4E" w14:textId="77777777" w:rsidR="00252822" w:rsidRPr="003D1614" w:rsidRDefault="00252822" w:rsidP="00422DD5">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Ostali prihodi</w:t>
            </w:r>
          </w:p>
        </w:tc>
        <w:tc>
          <w:tcPr>
            <w:tcW w:w="1134" w:type="dxa"/>
            <w:tcBorders>
              <w:top w:val="nil"/>
              <w:left w:val="nil"/>
              <w:bottom w:val="single" w:sz="2" w:space="0" w:color="auto"/>
              <w:right w:val="nil"/>
            </w:tcBorders>
            <w:shd w:val="clear" w:color="auto" w:fill="auto"/>
            <w:noWrap/>
            <w:vAlign w:val="bottom"/>
          </w:tcPr>
          <w:p w14:paraId="43228C29"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1.265</w:t>
            </w:r>
          </w:p>
        </w:tc>
        <w:tc>
          <w:tcPr>
            <w:tcW w:w="1667" w:type="dxa"/>
            <w:tcBorders>
              <w:top w:val="nil"/>
              <w:left w:val="nil"/>
              <w:bottom w:val="single" w:sz="2" w:space="0" w:color="auto"/>
              <w:right w:val="nil"/>
            </w:tcBorders>
            <w:shd w:val="clear" w:color="auto" w:fill="auto"/>
            <w:noWrap/>
            <w:vAlign w:val="bottom"/>
          </w:tcPr>
          <w:p w14:paraId="1F67DF3B"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84</w:t>
            </w:r>
          </w:p>
        </w:tc>
        <w:tc>
          <w:tcPr>
            <w:tcW w:w="1168" w:type="dxa"/>
            <w:tcBorders>
              <w:top w:val="nil"/>
              <w:left w:val="nil"/>
              <w:bottom w:val="single" w:sz="2" w:space="0" w:color="auto"/>
              <w:right w:val="nil"/>
            </w:tcBorders>
            <w:shd w:val="clear" w:color="auto" w:fill="auto"/>
            <w:noWrap/>
            <w:vAlign w:val="bottom"/>
          </w:tcPr>
          <w:p w14:paraId="6EEBA835"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10</w:t>
            </w:r>
          </w:p>
        </w:tc>
        <w:tc>
          <w:tcPr>
            <w:tcW w:w="1559" w:type="dxa"/>
            <w:tcBorders>
              <w:top w:val="nil"/>
              <w:left w:val="nil"/>
              <w:bottom w:val="single" w:sz="2" w:space="0" w:color="auto"/>
              <w:right w:val="nil"/>
            </w:tcBorders>
            <w:shd w:val="clear" w:color="auto" w:fill="auto"/>
            <w:noWrap/>
            <w:vAlign w:val="bottom"/>
          </w:tcPr>
          <w:p w14:paraId="61A0E7EC"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(9)</w:t>
            </w:r>
          </w:p>
        </w:tc>
        <w:tc>
          <w:tcPr>
            <w:tcW w:w="1134" w:type="dxa"/>
            <w:tcBorders>
              <w:top w:val="nil"/>
              <w:left w:val="nil"/>
              <w:bottom w:val="single" w:sz="2" w:space="0" w:color="auto"/>
              <w:right w:val="nil"/>
            </w:tcBorders>
            <w:shd w:val="clear" w:color="auto" w:fill="auto"/>
            <w:noWrap/>
            <w:vAlign w:val="bottom"/>
          </w:tcPr>
          <w:p w14:paraId="74EE2D83"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1.350</w:t>
            </w:r>
          </w:p>
        </w:tc>
      </w:tr>
      <w:tr w:rsidR="00252822" w:rsidRPr="003D1614" w14:paraId="5C475AB7" w14:textId="77777777" w:rsidTr="00422DD5">
        <w:trPr>
          <w:trHeight w:val="300"/>
        </w:trPr>
        <w:tc>
          <w:tcPr>
            <w:tcW w:w="3261" w:type="dxa"/>
            <w:tcBorders>
              <w:left w:val="nil"/>
              <w:right w:val="nil"/>
            </w:tcBorders>
            <w:shd w:val="clear" w:color="auto" w:fill="auto"/>
            <w:vAlign w:val="bottom"/>
          </w:tcPr>
          <w:p w14:paraId="03299D55" w14:textId="77777777" w:rsidR="00252822" w:rsidRPr="003D1614" w:rsidRDefault="00252822" w:rsidP="00422DD5">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Prihod iz poslovanja</w:t>
            </w:r>
          </w:p>
        </w:tc>
        <w:tc>
          <w:tcPr>
            <w:tcW w:w="1134" w:type="dxa"/>
            <w:tcBorders>
              <w:top w:val="single" w:sz="2" w:space="0" w:color="auto"/>
              <w:left w:val="nil"/>
              <w:bottom w:val="single" w:sz="12" w:space="0" w:color="auto"/>
              <w:right w:val="nil"/>
            </w:tcBorders>
            <w:shd w:val="clear" w:color="auto" w:fill="auto"/>
            <w:noWrap/>
            <w:vAlign w:val="bottom"/>
          </w:tcPr>
          <w:p w14:paraId="6E857E26" w14:textId="73EB2515"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47597C">
              <w:rPr>
                <w:rFonts w:ascii="Arial" w:eastAsia="Times New Roman" w:hAnsi="Arial" w:cs="Arial"/>
                <w:b/>
                <w:bCs/>
                <w:color w:val="000000" w:themeColor="text1"/>
                <w:sz w:val="18"/>
                <w:szCs w:val="18"/>
              </w:rPr>
              <w:t>24.5</w:t>
            </w:r>
            <w:r w:rsidR="00910726">
              <w:rPr>
                <w:rFonts w:ascii="Arial" w:eastAsia="Times New Roman" w:hAnsi="Arial" w:cs="Arial"/>
                <w:b/>
                <w:bCs/>
                <w:color w:val="000000" w:themeColor="text1"/>
                <w:sz w:val="18"/>
                <w:szCs w:val="18"/>
              </w:rPr>
              <w:t>89</w:t>
            </w:r>
          </w:p>
        </w:tc>
        <w:tc>
          <w:tcPr>
            <w:tcW w:w="1667" w:type="dxa"/>
            <w:tcBorders>
              <w:top w:val="single" w:sz="2" w:space="0" w:color="auto"/>
              <w:left w:val="nil"/>
              <w:bottom w:val="single" w:sz="12" w:space="0" w:color="auto"/>
              <w:right w:val="nil"/>
            </w:tcBorders>
            <w:shd w:val="clear" w:color="auto" w:fill="auto"/>
            <w:noWrap/>
            <w:vAlign w:val="bottom"/>
          </w:tcPr>
          <w:p w14:paraId="12456176" w14:textId="0F25B35F"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47597C">
              <w:rPr>
                <w:rFonts w:ascii="Arial" w:eastAsia="Times New Roman" w:hAnsi="Arial" w:cs="Arial"/>
                <w:b/>
                <w:bCs/>
                <w:color w:val="000000" w:themeColor="text1"/>
                <w:sz w:val="18"/>
                <w:szCs w:val="18"/>
              </w:rPr>
              <w:t>77</w:t>
            </w:r>
            <w:r w:rsidR="00910726">
              <w:rPr>
                <w:rFonts w:ascii="Arial" w:eastAsia="Times New Roman" w:hAnsi="Arial" w:cs="Arial"/>
                <w:b/>
                <w:bCs/>
                <w:color w:val="000000" w:themeColor="text1"/>
                <w:sz w:val="18"/>
                <w:szCs w:val="18"/>
              </w:rPr>
              <w:t>7</w:t>
            </w:r>
          </w:p>
        </w:tc>
        <w:tc>
          <w:tcPr>
            <w:tcW w:w="1168" w:type="dxa"/>
            <w:tcBorders>
              <w:top w:val="single" w:sz="2" w:space="0" w:color="auto"/>
              <w:left w:val="nil"/>
              <w:bottom w:val="single" w:sz="12" w:space="0" w:color="auto"/>
              <w:right w:val="nil"/>
            </w:tcBorders>
            <w:shd w:val="clear" w:color="auto" w:fill="auto"/>
            <w:noWrap/>
            <w:vAlign w:val="bottom"/>
          </w:tcPr>
          <w:p w14:paraId="0AB89468"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47597C">
              <w:rPr>
                <w:rFonts w:ascii="Arial" w:eastAsia="Times New Roman" w:hAnsi="Arial" w:cs="Arial"/>
                <w:b/>
                <w:bCs/>
                <w:color w:val="000000" w:themeColor="text1"/>
                <w:sz w:val="18"/>
                <w:szCs w:val="18"/>
              </w:rPr>
              <w:t>92</w:t>
            </w:r>
          </w:p>
        </w:tc>
        <w:tc>
          <w:tcPr>
            <w:tcW w:w="1559" w:type="dxa"/>
            <w:tcBorders>
              <w:top w:val="single" w:sz="2" w:space="0" w:color="auto"/>
              <w:left w:val="nil"/>
              <w:bottom w:val="single" w:sz="12" w:space="0" w:color="auto"/>
              <w:right w:val="nil"/>
            </w:tcBorders>
            <w:shd w:val="clear" w:color="auto" w:fill="auto"/>
            <w:noWrap/>
            <w:vAlign w:val="bottom"/>
          </w:tcPr>
          <w:p w14:paraId="66221785"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47597C">
              <w:rPr>
                <w:rFonts w:ascii="Arial" w:eastAsia="Times New Roman" w:hAnsi="Arial" w:cs="Arial"/>
                <w:b/>
                <w:bCs/>
                <w:color w:val="000000" w:themeColor="text1"/>
                <w:sz w:val="18"/>
                <w:szCs w:val="18"/>
              </w:rPr>
              <w:t>(9)</w:t>
            </w:r>
          </w:p>
        </w:tc>
        <w:tc>
          <w:tcPr>
            <w:tcW w:w="1134" w:type="dxa"/>
            <w:tcBorders>
              <w:top w:val="single" w:sz="2" w:space="0" w:color="auto"/>
              <w:left w:val="nil"/>
              <w:bottom w:val="single" w:sz="12" w:space="0" w:color="auto"/>
              <w:right w:val="nil"/>
            </w:tcBorders>
            <w:shd w:val="clear" w:color="auto" w:fill="auto"/>
            <w:noWrap/>
            <w:vAlign w:val="bottom"/>
          </w:tcPr>
          <w:p w14:paraId="44ED3CEE"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47597C">
              <w:rPr>
                <w:rFonts w:ascii="Arial" w:eastAsia="Times New Roman" w:hAnsi="Arial" w:cs="Arial"/>
                <w:b/>
                <w:bCs/>
                <w:color w:val="000000" w:themeColor="text1"/>
                <w:sz w:val="18"/>
                <w:szCs w:val="18"/>
              </w:rPr>
              <w:t>25.449</w:t>
            </w:r>
          </w:p>
        </w:tc>
      </w:tr>
      <w:tr w:rsidR="00252822" w:rsidRPr="003D1614" w14:paraId="07213ED2" w14:textId="77777777" w:rsidTr="00422DD5">
        <w:trPr>
          <w:trHeight w:val="60"/>
        </w:trPr>
        <w:tc>
          <w:tcPr>
            <w:tcW w:w="3261" w:type="dxa"/>
            <w:tcBorders>
              <w:left w:val="nil"/>
              <w:bottom w:val="nil"/>
              <w:right w:val="nil"/>
            </w:tcBorders>
            <w:shd w:val="clear" w:color="auto" w:fill="auto"/>
            <w:vAlign w:val="bottom"/>
          </w:tcPr>
          <w:p w14:paraId="386FF9AB" w14:textId="77777777" w:rsidR="00252822" w:rsidRPr="003D1614" w:rsidRDefault="00252822" w:rsidP="00422DD5">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3AC9F122" w14:textId="77777777" w:rsidR="00252822" w:rsidRPr="003D1614" w:rsidRDefault="00252822" w:rsidP="00422DD5">
            <w:pPr>
              <w:suppressAutoHyphens/>
              <w:autoSpaceDN w:val="0"/>
              <w:spacing w:line="140" w:lineRule="exact"/>
              <w:jc w:val="right"/>
              <w:rPr>
                <w:rFonts w:ascii="Arial" w:eastAsia="Times New Roman" w:hAnsi="Arial" w:cs="Arial"/>
                <w:color w:val="000000" w:themeColor="text1"/>
                <w:sz w:val="18"/>
                <w:szCs w:val="18"/>
              </w:rPr>
            </w:pPr>
          </w:p>
        </w:tc>
        <w:tc>
          <w:tcPr>
            <w:tcW w:w="1667" w:type="dxa"/>
            <w:tcBorders>
              <w:top w:val="single" w:sz="12" w:space="0" w:color="auto"/>
              <w:left w:val="nil"/>
              <w:bottom w:val="nil"/>
              <w:right w:val="nil"/>
            </w:tcBorders>
            <w:shd w:val="clear" w:color="auto" w:fill="auto"/>
            <w:noWrap/>
            <w:vAlign w:val="bottom"/>
          </w:tcPr>
          <w:p w14:paraId="70348149" w14:textId="77777777" w:rsidR="00252822" w:rsidRPr="003D1614" w:rsidRDefault="00252822" w:rsidP="00422DD5">
            <w:pPr>
              <w:suppressAutoHyphens/>
              <w:autoSpaceDN w:val="0"/>
              <w:spacing w:line="140" w:lineRule="exact"/>
              <w:jc w:val="right"/>
              <w:rPr>
                <w:rFonts w:ascii="Arial" w:eastAsia="Times New Roman" w:hAnsi="Arial" w:cs="Arial"/>
                <w:color w:val="000000" w:themeColor="text1"/>
                <w:sz w:val="18"/>
                <w:szCs w:val="18"/>
              </w:rPr>
            </w:pPr>
          </w:p>
        </w:tc>
        <w:tc>
          <w:tcPr>
            <w:tcW w:w="1168" w:type="dxa"/>
            <w:tcBorders>
              <w:top w:val="single" w:sz="12" w:space="0" w:color="auto"/>
              <w:left w:val="nil"/>
              <w:bottom w:val="nil"/>
              <w:right w:val="nil"/>
            </w:tcBorders>
            <w:shd w:val="clear" w:color="auto" w:fill="auto"/>
            <w:noWrap/>
            <w:vAlign w:val="bottom"/>
          </w:tcPr>
          <w:p w14:paraId="2950C8DA" w14:textId="77777777" w:rsidR="00252822" w:rsidRPr="003D1614" w:rsidRDefault="00252822" w:rsidP="00422DD5">
            <w:pPr>
              <w:suppressAutoHyphens/>
              <w:autoSpaceDN w:val="0"/>
              <w:spacing w:line="140" w:lineRule="exact"/>
              <w:jc w:val="right"/>
              <w:rPr>
                <w:rFonts w:ascii="Arial" w:eastAsia="Times New Roman" w:hAnsi="Arial" w:cs="Arial"/>
                <w:color w:val="000000" w:themeColor="text1"/>
                <w:sz w:val="18"/>
                <w:szCs w:val="18"/>
              </w:rPr>
            </w:pPr>
          </w:p>
        </w:tc>
        <w:tc>
          <w:tcPr>
            <w:tcW w:w="1559" w:type="dxa"/>
            <w:tcBorders>
              <w:top w:val="single" w:sz="12" w:space="0" w:color="auto"/>
              <w:left w:val="nil"/>
              <w:bottom w:val="nil"/>
              <w:right w:val="nil"/>
            </w:tcBorders>
            <w:shd w:val="clear" w:color="auto" w:fill="auto"/>
            <w:noWrap/>
            <w:vAlign w:val="bottom"/>
          </w:tcPr>
          <w:p w14:paraId="1B362C70" w14:textId="77777777" w:rsidR="00252822" w:rsidRPr="003D1614" w:rsidRDefault="00252822" w:rsidP="00422DD5">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085384FB" w14:textId="77777777" w:rsidR="00252822" w:rsidRPr="003D1614" w:rsidRDefault="00252822" w:rsidP="00422DD5">
            <w:pPr>
              <w:suppressAutoHyphens/>
              <w:autoSpaceDN w:val="0"/>
              <w:spacing w:line="140" w:lineRule="exact"/>
              <w:jc w:val="right"/>
              <w:rPr>
                <w:rFonts w:ascii="Arial" w:eastAsia="Times New Roman" w:hAnsi="Arial" w:cs="Arial"/>
                <w:color w:val="000000" w:themeColor="text1"/>
                <w:sz w:val="18"/>
                <w:szCs w:val="18"/>
              </w:rPr>
            </w:pPr>
          </w:p>
        </w:tc>
      </w:tr>
      <w:tr w:rsidR="00252822" w:rsidRPr="003D1614" w14:paraId="2F735091" w14:textId="77777777" w:rsidTr="00422DD5">
        <w:trPr>
          <w:trHeight w:val="300"/>
        </w:trPr>
        <w:tc>
          <w:tcPr>
            <w:tcW w:w="3261" w:type="dxa"/>
            <w:tcBorders>
              <w:top w:val="nil"/>
              <w:left w:val="nil"/>
              <w:bottom w:val="nil"/>
              <w:right w:val="nil"/>
            </w:tcBorders>
            <w:shd w:val="clear" w:color="auto" w:fill="auto"/>
            <w:vAlign w:val="bottom"/>
          </w:tcPr>
          <w:p w14:paraId="2173A328" w14:textId="77777777" w:rsidR="00252822" w:rsidRPr="003D1614" w:rsidRDefault="00252822" w:rsidP="00422DD5">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Operativni troškovi</w:t>
            </w:r>
          </w:p>
        </w:tc>
        <w:tc>
          <w:tcPr>
            <w:tcW w:w="1134" w:type="dxa"/>
            <w:shd w:val="clear" w:color="auto" w:fill="auto"/>
            <w:noWrap/>
            <w:vAlign w:val="bottom"/>
          </w:tcPr>
          <w:p w14:paraId="6C46F717"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(6.745)</w:t>
            </w:r>
          </w:p>
        </w:tc>
        <w:tc>
          <w:tcPr>
            <w:tcW w:w="1667" w:type="dxa"/>
            <w:shd w:val="clear" w:color="auto" w:fill="auto"/>
            <w:noWrap/>
            <w:vAlign w:val="bottom"/>
          </w:tcPr>
          <w:p w14:paraId="79822B15"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(229)</w:t>
            </w:r>
          </w:p>
        </w:tc>
        <w:tc>
          <w:tcPr>
            <w:tcW w:w="1168" w:type="dxa"/>
            <w:shd w:val="clear" w:color="auto" w:fill="auto"/>
            <w:noWrap/>
            <w:vAlign w:val="bottom"/>
          </w:tcPr>
          <w:p w14:paraId="11BBBD0B"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(75)</w:t>
            </w:r>
          </w:p>
        </w:tc>
        <w:tc>
          <w:tcPr>
            <w:tcW w:w="1559" w:type="dxa"/>
            <w:shd w:val="clear" w:color="auto" w:fill="auto"/>
            <w:noWrap/>
            <w:vAlign w:val="bottom"/>
          </w:tcPr>
          <w:p w14:paraId="6A4FFE93"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9</w:t>
            </w:r>
          </w:p>
        </w:tc>
        <w:tc>
          <w:tcPr>
            <w:tcW w:w="1134" w:type="dxa"/>
            <w:shd w:val="clear" w:color="auto" w:fill="auto"/>
            <w:noWrap/>
            <w:vAlign w:val="bottom"/>
          </w:tcPr>
          <w:p w14:paraId="19E6345B"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(7.040)</w:t>
            </w:r>
          </w:p>
        </w:tc>
      </w:tr>
      <w:tr w:rsidR="00252822" w:rsidRPr="003D1614" w14:paraId="3D95B068" w14:textId="77777777" w:rsidTr="00422DD5">
        <w:trPr>
          <w:trHeight w:val="600"/>
        </w:trPr>
        <w:tc>
          <w:tcPr>
            <w:tcW w:w="3261" w:type="dxa"/>
            <w:tcBorders>
              <w:top w:val="nil"/>
              <w:left w:val="nil"/>
              <w:bottom w:val="nil"/>
              <w:right w:val="nil"/>
            </w:tcBorders>
            <w:shd w:val="clear" w:color="auto" w:fill="auto"/>
            <w:vAlign w:val="bottom"/>
          </w:tcPr>
          <w:p w14:paraId="75E6856B" w14:textId="77777777" w:rsidR="00252822" w:rsidRPr="003D1614" w:rsidRDefault="00252822" w:rsidP="00422DD5">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Gubitak od umanjenja vrijednosti i rezerviranja</w:t>
            </w:r>
          </w:p>
        </w:tc>
        <w:tc>
          <w:tcPr>
            <w:tcW w:w="1134" w:type="dxa"/>
            <w:shd w:val="clear" w:color="auto" w:fill="auto"/>
            <w:noWrap/>
            <w:vAlign w:val="bottom"/>
          </w:tcPr>
          <w:p w14:paraId="2799434C"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667" w:type="dxa"/>
            <w:shd w:val="clear" w:color="auto" w:fill="auto"/>
            <w:noWrap/>
            <w:vAlign w:val="bottom"/>
          </w:tcPr>
          <w:p w14:paraId="3DB783F7"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444E6DE7"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0FDB0239"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5FF10D3C"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252822" w:rsidRPr="003D1614" w14:paraId="4D4DBF2C" w14:textId="77777777" w:rsidTr="00422DD5">
        <w:trPr>
          <w:trHeight w:val="600"/>
        </w:trPr>
        <w:tc>
          <w:tcPr>
            <w:tcW w:w="3261" w:type="dxa"/>
            <w:tcBorders>
              <w:top w:val="nil"/>
              <w:left w:val="nil"/>
              <w:bottom w:val="nil"/>
              <w:right w:val="nil"/>
            </w:tcBorders>
            <w:shd w:val="clear" w:color="auto" w:fill="auto"/>
            <w:vAlign w:val="bottom"/>
          </w:tcPr>
          <w:p w14:paraId="329D580E" w14:textId="77777777" w:rsidR="00252822" w:rsidRPr="003D1614" w:rsidRDefault="00252822" w:rsidP="00422DD5">
            <w:pPr>
              <w:suppressAutoHyphens/>
              <w:autoSpaceDN w:val="0"/>
              <w:spacing w:line="300" w:lineRule="exac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Trošak subvencije na teret poslovanja HBOR-a</w:t>
            </w:r>
          </w:p>
        </w:tc>
        <w:tc>
          <w:tcPr>
            <w:tcW w:w="1134" w:type="dxa"/>
            <w:shd w:val="clear" w:color="auto" w:fill="auto"/>
            <w:noWrap/>
            <w:vAlign w:val="bottom"/>
          </w:tcPr>
          <w:p w14:paraId="5947D57F"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(264)</w:t>
            </w:r>
          </w:p>
        </w:tc>
        <w:tc>
          <w:tcPr>
            <w:tcW w:w="1667" w:type="dxa"/>
            <w:shd w:val="clear" w:color="auto" w:fill="auto"/>
            <w:noWrap/>
            <w:vAlign w:val="bottom"/>
          </w:tcPr>
          <w:p w14:paraId="33D63CC2"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3CE5AD3A"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5233603D"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17FFD9A8"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(264)</w:t>
            </w:r>
          </w:p>
        </w:tc>
      </w:tr>
      <w:tr w:rsidR="00252822" w:rsidRPr="003D1614" w14:paraId="1585A25B" w14:textId="77777777" w:rsidTr="00422DD5">
        <w:trPr>
          <w:trHeight w:val="310"/>
        </w:trPr>
        <w:tc>
          <w:tcPr>
            <w:tcW w:w="3261" w:type="dxa"/>
            <w:tcBorders>
              <w:top w:val="nil"/>
              <w:left w:val="nil"/>
              <w:bottom w:val="nil"/>
              <w:right w:val="nil"/>
            </w:tcBorders>
            <w:shd w:val="clear" w:color="auto" w:fill="auto"/>
            <w:vAlign w:val="bottom"/>
          </w:tcPr>
          <w:p w14:paraId="3AABDD37" w14:textId="77777777" w:rsidR="00252822" w:rsidRPr="003D1614" w:rsidRDefault="00252822" w:rsidP="00422DD5">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Izdaci za osigurane slučajeve</w:t>
            </w:r>
          </w:p>
        </w:tc>
        <w:tc>
          <w:tcPr>
            <w:tcW w:w="1134" w:type="dxa"/>
            <w:shd w:val="clear" w:color="auto" w:fill="auto"/>
            <w:noWrap/>
            <w:vAlign w:val="bottom"/>
          </w:tcPr>
          <w:p w14:paraId="6E5265D6"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667" w:type="dxa"/>
            <w:shd w:val="clear" w:color="auto" w:fill="auto"/>
            <w:noWrap/>
            <w:vAlign w:val="bottom"/>
          </w:tcPr>
          <w:p w14:paraId="6A19C14B"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79195281"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5B7F0D28"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34289FC2"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252822" w:rsidRPr="003D1614" w14:paraId="46E9B25A" w14:textId="77777777" w:rsidTr="00422DD5">
        <w:trPr>
          <w:trHeight w:val="300"/>
        </w:trPr>
        <w:tc>
          <w:tcPr>
            <w:tcW w:w="3261" w:type="dxa"/>
            <w:tcBorders>
              <w:top w:val="nil"/>
              <w:left w:val="nil"/>
              <w:bottom w:val="nil"/>
              <w:right w:val="nil"/>
            </w:tcBorders>
            <w:shd w:val="clear" w:color="auto" w:fill="auto"/>
            <w:vAlign w:val="bottom"/>
          </w:tcPr>
          <w:p w14:paraId="42B23E79" w14:textId="77777777" w:rsidR="00252822" w:rsidRPr="003D1614" w:rsidRDefault="00252822" w:rsidP="00422DD5">
            <w:pPr>
              <w:suppressAutoHyphens/>
              <w:autoSpaceDN w:val="0"/>
              <w:spacing w:line="300" w:lineRule="exac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Neto rashodi od naknada i provizija</w:t>
            </w:r>
          </w:p>
        </w:tc>
        <w:tc>
          <w:tcPr>
            <w:tcW w:w="1134" w:type="dxa"/>
            <w:shd w:val="clear" w:color="auto" w:fill="auto"/>
            <w:noWrap/>
            <w:vAlign w:val="bottom"/>
          </w:tcPr>
          <w:p w14:paraId="4B137163"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667" w:type="dxa"/>
            <w:shd w:val="clear" w:color="auto" w:fill="auto"/>
            <w:noWrap/>
            <w:vAlign w:val="bottom"/>
          </w:tcPr>
          <w:p w14:paraId="43F1BD1B"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(82)</w:t>
            </w:r>
          </w:p>
        </w:tc>
        <w:tc>
          <w:tcPr>
            <w:tcW w:w="1168" w:type="dxa"/>
            <w:shd w:val="clear" w:color="auto" w:fill="auto"/>
            <w:noWrap/>
            <w:vAlign w:val="bottom"/>
          </w:tcPr>
          <w:p w14:paraId="2BF07BFE"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43D1882E"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58621C6F"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sidRPr="0047597C">
              <w:rPr>
                <w:rFonts w:ascii="Arial" w:eastAsia="Times New Roman" w:hAnsi="Arial" w:cs="Arial"/>
                <w:color w:val="000000" w:themeColor="text1"/>
                <w:sz w:val="18"/>
                <w:szCs w:val="18"/>
              </w:rPr>
              <w:t>(82)</w:t>
            </w:r>
          </w:p>
        </w:tc>
      </w:tr>
      <w:tr w:rsidR="00252822" w:rsidRPr="003D1614" w14:paraId="7553CC64" w14:textId="77777777" w:rsidTr="00422DD5">
        <w:trPr>
          <w:trHeight w:val="300"/>
        </w:trPr>
        <w:tc>
          <w:tcPr>
            <w:tcW w:w="3261" w:type="dxa"/>
            <w:tcBorders>
              <w:top w:val="nil"/>
              <w:left w:val="nil"/>
              <w:right w:val="nil"/>
            </w:tcBorders>
            <w:shd w:val="clear" w:color="auto" w:fill="auto"/>
            <w:vAlign w:val="bottom"/>
          </w:tcPr>
          <w:p w14:paraId="0E6C1358" w14:textId="77777777" w:rsidR="00252822" w:rsidRPr="003D1614" w:rsidRDefault="00252822" w:rsidP="00422DD5">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Ostali rashodi</w:t>
            </w:r>
          </w:p>
        </w:tc>
        <w:tc>
          <w:tcPr>
            <w:tcW w:w="1134" w:type="dxa"/>
            <w:tcBorders>
              <w:top w:val="nil"/>
              <w:left w:val="nil"/>
              <w:bottom w:val="single" w:sz="4" w:space="0" w:color="auto"/>
              <w:right w:val="nil"/>
            </w:tcBorders>
            <w:shd w:val="clear" w:color="auto" w:fill="auto"/>
            <w:noWrap/>
            <w:vAlign w:val="bottom"/>
          </w:tcPr>
          <w:p w14:paraId="632ED8FB"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667" w:type="dxa"/>
            <w:tcBorders>
              <w:top w:val="nil"/>
              <w:left w:val="nil"/>
              <w:bottom w:val="single" w:sz="4" w:space="0" w:color="auto"/>
              <w:right w:val="nil"/>
            </w:tcBorders>
            <w:shd w:val="clear" w:color="auto" w:fill="auto"/>
            <w:noWrap/>
            <w:vAlign w:val="bottom"/>
          </w:tcPr>
          <w:p w14:paraId="1746F000"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sidRPr="006D518A">
              <w:rPr>
                <w:rFonts w:ascii="Arial" w:eastAsia="Times New Roman" w:hAnsi="Arial" w:cs="Arial"/>
                <w:color w:val="000000" w:themeColor="text1"/>
                <w:sz w:val="18"/>
                <w:szCs w:val="18"/>
              </w:rPr>
              <w:t>(473)</w:t>
            </w:r>
          </w:p>
        </w:tc>
        <w:tc>
          <w:tcPr>
            <w:tcW w:w="1168" w:type="dxa"/>
            <w:tcBorders>
              <w:top w:val="nil"/>
              <w:left w:val="nil"/>
              <w:bottom w:val="single" w:sz="4" w:space="0" w:color="auto"/>
              <w:right w:val="nil"/>
            </w:tcBorders>
            <w:shd w:val="clear" w:color="auto" w:fill="auto"/>
            <w:noWrap/>
            <w:vAlign w:val="bottom"/>
          </w:tcPr>
          <w:p w14:paraId="1771E92C"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tcBorders>
              <w:top w:val="nil"/>
              <w:left w:val="nil"/>
              <w:bottom w:val="single" w:sz="4" w:space="0" w:color="auto"/>
              <w:right w:val="nil"/>
            </w:tcBorders>
            <w:shd w:val="clear" w:color="auto" w:fill="auto"/>
            <w:noWrap/>
            <w:vAlign w:val="bottom"/>
          </w:tcPr>
          <w:p w14:paraId="080B072B"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tcBorders>
              <w:top w:val="nil"/>
              <w:left w:val="nil"/>
              <w:bottom w:val="single" w:sz="4" w:space="0" w:color="auto"/>
              <w:right w:val="nil"/>
            </w:tcBorders>
            <w:shd w:val="clear" w:color="auto" w:fill="auto"/>
            <w:noWrap/>
            <w:vAlign w:val="bottom"/>
          </w:tcPr>
          <w:p w14:paraId="2A1EA95B"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sidRPr="006D518A">
              <w:rPr>
                <w:rFonts w:ascii="Arial" w:eastAsia="Times New Roman" w:hAnsi="Arial" w:cs="Arial"/>
                <w:color w:val="000000" w:themeColor="text1"/>
                <w:sz w:val="18"/>
                <w:szCs w:val="18"/>
              </w:rPr>
              <w:t>(473)</w:t>
            </w:r>
          </w:p>
        </w:tc>
      </w:tr>
      <w:tr w:rsidR="00252822" w:rsidRPr="003D1614" w14:paraId="35A17F24" w14:textId="77777777" w:rsidTr="00422DD5">
        <w:trPr>
          <w:trHeight w:val="300"/>
        </w:trPr>
        <w:tc>
          <w:tcPr>
            <w:tcW w:w="3261" w:type="dxa"/>
            <w:tcBorders>
              <w:left w:val="nil"/>
              <w:right w:val="nil"/>
            </w:tcBorders>
            <w:shd w:val="clear" w:color="auto" w:fill="auto"/>
            <w:vAlign w:val="bottom"/>
          </w:tcPr>
          <w:p w14:paraId="2AD50B58" w14:textId="77777777" w:rsidR="00252822" w:rsidRPr="003D1614" w:rsidRDefault="00252822" w:rsidP="00422DD5">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Troškovi poslovanja</w:t>
            </w:r>
          </w:p>
        </w:tc>
        <w:tc>
          <w:tcPr>
            <w:tcW w:w="1134" w:type="dxa"/>
            <w:tcBorders>
              <w:top w:val="single" w:sz="4" w:space="0" w:color="auto"/>
              <w:left w:val="nil"/>
              <w:bottom w:val="single" w:sz="12" w:space="0" w:color="auto"/>
              <w:right w:val="nil"/>
            </w:tcBorders>
            <w:shd w:val="clear" w:color="auto" w:fill="auto"/>
            <w:noWrap/>
          </w:tcPr>
          <w:p w14:paraId="4A2101EA"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6D518A">
              <w:rPr>
                <w:rFonts w:ascii="Arial" w:eastAsia="Times New Roman" w:hAnsi="Arial" w:cs="Arial"/>
                <w:b/>
                <w:bCs/>
                <w:color w:val="000000" w:themeColor="text1"/>
                <w:sz w:val="18"/>
                <w:szCs w:val="18"/>
              </w:rPr>
              <w:t>(7.009)</w:t>
            </w:r>
          </w:p>
        </w:tc>
        <w:tc>
          <w:tcPr>
            <w:tcW w:w="1667" w:type="dxa"/>
            <w:tcBorders>
              <w:top w:val="single" w:sz="4" w:space="0" w:color="auto"/>
              <w:left w:val="nil"/>
              <w:bottom w:val="single" w:sz="12" w:space="0" w:color="auto"/>
              <w:right w:val="nil"/>
            </w:tcBorders>
            <w:shd w:val="clear" w:color="auto" w:fill="auto"/>
            <w:noWrap/>
          </w:tcPr>
          <w:p w14:paraId="6F534AC4"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6D518A">
              <w:rPr>
                <w:rFonts w:ascii="Arial" w:eastAsia="Times New Roman" w:hAnsi="Arial" w:cs="Arial"/>
                <w:b/>
                <w:bCs/>
                <w:color w:val="000000" w:themeColor="text1"/>
                <w:sz w:val="18"/>
                <w:szCs w:val="18"/>
              </w:rPr>
              <w:t>(784)</w:t>
            </w:r>
          </w:p>
        </w:tc>
        <w:tc>
          <w:tcPr>
            <w:tcW w:w="1168" w:type="dxa"/>
            <w:tcBorders>
              <w:top w:val="single" w:sz="4" w:space="0" w:color="auto"/>
              <w:left w:val="nil"/>
              <w:bottom w:val="single" w:sz="12" w:space="0" w:color="auto"/>
              <w:right w:val="nil"/>
            </w:tcBorders>
            <w:shd w:val="clear" w:color="auto" w:fill="auto"/>
            <w:noWrap/>
          </w:tcPr>
          <w:p w14:paraId="69683C75"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6D518A">
              <w:rPr>
                <w:rFonts w:ascii="Arial" w:eastAsia="Times New Roman" w:hAnsi="Arial" w:cs="Arial"/>
                <w:b/>
                <w:bCs/>
                <w:color w:val="000000" w:themeColor="text1"/>
                <w:sz w:val="18"/>
                <w:szCs w:val="18"/>
              </w:rPr>
              <w:t>(75)</w:t>
            </w:r>
          </w:p>
        </w:tc>
        <w:tc>
          <w:tcPr>
            <w:tcW w:w="1559" w:type="dxa"/>
            <w:tcBorders>
              <w:top w:val="single" w:sz="4" w:space="0" w:color="auto"/>
              <w:left w:val="nil"/>
              <w:bottom w:val="single" w:sz="12" w:space="0" w:color="auto"/>
              <w:right w:val="nil"/>
            </w:tcBorders>
            <w:shd w:val="clear" w:color="auto" w:fill="auto"/>
            <w:noWrap/>
          </w:tcPr>
          <w:p w14:paraId="5EE44D10"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6D518A">
              <w:rPr>
                <w:rFonts w:ascii="Arial" w:eastAsia="Times New Roman" w:hAnsi="Arial" w:cs="Arial"/>
                <w:b/>
                <w:bCs/>
                <w:color w:val="000000" w:themeColor="text1"/>
                <w:sz w:val="18"/>
                <w:szCs w:val="18"/>
              </w:rPr>
              <w:t>9</w:t>
            </w:r>
          </w:p>
        </w:tc>
        <w:tc>
          <w:tcPr>
            <w:tcW w:w="1134" w:type="dxa"/>
            <w:tcBorders>
              <w:top w:val="single" w:sz="4" w:space="0" w:color="auto"/>
              <w:left w:val="nil"/>
              <w:bottom w:val="single" w:sz="12" w:space="0" w:color="auto"/>
              <w:right w:val="nil"/>
            </w:tcBorders>
            <w:shd w:val="clear" w:color="auto" w:fill="auto"/>
            <w:noWrap/>
          </w:tcPr>
          <w:p w14:paraId="776D429D"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6D518A">
              <w:rPr>
                <w:rFonts w:ascii="Arial" w:eastAsia="Times New Roman" w:hAnsi="Arial" w:cs="Arial"/>
                <w:b/>
                <w:bCs/>
                <w:color w:val="000000" w:themeColor="text1"/>
                <w:sz w:val="18"/>
                <w:szCs w:val="18"/>
              </w:rPr>
              <w:t>(7.859)</w:t>
            </w:r>
          </w:p>
        </w:tc>
      </w:tr>
      <w:tr w:rsidR="00252822" w:rsidRPr="003D1614" w14:paraId="4361E904" w14:textId="77777777" w:rsidTr="00422DD5">
        <w:trPr>
          <w:trHeight w:val="174"/>
        </w:trPr>
        <w:tc>
          <w:tcPr>
            <w:tcW w:w="3261" w:type="dxa"/>
            <w:tcBorders>
              <w:left w:val="nil"/>
              <w:bottom w:val="nil"/>
              <w:right w:val="nil"/>
            </w:tcBorders>
            <w:shd w:val="clear" w:color="auto" w:fill="auto"/>
            <w:vAlign w:val="bottom"/>
          </w:tcPr>
          <w:p w14:paraId="0F975688" w14:textId="77777777" w:rsidR="00252822" w:rsidRPr="003D1614" w:rsidRDefault="00252822" w:rsidP="00422DD5">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3BDF59B3" w14:textId="77777777" w:rsidR="00252822" w:rsidRPr="003D1614" w:rsidRDefault="00252822" w:rsidP="00422DD5">
            <w:pPr>
              <w:suppressAutoHyphens/>
              <w:autoSpaceDN w:val="0"/>
              <w:spacing w:line="140" w:lineRule="exact"/>
              <w:jc w:val="right"/>
              <w:rPr>
                <w:rFonts w:ascii="Arial" w:eastAsia="Times New Roman" w:hAnsi="Arial" w:cs="Arial"/>
                <w:color w:val="000000" w:themeColor="text1"/>
                <w:sz w:val="18"/>
                <w:szCs w:val="18"/>
              </w:rPr>
            </w:pPr>
          </w:p>
        </w:tc>
        <w:tc>
          <w:tcPr>
            <w:tcW w:w="1667" w:type="dxa"/>
            <w:tcBorders>
              <w:top w:val="single" w:sz="12" w:space="0" w:color="auto"/>
              <w:left w:val="nil"/>
              <w:bottom w:val="nil"/>
              <w:right w:val="nil"/>
            </w:tcBorders>
            <w:shd w:val="clear" w:color="auto" w:fill="auto"/>
            <w:noWrap/>
            <w:vAlign w:val="bottom"/>
          </w:tcPr>
          <w:p w14:paraId="02810E02" w14:textId="77777777" w:rsidR="00252822" w:rsidRPr="003D1614" w:rsidRDefault="00252822" w:rsidP="00422DD5">
            <w:pPr>
              <w:suppressAutoHyphens/>
              <w:autoSpaceDN w:val="0"/>
              <w:spacing w:line="140" w:lineRule="exact"/>
              <w:jc w:val="right"/>
              <w:rPr>
                <w:rFonts w:ascii="Arial" w:eastAsia="Times New Roman" w:hAnsi="Arial" w:cs="Arial"/>
                <w:color w:val="000000" w:themeColor="text1"/>
                <w:sz w:val="18"/>
                <w:szCs w:val="18"/>
              </w:rPr>
            </w:pPr>
          </w:p>
        </w:tc>
        <w:tc>
          <w:tcPr>
            <w:tcW w:w="1168" w:type="dxa"/>
            <w:tcBorders>
              <w:top w:val="single" w:sz="12" w:space="0" w:color="auto"/>
              <w:left w:val="nil"/>
              <w:bottom w:val="nil"/>
              <w:right w:val="nil"/>
            </w:tcBorders>
            <w:shd w:val="clear" w:color="auto" w:fill="auto"/>
            <w:noWrap/>
            <w:vAlign w:val="bottom"/>
          </w:tcPr>
          <w:p w14:paraId="2C031E5F" w14:textId="77777777" w:rsidR="00252822" w:rsidRPr="003D1614" w:rsidRDefault="00252822" w:rsidP="00422DD5">
            <w:pPr>
              <w:suppressAutoHyphens/>
              <w:autoSpaceDN w:val="0"/>
              <w:spacing w:line="140" w:lineRule="exact"/>
              <w:jc w:val="right"/>
              <w:rPr>
                <w:rFonts w:ascii="Arial" w:eastAsia="Times New Roman" w:hAnsi="Arial" w:cs="Arial"/>
                <w:color w:val="000000" w:themeColor="text1"/>
                <w:sz w:val="18"/>
                <w:szCs w:val="18"/>
              </w:rPr>
            </w:pPr>
          </w:p>
        </w:tc>
        <w:tc>
          <w:tcPr>
            <w:tcW w:w="1559" w:type="dxa"/>
            <w:tcBorders>
              <w:top w:val="single" w:sz="12" w:space="0" w:color="auto"/>
              <w:left w:val="nil"/>
              <w:bottom w:val="nil"/>
              <w:right w:val="nil"/>
            </w:tcBorders>
            <w:shd w:val="clear" w:color="auto" w:fill="auto"/>
            <w:noWrap/>
            <w:vAlign w:val="bottom"/>
          </w:tcPr>
          <w:p w14:paraId="0EB0EC79" w14:textId="77777777" w:rsidR="00252822" w:rsidRPr="003D1614" w:rsidRDefault="00252822" w:rsidP="00422DD5">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346C8CCA" w14:textId="77777777" w:rsidR="00252822" w:rsidRPr="003D1614" w:rsidRDefault="00252822" w:rsidP="00422DD5">
            <w:pPr>
              <w:suppressAutoHyphens/>
              <w:autoSpaceDN w:val="0"/>
              <w:spacing w:line="140" w:lineRule="exact"/>
              <w:jc w:val="right"/>
              <w:rPr>
                <w:rFonts w:ascii="Arial" w:eastAsia="Times New Roman" w:hAnsi="Arial" w:cs="Arial"/>
                <w:color w:val="000000" w:themeColor="text1"/>
                <w:sz w:val="18"/>
                <w:szCs w:val="18"/>
              </w:rPr>
            </w:pPr>
          </w:p>
        </w:tc>
      </w:tr>
      <w:tr w:rsidR="00252822" w:rsidRPr="003D1614" w14:paraId="1E6B8BF9" w14:textId="77777777" w:rsidTr="00422DD5">
        <w:trPr>
          <w:trHeight w:val="300"/>
        </w:trPr>
        <w:tc>
          <w:tcPr>
            <w:tcW w:w="3261" w:type="dxa"/>
            <w:tcBorders>
              <w:top w:val="nil"/>
              <w:left w:val="nil"/>
              <w:bottom w:val="nil"/>
              <w:right w:val="nil"/>
            </w:tcBorders>
            <w:shd w:val="clear" w:color="auto" w:fill="auto"/>
            <w:vAlign w:val="bottom"/>
          </w:tcPr>
          <w:p w14:paraId="1E350ACF" w14:textId="77777777" w:rsidR="00252822" w:rsidRPr="003D1614" w:rsidRDefault="00252822" w:rsidP="00422DD5">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Dobit</w:t>
            </w:r>
            <w:r>
              <w:rPr>
                <w:rFonts w:ascii="Arial" w:eastAsia="Times New Roman" w:hAnsi="Arial" w:cs="Arial"/>
                <w:b/>
                <w:bCs/>
                <w:color w:val="000000" w:themeColor="text1"/>
                <w:sz w:val="18"/>
                <w:szCs w:val="18"/>
              </w:rPr>
              <w:t>/(gubitak)</w:t>
            </w:r>
            <w:r w:rsidRPr="003D1614">
              <w:rPr>
                <w:rFonts w:ascii="Arial" w:eastAsia="Times New Roman" w:hAnsi="Arial" w:cs="Arial"/>
                <w:b/>
                <w:bCs/>
                <w:color w:val="000000" w:themeColor="text1"/>
                <w:sz w:val="18"/>
                <w:szCs w:val="18"/>
              </w:rPr>
              <w:t xml:space="preserve"> prije oporezivanja</w:t>
            </w:r>
          </w:p>
        </w:tc>
        <w:tc>
          <w:tcPr>
            <w:tcW w:w="1134" w:type="dxa"/>
            <w:shd w:val="clear" w:color="auto" w:fill="auto"/>
            <w:noWrap/>
          </w:tcPr>
          <w:p w14:paraId="73EC5E32" w14:textId="38A0CBD1" w:rsidR="00252822" w:rsidRPr="00910726" w:rsidRDefault="00252822" w:rsidP="00422DD5">
            <w:pPr>
              <w:suppressAutoHyphens/>
              <w:autoSpaceDN w:val="0"/>
              <w:spacing w:line="300" w:lineRule="exact"/>
              <w:jc w:val="right"/>
              <w:rPr>
                <w:rFonts w:ascii="Arial" w:eastAsia="Times New Roman" w:hAnsi="Arial" w:cs="Arial"/>
                <w:color w:val="000000" w:themeColor="text1"/>
                <w:sz w:val="18"/>
                <w:szCs w:val="18"/>
              </w:rPr>
            </w:pPr>
            <w:r w:rsidRPr="00910726">
              <w:rPr>
                <w:rFonts w:ascii="Arial" w:eastAsia="Times New Roman" w:hAnsi="Arial" w:cs="Arial"/>
                <w:color w:val="000000" w:themeColor="text1"/>
                <w:sz w:val="18"/>
                <w:szCs w:val="18"/>
              </w:rPr>
              <w:t>17.58</w:t>
            </w:r>
            <w:r w:rsidR="00910726" w:rsidRPr="005D1219">
              <w:rPr>
                <w:rFonts w:ascii="Arial" w:eastAsia="Times New Roman" w:hAnsi="Arial" w:cs="Arial"/>
                <w:color w:val="000000" w:themeColor="text1"/>
                <w:sz w:val="18"/>
                <w:szCs w:val="18"/>
              </w:rPr>
              <w:t>0</w:t>
            </w:r>
          </w:p>
        </w:tc>
        <w:tc>
          <w:tcPr>
            <w:tcW w:w="1667" w:type="dxa"/>
            <w:shd w:val="clear" w:color="auto" w:fill="auto"/>
            <w:noWrap/>
          </w:tcPr>
          <w:p w14:paraId="4DE68A71" w14:textId="534B8F6B"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sidRPr="006D518A">
              <w:rPr>
                <w:rFonts w:ascii="Arial" w:eastAsia="Times New Roman" w:hAnsi="Arial" w:cs="Arial"/>
                <w:color w:val="000000" w:themeColor="text1"/>
                <w:sz w:val="18"/>
                <w:szCs w:val="18"/>
              </w:rPr>
              <w:t>(</w:t>
            </w:r>
            <w:r w:rsidR="00910726">
              <w:rPr>
                <w:rFonts w:ascii="Arial" w:eastAsia="Times New Roman" w:hAnsi="Arial" w:cs="Arial"/>
                <w:color w:val="000000" w:themeColor="text1"/>
                <w:sz w:val="18"/>
                <w:szCs w:val="18"/>
              </w:rPr>
              <w:t>7</w:t>
            </w:r>
            <w:r w:rsidRPr="006D518A">
              <w:rPr>
                <w:rFonts w:ascii="Arial" w:eastAsia="Times New Roman" w:hAnsi="Arial" w:cs="Arial"/>
                <w:color w:val="000000" w:themeColor="text1"/>
                <w:sz w:val="18"/>
                <w:szCs w:val="18"/>
              </w:rPr>
              <w:t>)</w:t>
            </w:r>
          </w:p>
        </w:tc>
        <w:tc>
          <w:tcPr>
            <w:tcW w:w="1168" w:type="dxa"/>
            <w:shd w:val="clear" w:color="auto" w:fill="auto"/>
            <w:noWrap/>
          </w:tcPr>
          <w:p w14:paraId="2059E8A5"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sidRPr="006D518A">
              <w:rPr>
                <w:rFonts w:ascii="Arial" w:eastAsia="Times New Roman" w:hAnsi="Arial" w:cs="Arial"/>
                <w:color w:val="000000" w:themeColor="text1"/>
                <w:sz w:val="18"/>
                <w:szCs w:val="18"/>
              </w:rPr>
              <w:t>17</w:t>
            </w:r>
          </w:p>
        </w:tc>
        <w:tc>
          <w:tcPr>
            <w:tcW w:w="1559" w:type="dxa"/>
            <w:shd w:val="clear" w:color="auto" w:fill="auto"/>
            <w:noWrap/>
          </w:tcPr>
          <w:p w14:paraId="343EC261"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tcPr>
          <w:p w14:paraId="66B3E52B"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r w:rsidRPr="006D518A">
              <w:rPr>
                <w:rFonts w:ascii="Arial" w:eastAsia="Times New Roman" w:hAnsi="Arial" w:cs="Arial"/>
                <w:color w:val="000000" w:themeColor="text1"/>
                <w:sz w:val="18"/>
                <w:szCs w:val="18"/>
              </w:rPr>
              <w:t>17.590</w:t>
            </w:r>
          </w:p>
        </w:tc>
      </w:tr>
      <w:tr w:rsidR="00252822" w:rsidRPr="003D1614" w14:paraId="56D9800A" w14:textId="77777777" w:rsidTr="00422DD5">
        <w:trPr>
          <w:trHeight w:val="300"/>
        </w:trPr>
        <w:tc>
          <w:tcPr>
            <w:tcW w:w="3261" w:type="dxa"/>
            <w:tcBorders>
              <w:top w:val="nil"/>
              <w:left w:val="nil"/>
              <w:right w:val="nil"/>
            </w:tcBorders>
            <w:shd w:val="clear" w:color="auto" w:fill="auto"/>
            <w:vAlign w:val="bottom"/>
          </w:tcPr>
          <w:p w14:paraId="1EE591C5" w14:textId="77777777" w:rsidR="00252822" w:rsidRPr="003D1614" w:rsidRDefault="00252822" w:rsidP="00422DD5">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Porez na dobit</w:t>
            </w:r>
          </w:p>
        </w:tc>
        <w:tc>
          <w:tcPr>
            <w:tcW w:w="1134" w:type="dxa"/>
            <w:tcBorders>
              <w:top w:val="nil"/>
              <w:left w:val="nil"/>
              <w:bottom w:val="single" w:sz="4" w:space="0" w:color="auto"/>
              <w:right w:val="nil"/>
            </w:tcBorders>
            <w:shd w:val="clear" w:color="auto" w:fill="auto"/>
            <w:noWrap/>
            <w:vAlign w:val="bottom"/>
          </w:tcPr>
          <w:p w14:paraId="681602E3" w14:textId="77777777" w:rsidR="00252822" w:rsidRPr="00F711FA" w:rsidRDefault="00252822" w:rsidP="00422DD5">
            <w:pPr>
              <w:suppressAutoHyphens/>
              <w:autoSpaceDN w:val="0"/>
              <w:spacing w:line="300" w:lineRule="exact"/>
              <w:jc w:val="right"/>
              <w:rPr>
                <w:rFonts w:ascii="Arial" w:eastAsia="Times New Roman" w:hAnsi="Arial" w:cs="Arial"/>
                <w:color w:val="000000" w:themeColor="text1"/>
                <w:sz w:val="18"/>
                <w:szCs w:val="18"/>
              </w:rPr>
            </w:pPr>
            <w:r w:rsidRPr="00910726">
              <w:rPr>
                <w:rFonts w:ascii="Arial" w:eastAsia="Times New Roman" w:hAnsi="Arial" w:cs="Arial"/>
                <w:color w:val="000000" w:themeColor="text1"/>
                <w:sz w:val="18"/>
                <w:szCs w:val="18"/>
              </w:rPr>
              <w:t>-</w:t>
            </w:r>
          </w:p>
        </w:tc>
        <w:tc>
          <w:tcPr>
            <w:tcW w:w="1667" w:type="dxa"/>
            <w:tcBorders>
              <w:top w:val="nil"/>
              <w:left w:val="nil"/>
              <w:bottom w:val="single" w:sz="4" w:space="0" w:color="auto"/>
              <w:right w:val="nil"/>
            </w:tcBorders>
            <w:shd w:val="clear" w:color="auto" w:fill="auto"/>
            <w:noWrap/>
            <w:vAlign w:val="bottom"/>
          </w:tcPr>
          <w:p w14:paraId="2F79B3E1" w14:textId="77777777" w:rsidR="00252822" w:rsidRPr="003D1614" w:rsidRDefault="00252822" w:rsidP="00422DD5">
            <w:pPr>
              <w:suppressAutoHyphens/>
              <w:autoSpaceDN w:val="0"/>
              <w:spacing w:line="300" w:lineRule="exact"/>
              <w:jc w:val="right"/>
              <w:rPr>
                <w:rFonts w:ascii="Arial" w:eastAsia="Times New Roman" w:hAnsi="Arial" w:cs="Arial"/>
                <w:bCs/>
                <w:sz w:val="18"/>
                <w:szCs w:val="18"/>
              </w:rPr>
            </w:pPr>
            <w:r>
              <w:rPr>
                <w:rFonts w:ascii="Arial" w:eastAsia="Times New Roman" w:hAnsi="Arial" w:cs="Arial"/>
                <w:bCs/>
                <w:sz w:val="18"/>
                <w:szCs w:val="18"/>
              </w:rPr>
              <w:t>-</w:t>
            </w:r>
          </w:p>
        </w:tc>
        <w:tc>
          <w:tcPr>
            <w:tcW w:w="1168" w:type="dxa"/>
            <w:tcBorders>
              <w:top w:val="nil"/>
              <w:left w:val="nil"/>
              <w:bottom w:val="single" w:sz="4" w:space="0" w:color="auto"/>
              <w:right w:val="nil"/>
            </w:tcBorders>
            <w:shd w:val="clear" w:color="auto" w:fill="auto"/>
            <w:noWrap/>
            <w:vAlign w:val="bottom"/>
          </w:tcPr>
          <w:p w14:paraId="6AF68A6A" w14:textId="77777777" w:rsidR="00252822" w:rsidRPr="003D1614" w:rsidRDefault="00252822" w:rsidP="00422DD5">
            <w:pPr>
              <w:suppressAutoHyphens/>
              <w:autoSpaceDN w:val="0"/>
              <w:spacing w:line="300" w:lineRule="exact"/>
              <w:jc w:val="right"/>
              <w:rPr>
                <w:rFonts w:ascii="Arial" w:eastAsia="Times New Roman" w:hAnsi="Arial" w:cs="Arial"/>
                <w:bCs/>
                <w:sz w:val="18"/>
                <w:szCs w:val="18"/>
              </w:rPr>
            </w:pPr>
            <w:r>
              <w:rPr>
                <w:rFonts w:ascii="Arial" w:eastAsia="Times New Roman" w:hAnsi="Arial" w:cs="Arial"/>
                <w:bCs/>
                <w:sz w:val="18"/>
                <w:szCs w:val="18"/>
              </w:rPr>
              <w:t>-</w:t>
            </w:r>
          </w:p>
        </w:tc>
        <w:tc>
          <w:tcPr>
            <w:tcW w:w="1559" w:type="dxa"/>
            <w:tcBorders>
              <w:top w:val="nil"/>
              <w:left w:val="nil"/>
              <w:bottom w:val="single" w:sz="4" w:space="0" w:color="auto"/>
              <w:right w:val="nil"/>
            </w:tcBorders>
            <w:shd w:val="clear" w:color="auto" w:fill="auto"/>
            <w:noWrap/>
            <w:vAlign w:val="bottom"/>
          </w:tcPr>
          <w:p w14:paraId="0F28EFE2" w14:textId="77777777" w:rsidR="00252822" w:rsidRPr="003D1614" w:rsidRDefault="00252822" w:rsidP="00422DD5">
            <w:pPr>
              <w:suppressAutoHyphens/>
              <w:autoSpaceDN w:val="0"/>
              <w:spacing w:line="300" w:lineRule="exact"/>
              <w:jc w:val="right"/>
              <w:rPr>
                <w:rFonts w:ascii="Arial" w:eastAsia="Times New Roman" w:hAnsi="Arial" w:cs="Arial"/>
                <w:bCs/>
                <w:sz w:val="18"/>
                <w:szCs w:val="18"/>
              </w:rPr>
            </w:pPr>
            <w:r>
              <w:rPr>
                <w:rFonts w:ascii="Arial" w:eastAsia="Times New Roman" w:hAnsi="Arial" w:cs="Arial"/>
                <w:bCs/>
                <w:sz w:val="18"/>
                <w:szCs w:val="18"/>
              </w:rPr>
              <w:t>-</w:t>
            </w:r>
          </w:p>
        </w:tc>
        <w:tc>
          <w:tcPr>
            <w:tcW w:w="1134" w:type="dxa"/>
            <w:tcBorders>
              <w:top w:val="nil"/>
              <w:left w:val="nil"/>
              <w:bottom w:val="single" w:sz="4" w:space="0" w:color="auto"/>
              <w:right w:val="nil"/>
            </w:tcBorders>
            <w:shd w:val="clear" w:color="auto" w:fill="auto"/>
            <w:noWrap/>
            <w:vAlign w:val="bottom"/>
          </w:tcPr>
          <w:p w14:paraId="30876FD1" w14:textId="77777777" w:rsidR="00252822" w:rsidRPr="003D1614" w:rsidRDefault="00252822" w:rsidP="00422DD5">
            <w:pPr>
              <w:suppressAutoHyphens/>
              <w:autoSpaceDN w:val="0"/>
              <w:spacing w:line="300" w:lineRule="exact"/>
              <w:jc w:val="right"/>
              <w:rPr>
                <w:rFonts w:ascii="Arial" w:eastAsia="Times New Roman" w:hAnsi="Arial" w:cs="Arial"/>
                <w:bCs/>
                <w:sz w:val="18"/>
                <w:szCs w:val="18"/>
              </w:rPr>
            </w:pPr>
            <w:r>
              <w:rPr>
                <w:rFonts w:ascii="Arial" w:eastAsia="Times New Roman" w:hAnsi="Arial" w:cs="Arial"/>
                <w:bCs/>
                <w:sz w:val="18"/>
                <w:szCs w:val="18"/>
              </w:rPr>
              <w:t>-</w:t>
            </w:r>
          </w:p>
        </w:tc>
      </w:tr>
      <w:tr w:rsidR="00252822" w:rsidRPr="003D1614" w14:paraId="673239EA" w14:textId="77777777" w:rsidTr="00422DD5">
        <w:trPr>
          <w:trHeight w:val="315"/>
        </w:trPr>
        <w:tc>
          <w:tcPr>
            <w:tcW w:w="3261" w:type="dxa"/>
            <w:tcBorders>
              <w:left w:val="nil"/>
              <w:right w:val="nil"/>
            </w:tcBorders>
            <w:shd w:val="clear" w:color="auto" w:fill="auto"/>
            <w:vAlign w:val="bottom"/>
          </w:tcPr>
          <w:p w14:paraId="7111D4AC" w14:textId="77777777" w:rsidR="00252822" w:rsidRPr="003D1614" w:rsidRDefault="00252822" w:rsidP="00422DD5">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Dobit</w:t>
            </w:r>
            <w:r>
              <w:rPr>
                <w:rFonts w:ascii="Arial" w:eastAsia="Times New Roman" w:hAnsi="Arial" w:cs="Arial"/>
                <w:b/>
                <w:bCs/>
                <w:color w:val="000000" w:themeColor="text1"/>
                <w:sz w:val="18"/>
                <w:szCs w:val="18"/>
              </w:rPr>
              <w:t>/(gubitak)</w:t>
            </w:r>
            <w:r w:rsidRPr="003D1614">
              <w:rPr>
                <w:rFonts w:ascii="Arial" w:eastAsia="Times New Roman" w:hAnsi="Arial" w:cs="Arial"/>
                <w:b/>
                <w:bCs/>
                <w:color w:val="000000" w:themeColor="text1"/>
                <w:sz w:val="18"/>
                <w:szCs w:val="18"/>
              </w:rPr>
              <w:t xml:space="preserve"> za godinu</w:t>
            </w:r>
          </w:p>
        </w:tc>
        <w:tc>
          <w:tcPr>
            <w:tcW w:w="1134" w:type="dxa"/>
            <w:shd w:val="clear" w:color="auto" w:fill="auto"/>
            <w:noWrap/>
          </w:tcPr>
          <w:p w14:paraId="5418D0E8" w14:textId="2A7C89F4" w:rsidR="00252822" w:rsidRPr="00910726"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910726">
              <w:rPr>
                <w:rFonts w:ascii="Arial" w:eastAsia="Times New Roman" w:hAnsi="Arial" w:cs="Arial"/>
                <w:b/>
                <w:bCs/>
                <w:color w:val="000000" w:themeColor="text1"/>
                <w:sz w:val="18"/>
                <w:szCs w:val="18"/>
              </w:rPr>
              <w:t>17.58</w:t>
            </w:r>
            <w:r w:rsidR="00910726" w:rsidRPr="005D1219">
              <w:rPr>
                <w:rFonts w:ascii="Arial" w:eastAsia="Times New Roman" w:hAnsi="Arial" w:cs="Arial"/>
                <w:b/>
                <w:bCs/>
                <w:color w:val="000000" w:themeColor="text1"/>
                <w:sz w:val="18"/>
                <w:szCs w:val="18"/>
              </w:rPr>
              <w:t>0</w:t>
            </w:r>
          </w:p>
        </w:tc>
        <w:tc>
          <w:tcPr>
            <w:tcW w:w="1667" w:type="dxa"/>
            <w:shd w:val="clear" w:color="auto" w:fill="auto"/>
            <w:noWrap/>
          </w:tcPr>
          <w:p w14:paraId="57132906" w14:textId="1FD04501"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6D518A">
              <w:rPr>
                <w:rFonts w:ascii="Arial" w:eastAsia="Times New Roman" w:hAnsi="Arial" w:cs="Arial"/>
                <w:b/>
                <w:bCs/>
                <w:color w:val="000000" w:themeColor="text1"/>
                <w:sz w:val="18"/>
                <w:szCs w:val="18"/>
              </w:rPr>
              <w:t>(</w:t>
            </w:r>
            <w:r w:rsidR="00910726">
              <w:rPr>
                <w:rFonts w:ascii="Arial" w:eastAsia="Times New Roman" w:hAnsi="Arial" w:cs="Arial"/>
                <w:b/>
                <w:bCs/>
                <w:color w:val="000000" w:themeColor="text1"/>
                <w:sz w:val="18"/>
                <w:szCs w:val="18"/>
              </w:rPr>
              <w:t>7</w:t>
            </w:r>
            <w:r w:rsidRPr="006D518A">
              <w:rPr>
                <w:rFonts w:ascii="Arial" w:eastAsia="Times New Roman" w:hAnsi="Arial" w:cs="Arial"/>
                <w:b/>
                <w:bCs/>
                <w:color w:val="000000" w:themeColor="text1"/>
                <w:sz w:val="18"/>
                <w:szCs w:val="18"/>
              </w:rPr>
              <w:t>)</w:t>
            </w:r>
          </w:p>
        </w:tc>
        <w:tc>
          <w:tcPr>
            <w:tcW w:w="1168" w:type="dxa"/>
            <w:tcBorders>
              <w:top w:val="single" w:sz="4" w:space="0" w:color="auto"/>
              <w:left w:val="nil"/>
              <w:bottom w:val="single" w:sz="12" w:space="0" w:color="auto"/>
              <w:right w:val="nil"/>
            </w:tcBorders>
            <w:shd w:val="clear" w:color="auto" w:fill="auto"/>
            <w:noWrap/>
          </w:tcPr>
          <w:p w14:paraId="1519B5BB"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6D518A">
              <w:rPr>
                <w:rFonts w:ascii="Arial" w:eastAsia="Times New Roman" w:hAnsi="Arial" w:cs="Arial"/>
                <w:b/>
                <w:bCs/>
                <w:color w:val="000000" w:themeColor="text1"/>
                <w:sz w:val="18"/>
                <w:szCs w:val="18"/>
              </w:rPr>
              <w:t>17</w:t>
            </w:r>
          </w:p>
        </w:tc>
        <w:tc>
          <w:tcPr>
            <w:tcW w:w="1559" w:type="dxa"/>
            <w:tcBorders>
              <w:top w:val="single" w:sz="4" w:space="0" w:color="auto"/>
              <w:left w:val="nil"/>
              <w:bottom w:val="single" w:sz="12" w:space="0" w:color="auto"/>
              <w:right w:val="nil"/>
            </w:tcBorders>
            <w:shd w:val="clear" w:color="auto" w:fill="auto"/>
            <w:noWrap/>
          </w:tcPr>
          <w:p w14:paraId="165D85A7"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1134" w:type="dxa"/>
            <w:tcBorders>
              <w:top w:val="single" w:sz="4" w:space="0" w:color="auto"/>
              <w:left w:val="nil"/>
              <w:bottom w:val="single" w:sz="12" w:space="0" w:color="auto"/>
              <w:right w:val="nil"/>
            </w:tcBorders>
            <w:shd w:val="clear" w:color="auto" w:fill="auto"/>
            <w:noWrap/>
          </w:tcPr>
          <w:p w14:paraId="1CDD0C6C"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6D518A">
              <w:rPr>
                <w:rFonts w:ascii="Arial" w:eastAsia="Times New Roman" w:hAnsi="Arial" w:cs="Arial"/>
                <w:b/>
                <w:bCs/>
                <w:color w:val="000000" w:themeColor="text1"/>
                <w:sz w:val="18"/>
                <w:szCs w:val="18"/>
              </w:rPr>
              <w:t>17.590</w:t>
            </w:r>
          </w:p>
        </w:tc>
      </w:tr>
      <w:tr w:rsidR="00252822" w:rsidRPr="003D1614" w14:paraId="118969B9" w14:textId="77777777" w:rsidTr="00422DD5">
        <w:trPr>
          <w:trHeight w:val="52"/>
        </w:trPr>
        <w:tc>
          <w:tcPr>
            <w:tcW w:w="3261" w:type="dxa"/>
            <w:tcBorders>
              <w:left w:val="nil"/>
              <w:bottom w:val="nil"/>
              <w:right w:val="nil"/>
            </w:tcBorders>
            <w:shd w:val="clear" w:color="auto" w:fill="auto"/>
            <w:vAlign w:val="bottom"/>
          </w:tcPr>
          <w:p w14:paraId="0CE4A612" w14:textId="77777777" w:rsidR="00252822" w:rsidRPr="003D1614" w:rsidRDefault="00252822" w:rsidP="00422DD5">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3AC3AEC5" w14:textId="77777777" w:rsidR="00252822" w:rsidRPr="00910726" w:rsidRDefault="00252822" w:rsidP="00422DD5">
            <w:pPr>
              <w:suppressAutoHyphens/>
              <w:autoSpaceDN w:val="0"/>
              <w:spacing w:line="140" w:lineRule="exact"/>
              <w:jc w:val="right"/>
              <w:rPr>
                <w:rFonts w:ascii="Arial" w:eastAsia="Times New Roman" w:hAnsi="Arial" w:cs="Arial"/>
                <w:color w:val="000000" w:themeColor="text1"/>
                <w:sz w:val="18"/>
                <w:szCs w:val="18"/>
              </w:rPr>
            </w:pPr>
          </w:p>
        </w:tc>
        <w:tc>
          <w:tcPr>
            <w:tcW w:w="1667" w:type="dxa"/>
            <w:tcBorders>
              <w:top w:val="single" w:sz="12" w:space="0" w:color="auto"/>
              <w:left w:val="nil"/>
              <w:bottom w:val="nil"/>
              <w:right w:val="nil"/>
            </w:tcBorders>
            <w:shd w:val="clear" w:color="auto" w:fill="auto"/>
            <w:noWrap/>
            <w:vAlign w:val="bottom"/>
          </w:tcPr>
          <w:p w14:paraId="0014982F" w14:textId="77777777" w:rsidR="00252822" w:rsidRPr="003D1614" w:rsidRDefault="00252822" w:rsidP="00422DD5">
            <w:pPr>
              <w:suppressAutoHyphens/>
              <w:autoSpaceDN w:val="0"/>
              <w:spacing w:line="140" w:lineRule="exact"/>
              <w:jc w:val="right"/>
              <w:rPr>
                <w:rFonts w:ascii="Arial" w:eastAsia="Times New Roman" w:hAnsi="Arial" w:cs="Arial"/>
                <w:color w:val="000000" w:themeColor="text1"/>
                <w:sz w:val="18"/>
                <w:szCs w:val="18"/>
              </w:rPr>
            </w:pPr>
          </w:p>
        </w:tc>
        <w:tc>
          <w:tcPr>
            <w:tcW w:w="1168" w:type="dxa"/>
            <w:tcBorders>
              <w:top w:val="single" w:sz="12" w:space="0" w:color="auto"/>
              <w:left w:val="nil"/>
              <w:bottom w:val="nil"/>
              <w:right w:val="nil"/>
            </w:tcBorders>
            <w:shd w:val="clear" w:color="auto" w:fill="auto"/>
            <w:noWrap/>
            <w:vAlign w:val="bottom"/>
          </w:tcPr>
          <w:p w14:paraId="311EE3AB" w14:textId="77777777" w:rsidR="00252822" w:rsidRPr="003D1614" w:rsidRDefault="00252822" w:rsidP="00422DD5">
            <w:pPr>
              <w:suppressAutoHyphens/>
              <w:autoSpaceDN w:val="0"/>
              <w:spacing w:line="140" w:lineRule="exact"/>
              <w:jc w:val="right"/>
              <w:rPr>
                <w:rFonts w:ascii="Arial" w:eastAsia="Times New Roman" w:hAnsi="Arial" w:cs="Arial"/>
                <w:color w:val="000000" w:themeColor="text1"/>
                <w:sz w:val="18"/>
                <w:szCs w:val="18"/>
              </w:rPr>
            </w:pPr>
          </w:p>
        </w:tc>
        <w:tc>
          <w:tcPr>
            <w:tcW w:w="1559" w:type="dxa"/>
            <w:tcBorders>
              <w:top w:val="single" w:sz="12" w:space="0" w:color="auto"/>
              <w:left w:val="nil"/>
              <w:bottom w:val="nil"/>
              <w:right w:val="nil"/>
            </w:tcBorders>
            <w:shd w:val="clear" w:color="auto" w:fill="auto"/>
            <w:noWrap/>
            <w:vAlign w:val="bottom"/>
          </w:tcPr>
          <w:p w14:paraId="0910F17D" w14:textId="77777777" w:rsidR="00252822" w:rsidRPr="003D1614" w:rsidRDefault="00252822" w:rsidP="00422DD5">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6A0D0BC5" w14:textId="77777777" w:rsidR="00252822" w:rsidRPr="003D1614" w:rsidRDefault="00252822" w:rsidP="00422DD5">
            <w:pPr>
              <w:suppressAutoHyphens/>
              <w:autoSpaceDN w:val="0"/>
              <w:spacing w:line="140" w:lineRule="exact"/>
              <w:jc w:val="right"/>
              <w:rPr>
                <w:rFonts w:ascii="Arial" w:eastAsia="Times New Roman" w:hAnsi="Arial" w:cs="Arial"/>
                <w:color w:val="000000" w:themeColor="text1"/>
                <w:sz w:val="18"/>
                <w:szCs w:val="18"/>
              </w:rPr>
            </w:pPr>
          </w:p>
        </w:tc>
      </w:tr>
      <w:tr w:rsidR="00252822" w:rsidRPr="003D1614" w14:paraId="50960353" w14:textId="77777777" w:rsidTr="00422DD5">
        <w:trPr>
          <w:trHeight w:val="300"/>
        </w:trPr>
        <w:tc>
          <w:tcPr>
            <w:tcW w:w="3261" w:type="dxa"/>
            <w:tcBorders>
              <w:top w:val="nil"/>
              <w:left w:val="nil"/>
              <w:right w:val="nil"/>
            </w:tcBorders>
            <w:shd w:val="clear" w:color="auto" w:fill="auto"/>
            <w:vAlign w:val="bottom"/>
          </w:tcPr>
          <w:p w14:paraId="5FA999EC" w14:textId="77777777" w:rsidR="00252822" w:rsidRPr="003D1614" w:rsidRDefault="00252822" w:rsidP="00422DD5">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 ožujka 202</w:t>
            </w:r>
            <w:r>
              <w:rPr>
                <w:rFonts w:ascii="Arial" w:eastAsia="Times New Roman" w:hAnsi="Arial" w:cs="Arial"/>
                <w:b/>
                <w:bCs/>
                <w:color w:val="000000" w:themeColor="text1"/>
                <w:sz w:val="18"/>
                <w:szCs w:val="18"/>
              </w:rPr>
              <w:t>4</w:t>
            </w:r>
            <w:r w:rsidRPr="003D1614">
              <w:rPr>
                <w:rFonts w:ascii="Arial" w:eastAsia="Times New Roman" w:hAnsi="Arial" w:cs="Arial"/>
                <w:b/>
                <w:bCs/>
                <w:color w:val="000000" w:themeColor="text1"/>
                <w:sz w:val="18"/>
                <w:szCs w:val="18"/>
              </w:rPr>
              <w:t>.</w:t>
            </w:r>
          </w:p>
        </w:tc>
        <w:tc>
          <w:tcPr>
            <w:tcW w:w="1134" w:type="dxa"/>
            <w:tcBorders>
              <w:top w:val="nil"/>
              <w:left w:val="nil"/>
              <w:bottom w:val="single" w:sz="4" w:space="0" w:color="auto"/>
              <w:right w:val="nil"/>
            </w:tcBorders>
            <w:shd w:val="clear" w:color="auto" w:fill="auto"/>
            <w:noWrap/>
            <w:vAlign w:val="bottom"/>
          </w:tcPr>
          <w:p w14:paraId="0882EA06"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p>
        </w:tc>
        <w:tc>
          <w:tcPr>
            <w:tcW w:w="1667" w:type="dxa"/>
            <w:tcBorders>
              <w:top w:val="nil"/>
              <w:left w:val="nil"/>
              <w:bottom w:val="single" w:sz="4" w:space="0" w:color="auto"/>
              <w:right w:val="nil"/>
            </w:tcBorders>
            <w:shd w:val="clear" w:color="auto" w:fill="auto"/>
            <w:noWrap/>
            <w:vAlign w:val="bottom"/>
          </w:tcPr>
          <w:p w14:paraId="2158A240"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p>
        </w:tc>
        <w:tc>
          <w:tcPr>
            <w:tcW w:w="1168" w:type="dxa"/>
            <w:tcBorders>
              <w:top w:val="nil"/>
              <w:left w:val="nil"/>
              <w:bottom w:val="single" w:sz="4" w:space="0" w:color="auto"/>
              <w:right w:val="nil"/>
            </w:tcBorders>
            <w:shd w:val="clear" w:color="auto" w:fill="auto"/>
            <w:noWrap/>
            <w:vAlign w:val="bottom"/>
          </w:tcPr>
          <w:p w14:paraId="60554252"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p>
        </w:tc>
        <w:tc>
          <w:tcPr>
            <w:tcW w:w="1559" w:type="dxa"/>
            <w:tcBorders>
              <w:top w:val="nil"/>
              <w:left w:val="nil"/>
              <w:bottom w:val="single" w:sz="4" w:space="0" w:color="auto"/>
              <w:right w:val="nil"/>
            </w:tcBorders>
            <w:shd w:val="clear" w:color="auto" w:fill="auto"/>
            <w:noWrap/>
            <w:vAlign w:val="bottom"/>
          </w:tcPr>
          <w:p w14:paraId="41DE3229"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p>
        </w:tc>
        <w:tc>
          <w:tcPr>
            <w:tcW w:w="1134" w:type="dxa"/>
            <w:tcBorders>
              <w:top w:val="nil"/>
              <w:left w:val="nil"/>
              <w:bottom w:val="single" w:sz="4" w:space="0" w:color="auto"/>
              <w:right w:val="nil"/>
            </w:tcBorders>
            <w:shd w:val="clear" w:color="auto" w:fill="auto"/>
            <w:noWrap/>
            <w:vAlign w:val="bottom"/>
          </w:tcPr>
          <w:p w14:paraId="043717BB" w14:textId="77777777" w:rsidR="00252822" w:rsidRPr="003D1614" w:rsidRDefault="00252822" w:rsidP="00422DD5">
            <w:pPr>
              <w:suppressAutoHyphens/>
              <w:autoSpaceDN w:val="0"/>
              <w:spacing w:line="300" w:lineRule="exact"/>
              <w:jc w:val="right"/>
              <w:rPr>
                <w:rFonts w:ascii="Arial" w:eastAsia="Times New Roman" w:hAnsi="Arial" w:cs="Arial"/>
                <w:color w:val="000000" w:themeColor="text1"/>
                <w:sz w:val="18"/>
                <w:szCs w:val="18"/>
              </w:rPr>
            </w:pPr>
          </w:p>
        </w:tc>
      </w:tr>
      <w:tr w:rsidR="00252822" w:rsidRPr="003D1614" w14:paraId="605F8850" w14:textId="77777777" w:rsidTr="00422DD5">
        <w:trPr>
          <w:trHeight w:val="300"/>
        </w:trPr>
        <w:tc>
          <w:tcPr>
            <w:tcW w:w="3261" w:type="dxa"/>
            <w:tcBorders>
              <w:top w:val="nil"/>
              <w:left w:val="nil"/>
              <w:right w:val="nil"/>
            </w:tcBorders>
            <w:shd w:val="clear" w:color="auto" w:fill="auto"/>
            <w:vAlign w:val="bottom"/>
          </w:tcPr>
          <w:p w14:paraId="260A6F4E" w14:textId="77777777" w:rsidR="00252822" w:rsidRPr="003D1614" w:rsidRDefault="00252822" w:rsidP="00422DD5">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Imovina segmenta</w:t>
            </w:r>
          </w:p>
        </w:tc>
        <w:tc>
          <w:tcPr>
            <w:tcW w:w="1134" w:type="dxa"/>
            <w:tcBorders>
              <w:top w:val="nil"/>
              <w:left w:val="nil"/>
              <w:bottom w:val="single" w:sz="4" w:space="0" w:color="auto"/>
              <w:right w:val="nil"/>
            </w:tcBorders>
            <w:shd w:val="clear" w:color="auto" w:fill="auto"/>
            <w:noWrap/>
          </w:tcPr>
          <w:p w14:paraId="795CC93E" w14:textId="77777777" w:rsidR="00252822" w:rsidRPr="002910E3" w:rsidRDefault="00252822" w:rsidP="00422DD5">
            <w:pPr>
              <w:suppressAutoHyphens/>
              <w:autoSpaceDN w:val="0"/>
              <w:spacing w:line="300" w:lineRule="exact"/>
              <w:jc w:val="right"/>
              <w:rPr>
                <w:rFonts w:ascii="Arial" w:eastAsia="Times New Roman" w:hAnsi="Arial" w:cs="Arial"/>
                <w:color w:val="000000" w:themeColor="text1"/>
                <w:sz w:val="18"/>
                <w:szCs w:val="18"/>
              </w:rPr>
            </w:pPr>
            <w:r w:rsidRPr="006D518A">
              <w:rPr>
                <w:rFonts w:ascii="Arial" w:eastAsia="Times New Roman" w:hAnsi="Arial" w:cs="Arial"/>
                <w:color w:val="000000" w:themeColor="text1"/>
                <w:sz w:val="18"/>
                <w:szCs w:val="18"/>
              </w:rPr>
              <w:t>3.994.656</w:t>
            </w:r>
          </w:p>
        </w:tc>
        <w:tc>
          <w:tcPr>
            <w:tcW w:w="1667" w:type="dxa"/>
            <w:tcBorders>
              <w:top w:val="nil"/>
              <w:left w:val="nil"/>
              <w:bottom w:val="single" w:sz="4" w:space="0" w:color="auto"/>
              <w:right w:val="nil"/>
            </w:tcBorders>
            <w:shd w:val="clear" w:color="auto" w:fill="auto"/>
            <w:noWrap/>
            <w:vAlign w:val="bottom"/>
          </w:tcPr>
          <w:p w14:paraId="77A13B6B" w14:textId="77777777" w:rsidR="00252822" w:rsidRPr="002910E3" w:rsidRDefault="00252822" w:rsidP="00422DD5">
            <w:pPr>
              <w:suppressAutoHyphens/>
              <w:autoSpaceDN w:val="0"/>
              <w:spacing w:line="300" w:lineRule="exact"/>
              <w:jc w:val="right"/>
              <w:rPr>
                <w:rFonts w:ascii="Arial" w:eastAsia="Times New Roman" w:hAnsi="Arial" w:cs="Arial"/>
                <w:color w:val="000000" w:themeColor="text1"/>
                <w:sz w:val="18"/>
                <w:szCs w:val="18"/>
              </w:rPr>
            </w:pPr>
            <w:r w:rsidRPr="006D518A">
              <w:rPr>
                <w:rFonts w:ascii="Arial" w:eastAsia="Times New Roman" w:hAnsi="Arial" w:cs="Arial"/>
                <w:color w:val="000000" w:themeColor="text1"/>
                <w:sz w:val="18"/>
                <w:szCs w:val="18"/>
              </w:rPr>
              <w:t>10.193</w:t>
            </w:r>
          </w:p>
        </w:tc>
        <w:tc>
          <w:tcPr>
            <w:tcW w:w="1168" w:type="dxa"/>
            <w:tcBorders>
              <w:top w:val="nil"/>
              <w:left w:val="nil"/>
              <w:bottom w:val="single" w:sz="4" w:space="0" w:color="auto"/>
              <w:right w:val="nil"/>
            </w:tcBorders>
            <w:shd w:val="clear" w:color="auto" w:fill="auto"/>
            <w:noWrap/>
            <w:vAlign w:val="bottom"/>
          </w:tcPr>
          <w:p w14:paraId="7F716749" w14:textId="77777777" w:rsidR="00252822" w:rsidRPr="002910E3" w:rsidRDefault="00252822" w:rsidP="00422DD5">
            <w:pPr>
              <w:suppressAutoHyphens/>
              <w:autoSpaceDN w:val="0"/>
              <w:spacing w:line="300" w:lineRule="exact"/>
              <w:jc w:val="right"/>
              <w:rPr>
                <w:rFonts w:ascii="Arial" w:eastAsia="Times New Roman" w:hAnsi="Arial" w:cs="Arial"/>
                <w:color w:val="000000" w:themeColor="text1"/>
                <w:sz w:val="18"/>
                <w:szCs w:val="18"/>
              </w:rPr>
            </w:pPr>
            <w:r w:rsidRPr="006D518A">
              <w:rPr>
                <w:rFonts w:ascii="Arial" w:eastAsia="Times New Roman" w:hAnsi="Arial" w:cs="Arial"/>
                <w:color w:val="000000" w:themeColor="text1"/>
                <w:sz w:val="18"/>
                <w:szCs w:val="18"/>
              </w:rPr>
              <w:t>174</w:t>
            </w:r>
          </w:p>
        </w:tc>
        <w:tc>
          <w:tcPr>
            <w:tcW w:w="1559" w:type="dxa"/>
            <w:tcBorders>
              <w:top w:val="nil"/>
              <w:left w:val="nil"/>
              <w:bottom w:val="single" w:sz="4" w:space="0" w:color="auto"/>
              <w:right w:val="nil"/>
            </w:tcBorders>
            <w:shd w:val="clear" w:color="auto" w:fill="auto"/>
            <w:noWrap/>
            <w:vAlign w:val="bottom"/>
          </w:tcPr>
          <w:p w14:paraId="3C945F9E" w14:textId="77777777" w:rsidR="00252822" w:rsidRPr="002910E3" w:rsidRDefault="00252822" w:rsidP="00422DD5">
            <w:pPr>
              <w:suppressAutoHyphens/>
              <w:autoSpaceDN w:val="0"/>
              <w:spacing w:line="300" w:lineRule="exact"/>
              <w:jc w:val="right"/>
              <w:rPr>
                <w:rFonts w:ascii="Arial" w:eastAsia="Times New Roman" w:hAnsi="Arial" w:cs="Arial"/>
                <w:color w:val="000000" w:themeColor="text1"/>
                <w:sz w:val="18"/>
                <w:szCs w:val="18"/>
              </w:rPr>
            </w:pPr>
            <w:r w:rsidRPr="006D518A">
              <w:rPr>
                <w:rFonts w:ascii="Arial" w:eastAsia="Times New Roman" w:hAnsi="Arial" w:cs="Arial"/>
                <w:color w:val="000000" w:themeColor="text1"/>
                <w:sz w:val="18"/>
                <w:szCs w:val="18"/>
              </w:rPr>
              <w:t>(7.518)</w:t>
            </w:r>
          </w:p>
        </w:tc>
        <w:tc>
          <w:tcPr>
            <w:tcW w:w="1134" w:type="dxa"/>
            <w:tcBorders>
              <w:top w:val="nil"/>
              <w:left w:val="nil"/>
              <w:bottom w:val="single" w:sz="4" w:space="0" w:color="auto"/>
              <w:right w:val="nil"/>
            </w:tcBorders>
            <w:shd w:val="clear" w:color="auto" w:fill="auto"/>
            <w:noWrap/>
            <w:vAlign w:val="bottom"/>
          </w:tcPr>
          <w:p w14:paraId="2325133B" w14:textId="77777777" w:rsidR="00252822" w:rsidRPr="002910E3" w:rsidRDefault="00252822" w:rsidP="00422DD5">
            <w:pPr>
              <w:suppressAutoHyphens/>
              <w:autoSpaceDN w:val="0"/>
              <w:spacing w:line="300" w:lineRule="exact"/>
              <w:jc w:val="right"/>
              <w:rPr>
                <w:rFonts w:ascii="Arial" w:eastAsia="Times New Roman" w:hAnsi="Arial" w:cs="Arial"/>
                <w:color w:val="000000" w:themeColor="text1"/>
                <w:sz w:val="18"/>
                <w:szCs w:val="18"/>
              </w:rPr>
            </w:pPr>
            <w:r w:rsidRPr="006D518A">
              <w:rPr>
                <w:rFonts w:ascii="Arial" w:eastAsia="Times New Roman" w:hAnsi="Arial" w:cs="Arial"/>
                <w:color w:val="000000" w:themeColor="text1"/>
                <w:sz w:val="18"/>
                <w:szCs w:val="18"/>
              </w:rPr>
              <w:t>3.997.505</w:t>
            </w:r>
          </w:p>
        </w:tc>
      </w:tr>
      <w:tr w:rsidR="00252822" w:rsidRPr="003D1614" w14:paraId="034A182F" w14:textId="77777777" w:rsidTr="00422DD5">
        <w:trPr>
          <w:trHeight w:val="315"/>
        </w:trPr>
        <w:tc>
          <w:tcPr>
            <w:tcW w:w="3261" w:type="dxa"/>
            <w:tcBorders>
              <w:left w:val="nil"/>
              <w:right w:val="nil"/>
            </w:tcBorders>
            <w:shd w:val="clear" w:color="auto" w:fill="auto"/>
            <w:vAlign w:val="bottom"/>
          </w:tcPr>
          <w:p w14:paraId="4BFD42A6" w14:textId="77777777" w:rsidR="00252822" w:rsidRPr="003D1614" w:rsidRDefault="00252822" w:rsidP="00422DD5">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Ukupna imovina</w:t>
            </w:r>
          </w:p>
        </w:tc>
        <w:tc>
          <w:tcPr>
            <w:tcW w:w="1134" w:type="dxa"/>
            <w:tcBorders>
              <w:top w:val="single" w:sz="4" w:space="0" w:color="auto"/>
              <w:left w:val="nil"/>
              <w:bottom w:val="single" w:sz="12" w:space="0" w:color="auto"/>
              <w:right w:val="nil"/>
            </w:tcBorders>
            <w:shd w:val="clear" w:color="auto" w:fill="auto"/>
            <w:noWrap/>
          </w:tcPr>
          <w:p w14:paraId="4DF2AF1F"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6D518A">
              <w:rPr>
                <w:rFonts w:ascii="Arial" w:eastAsia="Times New Roman" w:hAnsi="Arial" w:cs="Arial"/>
                <w:b/>
                <w:bCs/>
                <w:color w:val="000000" w:themeColor="text1"/>
                <w:sz w:val="18"/>
                <w:szCs w:val="18"/>
              </w:rPr>
              <w:t>3.994.656</w:t>
            </w:r>
          </w:p>
        </w:tc>
        <w:tc>
          <w:tcPr>
            <w:tcW w:w="1667" w:type="dxa"/>
            <w:tcBorders>
              <w:top w:val="single" w:sz="4" w:space="0" w:color="auto"/>
              <w:left w:val="nil"/>
              <w:bottom w:val="single" w:sz="12" w:space="0" w:color="auto"/>
              <w:right w:val="nil"/>
            </w:tcBorders>
            <w:shd w:val="clear" w:color="auto" w:fill="auto"/>
            <w:noWrap/>
            <w:vAlign w:val="bottom"/>
          </w:tcPr>
          <w:p w14:paraId="723529C6"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6D518A">
              <w:rPr>
                <w:rFonts w:ascii="Arial" w:eastAsia="Times New Roman" w:hAnsi="Arial" w:cs="Arial"/>
                <w:b/>
                <w:bCs/>
                <w:color w:val="000000" w:themeColor="text1"/>
                <w:sz w:val="18"/>
                <w:szCs w:val="18"/>
              </w:rPr>
              <w:t>10.193</w:t>
            </w:r>
          </w:p>
        </w:tc>
        <w:tc>
          <w:tcPr>
            <w:tcW w:w="1168" w:type="dxa"/>
            <w:tcBorders>
              <w:top w:val="single" w:sz="4" w:space="0" w:color="auto"/>
              <w:left w:val="nil"/>
              <w:bottom w:val="single" w:sz="12" w:space="0" w:color="auto"/>
              <w:right w:val="nil"/>
            </w:tcBorders>
            <w:shd w:val="clear" w:color="auto" w:fill="auto"/>
            <w:noWrap/>
            <w:vAlign w:val="bottom"/>
          </w:tcPr>
          <w:p w14:paraId="7C90983F"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6D518A">
              <w:rPr>
                <w:rFonts w:ascii="Arial" w:eastAsia="Times New Roman" w:hAnsi="Arial" w:cs="Arial"/>
                <w:b/>
                <w:bCs/>
                <w:color w:val="000000" w:themeColor="text1"/>
                <w:sz w:val="18"/>
                <w:szCs w:val="18"/>
              </w:rPr>
              <w:t>174</w:t>
            </w:r>
          </w:p>
        </w:tc>
        <w:tc>
          <w:tcPr>
            <w:tcW w:w="1559" w:type="dxa"/>
            <w:tcBorders>
              <w:top w:val="single" w:sz="4" w:space="0" w:color="auto"/>
              <w:left w:val="nil"/>
              <w:bottom w:val="single" w:sz="12" w:space="0" w:color="auto"/>
              <w:right w:val="nil"/>
            </w:tcBorders>
            <w:shd w:val="clear" w:color="auto" w:fill="auto"/>
            <w:noWrap/>
            <w:vAlign w:val="bottom"/>
          </w:tcPr>
          <w:p w14:paraId="522DAAE3"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6D518A">
              <w:rPr>
                <w:rFonts w:ascii="Arial" w:eastAsia="Times New Roman" w:hAnsi="Arial" w:cs="Arial"/>
                <w:b/>
                <w:bCs/>
                <w:color w:val="000000" w:themeColor="text1"/>
                <w:sz w:val="18"/>
                <w:szCs w:val="18"/>
              </w:rPr>
              <w:t>(7.518)</w:t>
            </w:r>
          </w:p>
        </w:tc>
        <w:tc>
          <w:tcPr>
            <w:tcW w:w="1134" w:type="dxa"/>
            <w:tcBorders>
              <w:top w:val="single" w:sz="4" w:space="0" w:color="auto"/>
              <w:left w:val="nil"/>
              <w:bottom w:val="single" w:sz="12" w:space="0" w:color="auto"/>
              <w:right w:val="nil"/>
            </w:tcBorders>
            <w:shd w:val="clear" w:color="auto" w:fill="auto"/>
            <w:noWrap/>
            <w:vAlign w:val="bottom"/>
          </w:tcPr>
          <w:p w14:paraId="3D01A600"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6D518A">
              <w:rPr>
                <w:rFonts w:ascii="Arial" w:eastAsia="Times New Roman" w:hAnsi="Arial" w:cs="Arial"/>
                <w:b/>
                <w:bCs/>
                <w:color w:val="000000" w:themeColor="text1"/>
                <w:sz w:val="18"/>
                <w:szCs w:val="18"/>
              </w:rPr>
              <w:t>3.997.505</w:t>
            </w:r>
          </w:p>
        </w:tc>
      </w:tr>
      <w:tr w:rsidR="00252822" w:rsidRPr="003D1614" w14:paraId="06E6E466" w14:textId="77777777" w:rsidTr="00422DD5">
        <w:trPr>
          <w:trHeight w:val="121"/>
        </w:trPr>
        <w:tc>
          <w:tcPr>
            <w:tcW w:w="3261" w:type="dxa"/>
            <w:tcBorders>
              <w:left w:val="nil"/>
              <w:bottom w:val="nil"/>
              <w:right w:val="nil"/>
            </w:tcBorders>
            <w:shd w:val="clear" w:color="auto" w:fill="auto"/>
            <w:vAlign w:val="bottom"/>
          </w:tcPr>
          <w:p w14:paraId="4C8E6FCE" w14:textId="77777777" w:rsidR="00252822" w:rsidRPr="003D1614" w:rsidRDefault="00252822" w:rsidP="00422DD5">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0F641C8A" w14:textId="77777777" w:rsidR="00252822" w:rsidRPr="003D1614" w:rsidRDefault="00252822" w:rsidP="00422DD5">
            <w:pPr>
              <w:suppressAutoHyphens/>
              <w:autoSpaceDN w:val="0"/>
              <w:spacing w:line="140" w:lineRule="exact"/>
              <w:jc w:val="right"/>
              <w:rPr>
                <w:rFonts w:ascii="Arial" w:eastAsia="Times New Roman" w:hAnsi="Arial" w:cs="Arial"/>
                <w:color w:val="000000" w:themeColor="text1"/>
                <w:sz w:val="18"/>
                <w:szCs w:val="18"/>
              </w:rPr>
            </w:pPr>
          </w:p>
        </w:tc>
        <w:tc>
          <w:tcPr>
            <w:tcW w:w="1667" w:type="dxa"/>
            <w:tcBorders>
              <w:top w:val="single" w:sz="12" w:space="0" w:color="auto"/>
              <w:left w:val="nil"/>
              <w:bottom w:val="nil"/>
              <w:right w:val="nil"/>
            </w:tcBorders>
            <w:shd w:val="clear" w:color="auto" w:fill="auto"/>
            <w:noWrap/>
            <w:vAlign w:val="bottom"/>
          </w:tcPr>
          <w:p w14:paraId="0EA7976D" w14:textId="77777777" w:rsidR="00252822" w:rsidRPr="002910E3" w:rsidRDefault="00252822" w:rsidP="00422DD5">
            <w:pPr>
              <w:suppressAutoHyphens/>
              <w:autoSpaceDN w:val="0"/>
              <w:spacing w:line="300" w:lineRule="exact"/>
              <w:jc w:val="right"/>
              <w:rPr>
                <w:rFonts w:ascii="Arial" w:eastAsia="Times New Roman" w:hAnsi="Arial" w:cs="Arial"/>
                <w:b/>
                <w:bCs/>
                <w:color w:val="000000" w:themeColor="text1"/>
                <w:sz w:val="18"/>
                <w:szCs w:val="18"/>
              </w:rPr>
            </w:pPr>
          </w:p>
        </w:tc>
        <w:tc>
          <w:tcPr>
            <w:tcW w:w="1168" w:type="dxa"/>
            <w:tcBorders>
              <w:top w:val="single" w:sz="12" w:space="0" w:color="auto"/>
              <w:left w:val="nil"/>
              <w:bottom w:val="nil"/>
              <w:right w:val="nil"/>
            </w:tcBorders>
            <w:shd w:val="clear" w:color="auto" w:fill="auto"/>
            <w:noWrap/>
            <w:vAlign w:val="bottom"/>
          </w:tcPr>
          <w:p w14:paraId="4E68FA67" w14:textId="77777777" w:rsidR="00252822" w:rsidRPr="002910E3" w:rsidRDefault="00252822" w:rsidP="00422DD5">
            <w:pPr>
              <w:suppressAutoHyphens/>
              <w:autoSpaceDN w:val="0"/>
              <w:spacing w:line="300" w:lineRule="exact"/>
              <w:jc w:val="right"/>
              <w:rPr>
                <w:rFonts w:ascii="Arial" w:eastAsia="Times New Roman" w:hAnsi="Arial" w:cs="Arial"/>
                <w:b/>
                <w:bCs/>
                <w:color w:val="000000" w:themeColor="text1"/>
                <w:sz w:val="18"/>
                <w:szCs w:val="18"/>
              </w:rPr>
            </w:pPr>
          </w:p>
        </w:tc>
        <w:tc>
          <w:tcPr>
            <w:tcW w:w="1559" w:type="dxa"/>
            <w:tcBorders>
              <w:top w:val="single" w:sz="12" w:space="0" w:color="auto"/>
              <w:left w:val="nil"/>
              <w:bottom w:val="nil"/>
              <w:right w:val="nil"/>
            </w:tcBorders>
            <w:shd w:val="clear" w:color="auto" w:fill="auto"/>
            <w:noWrap/>
            <w:vAlign w:val="bottom"/>
          </w:tcPr>
          <w:p w14:paraId="2C5B1809" w14:textId="77777777" w:rsidR="00252822" w:rsidRPr="002910E3" w:rsidRDefault="00252822" w:rsidP="00422DD5">
            <w:pPr>
              <w:suppressAutoHyphens/>
              <w:autoSpaceDN w:val="0"/>
              <w:spacing w:line="300" w:lineRule="exact"/>
              <w:jc w:val="right"/>
              <w:rPr>
                <w:rFonts w:ascii="Arial" w:eastAsia="Times New Roman" w:hAnsi="Arial" w:cs="Arial"/>
                <w:b/>
                <w:bCs/>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3DB5EA36" w14:textId="77777777" w:rsidR="00252822" w:rsidRPr="002910E3" w:rsidRDefault="00252822" w:rsidP="00422DD5">
            <w:pPr>
              <w:suppressAutoHyphens/>
              <w:autoSpaceDN w:val="0"/>
              <w:spacing w:line="300" w:lineRule="exact"/>
              <w:jc w:val="right"/>
              <w:rPr>
                <w:rFonts w:ascii="Arial" w:eastAsia="Times New Roman" w:hAnsi="Arial" w:cs="Arial"/>
                <w:b/>
                <w:bCs/>
                <w:color w:val="000000" w:themeColor="text1"/>
                <w:sz w:val="18"/>
                <w:szCs w:val="18"/>
              </w:rPr>
            </w:pPr>
          </w:p>
        </w:tc>
      </w:tr>
      <w:tr w:rsidR="00252822" w:rsidRPr="003D1614" w14:paraId="14C14F3E" w14:textId="77777777" w:rsidTr="00422DD5">
        <w:trPr>
          <w:trHeight w:val="300"/>
        </w:trPr>
        <w:tc>
          <w:tcPr>
            <w:tcW w:w="3261" w:type="dxa"/>
            <w:tcBorders>
              <w:top w:val="nil"/>
              <w:left w:val="nil"/>
              <w:bottom w:val="nil"/>
              <w:right w:val="nil"/>
            </w:tcBorders>
            <w:shd w:val="clear" w:color="auto" w:fill="auto"/>
            <w:vAlign w:val="bottom"/>
          </w:tcPr>
          <w:p w14:paraId="62D4DB2B" w14:textId="77777777" w:rsidR="00252822" w:rsidRPr="003D1614" w:rsidRDefault="00252822" w:rsidP="00422DD5">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Obveze segmenta</w:t>
            </w:r>
          </w:p>
        </w:tc>
        <w:tc>
          <w:tcPr>
            <w:tcW w:w="1134" w:type="dxa"/>
            <w:shd w:val="clear" w:color="auto" w:fill="auto"/>
            <w:noWrap/>
          </w:tcPr>
          <w:p w14:paraId="1AE8F0B7" w14:textId="77777777" w:rsidR="00252822" w:rsidRPr="002910E3" w:rsidRDefault="00252822" w:rsidP="00422DD5">
            <w:pPr>
              <w:suppressAutoHyphens/>
              <w:autoSpaceDN w:val="0"/>
              <w:spacing w:line="300" w:lineRule="exact"/>
              <w:jc w:val="right"/>
              <w:rPr>
                <w:rFonts w:ascii="Arial" w:eastAsia="Times New Roman" w:hAnsi="Arial" w:cs="Arial"/>
                <w:color w:val="000000" w:themeColor="text1"/>
                <w:sz w:val="18"/>
                <w:szCs w:val="18"/>
              </w:rPr>
            </w:pPr>
            <w:r w:rsidRPr="006D518A">
              <w:rPr>
                <w:rFonts w:ascii="Arial" w:eastAsia="Times New Roman" w:hAnsi="Arial" w:cs="Arial"/>
                <w:color w:val="000000" w:themeColor="text1"/>
                <w:sz w:val="18"/>
                <w:szCs w:val="18"/>
              </w:rPr>
              <w:t>2.520.087</w:t>
            </w:r>
          </w:p>
        </w:tc>
        <w:tc>
          <w:tcPr>
            <w:tcW w:w="1667" w:type="dxa"/>
            <w:shd w:val="clear" w:color="auto" w:fill="auto"/>
            <w:noWrap/>
            <w:vAlign w:val="bottom"/>
          </w:tcPr>
          <w:p w14:paraId="75676C20" w14:textId="77777777" w:rsidR="00252822" w:rsidRPr="002910E3" w:rsidRDefault="00252822" w:rsidP="00422DD5">
            <w:pPr>
              <w:suppressAutoHyphens/>
              <w:autoSpaceDN w:val="0"/>
              <w:spacing w:line="300" w:lineRule="exact"/>
              <w:jc w:val="right"/>
              <w:rPr>
                <w:rFonts w:ascii="Arial" w:eastAsia="Times New Roman" w:hAnsi="Arial" w:cs="Arial"/>
                <w:color w:val="000000" w:themeColor="text1"/>
                <w:sz w:val="18"/>
                <w:szCs w:val="18"/>
              </w:rPr>
            </w:pPr>
            <w:r w:rsidRPr="006D518A">
              <w:rPr>
                <w:rFonts w:ascii="Arial" w:eastAsia="Times New Roman" w:hAnsi="Arial" w:cs="Arial"/>
                <w:color w:val="000000" w:themeColor="text1"/>
                <w:sz w:val="18"/>
                <w:szCs w:val="18"/>
              </w:rPr>
              <w:t>2.474</w:t>
            </w:r>
          </w:p>
        </w:tc>
        <w:tc>
          <w:tcPr>
            <w:tcW w:w="1168" w:type="dxa"/>
            <w:shd w:val="clear" w:color="auto" w:fill="auto"/>
            <w:noWrap/>
            <w:vAlign w:val="bottom"/>
          </w:tcPr>
          <w:p w14:paraId="1BAC0B0D" w14:textId="77777777" w:rsidR="00252822" w:rsidRPr="002910E3" w:rsidRDefault="00252822" w:rsidP="00422DD5">
            <w:pPr>
              <w:suppressAutoHyphens/>
              <w:autoSpaceDN w:val="0"/>
              <w:spacing w:line="300" w:lineRule="exact"/>
              <w:jc w:val="right"/>
              <w:rPr>
                <w:rFonts w:ascii="Arial" w:eastAsia="Times New Roman" w:hAnsi="Arial" w:cs="Arial"/>
                <w:color w:val="000000" w:themeColor="text1"/>
                <w:sz w:val="18"/>
                <w:szCs w:val="18"/>
              </w:rPr>
            </w:pPr>
            <w:r w:rsidRPr="006D518A">
              <w:rPr>
                <w:rFonts w:ascii="Arial" w:eastAsia="Times New Roman" w:hAnsi="Arial" w:cs="Arial"/>
                <w:color w:val="000000" w:themeColor="text1"/>
                <w:sz w:val="18"/>
                <w:szCs w:val="18"/>
              </w:rPr>
              <w:t>24</w:t>
            </w:r>
          </w:p>
        </w:tc>
        <w:tc>
          <w:tcPr>
            <w:tcW w:w="1559" w:type="dxa"/>
            <w:shd w:val="clear" w:color="auto" w:fill="auto"/>
            <w:noWrap/>
            <w:vAlign w:val="bottom"/>
          </w:tcPr>
          <w:p w14:paraId="3230BC47" w14:textId="77777777" w:rsidR="00252822" w:rsidRPr="002910E3" w:rsidRDefault="00252822" w:rsidP="00422DD5">
            <w:pPr>
              <w:suppressAutoHyphens/>
              <w:autoSpaceDN w:val="0"/>
              <w:spacing w:line="300" w:lineRule="exact"/>
              <w:jc w:val="right"/>
              <w:rPr>
                <w:rFonts w:ascii="Arial" w:eastAsia="Times New Roman" w:hAnsi="Arial" w:cs="Arial"/>
                <w:color w:val="000000" w:themeColor="text1"/>
                <w:sz w:val="18"/>
                <w:szCs w:val="18"/>
              </w:rPr>
            </w:pPr>
            <w:r w:rsidRPr="006D518A">
              <w:rPr>
                <w:rFonts w:ascii="Arial" w:eastAsia="Times New Roman" w:hAnsi="Arial" w:cs="Arial"/>
                <w:color w:val="000000" w:themeColor="text1"/>
                <w:sz w:val="18"/>
                <w:szCs w:val="18"/>
              </w:rPr>
              <w:t>(3)</w:t>
            </w:r>
          </w:p>
        </w:tc>
        <w:tc>
          <w:tcPr>
            <w:tcW w:w="1134" w:type="dxa"/>
            <w:shd w:val="clear" w:color="auto" w:fill="auto"/>
            <w:noWrap/>
            <w:vAlign w:val="bottom"/>
          </w:tcPr>
          <w:p w14:paraId="12B3BF5F" w14:textId="77777777" w:rsidR="00252822" w:rsidRPr="002910E3" w:rsidRDefault="00252822" w:rsidP="00422DD5">
            <w:pPr>
              <w:suppressAutoHyphens/>
              <w:autoSpaceDN w:val="0"/>
              <w:spacing w:line="300" w:lineRule="exact"/>
              <w:jc w:val="right"/>
              <w:rPr>
                <w:rFonts w:ascii="Arial" w:eastAsia="Times New Roman" w:hAnsi="Arial" w:cs="Arial"/>
                <w:color w:val="000000" w:themeColor="text1"/>
                <w:sz w:val="18"/>
                <w:szCs w:val="18"/>
              </w:rPr>
            </w:pPr>
            <w:r w:rsidRPr="006D518A">
              <w:rPr>
                <w:rFonts w:ascii="Arial" w:eastAsia="Times New Roman" w:hAnsi="Arial" w:cs="Arial"/>
                <w:color w:val="000000" w:themeColor="text1"/>
                <w:sz w:val="18"/>
                <w:szCs w:val="18"/>
              </w:rPr>
              <w:t>2.522.582</w:t>
            </w:r>
          </w:p>
        </w:tc>
      </w:tr>
      <w:tr w:rsidR="00252822" w:rsidRPr="003D1614" w14:paraId="10D84902" w14:textId="77777777" w:rsidTr="00422DD5">
        <w:trPr>
          <w:trHeight w:val="300"/>
        </w:trPr>
        <w:tc>
          <w:tcPr>
            <w:tcW w:w="3261" w:type="dxa"/>
            <w:tcBorders>
              <w:top w:val="nil"/>
              <w:left w:val="nil"/>
              <w:right w:val="nil"/>
            </w:tcBorders>
            <w:shd w:val="clear" w:color="auto" w:fill="auto"/>
            <w:vAlign w:val="bottom"/>
          </w:tcPr>
          <w:p w14:paraId="5709CC0C" w14:textId="77777777" w:rsidR="00252822" w:rsidRPr="003D1614" w:rsidRDefault="00252822" w:rsidP="00422DD5">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Ukupni kapital i rezerve</w:t>
            </w:r>
          </w:p>
        </w:tc>
        <w:tc>
          <w:tcPr>
            <w:tcW w:w="1134" w:type="dxa"/>
            <w:tcBorders>
              <w:top w:val="nil"/>
              <w:left w:val="nil"/>
              <w:bottom w:val="single" w:sz="4" w:space="0" w:color="auto"/>
              <w:right w:val="nil"/>
            </w:tcBorders>
            <w:shd w:val="clear" w:color="auto" w:fill="auto"/>
            <w:noWrap/>
          </w:tcPr>
          <w:p w14:paraId="2DE5CFFD" w14:textId="77777777" w:rsidR="00252822" w:rsidRPr="002910E3" w:rsidRDefault="00252822" w:rsidP="00422DD5">
            <w:pPr>
              <w:suppressAutoHyphens/>
              <w:autoSpaceDN w:val="0"/>
              <w:spacing w:line="300" w:lineRule="exact"/>
              <w:jc w:val="right"/>
              <w:rPr>
                <w:rFonts w:ascii="Arial" w:eastAsia="Times New Roman" w:hAnsi="Arial" w:cs="Arial"/>
                <w:color w:val="000000" w:themeColor="text1"/>
                <w:sz w:val="18"/>
                <w:szCs w:val="18"/>
              </w:rPr>
            </w:pPr>
            <w:r w:rsidRPr="006D518A">
              <w:rPr>
                <w:rFonts w:ascii="Arial" w:eastAsia="Times New Roman" w:hAnsi="Arial" w:cs="Arial"/>
                <w:color w:val="000000" w:themeColor="text1"/>
                <w:sz w:val="18"/>
                <w:szCs w:val="18"/>
              </w:rPr>
              <w:t>1.474.569</w:t>
            </w:r>
          </w:p>
        </w:tc>
        <w:tc>
          <w:tcPr>
            <w:tcW w:w="1667" w:type="dxa"/>
            <w:tcBorders>
              <w:top w:val="nil"/>
              <w:left w:val="nil"/>
              <w:bottom w:val="single" w:sz="4" w:space="0" w:color="auto"/>
              <w:right w:val="nil"/>
            </w:tcBorders>
            <w:shd w:val="clear" w:color="auto" w:fill="auto"/>
            <w:noWrap/>
            <w:vAlign w:val="bottom"/>
          </w:tcPr>
          <w:p w14:paraId="6468D867" w14:textId="77777777" w:rsidR="00252822" w:rsidRPr="002910E3" w:rsidRDefault="00252822" w:rsidP="00422DD5">
            <w:pPr>
              <w:suppressAutoHyphens/>
              <w:autoSpaceDN w:val="0"/>
              <w:spacing w:line="300" w:lineRule="exact"/>
              <w:jc w:val="right"/>
              <w:rPr>
                <w:rFonts w:ascii="Arial" w:eastAsia="Times New Roman" w:hAnsi="Arial" w:cs="Arial"/>
                <w:color w:val="000000" w:themeColor="text1"/>
                <w:sz w:val="18"/>
                <w:szCs w:val="18"/>
              </w:rPr>
            </w:pPr>
            <w:r w:rsidRPr="006D518A">
              <w:rPr>
                <w:rFonts w:ascii="Arial" w:eastAsia="Times New Roman" w:hAnsi="Arial" w:cs="Arial"/>
                <w:color w:val="000000" w:themeColor="text1"/>
                <w:sz w:val="18"/>
                <w:szCs w:val="18"/>
              </w:rPr>
              <w:t>88</w:t>
            </w:r>
          </w:p>
        </w:tc>
        <w:tc>
          <w:tcPr>
            <w:tcW w:w="1168" w:type="dxa"/>
            <w:tcBorders>
              <w:top w:val="nil"/>
              <w:left w:val="nil"/>
              <w:bottom w:val="single" w:sz="4" w:space="0" w:color="auto"/>
              <w:right w:val="nil"/>
            </w:tcBorders>
            <w:shd w:val="clear" w:color="auto" w:fill="auto"/>
            <w:noWrap/>
            <w:vAlign w:val="bottom"/>
          </w:tcPr>
          <w:p w14:paraId="2542C9CD" w14:textId="77777777" w:rsidR="00252822" w:rsidRPr="002910E3" w:rsidRDefault="00252822" w:rsidP="00422DD5">
            <w:pPr>
              <w:suppressAutoHyphens/>
              <w:autoSpaceDN w:val="0"/>
              <w:spacing w:line="300" w:lineRule="exact"/>
              <w:jc w:val="right"/>
              <w:rPr>
                <w:rFonts w:ascii="Arial" w:eastAsia="Times New Roman" w:hAnsi="Arial" w:cs="Arial"/>
                <w:color w:val="000000" w:themeColor="text1"/>
                <w:sz w:val="18"/>
                <w:szCs w:val="18"/>
              </w:rPr>
            </w:pPr>
            <w:r w:rsidRPr="006D518A">
              <w:rPr>
                <w:rFonts w:ascii="Arial" w:eastAsia="Times New Roman" w:hAnsi="Arial" w:cs="Arial"/>
                <w:color w:val="000000" w:themeColor="text1"/>
                <w:sz w:val="18"/>
                <w:szCs w:val="18"/>
              </w:rPr>
              <w:t>110</w:t>
            </w:r>
          </w:p>
        </w:tc>
        <w:tc>
          <w:tcPr>
            <w:tcW w:w="1559" w:type="dxa"/>
            <w:tcBorders>
              <w:top w:val="nil"/>
              <w:left w:val="nil"/>
              <w:bottom w:val="single" w:sz="4" w:space="0" w:color="auto"/>
              <w:right w:val="nil"/>
            </w:tcBorders>
            <w:shd w:val="clear" w:color="auto" w:fill="auto"/>
            <w:noWrap/>
            <w:vAlign w:val="bottom"/>
          </w:tcPr>
          <w:p w14:paraId="0E4483E9" w14:textId="77777777" w:rsidR="00252822" w:rsidRPr="002910E3" w:rsidRDefault="00252822" w:rsidP="00422DD5">
            <w:pPr>
              <w:suppressAutoHyphens/>
              <w:autoSpaceDN w:val="0"/>
              <w:spacing w:line="300" w:lineRule="exact"/>
              <w:jc w:val="right"/>
              <w:rPr>
                <w:rFonts w:ascii="Arial" w:eastAsia="Times New Roman" w:hAnsi="Arial" w:cs="Arial"/>
                <w:color w:val="000000" w:themeColor="text1"/>
                <w:sz w:val="18"/>
                <w:szCs w:val="18"/>
              </w:rPr>
            </w:pPr>
            <w:r w:rsidRPr="006D518A">
              <w:rPr>
                <w:rFonts w:ascii="Arial" w:eastAsia="Times New Roman" w:hAnsi="Arial" w:cs="Arial"/>
                <w:color w:val="000000" w:themeColor="text1"/>
                <w:sz w:val="18"/>
                <w:szCs w:val="18"/>
              </w:rPr>
              <w:t>156</w:t>
            </w:r>
          </w:p>
        </w:tc>
        <w:tc>
          <w:tcPr>
            <w:tcW w:w="1134" w:type="dxa"/>
            <w:tcBorders>
              <w:top w:val="nil"/>
              <w:left w:val="nil"/>
              <w:bottom w:val="single" w:sz="4" w:space="0" w:color="auto"/>
              <w:right w:val="nil"/>
            </w:tcBorders>
            <w:shd w:val="clear" w:color="auto" w:fill="auto"/>
            <w:noWrap/>
            <w:vAlign w:val="bottom"/>
          </w:tcPr>
          <w:p w14:paraId="75852B3A" w14:textId="77777777" w:rsidR="00252822" w:rsidRPr="002910E3" w:rsidRDefault="00252822" w:rsidP="00422DD5">
            <w:pPr>
              <w:suppressAutoHyphens/>
              <w:autoSpaceDN w:val="0"/>
              <w:spacing w:line="300" w:lineRule="exact"/>
              <w:jc w:val="right"/>
              <w:rPr>
                <w:rFonts w:ascii="Arial" w:eastAsia="Times New Roman" w:hAnsi="Arial" w:cs="Arial"/>
                <w:color w:val="000000" w:themeColor="text1"/>
                <w:sz w:val="18"/>
                <w:szCs w:val="18"/>
              </w:rPr>
            </w:pPr>
            <w:r w:rsidRPr="006D518A">
              <w:rPr>
                <w:rFonts w:ascii="Arial" w:eastAsia="Times New Roman" w:hAnsi="Arial" w:cs="Arial"/>
                <w:color w:val="000000" w:themeColor="text1"/>
                <w:sz w:val="18"/>
                <w:szCs w:val="18"/>
              </w:rPr>
              <w:t>1.474.923</w:t>
            </w:r>
          </w:p>
        </w:tc>
      </w:tr>
      <w:tr w:rsidR="00252822" w:rsidRPr="003D1614" w14:paraId="5AAD57EA" w14:textId="77777777" w:rsidTr="00422DD5">
        <w:trPr>
          <w:trHeight w:val="315"/>
        </w:trPr>
        <w:tc>
          <w:tcPr>
            <w:tcW w:w="3261" w:type="dxa"/>
            <w:tcBorders>
              <w:left w:val="nil"/>
              <w:right w:val="nil"/>
            </w:tcBorders>
            <w:shd w:val="clear" w:color="auto" w:fill="auto"/>
            <w:vAlign w:val="bottom"/>
          </w:tcPr>
          <w:p w14:paraId="54758BCC" w14:textId="77777777" w:rsidR="00252822" w:rsidRPr="003D1614" w:rsidRDefault="00252822" w:rsidP="00422DD5">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Ukupne obveze i kapital i rezerve</w:t>
            </w:r>
          </w:p>
        </w:tc>
        <w:tc>
          <w:tcPr>
            <w:tcW w:w="1134" w:type="dxa"/>
            <w:tcBorders>
              <w:top w:val="single" w:sz="4" w:space="0" w:color="auto"/>
              <w:left w:val="nil"/>
              <w:bottom w:val="single" w:sz="12" w:space="0" w:color="auto"/>
              <w:right w:val="nil"/>
            </w:tcBorders>
            <w:shd w:val="clear" w:color="auto" w:fill="auto"/>
            <w:noWrap/>
          </w:tcPr>
          <w:p w14:paraId="3C80E22F"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6D518A">
              <w:rPr>
                <w:rFonts w:ascii="Arial" w:eastAsia="Times New Roman" w:hAnsi="Arial" w:cs="Arial"/>
                <w:b/>
                <w:bCs/>
                <w:color w:val="000000" w:themeColor="text1"/>
                <w:sz w:val="18"/>
                <w:szCs w:val="18"/>
              </w:rPr>
              <w:t>3.994.656</w:t>
            </w:r>
          </w:p>
        </w:tc>
        <w:tc>
          <w:tcPr>
            <w:tcW w:w="1667" w:type="dxa"/>
            <w:tcBorders>
              <w:top w:val="single" w:sz="4" w:space="0" w:color="auto"/>
              <w:left w:val="nil"/>
              <w:bottom w:val="single" w:sz="12" w:space="0" w:color="auto"/>
              <w:right w:val="nil"/>
            </w:tcBorders>
            <w:shd w:val="clear" w:color="auto" w:fill="auto"/>
            <w:noWrap/>
            <w:vAlign w:val="bottom"/>
          </w:tcPr>
          <w:p w14:paraId="3771ED15"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6D518A">
              <w:rPr>
                <w:rFonts w:ascii="Arial" w:eastAsia="Times New Roman" w:hAnsi="Arial" w:cs="Arial"/>
                <w:b/>
                <w:bCs/>
                <w:color w:val="000000" w:themeColor="text1"/>
                <w:sz w:val="18"/>
                <w:szCs w:val="18"/>
              </w:rPr>
              <w:t>2.562</w:t>
            </w:r>
          </w:p>
        </w:tc>
        <w:tc>
          <w:tcPr>
            <w:tcW w:w="1168" w:type="dxa"/>
            <w:tcBorders>
              <w:top w:val="single" w:sz="4" w:space="0" w:color="auto"/>
              <w:left w:val="nil"/>
              <w:bottom w:val="single" w:sz="12" w:space="0" w:color="auto"/>
              <w:right w:val="nil"/>
            </w:tcBorders>
            <w:shd w:val="clear" w:color="auto" w:fill="auto"/>
            <w:noWrap/>
            <w:vAlign w:val="bottom"/>
          </w:tcPr>
          <w:p w14:paraId="28A10776"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6D518A">
              <w:rPr>
                <w:rFonts w:ascii="Arial" w:eastAsia="Times New Roman" w:hAnsi="Arial" w:cs="Arial"/>
                <w:b/>
                <w:bCs/>
                <w:color w:val="000000" w:themeColor="text1"/>
                <w:sz w:val="18"/>
                <w:szCs w:val="18"/>
              </w:rPr>
              <w:t>134</w:t>
            </w:r>
          </w:p>
        </w:tc>
        <w:tc>
          <w:tcPr>
            <w:tcW w:w="1559" w:type="dxa"/>
            <w:tcBorders>
              <w:top w:val="single" w:sz="4" w:space="0" w:color="auto"/>
              <w:left w:val="nil"/>
              <w:bottom w:val="single" w:sz="12" w:space="0" w:color="auto"/>
              <w:right w:val="nil"/>
            </w:tcBorders>
            <w:shd w:val="clear" w:color="auto" w:fill="auto"/>
            <w:noWrap/>
            <w:vAlign w:val="bottom"/>
          </w:tcPr>
          <w:p w14:paraId="44A8029F"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6D518A">
              <w:rPr>
                <w:rFonts w:ascii="Arial" w:eastAsia="Times New Roman" w:hAnsi="Arial" w:cs="Arial"/>
                <w:b/>
                <w:bCs/>
                <w:color w:val="000000" w:themeColor="text1"/>
                <w:sz w:val="18"/>
                <w:szCs w:val="18"/>
              </w:rPr>
              <w:t>153</w:t>
            </w:r>
          </w:p>
        </w:tc>
        <w:tc>
          <w:tcPr>
            <w:tcW w:w="1134" w:type="dxa"/>
            <w:tcBorders>
              <w:top w:val="single" w:sz="4" w:space="0" w:color="auto"/>
              <w:left w:val="nil"/>
              <w:bottom w:val="single" w:sz="12" w:space="0" w:color="auto"/>
              <w:right w:val="nil"/>
            </w:tcBorders>
            <w:shd w:val="clear" w:color="auto" w:fill="auto"/>
            <w:noWrap/>
            <w:vAlign w:val="bottom"/>
          </w:tcPr>
          <w:p w14:paraId="7C7975E9" w14:textId="77777777" w:rsidR="00252822" w:rsidRPr="003D1614" w:rsidRDefault="00252822" w:rsidP="00422DD5">
            <w:pPr>
              <w:suppressAutoHyphens/>
              <w:autoSpaceDN w:val="0"/>
              <w:spacing w:line="300" w:lineRule="exact"/>
              <w:jc w:val="right"/>
              <w:rPr>
                <w:rFonts w:ascii="Arial" w:eastAsia="Times New Roman" w:hAnsi="Arial" w:cs="Arial"/>
                <w:b/>
                <w:bCs/>
                <w:color w:val="000000" w:themeColor="text1"/>
                <w:sz w:val="18"/>
                <w:szCs w:val="18"/>
              </w:rPr>
            </w:pPr>
            <w:r w:rsidRPr="006D518A">
              <w:rPr>
                <w:rFonts w:ascii="Arial" w:eastAsia="Times New Roman" w:hAnsi="Arial" w:cs="Arial"/>
                <w:b/>
                <w:bCs/>
                <w:color w:val="000000" w:themeColor="text1"/>
                <w:sz w:val="18"/>
                <w:szCs w:val="18"/>
              </w:rPr>
              <w:t>3.997.505</w:t>
            </w:r>
          </w:p>
        </w:tc>
      </w:tr>
    </w:tbl>
    <w:p w14:paraId="3C1422B2" w14:textId="77777777" w:rsidR="00106FF5" w:rsidRPr="003D1614" w:rsidRDefault="00106FF5" w:rsidP="00106FF5">
      <w:pPr>
        <w:suppressAutoHyphens/>
        <w:autoSpaceDN w:val="0"/>
        <w:jc w:val="both"/>
        <w:rPr>
          <w:rFonts w:ascii="Arial" w:eastAsia="Times New Roman" w:hAnsi="Arial" w:cs="Arial"/>
          <w:color w:val="000000" w:themeColor="text1"/>
          <w:sz w:val="20"/>
          <w:szCs w:val="20"/>
        </w:rPr>
      </w:pPr>
    </w:p>
    <w:p w14:paraId="6B83DFD4" w14:textId="77777777" w:rsidR="00106FF5" w:rsidRPr="003D1614" w:rsidRDefault="00106FF5" w:rsidP="00106FF5">
      <w:pPr>
        <w:suppressAutoHyphens/>
        <w:autoSpaceDN w:val="0"/>
        <w:jc w:val="both"/>
        <w:rPr>
          <w:rFonts w:ascii="Arial" w:eastAsia="Times New Roman" w:hAnsi="Arial" w:cs="Arial"/>
          <w:color w:val="000000" w:themeColor="text1"/>
          <w:sz w:val="20"/>
          <w:szCs w:val="20"/>
        </w:rPr>
      </w:pPr>
    </w:p>
    <w:p w14:paraId="3D2EA7B3" w14:textId="77777777" w:rsidR="00106FF5" w:rsidRPr="003D1614" w:rsidRDefault="00106FF5" w:rsidP="00106FF5">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Međusobni odnosi između članica Grupe iskazani su u koloni „Neraspoređeno“.</w:t>
      </w:r>
    </w:p>
    <w:p w14:paraId="6FCC742A" w14:textId="77777777" w:rsidR="00106FF5" w:rsidRPr="003D1614" w:rsidRDefault="00106FF5" w:rsidP="00106FF5">
      <w:pPr>
        <w:suppressAutoHyphens/>
        <w:autoSpaceDN w:val="0"/>
        <w:jc w:val="both"/>
        <w:rPr>
          <w:rFonts w:ascii="Arial" w:eastAsia="Times New Roman" w:hAnsi="Arial" w:cs="Arial"/>
          <w:color w:val="000000" w:themeColor="text1"/>
          <w:sz w:val="20"/>
          <w:szCs w:val="20"/>
        </w:rPr>
      </w:pPr>
    </w:p>
    <w:p w14:paraId="11915696" w14:textId="77777777" w:rsidR="00106FF5" w:rsidRPr="003D1614" w:rsidRDefault="00106FF5" w:rsidP="00106FF5">
      <w:pPr>
        <w:suppressAutoHyphens/>
        <w:autoSpaceDN w:val="0"/>
        <w:jc w:val="both"/>
        <w:rPr>
          <w:rFonts w:ascii="Arial" w:eastAsia="Times New Roman" w:hAnsi="Arial" w:cs="Arial"/>
          <w:color w:val="000000" w:themeColor="text1"/>
          <w:sz w:val="20"/>
          <w:szCs w:val="20"/>
        </w:rPr>
      </w:pPr>
      <w:r w:rsidRPr="003D1614">
        <w:rPr>
          <w:rFonts w:ascii="Arial" w:eastAsia="Times New Roman" w:hAnsi="Arial" w:cs="Arial"/>
          <w:color w:val="000000" w:themeColor="text1"/>
          <w:sz w:val="20"/>
          <w:szCs w:val="20"/>
        </w:rPr>
        <w:t>Grupa se odredila za jednostavan pristup iskazivanja operativnih segmenata uvažavajući osnovni poslovni model svake članice Grupe kako je prethodno opisano u ovoj bilješci.</w:t>
      </w:r>
    </w:p>
    <w:p w14:paraId="0FB37E8E" w14:textId="77777777" w:rsidR="00106FF5" w:rsidRPr="003D1614" w:rsidRDefault="00106FF5" w:rsidP="00106FF5">
      <w:pPr>
        <w:suppressAutoHyphens/>
        <w:autoSpaceDN w:val="0"/>
        <w:jc w:val="both"/>
        <w:rPr>
          <w:rFonts w:ascii="Arial" w:eastAsia="Times New Roman" w:hAnsi="Arial" w:cs="Arial"/>
          <w:color w:val="000000" w:themeColor="text1"/>
          <w:sz w:val="20"/>
          <w:szCs w:val="20"/>
        </w:rPr>
      </w:pPr>
    </w:p>
    <w:p w14:paraId="14492D77" w14:textId="77777777" w:rsidR="00106FF5" w:rsidRDefault="00106FF5" w:rsidP="00DF6E3A">
      <w:pPr>
        <w:suppressAutoHyphens/>
        <w:autoSpaceDN w:val="0"/>
        <w:jc w:val="both"/>
        <w:rPr>
          <w:rFonts w:ascii="Arial" w:eastAsia="Calibri" w:hAnsi="Arial" w:cs="Arial"/>
          <w:color w:val="000000" w:themeColor="text1"/>
          <w:sz w:val="20"/>
          <w:szCs w:val="20"/>
        </w:rPr>
      </w:pPr>
    </w:p>
    <w:p w14:paraId="5D53CC7C" w14:textId="77777777" w:rsidR="00252822" w:rsidRDefault="00252822" w:rsidP="00DF6E3A">
      <w:pPr>
        <w:suppressAutoHyphens/>
        <w:autoSpaceDN w:val="0"/>
        <w:jc w:val="both"/>
        <w:rPr>
          <w:rFonts w:ascii="Arial" w:eastAsia="Calibri" w:hAnsi="Arial" w:cs="Arial"/>
          <w:color w:val="000000" w:themeColor="text1"/>
          <w:sz w:val="20"/>
          <w:szCs w:val="20"/>
        </w:rPr>
        <w:sectPr w:rsidR="00252822" w:rsidSect="003278AB">
          <w:footerReference w:type="default" r:id="rId31"/>
          <w:pgSz w:w="11906" w:h="16838"/>
          <w:pgMar w:top="1417" w:right="1417" w:bottom="1417" w:left="1417" w:header="708" w:footer="708" w:gutter="0"/>
          <w:cols w:space="708"/>
          <w:docGrid w:linePitch="360"/>
        </w:sectPr>
      </w:pPr>
    </w:p>
    <w:p w14:paraId="571632E8" w14:textId="77777777" w:rsidR="0053176F" w:rsidRDefault="0053176F" w:rsidP="00DF6E3A">
      <w:pPr>
        <w:suppressAutoHyphens/>
        <w:autoSpaceDN w:val="0"/>
        <w:jc w:val="both"/>
        <w:rPr>
          <w:rFonts w:ascii="Arial" w:eastAsia="Calibri" w:hAnsi="Arial" w:cs="Arial"/>
          <w:color w:val="000000" w:themeColor="text1"/>
          <w:sz w:val="20"/>
          <w:szCs w:val="20"/>
        </w:rPr>
      </w:pPr>
    </w:p>
    <w:p w14:paraId="6E76A5A0" w14:textId="77777777" w:rsidR="00123748" w:rsidRPr="003D1614" w:rsidRDefault="00123748" w:rsidP="00123748">
      <w:pPr>
        <w:suppressAutoHyphens/>
        <w:autoSpaceDN w:val="0"/>
        <w:jc w:val="both"/>
        <w:rPr>
          <w:rFonts w:ascii="Arial" w:eastAsia="Times New Roman" w:hAnsi="Arial" w:cs="Arial"/>
          <w:b/>
          <w:color w:val="000000" w:themeColor="text1"/>
          <w:sz w:val="20"/>
          <w:szCs w:val="20"/>
        </w:rPr>
      </w:pPr>
      <w:r w:rsidRPr="003D1614">
        <w:rPr>
          <w:rFonts w:ascii="Arial" w:eastAsia="Times New Roman" w:hAnsi="Arial" w:cs="Arial"/>
          <w:b/>
          <w:color w:val="000000" w:themeColor="text1"/>
          <w:spacing w:val="-3"/>
          <w:sz w:val="20"/>
          <w:szCs w:val="20"/>
        </w:rPr>
        <w:t>2</w:t>
      </w:r>
      <w:r>
        <w:rPr>
          <w:rFonts w:ascii="Arial" w:eastAsia="Times New Roman" w:hAnsi="Arial" w:cs="Arial"/>
          <w:b/>
          <w:color w:val="000000" w:themeColor="text1"/>
          <w:spacing w:val="-3"/>
          <w:sz w:val="20"/>
          <w:szCs w:val="20"/>
        </w:rPr>
        <w:t>5</w:t>
      </w:r>
      <w:r w:rsidRPr="003D1614">
        <w:rPr>
          <w:rFonts w:ascii="Arial" w:eastAsia="Times New Roman" w:hAnsi="Arial" w:cs="Arial"/>
          <w:b/>
          <w:color w:val="000000" w:themeColor="text1"/>
          <w:spacing w:val="-3"/>
          <w:sz w:val="20"/>
          <w:szCs w:val="20"/>
        </w:rPr>
        <w:t xml:space="preserve">. </w:t>
      </w:r>
      <w:r w:rsidRPr="003D1614">
        <w:rPr>
          <w:rFonts w:ascii="Arial" w:eastAsia="Times New Roman" w:hAnsi="Arial" w:cs="Arial"/>
          <w:b/>
          <w:color w:val="000000" w:themeColor="text1"/>
          <w:spacing w:val="-3"/>
          <w:sz w:val="20"/>
          <w:szCs w:val="20"/>
        </w:rPr>
        <w:tab/>
      </w:r>
      <w:r w:rsidRPr="003D1614">
        <w:rPr>
          <w:rFonts w:ascii="Arial" w:eastAsia="Times New Roman" w:hAnsi="Arial" w:cs="Arial"/>
          <w:b/>
          <w:color w:val="000000" w:themeColor="text1"/>
          <w:sz w:val="20"/>
          <w:szCs w:val="20"/>
        </w:rPr>
        <w:t>Izvještavanje po segmentima (nastavak)</w:t>
      </w:r>
    </w:p>
    <w:p w14:paraId="58BCD718" w14:textId="77777777" w:rsidR="00123748" w:rsidRPr="003D1614" w:rsidRDefault="00123748" w:rsidP="00123748">
      <w:pPr>
        <w:suppressAutoHyphens/>
        <w:autoSpaceDN w:val="0"/>
        <w:jc w:val="both"/>
        <w:rPr>
          <w:rFonts w:ascii="Arial" w:eastAsia="Calibri" w:hAnsi="Arial" w:cs="Arial"/>
          <w:color w:val="000000" w:themeColor="text1"/>
          <w:sz w:val="20"/>
          <w:szCs w:val="20"/>
        </w:rPr>
      </w:pPr>
    </w:p>
    <w:tbl>
      <w:tblPr>
        <w:tblpPr w:leftFromText="181" w:rightFromText="181" w:vertAnchor="text" w:horzAnchor="margin" w:tblpXSpec="center" w:tblpY="1"/>
        <w:tblW w:w="9923" w:type="dxa"/>
        <w:tblLayout w:type="fixed"/>
        <w:tblLook w:val="04A0" w:firstRow="1" w:lastRow="0" w:firstColumn="1" w:lastColumn="0" w:noHBand="0" w:noVBand="1"/>
      </w:tblPr>
      <w:tblGrid>
        <w:gridCol w:w="3261"/>
        <w:gridCol w:w="1134"/>
        <w:gridCol w:w="1667"/>
        <w:gridCol w:w="1168"/>
        <w:gridCol w:w="1559"/>
        <w:gridCol w:w="1134"/>
      </w:tblGrid>
      <w:tr w:rsidR="00C20CAB" w:rsidRPr="003D1614" w14:paraId="48098C3E" w14:textId="77777777" w:rsidTr="00ED5991">
        <w:trPr>
          <w:trHeight w:val="300"/>
        </w:trPr>
        <w:tc>
          <w:tcPr>
            <w:tcW w:w="3261" w:type="dxa"/>
            <w:tcBorders>
              <w:top w:val="nil"/>
              <w:left w:val="nil"/>
              <w:right w:val="nil"/>
            </w:tcBorders>
            <w:shd w:val="clear" w:color="auto" w:fill="auto"/>
            <w:vAlign w:val="bottom"/>
          </w:tcPr>
          <w:p w14:paraId="12A25690" w14:textId="77777777" w:rsidR="00C20CAB" w:rsidRPr="003D1614" w:rsidRDefault="00C20CAB" w:rsidP="00ED5991">
            <w:pPr>
              <w:suppressAutoHyphens/>
              <w:autoSpaceDN w:val="0"/>
              <w:spacing w:line="300" w:lineRule="exact"/>
              <w:rPr>
                <w:rFonts w:ascii="Arial" w:eastAsia="Times New Roman" w:hAnsi="Arial" w:cs="Arial"/>
                <w:b/>
                <w:bCs/>
                <w:color w:val="000000" w:themeColor="text1"/>
                <w:sz w:val="18"/>
                <w:szCs w:val="18"/>
              </w:rPr>
            </w:pPr>
          </w:p>
        </w:tc>
        <w:tc>
          <w:tcPr>
            <w:tcW w:w="1134" w:type="dxa"/>
            <w:tcBorders>
              <w:top w:val="nil"/>
              <w:left w:val="nil"/>
              <w:right w:val="nil"/>
            </w:tcBorders>
            <w:shd w:val="clear" w:color="auto" w:fill="auto"/>
            <w:noWrap/>
          </w:tcPr>
          <w:p w14:paraId="78DFA063" w14:textId="77777777" w:rsidR="00C20CAB" w:rsidRPr="003D1614" w:rsidRDefault="00C20CAB" w:rsidP="00ED5991">
            <w:pPr>
              <w:suppressAutoHyphens/>
              <w:autoSpaceDN w:val="0"/>
              <w:spacing w:line="300" w:lineRule="exact"/>
              <w:jc w:val="right"/>
              <w:rPr>
                <w:rFonts w:ascii="Arial" w:eastAsia="Times New Roman" w:hAnsi="Arial" w:cs="Arial"/>
                <w:b/>
                <w:color w:val="000000" w:themeColor="text1"/>
                <w:sz w:val="18"/>
                <w:szCs w:val="18"/>
              </w:rPr>
            </w:pPr>
          </w:p>
        </w:tc>
        <w:tc>
          <w:tcPr>
            <w:tcW w:w="1667" w:type="dxa"/>
            <w:tcBorders>
              <w:top w:val="nil"/>
              <w:left w:val="nil"/>
              <w:right w:val="nil"/>
            </w:tcBorders>
            <w:shd w:val="clear" w:color="auto" w:fill="auto"/>
            <w:noWrap/>
            <w:vAlign w:val="bottom"/>
          </w:tcPr>
          <w:p w14:paraId="3618E5A5" w14:textId="77777777" w:rsidR="00C20CAB" w:rsidRPr="003D1614" w:rsidRDefault="00C20CAB" w:rsidP="00ED5991">
            <w:pPr>
              <w:suppressAutoHyphens/>
              <w:autoSpaceDN w:val="0"/>
              <w:spacing w:line="300" w:lineRule="exact"/>
              <w:jc w:val="right"/>
              <w:rPr>
                <w:rFonts w:ascii="Arial" w:eastAsia="Times New Roman" w:hAnsi="Arial" w:cs="Arial"/>
                <w:b/>
                <w:color w:val="000000" w:themeColor="text1"/>
                <w:sz w:val="18"/>
                <w:szCs w:val="18"/>
              </w:rPr>
            </w:pPr>
          </w:p>
        </w:tc>
        <w:tc>
          <w:tcPr>
            <w:tcW w:w="1168" w:type="dxa"/>
            <w:tcBorders>
              <w:top w:val="nil"/>
              <w:left w:val="nil"/>
              <w:right w:val="nil"/>
            </w:tcBorders>
            <w:shd w:val="clear" w:color="auto" w:fill="auto"/>
            <w:noWrap/>
            <w:vAlign w:val="bottom"/>
          </w:tcPr>
          <w:p w14:paraId="742ECDEB" w14:textId="77777777" w:rsidR="00C20CAB" w:rsidRPr="003D1614" w:rsidRDefault="00C20CAB" w:rsidP="00ED5991">
            <w:pPr>
              <w:suppressAutoHyphens/>
              <w:autoSpaceDN w:val="0"/>
              <w:spacing w:line="300" w:lineRule="exact"/>
              <w:jc w:val="right"/>
              <w:rPr>
                <w:rFonts w:ascii="Arial" w:eastAsia="Times New Roman" w:hAnsi="Arial" w:cs="Arial"/>
                <w:b/>
                <w:color w:val="000000" w:themeColor="text1"/>
                <w:sz w:val="18"/>
                <w:szCs w:val="18"/>
              </w:rPr>
            </w:pPr>
          </w:p>
        </w:tc>
        <w:tc>
          <w:tcPr>
            <w:tcW w:w="1559" w:type="dxa"/>
            <w:tcBorders>
              <w:top w:val="nil"/>
              <w:left w:val="nil"/>
              <w:right w:val="nil"/>
            </w:tcBorders>
            <w:shd w:val="clear" w:color="auto" w:fill="auto"/>
            <w:noWrap/>
            <w:vAlign w:val="bottom"/>
          </w:tcPr>
          <w:p w14:paraId="429EAE8D" w14:textId="77777777" w:rsidR="00C20CAB" w:rsidRPr="003D1614" w:rsidRDefault="00C20CAB" w:rsidP="00ED5991">
            <w:pPr>
              <w:suppressAutoHyphens/>
              <w:autoSpaceDN w:val="0"/>
              <w:spacing w:line="300" w:lineRule="exact"/>
              <w:jc w:val="right"/>
              <w:rPr>
                <w:rFonts w:ascii="Arial" w:eastAsia="Times New Roman" w:hAnsi="Arial" w:cs="Arial"/>
                <w:b/>
                <w:color w:val="000000" w:themeColor="text1"/>
                <w:sz w:val="18"/>
                <w:szCs w:val="18"/>
              </w:rPr>
            </w:pPr>
          </w:p>
        </w:tc>
        <w:tc>
          <w:tcPr>
            <w:tcW w:w="1134" w:type="dxa"/>
            <w:tcBorders>
              <w:top w:val="nil"/>
              <w:left w:val="nil"/>
              <w:right w:val="nil"/>
            </w:tcBorders>
            <w:shd w:val="clear" w:color="auto" w:fill="auto"/>
            <w:noWrap/>
            <w:vAlign w:val="bottom"/>
          </w:tcPr>
          <w:p w14:paraId="5C9B2C91" w14:textId="77777777" w:rsidR="00C20CAB" w:rsidRPr="003D1614" w:rsidRDefault="00C20CAB" w:rsidP="00ED5991">
            <w:pPr>
              <w:suppressAutoHyphens/>
              <w:autoSpaceDN w:val="0"/>
              <w:spacing w:line="300" w:lineRule="exact"/>
              <w:jc w:val="right"/>
              <w:rPr>
                <w:rFonts w:ascii="Arial" w:eastAsia="Times New Roman" w:hAnsi="Arial" w:cs="Arial"/>
                <w:b/>
                <w:color w:val="000000" w:themeColor="text1"/>
                <w:sz w:val="18"/>
                <w:szCs w:val="18"/>
              </w:rPr>
            </w:pPr>
          </w:p>
        </w:tc>
      </w:tr>
      <w:tr w:rsidR="00C20CAB" w:rsidRPr="003D1614" w14:paraId="65D45A9E" w14:textId="77777777" w:rsidTr="00ED5991">
        <w:trPr>
          <w:trHeight w:val="600"/>
        </w:trPr>
        <w:tc>
          <w:tcPr>
            <w:tcW w:w="3261" w:type="dxa"/>
            <w:tcBorders>
              <w:left w:val="nil"/>
              <w:right w:val="nil"/>
            </w:tcBorders>
            <w:shd w:val="clear" w:color="auto" w:fill="auto"/>
            <w:vAlign w:val="bottom"/>
          </w:tcPr>
          <w:p w14:paraId="315610FF" w14:textId="77777777" w:rsidR="00C20CAB" w:rsidRPr="003D1614" w:rsidRDefault="00C20CAB" w:rsidP="00ED5991">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1. siječnja - 31. ožujka 202</w:t>
            </w:r>
            <w:r>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w:t>
            </w:r>
          </w:p>
        </w:tc>
        <w:tc>
          <w:tcPr>
            <w:tcW w:w="1134" w:type="dxa"/>
            <w:tcBorders>
              <w:left w:val="nil"/>
              <w:right w:val="nil"/>
            </w:tcBorders>
            <w:shd w:val="clear" w:color="auto" w:fill="auto"/>
          </w:tcPr>
          <w:p w14:paraId="4DD6E4BF" w14:textId="77777777" w:rsidR="00C20CAB" w:rsidRPr="003D1614" w:rsidRDefault="00C20CAB" w:rsidP="00ED5991">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Bankarske aktivnosti</w:t>
            </w:r>
          </w:p>
        </w:tc>
        <w:tc>
          <w:tcPr>
            <w:tcW w:w="1667" w:type="dxa"/>
            <w:tcBorders>
              <w:left w:val="nil"/>
              <w:right w:val="nil"/>
            </w:tcBorders>
            <w:shd w:val="clear" w:color="auto" w:fill="auto"/>
          </w:tcPr>
          <w:p w14:paraId="4812529F" w14:textId="77777777" w:rsidR="00C20CAB" w:rsidRPr="003D1614" w:rsidRDefault="00C20CAB" w:rsidP="00ED5991">
            <w:pPr>
              <w:suppressAutoHyphens/>
              <w:autoSpaceDN w:val="0"/>
              <w:spacing w:line="300" w:lineRule="exact"/>
              <w:jc w:val="right"/>
              <w:rPr>
                <w:rFonts w:ascii="Arial" w:eastAsia="Times New Roman" w:hAnsi="Arial" w:cs="Arial"/>
                <w:b/>
                <w:bCs/>
                <w:color w:val="000000" w:themeColor="text1"/>
                <w:sz w:val="18"/>
                <w:szCs w:val="18"/>
              </w:rPr>
            </w:pPr>
            <w:proofErr w:type="spellStart"/>
            <w:r w:rsidRPr="003D1614">
              <w:rPr>
                <w:rFonts w:ascii="Arial" w:eastAsia="Times New Roman" w:hAnsi="Arial" w:cs="Arial"/>
                <w:b/>
                <w:bCs/>
                <w:color w:val="000000" w:themeColor="text1"/>
                <w:sz w:val="18"/>
                <w:szCs w:val="18"/>
              </w:rPr>
              <w:t>Osiguravateljske</w:t>
            </w:r>
            <w:proofErr w:type="spellEnd"/>
            <w:r w:rsidRPr="003D1614">
              <w:rPr>
                <w:rFonts w:ascii="Arial" w:eastAsia="Times New Roman" w:hAnsi="Arial" w:cs="Arial"/>
                <w:b/>
                <w:bCs/>
                <w:color w:val="000000" w:themeColor="text1"/>
                <w:sz w:val="18"/>
                <w:szCs w:val="18"/>
              </w:rPr>
              <w:t xml:space="preserve"> aktivnosti</w:t>
            </w:r>
          </w:p>
        </w:tc>
        <w:tc>
          <w:tcPr>
            <w:tcW w:w="1168" w:type="dxa"/>
            <w:tcBorders>
              <w:left w:val="nil"/>
              <w:right w:val="nil"/>
            </w:tcBorders>
            <w:shd w:val="clear" w:color="auto" w:fill="auto"/>
          </w:tcPr>
          <w:p w14:paraId="01F8726F" w14:textId="77777777" w:rsidR="00C20CAB" w:rsidRPr="003D1614" w:rsidRDefault="00C20CAB" w:rsidP="00ED5991">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Ostale aktivnosti</w:t>
            </w:r>
          </w:p>
        </w:tc>
        <w:tc>
          <w:tcPr>
            <w:tcW w:w="1559" w:type="dxa"/>
            <w:tcBorders>
              <w:left w:val="nil"/>
              <w:right w:val="nil"/>
            </w:tcBorders>
            <w:shd w:val="clear" w:color="auto" w:fill="auto"/>
          </w:tcPr>
          <w:p w14:paraId="334AC98B" w14:textId="77777777" w:rsidR="00C20CAB" w:rsidRPr="003D1614" w:rsidRDefault="00C20CAB" w:rsidP="00ED5991">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Neraspoređeno</w:t>
            </w:r>
          </w:p>
        </w:tc>
        <w:tc>
          <w:tcPr>
            <w:tcW w:w="1134" w:type="dxa"/>
            <w:tcBorders>
              <w:left w:val="nil"/>
              <w:right w:val="nil"/>
            </w:tcBorders>
            <w:shd w:val="clear" w:color="auto" w:fill="auto"/>
          </w:tcPr>
          <w:p w14:paraId="57229C55" w14:textId="77777777" w:rsidR="00C20CAB" w:rsidRPr="003D1614" w:rsidRDefault="00C20CAB" w:rsidP="00ED5991">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Ukupno</w:t>
            </w:r>
          </w:p>
        </w:tc>
      </w:tr>
      <w:tr w:rsidR="00C20CAB" w:rsidRPr="003D1614" w14:paraId="1178E8F9" w14:textId="77777777" w:rsidTr="00ED5991">
        <w:trPr>
          <w:trHeight w:val="234"/>
        </w:trPr>
        <w:tc>
          <w:tcPr>
            <w:tcW w:w="3261" w:type="dxa"/>
            <w:tcBorders>
              <w:left w:val="nil"/>
              <w:bottom w:val="nil"/>
              <w:right w:val="nil"/>
            </w:tcBorders>
            <w:shd w:val="clear" w:color="auto" w:fill="auto"/>
            <w:vAlign w:val="bottom"/>
          </w:tcPr>
          <w:p w14:paraId="1EA55543" w14:textId="77777777" w:rsidR="00C20CAB" w:rsidRPr="003D1614" w:rsidRDefault="00C20CAB" w:rsidP="00ED5991">
            <w:pPr>
              <w:suppressAutoHyphens/>
              <w:autoSpaceDN w:val="0"/>
              <w:spacing w:line="300" w:lineRule="exact"/>
              <w:rPr>
                <w:rFonts w:ascii="Arial" w:eastAsia="Times New Roman" w:hAnsi="Arial" w:cs="Arial"/>
                <w:b/>
                <w:bCs/>
                <w:color w:val="000000" w:themeColor="text1"/>
                <w:sz w:val="18"/>
                <w:szCs w:val="18"/>
              </w:rPr>
            </w:pPr>
          </w:p>
        </w:tc>
        <w:tc>
          <w:tcPr>
            <w:tcW w:w="1134" w:type="dxa"/>
            <w:tcBorders>
              <w:left w:val="nil"/>
              <w:bottom w:val="nil"/>
              <w:right w:val="nil"/>
            </w:tcBorders>
            <w:shd w:val="clear" w:color="auto" w:fill="auto"/>
            <w:noWrap/>
            <w:vAlign w:val="bottom"/>
          </w:tcPr>
          <w:p w14:paraId="47C4BA77" w14:textId="77777777" w:rsidR="00C20CAB" w:rsidRPr="003D1614" w:rsidRDefault="00C20CAB" w:rsidP="00ED5991">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c>
          <w:tcPr>
            <w:tcW w:w="1667" w:type="dxa"/>
            <w:tcBorders>
              <w:left w:val="nil"/>
              <w:bottom w:val="nil"/>
              <w:right w:val="nil"/>
            </w:tcBorders>
            <w:shd w:val="clear" w:color="auto" w:fill="auto"/>
            <w:noWrap/>
            <w:vAlign w:val="bottom"/>
          </w:tcPr>
          <w:p w14:paraId="613239E0" w14:textId="77777777" w:rsidR="00C20CAB" w:rsidRPr="003D1614" w:rsidRDefault="00C20CAB" w:rsidP="00ED5991">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c>
          <w:tcPr>
            <w:tcW w:w="1168" w:type="dxa"/>
            <w:tcBorders>
              <w:left w:val="nil"/>
              <w:bottom w:val="nil"/>
              <w:right w:val="nil"/>
            </w:tcBorders>
            <w:shd w:val="clear" w:color="auto" w:fill="auto"/>
            <w:noWrap/>
            <w:vAlign w:val="bottom"/>
          </w:tcPr>
          <w:p w14:paraId="5EE32DA0" w14:textId="77777777" w:rsidR="00C20CAB" w:rsidRPr="003D1614" w:rsidRDefault="00C20CAB" w:rsidP="00ED5991">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c>
          <w:tcPr>
            <w:tcW w:w="1559" w:type="dxa"/>
            <w:tcBorders>
              <w:left w:val="nil"/>
              <w:bottom w:val="nil"/>
              <w:right w:val="nil"/>
            </w:tcBorders>
            <w:shd w:val="clear" w:color="auto" w:fill="auto"/>
            <w:noWrap/>
            <w:vAlign w:val="bottom"/>
          </w:tcPr>
          <w:p w14:paraId="4C5A3881" w14:textId="77777777" w:rsidR="00C20CAB" w:rsidRPr="003D1614" w:rsidRDefault="00C20CAB" w:rsidP="00ED5991">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c>
          <w:tcPr>
            <w:tcW w:w="1134" w:type="dxa"/>
            <w:tcBorders>
              <w:left w:val="nil"/>
              <w:bottom w:val="nil"/>
              <w:right w:val="nil"/>
            </w:tcBorders>
            <w:shd w:val="clear" w:color="auto" w:fill="auto"/>
            <w:noWrap/>
            <w:vAlign w:val="bottom"/>
          </w:tcPr>
          <w:p w14:paraId="3C367D7D" w14:textId="77777777" w:rsidR="00C20CAB" w:rsidRPr="003D1614" w:rsidRDefault="00C20CAB" w:rsidP="00ED5991">
            <w:pPr>
              <w:suppressAutoHyphens/>
              <w:autoSpaceDN w:val="0"/>
              <w:spacing w:line="300" w:lineRule="exact"/>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r>
      <w:tr w:rsidR="00C20CAB" w:rsidRPr="003D1614" w14:paraId="39EEF27F" w14:textId="77777777" w:rsidTr="00ED5991">
        <w:trPr>
          <w:trHeight w:val="59"/>
        </w:trPr>
        <w:tc>
          <w:tcPr>
            <w:tcW w:w="3261" w:type="dxa"/>
            <w:tcBorders>
              <w:top w:val="nil"/>
              <w:left w:val="nil"/>
              <w:bottom w:val="nil"/>
              <w:right w:val="nil"/>
            </w:tcBorders>
            <w:shd w:val="clear" w:color="auto" w:fill="auto"/>
            <w:vAlign w:val="bottom"/>
          </w:tcPr>
          <w:p w14:paraId="668E53A6" w14:textId="77777777" w:rsidR="00C20CAB" w:rsidRPr="003D1614" w:rsidRDefault="00C20CAB" w:rsidP="00ED5991">
            <w:pPr>
              <w:suppressAutoHyphens/>
              <w:autoSpaceDN w:val="0"/>
              <w:spacing w:line="140" w:lineRule="exac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noWrap/>
            <w:vAlign w:val="bottom"/>
          </w:tcPr>
          <w:p w14:paraId="7D2BF42C" w14:textId="77777777" w:rsidR="00C20CAB" w:rsidRPr="003D1614" w:rsidRDefault="00C20CAB" w:rsidP="00ED5991">
            <w:pPr>
              <w:suppressAutoHyphens/>
              <w:autoSpaceDN w:val="0"/>
              <w:spacing w:line="140" w:lineRule="exact"/>
              <w:rPr>
                <w:rFonts w:ascii="Arial" w:eastAsia="Times New Roman" w:hAnsi="Arial" w:cs="Arial"/>
                <w:color w:val="000000" w:themeColor="text1"/>
                <w:sz w:val="18"/>
                <w:szCs w:val="18"/>
              </w:rPr>
            </w:pPr>
          </w:p>
        </w:tc>
        <w:tc>
          <w:tcPr>
            <w:tcW w:w="1667" w:type="dxa"/>
            <w:tcBorders>
              <w:top w:val="nil"/>
              <w:left w:val="nil"/>
              <w:bottom w:val="nil"/>
              <w:right w:val="nil"/>
            </w:tcBorders>
            <w:shd w:val="clear" w:color="auto" w:fill="auto"/>
            <w:noWrap/>
            <w:vAlign w:val="bottom"/>
          </w:tcPr>
          <w:p w14:paraId="1A433944" w14:textId="77777777" w:rsidR="00C20CAB" w:rsidRPr="003D1614" w:rsidRDefault="00C20CAB" w:rsidP="00ED5991">
            <w:pPr>
              <w:suppressAutoHyphens/>
              <w:autoSpaceDN w:val="0"/>
              <w:spacing w:line="140" w:lineRule="exact"/>
              <w:rPr>
                <w:rFonts w:ascii="Arial" w:eastAsia="Times New Roman" w:hAnsi="Arial" w:cs="Arial"/>
                <w:color w:val="000000" w:themeColor="text1"/>
                <w:sz w:val="18"/>
                <w:szCs w:val="18"/>
              </w:rPr>
            </w:pPr>
          </w:p>
        </w:tc>
        <w:tc>
          <w:tcPr>
            <w:tcW w:w="1168" w:type="dxa"/>
            <w:tcBorders>
              <w:top w:val="nil"/>
              <w:left w:val="nil"/>
              <w:bottom w:val="nil"/>
              <w:right w:val="nil"/>
            </w:tcBorders>
            <w:shd w:val="clear" w:color="auto" w:fill="auto"/>
            <w:noWrap/>
            <w:vAlign w:val="bottom"/>
          </w:tcPr>
          <w:p w14:paraId="1FF8B428" w14:textId="77777777" w:rsidR="00C20CAB" w:rsidRPr="003D1614" w:rsidRDefault="00C20CAB" w:rsidP="00ED5991">
            <w:pPr>
              <w:suppressAutoHyphens/>
              <w:autoSpaceDN w:val="0"/>
              <w:spacing w:line="140" w:lineRule="exact"/>
              <w:rPr>
                <w:rFonts w:ascii="Arial" w:eastAsia="Times New Roman" w:hAnsi="Arial" w:cs="Arial"/>
                <w:color w:val="000000" w:themeColor="text1"/>
                <w:sz w:val="18"/>
                <w:szCs w:val="18"/>
              </w:rPr>
            </w:pPr>
          </w:p>
        </w:tc>
        <w:tc>
          <w:tcPr>
            <w:tcW w:w="1559" w:type="dxa"/>
            <w:tcBorders>
              <w:top w:val="nil"/>
              <w:left w:val="nil"/>
              <w:bottom w:val="nil"/>
              <w:right w:val="nil"/>
            </w:tcBorders>
            <w:shd w:val="clear" w:color="auto" w:fill="auto"/>
            <w:noWrap/>
            <w:vAlign w:val="bottom"/>
          </w:tcPr>
          <w:p w14:paraId="23241CD4" w14:textId="77777777" w:rsidR="00C20CAB" w:rsidRPr="003D1614" w:rsidRDefault="00C20CAB" w:rsidP="00ED5991">
            <w:pPr>
              <w:suppressAutoHyphens/>
              <w:autoSpaceDN w:val="0"/>
              <w:spacing w:line="140" w:lineRule="exac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noWrap/>
            <w:vAlign w:val="bottom"/>
          </w:tcPr>
          <w:p w14:paraId="3B72B0A1" w14:textId="77777777" w:rsidR="00C20CAB" w:rsidRPr="003D1614" w:rsidRDefault="00C20CAB" w:rsidP="00ED5991">
            <w:pPr>
              <w:suppressAutoHyphens/>
              <w:autoSpaceDN w:val="0"/>
              <w:spacing w:line="140" w:lineRule="exact"/>
              <w:rPr>
                <w:rFonts w:ascii="Arial" w:eastAsia="Times New Roman" w:hAnsi="Arial" w:cs="Arial"/>
                <w:color w:val="000000" w:themeColor="text1"/>
                <w:sz w:val="18"/>
                <w:szCs w:val="18"/>
              </w:rPr>
            </w:pPr>
          </w:p>
        </w:tc>
      </w:tr>
      <w:tr w:rsidR="00C20CAB" w:rsidRPr="003D1614" w14:paraId="6885F2EA" w14:textId="77777777" w:rsidTr="00ED5991">
        <w:trPr>
          <w:trHeight w:val="300"/>
        </w:trPr>
        <w:tc>
          <w:tcPr>
            <w:tcW w:w="3261" w:type="dxa"/>
            <w:tcBorders>
              <w:top w:val="nil"/>
              <w:left w:val="nil"/>
              <w:bottom w:val="nil"/>
              <w:right w:val="nil"/>
            </w:tcBorders>
            <w:shd w:val="clear" w:color="auto" w:fill="auto"/>
            <w:vAlign w:val="bottom"/>
          </w:tcPr>
          <w:p w14:paraId="1ED9BC18" w14:textId="77777777" w:rsidR="00C20CAB" w:rsidRPr="003D1614" w:rsidRDefault="00C20CAB" w:rsidP="00ED5991">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Neto prihod od kamata</w:t>
            </w:r>
          </w:p>
        </w:tc>
        <w:tc>
          <w:tcPr>
            <w:tcW w:w="1134" w:type="dxa"/>
            <w:shd w:val="clear" w:color="auto" w:fill="auto"/>
            <w:noWrap/>
            <w:vAlign w:val="bottom"/>
          </w:tcPr>
          <w:p w14:paraId="2211A2E9"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15.243</w:t>
            </w:r>
          </w:p>
        </w:tc>
        <w:tc>
          <w:tcPr>
            <w:tcW w:w="1667" w:type="dxa"/>
            <w:shd w:val="clear" w:color="auto" w:fill="auto"/>
            <w:noWrap/>
            <w:vAlign w:val="bottom"/>
          </w:tcPr>
          <w:p w14:paraId="19A39558"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55</w:t>
            </w:r>
          </w:p>
        </w:tc>
        <w:tc>
          <w:tcPr>
            <w:tcW w:w="1168" w:type="dxa"/>
            <w:shd w:val="clear" w:color="auto" w:fill="auto"/>
            <w:noWrap/>
            <w:vAlign w:val="bottom"/>
          </w:tcPr>
          <w:p w14:paraId="33A51C7F"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60431192"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0805FB4A"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15.298</w:t>
            </w:r>
          </w:p>
        </w:tc>
      </w:tr>
      <w:tr w:rsidR="00C20CAB" w:rsidRPr="003D1614" w14:paraId="7E3DC5EE" w14:textId="77777777" w:rsidTr="00ED5991">
        <w:trPr>
          <w:trHeight w:val="300"/>
        </w:trPr>
        <w:tc>
          <w:tcPr>
            <w:tcW w:w="3261" w:type="dxa"/>
            <w:tcBorders>
              <w:top w:val="nil"/>
              <w:left w:val="nil"/>
              <w:bottom w:val="nil"/>
              <w:right w:val="nil"/>
            </w:tcBorders>
            <w:shd w:val="clear" w:color="auto" w:fill="auto"/>
            <w:vAlign w:val="bottom"/>
          </w:tcPr>
          <w:p w14:paraId="75C4DB36" w14:textId="77777777" w:rsidR="00C20CAB" w:rsidRPr="003D1614" w:rsidRDefault="00C20CAB" w:rsidP="00ED5991">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Neto prihod od naknada</w:t>
            </w:r>
          </w:p>
        </w:tc>
        <w:tc>
          <w:tcPr>
            <w:tcW w:w="1134" w:type="dxa"/>
            <w:shd w:val="clear" w:color="auto" w:fill="auto"/>
            <w:noWrap/>
            <w:vAlign w:val="bottom"/>
          </w:tcPr>
          <w:p w14:paraId="1C1AAF84"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1.392</w:t>
            </w:r>
          </w:p>
        </w:tc>
        <w:tc>
          <w:tcPr>
            <w:tcW w:w="1667" w:type="dxa"/>
            <w:shd w:val="clear" w:color="auto" w:fill="auto"/>
            <w:noWrap/>
            <w:vAlign w:val="bottom"/>
          </w:tcPr>
          <w:p w14:paraId="46CC0909"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1C836CF2"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86</w:t>
            </w:r>
          </w:p>
        </w:tc>
        <w:tc>
          <w:tcPr>
            <w:tcW w:w="1559" w:type="dxa"/>
            <w:shd w:val="clear" w:color="auto" w:fill="auto"/>
            <w:noWrap/>
            <w:vAlign w:val="bottom"/>
          </w:tcPr>
          <w:p w14:paraId="78F74F1C"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42A2E526"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1.478</w:t>
            </w:r>
          </w:p>
        </w:tc>
      </w:tr>
      <w:tr w:rsidR="00C20CAB" w:rsidRPr="003D1614" w14:paraId="74BA3A5D" w14:textId="77777777" w:rsidTr="00ED5991">
        <w:trPr>
          <w:trHeight w:val="280"/>
        </w:trPr>
        <w:tc>
          <w:tcPr>
            <w:tcW w:w="3261" w:type="dxa"/>
            <w:tcBorders>
              <w:top w:val="nil"/>
              <w:left w:val="nil"/>
              <w:bottom w:val="nil"/>
              <w:right w:val="nil"/>
            </w:tcBorders>
            <w:shd w:val="clear" w:color="auto" w:fill="auto"/>
            <w:vAlign w:val="bottom"/>
          </w:tcPr>
          <w:p w14:paraId="22DF4794" w14:textId="77777777" w:rsidR="00C20CAB" w:rsidRPr="003D1614" w:rsidRDefault="00C20CAB" w:rsidP="00ED5991">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 xml:space="preserve">Neto prihodi/(rashodi) od financijskih aktivnosti </w:t>
            </w:r>
          </w:p>
        </w:tc>
        <w:tc>
          <w:tcPr>
            <w:tcW w:w="1134" w:type="dxa"/>
            <w:shd w:val="clear" w:color="auto" w:fill="auto"/>
            <w:noWrap/>
            <w:vAlign w:val="bottom"/>
          </w:tcPr>
          <w:p w14:paraId="6AC9C604"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2.467</w:t>
            </w:r>
          </w:p>
        </w:tc>
        <w:tc>
          <w:tcPr>
            <w:tcW w:w="1667" w:type="dxa"/>
            <w:shd w:val="clear" w:color="auto" w:fill="auto"/>
            <w:noWrap/>
            <w:vAlign w:val="bottom"/>
          </w:tcPr>
          <w:p w14:paraId="59BE6BB5"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7936DA17"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48598E4E"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2EB51A2F"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2.467</w:t>
            </w:r>
          </w:p>
        </w:tc>
      </w:tr>
      <w:tr w:rsidR="00C20CAB" w:rsidRPr="003D1614" w14:paraId="6F1D6BCD" w14:textId="77777777" w:rsidTr="00ED5991">
        <w:trPr>
          <w:trHeight w:val="280"/>
        </w:trPr>
        <w:tc>
          <w:tcPr>
            <w:tcW w:w="3261" w:type="dxa"/>
            <w:tcBorders>
              <w:top w:val="nil"/>
              <w:left w:val="nil"/>
              <w:bottom w:val="nil"/>
              <w:right w:val="nil"/>
            </w:tcBorders>
            <w:shd w:val="clear" w:color="auto" w:fill="auto"/>
            <w:vAlign w:val="bottom"/>
          </w:tcPr>
          <w:p w14:paraId="275DF1F4" w14:textId="77777777" w:rsidR="00C20CAB" w:rsidRPr="003D1614" w:rsidRDefault="00C20CAB" w:rsidP="00ED5991">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Dobitak od umanjenja vrijednosti</w:t>
            </w:r>
          </w:p>
        </w:tc>
        <w:tc>
          <w:tcPr>
            <w:tcW w:w="1134" w:type="dxa"/>
            <w:shd w:val="clear" w:color="auto" w:fill="auto"/>
            <w:noWrap/>
            <w:vAlign w:val="bottom"/>
          </w:tcPr>
          <w:p w14:paraId="5A17F455"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4.648</w:t>
            </w:r>
          </w:p>
        </w:tc>
        <w:tc>
          <w:tcPr>
            <w:tcW w:w="1667" w:type="dxa"/>
            <w:shd w:val="clear" w:color="auto" w:fill="auto"/>
            <w:noWrap/>
            <w:vAlign w:val="bottom"/>
          </w:tcPr>
          <w:p w14:paraId="640540C9"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38934C0A"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w:t>
            </w:r>
          </w:p>
        </w:tc>
        <w:tc>
          <w:tcPr>
            <w:tcW w:w="1559" w:type="dxa"/>
            <w:shd w:val="clear" w:color="auto" w:fill="auto"/>
            <w:noWrap/>
            <w:vAlign w:val="bottom"/>
          </w:tcPr>
          <w:p w14:paraId="05D9007D"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70F4819E"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4.651</w:t>
            </w:r>
          </w:p>
        </w:tc>
      </w:tr>
      <w:tr w:rsidR="00C20CAB" w:rsidRPr="003D1614" w14:paraId="525DB58D" w14:textId="77777777" w:rsidTr="00ED5991">
        <w:trPr>
          <w:trHeight w:val="300"/>
        </w:trPr>
        <w:tc>
          <w:tcPr>
            <w:tcW w:w="3261" w:type="dxa"/>
            <w:tcBorders>
              <w:top w:val="nil"/>
              <w:left w:val="nil"/>
              <w:bottom w:val="nil"/>
              <w:right w:val="nil"/>
            </w:tcBorders>
            <w:shd w:val="clear" w:color="auto" w:fill="auto"/>
            <w:vAlign w:val="bottom"/>
          </w:tcPr>
          <w:p w14:paraId="56BD9CC5" w14:textId="77777777" w:rsidR="00C20CAB" w:rsidRPr="003D1614" w:rsidRDefault="00C20CAB" w:rsidP="00ED5991">
            <w:pPr>
              <w:suppressAutoHyphens/>
              <w:autoSpaceDN w:val="0"/>
              <w:spacing w:line="300" w:lineRule="exac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Prihodi od ugovora o osiguranju</w:t>
            </w:r>
          </w:p>
        </w:tc>
        <w:tc>
          <w:tcPr>
            <w:tcW w:w="1134" w:type="dxa"/>
            <w:shd w:val="clear" w:color="auto" w:fill="auto"/>
            <w:noWrap/>
            <w:vAlign w:val="bottom"/>
          </w:tcPr>
          <w:p w14:paraId="433410CD"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667" w:type="dxa"/>
            <w:shd w:val="clear" w:color="auto" w:fill="auto"/>
            <w:noWrap/>
            <w:vAlign w:val="bottom"/>
          </w:tcPr>
          <w:p w14:paraId="3F755D24"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655</w:t>
            </w:r>
          </w:p>
        </w:tc>
        <w:tc>
          <w:tcPr>
            <w:tcW w:w="1168" w:type="dxa"/>
            <w:shd w:val="clear" w:color="auto" w:fill="auto"/>
            <w:noWrap/>
            <w:vAlign w:val="bottom"/>
          </w:tcPr>
          <w:p w14:paraId="148311A9"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0349433C"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2CA5092C"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655</w:t>
            </w:r>
          </w:p>
        </w:tc>
      </w:tr>
      <w:tr w:rsidR="00C20CAB" w:rsidRPr="003D1614" w14:paraId="600414CF" w14:textId="77777777" w:rsidTr="00ED5991">
        <w:trPr>
          <w:trHeight w:val="300"/>
        </w:trPr>
        <w:tc>
          <w:tcPr>
            <w:tcW w:w="3261" w:type="dxa"/>
            <w:tcBorders>
              <w:top w:val="nil"/>
              <w:left w:val="nil"/>
              <w:right w:val="nil"/>
            </w:tcBorders>
            <w:shd w:val="clear" w:color="auto" w:fill="auto"/>
            <w:vAlign w:val="bottom"/>
          </w:tcPr>
          <w:p w14:paraId="700AC786" w14:textId="77777777" w:rsidR="00C20CAB" w:rsidRPr="003D1614" w:rsidRDefault="00C20CAB" w:rsidP="00ED5991">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Ostali prihodi</w:t>
            </w:r>
          </w:p>
        </w:tc>
        <w:tc>
          <w:tcPr>
            <w:tcW w:w="1134" w:type="dxa"/>
            <w:tcBorders>
              <w:top w:val="nil"/>
              <w:left w:val="nil"/>
              <w:bottom w:val="single" w:sz="2" w:space="0" w:color="auto"/>
              <w:right w:val="nil"/>
            </w:tcBorders>
            <w:shd w:val="clear" w:color="auto" w:fill="auto"/>
            <w:noWrap/>
            <w:vAlign w:val="bottom"/>
          </w:tcPr>
          <w:p w14:paraId="68954FB2"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389</w:t>
            </w:r>
          </w:p>
        </w:tc>
        <w:tc>
          <w:tcPr>
            <w:tcW w:w="1667" w:type="dxa"/>
            <w:tcBorders>
              <w:top w:val="nil"/>
              <w:left w:val="nil"/>
              <w:bottom w:val="single" w:sz="2" w:space="0" w:color="auto"/>
              <w:right w:val="nil"/>
            </w:tcBorders>
            <w:shd w:val="clear" w:color="auto" w:fill="auto"/>
            <w:noWrap/>
            <w:vAlign w:val="bottom"/>
          </w:tcPr>
          <w:p w14:paraId="431F4EC8"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w:t>
            </w:r>
          </w:p>
        </w:tc>
        <w:tc>
          <w:tcPr>
            <w:tcW w:w="1168" w:type="dxa"/>
            <w:tcBorders>
              <w:top w:val="nil"/>
              <w:left w:val="nil"/>
              <w:bottom w:val="single" w:sz="2" w:space="0" w:color="auto"/>
              <w:right w:val="nil"/>
            </w:tcBorders>
            <w:shd w:val="clear" w:color="auto" w:fill="auto"/>
            <w:noWrap/>
            <w:vAlign w:val="bottom"/>
          </w:tcPr>
          <w:p w14:paraId="231E36CF"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11</w:t>
            </w:r>
          </w:p>
        </w:tc>
        <w:tc>
          <w:tcPr>
            <w:tcW w:w="1559" w:type="dxa"/>
            <w:tcBorders>
              <w:top w:val="nil"/>
              <w:left w:val="nil"/>
              <w:bottom w:val="single" w:sz="2" w:space="0" w:color="auto"/>
              <w:right w:val="nil"/>
            </w:tcBorders>
            <w:shd w:val="clear" w:color="auto" w:fill="auto"/>
            <w:noWrap/>
            <w:vAlign w:val="bottom"/>
          </w:tcPr>
          <w:p w14:paraId="5929691B"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tcBorders>
              <w:top w:val="nil"/>
              <w:left w:val="nil"/>
              <w:bottom w:val="single" w:sz="2" w:space="0" w:color="auto"/>
              <w:right w:val="nil"/>
            </w:tcBorders>
            <w:shd w:val="clear" w:color="auto" w:fill="auto"/>
            <w:noWrap/>
            <w:vAlign w:val="bottom"/>
          </w:tcPr>
          <w:p w14:paraId="24B21CB5"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402</w:t>
            </w:r>
          </w:p>
        </w:tc>
      </w:tr>
      <w:tr w:rsidR="00C20CAB" w:rsidRPr="003D1614" w14:paraId="7829DC19" w14:textId="77777777" w:rsidTr="00ED5991">
        <w:trPr>
          <w:trHeight w:val="300"/>
        </w:trPr>
        <w:tc>
          <w:tcPr>
            <w:tcW w:w="3261" w:type="dxa"/>
            <w:tcBorders>
              <w:left w:val="nil"/>
              <w:right w:val="nil"/>
            </w:tcBorders>
            <w:shd w:val="clear" w:color="auto" w:fill="auto"/>
            <w:vAlign w:val="bottom"/>
          </w:tcPr>
          <w:p w14:paraId="179F26DD" w14:textId="77777777" w:rsidR="00C20CAB" w:rsidRPr="003D1614" w:rsidRDefault="00C20CAB" w:rsidP="00ED5991">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Prihod iz poslovanja</w:t>
            </w:r>
          </w:p>
        </w:tc>
        <w:tc>
          <w:tcPr>
            <w:tcW w:w="1134" w:type="dxa"/>
            <w:tcBorders>
              <w:top w:val="single" w:sz="2" w:space="0" w:color="auto"/>
              <w:left w:val="nil"/>
              <w:bottom w:val="single" w:sz="12" w:space="0" w:color="auto"/>
              <w:right w:val="nil"/>
            </w:tcBorders>
            <w:shd w:val="clear" w:color="auto" w:fill="auto"/>
            <w:noWrap/>
            <w:vAlign w:val="bottom"/>
          </w:tcPr>
          <w:p w14:paraId="4FA2A1B5" w14:textId="77777777" w:rsidR="00C20CAB" w:rsidRPr="003D1614" w:rsidRDefault="00C20CAB" w:rsidP="00ED5991">
            <w:pPr>
              <w:suppressAutoHyphens/>
              <w:autoSpaceDN w:val="0"/>
              <w:spacing w:line="300" w:lineRule="exact"/>
              <w:jc w:val="right"/>
              <w:rPr>
                <w:rFonts w:ascii="Arial" w:eastAsia="Times New Roman" w:hAnsi="Arial" w:cs="Arial"/>
                <w:b/>
                <w:bCs/>
                <w:color w:val="000000" w:themeColor="text1"/>
                <w:sz w:val="18"/>
                <w:szCs w:val="18"/>
              </w:rPr>
            </w:pPr>
            <w:r w:rsidRPr="002910E3">
              <w:rPr>
                <w:rFonts w:ascii="Arial" w:eastAsia="Times New Roman" w:hAnsi="Arial" w:cs="Arial"/>
                <w:b/>
                <w:bCs/>
                <w:color w:val="000000" w:themeColor="text1"/>
                <w:sz w:val="18"/>
                <w:szCs w:val="18"/>
              </w:rPr>
              <w:t>24.139</w:t>
            </w:r>
          </w:p>
        </w:tc>
        <w:tc>
          <w:tcPr>
            <w:tcW w:w="1667" w:type="dxa"/>
            <w:tcBorders>
              <w:top w:val="single" w:sz="2" w:space="0" w:color="auto"/>
              <w:left w:val="nil"/>
              <w:bottom w:val="single" w:sz="12" w:space="0" w:color="auto"/>
              <w:right w:val="nil"/>
            </w:tcBorders>
            <w:shd w:val="clear" w:color="auto" w:fill="auto"/>
            <w:noWrap/>
            <w:vAlign w:val="bottom"/>
          </w:tcPr>
          <w:p w14:paraId="2D228A27" w14:textId="77777777" w:rsidR="00C20CAB" w:rsidRPr="003D1614" w:rsidRDefault="00C20CAB" w:rsidP="00ED5991">
            <w:pPr>
              <w:suppressAutoHyphens/>
              <w:autoSpaceDN w:val="0"/>
              <w:spacing w:line="300" w:lineRule="exact"/>
              <w:jc w:val="right"/>
              <w:rPr>
                <w:rFonts w:ascii="Arial" w:eastAsia="Times New Roman" w:hAnsi="Arial" w:cs="Arial"/>
                <w:b/>
                <w:bCs/>
                <w:color w:val="000000" w:themeColor="text1"/>
                <w:sz w:val="18"/>
                <w:szCs w:val="18"/>
              </w:rPr>
            </w:pPr>
            <w:r w:rsidRPr="002910E3">
              <w:rPr>
                <w:rFonts w:ascii="Arial" w:eastAsia="Times New Roman" w:hAnsi="Arial" w:cs="Arial"/>
                <w:b/>
                <w:bCs/>
                <w:color w:val="000000" w:themeColor="text1"/>
                <w:sz w:val="18"/>
                <w:szCs w:val="18"/>
              </w:rPr>
              <w:t>712</w:t>
            </w:r>
          </w:p>
        </w:tc>
        <w:tc>
          <w:tcPr>
            <w:tcW w:w="1168" w:type="dxa"/>
            <w:tcBorders>
              <w:top w:val="single" w:sz="2" w:space="0" w:color="auto"/>
              <w:left w:val="nil"/>
              <w:bottom w:val="single" w:sz="12" w:space="0" w:color="auto"/>
              <w:right w:val="nil"/>
            </w:tcBorders>
            <w:shd w:val="clear" w:color="auto" w:fill="auto"/>
            <w:noWrap/>
            <w:vAlign w:val="bottom"/>
          </w:tcPr>
          <w:p w14:paraId="211AB524" w14:textId="77777777" w:rsidR="00C20CAB" w:rsidRPr="003D1614" w:rsidRDefault="00C20CAB" w:rsidP="00ED5991">
            <w:pPr>
              <w:suppressAutoHyphens/>
              <w:autoSpaceDN w:val="0"/>
              <w:spacing w:line="300" w:lineRule="exact"/>
              <w:jc w:val="right"/>
              <w:rPr>
                <w:rFonts w:ascii="Arial" w:eastAsia="Times New Roman" w:hAnsi="Arial" w:cs="Arial"/>
                <w:b/>
                <w:bCs/>
                <w:color w:val="000000" w:themeColor="text1"/>
                <w:sz w:val="18"/>
                <w:szCs w:val="18"/>
              </w:rPr>
            </w:pPr>
            <w:r w:rsidRPr="002910E3">
              <w:rPr>
                <w:rFonts w:ascii="Arial" w:eastAsia="Times New Roman" w:hAnsi="Arial" w:cs="Arial"/>
                <w:b/>
                <w:bCs/>
                <w:color w:val="000000" w:themeColor="text1"/>
                <w:sz w:val="18"/>
                <w:szCs w:val="18"/>
              </w:rPr>
              <w:t>100</w:t>
            </w:r>
          </w:p>
        </w:tc>
        <w:tc>
          <w:tcPr>
            <w:tcW w:w="1559" w:type="dxa"/>
            <w:tcBorders>
              <w:top w:val="single" w:sz="2" w:space="0" w:color="auto"/>
              <w:left w:val="nil"/>
              <w:bottom w:val="single" w:sz="12" w:space="0" w:color="auto"/>
              <w:right w:val="nil"/>
            </w:tcBorders>
            <w:shd w:val="clear" w:color="auto" w:fill="auto"/>
            <w:noWrap/>
            <w:vAlign w:val="bottom"/>
          </w:tcPr>
          <w:p w14:paraId="18A3D7AF" w14:textId="77777777" w:rsidR="00C20CAB" w:rsidRPr="003D1614" w:rsidRDefault="00C20CAB" w:rsidP="00ED5991">
            <w:pPr>
              <w:suppressAutoHyphens/>
              <w:autoSpaceDN w:val="0"/>
              <w:spacing w:line="300" w:lineRule="exact"/>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1134" w:type="dxa"/>
            <w:tcBorders>
              <w:top w:val="single" w:sz="2" w:space="0" w:color="auto"/>
              <w:left w:val="nil"/>
              <w:bottom w:val="single" w:sz="12" w:space="0" w:color="auto"/>
              <w:right w:val="nil"/>
            </w:tcBorders>
            <w:shd w:val="clear" w:color="auto" w:fill="auto"/>
            <w:noWrap/>
            <w:vAlign w:val="bottom"/>
          </w:tcPr>
          <w:p w14:paraId="6096117D" w14:textId="77777777" w:rsidR="00C20CAB" w:rsidRPr="003D1614" w:rsidRDefault="00C20CAB" w:rsidP="00ED5991">
            <w:pPr>
              <w:suppressAutoHyphens/>
              <w:autoSpaceDN w:val="0"/>
              <w:spacing w:line="300" w:lineRule="exact"/>
              <w:jc w:val="right"/>
              <w:rPr>
                <w:rFonts w:ascii="Arial" w:eastAsia="Times New Roman" w:hAnsi="Arial" w:cs="Arial"/>
                <w:b/>
                <w:bCs/>
                <w:color w:val="000000" w:themeColor="text1"/>
                <w:sz w:val="18"/>
                <w:szCs w:val="18"/>
              </w:rPr>
            </w:pPr>
            <w:r w:rsidRPr="002910E3">
              <w:rPr>
                <w:rFonts w:ascii="Arial" w:eastAsia="Times New Roman" w:hAnsi="Arial" w:cs="Arial"/>
                <w:b/>
                <w:bCs/>
                <w:color w:val="000000" w:themeColor="text1"/>
                <w:sz w:val="18"/>
                <w:szCs w:val="18"/>
              </w:rPr>
              <w:t>24.951</w:t>
            </w:r>
          </w:p>
        </w:tc>
      </w:tr>
      <w:tr w:rsidR="00C20CAB" w:rsidRPr="003D1614" w14:paraId="6F760166" w14:textId="77777777" w:rsidTr="00ED5991">
        <w:trPr>
          <w:trHeight w:val="60"/>
        </w:trPr>
        <w:tc>
          <w:tcPr>
            <w:tcW w:w="3261" w:type="dxa"/>
            <w:tcBorders>
              <w:left w:val="nil"/>
              <w:bottom w:val="nil"/>
              <w:right w:val="nil"/>
            </w:tcBorders>
            <w:shd w:val="clear" w:color="auto" w:fill="auto"/>
            <w:vAlign w:val="bottom"/>
          </w:tcPr>
          <w:p w14:paraId="78ED964D" w14:textId="77777777" w:rsidR="00C20CAB" w:rsidRPr="003D1614" w:rsidRDefault="00C20CAB" w:rsidP="00ED5991">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4DAC057A" w14:textId="77777777" w:rsidR="00C20CAB" w:rsidRPr="003D1614" w:rsidRDefault="00C20CAB" w:rsidP="00ED5991">
            <w:pPr>
              <w:suppressAutoHyphens/>
              <w:autoSpaceDN w:val="0"/>
              <w:spacing w:line="140" w:lineRule="exact"/>
              <w:jc w:val="right"/>
              <w:rPr>
                <w:rFonts w:ascii="Arial" w:eastAsia="Times New Roman" w:hAnsi="Arial" w:cs="Arial"/>
                <w:color w:val="000000" w:themeColor="text1"/>
                <w:sz w:val="18"/>
                <w:szCs w:val="18"/>
              </w:rPr>
            </w:pPr>
          </w:p>
        </w:tc>
        <w:tc>
          <w:tcPr>
            <w:tcW w:w="1667" w:type="dxa"/>
            <w:tcBorders>
              <w:top w:val="single" w:sz="12" w:space="0" w:color="auto"/>
              <w:left w:val="nil"/>
              <w:bottom w:val="nil"/>
              <w:right w:val="nil"/>
            </w:tcBorders>
            <w:shd w:val="clear" w:color="auto" w:fill="auto"/>
            <w:noWrap/>
            <w:vAlign w:val="bottom"/>
          </w:tcPr>
          <w:p w14:paraId="5B5AFCC0" w14:textId="77777777" w:rsidR="00C20CAB" w:rsidRPr="003D1614" w:rsidRDefault="00C20CAB" w:rsidP="00ED5991">
            <w:pPr>
              <w:suppressAutoHyphens/>
              <w:autoSpaceDN w:val="0"/>
              <w:spacing w:line="140" w:lineRule="exact"/>
              <w:jc w:val="right"/>
              <w:rPr>
                <w:rFonts w:ascii="Arial" w:eastAsia="Times New Roman" w:hAnsi="Arial" w:cs="Arial"/>
                <w:color w:val="000000" w:themeColor="text1"/>
                <w:sz w:val="18"/>
                <w:szCs w:val="18"/>
              </w:rPr>
            </w:pPr>
          </w:p>
        </w:tc>
        <w:tc>
          <w:tcPr>
            <w:tcW w:w="1168" w:type="dxa"/>
            <w:tcBorders>
              <w:top w:val="single" w:sz="12" w:space="0" w:color="auto"/>
              <w:left w:val="nil"/>
              <w:bottom w:val="nil"/>
              <w:right w:val="nil"/>
            </w:tcBorders>
            <w:shd w:val="clear" w:color="auto" w:fill="auto"/>
            <w:noWrap/>
            <w:vAlign w:val="bottom"/>
          </w:tcPr>
          <w:p w14:paraId="4C9F2D03" w14:textId="77777777" w:rsidR="00C20CAB" w:rsidRPr="003D1614" w:rsidRDefault="00C20CAB" w:rsidP="00ED5991">
            <w:pPr>
              <w:suppressAutoHyphens/>
              <w:autoSpaceDN w:val="0"/>
              <w:spacing w:line="140" w:lineRule="exact"/>
              <w:jc w:val="right"/>
              <w:rPr>
                <w:rFonts w:ascii="Arial" w:eastAsia="Times New Roman" w:hAnsi="Arial" w:cs="Arial"/>
                <w:color w:val="000000" w:themeColor="text1"/>
                <w:sz w:val="18"/>
                <w:szCs w:val="18"/>
              </w:rPr>
            </w:pPr>
          </w:p>
        </w:tc>
        <w:tc>
          <w:tcPr>
            <w:tcW w:w="1559" w:type="dxa"/>
            <w:tcBorders>
              <w:top w:val="single" w:sz="12" w:space="0" w:color="auto"/>
              <w:left w:val="nil"/>
              <w:bottom w:val="nil"/>
              <w:right w:val="nil"/>
            </w:tcBorders>
            <w:shd w:val="clear" w:color="auto" w:fill="auto"/>
            <w:noWrap/>
            <w:vAlign w:val="bottom"/>
          </w:tcPr>
          <w:p w14:paraId="118EAF13" w14:textId="77777777" w:rsidR="00C20CAB" w:rsidRPr="003D1614" w:rsidRDefault="00C20CAB" w:rsidP="00ED5991">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29DF1D5B" w14:textId="77777777" w:rsidR="00C20CAB" w:rsidRPr="003D1614" w:rsidRDefault="00C20CAB" w:rsidP="00ED5991">
            <w:pPr>
              <w:suppressAutoHyphens/>
              <w:autoSpaceDN w:val="0"/>
              <w:spacing w:line="140" w:lineRule="exact"/>
              <w:jc w:val="right"/>
              <w:rPr>
                <w:rFonts w:ascii="Arial" w:eastAsia="Times New Roman" w:hAnsi="Arial" w:cs="Arial"/>
                <w:color w:val="000000" w:themeColor="text1"/>
                <w:sz w:val="18"/>
                <w:szCs w:val="18"/>
              </w:rPr>
            </w:pPr>
          </w:p>
        </w:tc>
      </w:tr>
      <w:tr w:rsidR="00C20CAB" w:rsidRPr="003D1614" w14:paraId="2C90A1B4" w14:textId="77777777" w:rsidTr="00ED5991">
        <w:trPr>
          <w:trHeight w:val="300"/>
        </w:trPr>
        <w:tc>
          <w:tcPr>
            <w:tcW w:w="3261" w:type="dxa"/>
            <w:tcBorders>
              <w:top w:val="nil"/>
              <w:left w:val="nil"/>
              <w:bottom w:val="nil"/>
              <w:right w:val="nil"/>
            </w:tcBorders>
            <w:shd w:val="clear" w:color="auto" w:fill="auto"/>
            <w:vAlign w:val="bottom"/>
          </w:tcPr>
          <w:p w14:paraId="1D20A1FD" w14:textId="77777777" w:rsidR="00C20CAB" w:rsidRPr="003D1614" w:rsidRDefault="00C20CAB" w:rsidP="00ED5991">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Operativni troškovi</w:t>
            </w:r>
          </w:p>
        </w:tc>
        <w:tc>
          <w:tcPr>
            <w:tcW w:w="1134" w:type="dxa"/>
            <w:shd w:val="clear" w:color="auto" w:fill="auto"/>
            <w:noWrap/>
            <w:vAlign w:val="bottom"/>
          </w:tcPr>
          <w:p w14:paraId="07F32B2C"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(5.664)</w:t>
            </w:r>
          </w:p>
        </w:tc>
        <w:tc>
          <w:tcPr>
            <w:tcW w:w="1667" w:type="dxa"/>
            <w:shd w:val="clear" w:color="auto" w:fill="auto"/>
            <w:noWrap/>
            <w:vAlign w:val="bottom"/>
          </w:tcPr>
          <w:p w14:paraId="16CBFCAC"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(179)</w:t>
            </w:r>
          </w:p>
        </w:tc>
        <w:tc>
          <w:tcPr>
            <w:tcW w:w="1168" w:type="dxa"/>
            <w:shd w:val="clear" w:color="auto" w:fill="auto"/>
            <w:noWrap/>
            <w:vAlign w:val="bottom"/>
          </w:tcPr>
          <w:p w14:paraId="2AA9031D"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(72)</w:t>
            </w:r>
          </w:p>
        </w:tc>
        <w:tc>
          <w:tcPr>
            <w:tcW w:w="1559" w:type="dxa"/>
            <w:shd w:val="clear" w:color="auto" w:fill="auto"/>
            <w:noWrap/>
            <w:vAlign w:val="bottom"/>
          </w:tcPr>
          <w:p w14:paraId="30E944F4"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0007212E"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(5.915)</w:t>
            </w:r>
          </w:p>
        </w:tc>
      </w:tr>
      <w:tr w:rsidR="00C20CAB" w:rsidRPr="003D1614" w14:paraId="57C3999F" w14:textId="77777777" w:rsidTr="00ED5991">
        <w:trPr>
          <w:trHeight w:val="600"/>
        </w:trPr>
        <w:tc>
          <w:tcPr>
            <w:tcW w:w="3261" w:type="dxa"/>
            <w:tcBorders>
              <w:top w:val="nil"/>
              <w:left w:val="nil"/>
              <w:bottom w:val="nil"/>
              <w:right w:val="nil"/>
            </w:tcBorders>
            <w:shd w:val="clear" w:color="auto" w:fill="auto"/>
            <w:vAlign w:val="bottom"/>
          </w:tcPr>
          <w:p w14:paraId="43982E83" w14:textId="77777777" w:rsidR="00C20CAB" w:rsidRPr="003D1614" w:rsidRDefault="00C20CAB" w:rsidP="00ED5991">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Gubitak od umanjenja vrijednosti i rezerviranja</w:t>
            </w:r>
          </w:p>
        </w:tc>
        <w:tc>
          <w:tcPr>
            <w:tcW w:w="1134" w:type="dxa"/>
            <w:shd w:val="clear" w:color="auto" w:fill="auto"/>
            <w:noWrap/>
            <w:vAlign w:val="bottom"/>
          </w:tcPr>
          <w:p w14:paraId="403D40F0"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667" w:type="dxa"/>
            <w:shd w:val="clear" w:color="auto" w:fill="auto"/>
            <w:noWrap/>
            <w:vAlign w:val="bottom"/>
          </w:tcPr>
          <w:p w14:paraId="08F11FDE"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(5)</w:t>
            </w:r>
          </w:p>
        </w:tc>
        <w:tc>
          <w:tcPr>
            <w:tcW w:w="1168" w:type="dxa"/>
            <w:shd w:val="clear" w:color="auto" w:fill="auto"/>
            <w:noWrap/>
            <w:vAlign w:val="bottom"/>
          </w:tcPr>
          <w:p w14:paraId="2560319C"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765BFCB8"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41FB10E3"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(5)</w:t>
            </w:r>
          </w:p>
        </w:tc>
      </w:tr>
      <w:tr w:rsidR="00C20CAB" w:rsidRPr="003D1614" w14:paraId="27E11D08" w14:textId="77777777" w:rsidTr="00ED5991">
        <w:trPr>
          <w:trHeight w:val="310"/>
        </w:trPr>
        <w:tc>
          <w:tcPr>
            <w:tcW w:w="3261" w:type="dxa"/>
            <w:tcBorders>
              <w:top w:val="nil"/>
              <w:left w:val="nil"/>
              <w:bottom w:val="nil"/>
              <w:right w:val="nil"/>
            </w:tcBorders>
            <w:shd w:val="clear" w:color="auto" w:fill="auto"/>
            <w:vAlign w:val="bottom"/>
          </w:tcPr>
          <w:p w14:paraId="05E95BB5" w14:textId="77777777" w:rsidR="00C20CAB" w:rsidRPr="003D1614" w:rsidRDefault="00C20CAB" w:rsidP="00ED5991">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Izdaci za osigurane slučajeve</w:t>
            </w:r>
          </w:p>
        </w:tc>
        <w:tc>
          <w:tcPr>
            <w:tcW w:w="1134" w:type="dxa"/>
            <w:shd w:val="clear" w:color="auto" w:fill="auto"/>
            <w:noWrap/>
            <w:vAlign w:val="bottom"/>
          </w:tcPr>
          <w:p w14:paraId="646FD44B"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667" w:type="dxa"/>
            <w:shd w:val="clear" w:color="auto" w:fill="auto"/>
            <w:noWrap/>
            <w:vAlign w:val="bottom"/>
          </w:tcPr>
          <w:p w14:paraId="31301B29"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1D8ECC8A"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0A49790B"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3FB5433C"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C20CAB" w:rsidRPr="003D1614" w14:paraId="166DBF1A" w14:textId="77777777" w:rsidTr="00ED5991">
        <w:trPr>
          <w:trHeight w:val="300"/>
        </w:trPr>
        <w:tc>
          <w:tcPr>
            <w:tcW w:w="3261" w:type="dxa"/>
            <w:tcBorders>
              <w:top w:val="nil"/>
              <w:left w:val="nil"/>
              <w:bottom w:val="nil"/>
              <w:right w:val="nil"/>
            </w:tcBorders>
            <w:shd w:val="clear" w:color="auto" w:fill="auto"/>
            <w:vAlign w:val="bottom"/>
          </w:tcPr>
          <w:p w14:paraId="02237348" w14:textId="77777777" w:rsidR="00C20CAB" w:rsidRPr="003D1614" w:rsidRDefault="00C20CAB" w:rsidP="00ED5991">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Neto promjena pričuva</w:t>
            </w:r>
          </w:p>
        </w:tc>
        <w:tc>
          <w:tcPr>
            <w:tcW w:w="1134" w:type="dxa"/>
            <w:shd w:val="clear" w:color="auto" w:fill="auto"/>
            <w:noWrap/>
            <w:vAlign w:val="bottom"/>
          </w:tcPr>
          <w:p w14:paraId="250A4D8D"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667" w:type="dxa"/>
            <w:shd w:val="clear" w:color="auto" w:fill="auto"/>
            <w:noWrap/>
            <w:vAlign w:val="bottom"/>
          </w:tcPr>
          <w:p w14:paraId="174DDD24"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68" w:type="dxa"/>
            <w:shd w:val="clear" w:color="auto" w:fill="auto"/>
            <w:noWrap/>
            <w:vAlign w:val="bottom"/>
          </w:tcPr>
          <w:p w14:paraId="21295A10"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shd w:val="clear" w:color="auto" w:fill="auto"/>
            <w:noWrap/>
            <w:vAlign w:val="bottom"/>
          </w:tcPr>
          <w:p w14:paraId="4A70E331"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vAlign w:val="bottom"/>
          </w:tcPr>
          <w:p w14:paraId="67C89E4C"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C20CAB" w:rsidRPr="003D1614" w14:paraId="5C775377" w14:textId="77777777" w:rsidTr="00ED5991">
        <w:trPr>
          <w:trHeight w:val="300"/>
        </w:trPr>
        <w:tc>
          <w:tcPr>
            <w:tcW w:w="3261" w:type="dxa"/>
            <w:tcBorders>
              <w:top w:val="nil"/>
              <w:left w:val="nil"/>
              <w:right w:val="nil"/>
            </w:tcBorders>
            <w:shd w:val="clear" w:color="auto" w:fill="auto"/>
            <w:vAlign w:val="bottom"/>
          </w:tcPr>
          <w:p w14:paraId="0B48F4BB" w14:textId="77777777" w:rsidR="00C20CAB" w:rsidRPr="003D1614" w:rsidRDefault="00C20CAB" w:rsidP="00ED5991">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Ostali rashodi</w:t>
            </w:r>
          </w:p>
        </w:tc>
        <w:tc>
          <w:tcPr>
            <w:tcW w:w="1134" w:type="dxa"/>
            <w:tcBorders>
              <w:top w:val="nil"/>
              <w:left w:val="nil"/>
              <w:bottom w:val="single" w:sz="4" w:space="0" w:color="auto"/>
              <w:right w:val="nil"/>
            </w:tcBorders>
            <w:shd w:val="clear" w:color="auto" w:fill="auto"/>
            <w:noWrap/>
            <w:vAlign w:val="bottom"/>
          </w:tcPr>
          <w:p w14:paraId="08E16AD3"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667" w:type="dxa"/>
            <w:tcBorders>
              <w:top w:val="nil"/>
              <w:left w:val="nil"/>
              <w:bottom w:val="single" w:sz="4" w:space="0" w:color="auto"/>
              <w:right w:val="nil"/>
            </w:tcBorders>
            <w:shd w:val="clear" w:color="auto" w:fill="auto"/>
            <w:noWrap/>
            <w:vAlign w:val="bottom"/>
          </w:tcPr>
          <w:p w14:paraId="4ACBDFAB"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(368)</w:t>
            </w:r>
          </w:p>
        </w:tc>
        <w:tc>
          <w:tcPr>
            <w:tcW w:w="1168" w:type="dxa"/>
            <w:tcBorders>
              <w:top w:val="nil"/>
              <w:left w:val="nil"/>
              <w:bottom w:val="single" w:sz="4" w:space="0" w:color="auto"/>
              <w:right w:val="nil"/>
            </w:tcBorders>
            <w:shd w:val="clear" w:color="auto" w:fill="auto"/>
            <w:noWrap/>
            <w:vAlign w:val="bottom"/>
          </w:tcPr>
          <w:p w14:paraId="0A5073BF"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559" w:type="dxa"/>
            <w:tcBorders>
              <w:top w:val="nil"/>
              <w:left w:val="nil"/>
              <w:bottom w:val="single" w:sz="4" w:space="0" w:color="auto"/>
              <w:right w:val="nil"/>
            </w:tcBorders>
            <w:shd w:val="clear" w:color="auto" w:fill="auto"/>
            <w:noWrap/>
            <w:vAlign w:val="bottom"/>
          </w:tcPr>
          <w:p w14:paraId="4B752AF2"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tcBorders>
              <w:top w:val="nil"/>
              <w:left w:val="nil"/>
              <w:bottom w:val="single" w:sz="4" w:space="0" w:color="auto"/>
              <w:right w:val="nil"/>
            </w:tcBorders>
            <w:shd w:val="clear" w:color="auto" w:fill="auto"/>
            <w:noWrap/>
            <w:vAlign w:val="bottom"/>
          </w:tcPr>
          <w:p w14:paraId="68FD6778"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(368)</w:t>
            </w:r>
          </w:p>
        </w:tc>
      </w:tr>
      <w:tr w:rsidR="00C20CAB" w:rsidRPr="003D1614" w14:paraId="34A849FB" w14:textId="77777777" w:rsidTr="00ED5991">
        <w:trPr>
          <w:trHeight w:val="300"/>
        </w:trPr>
        <w:tc>
          <w:tcPr>
            <w:tcW w:w="3261" w:type="dxa"/>
            <w:tcBorders>
              <w:left w:val="nil"/>
              <w:right w:val="nil"/>
            </w:tcBorders>
            <w:shd w:val="clear" w:color="auto" w:fill="auto"/>
            <w:vAlign w:val="bottom"/>
          </w:tcPr>
          <w:p w14:paraId="68C9D325" w14:textId="77777777" w:rsidR="00C20CAB" w:rsidRPr="003D1614" w:rsidRDefault="00C20CAB" w:rsidP="00ED5991">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Troškovi poslovanja</w:t>
            </w:r>
          </w:p>
        </w:tc>
        <w:tc>
          <w:tcPr>
            <w:tcW w:w="1134" w:type="dxa"/>
            <w:tcBorders>
              <w:top w:val="single" w:sz="4" w:space="0" w:color="auto"/>
              <w:left w:val="nil"/>
              <w:bottom w:val="single" w:sz="12" w:space="0" w:color="auto"/>
              <w:right w:val="nil"/>
            </w:tcBorders>
            <w:shd w:val="clear" w:color="auto" w:fill="auto"/>
            <w:noWrap/>
          </w:tcPr>
          <w:p w14:paraId="21B62742" w14:textId="77777777" w:rsidR="00C20CAB" w:rsidRPr="003D1614" w:rsidRDefault="00C20CAB" w:rsidP="00ED5991">
            <w:pPr>
              <w:suppressAutoHyphens/>
              <w:autoSpaceDN w:val="0"/>
              <w:spacing w:line="300" w:lineRule="exact"/>
              <w:jc w:val="right"/>
              <w:rPr>
                <w:rFonts w:ascii="Arial" w:eastAsia="Times New Roman" w:hAnsi="Arial" w:cs="Arial"/>
                <w:b/>
                <w:bCs/>
                <w:color w:val="000000" w:themeColor="text1"/>
                <w:sz w:val="18"/>
                <w:szCs w:val="18"/>
              </w:rPr>
            </w:pPr>
            <w:r w:rsidRPr="002910E3">
              <w:rPr>
                <w:rFonts w:ascii="Arial" w:eastAsia="Times New Roman" w:hAnsi="Arial" w:cs="Arial"/>
                <w:b/>
                <w:bCs/>
                <w:color w:val="000000" w:themeColor="text1"/>
                <w:sz w:val="18"/>
                <w:szCs w:val="18"/>
              </w:rPr>
              <w:t>(5.664)</w:t>
            </w:r>
          </w:p>
        </w:tc>
        <w:tc>
          <w:tcPr>
            <w:tcW w:w="1667" w:type="dxa"/>
            <w:tcBorders>
              <w:top w:val="single" w:sz="4" w:space="0" w:color="auto"/>
              <w:left w:val="nil"/>
              <w:bottom w:val="single" w:sz="12" w:space="0" w:color="auto"/>
              <w:right w:val="nil"/>
            </w:tcBorders>
            <w:shd w:val="clear" w:color="auto" w:fill="auto"/>
            <w:noWrap/>
          </w:tcPr>
          <w:p w14:paraId="640CC945" w14:textId="77777777" w:rsidR="00C20CAB" w:rsidRPr="003D1614" w:rsidRDefault="00C20CAB" w:rsidP="00ED5991">
            <w:pPr>
              <w:suppressAutoHyphens/>
              <w:autoSpaceDN w:val="0"/>
              <w:spacing w:line="300" w:lineRule="exact"/>
              <w:jc w:val="right"/>
              <w:rPr>
                <w:rFonts w:ascii="Arial" w:eastAsia="Times New Roman" w:hAnsi="Arial" w:cs="Arial"/>
                <w:b/>
                <w:bCs/>
                <w:color w:val="000000" w:themeColor="text1"/>
                <w:sz w:val="18"/>
                <w:szCs w:val="18"/>
              </w:rPr>
            </w:pPr>
            <w:r w:rsidRPr="002910E3">
              <w:rPr>
                <w:rFonts w:ascii="Arial" w:eastAsia="Times New Roman" w:hAnsi="Arial" w:cs="Arial"/>
                <w:b/>
                <w:bCs/>
                <w:color w:val="000000" w:themeColor="text1"/>
                <w:sz w:val="18"/>
                <w:szCs w:val="18"/>
              </w:rPr>
              <w:t xml:space="preserve"> (552)</w:t>
            </w:r>
          </w:p>
        </w:tc>
        <w:tc>
          <w:tcPr>
            <w:tcW w:w="1168" w:type="dxa"/>
            <w:tcBorders>
              <w:top w:val="single" w:sz="4" w:space="0" w:color="auto"/>
              <w:left w:val="nil"/>
              <w:bottom w:val="single" w:sz="12" w:space="0" w:color="auto"/>
              <w:right w:val="nil"/>
            </w:tcBorders>
            <w:shd w:val="clear" w:color="auto" w:fill="auto"/>
            <w:noWrap/>
          </w:tcPr>
          <w:p w14:paraId="5992420B" w14:textId="77777777" w:rsidR="00C20CAB" w:rsidRPr="003D1614" w:rsidRDefault="00C20CAB" w:rsidP="00ED5991">
            <w:pPr>
              <w:suppressAutoHyphens/>
              <w:autoSpaceDN w:val="0"/>
              <w:spacing w:line="300" w:lineRule="exact"/>
              <w:jc w:val="right"/>
              <w:rPr>
                <w:rFonts w:ascii="Arial" w:eastAsia="Times New Roman" w:hAnsi="Arial" w:cs="Arial"/>
                <w:b/>
                <w:bCs/>
                <w:color w:val="000000" w:themeColor="text1"/>
                <w:sz w:val="18"/>
                <w:szCs w:val="18"/>
              </w:rPr>
            </w:pPr>
            <w:r w:rsidRPr="002910E3">
              <w:rPr>
                <w:rFonts w:ascii="Arial" w:eastAsia="Times New Roman" w:hAnsi="Arial" w:cs="Arial"/>
                <w:b/>
                <w:bCs/>
                <w:color w:val="000000" w:themeColor="text1"/>
                <w:sz w:val="18"/>
                <w:szCs w:val="18"/>
              </w:rPr>
              <w:t xml:space="preserve"> (72)</w:t>
            </w:r>
          </w:p>
        </w:tc>
        <w:tc>
          <w:tcPr>
            <w:tcW w:w="1559" w:type="dxa"/>
            <w:tcBorders>
              <w:top w:val="single" w:sz="4" w:space="0" w:color="auto"/>
              <w:left w:val="nil"/>
              <w:bottom w:val="single" w:sz="12" w:space="0" w:color="auto"/>
              <w:right w:val="nil"/>
            </w:tcBorders>
            <w:shd w:val="clear" w:color="auto" w:fill="auto"/>
            <w:noWrap/>
          </w:tcPr>
          <w:p w14:paraId="5AFC8200" w14:textId="77777777" w:rsidR="00C20CAB" w:rsidRPr="003D1614" w:rsidRDefault="00C20CAB" w:rsidP="00ED5991">
            <w:pPr>
              <w:suppressAutoHyphens/>
              <w:autoSpaceDN w:val="0"/>
              <w:spacing w:line="300" w:lineRule="exact"/>
              <w:jc w:val="right"/>
              <w:rPr>
                <w:rFonts w:ascii="Arial" w:eastAsia="Times New Roman" w:hAnsi="Arial" w:cs="Arial"/>
                <w:b/>
                <w:bCs/>
                <w:color w:val="000000" w:themeColor="text1"/>
                <w:sz w:val="18"/>
                <w:szCs w:val="18"/>
              </w:rPr>
            </w:pPr>
            <w:r w:rsidRPr="002910E3">
              <w:rPr>
                <w:rFonts w:ascii="Arial" w:eastAsia="Times New Roman" w:hAnsi="Arial" w:cs="Arial"/>
                <w:b/>
                <w:bCs/>
                <w:color w:val="000000" w:themeColor="text1"/>
                <w:sz w:val="18"/>
                <w:szCs w:val="18"/>
              </w:rPr>
              <w:t xml:space="preserve"> - </w:t>
            </w:r>
          </w:p>
        </w:tc>
        <w:tc>
          <w:tcPr>
            <w:tcW w:w="1134" w:type="dxa"/>
            <w:tcBorders>
              <w:top w:val="single" w:sz="4" w:space="0" w:color="auto"/>
              <w:left w:val="nil"/>
              <w:bottom w:val="single" w:sz="12" w:space="0" w:color="auto"/>
              <w:right w:val="nil"/>
            </w:tcBorders>
            <w:shd w:val="clear" w:color="auto" w:fill="auto"/>
            <w:noWrap/>
          </w:tcPr>
          <w:p w14:paraId="24142A52" w14:textId="77777777" w:rsidR="00C20CAB" w:rsidRPr="003D1614" w:rsidRDefault="00C20CAB" w:rsidP="00ED5991">
            <w:pPr>
              <w:suppressAutoHyphens/>
              <w:autoSpaceDN w:val="0"/>
              <w:spacing w:line="300" w:lineRule="exact"/>
              <w:jc w:val="right"/>
              <w:rPr>
                <w:rFonts w:ascii="Arial" w:eastAsia="Times New Roman" w:hAnsi="Arial" w:cs="Arial"/>
                <w:b/>
                <w:bCs/>
                <w:color w:val="000000" w:themeColor="text1"/>
                <w:sz w:val="18"/>
                <w:szCs w:val="18"/>
              </w:rPr>
            </w:pPr>
            <w:r w:rsidRPr="002910E3">
              <w:rPr>
                <w:rFonts w:ascii="Arial" w:eastAsia="Times New Roman" w:hAnsi="Arial" w:cs="Arial"/>
                <w:b/>
                <w:bCs/>
                <w:color w:val="000000" w:themeColor="text1"/>
                <w:sz w:val="18"/>
                <w:szCs w:val="18"/>
              </w:rPr>
              <w:t xml:space="preserve"> (6.288)</w:t>
            </w:r>
          </w:p>
        </w:tc>
      </w:tr>
      <w:tr w:rsidR="00C20CAB" w:rsidRPr="003D1614" w14:paraId="6794A5A3" w14:textId="77777777" w:rsidTr="00ED5991">
        <w:trPr>
          <w:trHeight w:val="174"/>
        </w:trPr>
        <w:tc>
          <w:tcPr>
            <w:tcW w:w="3261" w:type="dxa"/>
            <w:tcBorders>
              <w:left w:val="nil"/>
              <w:bottom w:val="nil"/>
              <w:right w:val="nil"/>
            </w:tcBorders>
            <w:shd w:val="clear" w:color="auto" w:fill="auto"/>
            <w:vAlign w:val="bottom"/>
          </w:tcPr>
          <w:p w14:paraId="372AF2E2" w14:textId="77777777" w:rsidR="00C20CAB" w:rsidRPr="003D1614" w:rsidRDefault="00C20CAB" w:rsidP="00ED5991">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05B493A2" w14:textId="77777777" w:rsidR="00C20CAB" w:rsidRPr="003D1614" w:rsidRDefault="00C20CAB" w:rsidP="00ED5991">
            <w:pPr>
              <w:suppressAutoHyphens/>
              <w:autoSpaceDN w:val="0"/>
              <w:spacing w:line="140" w:lineRule="exact"/>
              <w:jc w:val="right"/>
              <w:rPr>
                <w:rFonts w:ascii="Arial" w:eastAsia="Times New Roman" w:hAnsi="Arial" w:cs="Arial"/>
                <w:color w:val="000000" w:themeColor="text1"/>
                <w:sz w:val="18"/>
                <w:szCs w:val="18"/>
              </w:rPr>
            </w:pPr>
          </w:p>
        </w:tc>
        <w:tc>
          <w:tcPr>
            <w:tcW w:w="1667" w:type="dxa"/>
            <w:tcBorders>
              <w:top w:val="single" w:sz="12" w:space="0" w:color="auto"/>
              <w:left w:val="nil"/>
              <w:bottom w:val="nil"/>
              <w:right w:val="nil"/>
            </w:tcBorders>
            <w:shd w:val="clear" w:color="auto" w:fill="auto"/>
            <w:noWrap/>
            <w:vAlign w:val="bottom"/>
          </w:tcPr>
          <w:p w14:paraId="7B9064EC" w14:textId="77777777" w:rsidR="00C20CAB" w:rsidRPr="003D1614" w:rsidRDefault="00C20CAB" w:rsidP="00ED5991">
            <w:pPr>
              <w:suppressAutoHyphens/>
              <w:autoSpaceDN w:val="0"/>
              <w:spacing w:line="140" w:lineRule="exact"/>
              <w:jc w:val="right"/>
              <w:rPr>
                <w:rFonts w:ascii="Arial" w:eastAsia="Times New Roman" w:hAnsi="Arial" w:cs="Arial"/>
                <w:color w:val="000000" w:themeColor="text1"/>
                <w:sz w:val="18"/>
                <w:szCs w:val="18"/>
              </w:rPr>
            </w:pPr>
          </w:p>
        </w:tc>
        <w:tc>
          <w:tcPr>
            <w:tcW w:w="1168" w:type="dxa"/>
            <w:tcBorders>
              <w:top w:val="single" w:sz="12" w:space="0" w:color="auto"/>
              <w:left w:val="nil"/>
              <w:bottom w:val="nil"/>
              <w:right w:val="nil"/>
            </w:tcBorders>
            <w:shd w:val="clear" w:color="auto" w:fill="auto"/>
            <w:noWrap/>
            <w:vAlign w:val="bottom"/>
          </w:tcPr>
          <w:p w14:paraId="6D7C9EFA" w14:textId="77777777" w:rsidR="00C20CAB" w:rsidRPr="003D1614" w:rsidRDefault="00C20CAB" w:rsidP="00ED5991">
            <w:pPr>
              <w:suppressAutoHyphens/>
              <w:autoSpaceDN w:val="0"/>
              <w:spacing w:line="140" w:lineRule="exact"/>
              <w:jc w:val="right"/>
              <w:rPr>
                <w:rFonts w:ascii="Arial" w:eastAsia="Times New Roman" w:hAnsi="Arial" w:cs="Arial"/>
                <w:color w:val="000000" w:themeColor="text1"/>
                <w:sz w:val="18"/>
                <w:szCs w:val="18"/>
              </w:rPr>
            </w:pPr>
          </w:p>
        </w:tc>
        <w:tc>
          <w:tcPr>
            <w:tcW w:w="1559" w:type="dxa"/>
            <w:tcBorders>
              <w:top w:val="single" w:sz="12" w:space="0" w:color="auto"/>
              <w:left w:val="nil"/>
              <w:bottom w:val="nil"/>
              <w:right w:val="nil"/>
            </w:tcBorders>
            <w:shd w:val="clear" w:color="auto" w:fill="auto"/>
            <w:noWrap/>
            <w:vAlign w:val="bottom"/>
          </w:tcPr>
          <w:p w14:paraId="60EBD6BA" w14:textId="77777777" w:rsidR="00C20CAB" w:rsidRPr="003D1614" w:rsidRDefault="00C20CAB" w:rsidP="00ED5991">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52998BCA" w14:textId="77777777" w:rsidR="00C20CAB" w:rsidRPr="003D1614" w:rsidRDefault="00C20CAB" w:rsidP="00ED5991">
            <w:pPr>
              <w:suppressAutoHyphens/>
              <w:autoSpaceDN w:val="0"/>
              <w:spacing w:line="140" w:lineRule="exact"/>
              <w:jc w:val="right"/>
              <w:rPr>
                <w:rFonts w:ascii="Arial" w:eastAsia="Times New Roman" w:hAnsi="Arial" w:cs="Arial"/>
                <w:color w:val="000000" w:themeColor="text1"/>
                <w:sz w:val="18"/>
                <w:szCs w:val="18"/>
              </w:rPr>
            </w:pPr>
          </w:p>
        </w:tc>
      </w:tr>
      <w:tr w:rsidR="00C20CAB" w:rsidRPr="003D1614" w14:paraId="7A849E77" w14:textId="77777777" w:rsidTr="00ED5991">
        <w:trPr>
          <w:trHeight w:val="300"/>
        </w:trPr>
        <w:tc>
          <w:tcPr>
            <w:tcW w:w="3261" w:type="dxa"/>
            <w:tcBorders>
              <w:top w:val="nil"/>
              <w:left w:val="nil"/>
              <w:bottom w:val="nil"/>
              <w:right w:val="nil"/>
            </w:tcBorders>
            <w:shd w:val="clear" w:color="auto" w:fill="auto"/>
            <w:vAlign w:val="bottom"/>
          </w:tcPr>
          <w:p w14:paraId="4CA35593" w14:textId="77777777" w:rsidR="00C20CAB" w:rsidRPr="003D1614" w:rsidRDefault="00C20CAB" w:rsidP="00ED5991">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Dobit prije oporezivanja</w:t>
            </w:r>
          </w:p>
        </w:tc>
        <w:tc>
          <w:tcPr>
            <w:tcW w:w="1134" w:type="dxa"/>
            <w:shd w:val="clear" w:color="auto" w:fill="auto"/>
            <w:noWrap/>
          </w:tcPr>
          <w:p w14:paraId="3116CFCE"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18.475</w:t>
            </w:r>
          </w:p>
        </w:tc>
        <w:tc>
          <w:tcPr>
            <w:tcW w:w="1667" w:type="dxa"/>
            <w:shd w:val="clear" w:color="auto" w:fill="auto"/>
            <w:noWrap/>
          </w:tcPr>
          <w:p w14:paraId="532EDEC9"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160</w:t>
            </w:r>
          </w:p>
        </w:tc>
        <w:tc>
          <w:tcPr>
            <w:tcW w:w="1168" w:type="dxa"/>
            <w:shd w:val="clear" w:color="auto" w:fill="auto"/>
            <w:noWrap/>
          </w:tcPr>
          <w:p w14:paraId="4825B3C3"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28</w:t>
            </w:r>
          </w:p>
        </w:tc>
        <w:tc>
          <w:tcPr>
            <w:tcW w:w="1559" w:type="dxa"/>
            <w:shd w:val="clear" w:color="auto" w:fill="auto"/>
            <w:noWrap/>
          </w:tcPr>
          <w:p w14:paraId="696E2B82"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noWrap/>
          </w:tcPr>
          <w:p w14:paraId="42881B1A"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sidRPr="002910E3">
              <w:rPr>
                <w:rFonts w:ascii="Arial" w:eastAsia="Times New Roman" w:hAnsi="Arial" w:cs="Arial"/>
                <w:color w:val="000000" w:themeColor="text1"/>
                <w:sz w:val="18"/>
                <w:szCs w:val="18"/>
              </w:rPr>
              <w:t>18.663</w:t>
            </w:r>
          </w:p>
        </w:tc>
      </w:tr>
      <w:tr w:rsidR="00C20CAB" w:rsidRPr="003D1614" w14:paraId="0A3ECDAD" w14:textId="77777777" w:rsidTr="00ED5991">
        <w:trPr>
          <w:trHeight w:val="300"/>
        </w:trPr>
        <w:tc>
          <w:tcPr>
            <w:tcW w:w="3261" w:type="dxa"/>
            <w:tcBorders>
              <w:top w:val="nil"/>
              <w:left w:val="nil"/>
              <w:right w:val="nil"/>
            </w:tcBorders>
            <w:shd w:val="clear" w:color="auto" w:fill="auto"/>
            <w:vAlign w:val="bottom"/>
          </w:tcPr>
          <w:p w14:paraId="4CC03C42" w14:textId="77777777" w:rsidR="00C20CAB" w:rsidRPr="003D1614" w:rsidRDefault="00C20CAB" w:rsidP="00ED5991">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Porez na dobit</w:t>
            </w:r>
          </w:p>
        </w:tc>
        <w:tc>
          <w:tcPr>
            <w:tcW w:w="1134" w:type="dxa"/>
            <w:tcBorders>
              <w:top w:val="nil"/>
              <w:left w:val="nil"/>
              <w:bottom w:val="single" w:sz="4" w:space="0" w:color="auto"/>
              <w:right w:val="nil"/>
            </w:tcBorders>
            <w:shd w:val="clear" w:color="auto" w:fill="auto"/>
            <w:noWrap/>
            <w:vAlign w:val="bottom"/>
          </w:tcPr>
          <w:p w14:paraId="05D481BA"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667" w:type="dxa"/>
            <w:tcBorders>
              <w:top w:val="nil"/>
              <w:left w:val="nil"/>
              <w:bottom w:val="single" w:sz="4" w:space="0" w:color="auto"/>
              <w:right w:val="nil"/>
            </w:tcBorders>
            <w:shd w:val="clear" w:color="auto" w:fill="auto"/>
            <w:noWrap/>
            <w:vAlign w:val="bottom"/>
          </w:tcPr>
          <w:p w14:paraId="44817691" w14:textId="77777777" w:rsidR="00C20CAB" w:rsidRPr="003D1614" w:rsidRDefault="00C20CAB" w:rsidP="00ED5991">
            <w:pPr>
              <w:suppressAutoHyphens/>
              <w:autoSpaceDN w:val="0"/>
              <w:spacing w:line="300" w:lineRule="exact"/>
              <w:jc w:val="right"/>
              <w:rPr>
                <w:rFonts w:ascii="Arial" w:eastAsia="Times New Roman" w:hAnsi="Arial" w:cs="Arial"/>
                <w:bCs/>
                <w:sz w:val="18"/>
                <w:szCs w:val="18"/>
              </w:rPr>
            </w:pPr>
            <w:r>
              <w:rPr>
                <w:rFonts w:ascii="Arial" w:eastAsia="Times New Roman" w:hAnsi="Arial" w:cs="Arial"/>
                <w:bCs/>
                <w:sz w:val="18"/>
                <w:szCs w:val="18"/>
              </w:rPr>
              <w:t>-</w:t>
            </w:r>
          </w:p>
        </w:tc>
        <w:tc>
          <w:tcPr>
            <w:tcW w:w="1168" w:type="dxa"/>
            <w:tcBorders>
              <w:top w:val="nil"/>
              <w:left w:val="nil"/>
              <w:bottom w:val="single" w:sz="4" w:space="0" w:color="auto"/>
              <w:right w:val="nil"/>
            </w:tcBorders>
            <w:shd w:val="clear" w:color="auto" w:fill="auto"/>
            <w:noWrap/>
            <w:vAlign w:val="bottom"/>
          </w:tcPr>
          <w:p w14:paraId="35AE62C8" w14:textId="77777777" w:rsidR="00C20CAB" w:rsidRPr="003D1614" w:rsidRDefault="00C20CAB" w:rsidP="00ED5991">
            <w:pPr>
              <w:suppressAutoHyphens/>
              <w:autoSpaceDN w:val="0"/>
              <w:spacing w:line="300" w:lineRule="exact"/>
              <w:jc w:val="right"/>
              <w:rPr>
                <w:rFonts w:ascii="Arial" w:eastAsia="Times New Roman" w:hAnsi="Arial" w:cs="Arial"/>
                <w:bCs/>
                <w:sz w:val="18"/>
                <w:szCs w:val="18"/>
              </w:rPr>
            </w:pPr>
            <w:r>
              <w:rPr>
                <w:rFonts w:ascii="Arial" w:eastAsia="Times New Roman" w:hAnsi="Arial" w:cs="Arial"/>
                <w:bCs/>
                <w:sz w:val="18"/>
                <w:szCs w:val="18"/>
              </w:rPr>
              <w:t>-</w:t>
            </w:r>
          </w:p>
        </w:tc>
        <w:tc>
          <w:tcPr>
            <w:tcW w:w="1559" w:type="dxa"/>
            <w:tcBorders>
              <w:top w:val="nil"/>
              <w:left w:val="nil"/>
              <w:bottom w:val="single" w:sz="4" w:space="0" w:color="auto"/>
              <w:right w:val="nil"/>
            </w:tcBorders>
            <w:shd w:val="clear" w:color="auto" w:fill="auto"/>
            <w:noWrap/>
            <w:vAlign w:val="bottom"/>
          </w:tcPr>
          <w:p w14:paraId="7E105EC8" w14:textId="77777777" w:rsidR="00C20CAB" w:rsidRPr="003D1614" w:rsidRDefault="00C20CAB" w:rsidP="00ED5991">
            <w:pPr>
              <w:suppressAutoHyphens/>
              <w:autoSpaceDN w:val="0"/>
              <w:spacing w:line="300" w:lineRule="exact"/>
              <w:jc w:val="right"/>
              <w:rPr>
                <w:rFonts w:ascii="Arial" w:eastAsia="Times New Roman" w:hAnsi="Arial" w:cs="Arial"/>
                <w:bCs/>
                <w:sz w:val="18"/>
                <w:szCs w:val="18"/>
              </w:rPr>
            </w:pPr>
            <w:r>
              <w:rPr>
                <w:rFonts w:ascii="Arial" w:eastAsia="Times New Roman" w:hAnsi="Arial" w:cs="Arial"/>
                <w:bCs/>
                <w:sz w:val="18"/>
                <w:szCs w:val="18"/>
              </w:rPr>
              <w:t>-</w:t>
            </w:r>
          </w:p>
        </w:tc>
        <w:tc>
          <w:tcPr>
            <w:tcW w:w="1134" w:type="dxa"/>
            <w:tcBorders>
              <w:top w:val="nil"/>
              <w:left w:val="nil"/>
              <w:bottom w:val="single" w:sz="4" w:space="0" w:color="auto"/>
              <w:right w:val="nil"/>
            </w:tcBorders>
            <w:shd w:val="clear" w:color="auto" w:fill="auto"/>
            <w:noWrap/>
            <w:vAlign w:val="bottom"/>
          </w:tcPr>
          <w:p w14:paraId="55110D79" w14:textId="77777777" w:rsidR="00C20CAB" w:rsidRPr="003D1614" w:rsidRDefault="00C20CAB" w:rsidP="00ED5991">
            <w:pPr>
              <w:suppressAutoHyphens/>
              <w:autoSpaceDN w:val="0"/>
              <w:spacing w:line="300" w:lineRule="exact"/>
              <w:jc w:val="right"/>
              <w:rPr>
                <w:rFonts w:ascii="Arial" w:eastAsia="Times New Roman" w:hAnsi="Arial" w:cs="Arial"/>
                <w:bCs/>
                <w:sz w:val="18"/>
                <w:szCs w:val="18"/>
              </w:rPr>
            </w:pPr>
            <w:r>
              <w:rPr>
                <w:rFonts w:ascii="Arial" w:eastAsia="Times New Roman" w:hAnsi="Arial" w:cs="Arial"/>
                <w:bCs/>
                <w:sz w:val="18"/>
                <w:szCs w:val="18"/>
              </w:rPr>
              <w:t>-</w:t>
            </w:r>
          </w:p>
        </w:tc>
      </w:tr>
      <w:tr w:rsidR="00C20CAB" w:rsidRPr="003D1614" w14:paraId="7539F86D" w14:textId="77777777" w:rsidTr="00ED5991">
        <w:trPr>
          <w:trHeight w:val="315"/>
        </w:trPr>
        <w:tc>
          <w:tcPr>
            <w:tcW w:w="3261" w:type="dxa"/>
            <w:tcBorders>
              <w:left w:val="nil"/>
              <w:right w:val="nil"/>
            </w:tcBorders>
            <w:shd w:val="clear" w:color="auto" w:fill="auto"/>
            <w:vAlign w:val="bottom"/>
          </w:tcPr>
          <w:p w14:paraId="26651CD9" w14:textId="77777777" w:rsidR="00C20CAB" w:rsidRPr="003D1614" w:rsidRDefault="00C20CAB" w:rsidP="00ED5991">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Dobit za godinu</w:t>
            </w:r>
          </w:p>
        </w:tc>
        <w:tc>
          <w:tcPr>
            <w:tcW w:w="1134" w:type="dxa"/>
            <w:shd w:val="clear" w:color="auto" w:fill="auto"/>
            <w:noWrap/>
          </w:tcPr>
          <w:p w14:paraId="101070C0" w14:textId="77777777" w:rsidR="00C20CAB" w:rsidRPr="003D1614" w:rsidRDefault="00C20CAB" w:rsidP="00ED5991">
            <w:pPr>
              <w:suppressAutoHyphens/>
              <w:autoSpaceDN w:val="0"/>
              <w:spacing w:line="300" w:lineRule="exact"/>
              <w:jc w:val="right"/>
              <w:rPr>
                <w:rFonts w:ascii="Arial" w:eastAsia="Times New Roman" w:hAnsi="Arial" w:cs="Arial"/>
                <w:b/>
                <w:bCs/>
                <w:color w:val="000000" w:themeColor="text1"/>
                <w:sz w:val="18"/>
                <w:szCs w:val="18"/>
              </w:rPr>
            </w:pPr>
            <w:r w:rsidRPr="002910E3">
              <w:rPr>
                <w:rFonts w:ascii="Arial" w:eastAsia="Times New Roman" w:hAnsi="Arial" w:cs="Arial"/>
                <w:b/>
                <w:bCs/>
                <w:color w:val="000000" w:themeColor="text1"/>
                <w:sz w:val="18"/>
                <w:szCs w:val="18"/>
              </w:rPr>
              <w:t>18.475</w:t>
            </w:r>
          </w:p>
        </w:tc>
        <w:tc>
          <w:tcPr>
            <w:tcW w:w="1667" w:type="dxa"/>
            <w:shd w:val="clear" w:color="auto" w:fill="auto"/>
            <w:noWrap/>
          </w:tcPr>
          <w:p w14:paraId="61C226E7" w14:textId="77777777" w:rsidR="00C20CAB" w:rsidRPr="003D1614" w:rsidRDefault="00C20CAB" w:rsidP="00ED5991">
            <w:pPr>
              <w:suppressAutoHyphens/>
              <w:autoSpaceDN w:val="0"/>
              <w:spacing w:line="300" w:lineRule="exact"/>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160</w:t>
            </w:r>
          </w:p>
        </w:tc>
        <w:tc>
          <w:tcPr>
            <w:tcW w:w="1168" w:type="dxa"/>
            <w:tcBorders>
              <w:top w:val="single" w:sz="4" w:space="0" w:color="auto"/>
              <w:left w:val="nil"/>
              <w:bottom w:val="single" w:sz="12" w:space="0" w:color="auto"/>
              <w:right w:val="nil"/>
            </w:tcBorders>
            <w:shd w:val="clear" w:color="auto" w:fill="auto"/>
            <w:noWrap/>
          </w:tcPr>
          <w:p w14:paraId="705B4BC0" w14:textId="77777777" w:rsidR="00C20CAB" w:rsidRPr="003D1614" w:rsidRDefault="00C20CAB" w:rsidP="00ED5991">
            <w:pPr>
              <w:suppressAutoHyphens/>
              <w:autoSpaceDN w:val="0"/>
              <w:spacing w:line="300" w:lineRule="exact"/>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28</w:t>
            </w:r>
          </w:p>
        </w:tc>
        <w:tc>
          <w:tcPr>
            <w:tcW w:w="1559" w:type="dxa"/>
            <w:tcBorders>
              <w:top w:val="single" w:sz="4" w:space="0" w:color="auto"/>
              <w:left w:val="nil"/>
              <w:bottom w:val="single" w:sz="12" w:space="0" w:color="auto"/>
              <w:right w:val="nil"/>
            </w:tcBorders>
            <w:shd w:val="clear" w:color="auto" w:fill="auto"/>
            <w:noWrap/>
          </w:tcPr>
          <w:p w14:paraId="7975EACD" w14:textId="77777777" w:rsidR="00C20CAB" w:rsidRPr="003D1614" w:rsidRDefault="00C20CAB" w:rsidP="00ED5991">
            <w:pPr>
              <w:suppressAutoHyphens/>
              <w:autoSpaceDN w:val="0"/>
              <w:spacing w:line="300" w:lineRule="exact"/>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1134" w:type="dxa"/>
            <w:tcBorders>
              <w:top w:val="single" w:sz="4" w:space="0" w:color="auto"/>
              <w:left w:val="nil"/>
              <w:bottom w:val="single" w:sz="12" w:space="0" w:color="auto"/>
              <w:right w:val="nil"/>
            </w:tcBorders>
            <w:shd w:val="clear" w:color="auto" w:fill="auto"/>
            <w:noWrap/>
          </w:tcPr>
          <w:p w14:paraId="3BBDA399" w14:textId="77777777" w:rsidR="00C20CAB" w:rsidRPr="003D1614" w:rsidRDefault="00C20CAB" w:rsidP="00ED5991">
            <w:pPr>
              <w:suppressAutoHyphens/>
              <w:autoSpaceDN w:val="0"/>
              <w:spacing w:line="300" w:lineRule="exact"/>
              <w:jc w:val="right"/>
              <w:rPr>
                <w:rFonts w:ascii="Arial" w:eastAsia="Times New Roman" w:hAnsi="Arial" w:cs="Arial"/>
                <w:b/>
                <w:bCs/>
                <w:color w:val="000000" w:themeColor="text1"/>
                <w:sz w:val="18"/>
                <w:szCs w:val="18"/>
              </w:rPr>
            </w:pPr>
            <w:r w:rsidRPr="002910E3">
              <w:rPr>
                <w:rFonts w:ascii="Arial" w:eastAsia="Times New Roman" w:hAnsi="Arial" w:cs="Arial"/>
                <w:b/>
                <w:bCs/>
                <w:color w:val="000000" w:themeColor="text1"/>
                <w:sz w:val="18"/>
                <w:szCs w:val="18"/>
              </w:rPr>
              <w:t>18.663</w:t>
            </w:r>
          </w:p>
        </w:tc>
      </w:tr>
      <w:tr w:rsidR="00C20CAB" w:rsidRPr="003D1614" w14:paraId="7B1BDC3A" w14:textId="77777777" w:rsidTr="00ED5991">
        <w:trPr>
          <w:trHeight w:val="52"/>
        </w:trPr>
        <w:tc>
          <w:tcPr>
            <w:tcW w:w="3261" w:type="dxa"/>
            <w:tcBorders>
              <w:left w:val="nil"/>
              <w:bottom w:val="nil"/>
              <w:right w:val="nil"/>
            </w:tcBorders>
            <w:shd w:val="clear" w:color="auto" w:fill="auto"/>
            <w:vAlign w:val="bottom"/>
          </w:tcPr>
          <w:p w14:paraId="4BFC5140" w14:textId="77777777" w:rsidR="00C20CAB" w:rsidRPr="003D1614" w:rsidRDefault="00C20CAB" w:rsidP="00ED5991">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29C5F492" w14:textId="77777777" w:rsidR="00C20CAB" w:rsidRPr="003D1614" w:rsidRDefault="00C20CAB" w:rsidP="00ED5991">
            <w:pPr>
              <w:suppressAutoHyphens/>
              <w:autoSpaceDN w:val="0"/>
              <w:spacing w:line="140" w:lineRule="exact"/>
              <w:jc w:val="right"/>
              <w:rPr>
                <w:rFonts w:ascii="Arial" w:eastAsia="Times New Roman" w:hAnsi="Arial" w:cs="Arial"/>
                <w:color w:val="000000" w:themeColor="text1"/>
                <w:sz w:val="18"/>
                <w:szCs w:val="18"/>
              </w:rPr>
            </w:pPr>
          </w:p>
        </w:tc>
        <w:tc>
          <w:tcPr>
            <w:tcW w:w="1667" w:type="dxa"/>
            <w:tcBorders>
              <w:top w:val="single" w:sz="12" w:space="0" w:color="auto"/>
              <w:left w:val="nil"/>
              <w:bottom w:val="nil"/>
              <w:right w:val="nil"/>
            </w:tcBorders>
            <w:shd w:val="clear" w:color="auto" w:fill="auto"/>
            <w:noWrap/>
            <w:vAlign w:val="bottom"/>
          </w:tcPr>
          <w:p w14:paraId="2A44433B" w14:textId="77777777" w:rsidR="00C20CAB" w:rsidRPr="003D1614" w:rsidRDefault="00C20CAB" w:rsidP="00ED5991">
            <w:pPr>
              <w:suppressAutoHyphens/>
              <w:autoSpaceDN w:val="0"/>
              <w:spacing w:line="140" w:lineRule="exact"/>
              <w:jc w:val="right"/>
              <w:rPr>
                <w:rFonts w:ascii="Arial" w:eastAsia="Times New Roman" w:hAnsi="Arial" w:cs="Arial"/>
                <w:color w:val="000000" w:themeColor="text1"/>
                <w:sz w:val="18"/>
                <w:szCs w:val="18"/>
              </w:rPr>
            </w:pPr>
          </w:p>
        </w:tc>
        <w:tc>
          <w:tcPr>
            <w:tcW w:w="1168" w:type="dxa"/>
            <w:tcBorders>
              <w:top w:val="single" w:sz="12" w:space="0" w:color="auto"/>
              <w:left w:val="nil"/>
              <w:bottom w:val="nil"/>
              <w:right w:val="nil"/>
            </w:tcBorders>
            <w:shd w:val="clear" w:color="auto" w:fill="auto"/>
            <w:noWrap/>
            <w:vAlign w:val="bottom"/>
          </w:tcPr>
          <w:p w14:paraId="17D3FF22" w14:textId="77777777" w:rsidR="00C20CAB" w:rsidRPr="003D1614" w:rsidRDefault="00C20CAB" w:rsidP="00ED5991">
            <w:pPr>
              <w:suppressAutoHyphens/>
              <w:autoSpaceDN w:val="0"/>
              <w:spacing w:line="140" w:lineRule="exact"/>
              <w:jc w:val="right"/>
              <w:rPr>
                <w:rFonts w:ascii="Arial" w:eastAsia="Times New Roman" w:hAnsi="Arial" w:cs="Arial"/>
                <w:color w:val="000000" w:themeColor="text1"/>
                <w:sz w:val="18"/>
                <w:szCs w:val="18"/>
              </w:rPr>
            </w:pPr>
          </w:p>
        </w:tc>
        <w:tc>
          <w:tcPr>
            <w:tcW w:w="1559" w:type="dxa"/>
            <w:tcBorders>
              <w:top w:val="single" w:sz="12" w:space="0" w:color="auto"/>
              <w:left w:val="nil"/>
              <w:bottom w:val="nil"/>
              <w:right w:val="nil"/>
            </w:tcBorders>
            <w:shd w:val="clear" w:color="auto" w:fill="auto"/>
            <w:noWrap/>
            <w:vAlign w:val="bottom"/>
          </w:tcPr>
          <w:p w14:paraId="3AEF86E1" w14:textId="77777777" w:rsidR="00C20CAB" w:rsidRPr="003D1614" w:rsidRDefault="00C20CAB" w:rsidP="00ED5991">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1216432D" w14:textId="77777777" w:rsidR="00C20CAB" w:rsidRPr="003D1614" w:rsidRDefault="00C20CAB" w:rsidP="00ED5991">
            <w:pPr>
              <w:suppressAutoHyphens/>
              <w:autoSpaceDN w:val="0"/>
              <w:spacing w:line="140" w:lineRule="exact"/>
              <w:jc w:val="right"/>
              <w:rPr>
                <w:rFonts w:ascii="Arial" w:eastAsia="Times New Roman" w:hAnsi="Arial" w:cs="Arial"/>
                <w:color w:val="000000" w:themeColor="text1"/>
                <w:sz w:val="18"/>
                <w:szCs w:val="18"/>
              </w:rPr>
            </w:pPr>
          </w:p>
        </w:tc>
      </w:tr>
      <w:tr w:rsidR="00C20CAB" w:rsidRPr="003D1614" w14:paraId="7A93D112" w14:textId="77777777" w:rsidTr="00ED5991">
        <w:trPr>
          <w:trHeight w:val="300"/>
        </w:trPr>
        <w:tc>
          <w:tcPr>
            <w:tcW w:w="3261" w:type="dxa"/>
            <w:tcBorders>
              <w:top w:val="nil"/>
              <w:left w:val="nil"/>
              <w:right w:val="nil"/>
            </w:tcBorders>
            <w:shd w:val="clear" w:color="auto" w:fill="auto"/>
            <w:vAlign w:val="bottom"/>
          </w:tcPr>
          <w:p w14:paraId="76DC96D3" w14:textId="53B55E5C" w:rsidR="00C20CAB" w:rsidRPr="003D1614" w:rsidRDefault="00C20CAB" w:rsidP="00ED5991">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 xml:space="preserve">31. </w:t>
            </w:r>
            <w:r>
              <w:rPr>
                <w:rFonts w:ascii="Arial" w:eastAsia="Times New Roman" w:hAnsi="Arial" w:cs="Arial"/>
                <w:b/>
                <w:bCs/>
                <w:color w:val="000000" w:themeColor="text1"/>
                <w:sz w:val="18"/>
                <w:szCs w:val="18"/>
              </w:rPr>
              <w:t>prosinca</w:t>
            </w:r>
            <w:r w:rsidRPr="003D1614">
              <w:rPr>
                <w:rFonts w:ascii="Arial" w:eastAsia="Times New Roman" w:hAnsi="Arial" w:cs="Arial"/>
                <w:b/>
                <w:bCs/>
                <w:color w:val="000000" w:themeColor="text1"/>
                <w:sz w:val="18"/>
                <w:szCs w:val="18"/>
              </w:rPr>
              <w:t xml:space="preserve"> 202</w:t>
            </w:r>
            <w:r>
              <w:rPr>
                <w:rFonts w:ascii="Arial" w:eastAsia="Times New Roman" w:hAnsi="Arial" w:cs="Arial"/>
                <w:b/>
                <w:bCs/>
                <w:color w:val="000000" w:themeColor="text1"/>
                <w:sz w:val="18"/>
                <w:szCs w:val="18"/>
              </w:rPr>
              <w:t>3</w:t>
            </w:r>
            <w:r w:rsidRPr="003D1614">
              <w:rPr>
                <w:rFonts w:ascii="Arial" w:eastAsia="Times New Roman" w:hAnsi="Arial" w:cs="Arial"/>
                <w:b/>
                <w:bCs/>
                <w:color w:val="000000" w:themeColor="text1"/>
                <w:sz w:val="18"/>
                <w:szCs w:val="18"/>
              </w:rPr>
              <w:t>.</w:t>
            </w:r>
          </w:p>
        </w:tc>
        <w:tc>
          <w:tcPr>
            <w:tcW w:w="1134" w:type="dxa"/>
            <w:tcBorders>
              <w:top w:val="nil"/>
              <w:left w:val="nil"/>
              <w:bottom w:val="single" w:sz="4" w:space="0" w:color="auto"/>
              <w:right w:val="nil"/>
            </w:tcBorders>
            <w:shd w:val="clear" w:color="auto" w:fill="auto"/>
            <w:noWrap/>
            <w:vAlign w:val="bottom"/>
          </w:tcPr>
          <w:p w14:paraId="0793234D"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p>
        </w:tc>
        <w:tc>
          <w:tcPr>
            <w:tcW w:w="1667" w:type="dxa"/>
            <w:tcBorders>
              <w:top w:val="nil"/>
              <w:left w:val="nil"/>
              <w:bottom w:val="single" w:sz="4" w:space="0" w:color="auto"/>
              <w:right w:val="nil"/>
            </w:tcBorders>
            <w:shd w:val="clear" w:color="auto" w:fill="auto"/>
            <w:noWrap/>
            <w:vAlign w:val="bottom"/>
          </w:tcPr>
          <w:p w14:paraId="32BE042F"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p>
        </w:tc>
        <w:tc>
          <w:tcPr>
            <w:tcW w:w="1168" w:type="dxa"/>
            <w:tcBorders>
              <w:top w:val="nil"/>
              <w:left w:val="nil"/>
              <w:bottom w:val="single" w:sz="4" w:space="0" w:color="auto"/>
              <w:right w:val="nil"/>
            </w:tcBorders>
            <w:shd w:val="clear" w:color="auto" w:fill="auto"/>
            <w:noWrap/>
            <w:vAlign w:val="bottom"/>
          </w:tcPr>
          <w:p w14:paraId="3EB3564B"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p>
        </w:tc>
        <w:tc>
          <w:tcPr>
            <w:tcW w:w="1559" w:type="dxa"/>
            <w:tcBorders>
              <w:top w:val="nil"/>
              <w:left w:val="nil"/>
              <w:bottom w:val="single" w:sz="4" w:space="0" w:color="auto"/>
              <w:right w:val="nil"/>
            </w:tcBorders>
            <w:shd w:val="clear" w:color="auto" w:fill="auto"/>
            <w:noWrap/>
            <w:vAlign w:val="bottom"/>
          </w:tcPr>
          <w:p w14:paraId="01023F36"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p>
        </w:tc>
        <w:tc>
          <w:tcPr>
            <w:tcW w:w="1134" w:type="dxa"/>
            <w:tcBorders>
              <w:top w:val="nil"/>
              <w:left w:val="nil"/>
              <w:bottom w:val="single" w:sz="4" w:space="0" w:color="auto"/>
              <w:right w:val="nil"/>
            </w:tcBorders>
            <w:shd w:val="clear" w:color="auto" w:fill="auto"/>
            <w:noWrap/>
            <w:vAlign w:val="bottom"/>
          </w:tcPr>
          <w:p w14:paraId="4E3FA46D" w14:textId="77777777" w:rsidR="00C20CAB" w:rsidRPr="003D1614" w:rsidRDefault="00C20CAB" w:rsidP="00ED5991">
            <w:pPr>
              <w:suppressAutoHyphens/>
              <w:autoSpaceDN w:val="0"/>
              <w:spacing w:line="300" w:lineRule="exact"/>
              <w:jc w:val="right"/>
              <w:rPr>
                <w:rFonts w:ascii="Arial" w:eastAsia="Times New Roman" w:hAnsi="Arial" w:cs="Arial"/>
                <w:color w:val="000000" w:themeColor="text1"/>
                <w:sz w:val="18"/>
                <w:szCs w:val="18"/>
              </w:rPr>
            </w:pPr>
          </w:p>
        </w:tc>
      </w:tr>
      <w:tr w:rsidR="00AE13B3" w:rsidRPr="003D1614" w14:paraId="5E50D023" w14:textId="77777777" w:rsidTr="004D7D55">
        <w:trPr>
          <w:trHeight w:val="300"/>
        </w:trPr>
        <w:tc>
          <w:tcPr>
            <w:tcW w:w="3261" w:type="dxa"/>
            <w:tcBorders>
              <w:top w:val="nil"/>
              <w:left w:val="nil"/>
              <w:right w:val="nil"/>
            </w:tcBorders>
            <w:shd w:val="clear" w:color="auto" w:fill="auto"/>
            <w:vAlign w:val="bottom"/>
          </w:tcPr>
          <w:p w14:paraId="13C8A54A" w14:textId="77777777" w:rsidR="00AE13B3" w:rsidRPr="003D1614" w:rsidRDefault="00AE13B3" w:rsidP="00AE13B3">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Imovina segmenta</w:t>
            </w:r>
          </w:p>
        </w:tc>
        <w:tc>
          <w:tcPr>
            <w:tcW w:w="1134" w:type="dxa"/>
            <w:tcBorders>
              <w:top w:val="nil"/>
              <w:left w:val="nil"/>
              <w:bottom w:val="single" w:sz="4" w:space="0" w:color="auto"/>
              <w:right w:val="nil"/>
            </w:tcBorders>
            <w:shd w:val="clear" w:color="auto" w:fill="auto"/>
            <w:noWrap/>
          </w:tcPr>
          <w:p w14:paraId="1379C434" w14:textId="6BDDD038" w:rsidR="00AE13B3" w:rsidRPr="002910E3" w:rsidRDefault="00AE13B3" w:rsidP="00AE13B3">
            <w:pPr>
              <w:suppressAutoHyphens/>
              <w:autoSpaceDN w:val="0"/>
              <w:spacing w:line="300" w:lineRule="exact"/>
              <w:jc w:val="right"/>
              <w:rPr>
                <w:rFonts w:ascii="Arial" w:eastAsia="Times New Roman" w:hAnsi="Arial" w:cs="Arial"/>
                <w:color w:val="000000" w:themeColor="text1"/>
                <w:sz w:val="18"/>
                <w:szCs w:val="18"/>
              </w:rPr>
            </w:pPr>
            <w:r w:rsidRPr="00F959D0">
              <w:rPr>
                <w:rFonts w:ascii="Arial" w:hAnsi="Arial" w:cs="Arial"/>
                <w:color w:val="000000" w:themeColor="text1"/>
                <w:sz w:val="18"/>
                <w:szCs w:val="18"/>
              </w:rPr>
              <w:t xml:space="preserve"> 4.018.684 </w:t>
            </w:r>
          </w:p>
        </w:tc>
        <w:tc>
          <w:tcPr>
            <w:tcW w:w="1667" w:type="dxa"/>
            <w:tcBorders>
              <w:top w:val="nil"/>
              <w:left w:val="nil"/>
              <w:bottom w:val="single" w:sz="4" w:space="0" w:color="auto"/>
              <w:right w:val="nil"/>
            </w:tcBorders>
            <w:shd w:val="clear" w:color="auto" w:fill="auto"/>
            <w:noWrap/>
          </w:tcPr>
          <w:p w14:paraId="4168BAD5" w14:textId="42C22D3E" w:rsidR="00AE13B3" w:rsidRPr="002910E3" w:rsidRDefault="00AE13B3" w:rsidP="00AE13B3">
            <w:pPr>
              <w:suppressAutoHyphens/>
              <w:autoSpaceDN w:val="0"/>
              <w:spacing w:line="300" w:lineRule="exact"/>
              <w:jc w:val="right"/>
              <w:rPr>
                <w:rFonts w:ascii="Arial" w:eastAsia="Times New Roman" w:hAnsi="Arial" w:cs="Arial"/>
                <w:color w:val="000000" w:themeColor="text1"/>
                <w:sz w:val="18"/>
                <w:szCs w:val="18"/>
              </w:rPr>
            </w:pPr>
            <w:r w:rsidRPr="00F959D0">
              <w:rPr>
                <w:rFonts w:ascii="Arial" w:hAnsi="Arial" w:cs="Arial"/>
                <w:color w:val="000000" w:themeColor="text1"/>
                <w:sz w:val="18"/>
                <w:szCs w:val="18"/>
              </w:rPr>
              <w:t xml:space="preserve"> 10.222 </w:t>
            </w:r>
          </w:p>
        </w:tc>
        <w:tc>
          <w:tcPr>
            <w:tcW w:w="1168" w:type="dxa"/>
            <w:tcBorders>
              <w:top w:val="nil"/>
              <w:left w:val="nil"/>
              <w:bottom w:val="single" w:sz="4" w:space="0" w:color="auto"/>
              <w:right w:val="nil"/>
            </w:tcBorders>
            <w:shd w:val="clear" w:color="auto" w:fill="auto"/>
            <w:noWrap/>
          </w:tcPr>
          <w:p w14:paraId="69D46334" w14:textId="1656F180" w:rsidR="00AE13B3" w:rsidRPr="002910E3" w:rsidRDefault="00AE13B3" w:rsidP="00AE13B3">
            <w:pPr>
              <w:suppressAutoHyphens/>
              <w:autoSpaceDN w:val="0"/>
              <w:spacing w:line="300" w:lineRule="exact"/>
              <w:jc w:val="right"/>
              <w:rPr>
                <w:rFonts w:ascii="Arial" w:eastAsia="Times New Roman" w:hAnsi="Arial" w:cs="Arial"/>
                <w:color w:val="000000" w:themeColor="text1"/>
                <w:sz w:val="18"/>
                <w:szCs w:val="18"/>
              </w:rPr>
            </w:pPr>
            <w:r w:rsidRPr="00F959D0">
              <w:rPr>
                <w:rFonts w:ascii="Arial" w:hAnsi="Arial" w:cs="Arial"/>
                <w:color w:val="000000" w:themeColor="text1"/>
                <w:sz w:val="18"/>
                <w:szCs w:val="18"/>
              </w:rPr>
              <w:t xml:space="preserve"> 149 </w:t>
            </w:r>
          </w:p>
        </w:tc>
        <w:tc>
          <w:tcPr>
            <w:tcW w:w="1559" w:type="dxa"/>
            <w:tcBorders>
              <w:top w:val="nil"/>
              <w:left w:val="nil"/>
              <w:bottom w:val="single" w:sz="4" w:space="0" w:color="auto"/>
              <w:right w:val="nil"/>
            </w:tcBorders>
            <w:shd w:val="clear" w:color="auto" w:fill="auto"/>
            <w:noWrap/>
          </w:tcPr>
          <w:p w14:paraId="13EEBC54" w14:textId="3BD5CD8D" w:rsidR="00AE13B3" w:rsidRPr="002910E3" w:rsidRDefault="00AE13B3" w:rsidP="00AE13B3">
            <w:pPr>
              <w:suppressAutoHyphens/>
              <w:autoSpaceDN w:val="0"/>
              <w:spacing w:line="300" w:lineRule="exact"/>
              <w:jc w:val="right"/>
              <w:rPr>
                <w:rFonts w:ascii="Arial" w:eastAsia="Times New Roman" w:hAnsi="Arial" w:cs="Arial"/>
                <w:color w:val="000000" w:themeColor="text1"/>
                <w:sz w:val="18"/>
                <w:szCs w:val="18"/>
              </w:rPr>
            </w:pPr>
            <w:r w:rsidRPr="00F959D0">
              <w:rPr>
                <w:rFonts w:ascii="Arial" w:hAnsi="Arial" w:cs="Arial"/>
                <w:color w:val="000000" w:themeColor="text1"/>
                <w:sz w:val="18"/>
                <w:szCs w:val="18"/>
              </w:rPr>
              <w:t xml:space="preserve"> (7.519)</w:t>
            </w:r>
          </w:p>
        </w:tc>
        <w:tc>
          <w:tcPr>
            <w:tcW w:w="1134" w:type="dxa"/>
            <w:tcBorders>
              <w:top w:val="nil"/>
              <w:left w:val="nil"/>
              <w:bottom w:val="single" w:sz="4" w:space="0" w:color="auto"/>
              <w:right w:val="nil"/>
            </w:tcBorders>
            <w:shd w:val="clear" w:color="auto" w:fill="auto"/>
            <w:noWrap/>
          </w:tcPr>
          <w:p w14:paraId="48BB8E59" w14:textId="4764C10C" w:rsidR="00AE13B3" w:rsidRPr="002910E3" w:rsidRDefault="00AE13B3" w:rsidP="00AE13B3">
            <w:pPr>
              <w:suppressAutoHyphens/>
              <w:autoSpaceDN w:val="0"/>
              <w:spacing w:line="300" w:lineRule="exact"/>
              <w:jc w:val="right"/>
              <w:rPr>
                <w:rFonts w:ascii="Arial" w:eastAsia="Times New Roman" w:hAnsi="Arial" w:cs="Arial"/>
                <w:color w:val="000000" w:themeColor="text1"/>
                <w:sz w:val="18"/>
                <w:szCs w:val="18"/>
              </w:rPr>
            </w:pPr>
            <w:r w:rsidRPr="00F959D0">
              <w:rPr>
                <w:rFonts w:ascii="Arial" w:hAnsi="Arial" w:cs="Arial"/>
                <w:color w:val="000000" w:themeColor="text1"/>
                <w:sz w:val="18"/>
                <w:szCs w:val="18"/>
              </w:rPr>
              <w:t xml:space="preserve"> 4.021.536 </w:t>
            </w:r>
          </w:p>
        </w:tc>
      </w:tr>
      <w:tr w:rsidR="00AE13B3" w:rsidRPr="003D1614" w14:paraId="24DCD9F1" w14:textId="77777777" w:rsidTr="004D7D55">
        <w:trPr>
          <w:trHeight w:val="315"/>
        </w:trPr>
        <w:tc>
          <w:tcPr>
            <w:tcW w:w="3261" w:type="dxa"/>
            <w:tcBorders>
              <w:left w:val="nil"/>
              <w:right w:val="nil"/>
            </w:tcBorders>
            <w:shd w:val="clear" w:color="auto" w:fill="auto"/>
            <w:vAlign w:val="bottom"/>
          </w:tcPr>
          <w:p w14:paraId="5D4DA674" w14:textId="77777777" w:rsidR="00AE13B3" w:rsidRPr="003D1614" w:rsidRDefault="00AE13B3" w:rsidP="00AE13B3">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Ukupna imovina</w:t>
            </w:r>
          </w:p>
        </w:tc>
        <w:tc>
          <w:tcPr>
            <w:tcW w:w="1134" w:type="dxa"/>
            <w:tcBorders>
              <w:top w:val="single" w:sz="4" w:space="0" w:color="auto"/>
              <w:left w:val="nil"/>
              <w:bottom w:val="single" w:sz="12" w:space="0" w:color="auto"/>
              <w:right w:val="nil"/>
            </w:tcBorders>
            <w:shd w:val="clear" w:color="auto" w:fill="auto"/>
            <w:noWrap/>
          </w:tcPr>
          <w:p w14:paraId="06F7A4E2" w14:textId="09618733" w:rsidR="00AE13B3" w:rsidRPr="003D1614" w:rsidRDefault="00AE13B3" w:rsidP="00AE13B3">
            <w:pPr>
              <w:suppressAutoHyphens/>
              <w:autoSpaceDN w:val="0"/>
              <w:spacing w:line="300" w:lineRule="exact"/>
              <w:jc w:val="right"/>
              <w:rPr>
                <w:rFonts w:ascii="Arial" w:eastAsia="Times New Roman" w:hAnsi="Arial" w:cs="Arial"/>
                <w:b/>
                <w:bCs/>
                <w:color w:val="000000" w:themeColor="text1"/>
                <w:sz w:val="18"/>
                <w:szCs w:val="18"/>
              </w:rPr>
            </w:pPr>
            <w:r w:rsidRPr="00F959D0">
              <w:rPr>
                <w:rFonts w:ascii="Arial" w:hAnsi="Arial" w:cs="Arial"/>
                <w:b/>
                <w:bCs/>
                <w:color w:val="000000" w:themeColor="text1"/>
                <w:sz w:val="18"/>
                <w:szCs w:val="18"/>
              </w:rPr>
              <w:t xml:space="preserve"> 4.018.684 </w:t>
            </w:r>
          </w:p>
        </w:tc>
        <w:tc>
          <w:tcPr>
            <w:tcW w:w="1667" w:type="dxa"/>
            <w:tcBorders>
              <w:top w:val="single" w:sz="4" w:space="0" w:color="auto"/>
              <w:left w:val="nil"/>
              <w:bottom w:val="single" w:sz="12" w:space="0" w:color="auto"/>
              <w:right w:val="nil"/>
            </w:tcBorders>
            <w:shd w:val="clear" w:color="auto" w:fill="auto"/>
            <w:noWrap/>
          </w:tcPr>
          <w:p w14:paraId="657D256D" w14:textId="0B57CAB7" w:rsidR="00AE13B3" w:rsidRPr="003D1614" w:rsidRDefault="00AE13B3" w:rsidP="00AE13B3">
            <w:pPr>
              <w:suppressAutoHyphens/>
              <w:autoSpaceDN w:val="0"/>
              <w:spacing w:line="300" w:lineRule="exact"/>
              <w:jc w:val="right"/>
              <w:rPr>
                <w:rFonts w:ascii="Arial" w:eastAsia="Times New Roman" w:hAnsi="Arial" w:cs="Arial"/>
                <w:b/>
                <w:bCs/>
                <w:color w:val="000000" w:themeColor="text1"/>
                <w:sz w:val="18"/>
                <w:szCs w:val="18"/>
              </w:rPr>
            </w:pPr>
            <w:r w:rsidRPr="00F959D0">
              <w:rPr>
                <w:rFonts w:ascii="Arial" w:hAnsi="Arial" w:cs="Arial"/>
                <w:b/>
                <w:bCs/>
                <w:color w:val="000000" w:themeColor="text1"/>
                <w:sz w:val="18"/>
                <w:szCs w:val="18"/>
              </w:rPr>
              <w:t xml:space="preserve"> 10.222 </w:t>
            </w:r>
          </w:p>
        </w:tc>
        <w:tc>
          <w:tcPr>
            <w:tcW w:w="1168" w:type="dxa"/>
            <w:tcBorders>
              <w:top w:val="single" w:sz="4" w:space="0" w:color="auto"/>
              <w:left w:val="nil"/>
              <w:bottom w:val="single" w:sz="12" w:space="0" w:color="auto"/>
              <w:right w:val="nil"/>
            </w:tcBorders>
            <w:shd w:val="clear" w:color="auto" w:fill="auto"/>
            <w:noWrap/>
          </w:tcPr>
          <w:p w14:paraId="0D11B0B3" w14:textId="5B4BE73A" w:rsidR="00AE13B3" w:rsidRPr="003D1614" w:rsidRDefault="00AE13B3" w:rsidP="00AE13B3">
            <w:pPr>
              <w:suppressAutoHyphens/>
              <w:autoSpaceDN w:val="0"/>
              <w:spacing w:line="300" w:lineRule="exact"/>
              <w:jc w:val="right"/>
              <w:rPr>
                <w:rFonts w:ascii="Arial" w:eastAsia="Times New Roman" w:hAnsi="Arial" w:cs="Arial"/>
                <w:b/>
                <w:bCs/>
                <w:color w:val="000000" w:themeColor="text1"/>
                <w:sz w:val="18"/>
                <w:szCs w:val="18"/>
              </w:rPr>
            </w:pPr>
            <w:r w:rsidRPr="00F959D0">
              <w:rPr>
                <w:rFonts w:ascii="Arial" w:hAnsi="Arial" w:cs="Arial"/>
                <w:b/>
                <w:bCs/>
                <w:color w:val="000000" w:themeColor="text1"/>
                <w:sz w:val="18"/>
                <w:szCs w:val="18"/>
              </w:rPr>
              <w:t xml:space="preserve"> 149 </w:t>
            </w:r>
          </w:p>
        </w:tc>
        <w:tc>
          <w:tcPr>
            <w:tcW w:w="1559" w:type="dxa"/>
            <w:tcBorders>
              <w:top w:val="single" w:sz="4" w:space="0" w:color="auto"/>
              <w:left w:val="nil"/>
              <w:bottom w:val="single" w:sz="12" w:space="0" w:color="auto"/>
              <w:right w:val="nil"/>
            </w:tcBorders>
            <w:shd w:val="clear" w:color="auto" w:fill="auto"/>
            <w:noWrap/>
          </w:tcPr>
          <w:p w14:paraId="7AB47E4B" w14:textId="373A6AF4" w:rsidR="00AE13B3" w:rsidRPr="003D1614" w:rsidRDefault="00AE13B3" w:rsidP="00AE13B3">
            <w:pPr>
              <w:suppressAutoHyphens/>
              <w:autoSpaceDN w:val="0"/>
              <w:spacing w:line="300" w:lineRule="exact"/>
              <w:jc w:val="right"/>
              <w:rPr>
                <w:rFonts w:ascii="Arial" w:eastAsia="Times New Roman" w:hAnsi="Arial" w:cs="Arial"/>
                <w:b/>
                <w:bCs/>
                <w:color w:val="000000" w:themeColor="text1"/>
                <w:sz w:val="18"/>
                <w:szCs w:val="18"/>
              </w:rPr>
            </w:pPr>
            <w:r w:rsidRPr="00F959D0">
              <w:rPr>
                <w:rFonts w:ascii="Arial" w:hAnsi="Arial" w:cs="Arial"/>
                <w:b/>
                <w:bCs/>
                <w:color w:val="000000" w:themeColor="text1"/>
                <w:sz w:val="18"/>
                <w:szCs w:val="18"/>
              </w:rPr>
              <w:t xml:space="preserve"> (7.519)</w:t>
            </w:r>
          </w:p>
        </w:tc>
        <w:tc>
          <w:tcPr>
            <w:tcW w:w="1134" w:type="dxa"/>
            <w:tcBorders>
              <w:top w:val="single" w:sz="4" w:space="0" w:color="auto"/>
              <w:left w:val="nil"/>
              <w:bottom w:val="single" w:sz="12" w:space="0" w:color="auto"/>
              <w:right w:val="nil"/>
            </w:tcBorders>
            <w:shd w:val="clear" w:color="auto" w:fill="auto"/>
            <w:noWrap/>
          </w:tcPr>
          <w:p w14:paraId="795DF715" w14:textId="63670DF1" w:rsidR="00AE13B3" w:rsidRPr="003D1614" w:rsidRDefault="00AE13B3" w:rsidP="00AE13B3">
            <w:pPr>
              <w:suppressAutoHyphens/>
              <w:autoSpaceDN w:val="0"/>
              <w:spacing w:line="300" w:lineRule="exact"/>
              <w:jc w:val="right"/>
              <w:rPr>
                <w:rFonts w:ascii="Arial" w:eastAsia="Times New Roman" w:hAnsi="Arial" w:cs="Arial"/>
                <w:b/>
                <w:bCs/>
                <w:color w:val="000000" w:themeColor="text1"/>
                <w:sz w:val="18"/>
                <w:szCs w:val="18"/>
              </w:rPr>
            </w:pPr>
            <w:r w:rsidRPr="00F959D0">
              <w:rPr>
                <w:rFonts w:ascii="Arial" w:hAnsi="Arial" w:cs="Arial"/>
                <w:b/>
                <w:bCs/>
                <w:color w:val="000000" w:themeColor="text1"/>
                <w:sz w:val="18"/>
                <w:szCs w:val="18"/>
              </w:rPr>
              <w:t xml:space="preserve"> 4.021.536 </w:t>
            </w:r>
          </w:p>
        </w:tc>
      </w:tr>
      <w:tr w:rsidR="00AE13B3" w:rsidRPr="003D1614" w14:paraId="1262F51C" w14:textId="77777777" w:rsidTr="00ED5991">
        <w:trPr>
          <w:trHeight w:val="121"/>
        </w:trPr>
        <w:tc>
          <w:tcPr>
            <w:tcW w:w="3261" w:type="dxa"/>
            <w:tcBorders>
              <w:left w:val="nil"/>
              <w:bottom w:val="nil"/>
              <w:right w:val="nil"/>
            </w:tcBorders>
            <w:shd w:val="clear" w:color="auto" w:fill="auto"/>
            <w:vAlign w:val="bottom"/>
          </w:tcPr>
          <w:p w14:paraId="47A1A906" w14:textId="77777777" w:rsidR="00AE13B3" w:rsidRPr="003D1614" w:rsidRDefault="00AE13B3" w:rsidP="00AE13B3">
            <w:pPr>
              <w:suppressAutoHyphens/>
              <w:autoSpaceDN w:val="0"/>
              <w:spacing w:line="140" w:lineRule="exac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1FDE270B" w14:textId="77777777" w:rsidR="00AE13B3" w:rsidRPr="003D1614" w:rsidRDefault="00AE13B3" w:rsidP="00AE13B3">
            <w:pPr>
              <w:suppressAutoHyphens/>
              <w:autoSpaceDN w:val="0"/>
              <w:spacing w:line="140" w:lineRule="exact"/>
              <w:jc w:val="right"/>
              <w:rPr>
                <w:rFonts w:ascii="Arial" w:eastAsia="Times New Roman" w:hAnsi="Arial" w:cs="Arial"/>
                <w:color w:val="000000" w:themeColor="text1"/>
                <w:sz w:val="18"/>
                <w:szCs w:val="18"/>
              </w:rPr>
            </w:pPr>
          </w:p>
        </w:tc>
        <w:tc>
          <w:tcPr>
            <w:tcW w:w="1667" w:type="dxa"/>
            <w:tcBorders>
              <w:top w:val="single" w:sz="12" w:space="0" w:color="auto"/>
              <w:left w:val="nil"/>
              <w:bottom w:val="nil"/>
              <w:right w:val="nil"/>
            </w:tcBorders>
            <w:shd w:val="clear" w:color="auto" w:fill="auto"/>
            <w:noWrap/>
            <w:vAlign w:val="bottom"/>
          </w:tcPr>
          <w:p w14:paraId="288C9F00" w14:textId="77777777" w:rsidR="00AE13B3" w:rsidRPr="002910E3" w:rsidRDefault="00AE13B3" w:rsidP="00AE13B3">
            <w:pPr>
              <w:suppressAutoHyphens/>
              <w:autoSpaceDN w:val="0"/>
              <w:spacing w:line="300" w:lineRule="exact"/>
              <w:jc w:val="right"/>
              <w:rPr>
                <w:rFonts w:ascii="Arial" w:eastAsia="Times New Roman" w:hAnsi="Arial" w:cs="Arial"/>
                <w:b/>
                <w:bCs/>
                <w:color w:val="000000" w:themeColor="text1"/>
                <w:sz w:val="18"/>
                <w:szCs w:val="18"/>
              </w:rPr>
            </w:pPr>
          </w:p>
        </w:tc>
        <w:tc>
          <w:tcPr>
            <w:tcW w:w="1168" w:type="dxa"/>
            <w:tcBorders>
              <w:top w:val="single" w:sz="12" w:space="0" w:color="auto"/>
              <w:left w:val="nil"/>
              <w:bottom w:val="nil"/>
              <w:right w:val="nil"/>
            </w:tcBorders>
            <w:shd w:val="clear" w:color="auto" w:fill="auto"/>
            <w:noWrap/>
            <w:vAlign w:val="bottom"/>
          </w:tcPr>
          <w:p w14:paraId="35BC79D9" w14:textId="77777777" w:rsidR="00AE13B3" w:rsidRPr="002910E3" w:rsidRDefault="00AE13B3" w:rsidP="00AE13B3">
            <w:pPr>
              <w:suppressAutoHyphens/>
              <w:autoSpaceDN w:val="0"/>
              <w:spacing w:line="300" w:lineRule="exact"/>
              <w:jc w:val="right"/>
              <w:rPr>
                <w:rFonts w:ascii="Arial" w:eastAsia="Times New Roman" w:hAnsi="Arial" w:cs="Arial"/>
                <w:b/>
                <w:bCs/>
                <w:color w:val="000000" w:themeColor="text1"/>
                <w:sz w:val="18"/>
                <w:szCs w:val="18"/>
              </w:rPr>
            </w:pPr>
          </w:p>
        </w:tc>
        <w:tc>
          <w:tcPr>
            <w:tcW w:w="1559" w:type="dxa"/>
            <w:tcBorders>
              <w:top w:val="single" w:sz="12" w:space="0" w:color="auto"/>
              <w:left w:val="nil"/>
              <w:bottom w:val="nil"/>
              <w:right w:val="nil"/>
            </w:tcBorders>
            <w:shd w:val="clear" w:color="auto" w:fill="auto"/>
            <w:noWrap/>
            <w:vAlign w:val="bottom"/>
          </w:tcPr>
          <w:p w14:paraId="1A9B522D" w14:textId="77777777" w:rsidR="00AE13B3" w:rsidRPr="002910E3" w:rsidRDefault="00AE13B3" w:rsidP="00AE13B3">
            <w:pPr>
              <w:suppressAutoHyphens/>
              <w:autoSpaceDN w:val="0"/>
              <w:spacing w:line="300" w:lineRule="exact"/>
              <w:jc w:val="right"/>
              <w:rPr>
                <w:rFonts w:ascii="Arial" w:eastAsia="Times New Roman" w:hAnsi="Arial" w:cs="Arial"/>
                <w:b/>
                <w:bCs/>
                <w:color w:val="000000" w:themeColor="text1"/>
                <w:sz w:val="18"/>
                <w:szCs w:val="18"/>
              </w:rPr>
            </w:pPr>
          </w:p>
        </w:tc>
        <w:tc>
          <w:tcPr>
            <w:tcW w:w="1134" w:type="dxa"/>
            <w:tcBorders>
              <w:top w:val="single" w:sz="12" w:space="0" w:color="auto"/>
              <w:left w:val="nil"/>
              <w:bottom w:val="nil"/>
              <w:right w:val="nil"/>
            </w:tcBorders>
            <w:shd w:val="clear" w:color="auto" w:fill="auto"/>
            <w:noWrap/>
            <w:vAlign w:val="bottom"/>
          </w:tcPr>
          <w:p w14:paraId="53AC41BE" w14:textId="77777777" w:rsidR="00AE13B3" w:rsidRPr="002910E3" w:rsidRDefault="00AE13B3" w:rsidP="00AE13B3">
            <w:pPr>
              <w:suppressAutoHyphens/>
              <w:autoSpaceDN w:val="0"/>
              <w:spacing w:line="300" w:lineRule="exact"/>
              <w:jc w:val="right"/>
              <w:rPr>
                <w:rFonts w:ascii="Arial" w:eastAsia="Times New Roman" w:hAnsi="Arial" w:cs="Arial"/>
                <w:b/>
                <w:bCs/>
                <w:color w:val="000000" w:themeColor="text1"/>
                <w:sz w:val="18"/>
                <w:szCs w:val="18"/>
              </w:rPr>
            </w:pPr>
          </w:p>
        </w:tc>
      </w:tr>
      <w:tr w:rsidR="00BC3E52" w:rsidRPr="003D1614" w14:paraId="210A014E" w14:textId="77777777" w:rsidTr="002C607E">
        <w:trPr>
          <w:trHeight w:val="300"/>
        </w:trPr>
        <w:tc>
          <w:tcPr>
            <w:tcW w:w="3261" w:type="dxa"/>
            <w:tcBorders>
              <w:top w:val="nil"/>
              <w:left w:val="nil"/>
              <w:bottom w:val="nil"/>
              <w:right w:val="nil"/>
            </w:tcBorders>
            <w:shd w:val="clear" w:color="auto" w:fill="auto"/>
            <w:vAlign w:val="bottom"/>
          </w:tcPr>
          <w:p w14:paraId="7961F9E7" w14:textId="77777777" w:rsidR="00BC3E52" w:rsidRPr="003D1614" w:rsidRDefault="00BC3E52" w:rsidP="00BC3E52">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Obveze segmenta</w:t>
            </w:r>
          </w:p>
        </w:tc>
        <w:tc>
          <w:tcPr>
            <w:tcW w:w="1134" w:type="dxa"/>
            <w:shd w:val="clear" w:color="auto" w:fill="auto"/>
            <w:noWrap/>
          </w:tcPr>
          <w:p w14:paraId="3EBCFEBD" w14:textId="7B617066" w:rsidR="00BC3E52" w:rsidRPr="002910E3" w:rsidRDefault="00BC3E52" w:rsidP="00BC3E52">
            <w:pPr>
              <w:suppressAutoHyphens/>
              <w:autoSpaceDN w:val="0"/>
              <w:spacing w:line="300" w:lineRule="exact"/>
              <w:jc w:val="right"/>
              <w:rPr>
                <w:rFonts w:ascii="Arial" w:eastAsia="Times New Roman" w:hAnsi="Arial" w:cs="Arial"/>
                <w:color w:val="000000" w:themeColor="text1"/>
                <w:sz w:val="18"/>
                <w:szCs w:val="18"/>
              </w:rPr>
            </w:pPr>
            <w:r w:rsidRPr="00F959D0">
              <w:rPr>
                <w:rFonts w:ascii="Arial" w:hAnsi="Arial" w:cs="Arial"/>
                <w:color w:val="000000" w:themeColor="text1"/>
                <w:sz w:val="18"/>
                <w:szCs w:val="18"/>
              </w:rPr>
              <w:t xml:space="preserve"> 2.561.161 </w:t>
            </w:r>
          </w:p>
        </w:tc>
        <w:tc>
          <w:tcPr>
            <w:tcW w:w="1667" w:type="dxa"/>
            <w:shd w:val="clear" w:color="auto" w:fill="auto"/>
            <w:noWrap/>
          </w:tcPr>
          <w:p w14:paraId="7385812F" w14:textId="07080348" w:rsidR="00BC3E52" w:rsidRPr="002910E3" w:rsidRDefault="00BC3E52" w:rsidP="00BC3E52">
            <w:pPr>
              <w:suppressAutoHyphens/>
              <w:autoSpaceDN w:val="0"/>
              <w:spacing w:line="300" w:lineRule="exact"/>
              <w:jc w:val="right"/>
              <w:rPr>
                <w:rFonts w:ascii="Arial" w:eastAsia="Times New Roman" w:hAnsi="Arial" w:cs="Arial"/>
                <w:color w:val="000000" w:themeColor="text1"/>
                <w:sz w:val="18"/>
                <w:szCs w:val="18"/>
              </w:rPr>
            </w:pPr>
            <w:r w:rsidRPr="00F959D0">
              <w:rPr>
                <w:rFonts w:ascii="Arial" w:hAnsi="Arial" w:cs="Arial"/>
                <w:color w:val="000000" w:themeColor="text1"/>
                <w:sz w:val="18"/>
                <w:szCs w:val="18"/>
              </w:rPr>
              <w:t xml:space="preserve"> 2.484 </w:t>
            </w:r>
          </w:p>
        </w:tc>
        <w:tc>
          <w:tcPr>
            <w:tcW w:w="1168" w:type="dxa"/>
            <w:shd w:val="clear" w:color="auto" w:fill="auto"/>
            <w:noWrap/>
          </w:tcPr>
          <w:p w14:paraId="63B9D0D2" w14:textId="1AF68573" w:rsidR="00BC3E52" w:rsidRPr="002910E3" w:rsidRDefault="00BC3E52" w:rsidP="00BC3E52">
            <w:pPr>
              <w:suppressAutoHyphens/>
              <w:autoSpaceDN w:val="0"/>
              <w:spacing w:line="300" w:lineRule="exact"/>
              <w:jc w:val="right"/>
              <w:rPr>
                <w:rFonts w:ascii="Arial" w:eastAsia="Times New Roman" w:hAnsi="Arial" w:cs="Arial"/>
                <w:color w:val="000000" w:themeColor="text1"/>
                <w:sz w:val="18"/>
                <w:szCs w:val="18"/>
              </w:rPr>
            </w:pPr>
            <w:r w:rsidRPr="00F959D0">
              <w:rPr>
                <w:rFonts w:ascii="Arial" w:hAnsi="Arial" w:cs="Arial"/>
                <w:color w:val="000000" w:themeColor="text1"/>
                <w:sz w:val="18"/>
                <w:szCs w:val="18"/>
              </w:rPr>
              <w:t xml:space="preserve"> 16 </w:t>
            </w:r>
          </w:p>
        </w:tc>
        <w:tc>
          <w:tcPr>
            <w:tcW w:w="1559" w:type="dxa"/>
            <w:shd w:val="clear" w:color="auto" w:fill="auto"/>
            <w:noWrap/>
          </w:tcPr>
          <w:p w14:paraId="6A8D0617" w14:textId="4F7D14C6" w:rsidR="00BC3E52" w:rsidRPr="002910E3" w:rsidRDefault="00BC3E52" w:rsidP="00BC3E52">
            <w:pPr>
              <w:suppressAutoHyphens/>
              <w:autoSpaceDN w:val="0"/>
              <w:spacing w:line="300" w:lineRule="exact"/>
              <w:jc w:val="right"/>
              <w:rPr>
                <w:rFonts w:ascii="Arial" w:eastAsia="Times New Roman" w:hAnsi="Arial" w:cs="Arial"/>
                <w:color w:val="000000" w:themeColor="text1"/>
                <w:sz w:val="18"/>
                <w:szCs w:val="18"/>
              </w:rPr>
            </w:pPr>
            <w:r w:rsidRPr="00F959D0">
              <w:rPr>
                <w:rFonts w:ascii="Arial" w:hAnsi="Arial" w:cs="Arial"/>
                <w:color w:val="000000" w:themeColor="text1"/>
                <w:sz w:val="18"/>
                <w:szCs w:val="18"/>
              </w:rPr>
              <w:t xml:space="preserve"> (4)</w:t>
            </w:r>
          </w:p>
        </w:tc>
        <w:tc>
          <w:tcPr>
            <w:tcW w:w="1134" w:type="dxa"/>
            <w:shd w:val="clear" w:color="auto" w:fill="auto"/>
            <w:noWrap/>
          </w:tcPr>
          <w:p w14:paraId="3F2F9F96" w14:textId="76255E4E" w:rsidR="00BC3E52" w:rsidRPr="002910E3" w:rsidRDefault="00BC3E52" w:rsidP="00BC3E52">
            <w:pPr>
              <w:suppressAutoHyphens/>
              <w:autoSpaceDN w:val="0"/>
              <w:spacing w:line="300" w:lineRule="exact"/>
              <w:jc w:val="right"/>
              <w:rPr>
                <w:rFonts w:ascii="Arial" w:eastAsia="Times New Roman" w:hAnsi="Arial" w:cs="Arial"/>
                <w:color w:val="000000" w:themeColor="text1"/>
                <w:sz w:val="18"/>
                <w:szCs w:val="18"/>
              </w:rPr>
            </w:pPr>
            <w:r w:rsidRPr="00F959D0">
              <w:rPr>
                <w:rFonts w:ascii="Arial" w:hAnsi="Arial" w:cs="Arial"/>
                <w:color w:val="000000" w:themeColor="text1"/>
                <w:sz w:val="18"/>
                <w:szCs w:val="18"/>
              </w:rPr>
              <w:t xml:space="preserve"> 2.563.657 </w:t>
            </w:r>
          </w:p>
        </w:tc>
      </w:tr>
      <w:tr w:rsidR="00BC3E52" w:rsidRPr="003D1614" w14:paraId="4076BAFD" w14:textId="77777777" w:rsidTr="002C607E">
        <w:trPr>
          <w:trHeight w:val="300"/>
        </w:trPr>
        <w:tc>
          <w:tcPr>
            <w:tcW w:w="3261" w:type="dxa"/>
            <w:tcBorders>
              <w:top w:val="nil"/>
              <w:left w:val="nil"/>
              <w:right w:val="nil"/>
            </w:tcBorders>
            <w:shd w:val="clear" w:color="auto" w:fill="auto"/>
            <w:vAlign w:val="bottom"/>
          </w:tcPr>
          <w:p w14:paraId="17E0CF93" w14:textId="77777777" w:rsidR="00BC3E52" w:rsidRPr="003D1614" w:rsidRDefault="00BC3E52" w:rsidP="00BC3E52">
            <w:pPr>
              <w:suppressAutoHyphens/>
              <w:autoSpaceDN w:val="0"/>
              <w:spacing w:line="300" w:lineRule="exact"/>
              <w:rPr>
                <w:rFonts w:ascii="Arial" w:eastAsia="Times New Roman" w:hAnsi="Arial" w:cs="Arial"/>
                <w:color w:val="000000" w:themeColor="text1"/>
                <w:sz w:val="18"/>
                <w:szCs w:val="18"/>
              </w:rPr>
            </w:pPr>
            <w:r w:rsidRPr="003D1614">
              <w:rPr>
                <w:rFonts w:ascii="Arial" w:eastAsia="Times New Roman" w:hAnsi="Arial" w:cs="Arial"/>
                <w:color w:val="000000" w:themeColor="text1"/>
                <w:sz w:val="18"/>
                <w:szCs w:val="18"/>
              </w:rPr>
              <w:t>Ukupni kapital i rezerve</w:t>
            </w:r>
          </w:p>
        </w:tc>
        <w:tc>
          <w:tcPr>
            <w:tcW w:w="1134" w:type="dxa"/>
            <w:tcBorders>
              <w:top w:val="nil"/>
              <w:left w:val="nil"/>
              <w:bottom w:val="single" w:sz="4" w:space="0" w:color="auto"/>
              <w:right w:val="nil"/>
            </w:tcBorders>
            <w:shd w:val="clear" w:color="auto" w:fill="auto"/>
            <w:noWrap/>
          </w:tcPr>
          <w:p w14:paraId="268803C2" w14:textId="17471148" w:rsidR="00BC3E52" w:rsidRPr="002910E3" w:rsidRDefault="00BC3E52" w:rsidP="00BC3E52">
            <w:pPr>
              <w:suppressAutoHyphens/>
              <w:autoSpaceDN w:val="0"/>
              <w:spacing w:line="300" w:lineRule="exact"/>
              <w:jc w:val="right"/>
              <w:rPr>
                <w:rFonts w:ascii="Arial" w:eastAsia="Times New Roman" w:hAnsi="Arial" w:cs="Arial"/>
                <w:color w:val="000000" w:themeColor="text1"/>
                <w:sz w:val="18"/>
                <w:szCs w:val="18"/>
              </w:rPr>
            </w:pPr>
            <w:r w:rsidRPr="00F959D0">
              <w:rPr>
                <w:rFonts w:ascii="Arial" w:hAnsi="Arial" w:cs="Arial"/>
                <w:color w:val="000000" w:themeColor="text1"/>
                <w:sz w:val="18"/>
                <w:szCs w:val="18"/>
              </w:rPr>
              <w:t xml:space="preserve"> 1.457.523 </w:t>
            </w:r>
          </w:p>
        </w:tc>
        <w:tc>
          <w:tcPr>
            <w:tcW w:w="1667" w:type="dxa"/>
            <w:tcBorders>
              <w:top w:val="nil"/>
              <w:left w:val="nil"/>
              <w:bottom w:val="single" w:sz="4" w:space="0" w:color="auto"/>
              <w:right w:val="nil"/>
            </w:tcBorders>
            <w:shd w:val="clear" w:color="auto" w:fill="auto"/>
            <w:noWrap/>
          </w:tcPr>
          <w:p w14:paraId="4B04FCA6" w14:textId="5E35A7C5" w:rsidR="00BC3E52" w:rsidRPr="002910E3" w:rsidRDefault="00BC3E52" w:rsidP="00BC3E52">
            <w:pPr>
              <w:suppressAutoHyphens/>
              <w:autoSpaceDN w:val="0"/>
              <w:spacing w:line="300" w:lineRule="exact"/>
              <w:jc w:val="right"/>
              <w:rPr>
                <w:rFonts w:ascii="Arial" w:eastAsia="Times New Roman" w:hAnsi="Arial" w:cs="Arial"/>
                <w:color w:val="000000" w:themeColor="text1"/>
                <w:sz w:val="18"/>
                <w:szCs w:val="18"/>
              </w:rPr>
            </w:pPr>
            <w:r w:rsidRPr="00F959D0">
              <w:rPr>
                <w:rFonts w:ascii="Arial" w:hAnsi="Arial" w:cs="Arial"/>
                <w:color w:val="000000" w:themeColor="text1"/>
                <w:sz w:val="18"/>
                <w:szCs w:val="18"/>
              </w:rPr>
              <w:t xml:space="preserve"> 49 </w:t>
            </w:r>
          </w:p>
        </w:tc>
        <w:tc>
          <w:tcPr>
            <w:tcW w:w="1168" w:type="dxa"/>
            <w:tcBorders>
              <w:top w:val="nil"/>
              <w:left w:val="nil"/>
              <w:bottom w:val="single" w:sz="4" w:space="0" w:color="auto"/>
              <w:right w:val="nil"/>
            </w:tcBorders>
            <w:shd w:val="clear" w:color="auto" w:fill="auto"/>
            <w:noWrap/>
          </w:tcPr>
          <w:p w14:paraId="195D379C" w14:textId="73648E2A" w:rsidR="00BC3E52" w:rsidRPr="002910E3" w:rsidRDefault="00BC3E52" w:rsidP="00BC3E52">
            <w:pPr>
              <w:suppressAutoHyphens/>
              <w:autoSpaceDN w:val="0"/>
              <w:spacing w:line="300" w:lineRule="exact"/>
              <w:jc w:val="right"/>
              <w:rPr>
                <w:rFonts w:ascii="Arial" w:eastAsia="Times New Roman" w:hAnsi="Arial" w:cs="Arial"/>
                <w:color w:val="000000" w:themeColor="text1"/>
                <w:sz w:val="18"/>
                <w:szCs w:val="18"/>
              </w:rPr>
            </w:pPr>
            <w:r w:rsidRPr="00F959D0">
              <w:rPr>
                <w:rFonts w:ascii="Arial" w:hAnsi="Arial" w:cs="Arial"/>
                <w:color w:val="000000" w:themeColor="text1"/>
                <w:sz w:val="18"/>
                <w:szCs w:val="18"/>
              </w:rPr>
              <w:t xml:space="preserve"> 93 </w:t>
            </w:r>
          </w:p>
        </w:tc>
        <w:tc>
          <w:tcPr>
            <w:tcW w:w="1559" w:type="dxa"/>
            <w:tcBorders>
              <w:top w:val="nil"/>
              <w:left w:val="nil"/>
              <w:bottom w:val="single" w:sz="4" w:space="0" w:color="auto"/>
              <w:right w:val="nil"/>
            </w:tcBorders>
            <w:shd w:val="clear" w:color="auto" w:fill="auto"/>
            <w:noWrap/>
          </w:tcPr>
          <w:p w14:paraId="282B2434" w14:textId="1326CA6B" w:rsidR="00BC3E52" w:rsidRPr="002910E3" w:rsidRDefault="00BC3E52" w:rsidP="00BC3E52">
            <w:pPr>
              <w:suppressAutoHyphens/>
              <w:autoSpaceDN w:val="0"/>
              <w:spacing w:line="300" w:lineRule="exact"/>
              <w:jc w:val="right"/>
              <w:rPr>
                <w:rFonts w:ascii="Arial" w:eastAsia="Times New Roman" w:hAnsi="Arial" w:cs="Arial"/>
                <w:color w:val="000000" w:themeColor="text1"/>
                <w:sz w:val="18"/>
                <w:szCs w:val="18"/>
              </w:rPr>
            </w:pPr>
            <w:r w:rsidRPr="00F959D0">
              <w:rPr>
                <w:rFonts w:ascii="Arial" w:hAnsi="Arial" w:cs="Arial"/>
                <w:color w:val="000000" w:themeColor="text1"/>
                <w:sz w:val="18"/>
                <w:szCs w:val="18"/>
              </w:rPr>
              <w:t xml:space="preserve"> 214 </w:t>
            </w:r>
          </w:p>
        </w:tc>
        <w:tc>
          <w:tcPr>
            <w:tcW w:w="1134" w:type="dxa"/>
            <w:tcBorders>
              <w:top w:val="nil"/>
              <w:left w:val="nil"/>
              <w:bottom w:val="single" w:sz="4" w:space="0" w:color="auto"/>
              <w:right w:val="nil"/>
            </w:tcBorders>
            <w:shd w:val="clear" w:color="auto" w:fill="auto"/>
            <w:noWrap/>
          </w:tcPr>
          <w:p w14:paraId="1A18B223" w14:textId="1C8FFC6B" w:rsidR="00BC3E52" w:rsidRPr="002910E3" w:rsidRDefault="00BC3E52" w:rsidP="00BC3E52">
            <w:pPr>
              <w:suppressAutoHyphens/>
              <w:autoSpaceDN w:val="0"/>
              <w:spacing w:line="300" w:lineRule="exact"/>
              <w:jc w:val="right"/>
              <w:rPr>
                <w:rFonts w:ascii="Arial" w:eastAsia="Times New Roman" w:hAnsi="Arial" w:cs="Arial"/>
                <w:color w:val="000000" w:themeColor="text1"/>
                <w:sz w:val="18"/>
                <w:szCs w:val="18"/>
              </w:rPr>
            </w:pPr>
            <w:r w:rsidRPr="00F959D0">
              <w:rPr>
                <w:rFonts w:ascii="Arial" w:hAnsi="Arial" w:cs="Arial"/>
                <w:color w:val="000000" w:themeColor="text1"/>
                <w:sz w:val="18"/>
                <w:szCs w:val="18"/>
              </w:rPr>
              <w:t xml:space="preserve"> 1.457.879 </w:t>
            </w:r>
          </w:p>
        </w:tc>
      </w:tr>
      <w:tr w:rsidR="00BC3E52" w:rsidRPr="003D1614" w14:paraId="3188BBD2" w14:textId="77777777" w:rsidTr="002C607E">
        <w:trPr>
          <w:trHeight w:val="315"/>
        </w:trPr>
        <w:tc>
          <w:tcPr>
            <w:tcW w:w="3261" w:type="dxa"/>
            <w:tcBorders>
              <w:left w:val="nil"/>
              <w:right w:val="nil"/>
            </w:tcBorders>
            <w:shd w:val="clear" w:color="auto" w:fill="auto"/>
            <w:vAlign w:val="bottom"/>
          </w:tcPr>
          <w:p w14:paraId="25F04052" w14:textId="77777777" w:rsidR="00BC3E52" w:rsidRPr="003D1614" w:rsidRDefault="00BC3E52" w:rsidP="00BC3E52">
            <w:pPr>
              <w:suppressAutoHyphens/>
              <w:autoSpaceDN w:val="0"/>
              <w:spacing w:line="300" w:lineRule="exac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Ukupne obveze i kapital i rezerve</w:t>
            </w:r>
          </w:p>
        </w:tc>
        <w:tc>
          <w:tcPr>
            <w:tcW w:w="1134" w:type="dxa"/>
            <w:tcBorders>
              <w:top w:val="single" w:sz="4" w:space="0" w:color="auto"/>
              <w:left w:val="nil"/>
              <w:bottom w:val="single" w:sz="12" w:space="0" w:color="auto"/>
              <w:right w:val="nil"/>
            </w:tcBorders>
            <w:shd w:val="clear" w:color="auto" w:fill="auto"/>
            <w:noWrap/>
          </w:tcPr>
          <w:p w14:paraId="0CE05D6A" w14:textId="78B8F6E9" w:rsidR="00BC3E52" w:rsidRPr="003D1614" w:rsidRDefault="00BC3E52" w:rsidP="00BC3E52">
            <w:pPr>
              <w:suppressAutoHyphens/>
              <w:autoSpaceDN w:val="0"/>
              <w:spacing w:line="300" w:lineRule="exact"/>
              <w:jc w:val="right"/>
              <w:rPr>
                <w:rFonts w:ascii="Arial" w:eastAsia="Times New Roman" w:hAnsi="Arial" w:cs="Arial"/>
                <w:b/>
                <w:bCs/>
                <w:color w:val="000000" w:themeColor="text1"/>
                <w:sz w:val="18"/>
                <w:szCs w:val="18"/>
              </w:rPr>
            </w:pPr>
            <w:r w:rsidRPr="00F959D0">
              <w:rPr>
                <w:rFonts w:ascii="Arial" w:hAnsi="Arial" w:cs="Arial"/>
                <w:b/>
                <w:bCs/>
                <w:color w:val="000000" w:themeColor="text1"/>
                <w:sz w:val="18"/>
                <w:szCs w:val="18"/>
              </w:rPr>
              <w:t xml:space="preserve"> 4.018.684 </w:t>
            </w:r>
          </w:p>
        </w:tc>
        <w:tc>
          <w:tcPr>
            <w:tcW w:w="1667" w:type="dxa"/>
            <w:tcBorders>
              <w:top w:val="single" w:sz="4" w:space="0" w:color="auto"/>
              <w:left w:val="nil"/>
              <w:bottom w:val="single" w:sz="12" w:space="0" w:color="auto"/>
              <w:right w:val="nil"/>
            </w:tcBorders>
            <w:shd w:val="clear" w:color="auto" w:fill="auto"/>
            <w:noWrap/>
          </w:tcPr>
          <w:p w14:paraId="166C53E6" w14:textId="7A02F4BF" w:rsidR="00BC3E52" w:rsidRPr="003D1614" w:rsidRDefault="00BC3E52" w:rsidP="00BC3E52">
            <w:pPr>
              <w:suppressAutoHyphens/>
              <w:autoSpaceDN w:val="0"/>
              <w:spacing w:line="300" w:lineRule="exact"/>
              <w:jc w:val="right"/>
              <w:rPr>
                <w:rFonts w:ascii="Arial" w:eastAsia="Times New Roman" w:hAnsi="Arial" w:cs="Arial"/>
                <w:b/>
                <w:bCs/>
                <w:color w:val="000000" w:themeColor="text1"/>
                <w:sz w:val="18"/>
                <w:szCs w:val="18"/>
              </w:rPr>
            </w:pPr>
            <w:r w:rsidRPr="00F959D0">
              <w:rPr>
                <w:rFonts w:ascii="Arial" w:hAnsi="Arial" w:cs="Arial"/>
                <w:b/>
                <w:bCs/>
                <w:color w:val="000000" w:themeColor="text1"/>
                <w:sz w:val="18"/>
                <w:szCs w:val="18"/>
              </w:rPr>
              <w:t xml:space="preserve"> 2.533 </w:t>
            </w:r>
          </w:p>
        </w:tc>
        <w:tc>
          <w:tcPr>
            <w:tcW w:w="1168" w:type="dxa"/>
            <w:tcBorders>
              <w:top w:val="single" w:sz="4" w:space="0" w:color="auto"/>
              <w:left w:val="nil"/>
              <w:bottom w:val="single" w:sz="12" w:space="0" w:color="auto"/>
              <w:right w:val="nil"/>
            </w:tcBorders>
            <w:shd w:val="clear" w:color="auto" w:fill="auto"/>
            <w:noWrap/>
          </w:tcPr>
          <w:p w14:paraId="54DB4E5C" w14:textId="2D5D4916" w:rsidR="00BC3E52" w:rsidRPr="003D1614" w:rsidRDefault="00BC3E52" w:rsidP="00BC3E52">
            <w:pPr>
              <w:suppressAutoHyphens/>
              <w:autoSpaceDN w:val="0"/>
              <w:spacing w:line="300" w:lineRule="exact"/>
              <w:jc w:val="right"/>
              <w:rPr>
                <w:rFonts w:ascii="Arial" w:eastAsia="Times New Roman" w:hAnsi="Arial" w:cs="Arial"/>
                <w:b/>
                <w:bCs/>
                <w:color w:val="000000" w:themeColor="text1"/>
                <w:sz w:val="18"/>
                <w:szCs w:val="18"/>
              </w:rPr>
            </w:pPr>
            <w:r w:rsidRPr="00F959D0">
              <w:rPr>
                <w:rFonts w:ascii="Arial" w:hAnsi="Arial" w:cs="Arial"/>
                <w:b/>
                <w:bCs/>
                <w:color w:val="000000" w:themeColor="text1"/>
                <w:sz w:val="18"/>
                <w:szCs w:val="18"/>
              </w:rPr>
              <w:t xml:space="preserve"> 109 </w:t>
            </w:r>
          </w:p>
        </w:tc>
        <w:tc>
          <w:tcPr>
            <w:tcW w:w="1559" w:type="dxa"/>
            <w:tcBorders>
              <w:top w:val="single" w:sz="4" w:space="0" w:color="auto"/>
              <w:left w:val="nil"/>
              <w:bottom w:val="single" w:sz="12" w:space="0" w:color="auto"/>
              <w:right w:val="nil"/>
            </w:tcBorders>
            <w:shd w:val="clear" w:color="auto" w:fill="auto"/>
            <w:noWrap/>
          </w:tcPr>
          <w:p w14:paraId="7C59F4E9" w14:textId="482D3040" w:rsidR="00BC3E52" w:rsidRPr="003D1614" w:rsidRDefault="00BC3E52" w:rsidP="00BC3E52">
            <w:pPr>
              <w:suppressAutoHyphens/>
              <w:autoSpaceDN w:val="0"/>
              <w:spacing w:line="300" w:lineRule="exact"/>
              <w:jc w:val="right"/>
              <w:rPr>
                <w:rFonts w:ascii="Arial" w:eastAsia="Times New Roman" w:hAnsi="Arial" w:cs="Arial"/>
                <w:b/>
                <w:bCs/>
                <w:color w:val="000000" w:themeColor="text1"/>
                <w:sz w:val="18"/>
                <w:szCs w:val="18"/>
              </w:rPr>
            </w:pPr>
            <w:r w:rsidRPr="00F959D0">
              <w:rPr>
                <w:rFonts w:ascii="Arial" w:hAnsi="Arial" w:cs="Arial"/>
                <w:b/>
                <w:bCs/>
                <w:color w:val="000000" w:themeColor="text1"/>
                <w:sz w:val="18"/>
                <w:szCs w:val="18"/>
              </w:rPr>
              <w:t xml:space="preserve"> 210 </w:t>
            </w:r>
          </w:p>
        </w:tc>
        <w:tc>
          <w:tcPr>
            <w:tcW w:w="1134" w:type="dxa"/>
            <w:tcBorders>
              <w:top w:val="single" w:sz="4" w:space="0" w:color="auto"/>
              <w:left w:val="nil"/>
              <w:bottom w:val="single" w:sz="12" w:space="0" w:color="auto"/>
              <w:right w:val="nil"/>
            </w:tcBorders>
            <w:shd w:val="clear" w:color="auto" w:fill="auto"/>
            <w:noWrap/>
          </w:tcPr>
          <w:p w14:paraId="22159884" w14:textId="20802EAA" w:rsidR="00BC3E52" w:rsidRPr="003D1614" w:rsidRDefault="00BC3E52" w:rsidP="00BC3E52">
            <w:pPr>
              <w:suppressAutoHyphens/>
              <w:autoSpaceDN w:val="0"/>
              <w:spacing w:line="300" w:lineRule="exact"/>
              <w:jc w:val="right"/>
              <w:rPr>
                <w:rFonts w:ascii="Arial" w:eastAsia="Times New Roman" w:hAnsi="Arial" w:cs="Arial"/>
                <w:b/>
                <w:bCs/>
                <w:color w:val="000000" w:themeColor="text1"/>
                <w:sz w:val="18"/>
                <w:szCs w:val="18"/>
              </w:rPr>
            </w:pPr>
            <w:r w:rsidRPr="00F959D0">
              <w:rPr>
                <w:rFonts w:ascii="Arial" w:hAnsi="Arial" w:cs="Arial"/>
                <w:b/>
                <w:bCs/>
                <w:color w:val="000000" w:themeColor="text1"/>
                <w:sz w:val="18"/>
                <w:szCs w:val="18"/>
              </w:rPr>
              <w:t xml:space="preserve"> 4.021.536 </w:t>
            </w:r>
          </w:p>
        </w:tc>
      </w:tr>
    </w:tbl>
    <w:p w14:paraId="55D46B29" w14:textId="77777777" w:rsidR="00123748" w:rsidRPr="003D1614" w:rsidRDefault="00123748" w:rsidP="00123748">
      <w:pPr>
        <w:suppressAutoHyphens/>
        <w:autoSpaceDN w:val="0"/>
        <w:jc w:val="both"/>
        <w:rPr>
          <w:rFonts w:ascii="Arial" w:eastAsia="Calibri" w:hAnsi="Arial" w:cs="Arial"/>
          <w:color w:val="000000" w:themeColor="text1"/>
          <w:sz w:val="20"/>
          <w:szCs w:val="20"/>
        </w:rPr>
      </w:pPr>
    </w:p>
    <w:p w14:paraId="511FE30E" w14:textId="77777777" w:rsidR="00123748" w:rsidRPr="003D1614" w:rsidRDefault="00123748" w:rsidP="00123748">
      <w:pPr>
        <w:suppressAutoHyphens/>
        <w:autoSpaceDN w:val="0"/>
        <w:jc w:val="both"/>
        <w:rPr>
          <w:rFonts w:ascii="Arial" w:eastAsia="Calibri" w:hAnsi="Arial" w:cs="Arial"/>
          <w:color w:val="000000" w:themeColor="text1"/>
          <w:sz w:val="20"/>
          <w:szCs w:val="20"/>
        </w:rPr>
      </w:pPr>
      <w:r w:rsidRPr="003D1614">
        <w:rPr>
          <w:rFonts w:ascii="Arial" w:eastAsia="Calibri" w:hAnsi="Arial" w:cs="Arial"/>
          <w:color w:val="000000" w:themeColor="text1"/>
          <w:sz w:val="20"/>
          <w:szCs w:val="20"/>
        </w:rPr>
        <w:t>Međusobni odnosi između članica Grupe iskazani su u koloni „Neraspoređeno“.</w:t>
      </w:r>
    </w:p>
    <w:p w14:paraId="4F565DC9" w14:textId="77777777" w:rsidR="00123748" w:rsidRPr="003D1614" w:rsidRDefault="00123748" w:rsidP="00123748">
      <w:pPr>
        <w:suppressAutoHyphens/>
        <w:autoSpaceDN w:val="0"/>
        <w:jc w:val="both"/>
        <w:rPr>
          <w:rFonts w:ascii="Arial" w:eastAsia="Calibri" w:hAnsi="Arial" w:cs="Arial"/>
          <w:color w:val="000000" w:themeColor="text1"/>
          <w:sz w:val="20"/>
          <w:szCs w:val="20"/>
        </w:rPr>
      </w:pPr>
    </w:p>
    <w:p w14:paraId="2C781A1D" w14:textId="77777777" w:rsidR="00123748" w:rsidRDefault="00123748" w:rsidP="00DF6E3A">
      <w:pPr>
        <w:suppressAutoHyphens/>
        <w:autoSpaceDN w:val="0"/>
        <w:jc w:val="both"/>
        <w:rPr>
          <w:rFonts w:ascii="Arial" w:eastAsia="Calibri" w:hAnsi="Arial" w:cs="Arial"/>
          <w:color w:val="000000" w:themeColor="text1"/>
          <w:sz w:val="20"/>
          <w:szCs w:val="20"/>
        </w:rPr>
        <w:sectPr w:rsidR="00123748" w:rsidSect="003278AB">
          <w:footerReference w:type="default" r:id="rId32"/>
          <w:pgSz w:w="11906" w:h="16838"/>
          <w:pgMar w:top="1417" w:right="1417" w:bottom="1417" w:left="1417" w:header="708" w:footer="708" w:gutter="0"/>
          <w:cols w:space="708"/>
          <w:docGrid w:linePitch="360"/>
        </w:sectPr>
      </w:pPr>
    </w:p>
    <w:p w14:paraId="1ED2B74E" w14:textId="77777777" w:rsidR="0053176F" w:rsidRDefault="0053176F" w:rsidP="00DF6E3A">
      <w:pPr>
        <w:suppressAutoHyphens/>
        <w:autoSpaceDN w:val="0"/>
        <w:jc w:val="both"/>
        <w:rPr>
          <w:rFonts w:ascii="Arial" w:eastAsia="Calibri" w:hAnsi="Arial" w:cs="Arial"/>
          <w:color w:val="000000" w:themeColor="text1"/>
          <w:sz w:val="20"/>
          <w:szCs w:val="20"/>
        </w:rPr>
      </w:pPr>
    </w:p>
    <w:p w14:paraId="483EDF2C" w14:textId="77777777" w:rsidR="00C745F3" w:rsidRPr="0095347D" w:rsidRDefault="00C745F3" w:rsidP="00C745F3">
      <w:pPr>
        <w:keepNext/>
        <w:suppressAutoHyphens/>
        <w:autoSpaceDN w:val="0"/>
        <w:ind w:left="709" w:hanging="709"/>
        <w:jc w:val="both"/>
        <w:outlineLvl w:val="0"/>
        <w:rPr>
          <w:rFonts w:ascii="Arial" w:eastAsia="Times New Roman" w:hAnsi="Arial" w:cs="Arial"/>
          <w:b/>
          <w:bCs/>
          <w:color w:val="000000" w:themeColor="text1"/>
          <w:spacing w:val="-3"/>
          <w:sz w:val="20"/>
          <w:szCs w:val="20"/>
        </w:rPr>
      </w:pPr>
      <w:r>
        <w:rPr>
          <w:rFonts w:ascii="Arial" w:eastAsia="Times New Roman" w:hAnsi="Arial" w:cs="Arial"/>
          <w:b/>
          <w:bCs/>
          <w:color w:val="000000" w:themeColor="text1"/>
          <w:spacing w:val="-3"/>
          <w:sz w:val="20"/>
          <w:szCs w:val="20"/>
        </w:rPr>
        <w:t>26</w:t>
      </w:r>
      <w:r w:rsidRPr="0095347D">
        <w:rPr>
          <w:rFonts w:ascii="Arial" w:eastAsia="Times New Roman" w:hAnsi="Arial" w:cs="Arial"/>
          <w:b/>
          <w:bCs/>
          <w:color w:val="000000" w:themeColor="text1"/>
          <w:spacing w:val="-3"/>
          <w:sz w:val="20"/>
          <w:szCs w:val="20"/>
        </w:rPr>
        <w:t>.</w:t>
      </w:r>
      <w:r w:rsidRPr="0095347D">
        <w:rPr>
          <w:rFonts w:ascii="Arial" w:eastAsia="Times New Roman" w:hAnsi="Arial" w:cs="Arial"/>
          <w:b/>
          <w:bCs/>
          <w:color w:val="000000" w:themeColor="text1"/>
          <w:spacing w:val="-3"/>
          <w:sz w:val="20"/>
          <w:szCs w:val="20"/>
        </w:rPr>
        <w:tab/>
        <w:t>Upravljanje kapitalom</w:t>
      </w:r>
    </w:p>
    <w:p w14:paraId="2F047713"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18"/>
          <w:szCs w:val="18"/>
        </w:rPr>
      </w:pPr>
    </w:p>
    <w:p w14:paraId="5958D071"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Osnovni ciljevi Banke u upravljanju kapitalom su osiguravanje pretpostavki neograničenosti poslovanja („</w:t>
      </w:r>
      <w:proofErr w:type="spellStart"/>
      <w:r w:rsidRPr="0095347D">
        <w:rPr>
          <w:rFonts w:ascii="Arial" w:eastAsia="Times New Roman" w:hAnsi="Arial" w:cs="Arial"/>
          <w:color w:val="000000" w:themeColor="text1"/>
          <w:sz w:val="20"/>
          <w:szCs w:val="20"/>
        </w:rPr>
        <w:t>going-concern</w:t>
      </w:r>
      <w:proofErr w:type="spellEnd"/>
      <w:r w:rsidRPr="0095347D">
        <w:rPr>
          <w:rFonts w:ascii="Arial" w:eastAsia="Times New Roman" w:hAnsi="Arial" w:cs="Arial"/>
          <w:color w:val="000000" w:themeColor="text1"/>
          <w:sz w:val="20"/>
          <w:szCs w:val="20"/>
        </w:rPr>
        <w:t>“) i poštivanja regulatornih i ugovornih zahtjeva od strane vjerovnika o održavanju adekvatnosti kapitala.</w:t>
      </w:r>
    </w:p>
    <w:p w14:paraId="3F417643"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18"/>
          <w:szCs w:val="18"/>
        </w:rPr>
      </w:pPr>
    </w:p>
    <w:p w14:paraId="4D62C1CE"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Grupa je odredila regulatorni kapital kao kategoriju kapitala kojom upravlja.</w:t>
      </w:r>
    </w:p>
    <w:p w14:paraId="60B1D107"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18"/>
          <w:szCs w:val="18"/>
        </w:rPr>
      </w:pPr>
    </w:p>
    <w:p w14:paraId="20ACE78A"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Regulatorni kapital je iznos izvora sredstava koji se održava radi sigurnog i stabilnog poslovanja, odnosno radi ispunjenja obveza prema vjerovnicima. </w:t>
      </w:r>
    </w:p>
    <w:p w14:paraId="243B657D"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18"/>
          <w:szCs w:val="18"/>
        </w:rPr>
      </w:pPr>
    </w:p>
    <w:p w14:paraId="15B12369"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Regulatorni kapital HBOR-a je zbroj osnovnog kapitala i dopunskog kapitala. </w:t>
      </w:r>
    </w:p>
    <w:p w14:paraId="47A8330F"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18"/>
          <w:szCs w:val="18"/>
        </w:rPr>
      </w:pPr>
    </w:p>
    <w:p w14:paraId="1ABB9DF8"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HBOR osigurava da u svakom trenutku ima iznos kapitala adekvatan vrstama, opsegu i složenosti poslova koje obavlja i rizicima kojima je izložen ili bi mogao biti izložen u svom poslovanju.</w:t>
      </w:r>
    </w:p>
    <w:p w14:paraId="2AA7EC91"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Stopa ukupnog kapitala HBOR-a izračunava se kao odnos između regulatornog kapitala i ukupnog: </w:t>
      </w:r>
    </w:p>
    <w:p w14:paraId="072B365E" w14:textId="77777777" w:rsidR="00C745F3" w:rsidRPr="0095347D" w:rsidRDefault="00C745F3" w:rsidP="00C745F3">
      <w:pPr>
        <w:keepNext/>
        <w:numPr>
          <w:ilvl w:val="0"/>
          <w:numId w:val="33"/>
        </w:numPr>
        <w:tabs>
          <w:tab w:val="right" w:pos="9781"/>
        </w:tabs>
        <w:suppressAutoHyphens/>
        <w:autoSpaceDN w:val="0"/>
        <w:ind w:left="714" w:hanging="357"/>
        <w:jc w:val="both"/>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1. iznosa izloženosti ponderiranog kreditnim rizikom (propisan Metodologijom za izračun stope ukupnog kapitala HBOR-a) i </w:t>
      </w:r>
    </w:p>
    <w:p w14:paraId="1FD176C3" w14:textId="77777777" w:rsidR="00C745F3" w:rsidRPr="0095347D" w:rsidRDefault="00C745F3" w:rsidP="00C745F3">
      <w:pPr>
        <w:keepNext/>
        <w:numPr>
          <w:ilvl w:val="0"/>
          <w:numId w:val="33"/>
        </w:numPr>
        <w:tabs>
          <w:tab w:val="right" w:pos="9781"/>
        </w:tabs>
        <w:suppressAutoHyphens/>
        <w:autoSpaceDN w:val="0"/>
        <w:ind w:left="714" w:hanging="357"/>
        <w:jc w:val="both"/>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2. iznosa inicijalnih kapitalnih zahtjeva za tržišne rizike, rizik namire i operativni rizik (propisani Metodologijom za izračun stope ukupnog kapitala HBOR-a), pomnoženih s 12,5. </w:t>
      </w:r>
    </w:p>
    <w:p w14:paraId="41C5DCAC"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18"/>
          <w:szCs w:val="18"/>
        </w:rPr>
      </w:pPr>
    </w:p>
    <w:p w14:paraId="5EAF9769"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Stopa ukupnog kapitala izračunava se temeljem interne metodologije utemeljene na regulatornom okviru u skladu s pristupom izračuna Basel II, na primjeni određenih odredbi važeće bankovne regulative ovisno o mogućnostima sustava HBOR-a i uz daljnje strateško usmjerenje na njezin razvoj u skladu s važećom bankovnom regulativom, primjenjivom na HBOR kao razvojnu i izvoznu banku Republike Hrvatske. </w:t>
      </w:r>
    </w:p>
    <w:p w14:paraId="11508AB0"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18"/>
          <w:szCs w:val="18"/>
        </w:rPr>
      </w:pPr>
    </w:p>
    <w:p w14:paraId="59E538DC"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Sklonost preuzimanju rizika (apetit za rizik) jest razina i vrste rizika koje je HBOR spreman preuzeti kako bi ostvario ciljeve iz svoje strategije poslovanja, a uvijek se utvrđuje unutar definirane sposobnosti podnošenja rizika, koja predstavlja najveću razinu rizika koju HBOR može preuzeti s obzirom na svoju kapitalnu osnovu, sposobnost upravljanja rizicima i kontrole te regulatorna ograničenja ako su propisana i primjenjiva na HBOR. </w:t>
      </w:r>
    </w:p>
    <w:p w14:paraId="49C32F3B"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18"/>
          <w:szCs w:val="18"/>
        </w:rPr>
      </w:pPr>
    </w:p>
    <w:p w14:paraId="5FF7C612"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U okviru definiranja sklonosti preuzimanju rizika na strateškoj razini utvrđena je minimalno prihvatljiva stopa ukupnog kapitala u visini 20%.</w:t>
      </w:r>
    </w:p>
    <w:p w14:paraId="3F768000"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18"/>
          <w:szCs w:val="18"/>
        </w:rPr>
      </w:pPr>
    </w:p>
    <w:p w14:paraId="40194336" w14:textId="1A2458DD"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20"/>
          <w:szCs w:val="20"/>
        </w:rPr>
      </w:pPr>
      <w:r w:rsidRPr="0095347D">
        <w:rPr>
          <w:rFonts w:ascii="Arial" w:eastAsia="Times New Roman" w:hAnsi="Arial" w:cs="Arial"/>
          <w:color w:val="000000" w:themeColor="text1"/>
          <w:sz w:val="20"/>
          <w:szCs w:val="20"/>
        </w:rPr>
        <w:t xml:space="preserve">U nastavku se daje pregled stope adekvatnosti kapitala na dane 31. </w:t>
      </w:r>
      <w:r>
        <w:rPr>
          <w:rFonts w:ascii="Arial" w:eastAsia="Times New Roman" w:hAnsi="Arial" w:cs="Arial"/>
          <w:color w:val="000000" w:themeColor="text1"/>
          <w:sz w:val="20"/>
          <w:szCs w:val="20"/>
        </w:rPr>
        <w:t>ožujka</w:t>
      </w:r>
      <w:r w:rsidRPr="0095347D">
        <w:rPr>
          <w:rFonts w:ascii="Arial" w:eastAsia="Times New Roman" w:hAnsi="Arial" w:cs="Arial"/>
          <w:color w:val="000000" w:themeColor="text1"/>
          <w:sz w:val="20"/>
          <w:szCs w:val="20"/>
        </w:rPr>
        <w:t xml:space="preserve"> 202</w:t>
      </w:r>
      <w:r w:rsidR="00DF60C3">
        <w:rPr>
          <w:rFonts w:ascii="Arial" w:eastAsia="Times New Roman" w:hAnsi="Arial" w:cs="Arial"/>
          <w:color w:val="000000" w:themeColor="text1"/>
          <w:sz w:val="20"/>
          <w:szCs w:val="20"/>
        </w:rPr>
        <w:t>4</w:t>
      </w:r>
      <w:r w:rsidRPr="0095347D">
        <w:rPr>
          <w:rFonts w:ascii="Arial" w:eastAsia="Times New Roman" w:hAnsi="Arial" w:cs="Arial"/>
          <w:color w:val="000000" w:themeColor="text1"/>
          <w:sz w:val="20"/>
          <w:szCs w:val="20"/>
        </w:rPr>
        <w:t>. i 31. prosinca 202</w:t>
      </w:r>
      <w:r w:rsidR="00DF60C3">
        <w:rPr>
          <w:rFonts w:ascii="Arial" w:eastAsia="Times New Roman" w:hAnsi="Arial" w:cs="Arial"/>
          <w:color w:val="000000" w:themeColor="text1"/>
          <w:sz w:val="20"/>
          <w:szCs w:val="20"/>
        </w:rPr>
        <w:t>3</w:t>
      </w:r>
      <w:r w:rsidRPr="0095347D">
        <w:rPr>
          <w:rFonts w:ascii="Arial" w:eastAsia="Times New Roman" w:hAnsi="Arial" w:cs="Arial"/>
          <w:color w:val="000000" w:themeColor="text1"/>
          <w:sz w:val="20"/>
          <w:szCs w:val="20"/>
        </w:rPr>
        <w:t>.</w:t>
      </w:r>
    </w:p>
    <w:p w14:paraId="243445D6" w14:textId="77777777" w:rsidR="00C745F3" w:rsidRPr="0095347D" w:rsidRDefault="00C745F3" w:rsidP="00C745F3">
      <w:pPr>
        <w:keepNext/>
        <w:tabs>
          <w:tab w:val="right" w:pos="9781"/>
        </w:tabs>
        <w:suppressAutoHyphens/>
        <w:autoSpaceDN w:val="0"/>
        <w:jc w:val="both"/>
        <w:outlineLvl w:val="0"/>
        <w:rPr>
          <w:rFonts w:ascii="Arial" w:eastAsia="Times New Roman" w:hAnsi="Arial" w:cs="Arial"/>
          <w:color w:val="000000" w:themeColor="text1"/>
          <w:sz w:val="18"/>
          <w:szCs w:val="18"/>
        </w:rPr>
      </w:pPr>
    </w:p>
    <w:tbl>
      <w:tblPr>
        <w:tblW w:w="5228" w:type="pct"/>
        <w:jc w:val="center"/>
        <w:tblLayout w:type="fixed"/>
        <w:tblLook w:val="01E0" w:firstRow="1" w:lastRow="1" w:firstColumn="1" w:lastColumn="1" w:noHBand="0" w:noVBand="0"/>
      </w:tblPr>
      <w:tblGrid>
        <w:gridCol w:w="4127"/>
        <w:gridCol w:w="1340"/>
        <w:gridCol w:w="1339"/>
        <w:gridCol w:w="1339"/>
        <w:gridCol w:w="1341"/>
      </w:tblGrid>
      <w:tr w:rsidR="00C745F3" w:rsidRPr="0095347D" w14:paraId="3CBFE644" w14:textId="77777777" w:rsidTr="00CA7F04">
        <w:trPr>
          <w:trHeight w:val="190"/>
          <w:jc w:val="center"/>
        </w:trPr>
        <w:tc>
          <w:tcPr>
            <w:tcW w:w="2175" w:type="pct"/>
          </w:tcPr>
          <w:p w14:paraId="0467E6B5" w14:textId="77777777" w:rsidR="00C745F3" w:rsidRPr="0095347D" w:rsidRDefault="00C745F3" w:rsidP="00CA7F04">
            <w:pPr>
              <w:tabs>
                <w:tab w:val="right" w:pos="9781"/>
              </w:tabs>
              <w:suppressAutoHyphens/>
              <w:autoSpaceDN w:val="0"/>
              <w:spacing w:line="220" w:lineRule="exact"/>
              <w:jc w:val="both"/>
              <w:outlineLvl w:val="0"/>
              <w:rPr>
                <w:rFonts w:ascii="Arial" w:eastAsia="Times New Roman" w:hAnsi="Arial" w:cs="Arial"/>
                <w:color w:val="000000" w:themeColor="text1"/>
                <w:sz w:val="18"/>
                <w:szCs w:val="18"/>
              </w:rPr>
            </w:pPr>
          </w:p>
        </w:tc>
        <w:tc>
          <w:tcPr>
            <w:tcW w:w="706" w:type="pct"/>
            <w:vAlign w:val="bottom"/>
          </w:tcPr>
          <w:p w14:paraId="210A5791" w14:textId="77777777" w:rsidR="00C745F3" w:rsidRPr="0095347D" w:rsidRDefault="00C745F3" w:rsidP="00CA7F04">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p>
        </w:tc>
        <w:tc>
          <w:tcPr>
            <w:tcW w:w="706" w:type="pct"/>
            <w:vAlign w:val="bottom"/>
          </w:tcPr>
          <w:p w14:paraId="24CE16CA" w14:textId="77777777" w:rsidR="00C745F3" w:rsidRPr="0095347D" w:rsidRDefault="00C745F3" w:rsidP="00CA7F04">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Grupa</w:t>
            </w:r>
          </w:p>
        </w:tc>
        <w:tc>
          <w:tcPr>
            <w:tcW w:w="706" w:type="pct"/>
            <w:vAlign w:val="bottom"/>
          </w:tcPr>
          <w:p w14:paraId="114D174E" w14:textId="77777777" w:rsidR="00C745F3" w:rsidRPr="0095347D" w:rsidRDefault="00C745F3" w:rsidP="00CA7F04">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p>
        </w:tc>
        <w:tc>
          <w:tcPr>
            <w:tcW w:w="707" w:type="pct"/>
          </w:tcPr>
          <w:p w14:paraId="5583CF98" w14:textId="77777777" w:rsidR="00C745F3" w:rsidRPr="0095347D" w:rsidRDefault="00C745F3" w:rsidP="00CA7F04">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Banka</w:t>
            </w:r>
          </w:p>
        </w:tc>
      </w:tr>
      <w:tr w:rsidR="00C745F3" w:rsidRPr="0095347D" w14:paraId="6B585EBE" w14:textId="77777777" w:rsidTr="00CA7F04">
        <w:trPr>
          <w:trHeight w:val="190"/>
          <w:jc w:val="center"/>
        </w:trPr>
        <w:tc>
          <w:tcPr>
            <w:tcW w:w="2175" w:type="pct"/>
          </w:tcPr>
          <w:p w14:paraId="28F195B2" w14:textId="77777777" w:rsidR="00C745F3" w:rsidRPr="0095347D" w:rsidRDefault="00C745F3" w:rsidP="00CA7F04">
            <w:pPr>
              <w:tabs>
                <w:tab w:val="right" w:pos="9781"/>
              </w:tabs>
              <w:suppressAutoHyphens/>
              <w:autoSpaceDN w:val="0"/>
              <w:spacing w:line="220" w:lineRule="exact"/>
              <w:jc w:val="both"/>
              <w:outlineLvl w:val="0"/>
              <w:rPr>
                <w:rFonts w:ascii="Arial" w:eastAsia="Times New Roman" w:hAnsi="Arial" w:cs="Arial"/>
                <w:color w:val="000000" w:themeColor="text1"/>
                <w:sz w:val="18"/>
                <w:szCs w:val="18"/>
              </w:rPr>
            </w:pPr>
          </w:p>
        </w:tc>
        <w:tc>
          <w:tcPr>
            <w:tcW w:w="706" w:type="pct"/>
            <w:vAlign w:val="bottom"/>
          </w:tcPr>
          <w:p w14:paraId="5708A315" w14:textId="6DCF3401" w:rsidR="00C745F3" w:rsidRPr="0095347D" w:rsidRDefault="00C745F3" w:rsidP="00CA7F04">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31. ožujka 202</w:t>
            </w:r>
            <w:r w:rsidR="00DF60C3">
              <w:rPr>
                <w:rFonts w:ascii="Arial" w:eastAsia="Times New Roman" w:hAnsi="Arial" w:cs="Arial"/>
                <w:b/>
                <w:color w:val="000000" w:themeColor="text1"/>
                <w:sz w:val="18"/>
                <w:szCs w:val="18"/>
              </w:rPr>
              <w:t>4</w:t>
            </w:r>
            <w:r w:rsidR="002B5711">
              <w:rPr>
                <w:rFonts w:ascii="Arial" w:eastAsia="Times New Roman" w:hAnsi="Arial" w:cs="Arial"/>
                <w:b/>
                <w:color w:val="000000" w:themeColor="text1"/>
                <w:sz w:val="18"/>
                <w:szCs w:val="18"/>
              </w:rPr>
              <w:t>.</w:t>
            </w:r>
          </w:p>
        </w:tc>
        <w:tc>
          <w:tcPr>
            <w:tcW w:w="706" w:type="pct"/>
            <w:vAlign w:val="bottom"/>
          </w:tcPr>
          <w:p w14:paraId="0165392B" w14:textId="10418B07" w:rsidR="00C745F3" w:rsidRPr="0095347D" w:rsidRDefault="00C745F3" w:rsidP="00CA7F04">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31. prosinca 202</w:t>
            </w:r>
            <w:r w:rsidR="00DF60C3">
              <w:rPr>
                <w:rFonts w:ascii="Arial" w:eastAsia="Times New Roman" w:hAnsi="Arial" w:cs="Arial"/>
                <w:b/>
                <w:color w:val="000000" w:themeColor="text1"/>
                <w:sz w:val="18"/>
                <w:szCs w:val="18"/>
              </w:rPr>
              <w:t>3</w:t>
            </w:r>
            <w:r w:rsidRPr="0095347D">
              <w:rPr>
                <w:rFonts w:ascii="Arial" w:eastAsia="Times New Roman" w:hAnsi="Arial" w:cs="Arial"/>
                <w:b/>
                <w:color w:val="000000" w:themeColor="text1"/>
                <w:sz w:val="18"/>
                <w:szCs w:val="18"/>
              </w:rPr>
              <w:t>.</w:t>
            </w:r>
          </w:p>
        </w:tc>
        <w:tc>
          <w:tcPr>
            <w:tcW w:w="706" w:type="pct"/>
            <w:vAlign w:val="bottom"/>
          </w:tcPr>
          <w:p w14:paraId="234EE69D" w14:textId="146143CB" w:rsidR="00C745F3" w:rsidRPr="0095347D" w:rsidRDefault="00C745F3" w:rsidP="00CA7F04">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 xml:space="preserve">31. </w:t>
            </w:r>
            <w:r>
              <w:rPr>
                <w:rFonts w:ascii="Arial" w:eastAsia="Times New Roman" w:hAnsi="Arial" w:cs="Arial"/>
                <w:b/>
                <w:color w:val="000000" w:themeColor="text1"/>
                <w:sz w:val="18"/>
                <w:szCs w:val="18"/>
              </w:rPr>
              <w:t>ožujka</w:t>
            </w:r>
            <w:r w:rsidRPr="0095347D">
              <w:rPr>
                <w:rFonts w:ascii="Arial" w:eastAsia="Times New Roman" w:hAnsi="Arial" w:cs="Arial"/>
                <w:b/>
                <w:color w:val="000000" w:themeColor="text1"/>
                <w:sz w:val="18"/>
                <w:szCs w:val="18"/>
              </w:rPr>
              <w:t xml:space="preserve"> 202</w:t>
            </w:r>
            <w:r w:rsidR="001F4898">
              <w:rPr>
                <w:rFonts w:ascii="Arial" w:eastAsia="Times New Roman" w:hAnsi="Arial" w:cs="Arial"/>
                <w:b/>
                <w:color w:val="000000" w:themeColor="text1"/>
                <w:sz w:val="18"/>
                <w:szCs w:val="18"/>
              </w:rPr>
              <w:t>4</w:t>
            </w:r>
            <w:r w:rsidRPr="0095347D">
              <w:rPr>
                <w:rFonts w:ascii="Arial" w:eastAsia="Times New Roman" w:hAnsi="Arial" w:cs="Arial"/>
                <w:b/>
                <w:color w:val="000000" w:themeColor="text1"/>
                <w:sz w:val="18"/>
                <w:szCs w:val="18"/>
              </w:rPr>
              <w:t>.</w:t>
            </w:r>
          </w:p>
        </w:tc>
        <w:tc>
          <w:tcPr>
            <w:tcW w:w="707" w:type="pct"/>
            <w:vAlign w:val="bottom"/>
          </w:tcPr>
          <w:p w14:paraId="24F1CD29" w14:textId="226FE49A" w:rsidR="00C745F3" w:rsidRPr="0095347D" w:rsidRDefault="00C745F3" w:rsidP="00CA7F04">
            <w:pPr>
              <w:tabs>
                <w:tab w:val="right" w:pos="1202"/>
              </w:tabs>
              <w:suppressAutoHyphens/>
              <w:autoSpaceDN w:val="0"/>
              <w:spacing w:line="240" w:lineRule="atLeas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31. prosinca 202</w:t>
            </w:r>
            <w:r w:rsidR="001F4898">
              <w:rPr>
                <w:rFonts w:ascii="Arial" w:eastAsia="Times New Roman" w:hAnsi="Arial" w:cs="Arial"/>
                <w:b/>
                <w:color w:val="000000" w:themeColor="text1"/>
                <w:sz w:val="18"/>
                <w:szCs w:val="18"/>
              </w:rPr>
              <w:t>3</w:t>
            </w:r>
            <w:r w:rsidRPr="0095347D">
              <w:rPr>
                <w:rFonts w:ascii="Arial" w:eastAsia="Times New Roman" w:hAnsi="Arial" w:cs="Arial"/>
                <w:b/>
                <w:color w:val="000000" w:themeColor="text1"/>
                <w:sz w:val="18"/>
                <w:szCs w:val="18"/>
              </w:rPr>
              <w:t>.</w:t>
            </w:r>
          </w:p>
        </w:tc>
      </w:tr>
      <w:tr w:rsidR="00C745F3" w:rsidRPr="0095347D" w14:paraId="3FD4749D" w14:textId="77777777" w:rsidTr="00CA7F04">
        <w:trPr>
          <w:trHeight w:val="185"/>
          <w:jc w:val="center"/>
        </w:trPr>
        <w:tc>
          <w:tcPr>
            <w:tcW w:w="2175" w:type="pct"/>
          </w:tcPr>
          <w:p w14:paraId="3837941A" w14:textId="77777777" w:rsidR="00C745F3" w:rsidRPr="0095347D" w:rsidRDefault="00C745F3" w:rsidP="00CA7F04">
            <w:pPr>
              <w:tabs>
                <w:tab w:val="right" w:pos="1202"/>
                <w:tab w:val="right" w:pos="9781"/>
              </w:tabs>
              <w:suppressAutoHyphens/>
              <w:autoSpaceDN w:val="0"/>
              <w:spacing w:line="220" w:lineRule="exact"/>
              <w:outlineLvl w:val="0"/>
              <w:rPr>
                <w:rFonts w:ascii="Arial" w:eastAsia="Times New Roman" w:hAnsi="Arial" w:cs="Arial"/>
                <w:bCs/>
                <w:color w:val="000000" w:themeColor="text1"/>
                <w:sz w:val="18"/>
                <w:szCs w:val="18"/>
              </w:rPr>
            </w:pPr>
          </w:p>
        </w:tc>
        <w:tc>
          <w:tcPr>
            <w:tcW w:w="706" w:type="pct"/>
            <w:vAlign w:val="center"/>
          </w:tcPr>
          <w:p w14:paraId="4739690F" w14:textId="77777777" w:rsidR="00C745F3" w:rsidRPr="0095347D" w:rsidRDefault="00C745F3" w:rsidP="00CA7F04">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 xml:space="preserve">000 </w:t>
            </w:r>
            <w:r>
              <w:rPr>
                <w:rFonts w:ascii="Arial" w:eastAsia="Times New Roman" w:hAnsi="Arial" w:cs="Arial"/>
                <w:b/>
                <w:color w:val="000000" w:themeColor="text1"/>
                <w:sz w:val="18"/>
                <w:szCs w:val="18"/>
              </w:rPr>
              <w:t>eura</w:t>
            </w:r>
          </w:p>
        </w:tc>
        <w:tc>
          <w:tcPr>
            <w:tcW w:w="706" w:type="pct"/>
            <w:vAlign w:val="center"/>
          </w:tcPr>
          <w:p w14:paraId="00804676" w14:textId="77777777" w:rsidR="00C745F3" w:rsidRPr="0095347D" w:rsidRDefault="00C745F3" w:rsidP="00CA7F04">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 xml:space="preserve">000 </w:t>
            </w:r>
            <w:r>
              <w:rPr>
                <w:rFonts w:ascii="Arial" w:eastAsia="Times New Roman" w:hAnsi="Arial" w:cs="Arial"/>
                <w:b/>
                <w:color w:val="000000" w:themeColor="text1"/>
                <w:sz w:val="18"/>
                <w:szCs w:val="18"/>
              </w:rPr>
              <w:t>eura</w:t>
            </w:r>
          </w:p>
        </w:tc>
        <w:tc>
          <w:tcPr>
            <w:tcW w:w="706" w:type="pct"/>
            <w:vAlign w:val="center"/>
          </w:tcPr>
          <w:p w14:paraId="541BC075" w14:textId="77777777" w:rsidR="00C745F3" w:rsidRPr="0095347D" w:rsidRDefault="00C745F3" w:rsidP="00CA7F04">
            <w:pPr>
              <w:keepNext/>
              <w:suppressAutoHyphens/>
              <w:autoSpaceDN w:val="0"/>
              <w:spacing w:line="220" w:lineRule="exact"/>
              <w:jc w:val="right"/>
              <w:outlineLvl w:val="0"/>
              <w:rPr>
                <w:rFonts w:ascii="Arial" w:eastAsia="Times New Roman" w:hAnsi="Arial" w:cs="Arial"/>
                <w:b/>
                <w:bCs/>
                <w:color w:val="000000" w:themeColor="text1"/>
                <w:sz w:val="18"/>
                <w:szCs w:val="18"/>
              </w:rPr>
            </w:pPr>
            <w:r w:rsidRPr="0095347D">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c>
          <w:tcPr>
            <w:tcW w:w="707" w:type="pct"/>
            <w:vAlign w:val="center"/>
          </w:tcPr>
          <w:p w14:paraId="47B32D0F" w14:textId="77777777" w:rsidR="00C745F3" w:rsidRPr="0095347D" w:rsidRDefault="00C745F3" w:rsidP="00CA7F04">
            <w:pPr>
              <w:keepNext/>
              <w:suppressAutoHyphens/>
              <w:autoSpaceDN w:val="0"/>
              <w:spacing w:line="220" w:lineRule="exact"/>
              <w:jc w:val="right"/>
              <w:outlineLvl w:val="0"/>
              <w:rPr>
                <w:rFonts w:ascii="Arial" w:eastAsia="Times New Roman" w:hAnsi="Arial" w:cs="Arial"/>
                <w:b/>
                <w:bCs/>
                <w:color w:val="000000" w:themeColor="text1"/>
                <w:sz w:val="18"/>
                <w:szCs w:val="18"/>
              </w:rPr>
            </w:pPr>
            <w:r w:rsidRPr="0095347D">
              <w:rPr>
                <w:rFonts w:ascii="Arial" w:eastAsia="Times New Roman" w:hAnsi="Arial" w:cs="Arial"/>
                <w:b/>
                <w:bCs/>
                <w:color w:val="000000" w:themeColor="text1"/>
                <w:sz w:val="18"/>
                <w:szCs w:val="18"/>
              </w:rPr>
              <w:t xml:space="preserve">000 </w:t>
            </w:r>
            <w:r>
              <w:rPr>
                <w:rFonts w:ascii="Arial" w:eastAsia="Times New Roman" w:hAnsi="Arial" w:cs="Arial"/>
                <w:b/>
                <w:bCs/>
                <w:color w:val="000000" w:themeColor="text1"/>
                <w:sz w:val="18"/>
                <w:szCs w:val="18"/>
              </w:rPr>
              <w:t>eura</w:t>
            </w:r>
          </w:p>
        </w:tc>
      </w:tr>
      <w:tr w:rsidR="00C745F3" w:rsidRPr="0095347D" w14:paraId="44639643" w14:textId="77777777" w:rsidTr="00CA7F04">
        <w:trPr>
          <w:trHeight w:val="185"/>
          <w:jc w:val="center"/>
        </w:trPr>
        <w:tc>
          <w:tcPr>
            <w:tcW w:w="2175" w:type="pct"/>
          </w:tcPr>
          <w:p w14:paraId="548A6E8B" w14:textId="77777777" w:rsidR="00C745F3" w:rsidRPr="0095347D" w:rsidRDefault="00C745F3" w:rsidP="00CA7F04">
            <w:pPr>
              <w:tabs>
                <w:tab w:val="right" w:pos="1202"/>
                <w:tab w:val="right" w:pos="9781"/>
              </w:tabs>
              <w:suppressAutoHyphens/>
              <w:autoSpaceDN w:val="0"/>
              <w:spacing w:line="220" w:lineRule="exact"/>
              <w:outlineLvl w:val="0"/>
              <w:rPr>
                <w:rFonts w:ascii="Arial" w:eastAsia="Times New Roman" w:hAnsi="Arial" w:cs="Arial"/>
                <w:bCs/>
                <w:color w:val="000000" w:themeColor="text1"/>
                <w:sz w:val="18"/>
                <w:szCs w:val="18"/>
              </w:rPr>
            </w:pPr>
          </w:p>
        </w:tc>
        <w:tc>
          <w:tcPr>
            <w:tcW w:w="706" w:type="pct"/>
            <w:vAlign w:val="center"/>
          </w:tcPr>
          <w:p w14:paraId="5DBFBD96" w14:textId="77777777" w:rsidR="00C745F3" w:rsidRPr="0095347D" w:rsidRDefault="00C745F3" w:rsidP="00CA7F04">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p>
        </w:tc>
        <w:tc>
          <w:tcPr>
            <w:tcW w:w="706" w:type="pct"/>
            <w:vAlign w:val="center"/>
          </w:tcPr>
          <w:p w14:paraId="1FD8FD55" w14:textId="77777777" w:rsidR="00C745F3" w:rsidRPr="0095347D" w:rsidRDefault="00C745F3" w:rsidP="00CA7F04">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p>
        </w:tc>
        <w:tc>
          <w:tcPr>
            <w:tcW w:w="706" w:type="pct"/>
            <w:vAlign w:val="center"/>
          </w:tcPr>
          <w:p w14:paraId="627B778D" w14:textId="77777777" w:rsidR="00C745F3" w:rsidRPr="0095347D" w:rsidRDefault="00C745F3" w:rsidP="00CA7F04">
            <w:pPr>
              <w:keepNext/>
              <w:suppressAutoHyphens/>
              <w:autoSpaceDN w:val="0"/>
              <w:spacing w:line="220" w:lineRule="exact"/>
              <w:jc w:val="right"/>
              <w:outlineLvl w:val="0"/>
              <w:rPr>
                <w:rFonts w:ascii="Arial" w:eastAsia="Times New Roman" w:hAnsi="Arial" w:cs="Arial"/>
                <w:b/>
                <w:bCs/>
                <w:color w:val="000000" w:themeColor="text1"/>
                <w:sz w:val="18"/>
                <w:szCs w:val="18"/>
              </w:rPr>
            </w:pPr>
          </w:p>
        </w:tc>
        <w:tc>
          <w:tcPr>
            <w:tcW w:w="707" w:type="pct"/>
            <w:vAlign w:val="center"/>
          </w:tcPr>
          <w:p w14:paraId="35A6359D" w14:textId="77777777" w:rsidR="00C745F3" w:rsidRPr="0095347D" w:rsidRDefault="00C745F3" w:rsidP="00CA7F04">
            <w:pPr>
              <w:keepNext/>
              <w:suppressAutoHyphens/>
              <w:autoSpaceDN w:val="0"/>
              <w:spacing w:line="220" w:lineRule="exact"/>
              <w:jc w:val="right"/>
              <w:outlineLvl w:val="0"/>
              <w:rPr>
                <w:rFonts w:ascii="Arial" w:eastAsia="Times New Roman" w:hAnsi="Arial" w:cs="Arial"/>
                <w:b/>
                <w:bCs/>
                <w:color w:val="000000" w:themeColor="text1"/>
                <w:sz w:val="18"/>
                <w:szCs w:val="18"/>
              </w:rPr>
            </w:pPr>
          </w:p>
        </w:tc>
      </w:tr>
      <w:tr w:rsidR="004B39D6" w:rsidRPr="0095347D" w14:paraId="4F2CC8F1" w14:textId="77777777" w:rsidTr="00BF2482">
        <w:trPr>
          <w:trHeight w:val="241"/>
          <w:jc w:val="center"/>
        </w:trPr>
        <w:tc>
          <w:tcPr>
            <w:tcW w:w="2175" w:type="pct"/>
            <w:vAlign w:val="bottom"/>
          </w:tcPr>
          <w:p w14:paraId="3B885418" w14:textId="77777777" w:rsidR="004B39D6" w:rsidRPr="0095347D" w:rsidRDefault="004B39D6" w:rsidP="004B39D6">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r w:rsidRPr="0095347D">
              <w:rPr>
                <w:rFonts w:ascii="Arial" w:eastAsia="Times New Roman" w:hAnsi="Arial" w:cs="Arial"/>
                <w:b/>
                <w:bCs/>
                <w:color w:val="000000" w:themeColor="text1"/>
                <w:sz w:val="18"/>
                <w:szCs w:val="18"/>
              </w:rPr>
              <w:t>Ukupni regulatorni kapital</w:t>
            </w:r>
          </w:p>
        </w:tc>
        <w:tc>
          <w:tcPr>
            <w:tcW w:w="706" w:type="pct"/>
            <w:tcBorders>
              <w:top w:val="nil"/>
              <w:left w:val="nil"/>
              <w:bottom w:val="nil"/>
              <w:right w:val="nil"/>
            </w:tcBorders>
            <w:shd w:val="clear" w:color="auto" w:fill="auto"/>
            <w:vAlign w:val="bottom"/>
          </w:tcPr>
          <w:p w14:paraId="780EE8B1" w14:textId="11C92CFA" w:rsidR="004B39D6" w:rsidRPr="000D4693" w:rsidRDefault="002B5711" w:rsidP="004B39D6">
            <w:pPr>
              <w:tabs>
                <w:tab w:val="right" w:pos="1202"/>
              </w:tabs>
              <w:suppressAutoHyphens/>
              <w:autoSpaceDN w:val="0"/>
              <w:spacing w:line="301" w:lineRule="exact"/>
              <w:jc w:val="right"/>
              <w:outlineLvl w:val="0"/>
              <w:rPr>
                <w:rFonts w:ascii="Arial" w:hAnsi="Arial" w:cs="Arial"/>
                <w:b/>
                <w:bCs/>
                <w:sz w:val="18"/>
                <w:szCs w:val="18"/>
              </w:rPr>
            </w:pPr>
            <w:r w:rsidRPr="002B5711">
              <w:rPr>
                <w:rFonts w:ascii="Arial" w:hAnsi="Arial" w:cs="Arial"/>
                <w:b/>
                <w:bCs/>
                <w:sz w:val="18"/>
                <w:szCs w:val="18"/>
              </w:rPr>
              <w:t>1.468.964</w:t>
            </w:r>
          </w:p>
        </w:tc>
        <w:tc>
          <w:tcPr>
            <w:tcW w:w="706" w:type="pct"/>
            <w:tcBorders>
              <w:top w:val="nil"/>
              <w:left w:val="nil"/>
              <w:bottom w:val="nil"/>
              <w:right w:val="nil"/>
            </w:tcBorders>
            <w:shd w:val="clear" w:color="auto" w:fill="auto"/>
            <w:vAlign w:val="bottom"/>
          </w:tcPr>
          <w:p w14:paraId="6F01D58B" w14:textId="617084E7" w:rsidR="004B39D6" w:rsidRPr="00D304EC" w:rsidRDefault="004B39D6" w:rsidP="004B39D6">
            <w:pPr>
              <w:tabs>
                <w:tab w:val="right" w:pos="1202"/>
              </w:tabs>
              <w:suppressAutoHyphens/>
              <w:autoSpaceDN w:val="0"/>
              <w:spacing w:line="301" w:lineRule="exact"/>
              <w:jc w:val="right"/>
              <w:outlineLvl w:val="0"/>
              <w:rPr>
                <w:rFonts w:ascii="Arial" w:hAnsi="Arial" w:cs="Arial"/>
                <w:b/>
                <w:bCs/>
                <w:sz w:val="18"/>
                <w:szCs w:val="18"/>
              </w:rPr>
            </w:pPr>
            <w:r w:rsidRPr="00D304EC">
              <w:rPr>
                <w:rFonts w:ascii="Arial" w:hAnsi="Arial" w:cs="Arial"/>
                <w:b/>
                <w:bCs/>
                <w:color w:val="000000" w:themeColor="text1"/>
                <w:sz w:val="18"/>
                <w:szCs w:val="18"/>
              </w:rPr>
              <w:t>1.452.021</w:t>
            </w:r>
          </w:p>
        </w:tc>
        <w:tc>
          <w:tcPr>
            <w:tcW w:w="706" w:type="pct"/>
            <w:tcBorders>
              <w:top w:val="nil"/>
              <w:left w:val="nil"/>
              <w:bottom w:val="nil"/>
              <w:right w:val="nil"/>
            </w:tcBorders>
            <w:shd w:val="clear" w:color="auto" w:fill="auto"/>
            <w:vAlign w:val="bottom"/>
          </w:tcPr>
          <w:p w14:paraId="346A3074" w14:textId="6BFD51C0" w:rsidR="004B39D6" w:rsidRPr="00504BDA" w:rsidRDefault="006D6FE4" w:rsidP="004B39D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1.469.053</w:t>
            </w:r>
          </w:p>
        </w:tc>
        <w:tc>
          <w:tcPr>
            <w:tcW w:w="707" w:type="pct"/>
            <w:tcBorders>
              <w:top w:val="nil"/>
              <w:left w:val="nil"/>
              <w:bottom w:val="nil"/>
              <w:right w:val="nil"/>
            </w:tcBorders>
            <w:shd w:val="clear" w:color="auto" w:fill="auto"/>
            <w:vAlign w:val="bottom"/>
          </w:tcPr>
          <w:p w14:paraId="68D1AED3" w14:textId="650D2A3A" w:rsidR="004B39D6" w:rsidRPr="0025453D" w:rsidRDefault="004B39D6" w:rsidP="004B39D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25453D">
              <w:rPr>
                <w:rFonts w:ascii="Arial" w:hAnsi="Arial" w:cs="Arial"/>
                <w:b/>
                <w:bCs/>
                <w:color w:val="000000" w:themeColor="text1"/>
                <w:sz w:val="18"/>
                <w:szCs w:val="18"/>
              </w:rPr>
              <w:t>1.452.008</w:t>
            </w:r>
          </w:p>
        </w:tc>
      </w:tr>
      <w:tr w:rsidR="004B39D6" w:rsidRPr="0095347D" w14:paraId="7C096912" w14:textId="77777777" w:rsidTr="00BF2482">
        <w:trPr>
          <w:trHeight w:val="311"/>
          <w:jc w:val="center"/>
        </w:trPr>
        <w:tc>
          <w:tcPr>
            <w:tcW w:w="2175" w:type="pct"/>
            <w:vAlign w:val="bottom"/>
          </w:tcPr>
          <w:p w14:paraId="04259BCC" w14:textId="77777777" w:rsidR="004B39D6" w:rsidRPr="0095347D" w:rsidRDefault="004B39D6" w:rsidP="004B39D6">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r w:rsidRPr="0095347D">
              <w:rPr>
                <w:rFonts w:ascii="Arial" w:eastAsia="Times New Roman" w:hAnsi="Arial" w:cs="Arial"/>
                <w:color w:val="000000" w:themeColor="text1"/>
                <w:sz w:val="18"/>
                <w:szCs w:val="18"/>
              </w:rPr>
              <w:t>Iznos izloženosti ponderiran kreditnim rizikom</w:t>
            </w:r>
          </w:p>
        </w:tc>
        <w:tc>
          <w:tcPr>
            <w:tcW w:w="706" w:type="pct"/>
            <w:tcBorders>
              <w:top w:val="nil"/>
              <w:left w:val="nil"/>
              <w:bottom w:val="nil"/>
              <w:right w:val="nil"/>
            </w:tcBorders>
            <w:shd w:val="clear" w:color="auto" w:fill="auto"/>
            <w:vAlign w:val="bottom"/>
          </w:tcPr>
          <w:p w14:paraId="31D69735" w14:textId="0273FFB6" w:rsidR="004B39D6" w:rsidRPr="000D4693" w:rsidRDefault="002B5711" w:rsidP="004B39D6">
            <w:pPr>
              <w:tabs>
                <w:tab w:val="right" w:pos="1202"/>
              </w:tabs>
              <w:suppressAutoHyphens/>
              <w:autoSpaceDN w:val="0"/>
              <w:spacing w:line="301" w:lineRule="exact"/>
              <w:jc w:val="right"/>
              <w:outlineLvl w:val="0"/>
              <w:rPr>
                <w:rFonts w:ascii="Arial" w:hAnsi="Arial" w:cs="Arial"/>
                <w:sz w:val="18"/>
                <w:szCs w:val="18"/>
              </w:rPr>
            </w:pPr>
            <w:r w:rsidRPr="002B5711">
              <w:rPr>
                <w:rFonts w:ascii="Arial" w:hAnsi="Arial" w:cs="Arial"/>
                <w:sz w:val="18"/>
                <w:szCs w:val="18"/>
              </w:rPr>
              <w:t>2.575.524</w:t>
            </w:r>
          </w:p>
        </w:tc>
        <w:tc>
          <w:tcPr>
            <w:tcW w:w="706" w:type="pct"/>
            <w:tcBorders>
              <w:top w:val="nil"/>
              <w:left w:val="nil"/>
              <w:bottom w:val="nil"/>
              <w:right w:val="nil"/>
            </w:tcBorders>
            <w:shd w:val="clear" w:color="auto" w:fill="auto"/>
            <w:vAlign w:val="bottom"/>
          </w:tcPr>
          <w:p w14:paraId="1073ABA4" w14:textId="189563DB" w:rsidR="004B39D6" w:rsidRPr="00D304EC" w:rsidRDefault="004B39D6" w:rsidP="004B39D6">
            <w:pPr>
              <w:tabs>
                <w:tab w:val="right" w:pos="1202"/>
              </w:tabs>
              <w:suppressAutoHyphens/>
              <w:autoSpaceDN w:val="0"/>
              <w:spacing w:line="301" w:lineRule="exact"/>
              <w:jc w:val="right"/>
              <w:outlineLvl w:val="0"/>
              <w:rPr>
                <w:rFonts w:ascii="Arial" w:hAnsi="Arial" w:cs="Arial"/>
                <w:sz w:val="18"/>
                <w:szCs w:val="18"/>
              </w:rPr>
            </w:pPr>
            <w:r w:rsidRPr="00D304EC">
              <w:rPr>
                <w:rFonts w:ascii="Arial" w:hAnsi="Arial" w:cs="Arial"/>
                <w:color w:val="000000" w:themeColor="text1"/>
                <w:sz w:val="18"/>
                <w:szCs w:val="18"/>
              </w:rPr>
              <w:t>2.528.975</w:t>
            </w:r>
          </w:p>
        </w:tc>
        <w:tc>
          <w:tcPr>
            <w:tcW w:w="706" w:type="pct"/>
            <w:tcBorders>
              <w:top w:val="nil"/>
              <w:left w:val="nil"/>
              <w:bottom w:val="nil"/>
              <w:right w:val="nil"/>
            </w:tcBorders>
            <w:shd w:val="clear" w:color="auto" w:fill="auto"/>
            <w:vAlign w:val="bottom"/>
          </w:tcPr>
          <w:p w14:paraId="408C6ED2" w14:textId="2089299F" w:rsidR="004B39D6" w:rsidRPr="00504BDA" w:rsidRDefault="006D6FE4" w:rsidP="004B39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2.573.486</w:t>
            </w:r>
          </w:p>
        </w:tc>
        <w:tc>
          <w:tcPr>
            <w:tcW w:w="707" w:type="pct"/>
            <w:tcBorders>
              <w:top w:val="nil"/>
              <w:left w:val="nil"/>
              <w:bottom w:val="nil"/>
              <w:right w:val="nil"/>
            </w:tcBorders>
            <w:shd w:val="clear" w:color="auto" w:fill="auto"/>
            <w:vAlign w:val="bottom"/>
          </w:tcPr>
          <w:p w14:paraId="668449A0" w14:textId="09F676E6" w:rsidR="004B39D6" w:rsidRPr="0025453D" w:rsidRDefault="004B39D6" w:rsidP="004B39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5453D">
              <w:rPr>
                <w:rFonts w:ascii="Arial" w:hAnsi="Arial" w:cs="Arial"/>
                <w:sz w:val="18"/>
                <w:szCs w:val="18"/>
              </w:rPr>
              <w:t xml:space="preserve"> 2.527.125 </w:t>
            </w:r>
          </w:p>
        </w:tc>
      </w:tr>
      <w:tr w:rsidR="004B39D6" w:rsidRPr="0095347D" w14:paraId="5266A0F1" w14:textId="77777777" w:rsidTr="00BF2482">
        <w:trPr>
          <w:trHeight w:val="311"/>
          <w:jc w:val="center"/>
        </w:trPr>
        <w:tc>
          <w:tcPr>
            <w:tcW w:w="2175" w:type="pct"/>
            <w:vAlign w:val="bottom"/>
          </w:tcPr>
          <w:p w14:paraId="1010D19A" w14:textId="77777777" w:rsidR="004B39D6" w:rsidRPr="0095347D" w:rsidRDefault="004B39D6" w:rsidP="004B39D6">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r w:rsidRPr="0095347D">
              <w:rPr>
                <w:rFonts w:ascii="Arial" w:eastAsia="Times New Roman" w:hAnsi="Arial" w:cs="Arial"/>
                <w:color w:val="000000" w:themeColor="text1"/>
                <w:sz w:val="18"/>
                <w:szCs w:val="18"/>
              </w:rPr>
              <w:t>Kapitalni zahtjev za operativni rizik</w:t>
            </w:r>
          </w:p>
        </w:tc>
        <w:tc>
          <w:tcPr>
            <w:tcW w:w="706" w:type="pct"/>
            <w:tcBorders>
              <w:top w:val="nil"/>
              <w:left w:val="nil"/>
              <w:bottom w:val="nil"/>
              <w:right w:val="nil"/>
            </w:tcBorders>
            <w:shd w:val="clear" w:color="auto" w:fill="auto"/>
            <w:vAlign w:val="bottom"/>
          </w:tcPr>
          <w:p w14:paraId="7045B05F" w14:textId="3C24B773" w:rsidR="004B39D6" w:rsidRPr="000D4693" w:rsidRDefault="002B5711" w:rsidP="004B39D6">
            <w:pPr>
              <w:tabs>
                <w:tab w:val="right" w:pos="1202"/>
              </w:tabs>
              <w:suppressAutoHyphens/>
              <w:autoSpaceDN w:val="0"/>
              <w:spacing w:line="301" w:lineRule="exact"/>
              <w:jc w:val="right"/>
              <w:outlineLvl w:val="0"/>
              <w:rPr>
                <w:rFonts w:ascii="Arial" w:hAnsi="Arial" w:cs="Arial"/>
                <w:sz w:val="18"/>
                <w:szCs w:val="18"/>
              </w:rPr>
            </w:pPr>
            <w:r w:rsidRPr="002B5711">
              <w:rPr>
                <w:rFonts w:ascii="Arial" w:hAnsi="Arial" w:cs="Arial"/>
                <w:sz w:val="18"/>
                <w:szCs w:val="18"/>
              </w:rPr>
              <w:t>136.878</w:t>
            </w:r>
          </w:p>
        </w:tc>
        <w:tc>
          <w:tcPr>
            <w:tcW w:w="706" w:type="pct"/>
            <w:tcBorders>
              <w:top w:val="nil"/>
              <w:left w:val="nil"/>
              <w:bottom w:val="nil"/>
              <w:right w:val="nil"/>
            </w:tcBorders>
            <w:shd w:val="clear" w:color="auto" w:fill="auto"/>
            <w:vAlign w:val="bottom"/>
          </w:tcPr>
          <w:p w14:paraId="3C8C2BE4" w14:textId="30ABB776" w:rsidR="004B39D6" w:rsidRPr="00D304EC" w:rsidRDefault="004B39D6" w:rsidP="004B39D6">
            <w:pPr>
              <w:tabs>
                <w:tab w:val="right" w:pos="1202"/>
              </w:tabs>
              <w:suppressAutoHyphens/>
              <w:autoSpaceDN w:val="0"/>
              <w:spacing w:line="301" w:lineRule="exact"/>
              <w:jc w:val="right"/>
              <w:outlineLvl w:val="0"/>
              <w:rPr>
                <w:rFonts w:ascii="Arial" w:hAnsi="Arial" w:cs="Arial"/>
                <w:sz w:val="18"/>
                <w:szCs w:val="18"/>
              </w:rPr>
            </w:pPr>
            <w:r w:rsidRPr="00D304EC">
              <w:rPr>
                <w:rFonts w:ascii="Arial" w:hAnsi="Arial" w:cs="Arial"/>
                <w:color w:val="000000" w:themeColor="text1"/>
                <w:sz w:val="18"/>
                <w:szCs w:val="18"/>
              </w:rPr>
              <w:t>136.878</w:t>
            </w:r>
          </w:p>
        </w:tc>
        <w:tc>
          <w:tcPr>
            <w:tcW w:w="706" w:type="pct"/>
            <w:tcBorders>
              <w:top w:val="nil"/>
              <w:left w:val="nil"/>
              <w:bottom w:val="nil"/>
              <w:right w:val="nil"/>
            </w:tcBorders>
            <w:shd w:val="clear" w:color="auto" w:fill="auto"/>
            <w:vAlign w:val="bottom"/>
          </w:tcPr>
          <w:p w14:paraId="687C9B93" w14:textId="45EA72B5" w:rsidR="004B39D6" w:rsidRPr="00504BDA" w:rsidRDefault="006D6FE4" w:rsidP="004B39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132.563</w:t>
            </w:r>
          </w:p>
        </w:tc>
        <w:tc>
          <w:tcPr>
            <w:tcW w:w="707" w:type="pct"/>
            <w:tcBorders>
              <w:top w:val="nil"/>
              <w:left w:val="nil"/>
              <w:bottom w:val="nil"/>
              <w:right w:val="nil"/>
            </w:tcBorders>
            <w:shd w:val="clear" w:color="auto" w:fill="auto"/>
            <w:vAlign w:val="bottom"/>
          </w:tcPr>
          <w:p w14:paraId="0F6936C3" w14:textId="4C16B662" w:rsidR="004B39D6" w:rsidRPr="0025453D" w:rsidRDefault="004B39D6" w:rsidP="004B39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5453D">
              <w:rPr>
                <w:rFonts w:ascii="Arial" w:hAnsi="Arial" w:cs="Arial"/>
                <w:sz w:val="18"/>
                <w:szCs w:val="18"/>
              </w:rPr>
              <w:t xml:space="preserve"> 132.563 </w:t>
            </w:r>
          </w:p>
        </w:tc>
      </w:tr>
      <w:tr w:rsidR="004B39D6" w:rsidRPr="0095347D" w14:paraId="22C808CE" w14:textId="77777777" w:rsidTr="00BF2482">
        <w:trPr>
          <w:trHeight w:val="311"/>
          <w:jc w:val="center"/>
        </w:trPr>
        <w:tc>
          <w:tcPr>
            <w:tcW w:w="2175" w:type="pct"/>
            <w:vAlign w:val="bottom"/>
          </w:tcPr>
          <w:p w14:paraId="4639300B" w14:textId="77777777" w:rsidR="004B39D6" w:rsidRPr="0095347D" w:rsidRDefault="004B39D6" w:rsidP="004B39D6">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r w:rsidRPr="0095347D">
              <w:rPr>
                <w:rFonts w:ascii="Arial" w:eastAsia="Times New Roman" w:hAnsi="Arial" w:cs="Arial"/>
                <w:color w:val="000000" w:themeColor="text1"/>
                <w:sz w:val="18"/>
                <w:szCs w:val="18"/>
              </w:rPr>
              <w:t>Kapitalni zahtjev za valutni rizik</w:t>
            </w:r>
          </w:p>
        </w:tc>
        <w:tc>
          <w:tcPr>
            <w:tcW w:w="706" w:type="pct"/>
            <w:tcBorders>
              <w:top w:val="nil"/>
              <w:left w:val="nil"/>
              <w:bottom w:val="nil"/>
              <w:right w:val="nil"/>
            </w:tcBorders>
            <w:shd w:val="clear" w:color="auto" w:fill="auto"/>
            <w:vAlign w:val="bottom"/>
          </w:tcPr>
          <w:p w14:paraId="1AF4DE74" w14:textId="679E96E9" w:rsidR="004B39D6" w:rsidRPr="000D4693" w:rsidRDefault="002B5711" w:rsidP="004B39D6">
            <w:pPr>
              <w:tabs>
                <w:tab w:val="right" w:pos="1202"/>
              </w:tabs>
              <w:suppressAutoHyphens/>
              <w:autoSpaceDN w:val="0"/>
              <w:spacing w:line="301" w:lineRule="exact"/>
              <w:jc w:val="right"/>
              <w:outlineLvl w:val="0"/>
              <w:rPr>
                <w:rFonts w:ascii="Arial" w:hAnsi="Arial" w:cs="Arial"/>
                <w:sz w:val="18"/>
                <w:szCs w:val="18"/>
              </w:rPr>
            </w:pPr>
            <w:r>
              <w:rPr>
                <w:rFonts w:ascii="Arial" w:hAnsi="Arial" w:cs="Arial"/>
                <w:sz w:val="18"/>
                <w:szCs w:val="18"/>
              </w:rPr>
              <w:t>-</w:t>
            </w:r>
          </w:p>
        </w:tc>
        <w:tc>
          <w:tcPr>
            <w:tcW w:w="706" w:type="pct"/>
            <w:tcBorders>
              <w:top w:val="nil"/>
              <w:left w:val="nil"/>
              <w:bottom w:val="nil"/>
              <w:right w:val="nil"/>
            </w:tcBorders>
            <w:shd w:val="clear" w:color="auto" w:fill="auto"/>
            <w:vAlign w:val="bottom"/>
          </w:tcPr>
          <w:p w14:paraId="3F06D46B" w14:textId="00046EF8" w:rsidR="004B39D6" w:rsidRPr="00D304EC" w:rsidRDefault="004B39D6" w:rsidP="004B39D6">
            <w:pPr>
              <w:tabs>
                <w:tab w:val="right" w:pos="1202"/>
              </w:tabs>
              <w:suppressAutoHyphens/>
              <w:autoSpaceDN w:val="0"/>
              <w:spacing w:line="301" w:lineRule="exact"/>
              <w:jc w:val="right"/>
              <w:outlineLvl w:val="0"/>
              <w:rPr>
                <w:rFonts w:ascii="Arial" w:hAnsi="Arial" w:cs="Arial"/>
                <w:sz w:val="18"/>
                <w:szCs w:val="18"/>
              </w:rPr>
            </w:pPr>
            <w:r w:rsidRPr="00D304EC">
              <w:rPr>
                <w:rFonts w:ascii="Arial" w:hAnsi="Arial" w:cs="Arial"/>
                <w:color w:val="000000" w:themeColor="text1"/>
                <w:sz w:val="18"/>
                <w:szCs w:val="18"/>
              </w:rPr>
              <w:t>-</w:t>
            </w:r>
          </w:p>
        </w:tc>
        <w:tc>
          <w:tcPr>
            <w:tcW w:w="706" w:type="pct"/>
            <w:tcBorders>
              <w:top w:val="nil"/>
              <w:left w:val="nil"/>
              <w:bottom w:val="nil"/>
              <w:right w:val="nil"/>
            </w:tcBorders>
            <w:shd w:val="clear" w:color="auto" w:fill="auto"/>
            <w:vAlign w:val="bottom"/>
          </w:tcPr>
          <w:p w14:paraId="040FE344" w14:textId="51FFA7F6" w:rsidR="004B39D6" w:rsidRPr="00504BDA" w:rsidRDefault="002123AD" w:rsidP="004B39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707" w:type="pct"/>
            <w:tcBorders>
              <w:top w:val="nil"/>
              <w:left w:val="nil"/>
              <w:bottom w:val="nil"/>
              <w:right w:val="nil"/>
            </w:tcBorders>
            <w:shd w:val="clear" w:color="auto" w:fill="auto"/>
            <w:vAlign w:val="bottom"/>
          </w:tcPr>
          <w:p w14:paraId="708E6BBC" w14:textId="547CA4AE" w:rsidR="004B39D6" w:rsidRPr="0025453D" w:rsidRDefault="004B39D6" w:rsidP="004B39D6">
            <w:pPr>
              <w:tabs>
                <w:tab w:val="right" w:pos="1202"/>
              </w:tabs>
              <w:suppressAutoHyphens/>
              <w:autoSpaceDN w:val="0"/>
              <w:spacing w:line="301" w:lineRule="exact"/>
              <w:jc w:val="right"/>
              <w:outlineLvl w:val="0"/>
              <w:rPr>
                <w:rFonts w:ascii="Arial" w:eastAsia="Times New Roman" w:hAnsi="Arial" w:cs="Arial"/>
                <w:color w:val="000000" w:themeColor="text1"/>
                <w:sz w:val="18"/>
                <w:szCs w:val="18"/>
              </w:rPr>
            </w:pPr>
            <w:r w:rsidRPr="0025453D">
              <w:rPr>
                <w:rFonts w:ascii="Arial" w:hAnsi="Arial" w:cs="Arial"/>
                <w:sz w:val="18"/>
                <w:szCs w:val="18"/>
              </w:rPr>
              <w:t xml:space="preserve"> - </w:t>
            </w:r>
          </w:p>
        </w:tc>
      </w:tr>
      <w:tr w:rsidR="004B39D6" w:rsidRPr="0095347D" w14:paraId="14480580" w14:textId="77777777" w:rsidTr="00BF2482">
        <w:trPr>
          <w:trHeight w:val="311"/>
          <w:jc w:val="center"/>
        </w:trPr>
        <w:tc>
          <w:tcPr>
            <w:tcW w:w="2175" w:type="pct"/>
            <w:vAlign w:val="bottom"/>
          </w:tcPr>
          <w:p w14:paraId="6F0683E6" w14:textId="77777777" w:rsidR="004B39D6" w:rsidRPr="0095347D" w:rsidRDefault="004B39D6" w:rsidP="004B39D6">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r w:rsidRPr="0095347D">
              <w:rPr>
                <w:rFonts w:ascii="Arial" w:eastAsia="Times New Roman" w:hAnsi="Arial" w:cs="Arial"/>
                <w:b/>
                <w:bCs/>
                <w:color w:val="000000" w:themeColor="text1"/>
                <w:sz w:val="18"/>
                <w:szCs w:val="18"/>
              </w:rPr>
              <w:t>Ukupno kapitalni zahtjevi</w:t>
            </w:r>
          </w:p>
        </w:tc>
        <w:tc>
          <w:tcPr>
            <w:tcW w:w="706" w:type="pct"/>
            <w:tcBorders>
              <w:top w:val="nil"/>
              <w:left w:val="nil"/>
              <w:bottom w:val="nil"/>
              <w:right w:val="nil"/>
            </w:tcBorders>
            <w:shd w:val="clear" w:color="auto" w:fill="auto"/>
            <w:vAlign w:val="bottom"/>
          </w:tcPr>
          <w:p w14:paraId="67FF102E" w14:textId="1272B121" w:rsidR="004B39D6" w:rsidRPr="000D4693" w:rsidRDefault="002B5711" w:rsidP="004B39D6">
            <w:pPr>
              <w:tabs>
                <w:tab w:val="right" w:pos="1202"/>
              </w:tabs>
              <w:suppressAutoHyphens/>
              <w:autoSpaceDN w:val="0"/>
              <w:spacing w:line="301" w:lineRule="exact"/>
              <w:jc w:val="right"/>
              <w:outlineLvl w:val="0"/>
              <w:rPr>
                <w:rFonts w:ascii="Arial" w:hAnsi="Arial" w:cs="Arial"/>
                <w:b/>
                <w:bCs/>
                <w:sz w:val="18"/>
                <w:szCs w:val="18"/>
              </w:rPr>
            </w:pPr>
            <w:r w:rsidRPr="002B5711">
              <w:rPr>
                <w:rFonts w:ascii="Arial" w:hAnsi="Arial" w:cs="Arial"/>
                <w:b/>
                <w:bCs/>
                <w:sz w:val="18"/>
                <w:szCs w:val="18"/>
              </w:rPr>
              <w:t>2.712.402</w:t>
            </w:r>
          </w:p>
        </w:tc>
        <w:tc>
          <w:tcPr>
            <w:tcW w:w="706" w:type="pct"/>
            <w:tcBorders>
              <w:top w:val="nil"/>
              <w:left w:val="nil"/>
              <w:bottom w:val="nil"/>
              <w:right w:val="nil"/>
            </w:tcBorders>
            <w:shd w:val="clear" w:color="auto" w:fill="auto"/>
            <w:vAlign w:val="bottom"/>
          </w:tcPr>
          <w:p w14:paraId="3F1C97D7" w14:textId="3DBE59B6" w:rsidR="004B39D6" w:rsidRPr="00D304EC" w:rsidRDefault="004B39D6" w:rsidP="004B39D6">
            <w:pPr>
              <w:tabs>
                <w:tab w:val="right" w:pos="1202"/>
              </w:tabs>
              <w:suppressAutoHyphens/>
              <w:autoSpaceDN w:val="0"/>
              <w:spacing w:line="301" w:lineRule="exact"/>
              <w:jc w:val="right"/>
              <w:outlineLvl w:val="0"/>
              <w:rPr>
                <w:rFonts w:ascii="Arial" w:hAnsi="Arial" w:cs="Arial"/>
                <w:b/>
                <w:bCs/>
                <w:sz w:val="18"/>
                <w:szCs w:val="18"/>
              </w:rPr>
            </w:pPr>
            <w:r w:rsidRPr="00D304EC">
              <w:rPr>
                <w:rFonts w:ascii="Arial" w:hAnsi="Arial" w:cs="Arial"/>
                <w:b/>
                <w:color w:val="000000" w:themeColor="text1"/>
                <w:sz w:val="18"/>
                <w:szCs w:val="18"/>
              </w:rPr>
              <w:t>2.665.853</w:t>
            </w:r>
          </w:p>
        </w:tc>
        <w:tc>
          <w:tcPr>
            <w:tcW w:w="706" w:type="pct"/>
            <w:tcBorders>
              <w:top w:val="nil"/>
              <w:left w:val="nil"/>
              <w:bottom w:val="nil"/>
              <w:right w:val="nil"/>
            </w:tcBorders>
            <w:shd w:val="clear" w:color="auto" w:fill="auto"/>
            <w:vAlign w:val="bottom"/>
          </w:tcPr>
          <w:p w14:paraId="46F9F8DC" w14:textId="3CE8097C" w:rsidR="004B39D6" w:rsidRPr="00504BDA" w:rsidRDefault="002123AD" w:rsidP="004B39D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2.706.049</w:t>
            </w:r>
          </w:p>
        </w:tc>
        <w:tc>
          <w:tcPr>
            <w:tcW w:w="707" w:type="pct"/>
            <w:tcBorders>
              <w:top w:val="nil"/>
              <w:left w:val="nil"/>
              <w:bottom w:val="nil"/>
              <w:right w:val="nil"/>
            </w:tcBorders>
            <w:shd w:val="clear" w:color="auto" w:fill="auto"/>
            <w:vAlign w:val="bottom"/>
          </w:tcPr>
          <w:p w14:paraId="7ECCDD05" w14:textId="7A7651AC" w:rsidR="004B39D6" w:rsidRPr="0025453D" w:rsidRDefault="004B39D6" w:rsidP="004B39D6">
            <w:pPr>
              <w:tabs>
                <w:tab w:val="right" w:pos="1202"/>
              </w:tabs>
              <w:suppressAutoHyphens/>
              <w:autoSpaceDN w:val="0"/>
              <w:spacing w:line="301" w:lineRule="exact"/>
              <w:jc w:val="right"/>
              <w:outlineLvl w:val="0"/>
              <w:rPr>
                <w:rFonts w:ascii="Arial" w:eastAsia="Times New Roman" w:hAnsi="Arial" w:cs="Arial"/>
                <w:b/>
                <w:bCs/>
                <w:color w:val="000000" w:themeColor="text1"/>
                <w:sz w:val="18"/>
                <w:szCs w:val="18"/>
              </w:rPr>
            </w:pPr>
            <w:r w:rsidRPr="0025453D">
              <w:rPr>
                <w:rFonts w:ascii="Arial" w:hAnsi="Arial" w:cs="Arial"/>
                <w:b/>
                <w:color w:val="000000" w:themeColor="text1"/>
                <w:sz w:val="18"/>
                <w:szCs w:val="18"/>
              </w:rPr>
              <w:t>2.659.688</w:t>
            </w:r>
          </w:p>
        </w:tc>
      </w:tr>
      <w:tr w:rsidR="004B39D6" w:rsidRPr="0095347D" w14:paraId="40F9B27A" w14:textId="77777777" w:rsidTr="00CA7F04">
        <w:trPr>
          <w:trHeight w:val="179"/>
          <w:jc w:val="center"/>
        </w:trPr>
        <w:tc>
          <w:tcPr>
            <w:tcW w:w="2175" w:type="pct"/>
          </w:tcPr>
          <w:p w14:paraId="2A07BC91" w14:textId="77777777" w:rsidR="004B39D6" w:rsidRPr="0095347D" w:rsidRDefault="004B39D6" w:rsidP="004B39D6">
            <w:pPr>
              <w:tabs>
                <w:tab w:val="right" w:pos="9781"/>
              </w:tabs>
              <w:suppressAutoHyphens/>
              <w:autoSpaceDN w:val="0"/>
              <w:spacing w:line="140" w:lineRule="exact"/>
              <w:jc w:val="both"/>
              <w:outlineLvl w:val="0"/>
              <w:rPr>
                <w:rFonts w:ascii="Arial" w:eastAsia="Times New Roman" w:hAnsi="Arial" w:cs="Arial"/>
                <w:color w:val="000000" w:themeColor="text1"/>
                <w:sz w:val="18"/>
                <w:szCs w:val="18"/>
              </w:rPr>
            </w:pPr>
          </w:p>
        </w:tc>
        <w:tc>
          <w:tcPr>
            <w:tcW w:w="706" w:type="pct"/>
            <w:tcBorders>
              <w:top w:val="single" w:sz="12" w:space="0" w:color="auto"/>
            </w:tcBorders>
            <w:vAlign w:val="bottom"/>
          </w:tcPr>
          <w:p w14:paraId="05D9E1F1" w14:textId="77777777" w:rsidR="004B39D6" w:rsidRPr="0095347D" w:rsidRDefault="004B39D6" w:rsidP="004B39D6">
            <w:pPr>
              <w:keepNext/>
              <w:keepLines/>
              <w:tabs>
                <w:tab w:val="left" w:pos="1202"/>
              </w:tabs>
              <w:suppressAutoHyphens/>
              <w:autoSpaceDN w:val="0"/>
              <w:spacing w:line="100" w:lineRule="exact"/>
              <w:jc w:val="right"/>
              <w:rPr>
                <w:rFonts w:ascii="Arial" w:eastAsia="Times New Roman" w:hAnsi="Arial" w:cs="Arial"/>
                <w:b/>
                <w:color w:val="000000" w:themeColor="text1"/>
                <w:position w:val="4"/>
                <w:sz w:val="18"/>
                <w:szCs w:val="18"/>
                <w:u w:val="thick"/>
              </w:rPr>
            </w:pPr>
          </w:p>
        </w:tc>
        <w:tc>
          <w:tcPr>
            <w:tcW w:w="706" w:type="pct"/>
            <w:tcBorders>
              <w:top w:val="single" w:sz="12" w:space="0" w:color="auto"/>
            </w:tcBorders>
            <w:vAlign w:val="bottom"/>
          </w:tcPr>
          <w:p w14:paraId="12BD972C" w14:textId="77777777" w:rsidR="004B39D6" w:rsidRPr="0095347D" w:rsidRDefault="004B39D6" w:rsidP="004B39D6">
            <w:pPr>
              <w:keepNext/>
              <w:keepLines/>
              <w:tabs>
                <w:tab w:val="left" w:pos="1202"/>
              </w:tabs>
              <w:suppressAutoHyphens/>
              <w:autoSpaceDN w:val="0"/>
              <w:spacing w:line="100" w:lineRule="exact"/>
              <w:jc w:val="right"/>
              <w:rPr>
                <w:rFonts w:ascii="Arial" w:eastAsia="Times New Roman" w:hAnsi="Arial" w:cs="Arial"/>
                <w:b/>
                <w:color w:val="000000" w:themeColor="text1"/>
                <w:position w:val="4"/>
                <w:sz w:val="18"/>
                <w:szCs w:val="18"/>
                <w:u w:val="thick"/>
              </w:rPr>
            </w:pPr>
          </w:p>
        </w:tc>
        <w:tc>
          <w:tcPr>
            <w:tcW w:w="706" w:type="pct"/>
            <w:tcBorders>
              <w:top w:val="single" w:sz="12" w:space="0" w:color="auto"/>
            </w:tcBorders>
            <w:vAlign w:val="bottom"/>
          </w:tcPr>
          <w:p w14:paraId="0E5D2471" w14:textId="77777777" w:rsidR="004B39D6" w:rsidRPr="0095347D" w:rsidRDefault="004B39D6" w:rsidP="004B39D6">
            <w:pPr>
              <w:keepNext/>
              <w:keepLines/>
              <w:tabs>
                <w:tab w:val="left" w:pos="1202"/>
              </w:tabs>
              <w:suppressAutoHyphens/>
              <w:autoSpaceDN w:val="0"/>
              <w:spacing w:line="100" w:lineRule="exact"/>
              <w:jc w:val="right"/>
              <w:rPr>
                <w:rFonts w:ascii="Arial" w:eastAsia="Times New Roman" w:hAnsi="Arial" w:cs="Arial"/>
                <w:b/>
                <w:color w:val="000000" w:themeColor="text1"/>
                <w:position w:val="4"/>
                <w:sz w:val="18"/>
                <w:szCs w:val="18"/>
                <w:u w:val="thick"/>
              </w:rPr>
            </w:pPr>
          </w:p>
        </w:tc>
        <w:tc>
          <w:tcPr>
            <w:tcW w:w="707" w:type="pct"/>
            <w:tcBorders>
              <w:top w:val="single" w:sz="12" w:space="0" w:color="auto"/>
            </w:tcBorders>
            <w:vAlign w:val="bottom"/>
          </w:tcPr>
          <w:p w14:paraId="264BB208" w14:textId="77777777" w:rsidR="004B39D6" w:rsidRPr="0025453D" w:rsidRDefault="004B39D6" w:rsidP="004B39D6">
            <w:pPr>
              <w:keepNext/>
              <w:keepLines/>
              <w:tabs>
                <w:tab w:val="left" w:pos="1202"/>
              </w:tabs>
              <w:suppressAutoHyphens/>
              <w:autoSpaceDN w:val="0"/>
              <w:spacing w:line="100" w:lineRule="exact"/>
              <w:jc w:val="right"/>
              <w:rPr>
                <w:rFonts w:ascii="Arial" w:eastAsia="Times New Roman" w:hAnsi="Arial" w:cs="Arial"/>
                <w:b/>
                <w:color w:val="000000" w:themeColor="text1"/>
                <w:position w:val="4"/>
                <w:sz w:val="18"/>
                <w:szCs w:val="18"/>
                <w:u w:val="thick"/>
              </w:rPr>
            </w:pPr>
          </w:p>
        </w:tc>
      </w:tr>
      <w:tr w:rsidR="004B39D6" w:rsidRPr="0095347D" w14:paraId="264D4819" w14:textId="77777777" w:rsidTr="00CA7F04">
        <w:trPr>
          <w:trHeight w:val="170"/>
          <w:jc w:val="center"/>
        </w:trPr>
        <w:tc>
          <w:tcPr>
            <w:tcW w:w="2175" w:type="pct"/>
          </w:tcPr>
          <w:p w14:paraId="4640B66E" w14:textId="77777777" w:rsidR="004B39D6" w:rsidRPr="0095347D" w:rsidRDefault="004B39D6" w:rsidP="004B39D6">
            <w:pPr>
              <w:tabs>
                <w:tab w:val="right" w:pos="9781"/>
              </w:tabs>
              <w:suppressAutoHyphens/>
              <w:autoSpaceDN w:val="0"/>
              <w:spacing w:line="220" w:lineRule="exact"/>
              <w:jc w:val="both"/>
              <w:outlineLvl w:val="0"/>
              <w:rPr>
                <w:rFonts w:ascii="Arial" w:eastAsia="Times New Roman" w:hAnsi="Arial" w:cs="Arial"/>
                <w:color w:val="000000" w:themeColor="text1"/>
                <w:sz w:val="18"/>
                <w:szCs w:val="18"/>
              </w:rPr>
            </w:pPr>
          </w:p>
        </w:tc>
        <w:tc>
          <w:tcPr>
            <w:tcW w:w="706" w:type="pct"/>
            <w:vAlign w:val="bottom"/>
          </w:tcPr>
          <w:p w14:paraId="3BA37812" w14:textId="77777777" w:rsidR="004B39D6" w:rsidRPr="0095347D" w:rsidRDefault="004B39D6" w:rsidP="004B39D6">
            <w:pPr>
              <w:tabs>
                <w:tab w:val="right" w:pos="9781"/>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w:t>
            </w:r>
          </w:p>
        </w:tc>
        <w:tc>
          <w:tcPr>
            <w:tcW w:w="706" w:type="pct"/>
            <w:vAlign w:val="bottom"/>
          </w:tcPr>
          <w:p w14:paraId="094229C7" w14:textId="77777777" w:rsidR="004B39D6" w:rsidRPr="0095347D" w:rsidRDefault="004B39D6" w:rsidP="004B39D6">
            <w:pPr>
              <w:tabs>
                <w:tab w:val="right" w:pos="9781"/>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w:t>
            </w:r>
          </w:p>
        </w:tc>
        <w:tc>
          <w:tcPr>
            <w:tcW w:w="706" w:type="pct"/>
            <w:vAlign w:val="bottom"/>
          </w:tcPr>
          <w:p w14:paraId="4A496599" w14:textId="77777777" w:rsidR="004B39D6" w:rsidRPr="0095347D" w:rsidRDefault="004B39D6" w:rsidP="004B39D6">
            <w:pPr>
              <w:tabs>
                <w:tab w:val="right" w:pos="9781"/>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w:t>
            </w:r>
          </w:p>
        </w:tc>
        <w:tc>
          <w:tcPr>
            <w:tcW w:w="707" w:type="pct"/>
            <w:vAlign w:val="bottom"/>
          </w:tcPr>
          <w:p w14:paraId="7CCB8229" w14:textId="77777777" w:rsidR="004B39D6" w:rsidRPr="0025453D" w:rsidRDefault="004B39D6" w:rsidP="004B39D6">
            <w:pPr>
              <w:tabs>
                <w:tab w:val="right" w:pos="9781"/>
              </w:tabs>
              <w:suppressAutoHyphens/>
              <w:autoSpaceDN w:val="0"/>
              <w:spacing w:line="220" w:lineRule="exact"/>
              <w:jc w:val="right"/>
              <w:outlineLvl w:val="0"/>
              <w:rPr>
                <w:rFonts w:ascii="Arial" w:eastAsia="Times New Roman" w:hAnsi="Arial" w:cs="Arial"/>
                <w:b/>
                <w:color w:val="000000" w:themeColor="text1"/>
                <w:sz w:val="18"/>
                <w:szCs w:val="18"/>
              </w:rPr>
            </w:pPr>
            <w:r w:rsidRPr="0025453D">
              <w:rPr>
                <w:rFonts w:ascii="Arial" w:eastAsia="Times New Roman" w:hAnsi="Arial" w:cs="Arial"/>
                <w:b/>
                <w:color w:val="000000" w:themeColor="text1"/>
                <w:sz w:val="18"/>
                <w:szCs w:val="18"/>
              </w:rPr>
              <w:t>%</w:t>
            </w:r>
          </w:p>
        </w:tc>
      </w:tr>
      <w:tr w:rsidR="004B39D6" w:rsidRPr="0095347D" w14:paraId="0758D2AE" w14:textId="77777777" w:rsidTr="00CA7F04">
        <w:trPr>
          <w:trHeight w:val="271"/>
          <w:jc w:val="center"/>
        </w:trPr>
        <w:tc>
          <w:tcPr>
            <w:tcW w:w="2175" w:type="pct"/>
            <w:vAlign w:val="bottom"/>
          </w:tcPr>
          <w:p w14:paraId="7DD39B74" w14:textId="77777777" w:rsidR="004B39D6" w:rsidRPr="0095347D" w:rsidRDefault="004B39D6" w:rsidP="004B39D6">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r w:rsidRPr="0095347D">
              <w:rPr>
                <w:rFonts w:ascii="Arial" w:eastAsia="Times New Roman" w:hAnsi="Arial" w:cs="Arial"/>
                <w:b/>
                <w:bCs/>
                <w:color w:val="000000" w:themeColor="text1"/>
                <w:sz w:val="18"/>
                <w:szCs w:val="18"/>
              </w:rPr>
              <w:t>Stopa adekvatnosti kapitala</w:t>
            </w:r>
          </w:p>
        </w:tc>
        <w:tc>
          <w:tcPr>
            <w:tcW w:w="706" w:type="pct"/>
            <w:tcBorders>
              <w:top w:val="nil"/>
              <w:left w:val="nil"/>
              <w:bottom w:val="single" w:sz="12" w:space="0" w:color="auto"/>
              <w:right w:val="nil"/>
            </w:tcBorders>
            <w:shd w:val="clear" w:color="auto" w:fill="auto"/>
            <w:vAlign w:val="center"/>
          </w:tcPr>
          <w:p w14:paraId="39FFB012" w14:textId="060A537F" w:rsidR="004B39D6" w:rsidRPr="0095347D" w:rsidRDefault="002B5711" w:rsidP="004B39D6">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2B5711">
              <w:rPr>
                <w:rFonts w:ascii="Arial" w:eastAsia="Times New Roman" w:hAnsi="Arial" w:cs="Arial"/>
                <w:b/>
                <w:bCs/>
                <w:color w:val="000000" w:themeColor="text1"/>
                <w:sz w:val="18"/>
                <w:szCs w:val="18"/>
              </w:rPr>
              <w:t>54,16</w:t>
            </w:r>
          </w:p>
        </w:tc>
        <w:tc>
          <w:tcPr>
            <w:tcW w:w="706" w:type="pct"/>
            <w:tcBorders>
              <w:top w:val="nil"/>
              <w:left w:val="nil"/>
              <w:bottom w:val="single" w:sz="12" w:space="0" w:color="auto"/>
              <w:right w:val="nil"/>
            </w:tcBorders>
            <w:shd w:val="clear" w:color="auto" w:fill="auto"/>
            <w:vAlign w:val="center"/>
          </w:tcPr>
          <w:p w14:paraId="211270FE" w14:textId="101F56E5" w:rsidR="004B39D6" w:rsidRPr="001F4898" w:rsidRDefault="004B39D6" w:rsidP="004B39D6">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1F4898">
              <w:rPr>
                <w:rFonts w:ascii="Arial" w:hAnsi="Arial" w:cs="Arial"/>
                <w:b/>
                <w:bCs/>
                <w:color w:val="000000" w:themeColor="text1"/>
                <w:sz w:val="18"/>
                <w:szCs w:val="18"/>
              </w:rPr>
              <w:t>54,47</w:t>
            </w:r>
          </w:p>
        </w:tc>
        <w:tc>
          <w:tcPr>
            <w:tcW w:w="706" w:type="pct"/>
            <w:tcBorders>
              <w:top w:val="nil"/>
              <w:left w:val="nil"/>
              <w:bottom w:val="single" w:sz="12" w:space="0" w:color="auto"/>
              <w:right w:val="nil"/>
            </w:tcBorders>
            <w:shd w:val="clear" w:color="auto" w:fill="auto"/>
            <w:vAlign w:val="center"/>
          </w:tcPr>
          <w:p w14:paraId="5B857A91" w14:textId="7E2851AD" w:rsidR="004B39D6" w:rsidRPr="0095347D" w:rsidRDefault="002123AD" w:rsidP="004B39D6">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54,29</w:t>
            </w:r>
          </w:p>
        </w:tc>
        <w:tc>
          <w:tcPr>
            <w:tcW w:w="707" w:type="pct"/>
            <w:tcBorders>
              <w:top w:val="nil"/>
              <w:left w:val="nil"/>
              <w:bottom w:val="single" w:sz="12" w:space="0" w:color="auto"/>
              <w:right w:val="nil"/>
            </w:tcBorders>
            <w:shd w:val="clear" w:color="auto" w:fill="auto"/>
            <w:vAlign w:val="center"/>
          </w:tcPr>
          <w:p w14:paraId="2ABBF2A8" w14:textId="00AB3AA3" w:rsidR="004B39D6" w:rsidRPr="0025453D" w:rsidRDefault="004B39D6" w:rsidP="004B39D6">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25453D">
              <w:rPr>
                <w:rFonts w:ascii="Arial" w:hAnsi="Arial" w:cs="Arial"/>
                <w:b/>
                <w:bCs/>
                <w:color w:val="000000" w:themeColor="text1"/>
                <w:sz w:val="18"/>
                <w:szCs w:val="18"/>
              </w:rPr>
              <w:t>54,59</w:t>
            </w:r>
          </w:p>
        </w:tc>
      </w:tr>
      <w:tr w:rsidR="004B39D6" w:rsidRPr="0095347D" w14:paraId="4400E042" w14:textId="77777777" w:rsidTr="00CA7F04">
        <w:trPr>
          <w:trHeight w:hRule="exact" w:val="221"/>
          <w:jc w:val="center"/>
        </w:trPr>
        <w:tc>
          <w:tcPr>
            <w:tcW w:w="2175" w:type="pct"/>
            <w:vAlign w:val="bottom"/>
          </w:tcPr>
          <w:p w14:paraId="759700CD" w14:textId="77777777" w:rsidR="004B39D6" w:rsidRPr="0095347D" w:rsidRDefault="004B39D6" w:rsidP="004B39D6">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p>
        </w:tc>
        <w:tc>
          <w:tcPr>
            <w:tcW w:w="706" w:type="pct"/>
            <w:tcBorders>
              <w:top w:val="single" w:sz="12" w:space="0" w:color="auto"/>
              <w:left w:val="nil"/>
              <w:bottom w:val="nil"/>
              <w:right w:val="nil"/>
            </w:tcBorders>
            <w:shd w:val="clear" w:color="auto" w:fill="auto"/>
            <w:vAlign w:val="center"/>
          </w:tcPr>
          <w:p w14:paraId="3D069D07" w14:textId="77777777" w:rsidR="004B39D6" w:rsidRPr="0095347D" w:rsidRDefault="004B39D6" w:rsidP="004B39D6">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p>
        </w:tc>
        <w:tc>
          <w:tcPr>
            <w:tcW w:w="706" w:type="pct"/>
            <w:tcBorders>
              <w:top w:val="single" w:sz="12" w:space="0" w:color="auto"/>
              <w:left w:val="nil"/>
              <w:bottom w:val="nil"/>
              <w:right w:val="nil"/>
            </w:tcBorders>
            <w:shd w:val="clear" w:color="auto" w:fill="auto"/>
            <w:vAlign w:val="center"/>
          </w:tcPr>
          <w:p w14:paraId="41C2E664" w14:textId="77777777" w:rsidR="004B39D6" w:rsidRPr="001F4898" w:rsidRDefault="004B39D6" w:rsidP="004B39D6">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p>
        </w:tc>
        <w:tc>
          <w:tcPr>
            <w:tcW w:w="706" w:type="pct"/>
            <w:tcBorders>
              <w:top w:val="single" w:sz="12" w:space="0" w:color="auto"/>
              <w:left w:val="nil"/>
              <w:bottom w:val="nil"/>
              <w:right w:val="nil"/>
            </w:tcBorders>
            <w:shd w:val="clear" w:color="auto" w:fill="auto"/>
            <w:vAlign w:val="center"/>
          </w:tcPr>
          <w:p w14:paraId="6D0D63CA" w14:textId="77777777" w:rsidR="004B39D6" w:rsidRPr="0095347D" w:rsidRDefault="004B39D6" w:rsidP="004B39D6">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p>
        </w:tc>
        <w:tc>
          <w:tcPr>
            <w:tcW w:w="707" w:type="pct"/>
            <w:tcBorders>
              <w:top w:val="single" w:sz="12" w:space="0" w:color="auto"/>
              <w:left w:val="nil"/>
              <w:bottom w:val="nil"/>
              <w:right w:val="nil"/>
            </w:tcBorders>
            <w:shd w:val="clear" w:color="auto" w:fill="auto"/>
            <w:vAlign w:val="center"/>
          </w:tcPr>
          <w:p w14:paraId="35BA37F1" w14:textId="77777777" w:rsidR="004B39D6" w:rsidRPr="0025453D" w:rsidRDefault="004B39D6" w:rsidP="004B39D6">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p>
        </w:tc>
      </w:tr>
      <w:tr w:rsidR="004B39D6" w:rsidRPr="0095347D" w14:paraId="4AC508BA" w14:textId="77777777" w:rsidTr="00CA7F04">
        <w:trPr>
          <w:trHeight w:val="180"/>
          <w:jc w:val="center"/>
        </w:trPr>
        <w:tc>
          <w:tcPr>
            <w:tcW w:w="2175" w:type="pct"/>
            <w:vAlign w:val="bottom"/>
          </w:tcPr>
          <w:p w14:paraId="70A8174B" w14:textId="77777777" w:rsidR="004B39D6" w:rsidRPr="0095347D" w:rsidRDefault="004B39D6" w:rsidP="004B39D6">
            <w:pPr>
              <w:tabs>
                <w:tab w:val="right" w:pos="9781"/>
              </w:tabs>
              <w:suppressAutoHyphens/>
              <w:autoSpaceDN w:val="0"/>
              <w:spacing w:line="220" w:lineRule="exact"/>
              <w:outlineLvl w:val="0"/>
              <w:rPr>
                <w:rFonts w:ascii="Arial" w:eastAsia="Times New Roman" w:hAnsi="Arial" w:cs="Arial"/>
                <w:color w:val="000000" w:themeColor="text1"/>
                <w:sz w:val="18"/>
                <w:szCs w:val="18"/>
              </w:rPr>
            </w:pPr>
          </w:p>
        </w:tc>
        <w:tc>
          <w:tcPr>
            <w:tcW w:w="706" w:type="pct"/>
            <w:vAlign w:val="bottom"/>
          </w:tcPr>
          <w:p w14:paraId="7B9297D8" w14:textId="77777777" w:rsidR="004B39D6" w:rsidRPr="0095347D" w:rsidRDefault="004B39D6" w:rsidP="004B39D6">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 xml:space="preserve">000 </w:t>
            </w:r>
            <w:r>
              <w:rPr>
                <w:rFonts w:ascii="Arial" w:eastAsia="Times New Roman" w:hAnsi="Arial" w:cs="Arial"/>
                <w:b/>
                <w:color w:val="000000" w:themeColor="text1"/>
                <w:sz w:val="18"/>
                <w:szCs w:val="18"/>
              </w:rPr>
              <w:t>eura</w:t>
            </w:r>
          </w:p>
        </w:tc>
        <w:tc>
          <w:tcPr>
            <w:tcW w:w="706" w:type="pct"/>
            <w:vAlign w:val="bottom"/>
          </w:tcPr>
          <w:p w14:paraId="41D8468F" w14:textId="77777777" w:rsidR="004B39D6" w:rsidRPr="001F4898" w:rsidRDefault="004B39D6" w:rsidP="004B39D6">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r w:rsidRPr="001F4898">
              <w:rPr>
                <w:rFonts w:ascii="Arial" w:eastAsia="Times New Roman" w:hAnsi="Arial" w:cs="Arial"/>
                <w:b/>
                <w:color w:val="000000" w:themeColor="text1"/>
                <w:sz w:val="18"/>
                <w:szCs w:val="18"/>
              </w:rPr>
              <w:t>000 eura</w:t>
            </w:r>
          </w:p>
        </w:tc>
        <w:tc>
          <w:tcPr>
            <w:tcW w:w="706" w:type="pct"/>
            <w:vAlign w:val="bottom"/>
          </w:tcPr>
          <w:p w14:paraId="2117B6FD" w14:textId="77777777" w:rsidR="004B39D6" w:rsidRPr="0095347D" w:rsidRDefault="004B39D6" w:rsidP="004B39D6">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r w:rsidRPr="0095347D">
              <w:rPr>
                <w:rFonts w:ascii="Arial" w:eastAsia="Times New Roman" w:hAnsi="Arial" w:cs="Arial"/>
                <w:b/>
                <w:color w:val="000000" w:themeColor="text1"/>
                <w:sz w:val="18"/>
                <w:szCs w:val="18"/>
              </w:rPr>
              <w:t xml:space="preserve">000 </w:t>
            </w:r>
            <w:r>
              <w:rPr>
                <w:rFonts w:ascii="Arial" w:eastAsia="Times New Roman" w:hAnsi="Arial" w:cs="Arial"/>
                <w:b/>
                <w:color w:val="000000" w:themeColor="text1"/>
                <w:sz w:val="18"/>
                <w:szCs w:val="18"/>
              </w:rPr>
              <w:t>eura</w:t>
            </w:r>
          </w:p>
        </w:tc>
        <w:tc>
          <w:tcPr>
            <w:tcW w:w="707" w:type="pct"/>
            <w:vAlign w:val="bottom"/>
          </w:tcPr>
          <w:p w14:paraId="25D3D5FD" w14:textId="77777777" w:rsidR="004B39D6" w:rsidRPr="0025453D" w:rsidRDefault="004B39D6" w:rsidP="004B39D6">
            <w:pPr>
              <w:tabs>
                <w:tab w:val="right" w:pos="1202"/>
              </w:tabs>
              <w:suppressAutoHyphens/>
              <w:autoSpaceDN w:val="0"/>
              <w:spacing w:line="220" w:lineRule="exact"/>
              <w:jc w:val="right"/>
              <w:outlineLvl w:val="0"/>
              <w:rPr>
                <w:rFonts w:ascii="Arial" w:eastAsia="Times New Roman" w:hAnsi="Arial" w:cs="Arial"/>
                <w:b/>
                <w:color w:val="000000" w:themeColor="text1"/>
                <w:sz w:val="18"/>
                <w:szCs w:val="18"/>
              </w:rPr>
            </w:pPr>
            <w:r w:rsidRPr="0025453D">
              <w:rPr>
                <w:rFonts w:ascii="Arial" w:eastAsia="Times New Roman" w:hAnsi="Arial" w:cs="Arial"/>
                <w:b/>
                <w:color w:val="000000" w:themeColor="text1"/>
                <w:sz w:val="18"/>
                <w:szCs w:val="18"/>
              </w:rPr>
              <w:t>000 eura</w:t>
            </w:r>
          </w:p>
        </w:tc>
      </w:tr>
      <w:tr w:rsidR="0025453D" w:rsidRPr="0095347D" w14:paraId="6E5EE53A" w14:textId="77777777" w:rsidTr="00CA7F04">
        <w:trPr>
          <w:trHeight w:val="703"/>
          <w:jc w:val="center"/>
        </w:trPr>
        <w:tc>
          <w:tcPr>
            <w:tcW w:w="2175" w:type="pct"/>
            <w:vAlign w:val="bottom"/>
          </w:tcPr>
          <w:p w14:paraId="03EC9BCB" w14:textId="77777777" w:rsidR="0025453D" w:rsidRPr="0095347D" w:rsidRDefault="0025453D" w:rsidP="0025453D">
            <w:pPr>
              <w:tabs>
                <w:tab w:val="right" w:pos="1202"/>
                <w:tab w:val="right" w:pos="9781"/>
              </w:tabs>
              <w:suppressAutoHyphens/>
              <w:autoSpaceDN w:val="0"/>
              <w:spacing w:line="220" w:lineRule="exact"/>
              <w:outlineLvl w:val="0"/>
              <w:rPr>
                <w:rFonts w:ascii="Arial" w:eastAsia="Times New Roman" w:hAnsi="Arial" w:cs="Arial"/>
                <w:b/>
                <w:bCs/>
                <w:color w:val="000000" w:themeColor="text1"/>
                <w:sz w:val="18"/>
                <w:szCs w:val="18"/>
              </w:rPr>
            </w:pPr>
            <w:r w:rsidRPr="0095347D">
              <w:rPr>
                <w:rFonts w:ascii="Arial" w:eastAsia="Times New Roman" w:hAnsi="Arial" w:cs="Arial"/>
                <w:b/>
                <w:bCs/>
                <w:color w:val="000000" w:themeColor="text1"/>
                <w:sz w:val="18"/>
                <w:szCs w:val="18"/>
              </w:rPr>
              <w:t>Potreban iznos regulatornog kapitala za pokriće kapitalnih zahtjeva prema regulatornim zahtjevima</w:t>
            </w:r>
          </w:p>
        </w:tc>
        <w:tc>
          <w:tcPr>
            <w:tcW w:w="706" w:type="pct"/>
            <w:tcBorders>
              <w:bottom w:val="single" w:sz="12" w:space="0" w:color="auto"/>
            </w:tcBorders>
            <w:vAlign w:val="bottom"/>
          </w:tcPr>
          <w:p w14:paraId="27217485" w14:textId="193372B4" w:rsidR="0025453D" w:rsidRPr="0095347D" w:rsidRDefault="002B5711" w:rsidP="0025453D">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2B5711">
              <w:rPr>
                <w:rFonts w:ascii="Arial" w:eastAsia="Times New Roman" w:hAnsi="Arial" w:cs="Arial"/>
                <w:b/>
                <w:bCs/>
                <w:color w:val="000000" w:themeColor="text1"/>
                <w:sz w:val="18"/>
                <w:szCs w:val="18"/>
              </w:rPr>
              <w:t>325.488</w:t>
            </w:r>
          </w:p>
        </w:tc>
        <w:tc>
          <w:tcPr>
            <w:tcW w:w="706" w:type="pct"/>
            <w:tcBorders>
              <w:bottom w:val="single" w:sz="12" w:space="0" w:color="auto"/>
            </w:tcBorders>
            <w:vAlign w:val="bottom"/>
          </w:tcPr>
          <w:p w14:paraId="497FC784" w14:textId="2B524E5E" w:rsidR="0025453D" w:rsidRPr="001F4898" w:rsidRDefault="0025453D" w:rsidP="0025453D">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1F4898">
              <w:rPr>
                <w:rFonts w:ascii="Arial" w:hAnsi="Arial" w:cs="Arial"/>
                <w:b/>
                <w:bCs/>
                <w:color w:val="000000" w:themeColor="text1"/>
                <w:sz w:val="18"/>
                <w:szCs w:val="18"/>
              </w:rPr>
              <w:t>319.902</w:t>
            </w:r>
          </w:p>
        </w:tc>
        <w:tc>
          <w:tcPr>
            <w:tcW w:w="706" w:type="pct"/>
            <w:tcBorders>
              <w:bottom w:val="single" w:sz="12" w:space="0" w:color="auto"/>
            </w:tcBorders>
            <w:vAlign w:val="bottom"/>
          </w:tcPr>
          <w:p w14:paraId="4615EB72" w14:textId="3E21AC60" w:rsidR="0025453D" w:rsidRPr="00504BDA" w:rsidRDefault="002123AD" w:rsidP="0025453D">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324.726</w:t>
            </w:r>
          </w:p>
        </w:tc>
        <w:tc>
          <w:tcPr>
            <w:tcW w:w="707" w:type="pct"/>
            <w:tcBorders>
              <w:bottom w:val="single" w:sz="12" w:space="0" w:color="auto"/>
            </w:tcBorders>
            <w:vAlign w:val="bottom"/>
          </w:tcPr>
          <w:p w14:paraId="51F63BBF" w14:textId="19C7FDDB" w:rsidR="0025453D" w:rsidRPr="0025453D" w:rsidRDefault="0025453D" w:rsidP="0025453D">
            <w:pPr>
              <w:tabs>
                <w:tab w:val="right" w:pos="1202"/>
              </w:tabs>
              <w:suppressAutoHyphens/>
              <w:autoSpaceDN w:val="0"/>
              <w:spacing w:line="340" w:lineRule="exact"/>
              <w:jc w:val="right"/>
              <w:outlineLvl w:val="0"/>
              <w:rPr>
                <w:rFonts w:ascii="Arial" w:eastAsia="Times New Roman" w:hAnsi="Arial" w:cs="Arial"/>
                <w:b/>
                <w:bCs/>
                <w:color w:val="000000" w:themeColor="text1"/>
                <w:sz w:val="18"/>
                <w:szCs w:val="18"/>
              </w:rPr>
            </w:pPr>
            <w:r w:rsidRPr="0025453D">
              <w:rPr>
                <w:rFonts w:ascii="Arial" w:hAnsi="Arial" w:cs="Arial"/>
                <w:b/>
                <w:bCs/>
                <w:color w:val="000000" w:themeColor="text1"/>
                <w:sz w:val="18"/>
                <w:szCs w:val="18"/>
              </w:rPr>
              <w:t>319.163</w:t>
            </w:r>
          </w:p>
        </w:tc>
      </w:tr>
    </w:tbl>
    <w:p w14:paraId="498CCFEA" w14:textId="77777777" w:rsidR="00C745F3" w:rsidRPr="003D1614" w:rsidRDefault="00C745F3" w:rsidP="00C745F3">
      <w:pPr>
        <w:suppressAutoHyphens/>
        <w:autoSpaceDN w:val="0"/>
        <w:jc w:val="both"/>
        <w:rPr>
          <w:rFonts w:ascii="Arial" w:eastAsia="Calibri" w:hAnsi="Arial" w:cs="Arial"/>
          <w:color w:val="000000" w:themeColor="text1"/>
          <w:sz w:val="20"/>
          <w:szCs w:val="20"/>
        </w:rPr>
        <w:sectPr w:rsidR="00C745F3" w:rsidRPr="003D1614" w:rsidSect="003278AB">
          <w:footerReference w:type="default" r:id="rId33"/>
          <w:pgSz w:w="11906" w:h="16838"/>
          <w:pgMar w:top="1417" w:right="1417" w:bottom="1417" w:left="1417" w:header="708" w:footer="708" w:gutter="0"/>
          <w:cols w:space="708"/>
          <w:docGrid w:linePitch="360"/>
        </w:sectPr>
      </w:pPr>
    </w:p>
    <w:p w14:paraId="6303D82B" w14:textId="77777777" w:rsidR="0053176F" w:rsidRDefault="0053176F" w:rsidP="00DF6E3A">
      <w:pPr>
        <w:suppressAutoHyphens/>
        <w:autoSpaceDN w:val="0"/>
        <w:jc w:val="both"/>
        <w:rPr>
          <w:rFonts w:ascii="Arial" w:eastAsia="Calibri" w:hAnsi="Arial" w:cs="Arial"/>
          <w:color w:val="000000" w:themeColor="text1"/>
          <w:sz w:val="20"/>
          <w:szCs w:val="20"/>
        </w:rPr>
      </w:pPr>
    </w:p>
    <w:p w14:paraId="0BFE6930" w14:textId="77777777" w:rsidR="0053176F" w:rsidRDefault="0053176F" w:rsidP="00DF6E3A">
      <w:pPr>
        <w:suppressAutoHyphens/>
        <w:autoSpaceDN w:val="0"/>
        <w:jc w:val="both"/>
        <w:rPr>
          <w:rFonts w:ascii="Arial" w:eastAsia="Calibri" w:hAnsi="Arial" w:cs="Arial"/>
          <w:color w:val="000000" w:themeColor="text1"/>
          <w:sz w:val="20"/>
          <w:szCs w:val="20"/>
        </w:rPr>
      </w:pPr>
    </w:p>
    <w:tbl>
      <w:tblPr>
        <w:tblpPr w:leftFromText="181" w:rightFromText="181" w:vertAnchor="text" w:horzAnchor="margin" w:tblpXSpec="center" w:tblpY="1"/>
        <w:tblW w:w="9008" w:type="dxa"/>
        <w:tblLayout w:type="fixed"/>
        <w:tblLook w:val="04A0" w:firstRow="1" w:lastRow="0" w:firstColumn="1" w:lastColumn="0" w:noHBand="0" w:noVBand="1"/>
      </w:tblPr>
      <w:tblGrid>
        <w:gridCol w:w="6387"/>
        <w:gridCol w:w="1403"/>
        <w:gridCol w:w="1218"/>
      </w:tblGrid>
      <w:tr w:rsidR="008B2FBE" w:rsidRPr="0056686B" w14:paraId="3005F50C" w14:textId="77777777" w:rsidTr="00422DD5">
        <w:trPr>
          <w:trHeight w:val="80"/>
        </w:trPr>
        <w:tc>
          <w:tcPr>
            <w:tcW w:w="6387" w:type="dxa"/>
            <w:tcBorders>
              <w:left w:val="nil"/>
              <w:bottom w:val="nil"/>
              <w:right w:val="nil"/>
            </w:tcBorders>
            <w:shd w:val="clear" w:color="auto" w:fill="auto"/>
            <w:vAlign w:val="bottom"/>
          </w:tcPr>
          <w:p w14:paraId="1A451EE3" w14:textId="77777777" w:rsidR="008B2FBE" w:rsidRPr="0056686B" w:rsidRDefault="008B2FBE" w:rsidP="00422DD5">
            <w:pPr>
              <w:suppressAutoHyphens/>
              <w:autoSpaceDN w:val="0"/>
              <w:rPr>
                <w:rFonts w:ascii="Arial" w:eastAsia="Times New Roman" w:hAnsi="Arial" w:cs="Arial"/>
                <w:b/>
                <w:bCs/>
                <w:color w:val="000000" w:themeColor="text1"/>
                <w:sz w:val="18"/>
                <w:szCs w:val="18"/>
              </w:rPr>
            </w:pPr>
          </w:p>
        </w:tc>
        <w:tc>
          <w:tcPr>
            <w:tcW w:w="1403" w:type="dxa"/>
            <w:tcBorders>
              <w:left w:val="nil"/>
              <w:bottom w:val="nil"/>
              <w:right w:val="nil"/>
            </w:tcBorders>
            <w:shd w:val="clear" w:color="auto" w:fill="auto"/>
            <w:noWrap/>
            <w:vAlign w:val="bottom"/>
          </w:tcPr>
          <w:p w14:paraId="68BEB338"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31.3.</w:t>
            </w:r>
            <w:r w:rsidRPr="0056686B">
              <w:rPr>
                <w:rFonts w:ascii="Arial" w:eastAsia="Times New Roman" w:hAnsi="Arial" w:cs="Arial"/>
                <w:b/>
                <w:bCs/>
                <w:color w:val="000000" w:themeColor="text1"/>
                <w:sz w:val="18"/>
                <w:szCs w:val="18"/>
              </w:rPr>
              <w:t>202</w:t>
            </w:r>
            <w:r>
              <w:rPr>
                <w:rFonts w:ascii="Arial" w:eastAsia="Times New Roman" w:hAnsi="Arial" w:cs="Arial"/>
                <w:b/>
                <w:bCs/>
                <w:color w:val="000000" w:themeColor="text1"/>
                <w:sz w:val="18"/>
                <w:szCs w:val="18"/>
              </w:rPr>
              <w:t>4</w:t>
            </w:r>
            <w:r w:rsidRPr="0056686B">
              <w:rPr>
                <w:rFonts w:ascii="Arial" w:eastAsia="Times New Roman" w:hAnsi="Arial" w:cs="Arial"/>
                <w:b/>
                <w:bCs/>
                <w:color w:val="000000" w:themeColor="text1"/>
                <w:sz w:val="18"/>
                <w:szCs w:val="18"/>
              </w:rPr>
              <w:t>.</w:t>
            </w:r>
          </w:p>
        </w:tc>
        <w:tc>
          <w:tcPr>
            <w:tcW w:w="1218" w:type="dxa"/>
            <w:tcBorders>
              <w:left w:val="nil"/>
              <w:bottom w:val="nil"/>
              <w:right w:val="nil"/>
            </w:tcBorders>
            <w:vAlign w:val="bottom"/>
          </w:tcPr>
          <w:p w14:paraId="76EE537E"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31.3.</w:t>
            </w:r>
            <w:r w:rsidRPr="0056686B">
              <w:rPr>
                <w:rFonts w:ascii="Arial" w:eastAsia="Times New Roman" w:hAnsi="Arial" w:cs="Arial"/>
                <w:b/>
                <w:bCs/>
                <w:color w:val="000000" w:themeColor="text1"/>
                <w:sz w:val="18"/>
                <w:szCs w:val="18"/>
              </w:rPr>
              <w:t>202</w:t>
            </w:r>
            <w:r>
              <w:rPr>
                <w:rFonts w:ascii="Arial" w:eastAsia="Times New Roman" w:hAnsi="Arial" w:cs="Arial"/>
                <w:b/>
                <w:bCs/>
                <w:color w:val="000000" w:themeColor="text1"/>
                <w:sz w:val="18"/>
                <w:szCs w:val="18"/>
              </w:rPr>
              <w:t>3</w:t>
            </w:r>
            <w:r w:rsidRPr="0056686B">
              <w:rPr>
                <w:rFonts w:ascii="Arial" w:eastAsia="Times New Roman" w:hAnsi="Arial" w:cs="Arial"/>
                <w:b/>
                <w:bCs/>
                <w:color w:val="000000" w:themeColor="text1"/>
                <w:sz w:val="18"/>
                <w:szCs w:val="18"/>
              </w:rPr>
              <w:t>.</w:t>
            </w:r>
          </w:p>
        </w:tc>
      </w:tr>
      <w:tr w:rsidR="008B2FBE" w:rsidRPr="0056686B" w14:paraId="6F4AC0EC" w14:textId="77777777" w:rsidTr="00422DD5">
        <w:trPr>
          <w:trHeight w:val="64"/>
        </w:trPr>
        <w:tc>
          <w:tcPr>
            <w:tcW w:w="6387" w:type="dxa"/>
            <w:tcBorders>
              <w:left w:val="nil"/>
              <w:bottom w:val="nil"/>
              <w:right w:val="nil"/>
            </w:tcBorders>
            <w:shd w:val="clear" w:color="auto" w:fill="auto"/>
            <w:vAlign w:val="bottom"/>
          </w:tcPr>
          <w:p w14:paraId="6F9692F7" w14:textId="77777777" w:rsidR="008B2FBE" w:rsidRPr="0056686B" w:rsidRDefault="008B2FBE" w:rsidP="00422DD5">
            <w:pPr>
              <w:suppressAutoHyphens/>
              <w:autoSpaceDN w:val="0"/>
              <w:rPr>
                <w:rFonts w:ascii="Arial" w:eastAsia="Times New Roman" w:hAnsi="Arial" w:cs="Arial"/>
                <w:b/>
                <w:bCs/>
                <w:color w:val="000000" w:themeColor="text1"/>
                <w:sz w:val="18"/>
                <w:szCs w:val="18"/>
              </w:rPr>
            </w:pPr>
          </w:p>
        </w:tc>
        <w:tc>
          <w:tcPr>
            <w:tcW w:w="1403" w:type="dxa"/>
            <w:tcBorders>
              <w:left w:val="nil"/>
              <w:bottom w:val="nil"/>
              <w:right w:val="nil"/>
            </w:tcBorders>
            <w:shd w:val="clear" w:color="auto" w:fill="auto"/>
            <w:noWrap/>
            <w:vAlign w:val="bottom"/>
          </w:tcPr>
          <w:p w14:paraId="7E91041D"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 xml:space="preserve">000 </w:t>
            </w:r>
            <w:r w:rsidRPr="003D1614">
              <w:rPr>
                <w:rFonts w:ascii="Arial" w:eastAsia="Times New Roman" w:hAnsi="Arial" w:cs="Arial"/>
                <w:b/>
                <w:bCs/>
                <w:color w:val="000000" w:themeColor="text1"/>
                <w:sz w:val="18"/>
                <w:szCs w:val="18"/>
              </w:rPr>
              <w:t>eura</w:t>
            </w:r>
          </w:p>
        </w:tc>
        <w:tc>
          <w:tcPr>
            <w:tcW w:w="1218" w:type="dxa"/>
            <w:tcBorders>
              <w:left w:val="nil"/>
              <w:bottom w:val="nil"/>
              <w:right w:val="nil"/>
            </w:tcBorders>
            <w:vAlign w:val="bottom"/>
          </w:tcPr>
          <w:p w14:paraId="1C57CC71"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 xml:space="preserve">000 </w:t>
            </w:r>
            <w:r w:rsidRPr="003D1614">
              <w:rPr>
                <w:rFonts w:ascii="Arial" w:eastAsia="Times New Roman" w:hAnsi="Arial" w:cs="Arial"/>
                <w:b/>
                <w:bCs/>
                <w:color w:val="000000" w:themeColor="text1"/>
                <w:sz w:val="18"/>
                <w:szCs w:val="18"/>
              </w:rPr>
              <w:t>eura</w:t>
            </w:r>
          </w:p>
        </w:tc>
      </w:tr>
      <w:tr w:rsidR="008B2FBE" w:rsidRPr="0056686B" w14:paraId="7C09EBA6" w14:textId="77777777" w:rsidTr="00422DD5">
        <w:trPr>
          <w:trHeight w:val="64"/>
        </w:trPr>
        <w:tc>
          <w:tcPr>
            <w:tcW w:w="6387" w:type="dxa"/>
            <w:tcBorders>
              <w:left w:val="nil"/>
              <w:bottom w:val="nil"/>
              <w:right w:val="nil"/>
            </w:tcBorders>
            <w:shd w:val="clear" w:color="auto" w:fill="auto"/>
            <w:vAlign w:val="bottom"/>
          </w:tcPr>
          <w:p w14:paraId="21D80E94" w14:textId="77777777" w:rsidR="008B2FBE" w:rsidRPr="0056686B" w:rsidRDefault="008B2FBE" w:rsidP="00422DD5">
            <w:pPr>
              <w:suppressAutoHyphens/>
              <w:autoSpaceDN w:val="0"/>
              <w:rPr>
                <w:rFonts w:ascii="Arial" w:eastAsia="Times New Roman" w:hAnsi="Arial" w:cs="Arial"/>
                <w:b/>
                <w:bCs/>
                <w:color w:val="000000" w:themeColor="text1"/>
                <w:sz w:val="18"/>
                <w:szCs w:val="18"/>
              </w:rPr>
            </w:pPr>
          </w:p>
        </w:tc>
        <w:tc>
          <w:tcPr>
            <w:tcW w:w="1403" w:type="dxa"/>
            <w:tcBorders>
              <w:left w:val="nil"/>
              <w:right w:val="nil"/>
            </w:tcBorders>
            <w:shd w:val="clear" w:color="auto" w:fill="auto"/>
            <w:noWrap/>
            <w:vAlign w:val="bottom"/>
          </w:tcPr>
          <w:p w14:paraId="78B40C85"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p>
        </w:tc>
        <w:tc>
          <w:tcPr>
            <w:tcW w:w="1218" w:type="dxa"/>
            <w:tcBorders>
              <w:left w:val="nil"/>
              <w:right w:val="nil"/>
            </w:tcBorders>
            <w:vAlign w:val="bottom"/>
          </w:tcPr>
          <w:p w14:paraId="2E513278"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p>
        </w:tc>
      </w:tr>
      <w:tr w:rsidR="008B2FBE" w:rsidRPr="0056686B" w14:paraId="7E523BAF" w14:textId="77777777" w:rsidTr="00422DD5">
        <w:trPr>
          <w:trHeight w:val="73"/>
        </w:trPr>
        <w:tc>
          <w:tcPr>
            <w:tcW w:w="6387" w:type="dxa"/>
            <w:tcBorders>
              <w:top w:val="nil"/>
              <w:left w:val="nil"/>
              <w:bottom w:val="nil"/>
              <w:right w:val="nil"/>
            </w:tcBorders>
            <w:shd w:val="clear" w:color="auto" w:fill="auto"/>
            <w:vAlign w:val="bottom"/>
          </w:tcPr>
          <w:p w14:paraId="23A23924" w14:textId="77777777" w:rsidR="008B2FBE" w:rsidRPr="0056686B" w:rsidRDefault="008B2FBE" w:rsidP="00422DD5">
            <w:pPr>
              <w:suppressAutoHyphens/>
              <w:autoSpaceDN w:val="0"/>
              <w:rPr>
                <w:rFonts w:ascii="Arial" w:eastAsia="Times New Roman" w:hAnsi="Arial" w:cs="Arial"/>
                <w:b/>
                <w:color w:val="000000" w:themeColor="text1"/>
                <w:sz w:val="18"/>
                <w:szCs w:val="18"/>
              </w:rPr>
            </w:pPr>
            <w:r w:rsidRPr="00A05B99">
              <w:rPr>
                <w:rFonts w:ascii="Arial" w:eastAsia="Times New Roman" w:hAnsi="Arial" w:cs="Arial"/>
                <w:b/>
                <w:color w:val="000000" w:themeColor="text1"/>
                <w:sz w:val="18"/>
                <w:szCs w:val="18"/>
              </w:rPr>
              <w:t>Prihodi od ugovora o osiguranju</w:t>
            </w:r>
            <w:r w:rsidRPr="00A05B99">
              <w:rPr>
                <w:rFonts w:ascii="Arial" w:eastAsia="Times New Roman" w:hAnsi="Arial" w:cs="Arial"/>
                <w:b/>
                <w:color w:val="000000" w:themeColor="text1"/>
                <w:sz w:val="18"/>
                <w:szCs w:val="18"/>
              </w:rPr>
              <w:tab/>
            </w:r>
          </w:p>
        </w:tc>
        <w:tc>
          <w:tcPr>
            <w:tcW w:w="1403" w:type="dxa"/>
            <w:tcBorders>
              <w:top w:val="nil"/>
              <w:left w:val="nil"/>
              <w:bottom w:val="single" w:sz="12" w:space="0" w:color="auto"/>
              <w:right w:val="nil"/>
            </w:tcBorders>
            <w:shd w:val="clear" w:color="auto" w:fill="auto"/>
            <w:noWrap/>
            <w:vAlign w:val="bottom"/>
          </w:tcPr>
          <w:p w14:paraId="2176DB0B" w14:textId="77777777" w:rsidR="008B2FBE" w:rsidRPr="00163A49" w:rsidRDefault="008B2FBE" w:rsidP="00422DD5">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711</w:t>
            </w:r>
          </w:p>
        </w:tc>
        <w:tc>
          <w:tcPr>
            <w:tcW w:w="1218" w:type="dxa"/>
            <w:tcBorders>
              <w:top w:val="nil"/>
              <w:left w:val="nil"/>
              <w:bottom w:val="single" w:sz="12" w:space="0" w:color="auto"/>
              <w:right w:val="nil"/>
            </w:tcBorders>
            <w:vAlign w:val="bottom"/>
          </w:tcPr>
          <w:p w14:paraId="67BDFAFA"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sidRPr="00163A49">
              <w:rPr>
                <w:rFonts w:ascii="Arial" w:eastAsia="Times New Roman" w:hAnsi="Arial" w:cs="Arial"/>
                <w:b/>
                <w:bCs/>
                <w:color w:val="000000" w:themeColor="text1"/>
                <w:sz w:val="18"/>
                <w:szCs w:val="18"/>
              </w:rPr>
              <w:t>742</w:t>
            </w:r>
          </w:p>
        </w:tc>
      </w:tr>
      <w:tr w:rsidR="008B2FBE" w:rsidRPr="0056686B" w14:paraId="74CD96EA" w14:textId="77777777" w:rsidTr="00422DD5">
        <w:trPr>
          <w:trHeight w:val="73"/>
        </w:trPr>
        <w:tc>
          <w:tcPr>
            <w:tcW w:w="6387" w:type="dxa"/>
            <w:tcBorders>
              <w:top w:val="nil"/>
              <w:left w:val="nil"/>
              <w:bottom w:val="nil"/>
              <w:right w:val="nil"/>
            </w:tcBorders>
            <w:shd w:val="clear" w:color="auto" w:fill="auto"/>
            <w:vAlign w:val="bottom"/>
          </w:tcPr>
          <w:p w14:paraId="33C893DF" w14:textId="77777777" w:rsidR="008B2FBE" w:rsidRPr="00A05B99" w:rsidRDefault="008B2FBE" w:rsidP="00422DD5">
            <w:pPr>
              <w:suppressAutoHyphens/>
              <w:autoSpaceDN w:val="0"/>
              <w:rPr>
                <w:rFonts w:ascii="Arial" w:eastAsia="Times New Roman" w:hAnsi="Arial" w:cs="Arial"/>
                <w:b/>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30DDB00C"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p>
        </w:tc>
        <w:tc>
          <w:tcPr>
            <w:tcW w:w="1218" w:type="dxa"/>
            <w:tcBorders>
              <w:top w:val="single" w:sz="12" w:space="0" w:color="auto"/>
              <w:left w:val="nil"/>
              <w:bottom w:val="nil"/>
              <w:right w:val="nil"/>
            </w:tcBorders>
            <w:vAlign w:val="bottom"/>
          </w:tcPr>
          <w:p w14:paraId="43B794A0"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p>
        </w:tc>
      </w:tr>
      <w:tr w:rsidR="008B2FBE" w:rsidRPr="0056686B" w14:paraId="79E5F92F" w14:textId="77777777" w:rsidTr="00422DD5">
        <w:trPr>
          <w:trHeight w:val="73"/>
        </w:trPr>
        <w:tc>
          <w:tcPr>
            <w:tcW w:w="6387" w:type="dxa"/>
            <w:tcBorders>
              <w:top w:val="nil"/>
              <w:left w:val="nil"/>
              <w:bottom w:val="nil"/>
              <w:right w:val="nil"/>
            </w:tcBorders>
            <w:shd w:val="clear" w:color="auto" w:fill="auto"/>
            <w:vAlign w:val="bottom"/>
          </w:tcPr>
          <w:p w14:paraId="0E237237" w14:textId="77777777" w:rsidR="008B2FBE" w:rsidRPr="0056686B" w:rsidRDefault="008B2FBE" w:rsidP="00422DD5">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Zarađene premije</w:t>
            </w:r>
          </w:p>
        </w:tc>
        <w:tc>
          <w:tcPr>
            <w:tcW w:w="1403" w:type="dxa"/>
            <w:tcBorders>
              <w:top w:val="nil"/>
              <w:left w:val="nil"/>
              <w:bottom w:val="nil"/>
              <w:right w:val="nil"/>
            </w:tcBorders>
            <w:shd w:val="clear" w:color="auto" w:fill="auto"/>
            <w:noWrap/>
            <w:vAlign w:val="bottom"/>
          </w:tcPr>
          <w:p w14:paraId="00E16E58"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p>
        </w:tc>
        <w:tc>
          <w:tcPr>
            <w:tcW w:w="1218" w:type="dxa"/>
            <w:tcBorders>
              <w:top w:val="nil"/>
              <w:left w:val="nil"/>
              <w:bottom w:val="nil"/>
              <w:right w:val="nil"/>
            </w:tcBorders>
            <w:vAlign w:val="bottom"/>
          </w:tcPr>
          <w:p w14:paraId="6352C895"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p>
        </w:tc>
      </w:tr>
      <w:tr w:rsidR="008B2FBE" w:rsidRPr="0056686B" w14:paraId="2B3C8683" w14:textId="77777777" w:rsidTr="00422DD5">
        <w:trPr>
          <w:trHeight w:val="44"/>
        </w:trPr>
        <w:tc>
          <w:tcPr>
            <w:tcW w:w="6387" w:type="dxa"/>
            <w:tcBorders>
              <w:top w:val="nil"/>
              <w:left w:val="nil"/>
              <w:bottom w:val="nil"/>
              <w:right w:val="nil"/>
            </w:tcBorders>
            <w:shd w:val="clear" w:color="auto" w:fill="auto"/>
            <w:vAlign w:val="bottom"/>
          </w:tcPr>
          <w:p w14:paraId="06956B73" w14:textId="77777777" w:rsidR="008B2FBE" w:rsidRPr="0056686B" w:rsidRDefault="008B2FBE" w:rsidP="00422DD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Zaračunana bruto premija</w:t>
            </w:r>
          </w:p>
        </w:tc>
        <w:tc>
          <w:tcPr>
            <w:tcW w:w="1403" w:type="dxa"/>
            <w:shd w:val="clear" w:color="auto" w:fill="auto"/>
            <w:noWrap/>
            <w:vAlign w:val="bottom"/>
          </w:tcPr>
          <w:p w14:paraId="2D47D97E" w14:textId="77777777" w:rsidR="008B2FBE" w:rsidRPr="0056686B" w:rsidRDefault="008B2FBE" w:rsidP="00422DD5">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w:t>
            </w:r>
          </w:p>
        </w:tc>
        <w:tc>
          <w:tcPr>
            <w:tcW w:w="1218" w:type="dxa"/>
            <w:shd w:val="clear" w:color="auto" w:fill="auto"/>
            <w:vAlign w:val="bottom"/>
          </w:tcPr>
          <w:p w14:paraId="386F91E3"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bCs/>
                <w:color w:val="000000"/>
                <w:sz w:val="18"/>
                <w:szCs w:val="18"/>
              </w:rPr>
              <w:t>-</w:t>
            </w:r>
          </w:p>
        </w:tc>
      </w:tr>
      <w:tr w:rsidR="008B2FBE" w:rsidRPr="0056686B" w14:paraId="015893C4" w14:textId="77777777" w:rsidTr="00422DD5">
        <w:trPr>
          <w:trHeight w:val="122"/>
        </w:trPr>
        <w:tc>
          <w:tcPr>
            <w:tcW w:w="6387" w:type="dxa"/>
            <w:tcBorders>
              <w:top w:val="nil"/>
              <w:left w:val="nil"/>
              <w:bottom w:val="nil"/>
              <w:right w:val="nil"/>
            </w:tcBorders>
            <w:shd w:val="clear" w:color="auto" w:fill="auto"/>
            <w:vAlign w:val="bottom"/>
          </w:tcPr>
          <w:p w14:paraId="4C010949" w14:textId="77777777" w:rsidR="008B2FBE" w:rsidRPr="0056686B" w:rsidRDefault="008B2FBE" w:rsidP="00422DD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Ispravak vrijednosti i naplaćeni ispravak premije</w:t>
            </w:r>
          </w:p>
        </w:tc>
        <w:tc>
          <w:tcPr>
            <w:tcW w:w="1403" w:type="dxa"/>
            <w:shd w:val="clear" w:color="auto" w:fill="auto"/>
            <w:noWrap/>
            <w:vAlign w:val="bottom"/>
          </w:tcPr>
          <w:p w14:paraId="5ECE0A1D" w14:textId="77777777" w:rsidR="008B2FBE" w:rsidRPr="0056686B" w:rsidRDefault="008B2FBE" w:rsidP="00422DD5">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w:t>
            </w:r>
          </w:p>
        </w:tc>
        <w:tc>
          <w:tcPr>
            <w:tcW w:w="1218" w:type="dxa"/>
            <w:shd w:val="clear" w:color="auto" w:fill="auto"/>
            <w:vAlign w:val="bottom"/>
          </w:tcPr>
          <w:p w14:paraId="2166D726"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bCs/>
                <w:color w:val="000000"/>
                <w:sz w:val="18"/>
                <w:szCs w:val="18"/>
              </w:rPr>
              <w:t>-</w:t>
            </w:r>
          </w:p>
        </w:tc>
      </w:tr>
      <w:tr w:rsidR="008B2FBE" w:rsidRPr="0056686B" w14:paraId="7F4489A1" w14:textId="77777777" w:rsidTr="00422DD5">
        <w:trPr>
          <w:trHeight w:val="124"/>
        </w:trPr>
        <w:tc>
          <w:tcPr>
            <w:tcW w:w="6387" w:type="dxa"/>
            <w:tcBorders>
              <w:top w:val="nil"/>
              <w:left w:val="nil"/>
              <w:bottom w:val="nil"/>
              <w:right w:val="nil"/>
            </w:tcBorders>
            <w:shd w:val="clear" w:color="auto" w:fill="auto"/>
            <w:vAlign w:val="bottom"/>
          </w:tcPr>
          <w:p w14:paraId="3E297A34" w14:textId="77777777" w:rsidR="008B2FBE" w:rsidRPr="0056686B" w:rsidRDefault="008B2FBE" w:rsidP="00422DD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Bruto premije predane u reosiguranje</w:t>
            </w:r>
          </w:p>
        </w:tc>
        <w:tc>
          <w:tcPr>
            <w:tcW w:w="1403" w:type="dxa"/>
            <w:shd w:val="clear" w:color="auto" w:fill="auto"/>
            <w:noWrap/>
            <w:vAlign w:val="bottom"/>
          </w:tcPr>
          <w:p w14:paraId="5841F8FA" w14:textId="77777777" w:rsidR="008B2FBE" w:rsidRPr="0056686B" w:rsidRDefault="008B2FBE" w:rsidP="00422DD5">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w:t>
            </w:r>
          </w:p>
        </w:tc>
        <w:tc>
          <w:tcPr>
            <w:tcW w:w="1218" w:type="dxa"/>
            <w:shd w:val="clear" w:color="auto" w:fill="auto"/>
            <w:vAlign w:val="bottom"/>
          </w:tcPr>
          <w:p w14:paraId="75F97D30"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bCs/>
                <w:color w:val="000000"/>
                <w:sz w:val="18"/>
                <w:szCs w:val="18"/>
              </w:rPr>
              <w:t>-</w:t>
            </w:r>
          </w:p>
        </w:tc>
      </w:tr>
      <w:tr w:rsidR="008B2FBE" w:rsidRPr="0056686B" w14:paraId="35B5FBB8" w14:textId="77777777" w:rsidTr="00422DD5">
        <w:trPr>
          <w:trHeight w:val="111"/>
        </w:trPr>
        <w:tc>
          <w:tcPr>
            <w:tcW w:w="6387" w:type="dxa"/>
            <w:tcBorders>
              <w:left w:val="nil"/>
              <w:right w:val="nil"/>
            </w:tcBorders>
            <w:shd w:val="clear" w:color="auto" w:fill="auto"/>
            <w:vAlign w:val="bottom"/>
          </w:tcPr>
          <w:p w14:paraId="0360D49C" w14:textId="77777777" w:rsidR="008B2FBE" w:rsidRPr="0056686B" w:rsidRDefault="008B2FBE" w:rsidP="00422DD5">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Neto zaračunate premije</w:t>
            </w:r>
          </w:p>
        </w:tc>
        <w:tc>
          <w:tcPr>
            <w:tcW w:w="1403" w:type="dxa"/>
            <w:tcBorders>
              <w:top w:val="single" w:sz="4" w:space="0" w:color="auto"/>
              <w:left w:val="nil"/>
              <w:bottom w:val="single" w:sz="12" w:space="0" w:color="auto"/>
              <w:right w:val="nil"/>
            </w:tcBorders>
            <w:shd w:val="clear" w:color="auto" w:fill="auto"/>
            <w:noWrap/>
            <w:vAlign w:val="bottom"/>
          </w:tcPr>
          <w:p w14:paraId="34C92689"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1218" w:type="dxa"/>
            <w:tcBorders>
              <w:top w:val="single" w:sz="4" w:space="0" w:color="auto"/>
              <w:left w:val="nil"/>
              <w:bottom w:val="single" w:sz="12" w:space="0" w:color="auto"/>
              <w:right w:val="nil"/>
            </w:tcBorders>
            <w:shd w:val="clear" w:color="auto" w:fill="auto"/>
            <w:vAlign w:val="bottom"/>
          </w:tcPr>
          <w:p w14:paraId="23D822A6"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r>
      <w:tr w:rsidR="008B2FBE" w:rsidRPr="0056686B" w14:paraId="5A63619C" w14:textId="77777777" w:rsidTr="00422DD5">
        <w:trPr>
          <w:trHeight w:hRule="exact" w:val="125"/>
        </w:trPr>
        <w:tc>
          <w:tcPr>
            <w:tcW w:w="6387" w:type="dxa"/>
            <w:tcBorders>
              <w:left w:val="nil"/>
              <w:bottom w:val="nil"/>
              <w:right w:val="nil"/>
            </w:tcBorders>
            <w:shd w:val="clear" w:color="auto" w:fill="auto"/>
            <w:vAlign w:val="bottom"/>
          </w:tcPr>
          <w:p w14:paraId="21868B47" w14:textId="77777777" w:rsidR="008B2FBE" w:rsidRPr="0056686B" w:rsidRDefault="008B2FBE" w:rsidP="00422DD5">
            <w:pPr>
              <w:suppressAutoHyphens/>
              <w:autoSpaceDN w:val="0"/>
              <w:spacing w:line="140" w:lineRule="exact"/>
              <w:rPr>
                <w:rFonts w:ascii="Arial" w:eastAsia="Times New Roman" w:hAnsi="Arial" w:cs="Arial"/>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4199D692" w14:textId="77777777" w:rsidR="008B2FBE" w:rsidRPr="0056686B" w:rsidRDefault="008B2FBE" w:rsidP="00422DD5">
            <w:pPr>
              <w:suppressAutoHyphens/>
              <w:autoSpaceDN w:val="0"/>
              <w:spacing w:line="140" w:lineRule="exact"/>
              <w:jc w:val="right"/>
              <w:rPr>
                <w:rFonts w:ascii="Arial" w:eastAsia="Times New Roman" w:hAnsi="Arial" w:cs="Arial"/>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45C96639" w14:textId="77777777" w:rsidR="008B2FBE" w:rsidRPr="0056686B" w:rsidRDefault="008B2FBE" w:rsidP="00422DD5">
            <w:pPr>
              <w:suppressAutoHyphens/>
              <w:autoSpaceDN w:val="0"/>
              <w:spacing w:line="140" w:lineRule="exact"/>
              <w:jc w:val="right"/>
              <w:rPr>
                <w:rFonts w:ascii="Arial" w:eastAsia="Times New Roman" w:hAnsi="Arial" w:cs="Arial"/>
                <w:color w:val="000000" w:themeColor="text1"/>
                <w:sz w:val="18"/>
                <w:szCs w:val="18"/>
              </w:rPr>
            </w:pPr>
          </w:p>
        </w:tc>
      </w:tr>
      <w:tr w:rsidR="008B2FBE" w:rsidRPr="0056686B" w14:paraId="4C1D059A" w14:textId="77777777" w:rsidTr="00422DD5">
        <w:trPr>
          <w:trHeight w:val="100"/>
        </w:trPr>
        <w:tc>
          <w:tcPr>
            <w:tcW w:w="6387" w:type="dxa"/>
            <w:tcBorders>
              <w:top w:val="nil"/>
              <w:left w:val="nil"/>
              <w:bottom w:val="nil"/>
              <w:right w:val="nil"/>
            </w:tcBorders>
            <w:shd w:val="clear" w:color="auto" w:fill="auto"/>
            <w:vAlign w:val="bottom"/>
          </w:tcPr>
          <w:p w14:paraId="31A493C3" w14:textId="77777777" w:rsidR="008B2FBE" w:rsidRPr="0056686B" w:rsidRDefault="008B2FBE" w:rsidP="00422DD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Promjena bruto pričuva prijenosnih premija</w:t>
            </w:r>
          </w:p>
        </w:tc>
        <w:tc>
          <w:tcPr>
            <w:tcW w:w="1403" w:type="dxa"/>
            <w:shd w:val="clear" w:color="auto" w:fill="auto"/>
            <w:noWrap/>
            <w:vAlign w:val="bottom"/>
          </w:tcPr>
          <w:p w14:paraId="11C55D82"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218" w:type="dxa"/>
            <w:shd w:val="clear" w:color="auto" w:fill="auto"/>
            <w:vAlign w:val="bottom"/>
          </w:tcPr>
          <w:p w14:paraId="5BA10A82"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8B2FBE" w:rsidRPr="0056686B" w14:paraId="73E51029" w14:textId="77777777" w:rsidTr="00422DD5">
        <w:trPr>
          <w:trHeight w:val="172"/>
        </w:trPr>
        <w:tc>
          <w:tcPr>
            <w:tcW w:w="6387" w:type="dxa"/>
            <w:tcBorders>
              <w:top w:val="nil"/>
              <w:left w:val="nil"/>
              <w:bottom w:val="nil"/>
              <w:right w:val="nil"/>
            </w:tcBorders>
            <w:shd w:val="clear" w:color="auto" w:fill="auto"/>
            <w:vAlign w:val="bottom"/>
          </w:tcPr>
          <w:p w14:paraId="106CBFC3" w14:textId="77777777" w:rsidR="008B2FBE" w:rsidRPr="0056686B" w:rsidRDefault="008B2FBE" w:rsidP="00422DD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Promjena bruto pričuva prijenosnih premija, udio reosiguranja</w:t>
            </w:r>
          </w:p>
        </w:tc>
        <w:tc>
          <w:tcPr>
            <w:tcW w:w="1403" w:type="dxa"/>
            <w:tcBorders>
              <w:top w:val="nil"/>
              <w:left w:val="nil"/>
              <w:bottom w:val="single" w:sz="4" w:space="0" w:color="auto"/>
              <w:right w:val="nil"/>
            </w:tcBorders>
            <w:shd w:val="clear" w:color="auto" w:fill="auto"/>
            <w:noWrap/>
            <w:vAlign w:val="bottom"/>
          </w:tcPr>
          <w:p w14:paraId="37055503"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218" w:type="dxa"/>
            <w:tcBorders>
              <w:top w:val="nil"/>
              <w:left w:val="nil"/>
              <w:bottom w:val="single" w:sz="4" w:space="0" w:color="auto"/>
              <w:right w:val="nil"/>
            </w:tcBorders>
            <w:shd w:val="clear" w:color="auto" w:fill="auto"/>
            <w:vAlign w:val="bottom"/>
          </w:tcPr>
          <w:p w14:paraId="629B1E44"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8B2FBE" w:rsidRPr="0056686B" w14:paraId="2707A2E5" w14:textId="77777777" w:rsidTr="00422DD5">
        <w:trPr>
          <w:trHeight w:val="128"/>
        </w:trPr>
        <w:tc>
          <w:tcPr>
            <w:tcW w:w="6387" w:type="dxa"/>
            <w:tcBorders>
              <w:left w:val="nil"/>
              <w:right w:val="nil"/>
            </w:tcBorders>
            <w:shd w:val="clear" w:color="auto" w:fill="auto"/>
            <w:vAlign w:val="bottom"/>
          </w:tcPr>
          <w:p w14:paraId="35A9DF98" w14:textId="77777777" w:rsidR="008B2FBE" w:rsidRPr="0056686B" w:rsidRDefault="008B2FBE" w:rsidP="00422DD5">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Neto zarađene premije</w:t>
            </w:r>
          </w:p>
        </w:tc>
        <w:tc>
          <w:tcPr>
            <w:tcW w:w="1403" w:type="dxa"/>
            <w:tcBorders>
              <w:top w:val="nil"/>
              <w:left w:val="nil"/>
              <w:bottom w:val="single" w:sz="12" w:space="0" w:color="auto"/>
              <w:right w:val="nil"/>
            </w:tcBorders>
            <w:shd w:val="clear" w:color="auto" w:fill="auto"/>
            <w:noWrap/>
            <w:vAlign w:val="bottom"/>
          </w:tcPr>
          <w:p w14:paraId="50F396DF"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1218" w:type="dxa"/>
            <w:tcBorders>
              <w:top w:val="nil"/>
              <w:left w:val="nil"/>
              <w:bottom w:val="single" w:sz="12" w:space="0" w:color="auto"/>
              <w:right w:val="nil"/>
            </w:tcBorders>
            <w:shd w:val="clear" w:color="auto" w:fill="auto"/>
            <w:vAlign w:val="bottom"/>
          </w:tcPr>
          <w:p w14:paraId="2BEFBBE2"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r>
      <w:tr w:rsidR="008B2FBE" w:rsidRPr="0056686B" w14:paraId="1A740266" w14:textId="77777777" w:rsidTr="00422DD5">
        <w:trPr>
          <w:trHeight w:val="38"/>
        </w:trPr>
        <w:tc>
          <w:tcPr>
            <w:tcW w:w="6387" w:type="dxa"/>
            <w:tcBorders>
              <w:left w:val="nil"/>
              <w:bottom w:val="nil"/>
              <w:right w:val="nil"/>
            </w:tcBorders>
            <w:shd w:val="clear" w:color="auto" w:fill="auto"/>
            <w:vAlign w:val="bottom"/>
          </w:tcPr>
          <w:p w14:paraId="6B010434" w14:textId="77777777" w:rsidR="008B2FBE" w:rsidRPr="0056686B" w:rsidRDefault="008B2FBE" w:rsidP="00422DD5">
            <w:pPr>
              <w:suppressAutoHyphens/>
              <w:autoSpaceDN w:val="0"/>
              <w:spacing w:line="140" w:lineRule="exact"/>
              <w:rPr>
                <w:rFonts w:ascii="Arial" w:eastAsia="Times New Roman" w:hAnsi="Arial" w:cs="Arial"/>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210B3701" w14:textId="77777777" w:rsidR="008B2FBE" w:rsidRPr="0056686B" w:rsidRDefault="008B2FBE" w:rsidP="00422DD5">
            <w:pPr>
              <w:suppressAutoHyphens/>
              <w:autoSpaceDN w:val="0"/>
              <w:spacing w:line="140" w:lineRule="exact"/>
              <w:jc w:val="right"/>
              <w:rPr>
                <w:rFonts w:ascii="Arial" w:eastAsia="Times New Roman" w:hAnsi="Arial" w:cs="Arial"/>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4649DB6F" w14:textId="77777777" w:rsidR="008B2FBE" w:rsidRPr="0056686B" w:rsidRDefault="008B2FBE" w:rsidP="00422DD5">
            <w:pPr>
              <w:suppressAutoHyphens/>
              <w:autoSpaceDN w:val="0"/>
              <w:spacing w:line="140" w:lineRule="exact"/>
              <w:jc w:val="right"/>
              <w:rPr>
                <w:rFonts w:ascii="Arial" w:eastAsia="Times New Roman" w:hAnsi="Arial" w:cs="Arial"/>
                <w:color w:val="000000" w:themeColor="text1"/>
                <w:sz w:val="18"/>
                <w:szCs w:val="18"/>
              </w:rPr>
            </w:pPr>
          </w:p>
        </w:tc>
      </w:tr>
      <w:tr w:rsidR="008B2FBE" w:rsidRPr="0056686B" w14:paraId="4C4CE3D0" w14:textId="77777777" w:rsidTr="00422DD5">
        <w:trPr>
          <w:trHeight w:val="149"/>
        </w:trPr>
        <w:tc>
          <w:tcPr>
            <w:tcW w:w="6387" w:type="dxa"/>
            <w:tcBorders>
              <w:top w:val="nil"/>
              <w:left w:val="nil"/>
              <w:bottom w:val="nil"/>
              <w:right w:val="nil"/>
            </w:tcBorders>
            <w:shd w:val="clear" w:color="auto" w:fill="auto"/>
            <w:vAlign w:val="bottom"/>
          </w:tcPr>
          <w:p w14:paraId="6F8CCB0F" w14:textId="77777777" w:rsidR="008B2FBE" w:rsidRPr="0056686B" w:rsidRDefault="008B2FBE" w:rsidP="00422DD5">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Prihodi od provizija i naknada</w:t>
            </w:r>
          </w:p>
        </w:tc>
        <w:tc>
          <w:tcPr>
            <w:tcW w:w="1403" w:type="dxa"/>
            <w:shd w:val="clear" w:color="auto" w:fill="auto"/>
            <w:noWrap/>
            <w:vAlign w:val="bottom"/>
          </w:tcPr>
          <w:p w14:paraId="0756EDA6" w14:textId="77777777" w:rsidR="008B2FBE" w:rsidRPr="0056686B" w:rsidRDefault="008B2FBE" w:rsidP="00422DD5">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w:t>
            </w:r>
          </w:p>
        </w:tc>
        <w:tc>
          <w:tcPr>
            <w:tcW w:w="1218" w:type="dxa"/>
            <w:shd w:val="clear" w:color="auto" w:fill="auto"/>
            <w:vAlign w:val="bottom"/>
          </w:tcPr>
          <w:p w14:paraId="2CE79BB3" w14:textId="77777777" w:rsidR="008B2FBE" w:rsidRPr="0056686B" w:rsidRDefault="008B2FBE" w:rsidP="00422DD5">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sz w:val="18"/>
                <w:szCs w:val="18"/>
              </w:rPr>
              <w:t>-</w:t>
            </w:r>
          </w:p>
        </w:tc>
      </w:tr>
      <w:tr w:rsidR="008B2FBE" w:rsidRPr="0056686B" w14:paraId="4F96337E" w14:textId="77777777" w:rsidTr="00422DD5">
        <w:trPr>
          <w:trHeight w:val="132"/>
        </w:trPr>
        <w:tc>
          <w:tcPr>
            <w:tcW w:w="6387" w:type="dxa"/>
            <w:tcBorders>
              <w:top w:val="nil"/>
              <w:left w:val="nil"/>
              <w:bottom w:val="nil"/>
              <w:right w:val="nil"/>
            </w:tcBorders>
            <w:shd w:val="clear" w:color="auto" w:fill="auto"/>
            <w:vAlign w:val="bottom"/>
          </w:tcPr>
          <w:p w14:paraId="3CCC8ED6" w14:textId="77777777" w:rsidR="008B2FBE" w:rsidRPr="0056686B" w:rsidRDefault="008B2FBE" w:rsidP="00422DD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Neto prihodi od ulaganja</w:t>
            </w:r>
          </w:p>
        </w:tc>
        <w:tc>
          <w:tcPr>
            <w:tcW w:w="1403" w:type="dxa"/>
            <w:shd w:val="clear" w:color="auto" w:fill="auto"/>
            <w:noWrap/>
            <w:vAlign w:val="bottom"/>
          </w:tcPr>
          <w:p w14:paraId="0E906D47" w14:textId="77777777" w:rsidR="008B2FBE" w:rsidRPr="0056686B" w:rsidRDefault="008B2FBE" w:rsidP="00422DD5">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62</w:t>
            </w:r>
          </w:p>
        </w:tc>
        <w:tc>
          <w:tcPr>
            <w:tcW w:w="1218" w:type="dxa"/>
            <w:shd w:val="clear" w:color="auto" w:fill="auto"/>
            <w:vAlign w:val="bottom"/>
          </w:tcPr>
          <w:p w14:paraId="55BD05D9" w14:textId="77777777" w:rsidR="008B2FBE" w:rsidRPr="0056686B" w:rsidRDefault="008B2FBE" w:rsidP="00422DD5">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sz w:val="18"/>
                <w:szCs w:val="18"/>
              </w:rPr>
              <w:t>55</w:t>
            </w:r>
          </w:p>
        </w:tc>
      </w:tr>
      <w:tr w:rsidR="008B2FBE" w:rsidRPr="0056686B" w14:paraId="44AA55F0" w14:textId="77777777" w:rsidTr="00422DD5">
        <w:trPr>
          <w:trHeight w:val="125"/>
        </w:trPr>
        <w:tc>
          <w:tcPr>
            <w:tcW w:w="6387" w:type="dxa"/>
            <w:tcBorders>
              <w:top w:val="nil"/>
              <w:left w:val="nil"/>
              <w:right w:val="nil"/>
            </w:tcBorders>
            <w:shd w:val="clear" w:color="auto" w:fill="auto"/>
            <w:vAlign w:val="bottom"/>
          </w:tcPr>
          <w:p w14:paraId="5042448F" w14:textId="77777777" w:rsidR="008B2FBE" w:rsidRPr="0056686B" w:rsidRDefault="008B2FBE" w:rsidP="00422DD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Ostali poslovni prihodi</w:t>
            </w:r>
          </w:p>
        </w:tc>
        <w:tc>
          <w:tcPr>
            <w:tcW w:w="1403" w:type="dxa"/>
            <w:tcBorders>
              <w:top w:val="nil"/>
              <w:left w:val="nil"/>
              <w:bottom w:val="single" w:sz="4" w:space="0" w:color="auto"/>
              <w:right w:val="nil"/>
            </w:tcBorders>
            <w:shd w:val="clear" w:color="auto" w:fill="auto"/>
            <w:noWrap/>
            <w:vAlign w:val="bottom"/>
          </w:tcPr>
          <w:p w14:paraId="194D0F59" w14:textId="77777777" w:rsidR="008B2FBE" w:rsidRPr="0056686B" w:rsidRDefault="008B2FBE" w:rsidP="00422DD5">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2</w:t>
            </w:r>
          </w:p>
        </w:tc>
        <w:tc>
          <w:tcPr>
            <w:tcW w:w="1218" w:type="dxa"/>
            <w:tcBorders>
              <w:top w:val="nil"/>
              <w:left w:val="nil"/>
              <w:bottom w:val="single" w:sz="4" w:space="0" w:color="auto"/>
              <w:right w:val="nil"/>
            </w:tcBorders>
            <w:shd w:val="clear" w:color="auto" w:fill="auto"/>
            <w:vAlign w:val="bottom"/>
          </w:tcPr>
          <w:p w14:paraId="3C52844D"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bCs/>
                <w:color w:val="000000"/>
                <w:sz w:val="18"/>
                <w:szCs w:val="18"/>
              </w:rPr>
              <w:t>12</w:t>
            </w:r>
          </w:p>
        </w:tc>
      </w:tr>
      <w:tr w:rsidR="008B2FBE" w:rsidRPr="0056686B" w14:paraId="7505A748" w14:textId="77777777" w:rsidTr="00422DD5">
        <w:trPr>
          <w:trHeight w:val="112"/>
        </w:trPr>
        <w:tc>
          <w:tcPr>
            <w:tcW w:w="6387" w:type="dxa"/>
            <w:tcBorders>
              <w:left w:val="nil"/>
              <w:right w:val="nil"/>
            </w:tcBorders>
            <w:shd w:val="clear" w:color="auto" w:fill="auto"/>
            <w:vAlign w:val="bottom"/>
          </w:tcPr>
          <w:p w14:paraId="55AFBB77" w14:textId="77777777" w:rsidR="008B2FBE" w:rsidRPr="0056686B" w:rsidRDefault="008B2FBE" w:rsidP="00422DD5">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Neto prihodi</w:t>
            </w:r>
          </w:p>
        </w:tc>
        <w:tc>
          <w:tcPr>
            <w:tcW w:w="1403" w:type="dxa"/>
            <w:tcBorders>
              <w:top w:val="single" w:sz="4" w:space="0" w:color="auto"/>
              <w:left w:val="nil"/>
              <w:bottom w:val="single" w:sz="12" w:space="0" w:color="auto"/>
              <w:right w:val="nil"/>
            </w:tcBorders>
            <w:shd w:val="clear" w:color="auto" w:fill="auto"/>
            <w:noWrap/>
            <w:vAlign w:val="bottom"/>
          </w:tcPr>
          <w:p w14:paraId="51B7B7EB"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775</w:t>
            </w:r>
          </w:p>
        </w:tc>
        <w:tc>
          <w:tcPr>
            <w:tcW w:w="1218" w:type="dxa"/>
            <w:tcBorders>
              <w:top w:val="single" w:sz="4" w:space="0" w:color="auto"/>
              <w:left w:val="nil"/>
              <w:bottom w:val="single" w:sz="12" w:space="0" w:color="auto"/>
              <w:right w:val="nil"/>
            </w:tcBorders>
            <w:shd w:val="clear" w:color="auto" w:fill="auto"/>
            <w:vAlign w:val="bottom"/>
          </w:tcPr>
          <w:p w14:paraId="10179D99"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809</w:t>
            </w:r>
          </w:p>
        </w:tc>
      </w:tr>
      <w:tr w:rsidR="008B2FBE" w:rsidRPr="0056686B" w14:paraId="1BCA570E" w14:textId="77777777" w:rsidTr="00422DD5">
        <w:trPr>
          <w:trHeight w:hRule="exact" w:val="125"/>
        </w:trPr>
        <w:tc>
          <w:tcPr>
            <w:tcW w:w="6387" w:type="dxa"/>
            <w:tcBorders>
              <w:left w:val="nil"/>
              <w:bottom w:val="nil"/>
              <w:right w:val="nil"/>
            </w:tcBorders>
            <w:shd w:val="clear" w:color="auto" w:fill="auto"/>
            <w:vAlign w:val="bottom"/>
          </w:tcPr>
          <w:p w14:paraId="74EF77E7" w14:textId="77777777" w:rsidR="008B2FBE" w:rsidRPr="0056686B" w:rsidRDefault="008B2FBE" w:rsidP="00422DD5">
            <w:pPr>
              <w:suppressAutoHyphens/>
              <w:autoSpaceDN w:val="0"/>
              <w:spacing w:line="140" w:lineRule="exact"/>
              <w:rPr>
                <w:rFonts w:ascii="Arial" w:eastAsia="Times New Roman" w:hAnsi="Arial" w:cs="Arial"/>
                <w:color w:val="000000" w:themeColor="text1"/>
                <w:sz w:val="18"/>
                <w:szCs w:val="18"/>
              </w:rPr>
            </w:pPr>
          </w:p>
        </w:tc>
        <w:tc>
          <w:tcPr>
            <w:tcW w:w="1403" w:type="dxa"/>
            <w:tcBorders>
              <w:top w:val="single" w:sz="12" w:space="0" w:color="auto"/>
              <w:left w:val="nil"/>
              <w:right w:val="nil"/>
            </w:tcBorders>
            <w:shd w:val="clear" w:color="auto" w:fill="auto"/>
            <w:noWrap/>
            <w:vAlign w:val="bottom"/>
          </w:tcPr>
          <w:p w14:paraId="21D7D7C6" w14:textId="77777777" w:rsidR="008B2FBE" w:rsidRPr="0056686B" w:rsidRDefault="008B2FBE" w:rsidP="00422DD5">
            <w:pPr>
              <w:suppressAutoHyphens/>
              <w:autoSpaceDN w:val="0"/>
              <w:spacing w:line="140" w:lineRule="exact"/>
              <w:jc w:val="right"/>
              <w:rPr>
                <w:rFonts w:ascii="Arial" w:eastAsia="Times New Roman" w:hAnsi="Arial" w:cs="Arial"/>
                <w:color w:val="000000" w:themeColor="text1"/>
                <w:sz w:val="18"/>
                <w:szCs w:val="18"/>
              </w:rPr>
            </w:pPr>
          </w:p>
        </w:tc>
        <w:tc>
          <w:tcPr>
            <w:tcW w:w="1218" w:type="dxa"/>
            <w:tcBorders>
              <w:top w:val="single" w:sz="12" w:space="0" w:color="auto"/>
              <w:left w:val="nil"/>
              <w:right w:val="nil"/>
            </w:tcBorders>
            <w:shd w:val="clear" w:color="auto" w:fill="auto"/>
            <w:vAlign w:val="bottom"/>
          </w:tcPr>
          <w:p w14:paraId="707D8E55" w14:textId="77777777" w:rsidR="008B2FBE" w:rsidRPr="0056686B" w:rsidRDefault="008B2FBE" w:rsidP="00422DD5">
            <w:pPr>
              <w:suppressAutoHyphens/>
              <w:autoSpaceDN w:val="0"/>
              <w:spacing w:line="140" w:lineRule="exact"/>
              <w:jc w:val="right"/>
              <w:rPr>
                <w:rFonts w:ascii="Arial" w:eastAsia="Times New Roman" w:hAnsi="Arial" w:cs="Arial"/>
                <w:color w:val="000000" w:themeColor="text1"/>
                <w:sz w:val="18"/>
                <w:szCs w:val="18"/>
              </w:rPr>
            </w:pPr>
          </w:p>
        </w:tc>
      </w:tr>
      <w:tr w:rsidR="008B2FBE" w:rsidRPr="0056686B" w14:paraId="7C5C2C65" w14:textId="77777777" w:rsidTr="00422DD5">
        <w:trPr>
          <w:trHeight w:val="111"/>
        </w:trPr>
        <w:tc>
          <w:tcPr>
            <w:tcW w:w="6387" w:type="dxa"/>
            <w:tcBorders>
              <w:top w:val="nil"/>
              <w:left w:val="nil"/>
              <w:right w:val="nil"/>
            </w:tcBorders>
            <w:shd w:val="clear" w:color="auto" w:fill="auto"/>
            <w:vAlign w:val="bottom"/>
          </w:tcPr>
          <w:p w14:paraId="3C7A7772" w14:textId="77777777" w:rsidR="008B2FBE" w:rsidRPr="00163A49" w:rsidRDefault="008B2FBE" w:rsidP="00422DD5">
            <w:pPr>
              <w:suppressAutoHyphens/>
              <w:autoSpaceDN w:val="0"/>
              <w:rPr>
                <w:rFonts w:ascii="Arial" w:eastAsia="Times New Roman" w:hAnsi="Arial" w:cs="Arial"/>
                <w:b/>
                <w:bCs/>
                <w:color w:val="000000" w:themeColor="text1"/>
                <w:sz w:val="18"/>
                <w:szCs w:val="18"/>
              </w:rPr>
            </w:pPr>
            <w:r w:rsidRPr="00163A49">
              <w:rPr>
                <w:rFonts w:ascii="Arial" w:eastAsia="Times New Roman" w:hAnsi="Arial" w:cs="Arial"/>
                <w:b/>
                <w:bCs/>
                <w:color w:val="000000" w:themeColor="text1"/>
                <w:sz w:val="18"/>
                <w:szCs w:val="18"/>
              </w:rPr>
              <w:t>Rashodi od ugovora o osiguranju</w:t>
            </w:r>
          </w:p>
        </w:tc>
        <w:tc>
          <w:tcPr>
            <w:tcW w:w="1403" w:type="dxa"/>
            <w:tcBorders>
              <w:bottom w:val="single" w:sz="12" w:space="0" w:color="auto"/>
            </w:tcBorders>
            <w:shd w:val="clear" w:color="auto" w:fill="auto"/>
            <w:noWrap/>
            <w:vAlign w:val="bottom"/>
          </w:tcPr>
          <w:p w14:paraId="41453591" w14:textId="77777777" w:rsidR="008B2FBE" w:rsidRPr="00163A49" w:rsidRDefault="008B2FBE" w:rsidP="00422DD5">
            <w:pPr>
              <w:suppressAutoHyphens/>
              <w:autoSpaceDN w:val="0"/>
              <w:jc w:val="right"/>
              <w:rPr>
                <w:rFonts w:ascii="Arial" w:eastAsia="Times New Roman" w:hAnsi="Arial" w:cs="Arial"/>
                <w:b/>
                <w:bCs/>
                <w:color w:val="000000"/>
                <w:sz w:val="18"/>
                <w:szCs w:val="18"/>
              </w:rPr>
            </w:pPr>
            <w:r>
              <w:rPr>
                <w:rFonts w:ascii="Arial" w:eastAsia="Times New Roman" w:hAnsi="Arial" w:cs="Arial"/>
                <w:b/>
                <w:bCs/>
                <w:color w:val="000000"/>
                <w:sz w:val="18"/>
                <w:szCs w:val="18"/>
              </w:rPr>
              <w:t>(654)</w:t>
            </w:r>
          </w:p>
        </w:tc>
        <w:tc>
          <w:tcPr>
            <w:tcW w:w="1218" w:type="dxa"/>
            <w:tcBorders>
              <w:bottom w:val="single" w:sz="12" w:space="0" w:color="auto"/>
            </w:tcBorders>
            <w:shd w:val="clear" w:color="auto" w:fill="auto"/>
            <w:vAlign w:val="bottom"/>
          </w:tcPr>
          <w:p w14:paraId="1724DDC2"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b/>
                <w:bCs/>
                <w:color w:val="000000"/>
                <w:sz w:val="18"/>
                <w:szCs w:val="18"/>
              </w:rPr>
              <w:t>(368)</w:t>
            </w:r>
          </w:p>
        </w:tc>
      </w:tr>
      <w:tr w:rsidR="008B2FBE" w:rsidRPr="0056686B" w14:paraId="053499AE" w14:textId="77777777" w:rsidTr="00422DD5">
        <w:trPr>
          <w:trHeight w:val="111"/>
        </w:trPr>
        <w:tc>
          <w:tcPr>
            <w:tcW w:w="6387" w:type="dxa"/>
            <w:tcBorders>
              <w:top w:val="nil"/>
              <w:left w:val="nil"/>
              <w:right w:val="nil"/>
            </w:tcBorders>
            <w:shd w:val="clear" w:color="auto" w:fill="auto"/>
            <w:vAlign w:val="bottom"/>
          </w:tcPr>
          <w:p w14:paraId="7720257C" w14:textId="77777777" w:rsidR="008B2FBE" w:rsidRPr="00163A49" w:rsidRDefault="008B2FBE" w:rsidP="00422DD5">
            <w:pPr>
              <w:suppressAutoHyphens/>
              <w:autoSpaceDN w:val="0"/>
              <w:rPr>
                <w:rFonts w:ascii="Arial" w:eastAsia="Times New Roman" w:hAnsi="Arial" w:cs="Arial"/>
                <w:b/>
                <w:bCs/>
                <w:color w:val="000000" w:themeColor="text1"/>
                <w:sz w:val="18"/>
                <w:szCs w:val="18"/>
              </w:rPr>
            </w:pPr>
            <w:r w:rsidRPr="00212016">
              <w:rPr>
                <w:rFonts w:ascii="Arial" w:eastAsia="Times New Roman" w:hAnsi="Arial" w:cs="Arial"/>
                <w:b/>
                <w:bCs/>
                <w:color w:val="000000" w:themeColor="text1"/>
                <w:sz w:val="18"/>
                <w:szCs w:val="18"/>
              </w:rPr>
              <w:t>Neto rezultat ugovora o (pasivnom) reosiguranju</w:t>
            </w:r>
          </w:p>
        </w:tc>
        <w:tc>
          <w:tcPr>
            <w:tcW w:w="1403" w:type="dxa"/>
            <w:tcBorders>
              <w:bottom w:val="single" w:sz="12" w:space="0" w:color="auto"/>
            </w:tcBorders>
            <w:shd w:val="clear" w:color="auto" w:fill="auto"/>
            <w:noWrap/>
            <w:vAlign w:val="bottom"/>
          </w:tcPr>
          <w:p w14:paraId="274AFD8F" w14:textId="77777777" w:rsidR="008B2FBE" w:rsidRDefault="008B2FBE" w:rsidP="00422DD5">
            <w:pPr>
              <w:suppressAutoHyphens/>
              <w:autoSpaceDN w:val="0"/>
              <w:jc w:val="right"/>
              <w:rPr>
                <w:rFonts w:ascii="Arial" w:eastAsia="Times New Roman" w:hAnsi="Arial" w:cs="Arial"/>
                <w:b/>
                <w:bCs/>
                <w:color w:val="000000"/>
                <w:sz w:val="18"/>
                <w:szCs w:val="18"/>
              </w:rPr>
            </w:pPr>
            <w:r>
              <w:rPr>
                <w:rFonts w:ascii="Arial" w:eastAsia="Times New Roman" w:hAnsi="Arial" w:cs="Arial"/>
                <w:b/>
                <w:bCs/>
                <w:color w:val="000000"/>
                <w:sz w:val="18"/>
                <w:szCs w:val="18"/>
              </w:rPr>
              <w:t>(114)</w:t>
            </w:r>
          </w:p>
        </w:tc>
        <w:tc>
          <w:tcPr>
            <w:tcW w:w="1218" w:type="dxa"/>
            <w:tcBorders>
              <w:bottom w:val="single" w:sz="12" w:space="0" w:color="auto"/>
            </w:tcBorders>
            <w:shd w:val="clear" w:color="auto" w:fill="auto"/>
            <w:vAlign w:val="bottom"/>
          </w:tcPr>
          <w:p w14:paraId="02EE2601" w14:textId="77777777" w:rsidR="008B2FBE" w:rsidRDefault="008B2FBE" w:rsidP="00422DD5">
            <w:pPr>
              <w:suppressAutoHyphens/>
              <w:autoSpaceDN w:val="0"/>
              <w:jc w:val="right"/>
              <w:rPr>
                <w:rFonts w:ascii="Arial" w:eastAsia="Times New Roman" w:hAnsi="Arial" w:cs="Arial"/>
                <w:b/>
                <w:bCs/>
                <w:color w:val="000000"/>
                <w:sz w:val="18"/>
                <w:szCs w:val="18"/>
              </w:rPr>
            </w:pPr>
            <w:r>
              <w:rPr>
                <w:rFonts w:ascii="Arial" w:eastAsia="Times New Roman" w:hAnsi="Arial" w:cs="Arial"/>
                <w:b/>
                <w:bCs/>
                <w:color w:val="000000"/>
                <w:sz w:val="18"/>
                <w:szCs w:val="18"/>
              </w:rPr>
              <w:t>-</w:t>
            </w:r>
          </w:p>
        </w:tc>
      </w:tr>
      <w:tr w:rsidR="008B2FBE" w:rsidRPr="0056686B" w14:paraId="6A20F0BA" w14:textId="77777777" w:rsidTr="00422DD5">
        <w:trPr>
          <w:trHeight w:val="111"/>
        </w:trPr>
        <w:tc>
          <w:tcPr>
            <w:tcW w:w="6387" w:type="dxa"/>
            <w:tcBorders>
              <w:top w:val="nil"/>
              <w:left w:val="nil"/>
              <w:right w:val="nil"/>
            </w:tcBorders>
            <w:shd w:val="clear" w:color="auto" w:fill="auto"/>
            <w:vAlign w:val="bottom"/>
          </w:tcPr>
          <w:p w14:paraId="4DF86D39" w14:textId="77777777" w:rsidR="008B2FBE" w:rsidRPr="0056686B" w:rsidRDefault="008B2FBE" w:rsidP="00422DD5">
            <w:pPr>
              <w:suppressAutoHyphens/>
              <w:autoSpaceDN w:val="0"/>
              <w:rPr>
                <w:rFonts w:ascii="Arial" w:eastAsia="Times New Roman" w:hAnsi="Arial" w:cs="Arial"/>
                <w:color w:val="000000" w:themeColor="text1"/>
                <w:sz w:val="18"/>
                <w:szCs w:val="18"/>
              </w:rPr>
            </w:pPr>
          </w:p>
        </w:tc>
        <w:tc>
          <w:tcPr>
            <w:tcW w:w="1403" w:type="dxa"/>
            <w:tcBorders>
              <w:top w:val="single" w:sz="12" w:space="0" w:color="auto"/>
            </w:tcBorders>
            <w:shd w:val="clear" w:color="auto" w:fill="auto"/>
            <w:noWrap/>
            <w:vAlign w:val="bottom"/>
          </w:tcPr>
          <w:p w14:paraId="4E82F957" w14:textId="77777777" w:rsidR="008B2FBE" w:rsidRPr="0056686B" w:rsidRDefault="008B2FBE" w:rsidP="00422DD5">
            <w:pPr>
              <w:suppressAutoHyphens/>
              <w:autoSpaceDN w:val="0"/>
              <w:jc w:val="right"/>
              <w:rPr>
                <w:rFonts w:ascii="Arial" w:eastAsia="Times New Roman" w:hAnsi="Arial" w:cs="Arial"/>
                <w:color w:val="000000"/>
                <w:sz w:val="18"/>
                <w:szCs w:val="18"/>
              </w:rPr>
            </w:pPr>
          </w:p>
        </w:tc>
        <w:tc>
          <w:tcPr>
            <w:tcW w:w="1218" w:type="dxa"/>
            <w:tcBorders>
              <w:top w:val="single" w:sz="12" w:space="0" w:color="auto"/>
            </w:tcBorders>
            <w:shd w:val="clear" w:color="auto" w:fill="auto"/>
          </w:tcPr>
          <w:p w14:paraId="11A460C4"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p>
        </w:tc>
      </w:tr>
      <w:tr w:rsidR="008B2FBE" w:rsidRPr="0056686B" w14:paraId="57489128" w14:textId="77777777" w:rsidTr="00422DD5">
        <w:trPr>
          <w:trHeight w:val="111"/>
        </w:trPr>
        <w:tc>
          <w:tcPr>
            <w:tcW w:w="6387" w:type="dxa"/>
            <w:tcBorders>
              <w:top w:val="nil"/>
              <w:left w:val="nil"/>
              <w:right w:val="nil"/>
            </w:tcBorders>
            <w:shd w:val="clear" w:color="auto" w:fill="auto"/>
            <w:vAlign w:val="bottom"/>
          </w:tcPr>
          <w:p w14:paraId="0CC01240" w14:textId="77777777" w:rsidR="008B2FBE" w:rsidRPr="0056686B" w:rsidRDefault="008B2FBE" w:rsidP="00422DD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Bruto izdatak za povrat premije</w:t>
            </w:r>
          </w:p>
        </w:tc>
        <w:tc>
          <w:tcPr>
            <w:tcW w:w="1403" w:type="dxa"/>
            <w:shd w:val="clear" w:color="auto" w:fill="auto"/>
            <w:noWrap/>
            <w:vAlign w:val="bottom"/>
          </w:tcPr>
          <w:p w14:paraId="3F88CC56" w14:textId="77777777" w:rsidR="008B2FBE" w:rsidRPr="0056686B" w:rsidRDefault="008B2FBE" w:rsidP="00422DD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18" w:type="dxa"/>
            <w:shd w:val="clear" w:color="auto" w:fill="auto"/>
            <w:vAlign w:val="bottom"/>
          </w:tcPr>
          <w:p w14:paraId="7E13C3B9"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sz w:val="18"/>
                <w:szCs w:val="18"/>
              </w:rPr>
              <w:t>-</w:t>
            </w:r>
          </w:p>
        </w:tc>
      </w:tr>
      <w:tr w:rsidR="008B2FBE" w:rsidRPr="0056686B" w14:paraId="73E12D4F" w14:textId="77777777" w:rsidTr="00422DD5">
        <w:trPr>
          <w:trHeight w:val="152"/>
        </w:trPr>
        <w:tc>
          <w:tcPr>
            <w:tcW w:w="6387" w:type="dxa"/>
            <w:tcBorders>
              <w:top w:val="nil"/>
              <w:left w:val="nil"/>
              <w:right w:val="nil"/>
            </w:tcBorders>
            <w:shd w:val="clear" w:color="auto" w:fill="auto"/>
            <w:vAlign w:val="bottom"/>
          </w:tcPr>
          <w:p w14:paraId="15F59C9A" w14:textId="77777777" w:rsidR="008B2FBE" w:rsidRPr="0056686B" w:rsidRDefault="008B2FBE" w:rsidP="00422DD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Udio reosiguravatelja u povratu premije</w:t>
            </w:r>
          </w:p>
        </w:tc>
        <w:tc>
          <w:tcPr>
            <w:tcW w:w="1403" w:type="dxa"/>
            <w:shd w:val="clear" w:color="auto" w:fill="auto"/>
            <w:noWrap/>
            <w:vAlign w:val="bottom"/>
          </w:tcPr>
          <w:p w14:paraId="0A857719" w14:textId="77777777" w:rsidR="008B2FBE" w:rsidRPr="0056686B" w:rsidRDefault="008B2FBE" w:rsidP="00422DD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18" w:type="dxa"/>
            <w:shd w:val="clear" w:color="auto" w:fill="auto"/>
            <w:vAlign w:val="bottom"/>
          </w:tcPr>
          <w:p w14:paraId="3D36A192"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sz w:val="18"/>
                <w:szCs w:val="18"/>
              </w:rPr>
              <w:t>-</w:t>
            </w:r>
          </w:p>
        </w:tc>
      </w:tr>
      <w:tr w:rsidR="008B2FBE" w:rsidRPr="0056686B" w14:paraId="24FE3F41" w14:textId="77777777" w:rsidTr="00422DD5">
        <w:trPr>
          <w:trHeight w:val="193"/>
        </w:trPr>
        <w:tc>
          <w:tcPr>
            <w:tcW w:w="6387" w:type="dxa"/>
            <w:tcBorders>
              <w:top w:val="nil"/>
              <w:left w:val="nil"/>
              <w:right w:val="nil"/>
            </w:tcBorders>
            <w:shd w:val="clear" w:color="auto" w:fill="auto"/>
            <w:vAlign w:val="bottom"/>
          </w:tcPr>
          <w:p w14:paraId="209436A6" w14:textId="77777777" w:rsidR="008B2FBE" w:rsidRPr="0056686B" w:rsidRDefault="008B2FBE" w:rsidP="00422DD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Bruto pričuva za povrate premija</w:t>
            </w:r>
          </w:p>
        </w:tc>
        <w:tc>
          <w:tcPr>
            <w:tcW w:w="1403" w:type="dxa"/>
            <w:shd w:val="clear" w:color="auto" w:fill="auto"/>
            <w:noWrap/>
            <w:vAlign w:val="bottom"/>
          </w:tcPr>
          <w:p w14:paraId="71013706" w14:textId="77777777" w:rsidR="008B2FBE" w:rsidRPr="0056686B" w:rsidRDefault="008B2FBE" w:rsidP="00422DD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18" w:type="dxa"/>
            <w:shd w:val="clear" w:color="auto" w:fill="auto"/>
            <w:vAlign w:val="bottom"/>
          </w:tcPr>
          <w:p w14:paraId="56A8CE46"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sz w:val="18"/>
                <w:szCs w:val="18"/>
              </w:rPr>
              <w:t>-</w:t>
            </w:r>
          </w:p>
        </w:tc>
      </w:tr>
      <w:tr w:rsidR="008B2FBE" w:rsidRPr="0056686B" w14:paraId="11F7EF98" w14:textId="77777777" w:rsidTr="00422DD5">
        <w:trPr>
          <w:trHeight w:val="89"/>
        </w:trPr>
        <w:tc>
          <w:tcPr>
            <w:tcW w:w="6387" w:type="dxa"/>
            <w:tcBorders>
              <w:top w:val="nil"/>
              <w:left w:val="nil"/>
              <w:right w:val="nil"/>
            </w:tcBorders>
            <w:shd w:val="clear" w:color="auto" w:fill="auto"/>
            <w:vAlign w:val="bottom"/>
          </w:tcPr>
          <w:p w14:paraId="48CD62B3" w14:textId="77777777" w:rsidR="008B2FBE" w:rsidRPr="0056686B" w:rsidRDefault="008B2FBE" w:rsidP="00422DD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Udio reosiguravatelja u pričuvi</w:t>
            </w:r>
          </w:p>
        </w:tc>
        <w:tc>
          <w:tcPr>
            <w:tcW w:w="1403" w:type="dxa"/>
            <w:tcBorders>
              <w:top w:val="nil"/>
              <w:left w:val="nil"/>
              <w:bottom w:val="single" w:sz="4" w:space="0" w:color="auto"/>
              <w:right w:val="nil"/>
            </w:tcBorders>
            <w:shd w:val="clear" w:color="auto" w:fill="auto"/>
            <w:noWrap/>
            <w:vAlign w:val="bottom"/>
          </w:tcPr>
          <w:p w14:paraId="0A504ED0" w14:textId="77777777" w:rsidR="008B2FBE" w:rsidRPr="0056686B" w:rsidRDefault="008B2FBE" w:rsidP="00422DD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18" w:type="dxa"/>
            <w:tcBorders>
              <w:top w:val="nil"/>
              <w:left w:val="nil"/>
              <w:bottom w:val="single" w:sz="4" w:space="0" w:color="auto"/>
              <w:right w:val="nil"/>
            </w:tcBorders>
            <w:shd w:val="clear" w:color="auto" w:fill="auto"/>
            <w:vAlign w:val="bottom"/>
          </w:tcPr>
          <w:p w14:paraId="45EC369D"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sz w:val="18"/>
                <w:szCs w:val="18"/>
              </w:rPr>
              <w:t>-</w:t>
            </w:r>
          </w:p>
        </w:tc>
      </w:tr>
      <w:tr w:rsidR="008B2FBE" w:rsidRPr="0056686B" w14:paraId="172EC42C" w14:textId="77777777" w:rsidTr="00422DD5">
        <w:trPr>
          <w:trHeight w:val="123"/>
        </w:trPr>
        <w:tc>
          <w:tcPr>
            <w:tcW w:w="6387" w:type="dxa"/>
            <w:tcBorders>
              <w:left w:val="nil"/>
              <w:right w:val="nil"/>
            </w:tcBorders>
            <w:shd w:val="clear" w:color="auto" w:fill="auto"/>
            <w:vAlign w:val="bottom"/>
          </w:tcPr>
          <w:p w14:paraId="6FAF436D" w14:textId="77777777" w:rsidR="008B2FBE" w:rsidRPr="0056686B" w:rsidRDefault="008B2FBE" w:rsidP="00422DD5">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Neto izdaci i pričuve za povrat premije</w:t>
            </w:r>
          </w:p>
        </w:tc>
        <w:tc>
          <w:tcPr>
            <w:tcW w:w="1403" w:type="dxa"/>
            <w:tcBorders>
              <w:top w:val="single" w:sz="4" w:space="0" w:color="auto"/>
              <w:left w:val="nil"/>
              <w:bottom w:val="single" w:sz="12" w:space="0" w:color="auto"/>
              <w:right w:val="nil"/>
            </w:tcBorders>
            <w:shd w:val="clear" w:color="auto" w:fill="auto"/>
            <w:noWrap/>
            <w:vAlign w:val="bottom"/>
          </w:tcPr>
          <w:p w14:paraId="31BAA90E" w14:textId="77777777" w:rsidR="008B2FBE" w:rsidRPr="0056686B" w:rsidRDefault="008B2FBE" w:rsidP="00422DD5">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w:t>
            </w:r>
          </w:p>
        </w:tc>
        <w:tc>
          <w:tcPr>
            <w:tcW w:w="1218" w:type="dxa"/>
            <w:tcBorders>
              <w:top w:val="single" w:sz="4" w:space="0" w:color="auto"/>
              <w:left w:val="nil"/>
              <w:bottom w:val="single" w:sz="12" w:space="0" w:color="auto"/>
              <w:right w:val="nil"/>
            </w:tcBorders>
            <w:shd w:val="clear" w:color="auto" w:fill="auto"/>
            <w:vAlign w:val="bottom"/>
          </w:tcPr>
          <w:p w14:paraId="60F44CAF" w14:textId="77777777" w:rsidR="008B2FBE" w:rsidRPr="0056686B" w:rsidRDefault="008B2FBE" w:rsidP="00422DD5">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w:t>
            </w:r>
          </w:p>
        </w:tc>
      </w:tr>
      <w:tr w:rsidR="008B2FBE" w:rsidRPr="0056686B" w14:paraId="1453F331" w14:textId="77777777" w:rsidTr="00422DD5">
        <w:trPr>
          <w:trHeight w:val="82"/>
        </w:trPr>
        <w:tc>
          <w:tcPr>
            <w:tcW w:w="6387" w:type="dxa"/>
            <w:tcBorders>
              <w:left w:val="nil"/>
              <w:bottom w:val="nil"/>
              <w:right w:val="nil"/>
            </w:tcBorders>
            <w:shd w:val="clear" w:color="auto" w:fill="auto"/>
            <w:vAlign w:val="bottom"/>
          </w:tcPr>
          <w:p w14:paraId="7828835A" w14:textId="77777777" w:rsidR="008B2FBE" w:rsidRPr="0056686B" w:rsidRDefault="008B2FBE" w:rsidP="00422DD5">
            <w:pPr>
              <w:suppressAutoHyphens/>
              <w:autoSpaceDN w:val="0"/>
              <w:spacing w:line="140" w:lineRule="exact"/>
              <w:rPr>
                <w:rFonts w:ascii="Arial" w:eastAsia="Times New Roman" w:hAnsi="Arial" w:cs="Arial"/>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45441CD0" w14:textId="77777777" w:rsidR="008B2FBE" w:rsidRPr="0056686B" w:rsidRDefault="008B2FBE" w:rsidP="00422DD5">
            <w:pPr>
              <w:suppressAutoHyphens/>
              <w:autoSpaceDN w:val="0"/>
              <w:spacing w:line="140" w:lineRule="exact"/>
              <w:jc w:val="right"/>
              <w:rPr>
                <w:rFonts w:ascii="Arial" w:eastAsia="Times New Roman" w:hAnsi="Arial" w:cs="Arial"/>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611240FC" w14:textId="77777777" w:rsidR="008B2FBE" w:rsidRPr="0056686B" w:rsidRDefault="008B2FBE" w:rsidP="00422DD5">
            <w:pPr>
              <w:suppressAutoHyphens/>
              <w:autoSpaceDN w:val="0"/>
              <w:spacing w:line="140" w:lineRule="exact"/>
              <w:jc w:val="right"/>
              <w:rPr>
                <w:rFonts w:ascii="Arial" w:eastAsia="Times New Roman" w:hAnsi="Arial" w:cs="Arial"/>
                <w:color w:val="000000" w:themeColor="text1"/>
                <w:sz w:val="18"/>
                <w:szCs w:val="18"/>
              </w:rPr>
            </w:pPr>
          </w:p>
        </w:tc>
      </w:tr>
      <w:tr w:rsidR="008B2FBE" w:rsidRPr="0056686B" w14:paraId="2593B1E7" w14:textId="77777777" w:rsidTr="00422DD5">
        <w:trPr>
          <w:trHeight w:val="163"/>
        </w:trPr>
        <w:tc>
          <w:tcPr>
            <w:tcW w:w="6387" w:type="dxa"/>
            <w:tcBorders>
              <w:top w:val="nil"/>
              <w:left w:val="nil"/>
              <w:bottom w:val="nil"/>
              <w:right w:val="nil"/>
            </w:tcBorders>
            <w:shd w:val="clear" w:color="auto" w:fill="auto"/>
            <w:vAlign w:val="bottom"/>
          </w:tcPr>
          <w:p w14:paraId="73A56B00" w14:textId="77777777" w:rsidR="008B2FBE" w:rsidRPr="0056686B" w:rsidRDefault="008B2FBE" w:rsidP="00422DD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Izdaci za osigurane slučajeve</w:t>
            </w:r>
          </w:p>
        </w:tc>
        <w:tc>
          <w:tcPr>
            <w:tcW w:w="1403" w:type="dxa"/>
            <w:shd w:val="clear" w:color="auto" w:fill="auto"/>
            <w:noWrap/>
            <w:vAlign w:val="bottom"/>
          </w:tcPr>
          <w:p w14:paraId="2C06D4CA" w14:textId="77777777" w:rsidR="008B2FBE" w:rsidRPr="0056686B" w:rsidRDefault="008B2FBE" w:rsidP="00422DD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18" w:type="dxa"/>
            <w:shd w:val="clear" w:color="auto" w:fill="auto"/>
            <w:vAlign w:val="bottom"/>
          </w:tcPr>
          <w:p w14:paraId="1D1E118B"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sz w:val="18"/>
                <w:szCs w:val="18"/>
              </w:rPr>
              <w:t>-</w:t>
            </w:r>
          </w:p>
        </w:tc>
      </w:tr>
      <w:tr w:rsidR="008B2FBE" w:rsidRPr="0056686B" w14:paraId="1F98BEDB" w14:textId="77777777" w:rsidTr="00422DD5">
        <w:trPr>
          <w:trHeight w:val="98"/>
        </w:trPr>
        <w:tc>
          <w:tcPr>
            <w:tcW w:w="6387" w:type="dxa"/>
            <w:tcBorders>
              <w:top w:val="nil"/>
              <w:left w:val="nil"/>
              <w:bottom w:val="nil"/>
              <w:right w:val="nil"/>
            </w:tcBorders>
            <w:shd w:val="clear" w:color="auto" w:fill="auto"/>
            <w:vAlign w:val="bottom"/>
          </w:tcPr>
          <w:p w14:paraId="2E1CAB6F" w14:textId="77777777" w:rsidR="008B2FBE" w:rsidRPr="0056686B" w:rsidRDefault="008B2FBE" w:rsidP="00422DD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Izdaci za osigurane slučajeve, udio reosiguranja</w:t>
            </w:r>
          </w:p>
        </w:tc>
        <w:tc>
          <w:tcPr>
            <w:tcW w:w="1403" w:type="dxa"/>
            <w:shd w:val="clear" w:color="auto" w:fill="auto"/>
            <w:noWrap/>
            <w:vAlign w:val="bottom"/>
          </w:tcPr>
          <w:p w14:paraId="1CE983DD" w14:textId="77777777" w:rsidR="008B2FBE" w:rsidRPr="0056686B" w:rsidRDefault="008B2FBE" w:rsidP="00422DD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18" w:type="dxa"/>
            <w:shd w:val="clear" w:color="auto" w:fill="auto"/>
            <w:vAlign w:val="bottom"/>
          </w:tcPr>
          <w:p w14:paraId="45747426"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sz w:val="18"/>
                <w:szCs w:val="18"/>
              </w:rPr>
              <w:t>-</w:t>
            </w:r>
          </w:p>
        </w:tc>
      </w:tr>
      <w:tr w:rsidR="008B2FBE" w:rsidRPr="0056686B" w14:paraId="5B51DF4F" w14:textId="77777777" w:rsidTr="00422DD5">
        <w:trPr>
          <w:trHeight w:val="138"/>
        </w:trPr>
        <w:tc>
          <w:tcPr>
            <w:tcW w:w="6387" w:type="dxa"/>
            <w:tcBorders>
              <w:top w:val="nil"/>
              <w:left w:val="nil"/>
              <w:bottom w:val="nil"/>
              <w:right w:val="nil"/>
            </w:tcBorders>
            <w:shd w:val="clear" w:color="auto" w:fill="auto"/>
            <w:vAlign w:val="bottom"/>
          </w:tcPr>
          <w:p w14:paraId="41DEA45C" w14:textId="77777777" w:rsidR="008B2FBE" w:rsidRPr="0056686B" w:rsidRDefault="008B2FBE" w:rsidP="00422DD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Promjena pričuva za štete</w:t>
            </w:r>
          </w:p>
        </w:tc>
        <w:tc>
          <w:tcPr>
            <w:tcW w:w="1403" w:type="dxa"/>
            <w:shd w:val="clear" w:color="auto" w:fill="auto"/>
            <w:noWrap/>
            <w:vAlign w:val="bottom"/>
          </w:tcPr>
          <w:p w14:paraId="15543E3B" w14:textId="77777777" w:rsidR="008B2FBE" w:rsidRPr="0056686B" w:rsidRDefault="008B2FBE" w:rsidP="00422DD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18" w:type="dxa"/>
            <w:shd w:val="clear" w:color="auto" w:fill="auto"/>
            <w:vAlign w:val="bottom"/>
          </w:tcPr>
          <w:p w14:paraId="5BE42AFC"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sz w:val="18"/>
                <w:szCs w:val="18"/>
              </w:rPr>
              <w:t>-</w:t>
            </w:r>
          </w:p>
        </w:tc>
      </w:tr>
      <w:tr w:rsidR="008B2FBE" w:rsidRPr="0056686B" w14:paraId="7E4BAC26" w14:textId="77777777" w:rsidTr="00422DD5">
        <w:trPr>
          <w:trHeight w:val="82"/>
        </w:trPr>
        <w:tc>
          <w:tcPr>
            <w:tcW w:w="6387" w:type="dxa"/>
            <w:tcBorders>
              <w:top w:val="nil"/>
              <w:left w:val="nil"/>
              <w:right w:val="nil"/>
            </w:tcBorders>
            <w:shd w:val="clear" w:color="auto" w:fill="auto"/>
            <w:vAlign w:val="bottom"/>
          </w:tcPr>
          <w:p w14:paraId="6EF0CAC3" w14:textId="77777777" w:rsidR="008B2FBE" w:rsidRPr="0056686B" w:rsidRDefault="008B2FBE" w:rsidP="00422DD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Promjena pričuva za štete, udio reosiguranja</w:t>
            </w:r>
          </w:p>
        </w:tc>
        <w:tc>
          <w:tcPr>
            <w:tcW w:w="1403" w:type="dxa"/>
            <w:tcBorders>
              <w:top w:val="nil"/>
              <w:left w:val="nil"/>
              <w:bottom w:val="single" w:sz="4" w:space="0" w:color="auto"/>
              <w:right w:val="nil"/>
            </w:tcBorders>
            <w:shd w:val="clear" w:color="auto" w:fill="auto"/>
            <w:noWrap/>
            <w:vAlign w:val="bottom"/>
          </w:tcPr>
          <w:p w14:paraId="269F9EB7" w14:textId="77777777" w:rsidR="008B2FBE" w:rsidRPr="0056686B" w:rsidRDefault="008B2FBE" w:rsidP="00422DD5">
            <w:pPr>
              <w:suppressAutoHyphens/>
              <w:autoSpaceDN w:val="0"/>
              <w:jc w:val="right"/>
              <w:rPr>
                <w:rFonts w:ascii="Arial" w:eastAsia="Times New Roman" w:hAnsi="Arial" w:cs="Arial"/>
                <w:color w:val="000000"/>
                <w:sz w:val="18"/>
                <w:szCs w:val="18"/>
              </w:rPr>
            </w:pPr>
            <w:r>
              <w:rPr>
                <w:rFonts w:ascii="Arial" w:eastAsia="Times New Roman" w:hAnsi="Arial" w:cs="Arial"/>
                <w:color w:val="000000"/>
                <w:sz w:val="18"/>
                <w:szCs w:val="18"/>
              </w:rPr>
              <w:t>-</w:t>
            </w:r>
          </w:p>
        </w:tc>
        <w:tc>
          <w:tcPr>
            <w:tcW w:w="1218" w:type="dxa"/>
            <w:tcBorders>
              <w:top w:val="nil"/>
              <w:left w:val="nil"/>
              <w:bottom w:val="single" w:sz="4" w:space="0" w:color="auto"/>
              <w:right w:val="nil"/>
            </w:tcBorders>
            <w:shd w:val="clear" w:color="auto" w:fill="auto"/>
            <w:vAlign w:val="bottom"/>
          </w:tcPr>
          <w:p w14:paraId="5498A054"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sz w:val="18"/>
                <w:szCs w:val="18"/>
              </w:rPr>
              <w:t>-</w:t>
            </w:r>
          </w:p>
        </w:tc>
      </w:tr>
      <w:tr w:rsidR="008B2FBE" w:rsidRPr="0056686B" w14:paraId="6D584DC7" w14:textId="77777777" w:rsidTr="00422DD5">
        <w:trPr>
          <w:trHeight w:val="97"/>
        </w:trPr>
        <w:tc>
          <w:tcPr>
            <w:tcW w:w="6387" w:type="dxa"/>
            <w:tcBorders>
              <w:left w:val="nil"/>
              <w:right w:val="nil"/>
            </w:tcBorders>
            <w:shd w:val="clear" w:color="auto" w:fill="auto"/>
            <w:vAlign w:val="bottom"/>
          </w:tcPr>
          <w:p w14:paraId="381834C0" w14:textId="77777777" w:rsidR="008B2FBE" w:rsidRPr="0056686B" w:rsidRDefault="008B2FBE" w:rsidP="00422DD5">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Neto izdaci za osigurane slučajeve</w:t>
            </w:r>
          </w:p>
        </w:tc>
        <w:tc>
          <w:tcPr>
            <w:tcW w:w="1403" w:type="dxa"/>
            <w:tcBorders>
              <w:top w:val="single" w:sz="4" w:space="0" w:color="auto"/>
              <w:left w:val="nil"/>
              <w:bottom w:val="single" w:sz="12" w:space="0" w:color="auto"/>
              <w:right w:val="nil"/>
            </w:tcBorders>
            <w:shd w:val="clear" w:color="auto" w:fill="auto"/>
            <w:noWrap/>
            <w:vAlign w:val="bottom"/>
          </w:tcPr>
          <w:p w14:paraId="13AC88D6"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1218" w:type="dxa"/>
            <w:tcBorders>
              <w:top w:val="single" w:sz="4" w:space="0" w:color="auto"/>
              <w:left w:val="nil"/>
              <w:bottom w:val="single" w:sz="12" w:space="0" w:color="auto"/>
              <w:right w:val="nil"/>
            </w:tcBorders>
            <w:shd w:val="clear" w:color="auto" w:fill="auto"/>
            <w:vAlign w:val="bottom"/>
          </w:tcPr>
          <w:p w14:paraId="5D0A4079"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r>
      <w:tr w:rsidR="008B2FBE" w:rsidRPr="0056686B" w14:paraId="7845D074" w14:textId="77777777" w:rsidTr="00422DD5">
        <w:trPr>
          <w:trHeight w:hRule="exact" w:val="129"/>
        </w:trPr>
        <w:tc>
          <w:tcPr>
            <w:tcW w:w="6387" w:type="dxa"/>
            <w:tcBorders>
              <w:left w:val="nil"/>
              <w:right w:val="nil"/>
            </w:tcBorders>
            <w:shd w:val="clear" w:color="auto" w:fill="auto"/>
            <w:vAlign w:val="bottom"/>
          </w:tcPr>
          <w:p w14:paraId="6FACB3BE" w14:textId="77777777" w:rsidR="008B2FBE" w:rsidRPr="0056686B" w:rsidRDefault="008B2FBE" w:rsidP="00422DD5">
            <w:pPr>
              <w:suppressAutoHyphens/>
              <w:autoSpaceDN w:val="0"/>
              <w:spacing w:line="140" w:lineRule="exact"/>
              <w:rPr>
                <w:rFonts w:ascii="Arial" w:eastAsia="Times New Roman" w:hAnsi="Arial" w:cs="Arial"/>
                <w:b/>
                <w:bCs/>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4F7861F4" w14:textId="77777777" w:rsidR="008B2FBE" w:rsidRPr="0056686B" w:rsidRDefault="008B2FBE" w:rsidP="00422DD5">
            <w:pPr>
              <w:suppressAutoHyphens/>
              <w:autoSpaceDN w:val="0"/>
              <w:spacing w:line="140" w:lineRule="exact"/>
              <w:jc w:val="right"/>
              <w:rPr>
                <w:rFonts w:ascii="Arial" w:eastAsia="Times New Roman" w:hAnsi="Arial" w:cs="Arial"/>
                <w:b/>
                <w:bCs/>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5852B710" w14:textId="77777777" w:rsidR="008B2FBE" w:rsidRPr="0056686B" w:rsidRDefault="008B2FBE" w:rsidP="00422DD5">
            <w:pPr>
              <w:suppressAutoHyphens/>
              <w:autoSpaceDN w:val="0"/>
              <w:spacing w:line="140" w:lineRule="exact"/>
              <w:jc w:val="right"/>
              <w:rPr>
                <w:rFonts w:ascii="Arial" w:eastAsia="Times New Roman" w:hAnsi="Arial" w:cs="Arial"/>
                <w:b/>
                <w:bCs/>
                <w:color w:val="000000" w:themeColor="text1"/>
                <w:sz w:val="18"/>
                <w:szCs w:val="18"/>
              </w:rPr>
            </w:pPr>
          </w:p>
        </w:tc>
      </w:tr>
      <w:tr w:rsidR="008B2FBE" w:rsidRPr="0056686B" w14:paraId="26D61C4F" w14:textId="77777777" w:rsidTr="00422DD5">
        <w:trPr>
          <w:trHeight w:val="155"/>
        </w:trPr>
        <w:tc>
          <w:tcPr>
            <w:tcW w:w="6387" w:type="dxa"/>
            <w:tcBorders>
              <w:left w:val="nil"/>
              <w:right w:val="nil"/>
            </w:tcBorders>
            <w:shd w:val="clear" w:color="auto" w:fill="auto"/>
            <w:vAlign w:val="bottom"/>
          </w:tcPr>
          <w:p w14:paraId="295AE4B5" w14:textId="77777777" w:rsidR="008B2FBE" w:rsidRPr="0056686B" w:rsidRDefault="008B2FBE" w:rsidP="00422DD5">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Troškovi pribave i marketinga</w:t>
            </w:r>
          </w:p>
        </w:tc>
        <w:tc>
          <w:tcPr>
            <w:tcW w:w="1403" w:type="dxa"/>
            <w:shd w:val="clear" w:color="auto" w:fill="auto"/>
            <w:noWrap/>
            <w:vAlign w:val="bottom"/>
          </w:tcPr>
          <w:p w14:paraId="1F04C341" w14:textId="77777777" w:rsidR="008B2FBE" w:rsidRPr="0056686B" w:rsidRDefault="008B2FBE" w:rsidP="00422DD5">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w:t>
            </w:r>
          </w:p>
        </w:tc>
        <w:tc>
          <w:tcPr>
            <w:tcW w:w="1218" w:type="dxa"/>
            <w:shd w:val="clear" w:color="auto" w:fill="auto"/>
            <w:vAlign w:val="bottom"/>
          </w:tcPr>
          <w:p w14:paraId="14C363BE" w14:textId="77777777" w:rsidR="008B2FBE" w:rsidRPr="0056686B" w:rsidRDefault="008B2FBE" w:rsidP="00422DD5">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sz w:val="18"/>
                <w:szCs w:val="18"/>
              </w:rPr>
              <w:t>-</w:t>
            </w:r>
          </w:p>
        </w:tc>
      </w:tr>
      <w:tr w:rsidR="008B2FBE" w:rsidRPr="0056686B" w14:paraId="3121E6A5" w14:textId="77777777" w:rsidTr="00422DD5">
        <w:trPr>
          <w:trHeight w:val="90"/>
        </w:trPr>
        <w:tc>
          <w:tcPr>
            <w:tcW w:w="6387" w:type="dxa"/>
            <w:tcBorders>
              <w:left w:val="nil"/>
              <w:right w:val="nil"/>
            </w:tcBorders>
            <w:shd w:val="clear" w:color="auto" w:fill="auto"/>
            <w:vAlign w:val="bottom"/>
          </w:tcPr>
          <w:p w14:paraId="7F08C395" w14:textId="77777777" w:rsidR="008B2FBE" w:rsidRPr="0056686B" w:rsidRDefault="008B2FBE" w:rsidP="00422DD5">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Administrativni troškovi</w:t>
            </w:r>
          </w:p>
        </w:tc>
        <w:tc>
          <w:tcPr>
            <w:tcW w:w="1403" w:type="dxa"/>
            <w:shd w:val="clear" w:color="auto" w:fill="auto"/>
            <w:noWrap/>
            <w:vAlign w:val="bottom"/>
          </w:tcPr>
          <w:p w14:paraId="0E4436E0" w14:textId="77777777" w:rsidR="008B2FBE" w:rsidRPr="0056686B" w:rsidRDefault="008B2FBE" w:rsidP="00422DD5">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w:t>
            </w:r>
          </w:p>
        </w:tc>
        <w:tc>
          <w:tcPr>
            <w:tcW w:w="1218" w:type="dxa"/>
            <w:shd w:val="clear" w:color="auto" w:fill="auto"/>
            <w:vAlign w:val="bottom"/>
          </w:tcPr>
          <w:p w14:paraId="69F9D9B5" w14:textId="77777777" w:rsidR="008B2FBE" w:rsidRPr="0056686B" w:rsidRDefault="008B2FBE" w:rsidP="00422DD5">
            <w:pPr>
              <w:suppressAutoHyphens/>
              <w:autoSpaceDN w:val="0"/>
              <w:jc w:val="right"/>
              <w:rPr>
                <w:rFonts w:ascii="Arial" w:eastAsia="Times New Roman" w:hAnsi="Arial" w:cs="Arial"/>
                <w:bCs/>
                <w:color w:val="000000" w:themeColor="text1"/>
                <w:sz w:val="18"/>
                <w:szCs w:val="18"/>
              </w:rPr>
            </w:pPr>
            <w:r w:rsidRPr="00163A49">
              <w:rPr>
                <w:rFonts w:ascii="Arial" w:eastAsia="Times New Roman" w:hAnsi="Arial" w:cs="Arial"/>
                <w:bCs/>
                <w:color w:val="000000"/>
                <w:sz w:val="18"/>
                <w:szCs w:val="18"/>
              </w:rPr>
              <w:t>(250)</w:t>
            </w:r>
          </w:p>
        </w:tc>
      </w:tr>
      <w:tr w:rsidR="008B2FBE" w:rsidRPr="0056686B" w14:paraId="05C0EDFC" w14:textId="77777777" w:rsidTr="00422DD5">
        <w:trPr>
          <w:trHeight w:val="140"/>
        </w:trPr>
        <w:tc>
          <w:tcPr>
            <w:tcW w:w="6387" w:type="dxa"/>
            <w:tcBorders>
              <w:left w:val="nil"/>
              <w:right w:val="nil"/>
            </w:tcBorders>
            <w:shd w:val="clear" w:color="auto" w:fill="auto"/>
            <w:vAlign w:val="bottom"/>
          </w:tcPr>
          <w:p w14:paraId="7C9A2560" w14:textId="77777777" w:rsidR="008B2FBE" w:rsidRPr="0056686B" w:rsidRDefault="008B2FBE" w:rsidP="00422DD5">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Ostali poslovni troškovi</w:t>
            </w:r>
          </w:p>
        </w:tc>
        <w:tc>
          <w:tcPr>
            <w:tcW w:w="1403" w:type="dxa"/>
            <w:shd w:val="clear" w:color="auto" w:fill="auto"/>
            <w:noWrap/>
            <w:vAlign w:val="bottom"/>
          </w:tcPr>
          <w:p w14:paraId="4098C11F" w14:textId="77777777" w:rsidR="008B2FBE" w:rsidRPr="0056686B" w:rsidRDefault="008B2FBE" w:rsidP="00422DD5">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3</w:t>
            </w:r>
          </w:p>
        </w:tc>
        <w:tc>
          <w:tcPr>
            <w:tcW w:w="1218" w:type="dxa"/>
            <w:shd w:val="clear" w:color="auto" w:fill="auto"/>
            <w:vAlign w:val="bottom"/>
          </w:tcPr>
          <w:p w14:paraId="3F3595CF" w14:textId="77777777" w:rsidR="008B2FBE" w:rsidRPr="0056686B" w:rsidRDefault="008B2FBE" w:rsidP="00422DD5">
            <w:pPr>
              <w:suppressAutoHyphens/>
              <w:autoSpaceDN w:val="0"/>
              <w:jc w:val="right"/>
              <w:rPr>
                <w:rFonts w:ascii="Arial" w:eastAsia="Times New Roman" w:hAnsi="Arial" w:cs="Arial"/>
                <w:bCs/>
                <w:color w:val="000000" w:themeColor="text1"/>
                <w:sz w:val="18"/>
                <w:szCs w:val="18"/>
              </w:rPr>
            </w:pPr>
            <w:r w:rsidRPr="00163A49">
              <w:rPr>
                <w:rFonts w:ascii="Arial" w:eastAsia="Times New Roman" w:hAnsi="Arial" w:cs="Arial"/>
                <w:bCs/>
                <w:color w:val="000000"/>
                <w:sz w:val="18"/>
                <w:szCs w:val="18"/>
              </w:rPr>
              <w:t>(3)</w:t>
            </w:r>
          </w:p>
        </w:tc>
      </w:tr>
      <w:tr w:rsidR="008B2FBE" w:rsidRPr="0056686B" w14:paraId="32BE9CEF" w14:textId="77777777" w:rsidTr="00422DD5">
        <w:trPr>
          <w:trHeight w:val="181"/>
        </w:trPr>
        <w:tc>
          <w:tcPr>
            <w:tcW w:w="6387" w:type="dxa"/>
            <w:tcBorders>
              <w:left w:val="nil"/>
              <w:right w:val="nil"/>
            </w:tcBorders>
            <w:shd w:val="clear" w:color="auto" w:fill="auto"/>
            <w:vAlign w:val="bottom"/>
          </w:tcPr>
          <w:p w14:paraId="55769079" w14:textId="77777777" w:rsidR="008B2FBE" w:rsidRPr="0056686B" w:rsidRDefault="008B2FBE" w:rsidP="00422DD5">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Neto tečajne razlike koje ne proizlaze iz financijskih instrumenata</w:t>
            </w:r>
          </w:p>
        </w:tc>
        <w:tc>
          <w:tcPr>
            <w:tcW w:w="1403" w:type="dxa"/>
            <w:tcBorders>
              <w:top w:val="nil"/>
              <w:left w:val="nil"/>
              <w:bottom w:val="single" w:sz="4" w:space="0" w:color="auto"/>
              <w:right w:val="nil"/>
            </w:tcBorders>
            <w:shd w:val="clear" w:color="auto" w:fill="auto"/>
            <w:noWrap/>
            <w:vAlign w:val="bottom"/>
          </w:tcPr>
          <w:p w14:paraId="40914713" w14:textId="77777777" w:rsidR="008B2FBE" w:rsidRPr="0056686B" w:rsidRDefault="008B2FBE" w:rsidP="00422DD5">
            <w:pPr>
              <w:suppressAutoHyphens/>
              <w:autoSpaceDN w:val="0"/>
              <w:jc w:val="right"/>
              <w:rPr>
                <w:rFonts w:ascii="Arial" w:eastAsia="Times New Roman" w:hAnsi="Arial" w:cs="Arial"/>
                <w:bCs/>
                <w:color w:val="000000"/>
                <w:sz w:val="18"/>
                <w:szCs w:val="18"/>
              </w:rPr>
            </w:pPr>
            <w:r>
              <w:rPr>
                <w:rFonts w:ascii="Arial" w:eastAsia="Times New Roman" w:hAnsi="Arial" w:cs="Arial"/>
                <w:bCs/>
                <w:color w:val="000000"/>
                <w:sz w:val="18"/>
                <w:szCs w:val="18"/>
              </w:rPr>
              <w:t>-</w:t>
            </w:r>
          </w:p>
        </w:tc>
        <w:tc>
          <w:tcPr>
            <w:tcW w:w="1218" w:type="dxa"/>
            <w:tcBorders>
              <w:top w:val="nil"/>
              <w:left w:val="nil"/>
              <w:bottom w:val="single" w:sz="4" w:space="0" w:color="auto"/>
              <w:right w:val="nil"/>
            </w:tcBorders>
            <w:shd w:val="clear" w:color="auto" w:fill="auto"/>
            <w:vAlign w:val="bottom"/>
          </w:tcPr>
          <w:p w14:paraId="20608AEE" w14:textId="77777777" w:rsidR="008B2FBE" w:rsidRPr="0056686B" w:rsidRDefault="008B2FBE" w:rsidP="00422DD5">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sz w:val="18"/>
                <w:szCs w:val="18"/>
              </w:rPr>
              <w:t>-</w:t>
            </w:r>
          </w:p>
        </w:tc>
      </w:tr>
      <w:tr w:rsidR="008B2FBE" w:rsidRPr="0056686B" w14:paraId="2E79E570" w14:textId="77777777" w:rsidTr="00422DD5">
        <w:trPr>
          <w:trHeight w:val="73"/>
        </w:trPr>
        <w:tc>
          <w:tcPr>
            <w:tcW w:w="6387" w:type="dxa"/>
            <w:tcBorders>
              <w:left w:val="nil"/>
              <w:right w:val="nil"/>
            </w:tcBorders>
            <w:shd w:val="clear" w:color="auto" w:fill="auto"/>
            <w:vAlign w:val="bottom"/>
          </w:tcPr>
          <w:p w14:paraId="559759CF" w14:textId="77777777" w:rsidR="008B2FBE" w:rsidRPr="0056686B" w:rsidRDefault="008B2FBE" w:rsidP="00422DD5">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Dobit prije oporezivanja</w:t>
            </w:r>
          </w:p>
        </w:tc>
        <w:tc>
          <w:tcPr>
            <w:tcW w:w="1403" w:type="dxa"/>
            <w:tcBorders>
              <w:top w:val="single" w:sz="4" w:space="0" w:color="auto"/>
              <w:left w:val="nil"/>
              <w:bottom w:val="single" w:sz="12" w:space="0" w:color="auto"/>
              <w:right w:val="nil"/>
            </w:tcBorders>
            <w:shd w:val="clear" w:color="auto" w:fill="auto"/>
            <w:noWrap/>
            <w:vAlign w:val="bottom"/>
          </w:tcPr>
          <w:p w14:paraId="2A5D4400"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10</w:t>
            </w:r>
          </w:p>
        </w:tc>
        <w:tc>
          <w:tcPr>
            <w:tcW w:w="1218" w:type="dxa"/>
            <w:tcBorders>
              <w:top w:val="single" w:sz="4" w:space="0" w:color="auto"/>
              <w:left w:val="nil"/>
              <w:bottom w:val="single" w:sz="12" w:space="0" w:color="auto"/>
              <w:right w:val="nil"/>
            </w:tcBorders>
            <w:shd w:val="clear" w:color="auto" w:fill="auto"/>
            <w:vAlign w:val="bottom"/>
          </w:tcPr>
          <w:p w14:paraId="570679C2"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188</w:t>
            </w:r>
          </w:p>
        </w:tc>
      </w:tr>
      <w:tr w:rsidR="008B2FBE" w:rsidRPr="0056686B" w14:paraId="72AB1E1E" w14:textId="77777777" w:rsidTr="00422DD5">
        <w:trPr>
          <w:trHeight w:hRule="exact" w:val="129"/>
        </w:trPr>
        <w:tc>
          <w:tcPr>
            <w:tcW w:w="6387" w:type="dxa"/>
            <w:tcBorders>
              <w:left w:val="nil"/>
              <w:right w:val="nil"/>
            </w:tcBorders>
            <w:shd w:val="clear" w:color="auto" w:fill="auto"/>
            <w:vAlign w:val="bottom"/>
          </w:tcPr>
          <w:p w14:paraId="1563CAFD" w14:textId="77777777" w:rsidR="008B2FBE" w:rsidRPr="0056686B" w:rsidRDefault="008B2FBE" w:rsidP="00422DD5">
            <w:pPr>
              <w:suppressAutoHyphens/>
              <w:autoSpaceDN w:val="0"/>
              <w:spacing w:line="140" w:lineRule="exact"/>
              <w:rPr>
                <w:rFonts w:ascii="Arial" w:eastAsia="Times New Roman" w:hAnsi="Arial" w:cs="Arial"/>
                <w:bCs/>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306F0276" w14:textId="77777777" w:rsidR="008B2FBE" w:rsidRPr="0056686B" w:rsidRDefault="008B2FBE" w:rsidP="00422DD5">
            <w:pPr>
              <w:suppressAutoHyphens/>
              <w:autoSpaceDN w:val="0"/>
              <w:spacing w:line="140" w:lineRule="exact"/>
              <w:jc w:val="right"/>
              <w:rPr>
                <w:rFonts w:ascii="Arial" w:eastAsia="Times New Roman" w:hAnsi="Arial" w:cs="Arial"/>
                <w:bCs/>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2DBE2556" w14:textId="77777777" w:rsidR="008B2FBE" w:rsidRPr="0056686B" w:rsidRDefault="008B2FBE" w:rsidP="00422DD5">
            <w:pPr>
              <w:suppressAutoHyphens/>
              <w:autoSpaceDN w:val="0"/>
              <w:spacing w:line="140" w:lineRule="exact"/>
              <w:jc w:val="right"/>
              <w:rPr>
                <w:rFonts w:ascii="Arial" w:eastAsia="Times New Roman" w:hAnsi="Arial" w:cs="Arial"/>
                <w:bCs/>
                <w:color w:val="000000" w:themeColor="text1"/>
                <w:sz w:val="18"/>
                <w:szCs w:val="18"/>
              </w:rPr>
            </w:pPr>
          </w:p>
        </w:tc>
      </w:tr>
      <w:tr w:rsidR="008B2FBE" w:rsidRPr="0056686B" w14:paraId="4D329923" w14:textId="77777777" w:rsidTr="00422DD5">
        <w:trPr>
          <w:trHeight w:val="102"/>
        </w:trPr>
        <w:tc>
          <w:tcPr>
            <w:tcW w:w="6387" w:type="dxa"/>
            <w:tcBorders>
              <w:left w:val="nil"/>
              <w:right w:val="nil"/>
            </w:tcBorders>
            <w:shd w:val="clear" w:color="auto" w:fill="auto"/>
            <w:vAlign w:val="bottom"/>
          </w:tcPr>
          <w:p w14:paraId="29AF68D9" w14:textId="77777777" w:rsidR="008B2FBE" w:rsidRPr="0056686B" w:rsidRDefault="008B2FBE" w:rsidP="00422DD5">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Porez na dobit</w:t>
            </w:r>
          </w:p>
        </w:tc>
        <w:tc>
          <w:tcPr>
            <w:tcW w:w="1403" w:type="dxa"/>
            <w:shd w:val="clear" w:color="auto" w:fill="auto"/>
            <w:noWrap/>
            <w:vAlign w:val="bottom"/>
          </w:tcPr>
          <w:p w14:paraId="495621BA" w14:textId="77777777" w:rsidR="008B2FBE" w:rsidRPr="0056686B" w:rsidRDefault="008B2FBE" w:rsidP="00422DD5">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w:t>
            </w:r>
          </w:p>
        </w:tc>
        <w:tc>
          <w:tcPr>
            <w:tcW w:w="1218" w:type="dxa"/>
            <w:shd w:val="clear" w:color="auto" w:fill="auto"/>
            <w:vAlign w:val="bottom"/>
          </w:tcPr>
          <w:p w14:paraId="0858AEB2" w14:textId="77777777" w:rsidR="008B2FBE" w:rsidRPr="0056686B" w:rsidRDefault="008B2FBE" w:rsidP="00422DD5">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w:t>
            </w:r>
          </w:p>
        </w:tc>
      </w:tr>
      <w:tr w:rsidR="008B2FBE" w:rsidRPr="0056686B" w14:paraId="40AB04D9" w14:textId="77777777" w:rsidTr="00422DD5">
        <w:trPr>
          <w:trHeight w:val="108"/>
        </w:trPr>
        <w:tc>
          <w:tcPr>
            <w:tcW w:w="6387" w:type="dxa"/>
            <w:tcBorders>
              <w:left w:val="nil"/>
              <w:right w:val="nil"/>
            </w:tcBorders>
            <w:shd w:val="clear" w:color="auto" w:fill="auto"/>
            <w:vAlign w:val="bottom"/>
          </w:tcPr>
          <w:p w14:paraId="2929AF94" w14:textId="77777777" w:rsidR="008B2FBE" w:rsidRPr="0056686B" w:rsidRDefault="008B2FBE" w:rsidP="00422DD5">
            <w:pPr>
              <w:suppressAutoHyphens/>
              <w:autoSpaceDN w:val="0"/>
              <w:spacing w:line="140" w:lineRule="exact"/>
              <w:rPr>
                <w:rFonts w:ascii="Arial" w:eastAsia="Times New Roman" w:hAnsi="Arial" w:cs="Arial"/>
                <w:b/>
                <w:bCs/>
                <w:color w:val="000000" w:themeColor="text1"/>
                <w:sz w:val="18"/>
                <w:szCs w:val="18"/>
              </w:rPr>
            </w:pPr>
          </w:p>
        </w:tc>
        <w:tc>
          <w:tcPr>
            <w:tcW w:w="1403" w:type="dxa"/>
            <w:tcBorders>
              <w:top w:val="nil"/>
              <w:left w:val="nil"/>
              <w:bottom w:val="single" w:sz="4" w:space="0" w:color="auto"/>
              <w:right w:val="nil"/>
            </w:tcBorders>
            <w:shd w:val="clear" w:color="auto" w:fill="auto"/>
            <w:noWrap/>
            <w:vAlign w:val="bottom"/>
          </w:tcPr>
          <w:p w14:paraId="3F418EC4" w14:textId="77777777" w:rsidR="008B2FBE" w:rsidRPr="0056686B" w:rsidRDefault="008B2FBE" w:rsidP="00422DD5">
            <w:pPr>
              <w:suppressAutoHyphens/>
              <w:autoSpaceDN w:val="0"/>
              <w:spacing w:line="140" w:lineRule="exact"/>
              <w:jc w:val="right"/>
              <w:rPr>
                <w:rFonts w:ascii="Arial" w:eastAsia="Times New Roman" w:hAnsi="Arial" w:cs="Arial"/>
                <w:b/>
                <w:bCs/>
                <w:color w:val="000000" w:themeColor="text1"/>
                <w:sz w:val="18"/>
                <w:szCs w:val="18"/>
              </w:rPr>
            </w:pPr>
          </w:p>
        </w:tc>
        <w:tc>
          <w:tcPr>
            <w:tcW w:w="1218" w:type="dxa"/>
            <w:tcBorders>
              <w:top w:val="nil"/>
              <w:left w:val="nil"/>
              <w:bottom w:val="single" w:sz="4" w:space="0" w:color="auto"/>
              <w:right w:val="nil"/>
            </w:tcBorders>
            <w:shd w:val="clear" w:color="auto" w:fill="auto"/>
            <w:vAlign w:val="bottom"/>
          </w:tcPr>
          <w:p w14:paraId="510ED26A" w14:textId="77777777" w:rsidR="008B2FBE" w:rsidRPr="0056686B" w:rsidRDefault="008B2FBE" w:rsidP="00422DD5">
            <w:pPr>
              <w:suppressAutoHyphens/>
              <w:autoSpaceDN w:val="0"/>
              <w:spacing w:line="140" w:lineRule="exact"/>
              <w:jc w:val="right"/>
              <w:rPr>
                <w:rFonts w:ascii="Arial" w:eastAsia="Times New Roman" w:hAnsi="Arial" w:cs="Arial"/>
                <w:b/>
                <w:bCs/>
                <w:color w:val="000000" w:themeColor="text1"/>
                <w:sz w:val="18"/>
                <w:szCs w:val="18"/>
              </w:rPr>
            </w:pPr>
          </w:p>
        </w:tc>
      </w:tr>
      <w:tr w:rsidR="008B2FBE" w:rsidRPr="0056686B" w14:paraId="069458DA" w14:textId="77777777" w:rsidTr="00422DD5">
        <w:trPr>
          <w:trHeight w:val="135"/>
        </w:trPr>
        <w:tc>
          <w:tcPr>
            <w:tcW w:w="6387" w:type="dxa"/>
            <w:tcBorders>
              <w:left w:val="nil"/>
              <w:right w:val="nil"/>
            </w:tcBorders>
            <w:shd w:val="clear" w:color="auto" w:fill="auto"/>
            <w:vAlign w:val="bottom"/>
          </w:tcPr>
          <w:p w14:paraId="7BE5D896" w14:textId="77777777" w:rsidR="008B2FBE" w:rsidRPr="0056686B" w:rsidRDefault="008B2FBE" w:rsidP="00422DD5">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Dobit tekuće godine</w:t>
            </w:r>
          </w:p>
        </w:tc>
        <w:tc>
          <w:tcPr>
            <w:tcW w:w="1403" w:type="dxa"/>
            <w:tcBorders>
              <w:top w:val="single" w:sz="4" w:space="0" w:color="auto"/>
              <w:left w:val="nil"/>
              <w:bottom w:val="single" w:sz="12" w:space="0" w:color="auto"/>
              <w:right w:val="nil"/>
            </w:tcBorders>
            <w:shd w:val="clear" w:color="auto" w:fill="auto"/>
            <w:noWrap/>
            <w:vAlign w:val="bottom"/>
          </w:tcPr>
          <w:p w14:paraId="3BB2F7F1"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10</w:t>
            </w:r>
          </w:p>
        </w:tc>
        <w:tc>
          <w:tcPr>
            <w:tcW w:w="1218" w:type="dxa"/>
            <w:tcBorders>
              <w:top w:val="single" w:sz="4" w:space="0" w:color="auto"/>
              <w:left w:val="nil"/>
              <w:bottom w:val="single" w:sz="12" w:space="0" w:color="auto"/>
              <w:right w:val="nil"/>
            </w:tcBorders>
            <w:shd w:val="clear" w:color="auto" w:fill="auto"/>
            <w:vAlign w:val="bottom"/>
          </w:tcPr>
          <w:p w14:paraId="5BDE9F5B"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188</w:t>
            </w:r>
          </w:p>
        </w:tc>
      </w:tr>
      <w:tr w:rsidR="008B2FBE" w:rsidRPr="0056686B" w14:paraId="440A2959" w14:textId="77777777" w:rsidTr="00422DD5">
        <w:trPr>
          <w:trHeight w:val="134"/>
        </w:trPr>
        <w:tc>
          <w:tcPr>
            <w:tcW w:w="6387" w:type="dxa"/>
            <w:tcBorders>
              <w:left w:val="nil"/>
              <w:right w:val="nil"/>
            </w:tcBorders>
            <w:shd w:val="clear" w:color="auto" w:fill="auto"/>
            <w:vAlign w:val="bottom"/>
          </w:tcPr>
          <w:p w14:paraId="0421612A" w14:textId="77777777" w:rsidR="008B2FBE" w:rsidRPr="0056686B" w:rsidRDefault="008B2FBE" w:rsidP="00422DD5">
            <w:pPr>
              <w:suppressAutoHyphens/>
              <w:autoSpaceDN w:val="0"/>
              <w:spacing w:line="140" w:lineRule="exact"/>
              <w:rPr>
                <w:rFonts w:ascii="Arial" w:eastAsia="Times New Roman" w:hAnsi="Arial" w:cs="Arial"/>
                <w:b/>
                <w:bCs/>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0F99440E" w14:textId="77777777" w:rsidR="008B2FBE" w:rsidRPr="0056686B" w:rsidRDefault="008B2FBE" w:rsidP="00422DD5">
            <w:pPr>
              <w:suppressAutoHyphens/>
              <w:autoSpaceDN w:val="0"/>
              <w:spacing w:line="140" w:lineRule="exact"/>
              <w:jc w:val="right"/>
              <w:rPr>
                <w:rFonts w:ascii="Arial" w:eastAsia="Times New Roman" w:hAnsi="Arial" w:cs="Arial"/>
                <w:b/>
                <w:bCs/>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05D47E9E" w14:textId="77777777" w:rsidR="008B2FBE" w:rsidRPr="0056686B" w:rsidRDefault="008B2FBE" w:rsidP="00422DD5">
            <w:pPr>
              <w:suppressAutoHyphens/>
              <w:autoSpaceDN w:val="0"/>
              <w:spacing w:line="140" w:lineRule="exact"/>
              <w:jc w:val="right"/>
              <w:rPr>
                <w:rFonts w:ascii="Arial" w:eastAsia="Times New Roman" w:hAnsi="Arial" w:cs="Arial"/>
                <w:b/>
                <w:bCs/>
                <w:color w:val="000000" w:themeColor="text1"/>
                <w:sz w:val="18"/>
                <w:szCs w:val="18"/>
              </w:rPr>
            </w:pPr>
          </w:p>
        </w:tc>
      </w:tr>
      <w:tr w:rsidR="008B2FBE" w:rsidRPr="0056686B" w14:paraId="68FDEEBF" w14:textId="77777777" w:rsidTr="00422DD5">
        <w:trPr>
          <w:trHeight w:val="213"/>
        </w:trPr>
        <w:tc>
          <w:tcPr>
            <w:tcW w:w="6387" w:type="dxa"/>
            <w:tcBorders>
              <w:left w:val="nil"/>
              <w:right w:val="nil"/>
            </w:tcBorders>
            <w:shd w:val="clear" w:color="auto" w:fill="auto"/>
            <w:vAlign w:val="bottom"/>
          </w:tcPr>
          <w:p w14:paraId="54E10CC7" w14:textId="77777777" w:rsidR="008B2FBE" w:rsidRPr="0056686B" w:rsidRDefault="008B2FBE" w:rsidP="00422DD5">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Ostala sveobuhvatna dobit</w:t>
            </w:r>
          </w:p>
        </w:tc>
        <w:tc>
          <w:tcPr>
            <w:tcW w:w="1403" w:type="dxa"/>
            <w:shd w:val="clear" w:color="auto" w:fill="auto"/>
            <w:noWrap/>
            <w:vAlign w:val="bottom"/>
          </w:tcPr>
          <w:p w14:paraId="58B41924"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p>
        </w:tc>
        <w:tc>
          <w:tcPr>
            <w:tcW w:w="1218" w:type="dxa"/>
            <w:shd w:val="clear" w:color="auto" w:fill="auto"/>
            <w:vAlign w:val="bottom"/>
          </w:tcPr>
          <w:p w14:paraId="103554AB"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p>
        </w:tc>
      </w:tr>
      <w:tr w:rsidR="008B2FBE" w:rsidRPr="0056686B" w14:paraId="1119965F" w14:textId="77777777" w:rsidTr="00422DD5">
        <w:trPr>
          <w:trHeight w:val="241"/>
        </w:trPr>
        <w:tc>
          <w:tcPr>
            <w:tcW w:w="6387" w:type="dxa"/>
            <w:tcBorders>
              <w:left w:val="nil"/>
              <w:right w:val="nil"/>
            </w:tcBorders>
            <w:shd w:val="clear" w:color="auto" w:fill="auto"/>
            <w:vAlign w:val="bottom"/>
          </w:tcPr>
          <w:p w14:paraId="70BD124A" w14:textId="77777777" w:rsidR="008B2FBE" w:rsidRPr="0056686B" w:rsidRDefault="008B2FBE" w:rsidP="00422DD5">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Stavke koje se kasnije ne prenose u dobit ili gubitak:</w:t>
            </w:r>
          </w:p>
        </w:tc>
        <w:tc>
          <w:tcPr>
            <w:tcW w:w="1403" w:type="dxa"/>
            <w:shd w:val="clear" w:color="auto" w:fill="auto"/>
            <w:noWrap/>
            <w:vAlign w:val="bottom"/>
          </w:tcPr>
          <w:p w14:paraId="20739938"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1218" w:type="dxa"/>
            <w:shd w:val="clear" w:color="auto" w:fill="auto"/>
            <w:vAlign w:val="bottom"/>
          </w:tcPr>
          <w:p w14:paraId="0DC9C866"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r>
      <w:tr w:rsidR="008B2FBE" w:rsidRPr="0056686B" w14:paraId="17B758FE" w14:textId="77777777" w:rsidTr="00422DD5">
        <w:trPr>
          <w:trHeight w:val="93"/>
        </w:trPr>
        <w:tc>
          <w:tcPr>
            <w:tcW w:w="6387" w:type="dxa"/>
            <w:tcBorders>
              <w:left w:val="nil"/>
              <w:right w:val="nil"/>
            </w:tcBorders>
            <w:shd w:val="clear" w:color="auto" w:fill="auto"/>
            <w:vAlign w:val="bottom"/>
          </w:tcPr>
          <w:p w14:paraId="1DAA7F86" w14:textId="77777777" w:rsidR="008B2FBE" w:rsidRPr="0056686B" w:rsidRDefault="008B2FBE" w:rsidP="00422DD5">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Ukupno stavke koje se kasnije ne prenose u dobit ili gubitak</w:t>
            </w:r>
          </w:p>
        </w:tc>
        <w:tc>
          <w:tcPr>
            <w:tcW w:w="1403" w:type="dxa"/>
            <w:tcBorders>
              <w:top w:val="single" w:sz="4" w:space="0" w:color="auto"/>
              <w:left w:val="nil"/>
              <w:bottom w:val="single" w:sz="12" w:space="0" w:color="auto"/>
              <w:right w:val="nil"/>
            </w:tcBorders>
            <w:shd w:val="clear" w:color="auto" w:fill="auto"/>
            <w:noWrap/>
            <w:vAlign w:val="bottom"/>
          </w:tcPr>
          <w:p w14:paraId="30EAF652"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c>
          <w:tcPr>
            <w:tcW w:w="1218" w:type="dxa"/>
            <w:tcBorders>
              <w:top w:val="single" w:sz="4" w:space="0" w:color="auto"/>
              <w:left w:val="nil"/>
              <w:bottom w:val="single" w:sz="12" w:space="0" w:color="auto"/>
              <w:right w:val="nil"/>
            </w:tcBorders>
            <w:shd w:val="clear" w:color="auto" w:fill="auto"/>
            <w:vAlign w:val="bottom"/>
          </w:tcPr>
          <w:p w14:paraId="40F87BEF"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r>
      <w:tr w:rsidR="008B2FBE" w:rsidRPr="0056686B" w14:paraId="00B0562C" w14:textId="77777777" w:rsidTr="00422DD5">
        <w:trPr>
          <w:trHeight w:val="64"/>
        </w:trPr>
        <w:tc>
          <w:tcPr>
            <w:tcW w:w="6387" w:type="dxa"/>
            <w:tcBorders>
              <w:left w:val="nil"/>
              <w:right w:val="nil"/>
            </w:tcBorders>
            <w:shd w:val="clear" w:color="auto" w:fill="auto"/>
            <w:vAlign w:val="bottom"/>
          </w:tcPr>
          <w:p w14:paraId="6FDDC197" w14:textId="77777777" w:rsidR="008B2FBE" w:rsidRPr="0056686B" w:rsidRDefault="008B2FBE" w:rsidP="00422DD5">
            <w:pPr>
              <w:suppressAutoHyphens/>
              <w:autoSpaceDN w:val="0"/>
              <w:spacing w:line="140" w:lineRule="exact"/>
              <w:rPr>
                <w:rFonts w:ascii="Arial" w:eastAsia="Times New Roman" w:hAnsi="Arial" w:cs="Arial"/>
                <w:bCs/>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2958BC56" w14:textId="77777777" w:rsidR="008B2FBE" w:rsidRPr="0056686B" w:rsidRDefault="008B2FBE" w:rsidP="00422DD5">
            <w:pPr>
              <w:suppressAutoHyphens/>
              <w:autoSpaceDN w:val="0"/>
              <w:spacing w:line="140" w:lineRule="exact"/>
              <w:jc w:val="right"/>
              <w:rPr>
                <w:rFonts w:ascii="Arial" w:eastAsia="Times New Roman" w:hAnsi="Arial" w:cs="Arial"/>
                <w:bCs/>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4C3DFA18" w14:textId="77777777" w:rsidR="008B2FBE" w:rsidRPr="0056686B" w:rsidRDefault="008B2FBE" w:rsidP="00422DD5">
            <w:pPr>
              <w:suppressAutoHyphens/>
              <w:autoSpaceDN w:val="0"/>
              <w:spacing w:line="140" w:lineRule="exact"/>
              <w:jc w:val="right"/>
              <w:rPr>
                <w:rFonts w:ascii="Arial" w:eastAsia="Times New Roman" w:hAnsi="Arial" w:cs="Arial"/>
                <w:bCs/>
                <w:color w:val="000000" w:themeColor="text1"/>
                <w:sz w:val="18"/>
                <w:szCs w:val="18"/>
              </w:rPr>
            </w:pPr>
          </w:p>
        </w:tc>
      </w:tr>
      <w:tr w:rsidR="008B2FBE" w:rsidRPr="0056686B" w14:paraId="7490C04E" w14:textId="77777777" w:rsidTr="00422DD5">
        <w:trPr>
          <w:trHeight w:val="124"/>
        </w:trPr>
        <w:tc>
          <w:tcPr>
            <w:tcW w:w="6387" w:type="dxa"/>
            <w:tcBorders>
              <w:left w:val="nil"/>
              <w:right w:val="nil"/>
            </w:tcBorders>
            <w:shd w:val="clear" w:color="auto" w:fill="auto"/>
            <w:vAlign w:val="bottom"/>
          </w:tcPr>
          <w:p w14:paraId="07E6753C" w14:textId="77777777" w:rsidR="008B2FBE" w:rsidRPr="0056686B" w:rsidRDefault="008B2FBE" w:rsidP="00422DD5">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Stavke koje se kasnije mogu uračunati u dobit ili gubitak:</w:t>
            </w:r>
          </w:p>
        </w:tc>
        <w:tc>
          <w:tcPr>
            <w:tcW w:w="1403" w:type="dxa"/>
            <w:shd w:val="clear" w:color="auto" w:fill="auto"/>
            <w:noWrap/>
            <w:vAlign w:val="bottom"/>
          </w:tcPr>
          <w:p w14:paraId="2F2C2876"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p>
        </w:tc>
        <w:tc>
          <w:tcPr>
            <w:tcW w:w="1218" w:type="dxa"/>
            <w:shd w:val="clear" w:color="auto" w:fill="auto"/>
            <w:vAlign w:val="bottom"/>
          </w:tcPr>
          <w:p w14:paraId="4C18F58B"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p>
        </w:tc>
      </w:tr>
      <w:tr w:rsidR="008B2FBE" w:rsidRPr="0056686B" w14:paraId="1EF7268A" w14:textId="77777777" w:rsidTr="00422DD5">
        <w:trPr>
          <w:trHeight w:val="115"/>
        </w:trPr>
        <w:tc>
          <w:tcPr>
            <w:tcW w:w="6387" w:type="dxa"/>
            <w:tcBorders>
              <w:left w:val="nil"/>
              <w:right w:val="nil"/>
            </w:tcBorders>
            <w:shd w:val="clear" w:color="auto" w:fill="auto"/>
            <w:vAlign w:val="bottom"/>
          </w:tcPr>
          <w:p w14:paraId="702E5A95" w14:textId="77777777" w:rsidR="008B2FBE" w:rsidRPr="0056686B" w:rsidRDefault="008B2FBE" w:rsidP="00422DD5">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Dobici proizašli iz revalorizacije financijske imovine raspoložive za prodaju</w:t>
            </w:r>
          </w:p>
        </w:tc>
        <w:tc>
          <w:tcPr>
            <w:tcW w:w="1403" w:type="dxa"/>
            <w:shd w:val="clear" w:color="auto" w:fill="auto"/>
            <w:noWrap/>
            <w:vAlign w:val="bottom"/>
          </w:tcPr>
          <w:p w14:paraId="3D55F5D9" w14:textId="77777777" w:rsidR="008B2FBE" w:rsidRPr="0056686B" w:rsidRDefault="008B2FBE" w:rsidP="00422DD5">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16</w:t>
            </w:r>
          </w:p>
        </w:tc>
        <w:tc>
          <w:tcPr>
            <w:tcW w:w="1218" w:type="dxa"/>
            <w:shd w:val="clear" w:color="auto" w:fill="auto"/>
            <w:vAlign w:val="bottom"/>
          </w:tcPr>
          <w:p w14:paraId="25C55914" w14:textId="77777777" w:rsidR="008B2FBE" w:rsidRPr="0056686B" w:rsidRDefault="008B2FBE" w:rsidP="00422DD5">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52</w:t>
            </w:r>
          </w:p>
        </w:tc>
      </w:tr>
      <w:tr w:rsidR="008B2FBE" w:rsidRPr="0056686B" w14:paraId="1718D77A" w14:textId="77777777" w:rsidTr="00422DD5">
        <w:trPr>
          <w:trHeight w:val="178"/>
        </w:trPr>
        <w:tc>
          <w:tcPr>
            <w:tcW w:w="6387" w:type="dxa"/>
            <w:tcBorders>
              <w:left w:val="nil"/>
              <w:right w:val="nil"/>
            </w:tcBorders>
            <w:shd w:val="clear" w:color="auto" w:fill="auto"/>
            <w:vAlign w:val="bottom"/>
          </w:tcPr>
          <w:p w14:paraId="0A8E408C" w14:textId="77777777" w:rsidR="008B2FBE" w:rsidRPr="0056686B" w:rsidRDefault="008B2FBE" w:rsidP="00422DD5">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Smanjenje fer vrijednosti imovine raspoložive za prodaju</w:t>
            </w:r>
          </w:p>
        </w:tc>
        <w:tc>
          <w:tcPr>
            <w:tcW w:w="1403" w:type="dxa"/>
            <w:shd w:val="clear" w:color="auto" w:fill="auto"/>
            <w:noWrap/>
            <w:vAlign w:val="bottom"/>
          </w:tcPr>
          <w:p w14:paraId="0E4EE81F" w14:textId="77777777" w:rsidR="008B2FBE" w:rsidRPr="0056686B" w:rsidRDefault="008B2FBE" w:rsidP="00422DD5">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(50)</w:t>
            </w:r>
          </w:p>
        </w:tc>
        <w:tc>
          <w:tcPr>
            <w:tcW w:w="1218" w:type="dxa"/>
            <w:shd w:val="clear" w:color="auto" w:fill="auto"/>
            <w:vAlign w:val="bottom"/>
          </w:tcPr>
          <w:p w14:paraId="042B95A7" w14:textId="77777777" w:rsidR="008B2FBE" w:rsidRPr="0056686B" w:rsidRDefault="008B2FBE" w:rsidP="00422DD5">
            <w:pPr>
              <w:suppressAutoHyphens/>
              <w:autoSpaceDN w:val="0"/>
              <w:jc w:val="right"/>
              <w:rPr>
                <w:rFonts w:ascii="Arial" w:eastAsia="Times New Roman" w:hAnsi="Arial" w:cs="Arial"/>
                <w:bCs/>
                <w:color w:val="000000" w:themeColor="text1"/>
                <w:sz w:val="18"/>
                <w:szCs w:val="18"/>
              </w:rPr>
            </w:pPr>
            <w:r w:rsidRPr="00163A49">
              <w:rPr>
                <w:rFonts w:ascii="Arial" w:eastAsia="Times New Roman" w:hAnsi="Arial" w:cs="Arial"/>
                <w:bCs/>
                <w:color w:val="000000" w:themeColor="text1"/>
                <w:sz w:val="18"/>
                <w:szCs w:val="18"/>
              </w:rPr>
              <w:t>(105)</w:t>
            </w:r>
          </w:p>
        </w:tc>
      </w:tr>
      <w:tr w:rsidR="008B2FBE" w:rsidRPr="0056686B" w14:paraId="2621E1E7" w14:textId="77777777" w:rsidTr="00422DD5">
        <w:trPr>
          <w:trHeight w:val="178"/>
        </w:trPr>
        <w:tc>
          <w:tcPr>
            <w:tcW w:w="6387" w:type="dxa"/>
            <w:tcBorders>
              <w:left w:val="nil"/>
              <w:right w:val="nil"/>
            </w:tcBorders>
            <w:shd w:val="clear" w:color="auto" w:fill="auto"/>
            <w:vAlign w:val="bottom"/>
          </w:tcPr>
          <w:p w14:paraId="2F0F1274" w14:textId="77777777" w:rsidR="008B2FBE" w:rsidRPr="0056686B" w:rsidRDefault="008B2FBE" w:rsidP="00422DD5">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Prijenos realiziranog gubitka po imovini raspoloživoj za prodaju u IDG</w:t>
            </w:r>
          </w:p>
        </w:tc>
        <w:tc>
          <w:tcPr>
            <w:tcW w:w="1403" w:type="dxa"/>
            <w:shd w:val="clear" w:color="auto" w:fill="auto"/>
            <w:noWrap/>
            <w:vAlign w:val="bottom"/>
          </w:tcPr>
          <w:p w14:paraId="7043A948" w14:textId="77777777" w:rsidR="008B2FBE" w:rsidRPr="0056686B" w:rsidRDefault="008B2FBE" w:rsidP="00422DD5">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w:t>
            </w:r>
          </w:p>
        </w:tc>
        <w:tc>
          <w:tcPr>
            <w:tcW w:w="1218" w:type="dxa"/>
            <w:shd w:val="clear" w:color="auto" w:fill="auto"/>
            <w:vAlign w:val="bottom"/>
          </w:tcPr>
          <w:p w14:paraId="6EC21162" w14:textId="77777777" w:rsidR="008B2FBE" w:rsidRPr="0056686B" w:rsidRDefault="008B2FBE" w:rsidP="00422DD5">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w:t>
            </w:r>
          </w:p>
        </w:tc>
      </w:tr>
      <w:tr w:rsidR="008B2FBE" w:rsidRPr="0056686B" w14:paraId="789BB9E9" w14:textId="77777777" w:rsidTr="00422DD5">
        <w:trPr>
          <w:trHeight w:val="102"/>
        </w:trPr>
        <w:tc>
          <w:tcPr>
            <w:tcW w:w="6387" w:type="dxa"/>
            <w:tcBorders>
              <w:left w:val="nil"/>
              <w:right w:val="nil"/>
            </w:tcBorders>
            <w:shd w:val="clear" w:color="auto" w:fill="auto"/>
            <w:vAlign w:val="bottom"/>
          </w:tcPr>
          <w:p w14:paraId="7CE413C9" w14:textId="77777777" w:rsidR="008B2FBE" w:rsidRPr="0056686B" w:rsidRDefault="008B2FBE" w:rsidP="00422DD5">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Odgođeni porez</w:t>
            </w:r>
          </w:p>
        </w:tc>
        <w:tc>
          <w:tcPr>
            <w:tcW w:w="1403" w:type="dxa"/>
            <w:tcBorders>
              <w:top w:val="nil"/>
              <w:left w:val="nil"/>
              <w:bottom w:val="single" w:sz="4" w:space="0" w:color="auto"/>
              <w:right w:val="nil"/>
            </w:tcBorders>
            <w:shd w:val="clear" w:color="auto" w:fill="auto"/>
            <w:noWrap/>
            <w:vAlign w:val="bottom"/>
          </w:tcPr>
          <w:p w14:paraId="54D8010D" w14:textId="77777777" w:rsidR="008B2FBE" w:rsidRPr="0056686B" w:rsidRDefault="008B2FBE" w:rsidP="00422DD5">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6</w:t>
            </w:r>
          </w:p>
        </w:tc>
        <w:tc>
          <w:tcPr>
            <w:tcW w:w="1218" w:type="dxa"/>
            <w:tcBorders>
              <w:top w:val="nil"/>
              <w:left w:val="nil"/>
              <w:bottom w:val="single" w:sz="4" w:space="0" w:color="auto"/>
              <w:right w:val="nil"/>
            </w:tcBorders>
            <w:shd w:val="clear" w:color="auto" w:fill="auto"/>
            <w:vAlign w:val="bottom"/>
          </w:tcPr>
          <w:p w14:paraId="7DAD3373" w14:textId="77777777" w:rsidR="008B2FBE" w:rsidRPr="0056686B" w:rsidRDefault="008B2FBE" w:rsidP="00422DD5">
            <w:pPr>
              <w:suppressAutoHyphens/>
              <w:autoSpaceDN w:val="0"/>
              <w:jc w:val="right"/>
              <w:rPr>
                <w:rFonts w:ascii="Arial" w:eastAsia="Times New Roman" w:hAnsi="Arial" w:cs="Arial"/>
                <w:bCs/>
                <w:color w:val="000000" w:themeColor="text1"/>
                <w:sz w:val="18"/>
                <w:szCs w:val="18"/>
              </w:rPr>
            </w:pPr>
            <w:r w:rsidRPr="00163A49">
              <w:rPr>
                <w:rFonts w:ascii="Arial" w:eastAsia="Times New Roman" w:hAnsi="Arial" w:cs="Arial"/>
                <w:bCs/>
                <w:color w:val="000000" w:themeColor="text1"/>
                <w:sz w:val="18"/>
                <w:szCs w:val="18"/>
              </w:rPr>
              <w:t>9</w:t>
            </w:r>
          </w:p>
        </w:tc>
      </w:tr>
      <w:tr w:rsidR="008B2FBE" w:rsidRPr="0056686B" w14:paraId="7AAAB943" w14:textId="77777777" w:rsidTr="00422DD5">
        <w:trPr>
          <w:trHeight w:val="213"/>
        </w:trPr>
        <w:tc>
          <w:tcPr>
            <w:tcW w:w="6387" w:type="dxa"/>
            <w:tcBorders>
              <w:left w:val="nil"/>
              <w:right w:val="nil"/>
            </w:tcBorders>
            <w:shd w:val="clear" w:color="auto" w:fill="auto"/>
            <w:vAlign w:val="bottom"/>
          </w:tcPr>
          <w:p w14:paraId="093818A8" w14:textId="77777777" w:rsidR="008B2FBE" w:rsidRPr="0056686B" w:rsidRDefault="008B2FBE" w:rsidP="00422DD5">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Ukupno stavke koje se kasnije mogu uračunati u dobit ili gubitak</w:t>
            </w:r>
          </w:p>
        </w:tc>
        <w:tc>
          <w:tcPr>
            <w:tcW w:w="1403" w:type="dxa"/>
            <w:tcBorders>
              <w:top w:val="single" w:sz="4" w:space="0" w:color="auto"/>
              <w:left w:val="nil"/>
              <w:bottom w:val="single" w:sz="12" w:space="0" w:color="auto"/>
              <w:right w:val="nil"/>
            </w:tcBorders>
            <w:shd w:val="clear" w:color="auto" w:fill="auto"/>
            <w:noWrap/>
            <w:vAlign w:val="bottom"/>
          </w:tcPr>
          <w:p w14:paraId="4816A5FE" w14:textId="77777777" w:rsidR="008B2FBE" w:rsidRPr="0056686B" w:rsidRDefault="008B2FBE" w:rsidP="00422DD5">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(28)</w:t>
            </w:r>
          </w:p>
        </w:tc>
        <w:tc>
          <w:tcPr>
            <w:tcW w:w="1218" w:type="dxa"/>
            <w:tcBorders>
              <w:top w:val="single" w:sz="4" w:space="0" w:color="auto"/>
              <w:left w:val="nil"/>
              <w:bottom w:val="single" w:sz="12" w:space="0" w:color="auto"/>
              <w:right w:val="nil"/>
            </w:tcBorders>
            <w:shd w:val="clear" w:color="auto" w:fill="auto"/>
            <w:vAlign w:val="bottom"/>
          </w:tcPr>
          <w:p w14:paraId="27EAED9F"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color w:val="000000" w:themeColor="text1"/>
                <w:sz w:val="18"/>
                <w:szCs w:val="18"/>
              </w:rPr>
              <w:t>(44)</w:t>
            </w:r>
          </w:p>
        </w:tc>
      </w:tr>
      <w:tr w:rsidR="008B2FBE" w:rsidRPr="0056686B" w14:paraId="7012BFBE" w14:textId="77777777" w:rsidTr="00422DD5">
        <w:trPr>
          <w:trHeight w:hRule="exact" w:val="113"/>
        </w:trPr>
        <w:tc>
          <w:tcPr>
            <w:tcW w:w="6387" w:type="dxa"/>
            <w:tcBorders>
              <w:left w:val="nil"/>
              <w:right w:val="nil"/>
            </w:tcBorders>
            <w:shd w:val="clear" w:color="auto" w:fill="auto"/>
            <w:vAlign w:val="bottom"/>
          </w:tcPr>
          <w:p w14:paraId="02922AA4" w14:textId="77777777" w:rsidR="008B2FBE" w:rsidRPr="0056686B" w:rsidRDefault="008B2FBE" w:rsidP="00422DD5">
            <w:pPr>
              <w:suppressAutoHyphens/>
              <w:autoSpaceDN w:val="0"/>
              <w:spacing w:line="140" w:lineRule="exact"/>
              <w:rPr>
                <w:rFonts w:ascii="Arial" w:eastAsia="Times New Roman" w:hAnsi="Arial" w:cs="Arial"/>
                <w:b/>
                <w:bCs/>
                <w:color w:val="000000" w:themeColor="text1"/>
                <w:sz w:val="18"/>
                <w:szCs w:val="18"/>
              </w:rPr>
            </w:pPr>
          </w:p>
        </w:tc>
        <w:tc>
          <w:tcPr>
            <w:tcW w:w="1403" w:type="dxa"/>
            <w:tcBorders>
              <w:top w:val="single" w:sz="12" w:space="0" w:color="auto"/>
              <w:left w:val="nil"/>
              <w:right w:val="nil"/>
            </w:tcBorders>
            <w:shd w:val="clear" w:color="auto" w:fill="auto"/>
            <w:noWrap/>
            <w:vAlign w:val="bottom"/>
          </w:tcPr>
          <w:p w14:paraId="3C7A8D40" w14:textId="77777777" w:rsidR="008B2FBE" w:rsidRPr="0056686B" w:rsidRDefault="008B2FBE" w:rsidP="00422DD5">
            <w:pPr>
              <w:suppressAutoHyphens/>
              <w:autoSpaceDN w:val="0"/>
              <w:jc w:val="right"/>
              <w:rPr>
                <w:rFonts w:ascii="Arial" w:eastAsia="Times New Roman" w:hAnsi="Arial" w:cs="Arial"/>
                <w:b/>
                <w:color w:val="000000" w:themeColor="text1"/>
                <w:sz w:val="18"/>
                <w:szCs w:val="18"/>
              </w:rPr>
            </w:pPr>
          </w:p>
        </w:tc>
        <w:tc>
          <w:tcPr>
            <w:tcW w:w="1218" w:type="dxa"/>
            <w:tcBorders>
              <w:top w:val="single" w:sz="12" w:space="0" w:color="auto"/>
              <w:left w:val="nil"/>
              <w:right w:val="nil"/>
            </w:tcBorders>
            <w:shd w:val="clear" w:color="auto" w:fill="auto"/>
            <w:vAlign w:val="bottom"/>
          </w:tcPr>
          <w:p w14:paraId="4489A885" w14:textId="77777777" w:rsidR="008B2FBE" w:rsidRPr="0056686B" w:rsidRDefault="008B2FBE" w:rsidP="00422DD5">
            <w:pPr>
              <w:suppressAutoHyphens/>
              <w:autoSpaceDN w:val="0"/>
              <w:spacing w:line="140" w:lineRule="exact"/>
              <w:jc w:val="right"/>
              <w:rPr>
                <w:rFonts w:ascii="Arial" w:eastAsia="Times New Roman" w:hAnsi="Arial" w:cs="Arial"/>
                <w:bCs/>
                <w:color w:val="000000" w:themeColor="text1"/>
                <w:sz w:val="18"/>
                <w:szCs w:val="18"/>
              </w:rPr>
            </w:pPr>
          </w:p>
        </w:tc>
      </w:tr>
      <w:tr w:rsidR="008B2FBE" w:rsidRPr="0056686B" w14:paraId="4D1E8396" w14:textId="77777777" w:rsidTr="00422DD5">
        <w:trPr>
          <w:trHeight w:val="94"/>
        </w:trPr>
        <w:tc>
          <w:tcPr>
            <w:tcW w:w="6387" w:type="dxa"/>
            <w:tcBorders>
              <w:left w:val="nil"/>
              <w:right w:val="nil"/>
            </w:tcBorders>
            <w:shd w:val="clear" w:color="auto" w:fill="auto"/>
            <w:vAlign w:val="bottom"/>
          </w:tcPr>
          <w:p w14:paraId="1A52DC87" w14:textId="77777777" w:rsidR="008B2FBE" w:rsidRPr="0056686B" w:rsidRDefault="008B2FBE" w:rsidP="00422DD5">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Ostala sveobuhvatna dobit nakon oporezivanja</w:t>
            </w:r>
          </w:p>
        </w:tc>
        <w:tc>
          <w:tcPr>
            <w:tcW w:w="1403" w:type="dxa"/>
            <w:tcBorders>
              <w:bottom w:val="single" w:sz="4" w:space="0" w:color="auto"/>
            </w:tcBorders>
            <w:shd w:val="clear" w:color="auto" w:fill="auto"/>
            <w:noWrap/>
            <w:vAlign w:val="bottom"/>
          </w:tcPr>
          <w:p w14:paraId="77E2EE4C" w14:textId="77777777" w:rsidR="008B2FBE" w:rsidRPr="0056686B" w:rsidRDefault="008B2FBE" w:rsidP="00422DD5">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(28)</w:t>
            </w:r>
          </w:p>
        </w:tc>
        <w:tc>
          <w:tcPr>
            <w:tcW w:w="1218" w:type="dxa"/>
            <w:tcBorders>
              <w:bottom w:val="single" w:sz="4" w:space="0" w:color="auto"/>
            </w:tcBorders>
            <w:shd w:val="clear" w:color="auto" w:fill="auto"/>
            <w:vAlign w:val="bottom"/>
          </w:tcPr>
          <w:p w14:paraId="57DCCFD8"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sidRPr="00163A49">
              <w:rPr>
                <w:rFonts w:ascii="Arial" w:eastAsia="Times New Roman" w:hAnsi="Arial" w:cs="Arial"/>
                <w:b/>
                <w:color w:val="000000" w:themeColor="text1"/>
                <w:sz w:val="18"/>
                <w:szCs w:val="18"/>
              </w:rPr>
              <w:t>(44)</w:t>
            </w:r>
          </w:p>
        </w:tc>
      </w:tr>
      <w:tr w:rsidR="008B2FBE" w:rsidRPr="0056686B" w14:paraId="304746C0" w14:textId="77777777" w:rsidTr="00422DD5">
        <w:trPr>
          <w:trHeight w:hRule="exact" w:val="125"/>
        </w:trPr>
        <w:tc>
          <w:tcPr>
            <w:tcW w:w="6387" w:type="dxa"/>
            <w:tcBorders>
              <w:left w:val="nil"/>
              <w:right w:val="nil"/>
            </w:tcBorders>
            <w:shd w:val="clear" w:color="auto" w:fill="auto"/>
            <w:vAlign w:val="bottom"/>
          </w:tcPr>
          <w:p w14:paraId="26AADD79" w14:textId="77777777" w:rsidR="008B2FBE" w:rsidRPr="0056686B" w:rsidRDefault="008B2FBE" w:rsidP="00422DD5">
            <w:pPr>
              <w:suppressAutoHyphens/>
              <w:autoSpaceDN w:val="0"/>
              <w:spacing w:line="140" w:lineRule="exact"/>
              <w:rPr>
                <w:rFonts w:ascii="Arial" w:eastAsia="Times New Roman" w:hAnsi="Arial" w:cs="Arial"/>
                <w:b/>
                <w:bCs/>
                <w:color w:val="000000" w:themeColor="text1"/>
                <w:sz w:val="18"/>
                <w:szCs w:val="18"/>
              </w:rPr>
            </w:pPr>
          </w:p>
        </w:tc>
        <w:tc>
          <w:tcPr>
            <w:tcW w:w="1403" w:type="dxa"/>
            <w:tcBorders>
              <w:top w:val="single" w:sz="4" w:space="0" w:color="auto"/>
              <w:left w:val="nil"/>
              <w:right w:val="nil"/>
            </w:tcBorders>
            <w:shd w:val="clear" w:color="auto" w:fill="auto"/>
            <w:noWrap/>
            <w:vAlign w:val="bottom"/>
          </w:tcPr>
          <w:p w14:paraId="03FF257B" w14:textId="77777777" w:rsidR="008B2FBE" w:rsidRPr="0056686B" w:rsidRDefault="008B2FBE" w:rsidP="00422DD5">
            <w:pPr>
              <w:suppressAutoHyphens/>
              <w:autoSpaceDN w:val="0"/>
              <w:jc w:val="right"/>
              <w:rPr>
                <w:rFonts w:ascii="Arial" w:eastAsia="Times New Roman" w:hAnsi="Arial" w:cs="Arial"/>
                <w:b/>
                <w:color w:val="000000" w:themeColor="text1"/>
                <w:sz w:val="18"/>
                <w:szCs w:val="18"/>
              </w:rPr>
            </w:pPr>
          </w:p>
        </w:tc>
        <w:tc>
          <w:tcPr>
            <w:tcW w:w="1218" w:type="dxa"/>
            <w:tcBorders>
              <w:top w:val="single" w:sz="4" w:space="0" w:color="auto"/>
              <w:left w:val="nil"/>
              <w:right w:val="nil"/>
            </w:tcBorders>
            <w:shd w:val="clear" w:color="auto" w:fill="auto"/>
            <w:vAlign w:val="bottom"/>
          </w:tcPr>
          <w:p w14:paraId="6E4D8DD6" w14:textId="77777777" w:rsidR="008B2FBE" w:rsidRPr="0056686B" w:rsidRDefault="008B2FBE" w:rsidP="00422DD5">
            <w:pPr>
              <w:suppressAutoHyphens/>
              <w:autoSpaceDN w:val="0"/>
              <w:spacing w:line="140" w:lineRule="exact"/>
              <w:jc w:val="right"/>
              <w:rPr>
                <w:rFonts w:ascii="Arial" w:eastAsia="Times New Roman" w:hAnsi="Arial" w:cs="Arial"/>
                <w:b/>
                <w:bCs/>
                <w:color w:val="000000" w:themeColor="text1"/>
                <w:sz w:val="18"/>
                <w:szCs w:val="18"/>
              </w:rPr>
            </w:pPr>
          </w:p>
        </w:tc>
      </w:tr>
      <w:tr w:rsidR="008B2FBE" w:rsidRPr="0056686B" w14:paraId="510D0FCE" w14:textId="77777777" w:rsidTr="00422DD5">
        <w:trPr>
          <w:trHeight w:val="123"/>
        </w:trPr>
        <w:tc>
          <w:tcPr>
            <w:tcW w:w="6387" w:type="dxa"/>
            <w:tcBorders>
              <w:left w:val="nil"/>
              <w:right w:val="nil"/>
            </w:tcBorders>
            <w:shd w:val="clear" w:color="auto" w:fill="auto"/>
            <w:vAlign w:val="bottom"/>
          </w:tcPr>
          <w:p w14:paraId="3971FEE7" w14:textId="77777777" w:rsidR="008B2FBE" w:rsidRPr="0056686B" w:rsidRDefault="008B2FBE" w:rsidP="00422DD5">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Ukupna sveobuhvatna dobit prije oporezivanja</w:t>
            </w:r>
          </w:p>
        </w:tc>
        <w:tc>
          <w:tcPr>
            <w:tcW w:w="1403" w:type="dxa"/>
            <w:tcBorders>
              <w:left w:val="nil"/>
              <w:bottom w:val="single" w:sz="12" w:space="0" w:color="auto"/>
              <w:right w:val="nil"/>
            </w:tcBorders>
            <w:shd w:val="clear" w:color="auto" w:fill="auto"/>
            <w:noWrap/>
            <w:vAlign w:val="bottom"/>
          </w:tcPr>
          <w:p w14:paraId="654CC4E0" w14:textId="77777777" w:rsidR="008B2FBE" w:rsidRPr="0056686B" w:rsidRDefault="008B2FBE" w:rsidP="00422DD5">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(18)</w:t>
            </w:r>
          </w:p>
        </w:tc>
        <w:tc>
          <w:tcPr>
            <w:tcW w:w="1218" w:type="dxa"/>
            <w:tcBorders>
              <w:left w:val="nil"/>
              <w:bottom w:val="single" w:sz="12" w:space="0" w:color="auto"/>
              <w:right w:val="nil"/>
            </w:tcBorders>
            <w:shd w:val="clear" w:color="auto" w:fill="auto"/>
            <w:vAlign w:val="bottom"/>
          </w:tcPr>
          <w:p w14:paraId="4D29A0DD"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sidRPr="00163A49">
              <w:rPr>
                <w:rFonts w:ascii="Arial" w:eastAsia="Times New Roman" w:hAnsi="Arial" w:cs="Arial"/>
                <w:b/>
                <w:color w:val="000000" w:themeColor="text1"/>
                <w:sz w:val="18"/>
                <w:szCs w:val="18"/>
              </w:rPr>
              <w:t>144</w:t>
            </w:r>
          </w:p>
        </w:tc>
      </w:tr>
      <w:tr w:rsidR="008B2FBE" w:rsidRPr="0056686B" w14:paraId="45023EAE" w14:textId="77777777" w:rsidTr="00422DD5">
        <w:trPr>
          <w:trHeight w:hRule="exact" w:val="125"/>
        </w:trPr>
        <w:tc>
          <w:tcPr>
            <w:tcW w:w="6387" w:type="dxa"/>
            <w:tcBorders>
              <w:left w:val="nil"/>
              <w:right w:val="nil"/>
            </w:tcBorders>
            <w:shd w:val="clear" w:color="auto" w:fill="auto"/>
            <w:vAlign w:val="bottom"/>
          </w:tcPr>
          <w:p w14:paraId="7D2443A6" w14:textId="77777777" w:rsidR="008B2FBE" w:rsidRPr="0056686B" w:rsidRDefault="008B2FBE" w:rsidP="00422DD5">
            <w:pPr>
              <w:suppressAutoHyphens/>
              <w:autoSpaceDN w:val="0"/>
              <w:spacing w:line="140" w:lineRule="exact"/>
              <w:rPr>
                <w:rFonts w:ascii="Arial" w:eastAsia="Times New Roman" w:hAnsi="Arial" w:cs="Arial"/>
                <w:bCs/>
                <w:color w:val="000000" w:themeColor="text1"/>
                <w:sz w:val="18"/>
                <w:szCs w:val="18"/>
              </w:rPr>
            </w:pPr>
          </w:p>
        </w:tc>
        <w:tc>
          <w:tcPr>
            <w:tcW w:w="1403" w:type="dxa"/>
            <w:tcBorders>
              <w:top w:val="single" w:sz="12" w:space="0" w:color="auto"/>
              <w:left w:val="nil"/>
              <w:bottom w:val="nil"/>
              <w:right w:val="nil"/>
            </w:tcBorders>
            <w:shd w:val="clear" w:color="auto" w:fill="auto"/>
            <w:noWrap/>
            <w:vAlign w:val="bottom"/>
          </w:tcPr>
          <w:p w14:paraId="73443422" w14:textId="77777777" w:rsidR="008B2FBE" w:rsidRPr="0056686B" w:rsidRDefault="008B2FBE" w:rsidP="00422DD5">
            <w:pPr>
              <w:suppressAutoHyphens/>
              <w:autoSpaceDN w:val="0"/>
              <w:jc w:val="right"/>
              <w:rPr>
                <w:rFonts w:ascii="Arial" w:eastAsia="Times New Roman" w:hAnsi="Arial" w:cs="Arial"/>
                <w:b/>
                <w:color w:val="000000" w:themeColor="text1"/>
                <w:sz w:val="18"/>
                <w:szCs w:val="18"/>
              </w:rPr>
            </w:pPr>
          </w:p>
        </w:tc>
        <w:tc>
          <w:tcPr>
            <w:tcW w:w="1218" w:type="dxa"/>
            <w:tcBorders>
              <w:top w:val="single" w:sz="12" w:space="0" w:color="auto"/>
              <w:left w:val="nil"/>
              <w:bottom w:val="nil"/>
              <w:right w:val="nil"/>
            </w:tcBorders>
            <w:shd w:val="clear" w:color="auto" w:fill="auto"/>
            <w:vAlign w:val="bottom"/>
          </w:tcPr>
          <w:p w14:paraId="1A90EDDF" w14:textId="77777777" w:rsidR="008B2FBE" w:rsidRPr="0056686B" w:rsidRDefault="008B2FBE" w:rsidP="00422DD5">
            <w:pPr>
              <w:suppressAutoHyphens/>
              <w:autoSpaceDN w:val="0"/>
              <w:spacing w:line="140" w:lineRule="exact"/>
              <w:jc w:val="right"/>
              <w:rPr>
                <w:rFonts w:ascii="Arial" w:eastAsia="Times New Roman" w:hAnsi="Arial" w:cs="Arial"/>
                <w:bCs/>
                <w:color w:val="000000" w:themeColor="text1"/>
                <w:sz w:val="18"/>
                <w:szCs w:val="18"/>
              </w:rPr>
            </w:pPr>
          </w:p>
        </w:tc>
      </w:tr>
      <w:tr w:rsidR="008B2FBE" w:rsidRPr="0056686B" w14:paraId="3DE7C12D" w14:textId="77777777" w:rsidTr="00422DD5">
        <w:trPr>
          <w:trHeight w:val="69"/>
        </w:trPr>
        <w:tc>
          <w:tcPr>
            <w:tcW w:w="6387" w:type="dxa"/>
            <w:tcBorders>
              <w:left w:val="nil"/>
              <w:right w:val="nil"/>
            </w:tcBorders>
            <w:shd w:val="clear" w:color="auto" w:fill="auto"/>
            <w:vAlign w:val="bottom"/>
          </w:tcPr>
          <w:p w14:paraId="022B7BAC" w14:textId="77777777" w:rsidR="008B2FBE" w:rsidRPr="0056686B" w:rsidRDefault="008B2FBE" w:rsidP="00422DD5">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Ukupna sveobuhvatna dobit za raspodjelu:</w:t>
            </w:r>
          </w:p>
        </w:tc>
        <w:tc>
          <w:tcPr>
            <w:tcW w:w="1403" w:type="dxa"/>
            <w:shd w:val="clear" w:color="auto" w:fill="auto"/>
            <w:noWrap/>
            <w:vAlign w:val="bottom"/>
          </w:tcPr>
          <w:p w14:paraId="59341C85" w14:textId="77777777" w:rsidR="008B2FBE" w:rsidRPr="0056686B" w:rsidRDefault="008B2FBE" w:rsidP="00422DD5">
            <w:pPr>
              <w:suppressAutoHyphens/>
              <w:autoSpaceDN w:val="0"/>
              <w:jc w:val="right"/>
              <w:rPr>
                <w:rFonts w:ascii="Arial" w:eastAsia="Times New Roman" w:hAnsi="Arial" w:cs="Arial"/>
                <w:b/>
                <w:color w:val="000000" w:themeColor="text1"/>
                <w:sz w:val="18"/>
                <w:szCs w:val="18"/>
              </w:rPr>
            </w:pPr>
          </w:p>
        </w:tc>
        <w:tc>
          <w:tcPr>
            <w:tcW w:w="1218" w:type="dxa"/>
            <w:shd w:val="clear" w:color="auto" w:fill="auto"/>
            <w:vAlign w:val="bottom"/>
          </w:tcPr>
          <w:p w14:paraId="3F370C83" w14:textId="77777777" w:rsidR="008B2FBE" w:rsidRPr="0056686B" w:rsidRDefault="008B2FBE" w:rsidP="00422DD5">
            <w:pPr>
              <w:suppressAutoHyphens/>
              <w:autoSpaceDN w:val="0"/>
              <w:jc w:val="right"/>
              <w:rPr>
                <w:rFonts w:ascii="Arial" w:eastAsia="Times New Roman" w:hAnsi="Arial" w:cs="Arial"/>
                <w:bCs/>
                <w:color w:val="000000" w:themeColor="text1"/>
                <w:sz w:val="18"/>
                <w:szCs w:val="18"/>
              </w:rPr>
            </w:pPr>
          </w:p>
        </w:tc>
      </w:tr>
      <w:tr w:rsidR="008B2FBE" w:rsidRPr="0056686B" w14:paraId="366E94E9" w14:textId="77777777" w:rsidTr="00422DD5">
        <w:trPr>
          <w:trHeight w:val="54"/>
        </w:trPr>
        <w:tc>
          <w:tcPr>
            <w:tcW w:w="6387" w:type="dxa"/>
            <w:tcBorders>
              <w:left w:val="nil"/>
              <w:right w:val="nil"/>
            </w:tcBorders>
            <w:shd w:val="clear" w:color="auto" w:fill="auto"/>
            <w:vAlign w:val="bottom"/>
          </w:tcPr>
          <w:p w14:paraId="7EEAAF0A" w14:textId="77777777" w:rsidR="008B2FBE" w:rsidRPr="0056686B" w:rsidRDefault="008B2FBE" w:rsidP="00422DD5">
            <w:pPr>
              <w:suppressAutoHyphens/>
              <w:autoSpaceDN w:val="0"/>
              <w:rPr>
                <w:rFonts w:ascii="Arial" w:eastAsia="Times New Roman" w:hAnsi="Arial" w:cs="Arial"/>
                <w:bCs/>
                <w:color w:val="000000" w:themeColor="text1"/>
                <w:sz w:val="18"/>
                <w:szCs w:val="18"/>
              </w:rPr>
            </w:pPr>
            <w:r w:rsidRPr="0056686B">
              <w:rPr>
                <w:rFonts w:ascii="Arial" w:eastAsia="Times New Roman" w:hAnsi="Arial" w:cs="Arial"/>
                <w:bCs/>
                <w:color w:val="000000" w:themeColor="text1"/>
                <w:sz w:val="18"/>
                <w:szCs w:val="18"/>
              </w:rPr>
              <w:t>Vlasnicima društva</w:t>
            </w:r>
          </w:p>
        </w:tc>
        <w:tc>
          <w:tcPr>
            <w:tcW w:w="1403" w:type="dxa"/>
            <w:tcBorders>
              <w:top w:val="nil"/>
              <w:left w:val="nil"/>
              <w:bottom w:val="single" w:sz="12" w:space="0" w:color="auto"/>
              <w:right w:val="nil"/>
            </w:tcBorders>
            <w:shd w:val="clear" w:color="auto" w:fill="auto"/>
            <w:noWrap/>
            <w:vAlign w:val="bottom"/>
          </w:tcPr>
          <w:p w14:paraId="0C4A0EB8"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(18)</w:t>
            </w:r>
          </w:p>
        </w:tc>
        <w:tc>
          <w:tcPr>
            <w:tcW w:w="1218" w:type="dxa"/>
            <w:tcBorders>
              <w:top w:val="nil"/>
              <w:left w:val="nil"/>
              <w:bottom w:val="single" w:sz="12" w:space="0" w:color="auto"/>
              <w:right w:val="nil"/>
            </w:tcBorders>
            <w:shd w:val="clear" w:color="auto" w:fill="auto"/>
            <w:vAlign w:val="bottom"/>
          </w:tcPr>
          <w:p w14:paraId="10235488" w14:textId="77777777" w:rsidR="008B2FBE" w:rsidRPr="0056686B" w:rsidRDefault="008B2FBE" w:rsidP="00422DD5">
            <w:pPr>
              <w:suppressAutoHyphens/>
              <w:autoSpaceDN w:val="0"/>
              <w:jc w:val="right"/>
              <w:rPr>
                <w:rFonts w:ascii="Arial" w:eastAsia="Times New Roman" w:hAnsi="Arial" w:cs="Arial"/>
                <w:bCs/>
                <w:color w:val="000000" w:themeColor="text1"/>
                <w:sz w:val="18"/>
                <w:szCs w:val="18"/>
              </w:rPr>
            </w:pPr>
            <w:r w:rsidRPr="00163A49">
              <w:rPr>
                <w:rFonts w:ascii="Arial" w:eastAsia="Times New Roman" w:hAnsi="Arial" w:cs="Arial"/>
                <w:color w:val="000000" w:themeColor="text1"/>
                <w:sz w:val="18"/>
                <w:szCs w:val="18"/>
              </w:rPr>
              <w:t>144</w:t>
            </w:r>
          </w:p>
        </w:tc>
      </w:tr>
    </w:tbl>
    <w:p w14:paraId="7AE60369" w14:textId="77777777" w:rsidR="0053176F" w:rsidRDefault="0053176F" w:rsidP="00DF6E3A">
      <w:pPr>
        <w:suppressAutoHyphens/>
        <w:autoSpaceDN w:val="0"/>
        <w:jc w:val="both"/>
        <w:rPr>
          <w:rFonts w:ascii="Arial" w:eastAsia="Calibri" w:hAnsi="Arial" w:cs="Arial"/>
          <w:color w:val="000000" w:themeColor="text1"/>
          <w:sz w:val="20"/>
          <w:szCs w:val="20"/>
        </w:rPr>
      </w:pPr>
    </w:p>
    <w:p w14:paraId="583BF5B5" w14:textId="77777777" w:rsidR="007A0357" w:rsidRDefault="007A0357" w:rsidP="00DF6E3A">
      <w:pPr>
        <w:suppressAutoHyphens/>
        <w:autoSpaceDN w:val="0"/>
        <w:jc w:val="both"/>
        <w:rPr>
          <w:rFonts w:ascii="Arial" w:eastAsia="Calibri" w:hAnsi="Arial" w:cs="Arial"/>
          <w:color w:val="000000" w:themeColor="text1"/>
          <w:sz w:val="20"/>
          <w:szCs w:val="20"/>
        </w:rPr>
        <w:sectPr w:rsidR="007A0357" w:rsidSect="003278AB">
          <w:headerReference w:type="default" r:id="rId34"/>
          <w:footerReference w:type="default" r:id="rId35"/>
          <w:pgSz w:w="11906" w:h="16838"/>
          <w:pgMar w:top="1417" w:right="1417" w:bottom="1417" w:left="1417" w:header="708" w:footer="708" w:gutter="0"/>
          <w:cols w:space="708"/>
          <w:docGrid w:linePitch="360"/>
        </w:sectPr>
      </w:pPr>
    </w:p>
    <w:p w14:paraId="534A8F0D" w14:textId="77777777" w:rsidR="008552FD" w:rsidRDefault="008552FD" w:rsidP="00DF6E3A">
      <w:pPr>
        <w:suppressAutoHyphens/>
        <w:autoSpaceDN w:val="0"/>
        <w:jc w:val="both"/>
        <w:rPr>
          <w:rFonts w:ascii="Arial" w:eastAsia="Calibri" w:hAnsi="Arial" w:cs="Arial"/>
          <w:color w:val="000000" w:themeColor="text1"/>
          <w:sz w:val="20"/>
          <w:szCs w:val="20"/>
        </w:rPr>
      </w:pPr>
    </w:p>
    <w:p w14:paraId="45BF33C6" w14:textId="77777777" w:rsidR="008552FD" w:rsidRDefault="008552FD" w:rsidP="00DF6E3A">
      <w:pPr>
        <w:suppressAutoHyphens/>
        <w:autoSpaceDN w:val="0"/>
        <w:jc w:val="both"/>
        <w:rPr>
          <w:rFonts w:ascii="Arial" w:eastAsia="Calibri" w:hAnsi="Arial" w:cs="Arial"/>
          <w:color w:val="000000" w:themeColor="text1"/>
          <w:sz w:val="20"/>
          <w:szCs w:val="20"/>
        </w:rPr>
      </w:pPr>
    </w:p>
    <w:tbl>
      <w:tblPr>
        <w:tblpPr w:leftFromText="181" w:rightFromText="181" w:vertAnchor="text" w:horzAnchor="margin" w:tblpXSpec="center" w:tblpY="1"/>
        <w:tblW w:w="9071" w:type="dxa"/>
        <w:tblLayout w:type="fixed"/>
        <w:tblLook w:val="04A0" w:firstRow="1" w:lastRow="0" w:firstColumn="1" w:lastColumn="0" w:noHBand="0" w:noVBand="1"/>
      </w:tblPr>
      <w:tblGrid>
        <w:gridCol w:w="5669"/>
        <w:gridCol w:w="1701"/>
        <w:gridCol w:w="1701"/>
      </w:tblGrid>
      <w:tr w:rsidR="008B2FBE" w:rsidRPr="0056686B" w14:paraId="01B8EEE1" w14:textId="77777777" w:rsidTr="00422DD5">
        <w:trPr>
          <w:trHeight w:val="119"/>
        </w:trPr>
        <w:tc>
          <w:tcPr>
            <w:tcW w:w="5669" w:type="dxa"/>
            <w:tcBorders>
              <w:left w:val="nil"/>
              <w:bottom w:val="nil"/>
              <w:right w:val="nil"/>
            </w:tcBorders>
            <w:shd w:val="clear" w:color="auto" w:fill="auto"/>
            <w:vAlign w:val="bottom"/>
          </w:tcPr>
          <w:p w14:paraId="1E8BC976" w14:textId="77777777" w:rsidR="008B2FBE" w:rsidRPr="0056686B" w:rsidRDefault="008B2FBE" w:rsidP="00422DD5">
            <w:pPr>
              <w:suppressAutoHyphens/>
              <w:autoSpaceDN w:val="0"/>
              <w:rPr>
                <w:rFonts w:ascii="Arial" w:eastAsia="Times New Roman" w:hAnsi="Arial" w:cs="Arial"/>
                <w:b/>
                <w:bCs/>
                <w:color w:val="000000" w:themeColor="text1"/>
                <w:sz w:val="18"/>
                <w:szCs w:val="18"/>
              </w:rPr>
            </w:pPr>
          </w:p>
        </w:tc>
        <w:tc>
          <w:tcPr>
            <w:tcW w:w="1701" w:type="dxa"/>
            <w:tcBorders>
              <w:left w:val="nil"/>
              <w:bottom w:val="nil"/>
              <w:right w:val="nil"/>
            </w:tcBorders>
            <w:shd w:val="clear" w:color="auto" w:fill="auto"/>
            <w:noWrap/>
            <w:vAlign w:val="bottom"/>
          </w:tcPr>
          <w:p w14:paraId="73BC7953"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31.3.202</w:t>
            </w:r>
            <w:r>
              <w:rPr>
                <w:rFonts w:ascii="Arial" w:eastAsia="Times New Roman" w:hAnsi="Arial" w:cs="Arial"/>
                <w:b/>
                <w:bCs/>
                <w:color w:val="000000" w:themeColor="text1"/>
                <w:sz w:val="18"/>
                <w:szCs w:val="18"/>
              </w:rPr>
              <w:t>4</w:t>
            </w:r>
            <w:r w:rsidRPr="0056686B">
              <w:rPr>
                <w:rFonts w:ascii="Arial" w:eastAsia="Times New Roman" w:hAnsi="Arial" w:cs="Arial"/>
                <w:b/>
                <w:bCs/>
                <w:color w:val="000000" w:themeColor="text1"/>
                <w:sz w:val="18"/>
                <w:szCs w:val="18"/>
              </w:rPr>
              <w:t>.</w:t>
            </w:r>
          </w:p>
        </w:tc>
        <w:tc>
          <w:tcPr>
            <w:tcW w:w="1701" w:type="dxa"/>
            <w:tcBorders>
              <w:left w:val="nil"/>
              <w:bottom w:val="nil"/>
              <w:right w:val="nil"/>
            </w:tcBorders>
            <w:vAlign w:val="bottom"/>
          </w:tcPr>
          <w:p w14:paraId="20874D9B"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31.12.</w:t>
            </w:r>
            <w:r w:rsidRPr="0056686B">
              <w:rPr>
                <w:rFonts w:ascii="Arial" w:eastAsia="Times New Roman" w:hAnsi="Arial" w:cs="Arial"/>
                <w:b/>
                <w:bCs/>
                <w:color w:val="000000" w:themeColor="text1"/>
                <w:sz w:val="18"/>
                <w:szCs w:val="18"/>
              </w:rPr>
              <w:t>202</w:t>
            </w:r>
            <w:r>
              <w:rPr>
                <w:rFonts w:ascii="Arial" w:eastAsia="Times New Roman" w:hAnsi="Arial" w:cs="Arial"/>
                <w:b/>
                <w:bCs/>
                <w:color w:val="000000" w:themeColor="text1"/>
                <w:sz w:val="18"/>
                <w:szCs w:val="18"/>
              </w:rPr>
              <w:t>3</w:t>
            </w:r>
            <w:r w:rsidRPr="0056686B">
              <w:rPr>
                <w:rFonts w:ascii="Arial" w:eastAsia="Times New Roman" w:hAnsi="Arial" w:cs="Arial"/>
                <w:b/>
                <w:bCs/>
                <w:color w:val="000000" w:themeColor="text1"/>
                <w:sz w:val="18"/>
                <w:szCs w:val="18"/>
              </w:rPr>
              <w:t>.</w:t>
            </w:r>
          </w:p>
        </w:tc>
      </w:tr>
      <w:tr w:rsidR="008B2FBE" w:rsidRPr="0056686B" w14:paraId="5210EBF1" w14:textId="77777777" w:rsidTr="00422DD5">
        <w:trPr>
          <w:trHeight w:val="95"/>
        </w:trPr>
        <w:tc>
          <w:tcPr>
            <w:tcW w:w="5669" w:type="dxa"/>
            <w:tcBorders>
              <w:left w:val="nil"/>
              <w:bottom w:val="nil"/>
              <w:right w:val="nil"/>
            </w:tcBorders>
            <w:shd w:val="clear" w:color="auto" w:fill="auto"/>
            <w:vAlign w:val="bottom"/>
          </w:tcPr>
          <w:p w14:paraId="2EB0F0BA" w14:textId="77777777" w:rsidR="008B2FBE" w:rsidRPr="0056686B" w:rsidRDefault="008B2FBE" w:rsidP="00422DD5">
            <w:pPr>
              <w:suppressAutoHyphens/>
              <w:autoSpaceDN w:val="0"/>
              <w:rPr>
                <w:rFonts w:ascii="Arial" w:eastAsia="Times New Roman" w:hAnsi="Arial" w:cs="Arial"/>
                <w:b/>
                <w:bCs/>
                <w:color w:val="000000" w:themeColor="text1"/>
                <w:sz w:val="18"/>
                <w:szCs w:val="18"/>
              </w:rPr>
            </w:pPr>
          </w:p>
        </w:tc>
        <w:tc>
          <w:tcPr>
            <w:tcW w:w="1701" w:type="dxa"/>
            <w:tcBorders>
              <w:left w:val="nil"/>
              <w:bottom w:val="nil"/>
              <w:right w:val="nil"/>
            </w:tcBorders>
            <w:shd w:val="clear" w:color="auto" w:fill="auto"/>
            <w:noWrap/>
            <w:vAlign w:val="bottom"/>
          </w:tcPr>
          <w:p w14:paraId="550FD1E2"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 xml:space="preserve">000 </w:t>
            </w:r>
            <w:r w:rsidRPr="003D1614">
              <w:rPr>
                <w:rFonts w:ascii="Arial" w:eastAsia="Times New Roman" w:hAnsi="Arial" w:cs="Arial"/>
                <w:b/>
                <w:bCs/>
                <w:color w:val="000000" w:themeColor="text1"/>
                <w:sz w:val="18"/>
                <w:szCs w:val="18"/>
              </w:rPr>
              <w:t>eura</w:t>
            </w:r>
          </w:p>
        </w:tc>
        <w:tc>
          <w:tcPr>
            <w:tcW w:w="1701" w:type="dxa"/>
            <w:tcBorders>
              <w:left w:val="nil"/>
              <w:bottom w:val="nil"/>
              <w:right w:val="nil"/>
            </w:tcBorders>
            <w:vAlign w:val="bottom"/>
          </w:tcPr>
          <w:p w14:paraId="5AF3B26D"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 xml:space="preserve">000 </w:t>
            </w:r>
            <w:r w:rsidRPr="003D1614">
              <w:rPr>
                <w:rFonts w:ascii="Arial" w:eastAsia="Times New Roman" w:hAnsi="Arial" w:cs="Arial"/>
                <w:b/>
                <w:bCs/>
                <w:color w:val="000000" w:themeColor="text1"/>
                <w:sz w:val="18"/>
                <w:szCs w:val="18"/>
              </w:rPr>
              <w:t>eura</w:t>
            </w:r>
          </w:p>
        </w:tc>
      </w:tr>
      <w:tr w:rsidR="008B2FBE" w:rsidRPr="0056686B" w14:paraId="32C1AF47" w14:textId="77777777" w:rsidTr="00422DD5">
        <w:trPr>
          <w:trHeight w:val="59"/>
        </w:trPr>
        <w:tc>
          <w:tcPr>
            <w:tcW w:w="5669" w:type="dxa"/>
            <w:tcBorders>
              <w:top w:val="nil"/>
              <w:left w:val="nil"/>
              <w:bottom w:val="nil"/>
              <w:right w:val="nil"/>
            </w:tcBorders>
            <w:shd w:val="clear" w:color="auto" w:fill="auto"/>
            <w:vAlign w:val="bottom"/>
          </w:tcPr>
          <w:p w14:paraId="6E386F6A" w14:textId="77777777" w:rsidR="008B2FBE" w:rsidRPr="0056686B" w:rsidRDefault="008B2FBE" w:rsidP="00422DD5">
            <w:pPr>
              <w:suppressAutoHyphens/>
              <w:autoSpaceDN w:val="0"/>
              <w:spacing w:line="140" w:lineRule="exact"/>
              <w:rPr>
                <w:rFonts w:ascii="Arial" w:eastAsia="Times New Roman" w:hAnsi="Arial" w:cs="Arial"/>
                <w:color w:val="000000" w:themeColor="text1"/>
                <w:sz w:val="18"/>
                <w:szCs w:val="18"/>
              </w:rPr>
            </w:pPr>
          </w:p>
        </w:tc>
        <w:tc>
          <w:tcPr>
            <w:tcW w:w="1701" w:type="dxa"/>
            <w:tcBorders>
              <w:top w:val="nil"/>
              <w:left w:val="nil"/>
              <w:bottom w:val="nil"/>
              <w:right w:val="nil"/>
            </w:tcBorders>
            <w:shd w:val="clear" w:color="auto" w:fill="auto"/>
            <w:noWrap/>
            <w:vAlign w:val="bottom"/>
          </w:tcPr>
          <w:p w14:paraId="061720CF" w14:textId="77777777" w:rsidR="008B2FBE" w:rsidRPr="0056686B" w:rsidRDefault="008B2FBE" w:rsidP="00422DD5">
            <w:pPr>
              <w:suppressAutoHyphens/>
              <w:autoSpaceDN w:val="0"/>
              <w:spacing w:line="140" w:lineRule="exact"/>
              <w:rPr>
                <w:rFonts w:ascii="Arial" w:eastAsia="Times New Roman" w:hAnsi="Arial" w:cs="Arial"/>
                <w:color w:val="000000" w:themeColor="text1"/>
                <w:sz w:val="18"/>
                <w:szCs w:val="18"/>
              </w:rPr>
            </w:pPr>
          </w:p>
        </w:tc>
        <w:tc>
          <w:tcPr>
            <w:tcW w:w="1701" w:type="dxa"/>
            <w:tcBorders>
              <w:top w:val="nil"/>
              <w:left w:val="nil"/>
              <w:bottom w:val="nil"/>
              <w:right w:val="nil"/>
            </w:tcBorders>
            <w:vAlign w:val="bottom"/>
          </w:tcPr>
          <w:p w14:paraId="40525CDF" w14:textId="77777777" w:rsidR="008B2FBE" w:rsidRPr="0056686B" w:rsidRDefault="008B2FBE" w:rsidP="00422DD5">
            <w:pPr>
              <w:suppressAutoHyphens/>
              <w:autoSpaceDN w:val="0"/>
              <w:spacing w:line="140" w:lineRule="exact"/>
              <w:rPr>
                <w:rFonts w:ascii="Arial" w:eastAsia="Times New Roman" w:hAnsi="Arial" w:cs="Arial"/>
                <w:color w:val="000000" w:themeColor="text1"/>
                <w:sz w:val="18"/>
                <w:szCs w:val="18"/>
              </w:rPr>
            </w:pPr>
          </w:p>
        </w:tc>
      </w:tr>
      <w:tr w:rsidR="008B2FBE" w:rsidRPr="0056686B" w14:paraId="6BABBBEC" w14:textId="77777777" w:rsidTr="00422DD5">
        <w:trPr>
          <w:trHeight w:val="109"/>
        </w:trPr>
        <w:tc>
          <w:tcPr>
            <w:tcW w:w="5669" w:type="dxa"/>
            <w:tcBorders>
              <w:top w:val="nil"/>
              <w:left w:val="nil"/>
              <w:bottom w:val="nil"/>
              <w:right w:val="nil"/>
            </w:tcBorders>
            <w:shd w:val="clear" w:color="auto" w:fill="auto"/>
            <w:vAlign w:val="bottom"/>
          </w:tcPr>
          <w:p w14:paraId="4B6E0F95" w14:textId="77777777" w:rsidR="008B2FBE" w:rsidRPr="0056686B" w:rsidRDefault="008B2FBE" w:rsidP="00422DD5">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Imovina</w:t>
            </w:r>
          </w:p>
        </w:tc>
        <w:tc>
          <w:tcPr>
            <w:tcW w:w="1701" w:type="dxa"/>
            <w:tcBorders>
              <w:top w:val="nil"/>
              <w:left w:val="nil"/>
              <w:bottom w:val="nil"/>
              <w:right w:val="nil"/>
            </w:tcBorders>
            <w:shd w:val="clear" w:color="auto" w:fill="auto"/>
            <w:noWrap/>
            <w:vAlign w:val="bottom"/>
          </w:tcPr>
          <w:p w14:paraId="5858AA55"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p>
        </w:tc>
        <w:tc>
          <w:tcPr>
            <w:tcW w:w="1701" w:type="dxa"/>
            <w:tcBorders>
              <w:top w:val="nil"/>
              <w:left w:val="nil"/>
              <w:bottom w:val="nil"/>
              <w:right w:val="nil"/>
            </w:tcBorders>
            <w:vAlign w:val="bottom"/>
          </w:tcPr>
          <w:p w14:paraId="5C8B6B99"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p>
        </w:tc>
      </w:tr>
      <w:tr w:rsidR="008B2FBE" w:rsidRPr="0056686B" w14:paraId="17847DAB" w14:textId="77777777" w:rsidTr="00422DD5">
        <w:trPr>
          <w:trHeight w:val="66"/>
        </w:trPr>
        <w:tc>
          <w:tcPr>
            <w:tcW w:w="5669" w:type="dxa"/>
            <w:tcBorders>
              <w:top w:val="nil"/>
              <w:left w:val="nil"/>
              <w:bottom w:val="nil"/>
              <w:right w:val="nil"/>
            </w:tcBorders>
            <w:shd w:val="clear" w:color="auto" w:fill="auto"/>
            <w:vAlign w:val="bottom"/>
          </w:tcPr>
          <w:p w14:paraId="365549CA" w14:textId="77777777" w:rsidR="008B2FBE" w:rsidRPr="0056686B" w:rsidRDefault="008B2FBE" w:rsidP="00422DD5">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Dugotrajna imovina</w:t>
            </w:r>
          </w:p>
        </w:tc>
        <w:tc>
          <w:tcPr>
            <w:tcW w:w="1701" w:type="dxa"/>
            <w:tcBorders>
              <w:top w:val="nil"/>
              <w:left w:val="nil"/>
              <w:bottom w:val="nil"/>
              <w:right w:val="nil"/>
            </w:tcBorders>
            <w:shd w:val="clear" w:color="auto" w:fill="auto"/>
            <w:noWrap/>
            <w:vAlign w:val="bottom"/>
          </w:tcPr>
          <w:p w14:paraId="00FCAA5F"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p>
        </w:tc>
        <w:tc>
          <w:tcPr>
            <w:tcW w:w="1701" w:type="dxa"/>
            <w:tcBorders>
              <w:top w:val="nil"/>
              <w:left w:val="nil"/>
              <w:bottom w:val="nil"/>
              <w:right w:val="nil"/>
            </w:tcBorders>
            <w:vAlign w:val="bottom"/>
          </w:tcPr>
          <w:p w14:paraId="7820A5C5"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p>
        </w:tc>
      </w:tr>
      <w:tr w:rsidR="008B2FBE" w:rsidRPr="0056686B" w14:paraId="33647DE8" w14:textId="77777777" w:rsidTr="00422DD5">
        <w:trPr>
          <w:trHeight w:val="180"/>
        </w:trPr>
        <w:tc>
          <w:tcPr>
            <w:tcW w:w="5669" w:type="dxa"/>
            <w:tcBorders>
              <w:top w:val="nil"/>
              <w:left w:val="nil"/>
              <w:bottom w:val="nil"/>
              <w:right w:val="nil"/>
            </w:tcBorders>
            <w:shd w:val="clear" w:color="auto" w:fill="auto"/>
            <w:vAlign w:val="bottom"/>
          </w:tcPr>
          <w:p w14:paraId="50D5B4F4" w14:textId="77777777" w:rsidR="008B2FBE" w:rsidRPr="0056686B" w:rsidRDefault="008B2FBE" w:rsidP="00422DD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Nekretnine i oprema</w:t>
            </w:r>
          </w:p>
        </w:tc>
        <w:tc>
          <w:tcPr>
            <w:tcW w:w="1701" w:type="dxa"/>
            <w:shd w:val="clear" w:color="auto" w:fill="auto"/>
            <w:noWrap/>
          </w:tcPr>
          <w:p w14:paraId="318BD872"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181</w:t>
            </w:r>
          </w:p>
        </w:tc>
        <w:tc>
          <w:tcPr>
            <w:tcW w:w="1701" w:type="dxa"/>
            <w:shd w:val="clear" w:color="auto" w:fill="auto"/>
            <w:vAlign w:val="bottom"/>
          </w:tcPr>
          <w:p w14:paraId="5CFB6527"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8"/>
                <w:szCs w:val="18"/>
              </w:rPr>
              <w:t>53</w:t>
            </w:r>
          </w:p>
        </w:tc>
      </w:tr>
      <w:tr w:rsidR="008B2FBE" w:rsidRPr="0056686B" w14:paraId="55ECF6CD" w14:textId="77777777" w:rsidTr="00422DD5">
        <w:trPr>
          <w:trHeight w:val="180"/>
        </w:trPr>
        <w:tc>
          <w:tcPr>
            <w:tcW w:w="5669" w:type="dxa"/>
            <w:tcBorders>
              <w:top w:val="nil"/>
              <w:left w:val="nil"/>
              <w:bottom w:val="nil"/>
              <w:right w:val="nil"/>
            </w:tcBorders>
            <w:shd w:val="clear" w:color="auto" w:fill="auto"/>
            <w:vAlign w:val="bottom"/>
          </w:tcPr>
          <w:p w14:paraId="313F06F9" w14:textId="77777777" w:rsidR="008B2FBE" w:rsidRPr="0056686B" w:rsidRDefault="008B2FBE" w:rsidP="00422DD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Nematerijalna imovina</w:t>
            </w:r>
          </w:p>
        </w:tc>
        <w:tc>
          <w:tcPr>
            <w:tcW w:w="1701" w:type="dxa"/>
            <w:shd w:val="clear" w:color="auto" w:fill="auto"/>
            <w:noWrap/>
          </w:tcPr>
          <w:p w14:paraId="59FB4231"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89</w:t>
            </w:r>
          </w:p>
        </w:tc>
        <w:tc>
          <w:tcPr>
            <w:tcW w:w="1701" w:type="dxa"/>
            <w:shd w:val="clear" w:color="auto" w:fill="auto"/>
            <w:vAlign w:val="bottom"/>
          </w:tcPr>
          <w:p w14:paraId="1727336F"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8"/>
                <w:szCs w:val="18"/>
              </w:rPr>
              <w:t>92</w:t>
            </w:r>
          </w:p>
        </w:tc>
      </w:tr>
      <w:tr w:rsidR="008B2FBE" w:rsidRPr="0056686B" w14:paraId="47AEFA1A" w14:textId="77777777" w:rsidTr="00422DD5">
        <w:trPr>
          <w:trHeight w:val="180"/>
        </w:trPr>
        <w:tc>
          <w:tcPr>
            <w:tcW w:w="5669" w:type="dxa"/>
            <w:tcBorders>
              <w:top w:val="nil"/>
              <w:left w:val="nil"/>
              <w:bottom w:val="nil"/>
              <w:right w:val="nil"/>
            </w:tcBorders>
            <w:shd w:val="clear" w:color="auto" w:fill="auto"/>
            <w:vAlign w:val="bottom"/>
          </w:tcPr>
          <w:p w14:paraId="7EC4E944" w14:textId="77777777" w:rsidR="008B2FBE" w:rsidRPr="0056686B" w:rsidRDefault="008B2FBE" w:rsidP="00422DD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Odgođena porezna imovina</w:t>
            </w:r>
          </w:p>
        </w:tc>
        <w:tc>
          <w:tcPr>
            <w:tcW w:w="1701" w:type="dxa"/>
            <w:shd w:val="clear" w:color="auto" w:fill="auto"/>
            <w:noWrap/>
            <w:vAlign w:val="bottom"/>
          </w:tcPr>
          <w:p w14:paraId="6335CAE4"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140</w:t>
            </w:r>
          </w:p>
        </w:tc>
        <w:tc>
          <w:tcPr>
            <w:tcW w:w="1701" w:type="dxa"/>
            <w:shd w:val="clear" w:color="auto" w:fill="auto"/>
            <w:vAlign w:val="bottom"/>
          </w:tcPr>
          <w:p w14:paraId="21B569F7" w14:textId="77777777" w:rsidR="008B2FBE" w:rsidRPr="0056686B" w:rsidRDefault="008B2FBE" w:rsidP="00422DD5">
            <w:pPr>
              <w:suppressAutoHyphens/>
              <w:autoSpaceDN w:val="0"/>
              <w:jc w:val="right"/>
              <w:rPr>
                <w:rFonts w:ascii="Arial" w:eastAsia="Times New Roman" w:hAnsi="Arial" w:cs="Arial"/>
                <w:color w:val="000000"/>
                <w:sz w:val="18"/>
                <w:szCs w:val="18"/>
              </w:rPr>
            </w:pPr>
            <w:r>
              <w:rPr>
                <w:rFonts w:ascii="Arial" w:hAnsi="Arial" w:cs="Arial"/>
                <w:color w:val="000000" w:themeColor="text1"/>
                <w:sz w:val="18"/>
                <w:szCs w:val="18"/>
              </w:rPr>
              <w:t>140</w:t>
            </w:r>
          </w:p>
        </w:tc>
      </w:tr>
      <w:tr w:rsidR="008B2FBE" w:rsidRPr="0056686B" w14:paraId="6E7F1545" w14:textId="77777777" w:rsidTr="00422DD5">
        <w:trPr>
          <w:trHeight w:val="164"/>
        </w:trPr>
        <w:tc>
          <w:tcPr>
            <w:tcW w:w="5669" w:type="dxa"/>
            <w:tcBorders>
              <w:left w:val="nil"/>
              <w:right w:val="nil"/>
            </w:tcBorders>
            <w:shd w:val="clear" w:color="auto" w:fill="auto"/>
            <w:vAlign w:val="bottom"/>
          </w:tcPr>
          <w:p w14:paraId="1EBD9B54" w14:textId="77777777" w:rsidR="008B2FBE" w:rsidRPr="0056686B" w:rsidRDefault="008B2FBE" w:rsidP="00422DD5">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Ukupna dugotrajna imovina</w:t>
            </w:r>
          </w:p>
        </w:tc>
        <w:tc>
          <w:tcPr>
            <w:tcW w:w="1701" w:type="dxa"/>
            <w:tcBorders>
              <w:top w:val="single" w:sz="4" w:space="0" w:color="auto"/>
              <w:left w:val="nil"/>
              <w:bottom w:val="single" w:sz="12" w:space="0" w:color="auto"/>
              <w:right w:val="nil"/>
            </w:tcBorders>
            <w:shd w:val="clear" w:color="auto" w:fill="auto"/>
            <w:noWrap/>
            <w:vAlign w:val="bottom"/>
          </w:tcPr>
          <w:p w14:paraId="6AFC9DDC"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410</w:t>
            </w:r>
          </w:p>
        </w:tc>
        <w:tc>
          <w:tcPr>
            <w:tcW w:w="1701" w:type="dxa"/>
            <w:tcBorders>
              <w:top w:val="single" w:sz="4" w:space="0" w:color="auto"/>
              <w:left w:val="nil"/>
              <w:bottom w:val="single" w:sz="12" w:space="0" w:color="auto"/>
              <w:right w:val="nil"/>
            </w:tcBorders>
            <w:shd w:val="clear" w:color="auto" w:fill="auto"/>
            <w:vAlign w:val="bottom"/>
          </w:tcPr>
          <w:p w14:paraId="7840F189"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Pr>
                <w:rFonts w:ascii="Arial" w:hAnsi="Arial" w:cs="Arial"/>
                <w:b/>
                <w:bCs/>
                <w:color w:val="000000" w:themeColor="text1"/>
                <w:sz w:val="18"/>
                <w:szCs w:val="18"/>
              </w:rPr>
              <w:t>285</w:t>
            </w:r>
          </w:p>
        </w:tc>
      </w:tr>
      <w:tr w:rsidR="008B2FBE" w:rsidRPr="0056686B" w14:paraId="773AB48D" w14:textId="77777777" w:rsidTr="00422DD5">
        <w:trPr>
          <w:trHeight w:val="60"/>
        </w:trPr>
        <w:tc>
          <w:tcPr>
            <w:tcW w:w="5669" w:type="dxa"/>
            <w:tcBorders>
              <w:left w:val="nil"/>
              <w:bottom w:val="nil"/>
              <w:right w:val="nil"/>
            </w:tcBorders>
            <w:shd w:val="clear" w:color="auto" w:fill="auto"/>
            <w:vAlign w:val="bottom"/>
          </w:tcPr>
          <w:p w14:paraId="1C5FE5B0" w14:textId="77777777" w:rsidR="008B2FBE" w:rsidRPr="0056686B" w:rsidRDefault="008B2FBE" w:rsidP="00422DD5">
            <w:pPr>
              <w:suppressAutoHyphens/>
              <w:autoSpaceDN w:val="0"/>
              <w:spacing w:line="140" w:lineRule="exac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noWrap/>
            <w:vAlign w:val="bottom"/>
          </w:tcPr>
          <w:p w14:paraId="25FB60E3" w14:textId="77777777" w:rsidR="008B2FBE" w:rsidRPr="0056686B" w:rsidRDefault="008B2FBE" w:rsidP="00422DD5">
            <w:pPr>
              <w:suppressAutoHyphens/>
              <w:autoSpaceDN w:val="0"/>
              <w:spacing w:line="140" w:lineRule="exact"/>
              <w:jc w:val="righ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vAlign w:val="bottom"/>
          </w:tcPr>
          <w:p w14:paraId="37C0B709" w14:textId="77777777" w:rsidR="008B2FBE" w:rsidRPr="0056686B" w:rsidRDefault="008B2FBE" w:rsidP="00422DD5">
            <w:pPr>
              <w:suppressAutoHyphens/>
              <w:autoSpaceDN w:val="0"/>
              <w:spacing w:line="140" w:lineRule="exact"/>
              <w:jc w:val="right"/>
              <w:rPr>
                <w:rFonts w:ascii="Arial" w:eastAsia="Times New Roman" w:hAnsi="Arial" w:cs="Arial"/>
                <w:color w:val="000000" w:themeColor="text1"/>
                <w:sz w:val="18"/>
                <w:szCs w:val="18"/>
              </w:rPr>
            </w:pPr>
          </w:p>
        </w:tc>
      </w:tr>
      <w:tr w:rsidR="008B2FBE" w:rsidRPr="0056686B" w14:paraId="3ED2114B" w14:textId="77777777" w:rsidTr="00422DD5">
        <w:trPr>
          <w:trHeight w:val="148"/>
        </w:trPr>
        <w:tc>
          <w:tcPr>
            <w:tcW w:w="5669" w:type="dxa"/>
            <w:tcBorders>
              <w:top w:val="nil"/>
              <w:left w:val="nil"/>
              <w:bottom w:val="nil"/>
              <w:right w:val="nil"/>
            </w:tcBorders>
            <w:shd w:val="clear" w:color="auto" w:fill="auto"/>
            <w:vAlign w:val="bottom"/>
          </w:tcPr>
          <w:p w14:paraId="222D6EB9" w14:textId="77777777" w:rsidR="008B2FBE" w:rsidRPr="0056686B" w:rsidRDefault="008B2FBE" w:rsidP="00422DD5">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Kratkotrajna imovina</w:t>
            </w:r>
          </w:p>
        </w:tc>
        <w:tc>
          <w:tcPr>
            <w:tcW w:w="1701" w:type="dxa"/>
            <w:shd w:val="clear" w:color="auto" w:fill="auto"/>
            <w:noWrap/>
            <w:vAlign w:val="bottom"/>
          </w:tcPr>
          <w:p w14:paraId="43FD7F75"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p>
        </w:tc>
        <w:tc>
          <w:tcPr>
            <w:tcW w:w="1701" w:type="dxa"/>
            <w:shd w:val="clear" w:color="auto" w:fill="auto"/>
            <w:vAlign w:val="bottom"/>
          </w:tcPr>
          <w:p w14:paraId="6F0F7395"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p>
        </w:tc>
      </w:tr>
      <w:tr w:rsidR="008B2FBE" w:rsidRPr="0056686B" w14:paraId="0B1766DA" w14:textId="77777777" w:rsidTr="00422DD5">
        <w:trPr>
          <w:trHeight w:val="254"/>
        </w:trPr>
        <w:tc>
          <w:tcPr>
            <w:tcW w:w="5669" w:type="dxa"/>
            <w:tcBorders>
              <w:top w:val="nil"/>
              <w:left w:val="nil"/>
              <w:bottom w:val="nil"/>
              <w:right w:val="nil"/>
            </w:tcBorders>
            <w:shd w:val="clear" w:color="auto" w:fill="auto"/>
            <w:vAlign w:val="bottom"/>
          </w:tcPr>
          <w:p w14:paraId="1BEE2EF5" w14:textId="77777777" w:rsidR="008B2FBE" w:rsidRPr="0056686B" w:rsidRDefault="008B2FBE" w:rsidP="00422DD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Ulaganja raspoloživa za prodaju</w:t>
            </w:r>
          </w:p>
        </w:tc>
        <w:tc>
          <w:tcPr>
            <w:tcW w:w="1701" w:type="dxa"/>
            <w:shd w:val="clear" w:color="auto" w:fill="auto"/>
            <w:noWrap/>
            <w:vAlign w:val="bottom"/>
          </w:tcPr>
          <w:p w14:paraId="1B8C3623"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6.289</w:t>
            </w:r>
          </w:p>
        </w:tc>
        <w:tc>
          <w:tcPr>
            <w:tcW w:w="1701" w:type="dxa"/>
            <w:shd w:val="clear" w:color="auto" w:fill="auto"/>
            <w:vAlign w:val="bottom"/>
          </w:tcPr>
          <w:p w14:paraId="6D059AFA"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sidRPr="00324DAF">
              <w:rPr>
                <w:rFonts w:ascii="Arial" w:hAnsi="Arial" w:cs="Arial"/>
                <w:color w:val="000000" w:themeColor="text1"/>
                <w:sz w:val="18"/>
                <w:szCs w:val="18"/>
              </w:rPr>
              <w:t>6.342</w:t>
            </w:r>
          </w:p>
        </w:tc>
      </w:tr>
      <w:tr w:rsidR="008B2FBE" w:rsidRPr="0056686B" w14:paraId="13D2B14E" w14:textId="77777777" w:rsidTr="00422DD5">
        <w:trPr>
          <w:trHeight w:val="254"/>
        </w:trPr>
        <w:tc>
          <w:tcPr>
            <w:tcW w:w="5669" w:type="dxa"/>
            <w:tcBorders>
              <w:top w:val="nil"/>
              <w:left w:val="nil"/>
              <w:bottom w:val="nil"/>
              <w:right w:val="nil"/>
            </w:tcBorders>
            <w:shd w:val="clear" w:color="auto" w:fill="auto"/>
            <w:vAlign w:val="bottom"/>
          </w:tcPr>
          <w:p w14:paraId="1BD180C1" w14:textId="77777777" w:rsidR="008B2FBE" w:rsidRPr="0056686B" w:rsidRDefault="008B2FBE" w:rsidP="00422DD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Depoziti u bankama</w:t>
            </w:r>
          </w:p>
        </w:tc>
        <w:tc>
          <w:tcPr>
            <w:tcW w:w="1701" w:type="dxa"/>
            <w:shd w:val="clear" w:color="auto" w:fill="auto"/>
            <w:noWrap/>
            <w:vAlign w:val="bottom"/>
          </w:tcPr>
          <w:p w14:paraId="4F45317F"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2.304</w:t>
            </w:r>
          </w:p>
        </w:tc>
        <w:tc>
          <w:tcPr>
            <w:tcW w:w="1701" w:type="dxa"/>
            <w:shd w:val="clear" w:color="auto" w:fill="auto"/>
            <w:vAlign w:val="bottom"/>
          </w:tcPr>
          <w:p w14:paraId="2C88B69F"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sidRPr="00324DAF">
              <w:rPr>
                <w:rFonts w:ascii="Arial" w:hAnsi="Arial" w:cs="Arial"/>
                <w:color w:val="000000" w:themeColor="text1"/>
                <w:sz w:val="18"/>
                <w:szCs w:val="18"/>
              </w:rPr>
              <w:t>2.305</w:t>
            </w:r>
          </w:p>
        </w:tc>
      </w:tr>
      <w:tr w:rsidR="008B2FBE" w:rsidRPr="0056686B" w14:paraId="391032E8" w14:textId="77777777" w:rsidTr="00422DD5">
        <w:trPr>
          <w:trHeight w:val="254"/>
        </w:trPr>
        <w:tc>
          <w:tcPr>
            <w:tcW w:w="5669" w:type="dxa"/>
            <w:tcBorders>
              <w:top w:val="nil"/>
              <w:left w:val="nil"/>
              <w:bottom w:val="nil"/>
              <w:right w:val="nil"/>
            </w:tcBorders>
            <w:shd w:val="clear" w:color="auto" w:fill="auto"/>
            <w:vAlign w:val="bottom"/>
          </w:tcPr>
          <w:p w14:paraId="14E8B203" w14:textId="77777777" w:rsidR="008B2FBE" w:rsidRPr="0056686B" w:rsidRDefault="008B2FBE" w:rsidP="00422DD5">
            <w:pPr>
              <w:suppressAutoHyphens/>
              <w:autoSpaceDN w:val="0"/>
              <w:rPr>
                <w:rFonts w:ascii="Arial" w:eastAsia="Times New Roman" w:hAnsi="Arial" w:cs="Arial"/>
                <w:color w:val="000000" w:themeColor="text1"/>
                <w:sz w:val="18"/>
                <w:szCs w:val="18"/>
              </w:rPr>
            </w:pPr>
            <w:r w:rsidRPr="00324DAF">
              <w:rPr>
                <w:rFonts w:ascii="Arial" w:hAnsi="Arial" w:cs="Arial"/>
                <w:color w:val="000000" w:themeColor="text1"/>
                <w:sz w:val="18"/>
                <w:szCs w:val="18"/>
              </w:rPr>
              <w:t>Imovina iz ugovora o reosiguranju</w:t>
            </w:r>
          </w:p>
        </w:tc>
        <w:tc>
          <w:tcPr>
            <w:tcW w:w="1701" w:type="dxa"/>
            <w:shd w:val="clear" w:color="auto" w:fill="auto"/>
            <w:noWrap/>
            <w:vAlign w:val="bottom"/>
          </w:tcPr>
          <w:p w14:paraId="3E01EB2A"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813</w:t>
            </w:r>
          </w:p>
        </w:tc>
        <w:tc>
          <w:tcPr>
            <w:tcW w:w="1701" w:type="dxa"/>
            <w:shd w:val="clear" w:color="auto" w:fill="auto"/>
            <w:vAlign w:val="bottom"/>
          </w:tcPr>
          <w:p w14:paraId="6AA78E6F" w14:textId="77777777" w:rsidR="008B2FBE" w:rsidRPr="00D81915" w:rsidRDefault="008B2FBE" w:rsidP="00422DD5">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8"/>
                <w:szCs w:val="18"/>
              </w:rPr>
              <w:t>733</w:t>
            </w:r>
          </w:p>
        </w:tc>
      </w:tr>
      <w:tr w:rsidR="008B2FBE" w:rsidRPr="0056686B" w14:paraId="4891AD3D" w14:textId="77777777" w:rsidTr="00422DD5">
        <w:trPr>
          <w:trHeight w:val="254"/>
        </w:trPr>
        <w:tc>
          <w:tcPr>
            <w:tcW w:w="5669" w:type="dxa"/>
            <w:tcBorders>
              <w:top w:val="nil"/>
              <w:left w:val="nil"/>
              <w:bottom w:val="nil"/>
              <w:right w:val="nil"/>
            </w:tcBorders>
            <w:shd w:val="clear" w:color="auto" w:fill="auto"/>
            <w:vAlign w:val="bottom"/>
          </w:tcPr>
          <w:p w14:paraId="3D7DCE6A" w14:textId="77777777" w:rsidR="008B2FBE" w:rsidRPr="0056686B" w:rsidRDefault="008B2FBE" w:rsidP="00422DD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Potraživanja iz poslova osiguranja</w:t>
            </w:r>
          </w:p>
        </w:tc>
        <w:tc>
          <w:tcPr>
            <w:tcW w:w="1701" w:type="dxa"/>
            <w:shd w:val="clear" w:color="auto" w:fill="auto"/>
            <w:noWrap/>
            <w:vAlign w:val="bottom"/>
          </w:tcPr>
          <w:p w14:paraId="1E649413"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701" w:type="dxa"/>
            <w:shd w:val="clear" w:color="auto" w:fill="auto"/>
            <w:vAlign w:val="bottom"/>
          </w:tcPr>
          <w:p w14:paraId="13914F08"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8"/>
                <w:szCs w:val="18"/>
              </w:rPr>
              <w:t>-</w:t>
            </w:r>
          </w:p>
        </w:tc>
      </w:tr>
      <w:tr w:rsidR="008B2FBE" w:rsidRPr="0056686B" w14:paraId="5DA7E67D" w14:textId="77777777" w:rsidTr="00422DD5">
        <w:trPr>
          <w:trHeight w:val="254"/>
        </w:trPr>
        <w:tc>
          <w:tcPr>
            <w:tcW w:w="5669" w:type="dxa"/>
            <w:tcBorders>
              <w:top w:val="nil"/>
              <w:left w:val="nil"/>
              <w:bottom w:val="nil"/>
              <w:right w:val="nil"/>
            </w:tcBorders>
            <w:shd w:val="clear" w:color="auto" w:fill="auto"/>
            <w:vAlign w:val="bottom"/>
          </w:tcPr>
          <w:p w14:paraId="17AFD401" w14:textId="77777777" w:rsidR="008B2FBE" w:rsidRPr="0056686B" w:rsidRDefault="008B2FBE" w:rsidP="00422DD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Ostala potraživanja</w:t>
            </w:r>
          </w:p>
        </w:tc>
        <w:tc>
          <w:tcPr>
            <w:tcW w:w="1701" w:type="dxa"/>
            <w:shd w:val="clear" w:color="auto" w:fill="auto"/>
            <w:noWrap/>
            <w:vAlign w:val="bottom"/>
          </w:tcPr>
          <w:p w14:paraId="4F64F1D8"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62</w:t>
            </w:r>
          </w:p>
        </w:tc>
        <w:tc>
          <w:tcPr>
            <w:tcW w:w="1701" w:type="dxa"/>
            <w:shd w:val="clear" w:color="auto" w:fill="auto"/>
            <w:vAlign w:val="bottom"/>
          </w:tcPr>
          <w:p w14:paraId="6E9ED03F"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8"/>
                <w:szCs w:val="18"/>
              </w:rPr>
              <w:t>46</w:t>
            </w:r>
          </w:p>
        </w:tc>
      </w:tr>
      <w:tr w:rsidR="008B2FBE" w:rsidRPr="0056686B" w14:paraId="5442CB7B" w14:textId="77777777" w:rsidTr="00422DD5">
        <w:trPr>
          <w:trHeight w:val="254"/>
        </w:trPr>
        <w:tc>
          <w:tcPr>
            <w:tcW w:w="5669" w:type="dxa"/>
            <w:tcBorders>
              <w:top w:val="nil"/>
              <w:left w:val="nil"/>
              <w:bottom w:val="nil"/>
              <w:right w:val="nil"/>
            </w:tcBorders>
            <w:shd w:val="clear" w:color="auto" w:fill="auto"/>
            <w:vAlign w:val="bottom"/>
          </w:tcPr>
          <w:p w14:paraId="0D422EF1" w14:textId="77777777" w:rsidR="008B2FBE" w:rsidRPr="0056686B" w:rsidRDefault="008B2FBE" w:rsidP="00422DD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Novac i novčani ekvivalenti</w:t>
            </w:r>
          </w:p>
        </w:tc>
        <w:tc>
          <w:tcPr>
            <w:tcW w:w="1701" w:type="dxa"/>
            <w:tcBorders>
              <w:top w:val="nil"/>
              <w:left w:val="nil"/>
              <w:bottom w:val="single" w:sz="4" w:space="0" w:color="auto"/>
              <w:right w:val="nil"/>
            </w:tcBorders>
            <w:shd w:val="clear" w:color="auto" w:fill="auto"/>
            <w:noWrap/>
            <w:vAlign w:val="bottom"/>
          </w:tcPr>
          <w:p w14:paraId="3F0F8BBF"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420</w:t>
            </w:r>
          </w:p>
        </w:tc>
        <w:tc>
          <w:tcPr>
            <w:tcW w:w="1701" w:type="dxa"/>
            <w:tcBorders>
              <w:top w:val="nil"/>
              <w:left w:val="nil"/>
              <w:bottom w:val="single" w:sz="4" w:space="0" w:color="auto"/>
              <w:right w:val="nil"/>
            </w:tcBorders>
            <w:shd w:val="clear" w:color="auto" w:fill="auto"/>
            <w:vAlign w:val="bottom"/>
          </w:tcPr>
          <w:p w14:paraId="52710111"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8"/>
                <w:szCs w:val="18"/>
              </w:rPr>
              <w:t>590</w:t>
            </w:r>
          </w:p>
        </w:tc>
      </w:tr>
      <w:tr w:rsidR="008B2FBE" w:rsidRPr="0056686B" w14:paraId="76CB31A8" w14:textId="77777777" w:rsidTr="00422DD5">
        <w:trPr>
          <w:trHeight w:val="190"/>
        </w:trPr>
        <w:tc>
          <w:tcPr>
            <w:tcW w:w="5669" w:type="dxa"/>
            <w:tcBorders>
              <w:left w:val="nil"/>
              <w:right w:val="nil"/>
            </w:tcBorders>
            <w:shd w:val="clear" w:color="auto" w:fill="auto"/>
            <w:vAlign w:val="bottom"/>
          </w:tcPr>
          <w:p w14:paraId="21851383" w14:textId="77777777" w:rsidR="008B2FBE" w:rsidRPr="0056686B" w:rsidRDefault="008B2FBE" w:rsidP="00422DD5">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Ukupna kratkotrajna imovina</w:t>
            </w:r>
          </w:p>
        </w:tc>
        <w:tc>
          <w:tcPr>
            <w:tcW w:w="1701" w:type="dxa"/>
            <w:tcBorders>
              <w:top w:val="single" w:sz="4" w:space="0" w:color="auto"/>
              <w:left w:val="nil"/>
              <w:bottom w:val="single" w:sz="12" w:space="0" w:color="auto"/>
              <w:right w:val="nil"/>
            </w:tcBorders>
            <w:shd w:val="clear" w:color="auto" w:fill="auto"/>
            <w:noWrap/>
            <w:vAlign w:val="bottom"/>
          </w:tcPr>
          <w:p w14:paraId="094A5CAA"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9.888</w:t>
            </w:r>
          </w:p>
        </w:tc>
        <w:tc>
          <w:tcPr>
            <w:tcW w:w="1701" w:type="dxa"/>
            <w:tcBorders>
              <w:top w:val="single" w:sz="4" w:space="0" w:color="auto"/>
              <w:left w:val="nil"/>
              <w:bottom w:val="single" w:sz="12" w:space="0" w:color="auto"/>
              <w:right w:val="nil"/>
            </w:tcBorders>
            <w:shd w:val="clear" w:color="auto" w:fill="auto"/>
            <w:vAlign w:val="bottom"/>
          </w:tcPr>
          <w:p w14:paraId="04D19198"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sidRPr="00324DAF">
              <w:rPr>
                <w:rFonts w:ascii="Arial" w:hAnsi="Arial" w:cs="Arial"/>
                <w:b/>
                <w:bCs/>
                <w:color w:val="000000" w:themeColor="text1"/>
                <w:sz w:val="18"/>
                <w:szCs w:val="18"/>
              </w:rPr>
              <w:t>10.016</w:t>
            </w:r>
          </w:p>
        </w:tc>
      </w:tr>
      <w:tr w:rsidR="008B2FBE" w:rsidRPr="0056686B" w14:paraId="384182EE" w14:textId="77777777" w:rsidTr="00422DD5">
        <w:trPr>
          <w:trHeight w:val="56"/>
        </w:trPr>
        <w:tc>
          <w:tcPr>
            <w:tcW w:w="5669" w:type="dxa"/>
            <w:tcBorders>
              <w:left w:val="nil"/>
              <w:bottom w:val="nil"/>
              <w:right w:val="nil"/>
            </w:tcBorders>
            <w:shd w:val="clear" w:color="auto" w:fill="auto"/>
            <w:vAlign w:val="bottom"/>
          </w:tcPr>
          <w:p w14:paraId="6C3CF822" w14:textId="77777777" w:rsidR="008B2FBE" w:rsidRPr="0056686B" w:rsidRDefault="008B2FBE" w:rsidP="00422DD5">
            <w:pPr>
              <w:suppressAutoHyphens/>
              <w:autoSpaceDN w:val="0"/>
              <w:spacing w:line="140" w:lineRule="exact"/>
              <w:rPr>
                <w:rFonts w:ascii="Arial" w:eastAsia="Times New Roman" w:hAnsi="Arial" w:cs="Arial"/>
                <w:color w:val="000000" w:themeColor="text1"/>
                <w:sz w:val="18"/>
                <w:szCs w:val="18"/>
              </w:rPr>
            </w:pPr>
          </w:p>
        </w:tc>
        <w:tc>
          <w:tcPr>
            <w:tcW w:w="1701" w:type="dxa"/>
            <w:tcBorders>
              <w:top w:val="single" w:sz="12" w:space="0" w:color="auto"/>
              <w:left w:val="nil"/>
              <w:bottom w:val="single" w:sz="4" w:space="0" w:color="auto"/>
              <w:right w:val="nil"/>
            </w:tcBorders>
            <w:shd w:val="clear" w:color="auto" w:fill="auto"/>
            <w:noWrap/>
            <w:vAlign w:val="bottom"/>
          </w:tcPr>
          <w:p w14:paraId="7A082529" w14:textId="77777777" w:rsidR="008B2FBE" w:rsidRPr="0056686B" w:rsidRDefault="008B2FBE" w:rsidP="00422DD5">
            <w:pPr>
              <w:suppressAutoHyphens/>
              <w:autoSpaceDN w:val="0"/>
              <w:spacing w:line="140" w:lineRule="exact"/>
              <w:jc w:val="right"/>
              <w:rPr>
                <w:rFonts w:ascii="Arial" w:eastAsia="Times New Roman" w:hAnsi="Arial" w:cs="Arial"/>
                <w:color w:val="000000" w:themeColor="text1"/>
                <w:sz w:val="18"/>
                <w:szCs w:val="18"/>
              </w:rPr>
            </w:pPr>
          </w:p>
        </w:tc>
        <w:tc>
          <w:tcPr>
            <w:tcW w:w="1701" w:type="dxa"/>
            <w:tcBorders>
              <w:top w:val="single" w:sz="12" w:space="0" w:color="auto"/>
              <w:left w:val="nil"/>
              <w:bottom w:val="single" w:sz="4" w:space="0" w:color="auto"/>
              <w:right w:val="nil"/>
            </w:tcBorders>
            <w:shd w:val="clear" w:color="auto" w:fill="auto"/>
            <w:vAlign w:val="bottom"/>
          </w:tcPr>
          <w:p w14:paraId="25869CFE" w14:textId="77777777" w:rsidR="008B2FBE" w:rsidRPr="0056686B" w:rsidRDefault="008B2FBE" w:rsidP="00422DD5">
            <w:pPr>
              <w:suppressAutoHyphens/>
              <w:autoSpaceDN w:val="0"/>
              <w:spacing w:line="140" w:lineRule="exact"/>
              <w:jc w:val="right"/>
              <w:rPr>
                <w:rFonts w:ascii="Arial" w:eastAsia="Times New Roman" w:hAnsi="Arial" w:cs="Arial"/>
                <w:color w:val="000000" w:themeColor="text1"/>
                <w:sz w:val="18"/>
                <w:szCs w:val="18"/>
              </w:rPr>
            </w:pPr>
          </w:p>
        </w:tc>
      </w:tr>
      <w:tr w:rsidR="008B2FBE" w:rsidRPr="0056686B" w14:paraId="5A8E28E9" w14:textId="77777777" w:rsidTr="00422DD5">
        <w:trPr>
          <w:trHeight w:val="220"/>
        </w:trPr>
        <w:tc>
          <w:tcPr>
            <w:tcW w:w="5669" w:type="dxa"/>
            <w:tcBorders>
              <w:top w:val="nil"/>
              <w:left w:val="nil"/>
              <w:bottom w:val="nil"/>
              <w:right w:val="nil"/>
            </w:tcBorders>
            <w:shd w:val="clear" w:color="auto" w:fill="auto"/>
            <w:vAlign w:val="bottom"/>
          </w:tcPr>
          <w:p w14:paraId="4448C951" w14:textId="77777777" w:rsidR="008B2FBE" w:rsidRPr="0056686B" w:rsidRDefault="008B2FBE" w:rsidP="00422DD5">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Ukupna imovina</w:t>
            </w:r>
          </w:p>
        </w:tc>
        <w:tc>
          <w:tcPr>
            <w:tcW w:w="1701" w:type="dxa"/>
            <w:tcBorders>
              <w:top w:val="single" w:sz="4" w:space="0" w:color="auto"/>
              <w:left w:val="nil"/>
              <w:bottom w:val="single" w:sz="12" w:space="0" w:color="auto"/>
              <w:right w:val="nil"/>
            </w:tcBorders>
            <w:shd w:val="clear" w:color="auto" w:fill="auto"/>
            <w:noWrap/>
            <w:vAlign w:val="bottom"/>
          </w:tcPr>
          <w:p w14:paraId="375FEEA2"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10.298</w:t>
            </w:r>
          </w:p>
        </w:tc>
        <w:tc>
          <w:tcPr>
            <w:tcW w:w="1701" w:type="dxa"/>
            <w:tcBorders>
              <w:top w:val="single" w:sz="4" w:space="0" w:color="auto"/>
              <w:left w:val="nil"/>
              <w:bottom w:val="single" w:sz="12" w:space="0" w:color="auto"/>
              <w:right w:val="nil"/>
            </w:tcBorders>
            <w:shd w:val="clear" w:color="auto" w:fill="auto"/>
            <w:vAlign w:val="bottom"/>
          </w:tcPr>
          <w:p w14:paraId="76529E41"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sidRPr="00324DAF">
              <w:rPr>
                <w:rFonts w:ascii="Arial" w:hAnsi="Arial" w:cs="Arial"/>
                <w:b/>
                <w:bCs/>
                <w:color w:val="000000" w:themeColor="text1"/>
                <w:sz w:val="18"/>
                <w:szCs w:val="18"/>
              </w:rPr>
              <w:t>10.301</w:t>
            </w:r>
          </w:p>
        </w:tc>
      </w:tr>
      <w:tr w:rsidR="008B2FBE" w:rsidRPr="0056686B" w14:paraId="7F6E28B1" w14:textId="77777777" w:rsidTr="00422DD5">
        <w:trPr>
          <w:trHeight w:val="74"/>
        </w:trPr>
        <w:tc>
          <w:tcPr>
            <w:tcW w:w="5669" w:type="dxa"/>
            <w:tcBorders>
              <w:top w:val="nil"/>
              <w:left w:val="nil"/>
              <w:bottom w:val="nil"/>
              <w:right w:val="nil"/>
            </w:tcBorders>
            <w:shd w:val="clear" w:color="auto" w:fill="auto"/>
            <w:vAlign w:val="bottom"/>
          </w:tcPr>
          <w:p w14:paraId="1AC451E2" w14:textId="77777777" w:rsidR="008B2FBE" w:rsidRPr="0056686B" w:rsidRDefault="008B2FBE" w:rsidP="00422DD5">
            <w:pPr>
              <w:suppressAutoHyphens/>
              <w:autoSpaceDN w:val="0"/>
              <w:spacing w:line="140" w:lineRule="exac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noWrap/>
            <w:vAlign w:val="bottom"/>
          </w:tcPr>
          <w:p w14:paraId="7885F967" w14:textId="77777777" w:rsidR="008B2FBE" w:rsidRPr="0056686B" w:rsidRDefault="008B2FBE" w:rsidP="00422DD5">
            <w:pPr>
              <w:suppressAutoHyphens/>
              <w:autoSpaceDN w:val="0"/>
              <w:spacing w:line="140" w:lineRule="exact"/>
              <w:jc w:val="right"/>
              <w:rPr>
                <w:rFonts w:ascii="Arial" w:eastAsia="Times New Roman" w:hAnsi="Arial" w:cs="Arial"/>
                <w:bCs/>
                <w:color w:val="000000" w:themeColor="text1"/>
                <w:sz w:val="18"/>
                <w:szCs w:val="18"/>
              </w:rPr>
            </w:pPr>
          </w:p>
        </w:tc>
        <w:tc>
          <w:tcPr>
            <w:tcW w:w="1701" w:type="dxa"/>
            <w:tcBorders>
              <w:top w:val="single" w:sz="12" w:space="0" w:color="auto"/>
              <w:left w:val="nil"/>
              <w:bottom w:val="nil"/>
              <w:right w:val="nil"/>
            </w:tcBorders>
            <w:shd w:val="clear" w:color="auto" w:fill="auto"/>
            <w:vAlign w:val="bottom"/>
          </w:tcPr>
          <w:p w14:paraId="46BDEE5C" w14:textId="77777777" w:rsidR="008B2FBE" w:rsidRPr="0056686B" w:rsidRDefault="008B2FBE" w:rsidP="00422DD5">
            <w:pPr>
              <w:suppressAutoHyphens/>
              <w:autoSpaceDN w:val="0"/>
              <w:spacing w:line="140" w:lineRule="exact"/>
              <w:jc w:val="right"/>
              <w:rPr>
                <w:rFonts w:ascii="Arial" w:eastAsia="Times New Roman" w:hAnsi="Arial" w:cs="Arial"/>
                <w:bCs/>
                <w:color w:val="000000" w:themeColor="text1"/>
                <w:sz w:val="18"/>
                <w:szCs w:val="18"/>
              </w:rPr>
            </w:pPr>
          </w:p>
        </w:tc>
      </w:tr>
      <w:tr w:rsidR="008B2FBE" w:rsidRPr="0056686B" w14:paraId="5CAE3169" w14:textId="77777777" w:rsidTr="00422DD5">
        <w:trPr>
          <w:trHeight w:val="196"/>
        </w:trPr>
        <w:tc>
          <w:tcPr>
            <w:tcW w:w="5669" w:type="dxa"/>
            <w:tcBorders>
              <w:top w:val="nil"/>
              <w:left w:val="nil"/>
              <w:bottom w:val="nil"/>
              <w:right w:val="nil"/>
            </w:tcBorders>
            <w:shd w:val="clear" w:color="auto" w:fill="auto"/>
            <w:vAlign w:val="bottom"/>
          </w:tcPr>
          <w:p w14:paraId="401C165F" w14:textId="77777777" w:rsidR="008B2FBE" w:rsidRPr="0056686B" w:rsidRDefault="008B2FBE" w:rsidP="00422DD5">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Kapital i obveze</w:t>
            </w:r>
          </w:p>
        </w:tc>
        <w:tc>
          <w:tcPr>
            <w:tcW w:w="1701" w:type="dxa"/>
            <w:shd w:val="clear" w:color="auto" w:fill="auto"/>
            <w:noWrap/>
            <w:vAlign w:val="bottom"/>
          </w:tcPr>
          <w:p w14:paraId="10930EF6" w14:textId="77777777" w:rsidR="008B2FBE" w:rsidRPr="0056686B" w:rsidRDefault="008B2FBE" w:rsidP="00422DD5">
            <w:pPr>
              <w:suppressAutoHyphens/>
              <w:autoSpaceDN w:val="0"/>
              <w:jc w:val="right"/>
              <w:rPr>
                <w:rFonts w:ascii="Arial" w:eastAsia="Times New Roman" w:hAnsi="Arial" w:cs="Arial"/>
                <w:bCs/>
                <w:color w:val="000000" w:themeColor="text1"/>
                <w:sz w:val="18"/>
                <w:szCs w:val="18"/>
              </w:rPr>
            </w:pPr>
          </w:p>
        </w:tc>
        <w:tc>
          <w:tcPr>
            <w:tcW w:w="1701" w:type="dxa"/>
            <w:shd w:val="clear" w:color="auto" w:fill="auto"/>
            <w:vAlign w:val="bottom"/>
          </w:tcPr>
          <w:p w14:paraId="74B19BAD" w14:textId="77777777" w:rsidR="008B2FBE" w:rsidRPr="0056686B" w:rsidRDefault="008B2FBE" w:rsidP="00422DD5">
            <w:pPr>
              <w:suppressAutoHyphens/>
              <w:autoSpaceDN w:val="0"/>
              <w:jc w:val="right"/>
              <w:rPr>
                <w:rFonts w:ascii="Arial" w:eastAsia="Times New Roman" w:hAnsi="Arial" w:cs="Arial"/>
                <w:bCs/>
                <w:color w:val="000000" w:themeColor="text1"/>
                <w:sz w:val="18"/>
                <w:szCs w:val="18"/>
              </w:rPr>
            </w:pPr>
          </w:p>
        </w:tc>
      </w:tr>
      <w:tr w:rsidR="008B2FBE" w:rsidRPr="0056686B" w14:paraId="7AF16A1D" w14:textId="77777777" w:rsidTr="00422DD5">
        <w:trPr>
          <w:trHeight w:val="186"/>
        </w:trPr>
        <w:tc>
          <w:tcPr>
            <w:tcW w:w="5669" w:type="dxa"/>
            <w:tcBorders>
              <w:top w:val="nil"/>
              <w:left w:val="nil"/>
              <w:right w:val="nil"/>
            </w:tcBorders>
            <w:shd w:val="clear" w:color="auto" w:fill="auto"/>
            <w:vAlign w:val="bottom"/>
          </w:tcPr>
          <w:p w14:paraId="21AA62D6" w14:textId="77777777" w:rsidR="008B2FBE" w:rsidRPr="0056686B" w:rsidRDefault="008B2FBE" w:rsidP="00422DD5">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Kapital</w:t>
            </w:r>
          </w:p>
        </w:tc>
        <w:tc>
          <w:tcPr>
            <w:tcW w:w="1701" w:type="dxa"/>
            <w:shd w:val="clear" w:color="auto" w:fill="auto"/>
            <w:noWrap/>
            <w:vAlign w:val="bottom"/>
          </w:tcPr>
          <w:p w14:paraId="209E6F7B"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p>
        </w:tc>
        <w:tc>
          <w:tcPr>
            <w:tcW w:w="1701" w:type="dxa"/>
            <w:shd w:val="clear" w:color="auto" w:fill="auto"/>
            <w:vAlign w:val="bottom"/>
          </w:tcPr>
          <w:p w14:paraId="79277CF3"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p>
        </w:tc>
      </w:tr>
      <w:tr w:rsidR="008B2FBE" w:rsidRPr="0056686B" w14:paraId="6A35C087" w14:textId="77777777" w:rsidTr="00422DD5">
        <w:trPr>
          <w:trHeight w:val="186"/>
        </w:trPr>
        <w:tc>
          <w:tcPr>
            <w:tcW w:w="5669" w:type="dxa"/>
            <w:tcBorders>
              <w:top w:val="nil"/>
              <w:left w:val="nil"/>
              <w:right w:val="nil"/>
            </w:tcBorders>
            <w:shd w:val="clear" w:color="auto" w:fill="auto"/>
            <w:vAlign w:val="bottom"/>
          </w:tcPr>
          <w:p w14:paraId="1A80D3D9" w14:textId="77777777" w:rsidR="008B2FBE" w:rsidRPr="0056686B" w:rsidRDefault="008B2FBE" w:rsidP="00422DD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Temeljni kapital</w:t>
            </w:r>
          </w:p>
        </w:tc>
        <w:tc>
          <w:tcPr>
            <w:tcW w:w="1701" w:type="dxa"/>
            <w:shd w:val="clear" w:color="auto" w:fill="auto"/>
            <w:noWrap/>
            <w:vAlign w:val="bottom"/>
          </w:tcPr>
          <w:p w14:paraId="5B4BE24E"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7.663</w:t>
            </w:r>
          </w:p>
        </w:tc>
        <w:tc>
          <w:tcPr>
            <w:tcW w:w="1701" w:type="dxa"/>
            <w:shd w:val="clear" w:color="auto" w:fill="auto"/>
          </w:tcPr>
          <w:p w14:paraId="0935A634"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sidRPr="00F959D0">
              <w:rPr>
                <w:rFonts w:ascii="Arial" w:hAnsi="Arial" w:cs="Arial"/>
                <w:sz w:val="18"/>
                <w:szCs w:val="18"/>
              </w:rPr>
              <w:t>7.648</w:t>
            </w:r>
          </w:p>
        </w:tc>
      </w:tr>
      <w:tr w:rsidR="008B2FBE" w:rsidRPr="0056686B" w14:paraId="6EF50D23" w14:textId="77777777" w:rsidTr="00422DD5">
        <w:trPr>
          <w:trHeight w:val="186"/>
        </w:trPr>
        <w:tc>
          <w:tcPr>
            <w:tcW w:w="5669" w:type="dxa"/>
            <w:tcBorders>
              <w:top w:val="nil"/>
              <w:left w:val="nil"/>
              <w:right w:val="nil"/>
            </w:tcBorders>
            <w:shd w:val="clear" w:color="auto" w:fill="auto"/>
            <w:vAlign w:val="bottom"/>
          </w:tcPr>
          <w:p w14:paraId="2B27D841" w14:textId="77777777" w:rsidR="008B2FBE" w:rsidRPr="0056686B" w:rsidRDefault="008B2FBE" w:rsidP="00422DD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Zadržana dobit i rezerve</w:t>
            </w:r>
          </w:p>
        </w:tc>
        <w:tc>
          <w:tcPr>
            <w:tcW w:w="1701" w:type="dxa"/>
            <w:shd w:val="clear" w:color="auto" w:fill="auto"/>
            <w:noWrap/>
            <w:vAlign w:val="bottom"/>
          </w:tcPr>
          <w:p w14:paraId="32A00DF4"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791</w:t>
            </w:r>
          </w:p>
        </w:tc>
        <w:tc>
          <w:tcPr>
            <w:tcW w:w="1701" w:type="dxa"/>
            <w:shd w:val="clear" w:color="auto" w:fill="auto"/>
          </w:tcPr>
          <w:p w14:paraId="41442966"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sidRPr="00F959D0">
              <w:rPr>
                <w:rFonts w:ascii="Arial" w:hAnsi="Arial" w:cs="Arial"/>
                <w:sz w:val="18"/>
                <w:szCs w:val="18"/>
              </w:rPr>
              <w:t>663</w:t>
            </w:r>
          </w:p>
        </w:tc>
      </w:tr>
      <w:tr w:rsidR="008B2FBE" w:rsidRPr="0056686B" w14:paraId="03A7C77D" w14:textId="77777777" w:rsidTr="00422DD5">
        <w:trPr>
          <w:trHeight w:val="186"/>
        </w:trPr>
        <w:tc>
          <w:tcPr>
            <w:tcW w:w="5669" w:type="dxa"/>
            <w:tcBorders>
              <w:top w:val="nil"/>
              <w:left w:val="nil"/>
              <w:right w:val="nil"/>
            </w:tcBorders>
            <w:shd w:val="clear" w:color="auto" w:fill="auto"/>
            <w:vAlign w:val="bottom"/>
          </w:tcPr>
          <w:p w14:paraId="4A05E4CF" w14:textId="77777777" w:rsidR="008B2FBE" w:rsidRPr="0056686B" w:rsidRDefault="008B2FBE" w:rsidP="00422DD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Ostale rezerve</w:t>
            </w:r>
          </w:p>
        </w:tc>
        <w:tc>
          <w:tcPr>
            <w:tcW w:w="1701" w:type="dxa"/>
            <w:shd w:val="clear" w:color="auto" w:fill="auto"/>
            <w:noWrap/>
            <w:vAlign w:val="bottom"/>
          </w:tcPr>
          <w:p w14:paraId="5F27C505"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(661)</w:t>
            </w:r>
          </w:p>
        </w:tc>
        <w:tc>
          <w:tcPr>
            <w:tcW w:w="1701" w:type="dxa"/>
            <w:shd w:val="clear" w:color="auto" w:fill="auto"/>
          </w:tcPr>
          <w:p w14:paraId="13BE3945"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Pr>
                <w:rFonts w:ascii="Arial" w:hAnsi="Arial" w:cs="Arial"/>
                <w:sz w:val="18"/>
                <w:szCs w:val="18"/>
              </w:rPr>
              <w:t>(</w:t>
            </w:r>
            <w:r w:rsidRPr="00F959D0">
              <w:rPr>
                <w:rFonts w:ascii="Arial" w:hAnsi="Arial" w:cs="Arial"/>
                <w:sz w:val="18"/>
                <w:szCs w:val="18"/>
              </w:rPr>
              <w:t>611</w:t>
            </w:r>
            <w:r>
              <w:rPr>
                <w:rFonts w:ascii="Arial" w:hAnsi="Arial" w:cs="Arial"/>
                <w:sz w:val="18"/>
                <w:szCs w:val="18"/>
              </w:rPr>
              <w:t>)</w:t>
            </w:r>
          </w:p>
        </w:tc>
      </w:tr>
      <w:tr w:rsidR="008B2FBE" w:rsidRPr="0056686B" w14:paraId="17D1C94B" w14:textId="77777777" w:rsidTr="00422DD5">
        <w:trPr>
          <w:trHeight w:val="186"/>
        </w:trPr>
        <w:tc>
          <w:tcPr>
            <w:tcW w:w="5669" w:type="dxa"/>
            <w:tcBorders>
              <w:top w:val="nil"/>
              <w:left w:val="nil"/>
              <w:right w:val="nil"/>
            </w:tcBorders>
            <w:shd w:val="clear" w:color="auto" w:fill="auto"/>
            <w:vAlign w:val="bottom"/>
          </w:tcPr>
          <w:p w14:paraId="569CBB75" w14:textId="77777777" w:rsidR="008B2FBE" w:rsidRPr="0056686B" w:rsidRDefault="008B2FBE" w:rsidP="00422DD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Dobit tekuće godine</w:t>
            </w:r>
          </w:p>
        </w:tc>
        <w:tc>
          <w:tcPr>
            <w:tcW w:w="1701" w:type="dxa"/>
            <w:tcBorders>
              <w:top w:val="nil"/>
              <w:left w:val="nil"/>
              <w:bottom w:val="single" w:sz="4" w:space="0" w:color="auto"/>
              <w:right w:val="nil"/>
            </w:tcBorders>
            <w:shd w:val="clear" w:color="auto" w:fill="auto"/>
            <w:noWrap/>
            <w:vAlign w:val="bottom"/>
          </w:tcPr>
          <w:p w14:paraId="55D0686B"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10</w:t>
            </w:r>
          </w:p>
        </w:tc>
        <w:tc>
          <w:tcPr>
            <w:tcW w:w="1701" w:type="dxa"/>
            <w:tcBorders>
              <w:top w:val="nil"/>
              <w:left w:val="nil"/>
              <w:bottom w:val="single" w:sz="4" w:space="0" w:color="auto"/>
              <w:right w:val="nil"/>
            </w:tcBorders>
            <w:shd w:val="clear" w:color="auto" w:fill="auto"/>
          </w:tcPr>
          <w:p w14:paraId="3742C6CF"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sidRPr="00F959D0">
              <w:rPr>
                <w:rFonts w:ascii="Arial" w:hAnsi="Arial" w:cs="Arial"/>
                <w:sz w:val="18"/>
                <w:szCs w:val="18"/>
              </w:rPr>
              <w:t>105</w:t>
            </w:r>
          </w:p>
        </w:tc>
      </w:tr>
      <w:tr w:rsidR="008B2FBE" w:rsidRPr="0056686B" w14:paraId="46F1A969" w14:textId="77777777" w:rsidTr="00422DD5">
        <w:trPr>
          <w:trHeight w:val="166"/>
        </w:trPr>
        <w:tc>
          <w:tcPr>
            <w:tcW w:w="5669" w:type="dxa"/>
            <w:tcBorders>
              <w:left w:val="nil"/>
              <w:right w:val="nil"/>
            </w:tcBorders>
            <w:shd w:val="clear" w:color="auto" w:fill="auto"/>
            <w:vAlign w:val="bottom"/>
          </w:tcPr>
          <w:p w14:paraId="662410C5" w14:textId="77777777" w:rsidR="008B2FBE" w:rsidRPr="0056686B" w:rsidRDefault="008B2FBE" w:rsidP="00422DD5">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Ukupan kapital</w:t>
            </w:r>
          </w:p>
        </w:tc>
        <w:tc>
          <w:tcPr>
            <w:tcW w:w="1701" w:type="dxa"/>
            <w:tcBorders>
              <w:top w:val="single" w:sz="4" w:space="0" w:color="auto"/>
              <w:left w:val="nil"/>
              <w:bottom w:val="single" w:sz="12" w:space="0" w:color="auto"/>
              <w:right w:val="nil"/>
            </w:tcBorders>
            <w:shd w:val="clear" w:color="auto" w:fill="auto"/>
            <w:noWrap/>
            <w:vAlign w:val="bottom"/>
          </w:tcPr>
          <w:p w14:paraId="10A43D32"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7.803</w:t>
            </w:r>
          </w:p>
        </w:tc>
        <w:tc>
          <w:tcPr>
            <w:tcW w:w="1701" w:type="dxa"/>
            <w:tcBorders>
              <w:top w:val="single" w:sz="4" w:space="0" w:color="auto"/>
              <w:left w:val="nil"/>
              <w:bottom w:val="single" w:sz="12" w:space="0" w:color="auto"/>
              <w:right w:val="nil"/>
            </w:tcBorders>
            <w:shd w:val="clear" w:color="auto" w:fill="auto"/>
          </w:tcPr>
          <w:p w14:paraId="07CC62A9"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sidRPr="00F959D0">
              <w:rPr>
                <w:rFonts w:ascii="Arial" w:hAnsi="Arial" w:cs="Arial"/>
                <w:b/>
                <w:bCs/>
                <w:sz w:val="18"/>
                <w:szCs w:val="18"/>
              </w:rPr>
              <w:t>7.805</w:t>
            </w:r>
          </w:p>
        </w:tc>
      </w:tr>
      <w:tr w:rsidR="008B2FBE" w:rsidRPr="0056686B" w14:paraId="2A5245D3" w14:textId="77777777" w:rsidTr="00422DD5">
        <w:trPr>
          <w:trHeight w:val="96"/>
        </w:trPr>
        <w:tc>
          <w:tcPr>
            <w:tcW w:w="5669" w:type="dxa"/>
            <w:tcBorders>
              <w:left w:val="nil"/>
              <w:bottom w:val="nil"/>
              <w:right w:val="nil"/>
            </w:tcBorders>
            <w:shd w:val="clear" w:color="auto" w:fill="auto"/>
            <w:vAlign w:val="bottom"/>
          </w:tcPr>
          <w:p w14:paraId="3FFD0DF1" w14:textId="77777777" w:rsidR="008B2FBE" w:rsidRPr="0056686B" w:rsidRDefault="008B2FBE" w:rsidP="00422DD5">
            <w:pPr>
              <w:suppressAutoHyphens/>
              <w:autoSpaceDN w:val="0"/>
              <w:spacing w:line="140" w:lineRule="exac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noWrap/>
            <w:vAlign w:val="bottom"/>
          </w:tcPr>
          <w:p w14:paraId="6A0CA67F" w14:textId="77777777" w:rsidR="008B2FBE" w:rsidRPr="0056686B" w:rsidRDefault="008B2FBE" w:rsidP="00422DD5">
            <w:pPr>
              <w:suppressAutoHyphens/>
              <w:autoSpaceDN w:val="0"/>
              <w:spacing w:line="140" w:lineRule="exact"/>
              <w:jc w:val="righ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vAlign w:val="bottom"/>
          </w:tcPr>
          <w:p w14:paraId="025C4F13" w14:textId="77777777" w:rsidR="008B2FBE" w:rsidRPr="0056686B" w:rsidRDefault="008B2FBE" w:rsidP="00422DD5">
            <w:pPr>
              <w:suppressAutoHyphens/>
              <w:autoSpaceDN w:val="0"/>
              <w:spacing w:line="140" w:lineRule="exact"/>
              <w:jc w:val="right"/>
              <w:rPr>
                <w:rFonts w:ascii="Arial" w:eastAsia="Times New Roman" w:hAnsi="Arial" w:cs="Arial"/>
                <w:color w:val="000000" w:themeColor="text1"/>
                <w:sz w:val="18"/>
                <w:szCs w:val="18"/>
              </w:rPr>
            </w:pPr>
          </w:p>
        </w:tc>
      </w:tr>
      <w:tr w:rsidR="008B2FBE" w:rsidRPr="0056686B" w14:paraId="72136A0E" w14:textId="77777777" w:rsidTr="00422DD5">
        <w:trPr>
          <w:trHeight w:val="164"/>
        </w:trPr>
        <w:tc>
          <w:tcPr>
            <w:tcW w:w="5669" w:type="dxa"/>
            <w:tcBorders>
              <w:top w:val="nil"/>
              <w:left w:val="nil"/>
              <w:right w:val="nil"/>
            </w:tcBorders>
            <w:shd w:val="clear" w:color="auto" w:fill="auto"/>
            <w:vAlign w:val="bottom"/>
          </w:tcPr>
          <w:p w14:paraId="314D72CB" w14:textId="77777777" w:rsidR="008B2FBE" w:rsidRPr="0056686B" w:rsidRDefault="008B2FBE" w:rsidP="00422DD5">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Tehničke pričuve</w:t>
            </w:r>
          </w:p>
        </w:tc>
        <w:tc>
          <w:tcPr>
            <w:tcW w:w="1701" w:type="dxa"/>
            <w:shd w:val="clear" w:color="auto" w:fill="auto"/>
            <w:noWrap/>
            <w:vAlign w:val="bottom"/>
          </w:tcPr>
          <w:p w14:paraId="033996A3"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p>
        </w:tc>
        <w:tc>
          <w:tcPr>
            <w:tcW w:w="1701" w:type="dxa"/>
            <w:shd w:val="clear" w:color="auto" w:fill="auto"/>
            <w:vAlign w:val="bottom"/>
          </w:tcPr>
          <w:p w14:paraId="5354AA3B"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p>
        </w:tc>
      </w:tr>
      <w:tr w:rsidR="008B2FBE" w:rsidRPr="0056686B" w14:paraId="5322FC5C" w14:textId="77777777" w:rsidTr="00422DD5">
        <w:trPr>
          <w:trHeight w:val="164"/>
        </w:trPr>
        <w:tc>
          <w:tcPr>
            <w:tcW w:w="5669" w:type="dxa"/>
            <w:tcBorders>
              <w:top w:val="nil"/>
              <w:left w:val="nil"/>
              <w:right w:val="nil"/>
            </w:tcBorders>
            <w:shd w:val="clear" w:color="auto" w:fill="auto"/>
            <w:vAlign w:val="bottom"/>
          </w:tcPr>
          <w:p w14:paraId="6DD89D02" w14:textId="77777777" w:rsidR="008B2FBE" w:rsidRPr="00624CCA" w:rsidRDefault="008B2FBE" w:rsidP="00422DD5">
            <w:pPr>
              <w:suppressAutoHyphens/>
              <w:autoSpaceDN w:val="0"/>
              <w:rPr>
                <w:rFonts w:ascii="Arial" w:eastAsia="Times New Roman" w:hAnsi="Arial" w:cs="Arial"/>
                <w:bCs/>
                <w:color w:val="000000" w:themeColor="text1"/>
                <w:sz w:val="18"/>
                <w:szCs w:val="18"/>
              </w:rPr>
            </w:pPr>
            <w:r w:rsidRPr="00624CCA">
              <w:rPr>
                <w:rFonts w:ascii="Arial" w:eastAsia="Times New Roman" w:hAnsi="Arial" w:cs="Arial"/>
                <w:bCs/>
                <w:color w:val="000000" w:themeColor="text1"/>
                <w:sz w:val="18"/>
                <w:szCs w:val="18"/>
              </w:rPr>
              <w:t>Obveze za preostalo pokriće</w:t>
            </w:r>
          </w:p>
        </w:tc>
        <w:tc>
          <w:tcPr>
            <w:tcW w:w="1701" w:type="dxa"/>
            <w:shd w:val="clear" w:color="auto" w:fill="auto"/>
            <w:noWrap/>
            <w:vAlign w:val="bottom"/>
          </w:tcPr>
          <w:p w14:paraId="2A0C54BB" w14:textId="77777777" w:rsidR="008B2FBE" w:rsidRPr="00624CCA" w:rsidRDefault="008B2FBE" w:rsidP="00422DD5">
            <w:pPr>
              <w:suppressAutoHyphens/>
              <w:autoSpaceDN w:val="0"/>
              <w:jc w:val="right"/>
              <w:rPr>
                <w:rFonts w:ascii="Arial" w:eastAsia="Times New Roman" w:hAnsi="Arial" w:cs="Arial"/>
                <w:bCs/>
                <w:color w:val="000000" w:themeColor="text1"/>
                <w:sz w:val="18"/>
                <w:szCs w:val="18"/>
              </w:rPr>
            </w:pPr>
            <w:r w:rsidRPr="00B56A3D">
              <w:rPr>
                <w:rFonts w:ascii="Arial" w:eastAsia="Times New Roman" w:hAnsi="Arial" w:cs="Arial"/>
                <w:bCs/>
                <w:color w:val="000000" w:themeColor="text1"/>
                <w:sz w:val="18"/>
                <w:szCs w:val="18"/>
              </w:rPr>
              <w:t>979</w:t>
            </w:r>
          </w:p>
        </w:tc>
        <w:tc>
          <w:tcPr>
            <w:tcW w:w="1701" w:type="dxa"/>
            <w:shd w:val="clear" w:color="auto" w:fill="auto"/>
            <w:vAlign w:val="bottom"/>
          </w:tcPr>
          <w:p w14:paraId="361B5F47" w14:textId="77777777" w:rsidR="008B2FBE" w:rsidRPr="00624CCA" w:rsidRDefault="008B2FBE" w:rsidP="00422DD5">
            <w:pPr>
              <w:suppressAutoHyphens/>
              <w:autoSpaceDN w:val="0"/>
              <w:jc w:val="right"/>
              <w:rPr>
                <w:rFonts w:ascii="Arial" w:eastAsia="Times New Roman" w:hAnsi="Arial" w:cs="Arial"/>
                <w:bCs/>
                <w:color w:val="000000" w:themeColor="text1"/>
                <w:sz w:val="18"/>
                <w:szCs w:val="18"/>
              </w:rPr>
            </w:pPr>
            <w:r w:rsidRPr="00324DAF">
              <w:rPr>
                <w:rFonts w:ascii="Arial" w:hAnsi="Arial" w:cs="Arial"/>
                <w:color w:val="000000" w:themeColor="text1"/>
                <w:sz w:val="18"/>
                <w:szCs w:val="18"/>
              </w:rPr>
              <w:t>1.049</w:t>
            </w:r>
          </w:p>
        </w:tc>
      </w:tr>
      <w:tr w:rsidR="008B2FBE" w:rsidRPr="0056686B" w14:paraId="30991B4D" w14:textId="77777777" w:rsidTr="00422DD5">
        <w:trPr>
          <w:trHeight w:val="164"/>
        </w:trPr>
        <w:tc>
          <w:tcPr>
            <w:tcW w:w="5669" w:type="dxa"/>
            <w:tcBorders>
              <w:top w:val="nil"/>
              <w:left w:val="nil"/>
              <w:right w:val="nil"/>
            </w:tcBorders>
            <w:shd w:val="clear" w:color="auto" w:fill="auto"/>
            <w:vAlign w:val="bottom"/>
          </w:tcPr>
          <w:p w14:paraId="00383FE6" w14:textId="77777777" w:rsidR="008B2FBE" w:rsidRPr="00624CCA" w:rsidRDefault="008B2FBE" w:rsidP="00422DD5">
            <w:pPr>
              <w:suppressAutoHyphens/>
              <w:autoSpaceDN w:val="0"/>
              <w:rPr>
                <w:rFonts w:ascii="Arial" w:eastAsia="Times New Roman" w:hAnsi="Arial" w:cs="Arial"/>
                <w:bCs/>
                <w:color w:val="000000" w:themeColor="text1"/>
                <w:sz w:val="18"/>
                <w:szCs w:val="18"/>
              </w:rPr>
            </w:pPr>
            <w:r w:rsidRPr="00624CCA">
              <w:rPr>
                <w:rFonts w:ascii="Arial" w:eastAsia="Times New Roman" w:hAnsi="Arial" w:cs="Arial"/>
                <w:bCs/>
                <w:color w:val="000000" w:themeColor="text1"/>
                <w:sz w:val="18"/>
                <w:szCs w:val="18"/>
              </w:rPr>
              <w:t>Obveze za nastale štete</w:t>
            </w:r>
          </w:p>
        </w:tc>
        <w:tc>
          <w:tcPr>
            <w:tcW w:w="1701" w:type="dxa"/>
            <w:shd w:val="clear" w:color="auto" w:fill="auto"/>
            <w:noWrap/>
            <w:vAlign w:val="bottom"/>
          </w:tcPr>
          <w:p w14:paraId="08F8124E" w14:textId="77777777" w:rsidR="008B2FBE" w:rsidRPr="00624CCA" w:rsidRDefault="008B2FBE" w:rsidP="00422DD5">
            <w:pPr>
              <w:suppressAutoHyphens/>
              <w:autoSpaceDN w:val="0"/>
              <w:jc w:val="right"/>
              <w:rPr>
                <w:rFonts w:ascii="Arial" w:eastAsia="Times New Roman" w:hAnsi="Arial" w:cs="Arial"/>
                <w:bCs/>
                <w:color w:val="000000" w:themeColor="text1"/>
                <w:sz w:val="18"/>
                <w:szCs w:val="18"/>
              </w:rPr>
            </w:pPr>
            <w:r w:rsidRPr="00B56A3D">
              <w:rPr>
                <w:rFonts w:ascii="Arial" w:eastAsia="Times New Roman" w:hAnsi="Arial" w:cs="Arial"/>
                <w:bCs/>
                <w:color w:val="000000" w:themeColor="text1"/>
                <w:sz w:val="18"/>
                <w:szCs w:val="18"/>
              </w:rPr>
              <w:t>1.287</w:t>
            </w:r>
          </w:p>
        </w:tc>
        <w:tc>
          <w:tcPr>
            <w:tcW w:w="1701" w:type="dxa"/>
            <w:shd w:val="clear" w:color="auto" w:fill="auto"/>
            <w:vAlign w:val="bottom"/>
          </w:tcPr>
          <w:p w14:paraId="2FE2F336" w14:textId="77777777" w:rsidR="008B2FBE" w:rsidRPr="00624CCA" w:rsidRDefault="008B2FBE" w:rsidP="00422DD5">
            <w:pPr>
              <w:suppressAutoHyphens/>
              <w:autoSpaceDN w:val="0"/>
              <w:jc w:val="right"/>
              <w:rPr>
                <w:rFonts w:ascii="Arial" w:eastAsia="Times New Roman" w:hAnsi="Arial" w:cs="Arial"/>
                <w:bCs/>
                <w:color w:val="000000" w:themeColor="text1"/>
                <w:sz w:val="18"/>
                <w:szCs w:val="18"/>
              </w:rPr>
            </w:pPr>
            <w:r w:rsidRPr="00324DAF">
              <w:rPr>
                <w:rFonts w:ascii="Arial" w:hAnsi="Arial" w:cs="Arial"/>
                <w:color w:val="000000" w:themeColor="text1"/>
                <w:sz w:val="18"/>
                <w:szCs w:val="18"/>
              </w:rPr>
              <w:t>1.291</w:t>
            </w:r>
          </w:p>
        </w:tc>
      </w:tr>
      <w:tr w:rsidR="008B2FBE" w:rsidRPr="0056686B" w14:paraId="1174F597" w14:textId="77777777" w:rsidTr="00422DD5">
        <w:trPr>
          <w:trHeight w:val="164"/>
        </w:trPr>
        <w:tc>
          <w:tcPr>
            <w:tcW w:w="5669" w:type="dxa"/>
            <w:tcBorders>
              <w:top w:val="nil"/>
              <w:left w:val="nil"/>
              <w:right w:val="nil"/>
            </w:tcBorders>
            <w:shd w:val="clear" w:color="auto" w:fill="auto"/>
            <w:vAlign w:val="bottom"/>
          </w:tcPr>
          <w:p w14:paraId="7CB92881" w14:textId="77777777" w:rsidR="008B2FBE" w:rsidRPr="0056686B" w:rsidRDefault="008B2FBE" w:rsidP="00422DD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Bruto tehničke pričuve</w:t>
            </w:r>
          </w:p>
        </w:tc>
        <w:tc>
          <w:tcPr>
            <w:tcW w:w="1701" w:type="dxa"/>
            <w:shd w:val="clear" w:color="auto" w:fill="auto"/>
            <w:noWrap/>
            <w:vAlign w:val="bottom"/>
          </w:tcPr>
          <w:p w14:paraId="6653E904"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701" w:type="dxa"/>
            <w:shd w:val="clear" w:color="auto" w:fill="auto"/>
            <w:vAlign w:val="bottom"/>
          </w:tcPr>
          <w:p w14:paraId="3C1F2255"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8"/>
                <w:szCs w:val="18"/>
              </w:rPr>
              <w:t>-</w:t>
            </w:r>
          </w:p>
        </w:tc>
      </w:tr>
      <w:tr w:rsidR="008B2FBE" w:rsidRPr="0056686B" w14:paraId="4F7D8BE7" w14:textId="77777777" w:rsidTr="00422DD5">
        <w:trPr>
          <w:trHeight w:val="164"/>
        </w:trPr>
        <w:tc>
          <w:tcPr>
            <w:tcW w:w="5669" w:type="dxa"/>
            <w:tcBorders>
              <w:top w:val="nil"/>
              <w:left w:val="nil"/>
              <w:right w:val="nil"/>
            </w:tcBorders>
            <w:shd w:val="clear" w:color="auto" w:fill="auto"/>
            <w:vAlign w:val="bottom"/>
          </w:tcPr>
          <w:p w14:paraId="4EFE6C1C" w14:textId="77777777" w:rsidR="008B2FBE" w:rsidRPr="0056686B" w:rsidRDefault="008B2FBE" w:rsidP="00422DD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Tehničke pričuve – udio reosiguranja</w:t>
            </w:r>
          </w:p>
        </w:tc>
        <w:tc>
          <w:tcPr>
            <w:tcW w:w="1701" w:type="dxa"/>
            <w:tcBorders>
              <w:top w:val="nil"/>
              <w:left w:val="nil"/>
              <w:bottom w:val="single" w:sz="4" w:space="0" w:color="auto"/>
              <w:right w:val="nil"/>
            </w:tcBorders>
            <w:shd w:val="clear" w:color="auto" w:fill="auto"/>
            <w:noWrap/>
            <w:vAlign w:val="bottom"/>
          </w:tcPr>
          <w:p w14:paraId="1186483D"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701" w:type="dxa"/>
            <w:tcBorders>
              <w:top w:val="nil"/>
              <w:left w:val="nil"/>
              <w:bottom w:val="single" w:sz="4" w:space="0" w:color="auto"/>
              <w:right w:val="nil"/>
            </w:tcBorders>
            <w:shd w:val="clear" w:color="auto" w:fill="auto"/>
            <w:vAlign w:val="bottom"/>
          </w:tcPr>
          <w:p w14:paraId="678E0C5F"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8"/>
                <w:szCs w:val="18"/>
              </w:rPr>
              <w:t>-</w:t>
            </w:r>
          </w:p>
        </w:tc>
      </w:tr>
      <w:tr w:rsidR="008B2FBE" w:rsidRPr="0056686B" w14:paraId="3B3FC101" w14:textId="77777777" w:rsidTr="00422DD5">
        <w:trPr>
          <w:trHeight w:val="182"/>
        </w:trPr>
        <w:tc>
          <w:tcPr>
            <w:tcW w:w="5669" w:type="dxa"/>
            <w:tcBorders>
              <w:left w:val="nil"/>
              <w:right w:val="nil"/>
            </w:tcBorders>
            <w:shd w:val="clear" w:color="auto" w:fill="auto"/>
            <w:vAlign w:val="bottom"/>
          </w:tcPr>
          <w:p w14:paraId="1E6CEC45" w14:textId="77777777" w:rsidR="008B2FBE" w:rsidRPr="0056686B" w:rsidRDefault="008B2FBE" w:rsidP="00422DD5">
            <w:pPr>
              <w:suppressAutoHyphens/>
              <w:autoSpaceDN w:val="0"/>
              <w:rPr>
                <w:rFonts w:ascii="Arial" w:eastAsia="Times New Roman" w:hAnsi="Arial" w:cs="Arial"/>
                <w:b/>
                <w:bCs/>
                <w:color w:val="000000" w:themeColor="text1"/>
                <w:sz w:val="18"/>
                <w:szCs w:val="18"/>
              </w:rPr>
            </w:pPr>
          </w:p>
        </w:tc>
        <w:tc>
          <w:tcPr>
            <w:tcW w:w="1701" w:type="dxa"/>
            <w:tcBorders>
              <w:top w:val="single" w:sz="4" w:space="0" w:color="auto"/>
              <w:left w:val="nil"/>
              <w:bottom w:val="single" w:sz="12" w:space="0" w:color="auto"/>
              <w:right w:val="nil"/>
            </w:tcBorders>
            <w:shd w:val="clear" w:color="auto" w:fill="auto"/>
            <w:noWrap/>
            <w:vAlign w:val="bottom"/>
          </w:tcPr>
          <w:p w14:paraId="53B0D441"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sidRPr="00B56A3D">
              <w:rPr>
                <w:rFonts w:ascii="Arial" w:eastAsia="Times New Roman" w:hAnsi="Arial" w:cs="Arial"/>
                <w:b/>
                <w:bCs/>
                <w:color w:val="000000" w:themeColor="text1"/>
                <w:sz w:val="18"/>
                <w:szCs w:val="18"/>
              </w:rPr>
              <w:t>2.266</w:t>
            </w:r>
          </w:p>
        </w:tc>
        <w:tc>
          <w:tcPr>
            <w:tcW w:w="1701" w:type="dxa"/>
            <w:tcBorders>
              <w:top w:val="single" w:sz="4" w:space="0" w:color="auto"/>
              <w:left w:val="nil"/>
              <w:bottom w:val="single" w:sz="12" w:space="0" w:color="auto"/>
              <w:right w:val="nil"/>
            </w:tcBorders>
            <w:shd w:val="clear" w:color="auto" w:fill="auto"/>
            <w:vAlign w:val="bottom"/>
          </w:tcPr>
          <w:p w14:paraId="41CB9C80"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sidRPr="00324DAF">
              <w:rPr>
                <w:rFonts w:ascii="Arial" w:hAnsi="Arial" w:cs="Arial"/>
                <w:b/>
                <w:bCs/>
                <w:color w:val="000000" w:themeColor="text1"/>
                <w:sz w:val="18"/>
                <w:szCs w:val="18"/>
              </w:rPr>
              <w:t>2.340</w:t>
            </w:r>
          </w:p>
        </w:tc>
      </w:tr>
      <w:tr w:rsidR="008B2FBE" w:rsidRPr="0056686B" w14:paraId="5F73B829" w14:textId="77777777" w:rsidTr="00422DD5">
        <w:trPr>
          <w:trHeight w:val="121"/>
        </w:trPr>
        <w:tc>
          <w:tcPr>
            <w:tcW w:w="5669" w:type="dxa"/>
            <w:tcBorders>
              <w:left w:val="nil"/>
              <w:bottom w:val="nil"/>
              <w:right w:val="nil"/>
            </w:tcBorders>
            <w:shd w:val="clear" w:color="auto" w:fill="auto"/>
            <w:vAlign w:val="bottom"/>
          </w:tcPr>
          <w:p w14:paraId="17DC096D" w14:textId="77777777" w:rsidR="008B2FBE" w:rsidRPr="0056686B" w:rsidRDefault="008B2FBE" w:rsidP="00422DD5">
            <w:pPr>
              <w:suppressAutoHyphens/>
              <w:autoSpaceDN w:val="0"/>
              <w:spacing w:line="140" w:lineRule="exac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noWrap/>
            <w:vAlign w:val="bottom"/>
          </w:tcPr>
          <w:p w14:paraId="6F6247B4" w14:textId="77777777" w:rsidR="008B2FBE" w:rsidRPr="0056686B" w:rsidRDefault="008B2FBE" w:rsidP="00422DD5">
            <w:pPr>
              <w:suppressAutoHyphens/>
              <w:autoSpaceDN w:val="0"/>
              <w:spacing w:line="140" w:lineRule="exact"/>
              <w:jc w:val="right"/>
              <w:rPr>
                <w:rFonts w:ascii="Arial" w:eastAsia="Times New Roman" w:hAnsi="Arial" w:cs="Arial"/>
                <w:color w:val="000000" w:themeColor="text1"/>
                <w:sz w:val="18"/>
                <w:szCs w:val="18"/>
              </w:rPr>
            </w:pPr>
          </w:p>
        </w:tc>
        <w:tc>
          <w:tcPr>
            <w:tcW w:w="1701" w:type="dxa"/>
            <w:tcBorders>
              <w:top w:val="single" w:sz="12" w:space="0" w:color="auto"/>
              <w:left w:val="nil"/>
              <w:bottom w:val="nil"/>
              <w:right w:val="nil"/>
            </w:tcBorders>
            <w:shd w:val="clear" w:color="auto" w:fill="auto"/>
            <w:vAlign w:val="bottom"/>
          </w:tcPr>
          <w:p w14:paraId="2865AB92" w14:textId="77777777" w:rsidR="008B2FBE" w:rsidRPr="0056686B" w:rsidRDefault="008B2FBE" w:rsidP="00422DD5">
            <w:pPr>
              <w:suppressAutoHyphens/>
              <w:autoSpaceDN w:val="0"/>
              <w:spacing w:line="140" w:lineRule="exact"/>
              <w:jc w:val="right"/>
              <w:rPr>
                <w:rFonts w:ascii="Arial" w:eastAsia="Times New Roman" w:hAnsi="Arial" w:cs="Arial"/>
                <w:color w:val="000000" w:themeColor="text1"/>
                <w:sz w:val="18"/>
                <w:szCs w:val="18"/>
              </w:rPr>
            </w:pPr>
          </w:p>
        </w:tc>
      </w:tr>
      <w:tr w:rsidR="008B2FBE" w:rsidRPr="0056686B" w14:paraId="487B0249" w14:textId="77777777" w:rsidTr="00422DD5">
        <w:trPr>
          <w:trHeight w:val="240"/>
        </w:trPr>
        <w:tc>
          <w:tcPr>
            <w:tcW w:w="5669" w:type="dxa"/>
            <w:tcBorders>
              <w:top w:val="nil"/>
              <w:left w:val="nil"/>
              <w:bottom w:val="nil"/>
              <w:right w:val="nil"/>
            </w:tcBorders>
            <w:shd w:val="clear" w:color="auto" w:fill="auto"/>
            <w:vAlign w:val="bottom"/>
          </w:tcPr>
          <w:p w14:paraId="756CD89B" w14:textId="77777777" w:rsidR="008B2FBE" w:rsidRPr="0056686B" w:rsidRDefault="008B2FBE" w:rsidP="00422DD5">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Kratkotrajne obveze</w:t>
            </w:r>
          </w:p>
        </w:tc>
        <w:tc>
          <w:tcPr>
            <w:tcW w:w="1701" w:type="dxa"/>
            <w:shd w:val="clear" w:color="auto" w:fill="auto"/>
            <w:noWrap/>
            <w:vAlign w:val="bottom"/>
          </w:tcPr>
          <w:p w14:paraId="6BBE98BC"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p>
        </w:tc>
        <w:tc>
          <w:tcPr>
            <w:tcW w:w="1701" w:type="dxa"/>
            <w:shd w:val="clear" w:color="auto" w:fill="auto"/>
            <w:vAlign w:val="bottom"/>
          </w:tcPr>
          <w:p w14:paraId="09F649D4"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p>
        </w:tc>
      </w:tr>
      <w:tr w:rsidR="008B2FBE" w:rsidRPr="0056686B" w14:paraId="2FB0CC2F" w14:textId="77777777" w:rsidTr="00422DD5">
        <w:trPr>
          <w:trHeight w:val="145"/>
        </w:trPr>
        <w:tc>
          <w:tcPr>
            <w:tcW w:w="5669" w:type="dxa"/>
            <w:tcBorders>
              <w:top w:val="nil"/>
              <w:left w:val="nil"/>
              <w:bottom w:val="nil"/>
              <w:right w:val="nil"/>
            </w:tcBorders>
            <w:shd w:val="clear" w:color="auto" w:fill="auto"/>
            <w:vAlign w:val="bottom"/>
          </w:tcPr>
          <w:p w14:paraId="3213942B" w14:textId="77777777" w:rsidR="008B2FBE" w:rsidRPr="0056686B" w:rsidRDefault="008B2FBE" w:rsidP="00422DD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Obveze iz poslova osiguranja</w:t>
            </w:r>
          </w:p>
        </w:tc>
        <w:tc>
          <w:tcPr>
            <w:tcW w:w="1701" w:type="dxa"/>
            <w:shd w:val="clear" w:color="auto" w:fill="auto"/>
            <w:noWrap/>
            <w:vAlign w:val="bottom"/>
          </w:tcPr>
          <w:p w14:paraId="342813CF"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701" w:type="dxa"/>
            <w:shd w:val="clear" w:color="auto" w:fill="auto"/>
            <w:vAlign w:val="bottom"/>
          </w:tcPr>
          <w:p w14:paraId="008CAC0B"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8"/>
                <w:szCs w:val="18"/>
              </w:rPr>
              <w:t>-</w:t>
            </w:r>
          </w:p>
        </w:tc>
      </w:tr>
      <w:tr w:rsidR="008B2FBE" w:rsidRPr="0056686B" w14:paraId="628671F1" w14:textId="77777777" w:rsidTr="00422DD5">
        <w:trPr>
          <w:trHeight w:val="145"/>
        </w:trPr>
        <w:tc>
          <w:tcPr>
            <w:tcW w:w="5669" w:type="dxa"/>
            <w:tcBorders>
              <w:top w:val="nil"/>
              <w:left w:val="nil"/>
              <w:bottom w:val="nil"/>
              <w:right w:val="nil"/>
            </w:tcBorders>
            <w:shd w:val="clear" w:color="auto" w:fill="auto"/>
            <w:vAlign w:val="bottom"/>
          </w:tcPr>
          <w:p w14:paraId="2C95E4AB" w14:textId="77777777" w:rsidR="008B2FBE" w:rsidRPr="0056686B" w:rsidRDefault="008B2FBE" w:rsidP="00422DD5">
            <w:pPr>
              <w:suppressAutoHyphens/>
              <w:autoSpaceDN w:val="0"/>
              <w:rPr>
                <w:rFonts w:ascii="Arial" w:eastAsia="Times New Roman" w:hAnsi="Arial" w:cs="Arial"/>
                <w:color w:val="000000" w:themeColor="text1"/>
                <w:sz w:val="18"/>
                <w:szCs w:val="18"/>
              </w:rPr>
            </w:pPr>
            <w:r w:rsidRPr="00324DAF">
              <w:rPr>
                <w:rFonts w:ascii="Arial" w:hAnsi="Arial" w:cs="Arial"/>
                <w:color w:val="000000" w:themeColor="text1"/>
                <w:sz w:val="18"/>
                <w:szCs w:val="18"/>
              </w:rPr>
              <w:t xml:space="preserve">Odgođena i tekuća porezna obveza </w:t>
            </w:r>
          </w:p>
        </w:tc>
        <w:tc>
          <w:tcPr>
            <w:tcW w:w="1701" w:type="dxa"/>
            <w:shd w:val="clear" w:color="auto" w:fill="auto"/>
            <w:noWrap/>
            <w:vAlign w:val="bottom"/>
          </w:tcPr>
          <w:p w14:paraId="0D723EF1"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701" w:type="dxa"/>
            <w:shd w:val="clear" w:color="auto" w:fill="auto"/>
            <w:vAlign w:val="bottom"/>
          </w:tcPr>
          <w:p w14:paraId="72E551F7" w14:textId="77777777" w:rsidR="008B2FBE" w:rsidRDefault="008B2FBE" w:rsidP="00422DD5">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8"/>
                <w:szCs w:val="18"/>
              </w:rPr>
              <w:t>29</w:t>
            </w:r>
          </w:p>
        </w:tc>
      </w:tr>
      <w:tr w:rsidR="008B2FBE" w:rsidRPr="0056686B" w14:paraId="43547E9B" w14:textId="77777777" w:rsidTr="00422DD5">
        <w:trPr>
          <w:trHeight w:val="204"/>
        </w:trPr>
        <w:tc>
          <w:tcPr>
            <w:tcW w:w="5669" w:type="dxa"/>
            <w:tcBorders>
              <w:top w:val="nil"/>
              <w:left w:val="nil"/>
              <w:bottom w:val="nil"/>
              <w:right w:val="nil"/>
            </w:tcBorders>
            <w:shd w:val="clear" w:color="auto" w:fill="auto"/>
            <w:vAlign w:val="bottom"/>
          </w:tcPr>
          <w:p w14:paraId="5ACE20DC" w14:textId="77777777" w:rsidR="008B2FBE" w:rsidRPr="0056686B" w:rsidRDefault="008B2FBE" w:rsidP="00422DD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Ostale obveze</w:t>
            </w:r>
          </w:p>
        </w:tc>
        <w:tc>
          <w:tcPr>
            <w:tcW w:w="1701" w:type="dxa"/>
            <w:tcBorders>
              <w:top w:val="nil"/>
              <w:left w:val="nil"/>
              <w:bottom w:val="single" w:sz="4" w:space="0" w:color="auto"/>
              <w:right w:val="nil"/>
            </w:tcBorders>
            <w:shd w:val="clear" w:color="auto" w:fill="auto"/>
            <w:noWrap/>
            <w:vAlign w:val="bottom"/>
          </w:tcPr>
          <w:p w14:paraId="30CF90DB"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sidRPr="00B56A3D">
              <w:rPr>
                <w:rFonts w:ascii="Arial" w:eastAsia="Times New Roman" w:hAnsi="Arial" w:cs="Arial"/>
                <w:color w:val="000000" w:themeColor="text1"/>
                <w:sz w:val="18"/>
                <w:szCs w:val="18"/>
              </w:rPr>
              <w:t>229</w:t>
            </w:r>
          </w:p>
        </w:tc>
        <w:tc>
          <w:tcPr>
            <w:tcW w:w="1701" w:type="dxa"/>
            <w:tcBorders>
              <w:top w:val="nil"/>
              <w:left w:val="nil"/>
              <w:bottom w:val="single" w:sz="4" w:space="0" w:color="auto"/>
              <w:right w:val="nil"/>
            </w:tcBorders>
            <w:shd w:val="clear" w:color="auto" w:fill="auto"/>
            <w:vAlign w:val="bottom"/>
          </w:tcPr>
          <w:p w14:paraId="25F501D8" w14:textId="77777777" w:rsidR="008B2FBE" w:rsidRPr="0056686B" w:rsidRDefault="008B2FBE" w:rsidP="00422DD5">
            <w:pPr>
              <w:suppressAutoHyphens/>
              <w:autoSpaceDN w:val="0"/>
              <w:jc w:val="right"/>
              <w:rPr>
                <w:rFonts w:ascii="Arial" w:eastAsia="Times New Roman" w:hAnsi="Arial" w:cs="Arial"/>
                <w:color w:val="000000" w:themeColor="text1"/>
                <w:sz w:val="18"/>
                <w:szCs w:val="18"/>
              </w:rPr>
            </w:pPr>
            <w:r>
              <w:rPr>
                <w:rFonts w:ascii="Arial" w:hAnsi="Arial" w:cs="Arial"/>
                <w:color w:val="000000" w:themeColor="text1"/>
                <w:sz w:val="18"/>
                <w:szCs w:val="18"/>
              </w:rPr>
              <w:t>127</w:t>
            </w:r>
          </w:p>
        </w:tc>
      </w:tr>
      <w:tr w:rsidR="008B2FBE" w:rsidRPr="0056686B" w14:paraId="01761464" w14:textId="77777777" w:rsidTr="00422DD5">
        <w:trPr>
          <w:trHeight w:val="144"/>
        </w:trPr>
        <w:tc>
          <w:tcPr>
            <w:tcW w:w="5669" w:type="dxa"/>
            <w:tcBorders>
              <w:left w:val="nil"/>
              <w:right w:val="nil"/>
            </w:tcBorders>
            <w:shd w:val="clear" w:color="auto" w:fill="auto"/>
            <w:vAlign w:val="bottom"/>
          </w:tcPr>
          <w:p w14:paraId="1B89D08F" w14:textId="77777777" w:rsidR="008B2FBE" w:rsidRPr="0056686B" w:rsidRDefault="008B2FBE" w:rsidP="00422DD5">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Ukupno obveze</w:t>
            </w:r>
          </w:p>
        </w:tc>
        <w:tc>
          <w:tcPr>
            <w:tcW w:w="1701" w:type="dxa"/>
            <w:tcBorders>
              <w:top w:val="single" w:sz="4" w:space="0" w:color="auto"/>
              <w:left w:val="nil"/>
              <w:bottom w:val="single" w:sz="12" w:space="0" w:color="auto"/>
              <w:right w:val="nil"/>
            </w:tcBorders>
            <w:shd w:val="clear" w:color="auto" w:fill="auto"/>
            <w:noWrap/>
            <w:vAlign w:val="bottom"/>
          </w:tcPr>
          <w:p w14:paraId="1112C609"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sidRPr="00B56A3D">
              <w:rPr>
                <w:rFonts w:ascii="Arial" w:eastAsia="Times New Roman" w:hAnsi="Arial" w:cs="Arial"/>
                <w:b/>
                <w:bCs/>
                <w:color w:val="000000" w:themeColor="text1"/>
                <w:sz w:val="18"/>
                <w:szCs w:val="18"/>
              </w:rPr>
              <w:t>229</w:t>
            </w:r>
          </w:p>
        </w:tc>
        <w:tc>
          <w:tcPr>
            <w:tcW w:w="1701" w:type="dxa"/>
            <w:tcBorders>
              <w:top w:val="single" w:sz="4" w:space="0" w:color="auto"/>
              <w:left w:val="nil"/>
              <w:bottom w:val="single" w:sz="12" w:space="0" w:color="auto"/>
              <w:right w:val="nil"/>
            </w:tcBorders>
            <w:shd w:val="clear" w:color="auto" w:fill="auto"/>
            <w:vAlign w:val="bottom"/>
          </w:tcPr>
          <w:p w14:paraId="1843F0B5"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sidRPr="00324DAF">
              <w:rPr>
                <w:rFonts w:ascii="Arial" w:hAnsi="Arial" w:cs="Arial"/>
                <w:b/>
                <w:bCs/>
                <w:color w:val="000000" w:themeColor="text1"/>
                <w:sz w:val="18"/>
                <w:szCs w:val="18"/>
              </w:rPr>
              <w:t>156</w:t>
            </w:r>
          </w:p>
        </w:tc>
      </w:tr>
      <w:tr w:rsidR="008B2FBE" w:rsidRPr="0056686B" w14:paraId="4973928D" w14:textId="77777777" w:rsidTr="00422DD5">
        <w:trPr>
          <w:trHeight w:val="56"/>
        </w:trPr>
        <w:tc>
          <w:tcPr>
            <w:tcW w:w="5669" w:type="dxa"/>
            <w:tcBorders>
              <w:left w:val="nil"/>
              <w:right w:val="nil"/>
            </w:tcBorders>
            <w:shd w:val="clear" w:color="auto" w:fill="auto"/>
            <w:vAlign w:val="bottom"/>
          </w:tcPr>
          <w:p w14:paraId="29F9027E" w14:textId="77777777" w:rsidR="008B2FBE" w:rsidRPr="0056686B" w:rsidRDefault="008B2FBE" w:rsidP="00422DD5">
            <w:pPr>
              <w:suppressAutoHyphens/>
              <w:autoSpaceDN w:val="0"/>
              <w:spacing w:line="140" w:lineRule="exact"/>
              <w:rPr>
                <w:rFonts w:ascii="Arial" w:eastAsia="Times New Roman" w:hAnsi="Arial" w:cs="Arial"/>
                <w:b/>
                <w:bCs/>
                <w:color w:val="000000" w:themeColor="text1"/>
                <w:sz w:val="18"/>
                <w:szCs w:val="18"/>
              </w:rPr>
            </w:pPr>
          </w:p>
        </w:tc>
        <w:tc>
          <w:tcPr>
            <w:tcW w:w="1701" w:type="dxa"/>
            <w:tcBorders>
              <w:top w:val="single" w:sz="12" w:space="0" w:color="auto"/>
              <w:left w:val="nil"/>
              <w:bottom w:val="single" w:sz="4" w:space="0" w:color="auto"/>
              <w:right w:val="nil"/>
            </w:tcBorders>
            <w:shd w:val="clear" w:color="auto" w:fill="auto"/>
            <w:noWrap/>
            <w:vAlign w:val="bottom"/>
          </w:tcPr>
          <w:p w14:paraId="50E15E29" w14:textId="77777777" w:rsidR="008B2FBE" w:rsidRPr="0056686B" w:rsidRDefault="008B2FBE" w:rsidP="00422DD5">
            <w:pPr>
              <w:suppressAutoHyphens/>
              <w:autoSpaceDN w:val="0"/>
              <w:spacing w:line="140" w:lineRule="exact"/>
              <w:jc w:val="right"/>
              <w:rPr>
                <w:rFonts w:ascii="Arial" w:eastAsia="Times New Roman" w:hAnsi="Arial" w:cs="Arial"/>
                <w:b/>
                <w:bCs/>
                <w:color w:val="000000" w:themeColor="text1"/>
                <w:sz w:val="18"/>
                <w:szCs w:val="18"/>
              </w:rPr>
            </w:pPr>
          </w:p>
        </w:tc>
        <w:tc>
          <w:tcPr>
            <w:tcW w:w="1701" w:type="dxa"/>
            <w:tcBorders>
              <w:top w:val="single" w:sz="12" w:space="0" w:color="auto"/>
              <w:left w:val="nil"/>
              <w:bottom w:val="single" w:sz="4" w:space="0" w:color="auto"/>
              <w:right w:val="nil"/>
            </w:tcBorders>
            <w:shd w:val="clear" w:color="auto" w:fill="auto"/>
            <w:vAlign w:val="bottom"/>
          </w:tcPr>
          <w:p w14:paraId="70E62DAF" w14:textId="77777777" w:rsidR="008B2FBE" w:rsidRPr="0056686B" w:rsidRDefault="008B2FBE" w:rsidP="00422DD5">
            <w:pPr>
              <w:suppressAutoHyphens/>
              <w:autoSpaceDN w:val="0"/>
              <w:spacing w:line="140" w:lineRule="exact"/>
              <w:jc w:val="right"/>
              <w:rPr>
                <w:rFonts w:ascii="Arial" w:eastAsia="Times New Roman" w:hAnsi="Arial" w:cs="Arial"/>
                <w:b/>
                <w:bCs/>
                <w:color w:val="000000" w:themeColor="text1"/>
                <w:sz w:val="18"/>
                <w:szCs w:val="18"/>
              </w:rPr>
            </w:pPr>
          </w:p>
        </w:tc>
      </w:tr>
      <w:tr w:rsidR="008B2FBE" w:rsidRPr="0056686B" w14:paraId="68406DDF" w14:textId="77777777" w:rsidTr="00422DD5">
        <w:trPr>
          <w:trHeight w:val="230"/>
        </w:trPr>
        <w:tc>
          <w:tcPr>
            <w:tcW w:w="5669" w:type="dxa"/>
            <w:tcBorders>
              <w:left w:val="nil"/>
              <w:right w:val="nil"/>
            </w:tcBorders>
            <w:shd w:val="clear" w:color="auto" w:fill="auto"/>
            <w:vAlign w:val="bottom"/>
          </w:tcPr>
          <w:p w14:paraId="71CA0E5A" w14:textId="77777777" w:rsidR="008B2FBE" w:rsidRPr="0056686B" w:rsidRDefault="008B2FBE" w:rsidP="00422DD5">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Ukupno kapital i obveze</w:t>
            </w:r>
          </w:p>
        </w:tc>
        <w:tc>
          <w:tcPr>
            <w:tcW w:w="1701" w:type="dxa"/>
            <w:tcBorders>
              <w:top w:val="single" w:sz="4" w:space="0" w:color="auto"/>
              <w:left w:val="nil"/>
              <w:bottom w:val="single" w:sz="12" w:space="0" w:color="auto"/>
              <w:right w:val="nil"/>
            </w:tcBorders>
            <w:shd w:val="clear" w:color="auto" w:fill="auto"/>
            <w:noWrap/>
            <w:vAlign w:val="bottom"/>
          </w:tcPr>
          <w:p w14:paraId="6F957872"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sidRPr="00B56A3D">
              <w:rPr>
                <w:rFonts w:ascii="Arial" w:eastAsia="Times New Roman" w:hAnsi="Arial" w:cs="Arial"/>
                <w:b/>
                <w:bCs/>
                <w:color w:val="000000" w:themeColor="text1"/>
                <w:sz w:val="18"/>
                <w:szCs w:val="18"/>
              </w:rPr>
              <w:t>10.298</w:t>
            </w:r>
          </w:p>
        </w:tc>
        <w:tc>
          <w:tcPr>
            <w:tcW w:w="1701" w:type="dxa"/>
            <w:tcBorders>
              <w:top w:val="single" w:sz="4" w:space="0" w:color="auto"/>
              <w:left w:val="nil"/>
              <w:bottom w:val="single" w:sz="12" w:space="0" w:color="auto"/>
              <w:right w:val="nil"/>
            </w:tcBorders>
            <w:shd w:val="clear" w:color="auto" w:fill="auto"/>
            <w:vAlign w:val="bottom"/>
          </w:tcPr>
          <w:p w14:paraId="543AA107" w14:textId="77777777" w:rsidR="008B2FBE" w:rsidRPr="0056686B" w:rsidRDefault="008B2FBE" w:rsidP="00422DD5">
            <w:pPr>
              <w:suppressAutoHyphens/>
              <w:autoSpaceDN w:val="0"/>
              <w:jc w:val="right"/>
              <w:rPr>
                <w:rFonts w:ascii="Arial" w:eastAsia="Times New Roman" w:hAnsi="Arial" w:cs="Arial"/>
                <w:b/>
                <w:bCs/>
                <w:color w:val="000000" w:themeColor="text1"/>
                <w:sz w:val="18"/>
                <w:szCs w:val="18"/>
              </w:rPr>
            </w:pPr>
            <w:r w:rsidRPr="00324DAF">
              <w:rPr>
                <w:rFonts w:ascii="Arial" w:hAnsi="Arial" w:cs="Arial"/>
                <w:b/>
                <w:bCs/>
                <w:color w:val="000000" w:themeColor="text1"/>
                <w:sz w:val="18"/>
                <w:szCs w:val="18"/>
              </w:rPr>
              <w:t>10.301</w:t>
            </w:r>
          </w:p>
        </w:tc>
      </w:tr>
    </w:tbl>
    <w:p w14:paraId="58921097" w14:textId="77777777" w:rsidR="00DF6E3A" w:rsidRDefault="00DF6E3A" w:rsidP="00DF6E3A">
      <w:pPr>
        <w:suppressAutoHyphens/>
        <w:autoSpaceDN w:val="0"/>
        <w:jc w:val="both"/>
        <w:rPr>
          <w:rFonts w:ascii="Arial" w:eastAsia="Calibri" w:hAnsi="Arial" w:cs="Arial"/>
          <w:color w:val="000000" w:themeColor="text1"/>
          <w:sz w:val="20"/>
          <w:szCs w:val="20"/>
        </w:rPr>
      </w:pPr>
    </w:p>
    <w:p w14:paraId="0ED5BB9C" w14:textId="77777777" w:rsidR="00DF6E3A" w:rsidRDefault="00DF6E3A" w:rsidP="00DF6E3A">
      <w:pPr>
        <w:suppressAutoHyphens/>
        <w:autoSpaceDN w:val="0"/>
        <w:jc w:val="both"/>
        <w:rPr>
          <w:rFonts w:ascii="Arial" w:eastAsia="Calibri" w:hAnsi="Arial" w:cs="Arial"/>
          <w:color w:val="000000" w:themeColor="text1"/>
          <w:sz w:val="20"/>
          <w:szCs w:val="20"/>
        </w:rPr>
      </w:pPr>
    </w:p>
    <w:p w14:paraId="5966E28C" w14:textId="77777777" w:rsidR="0095724C" w:rsidRDefault="0095724C" w:rsidP="00DF6E3A">
      <w:pPr>
        <w:suppressAutoHyphens/>
        <w:autoSpaceDN w:val="0"/>
        <w:jc w:val="both"/>
        <w:rPr>
          <w:rFonts w:ascii="Arial" w:eastAsia="Calibri" w:hAnsi="Arial" w:cs="Arial"/>
          <w:color w:val="000000" w:themeColor="text1"/>
          <w:sz w:val="20"/>
          <w:szCs w:val="20"/>
        </w:rPr>
      </w:pPr>
    </w:p>
    <w:p w14:paraId="424B8686" w14:textId="77777777" w:rsidR="0095724C" w:rsidRDefault="0095724C" w:rsidP="00DF6E3A">
      <w:pPr>
        <w:suppressAutoHyphens/>
        <w:autoSpaceDN w:val="0"/>
        <w:jc w:val="both"/>
        <w:rPr>
          <w:rFonts w:ascii="Arial" w:eastAsia="Calibri" w:hAnsi="Arial" w:cs="Arial"/>
          <w:color w:val="000000" w:themeColor="text1"/>
          <w:sz w:val="20"/>
          <w:szCs w:val="20"/>
        </w:rPr>
      </w:pPr>
    </w:p>
    <w:p w14:paraId="23F89CBB" w14:textId="77777777" w:rsidR="0095724C" w:rsidRDefault="0095724C" w:rsidP="00DF6E3A">
      <w:pPr>
        <w:suppressAutoHyphens/>
        <w:autoSpaceDN w:val="0"/>
        <w:jc w:val="both"/>
        <w:rPr>
          <w:rFonts w:ascii="Arial" w:eastAsia="Calibri" w:hAnsi="Arial" w:cs="Arial"/>
          <w:color w:val="000000" w:themeColor="text1"/>
          <w:sz w:val="20"/>
          <w:szCs w:val="20"/>
        </w:rPr>
      </w:pPr>
    </w:p>
    <w:p w14:paraId="33882A20" w14:textId="77777777" w:rsidR="0095724C" w:rsidRDefault="0095724C" w:rsidP="00DF6E3A">
      <w:pPr>
        <w:suppressAutoHyphens/>
        <w:autoSpaceDN w:val="0"/>
        <w:jc w:val="both"/>
        <w:rPr>
          <w:rFonts w:ascii="Arial" w:eastAsia="Calibri" w:hAnsi="Arial" w:cs="Arial"/>
          <w:color w:val="000000" w:themeColor="text1"/>
          <w:sz w:val="20"/>
          <w:szCs w:val="20"/>
        </w:rPr>
      </w:pPr>
    </w:p>
    <w:p w14:paraId="60CB5F18" w14:textId="77777777" w:rsidR="0095724C" w:rsidRDefault="0095724C" w:rsidP="00DF6E3A">
      <w:pPr>
        <w:suppressAutoHyphens/>
        <w:autoSpaceDN w:val="0"/>
        <w:jc w:val="both"/>
        <w:rPr>
          <w:rFonts w:ascii="Arial" w:eastAsia="Calibri" w:hAnsi="Arial" w:cs="Arial"/>
          <w:color w:val="000000" w:themeColor="text1"/>
          <w:sz w:val="20"/>
          <w:szCs w:val="20"/>
        </w:rPr>
      </w:pPr>
    </w:p>
    <w:p w14:paraId="6687C43D" w14:textId="77777777" w:rsidR="0095724C" w:rsidRDefault="0095724C" w:rsidP="00DF6E3A">
      <w:pPr>
        <w:suppressAutoHyphens/>
        <w:autoSpaceDN w:val="0"/>
        <w:jc w:val="both"/>
        <w:rPr>
          <w:rFonts w:ascii="Arial" w:eastAsia="Calibri" w:hAnsi="Arial" w:cs="Arial"/>
          <w:color w:val="000000" w:themeColor="text1"/>
          <w:sz w:val="20"/>
          <w:szCs w:val="20"/>
        </w:rPr>
      </w:pPr>
    </w:p>
    <w:p w14:paraId="33CAB975" w14:textId="77777777" w:rsidR="0095724C" w:rsidRDefault="0095724C" w:rsidP="00DF6E3A">
      <w:pPr>
        <w:suppressAutoHyphens/>
        <w:autoSpaceDN w:val="0"/>
        <w:jc w:val="both"/>
        <w:rPr>
          <w:rFonts w:ascii="Arial" w:eastAsia="Calibri" w:hAnsi="Arial" w:cs="Arial"/>
          <w:color w:val="000000" w:themeColor="text1"/>
          <w:sz w:val="20"/>
          <w:szCs w:val="20"/>
        </w:rPr>
      </w:pPr>
    </w:p>
    <w:p w14:paraId="535EA8EB" w14:textId="77777777" w:rsidR="0095724C" w:rsidRDefault="0095724C" w:rsidP="00DF6E3A">
      <w:pPr>
        <w:suppressAutoHyphens/>
        <w:autoSpaceDN w:val="0"/>
        <w:jc w:val="both"/>
        <w:rPr>
          <w:rFonts w:ascii="Arial" w:eastAsia="Calibri" w:hAnsi="Arial" w:cs="Arial"/>
          <w:color w:val="000000" w:themeColor="text1"/>
          <w:sz w:val="20"/>
          <w:szCs w:val="20"/>
        </w:rPr>
      </w:pPr>
    </w:p>
    <w:p w14:paraId="01FA3686" w14:textId="77777777" w:rsidR="0095724C" w:rsidRDefault="0095724C" w:rsidP="00DF6E3A">
      <w:pPr>
        <w:suppressAutoHyphens/>
        <w:autoSpaceDN w:val="0"/>
        <w:jc w:val="both"/>
        <w:rPr>
          <w:rFonts w:ascii="Arial" w:eastAsia="Calibri" w:hAnsi="Arial" w:cs="Arial"/>
          <w:color w:val="000000" w:themeColor="text1"/>
          <w:sz w:val="20"/>
          <w:szCs w:val="20"/>
        </w:rPr>
        <w:sectPr w:rsidR="0095724C" w:rsidSect="003278AB">
          <w:headerReference w:type="default" r:id="rId36"/>
          <w:footerReference w:type="default" r:id="rId37"/>
          <w:pgSz w:w="11906" w:h="16838"/>
          <w:pgMar w:top="1417" w:right="1417" w:bottom="1417" w:left="1417" w:header="708" w:footer="708" w:gutter="0"/>
          <w:cols w:space="708"/>
          <w:docGrid w:linePitch="360"/>
        </w:sectPr>
      </w:pPr>
    </w:p>
    <w:p w14:paraId="4D80A449" w14:textId="77777777" w:rsidR="0095724C" w:rsidRDefault="0095724C" w:rsidP="00DF6E3A">
      <w:pPr>
        <w:suppressAutoHyphens/>
        <w:autoSpaceDN w:val="0"/>
        <w:jc w:val="both"/>
        <w:rPr>
          <w:rFonts w:ascii="Arial" w:eastAsia="Calibri" w:hAnsi="Arial" w:cs="Arial"/>
          <w:color w:val="000000" w:themeColor="text1"/>
          <w:sz w:val="20"/>
          <w:szCs w:val="20"/>
        </w:rPr>
      </w:pPr>
    </w:p>
    <w:tbl>
      <w:tblPr>
        <w:tblpPr w:leftFromText="181" w:rightFromText="181" w:vertAnchor="text" w:horzAnchor="margin" w:tblpXSpec="center" w:tblpY="1"/>
        <w:tblW w:w="8647" w:type="dxa"/>
        <w:tblLayout w:type="fixed"/>
        <w:tblLook w:val="04A0" w:firstRow="1" w:lastRow="0" w:firstColumn="1" w:lastColumn="0" w:noHBand="0" w:noVBand="1"/>
      </w:tblPr>
      <w:tblGrid>
        <w:gridCol w:w="6237"/>
        <w:gridCol w:w="1276"/>
        <w:gridCol w:w="1134"/>
      </w:tblGrid>
      <w:tr w:rsidR="00361719" w:rsidRPr="0056686B" w14:paraId="1BFE7196" w14:textId="77777777" w:rsidTr="00422DD5">
        <w:trPr>
          <w:trHeight w:val="66"/>
        </w:trPr>
        <w:tc>
          <w:tcPr>
            <w:tcW w:w="6237" w:type="dxa"/>
            <w:tcBorders>
              <w:left w:val="nil"/>
              <w:right w:val="nil"/>
            </w:tcBorders>
            <w:shd w:val="clear" w:color="auto" w:fill="auto"/>
            <w:vAlign w:val="bottom"/>
          </w:tcPr>
          <w:p w14:paraId="14F8F0E1" w14:textId="77777777" w:rsidR="00361719" w:rsidRPr="0056686B" w:rsidRDefault="00361719" w:rsidP="00422DD5">
            <w:pPr>
              <w:suppressAutoHyphens/>
              <w:autoSpaceDN w:val="0"/>
              <w:spacing w:line="140" w:lineRule="exact"/>
              <w:rPr>
                <w:rFonts w:ascii="Arial" w:eastAsia="Times New Roman" w:hAnsi="Arial" w:cs="Arial"/>
                <w:color w:val="000000" w:themeColor="text1"/>
                <w:sz w:val="18"/>
                <w:szCs w:val="18"/>
              </w:rPr>
            </w:pPr>
          </w:p>
        </w:tc>
        <w:tc>
          <w:tcPr>
            <w:tcW w:w="1276" w:type="dxa"/>
            <w:tcBorders>
              <w:left w:val="nil"/>
              <w:right w:val="nil"/>
            </w:tcBorders>
            <w:shd w:val="clear" w:color="auto" w:fill="auto"/>
            <w:vAlign w:val="bottom"/>
          </w:tcPr>
          <w:p w14:paraId="2D3D9227" w14:textId="77777777" w:rsidR="00361719" w:rsidRPr="0056686B" w:rsidRDefault="00361719" w:rsidP="00422DD5">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left w:val="nil"/>
              <w:right w:val="nil"/>
            </w:tcBorders>
            <w:vAlign w:val="bottom"/>
          </w:tcPr>
          <w:p w14:paraId="2E1CA54E" w14:textId="77777777" w:rsidR="00361719" w:rsidRPr="0056686B" w:rsidRDefault="00361719" w:rsidP="00422DD5">
            <w:pPr>
              <w:suppressAutoHyphens/>
              <w:autoSpaceDN w:val="0"/>
              <w:spacing w:line="140" w:lineRule="exact"/>
              <w:jc w:val="right"/>
              <w:rPr>
                <w:rFonts w:ascii="Arial" w:eastAsia="Times New Roman" w:hAnsi="Arial" w:cs="Arial"/>
                <w:color w:val="000000" w:themeColor="text1"/>
                <w:sz w:val="18"/>
                <w:szCs w:val="18"/>
              </w:rPr>
            </w:pPr>
          </w:p>
        </w:tc>
      </w:tr>
      <w:tr w:rsidR="00361719" w:rsidRPr="0056686B" w14:paraId="425A4A34" w14:textId="77777777" w:rsidTr="00422DD5">
        <w:trPr>
          <w:trHeight w:val="119"/>
        </w:trPr>
        <w:tc>
          <w:tcPr>
            <w:tcW w:w="6237" w:type="dxa"/>
            <w:tcBorders>
              <w:left w:val="nil"/>
              <w:bottom w:val="nil"/>
              <w:right w:val="nil"/>
            </w:tcBorders>
            <w:shd w:val="clear" w:color="auto" w:fill="auto"/>
            <w:vAlign w:val="bottom"/>
          </w:tcPr>
          <w:p w14:paraId="0B584F94" w14:textId="77777777" w:rsidR="00361719" w:rsidRPr="0056686B" w:rsidRDefault="00361719" w:rsidP="00422DD5">
            <w:pPr>
              <w:suppressAutoHyphens/>
              <w:autoSpaceDN w:val="0"/>
              <w:rPr>
                <w:rFonts w:ascii="Arial" w:eastAsia="Times New Roman" w:hAnsi="Arial" w:cs="Arial"/>
                <w:b/>
                <w:bCs/>
                <w:color w:val="000000" w:themeColor="text1"/>
                <w:sz w:val="18"/>
                <w:szCs w:val="18"/>
              </w:rPr>
            </w:pPr>
          </w:p>
        </w:tc>
        <w:tc>
          <w:tcPr>
            <w:tcW w:w="1276" w:type="dxa"/>
            <w:tcBorders>
              <w:left w:val="nil"/>
              <w:bottom w:val="nil"/>
              <w:right w:val="nil"/>
            </w:tcBorders>
            <w:shd w:val="clear" w:color="auto" w:fill="auto"/>
            <w:noWrap/>
            <w:vAlign w:val="bottom"/>
          </w:tcPr>
          <w:p w14:paraId="55F18A33" w14:textId="77777777" w:rsidR="00361719" w:rsidRPr="0056686B" w:rsidRDefault="00361719" w:rsidP="00422DD5">
            <w:pPr>
              <w:suppressAutoHyphens/>
              <w:autoSpaceDN w:val="0"/>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31.3.</w:t>
            </w:r>
            <w:r w:rsidRPr="0056686B">
              <w:rPr>
                <w:rFonts w:ascii="Arial" w:eastAsia="Times New Roman" w:hAnsi="Arial" w:cs="Arial"/>
                <w:b/>
                <w:bCs/>
                <w:color w:val="000000" w:themeColor="text1"/>
                <w:sz w:val="18"/>
                <w:szCs w:val="18"/>
              </w:rPr>
              <w:t>202</w:t>
            </w:r>
            <w:r>
              <w:rPr>
                <w:rFonts w:ascii="Arial" w:eastAsia="Times New Roman" w:hAnsi="Arial" w:cs="Arial"/>
                <w:b/>
                <w:bCs/>
                <w:color w:val="000000" w:themeColor="text1"/>
                <w:sz w:val="18"/>
                <w:szCs w:val="18"/>
              </w:rPr>
              <w:t>4</w:t>
            </w:r>
            <w:r w:rsidRPr="0056686B">
              <w:rPr>
                <w:rFonts w:ascii="Arial" w:eastAsia="Times New Roman" w:hAnsi="Arial" w:cs="Arial"/>
                <w:b/>
                <w:bCs/>
                <w:color w:val="000000" w:themeColor="text1"/>
                <w:sz w:val="18"/>
                <w:szCs w:val="18"/>
              </w:rPr>
              <w:t>.</w:t>
            </w:r>
          </w:p>
        </w:tc>
        <w:tc>
          <w:tcPr>
            <w:tcW w:w="1134" w:type="dxa"/>
            <w:tcBorders>
              <w:left w:val="nil"/>
              <w:bottom w:val="nil"/>
              <w:right w:val="nil"/>
            </w:tcBorders>
            <w:shd w:val="clear" w:color="auto" w:fill="auto"/>
            <w:vAlign w:val="bottom"/>
          </w:tcPr>
          <w:p w14:paraId="2E4FB187" w14:textId="77777777" w:rsidR="00361719" w:rsidRPr="0056686B" w:rsidRDefault="00361719" w:rsidP="00422DD5">
            <w:pPr>
              <w:suppressAutoHyphens/>
              <w:autoSpaceDN w:val="0"/>
              <w:jc w:val="right"/>
              <w:rPr>
                <w:rFonts w:ascii="Arial" w:eastAsia="Times New Roman" w:hAnsi="Arial" w:cs="Arial"/>
                <w:b/>
                <w:bCs/>
                <w:color w:val="000000" w:themeColor="text1"/>
                <w:sz w:val="18"/>
                <w:szCs w:val="18"/>
              </w:rPr>
            </w:pPr>
            <w:r w:rsidRPr="003D1614">
              <w:rPr>
                <w:rFonts w:ascii="Arial" w:eastAsia="Times New Roman" w:hAnsi="Arial" w:cs="Arial"/>
                <w:b/>
                <w:bCs/>
                <w:color w:val="000000" w:themeColor="text1"/>
                <w:sz w:val="18"/>
                <w:szCs w:val="18"/>
              </w:rPr>
              <w:t>31.3.</w:t>
            </w:r>
            <w:r w:rsidRPr="0056686B">
              <w:rPr>
                <w:rFonts w:ascii="Arial" w:eastAsia="Times New Roman" w:hAnsi="Arial" w:cs="Arial"/>
                <w:b/>
                <w:bCs/>
                <w:color w:val="000000" w:themeColor="text1"/>
                <w:sz w:val="18"/>
                <w:szCs w:val="18"/>
              </w:rPr>
              <w:t>202</w:t>
            </w:r>
            <w:r>
              <w:rPr>
                <w:rFonts w:ascii="Arial" w:eastAsia="Times New Roman" w:hAnsi="Arial" w:cs="Arial"/>
                <w:b/>
                <w:bCs/>
                <w:color w:val="000000" w:themeColor="text1"/>
                <w:sz w:val="18"/>
                <w:szCs w:val="18"/>
              </w:rPr>
              <w:t>3</w:t>
            </w:r>
            <w:r w:rsidRPr="0056686B">
              <w:rPr>
                <w:rFonts w:ascii="Arial" w:eastAsia="Times New Roman" w:hAnsi="Arial" w:cs="Arial"/>
                <w:b/>
                <w:bCs/>
                <w:color w:val="000000" w:themeColor="text1"/>
                <w:sz w:val="18"/>
                <w:szCs w:val="18"/>
              </w:rPr>
              <w:t>.</w:t>
            </w:r>
          </w:p>
        </w:tc>
      </w:tr>
      <w:tr w:rsidR="00361719" w:rsidRPr="0056686B" w14:paraId="58364D9A" w14:textId="77777777" w:rsidTr="00422DD5">
        <w:trPr>
          <w:trHeight w:val="95"/>
        </w:trPr>
        <w:tc>
          <w:tcPr>
            <w:tcW w:w="6237" w:type="dxa"/>
            <w:tcBorders>
              <w:left w:val="nil"/>
              <w:bottom w:val="nil"/>
              <w:right w:val="nil"/>
            </w:tcBorders>
            <w:shd w:val="clear" w:color="auto" w:fill="auto"/>
            <w:vAlign w:val="bottom"/>
          </w:tcPr>
          <w:p w14:paraId="1CDD95A5" w14:textId="77777777" w:rsidR="00361719" w:rsidRPr="0056686B" w:rsidRDefault="00361719" w:rsidP="00422DD5">
            <w:pPr>
              <w:suppressAutoHyphens/>
              <w:autoSpaceDN w:val="0"/>
              <w:rPr>
                <w:rFonts w:ascii="Arial" w:eastAsia="Times New Roman" w:hAnsi="Arial" w:cs="Arial"/>
                <w:b/>
                <w:bCs/>
                <w:color w:val="000000" w:themeColor="text1"/>
                <w:sz w:val="18"/>
                <w:szCs w:val="18"/>
              </w:rPr>
            </w:pPr>
          </w:p>
        </w:tc>
        <w:tc>
          <w:tcPr>
            <w:tcW w:w="1276" w:type="dxa"/>
            <w:tcBorders>
              <w:left w:val="nil"/>
              <w:bottom w:val="nil"/>
              <w:right w:val="nil"/>
            </w:tcBorders>
            <w:shd w:val="clear" w:color="auto" w:fill="auto"/>
            <w:noWrap/>
            <w:vAlign w:val="bottom"/>
          </w:tcPr>
          <w:p w14:paraId="7BC28BDE" w14:textId="77777777" w:rsidR="00361719" w:rsidRPr="0056686B" w:rsidRDefault="00361719" w:rsidP="00422DD5">
            <w:pPr>
              <w:suppressAutoHyphens/>
              <w:autoSpaceDN w:val="0"/>
              <w:jc w:val="right"/>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 xml:space="preserve">000 </w:t>
            </w:r>
            <w:r w:rsidRPr="003D1614">
              <w:rPr>
                <w:rFonts w:ascii="Arial" w:eastAsia="Times New Roman" w:hAnsi="Arial" w:cs="Arial"/>
                <w:b/>
                <w:bCs/>
                <w:color w:val="000000" w:themeColor="text1"/>
                <w:sz w:val="18"/>
                <w:szCs w:val="18"/>
              </w:rPr>
              <w:t>eura</w:t>
            </w:r>
          </w:p>
        </w:tc>
        <w:tc>
          <w:tcPr>
            <w:tcW w:w="1134" w:type="dxa"/>
            <w:tcBorders>
              <w:left w:val="nil"/>
              <w:bottom w:val="nil"/>
              <w:right w:val="nil"/>
            </w:tcBorders>
            <w:shd w:val="clear" w:color="auto" w:fill="auto"/>
            <w:vAlign w:val="bottom"/>
          </w:tcPr>
          <w:p w14:paraId="717CB4F0" w14:textId="77777777" w:rsidR="00361719" w:rsidRPr="0056686B" w:rsidRDefault="00361719" w:rsidP="00422DD5">
            <w:pPr>
              <w:suppressAutoHyphens/>
              <w:autoSpaceDN w:val="0"/>
              <w:jc w:val="right"/>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 xml:space="preserve">000 </w:t>
            </w:r>
            <w:r w:rsidRPr="003D1614">
              <w:rPr>
                <w:rFonts w:ascii="Arial" w:eastAsia="Times New Roman" w:hAnsi="Arial" w:cs="Arial"/>
                <w:b/>
                <w:bCs/>
                <w:color w:val="000000" w:themeColor="text1"/>
                <w:sz w:val="18"/>
                <w:szCs w:val="18"/>
              </w:rPr>
              <w:t>eura</w:t>
            </w:r>
          </w:p>
        </w:tc>
      </w:tr>
      <w:tr w:rsidR="00361719" w:rsidRPr="0056686B" w14:paraId="41ABABA5" w14:textId="77777777" w:rsidTr="00422DD5">
        <w:trPr>
          <w:trHeight w:val="59"/>
        </w:trPr>
        <w:tc>
          <w:tcPr>
            <w:tcW w:w="6237" w:type="dxa"/>
            <w:tcBorders>
              <w:top w:val="nil"/>
              <w:left w:val="nil"/>
              <w:bottom w:val="nil"/>
              <w:right w:val="nil"/>
            </w:tcBorders>
            <w:shd w:val="clear" w:color="auto" w:fill="auto"/>
            <w:vAlign w:val="bottom"/>
          </w:tcPr>
          <w:p w14:paraId="364BF4DF" w14:textId="77777777" w:rsidR="00361719" w:rsidRPr="0056686B" w:rsidRDefault="00361719" w:rsidP="00422DD5">
            <w:pPr>
              <w:suppressAutoHyphens/>
              <w:autoSpaceDN w:val="0"/>
              <w:spacing w:line="140" w:lineRule="exact"/>
              <w:rPr>
                <w:rFonts w:ascii="Arial" w:eastAsia="Times New Roman" w:hAnsi="Arial" w:cs="Arial"/>
                <w:color w:val="000000" w:themeColor="text1"/>
                <w:sz w:val="18"/>
                <w:szCs w:val="18"/>
              </w:rPr>
            </w:pPr>
          </w:p>
        </w:tc>
        <w:tc>
          <w:tcPr>
            <w:tcW w:w="1276" w:type="dxa"/>
            <w:tcBorders>
              <w:top w:val="nil"/>
              <w:left w:val="nil"/>
              <w:bottom w:val="nil"/>
              <w:right w:val="nil"/>
            </w:tcBorders>
            <w:shd w:val="clear" w:color="auto" w:fill="auto"/>
            <w:noWrap/>
            <w:vAlign w:val="bottom"/>
          </w:tcPr>
          <w:p w14:paraId="1AFDE661" w14:textId="77777777" w:rsidR="00361719" w:rsidRPr="0056686B" w:rsidRDefault="00361719" w:rsidP="00422DD5">
            <w:pPr>
              <w:suppressAutoHyphens/>
              <w:autoSpaceDN w:val="0"/>
              <w:spacing w:line="140" w:lineRule="exac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vAlign w:val="bottom"/>
          </w:tcPr>
          <w:p w14:paraId="197BE923" w14:textId="77777777" w:rsidR="00361719" w:rsidRPr="0056686B" w:rsidRDefault="00361719" w:rsidP="00422DD5">
            <w:pPr>
              <w:suppressAutoHyphens/>
              <w:autoSpaceDN w:val="0"/>
              <w:spacing w:line="140" w:lineRule="exact"/>
              <w:rPr>
                <w:rFonts w:ascii="Arial" w:eastAsia="Times New Roman" w:hAnsi="Arial" w:cs="Arial"/>
                <w:color w:val="000000" w:themeColor="text1"/>
                <w:sz w:val="18"/>
                <w:szCs w:val="18"/>
              </w:rPr>
            </w:pPr>
          </w:p>
        </w:tc>
      </w:tr>
      <w:tr w:rsidR="00361719" w:rsidRPr="0056686B" w14:paraId="6F6AE040" w14:textId="77777777" w:rsidTr="00422DD5">
        <w:trPr>
          <w:trHeight w:val="109"/>
        </w:trPr>
        <w:tc>
          <w:tcPr>
            <w:tcW w:w="6237" w:type="dxa"/>
            <w:tcBorders>
              <w:top w:val="nil"/>
              <w:left w:val="nil"/>
              <w:bottom w:val="nil"/>
              <w:right w:val="nil"/>
            </w:tcBorders>
            <w:shd w:val="clear" w:color="auto" w:fill="auto"/>
            <w:vAlign w:val="bottom"/>
          </w:tcPr>
          <w:p w14:paraId="71E4C12A" w14:textId="77777777" w:rsidR="00361719" w:rsidRPr="0056686B" w:rsidRDefault="00361719" w:rsidP="00422DD5">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Poslovne aktivnosti</w:t>
            </w:r>
          </w:p>
        </w:tc>
        <w:tc>
          <w:tcPr>
            <w:tcW w:w="1276" w:type="dxa"/>
            <w:tcBorders>
              <w:top w:val="nil"/>
              <w:left w:val="nil"/>
              <w:bottom w:val="nil"/>
              <w:right w:val="nil"/>
            </w:tcBorders>
            <w:shd w:val="clear" w:color="auto" w:fill="auto"/>
            <w:noWrap/>
            <w:vAlign w:val="bottom"/>
          </w:tcPr>
          <w:p w14:paraId="6FD35B7F"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p>
        </w:tc>
        <w:tc>
          <w:tcPr>
            <w:tcW w:w="1134" w:type="dxa"/>
            <w:tcBorders>
              <w:top w:val="nil"/>
              <w:left w:val="nil"/>
              <w:bottom w:val="nil"/>
              <w:right w:val="nil"/>
            </w:tcBorders>
            <w:shd w:val="clear" w:color="auto" w:fill="auto"/>
            <w:vAlign w:val="bottom"/>
          </w:tcPr>
          <w:p w14:paraId="1A69FF11"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p>
        </w:tc>
      </w:tr>
      <w:tr w:rsidR="00361719" w:rsidRPr="0056686B" w14:paraId="709D51E1" w14:textId="77777777" w:rsidTr="00422DD5">
        <w:trPr>
          <w:trHeight w:val="66"/>
        </w:trPr>
        <w:tc>
          <w:tcPr>
            <w:tcW w:w="6237" w:type="dxa"/>
            <w:tcBorders>
              <w:top w:val="nil"/>
              <w:left w:val="nil"/>
              <w:bottom w:val="nil"/>
              <w:right w:val="nil"/>
            </w:tcBorders>
            <w:shd w:val="clear" w:color="auto" w:fill="auto"/>
            <w:vAlign w:val="bottom"/>
          </w:tcPr>
          <w:p w14:paraId="7229F67A" w14:textId="77777777" w:rsidR="00361719" w:rsidRPr="0056686B" w:rsidRDefault="00361719" w:rsidP="00422DD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Dobit prije oporezivanja</w:t>
            </w:r>
          </w:p>
        </w:tc>
        <w:tc>
          <w:tcPr>
            <w:tcW w:w="1276" w:type="dxa"/>
            <w:shd w:val="clear" w:color="auto" w:fill="auto"/>
            <w:noWrap/>
            <w:vAlign w:val="bottom"/>
          </w:tcPr>
          <w:p w14:paraId="4EE190A5" w14:textId="77777777" w:rsidR="00361719" w:rsidRPr="0056686B" w:rsidRDefault="00361719" w:rsidP="00422DD5">
            <w:pPr>
              <w:suppressAutoHyphens/>
              <w:autoSpaceDN w:val="0"/>
              <w:jc w:val="right"/>
              <w:rPr>
                <w:rFonts w:ascii="Arial" w:eastAsia="Times New Roman" w:hAnsi="Arial" w:cs="Arial"/>
                <w:bCs/>
                <w:color w:val="000000" w:themeColor="text1"/>
                <w:sz w:val="18"/>
                <w:szCs w:val="18"/>
              </w:rPr>
            </w:pPr>
            <w:r w:rsidRPr="00B56A3D">
              <w:rPr>
                <w:rFonts w:ascii="Arial" w:eastAsia="Times New Roman" w:hAnsi="Arial" w:cs="Arial"/>
                <w:bCs/>
                <w:color w:val="000000" w:themeColor="text1"/>
                <w:sz w:val="18"/>
                <w:szCs w:val="18"/>
              </w:rPr>
              <w:t>10</w:t>
            </w:r>
          </w:p>
        </w:tc>
        <w:tc>
          <w:tcPr>
            <w:tcW w:w="1134" w:type="dxa"/>
            <w:shd w:val="clear" w:color="auto" w:fill="auto"/>
            <w:vAlign w:val="bottom"/>
          </w:tcPr>
          <w:p w14:paraId="3E76DA31" w14:textId="77777777" w:rsidR="00361719" w:rsidRPr="0056686B" w:rsidRDefault="00361719" w:rsidP="00422DD5">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bCs/>
                <w:color w:val="000000" w:themeColor="text1"/>
                <w:sz w:val="18"/>
                <w:szCs w:val="18"/>
              </w:rPr>
              <w:t>188</w:t>
            </w:r>
          </w:p>
        </w:tc>
      </w:tr>
      <w:tr w:rsidR="00361719" w:rsidRPr="0056686B" w14:paraId="55C8AB07" w14:textId="77777777" w:rsidTr="00422DD5">
        <w:trPr>
          <w:trHeight w:val="180"/>
        </w:trPr>
        <w:tc>
          <w:tcPr>
            <w:tcW w:w="6237" w:type="dxa"/>
            <w:tcBorders>
              <w:top w:val="nil"/>
              <w:left w:val="nil"/>
              <w:bottom w:val="nil"/>
              <w:right w:val="nil"/>
            </w:tcBorders>
            <w:shd w:val="clear" w:color="auto" w:fill="auto"/>
            <w:vAlign w:val="bottom"/>
          </w:tcPr>
          <w:p w14:paraId="5E5B1AE6" w14:textId="77777777" w:rsidR="00361719" w:rsidRPr="0056686B" w:rsidRDefault="00361719" w:rsidP="00422DD5">
            <w:pPr>
              <w:suppressAutoHyphens/>
              <w:autoSpaceDN w:val="0"/>
              <w:rPr>
                <w:rFonts w:ascii="Arial" w:eastAsia="Times New Roman" w:hAnsi="Arial" w:cs="Arial"/>
                <w:i/>
                <w:color w:val="000000" w:themeColor="text1"/>
                <w:sz w:val="18"/>
                <w:szCs w:val="18"/>
              </w:rPr>
            </w:pPr>
            <w:r w:rsidRPr="0056686B">
              <w:rPr>
                <w:rFonts w:ascii="Arial" w:eastAsia="Times New Roman" w:hAnsi="Arial" w:cs="Arial"/>
                <w:i/>
                <w:color w:val="000000" w:themeColor="text1"/>
                <w:sz w:val="18"/>
                <w:szCs w:val="18"/>
              </w:rPr>
              <w:t>Usklađenje na neto novčana sredstva ostvarena i uporabljena za poslovne aktivnosti</w:t>
            </w:r>
          </w:p>
        </w:tc>
        <w:tc>
          <w:tcPr>
            <w:tcW w:w="1276" w:type="dxa"/>
            <w:shd w:val="clear" w:color="auto" w:fill="auto"/>
            <w:noWrap/>
            <w:vAlign w:val="bottom"/>
          </w:tcPr>
          <w:p w14:paraId="6823D4A0"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p>
        </w:tc>
        <w:tc>
          <w:tcPr>
            <w:tcW w:w="1134" w:type="dxa"/>
            <w:shd w:val="clear" w:color="auto" w:fill="auto"/>
            <w:vAlign w:val="bottom"/>
          </w:tcPr>
          <w:p w14:paraId="41A0ED9E"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p>
        </w:tc>
      </w:tr>
      <w:tr w:rsidR="00361719" w:rsidRPr="0056686B" w14:paraId="7A30D0A1" w14:textId="77777777" w:rsidTr="00422DD5">
        <w:trPr>
          <w:trHeight w:val="180"/>
        </w:trPr>
        <w:tc>
          <w:tcPr>
            <w:tcW w:w="6237" w:type="dxa"/>
            <w:tcBorders>
              <w:top w:val="nil"/>
              <w:left w:val="nil"/>
              <w:bottom w:val="nil"/>
              <w:right w:val="nil"/>
            </w:tcBorders>
            <w:shd w:val="clear" w:color="auto" w:fill="auto"/>
            <w:vAlign w:val="bottom"/>
          </w:tcPr>
          <w:p w14:paraId="0E560336" w14:textId="77777777" w:rsidR="00361719" w:rsidRPr="0056686B" w:rsidRDefault="00361719" w:rsidP="00422DD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Amortizacija</w:t>
            </w:r>
          </w:p>
        </w:tc>
        <w:tc>
          <w:tcPr>
            <w:tcW w:w="1276" w:type="dxa"/>
            <w:shd w:val="clear" w:color="auto" w:fill="auto"/>
            <w:noWrap/>
            <w:vAlign w:val="bottom"/>
          </w:tcPr>
          <w:p w14:paraId="14C5F607"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r w:rsidRPr="00B56A3D">
              <w:rPr>
                <w:rFonts w:ascii="Arial" w:eastAsia="Times New Roman" w:hAnsi="Arial" w:cs="Arial"/>
                <w:color w:val="000000" w:themeColor="text1"/>
                <w:sz w:val="18"/>
                <w:szCs w:val="18"/>
              </w:rPr>
              <w:t>21</w:t>
            </w:r>
          </w:p>
        </w:tc>
        <w:tc>
          <w:tcPr>
            <w:tcW w:w="1134" w:type="dxa"/>
            <w:shd w:val="clear" w:color="auto" w:fill="auto"/>
            <w:vAlign w:val="bottom"/>
          </w:tcPr>
          <w:p w14:paraId="097C21FE"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12</w:t>
            </w:r>
          </w:p>
        </w:tc>
      </w:tr>
      <w:tr w:rsidR="00361719" w:rsidRPr="0056686B" w14:paraId="516E1975" w14:textId="77777777" w:rsidTr="00422DD5">
        <w:trPr>
          <w:trHeight w:val="180"/>
        </w:trPr>
        <w:tc>
          <w:tcPr>
            <w:tcW w:w="6237" w:type="dxa"/>
            <w:tcBorders>
              <w:top w:val="nil"/>
              <w:left w:val="nil"/>
              <w:bottom w:val="nil"/>
              <w:right w:val="nil"/>
            </w:tcBorders>
            <w:shd w:val="clear" w:color="auto" w:fill="auto"/>
            <w:vAlign w:val="bottom"/>
          </w:tcPr>
          <w:p w14:paraId="3DC0BC01" w14:textId="77777777" w:rsidR="00361719" w:rsidRPr="0056686B" w:rsidRDefault="00361719" w:rsidP="00422DD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Gubitak od umanjenja vrijednosti i rezerviranja</w:t>
            </w:r>
          </w:p>
        </w:tc>
        <w:tc>
          <w:tcPr>
            <w:tcW w:w="1276" w:type="dxa"/>
            <w:shd w:val="clear" w:color="auto" w:fill="auto"/>
            <w:noWrap/>
            <w:vAlign w:val="bottom"/>
          </w:tcPr>
          <w:p w14:paraId="25F95499"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w:t>
            </w:r>
          </w:p>
        </w:tc>
        <w:tc>
          <w:tcPr>
            <w:tcW w:w="1134" w:type="dxa"/>
            <w:shd w:val="clear" w:color="auto" w:fill="auto"/>
            <w:vAlign w:val="bottom"/>
          </w:tcPr>
          <w:p w14:paraId="692F2A13"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w:t>
            </w:r>
          </w:p>
        </w:tc>
      </w:tr>
      <w:tr w:rsidR="00361719" w:rsidRPr="0056686B" w14:paraId="4F2DCA9F" w14:textId="77777777" w:rsidTr="00422DD5">
        <w:trPr>
          <w:trHeight w:val="184"/>
        </w:trPr>
        <w:tc>
          <w:tcPr>
            <w:tcW w:w="6237" w:type="dxa"/>
            <w:tcBorders>
              <w:top w:val="nil"/>
              <w:left w:val="nil"/>
              <w:bottom w:val="nil"/>
              <w:right w:val="nil"/>
            </w:tcBorders>
            <w:shd w:val="clear" w:color="auto" w:fill="auto"/>
            <w:vAlign w:val="bottom"/>
          </w:tcPr>
          <w:p w14:paraId="07D36F54" w14:textId="77777777" w:rsidR="00361719" w:rsidRPr="0056686B" w:rsidRDefault="00361719" w:rsidP="00422DD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Porez na dobit</w:t>
            </w:r>
          </w:p>
        </w:tc>
        <w:tc>
          <w:tcPr>
            <w:tcW w:w="1276" w:type="dxa"/>
            <w:shd w:val="clear" w:color="auto" w:fill="auto"/>
            <w:noWrap/>
            <w:vAlign w:val="bottom"/>
          </w:tcPr>
          <w:p w14:paraId="5562AA7A"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(12)</w:t>
            </w:r>
          </w:p>
        </w:tc>
        <w:tc>
          <w:tcPr>
            <w:tcW w:w="1134" w:type="dxa"/>
            <w:shd w:val="clear" w:color="auto" w:fill="auto"/>
            <w:vAlign w:val="bottom"/>
          </w:tcPr>
          <w:p w14:paraId="4532F6AB"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361719" w:rsidRPr="0056686B" w14:paraId="248FD8DB" w14:textId="77777777" w:rsidTr="00422DD5">
        <w:trPr>
          <w:trHeight w:val="184"/>
        </w:trPr>
        <w:tc>
          <w:tcPr>
            <w:tcW w:w="6237" w:type="dxa"/>
            <w:tcBorders>
              <w:top w:val="nil"/>
              <w:left w:val="nil"/>
              <w:bottom w:val="nil"/>
              <w:right w:val="nil"/>
            </w:tcBorders>
            <w:shd w:val="clear" w:color="auto" w:fill="auto"/>
            <w:vAlign w:val="bottom"/>
          </w:tcPr>
          <w:p w14:paraId="2AC32110" w14:textId="77777777" w:rsidR="00361719" w:rsidRPr="0056686B" w:rsidRDefault="00361719" w:rsidP="00422DD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Obračunane kamate</w:t>
            </w:r>
          </w:p>
        </w:tc>
        <w:tc>
          <w:tcPr>
            <w:tcW w:w="1276" w:type="dxa"/>
            <w:shd w:val="clear" w:color="auto" w:fill="auto"/>
            <w:noWrap/>
            <w:vAlign w:val="bottom"/>
          </w:tcPr>
          <w:p w14:paraId="1AD81A7D"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(8)</w:t>
            </w:r>
          </w:p>
        </w:tc>
        <w:tc>
          <w:tcPr>
            <w:tcW w:w="1134" w:type="dxa"/>
            <w:shd w:val="clear" w:color="auto" w:fill="auto"/>
            <w:vAlign w:val="bottom"/>
          </w:tcPr>
          <w:p w14:paraId="6F7CDF4F"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w:t>
            </w:r>
          </w:p>
        </w:tc>
      </w:tr>
      <w:tr w:rsidR="00361719" w:rsidRPr="0056686B" w14:paraId="5951AE53" w14:textId="77777777" w:rsidTr="00422DD5">
        <w:trPr>
          <w:trHeight w:val="184"/>
        </w:trPr>
        <w:tc>
          <w:tcPr>
            <w:tcW w:w="6237" w:type="dxa"/>
            <w:tcBorders>
              <w:top w:val="nil"/>
              <w:left w:val="nil"/>
              <w:bottom w:val="nil"/>
              <w:right w:val="nil"/>
            </w:tcBorders>
            <w:shd w:val="clear" w:color="auto" w:fill="auto"/>
            <w:vAlign w:val="bottom"/>
          </w:tcPr>
          <w:p w14:paraId="3D7F067A" w14:textId="77777777" w:rsidR="00361719" w:rsidRPr="0056686B" w:rsidRDefault="00361719" w:rsidP="00422DD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Ostalo</w:t>
            </w:r>
          </w:p>
        </w:tc>
        <w:tc>
          <w:tcPr>
            <w:tcW w:w="1276" w:type="dxa"/>
            <w:shd w:val="clear" w:color="auto" w:fill="auto"/>
            <w:noWrap/>
            <w:vAlign w:val="bottom"/>
          </w:tcPr>
          <w:p w14:paraId="4D2843A5"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vAlign w:val="bottom"/>
          </w:tcPr>
          <w:p w14:paraId="1CB7FC2B" w14:textId="77777777" w:rsidR="00361719" w:rsidRPr="0056686B" w:rsidRDefault="00361719" w:rsidP="00422DD5">
            <w:pPr>
              <w:suppressAutoHyphens/>
              <w:autoSpaceDN w:val="0"/>
              <w:jc w:val="right"/>
              <w:rPr>
                <w:rFonts w:ascii="Arial" w:eastAsia="Times New Roman" w:hAnsi="Arial" w:cs="Arial"/>
                <w:bCs/>
                <w:color w:val="000000" w:themeColor="text1"/>
                <w:sz w:val="18"/>
                <w:szCs w:val="18"/>
              </w:rPr>
            </w:pPr>
            <w:r>
              <w:rPr>
                <w:rFonts w:ascii="Arial" w:eastAsia="Times New Roman" w:hAnsi="Arial" w:cs="Arial"/>
                <w:color w:val="000000" w:themeColor="text1"/>
                <w:sz w:val="18"/>
                <w:szCs w:val="18"/>
              </w:rPr>
              <w:t>6</w:t>
            </w:r>
          </w:p>
        </w:tc>
      </w:tr>
      <w:tr w:rsidR="00361719" w:rsidRPr="0056686B" w14:paraId="7CA7D287" w14:textId="77777777" w:rsidTr="00422DD5">
        <w:trPr>
          <w:trHeight w:val="184"/>
        </w:trPr>
        <w:tc>
          <w:tcPr>
            <w:tcW w:w="6237" w:type="dxa"/>
            <w:tcBorders>
              <w:top w:val="nil"/>
              <w:left w:val="nil"/>
              <w:bottom w:val="nil"/>
              <w:right w:val="nil"/>
            </w:tcBorders>
            <w:shd w:val="clear" w:color="auto" w:fill="auto"/>
            <w:vAlign w:val="bottom"/>
          </w:tcPr>
          <w:p w14:paraId="2D99828A" w14:textId="77777777" w:rsidR="00361719" w:rsidRPr="0056686B" w:rsidRDefault="00361719" w:rsidP="00422DD5">
            <w:pPr>
              <w:suppressAutoHyphens/>
              <w:autoSpaceDN w:val="0"/>
              <w:rPr>
                <w:rFonts w:ascii="Arial" w:eastAsia="Times New Roman" w:hAnsi="Arial" w:cs="Arial"/>
                <w:color w:val="000000" w:themeColor="text1"/>
                <w:sz w:val="18"/>
                <w:szCs w:val="18"/>
              </w:rPr>
            </w:pPr>
            <w:r w:rsidRPr="00B56A3D">
              <w:rPr>
                <w:rFonts w:ascii="Arial" w:eastAsia="Times New Roman" w:hAnsi="Arial" w:cs="Arial"/>
                <w:color w:val="000000" w:themeColor="text1"/>
                <w:sz w:val="18"/>
                <w:szCs w:val="18"/>
              </w:rPr>
              <w:t>Premija/diskont od FVOC</w:t>
            </w:r>
          </w:p>
        </w:tc>
        <w:tc>
          <w:tcPr>
            <w:tcW w:w="1276" w:type="dxa"/>
            <w:shd w:val="clear" w:color="auto" w:fill="auto"/>
            <w:noWrap/>
            <w:vAlign w:val="bottom"/>
          </w:tcPr>
          <w:p w14:paraId="7531C08C"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w:t>
            </w:r>
          </w:p>
        </w:tc>
        <w:tc>
          <w:tcPr>
            <w:tcW w:w="1134" w:type="dxa"/>
            <w:shd w:val="clear" w:color="auto" w:fill="auto"/>
            <w:vAlign w:val="bottom"/>
          </w:tcPr>
          <w:p w14:paraId="10B4A197" w14:textId="77777777" w:rsidR="00361719" w:rsidRDefault="00361719"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361719" w:rsidRPr="0056686B" w14:paraId="7E49B1C6" w14:textId="77777777" w:rsidTr="00422DD5">
        <w:trPr>
          <w:trHeight w:val="164"/>
        </w:trPr>
        <w:tc>
          <w:tcPr>
            <w:tcW w:w="6237" w:type="dxa"/>
            <w:tcBorders>
              <w:left w:val="nil"/>
              <w:right w:val="nil"/>
            </w:tcBorders>
            <w:shd w:val="clear" w:color="auto" w:fill="auto"/>
            <w:vAlign w:val="bottom"/>
          </w:tcPr>
          <w:p w14:paraId="4D44797B" w14:textId="77777777" w:rsidR="00361719" w:rsidRPr="0056686B" w:rsidRDefault="00361719" w:rsidP="00422DD5">
            <w:pPr>
              <w:suppressAutoHyphens/>
              <w:autoSpaceDN w:val="0"/>
              <w:rPr>
                <w:rFonts w:ascii="Arial" w:eastAsia="Times New Roman" w:hAnsi="Arial" w:cs="Arial"/>
                <w:i/>
                <w:color w:val="000000" w:themeColor="text1"/>
                <w:sz w:val="18"/>
                <w:szCs w:val="18"/>
              </w:rPr>
            </w:pPr>
            <w:r w:rsidRPr="0056686B">
              <w:rPr>
                <w:rFonts w:ascii="Arial" w:eastAsia="Times New Roman" w:hAnsi="Arial" w:cs="Arial"/>
                <w:i/>
                <w:color w:val="000000" w:themeColor="text1"/>
                <w:sz w:val="18"/>
                <w:szCs w:val="18"/>
              </w:rPr>
              <w:t>Dobit iz poslovnih aktivnosti prije promjena radnoga kapitala</w:t>
            </w:r>
          </w:p>
        </w:tc>
        <w:tc>
          <w:tcPr>
            <w:tcW w:w="1276" w:type="dxa"/>
            <w:shd w:val="clear" w:color="auto" w:fill="auto"/>
            <w:noWrap/>
            <w:vAlign w:val="bottom"/>
          </w:tcPr>
          <w:p w14:paraId="56F54803" w14:textId="77777777" w:rsidR="00361719" w:rsidRPr="0056686B" w:rsidRDefault="00361719" w:rsidP="00422DD5">
            <w:pPr>
              <w:suppressAutoHyphens/>
              <w:autoSpaceDN w:val="0"/>
              <w:jc w:val="right"/>
              <w:rPr>
                <w:rFonts w:ascii="Arial" w:eastAsia="Times New Roman" w:hAnsi="Arial" w:cs="Arial"/>
                <w:bCs/>
                <w:i/>
                <w:color w:val="000000" w:themeColor="text1"/>
                <w:sz w:val="18"/>
                <w:szCs w:val="18"/>
              </w:rPr>
            </w:pPr>
            <w:r>
              <w:rPr>
                <w:rFonts w:ascii="Arial" w:eastAsia="Times New Roman" w:hAnsi="Arial" w:cs="Arial"/>
                <w:bCs/>
                <w:i/>
                <w:color w:val="000000" w:themeColor="text1"/>
                <w:sz w:val="18"/>
                <w:szCs w:val="18"/>
              </w:rPr>
              <w:t>11</w:t>
            </w:r>
          </w:p>
        </w:tc>
        <w:tc>
          <w:tcPr>
            <w:tcW w:w="1134" w:type="dxa"/>
            <w:shd w:val="clear" w:color="auto" w:fill="auto"/>
            <w:vAlign w:val="bottom"/>
          </w:tcPr>
          <w:p w14:paraId="1AD87D40" w14:textId="77777777" w:rsidR="00361719" w:rsidRPr="0056686B" w:rsidRDefault="00361719" w:rsidP="00422DD5">
            <w:pPr>
              <w:suppressAutoHyphens/>
              <w:autoSpaceDN w:val="0"/>
              <w:jc w:val="right"/>
              <w:rPr>
                <w:rFonts w:ascii="Arial" w:eastAsia="Times New Roman" w:hAnsi="Arial" w:cs="Arial"/>
                <w:bCs/>
                <w:i/>
                <w:color w:val="000000" w:themeColor="text1"/>
                <w:sz w:val="18"/>
                <w:szCs w:val="18"/>
              </w:rPr>
            </w:pPr>
            <w:r>
              <w:rPr>
                <w:rFonts w:ascii="Arial" w:eastAsia="Times New Roman" w:hAnsi="Arial" w:cs="Arial"/>
                <w:bCs/>
                <w:i/>
                <w:color w:val="000000" w:themeColor="text1"/>
                <w:sz w:val="18"/>
                <w:szCs w:val="18"/>
              </w:rPr>
              <w:t>207</w:t>
            </w:r>
          </w:p>
        </w:tc>
      </w:tr>
      <w:tr w:rsidR="00361719" w:rsidRPr="0056686B" w14:paraId="79BCDFE6" w14:textId="77777777" w:rsidTr="00422DD5">
        <w:trPr>
          <w:trHeight w:val="60"/>
        </w:trPr>
        <w:tc>
          <w:tcPr>
            <w:tcW w:w="6237" w:type="dxa"/>
            <w:tcBorders>
              <w:left w:val="nil"/>
              <w:bottom w:val="nil"/>
              <w:right w:val="nil"/>
            </w:tcBorders>
            <w:shd w:val="clear" w:color="auto" w:fill="auto"/>
            <w:vAlign w:val="bottom"/>
          </w:tcPr>
          <w:p w14:paraId="6C35FB9A" w14:textId="77777777" w:rsidR="00361719" w:rsidRPr="0056686B" w:rsidRDefault="00361719" w:rsidP="00422DD5">
            <w:pPr>
              <w:suppressAutoHyphens/>
              <w:autoSpaceDN w:val="0"/>
              <w:spacing w:line="140" w:lineRule="exact"/>
              <w:rPr>
                <w:rFonts w:ascii="Arial" w:eastAsia="Times New Roman" w:hAnsi="Arial" w:cs="Arial"/>
                <w:color w:val="000000" w:themeColor="text1"/>
                <w:sz w:val="18"/>
                <w:szCs w:val="18"/>
              </w:rPr>
            </w:pPr>
          </w:p>
        </w:tc>
        <w:tc>
          <w:tcPr>
            <w:tcW w:w="1276" w:type="dxa"/>
            <w:shd w:val="clear" w:color="auto" w:fill="auto"/>
            <w:noWrap/>
            <w:vAlign w:val="bottom"/>
          </w:tcPr>
          <w:p w14:paraId="6E023AC1" w14:textId="77777777" w:rsidR="00361719" w:rsidRPr="0056686B" w:rsidRDefault="00361719" w:rsidP="00422DD5">
            <w:pPr>
              <w:suppressAutoHyphens/>
              <w:autoSpaceDN w:val="0"/>
              <w:spacing w:line="140" w:lineRule="exact"/>
              <w:jc w:val="right"/>
              <w:rPr>
                <w:rFonts w:ascii="Arial" w:eastAsia="Times New Roman" w:hAnsi="Arial" w:cs="Arial"/>
                <w:color w:val="000000" w:themeColor="text1"/>
                <w:sz w:val="18"/>
                <w:szCs w:val="18"/>
              </w:rPr>
            </w:pPr>
          </w:p>
        </w:tc>
        <w:tc>
          <w:tcPr>
            <w:tcW w:w="1134" w:type="dxa"/>
            <w:shd w:val="clear" w:color="auto" w:fill="auto"/>
            <w:vAlign w:val="bottom"/>
          </w:tcPr>
          <w:p w14:paraId="6694E909" w14:textId="77777777" w:rsidR="00361719" w:rsidRPr="0056686B" w:rsidRDefault="00361719" w:rsidP="00422DD5">
            <w:pPr>
              <w:suppressAutoHyphens/>
              <w:autoSpaceDN w:val="0"/>
              <w:spacing w:line="140" w:lineRule="exact"/>
              <w:jc w:val="right"/>
              <w:rPr>
                <w:rFonts w:ascii="Arial" w:eastAsia="Times New Roman" w:hAnsi="Arial" w:cs="Arial"/>
                <w:color w:val="000000" w:themeColor="text1"/>
                <w:sz w:val="18"/>
                <w:szCs w:val="18"/>
              </w:rPr>
            </w:pPr>
          </w:p>
        </w:tc>
      </w:tr>
      <w:tr w:rsidR="00361719" w:rsidRPr="0056686B" w14:paraId="3DD853DD" w14:textId="77777777" w:rsidTr="00422DD5">
        <w:trPr>
          <w:trHeight w:val="148"/>
        </w:trPr>
        <w:tc>
          <w:tcPr>
            <w:tcW w:w="6237" w:type="dxa"/>
            <w:tcBorders>
              <w:top w:val="nil"/>
              <w:left w:val="nil"/>
              <w:bottom w:val="nil"/>
              <w:right w:val="nil"/>
            </w:tcBorders>
            <w:shd w:val="clear" w:color="auto" w:fill="auto"/>
            <w:vAlign w:val="bottom"/>
          </w:tcPr>
          <w:p w14:paraId="5DE66E64" w14:textId="77777777" w:rsidR="00361719" w:rsidRPr="00624CCA" w:rsidRDefault="00361719" w:rsidP="00422DD5">
            <w:pPr>
              <w:suppressAutoHyphens/>
              <w:autoSpaceDN w:val="0"/>
              <w:rPr>
                <w:rFonts w:ascii="Arial" w:eastAsia="Times New Roman" w:hAnsi="Arial" w:cs="Arial"/>
                <w:b/>
                <w:color w:val="000000" w:themeColor="text1"/>
                <w:sz w:val="18"/>
                <w:szCs w:val="18"/>
              </w:rPr>
            </w:pPr>
            <w:r w:rsidRPr="00624CCA">
              <w:rPr>
                <w:rFonts w:ascii="Arial" w:eastAsia="Times New Roman" w:hAnsi="Arial" w:cs="Arial"/>
                <w:b/>
                <w:color w:val="000000" w:themeColor="text1"/>
                <w:sz w:val="18"/>
                <w:szCs w:val="18"/>
              </w:rPr>
              <w:t>Promjene u poslovnim sredstvima i izvorima</w:t>
            </w:r>
          </w:p>
        </w:tc>
        <w:tc>
          <w:tcPr>
            <w:tcW w:w="1276" w:type="dxa"/>
            <w:shd w:val="clear" w:color="auto" w:fill="auto"/>
            <w:noWrap/>
            <w:vAlign w:val="bottom"/>
          </w:tcPr>
          <w:p w14:paraId="6C25EBA2"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p>
        </w:tc>
        <w:tc>
          <w:tcPr>
            <w:tcW w:w="1134" w:type="dxa"/>
            <w:shd w:val="clear" w:color="auto" w:fill="auto"/>
            <w:vAlign w:val="bottom"/>
          </w:tcPr>
          <w:p w14:paraId="05CDA8FB"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p>
        </w:tc>
      </w:tr>
      <w:tr w:rsidR="00361719" w:rsidRPr="0056686B" w14:paraId="430AD80E" w14:textId="77777777" w:rsidTr="00422DD5">
        <w:trPr>
          <w:trHeight w:val="148"/>
        </w:trPr>
        <w:tc>
          <w:tcPr>
            <w:tcW w:w="6237" w:type="dxa"/>
            <w:tcBorders>
              <w:top w:val="nil"/>
              <w:left w:val="nil"/>
              <w:bottom w:val="nil"/>
              <w:right w:val="nil"/>
            </w:tcBorders>
            <w:shd w:val="clear" w:color="auto" w:fill="auto"/>
            <w:vAlign w:val="bottom"/>
          </w:tcPr>
          <w:p w14:paraId="2F162558" w14:textId="77777777" w:rsidR="00361719" w:rsidRPr="00624CCA" w:rsidRDefault="00361719" w:rsidP="00422DD5">
            <w:pPr>
              <w:suppressAutoHyphens/>
              <w:autoSpaceDN w:val="0"/>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 xml:space="preserve">Neto </w:t>
            </w:r>
            <w:r>
              <w:rPr>
                <w:rFonts w:ascii="Arial" w:eastAsia="Times New Roman" w:hAnsi="Arial" w:cs="Arial"/>
                <w:color w:val="000000" w:themeColor="text1"/>
                <w:sz w:val="18"/>
                <w:szCs w:val="18"/>
              </w:rPr>
              <w:t>smanjenje/</w:t>
            </w:r>
            <w:r w:rsidRPr="00624CCA">
              <w:rPr>
                <w:rFonts w:ascii="Arial" w:eastAsia="Times New Roman" w:hAnsi="Arial" w:cs="Arial"/>
                <w:color w:val="000000" w:themeColor="text1"/>
                <w:sz w:val="18"/>
                <w:szCs w:val="18"/>
              </w:rPr>
              <w:t>(povećanje) depozita kod drugih banaka</w:t>
            </w:r>
          </w:p>
        </w:tc>
        <w:tc>
          <w:tcPr>
            <w:tcW w:w="1276" w:type="dxa"/>
            <w:shd w:val="clear" w:color="auto" w:fill="auto"/>
            <w:noWrap/>
            <w:vAlign w:val="bottom"/>
          </w:tcPr>
          <w:p w14:paraId="7FA3758F"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20</w:t>
            </w:r>
          </w:p>
        </w:tc>
        <w:tc>
          <w:tcPr>
            <w:tcW w:w="1134" w:type="dxa"/>
            <w:shd w:val="clear" w:color="auto" w:fill="auto"/>
            <w:vAlign w:val="bottom"/>
          </w:tcPr>
          <w:p w14:paraId="3CE1F1ED"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(80)</w:t>
            </w:r>
          </w:p>
        </w:tc>
      </w:tr>
      <w:tr w:rsidR="00361719" w:rsidRPr="0056686B" w14:paraId="1070ABA7" w14:textId="77777777" w:rsidTr="00422DD5">
        <w:trPr>
          <w:trHeight w:val="254"/>
        </w:trPr>
        <w:tc>
          <w:tcPr>
            <w:tcW w:w="6237" w:type="dxa"/>
            <w:tcBorders>
              <w:top w:val="nil"/>
              <w:left w:val="nil"/>
              <w:bottom w:val="nil"/>
              <w:right w:val="nil"/>
            </w:tcBorders>
            <w:shd w:val="clear" w:color="auto" w:fill="auto"/>
            <w:vAlign w:val="bottom"/>
          </w:tcPr>
          <w:p w14:paraId="120F6B74" w14:textId="77777777" w:rsidR="00361719" w:rsidRPr="00624CCA" w:rsidRDefault="00361719" w:rsidP="00422DD5">
            <w:pPr>
              <w:suppressAutoHyphens/>
              <w:autoSpaceDN w:val="0"/>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Smanjenje diskonta po imovini raspoloživoj za prodaju i imovini do dospijeća</w:t>
            </w:r>
          </w:p>
        </w:tc>
        <w:tc>
          <w:tcPr>
            <w:tcW w:w="1276" w:type="dxa"/>
            <w:shd w:val="clear" w:color="auto" w:fill="auto"/>
            <w:noWrap/>
            <w:vAlign w:val="bottom"/>
          </w:tcPr>
          <w:p w14:paraId="7499F6DD"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vAlign w:val="bottom"/>
          </w:tcPr>
          <w:p w14:paraId="51A05F31"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w:t>
            </w:r>
          </w:p>
        </w:tc>
      </w:tr>
      <w:tr w:rsidR="00361719" w:rsidRPr="0056686B" w14:paraId="1020D050" w14:textId="77777777" w:rsidTr="00422DD5">
        <w:trPr>
          <w:trHeight w:val="254"/>
        </w:trPr>
        <w:tc>
          <w:tcPr>
            <w:tcW w:w="6237" w:type="dxa"/>
            <w:tcBorders>
              <w:top w:val="nil"/>
              <w:left w:val="nil"/>
              <w:bottom w:val="nil"/>
              <w:right w:val="nil"/>
            </w:tcBorders>
            <w:shd w:val="clear" w:color="auto" w:fill="auto"/>
            <w:vAlign w:val="bottom"/>
          </w:tcPr>
          <w:p w14:paraId="4D75D8C5" w14:textId="77777777" w:rsidR="00361719" w:rsidRPr="00624CCA" w:rsidRDefault="00361719" w:rsidP="00422DD5">
            <w:pPr>
              <w:suppressAutoHyphens/>
              <w:autoSpaceDN w:val="0"/>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Potraživanja po premijama</w:t>
            </w:r>
          </w:p>
        </w:tc>
        <w:tc>
          <w:tcPr>
            <w:tcW w:w="1276" w:type="dxa"/>
            <w:shd w:val="clear" w:color="auto" w:fill="auto"/>
            <w:noWrap/>
            <w:vAlign w:val="bottom"/>
          </w:tcPr>
          <w:p w14:paraId="3D09D2C3"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(80)</w:t>
            </w:r>
          </w:p>
        </w:tc>
        <w:tc>
          <w:tcPr>
            <w:tcW w:w="1134" w:type="dxa"/>
            <w:shd w:val="clear" w:color="auto" w:fill="auto"/>
            <w:vAlign w:val="bottom"/>
          </w:tcPr>
          <w:p w14:paraId="3CE74A79"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(293)</w:t>
            </w:r>
          </w:p>
        </w:tc>
      </w:tr>
      <w:tr w:rsidR="00361719" w:rsidRPr="0056686B" w14:paraId="1ACF07D4" w14:textId="77777777" w:rsidTr="00422DD5">
        <w:trPr>
          <w:trHeight w:val="254"/>
        </w:trPr>
        <w:tc>
          <w:tcPr>
            <w:tcW w:w="6237" w:type="dxa"/>
            <w:tcBorders>
              <w:top w:val="nil"/>
              <w:left w:val="nil"/>
              <w:bottom w:val="nil"/>
              <w:right w:val="nil"/>
            </w:tcBorders>
            <w:shd w:val="clear" w:color="auto" w:fill="auto"/>
            <w:vAlign w:val="bottom"/>
          </w:tcPr>
          <w:p w14:paraId="55E4440F" w14:textId="77777777" w:rsidR="00361719" w:rsidRPr="00624CCA" w:rsidRDefault="00361719" w:rsidP="00422DD5">
            <w:pPr>
              <w:suppressAutoHyphens/>
              <w:autoSpaceDN w:val="0"/>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Neto (povećanje) ostale imovine</w:t>
            </w:r>
          </w:p>
        </w:tc>
        <w:tc>
          <w:tcPr>
            <w:tcW w:w="1276" w:type="dxa"/>
            <w:shd w:val="clear" w:color="auto" w:fill="auto"/>
            <w:noWrap/>
            <w:vAlign w:val="bottom"/>
          </w:tcPr>
          <w:p w14:paraId="3113D9BA"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(16)</w:t>
            </w:r>
          </w:p>
        </w:tc>
        <w:tc>
          <w:tcPr>
            <w:tcW w:w="1134" w:type="dxa"/>
            <w:shd w:val="clear" w:color="auto" w:fill="auto"/>
            <w:vAlign w:val="bottom"/>
          </w:tcPr>
          <w:p w14:paraId="61948C16"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(24)</w:t>
            </w:r>
          </w:p>
        </w:tc>
      </w:tr>
      <w:tr w:rsidR="00361719" w:rsidRPr="0056686B" w14:paraId="7C74CE1C" w14:textId="77777777" w:rsidTr="00422DD5">
        <w:trPr>
          <w:trHeight w:val="254"/>
        </w:trPr>
        <w:tc>
          <w:tcPr>
            <w:tcW w:w="6237" w:type="dxa"/>
            <w:tcBorders>
              <w:top w:val="nil"/>
              <w:left w:val="nil"/>
              <w:bottom w:val="nil"/>
              <w:right w:val="nil"/>
            </w:tcBorders>
            <w:shd w:val="clear" w:color="auto" w:fill="auto"/>
            <w:vAlign w:val="bottom"/>
          </w:tcPr>
          <w:p w14:paraId="136C0FB5" w14:textId="77777777" w:rsidR="00361719" w:rsidRPr="00624CCA" w:rsidRDefault="00361719" w:rsidP="00422DD5">
            <w:pPr>
              <w:suppressAutoHyphens/>
              <w:autoSpaceDN w:val="0"/>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Neto smanjenje imovine i obveza iz poslova osiguranja</w:t>
            </w:r>
          </w:p>
        </w:tc>
        <w:tc>
          <w:tcPr>
            <w:tcW w:w="1276" w:type="dxa"/>
            <w:shd w:val="clear" w:color="auto" w:fill="auto"/>
            <w:noWrap/>
            <w:vAlign w:val="bottom"/>
          </w:tcPr>
          <w:p w14:paraId="33A3555E"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vAlign w:val="bottom"/>
          </w:tcPr>
          <w:p w14:paraId="1C0EBCFC"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361719" w:rsidRPr="0056686B" w14:paraId="5B6846FD" w14:textId="77777777" w:rsidTr="00422DD5">
        <w:trPr>
          <w:trHeight w:val="254"/>
        </w:trPr>
        <w:tc>
          <w:tcPr>
            <w:tcW w:w="6237" w:type="dxa"/>
            <w:tcBorders>
              <w:top w:val="nil"/>
              <w:left w:val="nil"/>
              <w:bottom w:val="nil"/>
              <w:right w:val="nil"/>
            </w:tcBorders>
            <w:shd w:val="clear" w:color="auto" w:fill="auto"/>
            <w:vAlign w:val="bottom"/>
          </w:tcPr>
          <w:p w14:paraId="2813FBB7" w14:textId="77777777" w:rsidR="00361719" w:rsidRPr="00624CCA" w:rsidRDefault="00361719" w:rsidP="00422DD5">
            <w:pPr>
              <w:suppressAutoHyphens/>
              <w:autoSpaceDN w:val="0"/>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Neto (sm</w:t>
            </w:r>
            <w:r>
              <w:rPr>
                <w:rFonts w:ascii="Arial" w:eastAsia="Times New Roman" w:hAnsi="Arial" w:cs="Arial"/>
                <w:color w:val="000000" w:themeColor="text1"/>
                <w:sz w:val="18"/>
                <w:szCs w:val="18"/>
              </w:rPr>
              <w:t>a</w:t>
            </w:r>
            <w:r w:rsidRPr="00624CCA">
              <w:rPr>
                <w:rFonts w:ascii="Arial" w:eastAsia="Times New Roman" w:hAnsi="Arial" w:cs="Arial"/>
                <w:color w:val="000000" w:themeColor="text1"/>
                <w:sz w:val="18"/>
                <w:szCs w:val="18"/>
              </w:rPr>
              <w:t>njenje) tehničkih pričuva</w:t>
            </w:r>
          </w:p>
        </w:tc>
        <w:tc>
          <w:tcPr>
            <w:tcW w:w="1276" w:type="dxa"/>
            <w:shd w:val="clear" w:color="auto" w:fill="auto"/>
            <w:noWrap/>
            <w:vAlign w:val="bottom"/>
          </w:tcPr>
          <w:p w14:paraId="21AC528E"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(74)</w:t>
            </w:r>
          </w:p>
        </w:tc>
        <w:tc>
          <w:tcPr>
            <w:tcW w:w="1134" w:type="dxa"/>
            <w:shd w:val="clear" w:color="auto" w:fill="auto"/>
            <w:vAlign w:val="bottom"/>
          </w:tcPr>
          <w:p w14:paraId="6AE7D877"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(114)</w:t>
            </w:r>
          </w:p>
        </w:tc>
      </w:tr>
      <w:tr w:rsidR="00361719" w:rsidRPr="0056686B" w14:paraId="4E4725CA" w14:textId="77777777" w:rsidTr="00422DD5">
        <w:trPr>
          <w:trHeight w:val="254"/>
        </w:trPr>
        <w:tc>
          <w:tcPr>
            <w:tcW w:w="6237" w:type="dxa"/>
            <w:tcBorders>
              <w:top w:val="nil"/>
              <w:left w:val="nil"/>
              <w:bottom w:val="nil"/>
              <w:right w:val="nil"/>
            </w:tcBorders>
            <w:shd w:val="clear" w:color="auto" w:fill="auto"/>
            <w:vAlign w:val="bottom"/>
          </w:tcPr>
          <w:p w14:paraId="4A783831" w14:textId="77777777" w:rsidR="00361719" w:rsidRPr="00624CCA" w:rsidRDefault="00361719" w:rsidP="00422DD5">
            <w:pPr>
              <w:suppressAutoHyphens/>
              <w:autoSpaceDN w:val="0"/>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Neto povećanje ostalih obveza</w:t>
            </w:r>
          </w:p>
        </w:tc>
        <w:tc>
          <w:tcPr>
            <w:tcW w:w="1276" w:type="dxa"/>
            <w:tcBorders>
              <w:top w:val="nil"/>
              <w:left w:val="nil"/>
              <w:bottom w:val="single" w:sz="4" w:space="0" w:color="auto"/>
              <w:right w:val="nil"/>
            </w:tcBorders>
            <w:shd w:val="clear" w:color="auto" w:fill="auto"/>
            <w:noWrap/>
            <w:vAlign w:val="bottom"/>
          </w:tcPr>
          <w:p w14:paraId="0110994E"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105</w:t>
            </w:r>
          </w:p>
        </w:tc>
        <w:tc>
          <w:tcPr>
            <w:tcW w:w="1134" w:type="dxa"/>
            <w:tcBorders>
              <w:top w:val="nil"/>
              <w:left w:val="nil"/>
              <w:bottom w:val="single" w:sz="4" w:space="0" w:color="auto"/>
              <w:right w:val="nil"/>
            </w:tcBorders>
            <w:shd w:val="clear" w:color="auto" w:fill="auto"/>
            <w:vAlign w:val="bottom"/>
          </w:tcPr>
          <w:p w14:paraId="74D5EF38"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13</w:t>
            </w:r>
          </w:p>
        </w:tc>
      </w:tr>
      <w:tr w:rsidR="00361719" w:rsidRPr="0056686B" w14:paraId="6052D8D8" w14:textId="77777777" w:rsidTr="00422DD5">
        <w:trPr>
          <w:trHeight w:val="190"/>
        </w:trPr>
        <w:tc>
          <w:tcPr>
            <w:tcW w:w="6237" w:type="dxa"/>
            <w:tcBorders>
              <w:left w:val="nil"/>
              <w:right w:val="nil"/>
            </w:tcBorders>
            <w:shd w:val="clear" w:color="auto" w:fill="auto"/>
            <w:vAlign w:val="bottom"/>
          </w:tcPr>
          <w:p w14:paraId="1A8191B9" w14:textId="77777777" w:rsidR="00361719" w:rsidRPr="00624CCA" w:rsidRDefault="00361719" w:rsidP="00422DD5">
            <w:pPr>
              <w:suppressAutoHyphens/>
              <w:autoSpaceDN w:val="0"/>
              <w:rPr>
                <w:rFonts w:ascii="Arial" w:eastAsia="Times New Roman" w:hAnsi="Arial" w:cs="Arial"/>
                <w:b/>
                <w:bCs/>
                <w:color w:val="000000" w:themeColor="text1"/>
                <w:sz w:val="18"/>
                <w:szCs w:val="18"/>
              </w:rPr>
            </w:pPr>
            <w:r w:rsidRPr="00624CCA">
              <w:rPr>
                <w:rFonts w:ascii="Arial" w:eastAsia="Times New Roman" w:hAnsi="Arial" w:cs="Arial"/>
                <w:b/>
                <w:bCs/>
                <w:color w:val="000000" w:themeColor="text1"/>
                <w:sz w:val="18"/>
                <w:szCs w:val="18"/>
              </w:rPr>
              <w:t>Neto novčana sredstva (uporabljena</w:t>
            </w:r>
            <w:r>
              <w:rPr>
                <w:rFonts w:ascii="Arial" w:eastAsia="Times New Roman" w:hAnsi="Arial" w:cs="Arial"/>
                <w:b/>
                <w:bCs/>
                <w:color w:val="000000" w:themeColor="text1"/>
                <w:sz w:val="18"/>
                <w:szCs w:val="18"/>
              </w:rPr>
              <w:t>)</w:t>
            </w:r>
            <w:r w:rsidRPr="00624CCA">
              <w:rPr>
                <w:rFonts w:ascii="Arial" w:eastAsia="Times New Roman" w:hAnsi="Arial" w:cs="Arial"/>
                <w:b/>
                <w:bCs/>
                <w:color w:val="000000" w:themeColor="text1"/>
                <w:sz w:val="18"/>
                <w:szCs w:val="18"/>
              </w:rPr>
              <w:t xml:space="preserve"> </w:t>
            </w:r>
            <w:r>
              <w:rPr>
                <w:rFonts w:ascii="Arial" w:eastAsia="Times New Roman" w:hAnsi="Arial" w:cs="Arial"/>
                <w:b/>
                <w:bCs/>
                <w:color w:val="000000" w:themeColor="text1"/>
                <w:sz w:val="18"/>
                <w:szCs w:val="18"/>
              </w:rPr>
              <w:t>u</w:t>
            </w:r>
            <w:r w:rsidRPr="00624CCA">
              <w:rPr>
                <w:rFonts w:ascii="Arial" w:eastAsia="Times New Roman" w:hAnsi="Arial" w:cs="Arial"/>
                <w:b/>
                <w:bCs/>
                <w:color w:val="000000" w:themeColor="text1"/>
                <w:sz w:val="18"/>
                <w:szCs w:val="18"/>
              </w:rPr>
              <w:t xml:space="preserve"> poslovni</w:t>
            </w:r>
            <w:r>
              <w:rPr>
                <w:rFonts w:ascii="Arial" w:eastAsia="Times New Roman" w:hAnsi="Arial" w:cs="Arial"/>
                <w:b/>
                <w:bCs/>
                <w:color w:val="000000" w:themeColor="text1"/>
                <w:sz w:val="18"/>
                <w:szCs w:val="18"/>
              </w:rPr>
              <w:t>m</w:t>
            </w:r>
            <w:r w:rsidRPr="00624CCA">
              <w:rPr>
                <w:rFonts w:ascii="Arial" w:eastAsia="Times New Roman" w:hAnsi="Arial" w:cs="Arial"/>
                <w:b/>
                <w:bCs/>
                <w:color w:val="000000" w:themeColor="text1"/>
                <w:sz w:val="18"/>
                <w:szCs w:val="18"/>
              </w:rPr>
              <w:t xml:space="preserve"> aktivnosti</w:t>
            </w:r>
            <w:r>
              <w:rPr>
                <w:rFonts w:ascii="Arial" w:eastAsia="Times New Roman" w:hAnsi="Arial" w:cs="Arial"/>
                <w:b/>
                <w:bCs/>
                <w:color w:val="000000" w:themeColor="text1"/>
                <w:sz w:val="18"/>
                <w:szCs w:val="18"/>
              </w:rPr>
              <w:t>ma</w:t>
            </w:r>
          </w:p>
        </w:tc>
        <w:tc>
          <w:tcPr>
            <w:tcW w:w="1276" w:type="dxa"/>
            <w:tcBorders>
              <w:top w:val="single" w:sz="4" w:space="0" w:color="auto"/>
              <w:left w:val="nil"/>
              <w:bottom w:val="nil"/>
              <w:right w:val="nil"/>
            </w:tcBorders>
            <w:shd w:val="clear" w:color="auto" w:fill="auto"/>
            <w:noWrap/>
            <w:vAlign w:val="bottom"/>
          </w:tcPr>
          <w:p w14:paraId="77C029CA" w14:textId="77777777" w:rsidR="00361719" w:rsidRPr="0056686B" w:rsidRDefault="00361719" w:rsidP="00422DD5">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(34)</w:t>
            </w:r>
          </w:p>
        </w:tc>
        <w:tc>
          <w:tcPr>
            <w:tcW w:w="1134" w:type="dxa"/>
            <w:tcBorders>
              <w:top w:val="single" w:sz="4" w:space="0" w:color="auto"/>
              <w:left w:val="nil"/>
              <w:bottom w:val="nil"/>
              <w:right w:val="nil"/>
            </w:tcBorders>
            <w:shd w:val="clear" w:color="auto" w:fill="auto"/>
            <w:vAlign w:val="bottom"/>
          </w:tcPr>
          <w:p w14:paraId="22102471" w14:textId="77777777" w:rsidR="00361719" w:rsidRPr="0056686B" w:rsidRDefault="00361719" w:rsidP="00422DD5">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(288)</w:t>
            </w:r>
          </w:p>
        </w:tc>
      </w:tr>
      <w:tr w:rsidR="00361719" w:rsidRPr="0056686B" w14:paraId="236CF2EA" w14:textId="77777777" w:rsidTr="00422DD5">
        <w:trPr>
          <w:trHeight w:val="74"/>
        </w:trPr>
        <w:tc>
          <w:tcPr>
            <w:tcW w:w="6237" w:type="dxa"/>
            <w:tcBorders>
              <w:top w:val="nil"/>
              <w:left w:val="nil"/>
              <w:bottom w:val="nil"/>
              <w:right w:val="nil"/>
            </w:tcBorders>
            <w:shd w:val="clear" w:color="auto" w:fill="auto"/>
            <w:vAlign w:val="bottom"/>
          </w:tcPr>
          <w:p w14:paraId="6555AF7B" w14:textId="77777777" w:rsidR="00361719" w:rsidRPr="00624CCA" w:rsidRDefault="00361719" w:rsidP="00422DD5">
            <w:pPr>
              <w:suppressAutoHyphens/>
              <w:autoSpaceDN w:val="0"/>
              <w:spacing w:line="140" w:lineRule="exact"/>
              <w:rPr>
                <w:rFonts w:ascii="Arial" w:eastAsia="Times New Roman" w:hAnsi="Arial" w:cs="Arial"/>
                <w:color w:val="000000" w:themeColor="text1"/>
                <w:sz w:val="18"/>
                <w:szCs w:val="18"/>
              </w:rPr>
            </w:pPr>
          </w:p>
        </w:tc>
        <w:tc>
          <w:tcPr>
            <w:tcW w:w="1276" w:type="dxa"/>
            <w:tcBorders>
              <w:top w:val="single" w:sz="12" w:space="0" w:color="auto"/>
              <w:left w:val="nil"/>
              <w:bottom w:val="nil"/>
              <w:right w:val="nil"/>
            </w:tcBorders>
            <w:shd w:val="clear" w:color="auto" w:fill="auto"/>
            <w:noWrap/>
            <w:vAlign w:val="bottom"/>
          </w:tcPr>
          <w:p w14:paraId="2339F9CC" w14:textId="77777777" w:rsidR="00361719" w:rsidRPr="0056686B" w:rsidRDefault="00361719" w:rsidP="00422DD5">
            <w:pPr>
              <w:suppressAutoHyphens/>
              <w:autoSpaceDN w:val="0"/>
              <w:spacing w:line="140" w:lineRule="exact"/>
              <w:jc w:val="right"/>
              <w:rPr>
                <w:rFonts w:ascii="Arial" w:eastAsia="Times New Roman" w:hAnsi="Arial" w:cs="Arial"/>
                <w:bCs/>
                <w:color w:val="000000" w:themeColor="text1"/>
                <w:sz w:val="18"/>
                <w:szCs w:val="18"/>
              </w:rPr>
            </w:pPr>
          </w:p>
        </w:tc>
        <w:tc>
          <w:tcPr>
            <w:tcW w:w="1134" w:type="dxa"/>
            <w:tcBorders>
              <w:top w:val="single" w:sz="12" w:space="0" w:color="auto"/>
              <w:left w:val="nil"/>
              <w:bottom w:val="nil"/>
              <w:right w:val="nil"/>
            </w:tcBorders>
            <w:shd w:val="clear" w:color="auto" w:fill="auto"/>
            <w:vAlign w:val="bottom"/>
          </w:tcPr>
          <w:p w14:paraId="0230C11C" w14:textId="77777777" w:rsidR="00361719" w:rsidRPr="0056686B" w:rsidRDefault="00361719" w:rsidP="00422DD5">
            <w:pPr>
              <w:suppressAutoHyphens/>
              <w:autoSpaceDN w:val="0"/>
              <w:spacing w:line="140" w:lineRule="exact"/>
              <w:jc w:val="right"/>
              <w:rPr>
                <w:rFonts w:ascii="Arial" w:eastAsia="Times New Roman" w:hAnsi="Arial" w:cs="Arial"/>
                <w:bCs/>
                <w:color w:val="000000" w:themeColor="text1"/>
                <w:sz w:val="18"/>
                <w:szCs w:val="18"/>
              </w:rPr>
            </w:pPr>
          </w:p>
        </w:tc>
      </w:tr>
      <w:tr w:rsidR="00361719" w:rsidRPr="0056686B" w14:paraId="6EA4932A" w14:textId="77777777" w:rsidTr="00422DD5">
        <w:trPr>
          <w:trHeight w:val="196"/>
        </w:trPr>
        <w:tc>
          <w:tcPr>
            <w:tcW w:w="6237" w:type="dxa"/>
            <w:tcBorders>
              <w:top w:val="nil"/>
              <w:left w:val="nil"/>
              <w:bottom w:val="nil"/>
              <w:right w:val="nil"/>
            </w:tcBorders>
            <w:shd w:val="clear" w:color="auto" w:fill="auto"/>
            <w:vAlign w:val="bottom"/>
          </w:tcPr>
          <w:p w14:paraId="25AFC724" w14:textId="77777777" w:rsidR="00361719" w:rsidRPr="00624CCA" w:rsidRDefault="00361719" w:rsidP="00422DD5">
            <w:pPr>
              <w:suppressAutoHyphens/>
              <w:autoSpaceDN w:val="0"/>
              <w:rPr>
                <w:rFonts w:ascii="Arial" w:eastAsia="Times New Roman" w:hAnsi="Arial" w:cs="Arial"/>
                <w:b/>
                <w:color w:val="000000" w:themeColor="text1"/>
                <w:sz w:val="18"/>
                <w:szCs w:val="18"/>
              </w:rPr>
            </w:pPr>
            <w:proofErr w:type="spellStart"/>
            <w:r w:rsidRPr="00624CCA">
              <w:rPr>
                <w:rFonts w:ascii="Arial" w:eastAsia="Times New Roman" w:hAnsi="Arial" w:cs="Arial"/>
                <w:b/>
                <w:color w:val="000000" w:themeColor="text1"/>
                <w:sz w:val="18"/>
                <w:szCs w:val="18"/>
              </w:rPr>
              <w:t>Ulagateljske</w:t>
            </w:r>
            <w:proofErr w:type="spellEnd"/>
            <w:r w:rsidRPr="00624CCA">
              <w:rPr>
                <w:rFonts w:ascii="Arial" w:eastAsia="Times New Roman" w:hAnsi="Arial" w:cs="Arial"/>
                <w:b/>
                <w:color w:val="000000" w:themeColor="text1"/>
                <w:sz w:val="18"/>
                <w:szCs w:val="18"/>
              </w:rPr>
              <w:t xml:space="preserve"> aktivnosti</w:t>
            </w:r>
          </w:p>
        </w:tc>
        <w:tc>
          <w:tcPr>
            <w:tcW w:w="1276" w:type="dxa"/>
            <w:shd w:val="clear" w:color="auto" w:fill="auto"/>
            <w:noWrap/>
            <w:vAlign w:val="bottom"/>
          </w:tcPr>
          <w:p w14:paraId="6377692C" w14:textId="77777777" w:rsidR="00361719" w:rsidRPr="0056686B" w:rsidRDefault="00361719" w:rsidP="00422DD5">
            <w:pPr>
              <w:suppressAutoHyphens/>
              <w:autoSpaceDN w:val="0"/>
              <w:jc w:val="right"/>
              <w:rPr>
                <w:rFonts w:ascii="Arial" w:eastAsia="Times New Roman" w:hAnsi="Arial" w:cs="Arial"/>
                <w:bCs/>
                <w:color w:val="000000" w:themeColor="text1"/>
                <w:sz w:val="18"/>
                <w:szCs w:val="18"/>
              </w:rPr>
            </w:pPr>
          </w:p>
        </w:tc>
        <w:tc>
          <w:tcPr>
            <w:tcW w:w="1134" w:type="dxa"/>
            <w:shd w:val="clear" w:color="auto" w:fill="auto"/>
            <w:vAlign w:val="bottom"/>
          </w:tcPr>
          <w:p w14:paraId="770AA68E" w14:textId="77777777" w:rsidR="00361719" w:rsidRPr="0056686B" w:rsidRDefault="00361719" w:rsidP="00422DD5">
            <w:pPr>
              <w:suppressAutoHyphens/>
              <w:autoSpaceDN w:val="0"/>
              <w:jc w:val="right"/>
              <w:rPr>
                <w:rFonts w:ascii="Arial" w:eastAsia="Times New Roman" w:hAnsi="Arial" w:cs="Arial"/>
                <w:bCs/>
                <w:color w:val="000000" w:themeColor="text1"/>
                <w:sz w:val="18"/>
                <w:szCs w:val="18"/>
              </w:rPr>
            </w:pPr>
          </w:p>
        </w:tc>
      </w:tr>
      <w:tr w:rsidR="00361719" w:rsidRPr="0056686B" w14:paraId="417FD697" w14:textId="77777777" w:rsidTr="00422DD5">
        <w:trPr>
          <w:trHeight w:val="186"/>
        </w:trPr>
        <w:tc>
          <w:tcPr>
            <w:tcW w:w="6237" w:type="dxa"/>
            <w:tcBorders>
              <w:top w:val="nil"/>
              <w:left w:val="nil"/>
              <w:right w:val="nil"/>
            </w:tcBorders>
            <w:shd w:val="clear" w:color="auto" w:fill="auto"/>
            <w:vAlign w:val="bottom"/>
          </w:tcPr>
          <w:p w14:paraId="3AAE9C95" w14:textId="77777777" w:rsidR="00361719" w:rsidRPr="00624CCA" w:rsidRDefault="00361719" w:rsidP="00422DD5">
            <w:pPr>
              <w:suppressAutoHyphens/>
              <w:autoSpaceDN w:val="0"/>
              <w:rPr>
                <w:rFonts w:ascii="Arial" w:eastAsia="Times New Roman" w:hAnsi="Arial" w:cs="Arial"/>
                <w:color w:val="000000" w:themeColor="text1"/>
                <w:sz w:val="18"/>
                <w:szCs w:val="18"/>
              </w:rPr>
            </w:pPr>
            <w:r w:rsidRPr="00624CCA">
              <w:rPr>
                <w:rFonts w:ascii="Arial" w:eastAsia="Times New Roman" w:hAnsi="Arial" w:cs="Arial"/>
                <w:color w:val="000000" w:themeColor="text1"/>
                <w:sz w:val="18"/>
                <w:szCs w:val="18"/>
              </w:rPr>
              <w:t>Neto nabava nekretnina, postrojenja i opreme i nematerijalne imovine</w:t>
            </w:r>
          </w:p>
        </w:tc>
        <w:tc>
          <w:tcPr>
            <w:tcW w:w="1276" w:type="dxa"/>
            <w:tcBorders>
              <w:top w:val="nil"/>
              <w:left w:val="nil"/>
              <w:bottom w:val="single" w:sz="4" w:space="0" w:color="auto"/>
              <w:right w:val="nil"/>
            </w:tcBorders>
            <w:shd w:val="clear" w:color="auto" w:fill="auto"/>
            <w:noWrap/>
            <w:vAlign w:val="bottom"/>
          </w:tcPr>
          <w:p w14:paraId="57B9D060"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(145)</w:t>
            </w:r>
          </w:p>
        </w:tc>
        <w:tc>
          <w:tcPr>
            <w:tcW w:w="1134" w:type="dxa"/>
            <w:tcBorders>
              <w:top w:val="nil"/>
              <w:left w:val="nil"/>
              <w:bottom w:val="single" w:sz="4" w:space="0" w:color="auto"/>
              <w:right w:val="nil"/>
            </w:tcBorders>
            <w:shd w:val="clear" w:color="auto" w:fill="auto"/>
            <w:vAlign w:val="bottom"/>
          </w:tcPr>
          <w:p w14:paraId="0E7BE153"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(40)</w:t>
            </w:r>
          </w:p>
        </w:tc>
      </w:tr>
      <w:tr w:rsidR="00361719" w:rsidRPr="0056686B" w14:paraId="118ABDB2" w14:textId="77777777" w:rsidTr="00422DD5">
        <w:trPr>
          <w:trHeight w:val="166"/>
        </w:trPr>
        <w:tc>
          <w:tcPr>
            <w:tcW w:w="6237" w:type="dxa"/>
            <w:tcBorders>
              <w:left w:val="nil"/>
              <w:right w:val="nil"/>
            </w:tcBorders>
            <w:shd w:val="clear" w:color="auto" w:fill="auto"/>
            <w:vAlign w:val="bottom"/>
          </w:tcPr>
          <w:p w14:paraId="6058237D" w14:textId="77777777" w:rsidR="00361719" w:rsidRPr="00624CCA" w:rsidRDefault="00361719" w:rsidP="00422DD5">
            <w:pPr>
              <w:suppressAutoHyphens/>
              <w:autoSpaceDN w:val="0"/>
              <w:rPr>
                <w:rFonts w:ascii="Arial" w:eastAsia="Times New Roman" w:hAnsi="Arial" w:cs="Arial"/>
                <w:b/>
                <w:bCs/>
                <w:color w:val="000000" w:themeColor="text1"/>
                <w:sz w:val="18"/>
                <w:szCs w:val="18"/>
              </w:rPr>
            </w:pPr>
            <w:r w:rsidRPr="00624CCA">
              <w:rPr>
                <w:rFonts w:ascii="Arial" w:eastAsia="Times New Roman" w:hAnsi="Arial" w:cs="Arial"/>
                <w:b/>
                <w:bCs/>
                <w:color w:val="000000" w:themeColor="text1"/>
                <w:sz w:val="18"/>
                <w:szCs w:val="18"/>
              </w:rPr>
              <w:t xml:space="preserve">Neto novčana sredstva (uporabljena) u </w:t>
            </w:r>
            <w:proofErr w:type="spellStart"/>
            <w:r w:rsidRPr="00624CCA">
              <w:rPr>
                <w:rFonts w:ascii="Arial" w:eastAsia="Times New Roman" w:hAnsi="Arial" w:cs="Arial"/>
                <w:b/>
                <w:bCs/>
                <w:color w:val="000000" w:themeColor="text1"/>
                <w:sz w:val="18"/>
                <w:szCs w:val="18"/>
              </w:rPr>
              <w:t>ulagateljskim</w:t>
            </w:r>
            <w:proofErr w:type="spellEnd"/>
            <w:r w:rsidRPr="00624CCA">
              <w:rPr>
                <w:rFonts w:ascii="Arial" w:eastAsia="Times New Roman" w:hAnsi="Arial" w:cs="Arial"/>
                <w:b/>
                <w:bCs/>
                <w:color w:val="000000" w:themeColor="text1"/>
                <w:sz w:val="18"/>
                <w:szCs w:val="18"/>
              </w:rPr>
              <w:t xml:space="preserve"> aktivnostima</w:t>
            </w:r>
          </w:p>
        </w:tc>
        <w:tc>
          <w:tcPr>
            <w:tcW w:w="1276" w:type="dxa"/>
            <w:tcBorders>
              <w:top w:val="nil"/>
              <w:left w:val="nil"/>
              <w:bottom w:val="single" w:sz="4" w:space="0" w:color="auto"/>
              <w:right w:val="nil"/>
            </w:tcBorders>
            <w:shd w:val="clear" w:color="auto" w:fill="auto"/>
            <w:noWrap/>
            <w:vAlign w:val="bottom"/>
          </w:tcPr>
          <w:p w14:paraId="30565AF0" w14:textId="77777777" w:rsidR="00361719" w:rsidRPr="0056686B" w:rsidRDefault="00361719" w:rsidP="00422DD5">
            <w:pPr>
              <w:suppressAutoHyphens/>
              <w:autoSpaceDN w:val="0"/>
              <w:jc w:val="right"/>
              <w:rPr>
                <w:rFonts w:ascii="Arial" w:eastAsia="Times New Roman" w:hAnsi="Arial" w:cs="Arial"/>
                <w:b/>
                <w:bCs/>
                <w:color w:val="000000" w:themeColor="text1"/>
                <w:sz w:val="18"/>
                <w:szCs w:val="18"/>
              </w:rPr>
            </w:pPr>
            <w:r w:rsidRPr="00042C30">
              <w:rPr>
                <w:rFonts w:ascii="Arial" w:eastAsia="Times New Roman" w:hAnsi="Arial" w:cs="Arial"/>
                <w:b/>
                <w:bCs/>
                <w:color w:val="000000" w:themeColor="text1"/>
                <w:sz w:val="18"/>
                <w:szCs w:val="18"/>
              </w:rPr>
              <w:t>(145)</w:t>
            </w:r>
          </w:p>
        </w:tc>
        <w:tc>
          <w:tcPr>
            <w:tcW w:w="1134" w:type="dxa"/>
            <w:tcBorders>
              <w:top w:val="nil"/>
              <w:left w:val="nil"/>
              <w:bottom w:val="single" w:sz="4" w:space="0" w:color="auto"/>
              <w:right w:val="nil"/>
            </w:tcBorders>
            <w:shd w:val="clear" w:color="auto" w:fill="auto"/>
            <w:vAlign w:val="bottom"/>
          </w:tcPr>
          <w:p w14:paraId="7BEB6B92" w14:textId="77777777" w:rsidR="00361719" w:rsidRPr="00042C30" w:rsidRDefault="00361719" w:rsidP="00422DD5">
            <w:pPr>
              <w:suppressAutoHyphens/>
              <w:autoSpaceDN w:val="0"/>
              <w:jc w:val="right"/>
              <w:rPr>
                <w:rFonts w:ascii="Arial" w:eastAsia="Times New Roman" w:hAnsi="Arial" w:cs="Arial"/>
                <w:b/>
                <w:bCs/>
                <w:color w:val="000000" w:themeColor="text1"/>
                <w:sz w:val="18"/>
                <w:szCs w:val="18"/>
              </w:rPr>
            </w:pPr>
            <w:r w:rsidRPr="00042C30">
              <w:rPr>
                <w:rFonts w:ascii="Arial" w:eastAsia="Times New Roman" w:hAnsi="Arial" w:cs="Arial"/>
                <w:b/>
                <w:bCs/>
                <w:color w:val="000000" w:themeColor="text1"/>
                <w:sz w:val="18"/>
                <w:szCs w:val="18"/>
              </w:rPr>
              <w:t>(40)</w:t>
            </w:r>
          </w:p>
        </w:tc>
      </w:tr>
      <w:tr w:rsidR="00361719" w:rsidRPr="0056686B" w14:paraId="5EA3E8F8" w14:textId="77777777" w:rsidTr="00422DD5">
        <w:trPr>
          <w:trHeight w:val="96"/>
        </w:trPr>
        <w:tc>
          <w:tcPr>
            <w:tcW w:w="6237" w:type="dxa"/>
            <w:tcBorders>
              <w:left w:val="nil"/>
              <w:bottom w:val="nil"/>
              <w:right w:val="nil"/>
            </w:tcBorders>
            <w:shd w:val="clear" w:color="auto" w:fill="auto"/>
            <w:vAlign w:val="bottom"/>
          </w:tcPr>
          <w:p w14:paraId="129C20AC" w14:textId="77777777" w:rsidR="00361719" w:rsidRPr="0056686B" w:rsidRDefault="00361719" w:rsidP="00422DD5">
            <w:pPr>
              <w:suppressAutoHyphens/>
              <w:autoSpaceDN w:val="0"/>
              <w:spacing w:line="140" w:lineRule="exact"/>
              <w:rPr>
                <w:rFonts w:ascii="Arial" w:eastAsia="Times New Roman" w:hAnsi="Arial" w:cs="Arial"/>
                <w:color w:val="000000" w:themeColor="text1"/>
                <w:sz w:val="18"/>
                <w:szCs w:val="18"/>
              </w:rPr>
            </w:pPr>
          </w:p>
        </w:tc>
        <w:tc>
          <w:tcPr>
            <w:tcW w:w="1276" w:type="dxa"/>
            <w:tcBorders>
              <w:top w:val="single" w:sz="12" w:space="0" w:color="auto"/>
              <w:left w:val="nil"/>
              <w:bottom w:val="nil"/>
              <w:right w:val="nil"/>
            </w:tcBorders>
            <w:shd w:val="clear" w:color="auto" w:fill="auto"/>
            <w:noWrap/>
            <w:vAlign w:val="bottom"/>
          </w:tcPr>
          <w:p w14:paraId="0A9E1325" w14:textId="77777777" w:rsidR="00361719" w:rsidRPr="0056686B" w:rsidRDefault="00361719" w:rsidP="00422DD5">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vAlign w:val="bottom"/>
          </w:tcPr>
          <w:p w14:paraId="6D512FCE" w14:textId="77777777" w:rsidR="00361719" w:rsidRPr="0056686B" w:rsidRDefault="00361719" w:rsidP="00422DD5">
            <w:pPr>
              <w:suppressAutoHyphens/>
              <w:autoSpaceDN w:val="0"/>
              <w:spacing w:line="140" w:lineRule="exact"/>
              <w:jc w:val="right"/>
              <w:rPr>
                <w:rFonts w:ascii="Arial" w:eastAsia="Times New Roman" w:hAnsi="Arial" w:cs="Arial"/>
                <w:color w:val="000000" w:themeColor="text1"/>
                <w:sz w:val="18"/>
                <w:szCs w:val="18"/>
              </w:rPr>
            </w:pPr>
          </w:p>
        </w:tc>
      </w:tr>
      <w:tr w:rsidR="00361719" w:rsidRPr="0056686B" w14:paraId="7561C39E" w14:textId="77777777" w:rsidTr="00422DD5">
        <w:trPr>
          <w:trHeight w:val="187"/>
        </w:trPr>
        <w:tc>
          <w:tcPr>
            <w:tcW w:w="6237" w:type="dxa"/>
            <w:tcBorders>
              <w:left w:val="nil"/>
              <w:bottom w:val="nil"/>
              <w:right w:val="nil"/>
            </w:tcBorders>
            <w:shd w:val="clear" w:color="auto" w:fill="auto"/>
            <w:vAlign w:val="bottom"/>
          </w:tcPr>
          <w:p w14:paraId="512D6B1A" w14:textId="77777777" w:rsidR="00361719" w:rsidRPr="0056686B" w:rsidRDefault="00361719" w:rsidP="00422DD5">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Financijske aktivnosti</w:t>
            </w:r>
          </w:p>
        </w:tc>
        <w:tc>
          <w:tcPr>
            <w:tcW w:w="1276" w:type="dxa"/>
            <w:tcBorders>
              <w:left w:val="nil"/>
              <w:bottom w:val="nil"/>
              <w:right w:val="nil"/>
            </w:tcBorders>
            <w:shd w:val="clear" w:color="auto" w:fill="auto"/>
            <w:noWrap/>
            <w:vAlign w:val="bottom"/>
          </w:tcPr>
          <w:p w14:paraId="5672ABB2"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p>
        </w:tc>
        <w:tc>
          <w:tcPr>
            <w:tcW w:w="1134" w:type="dxa"/>
            <w:tcBorders>
              <w:left w:val="nil"/>
              <w:bottom w:val="nil"/>
              <w:right w:val="nil"/>
            </w:tcBorders>
            <w:shd w:val="clear" w:color="auto" w:fill="auto"/>
            <w:vAlign w:val="bottom"/>
          </w:tcPr>
          <w:p w14:paraId="0831B10C"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p>
        </w:tc>
      </w:tr>
      <w:tr w:rsidR="00361719" w:rsidRPr="0056686B" w14:paraId="235592EA" w14:textId="77777777" w:rsidTr="00422DD5">
        <w:trPr>
          <w:trHeight w:val="187"/>
        </w:trPr>
        <w:tc>
          <w:tcPr>
            <w:tcW w:w="6237" w:type="dxa"/>
            <w:tcBorders>
              <w:left w:val="nil"/>
              <w:bottom w:val="nil"/>
              <w:right w:val="nil"/>
            </w:tcBorders>
            <w:shd w:val="clear" w:color="auto" w:fill="auto"/>
            <w:vAlign w:val="bottom"/>
          </w:tcPr>
          <w:p w14:paraId="429A6F52" w14:textId="77777777" w:rsidR="00361719" w:rsidRPr="00042C30" w:rsidRDefault="00361719" w:rsidP="00422DD5">
            <w:pPr>
              <w:suppressAutoHyphens/>
              <w:autoSpaceDN w:val="0"/>
              <w:rPr>
                <w:rFonts w:ascii="Arial" w:eastAsia="Times New Roman" w:hAnsi="Arial" w:cs="Arial"/>
                <w:bCs/>
                <w:color w:val="000000" w:themeColor="text1"/>
                <w:sz w:val="18"/>
                <w:szCs w:val="18"/>
              </w:rPr>
            </w:pPr>
            <w:r w:rsidRPr="00042C30">
              <w:rPr>
                <w:rFonts w:ascii="Arial" w:eastAsia="Times New Roman" w:hAnsi="Arial" w:cs="Arial"/>
                <w:bCs/>
                <w:color w:val="000000" w:themeColor="text1"/>
                <w:sz w:val="18"/>
                <w:szCs w:val="18"/>
              </w:rPr>
              <w:t>Neto povećanje osnivačkog kapitala</w:t>
            </w:r>
          </w:p>
        </w:tc>
        <w:tc>
          <w:tcPr>
            <w:tcW w:w="1276" w:type="dxa"/>
            <w:tcBorders>
              <w:left w:val="nil"/>
              <w:bottom w:val="nil"/>
              <w:right w:val="nil"/>
            </w:tcBorders>
            <w:shd w:val="clear" w:color="auto" w:fill="auto"/>
            <w:noWrap/>
            <w:vAlign w:val="bottom"/>
          </w:tcPr>
          <w:p w14:paraId="39AD7E6C"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tcBorders>
              <w:left w:val="nil"/>
              <w:bottom w:val="nil"/>
              <w:right w:val="nil"/>
            </w:tcBorders>
            <w:shd w:val="clear" w:color="auto" w:fill="auto"/>
            <w:vAlign w:val="bottom"/>
          </w:tcPr>
          <w:p w14:paraId="4FD7C2B6"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361719" w:rsidRPr="0056686B" w14:paraId="2C397E2F" w14:textId="77777777" w:rsidTr="00422DD5">
        <w:trPr>
          <w:trHeight w:val="187"/>
        </w:trPr>
        <w:tc>
          <w:tcPr>
            <w:tcW w:w="6237" w:type="dxa"/>
            <w:tcBorders>
              <w:left w:val="nil"/>
              <w:bottom w:val="nil"/>
              <w:right w:val="nil"/>
            </w:tcBorders>
            <w:shd w:val="clear" w:color="auto" w:fill="auto"/>
            <w:vAlign w:val="bottom"/>
          </w:tcPr>
          <w:p w14:paraId="24F1E9D6" w14:textId="77777777" w:rsidR="00361719" w:rsidRPr="0056686B" w:rsidRDefault="00361719" w:rsidP="00422DD5">
            <w:pPr>
              <w:suppressAutoHyphens/>
              <w:autoSpaceDN w:val="0"/>
              <w:rPr>
                <w:rFonts w:ascii="Arial" w:eastAsia="Times New Roman" w:hAnsi="Arial" w:cs="Arial"/>
                <w:color w:val="000000" w:themeColor="text1"/>
                <w:sz w:val="18"/>
                <w:szCs w:val="18"/>
              </w:rPr>
            </w:pPr>
            <w:r w:rsidRPr="00042C30">
              <w:rPr>
                <w:rFonts w:ascii="Arial" w:eastAsia="Times New Roman" w:hAnsi="Arial" w:cs="Arial"/>
                <w:color w:val="000000" w:themeColor="text1"/>
                <w:sz w:val="18"/>
                <w:szCs w:val="18"/>
              </w:rPr>
              <w:t>Ostala usklađenja</w:t>
            </w:r>
          </w:p>
        </w:tc>
        <w:tc>
          <w:tcPr>
            <w:tcW w:w="1276" w:type="dxa"/>
            <w:tcBorders>
              <w:left w:val="nil"/>
              <w:bottom w:val="single" w:sz="4" w:space="0" w:color="auto"/>
              <w:right w:val="nil"/>
            </w:tcBorders>
            <w:shd w:val="clear" w:color="auto" w:fill="auto"/>
            <w:noWrap/>
            <w:vAlign w:val="bottom"/>
          </w:tcPr>
          <w:p w14:paraId="6FA46D83"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9</w:t>
            </w:r>
          </w:p>
        </w:tc>
        <w:tc>
          <w:tcPr>
            <w:tcW w:w="1134" w:type="dxa"/>
            <w:tcBorders>
              <w:left w:val="nil"/>
              <w:bottom w:val="single" w:sz="4" w:space="0" w:color="auto"/>
              <w:right w:val="nil"/>
            </w:tcBorders>
            <w:shd w:val="clear" w:color="auto" w:fill="auto"/>
            <w:vAlign w:val="bottom"/>
          </w:tcPr>
          <w:p w14:paraId="120A3254"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361719" w:rsidRPr="0056686B" w14:paraId="2D199D40" w14:textId="77777777" w:rsidTr="00422DD5">
        <w:trPr>
          <w:trHeight w:val="187"/>
        </w:trPr>
        <w:tc>
          <w:tcPr>
            <w:tcW w:w="6237" w:type="dxa"/>
            <w:tcBorders>
              <w:left w:val="nil"/>
              <w:bottom w:val="nil"/>
              <w:right w:val="nil"/>
            </w:tcBorders>
            <w:shd w:val="clear" w:color="auto" w:fill="auto"/>
            <w:vAlign w:val="bottom"/>
          </w:tcPr>
          <w:p w14:paraId="34AA975C" w14:textId="77777777" w:rsidR="00361719" w:rsidRPr="0056686B" w:rsidRDefault="00361719" w:rsidP="00422DD5">
            <w:pPr>
              <w:suppressAutoHyphens/>
              <w:autoSpaceDN w:val="0"/>
              <w:rPr>
                <w:rFonts w:ascii="Arial" w:eastAsia="Times New Roman" w:hAnsi="Arial" w:cs="Arial"/>
                <w:b/>
                <w:bCs/>
                <w:color w:val="000000" w:themeColor="text1"/>
                <w:sz w:val="18"/>
                <w:szCs w:val="18"/>
              </w:rPr>
            </w:pPr>
            <w:r w:rsidRPr="0056686B">
              <w:rPr>
                <w:rFonts w:ascii="Arial" w:eastAsia="Times New Roman" w:hAnsi="Arial" w:cs="Arial"/>
                <w:b/>
                <w:bCs/>
                <w:color w:val="000000" w:themeColor="text1"/>
                <w:sz w:val="18"/>
                <w:szCs w:val="18"/>
              </w:rPr>
              <w:t>Neto novčana sredstva ostvarena u financijskim aktivnostima</w:t>
            </w:r>
          </w:p>
        </w:tc>
        <w:tc>
          <w:tcPr>
            <w:tcW w:w="1276" w:type="dxa"/>
            <w:tcBorders>
              <w:top w:val="single" w:sz="4" w:space="0" w:color="auto"/>
              <w:left w:val="nil"/>
              <w:bottom w:val="single" w:sz="12" w:space="0" w:color="auto"/>
              <w:right w:val="nil"/>
            </w:tcBorders>
            <w:shd w:val="clear" w:color="auto" w:fill="auto"/>
            <w:noWrap/>
            <w:vAlign w:val="bottom"/>
          </w:tcPr>
          <w:p w14:paraId="0F7D6670" w14:textId="77777777" w:rsidR="00361719" w:rsidRPr="0056686B" w:rsidRDefault="00361719" w:rsidP="00422DD5">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9</w:t>
            </w:r>
          </w:p>
        </w:tc>
        <w:tc>
          <w:tcPr>
            <w:tcW w:w="1134" w:type="dxa"/>
            <w:tcBorders>
              <w:top w:val="single" w:sz="4" w:space="0" w:color="auto"/>
              <w:left w:val="nil"/>
              <w:bottom w:val="single" w:sz="12" w:space="0" w:color="auto"/>
              <w:right w:val="nil"/>
            </w:tcBorders>
            <w:shd w:val="clear" w:color="auto" w:fill="auto"/>
            <w:vAlign w:val="bottom"/>
          </w:tcPr>
          <w:p w14:paraId="58CF8B23" w14:textId="77777777" w:rsidR="00361719" w:rsidRPr="0056686B" w:rsidRDefault="00361719" w:rsidP="00422DD5">
            <w:pPr>
              <w:suppressAutoHyphens/>
              <w:autoSpaceDN w:val="0"/>
              <w:jc w:val="right"/>
              <w:rPr>
                <w:rFonts w:ascii="Arial" w:eastAsia="Times New Roman" w:hAnsi="Arial" w:cs="Arial"/>
                <w:b/>
                <w:bCs/>
                <w:color w:val="000000" w:themeColor="text1"/>
                <w:sz w:val="18"/>
                <w:szCs w:val="18"/>
              </w:rPr>
            </w:pPr>
            <w:r>
              <w:rPr>
                <w:rFonts w:ascii="Arial" w:eastAsia="Times New Roman" w:hAnsi="Arial" w:cs="Arial"/>
                <w:b/>
                <w:bCs/>
                <w:color w:val="000000" w:themeColor="text1"/>
                <w:sz w:val="18"/>
                <w:szCs w:val="18"/>
              </w:rPr>
              <w:t>-</w:t>
            </w:r>
          </w:p>
        </w:tc>
      </w:tr>
      <w:tr w:rsidR="00361719" w:rsidRPr="0056686B" w14:paraId="3EB31BAC" w14:textId="77777777" w:rsidTr="00422DD5">
        <w:trPr>
          <w:trHeight w:val="96"/>
        </w:trPr>
        <w:tc>
          <w:tcPr>
            <w:tcW w:w="6237" w:type="dxa"/>
            <w:tcBorders>
              <w:left w:val="nil"/>
              <w:bottom w:val="nil"/>
              <w:right w:val="nil"/>
            </w:tcBorders>
            <w:shd w:val="clear" w:color="auto" w:fill="auto"/>
            <w:vAlign w:val="bottom"/>
          </w:tcPr>
          <w:p w14:paraId="4AB26A6E" w14:textId="77777777" w:rsidR="00361719" w:rsidRPr="0056686B" w:rsidRDefault="00361719" w:rsidP="00422DD5">
            <w:pPr>
              <w:suppressAutoHyphens/>
              <w:autoSpaceDN w:val="0"/>
              <w:spacing w:line="140" w:lineRule="exact"/>
              <w:rPr>
                <w:rFonts w:ascii="Arial" w:eastAsia="Times New Roman" w:hAnsi="Arial" w:cs="Arial"/>
                <w:color w:val="000000" w:themeColor="text1"/>
                <w:sz w:val="18"/>
                <w:szCs w:val="18"/>
              </w:rPr>
            </w:pPr>
          </w:p>
        </w:tc>
        <w:tc>
          <w:tcPr>
            <w:tcW w:w="1276" w:type="dxa"/>
            <w:tcBorders>
              <w:top w:val="single" w:sz="12" w:space="0" w:color="auto"/>
              <w:left w:val="nil"/>
              <w:bottom w:val="nil"/>
              <w:right w:val="nil"/>
            </w:tcBorders>
            <w:shd w:val="clear" w:color="auto" w:fill="auto"/>
            <w:noWrap/>
            <w:vAlign w:val="bottom"/>
          </w:tcPr>
          <w:p w14:paraId="39A9D10F" w14:textId="77777777" w:rsidR="00361719" w:rsidRPr="0056686B" w:rsidRDefault="00361719" w:rsidP="00422DD5">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vAlign w:val="bottom"/>
          </w:tcPr>
          <w:p w14:paraId="42C5F0C9" w14:textId="77777777" w:rsidR="00361719" w:rsidRPr="0056686B" w:rsidRDefault="00361719" w:rsidP="00422DD5">
            <w:pPr>
              <w:suppressAutoHyphens/>
              <w:autoSpaceDN w:val="0"/>
              <w:spacing w:line="140" w:lineRule="exact"/>
              <w:jc w:val="right"/>
              <w:rPr>
                <w:rFonts w:ascii="Arial" w:eastAsia="Times New Roman" w:hAnsi="Arial" w:cs="Arial"/>
                <w:color w:val="000000" w:themeColor="text1"/>
                <w:sz w:val="18"/>
                <w:szCs w:val="18"/>
              </w:rPr>
            </w:pPr>
          </w:p>
        </w:tc>
      </w:tr>
      <w:tr w:rsidR="00361719" w:rsidRPr="0056686B" w14:paraId="00F7FD3D" w14:textId="77777777" w:rsidTr="00422DD5">
        <w:trPr>
          <w:trHeight w:val="164"/>
        </w:trPr>
        <w:tc>
          <w:tcPr>
            <w:tcW w:w="6237" w:type="dxa"/>
            <w:tcBorders>
              <w:top w:val="nil"/>
              <w:left w:val="nil"/>
              <w:right w:val="nil"/>
            </w:tcBorders>
            <w:shd w:val="clear" w:color="auto" w:fill="auto"/>
            <w:vAlign w:val="bottom"/>
          </w:tcPr>
          <w:p w14:paraId="7839685A" w14:textId="77777777" w:rsidR="00361719" w:rsidRPr="0056686B" w:rsidRDefault="00361719" w:rsidP="00422DD5">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Učinci promjene tečajeva na novac i novčane ekvivalente</w:t>
            </w:r>
          </w:p>
        </w:tc>
        <w:tc>
          <w:tcPr>
            <w:tcW w:w="1276" w:type="dxa"/>
            <w:shd w:val="clear" w:color="auto" w:fill="auto"/>
            <w:noWrap/>
            <w:vAlign w:val="bottom"/>
          </w:tcPr>
          <w:p w14:paraId="4D6540DA"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p>
        </w:tc>
        <w:tc>
          <w:tcPr>
            <w:tcW w:w="1134" w:type="dxa"/>
            <w:shd w:val="clear" w:color="auto" w:fill="auto"/>
            <w:vAlign w:val="bottom"/>
          </w:tcPr>
          <w:p w14:paraId="4075C449"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p>
        </w:tc>
      </w:tr>
      <w:tr w:rsidR="00361719" w:rsidRPr="0056686B" w14:paraId="69ED297C" w14:textId="77777777" w:rsidTr="00422DD5">
        <w:trPr>
          <w:trHeight w:val="164"/>
        </w:trPr>
        <w:tc>
          <w:tcPr>
            <w:tcW w:w="6237" w:type="dxa"/>
            <w:tcBorders>
              <w:top w:val="nil"/>
              <w:left w:val="nil"/>
              <w:right w:val="nil"/>
            </w:tcBorders>
            <w:shd w:val="clear" w:color="auto" w:fill="auto"/>
            <w:vAlign w:val="bottom"/>
          </w:tcPr>
          <w:p w14:paraId="44BAC309" w14:textId="77777777" w:rsidR="00361719" w:rsidRPr="0056686B" w:rsidRDefault="00361719" w:rsidP="00422DD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 xml:space="preserve">Neto tečajne razlike </w:t>
            </w:r>
          </w:p>
        </w:tc>
        <w:tc>
          <w:tcPr>
            <w:tcW w:w="1276" w:type="dxa"/>
            <w:shd w:val="clear" w:color="auto" w:fill="auto"/>
            <w:noWrap/>
            <w:vAlign w:val="bottom"/>
          </w:tcPr>
          <w:p w14:paraId="4BD8FAC0"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c>
          <w:tcPr>
            <w:tcW w:w="1134" w:type="dxa"/>
            <w:shd w:val="clear" w:color="auto" w:fill="auto"/>
            <w:vAlign w:val="bottom"/>
          </w:tcPr>
          <w:p w14:paraId="5E186BD1"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w:t>
            </w:r>
          </w:p>
        </w:tc>
      </w:tr>
      <w:tr w:rsidR="00361719" w:rsidRPr="0056686B" w14:paraId="3247E227" w14:textId="77777777" w:rsidTr="00422DD5">
        <w:trPr>
          <w:trHeight w:val="164"/>
        </w:trPr>
        <w:tc>
          <w:tcPr>
            <w:tcW w:w="6237" w:type="dxa"/>
            <w:tcBorders>
              <w:top w:val="nil"/>
              <w:left w:val="nil"/>
              <w:right w:val="nil"/>
            </w:tcBorders>
            <w:shd w:val="clear" w:color="auto" w:fill="auto"/>
            <w:vAlign w:val="bottom"/>
          </w:tcPr>
          <w:p w14:paraId="4A5D5DDA" w14:textId="77777777" w:rsidR="00361719" w:rsidRPr="0056686B" w:rsidRDefault="00361719" w:rsidP="00422DD5">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Neto učinak</w:t>
            </w:r>
          </w:p>
        </w:tc>
        <w:tc>
          <w:tcPr>
            <w:tcW w:w="1276" w:type="dxa"/>
            <w:tcBorders>
              <w:top w:val="single" w:sz="4" w:space="0" w:color="auto"/>
              <w:left w:val="nil"/>
              <w:bottom w:val="nil"/>
              <w:right w:val="nil"/>
            </w:tcBorders>
            <w:shd w:val="clear" w:color="auto" w:fill="auto"/>
            <w:noWrap/>
            <w:vAlign w:val="bottom"/>
          </w:tcPr>
          <w:p w14:paraId="7AE64BEF" w14:textId="77777777" w:rsidR="00361719" w:rsidRPr="0056686B" w:rsidRDefault="00361719" w:rsidP="00422DD5">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w:t>
            </w:r>
          </w:p>
        </w:tc>
        <w:tc>
          <w:tcPr>
            <w:tcW w:w="1134" w:type="dxa"/>
            <w:tcBorders>
              <w:top w:val="single" w:sz="4" w:space="0" w:color="auto"/>
              <w:left w:val="nil"/>
              <w:bottom w:val="nil"/>
              <w:right w:val="nil"/>
            </w:tcBorders>
            <w:shd w:val="clear" w:color="auto" w:fill="auto"/>
            <w:vAlign w:val="bottom"/>
          </w:tcPr>
          <w:p w14:paraId="6FFC048F" w14:textId="77777777" w:rsidR="00361719" w:rsidRPr="0056686B" w:rsidRDefault="00361719" w:rsidP="00422DD5">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w:t>
            </w:r>
          </w:p>
        </w:tc>
      </w:tr>
      <w:tr w:rsidR="00361719" w:rsidRPr="0056686B" w14:paraId="1CADF1BE" w14:textId="77777777" w:rsidTr="00422DD5">
        <w:trPr>
          <w:trHeight w:val="56"/>
        </w:trPr>
        <w:tc>
          <w:tcPr>
            <w:tcW w:w="6237" w:type="dxa"/>
            <w:tcBorders>
              <w:top w:val="nil"/>
              <w:left w:val="nil"/>
              <w:right w:val="nil"/>
            </w:tcBorders>
            <w:shd w:val="clear" w:color="auto" w:fill="auto"/>
            <w:vAlign w:val="bottom"/>
          </w:tcPr>
          <w:p w14:paraId="0ABBC3EB" w14:textId="77777777" w:rsidR="00361719" w:rsidRPr="0056686B" w:rsidRDefault="00361719" w:rsidP="00422DD5">
            <w:pPr>
              <w:suppressAutoHyphens/>
              <w:autoSpaceDN w:val="0"/>
              <w:spacing w:line="140" w:lineRule="exact"/>
              <w:rPr>
                <w:rFonts w:ascii="Arial" w:eastAsia="Times New Roman" w:hAnsi="Arial" w:cs="Arial"/>
                <w:color w:val="000000" w:themeColor="text1"/>
                <w:sz w:val="18"/>
                <w:szCs w:val="18"/>
              </w:rPr>
            </w:pPr>
          </w:p>
        </w:tc>
        <w:tc>
          <w:tcPr>
            <w:tcW w:w="1276" w:type="dxa"/>
            <w:tcBorders>
              <w:top w:val="single" w:sz="12" w:space="0" w:color="auto"/>
              <w:left w:val="nil"/>
              <w:bottom w:val="nil"/>
              <w:right w:val="nil"/>
            </w:tcBorders>
            <w:shd w:val="clear" w:color="auto" w:fill="auto"/>
            <w:noWrap/>
            <w:vAlign w:val="bottom"/>
          </w:tcPr>
          <w:p w14:paraId="6057C85D" w14:textId="77777777" w:rsidR="00361719" w:rsidRPr="0056686B" w:rsidRDefault="00361719" w:rsidP="00422DD5">
            <w:pPr>
              <w:suppressAutoHyphens/>
              <w:autoSpaceDN w:val="0"/>
              <w:spacing w:line="140" w:lineRule="exact"/>
              <w:jc w:val="right"/>
              <w:rPr>
                <w:rFonts w:ascii="Arial" w:eastAsia="Times New Roman" w:hAnsi="Arial" w:cs="Arial"/>
                <w:color w:val="000000" w:themeColor="text1"/>
                <w:sz w:val="18"/>
                <w:szCs w:val="18"/>
              </w:rPr>
            </w:pPr>
          </w:p>
        </w:tc>
        <w:tc>
          <w:tcPr>
            <w:tcW w:w="1134" w:type="dxa"/>
            <w:tcBorders>
              <w:top w:val="single" w:sz="12" w:space="0" w:color="auto"/>
              <w:left w:val="nil"/>
              <w:bottom w:val="nil"/>
              <w:right w:val="nil"/>
            </w:tcBorders>
            <w:shd w:val="clear" w:color="auto" w:fill="auto"/>
            <w:vAlign w:val="bottom"/>
          </w:tcPr>
          <w:p w14:paraId="22AE8841" w14:textId="77777777" w:rsidR="00361719" w:rsidRPr="0056686B" w:rsidRDefault="00361719" w:rsidP="00422DD5">
            <w:pPr>
              <w:suppressAutoHyphens/>
              <w:autoSpaceDN w:val="0"/>
              <w:spacing w:line="140" w:lineRule="exact"/>
              <w:jc w:val="right"/>
              <w:rPr>
                <w:rFonts w:ascii="Arial" w:eastAsia="Times New Roman" w:hAnsi="Arial" w:cs="Arial"/>
                <w:color w:val="000000" w:themeColor="text1"/>
                <w:sz w:val="18"/>
                <w:szCs w:val="18"/>
              </w:rPr>
            </w:pPr>
          </w:p>
        </w:tc>
      </w:tr>
      <w:tr w:rsidR="00361719" w:rsidRPr="0056686B" w14:paraId="57AF93E0" w14:textId="77777777" w:rsidTr="00422DD5">
        <w:trPr>
          <w:trHeight w:val="164"/>
        </w:trPr>
        <w:tc>
          <w:tcPr>
            <w:tcW w:w="6237" w:type="dxa"/>
            <w:tcBorders>
              <w:top w:val="nil"/>
              <w:left w:val="nil"/>
              <w:right w:val="nil"/>
            </w:tcBorders>
            <w:shd w:val="clear" w:color="auto" w:fill="auto"/>
            <w:vAlign w:val="bottom"/>
          </w:tcPr>
          <w:p w14:paraId="581FCE7A" w14:textId="77777777" w:rsidR="00361719" w:rsidRPr="0056686B" w:rsidRDefault="00361719" w:rsidP="00422DD5">
            <w:pPr>
              <w:suppressAutoHyphens/>
              <w:autoSpaceDN w:val="0"/>
              <w:rPr>
                <w:rFonts w:ascii="Arial" w:eastAsia="Times New Roman" w:hAnsi="Arial" w:cs="Arial"/>
                <w:color w:val="000000" w:themeColor="text1"/>
                <w:sz w:val="18"/>
                <w:szCs w:val="18"/>
              </w:rPr>
            </w:pPr>
            <w:r w:rsidRPr="00A05900">
              <w:rPr>
                <w:rFonts w:ascii="Arial" w:eastAsia="Times New Roman" w:hAnsi="Arial" w:cs="Arial"/>
                <w:color w:val="000000" w:themeColor="text1"/>
                <w:sz w:val="18"/>
                <w:szCs w:val="18"/>
              </w:rPr>
              <w:t>Neto (smanjenje)</w:t>
            </w:r>
            <w:r w:rsidRPr="0056686B">
              <w:rPr>
                <w:rFonts w:ascii="Arial" w:eastAsia="Times New Roman" w:hAnsi="Arial" w:cs="Arial"/>
                <w:color w:val="000000" w:themeColor="text1"/>
                <w:sz w:val="18"/>
                <w:szCs w:val="18"/>
              </w:rPr>
              <w:t xml:space="preserve"> novca i novčanih ekvivalenata</w:t>
            </w:r>
          </w:p>
        </w:tc>
        <w:tc>
          <w:tcPr>
            <w:tcW w:w="1276" w:type="dxa"/>
            <w:shd w:val="clear" w:color="auto" w:fill="auto"/>
            <w:noWrap/>
            <w:vAlign w:val="bottom"/>
          </w:tcPr>
          <w:p w14:paraId="574110F6"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(170)</w:t>
            </w:r>
          </w:p>
        </w:tc>
        <w:tc>
          <w:tcPr>
            <w:tcW w:w="1134" w:type="dxa"/>
            <w:shd w:val="clear" w:color="auto" w:fill="auto"/>
            <w:vAlign w:val="bottom"/>
          </w:tcPr>
          <w:p w14:paraId="763483C2"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(328)</w:t>
            </w:r>
          </w:p>
        </w:tc>
      </w:tr>
      <w:tr w:rsidR="00361719" w:rsidRPr="0056686B" w14:paraId="37EE0760" w14:textId="77777777" w:rsidTr="00422DD5">
        <w:trPr>
          <w:trHeight w:val="66"/>
        </w:trPr>
        <w:tc>
          <w:tcPr>
            <w:tcW w:w="6237" w:type="dxa"/>
            <w:tcBorders>
              <w:top w:val="nil"/>
              <w:left w:val="nil"/>
              <w:right w:val="nil"/>
            </w:tcBorders>
            <w:shd w:val="clear" w:color="auto" w:fill="auto"/>
            <w:vAlign w:val="bottom"/>
          </w:tcPr>
          <w:p w14:paraId="05C8CF85" w14:textId="77777777" w:rsidR="00361719" w:rsidRPr="0056686B" w:rsidRDefault="00361719" w:rsidP="00422DD5">
            <w:pPr>
              <w:suppressAutoHyphens/>
              <w:autoSpaceDN w:val="0"/>
              <w:spacing w:line="140" w:lineRule="exact"/>
              <w:rPr>
                <w:rFonts w:ascii="Arial" w:eastAsia="Times New Roman" w:hAnsi="Arial" w:cs="Arial"/>
                <w:color w:val="000000" w:themeColor="text1"/>
                <w:sz w:val="18"/>
                <w:szCs w:val="18"/>
              </w:rPr>
            </w:pPr>
          </w:p>
        </w:tc>
        <w:tc>
          <w:tcPr>
            <w:tcW w:w="1276" w:type="dxa"/>
            <w:shd w:val="clear" w:color="auto" w:fill="auto"/>
            <w:noWrap/>
            <w:vAlign w:val="bottom"/>
          </w:tcPr>
          <w:p w14:paraId="03CDDE50" w14:textId="77777777" w:rsidR="00361719" w:rsidRPr="0056686B" w:rsidRDefault="00361719" w:rsidP="00422DD5">
            <w:pPr>
              <w:suppressAutoHyphens/>
              <w:autoSpaceDN w:val="0"/>
              <w:spacing w:line="140" w:lineRule="exact"/>
              <w:jc w:val="right"/>
              <w:rPr>
                <w:rFonts w:ascii="Arial" w:eastAsia="Times New Roman" w:hAnsi="Arial" w:cs="Arial"/>
                <w:color w:val="000000" w:themeColor="text1"/>
                <w:sz w:val="18"/>
                <w:szCs w:val="18"/>
              </w:rPr>
            </w:pPr>
          </w:p>
        </w:tc>
        <w:tc>
          <w:tcPr>
            <w:tcW w:w="1134" w:type="dxa"/>
            <w:shd w:val="clear" w:color="auto" w:fill="auto"/>
            <w:vAlign w:val="bottom"/>
          </w:tcPr>
          <w:p w14:paraId="0BD650FF" w14:textId="77777777" w:rsidR="00361719" w:rsidRPr="0056686B" w:rsidRDefault="00361719" w:rsidP="00422DD5">
            <w:pPr>
              <w:suppressAutoHyphens/>
              <w:autoSpaceDN w:val="0"/>
              <w:spacing w:line="140" w:lineRule="exact"/>
              <w:jc w:val="right"/>
              <w:rPr>
                <w:rFonts w:ascii="Arial" w:eastAsia="Times New Roman" w:hAnsi="Arial" w:cs="Arial"/>
                <w:color w:val="000000" w:themeColor="text1"/>
                <w:sz w:val="18"/>
                <w:szCs w:val="18"/>
              </w:rPr>
            </w:pPr>
          </w:p>
        </w:tc>
      </w:tr>
      <w:tr w:rsidR="00361719" w:rsidRPr="0056686B" w14:paraId="289413B0" w14:textId="77777777" w:rsidTr="00422DD5">
        <w:trPr>
          <w:trHeight w:val="164"/>
        </w:trPr>
        <w:tc>
          <w:tcPr>
            <w:tcW w:w="6237" w:type="dxa"/>
            <w:tcBorders>
              <w:top w:val="nil"/>
              <w:left w:val="nil"/>
              <w:right w:val="nil"/>
            </w:tcBorders>
            <w:shd w:val="clear" w:color="auto" w:fill="auto"/>
            <w:vAlign w:val="bottom"/>
          </w:tcPr>
          <w:p w14:paraId="419DC551" w14:textId="77777777" w:rsidR="00361719" w:rsidRPr="0056686B" w:rsidRDefault="00361719" w:rsidP="00422DD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Stanje na dan 1. siječnja</w:t>
            </w:r>
          </w:p>
        </w:tc>
        <w:tc>
          <w:tcPr>
            <w:tcW w:w="1276" w:type="dxa"/>
            <w:shd w:val="clear" w:color="auto" w:fill="auto"/>
            <w:noWrap/>
            <w:vAlign w:val="bottom"/>
          </w:tcPr>
          <w:p w14:paraId="5CA78D4A"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590</w:t>
            </w:r>
          </w:p>
        </w:tc>
        <w:tc>
          <w:tcPr>
            <w:tcW w:w="1134" w:type="dxa"/>
            <w:shd w:val="clear" w:color="auto" w:fill="auto"/>
            <w:vAlign w:val="bottom"/>
          </w:tcPr>
          <w:p w14:paraId="22E43A0F"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716</w:t>
            </w:r>
          </w:p>
        </w:tc>
      </w:tr>
      <w:tr w:rsidR="00361719" w:rsidRPr="0056686B" w14:paraId="350D6AE1" w14:textId="77777777" w:rsidTr="00422DD5">
        <w:trPr>
          <w:trHeight w:val="164"/>
        </w:trPr>
        <w:tc>
          <w:tcPr>
            <w:tcW w:w="6237" w:type="dxa"/>
            <w:tcBorders>
              <w:top w:val="nil"/>
              <w:left w:val="nil"/>
              <w:right w:val="nil"/>
            </w:tcBorders>
            <w:shd w:val="clear" w:color="auto" w:fill="auto"/>
            <w:vAlign w:val="bottom"/>
          </w:tcPr>
          <w:p w14:paraId="53C4104B" w14:textId="77777777" w:rsidR="00361719" w:rsidRPr="0056686B" w:rsidRDefault="00361719" w:rsidP="00422DD5">
            <w:pPr>
              <w:suppressAutoHyphens/>
              <w:autoSpaceDN w:val="0"/>
              <w:rPr>
                <w:rFonts w:ascii="Arial" w:eastAsia="Times New Roman" w:hAnsi="Arial" w:cs="Arial"/>
                <w:color w:val="000000" w:themeColor="text1"/>
                <w:sz w:val="18"/>
                <w:szCs w:val="18"/>
              </w:rPr>
            </w:pPr>
            <w:r w:rsidRPr="0056686B">
              <w:rPr>
                <w:rFonts w:ascii="Arial" w:eastAsia="Times New Roman" w:hAnsi="Arial" w:cs="Arial"/>
                <w:color w:val="000000" w:themeColor="text1"/>
                <w:sz w:val="18"/>
                <w:szCs w:val="18"/>
              </w:rPr>
              <w:t xml:space="preserve">Neto </w:t>
            </w:r>
            <w:r w:rsidRPr="00A05900">
              <w:rPr>
                <w:rFonts w:ascii="Arial" w:eastAsia="Times New Roman" w:hAnsi="Arial" w:cs="Arial"/>
                <w:color w:val="000000" w:themeColor="text1"/>
                <w:sz w:val="18"/>
                <w:szCs w:val="18"/>
              </w:rPr>
              <w:t xml:space="preserve">(smanjenje) </w:t>
            </w:r>
            <w:r w:rsidRPr="0056686B">
              <w:rPr>
                <w:rFonts w:ascii="Arial" w:eastAsia="Times New Roman" w:hAnsi="Arial" w:cs="Arial"/>
                <w:color w:val="000000" w:themeColor="text1"/>
                <w:sz w:val="18"/>
                <w:szCs w:val="18"/>
              </w:rPr>
              <w:t>novca</w:t>
            </w:r>
          </w:p>
        </w:tc>
        <w:tc>
          <w:tcPr>
            <w:tcW w:w="1276" w:type="dxa"/>
            <w:shd w:val="clear" w:color="auto" w:fill="auto"/>
            <w:noWrap/>
            <w:vAlign w:val="bottom"/>
          </w:tcPr>
          <w:p w14:paraId="23B1E06B"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(170)</w:t>
            </w:r>
          </w:p>
        </w:tc>
        <w:tc>
          <w:tcPr>
            <w:tcW w:w="1134" w:type="dxa"/>
            <w:shd w:val="clear" w:color="auto" w:fill="auto"/>
            <w:vAlign w:val="bottom"/>
          </w:tcPr>
          <w:p w14:paraId="79FB342C" w14:textId="77777777" w:rsidR="00361719" w:rsidRPr="0056686B" w:rsidRDefault="00361719" w:rsidP="00422DD5">
            <w:pPr>
              <w:suppressAutoHyphens/>
              <w:autoSpaceDN w:val="0"/>
              <w:jc w:val="right"/>
              <w:rPr>
                <w:rFonts w:ascii="Arial" w:eastAsia="Times New Roman" w:hAnsi="Arial" w:cs="Arial"/>
                <w:color w:val="000000" w:themeColor="text1"/>
                <w:sz w:val="18"/>
                <w:szCs w:val="18"/>
              </w:rPr>
            </w:pPr>
            <w:r>
              <w:rPr>
                <w:rFonts w:ascii="Arial" w:eastAsia="Times New Roman" w:hAnsi="Arial" w:cs="Arial"/>
                <w:color w:val="000000" w:themeColor="text1"/>
                <w:sz w:val="18"/>
                <w:szCs w:val="18"/>
              </w:rPr>
              <w:t>(328)</w:t>
            </w:r>
          </w:p>
        </w:tc>
      </w:tr>
      <w:tr w:rsidR="00361719" w:rsidRPr="0056686B" w14:paraId="002BABA7" w14:textId="77777777" w:rsidTr="00422DD5">
        <w:trPr>
          <w:trHeight w:val="66"/>
        </w:trPr>
        <w:tc>
          <w:tcPr>
            <w:tcW w:w="6237" w:type="dxa"/>
            <w:tcBorders>
              <w:top w:val="nil"/>
              <w:left w:val="nil"/>
              <w:right w:val="nil"/>
            </w:tcBorders>
            <w:shd w:val="clear" w:color="auto" w:fill="auto"/>
            <w:vAlign w:val="bottom"/>
          </w:tcPr>
          <w:p w14:paraId="5ECA0CFB" w14:textId="77777777" w:rsidR="00361719" w:rsidRPr="0056686B" w:rsidRDefault="00361719" w:rsidP="00422DD5">
            <w:pPr>
              <w:suppressAutoHyphens/>
              <w:autoSpaceDN w:val="0"/>
              <w:spacing w:line="140" w:lineRule="exact"/>
              <w:rPr>
                <w:rFonts w:ascii="Arial" w:eastAsia="Times New Roman" w:hAnsi="Arial" w:cs="Arial"/>
                <w:color w:val="000000" w:themeColor="text1"/>
                <w:sz w:val="18"/>
                <w:szCs w:val="18"/>
              </w:rPr>
            </w:pPr>
          </w:p>
        </w:tc>
        <w:tc>
          <w:tcPr>
            <w:tcW w:w="1276" w:type="dxa"/>
            <w:shd w:val="clear" w:color="auto" w:fill="auto"/>
            <w:noWrap/>
            <w:vAlign w:val="bottom"/>
          </w:tcPr>
          <w:p w14:paraId="0860F1D2" w14:textId="77777777" w:rsidR="00361719" w:rsidRPr="0056686B" w:rsidRDefault="00361719" w:rsidP="00422DD5">
            <w:pPr>
              <w:suppressAutoHyphens/>
              <w:autoSpaceDN w:val="0"/>
              <w:spacing w:line="140" w:lineRule="exact"/>
              <w:jc w:val="right"/>
              <w:rPr>
                <w:rFonts w:ascii="Arial" w:eastAsia="Times New Roman" w:hAnsi="Arial" w:cs="Arial"/>
                <w:color w:val="000000" w:themeColor="text1"/>
                <w:sz w:val="18"/>
                <w:szCs w:val="18"/>
              </w:rPr>
            </w:pPr>
          </w:p>
        </w:tc>
        <w:tc>
          <w:tcPr>
            <w:tcW w:w="1134" w:type="dxa"/>
            <w:shd w:val="clear" w:color="auto" w:fill="auto"/>
            <w:vAlign w:val="bottom"/>
          </w:tcPr>
          <w:p w14:paraId="0A29C9B4" w14:textId="77777777" w:rsidR="00361719" w:rsidRPr="0056686B" w:rsidRDefault="00361719" w:rsidP="00422DD5">
            <w:pPr>
              <w:suppressAutoHyphens/>
              <w:autoSpaceDN w:val="0"/>
              <w:spacing w:line="140" w:lineRule="exact"/>
              <w:jc w:val="right"/>
              <w:rPr>
                <w:rFonts w:ascii="Arial" w:eastAsia="Times New Roman" w:hAnsi="Arial" w:cs="Arial"/>
                <w:color w:val="000000" w:themeColor="text1"/>
                <w:sz w:val="18"/>
                <w:szCs w:val="18"/>
              </w:rPr>
            </w:pPr>
          </w:p>
        </w:tc>
      </w:tr>
      <w:tr w:rsidR="00361719" w:rsidRPr="0056686B" w14:paraId="2F52EA7C" w14:textId="77777777" w:rsidTr="00422DD5">
        <w:trPr>
          <w:trHeight w:val="164"/>
        </w:trPr>
        <w:tc>
          <w:tcPr>
            <w:tcW w:w="6237" w:type="dxa"/>
            <w:tcBorders>
              <w:top w:val="nil"/>
              <w:left w:val="nil"/>
              <w:right w:val="nil"/>
            </w:tcBorders>
            <w:shd w:val="clear" w:color="auto" w:fill="auto"/>
            <w:vAlign w:val="bottom"/>
          </w:tcPr>
          <w:p w14:paraId="2664CE0E" w14:textId="77777777" w:rsidR="00361719" w:rsidRPr="0056686B" w:rsidRDefault="00361719" w:rsidP="00422DD5">
            <w:pPr>
              <w:suppressAutoHyphens/>
              <w:autoSpaceDN w:val="0"/>
              <w:rPr>
                <w:rFonts w:ascii="Arial" w:eastAsia="Times New Roman" w:hAnsi="Arial" w:cs="Arial"/>
                <w:b/>
                <w:color w:val="000000" w:themeColor="text1"/>
                <w:sz w:val="18"/>
                <w:szCs w:val="18"/>
              </w:rPr>
            </w:pPr>
            <w:r w:rsidRPr="0056686B">
              <w:rPr>
                <w:rFonts w:ascii="Arial" w:eastAsia="Times New Roman" w:hAnsi="Arial" w:cs="Arial"/>
                <w:b/>
                <w:color w:val="000000" w:themeColor="text1"/>
                <w:sz w:val="18"/>
                <w:szCs w:val="18"/>
              </w:rPr>
              <w:t xml:space="preserve">Stanje na dan 31. </w:t>
            </w:r>
            <w:r w:rsidRPr="003D1614">
              <w:rPr>
                <w:rFonts w:ascii="Arial" w:eastAsia="Times New Roman" w:hAnsi="Arial" w:cs="Arial"/>
                <w:b/>
                <w:color w:val="000000" w:themeColor="text1"/>
                <w:sz w:val="18"/>
                <w:szCs w:val="18"/>
              </w:rPr>
              <w:t>ožujka</w:t>
            </w:r>
          </w:p>
        </w:tc>
        <w:tc>
          <w:tcPr>
            <w:tcW w:w="1276" w:type="dxa"/>
            <w:tcBorders>
              <w:top w:val="single" w:sz="4" w:space="0" w:color="auto"/>
              <w:left w:val="nil"/>
              <w:bottom w:val="single" w:sz="12" w:space="0" w:color="auto"/>
              <w:right w:val="nil"/>
            </w:tcBorders>
            <w:shd w:val="clear" w:color="auto" w:fill="auto"/>
            <w:noWrap/>
            <w:vAlign w:val="bottom"/>
          </w:tcPr>
          <w:p w14:paraId="0441C542" w14:textId="77777777" w:rsidR="00361719" w:rsidRPr="0056686B" w:rsidRDefault="00361719" w:rsidP="00422DD5">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420</w:t>
            </w:r>
          </w:p>
        </w:tc>
        <w:tc>
          <w:tcPr>
            <w:tcW w:w="1134" w:type="dxa"/>
            <w:tcBorders>
              <w:top w:val="single" w:sz="4" w:space="0" w:color="auto"/>
              <w:left w:val="nil"/>
              <w:bottom w:val="single" w:sz="12" w:space="0" w:color="auto"/>
              <w:right w:val="nil"/>
            </w:tcBorders>
            <w:shd w:val="clear" w:color="auto" w:fill="auto"/>
            <w:vAlign w:val="bottom"/>
          </w:tcPr>
          <w:p w14:paraId="6A39327E" w14:textId="77777777" w:rsidR="00361719" w:rsidRPr="0056686B" w:rsidRDefault="00361719" w:rsidP="00422DD5">
            <w:pPr>
              <w:suppressAutoHyphens/>
              <w:autoSpaceDN w:val="0"/>
              <w:jc w:val="right"/>
              <w:rPr>
                <w:rFonts w:ascii="Arial" w:eastAsia="Times New Roman" w:hAnsi="Arial" w:cs="Arial"/>
                <w:b/>
                <w:color w:val="000000" w:themeColor="text1"/>
                <w:sz w:val="18"/>
                <w:szCs w:val="18"/>
              </w:rPr>
            </w:pPr>
            <w:r>
              <w:rPr>
                <w:rFonts w:ascii="Arial" w:eastAsia="Times New Roman" w:hAnsi="Arial" w:cs="Arial"/>
                <w:b/>
                <w:color w:val="000000" w:themeColor="text1"/>
                <w:sz w:val="18"/>
                <w:szCs w:val="18"/>
              </w:rPr>
              <w:t>388</w:t>
            </w:r>
          </w:p>
        </w:tc>
      </w:tr>
    </w:tbl>
    <w:p w14:paraId="2900CA68" w14:textId="77777777" w:rsidR="0095724C" w:rsidRDefault="0095724C" w:rsidP="00DF6E3A">
      <w:pPr>
        <w:suppressAutoHyphens/>
        <w:autoSpaceDN w:val="0"/>
        <w:jc w:val="both"/>
        <w:rPr>
          <w:rFonts w:ascii="Arial" w:eastAsia="Calibri" w:hAnsi="Arial" w:cs="Arial"/>
          <w:color w:val="000000" w:themeColor="text1"/>
          <w:sz w:val="20"/>
          <w:szCs w:val="20"/>
        </w:rPr>
      </w:pPr>
    </w:p>
    <w:p w14:paraId="281B64CD" w14:textId="77777777" w:rsidR="0095724C" w:rsidRDefault="0095724C" w:rsidP="00DF6E3A">
      <w:pPr>
        <w:suppressAutoHyphens/>
        <w:autoSpaceDN w:val="0"/>
        <w:jc w:val="both"/>
        <w:rPr>
          <w:rFonts w:ascii="Arial" w:eastAsia="Calibri" w:hAnsi="Arial" w:cs="Arial"/>
          <w:color w:val="000000" w:themeColor="text1"/>
          <w:sz w:val="20"/>
          <w:szCs w:val="20"/>
        </w:rPr>
      </w:pPr>
    </w:p>
    <w:p w14:paraId="3F930EEA" w14:textId="77777777" w:rsidR="0095724C" w:rsidRDefault="0095724C" w:rsidP="00DF6E3A">
      <w:pPr>
        <w:suppressAutoHyphens/>
        <w:autoSpaceDN w:val="0"/>
        <w:jc w:val="both"/>
        <w:rPr>
          <w:rFonts w:ascii="Arial" w:eastAsia="Calibri" w:hAnsi="Arial" w:cs="Arial"/>
          <w:color w:val="000000" w:themeColor="text1"/>
          <w:sz w:val="20"/>
          <w:szCs w:val="20"/>
        </w:rPr>
      </w:pPr>
    </w:p>
    <w:p w14:paraId="0434AC7E" w14:textId="77777777" w:rsidR="0095724C" w:rsidRDefault="0095724C" w:rsidP="00DF6E3A">
      <w:pPr>
        <w:suppressAutoHyphens/>
        <w:autoSpaceDN w:val="0"/>
        <w:jc w:val="both"/>
        <w:rPr>
          <w:rFonts w:ascii="Arial" w:eastAsia="Calibri" w:hAnsi="Arial" w:cs="Arial"/>
          <w:color w:val="000000" w:themeColor="text1"/>
          <w:sz w:val="20"/>
          <w:szCs w:val="20"/>
        </w:rPr>
      </w:pPr>
    </w:p>
    <w:p w14:paraId="2B74855F" w14:textId="77777777" w:rsidR="0095724C" w:rsidRDefault="0095724C" w:rsidP="00DF6E3A">
      <w:pPr>
        <w:suppressAutoHyphens/>
        <w:autoSpaceDN w:val="0"/>
        <w:jc w:val="both"/>
        <w:rPr>
          <w:rFonts w:ascii="Arial" w:eastAsia="Calibri" w:hAnsi="Arial" w:cs="Arial"/>
          <w:color w:val="000000" w:themeColor="text1"/>
          <w:sz w:val="20"/>
          <w:szCs w:val="20"/>
        </w:rPr>
      </w:pPr>
    </w:p>
    <w:p w14:paraId="54876B8B" w14:textId="77777777" w:rsidR="0095724C" w:rsidRDefault="0095724C" w:rsidP="00DF6E3A">
      <w:pPr>
        <w:suppressAutoHyphens/>
        <w:autoSpaceDN w:val="0"/>
        <w:jc w:val="both"/>
        <w:rPr>
          <w:rFonts w:ascii="Arial" w:eastAsia="Calibri" w:hAnsi="Arial" w:cs="Arial"/>
          <w:color w:val="000000" w:themeColor="text1"/>
          <w:sz w:val="20"/>
          <w:szCs w:val="20"/>
        </w:rPr>
      </w:pPr>
    </w:p>
    <w:p w14:paraId="275301B0" w14:textId="77777777" w:rsidR="0095724C" w:rsidRDefault="0095724C" w:rsidP="00DF6E3A">
      <w:pPr>
        <w:suppressAutoHyphens/>
        <w:autoSpaceDN w:val="0"/>
        <w:jc w:val="both"/>
        <w:rPr>
          <w:rFonts w:ascii="Arial" w:eastAsia="Calibri" w:hAnsi="Arial" w:cs="Arial"/>
          <w:color w:val="000000" w:themeColor="text1"/>
          <w:sz w:val="20"/>
          <w:szCs w:val="20"/>
        </w:rPr>
      </w:pPr>
    </w:p>
    <w:p w14:paraId="2D7953A1" w14:textId="77777777" w:rsidR="0095724C" w:rsidRDefault="0095724C" w:rsidP="00DF6E3A">
      <w:pPr>
        <w:suppressAutoHyphens/>
        <w:autoSpaceDN w:val="0"/>
        <w:jc w:val="both"/>
        <w:rPr>
          <w:rFonts w:ascii="Arial" w:eastAsia="Calibri" w:hAnsi="Arial" w:cs="Arial"/>
          <w:color w:val="000000" w:themeColor="text1"/>
          <w:sz w:val="20"/>
          <w:szCs w:val="20"/>
        </w:rPr>
      </w:pPr>
    </w:p>
    <w:p w14:paraId="153B3988" w14:textId="77777777" w:rsidR="002C2702" w:rsidRDefault="002C2702" w:rsidP="00DF6E3A">
      <w:pPr>
        <w:suppressAutoHyphens/>
        <w:autoSpaceDN w:val="0"/>
        <w:jc w:val="both"/>
        <w:rPr>
          <w:rFonts w:ascii="Arial" w:eastAsia="Calibri" w:hAnsi="Arial" w:cs="Arial"/>
          <w:color w:val="000000" w:themeColor="text1"/>
          <w:sz w:val="20"/>
          <w:szCs w:val="20"/>
        </w:rPr>
        <w:sectPr w:rsidR="002C2702" w:rsidSect="003278AB">
          <w:headerReference w:type="default" r:id="rId38"/>
          <w:footerReference w:type="default" r:id="rId39"/>
          <w:pgSz w:w="11906" w:h="16838"/>
          <w:pgMar w:top="1417" w:right="1417" w:bottom="1417" w:left="1417" w:header="708" w:footer="708" w:gutter="0"/>
          <w:cols w:space="708"/>
          <w:docGrid w:linePitch="360"/>
        </w:sectPr>
      </w:pPr>
    </w:p>
    <w:p w14:paraId="23CC57A0" w14:textId="77777777" w:rsidR="0095724C" w:rsidRDefault="0095724C" w:rsidP="00DF6E3A">
      <w:pPr>
        <w:suppressAutoHyphens/>
        <w:autoSpaceDN w:val="0"/>
        <w:jc w:val="both"/>
        <w:rPr>
          <w:rFonts w:ascii="Arial" w:eastAsia="Calibri" w:hAnsi="Arial" w:cs="Arial"/>
          <w:color w:val="000000" w:themeColor="text1"/>
          <w:sz w:val="20"/>
          <w:szCs w:val="20"/>
        </w:rPr>
      </w:pPr>
    </w:p>
    <w:tbl>
      <w:tblPr>
        <w:tblpPr w:leftFromText="180" w:rightFromText="180" w:vertAnchor="page" w:horzAnchor="margin" w:tblpXSpec="center" w:tblpY="3044"/>
        <w:tblW w:w="5317" w:type="pct"/>
        <w:tblLayout w:type="fixed"/>
        <w:tblCellMar>
          <w:left w:w="120" w:type="dxa"/>
          <w:right w:w="120" w:type="dxa"/>
        </w:tblCellMar>
        <w:tblLook w:val="0000" w:firstRow="0" w:lastRow="0" w:firstColumn="0" w:lastColumn="0" w:noHBand="0" w:noVBand="0"/>
      </w:tblPr>
      <w:tblGrid>
        <w:gridCol w:w="2546"/>
        <w:gridCol w:w="1206"/>
        <w:gridCol w:w="1354"/>
        <w:gridCol w:w="1104"/>
        <w:gridCol w:w="1104"/>
        <w:gridCol w:w="1243"/>
        <w:gridCol w:w="1090"/>
      </w:tblGrid>
      <w:tr w:rsidR="00D8116B" w:rsidRPr="003D1614" w14:paraId="7B44C62C" w14:textId="77777777" w:rsidTr="00422DD5">
        <w:trPr>
          <w:trHeight w:val="1020"/>
        </w:trPr>
        <w:tc>
          <w:tcPr>
            <w:tcW w:w="1320" w:type="pct"/>
            <w:vAlign w:val="bottom"/>
          </w:tcPr>
          <w:p w14:paraId="232E7CF1" w14:textId="77777777" w:rsidR="00D8116B" w:rsidRPr="003D1614" w:rsidRDefault="00D8116B" w:rsidP="00422DD5">
            <w:pPr>
              <w:tabs>
                <w:tab w:val="right" w:pos="1202"/>
              </w:tabs>
              <w:outlineLvl w:val="0"/>
              <w:rPr>
                <w:rFonts w:ascii="Arial" w:hAnsi="Arial" w:cs="Arial"/>
                <w:b/>
                <w:iCs/>
                <w:color w:val="000000"/>
                <w:sz w:val="17"/>
                <w:szCs w:val="17"/>
              </w:rPr>
            </w:pPr>
          </w:p>
        </w:tc>
        <w:tc>
          <w:tcPr>
            <w:tcW w:w="625" w:type="pct"/>
            <w:vAlign w:val="bottom"/>
          </w:tcPr>
          <w:p w14:paraId="497BFD78" w14:textId="77777777" w:rsidR="00D8116B" w:rsidRPr="003D1614" w:rsidRDefault="00D8116B" w:rsidP="00422DD5">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 xml:space="preserve">Temeljni </w:t>
            </w:r>
          </w:p>
          <w:p w14:paraId="34B7CF38" w14:textId="77777777" w:rsidR="00D8116B" w:rsidRPr="003D1614" w:rsidRDefault="00D8116B" w:rsidP="00422DD5">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kapital</w:t>
            </w:r>
          </w:p>
        </w:tc>
        <w:tc>
          <w:tcPr>
            <w:tcW w:w="702" w:type="pct"/>
            <w:vAlign w:val="bottom"/>
          </w:tcPr>
          <w:p w14:paraId="0A955D08" w14:textId="77777777" w:rsidR="00D8116B" w:rsidRPr="003D1614" w:rsidRDefault="00D8116B" w:rsidP="00422DD5">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Zadržana dobit i rezerve</w:t>
            </w:r>
          </w:p>
        </w:tc>
        <w:tc>
          <w:tcPr>
            <w:tcW w:w="572" w:type="pct"/>
            <w:vAlign w:val="bottom"/>
          </w:tcPr>
          <w:p w14:paraId="1F1EAC89" w14:textId="77777777" w:rsidR="00D8116B" w:rsidRPr="003D1614" w:rsidRDefault="00D8116B" w:rsidP="00422DD5">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Ostale rezerve</w:t>
            </w:r>
          </w:p>
        </w:tc>
        <w:tc>
          <w:tcPr>
            <w:tcW w:w="572" w:type="pct"/>
            <w:vAlign w:val="bottom"/>
          </w:tcPr>
          <w:p w14:paraId="76CDD92F" w14:textId="77777777" w:rsidR="00D8116B" w:rsidRPr="003D1614" w:rsidRDefault="00D8116B" w:rsidP="00422DD5">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 xml:space="preserve">Neto dobit </w:t>
            </w:r>
          </w:p>
          <w:p w14:paraId="5211E2F9" w14:textId="77777777" w:rsidR="00D8116B" w:rsidRPr="003D1614" w:rsidRDefault="00D8116B" w:rsidP="00422DD5">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tekućeg razdoblja</w:t>
            </w:r>
          </w:p>
        </w:tc>
        <w:tc>
          <w:tcPr>
            <w:tcW w:w="644" w:type="pct"/>
            <w:vAlign w:val="bottom"/>
          </w:tcPr>
          <w:p w14:paraId="133D50E3" w14:textId="77777777" w:rsidR="00D8116B" w:rsidRPr="003D1614" w:rsidRDefault="00D8116B" w:rsidP="00422DD5">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Ukupni kapital koji pripada vlasnicima društva</w:t>
            </w:r>
          </w:p>
        </w:tc>
        <w:tc>
          <w:tcPr>
            <w:tcW w:w="565" w:type="pct"/>
            <w:vAlign w:val="bottom"/>
          </w:tcPr>
          <w:p w14:paraId="3254D38E" w14:textId="77777777" w:rsidR="00D8116B" w:rsidRPr="003D1614" w:rsidRDefault="00D8116B" w:rsidP="00422DD5">
            <w:pPr>
              <w:tabs>
                <w:tab w:val="right" w:pos="1202"/>
              </w:tabs>
              <w:jc w:val="right"/>
              <w:outlineLvl w:val="0"/>
              <w:rPr>
                <w:rFonts w:ascii="Arial" w:hAnsi="Arial" w:cs="Arial"/>
                <w:b/>
                <w:iCs/>
                <w:color w:val="000000"/>
                <w:sz w:val="17"/>
                <w:szCs w:val="17"/>
              </w:rPr>
            </w:pPr>
            <w:r w:rsidRPr="003D1614">
              <w:rPr>
                <w:rFonts w:ascii="Arial" w:hAnsi="Arial" w:cs="Arial"/>
                <w:b/>
                <w:iCs/>
                <w:color w:val="000000"/>
                <w:sz w:val="17"/>
                <w:szCs w:val="17"/>
              </w:rPr>
              <w:t>Ukupni kapital</w:t>
            </w:r>
          </w:p>
        </w:tc>
      </w:tr>
      <w:tr w:rsidR="00D8116B" w:rsidRPr="003D1614" w14:paraId="036ADB0B" w14:textId="77777777" w:rsidTr="00422DD5">
        <w:trPr>
          <w:trHeight w:val="298"/>
        </w:trPr>
        <w:tc>
          <w:tcPr>
            <w:tcW w:w="1320" w:type="pct"/>
            <w:vAlign w:val="bottom"/>
          </w:tcPr>
          <w:p w14:paraId="18739327" w14:textId="77777777" w:rsidR="00D8116B" w:rsidRPr="003D1614" w:rsidRDefault="00D8116B" w:rsidP="00422DD5">
            <w:pPr>
              <w:tabs>
                <w:tab w:val="right" w:pos="1202"/>
              </w:tabs>
              <w:spacing w:line="301" w:lineRule="exact"/>
              <w:outlineLvl w:val="0"/>
              <w:rPr>
                <w:rFonts w:ascii="Arial" w:hAnsi="Arial" w:cs="Arial"/>
                <w:iCs/>
                <w:color w:val="000000"/>
                <w:sz w:val="17"/>
                <w:szCs w:val="17"/>
              </w:rPr>
            </w:pPr>
          </w:p>
        </w:tc>
        <w:tc>
          <w:tcPr>
            <w:tcW w:w="625" w:type="pct"/>
            <w:vAlign w:val="bottom"/>
          </w:tcPr>
          <w:p w14:paraId="24E0FABD" w14:textId="77777777" w:rsidR="00D8116B" w:rsidRPr="003D1614" w:rsidRDefault="00D8116B" w:rsidP="00422DD5">
            <w:pPr>
              <w:keepLines/>
              <w:tabs>
                <w:tab w:val="right" w:pos="1202"/>
              </w:tabs>
              <w:spacing w:line="301" w:lineRule="exact"/>
              <w:jc w:val="right"/>
              <w:outlineLvl w:val="0"/>
              <w:rPr>
                <w:rFonts w:ascii="Arial" w:hAnsi="Arial" w:cs="Arial"/>
                <w:b/>
                <w:bCs/>
                <w:color w:val="000000"/>
                <w:sz w:val="17"/>
                <w:szCs w:val="17"/>
              </w:rPr>
            </w:pPr>
            <w:r w:rsidRPr="003D1614">
              <w:rPr>
                <w:rFonts w:ascii="Arial" w:hAnsi="Arial" w:cs="Arial"/>
                <w:b/>
                <w:bCs/>
                <w:color w:val="000000"/>
                <w:sz w:val="17"/>
                <w:szCs w:val="17"/>
              </w:rPr>
              <w:t>000 eura</w:t>
            </w:r>
          </w:p>
        </w:tc>
        <w:tc>
          <w:tcPr>
            <w:tcW w:w="702" w:type="pct"/>
            <w:vAlign w:val="bottom"/>
          </w:tcPr>
          <w:p w14:paraId="65FFE7A5" w14:textId="77777777" w:rsidR="00D8116B" w:rsidRPr="003D1614" w:rsidRDefault="00D8116B" w:rsidP="00422DD5">
            <w:pPr>
              <w:keepLines/>
              <w:tabs>
                <w:tab w:val="right" w:pos="1202"/>
              </w:tabs>
              <w:spacing w:line="301" w:lineRule="exact"/>
              <w:jc w:val="right"/>
              <w:outlineLvl w:val="0"/>
              <w:rPr>
                <w:rFonts w:ascii="Arial" w:hAnsi="Arial" w:cs="Arial"/>
                <w:b/>
                <w:bCs/>
                <w:color w:val="000000"/>
                <w:sz w:val="17"/>
                <w:szCs w:val="17"/>
              </w:rPr>
            </w:pPr>
            <w:r w:rsidRPr="003D1614">
              <w:rPr>
                <w:rFonts w:ascii="Arial" w:hAnsi="Arial" w:cs="Arial"/>
                <w:b/>
                <w:bCs/>
                <w:color w:val="000000"/>
                <w:sz w:val="17"/>
                <w:szCs w:val="17"/>
              </w:rPr>
              <w:t>000 eura</w:t>
            </w:r>
          </w:p>
        </w:tc>
        <w:tc>
          <w:tcPr>
            <w:tcW w:w="572" w:type="pct"/>
            <w:vAlign w:val="bottom"/>
          </w:tcPr>
          <w:p w14:paraId="25668D9E" w14:textId="77777777" w:rsidR="00D8116B" w:rsidRPr="003D1614" w:rsidRDefault="00D8116B" w:rsidP="00422DD5">
            <w:pPr>
              <w:keepLines/>
              <w:tabs>
                <w:tab w:val="right" w:pos="1202"/>
              </w:tabs>
              <w:spacing w:line="301" w:lineRule="exact"/>
              <w:jc w:val="right"/>
              <w:outlineLvl w:val="0"/>
              <w:rPr>
                <w:rFonts w:ascii="Arial" w:hAnsi="Arial" w:cs="Arial"/>
                <w:b/>
                <w:bCs/>
                <w:color w:val="000000"/>
                <w:sz w:val="17"/>
                <w:szCs w:val="17"/>
              </w:rPr>
            </w:pPr>
            <w:r w:rsidRPr="003D1614">
              <w:rPr>
                <w:rFonts w:ascii="Arial" w:hAnsi="Arial" w:cs="Arial"/>
                <w:b/>
                <w:bCs/>
                <w:color w:val="000000"/>
                <w:sz w:val="17"/>
                <w:szCs w:val="17"/>
              </w:rPr>
              <w:t>000 eura</w:t>
            </w:r>
          </w:p>
        </w:tc>
        <w:tc>
          <w:tcPr>
            <w:tcW w:w="572" w:type="pct"/>
            <w:vAlign w:val="bottom"/>
          </w:tcPr>
          <w:p w14:paraId="6A53B6B8" w14:textId="77777777" w:rsidR="00D8116B" w:rsidRPr="003D1614" w:rsidRDefault="00D8116B" w:rsidP="00422DD5">
            <w:pPr>
              <w:keepLines/>
              <w:tabs>
                <w:tab w:val="right" w:pos="1202"/>
              </w:tabs>
              <w:spacing w:line="301" w:lineRule="exact"/>
              <w:jc w:val="right"/>
              <w:outlineLvl w:val="0"/>
              <w:rPr>
                <w:rFonts w:ascii="Arial" w:hAnsi="Arial" w:cs="Arial"/>
                <w:b/>
                <w:bCs/>
                <w:color w:val="000000"/>
                <w:sz w:val="17"/>
                <w:szCs w:val="17"/>
              </w:rPr>
            </w:pPr>
            <w:r w:rsidRPr="003D1614">
              <w:rPr>
                <w:rFonts w:ascii="Arial" w:hAnsi="Arial" w:cs="Arial"/>
                <w:b/>
                <w:bCs/>
                <w:color w:val="000000"/>
                <w:sz w:val="17"/>
                <w:szCs w:val="17"/>
              </w:rPr>
              <w:t>000 eura</w:t>
            </w:r>
          </w:p>
        </w:tc>
        <w:tc>
          <w:tcPr>
            <w:tcW w:w="644" w:type="pct"/>
            <w:vAlign w:val="bottom"/>
          </w:tcPr>
          <w:p w14:paraId="2895A642" w14:textId="77777777" w:rsidR="00D8116B" w:rsidRPr="003D1614" w:rsidRDefault="00D8116B" w:rsidP="00422DD5">
            <w:pPr>
              <w:keepLines/>
              <w:tabs>
                <w:tab w:val="right" w:pos="1202"/>
              </w:tabs>
              <w:spacing w:line="301" w:lineRule="exact"/>
              <w:jc w:val="right"/>
              <w:outlineLvl w:val="0"/>
              <w:rPr>
                <w:rFonts w:ascii="Arial" w:hAnsi="Arial" w:cs="Arial"/>
                <w:b/>
                <w:bCs/>
                <w:color w:val="000000"/>
                <w:sz w:val="17"/>
                <w:szCs w:val="17"/>
              </w:rPr>
            </w:pPr>
            <w:r w:rsidRPr="003D1614">
              <w:rPr>
                <w:rFonts w:ascii="Arial" w:hAnsi="Arial" w:cs="Arial"/>
                <w:b/>
                <w:bCs/>
                <w:color w:val="000000"/>
                <w:sz w:val="17"/>
                <w:szCs w:val="17"/>
              </w:rPr>
              <w:t>000 eura</w:t>
            </w:r>
          </w:p>
        </w:tc>
        <w:tc>
          <w:tcPr>
            <w:tcW w:w="565" w:type="pct"/>
            <w:vAlign w:val="bottom"/>
          </w:tcPr>
          <w:p w14:paraId="1017FDA8" w14:textId="77777777" w:rsidR="00D8116B" w:rsidRPr="003D1614" w:rsidRDefault="00D8116B" w:rsidP="00422DD5">
            <w:pPr>
              <w:keepLines/>
              <w:tabs>
                <w:tab w:val="right" w:pos="1202"/>
              </w:tabs>
              <w:spacing w:line="301" w:lineRule="exact"/>
              <w:jc w:val="right"/>
              <w:outlineLvl w:val="0"/>
              <w:rPr>
                <w:rFonts w:ascii="Arial" w:hAnsi="Arial" w:cs="Arial"/>
                <w:b/>
                <w:bCs/>
                <w:color w:val="000000"/>
                <w:sz w:val="17"/>
                <w:szCs w:val="17"/>
              </w:rPr>
            </w:pPr>
            <w:r w:rsidRPr="003D1614">
              <w:rPr>
                <w:rFonts w:ascii="Arial" w:hAnsi="Arial" w:cs="Arial"/>
                <w:b/>
                <w:bCs/>
                <w:color w:val="000000"/>
                <w:sz w:val="17"/>
                <w:szCs w:val="17"/>
              </w:rPr>
              <w:t>000 eura</w:t>
            </w:r>
          </w:p>
        </w:tc>
      </w:tr>
      <w:tr w:rsidR="00D8116B" w:rsidRPr="003D1614" w14:paraId="3F553BE0" w14:textId="77777777" w:rsidTr="00422DD5">
        <w:trPr>
          <w:trHeight w:val="132"/>
        </w:trPr>
        <w:tc>
          <w:tcPr>
            <w:tcW w:w="1320" w:type="pct"/>
            <w:vAlign w:val="bottom"/>
          </w:tcPr>
          <w:p w14:paraId="3561F3A3" w14:textId="77777777" w:rsidR="00D8116B" w:rsidRPr="003D1614" w:rsidRDefault="00D8116B" w:rsidP="00422DD5">
            <w:pPr>
              <w:tabs>
                <w:tab w:val="right" w:pos="1202"/>
              </w:tabs>
              <w:spacing w:line="140" w:lineRule="exact"/>
              <w:outlineLvl w:val="0"/>
              <w:rPr>
                <w:rFonts w:ascii="Arial" w:hAnsi="Arial" w:cs="Arial"/>
                <w:iCs/>
                <w:color w:val="000000"/>
                <w:sz w:val="17"/>
                <w:szCs w:val="17"/>
              </w:rPr>
            </w:pPr>
          </w:p>
        </w:tc>
        <w:tc>
          <w:tcPr>
            <w:tcW w:w="625" w:type="pct"/>
            <w:vAlign w:val="bottom"/>
          </w:tcPr>
          <w:p w14:paraId="09CC885D" w14:textId="77777777" w:rsidR="00D8116B" w:rsidRPr="003D1614" w:rsidRDefault="00D8116B" w:rsidP="00422DD5">
            <w:pPr>
              <w:tabs>
                <w:tab w:val="right" w:pos="1202"/>
              </w:tabs>
              <w:spacing w:line="140" w:lineRule="exact"/>
              <w:jc w:val="right"/>
              <w:outlineLvl w:val="0"/>
              <w:rPr>
                <w:rFonts w:ascii="Arial" w:hAnsi="Arial" w:cs="Arial"/>
                <w:b/>
                <w:bCs/>
                <w:color w:val="000000"/>
                <w:sz w:val="17"/>
                <w:szCs w:val="17"/>
              </w:rPr>
            </w:pPr>
          </w:p>
        </w:tc>
        <w:tc>
          <w:tcPr>
            <w:tcW w:w="702" w:type="pct"/>
            <w:vAlign w:val="bottom"/>
          </w:tcPr>
          <w:p w14:paraId="06980A97" w14:textId="77777777" w:rsidR="00D8116B" w:rsidRPr="003D1614" w:rsidRDefault="00D8116B" w:rsidP="00422DD5">
            <w:pPr>
              <w:tabs>
                <w:tab w:val="right" w:pos="1202"/>
              </w:tabs>
              <w:spacing w:line="140" w:lineRule="exact"/>
              <w:jc w:val="right"/>
              <w:outlineLvl w:val="0"/>
              <w:rPr>
                <w:rFonts w:ascii="Arial" w:hAnsi="Arial" w:cs="Arial"/>
                <w:b/>
                <w:bCs/>
                <w:color w:val="000000"/>
                <w:sz w:val="17"/>
                <w:szCs w:val="17"/>
              </w:rPr>
            </w:pPr>
          </w:p>
        </w:tc>
        <w:tc>
          <w:tcPr>
            <w:tcW w:w="572" w:type="pct"/>
            <w:vAlign w:val="bottom"/>
          </w:tcPr>
          <w:p w14:paraId="11DAFC2E" w14:textId="77777777" w:rsidR="00D8116B" w:rsidRPr="003D1614" w:rsidRDefault="00D8116B" w:rsidP="00422DD5">
            <w:pPr>
              <w:tabs>
                <w:tab w:val="right" w:pos="1202"/>
              </w:tabs>
              <w:spacing w:line="140" w:lineRule="exact"/>
              <w:jc w:val="right"/>
              <w:outlineLvl w:val="0"/>
              <w:rPr>
                <w:rFonts w:ascii="Arial" w:hAnsi="Arial" w:cs="Arial"/>
                <w:b/>
                <w:bCs/>
                <w:color w:val="000000"/>
                <w:sz w:val="17"/>
                <w:szCs w:val="17"/>
              </w:rPr>
            </w:pPr>
          </w:p>
        </w:tc>
        <w:tc>
          <w:tcPr>
            <w:tcW w:w="572" w:type="pct"/>
            <w:vAlign w:val="bottom"/>
          </w:tcPr>
          <w:p w14:paraId="19092277" w14:textId="77777777" w:rsidR="00D8116B" w:rsidRPr="003D1614" w:rsidRDefault="00D8116B" w:rsidP="00422DD5">
            <w:pPr>
              <w:tabs>
                <w:tab w:val="right" w:pos="1202"/>
              </w:tabs>
              <w:spacing w:line="140" w:lineRule="exact"/>
              <w:jc w:val="right"/>
              <w:outlineLvl w:val="0"/>
              <w:rPr>
                <w:rFonts w:ascii="Arial" w:hAnsi="Arial" w:cs="Arial"/>
                <w:b/>
                <w:bCs/>
                <w:color w:val="000000"/>
                <w:sz w:val="17"/>
                <w:szCs w:val="17"/>
              </w:rPr>
            </w:pPr>
          </w:p>
        </w:tc>
        <w:tc>
          <w:tcPr>
            <w:tcW w:w="644" w:type="pct"/>
            <w:vAlign w:val="bottom"/>
          </w:tcPr>
          <w:p w14:paraId="0E7BFA16" w14:textId="77777777" w:rsidR="00D8116B" w:rsidRPr="003D1614" w:rsidRDefault="00D8116B" w:rsidP="00422DD5">
            <w:pPr>
              <w:tabs>
                <w:tab w:val="right" w:pos="1202"/>
              </w:tabs>
              <w:spacing w:line="140" w:lineRule="exact"/>
              <w:jc w:val="right"/>
              <w:outlineLvl w:val="0"/>
              <w:rPr>
                <w:rFonts w:ascii="Arial" w:hAnsi="Arial" w:cs="Arial"/>
                <w:b/>
                <w:bCs/>
                <w:color w:val="000000"/>
                <w:sz w:val="17"/>
                <w:szCs w:val="17"/>
              </w:rPr>
            </w:pPr>
          </w:p>
        </w:tc>
        <w:tc>
          <w:tcPr>
            <w:tcW w:w="565" w:type="pct"/>
            <w:vAlign w:val="bottom"/>
          </w:tcPr>
          <w:p w14:paraId="4535E313" w14:textId="77777777" w:rsidR="00D8116B" w:rsidRPr="003D1614" w:rsidRDefault="00D8116B" w:rsidP="00422DD5">
            <w:pPr>
              <w:tabs>
                <w:tab w:val="right" w:pos="1202"/>
              </w:tabs>
              <w:spacing w:line="140" w:lineRule="exact"/>
              <w:jc w:val="right"/>
              <w:outlineLvl w:val="0"/>
              <w:rPr>
                <w:rFonts w:ascii="Arial" w:hAnsi="Arial" w:cs="Arial"/>
                <w:b/>
                <w:bCs/>
                <w:color w:val="000000"/>
                <w:sz w:val="17"/>
                <w:szCs w:val="17"/>
              </w:rPr>
            </w:pPr>
          </w:p>
        </w:tc>
      </w:tr>
      <w:tr w:rsidR="00D8116B" w:rsidRPr="003D1614" w14:paraId="2AB19024" w14:textId="77777777" w:rsidTr="00422DD5">
        <w:trPr>
          <w:trHeight w:val="77"/>
        </w:trPr>
        <w:tc>
          <w:tcPr>
            <w:tcW w:w="1320" w:type="pct"/>
            <w:vAlign w:val="bottom"/>
          </w:tcPr>
          <w:p w14:paraId="43E6D066" w14:textId="77777777" w:rsidR="00D8116B" w:rsidRPr="003D1614" w:rsidRDefault="00D8116B" w:rsidP="00422DD5">
            <w:pPr>
              <w:tabs>
                <w:tab w:val="right" w:pos="1202"/>
              </w:tabs>
              <w:spacing w:line="240" w:lineRule="exact"/>
              <w:outlineLvl w:val="0"/>
              <w:rPr>
                <w:rFonts w:ascii="Arial" w:hAnsi="Arial" w:cs="Arial"/>
                <w:iCs/>
                <w:color w:val="000000"/>
                <w:sz w:val="17"/>
                <w:szCs w:val="17"/>
              </w:rPr>
            </w:pPr>
            <w:r w:rsidRPr="00ED5991">
              <w:rPr>
                <w:rFonts w:ascii="Arial" w:hAnsi="Arial" w:cs="Arial"/>
                <w:b/>
                <w:iCs/>
                <w:color w:val="000000" w:themeColor="text1"/>
                <w:sz w:val="17"/>
                <w:szCs w:val="17"/>
              </w:rPr>
              <w:t xml:space="preserve">Stanje 1. siječnja 2023. </w:t>
            </w:r>
          </w:p>
        </w:tc>
        <w:tc>
          <w:tcPr>
            <w:tcW w:w="625" w:type="pct"/>
            <w:tcBorders>
              <w:bottom w:val="single" w:sz="12" w:space="0" w:color="auto"/>
            </w:tcBorders>
            <w:vAlign w:val="bottom"/>
          </w:tcPr>
          <w:p w14:paraId="08D5B299" w14:textId="77777777" w:rsidR="00D8116B" w:rsidRDefault="00D8116B" w:rsidP="00422DD5">
            <w:pPr>
              <w:tabs>
                <w:tab w:val="right" w:pos="1202"/>
              </w:tabs>
              <w:spacing w:line="301" w:lineRule="exact"/>
              <w:jc w:val="right"/>
              <w:outlineLvl w:val="0"/>
              <w:rPr>
                <w:rFonts w:ascii="Arial" w:hAnsi="Arial" w:cs="Arial"/>
                <w:iCs/>
                <w:color w:val="000000"/>
                <w:sz w:val="17"/>
                <w:szCs w:val="17"/>
              </w:rPr>
            </w:pPr>
            <w:r w:rsidRPr="00ED5991">
              <w:rPr>
                <w:rFonts w:ascii="Arial" w:hAnsi="Arial" w:cs="Arial"/>
                <w:b/>
                <w:bCs/>
                <w:color w:val="000000"/>
                <w:sz w:val="17"/>
                <w:szCs w:val="17"/>
              </w:rPr>
              <w:t>7.632</w:t>
            </w:r>
          </w:p>
        </w:tc>
        <w:tc>
          <w:tcPr>
            <w:tcW w:w="702" w:type="pct"/>
            <w:tcBorders>
              <w:bottom w:val="single" w:sz="12" w:space="0" w:color="auto"/>
            </w:tcBorders>
            <w:vAlign w:val="bottom"/>
          </w:tcPr>
          <w:p w14:paraId="09314D62" w14:textId="77777777" w:rsidR="00D8116B" w:rsidRDefault="00D8116B" w:rsidP="00422DD5">
            <w:pPr>
              <w:tabs>
                <w:tab w:val="right" w:pos="1202"/>
              </w:tabs>
              <w:spacing w:line="301" w:lineRule="exact"/>
              <w:jc w:val="right"/>
              <w:outlineLvl w:val="0"/>
              <w:rPr>
                <w:rFonts w:ascii="Arial" w:hAnsi="Arial" w:cs="Arial"/>
                <w:iCs/>
                <w:color w:val="000000"/>
                <w:sz w:val="17"/>
                <w:szCs w:val="17"/>
              </w:rPr>
            </w:pPr>
            <w:r w:rsidRPr="00A307BE">
              <w:rPr>
                <w:rFonts w:ascii="Arial" w:hAnsi="Arial" w:cs="Arial"/>
                <w:b/>
                <w:bCs/>
                <w:color w:val="000000"/>
                <w:sz w:val="17"/>
                <w:szCs w:val="17"/>
              </w:rPr>
              <w:t>669</w:t>
            </w:r>
          </w:p>
        </w:tc>
        <w:tc>
          <w:tcPr>
            <w:tcW w:w="572" w:type="pct"/>
            <w:tcBorders>
              <w:bottom w:val="single" w:sz="12" w:space="0" w:color="auto"/>
            </w:tcBorders>
            <w:vAlign w:val="bottom"/>
          </w:tcPr>
          <w:p w14:paraId="43726C1D" w14:textId="77777777" w:rsidR="00D8116B" w:rsidRDefault="00D8116B" w:rsidP="00422DD5">
            <w:pPr>
              <w:tabs>
                <w:tab w:val="right" w:pos="1202"/>
              </w:tabs>
              <w:spacing w:line="301" w:lineRule="exact"/>
              <w:jc w:val="right"/>
              <w:outlineLvl w:val="0"/>
              <w:rPr>
                <w:rFonts w:ascii="Arial" w:hAnsi="Arial" w:cs="Arial"/>
                <w:iCs/>
                <w:color w:val="000000"/>
                <w:sz w:val="17"/>
                <w:szCs w:val="17"/>
              </w:rPr>
            </w:pPr>
            <w:r w:rsidRPr="00ED5991">
              <w:rPr>
                <w:rFonts w:ascii="Arial" w:hAnsi="Arial" w:cs="Arial"/>
                <w:b/>
                <w:bCs/>
                <w:color w:val="000000"/>
                <w:sz w:val="17"/>
                <w:szCs w:val="17"/>
              </w:rPr>
              <w:t>(</w:t>
            </w:r>
            <w:r>
              <w:rPr>
                <w:rFonts w:ascii="Arial" w:hAnsi="Arial" w:cs="Arial"/>
                <w:b/>
                <w:bCs/>
                <w:color w:val="000000"/>
                <w:sz w:val="17"/>
                <w:szCs w:val="17"/>
              </w:rPr>
              <w:t>700</w:t>
            </w:r>
            <w:r w:rsidRPr="00ED5991">
              <w:rPr>
                <w:rFonts w:ascii="Arial" w:hAnsi="Arial" w:cs="Arial"/>
                <w:b/>
                <w:bCs/>
                <w:color w:val="000000"/>
                <w:sz w:val="17"/>
                <w:szCs w:val="17"/>
              </w:rPr>
              <w:t>)</w:t>
            </w:r>
          </w:p>
        </w:tc>
        <w:tc>
          <w:tcPr>
            <w:tcW w:w="572" w:type="pct"/>
            <w:tcBorders>
              <w:bottom w:val="single" w:sz="12" w:space="0" w:color="auto"/>
            </w:tcBorders>
            <w:vAlign w:val="bottom"/>
          </w:tcPr>
          <w:p w14:paraId="17AA6144" w14:textId="77777777" w:rsidR="00D8116B" w:rsidRDefault="00D8116B" w:rsidP="00422DD5">
            <w:pPr>
              <w:tabs>
                <w:tab w:val="right" w:pos="1202"/>
              </w:tabs>
              <w:spacing w:line="301" w:lineRule="exact"/>
              <w:jc w:val="right"/>
              <w:outlineLvl w:val="0"/>
              <w:rPr>
                <w:rFonts w:ascii="Arial" w:hAnsi="Arial" w:cs="Arial"/>
                <w:iCs/>
                <w:color w:val="000000"/>
                <w:sz w:val="17"/>
                <w:szCs w:val="17"/>
              </w:rPr>
            </w:pPr>
            <w:r w:rsidRPr="00A307BE">
              <w:rPr>
                <w:rFonts w:ascii="Arial" w:hAnsi="Arial" w:cs="Arial"/>
                <w:b/>
                <w:bCs/>
                <w:color w:val="000000"/>
                <w:sz w:val="17"/>
                <w:szCs w:val="17"/>
              </w:rPr>
              <w:t>436</w:t>
            </w:r>
          </w:p>
        </w:tc>
        <w:tc>
          <w:tcPr>
            <w:tcW w:w="644" w:type="pct"/>
            <w:tcBorders>
              <w:bottom w:val="single" w:sz="12" w:space="0" w:color="auto"/>
            </w:tcBorders>
            <w:vAlign w:val="bottom"/>
          </w:tcPr>
          <w:p w14:paraId="7E62212D" w14:textId="77777777" w:rsidR="00D8116B" w:rsidRDefault="00D8116B" w:rsidP="00422DD5">
            <w:pPr>
              <w:tabs>
                <w:tab w:val="right" w:pos="1202"/>
              </w:tabs>
              <w:spacing w:line="301" w:lineRule="exact"/>
              <w:jc w:val="right"/>
              <w:outlineLvl w:val="0"/>
              <w:rPr>
                <w:rFonts w:ascii="Arial" w:hAnsi="Arial" w:cs="Arial"/>
                <w:b/>
                <w:iCs/>
                <w:color w:val="000000"/>
                <w:sz w:val="17"/>
                <w:szCs w:val="17"/>
              </w:rPr>
            </w:pPr>
            <w:r w:rsidRPr="00A307BE">
              <w:rPr>
                <w:rFonts w:ascii="Arial" w:hAnsi="Arial" w:cs="Arial"/>
                <w:b/>
                <w:bCs/>
                <w:color w:val="000000"/>
                <w:sz w:val="17"/>
                <w:szCs w:val="17"/>
              </w:rPr>
              <w:t>8.037</w:t>
            </w:r>
          </w:p>
        </w:tc>
        <w:tc>
          <w:tcPr>
            <w:tcW w:w="565" w:type="pct"/>
            <w:tcBorders>
              <w:bottom w:val="single" w:sz="12" w:space="0" w:color="auto"/>
            </w:tcBorders>
            <w:shd w:val="clear" w:color="auto" w:fill="auto"/>
            <w:vAlign w:val="bottom"/>
          </w:tcPr>
          <w:p w14:paraId="159FB363" w14:textId="77777777" w:rsidR="00D8116B" w:rsidRDefault="00D8116B" w:rsidP="00422DD5">
            <w:pPr>
              <w:tabs>
                <w:tab w:val="right" w:pos="1202"/>
              </w:tabs>
              <w:spacing w:line="301" w:lineRule="exact"/>
              <w:jc w:val="right"/>
              <w:outlineLvl w:val="0"/>
              <w:rPr>
                <w:rFonts w:ascii="Arial" w:hAnsi="Arial" w:cs="Arial"/>
                <w:b/>
                <w:iCs/>
                <w:color w:val="000000"/>
                <w:sz w:val="17"/>
                <w:szCs w:val="17"/>
              </w:rPr>
            </w:pPr>
            <w:r w:rsidRPr="00A307BE">
              <w:rPr>
                <w:rFonts w:ascii="Arial" w:hAnsi="Arial" w:cs="Arial"/>
                <w:b/>
                <w:bCs/>
                <w:color w:val="000000"/>
                <w:sz w:val="17"/>
                <w:szCs w:val="17"/>
              </w:rPr>
              <w:t>8.037</w:t>
            </w:r>
          </w:p>
        </w:tc>
      </w:tr>
      <w:tr w:rsidR="00D8116B" w:rsidRPr="003D1614" w14:paraId="66D75EF2" w14:textId="77777777" w:rsidTr="00422DD5">
        <w:trPr>
          <w:trHeight w:val="77"/>
        </w:trPr>
        <w:tc>
          <w:tcPr>
            <w:tcW w:w="1320" w:type="pct"/>
            <w:vAlign w:val="bottom"/>
          </w:tcPr>
          <w:p w14:paraId="78F3913D" w14:textId="77777777" w:rsidR="00D8116B" w:rsidRPr="003D1614" w:rsidRDefault="00D8116B" w:rsidP="00422DD5">
            <w:pPr>
              <w:tabs>
                <w:tab w:val="right" w:pos="1202"/>
              </w:tabs>
              <w:spacing w:line="240" w:lineRule="exact"/>
              <w:outlineLvl w:val="0"/>
              <w:rPr>
                <w:rFonts w:ascii="Arial" w:hAnsi="Arial" w:cs="Arial"/>
                <w:iCs/>
                <w:color w:val="000000"/>
                <w:sz w:val="17"/>
                <w:szCs w:val="17"/>
              </w:rPr>
            </w:pPr>
            <w:r w:rsidRPr="003D1614">
              <w:rPr>
                <w:rFonts w:ascii="Arial" w:hAnsi="Arial" w:cs="Arial"/>
                <w:iCs/>
                <w:color w:val="000000"/>
                <w:sz w:val="17"/>
                <w:szCs w:val="17"/>
              </w:rPr>
              <w:t>Dobit tekućeg razdoblja</w:t>
            </w:r>
          </w:p>
        </w:tc>
        <w:tc>
          <w:tcPr>
            <w:tcW w:w="625" w:type="pct"/>
            <w:vAlign w:val="bottom"/>
          </w:tcPr>
          <w:p w14:paraId="3317BB09" w14:textId="77777777" w:rsidR="00D8116B" w:rsidRPr="003D1614" w:rsidRDefault="00D8116B" w:rsidP="00422DD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702" w:type="pct"/>
            <w:vAlign w:val="bottom"/>
          </w:tcPr>
          <w:p w14:paraId="306F1513" w14:textId="77777777" w:rsidR="00D8116B" w:rsidRPr="003D1614" w:rsidRDefault="00D8116B" w:rsidP="00422DD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572" w:type="pct"/>
            <w:vAlign w:val="bottom"/>
          </w:tcPr>
          <w:p w14:paraId="30883459" w14:textId="77777777" w:rsidR="00D8116B" w:rsidRPr="003D1614" w:rsidRDefault="00D8116B" w:rsidP="00422DD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572" w:type="pct"/>
            <w:vAlign w:val="bottom"/>
          </w:tcPr>
          <w:p w14:paraId="744D07E1" w14:textId="77777777" w:rsidR="00D8116B" w:rsidRPr="003D1614" w:rsidRDefault="00D8116B" w:rsidP="00422DD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188</w:t>
            </w:r>
          </w:p>
        </w:tc>
        <w:tc>
          <w:tcPr>
            <w:tcW w:w="644" w:type="pct"/>
            <w:vAlign w:val="bottom"/>
          </w:tcPr>
          <w:p w14:paraId="4A3442DE" w14:textId="77777777" w:rsidR="00D8116B" w:rsidRPr="003D1614" w:rsidRDefault="00D8116B" w:rsidP="00422DD5">
            <w:pPr>
              <w:tabs>
                <w:tab w:val="right" w:pos="1202"/>
              </w:tabs>
              <w:spacing w:line="301" w:lineRule="exact"/>
              <w:jc w:val="right"/>
              <w:outlineLvl w:val="0"/>
              <w:rPr>
                <w:rFonts w:ascii="Arial" w:hAnsi="Arial" w:cs="Arial"/>
                <w:b/>
                <w:iCs/>
                <w:color w:val="000000"/>
                <w:sz w:val="17"/>
                <w:szCs w:val="17"/>
              </w:rPr>
            </w:pPr>
            <w:r>
              <w:rPr>
                <w:rFonts w:ascii="Arial" w:hAnsi="Arial" w:cs="Arial"/>
                <w:b/>
                <w:bCs/>
                <w:color w:val="000000"/>
                <w:sz w:val="17"/>
                <w:szCs w:val="17"/>
              </w:rPr>
              <w:t>188</w:t>
            </w:r>
          </w:p>
        </w:tc>
        <w:tc>
          <w:tcPr>
            <w:tcW w:w="565" w:type="pct"/>
            <w:tcBorders>
              <w:top w:val="nil"/>
              <w:left w:val="nil"/>
              <w:bottom w:val="nil"/>
              <w:right w:val="nil"/>
            </w:tcBorders>
            <w:vAlign w:val="bottom"/>
          </w:tcPr>
          <w:p w14:paraId="51F60980" w14:textId="77777777" w:rsidR="00D8116B" w:rsidRPr="003D1614" w:rsidRDefault="00D8116B" w:rsidP="00422DD5">
            <w:pPr>
              <w:tabs>
                <w:tab w:val="right" w:pos="1202"/>
              </w:tabs>
              <w:spacing w:line="301" w:lineRule="exact"/>
              <w:jc w:val="right"/>
              <w:outlineLvl w:val="0"/>
              <w:rPr>
                <w:rFonts w:ascii="Arial" w:hAnsi="Arial" w:cs="Arial"/>
                <w:b/>
                <w:iCs/>
                <w:color w:val="000000"/>
                <w:sz w:val="17"/>
                <w:szCs w:val="17"/>
              </w:rPr>
            </w:pPr>
            <w:r>
              <w:rPr>
                <w:rFonts w:ascii="Arial" w:hAnsi="Arial" w:cs="Arial"/>
                <w:b/>
                <w:bCs/>
                <w:color w:val="000000"/>
                <w:sz w:val="17"/>
                <w:szCs w:val="17"/>
              </w:rPr>
              <w:t>188</w:t>
            </w:r>
          </w:p>
        </w:tc>
      </w:tr>
      <w:tr w:rsidR="00D8116B" w:rsidRPr="003D1614" w14:paraId="0E39C2A2" w14:textId="77777777" w:rsidTr="00422DD5">
        <w:trPr>
          <w:trHeight w:val="77"/>
        </w:trPr>
        <w:tc>
          <w:tcPr>
            <w:tcW w:w="1320" w:type="pct"/>
            <w:vAlign w:val="bottom"/>
          </w:tcPr>
          <w:p w14:paraId="6F6255E2" w14:textId="77777777" w:rsidR="00D8116B" w:rsidRPr="003D1614" w:rsidRDefault="00D8116B" w:rsidP="00422DD5">
            <w:pPr>
              <w:tabs>
                <w:tab w:val="right" w:pos="1202"/>
              </w:tabs>
              <w:spacing w:line="240" w:lineRule="exact"/>
              <w:outlineLvl w:val="0"/>
              <w:rPr>
                <w:rFonts w:ascii="Arial" w:hAnsi="Arial" w:cs="Arial"/>
                <w:iCs/>
                <w:color w:val="000000"/>
                <w:sz w:val="17"/>
                <w:szCs w:val="17"/>
              </w:rPr>
            </w:pPr>
            <w:r w:rsidRPr="003D1614">
              <w:rPr>
                <w:rFonts w:ascii="Arial" w:hAnsi="Arial" w:cs="Arial"/>
                <w:iCs/>
                <w:color w:val="000000"/>
                <w:sz w:val="17"/>
                <w:szCs w:val="17"/>
              </w:rPr>
              <w:t>Ostala sveobuhvatna dobit</w:t>
            </w:r>
          </w:p>
        </w:tc>
        <w:tc>
          <w:tcPr>
            <w:tcW w:w="625" w:type="pct"/>
            <w:tcBorders>
              <w:bottom w:val="single" w:sz="4" w:space="0" w:color="auto"/>
            </w:tcBorders>
            <w:vAlign w:val="bottom"/>
          </w:tcPr>
          <w:p w14:paraId="2A85B57D" w14:textId="77777777" w:rsidR="00D8116B" w:rsidRPr="003D1614" w:rsidRDefault="00D8116B" w:rsidP="00422DD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702" w:type="pct"/>
            <w:tcBorders>
              <w:bottom w:val="single" w:sz="4" w:space="0" w:color="auto"/>
            </w:tcBorders>
            <w:vAlign w:val="bottom"/>
          </w:tcPr>
          <w:p w14:paraId="669055F3" w14:textId="77777777" w:rsidR="00D8116B" w:rsidRPr="003D1614" w:rsidRDefault="00D8116B" w:rsidP="00422DD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572" w:type="pct"/>
            <w:tcBorders>
              <w:bottom w:val="single" w:sz="4" w:space="0" w:color="auto"/>
            </w:tcBorders>
            <w:vAlign w:val="bottom"/>
          </w:tcPr>
          <w:p w14:paraId="4A3E2770" w14:textId="77777777" w:rsidR="00D8116B" w:rsidRPr="003D1614" w:rsidRDefault="00D8116B" w:rsidP="00422DD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(44)</w:t>
            </w:r>
          </w:p>
        </w:tc>
        <w:tc>
          <w:tcPr>
            <w:tcW w:w="572" w:type="pct"/>
            <w:tcBorders>
              <w:bottom w:val="single" w:sz="4" w:space="0" w:color="auto"/>
            </w:tcBorders>
            <w:vAlign w:val="bottom"/>
          </w:tcPr>
          <w:p w14:paraId="4D7BDD90" w14:textId="77777777" w:rsidR="00D8116B" w:rsidRPr="003D1614" w:rsidRDefault="00D8116B" w:rsidP="00422DD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644" w:type="pct"/>
            <w:tcBorders>
              <w:bottom w:val="single" w:sz="4" w:space="0" w:color="auto"/>
            </w:tcBorders>
            <w:vAlign w:val="bottom"/>
          </w:tcPr>
          <w:p w14:paraId="23EFAA0B" w14:textId="77777777" w:rsidR="00D8116B" w:rsidRPr="003D1614" w:rsidRDefault="00D8116B" w:rsidP="00422DD5">
            <w:pPr>
              <w:tabs>
                <w:tab w:val="right" w:pos="1202"/>
              </w:tabs>
              <w:spacing w:line="301" w:lineRule="exact"/>
              <w:jc w:val="right"/>
              <w:outlineLvl w:val="0"/>
              <w:rPr>
                <w:rFonts w:ascii="Arial" w:hAnsi="Arial" w:cs="Arial"/>
                <w:b/>
                <w:iCs/>
                <w:color w:val="000000"/>
                <w:sz w:val="17"/>
                <w:szCs w:val="17"/>
              </w:rPr>
            </w:pPr>
            <w:r>
              <w:rPr>
                <w:rFonts w:ascii="Arial" w:hAnsi="Arial" w:cs="Arial"/>
                <w:b/>
                <w:bCs/>
                <w:color w:val="000000"/>
                <w:sz w:val="17"/>
                <w:szCs w:val="17"/>
              </w:rPr>
              <w:t>(44)</w:t>
            </w:r>
          </w:p>
        </w:tc>
        <w:tc>
          <w:tcPr>
            <w:tcW w:w="565" w:type="pct"/>
            <w:tcBorders>
              <w:top w:val="nil"/>
              <w:left w:val="nil"/>
              <w:bottom w:val="single" w:sz="4" w:space="0" w:color="auto"/>
              <w:right w:val="nil"/>
            </w:tcBorders>
            <w:vAlign w:val="bottom"/>
          </w:tcPr>
          <w:p w14:paraId="3C5B1B79" w14:textId="77777777" w:rsidR="00D8116B" w:rsidRPr="003D1614" w:rsidRDefault="00D8116B" w:rsidP="00422DD5">
            <w:pPr>
              <w:tabs>
                <w:tab w:val="right" w:pos="1202"/>
              </w:tabs>
              <w:spacing w:line="301" w:lineRule="exact"/>
              <w:jc w:val="right"/>
              <w:outlineLvl w:val="0"/>
              <w:rPr>
                <w:rFonts w:ascii="Arial" w:hAnsi="Arial" w:cs="Arial"/>
                <w:b/>
                <w:iCs/>
                <w:color w:val="000000"/>
                <w:sz w:val="17"/>
                <w:szCs w:val="17"/>
              </w:rPr>
            </w:pPr>
            <w:r>
              <w:rPr>
                <w:rFonts w:ascii="Arial" w:hAnsi="Arial" w:cs="Arial"/>
                <w:b/>
                <w:bCs/>
                <w:color w:val="000000"/>
                <w:sz w:val="17"/>
                <w:szCs w:val="17"/>
              </w:rPr>
              <w:t>(44)</w:t>
            </w:r>
          </w:p>
        </w:tc>
      </w:tr>
      <w:tr w:rsidR="00D8116B" w:rsidRPr="003D1614" w14:paraId="6D61C501" w14:textId="77777777" w:rsidTr="00422DD5">
        <w:trPr>
          <w:trHeight w:val="132"/>
        </w:trPr>
        <w:tc>
          <w:tcPr>
            <w:tcW w:w="1320" w:type="pct"/>
            <w:vAlign w:val="bottom"/>
          </w:tcPr>
          <w:p w14:paraId="58EC73E0" w14:textId="77777777" w:rsidR="00D8116B" w:rsidRPr="003D1614" w:rsidRDefault="00D8116B" w:rsidP="00422DD5">
            <w:pPr>
              <w:tabs>
                <w:tab w:val="right" w:pos="1202"/>
              </w:tabs>
              <w:spacing w:line="140" w:lineRule="exact"/>
              <w:jc w:val="right"/>
              <w:outlineLvl w:val="0"/>
              <w:rPr>
                <w:rFonts w:ascii="Arial" w:hAnsi="Arial" w:cs="Arial"/>
                <w:iCs/>
                <w:color w:val="000000"/>
                <w:sz w:val="17"/>
                <w:szCs w:val="17"/>
              </w:rPr>
            </w:pPr>
          </w:p>
        </w:tc>
        <w:tc>
          <w:tcPr>
            <w:tcW w:w="625" w:type="pct"/>
            <w:tcBorders>
              <w:top w:val="single" w:sz="4" w:space="0" w:color="auto"/>
            </w:tcBorders>
            <w:vAlign w:val="bottom"/>
          </w:tcPr>
          <w:p w14:paraId="02264CF8"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tcBorders>
              <w:top w:val="single" w:sz="4" w:space="0" w:color="auto"/>
            </w:tcBorders>
            <w:vAlign w:val="bottom"/>
          </w:tcPr>
          <w:p w14:paraId="12636B7C"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0B1F4008"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48E81E11"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tcBorders>
              <w:top w:val="single" w:sz="4" w:space="0" w:color="auto"/>
            </w:tcBorders>
            <w:vAlign w:val="bottom"/>
          </w:tcPr>
          <w:p w14:paraId="0BD63DA2" w14:textId="77777777" w:rsidR="00D8116B" w:rsidRPr="003D1614" w:rsidRDefault="00D8116B" w:rsidP="00422DD5">
            <w:pPr>
              <w:keepNext/>
              <w:keepLines/>
              <w:tabs>
                <w:tab w:val="decimal" w:pos="1015"/>
                <w:tab w:val="decimal" w:pos="1202"/>
              </w:tabs>
              <w:spacing w:line="140" w:lineRule="exact"/>
              <w:jc w:val="right"/>
              <w:rPr>
                <w:rFonts w:ascii="Arial" w:hAnsi="Arial" w:cs="Arial"/>
                <w:b/>
                <w:color w:val="000000"/>
                <w:spacing w:val="-2"/>
                <w:position w:val="4"/>
                <w:sz w:val="17"/>
                <w:szCs w:val="17"/>
              </w:rPr>
            </w:pPr>
          </w:p>
        </w:tc>
        <w:tc>
          <w:tcPr>
            <w:tcW w:w="565" w:type="pct"/>
            <w:tcBorders>
              <w:top w:val="single" w:sz="4" w:space="0" w:color="auto"/>
            </w:tcBorders>
            <w:vAlign w:val="bottom"/>
          </w:tcPr>
          <w:p w14:paraId="35071FF5" w14:textId="77777777" w:rsidR="00D8116B" w:rsidRPr="003D1614" w:rsidRDefault="00D8116B" w:rsidP="00422DD5">
            <w:pPr>
              <w:keepNext/>
              <w:keepLines/>
              <w:tabs>
                <w:tab w:val="decimal" w:pos="1015"/>
                <w:tab w:val="decimal" w:pos="1202"/>
              </w:tabs>
              <w:spacing w:line="140" w:lineRule="exact"/>
              <w:jc w:val="right"/>
              <w:rPr>
                <w:rFonts w:ascii="Arial" w:hAnsi="Arial" w:cs="Arial"/>
                <w:b/>
                <w:color w:val="000000"/>
                <w:spacing w:val="-2"/>
                <w:position w:val="4"/>
                <w:sz w:val="17"/>
                <w:szCs w:val="17"/>
              </w:rPr>
            </w:pPr>
          </w:p>
        </w:tc>
      </w:tr>
      <w:tr w:rsidR="00D8116B" w:rsidRPr="003D1614" w14:paraId="46CF3209" w14:textId="77777777" w:rsidTr="00422DD5">
        <w:trPr>
          <w:trHeight w:val="77"/>
        </w:trPr>
        <w:tc>
          <w:tcPr>
            <w:tcW w:w="1320" w:type="pct"/>
            <w:vAlign w:val="bottom"/>
          </w:tcPr>
          <w:p w14:paraId="5ACFB0BF" w14:textId="77777777" w:rsidR="00D8116B" w:rsidRPr="003D1614" w:rsidRDefault="00D8116B" w:rsidP="00422DD5">
            <w:pPr>
              <w:tabs>
                <w:tab w:val="right" w:pos="1202"/>
              </w:tabs>
              <w:spacing w:line="240" w:lineRule="exact"/>
              <w:outlineLvl w:val="0"/>
              <w:rPr>
                <w:rFonts w:ascii="Arial" w:hAnsi="Arial" w:cs="Arial"/>
                <w:iCs/>
                <w:color w:val="000000"/>
                <w:sz w:val="17"/>
                <w:szCs w:val="17"/>
              </w:rPr>
            </w:pPr>
            <w:r w:rsidRPr="003D1614">
              <w:rPr>
                <w:rFonts w:ascii="Arial" w:hAnsi="Arial" w:cs="Arial"/>
                <w:iCs/>
                <w:color w:val="000000"/>
                <w:sz w:val="17"/>
                <w:szCs w:val="17"/>
              </w:rPr>
              <w:t>Ukupna sveobuhvatna dobit/(gubitak)</w:t>
            </w:r>
          </w:p>
        </w:tc>
        <w:tc>
          <w:tcPr>
            <w:tcW w:w="625" w:type="pct"/>
            <w:tcBorders>
              <w:left w:val="nil"/>
              <w:bottom w:val="single" w:sz="4" w:space="0" w:color="auto"/>
              <w:right w:val="nil"/>
            </w:tcBorders>
            <w:vAlign w:val="bottom"/>
          </w:tcPr>
          <w:p w14:paraId="6CBC731D" w14:textId="77777777" w:rsidR="00D8116B" w:rsidRPr="003D1614" w:rsidRDefault="00D8116B" w:rsidP="00422DD5">
            <w:pPr>
              <w:tabs>
                <w:tab w:val="right" w:pos="1202"/>
              </w:tabs>
              <w:spacing w:line="301" w:lineRule="exact"/>
              <w:jc w:val="right"/>
              <w:outlineLvl w:val="0"/>
              <w:rPr>
                <w:rFonts w:ascii="Arial" w:hAnsi="Arial" w:cs="Arial"/>
                <w:iCs/>
                <w:color w:val="000000"/>
                <w:sz w:val="17"/>
                <w:szCs w:val="17"/>
              </w:rPr>
            </w:pPr>
            <w:r>
              <w:rPr>
                <w:rFonts w:ascii="Arial" w:hAnsi="Arial" w:cs="Arial"/>
                <w:color w:val="000000"/>
                <w:sz w:val="17"/>
                <w:szCs w:val="17"/>
              </w:rPr>
              <w:t>-</w:t>
            </w:r>
          </w:p>
        </w:tc>
        <w:tc>
          <w:tcPr>
            <w:tcW w:w="702" w:type="pct"/>
            <w:tcBorders>
              <w:left w:val="nil"/>
              <w:bottom w:val="single" w:sz="4" w:space="0" w:color="auto"/>
              <w:right w:val="nil"/>
            </w:tcBorders>
            <w:vAlign w:val="bottom"/>
          </w:tcPr>
          <w:p w14:paraId="149916AD" w14:textId="77777777" w:rsidR="00D8116B" w:rsidRPr="003D1614" w:rsidRDefault="00D8116B" w:rsidP="00422DD5">
            <w:pPr>
              <w:tabs>
                <w:tab w:val="right" w:pos="1202"/>
              </w:tabs>
              <w:spacing w:line="301" w:lineRule="exact"/>
              <w:jc w:val="right"/>
              <w:outlineLvl w:val="0"/>
              <w:rPr>
                <w:rFonts w:ascii="Arial" w:hAnsi="Arial" w:cs="Arial"/>
                <w:iCs/>
                <w:color w:val="000000"/>
                <w:sz w:val="17"/>
                <w:szCs w:val="17"/>
              </w:rPr>
            </w:pPr>
            <w:r>
              <w:rPr>
                <w:rFonts w:ascii="Arial" w:hAnsi="Arial" w:cs="Arial"/>
                <w:color w:val="000000"/>
                <w:sz w:val="17"/>
                <w:szCs w:val="17"/>
              </w:rPr>
              <w:t>-</w:t>
            </w:r>
          </w:p>
        </w:tc>
        <w:tc>
          <w:tcPr>
            <w:tcW w:w="572" w:type="pct"/>
            <w:tcBorders>
              <w:bottom w:val="single" w:sz="4" w:space="0" w:color="auto"/>
            </w:tcBorders>
            <w:vAlign w:val="bottom"/>
          </w:tcPr>
          <w:p w14:paraId="50079721" w14:textId="77777777" w:rsidR="00D8116B" w:rsidRPr="003D1614" w:rsidRDefault="00D8116B" w:rsidP="00422DD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(44)</w:t>
            </w:r>
          </w:p>
        </w:tc>
        <w:tc>
          <w:tcPr>
            <w:tcW w:w="572" w:type="pct"/>
            <w:tcBorders>
              <w:bottom w:val="single" w:sz="4" w:space="0" w:color="auto"/>
            </w:tcBorders>
            <w:vAlign w:val="bottom"/>
          </w:tcPr>
          <w:p w14:paraId="4E3DB43D" w14:textId="77777777" w:rsidR="00D8116B" w:rsidRPr="003D1614" w:rsidRDefault="00D8116B" w:rsidP="00422DD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188</w:t>
            </w:r>
          </w:p>
        </w:tc>
        <w:tc>
          <w:tcPr>
            <w:tcW w:w="644" w:type="pct"/>
            <w:tcBorders>
              <w:bottom w:val="single" w:sz="4" w:space="0" w:color="auto"/>
            </w:tcBorders>
            <w:vAlign w:val="bottom"/>
          </w:tcPr>
          <w:p w14:paraId="30386D8A" w14:textId="77777777" w:rsidR="00D8116B" w:rsidRPr="003D1614" w:rsidRDefault="00D8116B" w:rsidP="00422DD5">
            <w:pPr>
              <w:tabs>
                <w:tab w:val="right" w:pos="1202"/>
              </w:tabs>
              <w:spacing w:line="301" w:lineRule="exact"/>
              <w:jc w:val="right"/>
              <w:outlineLvl w:val="0"/>
              <w:rPr>
                <w:rFonts w:ascii="Arial" w:hAnsi="Arial" w:cs="Arial"/>
                <w:b/>
                <w:iCs/>
                <w:color w:val="000000"/>
                <w:sz w:val="17"/>
                <w:szCs w:val="17"/>
              </w:rPr>
            </w:pPr>
            <w:r>
              <w:rPr>
                <w:rFonts w:ascii="Arial" w:hAnsi="Arial" w:cs="Arial"/>
                <w:b/>
                <w:bCs/>
                <w:color w:val="000000"/>
                <w:sz w:val="17"/>
                <w:szCs w:val="17"/>
              </w:rPr>
              <w:t>144</w:t>
            </w:r>
          </w:p>
        </w:tc>
        <w:tc>
          <w:tcPr>
            <w:tcW w:w="565" w:type="pct"/>
            <w:tcBorders>
              <w:top w:val="nil"/>
              <w:left w:val="nil"/>
              <w:bottom w:val="single" w:sz="4" w:space="0" w:color="auto"/>
              <w:right w:val="nil"/>
            </w:tcBorders>
            <w:vAlign w:val="bottom"/>
          </w:tcPr>
          <w:p w14:paraId="7FCF17C1" w14:textId="77777777" w:rsidR="00D8116B" w:rsidRPr="003D1614" w:rsidRDefault="00D8116B" w:rsidP="00422DD5">
            <w:pPr>
              <w:tabs>
                <w:tab w:val="right" w:pos="1202"/>
              </w:tabs>
              <w:spacing w:line="301" w:lineRule="exact"/>
              <w:jc w:val="right"/>
              <w:outlineLvl w:val="0"/>
              <w:rPr>
                <w:rFonts w:ascii="Arial" w:hAnsi="Arial" w:cs="Arial"/>
                <w:b/>
                <w:iCs/>
                <w:color w:val="000000"/>
                <w:sz w:val="17"/>
                <w:szCs w:val="17"/>
              </w:rPr>
            </w:pPr>
            <w:r>
              <w:rPr>
                <w:rFonts w:ascii="Arial" w:hAnsi="Arial" w:cs="Arial"/>
                <w:b/>
                <w:bCs/>
                <w:color w:val="000000"/>
                <w:sz w:val="17"/>
                <w:szCs w:val="17"/>
              </w:rPr>
              <w:t>144</w:t>
            </w:r>
          </w:p>
        </w:tc>
      </w:tr>
      <w:tr w:rsidR="00D8116B" w:rsidRPr="003D1614" w14:paraId="57F3C2FC" w14:textId="77777777" w:rsidTr="00422DD5">
        <w:trPr>
          <w:trHeight w:val="132"/>
        </w:trPr>
        <w:tc>
          <w:tcPr>
            <w:tcW w:w="1320" w:type="pct"/>
            <w:vAlign w:val="bottom"/>
          </w:tcPr>
          <w:p w14:paraId="15BF64E7" w14:textId="77777777" w:rsidR="00D8116B" w:rsidRPr="003D1614" w:rsidRDefault="00D8116B" w:rsidP="00422DD5">
            <w:pPr>
              <w:tabs>
                <w:tab w:val="right" w:pos="1202"/>
              </w:tabs>
              <w:spacing w:line="140" w:lineRule="exact"/>
              <w:jc w:val="right"/>
              <w:outlineLvl w:val="0"/>
              <w:rPr>
                <w:rFonts w:ascii="Arial" w:hAnsi="Arial" w:cs="Arial"/>
                <w:iCs/>
                <w:color w:val="000000"/>
                <w:sz w:val="17"/>
                <w:szCs w:val="17"/>
              </w:rPr>
            </w:pPr>
          </w:p>
        </w:tc>
        <w:tc>
          <w:tcPr>
            <w:tcW w:w="625" w:type="pct"/>
            <w:tcBorders>
              <w:top w:val="single" w:sz="4" w:space="0" w:color="auto"/>
            </w:tcBorders>
            <w:vAlign w:val="bottom"/>
          </w:tcPr>
          <w:p w14:paraId="6A8EBF64"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tcBorders>
              <w:top w:val="single" w:sz="4" w:space="0" w:color="auto"/>
            </w:tcBorders>
            <w:vAlign w:val="bottom"/>
          </w:tcPr>
          <w:p w14:paraId="0151587E"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28BC823D"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62DD14EF"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tcBorders>
              <w:top w:val="single" w:sz="4" w:space="0" w:color="auto"/>
            </w:tcBorders>
            <w:vAlign w:val="bottom"/>
          </w:tcPr>
          <w:p w14:paraId="5678F1B2" w14:textId="77777777" w:rsidR="00D8116B" w:rsidRPr="003D1614" w:rsidRDefault="00D8116B" w:rsidP="00422DD5">
            <w:pPr>
              <w:keepNext/>
              <w:keepLines/>
              <w:tabs>
                <w:tab w:val="decimal" w:pos="1015"/>
                <w:tab w:val="decimal" w:pos="1202"/>
              </w:tabs>
              <w:spacing w:line="140" w:lineRule="exact"/>
              <w:jc w:val="right"/>
              <w:rPr>
                <w:rFonts w:ascii="Arial" w:hAnsi="Arial" w:cs="Arial"/>
                <w:b/>
                <w:color w:val="000000"/>
                <w:spacing w:val="-2"/>
                <w:position w:val="4"/>
                <w:sz w:val="17"/>
                <w:szCs w:val="17"/>
              </w:rPr>
            </w:pPr>
          </w:p>
        </w:tc>
        <w:tc>
          <w:tcPr>
            <w:tcW w:w="565" w:type="pct"/>
            <w:tcBorders>
              <w:top w:val="single" w:sz="4" w:space="0" w:color="auto"/>
            </w:tcBorders>
            <w:vAlign w:val="bottom"/>
          </w:tcPr>
          <w:p w14:paraId="78DD2C27" w14:textId="77777777" w:rsidR="00D8116B" w:rsidRPr="003D1614" w:rsidRDefault="00D8116B" w:rsidP="00422DD5">
            <w:pPr>
              <w:keepNext/>
              <w:keepLines/>
              <w:tabs>
                <w:tab w:val="decimal" w:pos="1015"/>
                <w:tab w:val="decimal" w:pos="1202"/>
              </w:tabs>
              <w:spacing w:line="140" w:lineRule="exact"/>
              <w:jc w:val="right"/>
              <w:rPr>
                <w:rFonts w:ascii="Arial" w:hAnsi="Arial" w:cs="Arial"/>
                <w:b/>
                <w:color w:val="000000"/>
                <w:spacing w:val="-2"/>
                <w:position w:val="4"/>
                <w:sz w:val="17"/>
                <w:szCs w:val="17"/>
              </w:rPr>
            </w:pPr>
          </w:p>
        </w:tc>
      </w:tr>
      <w:tr w:rsidR="00D8116B" w:rsidRPr="003D1614" w14:paraId="0679E800" w14:textId="77777777" w:rsidTr="00422DD5">
        <w:trPr>
          <w:trHeight w:val="463"/>
        </w:trPr>
        <w:tc>
          <w:tcPr>
            <w:tcW w:w="1320" w:type="pct"/>
            <w:vAlign w:val="bottom"/>
          </w:tcPr>
          <w:p w14:paraId="3D8C3043" w14:textId="77777777" w:rsidR="00D8116B" w:rsidRPr="003D1614" w:rsidRDefault="00D8116B" w:rsidP="00422DD5">
            <w:pPr>
              <w:tabs>
                <w:tab w:val="right" w:pos="1202"/>
              </w:tabs>
              <w:spacing w:line="240" w:lineRule="exact"/>
              <w:outlineLvl w:val="0"/>
              <w:rPr>
                <w:rFonts w:ascii="Arial" w:hAnsi="Arial" w:cs="Arial"/>
                <w:i/>
                <w:iCs/>
                <w:color w:val="000000"/>
                <w:sz w:val="17"/>
                <w:szCs w:val="17"/>
              </w:rPr>
            </w:pPr>
            <w:r w:rsidRPr="003D1614">
              <w:rPr>
                <w:rFonts w:ascii="Arial" w:hAnsi="Arial" w:cs="Arial"/>
                <w:iCs/>
                <w:color w:val="000000"/>
                <w:sz w:val="17"/>
                <w:szCs w:val="17"/>
              </w:rPr>
              <w:t>Prijenos dobiti iz 202</w:t>
            </w:r>
            <w:r>
              <w:rPr>
                <w:rFonts w:ascii="Arial" w:hAnsi="Arial" w:cs="Arial"/>
                <w:iCs/>
                <w:color w:val="000000"/>
                <w:sz w:val="17"/>
                <w:szCs w:val="17"/>
              </w:rPr>
              <w:t>2</w:t>
            </w:r>
            <w:r w:rsidRPr="003D1614">
              <w:rPr>
                <w:rFonts w:ascii="Arial" w:hAnsi="Arial" w:cs="Arial"/>
                <w:iCs/>
                <w:color w:val="000000"/>
                <w:sz w:val="17"/>
                <w:szCs w:val="17"/>
              </w:rPr>
              <w:t>. godine u zadržanu dobit</w:t>
            </w:r>
          </w:p>
        </w:tc>
        <w:tc>
          <w:tcPr>
            <w:tcW w:w="625" w:type="pct"/>
            <w:tcBorders>
              <w:top w:val="nil"/>
              <w:left w:val="nil"/>
              <w:right w:val="nil"/>
            </w:tcBorders>
            <w:vAlign w:val="bottom"/>
          </w:tcPr>
          <w:p w14:paraId="462457B3" w14:textId="77777777" w:rsidR="00D8116B" w:rsidRPr="003D1614" w:rsidRDefault="00D8116B" w:rsidP="00422DD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702" w:type="pct"/>
            <w:tcBorders>
              <w:top w:val="nil"/>
              <w:left w:val="nil"/>
              <w:right w:val="nil"/>
            </w:tcBorders>
            <w:vAlign w:val="bottom"/>
          </w:tcPr>
          <w:p w14:paraId="7B45544D" w14:textId="77777777" w:rsidR="00D8116B" w:rsidRPr="003D1614" w:rsidRDefault="00D8116B" w:rsidP="00422DD5">
            <w:pPr>
              <w:tabs>
                <w:tab w:val="right" w:pos="1202"/>
              </w:tabs>
              <w:spacing w:line="301" w:lineRule="exact"/>
              <w:jc w:val="right"/>
              <w:outlineLvl w:val="0"/>
              <w:rPr>
                <w:rFonts w:ascii="Arial" w:hAnsi="Arial" w:cs="Arial"/>
                <w:iCs/>
                <w:color w:val="000000"/>
                <w:sz w:val="17"/>
                <w:szCs w:val="17"/>
              </w:rPr>
            </w:pPr>
            <w:r w:rsidRPr="00A307BE">
              <w:rPr>
                <w:rFonts w:ascii="Arial" w:hAnsi="Arial" w:cs="Arial"/>
                <w:iCs/>
                <w:color w:val="000000"/>
                <w:sz w:val="17"/>
                <w:szCs w:val="17"/>
              </w:rPr>
              <w:t>436</w:t>
            </w:r>
          </w:p>
        </w:tc>
        <w:tc>
          <w:tcPr>
            <w:tcW w:w="572" w:type="pct"/>
            <w:tcBorders>
              <w:top w:val="nil"/>
              <w:left w:val="nil"/>
              <w:right w:val="nil"/>
            </w:tcBorders>
            <w:vAlign w:val="bottom"/>
          </w:tcPr>
          <w:p w14:paraId="2DC00BDB" w14:textId="77777777" w:rsidR="00D8116B" w:rsidRPr="003D1614" w:rsidRDefault="00D8116B" w:rsidP="00422DD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572" w:type="pct"/>
            <w:tcBorders>
              <w:top w:val="nil"/>
              <w:left w:val="nil"/>
              <w:right w:val="nil"/>
            </w:tcBorders>
            <w:vAlign w:val="bottom"/>
          </w:tcPr>
          <w:p w14:paraId="3B938A07" w14:textId="77777777" w:rsidR="00D8116B" w:rsidRPr="003D1614" w:rsidRDefault="00D8116B" w:rsidP="00422DD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r w:rsidRPr="00A307BE">
              <w:rPr>
                <w:rFonts w:ascii="Arial" w:hAnsi="Arial" w:cs="Arial"/>
                <w:iCs/>
                <w:color w:val="000000"/>
                <w:sz w:val="17"/>
                <w:szCs w:val="17"/>
              </w:rPr>
              <w:t>436</w:t>
            </w:r>
            <w:r>
              <w:rPr>
                <w:rFonts w:ascii="Arial" w:hAnsi="Arial" w:cs="Arial"/>
                <w:iCs/>
                <w:color w:val="000000"/>
                <w:sz w:val="17"/>
                <w:szCs w:val="17"/>
              </w:rPr>
              <w:t>)</w:t>
            </w:r>
          </w:p>
        </w:tc>
        <w:tc>
          <w:tcPr>
            <w:tcW w:w="644" w:type="pct"/>
            <w:tcBorders>
              <w:top w:val="nil"/>
              <w:left w:val="nil"/>
              <w:right w:val="nil"/>
            </w:tcBorders>
            <w:vAlign w:val="bottom"/>
          </w:tcPr>
          <w:p w14:paraId="26231499" w14:textId="77777777" w:rsidR="00D8116B" w:rsidRPr="003D1614" w:rsidRDefault="00D8116B" w:rsidP="00422DD5">
            <w:pPr>
              <w:tabs>
                <w:tab w:val="right" w:pos="1202"/>
              </w:tabs>
              <w:spacing w:line="301" w:lineRule="exact"/>
              <w:jc w:val="right"/>
              <w:outlineLvl w:val="0"/>
              <w:rPr>
                <w:rFonts w:ascii="Arial" w:hAnsi="Arial" w:cs="Arial"/>
                <w:b/>
                <w:iCs/>
                <w:color w:val="000000"/>
                <w:sz w:val="17"/>
                <w:szCs w:val="17"/>
              </w:rPr>
            </w:pPr>
            <w:r>
              <w:rPr>
                <w:rFonts w:ascii="Arial" w:hAnsi="Arial" w:cs="Arial"/>
                <w:b/>
                <w:iCs/>
                <w:color w:val="000000"/>
                <w:sz w:val="17"/>
                <w:szCs w:val="17"/>
              </w:rPr>
              <w:t>-</w:t>
            </w:r>
          </w:p>
        </w:tc>
        <w:tc>
          <w:tcPr>
            <w:tcW w:w="565" w:type="pct"/>
            <w:tcBorders>
              <w:top w:val="nil"/>
              <w:left w:val="nil"/>
              <w:right w:val="nil"/>
            </w:tcBorders>
            <w:vAlign w:val="bottom"/>
          </w:tcPr>
          <w:p w14:paraId="2AD9F432" w14:textId="77777777" w:rsidR="00D8116B" w:rsidRPr="003D1614" w:rsidRDefault="00D8116B" w:rsidP="00422DD5">
            <w:pPr>
              <w:tabs>
                <w:tab w:val="right" w:pos="1202"/>
              </w:tabs>
              <w:spacing w:line="301" w:lineRule="exact"/>
              <w:jc w:val="right"/>
              <w:outlineLvl w:val="0"/>
              <w:rPr>
                <w:rFonts w:ascii="Arial" w:hAnsi="Arial" w:cs="Arial"/>
                <w:b/>
                <w:iCs/>
                <w:color w:val="000000"/>
                <w:sz w:val="17"/>
                <w:szCs w:val="17"/>
              </w:rPr>
            </w:pPr>
            <w:r>
              <w:rPr>
                <w:rFonts w:ascii="Arial" w:hAnsi="Arial" w:cs="Arial"/>
                <w:b/>
                <w:iCs/>
                <w:color w:val="000000"/>
                <w:sz w:val="17"/>
                <w:szCs w:val="17"/>
              </w:rPr>
              <w:t>-</w:t>
            </w:r>
          </w:p>
        </w:tc>
      </w:tr>
      <w:tr w:rsidR="00D8116B" w:rsidRPr="003D1614" w14:paraId="7A1BF417" w14:textId="77777777" w:rsidTr="00422DD5">
        <w:trPr>
          <w:trHeight w:val="220"/>
        </w:trPr>
        <w:tc>
          <w:tcPr>
            <w:tcW w:w="1320" w:type="pct"/>
            <w:vAlign w:val="bottom"/>
          </w:tcPr>
          <w:p w14:paraId="0DC60692" w14:textId="77777777" w:rsidR="00D8116B" w:rsidRPr="003D1614" w:rsidRDefault="00D8116B" w:rsidP="00422DD5">
            <w:pPr>
              <w:tabs>
                <w:tab w:val="right" w:pos="1202"/>
              </w:tabs>
              <w:spacing w:line="240" w:lineRule="exact"/>
              <w:outlineLvl w:val="0"/>
              <w:rPr>
                <w:rFonts w:ascii="Arial" w:hAnsi="Arial" w:cs="Arial"/>
                <w:iCs/>
                <w:color w:val="000000"/>
                <w:sz w:val="17"/>
                <w:szCs w:val="17"/>
              </w:rPr>
            </w:pPr>
            <w:r>
              <w:rPr>
                <w:rFonts w:ascii="Arial" w:hAnsi="Arial" w:cs="Arial"/>
                <w:iCs/>
                <w:color w:val="000000"/>
                <w:sz w:val="17"/>
                <w:szCs w:val="17"/>
              </w:rPr>
              <w:t>Ostala usklađenja</w:t>
            </w:r>
          </w:p>
        </w:tc>
        <w:tc>
          <w:tcPr>
            <w:tcW w:w="625" w:type="pct"/>
            <w:tcBorders>
              <w:top w:val="nil"/>
              <w:left w:val="nil"/>
              <w:right w:val="nil"/>
            </w:tcBorders>
            <w:vAlign w:val="bottom"/>
          </w:tcPr>
          <w:p w14:paraId="00F6B5DB" w14:textId="1F5FEFED" w:rsidR="00D8116B" w:rsidRDefault="00FD3BEC" w:rsidP="00422DD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702" w:type="pct"/>
            <w:tcBorders>
              <w:top w:val="nil"/>
              <w:left w:val="nil"/>
              <w:right w:val="nil"/>
            </w:tcBorders>
            <w:vAlign w:val="bottom"/>
          </w:tcPr>
          <w:p w14:paraId="13AB497C" w14:textId="77777777" w:rsidR="00D8116B" w:rsidRDefault="00D8116B" w:rsidP="00422DD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(407)</w:t>
            </w:r>
          </w:p>
        </w:tc>
        <w:tc>
          <w:tcPr>
            <w:tcW w:w="572" w:type="pct"/>
            <w:tcBorders>
              <w:top w:val="nil"/>
              <w:left w:val="nil"/>
              <w:right w:val="nil"/>
            </w:tcBorders>
            <w:vAlign w:val="bottom"/>
          </w:tcPr>
          <w:p w14:paraId="2D2ED2FF" w14:textId="77777777" w:rsidR="00D8116B" w:rsidRDefault="00D8116B" w:rsidP="00422DD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9</w:t>
            </w:r>
          </w:p>
        </w:tc>
        <w:tc>
          <w:tcPr>
            <w:tcW w:w="572" w:type="pct"/>
            <w:tcBorders>
              <w:top w:val="nil"/>
              <w:left w:val="nil"/>
              <w:right w:val="nil"/>
            </w:tcBorders>
            <w:vAlign w:val="bottom"/>
          </w:tcPr>
          <w:p w14:paraId="78614169" w14:textId="77777777" w:rsidR="00D8116B" w:rsidRDefault="00D8116B" w:rsidP="00422DD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644" w:type="pct"/>
            <w:tcBorders>
              <w:top w:val="nil"/>
              <w:left w:val="nil"/>
              <w:right w:val="nil"/>
            </w:tcBorders>
            <w:vAlign w:val="bottom"/>
          </w:tcPr>
          <w:p w14:paraId="46174740" w14:textId="77777777" w:rsidR="00D8116B" w:rsidRDefault="00D8116B" w:rsidP="00422DD5">
            <w:pPr>
              <w:tabs>
                <w:tab w:val="right" w:pos="1202"/>
              </w:tabs>
              <w:spacing w:line="301" w:lineRule="exact"/>
              <w:jc w:val="right"/>
              <w:outlineLvl w:val="0"/>
              <w:rPr>
                <w:rFonts w:ascii="Arial" w:hAnsi="Arial" w:cs="Arial"/>
                <w:b/>
                <w:iCs/>
                <w:color w:val="000000"/>
                <w:sz w:val="17"/>
                <w:szCs w:val="17"/>
              </w:rPr>
            </w:pPr>
            <w:r>
              <w:rPr>
                <w:rFonts w:ascii="Arial" w:hAnsi="Arial" w:cs="Arial"/>
                <w:b/>
                <w:iCs/>
                <w:color w:val="000000"/>
                <w:sz w:val="17"/>
                <w:szCs w:val="17"/>
              </w:rPr>
              <w:t>(398)</w:t>
            </w:r>
          </w:p>
        </w:tc>
        <w:tc>
          <w:tcPr>
            <w:tcW w:w="565" w:type="pct"/>
            <w:tcBorders>
              <w:top w:val="nil"/>
              <w:left w:val="nil"/>
              <w:right w:val="nil"/>
            </w:tcBorders>
            <w:vAlign w:val="bottom"/>
          </w:tcPr>
          <w:p w14:paraId="06154C47" w14:textId="77777777" w:rsidR="00D8116B" w:rsidRDefault="00D8116B" w:rsidP="00422DD5">
            <w:pPr>
              <w:tabs>
                <w:tab w:val="right" w:pos="1202"/>
              </w:tabs>
              <w:spacing w:line="301" w:lineRule="exact"/>
              <w:jc w:val="right"/>
              <w:outlineLvl w:val="0"/>
              <w:rPr>
                <w:rFonts w:ascii="Arial" w:hAnsi="Arial" w:cs="Arial"/>
                <w:b/>
                <w:iCs/>
                <w:color w:val="000000"/>
                <w:sz w:val="17"/>
                <w:szCs w:val="17"/>
              </w:rPr>
            </w:pPr>
            <w:r>
              <w:rPr>
                <w:rFonts w:ascii="Arial" w:hAnsi="Arial" w:cs="Arial"/>
                <w:b/>
                <w:iCs/>
                <w:color w:val="000000"/>
                <w:sz w:val="17"/>
                <w:szCs w:val="17"/>
              </w:rPr>
              <w:t>(398)</w:t>
            </w:r>
          </w:p>
        </w:tc>
      </w:tr>
      <w:tr w:rsidR="00D8116B" w:rsidRPr="003D1614" w14:paraId="4742AAC5" w14:textId="77777777" w:rsidTr="00422DD5">
        <w:trPr>
          <w:trHeight w:val="132"/>
        </w:trPr>
        <w:tc>
          <w:tcPr>
            <w:tcW w:w="1320" w:type="pct"/>
            <w:vAlign w:val="bottom"/>
          </w:tcPr>
          <w:p w14:paraId="1D700E51" w14:textId="77777777" w:rsidR="00D8116B" w:rsidRPr="003D1614" w:rsidRDefault="00D8116B" w:rsidP="00422DD5">
            <w:pPr>
              <w:tabs>
                <w:tab w:val="right" w:pos="1202"/>
              </w:tabs>
              <w:spacing w:line="140" w:lineRule="exact"/>
              <w:jc w:val="right"/>
              <w:outlineLvl w:val="0"/>
              <w:rPr>
                <w:rFonts w:ascii="Arial" w:hAnsi="Arial" w:cs="Arial"/>
                <w:iCs/>
                <w:color w:val="000000"/>
                <w:sz w:val="17"/>
                <w:szCs w:val="17"/>
              </w:rPr>
            </w:pPr>
          </w:p>
        </w:tc>
        <w:tc>
          <w:tcPr>
            <w:tcW w:w="625" w:type="pct"/>
            <w:tcBorders>
              <w:top w:val="single" w:sz="4" w:space="0" w:color="auto"/>
            </w:tcBorders>
            <w:vAlign w:val="bottom"/>
          </w:tcPr>
          <w:p w14:paraId="6EE20BEB"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tcBorders>
              <w:top w:val="single" w:sz="4" w:space="0" w:color="auto"/>
            </w:tcBorders>
            <w:vAlign w:val="bottom"/>
          </w:tcPr>
          <w:p w14:paraId="70F0360C"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4A5657FB"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6D7A0821"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tcBorders>
              <w:top w:val="single" w:sz="4" w:space="0" w:color="auto"/>
            </w:tcBorders>
            <w:vAlign w:val="bottom"/>
          </w:tcPr>
          <w:p w14:paraId="7D96D2EB" w14:textId="77777777" w:rsidR="00D8116B" w:rsidRPr="003D1614" w:rsidRDefault="00D8116B" w:rsidP="00422DD5">
            <w:pPr>
              <w:keepNext/>
              <w:keepLines/>
              <w:tabs>
                <w:tab w:val="decimal" w:pos="1015"/>
                <w:tab w:val="decimal" w:pos="1202"/>
              </w:tabs>
              <w:spacing w:line="140" w:lineRule="exact"/>
              <w:jc w:val="right"/>
              <w:rPr>
                <w:rFonts w:ascii="Arial" w:hAnsi="Arial" w:cs="Arial"/>
                <w:b/>
                <w:color w:val="000000"/>
                <w:spacing w:val="-2"/>
                <w:position w:val="4"/>
                <w:sz w:val="17"/>
                <w:szCs w:val="17"/>
              </w:rPr>
            </w:pPr>
          </w:p>
        </w:tc>
        <w:tc>
          <w:tcPr>
            <w:tcW w:w="565" w:type="pct"/>
            <w:tcBorders>
              <w:top w:val="single" w:sz="4" w:space="0" w:color="auto"/>
            </w:tcBorders>
            <w:vAlign w:val="bottom"/>
          </w:tcPr>
          <w:p w14:paraId="1E26882B" w14:textId="77777777" w:rsidR="00D8116B" w:rsidRPr="003D1614" w:rsidRDefault="00D8116B" w:rsidP="00422DD5">
            <w:pPr>
              <w:keepNext/>
              <w:keepLines/>
              <w:tabs>
                <w:tab w:val="decimal" w:pos="1015"/>
                <w:tab w:val="decimal" w:pos="1202"/>
              </w:tabs>
              <w:spacing w:line="140" w:lineRule="exact"/>
              <w:jc w:val="right"/>
              <w:rPr>
                <w:rFonts w:ascii="Arial" w:hAnsi="Arial" w:cs="Arial"/>
                <w:b/>
                <w:color w:val="000000"/>
                <w:spacing w:val="-2"/>
                <w:position w:val="4"/>
                <w:sz w:val="17"/>
                <w:szCs w:val="17"/>
              </w:rPr>
            </w:pPr>
          </w:p>
        </w:tc>
      </w:tr>
      <w:tr w:rsidR="00D8116B" w:rsidRPr="003D1614" w14:paraId="2A59F0F6" w14:textId="77777777" w:rsidTr="00422DD5">
        <w:trPr>
          <w:trHeight w:val="275"/>
        </w:trPr>
        <w:tc>
          <w:tcPr>
            <w:tcW w:w="1320" w:type="pct"/>
            <w:vAlign w:val="bottom"/>
          </w:tcPr>
          <w:p w14:paraId="639E168A" w14:textId="77777777" w:rsidR="00D8116B" w:rsidRPr="003D1614" w:rsidRDefault="00D8116B" w:rsidP="00422DD5">
            <w:pPr>
              <w:tabs>
                <w:tab w:val="right" w:pos="1202"/>
              </w:tabs>
              <w:spacing w:line="240" w:lineRule="exact"/>
              <w:outlineLvl w:val="0"/>
              <w:rPr>
                <w:rFonts w:ascii="Arial" w:hAnsi="Arial" w:cs="Arial"/>
                <w:b/>
                <w:iCs/>
                <w:color w:val="000000"/>
                <w:sz w:val="17"/>
                <w:szCs w:val="17"/>
              </w:rPr>
            </w:pPr>
            <w:r w:rsidRPr="003D1614">
              <w:rPr>
                <w:rFonts w:ascii="Arial" w:hAnsi="Arial" w:cs="Arial"/>
                <w:b/>
                <w:iCs/>
                <w:color w:val="000000"/>
                <w:sz w:val="17"/>
                <w:szCs w:val="17"/>
              </w:rPr>
              <w:t xml:space="preserve">Stanje 31. ožujka 2023. </w:t>
            </w:r>
          </w:p>
        </w:tc>
        <w:tc>
          <w:tcPr>
            <w:tcW w:w="625" w:type="pct"/>
            <w:tcBorders>
              <w:top w:val="nil"/>
              <w:left w:val="nil"/>
              <w:bottom w:val="single" w:sz="12" w:space="0" w:color="auto"/>
              <w:right w:val="nil"/>
            </w:tcBorders>
            <w:vAlign w:val="bottom"/>
          </w:tcPr>
          <w:p w14:paraId="42D39735" w14:textId="3E8424A6" w:rsidR="00D8116B" w:rsidRPr="003D1614" w:rsidRDefault="00D8116B" w:rsidP="00422DD5">
            <w:pPr>
              <w:jc w:val="right"/>
              <w:rPr>
                <w:rFonts w:ascii="Arial" w:hAnsi="Arial" w:cs="Arial"/>
                <w:b/>
                <w:bCs/>
                <w:color w:val="000000"/>
                <w:sz w:val="17"/>
                <w:szCs w:val="17"/>
              </w:rPr>
            </w:pPr>
            <w:r w:rsidRPr="00107766">
              <w:rPr>
                <w:rFonts w:ascii="Arial" w:hAnsi="Arial" w:cs="Arial"/>
                <w:b/>
                <w:bCs/>
                <w:color w:val="000000"/>
                <w:sz w:val="17"/>
                <w:szCs w:val="17"/>
              </w:rPr>
              <w:t>7.6</w:t>
            </w:r>
            <w:r w:rsidR="00FD3BEC">
              <w:rPr>
                <w:rFonts w:ascii="Arial" w:hAnsi="Arial" w:cs="Arial"/>
                <w:b/>
                <w:bCs/>
                <w:color w:val="000000"/>
                <w:sz w:val="17"/>
                <w:szCs w:val="17"/>
              </w:rPr>
              <w:t>32</w:t>
            </w:r>
          </w:p>
        </w:tc>
        <w:tc>
          <w:tcPr>
            <w:tcW w:w="702" w:type="pct"/>
            <w:tcBorders>
              <w:top w:val="nil"/>
              <w:left w:val="nil"/>
              <w:bottom w:val="single" w:sz="12" w:space="0" w:color="auto"/>
              <w:right w:val="nil"/>
            </w:tcBorders>
            <w:vAlign w:val="bottom"/>
          </w:tcPr>
          <w:p w14:paraId="4A5C9562" w14:textId="77777777" w:rsidR="00D8116B" w:rsidRPr="003D1614" w:rsidRDefault="00D8116B" w:rsidP="00422DD5">
            <w:pPr>
              <w:jc w:val="right"/>
              <w:rPr>
                <w:rFonts w:ascii="Arial" w:hAnsi="Arial" w:cs="Arial"/>
                <w:b/>
                <w:bCs/>
                <w:color w:val="000000"/>
                <w:sz w:val="17"/>
                <w:szCs w:val="17"/>
              </w:rPr>
            </w:pPr>
            <w:r w:rsidRPr="00107766">
              <w:rPr>
                <w:rFonts w:ascii="Arial" w:hAnsi="Arial" w:cs="Arial"/>
                <w:b/>
                <w:bCs/>
                <w:color w:val="000000"/>
                <w:sz w:val="17"/>
                <w:szCs w:val="17"/>
              </w:rPr>
              <w:t>698</w:t>
            </w:r>
          </w:p>
        </w:tc>
        <w:tc>
          <w:tcPr>
            <w:tcW w:w="572" w:type="pct"/>
            <w:tcBorders>
              <w:top w:val="nil"/>
              <w:left w:val="nil"/>
              <w:bottom w:val="single" w:sz="12" w:space="0" w:color="auto"/>
              <w:right w:val="nil"/>
            </w:tcBorders>
            <w:vAlign w:val="bottom"/>
          </w:tcPr>
          <w:p w14:paraId="5CDBB53B" w14:textId="77777777" w:rsidR="00D8116B" w:rsidRPr="003D1614" w:rsidRDefault="00D8116B" w:rsidP="00422DD5">
            <w:pPr>
              <w:jc w:val="right"/>
              <w:rPr>
                <w:rFonts w:ascii="Arial" w:hAnsi="Arial" w:cs="Arial"/>
                <w:b/>
                <w:bCs/>
                <w:color w:val="000000"/>
                <w:sz w:val="17"/>
                <w:szCs w:val="17"/>
              </w:rPr>
            </w:pPr>
            <w:r>
              <w:rPr>
                <w:rFonts w:ascii="Arial" w:hAnsi="Arial" w:cs="Arial"/>
                <w:b/>
                <w:bCs/>
                <w:color w:val="000000"/>
                <w:sz w:val="17"/>
                <w:szCs w:val="17"/>
              </w:rPr>
              <w:t>(</w:t>
            </w:r>
            <w:r w:rsidRPr="00107766">
              <w:rPr>
                <w:rFonts w:ascii="Arial" w:hAnsi="Arial" w:cs="Arial"/>
                <w:b/>
                <w:bCs/>
                <w:color w:val="000000"/>
                <w:sz w:val="17"/>
                <w:szCs w:val="17"/>
              </w:rPr>
              <w:t>735</w:t>
            </w:r>
            <w:r>
              <w:rPr>
                <w:rFonts w:ascii="Arial" w:hAnsi="Arial" w:cs="Arial"/>
                <w:b/>
                <w:bCs/>
                <w:color w:val="000000"/>
                <w:sz w:val="17"/>
                <w:szCs w:val="17"/>
              </w:rPr>
              <w:t>)</w:t>
            </w:r>
          </w:p>
        </w:tc>
        <w:tc>
          <w:tcPr>
            <w:tcW w:w="572" w:type="pct"/>
            <w:tcBorders>
              <w:top w:val="nil"/>
              <w:left w:val="nil"/>
              <w:bottom w:val="single" w:sz="12" w:space="0" w:color="auto"/>
              <w:right w:val="nil"/>
            </w:tcBorders>
            <w:vAlign w:val="bottom"/>
          </w:tcPr>
          <w:p w14:paraId="73C47019" w14:textId="77777777" w:rsidR="00D8116B" w:rsidRPr="003D1614" w:rsidRDefault="00D8116B" w:rsidP="00422DD5">
            <w:pPr>
              <w:jc w:val="right"/>
              <w:rPr>
                <w:rFonts w:ascii="Arial" w:hAnsi="Arial" w:cs="Arial"/>
                <w:b/>
                <w:bCs/>
                <w:color w:val="000000"/>
                <w:sz w:val="17"/>
                <w:szCs w:val="17"/>
              </w:rPr>
            </w:pPr>
            <w:r w:rsidRPr="00107766">
              <w:rPr>
                <w:rFonts w:ascii="Arial" w:hAnsi="Arial" w:cs="Arial"/>
                <w:b/>
                <w:bCs/>
                <w:color w:val="000000"/>
                <w:sz w:val="17"/>
                <w:szCs w:val="17"/>
              </w:rPr>
              <w:t>188</w:t>
            </w:r>
          </w:p>
        </w:tc>
        <w:tc>
          <w:tcPr>
            <w:tcW w:w="644" w:type="pct"/>
            <w:tcBorders>
              <w:top w:val="nil"/>
              <w:left w:val="nil"/>
              <w:bottom w:val="single" w:sz="12" w:space="0" w:color="auto"/>
              <w:right w:val="nil"/>
            </w:tcBorders>
            <w:vAlign w:val="bottom"/>
          </w:tcPr>
          <w:p w14:paraId="520D5CDA" w14:textId="77777777" w:rsidR="00D8116B" w:rsidRPr="003D1614" w:rsidRDefault="00D8116B" w:rsidP="00422DD5">
            <w:pPr>
              <w:jc w:val="right"/>
              <w:rPr>
                <w:rFonts w:ascii="Arial" w:hAnsi="Arial" w:cs="Arial"/>
                <w:b/>
                <w:bCs/>
                <w:color w:val="000000"/>
                <w:sz w:val="17"/>
                <w:szCs w:val="17"/>
              </w:rPr>
            </w:pPr>
            <w:r w:rsidRPr="00107766">
              <w:rPr>
                <w:rFonts w:ascii="Arial" w:hAnsi="Arial" w:cs="Arial"/>
                <w:b/>
                <w:bCs/>
                <w:color w:val="000000"/>
                <w:sz w:val="17"/>
                <w:szCs w:val="17"/>
              </w:rPr>
              <w:t>7.783</w:t>
            </w:r>
          </w:p>
        </w:tc>
        <w:tc>
          <w:tcPr>
            <w:tcW w:w="565" w:type="pct"/>
            <w:tcBorders>
              <w:top w:val="nil"/>
              <w:left w:val="nil"/>
              <w:bottom w:val="single" w:sz="12" w:space="0" w:color="auto"/>
              <w:right w:val="nil"/>
            </w:tcBorders>
            <w:vAlign w:val="bottom"/>
          </w:tcPr>
          <w:p w14:paraId="65AFF514" w14:textId="77777777" w:rsidR="00D8116B" w:rsidRPr="003D1614" w:rsidRDefault="00D8116B" w:rsidP="00422DD5">
            <w:pPr>
              <w:jc w:val="right"/>
              <w:rPr>
                <w:rFonts w:ascii="Arial" w:hAnsi="Arial" w:cs="Arial"/>
                <w:b/>
                <w:bCs/>
                <w:color w:val="000000"/>
                <w:sz w:val="17"/>
                <w:szCs w:val="17"/>
              </w:rPr>
            </w:pPr>
            <w:r w:rsidRPr="00107766">
              <w:rPr>
                <w:rFonts w:ascii="Arial" w:hAnsi="Arial" w:cs="Arial"/>
                <w:b/>
                <w:bCs/>
                <w:color w:val="000000"/>
                <w:sz w:val="17"/>
                <w:szCs w:val="17"/>
              </w:rPr>
              <w:t>7.783</w:t>
            </w:r>
          </w:p>
        </w:tc>
      </w:tr>
      <w:tr w:rsidR="00D8116B" w:rsidRPr="003D1614" w14:paraId="7FA47FBD" w14:textId="77777777" w:rsidTr="00422DD5">
        <w:trPr>
          <w:trHeight w:val="76"/>
        </w:trPr>
        <w:tc>
          <w:tcPr>
            <w:tcW w:w="1320" w:type="pct"/>
            <w:vAlign w:val="bottom"/>
          </w:tcPr>
          <w:p w14:paraId="577DC809" w14:textId="77777777" w:rsidR="00D8116B" w:rsidRPr="003D1614" w:rsidRDefault="00D8116B" w:rsidP="00422DD5">
            <w:pPr>
              <w:tabs>
                <w:tab w:val="right" w:pos="1202"/>
              </w:tabs>
              <w:spacing w:line="140" w:lineRule="exact"/>
              <w:jc w:val="right"/>
              <w:outlineLvl w:val="0"/>
              <w:rPr>
                <w:rFonts w:ascii="Arial" w:hAnsi="Arial" w:cs="Arial"/>
                <w:b/>
                <w:iCs/>
                <w:color w:val="000000"/>
                <w:sz w:val="17"/>
                <w:szCs w:val="17"/>
              </w:rPr>
            </w:pPr>
          </w:p>
        </w:tc>
        <w:tc>
          <w:tcPr>
            <w:tcW w:w="625" w:type="pct"/>
            <w:tcBorders>
              <w:top w:val="single" w:sz="12" w:space="0" w:color="auto"/>
            </w:tcBorders>
            <w:vAlign w:val="bottom"/>
          </w:tcPr>
          <w:p w14:paraId="0F6FE3BB" w14:textId="77777777" w:rsidR="00D8116B" w:rsidRPr="003D1614" w:rsidRDefault="00D8116B" w:rsidP="00422DD5">
            <w:pPr>
              <w:keepNext/>
              <w:keepLines/>
              <w:tabs>
                <w:tab w:val="decimal" w:pos="1015"/>
              </w:tabs>
              <w:spacing w:line="140" w:lineRule="exact"/>
              <w:jc w:val="right"/>
              <w:rPr>
                <w:rFonts w:ascii="Arial" w:hAnsi="Arial" w:cs="Arial"/>
                <w:b/>
                <w:color w:val="000000"/>
                <w:position w:val="4"/>
                <w:sz w:val="17"/>
                <w:szCs w:val="17"/>
                <w:u w:val="thick"/>
              </w:rPr>
            </w:pPr>
          </w:p>
        </w:tc>
        <w:tc>
          <w:tcPr>
            <w:tcW w:w="702" w:type="pct"/>
            <w:tcBorders>
              <w:top w:val="single" w:sz="12" w:space="0" w:color="auto"/>
            </w:tcBorders>
            <w:vAlign w:val="bottom"/>
          </w:tcPr>
          <w:p w14:paraId="528023F8" w14:textId="77777777" w:rsidR="00D8116B" w:rsidRPr="003D1614" w:rsidRDefault="00D8116B" w:rsidP="00422DD5">
            <w:pPr>
              <w:keepNext/>
              <w:keepLines/>
              <w:tabs>
                <w:tab w:val="decimal" w:pos="1015"/>
              </w:tabs>
              <w:spacing w:line="140" w:lineRule="exact"/>
              <w:jc w:val="right"/>
              <w:rPr>
                <w:rFonts w:ascii="Arial" w:hAnsi="Arial" w:cs="Arial"/>
                <w:b/>
                <w:color w:val="000000"/>
                <w:position w:val="4"/>
                <w:sz w:val="17"/>
                <w:szCs w:val="17"/>
                <w:u w:val="thick"/>
              </w:rPr>
            </w:pPr>
          </w:p>
        </w:tc>
        <w:tc>
          <w:tcPr>
            <w:tcW w:w="572" w:type="pct"/>
            <w:tcBorders>
              <w:top w:val="single" w:sz="12" w:space="0" w:color="auto"/>
            </w:tcBorders>
            <w:vAlign w:val="bottom"/>
          </w:tcPr>
          <w:p w14:paraId="18F0D34A" w14:textId="77777777" w:rsidR="00D8116B" w:rsidRPr="003D1614" w:rsidRDefault="00D8116B" w:rsidP="00422DD5">
            <w:pPr>
              <w:keepNext/>
              <w:keepLines/>
              <w:tabs>
                <w:tab w:val="decimal" w:pos="1015"/>
              </w:tabs>
              <w:spacing w:line="140" w:lineRule="exact"/>
              <w:jc w:val="right"/>
              <w:rPr>
                <w:rFonts w:ascii="Arial" w:hAnsi="Arial" w:cs="Arial"/>
                <w:b/>
                <w:color w:val="000000"/>
                <w:position w:val="4"/>
                <w:sz w:val="17"/>
                <w:szCs w:val="17"/>
                <w:u w:val="thick"/>
              </w:rPr>
            </w:pPr>
          </w:p>
        </w:tc>
        <w:tc>
          <w:tcPr>
            <w:tcW w:w="572" w:type="pct"/>
            <w:tcBorders>
              <w:top w:val="single" w:sz="12" w:space="0" w:color="auto"/>
            </w:tcBorders>
            <w:vAlign w:val="bottom"/>
          </w:tcPr>
          <w:p w14:paraId="69E66A77" w14:textId="77777777" w:rsidR="00D8116B" w:rsidRPr="003D1614" w:rsidRDefault="00D8116B" w:rsidP="00422DD5">
            <w:pPr>
              <w:keepNext/>
              <w:keepLines/>
              <w:tabs>
                <w:tab w:val="decimal" w:pos="1015"/>
              </w:tabs>
              <w:spacing w:line="140" w:lineRule="exact"/>
              <w:jc w:val="right"/>
              <w:rPr>
                <w:rFonts w:ascii="Arial" w:hAnsi="Arial" w:cs="Arial"/>
                <w:b/>
                <w:color w:val="000000"/>
                <w:position w:val="4"/>
                <w:sz w:val="17"/>
                <w:szCs w:val="17"/>
                <w:u w:val="thick"/>
              </w:rPr>
            </w:pPr>
          </w:p>
        </w:tc>
        <w:tc>
          <w:tcPr>
            <w:tcW w:w="644" w:type="pct"/>
            <w:tcBorders>
              <w:top w:val="single" w:sz="12" w:space="0" w:color="auto"/>
            </w:tcBorders>
            <w:vAlign w:val="bottom"/>
          </w:tcPr>
          <w:p w14:paraId="478F33FE" w14:textId="77777777" w:rsidR="00D8116B" w:rsidRPr="003D1614" w:rsidRDefault="00D8116B" w:rsidP="00422DD5">
            <w:pPr>
              <w:keepNext/>
              <w:keepLines/>
              <w:tabs>
                <w:tab w:val="decimal" w:pos="1015"/>
              </w:tabs>
              <w:spacing w:line="140" w:lineRule="exact"/>
              <w:jc w:val="right"/>
              <w:rPr>
                <w:rFonts w:ascii="Arial" w:hAnsi="Arial" w:cs="Arial"/>
                <w:b/>
                <w:color w:val="000000"/>
                <w:position w:val="4"/>
                <w:sz w:val="17"/>
                <w:szCs w:val="17"/>
                <w:u w:val="thick"/>
              </w:rPr>
            </w:pPr>
          </w:p>
        </w:tc>
        <w:tc>
          <w:tcPr>
            <w:tcW w:w="565" w:type="pct"/>
            <w:tcBorders>
              <w:top w:val="single" w:sz="12" w:space="0" w:color="auto"/>
            </w:tcBorders>
            <w:vAlign w:val="bottom"/>
          </w:tcPr>
          <w:p w14:paraId="5BCA6C2A" w14:textId="77777777" w:rsidR="00D8116B" w:rsidRPr="003D1614" w:rsidRDefault="00D8116B" w:rsidP="00422DD5">
            <w:pPr>
              <w:keepNext/>
              <w:keepLines/>
              <w:tabs>
                <w:tab w:val="decimal" w:pos="1015"/>
              </w:tabs>
              <w:spacing w:line="140" w:lineRule="exact"/>
              <w:jc w:val="right"/>
              <w:rPr>
                <w:rFonts w:ascii="Arial" w:hAnsi="Arial" w:cs="Arial"/>
                <w:b/>
                <w:color w:val="000000"/>
                <w:position w:val="4"/>
                <w:sz w:val="17"/>
                <w:szCs w:val="17"/>
                <w:u w:val="thick"/>
              </w:rPr>
            </w:pPr>
          </w:p>
        </w:tc>
      </w:tr>
      <w:tr w:rsidR="00D8116B" w:rsidRPr="003D1614" w14:paraId="1689D09E" w14:textId="77777777" w:rsidTr="00422DD5">
        <w:trPr>
          <w:trHeight w:val="76"/>
        </w:trPr>
        <w:tc>
          <w:tcPr>
            <w:tcW w:w="1320" w:type="pct"/>
            <w:vAlign w:val="bottom"/>
          </w:tcPr>
          <w:p w14:paraId="64C578DC" w14:textId="77777777" w:rsidR="00D8116B" w:rsidRPr="003D1614" w:rsidRDefault="00D8116B" w:rsidP="00422DD5">
            <w:pPr>
              <w:tabs>
                <w:tab w:val="right" w:pos="1202"/>
              </w:tabs>
              <w:spacing w:line="240" w:lineRule="exact"/>
              <w:outlineLvl w:val="0"/>
              <w:rPr>
                <w:rFonts w:ascii="Arial" w:hAnsi="Arial" w:cs="Arial"/>
                <w:b/>
                <w:iCs/>
                <w:color w:val="000000"/>
                <w:sz w:val="17"/>
                <w:szCs w:val="17"/>
              </w:rPr>
            </w:pPr>
            <w:r w:rsidRPr="003D1614">
              <w:rPr>
                <w:rFonts w:ascii="Arial" w:hAnsi="Arial" w:cs="Arial"/>
                <w:b/>
                <w:iCs/>
                <w:color w:val="000000"/>
                <w:sz w:val="17"/>
                <w:szCs w:val="17"/>
              </w:rPr>
              <w:t>Stanje 1. siječnja 202</w:t>
            </w:r>
            <w:r>
              <w:rPr>
                <w:rFonts w:ascii="Arial" w:hAnsi="Arial" w:cs="Arial"/>
                <w:b/>
                <w:iCs/>
                <w:color w:val="000000"/>
                <w:sz w:val="17"/>
                <w:szCs w:val="17"/>
              </w:rPr>
              <w:t>4</w:t>
            </w:r>
            <w:r w:rsidRPr="003D1614">
              <w:rPr>
                <w:rFonts w:ascii="Arial" w:hAnsi="Arial" w:cs="Arial"/>
                <w:b/>
                <w:iCs/>
                <w:color w:val="000000"/>
                <w:sz w:val="17"/>
                <w:szCs w:val="17"/>
              </w:rPr>
              <w:t xml:space="preserve">. </w:t>
            </w:r>
          </w:p>
        </w:tc>
        <w:tc>
          <w:tcPr>
            <w:tcW w:w="625" w:type="pct"/>
            <w:tcBorders>
              <w:top w:val="nil"/>
              <w:left w:val="nil"/>
              <w:bottom w:val="single" w:sz="12" w:space="0" w:color="auto"/>
              <w:right w:val="nil"/>
            </w:tcBorders>
            <w:shd w:val="clear" w:color="auto" w:fill="auto"/>
            <w:vAlign w:val="bottom"/>
          </w:tcPr>
          <w:p w14:paraId="06BA6BDD" w14:textId="77777777" w:rsidR="00D8116B" w:rsidRPr="003D1614" w:rsidRDefault="00D8116B" w:rsidP="00422DD5">
            <w:pPr>
              <w:jc w:val="right"/>
              <w:rPr>
                <w:rFonts w:ascii="Arial" w:hAnsi="Arial" w:cs="Arial"/>
                <w:b/>
                <w:bCs/>
                <w:color w:val="000000"/>
                <w:sz w:val="17"/>
                <w:szCs w:val="17"/>
              </w:rPr>
            </w:pPr>
            <w:r w:rsidRPr="00F959D0">
              <w:rPr>
                <w:rFonts w:ascii="Arial" w:hAnsi="Arial" w:cs="Arial"/>
                <w:b/>
                <w:bCs/>
                <w:sz w:val="17"/>
                <w:szCs w:val="17"/>
              </w:rPr>
              <w:t>7.648</w:t>
            </w:r>
          </w:p>
        </w:tc>
        <w:tc>
          <w:tcPr>
            <w:tcW w:w="702" w:type="pct"/>
            <w:tcBorders>
              <w:top w:val="nil"/>
              <w:left w:val="nil"/>
              <w:bottom w:val="single" w:sz="12" w:space="0" w:color="auto"/>
              <w:right w:val="nil"/>
            </w:tcBorders>
            <w:shd w:val="clear" w:color="auto" w:fill="auto"/>
            <w:vAlign w:val="bottom"/>
          </w:tcPr>
          <w:p w14:paraId="38C8ABE4" w14:textId="77777777" w:rsidR="00D8116B" w:rsidRPr="003D1614" w:rsidRDefault="00D8116B" w:rsidP="00422DD5">
            <w:pPr>
              <w:jc w:val="right"/>
              <w:rPr>
                <w:rFonts w:ascii="Arial" w:hAnsi="Arial" w:cs="Arial"/>
                <w:b/>
                <w:bCs/>
                <w:color w:val="000000"/>
                <w:sz w:val="17"/>
                <w:szCs w:val="17"/>
              </w:rPr>
            </w:pPr>
            <w:r w:rsidRPr="00F959D0">
              <w:rPr>
                <w:rFonts w:ascii="Arial" w:hAnsi="Arial" w:cs="Arial"/>
                <w:b/>
                <w:bCs/>
                <w:sz w:val="17"/>
                <w:szCs w:val="17"/>
              </w:rPr>
              <w:t>663</w:t>
            </w:r>
          </w:p>
        </w:tc>
        <w:tc>
          <w:tcPr>
            <w:tcW w:w="572" w:type="pct"/>
            <w:tcBorders>
              <w:top w:val="nil"/>
              <w:left w:val="nil"/>
              <w:bottom w:val="single" w:sz="12" w:space="0" w:color="auto"/>
              <w:right w:val="nil"/>
            </w:tcBorders>
            <w:shd w:val="clear" w:color="auto" w:fill="auto"/>
            <w:vAlign w:val="bottom"/>
          </w:tcPr>
          <w:p w14:paraId="057722EC" w14:textId="77777777" w:rsidR="00D8116B" w:rsidRPr="003D1614" w:rsidRDefault="00D8116B" w:rsidP="00422DD5">
            <w:pPr>
              <w:jc w:val="right"/>
              <w:rPr>
                <w:rFonts w:ascii="Arial" w:hAnsi="Arial" w:cs="Arial"/>
                <w:b/>
                <w:bCs/>
                <w:color w:val="000000"/>
                <w:sz w:val="17"/>
                <w:szCs w:val="17"/>
              </w:rPr>
            </w:pPr>
            <w:r w:rsidRPr="00F959D0">
              <w:rPr>
                <w:rFonts w:ascii="Arial" w:hAnsi="Arial" w:cs="Arial"/>
                <w:b/>
                <w:bCs/>
                <w:sz w:val="17"/>
                <w:szCs w:val="17"/>
              </w:rPr>
              <w:t>(611)</w:t>
            </w:r>
          </w:p>
        </w:tc>
        <w:tc>
          <w:tcPr>
            <w:tcW w:w="572" w:type="pct"/>
            <w:tcBorders>
              <w:top w:val="nil"/>
              <w:left w:val="nil"/>
              <w:bottom w:val="single" w:sz="12" w:space="0" w:color="auto"/>
              <w:right w:val="nil"/>
            </w:tcBorders>
            <w:shd w:val="clear" w:color="auto" w:fill="auto"/>
            <w:vAlign w:val="bottom"/>
          </w:tcPr>
          <w:p w14:paraId="46836A16" w14:textId="77777777" w:rsidR="00D8116B" w:rsidRPr="003D1614" w:rsidRDefault="00D8116B" w:rsidP="00422DD5">
            <w:pPr>
              <w:jc w:val="right"/>
              <w:rPr>
                <w:rFonts w:ascii="Arial" w:hAnsi="Arial" w:cs="Arial"/>
                <w:b/>
                <w:bCs/>
                <w:color w:val="000000"/>
                <w:sz w:val="17"/>
                <w:szCs w:val="17"/>
              </w:rPr>
            </w:pPr>
            <w:r w:rsidRPr="00F959D0">
              <w:rPr>
                <w:rFonts w:ascii="Arial" w:hAnsi="Arial" w:cs="Arial"/>
                <w:b/>
                <w:bCs/>
                <w:sz w:val="17"/>
                <w:szCs w:val="17"/>
              </w:rPr>
              <w:t>105</w:t>
            </w:r>
          </w:p>
        </w:tc>
        <w:tc>
          <w:tcPr>
            <w:tcW w:w="644" w:type="pct"/>
            <w:tcBorders>
              <w:top w:val="nil"/>
              <w:left w:val="nil"/>
              <w:bottom w:val="single" w:sz="12" w:space="0" w:color="auto"/>
              <w:right w:val="nil"/>
            </w:tcBorders>
            <w:shd w:val="clear" w:color="auto" w:fill="auto"/>
            <w:vAlign w:val="bottom"/>
          </w:tcPr>
          <w:p w14:paraId="3A89AA3B" w14:textId="77777777" w:rsidR="00D8116B" w:rsidRPr="003D1614" w:rsidRDefault="00D8116B" w:rsidP="00422DD5">
            <w:pPr>
              <w:jc w:val="right"/>
              <w:rPr>
                <w:rFonts w:ascii="Arial" w:hAnsi="Arial" w:cs="Arial"/>
                <w:b/>
                <w:bCs/>
                <w:color w:val="000000"/>
                <w:sz w:val="17"/>
                <w:szCs w:val="17"/>
              </w:rPr>
            </w:pPr>
            <w:r w:rsidRPr="00F959D0">
              <w:rPr>
                <w:rFonts w:ascii="Arial" w:hAnsi="Arial" w:cs="Arial"/>
                <w:b/>
                <w:bCs/>
                <w:sz w:val="17"/>
                <w:szCs w:val="17"/>
              </w:rPr>
              <w:t>7.805</w:t>
            </w:r>
          </w:p>
        </w:tc>
        <w:tc>
          <w:tcPr>
            <w:tcW w:w="565" w:type="pct"/>
            <w:tcBorders>
              <w:top w:val="nil"/>
              <w:left w:val="nil"/>
              <w:bottom w:val="single" w:sz="12" w:space="0" w:color="auto"/>
              <w:right w:val="nil"/>
            </w:tcBorders>
            <w:shd w:val="clear" w:color="auto" w:fill="auto"/>
            <w:vAlign w:val="bottom"/>
          </w:tcPr>
          <w:p w14:paraId="4E5463E9" w14:textId="77777777" w:rsidR="00D8116B" w:rsidRPr="003D1614" w:rsidRDefault="00D8116B" w:rsidP="00422DD5">
            <w:pPr>
              <w:jc w:val="right"/>
              <w:rPr>
                <w:rFonts w:ascii="Arial" w:hAnsi="Arial" w:cs="Arial"/>
                <w:b/>
                <w:bCs/>
                <w:color w:val="000000"/>
                <w:sz w:val="17"/>
                <w:szCs w:val="17"/>
              </w:rPr>
            </w:pPr>
            <w:r w:rsidRPr="00F959D0">
              <w:rPr>
                <w:rFonts w:ascii="Arial" w:hAnsi="Arial" w:cs="Arial"/>
                <w:b/>
                <w:bCs/>
                <w:sz w:val="17"/>
                <w:szCs w:val="17"/>
              </w:rPr>
              <w:t>7.805</w:t>
            </w:r>
          </w:p>
        </w:tc>
      </w:tr>
      <w:tr w:rsidR="00D8116B" w:rsidRPr="003D1614" w14:paraId="668D1F22" w14:textId="77777777" w:rsidTr="00422DD5">
        <w:trPr>
          <w:trHeight w:val="76"/>
        </w:trPr>
        <w:tc>
          <w:tcPr>
            <w:tcW w:w="1320" w:type="pct"/>
            <w:vAlign w:val="bottom"/>
          </w:tcPr>
          <w:p w14:paraId="4014F140"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25" w:type="pct"/>
            <w:vAlign w:val="bottom"/>
          </w:tcPr>
          <w:p w14:paraId="7E77F266"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vAlign w:val="bottom"/>
          </w:tcPr>
          <w:p w14:paraId="5A9B1E33"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vAlign w:val="bottom"/>
          </w:tcPr>
          <w:p w14:paraId="0BE28124"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vAlign w:val="bottom"/>
          </w:tcPr>
          <w:p w14:paraId="0B810A2A"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vAlign w:val="bottom"/>
          </w:tcPr>
          <w:p w14:paraId="706F96B1"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65" w:type="pct"/>
            <w:tcBorders>
              <w:top w:val="nil"/>
              <w:left w:val="nil"/>
              <w:bottom w:val="nil"/>
              <w:right w:val="nil"/>
            </w:tcBorders>
            <w:vAlign w:val="bottom"/>
          </w:tcPr>
          <w:p w14:paraId="03F4EF4D"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r>
      <w:tr w:rsidR="00D8116B" w:rsidRPr="003D1614" w14:paraId="3EBE1520" w14:textId="77777777" w:rsidTr="00422DD5">
        <w:trPr>
          <w:trHeight w:val="76"/>
        </w:trPr>
        <w:tc>
          <w:tcPr>
            <w:tcW w:w="1320" w:type="pct"/>
            <w:vAlign w:val="bottom"/>
          </w:tcPr>
          <w:p w14:paraId="4EF0441A" w14:textId="77777777" w:rsidR="00D8116B" w:rsidRPr="003D1614" w:rsidRDefault="00D8116B" w:rsidP="00422DD5">
            <w:pPr>
              <w:tabs>
                <w:tab w:val="right" w:pos="1202"/>
              </w:tabs>
              <w:spacing w:line="240" w:lineRule="exact"/>
              <w:outlineLvl w:val="0"/>
              <w:rPr>
                <w:rFonts w:ascii="Arial" w:hAnsi="Arial" w:cs="Arial"/>
                <w:iCs/>
                <w:color w:val="000000"/>
                <w:sz w:val="17"/>
                <w:szCs w:val="17"/>
              </w:rPr>
            </w:pPr>
            <w:r w:rsidRPr="003D1614">
              <w:rPr>
                <w:rFonts w:ascii="Arial" w:hAnsi="Arial" w:cs="Arial"/>
                <w:iCs/>
                <w:color w:val="000000"/>
                <w:sz w:val="17"/>
                <w:szCs w:val="17"/>
              </w:rPr>
              <w:t>Dobit tekućeg razdoblja</w:t>
            </w:r>
          </w:p>
        </w:tc>
        <w:tc>
          <w:tcPr>
            <w:tcW w:w="625" w:type="pct"/>
            <w:vAlign w:val="bottom"/>
          </w:tcPr>
          <w:p w14:paraId="727170BC" w14:textId="77777777" w:rsidR="00D8116B" w:rsidRPr="003D1614" w:rsidRDefault="00D8116B" w:rsidP="00422DD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702" w:type="pct"/>
            <w:vAlign w:val="bottom"/>
          </w:tcPr>
          <w:p w14:paraId="04FECD98" w14:textId="77777777" w:rsidR="00D8116B" w:rsidRPr="003D1614" w:rsidRDefault="00D8116B" w:rsidP="00422DD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572" w:type="pct"/>
            <w:vAlign w:val="bottom"/>
          </w:tcPr>
          <w:p w14:paraId="3E21E5E8" w14:textId="77777777" w:rsidR="00D8116B" w:rsidRPr="003D1614" w:rsidRDefault="00D8116B" w:rsidP="00422DD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572" w:type="pct"/>
            <w:vAlign w:val="bottom"/>
          </w:tcPr>
          <w:p w14:paraId="357DDD22" w14:textId="77777777" w:rsidR="00D8116B" w:rsidRPr="003D1614" w:rsidRDefault="00D8116B" w:rsidP="00422DD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10</w:t>
            </w:r>
          </w:p>
        </w:tc>
        <w:tc>
          <w:tcPr>
            <w:tcW w:w="644" w:type="pct"/>
            <w:vAlign w:val="bottom"/>
          </w:tcPr>
          <w:p w14:paraId="389931C0" w14:textId="77777777" w:rsidR="00D8116B" w:rsidRPr="003D1614" w:rsidRDefault="00D8116B" w:rsidP="00422DD5">
            <w:pPr>
              <w:tabs>
                <w:tab w:val="right" w:pos="1202"/>
              </w:tabs>
              <w:spacing w:line="301" w:lineRule="exact"/>
              <w:jc w:val="right"/>
              <w:outlineLvl w:val="0"/>
              <w:rPr>
                <w:rFonts w:ascii="Arial" w:hAnsi="Arial" w:cs="Arial"/>
                <w:b/>
                <w:bCs/>
                <w:color w:val="000000"/>
                <w:sz w:val="17"/>
                <w:szCs w:val="17"/>
              </w:rPr>
            </w:pPr>
            <w:r>
              <w:rPr>
                <w:rFonts w:ascii="Arial" w:hAnsi="Arial" w:cs="Arial"/>
                <w:b/>
                <w:bCs/>
                <w:color w:val="000000"/>
                <w:sz w:val="17"/>
                <w:szCs w:val="17"/>
              </w:rPr>
              <w:t>10</w:t>
            </w:r>
          </w:p>
        </w:tc>
        <w:tc>
          <w:tcPr>
            <w:tcW w:w="565" w:type="pct"/>
            <w:tcBorders>
              <w:top w:val="nil"/>
              <w:left w:val="nil"/>
              <w:bottom w:val="nil"/>
              <w:right w:val="nil"/>
            </w:tcBorders>
            <w:vAlign w:val="bottom"/>
          </w:tcPr>
          <w:p w14:paraId="681668C4" w14:textId="77777777" w:rsidR="00D8116B" w:rsidRPr="003D1614" w:rsidRDefault="00D8116B" w:rsidP="00422DD5">
            <w:pPr>
              <w:tabs>
                <w:tab w:val="right" w:pos="1202"/>
              </w:tabs>
              <w:spacing w:line="301" w:lineRule="exact"/>
              <w:jc w:val="right"/>
              <w:outlineLvl w:val="0"/>
              <w:rPr>
                <w:rFonts w:ascii="Arial" w:hAnsi="Arial" w:cs="Arial"/>
                <w:b/>
                <w:bCs/>
                <w:color w:val="000000"/>
                <w:sz w:val="17"/>
                <w:szCs w:val="17"/>
              </w:rPr>
            </w:pPr>
            <w:r>
              <w:rPr>
                <w:rFonts w:ascii="Arial" w:hAnsi="Arial" w:cs="Arial"/>
                <w:b/>
                <w:bCs/>
                <w:color w:val="000000"/>
                <w:sz w:val="17"/>
                <w:szCs w:val="17"/>
              </w:rPr>
              <w:t>10</w:t>
            </w:r>
          </w:p>
        </w:tc>
      </w:tr>
      <w:tr w:rsidR="00D8116B" w:rsidRPr="003D1614" w14:paraId="440B19F1" w14:textId="77777777" w:rsidTr="00422DD5">
        <w:trPr>
          <w:trHeight w:val="76"/>
        </w:trPr>
        <w:tc>
          <w:tcPr>
            <w:tcW w:w="1320" w:type="pct"/>
            <w:vAlign w:val="bottom"/>
          </w:tcPr>
          <w:p w14:paraId="1D3D3203" w14:textId="77777777" w:rsidR="00D8116B" w:rsidRPr="003D1614" w:rsidRDefault="00D8116B" w:rsidP="00422DD5">
            <w:pPr>
              <w:tabs>
                <w:tab w:val="right" w:pos="1202"/>
              </w:tabs>
              <w:spacing w:line="240" w:lineRule="exact"/>
              <w:outlineLvl w:val="0"/>
              <w:rPr>
                <w:rFonts w:ascii="Arial" w:hAnsi="Arial" w:cs="Arial"/>
                <w:iCs/>
                <w:color w:val="000000"/>
                <w:sz w:val="17"/>
                <w:szCs w:val="17"/>
              </w:rPr>
            </w:pPr>
            <w:r w:rsidRPr="003D1614">
              <w:rPr>
                <w:rFonts w:ascii="Arial" w:hAnsi="Arial" w:cs="Arial"/>
                <w:iCs/>
                <w:color w:val="000000"/>
                <w:sz w:val="17"/>
                <w:szCs w:val="17"/>
              </w:rPr>
              <w:t>Ostala sveobuhvatna dobit</w:t>
            </w:r>
          </w:p>
        </w:tc>
        <w:tc>
          <w:tcPr>
            <w:tcW w:w="625" w:type="pct"/>
            <w:tcBorders>
              <w:bottom w:val="single" w:sz="4" w:space="0" w:color="auto"/>
            </w:tcBorders>
            <w:vAlign w:val="bottom"/>
          </w:tcPr>
          <w:p w14:paraId="4FB45835" w14:textId="77777777" w:rsidR="00D8116B" w:rsidRPr="003D1614" w:rsidRDefault="00D8116B" w:rsidP="00422DD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702" w:type="pct"/>
            <w:tcBorders>
              <w:bottom w:val="single" w:sz="4" w:space="0" w:color="auto"/>
            </w:tcBorders>
            <w:vAlign w:val="bottom"/>
          </w:tcPr>
          <w:p w14:paraId="54A8CF28" w14:textId="77777777" w:rsidR="00D8116B" w:rsidRPr="003D1614" w:rsidRDefault="00D8116B" w:rsidP="00422DD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572" w:type="pct"/>
            <w:tcBorders>
              <w:bottom w:val="single" w:sz="4" w:space="0" w:color="auto"/>
            </w:tcBorders>
            <w:vAlign w:val="bottom"/>
          </w:tcPr>
          <w:p w14:paraId="6B200C91" w14:textId="77777777" w:rsidR="00D8116B" w:rsidRPr="003D1614" w:rsidRDefault="00D8116B" w:rsidP="00422DD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(28)</w:t>
            </w:r>
          </w:p>
        </w:tc>
        <w:tc>
          <w:tcPr>
            <w:tcW w:w="572" w:type="pct"/>
            <w:tcBorders>
              <w:bottom w:val="single" w:sz="4" w:space="0" w:color="auto"/>
            </w:tcBorders>
            <w:vAlign w:val="bottom"/>
          </w:tcPr>
          <w:p w14:paraId="478F0B1D" w14:textId="77777777" w:rsidR="00D8116B" w:rsidRPr="003D1614" w:rsidRDefault="00D8116B" w:rsidP="00422DD5">
            <w:pPr>
              <w:tabs>
                <w:tab w:val="right" w:pos="1202"/>
              </w:tabs>
              <w:spacing w:line="301" w:lineRule="exact"/>
              <w:jc w:val="right"/>
              <w:outlineLvl w:val="0"/>
              <w:rPr>
                <w:rFonts w:ascii="Arial" w:hAnsi="Arial" w:cs="Arial"/>
                <w:iCs/>
                <w:color w:val="000000"/>
                <w:sz w:val="17"/>
                <w:szCs w:val="17"/>
              </w:rPr>
            </w:pPr>
            <w:r>
              <w:rPr>
                <w:rFonts w:ascii="Arial" w:hAnsi="Arial" w:cs="Arial"/>
                <w:iCs/>
                <w:color w:val="000000"/>
                <w:sz w:val="17"/>
                <w:szCs w:val="17"/>
              </w:rPr>
              <w:t>-</w:t>
            </w:r>
          </w:p>
        </w:tc>
        <w:tc>
          <w:tcPr>
            <w:tcW w:w="644" w:type="pct"/>
            <w:tcBorders>
              <w:bottom w:val="single" w:sz="4" w:space="0" w:color="auto"/>
            </w:tcBorders>
            <w:vAlign w:val="bottom"/>
          </w:tcPr>
          <w:p w14:paraId="55AA3BDD" w14:textId="77777777" w:rsidR="00D8116B" w:rsidRPr="003D1614" w:rsidRDefault="00D8116B" w:rsidP="00422DD5">
            <w:pPr>
              <w:tabs>
                <w:tab w:val="right" w:pos="1202"/>
              </w:tabs>
              <w:spacing w:line="301" w:lineRule="exact"/>
              <w:jc w:val="right"/>
              <w:outlineLvl w:val="0"/>
              <w:rPr>
                <w:rFonts w:ascii="Arial" w:hAnsi="Arial" w:cs="Arial"/>
                <w:b/>
                <w:bCs/>
                <w:color w:val="000000"/>
                <w:sz w:val="17"/>
                <w:szCs w:val="17"/>
              </w:rPr>
            </w:pPr>
            <w:r w:rsidRPr="00A307BE">
              <w:rPr>
                <w:rFonts w:ascii="Arial" w:hAnsi="Arial" w:cs="Arial"/>
                <w:b/>
                <w:bCs/>
                <w:color w:val="000000"/>
                <w:sz w:val="17"/>
                <w:szCs w:val="17"/>
              </w:rPr>
              <w:t>(28)</w:t>
            </w:r>
          </w:p>
        </w:tc>
        <w:tc>
          <w:tcPr>
            <w:tcW w:w="565" w:type="pct"/>
            <w:tcBorders>
              <w:top w:val="nil"/>
              <w:left w:val="nil"/>
              <w:bottom w:val="single" w:sz="4" w:space="0" w:color="auto"/>
              <w:right w:val="nil"/>
            </w:tcBorders>
            <w:vAlign w:val="bottom"/>
          </w:tcPr>
          <w:p w14:paraId="7EC76F70" w14:textId="77777777" w:rsidR="00D8116B" w:rsidRPr="003D1614" w:rsidRDefault="00D8116B" w:rsidP="00422DD5">
            <w:pPr>
              <w:tabs>
                <w:tab w:val="right" w:pos="1202"/>
              </w:tabs>
              <w:spacing w:line="301" w:lineRule="exact"/>
              <w:jc w:val="right"/>
              <w:outlineLvl w:val="0"/>
              <w:rPr>
                <w:rFonts w:ascii="Arial" w:hAnsi="Arial" w:cs="Arial"/>
                <w:b/>
                <w:bCs/>
                <w:color w:val="000000"/>
                <w:sz w:val="17"/>
                <w:szCs w:val="17"/>
              </w:rPr>
            </w:pPr>
            <w:r w:rsidRPr="00A307BE">
              <w:rPr>
                <w:rFonts w:ascii="Arial" w:hAnsi="Arial" w:cs="Arial"/>
                <w:b/>
                <w:bCs/>
                <w:color w:val="000000"/>
                <w:sz w:val="17"/>
                <w:szCs w:val="17"/>
              </w:rPr>
              <w:t>(28)</w:t>
            </w:r>
          </w:p>
        </w:tc>
      </w:tr>
      <w:tr w:rsidR="00D8116B" w:rsidRPr="003D1614" w14:paraId="387404FF" w14:textId="77777777" w:rsidTr="00422DD5">
        <w:trPr>
          <w:trHeight w:val="76"/>
        </w:trPr>
        <w:tc>
          <w:tcPr>
            <w:tcW w:w="1320" w:type="pct"/>
            <w:vAlign w:val="bottom"/>
          </w:tcPr>
          <w:p w14:paraId="78EF0EEF" w14:textId="77777777" w:rsidR="00D8116B" w:rsidRPr="003D1614" w:rsidRDefault="00D8116B" w:rsidP="00422DD5">
            <w:pPr>
              <w:tabs>
                <w:tab w:val="right" w:pos="1202"/>
              </w:tabs>
              <w:spacing w:line="140" w:lineRule="exact"/>
              <w:jc w:val="right"/>
              <w:outlineLvl w:val="0"/>
              <w:rPr>
                <w:rFonts w:ascii="Arial" w:hAnsi="Arial" w:cs="Arial"/>
                <w:iCs/>
                <w:color w:val="000000"/>
                <w:sz w:val="17"/>
                <w:szCs w:val="17"/>
              </w:rPr>
            </w:pPr>
          </w:p>
        </w:tc>
        <w:tc>
          <w:tcPr>
            <w:tcW w:w="625" w:type="pct"/>
            <w:tcBorders>
              <w:top w:val="single" w:sz="4" w:space="0" w:color="auto"/>
            </w:tcBorders>
            <w:vAlign w:val="bottom"/>
          </w:tcPr>
          <w:p w14:paraId="061CE59B"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tcBorders>
              <w:top w:val="single" w:sz="4" w:space="0" w:color="auto"/>
            </w:tcBorders>
            <w:vAlign w:val="bottom"/>
          </w:tcPr>
          <w:p w14:paraId="1DA12BAD"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4B154072"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095642E3"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tcBorders>
              <w:top w:val="single" w:sz="4" w:space="0" w:color="auto"/>
            </w:tcBorders>
            <w:vAlign w:val="bottom"/>
          </w:tcPr>
          <w:p w14:paraId="4D50C067"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65" w:type="pct"/>
            <w:tcBorders>
              <w:top w:val="single" w:sz="4" w:space="0" w:color="auto"/>
            </w:tcBorders>
            <w:vAlign w:val="bottom"/>
          </w:tcPr>
          <w:p w14:paraId="2DF20344"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r>
      <w:tr w:rsidR="00D8116B" w:rsidRPr="003D1614" w14:paraId="2E0AC447" w14:textId="77777777" w:rsidTr="00422DD5">
        <w:trPr>
          <w:trHeight w:val="76"/>
        </w:trPr>
        <w:tc>
          <w:tcPr>
            <w:tcW w:w="1320" w:type="pct"/>
            <w:vAlign w:val="bottom"/>
          </w:tcPr>
          <w:p w14:paraId="55F07471" w14:textId="77777777" w:rsidR="00D8116B" w:rsidRPr="003D1614" w:rsidRDefault="00D8116B" w:rsidP="00422DD5">
            <w:pPr>
              <w:tabs>
                <w:tab w:val="right" w:pos="1202"/>
              </w:tabs>
              <w:spacing w:line="240" w:lineRule="exact"/>
              <w:outlineLvl w:val="0"/>
              <w:rPr>
                <w:rFonts w:ascii="Arial" w:hAnsi="Arial" w:cs="Arial"/>
                <w:iCs/>
                <w:color w:val="000000"/>
                <w:sz w:val="17"/>
                <w:szCs w:val="17"/>
              </w:rPr>
            </w:pPr>
            <w:r w:rsidRPr="003D1614">
              <w:rPr>
                <w:rFonts w:ascii="Arial" w:hAnsi="Arial" w:cs="Arial"/>
                <w:iCs/>
                <w:color w:val="000000"/>
                <w:sz w:val="17"/>
                <w:szCs w:val="17"/>
              </w:rPr>
              <w:t>Ukupna sveobuhvatna dobit</w:t>
            </w:r>
          </w:p>
        </w:tc>
        <w:tc>
          <w:tcPr>
            <w:tcW w:w="625" w:type="pct"/>
            <w:tcBorders>
              <w:left w:val="nil"/>
              <w:bottom w:val="single" w:sz="4" w:space="0" w:color="auto"/>
              <w:right w:val="nil"/>
            </w:tcBorders>
            <w:vAlign w:val="bottom"/>
          </w:tcPr>
          <w:p w14:paraId="04AFE9AC" w14:textId="119E7486" w:rsidR="00D8116B" w:rsidRPr="003D1614" w:rsidRDefault="00195048" w:rsidP="00422DD5">
            <w:pPr>
              <w:jc w:val="right"/>
              <w:rPr>
                <w:rFonts w:ascii="Arial" w:hAnsi="Arial" w:cs="Arial"/>
                <w:color w:val="000000"/>
                <w:sz w:val="17"/>
                <w:szCs w:val="17"/>
              </w:rPr>
            </w:pPr>
            <w:r>
              <w:rPr>
                <w:rFonts w:ascii="Arial" w:hAnsi="Arial" w:cs="Arial"/>
                <w:color w:val="000000"/>
                <w:sz w:val="17"/>
                <w:szCs w:val="17"/>
              </w:rPr>
              <w:t>-</w:t>
            </w:r>
          </w:p>
        </w:tc>
        <w:tc>
          <w:tcPr>
            <w:tcW w:w="702" w:type="pct"/>
            <w:tcBorders>
              <w:left w:val="nil"/>
              <w:bottom w:val="single" w:sz="4" w:space="0" w:color="auto"/>
              <w:right w:val="nil"/>
            </w:tcBorders>
            <w:vAlign w:val="bottom"/>
          </w:tcPr>
          <w:p w14:paraId="6BA41E0F" w14:textId="06E8ED5C" w:rsidR="00D8116B" w:rsidRPr="003D1614" w:rsidRDefault="00195048" w:rsidP="00422DD5">
            <w:pPr>
              <w:jc w:val="right"/>
              <w:rPr>
                <w:rFonts w:ascii="Arial" w:hAnsi="Arial" w:cs="Arial"/>
                <w:color w:val="000000"/>
                <w:sz w:val="17"/>
                <w:szCs w:val="17"/>
              </w:rPr>
            </w:pPr>
            <w:r>
              <w:rPr>
                <w:rFonts w:ascii="Arial" w:hAnsi="Arial" w:cs="Arial"/>
                <w:color w:val="000000"/>
                <w:sz w:val="17"/>
                <w:szCs w:val="17"/>
              </w:rPr>
              <w:t>-</w:t>
            </w:r>
          </w:p>
        </w:tc>
        <w:tc>
          <w:tcPr>
            <w:tcW w:w="572" w:type="pct"/>
            <w:tcBorders>
              <w:bottom w:val="single" w:sz="4" w:space="0" w:color="auto"/>
            </w:tcBorders>
            <w:vAlign w:val="bottom"/>
          </w:tcPr>
          <w:p w14:paraId="12221698" w14:textId="77777777" w:rsidR="00D8116B" w:rsidRPr="003D1614" w:rsidRDefault="00D8116B" w:rsidP="00422DD5">
            <w:pPr>
              <w:jc w:val="right"/>
              <w:rPr>
                <w:rFonts w:ascii="Arial" w:hAnsi="Arial" w:cs="Arial"/>
                <w:color w:val="000000"/>
                <w:sz w:val="17"/>
                <w:szCs w:val="17"/>
              </w:rPr>
            </w:pPr>
            <w:r>
              <w:rPr>
                <w:rFonts w:ascii="Arial" w:hAnsi="Arial" w:cs="Arial"/>
                <w:color w:val="000000"/>
                <w:sz w:val="17"/>
                <w:szCs w:val="17"/>
              </w:rPr>
              <w:t>(28)</w:t>
            </w:r>
          </w:p>
        </w:tc>
        <w:tc>
          <w:tcPr>
            <w:tcW w:w="572" w:type="pct"/>
            <w:tcBorders>
              <w:bottom w:val="single" w:sz="4" w:space="0" w:color="auto"/>
            </w:tcBorders>
            <w:vAlign w:val="bottom"/>
          </w:tcPr>
          <w:p w14:paraId="40C9837C" w14:textId="77777777" w:rsidR="00D8116B" w:rsidRPr="003D1614" w:rsidRDefault="00D8116B" w:rsidP="00422DD5">
            <w:pPr>
              <w:jc w:val="right"/>
              <w:rPr>
                <w:rFonts w:ascii="Arial" w:hAnsi="Arial" w:cs="Arial"/>
                <w:color w:val="000000"/>
                <w:sz w:val="17"/>
                <w:szCs w:val="17"/>
              </w:rPr>
            </w:pPr>
            <w:r>
              <w:rPr>
                <w:rFonts w:ascii="Arial" w:hAnsi="Arial" w:cs="Arial"/>
                <w:color w:val="000000"/>
                <w:sz w:val="17"/>
                <w:szCs w:val="17"/>
              </w:rPr>
              <w:t>10</w:t>
            </w:r>
          </w:p>
        </w:tc>
        <w:tc>
          <w:tcPr>
            <w:tcW w:w="644" w:type="pct"/>
            <w:tcBorders>
              <w:bottom w:val="single" w:sz="4" w:space="0" w:color="auto"/>
            </w:tcBorders>
            <w:vAlign w:val="bottom"/>
          </w:tcPr>
          <w:p w14:paraId="0DC603B7" w14:textId="77777777" w:rsidR="00D8116B" w:rsidRPr="003D1614" w:rsidRDefault="00D8116B" w:rsidP="00422DD5">
            <w:pPr>
              <w:jc w:val="right"/>
              <w:rPr>
                <w:rFonts w:ascii="Arial" w:hAnsi="Arial" w:cs="Arial"/>
                <w:b/>
                <w:bCs/>
                <w:color w:val="000000"/>
                <w:sz w:val="17"/>
                <w:szCs w:val="17"/>
              </w:rPr>
            </w:pPr>
            <w:r>
              <w:rPr>
                <w:rFonts w:ascii="Arial" w:hAnsi="Arial" w:cs="Arial"/>
                <w:b/>
                <w:bCs/>
                <w:color w:val="000000"/>
                <w:sz w:val="17"/>
                <w:szCs w:val="17"/>
              </w:rPr>
              <w:t>(18)</w:t>
            </w:r>
          </w:p>
        </w:tc>
        <w:tc>
          <w:tcPr>
            <w:tcW w:w="565" w:type="pct"/>
            <w:tcBorders>
              <w:top w:val="nil"/>
              <w:left w:val="nil"/>
              <w:bottom w:val="single" w:sz="4" w:space="0" w:color="auto"/>
              <w:right w:val="nil"/>
            </w:tcBorders>
            <w:vAlign w:val="bottom"/>
          </w:tcPr>
          <w:p w14:paraId="00894AE4" w14:textId="77777777" w:rsidR="00D8116B" w:rsidRPr="003D1614" w:rsidRDefault="00D8116B" w:rsidP="00422DD5">
            <w:pPr>
              <w:jc w:val="right"/>
              <w:rPr>
                <w:rFonts w:ascii="Arial" w:hAnsi="Arial" w:cs="Arial"/>
                <w:b/>
                <w:bCs/>
                <w:color w:val="000000"/>
                <w:sz w:val="17"/>
                <w:szCs w:val="17"/>
              </w:rPr>
            </w:pPr>
            <w:r>
              <w:rPr>
                <w:rFonts w:ascii="Arial" w:hAnsi="Arial" w:cs="Arial"/>
                <w:b/>
                <w:bCs/>
                <w:color w:val="000000"/>
                <w:sz w:val="17"/>
                <w:szCs w:val="17"/>
              </w:rPr>
              <w:t>(18)</w:t>
            </w:r>
          </w:p>
        </w:tc>
      </w:tr>
      <w:tr w:rsidR="00D8116B" w:rsidRPr="003D1614" w14:paraId="3E8D71ED" w14:textId="77777777" w:rsidTr="00422DD5">
        <w:trPr>
          <w:trHeight w:val="76"/>
        </w:trPr>
        <w:tc>
          <w:tcPr>
            <w:tcW w:w="1320" w:type="pct"/>
            <w:vAlign w:val="bottom"/>
          </w:tcPr>
          <w:p w14:paraId="6E189B27" w14:textId="77777777" w:rsidR="00D8116B" w:rsidRPr="003D1614" w:rsidRDefault="00D8116B" w:rsidP="00422DD5">
            <w:pPr>
              <w:tabs>
                <w:tab w:val="right" w:pos="1202"/>
              </w:tabs>
              <w:spacing w:line="140" w:lineRule="exact"/>
              <w:jc w:val="right"/>
              <w:outlineLvl w:val="0"/>
              <w:rPr>
                <w:rFonts w:ascii="Arial" w:hAnsi="Arial" w:cs="Arial"/>
                <w:iCs/>
                <w:color w:val="000000"/>
                <w:sz w:val="17"/>
                <w:szCs w:val="17"/>
              </w:rPr>
            </w:pPr>
          </w:p>
        </w:tc>
        <w:tc>
          <w:tcPr>
            <w:tcW w:w="625" w:type="pct"/>
            <w:tcBorders>
              <w:top w:val="single" w:sz="4" w:space="0" w:color="auto"/>
            </w:tcBorders>
            <w:vAlign w:val="bottom"/>
          </w:tcPr>
          <w:p w14:paraId="410517D3"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tcBorders>
              <w:top w:val="single" w:sz="4" w:space="0" w:color="auto"/>
            </w:tcBorders>
            <w:vAlign w:val="bottom"/>
          </w:tcPr>
          <w:p w14:paraId="7B6FC40E"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09C13517"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541E6B53"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tcBorders>
              <w:top w:val="single" w:sz="4" w:space="0" w:color="auto"/>
            </w:tcBorders>
            <w:vAlign w:val="bottom"/>
          </w:tcPr>
          <w:p w14:paraId="2E08434B"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65" w:type="pct"/>
            <w:tcBorders>
              <w:top w:val="single" w:sz="4" w:space="0" w:color="auto"/>
            </w:tcBorders>
            <w:vAlign w:val="bottom"/>
          </w:tcPr>
          <w:p w14:paraId="0E0A5C8E"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r>
      <w:tr w:rsidR="00D8116B" w:rsidRPr="003D1614" w14:paraId="19A06C6D" w14:textId="77777777" w:rsidTr="00422DD5">
        <w:trPr>
          <w:trHeight w:val="76"/>
        </w:trPr>
        <w:tc>
          <w:tcPr>
            <w:tcW w:w="1320" w:type="pct"/>
            <w:vAlign w:val="bottom"/>
          </w:tcPr>
          <w:p w14:paraId="53586FBB" w14:textId="77777777" w:rsidR="00D8116B" w:rsidRPr="003D1614" w:rsidRDefault="00D8116B" w:rsidP="00422DD5">
            <w:pPr>
              <w:tabs>
                <w:tab w:val="right" w:pos="1202"/>
              </w:tabs>
              <w:spacing w:line="240" w:lineRule="exact"/>
              <w:outlineLvl w:val="0"/>
              <w:rPr>
                <w:rFonts w:ascii="Arial" w:hAnsi="Arial" w:cs="Arial"/>
                <w:i/>
                <w:iCs/>
                <w:color w:val="000000"/>
                <w:sz w:val="17"/>
                <w:szCs w:val="17"/>
              </w:rPr>
            </w:pPr>
            <w:r w:rsidRPr="003D1614">
              <w:rPr>
                <w:rFonts w:ascii="Arial" w:hAnsi="Arial" w:cs="Arial"/>
                <w:iCs/>
                <w:color w:val="000000"/>
                <w:sz w:val="17"/>
                <w:szCs w:val="17"/>
              </w:rPr>
              <w:t>Prijenos dobiti iz 202</w:t>
            </w:r>
            <w:r>
              <w:rPr>
                <w:rFonts w:ascii="Arial" w:hAnsi="Arial" w:cs="Arial"/>
                <w:iCs/>
                <w:color w:val="000000"/>
                <w:sz w:val="17"/>
                <w:szCs w:val="17"/>
              </w:rPr>
              <w:t>3</w:t>
            </w:r>
            <w:r w:rsidRPr="003D1614">
              <w:rPr>
                <w:rFonts w:ascii="Arial" w:hAnsi="Arial" w:cs="Arial"/>
                <w:iCs/>
                <w:color w:val="000000"/>
                <w:sz w:val="17"/>
                <w:szCs w:val="17"/>
              </w:rPr>
              <w:t>. godine u zadržanu dobit</w:t>
            </w:r>
          </w:p>
        </w:tc>
        <w:tc>
          <w:tcPr>
            <w:tcW w:w="625" w:type="pct"/>
            <w:tcBorders>
              <w:top w:val="nil"/>
              <w:left w:val="nil"/>
              <w:right w:val="nil"/>
            </w:tcBorders>
            <w:vAlign w:val="bottom"/>
          </w:tcPr>
          <w:p w14:paraId="02C34296" w14:textId="77777777" w:rsidR="00D8116B" w:rsidRPr="003D1614" w:rsidRDefault="00D8116B" w:rsidP="00422DD5">
            <w:pPr>
              <w:jc w:val="right"/>
              <w:rPr>
                <w:rFonts w:ascii="Arial" w:hAnsi="Arial" w:cs="Arial"/>
                <w:color w:val="000000"/>
                <w:sz w:val="17"/>
                <w:szCs w:val="17"/>
              </w:rPr>
            </w:pPr>
            <w:r>
              <w:rPr>
                <w:rFonts w:ascii="Arial" w:hAnsi="Arial" w:cs="Arial"/>
                <w:color w:val="000000"/>
                <w:sz w:val="17"/>
                <w:szCs w:val="17"/>
              </w:rPr>
              <w:t>-</w:t>
            </w:r>
          </w:p>
        </w:tc>
        <w:tc>
          <w:tcPr>
            <w:tcW w:w="702" w:type="pct"/>
            <w:tcBorders>
              <w:top w:val="nil"/>
              <w:left w:val="nil"/>
              <w:right w:val="nil"/>
            </w:tcBorders>
            <w:vAlign w:val="bottom"/>
          </w:tcPr>
          <w:p w14:paraId="17DE2C51" w14:textId="77777777" w:rsidR="00D8116B" w:rsidRPr="003D1614" w:rsidRDefault="00D8116B" w:rsidP="00422DD5">
            <w:pPr>
              <w:jc w:val="right"/>
              <w:rPr>
                <w:rFonts w:ascii="Arial" w:hAnsi="Arial" w:cs="Arial"/>
                <w:color w:val="000000"/>
                <w:sz w:val="17"/>
                <w:szCs w:val="17"/>
              </w:rPr>
            </w:pPr>
            <w:r>
              <w:rPr>
                <w:rFonts w:ascii="Arial" w:hAnsi="Arial" w:cs="Arial"/>
                <w:color w:val="000000"/>
                <w:sz w:val="17"/>
                <w:szCs w:val="17"/>
              </w:rPr>
              <w:t>105</w:t>
            </w:r>
          </w:p>
        </w:tc>
        <w:tc>
          <w:tcPr>
            <w:tcW w:w="572" w:type="pct"/>
            <w:tcBorders>
              <w:top w:val="nil"/>
              <w:left w:val="nil"/>
              <w:right w:val="nil"/>
            </w:tcBorders>
            <w:vAlign w:val="bottom"/>
          </w:tcPr>
          <w:p w14:paraId="4156DF44" w14:textId="77777777" w:rsidR="00D8116B" w:rsidRPr="003D1614" w:rsidRDefault="00D8116B" w:rsidP="00422DD5">
            <w:pPr>
              <w:jc w:val="right"/>
              <w:rPr>
                <w:rFonts w:ascii="Arial" w:hAnsi="Arial" w:cs="Arial"/>
                <w:color w:val="000000"/>
                <w:sz w:val="17"/>
                <w:szCs w:val="17"/>
              </w:rPr>
            </w:pPr>
            <w:r>
              <w:rPr>
                <w:rFonts w:ascii="Arial" w:hAnsi="Arial" w:cs="Arial"/>
                <w:color w:val="000000"/>
                <w:sz w:val="17"/>
                <w:szCs w:val="17"/>
              </w:rPr>
              <w:t>-</w:t>
            </w:r>
          </w:p>
        </w:tc>
        <w:tc>
          <w:tcPr>
            <w:tcW w:w="572" w:type="pct"/>
            <w:tcBorders>
              <w:top w:val="nil"/>
              <w:left w:val="nil"/>
              <w:right w:val="nil"/>
            </w:tcBorders>
            <w:vAlign w:val="bottom"/>
          </w:tcPr>
          <w:p w14:paraId="3CC01B41" w14:textId="77777777" w:rsidR="00D8116B" w:rsidRPr="003D1614" w:rsidRDefault="00D8116B" w:rsidP="00422DD5">
            <w:pPr>
              <w:jc w:val="right"/>
              <w:rPr>
                <w:rFonts w:ascii="Arial" w:hAnsi="Arial" w:cs="Arial"/>
                <w:color w:val="000000"/>
                <w:sz w:val="17"/>
                <w:szCs w:val="17"/>
              </w:rPr>
            </w:pPr>
            <w:r>
              <w:rPr>
                <w:rFonts w:ascii="Arial" w:hAnsi="Arial" w:cs="Arial"/>
                <w:color w:val="000000"/>
                <w:sz w:val="17"/>
                <w:szCs w:val="17"/>
              </w:rPr>
              <w:t>(105)</w:t>
            </w:r>
          </w:p>
        </w:tc>
        <w:tc>
          <w:tcPr>
            <w:tcW w:w="644" w:type="pct"/>
            <w:tcBorders>
              <w:top w:val="nil"/>
              <w:left w:val="nil"/>
              <w:right w:val="nil"/>
            </w:tcBorders>
            <w:vAlign w:val="bottom"/>
          </w:tcPr>
          <w:p w14:paraId="30E26781" w14:textId="77777777" w:rsidR="00D8116B" w:rsidRPr="003D1614" w:rsidRDefault="00D8116B" w:rsidP="00422DD5">
            <w:pPr>
              <w:jc w:val="right"/>
              <w:rPr>
                <w:rFonts w:ascii="Arial" w:hAnsi="Arial" w:cs="Arial"/>
                <w:b/>
                <w:bCs/>
                <w:color w:val="000000"/>
                <w:sz w:val="17"/>
                <w:szCs w:val="17"/>
              </w:rPr>
            </w:pPr>
            <w:r>
              <w:rPr>
                <w:rFonts w:ascii="Arial" w:hAnsi="Arial" w:cs="Arial"/>
                <w:b/>
                <w:bCs/>
                <w:color w:val="000000"/>
                <w:sz w:val="17"/>
                <w:szCs w:val="17"/>
              </w:rPr>
              <w:t>-</w:t>
            </w:r>
          </w:p>
        </w:tc>
        <w:tc>
          <w:tcPr>
            <w:tcW w:w="565" w:type="pct"/>
            <w:tcBorders>
              <w:top w:val="nil"/>
              <w:left w:val="nil"/>
              <w:right w:val="nil"/>
            </w:tcBorders>
            <w:vAlign w:val="bottom"/>
          </w:tcPr>
          <w:p w14:paraId="78A98000" w14:textId="77777777" w:rsidR="00D8116B" w:rsidRPr="003D1614" w:rsidRDefault="00D8116B" w:rsidP="00422DD5">
            <w:pPr>
              <w:jc w:val="right"/>
              <w:rPr>
                <w:rFonts w:ascii="Arial" w:hAnsi="Arial" w:cs="Arial"/>
                <w:b/>
                <w:bCs/>
                <w:color w:val="000000"/>
                <w:sz w:val="17"/>
                <w:szCs w:val="17"/>
              </w:rPr>
            </w:pPr>
            <w:r>
              <w:rPr>
                <w:rFonts w:ascii="Arial" w:hAnsi="Arial" w:cs="Arial"/>
                <w:b/>
                <w:bCs/>
                <w:color w:val="000000"/>
                <w:sz w:val="17"/>
                <w:szCs w:val="17"/>
              </w:rPr>
              <w:t>-</w:t>
            </w:r>
          </w:p>
        </w:tc>
      </w:tr>
      <w:tr w:rsidR="00D8116B" w:rsidRPr="003D1614" w14:paraId="017DF781" w14:textId="77777777" w:rsidTr="00422DD5">
        <w:trPr>
          <w:trHeight w:val="76"/>
        </w:trPr>
        <w:tc>
          <w:tcPr>
            <w:tcW w:w="1320" w:type="pct"/>
            <w:vAlign w:val="bottom"/>
          </w:tcPr>
          <w:p w14:paraId="3A6C3EC8" w14:textId="77777777" w:rsidR="00D8116B" w:rsidRPr="003D1614" w:rsidRDefault="00D8116B" w:rsidP="00422DD5">
            <w:pPr>
              <w:tabs>
                <w:tab w:val="right" w:pos="1202"/>
              </w:tabs>
              <w:spacing w:line="240" w:lineRule="exact"/>
              <w:outlineLvl w:val="0"/>
              <w:rPr>
                <w:rFonts w:ascii="Arial" w:hAnsi="Arial" w:cs="Arial"/>
                <w:iCs/>
                <w:color w:val="000000"/>
                <w:sz w:val="17"/>
                <w:szCs w:val="17"/>
              </w:rPr>
            </w:pPr>
            <w:r w:rsidRPr="00107766">
              <w:rPr>
                <w:rFonts w:ascii="Arial" w:hAnsi="Arial" w:cs="Arial"/>
                <w:iCs/>
                <w:color w:val="000000"/>
                <w:sz w:val="17"/>
                <w:szCs w:val="17"/>
              </w:rPr>
              <w:t>Ostala usklađenja</w:t>
            </w:r>
          </w:p>
        </w:tc>
        <w:tc>
          <w:tcPr>
            <w:tcW w:w="625" w:type="pct"/>
            <w:tcBorders>
              <w:top w:val="nil"/>
              <w:left w:val="nil"/>
              <w:right w:val="nil"/>
            </w:tcBorders>
            <w:vAlign w:val="bottom"/>
          </w:tcPr>
          <w:p w14:paraId="65B14670" w14:textId="77777777" w:rsidR="00D8116B" w:rsidRDefault="00D8116B" w:rsidP="00422DD5">
            <w:pPr>
              <w:jc w:val="right"/>
              <w:rPr>
                <w:rFonts w:ascii="Arial" w:hAnsi="Arial" w:cs="Arial"/>
                <w:color w:val="000000"/>
                <w:sz w:val="17"/>
                <w:szCs w:val="17"/>
              </w:rPr>
            </w:pPr>
            <w:r>
              <w:rPr>
                <w:rFonts w:ascii="Arial" w:hAnsi="Arial" w:cs="Arial"/>
                <w:color w:val="000000"/>
                <w:sz w:val="17"/>
                <w:szCs w:val="17"/>
              </w:rPr>
              <w:t>15</w:t>
            </w:r>
          </w:p>
        </w:tc>
        <w:tc>
          <w:tcPr>
            <w:tcW w:w="702" w:type="pct"/>
            <w:tcBorders>
              <w:top w:val="nil"/>
              <w:left w:val="nil"/>
              <w:right w:val="nil"/>
            </w:tcBorders>
            <w:vAlign w:val="bottom"/>
          </w:tcPr>
          <w:p w14:paraId="5CE810FA" w14:textId="77777777" w:rsidR="00D8116B" w:rsidRDefault="00D8116B" w:rsidP="00422DD5">
            <w:pPr>
              <w:jc w:val="right"/>
              <w:rPr>
                <w:rFonts w:ascii="Arial" w:hAnsi="Arial" w:cs="Arial"/>
                <w:color w:val="000000"/>
                <w:sz w:val="17"/>
                <w:szCs w:val="17"/>
              </w:rPr>
            </w:pPr>
            <w:r>
              <w:rPr>
                <w:rFonts w:ascii="Arial" w:hAnsi="Arial" w:cs="Arial"/>
                <w:color w:val="000000"/>
                <w:sz w:val="17"/>
                <w:szCs w:val="17"/>
              </w:rPr>
              <w:t>23</w:t>
            </w:r>
          </w:p>
        </w:tc>
        <w:tc>
          <w:tcPr>
            <w:tcW w:w="572" w:type="pct"/>
            <w:tcBorders>
              <w:top w:val="nil"/>
              <w:left w:val="nil"/>
              <w:right w:val="nil"/>
            </w:tcBorders>
            <w:vAlign w:val="bottom"/>
          </w:tcPr>
          <w:p w14:paraId="4DE01BF0" w14:textId="77777777" w:rsidR="00D8116B" w:rsidRPr="003D1614" w:rsidRDefault="00D8116B" w:rsidP="00422DD5">
            <w:pPr>
              <w:jc w:val="right"/>
              <w:rPr>
                <w:rFonts w:ascii="Arial" w:hAnsi="Arial" w:cs="Arial"/>
                <w:color w:val="000000"/>
                <w:sz w:val="17"/>
                <w:szCs w:val="17"/>
              </w:rPr>
            </w:pPr>
            <w:r>
              <w:rPr>
                <w:rFonts w:ascii="Arial" w:hAnsi="Arial" w:cs="Arial"/>
                <w:color w:val="000000"/>
                <w:sz w:val="17"/>
                <w:szCs w:val="17"/>
              </w:rPr>
              <w:t>(22)</w:t>
            </w:r>
          </w:p>
        </w:tc>
        <w:tc>
          <w:tcPr>
            <w:tcW w:w="572" w:type="pct"/>
            <w:tcBorders>
              <w:top w:val="nil"/>
              <w:left w:val="nil"/>
              <w:right w:val="nil"/>
            </w:tcBorders>
            <w:vAlign w:val="bottom"/>
          </w:tcPr>
          <w:p w14:paraId="299CAD37" w14:textId="77777777" w:rsidR="00D8116B" w:rsidRPr="003D1614" w:rsidRDefault="00D8116B" w:rsidP="00422DD5">
            <w:pPr>
              <w:jc w:val="right"/>
              <w:rPr>
                <w:rFonts w:ascii="Arial" w:hAnsi="Arial" w:cs="Arial"/>
                <w:color w:val="000000"/>
                <w:sz w:val="17"/>
                <w:szCs w:val="17"/>
              </w:rPr>
            </w:pPr>
            <w:r>
              <w:rPr>
                <w:rFonts w:ascii="Arial" w:hAnsi="Arial" w:cs="Arial"/>
                <w:color w:val="000000"/>
                <w:sz w:val="17"/>
                <w:szCs w:val="17"/>
              </w:rPr>
              <w:t>-</w:t>
            </w:r>
          </w:p>
        </w:tc>
        <w:tc>
          <w:tcPr>
            <w:tcW w:w="644" w:type="pct"/>
            <w:tcBorders>
              <w:top w:val="nil"/>
              <w:left w:val="nil"/>
              <w:right w:val="nil"/>
            </w:tcBorders>
            <w:vAlign w:val="bottom"/>
          </w:tcPr>
          <w:p w14:paraId="7AADE773" w14:textId="77777777" w:rsidR="00D8116B" w:rsidRDefault="00D8116B" w:rsidP="00422DD5">
            <w:pPr>
              <w:jc w:val="right"/>
              <w:rPr>
                <w:rFonts w:ascii="Arial" w:hAnsi="Arial" w:cs="Arial"/>
                <w:b/>
                <w:bCs/>
                <w:color w:val="000000"/>
                <w:sz w:val="17"/>
                <w:szCs w:val="17"/>
              </w:rPr>
            </w:pPr>
            <w:r>
              <w:rPr>
                <w:rFonts w:ascii="Arial" w:hAnsi="Arial" w:cs="Arial"/>
                <w:b/>
                <w:bCs/>
                <w:color w:val="000000"/>
                <w:sz w:val="17"/>
                <w:szCs w:val="17"/>
              </w:rPr>
              <w:t>16</w:t>
            </w:r>
          </w:p>
        </w:tc>
        <w:tc>
          <w:tcPr>
            <w:tcW w:w="565" w:type="pct"/>
            <w:tcBorders>
              <w:top w:val="nil"/>
              <w:left w:val="nil"/>
              <w:right w:val="nil"/>
            </w:tcBorders>
            <w:vAlign w:val="bottom"/>
          </w:tcPr>
          <w:p w14:paraId="7C952A20" w14:textId="77777777" w:rsidR="00D8116B" w:rsidRDefault="00D8116B" w:rsidP="00422DD5">
            <w:pPr>
              <w:jc w:val="right"/>
              <w:rPr>
                <w:rFonts w:ascii="Arial" w:hAnsi="Arial" w:cs="Arial"/>
                <w:b/>
                <w:bCs/>
                <w:color w:val="000000"/>
                <w:sz w:val="17"/>
                <w:szCs w:val="17"/>
              </w:rPr>
            </w:pPr>
            <w:r>
              <w:rPr>
                <w:rFonts w:ascii="Arial" w:hAnsi="Arial" w:cs="Arial"/>
                <w:b/>
                <w:bCs/>
                <w:color w:val="000000"/>
                <w:sz w:val="17"/>
                <w:szCs w:val="17"/>
              </w:rPr>
              <w:t>16</w:t>
            </w:r>
          </w:p>
        </w:tc>
      </w:tr>
      <w:tr w:rsidR="00D8116B" w:rsidRPr="003D1614" w14:paraId="68BA809B" w14:textId="77777777" w:rsidTr="00422DD5">
        <w:trPr>
          <w:trHeight w:val="83"/>
        </w:trPr>
        <w:tc>
          <w:tcPr>
            <w:tcW w:w="1320" w:type="pct"/>
            <w:vAlign w:val="bottom"/>
          </w:tcPr>
          <w:p w14:paraId="588CB64D" w14:textId="77777777" w:rsidR="00D8116B" w:rsidRPr="003D1614" w:rsidRDefault="00D8116B" w:rsidP="00422DD5">
            <w:pPr>
              <w:tabs>
                <w:tab w:val="right" w:pos="1202"/>
              </w:tabs>
              <w:spacing w:line="140" w:lineRule="exact"/>
              <w:jc w:val="right"/>
              <w:outlineLvl w:val="0"/>
              <w:rPr>
                <w:rFonts w:ascii="Arial" w:hAnsi="Arial" w:cs="Arial"/>
                <w:iCs/>
                <w:color w:val="000000"/>
                <w:sz w:val="17"/>
                <w:szCs w:val="17"/>
              </w:rPr>
            </w:pPr>
          </w:p>
        </w:tc>
        <w:tc>
          <w:tcPr>
            <w:tcW w:w="625" w:type="pct"/>
            <w:tcBorders>
              <w:top w:val="single" w:sz="4" w:space="0" w:color="auto"/>
            </w:tcBorders>
            <w:vAlign w:val="bottom"/>
          </w:tcPr>
          <w:p w14:paraId="293A88C8"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702" w:type="pct"/>
            <w:tcBorders>
              <w:top w:val="single" w:sz="4" w:space="0" w:color="auto"/>
            </w:tcBorders>
            <w:vAlign w:val="bottom"/>
          </w:tcPr>
          <w:p w14:paraId="459E39AC"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62174D3B"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572" w:type="pct"/>
            <w:tcBorders>
              <w:top w:val="single" w:sz="4" w:space="0" w:color="auto"/>
            </w:tcBorders>
            <w:vAlign w:val="bottom"/>
          </w:tcPr>
          <w:p w14:paraId="32FAB0CB" w14:textId="77777777" w:rsidR="00D8116B" w:rsidRPr="003D1614" w:rsidRDefault="00D8116B" w:rsidP="00422DD5">
            <w:pPr>
              <w:keepNext/>
              <w:keepLines/>
              <w:tabs>
                <w:tab w:val="decimal" w:pos="1015"/>
                <w:tab w:val="decimal" w:pos="1202"/>
              </w:tabs>
              <w:spacing w:line="140" w:lineRule="exact"/>
              <w:jc w:val="right"/>
              <w:rPr>
                <w:rFonts w:ascii="Arial" w:hAnsi="Arial" w:cs="Arial"/>
                <w:color w:val="000000"/>
                <w:spacing w:val="-2"/>
                <w:position w:val="4"/>
                <w:sz w:val="17"/>
                <w:szCs w:val="17"/>
              </w:rPr>
            </w:pPr>
          </w:p>
        </w:tc>
        <w:tc>
          <w:tcPr>
            <w:tcW w:w="644" w:type="pct"/>
            <w:tcBorders>
              <w:top w:val="single" w:sz="4" w:space="0" w:color="auto"/>
            </w:tcBorders>
            <w:vAlign w:val="bottom"/>
          </w:tcPr>
          <w:p w14:paraId="565D25D9" w14:textId="77777777" w:rsidR="00D8116B" w:rsidRPr="003D1614" w:rsidRDefault="00D8116B" w:rsidP="00422DD5">
            <w:pPr>
              <w:keepNext/>
              <w:keepLines/>
              <w:tabs>
                <w:tab w:val="decimal" w:pos="1015"/>
                <w:tab w:val="decimal" w:pos="1202"/>
              </w:tabs>
              <w:spacing w:line="140" w:lineRule="exact"/>
              <w:jc w:val="right"/>
              <w:rPr>
                <w:rFonts w:ascii="Arial" w:hAnsi="Arial" w:cs="Arial"/>
                <w:b/>
                <w:color w:val="000000"/>
                <w:spacing w:val="-2"/>
                <w:position w:val="4"/>
                <w:sz w:val="17"/>
                <w:szCs w:val="17"/>
              </w:rPr>
            </w:pPr>
          </w:p>
        </w:tc>
        <w:tc>
          <w:tcPr>
            <w:tcW w:w="565" w:type="pct"/>
            <w:tcBorders>
              <w:top w:val="single" w:sz="4" w:space="0" w:color="auto"/>
            </w:tcBorders>
            <w:vAlign w:val="bottom"/>
          </w:tcPr>
          <w:p w14:paraId="4E81E852" w14:textId="77777777" w:rsidR="00D8116B" w:rsidRPr="003D1614" w:rsidRDefault="00D8116B" w:rsidP="00422DD5">
            <w:pPr>
              <w:keepNext/>
              <w:keepLines/>
              <w:tabs>
                <w:tab w:val="decimal" w:pos="1015"/>
                <w:tab w:val="decimal" w:pos="1202"/>
              </w:tabs>
              <w:spacing w:line="140" w:lineRule="exact"/>
              <w:jc w:val="right"/>
              <w:rPr>
                <w:rFonts w:ascii="Arial" w:hAnsi="Arial" w:cs="Arial"/>
                <w:b/>
                <w:color w:val="000000"/>
                <w:spacing w:val="-2"/>
                <w:position w:val="4"/>
                <w:sz w:val="17"/>
                <w:szCs w:val="17"/>
              </w:rPr>
            </w:pPr>
          </w:p>
        </w:tc>
      </w:tr>
      <w:tr w:rsidR="00D8116B" w:rsidRPr="003D1614" w14:paraId="25AF83F1" w14:textId="77777777" w:rsidTr="005D1219">
        <w:trPr>
          <w:trHeight w:val="395"/>
        </w:trPr>
        <w:tc>
          <w:tcPr>
            <w:tcW w:w="1320" w:type="pct"/>
            <w:vAlign w:val="bottom"/>
          </w:tcPr>
          <w:p w14:paraId="55E4ACF3" w14:textId="77777777" w:rsidR="00D8116B" w:rsidRPr="003D1614" w:rsidRDefault="00D8116B" w:rsidP="00422DD5">
            <w:pPr>
              <w:tabs>
                <w:tab w:val="right" w:pos="1202"/>
              </w:tabs>
              <w:spacing w:line="240" w:lineRule="exact"/>
              <w:outlineLvl w:val="0"/>
              <w:rPr>
                <w:rFonts w:ascii="Arial" w:hAnsi="Arial" w:cs="Arial"/>
                <w:iCs/>
                <w:color w:val="000000"/>
                <w:sz w:val="17"/>
                <w:szCs w:val="17"/>
              </w:rPr>
            </w:pPr>
            <w:r w:rsidRPr="003D1614">
              <w:rPr>
                <w:rFonts w:ascii="Arial" w:hAnsi="Arial" w:cs="Arial"/>
                <w:b/>
                <w:iCs/>
                <w:color w:val="000000"/>
                <w:sz w:val="17"/>
                <w:szCs w:val="17"/>
              </w:rPr>
              <w:t>Stanje 31. ožujka 202</w:t>
            </w:r>
            <w:r>
              <w:rPr>
                <w:rFonts w:ascii="Arial" w:hAnsi="Arial" w:cs="Arial"/>
                <w:b/>
                <w:iCs/>
                <w:color w:val="000000"/>
                <w:sz w:val="17"/>
                <w:szCs w:val="17"/>
              </w:rPr>
              <w:t>4</w:t>
            </w:r>
            <w:r w:rsidRPr="003D1614">
              <w:rPr>
                <w:rFonts w:ascii="Arial" w:hAnsi="Arial" w:cs="Arial"/>
                <w:b/>
                <w:iCs/>
                <w:color w:val="000000"/>
                <w:sz w:val="17"/>
                <w:szCs w:val="17"/>
              </w:rPr>
              <w:t xml:space="preserve">. </w:t>
            </w:r>
          </w:p>
        </w:tc>
        <w:tc>
          <w:tcPr>
            <w:tcW w:w="625" w:type="pct"/>
            <w:tcBorders>
              <w:top w:val="nil"/>
              <w:left w:val="nil"/>
              <w:bottom w:val="single" w:sz="12" w:space="0" w:color="auto"/>
              <w:right w:val="nil"/>
            </w:tcBorders>
            <w:vAlign w:val="bottom"/>
          </w:tcPr>
          <w:p w14:paraId="40CBBCAC" w14:textId="77777777" w:rsidR="00D8116B" w:rsidRPr="003D1614" w:rsidRDefault="00D8116B" w:rsidP="00422DD5">
            <w:pPr>
              <w:jc w:val="right"/>
              <w:rPr>
                <w:rFonts w:ascii="Arial" w:hAnsi="Arial" w:cs="Arial"/>
                <w:b/>
                <w:bCs/>
                <w:color w:val="000000"/>
                <w:sz w:val="17"/>
                <w:szCs w:val="17"/>
              </w:rPr>
            </w:pPr>
            <w:r w:rsidRPr="00A307BE">
              <w:rPr>
                <w:rFonts w:ascii="Arial" w:hAnsi="Arial" w:cs="Arial"/>
                <w:b/>
                <w:bCs/>
                <w:color w:val="000000"/>
                <w:sz w:val="17"/>
                <w:szCs w:val="17"/>
              </w:rPr>
              <w:t>7.663</w:t>
            </w:r>
          </w:p>
        </w:tc>
        <w:tc>
          <w:tcPr>
            <w:tcW w:w="702" w:type="pct"/>
            <w:tcBorders>
              <w:top w:val="nil"/>
              <w:left w:val="nil"/>
              <w:bottom w:val="single" w:sz="12" w:space="0" w:color="auto"/>
              <w:right w:val="nil"/>
            </w:tcBorders>
            <w:vAlign w:val="bottom"/>
          </w:tcPr>
          <w:p w14:paraId="6311D684" w14:textId="77777777" w:rsidR="00D8116B" w:rsidRPr="003D1614" w:rsidRDefault="00D8116B" w:rsidP="00422DD5">
            <w:pPr>
              <w:jc w:val="right"/>
              <w:rPr>
                <w:rFonts w:ascii="Arial" w:hAnsi="Arial" w:cs="Arial"/>
                <w:b/>
                <w:bCs/>
                <w:color w:val="000000"/>
                <w:sz w:val="17"/>
                <w:szCs w:val="17"/>
              </w:rPr>
            </w:pPr>
            <w:r w:rsidRPr="00A307BE">
              <w:rPr>
                <w:rFonts w:ascii="Arial" w:hAnsi="Arial" w:cs="Arial"/>
                <w:b/>
                <w:bCs/>
                <w:color w:val="000000"/>
                <w:sz w:val="17"/>
                <w:szCs w:val="17"/>
              </w:rPr>
              <w:t>791</w:t>
            </w:r>
          </w:p>
        </w:tc>
        <w:tc>
          <w:tcPr>
            <w:tcW w:w="572" w:type="pct"/>
            <w:tcBorders>
              <w:top w:val="nil"/>
              <w:left w:val="nil"/>
              <w:bottom w:val="single" w:sz="12" w:space="0" w:color="auto"/>
              <w:right w:val="nil"/>
            </w:tcBorders>
            <w:vAlign w:val="bottom"/>
          </w:tcPr>
          <w:p w14:paraId="3E5F8375" w14:textId="77777777" w:rsidR="00D8116B" w:rsidRPr="003D1614" w:rsidRDefault="00D8116B" w:rsidP="00422DD5">
            <w:pPr>
              <w:jc w:val="right"/>
              <w:rPr>
                <w:rFonts w:ascii="Arial" w:hAnsi="Arial" w:cs="Arial"/>
                <w:b/>
                <w:bCs/>
                <w:color w:val="000000"/>
                <w:sz w:val="17"/>
                <w:szCs w:val="17"/>
              </w:rPr>
            </w:pPr>
            <w:r>
              <w:rPr>
                <w:rFonts w:ascii="Arial" w:hAnsi="Arial" w:cs="Arial"/>
                <w:b/>
                <w:bCs/>
                <w:color w:val="000000"/>
                <w:sz w:val="17"/>
                <w:szCs w:val="17"/>
              </w:rPr>
              <w:t>(</w:t>
            </w:r>
            <w:r w:rsidRPr="00A307BE">
              <w:rPr>
                <w:rFonts w:ascii="Arial" w:hAnsi="Arial" w:cs="Arial"/>
                <w:b/>
                <w:bCs/>
                <w:color w:val="000000"/>
                <w:sz w:val="17"/>
                <w:szCs w:val="17"/>
              </w:rPr>
              <w:t>661</w:t>
            </w:r>
            <w:r>
              <w:rPr>
                <w:rFonts w:ascii="Arial" w:hAnsi="Arial" w:cs="Arial"/>
                <w:b/>
                <w:bCs/>
                <w:color w:val="000000"/>
                <w:sz w:val="17"/>
                <w:szCs w:val="17"/>
              </w:rPr>
              <w:t>)</w:t>
            </w:r>
          </w:p>
        </w:tc>
        <w:tc>
          <w:tcPr>
            <w:tcW w:w="572" w:type="pct"/>
            <w:tcBorders>
              <w:top w:val="nil"/>
              <w:left w:val="nil"/>
              <w:bottom w:val="single" w:sz="12" w:space="0" w:color="auto"/>
              <w:right w:val="nil"/>
            </w:tcBorders>
            <w:vAlign w:val="bottom"/>
          </w:tcPr>
          <w:p w14:paraId="714302DB" w14:textId="77777777" w:rsidR="00D8116B" w:rsidRPr="003D1614" w:rsidRDefault="00D8116B" w:rsidP="00422DD5">
            <w:pPr>
              <w:jc w:val="right"/>
              <w:rPr>
                <w:rFonts w:ascii="Arial" w:hAnsi="Arial" w:cs="Arial"/>
                <w:b/>
                <w:bCs/>
                <w:color w:val="000000"/>
                <w:sz w:val="17"/>
                <w:szCs w:val="17"/>
              </w:rPr>
            </w:pPr>
            <w:r>
              <w:rPr>
                <w:rFonts w:ascii="Arial" w:hAnsi="Arial" w:cs="Arial"/>
                <w:b/>
                <w:bCs/>
                <w:color w:val="000000"/>
                <w:sz w:val="17"/>
                <w:szCs w:val="17"/>
              </w:rPr>
              <w:t>10</w:t>
            </w:r>
          </w:p>
        </w:tc>
        <w:tc>
          <w:tcPr>
            <w:tcW w:w="644" w:type="pct"/>
            <w:tcBorders>
              <w:top w:val="nil"/>
              <w:left w:val="nil"/>
              <w:bottom w:val="single" w:sz="12" w:space="0" w:color="auto"/>
              <w:right w:val="nil"/>
            </w:tcBorders>
            <w:vAlign w:val="bottom"/>
          </w:tcPr>
          <w:p w14:paraId="32D18638" w14:textId="77777777" w:rsidR="00D8116B" w:rsidRPr="003D1614" w:rsidRDefault="00D8116B" w:rsidP="00422DD5">
            <w:pPr>
              <w:jc w:val="right"/>
              <w:rPr>
                <w:rFonts w:ascii="Arial" w:hAnsi="Arial" w:cs="Arial"/>
                <w:b/>
                <w:bCs/>
                <w:color w:val="000000"/>
                <w:sz w:val="17"/>
                <w:szCs w:val="17"/>
              </w:rPr>
            </w:pPr>
            <w:r w:rsidRPr="00A307BE">
              <w:rPr>
                <w:rFonts w:ascii="Arial" w:hAnsi="Arial" w:cs="Arial"/>
                <w:b/>
                <w:bCs/>
                <w:color w:val="000000"/>
                <w:sz w:val="17"/>
                <w:szCs w:val="17"/>
              </w:rPr>
              <w:t>7.803</w:t>
            </w:r>
          </w:p>
        </w:tc>
        <w:tc>
          <w:tcPr>
            <w:tcW w:w="565" w:type="pct"/>
            <w:tcBorders>
              <w:top w:val="nil"/>
              <w:left w:val="nil"/>
              <w:bottom w:val="single" w:sz="12" w:space="0" w:color="auto"/>
              <w:right w:val="nil"/>
            </w:tcBorders>
            <w:vAlign w:val="bottom"/>
          </w:tcPr>
          <w:p w14:paraId="2B16D329" w14:textId="77777777" w:rsidR="00D8116B" w:rsidRPr="003D1614" w:rsidRDefault="00D8116B" w:rsidP="00422DD5">
            <w:pPr>
              <w:jc w:val="right"/>
              <w:rPr>
                <w:rFonts w:ascii="Arial" w:hAnsi="Arial" w:cs="Arial"/>
                <w:b/>
                <w:bCs/>
                <w:color w:val="000000"/>
                <w:sz w:val="17"/>
                <w:szCs w:val="17"/>
              </w:rPr>
            </w:pPr>
            <w:r w:rsidRPr="00A307BE">
              <w:rPr>
                <w:rFonts w:ascii="Arial" w:hAnsi="Arial" w:cs="Arial"/>
                <w:b/>
                <w:bCs/>
                <w:color w:val="000000"/>
                <w:sz w:val="17"/>
                <w:szCs w:val="17"/>
              </w:rPr>
              <w:t>7.803</w:t>
            </w:r>
          </w:p>
        </w:tc>
      </w:tr>
    </w:tbl>
    <w:p w14:paraId="4EE35329" w14:textId="77777777" w:rsidR="0095724C" w:rsidRDefault="0095724C" w:rsidP="00DF6E3A">
      <w:pPr>
        <w:suppressAutoHyphens/>
        <w:autoSpaceDN w:val="0"/>
        <w:jc w:val="both"/>
        <w:rPr>
          <w:rFonts w:ascii="Arial" w:eastAsia="Calibri" w:hAnsi="Arial" w:cs="Arial"/>
          <w:color w:val="000000" w:themeColor="text1"/>
          <w:sz w:val="20"/>
          <w:szCs w:val="20"/>
        </w:rPr>
      </w:pPr>
    </w:p>
    <w:p w14:paraId="0F9AD4E2" w14:textId="77777777" w:rsidR="00B51FDB" w:rsidRDefault="00B51FDB" w:rsidP="00DF6E3A">
      <w:pPr>
        <w:suppressAutoHyphens/>
        <w:autoSpaceDN w:val="0"/>
        <w:jc w:val="both"/>
        <w:rPr>
          <w:rFonts w:ascii="Arial" w:eastAsia="Calibri" w:hAnsi="Arial" w:cs="Arial"/>
          <w:color w:val="000000" w:themeColor="text1"/>
          <w:sz w:val="20"/>
          <w:szCs w:val="20"/>
        </w:rPr>
      </w:pPr>
    </w:p>
    <w:p w14:paraId="2162CC86" w14:textId="77777777" w:rsidR="00B51FDB" w:rsidRDefault="00B51FDB" w:rsidP="00DF6E3A">
      <w:pPr>
        <w:suppressAutoHyphens/>
        <w:autoSpaceDN w:val="0"/>
        <w:jc w:val="both"/>
        <w:rPr>
          <w:rFonts w:ascii="Arial" w:eastAsia="Calibri" w:hAnsi="Arial" w:cs="Arial"/>
          <w:color w:val="000000" w:themeColor="text1"/>
          <w:sz w:val="20"/>
          <w:szCs w:val="20"/>
        </w:rPr>
      </w:pPr>
    </w:p>
    <w:p w14:paraId="316906B8" w14:textId="77777777" w:rsidR="00B51FDB" w:rsidRDefault="00B51FDB" w:rsidP="00DF6E3A">
      <w:pPr>
        <w:suppressAutoHyphens/>
        <w:autoSpaceDN w:val="0"/>
        <w:jc w:val="both"/>
        <w:rPr>
          <w:rFonts w:ascii="Arial" w:eastAsia="Calibri" w:hAnsi="Arial" w:cs="Arial"/>
          <w:color w:val="000000" w:themeColor="text1"/>
          <w:sz w:val="20"/>
          <w:szCs w:val="20"/>
        </w:rPr>
      </w:pPr>
    </w:p>
    <w:p w14:paraId="44DC5E9D" w14:textId="77777777" w:rsidR="00B51FDB" w:rsidRDefault="00B51FDB" w:rsidP="00DF6E3A">
      <w:pPr>
        <w:suppressAutoHyphens/>
        <w:autoSpaceDN w:val="0"/>
        <w:jc w:val="both"/>
        <w:rPr>
          <w:rFonts w:ascii="Arial" w:eastAsia="Calibri" w:hAnsi="Arial" w:cs="Arial"/>
          <w:color w:val="000000" w:themeColor="text1"/>
          <w:sz w:val="20"/>
          <w:szCs w:val="20"/>
        </w:rPr>
      </w:pPr>
    </w:p>
    <w:p w14:paraId="405C24B4" w14:textId="77777777" w:rsidR="00B51FDB" w:rsidRPr="003D1614" w:rsidRDefault="00B51FDB" w:rsidP="00DF6E3A">
      <w:pPr>
        <w:suppressAutoHyphens/>
        <w:autoSpaceDN w:val="0"/>
        <w:jc w:val="both"/>
        <w:rPr>
          <w:rFonts w:ascii="Arial" w:eastAsia="Calibri" w:hAnsi="Arial" w:cs="Arial"/>
          <w:color w:val="000000" w:themeColor="text1"/>
          <w:sz w:val="20"/>
          <w:szCs w:val="20"/>
        </w:rPr>
      </w:pPr>
    </w:p>
    <w:p w14:paraId="5C470A66" w14:textId="77777777" w:rsidR="00DF6E3A" w:rsidRPr="003D1614" w:rsidRDefault="00DF6E3A" w:rsidP="00DF6E3A">
      <w:pPr>
        <w:suppressAutoHyphens/>
        <w:autoSpaceDN w:val="0"/>
        <w:jc w:val="both"/>
        <w:rPr>
          <w:rFonts w:ascii="Arial" w:eastAsia="Calibri" w:hAnsi="Arial" w:cs="Arial"/>
          <w:color w:val="000000" w:themeColor="text1"/>
          <w:sz w:val="20"/>
          <w:szCs w:val="20"/>
        </w:rPr>
      </w:pPr>
    </w:p>
    <w:sectPr w:rsidR="00DF6E3A" w:rsidRPr="003D1614" w:rsidSect="003278AB">
      <w:headerReference w:type="default" r:id="rId40"/>
      <w:footerReference w:type="default" r:id="rId4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8EDC4" w14:textId="77777777" w:rsidR="009760D1" w:rsidRDefault="009760D1" w:rsidP="00B36151">
      <w:r>
        <w:separator/>
      </w:r>
    </w:p>
  </w:endnote>
  <w:endnote w:type="continuationSeparator" w:id="0">
    <w:p w14:paraId="137A0FE6" w14:textId="77777777" w:rsidR="009760D1" w:rsidRDefault="009760D1" w:rsidP="00B36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Unicode MS">
    <w:altName w:val="Yu Gothic"/>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397686"/>
      <w:docPartObj>
        <w:docPartGallery w:val="Page Numbers (Bottom of Page)"/>
        <w:docPartUnique/>
      </w:docPartObj>
    </w:sdtPr>
    <w:sdtEndPr>
      <w:rPr>
        <w:rFonts w:ascii="Arial" w:hAnsi="Arial" w:cs="Arial"/>
        <w:sz w:val="17"/>
        <w:szCs w:val="17"/>
      </w:rPr>
    </w:sdtEndPr>
    <w:sdtContent>
      <w:p w14:paraId="3640DF8E" w14:textId="163BD216" w:rsidR="004973A5" w:rsidRPr="00174255" w:rsidRDefault="004973A5" w:rsidP="00466021">
        <w:pPr>
          <w:pBdr>
            <w:top w:val="single" w:sz="4" w:space="1" w:color="auto"/>
          </w:pBdr>
          <w:tabs>
            <w:tab w:val="center" w:pos="4536"/>
            <w:tab w:val="right" w:pos="9072"/>
          </w:tabs>
          <w:ind w:right="-6"/>
          <w:rPr>
            <w:rFonts w:ascii="Arial" w:hAnsi="Arial" w:cs="Arial"/>
            <w:sz w:val="17"/>
            <w:szCs w:val="17"/>
          </w:rPr>
        </w:pPr>
        <w:r w:rsidRPr="00174255">
          <w:rPr>
            <w:rFonts w:ascii="Arial" w:hAnsi="Arial" w:cs="Arial"/>
            <w:sz w:val="17"/>
            <w:szCs w:val="17"/>
          </w:rPr>
          <w:fldChar w:fldCharType="begin"/>
        </w:r>
        <w:r w:rsidRPr="00174255">
          <w:rPr>
            <w:rFonts w:ascii="Arial" w:hAnsi="Arial" w:cs="Arial"/>
            <w:sz w:val="17"/>
            <w:szCs w:val="17"/>
          </w:rPr>
          <w:instrText>PAGE   \* MERGEFORMAT</w:instrText>
        </w:r>
        <w:r w:rsidRPr="00174255">
          <w:rPr>
            <w:rFonts w:ascii="Arial" w:hAnsi="Arial" w:cs="Arial"/>
            <w:sz w:val="17"/>
            <w:szCs w:val="17"/>
          </w:rPr>
          <w:fldChar w:fldCharType="separate"/>
        </w:r>
        <w:r w:rsidRPr="00174255">
          <w:rPr>
            <w:rFonts w:ascii="Arial" w:hAnsi="Arial" w:cs="Arial"/>
            <w:sz w:val="17"/>
            <w:szCs w:val="17"/>
            <w:lang w:val="en-GB"/>
          </w:rPr>
          <w:t>2</w:t>
        </w:r>
        <w:r w:rsidRPr="00174255">
          <w:rPr>
            <w:rFonts w:ascii="Arial" w:hAnsi="Arial" w:cs="Arial"/>
            <w:sz w:val="17"/>
            <w:szCs w:val="17"/>
          </w:rPr>
          <w:fldChar w:fldCharType="end"/>
        </w:r>
        <w:r w:rsidR="002E180A" w:rsidRPr="00174255">
          <w:rPr>
            <w:rFonts w:ascii="Arial" w:hAnsi="Arial" w:cs="Arial"/>
            <w:sz w:val="17"/>
            <w:szCs w:val="17"/>
          </w:rPr>
          <w:t xml:space="preserve">  </w:t>
        </w:r>
        <w:r w:rsidR="002E180A" w:rsidRPr="00174255">
          <w:rPr>
            <w:rFonts w:ascii="Arial" w:eastAsia="Calibri" w:hAnsi="Arial" w:cs="Arial"/>
            <w:sz w:val="17"/>
            <w:szCs w:val="17"/>
            <w:lang w:val="pl-PL"/>
          </w:rPr>
          <w:t>Hrvatska banka za obnovu i razvitak</w:t>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C523A" w14:textId="77777777" w:rsidR="0090056A" w:rsidRPr="0038483C" w:rsidRDefault="0090056A" w:rsidP="00D17EE8">
    <w:pPr>
      <w:pStyle w:val="Footer"/>
      <w:framePr w:wrap="auto" w:vAnchor="text" w:hAnchor="page" w:x="10756" w:y="204"/>
      <w:rPr>
        <w:rStyle w:val="PageNumber"/>
      </w:rPr>
    </w:pPr>
  </w:p>
  <w:p w14:paraId="622B74AD" w14:textId="7F1FBA83" w:rsidR="0090056A" w:rsidRPr="00C30FC3" w:rsidRDefault="0090056A" w:rsidP="00D17EE8">
    <w:pPr>
      <w:pStyle w:val="Footer"/>
      <w:pBdr>
        <w:top w:val="single" w:sz="4" w:space="1" w:color="auto"/>
      </w:pBdr>
      <w:tabs>
        <w:tab w:val="left" w:pos="8916"/>
      </w:tabs>
      <w:ind w:right="4"/>
      <w:rPr>
        <w:rStyle w:val="PageNumber"/>
        <w:rFonts w:ascii="Arial" w:hAnsi="Arial" w:cs="Arial"/>
        <w:sz w:val="17"/>
        <w:szCs w:val="17"/>
        <w:lang w:val="pl-PL"/>
      </w:rPr>
    </w:pPr>
    <w:r>
      <w:rPr>
        <w:rStyle w:val="PageNumber"/>
        <w:rFonts w:ascii="Arial" w:hAnsi="Arial" w:cs="Arial"/>
        <w:sz w:val="17"/>
        <w:szCs w:val="17"/>
        <w:lang w:val="pl-PL"/>
      </w:rPr>
      <w:t>118</w:t>
    </w:r>
    <w:r w:rsidRPr="00C30FC3">
      <w:rPr>
        <w:rStyle w:val="PageNumber"/>
        <w:rFonts w:ascii="Arial" w:hAnsi="Arial" w:cs="Arial"/>
        <w:sz w:val="17"/>
        <w:szCs w:val="17"/>
        <w:lang w:val="pl-PL"/>
      </w:rPr>
      <w:t xml:space="preserve">  Hrvatska banka za obnovu i razvitak</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4AD56" w14:textId="77777777" w:rsidR="0090056A" w:rsidRPr="0038483C" w:rsidRDefault="0090056A" w:rsidP="00D17EE8">
    <w:pPr>
      <w:pStyle w:val="Footer"/>
      <w:framePr w:wrap="auto" w:vAnchor="text" w:hAnchor="page" w:x="10756" w:y="204"/>
      <w:rPr>
        <w:rStyle w:val="PageNumber"/>
      </w:rPr>
    </w:pPr>
  </w:p>
  <w:p w14:paraId="60CA7423" w14:textId="4DAD24E4" w:rsidR="0090056A" w:rsidRPr="00C30FC3" w:rsidRDefault="0090056A" w:rsidP="00D17EE8">
    <w:pPr>
      <w:pStyle w:val="Footer"/>
      <w:pBdr>
        <w:top w:val="single" w:sz="4" w:space="1" w:color="auto"/>
      </w:pBdr>
      <w:tabs>
        <w:tab w:val="left" w:pos="8916"/>
      </w:tabs>
      <w:ind w:right="4"/>
      <w:rPr>
        <w:rStyle w:val="PageNumber"/>
        <w:rFonts w:ascii="Arial" w:hAnsi="Arial" w:cs="Arial"/>
        <w:sz w:val="17"/>
        <w:szCs w:val="17"/>
        <w:lang w:val="pl-PL"/>
      </w:rPr>
    </w:pPr>
    <w:r>
      <w:rPr>
        <w:rStyle w:val="PageNumber"/>
        <w:rFonts w:ascii="Arial" w:hAnsi="Arial" w:cs="Arial"/>
        <w:sz w:val="17"/>
        <w:szCs w:val="17"/>
        <w:lang w:val="pl-PL"/>
      </w:rPr>
      <w:t>119</w:t>
    </w:r>
    <w:r w:rsidRPr="00C30FC3">
      <w:rPr>
        <w:rStyle w:val="PageNumber"/>
        <w:rFonts w:ascii="Arial" w:hAnsi="Arial" w:cs="Arial"/>
        <w:sz w:val="17"/>
        <w:szCs w:val="17"/>
        <w:lang w:val="pl-PL"/>
      </w:rPr>
      <w:t xml:space="preserve">  Hrvatska banka za obnovu i razvitak</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BE9A5" w14:textId="77777777" w:rsidR="0090056A" w:rsidRPr="0038483C" w:rsidRDefault="0090056A" w:rsidP="00D17EE8">
    <w:pPr>
      <w:pStyle w:val="Footer"/>
      <w:framePr w:wrap="auto" w:vAnchor="text" w:hAnchor="page" w:x="10756" w:y="204"/>
      <w:rPr>
        <w:rStyle w:val="PageNumber"/>
      </w:rPr>
    </w:pPr>
  </w:p>
  <w:p w14:paraId="6CBF45F7" w14:textId="5B7B8904" w:rsidR="0090056A" w:rsidRPr="00C30FC3" w:rsidRDefault="0090056A" w:rsidP="00D17EE8">
    <w:pPr>
      <w:pStyle w:val="Footer"/>
      <w:pBdr>
        <w:top w:val="single" w:sz="4" w:space="1" w:color="auto"/>
      </w:pBdr>
      <w:tabs>
        <w:tab w:val="left" w:pos="8916"/>
      </w:tabs>
      <w:ind w:right="4"/>
      <w:rPr>
        <w:rStyle w:val="PageNumber"/>
        <w:rFonts w:ascii="Arial" w:hAnsi="Arial" w:cs="Arial"/>
        <w:sz w:val="17"/>
        <w:szCs w:val="17"/>
        <w:lang w:val="pl-PL"/>
      </w:rPr>
    </w:pPr>
    <w:r>
      <w:rPr>
        <w:rStyle w:val="PageNumber"/>
        <w:rFonts w:ascii="Arial" w:hAnsi="Arial" w:cs="Arial"/>
        <w:sz w:val="17"/>
        <w:szCs w:val="17"/>
        <w:lang w:val="pl-PL"/>
      </w:rPr>
      <w:t>120</w:t>
    </w:r>
    <w:r w:rsidRPr="00C30FC3">
      <w:rPr>
        <w:rStyle w:val="PageNumber"/>
        <w:rFonts w:ascii="Arial" w:hAnsi="Arial" w:cs="Arial"/>
        <w:sz w:val="17"/>
        <w:szCs w:val="17"/>
        <w:lang w:val="pl-PL"/>
      </w:rPr>
      <w:t xml:space="preserve">  Hrvatska banka za obnovu i razvitak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72B4C" w14:textId="77777777" w:rsidR="005D1254" w:rsidRPr="0038483C" w:rsidRDefault="005D1254" w:rsidP="00D17EE8">
    <w:pPr>
      <w:pStyle w:val="Footer"/>
      <w:framePr w:wrap="auto" w:vAnchor="text" w:hAnchor="page" w:x="10756" w:y="204"/>
      <w:rPr>
        <w:rStyle w:val="PageNumber"/>
      </w:rPr>
    </w:pPr>
  </w:p>
  <w:p w14:paraId="5754CEF6" w14:textId="048F7FAF" w:rsidR="005D1254" w:rsidRPr="00C30FC3" w:rsidRDefault="005D1254" w:rsidP="00D17EE8">
    <w:pPr>
      <w:pStyle w:val="Footer"/>
      <w:pBdr>
        <w:top w:val="single" w:sz="4" w:space="1" w:color="auto"/>
      </w:pBdr>
      <w:tabs>
        <w:tab w:val="left" w:pos="8916"/>
      </w:tabs>
      <w:ind w:right="4"/>
      <w:rPr>
        <w:rStyle w:val="PageNumber"/>
        <w:rFonts w:ascii="Arial" w:hAnsi="Arial" w:cs="Arial"/>
        <w:sz w:val="17"/>
        <w:szCs w:val="17"/>
        <w:lang w:val="pl-PL"/>
      </w:rPr>
    </w:pPr>
    <w:r>
      <w:rPr>
        <w:rStyle w:val="PageNumber"/>
        <w:rFonts w:ascii="Arial" w:hAnsi="Arial" w:cs="Arial"/>
        <w:sz w:val="17"/>
        <w:szCs w:val="17"/>
        <w:lang w:val="pl-PL"/>
      </w:rPr>
      <w:t>1</w:t>
    </w:r>
    <w:r w:rsidR="0057619A">
      <w:rPr>
        <w:rStyle w:val="PageNumber"/>
        <w:rFonts w:ascii="Arial" w:hAnsi="Arial" w:cs="Arial"/>
        <w:sz w:val="17"/>
        <w:szCs w:val="17"/>
        <w:lang w:val="pl-PL"/>
      </w:rPr>
      <w:t>10</w:t>
    </w:r>
    <w:r w:rsidRPr="00C30FC3">
      <w:rPr>
        <w:rStyle w:val="PageNumber"/>
        <w:rFonts w:ascii="Arial" w:hAnsi="Arial" w:cs="Arial"/>
        <w:sz w:val="17"/>
        <w:szCs w:val="17"/>
        <w:lang w:val="pl-PL"/>
      </w:rPr>
      <w:t xml:space="preserve">  Hrvatska banka za obnovu i razvitak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1FCC7" w14:textId="77777777" w:rsidR="0057619A" w:rsidRPr="0038483C" w:rsidRDefault="0057619A" w:rsidP="00D17EE8">
    <w:pPr>
      <w:pStyle w:val="Footer"/>
      <w:framePr w:wrap="auto" w:vAnchor="text" w:hAnchor="page" w:x="10756" w:y="204"/>
      <w:rPr>
        <w:rStyle w:val="PageNumber"/>
      </w:rPr>
    </w:pPr>
  </w:p>
  <w:p w14:paraId="3ACB526F" w14:textId="61544D5A" w:rsidR="0057619A" w:rsidRPr="00C30FC3" w:rsidRDefault="0057619A" w:rsidP="00D17EE8">
    <w:pPr>
      <w:pStyle w:val="Footer"/>
      <w:pBdr>
        <w:top w:val="single" w:sz="4" w:space="1" w:color="auto"/>
      </w:pBdr>
      <w:tabs>
        <w:tab w:val="left" w:pos="8916"/>
      </w:tabs>
      <w:ind w:right="4"/>
      <w:rPr>
        <w:rStyle w:val="PageNumber"/>
        <w:rFonts w:ascii="Arial" w:hAnsi="Arial" w:cs="Arial"/>
        <w:sz w:val="17"/>
        <w:szCs w:val="17"/>
        <w:lang w:val="pl-PL"/>
      </w:rPr>
    </w:pPr>
    <w:r>
      <w:rPr>
        <w:rStyle w:val="PageNumber"/>
        <w:rFonts w:ascii="Arial" w:hAnsi="Arial" w:cs="Arial"/>
        <w:sz w:val="17"/>
        <w:szCs w:val="17"/>
        <w:lang w:val="pl-PL"/>
      </w:rPr>
      <w:t>111</w:t>
    </w:r>
    <w:r w:rsidRPr="00C30FC3">
      <w:rPr>
        <w:rStyle w:val="PageNumber"/>
        <w:rFonts w:ascii="Arial" w:hAnsi="Arial" w:cs="Arial"/>
        <w:sz w:val="17"/>
        <w:szCs w:val="17"/>
        <w:lang w:val="pl-PL"/>
      </w:rPr>
      <w:t xml:space="preserve">  Hrvatska banka za obnovu i razvitak</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368B" w14:textId="77777777" w:rsidR="0057619A" w:rsidRPr="0038483C" w:rsidRDefault="0057619A" w:rsidP="00D17EE8">
    <w:pPr>
      <w:pStyle w:val="Footer"/>
      <w:framePr w:wrap="auto" w:vAnchor="text" w:hAnchor="page" w:x="10756" w:y="204"/>
      <w:rPr>
        <w:rStyle w:val="PageNumber"/>
      </w:rPr>
    </w:pPr>
  </w:p>
  <w:p w14:paraId="31A267AF" w14:textId="3726370A" w:rsidR="0057619A" w:rsidRPr="00C30FC3" w:rsidRDefault="0057619A" w:rsidP="00D17EE8">
    <w:pPr>
      <w:pStyle w:val="Footer"/>
      <w:pBdr>
        <w:top w:val="single" w:sz="4" w:space="1" w:color="auto"/>
      </w:pBdr>
      <w:tabs>
        <w:tab w:val="left" w:pos="8916"/>
      </w:tabs>
      <w:ind w:right="4"/>
      <w:rPr>
        <w:rStyle w:val="PageNumber"/>
        <w:rFonts w:ascii="Arial" w:hAnsi="Arial" w:cs="Arial"/>
        <w:sz w:val="17"/>
        <w:szCs w:val="17"/>
        <w:lang w:val="pl-PL"/>
      </w:rPr>
    </w:pPr>
    <w:r>
      <w:rPr>
        <w:rStyle w:val="PageNumber"/>
        <w:rFonts w:ascii="Arial" w:hAnsi="Arial" w:cs="Arial"/>
        <w:sz w:val="17"/>
        <w:szCs w:val="17"/>
        <w:lang w:val="pl-PL"/>
      </w:rPr>
      <w:t>112</w:t>
    </w:r>
    <w:r w:rsidRPr="00C30FC3">
      <w:rPr>
        <w:rStyle w:val="PageNumber"/>
        <w:rFonts w:ascii="Arial" w:hAnsi="Arial" w:cs="Arial"/>
        <w:sz w:val="17"/>
        <w:szCs w:val="17"/>
        <w:lang w:val="pl-PL"/>
      </w:rPr>
      <w:t xml:space="preserve">  Hrvatska banka za obnovu i razvitak</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01E2A" w14:textId="77777777" w:rsidR="0057619A" w:rsidRPr="0038483C" w:rsidRDefault="0057619A" w:rsidP="00D17EE8">
    <w:pPr>
      <w:pStyle w:val="Footer"/>
      <w:framePr w:wrap="auto" w:vAnchor="text" w:hAnchor="page" w:x="10756" w:y="204"/>
      <w:rPr>
        <w:rStyle w:val="PageNumber"/>
      </w:rPr>
    </w:pPr>
  </w:p>
  <w:p w14:paraId="38F1E988" w14:textId="54E8A414" w:rsidR="0057619A" w:rsidRPr="00C30FC3" w:rsidRDefault="0057619A" w:rsidP="00D17EE8">
    <w:pPr>
      <w:pStyle w:val="Footer"/>
      <w:pBdr>
        <w:top w:val="single" w:sz="4" w:space="1" w:color="auto"/>
      </w:pBdr>
      <w:tabs>
        <w:tab w:val="left" w:pos="8916"/>
      </w:tabs>
      <w:ind w:right="4"/>
      <w:rPr>
        <w:rStyle w:val="PageNumber"/>
        <w:rFonts w:ascii="Arial" w:hAnsi="Arial" w:cs="Arial"/>
        <w:sz w:val="17"/>
        <w:szCs w:val="17"/>
        <w:lang w:val="pl-PL"/>
      </w:rPr>
    </w:pPr>
    <w:r>
      <w:rPr>
        <w:rStyle w:val="PageNumber"/>
        <w:rFonts w:ascii="Arial" w:hAnsi="Arial" w:cs="Arial"/>
        <w:sz w:val="17"/>
        <w:szCs w:val="17"/>
        <w:lang w:val="pl-PL"/>
      </w:rPr>
      <w:t>113</w:t>
    </w:r>
    <w:r w:rsidRPr="00C30FC3">
      <w:rPr>
        <w:rStyle w:val="PageNumber"/>
        <w:rFonts w:ascii="Arial" w:hAnsi="Arial" w:cs="Arial"/>
        <w:sz w:val="17"/>
        <w:szCs w:val="17"/>
        <w:lang w:val="pl-PL"/>
      </w:rPr>
      <w:t xml:space="preserve">  Hrvatska banka za obnovu i razvitak</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B4D1D" w14:textId="77777777" w:rsidR="0057619A" w:rsidRPr="0038483C" w:rsidRDefault="0057619A" w:rsidP="00D17EE8">
    <w:pPr>
      <w:pStyle w:val="Footer"/>
      <w:framePr w:wrap="auto" w:vAnchor="text" w:hAnchor="page" w:x="10756" w:y="204"/>
      <w:rPr>
        <w:rStyle w:val="PageNumber"/>
      </w:rPr>
    </w:pPr>
  </w:p>
  <w:p w14:paraId="20AA2B00" w14:textId="7269CEA9" w:rsidR="0057619A" w:rsidRPr="00C30FC3" w:rsidRDefault="0057619A" w:rsidP="00D17EE8">
    <w:pPr>
      <w:pStyle w:val="Footer"/>
      <w:pBdr>
        <w:top w:val="single" w:sz="4" w:space="1" w:color="auto"/>
      </w:pBdr>
      <w:tabs>
        <w:tab w:val="left" w:pos="8916"/>
      </w:tabs>
      <w:ind w:right="4"/>
      <w:rPr>
        <w:rStyle w:val="PageNumber"/>
        <w:rFonts w:ascii="Arial" w:hAnsi="Arial" w:cs="Arial"/>
        <w:sz w:val="17"/>
        <w:szCs w:val="17"/>
        <w:lang w:val="pl-PL"/>
      </w:rPr>
    </w:pPr>
    <w:r>
      <w:rPr>
        <w:rStyle w:val="PageNumber"/>
        <w:rFonts w:ascii="Arial" w:hAnsi="Arial" w:cs="Arial"/>
        <w:sz w:val="17"/>
        <w:szCs w:val="17"/>
        <w:lang w:val="pl-PL"/>
      </w:rPr>
      <w:t>114</w:t>
    </w:r>
    <w:r w:rsidRPr="00C30FC3">
      <w:rPr>
        <w:rStyle w:val="PageNumber"/>
        <w:rFonts w:ascii="Arial" w:hAnsi="Arial" w:cs="Arial"/>
        <w:sz w:val="17"/>
        <w:szCs w:val="17"/>
        <w:lang w:val="pl-PL"/>
      </w:rPr>
      <w:t xml:space="preserve">  Hrvatska banka za obnovu i razvitak</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26D49" w14:textId="77777777" w:rsidR="0090056A" w:rsidRPr="0038483C" w:rsidRDefault="0090056A" w:rsidP="00D17EE8">
    <w:pPr>
      <w:pStyle w:val="Footer"/>
      <w:framePr w:wrap="auto" w:vAnchor="text" w:hAnchor="page" w:x="10756" w:y="204"/>
      <w:rPr>
        <w:rStyle w:val="PageNumber"/>
      </w:rPr>
    </w:pPr>
  </w:p>
  <w:p w14:paraId="4C978CF1" w14:textId="412E9FA0" w:rsidR="0090056A" w:rsidRPr="00C30FC3" w:rsidRDefault="0090056A" w:rsidP="00D17EE8">
    <w:pPr>
      <w:pStyle w:val="Footer"/>
      <w:pBdr>
        <w:top w:val="single" w:sz="4" w:space="1" w:color="auto"/>
      </w:pBdr>
      <w:tabs>
        <w:tab w:val="left" w:pos="8916"/>
      </w:tabs>
      <w:ind w:right="4"/>
      <w:rPr>
        <w:rStyle w:val="PageNumber"/>
        <w:rFonts w:ascii="Arial" w:hAnsi="Arial" w:cs="Arial"/>
        <w:sz w:val="17"/>
        <w:szCs w:val="17"/>
        <w:lang w:val="pl-PL"/>
      </w:rPr>
    </w:pPr>
    <w:r>
      <w:rPr>
        <w:rStyle w:val="PageNumber"/>
        <w:rFonts w:ascii="Arial" w:hAnsi="Arial" w:cs="Arial"/>
        <w:sz w:val="17"/>
        <w:szCs w:val="17"/>
        <w:lang w:val="pl-PL"/>
      </w:rPr>
      <w:t>115</w:t>
    </w:r>
    <w:r w:rsidRPr="00C30FC3">
      <w:rPr>
        <w:rStyle w:val="PageNumber"/>
        <w:rFonts w:ascii="Arial" w:hAnsi="Arial" w:cs="Arial"/>
        <w:sz w:val="17"/>
        <w:szCs w:val="17"/>
        <w:lang w:val="pl-PL"/>
      </w:rPr>
      <w:t xml:space="preserve">  Hrvatska banka za obnovu i razvitak</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ED695" w14:textId="77777777" w:rsidR="0090056A" w:rsidRPr="0038483C" w:rsidRDefault="0090056A" w:rsidP="00D17EE8">
    <w:pPr>
      <w:pStyle w:val="Footer"/>
      <w:framePr w:wrap="auto" w:vAnchor="text" w:hAnchor="page" w:x="10756" w:y="204"/>
      <w:rPr>
        <w:rStyle w:val="PageNumber"/>
      </w:rPr>
    </w:pPr>
  </w:p>
  <w:p w14:paraId="77FAE0BA" w14:textId="2B6C49BB" w:rsidR="0090056A" w:rsidRPr="00C30FC3" w:rsidRDefault="0090056A" w:rsidP="00D17EE8">
    <w:pPr>
      <w:pStyle w:val="Footer"/>
      <w:pBdr>
        <w:top w:val="single" w:sz="4" w:space="1" w:color="auto"/>
      </w:pBdr>
      <w:tabs>
        <w:tab w:val="left" w:pos="8916"/>
      </w:tabs>
      <w:ind w:right="4"/>
      <w:rPr>
        <w:rStyle w:val="PageNumber"/>
        <w:rFonts w:ascii="Arial" w:hAnsi="Arial" w:cs="Arial"/>
        <w:sz w:val="17"/>
        <w:szCs w:val="17"/>
        <w:lang w:val="pl-PL"/>
      </w:rPr>
    </w:pPr>
    <w:r>
      <w:rPr>
        <w:rStyle w:val="PageNumber"/>
        <w:rFonts w:ascii="Arial" w:hAnsi="Arial" w:cs="Arial"/>
        <w:sz w:val="17"/>
        <w:szCs w:val="17"/>
        <w:lang w:val="pl-PL"/>
      </w:rPr>
      <w:t>116</w:t>
    </w:r>
    <w:r w:rsidRPr="00C30FC3">
      <w:rPr>
        <w:rStyle w:val="PageNumber"/>
        <w:rFonts w:ascii="Arial" w:hAnsi="Arial" w:cs="Arial"/>
        <w:sz w:val="17"/>
        <w:szCs w:val="17"/>
        <w:lang w:val="pl-PL"/>
      </w:rPr>
      <w:t xml:space="preserve">  Hrvatska banka za obnovu i razvitak</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AA115" w14:textId="77777777" w:rsidR="0090056A" w:rsidRPr="0038483C" w:rsidRDefault="0090056A" w:rsidP="00D17EE8">
    <w:pPr>
      <w:pStyle w:val="Footer"/>
      <w:framePr w:wrap="auto" w:vAnchor="text" w:hAnchor="page" w:x="10756" w:y="204"/>
      <w:rPr>
        <w:rStyle w:val="PageNumber"/>
      </w:rPr>
    </w:pPr>
  </w:p>
  <w:p w14:paraId="3BA28F80" w14:textId="03DDE176" w:rsidR="0090056A" w:rsidRPr="00C30FC3" w:rsidRDefault="0090056A" w:rsidP="00D17EE8">
    <w:pPr>
      <w:pStyle w:val="Footer"/>
      <w:pBdr>
        <w:top w:val="single" w:sz="4" w:space="1" w:color="auto"/>
      </w:pBdr>
      <w:tabs>
        <w:tab w:val="left" w:pos="8916"/>
      </w:tabs>
      <w:ind w:right="4"/>
      <w:rPr>
        <w:rStyle w:val="PageNumber"/>
        <w:rFonts w:ascii="Arial" w:hAnsi="Arial" w:cs="Arial"/>
        <w:sz w:val="17"/>
        <w:szCs w:val="17"/>
        <w:lang w:val="pl-PL"/>
      </w:rPr>
    </w:pPr>
    <w:r>
      <w:rPr>
        <w:rStyle w:val="PageNumber"/>
        <w:rFonts w:ascii="Arial" w:hAnsi="Arial" w:cs="Arial"/>
        <w:sz w:val="17"/>
        <w:szCs w:val="17"/>
        <w:lang w:val="pl-PL"/>
      </w:rPr>
      <w:t>117</w:t>
    </w:r>
    <w:r w:rsidRPr="00C30FC3">
      <w:rPr>
        <w:rStyle w:val="PageNumber"/>
        <w:rFonts w:ascii="Arial" w:hAnsi="Arial" w:cs="Arial"/>
        <w:sz w:val="17"/>
        <w:szCs w:val="17"/>
        <w:lang w:val="pl-PL"/>
      </w:rPr>
      <w:t xml:space="preserve">  Hrvatska banka za obnovu i razvitak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55D0D" w14:textId="77777777" w:rsidR="009760D1" w:rsidRDefault="009760D1" w:rsidP="00B36151">
      <w:r>
        <w:separator/>
      </w:r>
    </w:p>
  </w:footnote>
  <w:footnote w:type="continuationSeparator" w:id="0">
    <w:p w14:paraId="60384C16" w14:textId="77777777" w:rsidR="009760D1" w:rsidRDefault="009760D1" w:rsidP="00B36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FB1C" w14:textId="77777777" w:rsidR="00A56428" w:rsidRDefault="00A56428" w:rsidP="00A56428">
    <w:pPr>
      <w:tabs>
        <w:tab w:val="left" w:pos="3780"/>
      </w:tabs>
    </w:pPr>
    <w:r>
      <w:tab/>
    </w:r>
  </w:p>
  <w:p w14:paraId="0AE0206A" w14:textId="77777777" w:rsidR="00A56428" w:rsidRPr="00096690" w:rsidRDefault="00A56428" w:rsidP="003757A3">
    <w:pPr>
      <w:pBdr>
        <w:bottom w:val="single" w:sz="4" w:space="1" w:color="auto"/>
      </w:pBdr>
      <w:spacing w:line="301" w:lineRule="atLeast"/>
      <w:ind w:right="4"/>
      <w:rPr>
        <w:rFonts w:ascii="Arial" w:eastAsia="Times New Roman" w:hAnsi="Arial" w:cs="Arial"/>
        <w:sz w:val="24"/>
        <w:szCs w:val="24"/>
      </w:rPr>
    </w:pPr>
    <w:r w:rsidRPr="001A5E0D">
      <w:rPr>
        <w:rFonts w:ascii="Arial" w:eastAsia="Times New Roman" w:hAnsi="Arial" w:cs="Arial"/>
        <w:sz w:val="24"/>
        <w:szCs w:val="24"/>
      </w:rPr>
      <w:t xml:space="preserve">Sadržaj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0FD31" w14:textId="77777777" w:rsidR="00764509" w:rsidRPr="00764509" w:rsidRDefault="00764509" w:rsidP="00295417">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Odvojeni financijski izvještaji Banke</w:t>
    </w:r>
  </w:p>
  <w:p w14:paraId="59C8E1DB" w14:textId="77777777" w:rsidR="00764509" w:rsidRPr="00764509" w:rsidRDefault="00764509" w:rsidP="00764509">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 xml:space="preserve">Izvještaj o financijskom položaju </w:t>
    </w:r>
  </w:p>
  <w:p w14:paraId="0A8D797C" w14:textId="77777777" w:rsidR="00764509" w:rsidRPr="00764509" w:rsidRDefault="00764509" w:rsidP="00764509">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 xml:space="preserve">na dan </w:t>
    </w:r>
  </w:p>
  <w:p w14:paraId="15D4FEF9" w14:textId="6E6CDF11" w:rsidR="00764509" w:rsidRPr="00192670" w:rsidRDefault="00764509"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A266F" w14:textId="77777777" w:rsidR="00764509" w:rsidRPr="00764509" w:rsidRDefault="00764509" w:rsidP="00295417">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Odvojeni financijski izvještaji Banke</w:t>
    </w:r>
  </w:p>
  <w:p w14:paraId="21C06046" w14:textId="77777777" w:rsidR="00764509" w:rsidRPr="00764509" w:rsidRDefault="00764509" w:rsidP="00764509">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 xml:space="preserve">Izvještaj o novčanim tokovima </w:t>
    </w:r>
  </w:p>
  <w:p w14:paraId="6C3A243C" w14:textId="77777777" w:rsidR="00764509" w:rsidRPr="00764509" w:rsidRDefault="00764509" w:rsidP="00764509">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 xml:space="preserve">za razdoblje od 1.1. do 31.3. </w:t>
    </w:r>
  </w:p>
  <w:p w14:paraId="22FD7627" w14:textId="7DD8FB9E" w:rsidR="00764509" w:rsidRPr="00192670" w:rsidRDefault="00764509"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4B7D2" w14:textId="77777777" w:rsidR="003E2F5E" w:rsidRPr="001A5E0D" w:rsidRDefault="003E2F5E" w:rsidP="003E2F5E">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Odvojeni financijski izvještaji Banke</w:t>
    </w:r>
  </w:p>
  <w:p w14:paraId="7E3D4B16" w14:textId="7C4D7566" w:rsidR="00C720EB" w:rsidRPr="001A5E0D" w:rsidRDefault="00C720EB" w:rsidP="003E2F5E">
    <w:pPr>
      <w:pBdr>
        <w:bottom w:val="single" w:sz="4" w:space="1" w:color="auto"/>
      </w:pBdr>
      <w:rPr>
        <w:rFonts w:ascii="Arial" w:eastAsia="Times New Roman" w:hAnsi="Arial" w:cs="Arial"/>
        <w:sz w:val="24"/>
        <w:szCs w:val="24"/>
      </w:rPr>
    </w:pPr>
    <w:r w:rsidRPr="00C720EB">
      <w:rPr>
        <w:rFonts w:ascii="Arial" w:eastAsia="Times New Roman" w:hAnsi="Arial" w:cs="Arial"/>
        <w:sz w:val="24"/>
        <w:szCs w:val="24"/>
      </w:rPr>
      <w:t>Izvještaj o promjenama na kapitalu</w:t>
    </w:r>
    <w:r w:rsidRPr="00C720EB" w:rsidDel="00C720EB">
      <w:rPr>
        <w:rFonts w:ascii="Arial" w:eastAsia="Times New Roman" w:hAnsi="Arial" w:cs="Arial"/>
        <w:sz w:val="24"/>
        <w:szCs w:val="24"/>
      </w:rPr>
      <w:t xml:space="preserve"> </w:t>
    </w:r>
  </w:p>
  <w:p w14:paraId="545C6E60" w14:textId="5A4E7B3E" w:rsidR="003E2F5E" w:rsidRPr="001A5E0D" w:rsidRDefault="003E2F5E" w:rsidP="003E2F5E">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za razdoblje od 1.1. do </w:t>
    </w:r>
    <w:r>
      <w:rPr>
        <w:rFonts w:ascii="Arial" w:eastAsia="Times New Roman" w:hAnsi="Arial" w:cs="Arial"/>
        <w:sz w:val="24"/>
        <w:szCs w:val="24"/>
      </w:rPr>
      <w:t>31</w:t>
    </w:r>
    <w:r w:rsidRPr="001A5E0D">
      <w:rPr>
        <w:rFonts w:ascii="Arial" w:eastAsia="Times New Roman" w:hAnsi="Arial" w:cs="Arial"/>
        <w:sz w:val="24"/>
        <w:szCs w:val="24"/>
      </w:rPr>
      <w:t>.</w:t>
    </w:r>
    <w:r>
      <w:rPr>
        <w:rFonts w:ascii="Arial" w:eastAsia="Times New Roman" w:hAnsi="Arial" w:cs="Arial"/>
        <w:sz w:val="24"/>
        <w:szCs w:val="24"/>
      </w:rPr>
      <w:t>3</w:t>
    </w:r>
    <w:r w:rsidRPr="001A5E0D">
      <w:rPr>
        <w:rFonts w:ascii="Arial" w:eastAsia="Times New Roman" w:hAnsi="Arial" w:cs="Arial"/>
        <w:sz w:val="24"/>
        <w:szCs w:val="24"/>
      </w:rPr>
      <w:t xml:space="preserve">. </w:t>
    </w:r>
  </w:p>
  <w:p w14:paraId="2EF544B4" w14:textId="545D114A" w:rsidR="003E2F5E" w:rsidRPr="00192670" w:rsidRDefault="003E2F5E"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(Svi iznosi izraženi su u tisućama</w:t>
    </w:r>
    <w:r w:rsidR="00145D68" w:rsidRPr="00145D68">
      <w:t xml:space="preserve">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F2CB2" w14:textId="77777777" w:rsidR="00145D68" w:rsidRPr="001A5E0D" w:rsidRDefault="00145D68" w:rsidP="00145D68">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Bilješke uz skraćene financijske izvještaje koje obuhvaćaju važne računovodstvene politike i druga objašnjenja </w:t>
    </w:r>
  </w:p>
  <w:p w14:paraId="327266EE" w14:textId="1E2AB979" w:rsidR="00145D68" w:rsidRPr="001A5E0D" w:rsidRDefault="00145D68" w:rsidP="00145D68">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za razdoblje od 1.1. </w:t>
    </w:r>
    <w:r w:rsidRPr="001A5E0D">
      <w:rPr>
        <w:rFonts w:ascii="Arial" w:eastAsia="Times New Roman" w:hAnsi="Arial" w:cs="Arial"/>
        <w:sz w:val="24"/>
        <w:szCs w:val="24"/>
      </w:rPr>
      <w:t xml:space="preserve">do </w:t>
    </w:r>
    <w:r>
      <w:rPr>
        <w:rFonts w:ascii="Arial" w:eastAsia="Times New Roman" w:hAnsi="Arial" w:cs="Arial"/>
        <w:sz w:val="24"/>
        <w:szCs w:val="24"/>
      </w:rPr>
      <w:t>31</w:t>
    </w:r>
    <w:r w:rsidRPr="001A5E0D">
      <w:rPr>
        <w:rFonts w:ascii="Arial" w:eastAsia="Times New Roman" w:hAnsi="Arial" w:cs="Arial"/>
        <w:sz w:val="24"/>
        <w:szCs w:val="24"/>
      </w:rPr>
      <w:t>.</w:t>
    </w:r>
    <w:r>
      <w:rPr>
        <w:rFonts w:ascii="Arial" w:eastAsia="Times New Roman" w:hAnsi="Arial" w:cs="Arial"/>
        <w:sz w:val="24"/>
        <w:szCs w:val="24"/>
      </w:rPr>
      <w:t>3</w:t>
    </w:r>
    <w:r w:rsidRPr="001A5E0D">
      <w:rPr>
        <w:rFonts w:ascii="Arial" w:eastAsia="Times New Roman" w:hAnsi="Arial" w:cs="Arial"/>
        <w:sz w:val="24"/>
        <w:szCs w:val="24"/>
      </w:rPr>
      <w:t>.202</w:t>
    </w:r>
    <w:r w:rsidR="00D81A81">
      <w:rPr>
        <w:rFonts w:ascii="Arial" w:eastAsia="Times New Roman" w:hAnsi="Arial" w:cs="Arial"/>
        <w:sz w:val="24"/>
        <w:szCs w:val="24"/>
      </w:rPr>
      <w:t>4</w:t>
    </w:r>
    <w:r w:rsidRPr="001A5E0D">
      <w:rPr>
        <w:rFonts w:ascii="Arial" w:eastAsia="Times New Roman" w:hAnsi="Arial" w:cs="Arial"/>
        <w:sz w:val="24"/>
        <w:szCs w:val="24"/>
      </w:rPr>
      <w:t xml:space="preserve">. </w:t>
    </w:r>
  </w:p>
  <w:p w14:paraId="5147BEFC" w14:textId="2E0C8EF0" w:rsidR="00145D68" w:rsidRPr="00192670" w:rsidRDefault="00145D68"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95CBF" w14:textId="77777777" w:rsidR="00FD12EE" w:rsidRPr="001A5E0D" w:rsidRDefault="00FD12EE" w:rsidP="00145D68">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Bilješke uz skraćene financijske izvještaje koje obuhvaćaju važne računovodstvene politike i druga objašnjenja </w:t>
    </w:r>
  </w:p>
  <w:p w14:paraId="4D97C7B4" w14:textId="2A1998ED" w:rsidR="00FD12EE" w:rsidRPr="001A5E0D" w:rsidRDefault="00FD12EE" w:rsidP="00145D68">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za razdoblje od 1.1. do </w:t>
    </w:r>
    <w:r>
      <w:rPr>
        <w:rFonts w:ascii="Arial" w:eastAsia="Times New Roman" w:hAnsi="Arial" w:cs="Arial"/>
        <w:sz w:val="24"/>
        <w:szCs w:val="24"/>
      </w:rPr>
      <w:t>31</w:t>
    </w:r>
    <w:r w:rsidRPr="001A5E0D">
      <w:rPr>
        <w:rFonts w:ascii="Arial" w:eastAsia="Times New Roman" w:hAnsi="Arial" w:cs="Arial"/>
        <w:sz w:val="24"/>
        <w:szCs w:val="24"/>
      </w:rPr>
      <w:t>.</w:t>
    </w:r>
    <w:r>
      <w:rPr>
        <w:rFonts w:ascii="Arial" w:eastAsia="Times New Roman" w:hAnsi="Arial" w:cs="Arial"/>
        <w:sz w:val="24"/>
        <w:szCs w:val="24"/>
      </w:rPr>
      <w:t>3</w:t>
    </w:r>
    <w:r w:rsidRPr="001A5E0D">
      <w:rPr>
        <w:rFonts w:ascii="Arial" w:eastAsia="Times New Roman" w:hAnsi="Arial" w:cs="Arial"/>
        <w:sz w:val="24"/>
        <w:szCs w:val="24"/>
      </w:rPr>
      <w:t>.202</w:t>
    </w:r>
    <w:r>
      <w:rPr>
        <w:rFonts w:ascii="Arial" w:eastAsia="Times New Roman" w:hAnsi="Arial" w:cs="Arial"/>
        <w:sz w:val="24"/>
        <w:szCs w:val="24"/>
      </w:rPr>
      <w:t>4</w:t>
    </w:r>
    <w:r w:rsidRPr="001A5E0D">
      <w:rPr>
        <w:rFonts w:ascii="Arial" w:eastAsia="Times New Roman" w:hAnsi="Arial" w:cs="Arial"/>
        <w:sz w:val="24"/>
        <w:szCs w:val="24"/>
      </w:rPr>
      <w:t xml:space="preserve">. </w:t>
    </w:r>
    <w:r>
      <w:rPr>
        <w:rFonts w:ascii="Arial" w:eastAsia="Times New Roman" w:hAnsi="Arial" w:cs="Arial"/>
        <w:sz w:val="24"/>
        <w:szCs w:val="24"/>
      </w:rPr>
      <w:t>(nastavak)</w:t>
    </w:r>
  </w:p>
  <w:p w14:paraId="52D526B3" w14:textId="77777777" w:rsidR="00FD12EE" w:rsidRPr="00192670" w:rsidRDefault="00FD12EE"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BC6CE" w14:textId="77777777" w:rsidR="001F3B24" w:rsidRPr="0056686B" w:rsidRDefault="001F3B24" w:rsidP="001F3B24">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 xml:space="preserve">Dodatak uz financijske izvještaje – Financijsko poslovanje Grupe HKO </w:t>
    </w:r>
  </w:p>
  <w:p w14:paraId="56E69C90" w14:textId="77777777" w:rsidR="001F3B24" w:rsidRDefault="001F3B24" w:rsidP="001F3B24">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Izvještaj o dobiti i gubitku te ostaloj sveobuhvatnoj dobiti</w:t>
    </w:r>
  </w:p>
  <w:p w14:paraId="681114FB" w14:textId="32F045C4" w:rsidR="001F3B24" w:rsidRPr="001A5E0D" w:rsidRDefault="001F3B24" w:rsidP="001F3B24">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za razdoblje od 1.1. do </w:t>
    </w:r>
    <w:r>
      <w:rPr>
        <w:rFonts w:ascii="Arial" w:eastAsia="Times New Roman" w:hAnsi="Arial" w:cs="Arial"/>
        <w:sz w:val="24"/>
        <w:szCs w:val="24"/>
      </w:rPr>
      <w:t>31</w:t>
    </w:r>
    <w:r w:rsidRPr="001A5E0D">
      <w:rPr>
        <w:rFonts w:ascii="Arial" w:eastAsia="Times New Roman" w:hAnsi="Arial" w:cs="Arial"/>
        <w:sz w:val="24"/>
        <w:szCs w:val="24"/>
      </w:rPr>
      <w:t>.</w:t>
    </w:r>
    <w:r>
      <w:rPr>
        <w:rFonts w:ascii="Arial" w:eastAsia="Times New Roman" w:hAnsi="Arial" w:cs="Arial"/>
        <w:sz w:val="24"/>
        <w:szCs w:val="24"/>
      </w:rPr>
      <w:t>3</w:t>
    </w:r>
    <w:r w:rsidRPr="001A5E0D">
      <w:rPr>
        <w:rFonts w:ascii="Arial" w:eastAsia="Times New Roman" w:hAnsi="Arial" w:cs="Arial"/>
        <w:sz w:val="24"/>
        <w:szCs w:val="24"/>
      </w:rPr>
      <w:t>.202</w:t>
    </w:r>
    <w:r w:rsidR="007A0357">
      <w:rPr>
        <w:rFonts w:ascii="Arial" w:eastAsia="Times New Roman" w:hAnsi="Arial" w:cs="Arial"/>
        <w:sz w:val="24"/>
        <w:szCs w:val="24"/>
      </w:rPr>
      <w:t>4</w:t>
    </w:r>
    <w:r w:rsidRPr="001A5E0D">
      <w:rPr>
        <w:rFonts w:ascii="Arial" w:eastAsia="Times New Roman" w:hAnsi="Arial" w:cs="Arial"/>
        <w:sz w:val="24"/>
        <w:szCs w:val="24"/>
      </w:rPr>
      <w:t xml:space="preserve">. </w:t>
    </w:r>
  </w:p>
  <w:p w14:paraId="725EC4C3" w14:textId="77777777" w:rsidR="001F3B24" w:rsidRPr="00192670" w:rsidRDefault="001F3B24" w:rsidP="001F3B24">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p w14:paraId="33D047EE" w14:textId="1A2EE68B" w:rsidR="00FD5B50" w:rsidRPr="00FD5B50" w:rsidRDefault="00FD5B50" w:rsidP="00FD5B50">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6D52" w14:textId="77777777" w:rsidR="00D471F3" w:rsidRPr="0056686B" w:rsidRDefault="00D471F3" w:rsidP="00D471F3">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 xml:space="preserve">Dodatak uz financijske izvještaje – Financijsko poslovanje Grupe HKO </w:t>
    </w:r>
  </w:p>
  <w:p w14:paraId="410594FE" w14:textId="77777777" w:rsidR="00D471F3" w:rsidRPr="0056686B" w:rsidRDefault="00D471F3" w:rsidP="00D471F3">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Izvještaj o financijskom položaju</w:t>
    </w:r>
  </w:p>
  <w:p w14:paraId="0E31A294" w14:textId="77777777" w:rsidR="00D471F3" w:rsidRDefault="00D471F3" w:rsidP="00D471F3">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 xml:space="preserve">na dan </w:t>
    </w:r>
  </w:p>
  <w:p w14:paraId="2136B420" w14:textId="77777777" w:rsidR="00D471F3" w:rsidRPr="00192670" w:rsidRDefault="00D471F3" w:rsidP="00D471F3">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p w14:paraId="3DD47718" w14:textId="77777777" w:rsidR="007A0357" w:rsidRPr="00FD5B50" w:rsidRDefault="007A0357" w:rsidP="00FD5B5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FC7E" w14:textId="77777777" w:rsidR="00306935" w:rsidRPr="0056686B" w:rsidRDefault="00306935" w:rsidP="00306935">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 xml:space="preserve">Dodatak uz financijske izvještaje – Financijsko poslovanje Grupe HKO </w:t>
    </w:r>
  </w:p>
  <w:p w14:paraId="1AD569DB" w14:textId="77777777" w:rsidR="00306935" w:rsidRPr="0056686B" w:rsidRDefault="00306935" w:rsidP="00306935">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Izvještaj o novčanim tokovima</w:t>
    </w:r>
  </w:p>
  <w:p w14:paraId="084AC89C" w14:textId="77777777" w:rsidR="00306935" w:rsidRDefault="00306935" w:rsidP="00306935">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za razdoblje od 1.1. do 3</w:t>
    </w:r>
    <w:r>
      <w:rPr>
        <w:rFonts w:ascii="Arial" w:eastAsia="Times New Roman" w:hAnsi="Arial" w:cs="Arial"/>
        <w:sz w:val="24"/>
        <w:szCs w:val="24"/>
      </w:rPr>
      <w:t>1</w:t>
    </w:r>
    <w:r w:rsidRPr="0056686B">
      <w:rPr>
        <w:rFonts w:ascii="Arial" w:eastAsia="Times New Roman" w:hAnsi="Arial" w:cs="Arial"/>
        <w:sz w:val="24"/>
        <w:szCs w:val="24"/>
      </w:rPr>
      <w:t>.</w:t>
    </w:r>
    <w:r>
      <w:rPr>
        <w:rFonts w:ascii="Arial" w:eastAsia="Times New Roman" w:hAnsi="Arial" w:cs="Arial"/>
        <w:sz w:val="24"/>
        <w:szCs w:val="24"/>
      </w:rPr>
      <w:t>3</w:t>
    </w:r>
    <w:r w:rsidRPr="0056686B">
      <w:rPr>
        <w:rFonts w:ascii="Arial" w:eastAsia="Times New Roman" w:hAnsi="Arial" w:cs="Arial"/>
        <w:sz w:val="24"/>
        <w:szCs w:val="24"/>
      </w:rPr>
      <w:t xml:space="preserve">. </w:t>
    </w:r>
  </w:p>
  <w:p w14:paraId="37FEB82D" w14:textId="77777777" w:rsidR="00306935" w:rsidRPr="00192670" w:rsidRDefault="00306935" w:rsidP="00306935">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p w14:paraId="15F2E3EB" w14:textId="77777777" w:rsidR="00D471F3" w:rsidRPr="00FD5B50" w:rsidRDefault="00D471F3" w:rsidP="00FD5B50">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90BDB" w14:textId="77777777" w:rsidR="00822E2D" w:rsidRPr="0056686B" w:rsidRDefault="00822E2D" w:rsidP="0056686B">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 xml:space="preserve">Dodatak uz financijske izvještaje – Financijsko poslovanje Grupe HKO </w:t>
    </w:r>
  </w:p>
  <w:p w14:paraId="54D03B2A" w14:textId="77777777" w:rsidR="00822E2D" w:rsidRDefault="00822E2D" w:rsidP="0056686B">
    <w:pPr>
      <w:pBdr>
        <w:bottom w:val="single" w:sz="4" w:space="1" w:color="auto"/>
      </w:pBdr>
      <w:rPr>
        <w:rFonts w:ascii="Arial" w:eastAsia="Times New Roman" w:hAnsi="Arial" w:cs="Arial"/>
        <w:sz w:val="24"/>
        <w:szCs w:val="24"/>
      </w:rPr>
    </w:pPr>
    <w:r w:rsidRPr="00822E2D">
      <w:rPr>
        <w:rFonts w:ascii="Arial" w:eastAsia="Times New Roman" w:hAnsi="Arial" w:cs="Arial"/>
        <w:sz w:val="24"/>
        <w:szCs w:val="24"/>
      </w:rPr>
      <w:t>Izvještaj o promjenama na kapitalu</w:t>
    </w:r>
  </w:p>
  <w:p w14:paraId="06E31BD7" w14:textId="4C46D7C3" w:rsidR="00822E2D" w:rsidRDefault="00822E2D" w:rsidP="0056686B">
    <w:pPr>
      <w:pBdr>
        <w:bottom w:val="single" w:sz="4" w:space="1" w:color="auto"/>
      </w:pBdr>
      <w:rPr>
        <w:rFonts w:ascii="Arial" w:eastAsia="Times New Roman" w:hAnsi="Arial" w:cs="Arial"/>
        <w:sz w:val="24"/>
        <w:szCs w:val="24"/>
      </w:rPr>
    </w:pPr>
    <w:r w:rsidRPr="0056686B">
      <w:rPr>
        <w:rFonts w:ascii="Arial" w:eastAsia="Times New Roman" w:hAnsi="Arial" w:cs="Arial"/>
        <w:sz w:val="24"/>
        <w:szCs w:val="24"/>
      </w:rPr>
      <w:t>za razdoblje od 1.1. do 3</w:t>
    </w:r>
    <w:r>
      <w:rPr>
        <w:rFonts w:ascii="Arial" w:eastAsia="Times New Roman" w:hAnsi="Arial" w:cs="Arial"/>
        <w:sz w:val="24"/>
        <w:szCs w:val="24"/>
      </w:rPr>
      <w:t>1</w:t>
    </w:r>
    <w:r w:rsidRPr="0056686B">
      <w:rPr>
        <w:rFonts w:ascii="Arial" w:eastAsia="Times New Roman" w:hAnsi="Arial" w:cs="Arial"/>
        <w:sz w:val="24"/>
        <w:szCs w:val="24"/>
      </w:rPr>
      <w:t>.</w:t>
    </w:r>
    <w:r>
      <w:rPr>
        <w:rFonts w:ascii="Arial" w:eastAsia="Times New Roman" w:hAnsi="Arial" w:cs="Arial"/>
        <w:sz w:val="24"/>
        <w:szCs w:val="24"/>
      </w:rPr>
      <w:t>3</w:t>
    </w:r>
    <w:r w:rsidRPr="0056686B">
      <w:rPr>
        <w:rFonts w:ascii="Arial" w:eastAsia="Times New Roman" w:hAnsi="Arial" w:cs="Arial"/>
        <w:sz w:val="24"/>
        <w:szCs w:val="24"/>
      </w:rPr>
      <w:t xml:space="preserve">. </w:t>
    </w:r>
  </w:p>
  <w:p w14:paraId="51AFCA51" w14:textId="77777777" w:rsidR="00822E2D" w:rsidRPr="00192670" w:rsidRDefault="00822E2D" w:rsidP="0056686B">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76122" w14:textId="77777777" w:rsidR="006C0D13" w:rsidRDefault="006C0D13" w:rsidP="006769EF"/>
  <w:p w14:paraId="046B779C" w14:textId="77777777" w:rsidR="00A211A2" w:rsidRPr="00A211A2" w:rsidRDefault="00A211A2" w:rsidP="00A211A2">
    <w:pPr>
      <w:pBdr>
        <w:bottom w:val="single" w:sz="4" w:space="1" w:color="auto"/>
      </w:pBdr>
      <w:spacing w:line="301" w:lineRule="atLeast"/>
      <w:ind w:right="4"/>
      <w:rPr>
        <w:rFonts w:ascii="Arial" w:eastAsia="Times New Roman" w:hAnsi="Arial" w:cs="Arial"/>
        <w:sz w:val="24"/>
        <w:szCs w:val="24"/>
      </w:rPr>
    </w:pPr>
    <w:r w:rsidRPr="00A211A2">
      <w:rPr>
        <w:rFonts w:ascii="Arial" w:eastAsia="Times New Roman" w:hAnsi="Arial" w:cs="Arial"/>
        <w:sz w:val="24"/>
        <w:szCs w:val="24"/>
      </w:rPr>
      <w:t xml:space="preserve">Odgovornosti Uprave i Nadzornog odbora za pripremu i prihvaćanje skraćenih odvojenih i konsolidiranih financijskih izvještaja </w:t>
    </w:r>
  </w:p>
  <w:p w14:paraId="2C4613C5" w14:textId="03D0BF7A" w:rsidR="006C0D13" w:rsidRPr="00096690" w:rsidRDefault="00A211A2" w:rsidP="00A211A2">
    <w:pPr>
      <w:pBdr>
        <w:bottom w:val="single" w:sz="4" w:space="1" w:color="auto"/>
      </w:pBdr>
      <w:spacing w:line="301" w:lineRule="atLeast"/>
      <w:ind w:right="4"/>
      <w:rPr>
        <w:rFonts w:ascii="Arial" w:eastAsia="Times New Roman" w:hAnsi="Arial" w:cs="Arial"/>
        <w:sz w:val="24"/>
        <w:szCs w:val="24"/>
      </w:rPr>
    </w:pPr>
    <w:r w:rsidRPr="00A211A2">
      <w:rPr>
        <w:rFonts w:ascii="Arial" w:eastAsia="Times New Roman" w:hAnsi="Arial" w:cs="Arial"/>
        <w:sz w:val="24"/>
        <w:szCs w:val="24"/>
      </w:rPr>
      <w:t>za razdoblje od 1.1. do 3</w:t>
    </w:r>
    <w:r>
      <w:rPr>
        <w:rFonts w:ascii="Arial" w:eastAsia="Times New Roman" w:hAnsi="Arial" w:cs="Arial"/>
        <w:sz w:val="24"/>
        <w:szCs w:val="24"/>
      </w:rPr>
      <w:t>1</w:t>
    </w:r>
    <w:r w:rsidRPr="00A211A2">
      <w:rPr>
        <w:rFonts w:ascii="Arial" w:eastAsia="Times New Roman" w:hAnsi="Arial" w:cs="Arial"/>
        <w:sz w:val="24"/>
        <w:szCs w:val="24"/>
      </w:rPr>
      <w:t>.</w:t>
    </w:r>
    <w:r>
      <w:rPr>
        <w:rFonts w:ascii="Arial" w:eastAsia="Times New Roman" w:hAnsi="Arial" w:cs="Arial"/>
        <w:sz w:val="24"/>
        <w:szCs w:val="24"/>
      </w:rPr>
      <w:t>3</w:t>
    </w:r>
    <w:r w:rsidRPr="00A211A2">
      <w:rPr>
        <w:rFonts w:ascii="Arial" w:eastAsia="Times New Roman" w:hAnsi="Arial" w:cs="Arial"/>
        <w:sz w:val="24"/>
        <w:szCs w:val="24"/>
      </w:rPr>
      <w:t>.202</w:t>
    </w:r>
    <w:r w:rsidR="00D81A81">
      <w:rPr>
        <w:rFonts w:ascii="Arial" w:eastAsia="Times New Roman" w:hAnsi="Arial" w:cs="Arial"/>
        <w:sz w:val="24"/>
        <w:szCs w:val="24"/>
      </w:rPr>
      <w:t>4</w:t>
    </w:r>
    <w:r w:rsidRPr="00A211A2">
      <w:rPr>
        <w:rFonts w:ascii="Arial" w:eastAsia="Times New Roman" w:hAnsi="Arial" w:cs="Arial"/>
        <w:sz w:val="24"/>
        <w:szCs w:val="24"/>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BF070" w14:textId="77777777" w:rsidR="006E7D10" w:rsidRPr="001A5E0D" w:rsidRDefault="006E7D10" w:rsidP="006E7D10">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Konsolidirani financijski izvještaji Grupe</w:t>
    </w:r>
  </w:p>
  <w:p w14:paraId="4613CFC1" w14:textId="77777777" w:rsidR="006E7D10" w:rsidRPr="001A5E0D" w:rsidRDefault="006E7D10" w:rsidP="006E7D10">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Račun dobiti i gubitka  </w:t>
    </w:r>
  </w:p>
  <w:p w14:paraId="0115FB81" w14:textId="309D90D6" w:rsidR="006E7D10" w:rsidRPr="001A5E0D" w:rsidRDefault="006E7D10" w:rsidP="006E7D10">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za razdoblje od 1.1. do 3</w:t>
    </w:r>
    <w:r>
      <w:rPr>
        <w:rFonts w:ascii="Arial" w:eastAsia="Times New Roman" w:hAnsi="Arial" w:cs="Arial"/>
        <w:sz w:val="24"/>
        <w:szCs w:val="24"/>
      </w:rPr>
      <w:t>1</w:t>
    </w:r>
    <w:r w:rsidRPr="001A5E0D">
      <w:rPr>
        <w:rFonts w:ascii="Arial" w:eastAsia="Times New Roman" w:hAnsi="Arial" w:cs="Arial"/>
        <w:sz w:val="24"/>
        <w:szCs w:val="24"/>
      </w:rPr>
      <w:t>.</w:t>
    </w:r>
    <w:r>
      <w:rPr>
        <w:rFonts w:ascii="Arial" w:eastAsia="Times New Roman" w:hAnsi="Arial" w:cs="Arial"/>
        <w:sz w:val="24"/>
        <w:szCs w:val="24"/>
      </w:rPr>
      <w:t>3</w:t>
    </w:r>
    <w:r w:rsidRPr="001A5E0D">
      <w:rPr>
        <w:rFonts w:ascii="Arial" w:eastAsia="Times New Roman" w:hAnsi="Arial" w:cs="Arial"/>
        <w:sz w:val="24"/>
        <w:szCs w:val="24"/>
      </w:rPr>
      <w:t>.</w:t>
    </w:r>
  </w:p>
  <w:p w14:paraId="3917B366" w14:textId="2965B4A3" w:rsidR="00104D02" w:rsidRPr="00391047" w:rsidRDefault="006E7D10" w:rsidP="00391047">
    <w:pPr>
      <w:pBdr>
        <w:bottom w:val="single" w:sz="4" w:space="1" w:color="auto"/>
      </w:pBdr>
      <w:spacing w:line="400" w:lineRule="exact"/>
      <w:rPr>
        <w:rFonts w:ascii="Arial" w:eastAsia="Times New Roman" w:hAnsi="Arial" w:cs="Arial"/>
        <w:sz w:val="20"/>
        <w:szCs w:val="20"/>
      </w:rPr>
    </w:pPr>
    <w:r w:rsidRPr="001A5E0D">
      <w:rPr>
        <w:rFonts w:ascii="Arial" w:eastAsia="Times New Roman" w:hAnsi="Arial" w:cs="Arial"/>
        <w:sz w:val="20"/>
        <w:szCs w:val="20"/>
      </w:rPr>
      <w:t xml:space="preserve">(Svi iznosi izraženi su u tisućama </w:t>
    </w:r>
    <w:r w:rsidR="00145D68">
      <w:rPr>
        <w:rFonts w:ascii="Arial" w:eastAsia="Times New Roman" w:hAnsi="Arial" w:cs="Arial"/>
        <w:sz w:val="20"/>
        <w:szCs w:val="20"/>
      </w:rPr>
      <w:t>eura</w:t>
    </w:r>
    <w:r w:rsidRPr="001A5E0D">
      <w:rPr>
        <w:rFonts w:ascii="Arial" w:eastAsia="Times New Roman" w:hAnsi="Arial" w:cs="Arial"/>
        <w:sz w:val="20"/>
        <w:szCs w:val="2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425F" w14:textId="77777777" w:rsidR="006D5D13" w:rsidRPr="005D1219" w:rsidRDefault="006D5D13" w:rsidP="006D5D13">
    <w:pPr>
      <w:pBdr>
        <w:bottom w:val="single" w:sz="4" w:space="1" w:color="auto"/>
      </w:pBdr>
      <w:rPr>
        <w:rFonts w:ascii="Arial" w:eastAsia="Times New Roman" w:hAnsi="Arial" w:cs="Arial"/>
        <w:sz w:val="24"/>
        <w:szCs w:val="24"/>
      </w:rPr>
    </w:pPr>
    <w:r w:rsidRPr="005D1219">
      <w:rPr>
        <w:rFonts w:ascii="Arial" w:eastAsia="Times New Roman" w:hAnsi="Arial" w:cs="Arial"/>
        <w:sz w:val="24"/>
        <w:szCs w:val="24"/>
      </w:rPr>
      <w:t>Konsolidirani financijski izvještaji Grupe</w:t>
    </w:r>
  </w:p>
  <w:p w14:paraId="48B115AC" w14:textId="77777777" w:rsidR="006D5D13" w:rsidRPr="005D1219" w:rsidRDefault="006D5D13" w:rsidP="006D5D13">
    <w:pPr>
      <w:pBdr>
        <w:bottom w:val="single" w:sz="4" w:space="1" w:color="auto"/>
      </w:pBdr>
      <w:rPr>
        <w:rFonts w:ascii="Arial" w:eastAsia="Times New Roman" w:hAnsi="Arial" w:cs="Arial"/>
        <w:sz w:val="24"/>
        <w:szCs w:val="24"/>
      </w:rPr>
    </w:pPr>
    <w:r w:rsidRPr="005D1219">
      <w:rPr>
        <w:rFonts w:ascii="Arial" w:eastAsia="Times New Roman" w:hAnsi="Arial" w:cs="Arial"/>
        <w:sz w:val="24"/>
        <w:szCs w:val="24"/>
      </w:rPr>
      <w:t xml:space="preserve">Izvještaj o dobiti i gubitku te ostaloj sveobuhvatnoj dobiti </w:t>
    </w:r>
  </w:p>
  <w:p w14:paraId="4C99352F" w14:textId="77777777" w:rsidR="006D5D13" w:rsidRPr="004F2495" w:rsidRDefault="006D5D13" w:rsidP="006D5D13">
    <w:pPr>
      <w:pBdr>
        <w:bottom w:val="single" w:sz="4" w:space="1" w:color="auto"/>
      </w:pBdr>
      <w:rPr>
        <w:rFonts w:ascii="Calibri" w:eastAsia="Times New Roman" w:hAnsi="Calibri" w:cs="Times New Roman"/>
        <w:sz w:val="28"/>
        <w:szCs w:val="28"/>
      </w:rPr>
    </w:pPr>
    <w:r w:rsidRPr="005D1219">
      <w:rPr>
        <w:rFonts w:ascii="Arial" w:eastAsia="Times New Roman" w:hAnsi="Arial" w:cs="Arial"/>
        <w:sz w:val="24"/>
        <w:szCs w:val="24"/>
      </w:rPr>
      <w:t>za razdoblje od 1.1. do 31.3.</w:t>
    </w:r>
  </w:p>
  <w:p w14:paraId="76CF526B" w14:textId="4FD6207C" w:rsidR="006D5D13" w:rsidRPr="005D1219" w:rsidRDefault="006D5D13" w:rsidP="006D5D13">
    <w:pPr>
      <w:pBdr>
        <w:bottom w:val="single" w:sz="4" w:space="1" w:color="auto"/>
      </w:pBdr>
      <w:spacing w:line="400" w:lineRule="exact"/>
      <w:rPr>
        <w:rFonts w:ascii="Arial" w:eastAsia="Times New Roman" w:hAnsi="Arial" w:cs="Arial"/>
        <w:sz w:val="20"/>
        <w:szCs w:val="20"/>
      </w:rPr>
    </w:pPr>
    <w:r w:rsidRPr="005D1219">
      <w:rPr>
        <w:rFonts w:ascii="Arial" w:eastAsia="Times New Roman" w:hAnsi="Arial" w:cs="Arial"/>
        <w:sz w:val="20"/>
        <w:szCs w:val="20"/>
      </w:rPr>
      <w:t xml:space="preserve">(Svi iznosi izraženi su u tisućama </w:t>
    </w:r>
    <w:r w:rsidR="00145D68" w:rsidRPr="005D1219">
      <w:rPr>
        <w:rFonts w:ascii="Arial" w:eastAsia="Times New Roman" w:hAnsi="Arial" w:cs="Arial"/>
        <w:sz w:val="20"/>
        <w:szCs w:val="20"/>
      </w:rPr>
      <w:t>eura</w:t>
    </w:r>
    <w:r w:rsidRPr="005D1219">
      <w:rPr>
        <w:rFonts w:ascii="Arial" w:eastAsia="Times New Roman" w:hAnsi="Arial" w:cs="Arial"/>
        <w:sz w:val="20"/>
        <w:szCs w:val="20"/>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0443" w14:textId="77777777" w:rsidR="00EE7712" w:rsidRPr="005D1219" w:rsidRDefault="00EE7712" w:rsidP="00EE7712">
    <w:pPr>
      <w:pBdr>
        <w:bottom w:val="single" w:sz="4" w:space="1" w:color="auto"/>
      </w:pBdr>
      <w:rPr>
        <w:rFonts w:ascii="Arial" w:eastAsia="Times New Roman" w:hAnsi="Arial" w:cs="Arial"/>
        <w:sz w:val="24"/>
        <w:szCs w:val="24"/>
      </w:rPr>
    </w:pPr>
    <w:r w:rsidRPr="005D1219">
      <w:rPr>
        <w:rFonts w:ascii="Arial" w:eastAsia="Times New Roman" w:hAnsi="Arial" w:cs="Arial"/>
        <w:sz w:val="24"/>
        <w:szCs w:val="24"/>
      </w:rPr>
      <w:t>Konsolidirani financijski izvještaji Grupe</w:t>
    </w:r>
  </w:p>
  <w:p w14:paraId="120F552F" w14:textId="77777777" w:rsidR="00EE7712" w:rsidRPr="005D1219" w:rsidRDefault="00EE7712" w:rsidP="00EE7712">
    <w:pPr>
      <w:pBdr>
        <w:bottom w:val="single" w:sz="4" w:space="1" w:color="auto"/>
      </w:pBdr>
      <w:rPr>
        <w:rFonts w:ascii="Arial" w:eastAsia="Times New Roman" w:hAnsi="Arial" w:cs="Arial"/>
        <w:sz w:val="24"/>
        <w:szCs w:val="24"/>
      </w:rPr>
    </w:pPr>
    <w:r w:rsidRPr="005D1219">
      <w:rPr>
        <w:rFonts w:ascii="Arial" w:eastAsia="Times New Roman" w:hAnsi="Arial" w:cs="Arial"/>
        <w:sz w:val="24"/>
        <w:szCs w:val="24"/>
      </w:rPr>
      <w:t xml:space="preserve">Izvještaj o financijskom položaju </w:t>
    </w:r>
  </w:p>
  <w:p w14:paraId="7143B38E" w14:textId="77777777" w:rsidR="00EE7712" w:rsidRPr="005D1219" w:rsidRDefault="00EE7712" w:rsidP="00EE7712">
    <w:pPr>
      <w:pBdr>
        <w:bottom w:val="single" w:sz="4" w:space="1" w:color="auto"/>
      </w:pBdr>
      <w:rPr>
        <w:rFonts w:ascii="Arial" w:eastAsia="Times New Roman" w:hAnsi="Arial" w:cs="Arial"/>
        <w:sz w:val="24"/>
        <w:szCs w:val="24"/>
      </w:rPr>
    </w:pPr>
    <w:r w:rsidRPr="005D1219">
      <w:rPr>
        <w:rFonts w:ascii="Arial" w:eastAsia="Times New Roman" w:hAnsi="Arial" w:cs="Arial"/>
        <w:sz w:val="24"/>
        <w:szCs w:val="24"/>
      </w:rPr>
      <w:t>na dan</w:t>
    </w:r>
  </w:p>
  <w:p w14:paraId="788E80DA" w14:textId="296411FF" w:rsidR="006D3658" w:rsidRPr="005D1219" w:rsidRDefault="00EE7712" w:rsidP="00EE7712">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5D1219">
      <w:rPr>
        <w:rFonts w:ascii="Arial" w:eastAsia="Times New Roman" w:hAnsi="Arial" w:cs="Arial"/>
        <w:spacing w:val="-3"/>
        <w:sz w:val="20"/>
        <w:szCs w:val="20"/>
        <w:lang w:val="pl-PL"/>
      </w:rPr>
      <w:t xml:space="preserve">(Svi iznosi izraženi su u tisućama </w:t>
    </w:r>
    <w:r w:rsidR="00145D68" w:rsidRPr="005D1219">
      <w:rPr>
        <w:rFonts w:ascii="Arial" w:eastAsia="Times New Roman" w:hAnsi="Arial" w:cs="Arial"/>
        <w:spacing w:val="-3"/>
        <w:sz w:val="20"/>
        <w:szCs w:val="20"/>
        <w:lang w:val="pl-PL"/>
      </w:rPr>
      <w:t>eura</w:t>
    </w:r>
    <w:r w:rsidRPr="005D1219">
      <w:rPr>
        <w:rFonts w:ascii="Arial" w:eastAsia="Times New Roman" w:hAnsi="Arial" w:cs="Arial"/>
        <w:spacing w:val="-3"/>
        <w:sz w:val="20"/>
        <w:szCs w:val="20"/>
        <w:lang w:val="pl-PL"/>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A7D6E" w14:textId="77777777" w:rsidR="00C62262" w:rsidRPr="001A5E0D" w:rsidRDefault="00C62262" w:rsidP="00C62262">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Konsolidirani financijski izvještaji Grupe</w:t>
    </w:r>
  </w:p>
  <w:p w14:paraId="1D1AE3AB" w14:textId="77777777" w:rsidR="00C62262" w:rsidRPr="001A5E0D" w:rsidRDefault="00C62262" w:rsidP="00C62262">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Izvještaj o novčanim tokovima </w:t>
    </w:r>
  </w:p>
  <w:p w14:paraId="2B9CD098" w14:textId="05E80ADD" w:rsidR="00C62262" w:rsidRPr="001A5E0D" w:rsidRDefault="00C62262" w:rsidP="00C62262">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za razdoblje od 1.1. do 3</w:t>
    </w:r>
    <w:r>
      <w:rPr>
        <w:rFonts w:ascii="Arial" w:eastAsia="Times New Roman" w:hAnsi="Arial" w:cs="Arial"/>
        <w:sz w:val="24"/>
        <w:szCs w:val="24"/>
      </w:rPr>
      <w:t>1</w:t>
    </w:r>
    <w:r w:rsidRPr="001A5E0D">
      <w:rPr>
        <w:rFonts w:ascii="Arial" w:eastAsia="Times New Roman" w:hAnsi="Arial" w:cs="Arial"/>
        <w:sz w:val="24"/>
        <w:szCs w:val="24"/>
      </w:rPr>
      <w:t>.</w:t>
    </w:r>
    <w:r>
      <w:rPr>
        <w:rFonts w:ascii="Arial" w:eastAsia="Times New Roman" w:hAnsi="Arial" w:cs="Arial"/>
        <w:sz w:val="24"/>
        <w:szCs w:val="24"/>
      </w:rPr>
      <w:t>3</w:t>
    </w:r>
    <w:r w:rsidRPr="001A5E0D">
      <w:rPr>
        <w:rFonts w:ascii="Arial" w:eastAsia="Times New Roman" w:hAnsi="Arial" w:cs="Arial"/>
        <w:sz w:val="24"/>
        <w:szCs w:val="24"/>
      </w:rPr>
      <w:t xml:space="preserve">. </w:t>
    </w:r>
  </w:p>
  <w:p w14:paraId="4379F111" w14:textId="1A600DB6" w:rsidR="001005AE" w:rsidRPr="00C62262" w:rsidRDefault="00C62262" w:rsidP="00C62262">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8122E" w14:textId="77777777" w:rsidR="00192670" w:rsidRPr="001A5E0D" w:rsidRDefault="00192670" w:rsidP="00192670">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Konsolidirani financijski izvještaji Grupe</w:t>
    </w:r>
  </w:p>
  <w:p w14:paraId="317E3EA9" w14:textId="77777777" w:rsidR="00192670" w:rsidRPr="001A5E0D" w:rsidRDefault="00192670" w:rsidP="00192670">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Izvještaj o promjenama na kapitalu </w:t>
    </w:r>
  </w:p>
  <w:p w14:paraId="5336ABF7" w14:textId="5830A22E" w:rsidR="00192670" w:rsidRPr="001A5E0D" w:rsidRDefault="00192670" w:rsidP="00192670">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za razdoblje od 1.1. do 3</w:t>
    </w:r>
    <w:r>
      <w:rPr>
        <w:rFonts w:ascii="Arial" w:eastAsia="Times New Roman" w:hAnsi="Arial" w:cs="Arial"/>
        <w:sz w:val="24"/>
        <w:szCs w:val="24"/>
      </w:rPr>
      <w:t>1</w:t>
    </w:r>
    <w:r w:rsidRPr="001A5E0D">
      <w:rPr>
        <w:rFonts w:ascii="Arial" w:eastAsia="Times New Roman" w:hAnsi="Arial" w:cs="Arial"/>
        <w:sz w:val="24"/>
        <w:szCs w:val="24"/>
      </w:rPr>
      <w:t>.</w:t>
    </w:r>
    <w:r>
      <w:rPr>
        <w:rFonts w:ascii="Arial" w:eastAsia="Times New Roman" w:hAnsi="Arial" w:cs="Arial"/>
        <w:sz w:val="24"/>
        <w:szCs w:val="24"/>
      </w:rPr>
      <w:t>3</w:t>
    </w:r>
    <w:r w:rsidRPr="001A5E0D">
      <w:rPr>
        <w:rFonts w:ascii="Arial" w:eastAsia="Times New Roman" w:hAnsi="Arial" w:cs="Arial"/>
        <w:sz w:val="24"/>
        <w:szCs w:val="24"/>
      </w:rPr>
      <w:t xml:space="preserve">. </w:t>
    </w:r>
  </w:p>
  <w:p w14:paraId="49B56700" w14:textId="2381992F" w:rsidR="001005AE" w:rsidRPr="00192670" w:rsidRDefault="00192670"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D900C" w14:textId="77777777" w:rsidR="00295417" w:rsidRPr="001A5E0D" w:rsidRDefault="00295417" w:rsidP="00295417">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Odvojeni financijski izvještaji Banke</w:t>
    </w:r>
  </w:p>
  <w:p w14:paraId="5A7BF4B3" w14:textId="77777777" w:rsidR="00295417" w:rsidRPr="001A5E0D" w:rsidRDefault="00295417" w:rsidP="00295417">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 xml:space="preserve">Račun dobiti i gubitka </w:t>
    </w:r>
  </w:p>
  <w:p w14:paraId="7E1D6708" w14:textId="77777777" w:rsidR="00A56428" w:rsidRPr="001A5E0D" w:rsidRDefault="00A56428" w:rsidP="00192670">
    <w:pPr>
      <w:pBdr>
        <w:bottom w:val="single" w:sz="4" w:space="1" w:color="auto"/>
      </w:pBdr>
      <w:rPr>
        <w:rFonts w:ascii="Arial" w:eastAsia="Times New Roman" w:hAnsi="Arial" w:cs="Arial"/>
        <w:sz w:val="24"/>
        <w:szCs w:val="24"/>
      </w:rPr>
    </w:pPr>
    <w:r w:rsidRPr="001A5E0D">
      <w:rPr>
        <w:rFonts w:ascii="Arial" w:eastAsia="Times New Roman" w:hAnsi="Arial" w:cs="Arial"/>
        <w:sz w:val="24"/>
        <w:szCs w:val="24"/>
      </w:rPr>
      <w:t>za razdoblje od 1.1. do 3</w:t>
    </w:r>
    <w:r>
      <w:rPr>
        <w:rFonts w:ascii="Arial" w:eastAsia="Times New Roman" w:hAnsi="Arial" w:cs="Arial"/>
        <w:sz w:val="24"/>
        <w:szCs w:val="24"/>
      </w:rPr>
      <w:t>1</w:t>
    </w:r>
    <w:r w:rsidRPr="001A5E0D">
      <w:rPr>
        <w:rFonts w:ascii="Arial" w:eastAsia="Times New Roman" w:hAnsi="Arial" w:cs="Arial"/>
        <w:sz w:val="24"/>
        <w:szCs w:val="24"/>
      </w:rPr>
      <w:t>.</w:t>
    </w:r>
    <w:r>
      <w:rPr>
        <w:rFonts w:ascii="Arial" w:eastAsia="Times New Roman" w:hAnsi="Arial" w:cs="Arial"/>
        <w:sz w:val="24"/>
        <w:szCs w:val="24"/>
      </w:rPr>
      <w:t>3</w:t>
    </w:r>
    <w:r w:rsidRPr="001A5E0D">
      <w:rPr>
        <w:rFonts w:ascii="Arial" w:eastAsia="Times New Roman" w:hAnsi="Arial" w:cs="Arial"/>
        <w:sz w:val="24"/>
        <w:szCs w:val="24"/>
      </w:rPr>
      <w:t xml:space="preserve">. </w:t>
    </w:r>
  </w:p>
  <w:p w14:paraId="49069C76" w14:textId="0563CC49" w:rsidR="00A56428" w:rsidRPr="00192670" w:rsidRDefault="00A56428"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E6E4A" w14:textId="77777777" w:rsidR="00295417" w:rsidRPr="00764509" w:rsidRDefault="00295417" w:rsidP="00295417">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Odvojeni financijski izvještaji Banke</w:t>
    </w:r>
  </w:p>
  <w:p w14:paraId="629AE793" w14:textId="77777777" w:rsidR="00764509" w:rsidRPr="00764509" w:rsidRDefault="00764509" w:rsidP="00764509">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 xml:space="preserve">Izvještaj o dobiti i gubitku te ostaloj sveobuhvatnoj dobiti </w:t>
    </w:r>
  </w:p>
  <w:p w14:paraId="6BB2E617" w14:textId="77777777" w:rsidR="00764509" w:rsidRPr="00764509" w:rsidRDefault="00764509" w:rsidP="00764509">
    <w:pPr>
      <w:pBdr>
        <w:bottom w:val="single" w:sz="4" w:space="1" w:color="auto"/>
      </w:pBdr>
      <w:rPr>
        <w:rFonts w:ascii="Arial" w:eastAsia="Times New Roman" w:hAnsi="Arial" w:cs="Arial"/>
        <w:sz w:val="24"/>
        <w:szCs w:val="24"/>
      </w:rPr>
    </w:pPr>
    <w:r w:rsidRPr="00764509">
      <w:rPr>
        <w:rFonts w:ascii="Arial" w:eastAsia="Times New Roman" w:hAnsi="Arial" w:cs="Arial"/>
        <w:sz w:val="24"/>
        <w:szCs w:val="24"/>
      </w:rPr>
      <w:t xml:space="preserve">za razdoblje od 1.1. do 31.3. </w:t>
    </w:r>
  </w:p>
  <w:p w14:paraId="412DEB11" w14:textId="46B7B547" w:rsidR="00295417" w:rsidRPr="00192670" w:rsidRDefault="00295417" w:rsidP="00192670">
    <w:pPr>
      <w:pBdr>
        <w:bottom w:val="single" w:sz="4" w:space="1" w:color="auto"/>
      </w:pBdr>
      <w:tabs>
        <w:tab w:val="center" w:pos="4513"/>
      </w:tabs>
      <w:suppressAutoHyphens/>
      <w:spacing w:line="400" w:lineRule="exact"/>
      <w:jc w:val="both"/>
      <w:rPr>
        <w:rFonts w:ascii="Arial" w:eastAsia="Times New Roman" w:hAnsi="Arial" w:cs="Arial"/>
        <w:spacing w:val="-3"/>
        <w:sz w:val="20"/>
        <w:szCs w:val="20"/>
        <w:lang w:val="pl-PL"/>
      </w:rPr>
    </w:pPr>
    <w:r w:rsidRPr="001A5E0D">
      <w:rPr>
        <w:rFonts w:ascii="Arial" w:eastAsia="Times New Roman" w:hAnsi="Arial" w:cs="Arial"/>
        <w:spacing w:val="-3"/>
        <w:sz w:val="20"/>
        <w:szCs w:val="20"/>
        <w:lang w:val="pl-PL"/>
      </w:rPr>
      <w:t xml:space="preserve">(Svi iznosi izraženi su u tisućama </w:t>
    </w:r>
    <w:r w:rsidR="00145D68" w:rsidRPr="00145D68">
      <w:rPr>
        <w:rFonts w:ascii="Arial" w:eastAsia="Times New Roman" w:hAnsi="Arial" w:cs="Arial"/>
        <w:spacing w:val="-3"/>
        <w:sz w:val="20"/>
        <w:szCs w:val="20"/>
        <w:lang w:val="pl-PL"/>
      </w:rPr>
      <w:t>eura</w:t>
    </w:r>
    <w:r w:rsidRPr="001A5E0D">
      <w:rPr>
        <w:rFonts w:ascii="Arial" w:eastAsia="Times New Roman" w:hAnsi="Arial" w:cs="Arial"/>
        <w:spacing w:val="-3"/>
        <w:sz w:val="20"/>
        <w:szCs w:val="20"/>
        <w:lang w:val="pl-P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C1F"/>
    <w:multiLevelType w:val="hybridMultilevel"/>
    <w:tmpl w:val="1AF81976"/>
    <w:lvl w:ilvl="0" w:tplc="6BC62CD4">
      <w:numFmt w:val="bullet"/>
      <w:lvlText w:val="-"/>
      <w:lvlJc w:val="left"/>
      <w:pPr>
        <w:ind w:left="720" w:hanging="360"/>
      </w:pPr>
      <w:rPr>
        <w:rFonts w:ascii="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CD439D"/>
    <w:multiLevelType w:val="hybridMultilevel"/>
    <w:tmpl w:val="6972D638"/>
    <w:lvl w:ilvl="0" w:tplc="041A001B">
      <w:start w:val="1"/>
      <w:numFmt w:val="low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0F2379"/>
    <w:multiLevelType w:val="hybridMultilevel"/>
    <w:tmpl w:val="1F66D4E4"/>
    <w:lvl w:ilvl="0" w:tplc="041A0001">
      <w:start w:val="1"/>
      <w:numFmt w:val="bullet"/>
      <w:lvlText w:val=""/>
      <w:lvlJc w:val="left"/>
      <w:pPr>
        <w:ind w:left="771" w:hanging="360"/>
      </w:pPr>
      <w:rPr>
        <w:rFonts w:ascii="Symbol" w:hAnsi="Symbol" w:hint="default"/>
      </w:rPr>
    </w:lvl>
    <w:lvl w:ilvl="1" w:tplc="041A0003">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3" w15:restartNumberingAfterBreak="0">
    <w:nsid w:val="0637115B"/>
    <w:multiLevelType w:val="hybridMultilevel"/>
    <w:tmpl w:val="28B2AA32"/>
    <w:lvl w:ilvl="0" w:tplc="B614A01C">
      <w:start w:val="2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63298E"/>
    <w:multiLevelType w:val="multilevel"/>
    <w:tmpl w:val="82E2A85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5" w15:restartNumberingAfterBreak="0">
    <w:nsid w:val="0AB458B5"/>
    <w:multiLevelType w:val="hybridMultilevel"/>
    <w:tmpl w:val="80781AF8"/>
    <w:lvl w:ilvl="0" w:tplc="F30486C2">
      <w:start w:val="1"/>
      <w:numFmt w:val="decimal"/>
      <w:lvlText w:val="%1."/>
      <w:lvlJc w:val="left"/>
      <w:pPr>
        <w:tabs>
          <w:tab w:val="num" w:pos="720"/>
        </w:tabs>
        <w:ind w:left="720" w:hanging="360"/>
      </w:pPr>
      <w:rPr>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0AE82946"/>
    <w:multiLevelType w:val="hybridMultilevel"/>
    <w:tmpl w:val="5F84E4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DAC4302"/>
    <w:multiLevelType w:val="hybridMultilevel"/>
    <w:tmpl w:val="B81A4A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ED77D0F"/>
    <w:multiLevelType w:val="hybridMultilevel"/>
    <w:tmpl w:val="A8F8B4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04E236D"/>
    <w:multiLevelType w:val="multilevel"/>
    <w:tmpl w:val="95102BC4"/>
    <w:styleLink w:val="LFO6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5370918"/>
    <w:multiLevelType w:val="hybridMultilevel"/>
    <w:tmpl w:val="1B74A8FC"/>
    <w:lvl w:ilvl="0" w:tplc="89A2892E">
      <w:numFmt w:val="bullet"/>
      <w:lvlText w:val="-"/>
      <w:lvlJc w:val="left"/>
      <w:pPr>
        <w:tabs>
          <w:tab w:val="num" w:pos="1040"/>
        </w:tabs>
        <w:ind w:left="1040" w:hanging="360"/>
      </w:pPr>
      <w:rPr>
        <w:rFonts w:ascii="Arial" w:eastAsia="Times New Roman" w:hAnsi="Arial" w:cs="Aria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1" w15:restartNumberingAfterBreak="0">
    <w:nsid w:val="1BE72493"/>
    <w:multiLevelType w:val="hybridMultilevel"/>
    <w:tmpl w:val="BF12C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DDB0ACB"/>
    <w:multiLevelType w:val="hybridMultilevel"/>
    <w:tmpl w:val="4AD060C0"/>
    <w:lvl w:ilvl="0" w:tplc="389E5C28">
      <w:numFmt w:val="bullet"/>
      <w:lvlText w:val="-"/>
      <w:lvlJc w:val="left"/>
      <w:pPr>
        <w:ind w:left="1353"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F6F0ED6"/>
    <w:multiLevelType w:val="hybridMultilevel"/>
    <w:tmpl w:val="E7381476"/>
    <w:lvl w:ilvl="0" w:tplc="89A2892E">
      <w:numFmt w:val="bullet"/>
      <w:lvlText w:val="-"/>
      <w:lvlJc w:val="left"/>
      <w:pPr>
        <w:tabs>
          <w:tab w:val="num" w:pos="840"/>
        </w:tabs>
        <w:ind w:left="840" w:hanging="360"/>
      </w:pPr>
      <w:rPr>
        <w:rFonts w:ascii="Arial" w:eastAsia="Times New Roman" w:hAnsi="Arial" w:cs="Arial" w:hint="default"/>
      </w:rPr>
    </w:lvl>
    <w:lvl w:ilvl="1" w:tplc="041A0003">
      <w:start w:val="1"/>
      <w:numFmt w:val="bullet"/>
      <w:lvlText w:val="o"/>
      <w:lvlJc w:val="left"/>
      <w:pPr>
        <w:tabs>
          <w:tab w:val="num" w:pos="1320"/>
        </w:tabs>
        <w:ind w:left="1320" w:hanging="360"/>
      </w:pPr>
      <w:rPr>
        <w:rFonts w:ascii="Courier New" w:hAnsi="Courier New" w:cs="Courier New" w:hint="default"/>
      </w:rPr>
    </w:lvl>
    <w:lvl w:ilvl="2" w:tplc="54E41676">
      <w:numFmt w:val="bullet"/>
      <w:lvlText w:val="–"/>
      <w:lvlJc w:val="left"/>
      <w:pPr>
        <w:tabs>
          <w:tab w:val="num" w:pos="2040"/>
        </w:tabs>
        <w:ind w:left="2040" w:hanging="360"/>
      </w:pPr>
      <w:rPr>
        <w:rFonts w:ascii="Times New Roman" w:eastAsia="Times New Roman" w:hAnsi="Times New Roman" w:cs="Times New Roman" w:hint="default"/>
      </w:rPr>
    </w:lvl>
    <w:lvl w:ilvl="3" w:tplc="041A0001" w:tentative="1">
      <w:start w:val="1"/>
      <w:numFmt w:val="bullet"/>
      <w:lvlText w:val=""/>
      <w:lvlJc w:val="left"/>
      <w:pPr>
        <w:tabs>
          <w:tab w:val="num" w:pos="2760"/>
        </w:tabs>
        <w:ind w:left="2760" w:hanging="360"/>
      </w:pPr>
      <w:rPr>
        <w:rFonts w:ascii="Symbol" w:hAnsi="Symbol" w:hint="default"/>
      </w:rPr>
    </w:lvl>
    <w:lvl w:ilvl="4" w:tplc="041A0003" w:tentative="1">
      <w:start w:val="1"/>
      <w:numFmt w:val="bullet"/>
      <w:lvlText w:val="o"/>
      <w:lvlJc w:val="left"/>
      <w:pPr>
        <w:tabs>
          <w:tab w:val="num" w:pos="3480"/>
        </w:tabs>
        <w:ind w:left="3480" w:hanging="360"/>
      </w:pPr>
      <w:rPr>
        <w:rFonts w:ascii="Courier New" w:hAnsi="Courier New" w:cs="Courier New" w:hint="default"/>
      </w:rPr>
    </w:lvl>
    <w:lvl w:ilvl="5" w:tplc="041A0005" w:tentative="1">
      <w:start w:val="1"/>
      <w:numFmt w:val="bullet"/>
      <w:lvlText w:val=""/>
      <w:lvlJc w:val="left"/>
      <w:pPr>
        <w:tabs>
          <w:tab w:val="num" w:pos="4200"/>
        </w:tabs>
        <w:ind w:left="4200" w:hanging="360"/>
      </w:pPr>
      <w:rPr>
        <w:rFonts w:ascii="Wingdings" w:hAnsi="Wingdings" w:hint="default"/>
      </w:rPr>
    </w:lvl>
    <w:lvl w:ilvl="6" w:tplc="041A0001" w:tentative="1">
      <w:start w:val="1"/>
      <w:numFmt w:val="bullet"/>
      <w:lvlText w:val=""/>
      <w:lvlJc w:val="left"/>
      <w:pPr>
        <w:tabs>
          <w:tab w:val="num" w:pos="4920"/>
        </w:tabs>
        <w:ind w:left="4920" w:hanging="360"/>
      </w:pPr>
      <w:rPr>
        <w:rFonts w:ascii="Symbol" w:hAnsi="Symbol" w:hint="default"/>
      </w:rPr>
    </w:lvl>
    <w:lvl w:ilvl="7" w:tplc="041A0003" w:tentative="1">
      <w:start w:val="1"/>
      <w:numFmt w:val="bullet"/>
      <w:lvlText w:val="o"/>
      <w:lvlJc w:val="left"/>
      <w:pPr>
        <w:tabs>
          <w:tab w:val="num" w:pos="5640"/>
        </w:tabs>
        <w:ind w:left="5640" w:hanging="360"/>
      </w:pPr>
      <w:rPr>
        <w:rFonts w:ascii="Courier New" w:hAnsi="Courier New" w:cs="Courier New" w:hint="default"/>
      </w:rPr>
    </w:lvl>
    <w:lvl w:ilvl="8" w:tplc="041A0005" w:tentative="1">
      <w:start w:val="1"/>
      <w:numFmt w:val="bullet"/>
      <w:lvlText w:val=""/>
      <w:lvlJc w:val="left"/>
      <w:pPr>
        <w:tabs>
          <w:tab w:val="num" w:pos="6360"/>
        </w:tabs>
        <w:ind w:left="6360" w:hanging="360"/>
      </w:pPr>
      <w:rPr>
        <w:rFonts w:ascii="Wingdings" w:hAnsi="Wingdings" w:hint="default"/>
      </w:rPr>
    </w:lvl>
  </w:abstractNum>
  <w:abstractNum w:abstractNumId="14" w15:restartNumberingAfterBreak="0">
    <w:nsid w:val="1F774466"/>
    <w:multiLevelType w:val="hybridMultilevel"/>
    <w:tmpl w:val="115A2B82"/>
    <w:lvl w:ilvl="0" w:tplc="4CCA37E0">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0CD026C"/>
    <w:multiLevelType w:val="singleLevel"/>
    <w:tmpl w:val="BBE868AE"/>
    <w:lvl w:ilvl="0">
      <w:numFmt w:val="bullet"/>
      <w:pStyle w:val="T1PARAGRAPH"/>
      <w:lvlText w:val="-"/>
      <w:lvlJc w:val="left"/>
      <w:pPr>
        <w:tabs>
          <w:tab w:val="num" w:pos="720"/>
        </w:tabs>
        <w:ind w:left="720" w:hanging="720"/>
      </w:pPr>
      <w:rPr>
        <w:rFonts w:hint="default"/>
      </w:rPr>
    </w:lvl>
  </w:abstractNum>
  <w:abstractNum w:abstractNumId="16" w15:restartNumberingAfterBreak="0">
    <w:nsid w:val="25D0449B"/>
    <w:multiLevelType w:val="multilevel"/>
    <w:tmpl w:val="4B30F7A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9251E38"/>
    <w:multiLevelType w:val="hybridMultilevel"/>
    <w:tmpl w:val="0708FA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96550F6"/>
    <w:multiLevelType w:val="hybridMultilevel"/>
    <w:tmpl w:val="4E1AA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36046897"/>
    <w:multiLevelType w:val="hybridMultilevel"/>
    <w:tmpl w:val="49D60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E42210D"/>
    <w:multiLevelType w:val="hybridMultilevel"/>
    <w:tmpl w:val="652CDBA2"/>
    <w:lvl w:ilvl="0" w:tplc="041A0017">
      <w:start w:val="1"/>
      <w:numFmt w:val="lowerLetter"/>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1" w15:restartNumberingAfterBreak="0">
    <w:nsid w:val="3F170A1C"/>
    <w:multiLevelType w:val="hybridMultilevel"/>
    <w:tmpl w:val="13FC22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01648A8"/>
    <w:multiLevelType w:val="hybridMultilevel"/>
    <w:tmpl w:val="E1B0B0B6"/>
    <w:lvl w:ilvl="0" w:tplc="94E22872">
      <w:start w:val="4"/>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15:restartNumberingAfterBreak="0">
    <w:nsid w:val="43ED2906"/>
    <w:multiLevelType w:val="hybridMultilevel"/>
    <w:tmpl w:val="2CA88C12"/>
    <w:lvl w:ilvl="0" w:tplc="04090001">
      <w:start w:val="1"/>
      <w:numFmt w:val="bullet"/>
      <w:lvlText w:val=""/>
      <w:lvlJc w:val="left"/>
      <w:pPr>
        <w:tabs>
          <w:tab w:val="num" w:pos="1040"/>
        </w:tabs>
        <w:ind w:left="1040" w:hanging="360"/>
      </w:pPr>
      <w:rPr>
        <w:rFonts w:ascii="Symbol" w:hAnsi="Symbo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24" w15:restartNumberingAfterBreak="0">
    <w:nsid w:val="47AF4B18"/>
    <w:multiLevelType w:val="hybridMultilevel"/>
    <w:tmpl w:val="5EEA9D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4C6D4680"/>
    <w:multiLevelType w:val="hybridMultilevel"/>
    <w:tmpl w:val="FD347504"/>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4CFC2DCA"/>
    <w:multiLevelType w:val="hybridMultilevel"/>
    <w:tmpl w:val="0FFED9A0"/>
    <w:lvl w:ilvl="0" w:tplc="041A0001">
      <w:start w:val="1"/>
      <w:numFmt w:val="bullet"/>
      <w:lvlText w:val=""/>
      <w:lvlJc w:val="left"/>
      <w:pPr>
        <w:tabs>
          <w:tab w:val="num" w:pos="720"/>
        </w:tabs>
        <w:ind w:left="720" w:hanging="360"/>
      </w:pPr>
      <w:rPr>
        <w:rFonts w:ascii="Symbol" w:hAnsi="Symbol" w:hint="default"/>
        <w:b w:val="0"/>
        <w:i w:val="0"/>
      </w:rPr>
    </w:lvl>
    <w:lvl w:ilvl="1" w:tplc="E8885CC6">
      <w:numFmt w:val="bullet"/>
      <w:lvlText w:val="-"/>
      <w:lvlJc w:val="left"/>
      <w:pPr>
        <w:tabs>
          <w:tab w:val="num" w:pos="1800"/>
        </w:tabs>
        <w:ind w:left="1800" w:hanging="360"/>
      </w:pPr>
      <w:rPr>
        <w:rFonts w:hint="default"/>
      </w:rPr>
    </w:lvl>
    <w:lvl w:ilvl="2" w:tplc="041A001B">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27" w15:restartNumberingAfterBreak="0">
    <w:nsid w:val="51AB422E"/>
    <w:multiLevelType w:val="hybridMultilevel"/>
    <w:tmpl w:val="2870C9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4603FBB"/>
    <w:multiLevelType w:val="hybridMultilevel"/>
    <w:tmpl w:val="226E37CA"/>
    <w:lvl w:ilvl="0" w:tplc="38465924">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DE2000"/>
    <w:multiLevelType w:val="hybridMultilevel"/>
    <w:tmpl w:val="A6B28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65B50E0F"/>
    <w:multiLevelType w:val="hybridMultilevel"/>
    <w:tmpl w:val="304C2C5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E9D5019"/>
    <w:multiLevelType w:val="hybridMultilevel"/>
    <w:tmpl w:val="4F481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F08558A"/>
    <w:multiLevelType w:val="hybridMultilevel"/>
    <w:tmpl w:val="BA26F4E2"/>
    <w:lvl w:ilvl="0" w:tplc="AB4AC9F8">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EB379BB"/>
    <w:multiLevelType w:val="hybridMultilevel"/>
    <w:tmpl w:val="912CCFF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7FCB58C6"/>
    <w:multiLevelType w:val="hybridMultilevel"/>
    <w:tmpl w:val="D8F82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713456503">
    <w:abstractNumId w:val="15"/>
  </w:num>
  <w:num w:numId="2" w16cid:durableId="1309818179">
    <w:abstractNumId w:val="12"/>
  </w:num>
  <w:num w:numId="3" w16cid:durableId="1671787576">
    <w:abstractNumId w:val="0"/>
  </w:num>
  <w:num w:numId="4" w16cid:durableId="424497268">
    <w:abstractNumId w:val="10"/>
  </w:num>
  <w:num w:numId="5" w16cid:durableId="892472186">
    <w:abstractNumId w:val="13"/>
  </w:num>
  <w:num w:numId="6" w16cid:durableId="980647261">
    <w:abstractNumId w:val="16"/>
  </w:num>
  <w:num w:numId="7" w16cid:durableId="1234123405">
    <w:abstractNumId w:val="28"/>
  </w:num>
  <w:num w:numId="8" w16cid:durableId="1575433122">
    <w:abstractNumId w:val="25"/>
  </w:num>
  <w:num w:numId="9" w16cid:durableId="1759402110">
    <w:abstractNumId w:val="8"/>
  </w:num>
  <w:num w:numId="10" w16cid:durableId="118694084">
    <w:abstractNumId w:val="33"/>
  </w:num>
  <w:num w:numId="11" w16cid:durableId="1124812181">
    <w:abstractNumId w:val="21"/>
  </w:num>
  <w:num w:numId="12" w16cid:durableId="1685395267">
    <w:abstractNumId w:val="11"/>
  </w:num>
  <w:num w:numId="13" w16cid:durableId="132329262">
    <w:abstractNumId w:val="17"/>
  </w:num>
  <w:num w:numId="14" w16cid:durableId="576404965">
    <w:abstractNumId w:val="30"/>
  </w:num>
  <w:num w:numId="15" w16cid:durableId="1950744814">
    <w:abstractNumId w:val="24"/>
  </w:num>
  <w:num w:numId="16" w16cid:durableId="1362783412">
    <w:abstractNumId w:val="27"/>
  </w:num>
  <w:num w:numId="17" w16cid:durableId="2126000584">
    <w:abstractNumId w:val="19"/>
  </w:num>
  <w:num w:numId="18" w16cid:durableId="318968599">
    <w:abstractNumId w:val="34"/>
  </w:num>
  <w:num w:numId="19" w16cid:durableId="1349454248">
    <w:abstractNumId w:val="29"/>
  </w:num>
  <w:num w:numId="20" w16cid:durableId="777875912">
    <w:abstractNumId w:val="6"/>
  </w:num>
  <w:num w:numId="21" w16cid:durableId="1212494897">
    <w:abstractNumId w:val="2"/>
  </w:num>
  <w:num w:numId="22" w16cid:durableId="2066174122">
    <w:abstractNumId w:val="23"/>
  </w:num>
  <w:num w:numId="23" w16cid:durableId="971983284">
    <w:abstractNumId w:val="18"/>
  </w:num>
  <w:num w:numId="24" w16cid:durableId="1215234186">
    <w:abstractNumId w:val="31"/>
  </w:num>
  <w:num w:numId="25" w16cid:durableId="1633174148">
    <w:abstractNumId w:val="5"/>
  </w:num>
  <w:num w:numId="26" w16cid:durableId="120268544">
    <w:abstractNumId w:val="3"/>
  </w:num>
  <w:num w:numId="27" w16cid:durableId="1814524189">
    <w:abstractNumId w:val="7"/>
  </w:num>
  <w:num w:numId="28" w16cid:durableId="1784228711">
    <w:abstractNumId w:val="22"/>
  </w:num>
  <w:num w:numId="29" w16cid:durableId="1061057361">
    <w:abstractNumId w:val="4"/>
  </w:num>
  <w:num w:numId="30" w16cid:durableId="647974329">
    <w:abstractNumId w:val="14"/>
  </w:num>
  <w:num w:numId="31" w16cid:durableId="16867095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06057058">
    <w:abstractNumId w:val="1"/>
  </w:num>
  <w:num w:numId="33" w16cid:durableId="1934435091">
    <w:abstractNumId w:val="9"/>
  </w:num>
  <w:num w:numId="34" w16cid:durableId="1909531041">
    <w:abstractNumId w:val="32"/>
  </w:num>
  <w:num w:numId="35" w16cid:durableId="207434869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86C"/>
    <w:rsid w:val="00001D7B"/>
    <w:rsid w:val="00002E3A"/>
    <w:rsid w:val="000116C5"/>
    <w:rsid w:val="00012828"/>
    <w:rsid w:val="00014F68"/>
    <w:rsid w:val="0001501B"/>
    <w:rsid w:val="000172FF"/>
    <w:rsid w:val="00026E39"/>
    <w:rsid w:val="00026FC8"/>
    <w:rsid w:val="000276E6"/>
    <w:rsid w:val="00030BE3"/>
    <w:rsid w:val="00033609"/>
    <w:rsid w:val="00033FC5"/>
    <w:rsid w:val="000347AB"/>
    <w:rsid w:val="00034932"/>
    <w:rsid w:val="000366CA"/>
    <w:rsid w:val="00041126"/>
    <w:rsid w:val="0004135C"/>
    <w:rsid w:val="00043B33"/>
    <w:rsid w:val="00044269"/>
    <w:rsid w:val="000452F5"/>
    <w:rsid w:val="000459E9"/>
    <w:rsid w:val="00047ED0"/>
    <w:rsid w:val="0005056B"/>
    <w:rsid w:val="00050921"/>
    <w:rsid w:val="000519C0"/>
    <w:rsid w:val="0005296F"/>
    <w:rsid w:val="00053760"/>
    <w:rsid w:val="00053BCA"/>
    <w:rsid w:val="000542DC"/>
    <w:rsid w:val="00054F7B"/>
    <w:rsid w:val="00055F06"/>
    <w:rsid w:val="00056FBD"/>
    <w:rsid w:val="0006181E"/>
    <w:rsid w:val="00061828"/>
    <w:rsid w:val="00063BE8"/>
    <w:rsid w:val="000640FB"/>
    <w:rsid w:val="00065DB6"/>
    <w:rsid w:val="000671E0"/>
    <w:rsid w:val="00071D13"/>
    <w:rsid w:val="00080FFF"/>
    <w:rsid w:val="00082531"/>
    <w:rsid w:val="00086A14"/>
    <w:rsid w:val="00087454"/>
    <w:rsid w:val="000906C4"/>
    <w:rsid w:val="000927B5"/>
    <w:rsid w:val="0009284B"/>
    <w:rsid w:val="00095931"/>
    <w:rsid w:val="00096690"/>
    <w:rsid w:val="000A03CA"/>
    <w:rsid w:val="000A0C91"/>
    <w:rsid w:val="000A0E43"/>
    <w:rsid w:val="000A1409"/>
    <w:rsid w:val="000A18D1"/>
    <w:rsid w:val="000A271C"/>
    <w:rsid w:val="000A27EA"/>
    <w:rsid w:val="000A2EF9"/>
    <w:rsid w:val="000A3088"/>
    <w:rsid w:val="000A6967"/>
    <w:rsid w:val="000A6E26"/>
    <w:rsid w:val="000A74BA"/>
    <w:rsid w:val="000B0378"/>
    <w:rsid w:val="000B11D1"/>
    <w:rsid w:val="000B3C66"/>
    <w:rsid w:val="000B424D"/>
    <w:rsid w:val="000B4444"/>
    <w:rsid w:val="000C013A"/>
    <w:rsid w:val="000C29EA"/>
    <w:rsid w:val="000C2FC9"/>
    <w:rsid w:val="000C54A8"/>
    <w:rsid w:val="000C7121"/>
    <w:rsid w:val="000C7C66"/>
    <w:rsid w:val="000C7E59"/>
    <w:rsid w:val="000D12F2"/>
    <w:rsid w:val="000D12FF"/>
    <w:rsid w:val="000D21C4"/>
    <w:rsid w:val="000D3CE9"/>
    <w:rsid w:val="000D4693"/>
    <w:rsid w:val="000D48AA"/>
    <w:rsid w:val="000D5894"/>
    <w:rsid w:val="000D77BD"/>
    <w:rsid w:val="000E0285"/>
    <w:rsid w:val="000E1F3A"/>
    <w:rsid w:val="000E693B"/>
    <w:rsid w:val="000E7CD5"/>
    <w:rsid w:val="000F0D87"/>
    <w:rsid w:val="000F1BD9"/>
    <w:rsid w:val="000F2CE4"/>
    <w:rsid w:val="000F3B84"/>
    <w:rsid w:val="000F406B"/>
    <w:rsid w:val="000F4203"/>
    <w:rsid w:val="000F455E"/>
    <w:rsid w:val="000F587E"/>
    <w:rsid w:val="000F5D1C"/>
    <w:rsid w:val="001005AE"/>
    <w:rsid w:val="001038A3"/>
    <w:rsid w:val="00104D02"/>
    <w:rsid w:val="0010578D"/>
    <w:rsid w:val="001061E5"/>
    <w:rsid w:val="00106FF5"/>
    <w:rsid w:val="00107766"/>
    <w:rsid w:val="0011060A"/>
    <w:rsid w:val="0011144D"/>
    <w:rsid w:val="00111724"/>
    <w:rsid w:val="00112FAF"/>
    <w:rsid w:val="00115D73"/>
    <w:rsid w:val="00120D49"/>
    <w:rsid w:val="0012187E"/>
    <w:rsid w:val="00122320"/>
    <w:rsid w:val="00123748"/>
    <w:rsid w:val="00123C51"/>
    <w:rsid w:val="00123D38"/>
    <w:rsid w:val="001246E6"/>
    <w:rsid w:val="00125A6A"/>
    <w:rsid w:val="00126735"/>
    <w:rsid w:val="001317EE"/>
    <w:rsid w:val="001326D5"/>
    <w:rsid w:val="00137D9B"/>
    <w:rsid w:val="0014012C"/>
    <w:rsid w:val="00140901"/>
    <w:rsid w:val="00145D68"/>
    <w:rsid w:val="00146ADB"/>
    <w:rsid w:val="00152C14"/>
    <w:rsid w:val="0015327B"/>
    <w:rsid w:val="0015416D"/>
    <w:rsid w:val="0015644A"/>
    <w:rsid w:val="001565F7"/>
    <w:rsid w:val="0016173E"/>
    <w:rsid w:val="0016320C"/>
    <w:rsid w:val="0016387E"/>
    <w:rsid w:val="00163A49"/>
    <w:rsid w:val="00164AC2"/>
    <w:rsid w:val="00165B1C"/>
    <w:rsid w:val="001675D9"/>
    <w:rsid w:val="00170237"/>
    <w:rsid w:val="001709C7"/>
    <w:rsid w:val="0017246C"/>
    <w:rsid w:val="00174255"/>
    <w:rsid w:val="0017465B"/>
    <w:rsid w:val="00175A2F"/>
    <w:rsid w:val="001813A0"/>
    <w:rsid w:val="00185913"/>
    <w:rsid w:val="001920D4"/>
    <w:rsid w:val="00192670"/>
    <w:rsid w:val="00193E74"/>
    <w:rsid w:val="00194E4A"/>
    <w:rsid w:val="00195048"/>
    <w:rsid w:val="00196DC1"/>
    <w:rsid w:val="001978F8"/>
    <w:rsid w:val="001A0FCB"/>
    <w:rsid w:val="001A34C1"/>
    <w:rsid w:val="001A3B2C"/>
    <w:rsid w:val="001A5920"/>
    <w:rsid w:val="001A5AFB"/>
    <w:rsid w:val="001A5B79"/>
    <w:rsid w:val="001A771C"/>
    <w:rsid w:val="001B247D"/>
    <w:rsid w:val="001B3C02"/>
    <w:rsid w:val="001B3EC2"/>
    <w:rsid w:val="001B41B2"/>
    <w:rsid w:val="001B4CE5"/>
    <w:rsid w:val="001B5068"/>
    <w:rsid w:val="001B63DC"/>
    <w:rsid w:val="001B6E97"/>
    <w:rsid w:val="001C09A3"/>
    <w:rsid w:val="001C4E73"/>
    <w:rsid w:val="001C4EDF"/>
    <w:rsid w:val="001C6A70"/>
    <w:rsid w:val="001C7133"/>
    <w:rsid w:val="001C7749"/>
    <w:rsid w:val="001C7D17"/>
    <w:rsid w:val="001D21DB"/>
    <w:rsid w:val="001D324B"/>
    <w:rsid w:val="001D34E7"/>
    <w:rsid w:val="001D5A2F"/>
    <w:rsid w:val="001D655B"/>
    <w:rsid w:val="001D67EF"/>
    <w:rsid w:val="001D68EE"/>
    <w:rsid w:val="001D7814"/>
    <w:rsid w:val="001E02C6"/>
    <w:rsid w:val="001E0441"/>
    <w:rsid w:val="001E1541"/>
    <w:rsid w:val="001E2FAF"/>
    <w:rsid w:val="001E306C"/>
    <w:rsid w:val="001E332F"/>
    <w:rsid w:val="001E4F68"/>
    <w:rsid w:val="001F1A14"/>
    <w:rsid w:val="001F340A"/>
    <w:rsid w:val="001F3B24"/>
    <w:rsid w:val="001F44BA"/>
    <w:rsid w:val="001F4898"/>
    <w:rsid w:val="001F5BB8"/>
    <w:rsid w:val="001F7BAB"/>
    <w:rsid w:val="00200889"/>
    <w:rsid w:val="002016C6"/>
    <w:rsid w:val="002040A2"/>
    <w:rsid w:val="00204C3D"/>
    <w:rsid w:val="00206495"/>
    <w:rsid w:val="00206C1A"/>
    <w:rsid w:val="002076DB"/>
    <w:rsid w:val="00210521"/>
    <w:rsid w:val="00210807"/>
    <w:rsid w:val="002123AD"/>
    <w:rsid w:val="002132BA"/>
    <w:rsid w:val="00213B92"/>
    <w:rsid w:val="00213CC0"/>
    <w:rsid w:val="002143DD"/>
    <w:rsid w:val="002172AF"/>
    <w:rsid w:val="002177B4"/>
    <w:rsid w:val="002201B4"/>
    <w:rsid w:val="00220BF4"/>
    <w:rsid w:val="0022100D"/>
    <w:rsid w:val="002229C7"/>
    <w:rsid w:val="00224821"/>
    <w:rsid w:val="00224B68"/>
    <w:rsid w:val="00231874"/>
    <w:rsid w:val="002322E7"/>
    <w:rsid w:val="00232314"/>
    <w:rsid w:val="00236A5E"/>
    <w:rsid w:val="00241BA0"/>
    <w:rsid w:val="00242B62"/>
    <w:rsid w:val="00243D16"/>
    <w:rsid w:val="00243D53"/>
    <w:rsid w:val="00245283"/>
    <w:rsid w:val="00245EE4"/>
    <w:rsid w:val="00247298"/>
    <w:rsid w:val="002479D0"/>
    <w:rsid w:val="002511E2"/>
    <w:rsid w:val="00252822"/>
    <w:rsid w:val="00252DFA"/>
    <w:rsid w:val="00253968"/>
    <w:rsid w:val="0025453D"/>
    <w:rsid w:val="00255D09"/>
    <w:rsid w:val="00256838"/>
    <w:rsid w:val="00256D7B"/>
    <w:rsid w:val="00257A5A"/>
    <w:rsid w:val="002646F2"/>
    <w:rsid w:val="002650D5"/>
    <w:rsid w:val="00265A34"/>
    <w:rsid w:val="00266799"/>
    <w:rsid w:val="00272177"/>
    <w:rsid w:val="00273A96"/>
    <w:rsid w:val="00274D1A"/>
    <w:rsid w:val="00276EFF"/>
    <w:rsid w:val="002827F6"/>
    <w:rsid w:val="00285891"/>
    <w:rsid w:val="00285DDD"/>
    <w:rsid w:val="002910E3"/>
    <w:rsid w:val="00291D38"/>
    <w:rsid w:val="00291DDD"/>
    <w:rsid w:val="00295417"/>
    <w:rsid w:val="00296A29"/>
    <w:rsid w:val="002973F3"/>
    <w:rsid w:val="002A0425"/>
    <w:rsid w:val="002A06D3"/>
    <w:rsid w:val="002A53C7"/>
    <w:rsid w:val="002A63DD"/>
    <w:rsid w:val="002B0C5C"/>
    <w:rsid w:val="002B0E09"/>
    <w:rsid w:val="002B23C7"/>
    <w:rsid w:val="002B241F"/>
    <w:rsid w:val="002B25E9"/>
    <w:rsid w:val="002B3067"/>
    <w:rsid w:val="002B4982"/>
    <w:rsid w:val="002B4F5E"/>
    <w:rsid w:val="002B5711"/>
    <w:rsid w:val="002C1C6B"/>
    <w:rsid w:val="002C2702"/>
    <w:rsid w:val="002C363E"/>
    <w:rsid w:val="002C48FC"/>
    <w:rsid w:val="002C672B"/>
    <w:rsid w:val="002C67DE"/>
    <w:rsid w:val="002D200D"/>
    <w:rsid w:val="002D6529"/>
    <w:rsid w:val="002D775A"/>
    <w:rsid w:val="002E10FA"/>
    <w:rsid w:val="002E180A"/>
    <w:rsid w:val="002E1FE0"/>
    <w:rsid w:val="002E263E"/>
    <w:rsid w:val="002E49B8"/>
    <w:rsid w:val="002E4A7A"/>
    <w:rsid w:val="002E7102"/>
    <w:rsid w:val="002F173C"/>
    <w:rsid w:val="002F20EB"/>
    <w:rsid w:val="00304E90"/>
    <w:rsid w:val="00305692"/>
    <w:rsid w:val="003058A6"/>
    <w:rsid w:val="00306935"/>
    <w:rsid w:val="00307561"/>
    <w:rsid w:val="0031280F"/>
    <w:rsid w:val="00313C88"/>
    <w:rsid w:val="00321829"/>
    <w:rsid w:val="00322BC8"/>
    <w:rsid w:val="00324034"/>
    <w:rsid w:val="003247D0"/>
    <w:rsid w:val="003278AB"/>
    <w:rsid w:val="003278D6"/>
    <w:rsid w:val="003311C4"/>
    <w:rsid w:val="0033165E"/>
    <w:rsid w:val="0033295F"/>
    <w:rsid w:val="00335A18"/>
    <w:rsid w:val="00336293"/>
    <w:rsid w:val="00337155"/>
    <w:rsid w:val="00337D4B"/>
    <w:rsid w:val="00340D87"/>
    <w:rsid w:val="003413FF"/>
    <w:rsid w:val="00342CC7"/>
    <w:rsid w:val="003433DC"/>
    <w:rsid w:val="00344BAD"/>
    <w:rsid w:val="00347F1D"/>
    <w:rsid w:val="00350ADB"/>
    <w:rsid w:val="00352036"/>
    <w:rsid w:val="00352FF0"/>
    <w:rsid w:val="00356744"/>
    <w:rsid w:val="00360A06"/>
    <w:rsid w:val="0036135C"/>
    <w:rsid w:val="00361719"/>
    <w:rsid w:val="00364313"/>
    <w:rsid w:val="003650D0"/>
    <w:rsid w:val="00371BD0"/>
    <w:rsid w:val="003733E8"/>
    <w:rsid w:val="003741D2"/>
    <w:rsid w:val="0037442F"/>
    <w:rsid w:val="003757A3"/>
    <w:rsid w:val="00387C21"/>
    <w:rsid w:val="003908B0"/>
    <w:rsid w:val="00391047"/>
    <w:rsid w:val="00392DDD"/>
    <w:rsid w:val="00392F70"/>
    <w:rsid w:val="003A2761"/>
    <w:rsid w:val="003A286E"/>
    <w:rsid w:val="003A3244"/>
    <w:rsid w:val="003A487C"/>
    <w:rsid w:val="003A4FC8"/>
    <w:rsid w:val="003A5740"/>
    <w:rsid w:val="003A6798"/>
    <w:rsid w:val="003A7291"/>
    <w:rsid w:val="003B0F10"/>
    <w:rsid w:val="003B45F7"/>
    <w:rsid w:val="003B5439"/>
    <w:rsid w:val="003B63AF"/>
    <w:rsid w:val="003B71C5"/>
    <w:rsid w:val="003B782C"/>
    <w:rsid w:val="003B7899"/>
    <w:rsid w:val="003C0138"/>
    <w:rsid w:val="003C33CB"/>
    <w:rsid w:val="003C557A"/>
    <w:rsid w:val="003C78A7"/>
    <w:rsid w:val="003C7AEF"/>
    <w:rsid w:val="003D1614"/>
    <w:rsid w:val="003D2714"/>
    <w:rsid w:val="003D3B97"/>
    <w:rsid w:val="003D77A5"/>
    <w:rsid w:val="003E23D6"/>
    <w:rsid w:val="003E2F5E"/>
    <w:rsid w:val="003E4CD2"/>
    <w:rsid w:val="003E4CD7"/>
    <w:rsid w:val="003E5073"/>
    <w:rsid w:val="003E5EE6"/>
    <w:rsid w:val="003E6F90"/>
    <w:rsid w:val="003F032B"/>
    <w:rsid w:val="003F18EC"/>
    <w:rsid w:val="003F1C70"/>
    <w:rsid w:val="003F2B6A"/>
    <w:rsid w:val="003F3BCF"/>
    <w:rsid w:val="003F5C56"/>
    <w:rsid w:val="003F6BFF"/>
    <w:rsid w:val="003F6DDE"/>
    <w:rsid w:val="004000B4"/>
    <w:rsid w:val="0040073C"/>
    <w:rsid w:val="00400C47"/>
    <w:rsid w:val="0040266B"/>
    <w:rsid w:val="0041014F"/>
    <w:rsid w:val="004127DC"/>
    <w:rsid w:val="004135C2"/>
    <w:rsid w:val="00413DAD"/>
    <w:rsid w:val="00416049"/>
    <w:rsid w:val="004172CB"/>
    <w:rsid w:val="00420A40"/>
    <w:rsid w:val="0042271A"/>
    <w:rsid w:val="00427EF0"/>
    <w:rsid w:val="00431452"/>
    <w:rsid w:val="00444A54"/>
    <w:rsid w:val="00445231"/>
    <w:rsid w:val="0045152A"/>
    <w:rsid w:val="004516D7"/>
    <w:rsid w:val="00453253"/>
    <w:rsid w:val="004543FC"/>
    <w:rsid w:val="0045443F"/>
    <w:rsid w:val="0045461B"/>
    <w:rsid w:val="004608BF"/>
    <w:rsid w:val="00460D11"/>
    <w:rsid w:val="00464D80"/>
    <w:rsid w:val="00465E49"/>
    <w:rsid w:val="00466021"/>
    <w:rsid w:val="00466FF3"/>
    <w:rsid w:val="0047097F"/>
    <w:rsid w:val="00475943"/>
    <w:rsid w:val="00476FF0"/>
    <w:rsid w:val="004775A2"/>
    <w:rsid w:val="004777B5"/>
    <w:rsid w:val="00482E5E"/>
    <w:rsid w:val="00484DB0"/>
    <w:rsid w:val="00486571"/>
    <w:rsid w:val="004878DE"/>
    <w:rsid w:val="00490FB6"/>
    <w:rsid w:val="00492DC1"/>
    <w:rsid w:val="004931E7"/>
    <w:rsid w:val="00493A2C"/>
    <w:rsid w:val="00494656"/>
    <w:rsid w:val="004973A5"/>
    <w:rsid w:val="00497F7F"/>
    <w:rsid w:val="004A0246"/>
    <w:rsid w:val="004A1D81"/>
    <w:rsid w:val="004A2725"/>
    <w:rsid w:val="004A2894"/>
    <w:rsid w:val="004A31B9"/>
    <w:rsid w:val="004A3563"/>
    <w:rsid w:val="004A41E2"/>
    <w:rsid w:val="004A58D8"/>
    <w:rsid w:val="004B021E"/>
    <w:rsid w:val="004B083E"/>
    <w:rsid w:val="004B39D6"/>
    <w:rsid w:val="004C0330"/>
    <w:rsid w:val="004C0F3F"/>
    <w:rsid w:val="004C335F"/>
    <w:rsid w:val="004C33EB"/>
    <w:rsid w:val="004C5054"/>
    <w:rsid w:val="004D114C"/>
    <w:rsid w:val="004D43AA"/>
    <w:rsid w:val="004D48F3"/>
    <w:rsid w:val="004D4A63"/>
    <w:rsid w:val="004D5114"/>
    <w:rsid w:val="004E1D97"/>
    <w:rsid w:val="004E2CCE"/>
    <w:rsid w:val="004E4FA5"/>
    <w:rsid w:val="004E5017"/>
    <w:rsid w:val="004F0790"/>
    <w:rsid w:val="004F0B24"/>
    <w:rsid w:val="004F59BC"/>
    <w:rsid w:val="004F6394"/>
    <w:rsid w:val="0050050C"/>
    <w:rsid w:val="00500A63"/>
    <w:rsid w:val="005011C4"/>
    <w:rsid w:val="00502FD2"/>
    <w:rsid w:val="005032ED"/>
    <w:rsid w:val="00503844"/>
    <w:rsid w:val="00504BDA"/>
    <w:rsid w:val="00505224"/>
    <w:rsid w:val="005053A5"/>
    <w:rsid w:val="00506633"/>
    <w:rsid w:val="00506A08"/>
    <w:rsid w:val="00507083"/>
    <w:rsid w:val="00515A16"/>
    <w:rsid w:val="00521053"/>
    <w:rsid w:val="00523565"/>
    <w:rsid w:val="005243D8"/>
    <w:rsid w:val="0052627E"/>
    <w:rsid w:val="005279A3"/>
    <w:rsid w:val="005302AC"/>
    <w:rsid w:val="0053039E"/>
    <w:rsid w:val="00530878"/>
    <w:rsid w:val="0053176F"/>
    <w:rsid w:val="00531BCE"/>
    <w:rsid w:val="00531C08"/>
    <w:rsid w:val="00531D68"/>
    <w:rsid w:val="00532982"/>
    <w:rsid w:val="005333AB"/>
    <w:rsid w:val="0053342B"/>
    <w:rsid w:val="00534C35"/>
    <w:rsid w:val="00537633"/>
    <w:rsid w:val="00542761"/>
    <w:rsid w:val="005438C2"/>
    <w:rsid w:val="005453DD"/>
    <w:rsid w:val="005462F3"/>
    <w:rsid w:val="00550C38"/>
    <w:rsid w:val="005513A1"/>
    <w:rsid w:val="005516F0"/>
    <w:rsid w:val="00553F36"/>
    <w:rsid w:val="005558FF"/>
    <w:rsid w:val="0055776B"/>
    <w:rsid w:val="0056069E"/>
    <w:rsid w:val="00561C5F"/>
    <w:rsid w:val="00562001"/>
    <w:rsid w:val="0056686B"/>
    <w:rsid w:val="00573A60"/>
    <w:rsid w:val="0057619A"/>
    <w:rsid w:val="00584341"/>
    <w:rsid w:val="00585834"/>
    <w:rsid w:val="00591BD2"/>
    <w:rsid w:val="00592958"/>
    <w:rsid w:val="00592C79"/>
    <w:rsid w:val="00592CE4"/>
    <w:rsid w:val="00593EDC"/>
    <w:rsid w:val="005A06C8"/>
    <w:rsid w:val="005A078E"/>
    <w:rsid w:val="005A1ACC"/>
    <w:rsid w:val="005A1F61"/>
    <w:rsid w:val="005A401D"/>
    <w:rsid w:val="005A713F"/>
    <w:rsid w:val="005B4A2D"/>
    <w:rsid w:val="005B604C"/>
    <w:rsid w:val="005B62DA"/>
    <w:rsid w:val="005B7EA3"/>
    <w:rsid w:val="005C2756"/>
    <w:rsid w:val="005C61CD"/>
    <w:rsid w:val="005D1219"/>
    <w:rsid w:val="005D1254"/>
    <w:rsid w:val="005D4EA5"/>
    <w:rsid w:val="005D5085"/>
    <w:rsid w:val="005D60E5"/>
    <w:rsid w:val="005D7FB6"/>
    <w:rsid w:val="005E123F"/>
    <w:rsid w:val="005E2C88"/>
    <w:rsid w:val="005E554E"/>
    <w:rsid w:val="005F0D2E"/>
    <w:rsid w:val="005F3E47"/>
    <w:rsid w:val="005F714A"/>
    <w:rsid w:val="005F7218"/>
    <w:rsid w:val="005F74BE"/>
    <w:rsid w:val="005F7F5C"/>
    <w:rsid w:val="006013CB"/>
    <w:rsid w:val="006017C1"/>
    <w:rsid w:val="0060211B"/>
    <w:rsid w:val="006025A2"/>
    <w:rsid w:val="006026D7"/>
    <w:rsid w:val="006029E3"/>
    <w:rsid w:val="00602DA9"/>
    <w:rsid w:val="00604B66"/>
    <w:rsid w:val="00605BB3"/>
    <w:rsid w:val="0061144A"/>
    <w:rsid w:val="00613266"/>
    <w:rsid w:val="0061417D"/>
    <w:rsid w:val="00617755"/>
    <w:rsid w:val="00617CCE"/>
    <w:rsid w:val="00621BC3"/>
    <w:rsid w:val="00622E0B"/>
    <w:rsid w:val="00623A19"/>
    <w:rsid w:val="006243AF"/>
    <w:rsid w:val="00624CCA"/>
    <w:rsid w:val="00625051"/>
    <w:rsid w:val="006254C9"/>
    <w:rsid w:val="00626FB7"/>
    <w:rsid w:val="00627B08"/>
    <w:rsid w:val="00634512"/>
    <w:rsid w:val="00634545"/>
    <w:rsid w:val="006345D9"/>
    <w:rsid w:val="00636064"/>
    <w:rsid w:val="0063747D"/>
    <w:rsid w:val="0064018A"/>
    <w:rsid w:val="0064196B"/>
    <w:rsid w:val="00641BB9"/>
    <w:rsid w:val="00641D49"/>
    <w:rsid w:val="00642688"/>
    <w:rsid w:val="00642A9C"/>
    <w:rsid w:val="006439D2"/>
    <w:rsid w:val="006448A1"/>
    <w:rsid w:val="006457EF"/>
    <w:rsid w:val="00654300"/>
    <w:rsid w:val="006547D9"/>
    <w:rsid w:val="006554EB"/>
    <w:rsid w:val="0065562C"/>
    <w:rsid w:val="006608B5"/>
    <w:rsid w:val="00661446"/>
    <w:rsid w:val="00663528"/>
    <w:rsid w:val="00664343"/>
    <w:rsid w:val="006658CB"/>
    <w:rsid w:val="00667771"/>
    <w:rsid w:val="00670706"/>
    <w:rsid w:val="00670FDC"/>
    <w:rsid w:val="00672AA1"/>
    <w:rsid w:val="006744C0"/>
    <w:rsid w:val="0067706A"/>
    <w:rsid w:val="006807D0"/>
    <w:rsid w:val="0068081D"/>
    <w:rsid w:val="00683000"/>
    <w:rsid w:val="006848BF"/>
    <w:rsid w:val="00686FD6"/>
    <w:rsid w:val="00687A8D"/>
    <w:rsid w:val="00687B83"/>
    <w:rsid w:val="00692E8D"/>
    <w:rsid w:val="00694BB7"/>
    <w:rsid w:val="00695755"/>
    <w:rsid w:val="00696903"/>
    <w:rsid w:val="006A0D92"/>
    <w:rsid w:val="006A263A"/>
    <w:rsid w:val="006A297D"/>
    <w:rsid w:val="006A2FE0"/>
    <w:rsid w:val="006A4FD8"/>
    <w:rsid w:val="006A67A0"/>
    <w:rsid w:val="006A75E0"/>
    <w:rsid w:val="006B217D"/>
    <w:rsid w:val="006B38DC"/>
    <w:rsid w:val="006B3DB0"/>
    <w:rsid w:val="006B3EE4"/>
    <w:rsid w:val="006B48DE"/>
    <w:rsid w:val="006C02B3"/>
    <w:rsid w:val="006C0D13"/>
    <w:rsid w:val="006C1B0A"/>
    <w:rsid w:val="006C348B"/>
    <w:rsid w:val="006C433E"/>
    <w:rsid w:val="006C4CDE"/>
    <w:rsid w:val="006D06CA"/>
    <w:rsid w:val="006D0921"/>
    <w:rsid w:val="006D106D"/>
    <w:rsid w:val="006D31AA"/>
    <w:rsid w:val="006D3658"/>
    <w:rsid w:val="006D58C5"/>
    <w:rsid w:val="006D5D13"/>
    <w:rsid w:val="006D6FE4"/>
    <w:rsid w:val="006E6024"/>
    <w:rsid w:val="006E638F"/>
    <w:rsid w:val="006E72C6"/>
    <w:rsid w:val="006E7D10"/>
    <w:rsid w:val="006F1D8B"/>
    <w:rsid w:val="006F1F5D"/>
    <w:rsid w:val="006F4EBA"/>
    <w:rsid w:val="006F6AB4"/>
    <w:rsid w:val="00701B01"/>
    <w:rsid w:val="007023B6"/>
    <w:rsid w:val="00702707"/>
    <w:rsid w:val="0070366B"/>
    <w:rsid w:val="00704D3C"/>
    <w:rsid w:val="00707B91"/>
    <w:rsid w:val="00710E0E"/>
    <w:rsid w:val="00711634"/>
    <w:rsid w:val="00711E16"/>
    <w:rsid w:val="007136B1"/>
    <w:rsid w:val="0071434F"/>
    <w:rsid w:val="0071767F"/>
    <w:rsid w:val="00721128"/>
    <w:rsid w:val="007214E2"/>
    <w:rsid w:val="00721A5F"/>
    <w:rsid w:val="00726176"/>
    <w:rsid w:val="007269E3"/>
    <w:rsid w:val="007301FA"/>
    <w:rsid w:val="007322A1"/>
    <w:rsid w:val="00732BDD"/>
    <w:rsid w:val="0073449B"/>
    <w:rsid w:val="00734D3A"/>
    <w:rsid w:val="007357FF"/>
    <w:rsid w:val="00735D2B"/>
    <w:rsid w:val="00737443"/>
    <w:rsid w:val="00746F23"/>
    <w:rsid w:val="00750901"/>
    <w:rsid w:val="00753667"/>
    <w:rsid w:val="00753D23"/>
    <w:rsid w:val="00754721"/>
    <w:rsid w:val="007565FE"/>
    <w:rsid w:val="007573D6"/>
    <w:rsid w:val="00757404"/>
    <w:rsid w:val="007574BB"/>
    <w:rsid w:val="00760C70"/>
    <w:rsid w:val="0076245E"/>
    <w:rsid w:val="00762A27"/>
    <w:rsid w:val="00764509"/>
    <w:rsid w:val="00764DAE"/>
    <w:rsid w:val="00771BFE"/>
    <w:rsid w:val="007739FE"/>
    <w:rsid w:val="0077450F"/>
    <w:rsid w:val="00774AC5"/>
    <w:rsid w:val="00776AB6"/>
    <w:rsid w:val="00783B45"/>
    <w:rsid w:val="00783D0E"/>
    <w:rsid w:val="0079032C"/>
    <w:rsid w:val="007927C4"/>
    <w:rsid w:val="00794CBE"/>
    <w:rsid w:val="00795DD8"/>
    <w:rsid w:val="007A0357"/>
    <w:rsid w:val="007A2071"/>
    <w:rsid w:val="007A26AB"/>
    <w:rsid w:val="007A2C1D"/>
    <w:rsid w:val="007A6B47"/>
    <w:rsid w:val="007A77B7"/>
    <w:rsid w:val="007A7842"/>
    <w:rsid w:val="007B0026"/>
    <w:rsid w:val="007B0B79"/>
    <w:rsid w:val="007B1C16"/>
    <w:rsid w:val="007B31F3"/>
    <w:rsid w:val="007C112B"/>
    <w:rsid w:val="007C1D7F"/>
    <w:rsid w:val="007C2FDF"/>
    <w:rsid w:val="007C3A70"/>
    <w:rsid w:val="007D16AC"/>
    <w:rsid w:val="007D1B8C"/>
    <w:rsid w:val="007D2401"/>
    <w:rsid w:val="007D277A"/>
    <w:rsid w:val="007D4BBB"/>
    <w:rsid w:val="007D526F"/>
    <w:rsid w:val="007E2BA1"/>
    <w:rsid w:val="007E50E7"/>
    <w:rsid w:val="007E7466"/>
    <w:rsid w:val="007F0CF6"/>
    <w:rsid w:val="007F18E1"/>
    <w:rsid w:val="007F1EF9"/>
    <w:rsid w:val="007F3AA8"/>
    <w:rsid w:val="007F3CBD"/>
    <w:rsid w:val="007F4888"/>
    <w:rsid w:val="008004E3"/>
    <w:rsid w:val="00801494"/>
    <w:rsid w:val="00803164"/>
    <w:rsid w:val="00803440"/>
    <w:rsid w:val="008043AD"/>
    <w:rsid w:val="00805368"/>
    <w:rsid w:val="00806E49"/>
    <w:rsid w:val="00807ED7"/>
    <w:rsid w:val="00810FD6"/>
    <w:rsid w:val="008129CE"/>
    <w:rsid w:val="00815314"/>
    <w:rsid w:val="0082038D"/>
    <w:rsid w:val="008206D7"/>
    <w:rsid w:val="00822248"/>
    <w:rsid w:val="00822E2D"/>
    <w:rsid w:val="00825AD5"/>
    <w:rsid w:val="00826BA8"/>
    <w:rsid w:val="00827649"/>
    <w:rsid w:val="00831102"/>
    <w:rsid w:val="00832338"/>
    <w:rsid w:val="00832968"/>
    <w:rsid w:val="0083427C"/>
    <w:rsid w:val="00836315"/>
    <w:rsid w:val="00837344"/>
    <w:rsid w:val="00837568"/>
    <w:rsid w:val="00841BAC"/>
    <w:rsid w:val="00841D53"/>
    <w:rsid w:val="008427A4"/>
    <w:rsid w:val="00842C8B"/>
    <w:rsid w:val="0084361A"/>
    <w:rsid w:val="00843998"/>
    <w:rsid w:val="00847D57"/>
    <w:rsid w:val="008513CA"/>
    <w:rsid w:val="00851E2A"/>
    <w:rsid w:val="008539B4"/>
    <w:rsid w:val="008552FD"/>
    <w:rsid w:val="00856CFF"/>
    <w:rsid w:val="00856DF2"/>
    <w:rsid w:val="00856EAF"/>
    <w:rsid w:val="00857194"/>
    <w:rsid w:val="00857ACA"/>
    <w:rsid w:val="00860B28"/>
    <w:rsid w:val="00861090"/>
    <w:rsid w:val="00861197"/>
    <w:rsid w:val="00865A21"/>
    <w:rsid w:val="0086682B"/>
    <w:rsid w:val="00867085"/>
    <w:rsid w:val="00867A2C"/>
    <w:rsid w:val="00870460"/>
    <w:rsid w:val="00871FD0"/>
    <w:rsid w:val="0087267F"/>
    <w:rsid w:val="00873D32"/>
    <w:rsid w:val="00875BA8"/>
    <w:rsid w:val="008774B9"/>
    <w:rsid w:val="00877FB2"/>
    <w:rsid w:val="00881602"/>
    <w:rsid w:val="00884386"/>
    <w:rsid w:val="0088467A"/>
    <w:rsid w:val="0088484F"/>
    <w:rsid w:val="008850F5"/>
    <w:rsid w:val="008868C8"/>
    <w:rsid w:val="00886C62"/>
    <w:rsid w:val="0088718D"/>
    <w:rsid w:val="00891F9B"/>
    <w:rsid w:val="0089459E"/>
    <w:rsid w:val="008970F4"/>
    <w:rsid w:val="008A2E38"/>
    <w:rsid w:val="008A2FA6"/>
    <w:rsid w:val="008A3BBE"/>
    <w:rsid w:val="008A794D"/>
    <w:rsid w:val="008B093C"/>
    <w:rsid w:val="008B13B1"/>
    <w:rsid w:val="008B2FBE"/>
    <w:rsid w:val="008B473B"/>
    <w:rsid w:val="008C1115"/>
    <w:rsid w:val="008C368A"/>
    <w:rsid w:val="008C374C"/>
    <w:rsid w:val="008C3EC2"/>
    <w:rsid w:val="008C4754"/>
    <w:rsid w:val="008C4AFE"/>
    <w:rsid w:val="008C4E11"/>
    <w:rsid w:val="008C517F"/>
    <w:rsid w:val="008D3601"/>
    <w:rsid w:val="008D5CC1"/>
    <w:rsid w:val="008D7364"/>
    <w:rsid w:val="008E13E7"/>
    <w:rsid w:val="008E157F"/>
    <w:rsid w:val="008E60BA"/>
    <w:rsid w:val="008F063A"/>
    <w:rsid w:val="008F09B7"/>
    <w:rsid w:val="008F3CAA"/>
    <w:rsid w:val="0090056A"/>
    <w:rsid w:val="009013CC"/>
    <w:rsid w:val="00901709"/>
    <w:rsid w:val="0090386C"/>
    <w:rsid w:val="009066C8"/>
    <w:rsid w:val="00910726"/>
    <w:rsid w:val="00911029"/>
    <w:rsid w:val="009121B4"/>
    <w:rsid w:val="00914073"/>
    <w:rsid w:val="00915EA7"/>
    <w:rsid w:val="0091679F"/>
    <w:rsid w:val="00916F14"/>
    <w:rsid w:val="00917B65"/>
    <w:rsid w:val="00920D59"/>
    <w:rsid w:val="009218FE"/>
    <w:rsid w:val="0092416A"/>
    <w:rsid w:val="009243A8"/>
    <w:rsid w:val="009277A2"/>
    <w:rsid w:val="00931521"/>
    <w:rsid w:val="00931852"/>
    <w:rsid w:val="00931D2F"/>
    <w:rsid w:val="00932E4A"/>
    <w:rsid w:val="00935EE7"/>
    <w:rsid w:val="00936516"/>
    <w:rsid w:val="0093691E"/>
    <w:rsid w:val="00937272"/>
    <w:rsid w:val="00937EC8"/>
    <w:rsid w:val="0094156A"/>
    <w:rsid w:val="00941BE8"/>
    <w:rsid w:val="009437D3"/>
    <w:rsid w:val="009454A5"/>
    <w:rsid w:val="00950432"/>
    <w:rsid w:val="00950E82"/>
    <w:rsid w:val="00951803"/>
    <w:rsid w:val="0095347D"/>
    <w:rsid w:val="009534D3"/>
    <w:rsid w:val="00955AAA"/>
    <w:rsid w:val="009561FE"/>
    <w:rsid w:val="0095724C"/>
    <w:rsid w:val="009576B7"/>
    <w:rsid w:val="00960AD5"/>
    <w:rsid w:val="00961A0B"/>
    <w:rsid w:val="00962C3E"/>
    <w:rsid w:val="00962FF6"/>
    <w:rsid w:val="00965E12"/>
    <w:rsid w:val="0096617B"/>
    <w:rsid w:val="009705CA"/>
    <w:rsid w:val="0097195F"/>
    <w:rsid w:val="00971CDD"/>
    <w:rsid w:val="009733FE"/>
    <w:rsid w:val="009760D1"/>
    <w:rsid w:val="00981E39"/>
    <w:rsid w:val="00984BC2"/>
    <w:rsid w:val="00987672"/>
    <w:rsid w:val="0099032C"/>
    <w:rsid w:val="00992E10"/>
    <w:rsid w:val="00994747"/>
    <w:rsid w:val="00994783"/>
    <w:rsid w:val="00994933"/>
    <w:rsid w:val="00994966"/>
    <w:rsid w:val="00994FAC"/>
    <w:rsid w:val="00995A89"/>
    <w:rsid w:val="00996EB1"/>
    <w:rsid w:val="009A0580"/>
    <w:rsid w:val="009A1A33"/>
    <w:rsid w:val="009A2A16"/>
    <w:rsid w:val="009A40A8"/>
    <w:rsid w:val="009A5998"/>
    <w:rsid w:val="009A64AE"/>
    <w:rsid w:val="009A6E32"/>
    <w:rsid w:val="009A728E"/>
    <w:rsid w:val="009A7974"/>
    <w:rsid w:val="009B1C37"/>
    <w:rsid w:val="009B29CD"/>
    <w:rsid w:val="009C05A7"/>
    <w:rsid w:val="009C1971"/>
    <w:rsid w:val="009C53BE"/>
    <w:rsid w:val="009D0E29"/>
    <w:rsid w:val="009D100E"/>
    <w:rsid w:val="009D1920"/>
    <w:rsid w:val="009D3F79"/>
    <w:rsid w:val="009D4F69"/>
    <w:rsid w:val="009D681D"/>
    <w:rsid w:val="009E1759"/>
    <w:rsid w:val="009E280E"/>
    <w:rsid w:val="009E59F7"/>
    <w:rsid w:val="009F38FC"/>
    <w:rsid w:val="009F6455"/>
    <w:rsid w:val="00A01719"/>
    <w:rsid w:val="00A03495"/>
    <w:rsid w:val="00A03849"/>
    <w:rsid w:val="00A05900"/>
    <w:rsid w:val="00A05B99"/>
    <w:rsid w:val="00A0679E"/>
    <w:rsid w:val="00A07D41"/>
    <w:rsid w:val="00A1045A"/>
    <w:rsid w:val="00A11F39"/>
    <w:rsid w:val="00A126C8"/>
    <w:rsid w:val="00A13103"/>
    <w:rsid w:val="00A1449E"/>
    <w:rsid w:val="00A14637"/>
    <w:rsid w:val="00A16B90"/>
    <w:rsid w:val="00A17315"/>
    <w:rsid w:val="00A17457"/>
    <w:rsid w:val="00A17E3F"/>
    <w:rsid w:val="00A211A2"/>
    <w:rsid w:val="00A225C6"/>
    <w:rsid w:val="00A2440C"/>
    <w:rsid w:val="00A269B5"/>
    <w:rsid w:val="00A2710C"/>
    <w:rsid w:val="00A3154A"/>
    <w:rsid w:val="00A31F86"/>
    <w:rsid w:val="00A3297B"/>
    <w:rsid w:val="00A33054"/>
    <w:rsid w:val="00A34416"/>
    <w:rsid w:val="00A40167"/>
    <w:rsid w:val="00A402AE"/>
    <w:rsid w:val="00A4200F"/>
    <w:rsid w:val="00A428C3"/>
    <w:rsid w:val="00A42D0C"/>
    <w:rsid w:val="00A4513C"/>
    <w:rsid w:val="00A47315"/>
    <w:rsid w:val="00A5239F"/>
    <w:rsid w:val="00A52FE3"/>
    <w:rsid w:val="00A5351A"/>
    <w:rsid w:val="00A53569"/>
    <w:rsid w:val="00A536E9"/>
    <w:rsid w:val="00A550A9"/>
    <w:rsid w:val="00A5578C"/>
    <w:rsid w:val="00A56428"/>
    <w:rsid w:val="00A57A29"/>
    <w:rsid w:val="00A60B5A"/>
    <w:rsid w:val="00A615A7"/>
    <w:rsid w:val="00A62051"/>
    <w:rsid w:val="00A63D89"/>
    <w:rsid w:val="00A647B4"/>
    <w:rsid w:val="00A6541C"/>
    <w:rsid w:val="00A656A3"/>
    <w:rsid w:val="00A7237B"/>
    <w:rsid w:val="00A73031"/>
    <w:rsid w:val="00A73AE2"/>
    <w:rsid w:val="00A74E41"/>
    <w:rsid w:val="00A76701"/>
    <w:rsid w:val="00A778F6"/>
    <w:rsid w:val="00A80063"/>
    <w:rsid w:val="00A81ECA"/>
    <w:rsid w:val="00A81FBC"/>
    <w:rsid w:val="00A83F79"/>
    <w:rsid w:val="00A92542"/>
    <w:rsid w:val="00A95EF8"/>
    <w:rsid w:val="00A96B06"/>
    <w:rsid w:val="00AA263F"/>
    <w:rsid w:val="00AA64C6"/>
    <w:rsid w:val="00AA792C"/>
    <w:rsid w:val="00AB1D70"/>
    <w:rsid w:val="00AB2DBC"/>
    <w:rsid w:val="00AB330A"/>
    <w:rsid w:val="00AB5312"/>
    <w:rsid w:val="00AB7FB8"/>
    <w:rsid w:val="00AC0C9E"/>
    <w:rsid w:val="00AC1171"/>
    <w:rsid w:val="00AC1BD2"/>
    <w:rsid w:val="00AC2082"/>
    <w:rsid w:val="00AC212E"/>
    <w:rsid w:val="00AC283B"/>
    <w:rsid w:val="00AC4F01"/>
    <w:rsid w:val="00AC6504"/>
    <w:rsid w:val="00AC71B1"/>
    <w:rsid w:val="00AD2D70"/>
    <w:rsid w:val="00AD5F37"/>
    <w:rsid w:val="00AD660A"/>
    <w:rsid w:val="00AD7B47"/>
    <w:rsid w:val="00AE0E70"/>
    <w:rsid w:val="00AE13B3"/>
    <w:rsid w:val="00AE401B"/>
    <w:rsid w:val="00AE41F3"/>
    <w:rsid w:val="00AE4278"/>
    <w:rsid w:val="00AE4334"/>
    <w:rsid w:val="00AE577D"/>
    <w:rsid w:val="00AE5D99"/>
    <w:rsid w:val="00AF0360"/>
    <w:rsid w:val="00AF11F3"/>
    <w:rsid w:val="00AF6C16"/>
    <w:rsid w:val="00AF74CC"/>
    <w:rsid w:val="00B042CA"/>
    <w:rsid w:val="00B063E3"/>
    <w:rsid w:val="00B06750"/>
    <w:rsid w:val="00B06C61"/>
    <w:rsid w:val="00B10D0F"/>
    <w:rsid w:val="00B11AC6"/>
    <w:rsid w:val="00B128EC"/>
    <w:rsid w:val="00B13DA9"/>
    <w:rsid w:val="00B13DD3"/>
    <w:rsid w:val="00B1754D"/>
    <w:rsid w:val="00B2318A"/>
    <w:rsid w:val="00B23422"/>
    <w:rsid w:val="00B23C44"/>
    <w:rsid w:val="00B2436E"/>
    <w:rsid w:val="00B319DC"/>
    <w:rsid w:val="00B3434F"/>
    <w:rsid w:val="00B35340"/>
    <w:rsid w:val="00B36151"/>
    <w:rsid w:val="00B368C1"/>
    <w:rsid w:val="00B405F5"/>
    <w:rsid w:val="00B417CA"/>
    <w:rsid w:val="00B43E41"/>
    <w:rsid w:val="00B46275"/>
    <w:rsid w:val="00B469E0"/>
    <w:rsid w:val="00B47639"/>
    <w:rsid w:val="00B5038D"/>
    <w:rsid w:val="00B50C0D"/>
    <w:rsid w:val="00B5188C"/>
    <w:rsid w:val="00B51FDB"/>
    <w:rsid w:val="00B557C9"/>
    <w:rsid w:val="00B55F6C"/>
    <w:rsid w:val="00B57C31"/>
    <w:rsid w:val="00B60F8B"/>
    <w:rsid w:val="00B62411"/>
    <w:rsid w:val="00B62709"/>
    <w:rsid w:val="00B637B8"/>
    <w:rsid w:val="00B63CB9"/>
    <w:rsid w:val="00B668A4"/>
    <w:rsid w:val="00B66CB5"/>
    <w:rsid w:val="00B66E7C"/>
    <w:rsid w:val="00B672B0"/>
    <w:rsid w:val="00B679D2"/>
    <w:rsid w:val="00B7015C"/>
    <w:rsid w:val="00B71583"/>
    <w:rsid w:val="00B74E86"/>
    <w:rsid w:val="00B776C7"/>
    <w:rsid w:val="00B80032"/>
    <w:rsid w:val="00B81707"/>
    <w:rsid w:val="00B817E2"/>
    <w:rsid w:val="00B82073"/>
    <w:rsid w:val="00B854DA"/>
    <w:rsid w:val="00B92350"/>
    <w:rsid w:val="00B9302E"/>
    <w:rsid w:val="00B9604A"/>
    <w:rsid w:val="00B975AF"/>
    <w:rsid w:val="00B9782D"/>
    <w:rsid w:val="00BA021C"/>
    <w:rsid w:val="00BA1869"/>
    <w:rsid w:val="00BA2287"/>
    <w:rsid w:val="00BA22D6"/>
    <w:rsid w:val="00BA2E16"/>
    <w:rsid w:val="00BA2F35"/>
    <w:rsid w:val="00BA313C"/>
    <w:rsid w:val="00BA4FAB"/>
    <w:rsid w:val="00BA7552"/>
    <w:rsid w:val="00BB47D4"/>
    <w:rsid w:val="00BB5C25"/>
    <w:rsid w:val="00BB6771"/>
    <w:rsid w:val="00BB689F"/>
    <w:rsid w:val="00BC2071"/>
    <w:rsid w:val="00BC3E52"/>
    <w:rsid w:val="00BC475D"/>
    <w:rsid w:val="00BC47F3"/>
    <w:rsid w:val="00BC5DEB"/>
    <w:rsid w:val="00BC6F64"/>
    <w:rsid w:val="00BD02AE"/>
    <w:rsid w:val="00BD09DA"/>
    <w:rsid w:val="00BD2256"/>
    <w:rsid w:val="00BD254C"/>
    <w:rsid w:val="00BD775D"/>
    <w:rsid w:val="00BD7974"/>
    <w:rsid w:val="00BE2256"/>
    <w:rsid w:val="00BE33B6"/>
    <w:rsid w:val="00BE34F2"/>
    <w:rsid w:val="00BE3985"/>
    <w:rsid w:val="00BF2A19"/>
    <w:rsid w:val="00BF2BEB"/>
    <w:rsid w:val="00BF353D"/>
    <w:rsid w:val="00BF39B6"/>
    <w:rsid w:val="00BF3C1A"/>
    <w:rsid w:val="00BF6618"/>
    <w:rsid w:val="00BF7E39"/>
    <w:rsid w:val="00C00F10"/>
    <w:rsid w:val="00C02654"/>
    <w:rsid w:val="00C02E86"/>
    <w:rsid w:val="00C05581"/>
    <w:rsid w:val="00C07BBF"/>
    <w:rsid w:val="00C157F2"/>
    <w:rsid w:val="00C16194"/>
    <w:rsid w:val="00C162C6"/>
    <w:rsid w:val="00C20CAB"/>
    <w:rsid w:val="00C20E8F"/>
    <w:rsid w:val="00C21138"/>
    <w:rsid w:val="00C21B42"/>
    <w:rsid w:val="00C2408F"/>
    <w:rsid w:val="00C320FB"/>
    <w:rsid w:val="00C3673A"/>
    <w:rsid w:val="00C376D8"/>
    <w:rsid w:val="00C379A1"/>
    <w:rsid w:val="00C41157"/>
    <w:rsid w:val="00C4208A"/>
    <w:rsid w:val="00C46A93"/>
    <w:rsid w:val="00C478C7"/>
    <w:rsid w:val="00C50D04"/>
    <w:rsid w:val="00C51656"/>
    <w:rsid w:val="00C546B3"/>
    <w:rsid w:val="00C546FC"/>
    <w:rsid w:val="00C55491"/>
    <w:rsid w:val="00C5585C"/>
    <w:rsid w:val="00C55B0C"/>
    <w:rsid w:val="00C57756"/>
    <w:rsid w:val="00C57E08"/>
    <w:rsid w:val="00C614F4"/>
    <w:rsid w:val="00C61525"/>
    <w:rsid w:val="00C617B8"/>
    <w:rsid w:val="00C61B75"/>
    <w:rsid w:val="00C62262"/>
    <w:rsid w:val="00C62E86"/>
    <w:rsid w:val="00C63EC1"/>
    <w:rsid w:val="00C7019D"/>
    <w:rsid w:val="00C720EB"/>
    <w:rsid w:val="00C72838"/>
    <w:rsid w:val="00C745F3"/>
    <w:rsid w:val="00C75E1D"/>
    <w:rsid w:val="00C7631D"/>
    <w:rsid w:val="00C765A5"/>
    <w:rsid w:val="00C776D9"/>
    <w:rsid w:val="00C77D94"/>
    <w:rsid w:val="00C80537"/>
    <w:rsid w:val="00C8129F"/>
    <w:rsid w:val="00C81475"/>
    <w:rsid w:val="00C83316"/>
    <w:rsid w:val="00C84B57"/>
    <w:rsid w:val="00C865A9"/>
    <w:rsid w:val="00C867B1"/>
    <w:rsid w:val="00C87657"/>
    <w:rsid w:val="00C90A87"/>
    <w:rsid w:val="00C91A69"/>
    <w:rsid w:val="00C92B4A"/>
    <w:rsid w:val="00C93090"/>
    <w:rsid w:val="00C94280"/>
    <w:rsid w:val="00C94B7F"/>
    <w:rsid w:val="00C953B3"/>
    <w:rsid w:val="00C95AF8"/>
    <w:rsid w:val="00C97BF3"/>
    <w:rsid w:val="00C97EFD"/>
    <w:rsid w:val="00CA047C"/>
    <w:rsid w:val="00CA1117"/>
    <w:rsid w:val="00CA214D"/>
    <w:rsid w:val="00CA41C0"/>
    <w:rsid w:val="00CA4549"/>
    <w:rsid w:val="00CA514C"/>
    <w:rsid w:val="00CA60FA"/>
    <w:rsid w:val="00CB08E0"/>
    <w:rsid w:val="00CB3346"/>
    <w:rsid w:val="00CB3C82"/>
    <w:rsid w:val="00CC17FF"/>
    <w:rsid w:val="00CC2ADF"/>
    <w:rsid w:val="00CC3177"/>
    <w:rsid w:val="00CC3188"/>
    <w:rsid w:val="00CC6C0B"/>
    <w:rsid w:val="00CD4A77"/>
    <w:rsid w:val="00CD6162"/>
    <w:rsid w:val="00CD630B"/>
    <w:rsid w:val="00CD770C"/>
    <w:rsid w:val="00CE12FB"/>
    <w:rsid w:val="00CE1C5B"/>
    <w:rsid w:val="00CE4C44"/>
    <w:rsid w:val="00CE5CD9"/>
    <w:rsid w:val="00CE64B0"/>
    <w:rsid w:val="00CE79C8"/>
    <w:rsid w:val="00CF022E"/>
    <w:rsid w:val="00CF0D76"/>
    <w:rsid w:val="00CF129E"/>
    <w:rsid w:val="00CF72B1"/>
    <w:rsid w:val="00CF7B3C"/>
    <w:rsid w:val="00D004B1"/>
    <w:rsid w:val="00D01A65"/>
    <w:rsid w:val="00D01C33"/>
    <w:rsid w:val="00D01E23"/>
    <w:rsid w:val="00D026A1"/>
    <w:rsid w:val="00D03E68"/>
    <w:rsid w:val="00D03EEF"/>
    <w:rsid w:val="00D0403C"/>
    <w:rsid w:val="00D06C57"/>
    <w:rsid w:val="00D101AE"/>
    <w:rsid w:val="00D11A95"/>
    <w:rsid w:val="00D12EF8"/>
    <w:rsid w:val="00D13CFB"/>
    <w:rsid w:val="00D158F0"/>
    <w:rsid w:val="00D16206"/>
    <w:rsid w:val="00D16927"/>
    <w:rsid w:val="00D21F7D"/>
    <w:rsid w:val="00D23EB5"/>
    <w:rsid w:val="00D256BC"/>
    <w:rsid w:val="00D25C38"/>
    <w:rsid w:val="00D26889"/>
    <w:rsid w:val="00D304EC"/>
    <w:rsid w:val="00D30AB1"/>
    <w:rsid w:val="00D32C07"/>
    <w:rsid w:val="00D332A0"/>
    <w:rsid w:val="00D358F6"/>
    <w:rsid w:val="00D360F9"/>
    <w:rsid w:val="00D37128"/>
    <w:rsid w:val="00D374E5"/>
    <w:rsid w:val="00D377B1"/>
    <w:rsid w:val="00D41052"/>
    <w:rsid w:val="00D43EB6"/>
    <w:rsid w:val="00D44BD2"/>
    <w:rsid w:val="00D44C15"/>
    <w:rsid w:val="00D44CD3"/>
    <w:rsid w:val="00D45CCB"/>
    <w:rsid w:val="00D46535"/>
    <w:rsid w:val="00D46F98"/>
    <w:rsid w:val="00D471F3"/>
    <w:rsid w:val="00D513A4"/>
    <w:rsid w:val="00D51EF6"/>
    <w:rsid w:val="00D52566"/>
    <w:rsid w:val="00D552C7"/>
    <w:rsid w:val="00D57E33"/>
    <w:rsid w:val="00D6221C"/>
    <w:rsid w:val="00D622AC"/>
    <w:rsid w:val="00D65397"/>
    <w:rsid w:val="00D71ADB"/>
    <w:rsid w:val="00D72F5B"/>
    <w:rsid w:val="00D73667"/>
    <w:rsid w:val="00D749A8"/>
    <w:rsid w:val="00D75EDF"/>
    <w:rsid w:val="00D80133"/>
    <w:rsid w:val="00D80505"/>
    <w:rsid w:val="00D8116B"/>
    <w:rsid w:val="00D81915"/>
    <w:rsid w:val="00D81A81"/>
    <w:rsid w:val="00D81DDC"/>
    <w:rsid w:val="00D82F40"/>
    <w:rsid w:val="00D83202"/>
    <w:rsid w:val="00D84EF9"/>
    <w:rsid w:val="00D91608"/>
    <w:rsid w:val="00D92646"/>
    <w:rsid w:val="00D94EB8"/>
    <w:rsid w:val="00D975B9"/>
    <w:rsid w:val="00DA0EB9"/>
    <w:rsid w:val="00DA291B"/>
    <w:rsid w:val="00DA328B"/>
    <w:rsid w:val="00DA4584"/>
    <w:rsid w:val="00DA5788"/>
    <w:rsid w:val="00DA5B0C"/>
    <w:rsid w:val="00DA6CB9"/>
    <w:rsid w:val="00DA7F0F"/>
    <w:rsid w:val="00DB0F4B"/>
    <w:rsid w:val="00DB19D6"/>
    <w:rsid w:val="00DB1F04"/>
    <w:rsid w:val="00DB3743"/>
    <w:rsid w:val="00DB3C1F"/>
    <w:rsid w:val="00DB3F94"/>
    <w:rsid w:val="00DB44A1"/>
    <w:rsid w:val="00DB498A"/>
    <w:rsid w:val="00DB5481"/>
    <w:rsid w:val="00DB5822"/>
    <w:rsid w:val="00DB69CC"/>
    <w:rsid w:val="00DC0EA8"/>
    <w:rsid w:val="00DC0F7A"/>
    <w:rsid w:val="00DC1558"/>
    <w:rsid w:val="00DC20C1"/>
    <w:rsid w:val="00DC3EA5"/>
    <w:rsid w:val="00DC512D"/>
    <w:rsid w:val="00DC547E"/>
    <w:rsid w:val="00DC599A"/>
    <w:rsid w:val="00DC5FA6"/>
    <w:rsid w:val="00DC62BA"/>
    <w:rsid w:val="00DC67EC"/>
    <w:rsid w:val="00DC6A7C"/>
    <w:rsid w:val="00DC73BF"/>
    <w:rsid w:val="00DD05B7"/>
    <w:rsid w:val="00DD0ECF"/>
    <w:rsid w:val="00DD1582"/>
    <w:rsid w:val="00DD206F"/>
    <w:rsid w:val="00DD315E"/>
    <w:rsid w:val="00DD34C8"/>
    <w:rsid w:val="00DD4C66"/>
    <w:rsid w:val="00DD6C71"/>
    <w:rsid w:val="00DE0295"/>
    <w:rsid w:val="00DE28C0"/>
    <w:rsid w:val="00DE4AC9"/>
    <w:rsid w:val="00DE7EEE"/>
    <w:rsid w:val="00DF064E"/>
    <w:rsid w:val="00DF0BC3"/>
    <w:rsid w:val="00DF229F"/>
    <w:rsid w:val="00DF3D4F"/>
    <w:rsid w:val="00DF5A85"/>
    <w:rsid w:val="00DF60C3"/>
    <w:rsid w:val="00DF6E3A"/>
    <w:rsid w:val="00DF76E2"/>
    <w:rsid w:val="00E002E0"/>
    <w:rsid w:val="00E020F3"/>
    <w:rsid w:val="00E038E0"/>
    <w:rsid w:val="00E0418C"/>
    <w:rsid w:val="00E056B2"/>
    <w:rsid w:val="00E05845"/>
    <w:rsid w:val="00E05F73"/>
    <w:rsid w:val="00E071AF"/>
    <w:rsid w:val="00E13EA9"/>
    <w:rsid w:val="00E1421E"/>
    <w:rsid w:val="00E15EC0"/>
    <w:rsid w:val="00E168D5"/>
    <w:rsid w:val="00E21813"/>
    <w:rsid w:val="00E3017F"/>
    <w:rsid w:val="00E30482"/>
    <w:rsid w:val="00E309F7"/>
    <w:rsid w:val="00E34452"/>
    <w:rsid w:val="00E359B7"/>
    <w:rsid w:val="00E37F31"/>
    <w:rsid w:val="00E4078F"/>
    <w:rsid w:val="00E456DF"/>
    <w:rsid w:val="00E45740"/>
    <w:rsid w:val="00E45A3C"/>
    <w:rsid w:val="00E502AF"/>
    <w:rsid w:val="00E54929"/>
    <w:rsid w:val="00E54CDC"/>
    <w:rsid w:val="00E576CE"/>
    <w:rsid w:val="00E57C75"/>
    <w:rsid w:val="00E600BB"/>
    <w:rsid w:val="00E614AF"/>
    <w:rsid w:val="00E61B18"/>
    <w:rsid w:val="00E635F5"/>
    <w:rsid w:val="00E661C5"/>
    <w:rsid w:val="00E66367"/>
    <w:rsid w:val="00E71F21"/>
    <w:rsid w:val="00E71F64"/>
    <w:rsid w:val="00E7275E"/>
    <w:rsid w:val="00E7409C"/>
    <w:rsid w:val="00E759CE"/>
    <w:rsid w:val="00E76E63"/>
    <w:rsid w:val="00E81914"/>
    <w:rsid w:val="00E81D69"/>
    <w:rsid w:val="00E821F0"/>
    <w:rsid w:val="00E8445C"/>
    <w:rsid w:val="00E84BDC"/>
    <w:rsid w:val="00E852F0"/>
    <w:rsid w:val="00E86058"/>
    <w:rsid w:val="00E862E9"/>
    <w:rsid w:val="00E87673"/>
    <w:rsid w:val="00E90874"/>
    <w:rsid w:val="00E93E1E"/>
    <w:rsid w:val="00E95293"/>
    <w:rsid w:val="00EA0684"/>
    <w:rsid w:val="00EA0723"/>
    <w:rsid w:val="00EA0A0F"/>
    <w:rsid w:val="00EA0DC2"/>
    <w:rsid w:val="00EA0DCE"/>
    <w:rsid w:val="00EA121B"/>
    <w:rsid w:val="00EA1498"/>
    <w:rsid w:val="00EA23C8"/>
    <w:rsid w:val="00EA276B"/>
    <w:rsid w:val="00EA3221"/>
    <w:rsid w:val="00EA347C"/>
    <w:rsid w:val="00EA554B"/>
    <w:rsid w:val="00EA6338"/>
    <w:rsid w:val="00EA6D05"/>
    <w:rsid w:val="00EA721F"/>
    <w:rsid w:val="00EA7A70"/>
    <w:rsid w:val="00EB1650"/>
    <w:rsid w:val="00EB26D5"/>
    <w:rsid w:val="00EC1426"/>
    <w:rsid w:val="00EC23BA"/>
    <w:rsid w:val="00EC24B6"/>
    <w:rsid w:val="00EC3B57"/>
    <w:rsid w:val="00EC427B"/>
    <w:rsid w:val="00EC55DF"/>
    <w:rsid w:val="00EC570B"/>
    <w:rsid w:val="00EC72B6"/>
    <w:rsid w:val="00ED00A8"/>
    <w:rsid w:val="00ED426D"/>
    <w:rsid w:val="00ED52C2"/>
    <w:rsid w:val="00ED643C"/>
    <w:rsid w:val="00ED7456"/>
    <w:rsid w:val="00ED7576"/>
    <w:rsid w:val="00EE1B2A"/>
    <w:rsid w:val="00EE35A6"/>
    <w:rsid w:val="00EE386D"/>
    <w:rsid w:val="00EE4844"/>
    <w:rsid w:val="00EE56B5"/>
    <w:rsid w:val="00EE7712"/>
    <w:rsid w:val="00EF0BB7"/>
    <w:rsid w:val="00EF1BC1"/>
    <w:rsid w:val="00EF3478"/>
    <w:rsid w:val="00EF5999"/>
    <w:rsid w:val="00EF5E0B"/>
    <w:rsid w:val="00F01189"/>
    <w:rsid w:val="00F06741"/>
    <w:rsid w:val="00F07B7A"/>
    <w:rsid w:val="00F11681"/>
    <w:rsid w:val="00F13954"/>
    <w:rsid w:val="00F15DFA"/>
    <w:rsid w:val="00F208CA"/>
    <w:rsid w:val="00F21809"/>
    <w:rsid w:val="00F229FD"/>
    <w:rsid w:val="00F22A5C"/>
    <w:rsid w:val="00F24602"/>
    <w:rsid w:val="00F24875"/>
    <w:rsid w:val="00F275DE"/>
    <w:rsid w:val="00F31BF9"/>
    <w:rsid w:val="00F333D2"/>
    <w:rsid w:val="00F37B96"/>
    <w:rsid w:val="00F40C51"/>
    <w:rsid w:val="00F42329"/>
    <w:rsid w:val="00F44767"/>
    <w:rsid w:val="00F460C4"/>
    <w:rsid w:val="00F53E8E"/>
    <w:rsid w:val="00F53EC0"/>
    <w:rsid w:val="00F56EAA"/>
    <w:rsid w:val="00F57474"/>
    <w:rsid w:val="00F6336D"/>
    <w:rsid w:val="00F6794F"/>
    <w:rsid w:val="00F711FA"/>
    <w:rsid w:val="00F730E3"/>
    <w:rsid w:val="00F73690"/>
    <w:rsid w:val="00F73EA3"/>
    <w:rsid w:val="00F7469C"/>
    <w:rsid w:val="00F75D15"/>
    <w:rsid w:val="00F76816"/>
    <w:rsid w:val="00F77190"/>
    <w:rsid w:val="00F803EB"/>
    <w:rsid w:val="00F80720"/>
    <w:rsid w:val="00F80B0E"/>
    <w:rsid w:val="00F81C0A"/>
    <w:rsid w:val="00F859AA"/>
    <w:rsid w:val="00F86696"/>
    <w:rsid w:val="00F86CAF"/>
    <w:rsid w:val="00F96286"/>
    <w:rsid w:val="00FA0426"/>
    <w:rsid w:val="00FA0C94"/>
    <w:rsid w:val="00FA0CE8"/>
    <w:rsid w:val="00FA397B"/>
    <w:rsid w:val="00FA4520"/>
    <w:rsid w:val="00FA4D34"/>
    <w:rsid w:val="00FB0467"/>
    <w:rsid w:val="00FB0E0F"/>
    <w:rsid w:val="00FB1EEB"/>
    <w:rsid w:val="00FB4A90"/>
    <w:rsid w:val="00FB65D9"/>
    <w:rsid w:val="00FB69B7"/>
    <w:rsid w:val="00FB7704"/>
    <w:rsid w:val="00FC0ECC"/>
    <w:rsid w:val="00FC1C3A"/>
    <w:rsid w:val="00FC1E57"/>
    <w:rsid w:val="00FC22A5"/>
    <w:rsid w:val="00FC2BEF"/>
    <w:rsid w:val="00FC3227"/>
    <w:rsid w:val="00FC3261"/>
    <w:rsid w:val="00FC4407"/>
    <w:rsid w:val="00FC6604"/>
    <w:rsid w:val="00FD12EE"/>
    <w:rsid w:val="00FD396C"/>
    <w:rsid w:val="00FD3BEC"/>
    <w:rsid w:val="00FD3E8A"/>
    <w:rsid w:val="00FD4B35"/>
    <w:rsid w:val="00FD5B50"/>
    <w:rsid w:val="00FD5DDF"/>
    <w:rsid w:val="00FD76CA"/>
    <w:rsid w:val="00FD777D"/>
    <w:rsid w:val="00FE0599"/>
    <w:rsid w:val="00FE103D"/>
    <w:rsid w:val="00FE2FE2"/>
    <w:rsid w:val="00FE349A"/>
    <w:rsid w:val="00FE42BC"/>
    <w:rsid w:val="00FE4BB3"/>
    <w:rsid w:val="00FE584D"/>
    <w:rsid w:val="00FE61FD"/>
    <w:rsid w:val="00FE7AFB"/>
    <w:rsid w:val="00FF0327"/>
    <w:rsid w:val="00FF0CBE"/>
    <w:rsid w:val="00FF1142"/>
    <w:rsid w:val="00FF1D01"/>
    <w:rsid w:val="00FF39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33519"/>
  <w15:chartTrackingRefBased/>
  <w15:docId w15:val="{A6D6B75D-EBF9-4C33-BF32-298721C02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D87"/>
    <w:pPr>
      <w:spacing w:after="0" w:line="240" w:lineRule="auto"/>
    </w:pPr>
  </w:style>
  <w:style w:type="paragraph" w:styleId="Heading1">
    <w:name w:val="heading 1"/>
    <w:basedOn w:val="Normal"/>
    <w:next w:val="Normal"/>
    <w:link w:val="Heading1Char"/>
    <w:uiPriority w:val="9"/>
    <w:qFormat/>
    <w:rsid w:val="00C9309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
    <w:name w:val="PH"/>
    <w:basedOn w:val="Header"/>
    <w:rsid w:val="00937272"/>
    <w:pPr>
      <w:tabs>
        <w:tab w:val="clear" w:pos="4536"/>
        <w:tab w:val="clear" w:pos="9072"/>
      </w:tabs>
      <w:spacing w:line="301" w:lineRule="atLeast"/>
    </w:pPr>
    <w:rPr>
      <w:rFonts w:ascii="Arial" w:eastAsia="Times New Roman" w:hAnsi="Arial" w:cs="Times New Roman"/>
      <w:sz w:val="24"/>
      <w:szCs w:val="20"/>
      <w:lang w:val="en-GB"/>
    </w:rPr>
  </w:style>
  <w:style w:type="paragraph" w:styleId="Header">
    <w:name w:val="header"/>
    <w:basedOn w:val="Normal"/>
    <w:link w:val="HeaderChar"/>
    <w:uiPriority w:val="99"/>
    <w:unhideWhenUsed/>
    <w:rsid w:val="00937272"/>
    <w:pPr>
      <w:tabs>
        <w:tab w:val="center" w:pos="4536"/>
        <w:tab w:val="right" w:pos="9072"/>
      </w:tabs>
    </w:pPr>
  </w:style>
  <w:style w:type="character" w:customStyle="1" w:styleId="HeaderChar">
    <w:name w:val="Header Char"/>
    <w:basedOn w:val="DefaultParagraphFont"/>
    <w:link w:val="Header"/>
    <w:uiPriority w:val="99"/>
    <w:rsid w:val="00937272"/>
  </w:style>
  <w:style w:type="paragraph" w:styleId="Footer">
    <w:name w:val="footer"/>
    <w:basedOn w:val="Normal"/>
    <w:link w:val="FooterChar"/>
    <w:uiPriority w:val="99"/>
    <w:unhideWhenUsed/>
    <w:rsid w:val="00B36151"/>
    <w:pPr>
      <w:tabs>
        <w:tab w:val="center" w:pos="4536"/>
        <w:tab w:val="right" w:pos="9072"/>
      </w:tabs>
    </w:pPr>
  </w:style>
  <w:style w:type="character" w:customStyle="1" w:styleId="FooterChar">
    <w:name w:val="Footer Char"/>
    <w:basedOn w:val="DefaultParagraphFont"/>
    <w:link w:val="Footer"/>
    <w:uiPriority w:val="99"/>
    <w:rsid w:val="00B36151"/>
  </w:style>
  <w:style w:type="paragraph" w:styleId="BodyText">
    <w:name w:val="Body Text"/>
    <w:basedOn w:val="Normal"/>
    <w:link w:val="BodyTextChar"/>
    <w:uiPriority w:val="99"/>
    <w:semiHidden/>
    <w:unhideWhenUsed/>
    <w:rsid w:val="008513CA"/>
    <w:pPr>
      <w:spacing w:after="120"/>
    </w:pPr>
  </w:style>
  <w:style w:type="character" w:customStyle="1" w:styleId="BodyTextChar">
    <w:name w:val="Body Text Char"/>
    <w:basedOn w:val="DefaultParagraphFont"/>
    <w:link w:val="BodyText"/>
    <w:uiPriority w:val="99"/>
    <w:semiHidden/>
    <w:rsid w:val="008513CA"/>
  </w:style>
  <w:style w:type="paragraph" w:customStyle="1" w:styleId="TT">
    <w:name w:val="TT"/>
    <w:basedOn w:val="Normal"/>
    <w:rsid w:val="007214E2"/>
    <w:pPr>
      <w:tabs>
        <w:tab w:val="right" w:pos="1202"/>
      </w:tabs>
      <w:spacing w:line="301" w:lineRule="exact"/>
      <w:outlineLvl w:val="0"/>
    </w:pPr>
    <w:rPr>
      <w:rFonts w:ascii="Arial" w:eastAsia="Times New Roman" w:hAnsi="Arial" w:cs="Times New Roman"/>
      <w:sz w:val="19"/>
      <w:szCs w:val="20"/>
      <w:lang w:val="en-GB"/>
    </w:rPr>
  </w:style>
  <w:style w:type="paragraph" w:customStyle="1" w:styleId="Tot">
    <w:name w:val="Tot"/>
    <w:basedOn w:val="TT"/>
    <w:rsid w:val="007214E2"/>
    <w:pPr>
      <w:spacing w:line="340" w:lineRule="exact"/>
    </w:pPr>
  </w:style>
  <w:style w:type="paragraph" w:styleId="NormalWeb">
    <w:name w:val="Normal (Web)"/>
    <w:basedOn w:val="Normal"/>
    <w:link w:val="NormalWebChar"/>
    <w:uiPriority w:val="99"/>
    <w:rsid w:val="00EA0684"/>
    <w:pPr>
      <w:spacing w:before="100" w:beforeAutospacing="1" w:after="100" w:afterAutospacing="1"/>
    </w:pPr>
    <w:rPr>
      <w:rFonts w:ascii="Times New Roman" w:eastAsia="Times New Roman" w:hAnsi="Times New Roman" w:cs="Times New Roman"/>
      <w:sz w:val="24"/>
      <w:szCs w:val="24"/>
      <w:lang w:val="en-US" w:eastAsia="hr-HR"/>
    </w:rPr>
  </w:style>
  <w:style w:type="character" w:customStyle="1" w:styleId="NormalWebChar">
    <w:name w:val="Normal (Web) Char"/>
    <w:basedOn w:val="DefaultParagraphFont"/>
    <w:link w:val="NormalWeb"/>
    <w:uiPriority w:val="99"/>
    <w:rsid w:val="00EA0684"/>
    <w:rPr>
      <w:rFonts w:ascii="Times New Roman" w:eastAsia="Times New Roman" w:hAnsi="Times New Roman" w:cs="Times New Roman"/>
      <w:sz w:val="24"/>
      <w:szCs w:val="24"/>
      <w:lang w:val="en-US" w:eastAsia="hr-HR"/>
    </w:rPr>
  </w:style>
  <w:style w:type="paragraph" w:customStyle="1" w:styleId="T1PARAGRAPH">
    <w:name w:val="T1PARAGRAPH"/>
    <w:basedOn w:val="BodyText3"/>
    <w:rsid w:val="00EA0684"/>
    <w:pPr>
      <w:numPr>
        <w:numId w:val="1"/>
      </w:numPr>
      <w:spacing w:after="301" w:line="301" w:lineRule="atLeast"/>
      <w:jc w:val="both"/>
    </w:pPr>
    <w:rPr>
      <w:rFonts w:ascii="Arial" w:eastAsia="Times New Roman" w:hAnsi="Arial" w:cs="Arial"/>
      <w:sz w:val="19"/>
      <w:szCs w:val="20"/>
    </w:rPr>
  </w:style>
  <w:style w:type="paragraph" w:styleId="BodyText3">
    <w:name w:val="Body Text 3"/>
    <w:basedOn w:val="Normal"/>
    <w:link w:val="BodyText3Char"/>
    <w:uiPriority w:val="99"/>
    <w:semiHidden/>
    <w:unhideWhenUsed/>
    <w:rsid w:val="00EA0684"/>
    <w:pPr>
      <w:spacing w:after="120"/>
    </w:pPr>
    <w:rPr>
      <w:sz w:val="16"/>
      <w:szCs w:val="16"/>
    </w:rPr>
  </w:style>
  <w:style w:type="character" w:customStyle="1" w:styleId="BodyText3Char">
    <w:name w:val="Body Text 3 Char"/>
    <w:basedOn w:val="DefaultParagraphFont"/>
    <w:link w:val="BodyText3"/>
    <w:uiPriority w:val="99"/>
    <w:semiHidden/>
    <w:rsid w:val="00EA0684"/>
    <w:rPr>
      <w:sz w:val="16"/>
      <w:szCs w:val="16"/>
    </w:rPr>
  </w:style>
  <w:style w:type="paragraph" w:styleId="ListParagraph">
    <w:name w:val="List Paragraph"/>
    <w:aliases w:val="Lettre d'introduction,REPORT Bullet,Resume Title,Citation List,Paragrafo elenco,List Paragraph1,1st level - Bullet List Paragraph,Paragraph,List Paragraph Red,lp1,Heading 12,heading 1,naslov 1,Naslov 12,Graf,Heading 2_sj,Számozott lista 1"/>
    <w:basedOn w:val="Normal"/>
    <w:link w:val="ListParagraphChar"/>
    <w:uiPriority w:val="34"/>
    <w:qFormat/>
    <w:rsid w:val="00EA0684"/>
    <w:pPr>
      <w:suppressAutoHyphens/>
      <w:autoSpaceDN w:val="0"/>
      <w:ind w:left="720"/>
      <w:contextualSpacing/>
    </w:pPr>
    <w:rPr>
      <w:rFonts w:ascii="Times New Roman" w:eastAsia="Times New Roman" w:hAnsi="Times New Roman" w:cs="Times New Roman"/>
      <w:sz w:val="24"/>
      <w:szCs w:val="24"/>
      <w:lang w:val="en-US"/>
    </w:rPr>
  </w:style>
  <w:style w:type="paragraph" w:customStyle="1" w:styleId="T1">
    <w:name w:val="T1"/>
    <w:basedOn w:val="Heading1"/>
    <w:link w:val="T1Char"/>
    <w:rsid w:val="00C93090"/>
    <w:pPr>
      <w:keepLines w:val="0"/>
      <w:spacing w:after="120" w:line="360" w:lineRule="auto"/>
      <w:jc w:val="both"/>
      <w:outlineLvl w:val="9"/>
    </w:pPr>
    <w:rPr>
      <w:rFonts w:ascii="Arial" w:eastAsia="Times New Roman" w:hAnsi="Arial" w:cs="Times New Roman"/>
      <w:b/>
      <w:bCs/>
      <w:color w:val="auto"/>
      <w:sz w:val="19"/>
      <w:szCs w:val="20"/>
      <w:lang w:val="pl-PL"/>
    </w:rPr>
  </w:style>
  <w:style w:type="character" w:customStyle="1" w:styleId="T1Char">
    <w:name w:val="T1 Char"/>
    <w:link w:val="T1"/>
    <w:rsid w:val="00C93090"/>
    <w:rPr>
      <w:rFonts w:ascii="Arial" w:eastAsia="Times New Roman" w:hAnsi="Arial" w:cs="Times New Roman"/>
      <w:b/>
      <w:bCs/>
      <w:sz w:val="19"/>
      <w:szCs w:val="20"/>
      <w:lang w:val="pl-PL"/>
    </w:rPr>
  </w:style>
  <w:style w:type="character" w:customStyle="1" w:styleId="Heading1Char">
    <w:name w:val="Heading 1 Char"/>
    <w:basedOn w:val="DefaultParagraphFont"/>
    <w:link w:val="Heading1"/>
    <w:uiPriority w:val="9"/>
    <w:rsid w:val="00C93090"/>
    <w:rPr>
      <w:rFonts w:asciiTheme="majorHAnsi" w:eastAsiaTheme="majorEastAsia" w:hAnsiTheme="majorHAnsi" w:cstheme="majorBidi"/>
      <w:color w:val="2F5496" w:themeColor="accent1" w:themeShade="BF"/>
      <w:sz w:val="32"/>
      <w:szCs w:val="32"/>
    </w:rPr>
  </w:style>
  <w:style w:type="character" w:styleId="PageNumber">
    <w:name w:val="page number"/>
    <w:basedOn w:val="DefaultParagraphFont"/>
    <w:rsid w:val="00843998"/>
  </w:style>
  <w:style w:type="paragraph" w:styleId="FootnoteText">
    <w:name w:val="footnote text"/>
    <w:basedOn w:val="Normal"/>
    <w:link w:val="FootnoteTextChar"/>
    <w:uiPriority w:val="99"/>
    <w:semiHidden/>
    <w:unhideWhenUsed/>
    <w:rsid w:val="005D5085"/>
    <w:rPr>
      <w:sz w:val="20"/>
      <w:szCs w:val="20"/>
    </w:rPr>
  </w:style>
  <w:style w:type="character" w:customStyle="1" w:styleId="FootnoteTextChar">
    <w:name w:val="Footnote Text Char"/>
    <w:basedOn w:val="DefaultParagraphFont"/>
    <w:link w:val="FootnoteText"/>
    <w:uiPriority w:val="99"/>
    <w:semiHidden/>
    <w:rsid w:val="005D5085"/>
    <w:rPr>
      <w:sz w:val="20"/>
      <w:szCs w:val="20"/>
    </w:rPr>
  </w:style>
  <w:style w:type="character" w:styleId="FootnoteReference">
    <w:name w:val="footnote reference"/>
    <w:uiPriority w:val="99"/>
    <w:rsid w:val="005D5085"/>
    <w:rPr>
      <w:vertAlign w:val="superscript"/>
    </w:rPr>
  </w:style>
  <w:style w:type="paragraph" w:customStyle="1" w:styleId="TH">
    <w:name w:val="TH"/>
    <w:basedOn w:val="Normal"/>
    <w:rsid w:val="009243A8"/>
    <w:pPr>
      <w:tabs>
        <w:tab w:val="right" w:pos="1202"/>
      </w:tabs>
      <w:spacing w:line="240" w:lineRule="atLeast"/>
      <w:outlineLvl w:val="0"/>
    </w:pPr>
    <w:rPr>
      <w:rFonts w:ascii="Arial" w:eastAsia="Times New Roman" w:hAnsi="Arial" w:cs="Times New Roman"/>
      <w:b/>
      <w:sz w:val="19"/>
      <w:szCs w:val="20"/>
      <w:lang w:val="en-GB"/>
    </w:rPr>
  </w:style>
  <w:style w:type="numbering" w:customStyle="1" w:styleId="LFO63">
    <w:name w:val="LFO63"/>
    <w:basedOn w:val="NoList"/>
    <w:rsid w:val="0095347D"/>
    <w:pPr>
      <w:numPr>
        <w:numId w:val="33"/>
      </w:numPr>
    </w:pPr>
  </w:style>
  <w:style w:type="paragraph" w:styleId="Revision">
    <w:name w:val="Revision"/>
    <w:hidden/>
    <w:uiPriority w:val="99"/>
    <w:semiHidden/>
    <w:rsid w:val="00B1754D"/>
    <w:pPr>
      <w:spacing w:after="0" w:line="240" w:lineRule="auto"/>
    </w:pPr>
  </w:style>
  <w:style w:type="character" w:customStyle="1" w:styleId="HTMLPreformattedChar">
    <w:name w:val="HTML Preformatted Char"/>
    <w:basedOn w:val="DefaultParagraphFont"/>
    <w:link w:val="HTMLPreformatted"/>
    <w:uiPriority w:val="99"/>
    <w:rsid w:val="005F7F5C"/>
    <w:rPr>
      <w:rFonts w:ascii="Courier New" w:hAnsi="Courier New" w:cs="Courier New"/>
      <w:lang w:eastAsia="hr-HR"/>
    </w:rPr>
  </w:style>
  <w:style w:type="paragraph" w:styleId="HTMLPreformatted">
    <w:name w:val="HTML Preformatted"/>
    <w:basedOn w:val="Normal"/>
    <w:link w:val="HTMLPreformattedChar"/>
    <w:uiPriority w:val="99"/>
    <w:unhideWhenUsed/>
    <w:rsid w:val="005F7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hr-HR"/>
    </w:rPr>
  </w:style>
  <w:style w:type="character" w:customStyle="1" w:styleId="HTMLPreformattedChar1">
    <w:name w:val="HTML Preformatted Char1"/>
    <w:basedOn w:val="DefaultParagraphFont"/>
    <w:uiPriority w:val="99"/>
    <w:semiHidden/>
    <w:rsid w:val="005F7F5C"/>
    <w:rPr>
      <w:rFonts w:ascii="Consolas" w:hAnsi="Consolas"/>
      <w:sz w:val="20"/>
      <w:szCs w:val="20"/>
    </w:rPr>
  </w:style>
  <w:style w:type="character" w:customStyle="1" w:styleId="y2iqfc">
    <w:name w:val="y2iqfc"/>
    <w:basedOn w:val="DefaultParagraphFont"/>
    <w:rsid w:val="00D71ADB"/>
  </w:style>
  <w:style w:type="character" w:customStyle="1" w:styleId="ListParagraphChar">
    <w:name w:val="List Paragraph Char"/>
    <w:aliases w:val="Lettre d'introduction Char,REPORT Bullet Char,Resume Title Char,Citation List Char,Paragrafo elenco Char,List Paragraph1 Char,1st level - Bullet List Paragraph Char,Paragraph Char,List Paragraph Red Char,lp1 Char,Heading 12 Char"/>
    <w:link w:val="ListParagraph"/>
    <w:uiPriority w:val="34"/>
    <w:qFormat/>
    <w:rsid w:val="00A3154A"/>
    <w:rPr>
      <w:rFonts w:ascii="Times New Roman" w:eastAsia="Times New Roman" w:hAnsi="Times New Roman" w:cs="Times New Roman"/>
      <w:sz w:val="24"/>
      <w:szCs w:val="24"/>
      <w:lang w:val="en-US"/>
    </w:rPr>
  </w:style>
  <w:style w:type="paragraph" w:customStyle="1" w:styleId="Thin">
    <w:name w:val="Thin"/>
    <w:basedOn w:val="Normal"/>
    <w:next w:val="Normal"/>
    <w:rsid w:val="00B637B8"/>
    <w:pPr>
      <w:keepNext/>
      <w:keepLines/>
      <w:tabs>
        <w:tab w:val="decimal" w:pos="1202"/>
      </w:tabs>
      <w:spacing w:line="100" w:lineRule="exact"/>
    </w:pPr>
    <w:rPr>
      <w:rFonts w:ascii="Arial" w:eastAsia="Times New Roman" w:hAnsi="Arial" w:cs="Times New Roman"/>
      <w:b/>
      <w:position w:val="4"/>
      <w:sz w:val="16"/>
      <w:szCs w:val="20"/>
      <w:lang w:val="en-US"/>
    </w:rPr>
  </w:style>
  <w:style w:type="paragraph" w:customStyle="1" w:styleId="accountingpolicytitle">
    <w:name w:val="accounting policy title"/>
    <w:basedOn w:val="Normal"/>
    <w:uiPriority w:val="99"/>
    <w:rsid w:val="000172FF"/>
    <w:pPr>
      <w:jc w:val="both"/>
    </w:pPr>
    <w:rPr>
      <w:rFonts w:ascii="Arial" w:eastAsia="Times New Roman" w:hAnsi="Arial" w:cs="Times New Roman"/>
      <w:b/>
      <w:sz w:val="19"/>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56862">
      <w:bodyDiv w:val="1"/>
      <w:marLeft w:val="0"/>
      <w:marRight w:val="0"/>
      <w:marTop w:val="0"/>
      <w:marBottom w:val="0"/>
      <w:divBdr>
        <w:top w:val="none" w:sz="0" w:space="0" w:color="auto"/>
        <w:left w:val="none" w:sz="0" w:space="0" w:color="auto"/>
        <w:bottom w:val="none" w:sz="0" w:space="0" w:color="auto"/>
        <w:right w:val="none" w:sz="0" w:space="0" w:color="auto"/>
      </w:divBdr>
    </w:div>
    <w:div w:id="74593420">
      <w:bodyDiv w:val="1"/>
      <w:marLeft w:val="0"/>
      <w:marRight w:val="0"/>
      <w:marTop w:val="0"/>
      <w:marBottom w:val="0"/>
      <w:divBdr>
        <w:top w:val="none" w:sz="0" w:space="0" w:color="auto"/>
        <w:left w:val="none" w:sz="0" w:space="0" w:color="auto"/>
        <w:bottom w:val="none" w:sz="0" w:space="0" w:color="auto"/>
        <w:right w:val="none" w:sz="0" w:space="0" w:color="auto"/>
      </w:divBdr>
    </w:div>
    <w:div w:id="188491462">
      <w:bodyDiv w:val="1"/>
      <w:marLeft w:val="0"/>
      <w:marRight w:val="0"/>
      <w:marTop w:val="0"/>
      <w:marBottom w:val="0"/>
      <w:divBdr>
        <w:top w:val="none" w:sz="0" w:space="0" w:color="auto"/>
        <w:left w:val="none" w:sz="0" w:space="0" w:color="auto"/>
        <w:bottom w:val="none" w:sz="0" w:space="0" w:color="auto"/>
        <w:right w:val="none" w:sz="0" w:space="0" w:color="auto"/>
      </w:divBdr>
    </w:div>
    <w:div w:id="208690600">
      <w:bodyDiv w:val="1"/>
      <w:marLeft w:val="0"/>
      <w:marRight w:val="0"/>
      <w:marTop w:val="0"/>
      <w:marBottom w:val="0"/>
      <w:divBdr>
        <w:top w:val="none" w:sz="0" w:space="0" w:color="auto"/>
        <w:left w:val="none" w:sz="0" w:space="0" w:color="auto"/>
        <w:bottom w:val="none" w:sz="0" w:space="0" w:color="auto"/>
        <w:right w:val="none" w:sz="0" w:space="0" w:color="auto"/>
      </w:divBdr>
    </w:div>
    <w:div w:id="261106788">
      <w:bodyDiv w:val="1"/>
      <w:marLeft w:val="0"/>
      <w:marRight w:val="0"/>
      <w:marTop w:val="0"/>
      <w:marBottom w:val="0"/>
      <w:divBdr>
        <w:top w:val="none" w:sz="0" w:space="0" w:color="auto"/>
        <w:left w:val="none" w:sz="0" w:space="0" w:color="auto"/>
        <w:bottom w:val="none" w:sz="0" w:space="0" w:color="auto"/>
        <w:right w:val="none" w:sz="0" w:space="0" w:color="auto"/>
      </w:divBdr>
    </w:div>
    <w:div w:id="273751653">
      <w:bodyDiv w:val="1"/>
      <w:marLeft w:val="0"/>
      <w:marRight w:val="0"/>
      <w:marTop w:val="0"/>
      <w:marBottom w:val="0"/>
      <w:divBdr>
        <w:top w:val="none" w:sz="0" w:space="0" w:color="auto"/>
        <w:left w:val="none" w:sz="0" w:space="0" w:color="auto"/>
        <w:bottom w:val="none" w:sz="0" w:space="0" w:color="auto"/>
        <w:right w:val="none" w:sz="0" w:space="0" w:color="auto"/>
      </w:divBdr>
    </w:div>
    <w:div w:id="429013157">
      <w:bodyDiv w:val="1"/>
      <w:marLeft w:val="0"/>
      <w:marRight w:val="0"/>
      <w:marTop w:val="0"/>
      <w:marBottom w:val="0"/>
      <w:divBdr>
        <w:top w:val="none" w:sz="0" w:space="0" w:color="auto"/>
        <w:left w:val="none" w:sz="0" w:space="0" w:color="auto"/>
        <w:bottom w:val="none" w:sz="0" w:space="0" w:color="auto"/>
        <w:right w:val="none" w:sz="0" w:space="0" w:color="auto"/>
      </w:divBdr>
    </w:div>
    <w:div w:id="674303835">
      <w:bodyDiv w:val="1"/>
      <w:marLeft w:val="0"/>
      <w:marRight w:val="0"/>
      <w:marTop w:val="0"/>
      <w:marBottom w:val="0"/>
      <w:divBdr>
        <w:top w:val="none" w:sz="0" w:space="0" w:color="auto"/>
        <w:left w:val="none" w:sz="0" w:space="0" w:color="auto"/>
        <w:bottom w:val="none" w:sz="0" w:space="0" w:color="auto"/>
        <w:right w:val="none" w:sz="0" w:space="0" w:color="auto"/>
      </w:divBdr>
    </w:div>
    <w:div w:id="769201262">
      <w:bodyDiv w:val="1"/>
      <w:marLeft w:val="0"/>
      <w:marRight w:val="0"/>
      <w:marTop w:val="0"/>
      <w:marBottom w:val="0"/>
      <w:divBdr>
        <w:top w:val="none" w:sz="0" w:space="0" w:color="auto"/>
        <w:left w:val="none" w:sz="0" w:space="0" w:color="auto"/>
        <w:bottom w:val="none" w:sz="0" w:space="0" w:color="auto"/>
        <w:right w:val="none" w:sz="0" w:space="0" w:color="auto"/>
      </w:divBdr>
    </w:div>
    <w:div w:id="844128278">
      <w:bodyDiv w:val="1"/>
      <w:marLeft w:val="0"/>
      <w:marRight w:val="0"/>
      <w:marTop w:val="0"/>
      <w:marBottom w:val="0"/>
      <w:divBdr>
        <w:top w:val="none" w:sz="0" w:space="0" w:color="auto"/>
        <w:left w:val="none" w:sz="0" w:space="0" w:color="auto"/>
        <w:bottom w:val="none" w:sz="0" w:space="0" w:color="auto"/>
        <w:right w:val="none" w:sz="0" w:space="0" w:color="auto"/>
      </w:divBdr>
    </w:div>
    <w:div w:id="848057506">
      <w:bodyDiv w:val="1"/>
      <w:marLeft w:val="0"/>
      <w:marRight w:val="0"/>
      <w:marTop w:val="0"/>
      <w:marBottom w:val="0"/>
      <w:divBdr>
        <w:top w:val="none" w:sz="0" w:space="0" w:color="auto"/>
        <w:left w:val="none" w:sz="0" w:space="0" w:color="auto"/>
        <w:bottom w:val="none" w:sz="0" w:space="0" w:color="auto"/>
        <w:right w:val="none" w:sz="0" w:space="0" w:color="auto"/>
      </w:divBdr>
    </w:div>
    <w:div w:id="942953500">
      <w:bodyDiv w:val="1"/>
      <w:marLeft w:val="0"/>
      <w:marRight w:val="0"/>
      <w:marTop w:val="0"/>
      <w:marBottom w:val="0"/>
      <w:divBdr>
        <w:top w:val="none" w:sz="0" w:space="0" w:color="auto"/>
        <w:left w:val="none" w:sz="0" w:space="0" w:color="auto"/>
        <w:bottom w:val="none" w:sz="0" w:space="0" w:color="auto"/>
        <w:right w:val="none" w:sz="0" w:space="0" w:color="auto"/>
      </w:divBdr>
    </w:div>
    <w:div w:id="1144927850">
      <w:bodyDiv w:val="1"/>
      <w:marLeft w:val="0"/>
      <w:marRight w:val="0"/>
      <w:marTop w:val="0"/>
      <w:marBottom w:val="0"/>
      <w:divBdr>
        <w:top w:val="none" w:sz="0" w:space="0" w:color="auto"/>
        <w:left w:val="none" w:sz="0" w:space="0" w:color="auto"/>
        <w:bottom w:val="none" w:sz="0" w:space="0" w:color="auto"/>
        <w:right w:val="none" w:sz="0" w:space="0" w:color="auto"/>
      </w:divBdr>
    </w:div>
    <w:div w:id="1202665530">
      <w:bodyDiv w:val="1"/>
      <w:marLeft w:val="0"/>
      <w:marRight w:val="0"/>
      <w:marTop w:val="0"/>
      <w:marBottom w:val="0"/>
      <w:divBdr>
        <w:top w:val="none" w:sz="0" w:space="0" w:color="auto"/>
        <w:left w:val="none" w:sz="0" w:space="0" w:color="auto"/>
        <w:bottom w:val="none" w:sz="0" w:space="0" w:color="auto"/>
        <w:right w:val="none" w:sz="0" w:space="0" w:color="auto"/>
      </w:divBdr>
    </w:div>
    <w:div w:id="1321697121">
      <w:bodyDiv w:val="1"/>
      <w:marLeft w:val="0"/>
      <w:marRight w:val="0"/>
      <w:marTop w:val="0"/>
      <w:marBottom w:val="0"/>
      <w:divBdr>
        <w:top w:val="none" w:sz="0" w:space="0" w:color="auto"/>
        <w:left w:val="none" w:sz="0" w:space="0" w:color="auto"/>
        <w:bottom w:val="none" w:sz="0" w:space="0" w:color="auto"/>
        <w:right w:val="none" w:sz="0" w:space="0" w:color="auto"/>
      </w:divBdr>
    </w:div>
    <w:div w:id="1410809298">
      <w:bodyDiv w:val="1"/>
      <w:marLeft w:val="0"/>
      <w:marRight w:val="0"/>
      <w:marTop w:val="0"/>
      <w:marBottom w:val="0"/>
      <w:divBdr>
        <w:top w:val="none" w:sz="0" w:space="0" w:color="auto"/>
        <w:left w:val="none" w:sz="0" w:space="0" w:color="auto"/>
        <w:bottom w:val="none" w:sz="0" w:space="0" w:color="auto"/>
        <w:right w:val="none" w:sz="0" w:space="0" w:color="auto"/>
      </w:divBdr>
    </w:div>
    <w:div w:id="1443768696">
      <w:bodyDiv w:val="1"/>
      <w:marLeft w:val="0"/>
      <w:marRight w:val="0"/>
      <w:marTop w:val="0"/>
      <w:marBottom w:val="0"/>
      <w:divBdr>
        <w:top w:val="none" w:sz="0" w:space="0" w:color="auto"/>
        <w:left w:val="none" w:sz="0" w:space="0" w:color="auto"/>
        <w:bottom w:val="none" w:sz="0" w:space="0" w:color="auto"/>
        <w:right w:val="none" w:sz="0" w:space="0" w:color="auto"/>
      </w:divBdr>
    </w:div>
    <w:div w:id="1787964708">
      <w:bodyDiv w:val="1"/>
      <w:marLeft w:val="0"/>
      <w:marRight w:val="0"/>
      <w:marTop w:val="0"/>
      <w:marBottom w:val="0"/>
      <w:divBdr>
        <w:top w:val="none" w:sz="0" w:space="0" w:color="auto"/>
        <w:left w:val="none" w:sz="0" w:space="0" w:color="auto"/>
        <w:bottom w:val="none" w:sz="0" w:space="0" w:color="auto"/>
        <w:right w:val="none" w:sz="0" w:space="0" w:color="auto"/>
      </w:divBdr>
    </w:div>
    <w:div w:id="1808548831">
      <w:bodyDiv w:val="1"/>
      <w:marLeft w:val="0"/>
      <w:marRight w:val="0"/>
      <w:marTop w:val="0"/>
      <w:marBottom w:val="0"/>
      <w:divBdr>
        <w:top w:val="none" w:sz="0" w:space="0" w:color="auto"/>
        <w:left w:val="none" w:sz="0" w:space="0" w:color="auto"/>
        <w:bottom w:val="none" w:sz="0" w:space="0" w:color="auto"/>
        <w:right w:val="none" w:sz="0" w:space="0" w:color="auto"/>
      </w:divBdr>
    </w:div>
    <w:div w:id="1849439111">
      <w:bodyDiv w:val="1"/>
      <w:marLeft w:val="0"/>
      <w:marRight w:val="0"/>
      <w:marTop w:val="0"/>
      <w:marBottom w:val="0"/>
      <w:divBdr>
        <w:top w:val="none" w:sz="0" w:space="0" w:color="auto"/>
        <w:left w:val="none" w:sz="0" w:space="0" w:color="auto"/>
        <w:bottom w:val="none" w:sz="0" w:space="0" w:color="auto"/>
        <w:right w:val="none" w:sz="0" w:space="0" w:color="auto"/>
      </w:divBdr>
    </w:div>
    <w:div w:id="1865091472">
      <w:bodyDiv w:val="1"/>
      <w:marLeft w:val="0"/>
      <w:marRight w:val="0"/>
      <w:marTop w:val="0"/>
      <w:marBottom w:val="0"/>
      <w:divBdr>
        <w:top w:val="none" w:sz="0" w:space="0" w:color="auto"/>
        <w:left w:val="none" w:sz="0" w:space="0" w:color="auto"/>
        <w:bottom w:val="none" w:sz="0" w:space="0" w:color="auto"/>
        <w:right w:val="none" w:sz="0" w:space="0" w:color="auto"/>
      </w:divBdr>
    </w:div>
    <w:div w:id="2009090846">
      <w:bodyDiv w:val="1"/>
      <w:marLeft w:val="0"/>
      <w:marRight w:val="0"/>
      <w:marTop w:val="0"/>
      <w:marBottom w:val="0"/>
      <w:divBdr>
        <w:top w:val="none" w:sz="0" w:space="0" w:color="auto"/>
        <w:left w:val="none" w:sz="0" w:space="0" w:color="auto"/>
        <w:bottom w:val="none" w:sz="0" w:space="0" w:color="auto"/>
        <w:right w:val="none" w:sz="0" w:space="0" w:color="auto"/>
      </w:divBdr>
    </w:div>
    <w:div w:id="2028633658">
      <w:bodyDiv w:val="1"/>
      <w:marLeft w:val="0"/>
      <w:marRight w:val="0"/>
      <w:marTop w:val="0"/>
      <w:marBottom w:val="0"/>
      <w:divBdr>
        <w:top w:val="none" w:sz="0" w:space="0" w:color="auto"/>
        <w:left w:val="none" w:sz="0" w:space="0" w:color="auto"/>
        <w:bottom w:val="none" w:sz="0" w:space="0" w:color="auto"/>
        <w:right w:val="none" w:sz="0" w:space="0" w:color="auto"/>
      </w:divBdr>
    </w:div>
    <w:div w:id="212692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image" Target="media/image2.png"/><Relationship Id="rId39" Type="http://schemas.openxmlformats.org/officeDocument/2006/relationships/footer" Target="footer11.xml"/><Relationship Id="rId21" Type="http://schemas.openxmlformats.org/officeDocument/2006/relationships/header" Target="header13.xml"/><Relationship Id="rId34" Type="http://schemas.openxmlformats.org/officeDocument/2006/relationships/header" Target="header15.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footer" Target="footer4.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png"/><Relationship Id="rId32" Type="http://schemas.openxmlformats.org/officeDocument/2006/relationships/footer" Target="footer7.xml"/><Relationship Id="rId37" Type="http://schemas.openxmlformats.org/officeDocument/2006/relationships/footer" Target="footer10.xml"/><Relationship Id="rId40"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customXml" Target="ink/ink1.xml"/><Relationship Id="rId28" Type="http://schemas.openxmlformats.org/officeDocument/2006/relationships/footer" Target="footer3.xml"/><Relationship Id="rId36" Type="http://schemas.openxmlformats.org/officeDocument/2006/relationships/header" Target="header16.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footer" Target="footer2.xml"/><Relationship Id="rId30" Type="http://schemas.openxmlformats.org/officeDocument/2006/relationships/footer" Target="footer5.xml"/><Relationship Id="rId35" Type="http://schemas.openxmlformats.org/officeDocument/2006/relationships/footer" Target="footer9.xm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customXml" Target="ink/ink2.xml"/><Relationship Id="rId33" Type="http://schemas.openxmlformats.org/officeDocument/2006/relationships/footer" Target="footer8.xml"/><Relationship Id="rId38" Type="http://schemas.openxmlformats.org/officeDocument/2006/relationships/header" Target="header17.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3-17T12:20:09.951"/>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3-17T12:20:09.95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10 0,'-4'0,"-1"0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DF301-4594-42FC-BD25-BA4598689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120</Pages>
  <Words>32843</Words>
  <Characters>187206</Characters>
  <Application>Microsoft Office Word</Application>
  <DocSecurity>0</DocSecurity>
  <Lines>1560</Lines>
  <Paragraphs>439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Hren Kristina</dc:creator>
  <cp:keywords/>
  <dc:description/>
  <cp:lastModifiedBy>Kralj Leonarda</cp:lastModifiedBy>
  <cp:revision>71</cp:revision>
  <dcterms:created xsi:type="dcterms:W3CDTF">2024-05-20T08:23:00Z</dcterms:created>
  <dcterms:modified xsi:type="dcterms:W3CDTF">2024-05-27T13:28:00Z</dcterms:modified>
</cp:coreProperties>
</file>